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331CF" w:rsidRPr="00F460CC" w:rsidRDefault="000331CF" w:rsidP="000331CF">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w:t>
      </w:r>
      <w:bookmarkStart w:id="0" w:name="_GoBack"/>
      <w:bookmarkEnd w:id="0"/>
      <w:r w:rsidRPr="00F460CC">
        <w:rPr>
          <w:rFonts w:ascii="Arial" w:eastAsia="Calibri" w:hAnsi="Arial" w:cs="Arial"/>
          <w:color w:val="FF0000"/>
          <w:kern w:val="28"/>
          <w:sz w:val="18"/>
          <w:szCs w:val="16"/>
          <w:lang w:eastAsia="fr-FR"/>
        </w:rPr>
        <w:t>agistrada Ponente que sirvió de base para proferir la providencia dentro del presente proceso. El contenido total y fiel de la decisión debe ser verificado en la respectiva Secretaría.</w:t>
      </w:r>
    </w:p>
    <w:p w:rsidR="00DE1872" w:rsidRDefault="00DE1872" w:rsidP="00DE1872">
      <w:pPr>
        <w:pStyle w:val="NormalWeb"/>
        <w:shd w:val="clear" w:color="auto" w:fill="FFFFFF" w:themeFill="background1"/>
        <w:spacing w:before="0" w:beforeAutospacing="0" w:after="0" w:afterAutospacing="0"/>
        <w:jc w:val="both"/>
        <w:rPr>
          <w:rFonts w:ascii="Tahoma" w:hAnsi="Tahoma" w:cs="Tahoma"/>
          <w:b/>
          <w:sz w:val="18"/>
          <w:szCs w:val="18"/>
        </w:rPr>
      </w:pPr>
    </w:p>
    <w:p w:rsidR="00DE1872" w:rsidRDefault="00DE1872" w:rsidP="00DE1872">
      <w:pPr>
        <w:pStyle w:val="NormalWeb"/>
        <w:shd w:val="clear" w:color="auto" w:fill="FFFFFF" w:themeFill="background1"/>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Pr>
          <w:rFonts w:ascii="Tahoma" w:hAnsi="Tahoma" w:cs="Tahoma"/>
          <w:bCs/>
          <w:sz w:val="18"/>
          <w:szCs w:val="18"/>
        </w:rPr>
        <w:t xml:space="preserve">Auto del </w:t>
      </w:r>
      <w:r w:rsidR="00F32976">
        <w:rPr>
          <w:rFonts w:ascii="Tahoma" w:hAnsi="Tahoma" w:cs="Tahoma"/>
          <w:bCs/>
          <w:sz w:val="18"/>
          <w:szCs w:val="18"/>
        </w:rPr>
        <w:t>12 de octubre</w:t>
      </w:r>
      <w:r>
        <w:rPr>
          <w:rFonts w:ascii="Tahoma" w:hAnsi="Tahoma" w:cs="Tahoma"/>
          <w:bCs/>
          <w:sz w:val="18"/>
          <w:szCs w:val="18"/>
        </w:rPr>
        <w:t xml:space="preserve"> de 2018 </w:t>
      </w:r>
    </w:p>
    <w:p w:rsidR="00DE1872" w:rsidRDefault="00DE1872" w:rsidP="00DE1872">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Pr>
          <w:rFonts w:ascii="Tahoma" w:hAnsi="Tahoma" w:cs="Tahoma"/>
          <w:sz w:val="18"/>
          <w:szCs w:val="18"/>
        </w:rPr>
        <w:tab/>
        <w:t>66001-31-05-004-2015-00561-01</w:t>
      </w:r>
    </w:p>
    <w:p w:rsidR="00DE1872" w:rsidRDefault="00DE1872" w:rsidP="00DE1872">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rsidR="00DE1872" w:rsidRDefault="00DE1872" w:rsidP="00DE1872">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Luis Fernando Ciro Villegas </w:t>
      </w:r>
    </w:p>
    <w:p w:rsidR="00DE1872" w:rsidRDefault="00DE1872" w:rsidP="00DE1872">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Saludcoop -En liquidación y otro</w:t>
      </w:r>
    </w:p>
    <w:p w:rsidR="00DE1872" w:rsidRDefault="00DE1872" w:rsidP="00DE1872">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Pr>
          <w:rFonts w:ascii="Tahoma" w:hAnsi="Tahoma" w:cs="Tahoma"/>
          <w:b/>
          <w:sz w:val="18"/>
          <w:szCs w:val="18"/>
        </w:rPr>
        <w:t xml:space="preserve"> de origen</w:t>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t>Cuarto</w:t>
      </w:r>
      <w:r w:rsidRPr="003E1C47">
        <w:rPr>
          <w:rFonts w:ascii="Tahoma" w:hAnsi="Tahoma" w:cs="Tahoma"/>
          <w:sz w:val="18"/>
          <w:szCs w:val="18"/>
        </w:rPr>
        <w:t xml:space="preserve"> Laboral del Circuito</w:t>
      </w:r>
      <w:r>
        <w:rPr>
          <w:rFonts w:ascii="Tahoma" w:hAnsi="Tahoma" w:cs="Tahoma"/>
          <w:sz w:val="18"/>
          <w:szCs w:val="18"/>
        </w:rPr>
        <w:t xml:space="preserve"> de Pereira</w:t>
      </w:r>
    </w:p>
    <w:p w:rsidR="00DE1872" w:rsidRDefault="00DE1872" w:rsidP="00DE1872">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0331CF" w:rsidRDefault="000331CF" w:rsidP="00DE1872">
      <w:pPr>
        <w:autoSpaceDE w:val="0"/>
        <w:autoSpaceDN w:val="0"/>
        <w:adjustRightInd w:val="0"/>
        <w:ind w:left="705" w:hanging="705"/>
        <w:jc w:val="both"/>
        <w:rPr>
          <w:rFonts w:ascii="Tahoma" w:hAnsi="Tahoma" w:cs="Tahoma"/>
          <w:b/>
          <w:sz w:val="18"/>
          <w:szCs w:val="18"/>
        </w:rPr>
      </w:pPr>
    </w:p>
    <w:p w:rsidR="00DE1872" w:rsidRPr="00B47640" w:rsidRDefault="00DE1872" w:rsidP="00DE1872">
      <w:pPr>
        <w:autoSpaceDE w:val="0"/>
        <w:autoSpaceDN w:val="0"/>
        <w:adjustRightInd w:val="0"/>
        <w:ind w:left="705" w:hanging="705"/>
        <w:jc w:val="both"/>
        <w:rPr>
          <w:rFonts w:ascii="Tahoma" w:hAnsi="Tahoma" w:cs="Tahoma"/>
          <w:b/>
          <w:sz w:val="18"/>
          <w:szCs w:val="18"/>
        </w:rPr>
      </w:pPr>
      <w:r w:rsidRPr="00B47640">
        <w:rPr>
          <w:rFonts w:ascii="Tahoma" w:hAnsi="Tahoma" w:cs="Tahoma"/>
          <w:b/>
          <w:sz w:val="18"/>
          <w:szCs w:val="18"/>
        </w:rPr>
        <w:t>Tema</w:t>
      </w:r>
      <w:r w:rsidR="000331CF">
        <w:rPr>
          <w:rFonts w:ascii="Tahoma" w:hAnsi="Tahoma" w:cs="Tahoma"/>
          <w:b/>
          <w:sz w:val="18"/>
          <w:szCs w:val="18"/>
        </w:rPr>
        <w:t>s</w:t>
      </w:r>
      <w:r w:rsidRPr="00B47640">
        <w:rPr>
          <w:rFonts w:ascii="Tahoma" w:hAnsi="Tahoma" w:cs="Tahoma"/>
          <w:b/>
          <w:sz w:val="18"/>
          <w:szCs w:val="18"/>
        </w:rPr>
        <w:t>:</w:t>
      </w:r>
    </w:p>
    <w:p w:rsidR="00DE1872" w:rsidRPr="00E6636C" w:rsidRDefault="00DE1872" w:rsidP="00DE1872">
      <w:pPr>
        <w:shd w:val="clear" w:color="auto" w:fill="FFFFFF" w:themeFill="background1"/>
        <w:ind w:left="2127"/>
        <w:jc w:val="both"/>
        <w:rPr>
          <w:rFonts w:ascii="Tahoma" w:hAnsi="Tahoma" w:cs="Tahoma"/>
          <w:iCs/>
          <w:sz w:val="18"/>
          <w:szCs w:val="18"/>
          <w:bdr w:val="none" w:sz="0" w:space="0" w:color="auto" w:frame="1"/>
          <w:lang w:val="es-CO"/>
        </w:rPr>
      </w:pPr>
      <w:r w:rsidRPr="00E6636C">
        <w:rPr>
          <w:rFonts w:ascii="Tahoma" w:hAnsi="Tahoma" w:cs="Tahoma"/>
          <w:b/>
          <w:bCs/>
          <w:sz w:val="18"/>
          <w:szCs w:val="18"/>
          <w:u w:val="single"/>
        </w:rPr>
        <w:t>Prescripción como excepción previa</w:t>
      </w:r>
      <w:r>
        <w:rPr>
          <w:rFonts w:ascii="Tahoma" w:hAnsi="Tahoma" w:cs="Tahoma"/>
          <w:b/>
          <w:bCs/>
          <w:sz w:val="18"/>
          <w:szCs w:val="18"/>
          <w:u w:val="single"/>
        </w:rPr>
        <w:t xml:space="preserve"> y de mérito</w:t>
      </w:r>
      <w:r w:rsidRPr="00E6636C">
        <w:rPr>
          <w:rFonts w:ascii="Tahoma" w:hAnsi="Tahoma" w:cs="Tahoma"/>
          <w:b/>
          <w:bCs/>
          <w:sz w:val="18"/>
          <w:szCs w:val="18"/>
          <w:u w:val="single"/>
        </w:rPr>
        <w:t>:</w:t>
      </w:r>
      <w:r w:rsidRPr="00E6636C">
        <w:rPr>
          <w:rFonts w:ascii="Tahoma" w:hAnsi="Tahoma" w:cs="Tahoma"/>
          <w:b/>
          <w:bCs/>
          <w:sz w:val="18"/>
          <w:szCs w:val="18"/>
        </w:rPr>
        <w:t xml:space="preserve"> </w:t>
      </w:r>
      <w:r w:rsidRPr="00707D21">
        <w:rPr>
          <w:rFonts w:ascii="Tahoma" w:hAnsi="Tahoma" w:cs="Tahoma"/>
          <w:iCs/>
          <w:sz w:val="18"/>
          <w:szCs w:val="18"/>
          <w:bdr w:val="none" w:sz="0" w:space="0" w:color="auto" w:frame="1"/>
          <w:lang w:val="es-CO"/>
        </w:rPr>
        <w:t xml:space="preserve">Así las cosas, la Jueza de primera instancia acertó en su discernimiento en la resolución tanto de la excepción como del recurso, al considerar que no se cumplieron los presupuestos del artículo 32 del Código Procesal del Trabajo para que tuviera vocación de prosperidad la excepción previa de prescripción y, por tanto, debía resolver la de mérito en la sentencia que pusiera fin al proceso, toda vez que cuando se invoca la aplicación de la primacía de la realidad sobre las formalidades, la exigibilidad de los derechos depende necesariamente de la definición que en la sentencia se haga sobre la relación laboral y por ende, en ese momento y no antes, obedeciendo a la prosperidad o no de las pretensiones o de la acreditación de la sustitución patronal que alega </w:t>
      </w:r>
      <w:r>
        <w:rPr>
          <w:rFonts w:ascii="Tahoma" w:hAnsi="Tahoma" w:cs="Tahoma"/>
          <w:iCs/>
          <w:sz w:val="18"/>
          <w:szCs w:val="18"/>
          <w:bdr w:val="none" w:sz="0" w:space="0" w:color="auto" w:frame="1"/>
          <w:lang w:val="es-CO"/>
        </w:rPr>
        <w:t>la parte demandada</w:t>
      </w:r>
      <w:r w:rsidRPr="00707D21">
        <w:rPr>
          <w:rFonts w:ascii="Tahoma" w:hAnsi="Tahoma" w:cs="Tahoma"/>
          <w:iCs/>
          <w:sz w:val="18"/>
          <w:szCs w:val="18"/>
          <w:bdr w:val="none" w:sz="0" w:space="0" w:color="auto" w:frame="1"/>
          <w:lang w:val="es-CO"/>
        </w:rPr>
        <w:t>, debe estudiarse el medio extintivo.</w:t>
      </w:r>
    </w:p>
    <w:p w:rsidR="00DE1872" w:rsidRDefault="00DE1872" w:rsidP="00DE1872">
      <w:pPr>
        <w:ind w:left="2057"/>
        <w:jc w:val="both"/>
        <w:rPr>
          <w:rFonts w:ascii="Tahoma" w:hAnsi="Tahoma" w:cs="Tahoma"/>
          <w:iCs/>
          <w:sz w:val="18"/>
          <w:szCs w:val="18"/>
          <w:bdr w:val="none" w:sz="0" w:space="0" w:color="auto" w:frame="1"/>
          <w:lang w:val="es-CO"/>
        </w:rPr>
      </w:pPr>
    </w:p>
    <w:p w:rsidR="00DE1872" w:rsidRPr="00E13DA9" w:rsidRDefault="00DE1872" w:rsidP="00DE1872">
      <w:pPr>
        <w:ind w:left="2057"/>
        <w:jc w:val="both"/>
        <w:rPr>
          <w:rFonts w:ascii="Tahoma" w:hAnsi="Tahoma" w:cs="Tahoma"/>
          <w:b/>
          <w:sz w:val="18"/>
          <w:szCs w:val="18"/>
        </w:rPr>
      </w:pPr>
    </w:p>
    <w:p w:rsidR="00DE1872" w:rsidRPr="00013247" w:rsidRDefault="00DE1872" w:rsidP="00DE1872">
      <w:pPr>
        <w:pStyle w:val="Ttulo4"/>
        <w:widowControl w:val="0"/>
        <w:shd w:val="clear" w:color="auto" w:fill="FFFFFF" w:themeFill="background1"/>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TRIBUNAL SUPERIOR DEL DISTRITO JUDICIAL DE PEREIRA</w:t>
      </w:r>
    </w:p>
    <w:p w:rsidR="00DE1872" w:rsidRPr="00013247" w:rsidRDefault="00DE1872" w:rsidP="00DE1872">
      <w:pPr>
        <w:pStyle w:val="Ttulo4"/>
        <w:widowControl w:val="0"/>
        <w:shd w:val="clear" w:color="auto" w:fill="FFFFFF" w:themeFill="background1"/>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SALA</w:t>
      </w:r>
      <w:r>
        <w:rPr>
          <w:rFonts w:ascii="Tahoma" w:hAnsi="Tahoma" w:cs="Tahoma"/>
          <w:bCs/>
          <w:szCs w:val="24"/>
          <w:lang w:eastAsia="es-MX"/>
        </w:rPr>
        <w:t xml:space="preserve"> DE DECISIÓN</w:t>
      </w:r>
      <w:r w:rsidRPr="00013247">
        <w:rPr>
          <w:rFonts w:ascii="Tahoma" w:hAnsi="Tahoma" w:cs="Tahoma"/>
          <w:bCs/>
          <w:szCs w:val="24"/>
          <w:lang w:eastAsia="es-MX"/>
        </w:rPr>
        <w:t xml:space="preserve"> LABORAL</w:t>
      </w:r>
      <w:r>
        <w:rPr>
          <w:rFonts w:ascii="Tahoma" w:hAnsi="Tahoma" w:cs="Tahoma"/>
          <w:bCs/>
          <w:szCs w:val="24"/>
          <w:lang w:eastAsia="es-MX"/>
        </w:rPr>
        <w:t xml:space="preserve"> NO. 1</w:t>
      </w:r>
    </w:p>
    <w:p w:rsidR="00DE1872" w:rsidRPr="00013247" w:rsidRDefault="00DE1872" w:rsidP="00DE1872">
      <w:pPr>
        <w:shd w:val="clear" w:color="auto" w:fill="FFFFFF" w:themeFill="background1"/>
        <w:spacing w:line="276" w:lineRule="auto"/>
        <w:rPr>
          <w:rFonts w:ascii="Tahoma" w:hAnsi="Tahoma" w:cs="Tahoma"/>
          <w:lang w:eastAsia="es-MX"/>
        </w:rPr>
      </w:pPr>
    </w:p>
    <w:p w:rsidR="00DE1872" w:rsidRPr="00E64037" w:rsidRDefault="00DE1872" w:rsidP="00DE1872">
      <w:pPr>
        <w:shd w:val="clear" w:color="auto" w:fill="FFFFFF" w:themeFill="background1"/>
        <w:spacing w:line="276" w:lineRule="auto"/>
        <w:jc w:val="center"/>
        <w:rPr>
          <w:rFonts w:ascii="Tahoma" w:hAnsi="Tahoma" w:cs="Tahoma"/>
          <w:b/>
          <w:bCs/>
        </w:rPr>
      </w:pPr>
      <w:r w:rsidRPr="00E64037">
        <w:rPr>
          <w:rFonts w:ascii="Tahoma" w:hAnsi="Tahoma" w:cs="Tahoma"/>
          <w:bCs/>
        </w:rPr>
        <w:t>Magistrada Ponente:</w:t>
      </w:r>
      <w:r w:rsidRPr="00E64037">
        <w:rPr>
          <w:rFonts w:ascii="Tahoma" w:hAnsi="Tahoma" w:cs="Tahoma"/>
          <w:b/>
          <w:bCs/>
        </w:rPr>
        <w:t xml:space="preserve"> Ana Lucía Caicedo Calderón</w:t>
      </w:r>
    </w:p>
    <w:p w:rsidR="00DE1872" w:rsidRPr="00E64037" w:rsidRDefault="00DE1872" w:rsidP="00DE1872">
      <w:pPr>
        <w:shd w:val="clear" w:color="auto" w:fill="FFFFFF" w:themeFill="background1"/>
        <w:spacing w:line="276" w:lineRule="auto"/>
        <w:rPr>
          <w:rFonts w:ascii="Tahoma" w:hAnsi="Tahoma" w:cs="Tahoma"/>
          <w:b/>
        </w:rPr>
      </w:pPr>
    </w:p>
    <w:p w:rsidR="00DE1872" w:rsidRDefault="00DE1872" w:rsidP="00DE1872">
      <w:pPr>
        <w:shd w:val="clear" w:color="auto" w:fill="FFFFFF" w:themeFill="background1"/>
        <w:spacing w:line="276" w:lineRule="auto"/>
        <w:jc w:val="center"/>
        <w:rPr>
          <w:rFonts w:ascii="Tahoma" w:hAnsi="Tahoma" w:cs="Tahoma"/>
          <w:b/>
        </w:rPr>
      </w:pPr>
      <w:r w:rsidRPr="00E64037">
        <w:rPr>
          <w:rFonts w:ascii="Tahoma" w:hAnsi="Tahoma" w:cs="Tahoma"/>
          <w:b/>
        </w:rPr>
        <w:t>Acta No. ______</w:t>
      </w:r>
    </w:p>
    <w:p w:rsidR="00DE1872" w:rsidRPr="00E64037" w:rsidRDefault="00DE1872" w:rsidP="00DE1872">
      <w:pPr>
        <w:shd w:val="clear" w:color="auto" w:fill="FFFFFF" w:themeFill="background1"/>
        <w:spacing w:line="276" w:lineRule="auto"/>
        <w:jc w:val="center"/>
        <w:rPr>
          <w:rFonts w:ascii="Tahoma" w:hAnsi="Tahoma" w:cs="Tahoma"/>
          <w:b/>
        </w:rPr>
      </w:pPr>
      <w:r w:rsidRPr="00E64037">
        <w:rPr>
          <w:rFonts w:ascii="Tahoma" w:hAnsi="Tahoma" w:cs="Tahoma"/>
          <w:b/>
        </w:rPr>
        <w:t>(</w:t>
      </w:r>
      <w:r w:rsidR="00F32976">
        <w:rPr>
          <w:rFonts w:ascii="Tahoma" w:hAnsi="Tahoma" w:cs="Tahoma"/>
          <w:b/>
        </w:rPr>
        <w:t>Octubre 12</w:t>
      </w:r>
      <w:r>
        <w:rPr>
          <w:rFonts w:ascii="Tahoma" w:hAnsi="Tahoma" w:cs="Tahoma"/>
          <w:b/>
        </w:rPr>
        <w:t xml:space="preserve"> de 2018</w:t>
      </w:r>
      <w:r w:rsidRPr="00E64037">
        <w:rPr>
          <w:rFonts w:ascii="Tahoma" w:hAnsi="Tahoma" w:cs="Tahoma"/>
          <w:b/>
        </w:rPr>
        <w:t>)</w:t>
      </w:r>
    </w:p>
    <w:p w:rsidR="00DE1872" w:rsidRPr="00E64037" w:rsidRDefault="00DE1872" w:rsidP="00DE1872">
      <w:pPr>
        <w:shd w:val="clear" w:color="auto" w:fill="FFFFFF" w:themeFill="background1"/>
        <w:spacing w:line="276" w:lineRule="auto"/>
        <w:jc w:val="center"/>
        <w:rPr>
          <w:rFonts w:ascii="Tahoma" w:hAnsi="Tahoma" w:cs="Tahoma"/>
          <w:b/>
        </w:rPr>
      </w:pPr>
    </w:p>
    <w:p w:rsidR="00DE1872" w:rsidRPr="00E64037" w:rsidRDefault="00DE1872" w:rsidP="00DE1872">
      <w:pPr>
        <w:shd w:val="clear" w:color="auto" w:fill="FFFFFF" w:themeFill="background1"/>
        <w:spacing w:line="276" w:lineRule="auto"/>
        <w:jc w:val="center"/>
        <w:rPr>
          <w:rFonts w:ascii="Tahoma" w:hAnsi="Tahoma" w:cs="Tahoma"/>
          <w:b/>
        </w:rPr>
      </w:pPr>
      <w:r w:rsidRPr="00E64037">
        <w:rPr>
          <w:rFonts w:ascii="Tahoma" w:hAnsi="Tahoma" w:cs="Tahoma"/>
          <w:b/>
        </w:rPr>
        <w:t>Sistema oral - audiencia para proferir auto interlocutorio</w:t>
      </w:r>
    </w:p>
    <w:p w:rsidR="00DE1872" w:rsidRPr="00E64037" w:rsidRDefault="00DE1872" w:rsidP="00DE1872">
      <w:pPr>
        <w:pStyle w:val="Sinespaciado"/>
        <w:shd w:val="clear" w:color="auto" w:fill="FFFFFF" w:themeFill="background1"/>
        <w:spacing w:line="276" w:lineRule="auto"/>
        <w:rPr>
          <w:rFonts w:ascii="Tahoma" w:hAnsi="Tahoma" w:cs="Tahoma"/>
        </w:rPr>
      </w:pPr>
    </w:p>
    <w:p w:rsidR="00DE1872" w:rsidRPr="00E64037" w:rsidRDefault="00DE1872" w:rsidP="00DE1872">
      <w:pPr>
        <w:widowControl w:val="0"/>
        <w:shd w:val="clear" w:color="auto" w:fill="FFFFFF" w:themeFill="background1"/>
        <w:autoSpaceDE w:val="0"/>
        <w:autoSpaceDN w:val="0"/>
        <w:adjustRightInd w:val="0"/>
        <w:spacing w:line="276" w:lineRule="auto"/>
        <w:jc w:val="both"/>
        <w:rPr>
          <w:rFonts w:ascii="Tahoma" w:hAnsi="Tahoma" w:cs="Tahoma"/>
          <w:b/>
          <w:lang w:val="es-CO"/>
        </w:rPr>
      </w:pPr>
      <w:r w:rsidRPr="00E64037">
        <w:rPr>
          <w:rFonts w:ascii="Tahoma" w:hAnsi="Tahoma" w:cs="Tahoma"/>
        </w:rPr>
        <w:tab/>
        <w:t>En la fecha, siendo las</w:t>
      </w:r>
      <w:r>
        <w:rPr>
          <w:rFonts w:ascii="Tahoma" w:hAnsi="Tahoma" w:cs="Tahoma"/>
        </w:rPr>
        <w:t xml:space="preserve"> </w:t>
      </w:r>
      <w:r w:rsidR="00F32976">
        <w:rPr>
          <w:rFonts w:ascii="Tahoma" w:hAnsi="Tahoma" w:cs="Tahoma"/>
        </w:rPr>
        <w:t>2</w:t>
      </w:r>
      <w:r>
        <w:rPr>
          <w:rFonts w:ascii="Tahoma" w:hAnsi="Tahoma" w:cs="Tahoma"/>
        </w:rPr>
        <w:t>:</w:t>
      </w:r>
      <w:r w:rsidR="00F32976">
        <w:rPr>
          <w:rFonts w:ascii="Tahoma" w:hAnsi="Tahoma" w:cs="Tahoma"/>
        </w:rPr>
        <w:t>3</w:t>
      </w:r>
      <w:r>
        <w:rPr>
          <w:rFonts w:ascii="Tahoma" w:hAnsi="Tahoma" w:cs="Tahoma"/>
        </w:rPr>
        <w:t xml:space="preserve">0 </w:t>
      </w:r>
      <w:r w:rsidR="00F32976">
        <w:rPr>
          <w:rFonts w:ascii="Tahoma" w:hAnsi="Tahoma" w:cs="Tahoma"/>
        </w:rPr>
        <w:t>p</w:t>
      </w:r>
      <w:r w:rsidRPr="00E64037">
        <w:rPr>
          <w:rFonts w:ascii="Tahoma" w:hAnsi="Tahoma" w:cs="Tahoma"/>
        </w:rPr>
        <w:t>.m.</w:t>
      </w:r>
      <w:r>
        <w:rPr>
          <w:rFonts w:ascii="Tahoma" w:hAnsi="Tahoma" w:cs="Tahoma"/>
        </w:rPr>
        <w:t xml:space="preserve">, </w:t>
      </w:r>
      <w:r w:rsidRPr="00E64037">
        <w:rPr>
          <w:rFonts w:ascii="Tahoma" w:hAnsi="Tahoma" w:cs="Tahoma"/>
          <w:spacing w:val="-2"/>
        </w:rPr>
        <w:t>la Sala de Decisión Laboral</w:t>
      </w:r>
      <w:r>
        <w:rPr>
          <w:rFonts w:ascii="Tahoma" w:hAnsi="Tahoma" w:cs="Tahoma"/>
          <w:spacing w:val="-2"/>
        </w:rPr>
        <w:t xml:space="preserve"> No. 1</w:t>
      </w:r>
      <w:r w:rsidRPr="00E64037">
        <w:rPr>
          <w:rFonts w:ascii="Tahoma" w:hAnsi="Tahoma" w:cs="Tahoma"/>
          <w:spacing w:val="-2"/>
        </w:rPr>
        <w:t xml:space="preserve"> del Tribunal Superior de Pereira procede a desatar la alzada incoada contra el auto proferido el </w:t>
      </w:r>
      <w:r>
        <w:rPr>
          <w:rFonts w:ascii="Tahoma" w:hAnsi="Tahoma" w:cs="Tahoma"/>
          <w:spacing w:val="-2"/>
        </w:rPr>
        <w:t>9 de octubre de 2017</w:t>
      </w:r>
      <w:r w:rsidRPr="00E64037">
        <w:rPr>
          <w:rFonts w:ascii="Tahoma" w:hAnsi="Tahoma" w:cs="Tahoma"/>
          <w:spacing w:val="-2"/>
        </w:rPr>
        <w:t xml:space="preserve">, dentro del proceso </w:t>
      </w:r>
      <w:r w:rsidRPr="00E64037">
        <w:rPr>
          <w:rFonts w:ascii="Tahoma" w:hAnsi="Tahoma" w:cs="Tahoma"/>
          <w:lang w:val="es-ES_tradnl"/>
        </w:rPr>
        <w:t>ordinario</w:t>
      </w:r>
      <w:r w:rsidRPr="00E64037">
        <w:rPr>
          <w:rFonts w:ascii="Tahoma" w:hAnsi="Tahoma" w:cs="Tahoma"/>
          <w:b/>
          <w:lang w:val="es-ES_tradnl"/>
        </w:rPr>
        <w:t xml:space="preserve"> </w:t>
      </w:r>
      <w:r w:rsidRPr="00E64037">
        <w:rPr>
          <w:rFonts w:ascii="Tahoma" w:hAnsi="Tahoma" w:cs="Tahoma"/>
          <w:lang w:val="es-ES_tradnl"/>
        </w:rPr>
        <w:t xml:space="preserve">laboral adelantado por </w:t>
      </w:r>
      <w:r>
        <w:rPr>
          <w:rFonts w:ascii="Tahoma" w:hAnsi="Tahoma" w:cs="Tahoma"/>
          <w:b/>
          <w:lang w:val="es-CO"/>
        </w:rPr>
        <w:t>LUIS FERNANDO CIRO VILLEGAS</w:t>
      </w:r>
      <w:r w:rsidRPr="00E64037">
        <w:rPr>
          <w:rFonts w:ascii="Tahoma" w:hAnsi="Tahoma" w:cs="Tahoma"/>
          <w:lang w:val="es-CO"/>
        </w:rPr>
        <w:t xml:space="preserve"> en contra de </w:t>
      </w:r>
      <w:r>
        <w:rPr>
          <w:rFonts w:ascii="Tahoma" w:hAnsi="Tahoma" w:cs="Tahoma"/>
          <w:b/>
          <w:lang w:val="es-CO"/>
        </w:rPr>
        <w:t xml:space="preserve">SALUDCOOP EPS EN LIQUIDACIÓN- </w:t>
      </w:r>
      <w:r w:rsidRPr="00D21187">
        <w:rPr>
          <w:rFonts w:ascii="Tahoma" w:hAnsi="Tahoma" w:cs="Tahoma"/>
          <w:lang w:val="es-CO"/>
        </w:rPr>
        <w:t xml:space="preserve">e </w:t>
      </w:r>
      <w:r>
        <w:rPr>
          <w:rFonts w:ascii="Tahoma" w:hAnsi="Tahoma" w:cs="Tahoma"/>
          <w:b/>
          <w:lang w:val="es-CO"/>
        </w:rPr>
        <w:t>IAC GPP SERVICIOS INTEGRALES PEREIRA</w:t>
      </w:r>
      <w:r w:rsidRPr="00E64037">
        <w:rPr>
          <w:rFonts w:ascii="Tahoma" w:hAnsi="Tahoma" w:cs="Tahoma"/>
          <w:b/>
          <w:lang w:val="es-CO"/>
        </w:rPr>
        <w:t>.</w:t>
      </w:r>
      <w:r w:rsidRPr="00E64037">
        <w:rPr>
          <w:rFonts w:ascii="Tahoma" w:hAnsi="Tahoma" w:cs="Tahoma"/>
          <w:lang w:val="es-CO"/>
        </w:rPr>
        <w:t xml:space="preserve"> </w:t>
      </w:r>
      <w:r w:rsidRPr="00E64037">
        <w:rPr>
          <w:rFonts w:ascii="Tahoma" w:hAnsi="Tahoma" w:cs="Tahoma"/>
          <w:lang w:val="es-ES_tradnl"/>
        </w:rPr>
        <w:t>Para el efecto, se verifica la asistencia de las partes a la presente diligencia: Por la parte demandante…, por la demandada…</w:t>
      </w:r>
    </w:p>
    <w:p w:rsidR="00DE1872" w:rsidRPr="00B17ACB" w:rsidRDefault="00DE1872" w:rsidP="00DE1872">
      <w:pPr>
        <w:pStyle w:val="Sinespaciado"/>
      </w:pPr>
      <w:r w:rsidRPr="00E64037">
        <w:tab/>
      </w:r>
    </w:p>
    <w:p w:rsidR="00DE1872" w:rsidRPr="00E64037" w:rsidRDefault="00DE1872" w:rsidP="00DE1872">
      <w:pPr>
        <w:pStyle w:val="Prrafodelista"/>
        <w:numPr>
          <w:ilvl w:val="0"/>
          <w:numId w:val="3"/>
        </w:numPr>
        <w:shd w:val="clear" w:color="auto" w:fill="FFFFFF" w:themeFill="background1"/>
        <w:spacing w:line="276" w:lineRule="auto"/>
        <w:ind w:left="0" w:firstLine="0"/>
        <w:jc w:val="center"/>
        <w:rPr>
          <w:rFonts w:ascii="Tahoma" w:hAnsi="Tahoma" w:cs="Tahoma"/>
          <w:b/>
          <w:lang w:val="es-CO"/>
        </w:rPr>
      </w:pPr>
      <w:r w:rsidRPr="00E64037">
        <w:rPr>
          <w:rFonts w:ascii="Tahoma" w:hAnsi="Tahoma" w:cs="Tahoma"/>
          <w:b/>
          <w:lang w:val="es-CO"/>
        </w:rPr>
        <w:t>Antecedentes procesales</w:t>
      </w:r>
    </w:p>
    <w:p w:rsidR="00DE1872" w:rsidRPr="00D21187" w:rsidRDefault="00DE1872" w:rsidP="00DE1872">
      <w:pPr>
        <w:pStyle w:val="Sinespaciado"/>
      </w:pPr>
    </w:p>
    <w:p w:rsidR="00DE1872" w:rsidRPr="00E64037" w:rsidRDefault="00DE1872" w:rsidP="00DE1872">
      <w:pPr>
        <w:pStyle w:val="Prrafodelista"/>
        <w:shd w:val="clear" w:color="auto" w:fill="FFFFFF" w:themeFill="background1"/>
        <w:spacing w:line="276" w:lineRule="auto"/>
        <w:ind w:left="0"/>
        <w:jc w:val="both"/>
        <w:rPr>
          <w:rFonts w:ascii="Tahoma" w:hAnsi="Tahoma" w:cs="Tahoma"/>
          <w:lang w:val="es-CO"/>
        </w:rPr>
      </w:pPr>
      <w:r w:rsidRPr="00E64037">
        <w:rPr>
          <w:rFonts w:ascii="Tahoma" w:hAnsi="Tahoma" w:cs="Tahoma"/>
          <w:lang w:val="es-CO"/>
        </w:rPr>
        <w:tab/>
        <w:t xml:space="preserve">Dentro del término de traslado de la demanda </w:t>
      </w:r>
      <w:r>
        <w:rPr>
          <w:rFonts w:ascii="Tahoma" w:hAnsi="Tahoma" w:cs="Tahoma"/>
          <w:lang w:val="es-CO"/>
        </w:rPr>
        <w:t xml:space="preserve">SALUDCOOP EPS EN LIQUIDACIÓN propuso la </w:t>
      </w:r>
      <w:r w:rsidRPr="00E64037">
        <w:rPr>
          <w:rFonts w:ascii="Tahoma" w:hAnsi="Tahoma" w:cs="Tahoma"/>
          <w:lang w:val="es-CO"/>
        </w:rPr>
        <w:t xml:space="preserve">excepción de “Prescripción”, </w:t>
      </w:r>
      <w:r>
        <w:rPr>
          <w:rFonts w:ascii="Tahoma" w:hAnsi="Tahoma" w:cs="Tahoma"/>
          <w:lang w:val="es-CO"/>
        </w:rPr>
        <w:t>tanto</w:t>
      </w:r>
      <w:r w:rsidRPr="00E64037">
        <w:rPr>
          <w:rFonts w:ascii="Tahoma" w:hAnsi="Tahoma" w:cs="Tahoma"/>
          <w:lang w:val="es-CO"/>
        </w:rPr>
        <w:t xml:space="preserve"> como previa como perentoria. </w:t>
      </w:r>
      <w:r>
        <w:rPr>
          <w:rFonts w:ascii="Tahoma" w:hAnsi="Tahoma" w:cs="Tahoma"/>
          <w:lang w:val="es-CO"/>
        </w:rPr>
        <w:t>C</w:t>
      </w:r>
      <w:r w:rsidRPr="00E64037">
        <w:rPr>
          <w:rFonts w:ascii="Tahoma" w:hAnsi="Tahoma" w:cs="Tahoma"/>
          <w:lang w:val="es-CO"/>
        </w:rPr>
        <w:t xml:space="preserve">on relación al ataque formal, argumentó que </w:t>
      </w:r>
      <w:r>
        <w:rPr>
          <w:rFonts w:ascii="Tahoma" w:hAnsi="Tahoma" w:cs="Tahoma"/>
          <w:lang w:val="es-CO"/>
        </w:rPr>
        <w:t xml:space="preserve">el contrato fue cedido a IAC GPP SERVICIOS INTEGRALES PEREIRA el día 1 de noviembre de 2003, por lo que han transcurrido más de 12 años desde que se hicieron exigibles las posibles obligaciones reclamadas. </w:t>
      </w:r>
    </w:p>
    <w:p w:rsidR="00DE1872" w:rsidRPr="003849DB" w:rsidRDefault="00DE1872" w:rsidP="00DE1872">
      <w:pPr>
        <w:pStyle w:val="Sinespaciado"/>
      </w:pPr>
    </w:p>
    <w:p w:rsidR="00DE1872" w:rsidRPr="00E64037" w:rsidRDefault="00DE1872" w:rsidP="00DE1872">
      <w:pPr>
        <w:pStyle w:val="Prrafodelista"/>
        <w:shd w:val="clear" w:color="auto" w:fill="FFFFFF" w:themeFill="background1"/>
        <w:spacing w:line="276" w:lineRule="auto"/>
        <w:ind w:left="0"/>
        <w:jc w:val="both"/>
        <w:rPr>
          <w:rFonts w:ascii="Tahoma" w:hAnsi="Tahoma" w:cs="Tahoma"/>
          <w:lang w:val="es-CO"/>
        </w:rPr>
      </w:pPr>
      <w:r w:rsidRPr="00E64037">
        <w:rPr>
          <w:rFonts w:ascii="Tahoma" w:hAnsi="Tahoma" w:cs="Tahoma"/>
          <w:lang w:val="es-CO"/>
        </w:rPr>
        <w:tab/>
        <w:t>En el marco de la etapa de decisión de excepciones previas prevista en el artículo 77 del Código Procesal Laboral, la Jueza de instancia corrió traslado de la mentada excepción a la parte demandante, cuy</w:t>
      </w:r>
      <w:r>
        <w:rPr>
          <w:rFonts w:ascii="Tahoma" w:hAnsi="Tahoma" w:cs="Tahoma"/>
          <w:lang w:val="es-CO"/>
        </w:rPr>
        <w:t xml:space="preserve">o togado afirmó que no se cumplen los requisitos del art. 32 ibídem, para que proceda la excepción como previa, </w:t>
      </w:r>
      <w:r w:rsidRPr="00E64037">
        <w:rPr>
          <w:rFonts w:ascii="Tahoma" w:hAnsi="Tahoma" w:cs="Tahoma"/>
          <w:lang w:val="es-CO"/>
        </w:rPr>
        <w:t xml:space="preserve">por cuanto </w:t>
      </w:r>
      <w:r>
        <w:rPr>
          <w:rFonts w:ascii="Tahoma" w:hAnsi="Tahoma" w:cs="Tahoma"/>
          <w:lang w:val="es-CO"/>
        </w:rPr>
        <w:lastRenderedPageBreak/>
        <w:t>al presentarse la demanda, el actor todavía laboraba para la entidad y por tanto no había surgido el término de prescripción de los derechos que reclama.</w:t>
      </w:r>
    </w:p>
    <w:p w:rsidR="00DE1872" w:rsidRPr="003849DB" w:rsidRDefault="00DE1872" w:rsidP="00DE1872">
      <w:pPr>
        <w:pStyle w:val="Sinespaciado"/>
      </w:pPr>
    </w:p>
    <w:p w:rsidR="00DE1872" w:rsidRPr="00E64037" w:rsidRDefault="00DE1872" w:rsidP="00DE1872">
      <w:pPr>
        <w:pStyle w:val="Prrafodelista"/>
        <w:shd w:val="clear" w:color="auto" w:fill="FFFFFF" w:themeFill="background1"/>
        <w:spacing w:line="276" w:lineRule="auto"/>
        <w:ind w:left="0"/>
        <w:jc w:val="both"/>
        <w:rPr>
          <w:rFonts w:ascii="Tahoma" w:hAnsi="Tahoma" w:cs="Tahoma"/>
          <w:lang w:val="es-CO"/>
        </w:rPr>
      </w:pPr>
      <w:r w:rsidRPr="00E64037">
        <w:rPr>
          <w:rFonts w:ascii="Tahoma" w:hAnsi="Tahoma" w:cs="Tahoma"/>
          <w:lang w:val="es-CO"/>
        </w:rPr>
        <w:tab/>
        <w:t>En consideración a lo anterior, la operadora jurídica declaró no pr</w:t>
      </w:r>
      <w:r>
        <w:rPr>
          <w:rFonts w:ascii="Tahoma" w:hAnsi="Tahoma" w:cs="Tahoma"/>
          <w:lang w:val="es-CO"/>
        </w:rPr>
        <w:t>obada la excepción propuesta, considerando que no es posible tomar la fecha aducida por la codemandada -1 de noviembre de 2003- para computar el término prescriptivo, puesto que las pretensiones de la demanda están encaminadas a que se declare que la entidad de cooperativismo IAC GPP actuó como intermediaria en la relación laboral que se mantuvo con SALUDCOOP, relacionando conceptos adeudados hasta el año 2014 y, por tanto, la prescripción debe resolverse junto con las demás excepciones de fondo, en la sentencia.</w:t>
      </w:r>
    </w:p>
    <w:p w:rsidR="00DE1872" w:rsidRPr="00F9781E" w:rsidRDefault="00DE1872" w:rsidP="00DE1872">
      <w:pPr>
        <w:pStyle w:val="Sinespaciado"/>
      </w:pPr>
    </w:p>
    <w:p w:rsidR="00DE1872" w:rsidRPr="00E64037" w:rsidRDefault="00DE1872" w:rsidP="00DE1872">
      <w:pPr>
        <w:shd w:val="clear" w:color="auto" w:fill="FFFFFF" w:themeFill="background1"/>
        <w:spacing w:line="276" w:lineRule="auto"/>
        <w:jc w:val="both"/>
        <w:rPr>
          <w:rFonts w:ascii="Tahoma" w:hAnsi="Tahoma" w:cs="Tahoma"/>
          <w:lang w:val="es-CO"/>
        </w:rPr>
      </w:pPr>
      <w:r w:rsidRPr="00E64037">
        <w:rPr>
          <w:rFonts w:ascii="Tahoma" w:hAnsi="Tahoma" w:cs="Tahoma"/>
        </w:rPr>
        <w:tab/>
        <w:t>Inconforme con dicha determinación, e</w:t>
      </w:r>
      <w:r w:rsidRPr="00E64037">
        <w:rPr>
          <w:rFonts w:ascii="Tahoma" w:hAnsi="Tahoma" w:cs="Tahoma"/>
          <w:lang w:val="es-CO"/>
        </w:rPr>
        <w:t xml:space="preserve">l apoderado de </w:t>
      </w:r>
      <w:r>
        <w:rPr>
          <w:rFonts w:ascii="Tahoma" w:hAnsi="Tahoma" w:cs="Tahoma"/>
          <w:lang w:val="es-CO"/>
        </w:rPr>
        <w:t>la</w:t>
      </w:r>
      <w:r w:rsidRPr="00E64037">
        <w:rPr>
          <w:rFonts w:ascii="Tahoma" w:hAnsi="Tahoma" w:cs="Tahoma"/>
          <w:lang w:val="es-CO"/>
        </w:rPr>
        <w:t xml:space="preserve"> demandada en comento presentó recurso de reposición y en subsidio el de apelación, arguyendo que </w:t>
      </w:r>
      <w:r>
        <w:rPr>
          <w:rFonts w:ascii="Tahoma" w:hAnsi="Tahoma" w:cs="Tahoma"/>
          <w:lang w:val="es-CO"/>
        </w:rPr>
        <w:t>hubo una sustitución patronal efectiva a noviembre de 2003, por lo que las responsabilidades laborales le corresponderían al patrono inicial solo hasta que se sustituyó y a partir de ese momento son responsabilidad de IAC GPP.</w:t>
      </w:r>
    </w:p>
    <w:p w:rsidR="00DE1872" w:rsidRPr="00F9781E" w:rsidRDefault="00DE1872" w:rsidP="00DE1872">
      <w:pPr>
        <w:pStyle w:val="Sinespaciado"/>
      </w:pPr>
    </w:p>
    <w:p w:rsidR="00DE1872" w:rsidRPr="00E64037" w:rsidRDefault="00DE1872" w:rsidP="00DE1872">
      <w:pPr>
        <w:shd w:val="clear" w:color="auto" w:fill="FFFFFF" w:themeFill="background1"/>
        <w:spacing w:line="276" w:lineRule="auto"/>
        <w:jc w:val="both"/>
        <w:rPr>
          <w:rFonts w:ascii="Tahoma" w:hAnsi="Tahoma" w:cs="Tahoma"/>
          <w:lang w:val="es-CO"/>
        </w:rPr>
      </w:pPr>
      <w:r w:rsidRPr="00E64037">
        <w:rPr>
          <w:rFonts w:ascii="Tahoma" w:hAnsi="Tahoma" w:cs="Tahoma"/>
          <w:lang w:val="es-CO"/>
        </w:rPr>
        <w:tab/>
        <w:t xml:space="preserve">La jueza de primer grado no repuso la decisión y mantuvo los argumentos de su decisión, concretamente en </w:t>
      </w:r>
      <w:r>
        <w:rPr>
          <w:rFonts w:ascii="Tahoma" w:hAnsi="Tahoma" w:cs="Tahoma"/>
          <w:lang w:val="es-CO"/>
        </w:rPr>
        <w:t>que no se dan los presupuestos del art. 32 del C.P.T y S.S. para declarar probada la excepción de prescripción, puesto que la parte demandante tiene una fecha de exigibilidad de las obligaciones y la demandada presenta otra.</w:t>
      </w:r>
      <w:r w:rsidRPr="00E64037">
        <w:rPr>
          <w:rFonts w:ascii="Tahoma" w:hAnsi="Tahoma" w:cs="Tahoma"/>
          <w:lang w:val="es-CO"/>
        </w:rPr>
        <w:t xml:space="preserve"> </w:t>
      </w:r>
    </w:p>
    <w:p w:rsidR="00DE1872" w:rsidRPr="00F9781E" w:rsidRDefault="00DE1872" w:rsidP="00DE1872">
      <w:pPr>
        <w:pStyle w:val="Sinespaciado"/>
      </w:pPr>
      <w:r w:rsidRPr="00E64037">
        <w:rPr>
          <w:rFonts w:ascii="Tahoma" w:hAnsi="Tahoma" w:cs="Tahoma"/>
          <w:lang w:val="es-CO"/>
        </w:rPr>
        <w:tab/>
      </w:r>
      <w:r w:rsidRPr="00E64037">
        <w:rPr>
          <w:lang w:val="es-CO"/>
        </w:rPr>
        <w:t xml:space="preserve"> </w:t>
      </w:r>
      <w:r w:rsidRPr="00E64037">
        <w:rPr>
          <w:lang w:val="es-CO"/>
        </w:rPr>
        <w:tab/>
      </w:r>
    </w:p>
    <w:p w:rsidR="00DE1872" w:rsidRPr="00E64037" w:rsidRDefault="00DE1872" w:rsidP="00DE1872">
      <w:pPr>
        <w:pStyle w:val="Prrafodelista"/>
        <w:numPr>
          <w:ilvl w:val="0"/>
          <w:numId w:val="3"/>
        </w:numPr>
        <w:shd w:val="clear" w:color="auto" w:fill="FFFFFF" w:themeFill="background1"/>
        <w:spacing w:line="276" w:lineRule="auto"/>
        <w:ind w:left="0" w:firstLine="0"/>
        <w:jc w:val="center"/>
        <w:rPr>
          <w:rFonts w:ascii="Tahoma" w:hAnsi="Tahoma" w:cs="Tahoma"/>
          <w:b/>
          <w:lang w:val="es-CO"/>
        </w:rPr>
      </w:pPr>
      <w:r w:rsidRPr="00E64037">
        <w:rPr>
          <w:rFonts w:ascii="Tahoma" w:hAnsi="Tahoma" w:cs="Tahoma"/>
          <w:b/>
          <w:lang w:val="es-CO"/>
        </w:rPr>
        <w:t>Consideraciones</w:t>
      </w:r>
    </w:p>
    <w:p w:rsidR="00DE1872" w:rsidRPr="00F9781E" w:rsidRDefault="00DE1872" w:rsidP="00DE1872">
      <w:pPr>
        <w:pStyle w:val="Sinespaciado"/>
      </w:pPr>
    </w:p>
    <w:p w:rsidR="00DE1872" w:rsidRPr="00E64037" w:rsidRDefault="00DE1872" w:rsidP="00DE1872">
      <w:pPr>
        <w:pStyle w:val="Textoindependiente"/>
        <w:widowControl w:val="0"/>
        <w:numPr>
          <w:ilvl w:val="1"/>
          <w:numId w:val="3"/>
        </w:numPr>
        <w:shd w:val="clear" w:color="auto" w:fill="FFFFFF" w:themeFill="background1"/>
        <w:tabs>
          <w:tab w:val="left" w:pos="0"/>
        </w:tabs>
        <w:autoSpaceDE w:val="0"/>
        <w:autoSpaceDN w:val="0"/>
        <w:adjustRightInd w:val="0"/>
        <w:spacing w:after="0" w:line="276" w:lineRule="auto"/>
        <w:ind w:left="0" w:firstLine="0"/>
        <w:jc w:val="center"/>
        <w:rPr>
          <w:rFonts w:ascii="Tahoma" w:hAnsi="Tahoma" w:cs="Tahoma"/>
          <w:b/>
          <w:bCs/>
          <w:spacing w:val="2"/>
          <w:sz w:val="22"/>
          <w:szCs w:val="22"/>
        </w:rPr>
      </w:pPr>
      <w:r w:rsidRPr="00E64037">
        <w:rPr>
          <w:rFonts w:ascii="Tahoma" w:hAnsi="Tahoma" w:cs="Tahoma"/>
          <w:b/>
          <w:bCs/>
          <w:spacing w:val="2"/>
          <w:sz w:val="22"/>
          <w:szCs w:val="22"/>
        </w:rPr>
        <w:t>Problemas jurídicos por resolver</w:t>
      </w:r>
    </w:p>
    <w:p w:rsidR="00DE1872" w:rsidRPr="00F9781E" w:rsidRDefault="00DE1872" w:rsidP="00DE1872">
      <w:pPr>
        <w:pStyle w:val="Sinespaciado"/>
      </w:pPr>
    </w:p>
    <w:p w:rsidR="00DE1872" w:rsidRPr="00E64037" w:rsidRDefault="00DE1872" w:rsidP="00DE1872">
      <w:pPr>
        <w:shd w:val="clear" w:color="auto" w:fill="FFFFFF" w:themeFill="background1"/>
        <w:spacing w:line="276" w:lineRule="auto"/>
        <w:ind w:firstLine="708"/>
        <w:jc w:val="both"/>
        <w:rPr>
          <w:rFonts w:ascii="Tahoma" w:hAnsi="Tahoma" w:cs="Tahoma"/>
          <w:lang w:val="es-MX"/>
        </w:rPr>
      </w:pPr>
      <w:r w:rsidRPr="00E64037">
        <w:rPr>
          <w:rFonts w:ascii="Tahoma" w:hAnsi="Tahoma" w:cs="Tahoma"/>
          <w:lang w:val="es-MX"/>
        </w:rPr>
        <w:t xml:space="preserve">De acuerdo a lo expuesto en precedencia, le corresponde a la Sala determinar si se cumplen los presupuestos procesales para declarar probada la excepción de prescripción </w:t>
      </w:r>
      <w:r>
        <w:rPr>
          <w:rFonts w:ascii="Tahoma" w:hAnsi="Tahoma" w:cs="Tahoma"/>
          <w:lang w:val="es-MX"/>
        </w:rPr>
        <w:t>interpues</w:t>
      </w:r>
      <w:r w:rsidRPr="00E64037">
        <w:rPr>
          <w:rFonts w:ascii="Tahoma" w:hAnsi="Tahoma" w:cs="Tahoma"/>
          <w:lang w:val="es-MX"/>
        </w:rPr>
        <w:t>ta como previa por la recurrente</w:t>
      </w:r>
      <w:r>
        <w:rPr>
          <w:rFonts w:ascii="Tahoma" w:hAnsi="Tahoma" w:cs="Tahoma"/>
          <w:lang w:val="es-MX"/>
        </w:rPr>
        <w:t>.</w:t>
      </w:r>
    </w:p>
    <w:p w:rsidR="00DE1872" w:rsidRPr="00F9781E" w:rsidRDefault="00DE1872" w:rsidP="00DE1872">
      <w:pPr>
        <w:pStyle w:val="Sinespaciado"/>
      </w:pPr>
    </w:p>
    <w:p w:rsidR="00DE1872" w:rsidRPr="00E64037" w:rsidRDefault="00DE1872" w:rsidP="00DE1872">
      <w:pPr>
        <w:shd w:val="clear" w:color="auto" w:fill="FFFFFF" w:themeFill="background1"/>
        <w:spacing w:line="276" w:lineRule="auto"/>
        <w:jc w:val="center"/>
        <w:rPr>
          <w:rFonts w:ascii="Tahoma" w:hAnsi="Tahoma" w:cs="Tahoma"/>
          <w:b/>
          <w:lang w:val="es-MX"/>
        </w:rPr>
      </w:pPr>
      <w:r w:rsidRPr="00E64037">
        <w:rPr>
          <w:rFonts w:ascii="Tahoma" w:hAnsi="Tahoma" w:cs="Tahoma"/>
          <w:b/>
          <w:lang w:val="es-MX"/>
        </w:rPr>
        <w:t>2.2</w:t>
      </w:r>
      <w:r w:rsidRPr="00E64037">
        <w:rPr>
          <w:rFonts w:ascii="Tahoma" w:hAnsi="Tahoma" w:cs="Tahoma"/>
          <w:b/>
          <w:lang w:val="es-MX"/>
        </w:rPr>
        <w:tab/>
        <w:t xml:space="preserve">Oportunidad para resolver </w:t>
      </w:r>
      <w:r>
        <w:rPr>
          <w:rFonts w:ascii="Tahoma" w:hAnsi="Tahoma" w:cs="Tahoma"/>
          <w:b/>
          <w:lang w:val="es-MX"/>
        </w:rPr>
        <w:t xml:space="preserve">y decidir </w:t>
      </w:r>
      <w:r w:rsidRPr="00E64037">
        <w:rPr>
          <w:rFonts w:ascii="Tahoma" w:hAnsi="Tahoma" w:cs="Tahoma"/>
          <w:b/>
          <w:lang w:val="es-MX"/>
        </w:rPr>
        <w:t xml:space="preserve">la excepción de prescripción </w:t>
      </w:r>
    </w:p>
    <w:p w:rsidR="00DE1872" w:rsidRPr="00E64037" w:rsidRDefault="00DE1872" w:rsidP="00DE1872">
      <w:pPr>
        <w:pStyle w:val="Sinespaciado"/>
        <w:rPr>
          <w:lang w:val="es-MX"/>
        </w:rPr>
      </w:pPr>
    </w:p>
    <w:p w:rsidR="00DE1872" w:rsidRPr="00E64037" w:rsidRDefault="00DE1872" w:rsidP="00DE1872">
      <w:pPr>
        <w:shd w:val="clear" w:color="auto" w:fill="FFFFFF" w:themeFill="background1"/>
        <w:spacing w:line="276" w:lineRule="auto"/>
        <w:ind w:firstLine="709"/>
        <w:jc w:val="both"/>
        <w:rPr>
          <w:rFonts w:ascii="Tahoma" w:hAnsi="Tahoma" w:cs="Tahoma"/>
          <w:lang w:val="es-MX"/>
        </w:rPr>
      </w:pPr>
      <w:r w:rsidRPr="00E64037">
        <w:rPr>
          <w:rFonts w:ascii="Tahoma" w:hAnsi="Tahoma" w:cs="Tahoma"/>
          <w:lang w:val="es-MX"/>
        </w:rPr>
        <w:t xml:space="preserve">El artículo 32 del Código Procesal del Trabajo faculta al extremo pasivo de la acción para que proponga como excepción previa la de prescripción, siempre y cuando no </w:t>
      </w:r>
      <w:r>
        <w:rPr>
          <w:rFonts w:ascii="Tahoma" w:hAnsi="Tahoma" w:cs="Tahoma"/>
          <w:lang w:val="es-MX"/>
        </w:rPr>
        <w:t xml:space="preserve">exista </w:t>
      </w:r>
      <w:r w:rsidRPr="00E64037">
        <w:rPr>
          <w:rFonts w:ascii="Tahoma" w:hAnsi="Tahoma" w:cs="Tahoma"/>
          <w:lang w:val="es-MX"/>
        </w:rPr>
        <w:t>discu</w:t>
      </w:r>
      <w:r>
        <w:rPr>
          <w:rFonts w:ascii="Tahoma" w:hAnsi="Tahoma" w:cs="Tahoma"/>
          <w:lang w:val="es-MX"/>
        </w:rPr>
        <w:t>sión en l</w:t>
      </w:r>
      <w:r w:rsidRPr="00E64037">
        <w:rPr>
          <w:rFonts w:ascii="Tahoma" w:hAnsi="Tahoma" w:cs="Tahoma"/>
          <w:lang w:val="es-MX"/>
        </w:rPr>
        <w:t>a fecha de exigibilidad de la pretensión o su interrupción</w:t>
      </w:r>
      <w:r>
        <w:rPr>
          <w:rFonts w:ascii="Tahoma" w:hAnsi="Tahoma" w:cs="Tahoma"/>
          <w:lang w:val="es-MX"/>
        </w:rPr>
        <w:t xml:space="preserve"> o suspensión.</w:t>
      </w:r>
    </w:p>
    <w:p w:rsidR="00DE1872" w:rsidRPr="00E64037" w:rsidRDefault="00DE1872" w:rsidP="00DE1872">
      <w:pPr>
        <w:pStyle w:val="Sinespaciado"/>
        <w:rPr>
          <w:lang w:val="es-MX"/>
        </w:rPr>
      </w:pPr>
    </w:p>
    <w:p w:rsidR="00DE1872" w:rsidRDefault="00DE1872" w:rsidP="00DE1872">
      <w:pPr>
        <w:shd w:val="clear" w:color="auto" w:fill="FFFFFF" w:themeFill="background1"/>
        <w:spacing w:line="276" w:lineRule="auto"/>
        <w:ind w:firstLine="709"/>
        <w:jc w:val="both"/>
        <w:rPr>
          <w:rFonts w:ascii="Tahoma" w:hAnsi="Tahoma" w:cs="Tahoma"/>
        </w:rPr>
      </w:pPr>
      <w:r w:rsidRPr="00E64037">
        <w:rPr>
          <w:rFonts w:ascii="Tahoma" w:hAnsi="Tahoma" w:cs="Tahoma"/>
          <w:lang w:val="es-MX"/>
        </w:rPr>
        <w:t>Ahora, la facultad para resolver la excepción de prescripción se encuentra supeditada a la forma como la haya propuesto el demandado, bien como excepción previa, ora de mérito, ora mixta; de donde se deduce que el Juez no está en libertad de decidir en qué momento procesal la resuelve porque ello es potestad del excepcionante.</w:t>
      </w:r>
      <w:r>
        <w:rPr>
          <w:rFonts w:ascii="Tahoma" w:hAnsi="Tahoma" w:cs="Tahoma"/>
          <w:lang w:val="es-MX"/>
        </w:rPr>
        <w:t xml:space="preserve"> </w:t>
      </w:r>
      <w:r w:rsidRPr="00E64037">
        <w:rPr>
          <w:rFonts w:ascii="Tahoma" w:hAnsi="Tahoma" w:cs="Tahoma"/>
          <w:lang w:val="es-MX"/>
        </w:rPr>
        <w:t>Así lo dispuso esta Corporación</w:t>
      </w:r>
      <w:r>
        <w:rPr>
          <w:rFonts w:ascii="Tahoma" w:hAnsi="Tahoma" w:cs="Tahoma"/>
          <w:lang w:val="es-MX"/>
        </w:rPr>
        <w:t xml:space="preserve">, entre otros en </w:t>
      </w:r>
      <w:r w:rsidRPr="00E64037">
        <w:rPr>
          <w:rFonts w:ascii="Tahoma" w:hAnsi="Tahoma" w:cs="Tahoma"/>
        </w:rPr>
        <w:t>Auto del 11 de febrero de 2011, proferido dentro del proceso radicado con el número 2010-00252, con ponencia de q</w:t>
      </w:r>
      <w:r>
        <w:rPr>
          <w:rFonts w:ascii="Tahoma" w:hAnsi="Tahoma" w:cs="Tahoma"/>
        </w:rPr>
        <w:t>uien aquí cumple igual encargo.</w:t>
      </w:r>
    </w:p>
    <w:p w:rsidR="00DE1872" w:rsidRPr="00F9781E" w:rsidRDefault="00DE1872" w:rsidP="00DE1872">
      <w:pPr>
        <w:pStyle w:val="Sinespaciado"/>
      </w:pPr>
    </w:p>
    <w:p w:rsidR="00DE1872" w:rsidRDefault="00DE1872" w:rsidP="00DE1872">
      <w:pPr>
        <w:shd w:val="clear" w:color="auto" w:fill="FFFFFF" w:themeFill="background1"/>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lastRenderedPageBreak/>
        <w:t xml:space="preserve">En relación con la oportunidad para resolver al medio exceptivo en cuestión, </w:t>
      </w:r>
      <w:proofErr w:type="gramStart"/>
      <w:r>
        <w:rPr>
          <w:rFonts w:ascii="Tahoma" w:hAnsi="Tahoma" w:cs="Tahoma"/>
          <w:iCs/>
          <w:bdr w:val="none" w:sz="0" w:space="0" w:color="auto" w:frame="1"/>
          <w:lang w:val="es-CO"/>
        </w:rPr>
        <w:t>la</w:t>
      </w:r>
      <w:proofErr w:type="gramEnd"/>
      <w:r>
        <w:rPr>
          <w:rFonts w:ascii="Tahoma" w:hAnsi="Tahoma" w:cs="Tahoma"/>
          <w:iCs/>
          <w:bdr w:val="none" w:sz="0" w:space="0" w:color="auto" w:frame="1"/>
          <w:lang w:val="es-CO"/>
        </w:rPr>
        <w:t xml:space="preserve"> H. Corte Constitucional en la sentencia C-820 de 2011 se pronunció en el siguiente sentido:</w:t>
      </w:r>
    </w:p>
    <w:p w:rsidR="00DE1872" w:rsidRDefault="00DE1872" w:rsidP="00DE1872">
      <w:pPr>
        <w:shd w:val="clear" w:color="auto" w:fill="FFFFFF" w:themeFill="background1"/>
        <w:spacing w:line="276" w:lineRule="auto"/>
        <w:ind w:firstLine="708"/>
        <w:jc w:val="both"/>
        <w:rPr>
          <w:rFonts w:ascii="Tahoma" w:hAnsi="Tahoma" w:cs="Tahoma"/>
          <w:iCs/>
          <w:bdr w:val="none" w:sz="0" w:space="0" w:color="auto" w:frame="1"/>
          <w:lang w:val="es-CO"/>
        </w:rPr>
      </w:pPr>
    </w:p>
    <w:p w:rsidR="00DE1872" w:rsidRPr="00285D04" w:rsidRDefault="00DE1872" w:rsidP="00DE1872">
      <w:pPr>
        <w:shd w:val="clear" w:color="auto" w:fill="FFFFFF" w:themeFill="background1"/>
        <w:ind w:left="709" w:right="760"/>
        <w:jc w:val="both"/>
        <w:rPr>
          <w:rFonts w:ascii="Arial Narrow" w:hAnsi="Arial Narrow" w:cs="Tahoma"/>
          <w:i/>
          <w:lang w:val="es-MX"/>
        </w:rPr>
      </w:pPr>
      <w:r w:rsidRPr="00285D04">
        <w:rPr>
          <w:rFonts w:ascii="Arial Narrow" w:hAnsi="Arial Narrow" w:cs="Tahoma"/>
          <w:i/>
          <w:lang w:val="es-MX"/>
        </w:rPr>
        <w:t>“De modo que en principio, se encuentra amparada por la mencionada potestad de configuración la decisión del legislador de darles un tratamiento mixto a ciertas defensas del demandado en el proceso laboral, como son las excepciones de cosa juzgada y prescripción, cuando no hubiese discusión acerca de la fecha de exigibilidad de la pretensión, su interrupción o suspensión. Por virtud de tal preceptiva podrán ser propuestas como previas en la primera audiencia del proceso laboral, y decididas en ese mismo acto, mediando actividad probatoria si hubiere lugar a ello, o como de mérito para ser resueltas en la sentencia.”</w:t>
      </w:r>
    </w:p>
    <w:p w:rsidR="00DE1872" w:rsidRDefault="00DE1872" w:rsidP="00DE1872">
      <w:pPr>
        <w:tabs>
          <w:tab w:val="left" w:pos="360"/>
        </w:tabs>
        <w:ind w:right="-232"/>
        <w:jc w:val="both"/>
        <w:rPr>
          <w:b/>
          <w:bCs/>
          <w:u w:val="single"/>
        </w:rPr>
      </w:pPr>
    </w:p>
    <w:p w:rsidR="00DE1872" w:rsidRPr="00B17ACB" w:rsidRDefault="00DE1872" w:rsidP="00DE1872">
      <w:pPr>
        <w:shd w:val="clear" w:color="auto" w:fill="FFFFFF" w:themeFill="background1"/>
        <w:spacing w:line="276" w:lineRule="auto"/>
        <w:ind w:firstLine="708"/>
        <w:jc w:val="both"/>
        <w:rPr>
          <w:rFonts w:ascii="Tahoma" w:hAnsi="Tahoma" w:cs="Tahoma"/>
          <w:iCs/>
          <w:bdr w:val="none" w:sz="0" w:space="0" w:color="auto" w:frame="1"/>
          <w:lang w:val="es-CO"/>
        </w:rPr>
      </w:pPr>
      <w:r w:rsidRPr="00285D04">
        <w:rPr>
          <w:rFonts w:ascii="Tahoma" w:hAnsi="Tahoma" w:cs="Tahoma"/>
          <w:iCs/>
          <w:bdr w:val="none" w:sz="0" w:space="0" w:color="auto" w:frame="1"/>
          <w:lang w:val="es-CO"/>
        </w:rPr>
        <w:t>Más adelante se precisó en la misma providencia:</w:t>
      </w:r>
    </w:p>
    <w:p w:rsidR="00DE1872" w:rsidRDefault="00DE1872" w:rsidP="00DE1872">
      <w:pPr>
        <w:pStyle w:val="Sinespaciado"/>
      </w:pPr>
    </w:p>
    <w:p w:rsidR="00DE1872" w:rsidRPr="000A5B87" w:rsidRDefault="00DE1872" w:rsidP="00DE1872">
      <w:pPr>
        <w:tabs>
          <w:tab w:val="left" w:pos="360"/>
        </w:tabs>
        <w:ind w:left="709" w:right="760"/>
        <w:jc w:val="both"/>
        <w:rPr>
          <w:rFonts w:ascii="Arial Narrow" w:hAnsi="Arial Narrow"/>
          <w:bCs/>
          <w:i/>
        </w:rPr>
      </w:pPr>
      <w:r>
        <w:rPr>
          <w:rFonts w:ascii="Arial Narrow" w:hAnsi="Arial Narrow"/>
          <w:bCs/>
          <w:i/>
        </w:rPr>
        <w:t>“</w:t>
      </w:r>
      <w:r w:rsidRPr="000A5B87">
        <w:rPr>
          <w:rFonts w:ascii="Arial Narrow" w:hAnsi="Arial Narrow"/>
          <w:bCs/>
          <w:i/>
        </w:rPr>
        <w:t xml:space="preserve">No sobra recordar que las excepciones de prescripción y cosa juzgada tienen naturaleza </w:t>
      </w:r>
      <w:r w:rsidRPr="00285D04">
        <w:rPr>
          <w:rFonts w:ascii="Arial Narrow" w:hAnsi="Arial Narrow" w:cs="Tahoma"/>
          <w:i/>
          <w:lang w:val="es-MX"/>
        </w:rPr>
        <w:t>objetiva. Su acreditación se produce mediante la contabilización del transcurso del tiempo, en el caso de la prescripción, al margen de la intención, el ánimo o la razón por la cual el acreedor permaneció inactivo. Además, su declaratoria anticipada, en la primera audiencia, sólo es posible cuando existe certeza sobre la fecha  de exigibilidad de la pretensión, o de su interrupción o suspensión. De manera que si se presenta alguna discusión en torno a estos tópicos su decisión se diferirá a la sentencia.”</w:t>
      </w:r>
      <w:r w:rsidRPr="000A5B87">
        <w:rPr>
          <w:rFonts w:ascii="Arial Narrow" w:hAnsi="Arial Narrow"/>
          <w:bCs/>
          <w:i/>
        </w:rPr>
        <w:t xml:space="preserve"> </w:t>
      </w:r>
    </w:p>
    <w:p w:rsidR="00DE1872" w:rsidRPr="00AC0FA4" w:rsidRDefault="00DE1872" w:rsidP="00DE1872">
      <w:pPr>
        <w:pStyle w:val="Sinespaciado"/>
      </w:pPr>
    </w:p>
    <w:p w:rsidR="00DE1872" w:rsidRPr="00E64037" w:rsidRDefault="00DE1872" w:rsidP="00DE1872">
      <w:pPr>
        <w:shd w:val="clear" w:color="auto" w:fill="FFFFFF" w:themeFill="background1"/>
        <w:spacing w:line="276" w:lineRule="auto"/>
        <w:jc w:val="center"/>
        <w:rPr>
          <w:rFonts w:ascii="Tahoma" w:hAnsi="Tahoma" w:cs="Tahoma"/>
          <w:b/>
          <w:lang w:val="es-MX"/>
        </w:rPr>
      </w:pPr>
      <w:r w:rsidRPr="00E64037">
        <w:rPr>
          <w:rFonts w:ascii="Tahoma" w:hAnsi="Tahoma" w:cs="Tahoma"/>
          <w:b/>
          <w:lang w:val="es-MX"/>
        </w:rPr>
        <w:t>2.3 Caso concreto</w:t>
      </w:r>
    </w:p>
    <w:p w:rsidR="00DE1872" w:rsidRPr="00F9781E" w:rsidRDefault="00DE1872" w:rsidP="00DE1872">
      <w:pPr>
        <w:pStyle w:val="Sinespaciado"/>
      </w:pPr>
      <w:r w:rsidRPr="00E64037">
        <w:rPr>
          <w:bdr w:val="none" w:sz="0" w:space="0" w:color="auto" w:frame="1"/>
          <w:lang w:val="es-CO"/>
        </w:rPr>
        <w:tab/>
      </w:r>
    </w:p>
    <w:p w:rsidR="00DE1872" w:rsidRDefault="00DE1872" w:rsidP="00DE1872">
      <w:pPr>
        <w:shd w:val="clear" w:color="auto" w:fill="FFFFFF" w:themeFill="background1"/>
        <w:spacing w:line="276" w:lineRule="auto"/>
        <w:ind w:firstLine="708"/>
        <w:jc w:val="both"/>
        <w:rPr>
          <w:rFonts w:ascii="Tahoma" w:hAnsi="Tahoma" w:cs="Tahoma"/>
          <w:iCs/>
          <w:bdr w:val="none" w:sz="0" w:space="0" w:color="auto" w:frame="1"/>
          <w:lang w:val="es-CO"/>
        </w:rPr>
      </w:pPr>
      <w:r w:rsidRPr="00E64037">
        <w:rPr>
          <w:rFonts w:ascii="Tahoma" w:hAnsi="Tahoma" w:cs="Tahoma"/>
          <w:iCs/>
          <w:bdr w:val="none" w:sz="0" w:space="0" w:color="auto" w:frame="1"/>
          <w:lang w:val="es-CO"/>
        </w:rPr>
        <w:t>En aras de resolver el problema jurídico planteado, debe indicarse que el artículo 32 del Código Procesal del Trabajo y de la Seguridad Social, efectivamente permite que la parte pasiva del litigio proponga como excepción dilatoria la de prescripción, sin que por ello se vea imposibilitado de presentarla como perentoria, supuesto que genera para el operador judicial la doble obligación de pronunciarse sobre el fenómeno jurídico en la oportunidad procesal estipulada para la decisión de excepciones previas, en la que de encontrar cumplidos los presupuestos del artículo 32</w:t>
      </w:r>
      <w:r>
        <w:rPr>
          <w:rFonts w:ascii="Tahoma" w:hAnsi="Tahoma" w:cs="Tahoma"/>
          <w:iCs/>
          <w:bdr w:val="none" w:sz="0" w:space="0" w:color="auto" w:frame="1"/>
          <w:lang w:val="es-CO"/>
        </w:rPr>
        <w:t xml:space="preserve"> ibídem</w:t>
      </w:r>
      <w:r w:rsidRPr="00E64037">
        <w:rPr>
          <w:rFonts w:ascii="Tahoma" w:hAnsi="Tahoma" w:cs="Tahoma"/>
          <w:iCs/>
          <w:bdr w:val="none" w:sz="0" w:space="0" w:color="auto" w:frame="1"/>
          <w:lang w:val="es-CO"/>
        </w:rPr>
        <w:t>, podrá declararla probada con antelación a la sentencia o, contrario sensu, posponer la decisión hasta cuando se resuelva de fondo el objeto del litigio.</w:t>
      </w:r>
    </w:p>
    <w:p w:rsidR="00DE1872" w:rsidRPr="00B17ACB" w:rsidRDefault="00DE1872" w:rsidP="00DE1872">
      <w:pPr>
        <w:pStyle w:val="Sinespaciado"/>
      </w:pPr>
    </w:p>
    <w:p w:rsidR="00DE1872" w:rsidRPr="00E64037" w:rsidRDefault="00DE1872" w:rsidP="00DE1872">
      <w:pPr>
        <w:shd w:val="clear" w:color="auto" w:fill="FFFFFF" w:themeFill="background1"/>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D</w:t>
      </w:r>
      <w:r w:rsidRPr="004C107A">
        <w:rPr>
          <w:rFonts w:ascii="Tahoma" w:hAnsi="Tahoma" w:cs="Tahoma"/>
          <w:iCs/>
          <w:bdr w:val="none" w:sz="0" w:space="0" w:color="auto" w:frame="1"/>
          <w:lang w:val="es-CO"/>
        </w:rPr>
        <w:t>escendiendo al caso concreto, tenemos que la relación laboral</w:t>
      </w:r>
      <w:r w:rsidRPr="001E3047">
        <w:rPr>
          <w:rFonts w:ascii="Tahoma" w:hAnsi="Tahoma" w:cs="Tahoma"/>
          <w:iCs/>
          <w:bdr w:val="none" w:sz="0" w:space="0" w:color="auto" w:frame="1"/>
          <w:lang w:val="es-CO"/>
        </w:rPr>
        <w:t xml:space="preserve"> </w:t>
      </w:r>
      <w:r>
        <w:rPr>
          <w:rFonts w:ascii="Tahoma" w:hAnsi="Tahoma" w:cs="Tahoma"/>
          <w:iCs/>
          <w:bdr w:val="none" w:sz="0" w:space="0" w:color="auto" w:frame="1"/>
          <w:lang w:val="es-CO"/>
        </w:rPr>
        <w:t>con SALUDCOOP EPS</w:t>
      </w:r>
      <w:r w:rsidRPr="004C107A">
        <w:rPr>
          <w:rFonts w:ascii="Tahoma" w:hAnsi="Tahoma" w:cs="Tahoma"/>
          <w:iCs/>
          <w:bdr w:val="none" w:sz="0" w:space="0" w:color="auto" w:frame="1"/>
          <w:lang w:val="es-CO"/>
        </w:rPr>
        <w:t xml:space="preserve">, según lo planteado </w:t>
      </w:r>
      <w:r>
        <w:rPr>
          <w:rFonts w:ascii="Tahoma" w:hAnsi="Tahoma" w:cs="Tahoma"/>
          <w:iCs/>
          <w:bdr w:val="none" w:sz="0" w:space="0" w:color="auto" w:frame="1"/>
          <w:lang w:val="es-CO"/>
        </w:rPr>
        <w:t>en el líbelo introductor</w:t>
      </w:r>
      <w:r w:rsidRPr="004C107A">
        <w:rPr>
          <w:rFonts w:ascii="Tahoma" w:hAnsi="Tahoma" w:cs="Tahoma"/>
          <w:iCs/>
          <w:bdr w:val="none" w:sz="0" w:space="0" w:color="auto" w:frame="1"/>
          <w:lang w:val="es-CO"/>
        </w:rPr>
        <w:t xml:space="preserve">, </w:t>
      </w:r>
      <w:r>
        <w:rPr>
          <w:rFonts w:ascii="Tahoma" w:hAnsi="Tahoma" w:cs="Tahoma"/>
          <w:iCs/>
          <w:bdr w:val="none" w:sz="0" w:space="0" w:color="auto" w:frame="1"/>
          <w:lang w:val="es-CO"/>
        </w:rPr>
        <w:t>estuvo vigente desde el 12 de julio de 2000 y hasta después de presentar la demanda, y que a partir del</w:t>
      </w:r>
      <w:r w:rsidRPr="004C107A">
        <w:rPr>
          <w:rFonts w:ascii="Tahoma" w:hAnsi="Tahoma" w:cs="Tahoma"/>
          <w:iCs/>
          <w:bdr w:val="none" w:sz="0" w:space="0" w:color="auto" w:frame="1"/>
          <w:lang w:val="es-CO"/>
        </w:rPr>
        <w:t xml:space="preserve"> </w:t>
      </w:r>
      <w:r>
        <w:rPr>
          <w:rFonts w:ascii="Tahoma" w:hAnsi="Tahoma" w:cs="Tahoma"/>
          <w:iCs/>
          <w:bdr w:val="none" w:sz="0" w:space="0" w:color="auto" w:frame="1"/>
          <w:lang w:val="es-CO"/>
        </w:rPr>
        <w:t>1 de noviembre de 2003</w:t>
      </w:r>
      <w:r w:rsidRPr="004C107A">
        <w:rPr>
          <w:rFonts w:ascii="Tahoma" w:hAnsi="Tahoma" w:cs="Tahoma"/>
          <w:iCs/>
          <w:bdr w:val="none" w:sz="0" w:space="0" w:color="auto" w:frame="1"/>
          <w:lang w:val="es-CO"/>
        </w:rPr>
        <w:t xml:space="preserve">, </w:t>
      </w:r>
      <w:r>
        <w:rPr>
          <w:rFonts w:ascii="Tahoma" w:hAnsi="Tahoma" w:cs="Tahoma"/>
          <w:iCs/>
          <w:bdr w:val="none" w:sz="0" w:space="0" w:color="auto" w:frame="1"/>
          <w:lang w:val="es-CO"/>
        </w:rPr>
        <w:t>la INSTITUCIÓN AUXILIAR DE COOPERATIVISMO GPP SERVICIOS INTEGRALES PEREIRA</w:t>
      </w:r>
      <w:r w:rsidRPr="004C107A">
        <w:rPr>
          <w:rFonts w:ascii="Tahoma" w:hAnsi="Tahoma" w:cs="Tahoma"/>
          <w:iCs/>
          <w:bdr w:val="none" w:sz="0" w:space="0" w:color="auto" w:frame="1"/>
          <w:lang w:val="es-CO"/>
        </w:rPr>
        <w:t xml:space="preserve"> (codemandada) supuestamente fungió como simple intermediaria de la misma.</w:t>
      </w:r>
    </w:p>
    <w:p w:rsidR="00DE1872" w:rsidRPr="00F9781E" w:rsidRDefault="00DE1872" w:rsidP="00DE1872">
      <w:pPr>
        <w:pStyle w:val="Sinespaciado"/>
      </w:pPr>
    </w:p>
    <w:p w:rsidR="00DE1872" w:rsidRPr="00303620" w:rsidRDefault="00DE1872" w:rsidP="00DE1872">
      <w:pPr>
        <w:shd w:val="clear" w:color="auto" w:fill="FFFFFF" w:themeFill="background1"/>
        <w:spacing w:line="276" w:lineRule="auto"/>
        <w:ind w:firstLine="708"/>
        <w:jc w:val="both"/>
        <w:rPr>
          <w:rFonts w:ascii="Arial Narrow" w:hAnsi="Arial Narrow"/>
          <w:bCs/>
        </w:rPr>
      </w:pPr>
      <w:r w:rsidRPr="00E64037">
        <w:rPr>
          <w:rFonts w:ascii="Tahoma" w:hAnsi="Tahoma" w:cs="Tahoma"/>
          <w:iCs/>
          <w:bdr w:val="none" w:sz="0" w:space="0" w:color="auto" w:frame="1"/>
          <w:lang w:val="es-CO"/>
        </w:rPr>
        <w:t xml:space="preserve">En ese orden de ideas, se tiene que en el caso de marras la referida excepción fue propuesta conjuntamente como previa y perentoria, motivo por el cual la Jueza debía pronunciarse sobre la misma en la audiencia inicial; empero, no existiendo consenso entre las partes en cuanto a la relación que las unió, la duración y los extremos temporales controvertidos, no era posible que </w:t>
      </w:r>
      <w:r>
        <w:rPr>
          <w:rFonts w:ascii="Tahoma" w:hAnsi="Tahoma" w:cs="Tahoma"/>
          <w:iCs/>
          <w:bdr w:val="none" w:sz="0" w:space="0" w:color="auto" w:frame="1"/>
          <w:lang w:val="es-CO"/>
        </w:rPr>
        <w:t>el medio exceptivo t</w:t>
      </w:r>
      <w:r w:rsidRPr="00E64037">
        <w:rPr>
          <w:rFonts w:ascii="Tahoma" w:hAnsi="Tahoma" w:cs="Tahoma"/>
          <w:iCs/>
          <w:bdr w:val="none" w:sz="0" w:space="0" w:color="auto" w:frame="1"/>
          <w:lang w:val="es-CO"/>
        </w:rPr>
        <w:t xml:space="preserve">uviera vocación de prosperidad como previa, quedando </w:t>
      </w:r>
      <w:r>
        <w:rPr>
          <w:rFonts w:ascii="Tahoma" w:hAnsi="Tahoma" w:cs="Tahoma"/>
          <w:iCs/>
          <w:bdr w:val="none" w:sz="0" w:space="0" w:color="auto" w:frame="1"/>
          <w:lang w:val="es-CO"/>
        </w:rPr>
        <w:t xml:space="preserve">diferida su decisión </w:t>
      </w:r>
      <w:r w:rsidRPr="00E64037">
        <w:rPr>
          <w:rFonts w:ascii="Tahoma" w:hAnsi="Tahoma" w:cs="Tahoma"/>
          <w:iCs/>
          <w:bdr w:val="none" w:sz="0" w:space="0" w:color="auto" w:frame="1"/>
          <w:lang w:val="es-CO"/>
        </w:rPr>
        <w:t>al análisis que en la sentencia se efectuara con base en el material probatorio recaudado, toda vez que como se indicó, también fue propuesta de mérito.</w:t>
      </w:r>
      <w:r>
        <w:rPr>
          <w:rFonts w:ascii="Tahoma" w:hAnsi="Tahoma" w:cs="Tahoma"/>
          <w:iCs/>
          <w:bdr w:val="none" w:sz="0" w:space="0" w:color="auto" w:frame="1"/>
          <w:lang w:val="es-CO"/>
        </w:rPr>
        <w:t xml:space="preserve"> </w:t>
      </w:r>
    </w:p>
    <w:p w:rsidR="00DE1872" w:rsidRPr="00F9781E" w:rsidRDefault="00DE1872" w:rsidP="00DE1872">
      <w:pPr>
        <w:pStyle w:val="Sinespaciado"/>
      </w:pPr>
    </w:p>
    <w:p w:rsidR="00DE1872" w:rsidRDefault="00DE1872" w:rsidP="00DE1872">
      <w:pPr>
        <w:shd w:val="clear" w:color="auto" w:fill="FFFFFF" w:themeFill="background1"/>
        <w:spacing w:line="276" w:lineRule="auto"/>
        <w:ind w:firstLine="708"/>
        <w:jc w:val="both"/>
        <w:rPr>
          <w:rFonts w:ascii="Tahoma" w:hAnsi="Tahoma" w:cs="Tahoma"/>
          <w:iCs/>
          <w:bdr w:val="none" w:sz="0" w:space="0" w:color="auto" w:frame="1"/>
          <w:lang w:val="es-CO"/>
        </w:rPr>
      </w:pPr>
      <w:r w:rsidRPr="006B501A">
        <w:rPr>
          <w:rFonts w:ascii="Tahoma" w:hAnsi="Tahoma" w:cs="Tahoma"/>
          <w:iCs/>
          <w:bdr w:val="none" w:sz="0" w:space="0" w:color="auto" w:frame="1"/>
          <w:lang w:val="es-CO"/>
        </w:rPr>
        <w:t>Así las cosas, la Jueza de primera instancia acertó en su discernimiento en la resolución tanto de la excepción como del recurso, al considerar que no se cumplieron los presupuestos del artículo 32 del Código Procesal del Trabajo para que tuviera vocación de prosperidad la excepción previa de prescripción y, por tanto, debía resolverla de mérito en la sentencia que pusiera fin al proceso</w:t>
      </w:r>
      <w:r>
        <w:rPr>
          <w:rFonts w:ascii="Tahoma" w:hAnsi="Tahoma" w:cs="Tahoma"/>
          <w:iCs/>
          <w:bdr w:val="none" w:sz="0" w:space="0" w:color="auto" w:frame="1"/>
          <w:lang w:val="es-CO"/>
        </w:rPr>
        <w:t>, toda vez que cuando se invoca la aplicación de la primacía de la realidad sobre las formalidades, la exigibilidad de los derechos depende necesariamente de la definición que en la sentencia se haga sobre la relación laboral y por ende, en ese momento y no antes, obedeciendo a la prosperidad o no de las pretensiones o de la acreditación de la sustitución patronal que alega la parte demandada, debe estudiarse el medio extintivo.</w:t>
      </w:r>
    </w:p>
    <w:p w:rsidR="00DE1872" w:rsidRPr="006B501A" w:rsidRDefault="00DE1872" w:rsidP="00DE1872">
      <w:pPr>
        <w:pStyle w:val="Sinespaciado"/>
        <w:rPr>
          <w:bdr w:val="none" w:sz="0" w:space="0" w:color="auto" w:frame="1"/>
          <w:lang w:val="es-CO"/>
        </w:rPr>
      </w:pPr>
    </w:p>
    <w:p w:rsidR="00DE1872" w:rsidRDefault="00DE1872" w:rsidP="00DE1872">
      <w:pPr>
        <w:shd w:val="clear" w:color="auto" w:fill="FFFFFF" w:themeFill="background1"/>
        <w:spacing w:line="276" w:lineRule="auto"/>
        <w:ind w:firstLine="708"/>
        <w:jc w:val="both"/>
        <w:rPr>
          <w:rFonts w:ascii="Tahoma" w:hAnsi="Tahoma" w:cs="Tahoma"/>
          <w:lang w:val="es-CO"/>
        </w:rPr>
      </w:pPr>
      <w:proofErr w:type="spellStart"/>
      <w:r w:rsidRPr="006B501A">
        <w:rPr>
          <w:rFonts w:ascii="Tahoma" w:hAnsi="Tahoma" w:cs="Tahoma"/>
          <w:iCs/>
          <w:bdr w:val="none" w:sz="0" w:space="0" w:color="auto" w:frame="1"/>
          <w:lang w:val="es-CO"/>
        </w:rPr>
        <w:t>Colorario</w:t>
      </w:r>
      <w:proofErr w:type="spellEnd"/>
      <w:r w:rsidRPr="006B501A">
        <w:rPr>
          <w:rFonts w:ascii="Tahoma" w:hAnsi="Tahoma" w:cs="Tahoma"/>
          <w:iCs/>
          <w:bdr w:val="none" w:sz="0" w:space="0" w:color="auto" w:frame="1"/>
          <w:lang w:val="es-CO"/>
        </w:rPr>
        <w:t xml:space="preserve"> de lo anterior, se confirmará la decisión de primera instancia,</w:t>
      </w:r>
      <w:r w:rsidRPr="006B501A">
        <w:rPr>
          <w:rFonts w:ascii="Tahoma" w:hAnsi="Tahoma" w:cs="Tahoma"/>
          <w:lang w:val="es-CO"/>
        </w:rPr>
        <w:t xml:space="preserve"> en el entendido </w:t>
      </w:r>
      <w:r w:rsidR="004125F9">
        <w:rPr>
          <w:rFonts w:ascii="Tahoma" w:hAnsi="Tahoma" w:cs="Tahoma"/>
          <w:lang w:val="es-CO"/>
        </w:rPr>
        <w:t xml:space="preserve">que </w:t>
      </w:r>
      <w:r w:rsidRPr="006B501A">
        <w:rPr>
          <w:rFonts w:ascii="Tahoma" w:hAnsi="Tahoma" w:cs="Tahoma"/>
          <w:lang w:val="es-CO"/>
        </w:rPr>
        <w:t>al declararse no probada la excepción previa de prescripción por no darse los presupuestos del artículo 32 del Código Procesal del Trabajo y de la Seguridad Social, la misma se resolverá en la sentencia que ponga fin al proceso, como quiera que también fue propuesta como perentoria, siendo en esa etapa procesal en donde se deben considerar las pruebas legal y oportunamente allegadas al proceso.</w:t>
      </w:r>
    </w:p>
    <w:p w:rsidR="00DE1872" w:rsidRPr="00DE1872" w:rsidRDefault="00DE1872" w:rsidP="00DE1872">
      <w:pPr>
        <w:pStyle w:val="Sinespaciado"/>
      </w:pPr>
    </w:p>
    <w:p w:rsidR="00DE1872" w:rsidRPr="006B501A" w:rsidRDefault="00DE1872" w:rsidP="00DE1872">
      <w:pPr>
        <w:spacing w:line="276" w:lineRule="auto"/>
        <w:jc w:val="both"/>
        <w:rPr>
          <w:rFonts w:ascii="Tahoma" w:hAnsi="Tahoma" w:cs="Tahoma"/>
          <w:iCs/>
          <w:bdr w:val="none" w:sz="0" w:space="0" w:color="auto" w:frame="1"/>
          <w:lang w:val="es-CO"/>
        </w:rPr>
      </w:pPr>
      <w:r w:rsidRPr="006B501A">
        <w:rPr>
          <w:rFonts w:ascii="Tahoma" w:hAnsi="Tahoma" w:cs="Tahoma"/>
          <w:iCs/>
          <w:bdr w:val="none" w:sz="0" w:space="0" w:color="auto" w:frame="1"/>
          <w:lang w:val="es-CO"/>
        </w:rPr>
        <w:tab/>
        <w:t>Las costas en esta instancia correrán a cargo del recurrente y se liquidarán por la Secretaría del juzgado de origen de conformidad con el artículo 366 del Código General del Proceso.</w:t>
      </w:r>
    </w:p>
    <w:p w:rsidR="00DE1872" w:rsidRPr="00DE1872" w:rsidRDefault="00DE1872" w:rsidP="00DE1872">
      <w:pPr>
        <w:pStyle w:val="Sinespaciado"/>
      </w:pPr>
    </w:p>
    <w:p w:rsidR="00DE1872" w:rsidRPr="006B501A" w:rsidRDefault="00DE1872" w:rsidP="00DE1872">
      <w:pPr>
        <w:shd w:val="clear" w:color="auto" w:fill="FFFFFF" w:themeFill="background1"/>
        <w:spacing w:line="276" w:lineRule="auto"/>
        <w:ind w:firstLine="708"/>
        <w:jc w:val="both"/>
        <w:rPr>
          <w:rFonts w:ascii="Tahoma" w:hAnsi="Tahoma" w:cs="Tahoma"/>
        </w:rPr>
      </w:pPr>
      <w:r w:rsidRPr="006B501A">
        <w:rPr>
          <w:rFonts w:ascii="Tahoma" w:hAnsi="Tahoma" w:cs="Tahoma"/>
        </w:rPr>
        <w:t xml:space="preserve">En </w:t>
      </w:r>
      <w:r w:rsidRPr="006A7E47">
        <w:rPr>
          <w:rFonts w:ascii="Tahoma" w:hAnsi="Tahoma" w:cs="Tahoma"/>
          <w:lang w:val="es-CO"/>
        </w:rPr>
        <w:t>mérito</w:t>
      </w:r>
      <w:r w:rsidRPr="006B501A">
        <w:rPr>
          <w:rFonts w:ascii="Tahoma" w:hAnsi="Tahoma" w:cs="Tahoma"/>
        </w:rPr>
        <w:t xml:space="preserve"> de lo expuesto, la </w:t>
      </w:r>
      <w:r w:rsidRPr="006B501A">
        <w:rPr>
          <w:rFonts w:ascii="Tahoma" w:hAnsi="Tahoma" w:cs="Tahoma"/>
          <w:b/>
        </w:rPr>
        <w:t>Sala de Decisión Laboral del Tribunal Superior de Pereira</w:t>
      </w:r>
      <w:r w:rsidRPr="006B501A">
        <w:rPr>
          <w:rFonts w:ascii="Tahoma" w:hAnsi="Tahoma" w:cs="Tahoma"/>
        </w:rPr>
        <w:t xml:space="preserve">, </w:t>
      </w:r>
    </w:p>
    <w:p w:rsidR="00DE1872" w:rsidRPr="00DE1872" w:rsidRDefault="00DE1872" w:rsidP="00DE1872">
      <w:pPr>
        <w:pStyle w:val="Sinespaciado"/>
      </w:pPr>
    </w:p>
    <w:p w:rsidR="00DE1872" w:rsidRPr="006B501A" w:rsidRDefault="00DE1872" w:rsidP="00DE1872">
      <w:pPr>
        <w:pStyle w:val="Textoindependiente"/>
        <w:shd w:val="clear" w:color="auto" w:fill="FFFFFF" w:themeFill="background1"/>
        <w:spacing w:line="276" w:lineRule="auto"/>
        <w:jc w:val="center"/>
        <w:rPr>
          <w:rFonts w:ascii="Tahoma" w:hAnsi="Tahoma" w:cs="Tahoma"/>
          <w:b/>
          <w:sz w:val="22"/>
          <w:szCs w:val="22"/>
        </w:rPr>
      </w:pPr>
      <w:r w:rsidRPr="006B501A">
        <w:rPr>
          <w:rFonts w:ascii="Tahoma" w:hAnsi="Tahoma" w:cs="Tahoma"/>
          <w:b/>
          <w:sz w:val="22"/>
          <w:szCs w:val="22"/>
        </w:rPr>
        <w:t>RESUELVE</w:t>
      </w:r>
    </w:p>
    <w:p w:rsidR="00DE1872" w:rsidRPr="006B501A" w:rsidRDefault="00DE1872" w:rsidP="00DE1872">
      <w:pPr>
        <w:pStyle w:val="Sinespaciado"/>
        <w:rPr>
          <w:bdr w:val="none" w:sz="0" w:space="0" w:color="auto" w:frame="1"/>
          <w:lang w:val="es-CO"/>
        </w:rPr>
      </w:pPr>
    </w:p>
    <w:p w:rsidR="00DE1872" w:rsidRPr="006B501A" w:rsidRDefault="00DE1872" w:rsidP="00DE1872">
      <w:pPr>
        <w:shd w:val="clear" w:color="auto" w:fill="FFFFFF" w:themeFill="background1"/>
        <w:spacing w:line="276" w:lineRule="auto"/>
        <w:jc w:val="both"/>
        <w:rPr>
          <w:rFonts w:ascii="Tahoma" w:hAnsi="Tahoma" w:cs="Tahoma"/>
          <w:lang w:val="es-CO"/>
        </w:rPr>
      </w:pPr>
      <w:r w:rsidRPr="006B501A">
        <w:rPr>
          <w:rFonts w:ascii="Tahoma" w:hAnsi="Tahoma" w:cs="Tahoma"/>
          <w:lang w:val="es-CO"/>
        </w:rPr>
        <w:tab/>
      </w:r>
      <w:r w:rsidRPr="006B501A">
        <w:rPr>
          <w:rFonts w:ascii="Tahoma" w:hAnsi="Tahoma" w:cs="Tahoma"/>
          <w:b/>
          <w:lang w:val="es-CO"/>
        </w:rPr>
        <w:t>PRIMERO:</w:t>
      </w:r>
      <w:r w:rsidRPr="006B501A">
        <w:rPr>
          <w:rFonts w:ascii="Tahoma" w:hAnsi="Tahoma" w:cs="Tahoma"/>
          <w:lang w:val="es-CO"/>
        </w:rPr>
        <w:t xml:space="preserve"> </w:t>
      </w:r>
      <w:r w:rsidRPr="006B501A">
        <w:rPr>
          <w:rFonts w:ascii="Tahoma" w:hAnsi="Tahoma" w:cs="Tahoma"/>
          <w:b/>
          <w:lang w:val="es-CO"/>
        </w:rPr>
        <w:t>CONFIRMAR</w:t>
      </w:r>
      <w:r>
        <w:rPr>
          <w:rFonts w:ascii="Tahoma" w:hAnsi="Tahoma" w:cs="Tahoma"/>
          <w:lang w:val="es-CO"/>
        </w:rPr>
        <w:t xml:space="preserve"> el auto proferido el 9 de octubre de 2017 por el Juzgado Cuarto Laboral del Circuito,  </w:t>
      </w:r>
      <w:r w:rsidRPr="00E64037">
        <w:rPr>
          <w:rFonts w:ascii="Tahoma" w:hAnsi="Tahoma" w:cs="Tahoma"/>
          <w:spacing w:val="-2"/>
        </w:rPr>
        <w:t xml:space="preserve">dentro del proceso </w:t>
      </w:r>
      <w:r w:rsidRPr="00E64037">
        <w:rPr>
          <w:rFonts w:ascii="Tahoma" w:hAnsi="Tahoma" w:cs="Tahoma"/>
          <w:lang w:val="es-ES_tradnl"/>
        </w:rPr>
        <w:t>ordinario</w:t>
      </w:r>
      <w:r w:rsidRPr="00E64037">
        <w:rPr>
          <w:rFonts w:ascii="Tahoma" w:hAnsi="Tahoma" w:cs="Tahoma"/>
          <w:b/>
          <w:lang w:val="es-ES_tradnl"/>
        </w:rPr>
        <w:t xml:space="preserve"> </w:t>
      </w:r>
      <w:r w:rsidRPr="00E64037">
        <w:rPr>
          <w:rFonts w:ascii="Tahoma" w:hAnsi="Tahoma" w:cs="Tahoma"/>
          <w:lang w:val="es-ES_tradnl"/>
        </w:rPr>
        <w:t xml:space="preserve">laboral adelantado por </w:t>
      </w:r>
      <w:r>
        <w:rPr>
          <w:rFonts w:ascii="Tahoma" w:hAnsi="Tahoma" w:cs="Tahoma"/>
          <w:b/>
          <w:lang w:val="es-CO"/>
        </w:rPr>
        <w:t>LUIS FERNANDO CIRO VILLEGAS</w:t>
      </w:r>
      <w:r w:rsidRPr="00E64037">
        <w:rPr>
          <w:rFonts w:ascii="Tahoma" w:hAnsi="Tahoma" w:cs="Tahoma"/>
          <w:lang w:val="es-CO"/>
        </w:rPr>
        <w:t xml:space="preserve"> en contra de </w:t>
      </w:r>
      <w:r>
        <w:rPr>
          <w:rFonts w:ascii="Tahoma" w:hAnsi="Tahoma" w:cs="Tahoma"/>
          <w:b/>
          <w:lang w:val="es-CO"/>
        </w:rPr>
        <w:t xml:space="preserve">SALUDCOOP OC EN LIQUIDACIÓN- </w:t>
      </w:r>
      <w:r w:rsidRPr="006A7E47">
        <w:rPr>
          <w:rFonts w:ascii="Tahoma" w:hAnsi="Tahoma" w:cs="Tahoma"/>
          <w:lang w:val="es-CO"/>
        </w:rPr>
        <w:t>e</w:t>
      </w:r>
      <w:r>
        <w:rPr>
          <w:rFonts w:ascii="Tahoma" w:hAnsi="Tahoma" w:cs="Tahoma"/>
          <w:b/>
          <w:lang w:val="es-CO"/>
        </w:rPr>
        <w:t xml:space="preserve"> IAC GPP SERVICIOS INTEGRALES PEREIRA</w:t>
      </w:r>
      <w:r w:rsidRPr="00E64037">
        <w:rPr>
          <w:rFonts w:ascii="Tahoma" w:hAnsi="Tahoma" w:cs="Tahoma"/>
          <w:b/>
          <w:lang w:val="es-CO"/>
        </w:rPr>
        <w:t>.</w:t>
      </w:r>
    </w:p>
    <w:p w:rsidR="00DE1872" w:rsidRPr="000F32B0" w:rsidRDefault="00DE1872" w:rsidP="00DE1872">
      <w:pPr>
        <w:pStyle w:val="Sinespaciado"/>
      </w:pPr>
    </w:p>
    <w:p w:rsidR="00DE1872" w:rsidRPr="006B501A" w:rsidRDefault="00DE1872" w:rsidP="00DE1872">
      <w:pPr>
        <w:shd w:val="clear" w:color="auto" w:fill="FFFFFF" w:themeFill="background1"/>
        <w:spacing w:line="276" w:lineRule="auto"/>
        <w:jc w:val="both"/>
        <w:rPr>
          <w:rFonts w:ascii="Tahoma" w:hAnsi="Tahoma" w:cs="Tahoma"/>
        </w:rPr>
      </w:pPr>
      <w:r w:rsidRPr="006B501A">
        <w:rPr>
          <w:rFonts w:ascii="Tahoma" w:hAnsi="Tahoma" w:cs="Tahoma"/>
          <w:lang w:val="es-CO"/>
        </w:rPr>
        <w:tab/>
      </w:r>
      <w:r w:rsidRPr="006B501A">
        <w:rPr>
          <w:rFonts w:ascii="Tahoma" w:hAnsi="Tahoma" w:cs="Tahoma"/>
          <w:b/>
          <w:lang w:val="es-CO"/>
        </w:rPr>
        <w:t>SEGUNDO</w:t>
      </w:r>
      <w:r w:rsidRPr="006B501A">
        <w:rPr>
          <w:rFonts w:ascii="Tahoma" w:hAnsi="Tahoma" w:cs="Tahoma"/>
          <w:lang w:val="es-CO"/>
        </w:rPr>
        <w:t xml:space="preserve">: Costas en esta instancia </w:t>
      </w:r>
      <w:r>
        <w:rPr>
          <w:rFonts w:ascii="Tahoma" w:hAnsi="Tahoma" w:cs="Tahoma"/>
          <w:lang w:val="es-CO"/>
        </w:rPr>
        <w:t>a cargo del recurrente por no haber prosperado el recurso. L</w:t>
      </w:r>
      <w:r w:rsidRPr="006B501A">
        <w:rPr>
          <w:rFonts w:ascii="Tahoma" w:hAnsi="Tahoma" w:cs="Tahoma"/>
          <w:lang w:val="es-CO"/>
        </w:rPr>
        <w:t xml:space="preserve">iquídense por la </w:t>
      </w:r>
      <w:r>
        <w:rPr>
          <w:rFonts w:ascii="Tahoma" w:hAnsi="Tahoma" w:cs="Tahoma"/>
          <w:lang w:val="es-CO"/>
        </w:rPr>
        <w:t>s</w:t>
      </w:r>
      <w:r w:rsidRPr="006B501A">
        <w:rPr>
          <w:rFonts w:ascii="Tahoma" w:hAnsi="Tahoma" w:cs="Tahoma"/>
          <w:lang w:val="es-CO"/>
        </w:rPr>
        <w:t>ecretaría del juzgado de origen</w:t>
      </w:r>
      <w:r>
        <w:rPr>
          <w:rFonts w:ascii="Tahoma" w:hAnsi="Tahoma" w:cs="Tahoma"/>
          <w:lang w:val="es-CO"/>
        </w:rPr>
        <w:t>.</w:t>
      </w:r>
    </w:p>
    <w:p w:rsidR="00DE1872" w:rsidRPr="006B501A" w:rsidRDefault="00DE1872" w:rsidP="00DE1872">
      <w:pPr>
        <w:shd w:val="clear" w:color="auto" w:fill="FFFFFF" w:themeFill="background1"/>
        <w:spacing w:line="276" w:lineRule="auto"/>
        <w:jc w:val="both"/>
        <w:rPr>
          <w:rFonts w:ascii="Tahoma" w:hAnsi="Tahoma" w:cs="Tahoma"/>
          <w:lang w:val="es-CO"/>
        </w:rPr>
      </w:pPr>
    </w:p>
    <w:p w:rsidR="00DE1872" w:rsidRPr="006B501A" w:rsidRDefault="00DE1872" w:rsidP="00DE1872">
      <w:pPr>
        <w:widowControl w:val="0"/>
        <w:autoSpaceDE w:val="0"/>
        <w:autoSpaceDN w:val="0"/>
        <w:adjustRightInd w:val="0"/>
        <w:spacing w:line="276" w:lineRule="auto"/>
        <w:jc w:val="both"/>
        <w:rPr>
          <w:rFonts w:ascii="Tahoma" w:hAnsi="Tahoma" w:cs="Tahoma"/>
          <w:b/>
          <w:bCs/>
        </w:rPr>
      </w:pPr>
      <w:r w:rsidRPr="006B501A">
        <w:rPr>
          <w:rFonts w:ascii="Tahoma" w:hAnsi="Tahoma" w:cs="Tahoma"/>
          <w:lang w:val="es-CO"/>
        </w:rPr>
        <w:tab/>
      </w:r>
      <w:r w:rsidRPr="006B501A">
        <w:rPr>
          <w:rFonts w:ascii="Tahoma" w:hAnsi="Tahoma" w:cs="Tahoma"/>
          <w:b/>
          <w:bCs/>
        </w:rPr>
        <w:t>Notificación surtida en estrados.</w:t>
      </w:r>
    </w:p>
    <w:p w:rsidR="00DE1872" w:rsidRPr="006B501A" w:rsidRDefault="00DE1872" w:rsidP="00DE1872">
      <w:pPr>
        <w:widowControl w:val="0"/>
        <w:autoSpaceDE w:val="0"/>
        <w:autoSpaceDN w:val="0"/>
        <w:adjustRightInd w:val="0"/>
        <w:spacing w:line="276" w:lineRule="auto"/>
        <w:jc w:val="both"/>
        <w:rPr>
          <w:rFonts w:ascii="Tahoma" w:hAnsi="Tahoma" w:cs="Tahoma"/>
          <w:b/>
          <w:bCs/>
        </w:rPr>
      </w:pPr>
    </w:p>
    <w:p w:rsidR="00DE1872" w:rsidRPr="006B501A" w:rsidRDefault="00DE1872" w:rsidP="00DE1872">
      <w:pPr>
        <w:rPr>
          <w:rFonts w:ascii="Tahoma" w:hAnsi="Tahoma" w:cs="Tahoma"/>
          <w:lang w:val="es-CO"/>
        </w:rPr>
      </w:pPr>
      <w:r>
        <w:rPr>
          <w:rFonts w:ascii="Tahoma" w:hAnsi="Tahoma" w:cs="Tahoma"/>
          <w:b/>
        </w:rPr>
        <w:tab/>
      </w:r>
      <w:r w:rsidRPr="006B501A">
        <w:rPr>
          <w:rFonts w:ascii="Tahoma" w:hAnsi="Tahoma" w:cs="Tahoma"/>
          <w:b/>
        </w:rPr>
        <w:t>Cúmplase</w:t>
      </w:r>
      <w:r w:rsidRPr="006B501A">
        <w:rPr>
          <w:rFonts w:ascii="Tahoma" w:hAnsi="Tahoma" w:cs="Tahoma"/>
        </w:rPr>
        <w:t xml:space="preserve"> y </w:t>
      </w:r>
      <w:r w:rsidRPr="006B501A">
        <w:rPr>
          <w:rFonts w:ascii="Tahoma" w:hAnsi="Tahoma" w:cs="Tahoma"/>
          <w:b/>
        </w:rPr>
        <w:t>devuélvase</w:t>
      </w:r>
      <w:r w:rsidRPr="006B501A">
        <w:rPr>
          <w:rFonts w:ascii="Tahoma" w:hAnsi="Tahoma" w:cs="Tahoma"/>
        </w:rPr>
        <w:t xml:space="preserve"> el expediente al Juzgado de origen.</w:t>
      </w:r>
    </w:p>
    <w:p w:rsidR="00DE1872" w:rsidRDefault="00DE1872" w:rsidP="00DE1872">
      <w:pPr>
        <w:rPr>
          <w:rFonts w:ascii="Tahoma" w:hAnsi="Tahoma" w:cs="Tahoma"/>
        </w:rPr>
      </w:pPr>
    </w:p>
    <w:p w:rsidR="00DE1872" w:rsidRPr="000A5B87" w:rsidRDefault="00DE1872" w:rsidP="00DE1872">
      <w:pPr>
        <w:rPr>
          <w:rFonts w:ascii="Tahoma" w:hAnsi="Tahoma" w:cs="Tahoma"/>
        </w:rPr>
      </w:pPr>
      <w:r>
        <w:rPr>
          <w:rFonts w:ascii="Tahoma" w:hAnsi="Tahoma" w:cs="Tahoma"/>
        </w:rPr>
        <w:tab/>
      </w:r>
      <w:r w:rsidRPr="000A5B87">
        <w:rPr>
          <w:rFonts w:ascii="Tahoma" w:hAnsi="Tahoma" w:cs="Tahoma"/>
        </w:rPr>
        <w:t>La Magistrada ponente,</w:t>
      </w:r>
    </w:p>
    <w:p w:rsidR="00DE1872" w:rsidRDefault="00DE1872" w:rsidP="00DE1872">
      <w:pPr>
        <w:rPr>
          <w:rFonts w:ascii="Tahoma" w:hAnsi="Tahoma" w:cs="Tahoma"/>
        </w:rPr>
      </w:pPr>
    </w:p>
    <w:p w:rsidR="00DE1872" w:rsidRDefault="00DE1872" w:rsidP="00DE1872">
      <w:pPr>
        <w:rPr>
          <w:rFonts w:ascii="Tahoma" w:hAnsi="Tahoma" w:cs="Tahoma"/>
        </w:rPr>
      </w:pPr>
    </w:p>
    <w:p w:rsidR="00DE1872" w:rsidRPr="000A5B87" w:rsidRDefault="00DE1872" w:rsidP="00DE1872">
      <w:pPr>
        <w:rPr>
          <w:rFonts w:ascii="Tahoma" w:hAnsi="Tahoma" w:cs="Tahoma"/>
        </w:rPr>
      </w:pPr>
    </w:p>
    <w:p w:rsidR="00DE1872" w:rsidRDefault="00DE1872" w:rsidP="00DE1872">
      <w:pPr>
        <w:rPr>
          <w:rFonts w:ascii="Tahoma" w:hAnsi="Tahoma" w:cs="Tahoma"/>
        </w:rPr>
      </w:pPr>
    </w:p>
    <w:p w:rsidR="00C43209" w:rsidRPr="000A5B87" w:rsidRDefault="00C43209" w:rsidP="00DE1872">
      <w:pPr>
        <w:rPr>
          <w:rFonts w:ascii="Tahoma" w:hAnsi="Tahoma" w:cs="Tahoma"/>
        </w:rPr>
      </w:pPr>
    </w:p>
    <w:p w:rsidR="00DE1872" w:rsidRPr="000A5B87" w:rsidRDefault="00DE1872" w:rsidP="00DE1872">
      <w:pPr>
        <w:jc w:val="center"/>
        <w:rPr>
          <w:rFonts w:ascii="Tahoma" w:hAnsi="Tahoma" w:cs="Tahoma"/>
          <w:b/>
        </w:rPr>
      </w:pPr>
      <w:r w:rsidRPr="000A5B87">
        <w:rPr>
          <w:rFonts w:ascii="Tahoma" w:hAnsi="Tahoma" w:cs="Tahoma"/>
          <w:b/>
        </w:rPr>
        <w:t>ANA LUCÍA CAICEDO CALDERÓN</w:t>
      </w:r>
    </w:p>
    <w:p w:rsidR="00DE1872" w:rsidRPr="000A5B87" w:rsidRDefault="00DE1872" w:rsidP="00DE1872"/>
    <w:p w:rsidR="00DE1872" w:rsidRPr="00E64037" w:rsidRDefault="00DE1872" w:rsidP="00DE1872">
      <w:pPr>
        <w:shd w:val="clear" w:color="auto" w:fill="FFFFFF" w:themeFill="background1"/>
        <w:spacing w:line="276" w:lineRule="auto"/>
        <w:ind w:firstLine="708"/>
        <w:jc w:val="both"/>
        <w:rPr>
          <w:rFonts w:ascii="Tahoma" w:hAnsi="Tahoma" w:cs="Tahoma"/>
        </w:rPr>
      </w:pPr>
      <w:r>
        <w:rPr>
          <w:rFonts w:ascii="Tahoma" w:hAnsi="Tahoma" w:cs="Tahoma"/>
        </w:rPr>
        <w:t>La Magistrada y el Magistrado</w:t>
      </w:r>
      <w:r w:rsidRPr="00E64037">
        <w:rPr>
          <w:rFonts w:ascii="Tahoma" w:hAnsi="Tahoma" w:cs="Tahoma"/>
        </w:rPr>
        <w:t>,</w:t>
      </w:r>
    </w:p>
    <w:p w:rsidR="00DE1872" w:rsidRPr="00E64037" w:rsidRDefault="00DE1872" w:rsidP="00DE1872">
      <w:pPr>
        <w:shd w:val="clear" w:color="auto" w:fill="FFFFFF" w:themeFill="background1"/>
        <w:spacing w:line="276" w:lineRule="auto"/>
        <w:rPr>
          <w:rFonts w:ascii="Tahoma" w:hAnsi="Tahoma" w:cs="Tahoma"/>
          <w:b/>
        </w:rPr>
      </w:pPr>
    </w:p>
    <w:p w:rsidR="00DE1872" w:rsidRPr="00E64037" w:rsidRDefault="00DE1872" w:rsidP="00DE1872">
      <w:pPr>
        <w:shd w:val="clear" w:color="auto" w:fill="FFFFFF" w:themeFill="background1"/>
        <w:spacing w:line="276" w:lineRule="auto"/>
        <w:rPr>
          <w:rFonts w:ascii="Tahoma" w:hAnsi="Tahoma" w:cs="Tahoma"/>
          <w:b/>
        </w:rPr>
      </w:pPr>
    </w:p>
    <w:p w:rsidR="00DE1872" w:rsidRPr="00E64037" w:rsidRDefault="00DE1872" w:rsidP="00DE1872">
      <w:pPr>
        <w:shd w:val="clear" w:color="auto" w:fill="FFFFFF" w:themeFill="background1"/>
        <w:spacing w:line="276" w:lineRule="auto"/>
        <w:rPr>
          <w:rFonts w:ascii="Tahoma" w:hAnsi="Tahoma" w:cs="Tahoma"/>
          <w:b/>
        </w:rPr>
      </w:pPr>
    </w:p>
    <w:p w:rsidR="00DE1872" w:rsidRPr="00E64037" w:rsidRDefault="00DE1872" w:rsidP="00DE1872">
      <w:pPr>
        <w:shd w:val="clear" w:color="auto" w:fill="FFFFFF" w:themeFill="background1"/>
        <w:spacing w:line="276" w:lineRule="auto"/>
        <w:rPr>
          <w:rFonts w:ascii="Tahoma" w:hAnsi="Tahoma" w:cs="Tahoma"/>
          <w:b/>
        </w:rPr>
      </w:pPr>
    </w:p>
    <w:p w:rsidR="00DE1872" w:rsidRDefault="00DE1872" w:rsidP="00DE1872">
      <w:pPr>
        <w:shd w:val="clear" w:color="auto" w:fill="FFFFFF" w:themeFill="background1"/>
        <w:spacing w:line="276" w:lineRule="auto"/>
        <w:rPr>
          <w:rFonts w:ascii="Tahoma" w:hAnsi="Tahoma" w:cs="Tahoma"/>
          <w:b/>
        </w:rPr>
      </w:pPr>
    </w:p>
    <w:p w:rsidR="00DE1872" w:rsidRPr="00E64037" w:rsidRDefault="00DE1872" w:rsidP="00DE1872">
      <w:pPr>
        <w:shd w:val="clear" w:color="auto" w:fill="FFFFFF" w:themeFill="background1"/>
        <w:spacing w:line="276" w:lineRule="auto"/>
        <w:rPr>
          <w:rFonts w:ascii="Tahoma" w:hAnsi="Tahoma" w:cs="Tahoma"/>
          <w:b/>
        </w:rPr>
      </w:pPr>
    </w:p>
    <w:p w:rsidR="00DE1872" w:rsidRPr="00E64037" w:rsidRDefault="00DE1872" w:rsidP="00DE1872">
      <w:pPr>
        <w:shd w:val="clear" w:color="auto" w:fill="FFFFFF" w:themeFill="background1"/>
        <w:spacing w:line="276" w:lineRule="auto"/>
        <w:jc w:val="center"/>
        <w:rPr>
          <w:rFonts w:ascii="Tahoma" w:hAnsi="Tahoma" w:cs="Tahoma"/>
          <w:b/>
        </w:rPr>
      </w:pPr>
      <w:r>
        <w:rPr>
          <w:rFonts w:ascii="Tahoma" w:hAnsi="Tahoma" w:cs="Tahoma"/>
          <w:b/>
        </w:rPr>
        <w:t>OLGA LUCÍA HOYOS SEPULVEDA</w:t>
      </w:r>
      <w:r>
        <w:rPr>
          <w:rFonts w:ascii="Tahoma" w:hAnsi="Tahoma" w:cs="Tahoma"/>
          <w:b/>
        </w:rPr>
        <w:tab/>
      </w:r>
      <w:r>
        <w:rPr>
          <w:rFonts w:ascii="Tahoma" w:hAnsi="Tahoma" w:cs="Tahoma"/>
          <w:b/>
        </w:rPr>
        <w:tab/>
      </w:r>
      <w:r w:rsidRPr="00E64037">
        <w:rPr>
          <w:rFonts w:ascii="Tahoma" w:hAnsi="Tahoma" w:cs="Tahoma"/>
          <w:b/>
        </w:rPr>
        <w:t>JULIO CÉSAR SALAZAR MUÑOZ</w:t>
      </w:r>
      <w:r w:rsidRPr="00E64037">
        <w:rPr>
          <w:rFonts w:ascii="Tahoma" w:hAnsi="Tahoma" w:cs="Tahoma"/>
          <w:b/>
        </w:rPr>
        <w:tab/>
        <w:t xml:space="preserve">       </w:t>
      </w:r>
    </w:p>
    <w:p w:rsidR="00DE1872" w:rsidRPr="00E64037" w:rsidRDefault="00DE1872" w:rsidP="00DE1872">
      <w:pPr>
        <w:shd w:val="clear" w:color="auto" w:fill="FFFFFF" w:themeFill="background1"/>
        <w:spacing w:line="276" w:lineRule="auto"/>
        <w:jc w:val="center"/>
        <w:rPr>
          <w:rFonts w:ascii="Tahoma" w:hAnsi="Tahoma" w:cs="Tahoma"/>
        </w:rPr>
      </w:pPr>
    </w:p>
    <w:p w:rsidR="00DE1872" w:rsidRPr="00E64037" w:rsidRDefault="00DE1872" w:rsidP="00DE1872">
      <w:pPr>
        <w:shd w:val="clear" w:color="auto" w:fill="FFFFFF" w:themeFill="background1"/>
        <w:spacing w:line="276" w:lineRule="auto"/>
        <w:jc w:val="center"/>
        <w:rPr>
          <w:rFonts w:ascii="Tahoma" w:hAnsi="Tahoma" w:cs="Tahoma"/>
        </w:rPr>
      </w:pPr>
    </w:p>
    <w:p w:rsidR="00DE1872" w:rsidRDefault="00DE1872" w:rsidP="00DE1872">
      <w:pPr>
        <w:spacing w:line="276" w:lineRule="auto"/>
        <w:jc w:val="both"/>
        <w:rPr>
          <w:rFonts w:ascii="Tahoma" w:hAnsi="Tahoma" w:cs="Tahoma"/>
          <w:lang w:val="es-CO"/>
        </w:rPr>
      </w:pPr>
    </w:p>
    <w:p w:rsidR="00DE1872" w:rsidRDefault="00DE1872" w:rsidP="00DE1872">
      <w:pPr>
        <w:spacing w:line="276" w:lineRule="auto"/>
        <w:jc w:val="both"/>
        <w:rPr>
          <w:rFonts w:ascii="Tahoma" w:hAnsi="Tahoma" w:cs="Tahoma"/>
          <w:lang w:val="es-CO"/>
        </w:rPr>
      </w:pPr>
    </w:p>
    <w:p w:rsidR="00DE1872" w:rsidRPr="005D6AD1" w:rsidRDefault="00DE1872" w:rsidP="00DE1872">
      <w:pPr>
        <w:spacing w:line="276" w:lineRule="auto"/>
        <w:jc w:val="both"/>
        <w:rPr>
          <w:rFonts w:ascii="Tahoma" w:hAnsi="Tahoma" w:cs="Tahoma"/>
          <w:lang w:val="es-CO"/>
        </w:rPr>
      </w:pPr>
    </w:p>
    <w:p w:rsidR="00136E27" w:rsidRPr="005E55D0" w:rsidRDefault="00136E27" w:rsidP="005E55D0">
      <w:pPr>
        <w:jc w:val="center"/>
        <w:rPr>
          <w:rFonts w:ascii="Tahoma" w:hAnsi="Tahoma" w:cs="Tahoma"/>
          <w:sz w:val="22"/>
          <w:szCs w:val="22"/>
        </w:rPr>
      </w:pPr>
    </w:p>
    <w:sectPr w:rsidR="00136E27" w:rsidRPr="005E55D0" w:rsidSect="000331CF">
      <w:headerReference w:type="even" r:id="rId8"/>
      <w:headerReference w:type="default" r:id="rId9"/>
      <w:footerReference w:type="default" r:id="rId10"/>
      <w:footerReference w:type="first" r:id="rId11"/>
      <w:pgSz w:w="12242" w:h="18722" w:code="14"/>
      <w:pgMar w:top="1814" w:right="1361" w:bottom="1361" w:left="181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2F" w:rsidRDefault="00356F2F" w:rsidP="007D6F84">
      <w:r>
        <w:separator/>
      </w:r>
    </w:p>
  </w:endnote>
  <w:endnote w:type="continuationSeparator" w:id="0">
    <w:p w:rsidR="00356F2F" w:rsidRDefault="00356F2F"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51" w:rsidRPr="0002458E" w:rsidRDefault="00473651">
    <w:pPr>
      <w:pStyle w:val="Piedepgina"/>
      <w:jc w:val="right"/>
    </w:pPr>
    <w:r w:rsidRPr="0002458E">
      <w:fldChar w:fldCharType="begin"/>
    </w:r>
    <w:r w:rsidRPr="0002458E">
      <w:instrText>PAGE   \* MERGEFORMAT</w:instrText>
    </w:r>
    <w:r w:rsidRPr="0002458E">
      <w:fldChar w:fldCharType="separate"/>
    </w:r>
    <w:r w:rsidR="000331CF">
      <w:rPr>
        <w:noProof/>
      </w:rPr>
      <w:t>5</w:t>
    </w:r>
    <w:r w:rsidRPr="000245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51" w:rsidRDefault="00473651">
    <w:pPr>
      <w:pStyle w:val="Piedepgina"/>
      <w:jc w:val="right"/>
    </w:pPr>
    <w:r>
      <w:fldChar w:fldCharType="begin"/>
    </w:r>
    <w:r>
      <w:instrText>PAGE   \* MERGEFORMAT</w:instrText>
    </w:r>
    <w:r>
      <w:fldChar w:fldCharType="separate"/>
    </w:r>
    <w:r w:rsidR="000331CF">
      <w:rPr>
        <w:noProof/>
      </w:rPr>
      <w:t>1</w:t>
    </w:r>
    <w:r>
      <w:fldChar w:fldCharType="end"/>
    </w:r>
  </w:p>
  <w:p w:rsidR="00473651" w:rsidRDefault="004736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2F" w:rsidRDefault="00356F2F" w:rsidP="007D6F84">
      <w:r>
        <w:separator/>
      </w:r>
    </w:p>
  </w:footnote>
  <w:footnote w:type="continuationSeparator" w:id="0">
    <w:p w:rsidR="00356F2F" w:rsidRDefault="00356F2F"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51" w:rsidRDefault="0047365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3651" w:rsidRDefault="004736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872" w:rsidRPr="008975BF" w:rsidRDefault="00DE1872" w:rsidP="00DE1872">
    <w:pPr>
      <w:pStyle w:val="Encabezado"/>
      <w:rPr>
        <w:rFonts w:ascii="Tahoma" w:hAnsi="Tahoma" w:cs="Tahoma"/>
        <w:sz w:val="14"/>
        <w:szCs w:val="14"/>
        <w:lang w:val="es-CO"/>
      </w:rPr>
    </w:pPr>
    <w:r w:rsidRPr="008975BF">
      <w:rPr>
        <w:rFonts w:ascii="Tahoma" w:hAnsi="Tahoma" w:cs="Tahoma"/>
        <w:sz w:val="14"/>
        <w:szCs w:val="14"/>
        <w:lang w:val="es-CO"/>
      </w:rPr>
      <w:t>Radicado No.: 66001-31-05-00</w:t>
    </w:r>
    <w:r>
      <w:rPr>
        <w:rFonts w:ascii="Tahoma" w:hAnsi="Tahoma" w:cs="Tahoma"/>
        <w:sz w:val="14"/>
        <w:szCs w:val="14"/>
        <w:lang w:val="es-CO"/>
      </w:rPr>
      <w:t>4</w:t>
    </w:r>
    <w:r w:rsidRPr="008975BF">
      <w:rPr>
        <w:rFonts w:ascii="Tahoma" w:hAnsi="Tahoma" w:cs="Tahoma"/>
        <w:sz w:val="14"/>
        <w:szCs w:val="14"/>
        <w:lang w:val="es-CO"/>
      </w:rPr>
      <w:t>-201</w:t>
    </w:r>
    <w:r>
      <w:rPr>
        <w:rFonts w:ascii="Tahoma" w:hAnsi="Tahoma" w:cs="Tahoma"/>
        <w:sz w:val="14"/>
        <w:szCs w:val="14"/>
        <w:lang w:val="es-CO"/>
      </w:rPr>
      <w:t>5</w:t>
    </w:r>
    <w:r w:rsidRPr="008975BF">
      <w:rPr>
        <w:rFonts w:ascii="Tahoma" w:hAnsi="Tahoma" w:cs="Tahoma"/>
        <w:sz w:val="14"/>
        <w:szCs w:val="14"/>
        <w:lang w:val="es-CO"/>
      </w:rPr>
      <w:t>-00</w:t>
    </w:r>
    <w:r>
      <w:rPr>
        <w:rFonts w:ascii="Tahoma" w:hAnsi="Tahoma" w:cs="Tahoma"/>
        <w:sz w:val="14"/>
        <w:szCs w:val="14"/>
        <w:lang w:val="es-CO"/>
      </w:rPr>
      <w:t>561</w:t>
    </w:r>
    <w:r w:rsidRPr="008975BF">
      <w:rPr>
        <w:rFonts w:ascii="Tahoma" w:hAnsi="Tahoma" w:cs="Tahoma"/>
        <w:sz w:val="14"/>
        <w:szCs w:val="14"/>
        <w:lang w:val="es-CO"/>
      </w:rPr>
      <w:t>-01</w:t>
    </w:r>
  </w:p>
  <w:p w:rsidR="00DE1872" w:rsidRPr="008975BF" w:rsidRDefault="00DE1872" w:rsidP="00DE1872">
    <w:pPr>
      <w:pStyle w:val="Encabezado"/>
      <w:rPr>
        <w:rFonts w:ascii="Tahoma" w:hAnsi="Tahoma" w:cs="Tahoma"/>
        <w:sz w:val="14"/>
        <w:szCs w:val="14"/>
        <w:lang w:val="es-CO"/>
      </w:rPr>
    </w:pPr>
    <w:r w:rsidRPr="008975BF">
      <w:rPr>
        <w:rFonts w:ascii="Tahoma" w:hAnsi="Tahoma" w:cs="Tahoma"/>
        <w:sz w:val="14"/>
        <w:szCs w:val="14"/>
        <w:lang w:val="es-CO"/>
      </w:rPr>
      <w:t xml:space="preserve">Demandante: </w:t>
    </w:r>
    <w:r>
      <w:rPr>
        <w:rFonts w:ascii="Tahoma" w:hAnsi="Tahoma" w:cs="Tahoma"/>
        <w:sz w:val="14"/>
        <w:szCs w:val="14"/>
        <w:lang w:val="es-CO"/>
      </w:rPr>
      <w:t>Luis Fernando Ciro Villegas</w:t>
    </w:r>
  </w:p>
  <w:p w:rsidR="00DE1872" w:rsidRDefault="00DE1872" w:rsidP="00DE1872">
    <w:pPr>
      <w:pStyle w:val="Encabezado"/>
      <w:rPr>
        <w:rFonts w:ascii="Tahoma" w:hAnsi="Tahoma" w:cs="Tahoma"/>
        <w:sz w:val="14"/>
        <w:szCs w:val="14"/>
        <w:lang w:val="es-CO"/>
      </w:rPr>
    </w:pPr>
    <w:r w:rsidRPr="008975BF">
      <w:rPr>
        <w:rFonts w:ascii="Tahoma" w:hAnsi="Tahoma" w:cs="Tahoma"/>
        <w:sz w:val="14"/>
        <w:szCs w:val="14"/>
        <w:lang w:val="es-CO"/>
      </w:rPr>
      <w:t xml:space="preserve">Demandado: </w:t>
    </w:r>
    <w:r>
      <w:rPr>
        <w:rFonts w:ascii="Tahoma" w:hAnsi="Tahoma" w:cs="Tahoma"/>
        <w:sz w:val="14"/>
        <w:szCs w:val="14"/>
        <w:lang w:val="es-CO"/>
      </w:rPr>
      <w:t>Saludcoop OC en liquidación y otro</w:t>
    </w:r>
  </w:p>
  <w:p w:rsidR="00473651" w:rsidRDefault="00473651"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2"/>
    <w:rsid w:val="00013FAF"/>
    <w:rsid w:val="0002048F"/>
    <w:rsid w:val="0002440F"/>
    <w:rsid w:val="0002461A"/>
    <w:rsid w:val="00025A49"/>
    <w:rsid w:val="00026ECB"/>
    <w:rsid w:val="000331CF"/>
    <w:rsid w:val="00036CE3"/>
    <w:rsid w:val="0004258F"/>
    <w:rsid w:val="00056FC6"/>
    <w:rsid w:val="0006500B"/>
    <w:rsid w:val="00075416"/>
    <w:rsid w:val="000823E9"/>
    <w:rsid w:val="000951AF"/>
    <w:rsid w:val="000A0A21"/>
    <w:rsid w:val="000A292E"/>
    <w:rsid w:val="000A55CD"/>
    <w:rsid w:val="000B00DB"/>
    <w:rsid w:val="000C2813"/>
    <w:rsid w:val="000C5686"/>
    <w:rsid w:val="000C5DD0"/>
    <w:rsid w:val="000C7D02"/>
    <w:rsid w:val="000D0E32"/>
    <w:rsid w:val="000D3061"/>
    <w:rsid w:val="000F00E7"/>
    <w:rsid w:val="000F1DA5"/>
    <w:rsid w:val="00110D43"/>
    <w:rsid w:val="0011532E"/>
    <w:rsid w:val="001155D3"/>
    <w:rsid w:val="0012290C"/>
    <w:rsid w:val="0013229A"/>
    <w:rsid w:val="00134FDF"/>
    <w:rsid w:val="00136E27"/>
    <w:rsid w:val="0015344C"/>
    <w:rsid w:val="00172EB4"/>
    <w:rsid w:val="0017342D"/>
    <w:rsid w:val="00177DC2"/>
    <w:rsid w:val="00180AD0"/>
    <w:rsid w:val="00181647"/>
    <w:rsid w:val="00181F0D"/>
    <w:rsid w:val="00183C09"/>
    <w:rsid w:val="00184A18"/>
    <w:rsid w:val="001B1589"/>
    <w:rsid w:val="001B28EA"/>
    <w:rsid w:val="001B5DD1"/>
    <w:rsid w:val="001B7236"/>
    <w:rsid w:val="001C0DCC"/>
    <w:rsid w:val="001C7D9D"/>
    <w:rsid w:val="001D582E"/>
    <w:rsid w:val="001F4216"/>
    <w:rsid w:val="002001AF"/>
    <w:rsid w:val="00200BEF"/>
    <w:rsid w:val="00224090"/>
    <w:rsid w:val="002309B0"/>
    <w:rsid w:val="00231524"/>
    <w:rsid w:val="00235486"/>
    <w:rsid w:val="002509AC"/>
    <w:rsid w:val="00255B9E"/>
    <w:rsid w:val="00264D7D"/>
    <w:rsid w:val="00275350"/>
    <w:rsid w:val="00286E52"/>
    <w:rsid w:val="00293155"/>
    <w:rsid w:val="00293552"/>
    <w:rsid w:val="0029673A"/>
    <w:rsid w:val="00297759"/>
    <w:rsid w:val="002C36A6"/>
    <w:rsid w:val="002D1603"/>
    <w:rsid w:val="002E15C2"/>
    <w:rsid w:val="002E6C47"/>
    <w:rsid w:val="002F3864"/>
    <w:rsid w:val="002F3CC2"/>
    <w:rsid w:val="0031434F"/>
    <w:rsid w:val="00317B91"/>
    <w:rsid w:val="00320248"/>
    <w:rsid w:val="003311BE"/>
    <w:rsid w:val="00341A64"/>
    <w:rsid w:val="003523FD"/>
    <w:rsid w:val="00354420"/>
    <w:rsid w:val="00356F2F"/>
    <w:rsid w:val="00363674"/>
    <w:rsid w:val="0036533E"/>
    <w:rsid w:val="00384720"/>
    <w:rsid w:val="003C2446"/>
    <w:rsid w:val="003C4774"/>
    <w:rsid w:val="003D1A43"/>
    <w:rsid w:val="003E3463"/>
    <w:rsid w:val="003E4A0C"/>
    <w:rsid w:val="003F4758"/>
    <w:rsid w:val="003F629F"/>
    <w:rsid w:val="00403DDB"/>
    <w:rsid w:val="00403F4D"/>
    <w:rsid w:val="004125F9"/>
    <w:rsid w:val="00412B9F"/>
    <w:rsid w:val="00414418"/>
    <w:rsid w:val="004207F0"/>
    <w:rsid w:val="00430805"/>
    <w:rsid w:val="00453817"/>
    <w:rsid w:val="00455F65"/>
    <w:rsid w:val="0046005F"/>
    <w:rsid w:val="004634AA"/>
    <w:rsid w:val="00473651"/>
    <w:rsid w:val="0048245A"/>
    <w:rsid w:val="00494D7D"/>
    <w:rsid w:val="004A6D02"/>
    <w:rsid w:val="004B2319"/>
    <w:rsid w:val="004B2AA7"/>
    <w:rsid w:val="004B36A5"/>
    <w:rsid w:val="004C4949"/>
    <w:rsid w:val="004C7BE6"/>
    <w:rsid w:val="004D12D5"/>
    <w:rsid w:val="004E08D0"/>
    <w:rsid w:val="004E0BDC"/>
    <w:rsid w:val="004F5CC4"/>
    <w:rsid w:val="004F67C3"/>
    <w:rsid w:val="004F7362"/>
    <w:rsid w:val="00511743"/>
    <w:rsid w:val="00523B27"/>
    <w:rsid w:val="005555D3"/>
    <w:rsid w:val="005603BD"/>
    <w:rsid w:val="005653A9"/>
    <w:rsid w:val="0056640A"/>
    <w:rsid w:val="00567AAB"/>
    <w:rsid w:val="005773AF"/>
    <w:rsid w:val="0057766C"/>
    <w:rsid w:val="00586BC0"/>
    <w:rsid w:val="005E55D0"/>
    <w:rsid w:val="005F361D"/>
    <w:rsid w:val="005F4F1A"/>
    <w:rsid w:val="005F53B8"/>
    <w:rsid w:val="0060793D"/>
    <w:rsid w:val="00616BA0"/>
    <w:rsid w:val="00650F4A"/>
    <w:rsid w:val="00651751"/>
    <w:rsid w:val="0065237B"/>
    <w:rsid w:val="00662E04"/>
    <w:rsid w:val="00671B3C"/>
    <w:rsid w:val="00672053"/>
    <w:rsid w:val="006912E8"/>
    <w:rsid w:val="0069328B"/>
    <w:rsid w:val="006B1F2E"/>
    <w:rsid w:val="006B3582"/>
    <w:rsid w:val="006C0461"/>
    <w:rsid w:val="006D6778"/>
    <w:rsid w:val="006E399E"/>
    <w:rsid w:val="006F3D09"/>
    <w:rsid w:val="006F7B92"/>
    <w:rsid w:val="007072DA"/>
    <w:rsid w:val="007236B0"/>
    <w:rsid w:val="00727D3B"/>
    <w:rsid w:val="00741B3D"/>
    <w:rsid w:val="007534AF"/>
    <w:rsid w:val="00755B6B"/>
    <w:rsid w:val="007615C4"/>
    <w:rsid w:val="007670A7"/>
    <w:rsid w:val="00797045"/>
    <w:rsid w:val="007A137D"/>
    <w:rsid w:val="007A4D2D"/>
    <w:rsid w:val="007B3FF0"/>
    <w:rsid w:val="007B7EF4"/>
    <w:rsid w:val="007C0598"/>
    <w:rsid w:val="007D68A4"/>
    <w:rsid w:val="007D6F84"/>
    <w:rsid w:val="007F0F24"/>
    <w:rsid w:val="007F7C19"/>
    <w:rsid w:val="0080390E"/>
    <w:rsid w:val="00821A7B"/>
    <w:rsid w:val="00827620"/>
    <w:rsid w:val="00832DD3"/>
    <w:rsid w:val="00835233"/>
    <w:rsid w:val="00846ED5"/>
    <w:rsid w:val="008579C3"/>
    <w:rsid w:val="00860EDC"/>
    <w:rsid w:val="00866E18"/>
    <w:rsid w:val="00895EB3"/>
    <w:rsid w:val="008C50A5"/>
    <w:rsid w:val="008E2A82"/>
    <w:rsid w:val="0090415C"/>
    <w:rsid w:val="00904802"/>
    <w:rsid w:val="00912557"/>
    <w:rsid w:val="00914B96"/>
    <w:rsid w:val="0092218C"/>
    <w:rsid w:val="009437E3"/>
    <w:rsid w:val="0095300F"/>
    <w:rsid w:val="009571C8"/>
    <w:rsid w:val="00962566"/>
    <w:rsid w:val="009747A3"/>
    <w:rsid w:val="009815D7"/>
    <w:rsid w:val="00983F09"/>
    <w:rsid w:val="00992B67"/>
    <w:rsid w:val="009B360A"/>
    <w:rsid w:val="009C6197"/>
    <w:rsid w:val="009E1635"/>
    <w:rsid w:val="009E4F7B"/>
    <w:rsid w:val="009F375F"/>
    <w:rsid w:val="009F69A2"/>
    <w:rsid w:val="00A0036F"/>
    <w:rsid w:val="00A032B1"/>
    <w:rsid w:val="00A12F7A"/>
    <w:rsid w:val="00A169A8"/>
    <w:rsid w:val="00A177EC"/>
    <w:rsid w:val="00A25648"/>
    <w:rsid w:val="00A270C3"/>
    <w:rsid w:val="00A35ABF"/>
    <w:rsid w:val="00A67935"/>
    <w:rsid w:val="00A923C7"/>
    <w:rsid w:val="00AA466D"/>
    <w:rsid w:val="00AC28DD"/>
    <w:rsid w:val="00AC3374"/>
    <w:rsid w:val="00B006A4"/>
    <w:rsid w:val="00B043E5"/>
    <w:rsid w:val="00B15C37"/>
    <w:rsid w:val="00B2184D"/>
    <w:rsid w:val="00B253D1"/>
    <w:rsid w:val="00B25C08"/>
    <w:rsid w:val="00B40B07"/>
    <w:rsid w:val="00B4162F"/>
    <w:rsid w:val="00B5350A"/>
    <w:rsid w:val="00B62040"/>
    <w:rsid w:val="00B75AF1"/>
    <w:rsid w:val="00B77CC7"/>
    <w:rsid w:val="00B968C9"/>
    <w:rsid w:val="00B96AAD"/>
    <w:rsid w:val="00BA0763"/>
    <w:rsid w:val="00BB0417"/>
    <w:rsid w:val="00BB7C3D"/>
    <w:rsid w:val="00BC3D48"/>
    <w:rsid w:val="00BC6A82"/>
    <w:rsid w:val="00BD0B11"/>
    <w:rsid w:val="00BD54B2"/>
    <w:rsid w:val="00BD68C9"/>
    <w:rsid w:val="00BE0564"/>
    <w:rsid w:val="00C253D3"/>
    <w:rsid w:val="00C3599F"/>
    <w:rsid w:val="00C401F0"/>
    <w:rsid w:val="00C424FA"/>
    <w:rsid w:val="00C43209"/>
    <w:rsid w:val="00C63E08"/>
    <w:rsid w:val="00C64F58"/>
    <w:rsid w:val="00C65FFF"/>
    <w:rsid w:val="00C81288"/>
    <w:rsid w:val="00C92391"/>
    <w:rsid w:val="00CA482A"/>
    <w:rsid w:val="00CA6482"/>
    <w:rsid w:val="00CB1860"/>
    <w:rsid w:val="00CB336E"/>
    <w:rsid w:val="00CC6353"/>
    <w:rsid w:val="00CD0F5B"/>
    <w:rsid w:val="00CD296F"/>
    <w:rsid w:val="00CD420F"/>
    <w:rsid w:val="00CE6268"/>
    <w:rsid w:val="00CE6C97"/>
    <w:rsid w:val="00D06704"/>
    <w:rsid w:val="00D25D05"/>
    <w:rsid w:val="00D311F3"/>
    <w:rsid w:val="00D365EB"/>
    <w:rsid w:val="00D46AC9"/>
    <w:rsid w:val="00D70014"/>
    <w:rsid w:val="00D8506F"/>
    <w:rsid w:val="00D94A90"/>
    <w:rsid w:val="00DA3E64"/>
    <w:rsid w:val="00DA5DDC"/>
    <w:rsid w:val="00DB2F72"/>
    <w:rsid w:val="00DB77F4"/>
    <w:rsid w:val="00DD3D3C"/>
    <w:rsid w:val="00DD6148"/>
    <w:rsid w:val="00DD763F"/>
    <w:rsid w:val="00DE1872"/>
    <w:rsid w:val="00DE208C"/>
    <w:rsid w:val="00DE657E"/>
    <w:rsid w:val="00E02EB0"/>
    <w:rsid w:val="00E20F03"/>
    <w:rsid w:val="00E352E6"/>
    <w:rsid w:val="00E53C12"/>
    <w:rsid w:val="00E556F9"/>
    <w:rsid w:val="00E67507"/>
    <w:rsid w:val="00E77F15"/>
    <w:rsid w:val="00E915B3"/>
    <w:rsid w:val="00EA16FD"/>
    <w:rsid w:val="00EB198D"/>
    <w:rsid w:val="00EC4F88"/>
    <w:rsid w:val="00EC7568"/>
    <w:rsid w:val="00ED1DC2"/>
    <w:rsid w:val="00ED455B"/>
    <w:rsid w:val="00ED7FFD"/>
    <w:rsid w:val="00EE200A"/>
    <w:rsid w:val="00EE5D7C"/>
    <w:rsid w:val="00EE76C4"/>
    <w:rsid w:val="00EF2717"/>
    <w:rsid w:val="00EF44F3"/>
    <w:rsid w:val="00F12A26"/>
    <w:rsid w:val="00F15787"/>
    <w:rsid w:val="00F216FA"/>
    <w:rsid w:val="00F219DF"/>
    <w:rsid w:val="00F21B70"/>
    <w:rsid w:val="00F24609"/>
    <w:rsid w:val="00F32976"/>
    <w:rsid w:val="00F4402B"/>
    <w:rsid w:val="00F4686D"/>
    <w:rsid w:val="00F47B05"/>
    <w:rsid w:val="00F57184"/>
    <w:rsid w:val="00F6562C"/>
    <w:rsid w:val="00F72F55"/>
    <w:rsid w:val="00FC045B"/>
    <w:rsid w:val="00FD1016"/>
    <w:rsid w:val="00FD25FF"/>
    <w:rsid w:val="00FE0B8E"/>
    <w:rsid w:val="00FE2955"/>
    <w:rsid w:val="00FE2AD1"/>
    <w:rsid w:val="00FE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21FE5-7C9E-4939-A9A3-A84EEA9C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D3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uiPriority w:val="99"/>
    <w:rsid w:val="004F7362"/>
    <w:pPr>
      <w:tabs>
        <w:tab w:val="center" w:pos="4419"/>
        <w:tab w:val="right" w:pos="8838"/>
      </w:tabs>
    </w:pPr>
  </w:style>
  <w:style w:type="character" w:customStyle="1" w:styleId="EncabezadoCar">
    <w:name w:val="Encabezado Car"/>
    <w:basedOn w:val="Fuentedeprrafopredeter"/>
    <w:link w:val="Encabezado"/>
    <w:uiPriority w:val="99"/>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character" w:customStyle="1" w:styleId="Ttulo1Car">
    <w:name w:val="Título 1 Car"/>
    <w:basedOn w:val="Fuentedeprrafopredeter"/>
    <w:link w:val="Ttulo1"/>
    <w:uiPriority w:val="9"/>
    <w:rsid w:val="00DD3D3C"/>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0F14-7CA2-4C7E-9B0C-8B3ED367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1692</Words>
  <Characters>9309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4</cp:revision>
  <cp:lastPrinted>2018-09-10T18:44:00Z</cp:lastPrinted>
  <dcterms:created xsi:type="dcterms:W3CDTF">2018-10-12T13:49:00Z</dcterms:created>
  <dcterms:modified xsi:type="dcterms:W3CDTF">2018-12-05T16:55:00Z</dcterms:modified>
</cp:coreProperties>
</file>