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2F" w:rsidRPr="000C5AA2" w:rsidRDefault="005B412F" w:rsidP="005B412F">
      <w:pPr>
        <w:pBdr>
          <w:top w:val="single" w:sz="4" w:space="2" w:color="auto"/>
          <w:left w:val="single" w:sz="4" w:space="4" w:color="auto"/>
          <w:bottom w:val="single" w:sz="4" w:space="1" w:color="auto"/>
          <w:right w:val="single" w:sz="4" w:space="5" w:color="auto"/>
        </w:pBdr>
        <w:shd w:val="clear" w:color="auto" w:fill="FFFFFF"/>
        <w:spacing w:line="240" w:lineRule="auto"/>
        <w:jc w:val="both"/>
        <w:rPr>
          <w:rFonts w:ascii="Arial" w:eastAsia="Calibri" w:hAnsi="Arial" w:cs="Arial"/>
          <w:color w:val="FF0000"/>
          <w:spacing w:val="-4"/>
          <w:sz w:val="18"/>
          <w:szCs w:val="18"/>
          <w:lang w:eastAsia="fr-FR"/>
        </w:rPr>
      </w:pPr>
      <w:bookmarkStart w:id="0" w:name="_GoBack"/>
      <w:bookmarkEnd w:id="0"/>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5B412F" w:rsidRPr="000C5AA2" w:rsidRDefault="005B412F" w:rsidP="005B412F">
      <w:pPr>
        <w:pStyle w:val="Sinespaciado"/>
        <w:jc w:val="both"/>
        <w:rPr>
          <w:rFonts w:ascii="Arial" w:eastAsia="Calibri" w:hAnsi="Arial" w:cs="Arial"/>
          <w:sz w:val="20"/>
          <w:szCs w:val="18"/>
        </w:rPr>
      </w:pPr>
    </w:p>
    <w:p w:rsidR="00FD2C9B" w:rsidRPr="005B412F" w:rsidRDefault="00FD2C9B" w:rsidP="005B412F">
      <w:pPr>
        <w:pStyle w:val="Sinespaciado"/>
        <w:jc w:val="both"/>
        <w:rPr>
          <w:rFonts w:ascii="Arial" w:eastAsia="Calibri" w:hAnsi="Arial" w:cs="Arial"/>
          <w:sz w:val="20"/>
          <w:szCs w:val="18"/>
        </w:rPr>
      </w:pPr>
      <w:r w:rsidRPr="005B412F">
        <w:rPr>
          <w:rFonts w:ascii="Arial" w:eastAsia="Calibri" w:hAnsi="Arial" w:cs="Arial"/>
          <w:sz w:val="20"/>
          <w:szCs w:val="18"/>
        </w:rPr>
        <w:t>Providencia</w:t>
      </w:r>
      <w:r w:rsidRPr="005B412F">
        <w:rPr>
          <w:rFonts w:ascii="Arial" w:eastAsia="Calibri" w:hAnsi="Arial" w:cs="Arial"/>
          <w:sz w:val="20"/>
          <w:szCs w:val="18"/>
        </w:rPr>
        <w:tab/>
        <w:t xml:space="preserve">: </w:t>
      </w:r>
      <w:r w:rsidR="005910C6" w:rsidRPr="005B412F">
        <w:rPr>
          <w:rFonts w:ascii="Arial" w:eastAsia="Calibri" w:hAnsi="Arial" w:cs="Arial"/>
          <w:sz w:val="20"/>
          <w:szCs w:val="18"/>
        </w:rPr>
        <w:t>Auto del 30</w:t>
      </w:r>
      <w:r w:rsidRPr="005B412F">
        <w:rPr>
          <w:rFonts w:ascii="Arial" w:eastAsia="Calibri" w:hAnsi="Arial" w:cs="Arial"/>
          <w:sz w:val="20"/>
          <w:szCs w:val="18"/>
        </w:rPr>
        <w:t xml:space="preserve"> de noviembre de 2018</w:t>
      </w:r>
    </w:p>
    <w:p w:rsidR="00FD2C9B" w:rsidRPr="005B412F" w:rsidRDefault="00FD2C9B" w:rsidP="005B412F">
      <w:pPr>
        <w:pStyle w:val="Sinespaciado"/>
        <w:jc w:val="both"/>
        <w:rPr>
          <w:rFonts w:ascii="Arial" w:eastAsia="Calibri" w:hAnsi="Arial" w:cs="Arial"/>
          <w:sz w:val="20"/>
          <w:szCs w:val="18"/>
        </w:rPr>
      </w:pPr>
      <w:r w:rsidRPr="005B412F">
        <w:rPr>
          <w:rFonts w:ascii="Arial" w:eastAsia="Calibri" w:hAnsi="Arial" w:cs="Arial"/>
          <w:sz w:val="20"/>
          <w:szCs w:val="18"/>
        </w:rPr>
        <w:t>R</w:t>
      </w:r>
      <w:r w:rsidR="005910C6" w:rsidRPr="005B412F">
        <w:rPr>
          <w:rFonts w:ascii="Arial" w:eastAsia="Calibri" w:hAnsi="Arial" w:cs="Arial"/>
          <w:sz w:val="20"/>
          <w:szCs w:val="18"/>
        </w:rPr>
        <w:t xml:space="preserve">adicación No. </w:t>
      </w:r>
      <w:r w:rsidR="005910C6" w:rsidRPr="005B412F">
        <w:rPr>
          <w:rFonts w:ascii="Arial" w:eastAsia="Calibri" w:hAnsi="Arial" w:cs="Arial"/>
          <w:sz w:val="20"/>
          <w:szCs w:val="18"/>
        </w:rPr>
        <w:tab/>
        <w:t>: 66001-31-05-005-2017-00105</w:t>
      </w:r>
      <w:r w:rsidRPr="005B412F">
        <w:rPr>
          <w:rFonts w:ascii="Arial" w:eastAsia="Calibri" w:hAnsi="Arial" w:cs="Arial"/>
          <w:sz w:val="20"/>
          <w:szCs w:val="18"/>
        </w:rPr>
        <w:t>-01</w:t>
      </w:r>
    </w:p>
    <w:p w:rsidR="00FD2C9B" w:rsidRPr="005B412F" w:rsidRDefault="00FD2C9B" w:rsidP="005B412F">
      <w:pPr>
        <w:pStyle w:val="Sinespaciado"/>
        <w:jc w:val="both"/>
        <w:rPr>
          <w:rFonts w:ascii="Arial" w:eastAsia="Calibri" w:hAnsi="Arial" w:cs="Arial"/>
          <w:sz w:val="20"/>
          <w:szCs w:val="18"/>
        </w:rPr>
      </w:pPr>
      <w:r w:rsidRPr="005B412F">
        <w:rPr>
          <w:rFonts w:ascii="Arial" w:eastAsia="Calibri" w:hAnsi="Arial" w:cs="Arial"/>
          <w:sz w:val="20"/>
          <w:szCs w:val="18"/>
        </w:rPr>
        <w:t>Proceso</w:t>
      </w:r>
      <w:r w:rsidRPr="005B412F">
        <w:rPr>
          <w:rFonts w:ascii="Arial" w:eastAsia="Calibri" w:hAnsi="Arial" w:cs="Arial"/>
          <w:sz w:val="20"/>
          <w:szCs w:val="18"/>
        </w:rPr>
        <w:tab/>
        <w:t>: Ordinario Laboral</w:t>
      </w:r>
    </w:p>
    <w:p w:rsidR="00FD2C9B" w:rsidRPr="005B412F" w:rsidRDefault="005910C6" w:rsidP="005B412F">
      <w:pPr>
        <w:pStyle w:val="Sinespaciado"/>
        <w:jc w:val="both"/>
        <w:rPr>
          <w:rFonts w:ascii="Arial" w:eastAsia="Calibri" w:hAnsi="Arial" w:cs="Arial"/>
          <w:sz w:val="20"/>
          <w:szCs w:val="18"/>
        </w:rPr>
      </w:pPr>
      <w:r w:rsidRPr="005B412F">
        <w:rPr>
          <w:rFonts w:ascii="Arial" w:eastAsia="Calibri" w:hAnsi="Arial" w:cs="Arial"/>
          <w:sz w:val="20"/>
          <w:szCs w:val="18"/>
        </w:rPr>
        <w:t>Demandante</w:t>
      </w:r>
      <w:r w:rsidRPr="005B412F">
        <w:rPr>
          <w:rFonts w:ascii="Arial" w:eastAsia="Calibri" w:hAnsi="Arial" w:cs="Arial"/>
          <w:sz w:val="20"/>
          <w:szCs w:val="18"/>
        </w:rPr>
        <w:tab/>
        <w:t>: Vilma Ofir Quintero Rendón</w:t>
      </w:r>
      <w:r w:rsidR="00FD2C9B" w:rsidRPr="005B412F">
        <w:rPr>
          <w:rFonts w:ascii="Arial" w:eastAsia="Calibri" w:hAnsi="Arial" w:cs="Arial"/>
          <w:sz w:val="20"/>
          <w:szCs w:val="18"/>
        </w:rPr>
        <w:t xml:space="preserve">  </w:t>
      </w:r>
    </w:p>
    <w:p w:rsidR="00FD2C9B" w:rsidRPr="005B412F" w:rsidRDefault="00FD2C9B" w:rsidP="005B412F">
      <w:pPr>
        <w:pStyle w:val="Sinespaciado"/>
        <w:jc w:val="both"/>
        <w:rPr>
          <w:rFonts w:ascii="Arial" w:eastAsia="Calibri" w:hAnsi="Arial" w:cs="Arial"/>
          <w:sz w:val="20"/>
          <w:szCs w:val="18"/>
        </w:rPr>
      </w:pPr>
      <w:r w:rsidRPr="005B412F">
        <w:rPr>
          <w:rFonts w:ascii="Arial" w:eastAsia="Calibri" w:hAnsi="Arial" w:cs="Arial"/>
          <w:sz w:val="20"/>
          <w:szCs w:val="18"/>
        </w:rPr>
        <w:t>Demandado</w:t>
      </w:r>
      <w:r w:rsidRPr="005B412F">
        <w:rPr>
          <w:rFonts w:ascii="Arial" w:eastAsia="Calibri" w:hAnsi="Arial" w:cs="Arial"/>
          <w:sz w:val="20"/>
          <w:szCs w:val="18"/>
        </w:rPr>
        <w:tab/>
        <w:t xml:space="preserve">: AFP </w:t>
      </w:r>
      <w:r w:rsidR="005910C6" w:rsidRPr="005B412F">
        <w:rPr>
          <w:rFonts w:ascii="Arial" w:eastAsia="Calibri" w:hAnsi="Arial" w:cs="Arial"/>
          <w:sz w:val="20"/>
          <w:szCs w:val="18"/>
        </w:rPr>
        <w:t>Porvenir S.A. y otros</w:t>
      </w:r>
    </w:p>
    <w:p w:rsidR="00FD2C9B" w:rsidRPr="005B412F" w:rsidRDefault="005910C6" w:rsidP="005B412F">
      <w:pPr>
        <w:pStyle w:val="Sinespaciado"/>
        <w:jc w:val="both"/>
        <w:rPr>
          <w:rFonts w:ascii="Arial" w:eastAsia="Calibri" w:hAnsi="Arial" w:cs="Arial"/>
          <w:sz w:val="20"/>
          <w:szCs w:val="18"/>
        </w:rPr>
      </w:pPr>
      <w:r w:rsidRPr="005B412F">
        <w:rPr>
          <w:rFonts w:ascii="Arial" w:eastAsia="Calibri" w:hAnsi="Arial" w:cs="Arial"/>
          <w:sz w:val="20"/>
          <w:szCs w:val="18"/>
        </w:rPr>
        <w:t>Juzgado</w:t>
      </w:r>
      <w:r w:rsidRPr="005B412F">
        <w:rPr>
          <w:rFonts w:ascii="Arial" w:eastAsia="Calibri" w:hAnsi="Arial" w:cs="Arial"/>
          <w:sz w:val="20"/>
          <w:szCs w:val="18"/>
        </w:rPr>
        <w:tab/>
        <w:t>: Juzgado Quinto</w:t>
      </w:r>
      <w:r w:rsidR="00FD2C9B" w:rsidRPr="005B412F">
        <w:rPr>
          <w:rFonts w:ascii="Arial" w:eastAsia="Calibri" w:hAnsi="Arial" w:cs="Arial"/>
          <w:sz w:val="20"/>
          <w:szCs w:val="18"/>
        </w:rPr>
        <w:t xml:space="preserve"> Laboral del Circuito de Pereira</w:t>
      </w:r>
    </w:p>
    <w:p w:rsidR="005B412F" w:rsidRPr="005B412F" w:rsidRDefault="005B412F" w:rsidP="005B412F">
      <w:pPr>
        <w:pStyle w:val="Sinespaciado"/>
        <w:jc w:val="both"/>
        <w:rPr>
          <w:rFonts w:ascii="Arial" w:eastAsia="Calibri" w:hAnsi="Arial" w:cs="Arial"/>
          <w:sz w:val="20"/>
          <w:szCs w:val="18"/>
        </w:rPr>
      </w:pPr>
    </w:p>
    <w:p w:rsidR="0099237A" w:rsidRDefault="005B412F" w:rsidP="005B412F">
      <w:pPr>
        <w:pStyle w:val="Sinespaciado"/>
        <w:jc w:val="both"/>
        <w:rPr>
          <w:rFonts w:ascii="Arial" w:eastAsia="Calibri" w:hAnsi="Arial" w:cs="Arial"/>
          <w:b/>
          <w:sz w:val="20"/>
          <w:szCs w:val="18"/>
        </w:rPr>
      </w:pPr>
      <w:r w:rsidRPr="005B412F">
        <w:rPr>
          <w:rFonts w:ascii="Arial" w:eastAsia="Calibri" w:hAnsi="Arial" w:cs="Arial"/>
          <w:b/>
          <w:sz w:val="20"/>
          <w:szCs w:val="18"/>
        </w:rPr>
        <w:t>TEMAS</w:t>
      </w:r>
      <w:r w:rsidR="00FD2C9B" w:rsidRPr="005B412F">
        <w:rPr>
          <w:rFonts w:ascii="Arial" w:eastAsia="Calibri" w:hAnsi="Arial" w:cs="Arial"/>
          <w:b/>
          <w:sz w:val="20"/>
          <w:szCs w:val="18"/>
        </w:rPr>
        <w:tab/>
        <w:t>:</w:t>
      </w:r>
      <w:r>
        <w:rPr>
          <w:rFonts w:ascii="Arial" w:eastAsia="Calibri" w:hAnsi="Arial" w:cs="Arial"/>
          <w:sz w:val="20"/>
          <w:szCs w:val="18"/>
        </w:rPr>
        <w:tab/>
      </w:r>
      <w:r w:rsidR="0099237A">
        <w:rPr>
          <w:rFonts w:ascii="Arial" w:eastAsia="Calibri" w:hAnsi="Arial" w:cs="Arial"/>
          <w:b/>
          <w:sz w:val="20"/>
          <w:szCs w:val="18"/>
        </w:rPr>
        <w:t>REFORMA A LA DEMANDA</w:t>
      </w:r>
      <w:r w:rsidR="0060008C">
        <w:rPr>
          <w:rFonts w:ascii="Arial" w:eastAsia="Calibri" w:hAnsi="Arial" w:cs="Arial"/>
          <w:b/>
          <w:sz w:val="20"/>
          <w:szCs w:val="18"/>
        </w:rPr>
        <w:t xml:space="preserve"> / FINALIDAD / CÓMPUTO DEL TÉRMINO PARA HACERLO EN CASO DE VINCULACIÓN DE UN NUEVO DEMANDADO AL PROCESO.</w:t>
      </w:r>
    </w:p>
    <w:p w:rsidR="0099237A" w:rsidRDefault="0099237A" w:rsidP="005B412F">
      <w:pPr>
        <w:pStyle w:val="Sinespaciado"/>
        <w:jc w:val="both"/>
        <w:rPr>
          <w:rFonts w:ascii="Arial" w:eastAsia="Calibri" w:hAnsi="Arial" w:cs="Arial"/>
          <w:sz w:val="20"/>
          <w:szCs w:val="18"/>
        </w:rPr>
      </w:pPr>
    </w:p>
    <w:p w:rsidR="0060008C" w:rsidRPr="0060008C" w:rsidRDefault="0060008C" w:rsidP="0060008C">
      <w:pPr>
        <w:pStyle w:val="Sinespaciado"/>
        <w:jc w:val="both"/>
        <w:rPr>
          <w:rFonts w:ascii="Arial" w:eastAsia="Calibri" w:hAnsi="Arial" w:cs="Arial"/>
          <w:sz w:val="20"/>
          <w:szCs w:val="18"/>
        </w:rPr>
      </w:pPr>
      <w:r w:rsidRPr="0060008C">
        <w:rPr>
          <w:rFonts w:ascii="Arial" w:eastAsia="Calibri" w:hAnsi="Arial" w:cs="Arial"/>
          <w:sz w:val="20"/>
          <w:szCs w:val="18"/>
        </w:rPr>
        <w:t>“(…) Respecto a la oportunidad que ofrece el artículo 28 del CPT y SS para reformar la demanda, basta un simple vistazo para concluir que el querer del legislador fue el de brindar al actor una término de cinco (5) días a partir del conocimiento que adquiera de la respuesta que a esta ofrezca el demandado. Es decir, su finalidad no es otra que permitir al demandante que con el conocimiento de la defensa utilizada por el demandado, si lo considera necesario, proceda a adecuar y precisar los aspectos que considere necesario modificar o adicionar en orden a dejar convenientemente planteado su reclamo. Aparece obvio entonces que si vence ese término una vez contestada la demanda, sin que se haga uso del mismo, fenece su posibilidad de utilización. Pero nótese que si por decisión del Juzgado, se procede a vincular a un nuevo demandado y este opta por dar respuesta al líbelo, el motivo que tuvo en cuenta el legislador para permitir reformar la demanda reaparece, pues conforme a la nueva contestación, es probable que el actor requiera hacer precisiones, modificaciones o adecuaciones a su escrito inicial, en orden a dejar debidamente planteado el debate jurídico</w:t>
      </w:r>
      <w:r>
        <w:rPr>
          <w:rFonts w:ascii="Arial" w:eastAsia="Calibri" w:hAnsi="Arial" w:cs="Arial"/>
          <w:sz w:val="20"/>
          <w:szCs w:val="18"/>
        </w:rPr>
        <w:t>”</w:t>
      </w:r>
      <w:r w:rsidRPr="0060008C">
        <w:rPr>
          <w:rFonts w:ascii="Arial" w:eastAsia="Calibri" w:hAnsi="Arial" w:cs="Arial"/>
          <w:sz w:val="20"/>
          <w:szCs w:val="18"/>
        </w:rPr>
        <w:t>.</w:t>
      </w:r>
    </w:p>
    <w:p w:rsidR="0060008C" w:rsidRDefault="0060008C" w:rsidP="005B412F">
      <w:pPr>
        <w:pStyle w:val="Sinespaciado"/>
        <w:jc w:val="both"/>
        <w:rPr>
          <w:rFonts w:ascii="Arial" w:eastAsia="Calibri" w:hAnsi="Arial" w:cs="Arial"/>
          <w:sz w:val="20"/>
          <w:szCs w:val="18"/>
        </w:rPr>
      </w:pPr>
    </w:p>
    <w:p w:rsidR="0060008C" w:rsidRPr="0099237A" w:rsidRDefault="0060008C" w:rsidP="005B412F">
      <w:pPr>
        <w:pStyle w:val="Sinespaciado"/>
        <w:jc w:val="both"/>
        <w:rPr>
          <w:rFonts w:ascii="Arial" w:eastAsia="Calibri" w:hAnsi="Arial" w:cs="Arial"/>
          <w:sz w:val="20"/>
          <w:szCs w:val="18"/>
        </w:rPr>
      </w:pPr>
    </w:p>
    <w:p w:rsidR="005B412F" w:rsidRPr="005B412F" w:rsidRDefault="005B412F" w:rsidP="005B412F">
      <w:pPr>
        <w:pStyle w:val="Sinespaciado"/>
        <w:jc w:val="both"/>
        <w:rPr>
          <w:rFonts w:ascii="Arial" w:eastAsia="Calibri" w:hAnsi="Arial" w:cs="Arial"/>
          <w:sz w:val="20"/>
          <w:szCs w:val="18"/>
        </w:rPr>
      </w:pPr>
    </w:p>
    <w:p w:rsidR="00FD2C9B" w:rsidRPr="0006335A" w:rsidRDefault="00FD2C9B" w:rsidP="005B412F">
      <w:pPr>
        <w:pStyle w:val="Ttulo4"/>
        <w:widowControl w:val="0"/>
        <w:tabs>
          <w:tab w:val="left" w:pos="708"/>
        </w:tabs>
        <w:spacing w:before="0" w:line="288"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TRIBUNAL SUPERIOR DEL DISTRITO JUDICIAL DE PEREIRA</w:t>
      </w:r>
    </w:p>
    <w:p w:rsidR="00FD2C9B" w:rsidRDefault="00FD2C9B" w:rsidP="005B412F">
      <w:pPr>
        <w:pStyle w:val="Ttulo4"/>
        <w:widowControl w:val="0"/>
        <w:tabs>
          <w:tab w:val="left" w:pos="708"/>
        </w:tabs>
        <w:spacing w:before="0" w:line="288" w:lineRule="auto"/>
        <w:jc w:val="center"/>
        <w:rPr>
          <w:rFonts w:ascii="Tahoma" w:hAnsi="Tahoma" w:cs="Tahoma"/>
          <w:b/>
          <w:bCs/>
          <w:i w:val="0"/>
          <w:color w:val="auto"/>
          <w:sz w:val="24"/>
          <w:szCs w:val="24"/>
          <w:lang w:eastAsia="es-MX"/>
        </w:rPr>
      </w:pPr>
      <w:r w:rsidRPr="0006335A">
        <w:rPr>
          <w:rFonts w:ascii="Tahoma" w:hAnsi="Tahoma" w:cs="Tahoma"/>
          <w:b/>
          <w:bCs/>
          <w:i w:val="0"/>
          <w:color w:val="auto"/>
          <w:sz w:val="24"/>
          <w:szCs w:val="24"/>
          <w:lang w:eastAsia="es-MX"/>
        </w:rPr>
        <w:t>SALA LABORAL</w:t>
      </w:r>
    </w:p>
    <w:p w:rsidR="00FD2C9B" w:rsidRPr="0006335A" w:rsidRDefault="00FD2C9B" w:rsidP="005B412F">
      <w:pPr>
        <w:spacing w:line="288" w:lineRule="auto"/>
        <w:rPr>
          <w:lang w:eastAsia="es-MX"/>
        </w:rPr>
      </w:pPr>
    </w:p>
    <w:p w:rsidR="00FD2C9B" w:rsidRPr="0006335A" w:rsidRDefault="00FD2C9B" w:rsidP="005B412F">
      <w:pPr>
        <w:spacing w:line="288" w:lineRule="auto"/>
        <w:jc w:val="center"/>
        <w:rPr>
          <w:rFonts w:ascii="Tahoma" w:hAnsi="Tahoma" w:cs="Tahoma"/>
          <w:b/>
          <w:bCs/>
          <w:sz w:val="24"/>
          <w:szCs w:val="24"/>
        </w:rPr>
      </w:pPr>
      <w:r w:rsidRPr="0006335A">
        <w:rPr>
          <w:rFonts w:ascii="Tahoma" w:hAnsi="Tahoma" w:cs="Tahoma"/>
          <w:bCs/>
          <w:sz w:val="24"/>
          <w:szCs w:val="24"/>
        </w:rPr>
        <w:t>Magistrada Ponente:</w:t>
      </w:r>
      <w:r w:rsidRPr="0006335A">
        <w:rPr>
          <w:rFonts w:ascii="Tahoma" w:hAnsi="Tahoma" w:cs="Tahoma"/>
          <w:b/>
          <w:bCs/>
          <w:sz w:val="24"/>
          <w:szCs w:val="24"/>
        </w:rPr>
        <w:t xml:space="preserve"> ANA LUCÍA CAICEDO CALDERÓN</w:t>
      </w:r>
    </w:p>
    <w:p w:rsidR="00FD2C9B" w:rsidRDefault="00FD2C9B" w:rsidP="005B412F">
      <w:pPr>
        <w:spacing w:line="288" w:lineRule="auto"/>
        <w:jc w:val="center"/>
        <w:rPr>
          <w:rFonts w:ascii="Tahoma" w:hAnsi="Tahoma" w:cs="Tahoma"/>
          <w:b/>
          <w:sz w:val="24"/>
          <w:szCs w:val="24"/>
        </w:rPr>
      </w:pPr>
    </w:p>
    <w:p w:rsidR="00FD2C9B" w:rsidRPr="0006335A" w:rsidRDefault="00FD2C9B" w:rsidP="005B412F">
      <w:pPr>
        <w:spacing w:line="288" w:lineRule="auto"/>
        <w:jc w:val="center"/>
        <w:rPr>
          <w:rFonts w:ascii="Tahoma" w:hAnsi="Tahoma" w:cs="Tahoma"/>
          <w:b/>
          <w:sz w:val="24"/>
          <w:szCs w:val="24"/>
        </w:rPr>
      </w:pPr>
      <w:r w:rsidRPr="0006335A">
        <w:rPr>
          <w:rFonts w:ascii="Tahoma" w:hAnsi="Tahoma" w:cs="Tahoma"/>
          <w:b/>
          <w:sz w:val="24"/>
          <w:szCs w:val="24"/>
        </w:rPr>
        <w:t>ACTA No. ______</w:t>
      </w:r>
    </w:p>
    <w:p w:rsidR="00FD2C9B" w:rsidRPr="0006335A" w:rsidRDefault="00D941CD" w:rsidP="005B412F">
      <w:pPr>
        <w:spacing w:line="288" w:lineRule="auto"/>
        <w:jc w:val="center"/>
        <w:rPr>
          <w:rFonts w:ascii="Tahoma" w:hAnsi="Tahoma" w:cs="Tahoma"/>
          <w:b/>
          <w:sz w:val="24"/>
          <w:szCs w:val="24"/>
        </w:rPr>
      </w:pPr>
      <w:r>
        <w:rPr>
          <w:rFonts w:ascii="Tahoma" w:hAnsi="Tahoma" w:cs="Tahoma"/>
          <w:b/>
          <w:sz w:val="24"/>
          <w:szCs w:val="24"/>
        </w:rPr>
        <w:t>(Noviembre 30</w:t>
      </w:r>
      <w:r w:rsidR="00725140">
        <w:rPr>
          <w:rFonts w:ascii="Tahoma" w:hAnsi="Tahoma" w:cs="Tahoma"/>
          <w:b/>
          <w:sz w:val="24"/>
          <w:szCs w:val="24"/>
        </w:rPr>
        <w:t xml:space="preserve"> de 2018</w:t>
      </w:r>
      <w:r w:rsidR="00FD2C9B" w:rsidRPr="0006335A">
        <w:rPr>
          <w:rFonts w:ascii="Tahoma" w:hAnsi="Tahoma" w:cs="Tahoma"/>
          <w:b/>
          <w:sz w:val="24"/>
          <w:szCs w:val="24"/>
        </w:rPr>
        <w:t>)</w:t>
      </w:r>
    </w:p>
    <w:p w:rsidR="00FD2C9B" w:rsidRDefault="00FD2C9B" w:rsidP="005B412F">
      <w:pPr>
        <w:spacing w:line="288" w:lineRule="auto"/>
        <w:jc w:val="both"/>
        <w:rPr>
          <w:rFonts w:ascii="Tahoma" w:hAnsi="Tahoma" w:cs="Tahoma"/>
          <w:b/>
        </w:rPr>
      </w:pPr>
      <w:r>
        <w:rPr>
          <w:rFonts w:ascii="Tahoma" w:hAnsi="Tahoma" w:cs="Tahoma"/>
          <w:b/>
        </w:rPr>
        <w:tab/>
      </w:r>
    </w:p>
    <w:p w:rsidR="00FD2C9B" w:rsidRPr="00CB5376" w:rsidRDefault="00FD2C9B" w:rsidP="005B412F">
      <w:pPr>
        <w:widowControl w:val="0"/>
        <w:autoSpaceDE w:val="0"/>
        <w:autoSpaceDN w:val="0"/>
        <w:adjustRightInd w:val="0"/>
        <w:spacing w:line="288" w:lineRule="auto"/>
        <w:ind w:firstLine="1080"/>
        <w:jc w:val="both"/>
        <w:rPr>
          <w:rFonts w:ascii="Tahoma" w:hAnsi="Tahoma" w:cs="Tahoma"/>
          <w:sz w:val="24"/>
          <w:szCs w:val="24"/>
          <w:lang w:val="es-ES_tradnl"/>
        </w:rPr>
      </w:pPr>
      <w:r w:rsidRPr="0006335A">
        <w:rPr>
          <w:rFonts w:ascii="Tahoma" w:hAnsi="Tahoma" w:cs="Tahoma"/>
          <w:sz w:val="24"/>
          <w:szCs w:val="24"/>
        </w:rPr>
        <w:t xml:space="preserve">En la fecha, </w:t>
      </w:r>
      <w:r w:rsidRPr="0006335A">
        <w:rPr>
          <w:rFonts w:ascii="Tahoma" w:hAnsi="Tahoma" w:cs="Tahoma"/>
          <w:spacing w:val="-2"/>
          <w:sz w:val="24"/>
          <w:szCs w:val="24"/>
        </w:rPr>
        <w:t>la Sala</w:t>
      </w:r>
      <w:r>
        <w:rPr>
          <w:rFonts w:ascii="Tahoma" w:hAnsi="Tahoma" w:cs="Tahoma"/>
          <w:spacing w:val="-2"/>
          <w:sz w:val="24"/>
          <w:szCs w:val="24"/>
        </w:rPr>
        <w:t xml:space="preserve"> No. 1</w:t>
      </w:r>
      <w:r w:rsidRPr="0006335A">
        <w:rPr>
          <w:rFonts w:ascii="Tahoma" w:hAnsi="Tahoma" w:cs="Tahoma"/>
          <w:spacing w:val="-2"/>
          <w:sz w:val="24"/>
          <w:szCs w:val="24"/>
        </w:rPr>
        <w:t xml:space="preserve"> de Decisión Laboral del Tribunal Superior de Pereira, procede a </w:t>
      </w:r>
      <w:r w:rsidRPr="0006335A">
        <w:rPr>
          <w:rFonts w:ascii="Tahoma" w:hAnsi="Tahoma" w:cs="Tahoma"/>
          <w:sz w:val="24"/>
          <w:szCs w:val="24"/>
        </w:rPr>
        <w:t xml:space="preserve">decidir el recurso de </w:t>
      </w:r>
      <w:r w:rsidRPr="0006335A">
        <w:rPr>
          <w:rFonts w:ascii="Tahoma" w:hAnsi="Tahoma" w:cs="Tahoma"/>
          <w:spacing w:val="-2"/>
          <w:sz w:val="24"/>
          <w:szCs w:val="24"/>
        </w:rPr>
        <w:t xml:space="preserve">apelación presentado dentro del proceso </w:t>
      </w:r>
      <w:r w:rsidRPr="005630D4">
        <w:rPr>
          <w:rFonts w:ascii="Tahoma" w:hAnsi="Tahoma" w:cs="Tahoma"/>
          <w:sz w:val="24"/>
          <w:szCs w:val="24"/>
          <w:lang w:val="es-ES_tradnl"/>
        </w:rPr>
        <w:t>Ordinario Laboral de la referencia.</w:t>
      </w:r>
      <w:r w:rsidR="00CB5376">
        <w:rPr>
          <w:rFonts w:ascii="Tahoma" w:hAnsi="Tahoma" w:cs="Tahoma"/>
          <w:sz w:val="24"/>
          <w:szCs w:val="24"/>
          <w:lang w:val="es-ES_tradnl"/>
        </w:rPr>
        <w:t xml:space="preserve"> </w:t>
      </w:r>
      <w:r w:rsidRPr="0006335A">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06335A">
        <w:rPr>
          <w:rFonts w:ascii="Tahoma" w:hAnsi="Tahoma" w:cs="Tahoma"/>
          <w:b/>
          <w:sz w:val="24"/>
          <w:szCs w:val="24"/>
          <w:lang w:val="es-ES_tradnl"/>
        </w:rPr>
        <w:t>auto interlocutorio</w:t>
      </w:r>
      <w:r w:rsidRPr="0006335A">
        <w:rPr>
          <w:rFonts w:ascii="Tahoma" w:hAnsi="Tahoma" w:cs="Tahoma"/>
          <w:sz w:val="24"/>
          <w:szCs w:val="24"/>
        </w:rPr>
        <w:t>:</w:t>
      </w:r>
    </w:p>
    <w:p w:rsidR="00FD2C9B" w:rsidRDefault="00FD2C9B" w:rsidP="005B412F">
      <w:pPr>
        <w:tabs>
          <w:tab w:val="left" w:pos="1590"/>
        </w:tabs>
        <w:spacing w:line="288" w:lineRule="auto"/>
        <w:rPr>
          <w:rFonts w:ascii="Tahoma" w:hAnsi="Tahoma" w:cs="Tahoma"/>
          <w:b/>
          <w:sz w:val="24"/>
          <w:szCs w:val="24"/>
          <w:lang w:val="es-CO"/>
        </w:rPr>
      </w:pPr>
      <w:r>
        <w:rPr>
          <w:rFonts w:ascii="Tahoma" w:hAnsi="Tahoma" w:cs="Tahoma"/>
          <w:b/>
          <w:sz w:val="24"/>
          <w:szCs w:val="24"/>
          <w:lang w:val="es-CO"/>
        </w:rPr>
        <w:tab/>
      </w:r>
    </w:p>
    <w:p w:rsidR="00FD2C9B" w:rsidRPr="00DB6EBA" w:rsidRDefault="00725140" w:rsidP="005B412F">
      <w:pPr>
        <w:pStyle w:val="Prrafodelista"/>
        <w:spacing w:line="288" w:lineRule="auto"/>
        <w:ind w:left="0"/>
        <w:jc w:val="center"/>
        <w:rPr>
          <w:rFonts w:ascii="Tahoma" w:hAnsi="Tahoma" w:cs="Tahoma"/>
          <w:b/>
          <w:sz w:val="24"/>
          <w:szCs w:val="24"/>
          <w:lang w:val="es-CO"/>
        </w:rPr>
      </w:pPr>
      <w:r>
        <w:rPr>
          <w:rFonts w:ascii="Tahoma" w:hAnsi="Tahoma" w:cs="Tahoma"/>
          <w:b/>
          <w:sz w:val="24"/>
          <w:szCs w:val="24"/>
          <w:lang w:val="es-CO"/>
        </w:rPr>
        <w:t xml:space="preserve">I - </w:t>
      </w:r>
      <w:r w:rsidR="00FD2C9B" w:rsidRPr="00DB6EBA">
        <w:rPr>
          <w:rFonts w:ascii="Tahoma" w:hAnsi="Tahoma" w:cs="Tahoma"/>
          <w:b/>
          <w:sz w:val="24"/>
          <w:szCs w:val="24"/>
          <w:lang w:val="es-CO"/>
        </w:rPr>
        <w:t>ANTECEDENTES PROCESALES</w:t>
      </w:r>
    </w:p>
    <w:p w:rsidR="00FD2C9B" w:rsidRDefault="00FD2C9B" w:rsidP="005B412F">
      <w:pPr>
        <w:spacing w:line="288" w:lineRule="auto"/>
        <w:jc w:val="both"/>
        <w:rPr>
          <w:lang w:val="es-CO"/>
        </w:rPr>
      </w:pPr>
    </w:p>
    <w:p w:rsidR="00FD2C9B" w:rsidRDefault="00FD2C9B" w:rsidP="005B412F">
      <w:pPr>
        <w:spacing w:line="288" w:lineRule="auto"/>
        <w:ind w:firstLine="708"/>
        <w:jc w:val="both"/>
        <w:rPr>
          <w:rFonts w:ascii="Tahoma" w:hAnsi="Tahoma" w:cs="Tahoma"/>
          <w:sz w:val="24"/>
          <w:szCs w:val="24"/>
          <w:lang w:val="es-CO"/>
        </w:rPr>
      </w:pPr>
      <w:r w:rsidRPr="00FD2C9B">
        <w:rPr>
          <w:rFonts w:ascii="Tahoma" w:hAnsi="Tahoma" w:cs="Tahoma"/>
          <w:b/>
          <w:sz w:val="24"/>
          <w:szCs w:val="24"/>
          <w:lang w:val="es-CO"/>
        </w:rPr>
        <w:t>1)</w:t>
      </w:r>
      <w:r>
        <w:rPr>
          <w:rFonts w:ascii="Tahoma" w:hAnsi="Tahoma" w:cs="Tahoma"/>
          <w:sz w:val="24"/>
          <w:szCs w:val="24"/>
          <w:lang w:val="es-CO"/>
        </w:rPr>
        <w:t xml:space="preserve"> Transcurrido</w:t>
      </w:r>
      <w:r w:rsidR="005910C6">
        <w:rPr>
          <w:rFonts w:ascii="Tahoma" w:hAnsi="Tahoma" w:cs="Tahoma"/>
          <w:sz w:val="24"/>
          <w:szCs w:val="24"/>
          <w:lang w:val="es-CO"/>
        </w:rPr>
        <w:t>s más de diez (10) meses</w:t>
      </w:r>
      <w:r>
        <w:rPr>
          <w:rFonts w:ascii="Tahoma" w:hAnsi="Tahoma" w:cs="Tahoma"/>
          <w:sz w:val="24"/>
          <w:szCs w:val="24"/>
          <w:lang w:val="es-CO"/>
        </w:rPr>
        <w:t xml:space="preserve"> desde el vencimiento del término de traslado para contestar la demanda por la última de las entidades</w:t>
      </w:r>
      <w:r w:rsidR="005910C6">
        <w:rPr>
          <w:rFonts w:ascii="Tahoma" w:hAnsi="Tahoma" w:cs="Tahoma"/>
          <w:sz w:val="24"/>
          <w:szCs w:val="24"/>
          <w:lang w:val="es-CO"/>
        </w:rPr>
        <w:t xml:space="preserve"> inicialmente</w:t>
      </w:r>
      <w:r>
        <w:rPr>
          <w:rFonts w:ascii="Tahoma" w:hAnsi="Tahoma" w:cs="Tahoma"/>
          <w:sz w:val="24"/>
          <w:szCs w:val="24"/>
          <w:lang w:val="es-CO"/>
        </w:rPr>
        <w:t xml:space="preserve"> demandadas por la señora </w:t>
      </w:r>
      <w:r w:rsidR="005910C6">
        <w:rPr>
          <w:rFonts w:ascii="Tahoma" w:hAnsi="Tahoma" w:cs="Tahoma"/>
          <w:sz w:val="24"/>
          <w:szCs w:val="24"/>
          <w:lang w:val="es-CO"/>
        </w:rPr>
        <w:t>VILMA OFIR QUINTERO RENDÓN</w:t>
      </w:r>
      <w:r w:rsidR="005910C6">
        <w:rPr>
          <w:rStyle w:val="Refdenotaalpie"/>
          <w:rFonts w:ascii="Tahoma" w:hAnsi="Tahoma" w:cs="Tahoma"/>
          <w:sz w:val="24"/>
          <w:szCs w:val="24"/>
          <w:lang w:val="es-CO"/>
        </w:rPr>
        <w:footnoteReference w:id="1"/>
      </w:r>
      <w:r>
        <w:rPr>
          <w:rFonts w:ascii="Tahoma" w:hAnsi="Tahoma" w:cs="Tahoma"/>
          <w:sz w:val="24"/>
          <w:szCs w:val="24"/>
          <w:lang w:val="es-CO"/>
        </w:rPr>
        <w:t>, el juzgado de primera instancia en este asunto ordenó integrar el contradictorio con el Fondo de Pensiones y Cesantías P</w:t>
      </w:r>
      <w:r w:rsidR="005910C6">
        <w:rPr>
          <w:rFonts w:ascii="Tahoma" w:hAnsi="Tahoma" w:cs="Tahoma"/>
          <w:sz w:val="24"/>
          <w:szCs w:val="24"/>
          <w:lang w:val="es-CO"/>
        </w:rPr>
        <w:t xml:space="preserve">ROTECCIÓN </w:t>
      </w:r>
      <w:r>
        <w:rPr>
          <w:rFonts w:ascii="Tahoma" w:hAnsi="Tahoma" w:cs="Tahoma"/>
          <w:sz w:val="24"/>
          <w:szCs w:val="24"/>
          <w:lang w:val="es-CO"/>
        </w:rPr>
        <w:t>S.A. como litisconsorte de la parte pasiva de la relació</w:t>
      </w:r>
      <w:r w:rsidR="005910C6">
        <w:rPr>
          <w:rFonts w:ascii="Tahoma" w:hAnsi="Tahoma" w:cs="Tahoma"/>
          <w:sz w:val="24"/>
          <w:szCs w:val="24"/>
          <w:lang w:val="es-CO"/>
        </w:rPr>
        <w:t>n jurídico-procesal (Auto del 06 de marzo de 2018, Fl. 254</w:t>
      </w:r>
      <w:r>
        <w:rPr>
          <w:rFonts w:ascii="Tahoma" w:hAnsi="Tahoma" w:cs="Tahoma"/>
          <w:sz w:val="24"/>
          <w:szCs w:val="24"/>
          <w:lang w:val="es-CO"/>
        </w:rPr>
        <w:t>).</w:t>
      </w:r>
    </w:p>
    <w:p w:rsidR="00FD2C9B" w:rsidRPr="00021D1F" w:rsidRDefault="00FD2C9B" w:rsidP="005B412F">
      <w:pPr>
        <w:spacing w:line="288" w:lineRule="auto"/>
        <w:ind w:firstLine="708"/>
        <w:jc w:val="both"/>
        <w:rPr>
          <w:rFonts w:ascii="Tahoma" w:hAnsi="Tahoma" w:cs="Tahoma"/>
          <w:sz w:val="20"/>
          <w:szCs w:val="20"/>
          <w:lang w:val="es-CO"/>
        </w:rPr>
      </w:pPr>
    </w:p>
    <w:p w:rsidR="00FD2C9B" w:rsidRDefault="00FD2C9B" w:rsidP="005B412F">
      <w:pPr>
        <w:spacing w:line="288" w:lineRule="auto"/>
        <w:ind w:firstLine="708"/>
        <w:jc w:val="both"/>
        <w:rPr>
          <w:rFonts w:ascii="Tahoma" w:hAnsi="Tahoma" w:cs="Tahoma"/>
          <w:sz w:val="24"/>
          <w:szCs w:val="24"/>
          <w:lang w:val="es-CO"/>
        </w:rPr>
      </w:pPr>
      <w:r w:rsidRPr="00FD2C9B">
        <w:rPr>
          <w:rFonts w:ascii="Tahoma" w:hAnsi="Tahoma" w:cs="Tahoma"/>
          <w:b/>
          <w:sz w:val="24"/>
          <w:szCs w:val="24"/>
          <w:lang w:val="es-CO"/>
        </w:rPr>
        <w:lastRenderedPageBreak/>
        <w:t>2)</w:t>
      </w:r>
      <w:r>
        <w:rPr>
          <w:rFonts w:ascii="Tahoma" w:hAnsi="Tahoma" w:cs="Tahoma"/>
          <w:sz w:val="24"/>
          <w:szCs w:val="24"/>
          <w:lang w:val="es-CO"/>
        </w:rPr>
        <w:t xml:space="preserve"> Notificado dicho fondo</w:t>
      </w:r>
      <w:r w:rsidR="005910C6">
        <w:rPr>
          <w:rStyle w:val="Refdenotaalpie"/>
          <w:rFonts w:ascii="Tahoma" w:hAnsi="Tahoma" w:cs="Tahoma"/>
          <w:sz w:val="24"/>
          <w:szCs w:val="24"/>
          <w:lang w:val="es-CO"/>
        </w:rPr>
        <w:footnoteReference w:id="2"/>
      </w:r>
      <w:r>
        <w:rPr>
          <w:rFonts w:ascii="Tahoma" w:hAnsi="Tahoma" w:cs="Tahoma"/>
          <w:sz w:val="24"/>
          <w:szCs w:val="24"/>
          <w:lang w:val="es-CO"/>
        </w:rPr>
        <w:t>, presentó oportunamente contestación</w:t>
      </w:r>
      <w:r w:rsidR="005910C6">
        <w:rPr>
          <w:rFonts w:ascii="Tahoma" w:hAnsi="Tahoma" w:cs="Tahoma"/>
          <w:sz w:val="24"/>
          <w:szCs w:val="24"/>
          <w:lang w:val="es-CO"/>
        </w:rPr>
        <w:t xml:space="preserve"> a la demanda el 7 de junio</w:t>
      </w:r>
      <w:r>
        <w:rPr>
          <w:rFonts w:ascii="Tahoma" w:hAnsi="Tahoma" w:cs="Tahoma"/>
          <w:sz w:val="24"/>
          <w:szCs w:val="24"/>
          <w:lang w:val="es-CO"/>
        </w:rPr>
        <w:t xml:space="preserve"> de 2018, tal como </w:t>
      </w:r>
      <w:r w:rsidR="005910C6">
        <w:rPr>
          <w:rFonts w:ascii="Tahoma" w:hAnsi="Tahoma" w:cs="Tahoma"/>
          <w:sz w:val="24"/>
          <w:szCs w:val="24"/>
          <w:lang w:val="es-CO"/>
        </w:rPr>
        <w:t>puede apreciarse en el folio 277</w:t>
      </w:r>
      <w:r>
        <w:rPr>
          <w:rFonts w:ascii="Tahoma" w:hAnsi="Tahoma" w:cs="Tahoma"/>
          <w:sz w:val="24"/>
          <w:szCs w:val="24"/>
          <w:lang w:val="es-CO"/>
        </w:rPr>
        <w:t xml:space="preserve"> del expediente. </w:t>
      </w:r>
    </w:p>
    <w:p w:rsidR="00FD2C9B" w:rsidRDefault="00FD2C9B" w:rsidP="005B412F">
      <w:pPr>
        <w:spacing w:line="288" w:lineRule="auto"/>
        <w:ind w:firstLine="708"/>
        <w:jc w:val="both"/>
        <w:rPr>
          <w:rFonts w:ascii="Tahoma" w:hAnsi="Tahoma" w:cs="Tahoma"/>
          <w:sz w:val="24"/>
          <w:szCs w:val="24"/>
          <w:lang w:val="es-CO"/>
        </w:rPr>
      </w:pPr>
    </w:p>
    <w:p w:rsidR="00FD2C9B" w:rsidRDefault="00FD2C9B" w:rsidP="005B412F">
      <w:pPr>
        <w:spacing w:line="288" w:lineRule="auto"/>
        <w:ind w:firstLine="708"/>
        <w:jc w:val="both"/>
        <w:rPr>
          <w:rFonts w:ascii="Tahoma" w:hAnsi="Tahoma" w:cs="Tahoma"/>
          <w:sz w:val="24"/>
          <w:szCs w:val="24"/>
          <w:lang w:val="es-CO"/>
        </w:rPr>
      </w:pPr>
      <w:r w:rsidRPr="00FD2C9B">
        <w:rPr>
          <w:rFonts w:ascii="Tahoma" w:hAnsi="Tahoma" w:cs="Tahoma"/>
          <w:b/>
          <w:sz w:val="24"/>
          <w:szCs w:val="24"/>
          <w:lang w:val="es-CO"/>
        </w:rPr>
        <w:t>3)</w:t>
      </w:r>
      <w:r w:rsidR="005910C6">
        <w:rPr>
          <w:rFonts w:ascii="Tahoma" w:hAnsi="Tahoma" w:cs="Tahoma"/>
          <w:sz w:val="24"/>
          <w:szCs w:val="24"/>
          <w:lang w:val="es-CO"/>
        </w:rPr>
        <w:t xml:space="preserve"> El 12 </w:t>
      </w:r>
      <w:r>
        <w:rPr>
          <w:rFonts w:ascii="Tahoma" w:hAnsi="Tahoma" w:cs="Tahoma"/>
          <w:sz w:val="24"/>
          <w:szCs w:val="24"/>
          <w:lang w:val="es-CO"/>
        </w:rPr>
        <w:t xml:space="preserve">de </w:t>
      </w:r>
      <w:r w:rsidR="005910C6">
        <w:rPr>
          <w:rFonts w:ascii="Tahoma" w:hAnsi="Tahoma" w:cs="Tahoma"/>
          <w:sz w:val="24"/>
          <w:szCs w:val="24"/>
          <w:lang w:val="es-CO"/>
        </w:rPr>
        <w:t>junio del año 2018 (Fl. 263</w:t>
      </w:r>
      <w:r>
        <w:rPr>
          <w:rFonts w:ascii="Tahoma" w:hAnsi="Tahoma" w:cs="Tahoma"/>
          <w:sz w:val="24"/>
          <w:szCs w:val="24"/>
          <w:lang w:val="es-CO"/>
        </w:rPr>
        <w:t>), el demandante presentó escrito de reforma a la demanda, el cual fue rechazado por e</w:t>
      </w:r>
      <w:r w:rsidR="005910C6">
        <w:rPr>
          <w:rFonts w:ascii="Tahoma" w:hAnsi="Tahoma" w:cs="Tahoma"/>
          <w:sz w:val="24"/>
          <w:szCs w:val="24"/>
          <w:lang w:val="es-CO"/>
        </w:rPr>
        <w:t>xtemporáneo mediante auto del 28</w:t>
      </w:r>
      <w:r>
        <w:rPr>
          <w:rFonts w:ascii="Tahoma" w:hAnsi="Tahoma" w:cs="Tahoma"/>
          <w:sz w:val="24"/>
          <w:szCs w:val="24"/>
          <w:lang w:val="es-CO"/>
        </w:rPr>
        <w:t xml:space="preserve"> d</w:t>
      </w:r>
      <w:r w:rsidR="005910C6">
        <w:rPr>
          <w:rFonts w:ascii="Tahoma" w:hAnsi="Tahoma" w:cs="Tahoma"/>
          <w:sz w:val="24"/>
          <w:szCs w:val="24"/>
          <w:lang w:val="es-CO"/>
        </w:rPr>
        <w:t>e junio de 2018 (Fl. 297</w:t>
      </w:r>
      <w:r>
        <w:rPr>
          <w:rFonts w:ascii="Tahoma" w:hAnsi="Tahoma" w:cs="Tahoma"/>
          <w:sz w:val="24"/>
          <w:szCs w:val="24"/>
          <w:lang w:val="es-CO"/>
        </w:rPr>
        <w:t xml:space="preserve"> y vuelto).</w:t>
      </w:r>
    </w:p>
    <w:p w:rsidR="00FD2C9B" w:rsidRPr="00021D1F" w:rsidRDefault="00FD2C9B" w:rsidP="005B412F">
      <w:pPr>
        <w:spacing w:line="288" w:lineRule="auto"/>
        <w:ind w:firstLine="708"/>
        <w:jc w:val="both"/>
        <w:rPr>
          <w:rFonts w:ascii="Tahoma" w:hAnsi="Tahoma" w:cs="Tahoma"/>
          <w:sz w:val="20"/>
          <w:szCs w:val="20"/>
          <w:lang w:val="es-CO"/>
        </w:rPr>
      </w:pPr>
    </w:p>
    <w:p w:rsidR="00725140" w:rsidRDefault="00CB5376" w:rsidP="005B412F">
      <w:pPr>
        <w:tabs>
          <w:tab w:val="center" w:pos="4561"/>
        </w:tabs>
        <w:spacing w:line="288" w:lineRule="auto"/>
        <w:rPr>
          <w:rFonts w:ascii="Tahoma" w:hAnsi="Tahoma" w:cs="Tahoma"/>
          <w:b/>
          <w:sz w:val="24"/>
          <w:szCs w:val="24"/>
          <w:lang w:val="es-CO"/>
        </w:rPr>
      </w:pPr>
      <w:r>
        <w:rPr>
          <w:rFonts w:ascii="Tahoma" w:hAnsi="Tahoma" w:cs="Tahoma"/>
          <w:b/>
          <w:sz w:val="24"/>
          <w:szCs w:val="24"/>
          <w:lang w:val="es-CO"/>
        </w:rPr>
        <w:tab/>
      </w:r>
      <w:r w:rsidR="00FD2C9B" w:rsidRPr="00FD2C9B">
        <w:rPr>
          <w:rFonts w:ascii="Tahoma" w:hAnsi="Tahoma" w:cs="Tahoma"/>
          <w:b/>
          <w:sz w:val="24"/>
          <w:szCs w:val="24"/>
          <w:lang w:val="es-CO"/>
        </w:rPr>
        <w:t xml:space="preserve">II – </w:t>
      </w:r>
      <w:r w:rsidR="00D37A21">
        <w:rPr>
          <w:rFonts w:ascii="Tahoma" w:hAnsi="Tahoma" w:cs="Tahoma"/>
          <w:b/>
          <w:sz w:val="24"/>
          <w:szCs w:val="24"/>
          <w:lang w:val="es-CO"/>
        </w:rPr>
        <w:t>PROVIDENCIA INTERLOCUTORIA ATACADA</w:t>
      </w:r>
    </w:p>
    <w:p w:rsidR="005910C6" w:rsidRPr="00CB5376" w:rsidRDefault="005910C6" w:rsidP="005B412F">
      <w:pPr>
        <w:spacing w:line="288" w:lineRule="auto"/>
        <w:rPr>
          <w:rFonts w:ascii="Tahoma" w:hAnsi="Tahoma" w:cs="Tahoma"/>
          <w:b/>
          <w:sz w:val="20"/>
          <w:szCs w:val="20"/>
          <w:lang w:val="es-CO"/>
        </w:rPr>
      </w:pPr>
    </w:p>
    <w:p w:rsidR="00D37A21" w:rsidRDefault="005910C6" w:rsidP="005B412F">
      <w:pPr>
        <w:spacing w:line="288" w:lineRule="auto"/>
        <w:ind w:firstLine="708"/>
        <w:jc w:val="both"/>
        <w:rPr>
          <w:rFonts w:ascii="Tahoma" w:hAnsi="Tahoma" w:cs="Tahoma"/>
          <w:sz w:val="24"/>
          <w:szCs w:val="24"/>
          <w:lang w:val="es-CO"/>
        </w:rPr>
      </w:pPr>
      <w:r>
        <w:rPr>
          <w:rFonts w:ascii="Tahoma" w:hAnsi="Tahoma" w:cs="Tahoma"/>
          <w:sz w:val="24"/>
          <w:szCs w:val="24"/>
          <w:lang w:val="es-CO"/>
        </w:rPr>
        <w:t>Mediante auto del 12 de junio de</w:t>
      </w:r>
      <w:r w:rsidR="00D37A21" w:rsidRPr="00D37A21">
        <w:rPr>
          <w:rFonts w:ascii="Tahoma" w:hAnsi="Tahoma" w:cs="Tahoma"/>
          <w:sz w:val="24"/>
          <w:szCs w:val="24"/>
          <w:lang w:val="es-CO"/>
        </w:rPr>
        <w:t xml:space="preserve"> 2018, el juzgado de conocimiento declaró extemporáneo el escrito de reforma a la demanda, al considerar que el término de traslado para reforma</w:t>
      </w:r>
      <w:r w:rsidR="0079350A">
        <w:rPr>
          <w:rFonts w:ascii="Tahoma" w:hAnsi="Tahoma" w:cs="Tahoma"/>
          <w:sz w:val="24"/>
          <w:szCs w:val="24"/>
          <w:lang w:val="es-CO"/>
        </w:rPr>
        <w:t>r</w:t>
      </w:r>
      <w:r w:rsidR="00D37A21" w:rsidRPr="00D37A21">
        <w:rPr>
          <w:rFonts w:ascii="Tahoma" w:hAnsi="Tahoma" w:cs="Tahoma"/>
          <w:sz w:val="24"/>
          <w:szCs w:val="24"/>
          <w:lang w:val="es-CO"/>
        </w:rPr>
        <w:t xml:space="preserve"> había transcurrido</w:t>
      </w:r>
      <w:r w:rsidR="0079350A">
        <w:rPr>
          <w:rFonts w:ascii="Tahoma" w:hAnsi="Tahoma" w:cs="Tahoma"/>
          <w:sz w:val="24"/>
          <w:szCs w:val="24"/>
          <w:lang w:val="es-CO"/>
        </w:rPr>
        <w:t>,</w:t>
      </w:r>
      <w:r w:rsidR="00D37A21" w:rsidRPr="00D37A21">
        <w:rPr>
          <w:rFonts w:ascii="Tahoma" w:hAnsi="Tahoma" w:cs="Tahoma"/>
          <w:sz w:val="24"/>
          <w:szCs w:val="24"/>
          <w:lang w:val="es-CO"/>
        </w:rPr>
        <w:t xml:space="preserve"> por una sola oportunidad</w:t>
      </w:r>
      <w:r w:rsidR="0079350A">
        <w:rPr>
          <w:rFonts w:ascii="Tahoma" w:hAnsi="Tahoma" w:cs="Tahoma"/>
          <w:sz w:val="24"/>
          <w:szCs w:val="24"/>
          <w:lang w:val="es-CO"/>
        </w:rPr>
        <w:t>,</w:t>
      </w:r>
      <w:r w:rsidR="00D37A21" w:rsidRPr="00D37A21">
        <w:rPr>
          <w:rFonts w:ascii="Tahoma" w:hAnsi="Tahoma" w:cs="Tahoma"/>
          <w:sz w:val="24"/>
          <w:szCs w:val="24"/>
          <w:lang w:val="es-CO"/>
        </w:rPr>
        <w:t xml:space="preserve"> entre los días 21, </w:t>
      </w:r>
      <w:r w:rsidR="00CB5376">
        <w:rPr>
          <w:rFonts w:ascii="Tahoma" w:hAnsi="Tahoma" w:cs="Tahoma"/>
          <w:sz w:val="24"/>
          <w:szCs w:val="24"/>
          <w:lang w:val="es-CO"/>
        </w:rPr>
        <w:t>22, 23, 27, 28</w:t>
      </w:r>
      <w:r w:rsidR="00D37A21" w:rsidRPr="00D37A21">
        <w:rPr>
          <w:rFonts w:ascii="Tahoma" w:hAnsi="Tahoma" w:cs="Tahoma"/>
          <w:sz w:val="24"/>
          <w:szCs w:val="24"/>
          <w:lang w:val="es-CO"/>
        </w:rPr>
        <w:t xml:space="preserve"> de </w:t>
      </w:r>
      <w:r w:rsidR="00CB5376">
        <w:rPr>
          <w:rFonts w:ascii="Tahoma" w:hAnsi="Tahoma" w:cs="Tahoma"/>
          <w:sz w:val="24"/>
          <w:szCs w:val="24"/>
          <w:lang w:val="es-CO"/>
        </w:rPr>
        <w:t>junio</w:t>
      </w:r>
      <w:r w:rsidR="00D37A21" w:rsidRPr="00D37A21">
        <w:rPr>
          <w:rFonts w:ascii="Tahoma" w:hAnsi="Tahoma" w:cs="Tahoma"/>
          <w:sz w:val="24"/>
          <w:szCs w:val="24"/>
          <w:lang w:val="es-CO"/>
        </w:rPr>
        <w:t xml:space="preserve"> de 2017, esto es, dentro de los cinco días siguientes al vencimiento del término común de traslado para que</w:t>
      </w:r>
      <w:r w:rsidR="00CB5376">
        <w:rPr>
          <w:rFonts w:ascii="Tahoma" w:hAnsi="Tahoma" w:cs="Tahoma"/>
          <w:sz w:val="24"/>
          <w:szCs w:val="24"/>
          <w:lang w:val="es-CO"/>
        </w:rPr>
        <w:t xml:space="preserve"> la demandada</w:t>
      </w:r>
      <w:r w:rsidR="00D37A21" w:rsidRPr="00D37A21">
        <w:rPr>
          <w:rFonts w:ascii="Tahoma" w:hAnsi="Tahoma" w:cs="Tahoma"/>
          <w:sz w:val="24"/>
          <w:szCs w:val="24"/>
          <w:lang w:val="es-CO"/>
        </w:rPr>
        <w:t xml:space="preserve"> </w:t>
      </w:r>
      <w:r w:rsidR="00CB5376">
        <w:rPr>
          <w:rFonts w:ascii="Tahoma" w:hAnsi="Tahoma" w:cs="Tahoma"/>
          <w:sz w:val="24"/>
          <w:szCs w:val="24"/>
          <w:lang w:val="es-CO"/>
        </w:rPr>
        <w:t>OLD MUTUAL</w:t>
      </w:r>
      <w:r w:rsidR="00D37A21" w:rsidRPr="00D37A21">
        <w:rPr>
          <w:rFonts w:ascii="Tahoma" w:hAnsi="Tahoma" w:cs="Tahoma"/>
          <w:sz w:val="24"/>
          <w:szCs w:val="24"/>
          <w:lang w:val="es-CO"/>
        </w:rPr>
        <w:t xml:space="preserve"> S.A.</w:t>
      </w:r>
      <w:r w:rsidR="00CB5376">
        <w:rPr>
          <w:rFonts w:ascii="Tahoma" w:hAnsi="Tahoma" w:cs="Tahoma"/>
          <w:sz w:val="24"/>
          <w:szCs w:val="24"/>
          <w:lang w:val="es-CO"/>
        </w:rPr>
        <w:t>,</w:t>
      </w:r>
      <w:r w:rsidR="00D37A21" w:rsidRPr="00D37A21">
        <w:rPr>
          <w:rFonts w:ascii="Tahoma" w:hAnsi="Tahoma" w:cs="Tahoma"/>
          <w:sz w:val="24"/>
          <w:szCs w:val="24"/>
          <w:lang w:val="es-CO"/>
        </w:rPr>
        <w:t xml:space="preserve"> </w:t>
      </w:r>
      <w:r w:rsidR="00CB5376">
        <w:rPr>
          <w:rFonts w:ascii="Tahoma" w:hAnsi="Tahoma" w:cs="Tahoma"/>
          <w:sz w:val="24"/>
          <w:szCs w:val="24"/>
          <w:lang w:val="es-CO"/>
        </w:rPr>
        <w:t>contestara</w:t>
      </w:r>
      <w:r w:rsidR="00D37A21" w:rsidRPr="00D37A21">
        <w:rPr>
          <w:rFonts w:ascii="Tahoma" w:hAnsi="Tahoma" w:cs="Tahoma"/>
          <w:sz w:val="24"/>
          <w:szCs w:val="24"/>
          <w:lang w:val="es-CO"/>
        </w:rPr>
        <w:t xml:space="preserve"> la demanda</w:t>
      </w:r>
      <w:r w:rsidR="00CB5376">
        <w:rPr>
          <w:rFonts w:ascii="Tahoma" w:hAnsi="Tahoma" w:cs="Tahoma"/>
          <w:sz w:val="24"/>
          <w:szCs w:val="24"/>
          <w:lang w:val="es-CO"/>
        </w:rPr>
        <w:t>, el cual venció el 20 de junio</w:t>
      </w:r>
      <w:r w:rsidR="00D37A21" w:rsidRPr="00D37A21">
        <w:rPr>
          <w:rFonts w:ascii="Tahoma" w:hAnsi="Tahoma" w:cs="Tahoma"/>
          <w:sz w:val="24"/>
          <w:szCs w:val="24"/>
          <w:lang w:val="es-CO"/>
        </w:rPr>
        <w:t xml:space="preserve"> de ese mismo año.</w:t>
      </w:r>
      <w:r w:rsidR="0079350A">
        <w:rPr>
          <w:rFonts w:ascii="Tahoma" w:hAnsi="Tahoma" w:cs="Tahoma"/>
          <w:sz w:val="24"/>
          <w:szCs w:val="24"/>
          <w:lang w:val="es-CO"/>
        </w:rPr>
        <w:t xml:space="preserve"> Consecuente con lo anterior, citó a la audiencia del artículo 77 de</w:t>
      </w:r>
      <w:r w:rsidR="00CB5376">
        <w:rPr>
          <w:rFonts w:ascii="Tahoma" w:hAnsi="Tahoma" w:cs="Tahoma"/>
          <w:sz w:val="24"/>
          <w:szCs w:val="24"/>
          <w:lang w:val="es-CO"/>
        </w:rPr>
        <w:t>l C.P.T. y de la S.S. para el 28 de enero de 2018 a las 9:00</w:t>
      </w:r>
      <w:r w:rsidR="005B412F">
        <w:rPr>
          <w:rFonts w:ascii="Tahoma" w:hAnsi="Tahoma" w:cs="Tahoma"/>
          <w:sz w:val="24"/>
          <w:szCs w:val="24"/>
          <w:lang w:val="es-CO"/>
        </w:rPr>
        <w:t xml:space="preserve"> A.M.</w:t>
      </w:r>
    </w:p>
    <w:p w:rsidR="005B412F" w:rsidRDefault="005B412F" w:rsidP="005B412F">
      <w:pPr>
        <w:spacing w:line="288" w:lineRule="auto"/>
        <w:ind w:firstLine="708"/>
        <w:jc w:val="both"/>
        <w:rPr>
          <w:rFonts w:ascii="Tahoma" w:hAnsi="Tahoma" w:cs="Tahoma"/>
          <w:sz w:val="24"/>
          <w:szCs w:val="24"/>
          <w:lang w:val="es-CO"/>
        </w:rPr>
      </w:pPr>
    </w:p>
    <w:p w:rsidR="00D37A21" w:rsidRDefault="00D37A21" w:rsidP="005B412F">
      <w:pPr>
        <w:spacing w:line="288" w:lineRule="auto"/>
        <w:ind w:firstLine="708"/>
        <w:jc w:val="both"/>
        <w:rPr>
          <w:rFonts w:ascii="Tahoma" w:hAnsi="Tahoma" w:cs="Tahoma"/>
          <w:sz w:val="24"/>
          <w:szCs w:val="24"/>
          <w:lang w:val="es-CO"/>
        </w:rPr>
      </w:pPr>
      <w:r>
        <w:rPr>
          <w:rFonts w:ascii="Tahoma" w:hAnsi="Tahoma" w:cs="Tahoma"/>
          <w:sz w:val="24"/>
          <w:szCs w:val="24"/>
          <w:lang w:val="es-CO"/>
        </w:rPr>
        <w:t>La decisión fue</w:t>
      </w:r>
      <w:r w:rsidR="00D941CD">
        <w:rPr>
          <w:rFonts w:ascii="Tahoma" w:hAnsi="Tahoma" w:cs="Tahoma"/>
          <w:sz w:val="24"/>
          <w:szCs w:val="24"/>
          <w:lang w:val="es-CO"/>
        </w:rPr>
        <w:t xml:space="preserve"> confirmada mediante auto del 19 de julio</w:t>
      </w:r>
      <w:r>
        <w:rPr>
          <w:rFonts w:ascii="Tahoma" w:hAnsi="Tahoma" w:cs="Tahoma"/>
          <w:sz w:val="24"/>
          <w:szCs w:val="24"/>
          <w:lang w:val="es-CO"/>
        </w:rPr>
        <w:t xml:space="preserve"> de 2018 (Fl</w:t>
      </w:r>
      <w:r w:rsidR="00D941CD">
        <w:rPr>
          <w:rFonts w:ascii="Tahoma" w:hAnsi="Tahoma" w:cs="Tahoma"/>
          <w:sz w:val="24"/>
          <w:szCs w:val="24"/>
          <w:lang w:val="es-CO"/>
        </w:rPr>
        <w:t>.30</w:t>
      </w:r>
      <w:r>
        <w:rPr>
          <w:rFonts w:ascii="Tahoma" w:hAnsi="Tahoma" w:cs="Tahoma"/>
          <w:sz w:val="24"/>
          <w:szCs w:val="24"/>
          <w:lang w:val="es-CO"/>
        </w:rPr>
        <w:t xml:space="preserve">1), por medio del cual se resolvió el recurso de reposición y en subsidio apelación impetrado por la parte actora. </w:t>
      </w:r>
    </w:p>
    <w:p w:rsidR="00D37A21" w:rsidRPr="00021D1F" w:rsidRDefault="00D37A21" w:rsidP="005B412F">
      <w:pPr>
        <w:spacing w:line="288" w:lineRule="auto"/>
        <w:ind w:firstLine="708"/>
        <w:jc w:val="both"/>
        <w:rPr>
          <w:rFonts w:ascii="Tahoma" w:hAnsi="Tahoma" w:cs="Tahoma"/>
          <w:sz w:val="20"/>
          <w:szCs w:val="20"/>
          <w:lang w:val="es-CO"/>
        </w:rPr>
      </w:pPr>
    </w:p>
    <w:p w:rsidR="008E5B6D" w:rsidRDefault="00D37A21" w:rsidP="005B412F">
      <w:pPr>
        <w:spacing w:line="288" w:lineRule="auto"/>
        <w:ind w:firstLine="708"/>
        <w:jc w:val="both"/>
        <w:rPr>
          <w:rFonts w:ascii="Tahoma" w:hAnsi="Tahoma" w:cs="Tahoma"/>
          <w:sz w:val="24"/>
          <w:szCs w:val="24"/>
          <w:lang w:val="es-CO"/>
        </w:rPr>
      </w:pPr>
      <w:r>
        <w:rPr>
          <w:rFonts w:ascii="Tahoma" w:hAnsi="Tahoma" w:cs="Tahoma"/>
          <w:sz w:val="24"/>
          <w:szCs w:val="24"/>
          <w:lang w:val="es-CO"/>
        </w:rPr>
        <w:t xml:space="preserve">En esta última providencia, se indicó, básicamente, </w:t>
      </w:r>
      <w:r w:rsidR="00AD6F86">
        <w:rPr>
          <w:rFonts w:ascii="Tahoma" w:hAnsi="Tahoma" w:cs="Tahoma"/>
          <w:sz w:val="24"/>
          <w:szCs w:val="24"/>
          <w:lang w:val="es-CO"/>
        </w:rPr>
        <w:t>que de acuerdo a lo reglado por</w:t>
      </w:r>
      <w:r>
        <w:rPr>
          <w:rFonts w:ascii="Tahoma" w:hAnsi="Tahoma" w:cs="Tahoma"/>
          <w:sz w:val="24"/>
          <w:szCs w:val="24"/>
          <w:lang w:val="es-CO"/>
        </w:rPr>
        <w:t xml:space="preserve"> el inciso 2º del artículo 28 del C.P.T. y de la S.S., el término para reformar es uno solo y transcurre dentro de los cinco (5) días siguientes </w:t>
      </w:r>
      <w:r w:rsidR="00AD6F86">
        <w:rPr>
          <w:rFonts w:ascii="Tahoma" w:hAnsi="Tahoma" w:cs="Tahoma"/>
          <w:sz w:val="24"/>
          <w:szCs w:val="24"/>
          <w:lang w:val="es-CO"/>
        </w:rPr>
        <w:t>al vencimiento del término de traslado de la demanda inicial o de la reconvención, si fuere el caso, de modo que la vinculación de un nuevo demandado al proceso no reabre dicho término, en razón de lo cual se ratifica en la extemporaneidad del es</w:t>
      </w:r>
      <w:r w:rsidR="008E5B6D">
        <w:rPr>
          <w:rFonts w:ascii="Tahoma" w:hAnsi="Tahoma" w:cs="Tahoma"/>
          <w:sz w:val="24"/>
          <w:szCs w:val="24"/>
          <w:lang w:val="es-CO"/>
        </w:rPr>
        <w:t>crito de la reforma y concede en el efecto suspensivo el</w:t>
      </w:r>
      <w:r w:rsidR="00AD6F86">
        <w:rPr>
          <w:rFonts w:ascii="Tahoma" w:hAnsi="Tahoma" w:cs="Tahoma"/>
          <w:sz w:val="24"/>
          <w:szCs w:val="24"/>
          <w:lang w:val="es-CO"/>
        </w:rPr>
        <w:t xml:space="preserve"> recurso de apelación</w:t>
      </w:r>
      <w:r w:rsidR="008E5B6D">
        <w:rPr>
          <w:rFonts w:ascii="Tahoma" w:hAnsi="Tahoma" w:cs="Tahoma"/>
          <w:sz w:val="24"/>
          <w:szCs w:val="24"/>
          <w:lang w:val="es-CO"/>
        </w:rPr>
        <w:t xml:space="preserve"> interpuesto</w:t>
      </w:r>
      <w:r w:rsidR="00AD6F86">
        <w:rPr>
          <w:rFonts w:ascii="Tahoma" w:hAnsi="Tahoma" w:cs="Tahoma"/>
          <w:sz w:val="24"/>
          <w:szCs w:val="24"/>
          <w:lang w:val="es-CO"/>
        </w:rPr>
        <w:t xml:space="preserve"> </w:t>
      </w:r>
      <w:r w:rsidR="008E5B6D">
        <w:rPr>
          <w:rFonts w:ascii="Tahoma" w:hAnsi="Tahoma" w:cs="Tahoma"/>
          <w:sz w:val="24"/>
          <w:szCs w:val="24"/>
          <w:lang w:val="es-CO"/>
        </w:rPr>
        <w:t>como subsidiario.</w:t>
      </w:r>
    </w:p>
    <w:p w:rsidR="008E5B6D" w:rsidRPr="00021D1F" w:rsidRDefault="008E5B6D" w:rsidP="005B412F">
      <w:pPr>
        <w:spacing w:line="288" w:lineRule="auto"/>
        <w:ind w:firstLine="708"/>
        <w:jc w:val="both"/>
        <w:rPr>
          <w:rFonts w:ascii="Tahoma" w:hAnsi="Tahoma" w:cs="Tahoma"/>
          <w:sz w:val="20"/>
          <w:szCs w:val="20"/>
          <w:lang w:val="es-CO"/>
        </w:rPr>
      </w:pPr>
    </w:p>
    <w:p w:rsidR="008E5B6D" w:rsidRDefault="008E5B6D" w:rsidP="005B412F">
      <w:pPr>
        <w:spacing w:line="288" w:lineRule="auto"/>
        <w:jc w:val="center"/>
        <w:rPr>
          <w:rFonts w:ascii="Tahoma" w:hAnsi="Tahoma" w:cs="Tahoma"/>
          <w:b/>
          <w:sz w:val="24"/>
          <w:szCs w:val="24"/>
          <w:lang w:val="es-CO"/>
        </w:rPr>
      </w:pPr>
      <w:r w:rsidRPr="0079350A">
        <w:rPr>
          <w:rFonts w:ascii="Tahoma" w:hAnsi="Tahoma" w:cs="Tahoma"/>
          <w:b/>
          <w:sz w:val="24"/>
          <w:szCs w:val="24"/>
          <w:lang w:val="es-CO"/>
        </w:rPr>
        <w:t>III – APELACIÓN</w:t>
      </w:r>
    </w:p>
    <w:p w:rsidR="00EC29A5" w:rsidRPr="00021D1F" w:rsidRDefault="00EC29A5" w:rsidP="005B412F">
      <w:pPr>
        <w:spacing w:line="288" w:lineRule="auto"/>
        <w:ind w:firstLine="708"/>
        <w:jc w:val="both"/>
        <w:rPr>
          <w:rFonts w:ascii="Tahoma" w:hAnsi="Tahoma" w:cs="Tahoma"/>
          <w:b/>
          <w:sz w:val="20"/>
          <w:szCs w:val="20"/>
          <w:lang w:val="es-CO"/>
        </w:rPr>
      </w:pPr>
    </w:p>
    <w:p w:rsidR="00EC29A5" w:rsidRPr="00725140" w:rsidRDefault="00EC29A5" w:rsidP="005B412F">
      <w:pPr>
        <w:spacing w:line="288" w:lineRule="auto"/>
        <w:ind w:firstLine="708"/>
        <w:jc w:val="both"/>
        <w:rPr>
          <w:rFonts w:ascii="Tahoma" w:hAnsi="Tahoma" w:cs="Tahoma"/>
          <w:sz w:val="24"/>
          <w:szCs w:val="24"/>
          <w:lang w:val="es-CO"/>
        </w:rPr>
      </w:pPr>
      <w:r w:rsidRPr="00725140">
        <w:rPr>
          <w:rFonts w:ascii="Tahoma" w:hAnsi="Tahoma" w:cs="Tahoma"/>
          <w:sz w:val="24"/>
          <w:szCs w:val="24"/>
          <w:lang w:val="es-CO"/>
        </w:rPr>
        <w:t xml:space="preserve">El demandante afirma en el recurso, en síntesis, que al haberse decidido </w:t>
      </w:r>
      <w:r w:rsidR="00725140" w:rsidRPr="00725140">
        <w:rPr>
          <w:rFonts w:ascii="Tahoma" w:hAnsi="Tahoma" w:cs="Tahoma"/>
          <w:sz w:val="24"/>
          <w:szCs w:val="24"/>
          <w:lang w:val="es-CO"/>
        </w:rPr>
        <w:t>vincular al proceso a P</w:t>
      </w:r>
      <w:r w:rsidR="00CB5376">
        <w:rPr>
          <w:rFonts w:ascii="Tahoma" w:hAnsi="Tahoma" w:cs="Tahoma"/>
          <w:sz w:val="24"/>
          <w:szCs w:val="24"/>
          <w:lang w:val="es-CO"/>
        </w:rPr>
        <w:t>ROTECCIÓN</w:t>
      </w:r>
      <w:r w:rsidR="00725140" w:rsidRPr="00725140">
        <w:rPr>
          <w:rFonts w:ascii="Tahoma" w:hAnsi="Tahoma" w:cs="Tahoma"/>
          <w:sz w:val="24"/>
          <w:szCs w:val="24"/>
          <w:lang w:val="es-CO"/>
        </w:rPr>
        <w:t xml:space="preserve"> S.A., el término de reforma de la demanda debía contabilizarse a partir del vencimiento del lapso para contestar que tenía la última vinculada </w:t>
      </w:r>
      <w:r w:rsidR="00CB5376">
        <w:rPr>
          <w:rFonts w:ascii="Tahoma" w:hAnsi="Tahoma" w:cs="Tahoma"/>
          <w:sz w:val="24"/>
          <w:szCs w:val="24"/>
          <w:lang w:val="es-CO"/>
        </w:rPr>
        <w:t>al proceso</w:t>
      </w:r>
      <w:r w:rsidR="00725140" w:rsidRPr="00725140">
        <w:rPr>
          <w:rFonts w:ascii="Tahoma" w:hAnsi="Tahoma" w:cs="Tahoma"/>
          <w:sz w:val="24"/>
          <w:szCs w:val="24"/>
          <w:lang w:val="es-CO"/>
        </w:rPr>
        <w:t xml:space="preserve">, </w:t>
      </w:r>
      <w:r w:rsidR="00CB5376">
        <w:rPr>
          <w:rFonts w:ascii="Tahoma" w:hAnsi="Tahoma" w:cs="Tahoma"/>
          <w:sz w:val="24"/>
          <w:szCs w:val="24"/>
          <w:lang w:val="es-CO"/>
        </w:rPr>
        <w:t>es decir PROTECCIÓN,</w:t>
      </w:r>
      <w:r w:rsidR="00725140" w:rsidRPr="00725140">
        <w:rPr>
          <w:rFonts w:ascii="Tahoma" w:hAnsi="Tahoma" w:cs="Tahoma"/>
          <w:sz w:val="24"/>
          <w:szCs w:val="24"/>
          <w:lang w:val="es-CO"/>
        </w:rPr>
        <w:t xml:space="preserve"> y no desde la contestación de la demanda que hicieron los vinculados iniciales.</w:t>
      </w:r>
      <w:r w:rsidR="00021D1F">
        <w:rPr>
          <w:rFonts w:ascii="Tahoma" w:hAnsi="Tahoma" w:cs="Tahoma"/>
          <w:sz w:val="24"/>
          <w:szCs w:val="24"/>
          <w:lang w:val="es-CO"/>
        </w:rPr>
        <w:t xml:space="preserve"> Así mismo transcribió un largo aparte de una providencia proferida por este Tribunal el 24 de junio de 2015, que en puridad se refiere a la extemporaneidad por anticipación, tema que resulta por completo ajeno al que se discute en esta instancia.</w:t>
      </w:r>
    </w:p>
    <w:p w:rsidR="008E5B6D" w:rsidRPr="00021D1F" w:rsidRDefault="008E5B6D" w:rsidP="005B412F">
      <w:pPr>
        <w:spacing w:line="288" w:lineRule="auto"/>
        <w:ind w:firstLine="708"/>
        <w:jc w:val="both"/>
        <w:rPr>
          <w:rFonts w:ascii="Tahoma" w:hAnsi="Tahoma" w:cs="Tahoma"/>
          <w:sz w:val="20"/>
          <w:szCs w:val="20"/>
          <w:lang w:val="es-CO"/>
        </w:rPr>
      </w:pPr>
    </w:p>
    <w:p w:rsidR="008E5B6D" w:rsidRPr="008E5B6D" w:rsidRDefault="008E5B6D" w:rsidP="005B412F">
      <w:pPr>
        <w:spacing w:line="288" w:lineRule="auto"/>
        <w:jc w:val="center"/>
        <w:rPr>
          <w:rFonts w:ascii="Tahoma" w:hAnsi="Tahoma" w:cs="Tahoma"/>
          <w:b/>
          <w:sz w:val="24"/>
          <w:szCs w:val="24"/>
          <w:lang w:val="es-CO"/>
        </w:rPr>
      </w:pPr>
      <w:r w:rsidRPr="008E5B6D">
        <w:rPr>
          <w:rFonts w:ascii="Tahoma" w:hAnsi="Tahoma" w:cs="Tahoma"/>
          <w:b/>
          <w:sz w:val="24"/>
          <w:szCs w:val="24"/>
          <w:lang w:val="es-CO"/>
        </w:rPr>
        <w:t>IV - CONSIDERACIONES</w:t>
      </w:r>
    </w:p>
    <w:p w:rsidR="008E5B6D" w:rsidRPr="00021D1F" w:rsidRDefault="008E5B6D" w:rsidP="005B412F">
      <w:pPr>
        <w:spacing w:line="288" w:lineRule="auto"/>
        <w:ind w:firstLine="708"/>
        <w:jc w:val="both"/>
        <w:rPr>
          <w:rFonts w:ascii="Tahoma" w:hAnsi="Tahoma" w:cs="Tahoma"/>
          <w:sz w:val="20"/>
          <w:szCs w:val="20"/>
          <w:lang w:val="es-CO"/>
        </w:rPr>
      </w:pPr>
    </w:p>
    <w:p w:rsidR="00D941CD" w:rsidRDefault="008E5B6D" w:rsidP="005B412F">
      <w:pPr>
        <w:spacing w:line="288" w:lineRule="auto"/>
        <w:ind w:firstLine="708"/>
        <w:jc w:val="both"/>
        <w:rPr>
          <w:rFonts w:ascii="Tahoma" w:hAnsi="Tahoma" w:cs="Tahoma"/>
          <w:sz w:val="24"/>
          <w:szCs w:val="24"/>
          <w:lang w:val="es-CO"/>
        </w:rPr>
      </w:pPr>
      <w:r>
        <w:rPr>
          <w:rFonts w:ascii="Tahoma" w:hAnsi="Tahoma" w:cs="Tahoma"/>
          <w:sz w:val="24"/>
          <w:szCs w:val="24"/>
          <w:lang w:val="es-CO"/>
        </w:rPr>
        <w:t>La resolución del recurso impetrado por la actora se subsume de manera armónica en la reciente decisión adoptada por esta Corporación median</w:t>
      </w:r>
      <w:r w:rsidR="00021D1F">
        <w:rPr>
          <w:rFonts w:ascii="Tahoma" w:hAnsi="Tahoma" w:cs="Tahoma"/>
          <w:sz w:val="24"/>
          <w:szCs w:val="24"/>
          <w:lang w:val="es-CO"/>
        </w:rPr>
        <w:t>te auto del 10 de octubre de 201</w:t>
      </w:r>
      <w:r>
        <w:rPr>
          <w:rFonts w:ascii="Tahoma" w:hAnsi="Tahoma" w:cs="Tahoma"/>
          <w:sz w:val="24"/>
          <w:szCs w:val="24"/>
          <w:lang w:val="es-CO"/>
        </w:rPr>
        <w:t xml:space="preserve">8, Rad. No. </w:t>
      </w:r>
      <w:r w:rsidRPr="008E5B6D">
        <w:rPr>
          <w:rFonts w:ascii="Tahoma" w:hAnsi="Tahoma" w:cs="Tahoma"/>
          <w:b/>
          <w:sz w:val="24"/>
          <w:szCs w:val="24"/>
        </w:rPr>
        <w:t>2017-00085</w:t>
      </w:r>
      <w:r>
        <w:rPr>
          <w:rFonts w:ascii="Tahoma" w:hAnsi="Tahoma" w:cs="Tahoma"/>
          <w:b/>
          <w:sz w:val="24"/>
          <w:szCs w:val="24"/>
        </w:rPr>
        <w:t>,</w:t>
      </w:r>
      <w:r>
        <w:rPr>
          <w:rFonts w:ascii="Tahoma" w:hAnsi="Tahoma" w:cs="Tahoma"/>
          <w:sz w:val="24"/>
          <w:szCs w:val="24"/>
          <w:lang w:val="es-CO"/>
        </w:rPr>
        <w:t xml:space="preserve"> M.P. Julio César Salazar Muñoz,</w:t>
      </w:r>
      <w:r w:rsidR="00021D1F">
        <w:rPr>
          <w:rFonts w:ascii="Tahoma" w:hAnsi="Tahoma" w:cs="Tahoma"/>
          <w:sz w:val="24"/>
          <w:szCs w:val="24"/>
          <w:lang w:val="es-CO"/>
        </w:rPr>
        <w:t xml:space="preserve"> acogida por esta ponente en un auto más reciente, del 9 de noviembre de 2018, en el que se </w:t>
      </w:r>
      <w:r w:rsidR="005405F2">
        <w:rPr>
          <w:rFonts w:ascii="Tahoma" w:hAnsi="Tahoma" w:cs="Tahoma"/>
          <w:sz w:val="24"/>
          <w:szCs w:val="24"/>
          <w:lang w:val="es-CO"/>
        </w:rPr>
        <w:t xml:space="preserve"> indicó, en un</w:t>
      </w:r>
      <w:r>
        <w:rPr>
          <w:rFonts w:ascii="Tahoma" w:hAnsi="Tahoma" w:cs="Tahoma"/>
          <w:sz w:val="24"/>
          <w:szCs w:val="24"/>
          <w:lang w:val="es-CO"/>
        </w:rPr>
        <w:t xml:space="preserve"> caso con aristas idénticas al presente, lo siguiente:</w:t>
      </w:r>
      <w:r w:rsidR="0079350A">
        <w:rPr>
          <w:rFonts w:ascii="Tahoma" w:hAnsi="Tahoma" w:cs="Tahoma"/>
          <w:sz w:val="24"/>
          <w:szCs w:val="24"/>
          <w:lang w:val="es-CO"/>
        </w:rPr>
        <w:t xml:space="preserve"> </w:t>
      </w:r>
    </w:p>
    <w:p w:rsidR="00D941CD" w:rsidRDefault="00D941CD" w:rsidP="005B412F">
      <w:pPr>
        <w:spacing w:line="288" w:lineRule="auto"/>
        <w:ind w:firstLine="708"/>
        <w:jc w:val="both"/>
        <w:rPr>
          <w:rFonts w:ascii="Tahoma" w:hAnsi="Tahoma" w:cs="Tahoma"/>
          <w:sz w:val="24"/>
          <w:szCs w:val="24"/>
          <w:lang w:val="es-CO"/>
        </w:rPr>
      </w:pPr>
    </w:p>
    <w:p w:rsidR="008E5B6D" w:rsidRPr="005B412F" w:rsidRDefault="008E5B6D" w:rsidP="005B412F">
      <w:pPr>
        <w:spacing w:line="240" w:lineRule="auto"/>
        <w:ind w:left="426" w:right="420" w:firstLine="567"/>
        <w:jc w:val="both"/>
        <w:rPr>
          <w:rFonts w:ascii="Tahoma" w:eastAsia="Times New Roman" w:hAnsi="Tahoma" w:cs="Tahoma"/>
          <w:i/>
          <w:iCs/>
          <w:szCs w:val="24"/>
          <w:lang w:val="es-ES_tradnl" w:eastAsia="es-ES"/>
        </w:rPr>
      </w:pPr>
      <w:r w:rsidRPr="005B412F">
        <w:rPr>
          <w:rFonts w:ascii="Tahoma" w:eastAsia="Times New Roman" w:hAnsi="Tahoma" w:cs="Tahoma"/>
          <w:i/>
          <w:iCs/>
          <w:szCs w:val="24"/>
          <w:lang w:val="es-ES_tradnl" w:eastAsia="es-ES"/>
        </w:rPr>
        <w:t>“</w:t>
      </w:r>
      <w:r w:rsidR="0079350A" w:rsidRPr="005B412F">
        <w:rPr>
          <w:rFonts w:ascii="Tahoma" w:eastAsia="Times New Roman" w:hAnsi="Tahoma" w:cs="Tahoma"/>
          <w:i/>
          <w:iCs/>
          <w:szCs w:val="24"/>
          <w:lang w:val="es-ES_tradnl" w:eastAsia="es-ES"/>
        </w:rPr>
        <w:t xml:space="preserve">(…) </w:t>
      </w:r>
      <w:r w:rsidRPr="005B412F">
        <w:rPr>
          <w:rFonts w:ascii="Tahoma" w:eastAsia="Times New Roman" w:hAnsi="Tahoma" w:cs="Tahoma"/>
          <w:i/>
          <w:iCs/>
          <w:szCs w:val="24"/>
          <w:lang w:val="es-ES_tradnl" w:eastAsia="es-ES"/>
        </w:rPr>
        <w:t>Respecto a la oportunidad que ofrece el artículo 28 del CPT y SS para reformar la demanda, basta un simple vistazo para concluir que el querer del legislador fue el de brindar al actor una término de cinco (5) días a partir del conocimiento que adquiera de la respuesta que a esta ofrezca el demandado. Es decir, su finalidad no es otra que permitir al demandante que con el conocimiento de la defensa utilizada por el demandado, si</w:t>
      </w:r>
      <w:r w:rsidR="005405F2" w:rsidRPr="005B412F">
        <w:rPr>
          <w:rFonts w:ascii="Tahoma" w:eastAsia="Times New Roman" w:hAnsi="Tahoma" w:cs="Tahoma"/>
          <w:i/>
          <w:iCs/>
          <w:szCs w:val="24"/>
          <w:lang w:val="es-ES_tradnl" w:eastAsia="es-ES"/>
        </w:rPr>
        <w:t xml:space="preserve"> lo considera necesario, proceda</w:t>
      </w:r>
      <w:r w:rsidRPr="005B412F">
        <w:rPr>
          <w:rFonts w:ascii="Tahoma" w:eastAsia="Times New Roman" w:hAnsi="Tahoma" w:cs="Tahoma"/>
          <w:i/>
          <w:iCs/>
          <w:szCs w:val="24"/>
          <w:lang w:val="es-ES_tradnl" w:eastAsia="es-ES"/>
        </w:rPr>
        <w:t xml:space="preserve"> a adecuar y precisar los aspectos que considere necesario modificar o adicionar en orden a dejar convenientemente planteado su reclamo. Aparece obvio entonces que si vence ese término una vez contestada la demanda, sin que se haga uso del mismo, fenece </w:t>
      </w:r>
      <w:r w:rsidR="00D941CD" w:rsidRPr="005B412F">
        <w:rPr>
          <w:rFonts w:ascii="Tahoma" w:eastAsia="Times New Roman" w:hAnsi="Tahoma" w:cs="Tahoma"/>
          <w:i/>
          <w:iCs/>
          <w:szCs w:val="24"/>
          <w:lang w:val="es-ES_tradnl" w:eastAsia="es-ES"/>
        </w:rPr>
        <w:t xml:space="preserve">su posibilidad de utilización. </w:t>
      </w:r>
      <w:r w:rsidRPr="005B412F">
        <w:rPr>
          <w:rFonts w:ascii="Tahoma" w:eastAsia="Times New Roman" w:hAnsi="Tahoma" w:cs="Tahoma"/>
          <w:i/>
          <w:iCs/>
          <w:szCs w:val="24"/>
          <w:lang w:val="es-ES_tradnl" w:eastAsia="es-ES"/>
        </w:rPr>
        <w:t>Pero nótese que si por decisión del Juzgado, se procede a vincular a un nuevo demandado y este opta por dar respuesta al líbelo, el motivo que tuvo en cuenta el legislador para permitir reformar la demanda reaparece, pues conforme a la nueva contestación, es probable que el actor requiera hacer precisiones, modificaciones o adecuaciones a su escrito inicial, en orden a dejar debidamente planteado el debate jurídico</w:t>
      </w:r>
      <w:r w:rsidR="0060008C">
        <w:rPr>
          <w:rFonts w:ascii="Tahoma" w:eastAsia="Times New Roman" w:hAnsi="Tahoma" w:cs="Tahoma"/>
          <w:i/>
          <w:iCs/>
          <w:szCs w:val="24"/>
          <w:lang w:val="es-ES_tradnl" w:eastAsia="es-ES"/>
        </w:rPr>
        <w:t>”</w:t>
      </w:r>
      <w:r w:rsidRPr="005B412F">
        <w:rPr>
          <w:rFonts w:ascii="Tahoma" w:eastAsia="Times New Roman" w:hAnsi="Tahoma" w:cs="Tahoma"/>
          <w:i/>
          <w:iCs/>
          <w:szCs w:val="24"/>
          <w:lang w:val="es-ES_tradnl" w:eastAsia="es-ES"/>
        </w:rPr>
        <w:t>.</w:t>
      </w:r>
    </w:p>
    <w:p w:rsidR="008E5B6D" w:rsidRPr="00021D1F" w:rsidRDefault="008E5B6D" w:rsidP="005B412F">
      <w:pPr>
        <w:spacing w:line="288" w:lineRule="auto"/>
        <w:ind w:right="51"/>
        <w:jc w:val="both"/>
        <w:rPr>
          <w:rFonts w:ascii="Arial" w:eastAsia="Times New Roman" w:hAnsi="Arial"/>
          <w:iCs/>
          <w:sz w:val="20"/>
          <w:szCs w:val="20"/>
          <w:lang w:val="es-ES_tradnl" w:eastAsia="es-ES"/>
        </w:rPr>
      </w:pPr>
    </w:p>
    <w:p w:rsidR="008E5B6D" w:rsidRPr="008E5B6D" w:rsidRDefault="008E5B6D" w:rsidP="005B412F">
      <w:pPr>
        <w:spacing w:line="288" w:lineRule="auto"/>
        <w:ind w:right="51"/>
        <w:jc w:val="center"/>
        <w:rPr>
          <w:rFonts w:ascii="Arial" w:eastAsia="Times New Roman" w:hAnsi="Arial"/>
          <w:b/>
          <w:iCs/>
          <w:sz w:val="24"/>
          <w:szCs w:val="24"/>
          <w:lang w:val="es-ES_tradnl" w:eastAsia="es-ES"/>
        </w:rPr>
      </w:pPr>
      <w:r>
        <w:rPr>
          <w:rFonts w:ascii="Arial" w:eastAsia="Times New Roman" w:hAnsi="Arial"/>
          <w:b/>
          <w:iCs/>
          <w:sz w:val="24"/>
          <w:szCs w:val="24"/>
          <w:lang w:val="es-ES_tradnl" w:eastAsia="es-ES"/>
        </w:rPr>
        <w:t xml:space="preserve">V - </w:t>
      </w:r>
      <w:r w:rsidRPr="008E5B6D">
        <w:rPr>
          <w:rFonts w:ascii="Arial" w:eastAsia="Times New Roman" w:hAnsi="Arial"/>
          <w:b/>
          <w:iCs/>
          <w:sz w:val="24"/>
          <w:szCs w:val="24"/>
          <w:lang w:val="es-ES_tradnl" w:eastAsia="es-ES"/>
        </w:rPr>
        <w:t>CASO CONCRETO</w:t>
      </w:r>
    </w:p>
    <w:p w:rsidR="00AD6F86" w:rsidRPr="00021D1F" w:rsidRDefault="008E5B6D" w:rsidP="005B412F">
      <w:pPr>
        <w:spacing w:line="288" w:lineRule="auto"/>
        <w:ind w:firstLine="708"/>
        <w:jc w:val="both"/>
        <w:rPr>
          <w:rFonts w:ascii="Tahoma" w:hAnsi="Tahoma" w:cs="Tahoma"/>
          <w:sz w:val="20"/>
          <w:szCs w:val="20"/>
          <w:lang w:val="es-CO"/>
        </w:rPr>
      </w:pPr>
      <w:r>
        <w:rPr>
          <w:rFonts w:ascii="Tahoma" w:hAnsi="Tahoma" w:cs="Tahoma"/>
          <w:sz w:val="24"/>
          <w:szCs w:val="24"/>
          <w:lang w:val="es-CO"/>
        </w:rPr>
        <w:t xml:space="preserve"> </w:t>
      </w:r>
      <w:r w:rsidR="00AD6F86">
        <w:rPr>
          <w:rFonts w:ascii="Tahoma" w:hAnsi="Tahoma" w:cs="Tahoma"/>
          <w:sz w:val="24"/>
          <w:szCs w:val="24"/>
          <w:lang w:val="es-CO"/>
        </w:rPr>
        <w:t xml:space="preserve">   </w:t>
      </w:r>
    </w:p>
    <w:p w:rsidR="0079350A" w:rsidRPr="00EC29A5" w:rsidRDefault="00021D1F" w:rsidP="005B412F">
      <w:pPr>
        <w:spacing w:line="288" w:lineRule="auto"/>
        <w:ind w:firstLine="708"/>
        <w:jc w:val="both"/>
        <w:rPr>
          <w:rFonts w:ascii="Tahoma" w:hAnsi="Tahoma" w:cs="Tahoma"/>
          <w:sz w:val="24"/>
          <w:szCs w:val="24"/>
          <w:lang w:val="es-CO"/>
        </w:rPr>
      </w:pPr>
      <w:r>
        <w:rPr>
          <w:rFonts w:ascii="Tahoma" w:hAnsi="Tahoma" w:cs="Tahoma"/>
          <w:sz w:val="24"/>
          <w:szCs w:val="24"/>
          <w:lang w:val="es-CO"/>
        </w:rPr>
        <w:t>Son suficientes</w:t>
      </w:r>
      <w:r w:rsidR="0079350A" w:rsidRPr="00EC29A5">
        <w:rPr>
          <w:rFonts w:ascii="Tahoma" w:hAnsi="Tahoma" w:cs="Tahoma"/>
          <w:sz w:val="24"/>
          <w:szCs w:val="24"/>
          <w:lang w:val="es-CO"/>
        </w:rPr>
        <w:t xml:space="preserve"> los anteriores argumentos para revocar la decisión objeto del recurso de apelación, pues conforme a </w:t>
      </w:r>
      <w:r>
        <w:rPr>
          <w:rFonts w:ascii="Tahoma" w:hAnsi="Tahoma" w:cs="Tahoma"/>
          <w:sz w:val="24"/>
          <w:szCs w:val="24"/>
          <w:lang w:val="es-CO"/>
        </w:rPr>
        <w:t>la constancia secretarial del 28 de junio</w:t>
      </w:r>
      <w:r w:rsidR="0079350A" w:rsidRPr="00EC29A5">
        <w:rPr>
          <w:rFonts w:ascii="Tahoma" w:hAnsi="Tahoma" w:cs="Tahoma"/>
          <w:sz w:val="24"/>
          <w:szCs w:val="24"/>
          <w:lang w:val="es-CO"/>
        </w:rPr>
        <w:t xml:space="preserve"> de </w:t>
      </w:r>
      <w:r w:rsidR="00D941CD">
        <w:rPr>
          <w:rFonts w:ascii="Tahoma" w:hAnsi="Tahoma" w:cs="Tahoma"/>
          <w:sz w:val="24"/>
          <w:szCs w:val="24"/>
          <w:lang w:val="es-CO"/>
        </w:rPr>
        <w:t>2018 (Fl. 297</w:t>
      </w:r>
      <w:r w:rsidR="0079350A" w:rsidRPr="00EC29A5">
        <w:rPr>
          <w:rFonts w:ascii="Tahoma" w:hAnsi="Tahoma" w:cs="Tahoma"/>
          <w:sz w:val="24"/>
          <w:szCs w:val="24"/>
          <w:lang w:val="es-CO"/>
        </w:rPr>
        <w:t xml:space="preserve">), el término de traslado de la demanda a </w:t>
      </w:r>
      <w:r w:rsidR="0079350A" w:rsidRPr="00EC29A5">
        <w:rPr>
          <w:rFonts w:ascii="Tahoma" w:hAnsi="Tahoma" w:cs="Tahoma"/>
          <w:b/>
          <w:sz w:val="24"/>
          <w:szCs w:val="24"/>
          <w:lang w:val="es-CO"/>
        </w:rPr>
        <w:t>P</w:t>
      </w:r>
      <w:r w:rsidR="00D941CD">
        <w:rPr>
          <w:rFonts w:ascii="Tahoma" w:hAnsi="Tahoma" w:cs="Tahoma"/>
          <w:b/>
          <w:sz w:val="24"/>
          <w:szCs w:val="24"/>
          <w:lang w:val="es-CO"/>
        </w:rPr>
        <w:t>ROTECCIÓN</w:t>
      </w:r>
      <w:r w:rsidR="0079350A" w:rsidRPr="00EC29A5">
        <w:rPr>
          <w:rFonts w:ascii="Tahoma" w:hAnsi="Tahoma" w:cs="Tahoma"/>
          <w:b/>
          <w:sz w:val="24"/>
          <w:szCs w:val="24"/>
          <w:lang w:val="es-CO"/>
        </w:rPr>
        <w:t xml:space="preserve"> S.A.</w:t>
      </w:r>
      <w:r w:rsidR="0079350A" w:rsidRPr="00EC29A5">
        <w:rPr>
          <w:rFonts w:ascii="Tahoma" w:hAnsi="Tahoma" w:cs="Tahoma"/>
          <w:sz w:val="24"/>
          <w:szCs w:val="24"/>
          <w:lang w:val="es-CO"/>
        </w:rPr>
        <w:t xml:space="preserve"> (vinculada al proceso como litisco</w:t>
      </w:r>
      <w:r w:rsidR="00D941CD">
        <w:rPr>
          <w:rFonts w:ascii="Tahoma" w:hAnsi="Tahoma" w:cs="Tahoma"/>
          <w:sz w:val="24"/>
          <w:szCs w:val="24"/>
          <w:lang w:val="es-CO"/>
        </w:rPr>
        <w:t>nsorte necesaria) finalizó el 8 de junio</w:t>
      </w:r>
      <w:r w:rsidR="0079350A" w:rsidRPr="00EC29A5">
        <w:rPr>
          <w:rFonts w:ascii="Tahoma" w:hAnsi="Tahoma" w:cs="Tahoma"/>
          <w:sz w:val="24"/>
          <w:szCs w:val="24"/>
          <w:lang w:val="es-CO"/>
        </w:rPr>
        <w:t xml:space="preserve"> de 2018, y la reforma a la demanda se presentó dentro de los cinco (5) días siguientes</w:t>
      </w:r>
      <w:r w:rsidR="00D941CD">
        <w:rPr>
          <w:rFonts w:ascii="Tahoma" w:hAnsi="Tahoma" w:cs="Tahoma"/>
          <w:sz w:val="24"/>
          <w:szCs w:val="24"/>
          <w:lang w:val="es-CO"/>
        </w:rPr>
        <w:t>, puntualmente el 12 de junio del mismo año</w:t>
      </w:r>
      <w:r w:rsidR="0079350A" w:rsidRPr="00EC29A5">
        <w:rPr>
          <w:rFonts w:ascii="Tahoma" w:hAnsi="Tahoma" w:cs="Tahoma"/>
          <w:sz w:val="24"/>
          <w:szCs w:val="24"/>
          <w:lang w:val="es-CO"/>
        </w:rPr>
        <w:t>.</w:t>
      </w:r>
    </w:p>
    <w:p w:rsidR="0079350A" w:rsidRPr="00EC29A5" w:rsidRDefault="0079350A" w:rsidP="005B412F">
      <w:pPr>
        <w:spacing w:line="288" w:lineRule="auto"/>
        <w:ind w:firstLine="708"/>
        <w:jc w:val="both"/>
        <w:rPr>
          <w:rFonts w:ascii="Tahoma" w:hAnsi="Tahoma" w:cs="Tahoma"/>
          <w:sz w:val="24"/>
          <w:szCs w:val="24"/>
          <w:lang w:val="es-CO"/>
        </w:rPr>
      </w:pPr>
    </w:p>
    <w:p w:rsidR="00EC29A5" w:rsidRPr="00EC29A5" w:rsidRDefault="00EC29A5" w:rsidP="005B412F">
      <w:pPr>
        <w:spacing w:line="288" w:lineRule="auto"/>
        <w:ind w:firstLine="708"/>
        <w:jc w:val="both"/>
        <w:rPr>
          <w:rFonts w:ascii="Tahoma" w:eastAsia="Times New Roman" w:hAnsi="Tahoma" w:cs="Tahoma"/>
          <w:iCs/>
          <w:sz w:val="24"/>
          <w:szCs w:val="24"/>
          <w:lang w:val="es-ES_tradnl" w:eastAsia="es-ES"/>
        </w:rPr>
      </w:pPr>
      <w:r w:rsidRPr="00EC29A5">
        <w:rPr>
          <w:rFonts w:ascii="Tahoma" w:eastAsia="Times New Roman" w:hAnsi="Tahoma" w:cs="Tahoma"/>
          <w:iCs/>
          <w:sz w:val="24"/>
          <w:szCs w:val="24"/>
          <w:lang w:val="es-ES_tradnl" w:eastAsia="es-ES"/>
        </w:rPr>
        <w:t xml:space="preserve">Y es que pese a que dicho lapso, según la constancia a la que antes se hizo referencia, ya había sido contabilizado una vez feneció el traslado concedido a </w:t>
      </w:r>
      <w:r w:rsidR="00D941CD">
        <w:rPr>
          <w:rFonts w:ascii="Tahoma" w:eastAsia="Times New Roman" w:hAnsi="Tahoma" w:cs="Tahoma"/>
          <w:iCs/>
          <w:sz w:val="24"/>
          <w:szCs w:val="24"/>
          <w:lang w:val="es-ES_tradnl" w:eastAsia="es-ES"/>
        </w:rPr>
        <w:t>PORVENIR S.A.</w:t>
      </w:r>
      <w:r w:rsidRPr="00EC29A5">
        <w:rPr>
          <w:rFonts w:ascii="Tahoma" w:eastAsia="Times New Roman" w:hAnsi="Tahoma" w:cs="Tahoma"/>
          <w:iCs/>
          <w:sz w:val="24"/>
          <w:szCs w:val="24"/>
          <w:lang w:val="es-ES_tradnl" w:eastAsia="es-ES"/>
        </w:rPr>
        <w:t xml:space="preserve"> y </w:t>
      </w:r>
      <w:r w:rsidR="00D941CD">
        <w:rPr>
          <w:rFonts w:ascii="Tahoma" w:eastAsia="Times New Roman" w:hAnsi="Tahoma" w:cs="Tahoma"/>
          <w:iCs/>
          <w:sz w:val="24"/>
          <w:szCs w:val="24"/>
          <w:lang w:val="es-ES_tradnl" w:eastAsia="es-ES"/>
        </w:rPr>
        <w:t>OLD MUTUAL</w:t>
      </w:r>
      <w:r w:rsidRPr="00EC29A5">
        <w:rPr>
          <w:rFonts w:ascii="Tahoma" w:eastAsia="Times New Roman" w:hAnsi="Tahoma" w:cs="Tahoma"/>
          <w:iCs/>
          <w:sz w:val="24"/>
          <w:szCs w:val="24"/>
          <w:lang w:val="es-ES_tradnl" w:eastAsia="es-ES"/>
        </w:rPr>
        <w:t xml:space="preserve"> S.A. para dar respuesta a la demanda, la integración de un nuevo demandado rehabilitó dicho instrumento procesal al demandante, independientemente de que no hubiera hecho uso de este en la oportunidad pasada. </w:t>
      </w:r>
    </w:p>
    <w:p w:rsidR="00EC29A5" w:rsidRDefault="00EC29A5" w:rsidP="005B412F">
      <w:pPr>
        <w:spacing w:line="288" w:lineRule="auto"/>
        <w:jc w:val="both"/>
        <w:rPr>
          <w:rFonts w:ascii="Arial" w:eastAsia="Times New Roman" w:hAnsi="Arial"/>
          <w:iCs/>
          <w:sz w:val="24"/>
          <w:szCs w:val="24"/>
          <w:lang w:val="es-ES_tradnl" w:eastAsia="es-ES"/>
        </w:rPr>
      </w:pPr>
    </w:p>
    <w:p w:rsidR="00EC29A5" w:rsidRPr="00EC29A5" w:rsidRDefault="00EC29A5" w:rsidP="005B412F">
      <w:pPr>
        <w:spacing w:line="288" w:lineRule="auto"/>
        <w:ind w:firstLine="708"/>
        <w:jc w:val="both"/>
        <w:rPr>
          <w:rFonts w:ascii="Tahoma" w:eastAsia="Times New Roman" w:hAnsi="Tahoma" w:cs="Tahoma"/>
          <w:iCs/>
          <w:sz w:val="24"/>
          <w:szCs w:val="24"/>
          <w:lang w:val="es-ES_tradnl" w:eastAsia="es-ES"/>
        </w:rPr>
      </w:pPr>
      <w:r w:rsidRPr="00EC29A5">
        <w:rPr>
          <w:rFonts w:ascii="Tahoma" w:eastAsia="Times New Roman" w:hAnsi="Tahoma" w:cs="Tahoma"/>
          <w:iCs/>
          <w:sz w:val="24"/>
          <w:szCs w:val="24"/>
          <w:lang w:val="es-ES_tradnl" w:eastAsia="es-ES"/>
        </w:rPr>
        <w:t xml:space="preserve">En ese orden de ideas, considerando que no existe mérito para mantener la decisión de primer grado, ésta será revocada, para en su lugar ordenar al juzgado que se pronuncie frente a los requisitos </w:t>
      </w:r>
      <w:r w:rsidR="00D941CD">
        <w:rPr>
          <w:rFonts w:ascii="Tahoma" w:eastAsia="Times New Roman" w:hAnsi="Tahoma" w:cs="Tahoma"/>
          <w:iCs/>
          <w:sz w:val="24"/>
          <w:szCs w:val="24"/>
          <w:lang w:val="es-ES_tradnl" w:eastAsia="es-ES"/>
        </w:rPr>
        <w:t xml:space="preserve">de la reforma </w:t>
      </w:r>
      <w:r w:rsidRPr="00EC29A5">
        <w:rPr>
          <w:rFonts w:ascii="Tahoma" w:eastAsia="Times New Roman" w:hAnsi="Tahoma" w:cs="Tahoma"/>
          <w:iCs/>
          <w:sz w:val="24"/>
          <w:szCs w:val="24"/>
          <w:lang w:val="es-ES_tradnl" w:eastAsia="es-ES"/>
        </w:rPr>
        <w:t xml:space="preserve">a la demanda </w:t>
      </w:r>
      <w:r w:rsidR="00D941CD">
        <w:rPr>
          <w:rFonts w:ascii="Tahoma" w:eastAsia="Times New Roman" w:hAnsi="Tahoma" w:cs="Tahoma"/>
          <w:iCs/>
          <w:sz w:val="24"/>
          <w:szCs w:val="24"/>
          <w:lang w:val="es-ES_tradnl" w:eastAsia="es-ES"/>
        </w:rPr>
        <w:t xml:space="preserve">presentada por la señora VILMA OFIR QUINTERO RENDON </w:t>
      </w:r>
      <w:r w:rsidRPr="00EC29A5">
        <w:rPr>
          <w:rFonts w:ascii="Tahoma" w:eastAsia="Times New Roman" w:hAnsi="Tahoma" w:cs="Tahoma"/>
          <w:iCs/>
          <w:sz w:val="24"/>
          <w:szCs w:val="24"/>
          <w:lang w:val="es-ES_tradnl" w:eastAsia="es-ES"/>
        </w:rPr>
        <w:t>y de ser el caso proceda a correr traslado de la misma</w:t>
      </w:r>
      <w:r w:rsidR="00D941CD">
        <w:rPr>
          <w:rFonts w:ascii="Tahoma" w:eastAsia="Times New Roman" w:hAnsi="Tahoma" w:cs="Tahoma"/>
          <w:iCs/>
          <w:sz w:val="24"/>
          <w:szCs w:val="24"/>
          <w:lang w:val="es-ES_tradnl" w:eastAsia="es-ES"/>
        </w:rPr>
        <w:t>,</w:t>
      </w:r>
      <w:r w:rsidRPr="00EC29A5">
        <w:rPr>
          <w:rFonts w:ascii="Tahoma" w:eastAsia="Times New Roman" w:hAnsi="Tahoma" w:cs="Tahoma"/>
          <w:iCs/>
          <w:sz w:val="24"/>
          <w:szCs w:val="24"/>
          <w:lang w:val="es-ES_tradnl" w:eastAsia="es-ES"/>
        </w:rPr>
        <w:t xml:space="preserve"> conforme lo ordena el inciso 3º del artículo 28 del C.P.T. y de la S.S. </w:t>
      </w:r>
      <w:r w:rsidRPr="00EC29A5">
        <w:rPr>
          <w:rFonts w:ascii="Tahoma" w:hAnsi="Tahoma" w:cs="Tahoma"/>
          <w:sz w:val="24"/>
          <w:szCs w:val="24"/>
        </w:rPr>
        <w:t>Sin costas en esta instancia.</w:t>
      </w:r>
    </w:p>
    <w:p w:rsidR="00EC29A5" w:rsidRPr="00EC29A5" w:rsidRDefault="00EC29A5" w:rsidP="005B412F">
      <w:pPr>
        <w:spacing w:line="288" w:lineRule="auto"/>
        <w:jc w:val="both"/>
        <w:rPr>
          <w:rFonts w:ascii="Tahoma" w:hAnsi="Tahoma" w:cs="Tahoma"/>
          <w:sz w:val="24"/>
          <w:szCs w:val="24"/>
        </w:rPr>
      </w:pPr>
    </w:p>
    <w:p w:rsidR="00EC29A5" w:rsidRPr="00EC29A5" w:rsidRDefault="00EC29A5" w:rsidP="005B412F">
      <w:pPr>
        <w:spacing w:line="288" w:lineRule="auto"/>
        <w:ind w:firstLine="708"/>
        <w:jc w:val="both"/>
        <w:rPr>
          <w:rFonts w:ascii="Tahoma" w:hAnsi="Tahoma" w:cs="Tahoma"/>
          <w:sz w:val="24"/>
          <w:szCs w:val="24"/>
        </w:rPr>
      </w:pPr>
      <w:r w:rsidRPr="00EC29A5">
        <w:rPr>
          <w:rFonts w:ascii="Tahoma" w:hAnsi="Tahoma" w:cs="Tahoma"/>
          <w:sz w:val="24"/>
          <w:szCs w:val="24"/>
        </w:rPr>
        <w:t xml:space="preserve">En mérito de lo expuesto, la </w:t>
      </w:r>
      <w:r w:rsidRPr="00EC29A5">
        <w:rPr>
          <w:rFonts w:ascii="Tahoma" w:hAnsi="Tahoma" w:cs="Tahoma"/>
          <w:b/>
          <w:sz w:val="24"/>
          <w:szCs w:val="24"/>
        </w:rPr>
        <w:t>Sala No. 1 de Decisión Laboral del Tribunal Superior de Pereira</w:t>
      </w:r>
      <w:r w:rsidRPr="00EC29A5">
        <w:rPr>
          <w:rFonts w:ascii="Tahoma" w:hAnsi="Tahoma" w:cs="Tahoma"/>
          <w:sz w:val="24"/>
          <w:szCs w:val="24"/>
        </w:rPr>
        <w:t xml:space="preserve">, </w:t>
      </w:r>
    </w:p>
    <w:p w:rsidR="00EC29A5" w:rsidRPr="00EC29A5" w:rsidRDefault="00EC29A5" w:rsidP="005B412F">
      <w:pPr>
        <w:spacing w:line="288" w:lineRule="auto"/>
        <w:jc w:val="both"/>
        <w:rPr>
          <w:rFonts w:ascii="Tahoma" w:hAnsi="Tahoma" w:cs="Tahoma"/>
          <w:sz w:val="24"/>
          <w:szCs w:val="24"/>
        </w:rPr>
      </w:pPr>
    </w:p>
    <w:p w:rsidR="00EC29A5" w:rsidRPr="00EC29A5" w:rsidRDefault="00EC29A5" w:rsidP="005B412F">
      <w:pPr>
        <w:pStyle w:val="Textoindependiente"/>
        <w:spacing w:line="288" w:lineRule="auto"/>
        <w:jc w:val="center"/>
        <w:rPr>
          <w:rFonts w:ascii="Tahoma" w:hAnsi="Tahoma" w:cs="Tahoma"/>
          <w:b/>
          <w:sz w:val="24"/>
          <w:szCs w:val="24"/>
        </w:rPr>
      </w:pPr>
      <w:r w:rsidRPr="00EC29A5">
        <w:rPr>
          <w:rFonts w:ascii="Tahoma" w:hAnsi="Tahoma" w:cs="Tahoma"/>
          <w:b/>
          <w:sz w:val="24"/>
          <w:szCs w:val="24"/>
        </w:rPr>
        <w:t>RESUELVE</w:t>
      </w:r>
    </w:p>
    <w:p w:rsidR="00EC29A5" w:rsidRPr="00725140" w:rsidRDefault="00EC29A5" w:rsidP="005B412F">
      <w:pPr>
        <w:pStyle w:val="Textoindependiente"/>
        <w:spacing w:line="288" w:lineRule="auto"/>
        <w:rPr>
          <w:rFonts w:ascii="Tahoma" w:hAnsi="Tahoma" w:cs="Tahoma"/>
          <w:sz w:val="24"/>
          <w:szCs w:val="24"/>
        </w:rPr>
      </w:pPr>
    </w:p>
    <w:p w:rsidR="00EC29A5" w:rsidRPr="00725140" w:rsidRDefault="00EC29A5" w:rsidP="005B412F">
      <w:pPr>
        <w:spacing w:line="288" w:lineRule="auto"/>
        <w:ind w:right="20" w:firstLine="708"/>
        <w:jc w:val="both"/>
        <w:rPr>
          <w:rFonts w:ascii="Tahoma" w:eastAsia="Times New Roman" w:hAnsi="Tahoma" w:cs="Tahoma"/>
          <w:sz w:val="24"/>
          <w:szCs w:val="24"/>
          <w:lang w:val="es-ES_tradnl" w:eastAsia="es-ES"/>
        </w:rPr>
      </w:pPr>
      <w:r w:rsidRPr="00725140">
        <w:rPr>
          <w:rFonts w:ascii="Tahoma" w:eastAsia="Times New Roman" w:hAnsi="Tahoma" w:cs="Tahoma"/>
          <w:b/>
          <w:sz w:val="24"/>
          <w:szCs w:val="24"/>
          <w:lang w:val="es-ES_tradnl" w:eastAsia="es-ES"/>
        </w:rPr>
        <w:t xml:space="preserve">PRIMERO: REVOCAR </w:t>
      </w:r>
      <w:r w:rsidRPr="00725140">
        <w:rPr>
          <w:rFonts w:ascii="Tahoma" w:eastAsia="Times New Roman" w:hAnsi="Tahoma" w:cs="Tahoma"/>
          <w:sz w:val="24"/>
          <w:szCs w:val="24"/>
          <w:lang w:val="es-ES_tradnl" w:eastAsia="es-ES"/>
        </w:rPr>
        <w:t xml:space="preserve">las providencias proferidas por el Juzgado </w:t>
      </w:r>
      <w:r w:rsidR="00D941CD">
        <w:rPr>
          <w:rFonts w:ascii="Tahoma" w:eastAsia="Times New Roman" w:hAnsi="Tahoma" w:cs="Tahoma"/>
          <w:sz w:val="24"/>
          <w:szCs w:val="24"/>
          <w:lang w:val="es-ES_tradnl" w:eastAsia="es-ES"/>
        </w:rPr>
        <w:t>Quinto Laboral del Circuito el 28 de junio</w:t>
      </w:r>
      <w:r w:rsidRPr="00725140">
        <w:rPr>
          <w:rFonts w:ascii="Tahoma" w:eastAsia="Times New Roman" w:hAnsi="Tahoma" w:cs="Tahoma"/>
          <w:sz w:val="24"/>
          <w:szCs w:val="24"/>
          <w:lang w:val="es-ES_tradnl" w:eastAsia="es-ES"/>
        </w:rPr>
        <w:t xml:space="preserve"> y </w:t>
      </w:r>
      <w:r w:rsidR="00D941CD">
        <w:rPr>
          <w:rFonts w:ascii="Tahoma" w:eastAsia="Times New Roman" w:hAnsi="Tahoma" w:cs="Tahoma"/>
          <w:sz w:val="24"/>
          <w:szCs w:val="24"/>
          <w:lang w:val="es-ES_tradnl" w:eastAsia="es-ES"/>
        </w:rPr>
        <w:t>el 19 de julio</w:t>
      </w:r>
      <w:r w:rsidRPr="00725140">
        <w:rPr>
          <w:rFonts w:ascii="Tahoma" w:eastAsia="Times New Roman" w:hAnsi="Tahoma" w:cs="Tahoma"/>
          <w:sz w:val="24"/>
          <w:szCs w:val="24"/>
          <w:lang w:val="es-ES_tradnl" w:eastAsia="es-ES"/>
        </w:rPr>
        <w:t xml:space="preserve"> de 2018.</w:t>
      </w:r>
    </w:p>
    <w:p w:rsidR="00EC29A5" w:rsidRPr="00725140" w:rsidRDefault="00EC29A5" w:rsidP="005B412F">
      <w:pPr>
        <w:spacing w:line="288" w:lineRule="auto"/>
        <w:ind w:right="20"/>
        <w:jc w:val="both"/>
        <w:rPr>
          <w:rFonts w:ascii="Tahoma" w:eastAsia="Times New Roman" w:hAnsi="Tahoma" w:cs="Tahoma"/>
          <w:sz w:val="24"/>
          <w:szCs w:val="24"/>
          <w:lang w:val="es-ES_tradnl" w:eastAsia="es-ES"/>
        </w:rPr>
      </w:pPr>
    </w:p>
    <w:p w:rsidR="00EC29A5" w:rsidRPr="00725140" w:rsidRDefault="00EC29A5" w:rsidP="005B412F">
      <w:pPr>
        <w:spacing w:line="288" w:lineRule="auto"/>
        <w:ind w:firstLine="708"/>
        <w:jc w:val="both"/>
        <w:rPr>
          <w:rFonts w:ascii="Tahoma" w:eastAsia="Times New Roman" w:hAnsi="Tahoma" w:cs="Tahoma"/>
          <w:iCs/>
          <w:sz w:val="24"/>
          <w:szCs w:val="24"/>
          <w:lang w:val="es-ES_tradnl" w:eastAsia="es-ES"/>
        </w:rPr>
      </w:pPr>
      <w:r w:rsidRPr="00725140">
        <w:rPr>
          <w:rFonts w:ascii="Tahoma" w:eastAsia="Times New Roman" w:hAnsi="Tahoma" w:cs="Tahoma"/>
          <w:b/>
          <w:sz w:val="24"/>
          <w:szCs w:val="24"/>
          <w:lang w:val="es-ES_tradnl" w:eastAsia="es-ES"/>
        </w:rPr>
        <w:t>SEGUNDO:</w:t>
      </w:r>
      <w:r w:rsidRPr="00725140">
        <w:rPr>
          <w:rFonts w:ascii="Tahoma" w:eastAsia="Times New Roman" w:hAnsi="Tahoma" w:cs="Tahoma"/>
          <w:sz w:val="24"/>
          <w:szCs w:val="24"/>
          <w:lang w:val="es-ES_tradnl" w:eastAsia="es-ES"/>
        </w:rPr>
        <w:t xml:space="preserve"> </w:t>
      </w:r>
      <w:r w:rsidRPr="00725140">
        <w:rPr>
          <w:rFonts w:ascii="Tahoma" w:eastAsia="Times New Roman" w:hAnsi="Tahoma" w:cs="Tahoma"/>
          <w:b/>
          <w:iCs/>
          <w:sz w:val="24"/>
          <w:szCs w:val="24"/>
          <w:lang w:val="es-ES_tradnl" w:eastAsia="es-ES"/>
        </w:rPr>
        <w:t>ORDENAR</w:t>
      </w:r>
      <w:r w:rsidRPr="00725140">
        <w:rPr>
          <w:rFonts w:ascii="Tahoma" w:eastAsia="Times New Roman" w:hAnsi="Tahoma" w:cs="Tahoma"/>
          <w:iCs/>
          <w:sz w:val="24"/>
          <w:szCs w:val="24"/>
          <w:lang w:val="es-ES_tradnl" w:eastAsia="es-ES"/>
        </w:rPr>
        <w:t xml:space="preserve"> al juzgado de conocimiento que revise el cumplimiento de los requisitos legales del escrito de</w:t>
      </w:r>
      <w:r w:rsidR="00D941CD">
        <w:rPr>
          <w:rFonts w:ascii="Tahoma" w:eastAsia="Times New Roman" w:hAnsi="Tahoma" w:cs="Tahoma"/>
          <w:iCs/>
          <w:sz w:val="24"/>
          <w:szCs w:val="24"/>
          <w:lang w:val="es-ES_tradnl" w:eastAsia="es-ES"/>
        </w:rPr>
        <w:t xml:space="preserve"> reforma a la demanda presentado</w:t>
      </w:r>
      <w:r w:rsidRPr="00725140">
        <w:rPr>
          <w:rFonts w:ascii="Tahoma" w:eastAsia="Times New Roman" w:hAnsi="Tahoma" w:cs="Tahoma"/>
          <w:iCs/>
          <w:sz w:val="24"/>
          <w:szCs w:val="24"/>
          <w:lang w:val="es-ES_tradnl" w:eastAsia="es-ES"/>
        </w:rPr>
        <w:t xml:space="preserve"> por </w:t>
      </w:r>
      <w:r w:rsidR="00D941CD">
        <w:rPr>
          <w:rFonts w:ascii="Tahoma" w:eastAsia="Times New Roman" w:hAnsi="Tahoma" w:cs="Tahoma"/>
          <w:iCs/>
          <w:sz w:val="24"/>
          <w:szCs w:val="24"/>
          <w:lang w:val="es-ES_tradnl" w:eastAsia="es-ES"/>
        </w:rPr>
        <w:t>VILMA OFIR QUINTERO RENDON</w:t>
      </w:r>
      <w:r w:rsidRPr="00725140">
        <w:rPr>
          <w:rFonts w:ascii="Tahoma" w:eastAsia="Times New Roman" w:hAnsi="Tahoma" w:cs="Tahoma"/>
          <w:iCs/>
          <w:sz w:val="24"/>
          <w:szCs w:val="24"/>
          <w:lang w:val="es-ES_tradnl" w:eastAsia="es-ES"/>
        </w:rPr>
        <w:t xml:space="preserve"> y si es viable proceda a correr el traslado de que trata el inciso 3º del artículo 28 del CPT y SS.</w:t>
      </w:r>
    </w:p>
    <w:p w:rsidR="00EC29A5" w:rsidRPr="00725140" w:rsidRDefault="00EC29A5" w:rsidP="005B412F">
      <w:pPr>
        <w:widowControl w:val="0"/>
        <w:autoSpaceDE w:val="0"/>
        <w:autoSpaceDN w:val="0"/>
        <w:adjustRightInd w:val="0"/>
        <w:spacing w:line="288" w:lineRule="auto"/>
        <w:jc w:val="both"/>
        <w:rPr>
          <w:rFonts w:ascii="Tahoma" w:eastAsia="Times New Roman" w:hAnsi="Tahoma" w:cs="Tahoma"/>
          <w:sz w:val="24"/>
          <w:szCs w:val="24"/>
          <w:lang w:val="es-ES_tradnl" w:eastAsia="es-ES"/>
        </w:rPr>
      </w:pPr>
      <w:r w:rsidRPr="00725140">
        <w:rPr>
          <w:rFonts w:ascii="Tahoma" w:eastAsia="Times New Roman" w:hAnsi="Tahoma" w:cs="Tahoma"/>
          <w:b/>
          <w:sz w:val="24"/>
          <w:szCs w:val="24"/>
          <w:lang w:val="es-ES_tradnl" w:eastAsia="es-ES"/>
        </w:rPr>
        <w:t xml:space="preserve"> </w:t>
      </w:r>
    </w:p>
    <w:p w:rsidR="00EC29A5" w:rsidRPr="00725140" w:rsidRDefault="00EC29A5" w:rsidP="005B412F">
      <w:pPr>
        <w:widowControl w:val="0"/>
        <w:autoSpaceDE w:val="0"/>
        <w:autoSpaceDN w:val="0"/>
        <w:adjustRightInd w:val="0"/>
        <w:spacing w:line="288" w:lineRule="auto"/>
        <w:ind w:firstLine="708"/>
        <w:jc w:val="both"/>
        <w:rPr>
          <w:rFonts w:ascii="Tahoma" w:hAnsi="Tahoma" w:cs="Tahoma"/>
          <w:sz w:val="24"/>
          <w:szCs w:val="24"/>
        </w:rPr>
      </w:pPr>
      <w:r w:rsidRPr="00725140">
        <w:rPr>
          <w:rFonts w:ascii="Tahoma" w:hAnsi="Tahoma" w:cs="Tahoma"/>
          <w:sz w:val="24"/>
          <w:szCs w:val="24"/>
        </w:rPr>
        <w:t>Sin costas en esta instancia.</w:t>
      </w:r>
    </w:p>
    <w:p w:rsidR="00725140" w:rsidRPr="00725140" w:rsidRDefault="00725140" w:rsidP="005B412F">
      <w:pPr>
        <w:spacing w:line="288" w:lineRule="auto"/>
        <w:jc w:val="both"/>
        <w:rPr>
          <w:rFonts w:ascii="Arial" w:hAnsi="Arial" w:cs="Arial"/>
          <w:sz w:val="24"/>
          <w:szCs w:val="24"/>
        </w:rPr>
      </w:pPr>
    </w:p>
    <w:p w:rsidR="00725140" w:rsidRPr="00725140" w:rsidRDefault="00725140" w:rsidP="005B412F">
      <w:pPr>
        <w:spacing w:line="288" w:lineRule="auto"/>
        <w:jc w:val="both"/>
        <w:rPr>
          <w:rFonts w:ascii="Tahoma" w:hAnsi="Tahoma" w:cs="Tahoma"/>
          <w:sz w:val="24"/>
          <w:szCs w:val="24"/>
        </w:rPr>
      </w:pPr>
    </w:p>
    <w:p w:rsidR="00725140" w:rsidRPr="00725140" w:rsidRDefault="00725140" w:rsidP="005B412F">
      <w:pPr>
        <w:spacing w:line="288" w:lineRule="auto"/>
        <w:ind w:firstLine="708"/>
        <w:jc w:val="both"/>
        <w:rPr>
          <w:rFonts w:ascii="Tahoma" w:hAnsi="Tahoma" w:cs="Tahoma"/>
          <w:sz w:val="24"/>
          <w:szCs w:val="24"/>
        </w:rPr>
      </w:pPr>
      <w:r w:rsidRPr="00725140">
        <w:rPr>
          <w:rFonts w:ascii="Tahoma" w:hAnsi="Tahoma" w:cs="Tahoma"/>
          <w:sz w:val="24"/>
          <w:szCs w:val="24"/>
        </w:rPr>
        <w:t>La Magistrada ponente,</w:t>
      </w:r>
    </w:p>
    <w:p w:rsidR="00725140" w:rsidRDefault="00725140" w:rsidP="005B412F">
      <w:pPr>
        <w:spacing w:line="288" w:lineRule="auto"/>
        <w:rPr>
          <w:rFonts w:ascii="Tahoma" w:hAnsi="Tahoma" w:cs="Tahoma"/>
        </w:rPr>
      </w:pPr>
    </w:p>
    <w:p w:rsidR="005B412F" w:rsidRPr="00AC6C9A" w:rsidRDefault="005B412F" w:rsidP="005B412F">
      <w:pPr>
        <w:spacing w:line="288" w:lineRule="auto"/>
        <w:rPr>
          <w:rFonts w:ascii="Tahoma" w:hAnsi="Tahoma" w:cs="Tahoma"/>
        </w:rPr>
      </w:pPr>
    </w:p>
    <w:p w:rsidR="00725140" w:rsidRPr="00AC6C9A" w:rsidRDefault="00725140" w:rsidP="005B412F">
      <w:pPr>
        <w:spacing w:line="288" w:lineRule="auto"/>
        <w:rPr>
          <w:rFonts w:ascii="Tahoma" w:hAnsi="Tahoma" w:cs="Tahoma"/>
        </w:rPr>
      </w:pPr>
    </w:p>
    <w:p w:rsidR="00725140" w:rsidRPr="00725140" w:rsidRDefault="00725140" w:rsidP="005B412F">
      <w:pPr>
        <w:pStyle w:val="Ttulo3"/>
        <w:spacing w:before="0" w:line="288" w:lineRule="auto"/>
        <w:jc w:val="center"/>
        <w:rPr>
          <w:rFonts w:ascii="Tahoma" w:hAnsi="Tahoma" w:cs="Tahoma"/>
          <w:b/>
          <w:bCs/>
          <w:sz w:val="22"/>
          <w:szCs w:val="22"/>
        </w:rPr>
      </w:pPr>
      <w:r w:rsidRPr="00725140">
        <w:rPr>
          <w:rFonts w:ascii="Tahoma" w:hAnsi="Tahoma" w:cs="Tahoma"/>
          <w:b/>
          <w:color w:val="auto"/>
          <w:sz w:val="22"/>
          <w:szCs w:val="22"/>
        </w:rPr>
        <w:t>ANA LUCÍA CAICEDO CALDERÓN</w:t>
      </w:r>
    </w:p>
    <w:p w:rsidR="00725140" w:rsidRDefault="00725140" w:rsidP="005B412F">
      <w:pPr>
        <w:spacing w:line="288" w:lineRule="auto"/>
        <w:rPr>
          <w:rFonts w:ascii="Tahoma" w:hAnsi="Tahoma" w:cs="Tahoma"/>
          <w:b/>
        </w:rPr>
      </w:pPr>
    </w:p>
    <w:p w:rsidR="00725140" w:rsidRDefault="00725140" w:rsidP="005B412F">
      <w:pPr>
        <w:spacing w:line="288" w:lineRule="auto"/>
        <w:rPr>
          <w:rFonts w:ascii="Tahoma" w:hAnsi="Tahoma" w:cs="Tahoma"/>
          <w:b/>
        </w:rPr>
      </w:pPr>
    </w:p>
    <w:p w:rsidR="00725140" w:rsidRPr="00AC6C9A" w:rsidRDefault="00725140" w:rsidP="005B412F">
      <w:pPr>
        <w:spacing w:line="288" w:lineRule="auto"/>
        <w:rPr>
          <w:rFonts w:ascii="Tahoma" w:hAnsi="Tahoma" w:cs="Tahoma"/>
          <w:b/>
        </w:rPr>
      </w:pPr>
    </w:p>
    <w:p w:rsidR="00725140" w:rsidRPr="00AC6C9A" w:rsidRDefault="00725140" w:rsidP="005B412F">
      <w:pPr>
        <w:spacing w:line="288" w:lineRule="auto"/>
        <w:rPr>
          <w:rFonts w:ascii="Tahoma" w:hAnsi="Tahoma" w:cs="Tahoma"/>
          <w:b/>
        </w:rPr>
      </w:pPr>
      <w:r>
        <w:rPr>
          <w:rFonts w:ascii="Tahoma" w:hAnsi="Tahoma" w:cs="Tahoma"/>
          <w:b/>
        </w:rPr>
        <w:t xml:space="preserve">OLGA LUCÍA HOYOS SEPULVEDA                               </w:t>
      </w:r>
      <w:r w:rsidRPr="00AC6C9A">
        <w:rPr>
          <w:rFonts w:ascii="Tahoma" w:hAnsi="Tahoma" w:cs="Tahoma"/>
          <w:b/>
        </w:rPr>
        <w:t>JULIO CÉSAR SALAZAR MUÑOZ</w:t>
      </w:r>
    </w:p>
    <w:p w:rsidR="00A7383E" w:rsidRPr="005B412F" w:rsidRDefault="00725140" w:rsidP="005B412F">
      <w:pPr>
        <w:spacing w:line="288" w:lineRule="auto"/>
        <w:ind w:firstLine="708"/>
        <w:rPr>
          <w:rFonts w:ascii="Tahoma" w:hAnsi="Tahoma" w:cs="Tahoma"/>
        </w:rPr>
      </w:pPr>
      <w:r>
        <w:rPr>
          <w:rFonts w:ascii="Tahoma" w:hAnsi="Tahoma" w:cs="Tahoma"/>
        </w:rPr>
        <w:t xml:space="preserve">   </w:t>
      </w:r>
      <w:r w:rsidRPr="00AC6C9A">
        <w:rPr>
          <w:rFonts w:ascii="Tahoma" w:hAnsi="Tahoma" w:cs="Tahoma"/>
        </w:rPr>
        <w:t>Magistrad</w:t>
      </w:r>
      <w:r>
        <w:rPr>
          <w:rFonts w:ascii="Tahoma" w:hAnsi="Tahoma" w:cs="Tahoma"/>
        </w:rPr>
        <w:t>a                                                                       Magistrado</w:t>
      </w:r>
    </w:p>
    <w:sectPr w:rsidR="00A7383E" w:rsidRPr="005B412F" w:rsidSect="005B412F">
      <w:headerReference w:type="default" r:id="rId8"/>
      <w:footerReference w:type="default" r:id="rId9"/>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706" w:rsidRDefault="00070706" w:rsidP="00FD2C9B">
      <w:pPr>
        <w:spacing w:line="240" w:lineRule="auto"/>
      </w:pPr>
      <w:r>
        <w:separator/>
      </w:r>
    </w:p>
  </w:endnote>
  <w:endnote w:type="continuationSeparator" w:id="0">
    <w:p w:rsidR="00070706" w:rsidRDefault="00070706" w:rsidP="00FD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556833"/>
      <w:docPartObj>
        <w:docPartGallery w:val="Page Numbers (Bottom of Page)"/>
        <w:docPartUnique/>
      </w:docPartObj>
    </w:sdtPr>
    <w:sdtEndPr/>
    <w:sdtContent>
      <w:p w:rsidR="00C92F21" w:rsidRDefault="00AC25DA" w:rsidP="005B412F">
        <w:pPr>
          <w:pStyle w:val="Piedepgina"/>
          <w:jc w:val="right"/>
        </w:pPr>
        <w:r w:rsidRPr="005B412F">
          <w:rPr>
            <w:rFonts w:ascii="Arial" w:hAnsi="Arial" w:cs="Arial"/>
            <w:sz w:val="18"/>
            <w:szCs w:val="14"/>
            <w:lang w:val="es-CO"/>
          </w:rPr>
          <w:fldChar w:fldCharType="begin"/>
        </w:r>
        <w:r w:rsidRPr="005B412F">
          <w:rPr>
            <w:rFonts w:ascii="Arial" w:hAnsi="Arial" w:cs="Arial"/>
            <w:sz w:val="18"/>
            <w:szCs w:val="14"/>
            <w:lang w:val="es-CO"/>
          </w:rPr>
          <w:instrText>PAGE   \* MERGEFORMAT</w:instrText>
        </w:r>
        <w:r w:rsidRPr="005B412F">
          <w:rPr>
            <w:rFonts w:ascii="Arial" w:hAnsi="Arial" w:cs="Arial"/>
            <w:sz w:val="18"/>
            <w:szCs w:val="14"/>
            <w:lang w:val="es-CO"/>
          </w:rPr>
          <w:fldChar w:fldCharType="separate"/>
        </w:r>
        <w:r w:rsidR="0060008C">
          <w:rPr>
            <w:rFonts w:ascii="Arial" w:hAnsi="Arial" w:cs="Arial"/>
            <w:noProof/>
            <w:sz w:val="18"/>
            <w:szCs w:val="14"/>
            <w:lang w:val="es-CO"/>
          </w:rPr>
          <w:t>2</w:t>
        </w:r>
        <w:r w:rsidRPr="005B412F">
          <w:rPr>
            <w:rFonts w:ascii="Arial" w:hAnsi="Arial" w:cs="Arial"/>
            <w:sz w:val="18"/>
            <w:szCs w:val="14"/>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706" w:rsidRDefault="00070706" w:rsidP="00FD2C9B">
      <w:pPr>
        <w:spacing w:line="240" w:lineRule="auto"/>
      </w:pPr>
      <w:r>
        <w:separator/>
      </w:r>
    </w:p>
  </w:footnote>
  <w:footnote w:type="continuationSeparator" w:id="0">
    <w:p w:rsidR="00070706" w:rsidRDefault="00070706" w:rsidP="00FD2C9B">
      <w:pPr>
        <w:spacing w:line="240" w:lineRule="auto"/>
      </w:pPr>
      <w:r>
        <w:continuationSeparator/>
      </w:r>
    </w:p>
  </w:footnote>
  <w:footnote w:id="1">
    <w:p w:rsidR="005910C6" w:rsidRPr="005B412F" w:rsidRDefault="005910C6">
      <w:pPr>
        <w:pStyle w:val="Textonotapie"/>
        <w:rPr>
          <w:rFonts w:ascii="Arial" w:hAnsi="Arial" w:cs="Arial"/>
          <w:sz w:val="18"/>
          <w:lang w:val="es-CO"/>
        </w:rPr>
      </w:pPr>
      <w:r w:rsidRPr="005B412F">
        <w:rPr>
          <w:rStyle w:val="Refdenotaalpie"/>
          <w:rFonts w:ascii="Arial" w:hAnsi="Arial" w:cs="Arial"/>
          <w:sz w:val="18"/>
        </w:rPr>
        <w:footnoteRef/>
      </w:r>
      <w:r w:rsidRPr="005B412F">
        <w:rPr>
          <w:rFonts w:ascii="Arial" w:hAnsi="Arial" w:cs="Arial"/>
          <w:sz w:val="18"/>
        </w:rPr>
        <w:t xml:space="preserve"> </w:t>
      </w:r>
      <w:r w:rsidRPr="005B412F">
        <w:rPr>
          <w:rFonts w:ascii="Arial" w:hAnsi="Arial" w:cs="Arial"/>
          <w:sz w:val="18"/>
          <w:lang w:val="es-CO"/>
        </w:rPr>
        <w:t>El término para que la AFP OLD MUTUAL contestara vencía el 20 de junio de 2017, Fls. 186</w:t>
      </w:r>
    </w:p>
  </w:footnote>
  <w:footnote w:id="2">
    <w:p w:rsidR="005910C6" w:rsidRPr="005B412F" w:rsidRDefault="005910C6">
      <w:pPr>
        <w:pStyle w:val="Textonotapie"/>
        <w:rPr>
          <w:rFonts w:ascii="Arial" w:hAnsi="Arial" w:cs="Arial"/>
          <w:sz w:val="18"/>
          <w:lang w:val="es-CO"/>
        </w:rPr>
      </w:pPr>
      <w:r w:rsidRPr="005B412F">
        <w:rPr>
          <w:rStyle w:val="Refdenotaalpie"/>
          <w:rFonts w:ascii="Arial" w:hAnsi="Arial" w:cs="Arial"/>
          <w:sz w:val="18"/>
        </w:rPr>
        <w:footnoteRef/>
      </w:r>
      <w:r w:rsidRPr="005B412F">
        <w:rPr>
          <w:rFonts w:ascii="Arial" w:hAnsi="Arial" w:cs="Arial"/>
          <w:sz w:val="18"/>
        </w:rPr>
        <w:t xml:space="preserve"> </w:t>
      </w:r>
      <w:r w:rsidRPr="005B412F">
        <w:rPr>
          <w:rFonts w:ascii="Arial" w:hAnsi="Arial" w:cs="Arial"/>
          <w:sz w:val="18"/>
          <w:lang w:val="es-CO"/>
        </w:rPr>
        <w:t>El 24 de mayo se notifica personalmente del auto que ordena su vinculación al proceso (Fl- 262)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21" w:rsidRPr="005B412F" w:rsidRDefault="00AD6F86">
    <w:pPr>
      <w:pStyle w:val="Encabezado"/>
      <w:rPr>
        <w:rFonts w:ascii="Arial" w:hAnsi="Arial" w:cs="Arial"/>
        <w:sz w:val="18"/>
        <w:szCs w:val="14"/>
        <w:lang w:val="es-CO"/>
      </w:rPr>
    </w:pPr>
    <w:r w:rsidRPr="005B412F">
      <w:rPr>
        <w:rFonts w:ascii="Arial" w:hAnsi="Arial" w:cs="Arial"/>
        <w:sz w:val="18"/>
        <w:szCs w:val="14"/>
        <w:lang w:val="es-CO"/>
      </w:rPr>
      <w:t xml:space="preserve">Demandante: </w:t>
    </w:r>
    <w:r w:rsidR="00021D1F" w:rsidRPr="005B412F">
      <w:rPr>
        <w:rFonts w:ascii="Arial" w:hAnsi="Arial" w:cs="Arial"/>
        <w:sz w:val="18"/>
        <w:szCs w:val="14"/>
        <w:lang w:val="es-CO"/>
      </w:rPr>
      <w:t xml:space="preserve">Vilma Ofir Quintero Rendón </w:t>
    </w:r>
    <w:r w:rsidRPr="005B412F">
      <w:rPr>
        <w:rFonts w:ascii="Arial" w:hAnsi="Arial" w:cs="Arial"/>
        <w:sz w:val="18"/>
        <w:szCs w:val="14"/>
        <w:lang w:val="es-CO"/>
      </w:rPr>
      <w:t xml:space="preserve"> </w:t>
    </w:r>
  </w:p>
  <w:p w:rsidR="00C92F21" w:rsidRPr="005B412F" w:rsidRDefault="00AD6F86">
    <w:pPr>
      <w:pStyle w:val="Encabezado"/>
      <w:rPr>
        <w:rFonts w:ascii="Arial" w:hAnsi="Arial" w:cs="Arial"/>
        <w:sz w:val="18"/>
        <w:szCs w:val="14"/>
        <w:lang w:val="es-CO"/>
      </w:rPr>
    </w:pPr>
    <w:r w:rsidRPr="005B412F">
      <w:rPr>
        <w:rFonts w:ascii="Arial" w:hAnsi="Arial" w:cs="Arial"/>
        <w:sz w:val="18"/>
        <w:szCs w:val="14"/>
        <w:lang w:val="es-CO"/>
      </w:rPr>
      <w:t>Demandado: P</w:t>
    </w:r>
    <w:r w:rsidR="00021D1F" w:rsidRPr="005B412F">
      <w:rPr>
        <w:rFonts w:ascii="Arial" w:hAnsi="Arial" w:cs="Arial"/>
        <w:sz w:val="18"/>
        <w:szCs w:val="14"/>
        <w:lang w:val="es-CO"/>
      </w:rPr>
      <w:t xml:space="preserve">orvenir </w:t>
    </w:r>
    <w:r w:rsidRPr="005B412F">
      <w:rPr>
        <w:rFonts w:ascii="Arial" w:hAnsi="Arial" w:cs="Arial"/>
        <w:sz w:val="18"/>
        <w:szCs w:val="14"/>
        <w:lang w:val="es-CO"/>
      </w:rPr>
      <w:t xml:space="preserve"> S.A. y otros</w:t>
    </w:r>
  </w:p>
  <w:p w:rsidR="00C92F21" w:rsidRPr="005B412F" w:rsidRDefault="00021D1F" w:rsidP="00C92F21">
    <w:pPr>
      <w:pStyle w:val="Encabezado"/>
      <w:rPr>
        <w:rFonts w:ascii="Arial" w:hAnsi="Arial" w:cs="Arial"/>
        <w:sz w:val="18"/>
        <w:szCs w:val="14"/>
        <w:lang w:val="es-CO"/>
      </w:rPr>
    </w:pPr>
    <w:r w:rsidRPr="005B412F">
      <w:rPr>
        <w:rFonts w:ascii="Arial" w:hAnsi="Arial" w:cs="Arial"/>
        <w:sz w:val="18"/>
        <w:szCs w:val="14"/>
        <w:lang w:val="es-CO"/>
      </w:rPr>
      <w:t>Rad.: 2017-00105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64ED2"/>
    <w:multiLevelType w:val="hybridMultilevel"/>
    <w:tmpl w:val="D80285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BE3356B"/>
    <w:multiLevelType w:val="hybridMultilevel"/>
    <w:tmpl w:val="C0C286B6"/>
    <w:lvl w:ilvl="0" w:tplc="6228F7AE">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
    <w:nsid w:val="6D4A6DEA"/>
    <w:multiLevelType w:val="multilevel"/>
    <w:tmpl w:val="59383C02"/>
    <w:lvl w:ilvl="0">
      <w:start w:val="1"/>
      <w:numFmt w:val="upperRoman"/>
      <w:lvlText w:val="%1."/>
      <w:lvlJc w:val="left"/>
      <w:pPr>
        <w:ind w:left="1425" w:hanging="720"/>
      </w:pPr>
      <w:rPr>
        <w:rFonts w:ascii="Tahoma" w:hAnsi="Tahoma" w:cs="Tahoma" w:hint="default"/>
        <w:b/>
        <w:sz w:val="24"/>
        <w:szCs w:val="24"/>
      </w:rPr>
    </w:lvl>
    <w:lvl w:ilvl="1">
      <w:start w:val="1"/>
      <w:numFmt w:val="decimal"/>
      <w:isLgl/>
      <w:lvlText w:val="%1.%2."/>
      <w:lvlJc w:val="left"/>
      <w:pPr>
        <w:ind w:left="1425" w:hanging="720"/>
      </w:pPr>
      <w:rPr>
        <w:rFonts w:hint="default"/>
      </w:rPr>
    </w:lvl>
    <w:lvl w:ilvl="2">
      <w:start w:val="1"/>
      <w:numFmt w:val="decimal"/>
      <w:isLgl/>
      <w:lvlText w:val="%1.%2.%3."/>
      <w:lvlJc w:val="left"/>
      <w:pPr>
        <w:ind w:left="1785" w:hanging="108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2145" w:hanging="1440"/>
      </w:pPr>
      <w:rPr>
        <w:rFonts w:hint="default"/>
      </w:rPr>
    </w:lvl>
    <w:lvl w:ilvl="5">
      <w:start w:val="1"/>
      <w:numFmt w:val="decimal"/>
      <w:isLgl/>
      <w:lvlText w:val="%1.%2.%3.%4.%5.%6."/>
      <w:lvlJc w:val="left"/>
      <w:pPr>
        <w:ind w:left="2505" w:hanging="180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865" w:hanging="2160"/>
      </w:pPr>
      <w:rPr>
        <w:rFonts w:hint="default"/>
      </w:rPr>
    </w:lvl>
    <w:lvl w:ilvl="8">
      <w:start w:val="1"/>
      <w:numFmt w:val="decimal"/>
      <w:isLgl/>
      <w:lvlText w:val="%1.%2.%3.%4.%5.%6.%7.%8.%9."/>
      <w:lvlJc w:val="left"/>
      <w:pPr>
        <w:ind w:left="3225"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EF"/>
    <w:rsid w:val="00012217"/>
    <w:rsid w:val="00021D1F"/>
    <w:rsid w:val="00070706"/>
    <w:rsid w:val="001C2DEF"/>
    <w:rsid w:val="00202B3E"/>
    <w:rsid w:val="00242535"/>
    <w:rsid w:val="002A6C75"/>
    <w:rsid w:val="004716EC"/>
    <w:rsid w:val="005405F2"/>
    <w:rsid w:val="005910C6"/>
    <w:rsid w:val="005B412F"/>
    <w:rsid w:val="0060008C"/>
    <w:rsid w:val="0064088D"/>
    <w:rsid w:val="00725140"/>
    <w:rsid w:val="0079350A"/>
    <w:rsid w:val="008E5B6D"/>
    <w:rsid w:val="00933D99"/>
    <w:rsid w:val="0099237A"/>
    <w:rsid w:val="009B6229"/>
    <w:rsid w:val="00A7383E"/>
    <w:rsid w:val="00AC25DA"/>
    <w:rsid w:val="00AD6F86"/>
    <w:rsid w:val="00CB5376"/>
    <w:rsid w:val="00D37A21"/>
    <w:rsid w:val="00D941CD"/>
    <w:rsid w:val="00E31C03"/>
    <w:rsid w:val="00E87F69"/>
    <w:rsid w:val="00EC29A5"/>
    <w:rsid w:val="00FD2C9B"/>
    <w:rsid w:val="00FE50BF"/>
    <w:rsid w:val="00FF64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DB53E-33F9-4A4E-A5FC-A66ACD4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9B"/>
    <w:pPr>
      <w:spacing w:line="360" w:lineRule="auto"/>
      <w:ind w:firstLine="0"/>
      <w:jc w:val="left"/>
    </w:pPr>
  </w:style>
  <w:style w:type="paragraph" w:styleId="Ttulo3">
    <w:name w:val="heading 3"/>
    <w:basedOn w:val="Normal"/>
    <w:next w:val="Normal"/>
    <w:link w:val="Ttulo3Car"/>
    <w:uiPriority w:val="9"/>
    <w:semiHidden/>
    <w:unhideWhenUsed/>
    <w:qFormat/>
    <w:rsid w:val="007251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FD2C9B"/>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FD2C9B"/>
    <w:rPr>
      <w:rFonts w:asciiTheme="majorHAnsi" w:eastAsiaTheme="majorEastAsia" w:hAnsiTheme="majorHAnsi" w:cstheme="majorBidi"/>
      <w:i/>
      <w:iCs/>
      <w:color w:val="2E74B5" w:themeColor="accent1" w:themeShade="BF"/>
      <w:lang w:val="es-CO"/>
    </w:rPr>
  </w:style>
  <w:style w:type="paragraph" w:styleId="Encabezado">
    <w:name w:val="header"/>
    <w:basedOn w:val="Normal"/>
    <w:link w:val="EncabezadoCar"/>
    <w:uiPriority w:val="99"/>
    <w:unhideWhenUsed/>
    <w:rsid w:val="00FD2C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D2C9B"/>
  </w:style>
  <w:style w:type="paragraph" w:styleId="Piedepgina">
    <w:name w:val="footer"/>
    <w:basedOn w:val="Normal"/>
    <w:link w:val="PiedepginaCar"/>
    <w:uiPriority w:val="99"/>
    <w:unhideWhenUsed/>
    <w:rsid w:val="00FD2C9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D2C9B"/>
  </w:style>
  <w:style w:type="paragraph" w:styleId="Prrafodelista">
    <w:name w:val="List Paragraph"/>
    <w:basedOn w:val="Normal"/>
    <w:uiPriority w:val="34"/>
    <w:qFormat/>
    <w:rsid w:val="00FD2C9B"/>
    <w:pPr>
      <w:ind w:left="720"/>
      <w:contextualSpacing/>
    </w:pPr>
  </w:style>
  <w:style w:type="character" w:customStyle="1" w:styleId="apple-converted-space">
    <w:name w:val="apple-converted-space"/>
    <w:basedOn w:val="Fuentedeprrafopredeter"/>
    <w:rsid w:val="00FD2C9B"/>
  </w:style>
  <w:style w:type="paragraph" w:styleId="Textonotapie">
    <w:name w:val="footnote text"/>
    <w:basedOn w:val="Normal"/>
    <w:link w:val="TextonotapieCar"/>
    <w:uiPriority w:val="99"/>
    <w:unhideWhenUsed/>
    <w:rsid w:val="00FD2C9B"/>
    <w:pPr>
      <w:spacing w:line="240" w:lineRule="auto"/>
    </w:pPr>
    <w:rPr>
      <w:sz w:val="20"/>
      <w:szCs w:val="20"/>
    </w:rPr>
  </w:style>
  <w:style w:type="character" w:customStyle="1" w:styleId="TextonotapieCar">
    <w:name w:val="Texto nota pie Car"/>
    <w:basedOn w:val="Fuentedeprrafopredeter"/>
    <w:link w:val="Textonotapie"/>
    <w:uiPriority w:val="99"/>
    <w:rsid w:val="00FD2C9B"/>
    <w:rPr>
      <w:sz w:val="20"/>
      <w:szCs w:val="20"/>
    </w:rPr>
  </w:style>
  <w:style w:type="character" w:styleId="Refdenotaalpie">
    <w:name w:val="footnote reference"/>
    <w:basedOn w:val="Fuentedeprrafopredeter"/>
    <w:uiPriority w:val="99"/>
    <w:semiHidden/>
    <w:unhideWhenUsed/>
    <w:rsid w:val="00FD2C9B"/>
    <w:rPr>
      <w:vertAlign w:val="superscript"/>
    </w:rPr>
  </w:style>
  <w:style w:type="paragraph" w:styleId="NormalWeb">
    <w:name w:val="Normal (Web)"/>
    <w:basedOn w:val="Normal"/>
    <w:uiPriority w:val="99"/>
    <w:unhideWhenUsed/>
    <w:rsid w:val="00FD2C9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C29A5"/>
    <w:pPr>
      <w:jc w:val="both"/>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EC29A5"/>
    <w:rPr>
      <w:rFonts w:ascii="Arial" w:eastAsia="Times New Roman" w:hAnsi="Arial" w:cs="Times New Roman"/>
      <w:sz w:val="26"/>
      <w:szCs w:val="20"/>
      <w:lang w:val="es-ES_tradnl" w:eastAsia="x-none"/>
    </w:rPr>
  </w:style>
  <w:style w:type="character" w:customStyle="1" w:styleId="Ttulo3Car">
    <w:name w:val="Título 3 Car"/>
    <w:basedOn w:val="Fuentedeprrafopredeter"/>
    <w:link w:val="Ttulo3"/>
    <w:uiPriority w:val="9"/>
    <w:semiHidden/>
    <w:rsid w:val="00725140"/>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uiPriority w:val="99"/>
    <w:semiHidden/>
    <w:unhideWhenUsed/>
    <w:rsid w:val="00D941C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41CD"/>
    <w:rPr>
      <w:rFonts w:ascii="Segoe UI" w:hAnsi="Segoe UI" w:cs="Segoe UI"/>
      <w:sz w:val="18"/>
      <w:szCs w:val="18"/>
    </w:rPr>
  </w:style>
  <w:style w:type="paragraph" w:styleId="Sinespaciado">
    <w:name w:val="No Spacing"/>
    <w:link w:val="SinespaciadoCar"/>
    <w:uiPriority w:val="1"/>
    <w:qFormat/>
    <w:rsid w:val="005B412F"/>
    <w:pPr>
      <w:spacing w:line="240" w:lineRule="auto"/>
      <w:ind w:firstLine="0"/>
      <w:jc w:val="left"/>
    </w:pPr>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5B412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C1B43-3069-43DC-904E-EE3D09B0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1</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9</cp:revision>
  <cp:lastPrinted>2018-11-23T19:00:00Z</cp:lastPrinted>
  <dcterms:created xsi:type="dcterms:W3CDTF">2018-11-23T18:22:00Z</dcterms:created>
  <dcterms:modified xsi:type="dcterms:W3CDTF">2019-01-18T12:18:00Z</dcterms:modified>
</cp:coreProperties>
</file>