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4D" w:rsidRPr="00400CCC" w:rsidRDefault="00003B4D" w:rsidP="00003B4D">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 xml:space="preserve">Consulta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A53872">
        <w:rPr>
          <w:rFonts w:ascii="Arial" w:hAnsi="Arial" w:cs="Arial"/>
          <w:sz w:val="16"/>
          <w:szCs w:val="16"/>
        </w:rPr>
        <w:t>66001-31-05-001-2015-00535</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proofErr w:type="spellStart"/>
      <w:r w:rsidR="00A53872">
        <w:rPr>
          <w:rFonts w:ascii="Arial" w:hAnsi="Arial" w:cs="Arial"/>
          <w:iCs/>
          <w:sz w:val="16"/>
          <w:szCs w:val="16"/>
        </w:rPr>
        <w:t>Nohora</w:t>
      </w:r>
      <w:proofErr w:type="spellEnd"/>
      <w:r w:rsidR="00A53872">
        <w:rPr>
          <w:rFonts w:ascii="Arial" w:hAnsi="Arial" w:cs="Arial"/>
          <w:iCs/>
          <w:sz w:val="16"/>
          <w:szCs w:val="16"/>
        </w:rPr>
        <w:t xml:space="preserve"> Emilia Pérez</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proofErr w:type="spellStart"/>
      <w:r w:rsidR="002B4631">
        <w:rPr>
          <w:rFonts w:ascii="Arial" w:hAnsi="Arial" w:cs="Arial"/>
          <w:sz w:val="16"/>
          <w:szCs w:val="16"/>
        </w:rPr>
        <w:t>Colpensiones</w:t>
      </w:r>
      <w:proofErr w:type="spellEnd"/>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A53872">
        <w:rPr>
          <w:rFonts w:ascii="Arial" w:hAnsi="Arial" w:cs="Arial"/>
          <w:sz w:val="16"/>
          <w:szCs w:val="16"/>
        </w:rPr>
        <w:t>Primero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6400D5" w:rsidRDefault="006400D5" w:rsidP="006400D5">
      <w:pPr>
        <w:jc w:val="both"/>
        <w:rPr>
          <w:rFonts w:ascii="Arial" w:hAnsi="Arial" w:cs="Arial"/>
          <w:b/>
          <w:bCs/>
          <w:sz w:val="16"/>
          <w:szCs w:val="16"/>
          <w:u w:val="single"/>
        </w:rPr>
      </w:pPr>
    </w:p>
    <w:p w:rsidR="00E47684" w:rsidRPr="00E47684" w:rsidRDefault="00B93086" w:rsidP="00E47684">
      <w:pPr>
        <w:jc w:val="both"/>
        <w:rPr>
          <w:rFonts w:ascii="Arial" w:hAnsi="Arial" w:cs="Arial"/>
          <w:bCs/>
          <w:sz w:val="16"/>
          <w:szCs w:val="16"/>
        </w:rPr>
      </w:pPr>
      <w:r w:rsidRPr="006400D5">
        <w:rPr>
          <w:rFonts w:ascii="Arial" w:hAnsi="Arial" w:cs="Arial"/>
          <w:b/>
          <w:bCs/>
          <w:sz w:val="16"/>
          <w:szCs w:val="16"/>
          <w:u w:val="single"/>
        </w:rPr>
        <w:t>Tema:</w:t>
      </w:r>
      <w:r w:rsidR="006400D5">
        <w:rPr>
          <w:rFonts w:ascii="Arial" w:hAnsi="Arial" w:cs="Arial"/>
          <w:b/>
          <w:bCs/>
          <w:sz w:val="16"/>
          <w:szCs w:val="16"/>
        </w:rPr>
        <w:tab/>
      </w:r>
      <w:r w:rsidR="006400D5">
        <w:rPr>
          <w:rFonts w:ascii="Arial" w:hAnsi="Arial" w:cs="Arial"/>
          <w:b/>
          <w:bCs/>
          <w:sz w:val="16"/>
          <w:szCs w:val="16"/>
        </w:rPr>
        <w:tab/>
      </w:r>
      <w:r w:rsidR="006400D5">
        <w:rPr>
          <w:rFonts w:ascii="Arial" w:hAnsi="Arial" w:cs="Arial"/>
          <w:b/>
          <w:bCs/>
          <w:sz w:val="16"/>
          <w:szCs w:val="16"/>
        </w:rPr>
        <w:tab/>
      </w:r>
      <w:r w:rsidR="006400D5">
        <w:rPr>
          <w:rFonts w:ascii="Arial" w:hAnsi="Arial" w:cs="Arial"/>
          <w:b/>
          <w:bCs/>
          <w:sz w:val="16"/>
          <w:szCs w:val="16"/>
        </w:rPr>
        <w:tab/>
      </w:r>
      <w:r w:rsidR="006400D5">
        <w:rPr>
          <w:rFonts w:ascii="Arial" w:hAnsi="Arial" w:cs="Arial"/>
          <w:b/>
          <w:bCs/>
          <w:sz w:val="16"/>
          <w:szCs w:val="16"/>
        </w:rPr>
        <w:tab/>
      </w:r>
      <w:r w:rsidR="006400D5">
        <w:rPr>
          <w:rFonts w:ascii="Arial" w:hAnsi="Arial" w:cs="Arial"/>
          <w:b/>
          <w:bCs/>
          <w:sz w:val="16"/>
          <w:szCs w:val="16"/>
        </w:rPr>
        <w:tab/>
      </w:r>
      <w:r w:rsidR="00C875CB" w:rsidRPr="00E47684">
        <w:rPr>
          <w:rFonts w:ascii="Arial" w:hAnsi="Arial" w:cs="Arial"/>
          <w:b/>
          <w:bCs/>
          <w:sz w:val="16"/>
          <w:szCs w:val="16"/>
        </w:rPr>
        <w:t>INTERESES DE MORA EN PENSIONES DE INVALIDEZ / REQUISITO DE FIDELIDAD /</w:t>
      </w:r>
      <w:r w:rsidR="00E47684" w:rsidRPr="00E47684">
        <w:rPr>
          <w:rFonts w:ascii="Arial" w:hAnsi="Arial" w:cs="Arial"/>
          <w:b/>
          <w:bCs/>
          <w:sz w:val="16"/>
          <w:szCs w:val="16"/>
        </w:rPr>
        <w:t xml:space="preserve"> </w:t>
      </w:r>
      <w:r w:rsidR="00C875CB" w:rsidRPr="00E47684">
        <w:rPr>
          <w:rFonts w:ascii="Arial" w:hAnsi="Arial" w:cs="Arial"/>
          <w:b/>
          <w:bCs/>
          <w:sz w:val="16"/>
          <w:szCs w:val="16"/>
        </w:rPr>
        <w:t xml:space="preserve">DECLARADO INEXEQUIBLE / PRESCRIPCIÓN OBLIGACIONES PERIÓDICAS / </w:t>
      </w:r>
      <w:r w:rsidR="00E47684" w:rsidRPr="00E47684">
        <w:rPr>
          <w:rFonts w:ascii="Arial" w:hAnsi="Arial" w:cs="Arial"/>
          <w:b/>
          <w:bCs/>
          <w:sz w:val="16"/>
          <w:szCs w:val="16"/>
        </w:rPr>
        <w:t>REVOCA – CONDENA</w:t>
      </w:r>
      <w:r w:rsidR="00E47684">
        <w:rPr>
          <w:rFonts w:ascii="Arial" w:hAnsi="Arial" w:cs="Arial"/>
          <w:bCs/>
          <w:sz w:val="16"/>
          <w:szCs w:val="16"/>
        </w:rPr>
        <w:t xml:space="preserve"> - </w:t>
      </w:r>
      <w:r w:rsidR="00E47684" w:rsidRPr="00E47684">
        <w:rPr>
          <w:rFonts w:ascii="Arial" w:hAnsi="Arial" w:cs="Arial"/>
          <w:bCs/>
          <w:sz w:val="16"/>
          <w:szCs w:val="16"/>
        </w:rPr>
        <w:t xml:space="preserve">Si bien para la primera fecha, no se había declarado la inconstitucionalidad del requisito de fidelidad, sí había desaparecido para cuando se pidió y decidió la reclamación de la pensión de invalidez; por lo que, a la administradora de pensiones no le era dable negar el derecho pensional, en la medida en que como autoridad administrativa pudo optar por aplicar la excepción de inconstitucionalidad que se erige a partir del artículo 4 de la Constitución Política y en consecuencia, </w:t>
      </w:r>
      <w:proofErr w:type="spellStart"/>
      <w:r w:rsidR="00E47684" w:rsidRPr="00E47684">
        <w:rPr>
          <w:rFonts w:ascii="Arial" w:hAnsi="Arial" w:cs="Arial"/>
          <w:bCs/>
          <w:sz w:val="16"/>
          <w:szCs w:val="16"/>
        </w:rPr>
        <w:t>inaplicar</w:t>
      </w:r>
      <w:proofErr w:type="spellEnd"/>
      <w:r w:rsidR="00E47684" w:rsidRPr="00E47684">
        <w:rPr>
          <w:rFonts w:ascii="Arial" w:hAnsi="Arial" w:cs="Arial"/>
          <w:bCs/>
          <w:sz w:val="16"/>
          <w:szCs w:val="16"/>
        </w:rPr>
        <w:t xml:space="preserve"> el requisito de fidelidad, tal como lo hizo en su momento el operador judicial, cuando reconoció la pensión de invalidez. </w:t>
      </w:r>
    </w:p>
    <w:p w:rsidR="003D2CF1" w:rsidRDefault="00E47684" w:rsidP="006400D5">
      <w:pPr>
        <w:jc w:val="both"/>
        <w:rPr>
          <w:rFonts w:ascii="Arial" w:hAnsi="Arial" w:cs="Arial"/>
          <w:sz w:val="16"/>
          <w:szCs w:val="24"/>
        </w:rPr>
      </w:pPr>
      <w:r>
        <w:rPr>
          <w:rFonts w:ascii="Arial" w:hAnsi="Arial" w:cs="Arial"/>
          <w:sz w:val="16"/>
          <w:szCs w:val="24"/>
        </w:rPr>
        <w:t>(…)</w:t>
      </w:r>
      <w:bookmarkStart w:id="0" w:name="_GoBack"/>
      <w:bookmarkEnd w:id="0"/>
    </w:p>
    <w:p w:rsidR="00E47684" w:rsidRPr="00E47684" w:rsidRDefault="00E47684" w:rsidP="00E47684">
      <w:pPr>
        <w:jc w:val="both"/>
        <w:rPr>
          <w:rFonts w:ascii="Arial" w:hAnsi="Arial" w:cs="Arial"/>
          <w:sz w:val="16"/>
          <w:szCs w:val="24"/>
        </w:rPr>
      </w:pPr>
    </w:p>
    <w:p w:rsidR="00E47684" w:rsidRDefault="00E47684" w:rsidP="00E47684">
      <w:pPr>
        <w:jc w:val="both"/>
        <w:rPr>
          <w:rFonts w:ascii="Arial" w:hAnsi="Arial" w:cs="Arial"/>
          <w:sz w:val="16"/>
          <w:szCs w:val="24"/>
        </w:rPr>
      </w:pPr>
      <w:r w:rsidRPr="00E47684">
        <w:rPr>
          <w:rFonts w:ascii="Arial" w:hAnsi="Arial" w:cs="Arial"/>
          <w:sz w:val="16"/>
          <w:szCs w:val="24"/>
        </w:rPr>
        <w:t xml:space="preserve">En armonía con lo expuesto, para la Sala la decisión de </w:t>
      </w:r>
      <w:proofErr w:type="spellStart"/>
      <w:r w:rsidRPr="00E47684">
        <w:rPr>
          <w:rFonts w:ascii="Arial" w:hAnsi="Arial" w:cs="Arial"/>
          <w:sz w:val="16"/>
          <w:szCs w:val="24"/>
        </w:rPr>
        <w:t>Colpensiones</w:t>
      </w:r>
      <w:proofErr w:type="spellEnd"/>
      <w:r w:rsidRPr="00E47684">
        <w:rPr>
          <w:rFonts w:ascii="Arial" w:hAnsi="Arial" w:cs="Arial"/>
          <w:sz w:val="16"/>
          <w:szCs w:val="24"/>
        </w:rPr>
        <w:t xml:space="preserve"> de negar el reconocimiento de la pensión de invalidez dentro de los 4 meses siguientes a la reclamación, que vencieron el 30-11-2009; al no obedecer al estricto cumplimiento de la Ley, le genera la obligación de pagar los intereses moratorios de que trata el artículo 141 de la Ley 100 de 1993; por lo que se equivocó la Jueza al negarlos, y habrá lugar a reconocerlos.</w:t>
      </w:r>
    </w:p>
    <w:p w:rsidR="00E47684" w:rsidRDefault="00E47684" w:rsidP="006400D5">
      <w:pPr>
        <w:jc w:val="both"/>
        <w:rPr>
          <w:rFonts w:ascii="Arial" w:hAnsi="Arial" w:cs="Arial"/>
          <w:sz w:val="16"/>
          <w:szCs w:val="24"/>
        </w:rPr>
      </w:pPr>
      <w:r>
        <w:rPr>
          <w:rFonts w:ascii="Arial" w:hAnsi="Arial" w:cs="Arial"/>
          <w:sz w:val="16"/>
          <w:szCs w:val="24"/>
        </w:rPr>
        <w:t>(…)</w:t>
      </w:r>
    </w:p>
    <w:p w:rsidR="00E47684" w:rsidRDefault="00E47684" w:rsidP="006400D5">
      <w:pPr>
        <w:jc w:val="both"/>
        <w:rPr>
          <w:rFonts w:ascii="Arial" w:hAnsi="Arial" w:cs="Arial"/>
          <w:sz w:val="16"/>
          <w:szCs w:val="24"/>
        </w:rPr>
      </w:pPr>
    </w:p>
    <w:p w:rsidR="00E47684" w:rsidRPr="00E47684" w:rsidRDefault="00E47684" w:rsidP="00E47684">
      <w:pPr>
        <w:jc w:val="both"/>
        <w:rPr>
          <w:rFonts w:ascii="Arial" w:hAnsi="Arial" w:cs="Arial"/>
          <w:sz w:val="16"/>
          <w:szCs w:val="24"/>
        </w:rPr>
      </w:pPr>
      <w:r w:rsidRPr="00E47684">
        <w:rPr>
          <w:rFonts w:ascii="Arial" w:hAnsi="Arial" w:cs="Arial"/>
          <w:sz w:val="16"/>
          <w:szCs w:val="24"/>
        </w:rPr>
        <w:t xml:space="preserve">De acuerdo con lo dicho, los intereses de mora se causarían a partir del 01-12-2009; no obstante, como la entidad demandada propuso la excepción de prescripción y una vez se analiza su viabilidad, se tiene que está llamada a prosperar parcialmente, dado que se hicieron exigibles en la fecha mencionada, a partir de la cual comenzó a correr el término trienal  previsto en los artículos 488 del </w:t>
      </w:r>
      <w:proofErr w:type="spellStart"/>
      <w:r w:rsidRPr="00E47684">
        <w:rPr>
          <w:rFonts w:ascii="Arial" w:hAnsi="Arial" w:cs="Arial"/>
          <w:sz w:val="16"/>
          <w:szCs w:val="24"/>
        </w:rPr>
        <w:t>CST</w:t>
      </w:r>
      <w:proofErr w:type="spellEnd"/>
      <w:r w:rsidRPr="00E47684">
        <w:rPr>
          <w:rFonts w:ascii="Arial" w:hAnsi="Arial" w:cs="Arial"/>
          <w:sz w:val="16"/>
          <w:szCs w:val="24"/>
        </w:rPr>
        <w:t xml:space="preserve"> y 151 del </w:t>
      </w:r>
      <w:proofErr w:type="spellStart"/>
      <w:r w:rsidRPr="00E47684">
        <w:rPr>
          <w:rFonts w:ascii="Arial" w:hAnsi="Arial" w:cs="Arial"/>
          <w:sz w:val="16"/>
          <w:szCs w:val="24"/>
        </w:rPr>
        <w:t>CPTSS</w:t>
      </w:r>
      <w:proofErr w:type="spellEnd"/>
      <w:r w:rsidRPr="00E47684">
        <w:rPr>
          <w:rFonts w:ascii="Arial" w:hAnsi="Arial" w:cs="Arial"/>
          <w:sz w:val="16"/>
          <w:szCs w:val="24"/>
        </w:rPr>
        <w:t>.  Pero, como se trata de obligaciones periódicas, éste se interrumpió, para los no prescritos, con la reclamación presentada el 16-08-2013, por lo que de nuevo empezó a contabilizarse y antes de vencer los 3 años, se incoó la demanda el 08-10-2015, por lo que quedaron cobijados con la prescripción los intereses causados antes del 16-08-2010.</w:t>
      </w:r>
    </w:p>
    <w:p w:rsidR="00E47684" w:rsidRPr="00E47684" w:rsidRDefault="00E47684" w:rsidP="00E47684">
      <w:pPr>
        <w:jc w:val="both"/>
        <w:rPr>
          <w:rFonts w:ascii="Arial" w:hAnsi="Arial" w:cs="Arial"/>
          <w:sz w:val="16"/>
          <w:szCs w:val="24"/>
        </w:rPr>
      </w:pPr>
    </w:p>
    <w:p w:rsidR="00E47684" w:rsidRPr="006400D5" w:rsidRDefault="00E47684" w:rsidP="00E47684">
      <w:pPr>
        <w:jc w:val="both"/>
        <w:rPr>
          <w:rFonts w:ascii="Arial" w:hAnsi="Arial" w:cs="Arial"/>
          <w:sz w:val="16"/>
          <w:szCs w:val="24"/>
        </w:rPr>
      </w:pPr>
      <w:r w:rsidRPr="00E47684">
        <w:rPr>
          <w:rFonts w:ascii="Arial" w:hAnsi="Arial" w:cs="Arial"/>
          <w:sz w:val="16"/>
          <w:szCs w:val="24"/>
        </w:rPr>
        <w:t xml:space="preserve">En éste orden de ideas  se deberán reconocer los intereses moratorios del artículo 141 de la Ley 100 de 1993 a partir del 16-08-2010 hasta el 30-06-2013, al incluirse la actora en nómina de pensionados el 01-07-2013; los que liquidados sobre el retroactivo reconocido en la Resolución </w:t>
      </w:r>
      <w:proofErr w:type="spellStart"/>
      <w:r w:rsidRPr="00E47684">
        <w:rPr>
          <w:rFonts w:ascii="Arial" w:hAnsi="Arial" w:cs="Arial"/>
          <w:sz w:val="16"/>
          <w:szCs w:val="24"/>
        </w:rPr>
        <w:t>GNR</w:t>
      </w:r>
      <w:proofErr w:type="spellEnd"/>
      <w:r w:rsidRPr="00E47684">
        <w:rPr>
          <w:rFonts w:ascii="Arial" w:hAnsi="Arial" w:cs="Arial"/>
          <w:sz w:val="16"/>
          <w:szCs w:val="24"/>
        </w:rPr>
        <w:t xml:space="preserve"> 169045 de 03-07-2015, ascienden a la suma de $17.728.753.</w:t>
      </w:r>
    </w:p>
    <w:p w:rsidR="002B4631" w:rsidRDefault="002B4631" w:rsidP="003D2CF1">
      <w:pPr>
        <w:spacing w:line="276" w:lineRule="auto"/>
        <w:jc w:val="both"/>
        <w:rPr>
          <w:rFonts w:ascii="Arial" w:eastAsia="Calibri" w:hAnsi="Arial" w:cs="Arial"/>
          <w:szCs w:val="24"/>
          <w:lang w:val="es-CO" w:eastAsia="en-US"/>
        </w:rPr>
      </w:pP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A53872">
        <w:rPr>
          <w:rFonts w:ascii="Arial" w:eastAsia="Calibri" w:hAnsi="Arial" w:cs="Arial"/>
          <w:szCs w:val="24"/>
          <w:lang w:val="es-CO" w:eastAsia="en-US"/>
        </w:rPr>
        <w:t>veintisiete</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F657B">
        <w:rPr>
          <w:rFonts w:ascii="Arial" w:eastAsia="Calibri" w:hAnsi="Arial" w:cs="Arial"/>
          <w:szCs w:val="24"/>
          <w:lang w:val="es-CO" w:eastAsia="en-US"/>
        </w:rPr>
        <w:t>2</w:t>
      </w:r>
      <w:r w:rsidR="00A53872">
        <w:rPr>
          <w:rFonts w:ascii="Arial" w:eastAsia="Calibri" w:hAnsi="Arial" w:cs="Arial"/>
          <w:szCs w:val="24"/>
          <w:lang w:val="es-CO" w:eastAsia="en-US"/>
        </w:rPr>
        <w:t>7</w:t>
      </w:r>
      <w:r w:rsidRPr="00CF0D70">
        <w:rPr>
          <w:rFonts w:ascii="Arial" w:eastAsia="Calibri" w:hAnsi="Arial" w:cs="Arial"/>
          <w:szCs w:val="24"/>
          <w:lang w:val="es-CO" w:eastAsia="en-US"/>
        </w:rPr>
        <w:t xml:space="preserve">) días del mes de </w:t>
      </w:r>
      <w:r w:rsidR="004F657B">
        <w:rPr>
          <w:rFonts w:ascii="Arial" w:eastAsia="Calibri" w:hAnsi="Arial" w:cs="Arial"/>
          <w:szCs w:val="24"/>
          <w:lang w:val="es-CO" w:eastAsia="en-US"/>
        </w:rPr>
        <w:t>febrer</w:t>
      </w:r>
      <w:r w:rsidR="008E7316">
        <w:rPr>
          <w:rFonts w:ascii="Arial" w:eastAsia="Calibri" w:hAnsi="Arial" w:cs="Arial"/>
          <w:szCs w:val="24"/>
          <w:lang w:val="es-CO" w:eastAsia="en-US"/>
        </w:rPr>
        <w: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F657B">
        <w:rPr>
          <w:rFonts w:ascii="Arial" w:eastAsia="Calibri" w:hAnsi="Arial" w:cs="Arial"/>
          <w:szCs w:val="24"/>
          <w:lang w:val="es-CO" w:eastAsia="en-US"/>
        </w:rPr>
        <w:t>ocho</w:t>
      </w:r>
      <w:r w:rsidR="008E7316">
        <w:rPr>
          <w:rFonts w:ascii="Arial" w:eastAsia="Calibri" w:hAnsi="Arial" w:cs="Arial"/>
          <w:szCs w:val="24"/>
          <w:lang w:val="es-CO" w:eastAsia="en-US"/>
        </w:rPr>
        <w:t xml:space="preserve">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F657B">
        <w:rPr>
          <w:rFonts w:ascii="Arial" w:eastAsia="Calibri" w:hAnsi="Arial" w:cs="Arial"/>
          <w:szCs w:val="24"/>
          <w:lang w:val="es-CO" w:eastAsia="en-US"/>
        </w:rPr>
        <w:t>8</w:t>
      </w:r>
      <w:r w:rsidR="008E7316">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A53872">
        <w:rPr>
          <w:rFonts w:ascii="Arial" w:hAnsi="Arial" w:cs="Arial"/>
          <w:szCs w:val="24"/>
        </w:rPr>
        <w:t>23</w:t>
      </w:r>
      <w:r w:rsidR="00CF0D70">
        <w:rPr>
          <w:rFonts w:ascii="Arial" w:hAnsi="Arial" w:cs="Arial"/>
          <w:szCs w:val="24"/>
        </w:rPr>
        <w:t xml:space="preserve"> de </w:t>
      </w:r>
      <w:r w:rsidR="00A53872">
        <w:rPr>
          <w:rFonts w:ascii="Arial" w:hAnsi="Arial" w:cs="Arial"/>
          <w:szCs w:val="24"/>
        </w:rPr>
        <w:t>noviembre</w:t>
      </w:r>
      <w:r w:rsidR="003440CA">
        <w:rPr>
          <w:rFonts w:ascii="Arial" w:hAnsi="Arial" w:cs="Arial"/>
          <w:szCs w:val="24"/>
        </w:rPr>
        <w:t xml:space="preserve"> </w:t>
      </w:r>
      <w:r w:rsidR="00A53872">
        <w:rPr>
          <w:rFonts w:ascii="Arial" w:hAnsi="Arial" w:cs="Arial"/>
          <w:szCs w:val="24"/>
        </w:rPr>
        <w:t xml:space="preserve">de </w:t>
      </w:r>
      <w:r w:rsidRPr="00AC486E">
        <w:rPr>
          <w:rFonts w:ascii="Arial" w:hAnsi="Arial" w:cs="Arial"/>
          <w:szCs w:val="24"/>
        </w:rPr>
        <w:t>201</w:t>
      </w:r>
      <w:r w:rsidR="008E7316">
        <w:rPr>
          <w:rFonts w:ascii="Arial" w:hAnsi="Arial" w:cs="Arial"/>
          <w:szCs w:val="24"/>
        </w:rPr>
        <w:t>6</w:t>
      </w:r>
      <w:r w:rsidRPr="00AC486E">
        <w:rPr>
          <w:rFonts w:ascii="Arial" w:hAnsi="Arial" w:cs="Arial"/>
          <w:szCs w:val="24"/>
        </w:rPr>
        <w:t xml:space="preserve"> por el Juzgado </w:t>
      </w:r>
      <w:r w:rsidR="00A53872">
        <w:rPr>
          <w:rFonts w:ascii="Arial" w:hAnsi="Arial" w:cs="Arial"/>
          <w:szCs w:val="24"/>
        </w:rPr>
        <w:t>Primero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A53872">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53872">
        <w:rPr>
          <w:rFonts w:ascii="Arial" w:hAnsi="Arial" w:cs="Arial"/>
          <w:szCs w:val="24"/>
        </w:rPr>
        <w:t>a</w:t>
      </w:r>
      <w:r w:rsidR="003440CA">
        <w:rPr>
          <w:rFonts w:ascii="Arial" w:hAnsi="Arial" w:cs="Arial"/>
          <w:szCs w:val="24"/>
        </w:rPr>
        <w:t xml:space="preserve"> </w:t>
      </w:r>
      <w:proofErr w:type="spellStart"/>
      <w:r w:rsidR="00A53872">
        <w:rPr>
          <w:rFonts w:ascii="Arial" w:hAnsi="Arial" w:cs="Arial"/>
          <w:b/>
          <w:szCs w:val="24"/>
        </w:rPr>
        <w:t>Nohora</w:t>
      </w:r>
      <w:proofErr w:type="spellEnd"/>
      <w:r w:rsidR="00A53872">
        <w:rPr>
          <w:rFonts w:ascii="Arial" w:hAnsi="Arial" w:cs="Arial"/>
          <w:b/>
          <w:szCs w:val="24"/>
        </w:rPr>
        <w:t xml:space="preserve"> Emilia Pérez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 xml:space="preserve">Administradora Colombiana de Pensiones </w:t>
      </w:r>
      <w:proofErr w:type="spellStart"/>
      <w:r w:rsidR="004F657B">
        <w:rPr>
          <w:rFonts w:ascii="Arial" w:hAnsi="Arial" w:cs="Arial"/>
          <w:b/>
          <w:szCs w:val="16"/>
        </w:rPr>
        <w:t>Colpensiones</w:t>
      </w:r>
      <w:proofErr w:type="spellEnd"/>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w:t>
      </w:r>
      <w:r w:rsidR="00A53872">
        <w:rPr>
          <w:rFonts w:ascii="Arial" w:hAnsi="Arial" w:cs="Arial"/>
          <w:szCs w:val="16"/>
        </w:rPr>
        <w:t>1-2015-00535</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53872" w:rsidRDefault="00A53872" w:rsidP="00C32C0B">
      <w:pPr>
        <w:spacing w:line="276" w:lineRule="auto"/>
        <w:contextualSpacing/>
        <w:jc w:val="both"/>
        <w:rPr>
          <w:rFonts w:ascii="Arial" w:hAnsi="Arial" w:cs="Arial"/>
          <w:b/>
          <w:szCs w:val="24"/>
        </w:rPr>
      </w:pPr>
    </w:p>
    <w:p w:rsidR="00934871" w:rsidRDefault="00A53872" w:rsidP="00C32C0B">
      <w:pPr>
        <w:spacing w:line="276" w:lineRule="auto"/>
        <w:contextualSpacing/>
        <w:jc w:val="both"/>
        <w:rPr>
          <w:rFonts w:ascii="Arial" w:hAnsi="Arial" w:cs="Arial"/>
          <w:szCs w:val="24"/>
        </w:rPr>
      </w:pPr>
      <w:r>
        <w:rPr>
          <w:rFonts w:ascii="Arial" w:hAnsi="Arial" w:cs="Arial"/>
          <w:szCs w:val="24"/>
        </w:rPr>
        <w:t>La</w:t>
      </w:r>
      <w:r w:rsidR="00C32C0B">
        <w:rPr>
          <w:rFonts w:ascii="Arial" w:hAnsi="Arial" w:cs="Arial"/>
          <w:szCs w:val="24"/>
        </w:rPr>
        <w:t xml:space="preserve"> seño</w:t>
      </w:r>
      <w:r w:rsidR="00A87924">
        <w:rPr>
          <w:rFonts w:ascii="Arial" w:hAnsi="Arial" w:cs="Arial"/>
          <w:szCs w:val="24"/>
        </w:rPr>
        <w:t>r</w:t>
      </w:r>
      <w:r>
        <w:rPr>
          <w:rFonts w:ascii="Arial" w:hAnsi="Arial" w:cs="Arial"/>
          <w:szCs w:val="24"/>
        </w:rPr>
        <w:t>a</w:t>
      </w:r>
      <w:r w:rsidR="00A87924">
        <w:rPr>
          <w:rFonts w:ascii="Arial" w:hAnsi="Arial" w:cs="Arial"/>
          <w:szCs w:val="24"/>
        </w:rPr>
        <w:t xml:space="preserve"> </w:t>
      </w:r>
      <w:proofErr w:type="spellStart"/>
      <w:r>
        <w:rPr>
          <w:rFonts w:ascii="Arial" w:hAnsi="Arial" w:cs="Arial"/>
          <w:szCs w:val="24"/>
        </w:rPr>
        <w:t>Nohora</w:t>
      </w:r>
      <w:proofErr w:type="spellEnd"/>
      <w:r>
        <w:rPr>
          <w:rFonts w:ascii="Arial" w:hAnsi="Arial" w:cs="Arial"/>
          <w:szCs w:val="24"/>
        </w:rPr>
        <w:t xml:space="preserve"> Emilia Pérez</w:t>
      </w:r>
      <w:r w:rsidR="00C32C0B">
        <w:rPr>
          <w:rFonts w:ascii="Arial" w:hAnsi="Arial" w:cs="Arial"/>
          <w:szCs w:val="24"/>
        </w:rPr>
        <w:t xml:space="preserve"> </w:t>
      </w:r>
      <w:r w:rsidR="00060FD9">
        <w:rPr>
          <w:rFonts w:ascii="Arial" w:hAnsi="Arial" w:cs="Arial"/>
          <w:szCs w:val="24"/>
        </w:rPr>
        <w:t xml:space="preserve">pretende el </w:t>
      </w:r>
      <w:r w:rsidR="00C32C0B">
        <w:rPr>
          <w:rFonts w:ascii="Arial" w:hAnsi="Arial" w:cs="Arial"/>
          <w:szCs w:val="24"/>
        </w:rPr>
        <w:t>reconocimiento y pago de</w:t>
      </w:r>
      <w:r w:rsidR="00934871">
        <w:rPr>
          <w:rFonts w:ascii="Arial" w:hAnsi="Arial" w:cs="Arial"/>
          <w:szCs w:val="24"/>
        </w:rPr>
        <w:t xml:space="preserve"> los intereses moratorios</w:t>
      </w:r>
      <w:r w:rsidR="00463B97">
        <w:rPr>
          <w:rFonts w:ascii="Arial" w:hAnsi="Arial" w:cs="Arial"/>
          <w:szCs w:val="24"/>
        </w:rPr>
        <w:t xml:space="preserve"> desde el 11-11-2008, fecha en que se le causó </w:t>
      </w:r>
      <w:r w:rsidR="00BD0FBB">
        <w:rPr>
          <w:rFonts w:ascii="Arial" w:hAnsi="Arial" w:cs="Arial"/>
          <w:szCs w:val="24"/>
        </w:rPr>
        <w:t>el derecho a la pensión</w:t>
      </w:r>
      <w:r w:rsidR="00936943">
        <w:rPr>
          <w:rFonts w:ascii="Arial" w:hAnsi="Arial" w:cs="Arial"/>
          <w:szCs w:val="24"/>
        </w:rPr>
        <w:t>,</w:t>
      </w:r>
      <w:r w:rsidR="00BD0FBB">
        <w:rPr>
          <w:rFonts w:ascii="Arial" w:hAnsi="Arial" w:cs="Arial"/>
          <w:szCs w:val="24"/>
        </w:rPr>
        <w:t xml:space="preserve"> hasta</w:t>
      </w:r>
      <w:r w:rsidR="00463B97">
        <w:rPr>
          <w:rFonts w:ascii="Arial" w:hAnsi="Arial" w:cs="Arial"/>
          <w:szCs w:val="24"/>
        </w:rPr>
        <w:t xml:space="preserve"> agosto de 2013</w:t>
      </w:r>
      <w:r w:rsidR="00BD0FBB">
        <w:rPr>
          <w:rFonts w:ascii="Arial" w:hAnsi="Arial" w:cs="Arial"/>
          <w:szCs w:val="24"/>
        </w:rPr>
        <w:t>,</w:t>
      </w:r>
      <w:r w:rsidR="00463B97">
        <w:rPr>
          <w:rFonts w:ascii="Arial" w:hAnsi="Arial" w:cs="Arial"/>
          <w:szCs w:val="24"/>
        </w:rPr>
        <w:t xml:space="preserve"> cu</w:t>
      </w:r>
      <w:r w:rsidR="00060FD9">
        <w:rPr>
          <w:rFonts w:ascii="Arial" w:hAnsi="Arial" w:cs="Arial"/>
          <w:szCs w:val="24"/>
        </w:rPr>
        <w:t xml:space="preserve">ando se hizo efectivo su pago y </w:t>
      </w:r>
      <w:r w:rsidR="00936943">
        <w:rPr>
          <w:rFonts w:ascii="Arial" w:hAnsi="Arial" w:cs="Arial"/>
          <w:szCs w:val="24"/>
        </w:rPr>
        <w:t>sobre el</w:t>
      </w:r>
      <w:r w:rsidR="00463B97">
        <w:rPr>
          <w:rFonts w:ascii="Arial" w:hAnsi="Arial" w:cs="Arial"/>
          <w:szCs w:val="24"/>
        </w:rPr>
        <w:t xml:space="preserve"> retroactivo de la pensión reconocida en la Resolución GNR169045 de 03-07-2013 y la indexación</w:t>
      </w:r>
      <w:r w:rsidR="002E0A9F">
        <w:rPr>
          <w:rFonts w:ascii="Arial" w:hAnsi="Arial" w:cs="Arial"/>
          <w:szCs w:val="24"/>
        </w:rPr>
        <w:t>.</w:t>
      </w:r>
    </w:p>
    <w:p w:rsidR="00934871" w:rsidRDefault="00934871" w:rsidP="00C32C0B">
      <w:pPr>
        <w:spacing w:line="276" w:lineRule="auto"/>
        <w:contextualSpacing/>
        <w:jc w:val="both"/>
        <w:rPr>
          <w:rFonts w:ascii="Arial" w:hAnsi="Arial" w:cs="Arial"/>
          <w:szCs w:val="24"/>
        </w:rPr>
      </w:pPr>
    </w:p>
    <w:p w:rsidR="00ED23C1" w:rsidRDefault="00C32C0B" w:rsidP="00ED23C1">
      <w:pPr>
        <w:spacing w:line="276" w:lineRule="auto"/>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2E0A9F">
        <w:rPr>
          <w:rFonts w:ascii="Arial" w:hAnsi="Arial" w:cs="Arial"/>
          <w:szCs w:val="24"/>
        </w:rPr>
        <w:t xml:space="preserve"> nació el 22-05</w:t>
      </w:r>
      <w:r w:rsidR="00267279">
        <w:rPr>
          <w:rFonts w:ascii="Arial" w:hAnsi="Arial" w:cs="Arial"/>
          <w:szCs w:val="24"/>
        </w:rPr>
        <w:t>-195</w:t>
      </w:r>
      <w:r w:rsidR="002E0A9F">
        <w:rPr>
          <w:rFonts w:ascii="Arial" w:hAnsi="Arial" w:cs="Arial"/>
          <w:szCs w:val="24"/>
        </w:rPr>
        <w:t>5</w:t>
      </w:r>
      <w:r w:rsidR="00591806">
        <w:rPr>
          <w:rFonts w:ascii="Arial" w:hAnsi="Arial" w:cs="Arial"/>
          <w:szCs w:val="24"/>
        </w:rPr>
        <w:t xml:space="preserve">; </w:t>
      </w:r>
      <w:r w:rsidR="00554A00">
        <w:rPr>
          <w:rFonts w:ascii="Arial" w:hAnsi="Arial" w:cs="Arial"/>
          <w:szCs w:val="24"/>
        </w:rPr>
        <w:t>(ii)</w:t>
      </w:r>
      <w:r w:rsidR="00661881">
        <w:rPr>
          <w:rFonts w:ascii="Arial" w:hAnsi="Arial" w:cs="Arial"/>
          <w:szCs w:val="24"/>
        </w:rPr>
        <w:t xml:space="preserve"> </w:t>
      </w:r>
      <w:r w:rsidR="00936943">
        <w:rPr>
          <w:rFonts w:ascii="Arial" w:hAnsi="Arial" w:cs="Arial"/>
          <w:szCs w:val="24"/>
        </w:rPr>
        <w:t>tiene</w:t>
      </w:r>
      <w:r w:rsidR="00436183">
        <w:rPr>
          <w:rFonts w:ascii="Arial" w:hAnsi="Arial" w:cs="Arial"/>
          <w:szCs w:val="24"/>
        </w:rPr>
        <w:t xml:space="preserve"> una </w:t>
      </w:r>
      <w:proofErr w:type="spellStart"/>
      <w:r w:rsidR="00436183">
        <w:rPr>
          <w:rFonts w:ascii="Arial" w:hAnsi="Arial" w:cs="Arial"/>
          <w:szCs w:val="24"/>
        </w:rPr>
        <w:t>PCL</w:t>
      </w:r>
      <w:proofErr w:type="spellEnd"/>
      <w:r w:rsidR="00436183">
        <w:rPr>
          <w:rFonts w:ascii="Arial" w:hAnsi="Arial" w:cs="Arial"/>
          <w:szCs w:val="24"/>
        </w:rPr>
        <w:t xml:space="preserve"> de</w:t>
      </w:r>
      <w:r w:rsidR="00936943">
        <w:rPr>
          <w:rFonts w:ascii="Arial" w:hAnsi="Arial" w:cs="Arial"/>
          <w:szCs w:val="24"/>
        </w:rPr>
        <w:t>l</w:t>
      </w:r>
      <w:r w:rsidR="00436183">
        <w:rPr>
          <w:rFonts w:ascii="Arial" w:hAnsi="Arial" w:cs="Arial"/>
          <w:szCs w:val="24"/>
        </w:rPr>
        <w:t xml:space="preserve"> 51,06%, </w:t>
      </w:r>
      <w:r w:rsidR="001D77C0">
        <w:rPr>
          <w:rFonts w:ascii="Arial" w:hAnsi="Arial" w:cs="Arial"/>
          <w:szCs w:val="24"/>
        </w:rPr>
        <w:t xml:space="preserve">de </w:t>
      </w:r>
      <w:r w:rsidR="00436183">
        <w:rPr>
          <w:rFonts w:ascii="Arial" w:hAnsi="Arial" w:cs="Arial"/>
          <w:szCs w:val="24"/>
        </w:rPr>
        <w:t>origen común y fec</w:t>
      </w:r>
      <w:r w:rsidR="00936943">
        <w:rPr>
          <w:rFonts w:ascii="Arial" w:hAnsi="Arial" w:cs="Arial"/>
          <w:szCs w:val="24"/>
        </w:rPr>
        <w:t>ha de estructuración 11-11-2008;</w:t>
      </w:r>
      <w:r w:rsidR="001D77C0">
        <w:rPr>
          <w:rFonts w:ascii="Arial" w:hAnsi="Arial" w:cs="Arial"/>
          <w:szCs w:val="24"/>
        </w:rPr>
        <w:t xml:space="preserve"> (iii)</w:t>
      </w:r>
      <w:r w:rsidR="00936943">
        <w:rPr>
          <w:rFonts w:ascii="Arial" w:hAnsi="Arial" w:cs="Arial"/>
          <w:szCs w:val="24"/>
        </w:rPr>
        <w:t xml:space="preserve"> solicitó al </w:t>
      </w:r>
      <w:proofErr w:type="spellStart"/>
      <w:r w:rsidR="00936943">
        <w:rPr>
          <w:rFonts w:ascii="Arial" w:hAnsi="Arial" w:cs="Arial"/>
          <w:szCs w:val="24"/>
        </w:rPr>
        <w:t>ISS</w:t>
      </w:r>
      <w:proofErr w:type="spellEnd"/>
      <w:r w:rsidR="00936943">
        <w:rPr>
          <w:rFonts w:ascii="Arial" w:hAnsi="Arial" w:cs="Arial"/>
          <w:szCs w:val="24"/>
        </w:rPr>
        <w:t xml:space="preserve"> el 31-07-2009 el reconocimiento de la pensión de invalidez</w:t>
      </w:r>
      <w:r w:rsidR="001D77C0">
        <w:rPr>
          <w:rFonts w:ascii="Arial" w:hAnsi="Arial" w:cs="Arial"/>
          <w:szCs w:val="24"/>
        </w:rPr>
        <w:t>, quien</w:t>
      </w:r>
      <w:r w:rsidR="00936943">
        <w:rPr>
          <w:rFonts w:ascii="Arial" w:hAnsi="Arial" w:cs="Arial"/>
          <w:szCs w:val="24"/>
        </w:rPr>
        <w:t xml:space="preserve"> se l</w:t>
      </w:r>
      <w:r w:rsidR="001D77C0">
        <w:rPr>
          <w:rFonts w:ascii="Arial" w:hAnsi="Arial" w:cs="Arial"/>
          <w:szCs w:val="24"/>
        </w:rPr>
        <w:t>a</w:t>
      </w:r>
      <w:r w:rsidR="00936943">
        <w:rPr>
          <w:rFonts w:ascii="Arial" w:hAnsi="Arial" w:cs="Arial"/>
          <w:szCs w:val="24"/>
        </w:rPr>
        <w:t xml:space="preserve"> negó; </w:t>
      </w:r>
      <w:r w:rsidR="001D77C0">
        <w:rPr>
          <w:rFonts w:ascii="Arial" w:hAnsi="Arial" w:cs="Arial"/>
          <w:szCs w:val="24"/>
        </w:rPr>
        <w:t>(iv</w:t>
      </w:r>
      <w:r w:rsidR="00852518">
        <w:rPr>
          <w:rFonts w:ascii="Arial" w:hAnsi="Arial" w:cs="Arial"/>
          <w:szCs w:val="24"/>
        </w:rPr>
        <w:t>) mediante sentencia</w:t>
      </w:r>
      <w:r w:rsidR="001D77C0">
        <w:rPr>
          <w:rFonts w:ascii="Arial" w:hAnsi="Arial" w:cs="Arial"/>
          <w:szCs w:val="24"/>
        </w:rPr>
        <w:t xml:space="preserve"> del 14-12-2011 se</w:t>
      </w:r>
      <w:r w:rsidR="00852518">
        <w:rPr>
          <w:rFonts w:ascii="Arial" w:hAnsi="Arial" w:cs="Arial"/>
          <w:szCs w:val="24"/>
        </w:rPr>
        <w:t xml:space="preserve"> ordenó al </w:t>
      </w:r>
      <w:proofErr w:type="spellStart"/>
      <w:r w:rsidR="00852518">
        <w:rPr>
          <w:rFonts w:ascii="Arial" w:hAnsi="Arial" w:cs="Arial"/>
          <w:szCs w:val="24"/>
        </w:rPr>
        <w:t>ISS</w:t>
      </w:r>
      <w:proofErr w:type="spellEnd"/>
      <w:r w:rsidR="00852518">
        <w:rPr>
          <w:rFonts w:ascii="Arial" w:hAnsi="Arial" w:cs="Arial"/>
          <w:szCs w:val="24"/>
        </w:rPr>
        <w:t xml:space="preserve"> reconocer</w:t>
      </w:r>
      <w:r w:rsidR="001D77C0">
        <w:rPr>
          <w:rFonts w:ascii="Arial" w:hAnsi="Arial" w:cs="Arial"/>
          <w:szCs w:val="24"/>
        </w:rPr>
        <w:t>le</w:t>
      </w:r>
      <w:r w:rsidR="00852518">
        <w:rPr>
          <w:rFonts w:ascii="Arial" w:hAnsi="Arial" w:cs="Arial"/>
          <w:szCs w:val="24"/>
        </w:rPr>
        <w:t xml:space="preserve"> la </w:t>
      </w:r>
      <w:r w:rsidR="00936943">
        <w:rPr>
          <w:rFonts w:ascii="Arial" w:hAnsi="Arial" w:cs="Arial"/>
          <w:szCs w:val="24"/>
        </w:rPr>
        <w:t>pensión de invalidez</w:t>
      </w:r>
      <w:r w:rsidR="00852518">
        <w:rPr>
          <w:rFonts w:ascii="Arial" w:hAnsi="Arial" w:cs="Arial"/>
          <w:szCs w:val="24"/>
        </w:rPr>
        <w:t xml:space="preserve"> desde el 11-11-2008; (v) </w:t>
      </w:r>
      <w:proofErr w:type="spellStart"/>
      <w:r w:rsidR="00007F90">
        <w:rPr>
          <w:rFonts w:ascii="Arial" w:hAnsi="Arial" w:cs="Arial"/>
          <w:szCs w:val="24"/>
        </w:rPr>
        <w:t>Colpensiones</w:t>
      </w:r>
      <w:proofErr w:type="spellEnd"/>
      <w:r w:rsidR="00852518">
        <w:rPr>
          <w:rFonts w:ascii="Arial" w:hAnsi="Arial" w:cs="Arial"/>
          <w:szCs w:val="24"/>
        </w:rPr>
        <w:t xml:space="preserve"> dio cumplimiento a la orden judicial mediante Resolución </w:t>
      </w:r>
      <w:proofErr w:type="spellStart"/>
      <w:r w:rsidR="00007F90">
        <w:rPr>
          <w:rFonts w:ascii="Arial" w:hAnsi="Arial" w:cs="Arial"/>
          <w:szCs w:val="24"/>
        </w:rPr>
        <w:t>GNR</w:t>
      </w:r>
      <w:proofErr w:type="spellEnd"/>
      <w:r w:rsidR="00007F90">
        <w:rPr>
          <w:rFonts w:ascii="Arial" w:hAnsi="Arial" w:cs="Arial"/>
          <w:szCs w:val="24"/>
        </w:rPr>
        <w:t xml:space="preserve"> No.</w:t>
      </w:r>
      <w:r w:rsidR="00852518">
        <w:rPr>
          <w:rFonts w:ascii="Arial" w:hAnsi="Arial" w:cs="Arial"/>
          <w:szCs w:val="24"/>
        </w:rPr>
        <w:t>169045 del 03-07-2013</w:t>
      </w:r>
      <w:r w:rsidR="00A50909">
        <w:rPr>
          <w:rFonts w:ascii="Arial" w:hAnsi="Arial" w:cs="Arial"/>
          <w:szCs w:val="24"/>
        </w:rPr>
        <w:t xml:space="preserve"> junto con el retroactivo</w:t>
      </w:r>
      <w:r w:rsidR="00936943">
        <w:rPr>
          <w:rFonts w:ascii="Arial" w:hAnsi="Arial" w:cs="Arial"/>
          <w:szCs w:val="24"/>
        </w:rPr>
        <w:t>,</w:t>
      </w:r>
      <w:r w:rsidR="00A50909">
        <w:rPr>
          <w:rFonts w:ascii="Arial" w:hAnsi="Arial" w:cs="Arial"/>
          <w:szCs w:val="24"/>
        </w:rPr>
        <w:t xml:space="preserve"> pero omitió los intereses de mora</w:t>
      </w:r>
      <w:r w:rsidR="00852518">
        <w:rPr>
          <w:rFonts w:ascii="Arial" w:hAnsi="Arial" w:cs="Arial"/>
          <w:szCs w:val="24"/>
        </w:rPr>
        <w:t>;</w:t>
      </w:r>
      <w:r w:rsidR="00ED23C1" w:rsidRPr="00ED23C1">
        <w:rPr>
          <w:rFonts w:ascii="Arial" w:hAnsi="Arial" w:cs="Arial"/>
          <w:szCs w:val="24"/>
        </w:rPr>
        <w:t xml:space="preserve"> </w:t>
      </w:r>
      <w:r w:rsidR="00ED23C1">
        <w:rPr>
          <w:rFonts w:ascii="Arial" w:hAnsi="Arial" w:cs="Arial"/>
          <w:szCs w:val="24"/>
        </w:rPr>
        <w:t>(v</w:t>
      </w:r>
      <w:r w:rsidR="001D77C0">
        <w:rPr>
          <w:rFonts w:ascii="Arial" w:hAnsi="Arial" w:cs="Arial"/>
          <w:szCs w:val="24"/>
        </w:rPr>
        <w:t>i</w:t>
      </w:r>
      <w:r w:rsidR="00ED23C1">
        <w:rPr>
          <w:rFonts w:ascii="Arial" w:hAnsi="Arial" w:cs="Arial"/>
          <w:szCs w:val="24"/>
        </w:rPr>
        <w:t>) el 16-08-2013 solicitó a</w:t>
      </w:r>
      <w:r w:rsidR="00007F90">
        <w:rPr>
          <w:rFonts w:ascii="Arial" w:hAnsi="Arial" w:cs="Arial"/>
          <w:szCs w:val="24"/>
        </w:rPr>
        <w:t xml:space="preserve"> </w:t>
      </w:r>
      <w:proofErr w:type="spellStart"/>
      <w:r w:rsidR="00007F90">
        <w:rPr>
          <w:rFonts w:ascii="Arial" w:hAnsi="Arial" w:cs="Arial"/>
          <w:szCs w:val="24"/>
        </w:rPr>
        <w:t>Colpensiones</w:t>
      </w:r>
      <w:proofErr w:type="spellEnd"/>
      <w:r w:rsidR="00ED23C1">
        <w:rPr>
          <w:rFonts w:ascii="Arial" w:hAnsi="Arial" w:cs="Arial"/>
          <w:szCs w:val="24"/>
        </w:rPr>
        <w:t xml:space="preserve"> el reconocimiento de los aludidos intereses, pero a través de la Resolución </w:t>
      </w:r>
      <w:r w:rsidR="00090C40">
        <w:rPr>
          <w:rFonts w:ascii="Arial" w:hAnsi="Arial" w:cs="Arial"/>
          <w:szCs w:val="24"/>
        </w:rPr>
        <w:t xml:space="preserve">N° </w:t>
      </w:r>
      <w:proofErr w:type="spellStart"/>
      <w:r w:rsidR="00090C40">
        <w:rPr>
          <w:rFonts w:ascii="Arial" w:hAnsi="Arial" w:cs="Arial"/>
          <w:szCs w:val="24"/>
        </w:rPr>
        <w:t>GN</w:t>
      </w:r>
      <w:r w:rsidR="00060FD9">
        <w:rPr>
          <w:rFonts w:ascii="Arial" w:hAnsi="Arial" w:cs="Arial"/>
          <w:szCs w:val="24"/>
        </w:rPr>
        <w:t>R</w:t>
      </w:r>
      <w:proofErr w:type="spellEnd"/>
      <w:r w:rsidR="00060FD9">
        <w:rPr>
          <w:rFonts w:ascii="Arial" w:hAnsi="Arial" w:cs="Arial"/>
          <w:szCs w:val="24"/>
        </w:rPr>
        <w:t xml:space="preserve"> 134845 del 24-04-2014, los negó</w:t>
      </w:r>
      <w:r w:rsidR="00ED23C1">
        <w:rPr>
          <w:rFonts w:ascii="Arial" w:hAnsi="Arial" w:cs="Arial"/>
          <w:szCs w:val="24"/>
        </w:rPr>
        <w:t>.</w:t>
      </w:r>
    </w:p>
    <w:p w:rsidR="00A50909" w:rsidRDefault="00A50909" w:rsidP="00852518">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Pr="00144815">
        <w:rPr>
          <w:rFonts w:ascii="Arial" w:hAnsi="Arial" w:cs="Arial"/>
          <w:szCs w:val="24"/>
        </w:rPr>
        <w:t>se opuso a</w:t>
      </w:r>
      <w:r>
        <w:rPr>
          <w:rFonts w:ascii="Arial" w:hAnsi="Arial" w:cs="Arial"/>
          <w:b/>
          <w:szCs w:val="24"/>
        </w:rPr>
        <w:t xml:space="preserve"> </w:t>
      </w:r>
      <w:r>
        <w:rPr>
          <w:rFonts w:ascii="Arial" w:hAnsi="Arial" w:cs="Arial"/>
          <w:szCs w:val="24"/>
        </w:rPr>
        <w:t xml:space="preserve">todas las pretensiones de la demanda, como razones de la defensa manifestó que </w:t>
      </w:r>
      <w:r w:rsidR="00181759">
        <w:rPr>
          <w:rFonts w:ascii="Arial" w:hAnsi="Arial" w:cs="Arial"/>
          <w:szCs w:val="24"/>
        </w:rPr>
        <w:t>no reconoció</w:t>
      </w:r>
      <w:r w:rsidR="001B6BA8">
        <w:rPr>
          <w:rFonts w:ascii="Arial" w:hAnsi="Arial" w:cs="Arial"/>
          <w:szCs w:val="24"/>
        </w:rPr>
        <w:t xml:space="preserve"> intereses moratorios</w:t>
      </w:r>
      <w:r w:rsidR="001D77C0">
        <w:rPr>
          <w:rFonts w:ascii="Arial" w:hAnsi="Arial" w:cs="Arial"/>
          <w:szCs w:val="24"/>
        </w:rPr>
        <w:t xml:space="preserve"> </w:t>
      </w:r>
      <w:r w:rsidR="001B6BA8">
        <w:rPr>
          <w:rFonts w:ascii="Arial" w:hAnsi="Arial" w:cs="Arial"/>
          <w:szCs w:val="24"/>
        </w:rPr>
        <w:t>por cuanto sólo hasta diciembre de 2011</w:t>
      </w:r>
      <w:r w:rsidR="00181759">
        <w:rPr>
          <w:rFonts w:ascii="Arial" w:hAnsi="Arial" w:cs="Arial"/>
          <w:szCs w:val="24"/>
        </w:rPr>
        <w:t>,</w:t>
      </w:r>
      <w:r w:rsidR="001B6BA8">
        <w:rPr>
          <w:rFonts w:ascii="Arial" w:hAnsi="Arial" w:cs="Arial"/>
          <w:szCs w:val="24"/>
        </w:rPr>
        <w:t xml:space="preserve"> mediante sentencia judicial</w:t>
      </w:r>
      <w:r w:rsidR="00181759">
        <w:rPr>
          <w:rFonts w:ascii="Arial" w:hAnsi="Arial" w:cs="Arial"/>
          <w:szCs w:val="24"/>
        </w:rPr>
        <w:t>,</w:t>
      </w:r>
      <w:r w:rsidR="001B6BA8">
        <w:rPr>
          <w:rFonts w:ascii="Arial" w:hAnsi="Arial" w:cs="Arial"/>
          <w:szCs w:val="24"/>
        </w:rPr>
        <w:t xml:space="preserve"> le fue concedido el derecho a </w:t>
      </w:r>
      <w:r w:rsidR="00181759">
        <w:rPr>
          <w:rFonts w:ascii="Arial" w:hAnsi="Arial" w:cs="Arial"/>
          <w:szCs w:val="24"/>
        </w:rPr>
        <w:t>la pensión de invalidez, teniendo</w:t>
      </w:r>
      <w:r w:rsidR="001B6BA8">
        <w:rPr>
          <w:rFonts w:ascii="Arial" w:hAnsi="Arial" w:cs="Arial"/>
          <w:szCs w:val="24"/>
        </w:rPr>
        <w:t xml:space="preserve"> 10 meses</w:t>
      </w:r>
      <w:r w:rsidR="00DB5CE6">
        <w:rPr>
          <w:rFonts w:ascii="Arial" w:hAnsi="Arial" w:cs="Arial"/>
          <w:szCs w:val="24"/>
        </w:rPr>
        <w:t xml:space="preserve"> las entidades púbicas para el pago de las prestaciones </w:t>
      </w:r>
      <w:r w:rsidR="00193C45">
        <w:rPr>
          <w:rFonts w:ascii="Arial" w:hAnsi="Arial" w:cs="Arial"/>
          <w:szCs w:val="24"/>
        </w:rPr>
        <w:t xml:space="preserve">y si </w:t>
      </w:r>
      <w:r w:rsidR="00F364C2">
        <w:rPr>
          <w:rFonts w:ascii="Arial" w:hAnsi="Arial" w:cs="Arial"/>
          <w:szCs w:val="24"/>
        </w:rPr>
        <w:t>se extralimitó</w:t>
      </w:r>
      <w:r w:rsidR="008F6B00">
        <w:rPr>
          <w:rFonts w:ascii="Arial" w:hAnsi="Arial" w:cs="Arial"/>
          <w:szCs w:val="24"/>
        </w:rPr>
        <w:t>,</w:t>
      </w:r>
      <w:r w:rsidR="00DB5CE6">
        <w:rPr>
          <w:rFonts w:ascii="Arial" w:hAnsi="Arial" w:cs="Arial"/>
          <w:szCs w:val="24"/>
        </w:rPr>
        <w:t xml:space="preserve"> fue por no contar con la partida presupuestal para el pago</w:t>
      </w:r>
      <w:r>
        <w:rPr>
          <w:rFonts w:ascii="Arial" w:hAnsi="Arial" w:cs="Arial"/>
          <w:szCs w:val="24"/>
        </w:rPr>
        <w:t xml:space="preserve">. </w:t>
      </w:r>
      <w:r w:rsidR="00F364C2">
        <w:rPr>
          <w:rFonts w:ascii="Arial" w:hAnsi="Arial" w:cs="Arial"/>
          <w:szCs w:val="24"/>
        </w:rPr>
        <w:t>Propuso excepciones</w:t>
      </w:r>
      <w:r>
        <w:rPr>
          <w:rFonts w:ascii="Arial" w:hAnsi="Arial" w:cs="Arial"/>
          <w:szCs w:val="24"/>
        </w:rPr>
        <w:t xml:space="preserve"> de fondo que rotuló como “</w:t>
      </w:r>
      <w:r w:rsidR="00216E5E">
        <w:rPr>
          <w:rFonts w:ascii="Arial" w:hAnsi="Arial" w:cs="Arial"/>
          <w:szCs w:val="24"/>
        </w:rPr>
        <w:t>inexistencia de la obligación demandada</w:t>
      </w:r>
      <w:r>
        <w:rPr>
          <w:rFonts w:ascii="Arial" w:hAnsi="Arial" w:cs="Arial"/>
          <w:szCs w:val="24"/>
        </w:rPr>
        <w:t>”</w:t>
      </w:r>
      <w:r w:rsidR="00BC5C92">
        <w:rPr>
          <w:rFonts w:ascii="Arial" w:hAnsi="Arial" w:cs="Arial"/>
          <w:szCs w:val="24"/>
        </w:rPr>
        <w:t xml:space="preserve"> y “p</w:t>
      </w:r>
      <w:r>
        <w:rPr>
          <w:rFonts w:ascii="Arial" w:hAnsi="Arial" w:cs="Arial"/>
          <w:szCs w:val="24"/>
        </w:rPr>
        <w:t>rescripción”.</w:t>
      </w:r>
    </w:p>
    <w:p w:rsidR="00C32C0B" w:rsidRDefault="00C32C0B" w:rsidP="00C32C0B">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C32C0B" w:rsidRDefault="00C32C0B" w:rsidP="00C32C0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declaró</w:t>
      </w:r>
      <w:r w:rsidR="00E61923">
        <w:rPr>
          <w:rFonts w:ascii="Arial" w:hAnsi="Arial" w:cs="Arial"/>
          <w:color w:val="000000"/>
          <w:szCs w:val="24"/>
          <w:lang w:eastAsia="es-CO"/>
        </w:rPr>
        <w:t xml:space="preserve"> probada la excepción de inexistencia de la obligación propuesta por la entidad demandada</w:t>
      </w:r>
      <w:r w:rsidR="003676E4">
        <w:rPr>
          <w:rFonts w:ascii="Arial" w:hAnsi="Arial" w:cs="Arial"/>
          <w:color w:val="000000"/>
          <w:szCs w:val="24"/>
          <w:lang w:eastAsia="es-CO"/>
        </w:rPr>
        <w:t xml:space="preserve">, en </w:t>
      </w:r>
      <w:r w:rsidR="00060FD9">
        <w:rPr>
          <w:rFonts w:ascii="Arial" w:hAnsi="Arial" w:cs="Arial"/>
          <w:color w:val="000000"/>
          <w:szCs w:val="24"/>
          <w:lang w:eastAsia="es-CO"/>
        </w:rPr>
        <w:t>consecuencia</w:t>
      </w:r>
      <w:r w:rsidR="001D77C0">
        <w:rPr>
          <w:rFonts w:ascii="Arial" w:hAnsi="Arial" w:cs="Arial"/>
          <w:color w:val="000000"/>
          <w:szCs w:val="24"/>
          <w:lang w:eastAsia="es-CO"/>
        </w:rPr>
        <w:t>,</w:t>
      </w:r>
      <w:r w:rsidR="00060FD9">
        <w:rPr>
          <w:rFonts w:ascii="Arial" w:hAnsi="Arial" w:cs="Arial"/>
          <w:color w:val="000000"/>
          <w:szCs w:val="24"/>
          <w:lang w:eastAsia="es-CO"/>
        </w:rPr>
        <w:t xml:space="preserve"> la </w:t>
      </w:r>
      <w:r w:rsidR="003676E4">
        <w:rPr>
          <w:rFonts w:ascii="Arial" w:hAnsi="Arial" w:cs="Arial"/>
          <w:color w:val="000000"/>
          <w:szCs w:val="24"/>
          <w:lang w:eastAsia="es-CO"/>
        </w:rPr>
        <w:t xml:space="preserve">absolvió de las </w:t>
      </w:r>
      <w:r w:rsidR="00242429">
        <w:rPr>
          <w:rFonts w:ascii="Arial" w:hAnsi="Arial" w:cs="Arial"/>
          <w:color w:val="000000"/>
          <w:szCs w:val="24"/>
          <w:lang w:eastAsia="es-CO"/>
        </w:rPr>
        <w:t>pretensiones</w:t>
      </w:r>
      <w:r w:rsidR="003676E4">
        <w:rPr>
          <w:rFonts w:ascii="Arial" w:hAnsi="Arial" w:cs="Arial"/>
          <w:color w:val="000000"/>
          <w:szCs w:val="24"/>
          <w:lang w:eastAsia="es-CO"/>
        </w:rPr>
        <w:t xml:space="preserve"> interpuestas en su contra.</w:t>
      </w:r>
    </w:p>
    <w:p w:rsidR="003676E4" w:rsidRDefault="003676E4" w:rsidP="00C32C0B">
      <w:pPr>
        <w:spacing w:line="276" w:lineRule="auto"/>
        <w:contextualSpacing/>
        <w:jc w:val="both"/>
        <w:rPr>
          <w:rFonts w:ascii="Arial" w:hAnsi="Arial" w:cs="Arial"/>
          <w:color w:val="000000"/>
          <w:szCs w:val="24"/>
          <w:lang w:eastAsia="es-CO"/>
        </w:rPr>
      </w:pPr>
    </w:p>
    <w:p w:rsidR="00980C3F" w:rsidRDefault="00C32C0B"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decisión, manifestó que</w:t>
      </w:r>
      <w:r w:rsidR="000305F9">
        <w:rPr>
          <w:rFonts w:ascii="Arial" w:hAnsi="Arial" w:cs="Arial"/>
          <w:color w:val="000000"/>
          <w:szCs w:val="24"/>
          <w:lang w:eastAsia="es-CO"/>
        </w:rPr>
        <w:t xml:space="preserve"> </w:t>
      </w:r>
      <w:r w:rsidR="003E4A55">
        <w:rPr>
          <w:rFonts w:ascii="Arial" w:hAnsi="Arial" w:cs="Arial"/>
          <w:color w:val="000000"/>
          <w:szCs w:val="24"/>
          <w:lang w:eastAsia="es-CO"/>
        </w:rPr>
        <w:t xml:space="preserve">no </w:t>
      </w:r>
      <w:r w:rsidR="00980C3F">
        <w:rPr>
          <w:rFonts w:ascii="Arial" w:hAnsi="Arial" w:cs="Arial"/>
          <w:color w:val="000000"/>
          <w:szCs w:val="24"/>
          <w:lang w:eastAsia="es-CO"/>
        </w:rPr>
        <w:t>hay lugar a los</w:t>
      </w:r>
      <w:r w:rsidR="003E4A55">
        <w:rPr>
          <w:rFonts w:ascii="Arial" w:hAnsi="Arial" w:cs="Arial"/>
          <w:color w:val="000000"/>
          <w:szCs w:val="24"/>
          <w:lang w:eastAsia="es-CO"/>
        </w:rPr>
        <w:t xml:space="preserve"> intereses moratorios </w:t>
      </w:r>
      <w:r w:rsidR="0004511E">
        <w:rPr>
          <w:rFonts w:ascii="Arial" w:hAnsi="Arial" w:cs="Arial"/>
          <w:color w:val="000000"/>
          <w:szCs w:val="24"/>
          <w:lang w:eastAsia="es-CO"/>
        </w:rPr>
        <w:t xml:space="preserve">por cuanto </w:t>
      </w:r>
      <w:r w:rsidR="00D05DC6">
        <w:rPr>
          <w:rFonts w:ascii="Arial" w:hAnsi="Arial" w:cs="Arial"/>
          <w:color w:val="000000"/>
          <w:szCs w:val="24"/>
          <w:lang w:eastAsia="es-CO"/>
        </w:rPr>
        <w:t xml:space="preserve">la pensión de invalidez le fue negada </w:t>
      </w:r>
      <w:r w:rsidR="00980C3F">
        <w:rPr>
          <w:rFonts w:ascii="Arial" w:hAnsi="Arial" w:cs="Arial"/>
          <w:color w:val="000000"/>
          <w:szCs w:val="24"/>
          <w:lang w:eastAsia="es-CO"/>
        </w:rPr>
        <w:t>a la demandante por no contar con el</w:t>
      </w:r>
      <w:r w:rsidR="00D05DC6">
        <w:rPr>
          <w:rFonts w:ascii="Arial" w:hAnsi="Arial" w:cs="Arial"/>
          <w:color w:val="000000"/>
          <w:szCs w:val="24"/>
          <w:lang w:eastAsia="es-CO"/>
        </w:rPr>
        <w:t xml:space="preserve"> requisito</w:t>
      </w:r>
      <w:r w:rsidR="00980C3F">
        <w:rPr>
          <w:rFonts w:ascii="Arial" w:hAnsi="Arial" w:cs="Arial"/>
          <w:color w:val="000000"/>
          <w:szCs w:val="24"/>
          <w:lang w:eastAsia="es-CO"/>
        </w:rPr>
        <w:t xml:space="preserve"> de fidelidad que exigía</w:t>
      </w:r>
      <w:r w:rsidR="00D05DC6">
        <w:rPr>
          <w:rFonts w:ascii="Arial" w:hAnsi="Arial" w:cs="Arial"/>
          <w:color w:val="000000"/>
          <w:szCs w:val="24"/>
          <w:lang w:eastAsia="es-CO"/>
        </w:rPr>
        <w:t xml:space="preserve"> al momento</w:t>
      </w:r>
      <w:r w:rsidR="007D4E73">
        <w:rPr>
          <w:rFonts w:ascii="Arial" w:hAnsi="Arial" w:cs="Arial"/>
          <w:color w:val="000000"/>
          <w:szCs w:val="24"/>
          <w:lang w:eastAsia="es-CO"/>
        </w:rPr>
        <w:t xml:space="preserve"> </w:t>
      </w:r>
      <w:r w:rsidR="00D05DC6">
        <w:rPr>
          <w:rFonts w:ascii="Arial" w:hAnsi="Arial" w:cs="Arial"/>
          <w:color w:val="000000"/>
          <w:szCs w:val="24"/>
          <w:lang w:eastAsia="es-CO"/>
        </w:rPr>
        <w:t xml:space="preserve">de </w:t>
      </w:r>
      <w:r w:rsidR="001D77C0">
        <w:rPr>
          <w:rFonts w:ascii="Arial" w:hAnsi="Arial" w:cs="Arial"/>
          <w:color w:val="000000"/>
          <w:szCs w:val="24"/>
          <w:lang w:eastAsia="es-CO"/>
        </w:rPr>
        <w:t xml:space="preserve">la </w:t>
      </w:r>
      <w:r w:rsidR="00D05DC6">
        <w:rPr>
          <w:rFonts w:ascii="Arial" w:hAnsi="Arial" w:cs="Arial"/>
          <w:color w:val="000000"/>
          <w:szCs w:val="24"/>
          <w:lang w:eastAsia="es-CO"/>
        </w:rPr>
        <w:t>estr</w:t>
      </w:r>
      <w:r w:rsidR="007D4E73">
        <w:rPr>
          <w:rFonts w:ascii="Arial" w:hAnsi="Arial" w:cs="Arial"/>
          <w:color w:val="000000"/>
          <w:szCs w:val="24"/>
          <w:lang w:eastAsia="es-CO"/>
        </w:rPr>
        <w:t>u</w:t>
      </w:r>
      <w:r w:rsidR="00D05DC6">
        <w:rPr>
          <w:rFonts w:ascii="Arial" w:hAnsi="Arial" w:cs="Arial"/>
          <w:color w:val="000000"/>
          <w:szCs w:val="24"/>
          <w:lang w:eastAsia="es-CO"/>
        </w:rPr>
        <w:t>cturación</w:t>
      </w:r>
      <w:r w:rsidR="001D77C0">
        <w:rPr>
          <w:rFonts w:ascii="Arial" w:hAnsi="Arial" w:cs="Arial"/>
          <w:color w:val="000000"/>
          <w:szCs w:val="24"/>
          <w:lang w:eastAsia="es-CO"/>
        </w:rPr>
        <w:t>.</w:t>
      </w:r>
    </w:p>
    <w:p w:rsidR="001D77C0" w:rsidRDefault="001D77C0" w:rsidP="00C32C0B">
      <w:pPr>
        <w:spacing w:line="276" w:lineRule="auto"/>
        <w:contextualSpacing/>
        <w:jc w:val="both"/>
        <w:rPr>
          <w:rFonts w:ascii="Arial" w:hAnsi="Arial" w:cs="Arial"/>
          <w:color w:val="000000"/>
          <w:szCs w:val="24"/>
          <w:lang w:eastAsia="es-CO"/>
        </w:rPr>
      </w:pPr>
    </w:p>
    <w:p w:rsidR="00C32C0B" w:rsidRPr="00FE502F" w:rsidRDefault="00AA07F0" w:rsidP="00C32C0B">
      <w:pPr>
        <w:spacing w:line="276" w:lineRule="auto"/>
        <w:contextualSpacing/>
        <w:jc w:val="both"/>
        <w:rPr>
          <w:rFonts w:ascii="Arial" w:hAnsi="Arial" w:cs="Arial"/>
          <w:b/>
          <w:szCs w:val="24"/>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C32C0B" w:rsidRDefault="00C32C0B" w:rsidP="00C32C0B">
      <w:pPr>
        <w:shd w:val="clear" w:color="auto" w:fill="FFFFFF"/>
        <w:spacing w:line="276" w:lineRule="auto"/>
        <w:ind w:firstLine="708"/>
        <w:contextualSpacing/>
        <w:jc w:val="both"/>
        <w:rPr>
          <w:rFonts w:ascii="Arial" w:hAnsi="Arial" w:cs="Arial"/>
          <w:szCs w:val="24"/>
        </w:rPr>
      </w:pPr>
    </w:p>
    <w:p w:rsidR="00C32C0B" w:rsidRDefault="00C32C0B" w:rsidP="00C32C0B">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respecto de la anterior decisión, al haber resultado totalmente </w:t>
      </w:r>
      <w:proofErr w:type="gramStart"/>
      <w:r>
        <w:rPr>
          <w:rFonts w:ascii="Arial" w:hAnsi="Arial" w:cs="Arial"/>
          <w:szCs w:val="24"/>
        </w:rPr>
        <w:t>adversa</w:t>
      </w:r>
      <w:proofErr w:type="gramEnd"/>
      <w:r w:rsidR="00B30A62">
        <w:rPr>
          <w:rFonts w:ascii="Arial" w:hAnsi="Arial" w:cs="Arial"/>
          <w:szCs w:val="24"/>
        </w:rPr>
        <w:t xml:space="preserve"> a los intereses de la trabajadora</w:t>
      </w:r>
      <w:r>
        <w:rPr>
          <w:rFonts w:ascii="Arial" w:hAnsi="Arial" w:cs="Arial"/>
          <w:szCs w:val="24"/>
        </w:rPr>
        <w:t>.</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682AFD" w:rsidRDefault="00682AFD" w:rsidP="009D33AA">
      <w:pPr>
        <w:spacing w:line="276" w:lineRule="auto"/>
        <w:jc w:val="center"/>
        <w:rPr>
          <w:rFonts w:ascii="Arial" w:hAnsi="Arial" w:cs="Arial"/>
          <w:b/>
          <w:szCs w:val="24"/>
        </w:rPr>
      </w:pPr>
    </w:p>
    <w:p w:rsidR="00682AFD" w:rsidRDefault="00682AFD" w:rsidP="00682AFD">
      <w:pPr>
        <w:spacing w:line="276" w:lineRule="auto"/>
        <w:jc w:val="both"/>
        <w:rPr>
          <w:rFonts w:ascii="Arial" w:hAnsi="Arial" w:cs="Arial"/>
          <w:b/>
          <w:szCs w:val="24"/>
        </w:rPr>
      </w:pPr>
      <w:r>
        <w:rPr>
          <w:rFonts w:ascii="Arial" w:hAnsi="Arial" w:cs="Arial"/>
          <w:b/>
          <w:szCs w:val="24"/>
        </w:rPr>
        <w:t>Cuestión previa.</w:t>
      </w:r>
    </w:p>
    <w:p w:rsidR="00682AFD" w:rsidRDefault="00682AFD" w:rsidP="00682AFD">
      <w:pPr>
        <w:spacing w:line="276" w:lineRule="auto"/>
        <w:jc w:val="both"/>
        <w:rPr>
          <w:rFonts w:ascii="Arial" w:hAnsi="Arial" w:cs="Arial"/>
          <w:b/>
          <w:szCs w:val="24"/>
        </w:rPr>
      </w:pPr>
    </w:p>
    <w:p w:rsidR="00682AFD" w:rsidRPr="00682AFD" w:rsidRDefault="00682AFD" w:rsidP="007E61D8">
      <w:pPr>
        <w:spacing w:line="276" w:lineRule="auto"/>
        <w:jc w:val="both"/>
        <w:rPr>
          <w:rFonts w:ascii="Arial" w:hAnsi="Arial" w:cs="Arial"/>
          <w:i/>
          <w:sz w:val="26"/>
          <w:shd w:val="clear" w:color="auto" w:fill="FFFFFF"/>
        </w:rPr>
      </w:pPr>
      <w:r>
        <w:rPr>
          <w:rFonts w:ascii="Arial" w:hAnsi="Arial" w:cs="Arial"/>
          <w:szCs w:val="24"/>
        </w:rPr>
        <w:t xml:space="preserve">Se advierte que la pretensión de intereses moratorios no hizo tránsito a cosa juzgada al no confluir </w:t>
      </w:r>
      <w:r w:rsidR="00C32C7A">
        <w:rPr>
          <w:rFonts w:ascii="Arial" w:hAnsi="Arial" w:cs="Arial"/>
          <w:szCs w:val="24"/>
        </w:rPr>
        <w:t>dos de sus</w:t>
      </w:r>
      <w:r w:rsidR="007E61D8">
        <w:rPr>
          <w:rFonts w:ascii="Arial" w:hAnsi="Arial" w:cs="Arial"/>
          <w:szCs w:val="24"/>
        </w:rPr>
        <w:t xml:space="preserve"> elementos</w:t>
      </w:r>
      <w:r w:rsidRPr="00682AFD">
        <w:rPr>
          <w:rFonts w:ascii="Arial" w:hAnsi="Arial" w:cs="Arial"/>
          <w:sz w:val="26"/>
        </w:rPr>
        <w:t>,</w:t>
      </w:r>
      <w:r w:rsidR="001F79C2">
        <w:rPr>
          <w:rFonts w:ascii="Arial" w:hAnsi="Arial" w:cs="Arial"/>
          <w:sz w:val="26"/>
        </w:rPr>
        <w:t xml:space="preserve"> como son</w:t>
      </w:r>
      <w:r w:rsidR="00C32C7A">
        <w:rPr>
          <w:rFonts w:ascii="Arial" w:hAnsi="Arial" w:cs="Arial"/>
          <w:sz w:val="26"/>
        </w:rPr>
        <w:t xml:space="preserve"> el</w:t>
      </w:r>
      <w:r w:rsidRPr="00682AFD">
        <w:rPr>
          <w:rFonts w:ascii="Arial" w:hAnsi="Arial" w:cs="Arial"/>
          <w:sz w:val="26"/>
        </w:rPr>
        <w:t xml:space="preserve"> objeto y </w:t>
      </w:r>
      <w:r w:rsidR="00C32C7A">
        <w:rPr>
          <w:rFonts w:ascii="Arial" w:hAnsi="Arial" w:cs="Arial"/>
          <w:sz w:val="26"/>
        </w:rPr>
        <w:t>la causa;</w:t>
      </w:r>
      <w:r w:rsidR="007E61D8">
        <w:rPr>
          <w:rFonts w:ascii="Arial" w:hAnsi="Arial" w:cs="Arial"/>
          <w:sz w:val="26"/>
        </w:rPr>
        <w:t xml:space="preserve"> en la medida en que no fueron solicitados en la demanda </w:t>
      </w:r>
      <w:r w:rsidR="00C32C7A">
        <w:rPr>
          <w:rFonts w:ascii="Arial" w:hAnsi="Arial" w:cs="Arial"/>
          <w:sz w:val="26"/>
        </w:rPr>
        <w:t>incoada el</w:t>
      </w:r>
      <w:r w:rsidR="007E61D8">
        <w:rPr>
          <w:rFonts w:ascii="Arial" w:hAnsi="Arial" w:cs="Arial"/>
          <w:sz w:val="26"/>
        </w:rPr>
        <w:t xml:space="preserve"> 17-03-2011 ante </w:t>
      </w:r>
      <w:r w:rsidR="00C32C7A">
        <w:rPr>
          <w:rFonts w:ascii="Arial" w:hAnsi="Arial" w:cs="Arial"/>
          <w:sz w:val="26"/>
        </w:rPr>
        <w:t>los</w:t>
      </w:r>
      <w:r w:rsidR="007E61D8">
        <w:rPr>
          <w:rFonts w:ascii="Arial" w:hAnsi="Arial" w:cs="Arial"/>
          <w:sz w:val="26"/>
        </w:rPr>
        <w:t xml:space="preserve"> Juzgado</w:t>
      </w:r>
      <w:r w:rsidR="00C32C7A">
        <w:rPr>
          <w:rFonts w:ascii="Arial" w:hAnsi="Arial" w:cs="Arial"/>
          <w:sz w:val="26"/>
        </w:rPr>
        <w:t>s</w:t>
      </w:r>
      <w:r w:rsidR="007E61D8">
        <w:rPr>
          <w:rFonts w:ascii="Arial" w:hAnsi="Arial" w:cs="Arial"/>
          <w:sz w:val="26"/>
        </w:rPr>
        <w:t xml:space="preserve"> Laboral</w:t>
      </w:r>
      <w:r w:rsidR="00C32C7A">
        <w:rPr>
          <w:rFonts w:ascii="Arial" w:hAnsi="Arial" w:cs="Arial"/>
          <w:sz w:val="26"/>
        </w:rPr>
        <w:t>es del Circuito de esta ciudad</w:t>
      </w:r>
      <w:r w:rsidR="007E61D8">
        <w:rPr>
          <w:rStyle w:val="Refdenotaalpie"/>
          <w:rFonts w:ascii="Arial" w:hAnsi="Arial" w:cs="Arial"/>
          <w:sz w:val="26"/>
        </w:rPr>
        <w:footnoteReference w:id="1"/>
      </w:r>
      <w:r w:rsidR="00C32C7A">
        <w:rPr>
          <w:rFonts w:ascii="Arial" w:hAnsi="Arial" w:cs="Arial"/>
          <w:sz w:val="26"/>
        </w:rPr>
        <w:t>; tampoco el Ju</w:t>
      </w:r>
      <w:r w:rsidR="00D30BC4">
        <w:rPr>
          <w:rFonts w:ascii="Arial" w:hAnsi="Arial" w:cs="Arial"/>
          <w:sz w:val="26"/>
        </w:rPr>
        <w:t>z</w:t>
      </w:r>
      <w:r w:rsidR="00C32C7A">
        <w:rPr>
          <w:rFonts w:ascii="Arial" w:hAnsi="Arial" w:cs="Arial"/>
          <w:sz w:val="26"/>
        </w:rPr>
        <w:t>gado</w:t>
      </w:r>
      <w:r w:rsidR="00D30BC4">
        <w:rPr>
          <w:rFonts w:ascii="Arial" w:hAnsi="Arial" w:cs="Arial"/>
          <w:sz w:val="26"/>
        </w:rPr>
        <w:t xml:space="preserve"> </w:t>
      </w:r>
      <w:r w:rsidR="00C32C7A">
        <w:rPr>
          <w:rFonts w:ascii="Arial" w:hAnsi="Arial" w:cs="Arial"/>
          <w:sz w:val="26"/>
        </w:rPr>
        <w:t>Segundo Laboral Adjunto del Juzgado Primero del Circuito</w:t>
      </w:r>
      <w:r w:rsidR="008F6B00">
        <w:rPr>
          <w:rFonts w:ascii="Arial" w:hAnsi="Arial" w:cs="Arial"/>
          <w:sz w:val="26"/>
        </w:rPr>
        <w:t xml:space="preserve"> Laboral</w:t>
      </w:r>
      <w:r w:rsidR="00C32C7A">
        <w:rPr>
          <w:rFonts w:ascii="Arial" w:hAnsi="Arial" w:cs="Arial"/>
          <w:sz w:val="26"/>
        </w:rPr>
        <w:t xml:space="preserve"> de Pereira quien la decidió, </w:t>
      </w:r>
      <w:r w:rsidR="00D30BC4">
        <w:rPr>
          <w:rFonts w:ascii="Arial" w:hAnsi="Arial" w:cs="Arial"/>
          <w:sz w:val="26"/>
        </w:rPr>
        <w:t xml:space="preserve">hizo uso de la facultad extra </w:t>
      </w:r>
      <w:proofErr w:type="spellStart"/>
      <w:r w:rsidR="00D30BC4">
        <w:rPr>
          <w:rFonts w:ascii="Arial" w:hAnsi="Arial" w:cs="Arial"/>
          <w:sz w:val="26"/>
        </w:rPr>
        <w:t>petita</w:t>
      </w:r>
      <w:proofErr w:type="spellEnd"/>
      <w:r w:rsidR="005F6130">
        <w:rPr>
          <w:rFonts w:ascii="Arial" w:hAnsi="Arial" w:cs="Arial"/>
          <w:sz w:val="26"/>
        </w:rPr>
        <w:t xml:space="preserve"> en la sentencia </w:t>
      </w:r>
      <w:r w:rsidR="008F6B00">
        <w:rPr>
          <w:rFonts w:ascii="Arial" w:hAnsi="Arial" w:cs="Arial"/>
          <w:sz w:val="26"/>
        </w:rPr>
        <w:t xml:space="preserve">emitida </w:t>
      </w:r>
      <w:r w:rsidR="005F6130">
        <w:rPr>
          <w:rFonts w:ascii="Arial" w:hAnsi="Arial" w:cs="Arial"/>
          <w:sz w:val="26"/>
        </w:rPr>
        <w:t>el 14-12-2011</w:t>
      </w:r>
      <w:r w:rsidR="005F6130">
        <w:rPr>
          <w:rStyle w:val="Refdenotaalpie"/>
          <w:rFonts w:ascii="Arial" w:hAnsi="Arial" w:cs="Arial"/>
          <w:sz w:val="26"/>
        </w:rPr>
        <w:footnoteReference w:id="2"/>
      </w:r>
      <w:r w:rsidR="00D30BC4">
        <w:rPr>
          <w:rFonts w:ascii="Arial" w:hAnsi="Arial" w:cs="Arial"/>
          <w:sz w:val="26"/>
        </w:rPr>
        <w:t xml:space="preserve"> </w:t>
      </w:r>
      <w:r w:rsidR="003F61BD">
        <w:rPr>
          <w:rFonts w:ascii="Arial" w:hAnsi="Arial" w:cs="Arial"/>
          <w:sz w:val="26"/>
        </w:rPr>
        <w:t>al</w:t>
      </w:r>
      <w:r w:rsidR="005F6130">
        <w:rPr>
          <w:rFonts w:ascii="Arial" w:hAnsi="Arial" w:cs="Arial"/>
          <w:sz w:val="26"/>
        </w:rPr>
        <w:t xml:space="preserve"> </w:t>
      </w:r>
      <w:r w:rsidR="003F61BD">
        <w:rPr>
          <w:rFonts w:ascii="Arial" w:hAnsi="Arial" w:cs="Arial"/>
          <w:sz w:val="26"/>
        </w:rPr>
        <w:t>reconocer</w:t>
      </w:r>
      <w:r w:rsidR="005F6130">
        <w:rPr>
          <w:rFonts w:ascii="Arial" w:hAnsi="Arial" w:cs="Arial"/>
          <w:sz w:val="26"/>
        </w:rPr>
        <w:t xml:space="preserve"> la pensión d</w:t>
      </w:r>
      <w:r w:rsidR="003F61BD">
        <w:rPr>
          <w:rFonts w:ascii="Arial" w:hAnsi="Arial" w:cs="Arial"/>
          <w:sz w:val="26"/>
        </w:rPr>
        <w:t xml:space="preserve">e invalidez por el cumplimiento de requisitos, </w:t>
      </w:r>
      <w:r w:rsidR="00C32C7A">
        <w:rPr>
          <w:rFonts w:ascii="Arial" w:hAnsi="Arial" w:cs="Arial"/>
          <w:sz w:val="26"/>
        </w:rPr>
        <w:t>en cuanto omitió el</w:t>
      </w:r>
      <w:r w:rsidR="003F61BD">
        <w:rPr>
          <w:rFonts w:ascii="Arial" w:hAnsi="Arial" w:cs="Arial"/>
          <w:sz w:val="26"/>
        </w:rPr>
        <w:t xml:space="preserve"> análisis del artículo 141 de la Ley 100 de 1993 relacionado con los intereses moratorios. </w:t>
      </w: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684A5B">
        <w:rPr>
          <w:rFonts w:ascii="Arial" w:hAnsi="Arial" w:cs="Arial"/>
          <w:b/>
          <w:szCs w:val="24"/>
        </w:rPr>
        <w:t>s</w:t>
      </w:r>
      <w:r w:rsidRPr="009740CF">
        <w:rPr>
          <w:rFonts w:ascii="Arial" w:hAnsi="Arial" w:cs="Arial"/>
          <w:b/>
          <w:szCs w:val="24"/>
        </w:rPr>
        <w:t xml:space="preserve"> jurídico</w:t>
      </w:r>
      <w:r w:rsidR="00684A5B">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w:t>
      </w:r>
      <w:r w:rsidR="00684A5B">
        <w:rPr>
          <w:rFonts w:ascii="Arial" w:hAnsi="Arial" w:cs="Arial"/>
          <w:color w:val="000000"/>
          <w:szCs w:val="24"/>
          <w:lang w:eastAsia="es-CO"/>
        </w:rPr>
        <w:t xml:space="preserve">r, la Sala </w:t>
      </w:r>
      <w:r w:rsidR="00C32C7A">
        <w:rPr>
          <w:rFonts w:ascii="Arial" w:hAnsi="Arial" w:cs="Arial"/>
          <w:color w:val="000000"/>
          <w:szCs w:val="24"/>
          <w:lang w:eastAsia="es-CO"/>
        </w:rPr>
        <w:t xml:space="preserve">se </w:t>
      </w:r>
      <w:r w:rsidR="00684A5B">
        <w:rPr>
          <w:rFonts w:ascii="Arial" w:hAnsi="Arial" w:cs="Arial"/>
          <w:color w:val="000000"/>
          <w:szCs w:val="24"/>
          <w:lang w:eastAsia="es-CO"/>
        </w:rPr>
        <w:t xml:space="preserve">formula los </w:t>
      </w:r>
      <w:r w:rsidR="00C32C7A">
        <w:rPr>
          <w:rFonts w:ascii="Arial" w:hAnsi="Arial" w:cs="Arial"/>
          <w:color w:val="000000"/>
          <w:szCs w:val="24"/>
          <w:lang w:eastAsia="es-CO"/>
        </w:rPr>
        <w:t>siguientes cuestionamientos</w:t>
      </w:r>
      <w:r w:rsidRPr="00AA07F0">
        <w:rPr>
          <w:rFonts w:ascii="Arial" w:hAnsi="Arial" w:cs="Arial"/>
          <w:color w:val="000000"/>
          <w:szCs w:val="24"/>
          <w:lang w:eastAsia="es-CO"/>
        </w:rPr>
        <w:t>:</w:t>
      </w:r>
    </w:p>
    <w:p w:rsidR="00166ACF" w:rsidRPr="00AA07F0" w:rsidRDefault="00166ACF" w:rsidP="00AA07F0">
      <w:pPr>
        <w:shd w:val="clear" w:color="auto" w:fill="FFFFFF"/>
        <w:tabs>
          <w:tab w:val="left" w:pos="5197"/>
        </w:tabs>
        <w:spacing w:line="276" w:lineRule="auto"/>
        <w:jc w:val="both"/>
        <w:rPr>
          <w:rFonts w:ascii="Arial" w:hAnsi="Arial" w:cs="Arial"/>
          <w:color w:val="000000"/>
          <w:szCs w:val="24"/>
          <w:lang w:eastAsia="es-CO"/>
        </w:rPr>
      </w:pPr>
    </w:p>
    <w:p w:rsidR="00684A5B" w:rsidRPr="00684A5B" w:rsidRDefault="005F585B" w:rsidP="00684A5B">
      <w:pPr>
        <w:spacing w:line="276" w:lineRule="auto"/>
        <w:ind w:right="51"/>
        <w:contextualSpacing/>
        <w:jc w:val="both"/>
        <w:rPr>
          <w:rFonts w:ascii="Arial" w:eastAsiaTheme="minorHAnsi" w:hAnsi="Arial" w:cs="Arial"/>
          <w:b/>
          <w:i/>
          <w:iCs/>
          <w:szCs w:val="24"/>
        </w:rPr>
      </w:pPr>
      <w:r>
        <w:rPr>
          <w:rFonts w:ascii="Arial" w:eastAsiaTheme="minorHAnsi" w:hAnsi="Arial" w:cs="Arial"/>
          <w:iCs/>
          <w:szCs w:val="24"/>
        </w:rPr>
        <w:t>(i)</w:t>
      </w:r>
      <w:r w:rsidR="00AA07F0" w:rsidRPr="00AA07F0">
        <w:rPr>
          <w:rFonts w:ascii="Arial" w:eastAsiaTheme="minorHAnsi" w:hAnsi="Arial" w:cs="Arial"/>
          <w:iCs/>
          <w:szCs w:val="24"/>
        </w:rPr>
        <w:t xml:space="preserve"> </w:t>
      </w:r>
      <w:r w:rsidR="00684A5B" w:rsidRPr="00684A5B">
        <w:rPr>
          <w:rFonts w:ascii="Arial" w:eastAsiaTheme="minorHAnsi" w:hAnsi="Arial" w:cs="Arial"/>
          <w:iCs/>
          <w:szCs w:val="24"/>
        </w:rPr>
        <w:t>¿Hay lugar a condenar a la Administradora Colombiana de Pensiones a reconocer y pagar a favor de la demandante los intereses moratorios previstos en el artículo 141 de la Ley 100 de 1993</w:t>
      </w:r>
      <w:r w:rsidR="008F6B00">
        <w:rPr>
          <w:rFonts w:ascii="Arial" w:eastAsiaTheme="minorHAnsi" w:hAnsi="Arial" w:cs="Arial"/>
          <w:iCs/>
          <w:szCs w:val="24"/>
        </w:rPr>
        <w:t xml:space="preserve"> desde el 11-11-2008 hasta agosto de 2013</w:t>
      </w:r>
      <w:r w:rsidR="00684A5B" w:rsidRPr="00684A5B">
        <w:rPr>
          <w:rFonts w:ascii="Arial" w:eastAsiaTheme="minorHAnsi" w:hAnsi="Arial" w:cs="Arial"/>
          <w:iCs/>
          <w:szCs w:val="24"/>
        </w:rPr>
        <w:t>?</w:t>
      </w:r>
    </w:p>
    <w:p w:rsidR="00AA07F0" w:rsidRPr="00AA07F0" w:rsidRDefault="00AA07F0" w:rsidP="00AA07F0">
      <w:pPr>
        <w:spacing w:line="276" w:lineRule="auto"/>
        <w:ind w:right="51"/>
        <w:contextualSpacing/>
        <w:jc w:val="both"/>
        <w:rPr>
          <w:rFonts w:ascii="Arial" w:eastAsiaTheme="minorHAnsi" w:hAnsi="Arial" w:cs="Arial"/>
          <w:iCs/>
          <w:szCs w:val="24"/>
        </w:rPr>
      </w:pPr>
    </w:p>
    <w:p w:rsidR="00AA07F0" w:rsidRPr="00AA07F0" w:rsidRDefault="005F585B" w:rsidP="00684A5B">
      <w:pPr>
        <w:spacing w:line="276" w:lineRule="auto"/>
        <w:ind w:right="51"/>
        <w:contextualSpacing/>
        <w:jc w:val="both"/>
        <w:rPr>
          <w:rFonts w:ascii="Arial" w:eastAsiaTheme="minorHAnsi" w:hAnsi="Arial" w:cs="Arial"/>
          <w:iCs/>
          <w:szCs w:val="24"/>
        </w:rPr>
      </w:pPr>
      <w:r>
        <w:rPr>
          <w:rFonts w:ascii="Arial" w:eastAsiaTheme="minorHAnsi" w:hAnsi="Arial" w:cs="Arial"/>
          <w:iCs/>
          <w:szCs w:val="24"/>
        </w:rPr>
        <w:t>(ii)</w:t>
      </w:r>
      <w:r w:rsidR="00AA07F0" w:rsidRPr="00AA07F0">
        <w:rPr>
          <w:rFonts w:ascii="Arial" w:eastAsiaTheme="minorHAnsi" w:hAnsi="Arial" w:cs="Arial"/>
          <w:iCs/>
          <w:szCs w:val="24"/>
        </w:rPr>
        <w:t xml:space="preserve"> En caso positivo, ¿</w:t>
      </w:r>
      <w:r w:rsidR="00684A5B">
        <w:rPr>
          <w:rFonts w:ascii="Arial" w:eastAsiaTheme="minorHAnsi" w:hAnsi="Arial" w:cs="Arial"/>
          <w:iCs/>
          <w:szCs w:val="24"/>
        </w:rPr>
        <w:t>operó el fenómeno de la prescripción</w:t>
      </w:r>
      <w:r w:rsidR="00AA07F0" w:rsidRPr="00AA07F0">
        <w:rPr>
          <w:rFonts w:ascii="Arial" w:eastAsiaTheme="minorHAnsi" w:hAnsi="Arial" w:cs="Arial"/>
          <w:iCs/>
          <w:szCs w:val="24"/>
        </w:rPr>
        <w:t xml:space="preserve">? </w:t>
      </w:r>
    </w:p>
    <w:p w:rsidR="00AA07F0" w:rsidRPr="00AA07F0" w:rsidRDefault="00AA07F0" w:rsidP="00AA07F0">
      <w:pPr>
        <w:spacing w:line="276" w:lineRule="auto"/>
        <w:jc w:val="both"/>
        <w:rPr>
          <w:rFonts w:ascii="Arial" w:eastAsiaTheme="minorHAnsi" w:hAnsi="Arial" w:cs="Arial"/>
          <w:iCs/>
          <w:szCs w:val="24"/>
        </w:rPr>
      </w:pPr>
    </w:p>
    <w:p w:rsidR="00AA07F0" w:rsidRPr="00AA07F0" w:rsidRDefault="00AA07F0" w:rsidP="00AA07F0">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AA07F0">
      <w:pPr>
        <w:spacing w:line="276" w:lineRule="auto"/>
        <w:ind w:left="390"/>
        <w:contextualSpacing/>
        <w:jc w:val="both"/>
        <w:rPr>
          <w:rFonts w:ascii="Arial" w:eastAsiaTheme="minorHAnsi" w:hAnsi="Arial" w:cs="Arial"/>
          <w:b/>
          <w:iCs/>
          <w:szCs w:val="24"/>
        </w:rPr>
      </w:pPr>
    </w:p>
    <w:p w:rsidR="00AA07F0" w:rsidRPr="00AA07F0" w:rsidRDefault="00AA07F0" w:rsidP="00AA07F0">
      <w:pPr>
        <w:spacing w:line="276" w:lineRule="auto"/>
        <w:contextualSpacing/>
        <w:jc w:val="both"/>
        <w:rPr>
          <w:rFonts w:ascii="Arial" w:eastAsiaTheme="minorHAnsi" w:hAnsi="Arial" w:cs="Arial"/>
          <w:iCs/>
          <w:szCs w:val="24"/>
        </w:rPr>
      </w:pPr>
      <w:r w:rsidRPr="00AA07F0">
        <w:rPr>
          <w:rFonts w:ascii="Arial" w:eastAsiaTheme="minorHAnsi" w:hAnsi="Arial" w:cs="Arial"/>
          <w:iCs/>
          <w:szCs w:val="24"/>
        </w:rPr>
        <w:t xml:space="preserve">Con el propósito de dar solución a los anteriores </w:t>
      </w:r>
      <w:r w:rsidR="00684A5B" w:rsidRPr="00AA07F0">
        <w:rPr>
          <w:rFonts w:ascii="Arial" w:eastAsiaTheme="minorHAnsi" w:hAnsi="Arial" w:cs="Arial"/>
          <w:iCs/>
          <w:szCs w:val="24"/>
        </w:rPr>
        <w:t>interrogantes</w:t>
      </w:r>
      <w:r w:rsidRPr="00AA07F0">
        <w:rPr>
          <w:rFonts w:ascii="Arial" w:eastAsiaTheme="minorHAnsi" w:hAnsi="Arial" w:cs="Arial"/>
          <w:iCs/>
          <w:szCs w:val="24"/>
        </w:rPr>
        <w:t>, se considera necesario precisar lo siguiente:</w:t>
      </w:r>
    </w:p>
    <w:p w:rsidR="00AA07F0" w:rsidRPr="00AA07F0" w:rsidRDefault="00AA07F0" w:rsidP="00AA07F0">
      <w:pPr>
        <w:spacing w:line="276" w:lineRule="auto"/>
        <w:contextualSpacing/>
        <w:jc w:val="both"/>
        <w:rPr>
          <w:rFonts w:ascii="Arial" w:eastAsiaTheme="minorHAnsi" w:hAnsi="Arial" w:cs="Arial"/>
          <w:iCs/>
          <w:szCs w:val="24"/>
        </w:rPr>
      </w:pPr>
    </w:p>
    <w:p w:rsidR="00AA07F0" w:rsidRPr="00AA07F0" w:rsidRDefault="00684A5B" w:rsidP="00684A5B">
      <w:pPr>
        <w:spacing w:line="276" w:lineRule="auto"/>
        <w:jc w:val="both"/>
        <w:rPr>
          <w:rFonts w:ascii="Arial" w:hAnsi="Arial" w:cs="Arial"/>
          <w:b/>
          <w:color w:val="000000"/>
          <w:szCs w:val="24"/>
          <w:lang w:eastAsia="es-CO"/>
        </w:rPr>
      </w:pPr>
      <w:r>
        <w:rPr>
          <w:rFonts w:ascii="Arial" w:eastAsiaTheme="minorHAnsi" w:hAnsi="Arial" w:cs="Arial"/>
          <w:b/>
          <w:color w:val="000000"/>
          <w:szCs w:val="24"/>
          <w:shd w:val="clear" w:color="auto" w:fill="FFFFFF"/>
          <w:lang w:val="es-ES"/>
        </w:rPr>
        <w:t xml:space="preserve">2.1. </w:t>
      </w:r>
      <w:r w:rsidR="00AA07F0" w:rsidRPr="00AA07F0">
        <w:rPr>
          <w:rFonts w:ascii="Arial" w:hAnsi="Arial" w:cs="Arial"/>
          <w:b/>
          <w:color w:val="000000"/>
          <w:szCs w:val="24"/>
          <w:lang w:eastAsia="es-CO"/>
        </w:rPr>
        <w:t>Intereses moratorios</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684A5B" w:rsidP="00AA07F0">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2.1</w:t>
      </w:r>
      <w:r w:rsidR="00AA07F0" w:rsidRPr="00AA07F0">
        <w:rPr>
          <w:rFonts w:ascii="Arial" w:hAnsi="Arial" w:cs="Arial"/>
          <w:b/>
          <w:color w:val="000000"/>
          <w:szCs w:val="24"/>
          <w:lang w:eastAsia="es-CO"/>
        </w:rPr>
        <w:t>.1. Fundamento jurídico</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B11A83" w:rsidRDefault="00684A5B" w:rsidP="00B11A83">
      <w:pPr>
        <w:tabs>
          <w:tab w:val="left" w:pos="589"/>
        </w:tabs>
        <w:spacing w:line="276" w:lineRule="auto"/>
        <w:jc w:val="both"/>
        <w:rPr>
          <w:rFonts w:ascii="Arial" w:hAnsi="Arial" w:cs="Arial"/>
          <w:szCs w:val="24"/>
        </w:rPr>
      </w:pPr>
      <w:r>
        <w:rPr>
          <w:rFonts w:ascii="Arial" w:hAnsi="Arial" w:cs="Arial"/>
          <w:szCs w:val="24"/>
        </w:rPr>
        <w:t>De</w:t>
      </w:r>
      <w:r w:rsidR="00B11A83">
        <w:rPr>
          <w:rFonts w:ascii="Arial" w:hAnsi="Arial" w:cs="Arial"/>
          <w:szCs w:val="24"/>
        </w:rPr>
        <w:t xml:space="preserve">be recordarse </w:t>
      </w:r>
      <w:r w:rsidR="00B11A83" w:rsidRPr="00CB1972">
        <w:rPr>
          <w:rFonts w:ascii="Arial" w:hAnsi="Arial" w:cs="Arial"/>
          <w:szCs w:val="24"/>
        </w:rPr>
        <w:t>que la finalidad de los</w:t>
      </w:r>
      <w:r>
        <w:rPr>
          <w:rFonts w:ascii="Arial" w:hAnsi="Arial" w:cs="Arial"/>
          <w:szCs w:val="24"/>
        </w:rPr>
        <w:t xml:space="preserve"> intereses moratorios no es otra</w:t>
      </w:r>
      <w:r w:rsidR="00B11A83" w:rsidRPr="00CB1972">
        <w:rPr>
          <w:rFonts w:ascii="Arial" w:hAnsi="Arial" w:cs="Arial"/>
          <w:szCs w:val="24"/>
        </w:rPr>
        <w:t xml:space="preserve"> que el resarcimiento por la tardanza en la concesión de la prestación a la que se tiene derecho, más no porque ellos tengan carácter sancionat</w:t>
      </w:r>
      <w:r w:rsidR="00B11A83">
        <w:rPr>
          <w:rFonts w:ascii="Arial" w:hAnsi="Arial" w:cs="Arial"/>
          <w:szCs w:val="24"/>
        </w:rPr>
        <w:t>orio, de ahí que no pueda analizarse la buena o mala fe de la demandada y menos las justificaciones, así lo ha dicho la Corte Suprema de Justicia, Sala de Casación Laboral en sentencia radicada 42783 del 13/06/2012, entre otras.</w:t>
      </w:r>
    </w:p>
    <w:p w:rsidR="00B11A83" w:rsidRDefault="00B11A83" w:rsidP="00B11A83">
      <w:pPr>
        <w:tabs>
          <w:tab w:val="left" w:pos="589"/>
        </w:tabs>
        <w:spacing w:line="276" w:lineRule="auto"/>
        <w:jc w:val="both"/>
        <w:rPr>
          <w:rFonts w:ascii="Arial" w:hAnsi="Arial" w:cs="Arial"/>
          <w:szCs w:val="24"/>
        </w:rPr>
      </w:pPr>
    </w:p>
    <w:p w:rsidR="00A86996" w:rsidRDefault="00A86996" w:rsidP="00A86996">
      <w:pPr>
        <w:tabs>
          <w:tab w:val="left" w:pos="589"/>
        </w:tabs>
        <w:spacing w:line="276" w:lineRule="auto"/>
        <w:jc w:val="both"/>
        <w:rPr>
          <w:rFonts w:ascii="Arial" w:hAnsi="Arial" w:cs="Arial"/>
          <w:color w:val="000000"/>
        </w:rPr>
      </w:pPr>
      <w:r w:rsidRPr="00EC27B5">
        <w:rPr>
          <w:rFonts w:ascii="Arial" w:hAnsi="Arial" w:cs="Arial"/>
          <w:color w:val="000000"/>
        </w:rPr>
        <w:t>En lo que tiene que ver con la fecha a partir de la cual proceden los intereses moratorios previstos en el artículo 141 de la Ley 100 de 199</w:t>
      </w:r>
      <w:r w:rsidR="00C32C7A">
        <w:rPr>
          <w:rFonts w:ascii="Arial" w:hAnsi="Arial" w:cs="Arial"/>
          <w:color w:val="000000"/>
        </w:rPr>
        <w:t>3</w:t>
      </w:r>
      <w:r w:rsidRPr="00EC27B5">
        <w:rPr>
          <w:rFonts w:ascii="Arial" w:hAnsi="Arial" w:cs="Arial"/>
          <w:color w:val="000000"/>
        </w:rPr>
        <w:t>, de conformidad con</w:t>
      </w:r>
      <w:r>
        <w:rPr>
          <w:rFonts w:ascii="Arial" w:hAnsi="Arial" w:cs="Arial"/>
          <w:color w:val="000000"/>
        </w:rPr>
        <w:t xml:space="preserve"> lo dispuesto por el artículo 19 del Decreto 656 de 1994</w:t>
      </w:r>
      <w:r w:rsidR="00C32C7A">
        <w:rPr>
          <w:rFonts w:ascii="Arial" w:hAnsi="Arial" w:cs="Arial"/>
          <w:color w:val="000000"/>
        </w:rPr>
        <w:t>, en concordancia con el artículo 9 de la Ley 797 de 2003</w:t>
      </w:r>
      <w:r>
        <w:rPr>
          <w:rFonts w:ascii="Arial" w:hAnsi="Arial" w:cs="Arial"/>
          <w:color w:val="000000"/>
        </w:rPr>
        <w:t xml:space="preserve"> y </w:t>
      </w:r>
      <w:r w:rsidR="00C32C7A">
        <w:rPr>
          <w:rFonts w:ascii="Arial" w:hAnsi="Arial" w:cs="Arial"/>
          <w:color w:val="000000"/>
        </w:rPr>
        <w:t>la sentencia SU 9</w:t>
      </w:r>
      <w:r>
        <w:rPr>
          <w:rFonts w:ascii="Arial" w:hAnsi="Arial" w:cs="Arial"/>
          <w:color w:val="000000"/>
        </w:rPr>
        <w:t>75 de 2003 de la Corte Constitucional</w:t>
      </w:r>
      <w:r w:rsidRPr="00EC27B5">
        <w:rPr>
          <w:rFonts w:ascii="Arial" w:hAnsi="Arial" w:cs="Arial"/>
          <w:color w:val="000000"/>
        </w:rPr>
        <w:t xml:space="preserve">, el término con que cuentan las administradoras de pensiones para </w:t>
      </w:r>
      <w:r w:rsidRPr="00EC27B5">
        <w:rPr>
          <w:rFonts w:ascii="Arial" w:hAnsi="Arial" w:cs="Arial"/>
          <w:color w:val="000000"/>
        </w:rPr>
        <w:lastRenderedPageBreak/>
        <w:t>proceder con el reconoci</w:t>
      </w:r>
      <w:r>
        <w:rPr>
          <w:rFonts w:ascii="Arial" w:hAnsi="Arial" w:cs="Arial"/>
          <w:color w:val="000000"/>
        </w:rPr>
        <w:t>miento de las pensiones de invalidez</w:t>
      </w:r>
      <w:r w:rsidRPr="00EC27B5">
        <w:rPr>
          <w:rFonts w:ascii="Arial" w:hAnsi="Arial" w:cs="Arial"/>
          <w:color w:val="000000"/>
        </w:rPr>
        <w:t xml:space="preserve"> no puede sobrepasar los cuatro meses contados a partir del momento en que se radique la solicitud de reconocimiento pensional, siempre y cuando para ese momento se reúnan los requisitos que permitan el acceso al derecho.</w:t>
      </w:r>
    </w:p>
    <w:p w:rsidR="00A86996" w:rsidRDefault="00A86996" w:rsidP="00A86996">
      <w:pPr>
        <w:tabs>
          <w:tab w:val="left" w:pos="589"/>
        </w:tabs>
        <w:spacing w:line="276" w:lineRule="auto"/>
        <w:jc w:val="both"/>
        <w:rPr>
          <w:rFonts w:ascii="Arial" w:hAnsi="Arial" w:cs="Arial"/>
          <w:color w:val="000000"/>
        </w:rPr>
      </w:pPr>
    </w:p>
    <w:p w:rsidR="00A86996" w:rsidRPr="00EC27B5" w:rsidRDefault="00A86996" w:rsidP="00A86996">
      <w:pPr>
        <w:tabs>
          <w:tab w:val="left" w:pos="589"/>
        </w:tabs>
        <w:spacing w:line="276" w:lineRule="auto"/>
        <w:jc w:val="both"/>
        <w:rPr>
          <w:rFonts w:ascii="Arial" w:hAnsi="Arial" w:cs="Arial"/>
          <w:color w:val="000000"/>
        </w:rPr>
      </w:pPr>
      <w:r w:rsidRPr="00EC27B5">
        <w:rPr>
          <w:rFonts w:ascii="Arial" w:hAnsi="Arial" w:cs="Arial"/>
          <w:color w:val="000000"/>
        </w:rPr>
        <w:t>Significa lo anterior, que existe retardo no solo respecto al desembolso del dinero de las mesadas pensionales, sino tambi</w:t>
      </w:r>
      <w:r>
        <w:rPr>
          <w:rFonts w:ascii="Arial" w:hAnsi="Arial" w:cs="Arial"/>
          <w:color w:val="000000"/>
        </w:rPr>
        <w:t>én cuando la prestación de invalidez</w:t>
      </w:r>
      <w:r w:rsidRPr="00EC27B5">
        <w:rPr>
          <w:rFonts w:ascii="Arial" w:hAnsi="Arial" w:cs="Arial"/>
          <w:color w:val="000000"/>
        </w:rPr>
        <w:t xml:space="preserve"> no se reconoce dentro de los 4 meses otorgados por el último canon citado. </w:t>
      </w:r>
    </w:p>
    <w:p w:rsidR="00A86996" w:rsidRDefault="00A86996" w:rsidP="00B11A83">
      <w:pPr>
        <w:tabs>
          <w:tab w:val="left" w:pos="589"/>
        </w:tabs>
        <w:spacing w:line="276" w:lineRule="auto"/>
        <w:jc w:val="both"/>
        <w:rPr>
          <w:rFonts w:ascii="Arial" w:hAnsi="Arial" w:cs="Arial"/>
          <w:szCs w:val="24"/>
        </w:rPr>
      </w:pPr>
    </w:p>
    <w:p w:rsidR="00B11A83" w:rsidRDefault="00A86996" w:rsidP="00B11A83">
      <w:pPr>
        <w:tabs>
          <w:tab w:val="left" w:pos="589"/>
        </w:tabs>
        <w:spacing w:line="276" w:lineRule="auto"/>
        <w:jc w:val="both"/>
        <w:rPr>
          <w:rFonts w:ascii="Arial" w:hAnsi="Arial" w:cs="Arial"/>
          <w:i/>
          <w:color w:val="000000"/>
        </w:rPr>
      </w:pPr>
      <w:r>
        <w:rPr>
          <w:rFonts w:ascii="Arial" w:hAnsi="Arial" w:cs="Arial"/>
          <w:szCs w:val="24"/>
        </w:rPr>
        <w:t xml:space="preserve">Sin embargo, </w:t>
      </w:r>
      <w:r w:rsidR="00B11A83">
        <w:rPr>
          <w:rFonts w:ascii="Arial" w:hAnsi="Arial" w:cs="Arial"/>
          <w:szCs w:val="24"/>
        </w:rPr>
        <w:t xml:space="preserve">adoctrinó </w:t>
      </w:r>
      <w:r w:rsidR="00F24FC1">
        <w:rPr>
          <w:rFonts w:ascii="Arial" w:hAnsi="Arial" w:cs="Arial"/>
          <w:szCs w:val="24"/>
        </w:rPr>
        <w:t>el Órgano de cierre de esta</w:t>
      </w:r>
      <w:r w:rsidR="00B11A83">
        <w:rPr>
          <w:rFonts w:ascii="Arial" w:hAnsi="Arial" w:cs="Arial"/>
          <w:szCs w:val="24"/>
        </w:rPr>
        <w:t xml:space="preserve"> Corporación</w:t>
      </w:r>
      <w:r w:rsidR="00B11A83">
        <w:rPr>
          <w:rStyle w:val="Refdenotaalpie"/>
          <w:rFonts w:ascii="Arial" w:hAnsi="Arial" w:cs="Arial"/>
          <w:szCs w:val="24"/>
        </w:rPr>
        <w:footnoteReference w:id="3"/>
      </w:r>
      <w:r w:rsidR="00B11A83">
        <w:rPr>
          <w:rFonts w:ascii="Arial" w:hAnsi="Arial" w:cs="Arial"/>
          <w:szCs w:val="24"/>
        </w:rPr>
        <w:t>, que las administradoras de pensiones pueden ser exoneradas de la condena por concepto de intereses moratorios cuando la tardanza en el reconocimiento pensional o la omisión en hacerlo</w:t>
      </w:r>
      <w:r w:rsidR="00B11A83" w:rsidRPr="00BC0C51">
        <w:rPr>
          <w:rFonts w:ascii="Arial" w:hAnsi="Arial" w:cs="Arial"/>
          <w:szCs w:val="24"/>
        </w:rPr>
        <w:t xml:space="preserve">, </w:t>
      </w:r>
      <w:r w:rsidR="00B11A83">
        <w:rPr>
          <w:rFonts w:ascii="Arial" w:hAnsi="Arial" w:cs="Arial"/>
          <w:szCs w:val="24"/>
        </w:rPr>
        <w:t>“</w:t>
      </w:r>
      <w:r w:rsidR="00B11A83" w:rsidRPr="00AB60A9">
        <w:rPr>
          <w:rFonts w:ascii="Arial" w:hAnsi="Arial" w:cs="Arial"/>
          <w:i/>
          <w:color w:val="000000"/>
        </w:rPr>
        <w:t>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00B11A83">
        <w:rPr>
          <w:rFonts w:ascii="Arial" w:hAnsi="Arial" w:cs="Arial"/>
          <w:i/>
          <w:color w:val="000000"/>
        </w:rPr>
        <w:t>”</w:t>
      </w:r>
      <w:r w:rsidR="00B11A83" w:rsidRPr="00AB60A9">
        <w:rPr>
          <w:rFonts w:ascii="Arial" w:hAnsi="Arial" w:cs="Arial"/>
          <w:i/>
          <w:color w:val="000000"/>
        </w:rPr>
        <w:t>.</w:t>
      </w:r>
    </w:p>
    <w:p w:rsidR="00876555" w:rsidRDefault="00876555" w:rsidP="00B11A83">
      <w:pPr>
        <w:tabs>
          <w:tab w:val="left" w:pos="589"/>
        </w:tabs>
        <w:spacing w:line="276" w:lineRule="auto"/>
        <w:jc w:val="both"/>
        <w:rPr>
          <w:rFonts w:ascii="Arial" w:hAnsi="Arial" w:cs="Arial"/>
          <w:i/>
          <w:color w:val="000000"/>
        </w:rPr>
      </w:pPr>
    </w:p>
    <w:p w:rsidR="00AA07F0" w:rsidRDefault="00AA07F0" w:rsidP="00AA07F0">
      <w:pPr>
        <w:spacing w:line="276" w:lineRule="auto"/>
        <w:jc w:val="both"/>
        <w:rPr>
          <w:rFonts w:ascii="Arial" w:eastAsiaTheme="minorHAnsi" w:hAnsi="Arial" w:cs="Arial"/>
          <w:b/>
          <w:szCs w:val="24"/>
        </w:rPr>
      </w:pPr>
      <w:r w:rsidRPr="00AA07F0">
        <w:rPr>
          <w:rFonts w:ascii="Arial" w:eastAsiaTheme="minorHAnsi" w:hAnsi="Arial" w:cs="Arial"/>
          <w:b/>
          <w:szCs w:val="24"/>
        </w:rPr>
        <w:t>2.1.2. Fundamento fáctico</w:t>
      </w:r>
    </w:p>
    <w:p w:rsidR="00166ACF" w:rsidRPr="00AA07F0" w:rsidRDefault="00166ACF" w:rsidP="00AA07F0">
      <w:pPr>
        <w:spacing w:line="276" w:lineRule="auto"/>
        <w:jc w:val="both"/>
        <w:rPr>
          <w:rFonts w:ascii="Arial" w:eastAsiaTheme="minorHAnsi" w:hAnsi="Arial" w:cs="Arial"/>
          <w:b/>
          <w:szCs w:val="24"/>
        </w:rPr>
      </w:pPr>
    </w:p>
    <w:p w:rsidR="006679D6" w:rsidRDefault="006679D6" w:rsidP="006679D6">
      <w:pPr>
        <w:spacing w:line="276" w:lineRule="auto"/>
        <w:jc w:val="both"/>
        <w:rPr>
          <w:rFonts w:ascii="Arial" w:eastAsiaTheme="minorHAnsi" w:hAnsi="Arial" w:cs="Arial"/>
          <w:iCs/>
          <w:szCs w:val="24"/>
          <w:lang w:val="es-CO"/>
        </w:rPr>
      </w:pPr>
      <w:r>
        <w:rPr>
          <w:rFonts w:ascii="Arial" w:eastAsiaTheme="minorHAnsi" w:hAnsi="Arial" w:cs="Arial"/>
          <w:iCs/>
          <w:szCs w:val="24"/>
          <w:lang w:val="es-CO"/>
        </w:rPr>
        <w:t>Se probó que el Instituto de Seguros Sociales a través de la Resolución No.002389 de 27-04-2010</w:t>
      </w:r>
      <w:r>
        <w:rPr>
          <w:rStyle w:val="Refdenotaalpie"/>
          <w:rFonts w:ascii="Arial" w:eastAsiaTheme="minorHAnsi" w:hAnsi="Arial" w:cs="Arial"/>
          <w:iCs/>
          <w:szCs w:val="24"/>
          <w:lang w:val="es-CO"/>
        </w:rPr>
        <w:footnoteReference w:id="4"/>
      </w:r>
      <w:r>
        <w:rPr>
          <w:rFonts w:ascii="Arial" w:eastAsiaTheme="minorHAnsi" w:hAnsi="Arial" w:cs="Arial"/>
          <w:iCs/>
          <w:szCs w:val="24"/>
          <w:lang w:val="es-CO"/>
        </w:rPr>
        <w:t>, le negó a la</w:t>
      </w:r>
      <w:r w:rsidR="00716165">
        <w:rPr>
          <w:rFonts w:ascii="Arial" w:eastAsiaTheme="minorHAnsi" w:hAnsi="Arial" w:cs="Arial"/>
          <w:iCs/>
          <w:szCs w:val="24"/>
          <w:lang w:val="es-CO"/>
        </w:rPr>
        <w:t xml:space="preserve"> actora la pensión de invalidez</w:t>
      </w:r>
      <w:r>
        <w:rPr>
          <w:rFonts w:ascii="Arial" w:eastAsiaTheme="minorHAnsi" w:hAnsi="Arial" w:cs="Arial"/>
          <w:iCs/>
          <w:szCs w:val="24"/>
          <w:lang w:val="es-CO"/>
        </w:rPr>
        <w:t xml:space="preserve"> que solicitó el 31-07-2009, bajo el argumento que la misma no se había causado</w:t>
      </w:r>
      <w:r w:rsidR="008F6B00">
        <w:rPr>
          <w:rFonts w:ascii="Arial" w:eastAsiaTheme="minorHAnsi" w:hAnsi="Arial" w:cs="Arial"/>
          <w:iCs/>
          <w:szCs w:val="24"/>
          <w:lang w:val="es-CO"/>
        </w:rPr>
        <w:t>,</w:t>
      </w:r>
      <w:r>
        <w:rPr>
          <w:rFonts w:ascii="Arial" w:eastAsiaTheme="minorHAnsi" w:hAnsi="Arial" w:cs="Arial"/>
          <w:iCs/>
          <w:szCs w:val="24"/>
          <w:lang w:val="es-CO"/>
        </w:rPr>
        <w:t xml:space="preserve"> al dejar</w:t>
      </w:r>
      <w:r w:rsidR="00716165">
        <w:rPr>
          <w:rFonts w:ascii="Arial" w:eastAsiaTheme="minorHAnsi" w:hAnsi="Arial" w:cs="Arial"/>
          <w:iCs/>
          <w:szCs w:val="24"/>
          <w:lang w:val="es-CO"/>
        </w:rPr>
        <w:t>se</w:t>
      </w:r>
      <w:r>
        <w:rPr>
          <w:rFonts w:ascii="Arial" w:eastAsiaTheme="minorHAnsi" w:hAnsi="Arial" w:cs="Arial"/>
          <w:iCs/>
          <w:szCs w:val="24"/>
          <w:lang w:val="es-CO"/>
        </w:rPr>
        <w:t xml:space="preserve"> de acreditar el requisito de fidelidad al sistema; </w:t>
      </w:r>
      <w:r w:rsidR="00716165">
        <w:rPr>
          <w:rFonts w:ascii="Arial" w:eastAsiaTheme="minorHAnsi" w:hAnsi="Arial" w:cs="Arial"/>
          <w:iCs/>
          <w:szCs w:val="24"/>
          <w:lang w:val="es-CO"/>
        </w:rPr>
        <w:t>calenda</w:t>
      </w:r>
      <w:r>
        <w:rPr>
          <w:rFonts w:ascii="Arial" w:eastAsiaTheme="minorHAnsi" w:hAnsi="Arial" w:cs="Arial"/>
          <w:iCs/>
          <w:szCs w:val="24"/>
          <w:lang w:val="es-CO"/>
        </w:rPr>
        <w:t xml:space="preserve"> para la cual</w:t>
      </w:r>
      <w:r w:rsidR="00716165">
        <w:rPr>
          <w:rFonts w:ascii="Arial" w:eastAsiaTheme="minorHAnsi" w:hAnsi="Arial" w:cs="Arial"/>
          <w:iCs/>
          <w:szCs w:val="24"/>
          <w:lang w:val="es-CO"/>
        </w:rPr>
        <w:t xml:space="preserve"> ya</w:t>
      </w:r>
      <w:r>
        <w:rPr>
          <w:rFonts w:ascii="Arial" w:eastAsiaTheme="minorHAnsi" w:hAnsi="Arial" w:cs="Arial"/>
          <w:iCs/>
          <w:szCs w:val="24"/>
          <w:lang w:val="es-CO"/>
        </w:rPr>
        <w:t xml:space="preserve"> la Corte Constitucional </w:t>
      </w:r>
      <w:r w:rsidR="00716165">
        <w:rPr>
          <w:rFonts w:ascii="Arial" w:eastAsiaTheme="minorHAnsi" w:hAnsi="Arial" w:cs="Arial"/>
          <w:iCs/>
          <w:szCs w:val="24"/>
          <w:lang w:val="es-CO"/>
        </w:rPr>
        <w:t xml:space="preserve">había </w:t>
      </w:r>
      <w:r>
        <w:rPr>
          <w:rFonts w:ascii="Arial" w:eastAsiaTheme="minorHAnsi" w:hAnsi="Arial" w:cs="Arial"/>
          <w:iCs/>
          <w:szCs w:val="24"/>
          <w:lang w:val="es-CO"/>
        </w:rPr>
        <w:t>declaró inexequible este requisito a través de la sentencia C-428 de 01-07-2009.</w:t>
      </w:r>
    </w:p>
    <w:p w:rsidR="006679D6" w:rsidRDefault="006679D6" w:rsidP="006679D6">
      <w:pPr>
        <w:spacing w:line="276" w:lineRule="auto"/>
        <w:jc w:val="both"/>
        <w:rPr>
          <w:rFonts w:ascii="Arial" w:eastAsiaTheme="minorHAnsi" w:hAnsi="Arial" w:cs="Arial"/>
          <w:iCs/>
          <w:szCs w:val="24"/>
        </w:rPr>
      </w:pPr>
    </w:p>
    <w:p w:rsidR="006679D6" w:rsidRDefault="006679D6" w:rsidP="006679D6">
      <w:pPr>
        <w:spacing w:line="276" w:lineRule="auto"/>
        <w:jc w:val="both"/>
        <w:rPr>
          <w:rFonts w:ascii="Arial" w:eastAsiaTheme="minorHAnsi" w:hAnsi="Arial" w:cs="Arial"/>
          <w:iCs/>
          <w:szCs w:val="24"/>
        </w:rPr>
      </w:pPr>
      <w:r>
        <w:rPr>
          <w:rFonts w:ascii="Arial" w:eastAsiaTheme="minorHAnsi" w:hAnsi="Arial" w:cs="Arial"/>
          <w:iCs/>
          <w:szCs w:val="24"/>
        </w:rPr>
        <w:t>Posteriormente</w:t>
      </w:r>
      <w:r w:rsidR="00716165">
        <w:rPr>
          <w:rFonts w:ascii="Arial" w:eastAsiaTheme="minorHAnsi" w:hAnsi="Arial" w:cs="Arial"/>
          <w:iCs/>
          <w:szCs w:val="24"/>
        </w:rPr>
        <w:t>,</w:t>
      </w:r>
      <w:r>
        <w:rPr>
          <w:rFonts w:ascii="Arial" w:eastAsiaTheme="minorHAnsi" w:hAnsi="Arial" w:cs="Arial"/>
          <w:iCs/>
          <w:szCs w:val="24"/>
        </w:rPr>
        <w:t xml:space="preserve"> el </w:t>
      </w:r>
      <w:proofErr w:type="spellStart"/>
      <w:r>
        <w:rPr>
          <w:rFonts w:ascii="Arial" w:eastAsiaTheme="minorHAnsi" w:hAnsi="Arial" w:cs="Arial"/>
          <w:iCs/>
          <w:szCs w:val="24"/>
        </w:rPr>
        <w:t>ISS</w:t>
      </w:r>
      <w:proofErr w:type="spellEnd"/>
      <w:r w:rsidRPr="006679D6">
        <w:rPr>
          <w:rFonts w:ascii="Arial" w:eastAsiaTheme="minorHAnsi" w:hAnsi="Arial" w:cs="Arial"/>
          <w:iCs/>
          <w:szCs w:val="24"/>
        </w:rPr>
        <w:t xml:space="preserve"> </w:t>
      </w:r>
      <w:r w:rsidRPr="00960E61">
        <w:rPr>
          <w:rFonts w:ascii="Arial" w:eastAsiaTheme="minorHAnsi" w:hAnsi="Arial" w:cs="Arial"/>
          <w:iCs/>
          <w:szCs w:val="24"/>
        </w:rPr>
        <w:t>por medi</w:t>
      </w:r>
      <w:r>
        <w:rPr>
          <w:rFonts w:ascii="Arial" w:eastAsiaTheme="minorHAnsi" w:hAnsi="Arial" w:cs="Arial"/>
          <w:iCs/>
          <w:szCs w:val="24"/>
        </w:rPr>
        <w:t xml:space="preserve">o de la resolución Nº </w:t>
      </w:r>
      <w:proofErr w:type="spellStart"/>
      <w:r>
        <w:rPr>
          <w:rFonts w:ascii="Arial" w:eastAsiaTheme="minorHAnsi" w:hAnsi="Arial" w:cs="Arial"/>
          <w:iCs/>
          <w:szCs w:val="24"/>
        </w:rPr>
        <w:t>GNR</w:t>
      </w:r>
      <w:proofErr w:type="spellEnd"/>
      <w:r>
        <w:rPr>
          <w:rFonts w:ascii="Arial" w:eastAsiaTheme="minorHAnsi" w:hAnsi="Arial" w:cs="Arial"/>
          <w:iCs/>
          <w:szCs w:val="24"/>
        </w:rPr>
        <w:t xml:space="preserve"> 169045 de 03-07-2015 –fls.58 a 60- </w:t>
      </w:r>
      <w:r w:rsidR="00716165">
        <w:rPr>
          <w:rFonts w:ascii="Arial" w:eastAsiaTheme="minorHAnsi" w:hAnsi="Arial" w:cs="Arial"/>
          <w:iCs/>
          <w:szCs w:val="24"/>
        </w:rPr>
        <w:t xml:space="preserve">le </w:t>
      </w:r>
      <w:r>
        <w:rPr>
          <w:rFonts w:ascii="Arial" w:eastAsiaTheme="minorHAnsi" w:hAnsi="Arial" w:cs="Arial"/>
          <w:iCs/>
          <w:szCs w:val="24"/>
        </w:rPr>
        <w:t>reconoció a</w:t>
      </w:r>
      <w:r w:rsidRPr="006679D6">
        <w:rPr>
          <w:rFonts w:ascii="Arial" w:eastAsiaTheme="minorHAnsi" w:hAnsi="Arial" w:cs="Arial"/>
          <w:iCs/>
          <w:szCs w:val="24"/>
        </w:rPr>
        <w:t xml:space="preserve"> </w:t>
      </w:r>
      <w:r>
        <w:rPr>
          <w:rFonts w:ascii="Arial" w:eastAsiaTheme="minorHAnsi" w:hAnsi="Arial" w:cs="Arial"/>
          <w:iCs/>
          <w:szCs w:val="24"/>
        </w:rPr>
        <w:t>l</w:t>
      </w:r>
      <w:r w:rsidRPr="00960E61">
        <w:rPr>
          <w:rFonts w:ascii="Arial" w:eastAsiaTheme="minorHAnsi" w:hAnsi="Arial" w:cs="Arial"/>
          <w:iCs/>
          <w:szCs w:val="24"/>
        </w:rPr>
        <w:t xml:space="preserve">a señora </w:t>
      </w:r>
      <w:proofErr w:type="spellStart"/>
      <w:r>
        <w:rPr>
          <w:rFonts w:ascii="Arial" w:eastAsiaTheme="minorHAnsi" w:hAnsi="Arial" w:cs="Arial"/>
          <w:iCs/>
          <w:szCs w:val="24"/>
        </w:rPr>
        <w:t>Nohora</w:t>
      </w:r>
      <w:proofErr w:type="spellEnd"/>
      <w:r>
        <w:rPr>
          <w:rFonts w:ascii="Arial" w:eastAsiaTheme="minorHAnsi" w:hAnsi="Arial" w:cs="Arial"/>
          <w:iCs/>
          <w:szCs w:val="24"/>
        </w:rPr>
        <w:t xml:space="preserve"> Emilia Pérez</w:t>
      </w:r>
      <w:r w:rsidRPr="00960E61">
        <w:rPr>
          <w:rFonts w:ascii="Arial" w:eastAsiaTheme="minorHAnsi" w:hAnsi="Arial" w:cs="Arial"/>
          <w:iCs/>
          <w:szCs w:val="24"/>
        </w:rPr>
        <w:t xml:space="preserve"> </w:t>
      </w:r>
      <w:r>
        <w:rPr>
          <w:rFonts w:ascii="Arial" w:eastAsiaTheme="minorHAnsi" w:hAnsi="Arial" w:cs="Arial"/>
          <w:iCs/>
          <w:szCs w:val="24"/>
        </w:rPr>
        <w:t>la</w:t>
      </w:r>
      <w:r w:rsidRPr="00960E61">
        <w:rPr>
          <w:rFonts w:ascii="Arial" w:eastAsiaTheme="minorHAnsi" w:hAnsi="Arial" w:cs="Arial"/>
          <w:iCs/>
          <w:szCs w:val="24"/>
        </w:rPr>
        <w:t xml:space="preserve"> pens</w:t>
      </w:r>
      <w:r>
        <w:rPr>
          <w:rFonts w:ascii="Arial" w:eastAsiaTheme="minorHAnsi" w:hAnsi="Arial" w:cs="Arial"/>
          <w:iCs/>
          <w:szCs w:val="24"/>
        </w:rPr>
        <w:t>ión de invalidez a partir del 11-11-2008</w:t>
      </w:r>
      <w:r w:rsidRPr="00960E61">
        <w:rPr>
          <w:rFonts w:ascii="Arial" w:eastAsiaTheme="minorHAnsi" w:hAnsi="Arial" w:cs="Arial"/>
          <w:iCs/>
          <w:szCs w:val="24"/>
        </w:rPr>
        <w:t>, en cuantía mensual equivalente al</w:t>
      </w:r>
      <w:r>
        <w:rPr>
          <w:rFonts w:ascii="Arial" w:eastAsiaTheme="minorHAnsi" w:hAnsi="Arial" w:cs="Arial"/>
          <w:iCs/>
          <w:szCs w:val="24"/>
        </w:rPr>
        <w:t xml:space="preserve"> salario mínimo legal vigente, </w:t>
      </w:r>
      <w:r w:rsidR="00716165">
        <w:rPr>
          <w:rFonts w:ascii="Arial" w:eastAsiaTheme="minorHAnsi" w:hAnsi="Arial" w:cs="Arial"/>
          <w:iCs/>
          <w:szCs w:val="24"/>
        </w:rPr>
        <w:t>a razón de</w:t>
      </w:r>
      <w:r w:rsidRPr="00960E61">
        <w:rPr>
          <w:rFonts w:ascii="Arial" w:eastAsiaTheme="minorHAnsi" w:hAnsi="Arial" w:cs="Arial"/>
          <w:iCs/>
          <w:szCs w:val="24"/>
        </w:rPr>
        <w:t xml:space="preserve"> 14 mesadas anuales, </w:t>
      </w:r>
      <w:r>
        <w:rPr>
          <w:rFonts w:ascii="Arial" w:eastAsiaTheme="minorHAnsi" w:hAnsi="Arial" w:cs="Arial"/>
          <w:iCs/>
          <w:szCs w:val="24"/>
        </w:rPr>
        <w:t xml:space="preserve">y dispuso pagar como retroactivo la suma de </w:t>
      </w:r>
      <w:r w:rsidR="00AC5795">
        <w:rPr>
          <w:rFonts w:ascii="Arial" w:eastAsiaTheme="minorHAnsi" w:hAnsi="Arial" w:cs="Arial"/>
          <w:iCs/>
          <w:szCs w:val="24"/>
        </w:rPr>
        <w:t>$34</w:t>
      </w:r>
      <w:r w:rsidR="00AC5795" w:rsidRPr="00B5561D">
        <w:rPr>
          <w:rFonts w:ascii="Arial" w:eastAsiaTheme="minorHAnsi" w:hAnsi="Arial" w:cs="Arial"/>
          <w:iCs/>
          <w:szCs w:val="24"/>
        </w:rPr>
        <w:t>.955.967</w:t>
      </w:r>
      <w:r w:rsidR="00AC5795">
        <w:rPr>
          <w:rFonts w:ascii="Arial" w:eastAsiaTheme="minorHAnsi" w:hAnsi="Arial" w:cs="Arial"/>
          <w:iCs/>
          <w:szCs w:val="24"/>
        </w:rPr>
        <w:t>;</w:t>
      </w:r>
      <w:r w:rsidR="00716165">
        <w:rPr>
          <w:rFonts w:ascii="Arial" w:eastAsiaTheme="minorHAnsi" w:hAnsi="Arial" w:cs="Arial"/>
          <w:iCs/>
          <w:szCs w:val="24"/>
        </w:rPr>
        <w:t xml:space="preserve"> de esta manera, dio</w:t>
      </w:r>
      <w:r>
        <w:rPr>
          <w:rFonts w:ascii="Arial" w:eastAsiaTheme="minorHAnsi" w:hAnsi="Arial" w:cs="Arial"/>
          <w:iCs/>
          <w:szCs w:val="24"/>
        </w:rPr>
        <w:t xml:space="preserve"> </w:t>
      </w:r>
      <w:r w:rsidR="00655AB0">
        <w:rPr>
          <w:rFonts w:ascii="Arial" w:eastAsiaTheme="minorHAnsi" w:hAnsi="Arial" w:cs="Arial"/>
          <w:iCs/>
          <w:szCs w:val="24"/>
        </w:rPr>
        <w:t>cumplimiento a</w:t>
      </w:r>
      <w:r>
        <w:rPr>
          <w:rFonts w:ascii="Arial" w:eastAsiaTheme="minorHAnsi" w:hAnsi="Arial" w:cs="Arial"/>
          <w:iCs/>
          <w:szCs w:val="24"/>
        </w:rPr>
        <w:t xml:space="preserve"> la sentencia proferida el 14-12-2011 por el Juzgado Segundo Laboral Adjunto del Circuito de Pereira, que </w:t>
      </w:r>
      <w:proofErr w:type="spellStart"/>
      <w:r>
        <w:rPr>
          <w:rFonts w:ascii="Arial" w:eastAsiaTheme="minorHAnsi" w:hAnsi="Arial" w:cs="Arial"/>
          <w:iCs/>
          <w:szCs w:val="24"/>
        </w:rPr>
        <w:t>inaplicó</w:t>
      </w:r>
      <w:proofErr w:type="spellEnd"/>
      <w:r>
        <w:rPr>
          <w:rFonts w:ascii="Arial" w:eastAsiaTheme="minorHAnsi" w:hAnsi="Arial" w:cs="Arial"/>
          <w:iCs/>
          <w:szCs w:val="24"/>
        </w:rPr>
        <w:t xml:space="preserve"> el requisito de fidelidad que estaba vigente para </w:t>
      </w:r>
      <w:r w:rsidR="00716165">
        <w:rPr>
          <w:rFonts w:ascii="Arial" w:eastAsiaTheme="minorHAnsi" w:hAnsi="Arial" w:cs="Arial"/>
          <w:iCs/>
          <w:szCs w:val="24"/>
        </w:rPr>
        <w:t>la fecha en que se estructuró la invalidez -11-11-2008-</w:t>
      </w:r>
      <w:r>
        <w:rPr>
          <w:rFonts w:ascii="Arial" w:eastAsiaTheme="minorHAnsi" w:hAnsi="Arial" w:cs="Arial"/>
          <w:iCs/>
          <w:szCs w:val="24"/>
        </w:rPr>
        <w:t>.</w:t>
      </w:r>
    </w:p>
    <w:p w:rsidR="006679D6" w:rsidRDefault="006679D6" w:rsidP="00960E61">
      <w:pPr>
        <w:spacing w:line="276" w:lineRule="auto"/>
        <w:jc w:val="both"/>
        <w:rPr>
          <w:rFonts w:ascii="Arial" w:eastAsiaTheme="minorHAnsi" w:hAnsi="Arial" w:cs="Arial"/>
          <w:iCs/>
          <w:szCs w:val="24"/>
        </w:rPr>
      </w:pPr>
    </w:p>
    <w:p w:rsidR="00716165" w:rsidRDefault="009C4751" w:rsidP="004367C2">
      <w:pPr>
        <w:spacing w:line="276" w:lineRule="auto"/>
        <w:jc w:val="both"/>
        <w:rPr>
          <w:rFonts w:ascii="Arial" w:eastAsiaTheme="minorHAnsi" w:hAnsi="Arial" w:cs="Arial"/>
          <w:iCs/>
          <w:szCs w:val="24"/>
        </w:rPr>
      </w:pPr>
      <w:r>
        <w:rPr>
          <w:rFonts w:ascii="Arial" w:eastAsiaTheme="minorHAnsi" w:hAnsi="Arial" w:cs="Arial"/>
          <w:iCs/>
          <w:szCs w:val="24"/>
        </w:rPr>
        <w:t>Así las cosas,</w:t>
      </w:r>
      <w:r w:rsidR="00DF434E" w:rsidRPr="00774F7B">
        <w:rPr>
          <w:rFonts w:ascii="Arial" w:eastAsiaTheme="minorHAnsi" w:hAnsi="Arial" w:cs="Arial"/>
          <w:iCs/>
          <w:szCs w:val="24"/>
        </w:rPr>
        <w:t xml:space="preserve"> </w:t>
      </w:r>
      <w:r w:rsidR="00536E18">
        <w:rPr>
          <w:rFonts w:ascii="Arial" w:eastAsiaTheme="minorHAnsi" w:hAnsi="Arial" w:cs="Arial"/>
          <w:iCs/>
          <w:szCs w:val="24"/>
        </w:rPr>
        <w:t xml:space="preserve">le corresponde a la Sala determinar si la demandada actuó con estricto cumplimiento de la Ley </w:t>
      </w:r>
      <w:r>
        <w:rPr>
          <w:rFonts w:ascii="Arial" w:eastAsiaTheme="minorHAnsi" w:hAnsi="Arial" w:cs="Arial"/>
          <w:iCs/>
          <w:szCs w:val="24"/>
        </w:rPr>
        <w:t>cuando negó la pensión, pues so</w:t>
      </w:r>
      <w:r w:rsidR="00716165">
        <w:rPr>
          <w:rFonts w:ascii="Arial" w:eastAsiaTheme="minorHAnsi" w:hAnsi="Arial" w:cs="Arial"/>
          <w:iCs/>
          <w:szCs w:val="24"/>
        </w:rPr>
        <w:t>lo así se exoneraría de pagar los intereses moratorios del artículo 141 de la Ley 100 de 1993.</w:t>
      </w:r>
    </w:p>
    <w:p w:rsidR="00716165" w:rsidRDefault="00716165" w:rsidP="004367C2">
      <w:pPr>
        <w:spacing w:line="276" w:lineRule="auto"/>
        <w:jc w:val="both"/>
        <w:rPr>
          <w:rFonts w:ascii="Arial" w:eastAsiaTheme="minorHAnsi" w:hAnsi="Arial" w:cs="Arial"/>
          <w:iCs/>
          <w:szCs w:val="24"/>
        </w:rPr>
      </w:pPr>
    </w:p>
    <w:p w:rsidR="008E3AE3" w:rsidRDefault="00716165" w:rsidP="004367C2">
      <w:pPr>
        <w:spacing w:line="276" w:lineRule="auto"/>
        <w:jc w:val="both"/>
        <w:rPr>
          <w:rFonts w:ascii="Arial" w:eastAsiaTheme="minorHAnsi" w:hAnsi="Arial" w:cs="Arial"/>
          <w:iCs/>
          <w:szCs w:val="24"/>
        </w:rPr>
      </w:pPr>
      <w:r>
        <w:rPr>
          <w:rFonts w:ascii="Arial" w:eastAsiaTheme="minorHAnsi" w:hAnsi="Arial" w:cs="Arial"/>
          <w:iCs/>
          <w:szCs w:val="24"/>
        </w:rPr>
        <w:t>A</w:t>
      </w:r>
      <w:r w:rsidR="00536E18">
        <w:rPr>
          <w:rFonts w:ascii="Arial" w:eastAsiaTheme="minorHAnsi" w:hAnsi="Arial" w:cs="Arial"/>
          <w:iCs/>
          <w:szCs w:val="24"/>
        </w:rPr>
        <w:t>l respecto se advierte</w:t>
      </w:r>
      <w:r w:rsidR="008E3AE3">
        <w:rPr>
          <w:rFonts w:ascii="Arial" w:eastAsiaTheme="minorHAnsi" w:hAnsi="Arial" w:cs="Arial"/>
          <w:iCs/>
          <w:szCs w:val="24"/>
        </w:rPr>
        <w:t xml:space="preserve">n tres momentos: (i) la fecha en que se estructuró la </w:t>
      </w:r>
      <w:proofErr w:type="spellStart"/>
      <w:r w:rsidR="008E3AE3">
        <w:rPr>
          <w:rFonts w:ascii="Arial" w:eastAsiaTheme="minorHAnsi" w:hAnsi="Arial" w:cs="Arial"/>
          <w:iCs/>
          <w:szCs w:val="24"/>
        </w:rPr>
        <w:t>PCL</w:t>
      </w:r>
      <w:proofErr w:type="spellEnd"/>
      <w:r w:rsidR="008E3AE3">
        <w:rPr>
          <w:rFonts w:ascii="Arial" w:eastAsiaTheme="minorHAnsi" w:hAnsi="Arial" w:cs="Arial"/>
          <w:iCs/>
          <w:szCs w:val="24"/>
        </w:rPr>
        <w:t xml:space="preserve"> -11-11-2008- (fl.23 vto.); (ii) la fecha de la </w:t>
      </w:r>
      <w:r w:rsidR="00655AB0">
        <w:rPr>
          <w:rFonts w:ascii="Arial" w:eastAsiaTheme="minorHAnsi" w:hAnsi="Arial" w:cs="Arial"/>
          <w:iCs/>
          <w:szCs w:val="24"/>
        </w:rPr>
        <w:t>reclamación</w:t>
      </w:r>
      <w:r w:rsidR="008E3AE3">
        <w:rPr>
          <w:rFonts w:ascii="Arial" w:eastAsiaTheme="minorHAnsi" w:hAnsi="Arial" w:cs="Arial"/>
          <w:iCs/>
          <w:szCs w:val="24"/>
        </w:rPr>
        <w:t xml:space="preserve"> de la pensión de invalidez -31-07-2009- (fl.38</w:t>
      </w:r>
      <w:r>
        <w:rPr>
          <w:rFonts w:ascii="Arial" w:eastAsiaTheme="minorHAnsi" w:hAnsi="Arial" w:cs="Arial"/>
          <w:iCs/>
          <w:szCs w:val="24"/>
        </w:rPr>
        <w:t>) y</w:t>
      </w:r>
      <w:r w:rsidR="008E3AE3">
        <w:rPr>
          <w:rFonts w:ascii="Arial" w:eastAsiaTheme="minorHAnsi" w:hAnsi="Arial" w:cs="Arial"/>
          <w:iCs/>
          <w:szCs w:val="24"/>
        </w:rPr>
        <w:t xml:space="preserve"> (iii)</w:t>
      </w:r>
      <w:r>
        <w:rPr>
          <w:rFonts w:ascii="Arial" w:eastAsiaTheme="minorHAnsi" w:hAnsi="Arial" w:cs="Arial"/>
          <w:iCs/>
          <w:szCs w:val="24"/>
        </w:rPr>
        <w:t xml:space="preserve"> la fecha en que se decidió</w:t>
      </w:r>
      <w:r w:rsidR="00655AB0">
        <w:rPr>
          <w:rFonts w:ascii="Arial" w:eastAsiaTheme="minorHAnsi" w:hAnsi="Arial" w:cs="Arial"/>
          <w:iCs/>
          <w:szCs w:val="24"/>
        </w:rPr>
        <w:t xml:space="preserve"> la petición</w:t>
      </w:r>
      <w:r w:rsidR="008E3AE3">
        <w:rPr>
          <w:rFonts w:ascii="Arial" w:eastAsiaTheme="minorHAnsi" w:hAnsi="Arial" w:cs="Arial"/>
          <w:iCs/>
          <w:szCs w:val="24"/>
        </w:rPr>
        <w:t xml:space="preserve"> </w:t>
      </w:r>
      <w:r>
        <w:rPr>
          <w:rFonts w:ascii="Arial" w:eastAsiaTheme="minorHAnsi" w:hAnsi="Arial" w:cs="Arial"/>
          <w:iCs/>
          <w:szCs w:val="24"/>
        </w:rPr>
        <w:t xml:space="preserve">-27-04-2010-, para negarla </w:t>
      </w:r>
      <w:r w:rsidR="004A53AF">
        <w:rPr>
          <w:rFonts w:ascii="Arial" w:eastAsiaTheme="minorHAnsi" w:hAnsi="Arial" w:cs="Arial"/>
          <w:iCs/>
          <w:szCs w:val="24"/>
        </w:rPr>
        <w:t>(fl.38).</w:t>
      </w:r>
    </w:p>
    <w:p w:rsidR="004A53AF" w:rsidRDefault="004A53AF" w:rsidP="004367C2">
      <w:pPr>
        <w:spacing w:line="276" w:lineRule="auto"/>
        <w:jc w:val="both"/>
        <w:rPr>
          <w:rFonts w:ascii="Arial" w:eastAsiaTheme="minorHAnsi" w:hAnsi="Arial" w:cs="Arial"/>
          <w:iCs/>
          <w:szCs w:val="24"/>
        </w:rPr>
      </w:pPr>
    </w:p>
    <w:p w:rsidR="00536E18" w:rsidRDefault="00716165" w:rsidP="004367C2">
      <w:pPr>
        <w:spacing w:line="276" w:lineRule="auto"/>
        <w:jc w:val="both"/>
        <w:rPr>
          <w:rFonts w:ascii="Arial" w:eastAsiaTheme="minorHAnsi" w:hAnsi="Arial" w:cs="Arial"/>
          <w:iCs/>
          <w:szCs w:val="24"/>
        </w:rPr>
      </w:pPr>
      <w:r>
        <w:rPr>
          <w:rFonts w:ascii="Arial" w:eastAsiaTheme="minorHAnsi" w:hAnsi="Arial" w:cs="Arial"/>
          <w:iCs/>
          <w:szCs w:val="24"/>
        </w:rPr>
        <w:lastRenderedPageBreak/>
        <w:t xml:space="preserve">Si bien para </w:t>
      </w:r>
      <w:r w:rsidR="004A53AF">
        <w:rPr>
          <w:rFonts w:ascii="Arial" w:eastAsiaTheme="minorHAnsi" w:hAnsi="Arial" w:cs="Arial"/>
          <w:iCs/>
          <w:szCs w:val="24"/>
        </w:rPr>
        <w:t>l</w:t>
      </w:r>
      <w:r>
        <w:rPr>
          <w:rFonts w:ascii="Arial" w:eastAsiaTheme="minorHAnsi" w:hAnsi="Arial" w:cs="Arial"/>
          <w:iCs/>
          <w:szCs w:val="24"/>
        </w:rPr>
        <w:t>a</w:t>
      </w:r>
      <w:r w:rsidR="004A53AF">
        <w:rPr>
          <w:rFonts w:ascii="Arial" w:eastAsiaTheme="minorHAnsi" w:hAnsi="Arial" w:cs="Arial"/>
          <w:iCs/>
          <w:szCs w:val="24"/>
        </w:rPr>
        <w:t xml:space="preserve"> primer</w:t>
      </w:r>
      <w:r>
        <w:rPr>
          <w:rFonts w:ascii="Arial" w:eastAsiaTheme="minorHAnsi" w:hAnsi="Arial" w:cs="Arial"/>
          <w:iCs/>
          <w:szCs w:val="24"/>
        </w:rPr>
        <w:t>a fecha</w:t>
      </w:r>
      <w:r w:rsidR="004A53AF">
        <w:rPr>
          <w:rFonts w:ascii="Arial" w:eastAsiaTheme="minorHAnsi" w:hAnsi="Arial" w:cs="Arial"/>
          <w:iCs/>
          <w:szCs w:val="24"/>
        </w:rPr>
        <w:t>, no se había declarado la inconstitucionalidad del requis</w:t>
      </w:r>
      <w:r w:rsidR="00C661FA">
        <w:rPr>
          <w:rFonts w:ascii="Arial" w:eastAsiaTheme="minorHAnsi" w:hAnsi="Arial" w:cs="Arial"/>
          <w:iCs/>
          <w:szCs w:val="24"/>
        </w:rPr>
        <w:t>ito de fidelidad, sí</w:t>
      </w:r>
      <w:r w:rsidR="004A53AF">
        <w:rPr>
          <w:rFonts w:ascii="Arial" w:eastAsiaTheme="minorHAnsi" w:hAnsi="Arial" w:cs="Arial"/>
          <w:iCs/>
          <w:szCs w:val="24"/>
        </w:rPr>
        <w:t xml:space="preserve"> había desaparecido para cuando se pidió y decidió la </w:t>
      </w:r>
      <w:r w:rsidR="00655AB0">
        <w:rPr>
          <w:rFonts w:ascii="Arial" w:eastAsiaTheme="minorHAnsi" w:hAnsi="Arial" w:cs="Arial"/>
          <w:iCs/>
          <w:szCs w:val="24"/>
        </w:rPr>
        <w:t xml:space="preserve">reclamación de la </w:t>
      </w:r>
      <w:r w:rsidR="00C661FA">
        <w:rPr>
          <w:rFonts w:ascii="Arial" w:eastAsiaTheme="minorHAnsi" w:hAnsi="Arial" w:cs="Arial"/>
          <w:iCs/>
          <w:szCs w:val="24"/>
        </w:rPr>
        <w:t xml:space="preserve">pensión de invalidez; </w:t>
      </w:r>
      <w:r w:rsidR="004A53AF">
        <w:rPr>
          <w:rFonts w:ascii="Arial" w:eastAsiaTheme="minorHAnsi" w:hAnsi="Arial" w:cs="Arial"/>
          <w:iCs/>
          <w:szCs w:val="24"/>
        </w:rPr>
        <w:t>por lo que</w:t>
      </w:r>
      <w:r w:rsidR="00C661FA">
        <w:rPr>
          <w:rFonts w:ascii="Arial" w:eastAsiaTheme="minorHAnsi" w:hAnsi="Arial" w:cs="Arial"/>
          <w:iCs/>
          <w:szCs w:val="24"/>
        </w:rPr>
        <w:t>,</w:t>
      </w:r>
      <w:r w:rsidR="004A53AF">
        <w:rPr>
          <w:rFonts w:ascii="Arial" w:eastAsiaTheme="minorHAnsi" w:hAnsi="Arial" w:cs="Arial"/>
          <w:iCs/>
          <w:szCs w:val="24"/>
        </w:rPr>
        <w:t xml:space="preserve"> </w:t>
      </w:r>
      <w:r w:rsidR="00536E18">
        <w:rPr>
          <w:rFonts w:ascii="Arial" w:eastAsiaTheme="minorHAnsi" w:hAnsi="Arial" w:cs="Arial"/>
          <w:iCs/>
          <w:szCs w:val="24"/>
        </w:rPr>
        <w:t xml:space="preserve">a la administradora de pensiones no </w:t>
      </w:r>
      <w:r w:rsidR="00DF434E" w:rsidRPr="00774F7B">
        <w:rPr>
          <w:rFonts w:ascii="Arial" w:eastAsiaTheme="minorHAnsi" w:hAnsi="Arial" w:cs="Arial"/>
          <w:iCs/>
          <w:szCs w:val="24"/>
        </w:rPr>
        <w:t xml:space="preserve">le era dable </w:t>
      </w:r>
      <w:r w:rsidR="00536E18">
        <w:rPr>
          <w:rFonts w:ascii="Arial" w:eastAsiaTheme="minorHAnsi" w:hAnsi="Arial" w:cs="Arial"/>
          <w:iCs/>
          <w:szCs w:val="24"/>
        </w:rPr>
        <w:t>negar el derecho</w:t>
      </w:r>
      <w:r w:rsidR="00655AB0">
        <w:rPr>
          <w:rFonts w:ascii="Arial" w:eastAsiaTheme="minorHAnsi" w:hAnsi="Arial" w:cs="Arial"/>
          <w:iCs/>
          <w:szCs w:val="24"/>
        </w:rPr>
        <w:t xml:space="preserve"> pensional</w:t>
      </w:r>
      <w:r w:rsidR="00536E18">
        <w:rPr>
          <w:rFonts w:ascii="Arial" w:eastAsiaTheme="minorHAnsi" w:hAnsi="Arial" w:cs="Arial"/>
          <w:iCs/>
          <w:szCs w:val="24"/>
        </w:rPr>
        <w:t xml:space="preserve">, en la medida en que </w:t>
      </w:r>
      <w:r w:rsidR="00C661FA">
        <w:rPr>
          <w:rFonts w:ascii="Arial" w:eastAsiaTheme="minorHAnsi" w:hAnsi="Arial" w:cs="Arial"/>
          <w:iCs/>
          <w:szCs w:val="24"/>
        </w:rPr>
        <w:t xml:space="preserve">como autoridad administrativa </w:t>
      </w:r>
      <w:r w:rsidR="00536E18">
        <w:rPr>
          <w:rFonts w:ascii="Arial" w:eastAsiaTheme="minorHAnsi" w:hAnsi="Arial" w:cs="Arial"/>
          <w:iCs/>
          <w:szCs w:val="24"/>
        </w:rPr>
        <w:t>pudo optar por</w:t>
      </w:r>
      <w:r w:rsidR="00FA0268">
        <w:rPr>
          <w:rFonts w:ascii="Arial" w:eastAsiaTheme="minorHAnsi" w:hAnsi="Arial" w:cs="Arial"/>
          <w:iCs/>
          <w:szCs w:val="24"/>
        </w:rPr>
        <w:t xml:space="preserve"> aplicar</w:t>
      </w:r>
      <w:r w:rsidR="00536E18">
        <w:rPr>
          <w:rFonts w:ascii="Arial" w:eastAsiaTheme="minorHAnsi" w:hAnsi="Arial" w:cs="Arial"/>
          <w:iCs/>
          <w:szCs w:val="24"/>
        </w:rPr>
        <w:t xml:space="preserve"> la excepción de inconstitucionalidad que se erige a partir del artícul</w:t>
      </w:r>
      <w:r w:rsidR="00655AB0">
        <w:rPr>
          <w:rFonts w:ascii="Arial" w:eastAsiaTheme="minorHAnsi" w:hAnsi="Arial" w:cs="Arial"/>
          <w:iCs/>
          <w:szCs w:val="24"/>
        </w:rPr>
        <w:t>o 4 de la Constitución Política</w:t>
      </w:r>
      <w:r w:rsidR="00C661FA">
        <w:rPr>
          <w:rFonts w:ascii="Arial" w:eastAsiaTheme="minorHAnsi" w:hAnsi="Arial" w:cs="Arial"/>
          <w:iCs/>
          <w:szCs w:val="24"/>
        </w:rPr>
        <w:t xml:space="preserve"> y en consecuencia, </w:t>
      </w:r>
      <w:proofErr w:type="spellStart"/>
      <w:r w:rsidR="00536E18">
        <w:rPr>
          <w:rFonts w:ascii="Arial" w:eastAsiaTheme="minorHAnsi" w:hAnsi="Arial" w:cs="Arial"/>
          <w:iCs/>
          <w:szCs w:val="24"/>
        </w:rPr>
        <w:t>inaplicar</w:t>
      </w:r>
      <w:proofErr w:type="spellEnd"/>
      <w:r w:rsidR="00536E18">
        <w:rPr>
          <w:rFonts w:ascii="Arial" w:eastAsiaTheme="minorHAnsi" w:hAnsi="Arial" w:cs="Arial"/>
          <w:iCs/>
          <w:szCs w:val="24"/>
        </w:rPr>
        <w:t xml:space="preserve"> el requisito de fidelidad, tal como lo hizo en su momento el operador judicial, cuando reconoció la pensión de invalidez. </w:t>
      </w:r>
    </w:p>
    <w:p w:rsidR="00536E18" w:rsidRDefault="00536E18" w:rsidP="004367C2">
      <w:pPr>
        <w:spacing w:line="276" w:lineRule="auto"/>
        <w:jc w:val="both"/>
        <w:rPr>
          <w:rFonts w:ascii="Arial" w:eastAsiaTheme="minorHAnsi" w:hAnsi="Arial" w:cs="Arial"/>
          <w:iCs/>
          <w:szCs w:val="24"/>
        </w:rPr>
      </w:pPr>
    </w:p>
    <w:p w:rsidR="00841E7B" w:rsidRDefault="00C661FA" w:rsidP="004367C2">
      <w:pPr>
        <w:spacing w:line="276" w:lineRule="auto"/>
        <w:jc w:val="both"/>
        <w:rPr>
          <w:rFonts w:ascii="Arial" w:eastAsiaTheme="minorHAnsi" w:hAnsi="Arial" w:cs="Arial"/>
          <w:iCs/>
          <w:szCs w:val="24"/>
        </w:rPr>
      </w:pPr>
      <w:r>
        <w:rPr>
          <w:rFonts w:ascii="Arial" w:eastAsiaTheme="minorHAnsi" w:hAnsi="Arial" w:cs="Arial"/>
          <w:iCs/>
          <w:szCs w:val="24"/>
        </w:rPr>
        <w:t>Sobre la excepción de inconstitucionalidad</w:t>
      </w:r>
      <w:r w:rsidR="00536E18">
        <w:rPr>
          <w:rFonts w:ascii="Arial" w:eastAsiaTheme="minorHAnsi" w:hAnsi="Arial" w:cs="Arial"/>
          <w:iCs/>
          <w:szCs w:val="24"/>
        </w:rPr>
        <w:t xml:space="preserve"> la Corte Constitucional ha dicho que </w:t>
      </w:r>
      <w:r w:rsidR="00841E7B" w:rsidRPr="00841E7B">
        <w:rPr>
          <w:rFonts w:ascii="Arial" w:eastAsiaTheme="minorHAnsi" w:hAnsi="Arial" w:cs="Arial"/>
          <w:iCs/>
          <w:szCs w:val="24"/>
        </w:rPr>
        <w:t>se trata de una facultad-deber que tienen</w:t>
      </w:r>
      <w:r w:rsidR="008F6B00">
        <w:rPr>
          <w:rFonts w:ascii="Arial" w:eastAsiaTheme="minorHAnsi" w:hAnsi="Arial" w:cs="Arial"/>
          <w:iCs/>
          <w:szCs w:val="24"/>
        </w:rPr>
        <w:t xml:space="preserve"> todas</w:t>
      </w:r>
      <w:r w:rsidR="00841E7B" w:rsidRPr="00841E7B">
        <w:rPr>
          <w:rFonts w:ascii="Arial" w:eastAsiaTheme="minorHAnsi" w:hAnsi="Arial" w:cs="Arial"/>
          <w:iCs/>
          <w:szCs w:val="24"/>
        </w:rPr>
        <w:t xml:space="preserve"> las autoridades para </w:t>
      </w:r>
      <w:proofErr w:type="spellStart"/>
      <w:r w:rsidR="00841E7B" w:rsidRPr="00841E7B">
        <w:rPr>
          <w:rFonts w:ascii="Arial" w:eastAsiaTheme="minorHAnsi" w:hAnsi="Arial" w:cs="Arial"/>
          <w:iCs/>
          <w:szCs w:val="24"/>
        </w:rPr>
        <w:t>inaplicar</w:t>
      </w:r>
      <w:proofErr w:type="spellEnd"/>
      <w:r w:rsidR="00841E7B" w:rsidRPr="00841E7B">
        <w:rPr>
          <w:rFonts w:ascii="Arial" w:eastAsiaTheme="minorHAnsi" w:hAnsi="Arial" w:cs="Arial"/>
          <w:iCs/>
          <w:szCs w:val="24"/>
        </w:rPr>
        <w:t xml:space="preserve"> una norma</w:t>
      </w:r>
      <w:r w:rsidR="001D1417">
        <w:rPr>
          <w:rFonts w:ascii="Arial" w:eastAsiaTheme="minorHAnsi" w:hAnsi="Arial" w:cs="Arial"/>
          <w:iCs/>
          <w:szCs w:val="24"/>
        </w:rPr>
        <w:t>, no solo la judicial</w:t>
      </w:r>
      <w:r w:rsidR="008F6B00">
        <w:rPr>
          <w:rFonts w:ascii="Arial" w:eastAsiaTheme="minorHAnsi" w:hAnsi="Arial" w:cs="Arial"/>
          <w:iCs/>
          <w:szCs w:val="24"/>
        </w:rPr>
        <w:t>,</w:t>
      </w:r>
      <w:r w:rsidR="00841E7B" w:rsidRPr="00841E7B">
        <w:rPr>
          <w:rFonts w:ascii="Arial" w:eastAsiaTheme="minorHAnsi" w:hAnsi="Arial" w:cs="Arial"/>
          <w:iCs/>
          <w:szCs w:val="24"/>
        </w:rPr>
        <w:t xml:space="preserve"> y en su lugar</w:t>
      </w:r>
      <w:r>
        <w:rPr>
          <w:rFonts w:ascii="Arial" w:eastAsiaTheme="minorHAnsi" w:hAnsi="Arial" w:cs="Arial"/>
          <w:iCs/>
          <w:szCs w:val="24"/>
        </w:rPr>
        <w:t>,</w:t>
      </w:r>
      <w:r w:rsidR="00841E7B" w:rsidRPr="00841E7B">
        <w:rPr>
          <w:rFonts w:ascii="Arial" w:eastAsiaTheme="minorHAnsi" w:hAnsi="Arial" w:cs="Arial"/>
          <w:iCs/>
          <w:szCs w:val="24"/>
        </w:rPr>
        <w:t xml:space="preserve"> hacer efectiva la Constitución, consolidándose como una suerte de control de constitucionalidad difu</w:t>
      </w:r>
      <w:r w:rsidR="00841E7B">
        <w:rPr>
          <w:rFonts w:ascii="Arial" w:eastAsiaTheme="minorHAnsi" w:hAnsi="Arial" w:cs="Arial"/>
          <w:iCs/>
          <w:szCs w:val="24"/>
        </w:rPr>
        <w:t>so</w:t>
      </w:r>
      <w:r w:rsidR="00841E7B">
        <w:rPr>
          <w:rStyle w:val="Refdenotaalpie"/>
          <w:rFonts w:ascii="Arial" w:eastAsiaTheme="minorHAnsi" w:hAnsi="Arial" w:cs="Arial"/>
          <w:iCs/>
          <w:szCs w:val="24"/>
        </w:rPr>
        <w:footnoteReference w:id="5"/>
      </w:r>
      <w:r w:rsidR="00841E7B">
        <w:rPr>
          <w:rFonts w:ascii="Arial" w:eastAsiaTheme="minorHAnsi" w:hAnsi="Arial" w:cs="Arial"/>
          <w:iCs/>
          <w:szCs w:val="24"/>
        </w:rPr>
        <w:t xml:space="preserve">. </w:t>
      </w:r>
    </w:p>
    <w:p w:rsidR="00841E7B" w:rsidRDefault="00841E7B" w:rsidP="004367C2">
      <w:pPr>
        <w:spacing w:line="276" w:lineRule="auto"/>
        <w:jc w:val="both"/>
        <w:rPr>
          <w:rFonts w:ascii="Arial" w:eastAsiaTheme="minorHAnsi" w:hAnsi="Arial" w:cs="Arial"/>
          <w:iCs/>
          <w:szCs w:val="24"/>
        </w:rPr>
      </w:pPr>
    </w:p>
    <w:p w:rsidR="00FA15F4" w:rsidRDefault="00C661FA" w:rsidP="004367C2">
      <w:pPr>
        <w:spacing w:line="276" w:lineRule="auto"/>
        <w:jc w:val="both"/>
        <w:rPr>
          <w:rFonts w:ascii="Arial" w:eastAsiaTheme="minorHAnsi" w:hAnsi="Arial" w:cs="Arial"/>
          <w:iCs/>
          <w:szCs w:val="24"/>
        </w:rPr>
      </w:pPr>
      <w:r>
        <w:rPr>
          <w:rFonts w:ascii="Arial" w:eastAsiaTheme="minorHAnsi" w:hAnsi="Arial" w:cs="Arial"/>
          <w:iCs/>
          <w:szCs w:val="24"/>
        </w:rPr>
        <w:t>En armonía con lo expuesto</w:t>
      </w:r>
      <w:r w:rsidR="00FA15F4">
        <w:rPr>
          <w:rFonts w:ascii="Arial" w:eastAsiaTheme="minorHAnsi" w:hAnsi="Arial" w:cs="Arial"/>
          <w:iCs/>
          <w:szCs w:val="24"/>
        </w:rPr>
        <w:t>,</w:t>
      </w:r>
      <w:r>
        <w:rPr>
          <w:rFonts w:ascii="Arial" w:eastAsiaTheme="minorHAnsi" w:hAnsi="Arial" w:cs="Arial"/>
          <w:iCs/>
          <w:szCs w:val="24"/>
        </w:rPr>
        <w:t xml:space="preserve"> para la Sala</w:t>
      </w:r>
      <w:r w:rsidR="004367C2">
        <w:rPr>
          <w:rFonts w:ascii="Arial" w:eastAsiaTheme="minorHAnsi" w:hAnsi="Arial" w:cs="Arial"/>
          <w:iCs/>
          <w:szCs w:val="24"/>
        </w:rPr>
        <w:t xml:space="preserve"> </w:t>
      </w:r>
      <w:r w:rsidR="00841E7B">
        <w:rPr>
          <w:rFonts w:ascii="Arial" w:eastAsiaTheme="minorHAnsi" w:hAnsi="Arial" w:cs="Arial"/>
          <w:iCs/>
          <w:szCs w:val="24"/>
        </w:rPr>
        <w:t xml:space="preserve">la </w:t>
      </w:r>
      <w:r w:rsidR="004367C2">
        <w:rPr>
          <w:rFonts w:ascii="Arial" w:eastAsiaTheme="minorHAnsi" w:hAnsi="Arial" w:cs="Arial"/>
          <w:iCs/>
          <w:szCs w:val="24"/>
        </w:rPr>
        <w:t>decisión</w:t>
      </w:r>
      <w:r w:rsidR="00841E7B">
        <w:rPr>
          <w:rFonts w:ascii="Arial" w:eastAsiaTheme="minorHAnsi" w:hAnsi="Arial" w:cs="Arial"/>
          <w:iCs/>
          <w:szCs w:val="24"/>
        </w:rPr>
        <w:t xml:space="preserve"> de </w:t>
      </w:r>
      <w:proofErr w:type="spellStart"/>
      <w:r w:rsidR="008F6B00">
        <w:rPr>
          <w:rFonts w:ascii="Arial" w:eastAsiaTheme="minorHAnsi" w:hAnsi="Arial" w:cs="Arial"/>
          <w:iCs/>
          <w:szCs w:val="24"/>
        </w:rPr>
        <w:t>Colpensiones</w:t>
      </w:r>
      <w:proofErr w:type="spellEnd"/>
      <w:r w:rsidR="00841E7B">
        <w:rPr>
          <w:rFonts w:ascii="Arial" w:eastAsiaTheme="minorHAnsi" w:hAnsi="Arial" w:cs="Arial"/>
          <w:iCs/>
          <w:szCs w:val="24"/>
        </w:rPr>
        <w:t xml:space="preserve"> </w:t>
      </w:r>
      <w:r>
        <w:rPr>
          <w:rFonts w:ascii="Arial" w:eastAsiaTheme="minorHAnsi" w:hAnsi="Arial" w:cs="Arial"/>
          <w:iCs/>
          <w:szCs w:val="24"/>
        </w:rPr>
        <w:t>de negar el reconocimiento de</w:t>
      </w:r>
      <w:r w:rsidR="001C6B9C">
        <w:rPr>
          <w:rFonts w:ascii="Arial" w:eastAsiaTheme="minorHAnsi" w:hAnsi="Arial" w:cs="Arial"/>
          <w:iCs/>
          <w:szCs w:val="24"/>
        </w:rPr>
        <w:t xml:space="preserve"> la pensión de invalidez</w:t>
      </w:r>
      <w:r w:rsidR="00FA15F4">
        <w:rPr>
          <w:rFonts w:ascii="Arial" w:eastAsiaTheme="minorHAnsi" w:hAnsi="Arial" w:cs="Arial"/>
          <w:iCs/>
          <w:szCs w:val="24"/>
        </w:rPr>
        <w:t xml:space="preserve"> </w:t>
      </w:r>
      <w:r w:rsidR="001C6B9C">
        <w:rPr>
          <w:rFonts w:ascii="Arial" w:eastAsiaTheme="minorHAnsi" w:hAnsi="Arial" w:cs="Arial"/>
          <w:iCs/>
          <w:szCs w:val="24"/>
        </w:rPr>
        <w:t>dentro de los 4 meses siguientes a la reclamación, que vencieron el 30-11-2009</w:t>
      </w:r>
      <w:r w:rsidR="00C73166">
        <w:rPr>
          <w:rFonts w:ascii="Arial" w:eastAsiaTheme="minorHAnsi" w:hAnsi="Arial" w:cs="Arial"/>
          <w:iCs/>
          <w:szCs w:val="24"/>
        </w:rPr>
        <w:t>;</w:t>
      </w:r>
      <w:r w:rsidR="001C6B9C">
        <w:rPr>
          <w:rFonts w:ascii="Arial" w:eastAsiaTheme="minorHAnsi" w:hAnsi="Arial" w:cs="Arial"/>
          <w:iCs/>
          <w:szCs w:val="24"/>
        </w:rPr>
        <w:t xml:space="preserve"> al no obedecer</w:t>
      </w:r>
      <w:r w:rsidR="00290FB9" w:rsidRPr="00960E61">
        <w:rPr>
          <w:rFonts w:ascii="Arial" w:eastAsiaTheme="minorHAnsi" w:hAnsi="Arial" w:cs="Arial"/>
          <w:iCs/>
          <w:szCs w:val="24"/>
        </w:rPr>
        <w:t xml:space="preserve"> al estricto cumplimiento de la Ley</w:t>
      </w:r>
      <w:r w:rsidR="00F42C65">
        <w:rPr>
          <w:rFonts w:ascii="Arial" w:eastAsiaTheme="minorHAnsi" w:hAnsi="Arial" w:cs="Arial"/>
          <w:iCs/>
          <w:szCs w:val="24"/>
        </w:rPr>
        <w:t>,</w:t>
      </w:r>
      <w:r w:rsidR="001C6B9C">
        <w:rPr>
          <w:rFonts w:ascii="Arial" w:eastAsiaTheme="minorHAnsi" w:hAnsi="Arial" w:cs="Arial"/>
          <w:iCs/>
          <w:szCs w:val="24"/>
        </w:rPr>
        <w:t xml:space="preserve"> </w:t>
      </w:r>
      <w:r w:rsidR="00C73166">
        <w:rPr>
          <w:rFonts w:ascii="Arial" w:eastAsiaTheme="minorHAnsi" w:hAnsi="Arial" w:cs="Arial"/>
          <w:iCs/>
          <w:szCs w:val="24"/>
        </w:rPr>
        <w:t xml:space="preserve">le </w:t>
      </w:r>
      <w:r w:rsidR="00FA0268">
        <w:rPr>
          <w:rFonts w:ascii="Arial" w:eastAsiaTheme="minorHAnsi" w:hAnsi="Arial" w:cs="Arial"/>
          <w:iCs/>
          <w:szCs w:val="24"/>
        </w:rPr>
        <w:t>ge</w:t>
      </w:r>
      <w:r w:rsidR="00C73166">
        <w:rPr>
          <w:rFonts w:ascii="Arial" w:eastAsiaTheme="minorHAnsi" w:hAnsi="Arial" w:cs="Arial"/>
          <w:iCs/>
          <w:szCs w:val="24"/>
        </w:rPr>
        <w:t>nera</w:t>
      </w:r>
      <w:r w:rsidR="00106CAC">
        <w:rPr>
          <w:rFonts w:ascii="Arial" w:eastAsiaTheme="minorHAnsi" w:hAnsi="Arial" w:cs="Arial"/>
          <w:iCs/>
          <w:szCs w:val="24"/>
        </w:rPr>
        <w:t xml:space="preserve"> la obligación de pagar</w:t>
      </w:r>
      <w:r w:rsidR="00FA0268">
        <w:rPr>
          <w:rFonts w:ascii="Arial" w:eastAsiaTheme="minorHAnsi" w:hAnsi="Arial" w:cs="Arial"/>
          <w:iCs/>
          <w:szCs w:val="24"/>
        </w:rPr>
        <w:t xml:space="preserve"> </w:t>
      </w:r>
      <w:r w:rsidR="00106CAC">
        <w:rPr>
          <w:rFonts w:ascii="Arial" w:eastAsiaTheme="minorHAnsi" w:hAnsi="Arial" w:cs="Arial"/>
          <w:iCs/>
          <w:szCs w:val="24"/>
        </w:rPr>
        <w:t>los</w:t>
      </w:r>
      <w:r w:rsidR="00FA0268">
        <w:rPr>
          <w:rFonts w:ascii="Arial" w:eastAsiaTheme="minorHAnsi" w:hAnsi="Arial" w:cs="Arial"/>
          <w:iCs/>
          <w:szCs w:val="24"/>
        </w:rPr>
        <w:t xml:space="preserve"> intereses moratorios</w:t>
      </w:r>
      <w:r w:rsidR="001C6B9C" w:rsidRPr="001C6B9C">
        <w:rPr>
          <w:rFonts w:ascii="Arial" w:eastAsiaTheme="minorHAnsi" w:hAnsi="Arial" w:cs="Arial"/>
          <w:iCs/>
          <w:szCs w:val="24"/>
        </w:rPr>
        <w:t xml:space="preserve"> </w:t>
      </w:r>
      <w:r w:rsidR="001C6B9C">
        <w:rPr>
          <w:rFonts w:ascii="Arial" w:eastAsiaTheme="minorHAnsi" w:hAnsi="Arial" w:cs="Arial"/>
          <w:iCs/>
          <w:szCs w:val="24"/>
        </w:rPr>
        <w:t xml:space="preserve">de que trata </w:t>
      </w:r>
      <w:r w:rsidR="001C6B9C" w:rsidRPr="00774F7B">
        <w:rPr>
          <w:rFonts w:ascii="Arial" w:eastAsiaTheme="minorHAnsi" w:hAnsi="Arial" w:cs="Arial"/>
          <w:iCs/>
          <w:szCs w:val="24"/>
        </w:rPr>
        <w:t>el artículo 141 de la</w:t>
      </w:r>
      <w:r w:rsidR="001C6B9C">
        <w:rPr>
          <w:rFonts w:ascii="Arial" w:eastAsiaTheme="minorHAnsi" w:hAnsi="Arial" w:cs="Arial"/>
          <w:iCs/>
          <w:szCs w:val="24"/>
        </w:rPr>
        <w:t xml:space="preserve"> Ley 100 de 1993</w:t>
      </w:r>
      <w:r w:rsidR="00C73166">
        <w:rPr>
          <w:rFonts w:ascii="Arial" w:eastAsiaTheme="minorHAnsi" w:hAnsi="Arial" w:cs="Arial"/>
          <w:iCs/>
          <w:szCs w:val="24"/>
        </w:rPr>
        <w:t xml:space="preserve">; </w:t>
      </w:r>
      <w:r w:rsidR="00106CAC">
        <w:rPr>
          <w:rFonts w:ascii="Arial" w:eastAsiaTheme="minorHAnsi" w:hAnsi="Arial" w:cs="Arial"/>
          <w:iCs/>
          <w:szCs w:val="24"/>
        </w:rPr>
        <w:t xml:space="preserve">por lo que se equivocó la Jueza al negarlos, </w:t>
      </w:r>
      <w:r w:rsidR="00FA15F4">
        <w:rPr>
          <w:rFonts w:ascii="Arial" w:eastAsiaTheme="minorHAnsi" w:hAnsi="Arial" w:cs="Arial"/>
          <w:iCs/>
          <w:szCs w:val="24"/>
        </w:rPr>
        <w:t>y habrá lugar a reconocerlos.</w:t>
      </w:r>
    </w:p>
    <w:p w:rsidR="00FA15F4" w:rsidRDefault="00FA15F4" w:rsidP="004367C2">
      <w:pPr>
        <w:spacing w:line="276" w:lineRule="auto"/>
        <w:jc w:val="both"/>
        <w:rPr>
          <w:rFonts w:ascii="Arial" w:eastAsiaTheme="minorHAnsi" w:hAnsi="Arial" w:cs="Arial"/>
          <w:iCs/>
          <w:szCs w:val="24"/>
        </w:rPr>
      </w:pPr>
    </w:p>
    <w:p w:rsidR="003E4270" w:rsidRDefault="003E4270" w:rsidP="004367C2">
      <w:pPr>
        <w:spacing w:line="276" w:lineRule="auto"/>
        <w:jc w:val="both"/>
        <w:rPr>
          <w:rFonts w:ascii="Arial" w:eastAsiaTheme="minorHAnsi" w:hAnsi="Arial" w:cs="Arial"/>
          <w:b/>
          <w:iCs/>
          <w:szCs w:val="24"/>
        </w:rPr>
      </w:pPr>
      <w:r w:rsidRPr="003E4270">
        <w:rPr>
          <w:rFonts w:ascii="Arial" w:eastAsiaTheme="minorHAnsi" w:hAnsi="Arial" w:cs="Arial"/>
          <w:b/>
          <w:iCs/>
          <w:szCs w:val="24"/>
        </w:rPr>
        <w:t>Prescripción.</w:t>
      </w:r>
    </w:p>
    <w:p w:rsidR="003E4270" w:rsidRDefault="003E4270" w:rsidP="004367C2">
      <w:pPr>
        <w:spacing w:line="276" w:lineRule="auto"/>
        <w:jc w:val="both"/>
        <w:rPr>
          <w:rFonts w:ascii="Arial" w:eastAsiaTheme="minorHAnsi" w:hAnsi="Arial" w:cs="Arial"/>
          <w:b/>
          <w:iCs/>
          <w:szCs w:val="24"/>
        </w:rPr>
      </w:pPr>
    </w:p>
    <w:p w:rsidR="00B0467B" w:rsidRDefault="00FA15F4" w:rsidP="004367C2">
      <w:pPr>
        <w:spacing w:line="276" w:lineRule="auto"/>
        <w:jc w:val="both"/>
        <w:rPr>
          <w:rFonts w:ascii="Arial" w:eastAsiaTheme="minorHAnsi" w:hAnsi="Arial" w:cs="Arial"/>
          <w:iCs/>
          <w:szCs w:val="24"/>
        </w:rPr>
      </w:pPr>
      <w:r>
        <w:rPr>
          <w:rFonts w:ascii="Arial" w:eastAsiaTheme="minorHAnsi" w:hAnsi="Arial" w:cs="Arial"/>
          <w:iCs/>
          <w:szCs w:val="24"/>
        </w:rPr>
        <w:t>De acuerdo con lo dicho</w:t>
      </w:r>
      <w:r w:rsidR="00B56D52">
        <w:rPr>
          <w:rFonts w:ascii="Arial" w:eastAsiaTheme="minorHAnsi" w:hAnsi="Arial" w:cs="Arial"/>
          <w:iCs/>
          <w:szCs w:val="24"/>
        </w:rPr>
        <w:t>,</w:t>
      </w:r>
      <w:r>
        <w:rPr>
          <w:rFonts w:ascii="Arial" w:eastAsiaTheme="minorHAnsi" w:hAnsi="Arial" w:cs="Arial"/>
          <w:iCs/>
          <w:szCs w:val="24"/>
        </w:rPr>
        <w:t xml:space="preserve"> los intereses de mora se causarían a</w:t>
      </w:r>
      <w:r w:rsidR="00B56D52">
        <w:rPr>
          <w:rFonts w:ascii="Arial" w:eastAsiaTheme="minorHAnsi" w:hAnsi="Arial" w:cs="Arial"/>
          <w:iCs/>
          <w:szCs w:val="24"/>
        </w:rPr>
        <w:t xml:space="preserve"> partir del 01-12-2009; no obstante, </w:t>
      </w:r>
      <w:r>
        <w:rPr>
          <w:rFonts w:ascii="Arial" w:eastAsiaTheme="minorHAnsi" w:hAnsi="Arial" w:cs="Arial"/>
          <w:iCs/>
          <w:szCs w:val="24"/>
        </w:rPr>
        <w:t>como la entidad demandada</w:t>
      </w:r>
      <w:r w:rsidR="0082258B">
        <w:rPr>
          <w:rFonts w:ascii="Arial" w:eastAsiaTheme="minorHAnsi" w:hAnsi="Arial" w:cs="Arial"/>
          <w:iCs/>
          <w:szCs w:val="24"/>
        </w:rPr>
        <w:t xml:space="preserve"> propuso la excepción de prescripción y una vez se analiza su viabilidad, se tiene que está llamada a prosperar parcialmente, </w:t>
      </w:r>
      <w:r w:rsidR="00263622">
        <w:rPr>
          <w:rFonts w:ascii="Arial" w:eastAsiaTheme="minorHAnsi" w:hAnsi="Arial" w:cs="Arial"/>
          <w:iCs/>
          <w:szCs w:val="24"/>
        </w:rPr>
        <w:t xml:space="preserve">dado que se hicieron exigibles en la fecha mencionada, a partir de la cual comenzó </w:t>
      </w:r>
      <w:r w:rsidR="003E4270">
        <w:rPr>
          <w:rFonts w:ascii="Arial" w:eastAsiaTheme="minorHAnsi" w:hAnsi="Arial" w:cs="Arial"/>
          <w:iCs/>
          <w:szCs w:val="24"/>
        </w:rPr>
        <w:t>a correr el término trienal</w:t>
      </w:r>
      <w:r w:rsidR="00263622">
        <w:rPr>
          <w:rFonts w:ascii="Arial" w:eastAsiaTheme="minorHAnsi" w:hAnsi="Arial" w:cs="Arial"/>
          <w:iCs/>
          <w:szCs w:val="24"/>
        </w:rPr>
        <w:t xml:space="preserve"> </w:t>
      </w:r>
      <w:r w:rsidR="00B56D52">
        <w:rPr>
          <w:rFonts w:ascii="Arial" w:eastAsiaTheme="minorHAnsi" w:hAnsi="Arial" w:cs="Arial"/>
          <w:iCs/>
          <w:szCs w:val="24"/>
        </w:rPr>
        <w:t xml:space="preserve"> previsto en</w:t>
      </w:r>
      <w:r w:rsidR="00263622">
        <w:rPr>
          <w:rFonts w:ascii="Arial" w:eastAsiaTheme="minorHAnsi" w:hAnsi="Arial" w:cs="Arial"/>
          <w:iCs/>
          <w:szCs w:val="24"/>
        </w:rPr>
        <w:t xml:space="preserve"> los artículos </w:t>
      </w:r>
      <w:r w:rsidR="00AC5795" w:rsidRPr="00AC5795">
        <w:rPr>
          <w:rFonts w:ascii="Arial" w:eastAsiaTheme="minorHAnsi" w:hAnsi="Arial" w:cs="Arial"/>
          <w:iCs/>
          <w:szCs w:val="24"/>
        </w:rPr>
        <w:t xml:space="preserve">488 del </w:t>
      </w:r>
      <w:proofErr w:type="spellStart"/>
      <w:r w:rsidR="00AC5795" w:rsidRPr="00AC5795">
        <w:rPr>
          <w:rFonts w:ascii="Arial" w:eastAsiaTheme="minorHAnsi" w:hAnsi="Arial" w:cs="Arial"/>
          <w:iCs/>
          <w:szCs w:val="24"/>
        </w:rPr>
        <w:t>CST</w:t>
      </w:r>
      <w:proofErr w:type="spellEnd"/>
      <w:r w:rsidR="00AC5795" w:rsidRPr="00AC5795">
        <w:rPr>
          <w:rFonts w:ascii="Arial" w:eastAsiaTheme="minorHAnsi" w:hAnsi="Arial" w:cs="Arial"/>
          <w:iCs/>
          <w:szCs w:val="24"/>
        </w:rPr>
        <w:t xml:space="preserve"> y 151 del </w:t>
      </w:r>
      <w:proofErr w:type="spellStart"/>
      <w:r w:rsidR="00AC5795" w:rsidRPr="00AC5795">
        <w:rPr>
          <w:rFonts w:ascii="Arial" w:eastAsiaTheme="minorHAnsi" w:hAnsi="Arial" w:cs="Arial"/>
          <w:iCs/>
          <w:szCs w:val="24"/>
        </w:rPr>
        <w:t>CPTSS</w:t>
      </w:r>
      <w:proofErr w:type="spellEnd"/>
      <w:r w:rsidR="00B56D52">
        <w:rPr>
          <w:rFonts w:ascii="Arial" w:eastAsiaTheme="minorHAnsi" w:hAnsi="Arial" w:cs="Arial"/>
          <w:iCs/>
          <w:szCs w:val="24"/>
        </w:rPr>
        <w:t xml:space="preserve">. </w:t>
      </w:r>
      <w:r w:rsidR="00A10F66">
        <w:rPr>
          <w:rFonts w:ascii="Arial" w:eastAsiaTheme="minorHAnsi" w:hAnsi="Arial" w:cs="Arial"/>
          <w:iCs/>
          <w:szCs w:val="24"/>
        </w:rPr>
        <w:t xml:space="preserve"> </w:t>
      </w:r>
      <w:r w:rsidR="00B56D52">
        <w:rPr>
          <w:rFonts w:ascii="Arial" w:eastAsiaTheme="minorHAnsi" w:hAnsi="Arial" w:cs="Arial"/>
          <w:iCs/>
          <w:szCs w:val="24"/>
        </w:rPr>
        <w:t>Pero,</w:t>
      </w:r>
      <w:r w:rsidR="00A10F66">
        <w:rPr>
          <w:rFonts w:ascii="Arial" w:eastAsiaTheme="minorHAnsi" w:hAnsi="Arial" w:cs="Arial"/>
          <w:iCs/>
          <w:szCs w:val="24"/>
        </w:rPr>
        <w:t xml:space="preserve"> como se trata de obligaciones periódicas</w:t>
      </w:r>
      <w:r w:rsidR="00B56D52">
        <w:rPr>
          <w:rFonts w:ascii="Arial" w:eastAsiaTheme="minorHAnsi" w:hAnsi="Arial" w:cs="Arial"/>
          <w:iCs/>
          <w:szCs w:val="24"/>
        </w:rPr>
        <w:t>,</w:t>
      </w:r>
      <w:r w:rsidR="00A10F66">
        <w:rPr>
          <w:rFonts w:ascii="Arial" w:eastAsiaTheme="minorHAnsi" w:hAnsi="Arial" w:cs="Arial"/>
          <w:iCs/>
          <w:szCs w:val="24"/>
        </w:rPr>
        <w:t xml:space="preserve"> éste</w:t>
      </w:r>
      <w:r w:rsidR="003E4270">
        <w:rPr>
          <w:rFonts w:ascii="Arial" w:eastAsiaTheme="minorHAnsi" w:hAnsi="Arial" w:cs="Arial"/>
          <w:iCs/>
          <w:szCs w:val="24"/>
        </w:rPr>
        <w:t xml:space="preserve"> se interrumpió</w:t>
      </w:r>
      <w:r w:rsidR="00B56D52">
        <w:rPr>
          <w:rFonts w:ascii="Arial" w:eastAsiaTheme="minorHAnsi" w:hAnsi="Arial" w:cs="Arial"/>
          <w:iCs/>
          <w:szCs w:val="24"/>
        </w:rPr>
        <w:t>, para los</w:t>
      </w:r>
      <w:r w:rsidR="00B0467B">
        <w:rPr>
          <w:rFonts w:ascii="Arial" w:eastAsiaTheme="minorHAnsi" w:hAnsi="Arial" w:cs="Arial"/>
          <w:iCs/>
          <w:szCs w:val="24"/>
        </w:rPr>
        <w:t xml:space="preserve"> no prescritos,</w:t>
      </w:r>
      <w:r w:rsidR="003E4270">
        <w:rPr>
          <w:rFonts w:ascii="Arial" w:eastAsiaTheme="minorHAnsi" w:hAnsi="Arial" w:cs="Arial"/>
          <w:iCs/>
          <w:szCs w:val="24"/>
        </w:rPr>
        <w:t xml:space="preserve"> con la reclamación</w:t>
      </w:r>
      <w:r w:rsidR="00B56D52">
        <w:rPr>
          <w:rFonts w:ascii="Arial" w:eastAsiaTheme="minorHAnsi" w:hAnsi="Arial" w:cs="Arial"/>
          <w:iCs/>
          <w:szCs w:val="24"/>
        </w:rPr>
        <w:t xml:space="preserve"> presentada e</w:t>
      </w:r>
      <w:r w:rsidR="003E4270">
        <w:rPr>
          <w:rFonts w:ascii="Arial" w:eastAsiaTheme="minorHAnsi" w:hAnsi="Arial" w:cs="Arial"/>
          <w:iCs/>
          <w:szCs w:val="24"/>
        </w:rPr>
        <w:t xml:space="preserve">l 16-08-2013, por lo que </w:t>
      </w:r>
      <w:r w:rsidR="00882ADA">
        <w:rPr>
          <w:rFonts w:ascii="Arial" w:eastAsiaTheme="minorHAnsi" w:hAnsi="Arial" w:cs="Arial"/>
          <w:iCs/>
          <w:szCs w:val="24"/>
        </w:rPr>
        <w:t>de nuevo empezó a contabilizarse y antes de vencer los 3 años</w:t>
      </w:r>
      <w:r w:rsidR="00B56D52">
        <w:rPr>
          <w:rFonts w:ascii="Arial" w:eastAsiaTheme="minorHAnsi" w:hAnsi="Arial" w:cs="Arial"/>
          <w:iCs/>
          <w:szCs w:val="24"/>
        </w:rPr>
        <w:t>, se incoó la demanda</w:t>
      </w:r>
      <w:r w:rsidR="008F6B00" w:rsidRPr="008F6B00">
        <w:rPr>
          <w:rFonts w:ascii="Arial" w:eastAsiaTheme="minorHAnsi" w:hAnsi="Arial" w:cs="Arial"/>
          <w:iCs/>
          <w:szCs w:val="24"/>
        </w:rPr>
        <w:t xml:space="preserve"> </w:t>
      </w:r>
      <w:r w:rsidR="008F6B00">
        <w:rPr>
          <w:rFonts w:ascii="Arial" w:eastAsiaTheme="minorHAnsi" w:hAnsi="Arial" w:cs="Arial"/>
          <w:iCs/>
          <w:szCs w:val="24"/>
        </w:rPr>
        <w:t>el 08-10-2015</w:t>
      </w:r>
      <w:r w:rsidR="003E4270">
        <w:rPr>
          <w:rFonts w:ascii="Arial" w:eastAsiaTheme="minorHAnsi" w:hAnsi="Arial" w:cs="Arial"/>
          <w:iCs/>
          <w:szCs w:val="24"/>
        </w:rPr>
        <w:t>,</w:t>
      </w:r>
      <w:r w:rsidR="00B56D52">
        <w:rPr>
          <w:rFonts w:ascii="Arial" w:eastAsiaTheme="minorHAnsi" w:hAnsi="Arial" w:cs="Arial"/>
          <w:iCs/>
          <w:szCs w:val="24"/>
        </w:rPr>
        <w:t xml:space="preserve"> por lo que</w:t>
      </w:r>
      <w:r w:rsidR="00B0467B">
        <w:rPr>
          <w:rFonts w:ascii="Arial" w:eastAsiaTheme="minorHAnsi" w:hAnsi="Arial" w:cs="Arial"/>
          <w:iCs/>
          <w:szCs w:val="24"/>
        </w:rPr>
        <w:t xml:space="preserve"> quedaron cobijados con la prescripción</w:t>
      </w:r>
      <w:r w:rsidR="003E4270">
        <w:rPr>
          <w:rFonts w:ascii="Arial" w:eastAsiaTheme="minorHAnsi" w:hAnsi="Arial" w:cs="Arial"/>
          <w:iCs/>
          <w:szCs w:val="24"/>
        </w:rPr>
        <w:t xml:space="preserve"> los intereses</w:t>
      </w:r>
      <w:r w:rsidR="00B0467B">
        <w:rPr>
          <w:rFonts w:ascii="Arial" w:eastAsiaTheme="minorHAnsi" w:hAnsi="Arial" w:cs="Arial"/>
          <w:iCs/>
          <w:szCs w:val="24"/>
        </w:rPr>
        <w:t xml:space="preserve"> causados antes del 16-08-2010.</w:t>
      </w:r>
    </w:p>
    <w:p w:rsidR="00B56D52" w:rsidRDefault="00B56D52" w:rsidP="004367C2">
      <w:pPr>
        <w:spacing w:line="276" w:lineRule="auto"/>
        <w:jc w:val="both"/>
        <w:rPr>
          <w:rFonts w:ascii="Arial" w:eastAsiaTheme="minorHAnsi" w:hAnsi="Arial" w:cs="Arial"/>
          <w:iCs/>
          <w:szCs w:val="24"/>
        </w:rPr>
      </w:pPr>
    </w:p>
    <w:p w:rsidR="00611913" w:rsidRDefault="00B56D52" w:rsidP="004367C2">
      <w:pPr>
        <w:spacing w:line="276" w:lineRule="auto"/>
        <w:jc w:val="both"/>
        <w:rPr>
          <w:rFonts w:ascii="Arial" w:eastAsiaTheme="minorHAnsi" w:hAnsi="Arial" w:cs="Arial"/>
          <w:iCs/>
          <w:szCs w:val="24"/>
        </w:rPr>
      </w:pPr>
      <w:r>
        <w:rPr>
          <w:rFonts w:ascii="Arial" w:eastAsiaTheme="minorHAnsi" w:hAnsi="Arial" w:cs="Arial"/>
          <w:iCs/>
          <w:szCs w:val="24"/>
        </w:rPr>
        <w:t xml:space="preserve">En éste orden de ideas </w:t>
      </w:r>
      <w:r w:rsidR="00B0467B">
        <w:rPr>
          <w:rFonts w:ascii="Arial" w:eastAsiaTheme="minorHAnsi" w:hAnsi="Arial" w:cs="Arial"/>
          <w:iCs/>
          <w:szCs w:val="24"/>
        </w:rPr>
        <w:t xml:space="preserve"> </w:t>
      </w:r>
      <w:r>
        <w:rPr>
          <w:rFonts w:ascii="Arial" w:eastAsiaTheme="minorHAnsi" w:hAnsi="Arial" w:cs="Arial"/>
          <w:iCs/>
          <w:szCs w:val="24"/>
        </w:rPr>
        <w:t>se deberán reconocer los intereses</w:t>
      </w:r>
      <w:r w:rsidR="00237C2A">
        <w:rPr>
          <w:rFonts w:ascii="Arial" w:eastAsiaTheme="minorHAnsi" w:hAnsi="Arial" w:cs="Arial"/>
          <w:iCs/>
          <w:szCs w:val="24"/>
        </w:rPr>
        <w:t xml:space="preserve"> moratorios del artículo 141 de la Ley 100 de 1993</w:t>
      </w:r>
      <w:r w:rsidR="004367C2" w:rsidRPr="00960E61">
        <w:rPr>
          <w:rFonts w:ascii="Arial" w:eastAsiaTheme="minorHAnsi" w:hAnsi="Arial" w:cs="Arial"/>
          <w:iCs/>
          <w:szCs w:val="24"/>
        </w:rPr>
        <w:t xml:space="preserve"> a partir del </w:t>
      </w:r>
      <w:r w:rsidR="00CB0210">
        <w:rPr>
          <w:rFonts w:ascii="Arial" w:eastAsiaTheme="minorHAnsi" w:hAnsi="Arial" w:cs="Arial"/>
          <w:iCs/>
          <w:szCs w:val="24"/>
        </w:rPr>
        <w:t>16-08-2010</w:t>
      </w:r>
      <w:r w:rsidR="00652847">
        <w:rPr>
          <w:rFonts w:ascii="Arial" w:eastAsiaTheme="minorHAnsi" w:hAnsi="Arial" w:cs="Arial"/>
          <w:iCs/>
          <w:szCs w:val="24"/>
        </w:rPr>
        <w:t xml:space="preserve"> hasta</w:t>
      </w:r>
      <w:r w:rsidR="008E4255">
        <w:rPr>
          <w:rFonts w:ascii="Arial" w:eastAsiaTheme="minorHAnsi" w:hAnsi="Arial" w:cs="Arial"/>
          <w:iCs/>
          <w:szCs w:val="24"/>
        </w:rPr>
        <w:t xml:space="preserve"> el</w:t>
      </w:r>
      <w:r w:rsidR="00652847">
        <w:rPr>
          <w:rFonts w:ascii="Arial" w:eastAsiaTheme="minorHAnsi" w:hAnsi="Arial" w:cs="Arial"/>
          <w:iCs/>
          <w:szCs w:val="24"/>
        </w:rPr>
        <w:t xml:space="preserve"> </w:t>
      </w:r>
      <w:r w:rsidR="00CB0210">
        <w:rPr>
          <w:rFonts w:ascii="Arial" w:eastAsiaTheme="minorHAnsi" w:hAnsi="Arial" w:cs="Arial"/>
          <w:iCs/>
          <w:szCs w:val="24"/>
        </w:rPr>
        <w:t>30-06-2013</w:t>
      </w:r>
      <w:r>
        <w:rPr>
          <w:rFonts w:ascii="Arial" w:eastAsiaTheme="minorHAnsi" w:hAnsi="Arial" w:cs="Arial"/>
          <w:iCs/>
          <w:szCs w:val="24"/>
        </w:rPr>
        <w:t xml:space="preserve">, al incluirse la actora </w:t>
      </w:r>
      <w:r w:rsidR="00D23E30">
        <w:rPr>
          <w:rFonts w:ascii="Arial" w:eastAsiaTheme="minorHAnsi" w:hAnsi="Arial" w:cs="Arial"/>
          <w:iCs/>
          <w:szCs w:val="24"/>
        </w:rPr>
        <w:t>en nómi</w:t>
      </w:r>
      <w:r>
        <w:rPr>
          <w:rFonts w:ascii="Arial" w:eastAsiaTheme="minorHAnsi" w:hAnsi="Arial" w:cs="Arial"/>
          <w:iCs/>
          <w:szCs w:val="24"/>
        </w:rPr>
        <w:t>na de pensionados el 01-07-2013; los que liquidados sobre el retroactivo</w:t>
      </w:r>
      <w:r w:rsidR="00D23E30">
        <w:rPr>
          <w:rFonts w:ascii="Arial" w:eastAsiaTheme="minorHAnsi" w:hAnsi="Arial" w:cs="Arial"/>
          <w:iCs/>
          <w:szCs w:val="24"/>
        </w:rPr>
        <w:t xml:space="preserve"> reconocido en la Resolución</w:t>
      </w:r>
      <w:r w:rsidR="00D23E30" w:rsidRPr="00D23E30">
        <w:rPr>
          <w:rFonts w:ascii="Arial" w:eastAsiaTheme="minorHAnsi" w:hAnsi="Arial" w:cs="Arial"/>
          <w:iCs/>
          <w:szCs w:val="24"/>
        </w:rPr>
        <w:t xml:space="preserve"> </w:t>
      </w:r>
      <w:proofErr w:type="spellStart"/>
      <w:r w:rsidR="00D23E30">
        <w:rPr>
          <w:rFonts w:ascii="Arial" w:eastAsiaTheme="minorHAnsi" w:hAnsi="Arial" w:cs="Arial"/>
          <w:iCs/>
          <w:szCs w:val="24"/>
        </w:rPr>
        <w:t>GNR</w:t>
      </w:r>
      <w:proofErr w:type="spellEnd"/>
      <w:r w:rsidR="00D23E30">
        <w:rPr>
          <w:rFonts w:ascii="Arial" w:eastAsiaTheme="minorHAnsi" w:hAnsi="Arial" w:cs="Arial"/>
          <w:iCs/>
          <w:szCs w:val="24"/>
        </w:rPr>
        <w:t xml:space="preserve"> 169045 de 03-07-2015</w:t>
      </w:r>
      <w:r w:rsidR="00A168A0">
        <w:rPr>
          <w:rFonts w:ascii="Arial" w:eastAsiaTheme="minorHAnsi" w:hAnsi="Arial" w:cs="Arial"/>
          <w:iCs/>
          <w:szCs w:val="24"/>
        </w:rPr>
        <w:t xml:space="preserve">, ascienden a la suma de </w:t>
      </w:r>
      <w:r w:rsidR="006510C4">
        <w:rPr>
          <w:rFonts w:ascii="Arial" w:eastAsiaTheme="minorHAnsi" w:hAnsi="Arial" w:cs="Arial"/>
          <w:iCs/>
          <w:szCs w:val="24"/>
        </w:rPr>
        <w:t>$17.728.753.</w:t>
      </w:r>
    </w:p>
    <w:p w:rsidR="00B2640B" w:rsidRDefault="00B2640B" w:rsidP="004367C2">
      <w:pPr>
        <w:spacing w:line="276" w:lineRule="auto"/>
        <w:jc w:val="both"/>
        <w:rPr>
          <w:rFonts w:ascii="Arial" w:eastAsiaTheme="minorHAnsi" w:hAnsi="Arial" w:cs="Arial"/>
          <w:iCs/>
          <w:szCs w:val="24"/>
        </w:rPr>
      </w:pP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p>
    <w:p w:rsidR="00D23E30" w:rsidRDefault="00353387" w:rsidP="00D23E30">
      <w:pPr>
        <w:spacing w:line="276" w:lineRule="auto"/>
        <w:jc w:val="both"/>
        <w:rPr>
          <w:rFonts w:ascii="Arial" w:eastAsiaTheme="minorHAnsi" w:hAnsi="Arial" w:cs="Arial"/>
          <w:iCs/>
          <w:szCs w:val="24"/>
        </w:rPr>
      </w:pPr>
      <w:r w:rsidRPr="005F585B">
        <w:rPr>
          <w:rFonts w:ascii="Arial" w:hAnsi="Arial" w:cs="Arial"/>
          <w:color w:val="000000"/>
          <w:szCs w:val="24"/>
          <w:lang w:eastAsia="es-CO"/>
        </w:rPr>
        <w:t>Conforme lo exp</w:t>
      </w:r>
      <w:r>
        <w:rPr>
          <w:rFonts w:ascii="Arial" w:hAnsi="Arial" w:cs="Arial"/>
          <w:color w:val="000000"/>
          <w:szCs w:val="24"/>
          <w:lang w:eastAsia="es-CO"/>
        </w:rPr>
        <w:t>uesto, se</w:t>
      </w:r>
      <w:r w:rsidR="00D23E30">
        <w:rPr>
          <w:rFonts w:ascii="Arial" w:hAnsi="Arial" w:cs="Arial"/>
          <w:color w:val="000000"/>
          <w:szCs w:val="24"/>
          <w:lang w:eastAsia="es-CO"/>
        </w:rPr>
        <w:t xml:space="preserve"> revocará la sentencia revisada</w:t>
      </w:r>
      <w:r w:rsidR="00237C2A">
        <w:rPr>
          <w:rFonts w:ascii="Arial" w:hAnsi="Arial" w:cs="Arial"/>
          <w:color w:val="000000"/>
          <w:szCs w:val="24"/>
          <w:lang w:eastAsia="es-CO"/>
        </w:rPr>
        <w:t>,</w:t>
      </w:r>
      <w:r w:rsidR="00D23E30">
        <w:rPr>
          <w:rFonts w:ascii="Arial" w:hAnsi="Arial" w:cs="Arial"/>
          <w:color w:val="000000"/>
          <w:szCs w:val="24"/>
          <w:lang w:eastAsia="es-CO"/>
        </w:rPr>
        <w:t xml:space="preserve"> para en su lugar</w:t>
      </w:r>
      <w:r w:rsidR="00237C2A">
        <w:rPr>
          <w:rFonts w:ascii="Arial" w:hAnsi="Arial" w:cs="Arial"/>
          <w:color w:val="000000"/>
          <w:szCs w:val="24"/>
          <w:lang w:eastAsia="es-CO"/>
        </w:rPr>
        <w:t>,</w:t>
      </w:r>
      <w:r w:rsidR="00D23E30" w:rsidRPr="00D23E30">
        <w:rPr>
          <w:rFonts w:ascii="Arial" w:eastAsiaTheme="minorHAnsi" w:hAnsi="Arial" w:cs="Arial"/>
          <w:iCs/>
          <w:szCs w:val="24"/>
        </w:rPr>
        <w:t xml:space="preserve"> </w:t>
      </w:r>
      <w:r w:rsidR="00D23E30">
        <w:rPr>
          <w:rFonts w:ascii="Arial" w:eastAsiaTheme="minorHAnsi" w:hAnsi="Arial" w:cs="Arial"/>
          <w:iCs/>
          <w:szCs w:val="24"/>
        </w:rPr>
        <w:t>declarar no probada la excepción de inexistencia de la obligación demandada y probada parcialmente la de prescripción, propuestas por la parte pasiva.</w:t>
      </w:r>
    </w:p>
    <w:p w:rsidR="00353387" w:rsidRDefault="00353387" w:rsidP="00353387">
      <w:pPr>
        <w:shd w:val="clear" w:color="auto" w:fill="FFFFFF"/>
        <w:tabs>
          <w:tab w:val="left" w:pos="5197"/>
        </w:tabs>
        <w:spacing w:line="276" w:lineRule="auto"/>
        <w:jc w:val="both"/>
        <w:rPr>
          <w:rFonts w:ascii="Arial" w:hAnsi="Arial" w:cs="Arial"/>
          <w:color w:val="000000"/>
          <w:szCs w:val="24"/>
          <w:lang w:eastAsia="es-CO"/>
        </w:rPr>
      </w:pPr>
    </w:p>
    <w:p w:rsidR="00353387" w:rsidRPr="005F585B" w:rsidRDefault="00AD753E" w:rsidP="00353387">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Costas en ambas</w:t>
      </w:r>
      <w:r w:rsidR="00353387" w:rsidRPr="005F585B">
        <w:rPr>
          <w:rFonts w:ascii="Arial" w:hAnsi="Arial" w:cs="Arial"/>
          <w:szCs w:val="24"/>
        </w:rPr>
        <w:t xml:space="preserve"> instancia</w:t>
      </w:r>
      <w:r w:rsidR="000F66CE">
        <w:rPr>
          <w:rFonts w:ascii="Arial" w:hAnsi="Arial" w:cs="Arial"/>
          <w:szCs w:val="24"/>
        </w:rPr>
        <w:t>s a</w:t>
      </w:r>
      <w:r w:rsidR="00237C2A">
        <w:rPr>
          <w:rFonts w:ascii="Arial" w:hAnsi="Arial" w:cs="Arial"/>
          <w:szCs w:val="24"/>
        </w:rPr>
        <w:t xml:space="preserve"> cargo de</w:t>
      </w:r>
      <w:r>
        <w:rPr>
          <w:rFonts w:ascii="Arial" w:hAnsi="Arial" w:cs="Arial"/>
          <w:szCs w:val="24"/>
        </w:rPr>
        <w:t xml:space="preserve"> </w:t>
      </w:r>
      <w:proofErr w:type="spellStart"/>
      <w:r>
        <w:rPr>
          <w:rFonts w:ascii="Arial" w:hAnsi="Arial" w:cs="Arial"/>
          <w:szCs w:val="24"/>
        </w:rPr>
        <w:t>Colpensiones</w:t>
      </w:r>
      <w:proofErr w:type="spellEnd"/>
      <w:r>
        <w:rPr>
          <w:rFonts w:ascii="Arial" w:hAnsi="Arial" w:cs="Arial"/>
          <w:szCs w:val="24"/>
        </w:rPr>
        <w:t xml:space="preserve"> </w:t>
      </w:r>
      <w:r w:rsidR="00AE5309">
        <w:rPr>
          <w:rFonts w:ascii="Arial" w:hAnsi="Arial" w:cs="Arial"/>
          <w:szCs w:val="24"/>
        </w:rPr>
        <w:t>en favor de la actora</w:t>
      </w:r>
      <w:r w:rsidR="00237C2A">
        <w:rPr>
          <w:rFonts w:ascii="Arial" w:hAnsi="Arial" w:cs="Arial"/>
          <w:szCs w:val="24"/>
        </w:rPr>
        <w:t>,</w:t>
      </w:r>
      <w:r w:rsidR="000F66CE">
        <w:rPr>
          <w:rFonts w:ascii="Arial" w:hAnsi="Arial" w:cs="Arial"/>
          <w:szCs w:val="24"/>
        </w:rPr>
        <w:t xml:space="preserve"> </w:t>
      </w:r>
      <w:r>
        <w:rPr>
          <w:rFonts w:ascii="Arial" w:hAnsi="Arial" w:cs="Arial"/>
          <w:szCs w:val="24"/>
        </w:rPr>
        <w:t>en un 80%</w:t>
      </w:r>
      <w:r w:rsidR="00237C2A">
        <w:rPr>
          <w:rFonts w:ascii="Arial" w:hAnsi="Arial" w:cs="Arial"/>
          <w:szCs w:val="24"/>
        </w:rPr>
        <w:t>,</w:t>
      </w:r>
      <w:r w:rsidR="00353387" w:rsidRPr="005F585B">
        <w:rPr>
          <w:rFonts w:ascii="Arial" w:hAnsi="Arial" w:cs="Arial"/>
          <w:szCs w:val="24"/>
        </w:rPr>
        <w:t xml:space="preserve"> </w:t>
      </w:r>
      <w:r>
        <w:rPr>
          <w:rFonts w:ascii="Arial" w:hAnsi="Arial" w:cs="Arial"/>
          <w:szCs w:val="24"/>
        </w:rPr>
        <w:t xml:space="preserve">al revocarse la sentencia </w:t>
      </w:r>
      <w:r w:rsidR="00314751" w:rsidRPr="00314751">
        <w:rPr>
          <w:rFonts w:ascii="Arial" w:hAnsi="Arial" w:cs="Arial"/>
          <w:szCs w:val="24"/>
        </w:rPr>
        <w:t xml:space="preserve">(No.4 art.365 </w:t>
      </w:r>
      <w:proofErr w:type="spellStart"/>
      <w:r w:rsidR="00314751" w:rsidRPr="00314751">
        <w:rPr>
          <w:rFonts w:ascii="Arial" w:hAnsi="Arial" w:cs="Arial"/>
          <w:szCs w:val="24"/>
        </w:rPr>
        <w:t>CGP</w:t>
      </w:r>
      <w:proofErr w:type="spellEnd"/>
      <w:r w:rsidRPr="00314751">
        <w:rPr>
          <w:rFonts w:ascii="Arial" w:hAnsi="Arial" w:cs="Arial"/>
          <w:szCs w:val="24"/>
        </w:rPr>
        <w:t>)</w:t>
      </w:r>
      <w:r w:rsidR="00314751">
        <w:rPr>
          <w:rFonts w:ascii="Arial" w:hAnsi="Arial" w:cs="Arial"/>
          <w:szCs w:val="24"/>
        </w:rPr>
        <w:t>.</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DECISIÓN</w:t>
      </w:r>
    </w:p>
    <w:p w:rsidR="00353387" w:rsidRPr="005F585B" w:rsidRDefault="00353387" w:rsidP="00353387">
      <w:pPr>
        <w:spacing w:line="276" w:lineRule="auto"/>
        <w:jc w:val="center"/>
        <w:rPr>
          <w:rFonts w:ascii="Arial" w:hAnsi="Arial" w:cs="Arial"/>
          <w:b/>
          <w:szCs w:val="24"/>
        </w:rPr>
      </w:pPr>
    </w:p>
    <w:p w:rsidR="00353387" w:rsidRPr="005F585B" w:rsidRDefault="00353387" w:rsidP="00353387">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RESUELVE</w:t>
      </w:r>
    </w:p>
    <w:p w:rsidR="00353387" w:rsidRDefault="00353387" w:rsidP="00353387">
      <w:pPr>
        <w:tabs>
          <w:tab w:val="left" w:pos="3387"/>
        </w:tabs>
        <w:spacing w:line="276" w:lineRule="auto"/>
        <w:jc w:val="both"/>
        <w:rPr>
          <w:rFonts w:ascii="Arial" w:eastAsiaTheme="minorHAnsi" w:hAnsi="Arial" w:cs="Arial"/>
          <w:b/>
          <w:szCs w:val="24"/>
          <w:u w:val="single"/>
          <w:lang w:eastAsia="en-US"/>
        </w:rPr>
      </w:pPr>
    </w:p>
    <w:p w:rsidR="00353387" w:rsidRDefault="00353387" w:rsidP="00353387">
      <w:pPr>
        <w:tabs>
          <w:tab w:val="left" w:pos="3387"/>
        </w:tabs>
        <w:spacing w:line="276" w:lineRule="auto"/>
        <w:jc w:val="both"/>
        <w:rPr>
          <w:rFonts w:ascii="Arial" w:eastAsiaTheme="minorHAnsi" w:hAnsi="Arial" w:cs="Arial"/>
          <w:bCs/>
          <w:iCs/>
          <w:szCs w:val="24"/>
          <w:lang w:eastAsia="en-US"/>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601E1D">
        <w:rPr>
          <w:rFonts w:ascii="Arial" w:eastAsiaTheme="minorHAnsi" w:hAnsi="Arial" w:cs="Arial"/>
          <w:b/>
          <w:szCs w:val="24"/>
          <w:lang w:eastAsia="en-US"/>
        </w:rPr>
        <w:t>REVOCAR</w:t>
      </w:r>
      <w:r>
        <w:rPr>
          <w:rFonts w:ascii="Arial" w:eastAsiaTheme="minorHAnsi" w:hAnsi="Arial" w:cs="Arial"/>
          <w:b/>
          <w:szCs w:val="24"/>
          <w:lang w:eastAsia="en-US"/>
        </w:rPr>
        <w:t xml:space="preserve"> </w:t>
      </w:r>
      <w:r w:rsidR="00601E1D">
        <w:rPr>
          <w:rFonts w:ascii="Arial" w:eastAsiaTheme="minorHAnsi" w:hAnsi="Arial" w:cs="Arial"/>
          <w:szCs w:val="24"/>
          <w:lang w:eastAsia="en-US"/>
        </w:rPr>
        <w:t>la sentencia proferida el 23</w:t>
      </w:r>
      <w:r w:rsidRPr="005F585B">
        <w:rPr>
          <w:rFonts w:ascii="Arial" w:eastAsiaTheme="minorHAnsi" w:hAnsi="Arial" w:cs="Arial"/>
          <w:szCs w:val="24"/>
          <w:lang w:eastAsia="en-US"/>
        </w:rPr>
        <w:t xml:space="preserve"> de </w:t>
      </w:r>
      <w:r w:rsidR="00601E1D">
        <w:rPr>
          <w:rFonts w:ascii="Arial" w:eastAsiaTheme="minorHAnsi" w:hAnsi="Arial" w:cs="Arial"/>
          <w:szCs w:val="24"/>
          <w:lang w:eastAsia="en-US"/>
        </w:rPr>
        <w:t>noviembre</w:t>
      </w:r>
      <w:r>
        <w:rPr>
          <w:rFonts w:ascii="Arial" w:eastAsiaTheme="minorHAnsi" w:hAnsi="Arial" w:cs="Arial"/>
          <w:szCs w:val="24"/>
          <w:lang w:eastAsia="en-US"/>
        </w:rPr>
        <w:t xml:space="preserve"> de 2016 por el Juzgado </w:t>
      </w:r>
      <w:r w:rsidR="00601E1D">
        <w:rPr>
          <w:rFonts w:ascii="Arial" w:eastAsiaTheme="minorHAnsi" w:hAnsi="Arial" w:cs="Arial"/>
          <w:szCs w:val="24"/>
          <w:lang w:eastAsia="en-US"/>
        </w:rPr>
        <w:t>Primero</w:t>
      </w:r>
      <w:r w:rsidRPr="005F585B">
        <w:rPr>
          <w:rFonts w:ascii="Arial" w:eastAsiaTheme="minorHAnsi" w:hAnsi="Arial" w:cs="Arial"/>
          <w:szCs w:val="24"/>
          <w:lang w:eastAsia="en-US"/>
        </w:rPr>
        <w:t xml:space="preserve"> Laboral del Circuito de Pereira, dentro del proceso o</w:t>
      </w:r>
      <w:r w:rsidR="00601E1D">
        <w:rPr>
          <w:rFonts w:ascii="Arial" w:eastAsiaTheme="minorHAnsi" w:hAnsi="Arial" w:cs="Arial"/>
          <w:szCs w:val="24"/>
          <w:lang w:eastAsia="en-US"/>
        </w:rPr>
        <w:t xml:space="preserve">rdinario laboral propuesto por </w:t>
      </w:r>
      <w:r w:rsidRPr="005F585B">
        <w:rPr>
          <w:rFonts w:ascii="Arial" w:eastAsiaTheme="minorHAnsi" w:hAnsi="Arial" w:cs="Arial"/>
          <w:szCs w:val="24"/>
          <w:lang w:eastAsia="en-US"/>
        </w:rPr>
        <w:t>l</w:t>
      </w:r>
      <w:r w:rsidR="00601E1D">
        <w:rPr>
          <w:rFonts w:ascii="Arial" w:eastAsiaTheme="minorHAnsi" w:hAnsi="Arial" w:cs="Arial"/>
          <w:szCs w:val="24"/>
          <w:lang w:eastAsia="en-US"/>
        </w:rPr>
        <w:t>a</w:t>
      </w:r>
      <w:r w:rsidRPr="005F585B">
        <w:rPr>
          <w:rFonts w:ascii="Arial" w:eastAsiaTheme="minorHAnsi" w:hAnsi="Arial" w:cs="Arial"/>
          <w:szCs w:val="24"/>
          <w:lang w:eastAsia="en-US"/>
        </w:rPr>
        <w:t xml:space="preserve"> señor</w:t>
      </w:r>
      <w:r w:rsidR="00601E1D">
        <w:rPr>
          <w:rFonts w:ascii="Arial" w:eastAsiaTheme="minorHAnsi" w:hAnsi="Arial" w:cs="Arial"/>
          <w:szCs w:val="24"/>
          <w:lang w:eastAsia="en-US"/>
        </w:rPr>
        <w:t>a</w:t>
      </w:r>
      <w:r w:rsidRPr="005F585B">
        <w:rPr>
          <w:rFonts w:ascii="Arial" w:eastAsiaTheme="minorHAnsi" w:hAnsi="Arial" w:cs="Arial"/>
          <w:szCs w:val="24"/>
          <w:lang w:eastAsia="en-US"/>
        </w:rPr>
        <w:t xml:space="preserve"> </w:t>
      </w:r>
      <w:proofErr w:type="spellStart"/>
      <w:r w:rsidR="00601E1D">
        <w:rPr>
          <w:rFonts w:ascii="Arial" w:eastAsiaTheme="minorHAnsi" w:hAnsi="Arial" w:cs="Arial"/>
          <w:b/>
          <w:szCs w:val="24"/>
          <w:lang w:eastAsia="en-US"/>
        </w:rPr>
        <w:t>Nohora</w:t>
      </w:r>
      <w:proofErr w:type="spellEnd"/>
      <w:r w:rsidR="00601E1D">
        <w:rPr>
          <w:rFonts w:ascii="Arial" w:eastAsiaTheme="minorHAnsi" w:hAnsi="Arial" w:cs="Arial"/>
          <w:b/>
          <w:szCs w:val="24"/>
          <w:lang w:eastAsia="en-US"/>
        </w:rPr>
        <w:t xml:space="preserve"> Emilia Pérez</w:t>
      </w:r>
      <w:r>
        <w:rPr>
          <w:rFonts w:ascii="Arial" w:eastAsiaTheme="minorHAnsi" w:hAnsi="Arial" w:cs="Arial"/>
          <w:b/>
          <w:szCs w:val="24"/>
          <w:lang w:eastAsia="en-US"/>
        </w:rPr>
        <w:t xml:space="preserve"> </w:t>
      </w:r>
      <w:r w:rsidRPr="005F585B">
        <w:rPr>
          <w:rFonts w:ascii="Arial" w:eastAsiaTheme="minorHAnsi" w:hAnsi="Arial" w:cs="Arial"/>
          <w:szCs w:val="24"/>
          <w:lang w:eastAsia="en-US"/>
        </w:rPr>
        <w:t xml:space="preserve">en contra de la </w:t>
      </w:r>
      <w:r w:rsidRPr="005F585B">
        <w:rPr>
          <w:rFonts w:ascii="Arial" w:eastAsiaTheme="minorHAnsi" w:hAnsi="Arial" w:cs="Arial"/>
          <w:b/>
          <w:szCs w:val="24"/>
          <w:lang w:eastAsia="en-US"/>
        </w:rPr>
        <w:t>Administradora Colombiana de Pensiones –</w:t>
      </w:r>
      <w:proofErr w:type="spellStart"/>
      <w:r w:rsidRPr="005F585B">
        <w:rPr>
          <w:rFonts w:ascii="Arial" w:eastAsiaTheme="minorHAnsi" w:hAnsi="Arial" w:cs="Arial"/>
          <w:b/>
          <w:szCs w:val="24"/>
          <w:lang w:eastAsia="en-US"/>
        </w:rPr>
        <w:t>COLPENSIONES</w:t>
      </w:r>
      <w:proofErr w:type="spellEnd"/>
      <w:r>
        <w:rPr>
          <w:rFonts w:ascii="Arial" w:eastAsiaTheme="minorHAnsi" w:hAnsi="Arial" w:cs="Arial"/>
          <w:bCs/>
          <w:iCs/>
          <w:szCs w:val="24"/>
          <w:lang w:eastAsia="en-US"/>
        </w:rPr>
        <w:t>,</w:t>
      </w:r>
      <w:r w:rsidRPr="00232CCA">
        <w:rPr>
          <w:rFonts w:ascii="Arial" w:eastAsiaTheme="minorHAnsi" w:hAnsi="Arial" w:cs="Arial"/>
          <w:szCs w:val="24"/>
          <w:lang w:eastAsia="en-US"/>
        </w:rPr>
        <w:t xml:space="preserve"> </w:t>
      </w:r>
      <w:r w:rsidR="00601E1D">
        <w:rPr>
          <w:rFonts w:ascii="Arial" w:eastAsiaTheme="minorHAnsi" w:hAnsi="Arial" w:cs="Arial"/>
          <w:szCs w:val="24"/>
          <w:lang w:eastAsia="en-US"/>
        </w:rPr>
        <w:t>para en su lugar</w:t>
      </w:r>
      <w:r>
        <w:rPr>
          <w:rFonts w:ascii="Arial" w:eastAsiaTheme="minorHAnsi" w:hAnsi="Arial" w:cs="Arial"/>
          <w:bCs/>
          <w:iCs/>
          <w:szCs w:val="24"/>
          <w:lang w:eastAsia="en-US"/>
        </w:rPr>
        <w:t>:</w:t>
      </w:r>
    </w:p>
    <w:p w:rsidR="00353387" w:rsidRDefault="00330236" w:rsidP="00353387">
      <w:pPr>
        <w:tabs>
          <w:tab w:val="left" w:pos="3387"/>
        </w:tabs>
        <w:spacing w:line="276" w:lineRule="auto"/>
        <w:jc w:val="both"/>
        <w:rPr>
          <w:rFonts w:ascii="Arial" w:eastAsiaTheme="minorHAnsi" w:hAnsi="Arial" w:cs="Arial"/>
          <w:bCs/>
          <w:iCs/>
          <w:szCs w:val="24"/>
          <w:lang w:eastAsia="en-US"/>
        </w:rPr>
      </w:pPr>
      <w:r>
        <w:rPr>
          <w:rFonts w:ascii="Arial" w:eastAsiaTheme="minorHAnsi" w:hAnsi="Arial" w:cs="Arial"/>
          <w:bCs/>
          <w:iCs/>
          <w:szCs w:val="24"/>
          <w:lang w:eastAsia="en-US"/>
        </w:rPr>
        <w:tab/>
      </w:r>
    </w:p>
    <w:p w:rsidR="00601E1D" w:rsidRPr="00330236" w:rsidRDefault="00601E1D" w:rsidP="00330236">
      <w:pPr>
        <w:spacing w:line="276" w:lineRule="auto"/>
        <w:ind w:left="708"/>
        <w:jc w:val="both"/>
        <w:rPr>
          <w:rFonts w:ascii="Arial" w:eastAsiaTheme="minorHAnsi" w:hAnsi="Arial" w:cs="Arial"/>
          <w:szCs w:val="24"/>
          <w:lang w:val="es-CO"/>
        </w:rPr>
      </w:pPr>
      <w:r>
        <w:rPr>
          <w:rFonts w:ascii="Arial" w:eastAsiaTheme="minorHAnsi" w:hAnsi="Arial" w:cs="Arial"/>
          <w:b/>
          <w:szCs w:val="24"/>
          <w:lang w:val="es-CO"/>
        </w:rPr>
        <w:t>PRIMERO</w:t>
      </w:r>
      <w:r w:rsidR="00330236">
        <w:rPr>
          <w:rFonts w:ascii="Arial" w:eastAsiaTheme="minorHAnsi" w:hAnsi="Arial" w:cs="Arial"/>
          <w:b/>
          <w:szCs w:val="24"/>
          <w:lang w:val="es-CO"/>
        </w:rPr>
        <w:t>.</w:t>
      </w:r>
      <w:r w:rsidRPr="00601E1D">
        <w:rPr>
          <w:rFonts w:ascii="Arial" w:eastAsiaTheme="minorHAnsi" w:hAnsi="Arial" w:cs="Arial"/>
          <w:b/>
          <w:szCs w:val="24"/>
          <w:lang w:val="es-CO"/>
        </w:rPr>
        <w:t xml:space="preserve"> </w:t>
      </w:r>
      <w:r w:rsidR="00330236">
        <w:rPr>
          <w:rFonts w:ascii="Arial" w:eastAsiaTheme="minorHAnsi" w:hAnsi="Arial" w:cs="Arial"/>
          <w:b/>
          <w:szCs w:val="24"/>
          <w:lang w:val="es-CO"/>
        </w:rPr>
        <w:t xml:space="preserve">DECLARAR </w:t>
      </w:r>
      <w:r w:rsidR="00330236" w:rsidRPr="00330236">
        <w:rPr>
          <w:rFonts w:ascii="Arial" w:eastAsiaTheme="minorHAnsi" w:hAnsi="Arial" w:cs="Arial"/>
          <w:szCs w:val="24"/>
          <w:lang w:val="es-CO"/>
        </w:rPr>
        <w:t xml:space="preserve">que </w:t>
      </w:r>
      <w:r w:rsidR="00330236">
        <w:rPr>
          <w:rFonts w:ascii="Arial" w:eastAsiaTheme="minorHAnsi" w:hAnsi="Arial" w:cs="Arial"/>
          <w:szCs w:val="24"/>
          <w:lang w:val="es-CO"/>
        </w:rPr>
        <w:t xml:space="preserve">la señora </w:t>
      </w:r>
      <w:proofErr w:type="spellStart"/>
      <w:r w:rsidR="00417FC9">
        <w:rPr>
          <w:rFonts w:ascii="Arial" w:eastAsiaTheme="minorHAnsi" w:hAnsi="Arial" w:cs="Arial"/>
          <w:szCs w:val="24"/>
          <w:lang w:val="es-CO"/>
        </w:rPr>
        <w:t>NOHORA</w:t>
      </w:r>
      <w:proofErr w:type="spellEnd"/>
      <w:r w:rsidR="00417FC9">
        <w:rPr>
          <w:rFonts w:ascii="Arial" w:eastAsiaTheme="minorHAnsi" w:hAnsi="Arial" w:cs="Arial"/>
          <w:szCs w:val="24"/>
          <w:lang w:val="es-CO"/>
        </w:rPr>
        <w:t xml:space="preserve"> EMILIA PÉREZ,</w:t>
      </w:r>
      <w:r w:rsidR="008E4255">
        <w:rPr>
          <w:rFonts w:ascii="Arial" w:eastAsiaTheme="minorHAnsi" w:hAnsi="Arial" w:cs="Arial"/>
          <w:szCs w:val="24"/>
          <w:lang w:val="es-CO"/>
        </w:rPr>
        <w:t xml:space="preserve"> tiene derecho a los </w:t>
      </w:r>
      <w:r w:rsidR="008E4255" w:rsidRPr="00601E1D">
        <w:rPr>
          <w:rFonts w:ascii="Arial" w:eastAsiaTheme="minorHAnsi" w:hAnsi="Arial" w:cs="Arial"/>
          <w:szCs w:val="24"/>
          <w:lang w:val="es-CO"/>
        </w:rPr>
        <w:t xml:space="preserve">intereses moratorios del artículo 141 de la Ley 100 de 1993, </w:t>
      </w:r>
      <w:r w:rsidR="00417FC9">
        <w:rPr>
          <w:rFonts w:ascii="Arial" w:eastAsiaTheme="minorHAnsi" w:hAnsi="Arial" w:cs="Arial"/>
          <w:szCs w:val="24"/>
          <w:lang w:val="es-CO"/>
        </w:rPr>
        <w:t xml:space="preserve"> </w:t>
      </w:r>
      <w:r w:rsidR="00417FC9" w:rsidRPr="005C71AB">
        <w:rPr>
          <w:rFonts w:ascii="Arial" w:eastAsiaTheme="minorHAnsi" w:hAnsi="Arial" w:cs="Arial"/>
          <w:szCs w:val="24"/>
          <w:lang w:val="es-CO"/>
        </w:rPr>
        <w:t xml:space="preserve"> </w:t>
      </w:r>
      <w:r w:rsidR="00417FC9" w:rsidRPr="00417FC9">
        <w:rPr>
          <w:rFonts w:ascii="Arial" w:eastAsiaTheme="minorHAnsi" w:hAnsi="Arial" w:cs="Arial"/>
          <w:szCs w:val="24"/>
          <w:lang w:val="es-CO"/>
        </w:rPr>
        <w:t>por lo expuesto.</w:t>
      </w:r>
    </w:p>
    <w:p w:rsidR="00330236" w:rsidRDefault="00330236" w:rsidP="00330236">
      <w:pPr>
        <w:spacing w:line="276" w:lineRule="auto"/>
        <w:ind w:left="708"/>
        <w:jc w:val="both"/>
        <w:rPr>
          <w:rFonts w:ascii="Arial" w:eastAsiaTheme="minorHAnsi" w:hAnsi="Arial" w:cs="Arial"/>
          <w:szCs w:val="24"/>
          <w:lang w:val="es-CO"/>
        </w:rPr>
      </w:pPr>
    </w:p>
    <w:p w:rsidR="003B2561" w:rsidRDefault="00330236" w:rsidP="003B2561">
      <w:pPr>
        <w:spacing w:line="276" w:lineRule="auto"/>
        <w:ind w:left="708"/>
        <w:jc w:val="both"/>
        <w:rPr>
          <w:rFonts w:ascii="Arial" w:eastAsiaTheme="minorHAnsi" w:hAnsi="Arial" w:cs="Arial"/>
          <w:szCs w:val="24"/>
          <w:lang w:val="es-CO"/>
        </w:rPr>
      </w:pPr>
      <w:r w:rsidRPr="00330236">
        <w:rPr>
          <w:rFonts w:ascii="Arial" w:eastAsiaTheme="minorHAnsi" w:hAnsi="Arial" w:cs="Arial"/>
          <w:b/>
          <w:szCs w:val="24"/>
          <w:lang w:val="es-CO"/>
        </w:rPr>
        <w:t xml:space="preserve">SEGUNDO. </w:t>
      </w:r>
      <w:r w:rsidR="003B2561">
        <w:rPr>
          <w:rFonts w:ascii="Arial" w:eastAsiaTheme="minorHAnsi" w:hAnsi="Arial" w:cs="Arial"/>
          <w:b/>
          <w:szCs w:val="24"/>
          <w:lang w:val="es-CO"/>
        </w:rPr>
        <w:t xml:space="preserve">DECLARAR </w:t>
      </w:r>
      <w:r w:rsidR="003B2561">
        <w:rPr>
          <w:rFonts w:ascii="Arial" w:eastAsiaTheme="minorHAnsi" w:hAnsi="Arial" w:cs="Arial"/>
          <w:szCs w:val="24"/>
          <w:lang w:val="es-CO"/>
        </w:rPr>
        <w:t xml:space="preserve">probada parcialmente la excepción de prescripción respecto de los moratorios generados con anterioridad al 16-08-2010, por lo </w:t>
      </w:r>
      <w:r w:rsidR="00237C2A">
        <w:rPr>
          <w:rFonts w:ascii="Arial" w:eastAsiaTheme="minorHAnsi" w:hAnsi="Arial" w:cs="Arial"/>
          <w:szCs w:val="24"/>
          <w:lang w:val="es-CO"/>
        </w:rPr>
        <w:t>mencionado</w:t>
      </w:r>
      <w:r w:rsidR="003B2561">
        <w:rPr>
          <w:rFonts w:ascii="Arial" w:eastAsiaTheme="minorHAnsi" w:hAnsi="Arial" w:cs="Arial"/>
          <w:szCs w:val="24"/>
          <w:lang w:val="es-CO"/>
        </w:rPr>
        <w:t xml:space="preserve"> en la parte motiva.</w:t>
      </w:r>
    </w:p>
    <w:p w:rsidR="003B2561" w:rsidRDefault="003B2561" w:rsidP="003B2561">
      <w:pPr>
        <w:spacing w:line="276" w:lineRule="auto"/>
        <w:ind w:left="708"/>
        <w:jc w:val="both"/>
        <w:rPr>
          <w:rFonts w:ascii="Arial" w:eastAsiaTheme="minorHAnsi" w:hAnsi="Arial" w:cs="Arial"/>
          <w:b/>
          <w:szCs w:val="24"/>
          <w:lang w:val="es-CO"/>
        </w:rPr>
      </w:pPr>
    </w:p>
    <w:p w:rsidR="003B2561" w:rsidRDefault="001C6A69" w:rsidP="003B2561">
      <w:pPr>
        <w:spacing w:line="276" w:lineRule="auto"/>
        <w:ind w:left="708"/>
        <w:jc w:val="both"/>
        <w:rPr>
          <w:rFonts w:ascii="Arial" w:eastAsiaTheme="minorHAnsi" w:hAnsi="Arial" w:cs="Arial"/>
          <w:iCs/>
          <w:szCs w:val="24"/>
        </w:rPr>
      </w:pPr>
      <w:r>
        <w:rPr>
          <w:rFonts w:ascii="Arial" w:eastAsiaTheme="minorHAnsi" w:hAnsi="Arial" w:cs="Arial"/>
          <w:b/>
          <w:szCs w:val="24"/>
          <w:lang w:val="es-CO"/>
        </w:rPr>
        <w:t xml:space="preserve">TERCERO. </w:t>
      </w:r>
      <w:r w:rsidR="003B2561" w:rsidRPr="00601E1D">
        <w:rPr>
          <w:rFonts w:ascii="Arial" w:eastAsiaTheme="minorHAnsi" w:hAnsi="Arial" w:cs="Arial"/>
          <w:b/>
          <w:szCs w:val="24"/>
          <w:lang w:val="es-CO"/>
        </w:rPr>
        <w:t xml:space="preserve">CONDENAR </w:t>
      </w:r>
      <w:r w:rsidR="003B2561" w:rsidRPr="00601E1D">
        <w:rPr>
          <w:rFonts w:ascii="Arial" w:eastAsiaTheme="minorHAnsi" w:hAnsi="Arial" w:cs="Arial"/>
          <w:szCs w:val="24"/>
          <w:lang w:val="es-CO"/>
        </w:rPr>
        <w:t>a la Administradora Colombiana de Pensiones</w:t>
      </w:r>
      <w:r w:rsidR="003B2561">
        <w:rPr>
          <w:rFonts w:ascii="Arial" w:eastAsiaTheme="minorHAnsi" w:hAnsi="Arial" w:cs="Arial"/>
          <w:szCs w:val="24"/>
          <w:lang w:val="es-CO"/>
        </w:rPr>
        <w:t xml:space="preserve"> </w:t>
      </w:r>
      <w:proofErr w:type="spellStart"/>
      <w:r w:rsidR="003B2561">
        <w:rPr>
          <w:rFonts w:ascii="Arial" w:eastAsiaTheme="minorHAnsi" w:hAnsi="Arial" w:cs="Arial"/>
          <w:szCs w:val="24"/>
          <w:lang w:val="es-CO"/>
        </w:rPr>
        <w:t>COLPENSIONES</w:t>
      </w:r>
      <w:proofErr w:type="spellEnd"/>
      <w:r w:rsidR="003B2561" w:rsidRPr="00601E1D">
        <w:rPr>
          <w:rFonts w:ascii="Arial" w:eastAsiaTheme="minorHAnsi" w:hAnsi="Arial" w:cs="Arial"/>
          <w:szCs w:val="24"/>
          <w:lang w:val="es-CO"/>
        </w:rPr>
        <w:t xml:space="preserve"> a reconocer y pagar a favor de la señora </w:t>
      </w:r>
      <w:r w:rsidR="003B2561">
        <w:rPr>
          <w:rFonts w:ascii="Arial" w:eastAsiaTheme="minorHAnsi" w:hAnsi="Arial" w:cs="Arial"/>
          <w:szCs w:val="24"/>
          <w:lang w:val="es-CO"/>
        </w:rPr>
        <w:t xml:space="preserve"> </w:t>
      </w:r>
      <w:proofErr w:type="spellStart"/>
      <w:r w:rsidR="003B2561">
        <w:rPr>
          <w:rFonts w:ascii="Arial" w:eastAsiaTheme="minorHAnsi" w:hAnsi="Arial" w:cs="Arial"/>
          <w:szCs w:val="24"/>
          <w:lang w:val="es-CO"/>
        </w:rPr>
        <w:t>NOHORA</w:t>
      </w:r>
      <w:proofErr w:type="spellEnd"/>
      <w:r w:rsidR="003B2561">
        <w:rPr>
          <w:rFonts w:ascii="Arial" w:eastAsiaTheme="minorHAnsi" w:hAnsi="Arial" w:cs="Arial"/>
          <w:szCs w:val="24"/>
          <w:lang w:val="es-CO"/>
        </w:rPr>
        <w:t xml:space="preserve"> EMILIA PÉREZ</w:t>
      </w:r>
      <w:r w:rsidR="003B2561" w:rsidRPr="00601E1D">
        <w:rPr>
          <w:rFonts w:ascii="Arial" w:eastAsiaTheme="minorHAnsi" w:hAnsi="Arial" w:cs="Arial"/>
          <w:szCs w:val="24"/>
          <w:lang w:val="es-CO"/>
        </w:rPr>
        <w:t xml:space="preserve"> la suma de </w:t>
      </w:r>
      <w:r w:rsidR="006510C4">
        <w:rPr>
          <w:rFonts w:ascii="Arial" w:eastAsiaTheme="minorHAnsi" w:hAnsi="Arial" w:cs="Arial"/>
          <w:iCs/>
          <w:szCs w:val="24"/>
        </w:rPr>
        <w:t xml:space="preserve">$17.728.753 </w:t>
      </w:r>
      <w:r w:rsidR="003B2561" w:rsidRPr="00601E1D">
        <w:rPr>
          <w:rFonts w:ascii="Arial" w:eastAsiaTheme="minorHAnsi" w:hAnsi="Arial" w:cs="Arial"/>
          <w:szCs w:val="24"/>
          <w:lang w:val="es-CO"/>
        </w:rPr>
        <w:t xml:space="preserve">por concepto de intereses moratorios del artículo 141 de la Ley 100 de 1993, causados entre el </w:t>
      </w:r>
      <w:r w:rsidR="003B2561">
        <w:rPr>
          <w:rFonts w:ascii="Arial" w:eastAsiaTheme="minorHAnsi" w:hAnsi="Arial" w:cs="Arial"/>
          <w:szCs w:val="24"/>
          <w:lang w:val="es-CO"/>
        </w:rPr>
        <w:t xml:space="preserve">16-08-2010 y </w:t>
      </w:r>
      <w:r w:rsidR="003B2561" w:rsidRPr="005C71AB">
        <w:rPr>
          <w:rFonts w:ascii="Arial" w:eastAsiaTheme="minorHAnsi" w:hAnsi="Arial" w:cs="Arial"/>
          <w:szCs w:val="24"/>
          <w:lang w:val="es-CO"/>
        </w:rPr>
        <w:t>el 30-06-2013</w:t>
      </w:r>
      <w:r w:rsidR="00D137BB">
        <w:rPr>
          <w:rFonts w:ascii="Arial" w:eastAsiaTheme="minorHAnsi" w:hAnsi="Arial" w:cs="Arial"/>
          <w:szCs w:val="24"/>
          <w:lang w:val="es-CO"/>
        </w:rPr>
        <w:t>,</w:t>
      </w:r>
      <w:r w:rsidR="003B2561">
        <w:rPr>
          <w:rFonts w:ascii="Arial" w:eastAsiaTheme="minorHAnsi" w:hAnsi="Arial" w:cs="Arial"/>
          <w:szCs w:val="24"/>
          <w:lang w:val="es-CO"/>
        </w:rPr>
        <w:t xml:space="preserve"> conforme a</w:t>
      </w:r>
      <w:r w:rsidR="003B2561" w:rsidRPr="003B2561">
        <w:rPr>
          <w:rFonts w:ascii="Arial" w:eastAsiaTheme="minorHAnsi" w:hAnsi="Arial" w:cs="Arial"/>
          <w:iCs/>
          <w:szCs w:val="24"/>
        </w:rPr>
        <w:t xml:space="preserve"> </w:t>
      </w:r>
      <w:r w:rsidR="003B2561">
        <w:rPr>
          <w:rFonts w:ascii="Arial" w:eastAsiaTheme="minorHAnsi" w:hAnsi="Arial" w:cs="Arial"/>
          <w:iCs/>
          <w:szCs w:val="24"/>
        </w:rPr>
        <w:t>la liquidación y teniendo en cuenta el retroactivo reconocido en la Resolución</w:t>
      </w:r>
      <w:r w:rsidR="003B2561" w:rsidRPr="00D23E30">
        <w:rPr>
          <w:rFonts w:ascii="Arial" w:eastAsiaTheme="minorHAnsi" w:hAnsi="Arial" w:cs="Arial"/>
          <w:iCs/>
          <w:szCs w:val="24"/>
        </w:rPr>
        <w:t xml:space="preserve"> </w:t>
      </w:r>
      <w:proofErr w:type="spellStart"/>
      <w:r w:rsidR="003B2561">
        <w:rPr>
          <w:rFonts w:ascii="Arial" w:eastAsiaTheme="minorHAnsi" w:hAnsi="Arial" w:cs="Arial"/>
          <w:iCs/>
          <w:szCs w:val="24"/>
        </w:rPr>
        <w:t>GNR</w:t>
      </w:r>
      <w:proofErr w:type="spellEnd"/>
      <w:r w:rsidR="003B2561">
        <w:rPr>
          <w:rFonts w:ascii="Arial" w:eastAsiaTheme="minorHAnsi" w:hAnsi="Arial" w:cs="Arial"/>
          <w:iCs/>
          <w:szCs w:val="24"/>
        </w:rPr>
        <w:t xml:space="preserve"> 169045 de 03-07-2015.</w:t>
      </w:r>
    </w:p>
    <w:p w:rsidR="00330236" w:rsidRDefault="00330236" w:rsidP="00330236">
      <w:pPr>
        <w:spacing w:line="276" w:lineRule="auto"/>
        <w:ind w:left="708"/>
        <w:jc w:val="both"/>
        <w:rPr>
          <w:rFonts w:ascii="Arial" w:eastAsiaTheme="minorHAnsi" w:hAnsi="Arial" w:cs="Arial"/>
          <w:b/>
          <w:szCs w:val="24"/>
          <w:lang w:val="es-CO"/>
        </w:rPr>
      </w:pPr>
    </w:p>
    <w:p w:rsidR="003B2561" w:rsidRDefault="003B2561" w:rsidP="00330236">
      <w:pPr>
        <w:spacing w:line="276" w:lineRule="auto"/>
        <w:ind w:left="708"/>
        <w:jc w:val="both"/>
        <w:rPr>
          <w:rFonts w:ascii="Arial" w:eastAsiaTheme="minorHAnsi" w:hAnsi="Arial" w:cs="Arial"/>
          <w:b/>
          <w:szCs w:val="24"/>
          <w:lang w:val="es-CO"/>
        </w:rPr>
      </w:pPr>
      <w:r>
        <w:rPr>
          <w:rFonts w:ascii="Arial" w:eastAsiaTheme="minorHAnsi" w:hAnsi="Arial" w:cs="Arial"/>
          <w:b/>
          <w:szCs w:val="24"/>
          <w:lang w:val="es-CO"/>
        </w:rPr>
        <w:t>CUA</w:t>
      </w:r>
      <w:r w:rsidR="007529CD">
        <w:rPr>
          <w:rFonts w:ascii="Arial" w:eastAsiaTheme="minorHAnsi" w:hAnsi="Arial" w:cs="Arial"/>
          <w:b/>
          <w:szCs w:val="24"/>
          <w:lang w:val="es-CO"/>
        </w:rPr>
        <w:t>R</w:t>
      </w:r>
      <w:r>
        <w:rPr>
          <w:rFonts w:ascii="Arial" w:eastAsiaTheme="minorHAnsi" w:hAnsi="Arial" w:cs="Arial"/>
          <w:b/>
          <w:szCs w:val="24"/>
          <w:lang w:val="es-CO"/>
        </w:rPr>
        <w:t xml:space="preserve">TO. DECLARAR </w:t>
      </w:r>
      <w:r w:rsidRPr="00F47706">
        <w:rPr>
          <w:rFonts w:ascii="Arial" w:eastAsiaTheme="minorHAnsi" w:hAnsi="Arial" w:cs="Arial"/>
          <w:szCs w:val="24"/>
          <w:lang w:val="es-CO"/>
        </w:rPr>
        <w:t>no</w:t>
      </w:r>
      <w:r>
        <w:rPr>
          <w:rFonts w:ascii="Arial" w:eastAsiaTheme="minorHAnsi" w:hAnsi="Arial" w:cs="Arial"/>
          <w:b/>
          <w:szCs w:val="24"/>
          <w:lang w:val="es-CO"/>
        </w:rPr>
        <w:t xml:space="preserve"> </w:t>
      </w:r>
      <w:r>
        <w:rPr>
          <w:rFonts w:ascii="Arial" w:eastAsiaTheme="minorHAnsi" w:hAnsi="Arial" w:cs="Arial"/>
          <w:szCs w:val="24"/>
          <w:lang w:val="es-CO"/>
        </w:rPr>
        <w:t xml:space="preserve">probada </w:t>
      </w:r>
      <w:r>
        <w:rPr>
          <w:rFonts w:ascii="Arial" w:eastAsiaTheme="minorHAnsi" w:hAnsi="Arial" w:cs="Arial"/>
          <w:iCs/>
          <w:szCs w:val="24"/>
        </w:rPr>
        <w:t>la excepción de inexistencia de la obligación demandada</w:t>
      </w:r>
    </w:p>
    <w:p w:rsidR="005C71AB" w:rsidRDefault="005C71AB" w:rsidP="00236A71">
      <w:pPr>
        <w:spacing w:line="276" w:lineRule="auto"/>
        <w:ind w:left="708"/>
        <w:jc w:val="both"/>
        <w:rPr>
          <w:rFonts w:ascii="Arial" w:eastAsiaTheme="minorHAnsi" w:hAnsi="Arial" w:cs="Arial"/>
          <w:b/>
          <w:szCs w:val="24"/>
          <w:lang w:val="es-CO"/>
        </w:rPr>
      </w:pPr>
    </w:p>
    <w:p w:rsidR="00236A71" w:rsidRPr="00314751" w:rsidRDefault="003B2561" w:rsidP="00236A71">
      <w:pPr>
        <w:spacing w:line="276" w:lineRule="auto"/>
        <w:ind w:left="708"/>
        <w:jc w:val="both"/>
        <w:rPr>
          <w:rFonts w:ascii="Arial" w:eastAsiaTheme="minorHAnsi" w:hAnsi="Arial" w:cs="Arial"/>
          <w:b/>
          <w:szCs w:val="24"/>
          <w:lang w:val="es-CO"/>
        </w:rPr>
      </w:pPr>
      <w:r w:rsidRPr="00314751">
        <w:rPr>
          <w:rFonts w:ascii="Arial" w:eastAsiaTheme="minorHAnsi" w:hAnsi="Arial" w:cs="Arial"/>
          <w:b/>
          <w:szCs w:val="24"/>
          <w:lang w:val="es-CO"/>
        </w:rPr>
        <w:t>QUIN</w:t>
      </w:r>
      <w:r w:rsidR="00236A71" w:rsidRPr="00314751">
        <w:rPr>
          <w:rFonts w:ascii="Arial" w:eastAsiaTheme="minorHAnsi" w:hAnsi="Arial" w:cs="Arial"/>
          <w:b/>
          <w:szCs w:val="24"/>
          <w:lang w:val="es-CO"/>
        </w:rPr>
        <w:t xml:space="preserve">TO. CONDENAR </w:t>
      </w:r>
      <w:r w:rsidR="00236A71" w:rsidRPr="00314751">
        <w:rPr>
          <w:rFonts w:ascii="Arial" w:eastAsiaTheme="minorHAnsi" w:hAnsi="Arial" w:cs="Arial"/>
          <w:szCs w:val="24"/>
          <w:lang w:val="es-CO"/>
        </w:rPr>
        <w:t xml:space="preserve">a la Administradora Colombiana de Pensiones </w:t>
      </w:r>
      <w:proofErr w:type="spellStart"/>
      <w:r w:rsidR="00236A71" w:rsidRPr="00314751">
        <w:rPr>
          <w:rFonts w:ascii="Arial" w:eastAsiaTheme="minorHAnsi" w:hAnsi="Arial" w:cs="Arial"/>
          <w:szCs w:val="24"/>
          <w:lang w:val="es-CO"/>
        </w:rPr>
        <w:t>COLPENSIONES</w:t>
      </w:r>
      <w:proofErr w:type="spellEnd"/>
      <w:r w:rsidR="00236A71" w:rsidRPr="00314751">
        <w:rPr>
          <w:rFonts w:ascii="Arial" w:eastAsiaTheme="minorHAnsi" w:hAnsi="Arial" w:cs="Arial"/>
          <w:szCs w:val="24"/>
          <w:lang w:val="es-CO"/>
        </w:rPr>
        <w:t xml:space="preserve"> a pagar las costas procesales a favor de la actora en un </w:t>
      </w:r>
      <w:r w:rsidR="00B2640B" w:rsidRPr="00314751">
        <w:rPr>
          <w:rFonts w:ascii="Arial" w:eastAsiaTheme="minorHAnsi" w:hAnsi="Arial" w:cs="Arial"/>
          <w:szCs w:val="24"/>
          <w:lang w:val="es-CO"/>
        </w:rPr>
        <w:t>8</w:t>
      </w:r>
      <w:r w:rsidRPr="00314751">
        <w:rPr>
          <w:rFonts w:ascii="Arial" w:eastAsiaTheme="minorHAnsi" w:hAnsi="Arial" w:cs="Arial"/>
          <w:szCs w:val="24"/>
          <w:lang w:val="es-CO"/>
        </w:rPr>
        <w:t>0%.</w:t>
      </w:r>
    </w:p>
    <w:p w:rsidR="00330236" w:rsidRPr="00314751" w:rsidRDefault="00330236" w:rsidP="00353387">
      <w:pPr>
        <w:spacing w:line="276" w:lineRule="auto"/>
        <w:jc w:val="both"/>
        <w:rPr>
          <w:rFonts w:ascii="Arial" w:hAnsi="Arial" w:cs="Arial"/>
          <w:b/>
          <w:bCs/>
          <w:iCs/>
          <w:szCs w:val="24"/>
          <w:u w:val="single"/>
        </w:rPr>
      </w:pPr>
    </w:p>
    <w:p w:rsidR="00353387" w:rsidRPr="005F585B" w:rsidRDefault="00353387" w:rsidP="00353387">
      <w:pPr>
        <w:spacing w:line="276" w:lineRule="auto"/>
        <w:jc w:val="both"/>
        <w:rPr>
          <w:rFonts w:ascii="Arial" w:hAnsi="Arial" w:cs="Arial"/>
          <w:b/>
          <w:szCs w:val="24"/>
          <w:u w:val="single"/>
        </w:rPr>
      </w:pPr>
      <w:r w:rsidRPr="00314751">
        <w:rPr>
          <w:rFonts w:ascii="Arial" w:hAnsi="Arial" w:cs="Arial"/>
          <w:b/>
          <w:bCs/>
          <w:iCs/>
          <w:szCs w:val="24"/>
          <w:u w:val="single"/>
        </w:rPr>
        <w:t>SEGUNDO</w:t>
      </w:r>
      <w:r w:rsidRPr="00314751">
        <w:rPr>
          <w:rFonts w:ascii="Arial" w:hAnsi="Arial" w:cs="Arial"/>
          <w:b/>
          <w:bCs/>
          <w:iCs/>
          <w:szCs w:val="24"/>
        </w:rPr>
        <w:t xml:space="preserve">: </w:t>
      </w:r>
      <w:r w:rsidRPr="00314751">
        <w:rPr>
          <w:rFonts w:ascii="Arial" w:hAnsi="Arial" w:cs="Arial"/>
          <w:szCs w:val="24"/>
        </w:rPr>
        <w:t>C</w:t>
      </w:r>
      <w:r w:rsidR="00237C2A">
        <w:rPr>
          <w:rFonts w:ascii="Arial" w:hAnsi="Arial" w:cs="Arial"/>
          <w:szCs w:val="24"/>
        </w:rPr>
        <w:t>ondenar en c</w:t>
      </w:r>
      <w:r w:rsidRPr="00314751">
        <w:rPr>
          <w:rFonts w:ascii="Arial" w:hAnsi="Arial" w:cs="Arial"/>
          <w:szCs w:val="24"/>
        </w:rPr>
        <w:t>ostas en esta instancia</w:t>
      </w:r>
      <w:r w:rsidR="007826A6" w:rsidRPr="007826A6">
        <w:rPr>
          <w:rFonts w:ascii="Arial" w:hAnsi="Arial" w:cs="Arial"/>
          <w:szCs w:val="24"/>
        </w:rPr>
        <w:t xml:space="preserve"> </w:t>
      </w:r>
      <w:r w:rsidR="007826A6">
        <w:rPr>
          <w:rFonts w:ascii="Arial" w:hAnsi="Arial" w:cs="Arial"/>
          <w:szCs w:val="24"/>
        </w:rPr>
        <w:t xml:space="preserve">a </w:t>
      </w:r>
      <w:proofErr w:type="spellStart"/>
      <w:r w:rsidR="007826A6">
        <w:rPr>
          <w:rFonts w:ascii="Arial" w:hAnsi="Arial" w:cs="Arial"/>
          <w:szCs w:val="24"/>
        </w:rPr>
        <w:t>Colpensiones</w:t>
      </w:r>
      <w:proofErr w:type="spellEnd"/>
      <w:r w:rsidR="007826A6">
        <w:rPr>
          <w:rFonts w:ascii="Arial" w:hAnsi="Arial" w:cs="Arial"/>
          <w:szCs w:val="24"/>
        </w:rPr>
        <w:t xml:space="preserve"> en favor de la actora en un 80%, </w:t>
      </w:r>
      <w:r w:rsidRPr="00314751">
        <w:rPr>
          <w:rFonts w:ascii="Arial" w:hAnsi="Arial" w:cs="Arial"/>
          <w:szCs w:val="24"/>
        </w:rPr>
        <w:t>por lo expuesto.</w:t>
      </w:r>
    </w:p>
    <w:p w:rsidR="00353387" w:rsidRPr="005F585B" w:rsidRDefault="00353387" w:rsidP="00353387">
      <w:pPr>
        <w:shd w:val="clear" w:color="auto" w:fill="FFFFFF"/>
        <w:tabs>
          <w:tab w:val="left" w:pos="5197"/>
        </w:tabs>
        <w:spacing w:line="276" w:lineRule="auto"/>
        <w:contextualSpacing/>
        <w:jc w:val="both"/>
        <w:rPr>
          <w:rFonts w:ascii="Arial" w:hAnsi="Arial" w:cs="Arial"/>
          <w:color w:val="000000"/>
          <w:szCs w:val="24"/>
          <w:lang w:eastAsia="es-CO"/>
        </w:rPr>
      </w:pPr>
    </w:p>
    <w:p w:rsidR="00F47706" w:rsidRDefault="00F47706" w:rsidP="00353387">
      <w:pPr>
        <w:spacing w:line="276" w:lineRule="auto"/>
        <w:contextualSpacing/>
        <w:jc w:val="both"/>
        <w:rPr>
          <w:rFonts w:ascii="Arial" w:hAnsi="Arial" w:cs="Arial"/>
          <w:szCs w:val="24"/>
        </w:rPr>
      </w:pPr>
    </w:p>
    <w:p w:rsidR="00353387" w:rsidRDefault="00353387" w:rsidP="00353387">
      <w:pPr>
        <w:spacing w:line="276" w:lineRule="auto"/>
        <w:contextualSpacing/>
        <w:jc w:val="both"/>
        <w:rPr>
          <w:rFonts w:ascii="Arial" w:hAnsi="Arial" w:cs="Arial"/>
          <w:szCs w:val="24"/>
        </w:rPr>
      </w:pPr>
      <w:r w:rsidRPr="005F585B">
        <w:rPr>
          <w:rFonts w:ascii="Arial" w:hAnsi="Arial" w:cs="Arial"/>
          <w:szCs w:val="24"/>
        </w:rPr>
        <w:t>Notificación surtida en estrados.</w:t>
      </w:r>
    </w:p>
    <w:p w:rsidR="00601E1D" w:rsidRPr="005F585B" w:rsidRDefault="00601E1D" w:rsidP="00353387">
      <w:pPr>
        <w:spacing w:line="276" w:lineRule="auto"/>
        <w:contextualSpacing/>
        <w:jc w:val="both"/>
        <w:rPr>
          <w:rFonts w:ascii="Arial" w:hAnsi="Arial" w:cs="Arial"/>
          <w:szCs w:val="24"/>
        </w:rPr>
      </w:pPr>
    </w:p>
    <w:p w:rsidR="00353387" w:rsidRPr="005F585B" w:rsidRDefault="00353387" w:rsidP="00353387">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353387" w:rsidRDefault="00353387"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p>
    <w:p w:rsidR="005C71AB" w:rsidRDefault="005C71AB" w:rsidP="00353387">
      <w:pPr>
        <w:spacing w:line="276" w:lineRule="auto"/>
        <w:contextualSpacing/>
        <w:jc w:val="center"/>
        <w:rPr>
          <w:rFonts w:ascii="Arial" w:eastAsiaTheme="minorHAnsi" w:hAnsi="Arial" w:cs="Arial"/>
          <w:b/>
          <w:szCs w:val="24"/>
          <w:lang w:val="es-ES" w:eastAsia="en-US"/>
        </w:rPr>
      </w:pPr>
    </w:p>
    <w:p w:rsidR="005C71AB" w:rsidRDefault="005C71AB" w:rsidP="00353387">
      <w:pPr>
        <w:spacing w:line="276" w:lineRule="auto"/>
        <w:contextualSpacing/>
        <w:jc w:val="center"/>
        <w:rPr>
          <w:rFonts w:ascii="Arial" w:eastAsiaTheme="minorHAnsi" w:hAnsi="Arial" w:cs="Arial"/>
          <w:b/>
          <w:szCs w:val="24"/>
          <w:lang w:val="es-ES" w:eastAsia="en-US"/>
        </w:rPr>
      </w:pPr>
    </w:p>
    <w:p w:rsidR="00353387" w:rsidRPr="005F585B" w:rsidRDefault="00353387" w:rsidP="00353387">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353387" w:rsidRPr="005F585B" w:rsidRDefault="00353387" w:rsidP="00353387">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353387" w:rsidRPr="005F585B" w:rsidRDefault="00353387" w:rsidP="00353387">
      <w:pPr>
        <w:spacing w:line="276" w:lineRule="auto"/>
        <w:ind w:firstLine="900"/>
        <w:contextualSpacing/>
        <w:jc w:val="center"/>
        <w:rPr>
          <w:rFonts w:ascii="Arial" w:hAnsi="Arial" w:cs="Arial"/>
          <w:b/>
          <w:szCs w:val="24"/>
          <w:lang w:val="es-ES"/>
        </w:rPr>
      </w:pPr>
    </w:p>
    <w:p w:rsidR="005C71AB" w:rsidRDefault="005C71AB" w:rsidP="00353387">
      <w:pPr>
        <w:spacing w:line="276" w:lineRule="auto"/>
        <w:contextualSpacing/>
        <w:jc w:val="both"/>
        <w:rPr>
          <w:rFonts w:ascii="Arial" w:hAnsi="Arial" w:cs="Arial"/>
          <w:b/>
          <w:bCs/>
          <w:iCs/>
          <w:sz w:val="23"/>
          <w:szCs w:val="23"/>
          <w:lang w:val="es-ES"/>
        </w:rPr>
      </w:pPr>
    </w:p>
    <w:p w:rsidR="005C71AB" w:rsidRDefault="005C71AB" w:rsidP="00353387">
      <w:pPr>
        <w:spacing w:line="276" w:lineRule="auto"/>
        <w:contextualSpacing/>
        <w:jc w:val="both"/>
        <w:rPr>
          <w:rFonts w:ascii="Arial" w:hAnsi="Arial" w:cs="Arial"/>
          <w:b/>
          <w:bCs/>
          <w:iCs/>
          <w:sz w:val="23"/>
          <w:szCs w:val="23"/>
          <w:lang w:val="es-ES"/>
        </w:rPr>
      </w:pPr>
    </w:p>
    <w:p w:rsidR="00353387" w:rsidRPr="005F585B" w:rsidRDefault="00353387" w:rsidP="00353387">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t>FRANCISCO JAVIER TAMAYO TABARES</w:t>
      </w:r>
    </w:p>
    <w:p w:rsidR="00CC471A" w:rsidRDefault="00353387" w:rsidP="00CC471A">
      <w:pPr>
        <w:spacing w:line="276" w:lineRule="auto"/>
        <w:contextualSpacing/>
        <w:jc w:val="both"/>
        <w:rPr>
          <w:rFonts w:ascii="Arial" w:hAnsi="Arial" w:cs="Arial"/>
          <w:sz w:val="23"/>
          <w:szCs w:val="23"/>
          <w:lang w:val="es-ES"/>
        </w:rPr>
      </w:pPr>
      <w:r w:rsidRPr="005F585B">
        <w:rPr>
          <w:rFonts w:ascii="Arial" w:hAnsi="Arial" w:cs="Arial"/>
          <w:sz w:val="23"/>
          <w:szCs w:val="23"/>
          <w:lang w:val="es-ES"/>
        </w:rPr>
        <w:t xml:space="preserve">                   Magistrado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Pr="00560FF4" w:rsidRDefault="00560FF4" w:rsidP="00560FF4">
      <w:pPr>
        <w:spacing w:line="276" w:lineRule="auto"/>
        <w:jc w:val="both"/>
        <w:rPr>
          <w:rFonts w:ascii="Arial" w:hAnsi="Arial" w:cs="Arial"/>
          <w:sz w:val="23"/>
          <w:szCs w:val="23"/>
          <w:lang w:val="es-ES"/>
        </w:rPr>
      </w:pPr>
      <w:r>
        <w:rPr>
          <w:rFonts w:ascii="Arial" w:hAnsi="Arial" w:cs="Arial"/>
          <w:sz w:val="23"/>
          <w:szCs w:val="23"/>
          <w:lang w:val="es-ES"/>
        </w:rPr>
        <w:t>*Anexo</w:t>
      </w:r>
    </w:p>
    <w:p w:rsidR="00560FF4" w:rsidRDefault="00560FF4" w:rsidP="00560FF4">
      <w:pPr>
        <w:spacing w:line="276" w:lineRule="auto"/>
        <w:contextualSpacing/>
        <w:jc w:val="center"/>
        <w:rPr>
          <w:rFonts w:ascii="Arial" w:hAnsi="Arial" w:cs="Arial"/>
          <w:sz w:val="23"/>
          <w:szCs w:val="23"/>
          <w:lang w:val="es-ES"/>
        </w:rPr>
      </w:pPr>
      <w:r w:rsidRPr="00560FF4">
        <w:rPr>
          <w:noProof/>
          <w:lang w:val="es-ES"/>
        </w:rPr>
        <w:drawing>
          <wp:inline distT="0" distB="0" distL="0" distR="0">
            <wp:extent cx="4512168" cy="60864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0408" cy="6097590"/>
                    </a:xfrm>
                    <a:prstGeom prst="rect">
                      <a:avLst/>
                    </a:prstGeom>
                    <a:noFill/>
                    <a:ln>
                      <a:noFill/>
                    </a:ln>
                  </pic:spPr>
                </pic:pic>
              </a:graphicData>
            </a:graphic>
          </wp:inline>
        </w:drawing>
      </w:r>
    </w:p>
    <w:p w:rsidR="00560FF4" w:rsidRDefault="00560FF4" w:rsidP="00CC471A">
      <w:pPr>
        <w:spacing w:line="276" w:lineRule="auto"/>
        <w:contextualSpacing/>
        <w:jc w:val="both"/>
        <w:rPr>
          <w:rFonts w:ascii="Arial" w:hAnsi="Arial" w:cs="Arial"/>
          <w:sz w:val="23"/>
          <w:szCs w:val="23"/>
          <w:lang w:val="es-ES"/>
        </w:rPr>
      </w:pPr>
    </w:p>
    <w:p w:rsidR="00560FF4" w:rsidRDefault="00560FF4" w:rsidP="00CC471A">
      <w:pPr>
        <w:spacing w:line="276" w:lineRule="auto"/>
        <w:contextualSpacing/>
        <w:jc w:val="both"/>
        <w:rPr>
          <w:rFonts w:ascii="Arial" w:hAnsi="Arial" w:cs="Arial"/>
          <w:sz w:val="23"/>
          <w:szCs w:val="23"/>
          <w:lang w:val="es-ES"/>
        </w:rPr>
      </w:pPr>
    </w:p>
    <w:p w:rsidR="00560FF4" w:rsidRDefault="00560FF4" w:rsidP="00560FF4">
      <w:pPr>
        <w:spacing w:line="276" w:lineRule="auto"/>
        <w:contextualSpacing/>
        <w:jc w:val="center"/>
        <w:rPr>
          <w:rFonts w:ascii="Arial" w:hAnsi="Arial" w:cs="Arial"/>
          <w:b/>
          <w:sz w:val="23"/>
          <w:szCs w:val="23"/>
          <w:lang w:val="es-ES"/>
        </w:rPr>
      </w:pPr>
    </w:p>
    <w:p w:rsidR="00560FF4" w:rsidRDefault="00560FF4" w:rsidP="00560FF4">
      <w:pPr>
        <w:spacing w:line="276" w:lineRule="auto"/>
        <w:contextualSpacing/>
        <w:jc w:val="center"/>
        <w:rPr>
          <w:rFonts w:ascii="Arial" w:hAnsi="Arial" w:cs="Arial"/>
          <w:b/>
          <w:sz w:val="23"/>
          <w:szCs w:val="23"/>
          <w:lang w:val="es-ES"/>
        </w:rPr>
      </w:pPr>
    </w:p>
    <w:p w:rsidR="00560FF4" w:rsidRPr="00560FF4" w:rsidRDefault="00560FF4" w:rsidP="00560FF4">
      <w:pPr>
        <w:spacing w:line="276" w:lineRule="auto"/>
        <w:contextualSpacing/>
        <w:jc w:val="center"/>
        <w:rPr>
          <w:rFonts w:ascii="Arial" w:hAnsi="Arial" w:cs="Arial"/>
          <w:sz w:val="23"/>
          <w:szCs w:val="23"/>
          <w:lang w:val="es-ES"/>
        </w:rPr>
      </w:pPr>
      <w:r w:rsidRPr="00560FF4">
        <w:rPr>
          <w:rFonts w:ascii="Arial" w:hAnsi="Arial" w:cs="Arial"/>
          <w:sz w:val="23"/>
          <w:szCs w:val="23"/>
          <w:lang w:val="es-ES"/>
        </w:rPr>
        <w:t>OLGA LUCÍA HOYOS SEPÚLVEDA</w:t>
      </w:r>
    </w:p>
    <w:p w:rsidR="00560FF4" w:rsidRDefault="00560FF4" w:rsidP="006510C4">
      <w:pPr>
        <w:spacing w:line="276" w:lineRule="auto"/>
        <w:contextualSpacing/>
        <w:jc w:val="center"/>
        <w:rPr>
          <w:rFonts w:ascii="Arial" w:hAnsi="Arial" w:cs="Arial"/>
          <w:sz w:val="23"/>
          <w:szCs w:val="23"/>
          <w:lang w:val="es-ES"/>
        </w:rPr>
      </w:pPr>
      <w:r w:rsidRPr="00560FF4">
        <w:rPr>
          <w:rFonts w:ascii="Arial" w:hAnsi="Arial" w:cs="Arial"/>
          <w:sz w:val="23"/>
          <w:szCs w:val="23"/>
          <w:lang w:val="es-ES"/>
        </w:rPr>
        <w:t>Magistrada Ponente</w:t>
      </w:r>
    </w:p>
    <w:p w:rsidR="00560FF4" w:rsidRDefault="00560FF4" w:rsidP="00CC471A">
      <w:pPr>
        <w:spacing w:line="276" w:lineRule="auto"/>
        <w:contextualSpacing/>
        <w:jc w:val="both"/>
        <w:rPr>
          <w:rFonts w:ascii="Arial" w:hAnsi="Arial" w:cs="Arial"/>
          <w:szCs w:val="24"/>
        </w:rPr>
      </w:pPr>
    </w:p>
    <w:sectPr w:rsidR="00560FF4" w:rsidSect="002C4543">
      <w:headerReference w:type="default" r:id="rId10"/>
      <w:footerReference w:type="even" r:id="rId11"/>
      <w:footerReference w:type="default" r:id="rId12"/>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8D" w:rsidRDefault="00EF2A8D" w:rsidP="00226D5F">
      <w:r>
        <w:separator/>
      </w:r>
    </w:p>
  </w:endnote>
  <w:endnote w:type="continuationSeparator" w:id="0">
    <w:p w:rsidR="00EF2A8D" w:rsidRDefault="00EF2A8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E47684">
      <w:rPr>
        <w:rStyle w:val="Nmerodepgina"/>
        <w:noProof/>
      </w:rPr>
      <w:t>8</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8D" w:rsidRDefault="00EF2A8D" w:rsidP="00226D5F">
      <w:r>
        <w:separator/>
      </w:r>
    </w:p>
  </w:footnote>
  <w:footnote w:type="continuationSeparator" w:id="0">
    <w:p w:rsidR="00EF2A8D" w:rsidRDefault="00EF2A8D" w:rsidP="00226D5F">
      <w:r>
        <w:continuationSeparator/>
      </w:r>
    </w:p>
  </w:footnote>
  <w:footnote w:id="1">
    <w:p w:rsidR="007E61D8" w:rsidRPr="007E61D8" w:rsidRDefault="007E61D8" w:rsidP="007E61D8">
      <w:pPr>
        <w:pStyle w:val="Textonotapie"/>
        <w:jc w:val="both"/>
        <w:rPr>
          <w:rFonts w:ascii="Arial" w:hAnsi="Arial" w:cs="Arial"/>
          <w:lang w:val="es-CO"/>
        </w:rPr>
      </w:pPr>
      <w:r w:rsidRPr="007E61D8">
        <w:rPr>
          <w:rStyle w:val="Refdenotaalpie"/>
          <w:rFonts w:ascii="Arial" w:hAnsi="Arial" w:cs="Arial"/>
          <w:sz w:val="18"/>
        </w:rPr>
        <w:footnoteRef/>
      </w:r>
      <w:r w:rsidRPr="007E61D8">
        <w:rPr>
          <w:rFonts w:ascii="Arial" w:hAnsi="Arial" w:cs="Arial"/>
          <w:sz w:val="18"/>
        </w:rPr>
        <w:t xml:space="preserve"> </w:t>
      </w:r>
      <w:r w:rsidRPr="007E61D8">
        <w:rPr>
          <w:rFonts w:ascii="Arial" w:hAnsi="Arial" w:cs="Arial"/>
          <w:sz w:val="18"/>
          <w:lang w:val="es-CO"/>
        </w:rPr>
        <w:t>Folios 105 a 155.</w:t>
      </w:r>
    </w:p>
  </w:footnote>
  <w:footnote w:id="2">
    <w:p w:rsidR="005F6130" w:rsidRPr="005F6130" w:rsidRDefault="005F6130" w:rsidP="005F6130">
      <w:pPr>
        <w:pStyle w:val="Textonotapie"/>
        <w:jc w:val="both"/>
        <w:rPr>
          <w:rFonts w:ascii="Arial" w:hAnsi="Arial" w:cs="Arial"/>
          <w:lang w:val="es-CO"/>
        </w:rPr>
      </w:pPr>
      <w:r w:rsidRPr="005F6130">
        <w:rPr>
          <w:rStyle w:val="Refdenotaalpie"/>
          <w:rFonts w:ascii="Arial" w:hAnsi="Arial" w:cs="Arial"/>
          <w:sz w:val="18"/>
        </w:rPr>
        <w:footnoteRef/>
      </w:r>
      <w:r w:rsidRPr="005F6130">
        <w:rPr>
          <w:rFonts w:ascii="Arial" w:hAnsi="Arial" w:cs="Arial"/>
          <w:sz w:val="18"/>
        </w:rPr>
        <w:t xml:space="preserve"> </w:t>
      </w:r>
      <w:r>
        <w:rPr>
          <w:rFonts w:ascii="Arial" w:hAnsi="Arial" w:cs="Arial"/>
          <w:sz w:val="18"/>
          <w:lang w:val="es-CO"/>
        </w:rPr>
        <w:t>Folios 156 a</w:t>
      </w:r>
      <w:r w:rsidRPr="005F6130">
        <w:rPr>
          <w:rFonts w:ascii="Arial" w:hAnsi="Arial" w:cs="Arial"/>
          <w:sz w:val="18"/>
          <w:lang w:val="es-CO"/>
        </w:rPr>
        <w:t xml:space="preserve"> 164.</w:t>
      </w:r>
    </w:p>
  </w:footnote>
  <w:footnote w:id="3">
    <w:p w:rsidR="00B11A83" w:rsidRPr="00FB528E" w:rsidRDefault="00B11A83" w:rsidP="00B11A83">
      <w:pPr>
        <w:pStyle w:val="Textonotapie"/>
        <w:rPr>
          <w:rFonts w:ascii="Arial" w:hAnsi="Arial" w:cs="Arial"/>
          <w:sz w:val="18"/>
          <w:szCs w:val="18"/>
          <w:lang w:val="es-AR"/>
        </w:rPr>
      </w:pPr>
      <w:r w:rsidRPr="00FB528E">
        <w:rPr>
          <w:rStyle w:val="Refdenotaalpie"/>
          <w:rFonts w:ascii="Arial" w:hAnsi="Arial" w:cs="Arial"/>
          <w:sz w:val="18"/>
          <w:szCs w:val="18"/>
        </w:rPr>
        <w:footnoteRef/>
      </w:r>
      <w:r w:rsidRPr="00FB528E">
        <w:rPr>
          <w:rFonts w:ascii="Arial" w:hAnsi="Arial" w:cs="Arial"/>
          <w:sz w:val="18"/>
          <w:szCs w:val="18"/>
        </w:rPr>
        <w:t xml:space="preserve"> </w:t>
      </w:r>
      <w:r w:rsidRPr="00FB528E">
        <w:rPr>
          <w:rFonts w:ascii="Arial" w:hAnsi="Arial" w:cs="Arial"/>
          <w:sz w:val="18"/>
          <w:szCs w:val="18"/>
          <w:lang w:val="es-AR"/>
        </w:rPr>
        <w:t>Reiterada entre otras en la S</w:t>
      </w:r>
      <w:r w:rsidRPr="00FB528E">
        <w:rPr>
          <w:rFonts w:ascii="Arial" w:hAnsi="Arial" w:cs="Arial"/>
          <w:color w:val="000000"/>
          <w:sz w:val="18"/>
          <w:szCs w:val="18"/>
          <w:shd w:val="clear" w:color="auto" w:fill="FFFFFF"/>
        </w:rPr>
        <w:t>L2756-2017, Radicación n.° 68425 del 22/02/2017 </w:t>
      </w:r>
    </w:p>
  </w:footnote>
  <w:footnote w:id="4">
    <w:p w:rsidR="006679D6" w:rsidRPr="007B3546" w:rsidRDefault="006679D6" w:rsidP="006679D6">
      <w:pPr>
        <w:pStyle w:val="Textonotapie"/>
        <w:jc w:val="both"/>
        <w:rPr>
          <w:rFonts w:ascii="Arial" w:hAnsi="Arial" w:cs="Arial"/>
          <w:lang w:val="es-CO"/>
        </w:rPr>
      </w:pPr>
      <w:r w:rsidRPr="007B3546">
        <w:rPr>
          <w:rStyle w:val="Refdenotaalpie"/>
          <w:rFonts w:ascii="Arial" w:hAnsi="Arial" w:cs="Arial"/>
          <w:sz w:val="18"/>
        </w:rPr>
        <w:footnoteRef/>
      </w:r>
      <w:r w:rsidRPr="007B3546">
        <w:rPr>
          <w:rFonts w:ascii="Arial" w:hAnsi="Arial" w:cs="Arial"/>
          <w:sz w:val="18"/>
        </w:rPr>
        <w:t xml:space="preserve"> </w:t>
      </w:r>
      <w:r w:rsidRPr="007B3546">
        <w:rPr>
          <w:rFonts w:ascii="Arial" w:hAnsi="Arial" w:cs="Arial"/>
          <w:sz w:val="18"/>
          <w:lang w:val="es-CO"/>
        </w:rPr>
        <w:t>Folio 38.</w:t>
      </w:r>
    </w:p>
  </w:footnote>
  <w:footnote w:id="5">
    <w:p w:rsidR="00841E7B" w:rsidRPr="00841E7B" w:rsidRDefault="00841E7B" w:rsidP="00841E7B">
      <w:pPr>
        <w:pStyle w:val="Textonotapie"/>
        <w:jc w:val="both"/>
        <w:rPr>
          <w:rFonts w:ascii="Arial" w:hAnsi="Arial" w:cs="Arial"/>
          <w:lang w:val="es-CO"/>
        </w:rPr>
      </w:pPr>
      <w:r w:rsidRPr="00841E7B">
        <w:rPr>
          <w:rStyle w:val="Refdenotaalpie"/>
          <w:rFonts w:ascii="Arial" w:hAnsi="Arial" w:cs="Arial"/>
          <w:sz w:val="18"/>
        </w:rPr>
        <w:footnoteRef/>
      </w:r>
      <w:r w:rsidRPr="00841E7B">
        <w:rPr>
          <w:rFonts w:ascii="Arial" w:hAnsi="Arial" w:cs="Arial"/>
          <w:sz w:val="18"/>
        </w:rPr>
        <w:t xml:space="preserve"> Sentencia T-681de 05-12-2016. </w:t>
      </w:r>
      <w:proofErr w:type="spellStart"/>
      <w:r w:rsidRPr="00841E7B">
        <w:rPr>
          <w:rFonts w:ascii="Arial" w:hAnsi="Arial" w:cs="Arial"/>
          <w:sz w:val="18"/>
        </w:rPr>
        <w:t>M.P</w:t>
      </w:r>
      <w:proofErr w:type="spellEnd"/>
      <w:r w:rsidRPr="00841E7B">
        <w:rPr>
          <w:rFonts w:ascii="Arial" w:hAnsi="Arial" w:cs="Arial"/>
          <w:sz w:val="18"/>
        </w:rPr>
        <w:t xml:space="preserve">. Jorge Iván Palacio </w:t>
      </w:r>
      <w:proofErr w:type="spellStart"/>
      <w:r w:rsidRPr="00841E7B">
        <w:rPr>
          <w:rFonts w:ascii="Arial" w:hAnsi="Arial" w:cs="Arial"/>
          <w:sz w:val="18"/>
        </w:rPr>
        <w:t>Palacio</w:t>
      </w:r>
      <w:proofErr w:type="spellEnd"/>
      <w:r w:rsidRPr="00841E7B">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2E0A9F" w:rsidP="00174E3F">
    <w:pPr>
      <w:pStyle w:val="Encabezado"/>
      <w:jc w:val="center"/>
      <w:rPr>
        <w:rFonts w:ascii="Arial" w:hAnsi="Arial" w:cs="Arial"/>
        <w:sz w:val="18"/>
        <w:szCs w:val="18"/>
      </w:rPr>
    </w:pPr>
    <w:r>
      <w:rPr>
        <w:rFonts w:ascii="Arial" w:hAnsi="Arial" w:cs="Arial"/>
        <w:sz w:val="18"/>
        <w:szCs w:val="18"/>
      </w:rPr>
      <w:t>66001-31-05-001-2015-00535</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2E0A9F" w:rsidP="00174E3F">
    <w:pPr>
      <w:pStyle w:val="Encabezado"/>
      <w:jc w:val="center"/>
      <w:rPr>
        <w:rFonts w:ascii="Arial" w:hAnsi="Arial" w:cs="Arial"/>
        <w:sz w:val="18"/>
        <w:szCs w:val="18"/>
      </w:rPr>
    </w:pPr>
    <w:proofErr w:type="spellStart"/>
    <w:r>
      <w:rPr>
        <w:rFonts w:ascii="Arial" w:hAnsi="Arial" w:cs="Arial"/>
        <w:sz w:val="18"/>
        <w:szCs w:val="18"/>
      </w:rPr>
      <w:t>Nohora</w:t>
    </w:r>
    <w:proofErr w:type="spellEnd"/>
    <w:r>
      <w:rPr>
        <w:rFonts w:ascii="Arial" w:hAnsi="Arial" w:cs="Arial"/>
        <w:sz w:val="18"/>
        <w:szCs w:val="18"/>
      </w:rPr>
      <w:t xml:space="preserve"> Emilia Pérez</w:t>
    </w:r>
    <w:r w:rsidR="00F00C00">
      <w:rPr>
        <w:rFonts w:ascii="Arial" w:hAnsi="Arial" w:cs="Arial"/>
        <w:sz w:val="18"/>
        <w:szCs w:val="18"/>
      </w:rPr>
      <w:t xml:space="preserve"> vs </w:t>
    </w:r>
    <w:proofErr w:type="spellStart"/>
    <w:r w:rsidR="00F02D1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1"/>
  </w:num>
  <w:num w:numId="6">
    <w:abstractNumId w:val="13"/>
  </w:num>
  <w:num w:numId="7">
    <w:abstractNumId w:val="2"/>
  </w:num>
  <w:num w:numId="8">
    <w:abstractNumId w:val="10"/>
  </w:num>
  <w:num w:numId="9">
    <w:abstractNumId w:val="12"/>
  </w:num>
  <w:num w:numId="10">
    <w:abstractNumId w:val="15"/>
  </w:num>
  <w:num w:numId="11">
    <w:abstractNumId w:val="3"/>
  </w:num>
  <w:num w:numId="12">
    <w:abstractNumId w:val="11"/>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3B4D"/>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7D2"/>
    <w:rsid w:val="0001617F"/>
    <w:rsid w:val="000173D2"/>
    <w:rsid w:val="00017D74"/>
    <w:rsid w:val="00021706"/>
    <w:rsid w:val="00021CB6"/>
    <w:rsid w:val="00022B94"/>
    <w:rsid w:val="00022E08"/>
    <w:rsid w:val="000237AD"/>
    <w:rsid w:val="00024CDE"/>
    <w:rsid w:val="00024DDC"/>
    <w:rsid w:val="00025D53"/>
    <w:rsid w:val="00026BC6"/>
    <w:rsid w:val="00027CE4"/>
    <w:rsid w:val="000305F9"/>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511E"/>
    <w:rsid w:val="00045E25"/>
    <w:rsid w:val="0004719C"/>
    <w:rsid w:val="0005076B"/>
    <w:rsid w:val="00053E26"/>
    <w:rsid w:val="000543E9"/>
    <w:rsid w:val="00054478"/>
    <w:rsid w:val="000552AC"/>
    <w:rsid w:val="00055724"/>
    <w:rsid w:val="000566AD"/>
    <w:rsid w:val="00056D9C"/>
    <w:rsid w:val="00057890"/>
    <w:rsid w:val="00060714"/>
    <w:rsid w:val="000608A6"/>
    <w:rsid w:val="00060FD9"/>
    <w:rsid w:val="0006136C"/>
    <w:rsid w:val="000627B1"/>
    <w:rsid w:val="00063358"/>
    <w:rsid w:val="00067CEA"/>
    <w:rsid w:val="00070C64"/>
    <w:rsid w:val="000717AD"/>
    <w:rsid w:val="000724B7"/>
    <w:rsid w:val="00072770"/>
    <w:rsid w:val="000728C3"/>
    <w:rsid w:val="00073CE5"/>
    <w:rsid w:val="0007529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C40"/>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27E"/>
    <w:rsid w:val="00137A0C"/>
    <w:rsid w:val="00137A69"/>
    <w:rsid w:val="00137D16"/>
    <w:rsid w:val="0014375B"/>
    <w:rsid w:val="00143A4C"/>
    <w:rsid w:val="00144158"/>
    <w:rsid w:val="001441E9"/>
    <w:rsid w:val="00144D6B"/>
    <w:rsid w:val="00145359"/>
    <w:rsid w:val="00145B22"/>
    <w:rsid w:val="00146784"/>
    <w:rsid w:val="0015050F"/>
    <w:rsid w:val="00151624"/>
    <w:rsid w:val="00151A72"/>
    <w:rsid w:val="00153F73"/>
    <w:rsid w:val="00154279"/>
    <w:rsid w:val="001557C9"/>
    <w:rsid w:val="00155DC7"/>
    <w:rsid w:val="00156B5B"/>
    <w:rsid w:val="0015732E"/>
    <w:rsid w:val="001579DC"/>
    <w:rsid w:val="00163804"/>
    <w:rsid w:val="001667FB"/>
    <w:rsid w:val="00166ACF"/>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759"/>
    <w:rsid w:val="00181E35"/>
    <w:rsid w:val="00182241"/>
    <w:rsid w:val="00183477"/>
    <w:rsid w:val="0018453C"/>
    <w:rsid w:val="00184B29"/>
    <w:rsid w:val="00184E20"/>
    <w:rsid w:val="00187CDA"/>
    <w:rsid w:val="001900D4"/>
    <w:rsid w:val="0019036C"/>
    <w:rsid w:val="00191E0F"/>
    <w:rsid w:val="00192BC2"/>
    <w:rsid w:val="0019369E"/>
    <w:rsid w:val="00193C45"/>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6B6B"/>
    <w:rsid w:val="001D77C0"/>
    <w:rsid w:val="001E0313"/>
    <w:rsid w:val="001E3135"/>
    <w:rsid w:val="001E324B"/>
    <w:rsid w:val="001E3575"/>
    <w:rsid w:val="001E3CBE"/>
    <w:rsid w:val="001F13EA"/>
    <w:rsid w:val="001F1B37"/>
    <w:rsid w:val="001F217B"/>
    <w:rsid w:val="001F25C6"/>
    <w:rsid w:val="001F2604"/>
    <w:rsid w:val="001F346C"/>
    <w:rsid w:val="001F4807"/>
    <w:rsid w:val="001F4D55"/>
    <w:rsid w:val="001F55F3"/>
    <w:rsid w:val="001F71E4"/>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308B"/>
    <w:rsid w:val="0022343D"/>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4132"/>
    <w:rsid w:val="00245041"/>
    <w:rsid w:val="00246AF6"/>
    <w:rsid w:val="00247BBE"/>
    <w:rsid w:val="00250764"/>
    <w:rsid w:val="002517D0"/>
    <w:rsid w:val="00251C2A"/>
    <w:rsid w:val="002529E5"/>
    <w:rsid w:val="00252E82"/>
    <w:rsid w:val="00253146"/>
    <w:rsid w:val="00254E27"/>
    <w:rsid w:val="002563D2"/>
    <w:rsid w:val="002578B8"/>
    <w:rsid w:val="00260413"/>
    <w:rsid w:val="00263385"/>
    <w:rsid w:val="00263622"/>
    <w:rsid w:val="002638B6"/>
    <w:rsid w:val="00264518"/>
    <w:rsid w:val="00264EFC"/>
    <w:rsid w:val="002658E4"/>
    <w:rsid w:val="00266B5F"/>
    <w:rsid w:val="00267258"/>
    <w:rsid w:val="00267279"/>
    <w:rsid w:val="002673E6"/>
    <w:rsid w:val="00271957"/>
    <w:rsid w:val="00272398"/>
    <w:rsid w:val="00272C8B"/>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323D"/>
    <w:rsid w:val="002A3808"/>
    <w:rsid w:val="002A3E70"/>
    <w:rsid w:val="002A4AF9"/>
    <w:rsid w:val="002A55E3"/>
    <w:rsid w:val="002A678D"/>
    <w:rsid w:val="002B309B"/>
    <w:rsid w:val="002B4631"/>
    <w:rsid w:val="002B7086"/>
    <w:rsid w:val="002B7745"/>
    <w:rsid w:val="002C0992"/>
    <w:rsid w:val="002C2FE3"/>
    <w:rsid w:val="002C3A4E"/>
    <w:rsid w:val="002C4543"/>
    <w:rsid w:val="002C5811"/>
    <w:rsid w:val="002C60D7"/>
    <w:rsid w:val="002C6ADC"/>
    <w:rsid w:val="002C7FAF"/>
    <w:rsid w:val="002D0D07"/>
    <w:rsid w:val="002D11A1"/>
    <w:rsid w:val="002D56B7"/>
    <w:rsid w:val="002D6807"/>
    <w:rsid w:val="002D743C"/>
    <w:rsid w:val="002E0885"/>
    <w:rsid w:val="002E0A9F"/>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4302"/>
    <w:rsid w:val="0033574C"/>
    <w:rsid w:val="00335D2C"/>
    <w:rsid w:val="00336FC5"/>
    <w:rsid w:val="00340029"/>
    <w:rsid w:val="0034133C"/>
    <w:rsid w:val="00341CD1"/>
    <w:rsid w:val="00342F00"/>
    <w:rsid w:val="00342F28"/>
    <w:rsid w:val="00343E86"/>
    <w:rsid w:val="003440CA"/>
    <w:rsid w:val="00344A99"/>
    <w:rsid w:val="00345881"/>
    <w:rsid w:val="003463CD"/>
    <w:rsid w:val="003465C4"/>
    <w:rsid w:val="00346710"/>
    <w:rsid w:val="00346D5D"/>
    <w:rsid w:val="003506D7"/>
    <w:rsid w:val="003514E1"/>
    <w:rsid w:val="00352ED4"/>
    <w:rsid w:val="00353387"/>
    <w:rsid w:val="003550E8"/>
    <w:rsid w:val="003578C9"/>
    <w:rsid w:val="003578DF"/>
    <w:rsid w:val="00360DEF"/>
    <w:rsid w:val="003610BE"/>
    <w:rsid w:val="00362988"/>
    <w:rsid w:val="003635E8"/>
    <w:rsid w:val="00364D0E"/>
    <w:rsid w:val="0036686B"/>
    <w:rsid w:val="003676E4"/>
    <w:rsid w:val="0037162E"/>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394B"/>
    <w:rsid w:val="003A060F"/>
    <w:rsid w:val="003A1684"/>
    <w:rsid w:val="003A175F"/>
    <w:rsid w:val="003A2A7B"/>
    <w:rsid w:val="003A2C1E"/>
    <w:rsid w:val="003A2F30"/>
    <w:rsid w:val="003A2F97"/>
    <w:rsid w:val="003A3172"/>
    <w:rsid w:val="003A42B0"/>
    <w:rsid w:val="003A5D4C"/>
    <w:rsid w:val="003B04CA"/>
    <w:rsid w:val="003B05F4"/>
    <w:rsid w:val="003B2561"/>
    <w:rsid w:val="003B2F88"/>
    <w:rsid w:val="003B4FB6"/>
    <w:rsid w:val="003B5C6C"/>
    <w:rsid w:val="003B7DFA"/>
    <w:rsid w:val="003C14DB"/>
    <w:rsid w:val="003C1AD5"/>
    <w:rsid w:val="003C2103"/>
    <w:rsid w:val="003C32B1"/>
    <w:rsid w:val="003C345C"/>
    <w:rsid w:val="003C3A9D"/>
    <w:rsid w:val="003C3D9E"/>
    <w:rsid w:val="003C4712"/>
    <w:rsid w:val="003C4EDF"/>
    <w:rsid w:val="003D098B"/>
    <w:rsid w:val="003D166E"/>
    <w:rsid w:val="003D1DE3"/>
    <w:rsid w:val="003D1ED1"/>
    <w:rsid w:val="003D225E"/>
    <w:rsid w:val="003D24A3"/>
    <w:rsid w:val="003D2CF1"/>
    <w:rsid w:val="003D3035"/>
    <w:rsid w:val="003D3A5A"/>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105E"/>
    <w:rsid w:val="0042214B"/>
    <w:rsid w:val="00422F3E"/>
    <w:rsid w:val="00424B17"/>
    <w:rsid w:val="00432EFD"/>
    <w:rsid w:val="00432F5D"/>
    <w:rsid w:val="004332E5"/>
    <w:rsid w:val="004339A7"/>
    <w:rsid w:val="004348AB"/>
    <w:rsid w:val="0043533A"/>
    <w:rsid w:val="004354EB"/>
    <w:rsid w:val="0043596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85B20"/>
    <w:rsid w:val="004914BE"/>
    <w:rsid w:val="00491CEF"/>
    <w:rsid w:val="00492004"/>
    <w:rsid w:val="00495233"/>
    <w:rsid w:val="00495BB0"/>
    <w:rsid w:val="004974D6"/>
    <w:rsid w:val="00497ADE"/>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1A3B"/>
    <w:rsid w:val="004E2277"/>
    <w:rsid w:val="004E307E"/>
    <w:rsid w:val="004E4CC6"/>
    <w:rsid w:val="004E546E"/>
    <w:rsid w:val="004E6192"/>
    <w:rsid w:val="004E7090"/>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4615"/>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269D2"/>
    <w:rsid w:val="00530519"/>
    <w:rsid w:val="00530BEB"/>
    <w:rsid w:val="00533479"/>
    <w:rsid w:val="0053562A"/>
    <w:rsid w:val="0053641B"/>
    <w:rsid w:val="00536E18"/>
    <w:rsid w:val="00541609"/>
    <w:rsid w:val="005422AB"/>
    <w:rsid w:val="00543732"/>
    <w:rsid w:val="005440D0"/>
    <w:rsid w:val="0054430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1806"/>
    <w:rsid w:val="00594765"/>
    <w:rsid w:val="00596542"/>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1AB"/>
    <w:rsid w:val="005C764A"/>
    <w:rsid w:val="005D04E2"/>
    <w:rsid w:val="005D30EC"/>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FA5"/>
    <w:rsid w:val="0063257D"/>
    <w:rsid w:val="00633107"/>
    <w:rsid w:val="0063322A"/>
    <w:rsid w:val="0063531D"/>
    <w:rsid w:val="00636A54"/>
    <w:rsid w:val="00636D65"/>
    <w:rsid w:val="00637118"/>
    <w:rsid w:val="00637924"/>
    <w:rsid w:val="006400D5"/>
    <w:rsid w:val="00642658"/>
    <w:rsid w:val="0064271E"/>
    <w:rsid w:val="00644240"/>
    <w:rsid w:val="00645BB3"/>
    <w:rsid w:val="006478DE"/>
    <w:rsid w:val="00647A0A"/>
    <w:rsid w:val="006502D4"/>
    <w:rsid w:val="00650704"/>
    <w:rsid w:val="006510C4"/>
    <w:rsid w:val="006516CA"/>
    <w:rsid w:val="006519BB"/>
    <w:rsid w:val="006521F5"/>
    <w:rsid w:val="00652847"/>
    <w:rsid w:val="00652EA0"/>
    <w:rsid w:val="0065330B"/>
    <w:rsid w:val="006538FF"/>
    <w:rsid w:val="00653B8B"/>
    <w:rsid w:val="006544D3"/>
    <w:rsid w:val="006554D3"/>
    <w:rsid w:val="00655696"/>
    <w:rsid w:val="00655A49"/>
    <w:rsid w:val="00655AB0"/>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679D6"/>
    <w:rsid w:val="0067261C"/>
    <w:rsid w:val="00672754"/>
    <w:rsid w:val="0067340E"/>
    <w:rsid w:val="00673B3F"/>
    <w:rsid w:val="006743E1"/>
    <w:rsid w:val="00674903"/>
    <w:rsid w:val="006751A6"/>
    <w:rsid w:val="00675E25"/>
    <w:rsid w:val="00675EC8"/>
    <w:rsid w:val="00676401"/>
    <w:rsid w:val="00677A20"/>
    <w:rsid w:val="00681031"/>
    <w:rsid w:val="00681403"/>
    <w:rsid w:val="00681E64"/>
    <w:rsid w:val="00682AFD"/>
    <w:rsid w:val="00684A5B"/>
    <w:rsid w:val="00687686"/>
    <w:rsid w:val="00687F67"/>
    <w:rsid w:val="006901D8"/>
    <w:rsid w:val="00690EE3"/>
    <w:rsid w:val="006921EB"/>
    <w:rsid w:val="0069616B"/>
    <w:rsid w:val="006967AA"/>
    <w:rsid w:val="00696CC0"/>
    <w:rsid w:val="00696DDA"/>
    <w:rsid w:val="00697E5A"/>
    <w:rsid w:val="006A0D48"/>
    <w:rsid w:val="006A22A6"/>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F002D"/>
    <w:rsid w:val="006F0731"/>
    <w:rsid w:val="006F0CCB"/>
    <w:rsid w:val="006F1150"/>
    <w:rsid w:val="006F1756"/>
    <w:rsid w:val="006F2511"/>
    <w:rsid w:val="006F2FF3"/>
    <w:rsid w:val="006F3379"/>
    <w:rsid w:val="006F3415"/>
    <w:rsid w:val="006F3D12"/>
    <w:rsid w:val="006F4633"/>
    <w:rsid w:val="006F59BC"/>
    <w:rsid w:val="006F6603"/>
    <w:rsid w:val="006F68BC"/>
    <w:rsid w:val="006F6F38"/>
    <w:rsid w:val="006F71DD"/>
    <w:rsid w:val="006F7309"/>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6165"/>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29CD"/>
    <w:rsid w:val="00753AD1"/>
    <w:rsid w:val="00753B19"/>
    <w:rsid w:val="00754975"/>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1426"/>
    <w:rsid w:val="007820AC"/>
    <w:rsid w:val="007826A6"/>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4E9D"/>
    <w:rsid w:val="007F5826"/>
    <w:rsid w:val="007F7F97"/>
    <w:rsid w:val="008012D4"/>
    <w:rsid w:val="00801328"/>
    <w:rsid w:val="00802328"/>
    <w:rsid w:val="0080346B"/>
    <w:rsid w:val="008038AE"/>
    <w:rsid w:val="00803951"/>
    <w:rsid w:val="008043A4"/>
    <w:rsid w:val="00804D84"/>
    <w:rsid w:val="00810397"/>
    <w:rsid w:val="00810BEC"/>
    <w:rsid w:val="00810E8B"/>
    <w:rsid w:val="00812D9A"/>
    <w:rsid w:val="0081316B"/>
    <w:rsid w:val="00813385"/>
    <w:rsid w:val="008137D2"/>
    <w:rsid w:val="008141B8"/>
    <w:rsid w:val="008163A6"/>
    <w:rsid w:val="0081685C"/>
    <w:rsid w:val="00817C56"/>
    <w:rsid w:val="00821697"/>
    <w:rsid w:val="008221D9"/>
    <w:rsid w:val="0082258B"/>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430"/>
    <w:rsid w:val="00836C96"/>
    <w:rsid w:val="00840433"/>
    <w:rsid w:val="00841C44"/>
    <w:rsid w:val="00841E41"/>
    <w:rsid w:val="00841E7B"/>
    <w:rsid w:val="0084287B"/>
    <w:rsid w:val="00842AF9"/>
    <w:rsid w:val="0084445F"/>
    <w:rsid w:val="00845004"/>
    <w:rsid w:val="00845F9F"/>
    <w:rsid w:val="00850C2F"/>
    <w:rsid w:val="00851922"/>
    <w:rsid w:val="00852518"/>
    <w:rsid w:val="00853215"/>
    <w:rsid w:val="00854B74"/>
    <w:rsid w:val="008561CE"/>
    <w:rsid w:val="00856739"/>
    <w:rsid w:val="00857B33"/>
    <w:rsid w:val="00857FFD"/>
    <w:rsid w:val="00861036"/>
    <w:rsid w:val="008620D6"/>
    <w:rsid w:val="00864CB2"/>
    <w:rsid w:val="0086655D"/>
    <w:rsid w:val="00866A37"/>
    <w:rsid w:val="008724B0"/>
    <w:rsid w:val="00872883"/>
    <w:rsid w:val="008751D8"/>
    <w:rsid w:val="00876555"/>
    <w:rsid w:val="008778BA"/>
    <w:rsid w:val="00877E3D"/>
    <w:rsid w:val="00881758"/>
    <w:rsid w:val="0088196D"/>
    <w:rsid w:val="00881AF4"/>
    <w:rsid w:val="00881EAA"/>
    <w:rsid w:val="00882106"/>
    <w:rsid w:val="00882880"/>
    <w:rsid w:val="00882ADA"/>
    <w:rsid w:val="00884238"/>
    <w:rsid w:val="00884EE6"/>
    <w:rsid w:val="00885129"/>
    <w:rsid w:val="00885B26"/>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D01"/>
    <w:rsid w:val="008E232E"/>
    <w:rsid w:val="008E3115"/>
    <w:rsid w:val="008E3AE3"/>
    <w:rsid w:val="008E3E91"/>
    <w:rsid w:val="008E4255"/>
    <w:rsid w:val="008E6413"/>
    <w:rsid w:val="008E6AA8"/>
    <w:rsid w:val="008E6DFE"/>
    <w:rsid w:val="008E7316"/>
    <w:rsid w:val="008F003B"/>
    <w:rsid w:val="008F00BE"/>
    <w:rsid w:val="008F0CA5"/>
    <w:rsid w:val="008F2EF8"/>
    <w:rsid w:val="008F3D00"/>
    <w:rsid w:val="008F44B4"/>
    <w:rsid w:val="008F5F5E"/>
    <w:rsid w:val="008F66C9"/>
    <w:rsid w:val="008F6774"/>
    <w:rsid w:val="008F6B00"/>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4871"/>
    <w:rsid w:val="0093648F"/>
    <w:rsid w:val="00936943"/>
    <w:rsid w:val="009375C8"/>
    <w:rsid w:val="00940F33"/>
    <w:rsid w:val="00942239"/>
    <w:rsid w:val="00942643"/>
    <w:rsid w:val="00943127"/>
    <w:rsid w:val="009431AA"/>
    <w:rsid w:val="00943F5F"/>
    <w:rsid w:val="00944036"/>
    <w:rsid w:val="00945870"/>
    <w:rsid w:val="0094587A"/>
    <w:rsid w:val="00945F68"/>
    <w:rsid w:val="00947CCA"/>
    <w:rsid w:val="00951698"/>
    <w:rsid w:val="0095197A"/>
    <w:rsid w:val="00952C93"/>
    <w:rsid w:val="00953187"/>
    <w:rsid w:val="00954180"/>
    <w:rsid w:val="0095421C"/>
    <w:rsid w:val="00960D55"/>
    <w:rsid w:val="00960E61"/>
    <w:rsid w:val="00962246"/>
    <w:rsid w:val="00963D20"/>
    <w:rsid w:val="00963F15"/>
    <w:rsid w:val="00964A7D"/>
    <w:rsid w:val="00966336"/>
    <w:rsid w:val="009667C1"/>
    <w:rsid w:val="00966F23"/>
    <w:rsid w:val="009670CB"/>
    <w:rsid w:val="00967599"/>
    <w:rsid w:val="00967D35"/>
    <w:rsid w:val="00971585"/>
    <w:rsid w:val="009728B4"/>
    <w:rsid w:val="00972E82"/>
    <w:rsid w:val="009740CF"/>
    <w:rsid w:val="00974205"/>
    <w:rsid w:val="00974818"/>
    <w:rsid w:val="00977845"/>
    <w:rsid w:val="009802FE"/>
    <w:rsid w:val="009805C8"/>
    <w:rsid w:val="00980C3F"/>
    <w:rsid w:val="0098193C"/>
    <w:rsid w:val="00982521"/>
    <w:rsid w:val="009838AB"/>
    <w:rsid w:val="009847A2"/>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41BE"/>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4751"/>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0F66"/>
    <w:rsid w:val="00A1121B"/>
    <w:rsid w:val="00A13CE4"/>
    <w:rsid w:val="00A14043"/>
    <w:rsid w:val="00A1490E"/>
    <w:rsid w:val="00A15128"/>
    <w:rsid w:val="00A15597"/>
    <w:rsid w:val="00A161B2"/>
    <w:rsid w:val="00A1678C"/>
    <w:rsid w:val="00A168A0"/>
    <w:rsid w:val="00A20CCA"/>
    <w:rsid w:val="00A22B19"/>
    <w:rsid w:val="00A237AA"/>
    <w:rsid w:val="00A23CFA"/>
    <w:rsid w:val="00A23F2F"/>
    <w:rsid w:val="00A24F8A"/>
    <w:rsid w:val="00A2504E"/>
    <w:rsid w:val="00A2679A"/>
    <w:rsid w:val="00A26B7E"/>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09"/>
    <w:rsid w:val="00A5098B"/>
    <w:rsid w:val="00A53070"/>
    <w:rsid w:val="00A533B9"/>
    <w:rsid w:val="00A53665"/>
    <w:rsid w:val="00A53872"/>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3D8F"/>
    <w:rsid w:val="00A75186"/>
    <w:rsid w:val="00A75519"/>
    <w:rsid w:val="00A7680E"/>
    <w:rsid w:val="00A8205C"/>
    <w:rsid w:val="00A8386A"/>
    <w:rsid w:val="00A83CC8"/>
    <w:rsid w:val="00A85C3A"/>
    <w:rsid w:val="00A86996"/>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646"/>
    <w:rsid w:val="00AD1C64"/>
    <w:rsid w:val="00AD2661"/>
    <w:rsid w:val="00AD65F0"/>
    <w:rsid w:val="00AD753E"/>
    <w:rsid w:val="00AD7F36"/>
    <w:rsid w:val="00AE1B1C"/>
    <w:rsid w:val="00AE21AC"/>
    <w:rsid w:val="00AE2639"/>
    <w:rsid w:val="00AE3032"/>
    <w:rsid w:val="00AE5309"/>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561D"/>
    <w:rsid w:val="00B56D52"/>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7B8"/>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0F63"/>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98"/>
    <w:rsid w:val="00C20042"/>
    <w:rsid w:val="00C217DD"/>
    <w:rsid w:val="00C21CD8"/>
    <w:rsid w:val="00C25AB2"/>
    <w:rsid w:val="00C25F80"/>
    <w:rsid w:val="00C27354"/>
    <w:rsid w:val="00C3019C"/>
    <w:rsid w:val="00C305DD"/>
    <w:rsid w:val="00C3087A"/>
    <w:rsid w:val="00C324B8"/>
    <w:rsid w:val="00C32C0B"/>
    <w:rsid w:val="00C32C7A"/>
    <w:rsid w:val="00C32D56"/>
    <w:rsid w:val="00C35112"/>
    <w:rsid w:val="00C35447"/>
    <w:rsid w:val="00C3792A"/>
    <w:rsid w:val="00C40724"/>
    <w:rsid w:val="00C428BD"/>
    <w:rsid w:val="00C44E79"/>
    <w:rsid w:val="00C45F58"/>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61FA"/>
    <w:rsid w:val="00C67A62"/>
    <w:rsid w:val="00C7014F"/>
    <w:rsid w:val="00C70DE6"/>
    <w:rsid w:val="00C7124D"/>
    <w:rsid w:val="00C71665"/>
    <w:rsid w:val="00C7316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5CB"/>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D017CC"/>
    <w:rsid w:val="00D01CE2"/>
    <w:rsid w:val="00D02381"/>
    <w:rsid w:val="00D0496E"/>
    <w:rsid w:val="00D04A9E"/>
    <w:rsid w:val="00D05098"/>
    <w:rsid w:val="00D05ABE"/>
    <w:rsid w:val="00D05DC6"/>
    <w:rsid w:val="00D0678E"/>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4CB"/>
    <w:rsid w:val="00D21448"/>
    <w:rsid w:val="00D23510"/>
    <w:rsid w:val="00D23E30"/>
    <w:rsid w:val="00D23ECC"/>
    <w:rsid w:val="00D24799"/>
    <w:rsid w:val="00D264DA"/>
    <w:rsid w:val="00D276A7"/>
    <w:rsid w:val="00D30498"/>
    <w:rsid w:val="00D30BC4"/>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19D6"/>
    <w:rsid w:val="00D62286"/>
    <w:rsid w:val="00D629C5"/>
    <w:rsid w:val="00D62BB0"/>
    <w:rsid w:val="00D63303"/>
    <w:rsid w:val="00D63B2B"/>
    <w:rsid w:val="00D63E98"/>
    <w:rsid w:val="00D64183"/>
    <w:rsid w:val="00D66DB2"/>
    <w:rsid w:val="00D718C4"/>
    <w:rsid w:val="00D73F77"/>
    <w:rsid w:val="00D742DD"/>
    <w:rsid w:val="00D747E2"/>
    <w:rsid w:val="00D75766"/>
    <w:rsid w:val="00D75C62"/>
    <w:rsid w:val="00D76432"/>
    <w:rsid w:val="00D803FC"/>
    <w:rsid w:val="00D805C3"/>
    <w:rsid w:val="00D83DD4"/>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1CC2"/>
    <w:rsid w:val="00DA2705"/>
    <w:rsid w:val="00DA2728"/>
    <w:rsid w:val="00DA27EC"/>
    <w:rsid w:val="00DA2871"/>
    <w:rsid w:val="00DA29D3"/>
    <w:rsid w:val="00DA3E57"/>
    <w:rsid w:val="00DA4DD6"/>
    <w:rsid w:val="00DA4F31"/>
    <w:rsid w:val="00DA6609"/>
    <w:rsid w:val="00DA7FE4"/>
    <w:rsid w:val="00DB232F"/>
    <w:rsid w:val="00DB3ECC"/>
    <w:rsid w:val="00DB5CE6"/>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34E"/>
    <w:rsid w:val="00DF492F"/>
    <w:rsid w:val="00DF4ABD"/>
    <w:rsid w:val="00DF4DE4"/>
    <w:rsid w:val="00DF55C6"/>
    <w:rsid w:val="00DF5905"/>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1D90"/>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AB1"/>
    <w:rsid w:val="00E43AEA"/>
    <w:rsid w:val="00E4410E"/>
    <w:rsid w:val="00E44FA4"/>
    <w:rsid w:val="00E45F33"/>
    <w:rsid w:val="00E46B55"/>
    <w:rsid w:val="00E46F16"/>
    <w:rsid w:val="00E47684"/>
    <w:rsid w:val="00E47F0E"/>
    <w:rsid w:val="00E51AF0"/>
    <w:rsid w:val="00E5328C"/>
    <w:rsid w:val="00E53343"/>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BD7"/>
    <w:rsid w:val="00ED23C1"/>
    <w:rsid w:val="00ED27F6"/>
    <w:rsid w:val="00ED2D3F"/>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7B6"/>
    <w:rsid w:val="00EF1FCC"/>
    <w:rsid w:val="00EF2074"/>
    <w:rsid w:val="00EF2A8D"/>
    <w:rsid w:val="00EF30AA"/>
    <w:rsid w:val="00F00C00"/>
    <w:rsid w:val="00F00C7F"/>
    <w:rsid w:val="00F017BF"/>
    <w:rsid w:val="00F02D1C"/>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4FC1"/>
    <w:rsid w:val="00F256B3"/>
    <w:rsid w:val="00F26EDA"/>
    <w:rsid w:val="00F271D5"/>
    <w:rsid w:val="00F30C88"/>
    <w:rsid w:val="00F3181E"/>
    <w:rsid w:val="00F32921"/>
    <w:rsid w:val="00F34B9D"/>
    <w:rsid w:val="00F34E32"/>
    <w:rsid w:val="00F364C2"/>
    <w:rsid w:val="00F36518"/>
    <w:rsid w:val="00F36FF7"/>
    <w:rsid w:val="00F37BEE"/>
    <w:rsid w:val="00F37C20"/>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F45"/>
    <w:rsid w:val="00F71092"/>
    <w:rsid w:val="00F7229A"/>
    <w:rsid w:val="00F73E83"/>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0268"/>
    <w:rsid w:val="00FA15F4"/>
    <w:rsid w:val="00FA1C31"/>
    <w:rsid w:val="00FA36A5"/>
    <w:rsid w:val="00FA5E62"/>
    <w:rsid w:val="00FA6675"/>
    <w:rsid w:val="00FA7B6B"/>
    <w:rsid w:val="00FA7FA8"/>
    <w:rsid w:val="00FB0050"/>
    <w:rsid w:val="00FB073A"/>
    <w:rsid w:val="00FB160E"/>
    <w:rsid w:val="00FB22C6"/>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3C"/>
    <w:rsid w:val="00FD7564"/>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FEA3-211E-4793-8A4B-040014A8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2459</Words>
  <Characters>13526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2018-02-28T14:39:00Z</cp:lastPrinted>
  <dcterms:created xsi:type="dcterms:W3CDTF">2018-02-28T15:57:00Z</dcterms:created>
  <dcterms:modified xsi:type="dcterms:W3CDTF">2018-03-15T16:24:00Z</dcterms:modified>
</cp:coreProperties>
</file>