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59" w:rsidRPr="001B2559" w:rsidRDefault="001B2559" w:rsidP="001B255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line="240" w:lineRule="auto"/>
        <w:jc w:val="center"/>
        <w:rPr>
          <w:rFonts w:ascii="Arial" w:eastAsia="Calibri" w:hAnsi="Arial" w:cs="Arial"/>
          <w:kern w:val="28"/>
          <w:sz w:val="28"/>
          <w:lang w:eastAsia="fr-FR"/>
        </w:rPr>
      </w:pPr>
      <w:r w:rsidRPr="001B2559">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Secretaría de esta Sala.</w:t>
      </w:r>
      <w:r w:rsidRPr="001B2559">
        <w:rPr>
          <w:rFonts w:ascii="Arial" w:eastAsia="Calibri" w:hAnsi="Arial" w:cs="Arial"/>
          <w:kern w:val="28"/>
          <w:sz w:val="20"/>
          <w:szCs w:val="18"/>
          <w:lang w:eastAsia="fr-FR"/>
        </w:rPr>
        <w:t> </w:t>
      </w:r>
    </w:p>
    <w:p w:rsidR="001B2559" w:rsidRPr="001B2559" w:rsidRDefault="001B2559" w:rsidP="001B2559">
      <w:pPr>
        <w:spacing w:after="0"/>
        <w:jc w:val="both"/>
        <w:rPr>
          <w:rFonts w:ascii="Arial" w:hAnsi="Arial" w:cs="Arial"/>
          <w:kern w:val="28"/>
          <w:sz w:val="18"/>
          <w:szCs w:val="18"/>
          <w:lang w:eastAsia="fr-FR"/>
        </w:rPr>
      </w:pPr>
      <w:r w:rsidRPr="001B2559">
        <w:rPr>
          <w:rFonts w:ascii="Arial" w:hAnsi="Arial" w:cs="Arial"/>
          <w:kern w:val="28"/>
          <w:sz w:val="18"/>
          <w:szCs w:val="18"/>
          <w:lang w:eastAsia="fr-FR"/>
        </w:rPr>
        <w:t>Radicación Nro. :</w:t>
      </w:r>
      <w:r w:rsidRPr="001B2559">
        <w:rPr>
          <w:rFonts w:ascii="Arial" w:hAnsi="Arial" w:cs="Arial"/>
          <w:kern w:val="28"/>
          <w:sz w:val="18"/>
          <w:szCs w:val="18"/>
          <w:lang w:eastAsia="fr-FR"/>
        </w:rPr>
        <w:tab/>
      </w:r>
      <w:r w:rsidRPr="001B2559">
        <w:rPr>
          <w:rFonts w:ascii="Arial" w:hAnsi="Arial" w:cs="Arial"/>
          <w:kern w:val="28"/>
          <w:sz w:val="18"/>
          <w:szCs w:val="18"/>
          <w:lang w:eastAsia="fr-FR"/>
        </w:rPr>
        <w:tab/>
        <w:t xml:space="preserve">66001-31-05-005-2018-00149-01 </w:t>
      </w:r>
    </w:p>
    <w:p w:rsidR="001B2559" w:rsidRPr="001B2559" w:rsidRDefault="001B2559" w:rsidP="001B2559">
      <w:pPr>
        <w:spacing w:after="0"/>
        <w:jc w:val="both"/>
        <w:rPr>
          <w:rFonts w:ascii="Arial" w:hAnsi="Arial" w:cs="Arial"/>
          <w:kern w:val="28"/>
          <w:sz w:val="18"/>
          <w:szCs w:val="18"/>
          <w:lang w:eastAsia="fr-FR"/>
        </w:rPr>
      </w:pPr>
      <w:r w:rsidRPr="001B2559">
        <w:rPr>
          <w:rFonts w:ascii="Arial" w:hAnsi="Arial" w:cs="Arial"/>
          <w:kern w:val="28"/>
          <w:sz w:val="18"/>
          <w:szCs w:val="18"/>
          <w:lang w:eastAsia="fr-FR"/>
        </w:rPr>
        <w:t xml:space="preserve">Referencia: </w:t>
      </w:r>
      <w:r w:rsidRPr="001B2559">
        <w:rPr>
          <w:rFonts w:ascii="Arial" w:hAnsi="Arial" w:cs="Arial"/>
          <w:kern w:val="28"/>
          <w:sz w:val="18"/>
          <w:szCs w:val="18"/>
          <w:lang w:eastAsia="fr-FR"/>
        </w:rPr>
        <w:tab/>
      </w:r>
      <w:r w:rsidRPr="001B2559">
        <w:rPr>
          <w:rFonts w:ascii="Arial" w:hAnsi="Arial" w:cs="Arial"/>
          <w:kern w:val="28"/>
          <w:sz w:val="18"/>
          <w:szCs w:val="18"/>
          <w:lang w:eastAsia="fr-FR"/>
        </w:rPr>
        <w:tab/>
        <w:t>Acción de Tutela</w:t>
      </w:r>
    </w:p>
    <w:p w:rsidR="001B2559" w:rsidRPr="001B2559" w:rsidRDefault="001B2559" w:rsidP="001B2559">
      <w:pPr>
        <w:spacing w:after="0"/>
        <w:jc w:val="both"/>
        <w:rPr>
          <w:rFonts w:ascii="Arial" w:hAnsi="Arial" w:cs="Arial"/>
          <w:kern w:val="28"/>
          <w:sz w:val="18"/>
          <w:szCs w:val="18"/>
          <w:lang w:eastAsia="fr-FR"/>
        </w:rPr>
      </w:pPr>
      <w:r w:rsidRPr="001B2559">
        <w:rPr>
          <w:rFonts w:ascii="Arial" w:hAnsi="Arial" w:cs="Arial"/>
          <w:kern w:val="28"/>
          <w:sz w:val="18"/>
          <w:szCs w:val="18"/>
          <w:lang w:eastAsia="fr-FR"/>
        </w:rPr>
        <w:t xml:space="preserve">Accionante: </w:t>
      </w:r>
      <w:r w:rsidRPr="001B2559">
        <w:rPr>
          <w:rFonts w:ascii="Arial" w:hAnsi="Arial" w:cs="Arial"/>
          <w:kern w:val="28"/>
          <w:sz w:val="18"/>
          <w:szCs w:val="18"/>
          <w:lang w:eastAsia="fr-FR"/>
        </w:rPr>
        <w:tab/>
      </w:r>
      <w:r w:rsidRPr="001B2559">
        <w:rPr>
          <w:rFonts w:ascii="Arial" w:hAnsi="Arial" w:cs="Arial"/>
          <w:kern w:val="28"/>
          <w:sz w:val="18"/>
          <w:szCs w:val="18"/>
          <w:lang w:eastAsia="fr-FR"/>
        </w:rPr>
        <w:tab/>
        <w:t>José Jesús Giraldo Gallego</w:t>
      </w:r>
    </w:p>
    <w:p w:rsidR="001B2559" w:rsidRPr="001B2559" w:rsidRDefault="001B2559" w:rsidP="001B2559">
      <w:pPr>
        <w:spacing w:after="0"/>
        <w:jc w:val="both"/>
        <w:rPr>
          <w:rFonts w:ascii="Arial" w:hAnsi="Arial" w:cs="Arial"/>
          <w:kern w:val="28"/>
          <w:sz w:val="18"/>
          <w:szCs w:val="18"/>
          <w:lang w:eastAsia="fr-FR"/>
        </w:rPr>
      </w:pPr>
      <w:r w:rsidRPr="001B2559">
        <w:rPr>
          <w:rFonts w:ascii="Arial" w:hAnsi="Arial" w:cs="Arial"/>
          <w:kern w:val="28"/>
          <w:sz w:val="18"/>
          <w:szCs w:val="18"/>
          <w:lang w:eastAsia="fr-FR"/>
        </w:rPr>
        <w:t xml:space="preserve">Accionado: </w:t>
      </w:r>
      <w:r w:rsidRPr="001B2559">
        <w:rPr>
          <w:rFonts w:ascii="Arial" w:hAnsi="Arial" w:cs="Arial"/>
          <w:kern w:val="28"/>
          <w:sz w:val="18"/>
          <w:szCs w:val="18"/>
          <w:lang w:eastAsia="fr-FR"/>
        </w:rPr>
        <w:tab/>
      </w:r>
      <w:r>
        <w:rPr>
          <w:rFonts w:ascii="Arial" w:hAnsi="Arial" w:cs="Arial"/>
          <w:kern w:val="28"/>
          <w:sz w:val="18"/>
          <w:szCs w:val="18"/>
          <w:lang w:eastAsia="fr-FR"/>
        </w:rPr>
        <w:tab/>
      </w:r>
      <w:r w:rsidRPr="001B2559">
        <w:rPr>
          <w:rFonts w:ascii="Arial" w:hAnsi="Arial" w:cs="Arial"/>
          <w:kern w:val="28"/>
          <w:sz w:val="18"/>
          <w:szCs w:val="18"/>
          <w:lang w:eastAsia="fr-FR"/>
        </w:rPr>
        <w:t xml:space="preserve">Unidad Administrativa para la Atención y Reparación Integral a las Víctimas </w:t>
      </w:r>
    </w:p>
    <w:p w:rsidR="001B2559" w:rsidRPr="001B2559" w:rsidRDefault="001B2559" w:rsidP="001B2559">
      <w:pPr>
        <w:spacing w:after="0"/>
        <w:jc w:val="both"/>
        <w:rPr>
          <w:rFonts w:ascii="Arial" w:hAnsi="Arial" w:cs="Arial"/>
          <w:kern w:val="28"/>
          <w:sz w:val="18"/>
          <w:szCs w:val="18"/>
          <w:lang w:eastAsia="fr-FR"/>
        </w:rPr>
      </w:pPr>
      <w:r w:rsidRPr="001B2559">
        <w:rPr>
          <w:rFonts w:ascii="Arial" w:hAnsi="Arial" w:cs="Arial"/>
          <w:kern w:val="28"/>
          <w:sz w:val="18"/>
          <w:szCs w:val="18"/>
          <w:lang w:eastAsia="fr-FR"/>
        </w:rPr>
        <w:t xml:space="preserve">Providencia: </w:t>
      </w:r>
      <w:r w:rsidRPr="001B2559">
        <w:rPr>
          <w:rFonts w:ascii="Arial" w:hAnsi="Arial" w:cs="Arial"/>
          <w:kern w:val="28"/>
          <w:sz w:val="18"/>
          <w:szCs w:val="18"/>
          <w:lang w:eastAsia="fr-FR"/>
        </w:rPr>
        <w:tab/>
        <w:t xml:space="preserve">        </w:t>
      </w:r>
      <w:r w:rsidRPr="001B2559">
        <w:rPr>
          <w:rFonts w:ascii="Arial" w:hAnsi="Arial" w:cs="Arial"/>
          <w:kern w:val="28"/>
          <w:sz w:val="18"/>
          <w:szCs w:val="18"/>
          <w:lang w:eastAsia="fr-FR"/>
        </w:rPr>
        <w:tab/>
        <w:t>Sentencia de segunda instancia</w:t>
      </w:r>
    </w:p>
    <w:p w:rsidR="001B2559" w:rsidRPr="001B2559" w:rsidRDefault="001B2559" w:rsidP="001B2559">
      <w:pPr>
        <w:spacing w:after="0"/>
        <w:contextualSpacing/>
        <w:jc w:val="both"/>
        <w:rPr>
          <w:rFonts w:ascii="Arial" w:hAnsi="Arial" w:cs="Arial"/>
          <w:b/>
          <w:bCs/>
          <w:sz w:val="18"/>
          <w:szCs w:val="18"/>
          <w:lang w:val="es-ES_tradnl" w:eastAsia="es-ES"/>
        </w:rPr>
      </w:pPr>
    </w:p>
    <w:p w:rsidR="001B2559" w:rsidRPr="001B2559" w:rsidRDefault="001B2559" w:rsidP="001B2559">
      <w:pPr>
        <w:spacing w:after="0" w:line="240" w:lineRule="auto"/>
        <w:jc w:val="both"/>
        <w:rPr>
          <w:rFonts w:ascii="Arial" w:hAnsi="Arial" w:cs="Arial"/>
          <w:sz w:val="18"/>
          <w:szCs w:val="18"/>
          <w:lang w:eastAsia="fr-FR"/>
        </w:rPr>
      </w:pPr>
      <w:r w:rsidRPr="001B2559">
        <w:rPr>
          <w:rFonts w:ascii="Arial" w:hAnsi="Arial" w:cs="Arial"/>
          <w:b/>
          <w:sz w:val="18"/>
          <w:szCs w:val="18"/>
          <w:lang w:eastAsia="fr-FR"/>
        </w:rPr>
        <w:t xml:space="preserve">Temas: </w:t>
      </w:r>
      <w:r w:rsidRPr="001B2559">
        <w:rPr>
          <w:rFonts w:ascii="Arial" w:hAnsi="Arial" w:cs="Arial"/>
          <w:b/>
          <w:sz w:val="18"/>
          <w:szCs w:val="18"/>
          <w:lang w:eastAsia="fr-FR"/>
        </w:rPr>
        <w:tab/>
      </w:r>
      <w:r w:rsidRPr="001B2559">
        <w:rPr>
          <w:rFonts w:ascii="Arial" w:hAnsi="Arial" w:cs="Arial"/>
          <w:b/>
          <w:sz w:val="18"/>
          <w:szCs w:val="18"/>
          <w:lang w:eastAsia="fr-FR"/>
        </w:rPr>
        <w:tab/>
      </w:r>
      <w:r>
        <w:rPr>
          <w:rFonts w:ascii="Arial" w:hAnsi="Arial" w:cs="Arial"/>
          <w:b/>
          <w:sz w:val="18"/>
          <w:szCs w:val="18"/>
          <w:lang w:eastAsia="fr-FR"/>
        </w:rPr>
        <w:t xml:space="preserve">DEBIDO PROCESO / VÍCTIMA DE CONFLICTO ARMADO / INSCRIPCIÓN EN </w:t>
      </w:r>
      <w:proofErr w:type="spellStart"/>
      <w:r>
        <w:rPr>
          <w:rFonts w:ascii="Arial" w:hAnsi="Arial" w:cs="Arial"/>
          <w:b/>
          <w:sz w:val="18"/>
          <w:szCs w:val="18"/>
          <w:lang w:eastAsia="fr-FR"/>
        </w:rPr>
        <w:t>RUV</w:t>
      </w:r>
      <w:proofErr w:type="spellEnd"/>
      <w:r>
        <w:rPr>
          <w:rFonts w:ascii="Arial" w:hAnsi="Arial" w:cs="Arial"/>
          <w:b/>
          <w:sz w:val="18"/>
          <w:szCs w:val="18"/>
          <w:lang w:eastAsia="fr-FR"/>
        </w:rPr>
        <w:t xml:space="preserve"> / </w:t>
      </w:r>
      <w:r w:rsidR="00810498">
        <w:rPr>
          <w:rFonts w:ascii="Arial" w:hAnsi="Arial" w:cs="Arial"/>
          <w:b/>
          <w:sz w:val="18"/>
          <w:szCs w:val="18"/>
          <w:lang w:eastAsia="fr-FR"/>
        </w:rPr>
        <w:t xml:space="preserve">DOCUMENTOS APORTADOS NO DEMUESTRAN LA OCURRENCIA DEL SECUESTRO COMO HECHO </w:t>
      </w:r>
      <w:proofErr w:type="spellStart"/>
      <w:r w:rsidR="00810498">
        <w:rPr>
          <w:rFonts w:ascii="Arial" w:hAnsi="Arial" w:cs="Arial"/>
          <w:b/>
          <w:sz w:val="18"/>
          <w:szCs w:val="18"/>
          <w:lang w:eastAsia="fr-FR"/>
        </w:rPr>
        <w:t>VICTIMIZ</w:t>
      </w:r>
      <w:bookmarkStart w:id="0" w:name="_GoBack"/>
      <w:bookmarkEnd w:id="0"/>
      <w:r w:rsidR="00810498">
        <w:rPr>
          <w:rFonts w:ascii="Arial" w:hAnsi="Arial" w:cs="Arial"/>
          <w:b/>
          <w:sz w:val="18"/>
          <w:szCs w:val="18"/>
          <w:lang w:eastAsia="fr-FR"/>
        </w:rPr>
        <w:t>ANTE</w:t>
      </w:r>
      <w:proofErr w:type="spellEnd"/>
      <w:r w:rsidR="00810498">
        <w:rPr>
          <w:rFonts w:ascii="Arial" w:hAnsi="Arial" w:cs="Arial"/>
          <w:b/>
          <w:sz w:val="18"/>
          <w:szCs w:val="18"/>
          <w:lang w:eastAsia="fr-FR"/>
        </w:rPr>
        <w:t xml:space="preserve"> / REVOCA / NIEGA </w:t>
      </w:r>
      <w:r>
        <w:rPr>
          <w:rFonts w:ascii="Arial" w:hAnsi="Arial" w:cs="Arial"/>
          <w:b/>
          <w:sz w:val="18"/>
          <w:szCs w:val="18"/>
          <w:lang w:eastAsia="fr-FR"/>
        </w:rPr>
        <w:t xml:space="preserve"> </w:t>
      </w:r>
    </w:p>
    <w:p w:rsidR="001B2559" w:rsidRPr="001B2559" w:rsidRDefault="001B2559" w:rsidP="001B2559">
      <w:pPr>
        <w:spacing w:after="0" w:line="240" w:lineRule="auto"/>
        <w:jc w:val="both"/>
        <w:rPr>
          <w:rFonts w:ascii="Arial" w:hAnsi="Arial" w:cs="Arial"/>
          <w:sz w:val="18"/>
          <w:szCs w:val="18"/>
          <w:lang w:eastAsia="fr-FR"/>
        </w:rPr>
      </w:pPr>
    </w:p>
    <w:p w:rsidR="001B2559" w:rsidRPr="001B2559" w:rsidRDefault="001B2559" w:rsidP="001B2559">
      <w:pPr>
        <w:spacing w:after="0" w:line="240" w:lineRule="auto"/>
        <w:jc w:val="both"/>
        <w:rPr>
          <w:rFonts w:ascii="Arial" w:hAnsi="Arial" w:cs="Arial"/>
          <w:sz w:val="18"/>
          <w:szCs w:val="18"/>
          <w:lang w:eastAsia="fr-FR"/>
        </w:rPr>
      </w:pPr>
      <w:r w:rsidRPr="001B2559">
        <w:rPr>
          <w:rFonts w:ascii="Arial" w:hAnsi="Arial" w:cs="Arial"/>
          <w:sz w:val="18"/>
          <w:szCs w:val="18"/>
          <w:lang w:eastAsia="fr-FR"/>
        </w:rPr>
        <w:t>Ha sido reiterada la línea sentada por la Corte Constitucional  frente a este tema, quien ha considerado que por ostentar la población desplazada una situación de extrema vulnerabilidad, debilidad, indefensión y desamparo y por ende, sujetos de especial protección, requieren del amparo reforzado de sus derechos, y es la acción de tutela el mecanismo idóneo para garantizar su goce efectivo , aun existiendo otros medios de defensa ordinarios (ante la jurisdicción contenciosa), que resultan ser ineficaces, en atención de la gravedad y extrema urgencia que se encuentran, al requerir aquellos amparo inmediato - . Sin que tampoco sea posible imponer cargas adicionales, como el agotar la vía gubernativa frente a los actos administrativos que presunt</w:t>
      </w:r>
      <w:r w:rsidR="00810498">
        <w:rPr>
          <w:rFonts w:ascii="Arial" w:hAnsi="Arial" w:cs="Arial"/>
          <w:sz w:val="18"/>
          <w:szCs w:val="18"/>
          <w:lang w:eastAsia="fr-FR"/>
        </w:rPr>
        <w:t xml:space="preserve">amente conculcan sus derechos.  </w:t>
      </w:r>
      <w:r w:rsidRPr="001B2559">
        <w:rPr>
          <w:rFonts w:ascii="Arial" w:hAnsi="Arial" w:cs="Arial"/>
          <w:sz w:val="18"/>
          <w:szCs w:val="18"/>
          <w:lang w:eastAsia="fr-FR"/>
        </w:rPr>
        <w:t>Flexibilidad en los presupuestos de procedencia de la acción de tutela que también le es aplicable a las víctimas por el conflicto armado, al decir  la Corte Constitucional en sentencia C-609 2012, que: “… resulta pertinente extender a estos casos las consideraciones que esta Corporación ha hecho respecto de los desplazados.”</w:t>
      </w:r>
    </w:p>
    <w:p w:rsidR="001B2559" w:rsidRDefault="001B2559" w:rsidP="001B2559">
      <w:pPr>
        <w:spacing w:after="0" w:line="240" w:lineRule="auto"/>
        <w:jc w:val="both"/>
        <w:rPr>
          <w:rFonts w:ascii="Arial" w:hAnsi="Arial" w:cs="Arial"/>
          <w:sz w:val="18"/>
          <w:szCs w:val="18"/>
          <w:lang w:eastAsia="fr-FR"/>
        </w:rPr>
      </w:pPr>
      <w:r w:rsidRPr="001B2559">
        <w:rPr>
          <w:rFonts w:ascii="Arial" w:hAnsi="Arial" w:cs="Arial"/>
          <w:sz w:val="18"/>
          <w:szCs w:val="18"/>
          <w:lang w:eastAsia="fr-FR"/>
        </w:rPr>
        <w:t>(…)</w:t>
      </w:r>
    </w:p>
    <w:p w:rsidR="001B2559" w:rsidRDefault="001B2559" w:rsidP="001B2559">
      <w:pPr>
        <w:spacing w:after="0" w:line="240" w:lineRule="auto"/>
        <w:jc w:val="both"/>
        <w:rPr>
          <w:rFonts w:ascii="Arial" w:hAnsi="Arial" w:cs="Arial"/>
          <w:sz w:val="18"/>
          <w:szCs w:val="18"/>
          <w:lang w:eastAsia="fr-FR"/>
        </w:rPr>
      </w:pPr>
      <w:r w:rsidRPr="001B2559">
        <w:rPr>
          <w:rFonts w:ascii="Arial" w:hAnsi="Arial" w:cs="Arial"/>
          <w:sz w:val="18"/>
          <w:szCs w:val="18"/>
          <w:lang w:eastAsia="fr-FR"/>
        </w:rPr>
        <w:t xml:space="preserve">Como se dijo anteriormente, para ser incluido en el </w:t>
      </w:r>
      <w:proofErr w:type="spellStart"/>
      <w:r w:rsidRPr="001B2559">
        <w:rPr>
          <w:rFonts w:ascii="Arial" w:hAnsi="Arial" w:cs="Arial"/>
          <w:sz w:val="18"/>
          <w:szCs w:val="18"/>
          <w:lang w:eastAsia="fr-FR"/>
        </w:rPr>
        <w:t>RUV</w:t>
      </w:r>
      <w:proofErr w:type="spellEnd"/>
      <w:r w:rsidRPr="001B2559">
        <w:rPr>
          <w:rFonts w:ascii="Arial" w:hAnsi="Arial" w:cs="Arial"/>
          <w:sz w:val="18"/>
          <w:szCs w:val="18"/>
          <w:lang w:eastAsia="fr-FR"/>
        </w:rPr>
        <w:t xml:space="preserve"> o ser tenido en cuenta un hecho nuevo </w:t>
      </w:r>
      <w:proofErr w:type="spellStart"/>
      <w:r w:rsidRPr="001B2559">
        <w:rPr>
          <w:rFonts w:ascii="Arial" w:hAnsi="Arial" w:cs="Arial"/>
          <w:sz w:val="18"/>
          <w:szCs w:val="18"/>
          <w:lang w:eastAsia="fr-FR"/>
        </w:rPr>
        <w:t>victimizante</w:t>
      </w:r>
      <w:proofErr w:type="spellEnd"/>
      <w:r w:rsidRPr="001B2559">
        <w:rPr>
          <w:rFonts w:ascii="Arial" w:hAnsi="Arial" w:cs="Arial"/>
          <w:sz w:val="18"/>
          <w:szCs w:val="18"/>
          <w:lang w:eastAsia="fr-FR"/>
        </w:rPr>
        <w:t>, debe el interesado realizar una declaración para ser valorada, procedimiento en el cual debe estar presente la aplicación de los principios del debido proceso, favorabilidad y buena fe consagrados expresamente en el art. 158 de la Ley 1448 y art. 19 del Decreto 4800, ambos del 2011.</w:t>
      </w:r>
    </w:p>
    <w:p w:rsidR="001B2559" w:rsidRDefault="001B2559" w:rsidP="001B2559">
      <w:pPr>
        <w:spacing w:after="0" w:line="240" w:lineRule="auto"/>
        <w:jc w:val="both"/>
        <w:rPr>
          <w:rFonts w:ascii="Arial" w:hAnsi="Arial" w:cs="Arial"/>
          <w:sz w:val="18"/>
          <w:szCs w:val="18"/>
          <w:lang w:eastAsia="fr-FR"/>
        </w:rPr>
      </w:pPr>
      <w:r>
        <w:rPr>
          <w:rFonts w:ascii="Arial" w:hAnsi="Arial" w:cs="Arial"/>
          <w:sz w:val="18"/>
          <w:szCs w:val="18"/>
          <w:lang w:eastAsia="fr-FR"/>
        </w:rPr>
        <w:t>(…)</w:t>
      </w:r>
    </w:p>
    <w:p w:rsidR="001B2559" w:rsidRDefault="001B2559" w:rsidP="001B2559">
      <w:pPr>
        <w:spacing w:after="0" w:line="240" w:lineRule="auto"/>
        <w:jc w:val="both"/>
        <w:rPr>
          <w:rFonts w:ascii="Arial" w:hAnsi="Arial" w:cs="Arial"/>
          <w:sz w:val="18"/>
          <w:szCs w:val="18"/>
          <w:lang w:eastAsia="fr-FR"/>
        </w:rPr>
      </w:pPr>
      <w:r w:rsidRPr="001B2559">
        <w:rPr>
          <w:rFonts w:ascii="Arial" w:hAnsi="Arial" w:cs="Arial"/>
          <w:sz w:val="18"/>
          <w:szCs w:val="18"/>
          <w:lang w:eastAsia="fr-FR"/>
        </w:rPr>
        <w:t>Al respecto se estima pertinente transcribir los siguientes apartes de la sentencia T-441 de 2012:</w:t>
      </w:r>
    </w:p>
    <w:p w:rsidR="001B2559" w:rsidRPr="001B2559" w:rsidRDefault="001B2559" w:rsidP="001B2559">
      <w:pPr>
        <w:spacing w:after="0" w:line="240" w:lineRule="auto"/>
        <w:ind w:left="284" w:right="335"/>
        <w:jc w:val="both"/>
        <w:rPr>
          <w:rFonts w:ascii="Arial" w:hAnsi="Arial" w:cs="Arial"/>
          <w:i/>
          <w:sz w:val="18"/>
          <w:szCs w:val="18"/>
          <w:lang w:eastAsia="fr-FR"/>
        </w:rPr>
      </w:pPr>
      <w:r w:rsidRPr="001B2559">
        <w:rPr>
          <w:rFonts w:ascii="Arial" w:hAnsi="Arial" w:cs="Arial"/>
          <w:i/>
          <w:sz w:val="18"/>
          <w:szCs w:val="18"/>
          <w:lang w:eastAsia="fr-FR"/>
        </w:rPr>
        <w:t>“(…)</w:t>
      </w:r>
    </w:p>
    <w:p w:rsidR="001B2559" w:rsidRPr="001B2559" w:rsidRDefault="001B2559" w:rsidP="00810498">
      <w:pPr>
        <w:spacing w:after="0" w:line="240" w:lineRule="auto"/>
        <w:ind w:left="284" w:right="335"/>
        <w:jc w:val="both"/>
        <w:rPr>
          <w:rFonts w:ascii="Arial" w:hAnsi="Arial" w:cs="Arial"/>
          <w:i/>
          <w:sz w:val="18"/>
          <w:szCs w:val="18"/>
          <w:lang w:eastAsia="fr-FR"/>
        </w:rPr>
      </w:pPr>
      <w:r w:rsidRPr="001B2559">
        <w:rPr>
          <w:rFonts w:ascii="Arial" w:hAnsi="Arial" w:cs="Arial"/>
          <w:i/>
          <w:sz w:val="18"/>
          <w:szCs w:val="18"/>
          <w:lang w:eastAsia="fr-FR"/>
        </w:rPr>
        <w:t xml:space="preserve">En tercer lugar, en virtud del principio de buena </w:t>
      </w:r>
      <w:r w:rsidR="00810498">
        <w:rPr>
          <w:rFonts w:ascii="Arial" w:hAnsi="Arial" w:cs="Arial"/>
          <w:i/>
          <w:sz w:val="18"/>
          <w:szCs w:val="18"/>
          <w:lang w:eastAsia="fr-FR"/>
        </w:rPr>
        <w:t xml:space="preserve">fe, deben tenerse como ciertas, </w:t>
      </w:r>
      <w:r w:rsidRPr="001B2559">
        <w:rPr>
          <w:rFonts w:ascii="Arial" w:hAnsi="Arial" w:cs="Arial"/>
          <w:i/>
          <w:sz w:val="18"/>
          <w:szCs w:val="18"/>
          <w:lang w:eastAsia="fr-FR"/>
        </w:rPr>
        <w:t>prima facie, las declaraciones y prue</w:t>
      </w:r>
      <w:r w:rsidR="00810498">
        <w:rPr>
          <w:rFonts w:ascii="Arial" w:hAnsi="Arial" w:cs="Arial"/>
          <w:i/>
          <w:sz w:val="18"/>
          <w:szCs w:val="18"/>
          <w:lang w:eastAsia="fr-FR"/>
        </w:rPr>
        <w:t>bas aportadas por el declarante</w:t>
      </w:r>
      <w:r w:rsidRPr="001B2559">
        <w:rPr>
          <w:rFonts w:ascii="Arial" w:hAnsi="Arial" w:cs="Arial"/>
          <w:i/>
          <w:sz w:val="18"/>
          <w:szCs w:val="18"/>
          <w:lang w:eastAsia="fr-FR"/>
        </w:rPr>
        <w:t>. En este sentido, si el funcionario considera que la declaración o la prueba falta a la verdad, deberá demostrar que ello es así. Los indicios derivados de la declaración se tendrán como prueba válida  y las contradicciones que se presenten en la misma no podrán ser tenidas como prueba suficiente de que el solicitante faltó a la verdad.</w:t>
      </w:r>
      <w:r w:rsidR="00810498">
        <w:rPr>
          <w:rFonts w:ascii="Arial" w:hAnsi="Arial" w:cs="Arial"/>
          <w:i/>
          <w:sz w:val="18"/>
          <w:szCs w:val="18"/>
          <w:lang w:eastAsia="fr-FR"/>
        </w:rPr>
        <w:t xml:space="preserve"> </w:t>
      </w:r>
      <w:r w:rsidRPr="001B2559">
        <w:rPr>
          <w:rFonts w:ascii="Arial" w:hAnsi="Arial" w:cs="Arial"/>
          <w:i/>
          <w:sz w:val="18"/>
          <w:szCs w:val="18"/>
          <w:lang w:eastAsia="fr-FR"/>
        </w:rPr>
        <w:t>(…)”</w:t>
      </w:r>
    </w:p>
    <w:p w:rsidR="001B2559" w:rsidRDefault="001B2559" w:rsidP="001B2559">
      <w:pPr>
        <w:spacing w:after="0" w:line="240" w:lineRule="auto"/>
        <w:jc w:val="both"/>
        <w:rPr>
          <w:rFonts w:ascii="Arial" w:hAnsi="Arial" w:cs="Arial"/>
          <w:sz w:val="18"/>
          <w:szCs w:val="18"/>
          <w:lang w:eastAsia="fr-FR"/>
        </w:rPr>
      </w:pPr>
    </w:p>
    <w:p w:rsidR="001B2559" w:rsidRDefault="00810498" w:rsidP="001B2559">
      <w:pPr>
        <w:spacing w:after="0" w:line="240" w:lineRule="auto"/>
        <w:jc w:val="both"/>
        <w:rPr>
          <w:rFonts w:ascii="Arial" w:hAnsi="Arial" w:cs="Arial"/>
          <w:sz w:val="18"/>
          <w:szCs w:val="18"/>
          <w:lang w:eastAsia="fr-FR"/>
        </w:rPr>
      </w:pPr>
      <w:r w:rsidRPr="00810498">
        <w:rPr>
          <w:rFonts w:ascii="Arial" w:hAnsi="Arial" w:cs="Arial"/>
          <w:sz w:val="18"/>
          <w:szCs w:val="18"/>
          <w:lang w:eastAsia="fr-FR"/>
        </w:rPr>
        <w:t xml:space="preserve">Conforme lo expuesto, al revisar los argumentos expuestos por la accionada y confrontarlos con los documentos allegados por la accionante para lograr la inclusión del secuestro como hecho </w:t>
      </w:r>
      <w:proofErr w:type="spellStart"/>
      <w:r w:rsidRPr="00810498">
        <w:rPr>
          <w:rFonts w:ascii="Arial" w:hAnsi="Arial" w:cs="Arial"/>
          <w:sz w:val="18"/>
          <w:szCs w:val="18"/>
          <w:lang w:eastAsia="fr-FR"/>
        </w:rPr>
        <w:t>victimizante</w:t>
      </w:r>
      <w:proofErr w:type="spellEnd"/>
      <w:r w:rsidRPr="00810498">
        <w:rPr>
          <w:rFonts w:ascii="Arial" w:hAnsi="Arial" w:cs="Arial"/>
          <w:sz w:val="18"/>
          <w:szCs w:val="18"/>
          <w:lang w:eastAsia="fr-FR"/>
        </w:rPr>
        <w:t xml:space="preserve">; se tiene que no omitió la primera dar aplicación a los principios consagrados en la ley 1448 de 2011, y en consecuencia, la carga probatoria que favorece a la declarante; en tanto, en la denuncia del presunto hecho delictivo del secuestro (12 c.1), no se relevan los elementos que lo tipifican, si en cuenta se tiene que cuando lo retuvieron le informaron que no lo querían volver a ver por esos lados; lo que entra en contraposición con el tipo penal del secuestro, que tiene como propósito privar de la libertad utilizando violencia o el engaño; lo que implica que la persona pierda la capacidad de locomoción, lo que aquí no aconteció, propiamente dicho, pues se le permitió su movilidad, pero no en la región donde vivía, lo que configura el desplazamiento forzado, que se incluyó como hecho </w:t>
      </w:r>
      <w:proofErr w:type="spellStart"/>
      <w:r w:rsidRPr="00810498">
        <w:rPr>
          <w:rFonts w:ascii="Arial" w:hAnsi="Arial" w:cs="Arial"/>
          <w:sz w:val="18"/>
          <w:szCs w:val="18"/>
          <w:lang w:eastAsia="fr-FR"/>
        </w:rPr>
        <w:t>victimizante</w:t>
      </w:r>
      <w:proofErr w:type="spellEnd"/>
      <w:r w:rsidRPr="00810498">
        <w:rPr>
          <w:rFonts w:ascii="Arial" w:hAnsi="Arial" w:cs="Arial"/>
          <w:sz w:val="18"/>
          <w:szCs w:val="18"/>
          <w:lang w:eastAsia="fr-FR"/>
        </w:rPr>
        <w:t>.</w:t>
      </w:r>
    </w:p>
    <w:p w:rsidR="001B2559" w:rsidRDefault="001B2559" w:rsidP="001B2559">
      <w:pPr>
        <w:spacing w:after="0" w:line="240" w:lineRule="auto"/>
        <w:jc w:val="both"/>
        <w:rPr>
          <w:rFonts w:ascii="Arial" w:hAnsi="Arial" w:cs="Arial"/>
          <w:sz w:val="18"/>
          <w:szCs w:val="18"/>
          <w:lang w:eastAsia="fr-FR"/>
        </w:rPr>
      </w:pPr>
    </w:p>
    <w:p w:rsidR="001B2559" w:rsidRPr="001B2559" w:rsidRDefault="001B2559" w:rsidP="001B2559">
      <w:pPr>
        <w:spacing w:after="0" w:line="240" w:lineRule="auto"/>
        <w:jc w:val="both"/>
        <w:rPr>
          <w:rFonts w:ascii="Arial" w:hAnsi="Arial" w:cs="Arial"/>
          <w:sz w:val="18"/>
          <w:szCs w:val="18"/>
          <w:lang w:eastAsia="fr-FR"/>
        </w:rPr>
      </w:pP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 xml:space="preserve">SALA </w:t>
      </w:r>
      <w:r w:rsidR="00D77020">
        <w:rPr>
          <w:rFonts w:ascii="Arial" w:hAnsi="Arial" w:cs="Arial"/>
          <w:bCs/>
          <w:szCs w:val="24"/>
        </w:rPr>
        <w:t>SEGUNDA</w:t>
      </w:r>
      <w:r w:rsidRPr="00781A7A">
        <w:rPr>
          <w:rFonts w:ascii="Arial" w:hAnsi="Arial" w:cs="Arial"/>
          <w:bCs/>
          <w:szCs w:val="24"/>
        </w:rPr>
        <w:t xml:space="preserve">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912080">
        <w:rPr>
          <w:rFonts w:ascii="Arial" w:hAnsi="Arial" w:cs="Arial"/>
          <w:sz w:val="18"/>
          <w:szCs w:val="18"/>
        </w:rPr>
        <w:t>66</w:t>
      </w:r>
      <w:r w:rsidR="00EE2C93">
        <w:rPr>
          <w:rFonts w:ascii="Arial" w:hAnsi="Arial" w:cs="Arial"/>
          <w:sz w:val="18"/>
          <w:szCs w:val="18"/>
        </w:rPr>
        <w:t>001</w:t>
      </w:r>
      <w:r w:rsidR="00912080">
        <w:rPr>
          <w:rFonts w:ascii="Arial" w:hAnsi="Arial" w:cs="Arial"/>
          <w:sz w:val="18"/>
          <w:szCs w:val="18"/>
        </w:rPr>
        <w:t>-</w:t>
      </w:r>
      <w:r w:rsidR="00EE2C93">
        <w:rPr>
          <w:rFonts w:ascii="Arial" w:hAnsi="Arial" w:cs="Arial"/>
          <w:sz w:val="18"/>
          <w:szCs w:val="18"/>
        </w:rPr>
        <w:t>31</w:t>
      </w:r>
      <w:r w:rsidR="000F0D92">
        <w:rPr>
          <w:rFonts w:ascii="Arial" w:hAnsi="Arial" w:cs="Arial"/>
          <w:sz w:val="18"/>
          <w:szCs w:val="18"/>
        </w:rPr>
        <w:t>-</w:t>
      </w:r>
      <w:r w:rsidR="00EE2C93">
        <w:rPr>
          <w:rFonts w:ascii="Arial" w:hAnsi="Arial" w:cs="Arial"/>
          <w:sz w:val="18"/>
          <w:szCs w:val="18"/>
        </w:rPr>
        <w:t>05</w:t>
      </w:r>
      <w:r w:rsidR="001A0960">
        <w:rPr>
          <w:rFonts w:ascii="Arial" w:hAnsi="Arial" w:cs="Arial"/>
          <w:sz w:val="18"/>
          <w:szCs w:val="18"/>
        </w:rPr>
        <w:t>-</w:t>
      </w:r>
      <w:r w:rsidR="00EE2C93">
        <w:rPr>
          <w:rFonts w:ascii="Arial" w:hAnsi="Arial" w:cs="Arial"/>
          <w:sz w:val="18"/>
          <w:szCs w:val="18"/>
        </w:rPr>
        <w:t>005-</w:t>
      </w:r>
      <w:r w:rsidR="001A0960">
        <w:rPr>
          <w:rFonts w:ascii="Arial" w:hAnsi="Arial" w:cs="Arial"/>
          <w:sz w:val="18"/>
          <w:szCs w:val="18"/>
        </w:rPr>
        <w:t>201</w:t>
      </w:r>
      <w:r w:rsidR="00EE2C93">
        <w:rPr>
          <w:rFonts w:ascii="Arial" w:hAnsi="Arial" w:cs="Arial"/>
          <w:sz w:val="18"/>
          <w:szCs w:val="18"/>
        </w:rPr>
        <w:t>8</w:t>
      </w:r>
      <w:r w:rsidRPr="009F7ADA">
        <w:rPr>
          <w:rFonts w:ascii="Arial" w:hAnsi="Arial" w:cs="Arial"/>
          <w:sz w:val="18"/>
          <w:szCs w:val="18"/>
        </w:rPr>
        <w:t>-00</w:t>
      </w:r>
      <w:r w:rsidR="00EE2C93">
        <w:rPr>
          <w:rFonts w:ascii="Arial" w:hAnsi="Arial" w:cs="Arial"/>
          <w:sz w:val="18"/>
          <w:szCs w:val="18"/>
        </w:rPr>
        <w:t>14</w:t>
      </w:r>
      <w:r w:rsidR="006C5B22">
        <w:rPr>
          <w:rFonts w:ascii="Arial" w:hAnsi="Arial" w:cs="Arial"/>
          <w:sz w:val="18"/>
          <w:szCs w:val="18"/>
        </w:rPr>
        <w:t>9</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EE2C93">
        <w:rPr>
          <w:rFonts w:ascii="Arial" w:hAnsi="Arial" w:cs="Arial"/>
          <w:bCs/>
          <w:iCs/>
          <w:sz w:val="18"/>
          <w:szCs w:val="18"/>
        </w:rPr>
        <w:t>José Jesús Giraldo Gallego</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lastRenderedPageBreak/>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3B1ABE">
        <w:rPr>
          <w:rFonts w:ascii="Arial" w:hAnsi="Arial" w:cs="Arial"/>
          <w:sz w:val="18"/>
          <w:szCs w:val="18"/>
        </w:rPr>
        <w:t xml:space="preserve">Unidad Administrativa para la Atención y Reparación Integral a las Víctimas </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F23219" w:rsidRDefault="00504167" w:rsidP="00F23219">
      <w:pPr>
        <w:ind w:left="5664" w:hanging="2262"/>
        <w:jc w:val="both"/>
        <w:rPr>
          <w:rFonts w:ascii="Arial" w:hAnsi="Arial" w:cs="Arial"/>
          <w:sz w:val="24"/>
          <w:szCs w:val="24"/>
          <w:lang w:val="es-ES" w:eastAsia="es-MX"/>
        </w:rPr>
      </w:pPr>
      <w:r w:rsidRPr="00D40424">
        <w:rPr>
          <w:rFonts w:ascii="Arial" w:hAnsi="Arial" w:cs="Arial"/>
          <w:b/>
          <w:bCs/>
          <w:sz w:val="18"/>
          <w:szCs w:val="18"/>
          <w:u w:val="single"/>
        </w:rPr>
        <w:t>Tema a Tratar:</w:t>
      </w:r>
      <w:r w:rsidR="00912080">
        <w:rPr>
          <w:rFonts w:ascii="Arial" w:hAnsi="Arial" w:cs="Arial"/>
          <w:b/>
          <w:bCs/>
          <w:sz w:val="18"/>
          <w:szCs w:val="18"/>
        </w:rPr>
        <w:t xml:space="preserve"> </w:t>
      </w:r>
      <w:r w:rsidR="00F23219">
        <w:rPr>
          <w:rFonts w:ascii="Arial" w:hAnsi="Arial" w:cs="Arial"/>
          <w:b/>
          <w:bCs/>
          <w:sz w:val="18"/>
          <w:szCs w:val="18"/>
        </w:rPr>
        <w:tab/>
      </w:r>
      <w:r w:rsidR="00F23219" w:rsidRPr="00F23219">
        <w:rPr>
          <w:rFonts w:ascii="Arial" w:hAnsi="Arial" w:cs="Arial"/>
          <w:sz w:val="20"/>
          <w:szCs w:val="20"/>
          <w:lang w:val="es-ES" w:eastAsia="es-MX"/>
        </w:rPr>
        <w:t xml:space="preserve">Inscripción en el </w:t>
      </w:r>
      <w:proofErr w:type="spellStart"/>
      <w:r w:rsidR="00F23219" w:rsidRPr="00F23219">
        <w:rPr>
          <w:rFonts w:ascii="Arial" w:hAnsi="Arial" w:cs="Arial"/>
          <w:sz w:val="20"/>
          <w:szCs w:val="20"/>
          <w:lang w:val="es-ES" w:eastAsia="es-MX"/>
        </w:rPr>
        <w:t>RUV</w:t>
      </w:r>
      <w:proofErr w:type="spellEnd"/>
      <w:r w:rsidR="00F23219" w:rsidRPr="00F23219">
        <w:rPr>
          <w:rFonts w:ascii="Arial" w:hAnsi="Arial" w:cs="Arial"/>
          <w:sz w:val="20"/>
          <w:szCs w:val="20"/>
          <w:lang w:val="es-ES" w:eastAsia="es-MX"/>
        </w:rPr>
        <w:t xml:space="preserve"> </w:t>
      </w:r>
      <w:r w:rsidR="00F23219">
        <w:rPr>
          <w:rFonts w:ascii="Arial" w:hAnsi="Arial" w:cs="Arial"/>
          <w:sz w:val="20"/>
          <w:szCs w:val="20"/>
          <w:lang w:val="es-ES" w:eastAsia="es-MX"/>
        </w:rPr>
        <w:t>(víctima de secuestro</w:t>
      </w:r>
      <w:r w:rsidR="00F23219" w:rsidRPr="00F23219">
        <w:rPr>
          <w:rFonts w:ascii="Arial" w:hAnsi="Arial" w:cs="Arial"/>
          <w:sz w:val="20"/>
          <w:szCs w:val="20"/>
          <w:lang w:val="es-ES" w:eastAsia="es-MX"/>
        </w:rPr>
        <w:t>) –</w:t>
      </w:r>
      <w:r w:rsidR="00F23219" w:rsidRPr="00F23219">
        <w:rPr>
          <w:rFonts w:ascii="Arial" w:hAnsi="Arial" w:cs="Arial"/>
          <w:b/>
          <w:sz w:val="20"/>
          <w:szCs w:val="20"/>
          <w:lang w:val="es-ES" w:eastAsia="es-MX"/>
        </w:rPr>
        <w:t xml:space="preserve"> </w:t>
      </w:r>
      <w:r w:rsidR="00F23219" w:rsidRPr="00F23219">
        <w:rPr>
          <w:rFonts w:ascii="Arial" w:hAnsi="Arial" w:cs="Arial"/>
          <w:sz w:val="20"/>
          <w:szCs w:val="20"/>
          <w:lang w:val="es-ES" w:eastAsia="es-MX"/>
        </w:rPr>
        <w:t xml:space="preserve">subsidiariedad – debido proceso - carga probatoria del hecho </w:t>
      </w:r>
      <w:proofErr w:type="spellStart"/>
      <w:r w:rsidR="00F23219" w:rsidRPr="00F23219">
        <w:rPr>
          <w:rFonts w:ascii="Arial" w:hAnsi="Arial" w:cs="Arial"/>
          <w:sz w:val="20"/>
          <w:szCs w:val="20"/>
          <w:lang w:val="es-ES" w:eastAsia="es-MX"/>
        </w:rPr>
        <w:t>victimizante</w:t>
      </w:r>
      <w:proofErr w:type="spellEnd"/>
      <w:r w:rsidR="00F23219" w:rsidRPr="00996A20">
        <w:rPr>
          <w:rFonts w:ascii="Arial" w:hAnsi="Arial" w:cs="Arial"/>
          <w:sz w:val="24"/>
          <w:szCs w:val="24"/>
          <w:lang w:val="es-ES" w:eastAsia="es-MX"/>
        </w:rPr>
        <w:t xml:space="preserve">  </w:t>
      </w:r>
    </w:p>
    <w:p w:rsidR="00D40424" w:rsidRPr="00D40424" w:rsidRDefault="00D40424" w:rsidP="00912080">
      <w:pPr>
        <w:tabs>
          <w:tab w:val="left" w:pos="3402"/>
        </w:tabs>
        <w:spacing w:after="0" w:line="240" w:lineRule="auto"/>
        <w:ind w:left="5664" w:hanging="2262"/>
        <w:contextualSpacing/>
        <w:jc w:val="both"/>
        <w:rPr>
          <w:rFonts w:ascii="Arial" w:hAnsi="Arial" w:cs="Arial"/>
          <w:b/>
          <w:bCs/>
          <w:color w:val="000000"/>
          <w:sz w:val="18"/>
          <w:szCs w:val="18"/>
          <w:u w:val="single"/>
        </w:rPr>
      </w:pPr>
    </w:p>
    <w:p w:rsidR="00D40424" w:rsidRPr="00D40424" w:rsidRDefault="00D40424" w:rsidP="00D40424">
      <w:pPr>
        <w:tabs>
          <w:tab w:val="left" w:pos="3402"/>
        </w:tabs>
        <w:spacing w:after="0" w:line="240" w:lineRule="auto"/>
        <w:ind w:left="3402" w:right="51"/>
        <w:contextualSpacing/>
        <w:jc w:val="both"/>
        <w:rPr>
          <w:rFonts w:ascii="Arial" w:hAnsi="Arial" w:cs="Arial"/>
          <w:b/>
          <w:bCs/>
          <w:color w:val="000000"/>
          <w:sz w:val="18"/>
          <w:szCs w:val="18"/>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6C5B22">
        <w:rPr>
          <w:rFonts w:ascii="Arial" w:hAnsi="Arial" w:cs="Arial"/>
          <w:sz w:val="24"/>
          <w:szCs w:val="24"/>
        </w:rPr>
        <w:t>veinti</w:t>
      </w:r>
      <w:r w:rsidR="001A08EA">
        <w:rPr>
          <w:rFonts w:ascii="Arial" w:hAnsi="Arial" w:cs="Arial"/>
          <w:sz w:val="24"/>
          <w:szCs w:val="24"/>
        </w:rPr>
        <w:t>ocho</w:t>
      </w:r>
      <w:r w:rsidRPr="008A706F">
        <w:rPr>
          <w:rFonts w:ascii="Arial" w:hAnsi="Arial" w:cs="Arial"/>
          <w:sz w:val="24"/>
          <w:szCs w:val="24"/>
        </w:rPr>
        <w:t xml:space="preserve"> </w:t>
      </w:r>
      <w:r w:rsidR="00567D0D" w:rsidRPr="008A706F">
        <w:rPr>
          <w:rFonts w:ascii="Arial" w:hAnsi="Arial" w:cs="Arial"/>
          <w:sz w:val="24"/>
          <w:szCs w:val="24"/>
        </w:rPr>
        <w:t>(</w:t>
      </w:r>
      <w:r w:rsidR="006C5B22">
        <w:rPr>
          <w:rFonts w:ascii="Arial" w:hAnsi="Arial" w:cs="Arial"/>
          <w:sz w:val="24"/>
          <w:szCs w:val="24"/>
        </w:rPr>
        <w:t>2</w:t>
      </w:r>
      <w:r w:rsidR="001A08EA">
        <w:rPr>
          <w:rFonts w:ascii="Arial" w:hAnsi="Arial" w:cs="Arial"/>
          <w:sz w:val="24"/>
          <w:szCs w:val="24"/>
        </w:rPr>
        <w:t>8</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C712F0">
        <w:rPr>
          <w:rFonts w:ascii="Arial" w:hAnsi="Arial" w:cs="Arial"/>
          <w:sz w:val="24"/>
          <w:szCs w:val="24"/>
        </w:rPr>
        <w:t>mayo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C712F0" w:rsidRPr="008A706F">
        <w:rPr>
          <w:rFonts w:ascii="Arial" w:hAnsi="Arial" w:cs="Arial"/>
          <w:sz w:val="24"/>
          <w:szCs w:val="24"/>
        </w:rPr>
        <w:t>diecio</w:t>
      </w:r>
      <w:r w:rsidR="00C712F0">
        <w:rPr>
          <w:rFonts w:ascii="Arial" w:hAnsi="Arial" w:cs="Arial"/>
          <w:sz w:val="24"/>
          <w:szCs w:val="24"/>
        </w:rPr>
        <w:t>cho</w:t>
      </w:r>
      <w:r w:rsidR="000375BE" w:rsidRPr="008A706F">
        <w:rPr>
          <w:rFonts w:ascii="Arial" w:hAnsi="Arial" w:cs="Arial"/>
          <w:sz w:val="24"/>
          <w:szCs w:val="24"/>
        </w:rPr>
        <w:t xml:space="preserve"> </w:t>
      </w:r>
      <w:r w:rsidR="00567D0D" w:rsidRPr="008A706F">
        <w:rPr>
          <w:rFonts w:ascii="Arial" w:hAnsi="Arial" w:cs="Arial"/>
          <w:sz w:val="24"/>
          <w:szCs w:val="24"/>
        </w:rPr>
        <w:t>(201</w:t>
      </w:r>
      <w:r w:rsidR="00C712F0">
        <w:rPr>
          <w:rFonts w:ascii="Arial" w:hAnsi="Arial" w:cs="Arial"/>
          <w:sz w:val="24"/>
          <w:szCs w:val="24"/>
        </w:rPr>
        <w:t>8</w:t>
      </w:r>
      <w:r w:rsidR="00567D0D" w:rsidRPr="008A706F">
        <w:rPr>
          <w:rFonts w:ascii="Arial" w:hAnsi="Arial" w:cs="Arial"/>
          <w:sz w:val="24"/>
          <w:szCs w:val="24"/>
        </w:rPr>
        <w:t>)</w:t>
      </w:r>
    </w:p>
    <w:p w:rsidR="00457546" w:rsidRPr="008A706F" w:rsidRDefault="00912080" w:rsidP="00457546">
      <w:pPr>
        <w:spacing w:after="0"/>
        <w:contextualSpacing/>
        <w:jc w:val="center"/>
        <w:rPr>
          <w:rFonts w:ascii="Arial" w:hAnsi="Arial" w:cs="Arial"/>
          <w:sz w:val="24"/>
          <w:szCs w:val="24"/>
        </w:rPr>
      </w:pPr>
      <w:r>
        <w:rPr>
          <w:rFonts w:ascii="Arial" w:hAnsi="Arial" w:cs="Arial"/>
          <w:sz w:val="24"/>
          <w:szCs w:val="24"/>
        </w:rPr>
        <w:t xml:space="preserve">Acta número ____ de </w:t>
      </w:r>
      <w:r w:rsidR="001A08EA">
        <w:rPr>
          <w:rFonts w:ascii="Arial" w:hAnsi="Arial" w:cs="Arial"/>
          <w:sz w:val="24"/>
          <w:szCs w:val="24"/>
        </w:rPr>
        <w:t>28</w:t>
      </w:r>
      <w:r>
        <w:rPr>
          <w:rFonts w:ascii="Arial" w:hAnsi="Arial" w:cs="Arial"/>
          <w:sz w:val="24"/>
          <w:szCs w:val="24"/>
        </w:rPr>
        <w:t>-0</w:t>
      </w:r>
      <w:r w:rsidR="00C712F0">
        <w:rPr>
          <w:rFonts w:ascii="Arial" w:hAnsi="Arial" w:cs="Arial"/>
          <w:sz w:val="24"/>
          <w:szCs w:val="24"/>
        </w:rPr>
        <w:t>5</w:t>
      </w:r>
      <w:r w:rsidR="000C228E">
        <w:rPr>
          <w:rFonts w:ascii="Arial" w:hAnsi="Arial" w:cs="Arial"/>
          <w:sz w:val="24"/>
          <w:szCs w:val="24"/>
        </w:rPr>
        <w:t>-201</w:t>
      </w:r>
      <w:r w:rsidR="00C712F0">
        <w:rPr>
          <w:rFonts w:ascii="Arial" w:hAnsi="Arial" w:cs="Arial"/>
          <w:sz w:val="24"/>
          <w:szCs w:val="24"/>
        </w:rPr>
        <w:t>8</w:t>
      </w:r>
    </w:p>
    <w:p w:rsidR="00FB241E" w:rsidRPr="00FB241E" w:rsidRDefault="00FB241E" w:rsidP="00CA57AD">
      <w:pPr>
        <w:spacing w:after="0"/>
        <w:contextualSpacing/>
        <w:jc w:val="both"/>
        <w:rPr>
          <w:rFonts w:ascii="Arial" w:hAnsi="Arial" w:cs="Arial"/>
          <w:color w:val="000000"/>
          <w:sz w:val="24"/>
          <w:szCs w:val="24"/>
        </w:rPr>
      </w:pPr>
    </w:p>
    <w:p w:rsidR="000F0D92" w:rsidRDefault="004929D6" w:rsidP="004A6136">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C712F0">
        <w:rPr>
          <w:rFonts w:ascii="Arial" w:hAnsi="Arial" w:cs="Arial"/>
          <w:color w:val="000000"/>
          <w:sz w:val="24"/>
          <w:szCs w:val="24"/>
        </w:rPr>
        <w:t xml:space="preserve">el </w:t>
      </w:r>
      <w:r w:rsidR="009C3777">
        <w:rPr>
          <w:rFonts w:ascii="Arial" w:hAnsi="Arial" w:cs="Arial"/>
          <w:color w:val="000000"/>
          <w:sz w:val="24"/>
          <w:szCs w:val="24"/>
        </w:rPr>
        <w:t>señor</w:t>
      </w:r>
      <w:r w:rsidR="001F31D2">
        <w:rPr>
          <w:rFonts w:ascii="Arial" w:hAnsi="Arial" w:cs="Arial"/>
          <w:color w:val="000000"/>
          <w:sz w:val="24"/>
          <w:szCs w:val="24"/>
        </w:rPr>
        <w:t xml:space="preserve"> </w:t>
      </w:r>
      <w:r w:rsidR="00C712F0">
        <w:rPr>
          <w:rFonts w:ascii="Arial" w:hAnsi="Arial" w:cs="Arial"/>
          <w:color w:val="000000"/>
          <w:sz w:val="24"/>
          <w:szCs w:val="24"/>
        </w:rPr>
        <w:t>José Jesús Giraldo Gallego</w:t>
      </w:r>
      <w:r w:rsidR="00F51220">
        <w:rPr>
          <w:rFonts w:ascii="Arial" w:hAnsi="Arial" w:cs="Arial"/>
          <w:color w:val="000000"/>
          <w:sz w:val="24"/>
          <w:szCs w:val="24"/>
        </w:rPr>
        <w:t xml:space="preserve"> </w:t>
      </w:r>
      <w:r w:rsidR="00912080">
        <w:rPr>
          <w:rFonts w:ascii="Arial" w:hAnsi="Arial" w:cs="Arial"/>
          <w:color w:val="000000"/>
          <w:sz w:val="24"/>
          <w:szCs w:val="24"/>
        </w:rPr>
        <w:t>identificad</w:t>
      </w:r>
      <w:r w:rsidR="00C712F0">
        <w:rPr>
          <w:rFonts w:ascii="Arial" w:hAnsi="Arial" w:cs="Arial"/>
          <w:color w:val="000000"/>
          <w:sz w:val="24"/>
          <w:szCs w:val="24"/>
        </w:rPr>
        <w:t>o</w:t>
      </w:r>
      <w:r w:rsidR="00BE5237">
        <w:rPr>
          <w:rFonts w:ascii="Arial" w:hAnsi="Arial" w:cs="Arial"/>
          <w:color w:val="000000"/>
          <w:sz w:val="24"/>
          <w:szCs w:val="24"/>
        </w:rPr>
        <w:t xml:space="preserve"> con cédula de ciudadanía No.</w:t>
      </w:r>
      <w:r w:rsidR="00C712F0">
        <w:rPr>
          <w:rFonts w:ascii="Arial" w:hAnsi="Arial" w:cs="Arial"/>
          <w:color w:val="000000"/>
          <w:sz w:val="24"/>
          <w:szCs w:val="24"/>
        </w:rPr>
        <w:t>10.096.266</w:t>
      </w:r>
      <w:r w:rsidR="00BE5237">
        <w:rPr>
          <w:rFonts w:ascii="Arial" w:hAnsi="Arial" w:cs="Arial"/>
          <w:color w:val="000000"/>
          <w:sz w:val="24"/>
          <w:szCs w:val="24"/>
        </w:rPr>
        <w:t xml:space="preserve">, </w:t>
      </w:r>
      <w:r w:rsidR="00897E66">
        <w:rPr>
          <w:rFonts w:ascii="Arial" w:hAnsi="Arial" w:cs="Arial"/>
          <w:color w:val="000000"/>
          <w:sz w:val="24"/>
          <w:szCs w:val="24"/>
        </w:rPr>
        <w:t xml:space="preserve">actuando </w:t>
      </w:r>
      <w:r w:rsidR="00C034E2">
        <w:rPr>
          <w:rFonts w:ascii="Arial" w:hAnsi="Arial" w:cs="Arial"/>
          <w:color w:val="000000"/>
          <w:sz w:val="24"/>
          <w:szCs w:val="24"/>
        </w:rPr>
        <w:t>en 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C034E2">
        <w:rPr>
          <w:rFonts w:ascii="Arial" w:hAnsi="Arial" w:cs="Arial"/>
          <w:color w:val="000000"/>
          <w:sz w:val="24"/>
          <w:szCs w:val="24"/>
        </w:rPr>
        <w:t>Unidad Administrativa para la Atención y Reparación Integral a las Víctimas</w:t>
      </w:r>
      <w:r w:rsidR="0084162C">
        <w:rPr>
          <w:rFonts w:ascii="Arial" w:hAnsi="Arial" w:cs="Arial"/>
          <w:color w:val="000000"/>
          <w:sz w:val="24"/>
          <w:szCs w:val="24"/>
        </w:rPr>
        <w:t xml:space="preserve"> -</w:t>
      </w:r>
      <w:proofErr w:type="spellStart"/>
      <w:r w:rsidR="0084162C">
        <w:rPr>
          <w:rFonts w:ascii="Arial" w:hAnsi="Arial" w:cs="Arial"/>
          <w:color w:val="000000"/>
          <w:sz w:val="24"/>
          <w:szCs w:val="24"/>
        </w:rPr>
        <w:t>UARIV</w:t>
      </w:r>
      <w:proofErr w:type="spellEnd"/>
      <w:r w:rsidR="0084162C">
        <w:rPr>
          <w:rFonts w:ascii="Arial" w:hAnsi="Arial" w:cs="Arial"/>
          <w:color w:val="000000"/>
          <w:sz w:val="24"/>
          <w:szCs w:val="24"/>
        </w:rPr>
        <w:t>-</w:t>
      </w:r>
      <w:r w:rsidR="00C034E2">
        <w:rPr>
          <w:rFonts w:ascii="Arial" w:hAnsi="Arial" w:cs="Arial"/>
          <w:color w:val="000000"/>
          <w:sz w:val="24"/>
          <w:szCs w:val="24"/>
        </w:rPr>
        <w:t>.</w:t>
      </w:r>
    </w:p>
    <w:p w:rsidR="00FC3B5A" w:rsidRPr="004A6136" w:rsidRDefault="00FC3B5A" w:rsidP="004A6136">
      <w:pPr>
        <w:spacing w:after="0"/>
        <w:contextualSpacing/>
        <w:jc w:val="both"/>
        <w:rPr>
          <w:rFonts w:ascii="Arial" w:hAnsi="Arial" w:cs="Arial"/>
          <w:sz w:val="24"/>
          <w:szCs w:val="18"/>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C712F0" w:rsidRDefault="00477366" w:rsidP="0084162C">
      <w:pPr>
        <w:spacing w:after="0"/>
        <w:contextualSpacing/>
        <w:jc w:val="both"/>
        <w:rPr>
          <w:rFonts w:ascii="Arial" w:hAnsi="Arial" w:cs="Arial"/>
          <w:color w:val="000000"/>
          <w:sz w:val="24"/>
          <w:szCs w:val="24"/>
        </w:rPr>
      </w:pPr>
      <w:r w:rsidRPr="00430C49">
        <w:rPr>
          <w:rFonts w:ascii="Arial" w:hAnsi="Arial" w:cs="Arial"/>
          <w:color w:val="000000"/>
          <w:sz w:val="24"/>
          <w:szCs w:val="24"/>
        </w:rPr>
        <w:t>Quien promueve el amparo, pretende</w:t>
      </w:r>
      <w:r w:rsidR="00C712F0">
        <w:rPr>
          <w:rFonts w:ascii="Arial" w:hAnsi="Arial" w:cs="Arial"/>
          <w:color w:val="000000"/>
          <w:sz w:val="24"/>
          <w:szCs w:val="24"/>
        </w:rPr>
        <w:t xml:space="preserve"> que se le tutelen </w:t>
      </w:r>
      <w:r w:rsidR="00D43757">
        <w:rPr>
          <w:rFonts w:ascii="Arial" w:hAnsi="Arial" w:cs="Arial"/>
          <w:color w:val="000000"/>
          <w:sz w:val="24"/>
          <w:szCs w:val="24"/>
        </w:rPr>
        <w:t>sus</w:t>
      </w:r>
      <w:r w:rsidR="00C712F0">
        <w:rPr>
          <w:rFonts w:ascii="Arial" w:hAnsi="Arial" w:cs="Arial"/>
          <w:color w:val="000000"/>
          <w:sz w:val="24"/>
          <w:szCs w:val="24"/>
        </w:rPr>
        <w:t xml:space="preserve"> derechos</w:t>
      </w:r>
      <w:r w:rsidR="00D43757">
        <w:rPr>
          <w:rFonts w:ascii="Arial" w:hAnsi="Arial" w:cs="Arial"/>
          <w:color w:val="000000"/>
          <w:sz w:val="24"/>
          <w:szCs w:val="24"/>
        </w:rPr>
        <w:t xml:space="preserve"> a la verdad, justicia y reparación que </w:t>
      </w:r>
      <w:r w:rsidR="00C712F0">
        <w:rPr>
          <w:rFonts w:ascii="Arial" w:hAnsi="Arial" w:cs="Arial"/>
          <w:color w:val="000000"/>
          <w:sz w:val="24"/>
          <w:szCs w:val="24"/>
        </w:rPr>
        <w:t>como</w:t>
      </w:r>
      <w:r w:rsidR="00D43757">
        <w:rPr>
          <w:rFonts w:ascii="Arial" w:hAnsi="Arial" w:cs="Arial"/>
          <w:color w:val="000000"/>
          <w:sz w:val="24"/>
          <w:szCs w:val="24"/>
        </w:rPr>
        <w:t xml:space="preserve"> </w:t>
      </w:r>
      <w:r w:rsidR="00C712F0">
        <w:rPr>
          <w:rFonts w:ascii="Arial" w:hAnsi="Arial" w:cs="Arial"/>
          <w:color w:val="000000"/>
          <w:sz w:val="24"/>
          <w:szCs w:val="24"/>
        </w:rPr>
        <w:t>víctima</w:t>
      </w:r>
      <w:r w:rsidR="00D43757">
        <w:rPr>
          <w:rFonts w:ascii="Arial" w:hAnsi="Arial" w:cs="Arial"/>
          <w:color w:val="000000"/>
          <w:sz w:val="24"/>
          <w:szCs w:val="24"/>
        </w:rPr>
        <w:t xml:space="preserve"> tiene;</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B223E">
        <w:rPr>
          <w:rFonts w:ascii="Arial" w:hAnsi="Arial" w:cs="Arial"/>
          <w:color w:val="000000"/>
          <w:sz w:val="24"/>
          <w:szCs w:val="24"/>
        </w:rPr>
        <w:t>a la</w:t>
      </w:r>
      <w:r w:rsidR="0084162C" w:rsidRPr="0084162C">
        <w:rPr>
          <w:rFonts w:ascii="Arial" w:hAnsi="Arial" w:cs="Arial"/>
          <w:color w:val="000000"/>
          <w:sz w:val="24"/>
          <w:szCs w:val="24"/>
        </w:rPr>
        <w:t xml:space="preserve"> </w:t>
      </w:r>
      <w:r w:rsidR="0084162C">
        <w:rPr>
          <w:rFonts w:ascii="Arial" w:hAnsi="Arial" w:cs="Arial"/>
          <w:color w:val="000000"/>
          <w:sz w:val="24"/>
          <w:szCs w:val="24"/>
        </w:rPr>
        <w:t xml:space="preserve">Unidad Administrativa para la Atención y Reparación Integral a las Víctimas </w:t>
      </w:r>
      <w:r w:rsidR="0006561F">
        <w:rPr>
          <w:rFonts w:ascii="Arial" w:hAnsi="Arial" w:cs="Arial"/>
          <w:color w:val="000000"/>
          <w:sz w:val="24"/>
          <w:szCs w:val="24"/>
        </w:rPr>
        <w:t>para que realicen todas actuaciones pertinentes para el reconocimiento de</w:t>
      </w:r>
      <w:r w:rsidR="00D43757">
        <w:rPr>
          <w:rFonts w:ascii="Arial" w:hAnsi="Arial" w:cs="Arial"/>
          <w:color w:val="000000"/>
          <w:sz w:val="24"/>
          <w:szCs w:val="24"/>
        </w:rPr>
        <w:t xml:space="preserve"> tal</w:t>
      </w:r>
      <w:r w:rsidR="0006561F">
        <w:rPr>
          <w:rFonts w:ascii="Arial" w:hAnsi="Arial" w:cs="Arial"/>
          <w:color w:val="000000"/>
          <w:sz w:val="24"/>
          <w:szCs w:val="24"/>
        </w:rPr>
        <w:t xml:space="preserve"> hecho.</w:t>
      </w:r>
    </w:p>
    <w:p w:rsidR="0050183A" w:rsidRDefault="0050183A" w:rsidP="00CA57AD">
      <w:pPr>
        <w:spacing w:after="0"/>
        <w:contextualSpacing/>
        <w:jc w:val="both"/>
        <w:rPr>
          <w:rFonts w:ascii="Arial" w:hAnsi="Arial" w:cs="Arial"/>
          <w:sz w:val="24"/>
          <w:szCs w:val="24"/>
        </w:rPr>
      </w:pPr>
    </w:p>
    <w:p w:rsidR="00D43757"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84162C">
        <w:rPr>
          <w:rFonts w:ascii="Arial" w:hAnsi="Arial" w:cs="Arial"/>
          <w:sz w:val="24"/>
          <w:szCs w:val="24"/>
        </w:rPr>
        <w:t xml:space="preserve"> (i)</w:t>
      </w:r>
      <w:r w:rsidR="001136FE">
        <w:rPr>
          <w:rFonts w:ascii="Arial" w:hAnsi="Arial" w:cs="Arial"/>
          <w:sz w:val="24"/>
          <w:szCs w:val="24"/>
        </w:rPr>
        <w:t xml:space="preserve"> </w:t>
      </w:r>
      <w:r w:rsidR="0006561F">
        <w:rPr>
          <w:rFonts w:ascii="Arial" w:hAnsi="Arial" w:cs="Arial"/>
          <w:sz w:val="24"/>
          <w:szCs w:val="24"/>
        </w:rPr>
        <w:t>el 29-07-2017, fue víctima de secuestro y consiguiente de desplazamiento, en el Municipio de San José de Palmar (Chocó), corregimiento la Italia, fue retenido por miembros del grupo guerrillero ELN, en razón a ello acudió a la Unidad para la Atención y Reparación Integral a las Víctimas para rendir la declaraci</w:t>
      </w:r>
      <w:r w:rsidR="00D43757">
        <w:rPr>
          <w:rFonts w:ascii="Arial" w:hAnsi="Arial" w:cs="Arial"/>
          <w:sz w:val="24"/>
          <w:szCs w:val="24"/>
        </w:rPr>
        <w:t>ó</w:t>
      </w:r>
      <w:r w:rsidR="0006561F">
        <w:rPr>
          <w:rFonts w:ascii="Arial" w:hAnsi="Arial" w:cs="Arial"/>
          <w:sz w:val="24"/>
          <w:szCs w:val="24"/>
        </w:rPr>
        <w:t>n</w:t>
      </w:r>
      <w:r w:rsidR="00D43757">
        <w:rPr>
          <w:rFonts w:ascii="Arial" w:hAnsi="Arial" w:cs="Arial"/>
          <w:sz w:val="24"/>
          <w:szCs w:val="24"/>
        </w:rPr>
        <w:t xml:space="preserve"> de este</w:t>
      </w:r>
      <w:r w:rsidR="0006561F">
        <w:rPr>
          <w:rFonts w:ascii="Arial" w:hAnsi="Arial" w:cs="Arial"/>
          <w:sz w:val="24"/>
          <w:szCs w:val="24"/>
        </w:rPr>
        <w:t xml:space="preserve"> hecho</w:t>
      </w:r>
      <w:r w:rsidR="00D43757">
        <w:rPr>
          <w:rFonts w:ascii="Arial" w:hAnsi="Arial" w:cs="Arial"/>
          <w:sz w:val="24"/>
          <w:szCs w:val="24"/>
        </w:rPr>
        <w:t>.</w:t>
      </w:r>
    </w:p>
    <w:p w:rsidR="00D43757" w:rsidRDefault="00D43757" w:rsidP="00CA57AD">
      <w:pPr>
        <w:spacing w:after="0"/>
        <w:contextualSpacing/>
        <w:jc w:val="both"/>
        <w:rPr>
          <w:rFonts w:ascii="Arial" w:hAnsi="Arial" w:cs="Arial"/>
          <w:sz w:val="24"/>
          <w:szCs w:val="24"/>
        </w:rPr>
      </w:pPr>
    </w:p>
    <w:p w:rsidR="009B1D55" w:rsidRDefault="0006561F" w:rsidP="00CA57AD">
      <w:pPr>
        <w:spacing w:after="0"/>
        <w:contextualSpacing/>
        <w:jc w:val="both"/>
        <w:rPr>
          <w:rFonts w:ascii="Arial" w:hAnsi="Arial" w:cs="Arial"/>
          <w:sz w:val="24"/>
          <w:szCs w:val="24"/>
        </w:rPr>
      </w:pPr>
      <w:r>
        <w:rPr>
          <w:rFonts w:ascii="Arial" w:hAnsi="Arial" w:cs="Arial"/>
          <w:sz w:val="24"/>
          <w:szCs w:val="24"/>
        </w:rPr>
        <w:t xml:space="preserve">(ii) </w:t>
      </w:r>
      <w:r w:rsidR="00D43757">
        <w:rPr>
          <w:rFonts w:ascii="Arial" w:hAnsi="Arial" w:cs="Arial"/>
          <w:sz w:val="24"/>
          <w:szCs w:val="24"/>
        </w:rPr>
        <w:t>A</w:t>
      </w:r>
      <w:r>
        <w:rPr>
          <w:rFonts w:ascii="Arial" w:hAnsi="Arial" w:cs="Arial"/>
          <w:sz w:val="24"/>
          <w:szCs w:val="24"/>
        </w:rPr>
        <w:t xml:space="preserve"> comienzos de este año </w:t>
      </w:r>
      <w:r w:rsidR="00D43757">
        <w:rPr>
          <w:rFonts w:ascii="Arial" w:hAnsi="Arial" w:cs="Arial"/>
          <w:sz w:val="24"/>
          <w:szCs w:val="24"/>
        </w:rPr>
        <w:t xml:space="preserve">se le </w:t>
      </w:r>
      <w:r>
        <w:rPr>
          <w:rFonts w:ascii="Arial" w:hAnsi="Arial" w:cs="Arial"/>
          <w:sz w:val="24"/>
          <w:szCs w:val="24"/>
        </w:rPr>
        <w:t>notific</w:t>
      </w:r>
      <w:r w:rsidR="00D43757">
        <w:rPr>
          <w:rFonts w:ascii="Arial" w:hAnsi="Arial" w:cs="Arial"/>
          <w:sz w:val="24"/>
          <w:szCs w:val="24"/>
        </w:rPr>
        <w:t>ó la re</w:t>
      </w:r>
      <w:r>
        <w:rPr>
          <w:rFonts w:ascii="Arial" w:hAnsi="Arial" w:cs="Arial"/>
          <w:sz w:val="24"/>
          <w:szCs w:val="24"/>
        </w:rPr>
        <w:t>solu</w:t>
      </w:r>
      <w:r w:rsidR="00D43757">
        <w:rPr>
          <w:rFonts w:ascii="Arial" w:hAnsi="Arial" w:cs="Arial"/>
          <w:sz w:val="24"/>
          <w:szCs w:val="24"/>
        </w:rPr>
        <w:t>ción</w:t>
      </w:r>
      <w:r>
        <w:rPr>
          <w:rFonts w:ascii="Arial" w:hAnsi="Arial" w:cs="Arial"/>
          <w:sz w:val="24"/>
          <w:szCs w:val="24"/>
        </w:rPr>
        <w:t xml:space="preserve"> donde se le reconoce el hecho </w:t>
      </w:r>
      <w:proofErr w:type="spellStart"/>
      <w:r w:rsidR="00D16D08">
        <w:rPr>
          <w:rFonts w:ascii="Arial" w:hAnsi="Arial" w:cs="Arial"/>
          <w:sz w:val="24"/>
          <w:szCs w:val="24"/>
        </w:rPr>
        <w:t>victimizan</w:t>
      </w:r>
      <w:r>
        <w:rPr>
          <w:rFonts w:ascii="Arial" w:hAnsi="Arial" w:cs="Arial"/>
          <w:sz w:val="24"/>
          <w:szCs w:val="24"/>
        </w:rPr>
        <w:t>té</w:t>
      </w:r>
      <w:proofErr w:type="spellEnd"/>
      <w:r>
        <w:rPr>
          <w:rFonts w:ascii="Arial" w:hAnsi="Arial" w:cs="Arial"/>
          <w:sz w:val="24"/>
          <w:szCs w:val="24"/>
        </w:rPr>
        <w:t xml:space="preserve"> de desplazamiento forzado, pero </w:t>
      </w:r>
      <w:r w:rsidR="00D43757">
        <w:rPr>
          <w:rFonts w:ascii="Arial" w:hAnsi="Arial" w:cs="Arial"/>
          <w:sz w:val="24"/>
          <w:szCs w:val="24"/>
        </w:rPr>
        <w:t>no el</w:t>
      </w:r>
      <w:r>
        <w:rPr>
          <w:rFonts w:ascii="Arial" w:hAnsi="Arial" w:cs="Arial"/>
          <w:sz w:val="24"/>
          <w:szCs w:val="24"/>
        </w:rPr>
        <w:t xml:space="preserve"> secuestro;</w:t>
      </w:r>
      <w:r w:rsidR="00D43757">
        <w:rPr>
          <w:rFonts w:ascii="Arial" w:hAnsi="Arial" w:cs="Arial"/>
          <w:sz w:val="24"/>
          <w:szCs w:val="24"/>
        </w:rPr>
        <w:t xml:space="preserve"> </w:t>
      </w:r>
      <w:r w:rsidR="007F42D0">
        <w:rPr>
          <w:rFonts w:ascii="Arial" w:hAnsi="Arial" w:cs="Arial"/>
          <w:sz w:val="24"/>
          <w:szCs w:val="24"/>
        </w:rPr>
        <w:t xml:space="preserve">la que recurrida se </w:t>
      </w:r>
      <w:r w:rsidR="00D43757">
        <w:rPr>
          <w:rFonts w:ascii="Arial" w:hAnsi="Arial" w:cs="Arial"/>
          <w:sz w:val="24"/>
          <w:szCs w:val="24"/>
        </w:rPr>
        <w:t>confirm</w:t>
      </w:r>
      <w:r w:rsidR="007F42D0">
        <w:rPr>
          <w:rFonts w:ascii="Arial" w:hAnsi="Arial" w:cs="Arial"/>
          <w:sz w:val="24"/>
          <w:szCs w:val="24"/>
        </w:rPr>
        <w:t>ó</w:t>
      </w:r>
      <w:r w:rsidR="00D43757">
        <w:rPr>
          <w:rFonts w:ascii="Arial" w:hAnsi="Arial" w:cs="Arial"/>
          <w:sz w:val="24"/>
          <w:szCs w:val="24"/>
        </w:rPr>
        <w:t xml:space="preserve">. </w:t>
      </w:r>
      <w:r>
        <w:rPr>
          <w:rFonts w:ascii="Arial" w:hAnsi="Arial" w:cs="Arial"/>
          <w:sz w:val="24"/>
          <w:szCs w:val="24"/>
        </w:rPr>
        <w:t xml:space="preserve">  </w:t>
      </w:r>
    </w:p>
    <w:p w:rsidR="00DC2959" w:rsidRDefault="00DC2959" w:rsidP="00253C5C">
      <w:pPr>
        <w:spacing w:after="0"/>
        <w:contextualSpacing/>
        <w:jc w:val="both"/>
        <w:rPr>
          <w:rFonts w:ascii="Arial" w:hAnsi="Arial" w:cs="Arial"/>
          <w:b/>
          <w:sz w:val="24"/>
          <w:szCs w:val="24"/>
        </w:rPr>
      </w:pPr>
    </w:p>
    <w:p w:rsid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253C5C" w:rsidRPr="00253C5C">
        <w:rPr>
          <w:rFonts w:ascii="Arial" w:hAnsi="Arial" w:cs="Arial"/>
          <w:b/>
          <w:color w:val="000000"/>
          <w:sz w:val="24"/>
          <w:szCs w:val="24"/>
        </w:rPr>
        <w:t xml:space="preserve">la </w:t>
      </w:r>
      <w:r w:rsidR="001F395D">
        <w:rPr>
          <w:rFonts w:ascii="Arial" w:hAnsi="Arial" w:cs="Arial"/>
          <w:b/>
          <w:color w:val="000000"/>
          <w:sz w:val="24"/>
          <w:szCs w:val="24"/>
        </w:rPr>
        <w:t>Unidad Administrativa de Atención y Reparación Integral a las Víctimas</w:t>
      </w:r>
    </w:p>
    <w:p w:rsidR="00F23219" w:rsidRPr="00253C5C" w:rsidRDefault="00F23219" w:rsidP="00253C5C">
      <w:pPr>
        <w:spacing w:after="0"/>
        <w:contextualSpacing/>
        <w:jc w:val="both"/>
        <w:rPr>
          <w:rFonts w:ascii="Arial" w:hAnsi="Arial" w:cs="Arial"/>
          <w:b/>
          <w:color w:val="000000"/>
          <w:sz w:val="24"/>
          <w:szCs w:val="24"/>
        </w:rPr>
      </w:pPr>
    </w:p>
    <w:p w:rsidR="00D16D08" w:rsidRDefault="00275551" w:rsidP="00495069">
      <w:pPr>
        <w:spacing w:after="0"/>
        <w:contextualSpacing/>
        <w:jc w:val="both"/>
        <w:rPr>
          <w:rFonts w:ascii="Arial" w:hAnsi="Arial" w:cs="Arial"/>
          <w:sz w:val="24"/>
          <w:szCs w:val="24"/>
        </w:rPr>
      </w:pPr>
      <w:r>
        <w:rPr>
          <w:rFonts w:ascii="Arial" w:hAnsi="Arial" w:cs="Arial"/>
          <w:sz w:val="24"/>
          <w:szCs w:val="24"/>
        </w:rPr>
        <w:t>Manifestó que</w:t>
      </w:r>
      <w:r w:rsidR="00E812E1">
        <w:rPr>
          <w:rFonts w:ascii="Arial" w:hAnsi="Arial" w:cs="Arial"/>
          <w:sz w:val="24"/>
          <w:szCs w:val="24"/>
        </w:rPr>
        <w:t xml:space="preserve"> </w:t>
      </w:r>
      <w:r w:rsidR="00D16D08">
        <w:rPr>
          <w:rFonts w:ascii="Arial" w:hAnsi="Arial" w:cs="Arial"/>
          <w:sz w:val="24"/>
          <w:szCs w:val="24"/>
        </w:rPr>
        <w:t xml:space="preserve">el accionante cumple con las condiciones </w:t>
      </w:r>
      <w:r w:rsidR="00A83616">
        <w:rPr>
          <w:rFonts w:ascii="Arial" w:hAnsi="Arial" w:cs="Arial"/>
          <w:sz w:val="24"/>
          <w:szCs w:val="24"/>
        </w:rPr>
        <w:t>para acceder a las medidas previstas de la Ley 1448 de 2011</w:t>
      </w:r>
      <w:r w:rsidR="00D16D08">
        <w:rPr>
          <w:rFonts w:ascii="Arial" w:hAnsi="Arial" w:cs="Arial"/>
          <w:sz w:val="24"/>
          <w:szCs w:val="24"/>
        </w:rPr>
        <w:t>,</w:t>
      </w:r>
      <w:r w:rsidR="003066FB">
        <w:rPr>
          <w:rFonts w:ascii="Arial" w:hAnsi="Arial" w:cs="Arial"/>
          <w:sz w:val="24"/>
          <w:szCs w:val="24"/>
        </w:rPr>
        <w:t xml:space="preserve"> se </w:t>
      </w:r>
      <w:r w:rsidR="00E812E1">
        <w:rPr>
          <w:rFonts w:ascii="Arial" w:hAnsi="Arial" w:cs="Arial"/>
          <w:sz w:val="24"/>
          <w:szCs w:val="24"/>
        </w:rPr>
        <w:t>le</w:t>
      </w:r>
      <w:r w:rsidR="003066FB">
        <w:rPr>
          <w:rFonts w:ascii="Arial" w:hAnsi="Arial" w:cs="Arial"/>
          <w:sz w:val="24"/>
          <w:szCs w:val="24"/>
        </w:rPr>
        <w:t xml:space="preserve"> inclu</w:t>
      </w:r>
      <w:r w:rsidR="00E812E1">
        <w:rPr>
          <w:rFonts w:ascii="Arial" w:hAnsi="Arial" w:cs="Arial"/>
          <w:sz w:val="24"/>
          <w:szCs w:val="24"/>
        </w:rPr>
        <w:t xml:space="preserve">yó en </w:t>
      </w:r>
      <w:r w:rsidR="003066FB">
        <w:rPr>
          <w:rFonts w:ascii="Arial" w:hAnsi="Arial" w:cs="Arial"/>
          <w:sz w:val="24"/>
          <w:szCs w:val="24"/>
        </w:rPr>
        <w:t>el R</w:t>
      </w:r>
      <w:r w:rsidR="00E812E1">
        <w:rPr>
          <w:rFonts w:ascii="Arial" w:hAnsi="Arial" w:cs="Arial"/>
          <w:sz w:val="24"/>
          <w:szCs w:val="24"/>
        </w:rPr>
        <w:t xml:space="preserve">egistro Único de </w:t>
      </w:r>
      <w:r w:rsidR="003066FB">
        <w:rPr>
          <w:rFonts w:ascii="Arial" w:hAnsi="Arial" w:cs="Arial"/>
          <w:sz w:val="24"/>
          <w:szCs w:val="24"/>
        </w:rPr>
        <w:t>V</w:t>
      </w:r>
      <w:r w:rsidR="00E812E1">
        <w:rPr>
          <w:rFonts w:ascii="Arial" w:hAnsi="Arial" w:cs="Arial"/>
          <w:sz w:val="24"/>
          <w:szCs w:val="24"/>
        </w:rPr>
        <w:t xml:space="preserve">íctimas </w:t>
      </w:r>
      <w:r w:rsidR="003066FB">
        <w:rPr>
          <w:rFonts w:ascii="Arial" w:hAnsi="Arial" w:cs="Arial"/>
          <w:sz w:val="24"/>
          <w:szCs w:val="24"/>
        </w:rPr>
        <w:t>y reconoc</w:t>
      </w:r>
      <w:r w:rsidR="00E812E1">
        <w:rPr>
          <w:rFonts w:ascii="Arial" w:hAnsi="Arial" w:cs="Arial"/>
          <w:sz w:val="24"/>
          <w:szCs w:val="24"/>
        </w:rPr>
        <w:t>ió</w:t>
      </w:r>
      <w:r w:rsidR="003066FB">
        <w:rPr>
          <w:rFonts w:ascii="Arial" w:hAnsi="Arial" w:cs="Arial"/>
          <w:sz w:val="24"/>
          <w:szCs w:val="24"/>
        </w:rPr>
        <w:t xml:space="preserve"> el hecho </w:t>
      </w:r>
      <w:proofErr w:type="spellStart"/>
      <w:r w:rsidR="003066FB">
        <w:rPr>
          <w:rFonts w:ascii="Arial" w:hAnsi="Arial" w:cs="Arial"/>
          <w:sz w:val="24"/>
          <w:szCs w:val="24"/>
        </w:rPr>
        <w:t>victimizant</w:t>
      </w:r>
      <w:r w:rsidR="00E812E1">
        <w:rPr>
          <w:rFonts w:ascii="Arial" w:hAnsi="Arial" w:cs="Arial"/>
          <w:sz w:val="24"/>
          <w:szCs w:val="24"/>
        </w:rPr>
        <w:t>e</w:t>
      </w:r>
      <w:proofErr w:type="spellEnd"/>
      <w:r w:rsidR="003066FB">
        <w:rPr>
          <w:rFonts w:ascii="Arial" w:hAnsi="Arial" w:cs="Arial"/>
          <w:sz w:val="24"/>
          <w:szCs w:val="24"/>
        </w:rPr>
        <w:t xml:space="preserve"> de</w:t>
      </w:r>
      <w:r w:rsidR="00E812E1">
        <w:rPr>
          <w:rFonts w:ascii="Arial" w:hAnsi="Arial" w:cs="Arial"/>
          <w:sz w:val="24"/>
          <w:szCs w:val="24"/>
        </w:rPr>
        <w:t>l</w:t>
      </w:r>
      <w:r w:rsidR="003066FB">
        <w:rPr>
          <w:rFonts w:ascii="Arial" w:hAnsi="Arial" w:cs="Arial"/>
          <w:sz w:val="24"/>
          <w:szCs w:val="24"/>
        </w:rPr>
        <w:t xml:space="preserve"> desplazamiento forzado</w:t>
      </w:r>
      <w:r w:rsidR="00E812E1">
        <w:rPr>
          <w:rFonts w:ascii="Arial" w:hAnsi="Arial" w:cs="Arial"/>
          <w:sz w:val="24"/>
          <w:szCs w:val="24"/>
        </w:rPr>
        <w:t>;</w:t>
      </w:r>
      <w:r w:rsidR="00D16D08">
        <w:rPr>
          <w:rFonts w:ascii="Arial" w:hAnsi="Arial" w:cs="Arial"/>
          <w:sz w:val="24"/>
          <w:szCs w:val="24"/>
        </w:rPr>
        <w:t xml:space="preserve"> pero</w:t>
      </w:r>
      <w:r w:rsidR="00E812E1">
        <w:rPr>
          <w:rFonts w:ascii="Arial" w:hAnsi="Arial" w:cs="Arial"/>
          <w:sz w:val="24"/>
          <w:szCs w:val="24"/>
        </w:rPr>
        <w:t xml:space="preserve"> no el de </w:t>
      </w:r>
      <w:r w:rsidR="00D16D08">
        <w:rPr>
          <w:rFonts w:ascii="Arial" w:hAnsi="Arial" w:cs="Arial"/>
          <w:sz w:val="24"/>
          <w:szCs w:val="24"/>
        </w:rPr>
        <w:t>secuestro</w:t>
      </w:r>
      <w:r w:rsidR="00495069">
        <w:rPr>
          <w:rFonts w:ascii="Arial" w:hAnsi="Arial" w:cs="Arial"/>
          <w:sz w:val="24"/>
          <w:szCs w:val="24"/>
        </w:rPr>
        <w:t xml:space="preserve">; resolviéndose los recursos interpuestos frente a esta decisión, donde se le expusieron </w:t>
      </w:r>
      <w:r w:rsidR="003066FB">
        <w:rPr>
          <w:rFonts w:ascii="Arial" w:hAnsi="Arial" w:cs="Arial"/>
          <w:sz w:val="24"/>
          <w:szCs w:val="24"/>
        </w:rPr>
        <w:t>los argumentos</w:t>
      </w:r>
      <w:r w:rsidR="00495069">
        <w:rPr>
          <w:rFonts w:ascii="Arial" w:hAnsi="Arial" w:cs="Arial"/>
          <w:sz w:val="24"/>
          <w:szCs w:val="24"/>
        </w:rPr>
        <w:t xml:space="preserve"> para la no inclusión d</w:t>
      </w:r>
      <w:r w:rsidR="003066FB">
        <w:rPr>
          <w:rFonts w:ascii="Arial" w:hAnsi="Arial" w:cs="Arial"/>
          <w:sz w:val="24"/>
          <w:szCs w:val="24"/>
        </w:rPr>
        <w:t xml:space="preserve">el hecho </w:t>
      </w:r>
      <w:proofErr w:type="spellStart"/>
      <w:r w:rsidR="003066FB">
        <w:rPr>
          <w:rFonts w:ascii="Arial" w:hAnsi="Arial" w:cs="Arial"/>
          <w:sz w:val="24"/>
          <w:szCs w:val="24"/>
        </w:rPr>
        <w:t>victimizant</w:t>
      </w:r>
      <w:r w:rsidR="00495069">
        <w:rPr>
          <w:rFonts w:ascii="Arial" w:hAnsi="Arial" w:cs="Arial"/>
          <w:sz w:val="24"/>
          <w:szCs w:val="24"/>
        </w:rPr>
        <w:t>e</w:t>
      </w:r>
      <w:proofErr w:type="spellEnd"/>
      <w:r w:rsidR="003066FB">
        <w:rPr>
          <w:rFonts w:ascii="Arial" w:hAnsi="Arial" w:cs="Arial"/>
          <w:sz w:val="24"/>
          <w:szCs w:val="24"/>
        </w:rPr>
        <w:t xml:space="preserve"> de secuestro.</w:t>
      </w:r>
    </w:p>
    <w:p w:rsidR="00275551" w:rsidRDefault="00275551" w:rsidP="00CA57AD">
      <w:pPr>
        <w:spacing w:after="0"/>
        <w:contextualSpacing/>
        <w:jc w:val="both"/>
        <w:rPr>
          <w:rFonts w:ascii="Arial" w:hAnsi="Arial" w:cs="Arial"/>
          <w:sz w:val="24"/>
          <w:szCs w:val="24"/>
        </w:rPr>
      </w:pPr>
    </w:p>
    <w:p w:rsidR="00CC2110" w:rsidRDefault="00CC2110" w:rsidP="00CA57AD">
      <w:pPr>
        <w:spacing w:after="0"/>
        <w:contextualSpacing/>
        <w:jc w:val="both"/>
        <w:rPr>
          <w:rFonts w:ascii="Arial" w:hAnsi="Arial" w:cs="Arial"/>
          <w:sz w:val="24"/>
          <w:szCs w:val="24"/>
        </w:rPr>
      </w:pPr>
      <w:r>
        <w:rPr>
          <w:rFonts w:ascii="Arial" w:hAnsi="Arial" w:cs="Arial"/>
          <w:sz w:val="24"/>
          <w:szCs w:val="24"/>
        </w:rPr>
        <w:lastRenderedPageBreak/>
        <w:t>Solicitó la improcedencia de la acción de tutela</w:t>
      </w:r>
      <w:r w:rsidR="00D501A5">
        <w:rPr>
          <w:rFonts w:ascii="Arial" w:hAnsi="Arial" w:cs="Arial"/>
          <w:sz w:val="24"/>
          <w:szCs w:val="24"/>
        </w:rPr>
        <w:t xml:space="preserve"> por no existir</w:t>
      </w:r>
      <w:r w:rsidR="0048319E">
        <w:rPr>
          <w:rFonts w:ascii="Arial" w:hAnsi="Arial" w:cs="Arial"/>
          <w:sz w:val="24"/>
          <w:szCs w:val="24"/>
        </w:rPr>
        <w:t xml:space="preserve"> un perjuicio irremediable</w:t>
      </w:r>
      <w:r w:rsidR="00D501A5">
        <w:rPr>
          <w:rFonts w:ascii="Arial" w:hAnsi="Arial" w:cs="Arial"/>
          <w:sz w:val="24"/>
          <w:szCs w:val="24"/>
        </w:rPr>
        <w:t xml:space="preserve">, </w:t>
      </w:r>
      <w:r w:rsidR="0048319E">
        <w:rPr>
          <w:rFonts w:ascii="Arial" w:hAnsi="Arial" w:cs="Arial"/>
          <w:sz w:val="24"/>
          <w:szCs w:val="24"/>
        </w:rPr>
        <w:t>para dejar de lado los medios judiciales y/o administrativos previsto</w:t>
      </w:r>
      <w:r w:rsidR="000D180F">
        <w:rPr>
          <w:rFonts w:ascii="Arial" w:hAnsi="Arial" w:cs="Arial"/>
          <w:sz w:val="24"/>
          <w:szCs w:val="24"/>
        </w:rPr>
        <w:t>s</w:t>
      </w:r>
      <w:r w:rsidR="0048319E">
        <w:rPr>
          <w:rFonts w:ascii="Arial" w:hAnsi="Arial" w:cs="Arial"/>
          <w:sz w:val="24"/>
          <w:szCs w:val="24"/>
        </w:rPr>
        <w:t xml:space="preserve"> en el ordenamiento jurídico.</w:t>
      </w:r>
    </w:p>
    <w:p w:rsidR="003066FB" w:rsidRDefault="003066FB" w:rsidP="00CA57AD">
      <w:pPr>
        <w:spacing w:after="0"/>
        <w:contextualSpacing/>
        <w:jc w:val="both"/>
        <w:rPr>
          <w:rFonts w:ascii="Arial" w:hAnsi="Arial" w:cs="Arial"/>
          <w:sz w:val="24"/>
          <w:szCs w:val="24"/>
        </w:rPr>
      </w:pPr>
    </w:p>
    <w:p w:rsidR="00253C5C" w:rsidRPr="00365192" w:rsidRDefault="00253C5C" w:rsidP="00253C5C">
      <w:pPr>
        <w:spacing w:before="240" w:after="240" w:line="360" w:lineRule="auto"/>
        <w:jc w:val="both"/>
        <w:rPr>
          <w:rFonts w:ascii="Arial" w:hAnsi="Arial" w:cs="Arial"/>
          <w:b/>
          <w:color w:val="000000"/>
          <w:sz w:val="24"/>
          <w:szCs w:val="24"/>
          <w:lang w:eastAsia="es-ES"/>
        </w:rPr>
      </w:pPr>
      <w:r w:rsidRPr="00365192">
        <w:rPr>
          <w:rFonts w:ascii="Arial" w:hAnsi="Arial" w:cs="Arial"/>
          <w:b/>
          <w:color w:val="000000"/>
          <w:sz w:val="24"/>
          <w:szCs w:val="24"/>
          <w:lang w:eastAsia="es-ES"/>
        </w:rPr>
        <w:t>3. Sentencia impugnada</w:t>
      </w:r>
    </w:p>
    <w:p w:rsidR="002B5383" w:rsidRDefault="00253C5C" w:rsidP="008743A4">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00EE442B">
        <w:rPr>
          <w:rFonts w:ascii="Arial" w:hAnsi="Arial" w:cs="Arial"/>
          <w:sz w:val="24"/>
          <w:szCs w:val="24"/>
          <w:lang w:eastAsia="es-ES"/>
        </w:rPr>
        <w:t xml:space="preserve"> J</w:t>
      </w:r>
      <w:r w:rsidRPr="00365192">
        <w:rPr>
          <w:rFonts w:ascii="Arial" w:hAnsi="Arial" w:cs="Arial"/>
          <w:sz w:val="24"/>
          <w:szCs w:val="24"/>
          <w:lang w:eastAsia="es-ES"/>
        </w:rPr>
        <w:t>uez</w:t>
      </w:r>
      <w:r>
        <w:rPr>
          <w:rFonts w:ascii="Arial" w:hAnsi="Arial" w:cs="Arial"/>
          <w:sz w:val="24"/>
          <w:szCs w:val="24"/>
          <w:lang w:eastAsia="es-ES"/>
        </w:rPr>
        <w:t>a</w:t>
      </w:r>
      <w:r w:rsidR="00D501A5">
        <w:rPr>
          <w:rFonts w:ascii="Arial" w:hAnsi="Arial" w:cs="Arial"/>
          <w:color w:val="000000"/>
          <w:sz w:val="24"/>
          <w:szCs w:val="24"/>
          <w:lang w:eastAsia="es-ES"/>
        </w:rPr>
        <w:t xml:space="preserve"> </w:t>
      </w:r>
      <w:r w:rsidR="000D180F">
        <w:rPr>
          <w:rFonts w:ascii="Arial" w:hAnsi="Arial" w:cs="Arial"/>
          <w:color w:val="000000"/>
          <w:sz w:val="24"/>
          <w:szCs w:val="24"/>
          <w:lang w:eastAsia="es-ES"/>
        </w:rPr>
        <w:t>enc</w:t>
      </w:r>
      <w:r w:rsidR="00D501A5">
        <w:rPr>
          <w:rFonts w:ascii="Arial" w:hAnsi="Arial" w:cs="Arial"/>
          <w:color w:val="000000"/>
          <w:sz w:val="24"/>
          <w:szCs w:val="24"/>
          <w:lang w:eastAsia="es-ES"/>
        </w:rPr>
        <w:t xml:space="preserve">ontró </w:t>
      </w:r>
      <w:r w:rsidR="000D180F">
        <w:rPr>
          <w:rFonts w:ascii="Arial" w:hAnsi="Arial" w:cs="Arial"/>
          <w:color w:val="000000"/>
          <w:sz w:val="24"/>
          <w:szCs w:val="24"/>
          <w:lang w:eastAsia="es-ES"/>
        </w:rPr>
        <w:t xml:space="preserve">que la entidad encargada resolvió </w:t>
      </w:r>
      <w:r w:rsidR="00D501A5">
        <w:rPr>
          <w:rFonts w:ascii="Arial" w:hAnsi="Arial" w:cs="Arial"/>
          <w:color w:val="000000"/>
          <w:sz w:val="24"/>
          <w:szCs w:val="24"/>
          <w:lang w:eastAsia="es-ES"/>
        </w:rPr>
        <w:t>las</w:t>
      </w:r>
      <w:r w:rsidR="000D180F">
        <w:rPr>
          <w:rFonts w:ascii="Arial" w:hAnsi="Arial" w:cs="Arial"/>
          <w:color w:val="000000"/>
          <w:sz w:val="24"/>
          <w:szCs w:val="24"/>
          <w:lang w:eastAsia="es-ES"/>
        </w:rPr>
        <w:t xml:space="preserve"> peticiones </w:t>
      </w:r>
      <w:r w:rsidR="00D501A5">
        <w:rPr>
          <w:rFonts w:ascii="Arial" w:hAnsi="Arial" w:cs="Arial"/>
          <w:color w:val="000000"/>
          <w:sz w:val="24"/>
          <w:szCs w:val="24"/>
          <w:lang w:eastAsia="es-ES"/>
        </w:rPr>
        <w:t xml:space="preserve">del actor, actos administrativos que están en </w:t>
      </w:r>
      <w:r w:rsidR="000D180F">
        <w:rPr>
          <w:rFonts w:ascii="Arial" w:hAnsi="Arial" w:cs="Arial"/>
          <w:color w:val="000000"/>
          <w:sz w:val="24"/>
          <w:szCs w:val="24"/>
          <w:lang w:eastAsia="es-ES"/>
        </w:rPr>
        <w:t>firmes</w:t>
      </w:r>
      <w:r w:rsidR="00D501A5">
        <w:rPr>
          <w:rFonts w:ascii="Arial" w:hAnsi="Arial" w:cs="Arial"/>
          <w:color w:val="000000"/>
          <w:sz w:val="24"/>
          <w:szCs w:val="24"/>
          <w:lang w:eastAsia="es-ES"/>
        </w:rPr>
        <w:t xml:space="preserve"> y </w:t>
      </w:r>
      <w:r w:rsidR="000D180F">
        <w:rPr>
          <w:rFonts w:ascii="Arial" w:hAnsi="Arial" w:cs="Arial"/>
          <w:color w:val="000000"/>
          <w:sz w:val="24"/>
          <w:szCs w:val="24"/>
          <w:lang w:eastAsia="es-ES"/>
        </w:rPr>
        <w:t>no es el juez de tutela el llamado a</w:t>
      </w:r>
      <w:r w:rsidR="00D501A5">
        <w:rPr>
          <w:rFonts w:ascii="Arial" w:hAnsi="Arial" w:cs="Arial"/>
          <w:color w:val="000000"/>
          <w:sz w:val="24"/>
          <w:szCs w:val="24"/>
          <w:lang w:eastAsia="es-ES"/>
        </w:rPr>
        <w:t xml:space="preserve"> </w:t>
      </w:r>
      <w:r w:rsidR="000D180F">
        <w:rPr>
          <w:rFonts w:ascii="Arial" w:hAnsi="Arial" w:cs="Arial"/>
          <w:color w:val="000000"/>
          <w:sz w:val="24"/>
          <w:szCs w:val="24"/>
          <w:lang w:eastAsia="es-ES"/>
        </w:rPr>
        <w:t>de</w:t>
      </w:r>
      <w:r w:rsidR="0067627A">
        <w:rPr>
          <w:rFonts w:ascii="Arial" w:hAnsi="Arial" w:cs="Arial"/>
          <w:color w:val="000000"/>
          <w:sz w:val="24"/>
          <w:szCs w:val="24"/>
          <w:lang w:eastAsia="es-ES"/>
        </w:rPr>
        <w:t>jar</w:t>
      </w:r>
      <w:r w:rsidR="00D501A5">
        <w:rPr>
          <w:rFonts w:ascii="Arial" w:hAnsi="Arial" w:cs="Arial"/>
          <w:color w:val="000000"/>
          <w:sz w:val="24"/>
          <w:szCs w:val="24"/>
          <w:lang w:eastAsia="es-ES"/>
        </w:rPr>
        <w:t>los</w:t>
      </w:r>
      <w:r w:rsidR="0067627A">
        <w:rPr>
          <w:rFonts w:ascii="Arial" w:hAnsi="Arial" w:cs="Arial"/>
          <w:color w:val="000000"/>
          <w:sz w:val="24"/>
          <w:szCs w:val="24"/>
          <w:lang w:eastAsia="es-ES"/>
        </w:rPr>
        <w:t xml:space="preserve"> sin efecto</w:t>
      </w:r>
      <w:r w:rsidR="00D501A5">
        <w:rPr>
          <w:rFonts w:ascii="Arial" w:hAnsi="Arial" w:cs="Arial"/>
          <w:color w:val="000000"/>
          <w:sz w:val="24"/>
          <w:szCs w:val="24"/>
          <w:lang w:eastAsia="es-ES"/>
        </w:rPr>
        <w:t>s</w:t>
      </w:r>
      <w:r w:rsidR="002B5383">
        <w:rPr>
          <w:rFonts w:ascii="Arial" w:hAnsi="Arial" w:cs="Arial"/>
          <w:color w:val="000000"/>
          <w:sz w:val="24"/>
          <w:szCs w:val="24"/>
          <w:lang w:eastAsia="es-ES"/>
        </w:rPr>
        <w:t>; de tal manera</w:t>
      </w:r>
      <w:r w:rsidR="00426519">
        <w:rPr>
          <w:rFonts w:ascii="Arial" w:hAnsi="Arial" w:cs="Arial"/>
          <w:color w:val="000000"/>
          <w:sz w:val="24"/>
          <w:szCs w:val="24"/>
          <w:lang w:eastAsia="es-ES"/>
        </w:rPr>
        <w:t>,</w:t>
      </w:r>
      <w:r w:rsidR="002B5383">
        <w:rPr>
          <w:rFonts w:ascii="Arial" w:hAnsi="Arial" w:cs="Arial"/>
          <w:color w:val="000000"/>
          <w:sz w:val="24"/>
          <w:szCs w:val="24"/>
          <w:lang w:eastAsia="es-ES"/>
        </w:rPr>
        <w:t xml:space="preserve"> no se </w:t>
      </w:r>
      <w:r w:rsidR="0067627A">
        <w:rPr>
          <w:rFonts w:ascii="Arial" w:hAnsi="Arial" w:cs="Arial"/>
          <w:color w:val="000000"/>
          <w:sz w:val="24"/>
          <w:szCs w:val="24"/>
          <w:lang w:eastAsia="es-ES"/>
        </w:rPr>
        <w:t xml:space="preserve">cumple con el requisito de subsidiariedad, </w:t>
      </w:r>
      <w:r w:rsidR="002B5383">
        <w:rPr>
          <w:rFonts w:ascii="Arial" w:hAnsi="Arial" w:cs="Arial"/>
          <w:color w:val="000000"/>
          <w:sz w:val="24"/>
          <w:szCs w:val="24"/>
          <w:lang w:eastAsia="es-ES"/>
        </w:rPr>
        <w:t xml:space="preserve">al  </w:t>
      </w:r>
      <w:r w:rsidR="0067627A">
        <w:rPr>
          <w:rFonts w:ascii="Arial" w:hAnsi="Arial" w:cs="Arial"/>
          <w:color w:val="000000"/>
          <w:sz w:val="24"/>
          <w:szCs w:val="24"/>
          <w:lang w:eastAsia="es-ES"/>
        </w:rPr>
        <w:t>exist</w:t>
      </w:r>
      <w:r w:rsidR="002B5383">
        <w:rPr>
          <w:rFonts w:ascii="Arial" w:hAnsi="Arial" w:cs="Arial"/>
          <w:color w:val="000000"/>
          <w:sz w:val="24"/>
          <w:szCs w:val="24"/>
          <w:lang w:eastAsia="es-ES"/>
        </w:rPr>
        <w:t xml:space="preserve">ir </w:t>
      </w:r>
      <w:r w:rsidR="0067627A">
        <w:rPr>
          <w:rFonts w:ascii="Arial" w:hAnsi="Arial" w:cs="Arial"/>
          <w:color w:val="000000"/>
          <w:sz w:val="24"/>
          <w:szCs w:val="24"/>
          <w:lang w:eastAsia="es-ES"/>
        </w:rPr>
        <w:t>otro mecanismo para buscar lo pretendido</w:t>
      </w:r>
      <w:r w:rsidR="00426519">
        <w:rPr>
          <w:rFonts w:ascii="Arial" w:hAnsi="Arial" w:cs="Arial"/>
          <w:color w:val="000000"/>
          <w:sz w:val="24"/>
          <w:szCs w:val="24"/>
          <w:lang w:eastAsia="es-ES"/>
        </w:rPr>
        <w:t xml:space="preserve">, ser incluido el hecho </w:t>
      </w:r>
      <w:proofErr w:type="spellStart"/>
      <w:r w:rsidR="00426519">
        <w:rPr>
          <w:rFonts w:ascii="Arial" w:hAnsi="Arial" w:cs="Arial"/>
          <w:color w:val="000000"/>
          <w:sz w:val="24"/>
          <w:szCs w:val="24"/>
          <w:lang w:eastAsia="es-ES"/>
        </w:rPr>
        <w:t>victimizante</w:t>
      </w:r>
      <w:proofErr w:type="spellEnd"/>
      <w:r w:rsidR="00426519">
        <w:rPr>
          <w:rFonts w:ascii="Arial" w:hAnsi="Arial" w:cs="Arial"/>
          <w:color w:val="000000"/>
          <w:sz w:val="24"/>
          <w:szCs w:val="24"/>
          <w:lang w:eastAsia="es-ES"/>
        </w:rPr>
        <w:t xml:space="preserve"> del secuestro</w:t>
      </w:r>
      <w:r w:rsidR="002B5383">
        <w:rPr>
          <w:rFonts w:ascii="Arial" w:hAnsi="Arial" w:cs="Arial"/>
          <w:color w:val="000000"/>
          <w:sz w:val="24"/>
          <w:szCs w:val="24"/>
          <w:lang w:eastAsia="es-ES"/>
        </w:rPr>
        <w:t xml:space="preserve">, que lo es la acción </w:t>
      </w:r>
      <w:r w:rsidR="0067627A">
        <w:rPr>
          <w:rFonts w:ascii="Arial" w:hAnsi="Arial" w:cs="Arial"/>
          <w:color w:val="000000"/>
          <w:sz w:val="24"/>
          <w:szCs w:val="24"/>
          <w:lang w:eastAsia="es-ES"/>
        </w:rPr>
        <w:t>de nulidad y restablecimiento del derecho</w:t>
      </w:r>
      <w:r w:rsidR="002B5383">
        <w:rPr>
          <w:rFonts w:ascii="Arial" w:hAnsi="Arial" w:cs="Arial"/>
          <w:color w:val="000000"/>
          <w:sz w:val="24"/>
          <w:szCs w:val="24"/>
          <w:lang w:eastAsia="es-ES"/>
        </w:rPr>
        <w:t>.</w:t>
      </w:r>
    </w:p>
    <w:p w:rsidR="00253C5C" w:rsidRPr="0067627A" w:rsidRDefault="00253C5C" w:rsidP="008743A4">
      <w:pPr>
        <w:spacing w:before="240" w:after="0"/>
        <w:jc w:val="both"/>
        <w:rPr>
          <w:rFonts w:ascii="Arial" w:hAnsi="Arial" w:cs="Arial"/>
          <w:color w:val="000000"/>
          <w:sz w:val="24"/>
          <w:szCs w:val="24"/>
          <w:lang w:eastAsia="es-ES"/>
        </w:rPr>
      </w:pPr>
      <w:r w:rsidRPr="00365192">
        <w:rPr>
          <w:rFonts w:ascii="Arial" w:hAnsi="Arial" w:cs="Arial"/>
          <w:b/>
          <w:color w:val="000000"/>
          <w:sz w:val="24"/>
          <w:szCs w:val="24"/>
          <w:lang w:eastAsia="es-ES"/>
        </w:rPr>
        <w:t>4. Impugnación</w:t>
      </w:r>
    </w:p>
    <w:p w:rsidR="00B94600" w:rsidRDefault="00B94600" w:rsidP="00CA57AD">
      <w:pPr>
        <w:pStyle w:val="Prrafodelista"/>
        <w:spacing w:after="0"/>
        <w:jc w:val="center"/>
        <w:rPr>
          <w:rFonts w:ascii="Arial" w:hAnsi="Arial" w:cs="Arial"/>
          <w:b/>
          <w:sz w:val="24"/>
          <w:szCs w:val="24"/>
        </w:rPr>
      </w:pPr>
    </w:p>
    <w:p w:rsidR="00E517E4" w:rsidRDefault="00E517E4" w:rsidP="00870933">
      <w:pPr>
        <w:spacing w:after="0"/>
        <w:jc w:val="both"/>
        <w:rPr>
          <w:rFonts w:ascii="Arial" w:hAnsi="Arial" w:cs="Arial"/>
          <w:sz w:val="24"/>
          <w:szCs w:val="24"/>
        </w:rPr>
      </w:pPr>
      <w:r>
        <w:rPr>
          <w:rFonts w:ascii="Arial" w:hAnsi="Arial" w:cs="Arial"/>
          <w:sz w:val="24"/>
          <w:szCs w:val="24"/>
        </w:rPr>
        <w:t>Inconforme con la d</w:t>
      </w:r>
      <w:r w:rsidR="00B043A4">
        <w:rPr>
          <w:rFonts w:ascii="Arial" w:hAnsi="Arial" w:cs="Arial"/>
          <w:sz w:val="24"/>
          <w:szCs w:val="24"/>
        </w:rPr>
        <w:t>ecisión</w:t>
      </w:r>
      <w:r>
        <w:rPr>
          <w:rFonts w:ascii="Arial" w:hAnsi="Arial" w:cs="Arial"/>
          <w:sz w:val="24"/>
          <w:szCs w:val="24"/>
        </w:rPr>
        <w:t xml:space="preserve">, el accionante la impugna y expone que </w:t>
      </w:r>
      <w:r w:rsidR="00F119CF">
        <w:rPr>
          <w:rFonts w:ascii="Arial" w:hAnsi="Arial" w:cs="Arial"/>
          <w:sz w:val="24"/>
          <w:szCs w:val="24"/>
        </w:rPr>
        <w:t>existe un daño irremediable</w:t>
      </w:r>
      <w:r>
        <w:rPr>
          <w:rFonts w:ascii="Arial" w:hAnsi="Arial" w:cs="Arial"/>
          <w:sz w:val="24"/>
          <w:szCs w:val="24"/>
        </w:rPr>
        <w:t xml:space="preserve">, </w:t>
      </w:r>
      <w:r w:rsidR="00F119CF">
        <w:rPr>
          <w:rFonts w:ascii="Arial" w:hAnsi="Arial" w:cs="Arial"/>
          <w:sz w:val="24"/>
          <w:szCs w:val="24"/>
        </w:rPr>
        <w:t xml:space="preserve">no cuenta con los medios económicos para presentar demanda administrativa y como tampoco </w:t>
      </w:r>
      <w:r w:rsidR="000B289D">
        <w:rPr>
          <w:rFonts w:ascii="Arial" w:hAnsi="Arial" w:cs="Arial"/>
          <w:sz w:val="24"/>
          <w:szCs w:val="24"/>
        </w:rPr>
        <w:t>tiene</w:t>
      </w:r>
      <w:r w:rsidR="00F119CF">
        <w:rPr>
          <w:rFonts w:ascii="Arial" w:hAnsi="Arial" w:cs="Arial"/>
          <w:sz w:val="24"/>
          <w:szCs w:val="24"/>
        </w:rPr>
        <w:t xml:space="preserve"> la facilidad para defender sus derechos</w:t>
      </w:r>
      <w:r w:rsidR="000B289D">
        <w:rPr>
          <w:rFonts w:ascii="Arial" w:hAnsi="Arial" w:cs="Arial"/>
          <w:sz w:val="24"/>
          <w:szCs w:val="24"/>
        </w:rPr>
        <w:t xml:space="preserve">, </w:t>
      </w:r>
      <w:r w:rsidR="00F119CF">
        <w:rPr>
          <w:rFonts w:ascii="Arial" w:hAnsi="Arial" w:cs="Arial"/>
          <w:sz w:val="24"/>
          <w:szCs w:val="24"/>
        </w:rPr>
        <w:t>ya que sigue siendo perseguido por las personas del grupo armado que lo desplaz</w:t>
      </w:r>
      <w:r>
        <w:rPr>
          <w:rFonts w:ascii="Arial" w:hAnsi="Arial" w:cs="Arial"/>
          <w:sz w:val="24"/>
          <w:szCs w:val="24"/>
        </w:rPr>
        <w:t>ó.</w:t>
      </w:r>
    </w:p>
    <w:p w:rsidR="00E517E4" w:rsidRDefault="00E517E4" w:rsidP="00870933">
      <w:pPr>
        <w:spacing w:after="0"/>
        <w:jc w:val="both"/>
        <w:rPr>
          <w:rFonts w:ascii="Arial" w:hAnsi="Arial" w:cs="Arial"/>
          <w:sz w:val="24"/>
          <w:szCs w:val="24"/>
        </w:rPr>
      </w:pPr>
    </w:p>
    <w:p w:rsidR="00870933" w:rsidRDefault="00E517E4" w:rsidP="00870933">
      <w:pPr>
        <w:spacing w:after="0"/>
        <w:jc w:val="both"/>
        <w:rPr>
          <w:rFonts w:ascii="Arial" w:hAnsi="Arial" w:cs="Arial"/>
          <w:sz w:val="24"/>
          <w:szCs w:val="24"/>
        </w:rPr>
      </w:pPr>
      <w:r>
        <w:rPr>
          <w:rFonts w:ascii="Arial" w:hAnsi="Arial" w:cs="Arial"/>
          <w:sz w:val="24"/>
          <w:szCs w:val="24"/>
        </w:rPr>
        <w:t>Agrega</w:t>
      </w:r>
      <w:r w:rsidR="00F119CF">
        <w:rPr>
          <w:rFonts w:ascii="Arial" w:hAnsi="Arial" w:cs="Arial"/>
          <w:sz w:val="24"/>
          <w:szCs w:val="24"/>
        </w:rPr>
        <w:t>,</w:t>
      </w:r>
      <w:r>
        <w:rPr>
          <w:rFonts w:ascii="Arial" w:hAnsi="Arial" w:cs="Arial"/>
          <w:sz w:val="24"/>
          <w:szCs w:val="24"/>
        </w:rPr>
        <w:t xml:space="preserve"> que si </w:t>
      </w:r>
      <w:r w:rsidR="00F119CF">
        <w:rPr>
          <w:rFonts w:ascii="Arial" w:hAnsi="Arial" w:cs="Arial"/>
          <w:sz w:val="24"/>
          <w:szCs w:val="24"/>
        </w:rPr>
        <w:t xml:space="preserve">Unidad de Víctimas le reconoció </w:t>
      </w:r>
      <w:r w:rsidR="00870933">
        <w:rPr>
          <w:rFonts w:ascii="Arial" w:hAnsi="Arial" w:cs="Arial"/>
          <w:sz w:val="24"/>
          <w:szCs w:val="24"/>
        </w:rPr>
        <w:t>el desplazamiento, lo más lógico e</w:t>
      </w:r>
      <w:r>
        <w:rPr>
          <w:rFonts w:ascii="Arial" w:hAnsi="Arial" w:cs="Arial"/>
          <w:sz w:val="24"/>
          <w:szCs w:val="24"/>
        </w:rPr>
        <w:t xml:space="preserve">ra considerar el </w:t>
      </w:r>
      <w:r w:rsidR="00870933">
        <w:rPr>
          <w:rFonts w:ascii="Arial" w:hAnsi="Arial" w:cs="Arial"/>
          <w:sz w:val="24"/>
          <w:szCs w:val="24"/>
        </w:rPr>
        <w:t>secuestro</w:t>
      </w:r>
      <w:r>
        <w:rPr>
          <w:rFonts w:ascii="Arial" w:hAnsi="Arial" w:cs="Arial"/>
          <w:sz w:val="24"/>
          <w:szCs w:val="24"/>
        </w:rPr>
        <w:t xml:space="preserve"> y n</w:t>
      </w:r>
      <w:r w:rsidR="000B289D">
        <w:rPr>
          <w:rFonts w:ascii="Arial" w:hAnsi="Arial" w:cs="Arial"/>
          <w:sz w:val="24"/>
          <w:szCs w:val="24"/>
        </w:rPr>
        <w:t>o lo que le dij</w:t>
      </w:r>
      <w:r>
        <w:rPr>
          <w:rFonts w:ascii="Arial" w:hAnsi="Arial" w:cs="Arial"/>
          <w:sz w:val="24"/>
          <w:szCs w:val="24"/>
        </w:rPr>
        <w:t>o,</w:t>
      </w:r>
      <w:r w:rsidR="00870933">
        <w:rPr>
          <w:rFonts w:ascii="Arial" w:hAnsi="Arial" w:cs="Arial"/>
          <w:sz w:val="24"/>
          <w:szCs w:val="24"/>
        </w:rPr>
        <w:t xml:space="preserve"> que la retención ilegal no es secuestro. </w:t>
      </w:r>
    </w:p>
    <w:p w:rsidR="00B94600" w:rsidRPr="000B289D" w:rsidRDefault="00B94600" w:rsidP="000B289D">
      <w:pPr>
        <w:spacing w:after="0"/>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7044AA" w:rsidRPr="00430C49" w:rsidRDefault="007044AA" w:rsidP="00CA57AD">
      <w:pPr>
        <w:spacing w:after="0"/>
        <w:contextualSpacing/>
        <w:jc w:val="both"/>
        <w:rPr>
          <w:rFonts w:ascii="Arial" w:hAnsi="Arial" w:cs="Arial"/>
          <w:b/>
          <w:sz w:val="24"/>
          <w:szCs w:val="24"/>
        </w:rPr>
      </w:pPr>
    </w:p>
    <w:p w:rsidR="00F02F81"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0B289D">
        <w:rPr>
          <w:rFonts w:ascii="Arial" w:hAnsi="Arial" w:cs="Arial"/>
          <w:color w:val="000000"/>
          <w:sz w:val="24"/>
          <w:szCs w:val="24"/>
        </w:rPr>
        <w:t>Quinto Laboral del Circuito de Pereira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F23219" w:rsidRDefault="00F23219" w:rsidP="00F02F81">
      <w:pPr>
        <w:spacing w:after="0"/>
        <w:jc w:val="both"/>
        <w:rPr>
          <w:rFonts w:ascii="Arial" w:hAnsi="Arial" w:cs="Arial"/>
          <w:color w:val="000000"/>
          <w:sz w:val="24"/>
          <w:szCs w:val="24"/>
        </w:rPr>
      </w:pPr>
    </w:p>
    <w:p w:rsidR="00F23219" w:rsidRDefault="00F23219" w:rsidP="00F02F81">
      <w:pPr>
        <w:spacing w:after="0"/>
        <w:jc w:val="both"/>
        <w:rPr>
          <w:rFonts w:ascii="Arial" w:hAnsi="Arial" w:cs="Arial"/>
          <w:color w:val="000000"/>
          <w:sz w:val="24"/>
          <w:szCs w:val="24"/>
        </w:rPr>
      </w:pPr>
    </w:p>
    <w:p w:rsidR="00F23219" w:rsidRDefault="00F23219" w:rsidP="00F02F81">
      <w:pPr>
        <w:spacing w:after="0"/>
        <w:jc w:val="both"/>
        <w:rPr>
          <w:rFonts w:ascii="Arial" w:hAnsi="Arial" w:cs="Arial"/>
          <w:color w:val="000000"/>
          <w:sz w:val="24"/>
          <w:szCs w:val="24"/>
        </w:rPr>
      </w:pPr>
    </w:p>
    <w:p w:rsidR="00D0320D" w:rsidRPr="00235FC8" w:rsidRDefault="00D0320D" w:rsidP="00F02F81">
      <w:pPr>
        <w:spacing w:after="0"/>
        <w:jc w:val="both"/>
        <w:rPr>
          <w:rFonts w:ascii="Arial" w:hAnsi="Arial" w:cs="Arial"/>
          <w:sz w:val="24"/>
          <w:szCs w:val="24"/>
        </w:rPr>
      </w:pPr>
    </w:p>
    <w:p w:rsidR="00477366"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8D4B97" w:rsidRPr="00430C49" w:rsidRDefault="008D4B97" w:rsidP="00CA57AD">
      <w:pPr>
        <w:spacing w:after="0"/>
        <w:contextualSpacing/>
        <w:jc w:val="both"/>
        <w:rPr>
          <w:rFonts w:ascii="Arial" w:hAnsi="Arial" w:cs="Arial"/>
          <w:b/>
          <w:sz w:val="24"/>
          <w:szCs w:val="24"/>
        </w:rPr>
      </w:pPr>
    </w:p>
    <w:p w:rsidR="00477366" w:rsidRDefault="00EF7487" w:rsidP="00CA57AD">
      <w:pPr>
        <w:spacing w:after="0"/>
        <w:contextualSpacing/>
        <w:jc w:val="both"/>
        <w:rPr>
          <w:rFonts w:ascii="Arial" w:hAnsi="Arial" w:cs="Arial"/>
          <w:sz w:val="24"/>
          <w:szCs w:val="24"/>
        </w:rPr>
      </w:pPr>
      <w:r>
        <w:rPr>
          <w:rFonts w:ascii="Arial" w:hAnsi="Arial" w:cs="Arial"/>
          <w:sz w:val="24"/>
          <w:szCs w:val="24"/>
        </w:rPr>
        <w:t xml:space="preserve">En atención a lo expuesto por </w:t>
      </w:r>
      <w:r w:rsidR="000B289D">
        <w:rPr>
          <w:rFonts w:ascii="Arial" w:hAnsi="Arial" w:cs="Arial"/>
          <w:sz w:val="24"/>
          <w:szCs w:val="24"/>
        </w:rPr>
        <w:t>el</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FF5A12">
        <w:rPr>
          <w:rFonts w:ascii="Arial" w:hAnsi="Arial" w:cs="Arial"/>
          <w:sz w:val="24"/>
          <w:szCs w:val="24"/>
        </w:rPr>
        <w:t xml:space="preserve"> siguiente</w:t>
      </w:r>
      <w:r w:rsidR="00477366" w:rsidRPr="00430C49">
        <w:rPr>
          <w:rFonts w:ascii="Arial" w:hAnsi="Arial" w:cs="Arial"/>
          <w:sz w:val="24"/>
          <w:szCs w:val="24"/>
        </w:rPr>
        <w:t>:</w:t>
      </w:r>
    </w:p>
    <w:p w:rsidR="00F23219" w:rsidRDefault="00F23219" w:rsidP="00CA57AD">
      <w:pPr>
        <w:spacing w:after="0"/>
        <w:contextualSpacing/>
        <w:jc w:val="both"/>
        <w:rPr>
          <w:rFonts w:ascii="Arial" w:hAnsi="Arial" w:cs="Arial"/>
          <w:sz w:val="24"/>
          <w:szCs w:val="24"/>
        </w:rPr>
      </w:pPr>
    </w:p>
    <w:p w:rsidR="00353D88" w:rsidRPr="00393E7E" w:rsidRDefault="00F23219" w:rsidP="00393E7E">
      <w:pPr>
        <w:spacing w:line="360" w:lineRule="auto"/>
        <w:jc w:val="both"/>
        <w:rPr>
          <w:rFonts w:ascii="Arial" w:hAnsi="Arial" w:cs="Arial"/>
          <w:b/>
          <w:sz w:val="24"/>
          <w:szCs w:val="24"/>
        </w:rPr>
      </w:pPr>
      <w:r>
        <w:rPr>
          <w:rFonts w:ascii="Arial" w:hAnsi="Arial" w:cs="Arial"/>
          <w:sz w:val="24"/>
          <w:szCs w:val="24"/>
        </w:rPr>
        <w:t>¿S</w:t>
      </w:r>
      <w:r w:rsidRPr="00F23219">
        <w:rPr>
          <w:rFonts w:ascii="Arial" w:hAnsi="Arial" w:cs="Arial"/>
          <w:sz w:val="24"/>
          <w:szCs w:val="24"/>
        </w:rPr>
        <w:t xml:space="preserve">e encuentran satisfechos en esta acción los presupuestos de inmediatez y subsidiariedad? y de ser positiva la respuesta ¿La accionada vulneró el derecho al debido proceso </w:t>
      </w:r>
      <w:r>
        <w:rPr>
          <w:rFonts w:ascii="Arial" w:hAnsi="Arial" w:cs="Arial"/>
          <w:sz w:val="24"/>
          <w:szCs w:val="24"/>
        </w:rPr>
        <w:t>al negar incluirlo</w:t>
      </w:r>
      <w:r w:rsidRPr="00F23219">
        <w:rPr>
          <w:rFonts w:ascii="Arial" w:hAnsi="Arial" w:cs="Arial"/>
          <w:sz w:val="24"/>
          <w:szCs w:val="24"/>
        </w:rPr>
        <w:t xml:space="preserve"> en el </w:t>
      </w:r>
      <w:proofErr w:type="spellStart"/>
      <w:r w:rsidRPr="00F23219">
        <w:rPr>
          <w:rFonts w:ascii="Arial" w:hAnsi="Arial" w:cs="Arial"/>
          <w:sz w:val="24"/>
          <w:szCs w:val="24"/>
        </w:rPr>
        <w:t>RUV</w:t>
      </w:r>
      <w:proofErr w:type="spellEnd"/>
      <w:r w:rsidRPr="00F23219">
        <w:rPr>
          <w:rFonts w:ascii="Arial" w:hAnsi="Arial" w:cs="Arial"/>
          <w:sz w:val="24"/>
          <w:szCs w:val="24"/>
        </w:rPr>
        <w:t xml:space="preserve"> </w:t>
      </w:r>
      <w:r w:rsidR="00393E7E">
        <w:rPr>
          <w:rFonts w:ascii="Arial" w:hAnsi="Arial" w:cs="Arial"/>
          <w:sz w:val="24"/>
          <w:szCs w:val="24"/>
        </w:rPr>
        <w:t xml:space="preserve">por el hecho </w:t>
      </w:r>
      <w:proofErr w:type="spellStart"/>
      <w:r w:rsidR="00393E7E">
        <w:rPr>
          <w:rFonts w:ascii="Arial" w:hAnsi="Arial" w:cs="Arial"/>
          <w:sz w:val="24"/>
          <w:szCs w:val="24"/>
        </w:rPr>
        <w:t>victimizante</w:t>
      </w:r>
      <w:proofErr w:type="spellEnd"/>
      <w:r w:rsidR="00393E7E">
        <w:rPr>
          <w:rFonts w:ascii="Arial" w:hAnsi="Arial" w:cs="Arial"/>
          <w:sz w:val="24"/>
          <w:szCs w:val="24"/>
        </w:rPr>
        <w:t xml:space="preserve"> del secuestro</w:t>
      </w:r>
      <w:r w:rsidRPr="00F23219">
        <w:rPr>
          <w:rFonts w:ascii="Arial" w:hAnsi="Arial" w:cs="Arial"/>
          <w:sz w:val="24"/>
          <w:szCs w:val="24"/>
        </w:rPr>
        <w:t>?</w:t>
      </w:r>
      <w:r>
        <w:rPr>
          <w:rFonts w:ascii="Arial" w:hAnsi="Arial" w:cs="Arial"/>
          <w:sz w:val="24"/>
          <w:szCs w:val="24"/>
        </w:rPr>
        <w:t xml:space="preserve"> </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3E5FD9" w:rsidRDefault="008D4B97" w:rsidP="003E5FD9">
      <w:pPr>
        <w:spacing w:after="0"/>
        <w:contextualSpacing/>
        <w:jc w:val="both"/>
        <w:rPr>
          <w:rFonts w:ascii="Arial" w:hAnsi="Arial" w:cs="Arial"/>
          <w:color w:val="000000"/>
          <w:sz w:val="24"/>
          <w:szCs w:val="24"/>
        </w:rPr>
      </w:pPr>
      <w:r>
        <w:rPr>
          <w:rFonts w:ascii="Arial" w:hAnsi="Arial" w:cs="Arial"/>
          <w:color w:val="000000"/>
          <w:sz w:val="24"/>
          <w:szCs w:val="24"/>
        </w:rPr>
        <w:t>Está</w:t>
      </w:r>
      <w:r w:rsidR="00150571">
        <w:rPr>
          <w:rFonts w:ascii="Arial" w:hAnsi="Arial" w:cs="Arial"/>
          <w:color w:val="000000"/>
          <w:sz w:val="24"/>
          <w:szCs w:val="24"/>
        </w:rPr>
        <w:t xml:space="preserve"> legitimado por activa el</w:t>
      </w:r>
      <w:r>
        <w:rPr>
          <w:rFonts w:ascii="Arial" w:hAnsi="Arial" w:cs="Arial"/>
          <w:color w:val="000000"/>
          <w:sz w:val="24"/>
          <w:szCs w:val="24"/>
        </w:rPr>
        <w:t xml:space="preserve"> señor</w:t>
      </w:r>
      <w:r w:rsidR="00273EBF">
        <w:rPr>
          <w:rFonts w:ascii="Arial" w:hAnsi="Arial" w:cs="Arial"/>
          <w:color w:val="000000"/>
          <w:sz w:val="24"/>
          <w:szCs w:val="24"/>
        </w:rPr>
        <w:t xml:space="preserve"> </w:t>
      </w:r>
      <w:r w:rsidR="00150571">
        <w:rPr>
          <w:rFonts w:ascii="Arial" w:hAnsi="Arial" w:cs="Arial"/>
          <w:color w:val="000000"/>
          <w:sz w:val="24"/>
          <w:szCs w:val="24"/>
        </w:rPr>
        <w:t>José de Jesús Giraldo Gallego</w:t>
      </w:r>
      <w:r w:rsidR="003E5FD9">
        <w:rPr>
          <w:rFonts w:ascii="Arial" w:hAnsi="Arial" w:cs="Arial"/>
          <w:color w:val="000000"/>
          <w:sz w:val="24"/>
          <w:szCs w:val="24"/>
        </w:rPr>
        <w:t xml:space="preserve"> </w:t>
      </w:r>
      <w:r>
        <w:rPr>
          <w:rFonts w:ascii="Arial" w:hAnsi="Arial" w:cs="Arial"/>
          <w:sz w:val="24"/>
          <w:szCs w:val="24"/>
        </w:rPr>
        <w:t>quien actúa en nombre propio</w:t>
      </w:r>
      <w:r w:rsidR="003E5FD9">
        <w:rPr>
          <w:rFonts w:ascii="Arial" w:hAnsi="Arial" w:cs="Arial"/>
          <w:sz w:val="24"/>
          <w:szCs w:val="24"/>
        </w:rPr>
        <w:t>,</w:t>
      </w:r>
      <w:r w:rsidR="003E5FD9" w:rsidRPr="00072B4D">
        <w:rPr>
          <w:rFonts w:ascii="Arial" w:hAnsi="Arial" w:cs="Arial"/>
          <w:sz w:val="24"/>
          <w:szCs w:val="24"/>
        </w:rPr>
        <w:t xml:space="preserve"> </w:t>
      </w:r>
      <w:r w:rsidR="00C91E1D">
        <w:rPr>
          <w:rFonts w:ascii="Arial" w:hAnsi="Arial" w:cs="Arial"/>
          <w:color w:val="000000"/>
          <w:sz w:val="24"/>
          <w:szCs w:val="24"/>
        </w:rPr>
        <w:t xml:space="preserve">al ser </w:t>
      </w:r>
      <w:r>
        <w:rPr>
          <w:rFonts w:ascii="Arial" w:hAnsi="Arial" w:cs="Arial"/>
          <w:color w:val="000000"/>
          <w:sz w:val="24"/>
          <w:szCs w:val="24"/>
        </w:rPr>
        <w:t>l</w:t>
      </w:r>
      <w:r w:rsidR="00C91E1D">
        <w:rPr>
          <w:rFonts w:ascii="Arial" w:hAnsi="Arial" w:cs="Arial"/>
          <w:color w:val="000000"/>
          <w:sz w:val="24"/>
          <w:szCs w:val="24"/>
        </w:rPr>
        <w:t>a</w:t>
      </w:r>
      <w:r w:rsidR="003E5FD9" w:rsidRPr="0016248F">
        <w:rPr>
          <w:rFonts w:ascii="Arial" w:hAnsi="Arial" w:cs="Arial"/>
          <w:color w:val="000000"/>
          <w:sz w:val="24"/>
          <w:szCs w:val="24"/>
        </w:rPr>
        <w:t xml:space="preserve"> titular de</w:t>
      </w:r>
      <w:r w:rsidR="00C91E1D">
        <w:rPr>
          <w:rFonts w:ascii="Arial" w:hAnsi="Arial" w:cs="Arial"/>
          <w:color w:val="000000"/>
          <w:sz w:val="24"/>
          <w:szCs w:val="24"/>
        </w:rPr>
        <w:t>l</w:t>
      </w:r>
      <w:r w:rsidR="003E5FD9">
        <w:rPr>
          <w:rFonts w:ascii="Arial" w:hAnsi="Arial" w:cs="Arial"/>
          <w:color w:val="000000"/>
          <w:sz w:val="24"/>
          <w:szCs w:val="24"/>
        </w:rPr>
        <w:t xml:space="preserve"> derecho </w:t>
      </w:r>
      <w:r w:rsidR="00150571">
        <w:rPr>
          <w:rFonts w:ascii="Arial" w:hAnsi="Arial" w:cs="Arial"/>
          <w:color w:val="000000"/>
          <w:sz w:val="24"/>
          <w:szCs w:val="24"/>
        </w:rPr>
        <w:t>que reclama por ser considerado como víctima de desplazamiento forzoso</w:t>
      </w:r>
      <w:r w:rsidR="00273EBF">
        <w:rPr>
          <w:rFonts w:ascii="Arial" w:hAnsi="Arial" w:cs="Arial"/>
          <w:color w:val="000000"/>
          <w:sz w:val="24"/>
          <w:szCs w:val="24"/>
        </w:rPr>
        <w:t>,</w:t>
      </w:r>
      <w:r w:rsidR="0039223C">
        <w:rPr>
          <w:rFonts w:ascii="Arial" w:hAnsi="Arial" w:cs="Arial"/>
          <w:color w:val="000000"/>
          <w:sz w:val="24"/>
          <w:szCs w:val="24"/>
        </w:rPr>
        <w:t xml:space="preserve"> quien elevó petición para ser incluido otro hecho </w:t>
      </w:r>
      <w:proofErr w:type="spellStart"/>
      <w:r w:rsidR="0039223C">
        <w:rPr>
          <w:rFonts w:ascii="Arial" w:hAnsi="Arial" w:cs="Arial"/>
          <w:color w:val="000000"/>
          <w:sz w:val="24"/>
          <w:szCs w:val="24"/>
        </w:rPr>
        <w:t>victimizante</w:t>
      </w:r>
      <w:proofErr w:type="spellEnd"/>
      <w:r w:rsidR="0039223C">
        <w:rPr>
          <w:rFonts w:ascii="Arial" w:hAnsi="Arial" w:cs="Arial"/>
          <w:color w:val="000000"/>
          <w:sz w:val="24"/>
          <w:szCs w:val="24"/>
        </w:rPr>
        <w:t xml:space="preserve">. </w:t>
      </w:r>
    </w:p>
    <w:p w:rsidR="00E04B10" w:rsidRDefault="00E04B10" w:rsidP="00E04B10">
      <w:pPr>
        <w:spacing w:after="0"/>
        <w:contextualSpacing/>
        <w:jc w:val="both"/>
        <w:rPr>
          <w:rFonts w:ascii="Arial" w:hAnsi="Arial" w:cs="Arial"/>
          <w:color w:val="000000"/>
          <w:sz w:val="24"/>
          <w:szCs w:val="24"/>
        </w:rPr>
      </w:pPr>
    </w:p>
    <w:p w:rsidR="00E04B10" w:rsidRDefault="00E04B10" w:rsidP="007422FB">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lo está por pasiva la</w:t>
      </w:r>
      <w:r w:rsidR="008D4B97">
        <w:rPr>
          <w:rFonts w:ascii="Arial" w:hAnsi="Arial" w:cs="Arial"/>
          <w:color w:val="000000"/>
          <w:sz w:val="24"/>
          <w:szCs w:val="24"/>
        </w:rPr>
        <w:t xml:space="preserve"> Unidad Administrativa para la Atención y Reparación Integral a las Víctimas</w:t>
      </w:r>
      <w:r w:rsidRPr="00B54E5F">
        <w:rPr>
          <w:rFonts w:ascii="Arial" w:hAnsi="Arial" w:cs="Arial"/>
          <w:sz w:val="24"/>
          <w:szCs w:val="24"/>
        </w:rPr>
        <w:t xml:space="preserve">, </w:t>
      </w:r>
      <w:r w:rsidRPr="009B3CD5">
        <w:rPr>
          <w:rFonts w:ascii="Arial" w:hAnsi="Arial" w:cs="Arial"/>
          <w:color w:val="000000"/>
          <w:sz w:val="24"/>
          <w:szCs w:val="24"/>
        </w:rPr>
        <w:t xml:space="preserve">por </w:t>
      </w:r>
      <w:r w:rsidR="0091678F">
        <w:rPr>
          <w:rFonts w:ascii="Arial" w:hAnsi="Arial" w:cs="Arial"/>
          <w:color w:val="000000"/>
          <w:sz w:val="24"/>
          <w:szCs w:val="24"/>
        </w:rPr>
        <w:t xml:space="preserve">ser la entidad </w:t>
      </w:r>
      <w:r w:rsidR="00B73E97">
        <w:rPr>
          <w:rFonts w:ascii="Arial" w:hAnsi="Arial" w:cs="Arial"/>
          <w:color w:val="000000"/>
          <w:sz w:val="24"/>
          <w:szCs w:val="24"/>
        </w:rPr>
        <w:t xml:space="preserve">quien </w:t>
      </w:r>
      <w:r w:rsidR="00C03911">
        <w:rPr>
          <w:rFonts w:ascii="Arial" w:hAnsi="Arial" w:cs="Arial"/>
          <w:color w:val="000000"/>
          <w:sz w:val="24"/>
          <w:szCs w:val="24"/>
        </w:rPr>
        <w:t xml:space="preserve">negó la inclusión en el </w:t>
      </w:r>
      <w:proofErr w:type="spellStart"/>
      <w:r w:rsidR="00C03911">
        <w:rPr>
          <w:rFonts w:ascii="Arial" w:hAnsi="Arial" w:cs="Arial"/>
          <w:color w:val="000000"/>
          <w:sz w:val="24"/>
          <w:szCs w:val="24"/>
        </w:rPr>
        <w:t>RUV</w:t>
      </w:r>
      <w:proofErr w:type="spellEnd"/>
      <w:r w:rsidR="0039223C">
        <w:rPr>
          <w:rFonts w:ascii="Arial" w:hAnsi="Arial" w:cs="Arial"/>
          <w:color w:val="000000"/>
          <w:sz w:val="24"/>
          <w:szCs w:val="24"/>
        </w:rPr>
        <w:t xml:space="preserve"> del hecho </w:t>
      </w:r>
      <w:proofErr w:type="spellStart"/>
      <w:r w:rsidR="0039223C">
        <w:rPr>
          <w:rFonts w:ascii="Arial" w:hAnsi="Arial" w:cs="Arial"/>
          <w:color w:val="000000"/>
          <w:sz w:val="24"/>
          <w:szCs w:val="24"/>
        </w:rPr>
        <w:t>victimizante</w:t>
      </w:r>
      <w:proofErr w:type="spellEnd"/>
      <w:r w:rsidR="0039223C">
        <w:rPr>
          <w:rFonts w:ascii="Arial" w:hAnsi="Arial" w:cs="Arial"/>
          <w:color w:val="000000"/>
          <w:sz w:val="24"/>
          <w:szCs w:val="24"/>
        </w:rPr>
        <w:t xml:space="preserve"> del secuestro</w:t>
      </w:r>
      <w:r w:rsidR="00C03911">
        <w:rPr>
          <w:rFonts w:ascii="Arial" w:hAnsi="Arial" w:cs="Arial"/>
          <w:color w:val="000000"/>
          <w:sz w:val="24"/>
          <w:szCs w:val="24"/>
        </w:rPr>
        <w:t>.</w:t>
      </w:r>
    </w:p>
    <w:p w:rsidR="005E6CCC" w:rsidRDefault="005E6CCC" w:rsidP="007422FB">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66D7E" w:rsidRDefault="00B66D7E"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cabe duda que es fundamental el de</w:t>
      </w:r>
      <w:r w:rsidR="00C03911">
        <w:rPr>
          <w:rFonts w:ascii="Arial" w:hAnsi="Arial" w:cs="Arial"/>
          <w:sz w:val="24"/>
          <w:szCs w:val="24"/>
        </w:rPr>
        <w:t>l debido proceso.</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E04B10" w:rsidRDefault="00E04B10" w:rsidP="00E04B10">
      <w:pPr>
        <w:spacing w:after="0"/>
        <w:contextualSpacing/>
        <w:jc w:val="both"/>
        <w:rPr>
          <w:rFonts w:ascii="Arial" w:hAnsi="Arial" w:cs="Arial"/>
          <w:sz w:val="24"/>
          <w:szCs w:val="24"/>
        </w:rPr>
      </w:pPr>
    </w:p>
    <w:p w:rsidR="00C63DFC" w:rsidRPr="00C63DFC" w:rsidRDefault="00C63DFC" w:rsidP="00C63DFC">
      <w:pPr>
        <w:spacing w:after="0"/>
        <w:contextualSpacing/>
        <w:jc w:val="both"/>
        <w:rPr>
          <w:rFonts w:ascii="Arial" w:hAnsi="Arial" w:cs="Arial"/>
          <w:sz w:val="24"/>
          <w:szCs w:val="24"/>
        </w:rPr>
      </w:pPr>
      <w:r w:rsidRPr="00C63DFC">
        <w:rPr>
          <w:rFonts w:ascii="Arial" w:hAnsi="Arial" w:cs="Arial"/>
          <w:sz w:val="24"/>
          <w:szCs w:val="24"/>
        </w:rPr>
        <w:t xml:space="preserve">En relación con la inmediatez, se encuentra satisfecha por cuanto la </w:t>
      </w:r>
      <w:r w:rsidR="0039223C">
        <w:rPr>
          <w:rFonts w:ascii="Arial" w:hAnsi="Arial" w:cs="Arial"/>
          <w:sz w:val="24"/>
          <w:szCs w:val="24"/>
        </w:rPr>
        <w:t xml:space="preserve">resolución mediante la cual se resolvió la apelación data del </w:t>
      </w:r>
      <w:r w:rsidR="0056362F">
        <w:rPr>
          <w:rFonts w:ascii="Arial" w:hAnsi="Arial" w:cs="Arial"/>
          <w:sz w:val="24"/>
          <w:szCs w:val="24"/>
        </w:rPr>
        <w:t>12-02-2018</w:t>
      </w:r>
      <w:r w:rsidR="00F244A1">
        <w:rPr>
          <w:rFonts w:ascii="Arial" w:hAnsi="Arial" w:cs="Arial"/>
          <w:sz w:val="24"/>
          <w:szCs w:val="24"/>
        </w:rPr>
        <w:t xml:space="preserve">, </w:t>
      </w:r>
      <w:r w:rsidRPr="00C63DFC">
        <w:rPr>
          <w:rFonts w:ascii="Arial" w:hAnsi="Arial" w:cs="Arial"/>
          <w:sz w:val="24"/>
          <w:szCs w:val="24"/>
        </w:rPr>
        <w:t>transcurriendo desde esa fecha hasta la present</w:t>
      </w:r>
      <w:r w:rsidR="00CB6225">
        <w:rPr>
          <w:rFonts w:ascii="Arial" w:hAnsi="Arial" w:cs="Arial"/>
          <w:sz w:val="24"/>
          <w:szCs w:val="24"/>
        </w:rPr>
        <w:t>ación de la acción de amparo (</w:t>
      </w:r>
      <w:r w:rsidR="0056362F">
        <w:rPr>
          <w:rFonts w:ascii="Arial" w:hAnsi="Arial" w:cs="Arial"/>
          <w:sz w:val="24"/>
          <w:szCs w:val="24"/>
        </w:rPr>
        <w:t>20</w:t>
      </w:r>
      <w:r w:rsidR="00CB6225">
        <w:rPr>
          <w:rFonts w:ascii="Arial" w:hAnsi="Arial" w:cs="Arial"/>
          <w:sz w:val="24"/>
          <w:szCs w:val="24"/>
        </w:rPr>
        <w:t>-0</w:t>
      </w:r>
      <w:r w:rsidR="0056362F">
        <w:rPr>
          <w:rFonts w:ascii="Arial" w:hAnsi="Arial" w:cs="Arial"/>
          <w:sz w:val="24"/>
          <w:szCs w:val="24"/>
        </w:rPr>
        <w:t>3</w:t>
      </w:r>
      <w:r w:rsidR="00CB6225">
        <w:rPr>
          <w:rFonts w:ascii="Arial" w:hAnsi="Arial" w:cs="Arial"/>
          <w:sz w:val="24"/>
          <w:szCs w:val="24"/>
        </w:rPr>
        <w:t>-201</w:t>
      </w:r>
      <w:r w:rsidR="0056362F">
        <w:rPr>
          <w:rFonts w:ascii="Arial" w:hAnsi="Arial" w:cs="Arial"/>
          <w:sz w:val="24"/>
          <w:szCs w:val="24"/>
        </w:rPr>
        <w:t xml:space="preserve">3), </w:t>
      </w:r>
      <w:r w:rsidR="00CB6225">
        <w:rPr>
          <w:rFonts w:ascii="Arial" w:hAnsi="Arial" w:cs="Arial"/>
          <w:sz w:val="24"/>
          <w:szCs w:val="24"/>
        </w:rPr>
        <w:t xml:space="preserve">un (01) mes </w:t>
      </w:r>
      <w:r w:rsidR="0056362F">
        <w:rPr>
          <w:rFonts w:ascii="Arial" w:hAnsi="Arial" w:cs="Arial"/>
          <w:sz w:val="24"/>
          <w:szCs w:val="24"/>
        </w:rPr>
        <w:t xml:space="preserve">y cinco (5) días </w:t>
      </w:r>
      <w:r w:rsidR="00CB6225">
        <w:rPr>
          <w:rFonts w:ascii="Arial" w:hAnsi="Arial" w:cs="Arial"/>
          <w:sz w:val="24"/>
          <w:szCs w:val="24"/>
        </w:rPr>
        <w:t>que se considera razonable</w:t>
      </w:r>
      <w:r w:rsidRPr="00C63DFC">
        <w:rPr>
          <w:rFonts w:ascii="Arial" w:hAnsi="Arial" w:cs="Arial"/>
          <w:sz w:val="24"/>
          <w:szCs w:val="24"/>
        </w:rPr>
        <w:t xml:space="preserve"> para incoar dicha acción.</w:t>
      </w:r>
    </w:p>
    <w:p w:rsidR="00C63DFC" w:rsidRDefault="00C63DFC" w:rsidP="00E04B10">
      <w:pPr>
        <w:spacing w:after="0"/>
        <w:contextualSpacing/>
        <w:jc w:val="both"/>
        <w:rPr>
          <w:rFonts w:ascii="Arial" w:hAnsi="Arial" w:cs="Arial"/>
          <w:sz w:val="24"/>
          <w:szCs w:val="24"/>
        </w:rPr>
      </w:pPr>
    </w:p>
    <w:p w:rsidR="00C63DFC" w:rsidRDefault="00C63DFC" w:rsidP="00E04B10">
      <w:pPr>
        <w:spacing w:after="0"/>
        <w:contextualSpacing/>
        <w:jc w:val="both"/>
        <w:rPr>
          <w:rFonts w:ascii="Arial" w:hAnsi="Arial" w:cs="Arial"/>
          <w:sz w:val="24"/>
          <w:szCs w:val="24"/>
        </w:rPr>
      </w:pPr>
      <w:r>
        <w:rPr>
          <w:rFonts w:ascii="Arial" w:hAnsi="Arial" w:cs="Arial"/>
          <w:b/>
          <w:sz w:val="24"/>
          <w:szCs w:val="24"/>
        </w:rPr>
        <w:t>3.4 S</w:t>
      </w:r>
      <w:r w:rsidRPr="00C63DFC">
        <w:rPr>
          <w:rFonts w:ascii="Arial" w:hAnsi="Arial" w:cs="Arial"/>
          <w:b/>
          <w:sz w:val="24"/>
          <w:szCs w:val="24"/>
        </w:rPr>
        <w:t>ubsidiariedad</w:t>
      </w:r>
    </w:p>
    <w:p w:rsidR="008D4B97" w:rsidRDefault="008D4B97" w:rsidP="00E04B10">
      <w:pPr>
        <w:spacing w:after="0"/>
        <w:contextualSpacing/>
        <w:jc w:val="both"/>
        <w:rPr>
          <w:rFonts w:ascii="Arial" w:hAnsi="Arial" w:cs="Arial"/>
          <w:sz w:val="24"/>
          <w:szCs w:val="24"/>
        </w:rPr>
      </w:pPr>
    </w:p>
    <w:p w:rsidR="006D1CDE" w:rsidRPr="00840F71" w:rsidRDefault="006D1CDE" w:rsidP="006D1CDE">
      <w:pPr>
        <w:spacing w:line="360" w:lineRule="auto"/>
        <w:jc w:val="both"/>
        <w:rPr>
          <w:rFonts w:ascii="Arial" w:hAnsi="Arial" w:cs="Arial"/>
          <w:sz w:val="24"/>
          <w:szCs w:val="24"/>
        </w:rPr>
      </w:pPr>
      <w:r w:rsidRPr="00840F71">
        <w:rPr>
          <w:rFonts w:ascii="Arial" w:hAnsi="Arial" w:cs="Arial"/>
          <w:sz w:val="24"/>
          <w:szCs w:val="24"/>
        </w:rPr>
        <w:t>Ha sido reiterada la línea sentada por la Corte Constitucional</w:t>
      </w:r>
      <w:r w:rsidR="00B10D2F">
        <w:rPr>
          <w:rStyle w:val="Refdenotaalpie"/>
          <w:rFonts w:ascii="Arial" w:hAnsi="Arial" w:cs="Arial"/>
          <w:sz w:val="24"/>
          <w:szCs w:val="24"/>
        </w:rPr>
        <w:footnoteReference w:id="2"/>
      </w:r>
      <w:r w:rsidRPr="00840F71">
        <w:rPr>
          <w:rFonts w:ascii="Arial" w:hAnsi="Arial" w:cs="Arial"/>
          <w:sz w:val="24"/>
          <w:szCs w:val="24"/>
        </w:rPr>
        <w:t xml:space="preserve"> frente a este tema, quien ha considerado que por ostentar la población desplazada una situación de extrema vulnerabilidad, debilidad, indefensión y desamparo y por ende</w:t>
      </w:r>
      <w:r w:rsidR="009E6B04">
        <w:rPr>
          <w:rFonts w:ascii="Arial" w:hAnsi="Arial" w:cs="Arial"/>
          <w:sz w:val="24"/>
          <w:szCs w:val="24"/>
        </w:rPr>
        <w:t>,</w:t>
      </w:r>
      <w:r w:rsidRPr="00840F71">
        <w:rPr>
          <w:rFonts w:ascii="Arial" w:hAnsi="Arial" w:cs="Arial"/>
          <w:sz w:val="24"/>
          <w:szCs w:val="24"/>
        </w:rPr>
        <w:t xml:space="preserve"> sujetos de especial protección, requieren del amparo reforzado de sus derechos</w:t>
      </w:r>
      <w:r>
        <w:rPr>
          <w:rFonts w:ascii="Arial" w:hAnsi="Arial" w:cs="Arial"/>
          <w:sz w:val="24"/>
          <w:szCs w:val="24"/>
        </w:rPr>
        <w:t>,</w:t>
      </w:r>
      <w:r w:rsidRPr="00840F71">
        <w:rPr>
          <w:rFonts w:ascii="Arial" w:hAnsi="Arial" w:cs="Arial"/>
          <w:sz w:val="24"/>
          <w:szCs w:val="24"/>
        </w:rPr>
        <w:t xml:space="preserve"> y es la acción de tutela el mecanismo idóneo para garantizar </w:t>
      </w:r>
      <w:r>
        <w:rPr>
          <w:rFonts w:ascii="Arial" w:hAnsi="Arial" w:cs="Arial"/>
          <w:sz w:val="24"/>
          <w:szCs w:val="24"/>
        </w:rPr>
        <w:t>su</w:t>
      </w:r>
      <w:r w:rsidRPr="00840F71">
        <w:rPr>
          <w:rFonts w:ascii="Arial" w:hAnsi="Arial" w:cs="Arial"/>
          <w:sz w:val="24"/>
          <w:szCs w:val="24"/>
        </w:rPr>
        <w:t xml:space="preserve"> goce efectivo</w:t>
      </w:r>
      <w:r w:rsidR="00C14C3C">
        <w:rPr>
          <w:rStyle w:val="Refdenotaalpie"/>
          <w:rFonts w:ascii="Arial" w:hAnsi="Arial" w:cs="Arial"/>
          <w:sz w:val="24"/>
          <w:szCs w:val="24"/>
        </w:rPr>
        <w:footnoteReference w:id="3"/>
      </w:r>
      <w:r w:rsidRPr="00840F71">
        <w:rPr>
          <w:rFonts w:ascii="Arial" w:hAnsi="Arial" w:cs="Arial"/>
          <w:sz w:val="24"/>
          <w:szCs w:val="24"/>
        </w:rPr>
        <w:t>, aun existiendo otros medios de defensa ordinarios</w:t>
      </w:r>
      <w:r>
        <w:rPr>
          <w:rFonts w:ascii="Arial" w:hAnsi="Arial" w:cs="Arial"/>
          <w:sz w:val="24"/>
          <w:szCs w:val="24"/>
        </w:rPr>
        <w:t xml:space="preserve"> (ante la jurisdicción contenciosa)</w:t>
      </w:r>
      <w:r w:rsidRPr="00840F71">
        <w:rPr>
          <w:rFonts w:ascii="Arial" w:hAnsi="Arial" w:cs="Arial"/>
          <w:sz w:val="24"/>
          <w:szCs w:val="24"/>
        </w:rPr>
        <w:t>, que resultan ser ineficaces, en atención de la gravedad y extrema urgencia que se encuentran,</w:t>
      </w:r>
      <w:r w:rsidRPr="004A2479">
        <w:rPr>
          <w:rFonts w:ascii="Arial" w:hAnsi="Arial" w:cs="Arial"/>
          <w:sz w:val="24"/>
          <w:szCs w:val="24"/>
        </w:rPr>
        <w:t xml:space="preserve"> </w:t>
      </w:r>
      <w:r w:rsidRPr="00840F71">
        <w:rPr>
          <w:rFonts w:ascii="Arial" w:hAnsi="Arial" w:cs="Arial"/>
          <w:sz w:val="24"/>
          <w:szCs w:val="24"/>
        </w:rPr>
        <w:t xml:space="preserve">al requerir </w:t>
      </w:r>
      <w:r>
        <w:rPr>
          <w:rFonts w:ascii="Arial" w:hAnsi="Arial" w:cs="Arial"/>
          <w:sz w:val="24"/>
          <w:szCs w:val="24"/>
        </w:rPr>
        <w:t>aquellos</w:t>
      </w:r>
      <w:r w:rsidRPr="00840F71">
        <w:rPr>
          <w:rFonts w:ascii="Arial" w:hAnsi="Arial" w:cs="Arial"/>
          <w:sz w:val="24"/>
          <w:szCs w:val="24"/>
        </w:rPr>
        <w:t xml:space="preserve"> amparo inmediato</w:t>
      </w:r>
      <w:r w:rsidRPr="00840F71">
        <w:rPr>
          <w:rStyle w:val="Refdenotaalpie"/>
          <w:rFonts w:ascii="Arial" w:hAnsi="Arial" w:cs="Arial"/>
          <w:sz w:val="24"/>
          <w:szCs w:val="24"/>
        </w:rPr>
        <w:footnoteReference w:id="4"/>
      </w:r>
      <w:r>
        <w:rPr>
          <w:rFonts w:ascii="Arial" w:hAnsi="Arial" w:cs="Arial"/>
          <w:sz w:val="24"/>
          <w:szCs w:val="24"/>
        </w:rPr>
        <w:t>-</w:t>
      </w:r>
      <w:r>
        <w:rPr>
          <w:rStyle w:val="Refdenotaalpie"/>
          <w:rFonts w:ascii="Arial" w:hAnsi="Arial"/>
          <w:sz w:val="24"/>
          <w:szCs w:val="24"/>
        </w:rPr>
        <w:footnoteReference w:id="5"/>
      </w:r>
      <w:r>
        <w:rPr>
          <w:rFonts w:ascii="Arial" w:hAnsi="Arial" w:cs="Arial"/>
          <w:sz w:val="24"/>
          <w:szCs w:val="24"/>
        </w:rPr>
        <w:t>. S</w:t>
      </w:r>
      <w:r w:rsidRPr="00840F71">
        <w:rPr>
          <w:rFonts w:ascii="Arial" w:hAnsi="Arial" w:cs="Arial"/>
          <w:sz w:val="24"/>
          <w:szCs w:val="24"/>
        </w:rPr>
        <w:t xml:space="preserve">in que </w:t>
      </w:r>
      <w:r>
        <w:rPr>
          <w:rFonts w:ascii="Arial" w:hAnsi="Arial" w:cs="Arial"/>
          <w:sz w:val="24"/>
          <w:szCs w:val="24"/>
        </w:rPr>
        <w:t xml:space="preserve">tampoco </w:t>
      </w:r>
      <w:r w:rsidRPr="00840F71">
        <w:rPr>
          <w:rFonts w:ascii="Arial" w:hAnsi="Arial" w:cs="Arial"/>
          <w:sz w:val="24"/>
          <w:szCs w:val="24"/>
        </w:rPr>
        <w:t xml:space="preserve">sea posible imponer </w:t>
      </w:r>
      <w:r w:rsidRPr="00840F71">
        <w:rPr>
          <w:rFonts w:ascii="Arial" w:hAnsi="Arial" w:cs="Arial"/>
          <w:sz w:val="24"/>
          <w:szCs w:val="24"/>
        </w:rPr>
        <w:lastRenderedPageBreak/>
        <w:t xml:space="preserve">cargas adicionales, como el agotar la vía </w:t>
      </w:r>
      <w:r>
        <w:rPr>
          <w:rFonts w:ascii="Arial" w:hAnsi="Arial" w:cs="Arial"/>
          <w:sz w:val="24"/>
          <w:szCs w:val="24"/>
        </w:rPr>
        <w:t>gubernativa frente a los actos administrativos que presuntamente conculcan sus derechos</w:t>
      </w:r>
      <w:r w:rsidRPr="00840F71">
        <w:rPr>
          <w:rFonts w:ascii="Arial" w:hAnsi="Arial" w:cs="Arial"/>
          <w:sz w:val="24"/>
          <w:szCs w:val="24"/>
        </w:rPr>
        <w:t xml:space="preserve">. </w:t>
      </w:r>
    </w:p>
    <w:p w:rsidR="00B10D2F" w:rsidRDefault="00C14C3C" w:rsidP="00C14C3C">
      <w:pPr>
        <w:ind w:left="708" w:right="80"/>
        <w:jc w:val="both"/>
        <w:rPr>
          <w:rFonts w:ascii="Arial" w:hAnsi="Arial" w:cs="Arial"/>
          <w:sz w:val="24"/>
          <w:szCs w:val="24"/>
        </w:rPr>
      </w:pPr>
      <w:r>
        <w:rPr>
          <w:rFonts w:ascii="Arial" w:hAnsi="Arial" w:cs="Arial"/>
          <w:sz w:val="24"/>
          <w:szCs w:val="24"/>
        </w:rPr>
        <w:t xml:space="preserve"> </w:t>
      </w:r>
    </w:p>
    <w:p w:rsidR="006D1CDE" w:rsidRPr="000E63C1" w:rsidRDefault="006D1CDE" w:rsidP="006D1CDE">
      <w:pPr>
        <w:spacing w:line="360" w:lineRule="auto"/>
        <w:jc w:val="both"/>
        <w:rPr>
          <w:rFonts w:ascii="Arial" w:hAnsi="Arial" w:cs="Arial"/>
          <w:sz w:val="24"/>
          <w:szCs w:val="24"/>
          <w:lang w:val="es-ES"/>
        </w:rPr>
      </w:pPr>
      <w:r w:rsidRPr="000E63C1">
        <w:rPr>
          <w:rFonts w:ascii="Arial" w:hAnsi="Arial" w:cs="Arial"/>
          <w:sz w:val="24"/>
          <w:szCs w:val="24"/>
        </w:rPr>
        <w:t>Flexibilidad en los presupuestos de procedencia de la acción de tutela que también le es aplicable a las víctimas por el conflicto armado</w:t>
      </w:r>
      <w:r>
        <w:rPr>
          <w:rFonts w:ascii="Arial" w:hAnsi="Arial" w:cs="Arial"/>
          <w:sz w:val="24"/>
          <w:szCs w:val="24"/>
        </w:rPr>
        <w:t>,</w:t>
      </w:r>
      <w:r w:rsidRPr="000E63C1">
        <w:rPr>
          <w:rFonts w:ascii="Arial" w:hAnsi="Arial" w:cs="Arial"/>
          <w:sz w:val="24"/>
          <w:szCs w:val="24"/>
        </w:rPr>
        <w:t xml:space="preserve"> </w:t>
      </w:r>
      <w:r>
        <w:rPr>
          <w:rFonts w:ascii="Arial" w:hAnsi="Arial" w:cs="Arial"/>
          <w:sz w:val="24"/>
          <w:szCs w:val="24"/>
        </w:rPr>
        <w:t xml:space="preserve">al decir  </w:t>
      </w:r>
      <w:r w:rsidRPr="000E63C1">
        <w:rPr>
          <w:rFonts w:ascii="Arial" w:hAnsi="Arial" w:cs="Arial"/>
          <w:sz w:val="24"/>
          <w:szCs w:val="24"/>
        </w:rPr>
        <w:t xml:space="preserve">la Corte Constitucional en sentencia C-609 2012, </w:t>
      </w:r>
      <w:r>
        <w:rPr>
          <w:rFonts w:ascii="Arial" w:hAnsi="Arial" w:cs="Arial"/>
          <w:sz w:val="24"/>
          <w:szCs w:val="24"/>
        </w:rPr>
        <w:t xml:space="preserve">que: </w:t>
      </w:r>
      <w:r w:rsidRPr="000E63C1">
        <w:rPr>
          <w:rFonts w:ascii="Arial" w:hAnsi="Arial" w:cs="Arial"/>
          <w:i/>
          <w:iCs/>
          <w:sz w:val="24"/>
          <w:szCs w:val="24"/>
        </w:rPr>
        <w:t>“… resulta pertinente extender a estos casos las consideraciones que esta Corporación ha hecho respecto de los desplazados.</w:t>
      </w:r>
      <w:r>
        <w:rPr>
          <w:rFonts w:ascii="Arial" w:hAnsi="Arial" w:cs="Arial"/>
          <w:i/>
          <w:iCs/>
          <w:sz w:val="24"/>
          <w:szCs w:val="24"/>
        </w:rPr>
        <w:t>”</w:t>
      </w:r>
    </w:p>
    <w:p w:rsidR="006D1CDE" w:rsidRPr="00840F71" w:rsidRDefault="006D1CDE" w:rsidP="006D1CDE">
      <w:pPr>
        <w:spacing w:line="360" w:lineRule="auto"/>
        <w:jc w:val="both"/>
        <w:rPr>
          <w:rFonts w:ascii="Arial" w:hAnsi="Arial" w:cs="Arial"/>
          <w:sz w:val="24"/>
          <w:szCs w:val="24"/>
        </w:rPr>
      </w:pPr>
      <w:r w:rsidRPr="00840F71">
        <w:rPr>
          <w:rFonts w:ascii="Arial" w:hAnsi="Arial" w:cs="Arial"/>
          <w:sz w:val="24"/>
          <w:szCs w:val="24"/>
        </w:rPr>
        <w:t xml:space="preserve">  </w:t>
      </w:r>
      <w:r>
        <w:rPr>
          <w:rStyle w:val="Refdenotaalpie"/>
          <w:rFonts w:ascii="Arial" w:hAnsi="Arial"/>
        </w:rPr>
        <w:t xml:space="preserve"> </w:t>
      </w:r>
    </w:p>
    <w:p w:rsidR="00A67D65" w:rsidRDefault="006D1CDE" w:rsidP="005F15A2">
      <w:pPr>
        <w:spacing w:line="360" w:lineRule="auto"/>
        <w:jc w:val="both"/>
        <w:rPr>
          <w:rFonts w:ascii="Arial" w:hAnsi="Arial" w:cs="Arial"/>
          <w:sz w:val="24"/>
          <w:szCs w:val="24"/>
        </w:rPr>
      </w:pPr>
      <w:r w:rsidRPr="00840F71">
        <w:rPr>
          <w:rFonts w:ascii="Arial" w:hAnsi="Arial" w:cs="Arial"/>
          <w:sz w:val="24"/>
          <w:szCs w:val="24"/>
        </w:rPr>
        <w:t xml:space="preserve">En consecuencia, de conformidad con el precedente indicado, se colige que es la acción de tutela el medio eficaz e idóneo para amparar los derechos fundamentales que puedan verse conculcados con ocasión a la negativa de incluir a la accionante en el </w:t>
      </w:r>
      <w:proofErr w:type="spellStart"/>
      <w:r w:rsidRPr="00840F71">
        <w:rPr>
          <w:rFonts w:ascii="Arial" w:hAnsi="Arial" w:cs="Arial"/>
          <w:sz w:val="24"/>
          <w:szCs w:val="24"/>
        </w:rPr>
        <w:t>RUV</w:t>
      </w:r>
      <w:proofErr w:type="spellEnd"/>
      <w:r w:rsidRPr="00840F71">
        <w:rPr>
          <w:rFonts w:ascii="Arial" w:hAnsi="Arial" w:cs="Arial"/>
          <w:sz w:val="24"/>
          <w:szCs w:val="24"/>
        </w:rPr>
        <w:t>, por ende resulta desacertada la decisión de la</w:t>
      </w:r>
      <w:r w:rsidRPr="00840F71">
        <w:rPr>
          <w:rFonts w:ascii="Arial" w:hAnsi="Arial" w:cs="Arial"/>
          <w:i/>
          <w:sz w:val="24"/>
          <w:szCs w:val="24"/>
        </w:rPr>
        <w:t xml:space="preserve"> a quo</w:t>
      </w:r>
      <w:r w:rsidRPr="00840F71">
        <w:rPr>
          <w:rFonts w:ascii="Arial" w:hAnsi="Arial" w:cs="Arial"/>
          <w:sz w:val="24"/>
          <w:szCs w:val="24"/>
        </w:rPr>
        <w:t xml:space="preserve"> al declarar improcedente esta acción al considerar que la accionante tenía la posibilidad de interponer l</w:t>
      </w:r>
      <w:r w:rsidR="00B10D2F">
        <w:rPr>
          <w:rFonts w:ascii="Arial" w:hAnsi="Arial" w:cs="Arial"/>
          <w:sz w:val="24"/>
          <w:szCs w:val="24"/>
        </w:rPr>
        <w:t>as acciones legales ante la jurisdicción de lo contencioso administrativo.</w:t>
      </w:r>
      <w:r w:rsidR="00A67D65">
        <w:rPr>
          <w:rFonts w:ascii="Arial" w:hAnsi="Arial" w:cs="Arial"/>
          <w:sz w:val="24"/>
          <w:szCs w:val="24"/>
        </w:rPr>
        <w:t xml:space="preserve"> Por tal motivo se procederá a estudiar de fondo este asunto.</w:t>
      </w:r>
      <w:r w:rsidR="005F15A2">
        <w:rPr>
          <w:rFonts w:ascii="Arial" w:hAnsi="Arial" w:cs="Arial"/>
          <w:sz w:val="24"/>
          <w:szCs w:val="24"/>
        </w:rPr>
        <w:t xml:space="preserve"> </w:t>
      </w:r>
    </w:p>
    <w:p w:rsidR="005F15A2" w:rsidRDefault="005F15A2" w:rsidP="00A67D65">
      <w:pPr>
        <w:spacing w:line="360" w:lineRule="auto"/>
        <w:jc w:val="both"/>
        <w:rPr>
          <w:rFonts w:ascii="Arial" w:hAnsi="Arial" w:cs="Arial"/>
          <w:b/>
          <w:sz w:val="24"/>
          <w:szCs w:val="24"/>
          <w:lang w:val="es-ES"/>
        </w:rPr>
      </w:pPr>
    </w:p>
    <w:p w:rsidR="005F15A2" w:rsidRDefault="003E5FD9" w:rsidP="00A67D65">
      <w:pPr>
        <w:spacing w:line="360" w:lineRule="auto"/>
        <w:jc w:val="both"/>
        <w:rPr>
          <w:rFonts w:ascii="Arial" w:hAnsi="Arial" w:cs="Arial"/>
          <w:b/>
          <w:sz w:val="24"/>
          <w:szCs w:val="24"/>
          <w:lang w:val="es-ES"/>
        </w:rPr>
      </w:pPr>
      <w:r>
        <w:rPr>
          <w:rFonts w:ascii="Arial" w:hAnsi="Arial" w:cs="Arial"/>
          <w:b/>
          <w:sz w:val="24"/>
          <w:szCs w:val="24"/>
          <w:lang w:val="es-ES"/>
        </w:rPr>
        <w:t>4.</w:t>
      </w:r>
      <w:r w:rsidR="00A67D65">
        <w:rPr>
          <w:rFonts w:ascii="Arial" w:hAnsi="Arial" w:cs="Arial"/>
          <w:b/>
          <w:sz w:val="24"/>
          <w:szCs w:val="24"/>
          <w:lang w:val="es-ES"/>
        </w:rPr>
        <w:t xml:space="preserve"> DEBIDO PROCESO. </w:t>
      </w:r>
    </w:p>
    <w:p w:rsidR="00E04B10" w:rsidRDefault="005F15A2" w:rsidP="00A67D65">
      <w:pPr>
        <w:spacing w:line="360" w:lineRule="auto"/>
        <w:jc w:val="both"/>
        <w:rPr>
          <w:rFonts w:ascii="Arial" w:hAnsi="Arial" w:cs="Arial"/>
          <w:b/>
          <w:bCs/>
          <w:color w:val="000000"/>
          <w:sz w:val="24"/>
          <w:szCs w:val="24"/>
          <w:highlight w:val="yellow"/>
        </w:rPr>
      </w:pPr>
      <w:r>
        <w:rPr>
          <w:rFonts w:ascii="Arial" w:hAnsi="Arial" w:cs="Arial"/>
          <w:b/>
          <w:sz w:val="24"/>
          <w:szCs w:val="24"/>
          <w:lang w:val="es-ES"/>
        </w:rPr>
        <w:t>4.1</w:t>
      </w:r>
      <w:r w:rsidR="00222622">
        <w:rPr>
          <w:rFonts w:ascii="Arial" w:hAnsi="Arial" w:cs="Arial"/>
          <w:b/>
          <w:sz w:val="24"/>
          <w:szCs w:val="24"/>
          <w:lang w:val="es-ES"/>
        </w:rPr>
        <w:t xml:space="preserve"> </w:t>
      </w:r>
      <w:r w:rsidR="00306835" w:rsidRPr="00306835">
        <w:rPr>
          <w:rFonts w:ascii="Arial" w:hAnsi="Arial" w:cs="Arial"/>
          <w:b/>
          <w:sz w:val="24"/>
          <w:szCs w:val="24"/>
        </w:rPr>
        <w:t>Principios aplicables en la valoración de las declaraciones que hacen las víctimas y carga probatoria.</w:t>
      </w:r>
    </w:p>
    <w:p w:rsidR="00306835" w:rsidRDefault="000553CE" w:rsidP="00306835">
      <w:pPr>
        <w:spacing w:before="100" w:beforeAutospacing="1" w:after="100" w:afterAutospacing="1"/>
        <w:jc w:val="both"/>
        <w:rPr>
          <w:rFonts w:ascii="Arial" w:hAnsi="Arial" w:cs="Arial"/>
          <w:sz w:val="24"/>
          <w:szCs w:val="24"/>
        </w:rPr>
      </w:pPr>
      <w:r>
        <w:rPr>
          <w:rFonts w:ascii="Arial" w:hAnsi="Arial" w:cs="Arial"/>
          <w:sz w:val="24"/>
          <w:szCs w:val="24"/>
        </w:rPr>
        <w:t>Para</w:t>
      </w:r>
      <w:r w:rsidR="00306835" w:rsidRPr="00306835">
        <w:rPr>
          <w:rFonts w:ascii="Arial" w:hAnsi="Arial" w:cs="Arial"/>
          <w:sz w:val="24"/>
          <w:szCs w:val="24"/>
        </w:rPr>
        <w:t xml:space="preserve"> ser incluido en el </w:t>
      </w:r>
      <w:proofErr w:type="spellStart"/>
      <w:r w:rsidR="00306835" w:rsidRPr="00306835">
        <w:rPr>
          <w:rFonts w:ascii="Arial" w:hAnsi="Arial" w:cs="Arial"/>
          <w:sz w:val="24"/>
          <w:szCs w:val="24"/>
        </w:rPr>
        <w:t>RUV</w:t>
      </w:r>
      <w:proofErr w:type="spellEnd"/>
      <w:r w:rsidR="00306835" w:rsidRPr="00306835">
        <w:rPr>
          <w:rFonts w:ascii="Arial" w:hAnsi="Arial" w:cs="Arial"/>
          <w:sz w:val="24"/>
          <w:szCs w:val="24"/>
        </w:rPr>
        <w:t xml:space="preserve"> o ser tenido en cuenta un hecho nuevo </w:t>
      </w:r>
      <w:proofErr w:type="spellStart"/>
      <w:r w:rsidR="00306835" w:rsidRPr="00306835">
        <w:rPr>
          <w:rFonts w:ascii="Arial" w:hAnsi="Arial" w:cs="Arial"/>
          <w:sz w:val="24"/>
          <w:szCs w:val="24"/>
        </w:rPr>
        <w:t>victimizante</w:t>
      </w:r>
      <w:proofErr w:type="spellEnd"/>
      <w:r w:rsidR="00306835" w:rsidRPr="00306835">
        <w:rPr>
          <w:rFonts w:ascii="Arial" w:hAnsi="Arial" w:cs="Arial"/>
          <w:sz w:val="24"/>
          <w:szCs w:val="24"/>
        </w:rPr>
        <w:t>, debe el interesado realizar una declaración para ser valorada, procedimiento en el cual debe estar presente la aplicación de los principios del debido proceso, favorabilidad y buena fe consagrados expresamente en el art. 158 de la Ley 1448 y art. 19 del Decreto 4800, ambos del 2011.</w:t>
      </w:r>
    </w:p>
    <w:p w:rsidR="005F15A2" w:rsidRPr="00F91900" w:rsidRDefault="005F15A2" w:rsidP="005F15A2">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El registro en mención, </w:t>
      </w:r>
      <w:r w:rsidRPr="00F91900">
        <w:rPr>
          <w:rFonts w:ascii="Arial" w:hAnsi="Arial" w:cs="Arial"/>
          <w:sz w:val="24"/>
          <w:szCs w:val="24"/>
        </w:rPr>
        <w:t xml:space="preserve">se hace necesario para que </w:t>
      </w:r>
      <w:r>
        <w:rPr>
          <w:rFonts w:ascii="Arial" w:hAnsi="Arial" w:cs="Arial"/>
          <w:sz w:val="24"/>
          <w:szCs w:val="24"/>
        </w:rPr>
        <w:t xml:space="preserve">las víctimas </w:t>
      </w:r>
      <w:r w:rsidRPr="00F91900">
        <w:rPr>
          <w:rFonts w:ascii="Arial" w:hAnsi="Arial" w:cs="Arial"/>
          <w:sz w:val="24"/>
          <w:szCs w:val="24"/>
        </w:rPr>
        <w:t>pueda</w:t>
      </w:r>
      <w:r>
        <w:rPr>
          <w:rFonts w:ascii="Arial" w:hAnsi="Arial" w:cs="Arial"/>
          <w:sz w:val="24"/>
          <w:szCs w:val="24"/>
        </w:rPr>
        <w:t>n</w:t>
      </w:r>
      <w:r w:rsidRPr="00F91900">
        <w:rPr>
          <w:rFonts w:ascii="Arial" w:hAnsi="Arial" w:cs="Arial"/>
          <w:sz w:val="24"/>
          <w:szCs w:val="24"/>
        </w:rPr>
        <w:t xml:space="preserve"> acceder al conjunto de medidas judiciales, administrativas, sociales y económicas establecidas</w:t>
      </w:r>
      <w:r>
        <w:rPr>
          <w:rFonts w:ascii="Arial" w:hAnsi="Arial" w:cs="Arial"/>
          <w:sz w:val="24"/>
          <w:szCs w:val="24"/>
        </w:rPr>
        <w:t xml:space="preserve"> al tenor de lo dispuesto en el </w:t>
      </w:r>
      <w:r w:rsidRPr="00F91900">
        <w:rPr>
          <w:rFonts w:ascii="Arial" w:hAnsi="Arial" w:cs="Arial"/>
          <w:sz w:val="24"/>
          <w:szCs w:val="24"/>
        </w:rPr>
        <w:t>art. 1 ley 1448 de 2011.</w:t>
      </w:r>
    </w:p>
    <w:p w:rsidR="005F15A2" w:rsidRPr="00910F1F" w:rsidRDefault="005F15A2" w:rsidP="005F15A2">
      <w:pPr>
        <w:spacing w:before="100" w:beforeAutospacing="1" w:after="100" w:afterAutospacing="1" w:line="360" w:lineRule="auto"/>
        <w:jc w:val="both"/>
        <w:rPr>
          <w:rFonts w:ascii="Arial" w:hAnsi="Arial" w:cs="Arial"/>
          <w:b/>
          <w:sz w:val="24"/>
          <w:szCs w:val="24"/>
        </w:rPr>
      </w:pPr>
      <w:r>
        <w:rPr>
          <w:rFonts w:ascii="Arial" w:hAnsi="Arial" w:cs="Arial"/>
          <w:sz w:val="24"/>
          <w:szCs w:val="24"/>
        </w:rPr>
        <w:t xml:space="preserve">4.2 </w:t>
      </w:r>
      <w:r w:rsidRPr="00840F71">
        <w:rPr>
          <w:rFonts w:ascii="Arial" w:hAnsi="Arial" w:cs="Arial"/>
          <w:b/>
          <w:sz w:val="24"/>
          <w:szCs w:val="24"/>
        </w:rPr>
        <w:t>Principios aplicables en la valoración de las declara</w:t>
      </w:r>
      <w:r w:rsidRPr="00910F1F">
        <w:rPr>
          <w:rFonts w:ascii="Arial" w:hAnsi="Arial" w:cs="Arial"/>
          <w:b/>
          <w:sz w:val="24"/>
          <w:szCs w:val="24"/>
        </w:rPr>
        <w:t xml:space="preserve">ciones que hacen las víctimas y carga probatoria. </w:t>
      </w:r>
    </w:p>
    <w:p w:rsidR="005F15A2" w:rsidRPr="00F55BB9" w:rsidRDefault="005F15A2" w:rsidP="005F15A2">
      <w:pPr>
        <w:spacing w:before="100" w:beforeAutospacing="1" w:after="100" w:afterAutospacing="1" w:line="360" w:lineRule="auto"/>
        <w:jc w:val="both"/>
        <w:rPr>
          <w:rFonts w:ascii="Arial" w:hAnsi="Arial" w:cs="Arial"/>
          <w:sz w:val="24"/>
          <w:szCs w:val="24"/>
        </w:rPr>
      </w:pPr>
      <w:r w:rsidRPr="00F55BB9">
        <w:rPr>
          <w:rFonts w:ascii="Arial" w:hAnsi="Arial" w:cs="Arial"/>
          <w:sz w:val="24"/>
          <w:szCs w:val="24"/>
        </w:rPr>
        <w:t xml:space="preserve">Como se dijo anteriormente, para ser incluido en el </w:t>
      </w:r>
      <w:proofErr w:type="spellStart"/>
      <w:r w:rsidRPr="00F55BB9">
        <w:rPr>
          <w:rFonts w:ascii="Arial" w:hAnsi="Arial" w:cs="Arial"/>
          <w:sz w:val="24"/>
          <w:szCs w:val="24"/>
        </w:rPr>
        <w:t>RUV</w:t>
      </w:r>
      <w:proofErr w:type="spellEnd"/>
      <w:r w:rsidRPr="00F55BB9">
        <w:rPr>
          <w:rFonts w:ascii="Arial" w:hAnsi="Arial" w:cs="Arial"/>
          <w:sz w:val="24"/>
          <w:szCs w:val="24"/>
        </w:rPr>
        <w:t xml:space="preserve"> o ser tenido en cuenta un hecho nuevo </w:t>
      </w:r>
      <w:proofErr w:type="spellStart"/>
      <w:r w:rsidRPr="00F55BB9">
        <w:rPr>
          <w:rFonts w:ascii="Arial" w:hAnsi="Arial" w:cs="Arial"/>
          <w:sz w:val="24"/>
          <w:szCs w:val="24"/>
        </w:rPr>
        <w:t>victimizante</w:t>
      </w:r>
      <w:proofErr w:type="spellEnd"/>
      <w:r w:rsidRPr="00F55BB9">
        <w:rPr>
          <w:rFonts w:ascii="Arial" w:hAnsi="Arial" w:cs="Arial"/>
          <w:sz w:val="24"/>
          <w:szCs w:val="24"/>
        </w:rPr>
        <w:t xml:space="preserve">, debe </w:t>
      </w:r>
      <w:r>
        <w:rPr>
          <w:rFonts w:ascii="Arial" w:hAnsi="Arial" w:cs="Arial"/>
          <w:sz w:val="24"/>
          <w:szCs w:val="24"/>
        </w:rPr>
        <w:t>e</w:t>
      </w:r>
      <w:r w:rsidRPr="00F55BB9">
        <w:rPr>
          <w:rFonts w:ascii="Arial" w:hAnsi="Arial" w:cs="Arial"/>
          <w:sz w:val="24"/>
          <w:szCs w:val="24"/>
        </w:rPr>
        <w:t>l</w:t>
      </w:r>
      <w:r>
        <w:rPr>
          <w:rFonts w:ascii="Arial" w:hAnsi="Arial" w:cs="Arial"/>
          <w:sz w:val="24"/>
          <w:szCs w:val="24"/>
        </w:rPr>
        <w:t xml:space="preserve"> interesado </w:t>
      </w:r>
      <w:r w:rsidRPr="00F55BB9">
        <w:rPr>
          <w:rFonts w:ascii="Arial" w:hAnsi="Arial" w:cs="Arial"/>
          <w:sz w:val="24"/>
          <w:szCs w:val="24"/>
        </w:rPr>
        <w:t xml:space="preserve">realizar una declaración para ser valorada, procedimiento en el cual debe estar presente la aplicación de los principios </w:t>
      </w:r>
      <w:r w:rsidRPr="00F55BB9">
        <w:rPr>
          <w:rFonts w:ascii="Arial" w:hAnsi="Arial" w:cs="Arial"/>
          <w:sz w:val="24"/>
          <w:szCs w:val="24"/>
        </w:rPr>
        <w:lastRenderedPageBreak/>
        <w:t>del debido proceso, favorabilidad y buena fe consagrados expresamente en el art. 158 de la Ley 1448 y art. 19 del Decreto 4800, ambos del 2011.</w:t>
      </w:r>
    </w:p>
    <w:p w:rsidR="005F15A2" w:rsidRPr="00F55BB9" w:rsidRDefault="005F15A2" w:rsidP="005F15A2">
      <w:pPr>
        <w:spacing w:before="100" w:beforeAutospacing="1" w:after="100" w:afterAutospacing="1" w:line="360" w:lineRule="auto"/>
        <w:jc w:val="both"/>
        <w:rPr>
          <w:rFonts w:ascii="Arial" w:hAnsi="Arial" w:cs="Arial"/>
          <w:sz w:val="24"/>
          <w:szCs w:val="24"/>
        </w:rPr>
      </w:pPr>
      <w:r w:rsidRPr="00F55BB9">
        <w:rPr>
          <w:rFonts w:ascii="Arial" w:hAnsi="Arial" w:cs="Arial"/>
          <w:sz w:val="24"/>
          <w:szCs w:val="24"/>
        </w:rPr>
        <w:t>En relación al principio de la buena fe, definido en el art. 5 de la Ley 1448, el órgano de cierre Constitucional expuso</w:t>
      </w:r>
      <w:r w:rsidRPr="00F55BB9">
        <w:rPr>
          <w:rStyle w:val="Refdenotaalpie"/>
          <w:rFonts w:ascii="Arial" w:hAnsi="Arial" w:cs="Arial"/>
          <w:sz w:val="24"/>
          <w:szCs w:val="24"/>
        </w:rPr>
        <w:footnoteReference w:id="6"/>
      </w:r>
      <w:r w:rsidRPr="00F55BB9">
        <w:rPr>
          <w:rFonts w:ascii="Arial" w:hAnsi="Arial" w:cs="Arial"/>
          <w:sz w:val="24"/>
          <w:szCs w:val="24"/>
        </w:rPr>
        <w:t xml:space="preserve">, que  el conduce a “(…) </w:t>
      </w:r>
      <w:r w:rsidRPr="00F55BB9">
        <w:rPr>
          <w:rFonts w:ascii="Arial" w:hAnsi="Arial" w:cs="Arial"/>
          <w:i/>
          <w:sz w:val="24"/>
          <w:szCs w:val="24"/>
        </w:rPr>
        <w:t>liberar a las víctimas de la carga de probar su condición. En la medida en que se dará especial peso a la declaración de la víctima, y se presumirá que lo que esta aduce es verdad, de forma que en caso de duda será el Estado quien tendrá la obligación de demostrar lo contrario. En consecuencia, bastará a la víctima probar de manera sumaria el daño sufrido ante la autoridad administrativa, para que esta proceda a relevarla de la carga de la prueba.”</w:t>
      </w:r>
    </w:p>
    <w:p w:rsidR="005F15A2" w:rsidRPr="00306835" w:rsidRDefault="005F15A2" w:rsidP="005F15A2">
      <w:pPr>
        <w:spacing w:before="100" w:beforeAutospacing="1" w:after="100" w:afterAutospacing="1"/>
        <w:jc w:val="both"/>
        <w:rPr>
          <w:rFonts w:ascii="Arial" w:hAnsi="Arial" w:cs="Arial"/>
          <w:sz w:val="24"/>
          <w:szCs w:val="24"/>
        </w:rPr>
      </w:pPr>
      <w:r w:rsidRPr="00306835">
        <w:rPr>
          <w:rFonts w:ascii="Arial" w:hAnsi="Arial" w:cs="Arial"/>
          <w:sz w:val="24"/>
          <w:szCs w:val="24"/>
        </w:rPr>
        <w:t>Con fundamento en estos principios la Corte Constitucional</w:t>
      </w:r>
      <w:r w:rsidRPr="00306835">
        <w:rPr>
          <w:rStyle w:val="Refdenotaalpie"/>
          <w:rFonts w:ascii="Arial" w:hAnsi="Arial" w:cs="Arial"/>
          <w:sz w:val="24"/>
          <w:szCs w:val="24"/>
        </w:rPr>
        <w:t xml:space="preserve"> </w:t>
      </w:r>
      <w:r w:rsidRPr="00306835">
        <w:rPr>
          <w:rFonts w:ascii="Arial" w:hAnsi="Arial" w:cs="Arial"/>
          <w:sz w:val="24"/>
          <w:szCs w:val="24"/>
        </w:rPr>
        <w:t xml:space="preserve">ha tutelado los derechos de los desplazados a ser incluidos en su momento en el </w:t>
      </w:r>
      <w:proofErr w:type="spellStart"/>
      <w:r w:rsidRPr="00306835">
        <w:rPr>
          <w:rFonts w:ascii="Arial" w:hAnsi="Arial" w:cs="Arial"/>
          <w:sz w:val="24"/>
          <w:szCs w:val="24"/>
        </w:rPr>
        <w:t>RUPD</w:t>
      </w:r>
      <w:proofErr w:type="spellEnd"/>
      <w:r w:rsidRPr="00306835">
        <w:rPr>
          <w:rFonts w:ascii="Arial" w:hAnsi="Arial" w:cs="Arial"/>
          <w:sz w:val="24"/>
          <w:szCs w:val="24"/>
        </w:rPr>
        <w:t xml:space="preserve">, criterios que son </w:t>
      </w:r>
      <w:proofErr w:type="gramStart"/>
      <w:r w:rsidRPr="00306835">
        <w:rPr>
          <w:rFonts w:ascii="Arial" w:hAnsi="Arial" w:cs="Arial"/>
          <w:sz w:val="24"/>
          <w:szCs w:val="24"/>
        </w:rPr>
        <w:t>extensivos</w:t>
      </w:r>
      <w:proofErr w:type="gramEnd"/>
      <w:r w:rsidRPr="00306835">
        <w:rPr>
          <w:rFonts w:ascii="Arial" w:hAnsi="Arial" w:cs="Arial"/>
          <w:sz w:val="24"/>
          <w:szCs w:val="24"/>
        </w:rPr>
        <w:t xml:space="preserve"> a las víctimas que pretender obtener su registro en el </w:t>
      </w:r>
      <w:proofErr w:type="spellStart"/>
      <w:r w:rsidRPr="00306835">
        <w:rPr>
          <w:rFonts w:ascii="Arial" w:hAnsi="Arial" w:cs="Arial"/>
          <w:sz w:val="24"/>
          <w:szCs w:val="24"/>
        </w:rPr>
        <w:t>RUV</w:t>
      </w:r>
      <w:proofErr w:type="spellEnd"/>
      <w:r w:rsidRPr="00306835">
        <w:rPr>
          <w:rFonts w:ascii="Arial" w:hAnsi="Arial" w:cs="Arial"/>
          <w:sz w:val="24"/>
          <w:szCs w:val="24"/>
        </w:rPr>
        <w:t xml:space="preserve"> o ser reconocido un hecho nuevo </w:t>
      </w:r>
      <w:proofErr w:type="spellStart"/>
      <w:r w:rsidRPr="00306835">
        <w:rPr>
          <w:rFonts w:ascii="Arial" w:hAnsi="Arial" w:cs="Arial"/>
          <w:sz w:val="24"/>
          <w:szCs w:val="24"/>
        </w:rPr>
        <w:t>victimizante</w:t>
      </w:r>
      <w:proofErr w:type="spellEnd"/>
      <w:r w:rsidRPr="00306835">
        <w:rPr>
          <w:rFonts w:ascii="Arial" w:hAnsi="Arial" w:cs="Arial"/>
          <w:sz w:val="24"/>
          <w:szCs w:val="24"/>
        </w:rPr>
        <w:t xml:space="preserve">. </w:t>
      </w:r>
    </w:p>
    <w:p w:rsidR="005F15A2" w:rsidRPr="00306835" w:rsidRDefault="005F15A2" w:rsidP="005F15A2">
      <w:pPr>
        <w:spacing w:before="100" w:beforeAutospacing="1" w:after="100" w:afterAutospacing="1"/>
        <w:jc w:val="both"/>
        <w:rPr>
          <w:rFonts w:ascii="Arial" w:hAnsi="Arial" w:cs="Arial"/>
          <w:sz w:val="24"/>
          <w:szCs w:val="24"/>
        </w:rPr>
      </w:pPr>
      <w:r w:rsidRPr="00306835">
        <w:rPr>
          <w:rFonts w:ascii="Arial" w:hAnsi="Arial" w:cs="Arial"/>
          <w:sz w:val="24"/>
          <w:szCs w:val="24"/>
        </w:rPr>
        <w:t>Al respecto se estima pertinente transcribir los siguientes apartes de la sentencia T-441 de 2012:</w:t>
      </w:r>
    </w:p>
    <w:p w:rsidR="005F15A2" w:rsidRPr="00306835" w:rsidRDefault="005F15A2" w:rsidP="005F15A2">
      <w:pPr>
        <w:ind w:left="709"/>
        <w:jc w:val="both"/>
        <w:rPr>
          <w:rFonts w:ascii="Arial" w:hAnsi="Arial" w:cs="Arial"/>
          <w:i/>
          <w:sz w:val="24"/>
          <w:szCs w:val="24"/>
        </w:rPr>
      </w:pPr>
      <w:r w:rsidRPr="00306835">
        <w:rPr>
          <w:rFonts w:ascii="Arial" w:hAnsi="Arial" w:cs="Arial"/>
          <w:i/>
          <w:sz w:val="24"/>
          <w:szCs w:val="24"/>
        </w:rPr>
        <w:t xml:space="preserve">24.-Dentro de este contexto es preciso reiterar lo señalado en varias oportunidades por Corporación respecto de las pautas que deben seguirse para efectos de realizar una adecuada interpretación de las causas legales y reglamentarias que dan lugar al rechazo de la inscripción de una persona en el </w:t>
      </w:r>
      <w:proofErr w:type="spellStart"/>
      <w:r w:rsidRPr="00306835">
        <w:rPr>
          <w:rFonts w:ascii="Arial" w:hAnsi="Arial" w:cs="Arial"/>
          <w:i/>
          <w:sz w:val="24"/>
          <w:szCs w:val="24"/>
        </w:rPr>
        <w:t>RUPD</w:t>
      </w:r>
      <w:proofErr w:type="spellEnd"/>
      <w:r w:rsidRPr="00306835">
        <w:rPr>
          <w:rFonts w:ascii="Arial" w:hAnsi="Arial" w:cs="Arial"/>
          <w:i/>
          <w:sz w:val="24"/>
          <w:szCs w:val="24"/>
          <w:vertAlign w:val="superscript"/>
        </w:rPr>
        <w:footnoteReference w:id="7"/>
      </w:r>
      <w:r w:rsidRPr="00306835">
        <w:rPr>
          <w:rFonts w:ascii="Arial" w:hAnsi="Arial" w:cs="Arial"/>
          <w:i/>
          <w:sz w:val="24"/>
          <w:szCs w:val="24"/>
        </w:rPr>
        <w:t xml:space="preserve">. </w:t>
      </w:r>
    </w:p>
    <w:p w:rsidR="005F15A2" w:rsidRPr="00306835" w:rsidRDefault="005F15A2" w:rsidP="005F15A2">
      <w:pPr>
        <w:ind w:left="709"/>
        <w:jc w:val="both"/>
        <w:rPr>
          <w:rFonts w:ascii="Arial" w:hAnsi="Arial" w:cs="Arial"/>
          <w:i/>
          <w:sz w:val="24"/>
          <w:szCs w:val="24"/>
        </w:rPr>
      </w:pPr>
      <w:r w:rsidRPr="00306835">
        <w:rPr>
          <w:rFonts w:ascii="Arial" w:hAnsi="Arial" w:cs="Arial"/>
          <w:i/>
          <w:sz w:val="24"/>
          <w:szCs w:val="24"/>
        </w:rPr>
        <w:t>Así pues, se ha entendido que el contenido de dichas disposiciones debe entenderse conforme a (i) las disposiciones de derecho internacional que hacen parte de bloque de constitucionalidad, a saber: a) el artículo 17 del Protocolo Adicional de los Convenios de Ginebra de 1949y b) los Principios Rectores de los Desplazamientos Internos, consagrados en el Informe del Representante Especial del Secretario General de Naciones Unidas para el Tema de los Desplazamientos Internos de Personas; (ii) el principio de buena fe</w:t>
      </w:r>
      <w:r w:rsidRPr="00306835">
        <w:rPr>
          <w:rFonts w:ascii="Arial" w:hAnsi="Arial" w:cs="Arial"/>
          <w:i/>
          <w:sz w:val="24"/>
          <w:szCs w:val="24"/>
          <w:vertAlign w:val="superscript"/>
        </w:rPr>
        <w:footnoteReference w:id="8"/>
      </w:r>
      <w:r w:rsidRPr="00306835">
        <w:rPr>
          <w:rFonts w:ascii="Arial" w:hAnsi="Arial" w:cs="Arial"/>
          <w:i/>
          <w:sz w:val="24"/>
          <w:szCs w:val="24"/>
        </w:rPr>
        <w:t>; (iii) el principio de favorabilidad y confianza legítima</w:t>
      </w:r>
      <w:r w:rsidRPr="00306835">
        <w:rPr>
          <w:rFonts w:ascii="Arial" w:hAnsi="Arial" w:cs="Arial"/>
          <w:i/>
          <w:sz w:val="24"/>
          <w:szCs w:val="24"/>
          <w:vertAlign w:val="superscript"/>
        </w:rPr>
        <w:footnoteReference w:id="9"/>
      </w:r>
      <w:r w:rsidRPr="00306835">
        <w:rPr>
          <w:rFonts w:ascii="Arial" w:hAnsi="Arial" w:cs="Arial"/>
          <w:i/>
          <w:sz w:val="24"/>
          <w:szCs w:val="24"/>
        </w:rPr>
        <w:t xml:space="preserve"> y, iv) el principio de prevalecía del derecho sustancial propio del Estado Social de Derecho.</w:t>
      </w:r>
      <w:r w:rsidRPr="00306835">
        <w:rPr>
          <w:rFonts w:ascii="Arial" w:hAnsi="Arial" w:cs="Arial"/>
          <w:i/>
          <w:sz w:val="24"/>
          <w:szCs w:val="24"/>
          <w:vertAlign w:val="superscript"/>
        </w:rPr>
        <w:footnoteReference w:id="10"/>
      </w:r>
      <w:r w:rsidRPr="00306835">
        <w:rPr>
          <w:rFonts w:ascii="Arial" w:hAnsi="Arial" w:cs="Arial"/>
          <w:i/>
          <w:sz w:val="24"/>
          <w:szCs w:val="24"/>
        </w:rPr>
        <w:t xml:space="preserve"> </w:t>
      </w:r>
    </w:p>
    <w:p w:rsidR="005F15A2" w:rsidRPr="00306835" w:rsidRDefault="005F15A2" w:rsidP="005F15A2">
      <w:pPr>
        <w:ind w:left="709"/>
        <w:jc w:val="both"/>
        <w:rPr>
          <w:rFonts w:ascii="Arial" w:hAnsi="Arial" w:cs="Arial"/>
          <w:i/>
          <w:sz w:val="24"/>
          <w:szCs w:val="24"/>
        </w:rPr>
      </w:pPr>
      <w:r w:rsidRPr="00306835">
        <w:rPr>
          <w:rFonts w:ascii="Arial" w:hAnsi="Arial" w:cs="Arial"/>
          <w:i/>
          <w:sz w:val="24"/>
          <w:szCs w:val="24"/>
        </w:rPr>
        <w:t xml:space="preserve">Tales principio son los que han guiado a la Corte Constitucional a establecer que la inscripción en el </w:t>
      </w:r>
      <w:proofErr w:type="spellStart"/>
      <w:r w:rsidRPr="00306835">
        <w:rPr>
          <w:rFonts w:ascii="Arial" w:hAnsi="Arial" w:cs="Arial"/>
          <w:i/>
          <w:sz w:val="24"/>
          <w:szCs w:val="24"/>
        </w:rPr>
        <w:t>RUPD</w:t>
      </w:r>
      <w:proofErr w:type="spellEnd"/>
      <w:r w:rsidRPr="00306835">
        <w:rPr>
          <w:rFonts w:ascii="Arial" w:hAnsi="Arial" w:cs="Arial"/>
          <w:i/>
          <w:sz w:val="24"/>
          <w:szCs w:val="24"/>
        </w:rPr>
        <w:t xml:space="preserve"> debe estar guiada por ciertas reglas</w:t>
      </w:r>
      <w:r w:rsidRPr="00306835">
        <w:rPr>
          <w:rFonts w:ascii="Arial" w:hAnsi="Arial" w:cs="Arial"/>
          <w:i/>
          <w:iCs/>
          <w:sz w:val="24"/>
          <w:szCs w:val="24"/>
          <w:vertAlign w:val="superscript"/>
        </w:rPr>
        <w:footnoteReference w:id="11"/>
      </w:r>
      <w:r w:rsidRPr="00306835">
        <w:rPr>
          <w:rFonts w:ascii="Arial" w:hAnsi="Arial" w:cs="Arial"/>
          <w:i/>
          <w:sz w:val="24"/>
          <w:szCs w:val="24"/>
        </w:rPr>
        <w:t xml:space="preserve"> que para el caso sub </w:t>
      </w:r>
      <w:proofErr w:type="spellStart"/>
      <w:r w:rsidRPr="00306835">
        <w:rPr>
          <w:rFonts w:ascii="Arial" w:hAnsi="Arial" w:cs="Arial"/>
          <w:i/>
          <w:sz w:val="24"/>
          <w:szCs w:val="24"/>
        </w:rPr>
        <w:t>exámine</w:t>
      </w:r>
      <w:proofErr w:type="spellEnd"/>
      <w:r w:rsidRPr="00306835">
        <w:rPr>
          <w:rFonts w:ascii="Arial" w:hAnsi="Arial" w:cs="Arial"/>
          <w:i/>
          <w:sz w:val="24"/>
          <w:szCs w:val="24"/>
        </w:rPr>
        <w:t xml:space="preserve"> vale la pena recordar.</w:t>
      </w:r>
    </w:p>
    <w:p w:rsidR="005F15A2" w:rsidRPr="00306835" w:rsidRDefault="005F15A2" w:rsidP="005F15A2">
      <w:pPr>
        <w:ind w:left="708"/>
        <w:jc w:val="both"/>
        <w:rPr>
          <w:rFonts w:ascii="Arial" w:hAnsi="Arial" w:cs="Arial"/>
          <w:i/>
          <w:iCs/>
          <w:sz w:val="24"/>
          <w:szCs w:val="24"/>
        </w:rPr>
      </w:pPr>
      <w:r w:rsidRPr="00306835">
        <w:rPr>
          <w:rFonts w:ascii="Arial" w:hAnsi="Arial" w:cs="Arial"/>
          <w:i/>
          <w:iCs/>
          <w:sz w:val="24"/>
          <w:szCs w:val="24"/>
        </w:rPr>
        <w:lastRenderedPageBreak/>
        <w:t>En primer lugar, los servidores públicos deben informar de manera pronta, completa y oportuna a quien pueda encontrarse en situación de desplazamiento forzado, sobre la totalidad de sus derechos y el trámite que deben surtir para exigirlos</w:t>
      </w:r>
      <w:r w:rsidRPr="00306835">
        <w:rPr>
          <w:rFonts w:ascii="Arial" w:hAnsi="Arial" w:cs="Arial"/>
          <w:i/>
          <w:iCs/>
          <w:sz w:val="24"/>
          <w:szCs w:val="24"/>
          <w:vertAlign w:val="superscript"/>
        </w:rPr>
        <w:footnoteReference w:id="12"/>
      </w:r>
      <w:r w:rsidRPr="00306835">
        <w:rPr>
          <w:rFonts w:ascii="Arial" w:hAnsi="Arial" w:cs="Arial"/>
          <w:i/>
          <w:iCs/>
          <w:sz w:val="24"/>
          <w:szCs w:val="24"/>
        </w:rPr>
        <w:t>. En segundo término, los funcionarios que reciben la declaración y diligencian el registro sólo pueden requerir al solicitante el cumplimiento de los trámites y requisitos expresamente previstos en la ley para tal fin</w:t>
      </w:r>
      <w:r w:rsidRPr="00306835">
        <w:rPr>
          <w:rFonts w:ascii="Arial" w:hAnsi="Arial" w:cs="Arial"/>
          <w:i/>
          <w:iCs/>
          <w:sz w:val="24"/>
          <w:szCs w:val="24"/>
          <w:vertAlign w:val="superscript"/>
        </w:rPr>
        <w:footnoteReference w:id="13"/>
      </w:r>
      <w:r w:rsidRPr="00306835">
        <w:rPr>
          <w:rFonts w:ascii="Arial" w:hAnsi="Arial" w:cs="Arial"/>
          <w:i/>
          <w:iCs/>
          <w:sz w:val="24"/>
          <w:szCs w:val="24"/>
        </w:rPr>
        <w:t xml:space="preserve">. En tercer lugar, en virtud del principio de buena </w:t>
      </w:r>
      <w:r>
        <w:rPr>
          <w:rFonts w:ascii="Arial" w:hAnsi="Arial" w:cs="Arial"/>
          <w:i/>
          <w:iCs/>
          <w:sz w:val="24"/>
          <w:szCs w:val="24"/>
        </w:rPr>
        <w:t xml:space="preserve">fe, deben tenerse como </w:t>
      </w:r>
      <w:proofErr w:type="gramStart"/>
      <w:r>
        <w:rPr>
          <w:rFonts w:ascii="Arial" w:hAnsi="Arial" w:cs="Arial"/>
          <w:i/>
          <w:iCs/>
          <w:sz w:val="24"/>
          <w:szCs w:val="24"/>
        </w:rPr>
        <w:t xml:space="preserve">ciertas, </w:t>
      </w:r>
      <w:r w:rsidRPr="00306835">
        <w:rPr>
          <w:rFonts w:ascii="Arial" w:hAnsi="Arial" w:cs="Arial"/>
          <w:i/>
          <w:iCs/>
          <w:sz w:val="24"/>
          <w:szCs w:val="24"/>
        </w:rPr>
        <w:t>prima</w:t>
      </w:r>
      <w:proofErr w:type="gramEnd"/>
      <w:r w:rsidRPr="00306835">
        <w:rPr>
          <w:rFonts w:ascii="Arial" w:hAnsi="Arial" w:cs="Arial"/>
          <w:i/>
          <w:iCs/>
          <w:sz w:val="24"/>
          <w:szCs w:val="24"/>
        </w:rPr>
        <w:t xml:space="preserve"> facie, las declaraciones y pruebas aportadas por el declarante</w:t>
      </w:r>
      <w:r w:rsidRPr="00306835">
        <w:rPr>
          <w:rFonts w:ascii="Arial" w:hAnsi="Arial" w:cs="Arial"/>
          <w:i/>
          <w:iCs/>
          <w:sz w:val="24"/>
          <w:szCs w:val="24"/>
          <w:vertAlign w:val="superscript"/>
        </w:rPr>
        <w:footnoteReference w:id="14"/>
      </w:r>
      <w:r w:rsidRPr="00306835">
        <w:rPr>
          <w:rFonts w:ascii="Arial" w:hAnsi="Arial" w:cs="Arial"/>
          <w:i/>
          <w:iCs/>
          <w:sz w:val="24"/>
          <w:szCs w:val="24"/>
        </w:rPr>
        <w:t>. En este sentido, si el funcionario considera que la declaración o la prueba falta a la verdad, deberá demostrar que ello es así</w:t>
      </w:r>
      <w:r w:rsidRPr="00306835">
        <w:rPr>
          <w:rFonts w:ascii="Arial" w:hAnsi="Arial" w:cs="Arial"/>
          <w:i/>
          <w:iCs/>
          <w:sz w:val="24"/>
          <w:szCs w:val="24"/>
          <w:vertAlign w:val="superscript"/>
        </w:rPr>
        <w:footnoteReference w:id="15"/>
      </w:r>
      <w:r w:rsidRPr="00306835">
        <w:rPr>
          <w:rFonts w:ascii="Arial" w:hAnsi="Arial" w:cs="Arial"/>
          <w:i/>
          <w:iCs/>
          <w:sz w:val="24"/>
          <w:szCs w:val="24"/>
        </w:rPr>
        <w:t>. Los indicios derivados de la declaración se tendrán como prueba válida</w:t>
      </w:r>
      <w:r w:rsidRPr="00306835">
        <w:rPr>
          <w:rFonts w:ascii="Arial" w:hAnsi="Arial" w:cs="Arial"/>
          <w:i/>
          <w:iCs/>
          <w:sz w:val="24"/>
          <w:szCs w:val="24"/>
          <w:vertAlign w:val="superscript"/>
        </w:rPr>
        <w:footnoteReference w:id="16"/>
      </w:r>
      <w:r w:rsidRPr="00306835">
        <w:rPr>
          <w:rFonts w:ascii="Arial" w:hAnsi="Arial" w:cs="Arial"/>
          <w:i/>
          <w:iCs/>
          <w:sz w:val="24"/>
          <w:szCs w:val="24"/>
        </w:rPr>
        <w:t xml:space="preserve"> y las contradicciones que se presenten en la misma no podrán ser tenidas como prueba suficiente de que el solicitante faltó a la verdad. En cuarto lugar, la declaración sobre los hechos constitutivos de desplazamiento debe analizarse de tal forma que se tengan en cuenta las condiciones particulares de los desplazados, así como el principio de favorabilidad. Y finalmente, la Corte ha sostenido que en algunos eventos, exigir que la declaración haya sido rendida dentro del término de un año definido en las normas vigentes puede resultar irrazonable o desproporcionado, en atención a las razones que condujeron a la tardanza y a la situación que dio lugar el desplazamiento.</w:t>
      </w:r>
    </w:p>
    <w:p w:rsidR="005F15A2" w:rsidRPr="00306835" w:rsidRDefault="005F15A2" w:rsidP="005F15A2">
      <w:pPr>
        <w:spacing w:before="100" w:beforeAutospacing="1" w:after="100" w:afterAutospacing="1"/>
        <w:jc w:val="both"/>
        <w:rPr>
          <w:rFonts w:ascii="Arial" w:hAnsi="Arial" w:cs="Arial"/>
          <w:sz w:val="24"/>
          <w:szCs w:val="24"/>
        </w:rPr>
      </w:pPr>
      <w:r w:rsidRPr="00306835">
        <w:rPr>
          <w:rFonts w:ascii="Arial" w:hAnsi="Arial" w:cs="Arial"/>
          <w:sz w:val="24"/>
          <w:szCs w:val="24"/>
        </w:rPr>
        <w:t xml:space="preserve">Así las cosas solo luego de aplicar estos principios es que puede la accionada denegar la inscripción por alguna de las causales consagradas en el art. 40 del Decreto 4800, entre las cuales está </w:t>
      </w:r>
      <w:r w:rsidRPr="00306835">
        <w:rPr>
          <w:rFonts w:ascii="Arial" w:hAnsi="Arial" w:cs="Arial"/>
          <w:i/>
          <w:sz w:val="24"/>
          <w:szCs w:val="24"/>
        </w:rPr>
        <w:t>“Cuando en el proceso de valoración de la solicitud de registro se determine que los hechos ocurrieron por causa diferente a lo dispuesto en el artículo 3 de la Ley 1448 de 2011</w:t>
      </w:r>
      <w:r w:rsidRPr="00306835">
        <w:rPr>
          <w:rFonts w:ascii="Arial" w:hAnsi="Arial" w:cs="Arial"/>
          <w:sz w:val="24"/>
          <w:szCs w:val="24"/>
        </w:rPr>
        <w:t xml:space="preserve">”.   </w:t>
      </w:r>
    </w:p>
    <w:p w:rsidR="005F15A2" w:rsidRPr="000553CE" w:rsidRDefault="005F15A2" w:rsidP="005F15A2">
      <w:pPr>
        <w:spacing w:before="100" w:beforeAutospacing="1" w:after="100" w:afterAutospacing="1"/>
        <w:jc w:val="both"/>
        <w:rPr>
          <w:rFonts w:ascii="Arial" w:hAnsi="Arial" w:cs="Arial"/>
          <w:sz w:val="24"/>
          <w:szCs w:val="24"/>
        </w:rPr>
      </w:pPr>
      <w:r w:rsidRPr="00306835">
        <w:rPr>
          <w:rFonts w:ascii="Arial" w:hAnsi="Arial" w:cs="Arial"/>
          <w:sz w:val="24"/>
          <w:szCs w:val="24"/>
        </w:rPr>
        <w:t xml:space="preserve">En otras palabras, solo cuando se tenga prueba de la ocurrencia de la causal hay es procedente negar lo pedido por la víctima, al radicarse, en virtud del principio de la buena fe,  la carga probatoria en la accionada, quien podrá al tenor del art. 37 del decreto 4800 en el proceso de valoración de la declaración  consultar las bases de datos y sistemas de información nacional para la atención y reparación de víctimas, como otras fuentes que se estimen pertinentes.       </w:t>
      </w:r>
    </w:p>
    <w:p w:rsidR="00E04B10" w:rsidRDefault="00E04B10" w:rsidP="00E04B10">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E04B10" w:rsidRDefault="00E04B10" w:rsidP="00E04B10">
      <w:pPr>
        <w:contextualSpacing/>
        <w:jc w:val="both"/>
        <w:rPr>
          <w:rFonts w:ascii="Arial" w:hAnsi="Arial" w:cs="Arial"/>
          <w:sz w:val="24"/>
          <w:szCs w:val="24"/>
        </w:rPr>
      </w:pPr>
    </w:p>
    <w:p w:rsidR="001B6662" w:rsidRDefault="001B6662" w:rsidP="00FB3A8A">
      <w:pPr>
        <w:spacing w:before="240" w:after="0"/>
        <w:jc w:val="both"/>
        <w:rPr>
          <w:rFonts w:ascii="Arial" w:hAnsi="Arial" w:cs="Arial"/>
          <w:sz w:val="24"/>
          <w:szCs w:val="24"/>
        </w:rPr>
      </w:pPr>
      <w:r>
        <w:rPr>
          <w:rFonts w:ascii="Arial" w:hAnsi="Arial" w:cs="Arial"/>
          <w:sz w:val="24"/>
          <w:szCs w:val="24"/>
        </w:rPr>
        <w:t xml:space="preserve">Descendiendo al caso bajo examen, se encuentra probado que el accionante está incluido en el </w:t>
      </w:r>
      <w:proofErr w:type="spellStart"/>
      <w:r>
        <w:rPr>
          <w:rFonts w:ascii="Arial" w:hAnsi="Arial" w:cs="Arial"/>
          <w:sz w:val="24"/>
          <w:szCs w:val="24"/>
        </w:rPr>
        <w:t>RUV</w:t>
      </w:r>
      <w:proofErr w:type="spellEnd"/>
      <w:r>
        <w:rPr>
          <w:rFonts w:ascii="Arial" w:hAnsi="Arial" w:cs="Arial"/>
          <w:sz w:val="24"/>
          <w:szCs w:val="24"/>
        </w:rPr>
        <w:t xml:space="preserve"> como víctima de desplazamiento forzado, único hecho </w:t>
      </w:r>
      <w:proofErr w:type="spellStart"/>
      <w:r>
        <w:rPr>
          <w:rFonts w:ascii="Arial" w:hAnsi="Arial" w:cs="Arial"/>
          <w:sz w:val="24"/>
          <w:szCs w:val="24"/>
        </w:rPr>
        <w:t>victimizante</w:t>
      </w:r>
      <w:proofErr w:type="spellEnd"/>
      <w:r>
        <w:rPr>
          <w:rFonts w:ascii="Arial" w:hAnsi="Arial" w:cs="Arial"/>
          <w:sz w:val="24"/>
          <w:szCs w:val="24"/>
        </w:rPr>
        <w:t xml:space="preserve"> incluido.</w:t>
      </w:r>
    </w:p>
    <w:p w:rsidR="001B6662" w:rsidRDefault="001B6662" w:rsidP="00FB3A8A">
      <w:pPr>
        <w:spacing w:before="240" w:after="0"/>
        <w:jc w:val="both"/>
        <w:rPr>
          <w:rFonts w:ascii="Arial" w:hAnsi="Arial" w:cs="Arial"/>
          <w:sz w:val="24"/>
          <w:szCs w:val="24"/>
        </w:rPr>
      </w:pPr>
      <w:r>
        <w:rPr>
          <w:rFonts w:ascii="Arial" w:hAnsi="Arial" w:cs="Arial"/>
          <w:sz w:val="24"/>
          <w:szCs w:val="24"/>
        </w:rPr>
        <w:lastRenderedPageBreak/>
        <w:t xml:space="preserve">Igualmente que se le negó la inclusión del secuestro, como otro hecho </w:t>
      </w:r>
      <w:proofErr w:type="spellStart"/>
      <w:r>
        <w:rPr>
          <w:rFonts w:ascii="Arial" w:hAnsi="Arial" w:cs="Arial"/>
          <w:sz w:val="24"/>
          <w:szCs w:val="24"/>
        </w:rPr>
        <w:t>victimizante</w:t>
      </w:r>
      <w:proofErr w:type="spellEnd"/>
      <w:r>
        <w:rPr>
          <w:rFonts w:ascii="Arial" w:hAnsi="Arial" w:cs="Arial"/>
          <w:sz w:val="24"/>
          <w:szCs w:val="24"/>
        </w:rPr>
        <w:t xml:space="preserve">, decisión que tiene apoyo en la valoración de los documentos allegados, entre otros, la declaración, </w:t>
      </w:r>
      <w:r w:rsidR="002867E9">
        <w:rPr>
          <w:rFonts w:ascii="Arial" w:hAnsi="Arial" w:cs="Arial"/>
          <w:sz w:val="24"/>
          <w:szCs w:val="24"/>
        </w:rPr>
        <w:t>denuncia, recorte de prensa;</w:t>
      </w:r>
      <w:r w:rsidR="0093392B">
        <w:rPr>
          <w:rFonts w:ascii="Arial" w:hAnsi="Arial" w:cs="Arial"/>
          <w:sz w:val="24"/>
          <w:szCs w:val="24"/>
        </w:rPr>
        <w:t xml:space="preserve"> con los que concluyó que  no se probó la ocurrencia del hecho narrado</w:t>
      </w:r>
      <w:r w:rsidR="00724677">
        <w:rPr>
          <w:rFonts w:ascii="Arial" w:hAnsi="Arial" w:cs="Arial"/>
          <w:sz w:val="24"/>
          <w:szCs w:val="24"/>
        </w:rPr>
        <w:t>;</w:t>
      </w:r>
      <w:r w:rsidR="0093392B">
        <w:rPr>
          <w:rFonts w:ascii="Arial" w:hAnsi="Arial" w:cs="Arial"/>
          <w:sz w:val="24"/>
          <w:szCs w:val="24"/>
        </w:rPr>
        <w:t xml:space="preserve"> adicionalmente, porque la situación de orden público en el chocó, se </w:t>
      </w:r>
      <w:r w:rsidR="00724677">
        <w:rPr>
          <w:rFonts w:ascii="Arial" w:hAnsi="Arial" w:cs="Arial"/>
          <w:sz w:val="24"/>
          <w:szCs w:val="24"/>
        </w:rPr>
        <w:t>d</w:t>
      </w:r>
      <w:r w:rsidR="0093392B">
        <w:rPr>
          <w:rFonts w:ascii="Arial" w:hAnsi="Arial" w:cs="Arial"/>
          <w:sz w:val="24"/>
          <w:szCs w:val="24"/>
        </w:rPr>
        <w:t>e</w:t>
      </w:r>
      <w:r w:rsidR="00724677">
        <w:rPr>
          <w:rFonts w:ascii="Arial" w:hAnsi="Arial" w:cs="Arial"/>
          <w:sz w:val="24"/>
          <w:szCs w:val="24"/>
        </w:rPr>
        <w:t xml:space="preserve">be a </w:t>
      </w:r>
      <w:r w:rsidR="0093392B">
        <w:rPr>
          <w:rFonts w:ascii="Arial" w:hAnsi="Arial" w:cs="Arial"/>
          <w:sz w:val="24"/>
          <w:szCs w:val="24"/>
        </w:rPr>
        <w:t>varios factores de violencia, como narcotráfico</w:t>
      </w:r>
      <w:r w:rsidR="00724677">
        <w:rPr>
          <w:rFonts w:ascii="Arial" w:hAnsi="Arial" w:cs="Arial"/>
          <w:sz w:val="24"/>
          <w:szCs w:val="24"/>
        </w:rPr>
        <w:t>;</w:t>
      </w:r>
      <w:r w:rsidR="0093392B">
        <w:rPr>
          <w:rFonts w:ascii="Arial" w:hAnsi="Arial" w:cs="Arial"/>
          <w:sz w:val="24"/>
          <w:szCs w:val="24"/>
        </w:rPr>
        <w:t xml:space="preserve"> es así</w:t>
      </w:r>
      <w:r w:rsidR="00724677">
        <w:rPr>
          <w:rFonts w:ascii="Arial" w:hAnsi="Arial" w:cs="Arial"/>
          <w:sz w:val="24"/>
          <w:szCs w:val="24"/>
        </w:rPr>
        <w:t>,</w:t>
      </w:r>
      <w:r w:rsidR="0093392B">
        <w:rPr>
          <w:rFonts w:ascii="Arial" w:hAnsi="Arial" w:cs="Arial"/>
          <w:sz w:val="24"/>
          <w:szCs w:val="24"/>
        </w:rPr>
        <w:t xml:space="preserve"> que no tiene relación cercana y suficiente con el conflicto armado interno.  </w:t>
      </w:r>
    </w:p>
    <w:p w:rsidR="0004428B" w:rsidRDefault="00DA36A4" w:rsidP="00FB3A8A">
      <w:pPr>
        <w:spacing w:before="240" w:after="0"/>
        <w:jc w:val="both"/>
        <w:rPr>
          <w:rFonts w:ascii="Arial" w:hAnsi="Arial" w:cs="Arial"/>
          <w:sz w:val="24"/>
          <w:szCs w:val="24"/>
        </w:rPr>
      </w:pPr>
      <w:r>
        <w:rPr>
          <w:rFonts w:ascii="Arial" w:hAnsi="Arial" w:cs="Arial"/>
          <w:sz w:val="24"/>
          <w:szCs w:val="24"/>
        </w:rPr>
        <w:t xml:space="preserve">Conforme lo expuesto, al revisar los argumentos expuestos por la accionada y confrontarlos con los documentos allegados por la accionante para lograr la inclusión del secuestro como hecho </w:t>
      </w:r>
      <w:proofErr w:type="spellStart"/>
      <w:r>
        <w:rPr>
          <w:rFonts w:ascii="Arial" w:hAnsi="Arial" w:cs="Arial"/>
          <w:sz w:val="24"/>
          <w:szCs w:val="24"/>
        </w:rPr>
        <w:t>victimizante</w:t>
      </w:r>
      <w:proofErr w:type="spellEnd"/>
      <w:r w:rsidR="00724677">
        <w:rPr>
          <w:rFonts w:ascii="Arial" w:hAnsi="Arial" w:cs="Arial"/>
          <w:sz w:val="24"/>
          <w:szCs w:val="24"/>
        </w:rPr>
        <w:t>;</w:t>
      </w:r>
      <w:r>
        <w:rPr>
          <w:rFonts w:ascii="Arial" w:hAnsi="Arial" w:cs="Arial"/>
          <w:sz w:val="24"/>
          <w:szCs w:val="24"/>
        </w:rPr>
        <w:t xml:space="preserve"> se tiene que no omitió la primera dar aplicación a los principios consagrados en la ley 1448 de 2011, y en consecuencia, la carga probatoria que favorece a la declarante; en tanto, en la denuncia del presunto hecho delictivo del secuestro</w:t>
      </w:r>
      <w:r w:rsidR="0004428B">
        <w:rPr>
          <w:rFonts w:ascii="Arial" w:hAnsi="Arial" w:cs="Arial"/>
          <w:sz w:val="24"/>
          <w:szCs w:val="24"/>
        </w:rPr>
        <w:t xml:space="preserve"> (12 c.1)</w:t>
      </w:r>
      <w:r>
        <w:rPr>
          <w:rFonts w:ascii="Arial" w:hAnsi="Arial" w:cs="Arial"/>
          <w:sz w:val="24"/>
          <w:szCs w:val="24"/>
        </w:rPr>
        <w:t xml:space="preserve">, no se relevan los elementos que lo tipifican, si en cuenta se tiene que </w:t>
      </w:r>
      <w:r w:rsidR="0004428B">
        <w:rPr>
          <w:rFonts w:ascii="Arial" w:hAnsi="Arial" w:cs="Arial"/>
          <w:sz w:val="24"/>
          <w:szCs w:val="24"/>
        </w:rPr>
        <w:t xml:space="preserve">cuando </w:t>
      </w:r>
      <w:r>
        <w:rPr>
          <w:rFonts w:ascii="Arial" w:hAnsi="Arial" w:cs="Arial"/>
          <w:sz w:val="24"/>
          <w:szCs w:val="24"/>
        </w:rPr>
        <w:t>lo retuvieron le informaron que no lo querían volver a ver por esos lados</w:t>
      </w:r>
      <w:r w:rsidR="0004428B">
        <w:rPr>
          <w:rFonts w:ascii="Arial" w:hAnsi="Arial" w:cs="Arial"/>
          <w:sz w:val="24"/>
          <w:szCs w:val="24"/>
        </w:rPr>
        <w:t>;</w:t>
      </w:r>
      <w:r>
        <w:rPr>
          <w:rFonts w:ascii="Arial" w:hAnsi="Arial" w:cs="Arial"/>
          <w:sz w:val="24"/>
          <w:szCs w:val="24"/>
        </w:rPr>
        <w:t xml:space="preserve"> lo que entra en contraposición con el tipo penal del secuestro, que tiene </w:t>
      </w:r>
      <w:r w:rsidR="006D6919">
        <w:rPr>
          <w:rFonts w:ascii="Arial" w:hAnsi="Arial" w:cs="Arial"/>
          <w:sz w:val="24"/>
          <w:szCs w:val="24"/>
        </w:rPr>
        <w:t xml:space="preserve">como propósito </w:t>
      </w:r>
      <w:r w:rsidR="0004428B">
        <w:rPr>
          <w:rFonts w:ascii="Arial" w:hAnsi="Arial" w:cs="Arial"/>
          <w:sz w:val="24"/>
          <w:szCs w:val="24"/>
        </w:rPr>
        <w:t>privar de l</w:t>
      </w:r>
      <w:r w:rsidR="006D6919">
        <w:rPr>
          <w:rFonts w:ascii="Arial" w:hAnsi="Arial" w:cs="Arial"/>
          <w:sz w:val="24"/>
          <w:szCs w:val="24"/>
        </w:rPr>
        <w:t>a libertad</w:t>
      </w:r>
      <w:r w:rsidR="0004428B">
        <w:rPr>
          <w:rFonts w:ascii="Arial" w:hAnsi="Arial" w:cs="Arial"/>
          <w:sz w:val="24"/>
          <w:szCs w:val="24"/>
        </w:rPr>
        <w:t xml:space="preserve"> utilizando violencia o el engaño; lo que implica que la persona pierda la capacidad de locomoción, lo que aquí no aconteció, propiamente dicho, pues se le permitió su movilidad, pero no en la región donde vivía, lo que configura el desplazamiento forzado, que se incluyó como hecho </w:t>
      </w:r>
      <w:proofErr w:type="spellStart"/>
      <w:r w:rsidR="0004428B">
        <w:rPr>
          <w:rFonts w:ascii="Arial" w:hAnsi="Arial" w:cs="Arial"/>
          <w:sz w:val="24"/>
          <w:szCs w:val="24"/>
        </w:rPr>
        <w:t>victimizante</w:t>
      </w:r>
      <w:proofErr w:type="spellEnd"/>
      <w:r w:rsidR="0004428B">
        <w:rPr>
          <w:rFonts w:ascii="Arial" w:hAnsi="Arial" w:cs="Arial"/>
          <w:sz w:val="24"/>
          <w:szCs w:val="24"/>
        </w:rPr>
        <w:t xml:space="preserve">. </w:t>
      </w:r>
    </w:p>
    <w:p w:rsidR="003D5A0D" w:rsidRDefault="003D5A0D" w:rsidP="003D5A0D">
      <w:pPr>
        <w:contextualSpacing/>
        <w:jc w:val="center"/>
        <w:rPr>
          <w:rFonts w:ascii="Arial" w:hAnsi="Arial" w:cs="Arial"/>
          <w:sz w:val="24"/>
          <w:szCs w:val="24"/>
        </w:rPr>
      </w:pPr>
    </w:p>
    <w:p w:rsidR="003D5A0D" w:rsidRDefault="003D5A0D" w:rsidP="003D5A0D">
      <w:pPr>
        <w:contextualSpacing/>
        <w:jc w:val="center"/>
        <w:rPr>
          <w:rFonts w:ascii="Arial" w:hAnsi="Arial" w:cs="Arial"/>
          <w:sz w:val="24"/>
          <w:szCs w:val="24"/>
        </w:rPr>
      </w:pPr>
    </w:p>
    <w:p w:rsidR="003D5A0D" w:rsidRDefault="003D5A0D" w:rsidP="003D5A0D">
      <w:pPr>
        <w:contextualSpacing/>
        <w:jc w:val="center"/>
        <w:rPr>
          <w:rFonts w:ascii="Arial" w:hAnsi="Arial" w:cs="Arial"/>
          <w:sz w:val="24"/>
          <w:szCs w:val="24"/>
        </w:rPr>
      </w:pPr>
    </w:p>
    <w:p w:rsidR="003D5A0D" w:rsidRDefault="003D5A0D" w:rsidP="003D5A0D">
      <w:pPr>
        <w:contextualSpacing/>
        <w:jc w:val="center"/>
        <w:rPr>
          <w:rFonts w:ascii="Arial" w:hAnsi="Arial" w:cs="Arial"/>
          <w:b/>
          <w:sz w:val="24"/>
          <w:szCs w:val="24"/>
          <w:lang w:val="es-ES"/>
        </w:rPr>
      </w:pPr>
      <w:r>
        <w:rPr>
          <w:rFonts w:ascii="Arial" w:hAnsi="Arial" w:cs="Arial"/>
          <w:sz w:val="24"/>
          <w:szCs w:val="24"/>
        </w:rPr>
        <w:t xml:space="preserve">        </w:t>
      </w:r>
      <w:r>
        <w:rPr>
          <w:rFonts w:ascii="Arial" w:hAnsi="Arial" w:cs="Arial"/>
          <w:b/>
          <w:sz w:val="24"/>
          <w:szCs w:val="24"/>
          <w:lang w:val="es-ES"/>
        </w:rPr>
        <w:t>CONCLUSIÓN</w:t>
      </w:r>
    </w:p>
    <w:p w:rsidR="00341F90" w:rsidRDefault="00341F90" w:rsidP="003D5A0D">
      <w:pPr>
        <w:spacing w:before="240" w:after="0"/>
        <w:jc w:val="both"/>
        <w:rPr>
          <w:rFonts w:ascii="Arial" w:hAnsi="Arial" w:cs="Arial"/>
          <w:sz w:val="24"/>
          <w:szCs w:val="24"/>
        </w:rPr>
      </w:pPr>
    </w:p>
    <w:p w:rsidR="00D77020" w:rsidRDefault="00C30976" w:rsidP="00D25109">
      <w:pPr>
        <w:spacing w:before="240" w:after="0"/>
        <w:jc w:val="both"/>
        <w:rPr>
          <w:rFonts w:ascii="Arial" w:hAnsi="Arial" w:cs="Arial"/>
          <w:sz w:val="24"/>
          <w:szCs w:val="24"/>
        </w:rPr>
      </w:pPr>
      <w:r w:rsidRPr="00C30976">
        <w:rPr>
          <w:rFonts w:ascii="Arial" w:hAnsi="Arial" w:cs="Arial"/>
          <w:sz w:val="24"/>
          <w:szCs w:val="24"/>
        </w:rPr>
        <w:t>De lo expuesto se desprende, que la</w:t>
      </w:r>
      <w:r w:rsidRPr="00C30976">
        <w:rPr>
          <w:rFonts w:ascii="Arial" w:hAnsi="Arial" w:cs="Arial"/>
          <w:color w:val="000000"/>
          <w:sz w:val="24"/>
          <w:szCs w:val="24"/>
        </w:rPr>
        <w:t xml:space="preserve"> Dirección Técnica de Registro y Gestión de la Información de la </w:t>
      </w:r>
      <w:r w:rsidRPr="00C30976">
        <w:rPr>
          <w:rFonts w:ascii="Arial" w:hAnsi="Arial" w:cs="Arial"/>
          <w:sz w:val="24"/>
          <w:szCs w:val="24"/>
        </w:rPr>
        <w:t xml:space="preserve">Unidad Administrativa Especial para la Atención y Reparación Integral a las Víctimas, encargada de decidir las solicitudes de inclusión en el </w:t>
      </w:r>
      <w:proofErr w:type="spellStart"/>
      <w:r w:rsidRPr="00C30976">
        <w:rPr>
          <w:rFonts w:ascii="Arial" w:hAnsi="Arial" w:cs="Arial"/>
          <w:sz w:val="24"/>
          <w:szCs w:val="24"/>
        </w:rPr>
        <w:t>RUV</w:t>
      </w:r>
      <w:proofErr w:type="spellEnd"/>
      <w:r w:rsidRPr="00C30976">
        <w:rPr>
          <w:rFonts w:ascii="Arial" w:hAnsi="Arial" w:cs="Arial"/>
          <w:sz w:val="24"/>
          <w:szCs w:val="24"/>
        </w:rPr>
        <w:t xml:space="preserve">, </w:t>
      </w:r>
      <w:r>
        <w:rPr>
          <w:rFonts w:ascii="Arial" w:hAnsi="Arial" w:cs="Arial"/>
          <w:sz w:val="24"/>
          <w:szCs w:val="24"/>
        </w:rPr>
        <w:t xml:space="preserve">no </w:t>
      </w:r>
      <w:r w:rsidRPr="00C30976">
        <w:rPr>
          <w:rFonts w:ascii="Arial" w:hAnsi="Arial" w:cs="Arial"/>
          <w:sz w:val="24"/>
          <w:szCs w:val="24"/>
        </w:rPr>
        <w:t>vulneró el derecho al debido proceso administrativo, señalado en la Ley 1448 y Decreto 4800 de 2011</w:t>
      </w:r>
      <w:r w:rsidR="003D5A0D">
        <w:rPr>
          <w:rFonts w:ascii="Arial" w:hAnsi="Arial" w:cs="Arial"/>
          <w:sz w:val="24"/>
          <w:szCs w:val="24"/>
        </w:rPr>
        <w:t xml:space="preserve">, por lo que hay lugar a revocar la sentencia, para en su lugar, negar el amparo solicitado. </w:t>
      </w:r>
    </w:p>
    <w:p w:rsidR="00FC72BB" w:rsidRDefault="00FC72BB" w:rsidP="00CA1845">
      <w:pPr>
        <w:contextualSpacing/>
        <w:rPr>
          <w:rFonts w:ascii="Arial" w:hAnsi="Arial" w:cs="Arial"/>
          <w:b/>
          <w:sz w:val="24"/>
          <w:szCs w:val="24"/>
          <w:lang w:val="es-ES"/>
        </w:rPr>
      </w:pPr>
    </w:p>
    <w:p w:rsidR="00E04B10" w:rsidRDefault="00E04B10" w:rsidP="003D5A0D">
      <w:pPr>
        <w:jc w:val="center"/>
        <w:rPr>
          <w:rFonts w:ascii="Arial" w:hAnsi="Arial" w:cs="Arial"/>
          <w:b/>
          <w:bCs/>
          <w:sz w:val="24"/>
          <w:szCs w:val="24"/>
          <w:lang w:val="es-ES"/>
        </w:rPr>
      </w:pPr>
      <w:r>
        <w:rPr>
          <w:rFonts w:ascii="Arial" w:hAnsi="Arial" w:cs="Arial"/>
          <w:b/>
          <w:bCs/>
          <w:sz w:val="24"/>
          <w:szCs w:val="24"/>
          <w:lang w:val="es-ES"/>
        </w:rPr>
        <w:t>DECISIÓN</w:t>
      </w:r>
    </w:p>
    <w:p w:rsidR="009728AC" w:rsidRDefault="009728AC"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 xml:space="preserve">Sala </w:t>
      </w:r>
      <w:r w:rsidR="00D77020">
        <w:rPr>
          <w:rFonts w:ascii="Arial" w:hAnsi="Arial" w:cs="Arial"/>
          <w:b/>
          <w:sz w:val="24"/>
          <w:szCs w:val="24"/>
        </w:rPr>
        <w:t>Segunda</w:t>
      </w:r>
      <w:r w:rsidR="006D60E4">
        <w:rPr>
          <w:rFonts w:ascii="Arial" w:hAnsi="Arial" w:cs="Arial"/>
          <w:b/>
          <w:sz w:val="24"/>
          <w:szCs w:val="24"/>
        </w:rPr>
        <w:t xml:space="preserve"> </w:t>
      </w:r>
      <w:r w:rsidRPr="00072B4D">
        <w:rPr>
          <w:rFonts w:ascii="Arial" w:hAnsi="Arial" w:cs="Arial"/>
          <w:b/>
          <w:sz w:val="24"/>
          <w:szCs w:val="24"/>
        </w:rPr>
        <w:t>de Decisión</w:t>
      </w:r>
      <w:r>
        <w:rPr>
          <w:rFonts w:ascii="Arial" w:hAnsi="Arial" w:cs="Arial"/>
          <w:sz w:val="24"/>
          <w:szCs w:val="24"/>
        </w:rPr>
        <w:t>, administrando justicia en nombre del Pueblo y por autoridad de la Constitución,</w:t>
      </w:r>
    </w:p>
    <w:p w:rsidR="00801D01" w:rsidRDefault="00801D01"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CA6BC6" w:rsidRDefault="00E04B10" w:rsidP="009728AC">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CA1845">
        <w:rPr>
          <w:rFonts w:ascii="Arial" w:hAnsi="Arial" w:cs="Arial"/>
          <w:b/>
          <w:sz w:val="24"/>
          <w:szCs w:val="24"/>
        </w:rPr>
        <w:t>REVOCAR</w:t>
      </w:r>
      <w:r w:rsidR="00B03DE0">
        <w:rPr>
          <w:rFonts w:ascii="Arial" w:hAnsi="Arial" w:cs="Arial"/>
          <w:b/>
          <w:sz w:val="24"/>
          <w:szCs w:val="24"/>
        </w:rPr>
        <w:t xml:space="preserve"> </w:t>
      </w:r>
      <w:r w:rsidR="00B03DE0">
        <w:rPr>
          <w:rFonts w:ascii="Arial" w:hAnsi="Arial" w:cs="Arial"/>
          <w:sz w:val="24"/>
          <w:szCs w:val="24"/>
        </w:rPr>
        <w:t>la sentencia</w:t>
      </w:r>
      <w:r w:rsidR="00EF33D8">
        <w:rPr>
          <w:rFonts w:ascii="Arial" w:hAnsi="Arial" w:cs="Arial"/>
          <w:sz w:val="24"/>
          <w:szCs w:val="24"/>
        </w:rPr>
        <w:t xml:space="preserve"> de </w:t>
      </w:r>
      <w:r w:rsidR="00CA1845">
        <w:rPr>
          <w:rFonts w:ascii="Arial" w:hAnsi="Arial" w:cs="Arial"/>
          <w:sz w:val="24"/>
          <w:szCs w:val="24"/>
        </w:rPr>
        <w:t>10</w:t>
      </w:r>
      <w:r w:rsidR="00EF33D8">
        <w:rPr>
          <w:rFonts w:ascii="Arial" w:hAnsi="Arial" w:cs="Arial"/>
          <w:sz w:val="24"/>
          <w:szCs w:val="24"/>
        </w:rPr>
        <w:t>-0</w:t>
      </w:r>
      <w:r w:rsidR="00CA1845">
        <w:rPr>
          <w:rFonts w:ascii="Arial" w:hAnsi="Arial" w:cs="Arial"/>
          <w:sz w:val="24"/>
          <w:szCs w:val="24"/>
        </w:rPr>
        <w:t>4</w:t>
      </w:r>
      <w:r w:rsidR="00376800">
        <w:rPr>
          <w:rFonts w:ascii="Arial" w:hAnsi="Arial" w:cs="Arial"/>
          <w:sz w:val="24"/>
          <w:szCs w:val="24"/>
        </w:rPr>
        <w:t>-201</w:t>
      </w:r>
      <w:r w:rsidR="00CA1845">
        <w:rPr>
          <w:rFonts w:ascii="Arial" w:hAnsi="Arial" w:cs="Arial"/>
          <w:sz w:val="24"/>
          <w:szCs w:val="24"/>
        </w:rPr>
        <w:t>8</w:t>
      </w:r>
      <w:r w:rsidR="00B03DE0">
        <w:rPr>
          <w:rFonts w:ascii="Arial" w:hAnsi="Arial" w:cs="Arial"/>
          <w:sz w:val="24"/>
          <w:szCs w:val="24"/>
        </w:rPr>
        <w:t xml:space="preserve"> proferida por el Juzgado</w:t>
      </w:r>
      <w:r w:rsidR="00376800">
        <w:rPr>
          <w:rFonts w:ascii="Arial" w:hAnsi="Arial" w:cs="Arial"/>
          <w:sz w:val="24"/>
          <w:szCs w:val="24"/>
        </w:rPr>
        <w:t xml:space="preserve"> </w:t>
      </w:r>
      <w:r w:rsidR="00CA1845">
        <w:rPr>
          <w:rFonts w:ascii="Arial" w:hAnsi="Arial" w:cs="Arial"/>
          <w:sz w:val="24"/>
          <w:szCs w:val="24"/>
        </w:rPr>
        <w:t>Quinto Laboral del Circuito de Pereira</w:t>
      </w:r>
      <w:r w:rsidR="00313C5F">
        <w:rPr>
          <w:rFonts w:ascii="Arial" w:hAnsi="Arial" w:cs="Arial"/>
          <w:sz w:val="24"/>
          <w:szCs w:val="24"/>
        </w:rPr>
        <w:t xml:space="preserve">, para en su lugar </w:t>
      </w:r>
      <w:r w:rsidR="00313C5F">
        <w:rPr>
          <w:rFonts w:ascii="Arial" w:hAnsi="Arial" w:cs="Arial"/>
          <w:b/>
          <w:sz w:val="24"/>
          <w:szCs w:val="24"/>
        </w:rPr>
        <w:t xml:space="preserve">NEGAR, </w:t>
      </w:r>
      <w:r w:rsidR="00313C5F">
        <w:rPr>
          <w:rFonts w:ascii="Arial" w:hAnsi="Arial" w:cs="Arial"/>
          <w:sz w:val="24"/>
          <w:szCs w:val="24"/>
        </w:rPr>
        <w:t xml:space="preserve">la </w:t>
      </w:r>
      <w:r w:rsidR="00BB39E9">
        <w:rPr>
          <w:rFonts w:ascii="Arial" w:hAnsi="Arial" w:cs="Arial"/>
          <w:sz w:val="24"/>
          <w:szCs w:val="24"/>
        </w:rPr>
        <w:t>tutela presentada</w:t>
      </w:r>
      <w:r w:rsidR="000C62D7">
        <w:rPr>
          <w:rFonts w:ascii="Arial" w:hAnsi="Arial" w:cs="Arial"/>
          <w:sz w:val="24"/>
          <w:szCs w:val="24"/>
        </w:rPr>
        <w:t xml:space="preserve"> por</w:t>
      </w:r>
      <w:r w:rsidR="00DC2959" w:rsidRPr="00DC2959">
        <w:rPr>
          <w:rFonts w:ascii="Arial" w:hAnsi="Arial" w:cs="Arial"/>
          <w:color w:val="000000"/>
          <w:sz w:val="24"/>
          <w:szCs w:val="24"/>
        </w:rPr>
        <w:t xml:space="preserve"> </w:t>
      </w:r>
      <w:r w:rsidR="00CA1845">
        <w:rPr>
          <w:rFonts w:ascii="Arial" w:hAnsi="Arial" w:cs="Arial"/>
          <w:color w:val="000000"/>
          <w:sz w:val="24"/>
          <w:szCs w:val="24"/>
        </w:rPr>
        <w:t>e</w:t>
      </w:r>
      <w:r w:rsidR="00CA6BC6" w:rsidRPr="00CA6BC6">
        <w:rPr>
          <w:rFonts w:ascii="Arial" w:hAnsi="Arial" w:cs="Arial"/>
          <w:color w:val="000000"/>
          <w:sz w:val="24"/>
          <w:szCs w:val="24"/>
        </w:rPr>
        <w:t xml:space="preserve">l señor </w:t>
      </w:r>
      <w:r w:rsidR="00CA1845">
        <w:rPr>
          <w:rFonts w:ascii="Arial" w:hAnsi="Arial" w:cs="Arial"/>
          <w:color w:val="000000"/>
          <w:sz w:val="24"/>
          <w:szCs w:val="24"/>
        </w:rPr>
        <w:t>José de Jesús Giraldo Gallego</w:t>
      </w:r>
      <w:r w:rsidR="00CA6BC6" w:rsidRPr="00CA6BC6">
        <w:rPr>
          <w:rFonts w:ascii="Arial" w:hAnsi="Arial" w:cs="Arial"/>
          <w:color w:val="000000"/>
          <w:sz w:val="24"/>
          <w:szCs w:val="24"/>
        </w:rPr>
        <w:t xml:space="preserve"> identificad</w:t>
      </w:r>
      <w:r w:rsidR="00CA1845">
        <w:rPr>
          <w:rFonts w:ascii="Arial" w:hAnsi="Arial" w:cs="Arial"/>
          <w:color w:val="000000"/>
          <w:sz w:val="24"/>
          <w:szCs w:val="24"/>
        </w:rPr>
        <w:t>o</w:t>
      </w:r>
      <w:r w:rsidR="00CA6BC6" w:rsidRPr="00CA6BC6">
        <w:rPr>
          <w:rFonts w:ascii="Arial" w:hAnsi="Arial" w:cs="Arial"/>
          <w:color w:val="000000"/>
          <w:sz w:val="24"/>
          <w:szCs w:val="24"/>
        </w:rPr>
        <w:t xml:space="preserve"> con cédula de ciudadanía No.</w:t>
      </w:r>
      <w:r w:rsidR="00CA1845">
        <w:rPr>
          <w:rFonts w:ascii="Arial" w:hAnsi="Arial" w:cs="Arial"/>
          <w:color w:val="000000"/>
          <w:sz w:val="24"/>
          <w:szCs w:val="24"/>
        </w:rPr>
        <w:t>10.096.266</w:t>
      </w:r>
      <w:r w:rsidR="00CA6BC6" w:rsidRPr="00CA6BC6">
        <w:rPr>
          <w:rFonts w:ascii="Arial" w:hAnsi="Arial" w:cs="Arial"/>
          <w:color w:val="000000"/>
          <w:sz w:val="24"/>
          <w:szCs w:val="24"/>
        </w:rPr>
        <w:t xml:space="preserve">, actuando en nombre propio, en contra de la Unidad Administrativa para la Atención y Reparación </w:t>
      </w:r>
      <w:r w:rsidR="00CA6BC6">
        <w:rPr>
          <w:rFonts w:ascii="Arial" w:hAnsi="Arial" w:cs="Arial"/>
          <w:color w:val="000000"/>
          <w:sz w:val="24"/>
          <w:szCs w:val="24"/>
        </w:rPr>
        <w:t>Integral a las Víctimas -</w:t>
      </w:r>
      <w:proofErr w:type="spellStart"/>
      <w:r w:rsidR="00CA6BC6">
        <w:rPr>
          <w:rFonts w:ascii="Arial" w:hAnsi="Arial" w:cs="Arial"/>
          <w:color w:val="000000"/>
          <w:sz w:val="24"/>
          <w:szCs w:val="24"/>
        </w:rPr>
        <w:t>UARIV</w:t>
      </w:r>
      <w:proofErr w:type="spellEnd"/>
      <w:r w:rsidR="00CA6BC6">
        <w:rPr>
          <w:rFonts w:ascii="Arial" w:hAnsi="Arial" w:cs="Arial"/>
          <w:color w:val="000000"/>
          <w:sz w:val="24"/>
          <w:szCs w:val="24"/>
        </w:rPr>
        <w:t>-, por lo expuesto en la parte motiva.</w:t>
      </w:r>
    </w:p>
    <w:p w:rsidR="00B66D7E" w:rsidRDefault="00B66D7E" w:rsidP="00DC2959">
      <w:pPr>
        <w:tabs>
          <w:tab w:val="left" w:pos="1190"/>
        </w:tabs>
        <w:jc w:val="both"/>
        <w:rPr>
          <w:rFonts w:ascii="Arial" w:hAnsi="Arial" w:cs="Arial"/>
          <w:b/>
          <w:sz w:val="24"/>
          <w:szCs w:val="24"/>
          <w:u w:val="single"/>
        </w:rPr>
      </w:pPr>
    </w:p>
    <w:p w:rsidR="00DC2959" w:rsidRDefault="00E56C74" w:rsidP="00DC2959">
      <w:pPr>
        <w:tabs>
          <w:tab w:val="left" w:pos="1190"/>
        </w:tabs>
        <w:jc w:val="both"/>
        <w:rPr>
          <w:rFonts w:ascii="Arial" w:hAnsi="Arial" w:cs="Arial"/>
          <w:color w:val="000000"/>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9E2A66" w:rsidRPr="00DC2959" w:rsidRDefault="00E56C74" w:rsidP="00DC2959">
      <w:pPr>
        <w:tabs>
          <w:tab w:val="left" w:pos="1190"/>
        </w:tabs>
        <w:jc w:val="both"/>
        <w:rPr>
          <w:rFonts w:ascii="Arial" w:hAnsi="Arial" w:cs="Arial"/>
          <w:b/>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539C6" w:rsidRDefault="00E539C6" w:rsidP="00D44AD3">
      <w:pPr>
        <w:jc w:val="center"/>
        <w:rPr>
          <w:rFonts w:ascii="Arial" w:hAnsi="Arial" w:cs="Arial"/>
          <w:b/>
          <w:spacing w:val="-3"/>
          <w:sz w:val="24"/>
        </w:rPr>
      </w:pPr>
    </w:p>
    <w:p w:rsidR="00D44AD3" w:rsidRPr="0003376F" w:rsidRDefault="00D44AD3" w:rsidP="00D44AD3">
      <w:pPr>
        <w:jc w:val="center"/>
        <w:rPr>
          <w:rFonts w:ascii="Arial" w:hAnsi="Arial" w:cs="Arial"/>
          <w:b/>
          <w:spacing w:val="-3"/>
          <w:sz w:val="24"/>
        </w:rPr>
      </w:pPr>
      <w:r w:rsidRPr="0003376F">
        <w:rPr>
          <w:rFonts w:ascii="Arial" w:hAnsi="Arial" w:cs="Arial"/>
          <w:b/>
          <w:spacing w:val="-3"/>
          <w:sz w:val="24"/>
        </w:rPr>
        <w:t>NOTIFÍQUESE Y CÚMPLASE</w:t>
      </w:r>
    </w:p>
    <w:p w:rsidR="004A79B8" w:rsidRDefault="004A79B8" w:rsidP="00CA57AD">
      <w:pPr>
        <w:spacing w:after="0"/>
        <w:contextualSpacing/>
        <w:jc w:val="both"/>
        <w:rPr>
          <w:rFonts w:ascii="Arial" w:hAnsi="Arial" w:cs="Arial"/>
          <w:sz w:val="24"/>
          <w:szCs w:val="24"/>
        </w:rPr>
      </w:pPr>
    </w:p>
    <w:p w:rsidR="00E539C6" w:rsidRPr="00502095" w:rsidRDefault="00E539C6" w:rsidP="00E539C6">
      <w:pPr>
        <w:widowControl w:val="0"/>
        <w:suppressAutoHyphens/>
        <w:spacing w:after="0"/>
        <w:contextualSpacing/>
        <w:jc w:val="both"/>
        <w:rPr>
          <w:rFonts w:ascii="Arial" w:eastAsia="SimSun" w:hAnsi="Arial" w:cs="Arial"/>
          <w:b/>
          <w:kern w:val="1"/>
          <w:sz w:val="24"/>
          <w:szCs w:val="24"/>
          <w:lang w:eastAsia="zh-CN" w:bidi="hi-IN"/>
        </w:rPr>
      </w:pPr>
    </w:p>
    <w:p w:rsidR="00E539C6" w:rsidRPr="00502095" w:rsidRDefault="00E539C6" w:rsidP="00E539C6">
      <w:pPr>
        <w:spacing w:after="0"/>
        <w:contextualSpacing/>
        <w:jc w:val="center"/>
        <w:rPr>
          <w:rFonts w:ascii="Arial" w:hAnsi="Arial" w:cs="Arial"/>
          <w:b/>
          <w:sz w:val="24"/>
          <w:szCs w:val="24"/>
          <w:lang w:eastAsia="es-ES"/>
        </w:rPr>
      </w:pP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E539C6" w:rsidRPr="00502095" w:rsidRDefault="00E539C6" w:rsidP="00E539C6">
      <w:pPr>
        <w:spacing w:after="0"/>
        <w:contextualSpacing/>
        <w:jc w:val="both"/>
        <w:rPr>
          <w:rFonts w:ascii="Arial" w:hAnsi="Arial" w:cs="Arial"/>
          <w:b/>
          <w:sz w:val="24"/>
          <w:szCs w:val="24"/>
          <w:lang w:eastAsia="es-ES"/>
        </w:rPr>
      </w:pPr>
    </w:p>
    <w:p w:rsidR="00E539C6" w:rsidRDefault="00E539C6" w:rsidP="00E539C6">
      <w:pPr>
        <w:spacing w:after="0"/>
        <w:contextualSpacing/>
        <w:jc w:val="both"/>
        <w:rPr>
          <w:rFonts w:ascii="Arial" w:hAnsi="Arial" w:cs="Arial"/>
          <w:b/>
          <w:sz w:val="24"/>
          <w:szCs w:val="24"/>
          <w:lang w:eastAsia="es-ES"/>
        </w:rPr>
      </w:pPr>
    </w:p>
    <w:p w:rsidR="00D77020" w:rsidRPr="00502095" w:rsidRDefault="00D77020" w:rsidP="00E539C6">
      <w:pPr>
        <w:spacing w:after="0"/>
        <w:contextualSpacing/>
        <w:jc w:val="both"/>
        <w:rPr>
          <w:rFonts w:ascii="Arial" w:hAnsi="Arial" w:cs="Arial"/>
          <w:b/>
          <w:sz w:val="24"/>
          <w:szCs w:val="24"/>
          <w:lang w:eastAsia="es-ES"/>
        </w:rPr>
      </w:pPr>
    </w:p>
    <w:p w:rsidR="00D77020" w:rsidRPr="00D77020" w:rsidRDefault="00D77020" w:rsidP="00D77020">
      <w:pPr>
        <w:spacing w:before="100" w:beforeAutospacing="1" w:after="100" w:afterAutospacing="1"/>
        <w:rPr>
          <w:rFonts w:ascii="Arial" w:hAnsi="Arial" w:cs="Arial"/>
          <w:b/>
          <w:color w:val="000000"/>
          <w:sz w:val="24"/>
          <w:szCs w:val="24"/>
          <w:lang w:val="es-ES"/>
        </w:rPr>
      </w:pPr>
      <w:r w:rsidRPr="00D77020">
        <w:rPr>
          <w:rFonts w:ascii="Arial" w:hAnsi="Arial" w:cs="Arial"/>
          <w:b/>
          <w:color w:val="000000"/>
          <w:sz w:val="24"/>
          <w:szCs w:val="24"/>
          <w:lang w:val="es-ES"/>
        </w:rPr>
        <w:t xml:space="preserve">JULIO CÉSAR SALAZAR MUÑOZ  </w:t>
      </w:r>
      <w:r w:rsidRPr="00D77020">
        <w:rPr>
          <w:rFonts w:ascii="Arial" w:hAnsi="Arial" w:cs="Arial"/>
          <w:color w:val="000000"/>
          <w:sz w:val="24"/>
          <w:szCs w:val="24"/>
          <w:lang w:val="es-ES"/>
        </w:rPr>
        <w:t xml:space="preserve">  </w:t>
      </w:r>
      <w:r w:rsidRPr="00D77020">
        <w:rPr>
          <w:rFonts w:ascii="Arial" w:hAnsi="Arial" w:cs="Arial"/>
          <w:color w:val="000000"/>
          <w:sz w:val="24"/>
          <w:szCs w:val="24"/>
          <w:lang w:val="es-ES"/>
        </w:rPr>
        <w:tab/>
      </w:r>
      <w:r>
        <w:rPr>
          <w:rFonts w:ascii="Arial" w:hAnsi="Arial" w:cs="Arial"/>
          <w:b/>
          <w:color w:val="000000"/>
          <w:sz w:val="24"/>
          <w:szCs w:val="24"/>
          <w:lang w:val="es-ES"/>
        </w:rPr>
        <w:t xml:space="preserve">FRANCISCO </w:t>
      </w:r>
      <w:proofErr w:type="spellStart"/>
      <w:r>
        <w:rPr>
          <w:rFonts w:ascii="Arial" w:hAnsi="Arial" w:cs="Arial"/>
          <w:b/>
          <w:color w:val="000000"/>
          <w:sz w:val="24"/>
          <w:szCs w:val="24"/>
          <w:lang w:val="es-ES"/>
        </w:rPr>
        <w:t>JAVIERTAMAYO</w:t>
      </w:r>
      <w:r w:rsidRPr="00D77020">
        <w:rPr>
          <w:rFonts w:ascii="Arial" w:hAnsi="Arial" w:cs="Arial"/>
          <w:b/>
          <w:color w:val="000000"/>
          <w:sz w:val="24"/>
          <w:szCs w:val="24"/>
          <w:lang w:val="es-ES"/>
        </w:rPr>
        <w:t>TABARES</w:t>
      </w:r>
      <w:proofErr w:type="spellEnd"/>
    </w:p>
    <w:p w:rsidR="004A79B8" w:rsidRDefault="00D77020" w:rsidP="002C3269">
      <w:pPr>
        <w:spacing w:before="100" w:beforeAutospacing="1" w:after="100" w:afterAutospacing="1"/>
        <w:ind w:left="708" w:firstLine="708"/>
        <w:rPr>
          <w:rFonts w:ascii="Arial" w:hAnsi="Arial" w:cs="Arial"/>
          <w:sz w:val="24"/>
          <w:szCs w:val="24"/>
        </w:rPr>
      </w:pPr>
      <w:r w:rsidRPr="00D77020">
        <w:rPr>
          <w:rFonts w:ascii="Arial" w:hAnsi="Arial" w:cs="Arial"/>
          <w:color w:val="000000"/>
          <w:sz w:val="24"/>
          <w:szCs w:val="24"/>
          <w:lang w:val="es-ES"/>
        </w:rPr>
        <w:t>Magistrado</w:t>
      </w:r>
      <w:r w:rsidRPr="00D77020">
        <w:rPr>
          <w:rFonts w:ascii="Arial" w:hAnsi="Arial" w:cs="Arial"/>
          <w:color w:val="000000"/>
          <w:sz w:val="24"/>
          <w:szCs w:val="24"/>
          <w:lang w:val="es-ES"/>
        </w:rPr>
        <w:tab/>
      </w:r>
      <w:r w:rsidRPr="00D77020">
        <w:rPr>
          <w:rFonts w:ascii="Arial" w:hAnsi="Arial" w:cs="Arial"/>
          <w:color w:val="000000"/>
          <w:sz w:val="24"/>
          <w:szCs w:val="24"/>
          <w:lang w:val="es-ES"/>
        </w:rPr>
        <w:tab/>
      </w:r>
      <w:r w:rsidRPr="00D77020">
        <w:rPr>
          <w:rFonts w:ascii="Arial" w:hAnsi="Arial" w:cs="Arial"/>
          <w:color w:val="000000"/>
          <w:sz w:val="24"/>
          <w:szCs w:val="24"/>
          <w:lang w:val="es-ES"/>
        </w:rPr>
        <w:tab/>
      </w:r>
      <w:r w:rsidRPr="00D77020">
        <w:rPr>
          <w:rFonts w:ascii="Arial" w:hAnsi="Arial" w:cs="Arial"/>
          <w:color w:val="000000"/>
          <w:sz w:val="24"/>
          <w:szCs w:val="24"/>
          <w:lang w:val="es-ES"/>
        </w:rPr>
        <w:tab/>
      </w:r>
      <w:r w:rsidRPr="00D77020">
        <w:rPr>
          <w:rFonts w:ascii="Arial" w:hAnsi="Arial" w:cs="Arial"/>
          <w:color w:val="000000"/>
          <w:sz w:val="24"/>
          <w:szCs w:val="24"/>
          <w:lang w:val="es-ES"/>
        </w:rPr>
        <w:tab/>
      </w:r>
      <w:proofErr w:type="spellStart"/>
      <w:r w:rsidRPr="00D77020">
        <w:rPr>
          <w:rFonts w:ascii="Arial" w:hAnsi="Arial" w:cs="Arial"/>
          <w:color w:val="000000"/>
          <w:sz w:val="24"/>
          <w:szCs w:val="24"/>
          <w:lang w:val="es-ES"/>
        </w:rPr>
        <w:t>Magistrado</w:t>
      </w:r>
      <w:proofErr w:type="spellEnd"/>
      <w:r w:rsidRPr="00D77020">
        <w:rPr>
          <w:rFonts w:ascii="Arial" w:hAnsi="Arial" w:cs="Arial"/>
          <w:color w:val="000000"/>
          <w:sz w:val="24"/>
          <w:szCs w:val="24"/>
          <w:lang w:val="es-ES"/>
        </w:rPr>
        <w:t xml:space="preserve"> </w:t>
      </w:r>
      <w:r w:rsidRPr="00D77020">
        <w:rPr>
          <w:rFonts w:ascii="Arial" w:hAnsi="Arial" w:cs="Arial"/>
          <w:color w:val="000000"/>
          <w:sz w:val="24"/>
          <w:szCs w:val="24"/>
          <w:lang w:val="es-ES"/>
        </w:rPr>
        <w:tab/>
      </w:r>
      <w:r w:rsidRPr="00D77020">
        <w:rPr>
          <w:rFonts w:ascii="Arial" w:hAnsi="Arial" w:cs="Arial"/>
          <w:color w:val="000000"/>
          <w:sz w:val="24"/>
          <w:szCs w:val="24"/>
          <w:lang w:val="es-ES"/>
        </w:rPr>
        <w:tab/>
      </w:r>
      <w:r w:rsidRPr="00D77020">
        <w:rPr>
          <w:rFonts w:ascii="Arial" w:hAnsi="Arial" w:cs="Arial"/>
          <w:color w:val="000000"/>
          <w:sz w:val="24"/>
          <w:szCs w:val="24"/>
          <w:lang w:val="es-ES"/>
        </w:rPr>
        <w:tab/>
      </w:r>
      <w:r w:rsidRPr="00D77020">
        <w:rPr>
          <w:rFonts w:ascii="Arial" w:hAnsi="Arial" w:cs="Arial"/>
          <w:color w:val="000000"/>
          <w:sz w:val="24"/>
          <w:szCs w:val="24"/>
          <w:lang w:val="es-ES"/>
        </w:rPr>
        <w:tab/>
      </w:r>
      <w:r w:rsidRPr="00D77020">
        <w:rPr>
          <w:rFonts w:ascii="Arial" w:hAnsi="Arial" w:cs="Arial"/>
          <w:color w:val="000000"/>
          <w:sz w:val="24"/>
          <w:szCs w:val="24"/>
          <w:lang w:val="es-ES"/>
        </w:rPr>
        <w:tab/>
      </w:r>
      <w:r w:rsidRPr="00D77020">
        <w:rPr>
          <w:rFonts w:ascii="Arial" w:hAnsi="Arial" w:cs="Arial"/>
          <w:color w:val="000000"/>
          <w:sz w:val="24"/>
          <w:szCs w:val="24"/>
          <w:lang w:val="es-ES"/>
        </w:rPr>
        <w:tab/>
      </w:r>
      <w:r w:rsidRPr="00D77020">
        <w:rPr>
          <w:rFonts w:ascii="Arial" w:hAnsi="Arial" w:cs="Arial"/>
          <w:color w:val="000000"/>
          <w:sz w:val="24"/>
          <w:szCs w:val="24"/>
          <w:lang w:val="es-ES"/>
        </w:rPr>
        <w:tab/>
      </w:r>
      <w:r w:rsidRPr="00D77020">
        <w:rPr>
          <w:rFonts w:ascii="Arial" w:hAnsi="Arial" w:cs="Arial"/>
          <w:color w:val="000000"/>
          <w:sz w:val="24"/>
          <w:szCs w:val="24"/>
          <w:lang w:val="es-ES"/>
        </w:rPr>
        <w:tab/>
      </w:r>
      <w:r w:rsidRPr="00D77020">
        <w:rPr>
          <w:rFonts w:ascii="Arial" w:hAnsi="Arial" w:cs="Arial"/>
          <w:color w:val="000000"/>
          <w:sz w:val="24"/>
          <w:szCs w:val="24"/>
          <w:lang w:val="es-ES"/>
        </w:rPr>
        <w:tab/>
      </w:r>
      <w:r w:rsidRPr="00D77020">
        <w:rPr>
          <w:rFonts w:ascii="Arial" w:hAnsi="Arial" w:cs="Arial"/>
          <w:color w:val="000000"/>
          <w:sz w:val="24"/>
          <w:szCs w:val="24"/>
          <w:lang w:val="es-ES"/>
        </w:rPr>
        <w:tab/>
      </w:r>
      <w:r w:rsidRPr="00D77020">
        <w:rPr>
          <w:rFonts w:ascii="Arial" w:hAnsi="Arial" w:cs="Arial"/>
          <w:color w:val="000000"/>
          <w:sz w:val="24"/>
          <w:szCs w:val="24"/>
          <w:lang w:val="es-ES"/>
        </w:rPr>
        <w:tab/>
      </w:r>
      <w:r w:rsidR="00E539C6" w:rsidRPr="00502095">
        <w:rPr>
          <w:rFonts w:ascii="Arial" w:hAnsi="Arial" w:cs="Arial"/>
          <w:b/>
          <w:sz w:val="24"/>
          <w:szCs w:val="24"/>
          <w:lang w:eastAsia="es-ES"/>
        </w:rPr>
        <w:t xml:space="preserve"> </w:t>
      </w:r>
    </w:p>
    <w:sectPr w:rsidR="004A79B8" w:rsidSect="00106323">
      <w:headerReference w:type="default" r:id="rId9"/>
      <w:footerReference w:type="even" r:id="rId10"/>
      <w:footerReference w:type="default" r:id="rId11"/>
      <w:pgSz w:w="12242" w:h="18722"/>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C65" w:rsidRDefault="001F5C65" w:rsidP="00567D0D">
      <w:pPr>
        <w:spacing w:after="0" w:line="240" w:lineRule="auto"/>
      </w:pPr>
      <w:r>
        <w:separator/>
      </w:r>
    </w:p>
  </w:endnote>
  <w:endnote w:type="continuationSeparator" w:id="0">
    <w:p w:rsidR="001F5C65" w:rsidRDefault="001F5C65"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0498">
      <w:rPr>
        <w:rStyle w:val="Nmerodepgina"/>
        <w:noProof/>
      </w:rPr>
      <w:t>9</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C65" w:rsidRDefault="001F5C65" w:rsidP="00567D0D">
      <w:pPr>
        <w:spacing w:after="0" w:line="240" w:lineRule="auto"/>
      </w:pPr>
      <w:r>
        <w:separator/>
      </w:r>
    </w:p>
  </w:footnote>
  <w:footnote w:type="continuationSeparator" w:id="0">
    <w:p w:rsidR="001F5C65" w:rsidRDefault="001F5C65" w:rsidP="00567D0D">
      <w:pPr>
        <w:spacing w:after="0" w:line="240" w:lineRule="auto"/>
      </w:pPr>
      <w:r>
        <w:continuationSeparator/>
      </w:r>
    </w:p>
  </w:footnote>
  <w:footnote w:id="1">
    <w:p w:rsidR="00E04B10" w:rsidRPr="00854FC0" w:rsidRDefault="00E04B10"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 xml:space="preserve">Corte Constitucional. Sentencia T-275 de 12-04-2012, </w:t>
      </w:r>
      <w:proofErr w:type="spellStart"/>
      <w:r w:rsidRPr="00854FC0">
        <w:rPr>
          <w:rFonts w:ascii="Arial" w:hAnsi="Arial" w:cs="Arial"/>
          <w:sz w:val="18"/>
          <w:szCs w:val="18"/>
        </w:rPr>
        <w:t>M.P</w:t>
      </w:r>
      <w:proofErr w:type="spellEnd"/>
      <w:r w:rsidRPr="00854FC0">
        <w:rPr>
          <w:rFonts w:ascii="Arial" w:hAnsi="Arial" w:cs="Arial"/>
          <w:sz w:val="18"/>
          <w:szCs w:val="18"/>
        </w:rPr>
        <w:t>. Juan Carlos Henao Pérez</w:t>
      </w:r>
    </w:p>
  </w:footnote>
  <w:footnote w:id="2">
    <w:p w:rsidR="00B10D2F" w:rsidRPr="0047244C" w:rsidRDefault="00B10D2F" w:rsidP="00B10D2F">
      <w:pPr>
        <w:pStyle w:val="Textonotapie"/>
        <w:jc w:val="both"/>
        <w:rPr>
          <w:rFonts w:ascii="Arial" w:hAnsi="Arial" w:cs="Arial"/>
        </w:rPr>
      </w:pPr>
      <w:r w:rsidRPr="0047244C">
        <w:rPr>
          <w:rStyle w:val="Refdenotaalpie"/>
          <w:rFonts w:ascii="Arial" w:hAnsi="Arial" w:cs="Arial"/>
          <w:sz w:val="18"/>
        </w:rPr>
        <w:footnoteRef/>
      </w:r>
      <w:r w:rsidRPr="0047244C">
        <w:rPr>
          <w:rFonts w:ascii="Arial" w:hAnsi="Arial" w:cs="Arial"/>
          <w:sz w:val="18"/>
        </w:rPr>
        <w:t xml:space="preserve"> Sentencia T-163 de </w:t>
      </w:r>
      <w:r>
        <w:rPr>
          <w:rFonts w:ascii="Arial" w:hAnsi="Arial" w:cs="Arial"/>
          <w:sz w:val="18"/>
        </w:rPr>
        <w:t xml:space="preserve">13-03-2017. </w:t>
      </w:r>
      <w:proofErr w:type="spellStart"/>
      <w:r>
        <w:rPr>
          <w:rFonts w:ascii="Arial" w:hAnsi="Arial" w:cs="Arial"/>
          <w:sz w:val="18"/>
        </w:rPr>
        <w:t>M.P</w:t>
      </w:r>
      <w:proofErr w:type="spellEnd"/>
      <w:r>
        <w:rPr>
          <w:rFonts w:ascii="Arial" w:hAnsi="Arial" w:cs="Arial"/>
          <w:sz w:val="18"/>
        </w:rPr>
        <w:t>. Gloria Stella Ortiz Delgado.</w:t>
      </w:r>
    </w:p>
  </w:footnote>
  <w:footnote w:id="3">
    <w:p w:rsidR="00C14C3C" w:rsidRPr="00146F41" w:rsidRDefault="00C14C3C" w:rsidP="00C14C3C">
      <w:pPr>
        <w:pStyle w:val="Textonotapie"/>
        <w:jc w:val="both"/>
        <w:rPr>
          <w:rFonts w:ascii="Arial" w:hAnsi="Arial" w:cs="Arial"/>
          <w:sz w:val="18"/>
          <w:szCs w:val="18"/>
        </w:rPr>
      </w:pPr>
      <w:r w:rsidRPr="00B870FE">
        <w:rPr>
          <w:rStyle w:val="Refdenotaalpie"/>
          <w:rFonts w:ascii="Arial" w:hAnsi="Arial" w:cs="Arial"/>
          <w:sz w:val="18"/>
        </w:rPr>
        <w:footnoteRef/>
      </w:r>
      <w:r w:rsidRPr="00B870FE">
        <w:rPr>
          <w:rFonts w:ascii="Arial" w:hAnsi="Arial" w:cs="Arial"/>
          <w:sz w:val="18"/>
        </w:rPr>
        <w:t xml:space="preserve"> </w:t>
      </w:r>
      <w:r w:rsidRPr="00146F41">
        <w:rPr>
          <w:rFonts w:ascii="Arial" w:hAnsi="Arial" w:cs="Arial"/>
          <w:sz w:val="18"/>
          <w:szCs w:val="18"/>
        </w:rPr>
        <w:t xml:space="preserve">CORTE CONSTITUCIONAL. Sentencia T-290 de 02-06-2016. </w:t>
      </w:r>
      <w:proofErr w:type="spellStart"/>
      <w:r w:rsidRPr="00146F41">
        <w:rPr>
          <w:rFonts w:ascii="Arial" w:hAnsi="Arial" w:cs="Arial"/>
          <w:sz w:val="18"/>
          <w:szCs w:val="18"/>
        </w:rPr>
        <w:t>M.P</w:t>
      </w:r>
      <w:proofErr w:type="spellEnd"/>
      <w:r w:rsidRPr="00146F41">
        <w:rPr>
          <w:rFonts w:ascii="Arial" w:hAnsi="Arial" w:cs="Arial"/>
          <w:sz w:val="18"/>
          <w:szCs w:val="18"/>
        </w:rPr>
        <w:t>. Alberto Rojas Ríos.</w:t>
      </w:r>
    </w:p>
  </w:footnote>
  <w:footnote w:id="4">
    <w:p w:rsidR="006D1CDE" w:rsidRPr="00134985" w:rsidRDefault="006D1CDE" w:rsidP="006D1CDE">
      <w:pPr>
        <w:pStyle w:val="Textonotapie"/>
        <w:rPr>
          <w:rFonts w:ascii="Arial" w:hAnsi="Arial" w:cs="Arial"/>
        </w:rPr>
      </w:pPr>
      <w:r w:rsidRPr="00134985">
        <w:rPr>
          <w:rStyle w:val="Refdenotaalpie"/>
          <w:rFonts w:ascii="Arial" w:hAnsi="Arial" w:cs="Arial"/>
        </w:rPr>
        <w:footnoteRef/>
      </w:r>
      <w:r w:rsidRPr="00134985">
        <w:rPr>
          <w:rFonts w:ascii="Arial" w:hAnsi="Arial" w:cs="Arial"/>
        </w:rPr>
        <w:t>Sentencia</w:t>
      </w:r>
      <w:r>
        <w:rPr>
          <w:rFonts w:ascii="Arial" w:hAnsi="Arial" w:cs="Arial"/>
        </w:rPr>
        <w:t>s</w:t>
      </w:r>
      <w:r w:rsidRPr="00134985">
        <w:rPr>
          <w:rFonts w:ascii="Arial" w:hAnsi="Arial" w:cs="Arial"/>
        </w:rPr>
        <w:t xml:space="preserve"> T-463 de 2010</w:t>
      </w:r>
      <w:r w:rsidRPr="00C40E2D">
        <w:rPr>
          <w:rFonts w:ascii="Arial" w:hAnsi="Arial" w:cs="Arial"/>
        </w:rPr>
        <w:t xml:space="preserve"> y T-582 del 27-07-2011</w:t>
      </w:r>
      <w:r>
        <w:rPr>
          <w:rFonts w:ascii="Arial" w:hAnsi="Arial" w:cs="Arial"/>
        </w:rPr>
        <w:t>, T-441 de 2012</w:t>
      </w:r>
      <w:r w:rsidRPr="00C40E2D">
        <w:rPr>
          <w:rFonts w:ascii="Arial" w:hAnsi="Arial" w:cs="Arial"/>
        </w:rPr>
        <w:t>.</w:t>
      </w:r>
      <w:r w:rsidRPr="00134985">
        <w:rPr>
          <w:rFonts w:ascii="Arial" w:hAnsi="Arial" w:cs="Arial"/>
        </w:rPr>
        <w:t xml:space="preserve"> </w:t>
      </w:r>
    </w:p>
  </w:footnote>
  <w:footnote w:id="5">
    <w:p w:rsidR="006D1CDE" w:rsidRPr="00D72C31" w:rsidRDefault="006D1CDE" w:rsidP="00C14C3C">
      <w:r>
        <w:rPr>
          <w:rStyle w:val="Refdenotaalpie"/>
        </w:rPr>
        <w:footnoteRef/>
      </w:r>
      <w:r w:rsidRPr="00D72C31">
        <w:t xml:space="preserve"> </w:t>
      </w:r>
      <w:r>
        <w:t xml:space="preserve">Sentencia </w:t>
      </w:r>
      <w:r w:rsidRPr="00D72C31">
        <w:rPr>
          <w:rFonts w:ascii="Arial" w:hAnsi="Arial" w:cs="Arial"/>
        </w:rPr>
        <w:t>T-335</w:t>
      </w:r>
      <w:r>
        <w:rPr>
          <w:rFonts w:ascii="Arial" w:hAnsi="Arial" w:cs="Arial"/>
        </w:rPr>
        <w:t xml:space="preserve"> de 20</w:t>
      </w:r>
      <w:r w:rsidRPr="00D72C31">
        <w:rPr>
          <w:rFonts w:ascii="Arial" w:hAnsi="Arial" w:cs="Arial"/>
        </w:rPr>
        <w:t>09</w:t>
      </w:r>
    </w:p>
  </w:footnote>
  <w:footnote w:id="6">
    <w:p w:rsidR="005F15A2" w:rsidRPr="0076336A" w:rsidRDefault="005F15A2" w:rsidP="005F15A2">
      <w:pPr>
        <w:pStyle w:val="Textonotapie"/>
        <w:rPr>
          <w:rFonts w:ascii="Arial" w:hAnsi="Arial" w:cs="Arial"/>
        </w:rPr>
      </w:pPr>
      <w:r w:rsidRPr="0076336A">
        <w:rPr>
          <w:rStyle w:val="Refdenotaalpie"/>
          <w:rFonts w:ascii="Arial" w:hAnsi="Arial" w:cs="Arial"/>
        </w:rPr>
        <w:footnoteRef/>
      </w:r>
      <w:r w:rsidRPr="0076336A">
        <w:rPr>
          <w:rFonts w:ascii="Arial" w:hAnsi="Arial" w:cs="Arial"/>
        </w:rPr>
        <w:t xml:space="preserve"> CORTE CONSTITUCIONAL sentencia T-253A de 2012 </w:t>
      </w:r>
    </w:p>
  </w:footnote>
  <w:footnote w:id="7">
    <w:p w:rsidR="005F15A2" w:rsidRPr="002103FD" w:rsidRDefault="005F15A2" w:rsidP="005F15A2">
      <w:pPr>
        <w:jc w:val="both"/>
        <w:rPr>
          <w:rFonts w:ascii="Arial" w:hAnsi="Arial" w:cs="Arial"/>
          <w:sz w:val="18"/>
          <w:szCs w:val="18"/>
        </w:rPr>
      </w:pPr>
      <w:r w:rsidRPr="0076336A">
        <w:rPr>
          <w:rFonts w:ascii="Arial" w:hAnsi="Arial" w:cs="Arial"/>
          <w:vertAlign w:val="superscript"/>
        </w:rPr>
        <w:footnoteRef/>
      </w:r>
      <w:r w:rsidRPr="0076336A">
        <w:rPr>
          <w:rFonts w:ascii="Arial" w:hAnsi="Arial" w:cs="Arial"/>
        </w:rPr>
        <w:t xml:space="preserve"> </w:t>
      </w:r>
      <w:r w:rsidRPr="002103FD">
        <w:rPr>
          <w:rFonts w:ascii="Arial" w:hAnsi="Arial" w:cs="Arial"/>
          <w:sz w:val="18"/>
          <w:szCs w:val="18"/>
        </w:rPr>
        <w:t xml:space="preserve">CORTE CONSTITUCIONAL Sentencia T-327 de 02-06-2016. </w:t>
      </w:r>
      <w:proofErr w:type="spellStart"/>
      <w:r w:rsidRPr="002103FD">
        <w:rPr>
          <w:rFonts w:ascii="Arial" w:hAnsi="Arial" w:cs="Arial"/>
          <w:sz w:val="18"/>
          <w:szCs w:val="18"/>
        </w:rPr>
        <w:t>M.P</w:t>
      </w:r>
      <w:proofErr w:type="spellEnd"/>
      <w:r w:rsidRPr="002103FD">
        <w:rPr>
          <w:rFonts w:ascii="Arial" w:hAnsi="Arial" w:cs="Arial"/>
          <w:sz w:val="18"/>
          <w:szCs w:val="18"/>
        </w:rPr>
        <w:t>. Marco Gerardo Monroy Cabra</w:t>
      </w:r>
      <w:r w:rsidRPr="002103FD">
        <w:rPr>
          <w:rFonts w:ascii="Arial" w:hAnsi="Arial" w:cs="Arial"/>
          <w:i/>
          <w:sz w:val="18"/>
          <w:szCs w:val="18"/>
        </w:rPr>
        <w:t>.</w:t>
      </w:r>
    </w:p>
  </w:footnote>
  <w:footnote w:id="8">
    <w:p w:rsidR="005F15A2" w:rsidRPr="002103FD" w:rsidRDefault="005F15A2" w:rsidP="005F15A2">
      <w:pPr>
        <w:pStyle w:val="Textonotapie"/>
        <w:jc w:val="both"/>
        <w:rPr>
          <w:rFonts w:ascii="Arial" w:hAnsi="Arial" w:cs="Arial"/>
          <w:sz w:val="18"/>
          <w:szCs w:val="18"/>
        </w:rPr>
      </w:pPr>
      <w:r w:rsidRPr="002103FD">
        <w:rPr>
          <w:rFonts w:ascii="Arial" w:hAnsi="Arial" w:cs="Arial"/>
          <w:sz w:val="18"/>
          <w:szCs w:val="18"/>
          <w:vertAlign w:val="superscript"/>
        </w:rPr>
        <w:footnoteRef/>
      </w:r>
      <w:r w:rsidRPr="002103FD">
        <w:rPr>
          <w:rFonts w:ascii="Arial" w:hAnsi="Arial" w:cs="Arial"/>
          <w:sz w:val="18"/>
          <w:szCs w:val="18"/>
        </w:rPr>
        <w:t xml:space="preserve"> CORTE CONSTITUCIONAL Sentencia T-327 de 02-06-2016. </w:t>
      </w:r>
      <w:proofErr w:type="spellStart"/>
      <w:r w:rsidRPr="002103FD">
        <w:rPr>
          <w:rFonts w:ascii="Arial" w:hAnsi="Arial" w:cs="Arial"/>
          <w:sz w:val="18"/>
          <w:szCs w:val="18"/>
        </w:rPr>
        <w:t>M.P</w:t>
      </w:r>
      <w:proofErr w:type="spellEnd"/>
      <w:r w:rsidRPr="002103FD">
        <w:rPr>
          <w:rFonts w:ascii="Arial" w:hAnsi="Arial" w:cs="Arial"/>
          <w:sz w:val="18"/>
          <w:szCs w:val="18"/>
        </w:rPr>
        <w:t>. Marco Gerardo Monroy Cabra</w:t>
      </w:r>
    </w:p>
  </w:footnote>
  <w:footnote w:id="9">
    <w:p w:rsidR="005F15A2" w:rsidRPr="002103FD" w:rsidRDefault="005F15A2" w:rsidP="005F15A2">
      <w:pPr>
        <w:pStyle w:val="Textonotapie"/>
        <w:jc w:val="both"/>
        <w:rPr>
          <w:rFonts w:ascii="Arial" w:hAnsi="Arial" w:cs="Arial"/>
          <w:sz w:val="18"/>
          <w:szCs w:val="18"/>
        </w:rPr>
      </w:pPr>
      <w:r w:rsidRPr="002103FD">
        <w:rPr>
          <w:rFonts w:ascii="Arial" w:hAnsi="Arial" w:cs="Arial"/>
          <w:sz w:val="18"/>
          <w:szCs w:val="18"/>
          <w:vertAlign w:val="superscript"/>
        </w:rPr>
        <w:footnoteRef/>
      </w:r>
      <w:r w:rsidRPr="002103FD">
        <w:rPr>
          <w:rFonts w:ascii="Arial" w:hAnsi="Arial" w:cs="Arial"/>
          <w:sz w:val="18"/>
          <w:szCs w:val="18"/>
        </w:rPr>
        <w:t xml:space="preserve"> Cfr. Sentencia T-025/04</w:t>
      </w:r>
    </w:p>
  </w:footnote>
  <w:footnote w:id="10">
    <w:p w:rsidR="005F15A2" w:rsidRPr="002103FD" w:rsidRDefault="005F15A2" w:rsidP="005F15A2">
      <w:pPr>
        <w:pStyle w:val="Textonotapie"/>
        <w:jc w:val="both"/>
        <w:rPr>
          <w:rFonts w:ascii="Arial" w:hAnsi="Arial" w:cs="Arial"/>
          <w:sz w:val="18"/>
          <w:szCs w:val="18"/>
        </w:rPr>
      </w:pPr>
      <w:r w:rsidRPr="002103FD">
        <w:rPr>
          <w:rFonts w:ascii="Arial" w:hAnsi="Arial" w:cs="Arial"/>
          <w:sz w:val="18"/>
          <w:szCs w:val="18"/>
          <w:vertAlign w:val="superscript"/>
        </w:rPr>
        <w:footnoteRef/>
      </w:r>
      <w:r w:rsidRPr="002103FD">
        <w:rPr>
          <w:rFonts w:ascii="Arial" w:hAnsi="Arial" w:cs="Arial"/>
          <w:sz w:val="18"/>
          <w:szCs w:val="18"/>
        </w:rPr>
        <w:t xml:space="preserve"> Cfr. Sentencia T-025/04</w:t>
      </w:r>
    </w:p>
  </w:footnote>
  <w:footnote w:id="11">
    <w:p w:rsidR="005F15A2" w:rsidRPr="002103FD" w:rsidRDefault="005F15A2" w:rsidP="005F15A2">
      <w:pPr>
        <w:pStyle w:val="Textonotapie"/>
        <w:jc w:val="both"/>
        <w:rPr>
          <w:rFonts w:ascii="Arial" w:hAnsi="Arial" w:cs="Arial"/>
          <w:sz w:val="18"/>
          <w:szCs w:val="18"/>
        </w:rPr>
      </w:pPr>
      <w:r w:rsidRPr="002103FD">
        <w:rPr>
          <w:rFonts w:ascii="Arial" w:hAnsi="Arial" w:cs="Arial"/>
          <w:sz w:val="18"/>
          <w:szCs w:val="18"/>
          <w:vertAlign w:val="superscript"/>
        </w:rPr>
        <w:footnoteRef/>
      </w:r>
      <w:r w:rsidRPr="002103FD">
        <w:rPr>
          <w:rFonts w:ascii="Arial" w:hAnsi="Arial" w:cs="Arial"/>
          <w:sz w:val="18"/>
          <w:szCs w:val="18"/>
        </w:rPr>
        <w:t xml:space="preserve"> CORTE CONSTITUCIONAL  Sentencia T-1076 de  21-10-2005 </w:t>
      </w:r>
      <w:proofErr w:type="spellStart"/>
      <w:r w:rsidRPr="002103FD">
        <w:rPr>
          <w:rFonts w:ascii="Arial" w:hAnsi="Arial" w:cs="Arial"/>
          <w:sz w:val="18"/>
          <w:szCs w:val="18"/>
        </w:rPr>
        <w:t>M.P</w:t>
      </w:r>
      <w:proofErr w:type="spellEnd"/>
      <w:r w:rsidRPr="002103FD">
        <w:rPr>
          <w:rFonts w:ascii="Arial" w:hAnsi="Arial" w:cs="Arial"/>
          <w:sz w:val="18"/>
          <w:szCs w:val="18"/>
        </w:rPr>
        <w:t>. Jaime Córdoba Patiño</w:t>
      </w:r>
      <w:r w:rsidRPr="002103FD">
        <w:rPr>
          <w:rFonts w:ascii="Arial" w:hAnsi="Arial" w:cs="Arial"/>
          <w:i/>
          <w:sz w:val="18"/>
          <w:szCs w:val="18"/>
        </w:rPr>
        <w:t xml:space="preserve">. </w:t>
      </w:r>
    </w:p>
  </w:footnote>
  <w:footnote w:id="12">
    <w:p w:rsidR="005F15A2" w:rsidRPr="002103FD" w:rsidRDefault="005F15A2" w:rsidP="005F15A2">
      <w:pPr>
        <w:tabs>
          <w:tab w:val="left" w:pos="360"/>
        </w:tabs>
        <w:jc w:val="both"/>
        <w:rPr>
          <w:rFonts w:ascii="Arial" w:hAnsi="Arial" w:cs="Arial"/>
          <w:sz w:val="18"/>
          <w:szCs w:val="18"/>
        </w:rPr>
      </w:pPr>
      <w:r w:rsidRPr="002103FD">
        <w:rPr>
          <w:rFonts w:ascii="Arial" w:hAnsi="Arial" w:cs="Arial"/>
          <w:sz w:val="18"/>
          <w:szCs w:val="18"/>
          <w:vertAlign w:val="superscript"/>
        </w:rPr>
        <w:footnoteRef/>
      </w:r>
      <w:r w:rsidRPr="002103FD">
        <w:rPr>
          <w:rFonts w:ascii="Arial" w:hAnsi="Arial" w:cs="Arial"/>
          <w:sz w:val="18"/>
          <w:szCs w:val="18"/>
        </w:rPr>
        <w:t xml:space="preserve"> Ver la sentencia T-645 de 2003. </w:t>
      </w:r>
    </w:p>
  </w:footnote>
  <w:footnote w:id="13">
    <w:p w:rsidR="005F15A2" w:rsidRPr="002103FD" w:rsidRDefault="005F15A2" w:rsidP="005F15A2">
      <w:pPr>
        <w:pStyle w:val="Textonotapie"/>
        <w:jc w:val="both"/>
        <w:rPr>
          <w:rFonts w:ascii="Arial" w:hAnsi="Arial" w:cs="Arial"/>
          <w:sz w:val="18"/>
          <w:szCs w:val="18"/>
        </w:rPr>
      </w:pPr>
      <w:r w:rsidRPr="002103FD">
        <w:rPr>
          <w:rFonts w:ascii="Arial" w:hAnsi="Arial" w:cs="Arial"/>
          <w:sz w:val="18"/>
          <w:szCs w:val="18"/>
          <w:vertAlign w:val="superscript"/>
        </w:rPr>
        <w:footnoteRef/>
      </w:r>
      <w:r w:rsidRPr="002103FD">
        <w:rPr>
          <w:rFonts w:ascii="Arial" w:hAnsi="Arial" w:cs="Arial"/>
          <w:sz w:val="18"/>
          <w:szCs w:val="18"/>
        </w:rPr>
        <w:t xml:space="preserve"> Ver la sentencia T-1076 de 2005, entre otras.</w:t>
      </w:r>
    </w:p>
  </w:footnote>
  <w:footnote w:id="14">
    <w:p w:rsidR="005F15A2" w:rsidRPr="002103FD" w:rsidRDefault="005F15A2" w:rsidP="005F15A2">
      <w:pPr>
        <w:tabs>
          <w:tab w:val="left" w:pos="0"/>
        </w:tabs>
        <w:jc w:val="both"/>
        <w:rPr>
          <w:rFonts w:ascii="Arial" w:hAnsi="Arial" w:cs="Arial"/>
          <w:sz w:val="18"/>
          <w:szCs w:val="18"/>
        </w:rPr>
      </w:pPr>
      <w:r w:rsidRPr="002103FD">
        <w:rPr>
          <w:rFonts w:ascii="Arial" w:hAnsi="Arial" w:cs="Arial"/>
          <w:sz w:val="18"/>
          <w:szCs w:val="18"/>
          <w:vertAlign w:val="superscript"/>
        </w:rPr>
        <w:footnoteRef/>
      </w:r>
      <w:r w:rsidRPr="002103FD">
        <w:rPr>
          <w:rFonts w:ascii="Arial" w:hAnsi="Arial" w:cs="Arial"/>
          <w:sz w:val="18"/>
          <w:szCs w:val="18"/>
        </w:rPr>
        <w:t xml:space="preserve"> CORTE </w:t>
      </w:r>
      <w:proofErr w:type="spellStart"/>
      <w:r w:rsidRPr="002103FD">
        <w:rPr>
          <w:rFonts w:ascii="Arial" w:hAnsi="Arial" w:cs="Arial"/>
          <w:sz w:val="18"/>
          <w:szCs w:val="18"/>
        </w:rPr>
        <w:t>CONSTITUCIONA</w:t>
      </w:r>
      <w:proofErr w:type="spellEnd"/>
      <w:r w:rsidRPr="002103FD">
        <w:rPr>
          <w:rFonts w:ascii="Arial" w:hAnsi="Arial" w:cs="Arial"/>
          <w:sz w:val="18"/>
          <w:szCs w:val="18"/>
        </w:rPr>
        <w:t xml:space="preserve"> Sentencia T-563 de 26-05- 2005.</w:t>
      </w:r>
    </w:p>
  </w:footnote>
  <w:footnote w:id="15">
    <w:p w:rsidR="005F15A2" w:rsidRPr="002103FD" w:rsidRDefault="005F15A2" w:rsidP="005F15A2">
      <w:pPr>
        <w:jc w:val="both"/>
        <w:rPr>
          <w:rFonts w:ascii="Arial" w:hAnsi="Arial" w:cs="Arial"/>
          <w:sz w:val="18"/>
          <w:szCs w:val="18"/>
        </w:rPr>
      </w:pPr>
      <w:r w:rsidRPr="002103FD">
        <w:rPr>
          <w:rFonts w:ascii="Arial" w:hAnsi="Arial" w:cs="Arial"/>
          <w:sz w:val="18"/>
          <w:szCs w:val="18"/>
          <w:vertAlign w:val="superscript"/>
        </w:rPr>
        <w:footnoteRef/>
      </w:r>
      <w:r w:rsidRPr="002103FD">
        <w:rPr>
          <w:rFonts w:ascii="Arial" w:hAnsi="Arial" w:cs="Arial"/>
          <w:sz w:val="18"/>
          <w:szCs w:val="18"/>
        </w:rPr>
        <w:t xml:space="preserve"> CORTE CONSTITUCIONAL Sentencia T-327 de 26-03- 2001. </w:t>
      </w:r>
      <w:proofErr w:type="spellStart"/>
      <w:r w:rsidRPr="002103FD">
        <w:rPr>
          <w:rFonts w:ascii="Arial" w:hAnsi="Arial" w:cs="Arial"/>
          <w:sz w:val="18"/>
          <w:szCs w:val="18"/>
        </w:rPr>
        <w:t>M.P</w:t>
      </w:r>
      <w:proofErr w:type="spellEnd"/>
      <w:r w:rsidRPr="002103FD">
        <w:rPr>
          <w:rFonts w:ascii="Arial" w:hAnsi="Arial" w:cs="Arial"/>
          <w:sz w:val="18"/>
          <w:szCs w:val="18"/>
        </w:rPr>
        <w:t>. Marco Gerardo Monroy Cabra</w:t>
      </w:r>
    </w:p>
  </w:footnote>
  <w:footnote w:id="16">
    <w:p w:rsidR="005F15A2" w:rsidRPr="002103FD" w:rsidRDefault="005F15A2" w:rsidP="005F15A2">
      <w:pPr>
        <w:tabs>
          <w:tab w:val="left" w:pos="360"/>
        </w:tabs>
        <w:jc w:val="both"/>
        <w:rPr>
          <w:rFonts w:ascii="Arial" w:hAnsi="Arial" w:cs="Arial"/>
          <w:sz w:val="18"/>
          <w:szCs w:val="18"/>
        </w:rPr>
      </w:pPr>
      <w:r w:rsidRPr="002103FD">
        <w:rPr>
          <w:rFonts w:ascii="Arial" w:hAnsi="Arial" w:cs="Arial"/>
          <w:sz w:val="18"/>
          <w:szCs w:val="18"/>
          <w:vertAlign w:val="superscript"/>
        </w:rPr>
        <w:footnoteRef/>
      </w:r>
      <w:r w:rsidRPr="002103FD">
        <w:rPr>
          <w:rFonts w:ascii="Arial" w:hAnsi="Arial" w:cs="Arial"/>
          <w:sz w:val="18"/>
          <w:szCs w:val="18"/>
        </w:rPr>
        <w:t xml:space="preserve"> C</w:t>
      </w:r>
      <w:r w:rsidRPr="002103FD">
        <w:rPr>
          <w:rFonts w:ascii="Arial" w:hAnsi="Arial" w:cs="Arial"/>
          <w:sz w:val="18"/>
          <w:szCs w:val="18"/>
        </w:rPr>
        <w:tab/>
      </w:r>
      <w:proofErr w:type="spellStart"/>
      <w:r w:rsidRPr="002103FD">
        <w:rPr>
          <w:rFonts w:ascii="Arial" w:hAnsi="Arial" w:cs="Arial"/>
          <w:sz w:val="18"/>
          <w:szCs w:val="18"/>
        </w:rPr>
        <w:t>ORTE</w:t>
      </w:r>
      <w:proofErr w:type="spellEnd"/>
      <w:r w:rsidRPr="002103FD">
        <w:rPr>
          <w:rFonts w:ascii="Arial" w:hAnsi="Arial" w:cs="Arial"/>
          <w:sz w:val="18"/>
          <w:szCs w:val="18"/>
        </w:rPr>
        <w:t xml:space="preserve"> CONSTITUCIONAL</w:t>
      </w:r>
      <w:r w:rsidRPr="002103FD">
        <w:rPr>
          <w:rFonts w:ascii="Arial" w:hAnsi="Arial" w:cs="Arial"/>
          <w:i/>
          <w:sz w:val="18"/>
          <w:szCs w:val="18"/>
        </w:rPr>
        <w:t>.</w:t>
      </w:r>
      <w:r w:rsidRPr="002103FD">
        <w:rPr>
          <w:rFonts w:ascii="Arial" w:hAnsi="Arial" w:cs="Arial"/>
          <w:sz w:val="18"/>
          <w:szCs w:val="18"/>
        </w:rPr>
        <w:t xml:space="preserve"> Sentencia T-327 de 26-03- 2001. </w:t>
      </w:r>
      <w:proofErr w:type="spellStart"/>
      <w:r w:rsidRPr="002103FD">
        <w:rPr>
          <w:rFonts w:ascii="Arial" w:hAnsi="Arial" w:cs="Arial"/>
          <w:sz w:val="18"/>
          <w:szCs w:val="18"/>
        </w:rPr>
        <w:t>M.P</w:t>
      </w:r>
      <w:proofErr w:type="spellEnd"/>
      <w:r w:rsidRPr="002103FD">
        <w:rPr>
          <w:rFonts w:ascii="Arial" w:hAnsi="Arial" w:cs="Arial"/>
          <w:sz w:val="18"/>
          <w:szCs w:val="18"/>
        </w:rPr>
        <w:t>. Marco Gerardo Monroy Cabra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06561F" w:rsidP="00504167">
    <w:pPr>
      <w:pStyle w:val="Encabezado"/>
      <w:jc w:val="center"/>
      <w:rPr>
        <w:rFonts w:ascii="Arial" w:hAnsi="Arial" w:cs="Arial"/>
        <w:sz w:val="18"/>
        <w:szCs w:val="18"/>
      </w:rPr>
    </w:pPr>
    <w:r>
      <w:rPr>
        <w:rFonts w:ascii="Arial" w:hAnsi="Arial" w:cs="Arial"/>
        <w:sz w:val="18"/>
        <w:szCs w:val="18"/>
      </w:rPr>
      <w:t>66001</w:t>
    </w:r>
    <w:r w:rsidR="00284F05">
      <w:rPr>
        <w:rFonts w:ascii="Arial" w:hAnsi="Arial" w:cs="Arial"/>
        <w:sz w:val="18"/>
        <w:szCs w:val="18"/>
      </w:rPr>
      <w:t>-</w:t>
    </w:r>
    <w:r>
      <w:rPr>
        <w:rFonts w:ascii="Arial" w:hAnsi="Arial" w:cs="Arial"/>
        <w:sz w:val="18"/>
        <w:szCs w:val="18"/>
      </w:rPr>
      <w:t>31-05-005</w:t>
    </w:r>
    <w:r w:rsidR="001A77E6">
      <w:rPr>
        <w:rFonts w:ascii="Arial" w:hAnsi="Arial" w:cs="Arial"/>
        <w:sz w:val="18"/>
        <w:szCs w:val="18"/>
      </w:rPr>
      <w:t>-</w:t>
    </w:r>
    <w:r w:rsidR="001A0960">
      <w:rPr>
        <w:rFonts w:ascii="Arial" w:hAnsi="Arial" w:cs="Arial"/>
        <w:sz w:val="18"/>
        <w:szCs w:val="18"/>
      </w:rPr>
      <w:t>201</w:t>
    </w:r>
    <w:r>
      <w:rPr>
        <w:rFonts w:ascii="Arial" w:hAnsi="Arial" w:cs="Arial"/>
        <w:sz w:val="18"/>
        <w:szCs w:val="18"/>
      </w:rPr>
      <w:t>8</w:t>
    </w:r>
    <w:r w:rsidR="00504167" w:rsidRPr="00A85437">
      <w:rPr>
        <w:rFonts w:ascii="Arial" w:hAnsi="Arial" w:cs="Arial"/>
        <w:sz w:val="18"/>
        <w:szCs w:val="18"/>
      </w:rPr>
      <w:t>-</w:t>
    </w:r>
    <w:r>
      <w:rPr>
        <w:rFonts w:ascii="Arial" w:hAnsi="Arial" w:cs="Arial"/>
        <w:sz w:val="18"/>
        <w:szCs w:val="18"/>
      </w:rPr>
      <w:t>00149</w:t>
    </w:r>
    <w:r w:rsidR="001A77E6">
      <w:rPr>
        <w:rFonts w:ascii="Arial" w:hAnsi="Arial" w:cs="Arial"/>
        <w:sz w:val="18"/>
        <w:szCs w:val="18"/>
      </w:rPr>
      <w:t>-01</w:t>
    </w:r>
  </w:p>
  <w:p w:rsidR="00504167" w:rsidRDefault="0006561F" w:rsidP="00504167">
    <w:pPr>
      <w:pStyle w:val="Encabezado"/>
      <w:jc w:val="center"/>
    </w:pPr>
    <w:r>
      <w:rPr>
        <w:rFonts w:ascii="Arial" w:hAnsi="Arial" w:cs="Arial"/>
        <w:sz w:val="18"/>
        <w:szCs w:val="18"/>
      </w:rPr>
      <w:t xml:space="preserve">José Jesús Giraldo Gallego </w:t>
    </w:r>
    <w:r w:rsidR="00504167">
      <w:rPr>
        <w:rFonts w:ascii="Arial" w:hAnsi="Arial" w:cs="Arial"/>
        <w:sz w:val="18"/>
        <w:szCs w:val="18"/>
      </w:rPr>
      <w:t xml:space="preserve"> </w:t>
    </w:r>
    <w:r w:rsidR="00504167" w:rsidRPr="00A85437">
      <w:rPr>
        <w:rFonts w:ascii="Arial" w:hAnsi="Arial" w:cs="Arial"/>
        <w:sz w:val="18"/>
        <w:szCs w:val="18"/>
      </w:rPr>
      <w:t xml:space="preserve">vs </w:t>
    </w:r>
    <w:r w:rsidR="00C034E2">
      <w:rPr>
        <w:rFonts w:ascii="Arial" w:hAnsi="Arial" w:cs="Arial"/>
        <w:sz w:val="18"/>
        <w:szCs w:val="18"/>
      </w:rPr>
      <w:t xml:space="preserve">Unidad Administrativa para la Atención y Reparación Integral  las </w:t>
    </w:r>
    <w:r w:rsidR="00643237">
      <w:rPr>
        <w:rFonts w:ascii="Arial" w:hAnsi="Arial" w:cs="Arial"/>
        <w:sz w:val="18"/>
        <w:szCs w:val="18"/>
      </w:rPr>
      <w:t>Víctimas</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6C93"/>
    <w:rsid w:val="000100EB"/>
    <w:rsid w:val="00010491"/>
    <w:rsid w:val="00010C62"/>
    <w:rsid w:val="00011B41"/>
    <w:rsid w:val="00013212"/>
    <w:rsid w:val="00013AD7"/>
    <w:rsid w:val="00020431"/>
    <w:rsid w:val="00021370"/>
    <w:rsid w:val="000221B1"/>
    <w:rsid w:val="000221D3"/>
    <w:rsid w:val="000258DD"/>
    <w:rsid w:val="00030CB1"/>
    <w:rsid w:val="00034A1F"/>
    <w:rsid w:val="00035360"/>
    <w:rsid w:val="000353FA"/>
    <w:rsid w:val="00036075"/>
    <w:rsid w:val="000363F7"/>
    <w:rsid w:val="00037267"/>
    <w:rsid w:val="000375BE"/>
    <w:rsid w:val="00037999"/>
    <w:rsid w:val="000425CB"/>
    <w:rsid w:val="00043463"/>
    <w:rsid w:val="0004428B"/>
    <w:rsid w:val="000450AA"/>
    <w:rsid w:val="000468F3"/>
    <w:rsid w:val="00046BAE"/>
    <w:rsid w:val="000544A3"/>
    <w:rsid w:val="000553CE"/>
    <w:rsid w:val="00055851"/>
    <w:rsid w:val="000566C7"/>
    <w:rsid w:val="00056D3F"/>
    <w:rsid w:val="00060E2B"/>
    <w:rsid w:val="00061BA3"/>
    <w:rsid w:val="000627F4"/>
    <w:rsid w:val="00062900"/>
    <w:rsid w:val="0006561F"/>
    <w:rsid w:val="00065A9C"/>
    <w:rsid w:val="000708CE"/>
    <w:rsid w:val="00070EC8"/>
    <w:rsid w:val="000720D6"/>
    <w:rsid w:val="00072B4D"/>
    <w:rsid w:val="00076D5F"/>
    <w:rsid w:val="00077CB7"/>
    <w:rsid w:val="00080383"/>
    <w:rsid w:val="00082187"/>
    <w:rsid w:val="000857C9"/>
    <w:rsid w:val="00086B65"/>
    <w:rsid w:val="000922B6"/>
    <w:rsid w:val="000922DD"/>
    <w:rsid w:val="00092336"/>
    <w:rsid w:val="00092A81"/>
    <w:rsid w:val="0009303E"/>
    <w:rsid w:val="000941C4"/>
    <w:rsid w:val="00096CB1"/>
    <w:rsid w:val="0009760B"/>
    <w:rsid w:val="000A2085"/>
    <w:rsid w:val="000A5393"/>
    <w:rsid w:val="000A71A4"/>
    <w:rsid w:val="000B289D"/>
    <w:rsid w:val="000B483B"/>
    <w:rsid w:val="000B4D9D"/>
    <w:rsid w:val="000B4F90"/>
    <w:rsid w:val="000B5C4B"/>
    <w:rsid w:val="000B6A47"/>
    <w:rsid w:val="000B7309"/>
    <w:rsid w:val="000B7F21"/>
    <w:rsid w:val="000C03AB"/>
    <w:rsid w:val="000C0DBA"/>
    <w:rsid w:val="000C19E2"/>
    <w:rsid w:val="000C228E"/>
    <w:rsid w:val="000C2669"/>
    <w:rsid w:val="000C292C"/>
    <w:rsid w:val="000C31DA"/>
    <w:rsid w:val="000C321A"/>
    <w:rsid w:val="000C4DB6"/>
    <w:rsid w:val="000C59DD"/>
    <w:rsid w:val="000C5AD2"/>
    <w:rsid w:val="000C62D7"/>
    <w:rsid w:val="000C64FC"/>
    <w:rsid w:val="000C6B32"/>
    <w:rsid w:val="000C7F45"/>
    <w:rsid w:val="000D180F"/>
    <w:rsid w:val="000D1D9A"/>
    <w:rsid w:val="000D25A6"/>
    <w:rsid w:val="000D4320"/>
    <w:rsid w:val="000D4E09"/>
    <w:rsid w:val="000D4E6F"/>
    <w:rsid w:val="000D558B"/>
    <w:rsid w:val="000E0725"/>
    <w:rsid w:val="000E0E29"/>
    <w:rsid w:val="000E153A"/>
    <w:rsid w:val="000E1F06"/>
    <w:rsid w:val="000E2626"/>
    <w:rsid w:val="000E2B09"/>
    <w:rsid w:val="000E3A6F"/>
    <w:rsid w:val="000E4D01"/>
    <w:rsid w:val="000E5062"/>
    <w:rsid w:val="000F0D92"/>
    <w:rsid w:val="000F1303"/>
    <w:rsid w:val="000F2EC7"/>
    <w:rsid w:val="000F4E29"/>
    <w:rsid w:val="000F7DF9"/>
    <w:rsid w:val="001003D3"/>
    <w:rsid w:val="001008C8"/>
    <w:rsid w:val="00101B8D"/>
    <w:rsid w:val="00102840"/>
    <w:rsid w:val="00105B46"/>
    <w:rsid w:val="00105CAD"/>
    <w:rsid w:val="00106323"/>
    <w:rsid w:val="00106C6D"/>
    <w:rsid w:val="00107E8B"/>
    <w:rsid w:val="0011172C"/>
    <w:rsid w:val="00111E5E"/>
    <w:rsid w:val="0011239B"/>
    <w:rsid w:val="00112452"/>
    <w:rsid w:val="001136FE"/>
    <w:rsid w:val="00114A93"/>
    <w:rsid w:val="00116773"/>
    <w:rsid w:val="00116FE8"/>
    <w:rsid w:val="00117A7F"/>
    <w:rsid w:val="0012143E"/>
    <w:rsid w:val="00122312"/>
    <w:rsid w:val="00122F0A"/>
    <w:rsid w:val="0012542E"/>
    <w:rsid w:val="00126D6A"/>
    <w:rsid w:val="00131CF9"/>
    <w:rsid w:val="00133C34"/>
    <w:rsid w:val="00135288"/>
    <w:rsid w:val="00135784"/>
    <w:rsid w:val="00137255"/>
    <w:rsid w:val="00137A44"/>
    <w:rsid w:val="001410EA"/>
    <w:rsid w:val="00141DF6"/>
    <w:rsid w:val="00142434"/>
    <w:rsid w:val="00143C7C"/>
    <w:rsid w:val="00146F41"/>
    <w:rsid w:val="00150571"/>
    <w:rsid w:val="001517D8"/>
    <w:rsid w:val="0015299A"/>
    <w:rsid w:val="00153D09"/>
    <w:rsid w:val="00154438"/>
    <w:rsid w:val="001550CD"/>
    <w:rsid w:val="00156010"/>
    <w:rsid w:val="001560B6"/>
    <w:rsid w:val="00157420"/>
    <w:rsid w:val="001600A2"/>
    <w:rsid w:val="001606E9"/>
    <w:rsid w:val="00160B6C"/>
    <w:rsid w:val="001615A0"/>
    <w:rsid w:val="001619A8"/>
    <w:rsid w:val="00163B1E"/>
    <w:rsid w:val="00163ED6"/>
    <w:rsid w:val="00166DF5"/>
    <w:rsid w:val="00170522"/>
    <w:rsid w:val="00171B07"/>
    <w:rsid w:val="001733AC"/>
    <w:rsid w:val="00173C6F"/>
    <w:rsid w:val="00175D8F"/>
    <w:rsid w:val="00181971"/>
    <w:rsid w:val="00181B4A"/>
    <w:rsid w:val="00181EA1"/>
    <w:rsid w:val="00182867"/>
    <w:rsid w:val="0018321A"/>
    <w:rsid w:val="001835A4"/>
    <w:rsid w:val="001845A5"/>
    <w:rsid w:val="00184B17"/>
    <w:rsid w:val="00185CA3"/>
    <w:rsid w:val="00187DB9"/>
    <w:rsid w:val="0019166A"/>
    <w:rsid w:val="00192FCF"/>
    <w:rsid w:val="00194CB3"/>
    <w:rsid w:val="00195507"/>
    <w:rsid w:val="00196B77"/>
    <w:rsid w:val="001A08EA"/>
    <w:rsid w:val="001A0960"/>
    <w:rsid w:val="001A0C5D"/>
    <w:rsid w:val="001A38AC"/>
    <w:rsid w:val="001A7088"/>
    <w:rsid w:val="001A77E6"/>
    <w:rsid w:val="001A7903"/>
    <w:rsid w:val="001B1F96"/>
    <w:rsid w:val="001B2231"/>
    <w:rsid w:val="001B2559"/>
    <w:rsid w:val="001B396F"/>
    <w:rsid w:val="001B60D0"/>
    <w:rsid w:val="001B6662"/>
    <w:rsid w:val="001B731F"/>
    <w:rsid w:val="001C0D14"/>
    <w:rsid w:val="001C1710"/>
    <w:rsid w:val="001C3321"/>
    <w:rsid w:val="001C408A"/>
    <w:rsid w:val="001C5D32"/>
    <w:rsid w:val="001C7402"/>
    <w:rsid w:val="001D052B"/>
    <w:rsid w:val="001D0F0B"/>
    <w:rsid w:val="001D3C5F"/>
    <w:rsid w:val="001D427B"/>
    <w:rsid w:val="001D5506"/>
    <w:rsid w:val="001D5D94"/>
    <w:rsid w:val="001D6FB1"/>
    <w:rsid w:val="001E47DE"/>
    <w:rsid w:val="001E48B6"/>
    <w:rsid w:val="001E69EB"/>
    <w:rsid w:val="001F011C"/>
    <w:rsid w:val="001F078E"/>
    <w:rsid w:val="001F1719"/>
    <w:rsid w:val="001F1E49"/>
    <w:rsid w:val="001F31D2"/>
    <w:rsid w:val="001F395D"/>
    <w:rsid w:val="001F4CAE"/>
    <w:rsid w:val="001F58FF"/>
    <w:rsid w:val="001F5C65"/>
    <w:rsid w:val="001F5D95"/>
    <w:rsid w:val="00202B24"/>
    <w:rsid w:val="00206AB4"/>
    <w:rsid w:val="00206BE9"/>
    <w:rsid w:val="002103FD"/>
    <w:rsid w:val="00210CAA"/>
    <w:rsid w:val="002135DD"/>
    <w:rsid w:val="0021403B"/>
    <w:rsid w:val="00214B7D"/>
    <w:rsid w:val="00222622"/>
    <w:rsid w:val="00222899"/>
    <w:rsid w:val="002259D6"/>
    <w:rsid w:val="0022621B"/>
    <w:rsid w:val="00230200"/>
    <w:rsid w:val="00230850"/>
    <w:rsid w:val="002315A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595F"/>
    <w:rsid w:val="00266CCB"/>
    <w:rsid w:val="00270028"/>
    <w:rsid w:val="0027021C"/>
    <w:rsid w:val="00270A82"/>
    <w:rsid w:val="00270D36"/>
    <w:rsid w:val="00272026"/>
    <w:rsid w:val="00273EBF"/>
    <w:rsid w:val="00275551"/>
    <w:rsid w:val="00276F82"/>
    <w:rsid w:val="00277D4F"/>
    <w:rsid w:val="002803A2"/>
    <w:rsid w:val="002808F6"/>
    <w:rsid w:val="00280A80"/>
    <w:rsid w:val="0028173E"/>
    <w:rsid w:val="00283C7D"/>
    <w:rsid w:val="00284F05"/>
    <w:rsid w:val="002852AA"/>
    <w:rsid w:val="002854C2"/>
    <w:rsid w:val="00285DDD"/>
    <w:rsid w:val="002867E9"/>
    <w:rsid w:val="002917BF"/>
    <w:rsid w:val="00296118"/>
    <w:rsid w:val="00296687"/>
    <w:rsid w:val="00296944"/>
    <w:rsid w:val="002A0880"/>
    <w:rsid w:val="002A1083"/>
    <w:rsid w:val="002A488E"/>
    <w:rsid w:val="002A5C31"/>
    <w:rsid w:val="002A5C3B"/>
    <w:rsid w:val="002B0F2F"/>
    <w:rsid w:val="002B5383"/>
    <w:rsid w:val="002B7485"/>
    <w:rsid w:val="002C0D10"/>
    <w:rsid w:val="002C110D"/>
    <w:rsid w:val="002C214F"/>
    <w:rsid w:val="002C3269"/>
    <w:rsid w:val="002C5E73"/>
    <w:rsid w:val="002C7806"/>
    <w:rsid w:val="002D16B9"/>
    <w:rsid w:val="002D431E"/>
    <w:rsid w:val="002D5378"/>
    <w:rsid w:val="002E0109"/>
    <w:rsid w:val="002E1A53"/>
    <w:rsid w:val="002E1B25"/>
    <w:rsid w:val="002E272F"/>
    <w:rsid w:val="002E32C3"/>
    <w:rsid w:val="002E3F51"/>
    <w:rsid w:val="002E5E8B"/>
    <w:rsid w:val="002E6218"/>
    <w:rsid w:val="002E6405"/>
    <w:rsid w:val="002E7A74"/>
    <w:rsid w:val="002F0823"/>
    <w:rsid w:val="002F1C1A"/>
    <w:rsid w:val="002F1DCB"/>
    <w:rsid w:val="002F3B4B"/>
    <w:rsid w:val="002F4C6E"/>
    <w:rsid w:val="002F52AF"/>
    <w:rsid w:val="002F7765"/>
    <w:rsid w:val="003003E7"/>
    <w:rsid w:val="00304FF9"/>
    <w:rsid w:val="003066FB"/>
    <w:rsid w:val="00306835"/>
    <w:rsid w:val="003078C0"/>
    <w:rsid w:val="00313089"/>
    <w:rsid w:val="00313C5F"/>
    <w:rsid w:val="00313CA6"/>
    <w:rsid w:val="00314947"/>
    <w:rsid w:val="00321240"/>
    <w:rsid w:val="00321CDC"/>
    <w:rsid w:val="00325079"/>
    <w:rsid w:val="003252E8"/>
    <w:rsid w:val="00325FD5"/>
    <w:rsid w:val="00326758"/>
    <w:rsid w:val="00326B5B"/>
    <w:rsid w:val="00331334"/>
    <w:rsid w:val="003333A7"/>
    <w:rsid w:val="00333F68"/>
    <w:rsid w:val="003353FA"/>
    <w:rsid w:val="003354D5"/>
    <w:rsid w:val="003365A9"/>
    <w:rsid w:val="003379E1"/>
    <w:rsid w:val="00340CE8"/>
    <w:rsid w:val="00341F90"/>
    <w:rsid w:val="0034292A"/>
    <w:rsid w:val="00343B81"/>
    <w:rsid w:val="00343BDE"/>
    <w:rsid w:val="00344AA4"/>
    <w:rsid w:val="00345674"/>
    <w:rsid w:val="00345DC5"/>
    <w:rsid w:val="00346D1D"/>
    <w:rsid w:val="003503C3"/>
    <w:rsid w:val="00350D7F"/>
    <w:rsid w:val="00352FAD"/>
    <w:rsid w:val="00353D88"/>
    <w:rsid w:val="00355F20"/>
    <w:rsid w:val="003566D4"/>
    <w:rsid w:val="00356A03"/>
    <w:rsid w:val="00361A31"/>
    <w:rsid w:val="00362DFD"/>
    <w:rsid w:val="00364868"/>
    <w:rsid w:val="0036526E"/>
    <w:rsid w:val="00366515"/>
    <w:rsid w:val="0037276E"/>
    <w:rsid w:val="003733BD"/>
    <w:rsid w:val="00373408"/>
    <w:rsid w:val="00374BAA"/>
    <w:rsid w:val="003767A2"/>
    <w:rsid w:val="00376800"/>
    <w:rsid w:val="00376E13"/>
    <w:rsid w:val="0037716A"/>
    <w:rsid w:val="00377FE2"/>
    <w:rsid w:val="00381CC7"/>
    <w:rsid w:val="00382DB9"/>
    <w:rsid w:val="00383B6F"/>
    <w:rsid w:val="00384E77"/>
    <w:rsid w:val="00387120"/>
    <w:rsid w:val="003873E4"/>
    <w:rsid w:val="0038773E"/>
    <w:rsid w:val="00391BEA"/>
    <w:rsid w:val="0039223C"/>
    <w:rsid w:val="00392579"/>
    <w:rsid w:val="00393165"/>
    <w:rsid w:val="00393DD5"/>
    <w:rsid w:val="00393E7E"/>
    <w:rsid w:val="00394AAC"/>
    <w:rsid w:val="00395514"/>
    <w:rsid w:val="003A02DB"/>
    <w:rsid w:val="003A21A2"/>
    <w:rsid w:val="003A2FC6"/>
    <w:rsid w:val="003A3273"/>
    <w:rsid w:val="003A32F0"/>
    <w:rsid w:val="003A3C2C"/>
    <w:rsid w:val="003A54FF"/>
    <w:rsid w:val="003A5D6B"/>
    <w:rsid w:val="003A790F"/>
    <w:rsid w:val="003B1ABE"/>
    <w:rsid w:val="003B3D8C"/>
    <w:rsid w:val="003B61CE"/>
    <w:rsid w:val="003B6C2B"/>
    <w:rsid w:val="003C0631"/>
    <w:rsid w:val="003C0EB2"/>
    <w:rsid w:val="003C2F7B"/>
    <w:rsid w:val="003C3097"/>
    <w:rsid w:val="003C40A5"/>
    <w:rsid w:val="003C41D3"/>
    <w:rsid w:val="003C5ACA"/>
    <w:rsid w:val="003C641D"/>
    <w:rsid w:val="003C6B93"/>
    <w:rsid w:val="003C7CA6"/>
    <w:rsid w:val="003D081D"/>
    <w:rsid w:val="003D0D44"/>
    <w:rsid w:val="003D1244"/>
    <w:rsid w:val="003D23AA"/>
    <w:rsid w:val="003D243E"/>
    <w:rsid w:val="003D3BE7"/>
    <w:rsid w:val="003D4EFD"/>
    <w:rsid w:val="003D5A0D"/>
    <w:rsid w:val="003D5BBC"/>
    <w:rsid w:val="003E430D"/>
    <w:rsid w:val="003E44B1"/>
    <w:rsid w:val="003E4CD3"/>
    <w:rsid w:val="003E507C"/>
    <w:rsid w:val="003E5FD9"/>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33D0"/>
    <w:rsid w:val="004154D4"/>
    <w:rsid w:val="0041757D"/>
    <w:rsid w:val="004201F0"/>
    <w:rsid w:val="0042184C"/>
    <w:rsid w:val="0042227C"/>
    <w:rsid w:val="00422E6C"/>
    <w:rsid w:val="00422EBA"/>
    <w:rsid w:val="0042368F"/>
    <w:rsid w:val="00426519"/>
    <w:rsid w:val="004304D3"/>
    <w:rsid w:val="0043228B"/>
    <w:rsid w:val="0043485D"/>
    <w:rsid w:val="004369F9"/>
    <w:rsid w:val="00436BE9"/>
    <w:rsid w:val="00437B5C"/>
    <w:rsid w:val="00437C1C"/>
    <w:rsid w:val="0044100F"/>
    <w:rsid w:val="004433BE"/>
    <w:rsid w:val="0044372F"/>
    <w:rsid w:val="0044647C"/>
    <w:rsid w:val="00450B38"/>
    <w:rsid w:val="0045129D"/>
    <w:rsid w:val="0045139B"/>
    <w:rsid w:val="00452A1D"/>
    <w:rsid w:val="00454069"/>
    <w:rsid w:val="00454ED4"/>
    <w:rsid w:val="00455535"/>
    <w:rsid w:val="00457009"/>
    <w:rsid w:val="00457546"/>
    <w:rsid w:val="00457CF9"/>
    <w:rsid w:val="00464665"/>
    <w:rsid w:val="00465BE1"/>
    <w:rsid w:val="004700CD"/>
    <w:rsid w:val="0047244C"/>
    <w:rsid w:val="004726F6"/>
    <w:rsid w:val="0047493E"/>
    <w:rsid w:val="00477366"/>
    <w:rsid w:val="00477CEB"/>
    <w:rsid w:val="0048319E"/>
    <w:rsid w:val="00484328"/>
    <w:rsid w:val="00485B13"/>
    <w:rsid w:val="0048725A"/>
    <w:rsid w:val="004929D6"/>
    <w:rsid w:val="00493C7E"/>
    <w:rsid w:val="0049440A"/>
    <w:rsid w:val="00495069"/>
    <w:rsid w:val="00495C99"/>
    <w:rsid w:val="004A0A31"/>
    <w:rsid w:val="004A5C80"/>
    <w:rsid w:val="004A6136"/>
    <w:rsid w:val="004A6298"/>
    <w:rsid w:val="004A6984"/>
    <w:rsid w:val="004A73C2"/>
    <w:rsid w:val="004A73C6"/>
    <w:rsid w:val="004A79B8"/>
    <w:rsid w:val="004B14C2"/>
    <w:rsid w:val="004B1A0A"/>
    <w:rsid w:val="004B1E88"/>
    <w:rsid w:val="004B3A73"/>
    <w:rsid w:val="004B4652"/>
    <w:rsid w:val="004B4AD6"/>
    <w:rsid w:val="004B503B"/>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E7C6B"/>
    <w:rsid w:val="004F21C0"/>
    <w:rsid w:val="004F4D68"/>
    <w:rsid w:val="004F57D0"/>
    <w:rsid w:val="004F6487"/>
    <w:rsid w:val="00500EAD"/>
    <w:rsid w:val="0050183A"/>
    <w:rsid w:val="00504167"/>
    <w:rsid w:val="00504549"/>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631C"/>
    <w:rsid w:val="00547B64"/>
    <w:rsid w:val="00547B88"/>
    <w:rsid w:val="00551B7C"/>
    <w:rsid w:val="005537D9"/>
    <w:rsid w:val="0055403A"/>
    <w:rsid w:val="00554508"/>
    <w:rsid w:val="00556736"/>
    <w:rsid w:val="0055693B"/>
    <w:rsid w:val="0056071A"/>
    <w:rsid w:val="00563368"/>
    <w:rsid w:val="0056362F"/>
    <w:rsid w:val="00564409"/>
    <w:rsid w:val="00567D0D"/>
    <w:rsid w:val="00570B7B"/>
    <w:rsid w:val="005716B3"/>
    <w:rsid w:val="00571AFD"/>
    <w:rsid w:val="0057416F"/>
    <w:rsid w:val="00574F14"/>
    <w:rsid w:val="0057528B"/>
    <w:rsid w:val="00575A12"/>
    <w:rsid w:val="00575BB3"/>
    <w:rsid w:val="00576EDD"/>
    <w:rsid w:val="00577343"/>
    <w:rsid w:val="00580D8C"/>
    <w:rsid w:val="005833E0"/>
    <w:rsid w:val="00591225"/>
    <w:rsid w:val="00591334"/>
    <w:rsid w:val="005916ED"/>
    <w:rsid w:val="005929F5"/>
    <w:rsid w:val="00593146"/>
    <w:rsid w:val="005942B1"/>
    <w:rsid w:val="0059504B"/>
    <w:rsid w:val="005961FA"/>
    <w:rsid w:val="00596C5C"/>
    <w:rsid w:val="005A2AAC"/>
    <w:rsid w:val="005A4B56"/>
    <w:rsid w:val="005A66CC"/>
    <w:rsid w:val="005B1A19"/>
    <w:rsid w:val="005B7EA6"/>
    <w:rsid w:val="005C03B4"/>
    <w:rsid w:val="005C2883"/>
    <w:rsid w:val="005C4A7B"/>
    <w:rsid w:val="005D1114"/>
    <w:rsid w:val="005D32A4"/>
    <w:rsid w:val="005D57C3"/>
    <w:rsid w:val="005D6A60"/>
    <w:rsid w:val="005E6554"/>
    <w:rsid w:val="005E66A8"/>
    <w:rsid w:val="005E6CCC"/>
    <w:rsid w:val="005E712B"/>
    <w:rsid w:val="005E730F"/>
    <w:rsid w:val="005E76A4"/>
    <w:rsid w:val="005F13F4"/>
    <w:rsid w:val="005F15A2"/>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399"/>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14F3"/>
    <w:rsid w:val="00642321"/>
    <w:rsid w:val="00643237"/>
    <w:rsid w:val="00643A75"/>
    <w:rsid w:val="00646B53"/>
    <w:rsid w:val="00646B58"/>
    <w:rsid w:val="006545E2"/>
    <w:rsid w:val="00654E22"/>
    <w:rsid w:val="006557B3"/>
    <w:rsid w:val="00661B9A"/>
    <w:rsid w:val="00663524"/>
    <w:rsid w:val="00663A50"/>
    <w:rsid w:val="00663B74"/>
    <w:rsid w:val="00664734"/>
    <w:rsid w:val="00664869"/>
    <w:rsid w:val="006653D0"/>
    <w:rsid w:val="00672241"/>
    <w:rsid w:val="0067627A"/>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5626"/>
    <w:rsid w:val="006A629D"/>
    <w:rsid w:val="006A69FE"/>
    <w:rsid w:val="006A6FF4"/>
    <w:rsid w:val="006A771F"/>
    <w:rsid w:val="006B0232"/>
    <w:rsid w:val="006B1943"/>
    <w:rsid w:val="006B1CDC"/>
    <w:rsid w:val="006C02E1"/>
    <w:rsid w:val="006C0A34"/>
    <w:rsid w:val="006C13E6"/>
    <w:rsid w:val="006C1BAD"/>
    <w:rsid w:val="006C23A8"/>
    <w:rsid w:val="006C2AB9"/>
    <w:rsid w:val="006C3048"/>
    <w:rsid w:val="006C5705"/>
    <w:rsid w:val="006C5B22"/>
    <w:rsid w:val="006C794C"/>
    <w:rsid w:val="006D00DC"/>
    <w:rsid w:val="006D0757"/>
    <w:rsid w:val="006D1CDE"/>
    <w:rsid w:val="006D21DF"/>
    <w:rsid w:val="006D2C12"/>
    <w:rsid w:val="006D43D7"/>
    <w:rsid w:val="006D4BE8"/>
    <w:rsid w:val="006D5E12"/>
    <w:rsid w:val="006D60E4"/>
    <w:rsid w:val="006D6919"/>
    <w:rsid w:val="006D7F9D"/>
    <w:rsid w:val="006E0601"/>
    <w:rsid w:val="006E1163"/>
    <w:rsid w:val="006E1FDC"/>
    <w:rsid w:val="006E6C9D"/>
    <w:rsid w:val="006E795E"/>
    <w:rsid w:val="006F2749"/>
    <w:rsid w:val="006F2C7D"/>
    <w:rsid w:val="006F3AB7"/>
    <w:rsid w:val="006F3B7A"/>
    <w:rsid w:val="006F5C0D"/>
    <w:rsid w:val="007005FB"/>
    <w:rsid w:val="007008A3"/>
    <w:rsid w:val="007028E6"/>
    <w:rsid w:val="00702B5A"/>
    <w:rsid w:val="00702CB0"/>
    <w:rsid w:val="00702ECE"/>
    <w:rsid w:val="007037B4"/>
    <w:rsid w:val="00703907"/>
    <w:rsid w:val="007044AA"/>
    <w:rsid w:val="0070455B"/>
    <w:rsid w:val="007057D9"/>
    <w:rsid w:val="007059F8"/>
    <w:rsid w:val="007101F9"/>
    <w:rsid w:val="00710C88"/>
    <w:rsid w:val="00716902"/>
    <w:rsid w:val="0072035F"/>
    <w:rsid w:val="007203C3"/>
    <w:rsid w:val="00720483"/>
    <w:rsid w:val="00720CB5"/>
    <w:rsid w:val="00720F19"/>
    <w:rsid w:val="00721F1A"/>
    <w:rsid w:val="00722F2C"/>
    <w:rsid w:val="00723090"/>
    <w:rsid w:val="00723B43"/>
    <w:rsid w:val="00724677"/>
    <w:rsid w:val="00724691"/>
    <w:rsid w:val="00724C2D"/>
    <w:rsid w:val="00725015"/>
    <w:rsid w:val="00727882"/>
    <w:rsid w:val="0073094E"/>
    <w:rsid w:val="007315B7"/>
    <w:rsid w:val="007328D5"/>
    <w:rsid w:val="007329FA"/>
    <w:rsid w:val="0073354E"/>
    <w:rsid w:val="00733726"/>
    <w:rsid w:val="00734285"/>
    <w:rsid w:val="007350EA"/>
    <w:rsid w:val="0073701F"/>
    <w:rsid w:val="0073753E"/>
    <w:rsid w:val="00737CCB"/>
    <w:rsid w:val="00741520"/>
    <w:rsid w:val="007422FB"/>
    <w:rsid w:val="00742690"/>
    <w:rsid w:val="00743746"/>
    <w:rsid w:val="007449C9"/>
    <w:rsid w:val="00746A8F"/>
    <w:rsid w:val="00747399"/>
    <w:rsid w:val="00754218"/>
    <w:rsid w:val="007568F3"/>
    <w:rsid w:val="00760337"/>
    <w:rsid w:val="00762649"/>
    <w:rsid w:val="00764D9D"/>
    <w:rsid w:val="00767608"/>
    <w:rsid w:val="007678E1"/>
    <w:rsid w:val="00777B6B"/>
    <w:rsid w:val="007835D7"/>
    <w:rsid w:val="007846EA"/>
    <w:rsid w:val="00785704"/>
    <w:rsid w:val="00785940"/>
    <w:rsid w:val="00785CD2"/>
    <w:rsid w:val="0079030B"/>
    <w:rsid w:val="00792EA5"/>
    <w:rsid w:val="00792F8E"/>
    <w:rsid w:val="007A3A24"/>
    <w:rsid w:val="007A4407"/>
    <w:rsid w:val="007A5FDE"/>
    <w:rsid w:val="007A7415"/>
    <w:rsid w:val="007A7786"/>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42D0"/>
    <w:rsid w:val="007F7903"/>
    <w:rsid w:val="0080082E"/>
    <w:rsid w:val="0080193B"/>
    <w:rsid w:val="00801D01"/>
    <w:rsid w:val="0080272B"/>
    <w:rsid w:val="00802882"/>
    <w:rsid w:val="00803A5C"/>
    <w:rsid w:val="00804F30"/>
    <w:rsid w:val="00805155"/>
    <w:rsid w:val="00805628"/>
    <w:rsid w:val="00805AB6"/>
    <w:rsid w:val="008064F9"/>
    <w:rsid w:val="00806777"/>
    <w:rsid w:val="00810498"/>
    <w:rsid w:val="0081515B"/>
    <w:rsid w:val="00816E1A"/>
    <w:rsid w:val="0081747F"/>
    <w:rsid w:val="00820526"/>
    <w:rsid w:val="008209EA"/>
    <w:rsid w:val="008210E2"/>
    <w:rsid w:val="00823B59"/>
    <w:rsid w:val="00824BB1"/>
    <w:rsid w:val="00825461"/>
    <w:rsid w:val="00830379"/>
    <w:rsid w:val="00830D92"/>
    <w:rsid w:val="0083246A"/>
    <w:rsid w:val="008342F9"/>
    <w:rsid w:val="0084162C"/>
    <w:rsid w:val="00843267"/>
    <w:rsid w:val="00843AE8"/>
    <w:rsid w:val="00843D0E"/>
    <w:rsid w:val="00843FD4"/>
    <w:rsid w:val="00844DC5"/>
    <w:rsid w:val="00845497"/>
    <w:rsid w:val="008476E8"/>
    <w:rsid w:val="00850E6F"/>
    <w:rsid w:val="008519FE"/>
    <w:rsid w:val="00851F2E"/>
    <w:rsid w:val="008538CA"/>
    <w:rsid w:val="00854FC0"/>
    <w:rsid w:val="00856866"/>
    <w:rsid w:val="008569E1"/>
    <w:rsid w:val="00857927"/>
    <w:rsid w:val="00860556"/>
    <w:rsid w:val="008652DF"/>
    <w:rsid w:val="00870933"/>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952AF"/>
    <w:rsid w:val="00897954"/>
    <w:rsid w:val="00897E66"/>
    <w:rsid w:val="008A1B7A"/>
    <w:rsid w:val="008A42CC"/>
    <w:rsid w:val="008A63D1"/>
    <w:rsid w:val="008A6626"/>
    <w:rsid w:val="008A706F"/>
    <w:rsid w:val="008A7389"/>
    <w:rsid w:val="008B460E"/>
    <w:rsid w:val="008B653F"/>
    <w:rsid w:val="008B67B3"/>
    <w:rsid w:val="008B6ED3"/>
    <w:rsid w:val="008B7926"/>
    <w:rsid w:val="008B7E78"/>
    <w:rsid w:val="008C2F9E"/>
    <w:rsid w:val="008C31FC"/>
    <w:rsid w:val="008C539C"/>
    <w:rsid w:val="008C6269"/>
    <w:rsid w:val="008C6A2F"/>
    <w:rsid w:val="008C7363"/>
    <w:rsid w:val="008D4B97"/>
    <w:rsid w:val="008D4EC8"/>
    <w:rsid w:val="008D54AB"/>
    <w:rsid w:val="008E1A6E"/>
    <w:rsid w:val="008E2E52"/>
    <w:rsid w:val="008E35F7"/>
    <w:rsid w:val="008E3808"/>
    <w:rsid w:val="008E3E25"/>
    <w:rsid w:val="008E5653"/>
    <w:rsid w:val="008E5886"/>
    <w:rsid w:val="008E67EA"/>
    <w:rsid w:val="008E79EB"/>
    <w:rsid w:val="008F0129"/>
    <w:rsid w:val="008F18E5"/>
    <w:rsid w:val="008F5BD1"/>
    <w:rsid w:val="008F7F8E"/>
    <w:rsid w:val="009017E9"/>
    <w:rsid w:val="009043FD"/>
    <w:rsid w:val="0090716C"/>
    <w:rsid w:val="009102AC"/>
    <w:rsid w:val="00912080"/>
    <w:rsid w:val="00914168"/>
    <w:rsid w:val="009148A2"/>
    <w:rsid w:val="00916165"/>
    <w:rsid w:val="00916475"/>
    <w:rsid w:val="0091678F"/>
    <w:rsid w:val="00917688"/>
    <w:rsid w:val="009237D2"/>
    <w:rsid w:val="00924FE3"/>
    <w:rsid w:val="00925E26"/>
    <w:rsid w:val="00926B9E"/>
    <w:rsid w:val="00927007"/>
    <w:rsid w:val="00930074"/>
    <w:rsid w:val="00930FB4"/>
    <w:rsid w:val="0093233A"/>
    <w:rsid w:val="00932E89"/>
    <w:rsid w:val="0093392B"/>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084"/>
    <w:rsid w:val="009624DF"/>
    <w:rsid w:val="00962E38"/>
    <w:rsid w:val="00963ED9"/>
    <w:rsid w:val="0096597D"/>
    <w:rsid w:val="009678E7"/>
    <w:rsid w:val="00970825"/>
    <w:rsid w:val="00970A34"/>
    <w:rsid w:val="00970C1C"/>
    <w:rsid w:val="009713AE"/>
    <w:rsid w:val="009715ED"/>
    <w:rsid w:val="00971AAD"/>
    <w:rsid w:val="009728AC"/>
    <w:rsid w:val="00975868"/>
    <w:rsid w:val="0098084D"/>
    <w:rsid w:val="00980F5C"/>
    <w:rsid w:val="00981D2B"/>
    <w:rsid w:val="009822AA"/>
    <w:rsid w:val="00982377"/>
    <w:rsid w:val="00987AFC"/>
    <w:rsid w:val="00990D33"/>
    <w:rsid w:val="0099184C"/>
    <w:rsid w:val="009919A2"/>
    <w:rsid w:val="00992EBD"/>
    <w:rsid w:val="009935F5"/>
    <w:rsid w:val="009943C9"/>
    <w:rsid w:val="00994439"/>
    <w:rsid w:val="00996771"/>
    <w:rsid w:val="009972F1"/>
    <w:rsid w:val="009A2304"/>
    <w:rsid w:val="009A2AC2"/>
    <w:rsid w:val="009A2E88"/>
    <w:rsid w:val="009A3D93"/>
    <w:rsid w:val="009A4E5A"/>
    <w:rsid w:val="009A6D5E"/>
    <w:rsid w:val="009A6DE3"/>
    <w:rsid w:val="009B197F"/>
    <w:rsid w:val="009B1D55"/>
    <w:rsid w:val="009B73D8"/>
    <w:rsid w:val="009B7520"/>
    <w:rsid w:val="009B763D"/>
    <w:rsid w:val="009C14BD"/>
    <w:rsid w:val="009C3523"/>
    <w:rsid w:val="009C3777"/>
    <w:rsid w:val="009C39C2"/>
    <w:rsid w:val="009C44D5"/>
    <w:rsid w:val="009C55BF"/>
    <w:rsid w:val="009C7E5E"/>
    <w:rsid w:val="009D4D10"/>
    <w:rsid w:val="009D7967"/>
    <w:rsid w:val="009E23EC"/>
    <w:rsid w:val="009E2A66"/>
    <w:rsid w:val="009E2CC0"/>
    <w:rsid w:val="009E2E6E"/>
    <w:rsid w:val="009E4720"/>
    <w:rsid w:val="009E4C3F"/>
    <w:rsid w:val="009E6012"/>
    <w:rsid w:val="009E6B04"/>
    <w:rsid w:val="009E6D69"/>
    <w:rsid w:val="009F12EC"/>
    <w:rsid w:val="009F225F"/>
    <w:rsid w:val="009F611F"/>
    <w:rsid w:val="009F6737"/>
    <w:rsid w:val="009F7802"/>
    <w:rsid w:val="009F7F02"/>
    <w:rsid w:val="00A023C9"/>
    <w:rsid w:val="00A04C0B"/>
    <w:rsid w:val="00A05154"/>
    <w:rsid w:val="00A0798A"/>
    <w:rsid w:val="00A07B05"/>
    <w:rsid w:val="00A10117"/>
    <w:rsid w:val="00A1108E"/>
    <w:rsid w:val="00A12534"/>
    <w:rsid w:val="00A13AD0"/>
    <w:rsid w:val="00A158A3"/>
    <w:rsid w:val="00A16DE9"/>
    <w:rsid w:val="00A202B1"/>
    <w:rsid w:val="00A2033B"/>
    <w:rsid w:val="00A20CFB"/>
    <w:rsid w:val="00A214D1"/>
    <w:rsid w:val="00A215DE"/>
    <w:rsid w:val="00A231F7"/>
    <w:rsid w:val="00A2382E"/>
    <w:rsid w:val="00A245DE"/>
    <w:rsid w:val="00A25DB2"/>
    <w:rsid w:val="00A25FEE"/>
    <w:rsid w:val="00A26875"/>
    <w:rsid w:val="00A26FD0"/>
    <w:rsid w:val="00A2701A"/>
    <w:rsid w:val="00A2759E"/>
    <w:rsid w:val="00A27784"/>
    <w:rsid w:val="00A30AD8"/>
    <w:rsid w:val="00A32093"/>
    <w:rsid w:val="00A3329E"/>
    <w:rsid w:val="00A34964"/>
    <w:rsid w:val="00A36128"/>
    <w:rsid w:val="00A40AB1"/>
    <w:rsid w:val="00A42C0F"/>
    <w:rsid w:val="00A43ECF"/>
    <w:rsid w:val="00A448FB"/>
    <w:rsid w:val="00A5373F"/>
    <w:rsid w:val="00A57483"/>
    <w:rsid w:val="00A579A8"/>
    <w:rsid w:val="00A603C0"/>
    <w:rsid w:val="00A630B9"/>
    <w:rsid w:val="00A648BB"/>
    <w:rsid w:val="00A65786"/>
    <w:rsid w:val="00A6724E"/>
    <w:rsid w:val="00A676AE"/>
    <w:rsid w:val="00A67D65"/>
    <w:rsid w:val="00A70496"/>
    <w:rsid w:val="00A70AAB"/>
    <w:rsid w:val="00A71686"/>
    <w:rsid w:val="00A72029"/>
    <w:rsid w:val="00A73EC1"/>
    <w:rsid w:val="00A74CFD"/>
    <w:rsid w:val="00A7659E"/>
    <w:rsid w:val="00A776E7"/>
    <w:rsid w:val="00A83616"/>
    <w:rsid w:val="00A86594"/>
    <w:rsid w:val="00A915BC"/>
    <w:rsid w:val="00A9241A"/>
    <w:rsid w:val="00AA01B7"/>
    <w:rsid w:val="00AA1819"/>
    <w:rsid w:val="00AA3B48"/>
    <w:rsid w:val="00AA3E4E"/>
    <w:rsid w:val="00AA7915"/>
    <w:rsid w:val="00AB082A"/>
    <w:rsid w:val="00AB0E96"/>
    <w:rsid w:val="00AB147D"/>
    <w:rsid w:val="00AB430A"/>
    <w:rsid w:val="00AB4373"/>
    <w:rsid w:val="00AB532D"/>
    <w:rsid w:val="00AB6C41"/>
    <w:rsid w:val="00AC09DD"/>
    <w:rsid w:val="00AC32B2"/>
    <w:rsid w:val="00AC3724"/>
    <w:rsid w:val="00AC3A7B"/>
    <w:rsid w:val="00AC5EC1"/>
    <w:rsid w:val="00AD0C38"/>
    <w:rsid w:val="00AD2810"/>
    <w:rsid w:val="00AD3A6B"/>
    <w:rsid w:val="00AD465C"/>
    <w:rsid w:val="00AD527E"/>
    <w:rsid w:val="00AD6852"/>
    <w:rsid w:val="00AD7D58"/>
    <w:rsid w:val="00AE187B"/>
    <w:rsid w:val="00AE2F69"/>
    <w:rsid w:val="00AE3486"/>
    <w:rsid w:val="00AE41A3"/>
    <w:rsid w:val="00AE4231"/>
    <w:rsid w:val="00AE6B87"/>
    <w:rsid w:val="00AE71AB"/>
    <w:rsid w:val="00AE73E2"/>
    <w:rsid w:val="00AF03E4"/>
    <w:rsid w:val="00AF2B87"/>
    <w:rsid w:val="00AF3822"/>
    <w:rsid w:val="00AF3AF4"/>
    <w:rsid w:val="00AF3E74"/>
    <w:rsid w:val="00AF5696"/>
    <w:rsid w:val="00AF74FF"/>
    <w:rsid w:val="00B010C5"/>
    <w:rsid w:val="00B03DE0"/>
    <w:rsid w:val="00B043A4"/>
    <w:rsid w:val="00B0508A"/>
    <w:rsid w:val="00B051ED"/>
    <w:rsid w:val="00B07FE0"/>
    <w:rsid w:val="00B10D2F"/>
    <w:rsid w:val="00B11063"/>
    <w:rsid w:val="00B14F1B"/>
    <w:rsid w:val="00B1614F"/>
    <w:rsid w:val="00B16997"/>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7422"/>
    <w:rsid w:val="00B420CB"/>
    <w:rsid w:val="00B422AB"/>
    <w:rsid w:val="00B42724"/>
    <w:rsid w:val="00B442E1"/>
    <w:rsid w:val="00B44D51"/>
    <w:rsid w:val="00B45A2F"/>
    <w:rsid w:val="00B45BFE"/>
    <w:rsid w:val="00B46071"/>
    <w:rsid w:val="00B52422"/>
    <w:rsid w:val="00B52C86"/>
    <w:rsid w:val="00B53D86"/>
    <w:rsid w:val="00B55881"/>
    <w:rsid w:val="00B55B1F"/>
    <w:rsid w:val="00B55DF7"/>
    <w:rsid w:val="00B57A86"/>
    <w:rsid w:val="00B62125"/>
    <w:rsid w:val="00B63453"/>
    <w:rsid w:val="00B65996"/>
    <w:rsid w:val="00B66D7E"/>
    <w:rsid w:val="00B6723B"/>
    <w:rsid w:val="00B67281"/>
    <w:rsid w:val="00B67C34"/>
    <w:rsid w:val="00B70611"/>
    <w:rsid w:val="00B706FD"/>
    <w:rsid w:val="00B72B66"/>
    <w:rsid w:val="00B72CAC"/>
    <w:rsid w:val="00B72FEA"/>
    <w:rsid w:val="00B73E97"/>
    <w:rsid w:val="00B7414B"/>
    <w:rsid w:val="00B75615"/>
    <w:rsid w:val="00B77150"/>
    <w:rsid w:val="00B80706"/>
    <w:rsid w:val="00B81DEF"/>
    <w:rsid w:val="00B833AE"/>
    <w:rsid w:val="00B84629"/>
    <w:rsid w:val="00B862CD"/>
    <w:rsid w:val="00B870FE"/>
    <w:rsid w:val="00B914B4"/>
    <w:rsid w:val="00B921C5"/>
    <w:rsid w:val="00B923C3"/>
    <w:rsid w:val="00B93C86"/>
    <w:rsid w:val="00B94600"/>
    <w:rsid w:val="00B97824"/>
    <w:rsid w:val="00BA2201"/>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3B5"/>
    <w:rsid w:val="00BC3B3B"/>
    <w:rsid w:val="00BC3F90"/>
    <w:rsid w:val="00BC63C7"/>
    <w:rsid w:val="00BD1F93"/>
    <w:rsid w:val="00BD23FF"/>
    <w:rsid w:val="00BD437C"/>
    <w:rsid w:val="00BD47DB"/>
    <w:rsid w:val="00BD517D"/>
    <w:rsid w:val="00BD707C"/>
    <w:rsid w:val="00BD7502"/>
    <w:rsid w:val="00BD7F0A"/>
    <w:rsid w:val="00BE0E6D"/>
    <w:rsid w:val="00BE20F8"/>
    <w:rsid w:val="00BE3579"/>
    <w:rsid w:val="00BE5237"/>
    <w:rsid w:val="00BE599B"/>
    <w:rsid w:val="00BE6605"/>
    <w:rsid w:val="00BE7213"/>
    <w:rsid w:val="00BF0F52"/>
    <w:rsid w:val="00BF164A"/>
    <w:rsid w:val="00BF17B6"/>
    <w:rsid w:val="00BF1B35"/>
    <w:rsid w:val="00BF2A1B"/>
    <w:rsid w:val="00BF33C4"/>
    <w:rsid w:val="00BF38E7"/>
    <w:rsid w:val="00BF3EFB"/>
    <w:rsid w:val="00BF4EC5"/>
    <w:rsid w:val="00BF685F"/>
    <w:rsid w:val="00C013DA"/>
    <w:rsid w:val="00C034E2"/>
    <w:rsid w:val="00C03911"/>
    <w:rsid w:val="00C04238"/>
    <w:rsid w:val="00C05AF5"/>
    <w:rsid w:val="00C06CFB"/>
    <w:rsid w:val="00C06D5E"/>
    <w:rsid w:val="00C07F5E"/>
    <w:rsid w:val="00C10F36"/>
    <w:rsid w:val="00C14197"/>
    <w:rsid w:val="00C149BF"/>
    <w:rsid w:val="00C14C3C"/>
    <w:rsid w:val="00C14DFA"/>
    <w:rsid w:val="00C17536"/>
    <w:rsid w:val="00C17AEC"/>
    <w:rsid w:val="00C230C0"/>
    <w:rsid w:val="00C2565D"/>
    <w:rsid w:val="00C26100"/>
    <w:rsid w:val="00C2748D"/>
    <w:rsid w:val="00C30976"/>
    <w:rsid w:val="00C32C1B"/>
    <w:rsid w:val="00C356B5"/>
    <w:rsid w:val="00C415D6"/>
    <w:rsid w:val="00C420A8"/>
    <w:rsid w:val="00C45853"/>
    <w:rsid w:val="00C45CBD"/>
    <w:rsid w:val="00C460D9"/>
    <w:rsid w:val="00C51709"/>
    <w:rsid w:val="00C51A85"/>
    <w:rsid w:val="00C51EB2"/>
    <w:rsid w:val="00C57618"/>
    <w:rsid w:val="00C620DA"/>
    <w:rsid w:val="00C629E3"/>
    <w:rsid w:val="00C63DFC"/>
    <w:rsid w:val="00C6586D"/>
    <w:rsid w:val="00C712F0"/>
    <w:rsid w:val="00C730CF"/>
    <w:rsid w:val="00C734E7"/>
    <w:rsid w:val="00C73BF9"/>
    <w:rsid w:val="00C73DCF"/>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91E1D"/>
    <w:rsid w:val="00CA09FD"/>
    <w:rsid w:val="00CA0D42"/>
    <w:rsid w:val="00CA161E"/>
    <w:rsid w:val="00CA1845"/>
    <w:rsid w:val="00CA2527"/>
    <w:rsid w:val="00CA57AD"/>
    <w:rsid w:val="00CA585F"/>
    <w:rsid w:val="00CA59D7"/>
    <w:rsid w:val="00CA5C5F"/>
    <w:rsid w:val="00CA6634"/>
    <w:rsid w:val="00CA6BC6"/>
    <w:rsid w:val="00CA7080"/>
    <w:rsid w:val="00CA70D4"/>
    <w:rsid w:val="00CA7689"/>
    <w:rsid w:val="00CA7C3A"/>
    <w:rsid w:val="00CB0660"/>
    <w:rsid w:val="00CB0F0A"/>
    <w:rsid w:val="00CB1BD4"/>
    <w:rsid w:val="00CB241D"/>
    <w:rsid w:val="00CB298A"/>
    <w:rsid w:val="00CB2A15"/>
    <w:rsid w:val="00CB32AC"/>
    <w:rsid w:val="00CB432D"/>
    <w:rsid w:val="00CB6225"/>
    <w:rsid w:val="00CB64B2"/>
    <w:rsid w:val="00CC0517"/>
    <w:rsid w:val="00CC08F8"/>
    <w:rsid w:val="00CC1D34"/>
    <w:rsid w:val="00CC2110"/>
    <w:rsid w:val="00CC248E"/>
    <w:rsid w:val="00CC34F5"/>
    <w:rsid w:val="00CC4F5E"/>
    <w:rsid w:val="00CC50D8"/>
    <w:rsid w:val="00CC5B69"/>
    <w:rsid w:val="00CC5F97"/>
    <w:rsid w:val="00CD0871"/>
    <w:rsid w:val="00CD121D"/>
    <w:rsid w:val="00CD14B2"/>
    <w:rsid w:val="00CD1A9B"/>
    <w:rsid w:val="00CD30CD"/>
    <w:rsid w:val="00CD34F5"/>
    <w:rsid w:val="00CD3657"/>
    <w:rsid w:val="00CD380D"/>
    <w:rsid w:val="00CD7767"/>
    <w:rsid w:val="00CF0046"/>
    <w:rsid w:val="00CF05B6"/>
    <w:rsid w:val="00CF159D"/>
    <w:rsid w:val="00CF2BDA"/>
    <w:rsid w:val="00CF41A4"/>
    <w:rsid w:val="00CF478F"/>
    <w:rsid w:val="00CF6C35"/>
    <w:rsid w:val="00CF7233"/>
    <w:rsid w:val="00CF7886"/>
    <w:rsid w:val="00CF7A73"/>
    <w:rsid w:val="00D0022B"/>
    <w:rsid w:val="00D01A42"/>
    <w:rsid w:val="00D01BE5"/>
    <w:rsid w:val="00D023F2"/>
    <w:rsid w:val="00D027C6"/>
    <w:rsid w:val="00D0320D"/>
    <w:rsid w:val="00D0337F"/>
    <w:rsid w:val="00D1395B"/>
    <w:rsid w:val="00D13AFA"/>
    <w:rsid w:val="00D1411C"/>
    <w:rsid w:val="00D14FB8"/>
    <w:rsid w:val="00D159B1"/>
    <w:rsid w:val="00D15BC1"/>
    <w:rsid w:val="00D16D08"/>
    <w:rsid w:val="00D215EA"/>
    <w:rsid w:val="00D222EF"/>
    <w:rsid w:val="00D22728"/>
    <w:rsid w:val="00D22CA0"/>
    <w:rsid w:val="00D234FA"/>
    <w:rsid w:val="00D23AAE"/>
    <w:rsid w:val="00D2463E"/>
    <w:rsid w:val="00D24EFB"/>
    <w:rsid w:val="00D25109"/>
    <w:rsid w:val="00D25F19"/>
    <w:rsid w:val="00D26FB5"/>
    <w:rsid w:val="00D31DF2"/>
    <w:rsid w:val="00D32780"/>
    <w:rsid w:val="00D33F97"/>
    <w:rsid w:val="00D3526D"/>
    <w:rsid w:val="00D36942"/>
    <w:rsid w:val="00D40424"/>
    <w:rsid w:val="00D4211E"/>
    <w:rsid w:val="00D424BE"/>
    <w:rsid w:val="00D431FA"/>
    <w:rsid w:val="00D43757"/>
    <w:rsid w:val="00D439FA"/>
    <w:rsid w:val="00D44AB3"/>
    <w:rsid w:val="00D44AD3"/>
    <w:rsid w:val="00D473B5"/>
    <w:rsid w:val="00D501A5"/>
    <w:rsid w:val="00D503A4"/>
    <w:rsid w:val="00D507CD"/>
    <w:rsid w:val="00D50869"/>
    <w:rsid w:val="00D52470"/>
    <w:rsid w:val="00D54CF8"/>
    <w:rsid w:val="00D54D9F"/>
    <w:rsid w:val="00D56C7D"/>
    <w:rsid w:val="00D60E9F"/>
    <w:rsid w:val="00D61618"/>
    <w:rsid w:val="00D61EFF"/>
    <w:rsid w:val="00D62B48"/>
    <w:rsid w:val="00D650AD"/>
    <w:rsid w:val="00D67538"/>
    <w:rsid w:val="00D70E80"/>
    <w:rsid w:val="00D750C1"/>
    <w:rsid w:val="00D75772"/>
    <w:rsid w:val="00D760C0"/>
    <w:rsid w:val="00D77020"/>
    <w:rsid w:val="00D82AB8"/>
    <w:rsid w:val="00D844DC"/>
    <w:rsid w:val="00D857AC"/>
    <w:rsid w:val="00D87E1D"/>
    <w:rsid w:val="00D917DC"/>
    <w:rsid w:val="00D92262"/>
    <w:rsid w:val="00D950F3"/>
    <w:rsid w:val="00D95EAE"/>
    <w:rsid w:val="00D96015"/>
    <w:rsid w:val="00D96A0B"/>
    <w:rsid w:val="00D96CE4"/>
    <w:rsid w:val="00D974F8"/>
    <w:rsid w:val="00DA03C7"/>
    <w:rsid w:val="00DA0A27"/>
    <w:rsid w:val="00DA0B70"/>
    <w:rsid w:val="00DA0CBF"/>
    <w:rsid w:val="00DA3581"/>
    <w:rsid w:val="00DA36A4"/>
    <w:rsid w:val="00DA4D78"/>
    <w:rsid w:val="00DA56B1"/>
    <w:rsid w:val="00DB1C77"/>
    <w:rsid w:val="00DB3513"/>
    <w:rsid w:val="00DB5F45"/>
    <w:rsid w:val="00DB69FD"/>
    <w:rsid w:val="00DB78AC"/>
    <w:rsid w:val="00DC0F6A"/>
    <w:rsid w:val="00DC2959"/>
    <w:rsid w:val="00DC2CC2"/>
    <w:rsid w:val="00DC2DD6"/>
    <w:rsid w:val="00DC36D1"/>
    <w:rsid w:val="00DC3800"/>
    <w:rsid w:val="00DC6BBB"/>
    <w:rsid w:val="00DC7A4C"/>
    <w:rsid w:val="00DD0ED7"/>
    <w:rsid w:val="00DD3CBB"/>
    <w:rsid w:val="00DD5EA7"/>
    <w:rsid w:val="00DD6BD5"/>
    <w:rsid w:val="00DE088F"/>
    <w:rsid w:val="00DE11C0"/>
    <w:rsid w:val="00DE14D9"/>
    <w:rsid w:val="00DE2E61"/>
    <w:rsid w:val="00DE46AF"/>
    <w:rsid w:val="00DE4763"/>
    <w:rsid w:val="00DE51BE"/>
    <w:rsid w:val="00DE5B51"/>
    <w:rsid w:val="00DE6ABA"/>
    <w:rsid w:val="00DF73CB"/>
    <w:rsid w:val="00E04B10"/>
    <w:rsid w:val="00E06C6C"/>
    <w:rsid w:val="00E103E5"/>
    <w:rsid w:val="00E1543A"/>
    <w:rsid w:val="00E15A37"/>
    <w:rsid w:val="00E16256"/>
    <w:rsid w:val="00E164EC"/>
    <w:rsid w:val="00E2445D"/>
    <w:rsid w:val="00E26DE3"/>
    <w:rsid w:val="00E31275"/>
    <w:rsid w:val="00E3283D"/>
    <w:rsid w:val="00E35DB5"/>
    <w:rsid w:val="00E3606B"/>
    <w:rsid w:val="00E3617F"/>
    <w:rsid w:val="00E362D5"/>
    <w:rsid w:val="00E40E40"/>
    <w:rsid w:val="00E40FA4"/>
    <w:rsid w:val="00E423AB"/>
    <w:rsid w:val="00E4508F"/>
    <w:rsid w:val="00E503DD"/>
    <w:rsid w:val="00E50EE5"/>
    <w:rsid w:val="00E517E4"/>
    <w:rsid w:val="00E535FB"/>
    <w:rsid w:val="00E539C6"/>
    <w:rsid w:val="00E53A0E"/>
    <w:rsid w:val="00E563BF"/>
    <w:rsid w:val="00E56C74"/>
    <w:rsid w:val="00E63069"/>
    <w:rsid w:val="00E63622"/>
    <w:rsid w:val="00E64C78"/>
    <w:rsid w:val="00E67A80"/>
    <w:rsid w:val="00E744CC"/>
    <w:rsid w:val="00E747B7"/>
    <w:rsid w:val="00E747F1"/>
    <w:rsid w:val="00E7497D"/>
    <w:rsid w:val="00E76CF5"/>
    <w:rsid w:val="00E77826"/>
    <w:rsid w:val="00E80637"/>
    <w:rsid w:val="00E80DBD"/>
    <w:rsid w:val="00E812E1"/>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E3B"/>
    <w:rsid w:val="00EC2F4D"/>
    <w:rsid w:val="00EC3867"/>
    <w:rsid w:val="00EC390D"/>
    <w:rsid w:val="00EC5C1A"/>
    <w:rsid w:val="00EC62A2"/>
    <w:rsid w:val="00EC64EC"/>
    <w:rsid w:val="00EC6E99"/>
    <w:rsid w:val="00EC78DD"/>
    <w:rsid w:val="00ED1D9A"/>
    <w:rsid w:val="00ED528D"/>
    <w:rsid w:val="00ED6211"/>
    <w:rsid w:val="00ED7159"/>
    <w:rsid w:val="00EE2C93"/>
    <w:rsid w:val="00EE3CD1"/>
    <w:rsid w:val="00EE442B"/>
    <w:rsid w:val="00EE72D0"/>
    <w:rsid w:val="00EE7B83"/>
    <w:rsid w:val="00EE7E03"/>
    <w:rsid w:val="00EF140B"/>
    <w:rsid w:val="00EF169B"/>
    <w:rsid w:val="00EF33D8"/>
    <w:rsid w:val="00EF36E8"/>
    <w:rsid w:val="00EF5198"/>
    <w:rsid w:val="00EF6A45"/>
    <w:rsid w:val="00EF7487"/>
    <w:rsid w:val="00F01960"/>
    <w:rsid w:val="00F02526"/>
    <w:rsid w:val="00F02F81"/>
    <w:rsid w:val="00F02FA0"/>
    <w:rsid w:val="00F044A7"/>
    <w:rsid w:val="00F109D1"/>
    <w:rsid w:val="00F10CD9"/>
    <w:rsid w:val="00F111CE"/>
    <w:rsid w:val="00F119CF"/>
    <w:rsid w:val="00F12D14"/>
    <w:rsid w:val="00F1509D"/>
    <w:rsid w:val="00F15B4A"/>
    <w:rsid w:val="00F17537"/>
    <w:rsid w:val="00F17A90"/>
    <w:rsid w:val="00F23219"/>
    <w:rsid w:val="00F2332D"/>
    <w:rsid w:val="00F2366F"/>
    <w:rsid w:val="00F23C96"/>
    <w:rsid w:val="00F244A1"/>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873FD"/>
    <w:rsid w:val="00F912DA"/>
    <w:rsid w:val="00F92909"/>
    <w:rsid w:val="00F936F4"/>
    <w:rsid w:val="00F93BD7"/>
    <w:rsid w:val="00F941D6"/>
    <w:rsid w:val="00F96270"/>
    <w:rsid w:val="00FA2995"/>
    <w:rsid w:val="00FA498B"/>
    <w:rsid w:val="00FA5712"/>
    <w:rsid w:val="00FA73ED"/>
    <w:rsid w:val="00FA7AF7"/>
    <w:rsid w:val="00FB0E9F"/>
    <w:rsid w:val="00FB118F"/>
    <w:rsid w:val="00FB15CB"/>
    <w:rsid w:val="00FB223E"/>
    <w:rsid w:val="00FB241E"/>
    <w:rsid w:val="00FB365F"/>
    <w:rsid w:val="00FB3A8A"/>
    <w:rsid w:val="00FB465A"/>
    <w:rsid w:val="00FB4D2B"/>
    <w:rsid w:val="00FB4DDE"/>
    <w:rsid w:val="00FB6407"/>
    <w:rsid w:val="00FB6682"/>
    <w:rsid w:val="00FB7D7D"/>
    <w:rsid w:val="00FC080C"/>
    <w:rsid w:val="00FC0A52"/>
    <w:rsid w:val="00FC1137"/>
    <w:rsid w:val="00FC2529"/>
    <w:rsid w:val="00FC3B5A"/>
    <w:rsid w:val="00FC6510"/>
    <w:rsid w:val="00FC72BB"/>
    <w:rsid w:val="00FC78F1"/>
    <w:rsid w:val="00FC7C96"/>
    <w:rsid w:val="00FD0B7C"/>
    <w:rsid w:val="00FD132B"/>
    <w:rsid w:val="00FD1C7F"/>
    <w:rsid w:val="00FD2C66"/>
    <w:rsid w:val="00FD41CF"/>
    <w:rsid w:val="00FD46AA"/>
    <w:rsid w:val="00FD7C97"/>
    <w:rsid w:val="00FD7FE2"/>
    <w:rsid w:val="00FE4C24"/>
    <w:rsid w:val="00FF0764"/>
    <w:rsid w:val="00FF30A2"/>
    <w:rsid w:val="00FF5A12"/>
    <w:rsid w:val="00FF67C5"/>
    <w:rsid w:val="00FF79A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62C"/>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inespaciadoCar">
    <w:name w:val="Sin espaciado Car"/>
    <w:link w:val="Sinespaciado"/>
    <w:uiPriority w:val="1"/>
    <w:locked/>
    <w:rsid w:val="00D44A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D9BDD-ACEA-46D0-88A1-EC1AF668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3054</Words>
  <Characters>16802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3</cp:revision>
  <cp:lastPrinted>2018-05-28T12:58:00Z</cp:lastPrinted>
  <dcterms:created xsi:type="dcterms:W3CDTF">2018-05-28T12:58:00Z</dcterms:created>
  <dcterms:modified xsi:type="dcterms:W3CDTF">2018-08-09T19:02:00Z</dcterms:modified>
</cp:coreProperties>
</file>