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0A" w:rsidRPr="00D22DCB" w:rsidRDefault="00A6220A" w:rsidP="00A6220A">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B93086" w:rsidRDefault="00B93086" w:rsidP="00B93086">
      <w:pPr>
        <w:widowControl w:val="0"/>
        <w:spacing w:line="360" w:lineRule="auto"/>
        <w:ind w:firstLine="851"/>
        <w:jc w:val="center"/>
        <w:rPr>
          <w:rFonts w:ascii="Arial" w:hAnsi="Arial" w:cs="Arial"/>
          <w:color w:val="000000"/>
          <w:kern w:val="28"/>
          <w:szCs w:val="24"/>
        </w:rPr>
      </w:pPr>
    </w:p>
    <w:p w:rsidR="00475C3F" w:rsidRPr="00A6220A" w:rsidRDefault="00475C3F" w:rsidP="00A6220A">
      <w:pPr>
        <w:rPr>
          <w:rFonts w:ascii="Arial" w:hAnsi="Arial" w:cs="Arial"/>
          <w:sz w:val="18"/>
          <w:szCs w:val="16"/>
        </w:rPr>
      </w:pPr>
      <w:r w:rsidRPr="00A6220A">
        <w:rPr>
          <w:rFonts w:ascii="Arial" w:hAnsi="Arial" w:cs="Arial"/>
          <w:sz w:val="18"/>
          <w:szCs w:val="16"/>
          <w:u w:val="single"/>
        </w:rPr>
        <w:t>Asunto</w:t>
      </w:r>
      <w:r w:rsidRPr="00A6220A">
        <w:rPr>
          <w:rFonts w:ascii="Arial" w:hAnsi="Arial" w:cs="Arial"/>
          <w:sz w:val="18"/>
          <w:szCs w:val="16"/>
        </w:rPr>
        <w:tab/>
        <w:t xml:space="preserve"> </w:t>
      </w:r>
      <w:r w:rsidRPr="00A6220A">
        <w:rPr>
          <w:rFonts w:ascii="Arial" w:hAnsi="Arial" w:cs="Arial"/>
          <w:sz w:val="18"/>
          <w:szCs w:val="16"/>
        </w:rPr>
        <w:tab/>
      </w:r>
      <w:r w:rsidRPr="00A6220A">
        <w:rPr>
          <w:rFonts w:ascii="Arial" w:hAnsi="Arial" w:cs="Arial"/>
          <w:sz w:val="18"/>
          <w:szCs w:val="16"/>
        </w:rPr>
        <w:tab/>
        <w:t xml:space="preserve">Apelación y consulta  </w:t>
      </w:r>
    </w:p>
    <w:p w:rsidR="00475C3F" w:rsidRPr="00A6220A" w:rsidRDefault="00475C3F" w:rsidP="00A6220A">
      <w:pPr>
        <w:rPr>
          <w:rFonts w:ascii="Arial" w:hAnsi="Arial" w:cs="Arial"/>
          <w:sz w:val="18"/>
          <w:szCs w:val="16"/>
        </w:rPr>
      </w:pPr>
      <w:r w:rsidRPr="00A6220A">
        <w:rPr>
          <w:rFonts w:ascii="Arial" w:hAnsi="Arial" w:cs="Arial"/>
          <w:sz w:val="18"/>
          <w:szCs w:val="16"/>
          <w:u w:val="single"/>
        </w:rPr>
        <w:t>Proceso.</w:t>
      </w:r>
      <w:r w:rsidRPr="00A6220A">
        <w:rPr>
          <w:rFonts w:ascii="Arial" w:hAnsi="Arial" w:cs="Arial"/>
          <w:sz w:val="18"/>
          <w:szCs w:val="16"/>
        </w:rPr>
        <w:tab/>
      </w:r>
      <w:r w:rsidRPr="00A6220A">
        <w:rPr>
          <w:rFonts w:ascii="Arial" w:hAnsi="Arial" w:cs="Arial"/>
          <w:sz w:val="18"/>
          <w:szCs w:val="16"/>
        </w:rPr>
        <w:tab/>
      </w:r>
      <w:r w:rsidRPr="00A6220A">
        <w:rPr>
          <w:rFonts w:ascii="Arial" w:hAnsi="Arial" w:cs="Arial"/>
          <w:iCs/>
          <w:sz w:val="18"/>
          <w:szCs w:val="16"/>
        </w:rPr>
        <w:t>Ordinario laboral</w:t>
      </w:r>
    </w:p>
    <w:p w:rsidR="00475C3F" w:rsidRPr="00A6220A" w:rsidRDefault="00475C3F" w:rsidP="00A6220A">
      <w:pPr>
        <w:rPr>
          <w:rFonts w:ascii="Arial" w:hAnsi="Arial" w:cs="Arial"/>
          <w:bCs/>
          <w:iCs/>
          <w:sz w:val="18"/>
          <w:szCs w:val="16"/>
          <w:u w:val="single"/>
        </w:rPr>
      </w:pPr>
      <w:r w:rsidRPr="00A6220A">
        <w:rPr>
          <w:rFonts w:ascii="Arial" w:hAnsi="Arial" w:cs="Arial"/>
          <w:sz w:val="18"/>
          <w:szCs w:val="16"/>
          <w:u w:val="single"/>
        </w:rPr>
        <w:t>Radicación Nro.</w:t>
      </w:r>
      <w:r w:rsidRPr="00A6220A">
        <w:rPr>
          <w:rFonts w:ascii="Arial" w:hAnsi="Arial" w:cs="Arial"/>
          <w:sz w:val="18"/>
          <w:szCs w:val="16"/>
        </w:rPr>
        <w:t xml:space="preserve"> :</w:t>
      </w:r>
      <w:r w:rsidRPr="00A6220A">
        <w:rPr>
          <w:rFonts w:ascii="Arial" w:hAnsi="Arial" w:cs="Arial"/>
          <w:sz w:val="18"/>
          <w:szCs w:val="16"/>
        </w:rPr>
        <w:tab/>
      </w:r>
      <w:r w:rsidR="00A6220A" w:rsidRPr="00A6220A">
        <w:rPr>
          <w:rFonts w:ascii="Arial" w:hAnsi="Arial" w:cs="Arial"/>
          <w:sz w:val="18"/>
          <w:szCs w:val="16"/>
        </w:rPr>
        <w:tab/>
      </w:r>
      <w:r w:rsidRPr="00A6220A">
        <w:rPr>
          <w:rFonts w:ascii="Arial" w:hAnsi="Arial" w:cs="Arial"/>
          <w:sz w:val="18"/>
          <w:szCs w:val="16"/>
        </w:rPr>
        <w:t xml:space="preserve">66001-31-05-005-2014-00090-02 </w:t>
      </w:r>
    </w:p>
    <w:p w:rsidR="00475C3F" w:rsidRPr="00A6220A" w:rsidRDefault="00475C3F" w:rsidP="00A6220A">
      <w:pPr>
        <w:rPr>
          <w:rFonts w:ascii="Arial" w:hAnsi="Arial" w:cs="Arial"/>
          <w:bCs/>
          <w:iCs/>
          <w:sz w:val="18"/>
          <w:szCs w:val="16"/>
        </w:rPr>
      </w:pPr>
      <w:r w:rsidRPr="00A6220A">
        <w:rPr>
          <w:rFonts w:ascii="Arial" w:hAnsi="Arial" w:cs="Arial"/>
          <w:bCs/>
          <w:iCs/>
          <w:sz w:val="18"/>
          <w:szCs w:val="16"/>
          <w:u w:val="single"/>
        </w:rPr>
        <w:t>Demandante:</w:t>
      </w:r>
      <w:r w:rsidRPr="00A6220A">
        <w:rPr>
          <w:rFonts w:ascii="Arial" w:hAnsi="Arial" w:cs="Arial"/>
          <w:iCs/>
          <w:sz w:val="18"/>
          <w:szCs w:val="16"/>
        </w:rPr>
        <w:t xml:space="preserve"> </w:t>
      </w:r>
      <w:r w:rsidRPr="00A6220A">
        <w:rPr>
          <w:rFonts w:ascii="Arial" w:hAnsi="Arial" w:cs="Arial"/>
          <w:iCs/>
          <w:sz w:val="18"/>
          <w:szCs w:val="16"/>
        </w:rPr>
        <w:tab/>
      </w:r>
      <w:r w:rsidRPr="00A6220A">
        <w:rPr>
          <w:rFonts w:ascii="Arial" w:hAnsi="Arial" w:cs="Arial"/>
          <w:iCs/>
          <w:sz w:val="18"/>
          <w:szCs w:val="16"/>
        </w:rPr>
        <w:tab/>
      </w:r>
      <w:r w:rsidRPr="00A6220A">
        <w:rPr>
          <w:rFonts w:ascii="Arial" w:hAnsi="Arial" w:cs="Arial"/>
          <w:bCs/>
          <w:iCs/>
          <w:sz w:val="18"/>
          <w:szCs w:val="16"/>
        </w:rPr>
        <w:t>Andrés Felipe Gómez Dávila</w:t>
      </w:r>
    </w:p>
    <w:p w:rsidR="00475C3F" w:rsidRPr="00A6220A" w:rsidRDefault="00475C3F" w:rsidP="00A6220A">
      <w:pPr>
        <w:rPr>
          <w:rFonts w:ascii="Arial" w:hAnsi="Arial" w:cs="Arial"/>
          <w:sz w:val="18"/>
          <w:szCs w:val="16"/>
        </w:rPr>
      </w:pPr>
      <w:r w:rsidRPr="00A6220A">
        <w:rPr>
          <w:rFonts w:ascii="Arial" w:hAnsi="Arial" w:cs="Arial"/>
          <w:bCs/>
          <w:iCs/>
          <w:sz w:val="18"/>
          <w:szCs w:val="16"/>
          <w:u w:val="single"/>
        </w:rPr>
        <w:t>Demandado:</w:t>
      </w:r>
      <w:r w:rsidRPr="00A6220A">
        <w:rPr>
          <w:rFonts w:ascii="Arial" w:hAnsi="Arial" w:cs="Arial"/>
          <w:sz w:val="18"/>
          <w:szCs w:val="16"/>
        </w:rPr>
        <w:t xml:space="preserve"> </w:t>
      </w:r>
      <w:r w:rsidRPr="00A6220A">
        <w:rPr>
          <w:rFonts w:ascii="Arial" w:hAnsi="Arial" w:cs="Arial"/>
          <w:sz w:val="18"/>
          <w:szCs w:val="16"/>
        </w:rPr>
        <w:tab/>
      </w:r>
      <w:r w:rsidRPr="00A6220A">
        <w:rPr>
          <w:rFonts w:ascii="Arial" w:hAnsi="Arial" w:cs="Arial"/>
          <w:sz w:val="18"/>
          <w:szCs w:val="16"/>
        </w:rPr>
        <w:tab/>
        <w:t xml:space="preserve">Instituto de Seguros Sociales </w:t>
      </w:r>
    </w:p>
    <w:p w:rsidR="00475C3F" w:rsidRPr="00A6220A" w:rsidRDefault="00475C3F" w:rsidP="00A6220A">
      <w:pPr>
        <w:rPr>
          <w:rFonts w:ascii="Arial" w:hAnsi="Arial" w:cs="Arial"/>
          <w:sz w:val="18"/>
          <w:szCs w:val="18"/>
          <w:u w:val="single"/>
        </w:rPr>
      </w:pPr>
      <w:r w:rsidRPr="00A6220A">
        <w:rPr>
          <w:rFonts w:ascii="Arial" w:hAnsi="Arial" w:cs="Arial"/>
          <w:bCs/>
          <w:iCs/>
          <w:sz w:val="18"/>
          <w:szCs w:val="18"/>
          <w:u w:val="single"/>
        </w:rPr>
        <w:t>Vinculado:</w:t>
      </w:r>
      <w:r w:rsidRPr="00A6220A">
        <w:rPr>
          <w:rFonts w:ascii="Arial" w:hAnsi="Arial" w:cs="Arial"/>
          <w:bCs/>
          <w:iCs/>
          <w:sz w:val="18"/>
          <w:szCs w:val="18"/>
        </w:rPr>
        <w:tab/>
      </w:r>
      <w:r w:rsidRPr="00A6220A">
        <w:rPr>
          <w:rFonts w:ascii="Arial" w:hAnsi="Arial" w:cs="Arial"/>
          <w:bCs/>
          <w:iCs/>
          <w:sz w:val="18"/>
          <w:szCs w:val="18"/>
        </w:rPr>
        <w:tab/>
      </w:r>
      <w:proofErr w:type="spellStart"/>
      <w:r w:rsidRPr="00A6220A">
        <w:rPr>
          <w:rFonts w:ascii="Arial" w:hAnsi="Arial" w:cs="Arial"/>
          <w:bCs/>
          <w:iCs/>
          <w:sz w:val="18"/>
          <w:szCs w:val="18"/>
        </w:rPr>
        <w:t>Fiduagraria</w:t>
      </w:r>
      <w:proofErr w:type="spellEnd"/>
      <w:r w:rsidRPr="00A6220A">
        <w:rPr>
          <w:rFonts w:ascii="Arial" w:hAnsi="Arial" w:cs="Arial"/>
          <w:bCs/>
          <w:iCs/>
          <w:sz w:val="18"/>
          <w:szCs w:val="18"/>
        </w:rPr>
        <w:t xml:space="preserve"> </w:t>
      </w:r>
      <w:proofErr w:type="spellStart"/>
      <w:r w:rsidRPr="00A6220A">
        <w:rPr>
          <w:rFonts w:ascii="Arial" w:hAnsi="Arial" w:cs="Arial"/>
          <w:bCs/>
          <w:iCs/>
          <w:sz w:val="18"/>
          <w:szCs w:val="18"/>
        </w:rPr>
        <w:t>S.A</w:t>
      </w:r>
      <w:proofErr w:type="spellEnd"/>
    </w:p>
    <w:p w:rsidR="00475C3F" w:rsidRPr="00A6220A" w:rsidRDefault="00475C3F" w:rsidP="00A6220A">
      <w:pPr>
        <w:rPr>
          <w:rFonts w:ascii="Arial" w:hAnsi="Arial" w:cs="Arial"/>
          <w:sz w:val="18"/>
          <w:szCs w:val="16"/>
        </w:rPr>
      </w:pPr>
      <w:r w:rsidRPr="00A6220A">
        <w:rPr>
          <w:rFonts w:ascii="Arial" w:hAnsi="Arial" w:cs="Arial"/>
          <w:sz w:val="18"/>
          <w:szCs w:val="16"/>
          <w:u w:val="single"/>
        </w:rPr>
        <w:t>Juzgado de Origen:</w:t>
      </w:r>
      <w:r w:rsidRPr="00A6220A">
        <w:rPr>
          <w:rFonts w:ascii="Arial" w:hAnsi="Arial" w:cs="Arial"/>
          <w:sz w:val="18"/>
          <w:szCs w:val="16"/>
        </w:rPr>
        <w:tab/>
        <w:t>Tercero Laboral del Circuito de Pereira</w:t>
      </w:r>
    </w:p>
    <w:p w:rsidR="00B93086" w:rsidRPr="00952C93" w:rsidRDefault="00B93086" w:rsidP="00BC1A6F">
      <w:pPr>
        <w:ind w:left="4950" w:hanging="2115"/>
        <w:jc w:val="both"/>
        <w:rPr>
          <w:rFonts w:ascii="Arial" w:hAnsi="Arial" w:cs="Arial"/>
          <w:b/>
          <w:sz w:val="16"/>
          <w:szCs w:val="16"/>
        </w:rPr>
      </w:pPr>
      <w:r w:rsidRPr="00952C93">
        <w:rPr>
          <w:rFonts w:ascii="Arial" w:hAnsi="Arial" w:cs="Arial"/>
          <w:b/>
          <w:sz w:val="16"/>
          <w:szCs w:val="16"/>
        </w:rPr>
        <w:t xml:space="preserve"> </w:t>
      </w:r>
    </w:p>
    <w:p w:rsidR="004205A2" w:rsidRDefault="004205A2" w:rsidP="00296D4A">
      <w:pPr>
        <w:pStyle w:val="Prrafodelista"/>
        <w:spacing w:after="0" w:line="240" w:lineRule="auto"/>
        <w:ind w:left="4950" w:hanging="2115"/>
        <w:jc w:val="both"/>
        <w:rPr>
          <w:rFonts w:ascii="Arial" w:hAnsi="Arial" w:cs="Arial"/>
          <w:b/>
          <w:bCs/>
          <w:sz w:val="16"/>
          <w:szCs w:val="16"/>
          <w:u w:val="single"/>
        </w:rPr>
      </w:pPr>
    </w:p>
    <w:p w:rsidR="009F320F" w:rsidRPr="004A5F44" w:rsidRDefault="00A6220A" w:rsidP="008B6A51">
      <w:pPr>
        <w:jc w:val="both"/>
        <w:rPr>
          <w:rFonts w:ascii="Arial" w:hAnsi="Arial" w:cs="Arial"/>
          <w:b/>
          <w:sz w:val="22"/>
          <w:szCs w:val="22"/>
        </w:rPr>
      </w:pPr>
      <w:r w:rsidRPr="008B6A51">
        <w:rPr>
          <w:rFonts w:ascii="Arial" w:hAnsi="Arial" w:cs="Arial"/>
          <w:b/>
          <w:bCs/>
          <w:sz w:val="22"/>
          <w:szCs w:val="22"/>
          <w:u w:val="single"/>
        </w:rPr>
        <w:t>TEMAS</w:t>
      </w:r>
      <w:r w:rsidRPr="008B6A51">
        <w:rPr>
          <w:rFonts w:ascii="Arial" w:hAnsi="Arial" w:cs="Arial"/>
          <w:b/>
          <w:bCs/>
          <w:sz w:val="22"/>
          <w:szCs w:val="22"/>
        </w:rPr>
        <w:t xml:space="preserve">: </w:t>
      </w:r>
      <w:r w:rsidRPr="008B6A51">
        <w:rPr>
          <w:rFonts w:ascii="Arial" w:hAnsi="Arial" w:cs="Arial"/>
          <w:b/>
          <w:bCs/>
          <w:sz w:val="22"/>
          <w:szCs w:val="22"/>
        </w:rPr>
        <w:tab/>
      </w:r>
      <w:r w:rsidRPr="008B6A51">
        <w:rPr>
          <w:rFonts w:ascii="Arial" w:hAnsi="Arial" w:cs="Arial"/>
          <w:b/>
          <w:bCs/>
          <w:sz w:val="22"/>
          <w:szCs w:val="22"/>
        </w:rPr>
        <w:tab/>
      </w:r>
      <w:r w:rsidR="009F320F" w:rsidRPr="008B6A51">
        <w:rPr>
          <w:rFonts w:ascii="Arial" w:hAnsi="Arial" w:cs="Arial"/>
          <w:b/>
          <w:sz w:val="22"/>
          <w:szCs w:val="22"/>
        </w:rPr>
        <w:t xml:space="preserve">CONTRATO </w:t>
      </w:r>
      <w:r w:rsidR="00730E58" w:rsidRPr="008B6A51">
        <w:rPr>
          <w:rFonts w:ascii="Arial" w:hAnsi="Arial" w:cs="Arial"/>
          <w:b/>
          <w:sz w:val="22"/>
          <w:szCs w:val="22"/>
        </w:rPr>
        <w:t>DE TRABAJO –</w:t>
      </w:r>
      <w:proofErr w:type="spellStart"/>
      <w:r w:rsidR="009F320F" w:rsidRPr="008B6A51">
        <w:rPr>
          <w:rFonts w:ascii="Arial" w:hAnsi="Arial" w:cs="Arial"/>
          <w:b/>
          <w:sz w:val="22"/>
          <w:szCs w:val="22"/>
        </w:rPr>
        <w:t>ISS</w:t>
      </w:r>
      <w:proofErr w:type="spellEnd"/>
      <w:r w:rsidR="00730E58" w:rsidRPr="008B6A51">
        <w:rPr>
          <w:rFonts w:ascii="Arial" w:hAnsi="Arial" w:cs="Arial"/>
          <w:b/>
          <w:sz w:val="22"/>
          <w:szCs w:val="22"/>
        </w:rPr>
        <w:t>-</w:t>
      </w:r>
      <w:r w:rsidR="009F320F" w:rsidRPr="008B6A51">
        <w:rPr>
          <w:rFonts w:ascii="Arial" w:hAnsi="Arial" w:cs="Arial"/>
          <w:b/>
          <w:sz w:val="22"/>
          <w:szCs w:val="22"/>
        </w:rPr>
        <w:t xml:space="preserve"> /</w:t>
      </w:r>
      <w:r w:rsidR="00730E58" w:rsidRPr="008B6A51">
        <w:rPr>
          <w:rFonts w:ascii="Arial" w:hAnsi="Arial" w:cs="Arial"/>
          <w:b/>
          <w:sz w:val="22"/>
          <w:szCs w:val="22"/>
        </w:rPr>
        <w:t xml:space="preserve"> </w:t>
      </w:r>
      <w:r w:rsidR="009F320F" w:rsidRPr="008B6A51">
        <w:rPr>
          <w:rFonts w:ascii="Arial" w:hAnsi="Arial" w:cs="Arial"/>
          <w:b/>
          <w:sz w:val="22"/>
          <w:szCs w:val="22"/>
        </w:rPr>
        <w:t xml:space="preserve">ELEMENTOS/ </w:t>
      </w:r>
      <w:r w:rsidR="00730E58" w:rsidRPr="008B6A51">
        <w:rPr>
          <w:rFonts w:ascii="Arial" w:hAnsi="Arial" w:cs="Arial"/>
          <w:b/>
          <w:sz w:val="22"/>
          <w:szCs w:val="22"/>
        </w:rPr>
        <w:t>PRINCIPIO D</w:t>
      </w:r>
      <w:r w:rsidR="00EC263F">
        <w:rPr>
          <w:rFonts w:ascii="Arial" w:hAnsi="Arial" w:cs="Arial"/>
          <w:b/>
          <w:sz w:val="22"/>
          <w:szCs w:val="22"/>
        </w:rPr>
        <w:t>E LA PRIMACÍA REALIDAD</w:t>
      </w:r>
      <w:r w:rsidR="00730E58" w:rsidRPr="008B6A51">
        <w:rPr>
          <w:rFonts w:ascii="Arial" w:hAnsi="Arial" w:cs="Arial"/>
          <w:b/>
          <w:sz w:val="22"/>
          <w:szCs w:val="22"/>
        </w:rPr>
        <w:t xml:space="preserve">/ </w:t>
      </w:r>
      <w:r w:rsidR="00EC263F">
        <w:rPr>
          <w:rFonts w:ascii="Arial" w:hAnsi="Arial" w:cs="Arial"/>
          <w:b/>
          <w:sz w:val="22"/>
          <w:szCs w:val="22"/>
        </w:rPr>
        <w:t xml:space="preserve">TRABAJADOR </w:t>
      </w:r>
      <w:r w:rsidR="009F320F" w:rsidRPr="008B6A51">
        <w:rPr>
          <w:rFonts w:ascii="Arial" w:hAnsi="Arial" w:cs="Arial"/>
          <w:b/>
          <w:sz w:val="22"/>
          <w:szCs w:val="22"/>
        </w:rPr>
        <w:t xml:space="preserve">OFICIAL/ </w:t>
      </w:r>
      <w:r w:rsidR="009F320F" w:rsidRPr="008B6A51">
        <w:rPr>
          <w:rFonts w:ascii="Arial" w:hAnsi="Arial" w:cs="Arial"/>
          <w:b/>
          <w:bCs/>
          <w:sz w:val="22"/>
          <w:szCs w:val="22"/>
        </w:rPr>
        <w:t xml:space="preserve">CONVENCIÓN COLECTIVA </w:t>
      </w:r>
      <w:r w:rsidR="002678B2" w:rsidRPr="008B6A51">
        <w:rPr>
          <w:rFonts w:ascii="Arial" w:hAnsi="Arial" w:cs="Arial"/>
          <w:b/>
          <w:bCs/>
          <w:sz w:val="22"/>
          <w:szCs w:val="22"/>
        </w:rPr>
        <w:t>–</w:t>
      </w:r>
      <w:r w:rsidR="009F320F" w:rsidRPr="008B6A51">
        <w:rPr>
          <w:rFonts w:ascii="Arial" w:hAnsi="Arial" w:cs="Arial"/>
          <w:b/>
          <w:bCs/>
          <w:sz w:val="22"/>
          <w:szCs w:val="22"/>
        </w:rPr>
        <w:t xml:space="preserve"> </w:t>
      </w:r>
      <w:r w:rsidR="002678B2" w:rsidRPr="008B6A51">
        <w:rPr>
          <w:rFonts w:ascii="Arial" w:hAnsi="Arial" w:cs="Arial"/>
          <w:b/>
          <w:bCs/>
          <w:sz w:val="22"/>
          <w:szCs w:val="22"/>
        </w:rPr>
        <w:t>PAGO ACREENCIAS LABORALES/</w:t>
      </w:r>
      <w:r w:rsidR="004A5F44">
        <w:rPr>
          <w:rFonts w:ascii="Arial" w:hAnsi="Arial" w:cs="Arial"/>
          <w:b/>
          <w:bCs/>
          <w:sz w:val="22"/>
          <w:szCs w:val="22"/>
        </w:rPr>
        <w:t xml:space="preserve"> </w:t>
      </w:r>
      <w:r w:rsidR="004A5F44" w:rsidRPr="004A5F44">
        <w:rPr>
          <w:rFonts w:ascii="Arial" w:hAnsi="Arial" w:cs="Arial"/>
          <w:b/>
          <w:sz w:val="22"/>
          <w:szCs w:val="22"/>
        </w:rPr>
        <w:t xml:space="preserve">SANCIÓN POR </w:t>
      </w:r>
      <w:r w:rsidR="004A5F44">
        <w:rPr>
          <w:rFonts w:ascii="Arial" w:hAnsi="Arial" w:cs="Arial"/>
          <w:b/>
          <w:sz w:val="22"/>
          <w:szCs w:val="22"/>
        </w:rPr>
        <w:t xml:space="preserve">NO CONSIGNACIÓN DE CESANTÍAS </w:t>
      </w:r>
      <w:r w:rsidR="004A5F44" w:rsidRPr="004A5F44">
        <w:rPr>
          <w:rFonts w:ascii="Arial" w:hAnsi="Arial" w:cs="Arial"/>
          <w:b/>
          <w:sz w:val="22"/>
          <w:szCs w:val="22"/>
        </w:rPr>
        <w:t>MODIFICA PARCIALMENTE</w:t>
      </w:r>
      <w:r w:rsidR="004A5F44">
        <w:rPr>
          <w:rFonts w:ascii="Arial" w:hAnsi="Arial" w:cs="Arial"/>
          <w:b/>
          <w:sz w:val="22"/>
          <w:szCs w:val="22"/>
        </w:rPr>
        <w:t>.</w:t>
      </w:r>
      <w:r w:rsidR="004A5F44" w:rsidRPr="004A5F44">
        <w:rPr>
          <w:rFonts w:ascii="Arial" w:hAnsi="Arial" w:cs="Arial"/>
          <w:b/>
          <w:sz w:val="22"/>
          <w:szCs w:val="22"/>
        </w:rPr>
        <w:t xml:space="preserve"> </w:t>
      </w:r>
    </w:p>
    <w:p w:rsidR="009F320F" w:rsidRDefault="009F320F" w:rsidP="008B6A51">
      <w:pPr>
        <w:jc w:val="both"/>
        <w:rPr>
          <w:rFonts w:ascii="Arial" w:hAnsi="Arial" w:cs="Arial"/>
          <w:b/>
          <w:sz w:val="22"/>
          <w:szCs w:val="22"/>
        </w:rPr>
      </w:pPr>
    </w:p>
    <w:p w:rsidR="002678B2" w:rsidRPr="008B6A51" w:rsidRDefault="002678B2" w:rsidP="008B6A51">
      <w:pPr>
        <w:autoSpaceDE w:val="0"/>
        <w:autoSpaceDN w:val="0"/>
        <w:adjustRightInd w:val="0"/>
        <w:jc w:val="both"/>
        <w:rPr>
          <w:rFonts w:ascii="Arial" w:hAnsi="Arial" w:cs="Arial"/>
          <w:sz w:val="22"/>
          <w:szCs w:val="22"/>
        </w:rPr>
      </w:pPr>
      <w:bookmarkStart w:id="0" w:name="_GoBack"/>
      <w:bookmarkEnd w:id="0"/>
      <w:r w:rsidRPr="008B6A51">
        <w:rPr>
          <w:rFonts w:ascii="Arial" w:hAnsi="Arial" w:cs="Arial"/>
          <w:sz w:val="22"/>
          <w:szCs w:val="22"/>
        </w:rPr>
        <w:t xml:space="preserve">Entonces, dada la naturaleza jurídica del </w:t>
      </w:r>
      <w:proofErr w:type="spellStart"/>
      <w:r w:rsidRPr="008B6A51">
        <w:rPr>
          <w:rFonts w:ascii="Arial" w:hAnsi="Arial" w:cs="Arial"/>
          <w:sz w:val="22"/>
          <w:szCs w:val="22"/>
        </w:rPr>
        <w:t>ISS</w:t>
      </w:r>
      <w:proofErr w:type="spellEnd"/>
      <w:r w:rsidRPr="008B6A51">
        <w:rPr>
          <w:rFonts w:ascii="Arial" w:hAnsi="Arial" w:cs="Arial"/>
          <w:sz w:val="22"/>
          <w:szCs w:val="22"/>
        </w:rPr>
        <w:t xml:space="preserve">, de empresa industrial y comercial del estado, según el artículo 275 de la Ley 100 de 1993; la calidad de sus trabajadores es oficial de conformidad con el artículo 5 del Decreto 3135 de 1968, condición que debió ostentar el señor Gómez Dávila. </w:t>
      </w:r>
    </w:p>
    <w:p w:rsidR="002678B2" w:rsidRPr="008B6A51" w:rsidRDefault="002678B2" w:rsidP="008B6A51">
      <w:pPr>
        <w:autoSpaceDE w:val="0"/>
        <w:autoSpaceDN w:val="0"/>
        <w:adjustRightInd w:val="0"/>
        <w:jc w:val="both"/>
        <w:rPr>
          <w:rFonts w:ascii="Arial" w:hAnsi="Arial" w:cs="Arial"/>
          <w:sz w:val="22"/>
          <w:szCs w:val="22"/>
        </w:rPr>
      </w:pPr>
    </w:p>
    <w:p w:rsidR="00730E58" w:rsidRPr="008B6A51" w:rsidRDefault="00730E58" w:rsidP="008B6A51">
      <w:pPr>
        <w:autoSpaceDE w:val="0"/>
        <w:autoSpaceDN w:val="0"/>
        <w:adjustRightInd w:val="0"/>
        <w:jc w:val="both"/>
        <w:rPr>
          <w:rFonts w:ascii="Arial" w:hAnsi="Arial" w:cs="Arial"/>
          <w:sz w:val="22"/>
          <w:szCs w:val="22"/>
        </w:rPr>
      </w:pPr>
      <w:r w:rsidRPr="008B6A51">
        <w:rPr>
          <w:rFonts w:ascii="Arial" w:hAnsi="Arial" w:cs="Arial"/>
          <w:sz w:val="22"/>
          <w:szCs w:val="22"/>
        </w:rPr>
        <w:t xml:space="preserve">Por lo anterior, la jueza acertó al declarar la existencia de dos contratos de trabajo entre el señor Andrés Felipe Gómez Dávila y el </w:t>
      </w:r>
      <w:proofErr w:type="spellStart"/>
      <w:r w:rsidRPr="008B6A51">
        <w:rPr>
          <w:rFonts w:ascii="Arial" w:hAnsi="Arial" w:cs="Arial"/>
          <w:sz w:val="22"/>
          <w:szCs w:val="22"/>
        </w:rPr>
        <w:t>ISS</w:t>
      </w:r>
      <w:proofErr w:type="spellEnd"/>
      <w:r w:rsidRPr="008B6A51">
        <w:rPr>
          <w:rFonts w:ascii="Arial" w:hAnsi="Arial" w:cs="Arial"/>
          <w:sz w:val="22"/>
          <w:szCs w:val="22"/>
        </w:rPr>
        <w:t xml:space="preserve"> y de hecho la clasificación del actor como trabajador oficial. </w:t>
      </w:r>
    </w:p>
    <w:p w:rsidR="00730E58" w:rsidRPr="008B6A51" w:rsidRDefault="00730E58" w:rsidP="008B6A51">
      <w:pPr>
        <w:jc w:val="both"/>
        <w:rPr>
          <w:rFonts w:ascii="Arial" w:hAnsi="Arial" w:cs="Arial"/>
          <w:b/>
          <w:sz w:val="22"/>
          <w:szCs w:val="22"/>
        </w:rPr>
      </w:pPr>
      <w:r w:rsidRPr="008B6A51">
        <w:rPr>
          <w:rFonts w:ascii="Arial" w:hAnsi="Arial" w:cs="Arial"/>
          <w:b/>
          <w:sz w:val="22"/>
          <w:szCs w:val="22"/>
        </w:rPr>
        <w:t>(…)</w:t>
      </w:r>
    </w:p>
    <w:p w:rsidR="00730E58" w:rsidRPr="008B6A51" w:rsidRDefault="00730E58" w:rsidP="008B6A51">
      <w:pPr>
        <w:jc w:val="both"/>
        <w:rPr>
          <w:rFonts w:ascii="Arial" w:hAnsi="Arial" w:cs="Arial"/>
          <w:b/>
          <w:sz w:val="22"/>
          <w:szCs w:val="22"/>
        </w:rPr>
      </w:pPr>
      <w:r w:rsidRPr="008B6A51">
        <w:rPr>
          <w:rFonts w:ascii="Arial" w:hAnsi="Arial" w:cs="Arial"/>
          <w:sz w:val="22"/>
          <w:szCs w:val="22"/>
        </w:rPr>
        <w:t xml:space="preserve">Se probó que el </w:t>
      </w:r>
      <w:proofErr w:type="spellStart"/>
      <w:r w:rsidRPr="008B6A51">
        <w:rPr>
          <w:rFonts w:ascii="Arial" w:hAnsi="Arial" w:cs="Arial"/>
          <w:sz w:val="22"/>
          <w:szCs w:val="22"/>
        </w:rPr>
        <w:t>ISS</w:t>
      </w:r>
      <w:proofErr w:type="spellEnd"/>
      <w:r w:rsidRPr="008B6A51">
        <w:rPr>
          <w:rFonts w:ascii="Arial" w:hAnsi="Arial" w:cs="Arial"/>
          <w:sz w:val="22"/>
          <w:szCs w:val="22"/>
        </w:rPr>
        <w:t xml:space="preserve"> y el sindicato de esta entidad celebraron convención colectiva el 31-10-2001, que cuenta con nota de depósito de fecha 31-10.-2001(</w:t>
      </w:r>
      <w:proofErr w:type="spellStart"/>
      <w:r w:rsidRPr="008B6A51">
        <w:rPr>
          <w:rFonts w:ascii="Arial" w:hAnsi="Arial" w:cs="Arial"/>
          <w:sz w:val="22"/>
          <w:szCs w:val="22"/>
        </w:rPr>
        <w:t>fl</w:t>
      </w:r>
      <w:proofErr w:type="spellEnd"/>
      <w:r w:rsidRPr="008B6A51">
        <w:rPr>
          <w:rFonts w:ascii="Arial" w:hAnsi="Arial" w:cs="Arial"/>
          <w:sz w:val="22"/>
          <w:szCs w:val="22"/>
        </w:rPr>
        <w:t>. 35 a 108, ND 97); que se encontraba vigente según certificado del 08-02-2010 (fl.96), a pesar de la denuncia parcial de la misma realizada por el empleador el 28-10-2004 (</w:t>
      </w:r>
      <w:proofErr w:type="spellStart"/>
      <w:r w:rsidRPr="008B6A51">
        <w:rPr>
          <w:rFonts w:ascii="Arial" w:hAnsi="Arial" w:cs="Arial"/>
          <w:sz w:val="22"/>
          <w:szCs w:val="22"/>
        </w:rPr>
        <w:t>fl</w:t>
      </w:r>
      <w:proofErr w:type="spellEnd"/>
      <w:r w:rsidRPr="008B6A51">
        <w:rPr>
          <w:rFonts w:ascii="Arial" w:hAnsi="Arial" w:cs="Arial"/>
          <w:sz w:val="22"/>
          <w:szCs w:val="22"/>
        </w:rPr>
        <w:t>. 74 c. 2), en tanto que este no puede suscitar un conflicto colectivo de trabajo, pues está vedado para los empleadores presentar pliegos de peticiones con el propósito de culminar con una convención vigente o con fallo de tribunal de arbitramento alguno</w:t>
      </w:r>
      <w:r w:rsidRPr="008B6A51">
        <w:rPr>
          <w:rStyle w:val="Refdenotaalpie"/>
          <w:rFonts w:ascii="Arial" w:hAnsi="Arial" w:cs="Arial"/>
          <w:sz w:val="22"/>
          <w:szCs w:val="22"/>
        </w:rPr>
        <w:footnoteReference w:id="1"/>
      </w:r>
      <w:r w:rsidRPr="008B6A51">
        <w:rPr>
          <w:rFonts w:ascii="Arial" w:hAnsi="Arial" w:cs="Arial"/>
          <w:sz w:val="22"/>
          <w:szCs w:val="22"/>
        </w:rPr>
        <w:t xml:space="preserve">; igual el demandante es beneficiario de ella conforme al artículo 3 en concordancia artículo 471 del </w:t>
      </w:r>
      <w:proofErr w:type="spellStart"/>
      <w:r w:rsidRPr="008B6A51">
        <w:rPr>
          <w:rFonts w:ascii="Arial" w:hAnsi="Arial" w:cs="Arial"/>
          <w:sz w:val="22"/>
          <w:szCs w:val="22"/>
        </w:rPr>
        <w:t>CST</w:t>
      </w:r>
      <w:proofErr w:type="spellEnd"/>
      <w:r w:rsidRPr="008B6A51">
        <w:rPr>
          <w:rFonts w:ascii="Arial" w:hAnsi="Arial" w:cs="Arial"/>
          <w:sz w:val="22"/>
          <w:szCs w:val="22"/>
        </w:rPr>
        <w:t xml:space="preserve"> al ser el sindicato del </w:t>
      </w:r>
      <w:proofErr w:type="spellStart"/>
      <w:r w:rsidRPr="008B6A51">
        <w:rPr>
          <w:rFonts w:ascii="Arial" w:hAnsi="Arial" w:cs="Arial"/>
          <w:sz w:val="22"/>
          <w:szCs w:val="22"/>
        </w:rPr>
        <w:t>ISS</w:t>
      </w:r>
      <w:proofErr w:type="spellEnd"/>
      <w:r w:rsidRPr="008B6A51">
        <w:rPr>
          <w:rFonts w:ascii="Arial" w:hAnsi="Arial" w:cs="Arial"/>
          <w:sz w:val="22"/>
          <w:szCs w:val="22"/>
        </w:rPr>
        <w:t xml:space="preserve"> mayoritario como se deja constando en la convención, por lo que esta se hace extensiva a todos los trabajadores</w:t>
      </w:r>
    </w:p>
    <w:p w:rsidR="00730E58" w:rsidRPr="008B6A51" w:rsidRDefault="00730E58" w:rsidP="008B6A51">
      <w:pPr>
        <w:jc w:val="both"/>
        <w:rPr>
          <w:rFonts w:ascii="Arial" w:hAnsi="Arial" w:cs="Arial"/>
          <w:b/>
          <w:sz w:val="22"/>
          <w:szCs w:val="22"/>
        </w:rPr>
      </w:pPr>
      <w:r w:rsidRPr="008B6A51">
        <w:rPr>
          <w:rFonts w:ascii="Arial" w:hAnsi="Arial" w:cs="Arial"/>
          <w:b/>
          <w:sz w:val="22"/>
          <w:szCs w:val="22"/>
        </w:rPr>
        <w:t>(…)</w:t>
      </w:r>
    </w:p>
    <w:p w:rsidR="0057301B" w:rsidRPr="008B6A51" w:rsidRDefault="008B6A51" w:rsidP="008B6A51">
      <w:pPr>
        <w:jc w:val="both"/>
        <w:rPr>
          <w:rFonts w:ascii="Arial" w:hAnsi="Arial" w:cs="Arial"/>
          <w:b/>
          <w:sz w:val="22"/>
          <w:szCs w:val="22"/>
        </w:rPr>
      </w:pPr>
      <w:r w:rsidRPr="008B6A51">
        <w:rPr>
          <w:rFonts w:ascii="Arial" w:hAnsi="Arial" w:cs="Arial"/>
          <w:color w:val="000000"/>
          <w:sz w:val="22"/>
          <w:szCs w:val="22"/>
          <w:lang w:eastAsia="es-CO"/>
        </w:rPr>
        <w:t>A</w:t>
      </w:r>
      <w:r w:rsidR="0057301B" w:rsidRPr="008B6A51">
        <w:rPr>
          <w:rFonts w:ascii="Arial" w:hAnsi="Arial" w:cs="Arial"/>
          <w:color w:val="000000"/>
          <w:sz w:val="22"/>
          <w:szCs w:val="22"/>
          <w:lang w:eastAsia="es-CO"/>
        </w:rPr>
        <w:t xml:space="preserve"> folios 31 a 35 se evidencia que el señor Gómez Dávila, realizó los aportes al sistema de seguridad social mediante las planillas asistidas, razón por la cual tiene derecho a que se le reintegre el porcentaje correspondiente al 12% en pensión y el </w:t>
      </w:r>
      <w:r w:rsidR="0057301B" w:rsidRPr="008B6A51">
        <w:rPr>
          <w:rFonts w:ascii="Arial" w:hAnsi="Arial" w:cs="Arial"/>
          <w:sz w:val="22"/>
          <w:szCs w:val="22"/>
        </w:rPr>
        <w:t>8.5% en salud que hubiera efectuado y el cual no era de su carga</w:t>
      </w:r>
      <w:r w:rsidR="0057301B" w:rsidRPr="008B6A51">
        <w:rPr>
          <w:rFonts w:ascii="Arial" w:hAnsi="Arial" w:cs="Arial"/>
          <w:color w:val="000000"/>
          <w:sz w:val="22"/>
          <w:szCs w:val="22"/>
          <w:lang w:eastAsia="es-CO"/>
        </w:rPr>
        <w:t>, teniendo en cuenta que el trabajador solo le compete asumir el 4% en cada caso</w:t>
      </w:r>
      <w:r w:rsidR="0057301B" w:rsidRPr="008B6A51">
        <w:rPr>
          <w:rFonts w:ascii="Arial" w:hAnsi="Arial" w:cs="Arial"/>
          <w:sz w:val="22"/>
          <w:szCs w:val="22"/>
        </w:rPr>
        <w:t>, por lo que acierta la Jueza de instancia en hacer la devolución de los porcentajes asumidos por el actor, estando inconforme el demandante con el valor reconocido, que debe ser superior, en lo que acierta el recurrente, por lo que se modificará el numeral 3º,</w:t>
      </w:r>
    </w:p>
    <w:p w:rsidR="009F320F" w:rsidRPr="008B6A51" w:rsidRDefault="0057301B" w:rsidP="008B6A51">
      <w:pPr>
        <w:jc w:val="both"/>
        <w:rPr>
          <w:rFonts w:ascii="Arial" w:hAnsi="Arial" w:cs="Arial"/>
          <w:b/>
          <w:sz w:val="22"/>
          <w:szCs w:val="22"/>
        </w:rPr>
      </w:pPr>
      <w:r w:rsidRPr="008B6A51">
        <w:rPr>
          <w:rFonts w:ascii="Arial" w:hAnsi="Arial" w:cs="Arial"/>
          <w:b/>
          <w:sz w:val="22"/>
          <w:szCs w:val="22"/>
        </w:rPr>
        <w:t>(…)</w:t>
      </w:r>
    </w:p>
    <w:p w:rsidR="0057301B" w:rsidRPr="008B6A51" w:rsidRDefault="0057301B" w:rsidP="008B6A51">
      <w:pPr>
        <w:pStyle w:val="Textoindependiente22"/>
        <w:spacing w:line="240" w:lineRule="auto"/>
        <w:rPr>
          <w:rFonts w:cs="Arial"/>
          <w:b w:val="0"/>
          <w:sz w:val="22"/>
          <w:szCs w:val="22"/>
        </w:rPr>
      </w:pPr>
      <w:r w:rsidRPr="008B6A51">
        <w:rPr>
          <w:rFonts w:cs="Arial"/>
          <w:b w:val="0"/>
          <w:sz w:val="22"/>
          <w:szCs w:val="22"/>
        </w:rPr>
        <w:t xml:space="preserve">Sea necesario advertir que el artículo 13 de la Ley 344 de 1996 estableció el régimen de cesantías para trabajadores oficiales y en ella no se contempló ninguna sanción, tampoco se fijó en el Decreto 1582 de 1998 para las entidades descentralizadas por servicios del orden nacional, por lo que no existe en el ordenamiento legal una sanción por la no consignación de cesantías para este tipo de entidades estatales, pues la Ley 50 de 1990 que sí la contempla, reglamenta el régimen para trabajadores particulares (sector privado) y debido a la naturaleza sancionatoria no es posible aplicarla por analogía. </w:t>
      </w:r>
    </w:p>
    <w:p w:rsidR="0057301B" w:rsidRPr="008B6A51" w:rsidRDefault="0057301B" w:rsidP="008B6A51">
      <w:pPr>
        <w:pStyle w:val="Textoindependiente22"/>
        <w:spacing w:line="240" w:lineRule="auto"/>
        <w:rPr>
          <w:rFonts w:cs="Arial"/>
          <w:b w:val="0"/>
          <w:sz w:val="22"/>
          <w:szCs w:val="22"/>
        </w:rPr>
      </w:pPr>
      <w:r w:rsidRPr="008B6A51">
        <w:rPr>
          <w:rFonts w:cs="Arial"/>
          <w:b w:val="0"/>
          <w:sz w:val="22"/>
          <w:szCs w:val="22"/>
        </w:rPr>
        <w:t>(…)</w:t>
      </w:r>
    </w:p>
    <w:p w:rsidR="0057301B" w:rsidRPr="008B6A51" w:rsidRDefault="0057301B" w:rsidP="008B6A51">
      <w:pPr>
        <w:autoSpaceDE w:val="0"/>
        <w:autoSpaceDN w:val="0"/>
        <w:adjustRightInd w:val="0"/>
        <w:jc w:val="both"/>
        <w:rPr>
          <w:rFonts w:ascii="Arial" w:hAnsi="Arial" w:cs="Arial"/>
          <w:sz w:val="22"/>
          <w:szCs w:val="22"/>
        </w:rPr>
      </w:pPr>
      <w:r w:rsidRPr="008B6A51">
        <w:rPr>
          <w:rFonts w:ascii="Arial" w:hAnsi="Arial" w:cs="Arial"/>
          <w:sz w:val="22"/>
          <w:szCs w:val="22"/>
        </w:rPr>
        <w:t xml:space="preserve">En el caso en concreto resultó evidente que el </w:t>
      </w:r>
      <w:proofErr w:type="spellStart"/>
      <w:r w:rsidRPr="008B6A51">
        <w:rPr>
          <w:rFonts w:ascii="Arial" w:hAnsi="Arial" w:cs="Arial"/>
          <w:sz w:val="22"/>
          <w:szCs w:val="22"/>
        </w:rPr>
        <w:t>ISS</w:t>
      </w:r>
      <w:proofErr w:type="spellEnd"/>
      <w:r w:rsidRPr="008B6A51">
        <w:rPr>
          <w:rFonts w:ascii="Arial" w:hAnsi="Arial" w:cs="Arial"/>
          <w:sz w:val="22"/>
          <w:szCs w:val="22"/>
        </w:rPr>
        <w:t xml:space="preserve"> disfrazó la relación laboral existente con el señor Gómez Dávila con unos contratos de prestación de servicios, para desarrollar funciones propias de un empleado oficial y que fueron ejecutadas de manera </w:t>
      </w:r>
      <w:r w:rsidRPr="008B6A51">
        <w:rPr>
          <w:rFonts w:ascii="Arial" w:hAnsi="Arial" w:cs="Arial"/>
          <w:sz w:val="22"/>
          <w:szCs w:val="22"/>
        </w:rPr>
        <w:lastRenderedPageBreak/>
        <w:t>ininterrumpida, bajo la dependencia y subordinación de la jefe de pensiones de la entidad demandada; todo ello con el fin de eludir sus obligaciones legales y convencionales.</w:t>
      </w:r>
    </w:p>
    <w:p w:rsidR="0057301B" w:rsidRPr="008B6A51" w:rsidRDefault="0057301B" w:rsidP="008B6A51">
      <w:pPr>
        <w:autoSpaceDE w:val="0"/>
        <w:autoSpaceDN w:val="0"/>
        <w:adjustRightInd w:val="0"/>
        <w:jc w:val="both"/>
        <w:rPr>
          <w:rFonts w:ascii="Arial" w:hAnsi="Arial" w:cs="Arial"/>
          <w:sz w:val="22"/>
          <w:szCs w:val="22"/>
        </w:rPr>
      </w:pPr>
    </w:p>
    <w:p w:rsidR="0057301B" w:rsidRPr="008B6A51" w:rsidRDefault="0057301B" w:rsidP="008B6A51">
      <w:pPr>
        <w:tabs>
          <w:tab w:val="left" w:pos="8647"/>
          <w:tab w:val="left" w:pos="9356"/>
        </w:tabs>
        <w:jc w:val="both"/>
        <w:rPr>
          <w:rFonts w:ascii="Arial" w:hAnsi="Arial" w:cs="Arial"/>
          <w:sz w:val="22"/>
          <w:szCs w:val="22"/>
        </w:rPr>
      </w:pPr>
      <w:r w:rsidRPr="008B6A51">
        <w:rPr>
          <w:rFonts w:ascii="Arial" w:hAnsi="Arial" w:cs="Arial"/>
          <w:sz w:val="22"/>
          <w:szCs w:val="22"/>
        </w:rPr>
        <w:t xml:space="preserve">Por tal razón y atendiendo los 90 días que de gracia tienen las entidades públicas para pagar las acreencias laborales y que estos se cuentan una vez se termina el vínculo laboral; que en el asunto en concreto para el primer contrato  fue el 30-04-2010, que debía correr hasta su pago, pero como la Jueza de instancia tuvo bien liquidar por esta sanción  hasta el 14 de febrero de 2011, $5.221.995, sin que fuera objeto de apelación, se mantendrá la condena. </w:t>
      </w:r>
    </w:p>
    <w:p w:rsidR="0057301B" w:rsidRPr="008B6A51" w:rsidRDefault="0057301B" w:rsidP="008B6A51">
      <w:pPr>
        <w:tabs>
          <w:tab w:val="left" w:pos="8647"/>
          <w:tab w:val="left" w:pos="9356"/>
        </w:tabs>
        <w:jc w:val="both"/>
        <w:rPr>
          <w:rFonts w:ascii="Arial" w:hAnsi="Arial" w:cs="Arial"/>
          <w:sz w:val="22"/>
          <w:szCs w:val="22"/>
        </w:rPr>
      </w:pPr>
    </w:p>
    <w:p w:rsidR="0057301B" w:rsidRPr="008B6A51" w:rsidRDefault="0057301B" w:rsidP="008B6A51">
      <w:pPr>
        <w:tabs>
          <w:tab w:val="left" w:pos="8647"/>
          <w:tab w:val="left" w:pos="9356"/>
        </w:tabs>
        <w:jc w:val="both"/>
        <w:rPr>
          <w:rFonts w:ascii="Arial" w:hAnsi="Arial" w:cs="Arial"/>
          <w:sz w:val="22"/>
          <w:szCs w:val="22"/>
        </w:rPr>
      </w:pPr>
      <w:r w:rsidRPr="008B6A51">
        <w:rPr>
          <w:rFonts w:ascii="Arial" w:hAnsi="Arial" w:cs="Arial"/>
          <w:sz w:val="22"/>
          <w:szCs w:val="22"/>
        </w:rPr>
        <w:t xml:space="preserve">Para el segundo contrato, la sanción moratoria va desde el 31/10/2011, pero no se puede extender más allá de la liquidación del </w:t>
      </w:r>
      <w:proofErr w:type="spellStart"/>
      <w:r w:rsidRPr="008B6A51">
        <w:rPr>
          <w:rFonts w:ascii="Arial" w:hAnsi="Arial" w:cs="Arial"/>
          <w:sz w:val="22"/>
          <w:szCs w:val="22"/>
        </w:rPr>
        <w:t>ISS</w:t>
      </w:r>
      <w:proofErr w:type="spellEnd"/>
      <w:r w:rsidRPr="008B6A51">
        <w:rPr>
          <w:rFonts w:ascii="Arial" w:hAnsi="Arial" w:cs="Arial"/>
          <w:sz w:val="22"/>
          <w:szCs w:val="22"/>
        </w:rPr>
        <w:t xml:space="preserve">, por lo que se debe tener como fecha para concretarla hasta el 28/09/2012, en la cual se expidió el Decreto 2013 del mismo año; esto al compartirse la tesis sentada por la Corte Suprema de Justicia en sentencia </w:t>
      </w:r>
      <w:proofErr w:type="spellStart"/>
      <w:r w:rsidRPr="008B6A51">
        <w:rPr>
          <w:rFonts w:ascii="Arial" w:hAnsi="Arial" w:cs="Arial"/>
          <w:sz w:val="22"/>
          <w:szCs w:val="22"/>
        </w:rPr>
        <w:t>SL</w:t>
      </w:r>
      <w:proofErr w:type="spellEnd"/>
      <w:r w:rsidRPr="008B6A51">
        <w:rPr>
          <w:rFonts w:ascii="Arial" w:hAnsi="Arial" w:cs="Arial"/>
          <w:sz w:val="22"/>
          <w:szCs w:val="22"/>
        </w:rPr>
        <w:t xml:space="preserve"> 2833</w:t>
      </w:r>
      <w:r w:rsidR="002678B2" w:rsidRPr="008B6A51">
        <w:rPr>
          <w:rFonts w:ascii="Arial" w:hAnsi="Arial" w:cs="Arial"/>
          <w:sz w:val="22"/>
          <w:szCs w:val="22"/>
        </w:rPr>
        <w:t xml:space="preserve"> del 1-03-2017, radicado 53793.</w:t>
      </w:r>
    </w:p>
    <w:p w:rsidR="002678B2" w:rsidRPr="008B6A51" w:rsidRDefault="002678B2" w:rsidP="008B6A51">
      <w:pPr>
        <w:tabs>
          <w:tab w:val="left" w:pos="8647"/>
          <w:tab w:val="left" w:pos="9356"/>
        </w:tabs>
        <w:jc w:val="both"/>
        <w:rPr>
          <w:rFonts w:ascii="Arial" w:hAnsi="Arial" w:cs="Arial"/>
          <w:i/>
          <w:sz w:val="22"/>
          <w:szCs w:val="22"/>
        </w:rPr>
      </w:pPr>
      <w:r w:rsidRPr="008B6A51">
        <w:rPr>
          <w:rFonts w:ascii="Arial" w:hAnsi="Arial" w:cs="Arial"/>
          <w:sz w:val="22"/>
          <w:szCs w:val="22"/>
        </w:rPr>
        <w:t>(…)</w:t>
      </w:r>
    </w:p>
    <w:p w:rsidR="0057301B" w:rsidRPr="008B6A51" w:rsidRDefault="0057301B" w:rsidP="008B6A51">
      <w:pPr>
        <w:tabs>
          <w:tab w:val="left" w:pos="8647"/>
          <w:tab w:val="left" w:pos="9356"/>
        </w:tabs>
        <w:jc w:val="both"/>
        <w:rPr>
          <w:rFonts w:ascii="Arial" w:hAnsi="Arial" w:cs="Arial"/>
          <w:sz w:val="22"/>
          <w:szCs w:val="22"/>
        </w:rPr>
      </w:pPr>
    </w:p>
    <w:p w:rsidR="0057301B" w:rsidRPr="008B6A51" w:rsidRDefault="0057301B" w:rsidP="008B6A51">
      <w:pPr>
        <w:tabs>
          <w:tab w:val="left" w:pos="8647"/>
          <w:tab w:val="left" w:pos="9356"/>
        </w:tabs>
        <w:jc w:val="both"/>
        <w:rPr>
          <w:rFonts w:ascii="Arial" w:hAnsi="Arial" w:cs="Arial"/>
          <w:sz w:val="22"/>
          <w:szCs w:val="22"/>
        </w:rPr>
      </w:pPr>
      <w:r w:rsidRPr="008B6A51">
        <w:rPr>
          <w:rFonts w:ascii="Arial" w:hAnsi="Arial" w:cs="Arial"/>
          <w:sz w:val="22"/>
          <w:szCs w:val="22"/>
        </w:rPr>
        <w:t xml:space="preserve">Por lo anterior se modificará la condena, y se tendrá como fecha final para tasar la indemnización moratoria el día 28-09-2012, momento en que se ordenó la liquidación del </w:t>
      </w:r>
      <w:proofErr w:type="spellStart"/>
      <w:r w:rsidRPr="008B6A51">
        <w:rPr>
          <w:rFonts w:ascii="Arial" w:hAnsi="Arial" w:cs="Arial"/>
          <w:sz w:val="22"/>
          <w:szCs w:val="22"/>
        </w:rPr>
        <w:t>ISS</w:t>
      </w:r>
      <w:proofErr w:type="spellEnd"/>
      <w:r w:rsidRPr="008B6A51">
        <w:rPr>
          <w:rFonts w:ascii="Arial" w:hAnsi="Arial" w:cs="Arial"/>
          <w:sz w:val="22"/>
          <w:szCs w:val="22"/>
        </w:rPr>
        <w:t>, la que asciende a $4´192.248.</w:t>
      </w:r>
    </w:p>
    <w:p w:rsidR="0057301B" w:rsidRPr="008B6A51" w:rsidRDefault="0057301B" w:rsidP="008B6A51">
      <w:pPr>
        <w:autoSpaceDE w:val="0"/>
        <w:autoSpaceDN w:val="0"/>
        <w:adjustRightInd w:val="0"/>
        <w:jc w:val="both"/>
        <w:rPr>
          <w:rFonts w:ascii="Arial" w:hAnsi="Arial" w:cs="Arial"/>
          <w:sz w:val="22"/>
          <w:szCs w:val="22"/>
        </w:rPr>
      </w:pPr>
    </w:p>
    <w:p w:rsidR="0057301B" w:rsidRPr="008B6A51" w:rsidRDefault="0057301B" w:rsidP="008B6A51">
      <w:pPr>
        <w:pStyle w:val="Textoindependiente22"/>
        <w:spacing w:line="240" w:lineRule="auto"/>
        <w:rPr>
          <w:rFonts w:cs="Arial"/>
          <w:b w:val="0"/>
          <w:sz w:val="22"/>
          <w:szCs w:val="22"/>
        </w:rPr>
      </w:pPr>
    </w:p>
    <w:p w:rsidR="0057301B" w:rsidRPr="008B6A51" w:rsidRDefault="0057301B" w:rsidP="008B6A51">
      <w:pPr>
        <w:jc w:val="both"/>
        <w:rPr>
          <w:rFonts w:ascii="Arial" w:hAnsi="Arial" w:cs="Arial"/>
          <w:b/>
          <w:sz w:val="22"/>
          <w:szCs w:val="22"/>
        </w:rPr>
      </w:pPr>
    </w:p>
    <w:p w:rsidR="00730E58" w:rsidRPr="00730E58" w:rsidRDefault="00730E58" w:rsidP="00730E58">
      <w:pPr>
        <w:spacing w:line="240" w:lineRule="atLeast"/>
        <w:jc w:val="center"/>
        <w:rPr>
          <w:rFonts w:ascii="Edwardian Script ITC" w:hAnsi="Edwardian Script ITC" w:cs="Arial"/>
          <w:b/>
          <w:sz w:val="44"/>
          <w:szCs w:val="44"/>
          <w:lang w:val="en-GB"/>
        </w:rPr>
      </w:pPr>
      <w:r w:rsidRPr="00730E58">
        <w:rPr>
          <w:rFonts w:ascii="Edwardian Script ITC" w:hAnsi="Edwardian Script ITC"/>
          <w:noProof/>
          <w:sz w:val="44"/>
          <w:szCs w:val="44"/>
          <w:lang w:val="es-ES"/>
        </w:rPr>
        <w:drawing>
          <wp:inline distT="0" distB="0" distL="0" distR="0" wp14:anchorId="1FDD23B2" wp14:editId="01AF17BE">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30E58" w:rsidRPr="00730E58" w:rsidRDefault="00730E58" w:rsidP="00730E58">
      <w:pPr>
        <w:widowControl w:val="0"/>
        <w:spacing w:line="360" w:lineRule="auto"/>
        <w:jc w:val="center"/>
        <w:rPr>
          <w:rFonts w:ascii="Arial" w:hAnsi="Arial" w:cs="Arial"/>
          <w:kern w:val="28"/>
          <w:szCs w:val="24"/>
          <w:lang w:val="es-ES"/>
        </w:rPr>
      </w:pPr>
    </w:p>
    <w:p w:rsidR="00730E58" w:rsidRPr="00730E58" w:rsidRDefault="00730E58" w:rsidP="00730E58">
      <w:pPr>
        <w:widowControl w:val="0"/>
        <w:spacing w:line="360" w:lineRule="auto"/>
        <w:jc w:val="center"/>
        <w:rPr>
          <w:rFonts w:ascii="Arial" w:hAnsi="Arial" w:cs="Arial"/>
          <w:kern w:val="28"/>
          <w:szCs w:val="24"/>
          <w:lang w:val="es-ES"/>
        </w:rPr>
      </w:pPr>
      <w:r w:rsidRPr="00730E58">
        <w:rPr>
          <w:rFonts w:ascii="Arial" w:hAnsi="Arial" w:cs="Arial"/>
          <w:kern w:val="28"/>
          <w:szCs w:val="24"/>
          <w:lang w:val="es-ES"/>
        </w:rPr>
        <w:t>RAMA JUDICIAL DEL PODER PÚBLICO</w:t>
      </w:r>
    </w:p>
    <w:p w:rsidR="00730E58" w:rsidRPr="00730E58" w:rsidRDefault="00730E58" w:rsidP="00730E58">
      <w:pPr>
        <w:widowControl w:val="0"/>
        <w:spacing w:line="360" w:lineRule="auto"/>
        <w:jc w:val="center"/>
        <w:rPr>
          <w:rFonts w:ascii="Arial" w:hAnsi="Arial" w:cs="Arial"/>
          <w:kern w:val="28"/>
          <w:szCs w:val="24"/>
          <w:lang w:val="es-ES"/>
        </w:rPr>
      </w:pPr>
      <w:r w:rsidRPr="00730E58">
        <w:rPr>
          <w:rFonts w:ascii="Arial" w:hAnsi="Arial" w:cs="Arial"/>
          <w:kern w:val="28"/>
          <w:szCs w:val="24"/>
          <w:lang w:val="es-ES"/>
        </w:rPr>
        <w:t>TRIBUNAL SUPERIOR DEL DISTRITO JUDICIAL DE PEREIRA</w:t>
      </w:r>
    </w:p>
    <w:p w:rsidR="00730E58" w:rsidRPr="00781A7A" w:rsidRDefault="00730E58" w:rsidP="00730E58">
      <w:pPr>
        <w:keepNext/>
        <w:spacing w:line="360" w:lineRule="auto"/>
        <w:jc w:val="center"/>
        <w:rPr>
          <w:rFonts w:ascii="Arial" w:hAnsi="Arial" w:cs="Arial"/>
          <w:bCs/>
          <w:szCs w:val="24"/>
        </w:rPr>
      </w:pPr>
      <w:r w:rsidRPr="00730E58">
        <w:rPr>
          <w:rFonts w:ascii="Arial" w:hAnsi="Arial" w:cs="Arial"/>
          <w:bCs/>
          <w:szCs w:val="24"/>
        </w:rPr>
        <w:t>SALA CUARTA DE DECISIÓN LABORAL</w:t>
      </w:r>
    </w:p>
    <w:p w:rsidR="00730E58" w:rsidRDefault="00730E58" w:rsidP="00730E58">
      <w:pPr>
        <w:jc w:val="center"/>
        <w:rPr>
          <w:rFonts w:ascii="Arial" w:hAnsi="Arial" w:cs="Arial"/>
          <w:color w:val="000000"/>
          <w:szCs w:val="24"/>
          <w:lang w:val="es-ES"/>
        </w:rPr>
      </w:pPr>
    </w:p>
    <w:p w:rsidR="00730E58" w:rsidRDefault="00730E58" w:rsidP="00730E58">
      <w:pPr>
        <w:jc w:val="center"/>
        <w:rPr>
          <w:rFonts w:ascii="Arial" w:hAnsi="Arial" w:cs="Arial"/>
          <w:color w:val="000000"/>
          <w:szCs w:val="24"/>
          <w:lang w:val="es-ES"/>
        </w:rPr>
      </w:pPr>
    </w:p>
    <w:p w:rsidR="00730E58" w:rsidRPr="00764878" w:rsidRDefault="00730E58" w:rsidP="00730E58">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730E58" w:rsidRPr="00764878" w:rsidRDefault="00730E58" w:rsidP="00730E58">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730E58" w:rsidRPr="002B06F9" w:rsidRDefault="00730E58" w:rsidP="00730E58">
      <w:pPr>
        <w:pStyle w:val="Textoindependiente"/>
        <w:spacing w:line="276" w:lineRule="auto"/>
        <w:ind w:left="2835"/>
        <w:rPr>
          <w:iCs/>
          <w:sz w:val="16"/>
          <w:szCs w:val="16"/>
        </w:rPr>
      </w:pPr>
    </w:p>
    <w:p w:rsidR="00A6220A" w:rsidRDefault="00A6220A" w:rsidP="002B06F9">
      <w:pPr>
        <w:pStyle w:val="Textoindependiente"/>
        <w:spacing w:line="276" w:lineRule="auto"/>
        <w:ind w:left="2835"/>
        <w:rPr>
          <w:rFonts w:eastAsia="Arial"/>
          <w:sz w:val="16"/>
          <w:szCs w:val="16"/>
        </w:rPr>
      </w:pPr>
    </w:p>
    <w:p w:rsidR="00431A29" w:rsidRPr="00BE12B7" w:rsidRDefault="00475C3F" w:rsidP="00E33B56">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086016">
        <w:rPr>
          <w:rFonts w:ascii="Arial" w:eastAsia="Calibri" w:hAnsi="Arial" w:cs="Arial"/>
          <w:szCs w:val="24"/>
          <w:lang w:val="es-CO" w:eastAsia="en-US"/>
        </w:rPr>
        <w:t>veintiún</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86016">
        <w:rPr>
          <w:rFonts w:ascii="Arial" w:eastAsia="Calibri" w:hAnsi="Arial" w:cs="Arial"/>
          <w:szCs w:val="24"/>
          <w:lang w:val="es-CO" w:eastAsia="en-US"/>
        </w:rPr>
        <w:t>21</w:t>
      </w:r>
      <w:r w:rsidRPr="00CF0D70">
        <w:rPr>
          <w:rFonts w:ascii="Arial" w:eastAsia="Calibri" w:hAnsi="Arial" w:cs="Arial"/>
          <w:szCs w:val="24"/>
          <w:lang w:val="es-CO" w:eastAsia="en-US"/>
        </w:rPr>
        <w:t>) días del mes de</w:t>
      </w:r>
      <w:r>
        <w:rPr>
          <w:rFonts w:ascii="Arial" w:eastAsia="Calibri" w:hAnsi="Arial" w:cs="Arial"/>
          <w:szCs w:val="24"/>
          <w:lang w:val="es-CO" w:eastAsia="en-US"/>
        </w:rPr>
        <w:t xml:space="preserve"> </w:t>
      </w:r>
      <w:r w:rsidR="00086016">
        <w:rPr>
          <w:rFonts w:ascii="Arial" w:eastAsia="Calibri" w:hAnsi="Arial" w:cs="Arial"/>
          <w:szCs w:val="24"/>
          <w:lang w:val="es-CO" w:eastAsia="en-US"/>
        </w:rPr>
        <w:t>agosto</w:t>
      </w:r>
      <w:r w:rsidRPr="00CF0D70">
        <w:rPr>
          <w:rFonts w:ascii="Arial" w:eastAsia="Calibri" w:hAnsi="Arial" w:cs="Arial"/>
          <w:szCs w:val="24"/>
          <w:lang w:val="es-CO" w:eastAsia="en-US"/>
        </w:rPr>
        <w:t xml:space="preserve"> de dos mil dieci</w:t>
      </w:r>
      <w:r>
        <w:rPr>
          <w:rFonts w:ascii="Arial" w:eastAsia="Calibri" w:hAnsi="Arial" w:cs="Arial"/>
          <w:szCs w:val="24"/>
          <w:lang w:val="es-CO" w:eastAsia="en-US"/>
        </w:rPr>
        <w:t>ocho</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diez de la mañana </w:t>
      </w:r>
      <w:r w:rsidRPr="00CF0D70">
        <w:rPr>
          <w:rFonts w:ascii="Arial" w:eastAsia="Calibri" w:hAnsi="Arial" w:cs="Arial"/>
          <w:szCs w:val="24"/>
          <w:lang w:val="es-CO" w:eastAsia="en-US"/>
        </w:rPr>
        <w:t>(</w:t>
      </w:r>
      <w:r>
        <w:rPr>
          <w:rFonts w:ascii="Arial" w:eastAsia="Calibri" w:hAnsi="Arial" w:cs="Arial"/>
          <w:szCs w:val="24"/>
          <w:lang w:val="es-CO" w:eastAsia="en-US"/>
        </w:rPr>
        <w:t>10:00 a</w:t>
      </w:r>
      <w:r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y el grado jurisdiccional de consulta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Pr>
          <w:rFonts w:ascii="Arial" w:hAnsi="Arial" w:cs="Arial"/>
          <w:szCs w:val="24"/>
        </w:rPr>
        <w:t>11 de mayo de 2017</w:t>
      </w:r>
      <w:r w:rsidRPr="00AC486E">
        <w:rPr>
          <w:rFonts w:ascii="Arial" w:hAnsi="Arial" w:cs="Arial"/>
          <w:szCs w:val="24"/>
        </w:rPr>
        <w:t xml:space="preserve"> por el Juzgado</w:t>
      </w:r>
      <w:r>
        <w:rPr>
          <w:rFonts w:ascii="Arial" w:hAnsi="Arial" w:cs="Arial"/>
          <w:szCs w:val="24"/>
        </w:rPr>
        <w:t xml:space="preserve"> Quinto</w:t>
      </w:r>
      <w:r w:rsidRPr="00AC486E">
        <w:rPr>
          <w:rFonts w:ascii="Arial" w:hAnsi="Arial" w:cs="Arial"/>
          <w:szCs w:val="24"/>
        </w:rPr>
        <w:t xml:space="preserve"> Laboral del Circuito de </w:t>
      </w:r>
      <w:r>
        <w:rPr>
          <w:rFonts w:ascii="Arial" w:hAnsi="Arial" w:cs="Arial"/>
          <w:szCs w:val="24"/>
        </w:rPr>
        <w:t>Pereira</w:t>
      </w:r>
      <w:r w:rsidRPr="00AC486E">
        <w:rPr>
          <w:rFonts w:ascii="Arial" w:hAnsi="Arial" w:cs="Arial"/>
          <w:szCs w:val="24"/>
        </w:rPr>
        <w:t xml:space="preserve">,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Andrés Felipe Gómez Dávila  </w:t>
      </w:r>
      <w:r w:rsidRPr="003440CA">
        <w:rPr>
          <w:rFonts w:ascii="Arial" w:hAnsi="Arial" w:cs="Arial"/>
          <w:szCs w:val="24"/>
        </w:rPr>
        <w:t>contra</w:t>
      </w:r>
      <w:r>
        <w:rPr>
          <w:rFonts w:ascii="Arial" w:hAnsi="Arial" w:cs="Arial"/>
          <w:szCs w:val="24"/>
        </w:rPr>
        <w:t xml:space="preserve"> el </w:t>
      </w:r>
      <w:r>
        <w:rPr>
          <w:rFonts w:ascii="Arial" w:hAnsi="Arial" w:cs="Arial"/>
          <w:b/>
          <w:szCs w:val="16"/>
        </w:rPr>
        <w:t xml:space="preserve">Instituto de seguros Sociales en liquidación, </w:t>
      </w:r>
      <w:r>
        <w:rPr>
          <w:rFonts w:ascii="Arial" w:hAnsi="Arial" w:cs="Arial"/>
          <w:szCs w:val="16"/>
        </w:rPr>
        <w:t>radicado 66001-31-05-005-2014-00090-02.</w:t>
      </w:r>
      <w:r w:rsidR="004A2424">
        <w:rPr>
          <w:rFonts w:ascii="Arial" w:hAnsi="Arial" w:cs="Arial"/>
          <w:b/>
          <w:szCs w:val="24"/>
        </w:rPr>
        <w:t xml:space="preserve"> </w:t>
      </w:r>
    </w:p>
    <w:p w:rsidR="00E33B56" w:rsidRDefault="00E33B56" w:rsidP="00431A29">
      <w:pPr>
        <w:spacing w:line="360" w:lineRule="auto"/>
        <w:jc w:val="both"/>
        <w:rPr>
          <w:rFonts w:ascii="Arial" w:hAnsi="Arial" w:cs="Arial"/>
          <w:szCs w:val="24"/>
        </w:rPr>
      </w:pPr>
    </w:p>
    <w:p w:rsidR="004A2424" w:rsidRPr="00174E3F" w:rsidRDefault="004A2424" w:rsidP="004A2424">
      <w:pPr>
        <w:spacing w:line="276" w:lineRule="auto"/>
        <w:rPr>
          <w:rFonts w:ascii="Arial" w:hAnsi="Arial" w:cs="Arial"/>
          <w:b/>
          <w:szCs w:val="24"/>
        </w:rPr>
      </w:pPr>
      <w:r w:rsidRPr="00174E3F">
        <w:rPr>
          <w:rFonts w:ascii="Arial" w:hAnsi="Arial" w:cs="Arial"/>
          <w:b/>
          <w:szCs w:val="24"/>
        </w:rPr>
        <w:t>REGISTRO DE ASISTENCIA:</w:t>
      </w:r>
    </w:p>
    <w:p w:rsidR="004A2424" w:rsidRPr="00174E3F" w:rsidRDefault="004A2424" w:rsidP="004A2424">
      <w:pPr>
        <w:spacing w:line="276" w:lineRule="auto"/>
        <w:ind w:firstLine="851"/>
        <w:rPr>
          <w:rFonts w:ascii="Arial" w:hAnsi="Arial" w:cs="Arial"/>
          <w:szCs w:val="24"/>
        </w:rPr>
      </w:pPr>
    </w:p>
    <w:p w:rsidR="004A2424" w:rsidRPr="00174E3F" w:rsidRDefault="004A2424" w:rsidP="004A2424">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4A2424" w:rsidRPr="00174E3F" w:rsidRDefault="004A2424" w:rsidP="004A2424">
      <w:pPr>
        <w:spacing w:line="276" w:lineRule="auto"/>
        <w:ind w:left="709" w:firstLine="142"/>
        <w:contextualSpacing/>
        <w:jc w:val="both"/>
        <w:rPr>
          <w:rFonts w:ascii="Arial" w:hAnsi="Arial" w:cs="Arial"/>
          <w:szCs w:val="24"/>
        </w:rPr>
      </w:pPr>
    </w:p>
    <w:p w:rsidR="004A2424" w:rsidRPr="00174E3F" w:rsidRDefault="004A2424" w:rsidP="004A2424">
      <w:pPr>
        <w:spacing w:line="276" w:lineRule="auto"/>
        <w:jc w:val="both"/>
        <w:rPr>
          <w:rFonts w:ascii="Arial" w:hAnsi="Arial" w:cs="Arial"/>
          <w:b/>
          <w:szCs w:val="24"/>
        </w:rPr>
      </w:pPr>
      <w:r w:rsidRPr="00174E3F">
        <w:rPr>
          <w:rFonts w:ascii="Arial" w:hAnsi="Arial" w:cs="Arial"/>
          <w:b/>
          <w:szCs w:val="24"/>
        </w:rPr>
        <w:t>TRASLADO A LAS PARTES</w:t>
      </w:r>
    </w:p>
    <w:p w:rsidR="004A2424" w:rsidRPr="00174E3F" w:rsidRDefault="004A2424" w:rsidP="004A2424">
      <w:pPr>
        <w:spacing w:line="276" w:lineRule="auto"/>
        <w:contextualSpacing/>
        <w:jc w:val="both"/>
        <w:rPr>
          <w:rFonts w:ascii="Arial" w:hAnsi="Arial" w:cs="Arial"/>
          <w:szCs w:val="24"/>
        </w:rPr>
      </w:pPr>
      <w:r w:rsidRPr="00174E3F">
        <w:rPr>
          <w:rFonts w:ascii="Arial" w:hAnsi="Arial" w:cs="Arial"/>
          <w:szCs w:val="24"/>
        </w:rPr>
        <w:t xml:space="preserve"> </w:t>
      </w:r>
    </w:p>
    <w:p w:rsidR="004A2424" w:rsidRDefault="004A2424" w:rsidP="004A2424">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33B56" w:rsidRDefault="00E33B56" w:rsidP="00E33B56">
      <w:pPr>
        <w:spacing w:line="276" w:lineRule="auto"/>
        <w:ind w:left="708" w:firstLine="708"/>
        <w:jc w:val="center"/>
        <w:rPr>
          <w:rFonts w:ascii="Arial" w:hAnsi="Arial" w:cs="Arial"/>
          <w:b/>
          <w:szCs w:val="24"/>
        </w:rPr>
      </w:pPr>
    </w:p>
    <w:p w:rsidR="00284B78" w:rsidRDefault="00284B78" w:rsidP="00E33B56">
      <w:pPr>
        <w:spacing w:line="276" w:lineRule="auto"/>
        <w:ind w:left="708" w:firstLine="708"/>
        <w:jc w:val="center"/>
        <w:rPr>
          <w:rFonts w:ascii="Arial" w:hAnsi="Arial" w:cs="Arial"/>
          <w:b/>
          <w:szCs w:val="24"/>
        </w:rPr>
      </w:pPr>
    </w:p>
    <w:p w:rsidR="00226D5F" w:rsidRPr="00637118" w:rsidRDefault="001738A5" w:rsidP="006578C6">
      <w:pPr>
        <w:spacing w:line="276" w:lineRule="auto"/>
        <w:jc w:val="center"/>
        <w:rPr>
          <w:rFonts w:ascii="Arial" w:hAnsi="Arial" w:cs="Arial"/>
          <w:b/>
          <w:szCs w:val="24"/>
        </w:rPr>
      </w:pPr>
      <w:r>
        <w:rPr>
          <w:rFonts w:ascii="Arial" w:hAnsi="Arial" w:cs="Arial"/>
          <w:b/>
          <w:szCs w:val="24"/>
        </w:rPr>
        <w:t>ANTECEDENTES</w:t>
      </w:r>
    </w:p>
    <w:p w:rsidR="00E33B56" w:rsidRDefault="00E33B56" w:rsidP="00341CD1">
      <w:pPr>
        <w:suppressAutoHyphens/>
        <w:spacing w:line="276" w:lineRule="auto"/>
        <w:jc w:val="both"/>
        <w:rPr>
          <w:rFonts w:ascii="Arial" w:hAnsi="Arial" w:cs="Arial"/>
          <w:b/>
          <w:spacing w:val="-2"/>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296D4A" w:rsidRDefault="00475C3F" w:rsidP="00C43327">
      <w:pPr>
        <w:spacing w:line="276" w:lineRule="auto"/>
        <w:jc w:val="both"/>
        <w:rPr>
          <w:rFonts w:ascii="Arial" w:hAnsi="Arial" w:cs="Arial"/>
          <w:szCs w:val="24"/>
        </w:rPr>
      </w:pPr>
      <w:r>
        <w:rPr>
          <w:rFonts w:ascii="Arial" w:hAnsi="Arial" w:cs="Arial"/>
          <w:szCs w:val="24"/>
        </w:rPr>
        <w:t xml:space="preserve">Pretende el </w:t>
      </w:r>
      <w:r w:rsidRPr="009D6442">
        <w:rPr>
          <w:rFonts w:ascii="Arial" w:hAnsi="Arial" w:cs="Arial"/>
          <w:szCs w:val="24"/>
        </w:rPr>
        <w:t xml:space="preserve">señor </w:t>
      </w:r>
      <w:r w:rsidRPr="00237337">
        <w:rPr>
          <w:rFonts w:ascii="Arial" w:hAnsi="Arial" w:cs="Arial"/>
          <w:szCs w:val="24"/>
        </w:rPr>
        <w:t>Andrés Felipe Gómez Dávila</w:t>
      </w:r>
      <w:r w:rsidR="00226D5F" w:rsidRPr="00AC486E">
        <w:rPr>
          <w:rFonts w:ascii="Arial" w:hAnsi="Arial" w:cs="Arial"/>
          <w:b/>
          <w:szCs w:val="24"/>
        </w:rPr>
        <w:t>,</w:t>
      </w:r>
      <w:r w:rsidR="00226D5F" w:rsidRPr="00AC486E">
        <w:rPr>
          <w:rFonts w:ascii="Arial" w:hAnsi="Arial" w:cs="Arial"/>
          <w:szCs w:val="24"/>
        </w:rPr>
        <w:t xml:space="preserve"> que se declare que </w:t>
      </w:r>
      <w:r w:rsidR="00B66319">
        <w:rPr>
          <w:rFonts w:ascii="Arial" w:hAnsi="Arial" w:cs="Arial"/>
          <w:szCs w:val="24"/>
        </w:rPr>
        <w:t xml:space="preserve">(i) </w:t>
      </w:r>
      <w:r>
        <w:rPr>
          <w:rFonts w:ascii="Arial" w:hAnsi="Arial" w:cs="Arial"/>
          <w:szCs w:val="24"/>
        </w:rPr>
        <w:t>entre él</w:t>
      </w:r>
      <w:r w:rsidR="004B5CC2">
        <w:rPr>
          <w:rFonts w:ascii="Arial" w:hAnsi="Arial" w:cs="Arial"/>
          <w:szCs w:val="24"/>
        </w:rPr>
        <w:t xml:space="preserve"> y </w:t>
      </w:r>
      <w:r w:rsidR="00080ED0">
        <w:rPr>
          <w:rFonts w:ascii="Arial" w:hAnsi="Arial" w:cs="Arial"/>
          <w:szCs w:val="24"/>
        </w:rPr>
        <w:t>e</w:t>
      </w:r>
      <w:r w:rsidR="004B3927">
        <w:rPr>
          <w:rFonts w:ascii="Arial" w:hAnsi="Arial" w:cs="Arial"/>
          <w:szCs w:val="24"/>
        </w:rPr>
        <w:t>l Instituto de Seguros Sociales</w:t>
      </w:r>
      <w:r w:rsidR="008726E3">
        <w:rPr>
          <w:rFonts w:ascii="Arial" w:hAnsi="Arial" w:cs="Arial"/>
          <w:szCs w:val="24"/>
        </w:rPr>
        <w:t>,</w:t>
      </w:r>
      <w:r w:rsidR="00080ED0">
        <w:rPr>
          <w:rFonts w:ascii="Arial" w:hAnsi="Arial" w:cs="Arial"/>
          <w:szCs w:val="24"/>
        </w:rPr>
        <w:t xml:space="preserve"> en liquidación</w:t>
      </w:r>
      <w:r>
        <w:rPr>
          <w:rFonts w:ascii="Arial" w:hAnsi="Arial" w:cs="Arial"/>
          <w:szCs w:val="24"/>
        </w:rPr>
        <w:t xml:space="preserve"> </w:t>
      </w:r>
      <w:r w:rsidR="00E33B56">
        <w:rPr>
          <w:rFonts w:ascii="Arial" w:hAnsi="Arial" w:cs="Arial"/>
          <w:szCs w:val="24"/>
        </w:rPr>
        <w:t>s</w:t>
      </w:r>
      <w:r w:rsidR="001020BC">
        <w:rPr>
          <w:rFonts w:ascii="Arial" w:hAnsi="Arial" w:cs="Arial"/>
          <w:szCs w:val="24"/>
        </w:rPr>
        <w:t>e celebraron dos</w:t>
      </w:r>
      <w:r w:rsidR="004B5CC2">
        <w:rPr>
          <w:rFonts w:ascii="Arial" w:hAnsi="Arial" w:cs="Arial"/>
          <w:szCs w:val="24"/>
        </w:rPr>
        <w:t xml:space="preserve"> contrato</w:t>
      </w:r>
      <w:r w:rsidR="001020BC">
        <w:rPr>
          <w:rFonts w:ascii="Arial" w:hAnsi="Arial" w:cs="Arial"/>
          <w:szCs w:val="24"/>
        </w:rPr>
        <w:t>s de trabajo, el primero del 01-09-2009 a 30-04-2010 y el segundo entre el 01-07-2010 y el 31-10-2011</w:t>
      </w:r>
      <w:r w:rsidR="00B66319">
        <w:rPr>
          <w:rFonts w:ascii="Arial" w:hAnsi="Arial" w:cs="Arial"/>
          <w:szCs w:val="24"/>
        </w:rPr>
        <w:t>;</w:t>
      </w:r>
      <w:r w:rsidR="00080ED0">
        <w:rPr>
          <w:rFonts w:ascii="Arial" w:hAnsi="Arial" w:cs="Arial"/>
          <w:szCs w:val="24"/>
        </w:rPr>
        <w:t xml:space="preserve"> y</w:t>
      </w:r>
      <w:r w:rsidR="00B66319">
        <w:rPr>
          <w:rFonts w:ascii="Arial" w:hAnsi="Arial" w:cs="Arial"/>
          <w:szCs w:val="24"/>
        </w:rPr>
        <w:t xml:space="preserve"> (ii) </w:t>
      </w:r>
      <w:r w:rsidR="001020BC">
        <w:rPr>
          <w:rFonts w:ascii="Arial" w:hAnsi="Arial" w:cs="Arial"/>
          <w:szCs w:val="24"/>
        </w:rPr>
        <w:t xml:space="preserve">que ostentó la calidad de trabajador oficial y que </w:t>
      </w:r>
      <w:r w:rsidR="003945E4">
        <w:rPr>
          <w:rFonts w:ascii="Arial" w:hAnsi="Arial" w:cs="Arial"/>
          <w:szCs w:val="24"/>
        </w:rPr>
        <w:t xml:space="preserve">es </w:t>
      </w:r>
      <w:r w:rsidR="001020BC">
        <w:rPr>
          <w:rFonts w:ascii="Arial" w:hAnsi="Arial" w:cs="Arial"/>
          <w:szCs w:val="24"/>
        </w:rPr>
        <w:t>beneficiario</w:t>
      </w:r>
      <w:r w:rsidR="00080ED0">
        <w:rPr>
          <w:rFonts w:ascii="Arial" w:hAnsi="Arial" w:cs="Arial"/>
          <w:szCs w:val="24"/>
        </w:rPr>
        <w:t xml:space="preserve"> de la convención colectiva de trabajo entre </w:t>
      </w:r>
      <w:proofErr w:type="spellStart"/>
      <w:r w:rsidR="00080ED0">
        <w:rPr>
          <w:rFonts w:ascii="Arial" w:hAnsi="Arial" w:cs="Arial"/>
          <w:szCs w:val="24"/>
        </w:rPr>
        <w:t>Sintraseguridadsocial</w:t>
      </w:r>
      <w:proofErr w:type="spellEnd"/>
      <w:r w:rsidR="00080ED0">
        <w:rPr>
          <w:rFonts w:ascii="Arial" w:hAnsi="Arial" w:cs="Arial"/>
          <w:szCs w:val="24"/>
        </w:rPr>
        <w:t xml:space="preserve"> </w:t>
      </w:r>
      <w:r w:rsidR="003945E4">
        <w:rPr>
          <w:rFonts w:ascii="Arial" w:hAnsi="Arial" w:cs="Arial"/>
          <w:szCs w:val="24"/>
        </w:rPr>
        <w:t xml:space="preserve">y </w:t>
      </w:r>
      <w:r w:rsidR="00296D4A">
        <w:rPr>
          <w:rFonts w:ascii="Arial" w:hAnsi="Arial" w:cs="Arial"/>
          <w:szCs w:val="24"/>
        </w:rPr>
        <w:t xml:space="preserve">el </w:t>
      </w:r>
      <w:proofErr w:type="spellStart"/>
      <w:r w:rsidR="00296D4A">
        <w:rPr>
          <w:rFonts w:ascii="Arial" w:hAnsi="Arial" w:cs="Arial"/>
          <w:szCs w:val="24"/>
        </w:rPr>
        <w:t>ISS</w:t>
      </w:r>
      <w:proofErr w:type="spellEnd"/>
      <w:r w:rsidR="00296D4A">
        <w:rPr>
          <w:rFonts w:ascii="Arial" w:hAnsi="Arial" w:cs="Arial"/>
          <w:szCs w:val="24"/>
        </w:rPr>
        <w:t>.</w:t>
      </w:r>
    </w:p>
    <w:p w:rsidR="00296D4A" w:rsidRDefault="00296D4A" w:rsidP="00C43327">
      <w:pPr>
        <w:spacing w:line="276" w:lineRule="auto"/>
        <w:jc w:val="both"/>
        <w:rPr>
          <w:rFonts w:ascii="Arial" w:hAnsi="Arial" w:cs="Arial"/>
          <w:szCs w:val="24"/>
        </w:rPr>
      </w:pPr>
    </w:p>
    <w:p w:rsidR="00341CD1" w:rsidRDefault="00296D4A" w:rsidP="00C43327">
      <w:pPr>
        <w:spacing w:line="276" w:lineRule="auto"/>
        <w:jc w:val="both"/>
        <w:rPr>
          <w:rFonts w:ascii="Arial" w:hAnsi="Arial" w:cs="Arial"/>
          <w:szCs w:val="24"/>
        </w:rPr>
      </w:pPr>
      <w:r>
        <w:rPr>
          <w:rFonts w:ascii="Arial" w:hAnsi="Arial" w:cs="Arial"/>
          <w:szCs w:val="24"/>
        </w:rPr>
        <w:t>E</w:t>
      </w:r>
      <w:r w:rsidR="00B82A13">
        <w:rPr>
          <w:rFonts w:ascii="Arial" w:hAnsi="Arial" w:cs="Arial"/>
          <w:szCs w:val="24"/>
        </w:rPr>
        <w:t>n consecuencia</w:t>
      </w:r>
      <w:r w:rsidR="00F04AF8">
        <w:rPr>
          <w:rFonts w:ascii="Arial" w:hAnsi="Arial" w:cs="Arial"/>
          <w:szCs w:val="24"/>
        </w:rPr>
        <w:t>,</w:t>
      </w:r>
      <w:r w:rsidR="00B82A13">
        <w:rPr>
          <w:rFonts w:ascii="Arial" w:hAnsi="Arial" w:cs="Arial"/>
          <w:szCs w:val="24"/>
        </w:rPr>
        <w:t xml:space="preserve"> </w:t>
      </w:r>
      <w:r w:rsidR="001020BC">
        <w:rPr>
          <w:rFonts w:ascii="Arial" w:hAnsi="Arial" w:cs="Arial"/>
          <w:szCs w:val="24"/>
        </w:rPr>
        <w:t xml:space="preserve">se </w:t>
      </w:r>
      <w:r w:rsidR="007C047B">
        <w:rPr>
          <w:rFonts w:ascii="Arial" w:hAnsi="Arial" w:cs="Arial"/>
          <w:szCs w:val="24"/>
        </w:rPr>
        <w:t>condene al demandado a</w:t>
      </w:r>
      <w:r w:rsidR="00B82A13">
        <w:rPr>
          <w:rFonts w:ascii="Arial" w:hAnsi="Arial" w:cs="Arial"/>
          <w:szCs w:val="24"/>
        </w:rPr>
        <w:t xml:space="preserve"> </w:t>
      </w:r>
      <w:r w:rsidR="007C047B">
        <w:rPr>
          <w:rFonts w:ascii="Arial" w:hAnsi="Arial" w:cs="Arial"/>
          <w:szCs w:val="24"/>
        </w:rPr>
        <w:t xml:space="preserve"> </w:t>
      </w:r>
      <w:r w:rsidR="00C43327">
        <w:rPr>
          <w:rFonts w:ascii="Arial" w:hAnsi="Arial" w:cs="Arial"/>
          <w:szCs w:val="24"/>
        </w:rPr>
        <w:t>pag</w:t>
      </w:r>
      <w:r w:rsidR="007C047B">
        <w:rPr>
          <w:rFonts w:ascii="Arial" w:hAnsi="Arial" w:cs="Arial"/>
          <w:szCs w:val="24"/>
        </w:rPr>
        <w:t>arle (i)</w:t>
      </w:r>
      <w:r w:rsidR="00C43327">
        <w:rPr>
          <w:rFonts w:ascii="Arial" w:hAnsi="Arial" w:cs="Arial"/>
          <w:szCs w:val="24"/>
        </w:rPr>
        <w:t xml:space="preserve"> </w:t>
      </w:r>
      <w:r w:rsidR="00080ED0">
        <w:rPr>
          <w:rFonts w:ascii="Arial" w:hAnsi="Arial" w:cs="Arial"/>
          <w:szCs w:val="24"/>
        </w:rPr>
        <w:t xml:space="preserve"> cesantías, intereses a las cesantías, </w:t>
      </w:r>
      <w:r w:rsidR="001020BC">
        <w:rPr>
          <w:rFonts w:ascii="Arial" w:hAnsi="Arial" w:cs="Arial"/>
          <w:szCs w:val="24"/>
        </w:rPr>
        <w:t>primas de servicios y compensación de vacaciones</w:t>
      </w:r>
      <w:r w:rsidR="007C047B">
        <w:rPr>
          <w:rFonts w:ascii="Arial" w:hAnsi="Arial" w:cs="Arial"/>
          <w:szCs w:val="24"/>
        </w:rPr>
        <w:t>;</w:t>
      </w:r>
      <w:r w:rsidR="003138ED">
        <w:rPr>
          <w:rFonts w:ascii="Arial" w:hAnsi="Arial" w:cs="Arial"/>
          <w:szCs w:val="24"/>
        </w:rPr>
        <w:t xml:space="preserve"> </w:t>
      </w:r>
      <w:r w:rsidR="00257DDF">
        <w:rPr>
          <w:rFonts w:ascii="Arial" w:hAnsi="Arial" w:cs="Arial"/>
          <w:szCs w:val="24"/>
        </w:rPr>
        <w:t xml:space="preserve">(ii) </w:t>
      </w:r>
      <w:r w:rsidR="001020BC">
        <w:rPr>
          <w:rFonts w:ascii="Arial" w:hAnsi="Arial" w:cs="Arial"/>
          <w:szCs w:val="24"/>
        </w:rPr>
        <w:t xml:space="preserve"> </w:t>
      </w:r>
      <w:r w:rsidR="00F649B6">
        <w:rPr>
          <w:rFonts w:ascii="Arial" w:hAnsi="Arial" w:cs="Arial"/>
          <w:szCs w:val="24"/>
        </w:rPr>
        <w:t>convencional</w:t>
      </w:r>
      <w:r w:rsidR="001020BC">
        <w:rPr>
          <w:rFonts w:ascii="Arial" w:hAnsi="Arial" w:cs="Arial"/>
          <w:szCs w:val="24"/>
        </w:rPr>
        <w:t>es como, prima de servicios, auxilio de transporte, auxilio de alimentación y la dotación de uni</w:t>
      </w:r>
      <w:r w:rsidR="00BB648C">
        <w:rPr>
          <w:rFonts w:ascii="Arial" w:hAnsi="Arial" w:cs="Arial"/>
          <w:szCs w:val="24"/>
        </w:rPr>
        <w:t>formes de trabajadores oficiales</w:t>
      </w:r>
      <w:r w:rsidR="001B7E70">
        <w:rPr>
          <w:rFonts w:ascii="Arial" w:hAnsi="Arial" w:cs="Arial"/>
          <w:szCs w:val="24"/>
        </w:rPr>
        <w:t xml:space="preserve">; </w:t>
      </w:r>
      <w:r w:rsidR="007C047B">
        <w:rPr>
          <w:rFonts w:ascii="Arial" w:hAnsi="Arial" w:cs="Arial"/>
          <w:szCs w:val="24"/>
        </w:rPr>
        <w:t xml:space="preserve">así mismo, </w:t>
      </w:r>
      <w:r w:rsidR="001B7E70">
        <w:rPr>
          <w:rFonts w:ascii="Arial" w:hAnsi="Arial" w:cs="Arial"/>
          <w:szCs w:val="24"/>
        </w:rPr>
        <w:t>(i</w:t>
      </w:r>
      <w:r w:rsidR="009A5D76">
        <w:rPr>
          <w:rFonts w:ascii="Arial" w:hAnsi="Arial" w:cs="Arial"/>
          <w:szCs w:val="24"/>
        </w:rPr>
        <w:t>ii)</w:t>
      </w:r>
      <w:r w:rsidR="007C047B">
        <w:rPr>
          <w:rFonts w:ascii="Arial" w:hAnsi="Arial" w:cs="Arial"/>
          <w:szCs w:val="24"/>
        </w:rPr>
        <w:t xml:space="preserve"> </w:t>
      </w:r>
      <w:r w:rsidR="001B7E70">
        <w:rPr>
          <w:rFonts w:ascii="Arial" w:hAnsi="Arial" w:cs="Arial"/>
          <w:szCs w:val="24"/>
        </w:rPr>
        <w:t>lo</w:t>
      </w:r>
      <w:r w:rsidR="00257DDF">
        <w:rPr>
          <w:rFonts w:ascii="Arial" w:hAnsi="Arial" w:cs="Arial"/>
          <w:szCs w:val="24"/>
        </w:rPr>
        <w:t>s</w:t>
      </w:r>
      <w:r w:rsidR="001B7E70">
        <w:rPr>
          <w:rFonts w:ascii="Arial" w:hAnsi="Arial" w:cs="Arial"/>
          <w:szCs w:val="24"/>
        </w:rPr>
        <w:t xml:space="preserve"> </w:t>
      </w:r>
      <w:r w:rsidR="00257DDF">
        <w:rPr>
          <w:rFonts w:ascii="Arial" w:hAnsi="Arial" w:cs="Arial"/>
          <w:szCs w:val="24"/>
        </w:rPr>
        <w:t xml:space="preserve">valores de aportes hechos </w:t>
      </w:r>
      <w:r w:rsidR="001B7E70">
        <w:rPr>
          <w:rFonts w:ascii="Arial" w:hAnsi="Arial" w:cs="Arial"/>
          <w:szCs w:val="24"/>
        </w:rPr>
        <w:t>al sistema de seguridad social en salud y pensio</w:t>
      </w:r>
      <w:r w:rsidR="00257DDF">
        <w:rPr>
          <w:rFonts w:ascii="Arial" w:hAnsi="Arial" w:cs="Arial"/>
          <w:szCs w:val="24"/>
        </w:rPr>
        <w:t>nes</w:t>
      </w:r>
      <w:r w:rsidR="001B7E70">
        <w:rPr>
          <w:rFonts w:ascii="Arial" w:hAnsi="Arial" w:cs="Arial"/>
          <w:szCs w:val="24"/>
        </w:rPr>
        <w:t>; (</w:t>
      </w:r>
      <w:r w:rsidR="009A5D76">
        <w:rPr>
          <w:rFonts w:ascii="Arial" w:hAnsi="Arial" w:cs="Arial"/>
          <w:szCs w:val="24"/>
        </w:rPr>
        <w:t>i</w:t>
      </w:r>
      <w:r w:rsidR="001B7E70">
        <w:rPr>
          <w:rFonts w:ascii="Arial" w:hAnsi="Arial" w:cs="Arial"/>
          <w:szCs w:val="24"/>
        </w:rPr>
        <w:t>v)</w:t>
      </w:r>
      <w:r w:rsidR="007C047B">
        <w:rPr>
          <w:rFonts w:ascii="Arial" w:hAnsi="Arial" w:cs="Arial"/>
          <w:szCs w:val="24"/>
        </w:rPr>
        <w:t xml:space="preserve"> </w:t>
      </w:r>
      <w:r w:rsidR="001B7E70">
        <w:rPr>
          <w:rFonts w:ascii="Arial" w:hAnsi="Arial" w:cs="Arial"/>
          <w:szCs w:val="24"/>
        </w:rPr>
        <w:t>la</w:t>
      </w:r>
      <w:r w:rsidR="00257DDF">
        <w:rPr>
          <w:rFonts w:ascii="Arial" w:hAnsi="Arial" w:cs="Arial"/>
          <w:szCs w:val="24"/>
        </w:rPr>
        <w:t xml:space="preserve"> indemnización moratoria por no pago de prestaciones desde el 01-11-2011</w:t>
      </w:r>
      <w:r w:rsidR="009A5D76">
        <w:rPr>
          <w:rFonts w:ascii="Arial" w:hAnsi="Arial" w:cs="Arial"/>
          <w:szCs w:val="24"/>
        </w:rPr>
        <w:t xml:space="preserve">; y (vi) </w:t>
      </w:r>
      <w:r w:rsidR="00257DDF">
        <w:rPr>
          <w:rFonts w:ascii="Arial" w:hAnsi="Arial" w:cs="Arial"/>
          <w:szCs w:val="24"/>
        </w:rPr>
        <w:t>la indemnización por la no consignación anual de la</w:t>
      </w:r>
      <w:r w:rsidR="009A5D76">
        <w:rPr>
          <w:rFonts w:ascii="Arial" w:hAnsi="Arial" w:cs="Arial"/>
          <w:szCs w:val="24"/>
        </w:rPr>
        <w:t xml:space="preserve">s </w:t>
      </w:r>
      <w:r w:rsidR="00257DDF">
        <w:rPr>
          <w:rFonts w:ascii="Arial" w:hAnsi="Arial" w:cs="Arial"/>
          <w:szCs w:val="24"/>
        </w:rPr>
        <w:t>cesantías</w:t>
      </w:r>
      <w:r w:rsidR="004D3F25">
        <w:rPr>
          <w:rFonts w:ascii="Arial" w:hAnsi="Arial" w:cs="Arial"/>
          <w:szCs w:val="24"/>
        </w:rPr>
        <w:t xml:space="preserve">, lo que ultra y extra </w:t>
      </w:r>
      <w:proofErr w:type="spellStart"/>
      <w:r w:rsidR="004D3F25">
        <w:rPr>
          <w:rFonts w:ascii="Arial" w:hAnsi="Arial" w:cs="Arial"/>
          <w:szCs w:val="24"/>
        </w:rPr>
        <w:t>petita</w:t>
      </w:r>
      <w:proofErr w:type="spellEnd"/>
      <w:r w:rsidR="004D3F25">
        <w:rPr>
          <w:rFonts w:ascii="Arial" w:hAnsi="Arial" w:cs="Arial"/>
          <w:szCs w:val="24"/>
        </w:rPr>
        <w:t xml:space="preserve"> resulte, indexación, costas y agencias en derecho. </w:t>
      </w:r>
      <w:r w:rsidR="00257DDF">
        <w:rPr>
          <w:rFonts w:ascii="Arial" w:hAnsi="Arial" w:cs="Arial"/>
          <w:szCs w:val="24"/>
        </w:rPr>
        <w:t xml:space="preserve"> </w:t>
      </w:r>
      <w:r w:rsidR="007C047B">
        <w:rPr>
          <w:rFonts w:ascii="Arial" w:hAnsi="Arial" w:cs="Arial"/>
          <w:szCs w:val="24"/>
        </w:rPr>
        <w:t xml:space="preserve"> </w:t>
      </w:r>
    </w:p>
    <w:p w:rsidR="00226D5F" w:rsidRDefault="00226D5F" w:rsidP="002D0D07">
      <w:pPr>
        <w:spacing w:line="276" w:lineRule="auto"/>
        <w:jc w:val="both"/>
        <w:rPr>
          <w:rFonts w:ascii="Arial" w:hAnsi="Arial" w:cs="Arial"/>
          <w:szCs w:val="24"/>
        </w:rPr>
      </w:pPr>
    </w:p>
    <w:p w:rsidR="0061224A" w:rsidRDefault="00A957FB" w:rsidP="00492A3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57DDF">
        <w:rPr>
          <w:rFonts w:ascii="Arial" w:hAnsi="Arial" w:cs="Arial"/>
          <w:szCs w:val="24"/>
        </w:rPr>
        <w:t>fue contratado por el</w:t>
      </w:r>
      <w:r w:rsidR="001B7E70">
        <w:rPr>
          <w:rFonts w:ascii="Arial" w:hAnsi="Arial" w:cs="Arial"/>
          <w:szCs w:val="24"/>
        </w:rPr>
        <w:t xml:space="preserve"> </w:t>
      </w:r>
      <w:proofErr w:type="spellStart"/>
      <w:r w:rsidR="001B7E70">
        <w:rPr>
          <w:rFonts w:ascii="Arial" w:hAnsi="Arial" w:cs="Arial"/>
          <w:szCs w:val="24"/>
        </w:rPr>
        <w:t>ISS</w:t>
      </w:r>
      <w:proofErr w:type="spellEnd"/>
      <w:r w:rsidR="001B7E70">
        <w:rPr>
          <w:rFonts w:ascii="Arial" w:hAnsi="Arial" w:cs="Arial"/>
          <w:szCs w:val="24"/>
        </w:rPr>
        <w:t xml:space="preserve"> seccional Risaralda </w:t>
      </w:r>
      <w:r w:rsidR="006518D7">
        <w:rPr>
          <w:rFonts w:ascii="Arial" w:hAnsi="Arial" w:cs="Arial"/>
          <w:szCs w:val="24"/>
        </w:rPr>
        <w:t>como</w:t>
      </w:r>
      <w:r w:rsidR="0098108A">
        <w:rPr>
          <w:rFonts w:ascii="Arial" w:hAnsi="Arial" w:cs="Arial"/>
          <w:szCs w:val="24"/>
        </w:rPr>
        <w:t xml:space="preserve"> </w:t>
      </w:r>
      <w:r w:rsidR="00E6002A">
        <w:rPr>
          <w:rFonts w:ascii="Arial" w:hAnsi="Arial" w:cs="Arial"/>
          <w:szCs w:val="24"/>
        </w:rPr>
        <w:t>auxiliar administrativo</w:t>
      </w:r>
      <w:r w:rsidR="0061224A">
        <w:rPr>
          <w:rFonts w:ascii="Arial" w:hAnsi="Arial" w:cs="Arial"/>
          <w:szCs w:val="24"/>
        </w:rPr>
        <w:t>,</w:t>
      </w:r>
      <w:r w:rsidR="004E677D" w:rsidRPr="003C662B">
        <w:rPr>
          <w:rFonts w:ascii="Arial" w:hAnsi="Arial" w:cs="Arial"/>
          <w:szCs w:val="24"/>
        </w:rPr>
        <w:t xml:space="preserve"> bajo las órdenes</w:t>
      </w:r>
      <w:r w:rsidR="0061224A">
        <w:rPr>
          <w:rFonts w:ascii="Arial" w:hAnsi="Arial" w:cs="Arial"/>
          <w:szCs w:val="24"/>
        </w:rPr>
        <w:t xml:space="preserve"> d</w:t>
      </w:r>
      <w:r w:rsidR="004E677D" w:rsidRPr="003C662B">
        <w:rPr>
          <w:rFonts w:ascii="Arial" w:hAnsi="Arial" w:cs="Arial"/>
          <w:szCs w:val="24"/>
        </w:rPr>
        <w:t>el Jefe de Departamento de Pensione</w:t>
      </w:r>
      <w:r w:rsidR="00E6002A">
        <w:rPr>
          <w:rFonts w:ascii="Arial" w:hAnsi="Arial" w:cs="Arial"/>
          <w:szCs w:val="24"/>
        </w:rPr>
        <w:t>s Dra. María Gregoria Vásquez Correa</w:t>
      </w:r>
      <w:r w:rsidR="006518D7" w:rsidRPr="003C662B">
        <w:rPr>
          <w:rFonts w:ascii="Arial" w:hAnsi="Arial" w:cs="Arial"/>
          <w:szCs w:val="24"/>
        </w:rPr>
        <w:t>,</w:t>
      </w:r>
      <w:r w:rsidR="004E677D" w:rsidRPr="003C662B">
        <w:rPr>
          <w:rFonts w:ascii="Arial" w:hAnsi="Arial" w:cs="Arial"/>
          <w:szCs w:val="24"/>
        </w:rPr>
        <w:t xml:space="preserve"> </w:t>
      </w:r>
      <w:r w:rsidR="00E6002A">
        <w:rPr>
          <w:rFonts w:ascii="Arial" w:hAnsi="Arial" w:cs="Arial"/>
          <w:szCs w:val="24"/>
        </w:rPr>
        <w:t>mediante 5 contratos de prestación de servicios</w:t>
      </w:r>
      <w:r w:rsidR="004B3927">
        <w:rPr>
          <w:rFonts w:ascii="Arial" w:hAnsi="Arial" w:cs="Arial"/>
          <w:szCs w:val="24"/>
        </w:rPr>
        <w:t>;</w:t>
      </w:r>
      <w:r w:rsidR="00E6002A">
        <w:rPr>
          <w:rFonts w:ascii="Arial" w:hAnsi="Arial" w:cs="Arial"/>
          <w:szCs w:val="24"/>
        </w:rPr>
        <w:t xml:space="preserve"> los dos primeros desde 01-09-2009 y hasta el 30-04-2010, los otros tres iniciando el 01-07-2010 </w:t>
      </w:r>
      <w:r w:rsidR="00901EB0">
        <w:rPr>
          <w:rFonts w:ascii="Arial" w:hAnsi="Arial" w:cs="Arial"/>
          <w:szCs w:val="24"/>
        </w:rPr>
        <w:t>y hasta el 31-10-2011, con h</w:t>
      </w:r>
      <w:r w:rsidR="00E6002A">
        <w:rPr>
          <w:rFonts w:ascii="Arial" w:hAnsi="Arial" w:cs="Arial"/>
          <w:szCs w:val="24"/>
        </w:rPr>
        <w:t>orario de lunes a viernes de 7:30</w:t>
      </w:r>
      <w:r w:rsidR="004E677D" w:rsidRPr="003C662B">
        <w:rPr>
          <w:rFonts w:ascii="Arial" w:hAnsi="Arial" w:cs="Arial"/>
          <w:szCs w:val="24"/>
        </w:rPr>
        <w:t xml:space="preserve"> a.m. a</w:t>
      </w:r>
      <w:r w:rsidR="003C662B" w:rsidRPr="003C662B">
        <w:rPr>
          <w:rFonts w:ascii="Arial" w:hAnsi="Arial" w:cs="Arial"/>
          <w:szCs w:val="24"/>
        </w:rPr>
        <w:t xml:space="preserve"> 12:00 m y de 2:00 p.m. a 6</w:t>
      </w:r>
      <w:r w:rsidR="00271C9A" w:rsidRPr="003C662B">
        <w:rPr>
          <w:rFonts w:ascii="Arial" w:hAnsi="Arial" w:cs="Arial"/>
          <w:szCs w:val="24"/>
        </w:rPr>
        <w:t>:00 p.m.</w:t>
      </w:r>
      <w:r w:rsidR="004E677D" w:rsidRPr="003C662B">
        <w:rPr>
          <w:rFonts w:ascii="Arial" w:hAnsi="Arial" w:cs="Arial"/>
          <w:szCs w:val="24"/>
        </w:rPr>
        <w:t>;</w:t>
      </w:r>
      <w:r w:rsidR="004E677D">
        <w:rPr>
          <w:rFonts w:ascii="Arial" w:hAnsi="Arial" w:cs="Arial"/>
          <w:szCs w:val="24"/>
        </w:rPr>
        <w:t xml:space="preserve"> </w:t>
      </w:r>
      <w:r w:rsidR="0098108A">
        <w:rPr>
          <w:rFonts w:ascii="Arial" w:hAnsi="Arial" w:cs="Arial"/>
          <w:szCs w:val="24"/>
        </w:rPr>
        <w:t>(</w:t>
      </w:r>
      <w:r w:rsidR="007647BC">
        <w:rPr>
          <w:rFonts w:ascii="Arial" w:hAnsi="Arial" w:cs="Arial"/>
          <w:szCs w:val="24"/>
        </w:rPr>
        <w:t>i</w:t>
      </w:r>
      <w:r w:rsidR="00791F1D">
        <w:rPr>
          <w:rFonts w:ascii="Arial" w:hAnsi="Arial" w:cs="Arial"/>
          <w:szCs w:val="24"/>
        </w:rPr>
        <w:t>i)</w:t>
      </w:r>
      <w:r w:rsidR="00901EB0">
        <w:rPr>
          <w:rFonts w:ascii="Arial" w:hAnsi="Arial" w:cs="Arial"/>
          <w:szCs w:val="24"/>
        </w:rPr>
        <w:t xml:space="preserve"> </w:t>
      </w:r>
      <w:r w:rsidR="004E677D">
        <w:rPr>
          <w:rFonts w:ascii="Arial" w:hAnsi="Arial" w:cs="Arial"/>
          <w:szCs w:val="24"/>
        </w:rPr>
        <w:t>devengó</w:t>
      </w:r>
      <w:r w:rsidR="006518D7">
        <w:rPr>
          <w:rFonts w:ascii="Arial" w:hAnsi="Arial" w:cs="Arial"/>
          <w:szCs w:val="24"/>
        </w:rPr>
        <w:t xml:space="preserve"> como salario</w:t>
      </w:r>
      <w:r w:rsidR="009A5D76">
        <w:rPr>
          <w:rFonts w:ascii="Arial" w:hAnsi="Arial" w:cs="Arial"/>
          <w:szCs w:val="24"/>
        </w:rPr>
        <w:t xml:space="preserve"> inicial</w:t>
      </w:r>
      <w:r w:rsidR="006518D7">
        <w:rPr>
          <w:rFonts w:ascii="Arial" w:hAnsi="Arial" w:cs="Arial"/>
          <w:szCs w:val="24"/>
        </w:rPr>
        <w:t xml:space="preserve"> </w:t>
      </w:r>
      <w:r w:rsidR="00074481">
        <w:rPr>
          <w:rFonts w:ascii="Arial" w:hAnsi="Arial" w:cs="Arial"/>
          <w:szCs w:val="24"/>
        </w:rPr>
        <w:t>$</w:t>
      </w:r>
      <w:r w:rsidR="00AB79E7">
        <w:rPr>
          <w:rFonts w:ascii="Arial" w:hAnsi="Arial" w:cs="Arial"/>
          <w:szCs w:val="24"/>
        </w:rPr>
        <w:t>807.525</w:t>
      </w:r>
      <w:r w:rsidR="009A5D76">
        <w:rPr>
          <w:rFonts w:ascii="Arial" w:hAnsi="Arial" w:cs="Arial"/>
          <w:szCs w:val="24"/>
        </w:rPr>
        <w:t xml:space="preserve"> y </w:t>
      </w:r>
      <w:r w:rsidR="0061224A">
        <w:rPr>
          <w:rFonts w:ascii="Arial" w:hAnsi="Arial" w:cs="Arial"/>
          <w:szCs w:val="24"/>
        </w:rPr>
        <w:t>el último</w:t>
      </w:r>
      <w:r w:rsidR="00BB648C">
        <w:rPr>
          <w:rFonts w:ascii="Arial" w:hAnsi="Arial" w:cs="Arial"/>
          <w:szCs w:val="24"/>
        </w:rPr>
        <w:t xml:space="preserve"> de </w:t>
      </w:r>
      <w:r w:rsidR="00901EB0">
        <w:rPr>
          <w:rFonts w:ascii="Arial" w:hAnsi="Arial" w:cs="Arial"/>
          <w:szCs w:val="24"/>
        </w:rPr>
        <w:t>$849.787</w:t>
      </w:r>
      <w:r w:rsidR="00122F27" w:rsidRPr="00D709E9">
        <w:rPr>
          <w:rFonts w:ascii="Arial" w:hAnsi="Arial" w:cs="Arial"/>
          <w:szCs w:val="24"/>
        </w:rPr>
        <w:t>;</w:t>
      </w:r>
      <w:r w:rsidR="00122F27">
        <w:rPr>
          <w:rFonts w:ascii="Arial" w:hAnsi="Arial" w:cs="Arial"/>
          <w:szCs w:val="24"/>
        </w:rPr>
        <w:t xml:space="preserve"> (iv) </w:t>
      </w:r>
      <w:r w:rsidR="004E677D">
        <w:rPr>
          <w:rFonts w:ascii="Arial" w:hAnsi="Arial" w:cs="Arial"/>
          <w:szCs w:val="24"/>
        </w:rPr>
        <w:t>mensualmente realizó los pagos al sistema de seguridad social</w:t>
      </w:r>
      <w:r w:rsidR="0061224A">
        <w:rPr>
          <w:rFonts w:ascii="Arial" w:hAnsi="Arial" w:cs="Arial"/>
          <w:szCs w:val="24"/>
        </w:rPr>
        <w:t>.</w:t>
      </w:r>
    </w:p>
    <w:p w:rsidR="0061224A" w:rsidRDefault="0061224A" w:rsidP="00492A37">
      <w:pPr>
        <w:spacing w:line="276" w:lineRule="auto"/>
        <w:jc w:val="both"/>
        <w:rPr>
          <w:rFonts w:ascii="Arial" w:hAnsi="Arial" w:cs="Arial"/>
          <w:szCs w:val="24"/>
        </w:rPr>
      </w:pPr>
    </w:p>
    <w:p w:rsidR="00907942" w:rsidRDefault="00271C9A" w:rsidP="00492A37">
      <w:pPr>
        <w:spacing w:line="276" w:lineRule="auto"/>
        <w:jc w:val="both"/>
        <w:rPr>
          <w:rFonts w:ascii="Arial" w:hAnsi="Arial" w:cs="Arial"/>
          <w:szCs w:val="24"/>
        </w:rPr>
      </w:pPr>
      <w:r>
        <w:rPr>
          <w:rFonts w:ascii="Arial" w:hAnsi="Arial" w:cs="Arial"/>
          <w:szCs w:val="24"/>
        </w:rPr>
        <w:t xml:space="preserve">(v) </w:t>
      </w:r>
      <w:r w:rsidR="0061224A">
        <w:rPr>
          <w:rFonts w:ascii="Arial" w:hAnsi="Arial" w:cs="Arial"/>
          <w:szCs w:val="24"/>
        </w:rPr>
        <w:t>E</w:t>
      </w:r>
      <w:r>
        <w:rPr>
          <w:rFonts w:ascii="Arial" w:hAnsi="Arial" w:cs="Arial"/>
          <w:szCs w:val="24"/>
        </w:rPr>
        <w:t xml:space="preserve">l </w:t>
      </w:r>
      <w:proofErr w:type="spellStart"/>
      <w:r>
        <w:rPr>
          <w:rFonts w:ascii="Arial" w:hAnsi="Arial" w:cs="Arial"/>
          <w:szCs w:val="24"/>
        </w:rPr>
        <w:t>ISS</w:t>
      </w:r>
      <w:proofErr w:type="spellEnd"/>
      <w:r>
        <w:rPr>
          <w:rFonts w:ascii="Arial" w:hAnsi="Arial" w:cs="Arial"/>
          <w:szCs w:val="24"/>
        </w:rPr>
        <w:t xml:space="preserve"> suscribió una convención colectiva con el sindicato de trabajadores del Seguro Social </w:t>
      </w:r>
      <w:r w:rsidR="00DA6E57">
        <w:rPr>
          <w:rFonts w:ascii="Arial" w:hAnsi="Arial" w:cs="Arial"/>
          <w:szCs w:val="24"/>
        </w:rPr>
        <w:t>S</w:t>
      </w:r>
      <w:r w:rsidR="003945E4">
        <w:rPr>
          <w:rFonts w:ascii="Arial" w:hAnsi="Arial" w:cs="Arial"/>
          <w:szCs w:val="24"/>
        </w:rPr>
        <w:t>intra</w:t>
      </w:r>
      <w:r w:rsidR="00DA6E57">
        <w:rPr>
          <w:rFonts w:ascii="Arial" w:hAnsi="Arial" w:cs="Arial"/>
          <w:szCs w:val="24"/>
        </w:rPr>
        <w:t xml:space="preserve"> </w:t>
      </w:r>
      <w:r w:rsidR="003945E4">
        <w:rPr>
          <w:rFonts w:ascii="Arial" w:hAnsi="Arial" w:cs="Arial"/>
          <w:szCs w:val="24"/>
        </w:rPr>
        <w:t>seguridad</w:t>
      </w:r>
      <w:r w:rsidR="00DA6E57">
        <w:rPr>
          <w:rFonts w:ascii="Arial" w:hAnsi="Arial" w:cs="Arial"/>
          <w:szCs w:val="24"/>
        </w:rPr>
        <w:t xml:space="preserve"> S</w:t>
      </w:r>
      <w:r w:rsidR="003945E4">
        <w:rPr>
          <w:rFonts w:ascii="Arial" w:hAnsi="Arial" w:cs="Arial"/>
          <w:szCs w:val="24"/>
        </w:rPr>
        <w:t>ocial</w:t>
      </w:r>
      <w:r>
        <w:rPr>
          <w:rFonts w:ascii="Arial" w:hAnsi="Arial" w:cs="Arial"/>
          <w:szCs w:val="24"/>
        </w:rPr>
        <w:t>, donde se incluyó a todos los trabajadores de planta como beneficiarios</w:t>
      </w:r>
      <w:r w:rsidR="00615660">
        <w:rPr>
          <w:rFonts w:ascii="Arial" w:hAnsi="Arial" w:cs="Arial"/>
          <w:szCs w:val="24"/>
        </w:rPr>
        <w:t>,</w:t>
      </w:r>
      <w:r>
        <w:rPr>
          <w:rFonts w:ascii="Arial" w:hAnsi="Arial" w:cs="Arial"/>
          <w:szCs w:val="24"/>
        </w:rPr>
        <w:t xml:space="preserve"> sin distinguir si es afiliado o no al sindica</w:t>
      </w:r>
      <w:r w:rsidR="00AB79E7">
        <w:rPr>
          <w:rFonts w:ascii="Arial" w:hAnsi="Arial" w:cs="Arial"/>
          <w:szCs w:val="24"/>
        </w:rPr>
        <w:t>to, por lo tanto es beneficiario</w:t>
      </w:r>
      <w:r>
        <w:rPr>
          <w:rFonts w:ascii="Arial" w:hAnsi="Arial" w:cs="Arial"/>
          <w:szCs w:val="24"/>
        </w:rPr>
        <w:t xml:space="preserve"> de dicha convención</w:t>
      </w:r>
      <w:r w:rsidR="00907942">
        <w:rPr>
          <w:rFonts w:ascii="Arial" w:hAnsi="Arial" w:cs="Arial"/>
          <w:szCs w:val="24"/>
        </w:rPr>
        <w:t xml:space="preserve"> vigente 2001-2004</w:t>
      </w:r>
      <w:r>
        <w:rPr>
          <w:rFonts w:ascii="Arial" w:hAnsi="Arial" w:cs="Arial"/>
          <w:szCs w:val="24"/>
        </w:rPr>
        <w:t xml:space="preserve">; (vi) </w:t>
      </w:r>
      <w:r w:rsidR="00122F27">
        <w:rPr>
          <w:rFonts w:ascii="Arial" w:hAnsi="Arial" w:cs="Arial"/>
          <w:szCs w:val="24"/>
        </w:rPr>
        <w:t>no se le han pa</w:t>
      </w:r>
      <w:r w:rsidR="00AB79E7">
        <w:rPr>
          <w:rFonts w:ascii="Arial" w:hAnsi="Arial" w:cs="Arial"/>
          <w:szCs w:val="24"/>
        </w:rPr>
        <w:t>gado las prestaciones sociales</w:t>
      </w:r>
      <w:r w:rsidR="00920D01">
        <w:rPr>
          <w:rFonts w:ascii="Arial" w:hAnsi="Arial" w:cs="Arial"/>
          <w:szCs w:val="24"/>
        </w:rPr>
        <w:t xml:space="preserve">, </w:t>
      </w:r>
      <w:r>
        <w:rPr>
          <w:rFonts w:ascii="Arial" w:hAnsi="Arial" w:cs="Arial"/>
          <w:szCs w:val="24"/>
        </w:rPr>
        <w:t>ni los beneficios de</w:t>
      </w:r>
      <w:r w:rsidR="00907942">
        <w:rPr>
          <w:rFonts w:ascii="Arial" w:hAnsi="Arial" w:cs="Arial"/>
          <w:szCs w:val="24"/>
        </w:rPr>
        <w:t xml:space="preserve"> </w:t>
      </w:r>
      <w:r>
        <w:rPr>
          <w:rFonts w:ascii="Arial" w:hAnsi="Arial" w:cs="Arial"/>
          <w:szCs w:val="24"/>
        </w:rPr>
        <w:t>la convención colectiva</w:t>
      </w:r>
      <w:r w:rsidR="004B3927">
        <w:rPr>
          <w:rFonts w:ascii="Arial" w:hAnsi="Arial" w:cs="Arial"/>
          <w:szCs w:val="24"/>
        </w:rPr>
        <w:t>,</w:t>
      </w:r>
      <w:r>
        <w:rPr>
          <w:rFonts w:ascii="Arial" w:hAnsi="Arial" w:cs="Arial"/>
          <w:szCs w:val="24"/>
        </w:rPr>
        <w:t xml:space="preserve"> como</w:t>
      </w:r>
      <w:r w:rsidR="00AB79E7">
        <w:rPr>
          <w:rFonts w:ascii="Arial" w:hAnsi="Arial" w:cs="Arial"/>
          <w:szCs w:val="24"/>
        </w:rPr>
        <w:t xml:space="preserve"> </w:t>
      </w:r>
      <w:r>
        <w:rPr>
          <w:rFonts w:ascii="Arial" w:hAnsi="Arial" w:cs="Arial"/>
          <w:szCs w:val="24"/>
        </w:rPr>
        <w:t>prima de servicios,</w:t>
      </w:r>
      <w:r w:rsidR="00CA31D2">
        <w:rPr>
          <w:rFonts w:ascii="Arial" w:hAnsi="Arial" w:cs="Arial"/>
          <w:szCs w:val="24"/>
        </w:rPr>
        <w:t xml:space="preserve"> auxilio de transporte y alimentación, </w:t>
      </w:r>
      <w:r w:rsidR="00AB79E7">
        <w:rPr>
          <w:rFonts w:ascii="Arial" w:hAnsi="Arial" w:cs="Arial"/>
          <w:szCs w:val="24"/>
        </w:rPr>
        <w:t>dotaciones</w:t>
      </w:r>
      <w:r w:rsidR="00920D01">
        <w:rPr>
          <w:rFonts w:ascii="Arial" w:hAnsi="Arial" w:cs="Arial"/>
          <w:szCs w:val="24"/>
        </w:rPr>
        <w:t xml:space="preserve">; (vii) la reclamación </w:t>
      </w:r>
      <w:r w:rsidR="00AB79E7">
        <w:rPr>
          <w:rFonts w:ascii="Arial" w:hAnsi="Arial" w:cs="Arial"/>
          <w:szCs w:val="24"/>
        </w:rPr>
        <w:t>administrativa se presentó el 25-10-2012</w:t>
      </w:r>
      <w:r w:rsidR="007A23CA">
        <w:rPr>
          <w:rFonts w:ascii="Arial" w:hAnsi="Arial" w:cs="Arial"/>
          <w:szCs w:val="24"/>
        </w:rPr>
        <w:t>.</w:t>
      </w:r>
    </w:p>
    <w:p w:rsidR="00CA31D2" w:rsidRDefault="00CA31D2" w:rsidP="00492A37">
      <w:pPr>
        <w:spacing w:line="276" w:lineRule="auto"/>
        <w:jc w:val="both"/>
        <w:rPr>
          <w:rFonts w:ascii="Arial" w:hAnsi="Arial" w:cs="Arial"/>
          <w:szCs w:val="24"/>
        </w:rPr>
      </w:pPr>
    </w:p>
    <w:p w:rsidR="0014275E" w:rsidRDefault="007A23CA" w:rsidP="00CC702C">
      <w:pPr>
        <w:spacing w:line="276" w:lineRule="auto"/>
        <w:jc w:val="both"/>
        <w:rPr>
          <w:rFonts w:ascii="Arial" w:hAnsi="Arial" w:cs="Arial"/>
          <w:szCs w:val="24"/>
        </w:rPr>
      </w:pPr>
      <w:r>
        <w:rPr>
          <w:rFonts w:ascii="Arial" w:hAnsi="Arial" w:cs="Arial"/>
          <w:b/>
          <w:szCs w:val="24"/>
        </w:rPr>
        <w:t>Instituto de Seguros Sociales en liquidación</w:t>
      </w:r>
      <w:r w:rsidR="00B4338D">
        <w:rPr>
          <w:rFonts w:ascii="Arial" w:hAnsi="Arial" w:cs="Arial"/>
          <w:szCs w:val="24"/>
        </w:rPr>
        <w:t xml:space="preserve"> </w:t>
      </w:r>
      <w:r w:rsidR="00CC702C">
        <w:rPr>
          <w:rFonts w:ascii="Arial" w:hAnsi="Arial" w:cs="Arial"/>
          <w:szCs w:val="24"/>
        </w:rPr>
        <w:t xml:space="preserve">aceptó la prestación personal del servicio desde septiembre de 2009, pero bajo contratos de prestación de servicios, el valor de los </w:t>
      </w:r>
      <w:r w:rsidR="00945C06">
        <w:rPr>
          <w:rFonts w:ascii="Arial" w:hAnsi="Arial" w:cs="Arial"/>
          <w:szCs w:val="24"/>
        </w:rPr>
        <w:t>honorarios; Frente</w:t>
      </w:r>
      <w:r w:rsidR="00CC702C" w:rsidRPr="007F4C07">
        <w:rPr>
          <w:rFonts w:ascii="Arial" w:hAnsi="Arial" w:cs="Arial"/>
          <w:szCs w:val="24"/>
        </w:rPr>
        <w:t xml:space="preserve"> a las pretensiones </w:t>
      </w:r>
      <w:r w:rsidR="00CC702C">
        <w:rPr>
          <w:rFonts w:ascii="Arial" w:hAnsi="Arial" w:cs="Arial"/>
          <w:szCs w:val="24"/>
        </w:rPr>
        <w:t>se opuso y</w:t>
      </w:r>
      <w:r w:rsidR="00CC702C" w:rsidRPr="007F4C07">
        <w:rPr>
          <w:rFonts w:ascii="Arial" w:hAnsi="Arial" w:cs="Arial"/>
          <w:szCs w:val="24"/>
        </w:rPr>
        <w:t xml:space="preserve"> propuso</w:t>
      </w:r>
      <w:r w:rsidR="00CC702C">
        <w:rPr>
          <w:rFonts w:ascii="Arial" w:hAnsi="Arial" w:cs="Arial"/>
          <w:szCs w:val="24"/>
        </w:rPr>
        <w:t xml:space="preserve"> las</w:t>
      </w:r>
      <w:r w:rsidR="00CC702C" w:rsidRPr="007F4C07">
        <w:rPr>
          <w:rFonts w:ascii="Arial" w:hAnsi="Arial" w:cs="Arial"/>
          <w:szCs w:val="24"/>
        </w:rPr>
        <w:t xml:space="preserve"> </w:t>
      </w:r>
      <w:r w:rsidR="00CC702C">
        <w:rPr>
          <w:rFonts w:ascii="Arial" w:hAnsi="Arial" w:cs="Arial"/>
          <w:szCs w:val="24"/>
        </w:rPr>
        <w:t>excepciones de</w:t>
      </w:r>
      <w:r w:rsidR="00634550">
        <w:rPr>
          <w:rFonts w:ascii="Arial" w:hAnsi="Arial" w:cs="Arial"/>
          <w:szCs w:val="24"/>
        </w:rPr>
        <w:t xml:space="preserve"> “Pago total de la deuda”</w:t>
      </w:r>
      <w:r w:rsidR="00CC702C">
        <w:rPr>
          <w:rFonts w:ascii="Arial" w:hAnsi="Arial" w:cs="Arial"/>
          <w:szCs w:val="24"/>
        </w:rPr>
        <w:t>; “</w:t>
      </w:r>
      <w:r w:rsidR="00634550">
        <w:rPr>
          <w:rFonts w:ascii="Arial" w:hAnsi="Arial" w:cs="Arial"/>
          <w:szCs w:val="24"/>
        </w:rPr>
        <w:t>cobro de lo no debido</w:t>
      </w:r>
      <w:r w:rsidR="00945C06">
        <w:rPr>
          <w:rFonts w:ascii="Arial" w:hAnsi="Arial" w:cs="Arial"/>
          <w:szCs w:val="24"/>
        </w:rPr>
        <w:t>”; “</w:t>
      </w:r>
      <w:r w:rsidR="00634550">
        <w:rPr>
          <w:rFonts w:ascii="Arial" w:hAnsi="Arial" w:cs="Arial"/>
          <w:szCs w:val="24"/>
        </w:rPr>
        <w:t>enriquecimiento sin justa causa”; “</w:t>
      </w:r>
      <w:r w:rsidR="00537085">
        <w:rPr>
          <w:rFonts w:ascii="Arial" w:hAnsi="Arial" w:cs="Arial"/>
          <w:szCs w:val="24"/>
        </w:rPr>
        <w:t>buena fe</w:t>
      </w:r>
      <w:r w:rsidR="00634550">
        <w:rPr>
          <w:rFonts w:ascii="Arial" w:hAnsi="Arial" w:cs="Arial"/>
          <w:szCs w:val="24"/>
        </w:rPr>
        <w:t xml:space="preserve">“ y </w:t>
      </w:r>
      <w:r w:rsidR="00CC702C">
        <w:rPr>
          <w:rFonts w:ascii="Arial" w:hAnsi="Arial" w:cs="Arial"/>
          <w:szCs w:val="24"/>
        </w:rPr>
        <w:t>“prescripción”</w:t>
      </w:r>
    </w:p>
    <w:p w:rsidR="00622ABF" w:rsidRDefault="00622ABF" w:rsidP="00492A37">
      <w:pPr>
        <w:spacing w:line="276" w:lineRule="auto"/>
        <w:jc w:val="both"/>
        <w:rPr>
          <w:rFonts w:ascii="Arial" w:hAnsi="Arial" w:cs="Arial"/>
          <w:szCs w:val="24"/>
        </w:rPr>
      </w:pPr>
    </w:p>
    <w:p w:rsidR="00B10FBC" w:rsidRDefault="00634550" w:rsidP="00492A37">
      <w:pPr>
        <w:spacing w:line="276" w:lineRule="auto"/>
        <w:jc w:val="both"/>
        <w:rPr>
          <w:rFonts w:ascii="Arial" w:hAnsi="Arial" w:cs="Arial"/>
          <w:szCs w:val="24"/>
        </w:rPr>
      </w:pPr>
      <w:r>
        <w:rPr>
          <w:rFonts w:ascii="Arial" w:hAnsi="Arial" w:cs="Arial"/>
          <w:szCs w:val="24"/>
        </w:rPr>
        <w:t xml:space="preserve">Posterior a </w:t>
      </w:r>
      <w:r w:rsidR="00296D4A">
        <w:rPr>
          <w:rFonts w:ascii="Arial" w:hAnsi="Arial" w:cs="Arial"/>
          <w:szCs w:val="24"/>
        </w:rPr>
        <w:t>lo antes dicho, la Jueza vinculó</w:t>
      </w:r>
      <w:r>
        <w:rPr>
          <w:rFonts w:ascii="Arial" w:hAnsi="Arial" w:cs="Arial"/>
          <w:szCs w:val="24"/>
        </w:rPr>
        <w:t xml:space="preserve"> a la </w:t>
      </w:r>
      <w:proofErr w:type="spellStart"/>
      <w:r>
        <w:rPr>
          <w:rFonts w:ascii="Arial" w:hAnsi="Arial" w:cs="Arial"/>
          <w:szCs w:val="24"/>
        </w:rPr>
        <w:t>FIDUAGRARIA</w:t>
      </w:r>
      <w:proofErr w:type="spellEnd"/>
      <w:r>
        <w:rPr>
          <w:rFonts w:ascii="Arial" w:hAnsi="Arial" w:cs="Arial"/>
          <w:szCs w:val="24"/>
        </w:rPr>
        <w:t xml:space="preserve"> S.A. (fl.146) y al PAR </w:t>
      </w:r>
      <w:proofErr w:type="spellStart"/>
      <w:r>
        <w:rPr>
          <w:rFonts w:ascii="Arial" w:hAnsi="Arial" w:cs="Arial"/>
          <w:szCs w:val="24"/>
        </w:rPr>
        <w:t>ISS</w:t>
      </w:r>
      <w:proofErr w:type="spellEnd"/>
      <w:r>
        <w:rPr>
          <w:rFonts w:ascii="Arial" w:hAnsi="Arial" w:cs="Arial"/>
          <w:szCs w:val="24"/>
        </w:rPr>
        <w:t xml:space="preserve"> (fl.150) en calidad de sucesor procesal, entidad que medi</w:t>
      </w:r>
      <w:r w:rsidR="00296D4A">
        <w:rPr>
          <w:rFonts w:ascii="Arial" w:hAnsi="Arial" w:cs="Arial"/>
          <w:szCs w:val="24"/>
        </w:rPr>
        <w:t>ante apoderado judicial contestó</w:t>
      </w:r>
      <w:r>
        <w:rPr>
          <w:rFonts w:ascii="Arial" w:hAnsi="Arial" w:cs="Arial"/>
          <w:szCs w:val="24"/>
        </w:rPr>
        <w:t xml:space="preserve"> la demanda </w:t>
      </w:r>
      <w:r w:rsidR="00537085">
        <w:rPr>
          <w:rFonts w:ascii="Arial" w:hAnsi="Arial" w:cs="Arial"/>
          <w:szCs w:val="24"/>
        </w:rPr>
        <w:t>oponiéndose a todas las pretensiones y</w:t>
      </w:r>
      <w:r w:rsidR="00537085" w:rsidRPr="007F4C07">
        <w:rPr>
          <w:rFonts w:ascii="Arial" w:hAnsi="Arial" w:cs="Arial"/>
          <w:szCs w:val="24"/>
        </w:rPr>
        <w:t xml:space="preserve"> propuso</w:t>
      </w:r>
      <w:r w:rsidR="00537085">
        <w:rPr>
          <w:rFonts w:ascii="Arial" w:hAnsi="Arial" w:cs="Arial"/>
          <w:szCs w:val="24"/>
        </w:rPr>
        <w:t xml:space="preserve"> las</w:t>
      </w:r>
      <w:r w:rsidR="00537085" w:rsidRPr="007F4C07">
        <w:rPr>
          <w:rFonts w:ascii="Arial" w:hAnsi="Arial" w:cs="Arial"/>
          <w:szCs w:val="24"/>
        </w:rPr>
        <w:t xml:space="preserve"> </w:t>
      </w:r>
      <w:r w:rsidR="00537085">
        <w:rPr>
          <w:rFonts w:ascii="Arial" w:hAnsi="Arial" w:cs="Arial"/>
          <w:szCs w:val="24"/>
        </w:rPr>
        <w:lastRenderedPageBreak/>
        <w:t>excepciones de “Pago total de la deuda”; “cobro de lo no debido”;  “enriquecimiento sin justa causa”; “buena fe” y “prescripción”</w:t>
      </w:r>
    </w:p>
    <w:p w:rsidR="00672F37" w:rsidRDefault="00672F37" w:rsidP="00492A37">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9740CF" w:rsidRDefault="00BB7E94" w:rsidP="002D0D07">
      <w:pPr>
        <w:spacing w:line="276" w:lineRule="auto"/>
        <w:rPr>
          <w:rFonts w:ascii="Arial" w:hAnsi="Arial" w:cs="Arial"/>
          <w:b/>
          <w:szCs w:val="24"/>
        </w:rPr>
      </w:pPr>
    </w:p>
    <w:p w:rsidR="002F2D3C"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83F03">
        <w:rPr>
          <w:rFonts w:ascii="Arial" w:hAnsi="Arial" w:cs="Arial"/>
          <w:color w:val="000000"/>
          <w:szCs w:val="24"/>
          <w:lang w:eastAsia="es-CO"/>
        </w:rPr>
        <w:t xml:space="preserve"> Cuarto</w:t>
      </w:r>
      <w:r w:rsidR="00627E70">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AF4C89">
        <w:rPr>
          <w:rFonts w:ascii="Arial" w:hAnsi="Arial" w:cs="Arial"/>
          <w:color w:val="000000"/>
          <w:szCs w:val="24"/>
          <w:lang w:eastAsia="es-CO"/>
        </w:rPr>
        <w:t xml:space="preserve">declaró </w:t>
      </w:r>
      <w:r w:rsidR="00537085">
        <w:rPr>
          <w:rFonts w:ascii="Arial" w:hAnsi="Arial" w:cs="Arial"/>
          <w:color w:val="000000"/>
          <w:szCs w:val="24"/>
          <w:lang w:eastAsia="es-CO"/>
        </w:rPr>
        <w:t xml:space="preserve">no probadas </w:t>
      </w:r>
      <w:r w:rsidR="005211DB">
        <w:rPr>
          <w:rFonts w:ascii="Arial" w:hAnsi="Arial" w:cs="Arial"/>
          <w:color w:val="000000"/>
          <w:szCs w:val="24"/>
          <w:lang w:eastAsia="es-CO"/>
        </w:rPr>
        <w:t>la</w:t>
      </w:r>
      <w:r w:rsidR="00537085">
        <w:rPr>
          <w:rFonts w:ascii="Arial" w:hAnsi="Arial" w:cs="Arial"/>
          <w:color w:val="000000"/>
          <w:szCs w:val="24"/>
          <w:lang w:eastAsia="es-CO"/>
        </w:rPr>
        <w:t>s</w:t>
      </w:r>
      <w:r w:rsidR="005211DB">
        <w:rPr>
          <w:rFonts w:ascii="Arial" w:hAnsi="Arial" w:cs="Arial"/>
          <w:color w:val="000000"/>
          <w:szCs w:val="24"/>
          <w:lang w:eastAsia="es-CO"/>
        </w:rPr>
        <w:t xml:space="preserve"> </w:t>
      </w:r>
      <w:r w:rsidR="00537085">
        <w:rPr>
          <w:rFonts w:ascii="Arial" w:hAnsi="Arial" w:cs="Arial"/>
          <w:color w:val="000000"/>
          <w:szCs w:val="24"/>
          <w:lang w:eastAsia="es-CO"/>
        </w:rPr>
        <w:t>excepciones prop</w:t>
      </w:r>
      <w:r w:rsidR="00296D4A">
        <w:rPr>
          <w:rFonts w:ascii="Arial" w:hAnsi="Arial" w:cs="Arial"/>
          <w:color w:val="000000"/>
          <w:szCs w:val="24"/>
          <w:lang w:eastAsia="es-CO"/>
        </w:rPr>
        <w:t>uestas por la demandada; declaró</w:t>
      </w:r>
      <w:r w:rsidR="00537085">
        <w:rPr>
          <w:rFonts w:ascii="Arial" w:hAnsi="Arial" w:cs="Arial"/>
          <w:color w:val="000000"/>
          <w:szCs w:val="24"/>
          <w:lang w:eastAsia="es-CO"/>
        </w:rPr>
        <w:t xml:space="preserve"> </w:t>
      </w:r>
      <w:r w:rsidR="004D3F25">
        <w:rPr>
          <w:rFonts w:ascii="Arial" w:hAnsi="Arial" w:cs="Arial"/>
          <w:color w:val="000000"/>
          <w:szCs w:val="24"/>
          <w:lang w:eastAsia="es-CO"/>
        </w:rPr>
        <w:t>que entre e</w:t>
      </w:r>
      <w:r w:rsidR="00537085">
        <w:rPr>
          <w:rFonts w:ascii="Arial" w:hAnsi="Arial" w:cs="Arial"/>
          <w:color w:val="000000"/>
          <w:szCs w:val="24"/>
          <w:lang w:eastAsia="es-CO"/>
        </w:rPr>
        <w:t>l</w:t>
      </w:r>
      <w:r w:rsidR="004D3F25">
        <w:rPr>
          <w:rFonts w:ascii="Arial" w:hAnsi="Arial" w:cs="Arial"/>
          <w:color w:val="000000"/>
          <w:szCs w:val="24"/>
          <w:lang w:eastAsia="es-CO"/>
        </w:rPr>
        <w:t xml:space="preserve"> </w:t>
      </w:r>
      <w:r w:rsidR="00537085">
        <w:rPr>
          <w:rFonts w:ascii="Arial" w:hAnsi="Arial" w:cs="Arial"/>
          <w:color w:val="000000"/>
          <w:szCs w:val="24"/>
          <w:lang w:eastAsia="es-CO"/>
        </w:rPr>
        <w:t>a</w:t>
      </w:r>
      <w:r w:rsidR="004D3F25">
        <w:rPr>
          <w:rFonts w:ascii="Arial" w:hAnsi="Arial" w:cs="Arial"/>
          <w:color w:val="000000"/>
          <w:szCs w:val="24"/>
          <w:lang w:eastAsia="es-CO"/>
        </w:rPr>
        <w:t xml:space="preserve">ctor y el </w:t>
      </w:r>
      <w:proofErr w:type="spellStart"/>
      <w:r w:rsidR="004D3F25">
        <w:rPr>
          <w:rFonts w:ascii="Arial" w:hAnsi="Arial" w:cs="Arial"/>
          <w:color w:val="000000"/>
          <w:szCs w:val="24"/>
          <w:lang w:eastAsia="es-CO"/>
        </w:rPr>
        <w:t>ISS</w:t>
      </w:r>
      <w:proofErr w:type="spellEnd"/>
      <w:r w:rsidR="004D3F25">
        <w:rPr>
          <w:rFonts w:ascii="Arial" w:hAnsi="Arial" w:cs="Arial"/>
          <w:color w:val="000000"/>
          <w:szCs w:val="24"/>
          <w:lang w:eastAsia="es-CO"/>
        </w:rPr>
        <w:t xml:space="preserve"> en liquidación,</w:t>
      </w:r>
      <w:r w:rsidR="00537085">
        <w:rPr>
          <w:rFonts w:ascii="Arial" w:hAnsi="Arial" w:cs="Arial"/>
          <w:color w:val="000000"/>
          <w:szCs w:val="24"/>
          <w:lang w:eastAsia="es-CO"/>
        </w:rPr>
        <w:t xml:space="preserve"> exist</w:t>
      </w:r>
      <w:r w:rsidR="004D3F25">
        <w:rPr>
          <w:rFonts w:ascii="Arial" w:hAnsi="Arial" w:cs="Arial"/>
          <w:color w:val="000000"/>
          <w:szCs w:val="24"/>
          <w:lang w:eastAsia="es-CO"/>
        </w:rPr>
        <w:t>ieron</w:t>
      </w:r>
      <w:r w:rsidR="00537085">
        <w:rPr>
          <w:rFonts w:ascii="Arial" w:hAnsi="Arial" w:cs="Arial"/>
          <w:color w:val="000000"/>
          <w:szCs w:val="24"/>
          <w:lang w:eastAsia="es-CO"/>
        </w:rPr>
        <w:t xml:space="preserve"> dos</w:t>
      </w:r>
      <w:r w:rsidR="005211DB">
        <w:rPr>
          <w:rFonts w:ascii="Arial" w:hAnsi="Arial" w:cs="Arial"/>
          <w:color w:val="000000"/>
          <w:szCs w:val="24"/>
          <w:lang w:eastAsia="es-CO"/>
        </w:rPr>
        <w:t xml:space="preserve"> contrato</w:t>
      </w:r>
      <w:r w:rsidR="00537085">
        <w:rPr>
          <w:rFonts w:ascii="Arial" w:hAnsi="Arial" w:cs="Arial"/>
          <w:color w:val="000000"/>
          <w:szCs w:val="24"/>
          <w:lang w:eastAsia="es-CO"/>
        </w:rPr>
        <w:t>s</w:t>
      </w:r>
      <w:r w:rsidR="005211DB">
        <w:rPr>
          <w:rFonts w:ascii="Arial" w:hAnsi="Arial" w:cs="Arial"/>
          <w:color w:val="000000"/>
          <w:szCs w:val="24"/>
          <w:lang w:eastAsia="es-CO"/>
        </w:rPr>
        <w:t xml:space="preserve"> </w:t>
      </w:r>
      <w:r w:rsidR="003B6432">
        <w:rPr>
          <w:rFonts w:ascii="Arial" w:hAnsi="Arial" w:cs="Arial"/>
          <w:color w:val="000000"/>
          <w:szCs w:val="24"/>
          <w:lang w:eastAsia="es-CO"/>
        </w:rPr>
        <w:t xml:space="preserve">de trabajo </w:t>
      </w:r>
      <w:r w:rsidR="00A8498F">
        <w:rPr>
          <w:rFonts w:ascii="Arial" w:hAnsi="Arial" w:cs="Arial"/>
          <w:color w:val="000000"/>
          <w:szCs w:val="24"/>
          <w:lang w:eastAsia="es-CO"/>
        </w:rPr>
        <w:t>entre</w:t>
      </w:r>
      <w:r w:rsidR="005211DB">
        <w:rPr>
          <w:rFonts w:ascii="Arial" w:hAnsi="Arial" w:cs="Arial"/>
          <w:color w:val="000000"/>
          <w:szCs w:val="24"/>
          <w:lang w:eastAsia="es-CO"/>
        </w:rPr>
        <w:t xml:space="preserve"> el </w:t>
      </w:r>
      <w:r w:rsidR="00537085">
        <w:rPr>
          <w:rFonts w:ascii="Arial" w:hAnsi="Arial" w:cs="Arial"/>
          <w:color w:val="000000"/>
          <w:szCs w:val="24"/>
          <w:lang w:eastAsia="es-CO"/>
        </w:rPr>
        <w:t>01-09-2009 hasta el 30-04-2010, y el otro 01-07-2010 hasta 31-10-2011;</w:t>
      </w:r>
      <w:r w:rsidR="005211DB">
        <w:rPr>
          <w:rFonts w:ascii="Arial" w:hAnsi="Arial" w:cs="Arial"/>
          <w:color w:val="000000"/>
          <w:szCs w:val="24"/>
          <w:lang w:eastAsia="es-CO"/>
        </w:rPr>
        <w:t xml:space="preserve"> </w:t>
      </w:r>
      <w:r w:rsidR="003E7AEF">
        <w:rPr>
          <w:rFonts w:ascii="Arial" w:hAnsi="Arial" w:cs="Arial"/>
          <w:color w:val="000000"/>
          <w:szCs w:val="24"/>
          <w:lang w:eastAsia="es-CO"/>
        </w:rPr>
        <w:t>y como consecuencia</w:t>
      </w:r>
      <w:r w:rsidR="008726E3">
        <w:rPr>
          <w:rFonts w:ascii="Arial" w:hAnsi="Arial" w:cs="Arial"/>
          <w:color w:val="000000"/>
          <w:szCs w:val="24"/>
          <w:lang w:eastAsia="es-CO"/>
        </w:rPr>
        <w:t>,</w:t>
      </w:r>
      <w:r w:rsidR="003E7AEF">
        <w:rPr>
          <w:rFonts w:ascii="Arial" w:hAnsi="Arial" w:cs="Arial"/>
          <w:color w:val="000000"/>
          <w:szCs w:val="24"/>
          <w:lang w:eastAsia="es-CO"/>
        </w:rPr>
        <w:t xml:space="preserve"> </w:t>
      </w:r>
      <w:r w:rsidR="005211DB" w:rsidRPr="00583F03">
        <w:rPr>
          <w:rFonts w:ascii="Arial" w:hAnsi="Arial" w:cs="Arial"/>
          <w:color w:val="000000"/>
          <w:szCs w:val="24"/>
          <w:lang w:eastAsia="es-CO"/>
        </w:rPr>
        <w:t xml:space="preserve">condenó al </w:t>
      </w:r>
      <w:proofErr w:type="spellStart"/>
      <w:r w:rsidR="005211DB" w:rsidRPr="00583F03">
        <w:rPr>
          <w:rFonts w:ascii="Arial" w:hAnsi="Arial" w:cs="Arial"/>
          <w:color w:val="000000"/>
          <w:szCs w:val="24"/>
          <w:lang w:eastAsia="es-CO"/>
        </w:rPr>
        <w:t>ISS</w:t>
      </w:r>
      <w:proofErr w:type="spellEnd"/>
      <w:r w:rsidR="004D3F25">
        <w:rPr>
          <w:rFonts w:ascii="Arial" w:hAnsi="Arial" w:cs="Arial"/>
          <w:color w:val="000000"/>
          <w:szCs w:val="24"/>
          <w:lang w:eastAsia="es-CO"/>
        </w:rPr>
        <w:t xml:space="preserve"> en liquidación</w:t>
      </w:r>
      <w:r w:rsidR="008726E3" w:rsidRPr="00583F03">
        <w:rPr>
          <w:rFonts w:ascii="Arial" w:hAnsi="Arial" w:cs="Arial"/>
          <w:color w:val="000000"/>
          <w:szCs w:val="24"/>
          <w:lang w:eastAsia="es-CO"/>
        </w:rPr>
        <w:t xml:space="preserve">, </w:t>
      </w:r>
      <w:r w:rsidR="00C12F57" w:rsidRPr="00D7030C">
        <w:rPr>
          <w:rFonts w:ascii="Arial" w:hAnsi="Arial" w:cs="Arial"/>
          <w:color w:val="000000"/>
          <w:szCs w:val="24"/>
          <w:lang w:eastAsia="es-CO"/>
        </w:rPr>
        <w:t xml:space="preserve">a pagar </w:t>
      </w:r>
      <w:r w:rsidR="004D3F25">
        <w:rPr>
          <w:rFonts w:ascii="Arial" w:hAnsi="Arial" w:cs="Arial"/>
          <w:color w:val="000000"/>
          <w:szCs w:val="24"/>
          <w:lang w:eastAsia="es-CO"/>
        </w:rPr>
        <w:t xml:space="preserve">las </w:t>
      </w:r>
      <w:r w:rsidR="00A8498F">
        <w:rPr>
          <w:rFonts w:ascii="Arial" w:hAnsi="Arial" w:cs="Arial"/>
          <w:color w:val="000000"/>
          <w:szCs w:val="24"/>
          <w:lang w:eastAsia="es-CO"/>
        </w:rPr>
        <w:t xml:space="preserve">cesantías, intereses a las cesantías, </w:t>
      </w:r>
      <w:r w:rsidR="00913252">
        <w:rPr>
          <w:rFonts w:ascii="Arial" w:hAnsi="Arial" w:cs="Arial"/>
          <w:color w:val="000000"/>
          <w:szCs w:val="24"/>
          <w:lang w:eastAsia="es-CO"/>
        </w:rPr>
        <w:t xml:space="preserve">compensación de </w:t>
      </w:r>
      <w:r w:rsidR="00A8498F">
        <w:rPr>
          <w:rFonts w:ascii="Arial" w:hAnsi="Arial" w:cs="Arial"/>
          <w:color w:val="000000"/>
          <w:szCs w:val="24"/>
          <w:lang w:eastAsia="es-CO"/>
        </w:rPr>
        <w:t>vacaciones, prima de servicios</w:t>
      </w:r>
      <w:r w:rsidR="00913252">
        <w:rPr>
          <w:rFonts w:ascii="Arial" w:hAnsi="Arial" w:cs="Arial"/>
          <w:color w:val="000000"/>
          <w:szCs w:val="24"/>
          <w:lang w:eastAsia="es-CO"/>
        </w:rPr>
        <w:t xml:space="preserve"> legal</w:t>
      </w:r>
      <w:r w:rsidR="00A8498F">
        <w:rPr>
          <w:rFonts w:ascii="Arial" w:hAnsi="Arial" w:cs="Arial"/>
          <w:color w:val="000000"/>
          <w:szCs w:val="24"/>
          <w:lang w:eastAsia="es-CO"/>
        </w:rPr>
        <w:t>,</w:t>
      </w:r>
      <w:r w:rsidR="00913252">
        <w:rPr>
          <w:rFonts w:ascii="Arial" w:hAnsi="Arial" w:cs="Arial"/>
          <w:color w:val="000000"/>
          <w:szCs w:val="24"/>
          <w:lang w:eastAsia="es-CO"/>
        </w:rPr>
        <w:t xml:space="preserve"> devolución de aportes, sanción por no pago de cesantías, la sanción por no pago de las prestaciones sociales a partir del 01 de febrero de 2012; a pagar por prestaciones convencionales</w:t>
      </w:r>
      <w:r w:rsidR="004D3F25">
        <w:rPr>
          <w:rFonts w:ascii="Arial" w:hAnsi="Arial" w:cs="Arial"/>
          <w:color w:val="000000"/>
          <w:szCs w:val="24"/>
          <w:lang w:eastAsia="es-CO"/>
        </w:rPr>
        <w:t xml:space="preserve">, la </w:t>
      </w:r>
      <w:r w:rsidR="00913252">
        <w:rPr>
          <w:rFonts w:ascii="Arial" w:hAnsi="Arial" w:cs="Arial"/>
          <w:color w:val="000000"/>
          <w:szCs w:val="24"/>
          <w:lang w:eastAsia="es-CO"/>
        </w:rPr>
        <w:t>prima de servicios y auxilio de transporte.</w:t>
      </w:r>
    </w:p>
    <w:p w:rsidR="006173D2" w:rsidRDefault="006173D2" w:rsidP="006173D2">
      <w:pPr>
        <w:spacing w:line="276" w:lineRule="auto"/>
        <w:jc w:val="both"/>
        <w:rPr>
          <w:rFonts w:ascii="Arial" w:hAnsi="Arial" w:cs="Arial"/>
          <w:color w:val="000000"/>
          <w:szCs w:val="24"/>
          <w:lang w:eastAsia="es-CO"/>
        </w:rPr>
      </w:pPr>
    </w:p>
    <w:p w:rsidR="008A2E1D" w:rsidRDefault="003D151C"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Decisión a la que llegó al estar </w:t>
      </w:r>
      <w:r w:rsidR="008A2E1D">
        <w:rPr>
          <w:rFonts w:ascii="Arial" w:hAnsi="Arial" w:cs="Arial"/>
          <w:color w:val="000000"/>
          <w:szCs w:val="24"/>
          <w:lang w:eastAsia="es-CO"/>
        </w:rPr>
        <w:t>dados</w:t>
      </w:r>
      <w:r w:rsidR="00860A8F">
        <w:rPr>
          <w:rFonts w:ascii="Arial" w:hAnsi="Arial" w:cs="Arial"/>
          <w:color w:val="000000"/>
          <w:szCs w:val="24"/>
          <w:lang w:eastAsia="es-CO"/>
        </w:rPr>
        <w:t xml:space="preserve"> los presupuesto</w:t>
      </w:r>
      <w:r w:rsidR="008A2E1D">
        <w:rPr>
          <w:rFonts w:ascii="Arial" w:hAnsi="Arial" w:cs="Arial"/>
          <w:color w:val="000000"/>
          <w:szCs w:val="24"/>
          <w:lang w:eastAsia="es-CO"/>
        </w:rPr>
        <w:t>s</w:t>
      </w:r>
      <w:r w:rsidR="00860A8F">
        <w:rPr>
          <w:rFonts w:ascii="Arial" w:hAnsi="Arial" w:cs="Arial"/>
          <w:color w:val="000000"/>
          <w:szCs w:val="24"/>
          <w:lang w:eastAsia="es-CO"/>
        </w:rPr>
        <w:t xml:space="preserve"> del </w:t>
      </w:r>
      <w:r w:rsidR="00945C06">
        <w:rPr>
          <w:rFonts w:ascii="Arial" w:hAnsi="Arial" w:cs="Arial"/>
          <w:color w:val="000000"/>
          <w:szCs w:val="24"/>
          <w:lang w:eastAsia="es-CO"/>
        </w:rPr>
        <w:t>artículo 2 del decreto 2127</w:t>
      </w:r>
      <w:r w:rsidR="00860A8F">
        <w:rPr>
          <w:rFonts w:ascii="Arial" w:hAnsi="Arial" w:cs="Arial"/>
          <w:color w:val="000000"/>
          <w:szCs w:val="24"/>
          <w:lang w:eastAsia="es-CO"/>
        </w:rPr>
        <w:t>, pues el actor cumplía con un horario de trabajo, era subordinado a la jefe del área de pension</w:t>
      </w:r>
      <w:r w:rsidR="008A2E1D">
        <w:rPr>
          <w:rFonts w:ascii="Arial" w:hAnsi="Arial" w:cs="Arial"/>
          <w:color w:val="000000"/>
          <w:szCs w:val="24"/>
          <w:lang w:eastAsia="es-CO"/>
        </w:rPr>
        <w:t xml:space="preserve">es del </w:t>
      </w:r>
      <w:proofErr w:type="spellStart"/>
      <w:r w:rsidR="008A2E1D">
        <w:rPr>
          <w:rFonts w:ascii="Arial" w:hAnsi="Arial" w:cs="Arial"/>
          <w:color w:val="000000"/>
          <w:szCs w:val="24"/>
          <w:lang w:eastAsia="es-CO"/>
        </w:rPr>
        <w:t>ISS</w:t>
      </w:r>
      <w:proofErr w:type="spellEnd"/>
      <w:r w:rsidR="008A2E1D">
        <w:rPr>
          <w:rFonts w:ascii="Arial" w:hAnsi="Arial" w:cs="Arial"/>
          <w:color w:val="000000"/>
          <w:szCs w:val="24"/>
          <w:lang w:eastAsia="es-CO"/>
        </w:rPr>
        <w:t xml:space="preserve"> y recibía emolumentos por la labor realizada</w:t>
      </w:r>
      <w:r w:rsidR="004B3927">
        <w:rPr>
          <w:rFonts w:ascii="Arial" w:hAnsi="Arial" w:cs="Arial"/>
          <w:color w:val="000000"/>
          <w:szCs w:val="24"/>
          <w:lang w:eastAsia="es-CO"/>
        </w:rPr>
        <w:t>;</w:t>
      </w:r>
      <w:r w:rsidR="008A2E1D">
        <w:rPr>
          <w:rFonts w:ascii="Arial" w:hAnsi="Arial" w:cs="Arial"/>
          <w:color w:val="000000"/>
          <w:szCs w:val="24"/>
          <w:lang w:eastAsia="es-CO"/>
        </w:rPr>
        <w:t xml:space="preserve"> corroborado esto por el testimonio de la señora Alejand</w:t>
      </w:r>
      <w:r w:rsidR="00AF2861">
        <w:rPr>
          <w:rFonts w:ascii="Arial" w:hAnsi="Arial" w:cs="Arial"/>
          <w:color w:val="000000"/>
          <w:szCs w:val="24"/>
          <w:lang w:eastAsia="es-CO"/>
        </w:rPr>
        <w:t>ra Castro Londoño, quien precisó</w:t>
      </w:r>
      <w:r w:rsidR="008A2E1D">
        <w:rPr>
          <w:rFonts w:ascii="Arial" w:hAnsi="Arial" w:cs="Arial"/>
          <w:color w:val="000000"/>
          <w:szCs w:val="24"/>
          <w:lang w:eastAsia="es-CO"/>
        </w:rPr>
        <w:t xml:space="preserve"> cada una de estas situaciones por ser compañera de trabajo del actor durante el tiempo relacionado; dando credibilidad a lo dicho por la antes mencionada.</w:t>
      </w:r>
    </w:p>
    <w:p w:rsidR="008A2E1D" w:rsidRDefault="008A2E1D" w:rsidP="00026BC6">
      <w:pPr>
        <w:spacing w:line="276" w:lineRule="auto"/>
        <w:jc w:val="both"/>
        <w:rPr>
          <w:rFonts w:ascii="Arial" w:hAnsi="Arial" w:cs="Arial"/>
          <w:color w:val="000000"/>
          <w:szCs w:val="24"/>
          <w:highlight w:val="yellow"/>
          <w:lang w:eastAsia="es-CO"/>
        </w:rPr>
      </w:pPr>
    </w:p>
    <w:p w:rsidR="00613D18" w:rsidRDefault="00BA6407" w:rsidP="00026BC6">
      <w:pPr>
        <w:spacing w:line="276" w:lineRule="auto"/>
        <w:jc w:val="both"/>
        <w:rPr>
          <w:rFonts w:ascii="Arial" w:hAnsi="Arial" w:cs="Arial"/>
          <w:color w:val="000000"/>
          <w:szCs w:val="24"/>
          <w:lang w:eastAsia="es-CO"/>
        </w:rPr>
      </w:pPr>
      <w:r w:rsidRPr="00E12F94">
        <w:rPr>
          <w:rFonts w:ascii="Arial" w:hAnsi="Arial" w:cs="Arial"/>
          <w:color w:val="000000"/>
          <w:szCs w:val="24"/>
          <w:lang w:eastAsia="es-CO"/>
        </w:rPr>
        <w:t>Agregó</w:t>
      </w:r>
      <w:r w:rsidR="009340FE">
        <w:rPr>
          <w:rFonts w:ascii="Arial" w:hAnsi="Arial" w:cs="Arial"/>
          <w:color w:val="000000"/>
          <w:szCs w:val="24"/>
          <w:lang w:eastAsia="es-CO"/>
        </w:rPr>
        <w:t xml:space="preserve"> también</w:t>
      </w:r>
      <w:r w:rsidR="00A44D29">
        <w:rPr>
          <w:rFonts w:ascii="Arial" w:hAnsi="Arial" w:cs="Arial"/>
          <w:color w:val="000000"/>
          <w:szCs w:val="24"/>
          <w:lang w:eastAsia="es-CO"/>
        </w:rPr>
        <w:t>,</w:t>
      </w:r>
      <w:r w:rsidRPr="00E12F94">
        <w:rPr>
          <w:rFonts w:ascii="Arial" w:hAnsi="Arial" w:cs="Arial"/>
          <w:color w:val="000000"/>
          <w:szCs w:val="24"/>
          <w:lang w:eastAsia="es-CO"/>
        </w:rPr>
        <w:t xml:space="preserve"> que teniendo en cuenta</w:t>
      </w:r>
      <w:r w:rsidR="00A44D29">
        <w:rPr>
          <w:rFonts w:ascii="Arial" w:hAnsi="Arial" w:cs="Arial"/>
          <w:color w:val="000000"/>
          <w:szCs w:val="24"/>
          <w:lang w:eastAsia="es-CO"/>
        </w:rPr>
        <w:t xml:space="preserve"> la naturaleza jurídica del</w:t>
      </w:r>
      <w:r w:rsidRPr="00E12F94">
        <w:rPr>
          <w:rFonts w:ascii="Arial" w:hAnsi="Arial" w:cs="Arial"/>
          <w:color w:val="000000"/>
          <w:szCs w:val="24"/>
          <w:lang w:eastAsia="es-CO"/>
        </w:rPr>
        <w:t xml:space="preserve"> </w:t>
      </w:r>
      <w:proofErr w:type="spellStart"/>
      <w:r w:rsidRPr="00E12F94">
        <w:rPr>
          <w:rFonts w:ascii="Arial" w:hAnsi="Arial" w:cs="Arial"/>
          <w:color w:val="000000"/>
          <w:szCs w:val="24"/>
          <w:lang w:eastAsia="es-CO"/>
        </w:rPr>
        <w:t>ISS</w:t>
      </w:r>
      <w:proofErr w:type="spellEnd"/>
      <w:r w:rsidR="00A44D29">
        <w:rPr>
          <w:rFonts w:ascii="Arial" w:hAnsi="Arial" w:cs="Arial"/>
          <w:color w:val="000000"/>
          <w:szCs w:val="24"/>
          <w:lang w:eastAsia="es-CO"/>
        </w:rPr>
        <w:t>,</w:t>
      </w:r>
      <w:r w:rsidR="00E12F94">
        <w:rPr>
          <w:rFonts w:ascii="Arial" w:hAnsi="Arial" w:cs="Arial"/>
          <w:color w:val="000000"/>
          <w:szCs w:val="24"/>
          <w:lang w:eastAsia="es-CO"/>
        </w:rPr>
        <w:t xml:space="preserve"> </w:t>
      </w:r>
      <w:r w:rsidRPr="00E12F94">
        <w:rPr>
          <w:rFonts w:ascii="Arial" w:hAnsi="Arial" w:cs="Arial"/>
          <w:color w:val="000000"/>
          <w:szCs w:val="24"/>
          <w:lang w:eastAsia="es-CO"/>
        </w:rPr>
        <w:t>sus servidores tienen la ca</w:t>
      </w:r>
      <w:r w:rsidR="000E7C55" w:rsidRPr="00E12F94">
        <w:rPr>
          <w:rFonts w:ascii="Arial" w:hAnsi="Arial" w:cs="Arial"/>
          <w:color w:val="000000"/>
          <w:szCs w:val="24"/>
          <w:lang w:eastAsia="es-CO"/>
        </w:rPr>
        <w:t>lidad de trabajadores oficiales,</w:t>
      </w:r>
      <w:r w:rsidR="00A44D29">
        <w:rPr>
          <w:rFonts w:ascii="Arial" w:hAnsi="Arial" w:cs="Arial"/>
          <w:color w:val="000000"/>
          <w:szCs w:val="24"/>
          <w:lang w:eastAsia="es-CO"/>
        </w:rPr>
        <w:t xml:space="preserve"> </w:t>
      </w:r>
      <w:r w:rsidR="000E7C55" w:rsidRPr="00E12F94">
        <w:rPr>
          <w:rFonts w:ascii="Arial" w:hAnsi="Arial" w:cs="Arial"/>
          <w:color w:val="000000"/>
          <w:szCs w:val="24"/>
          <w:lang w:eastAsia="es-CO"/>
        </w:rPr>
        <w:t xml:space="preserve">calidad </w:t>
      </w:r>
      <w:r w:rsidR="00A44D29">
        <w:rPr>
          <w:rFonts w:ascii="Arial" w:hAnsi="Arial" w:cs="Arial"/>
          <w:color w:val="000000"/>
          <w:szCs w:val="24"/>
          <w:lang w:eastAsia="es-CO"/>
        </w:rPr>
        <w:t>que</w:t>
      </w:r>
      <w:r w:rsidR="008A2E1D">
        <w:rPr>
          <w:rFonts w:ascii="Arial" w:hAnsi="Arial" w:cs="Arial"/>
          <w:color w:val="000000"/>
          <w:szCs w:val="24"/>
          <w:lang w:eastAsia="es-CO"/>
        </w:rPr>
        <w:t xml:space="preserve"> ostentó </w:t>
      </w:r>
      <w:r w:rsidR="009340FE">
        <w:rPr>
          <w:rFonts w:ascii="Arial" w:hAnsi="Arial" w:cs="Arial"/>
          <w:color w:val="000000"/>
          <w:szCs w:val="24"/>
          <w:lang w:eastAsia="es-CO"/>
        </w:rPr>
        <w:t xml:space="preserve">entonces </w:t>
      </w:r>
      <w:r w:rsidR="008A2E1D">
        <w:rPr>
          <w:rFonts w:ascii="Arial" w:hAnsi="Arial" w:cs="Arial"/>
          <w:color w:val="000000"/>
          <w:szCs w:val="24"/>
          <w:lang w:eastAsia="es-CO"/>
        </w:rPr>
        <w:t>el</w:t>
      </w:r>
      <w:r w:rsidR="000E7C55" w:rsidRPr="00E12F94">
        <w:rPr>
          <w:rFonts w:ascii="Arial" w:hAnsi="Arial" w:cs="Arial"/>
          <w:color w:val="000000"/>
          <w:szCs w:val="24"/>
          <w:lang w:eastAsia="es-CO"/>
        </w:rPr>
        <w:t xml:space="preserve"> demandante</w:t>
      </w:r>
      <w:r w:rsidR="007928D2">
        <w:rPr>
          <w:rFonts w:ascii="Arial" w:hAnsi="Arial" w:cs="Arial"/>
          <w:color w:val="000000"/>
          <w:szCs w:val="24"/>
          <w:lang w:eastAsia="es-CO"/>
        </w:rPr>
        <w:t>, por lo que</w:t>
      </w:r>
      <w:r w:rsidR="009340FE">
        <w:rPr>
          <w:rFonts w:ascii="Arial" w:hAnsi="Arial" w:cs="Arial"/>
          <w:color w:val="000000"/>
          <w:szCs w:val="24"/>
          <w:lang w:eastAsia="es-CO"/>
        </w:rPr>
        <w:t xml:space="preserve"> se beneficia</w:t>
      </w:r>
      <w:r w:rsidR="00546113" w:rsidRPr="00E12F94">
        <w:rPr>
          <w:rFonts w:ascii="Arial" w:hAnsi="Arial" w:cs="Arial"/>
          <w:color w:val="000000"/>
          <w:szCs w:val="24"/>
          <w:lang w:eastAsia="es-CO"/>
        </w:rPr>
        <w:t xml:space="preserve"> de la convención </w:t>
      </w:r>
      <w:r w:rsidR="00D55FA5" w:rsidRPr="00E12F94">
        <w:rPr>
          <w:rFonts w:ascii="Arial" w:hAnsi="Arial" w:cs="Arial"/>
          <w:color w:val="000000"/>
          <w:szCs w:val="24"/>
          <w:lang w:eastAsia="es-CO"/>
        </w:rPr>
        <w:t xml:space="preserve">colectiva </w:t>
      </w:r>
      <w:r w:rsidR="009340FE">
        <w:rPr>
          <w:rFonts w:ascii="Arial" w:hAnsi="Arial" w:cs="Arial"/>
          <w:color w:val="000000"/>
          <w:szCs w:val="24"/>
          <w:lang w:eastAsia="es-CO"/>
        </w:rPr>
        <w:t xml:space="preserve">de trabajo </w:t>
      </w:r>
      <w:r w:rsidR="00A44D29">
        <w:rPr>
          <w:rFonts w:ascii="Arial" w:hAnsi="Arial" w:cs="Arial"/>
          <w:color w:val="000000"/>
          <w:szCs w:val="24"/>
          <w:lang w:eastAsia="es-CO"/>
        </w:rPr>
        <w:t xml:space="preserve">suscrita </w:t>
      </w:r>
      <w:r w:rsidR="00D55FA5" w:rsidRPr="00E12F94">
        <w:rPr>
          <w:rFonts w:ascii="Arial" w:hAnsi="Arial" w:cs="Arial"/>
          <w:color w:val="000000"/>
          <w:szCs w:val="24"/>
          <w:lang w:eastAsia="es-CO"/>
        </w:rPr>
        <w:t xml:space="preserve">entre el </w:t>
      </w:r>
      <w:proofErr w:type="spellStart"/>
      <w:r w:rsidR="00D55FA5" w:rsidRPr="00E12F94">
        <w:rPr>
          <w:rFonts w:ascii="Arial" w:hAnsi="Arial" w:cs="Arial"/>
          <w:color w:val="000000"/>
          <w:szCs w:val="24"/>
          <w:lang w:eastAsia="es-CO"/>
        </w:rPr>
        <w:t>ISS</w:t>
      </w:r>
      <w:proofErr w:type="spellEnd"/>
      <w:r w:rsidR="00D55FA5" w:rsidRPr="00E12F94">
        <w:rPr>
          <w:rFonts w:ascii="Arial" w:hAnsi="Arial" w:cs="Arial"/>
          <w:color w:val="000000"/>
          <w:szCs w:val="24"/>
          <w:lang w:eastAsia="es-CO"/>
        </w:rPr>
        <w:t xml:space="preserve"> y el sindicato de sus trabajadores</w:t>
      </w:r>
      <w:r w:rsidR="009340FE">
        <w:rPr>
          <w:rFonts w:ascii="Arial" w:hAnsi="Arial" w:cs="Arial"/>
          <w:color w:val="000000"/>
          <w:szCs w:val="24"/>
          <w:lang w:eastAsia="es-CO"/>
        </w:rPr>
        <w:t>, la cual presenta su respectiva n</w:t>
      </w:r>
      <w:r w:rsidR="007928D2">
        <w:rPr>
          <w:rFonts w:ascii="Arial" w:hAnsi="Arial" w:cs="Arial"/>
          <w:color w:val="000000"/>
          <w:szCs w:val="24"/>
          <w:lang w:eastAsia="es-CO"/>
        </w:rPr>
        <w:t>ota de depósito</w:t>
      </w:r>
      <w:r w:rsidR="00A44D29">
        <w:rPr>
          <w:rFonts w:ascii="Arial" w:hAnsi="Arial" w:cs="Arial"/>
          <w:color w:val="000000"/>
          <w:szCs w:val="24"/>
          <w:lang w:eastAsia="es-CO"/>
        </w:rPr>
        <w:t>,</w:t>
      </w:r>
      <w:r w:rsidR="00546113" w:rsidRPr="00E12F94">
        <w:rPr>
          <w:rFonts w:ascii="Arial" w:hAnsi="Arial" w:cs="Arial"/>
          <w:color w:val="000000"/>
          <w:szCs w:val="24"/>
          <w:lang w:eastAsia="es-CO"/>
        </w:rPr>
        <w:t xml:space="preserve"> </w:t>
      </w:r>
      <w:r w:rsidR="00A44D29">
        <w:rPr>
          <w:rFonts w:ascii="Arial" w:hAnsi="Arial" w:cs="Arial"/>
          <w:color w:val="000000"/>
          <w:szCs w:val="24"/>
          <w:lang w:eastAsia="es-CO"/>
        </w:rPr>
        <w:t>de la que</w:t>
      </w:r>
      <w:r w:rsidR="009340FE">
        <w:rPr>
          <w:rFonts w:ascii="Arial" w:hAnsi="Arial" w:cs="Arial"/>
          <w:color w:val="000000"/>
          <w:szCs w:val="24"/>
          <w:lang w:eastAsia="es-CO"/>
        </w:rPr>
        <w:t xml:space="preserve"> el </w:t>
      </w:r>
      <w:r w:rsidR="006C43DB">
        <w:rPr>
          <w:rFonts w:ascii="Arial" w:hAnsi="Arial" w:cs="Arial"/>
          <w:color w:val="000000"/>
          <w:szCs w:val="24"/>
          <w:lang w:eastAsia="es-CO"/>
        </w:rPr>
        <w:t>actor no</w:t>
      </w:r>
      <w:r w:rsidR="009340FE">
        <w:rPr>
          <w:rFonts w:ascii="Arial" w:hAnsi="Arial" w:cs="Arial"/>
          <w:color w:val="000000"/>
          <w:szCs w:val="24"/>
          <w:lang w:eastAsia="es-CO"/>
        </w:rPr>
        <w:t xml:space="preserve"> </w:t>
      </w:r>
      <w:r w:rsidR="00546113" w:rsidRPr="00E12F94">
        <w:rPr>
          <w:rFonts w:ascii="Arial" w:hAnsi="Arial" w:cs="Arial"/>
          <w:color w:val="000000"/>
          <w:szCs w:val="24"/>
          <w:lang w:eastAsia="es-CO"/>
        </w:rPr>
        <w:t>renunci</w:t>
      </w:r>
      <w:r w:rsidR="00A44D29">
        <w:rPr>
          <w:rFonts w:ascii="Arial" w:hAnsi="Arial" w:cs="Arial"/>
          <w:color w:val="000000"/>
          <w:szCs w:val="24"/>
          <w:lang w:eastAsia="es-CO"/>
        </w:rPr>
        <w:t>ó</w:t>
      </w:r>
      <w:r w:rsidR="00AF2861">
        <w:rPr>
          <w:rFonts w:ascii="Arial" w:hAnsi="Arial" w:cs="Arial"/>
          <w:color w:val="000000"/>
          <w:szCs w:val="24"/>
          <w:lang w:eastAsia="es-CO"/>
        </w:rPr>
        <w:t>.</w:t>
      </w:r>
    </w:p>
    <w:p w:rsidR="006C43DB" w:rsidRDefault="006C43DB" w:rsidP="00026BC6">
      <w:pPr>
        <w:spacing w:line="276" w:lineRule="auto"/>
        <w:jc w:val="both"/>
        <w:rPr>
          <w:rFonts w:ascii="Arial" w:hAnsi="Arial" w:cs="Arial"/>
          <w:color w:val="000000"/>
          <w:szCs w:val="24"/>
          <w:lang w:eastAsia="es-CO"/>
        </w:rPr>
      </w:pPr>
    </w:p>
    <w:p w:rsidR="006C43DB" w:rsidRDefault="00AF2861"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De otro lado al no probarse</w:t>
      </w:r>
      <w:r w:rsidR="006C43DB">
        <w:rPr>
          <w:rFonts w:ascii="Arial" w:hAnsi="Arial" w:cs="Arial"/>
          <w:color w:val="000000"/>
          <w:szCs w:val="24"/>
          <w:lang w:eastAsia="es-CO"/>
        </w:rPr>
        <w:t xml:space="preserve"> </w:t>
      </w:r>
      <w:r w:rsidR="005730DE">
        <w:rPr>
          <w:rFonts w:ascii="Arial" w:hAnsi="Arial" w:cs="Arial"/>
          <w:color w:val="000000"/>
          <w:szCs w:val="24"/>
          <w:lang w:eastAsia="es-CO"/>
        </w:rPr>
        <w:t xml:space="preserve">el cargo específico del actor, negó el reconocimiento convencional del auxilio de alimentación y dotación de uniformes (arts. 54 y 89 convencional).  </w:t>
      </w:r>
    </w:p>
    <w:p w:rsidR="000E457C" w:rsidRDefault="000E457C" w:rsidP="00026BC6">
      <w:pPr>
        <w:spacing w:line="276" w:lineRule="auto"/>
        <w:jc w:val="both"/>
        <w:rPr>
          <w:rFonts w:ascii="Arial" w:hAnsi="Arial" w:cs="Arial"/>
          <w:color w:val="000000"/>
          <w:szCs w:val="24"/>
          <w:lang w:eastAsia="es-CO"/>
        </w:rPr>
      </w:pPr>
    </w:p>
    <w:p w:rsidR="00BD7F25" w:rsidRDefault="00C964DB" w:rsidP="00BD7F25">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D21BA1" w:rsidRDefault="00D21BA1" w:rsidP="00BD7F25">
      <w:pPr>
        <w:spacing w:line="276" w:lineRule="auto"/>
        <w:rPr>
          <w:rFonts w:ascii="Arial" w:hAnsi="Arial" w:cs="Arial"/>
          <w:b/>
          <w:szCs w:val="24"/>
        </w:rPr>
      </w:pPr>
    </w:p>
    <w:p w:rsidR="009340FE" w:rsidRDefault="009340FE" w:rsidP="00BD7F25">
      <w:pPr>
        <w:spacing w:line="276" w:lineRule="auto"/>
        <w:jc w:val="both"/>
        <w:rPr>
          <w:rFonts w:ascii="Arial" w:hAnsi="Arial" w:cs="Arial"/>
          <w:color w:val="000000"/>
          <w:szCs w:val="24"/>
          <w:lang w:eastAsia="es-CO"/>
        </w:rPr>
      </w:pPr>
      <w:r>
        <w:rPr>
          <w:rFonts w:ascii="Arial" w:hAnsi="Arial" w:cs="Arial"/>
          <w:color w:val="000000"/>
          <w:szCs w:val="24"/>
          <w:lang w:eastAsia="es-CO"/>
        </w:rPr>
        <w:t>L</w:t>
      </w:r>
      <w:r w:rsidR="00BF05BF">
        <w:rPr>
          <w:rFonts w:ascii="Arial" w:hAnsi="Arial" w:cs="Arial"/>
          <w:color w:val="000000"/>
          <w:szCs w:val="24"/>
          <w:lang w:eastAsia="es-CO"/>
        </w:rPr>
        <w:t>a parte demanda</w:t>
      </w:r>
      <w:r w:rsidR="005500A5">
        <w:rPr>
          <w:rFonts w:ascii="Arial" w:hAnsi="Arial" w:cs="Arial"/>
          <w:color w:val="000000"/>
          <w:szCs w:val="24"/>
          <w:lang w:eastAsia="es-CO"/>
        </w:rPr>
        <w:t>nte</w:t>
      </w:r>
      <w:r>
        <w:rPr>
          <w:rFonts w:ascii="Arial" w:hAnsi="Arial" w:cs="Arial"/>
          <w:color w:val="000000"/>
          <w:szCs w:val="24"/>
          <w:lang w:eastAsia="es-CO"/>
        </w:rPr>
        <w:t xml:space="preserve"> inconforme con la decisión</w:t>
      </w:r>
      <w:r w:rsidR="001634DA">
        <w:rPr>
          <w:rFonts w:ascii="Arial" w:hAnsi="Arial" w:cs="Arial"/>
          <w:color w:val="000000"/>
          <w:szCs w:val="24"/>
          <w:lang w:eastAsia="es-CO"/>
        </w:rPr>
        <w:t>,</w:t>
      </w:r>
      <w:r w:rsidR="00BF05BF">
        <w:rPr>
          <w:rFonts w:ascii="Arial" w:hAnsi="Arial" w:cs="Arial"/>
          <w:color w:val="000000"/>
          <w:szCs w:val="24"/>
          <w:lang w:eastAsia="es-CO"/>
        </w:rPr>
        <w:t xml:space="preserve"> </w:t>
      </w:r>
      <w:r>
        <w:rPr>
          <w:rFonts w:ascii="Arial" w:hAnsi="Arial" w:cs="Arial"/>
          <w:color w:val="000000"/>
          <w:szCs w:val="24"/>
          <w:lang w:eastAsia="es-CO"/>
        </w:rPr>
        <w:t>recurrió el fallo en lo siguiente.</w:t>
      </w:r>
    </w:p>
    <w:p w:rsidR="009340FE" w:rsidRDefault="009340FE" w:rsidP="00BD7F25">
      <w:pPr>
        <w:spacing w:line="276" w:lineRule="auto"/>
        <w:jc w:val="both"/>
        <w:rPr>
          <w:rFonts w:ascii="Arial" w:hAnsi="Arial" w:cs="Arial"/>
          <w:szCs w:val="24"/>
          <w:lang w:eastAsia="es-CO"/>
        </w:rPr>
      </w:pPr>
    </w:p>
    <w:p w:rsidR="00250190" w:rsidRDefault="009340FE" w:rsidP="00BD7F25">
      <w:pPr>
        <w:spacing w:line="276" w:lineRule="auto"/>
        <w:jc w:val="both"/>
        <w:rPr>
          <w:rFonts w:ascii="Arial" w:hAnsi="Arial" w:cs="Arial"/>
          <w:szCs w:val="24"/>
          <w:lang w:eastAsia="es-CO"/>
        </w:rPr>
      </w:pPr>
      <w:r>
        <w:rPr>
          <w:rFonts w:ascii="Arial" w:hAnsi="Arial" w:cs="Arial"/>
          <w:szCs w:val="24"/>
          <w:lang w:eastAsia="es-CO"/>
        </w:rPr>
        <w:t>Manifestó que al respecto de la devolución de aportes a pen</w:t>
      </w:r>
      <w:r w:rsidR="00AF2861">
        <w:rPr>
          <w:rFonts w:ascii="Arial" w:hAnsi="Arial" w:cs="Arial"/>
          <w:szCs w:val="24"/>
          <w:lang w:eastAsia="es-CO"/>
        </w:rPr>
        <w:t>sión y salud, la Jueza determinó</w:t>
      </w:r>
      <w:r>
        <w:rPr>
          <w:rFonts w:ascii="Arial" w:hAnsi="Arial" w:cs="Arial"/>
          <w:szCs w:val="24"/>
          <w:lang w:eastAsia="es-CO"/>
        </w:rPr>
        <w:t xml:space="preserve"> que se debía asumir por parte del actor el porcentaje equivalente al 4% para salud y 4% para pensión</w:t>
      </w:r>
      <w:r w:rsidR="00250190">
        <w:rPr>
          <w:rFonts w:ascii="Arial" w:hAnsi="Arial" w:cs="Arial"/>
          <w:szCs w:val="24"/>
          <w:lang w:eastAsia="es-CO"/>
        </w:rPr>
        <w:t>; pero que el cálculo realizado por el Juzgado no fue proporcional y por lo cual, le c</w:t>
      </w:r>
      <w:r w:rsidR="00746803">
        <w:rPr>
          <w:rFonts w:ascii="Arial" w:hAnsi="Arial" w:cs="Arial"/>
          <w:szCs w:val="24"/>
          <w:lang w:eastAsia="es-CO"/>
        </w:rPr>
        <w:t xml:space="preserve">oncedió una devolución </w:t>
      </w:r>
      <w:r w:rsidR="00250190">
        <w:rPr>
          <w:rFonts w:ascii="Arial" w:hAnsi="Arial" w:cs="Arial"/>
          <w:szCs w:val="24"/>
          <w:lang w:eastAsia="es-CO"/>
        </w:rPr>
        <w:t>de $777.618, siendo este valor inferior al que en la proporción real debió devolverse, es decir $994.934.</w:t>
      </w:r>
    </w:p>
    <w:p w:rsidR="00250190" w:rsidRDefault="00250190" w:rsidP="00BD7F25">
      <w:pPr>
        <w:spacing w:line="276" w:lineRule="auto"/>
        <w:jc w:val="both"/>
        <w:rPr>
          <w:rFonts w:ascii="Arial" w:hAnsi="Arial" w:cs="Arial"/>
          <w:szCs w:val="24"/>
          <w:lang w:eastAsia="es-CO"/>
        </w:rPr>
      </w:pPr>
    </w:p>
    <w:p w:rsidR="00170297" w:rsidRDefault="00250190" w:rsidP="00184BD9">
      <w:pPr>
        <w:spacing w:line="276" w:lineRule="auto"/>
        <w:jc w:val="both"/>
        <w:rPr>
          <w:rFonts w:ascii="Arial" w:hAnsi="Arial" w:cs="Arial"/>
          <w:szCs w:val="24"/>
          <w:lang w:eastAsia="es-CO"/>
        </w:rPr>
      </w:pPr>
      <w:r>
        <w:rPr>
          <w:rFonts w:ascii="Arial" w:hAnsi="Arial" w:cs="Arial"/>
          <w:szCs w:val="24"/>
          <w:lang w:eastAsia="es-CO"/>
        </w:rPr>
        <w:t>El segundo aspecto lo fundamento en el hecho de que las vacaciones debieron ser c</w:t>
      </w:r>
      <w:r w:rsidR="002B6F91">
        <w:rPr>
          <w:rFonts w:ascii="Arial" w:hAnsi="Arial" w:cs="Arial"/>
          <w:szCs w:val="24"/>
          <w:lang w:eastAsia="es-CO"/>
        </w:rPr>
        <w:t>oncedidas como fueron solicitadas</w:t>
      </w:r>
      <w:r>
        <w:rPr>
          <w:rFonts w:ascii="Arial" w:hAnsi="Arial" w:cs="Arial"/>
          <w:szCs w:val="24"/>
          <w:lang w:eastAsia="es-CO"/>
        </w:rPr>
        <w:t xml:space="preserve"> en la demanda</w:t>
      </w:r>
      <w:r w:rsidR="00746803">
        <w:rPr>
          <w:rFonts w:ascii="Arial" w:hAnsi="Arial" w:cs="Arial"/>
          <w:szCs w:val="24"/>
          <w:lang w:eastAsia="es-CO"/>
        </w:rPr>
        <w:t xml:space="preserve"> $831.862</w:t>
      </w:r>
      <w:r w:rsidR="002B6F91">
        <w:rPr>
          <w:rFonts w:ascii="Arial" w:hAnsi="Arial" w:cs="Arial"/>
          <w:szCs w:val="24"/>
          <w:lang w:eastAsia="es-CO"/>
        </w:rPr>
        <w:t>.</w:t>
      </w:r>
      <w:r>
        <w:rPr>
          <w:rFonts w:ascii="Arial" w:hAnsi="Arial" w:cs="Arial"/>
          <w:szCs w:val="24"/>
          <w:lang w:eastAsia="es-CO"/>
        </w:rPr>
        <w:t xml:space="preserve"> </w:t>
      </w:r>
      <w:r w:rsidR="009340FE">
        <w:rPr>
          <w:rFonts w:ascii="Arial" w:hAnsi="Arial" w:cs="Arial"/>
          <w:szCs w:val="24"/>
          <w:lang w:eastAsia="es-CO"/>
        </w:rPr>
        <w:t xml:space="preserve"> </w:t>
      </w:r>
    </w:p>
    <w:p w:rsidR="00746803" w:rsidRDefault="00746803" w:rsidP="00746803">
      <w:pPr>
        <w:shd w:val="clear" w:color="auto" w:fill="FFFFFF"/>
        <w:spacing w:line="276" w:lineRule="auto"/>
        <w:jc w:val="both"/>
        <w:rPr>
          <w:rFonts w:ascii="Arial" w:hAnsi="Arial" w:cs="Arial"/>
          <w:szCs w:val="24"/>
          <w:lang w:eastAsia="es-CO"/>
        </w:rPr>
      </w:pPr>
    </w:p>
    <w:p w:rsidR="00746803" w:rsidRPr="00350788" w:rsidRDefault="00746803" w:rsidP="00746803">
      <w:pPr>
        <w:spacing w:line="276" w:lineRule="auto"/>
        <w:jc w:val="both"/>
        <w:rPr>
          <w:rFonts w:ascii="Arial" w:hAnsi="Arial" w:cs="Arial"/>
          <w:b/>
          <w:szCs w:val="24"/>
        </w:rPr>
      </w:pPr>
      <w:r>
        <w:rPr>
          <w:rFonts w:ascii="Arial" w:hAnsi="Arial" w:cs="Arial"/>
          <w:b/>
          <w:szCs w:val="24"/>
        </w:rPr>
        <w:t xml:space="preserve">4. Grado jurisdiccional de consulta </w:t>
      </w:r>
    </w:p>
    <w:p w:rsidR="00746803" w:rsidRDefault="00746803" w:rsidP="00746803">
      <w:pPr>
        <w:shd w:val="clear" w:color="auto" w:fill="FFFFFF"/>
        <w:tabs>
          <w:tab w:val="left" w:pos="5197"/>
        </w:tabs>
        <w:spacing w:line="276" w:lineRule="auto"/>
        <w:contextualSpacing/>
        <w:jc w:val="both"/>
        <w:rPr>
          <w:rFonts w:ascii="Arial" w:hAnsi="Arial" w:cs="Arial"/>
          <w:szCs w:val="24"/>
        </w:rPr>
      </w:pPr>
    </w:p>
    <w:p w:rsidR="00746803" w:rsidRDefault="00746803" w:rsidP="00746803">
      <w:pPr>
        <w:shd w:val="clear" w:color="auto" w:fill="FFFFFF"/>
        <w:spacing w:line="276" w:lineRule="auto"/>
        <w:jc w:val="both"/>
        <w:rPr>
          <w:rFonts w:ascii="Arial" w:hAnsi="Arial" w:cs="Arial"/>
          <w:szCs w:val="24"/>
          <w:lang w:eastAsia="es-CO"/>
        </w:rPr>
      </w:pPr>
      <w:r w:rsidRPr="00350788">
        <w:rPr>
          <w:rFonts w:ascii="Arial" w:hAnsi="Arial" w:cs="Arial"/>
          <w:szCs w:val="24"/>
        </w:rPr>
        <w:lastRenderedPageBreak/>
        <w:t>Contra la decisión de primer grado</w:t>
      </w:r>
      <w:r>
        <w:rPr>
          <w:rFonts w:ascii="Arial" w:hAnsi="Arial" w:cs="Arial"/>
          <w:szCs w:val="24"/>
        </w:rPr>
        <w:t xml:space="preserve">, se dispuso </w:t>
      </w:r>
      <w:r w:rsidR="00BC1CCF">
        <w:rPr>
          <w:rFonts w:ascii="Arial" w:hAnsi="Arial" w:cs="Arial"/>
          <w:szCs w:val="24"/>
        </w:rPr>
        <w:t xml:space="preserve">se surtiera </w:t>
      </w:r>
      <w:r>
        <w:rPr>
          <w:rFonts w:ascii="Arial" w:hAnsi="Arial" w:cs="Arial"/>
          <w:szCs w:val="24"/>
        </w:rPr>
        <w:t>el grado jurisdiccional de consulta a favor de</w:t>
      </w:r>
      <w:r w:rsidR="00D232B1">
        <w:rPr>
          <w:rFonts w:ascii="Arial" w:hAnsi="Arial" w:cs="Arial"/>
          <w:szCs w:val="24"/>
        </w:rPr>
        <w:t xml:space="preserve">l </w:t>
      </w:r>
      <w:proofErr w:type="spellStart"/>
      <w:r w:rsidR="00D232B1">
        <w:rPr>
          <w:rFonts w:ascii="Arial" w:hAnsi="Arial" w:cs="Arial"/>
          <w:szCs w:val="24"/>
        </w:rPr>
        <w:t>ISS</w:t>
      </w:r>
      <w:proofErr w:type="spellEnd"/>
      <w:r w:rsidR="00D232B1">
        <w:rPr>
          <w:rFonts w:ascii="Arial" w:hAnsi="Arial" w:cs="Arial"/>
          <w:szCs w:val="24"/>
        </w:rPr>
        <w:t>, por haberle sido adv</w:t>
      </w:r>
      <w:r w:rsidR="00BC1CCF">
        <w:rPr>
          <w:rFonts w:ascii="Arial" w:hAnsi="Arial" w:cs="Arial"/>
          <w:szCs w:val="24"/>
        </w:rPr>
        <w:t xml:space="preserve">ersa, siendo garante la Nación, al tenor del </w:t>
      </w:r>
      <w:r w:rsidR="00BC1CCF" w:rsidRPr="008F2CDB">
        <w:rPr>
          <w:rFonts w:ascii="Arial" w:hAnsi="Arial" w:cs="Arial"/>
          <w:szCs w:val="24"/>
        </w:rPr>
        <w:t xml:space="preserve">Decreto </w:t>
      </w:r>
      <w:r w:rsidR="008F2CDB" w:rsidRPr="008F2CDB">
        <w:rPr>
          <w:rFonts w:ascii="Arial" w:hAnsi="Arial" w:cs="Arial"/>
          <w:szCs w:val="24"/>
        </w:rPr>
        <w:t>2013</w:t>
      </w:r>
      <w:r w:rsidR="00BC1CCF" w:rsidRPr="008F2CDB">
        <w:rPr>
          <w:rFonts w:ascii="Arial" w:hAnsi="Arial" w:cs="Arial"/>
          <w:szCs w:val="24"/>
        </w:rPr>
        <w:t xml:space="preserve"> de </w:t>
      </w:r>
      <w:r w:rsidR="008F2CDB" w:rsidRPr="008F2CDB">
        <w:rPr>
          <w:rFonts w:ascii="Arial" w:hAnsi="Arial" w:cs="Arial"/>
          <w:szCs w:val="24"/>
        </w:rPr>
        <w:t>2012</w:t>
      </w:r>
      <w:r w:rsidR="00BC1CCF" w:rsidRPr="008F2CDB">
        <w:rPr>
          <w:rFonts w:ascii="Arial" w:hAnsi="Arial" w:cs="Arial"/>
          <w:szCs w:val="24"/>
        </w:rPr>
        <w:t>.</w:t>
      </w:r>
    </w:p>
    <w:p w:rsidR="00746803" w:rsidRDefault="00746803" w:rsidP="009F3966">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716C06" w:rsidRDefault="00716C06"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374A8C">
        <w:rPr>
          <w:rFonts w:ascii="Arial" w:hAnsi="Arial" w:cs="Arial"/>
          <w:b/>
          <w:szCs w:val="24"/>
        </w:rPr>
        <w:t>s</w:t>
      </w:r>
      <w:r w:rsidR="00226D5F" w:rsidRPr="009740CF">
        <w:rPr>
          <w:rFonts w:ascii="Arial" w:hAnsi="Arial" w:cs="Arial"/>
          <w:b/>
          <w:szCs w:val="24"/>
        </w:rPr>
        <w:t xml:space="preserve"> jurídico</w:t>
      </w:r>
      <w:r w:rsidR="00374A8C">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4A8C">
        <w:rPr>
          <w:rFonts w:ascii="Arial" w:hAnsi="Arial" w:cs="Arial"/>
          <w:szCs w:val="24"/>
        </w:rPr>
        <w:t>lo anterior, la Sala plantea los</w:t>
      </w:r>
      <w:r w:rsidRPr="004B0EB0">
        <w:rPr>
          <w:rFonts w:ascii="Arial" w:hAnsi="Arial" w:cs="Arial"/>
          <w:szCs w:val="24"/>
        </w:rPr>
        <w:t xml:space="preserve"> siguiente</w:t>
      </w:r>
      <w:r w:rsidR="00374A8C">
        <w:rPr>
          <w:rFonts w:ascii="Arial" w:hAnsi="Arial" w:cs="Arial"/>
          <w:szCs w:val="24"/>
        </w:rPr>
        <w:t>s</w:t>
      </w:r>
      <w:r w:rsidRPr="004B0EB0">
        <w:rPr>
          <w:rFonts w:ascii="Arial" w:hAnsi="Arial" w:cs="Arial"/>
          <w:szCs w:val="24"/>
        </w:rPr>
        <w:t>:</w:t>
      </w:r>
    </w:p>
    <w:p w:rsidR="008141B8" w:rsidRPr="004B0EB0" w:rsidRDefault="008141B8" w:rsidP="008141B8">
      <w:pPr>
        <w:suppressAutoHyphens/>
        <w:spacing w:line="276" w:lineRule="auto"/>
        <w:jc w:val="both"/>
        <w:rPr>
          <w:rFonts w:ascii="Arial" w:hAnsi="Arial" w:cs="Arial"/>
          <w:szCs w:val="24"/>
        </w:rPr>
      </w:pPr>
    </w:p>
    <w:p w:rsidR="002B6F91" w:rsidRPr="002B6F91" w:rsidRDefault="002B6F91" w:rsidP="002B6F91">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szCs w:val="24"/>
        </w:rPr>
        <w:t xml:space="preserve">(i) </w:t>
      </w:r>
      <w:r w:rsidR="00BD0993" w:rsidRPr="002B6F91">
        <w:rPr>
          <w:rFonts w:ascii="Arial" w:hAnsi="Arial" w:cs="Arial"/>
          <w:szCs w:val="24"/>
        </w:rPr>
        <w:t xml:space="preserve">¿Demostró la parte demandante que el servicio prestado </w:t>
      </w:r>
      <w:r w:rsidRPr="002B6F91">
        <w:rPr>
          <w:rFonts w:ascii="Arial" w:hAnsi="Arial" w:cs="Arial"/>
          <w:szCs w:val="24"/>
        </w:rPr>
        <w:t>desde el 01-09-2009</w:t>
      </w:r>
      <w:r w:rsidR="00F97666" w:rsidRPr="002B6F91">
        <w:rPr>
          <w:rFonts w:ascii="Arial" w:hAnsi="Arial" w:cs="Arial"/>
          <w:szCs w:val="24"/>
        </w:rPr>
        <w:t xml:space="preserve"> </w:t>
      </w:r>
      <w:r w:rsidR="00C30626">
        <w:rPr>
          <w:rFonts w:ascii="Arial" w:hAnsi="Arial" w:cs="Arial"/>
          <w:szCs w:val="24"/>
        </w:rPr>
        <w:t xml:space="preserve">al 30/04/2010 y del 01/07/2010 al </w:t>
      </w:r>
      <w:r w:rsidR="00F97666" w:rsidRPr="002B6F91">
        <w:rPr>
          <w:rFonts w:ascii="Arial" w:hAnsi="Arial" w:cs="Arial"/>
          <w:szCs w:val="24"/>
        </w:rPr>
        <w:t>3</w:t>
      </w:r>
      <w:r w:rsidRPr="002B6F91">
        <w:rPr>
          <w:rFonts w:ascii="Arial" w:hAnsi="Arial" w:cs="Arial"/>
          <w:szCs w:val="24"/>
        </w:rPr>
        <w:t>1-10</w:t>
      </w:r>
      <w:r w:rsidR="00F97666" w:rsidRPr="002B6F91">
        <w:rPr>
          <w:rFonts w:ascii="Arial" w:hAnsi="Arial" w:cs="Arial"/>
          <w:szCs w:val="24"/>
        </w:rPr>
        <w:t>-201</w:t>
      </w:r>
      <w:r w:rsidR="00F104E6">
        <w:rPr>
          <w:rFonts w:ascii="Arial" w:hAnsi="Arial" w:cs="Arial"/>
          <w:szCs w:val="24"/>
        </w:rPr>
        <w:t>1</w:t>
      </w:r>
      <w:r w:rsidR="00BD0993" w:rsidRPr="002B6F91">
        <w:rPr>
          <w:rFonts w:ascii="Arial" w:hAnsi="Arial" w:cs="Arial"/>
          <w:szCs w:val="24"/>
        </w:rPr>
        <w:t>, a favor de la parte d</w:t>
      </w:r>
      <w:r w:rsidRPr="002B6F91">
        <w:rPr>
          <w:rFonts w:ascii="Arial" w:hAnsi="Arial" w:cs="Arial"/>
          <w:szCs w:val="24"/>
        </w:rPr>
        <w:t xml:space="preserve">emandada, lo fue en virtud de </w:t>
      </w:r>
      <w:r w:rsidR="00C30626">
        <w:rPr>
          <w:rFonts w:ascii="Arial" w:hAnsi="Arial" w:cs="Arial"/>
          <w:szCs w:val="24"/>
        </w:rPr>
        <w:t xml:space="preserve">dos </w:t>
      </w:r>
      <w:r w:rsidR="00BD0993" w:rsidRPr="002B6F91">
        <w:rPr>
          <w:rFonts w:ascii="Arial" w:hAnsi="Arial" w:cs="Arial"/>
          <w:szCs w:val="24"/>
        </w:rPr>
        <w:t>contrato</w:t>
      </w:r>
      <w:r w:rsidR="00C30626">
        <w:rPr>
          <w:rFonts w:ascii="Arial" w:hAnsi="Arial" w:cs="Arial"/>
          <w:szCs w:val="24"/>
        </w:rPr>
        <w:t>s</w:t>
      </w:r>
      <w:r w:rsidR="00BD0993" w:rsidRPr="002B6F91">
        <w:rPr>
          <w:rFonts w:ascii="Arial" w:hAnsi="Arial" w:cs="Arial"/>
          <w:szCs w:val="24"/>
        </w:rPr>
        <w:t xml:space="preserve"> de trabajo</w:t>
      </w:r>
      <w:r w:rsidR="00BD0993" w:rsidRPr="002B6F91">
        <w:rPr>
          <w:rFonts w:ascii="Arial" w:hAnsi="Arial" w:cs="Arial"/>
          <w:color w:val="000000"/>
          <w:szCs w:val="24"/>
          <w:lang w:eastAsia="es-CO"/>
        </w:rPr>
        <w:t>?</w:t>
      </w:r>
    </w:p>
    <w:p w:rsidR="002B6F91" w:rsidRDefault="002B6F91" w:rsidP="002B6F91">
      <w:pPr>
        <w:tabs>
          <w:tab w:val="left" w:pos="0"/>
          <w:tab w:val="left" w:pos="8647"/>
        </w:tabs>
        <w:suppressAutoHyphens/>
        <w:spacing w:line="276" w:lineRule="auto"/>
        <w:ind w:right="51"/>
        <w:jc w:val="both"/>
        <w:rPr>
          <w:rFonts w:ascii="Arial" w:hAnsi="Arial" w:cs="Arial"/>
          <w:iCs/>
          <w:szCs w:val="24"/>
        </w:rPr>
      </w:pPr>
    </w:p>
    <w:p w:rsidR="004A2039" w:rsidRPr="002B6F91" w:rsidRDefault="00BD0993" w:rsidP="002B6F91">
      <w:pPr>
        <w:tabs>
          <w:tab w:val="left" w:pos="0"/>
          <w:tab w:val="left" w:pos="8647"/>
        </w:tabs>
        <w:suppressAutoHyphens/>
        <w:spacing w:line="276" w:lineRule="auto"/>
        <w:ind w:right="51"/>
        <w:jc w:val="both"/>
        <w:rPr>
          <w:rFonts w:ascii="Arial" w:hAnsi="Arial" w:cs="Arial"/>
          <w:iCs/>
          <w:szCs w:val="24"/>
        </w:rPr>
      </w:pPr>
      <w:r w:rsidRPr="00E94DB6">
        <w:rPr>
          <w:rFonts w:ascii="Arial" w:hAnsi="Arial" w:cs="Arial"/>
          <w:iCs/>
          <w:szCs w:val="24"/>
        </w:rPr>
        <w:t>(ii)</w:t>
      </w:r>
      <w:r w:rsidR="000A6B48">
        <w:rPr>
          <w:rFonts w:ascii="Arial" w:hAnsi="Arial" w:cs="Arial"/>
          <w:iCs/>
          <w:szCs w:val="24"/>
        </w:rPr>
        <w:t xml:space="preserve"> D</w:t>
      </w:r>
      <w:r w:rsidR="00071936">
        <w:rPr>
          <w:rFonts w:ascii="Arial" w:hAnsi="Arial" w:cs="Arial"/>
          <w:iCs/>
          <w:szCs w:val="24"/>
        </w:rPr>
        <w:t xml:space="preserve">e ser afirmativo lo anterior, </w:t>
      </w:r>
      <w:r w:rsidR="00E94DB6">
        <w:rPr>
          <w:rFonts w:ascii="Arial" w:hAnsi="Arial" w:cs="Arial"/>
          <w:iCs/>
          <w:szCs w:val="24"/>
        </w:rPr>
        <w:t>¿</w:t>
      </w:r>
      <w:r w:rsidR="00AF2861">
        <w:rPr>
          <w:rFonts w:ascii="Arial" w:hAnsi="Arial" w:cs="Arial"/>
          <w:iCs/>
          <w:szCs w:val="24"/>
        </w:rPr>
        <w:t>L</w:t>
      </w:r>
      <w:r w:rsidR="00071936">
        <w:rPr>
          <w:rFonts w:ascii="Arial" w:hAnsi="Arial" w:cs="Arial"/>
          <w:iCs/>
          <w:szCs w:val="24"/>
        </w:rPr>
        <w:t xml:space="preserve">e </w:t>
      </w:r>
      <w:r w:rsidR="005E136E">
        <w:rPr>
          <w:rFonts w:ascii="Arial" w:hAnsi="Arial" w:cs="Arial"/>
          <w:iCs/>
          <w:szCs w:val="24"/>
        </w:rPr>
        <w:t xml:space="preserve">es </w:t>
      </w:r>
      <w:r w:rsidR="00071936">
        <w:rPr>
          <w:rFonts w:ascii="Arial" w:hAnsi="Arial" w:cs="Arial"/>
          <w:iCs/>
          <w:szCs w:val="24"/>
        </w:rPr>
        <w:t xml:space="preserve">aplicable </w:t>
      </w:r>
      <w:r w:rsidR="00AF2861">
        <w:rPr>
          <w:rFonts w:ascii="Arial" w:hAnsi="Arial" w:cs="Arial"/>
          <w:iCs/>
          <w:szCs w:val="24"/>
        </w:rPr>
        <w:t xml:space="preserve">al demandante </w:t>
      </w:r>
      <w:r w:rsidR="00071936">
        <w:rPr>
          <w:rFonts w:ascii="Arial" w:hAnsi="Arial" w:cs="Arial"/>
          <w:iCs/>
          <w:szCs w:val="24"/>
        </w:rPr>
        <w:t xml:space="preserve">la convención colectiva de trabajo suscrita por el </w:t>
      </w:r>
      <w:proofErr w:type="spellStart"/>
      <w:r w:rsidR="00071936">
        <w:rPr>
          <w:rFonts w:ascii="Arial" w:hAnsi="Arial" w:cs="Arial"/>
          <w:iCs/>
          <w:szCs w:val="24"/>
        </w:rPr>
        <w:t>ISS</w:t>
      </w:r>
      <w:proofErr w:type="spellEnd"/>
      <w:r w:rsidR="00071936">
        <w:rPr>
          <w:rFonts w:ascii="Arial" w:hAnsi="Arial" w:cs="Arial"/>
          <w:iCs/>
          <w:szCs w:val="24"/>
        </w:rPr>
        <w:t xml:space="preserve"> y el sindicato de trabajadores del mismo y por ende</w:t>
      </w:r>
      <w:r w:rsidR="000A6B48">
        <w:rPr>
          <w:rFonts w:ascii="Arial" w:hAnsi="Arial" w:cs="Arial"/>
          <w:iCs/>
          <w:szCs w:val="24"/>
        </w:rPr>
        <w:t>,</w:t>
      </w:r>
      <w:r w:rsidR="002B6F91">
        <w:rPr>
          <w:rFonts w:ascii="Arial" w:hAnsi="Arial" w:cs="Arial"/>
          <w:iCs/>
          <w:szCs w:val="24"/>
        </w:rPr>
        <w:t xml:space="preserve"> es merecedor</w:t>
      </w:r>
      <w:r w:rsidR="00071936">
        <w:rPr>
          <w:rFonts w:ascii="Arial" w:hAnsi="Arial" w:cs="Arial"/>
          <w:iCs/>
          <w:szCs w:val="24"/>
        </w:rPr>
        <w:t xml:space="preserve"> de las prestaciones que en dicha convención se predica</w:t>
      </w:r>
      <w:r w:rsidR="005730DE">
        <w:rPr>
          <w:rFonts w:ascii="Arial" w:hAnsi="Arial" w:cs="Arial"/>
          <w:iCs/>
          <w:szCs w:val="24"/>
        </w:rPr>
        <w:t xml:space="preserve"> y se solicitan</w:t>
      </w:r>
      <w:r w:rsidR="00071936">
        <w:rPr>
          <w:rFonts w:ascii="Arial" w:hAnsi="Arial" w:cs="Arial"/>
          <w:iCs/>
          <w:szCs w:val="24"/>
        </w:rPr>
        <w:t>?</w:t>
      </w:r>
    </w:p>
    <w:p w:rsidR="004A2039" w:rsidRDefault="004A2039" w:rsidP="00374A8C">
      <w:pPr>
        <w:tabs>
          <w:tab w:val="left" w:pos="0"/>
          <w:tab w:val="left" w:pos="8647"/>
        </w:tabs>
        <w:suppressAutoHyphens/>
        <w:spacing w:line="276" w:lineRule="auto"/>
        <w:ind w:right="51"/>
        <w:jc w:val="both"/>
        <w:rPr>
          <w:rFonts w:ascii="Arial" w:hAnsi="Arial" w:cs="Arial"/>
          <w:iCs/>
          <w:szCs w:val="24"/>
        </w:rPr>
      </w:pPr>
    </w:p>
    <w:p w:rsidR="00AF2861" w:rsidRDefault="00373EA4" w:rsidP="00374A8C">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(iii) ¿tiene lugar al reconocimiento de las acreencias laborales que hizo la primera instancia?</w:t>
      </w:r>
    </w:p>
    <w:p w:rsidR="00373EA4" w:rsidRDefault="00373EA4" w:rsidP="00374A8C">
      <w:pPr>
        <w:tabs>
          <w:tab w:val="left" w:pos="0"/>
          <w:tab w:val="left" w:pos="8647"/>
        </w:tabs>
        <w:suppressAutoHyphens/>
        <w:spacing w:line="276" w:lineRule="auto"/>
        <w:ind w:right="51"/>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Pr="00057890" w:rsidRDefault="00057890" w:rsidP="00385D77">
      <w:pPr>
        <w:pStyle w:val="Textoindependiente"/>
        <w:spacing w:line="276" w:lineRule="auto"/>
        <w:contextualSpacing/>
        <w:rPr>
          <w:iCs/>
          <w:szCs w:val="24"/>
        </w:rPr>
      </w:pPr>
    </w:p>
    <w:p w:rsidR="00CC5F1D"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CC5F1D">
        <w:rPr>
          <w:rFonts w:ascii="Arial" w:hAnsi="Arial" w:cs="Arial"/>
          <w:b/>
          <w:szCs w:val="24"/>
        </w:rPr>
        <w:t>Elementos del contrato de trabajo y principio del contrato realidad</w:t>
      </w:r>
    </w:p>
    <w:p w:rsidR="00B8518E"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2B06F9" w:rsidRPr="002B06F9" w:rsidRDefault="002B06F9" w:rsidP="002B06F9">
      <w:pPr>
        <w:spacing w:line="276" w:lineRule="auto"/>
        <w:jc w:val="both"/>
        <w:rPr>
          <w:rFonts w:ascii="Arial" w:eastAsia="Arial" w:hAnsi="Arial" w:cs="Arial"/>
          <w:szCs w:val="26"/>
        </w:rPr>
      </w:pPr>
      <w:r w:rsidRPr="002B06F9">
        <w:rPr>
          <w:rFonts w:ascii="Arial" w:eastAsia="Arial" w:hAnsi="Arial" w:cs="Arial"/>
          <w:szCs w:val="26"/>
        </w:rPr>
        <w:t>Para desentraña</w:t>
      </w:r>
      <w:r>
        <w:rPr>
          <w:rFonts w:ascii="Arial" w:eastAsia="Arial" w:hAnsi="Arial" w:cs="Arial"/>
          <w:szCs w:val="26"/>
        </w:rPr>
        <w:t xml:space="preserve">r </w:t>
      </w:r>
      <w:r w:rsidRPr="002B06F9">
        <w:rPr>
          <w:rFonts w:ascii="Arial" w:eastAsia="Arial" w:hAnsi="Arial" w:cs="Arial"/>
          <w:szCs w:val="26"/>
        </w:rPr>
        <w:t>l</w:t>
      </w:r>
      <w:r>
        <w:rPr>
          <w:rFonts w:ascii="Arial" w:eastAsia="Arial" w:hAnsi="Arial" w:cs="Arial"/>
          <w:szCs w:val="26"/>
        </w:rPr>
        <w:t>os</w:t>
      </w:r>
      <w:r w:rsidRPr="002B06F9">
        <w:rPr>
          <w:rFonts w:ascii="Arial" w:eastAsia="Arial" w:hAnsi="Arial" w:cs="Arial"/>
          <w:szCs w:val="26"/>
        </w:rPr>
        <w:t xml:space="preserve"> problema</w:t>
      </w:r>
      <w:r>
        <w:rPr>
          <w:rFonts w:ascii="Arial" w:eastAsia="Arial" w:hAnsi="Arial" w:cs="Arial"/>
          <w:szCs w:val="26"/>
        </w:rPr>
        <w:t>s</w:t>
      </w:r>
      <w:r w:rsidRPr="002B06F9">
        <w:rPr>
          <w:rFonts w:ascii="Arial" w:eastAsia="Arial" w:hAnsi="Arial" w:cs="Arial"/>
          <w:szCs w:val="26"/>
        </w:rPr>
        <w:t xml:space="preserve"> jurídico</w:t>
      </w:r>
      <w:r>
        <w:rPr>
          <w:rFonts w:ascii="Arial" w:eastAsia="Arial" w:hAnsi="Arial" w:cs="Arial"/>
          <w:szCs w:val="26"/>
        </w:rPr>
        <w:t>s</w:t>
      </w:r>
      <w:r w:rsidRPr="002B06F9">
        <w:rPr>
          <w:rFonts w:ascii="Arial" w:eastAsia="Arial" w:hAnsi="Arial" w:cs="Arial"/>
          <w:szCs w:val="26"/>
        </w:rPr>
        <w:t xml:space="preserve"> planteado</w:t>
      </w:r>
      <w:r>
        <w:rPr>
          <w:rFonts w:ascii="Arial" w:eastAsia="Arial" w:hAnsi="Arial" w:cs="Arial"/>
          <w:szCs w:val="26"/>
        </w:rPr>
        <w:t>s</w:t>
      </w:r>
      <w:r w:rsidRPr="002B06F9">
        <w:rPr>
          <w:rFonts w:ascii="Arial" w:eastAsia="Arial" w:hAnsi="Arial" w:cs="Arial"/>
          <w:szCs w:val="26"/>
        </w:rPr>
        <w:t xml:space="preserve"> se hace necesario recordar, que los elementos esenciales que se requieren concurran para la configuración del contrato de trabajo del empleado oficial, son la actividad personal del trabajador, esto es, que éste la realice por sí mismo, de manera prolongada; la continua subordinación o dependencia respecto del empleador, que faculta a éste para requerir el cumplimiento de órdenes o instrucciones al empleado y la correlativa obligación de acatarlas; y, un salario en retribución del servicio (artículo 2 del Decreto 2127 de 1945).</w:t>
      </w:r>
    </w:p>
    <w:p w:rsidR="002B06F9" w:rsidRDefault="002B06F9" w:rsidP="002B06F9">
      <w:pPr>
        <w:pStyle w:val="Textoindependiente"/>
        <w:rPr>
          <w:iCs/>
          <w:szCs w:val="24"/>
        </w:rPr>
      </w:pPr>
    </w:p>
    <w:p w:rsidR="002B06F9" w:rsidRDefault="002B06F9" w:rsidP="002B06F9">
      <w:pPr>
        <w:pStyle w:val="Textoindependien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w:t>
      </w:r>
      <w:r w:rsidR="00373EA4">
        <w:rPr>
          <w:rFonts w:eastAsia="Arial"/>
          <w:szCs w:val="26"/>
        </w:rPr>
        <w:t>estatuto procesal civil</w:t>
      </w:r>
      <w:r>
        <w:rPr>
          <w:rFonts w:eastAsia="Arial"/>
          <w:szCs w:val="26"/>
        </w:rPr>
        <w:t xml:space="preserve">, </w:t>
      </w:r>
      <w:r w:rsidRPr="002B06F9">
        <w:rPr>
          <w:rFonts w:eastAsia="Arial"/>
          <w:szCs w:val="26"/>
        </w:rPr>
        <w:t>que se aplica por remisión del artículo 145 del C.</w:t>
      </w:r>
      <w:r>
        <w:rPr>
          <w:rFonts w:eastAsia="Arial"/>
          <w:szCs w:val="26"/>
        </w:rPr>
        <w:t xml:space="preserve"> P. T. y S.S.; carga  probatoria</w:t>
      </w:r>
      <w:r w:rsidRPr="002B06F9">
        <w:rPr>
          <w:rFonts w:eastAsia="Arial"/>
          <w:szCs w:val="26"/>
        </w:rPr>
        <w:t xml:space="preserve"> que se atenúa con la presunción consagrada</w:t>
      </w:r>
      <w:r w:rsidR="00E54C64">
        <w:rPr>
          <w:rFonts w:eastAsia="Arial"/>
          <w:szCs w:val="26"/>
        </w:rPr>
        <w:t xml:space="preserve"> en </w:t>
      </w:r>
      <w:r w:rsidRPr="002B06F9">
        <w:rPr>
          <w:rFonts w:eastAsia="Arial"/>
          <w:szCs w:val="26"/>
        </w:rPr>
        <w:t>el art. 20 del Decreto 2127 de 1945, a favor del trabajador, a quien le bastará con probar la prestación personal del servicio para dar por sentado la existen</w:t>
      </w:r>
      <w:r w:rsidR="00373EA4">
        <w:rPr>
          <w:rFonts w:eastAsia="Arial"/>
          <w:szCs w:val="26"/>
        </w:rPr>
        <w:t>cia del contrato de trabajo</w:t>
      </w:r>
      <w:r w:rsidRPr="002B06F9">
        <w:rPr>
          <w:rFonts w:eastAsia="Arial"/>
          <w:szCs w:val="26"/>
        </w:rPr>
        <w:t>; de tal manera que se trasladará la carga probatoria a la parte demandada, quien deberá desvirtuar la presunción legal</w:t>
      </w:r>
      <w:r w:rsidR="00924B42">
        <w:rPr>
          <w:rFonts w:eastAsia="Arial"/>
          <w:szCs w:val="26"/>
        </w:rPr>
        <w:t xml:space="preserve">. </w:t>
      </w:r>
    </w:p>
    <w:p w:rsidR="002B06F9" w:rsidRPr="002B06F9" w:rsidRDefault="002B06F9" w:rsidP="002B06F9">
      <w:pPr>
        <w:spacing w:after="120" w:line="276" w:lineRule="auto"/>
        <w:jc w:val="both"/>
        <w:rPr>
          <w:rFonts w:ascii="Arial" w:eastAsia="Arial" w:hAnsi="Arial" w:cs="Arial"/>
          <w:szCs w:val="26"/>
        </w:rPr>
      </w:pPr>
    </w:p>
    <w:p w:rsidR="00CC5F1D" w:rsidRDefault="00CC5F1D" w:rsidP="00CC5F1D">
      <w:pPr>
        <w:pStyle w:val="Textoindependiente"/>
        <w:spacing w:line="276" w:lineRule="auto"/>
        <w:rPr>
          <w:rFonts w:ascii="Arial Narrow" w:hAnsi="Arial Narrow"/>
          <w:iCs/>
          <w:sz w:val="26"/>
          <w:szCs w:val="26"/>
        </w:rPr>
      </w:pPr>
      <w:r w:rsidRPr="00850B76">
        <w:rPr>
          <w:iCs/>
          <w:szCs w:val="26"/>
          <w:lang w:val="es-CO"/>
        </w:rPr>
        <w:t>En atención a la discusión que se su</w:t>
      </w:r>
      <w:r>
        <w:rPr>
          <w:iCs/>
          <w:szCs w:val="26"/>
          <w:lang w:val="es-CO"/>
        </w:rPr>
        <w:t>s</w:t>
      </w:r>
      <w:r w:rsidRPr="00850B76">
        <w:rPr>
          <w:iCs/>
          <w:szCs w:val="26"/>
          <w:lang w:val="es-CO"/>
        </w:rPr>
        <w:t xml:space="preserve">cita en este asunto, requiere </w:t>
      </w:r>
      <w:r w:rsidRPr="00850B76">
        <w:rPr>
          <w:iCs/>
          <w:szCs w:val="26"/>
        </w:rPr>
        <w:t>especial mención el principio constitucional consagrado en el artículo 53 de la Constitución Nacional</w:t>
      </w:r>
      <w:r w:rsidR="000A6B48">
        <w:rPr>
          <w:iCs/>
          <w:szCs w:val="26"/>
        </w:rPr>
        <w:t>,</w:t>
      </w:r>
      <w:r w:rsidRPr="00850B76">
        <w:rPr>
          <w:iCs/>
          <w:szCs w:val="26"/>
        </w:rPr>
        <w:t xml:space="preserve"> denominado 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 xml:space="preserve">hacer imperar la </w:t>
      </w:r>
      <w:r w:rsidRPr="00850B76">
        <w:rPr>
          <w:iCs/>
          <w:szCs w:val="26"/>
        </w:rPr>
        <w:lastRenderedPageBreak/>
        <w:t>realidad sobre las formas</w:t>
      </w:r>
      <w:r w:rsidR="004B3927">
        <w:rPr>
          <w:iCs/>
          <w:szCs w:val="26"/>
        </w:rPr>
        <w:t>;</w:t>
      </w:r>
      <w:r w:rsidRPr="00850B76">
        <w:rPr>
          <w:iCs/>
          <w:szCs w:val="26"/>
        </w:rPr>
        <w:t xml:space="preserve"> siendo este el mecanismo para efectivizar</w:t>
      </w:r>
      <w:r>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sin importar la aquiescencia del </w:t>
      </w:r>
      <w:r w:rsidR="00C30626">
        <w:rPr>
          <w:iCs/>
          <w:szCs w:val="26"/>
        </w:rPr>
        <w:t>trabajador</w:t>
      </w:r>
      <w:r w:rsidRPr="00850B76">
        <w:rPr>
          <w:iCs/>
          <w:szCs w:val="26"/>
        </w:rPr>
        <w:t>, dado el carácter de orden público que tienen las normas de trabajo</w:t>
      </w:r>
      <w:r w:rsidRPr="00006537">
        <w:rPr>
          <w:rFonts w:ascii="Arial Narrow" w:hAnsi="Arial Narrow"/>
          <w:iCs/>
          <w:sz w:val="26"/>
          <w:szCs w:val="26"/>
        </w:rPr>
        <w:t>.</w:t>
      </w:r>
    </w:p>
    <w:p w:rsidR="002B06F9" w:rsidRDefault="002B06F9" w:rsidP="00CC5F1D">
      <w:pPr>
        <w:pStyle w:val="Textoindependiente"/>
        <w:spacing w:line="276" w:lineRule="auto"/>
        <w:rPr>
          <w:rFonts w:ascii="Arial Narrow" w:hAnsi="Arial Narrow"/>
          <w:iCs/>
          <w:sz w:val="26"/>
          <w:szCs w:val="26"/>
        </w:rPr>
      </w:pPr>
    </w:p>
    <w:p w:rsidR="00677A20"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4046D1" w:rsidRDefault="00071936" w:rsidP="00C35C34">
      <w:pPr>
        <w:tabs>
          <w:tab w:val="left" w:pos="8647"/>
          <w:tab w:val="left" w:pos="9356"/>
        </w:tabs>
        <w:spacing w:line="276" w:lineRule="auto"/>
        <w:jc w:val="both"/>
        <w:rPr>
          <w:rFonts w:ascii="Arial" w:hAnsi="Arial" w:cs="Arial"/>
          <w:szCs w:val="24"/>
        </w:rPr>
      </w:pPr>
      <w:r>
        <w:rPr>
          <w:rFonts w:ascii="Arial" w:hAnsi="Arial" w:cs="Arial"/>
          <w:szCs w:val="24"/>
        </w:rPr>
        <w:t>De antemano res</w:t>
      </w:r>
      <w:r w:rsidR="009438EA">
        <w:rPr>
          <w:rFonts w:ascii="Arial" w:hAnsi="Arial" w:cs="Arial"/>
          <w:szCs w:val="24"/>
        </w:rPr>
        <w:t>ulta relevante manifestar que el</w:t>
      </w:r>
      <w:r w:rsidR="0043666D">
        <w:rPr>
          <w:rFonts w:ascii="Arial" w:hAnsi="Arial" w:cs="Arial"/>
          <w:szCs w:val="24"/>
        </w:rPr>
        <w:t xml:space="preserve"> señor </w:t>
      </w:r>
      <w:r w:rsidR="009438EA">
        <w:rPr>
          <w:rFonts w:ascii="Arial" w:hAnsi="Arial" w:cs="Arial"/>
          <w:szCs w:val="24"/>
        </w:rPr>
        <w:t>Andrés Felipe Gómez Dávila</w:t>
      </w:r>
      <w:r w:rsidR="0043666D">
        <w:rPr>
          <w:rFonts w:ascii="Arial" w:hAnsi="Arial" w:cs="Arial"/>
          <w:szCs w:val="24"/>
        </w:rPr>
        <w:t xml:space="preserve"> prestó sus servicios personales a favor del Instituto de Seguros Sociales entre el </w:t>
      </w:r>
      <w:r w:rsidR="00BF0DE4">
        <w:rPr>
          <w:rFonts w:ascii="Arial" w:hAnsi="Arial" w:cs="Arial"/>
          <w:szCs w:val="24"/>
        </w:rPr>
        <w:t>01</w:t>
      </w:r>
      <w:r w:rsidR="009438EA">
        <w:rPr>
          <w:rFonts w:ascii="Arial" w:hAnsi="Arial" w:cs="Arial"/>
          <w:szCs w:val="24"/>
        </w:rPr>
        <w:t>-09</w:t>
      </w:r>
      <w:r w:rsidR="008D7DFE">
        <w:rPr>
          <w:rFonts w:ascii="Arial" w:hAnsi="Arial" w:cs="Arial"/>
          <w:szCs w:val="24"/>
        </w:rPr>
        <w:t>-</w:t>
      </w:r>
      <w:r w:rsidR="009438EA">
        <w:rPr>
          <w:rFonts w:ascii="Arial" w:hAnsi="Arial" w:cs="Arial"/>
          <w:szCs w:val="24"/>
        </w:rPr>
        <w:t>2009</w:t>
      </w:r>
      <w:r w:rsidR="0043666D">
        <w:rPr>
          <w:rFonts w:ascii="Arial" w:hAnsi="Arial" w:cs="Arial"/>
          <w:szCs w:val="24"/>
        </w:rPr>
        <w:t xml:space="preserve"> </w:t>
      </w:r>
      <w:r w:rsidR="00C30626">
        <w:rPr>
          <w:rFonts w:ascii="Arial" w:hAnsi="Arial" w:cs="Arial"/>
          <w:szCs w:val="24"/>
        </w:rPr>
        <w:t xml:space="preserve">al 30/04/2010 y del 01/07/2010 al </w:t>
      </w:r>
      <w:r w:rsidR="00BF0DE4">
        <w:rPr>
          <w:rFonts w:ascii="Arial" w:hAnsi="Arial" w:cs="Arial"/>
          <w:szCs w:val="24"/>
        </w:rPr>
        <w:t>3</w:t>
      </w:r>
      <w:r w:rsidR="00945C06">
        <w:rPr>
          <w:rFonts w:ascii="Arial" w:hAnsi="Arial" w:cs="Arial"/>
          <w:szCs w:val="24"/>
        </w:rPr>
        <w:t>1</w:t>
      </w:r>
      <w:r w:rsidR="009438EA">
        <w:rPr>
          <w:rFonts w:ascii="Arial" w:hAnsi="Arial" w:cs="Arial"/>
          <w:szCs w:val="24"/>
        </w:rPr>
        <w:t>-10</w:t>
      </w:r>
      <w:r w:rsidR="008D7DFE">
        <w:rPr>
          <w:rFonts w:ascii="Arial" w:hAnsi="Arial" w:cs="Arial"/>
          <w:szCs w:val="24"/>
        </w:rPr>
        <w:t>-</w:t>
      </w:r>
      <w:r w:rsidR="00BF0DE4">
        <w:rPr>
          <w:rFonts w:ascii="Arial" w:hAnsi="Arial" w:cs="Arial"/>
          <w:szCs w:val="24"/>
        </w:rPr>
        <w:t>201</w:t>
      </w:r>
      <w:r w:rsidR="00945C06">
        <w:rPr>
          <w:rFonts w:ascii="Arial" w:hAnsi="Arial" w:cs="Arial"/>
          <w:szCs w:val="24"/>
        </w:rPr>
        <w:t>1</w:t>
      </w:r>
      <w:r w:rsidR="0043666D">
        <w:rPr>
          <w:rFonts w:ascii="Arial" w:hAnsi="Arial" w:cs="Arial"/>
          <w:szCs w:val="24"/>
        </w:rPr>
        <w:t xml:space="preserve">, </w:t>
      </w:r>
      <w:r w:rsidR="00373EA4">
        <w:rPr>
          <w:rFonts w:ascii="Arial" w:hAnsi="Arial" w:cs="Arial"/>
          <w:szCs w:val="24"/>
        </w:rPr>
        <w:t xml:space="preserve">como se acredita </w:t>
      </w:r>
      <w:r w:rsidR="00EB175C">
        <w:rPr>
          <w:rFonts w:ascii="Arial" w:hAnsi="Arial" w:cs="Arial"/>
          <w:szCs w:val="24"/>
        </w:rPr>
        <w:t>con</w:t>
      </w:r>
      <w:r w:rsidR="00373EA4">
        <w:rPr>
          <w:rFonts w:ascii="Arial" w:hAnsi="Arial" w:cs="Arial"/>
          <w:szCs w:val="24"/>
        </w:rPr>
        <w:t xml:space="preserve"> la</w:t>
      </w:r>
      <w:r w:rsidR="00EB175C">
        <w:rPr>
          <w:rFonts w:ascii="Arial" w:hAnsi="Arial" w:cs="Arial"/>
          <w:szCs w:val="24"/>
        </w:rPr>
        <w:t xml:space="preserve"> </w:t>
      </w:r>
      <w:r w:rsidR="00E97138">
        <w:rPr>
          <w:rFonts w:ascii="Arial" w:hAnsi="Arial" w:cs="Arial"/>
          <w:szCs w:val="24"/>
        </w:rPr>
        <w:t xml:space="preserve">certificación </w:t>
      </w:r>
      <w:r w:rsidR="00373EA4">
        <w:rPr>
          <w:rFonts w:ascii="Arial" w:hAnsi="Arial" w:cs="Arial"/>
          <w:szCs w:val="24"/>
        </w:rPr>
        <w:t xml:space="preserve">de Talento Humano </w:t>
      </w:r>
      <w:proofErr w:type="spellStart"/>
      <w:r w:rsidR="006C7A16">
        <w:rPr>
          <w:rFonts w:ascii="Arial" w:hAnsi="Arial" w:cs="Arial"/>
          <w:szCs w:val="24"/>
        </w:rPr>
        <w:t>ISS</w:t>
      </w:r>
      <w:proofErr w:type="spellEnd"/>
      <w:r w:rsidR="006C7A16">
        <w:rPr>
          <w:rFonts w:ascii="Arial" w:hAnsi="Arial" w:cs="Arial"/>
          <w:szCs w:val="24"/>
        </w:rPr>
        <w:t xml:space="preserve"> (</w:t>
      </w:r>
      <w:proofErr w:type="spellStart"/>
      <w:r w:rsidR="006C7A16">
        <w:rPr>
          <w:rFonts w:ascii="Arial" w:hAnsi="Arial" w:cs="Arial"/>
          <w:szCs w:val="24"/>
        </w:rPr>
        <w:t>fl</w:t>
      </w:r>
      <w:proofErr w:type="spellEnd"/>
      <w:r w:rsidR="006C7A16">
        <w:rPr>
          <w:rFonts w:ascii="Arial" w:hAnsi="Arial" w:cs="Arial"/>
          <w:szCs w:val="24"/>
        </w:rPr>
        <w:t xml:space="preserve"> 20),</w:t>
      </w:r>
      <w:r w:rsidR="00EB175C">
        <w:rPr>
          <w:rFonts w:ascii="Arial" w:hAnsi="Arial" w:cs="Arial"/>
          <w:szCs w:val="24"/>
        </w:rPr>
        <w:t xml:space="preserve"> </w:t>
      </w:r>
      <w:r w:rsidR="006C7A16">
        <w:rPr>
          <w:rFonts w:ascii="Arial" w:hAnsi="Arial" w:cs="Arial"/>
          <w:szCs w:val="24"/>
        </w:rPr>
        <w:t xml:space="preserve">los </w:t>
      </w:r>
      <w:r w:rsidR="00EB175C">
        <w:rPr>
          <w:rFonts w:ascii="Arial" w:hAnsi="Arial" w:cs="Arial"/>
          <w:szCs w:val="24"/>
        </w:rPr>
        <w:t>contratos de prestación de s</w:t>
      </w:r>
      <w:r w:rsidR="0074316B">
        <w:rPr>
          <w:rFonts w:ascii="Arial" w:hAnsi="Arial" w:cs="Arial"/>
          <w:szCs w:val="24"/>
        </w:rPr>
        <w:t xml:space="preserve">ervicios </w:t>
      </w:r>
      <w:r w:rsidR="00566AF3">
        <w:rPr>
          <w:rFonts w:ascii="Arial" w:hAnsi="Arial" w:cs="Arial"/>
          <w:szCs w:val="24"/>
        </w:rPr>
        <w:t>adosados al expediente</w:t>
      </w:r>
      <w:r w:rsidR="00373EA4">
        <w:rPr>
          <w:rFonts w:ascii="Arial" w:hAnsi="Arial" w:cs="Arial"/>
          <w:szCs w:val="24"/>
        </w:rPr>
        <w:t xml:space="preserve"> suscritos entre las partes</w:t>
      </w:r>
      <w:r w:rsidR="006C7A16">
        <w:rPr>
          <w:rFonts w:ascii="Arial" w:hAnsi="Arial" w:cs="Arial"/>
          <w:szCs w:val="24"/>
        </w:rPr>
        <w:t xml:space="preserve"> (</w:t>
      </w:r>
      <w:proofErr w:type="spellStart"/>
      <w:r w:rsidR="0074316B">
        <w:rPr>
          <w:rFonts w:ascii="Arial" w:hAnsi="Arial" w:cs="Arial"/>
          <w:szCs w:val="24"/>
        </w:rPr>
        <w:t>fl</w:t>
      </w:r>
      <w:proofErr w:type="spellEnd"/>
      <w:r w:rsidR="0074316B">
        <w:rPr>
          <w:rFonts w:ascii="Arial" w:hAnsi="Arial" w:cs="Arial"/>
          <w:szCs w:val="24"/>
        </w:rPr>
        <w:t xml:space="preserve"> </w:t>
      </w:r>
      <w:r w:rsidR="00E97138">
        <w:rPr>
          <w:rFonts w:ascii="Arial" w:hAnsi="Arial" w:cs="Arial"/>
          <w:szCs w:val="24"/>
        </w:rPr>
        <w:t>2</w:t>
      </w:r>
      <w:r w:rsidR="0074316B">
        <w:rPr>
          <w:rFonts w:ascii="Arial" w:hAnsi="Arial" w:cs="Arial"/>
          <w:szCs w:val="24"/>
        </w:rPr>
        <w:t xml:space="preserve">3 a </w:t>
      </w:r>
      <w:r w:rsidR="00E97138">
        <w:rPr>
          <w:rFonts w:ascii="Arial" w:hAnsi="Arial" w:cs="Arial"/>
          <w:szCs w:val="24"/>
        </w:rPr>
        <w:t>2</w:t>
      </w:r>
      <w:r w:rsidR="0074316B">
        <w:rPr>
          <w:rFonts w:ascii="Arial" w:hAnsi="Arial" w:cs="Arial"/>
          <w:szCs w:val="24"/>
        </w:rPr>
        <w:t>6</w:t>
      </w:r>
      <w:r w:rsidR="006C7A16">
        <w:rPr>
          <w:rFonts w:ascii="Arial" w:hAnsi="Arial" w:cs="Arial"/>
          <w:szCs w:val="24"/>
        </w:rPr>
        <w:t>)</w:t>
      </w:r>
      <w:r w:rsidR="00E97138">
        <w:rPr>
          <w:rFonts w:ascii="Arial" w:hAnsi="Arial" w:cs="Arial"/>
          <w:szCs w:val="24"/>
        </w:rPr>
        <w:t>,</w:t>
      </w:r>
      <w:r w:rsidR="00C35C34">
        <w:rPr>
          <w:rFonts w:ascii="Arial" w:hAnsi="Arial" w:cs="Arial"/>
          <w:szCs w:val="24"/>
        </w:rPr>
        <w:t xml:space="preserve"> </w:t>
      </w:r>
      <w:r w:rsidR="006C7A16">
        <w:rPr>
          <w:rFonts w:ascii="Arial" w:hAnsi="Arial" w:cs="Arial"/>
          <w:szCs w:val="24"/>
        </w:rPr>
        <w:t>acta de liquidación del contrato por mutuo acuerdo (</w:t>
      </w:r>
      <w:proofErr w:type="spellStart"/>
      <w:r w:rsidR="006C7A16">
        <w:rPr>
          <w:rFonts w:ascii="Arial" w:hAnsi="Arial" w:cs="Arial"/>
          <w:szCs w:val="24"/>
        </w:rPr>
        <w:t>fl</w:t>
      </w:r>
      <w:proofErr w:type="spellEnd"/>
      <w:r w:rsidR="006C7A16">
        <w:rPr>
          <w:rFonts w:ascii="Arial" w:hAnsi="Arial" w:cs="Arial"/>
          <w:szCs w:val="24"/>
        </w:rPr>
        <w:t xml:space="preserve">. 27 y 28) e informe de interventoría </w:t>
      </w:r>
      <w:r w:rsidR="008E01FD">
        <w:rPr>
          <w:rFonts w:ascii="Arial" w:hAnsi="Arial" w:cs="Arial"/>
          <w:szCs w:val="24"/>
        </w:rPr>
        <w:t>de fecha 03-01-2012</w:t>
      </w:r>
      <w:r w:rsidR="004046D1">
        <w:rPr>
          <w:rFonts w:ascii="Arial" w:hAnsi="Arial" w:cs="Arial"/>
          <w:szCs w:val="24"/>
        </w:rPr>
        <w:t xml:space="preserve"> (</w:t>
      </w:r>
      <w:proofErr w:type="spellStart"/>
      <w:r w:rsidR="004046D1">
        <w:rPr>
          <w:rFonts w:ascii="Arial" w:hAnsi="Arial" w:cs="Arial"/>
          <w:szCs w:val="24"/>
        </w:rPr>
        <w:t>fl</w:t>
      </w:r>
      <w:proofErr w:type="spellEnd"/>
      <w:r w:rsidR="004046D1">
        <w:rPr>
          <w:rFonts w:ascii="Arial" w:hAnsi="Arial" w:cs="Arial"/>
          <w:szCs w:val="24"/>
        </w:rPr>
        <w:t>. 29 y 30).</w:t>
      </w:r>
    </w:p>
    <w:p w:rsidR="004046D1" w:rsidRDefault="004046D1" w:rsidP="00C35C34">
      <w:pPr>
        <w:tabs>
          <w:tab w:val="left" w:pos="8647"/>
          <w:tab w:val="left" w:pos="9356"/>
        </w:tabs>
        <w:spacing w:line="276" w:lineRule="auto"/>
        <w:jc w:val="both"/>
        <w:rPr>
          <w:rFonts w:ascii="Arial" w:hAnsi="Arial" w:cs="Arial"/>
          <w:szCs w:val="24"/>
        </w:rPr>
      </w:pPr>
    </w:p>
    <w:p w:rsidR="00C35C34" w:rsidRPr="009A56E6" w:rsidRDefault="004046D1" w:rsidP="00C35C34">
      <w:pPr>
        <w:tabs>
          <w:tab w:val="left" w:pos="8647"/>
          <w:tab w:val="left" w:pos="9356"/>
        </w:tabs>
        <w:spacing w:line="276" w:lineRule="auto"/>
        <w:jc w:val="both"/>
        <w:rPr>
          <w:rFonts w:ascii="Arial" w:hAnsi="Arial" w:cs="Arial"/>
          <w:color w:val="000000"/>
          <w:szCs w:val="24"/>
          <w:lang w:eastAsia="es-CO"/>
        </w:rPr>
      </w:pPr>
      <w:r>
        <w:rPr>
          <w:rFonts w:ascii="Arial" w:hAnsi="Arial" w:cs="Arial"/>
          <w:szCs w:val="24"/>
        </w:rPr>
        <w:t>A</w:t>
      </w:r>
      <w:r w:rsidR="00E97138">
        <w:rPr>
          <w:rFonts w:ascii="Arial" w:hAnsi="Arial" w:cs="Arial"/>
          <w:szCs w:val="24"/>
        </w:rPr>
        <w:t>demás</w:t>
      </w:r>
      <w:r w:rsidR="004B3927">
        <w:rPr>
          <w:rFonts w:ascii="Arial" w:hAnsi="Arial" w:cs="Arial"/>
          <w:szCs w:val="24"/>
        </w:rPr>
        <w:t>,</w:t>
      </w:r>
      <w:r w:rsidR="00E97138">
        <w:rPr>
          <w:rFonts w:ascii="Arial" w:hAnsi="Arial" w:cs="Arial"/>
          <w:szCs w:val="24"/>
        </w:rPr>
        <w:t xml:space="preserve"> la señora Alejandra Castro Londoño</w:t>
      </w:r>
      <w:r w:rsidR="00B531EF">
        <w:rPr>
          <w:rFonts w:ascii="Arial" w:hAnsi="Arial" w:cs="Arial"/>
          <w:szCs w:val="24"/>
        </w:rPr>
        <w:t>,</w:t>
      </w:r>
      <w:r>
        <w:rPr>
          <w:rFonts w:ascii="Arial" w:hAnsi="Arial" w:cs="Arial"/>
          <w:szCs w:val="24"/>
        </w:rPr>
        <w:t xml:space="preserve"> </w:t>
      </w:r>
      <w:r w:rsidR="00E97138">
        <w:rPr>
          <w:rFonts w:ascii="Arial" w:hAnsi="Arial" w:cs="Arial"/>
          <w:szCs w:val="24"/>
        </w:rPr>
        <w:t xml:space="preserve">compañera de trabajo del actor </w:t>
      </w:r>
      <w:r w:rsidR="0074316B">
        <w:rPr>
          <w:rFonts w:ascii="Arial" w:hAnsi="Arial" w:cs="Arial"/>
          <w:szCs w:val="24"/>
        </w:rPr>
        <w:t xml:space="preserve"> </w:t>
      </w:r>
      <w:r w:rsidR="00E97138">
        <w:rPr>
          <w:rFonts w:ascii="Arial" w:hAnsi="Arial" w:cs="Arial"/>
          <w:szCs w:val="24"/>
        </w:rPr>
        <w:t>en el</w:t>
      </w:r>
      <w:r w:rsidR="005B2774">
        <w:rPr>
          <w:rFonts w:ascii="Arial" w:hAnsi="Arial" w:cs="Arial"/>
          <w:szCs w:val="24"/>
        </w:rPr>
        <w:t xml:space="preserve"> </w:t>
      </w:r>
      <w:proofErr w:type="spellStart"/>
      <w:r w:rsidR="005B2774">
        <w:rPr>
          <w:rFonts w:ascii="Arial" w:hAnsi="Arial" w:cs="Arial"/>
          <w:szCs w:val="24"/>
        </w:rPr>
        <w:t>ISS</w:t>
      </w:r>
      <w:proofErr w:type="spellEnd"/>
      <w:r w:rsidR="00E97138">
        <w:rPr>
          <w:rFonts w:ascii="Arial" w:hAnsi="Arial" w:cs="Arial"/>
          <w:szCs w:val="24"/>
        </w:rPr>
        <w:t xml:space="preserve"> en calidad de </w:t>
      </w:r>
      <w:r w:rsidR="007560E9" w:rsidRPr="009A56E6">
        <w:rPr>
          <w:rFonts w:ascii="Arial" w:hAnsi="Arial" w:cs="Arial"/>
          <w:szCs w:val="24"/>
        </w:rPr>
        <w:t>contratista, de forma hilada, responsiva y congruente di</w:t>
      </w:r>
      <w:r w:rsidR="006C7A16">
        <w:rPr>
          <w:rFonts w:ascii="Arial" w:hAnsi="Arial" w:cs="Arial"/>
          <w:szCs w:val="24"/>
        </w:rPr>
        <w:t xml:space="preserve">o </w:t>
      </w:r>
      <w:r w:rsidR="006E02EE" w:rsidRPr="009A56E6">
        <w:rPr>
          <w:rFonts w:ascii="Arial" w:hAnsi="Arial" w:cs="Arial"/>
          <w:szCs w:val="24"/>
        </w:rPr>
        <w:t xml:space="preserve">cuenta </w:t>
      </w:r>
      <w:r w:rsidR="0094263D" w:rsidRPr="009A56E6">
        <w:rPr>
          <w:rFonts w:ascii="Arial" w:hAnsi="Arial" w:cs="Arial"/>
          <w:szCs w:val="24"/>
        </w:rPr>
        <w:t xml:space="preserve">que </w:t>
      </w:r>
      <w:r>
        <w:rPr>
          <w:rFonts w:ascii="Arial" w:hAnsi="Arial" w:cs="Arial"/>
          <w:szCs w:val="24"/>
        </w:rPr>
        <w:t>este</w:t>
      </w:r>
      <w:r w:rsidR="0094263D" w:rsidRPr="009A56E6">
        <w:rPr>
          <w:rFonts w:ascii="Arial" w:hAnsi="Arial" w:cs="Arial"/>
          <w:szCs w:val="24"/>
        </w:rPr>
        <w:t xml:space="preserve"> prestó sus servi</w:t>
      </w:r>
      <w:r w:rsidR="009A56E6" w:rsidRPr="009A56E6">
        <w:rPr>
          <w:rFonts w:ascii="Arial" w:hAnsi="Arial" w:cs="Arial"/>
          <w:szCs w:val="24"/>
        </w:rPr>
        <w:t xml:space="preserve">cios personales </w:t>
      </w:r>
      <w:r w:rsidR="006C7A16">
        <w:rPr>
          <w:rFonts w:ascii="Arial" w:hAnsi="Arial" w:cs="Arial"/>
          <w:szCs w:val="24"/>
        </w:rPr>
        <w:t xml:space="preserve">durante 2 años, </w:t>
      </w:r>
      <w:r>
        <w:rPr>
          <w:rFonts w:ascii="Arial" w:hAnsi="Arial" w:cs="Arial"/>
          <w:szCs w:val="24"/>
        </w:rPr>
        <w:t xml:space="preserve">de </w:t>
      </w:r>
      <w:r w:rsidR="006C7A16">
        <w:rPr>
          <w:rFonts w:ascii="Arial" w:hAnsi="Arial" w:cs="Arial"/>
          <w:szCs w:val="24"/>
        </w:rPr>
        <w:t>septiembre de 2009 y mediados de 2011</w:t>
      </w:r>
      <w:r w:rsidR="0094263D" w:rsidRPr="009A56E6">
        <w:rPr>
          <w:rFonts w:ascii="Arial" w:hAnsi="Arial" w:cs="Arial"/>
          <w:szCs w:val="24"/>
        </w:rPr>
        <w:t xml:space="preserve">, </w:t>
      </w:r>
      <w:r w:rsidR="00C35C34" w:rsidRPr="004F472D">
        <w:rPr>
          <w:rFonts w:ascii="Arial" w:hAnsi="Arial" w:cs="Arial"/>
          <w:szCs w:val="24"/>
        </w:rPr>
        <w:t xml:space="preserve">lapso en el que </w:t>
      </w:r>
      <w:r w:rsidR="004F472D">
        <w:rPr>
          <w:rFonts w:ascii="Arial" w:hAnsi="Arial" w:cs="Arial"/>
          <w:color w:val="000000"/>
          <w:szCs w:val="24"/>
          <w:lang w:eastAsia="es-CO"/>
        </w:rPr>
        <w:t xml:space="preserve">realizó </w:t>
      </w:r>
      <w:r w:rsidR="006C7A16">
        <w:rPr>
          <w:rFonts w:ascii="Arial" w:hAnsi="Arial" w:cs="Arial"/>
          <w:color w:val="000000"/>
          <w:szCs w:val="24"/>
          <w:lang w:eastAsia="es-CO"/>
        </w:rPr>
        <w:t>las actividades en el c</w:t>
      </w:r>
      <w:r w:rsidR="004F472D">
        <w:rPr>
          <w:rFonts w:ascii="Arial" w:hAnsi="Arial" w:cs="Arial"/>
          <w:color w:val="000000"/>
          <w:szCs w:val="24"/>
          <w:lang w:eastAsia="es-CO"/>
        </w:rPr>
        <w:t>entro de atención al pensionado</w:t>
      </w:r>
      <w:r w:rsidR="00C35C34" w:rsidRPr="009A56E6">
        <w:rPr>
          <w:rFonts w:ascii="Arial" w:hAnsi="Arial" w:cs="Arial"/>
          <w:color w:val="000000"/>
          <w:szCs w:val="24"/>
          <w:lang w:eastAsia="es-CO"/>
        </w:rPr>
        <w:t xml:space="preserve">; </w:t>
      </w:r>
      <w:r w:rsidR="006C7A16">
        <w:rPr>
          <w:rFonts w:ascii="Arial" w:hAnsi="Arial" w:cs="Arial"/>
          <w:color w:val="000000"/>
          <w:szCs w:val="24"/>
          <w:lang w:eastAsia="es-CO"/>
        </w:rPr>
        <w:t xml:space="preserve">y </w:t>
      </w:r>
      <w:r w:rsidR="00C35C34" w:rsidRPr="009A56E6">
        <w:rPr>
          <w:rFonts w:ascii="Arial" w:hAnsi="Arial" w:cs="Arial"/>
          <w:color w:val="000000"/>
          <w:szCs w:val="24"/>
          <w:lang w:eastAsia="es-CO"/>
        </w:rPr>
        <w:t xml:space="preserve">para lo cual utilizaba los elementos de trabajo de propiedad del </w:t>
      </w:r>
      <w:proofErr w:type="spellStart"/>
      <w:r w:rsidR="00C35C34" w:rsidRPr="009A56E6">
        <w:rPr>
          <w:rFonts w:ascii="Arial" w:hAnsi="Arial" w:cs="Arial"/>
          <w:color w:val="000000"/>
          <w:szCs w:val="24"/>
          <w:lang w:eastAsia="es-CO"/>
        </w:rPr>
        <w:t>ISS</w:t>
      </w:r>
      <w:proofErr w:type="spellEnd"/>
      <w:r w:rsidR="00C35C34" w:rsidRPr="009A56E6">
        <w:rPr>
          <w:rFonts w:ascii="Arial" w:hAnsi="Arial" w:cs="Arial"/>
          <w:color w:val="000000"/>
          <w:szCs w:val="24"/>
          <w:lang w:eastAsia="es-CO"/>
        </w:rPr>
        <w:t>.</w:t>
      </w:r>
    </w:p>
    <w:p w:rsidR="00C35C34" w:rsidRPr="003A5A34" w:rsidRDefault="00C35C34" w:rsidP="00C35C34">
      <w:pPr>
        <w:tabs>
          <w:tab w:val="left" w:pos="8647"/>
          <w:tab w:val="left" w:pos="9356"/>
        </w:tabs>
        <w:spacing w:line="276" w:lineRule="auto"/>
        <w:jc w:val="both"/>
        <w:rPr>
          <w:rFonts w:ascii="Arial" w:hAnsi="Arial" w:cs="Arial"/>
          <w:color w:val="000000"/>
          <w:szCs w:val="24"/>
          <w:lang w:eastAsia="es-CO"/>
        </w:rPr>
      </w:pPr>
    </w:p>
    <w:p w:rsidR="00A941A4" w:rsidRDefault="00C35C34" w:rsidP="00A9649A">
      <w:pPr>
        <w:tabs>
          <w:tab w:val="left" w:pos="8647"/>
          <w:tab w:val="left" w:pos="9356"/>
        </w:tabs>
        <w:spacing w:line="276" w:lineRule="auto"/>
        <w:jc w:val="both"/>
        <w:rPr>
          <w:rFonts w:ascii="Arial" w:hAnsi="Arial" w:cs="Arial"/>
          <w:szCs w:val="24"/>
        </w:rPr>
      </w:pPr>
      <w:r w:rsidRPr="003A5A34">
        <w:rPr>
          <w:rFonts w:ascii="Arial" w:hAnsi="Arial" w:cs="Arial"/>
          <w:color w:val="000000"/>
          <w:szCs w:val="24"/>
          <w:lang w:eastAsia="es-CO"/>
        </w:rPr>
        <w:t>Agrega l</w:t>
      </w:r>
      <w:r w:rsidR="006C7A16">
        <w:rPr>
          <w:rFonts w:ascii="Arial" w:hAnsi="Arial" w:cs="Arial"/>
          <w:color w:val="000000"/>
          <w:szCs w:val="24"/>
          <w:lang w:eastAsia="es-CO"/>
        </w:rPr>
        <w:t>a</w:t>
      </w:r>
      <w:r w:rsidRPr="003A5A34">
        <w:rPr>
          <w:rFonts w:ascii="Arial" w:hAnsi="Arial" w:cs="Arial"/>
          <w:color w:val="000000"/>
          <w:szCs w:val="24"/>
          <w:lang w:eastAsia="es-CO"/>
        </w:rPr>
        <w:t xml:space="preserve"> declarante</w:t>
      </w:r>
      <w:r w:rsidR="00A9649A" w:rsidRPr="003A5A34">
        <w:rPr>
          <w:rFonts w:ascii="Arial" w:hAnsi="Arial" w:cs="Arial"/>
          <w:color w:val="000000"/>
          <w:szCs w:val="24"/>
          <w:lang w:eastAsia="es-CO"/>
        </w:rPr>
        <w:t>,</w:t>
      </w:r>
      <w:r w:rsidR="000A6B48" w:rsidRPr="003A5A34">
        <w:rPr>
          <w:rFonts w:ascii="Arial" w:hAnsi="Arial" w:cs="Arial"/>
          <w:color w:val="000000"/>
          <w:szCs w:val="24"/>
          <w:lang w:eastAsia="es-CO"/>
        </w:rPr>
        <w:t xml:space="preserve"> que </w:t>
      </w:r>
      <w:r w:rsidR="00B32B9A">
        <w:rPr>
          <w:rFonts w:ascii="Arial" w:hAnsi="Arial" w:cs="Arial"/>
          <w:color w:val="000000"/>
          <w:szCs w:val="24"/>
          <w:lang w:eastAsia="es-CO"/>
        </w:rPr>
        <w:t xml:space="preserve">el actor </w:t>
      </w:r>
      <w:r w:rsidR="004046D1">
        <w:rPr>
          <w:rFonts w:ascii="Arial" w:hAnsi="Arial" w:cs="Arial"/>
          <w:color w:val="000000"/>
          <w:szCs w:val="24"/>
          <w:lang w:eastAsia="es-CO"/>
        </w:rPr>
        <w:t>ingresaba a las</w:t>
      </w:r>
      <w:r w:rsidR="0094263D" w:rsidRPr="003A5A34">
        <w:rPr>
          <w:rFonts w:ascii="Arial" w:hAnsi="Arial" w:cs="Arial"/>
          <w:color w:val="000000"/>
          <w:szCs w:val="24"/>
          <w:lang w:eastAsia="es-CO"/>
        </w:rPr>
        <w:t xml:space="preserve"> de </w:t>
      </w:r>
      <w:r w:rsidR="006C7A16">
        <w:rPr>
          <w:rFonts w:ascii="Arial" w:hAnsi="Arial" w:cs="Arial"/>
          <w:color w:val="000000"/>
          <w:szCs w:val="24"/>
          <w:lang w:eastAsia="es-CO"/>
        </w:rPr>
        <w:t xml:space="preserve">7:30 de la mañana y </w:t>
      </w:r>
      <w:r w:rsidR="004046D1">
        <w:rPr>
          <w:rFonts w:ascii="Arial" w:hAnsi="Arial" w:cs="Arial"/>
          <w:color w:val="000000"/>
          <w:szCs w:val="24"/>
          <w:lang w:eastAsia="es-CO"/>
        </w:rPr>
        <w:t xml:space="preserve">atención al público </w:t>
      </w:r>
      <w:r w:rsidR="006C7A16">
        <w:rPr>
          <w:rFonts w:ascii="Arial" w:hAnsi="Arial" w:cs="Arial"/>
          <w:color w:val="000000"/>
          <w:szCs w:val="24"/>
          <w:lang w:eastAsia="es-CO"/>
        </w:rPr>
        <w:t xml:space="preserve">a partir de las </w:t>
      </w:r>
      <w:r w:rsidR="0094263D" w:rsidRPr="003A5A34">
        <w:rPr>
          <w:rFonts w:ascii="Arial" w:hAnsi="Arial" w:cs="Arial"/>
          <w:color w:val="000000"/>
          <w:szCs w:val="24"/>
          <w:lang w:eastAsia="es-CO"/>
        </w:rPr>
        <w:t>8:00 a 1</w:t>
      </w:r>
      <w:r w:rsidR="003A5A34" w:rsidRPr="003A5A34">
        <w:rPr>
          <w:rFonts w:ascii="Arial" w:hAnsi="Arial" w:cs="Arial"/>
          <w:color w:val="000000"/>
          <w:szCs w:val="24"/>
          <w:lang w:eastAsia="es-CO"/>
        </w:rPr>
        <w:t>2:0</w:t>
      </w:r>
      <w:r w:rsidR="001D6785">
        <w:rPr>
          <w:rFonts w:ascii="Arial" w:hAnsi="Arial" w:cs="Arial"/>
          <w:color w:val="000000"/>
          <w:szCs w:val="24"/>
          <w:lang w:eastAsia="es-CO"/>
        </w:rPr>
        <w:t xml:space="preserve">0 m y de 2:00 p.m. a 6:00 </w:t>
      </w:r>
      <w:r w:rsidR="004046D1">
        <w:rPr>
          <w:rFonts w:ascii="Arial" w:hAnsi="Arial" w:cs="Arial"/>
          <w:color w:val="000000"/>
          <w:szCs w:val="24"/>
          <w:lang w:eastAsia="es-CO"/>
        </w:rPr>
        <w:t>p.m.</w:t>
      </w:r>
      <w:r w:rsidR="00B531EF">
        <w:rPr>
          <w:rFonts w:ascii="Arial" w:hAnsi="Arial" w:cs="Arial"/>
          <w:color w:val="000000"/>
          <w:szCs w:val="24"/>
          <w:lang w:eastAsia="es-CO"/>
        </w:rPr>
        <w:t>; t</w:t>
      </w:r>
      <w:r w:rsidRPr="003A5A34">
        <w:rPr>
          <w:rFonts w:ascii="Arial" w:hAnsi="Arial" w:cs="Arial"/>
          <w:color w:val="000000"/>
          <w:szCs w:val="24"/>
          <w:lang w:eastAsia="es-CO"/>
        </w:rPr>
        <w:t xml:space="preserve">ambién </w:t>
      </w:r>
      <w:r w:rsidR="00B32B9A">
        <w:rPr>
          <w:rFonts w:ascii="Arial" w:hAnsi="Arial" w:cs="Arial"/>
          <w:color w:val="000000"/>
          <w:szCs w:val="24"/>
          <w:lang w:eastAsia="es-CO"/>
        </w:rPr>
        <w:t xml:space="preserve">que </w:t>
      </w:r>
      <w:r w:rsidRPr="003A5A34">
        <w:rPr>
          <w:rFonts w:ascii="Arial" w:hAnsi="Arial" w:cs="Arial"/>
          <w:color w:val="000000"/>
          <w:szCs w:val="24"/>
          <w:lang w:eastAsia="es-CO"/>
        </w:rPr>
        <w:t>d</w:t>
      </w:r>
      <w:r w:rsidR="00533F44" w:rsidRPr="003A5A34">
        <w:rPr>
          <w:rFonts w:ascii="Arial" w:hAnsi="Arial" w:cs="Arial"/>
          <w:color w:val="000000"/>
          <w:szCs w:val="24"/>
          <w:lang w:eastAsia="es-CO"/>
        </w:rPr>
        <w:t>ebía pedir</w:t>
      </w:r>
      <w:r w:rsidR="0094263D" w:rsidRPr="003A5A34">
        <w:rPr>
          <w:rFonts w:ascii="Arial" w:hAnsi="Arial" w:cs="Arial"/>
          <w:color w:val="000000"/>
          <w:szCs w:val="24"/>
          <w:lang w:eastAsia="es-CO"/>
        </w:rPr>
        <w:t xml:space="preserve"> permisos</w:t>
      </w:r>
      <w:r w:rsidRPr="003A5A34">
        <w:rPr>
          <w:rFonts w:ascii="Arial" w:hAnsi="Arial" w:cs="Arial"/>
          <w:color w:val="000000"/>
          <w:szCs w:val="24"/>
          <w:lang w:eastAsia="es-CO"/>
        </w:rPr>
        <w:t xml:space="preserve"> para ausentarse</w:t>
      </w:r>
      <w:r w:rsidR="00533F44" w:rsidRPr="003A5A34">
        <w:rPr>
          <w:rFonts w:ascii="Arial" w:hAnsi="Arial" w:cs="Arial"/>
          <w:color w:val="000000"/>
          <w:szCs w:val="24"/>
          <w:lang w:eastAsia="es-CO"/>
        </w:rPr>
        <w:t xml:space="preserve">, </w:t>
      </w:r>
      <w:r w:rsidR="00B32B9A">
        <w:rPr>
          <w:rFonts w:ascii="Arial" w:hAnsi="Arial" w:cs="Arial"/>
          <w:color w:val="000000"/>
          <w:szCs w:val="24"/>
          <w:lang w:eastAsia="es-CO"/>
        </w:rPr>
        <w:t xml:space="preserve">que </w:t>
      </w:r>
      <w:r w:rsidR="0094263D" w:rsidRPr="003A5A34">
        <w:rPr>
          <w:rFonts w:ascii="Arial" w:hAnsi="Arial" w:cs="Arial"/>
          <w:color w:val="000000"/>
          <w:szCs w:val="24"/>
          <w:lang w:eastAsia="es-CO"/>
        </w:rPr>
        <w:t>la jef</w:t>
      </w:r>
      <w:r w:rsidR="00533F44" w:rsidRPr="003A5A34">
        <w:rPr>
          <w:rFonts w:ascii="Arial" w:hAnsi="Arial" w:cs="Arial"/>
          <w:color w:val="000000"/>
          <w:szCs w:val="24"/>
          <w:lang w:eastAsia="es-CO"/>
        </w:rPr>
        <w:t xml:space="preserve">e del departamento de pensiones </w:t>
      </w:r>
      <w:r w:rsidR="00B32B9A">
        <w:rPr>
          <w:rFonts w:ascii="Arial" w:hAnsi="Arial" w:cs="Arial"/>
          <w:color w:val="000000"/>
          <w:szCs w:val="24"/>
          <w:lang w:eastAsia="es-CO"/>
        </w:rPr>
        <w:t xml:space="preserve">era la señora </w:t>
      </w:r>
      <w:r w:rsidR="00533F44" w:rsidRPr="003A5A34">
        <w:rPr>
          <w:rFonts w:ascii="Arial" w:hAnsi="Arial" w:cs="Arial"/>
          <w:color w:val="000000"/>
          <w:szCs w:val="24"/>
          <w:lang w:eastAsia="es-CO"/>
        </w:rPr>
        <w:t>María Gregoria Vásquez</w:t>
      </w:r>
      <w:r w:rsidR="001D5D64" w:rsidRPr="003A5A34">
        <w:rPr>
          <w:rFonts w:ascii="Arial" w:hAnsi="Arial" w:cs="Arial"/>
          <w:color w:val="000000"/>
          <w:szCs w:val="24"/>
          <w:lang w:eastAsia="es-CO"/>
        </w:rPr>
        <w:t xml:space="preserve"> Correa</w:t>
      </w:r>
      <w:r w:rsidR="000A6B48" w:rsidRPr="003A5A34">
        <w:rPr>
          <w:rFonts w:ascii="Arial" w:hAnsi="Arial" w:cs="Arial"/>
          <w:color w:val="000000"/>
          <w:szCs w:val="24"/>
          <w:lang w:eastAsia="es-CO"/>
        </w:rPr>
        <w:t>,</w:t>
      </w:r>
      <w:r w:rsidR="004046D1">
        <w:rPr>
          <w:rFonts w:ascii="Arial" w:hAnsi="Arial" w:cs="Arial"/>
          <w:color w:val="000000"/>
          <w:szCs w:val="24"/>
          <w:lang w:eastAsia="es-CO"/>
        </w:rPr>
        <w:t xml:space="preserve"> </w:t>
      </w:r>
      <w:r w:rsidR="00B32B9A">
        <w:rPr>
          <w:rFonts w:ascii="Arial" w:hAnsi="Arial" w:cs="Arial"/>
          <w:color w:val="000000"/>
          <w:szCs w:val="24"/>
          <w:lang w:eastAsia="es-CO"/>
        </w:rPr>
        <w:t>de quien recibían órdenes y los citaba a las reuniones de trabajo para darles las instruccione</w:t>
      </w:r>
      <w:r w:rsidR="004046D1">
        <w:rPr>
          <w:rFonts w:ascii="Arial" w:hAnsi="Arial" w:cs="Arial"/>
          <w:color w:val="000000"/>
          <w:szCs w:val="24"/>
          <w:lang w:eastAsia="es-CO"/>
        </w:rPr>
        <w:t xml:space="preserve">s de las actividades a realizar; </w:t>
      </w:r>
      <w:r w:rsidR="00B32B9A">
        <w:rPr>
          <w:rFonts w:ascii="Arial" w:hAnsi="Arial" w:cs="Arial"/>
          <w:color w:val="000000"/>
          <w:szCs w:val="24"/>
          <w:lang w:eastAsia="es-CO"/>
        </w:rPr>
        <w:t>que eran mens</w:t>
      </w:r>
      <w:r w:rsidR="004046D1">
        <w:rPr>
          <w:rFonts w:ascii="Arial" w:hAnsi="Arial" w:cs="Arial"/>
          <w:color w:val="000000"/>
          <w:szCs w:val="24"/>
          <w:lang w:eastAsia="es-CO"/>
        </w:rPr>
        <w:t>uales y en ocasiones semanales</w:t>
      </w:r>
      <w:r w:rsidR="00B32B9A">
        <w:rPr>
          <w:rFonts w:ascii="Arial" w:hAnsi="Arial" w:cs="Arial"/>
          <w:color w:val="000000"/>
          <w:szCs w:val="24"/>
          <w:lang w:eastAsia="es-CO"/>
        </w:rPr>
        <w:t>.</w:t>
      </w:r>
      <w:r w:rsidR="00A9649A" w:rsidRPr="003A5A34">
        <w:rPr>
          <w:rFonts w:ascii="Arial" w:hAnsi="Arial" w:cs="Arial"/>
          <w:color w:val="000000"/>
          <w:szCs w:val="24"/>
          <w:lang w:eastAsia="es-CO"/>
        </w:rPr>
        <w:t xml:space="preserve"> De otro lado, </w:t>
      </w:r>
      <w:r w:rsidR="00B32B9A">
        <w:rPr>
          <w:rFonts w:ascii="Arial" w:hAnsi="Arial" w:cs="Arial"/>
          <w:color w:val="000000"/>
          <w:szCs w:val="24"/>
          <w:lang w:eastAsia="es-CO"/>
        </w:rPr>
        <w:t xml:space="preserve">manifestó que era el señor </w:t>
      </w:r>
      <w:r w:rsidR="00F104E6">
        <w:rPr>
          <w:rFonts w:ascii="Arial" w:hAnsi="Arial" w:cs="Arial"/>
          <w:color w:val="000000"/>
          <w:szCs w:val="24"/>
          <w:lang w:eastAsia="es-CO"/>
        </w:rPr>
        <w:t>Gómez</w:t>
      </w:r>
      <w:r w:rsidR="00B32B9A">
        <w:rPr>
          <w:rFonts w:ascii="Arial" w:hAnsi="Arial" w:cs="Arial"/>
          <w:color w:val="000000"/>
          <w:szCs w:val="24"/>
          <w:lang w:eastAsia="es-CO"/>
        </w:rPr>
        <w:t xml:space="preserve"> </w:t>
      </w:r>
      <w:r w:rsidR="00F104E6">
        <w:rPr>
          <w:rFonts w:ascii="Arial" w:hAnsi="Arial" w:cs="Arial"/>
          <w:color w:val="000000"/>
          <w:szCs w:val="24"/>
          <w:lang w:eastAsia="es-CO"/>
        </w:rPr>
        <w:t>Dávila</w:t>
      </w:r>
      <w:r w:rsidR="00B32B9A">
        <w:rPr>
          <w:rFonts w:ascii="Arial" w:hAnsi="Arial" w:cs="Arial"/>
          <w:color w:val="000000"/>
          <w:szCs w:val="24"/>
          <w:lang w:eastAsia="es-CO"/>
        </w:rPr>
        <w:t xml:space="preserve"> quien debía pagar su propia seguridad social, situación que se corrobora </w:t>
      </w:r>
      <w:r w:rsidR="00A9649A" w:rsidRPr="003A5A34">
        <w:rPr>
          <w:rFonts w:ascii="Arial" w:hAnsi="Arial" w:cs="Arial"/>
          <w:szCs w:val="24"/>
        </w:rPr>
        <w:t xml:space="preserve">con los documentos aportados en </w:t>
      </w:r>
      <w:r w:rsidR="00DD09E8">
        <w:rPr>
          <w:rFonts w:ascii="Arial" w:hAnsi="Arial" w:cs="Arial"/>
          <w:szCs w:val="24"/>
        </w:rPr>
        <w:t xml:space="preserve">la demanda, visibles a folios </w:t>
      </w:r>
      <w:r w:rsidR="00B32B9A">
        <w:rPr>
          <w:rFonts w:ascii="Arial" w:hAnsi="Arial" w:cs="Arial"/>
          <w:szCs w:val="24"/>
        </w:rPr>
        <w:t>31 al 34.</w:t>
      </w:r>
      <w:r w:rsidR="00A9649A">
        <w:rPr>
          <w:rFonts w:ascii="Arial" w:hAnsi="Arial" w:cs="Arial"/>
          <w:szCs w:val="24"/>
        </w:rPr>
        <w:t xml:space="preserve"> </w:t>
      </w:r>
    </w:p>
    <w:p w:rsidR="00EB175C" w:rsidRDefault="00EB175C" w:rsidP="00071936">
      <w:pPr>
        <w:tabs>
          <w:tab w:val="left" w:pos="8647"/>
          <w:tab w:val="left" w:pos="9356"/>
        </w:tabs>
        <w:spacing w:line="276" w:lineRule="auto"/>
        <w:jc w:val="both"/>
        <w:rPr>
          <w:rFonts w:ascii="Arial" w:hAnsi="Arial" w:cs="Arial"/>
          <w:color w:val="000000"/>
          <w:szCs w:val="24"/>
          <w:lang w:eastAsia="es-CO"/>
        </w:rPr>
      </w:pPr>
    </w:p>
    <w:p w:rsidR="00924F8D" w:rsidRDefault="00746803" w:rsidP="00533F44">
      <w:pPr>
        <w:autoSpaceDE w:val="0"/>
        <w:autoSpaceDN w:val="0"/>
        <w:adjustRightInd w:val="0"/>
        <w:spacing w:line="276" w:lineRule="auto"/>
        <w:jc w:val="both"/>
        <w:rPr>
          <w:rFonts w:ascii="Arial" w:hAnsi="Arial" w:cs="Arial"/>
          <w:szCs w:val="24"/>
        </w:rPr>
      </w:pPr>
      <w:r w:rsidRPr="00077AE0">
        <w:rPr>
          <w:rFonts w:ascii="Arial" w:hAnsi="Arial" w:cs="Arial"/>
          <w:szCs w:val="24"/>
        </w:rPr>
        <w:t xml:space="preserve">De la valoración del material probatorio reseñado, emerge sin dubitación alguna la existencia de la prestación personal del servicio </w:t>
      </w:r>
      <w:r>
        <w:rPr>
          <w:rFonts w:ascii="Arial" w:hAnsi="Arial" w:cs="Arial"/>
          <w:szCs w:val="24"/>
        </w:rPr>
        <w:t xml:space="preserve">en dos momentos </w:t>
      </w:r>
      <w:r w:rsidR="00C30626">
        <w:rPr>
          <w:rFonts w:ascii="Arial" w:hAnsi="Arial" w:cs="Arial"/>
          <w:szCs w:val="24"/>
        </w:rPr>
        <w:t>diferentes</w:t>
      </w:r>
      <w:r>
        <w:rPr>
          <w:rFonts w:ascii="Arial" w:hAnsi="Arial" w:cs="Arial"/>
          <w:szCs w:val="24"/>
        </w:rPr>
        <w:t xml:space="preserve">, </w:t>
      </w:r>
      <w:r w:rsidRPr="00077AE0">
        <w:rPr>
          <w:rFonts w:ascii="Arial" w:hAnsi="Arial" w:cs="Arial"/>
          <w:szCs w:val="24"/>
        </w:rPr>
        <w:t xml:space="preserve">hecho que permite presumir que tal se dio en el marco de </w:t>
      </w:r>
      <w:r w:rsidR="00C30626">
        <w:rPr>
          <w:rFonts w:ascii="Arial" w:hAnsi="Arial" w:cs="Arial"/>
          <w:szCs w:val="24"/>
        </w:rPr>
        <w:t xml:space="preserve">dos </w:t>
      </w:r>
      <w:r w:rsidRPr="00077AE0">
        <w:rPr>
          <w:rFonts w:ascii="Arial" w:hAnsi="Arial" w:cs="Arial"/>
          <w:szCs w:val="24"/>
        </w:rPr>
        <w:t>contrato</w:t>
      </w:r>
      <w:r w:rsidR="00C30626">
        <w:rPr>
          <w:rFonts w:ascii="Arial" w:hAnsi="Arial" w:cs="Arial"/>
          <w:szCs w:val="24"/>
        </w:rPr>
        <w:t>s</w:t>
      </w:r>
      <w:r w:rsidRPr="00077AE0">
        <w:rPr>
          <w:rFonts w:ascii="Arial" w:hAnsi="Arial" w:cs="Arial"/>
          <w:szCs w:val="24"/>
        </w:rPr>
        <w:t xml:space="preserve"> de trabajo; primando </w:t>
      </w:r>
      <w:r>
        <w:rPr>
          <w:rFonts w:ascii="Arial" w:hAnsi="Arial" w:cs="Arial"/>
          <w:szCs w:val="24"/>
        </w:rPr>
        <w:t>así la realidad sobre la forma</w:t>
      </w:r>
      <w:r w:rsidR="00924F8D">
        <w:rPr>
          <w:rFonts w:ascii="Arial" w:hAnsi="Arial" w:cs="Arial"/>
          <w:szCs w:val="24"/>
        </w:rPr>
        <w:t>.</w:t>
      </w:r>
      <w:r w:rsidR="00562A27">
        <w:rPr>
          <w:rFonts w:ascii="Arial" w:hAnsi="Arial" w:cs="Arial"/>
          <w:szCs w:val="24"/>
        </w:rPr>
        <w:t xml:space="preserve"> </w:t>
      </w:r>
    </w:p>
    <w:p w:rsidR="00924F8D" w:rsidRDefault="00924F8D" w:rsidP="00533F44">
      <w:pPr>
        <w:autoSpaceDE w:val="0"/>
        <w:autoSpaceDN w:val="0"/>
        <w:adjustRightInd w:val="0"/>
        <w:spacing w:line="276" w:lineRule="auto"/>
        <w:jc w:val="both"/>
        <w:rPr>
          <w:rFonts w:ascii="Arial" w:hAnsi="Arial" w:cs="Arial"/>
          <w:szCs w:val="24"/>
        </w:rPr>
      </w:pPr>
    </w:p>
    <w:p w:rsidR="00331EDC" w:rsidRDefault="00924F8D" w:rsidP="00533F44">
      <w:pPr>
        <w:autoSpaceDE w:val="0"/>
        <w:autoSpaceDN w:val="0"/>
        <w:adjustRightInd w:val="0"/>
        <w:spacing w:line="276" w:lineRule="auto"/>
        <w:jc w:val="both"/>
        <w:rPr>
          <w:rFonts w:ascii="Arial" w:hAnsi="Arial" w:cs="Arial"/>
          <w:szCs w:val="24"/>
        </w:rPr>
      </w:pPr>
      <w:r>
        <w:rPr>
          <w:rFonts w:ascii="Arial" w:hAnsi="Arial" w:cs="Arial"/>
          <w:szCs w:val="24"/>
        </w:rPr>
        <w:t xml:space="preserve">Entonces, dada la naturaleza jurídica del </w:t>
      </w:r>
      <w:proofErr w:type="spellStart"/>
      <w:r>
        <w:rPr>
          <w:rFonts w:ascii="Arial" w:hAnsi="Arial" w:cs="Arial"/>
          <w:szCs w:val="24"/>
        </w:rPr>
        <w:t>ISS</w:t>
      </w:r>
      <w:proofErr w:type="spellEnd"/>
      <w:r>
        <w:rPr>
          <w:rFonts w:ascii="Arial" w:hAnsi="Arial" w:cs="Arial"/>
          <w:szCs w:val="24"/>
        </w:rPr>
        <w:t>, de</w:t>
      </w:r>
      <w:r w:rsidR="00D14658">
        <w:rPr>
          <w:rFonts w:ascii="Arial" w:hAnsi="Arial" w:cs="Arial"/>
          <w:szCs w:val="24"/>
        </w:rPr>
        <w:t xml:space="preserve"> empresa industrial y comercial del estado, según el artículo 275 de la Ley 100 de 1993</w:t>
      </w:r>
      <w:r>
        <w:rPr>
          <w:rFonts w:ascii="Arial" w:hAnsi="Arial" w:cs="Arial"/>
          <w:szCs w:val="24"/>
        </w:rPr>
        <w:t xml:space="preserve">; la calidad de sus trabajadores es oficial </w:t>
      </w:r>
      <w:r w:rsidR="00D14658">
        <w:rPr>
          <w:rFonts w:ascii="Arial" w:hAnsi="Arial" w:cs="Arial"/>
          <w:szCs w:val="24"/>
        </w:rPr>
        <w:t>de conformidad con el artículo 5 del Decreto 3135 de 1968</w:t>
      </w:r>
      <w:r>
        <w:rPr>
          <w:rFonts w:ascii="Arial" w:hAnsi="Arial" w:cs="Arial"/>
          <w:szCs w:val="24"/>
        </w:rPr>
        <w:t>, condición que debió ostentar</w:t>
      </w:r>
      <w:r w:rsidR="00562A27">
        <w:rPr>
          <w:rFonts w:ascii="Arial" w:hAnsi="Arial" w:cs="Arial"/>
          <w:szCs w:val="24"/>
        </w:rPr>
        <w:t xml:space="preserve"> el</w:t>
      </w:r>
      <w:r>
        <w:rPr>
          <w:rFonts w:ascii="Arial" w:hAnsi="Arial" w:cs="Arial"/>
          <w:szCs w:val="24"/>
        </w:rPr>
        <w:t xml:space="preserve"> </w:t>
      </w:r>
      <w:r w:rsidR="00562A27">
        <w:rPr>
          <w:rFonts w:ascii="Arial" w:hAnsi="Arial" w:cs="Arial"/>
          <w:szCs w:val="24"/>
        </w:rPr>
        <w:t>señor Gómez Dávila</w:t>
      </w:r>
      <w:r>
        <w:rPr>
          <w:rFonts w:ascii="Arial" w:hAnsi="Arial" w:cs="Arial"/>
          <w:szCs w:val="24"/>
        </w:rPr>
        <w:t xml:space="preserve">. </w:t>
      </w:r>
    </w:p>
    <w:p w:rsidR="00D14658" w:rsidRDefault="00D14658" w:rsidP="00533F44">
      <w:pPr>
        <w:autoSpaceDE w:val="0"/>
        <w:autoSpaceDN w:val="0"/>
        <w:adjustRightInd w:val="0"/>
        <w:spacing w:line="276" w:lineRule="auto"/>
        <w:jc w:val="both"/>
        <w:rPr>
          <w:rFonts w:ascii="Arial" w:hAnsi="Arial" w:cs="Arial"/>
          <w:szCs w:val="24"/>
        </w:rPr>
      </w:pPr>
    </w:p>
    <w:p w:rsidR="00D14658" w:rsidRDefault="00D14658" w:rsidP="00533F44">
      <w:pPr>
        <w:autoSpaceDE w:val="0"/>
        <w:autoSpaceDN w:val="0"/>
        <w:adjustRightInd w:val="0"/>
        <w:spacing w:line="276" w:lineRule="auto"/>
        <w:jc w:val="both"/>
        <w:rPr>
          <w:rFonts w:ascii="Arial" w:hAnsi="Arial" w:cs="Arial"/>
          <w:szCs w:val="24"/>
        </w:rPr>
      </w:pPr>
      <w:r>
        <w:rPr>
          <w:rFonts w:ascii="Arial" w:hAnsi="Arial" w:cs="Arial"/>
          <w:szCs w:val="24"/>
        </w:rPr>
        <w:t>Por lo anterior</w:t>
      </w:r>
      <w:r w:rsidR="00924F8D">
        <w:rPr>
          <w:rFonts w:ascii="Arial" w:hAnsi="Arial" w:cs="Arial"/>
          <w:szCs w:val="24"/>
        </w:rPr>
        <w:t>,</w:t>
      </w:r>
      <w:r>
        <w:rPr>
          <w:rFonts w:ascii="Arial" w:hAnsi="Arial" w:cs="Arial"/>
          <w:szCs w:val="24"/>
        </w:rPr>
        <w:t xml:space="preserve"> </w:t>
      </w:r>
      <w:r w:rsidR="00924F8D">
        <w:rPr>
          <w:rFonts w:ascii="Arial" w:hAnsi="Arial" w:cs="Arial"/>
          <w:szCs w:val="24"/>
        </w:rPr>
        <w:t xml:space="preserve">la jueza </w:t>
      </w:r>
      <w:r>
        <w:rPr>
          <w:rFonts w:ascii="Arial" w:hAnsi="Arial" w:cs="Arial"/>
          <w:szCs w:val="24"/>
        </w:rPr>
        <w:t>acert</w:t>
      </w:r>
      <w:r w:rsidR="00924F8D">
        <w:rPr>
          <w:rFonts w:ascii="Arial" w:hAnsi="Arial" w:cs="Arial"/>
          <w:szCs w:val="24"/>
        </w:rPr>
        <w:t xml:space="preserve">ó </w:t>
      </w:r>
      <w:r>
        <w:rPr>
          <w:rFonts w:ascii="Arial" w:hAnsi="Arial" w:cs="Arial"/>
          <w:szCs w:val="24"/>
        </w:rPr>
        <w:t xml:space="preserve">al declarar la existencia de </w:t>
      </w:r>
      <w:r w:rsidR="00562A27">
        <w:rPr>
          <w:rFonts w:ascii="Arial" w:hAnsi="Arial" w:cs="Arial"/>
          <w:szCs w:val="24"/>
        </w:rPr>
        <w:t xml:space="preserve">dos </w:t>
      </w:r>
      <w:r>
        <w:rPr>
          <w:rFonts w:ascii="Arial" w:hAnsi="Arial" w:cs="Arial"/>
          <w:szCs w:val="24"/>
        </w:rPr>
        <w:t>contrato</w:t>
      </w:r>
      <w:r w:rsidR="00562A27">
        <w:rPr>
          <w:rFonts w:ascii="Arial" w:hAnsi="Arial" w:cs="Arial"/>
          <w:szCs w:val="24"/>
        </w:rPr>
        <w:t>s</w:t>
      </w:r>
      <w:r>
        <w:rPr>
          <w:rFonts w:ascii="Arial" w:hAnsi="Arial" w:cs="Arial"/>
          <w:szCs w:val="24"/>
        </w:rPr>
        <w:t xml:space="preserve"> de trabajo entre </w:t>
      </w:r>
      <w:r w:rsidR="00562A27">
        <w:rPr>
          <w:rFonts w:ascii="Arial" w:hAnsi="Arial" w:cs="Arial"/>
          <w:szCs w:val="24"/>
        </w:rPr>
        <w:t>e</w:t>
      </w:r>
      <w:r>
        <w:rPr>
          <w:rFonts w:ascii="Arial" w:hAnsi="Arial" w:cs="Arial"/>
          <w:szCs w:val="24"/>
        </w:rPr>
        <w:t xml:space="preserve">l señor </w:t>
      </w:r>
      <w:r w:rsidR="00562A27">
        <w:rPr>
          <w:rFonts w:ascii="Arial" w:hAnsi="Arial" w:cs="Arial"/>
          <w:szCs w:val="24"/>
        </w:rPr>
        <w:t xml:space="preserve">Andrés Felipe Gómez Dávila </w:t>
      </w:r>
      <w:r>
        <w:rPr>
          <w:rFonts w:ascii="Arial" w:hAnsi="Arial" w:cs="Arial"/>
          <w:szCs w:val="24"/>
        </w:rPr>
        <w:t xml:space="preserve">y el </w:t>
      </w:r>
      <w:proofErr w:type="spellStart"/>
      <w:r>
        <w:rPr>
          <w:rFonts w:ascii="Arial" w:hAnsi="Arial" w:cs="Arial"/>
          <w:szCs w:val="24"/>
        </w:rPr>
        <w:t>ISS</w:t>
      </w:r>
      <w:proofErr w:type="spellEnd"/>
      <w:r w:rsidR="00F104E6">
        <w:rPr>
          <w:rFonts w:ascii="Arial" w:hAnsi="Arial" w:cs="Arial"/>
          <w:szCs w:val="24"/>
        </w:rPr>
        <w:t xml:space="preserve"> y de hecho la clasificación del actor como trabajador oficial</w:t>
      </w:r>
      <w:r w:rsidR="00AB31D5">
        <w:rPr>
          <w:rFonts w:ascii="Arial" w:hAnsi="Arial" w:cs="Arial"/>
          <w:szCs w:val="24"/>
        </w:rPr>
        <w:t xml:space="preserve">. </w:t>
      </w:r>
    </w:p>
    <w:p w:rsidR="0043666D" w:rsidRDefault="0043666D" w:rsidP="00071936">
      <w:pPr>
        <w:tabs>
          <w:tab w:val="left" w:pos="8647"/>
          <w:tab w:val="left" w:pos="9356"/>
        </w:tabs>
        <w:spacing w:line="276" w:lineRule="auto"/>
        <w:jc w:val="both"/>
        <w:rPr>
          <w:rFonts w:ascii="Arial" w:hAnsi="Arial" w:cs="Arial"/>
          <w:szCs w:val="24"/>
        </w:rPr>
      </w:pPr>
    </w:p>
    <w:p w:rsidR="009C21A7" w:rsidRPr="00103D7E" w:rsidRDefault="00746803" w:rsidP="009C21A7">
      <w:pPr>
        <w:spacing w:line="276" w:lineRule="auto"/>
        <w:jc w:val="both"/>
        <w:rPr>
          <w:rFonts w:ascii="Arial" w:hAnsi="Arial" w:cs="Arial"/>
          <w:bCs/>
          <w:sz w:val="22"/>
          <w:szCs w:val="28"/>
        </w:rPr>
      </w:pPr>
      <w:r>
        <w:rPr>
          <w:rFonts w:ascii="Arial" w:hAnsi="Arial" w:cs="Arial"/>
          <w:b/>
          <w:bCs/>
          <w:szCs w:val="28"/>
        </w:rPr>
        <w:lastRenderedPageBreak/>
        <w:t>2.2.</w:t>
      </w:r>
      <w:r w:rsidR="009C21A7">
        <w:rPr>
          <w:rFonts w:ascii="Arial" w:hAnsi="Arial" w:cs="Arial"/>
          <w:bCs/>
          <w:szCs w:val="28"/>
        </w:rPr>
        <w:t xml:space="preserve"> </w:t>
      </w:r>
      <w:r w:rsidR="009C21A7" w:rsidRPr="00103D7E">
        <w:rPr>
          <w:rFonts w:ascii="Arial" w:hAnsi="Arial" w:cs="Arial"/>
          <w:b/>
          <w:bCs/>
          <w:szCs w:val="28"/>
        </w:rPr>
        <w:t>Aplicación de la convención colectiva, prestaciones e indemnizaciones reclamadas</w:t>
      </w:r>
    </w:p>
    <w:p w:rsidR="009C21A7" w:rsidRDefault="009C21A7" w:rsidP="009C21A7">
      <w:pPr>
        <w:tabs>
          <w:tab w:val="left" w:pos="8647"/>
          <w:tab w:val="left" w:pos="9356"/>
        </w:tabs>
        <w:spacing w:line="276" w:lineRule="auto"/>
        <w:jc w:val="both"/>
        <w:rPr>
          <w:rFonts w:ascii="Arial" w:hAnsi="Arial" w:cs="Arial"/>
          <w:szCs w:val="24"/>
        </w:rPr>
      </w:pPr>
    </w:p>
    <w:p w:rsidR="004D1594" w:rsidRDefault="004D1594" w:rsidP="004D1594">
      <w:pPr>
        <w:tabs>
          <w:tab w:val="left" w:pos="8647"/>
          <w:tab w:val="left" w:pos="9356"/>
        </w:tabs>
        <w:spacing w:line="276" w:lineRule="auto"/>
        <w:jc w:val="both"/>
        <w:rPr>
          <w:rFonts w:ascii="Arial" w:hAnsi="Arial" w:cs="Arial"/>
          <w:szCs w:val="24"/>
        </w:rPr>
      </w:pPr>
      <w:r>
        <w:rPr>
          <w:rFonts w:ascii="Arial" w:hAnsi="Arial" w:cs="Arial"/>
          <w:szCs w:val="24"/>
        </w:rPr>
        <w:t xml:space="preserve">Se probó que el </w:t>
      </w:r>
      <w:proofErr w:type="spellStart"/>
      <w:r>
        <w:rPr>
          <w:rFonts w:ascii="Arial" w:hAnsi="Arial" w:cs="Arial"/>
          <w:szCs w:val="24"/>
        </w:rPr>
        <w:t>ISS</w:t>
      </w:r>
      <w:proofErr w:type="spellEnd"/>
      <w:r>
        <w:rPr>
          <w:rFonts w:ascii="Arial" w:hAnsi="Arial" w:cs="Arial"/>
          <w:szCs w:val="24"/>
        </w:rPr>
        <w:t xml:space="preserve"> y el sindicato </w:t>
      </w:r>
      <w:r w:rsidR="004B3927">
        <w:rPr>
          <w:rFonts w:ascii="Arial" w:hAnsi="Arial" w:cs="Arial"/>
          <w:szCs w:val="24"/>
        </w:rPr>
        <w:t xml:space="preserve">de esta entidad </w:t>
      </w:r>
      <w:r>
        <w:rPr>
          <w:rFonts w:ascii="Arial" w:hAnsi="Arial" w:cs="Arial"/>
          <w:szCs w:val="24"/>
        </w:rPr>
        <w:t>celebraron convención colectiva el 31-10-2001, que cuenta con nota de depósito de fecha 31-10.-2001(</w:t>
      </w:r>
      <w:proofErr w:type="spellStart"/>
      <w:r>
        <w:rPr>
          <w:rFonts w:ascii="Arial" w:hAnsi="Arial" w:cs="Arial"/>
          <w:szCs w:val="24"/>
        </w:rPr>
        <w:t>fl</w:t>
      </w:r>
      <w:proofErr w:type="spellEnd"/>
      <w:r>
        <w:rPr>
          <w:rFonts w:ascii="Arial" w:hAnsi="Arial" w:cs="Arial"/>
          <w:szCs w:val="24"/>
        </w:rPr>
        <w:t xml:space="preserve">. 35 a 108, ND 97); que se encontraba vigente según certificado del </w:t>
      </w:r>
      <w:r w:rsidRPr="00F97669">
        <w:rPr>
          <w:rFonts w:ascii="Arial" w:hAnsi="Arial" w:cs="Arial"/>
          <w:szCs w:val="24"/>
        </w:rPr>
        <w:t>08-02-2010</w:t>
      </w:r>
      <w:r>
        <w:rPr>
          <w:rFonts w:ascii="Arial" w:hAnsi="Arial" w:cs="Arial"/>
          <w:szCs w:val="24"/>
        </w:rPr>
        <w:t xml:space="preserve"> (fl.96), a pesar de la denuncia parcial de la misma realizada por el empleador el 28-10-2004 (</w:t>
      </w:r>
      <w:proofErr w:type="spellStart"/>
      <w:r>
        <w:rPr>
          <w:rFonts w:ascii="Arial" w:hAnsi="Arial" w:cs="Arial"/>
          <w:szCs w:val="24"/>
        </w:rPr>
        <w:t>fl</w:t>
      </w:r>
      <w:proofErr w:type="spellEnd"/>
      <w:r>
        <w:rPr>
          <w:rFonts w:ascii="Arial" w:hAnsi="Arial" w:cs="Arial"/>
          <w:szCs w:val="24"/>
        </w:rPr>
        <w:t>. 74 c. 2), en tanto que este no puede suscitar un conflicto colectivo de trabajo, pues está vedado para los empleadores presentar pliegos de peticiones con el propósito de culminar con una convención vigente o con fallo de tribunal de arbitramento alguno</w:t>
      </w:r>
      <w:r>
        <w:rPr>
          <w:rStyle w:val="Refdenotaalpie"/>
          <w:rFonts w:ascii="Arial" w:hAnsi="Arial" w:cs="Arial"/>
          <w:szCs w:val="24"/>
        </w:rPr>
        <w:footnoteReference w:id="2"/>
      </w:r>
      <w:r>
        <w:rPr>
          <w:rFonts w:ascii="Arial" w:hAnsi="Arial" w:cs="Arial"/>
          <w:szCs w:val="24"/>
        </w:rPr>
        <w:t xml:space="preserve">; igual el demandante es beneficiario de ella conforme al artículo 3 en concordancia artículo 471 del </w:t>
      </w:r>
      <w:proofErr w:type="spellStart"/>
      <w:r>
        <w:rPr>
          <w:rFonts w:ascii="Arial" w:hAnsi="Arial" w:cs="Arial"/>
          <w:szCs w:val="24"/>
        </w:rPr>
        <w:t>CST</w:t>
      </w:r>
      <w:proofErr w:type="spellEnd"/>
      <w:r>
        <w:rPr>
          <w:rFonts w:ascii="Arial" w:hAnsi="Arial" w:cs="Arial"/>
          <w:szCs w:val="24"/>
        </w:rPr>
        <w:t xml:space="preserve"> al ser el sindicato del </w:t>
      </w:r>
      <w:proofErr w:type="spellStart"/>
      <w:r>
        <w:rPr>
          <w:rFonts w:ascii="Arial" w:hAnsi="Arial" w:cs="Arial"/>
          <w:szCs w:val="24"/>
        </w:rPr>
        <w:t>ISS</w:t>
      </w:r>
      <w:proofErr w:type="spellEnd"/>
      <w:r>
        <w:rPr>
          <w:rFonts w:ascii="Arial" w:hAnsi="Arial" w:cs="Arial"/>
          <w:szCs w:val="24"/>
        </w:rPr>
        <w:t xml:space="preserve"> mayoritario como se deja constando en la convención</w:t>
      </w:r>
      <w:r w:rsidR="004B3927">
        <w:rPr>
          <w:rFonts w:ascii="Arial" w:hAnsi="Arial" w:cs="Arial"/>
          <w:szCs w:val="24"/>
        </w:rPr>
        <w:t>,</w:t>
      </w:r>
      <w:r>
        <w:rPr>
          <w:rFonts w:ascii="Arial" w:hAnsi="Arial" w:cs="Arial"/>
          <w:szCs w:val="24"/>
        </w:rPr>
        <w:t xml:space="preserve"> por lo que esta se hace extensiva a todos los trabajadores. </w:t>
      </w:r>
    </w:p>
    <w:p w:rsidR="009C21A7" w:rsidRDefault="009C21A7" w:rsidP="009C21A7">
      <w:pPr>
        <w:tabs>
          <w:tab w:val="left" w:pos="8647"/>
          <w:tab w:val="left" w:pos="9356"/>
        </w:tabs>
        <w:spacing w:line="276" w:lineRule="auto"/>
        <w:jc w:val="both"/>
        <w:rPr>
          <w:rFonts w:ascii="Arial" w:hAnsi="Arial" w:cs="Arial"/>
          <w:szCs w:val="24"/>
        </w:rPr>
      </w:pPr>
      <w:r>
        <w:rPr>
          <w:rFonts w:ascii="Arial" w:hAnsi="Arial" w:cs="Arial"/>
          <w:szCs w:val="24"/>
        </w:rPr>
        <w:t xml:space="preserve"> </w:t>
      </w:r>
    </w:p>
    <w:p w:rsidR="009C21A7" w:rsidRDefault="009C21A7" w:rsidP="00F17CC6">
      <w:pPr>
        <w:tabs>
          <w:tab w:val="left" w:pos="8647"/>
          <w:tab w:val="left" w:pos="9356"/>
        </w:tabs>
        <w:spacing w:line="276" w:lineRule="auto"/>
        <w:jc w:val="both"/>
        <w:rPr>
          <w:rFonts w:ascii="Arial" w:hAnsi="Arial" w:cs="Arial"/>
          <w:szCs w:val="24"/>
        </w:rPr>
      </w:pPr>
      <w:r>
        <w:rPr>
          <w:rFonts w:ascii="Arial" w:hAnsi="Arial" w:cs="Arial"/>
          <w:szCs w:val="24"/>
        </w:rPr>
        <w:t>Definido lo anterior, procede la Sala a determinar si el actor es merecedor de las diferentes prestaciones e indemnizaciones que solicita.</w:t>
      </w:r>
    </w:p>
    <w:p w:rsidR="002821CD" w:rsidRDefault="002821CD" w:rsidP="002821CD">
      <w:pPr>
        <w:tabs>
          <w:tab w:val="left" w:pos="8647"/>
          <w:tab w:val="left" w:pos="9356"/>
        </w:tabs>
        <w:spacing w:line="276" w:lineRule="auto"/>
        <w:jc w:val="both"/>
        <w:rPr>
          <w:rFonts w:ascii="Arial" w:hAnsi="Arial" w:cs="Arial"/>
          <w:szCs w:val="24"/>
        </w:rPr>
      </w:pPr>
    </w:p>
    <w:p w:rsidR="002821CD" w:rsidRDefault="00746803" w:rsidP="002821CD">
      <w:pPr>
        <w:tabs>
          <w:tab w:val="left" w:pos="8647"/>
          <w:tab w:val="left" w:pos="9356"/>
        </w:tabs>
        <w:spacing w:line="360" w:lineRule="auto"/>
        <w:jc w:val="both"/>
        <w:rPr>
          <w:rFonts w:ascii="Arial" w:hAnsi="Arial" w:cs="Arial"/>
          <w:b/>
          <w:iCs/>
          <w:szCs w:val="24"/>
          <w:lang w:val="es-ES"/>
        </w:rPr>
      </w:pPr>
      <w:r>
        <w:rPr>
          <w:rFonts w:ascii="Arial" w:hAnsi="Arial" w:cs="Arial"/>
          <w:b/>
          <w:iCs/>
          <w:szCs w:val="24"/>
          <w:lang w:val="es-ES"/>
        </w:rPr>
        <w:t>2.2</w:t>
      </w:r>
      <w:r w:rsidR="00042ADA">
        <w:rPr>
          <w:rFonts w:ascii="Arial" w:hAnsi="Arial" w:cs="Arial"/>
          <w:b/>
          <w:iCs/>
          <w:szCs w:val="24"/>
          <w:lang w:val="es-ES"/>
        </w:rPr>
        <w:t>.1</w:t>
      </w:r>
      <w:r w:rsidR="002821CD">
        <w:rPr>
          <w:rFonts w:ascii="Arial" w:hAnsi="Arial" w:cs="Arial"/>
          <w:b/>
          <w:iCs/>
          <w:szCs w:val="24"/>
          <w:lang w:val="es-ES"/>
        </w:rPr>
        <w:t xml:space="preserve"> </w:t>
      </w:r>
      <w:r w:rsidR="00C93C2C">
        <w:rPr>
          <w:rFonts w:ascii="Arial" w:hAnsi="Arial" w:cs="Arial"/>
          <w:b/>
          <w:iCs/>
          <w:szCs w:val="24"/>
          <w:lang w:val="es-ES"/>
        </w:rPr>
        <w:t xml:space="preserve">Compensación de </w:t>
      </w:r>
      <w:r w:rsidR="002821CD">
        <w:rPr>
          <w:rFonts w:ascii="Arial" w:hAnsi="Arial" w:cs="Arial"/>
          <w:b/>
          <w:iCs/>
          <w:szCs w:val="24"/>
          <w:lang w:val="es-ES"/>
        </w:rPr>
        <w:t>Vacaciones</w:t>
      </w:r>
    </w:p>
    <w:p w:rsidR="002821CD" w:rsidRDefault="002821CD" w:rsidP="002821CD">
      <w:pPr>
        <w:tabs>
          <w:tab w:val="left" w:pos="567"/>
        </w:tabs>
        <w:spacing w:line="276" w:lineRule="auto"/>
        <w:ind w:right="51"/>
        <w:jc w:val="both"/>
        <w:rPr>
          <w:rFonts w:ascii="Arial" w:hAnsi="Arial" w:cs="Arial"/>
          <w:szCs w:val="22"/>
        </w:rPr>
      </w:pPr>
    </w:p>
    <w:p w:rsidR="002821CD" w:rsidRDefault="002821CD" w:rsidP="002821CD">
      <w:pPr>
        <w:pStyle w:val="Textoindependiente22"/>
        <w:spacing w:line="276" w:lineRule="auto"/>
        <w:rPr>
          <w:rFonts w:cs="Arial"/>
          <w:b w:val="0"/>
          <w:sz w:val="24"/>
          <w:szCs w:val="28"/>
        </w:rPr>
      </w:pPr>
      <w:r>
        <w:rPr>
          <w:rFonts w:cs="Arial"/>
          <w:b w:val="0"/>
          <w:sz w:val="24"/>
          <w:szCs w:val="28"/>
        </w:rPr>
        <w:t>E</w:t>
      </w:r>
      <w:r w:rsidRPr="00AF15AD">
        <w:rPr>
          <w:rFonts w:cs="Arial"/>
          <w:b w:val="0"/>
          <w:sz w:val="24"/>
          <w:szCs w:val="28"/>
        </w:rPr>
        <w:t>l artículo 48 de la convención</w:t>
      </w:r>
      <w:r>
        <w:rPr>
          <w:rFonts w:cs="Arial"/>
          <w:b w:val="0"/>
          <w:sz w:val="24"/>
          <w:szCs w:val="28"/>
        </w:rPr>
        <w:t xml:space="preserve"> señala </w:t>
      </w:r>
      <w:r w:rsidRPr="00AF15AD">
        <w:rPr>
          <w:rFonts w:cs="Arial"/>
          <w:b w:val="0"/>
          <w:sz w:val="24"/>
          <w:szCs w:val="28"/>
        </w:rPr>
        <w:t>que pa</w:t>
      </w:r>
      <w:r w:rsidR="00C62B11">
        <w:rPr>
          <w:rFonts w:cs="Arial"/>
          <w:b w:val="0"/>
          <w:sz w:val="24"/>
          <w:szCs w:val="28"/>
        </w:rPr>
        <w:t>ra las personas que tengan más de</w:t>
      </w:r>
      <w:r w:rsidRPr="00AF15AD">
        <w:rPr>
          <w:rFonts w:cs="Arial"/>
          <w:b w:val="0"/>
          <w:sz w:val="24"/>
          <w:szCs w:val="28"/>
        </w:rPr>
        <w:t xml:space="preserve"> cinco años continuos tendrán</w:t>
      </w:r>
      <w:r w:rsidR="00C62B11">
        <w:rPr>
          <w:rFonts w:cs="Arial"/>
          <w:b w:val="0"/>
          <w:sz w:val="24"/>
          <w:szCs w:val="28"/>
        </w:rPr>
        <w:t xml:space="preserve"> derecho a 18</w:t>
      </w:r>
      <w:r w:rsidRPr="00AF15AD">
        <w:rPr>
          <w:rFonts w:cs="Arial"/>
          <w:b w:val="0"/>
          <w:sz w:val="24"/>
          <w:szCs w:val="28"/>
        </w:rPr>
        <w:t xml:space="preserve"> días</w:t>
      </w:r>
      <w:r>
        <w:rPr>
          <w:rFonts w:cs="Arial"/>
          <w:b w:val="0"/>
          <w:sz w:val="24"/>
          <w:szCs w:val="28"/>
        </w:rPr>
        <w:t xml:space="preserve"> hábiles por cada año trabajado, supuesto que no le es aplicable al actor por cuanto solo resulta procedente darles el descanso remunerado a</w:t>
      </w:r>
      <w:r w:rsidRPr="00AF15AD">
        <w:rPr>
          <w:rFonts w:cs="Arial"/>
          <w:b w:val="0"/>
          <w:sz w:val="24"/>
          <w:szCs w:val="28"/>
        </w:rPr>
        <w:t xml:space="preserve"> quienes se encuentren laborando al servicio del Instituto</w:t>
      </w:r>
      <w:r>
        <w:rPr>
          <w:rFonts w:cs="Arial"/>
          <w:b w:val="0"/>
          <w:sz w:val="24"/>
          <w:szCs w:val="28"/>
        </w:rPr>
        <w:t xml:space="preserve">; por lo que se abre paso la compensación por vacaciones, que no está consagrada en la convención colectiva, por ende, lo aplicable es </w:t>
      </w:r>
      <w:r w:rsidRPr="00AF15AD">
        <w:rPr>
          <w:rFonts w:cs="Arial"/>
          <w:b w:val="0"/>
          <w:sz w:val="24"/>
          <w:szCs w:val="28"/>
        </w:rPr>
        <w:t>el artículo 1º de la Ley 995 de 2005,</w:t>
      </w:r>
      <w:r>
        <w:rPr>
          <w:rFonts w:cs="Arial"/>
          <w:b w:val="0"/>
          <w:sz w:val="24"/>
          <w:szCs w:val="28"/>
        </w:rPr>
        <w:t xml:space="preserve"> en concordancia con el artículo 47 del Decreto 1848 de 1969,</w:t>
      </w:r>
      <w:r w:rsidRPr="00AF15AD">
        <w:rPr>
          <w:rFonts w:cs="Arial"/>
          <w:b w:val="0"/>
          <w:sz w:val="24"/>
          <w:szCs w:val="28"/>
        </w:rPr>
        <w:t xml:space="preserve"> </w:t>
      </w:r>
      <w:r>
        <w:rPr>
          <w:rFonts w:cs="Arial"/>
          <w:b w:val="0"/>
          <w:sz w:val="24"/>
          <w:szCs w:val="28"/>
        </w:rPr>
        <w:t xml:space="preserve">la que </w:t>
      </w:r>
      <w:r w:rsidRPr="00472DAF">
        <w:rPr>
          <w:rFonts w:cs="Arial"/>
          <w:b w:val="0"/>
          <w:sz w:val="24"/>
          <w:szCs w:val="28"/>
        </w:rPr>
        <w:t xml:space="preserve">debe ser liquidada con base en el último salario devengado por </w:t>
      </w:r>
      <w:r w:rsidR="0022437A">
        <w:rPr>
          <w:rFonts w:cs="Arial"/>
          <w:b w:val="0"/>
          <w:sz w:val="24"/>
          <w:szCs w:val="28"/>
        </w:rPr>
        <w:t>el</w:t>
      </w:r>
      <w:r w:rsidRPr="00472DAF">
        <w:rPr>
          <w:rFonts w:cs="Arial"/>
          <w:b w:val="0"/>
          <w:sz w:val="24"/>
          <w:szCs w:val="28"/>
        </w:rPr>
        <w:t xml:space="preserve"> trabajador</w:t>
      </w:r>
      <w:r>
        <w:rPr>
          <w:rFonts w:cs="Arial"/>
          <w:b w:val="0"/>
          <w:sz w:val="24"/>
          <w:szCs w:val="28"/>
        </w:rPr>
        <w:t xml:space="preserve"> y teniendo en cuenta año completo y fracción</w:t>
      </w:r>
      <w:r w:rsidRPr="00472DAF">
        <w:rPr>
          <w:rFonts w:cs="Arial"/>
          <w:b w:val="0"/>
          <w:sz w:val="24"/>
          <w:szCs w:val="28"/>
        </w:rPr>
        <w:t>.</w:t>
      </w:r>
    </w:p>
    <w:p w:rsidR="00C62B11" w:rsidRDefault="00C62B11" w:rsidP="002821CD">
      <w:pPr>
        <w:pStyle w:val="Textoindependiente22"/>
        <w:spacing w:line="276" w:lineRule="auto"/>
        <w:rPr>
          <w:rFonts w:cs="Arial"/>
          <w:b w:val="0"/>
          <w:sz w:val="24"/>
          <w:szCs w:val="28"/>
        </w:rPr>
      </w:pPr>
    </w:p>
    <w:p w:rsidR="00D868FB" w:rsidRDefault="002821CD" w:rsidP="002821CD">
      <w:pPr>
        <w:pStyle w:val="Textoindependiente22"/>
        <w:spacing w:line="276" w:lineRule="auto"/>
        <w:rPr>
          <w:rFonts w:cs="Arial"/>
          <w:b w:val="0"/>
          <w:sz w:val="24"/>
          <w:szCs w:val="28"/>
        </w:rPr>
      </w:pPr>
      <w:r>
        <w:rPr>
          <w:rFonts w:cs="Arial"/>
          <w:b w:val="0"/>
          <w:sz w:val="24"/>
          <w:szCs w:val="28"/>
        </w:rPr>
        <w:t>Así las cosas</w:t>
      </w:r>
      <w:r w:rsidR="000A6B48">
        <w:rPr>
          <w:rFonts w:cs="Arial"/>
          <w:b w:val="0"/>
          <w:sz w:val="24"/>
          <w:szCs w:val="28"/>
        </w:rPr>
        <w:t>,</w:t>
      </w:r>
      <w:r>
        <w:rPr>
          <w:rFonts w:cs="Arial"/>
          <w:b w:val="0"/>
          <w:sz w:val="24"/>
          <w:szCs w:val="28"/>
        </w:rPr>
        <w:t xml:space="preserve"> e</w:t>
      </w:r>
      <w:r w:rsidRPr="00472DAF">
        <w:rPr>
          <w:rFonts w:cs="Arial"/>
          <w:b w:val="0"/>
          <w:sz w:val="24"/>
          <w:szCs w:val="28"/>
        </w:rPr>
        <w:t>l mont</w:t>
      </w:r>
      <w:r w:rsidR="00E347CD">
        <w:rPr>
          <w:rFonts w:cs="Arial"/>
          <w:b w:val="0"/>
          <w:sz w:val="24"/>
          <w:szCs w:val="28"/>
        </w:rPr>
        <w:t xml:space="preserve">o de esta prestación </w:t>
      </w:r>
      <w:r w:rsidR="0088784B">
        <w:rPr>
          <w:rFonts w:cs="Arial"/>
          <w:b w:val="0"/>
          <w:sz w:val="24"/>
          <w:szCs w:val="28"/>
        </w:rPr>
        <w:t xml:space="preserve">al ser liquidada por esta Sala, </w:t>
      </w:r>
      <w:r w:rsidR="00D868FB">
        <w:rPr>
          <w:rFonts w:cs="Arial"/>
          <w:b w:val="0"/>
          <w:sz w:val="24"/>
          <w:szCs w:val="28"/>
        </w:rPr>
        <w:t>asciende</w:t>
      </w:r>
      <w:r w:rsidR="0071624B">
        <w:rPr>
          <w:rFonts w:cs="Arial"/>
          <w:b w:val="0"/>
          <w:sz w:val="24"/>
          <w:szCs w:val="28"/>
        </w:rPr>
        <w:t xml:space="preserve"> a:</w:t>
      </w:r>
    </w:p>
    <w:p w:rsidR="00D868FB" w:rsidRDefault="00D868FB" w:rsidP="002821CD">
      <w:pPr>
        <w:pStyle w:val="Textoindependiente22"/>
        <w:spacing w:line="276" w:lineRule="auto"/>
        <w:rPr>
          <w:rFonts w:cs="Arial"/>
          <w:b w:val="0"/>
          <w:sz w:val="24"/>
          <w:szCs w:val="28"/>
        </w:rPr>
      </w:pPr>
      <w:r>
        <w:rPr>
          <w:rFonts w:cs="Arial"/>
          <w:b w:val="0"/>
          <w:sz w:val="24"/>
          <w:szCs w:val="28"/>
        </w:rPr>
        <w:t xml:space="preserve"> </w:t>
      </w:r>
    </w:p>
    <w:tbl>
      <w:tblPr>
        <w:tblStyle w:val="Tablaconcuadrcula"/>
        <w:tblW w:w="0" w:type="auto"/>
        <w:tblLook w:val="04A0" w:firstRow="1" w:lastRow="0" w:firstColumn="1" w:lastColumn="0" w:noHBand="0" w:noVBand="1"/>
      </w:tblPr>
      <w:tblGrid>
        <w:gridCol w:w="1958"/>
        <w:gridCol w:w="1789"/>
        <w:gridCol w:w="1812"/>
        <w:gridCol w:w="1812"/>
        <w:gridCol w:w="1459"/>
      </w:tblGrid>
      <w:tr w:rsidR="00D868FB" w:rsidTr="00D868FB">
        <w:tc>
          <w:tcPr>
            <w:tcW w:w="1958" w:type="dxa"/>
          </w:tcPr>
          <w:p w:rsidR="00D868FB" w:rsidRDefault="00D868FB" w:rsidP="002821CD">
            <w:pPr>
              <w:pStyle w:val="Textoindependiente22"/>
              <w:spacing w:line="276" w:lineRule="auto"/>
              <w:rPr>
                <w:rFonts w:cs="Arial"/>
                <w:b w:val="0"/>
                <w:sz w:val="24"/>
                <w:szCs w:val="28"/>
              </w:rPr>
            </w:pPr>
            <w:r>
              <w:rPr>
                <w:rFonts w:cs="Arial"/>
                <w:b w:val="0"/>
                <w:sz w:val="24"/>
                <w:szCs w:val="28"/>
              </w:rPr>
              <w:t xml:space="preserve">Contrato </w:t>
            </w:r>
          </w:p>
        </w:tc>
        <w:tc>
          <w:tcPr>
            <w:tcW w:w="1789" w:type="dxa"/>
          </w:tcPr>
          <w:p w:rsidR="00D868FB" w:rsidRDefault="00D868FB" w:rsidP="002821CD">
            <w:pPr>
              <w:pStyle w:val="Textoindependiente22"/>
              <w:spacing w:line="276" w:lineRule="auto"/>
              <w:rPr>
                <w:rFonts w:cs="Arial"/>
                <w:b w:val="0"/>
                <w:sz w:val="24"/>
                <w:szCs w:val="28"/>
              </w:rPr>
            </w:pPr>
            <w:r>
              <w:rPr>
                <w:rFonts w:cs="Arial"/>
                <w:b w:val="0"/>
                <w:sz w:val="24"/>
                <w:szCs w:val="28"/>
              </w:rPr>
              <w:t xml:space="preserve">Fecha </w:t>
            </w:r>
          </w:p>
        </w:tc>
        <w:tc>
          <w:tcPr>
            <w:tcW w:w="1812" w:type="dxa"/>
          </w:tcPr>
          <w:p w:rsidR="00D868FB" w:rsidRDefault="00D868FB" w:rsidP="002821CD">
            <w:pPr>
              <w:pStyle w:val="Textoindependiente22"/>
              <w:spacing w:line="276" w:lineRule="auto"/>
              <w:rPr>
                <w:rFonts w:cs="Arial"/>
                <w:b w:val="0"/>
                <w:sz w:val="24"/>
                <w:szCs w:val="28"/>
              </w:rPr>
            </w:pPr>
            <w:r>
              <w:rPr>
                <w:rFonts w:cs="Arial"/>
                <w:b w:val="0"/>
                <w:sz w:val="24"/>
                <w:szCs w:val="28"/>
              </w:rPr>
              <w:t>Salario</w:t>
            </w:r>
          </w:p>
        </w:tc>
        <w:tc>
          <w:tcPr>
            <w:tcW w:w="1812" w:type="dxa"/>
          </w:tcPr>
          <w:p w:rsidR="00D868FB" w:rsidRDefault="00D868FB" w:rsidP="002821CD">
            <w:pPr>
              <w:pStyle w:val="Textoindependiente22"/>
              <w:spacing w:line="276" w:lineRule="auto"/>
              <w:rPr>
                <w:rFonts w:cs="Arial"/>
                <w:b w:val="0"/>
                <w:sz w:val="24"/>
                <w:szCs w:val="28"/>
              </w:rPr>
            </w:pPr>
            <w:r>
              <w:rPr>
                <w:rFonts w:cs="Arial"/>
                <w:b w:val="0"/>
                <w:sz w:val="24"/>
                <w:szCs w:val="28"/>
              </w:rPr>
              <w:t xml:space="preserve">Días laborados </w:t>
            </w:r>
          </w:p>
        </w:tc>
        <w:tc>
          <w:tcPr>
            <w:tcW w:w="1459" w:type="dxa"/>
          </w:tcPr>
          <w:p w:rsidR="00D868FB" w:rsidRDefault="00D868FB" w:rsidP="002821CD">
            <w:pPr>
              <w:pStyle w:val="Textoindependiente22"/>
              <w:spacing w:line="276" w:lineRule="auto"/>
              <w:rPr>
                <w:rFonts w:cs="Arial"/>
                <w:b w:val="0"/>
                <w:sz w:val="24"/>
                <w:szCs w:val="28"/>
              </w:rPr>
            </w:pPr>
            <w:r>
              <w:rPr>
                <w:rFonts w:cs="Arial"/>
                <w:b w:val="0"/>
                <w:sz w:val="24"/>
                <w:szCs w:val="28"/>
              </w:rPr>
              <w:t xml:space="preserve">Total </w:t>
            </w:r>
          </w:p>
        </w:tc>
      </w:tr>
      <w:tr w:rsidR="00D868FB" w:rsidTr="00D868FB">
        <w:tc>
          <w:tcPr>
            <w:tcW w:w="1958" w:type="dxa"/>
          </w:tcPr>
          <w:p w:rsidR="00D868FB" w:rsidRDefault="00D868FB" w:rsidP="002821CD">
            <w:pPr>
              <w:pStyle w:val="Textoindependiente22"/>
              <w:spacing w:line="276" w:lineRule="auto"/>
              <w:rPr>
                <w:rFonts w:cs="Arial"/>
                <w:b w:val="0"/>
                <w:sz w:val="24"/>
                <w:szCs w:val="28"/>
              </w:rPr>
            </w:pPr>
            <w:r>
              <w:rPr>
                <w:rFonts w:cs="Arial"/>
                <w:b w:val="0"/>
                <w:sz w:val="24"/>
                <w:szCs w:val="28"/>
              </w:rPr>
              <w:t>Uno (1)</w:t>
            </w:r>
          </w:p>
        </w:tc>
        <w:tc>
          <w:tcPr>
            <w:tcW w:w="1789" w:type="dxa"/>
          </w:tcPr>
          <w:p w:rsidR="00D868FB" w:rsidRDefault="00D868FB" w:rsidP="002821CD">
            <w:pPr>
              <w:pStyle w:val="Textoindependiente22"/>
              <w:spacing w:line="276" w:lineRule="auto"/>
              <w:rPr>
                <w:rFonts w:cs="Arial"/>
                <w:b w:val="0"/>
                <w:sz w:val="24"/>
                <w:szCs w:val="28"/>
              </w:rPr>
            </w:pPr>
            <w:r>
              <w:rPr>
                <w:rFonts w:cs="Arial"/>
                <w:b w:val="0"/>
                <w:sz w:val="24"/>
                <w:szCs w:val="28"/>
              </w:rPr>
              <w:t>01/09/09 al 30/04/10</w:t>
            </w:r>
          </w:p>
        </w:tc>
        <w:tc>
          <w:tcPr>
            <w:tcW w:w="1812" w:type="dxa"/>
          </w:tcPr>
          <w:p w:rsidR="00D868FB" w:rsidRDefault="00D868FB" w:rsidP="00D868FB">
            <w:pPr>
              <w:pStyle w:val="Textoindependiente22"/>
              <w:spacing w:line="276" w:lineRule="auto"/>
              <w:rPr>
                <w:rFonts w:cs="Arial"/>
                <w:b w:val="0"/>
                <w:sz w:val="24"/>
                <w:szCs w:val="28"/>
              </w:rPr>
            </w:pPr>
            <w:r>
              <w:rPr>
                <w:rFonts w:cs="Arial"/>
                <w:b w:val="0"/>
                <w:sz w:val="24"/>
                <w:szCs w:val="28"/>
              </w:rPr>
              <w:t xml:space="preserve">$807.525 </w:t>
            </w:r>
          </w:p>
        </w:tc>
        <w:tc>
          <w:tcPr>
            <w:tcW w:w="1812" w:type="dxa"/>
          </w:tcPr>
          <w:p w:rsidR="00D868FB" w:rsidRDefault="00D868FB" w:rsidP="002821CD">
            <w:pPr>
              <w:pStyle w:val="Textoindependiente22"/>
              <w:spacing w:line="276" w:lineRule="auto"/>
              <w:rPr>
                <w:rFonts w:cs="Arial"/>
                <w:b w:val="0"/>
                <w:sz w:val="24"/>
                <w:szCs w:val="28"/>
              </w:rPr>
            </w:pPr>
            <w:r>
              <w:rPr>
                <w:rFonts w:cs="Arial"/>
                <w:b w:val="0"/>
                <w:sz w:val="24"/>
                <w:szCs w:val="28"/>
              </w:rPr>
              <w:t>240</w:t>
            </w:r>
          </w:p>
        </w:tc>
        <w:tc>
          <w:tcPr>
            <w:tcW w:w="1459" w:type="dxa"/>
          </w:tcPr>
          <w:p w:rsidR="00D868FB" w:rsidRDefault="00D868FB" w:rsidP="002821CD">
            <w:pPr>
              <w:pStyle w:val="Textoindependiente22"/>
              <w:spacing w:line="276" w:lineRule="auto"/>
              <w:rPr>
                <w:rFonts w:cs="Arial"/>
                <w:b w:val="0"/>
                <w:sz w:val="24"/>
                <w:szCs w:val="28"/>
              </w:rPr>
            </w:pPr>
            <w:r>
              <w:rPr>
                <w:rFonts w:cs="Arial"/>
                <w:b w:val="0"/>
                <w:sz w:val="24"/>
                <w:szCs w:val="28"/>
              </w:rPr>
              <w:t>$269.175</w:t>
            </w:r>
          </w:p>
        </w:tc>
      </w:tr>
      <w:tr w:rsidR="00D868FB" w:rsidTr="00D868FB">
        <w:tc>
          <w:tcPr>
            <w:tcW w:w="1958" w:type="dxa"/>
          </w:tcPr>
          <w:p w:rsidR="00D868FB" w:rsidRDefault="00D868FB" w:rsidP="002821CD">
            <w:pPr>
              <w:pStyle w:val="Textoindependiente22"/>
              <w:spacing w:line="276" w:lineRule="auto"/>
              <w:rPr>
                <w:rFonts w:cs="Arial"/>
                <w:b w:val="0"/>
                <w:sz w:val="24"/>
                <w:szCs w:val="28"/>
              </w:rPr>
            </w:pPr>
            <w:r>
              <w:rPr>
                <w:rFonts w:cs="Arial"/>
                <w:b w:val="0"/>
                <w:sz w:val="24"/>
                <w:szCs w:val="28"/>
              </w:rPr>
              <w:t>Dos (2)</w:t>
            </w:r>
          </w:p>
        </w:tc>
        <w:tc>
          <w:tcPr>
            <w:tcW w:w="1789" w:type="dxa"/>
          </w:tcPr>
          <w:p w:rsidR="00D868FB" w:rsidRDefault="00D868FB" w:rsidP="002821CD">
            <w:pPr>
              <w:pStyle w:val="Textoindependiente22"/>
              <w:spacing w:line="276" w:lineRule="auto"/>
              <w:rPr>
                <w:rFonts w:cs="Arial"/>
                <w:b w:val="0"/>
                <w:sz w:val="24"/>
                <w:szCs w:val="28"/>
              </w:rPr>
            </w:pPr>
            <w:r>
              <w:rPr>
                <w:rFonts w:cs="Arial"/>
                <w:b w:val="0"/>
                <w:sz w:val="24"/>
                <w:szCs w:val="28"/>
              </w:rPr>
              <w:t>01/07/10 al 30/06/11</w:t>
            </w:r>
          </w:p>
        </w:tc>
        <w:tc>
          <w:tcPr>
            <w:tcW w:w="1812" w:type="dxa"/>
          </w:tcPr>
          <w:p w:rsidR="00D868FB" w:rsidRDefault="00AF4FD9" w:rsidP="002821CD">
            <w:pPr>
              <w:pStyle w:val="Textoindependiente22"/>
              <w:spacing w:line="276" w:lineRule="auto"/>
              <w:rPr>
                <w:rFonts w:cs="Arial"/>
                <w:b w:val="0"/>
                <w:sz w:val="24"/>
                <w:szCs w:val="28"/>
              </w:rPr>
            </w:pPr>
            <w:r>
              <w:rPr>
                <w:rFonts w:cs="Arial"/>
                <w:b w:val="0"/>
                <w:sz w:val="24"/>
                <w:szCs w:val="28"/>
              </w:rPr>
              <w:t>$849.787</w:t>
            </w:r>
          </w:p>
        </w:tc>
        <w:tc>
          <w:tcPr>
            <w:tcW w:w="1812" w:type="dxa"/>
          </w:tcPr>
          <w:p w:rsidR="00D868FB" w:rsidRDefault="00AF4FD9" w:rsidP="002821CD">
            <w:pPr>
              <w:pStyle w:val="Textoindependiente22"/>
              <w:spacing w:line="276" w:lineRule="auto"/>
              <w:rPr>
                <w:rFonts w:cs="Arial"/>
                <w:b w:val="0"/>
                <w:sz w:val="24"/>
                <w:szCs w:val="28"/>
              </w:rPr>
            </w:pPr>
            <w:r>
              <w:rPr>
                <w:rFonts w:cs="Arial"/>
                <w:b w:val="0"/>
                <w:sz w:val="24"/>
                <w:szCs w:val="28"/>
              </w:rPr>
              <w:t>360</w:t>
            </w:r>
          </w:p>
        </w:tc>
        <w:tc>
          <w:tcPr>
            <w:tcW w:w="1459" w:type="dxa"/>
          </w:tcPr>
          <w:p w:rsidR="00D868FB" w:rsidRDefault="004B3927" w:rsidP="002821CD">
            <w:pPr>
              <w:pStyle w:val="Textoindependiente22"/>
              <w:spacing w:line="276" w:lineRule="auto"/>
              <w:rPr>
                <w:rFonts w:cs="Arial"/>
                <w:b w:val="0"/>
                <w:sz w:val="24"/>
                <w:szCs w:val="28"/>
              </w:rPr>
            </w:pPr>
            <w:r>
              <w:rPr>
                <w:rFonts w:cs="Arial"/>
                <w:b w:val="0"/>
                <w:sz w:val="24"/>
                <w:szCs w:val="28"/>
              </w:rPr>
              <w:t>$424.894</w:t>
            </w:r>
          </w:p>
        </w:tc>
      </w:tr>
      <w:tr w:rsidR="00D868FB" w:rsidTr="00D868FB">
        <w:tc>
          <w:tcPr>
            <w:tcW w:w="1958" w:type="dxa"/>
          </w:tcPr>
          <w:p w:rsidR="00D868FB" w:rsidRDefault="00AF4FD9" w:rsidP="002821CD">
            <w:pPr>
              <w:pStyle w:val="Textoindependiente22"/>
              <w:spacing w:line="276" w:lineRule="auto"/>
              <w:rPr>
                <w:rFonts w:cs="Arial"/>
                <w:b w:val="0"/>
                <w:sz w:val="24"/>
                <w:szCs w:val="28"/>
              </w:rPr>
            </w:pPr>
            <w:r>
              <w:rPr>
                <w:rFonts w:cs="Arial"/>
                <w:b w:val="0"/>
                <w:sz w:val="24"/>
                <w:szCs w:val="28"/>
              </w:rPr>
              <w:t>Dos (2)</w:t>
            </w:r>
          </w:p>
        </w:tc>
        <w:tc>
          <w:tcPr>
            <w:tcW w:w="1789" w:type="dxa"/>
          </w:tcPr>
          <w:p w:rsidR="00D868FB" w:rsidRDefault="00AF4FD9" w:rsidP="002821CD">
            <w:pPr>
              <w:pStyle w:val="Textoindependiente22"/>
              <w:spacing w:line="276" w:lineRule="auto"/>
              <w:rPr>
                <w:rFonts w:cs="Arial"/>
                <w:b w:val="0"/>
                <w:sz w:val="24"/>
                <w:szCs w:val="28"/>
              </w:rPr>
            </w:pPr>
            <w:r>
              <w:rPr>
                <w:rFonts w:cs="Arial"/>
                <w:b w:val="0"/>
                <w:sz w:val="24"/>
                <w:szCs w:val="28"/>
              </w:rPr>
              <w:t>01/07/11 al 31/10/11</w:t>
            </w:r>
          </w:p>
        </w:tc>
        <w:tc>
          <w:tcPr>
            <w:tcW w:w="1812" w:type="dxa"/>
          </w:tcPr>
          <w:p w:rsidR="00D868FB" w:rsidRDefault="00AF4FD9" w:rsidP="002821CD">
            <w:pPr>
              <w:pStyle w:val="Textoindependiente22"/>
              <w:spacing w:line="276" w:lineRule="auto"/>
              <w:rPr>
                <w:rFonts w:cs="Arial"/>
                <w:b w:val="0"/>
                <w:sz w:val="24"/>
                <w:szCs w:val="28"/>
              </w:rPr>
            </w:pPr>
            <w:r>
              <w:rPr>
                <w:rFonts w:cs="Arial"/>
                <w:b w:val="0"/>
                <w:sz w:val="24"/>
                <w:szCs w:val="28"/>
              </w:rPr>
              <w:t>$849.787</w:t>
            </w:r>
          </w:p>
        </w:tc>
        <w:tc>
          <w:tcPr>
            <w:tcW w:w="1812" w:type="dxa"/>
          </w:tcPr>
          <w:p w:rsidR="00D868FB" w:rsidRDefault="00AF4FD9" w:rsidP="002821CD">
            <w:pPr>
              <w:pStyle w:val="Textoindependiente22"/>
              <w:spacing w:line="276" w:lineRule="auto"/>
              <w:rPr>
                <w:rFonts w:cs="Arial"/>
                <w:b w:val="0"/>
                <w:sz w:val="24"/>
                <w:szCs w:val="28"/>
              </w:rPr>
            </w:pPr>
            <w:r>
              <w:rPr>
                <w:rFonts w:cs="Arial"/>
                <w:b w:val="0"/>
                <w:sz w:val="24"/>
                <w:szCs w:val="28"/>
              </w:rPr>
              <w:t>120</w:t>
            </w:r>
          </w:p>
        </w:tc>
        <w:tc>
          <w:tcPr>
            <w:tcW w:w="1459" w:type="dxa"/>
          </w:tcPr>
          <w:p w:rsidR="00D868FB" w:rsidRDefault="00AF4FD9" w:rsidP="002821CD">
            <w:pPr>
              <w:pStyle w:val="Textoindependiente22"/>
              <w:spacing w:line="276" w:lineRule="auto"/>
              <w:rPr>
                <w:rFonts w:cs="Arial"/>
                <w:b w:val="0"/>
                <w:sz w:val="24"/>
                <w:szCs w:val="28"/>
              </w:rPr>
            </w:pPr>
            <w:r>
              <w:rPr>
                <w:rFonts w:cs="Arial"/>
                <w:b w:val="0"/>
                <w:sz w:val="24"/>
                <w:szCs w:val="28"/>
              </w:rPr>
              <w:t>$141.631</w:t>
            </w:r>
          </w:p>
        </w:tc>
      </w:tr>
      <w:tr w:rsidR="00D868FB" w:rsidTr="00D868FB">
        <w:tc>
          <w:tcPr>
            <w:tcW w:w="1958" w:type="dxa"/>
          </w:tcPr>
          <w:p w:rsidR="00D868FB" w:rsidRDefault="00D868FB" w:rsidP="002821CD">
            <w:pPr>
              <w:pStyle w:val="Textoindependiente22"/>
              <w:spacing w:line="276" w:lineRule="auto"/>
              <w:rPr>
                <w:rFonts w:cs="Arial"/>
                <w:b w:val="0"/>
                <w:sz w:val="24"/>
                <w:szCs w:val="28"/>
              </w:rPr>
            </w:pPr>
          </w:p>
        </w:tc>
        <w:tc>
          <w:tcPr>
            <w:tcW w:w="1789" w:type="dxa"/>
          </w:tcPr>
          <w:p w:rsidR="00D868FB" w:rsidRDefault="00D868FB" w:rsidP="002821CD">
            <w:pPr>
              <w:pStyle w:val="Textoindependiente22"/>
              <w:spacing w:line="276" w:lineRule="auto"/>
              <w:rPr>
                <w:rFonts w:cs="Arial"/>
                <w:b w:val="0"/>
                <w:sz w:val="24"/>
                <w:szCs w:val="28"/>
              </w:rPr>
            </w:pPr>
          </w:p>
        </w:tc>
        <w:tc>
          <w:tcPr>
            <w:tcW w:w="1812" w:type="dxa"/>
          </w:tcPr>
          <w:p w:rsidR="00D868FB" w:rsidRDefault="00D868FB" w:rsidP="002821CD">
            <w:pPr>
              <w:pStyle w:val="Textoindependiente22"/>
              <w:spacing w:line="276" w:lineRule="auto"/>
              <w:rPr>
                <w:rFonts w:cs="Arial"/>
                <w:b w:val="0"/>
                <w:sz w:val="24"/>
                <w:szCs w:val="28"/>
              </w:rPr>
            </w:pPr>
          </w:p>
        </w:tc>
        <w:tc>
          <w:tcPr>
            <w:tcW w:w="1812" w:type="dxa"/>
          </w:tcPr>
          <w:p w:rsidR="00D868FB" w:rsidRDefault="00AF4FD9" w:rsidP="002821CD">
            <w:pPr>
              <w:pStyle w:val="Textoindependiente22"/>
              <w:spacing w:line="276" w:lineRule="auto"/>
              <w:rPr>
                <w:rFonts w:cs="Arial"/>
                <w:b w:val="0"/>
                <w:sz w:val="24"/>
                <w:szCs w:val="28"/>
              </w:rPr>
            </w:pPr>
            <w:r>
              <w:rPr>
                <w:rFonts w:cs="Arial"/>
                <w:b w:val="0"/>
                <w:sz w:val="24"/>
                <w:szCs w:val="28"/>
              </w:rPr>
              <w:t xml:space="preserve">Gran Total </w:t>
            </w:r>
          </w:p>
        </w:tc>
        <w:tc>
          <w:tcPr>
            <w:tcW w:w="1459" w:type="dxa"/>
          </w:tcPr>
          <w:p w:rsidR="00D868FB" w:rsidRDefault="004B3927" w:rsidP="002821CD">
            <w:pPr>
              <w:pStyle w:val="Textoindependiente22"/>
              <w:spacing w:line="276" w:lineRule="auto"/>
              <w:rPr>
                <w:rFonts w:cs="Arial"/>
                <w:b w:val="0"/>
                <w:sz w:val="24"/>
                <w:szCs w:val="28"/>
              </w:rPr>
            </w:pPr>
            <w:r>
              <w:rPr>
                <w:rFonts w:cs="Arial"/>
                <w:b w:val="0"/>
                <w:sz w:val="24"/>
                <w:szCs w:val="28"/>
              </w:rPr>
              <w:t>$835.700</w:t>
            </w:r>
          </w:p>
        </w:tc>
      </w:tr>
    </w:tbl>
    <w:p w:rsidR="00D868FB" w:rsidRDefault="00E347CD" w:rsidP="002821CD">
      <w:pPr>
        <w:pStyle w:val="Textoindependiente22"/>
        <w:spacing w:line="276" w:lineRule="auto"/>
        <w:rPr>
          <w:rFonts w:cs="Arial"/>
          <w:b w:val="0"/>
          <w:sz w:val="24"/>
          <w:szCs w:val="28"/>
        </w:rPr>
      </w:pPr>
      <w:r>
        <w:rPr>
          <w:rFonts w:cs="Arial"/>
          <w:b w:val="0"/>
          <w:sz w:val="24"/>
          <w:szCs w:val="28"/>
        </w:rPr>
        <w:t xml:space="preserve"> </w:t>
      </w:r>
    </w:p>
    <w:p w:rsidR="002B27B7" w:rsidRPr="006E35EA" w:rsidRDefault="0006646F" w:rsidP="0022437A">
      <w:pPr>
        <w:pStyle w:val="Textoindependiente22"/>
        <w:spacing w:line="276" w:lineRule="auto"/>
        <w:rPr>
          <w:rFonts w:cs="Arial"/>
          <w:b w:val="0"/>
          <w:sz w:val="24"/>
          <w:szCs w:val="24"/>
        </w:rPr>
      </w:pPr>
      <w:r>
        <w:rPr>
          <w:rFonts w:cs="Arial"/>
          <w:b w:val="0"/>
          <w:sz w:val="24"/>
          <w:szCs w:val="28"/>
        </w:rPr>
        <w:t>Ma</w:t>
      </w:r>
      <w:r w:rsidR="0071624B">
        <w:rPr>
          <w:rFonts w:cs="Arial"/>
          <w:b w:val="0"/>
          <w:sz w:val="24"/>
          <w:szCs w:val="28"/>
        </w:rPr>
        <w:t>yor valor al fijado por la</w:t>
      </w:r>
      <w:r>
        <w:rPr>
          <w:rFonts w:cs="Arial"/>
          <w:b w:val="0"/>
          <w:sz w:val="24"/>
          <w:szCs w:val="28"/>
        </w:rPr>
        <w:t xml:space="preserve"> a-quo, dado que</w:t>
      </w:r>
      <w:r w:rsidR="00746803">
        <w:rPr>
          <w:rFonts w:cs="Arial"/>
          <w:b w:val="0"/>
          <w:sz w:val="24"/>
          <w:szCs w:val="28"/>
        </w:rPr>
        <w:t xml:space="preserve"> esta</w:t>
      </w:r>
      <w:r>
        <w:rPr>
          <w:rFonts w:cs="Arial"/>
          <w:b w:val="0"/>
          <w:sz w:val="24"/>
          <w:szCs w:val="28"/>
        </w:rPr>
        <w:t xml:space="preserve"> al liquidar las vacaciones, causadas </w:t>
      </w:r>
      <w:r w:rsidR="00746803">
        <w:rPr>
          <w:rFonts w:cs="Arial"/>
          <w:b w:val="0"/>
          <w:sz w:val="24"/>
          <w:szCs w:val="28"/>
        </w:rPr>
        <w:t xml:space="preserve">entre </w:t>
      </w:r>
      <w:r w:rsidR="00AF4FD9">
        <w:rPr>
          <w:rFonts w:cs="Arial"/>
          <w:b w:val="0"/>
          <w:sz w:val="24"/>
          <w:szCs w:val="28"/>
        </w:rPr>
        <w:t xml:space="preserve">01/07/10 al 30/06/11 </w:t>
      </w:r>
      <w:r w:rsidR="00D232B1">
        <w:rPr>
          <w:rFonts w:cs="Arial"/>
          <w:b w:val="0"/>
          <w:sz w:val="24"/>
          <w:szCs w:val="28"/>
        </w:rPr>
        <w:t>tomó</w:t>
      </w:r>
      <w:r w:rsidR="00746803">
        <w:rPr>
          <w:rFonts w:cs="Arial"/>
          <w:b w:val="0"/>
          <w:sz w:val="24"/>
          <w:szCs w:val="28"/>
        </w:rPr>
        <w:t xml:space="preserve"> como</w:t>
      </w:r>
      <w:r w:rsidR="00AF4FD9">
        <w:rPr>
          <w:rFonts w:cs="Arial"/>
          <w:b w:val="0"/>
          <w:sz w:val="24"/>
          <w:szCs w:val="28"/>
        </w:rPr>
        <w:t xml:space="preserve"> ba</w:t>
      </w:r>
      <w:r w:rsidR="00746803">
        <w:rPr>
          <w:rFonts w:cs="Arial"/>
          <w:b w:val="0"/>
          <w:sz w:val="24"/>
          <w:szCs w:val="28"/>
        </w:rPr>
        <w:t>se salarial</w:t>
      </w:r>
      <w:r w:rsidR="0071624B">
        <w:rPr>
          <w:rFonts w:cs="Arial"/>
          <w:b w:val="0"/>
          <w:sz w:val="24"/>
          <w:szCs w:val="28"/>
        </w:rPr>
        <w:t xml:space="preserve"> </w:t>
      </w:r>
      <w:r w:rsidR="006F69D6">
        <w:rPr>
          <w:rFonts w:cs="Arial"/>
          <w:b w:val="0"/>
          <w:sz w:val="24"/>
          <w:szCs w:val="28"/>
        </w:rPr>
        <w:t>$</w:t>
      </w:r>
      <w:r w:rsidR="00AF4FD9">
        <w:rPr>
          <w:rFonts w:cs="Arial"/>
          <w:b w:val="0"/>
          <w:sz w:val="24"/>
          <w:szCs w:val="28"/>
        </w:rPr>
        <w:t>823.676</w:t>
      </w:r>
      <w:r w:rsidR="0022437A">
        <w:rPr>
          <w:rFonts w:cs="Arial"/>
          <w:b w:val="0"/>
          <w:sz w:val="24"/>
          <w:szCs w:val="24"/>
        </w:rPr>
        <w:t>,</w:t>
      </w:r>
      <w:r>
        <w:rPr>
          <w:rFonts w:cs="Arial"/>
          <w:b w:val="0"/>
          <w:sz w:val="24"/>
          <w:szCs w:val="24"/>
        </w:rPr>
        <w:t xml:space="preserve"> cuando debió ser</w:t>
      </w:r>
      <w:r w:rsidR="006E35EA">
        <w:rPr>
          <w:rFonts w:cs="Arial"/>
          <w:b w:val="0"/>
          <w:sz w:val="24"/>
          <w:szCs w:val="24"/>
        </w:rPr>
        <w:t xml:space="preserve"> $849.787 </w:t>
      </w:r>
      <w:r w:rsidR="00746803">
        <w:rPr>
          <w:rFonts w:cs="Arial"/>
          <w:b w:val="0"/>
          <w:sz w:val="24"/>
          <w:szCs w:val="24"/>
        </w:rPr>
        <w:t xml:space="preserve">que era el vigente </w:t>
      </w:r>
      <w:r w:rsidR="0071624B">
        <w:rPr>
          <w:rFonts w:cs="Arial"/>
          <w:b w:val="0"/>
          <w:sz w:val="24"/>
          <w:szCs w:val="24"/>
        </w:rPr>
        <w:t>para el año 2011</w:t>
      </w:r>
      <w:r w:rsidR="00153DA3">
        <w:rPr>
          <w:rFonts w:cs="Arial"/>
          <w:b w:val="0"/>
          <w:sz w:val="24"/>
          <w:szCs w:val="24"/>
        </w:rPr>
        <w:t>, por lo que prospera la apelación</w:t>
      </w:r>
      <w:r w:rsidR="0071624B">
        <w:rPr>
          <w:rFonts w:cs="Arial"/>
          <w:b w:val="0"/>
          <w:sz w:val="24"/>
          <w:szCs w:val="24"/>
        </w:rPr>
        <w:t>. P</w:t>
      </w:r>
      <w:r w:rsidR="00746803">
        <w:rPr>
          <w:rFonts w:cs="Arial"/>
          <w:b w:val="0"/>
          <w:sz w:val="24"/>
          <w:szCs w:val="24"/>
        </w:rPr>
        <w:t>ero, como este valor es superior</w:t>
      </w:r>
      <w:r w:rsidR="00153DA3">
        <w:rPr>
          <w:rFonts w:cs="Arial"/>
          <w:b w:val="0"/>
          <w:sz w:val="24"/>
          <w:szCs w:val="24"/>
        </w:rPr>
        <w:t xml:space="preserve"> al solicitado en la demanda por la parte actora de </w:t>
      </w:r>
      <w:r w:rsidR="00153DA3">
        <w:rPr>
          <w:rFonts w:cs="Arial"/>
          <w:b w:val="0"/>
          <w:sz w:val="24"/>
          <w:szCs w:val="24"/>
        </w:rPr>
        <w:lastRenderedPageBreak/>
        <w:t xml:space="preserve">$831.862, se tendrá como </w:t>
      </w:r>
      <w:r w:rsidR="0071624B">
        <w:rPr>
          <w:rFonts w:cs="Arial"/>
          <w:b w:val="0"/>
          <w:sz w:val="24"/>
          <w:szCs w:val="24"/>
        </w:rPr>
        <w:t>tal este</w:t>
      </w:r>
      <w:r w:rsidR="00153DA3">
        <w:rPr>
          <w:rFonts w:cs="Arial"/>
          <w:b w:val="0"/>
          <w:sz w:val="24"/>
          <w:szCs w:val="24"/>
        </w:rPr>
        <w:t xml:space="preserve">, al no tener facultades ultra </w:t>
      </w:r>
      <w:proofErr w:type="spellStart"/>
      <w:r w:rsidR="00153DA3">
        <w:rPr>
          <w:rFonts w:cs="Arial"/>
          <w:b w:val="0"/>
          <w:sz w:val="24"/>
          <w:szCs w:val="24"/>
        </w:rPr>
        <w:t>petita</w:t>
      </w:r>
      <w:proofErr w:type="spellEnd"/>
      <w:r w:rsidR="00153DA3">
        <w:rPr>
          <w:rFonts w:cs="Arial"/>
          <w:b w:val="0"/>
          <w:sz w:val="24"/>
          <w:szCs w:val="24"/>
        </w:rPr>
        <w:t xml:space="preserve"> esta </w:t>
      </w:r>
      <w:r w:rsidR="0071624B">
        <w:rPr>
          <w:rFonts w:cs="Arial"/>
          <w:b w:val="0"/>
          <w:sz w:val="24"/>
          <w:szCs w:val="24"/>
        </w:rPr>
        <w:t xml:space="preserve">segunda </w:t>
      </w:r>
      <w:r w:rsidR="00153DA3">
        <w:rPr>
          <w:rFonts w:cs="Arial"/>
          <w:b w:val="0"/>
          <w:sz w:val="24"/>
          <w:szCs w:val="24"/>
        </w:rPr>
        <w:t xml:space="preserve">instancia. </w:t>
      </w:r>
    </w:p>
    <w:p w:rsidR="002B27B7" w:rsidRPr="002B27B7" w:rsidRDefault="002B27B7" w:rsidP="004D1594">
      <w:pPr>
        <w:tabs>
          <w:tab w:val="left" w:pos="8647"/>
          <w:tab w:val="left" w:pos="9356"/>
        </w:tabs>
        <w:jc w:val="both"/>
        <w:rPr>
          <w:rFonts w:ascii="Arial" w:hAnsi="Arial" w:cs="Arial"/>
          <w:b/>
          <w:iCs/>
          <w:szCs w:val="24"/>
        </w:rPr>
      </w:pPr>
    </w:p>
    <w:p w:rsidR="00DD6178" w:rsidRDefault="00746803" w:rsidP="00144124">
      <w:pPr>
        <w:jc w:val="both"/>
        <w:rPr>
          <w:rFonts w:ascii="Arial" w:hAnsi="Arial" w:cs="Arial"/>
          <w:b/>
          <w:color w:val="000000"/>
          <w:szCs w:val="24"/>
          <w:lang w:eastAsia="es-CO"/>
        </w:rPr>
      </w:pPr>
      <w:r>
        <w:rPr>
          <w:rFonts w:ascii="Arial" w:hAnsi="Arial" w:cs="Arial"/>
          <w:b/>
          <w:color w:val="000000"/>
          <w:szCs w:val="24"/>
          <w:lang w:eastAsia="es-CO"/>
        </w:rPr>
        <w:t>2.2</w:t>
      </w:r>
      <w:r w:rsidR="00042ADA">
        <w:rPr>
          <w:rFonts w:ascii="Arial" w:hAnsi="Arial" w:cs="Arial"/>
          <w:b/>
          <w:color w:val="000000"/>
          <w:szCs w:val="24"/>
          <w:lang w:eastAsia="es-CO"/>
        </w:rPr>
        <w:t>.2</w:t>
      </w:r>
      <w:r w:rsidR="00DD6178" w:rsidRPr="00DD6178">
        <w:rPr>
          <w:rFonts w:ascii="Arial" w:hAnsi="Arial" w:cs="Arial"/>
          <w:b/>
          <w:color w:val="000000"/>
          <w:szCs w:val="24"/>
          <w:lang w:eastAsia="es-CO"/>
        </w:rPr>
        <w:t xml:space="preserve"> R</w:t>
      </w:r>
      <w:r w:rsidR="00144124" w:rsidRPr="00DD6178">
        <w:rPr>
          <w:rFonts w:ascii="Arial" w:hAnsi="Arial" w:cs="Arial"/>
          <w:b/>
          <w:color w:val="000000"/>
          <w:szCs w:val="24"/>
          <w:lang w:eastAsia="es-CO"/>
        </w:rPr>
        <w:t>eintegro de los aportes a la seguridad social</w:t>
      </w:r>
    </w:p>
    <w:p w:rsidR="002D73AC" w:rsidRPr="00DD6178" w:rsidRDefault="002D73AC" w:rsidP="004D1594">
      <w:pPr>
        <w:jc w:val="both"/>
        <w:rPr>
          <w:rFonts w:ascii="Arial" w:hAnsi="Arial" w:cs="Arial"/>
          <w:b/>
          <w:color w:val="000000"/>
          <w:szCs w:val="24"/>
          <w:lang w:eastAsia="es-CO"/>
        </w:rPr>
      </w:pPr>
    </w:p>
    <w:p w:rsidR="004D1594" w:rsidRDefault="004D1594" w:rsidP="004D1594">
      <w:pPr>
        <w:spacing w:line="276" w:lineRule="auto"/>
        <w:jc w:val="both"/>
        <w:rPr>
          <w:rFonts w:ascii="Arial" w:hAnsi="Arial" w:cs="Arial"/>
          <w:szCs w:val="24"/>
        </w:rPr>
      </w:pPr>
      <w:r>
        <w:rPr>
          <w:rFonts w:ascii="Arial" w:hAnsi="Arial" w:cs="Arial"/>
          <w:color w:val="000000"/>
          <w:szCs w:val="24"/>
          <w:lang w:eastAsia="es-CO"/>
        </w:rPr>
        <w:t xml:space="preserve">A folios 31 a 35 se evidencia que el señor Gómez Dávila, realizó los aportes al sistema de seguridad social mediante las planillas asistidas, razón por la cual tiene derecho a que se le reintegre el porcentaje correspondiente al 12% en pensión y el </w:t>
      </w:r>
      <w:r>
        <w:rPr>
          <w:rFonts w:ascii="Arial" w:hAnsi="Arial" w:cs="Arial"/>
          <w:szCs w:val="24"/>
        </w:rPr>
        <w:t>8.5% en salud que hubiera efectuado y el cual no era de su carga</w:t>
      </w:r>
      <w:r>
        <w:rPr>
          <w:rFonts w:ascii="Arial" w:hAnsi="Arial" w:cs="Arial"/>
          <w:color w:val="000000"/>
          <w:szCs w:val="24"/>
          <w:lang w:eastAsia="es-CO"/>
        </w:rPr>
        <w:t>, teniendo en cuenta que el trabajador solo le compete asumir el 4% en cada caso</w:t>
      </w:r>
      <w:r>
        <w:rPr>
          <w:rFonts w:ascii="Arial" w:hAnsi="Arial" w:cs="Arial"/>
          <w:szCs w:val="24"/>
        </w:rPr>
        <w:t xml:space="preserve">, por lo que acierta la Jueza de instancia en hacer la devolución de los porcentajes asumidos por el actor, estando inconforme el demandante con el valor reconocido, que debe ser superior, en lo que acierta el recurrente, por lo que se modificará el numeral 3º, dado que aplicado los porcentajes de Ley, da como sigue:  </w:t>
      </w:r>
    </w:p>
    <w:p w:rsidR="00284B78" w:rsidRDefault="00284B78" w:rsidP="00144124">
      <w:pPr>
        <w:spacing w:line="276" w:lineRule="auto"/>
        <w:jc w:val="both"/>
        <w:rPr>
          <w:rFonts w:ascii="Arial" w:hAnsi="Arial" w:cs="Arial"/>
          <w:b/>
          <w:color w:val="000000"/>
          <w:szCs w:val="24"/>
          <w:lang w:eastAsia="es-CO"/>
        </w:rPr>
      </w:pPr>
    </w:p>
    <w:tbl>
      <w:tblPr>
        <w:tblStyle w:val="Tablaconcuadrcula"/>
        <w:tblW w:w="0" w:type="auto"/>
        <w:tblLook w:val="04A0" w:firstRow="1" w:lastRow="0" w:firstColumn="1" w:lastColumn="0" w:noHBand="0" w:noVBand="1"/>
      </w:tblPr>
      <w:tblGrid>
        <w:gridCol w:w="750"/>
        <w:gridCol w:w="1084"/>
        <w:gridCol w:w="1390"/>
        <w:gridCol w:w="1150"/>
        <w:gridCol w:w="923"/>
        <w:gridCol w:w="1418"/>
        <w:gridCol w:w="1710"/>
      </w:tblGrid>
      <w:tr w:rsidR="009F7DB1" w:rsidTr="009F7DB1">
        <w:tc>
          <w:tcPr>
            <w:tcW w:w="739"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Año </w:t>
            </w:r>
          </w:p>
        </w:tc>
        <w:tc>
          <w:tcPr>
            <w:tcW w:w="1065"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Salario Base de Pago </w:t>
            </w:r>
          </w:p>
        </w:tc>
        <w:tc>
          <w:tcPr>
            <w:tcW w:w="1065"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Salud 12,5%</w:t>
            </w:r>
          </w:p>
        </w:tc>
        <w:tc>
          <w:tcPr>
            <w:tcW w:w="1130"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Pensión</w:t>
            </w:r>
          </w:p>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16%</w:t>
            </w:r>
          </w:p>
        </w:tc>
        <w:tc>
          <w:tcPr>
            <w:tcW w:w="908"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Nº pagos </w:t>
            </w:r>
          </w:p>
        </w:tc>
        <w:tc>
          <w:tcPr>
            <w:tcW w:w="1325"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Valor adeudado</w:t>
            </w:r>
          </w:p>
        </w:tc>
        <w:tc>
          <w:tcPr>
            <w:tcW w:w="1677"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Corresponde al empleador </w:t>
            </w:r>
          </w:p>
        </w:tc>
      </w:tr>
      <w:tr w:rsidR="009F7DB1" w:rsidTr="009F7DB1">
        <w:tc>
          <w:tcPr>
            <w:tcW w:w="739"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2010</w:t>
            </w:r>
          </w:p>
        </w:tc>
        <w:tc>
          <w:tcPr>
            <w:tcW w:w="1065"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515.000</w:t>
            </w:r>
          </w:p>
        </w:tc>
        <w:tc>
          <w:tcPr>
            <w:tcW w:w="1065"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$64.375</w:t>
            </w:r>
          </w:p>
        </w:tc>
        <w:tc>
          <w:tcPr>
            <w:tcW w:w="1130"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$82.400</w:t>
            </w:r>
          </w:p>
        </w:tc>
        <w:tc>
          <w:tcPr>
            <w:tcW w:w="908" w:type="dxa"/>
          </w:tcPr>
          <w:p w:rsidR="009F7DB1" w:rsidRDefault="009F7DB1" w:rsidP="009F7DB1">
            <w:pPr>
              <w:spacing w:line="276" w:lineRule="auto"/>
              <w:jc w:val="center"/>
              <w:rPr>
                <w:rFonts w:ascii="Arial" w:hAnsi="Arial" w:cs="Arial"/>
                <w:b/>
                <w:color w:val="000000"/>
                <w:szCs w:val="24"/>
                <w:lang w:eastAsia="es-CO"/>
              </w:rPr>
            </w:pPr>
            <w:r>
              <w:rPr>
                <w:rFonts w:ascii="Arial" w:hAnsi="Arial" w:cs="Arial"/>
                <w:b/>
                <w:color w:val="000000"/>
                <w:szCs w:val="24"/>
                <w:lang w:eastAsia="es-CO"/>
              </w:rPr>
              <w:t>2</w:t>
            </w:r>
          </w:p>
        </w:tc>
        <w:tc>
          <w:tcPr>
            <w:tcW w:w="1325"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$293.550</w:t>
            </w:r>
          </w:p>
        </w:tc>
        <w:tc>
          <w:tcPr>
            <w:tcW w:w="1677"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$211.150</w:t>
            </w:r>
          </w:p>
        </w:tc>
      </w:tr>
      <w:tr w:rsidR="009F7DB1" w:rsidTr="00D502E6">
        <w:tc>
          <w:tcPr>
            <w:tcW w:w="739"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2011</w:t>
            </w:r>
          </w:p>
        </w:tc>
        <w:tc>
          <w:tcPr>
            <w:tcW w:w="1065"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535.600</w:t>
            </w:r>
          </w:p>
        </w:tc>
        <w:tc>
          <w:tcPr>
            <w:tcW w:w="1065" w:type="dxa"/>
            <w:tcBorders>
              <w:bottom w:val="single" w:sz="4" w:space="0" w:color="auto"/>
            </w:tcBorders>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$66.950</w:t>
            </w:r>
          </w:p>
        </w:tc>
        <w:tc>
          <w:tcPr>
            <w:tcW w:w="1130" w:type="dxa"/>
            <w:tcBorders>
              <w:bottom w:val="single" w:sz="4" w:space="0" w:color="auto"/>
            </w:tcBorders>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$85.696</w:t>
            </w:r>
          </w:p>
        </w:tc>
        <w:tc>
          <w:tcPr>
            <w:tcW w:w="908" w:type="dxa"/>
            <w:tcBorders>
              <w:bottom w:val="single" w:sz="4" w:space="0" w:color="auto"/>
            </w:tcBorders>
          </w:tcPr>
          <w:p w:rsidR="009F7DB1" w:rsidRDefault="009F7DB1" w:rsidP="009F7DB1">
            <w:pPr>
              <w:spacing w:line="276" w:lineRule="auto"/>
              <w:jc w:val="center"/>
              <w:rPr>
                <w:rFonts w:ascii="Arial" w:hAnsi="Arial" w:cs="Arial"/>
                <w:b/>
                <w:color w:val="000000"/>
                <w:szCs w:val="24"/>
                <w:lang w:eastAsia="es-CO"/>
              </w:rPr>
            </w:pPr>
            <w:r>
              <w:rPr>
                <w:rFonts w:ascii="Arial" w:hAnsi="Arial" w:cs="Arial"/>
                <w:b/>
                <w:color w:val="000000"/>
                <w:szCs w:val="24"/>
                <w:lang w:eastAsia="es-CO"/>
              </w:rPr>
              <w:t>7</w:t>
            </w:r>
          </w:p>
        </w:tc>
        <w:tc>
          <w:tcPr>
            <w:tcW w:w="1325" w:type="dxa"/>
            <w:tcBorders>
              <w:bottom w:val="single" w:sz="4" w:space="0" w:color="auto"/>
            </w:tcBorders>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$1.068.522</w:t>
            </w:r>
          </w:p>
        </w:tc>
        <w:tc>
          <w:tcPr>
            <w:tcW w:w="1677" w:type="dxa"/>
          </w:tcPr>
          <w:p w:rsidR="009F7DB1" w:rsidRDefault="009F7DB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$765.586</w:t>
            </w:r>
          </w:p>
        </w:tc>
      </w:tr>
      <w:tr w:rsidR="009F7DB1" w:rsidTr="00D502E6">
        <w:tc>
          <w:tcPr>
            <w:tcW w:w="739" w:type="dxa"/>
          </w:tcPr>
          <w:p w:rsidR="009F7DB1" w:rsidRDefault="009F7DB1" w:rsidP="00144124">
            <w:pPr>
              <w:spacing w:line="276" w:lineRule="auto"/>
              <w:jc w:val="both"/>
              <w:rPr>
                <w:rFonts w:ascii="Arial" w:hAnsi="Arial" w:cs="Arial"/>
                <w:b/>
                <w:color w:val="000000"/>
                <w:szCs w:val="24"/>
                <w:lang w:eastAsia="es-CO"/>
              </w:rPr>
            </w:pPr>
          </w:p>
        </w:tc>
        <w:tc>
          <w:tcPr>
            <w:tcW w:w="1065" w:type="dxa"/>
            <w:tcBorders>
              <w:right w:val="nil"/>
            </w:tcBorders>
          </w:tcPr>
          <w:p w:rsidR="009F7DB1" w:rsidRDefault="00D502E6"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Valor </w:t>
            </w:r>
          </w:p>
        </w:tc>
        <w:tc>
          <w:tcPr>
            <w:tcW w:w="1065" w:type="dxa"/>
            <w:tcBorders>
              <w:left w:val="nil"/>
              <w:right w:val="nil"/>
            </w:tcBorders>
          </w:tcPr>
          <w:p w:rsidR="009F7DB1" w:rsidRDefault="00D502E6"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Seguridad </w:t>
            </w:r>
          </w:p>
        </w:tc>
        <w:tc>
          <w:tcPr>
            <w:tcW w:w="1130" w:type="dxa"/>
            <w:tcBorders>
              <w:left w:val="nil"/>
              <w:right w:val="nil"/>
            </w:tcBorders>
          </w:tcPr>
          <w:p w:rsidR="009F7DB1" w:rsidRDefault="00D502E6"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Social </w:t>
            </w:r>
          </w:p>
        </w:tc>
        <w:tc>
          <w:tcPr>
            <w:tcW w:w="908" w:type="dxa"/>
            <w:tcBorders>
              <w:left w:val="nil"/>
              <w:right w:val="single" w:sz="4" w:space="0" w:color="auto"/>
            </w:tcBorders>
          </w:tcPr>
          <w:p w:rsidR="009F7DB1" w:rsidRDefault="009F7DB1" w:rsidP="00144124">
            <w:pPr>
              <w:spacing w:line="276" w:lineRule="auto"/>
              <w:jc w:val="both"/>
              <w:rPr>
                <w:rFonts w:ascii="Arial" w:hAnsi="Arial" w:cs="Arial"/>
                <w:b/>
                <w:color w:val="000000"/>
                <w:szCs w:val="24"/>
                <w:lang w:eastAsia="es-CO"/>
              </w:rPr>
            </w:pPr>
          </w:p>
        </w:tc>
        <w:tc>
          <w:tcPr>
            <w:tcW w:w="1325" w:type="dxa"/>
            <w:tcBorders>
              <w:left w:val="single" w:sz="4" w:space="0" w:color="auto"/>
            </w:tcBorders>
          </w:tcPr>
          <w:p w:rsidR="009F7DB1" w:rsidRDefault="00D502E6"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$1.383.198</w:t>
            </w:r>
          </w:p>
        </w:tc>
        <w:tc>
          <w:tcPr>
            <w:tcW w:w="1677" w:type="dxa"/>
          </w:tcPr>
          <w:p w:rsidR="009F7DB1" w:rsidRDefault="00D502E6"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$979.736</w:t>
            </w:r>
          </w:p>
        </w:tc>
      </w:tr>
    </w:tbl>
    <w:p w:rsidR="002D5C87" w:rsidRDefault="002D5C87" w:rsidP="004D1594">
      <w:pPr>
        <w:jc w:val="both"/>
        <w:rPr>
          <w:rFonts w:ascii="Arial" w:hAnsi="Arial" w:cs="Arial"/>
          <w:b/>
          <w:color w:val="000000"/>
          <w:szCs w:val="24"/>
          <w:lang w:eastAsia="es-CO"/>
        </w:rPr>
      </w:pPr>
    </w:p>
    <w:p w:rsidR="008B1C58" w:rsidRDefault="008B1C58" w:rsidP="0014412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que se logre identificar la causa de esta diferencia, al no </w:t>
      </w:r>
      <w:r w:rsidR="00184BD9">
        <w:rPr>
          <w:rFonts w:ascii="Arial" w:hAnsi="Arial" w:cs="Arial"/>
          <w:color w:val="000000"/>
          <w:szCs w:val="24"/>
          <w:lang w:eastAsia="es-CO"/>
        </w:rPr>
        <w:t>emerger de la sentencia de primera</w:t>
      </w:r>
      <w:r w:rsidR="00746803">
        <w:rPr>
          <w:rFonts w:ascii="Arial" w:hAnsi="Arial" w:cs="Arial"/>
          <w:color w:val="000000"/>
          <w:szCs w:val="24"/>
          <w:lang w:eastAsia="es-CO"/>
        </w:rPr>
        <w:t xml:space="preserve"> </w:t>
      </w:r>
      <w:r w:rsidR="00184BD9">
        <w:rPr>
          <w:rFonts w:ascii="Arial" w:hAnsi="Arial" w:cs="Arial"/>
          <w:color w:val="000000"/>
          <w:szCs w:val="24"/>
          <w:lang w:eastAsia="es-CO"/>
        </w:rPr>
        <w:t>instancia</w:t>
      </w:r>
      <w:r w:rsidR="00746803">
        <w:rPr>
          <w:rFonts w:ascii="Arial" w:hAnsi="Arial" w:cs="Arial"/>
          <w:color w:val="000000"/>
          <w:szCs w:val="24"/>
          <w:lang w:eastAsia="es-CO"/>
        </w:rPr>
        <w:t xml:space="preserve"> los</w:t>
      </w:r>
      <w:r>
        <w:rPr>
          <w:rFonts w:ascii="Arial" w:hAnsi="Arial" w:cs="Arial"/>
          <w:color w:val="000000"/>
          <w:szCs w:val="24"/>
          <w:lang w:eastAsia="es-CO"/>
        </w:rPr>
        <w:t xml:space="preserve"> datos para arribar a la condena por este concepto.  </w:t>
      </w:r>
    </w:p>
    <w:p w:rsidR="002D5C87" w:rsidRPr="008B1C58" w:rsidRDefault="002D5C87" w:rsidP="004D1594">
      <w:pPr>
        <w:jc w:val="both"/>
        <w:rPr>
          <w:rFonts w:ascii="Arial" w:hAnsi="Arial" w:cs="Arial"/>
          <w:color w:val="000000"/>
          <w:szCs w:val="24"/>
          <w:lang w:eastAsia="es-CO"/>
        </w:rPr>
      </w:pPr>
    </w:p>
    <w:p w:rsidR="00497929" w:rsidRDefault="00746803" w:rsidP="00497929">
      <w:pPr>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497929">
        <w:rPr>
          <w:rFonts w:ascii="Arial" w:hAnsi="Arial" w:cs="Arial"/>
          <w:b/>
          <w:color w:val="000000"/>
          <w:szCs w:val="24"/>
          <w:lang w:eastAsia="es-CO"/>
        </w:rPr>
        <w:t>.</w:t>
      </w:r>
      <w:r w:rsidR="00042ADA">
        <w:rPr>
          <w:rFonts w:ascii="Arial" w:hAnsi="Arial" w:cs="Arial"/>
          <w:b/>
          <w:color w:val="000000"/>
          <w:szCs w:val="24"/>
          <w:lang w:eastAsia="es-CO"/>
        </w:rPr>
        <w:t>3</w:t>
      </w:r>
      <w:r w:rsidR="00497929" w:rsidRPr="00DD6178">
        <w:rPr>
          <w:rFonts w:ascii="Arial" w:hAnsi="Arial" w:cs="Arial"/>
          <w:b/>
          <w:color w:val="000000"/>
          <w:szCs w:val="24"/>
          <w:lang w:eastAsia="es-CO"/>
        </w:rPr>
        <w:t xml:space="preserve"> Indemnización por no consignar las cesantías y pago de esos intereses </w:t>
      </w:r>
    </w:p>
    <w:p w:rsidR="00497929" w:rsidRDefault="00497929" w:rsidP="004D1594">
      <w:pPr>
        <w:pStyle w:val="Textoindependiente22"/>
        <w:spacing w:line="240" w:lineRule="auto"/>
        <w:rPr>
          <w:rFonts w:cs="Arial"/>
          <w:b w:val="0"/>
          <w:sz w:val="24"/>
          <w:szCs w:val="24"/>
        </w:rPr>
      </w:pPr>
    </w:p>
    <w:p w:rsidR="00514C57" w:rsidRDefault="008A5B29" w:rsidP="00FB0C14">
      <w:pPr>
        <w:pStyle w:val="Textoindependiente22"/>
        <w:spacing w:line="276" w:lineRule="auto"/>
        <w:rPr>
          <w:rFonts w:cs="Arial"/>
          <w:b w:val="0"/>
          <w:sz w:val="24"/>
          <w:szCs w:val="24"/>
        </w:rPr>
      </w:pPr>
      <w:r w:rsidRPr="00FB0C14">
        <w:rPr>
          <w:rFonts w:cs="Arial"/>
          <w:b w:val="0"/>
          <w:sz w:val="24"/>
          <w:szCs w:val="24"/>
        </w:rPr>
        <w:t xml:space="preserve">Sea necesario advertir que </w:t>
      </w:r>
      <w:r w:rsidR="00FB0C14" w:rsidRPr="00FB0C14">
        <w:rPr>
          <w:rFonts w:cs="Arial"/>
          <w:b w:val="0"/>
          <w:sz w:val="24"/>
          <w:szCs w:val="24"/>
        </w:rPr>
        <w:t>el artículo 13 de la Ley 344 de 1996 estableció el régimen de cesantías para trabajadores oficiales y en ella no se contempló ninguna sanción, tampoco</w:t>
      </w:r>
      <w:r w:rsidR="00E02EF0">
        <w:rPr>
          <w:rFonts w:cs="Arial"/>
          <w:b w:val="0"/>
          <w:sz w:val="24"/>
          <w:szCs w:val="24"/>
        </w:rPr>
        <w:t xml:space="preserve"> se fijó en el Decreto 158</w:t>
      </w:r>
      <w:r w:rsidR="00FB0C14">
        <w:rPr>
          <w:rFonts w:cs="Arial"/>
          <w:b w:val="0"/>
          <w:sz w:val="24"/>
          <w:szCs w:val="24"/>
        </w:rPr>
        <w:t>2 de 1998</w:t>
      </w:r>
      <w:r w:rsidR="00E02EF0">
        <w:rPr>
          <w:rFonts w:cs="Arial"/>
          <w:b w:val="0"/>
          <w:sz w:val="24"/>
          <w:szCs w:val="24"/>
        </w:rPr>
        <w:t xml:space="preserve"> para las entidades descentralizadas por servicios del orden nacional,</w:t>
      </w:r>
      <w:r w:rsidR="00FB0C14">
        <w:rPr>
          <w:rFonts w:cs="Arial"/>
          <w:b w:val="0"/>
          <w:sz w:val="24"/>
          <w:szCs w:val="24"/>
        </w:rPr>
        <w:t xml:space="preserve"> por lo que no existe en el ordenamiento legal una sanción por la no consignación de</w:t>
      </w:r>
      <w:r w:rsidR="00E02EF0">
        <w:rPr>
          <w:rFonts w:cs="Arial"/>
          <w:b w:val="0"/>
          <w:sz w:val="24"/>
          <w:szCs w:val="24"/>
        </w:rPr>
        <w:t xml:space="preserve"> cesantías para este tipo de entidades estatales</w:t>
      </w:r>
      <w:r w:rsidR="00514C57">
        <w:rPr>
          <w:rFonts w:cs="Arial"/>
          <w:b w:val="0"/>
          <w:sz w:val="24"/>
          <w:szCs w:val="24"/>
        </w:rPr>
        <w:t>, pues la Ley 50 de 1990 que sí</w:t>
      </w:r>
      <w:r w:rsidR="00FB0C14">
        <w:rPr>
          <w:rFonts w:cs="Arial"/>
          <w:b w:val="0"/>
          <w:sz w:val="24"/>
          <w:szCs w:val="24"/>
        </w:rPr>
        <w:t xml:space="preserve"> la contempla, reglamenta el régimen para trabajadores particulares (sector privado) y debido a la naturaleza sancionatoria no es</w:t>
      </w:r>
      <w:r w:rsidR="00D44904">
        <w:rPr>
          <w:rFonts w:cs="Arial"/>
          <w:b w:val="0"/>
          <w:sz w:val="24"/>
          <w:szCs w:val="24"/>
        </w:rPr>
        <w:t xml:space="preserve"> posible aplicarla por analogía.</w:t>
      </w:r>
      <w:r w:rsidR="00FB0C14">
        <w:rPr>
          <w:rFonts w:cs="Arial"/>
          <w:b w:val="0"/>
          <w:sz w:val="24"/>
          <w:szCs w:val="24"/>
        </w:rPr>
        <w:t xml:space="preserve"> </w:t>
      </w:r>
    </w:p>
    <w:p w:rsidR="00042ADA" w:rsidRDefault="00042ADA" w:rsidP="00E02EF0">
      <w:pPr>
        <w:pStyle w:val="Textoindependiente22"/>
        <w:spacing w:line="240" w:lineRule="auto"/>
        <w:rPr>
          <w:rFonts w:cs="Arial"/>
          <w:b w:val="0"/>
          <w:sz w:val="24"/>
          <w:szCs w:val="24"/>
        </w:rPr>
      </w:pPr>
    </w:p>
    <w:p w:rsidR="00514C57" w:rsidRDefault="00514C57" w:rsidP="00FB0C14">
      <w:pPr>
        <w:pStyle w:val="Textoindependiente22"/>
        <w:spacing w:line="276" w:lineRule="auto"/>
        <w:rPr>
          <w:rFonts w:cs="Arial"/>
          <w:b w:val="0"/>
          <w:sz w:val="24"/>
          <w:szCs w:val="24"/>
        </w:rPr>
      </w:pPr>
      <w:r w:rsidRPr="00186CE0">
        <w:rPr>
          <w:rFonts w:cs="Arial"/>
          <w:b w:val="0"/>
          <w:sz w:val="24"/>
          <w:szCs w:val="24"/>
        </w:rPr>
        <w:t>Respecto a ello la Sala Laboral de la Corte Suprema de Justicia</w:t>
      </w:r>
      <w:r w:rsidR="00186CE0">
        <w:rPr>
          <w:rStyle w:val="Refdenotaalpie"/>
          <w:rFonts w:cs="Arial"/>
          <w:b w:val="0"/>
          <w:sz w:val="24"/>
          <w:szCs w:val="24"/>
        </w:rPr>
        <w:footnoteReference w:id="3"/>
      </w:r>
      <w:r w:rsidRPr="00186CE0">
        <w:rPr>
          <w:rFonts w:cs="Arial"/>
          <w:b w:val="0"/>
          <w:sz w:val="24"/>
          <w:szCs w:val="24"/>
        </w:rPr>
        <w:t xml:space="preserve"> ha dicho</w:t>
      </w:r>
      <w:r w:rsidR="00186CE0" w:rsidRPr="00186CE0">
        <w:rPr>
          <w:rFonts w:cs="Arial"/>
          <w:b w:val="0"/>
          <w:sz w:val="24"/>
          <w:szCs w:val="24"/>
        </w:rPr>
        <w:t>:</w:t>
      </w:r>
    </w:p>
    <w:p w:rsidR="009B38CF" w:rsidRDefault="009B38CF" w:rsidP="004D1594">
      <w:pPr>
        <w:jc w:val="both"/>
        <w:rPr>
          <w:rFonts w:ascii="Arial" w:hAnsi="Arial" w:cs="Arial"/>
          <w:i/>
          <w:szCs w:val="30"/>
        </w:rPr>
      </w:pPr>
    </w:p>
    <w:p w:rsidR="00186CE0" w:rsidRPr="00E02EF0" w:rsidRDefault="00186CE0" w:rsidP="009B38CF">
      <w:pPr>
        <w:spacing w:line="276" w:lineRule="auto"/>
        <w:ind w:left="708"/>
        <w:jc w:val="both"/>
        <w:rPr>
          <w:rFonts w:ascii="Arial" w:hAnsi="Arial" w:cs="Arial"/>
          <w:i/>
          <w:sz w:val="22"/>
          <w:szCs w:val="30"/>
        </w:rPr>
      </w:pPr>
      <w:r w:rsidRPr="00E02EF0">
        <w:rPr>
          <w:rFonts w:ascii="Arial" w:hAnsi="Arial" w:cs="Arial"/>
          <w:i/>
          <w:sz w:val="22"/>
          <w:szCs w:val="30"/>
        </w:rPr>
        <w:t>“Ahora, no existe ninguna norma de rango legal que disponga que a los trabajadores oficiales del Instituto de Seguros Sociales se le aplique el régimen de cesantías regulado por el artículo 99 de la Ley 50 de 1990, de donde se sigue inexorablemente que la pretensión encaminada a obtener la indemnización por mora que consagra el artículo 99-3 de la citada ley, se torna improcedente”.</w:t>
      </w:r>
    </w:p>
    <w:p w:rsidR="00726E7C" w:rsidRDefault="00726E7C" w:rsidP="004D1594">
      <w:pPr>
        <w:pStyle w:val="Textoindependiente22"/>
        <w:spacing w:line="240" w:lineRule="auto"/>
        <w:rPr>
          <w:rFonts w:cs="Arial"/>
          <w:b w:val="0"/>
          <w:sz w:val="24"/>
          <w:szCs w:val="24"/>
        </w:rPr>
      </w:pPr>
    </w:p>
    <w:p w:rsidR="00D44904" w:rsidRDefault="00D44904" w:rsidP="00FB0C14">
      <w:pPr>
        <w:pStyle w:val="Textoindependiente22"/>
        <w:spacing w:line="276" w:lineRule="auto"/>
        <w:rPr>
          <w:rFonts w:cs="Arial"/>
          <w:b w:val="0"/>
          <w:sz w:val="24"/>
          <w:szCs w:val="24"/>
        </w:rPr>
      </w:pPr>
      <w:r>
        <w:rPr>
          <w:rFonts w:cs="Arial"/>
          <w:b w:val="0"/>
          <w:sz w:val="24"/>
          <w:szCs w:val="24"/>
        </w:rPr>
        <w:lastRenderedPageBreak/>
        <w:t xml:space="preserve">Por lo anterior, y </w:t>
      </w:r>
      <w:r w:rsidRPr="003A6C93">
        <w:rPr>
          <w:rFonts w:cs="Arial"/>
          <w:b w:val="0"/>
          <w:sz w:val="24"/>
          <w:szCs w:val="24"/>
        </w:rPr>
        <w:t>por el grado jurisdiccional de consulta</w:t>
      </w:r>
      <w:r>
        <w:rPr>
          <w:rFonts w:cs="Arial"/>
          <w:b w:val="0"/>
          <w:sz w:val="24"/>
          <w:szCs w:val="24"/>
        </w:rPr>
        <w:t>, hay lugar a revocar lo resuelto por el juzgado de primera instancia en el numeral</w:t>
      </w:r>
      <w:r w:rsidR="00746803">
        <w:rPr>
          <w:rFonts w:cs="Arial"/>
          <w:b w:val="0"/>
          <w:sz w:val="24"/>
          <w:szCs w:val="24"/>
        </w:rPr>
        <w:t xml:space="preserve"> tercero y absolver</w:t>
      </w:r>
      <w:r w:rsidR="008B1C58">
        <w:rPr>
          <w:rFonts w:cs="Arial"/>
          <w:b w:val="0"/>
          <w:sz w:val="24"/>
          <w:szCs w:val="24"/>
        </w:rPr>
        <w:t xml:space="preserve"> a la demandada por este concepto.</w:t>
      </w:r>
    </w:p>
    <w:p w:rsidR="00042ADA" w:rsidRDefault="00042ADA" w:rsidP="004D1594">
      <w:pPr>
        <w:pStyle w:val="Textoindependiente22"/>
        <w:spacing w:line="240" w:lineRule="auto"/>
        <w:rPr>
          <w:rFonts w:cs="Arial"/>
          <w:b w:val="0"/>
          <w:sz w:val="24"/>
          <w:szCs w:val="24"/>
        </w:rPr>
      </w:pPr>
    </w:p>
    <w:p w:rsidR="001F6F11" w:rsidRPr="001F6F11" w:rsidRDefault="00746803" w:rsidP="00FB0C14">
      <w:pPr>
        <w:pStyle w:val="Textoindependiente22"/>
        <w:spacing w:line="276" w:lineRule="auto"/>
        <w:rPr>
          <w:rFonts w:cs="Arial"/>
          <w:b w:val="0"/>
          <w:sz w:val="24"/>
          <w:szCs w:val="24"/>
        </w:rPr>
      </w:pPr>
      <w:r>
        <w:rPr>
          <w:rFonts w:cs="Arial"/>
          <w:color w:val="000000"/>
          <w:sz w:val="24"/>
          <w:szCs w:val="24"/>
          <w:lang w:eastAsia="es-CO"/>
        </w:rPr>
        <w:t>2.2</w:t>
      </w:r>
      <w:r w:rsidR="001F6F11" w:rsidRPr="001F6F11">
        <w:rPr>
          <w:rFonts w:cs="Arial"/>
          <w:color w:val="000000"/>
          <w:sz w:val="24"/>
          <w:szCs w:val="24"/>
          <w:lang w:eastAsia="es-CO"/>
        </w:rPr>
        <w:t>.</w:t>
      </w:r>
      <w:r w:rsidR="00B70B1E">
        <w:rPr>
          <w:rFonts w:cs="Arial"/>
          <w:color w:val="000000"/>
          <w:sz w:val="24"/>
          <w:szCs w:val="24"/>
          <w:lang w:eastAsia="es-CO"/>
        </w:rPr>
        <w:t>4.</w:t>
      </w:r>
      <w:r w:rsidR="001F6F11">
        <w:rPr>
          <w:rFonts w:cs="Arial"/>
          <w:color w:val="000000"/>
          <w:sz w:val="24"/>
          <w:szCs w:val="24"/>
          <w:lang w:eastAsia="es-CO"/>
        </w:rPr>
        <w:t xml:space="preserve"> Interés a las cesantías.</w:t>
      </w:r>
    </w:p>
    <w:p w:rsidR="001F6F11" w:rsidRDefault="001F6F11" w:rsidP="004D1594">
      <w:pPr>
        <w:pStyle w:val="Textoindependiente22"/>
        <w:spacing w:line="240" w:lineRule="auto"/>
        <w:rPr>
          <w:rFonts w:cs="Arial"/>
          <w:b w:val="0"/>
          <w:sz w:val="24"/>
          <w:szCs w:val="24"/>
        </w:rPr>
      </w:pPr>
    </w:p>
    <w:p w:rsidR="001F6F11" w:rsidRDefault="001F6F11" w:rsidP="00FB0C14">
      <w:pPr>
        <w:pStyle w:val="Textoindependiente22"/>
        <w:spacing w:line="276" w:lineRule="auto"/>
        <w:rPr>
          <w:rFonts w:cs="Arial"/>
          <w:b w:val="0"/>
          <w:sz w:val="24"/>
          <w:szCs w:val="24"/>
        </w:rPr>
      </w:pPr>
      <w:r w:rsidRPr="001F6F11">
        <w:rPr>
          <w:rFonts w:cs="Arial"/>
          <w:b w:val="0"/>
          <w:sz w:val="24"/>
          <w:szCs w:val="24"/>
          <w:lang w:val="es-CO" w:eastAsia="x-none"/>
        </w:rPr>
        <w:t>En lo atinente a los intereses a las cesantías</w:t>
      </w:r>
      <w:r>
        <w:rPr>
          <w:rFonts w:cs="Arial"/>
          <w:b w:val="0"/>
          <w:sz w:val="24"/>
          <w:szCs w:val="24"/>
          <w:lang w:val="es-CO" w:eastAsia="x-none"/>
        </w:rPr>
        <w:t>,</w:t>
      </w:r>
      <w:r w:rsidRPr="001F6F11">
        <w:rPr>
          <w:rFonts w:cs="Arial"/>
          <w:b w:val="0"/>
          <w:sz w:val="24"/>
          <w:szCs w:val="24"/>
        </w:rPr>
        <w:t xml:space="preserve"> Hay lugar a esta pretensión como quiera que independientemente del fondo de administración de cesantías que haya elegido el actor, sea privado o el Fondo Nacional del Ahorro, ambos establecen el reconocimiento de ésta prestación sobre el valor de</w:t>
      </w:r>
      <w:r>
        <w:rPr>
          <w:rFonts w:cs="Arial"/>
          <w:b w:val="0"/>
          <w:sz w:val="24"/>
          <w:szCs w:val="24"/>
        </w:rPr>
        <w:t xml:space="preserve"> las cesantías liquidadas.</w:t>
      </w:r>
    </w:p>
    <w:p w:rsidR="00E02EF0" w:rsidRDefault="00E02EF0" w:rsidP="00E02EF0">
      <w:pPr>
        <w:pStyle w:val="Textoindependiente22"/>
        <w:spacing w:line="240" w:lineRule="auto"/>
        <w:rPr>
          <w:rFonts w:cs="Arial"/>
          <w:b w:val="0"/>
          <w:sz w:val="24"/>
          <w:szCs w:val="24"/>
        </w:rPr>
      </w:pPr>
    </w:p>
    <w:p w:rsidR="001F6F11" w:rsidRDefault="001F6F11" w:rsidP="00FB0C14">
      <w:pPr>
        <w:pStyle w:val="Textoindependiente22"/>
        <w:spacing w:line="276" w:lineRule="auto"/>
        <w:rPr>
          <w:rFonts w:cs="Arial"/>
          <w:b w:val="0"/>
          <w:sz w:val="24"/>
          <w:szCs w:val="24"/>
        </w:rPr>
      </w:pPr>
      <w:r>
        <w:rPr>
          <w:rFonts w:cs="Arial"/>
          <w:b w:val="0"/>
          <w:sz w:val="24"/>
          <w:szCs w:val="24"/>
        </w:rPr>
        <w:t>En el presente caso, asciende para el primer contrato en el año 2009 a $11.558</w:t>
      </w:r>
      <w:r w:rsidRPr="001F6F11">
        <w:rPr>
          <w:rFonts w:cs="Arial"/>
          <w:b w:val="0"/>
          <w:sz w:val="24"/>
          <w:szCs w:val="24"/>
        </w:rPr>
        <w:t>,</w:t>
      </w:r>
      <w:r>
        <w:rPr>
          <w:rFonts w:cs="Arial"/>
          <w:b w:val="0"/>
          <w:sz w:val="24"/>
          <w:szCs w:val="24"/>
        </w:rPr>
        <w:t xml:space="preserve"> y para 2010 $11.558;</w:t>
      </w:r>
      <w:r w:rsidRPr="001F6F11">
        <w:rPr>
          <w:rFonts w:cs="Arial"/>
          <w:b w:val="0"/>
          <w:sz w:val="24"/>
          <w:szCs w:val="24"/>
        </w:rPr>
        <w:t xml:space="preserve"> </w:t>
      </w:r>
      <w:r>
        <w:rPr>
          <w:rFonts w:cs="Arial"/>
          <w:b w:val="0"/>
          <w:sz w:val="24"/>
          <w:szCs w:val="24"/>
        </w:rPr>
        <w:t xml:space="preserve">para el segundo contrato ascienden, año 2010 $26.555, </w:t>
      </w:r>
      <w:r w:rsidRPr="001F6F11">
        <w:rPr>
          <w:rFonts w:cs="Arial"/>
          <w:b w:val="0"/>
          <w:sz w:val="24"/>
          <w:szCs w:val="24"/>
        </w:rPr>
        <w:t>para</w:t>
      </w:r>
      <w:r>
        <w:rPr>
          <w:rFonts w:cs="Arial"/>
          <w:b w:val="0"/>
          <w:sz w:val="24"/>
          <w:szCs w:val="24"/>
        </w:rPr>
        <w:t xml:space="preserve"> el año 2011 $76.116; lo cual nos da un total en la sumatoria de $125.816, valor  inferior al liquidado por la A-quo</w:t>
      </w:r>
      <w:r w:rsidR="004F50F9">
        <w:rPr>
          <w:rFonts w:cs="Arial"/>
          <w:b w:val="0"/>
          <w:sz w:val="24"/>
          <w:szCs w:val="24"/>
        </w:rPr>
        <w:t xml:space="preserve">, </w:t>
      </w:r>
      <w:r w:rsidR="00746803">
        <w:rPr>
          <w:rFonts w:cs="Arial"/>
          <w:b w:val="0"/>
          <w:sz w:val="24"/>
          <w:szCs w:val="24"/>
        </w:rPr>
        <w:t>lo que se explica al aplicar el porcentaje al salario y no a las cesantías liquidadas.</w:t>
      </w:r>
    </w:p>
    <w:p w:rsidR="00BE0A08" w:rsidRDefault="00BE0A08" w:rsidP="004D1594">
      <w:pPr>
        <w:pStyle w:val="Textoindependiente22"/>
        <w:spacing w:line="240" w:lineRule="auto"/>
        <w:rPr>
          <w:rFonts w:cs="Arial"/>
          <w:b w:val="0"/>
          <w:sz w:val="24"/>
          <w:szCs w:val="24"/>
        </w:rPr>
      </w:pPr>
    </w:p>
    <w:p w:rsidR="001F6F11" w:rsidRDefault="00BE0A08" w:rsidP="00FB0C14">
      <w:pPr>
        <w:pStyle w:val="Textoindependiente22"/>
        <w:spacing w:line="276" w:lineRule="auto"/>
        <w:rPr>
          <w:rFonts w:cs="Arial"/>
          <w:b w:val="0"/>
          <w:sz w:val="24"/>
          <w:szCs w:val="24"/>
        </w:rPr>
      </w:pPr>
      <w:r>
        <w:rPr>
          <w:rFonts w:cs="Arial"/>
          <w:b w:val="0"/>
          <w:sz w:val="24"/>
          <w:szCs w:val="24"/>
        </w:rPr>
        <w:t xml:space="preserve">Por lo antes dicho, </w:t>
      </w:r>
      <w:r w:rsidR="00746803">
        <w:rPr>
          <w:rFonts w:cs="Arial"/>
          <w:b w:val="0"/>
          <w:sz w:val="24"/>
          <w:szCs w:val="24"/>
        </w:rPr>
        <w:t xml:space="preserve">y </w:t>
      </w:r>
      <w:r w:rsidRPr="003A6C93">
        <w:rPr>
          <w:rFonts w:cs="Arial"/>
          <w:b w:val="0"/>
          <w:sz w:val="24"/>
          <w:szCs w:val="24"/>
        </w:rPr>
        <w:t>por el grado jurisdiccional de consulta</w:t>
      </w:r>
      <w:r>
        <w:rPr>
          <w:rFonts w:cs="Arial"/>
          <w:b w:val="0"/>
          <w:sz w:val="24"/>
          <w:szCs w:val="24"/>
        </w:rPr>
        <w:t xml:space="preserve">, hay lugar a modificar  </w:t>
      </w:r>
      <w:r w:rsidR="00746803">
        <w:rPr>
          <w:rFonts w:cs="Arial"/>
          <w:b w:val="0"/>
          <w:sz w:val="24"/>
          <w:szCs w:val="24"/>
        </w:rPr>
        <w:t>esta condena en la forma expuesta</w:t>
      </w:r>
      <w:r>
        <w:rPr>
          <w:rFonts w:cs="Arial"/>
          <w:b w:val="0"/>
          <w:sz w:val="24"/>
          <w:szCs w:val="24"/>
        </w:rPr>
        <w:t>.</w:t>
      </w:r>
    </w:p>
    <w:p w:rsidR="001F6F11" w:rsidRDefault="001F6F11" w:rsidP="004D1594">
      <w:pPr>
        <w:pStyle w:val="Textoindependiente22"/>
        <w:spacing w:line="240" w:lineRule="auto"/>
        <w:rPr>
          <w:rFonts w:cs="Arial"/>
          <w:b w:val="0"/>
          <w:sz w:val="24"/>
          <w:szCs w:val="24"/>
        </w:rPr>
      </w:pPr>
    </w:p>
    <w:p w:rsidR="004F50F9" w:rsidRPr="001F6F11" w:rsidRDefault="00746803" w:rsidP="00E02EF0">
      <w:pPr>
        <w:pStyle w:val="Textoindependiente22"/>
        <w:spacing w:line="240" w:lineRule="auto"/>
        <w:rPr>
          <w:rFonts w:cs="Arial"/>
          <w:b w:val="0"/>
          <w:sz w:val="24"/>
          <w:szCs w:val="24"/>
        </w:rPr>
      </w:pPr>
      <w:r>
        <w:rPr>
          <w:rFonts w:cs="Arial"/>
          <w:color w:val="000000"/>
          <w:sz w:val="24"/>
          <w:szCs w:val="24"/>
          <w:lang w:eastAsia="es-CO"/>
        </w:rPr>
        <w:t>2.2</w:t>
      </w:r>
      <w:r w:rsidR="00B70B1E">
        <w:rPr>
          <w:rFonts w:cs="Arial"/>
          <w:color w:val="000000"/>
          <w:sz w:val="24"/>
          <w:szCs w:val="24"/>
          <w:lang w:eastAsia="es-CO"/>
        </w:rPr>
        <w:t>.5</w:t>
      </w:r>
      <w:r w:rsidR="004F50F9" w:rsidRPr="001F6F11">
        <w:rPr>
          <w:rFonts w:cs="Arial"/>
          <w:color w:val="000000"/>
          <w:sz w:val="24"/>
          <w:szCs w:val="24"/>
          <w:lang w:eastAsia="es-CO"/>
        </w:rPr>
        <w:t>.</w:t>
      </w:r>
      <w:r w:rsidR="00C30626">
        <w:rPr>
          <w:rFonts w:cs="Arial"/>
          <w:color w:val="000000"/>
          <w:sz w:val="24"/>
          <w:szCs w:val="24"/>
          <w:lang w:eastAsia="es-CO"/>
        </w:rPr>
        <w:t xml:space="preserve"> Cesantías, prima</w:t>
      </w:r>
      <w:r w:rsidR="004F50F9">
        <w:rPr>
          <w:rFonts w:cs="Arial"/>
          <w:color w:val="000000"/>
          <w:sz w:val="24"/>
          <w:szCs w:val="24"/>
          <w:lang w:eastAsia="es-CO"/>
        </w:rPr>
        <w:t xml:space="preserve"> de servicio legal – convencional, auxilio de transporte.</w:t>
      </w:r>
    </w:p>
    <w:p w:rsidR="00BE0A08" w:rsidRDefault="00BE0A08" w:rsidP="004D1594">
      <w:pPr>
        <w:pStyle w:val="Textoindependiente22"/>
        <w:spacing w:line="240" w:lineRule="auto"/>
        <w:rPr>
          <w:rFonts w:cs="Arial"/>
          <w:b w:val="0"/>
          <w:sz w:val="24"/>
          <w:szCs w:val="24"/>
        </w:rPr>
      </w:pPr>
    </w:p>
    <w:p w:rsidR="00497929" w:rsidRDefault="00042ADA" w:rsidP="00042ADA">
      <w:pPr>
        <w:autoSpaceDE w:val="0"/>
        <w:autoSpaceDN w:val="0"/>
        <w:adjustRightInd w:val="0"/>
        <w:spacing w:line="276" w:lineRule="auto"/>
        <w:jc w:val="both"/>
        <w:rPr>
          <w:rFonts w:ascii="Arial" w:hAnsi="Arial" w:cs="Arial"/>
          <w:szCs w:val="24"/>
        </w:rPr>
      </w:pPr>
      <w:r>
        <w:rPr>
          <w:rFonts w:ascii="Arial" w:hAnsi="Arial" w:cs="Arial"/>
          <w:szCs w:val="24"/>
        </w:rPr>
        <w:t>Ahora bien</w:t>
      </w:r>
      <w:r w:rsidR="004F50F9">
        <w:rPr>
          <w:rFonts w:ascii="Arial" w:hAnsi="Arial" w:cs="Arial"/>
          <w:szCs w:val="24"/>
        </w:rPr>
        <w:t>,</w:t>
      </w:r>
      <w:r>
        <w:rPr>
          <w:rFonts w:ascii="Arial" w:hAnsi="Arial" w:cs="Arial"/>
          <w:szCs w:val="24"/>
        </w:rPr>
        <w:t xml:space="preserve"> </w:t>
      </w:r>
      <w:r w:rsidR="00D746B6">
        <w:rPr>
          <w:rFonts w:ascii="Arial" w:hAnsi="Arial" w:cs="Arial"/>
          <w:szCs w:val="24"/>
        </w:rPr>
        <w:t>conforme a lo dispuesto par</w:t>
      </w:r>
      <w:r w:rsidR="00BE0A08">
        <w:rPr>
          <w:rFonts w:ascii="Arial" w:hAnsi="Arial" w:cs="Arial"/>
          <w:szCs w:val="24"/>
        </w:rPr>
        <w:t xml:space="preserve">a las demás </w:t>
      </w:r>
      <w:r w:rsidR="00D746B6">
        <w:rPr>
          <w:rFonts w:ascii="Arial" w:hAnsi="Arial" w:cs="Arial"/>
          <w:szCs w:val="24"/>
        </w:rPr>
        <w:t>prestaciones</w:t>
      </w:r>
      <w:r w:rsidR="00BE0A08">
        <w:rPr>
          <w:rFonts w:ascii="Arial" w:hAnsi="Arial" w:cs="Arial"/>
          <w:szCs w:val="24"/>
        </w:rPr>
        <w:t xml:space="preserve"> solicitadas</w:t>
      </w:r>
      <w:r w:rsidR="00D746B6">
        <w:rPr>
          <w:rFonts w:ascii="Arial" w:hAnsi="Arial" w:cs="Arial"/>
          <w:szCs w:val="24"/>
        </w:rPr>
        <w:t xml:space="preserve">, </w:t>
      </w:r>
      <w:r w:rsidR="00BE0A08">
        <w:rPr>
          <w:rFonts w:ascii="Arial" w:hAnsi="Arial" w:cs="Arial"/>
          <w:szCs w:val="24"/>
        </w:rPr>
        <w:t xml:space="preserve">y </w:t>
      </w:r>
      <w:r w:rsidR="001A2F06">
        <w:rPr>
          <w:rFonts w:ascii="Arial" w:hAnsi="Arial" w:cs="Arial"/>
          <w:szCs w:val="24"/>
        </w:rPr>
        <w:t xml:space="preserve">a pesar de </w:t>
      </w:r>
      <w:r w:rsidR="004F50F9">
        <w:rPr>
          <w:rFonts w:ascii="Arial" w:hAnsi="Arial" w:cs="Arial"/>
          <w:szCs w:val="24"/>
        </w:rPr>
        <w:t xml:space="preserve">ser superiores las liquidadas por esta </w:t>
      </w:r>
      <w:r w:rsidR="001A2F06">
        <w:rPr>
          <w:rFonts w:ascii="Arial" w:hAnsi="Arial" w:cs="Arial"/>
          <w:szCs w:val="24"/>
        </w:rPr>
        <w:t xml:space="preserve">Sala, </w:t>
      </w:r>
      <w:r w:rsidR="00BE0A08">
        <w:rPr>
          <w:rFonts w:ascii="Arial" w:hAnsi="Arial" w:cs="Arial"/>
          <w:szCs w:val="24"/>
        </w:rPr>
        <w:t xml:space="preserve">que </w:t>
      </w:r>
      <w:r w:rsidR="00D746B6">
        <w:rPr>
          <w:rFonts w:ascii="Arial" w:hAnsi="Arial" w:cs="Arial"/>
          <w:szCs w:val="24"/>
        </w:rPr>
        <w:t>la</w:t>
      </w:r>
      <w:r w:rsidR="00BE0A08">
        <w:rPr>
          <w:rFonts w:ascii="Arial" w:hAnsi="Arial" w:cs="Arial"/>
          <w:szCs w:val="24"/>
        </w:rPr>
        <w:t>s</w:t>
      </w:r>
      <w:r w:rsidR="00D746B6">
        <w:rPr>
          <w:rFonts w:ascii="Arial" w:hAnsi="Arial" w:cs="Arial"/>
          <w:szCs w:val="24"/>
        </w:rPr>
        <w:t xml:space="preserve"> </w:t>
      </w:r>
      <w:r w:rsidR="001A2F06">
        <w:rPr>
          <w:rFonts w:ascii="Arial" w:hAnsi="Arial" w:cs="Arial"/>
          <w:szCs w:val="24"/>
        </w:rPr>
        <w:t xml:space="preserve">halladas por </w:t>
      </w:r>
      <w:r w:rsidR="00D746B6">
        <w:rPr>
          <w:rFonts w:ascii="Arial" w:hAnsi="Arial" w:cs="Arial"/>
          <w:szCs w:val="24"/>
        </w:rPr>
        <w:t>la primera</w:t>
      </w:r>
      <w:r w:rsidR="001A2F06">
        <w:rPr>
          <w:rFonts w:ascii="Arial" w:hAnsi="Arial" w:cs="Arial"/>
          <w:szCs w:val="24"/>
        </w:rPr>
        <w:t xml:space="preserve"> instancia, quien omitió </w:t>
      </w:r>
      <w:r w:rsidR="009302FC">
        <w:rPr>
          <w:rFonts w:ascii="Arial" w:hAnsi="Arial" w:cs="Arial"/>
          <w:szCs w:val="24"/>
        </w:rPr>
        <w:t>tener en cuenta</w:t>
      </w:r>
      <w:r w:rsidR="001A2F06">
        <w:rPr>
          <w:rFonts w:ascii="Arial" w:hAnsi="Arial" w:cs="Arial"/>
          <w:szCs w:val="24"/>
        </w:rPr>
        <w:t xml:space="preserve"> el auxilio de transporte;  no hay lugar a modificarlas</w:t>
      </w:r>
      <w:r w:rsidR="00D746B6">
        <w:rPr>
          <w:rFonts w:ascii="Arial" w:hAnsi="Arial" w:cs="Arial"/>
          <w:szCs w:val="24"/>
        </w:rPr>
        <w:t xml:space="preserve"> </w:t>
      </w:r>
      <w:r w:rsidR="001A2F06">
        <w:rPr>
          <w:rFonts w:ascii="Arial" w:hAnsi="Arial" w:cs="Arial"/>
          <w:szCs w:val="24"/>
        </w:rPr>
        <w:t>por revisarse en cumplimiento del grado jurisdiccional de consulta</w:t>
      </w:r>
      <w:r w:rsidR="00D746B6">
        <w:rPr>
          <w:rFonts w:ascii="Arial" w:hAnsi="Arial" w:cs="Arial"/>
          <w:szCs w:val="24"/>
        </w:rPr>
        <w:t xml:space="preserve">. </w:t>
      </w:r>
    </w:p>
    <w:p w:rsidR="001A2F06" w:rsidRDefault="001A2F06" w:rsidP="004D1594">
      <w:pPr>
        <w:autoSpaceDE w:val="0"/>
        <w:autoSpaceDN w:val="0"/>
        <w:adjustRightInd w:val="0"/>
        <w:jc w:val="both"/>
        <w:rPr>
          <w:rFonts w:ascii="Arial" w:hAnsi="Arial" w:cs="Arial"/>
          <w:szCs w:val="24"/>
        </w:rPr>
      </w:pPr>
    </w:p>
    <w:p w:rsidR="00B70B1E" w:rsidRPr="00B70B1E" w:rsidRDefault="00746803" w:rsidP="00E02EF0">
      <w:pPr>
        <w:rPr>
          <w:rFonts w:ascii="Arial" w:eastAsiaTheme="minorHAnsi" w:hAnsi="Arial" w:cs="Arial"/>
          <w:b/>
          <w:szCs w:val="22"/>
          <w:lang w:eastAsia="en-US"/>
        </w:rPr>
      </w:pPr>
      <w:r>
        <w:rPr>
          <w:rFonts w:ascii="Arial" w:eastAsiaTheme="minorHAnsi" w:hAnsi="Arial" w:cs="Arial"/>
          <w:b/>
          <w:szCs w:val="22"/>
          <w:lang w:eastAsia="en-US"/>
        </w:rPr>
        <w:t>2.2</w:t>
      </w:r>
      <w:r w:rsidR="00B70B1E">
        <w:rPr>
          <w:rFonts w:ascii="Arial" w:eastAsiaTheme="minorHAnsi" w:hAnsi="Arial" w:cs="Arial"/>
          <w:b/>
          <w:szCs w:val="22"/>
          <w:lang w:eastAsia="en-US"/>
        </w:rPr>
        <w:t>.6</w:t>
      </w:r>
      <w:r w:rsidR="00B70B1E" w:rsidRPr="00B70B1E">
        <w:rPr>
          <w:rFonts w:ascii="Arial" w:eastAsiaTheme="minorHAnsi" w:hAnsi="Arial" w:cs="Arial"/>
          <w:b/>
          <w:szCs w:val="22"/>
          <w:lang w:eastAsia="en-US"/>
        </w:rPr>
        <w:t xml:space="preserve"> Indemnización moratoria Decreto Ley 797 de 1949</w:t>
      </w:r>
    </w:p>
    <w:p w:rsidR="00B70B1E" w:rsidRPr="00B70B1E" w:rsidRDefault="00B70B1E" w:rsidP="00B70B1E">
      <w:pPr>
        <w:rPr>
          <w:rFonts w:ascii="Arial" w:eastAsiaTheme="minorHAnsi" w:hAnsi="Arial" w:cs="Arial"/>
          <w:b/>
          <w:szCs w:val="22"/>
          <w:lang w:eastAsia="en-US"/>
        </w:rPr>
      </w:pPr>
    </w:p>
    <w:p w:rsidR="00B70B1E" w:rsidRPr="00B70B1E" w:rsidRDefault="00B70B1E" w:rsidP="00B70B1E">
      <w:pPr>
        <w:autoSpaceDE w:val="0"/>
        <w:autoSpaceDN w:val="0"/>
        <w:adjustRightInd w:val="0"/>
        <w:spacing w:line="276" w:lineRule="auto"/>
        <w:jc w:val="both"/>
        <w:rPr>
          <w:rFonts w:ascii="Zurich Ex BT" w:hAnsi="Zurich Ex BT" w:cs="Tahoma"/>
          <w:bCs/>
          <w:szCs w:val="24"/>
        </w:rPr>
      </w:pPr>
      <w:r w:rsidRPr="00B70B1E">
        <w:rPr>
          <w:rFonts w:ascii="Zurich Ex BT" w:hAnsi="Zurich Ex BT" w:cs="Tahoma"/>
          <w:bCs/>
          <w:szCs w:val="24"/>
        </w:rPr>
        <w:t xml:space="preserve">Se genera esta sanción por la omisión del empleador en cancelarle al trabajador los salarios y prestaciones al término de su vinculación laboral, siempre y cuando tal actuar haya sido de mala fe. </w:t>
      </w:r>
    </w:p>
    <w:p w:rsidR="00B70B1E" w:rsidRPr="00B70B1E" w:rsidRDefault="00B70B1E" w:rsidP="004D1594">
      <w:pPr>
        <w:autoSpaceDE w:val="0"/>
        <w:autoSpaceDN w:val="0"/>
        <w:adjustRightInd w:val="0"/>
        <w:jc w:val="both"/>
        <w:rPr>
          <w:rFonts w:ascii="Zurich Ex BT" w:hAnsi="Zurich Ex BT" w:cs="Tahoma"/>
          <w:bCs/>
          <w:szCs w:val="24"/>
        </w:rPr>
      </w:pPr>
    </w:p>
    <w:p w:rsidR="00B70B1E" w:rsidRPr="00B70B1E" w:rsidRDefault="00B70B1E" w:rsidP="00B70B1E">
      <w:pPr>
        <w:autoSpaceDE w:val="0"/>
        <w:autoSpaceDN w:val="0"/>
        <w:adjustRightInd w:val="0"/>
        <w:spacing w:line="276" w:lineRule="auto"/>
        <w:jc w:val="both"/>
        <w:rPr>
          <w:rFonts w:ascii="Arial" w:hAnsi="Arial" w:cs="Arial"/>
          <w:szCs w:val="24"/>
        </w:rPr>
      </w:pPr>
      <w:r w:rsidRPr="00B70B1E">
        <w:rPr>
          <w:rFonts w:ascii="Arial" w:hAnsi="Arial" w:cs="Arial"/>
          <w:szCs w:val="24"/>
        </w:rPr>
        <w:t>Sobre este tópico la Corte Suprema de Justicia</w:t>
      </w:r>
      <w:r w:rsidRPr="00B70B1E">
        <w:rPr>
          <w:rStyle w:val="Refdenotaalpie"/>
          <w:rFonts w:ascii="Arial" w:hAnsi="Arial" w:cs="Arial"/>
          <w:szCs w:val="24"/>
        </w:rPr>
        <w:footnoteReference w:id="4"/>
      </w:r>
      <w:r w:rsidRPr="00B70B1E">
        <w:rPr>
          <w:rFonts w:ascii="Arial" w:hAnsi="Arial" w:cs="Arial"/>
          <w:szCs w:val="24"/>
        </w:rPr>
        <w:t xml:space="preserve">, como máximo órgano de cierre en materia laboral, ha dicho que la condena a la indemnización moratoria no es automática por cuanto al tener naturaleza sancionatoria debe estar precedida de un examen de la conducta del empleador con el fin de determinar si actuó de buena o mala fe al omitir o retardar el reconocimiento de la acreencia laboral. </w:t>
      </w:r>
    </w:p>
    <w:p w:rsidR="00B70B1E" w:rsidRPr="00B70B1E" w:rsidRDefault="00B70B1E" w:rsidP="004D1594">
      <w:pPr>
        <w:autoSpaceDE w:val="0"/>
        <w:autoSpaceDN w:val="0"/>
        <w:adjustRightInd w:val="0"/>
        <w:jc w:val="both"/>
        <w:rPr>
          <w:rFonts w:ascii="Arial" w:hAnsi="Arial" w:cs="Arial"/>
          <w:szCs w:val="24"/>
        </w:rPr>
      </w:pPr>
    </w:p>
    <w:p w:rsidR="00B70B1E" w:rsidRPr="00B70B1E" w:rsidRDefault="00B70B1E" w:rsidP="00B70B1E">
      <w:pPr>
        <w:autoSpaceDE w:val="0"/>
        <w:autoSpaceDN w:val="0"/>
        <w:adjustRightInd w:val="0"/>
        <w:spacing w:line="276" w:lineRule="auto"/>
        <w:jc w:val="both"/>
        <w:rPr>
          <w:rFonts w:ascii="Arial" w:hAnsi="Arial" w:cs="Arial"/>
          <w:szCs w:val="24"/>
        </w:rPr>
      </w:pPr>
      <w:r w:rsidRPr="00B70B1E">
        <w:rPr>
          <w:rFonts w:ascii="Arial" w:hAnsi="Arial" w:cs="Arial"/>
          <w:szCs w:val="24"/>
        </w:rPr>
        <w:t xml:space="preserve">En el caso en concreto resultó evidente que el </w:t>
      </w:r>
      <w:proofErr w:type="spellStart"/>
      <w:r w:rsidRPr="00B70B1E">
        <w:rPr>
          <w:rFonts w:ascii="Arial" w:hAnsi="Arial" w:cs="Arial"/>
          <w:szCs w:val="24"/>
        </w:rPr>
        <w:t>ISS</w:t>
      </w:r>
      <w:proofErr w:type="spellEnd"/>
      <w:r w:rsidRPr="00B70B1E">
        <w:rPr>
          <w:rFonts w:ascii="Arial" w:hAnsi="Arial" w:cs="Arial"/>
          <w:szCs w:val="24"/>
        </w:rPr>
        <w:t xml:space="preserve"> disfrazó la relación laboral existente con el señor Gómez Dávila con unos contratos de prestación de servicios, para desarrollar funciones propias de un empleado </w:t>
      </w:r>
      <w:r w:rsidR="00B578B5">
        <w:rPr>
          <w:rFonts w:ascii="Arial" w:hAnsi="Arial" w:cs="Arial"/>
          <w:szCs w:val="24"/>
        </w:rPr>
        <w:t xml:space="preserve">oficial </w:t>
      </w:r>
      <w:r w:rsidRPr="00B70B1E">
        <w:rPr>
          <w:rFonts w:ascii="Arial" w:hAnsi="Arial" w:cs="Arial"/>
          <w:szCs w:val="24"/>
        </w:rPr>
        <w:t>y que fueron ejecutadas de manera ininterrumpida, bajo la dependencia y subordinación de la jefe de pensiones de la entidad demandada; todo ello con el fin de eludir sus obligaciones legales y convencionales.</w:t>
      </w:r>
    </w:p>
    <w:p w:rsidR="00B70B1E" w:rsidRPr="00B70B1E" w:rsidRDefault="00B70B1E" w:rsidP="004D1594">
      <w:pPr>
        <w:autoSpaceDE w:val="0"/>
        <w:autoSpaceDN w:val="0"/>
        <w:adjustRightInd w:val="0"/>
        <w:jc w:val="both"/>
        <w:rPr>
          <w:rFonts w:ascii="Arial" w:hAnsi="Arial" w:cs="Arial"/>
          <w:szCs w:val="24"/>
        </w:rPr>
      </w:pPr>
    </w:p>
    <w:p w:rsidR="00C30626" w:rsidRDefault="00B70B1E" w:rsidP="005D354E">
      <w:pPr>
        <w:tabs>
          <w:tab w:val="left" w:pos="8647"/>
          <w:tab w:val="left" w:pos="9356"/>
        </w:tabs>
        <w:spacing w:line="276" w:lineRule="auto"/>
        <w:jc w:val="both"/>
        <w:rPr>
          <w:rFonts w:ascii="Arial" w:hAnsi="Arial" w:cs="Arial"/>
          <w:szCs w:val="24"/>
        </w:rPr>
      </w:pPr>
      <w:r w:rsidRPr="00B70B1E">
        <w:rPr>
          <w:rFonts w:ascii="Arial" w:hAnsi="Arial" w:cs="Arial"/>
          <w:szCs w:val="24"/>
        </w:rPr>
        <w:lastRenderedPageBreak/>
        <w:t>Por tal razón y atendiendo los 90 días que de gracia tienen las entidades públicas para pagar las acreencias laborales y que estos se cuentan una vez se termina el vínculo laboral</w:t>
      </w:r>
      <w:r w:rsidR="00B578B5">
        <w:rPr>
          <w:rFonts w:ascii="Arial" w:hAnsi="Arial" w:cs="Arial"/>
          <w:szCs w:val="24"/>
        </w:rPr>
        <w:t>;</w:t>
      </w:r>
      <w:r w:rsidRPr="00B70B1E">
        <w:rPr>
          <w:rFonts w:ascii="Arial" w:hAnsi="Arial" w:cs="Arial"/>
          <w:szCs w:val="24"/>
        </w:rPr>
        <w:t xml:space="preserve"> que en el asunto en concreto para el pri</w:t>
      </w:r>
      <w:r w:rsidR="003D151C">
        <w:rPr>
          <w:rFonts w:ascii="Arial" w:hAnsi="Arial" w:cs="Arial"/>
          <w:szCs w:val="24"/>
        </w:rPr>
        <w:t>mer contrato  fue el 30-04-2010</w:t>
      </w:r>
      <w:r w:rsidR="00332DC1">
        <w:rPr>
          <w:rFonts w:ascii="Arial" w:hAnsi="Arial" w:cs="Arial"/>
          <w:szCs w:val="24"/>
        </w:rPr>
        <w:t xml:space="preserve">, que debía correr hasta su pago, </w:t>
      </w:r>
      <w:r w:rsidR="00681316">
        <w:rPr>
          <w:rFonts w:ascii="Arial" w:hAnsi="Arial" w:cs="Arial"/>
          <w:szCs w:val="24"/>
        </w:rPr>
        <w:t xml:space="preserve">pero </w:t>
      </w:r>
      <w:r w:rsidR="00332DC1">
        <w:rPr>
          <w:rFonts w:ascii="Arial" w:hAnsi="Arial" w:cs="Arial"/>
          <w:szCs w:val="24"/>
        </w:rPr>
        <w:t xml:space="preserve">como </w:t>
      </w:r>
      <w:r w:rsidR="00681316">
        <w:rPr>
          <w:rFonts w:ascii="Arial" w:hAnsi="Arial" w:cs="Arial"/>
          <w:szCs w:val="24"/>
        </w:rPr>
        <w:t xml:space="preserve">la Jueza de instancia tuvo bien liquidar por </w:t>
      </w:r>
      <w:r w:rsidR="003D151C">
        <w:rPr>
          <w:rFonts w:ascii="Arial" w:hAnsi="Arial" w:cs="Arial"/>
          <w:szCs w:val="24"/>
        </w:rPr>
        <w:t xml:space="preserve">esta </w:t>
      </w:r>
      <w:r w:rsidR="00681316">
        <w:rPr>
          <w:rFonts w:ascii="Arial" w:hAnsi="Arial" w:cs="Arial"/>
          <w:szCs w:val="24"/>
        </w:rPr>
        <w:t xml:space="preserve">sanción </w:t>
      </w:r>
      <w:r w:rsidR="003D151C">
        <w:rPr>
          <w:rFonts w:ascii="Arial" w:hAnsi="Arial" w:cs="Arial"/>
          <w:szCs w:val="24"/>
        </w:rPr>
        <w:t xml:space="preserve"> hasta el 14 de febrero de 2011, </w:t>
      </w:r>
      <w:r w:rsidR="00681316">
        <w:rPr>
          <w:rFonts w:ascii="Arial" w:hAnsi="Arial" w:cs="Arial"/>
          <w:szCs w:val="24"/>
        </w:rPr>
        <w:t>$5.221.995</w:t>
      </w:r>
      <w:r w:rsidR="00332DC1">
        <w:rPr>
          <w:rFonts w:ascii="Arial" w:hAnsi="Arial" w:cs="Arial"/>
          <w:szCs w:val="24"/>
        </w:rPr>
        <w:t xml:space="preserve">, </w:t>
      </w:r>
      <w:r w:rsidR="00B578B5">
        <w:rPr>
          <w:rFonts w:ascii="Arial" w:hAnsi="Arial" w:cs="Arial"/>
          <w:szCs w:val="24"/>
        </w:rPr>
        <w:t xml:space="preserve">sin que </w:t>
      </w:r>
      <w:r w:rsidR="00681316">
        <w:rPr>
          <w:rFonts w:ascii="Arial" w:hAnsi="Arial" w:cs="Arial"/>
          <w:szCs w:val="24"/>
        </w:rPr>
        <w:t>fue</w:t>
      </w:r>
      <w:r w:rsidR="00B578B5">
        <w:rPr>
          <w:rFonts w:ascii="Arial" w:hAnsi="Arial" w:cs="Arial"/>
          <w:szCs w:val="24"/>
        </w:rPr>
        <w:t>ra</w:t>
      </w:r>
      <w:r w:rsidR="00681316">
        <w:rPr>
          <w:rFonts w:ascii="Arial" w:hAnsi="Arial" w:cs="Arial"/>
          <w:szCs w:val="24"/>
        </w:rPr>
        <w:t xml:space="preserve"> objeto de ape</w:t>
      </w:r>
      <w:r w:rsidR="00C30626">
        <w:rPr>
          <w:rFonts w:ascii="Arial" w:hAnsi="Arial" w:cs="Arial"/>
          <w:szCs w:val="24"/>
        </w:rPr>
        <w:t xml:space="preserve">lación, se mantendrá la condena. </w:t>
      </w:r>
    </w:p>
    <w:p w:rsidR="004D1594" w:rsidRDefault="004D1594" w:rsidP="004D1594">
      <w:pPr>
        <w:tabs>
          <w:tab w:val="left" w:pos="8647"/>
          <w:tab w:val="left" w:pos="9356"/>
        </w:tabs>
        <w:jc w:val="both"/>
        <w:rPr>
          <w:rFonts w:ascii="Arial" w:hAnsi="Arial" w:cs="Arial"/>
          <w:szCs w:val="24"/>
        </w:rPr>
      </w:pPr>
    </w:p>
    <w:p w:rsidR="005D354E" w:rsidRDefault="00C30626" w:rsidP="005D354E">
      <w:pPr>
        <w:tabs>
          <w:tab w:val="left" w:pos="8647"/>
          <w:tab w:val="left" w:pos="9356"/>
        </w:tabs>
        <w:spacing w:line="276" w:lineRule="auto"/>
        <w:jc w:val="both"/>
        <w:rPr>
          <w:rFonts w:ascii="Arial" w:hAnsi="Arial" w:cs="Arial"/>
          <w:szCs w:val="24"/>
        </w:rPr>
      </w:pPr>
      <w:r>
        <w:rPr>
          <w:rFonts w:ascii="Arial" w:hAnsi="Arial" w:cs="Arial"/>
          <w:szCs w:val="24"/>
        </w:rPr>
        <w:t>P</w:t>
      </w:r>
      <w:r w:rsidR="00681316">
        <w:rPr>
          <w:rFonts w:ascii="Arial" w:hAnsi="Arial" w:cs="Arial"/>
          <w:szCs w:val="24"/>
        </w:rPr>
        <w:t>ara el</w:t>
      </w:r>
      <w:r w:rsidR="00332DC1">
        <w:rPr>
          <w:rFonts w:ascii="Arial" w:hAnsi="Arial" w:cs="Arial"/>
          <w:szCs w:val="24"/>
        </w:rPr>
        <w:t xml:space="preserve"> segundo </w:t>
      </w:r>
      <w:r w:rsidR="00681316">
        <w:rPr>
          <w:rFonts w:ascii="Arial" w:hAnsi="Arial" w:cs="Arial"/>
          <w:szCs w:val="24"/>
        </w:rPr>
        <w:t>contrato</w:t>
      </w:r>
      <w:r>
        <w:rPr>
          <w:rFonts w:ascii="Arial" w:hAnsi="Arial" w:cs="Arial"/>
          <w:szCs w:val="24"/>
        </w:rPr>
        <w:t xml:space="preserve">, </w:t>
      </w:r>
      <w:r w:rsidR="003D151C">
        <w:rPr>
          <w:rFonts w:ascii="Arial" w:hAnsi="Arial" w:cs="Arial"/>
          <w:szCs w:val="24"/>
        </w:rPr>
        <w:t xml:space="preserve">la sanción moratoria va desde el 31/10/2011, pero </w:t>
      </w:r>
      <w:r>
        <w:rPr>
          <w:rFonts w:ascii="Arial" w:hAnsi="Arial" w:cs="Arial"/>
          <w:szCs w:val="24"/>
        </w:rPr>
        <w:t xml:space="preserve">no se puede extender más allá de la liquidación </w:t>
      </w:r>
      <w:r w:rsidRPr="003D151C">
        <w:rPr>
          <w:rFonts w:ascii="Arial" w:hAnsi="Arial" w:cs="Arial"/>
          <w:szCs w:val="24"/>
        </w:rPr>
        <w:t>d</w:t>
      </w:r>
      <w:r w:rsidR="000701AC" w:rsidRPr="003D151C">
        <w:rPr>
          <w:rFonts w:ascii="Arial" w:hAnsi="Arial" w:cs="Arial"/>
          <w:szCs w:val="24"/>
        </w:rPr>
        <w:t xml:space="preserve">el </w:t>
      </w:r>
      <w:proofErr w:type="spellStart"/>
      <w:r w:rsidR="000701AC" w:rsidRPr="003D151C">
        <w:rPr>
          <w:rFonts w:ascii="Arial" w:hAnsi="Arial" w:cs="Arial"/>
          <w:szCs w:val="24"/>
        </w:rPr>
        <w:t>ISS</w:t>
      </w:r>
      <w:proofErr w:type="spellEnd"/>
      <w:r w:rsidRPr="003D151C">
        <w:rPr>
          <w:rFonts w:ascii="Arial" w:hAnsi="Arial" w:cs="Arial"/>
          <w:szCs w:val="24"/>
        </w:rPr>
        <w:t xml:space="preserve">, por lo que se debe tener como fecha para </w:t>
      </w:r>
      <w:r w:rsidR="003D151C" w:rsidRPr="003D151C">
        <w:rPr>
          <w:rFonts w:ascii="Arial" w:hAnsi="Arial" w:cs="Arial"/>
          <w:szCs w:val="24"/>
        </w:rPr>
        <w:t xml:space="preserve">concretarla </w:t>
      </w:r>
      <w:r w:rsidRPr="003D151C">
        <w:rPr>
          <w:rFonts w:ascii="Arial" w:hAnsi="Arial" w:cs="Arial"/>
          <w:szCs w:val="24"/>
        </w:rPr>
        <w:t>hasta el 28/09/2012, en la</w:t>
      </w:r>
      <w:r w:rsidR="00E9050B" w:rsidRPr="003D151C">
        <w:rPr>
          <w:rFonts w:ascii="Arial" w:hAnsi="Arial" w:cs="Arial"/>
          <w:szCs w:val="24"/>
        </w:rPr>
        <w:t xml:space="preserve"> cual se expidió el Decreto 2013 del mismo año</w:t>
      </w:r>
      <w:r w:rsidRPr="003D151C">
        <w:rPr>
          <w:rFonts w:ascii="Arial" w:hAnsi="Arial" w:cs="Arial"/>
          <w:szCs w:val="24"/>
        </w:rPr>
        <w:t xml:space="preserve">; </w:t>
      </w:r>
      <w:r w:rsidR="003D151C" w:rsidRPr="003D151C">
        <w:rPr>
          <w:rFonts w:ascii="Arial" w:hAnsi="Arial" w:cs="Arial"/>
          <w:szCs w:val="24"/>
        </w:rPr>
        <w:t xml:space="preserve">esto al </w:t>
      </w:r>
      <w:r w:rsidRPr="003D151C">
        <w:rPr>
          <w:rFonts w:ascii="Arial" w:hAnsi="Arial" w:cs="Arial"/>
          <w:szCs w:val="24"/>
        </w:rPr>
        <w:t>compart</w:t>
      </w:r>
      <w:r w:rsidR="003D151C" w:rsidRPr="003D151C">
        <w:rPr>
          <w:rFonts w:ascii="Arial" w:hAnsi="Arial" w:cs="Arial"/>
          <w:szCs w:val="24"/>
        </w:rPr>
        <w:t xml:space="preserve">irse </w:t>
      </w:r>
      <w:r w:rsidRPr="003D151C">
        <w:rPr>
          <w:rFonts w:ascii="Arial" w:hAnsi="Arial" w:cs="Arial"/>
          <w:szCs w:val="24"/>
        </w:rPr>
        <w:t xml:space="preserve">la tesis sentada por la </w:t>
      </w:r>
      <w:r w:rsidR="00494DFE" w:rsidRPr="003D151C">
        <w:rPr>
          <w:rFonts w:ascii="Arial" w:hAnsi="Arial" w:cs="Arial"/>
          <w:szCs w:val="24"/>
        </w:rPr>
        <w:t xml:space="preserve">Corte Suprema de Justicia en sentencia </w:t>
      </w:r>
      <w:proofErr w:type="spellStart"/>
      <w:r w:rsidR="00494DFE" w:rsidRPr="003D151C">
        <w:rPr>
          <w:rFonts w:ascii="Arial" w:hAnsi="Arial" w:cs="Arial"/>
          <w:szCs w:val="24"/>
        </w:rPr>
        <w:t>SL</w:t>
      </w:r>
      <w:proofErr w:type="spellEnd"/>
      <w:r w:rsidR="00494DFE" w:rsidRPr="003D151C">
        <w:rPr>
          <w:rFonts w:ascii="Arial" w:hAnsi="Arial" w:cs="Arial"/>
          <w:szCs w:val="24"/>
        </w:rPr>
        <w:t xml:space="preserve"> 2833 del 1-03-2017</w:t>
      </w:r>
      <w:r w:rsidRPr="003D151C">
        <w:rPr>
          <w:rFonts w:ascii="Arial" w:hAnsi="Arial" w:cs="Arial"/>
          <w:szCs w:val="24"/>
        </w:rPr>
        <w:t xml:space="preserve">, </w:t>
      </w:r>
      <w:r w:rsidR="000701AC" w:rsidRPr="003D151C">
        <w:rPr>
          <w:rFonts w:ascii="Arial" w:hAnsi="Arial" w:cs="Arial"/>
          <w:szCs w:val="24"/>
        </w:rPr>
        <w:t>radicado 53793</w:t>
      </w:r>
      <w:r w:rsidRPr="003D151C">
        <w:rPr>
          <w:rFonts w:ascii="Arial" w:hAnsi="Arial" w:cs="Arial"/>
          <w:szCs w:val="24"/>
        </w:rPr>
        <w:t>. Al respecto dijo esa Corporación:</w:t>
      </w:r>
    </w:p>
    <w:p w:rsidR="005D354E" w:rsidRDefault="005D354E" w:rsidP="005D354E">
      <w:pPr>
        <w:tabs>
          <w:tab w:val="left" w:pos="8647"/>
          <w:tab w:val="left" w:pos="9356"/>
        </w:tabs>
        <w:spacing w:line="276" w:lineRule="auto"/>
        <w:ind w:left="708"/>
        <w:jc w:val="both"/>
      </w:pPr>
    </w:p>
    <w:p w:rsidR="00C30626" w:rsidRPr="003D151C" w:rsidRDefault="005D354E" w:rsidP="005D354E">
      <w:pPr>
        <w:tabs>
          <w:tab w:val="left" w:pos="8647"/>
          <w:tab w:val="left" w:pos="9356"/>
        </w:tabs>
        <w:spacing w:line="276" w:lineRule="auto"/>
        <w:ind w:left="708"/>
        <w:jc w:val="both"/>
        <w:rPr>
          <w:rFonts w:ascii="Arial" w:hAnsi="Arial" w:cs="Arial"/>
          <w:i/>
        </w:rPr>
      </w:pPr>
      <w:r>
        <w:t>“</w:t>
      </w:r>
      <w:r w:rsidRPr="003D151C">
        <w:rPr>
          <w:rFonts w:ascii="Arial" w:hAnsi="Arial" w:cs="Arial"/>
          <w:i/>
        </w:rPr>
        <w:t>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w:t>
      </w:r>
    </w:p>
    <w:p w:rsidR="00C30626" w:rsidRPr="003D151C" w:rsidRDefault="00C30626" w:rsidP="005D354E">
      <w:pPr>
        <w:tabs>
          <w:tab w:val="left" w:pos="8647"/>
          <w:tab w:val="left" w:pos="9356"/>
        </w:tabs>
        <w:spacing w:line="276" w:lineRule="auto"/>
        <w:ind w:left="708"/>
        <w:jc w:val="both"/>
        <w:rPr>
          <w:rFonts w:ascii="Arial" w:hAnsi="Arial" w:cs="Arial"/>
          <w:i/>
        </w:rPr>
      </w:pPr>
    </w:p>
    <w:p w:rsidR="005D354E" w:rsidRPr="003D151C" w:rsidRDefault="005D354E" w:rsidP="005D354E">
      <w:pPr>
        <w:tabs>
          <w:tab w:val="left" w:pos="8647"/>
          <w:tab w:val="left" w:pos="9356"/>
        </w:tabs>
        <w:spacing w:line="276" w:lineRule="auto"/>
        <w:ind w:left="708"/>
        <w:jc w:val="both"/>
        <w:rPr>
          <w:rFonts w:ascii="Arial" w:hAnsi="Arial" w:cs="Arial"/>
          <w:i/>
          <w:szCs w:val="24"/>
        </w:rPr>
      </w:pPr>
      <w:r w:rsidRPr="003D151C">
        <w:rPr>
          <w:rFonts w:ascii="Arial" w:hAnsi="Arial" w:cs="Arial"/>
          <w:i/>
        </w:rPr>
        <w:t>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rsidR="005D354E" w:rsidRDefault="005D354E" w:rsidP="004D1594">
      <w:pPr>
        <w:tabs>
          <w:tab w:val="left" w:pos="8647"/>
          <w:tab w:val="left" w:pos="9356"/>
        </w:tabs>
        <w:jc w:val="both"/>
        <w:rPr>
          <w:rFonts w:ascii="Arial" w:hAnsi="Arial" w:cs="Arial"/>
          <w:szCs w:val="24"/>
        </w:rPr>
      </w:pPr>
    </w:p>
    <w:p w:rsidR="00681316" w:rsidRPr="00B70B1E" w:rsidRDefault="005D354E" w:rsidP="00B70B1E">
      <w:pPr>
        <w:tabs>
          <w:tab w:val="left" w:pos="8647"/>
          <w:tab w:val="left" w:pos="9356"/>
        </w:tabs>
        <w:spacing w:line="276" w:lineRule="auto"/>
        <w:jc w:val="both"/>
        <w:rPr>
          <w:rFonts w:ascii="Arial" w:hAnsi="Arial" w:cs="Arial"/>
          <w:szCs w:val="24"/>
        </w:rPr>
      </w:pPr>
      <w:r w:rsidRPr="00C30626">
        <w:rPr>
          <w:rFonts w:ascii="Arial" w:hAnsi="Arial" w:cs="Arial"/>
          <w:szCs w:val="24"/>
        </w:rPr>
        <w:t>Por lo anterior se</w:t>
      </w:r>
      <w:r w:rsidR="00494DFE" w:rsidRPr="00C30626">
        <w:rPr>
          <w:rFonts w:ascii="Arial" w:hAnsi="Arial" w:cs="Arial"/>
          <w:szCs w:val="24"/>
        </w:rPr>
        <w:t xml:space="preserve"> </w:t>
      </w:r>
      <w:r w:rsidR="000701AC" w:rsidRPr="00C30626">
        <w:rPr>
          <w:rFonts w:ascii="Arial" w:hAnsi="Arial" w:cs="Arial"/>
          <w:szCs w:val="24"/>
        </w:rPr>
        <w:t>modificar</w:t>
      </w:r>
      <w:r w:rsidR="00C90247" w:rsidRPr="00C30626">
        <w:rPr>
          <w:rFonts w:ascii="Arial" w:hAnsi="Arial" w:cs="Arial"/>
          <w:szCs w:val="24"/>
        </w:rPr>
        <w:t>á</w:t>
      </w:r>
      <w:r w:rsidRPr="00C30626">
        <w:rPr>
          <w:rFonts w:ascii="Arial" w:hAnsi="Arial" w:cs="Arial"/>
          <w:szCs w:val="24"/>
        </w:rPr>
        <w:t xml:space="preserve"> </w:t>
      </w:r>
      <w:r w:rsidR="000701AC" w:rsidRPr="00C30626">
        <w:rPr>
          <w:rFonts w:ascii="Arial" w:hAnsi="Arial" w:cs="Arial"/>
          <w:szCs w:val="24"/>
        </w:rPr>
        <w:t>la condena</w:t>
      </w:r>
      <w:r w:rsidR="00332DC1" w:rsidRPr="00C30626">
        <w:rPr>
          <w:rFonts w:ascii="Arial" w:hAnsi="Arial" w:cs="Arial"/>
          <w:szCs w:val="24"/>
        </w:rPr>
        <w:t>,</w:t>
      </w:r>
      <w:r w:rsidR="00C90247" w:rsidRPr="00C30626">
        <w:rPr>
          <w:rFonts w:ascii="Arial" w:hAnsi="Arial" w:cs="Arial"/>
          <w:szCs w:val="24"/>
        </w:rPr>
        <w:t xml:space="preserve"> y se tendrá como fecha final para tasar la indemnización moratoria el día 28-0</w:t>
      </w:r>
      <w:r w:rsidR="00E9050B" w:rsidRPr="00C30626">
        <w:rPr>
          <w:rFonts w:ascii="Arial" w:hAnsi="Arial" w:cs="Arial"/>
          <w:szCs w:val="24"/>
        </w:rPr>
        <w:t>9-2012, momento en que se ordenó</w:t>
      </w:r>
      <w:r w:rsidR="00C90247" w:rsidRPr="00C30626">
        <w:rPr>
          <w:rFonts w:ascii="Arial" w:hAnsi="Arial" w:cs="Arial"/>
          <w:szCs w:val="24"/>
        </w:rPr>
        <w:t xml:space="preserve"> la liquidación del </w:t>
      </w:r>
      <w:proofErr w:type="spellStart"/>
      <w:r w:rsidR="00C90247" w:rsidRPr="00C30626">
        <w:rPr>
          <w:rFonts w:ascii="Arial" w:hAnsi="Arial" w:cs="Arial"/>
          <w:szCs w:val="24"/>
        </w:rPr>
        <w:t>ISS</w:t>
      </w:r>
      <w:proofErr w:type="spellEnd"/>
      <w:r w:rsidR="003D151C">
        <w:rPr>
          <w:rFonts w:ascii="Arial" w:hAnsi="Arial" w:cs="Arial"/>
          <w:szCs w:val="24"/>
        </w:rPr>
        <w:t>,</w:t>
      </w:r>
      <w:r w:rsidR="00C30626" w:rsidRPr="00C30626">
        <w:rPr>
          <w:rFonts w:ascii="Arial" w:hAnsi="Arial" w:cs="Arial"/>
          <w:szCs w:val="24"/>
        </w:rPr>
        <w:t xml:space="preserve"> la que asciende a $4´192.248.</w:t>
      </w:r>
    </w:p>
    <w:p w:rsidR="001A2F06" w:rsidRPr="00042ADA" w:rsidRDefault="001A2F06" w:rsidP="004D1594">
      <w:pPr>
        <w:autoSpaceDE w:val="0"/>
        <w:autoSpaceDN w:val="0"/>
        <w:adjustRightInd w:val="0"/>
        <w:jc w:val="both"/>
        <w:rPr>
          <w:rFonts w:ascii="Arial" w:hAnsi="Arial" w:cs="Arial"/>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4D1594">
      <w:pPr>
        <w:jc w:val="center"/>
        <w:rPr>
          <w:rFonts w:ascii="Arial" w:hAnsi="Arial" w:cs="Arial"/>
          <w:b/>
          <w:szCs w:val="24"/>
        </w:rPr>
      </w:pPr>
    </w:p>
    <w:p w:rsidR="00F13FC0" w:rsidRPr="00400179" w:rsidRDefault="00746803" w:rsidP="00F13FC0">
      <w:pPr>
        <w:autoSpaceDE w:val="0"/>
        <w:autoSpaceDN w:val="0"/>
        <w:adjustRightInd w:val="0"/>
        <w:spacing w:line="276" w:lineRule="auto"/>
        <w:jc w:val="both"/>
        <w:rPr>
          <w:rFonts w:ascii="Arial" w:hAnsi="Arial" w:cs="Arial"/>
          <w:color w:val="000000"/>
          <w:szCs w:val="24"/>
          <w:lang w:eastAsia="es-CO"/>
        </w:rPr>
      </w:pPr>
      <w:r>
        <w:rPr>
          <w:rFonts w:ascii="Arial" w:hAnsi="Arial" w:cs="Arial"/>
          <w:color w:val="000000"/>
          <w:szCs w:val="16"/>
          <w:lang w:val="es-ES"/>
        </w:rPr>
        <w:t xml:space="preserve">En este orden de ideas </w:t>
      </w:r>
      <w:r w:rsidR="004B3927">
        <w:rPr>
          <w:rFonts w:ascii="Arial" w:hAnsi="Arial" w:cs="Arial"/>
          <w:color w:val="000000"/>
          <w:szCs w:val="16"/>
          <w:lang w:val="es-ES"/>
        </w:rPr>
        <w:t>p</w:t>
      </w:r>
      <w:r w:rsidR="00D746B6">
        <w:rPr>
          <w:rFonts w:ascii="Arial" w:hAnsi="Arial" w:cs="Arial"/>
          <w:color w:val="000000"/>
          <w:szCs w:val="16"/>
          <w:lang w:val="es-ES"/>
        </w:rPr>
        <w:t xml:space="preserve">rospera </w:t>
      </w:r>
      <w:r w:rsidR="00243B9C">
        <w:rPr>
          <w:rFonts w:ascii="Arial" w:hAnsi="Arial" w:cs="Arial"/>
          <w:color w:val="000000"/>
          <w:szCs w:val="16"/>
          <w:lang w:val="es-ES"/>
        </w:rPr>
        <w:t xml:space="preserve">el recurso de apelación </w:t>
      </w:r>
      <w:r w:rsidR="00D746B6">
        <w:rPr>
          <w:rFonts w:ascii="Arial" w:hAnsi="Arial" w:cs="Arial"/>
          <w:color w:val="000000"/>
          <w:szCs w:val="16"/>
          <w:lang w:val="es-ES"/>
        </w:rPr>
        <w:t>por lo que se modificar</w:t>
      </w:r>
      <w:r w:rsidR="003D151C">
        <w:rPr>
          <w:rFonts w:ascii="Arial" w:hAnsi="Arial" w:cs="Arial"/>
          <w:color w:val="000000"/>
          <w:szCs w:val="16"/>
          <w:lang w:val="es-ES"/>
        </w:rPr>
        <w:t>á</w:t>
      </w:r>
      <w:r w:rsidR="00D746B6">
        <w:rPr>
          <w:rFonts w:ascii="Arial" w:hAnsi="Arial" w:cs="Arial"/>
          <w:color w:val="000000"/>
          <w:szCs w:val="16"/>
          <w:lang w:val="es-ES"/>
        </w:rPr>
        <w:t xml:space="preserve"> </w:t>
      </w:r>
      <w:r w:rsidR="001A2F06">
        <w:rPr>
          <w:rFonts w:ascii="Arial" w:hAnsi="Arial" w:cs="Arial"/>
          <w:color w:val="000000"/>
          <w:szCs w:val="16"/>
          <w:lang w:val="es-ES"/>
        </w:rPr>
        <w:t xml:space="preserve">y </w:t>
      </w:r>
      <w:r w:rsidR="00B70B1E">
        <w:rPr>
          <w:rFonts w:ascii="Arial" w:hAnsi="Arial" w:cs="Arial"/>
          <w:color w:val="000000"/>
          <w:szCs w:val="16"/>
          <w:lang w:val="es-ES"/>
        </w:rPr>
        <w:t xml:space="preserve">se </w:t>
      </w:r>
      <w:r w:rsidR="001A2F06">
        <w:rPr>
          <w:rFonts w:ascii="Arial" w:hAnsi="Arial" w:cs="Arial"/>
          <w:color w:val="000000"/>
          <w:szCs w:val="16"/>
          <w:lang w:val="es-ES"/>
        </w:rPr>
        <w:t>revocará</w:t>
      </w:r>
      <w:r w:rsidR="00B70B1E">
        <w:rPr>
          <w:rFonts w:ascii="Arial" w:hAnsi="Arial" w:cs="Arial"/>
          <w:color w:val="000000"/>
          <w:szCs w:val="16"/>
          <w:lang w:val="es-ES"/>
        </w:rPr>
        <w:t xml:space="preserve"> el numeral</w:t>
      </w:r>
      <w:r w:rsidR="00D746B6">
        <w:rPr>
          <w:rFonts w:ascii="Arial" w:hAnsi="Arial" w:cs="Arial"/>
          <w:color w:val="000000"/>
          <w:szCs w:val="16"/>
          <w:lang w:val="es-ES"/>
        </w:rPr>
        <w:t xml:space="preserve"> tercero, en los ítem relacionados con la compensación </w:t>
      </w:r>
      <w:r w:rsidR="00BE0A08">
        <w:rPr>
          <w:rFonts w:ascii="Arial" w:hAnsi="Arial" w:cs="Arial"/>
          <w:color w:val="000000"/>
          <w:szCs w:val="16"/>
          <w:lang w:val="es-ES"/>
        </w:rPr>
        <w:t>de vacaciones</w:t>
      </w:r>
      <w:r w:rsidR="00B70B1E">
        <w:rPr>
          <w:rFonts w:ascii="Arial" w:hAnsi="Arial" w:cs="Arial"/>
          <w:color w:val="000000"/>
          <w:szCs w:val="16"/>
          <w:lang w:val="es-ES"/>
        </w:rPr>
        <w:t>, interese</w:t>
      </w:r>
      <w:r w:rsidR="0071624B">
        <w:rPr>
          <w:rFonts w:ascii="Arial" w:hAnsi="Arial" w:cs="Arial"/>
          <w:color w:val="000000"/>
          <w:szCs w:val="16"/>
          <w:lang w:val="es-ES"/>
        </w:rPr>
        <w:t>s</w:t>
      </w:r>
      <w:r w:rsidR="00B70B1E">
        <w:rPr>
          <w:rFonts w:ascii="Arial" w:hAnsi="Arial" w:cs="Arial"/>
          <w:color w:val="000000"/>
          <w:szCs w:val="16"/>
          <w:lang w:val="es-ES"/>
        </w:rPr>
        <w:t xml:space="preserve"> a las cesantías</w:t>
      </w:r>
      <w:r w:rsidR="00541DBF">
        <w:rPr>
          <w:rFonts w:ascii="Arial" w:hAnsi="Arial" w:cs="Arial"/>
          <w:color w:val="000000"/>
          <w:szCs w:val="16"/>
          <w:lang w:val="es-ES"/>
        </w:rPr>
        <w:t>,</w:t>
      </w:r>
      <w:r>
        <w:rPr>
          <w:rFonts w:ascii="Arial" w:hAnsi="Arial" w:cs="Arial"/>
          <w:color w:val="000000"/>
          <w:szCs w:val="16"/>
          <w:lang w:val="es-ES"/>
        </w:rPr>
        <w:t xml:space="preserve"> sanción por no pago de cesantías</w:t>
      </w:r>
      <w:r w:rsidR="00D746B6">
        <w:rPr>
          <w:rFonts w:ascii="Arial" w:hAnsi="Arial" w:cs="Arial"/>
          <w:color w:val="000000"/>
          <w:szCs w:val="16"/>
          <w:lang w:val="es-ES"/>
        </w:rPr>
        <w:t xml:space="preserve"> </w:t>
      </w:r>
      <w:r w:rsidR="00541DBF">
        <w:rPr>
          <w:rFonts w:ascii="Arial" w:hAnsi="Arial" w:cs="Arial"/>
          <w:color w:val="000000"/>
          <w:szCs w:val="16"/>
          <w:lang w:val="es-ES"/>
        </w:rPr>
        <w:t xml:space="preserve">y </w:t>
      </w:r>
      <w:r w:rsidR="00D746B6">
        <w:rPr>
          <w:rFonts w:ascii="Arial" w:hAnsi="Arial" w:cs="Arial"/>
          <w:color w:val="000000"/>
          <w:szCs w:val="16"/>
          <w:lang w:val="es-ES"/>
        </w:rPr>
        <w:t>devolución de aportes de la seguridad social</w:t>
      </w:r>
      <w:r w:rsidR="00541DBF">
        <w:rPr>
          <w:rFonts w:ascii="Arial" w:hAnsi="Arial" w:cs="Arial"/>
          <w:color w:val="000000"/>
          <w:szCs w:val="16"/>
          <w:lang w:val="es-ES"/>
        </w:rPr>
        <w:t>,</w:t>
      </w:r>
      <w:r w:rsidR="00D037E4">
        <w:rPr>
          <w:rFonts w:ascii="Arial" w:hAnsi="Arial" w:cs="Arial"/>
          <w:color w:val="000000"/>
          <w:szCs w:val="16"/>
          <w:lang w:val="es-ES"/>
        </w:rPr>
        <w:t xml:space="preserve"> igual</w:t>
      </w:r>
      <w:r w:rsidR="00541DBF">
        <w:rPr>
          <w:rFonts w:ascii="Arial" w:hAnsi="Arial" w:cs="Arial"/>
          <w:color w:val="000000"/>
          <w:szCs w:val="16"/>
          <w:lang w:val="es-ES"/>
        </w:rPr>
        <w:t xml:space="preserve">mente se modificará </w:t>
      </w:r>
      <w:r w:rsidR="00D037E4">
        <w:rPr>
          <w:rFonts w:ascii="Arial" w:hAnsi="Arial" w:cs="Arial"/>
          <w:color w:val="000000"/>
          <w:szCs w:val="16"/>
          <w:lang w:val="es-ES"/>
        </w:rPr>
        <w:t>el numeral cuarto</w:t>
      </w:r>
      <w:r w:rsidR="00541DBF">
        <w:rPr>
          <w:rFonts w:ascii="Arial" w:hAnsi="Arial" w:cs="Arial"/>
          <w:color w:val="000000"/>
          <w:szCs w:val="16"/>
          <w:lang w:val="es-ES"/>
        </w:rPr>
        <w:t xml:space="preserve"> </w:t>
      </w:r>
      <w:r w:rsidR="003D151C">
        <w:rPr>
          <w:rFonts w:ascii="Arial" w:hAnsi="Arial" w:cs="Arial"/>
          <w:color w:val="000000"/>
          <w:szCs w:val="16"/>
          <w:lang w:val="es-ES"/>
        </w:rPr>
        <w:t>en los términos mencionados</w:t>
      </w:r>
    </w:p>
    <w:p w:rsidR="0004622A" w:rsidRPr="00400179" w:rsidRDefault="0004622A" w:rsidP="004D1594">
      <w:pPr>
        <w:jc w:val="both"/>
        <w:rPr>
          <w:rFonts w:ascii="Arial" w:hAnsi="Arial" w:cs="Arial"/>
          <w:szCs w:val="24"/>
        </w:rPr>
      </w:pPr>
    </w:p>
    <w:p w:rsidR="004A557F" w:rsidRPr="00400179" w:rsidRDefault="00F13FC0" w:rsidP="00C30626">
      <w:pPr>
        <w:tabs>
          <w:tab w:val="left" w:pos="8647"/>
          <w:tab w:val="left" w:pos="9356"/>
        </w:tabs>
        <w:spacing w:line="276" w:lineRule="auto"/>
        <w:jc w:val="both"/>
        <w:rPr>
          <w:rFonts w:ascii="Arial" w:hAnsi="Arial" w:cs="Arial"/>
          <w:szCs w:val="24"/>
        </w:rPr>
      </w:pPr>
      <w:r w:rsidRPr="00400179">
        <w:rPr>
          <w:rFonts w:ascii="Arial" w:hAnsi="Arial" w:cs="Arial"/>
          <w:szCs w:val="28"/>
          <w:lang w:eastAsia="en-US"/>
        </w:rPr>
        <w:lastRenderedPageBreak/>
        <w:t>Sin c</w:t>
      </w:r>
      <w:r w:rsidR="00BD1E53" w:rsidRPr="00400179">
        <w:rPr>
          <w:rFonts w:ascii="Arial" w:hAnsi="Arial" w:cs="Arial"/>
          <w:szCs w:val="28"/>
          <w:lang w:eastAsia="en-US"/>
        </w:rPr>
        <w:t>os</w:t>
      </w:r>
      <w:r w:rsidR="00F769F6" w:rsidRPr="00400179">
        <w:rPr>
          <w:rFonts w:ascii="Arial" w:hAnsi="Arial" w:cs="Arial"/>
          <w:szCs w:val="28"/>
          <w:lang w:eastAsia="en-US"/>
        </w:rPr>
        <w:t xml:space="preserve">tas en esta instancia </w:t>
      </w:r>
      <w:r w:rsidR="00B70B1E">
        <w:rPr>
          <w:rFonts w:ascii="Arial" w:hAnsi="Arial" w:cs="Arial"/>
          <w:szCs w:val="28"/>
          <w:lang w:eastAsia="en-US"/>
        </w:rPr>
        <w:t>al</w:t>
      </w:r>
      <w:r w:rsidRPr="00400179">
        <w:rPr>
          <w:rFonts w:ascii="Arial" w:hAnsi="Arial" w:cs="Arial"/>
          <w:szCs w:val="28"/>
          <w:lang w:eastAsia="en-US"/>
        </w:rPr>
        <w:t xml:space="preserve"> prosperar parcialmente el recurso de apelación</w:t>
      </w:r>
      <w:r w:rsidR="00B70B1E">
        <w:rPr>
          <w:rFonts w:ascii="Arial" w:hAnsi="Arial" w:cs="Arial"/>
          <w:szCs w:val="28"/>
          <w:lang w:eastAsia="en-US"/>
        </w:rPr>
        <w:t xml:space="preserve"> y tratarse del grado jurisdiccional de consulta</w:t>
      </w:r>
      <w:r w:rsidR="000922D0" w:rsidRPr="00400179">
        <w:rPr>
          <w:rFonts w:ascii="Arial" w:hAnsi="Arial" w:cs="Arial"/>
          <w:szCs w:val="28"/>
          <w:lang w:eastAsia="en-US"/>
        </w:rPr>
        <w:t>.</w:t>
      </w:r>
    </w:p>
    <w:p w:rsidR="00284B78" w:rsidRPr="00400179" w:rsidRDefault="00284B78" w:rsidP="004D1594">
      <w:pPr>
        <w:jc w:val="center"/>
        <w:rPr>
          <w:rFonts w:ascii="Arial" w:hAnsi="Arial" w:cs="Arial"/>
          <w:b/>
          <w:szCs w:val="24"/>
        </w:rPr>
      </w:pPr>
    </w:p>
    <w:p w:rsidR="00DF4DE4" w:rsidRPr="00400179" w:rsidRDefault="00DF4DE4" w:rsidP="00DF4DE4">
      <w:pPr>
        <w:spacing w:line="276" w:lineRule="auto"/>
        <w:jc w:val="center"/>
        <w:rPr>
          <w:rFonts w:ascii="Arial" w:hAnsi="Arial" w:cs="Arial"/>
          <w:b/>
          <w:szCs w:val="24"/>
        </w:rPr>
      </w:pPr>
      <w:r w:rsidRPr="00400179">
        <w:rPr>
          <w:rFonts w:ascii="Arial" w:hAnsi="Arial" w:cs="Arial"/>
          <w:b/>
          <w:szCs w:val="24"/>
        </w:rPr>
        <w:t>DECISIÓN</w:t>
      </w:r>
    </w:p>
    <w:p w:rsidR="00104110" w:rsidRPr="00400179" w:rsidRDefault="00104110" w:rsidP="00F017BF">
      <w:pPr>
        <w:autoSpaceDE w:val="0"/>
        <w:autoSpaceDN w:val="0"/>
        <w:adjustRightInd w:val="0"/>
        <w:spacing w:line="276" w:lineRule="auto"/>
        <w:ind w:firstLine="858"/>
        <w:jc w:val="both"/>
        <w:rPr>
          <w:rFonts w:ascii="Arial" w:hAnsi="Arial" w:cs="Arial"/>
          <w:szCs w:val="24"/>
        </w:rPr>
      </w:pPr>
    </w:p>
    <w:p w:rsidR="00226D5F" w:rsidRPr="00400179" w:rsidRDefault="00226D5F" w:rsidP="00385D77">
      <w:pPr>
        <w:pStyle w:val="Prrafodelista2"/>
        <w:spacing w:after="0"/>
        <w:ind w:left="0"/>
        <w:jc w:val="both"/>
        <w:rPr>
          <w:rFonts w:ascii="Arial" w:hAnsi="Arial" w:cs="Arial"/>
          <w:sz w:val="24"/>
          <w:szCs w:val="24"/>
        </w:rPr>
      </w:pPr>
      <w:r w:rsidRPr="00400179">
        <w:rPr>
          <w:rFonts w:ascii="Arial" w:hAnsi="Arial" w:cs="Arial"/>
          <w:sz w:val="24"/>
          <w:szCs w:val="24"/>
        </w:rPr>
        <w:t xml:space="preserve">En mérito de lo expuesto, el </w:t>
      </w:r>
      <w:r w:rsidRPr="00400179">
        <w:rPr>
          <w:rFonts w:ascii="Arial" w:hAnsi="Arial" w:cs="Arial"/>
          <w:b/>
          <w:sz w:val="24"/>
          <w:szCs w:val="24"/>
        </w:rPr>
        <w:t>Tribunal Superior del Distrito Judicial de Pereira</w:t>
      </w:r>
      <w:r w:rsidR="00C40724" w:rsidRPr="00400179">
        <w:rPr>
          <w:rFonts w:ascii="Arial" w:hAnsi="Arial" w:cs="Arial"/>
          <w:b/>
          <w:sz w:val="24"/>
          <w:szCs w:val="24"/>
        </w:rPr>
        <w:t xml:space="preserve"> </w:t>
      </w:r>
      <w:r w:rsidRPr="00400179">
        <w:rPr>
          <w:rFonts w:ascii="Arial" w:hAnsi="Arial" w:cs="Arial"/>
          <w:b/>
          <w:sz w:val="24"/>
          <w:szCs w:val="24"/>
        </w:rPr>
        <w:t>Risaralda, Sala</w:t>
      </w:r>
      <w:r w:rsidR="00050BF0">
        <w:rPr>
          <w:rFonts w:ascii="Arial" w:hAnsi="Arial" w:cs="Arial"/>
          <w:b/>
          <w:sz w:val="24"/>
          <w:szCs w:val="24"/>
        </w:rPr>
        <w:t xml:space="preserve"> Segunda</w:t>
      </w:r>
      <w:r w:rsidRPr="00400179">
        <w:rPr>
          <w:rFonts w:ascii="Arial" w:hAnsi="Arial" w:cs="Arial"/>
          <w:b/>
          <w:sz w:val="24"/>
          <w:szCs w:val="24"/>
        </w:rPr>
        <w:t xml:space="preserve"> Laboral,</w:t>
      </w:r>
      <w:r w:rsidRPr="00400179">
        <w:rPr>
          <w:rFonts w:ascii="Arial" w:hAnsi="Arial" w:cs="Arial"/>
          <w:sz w:val="24"/>
          <w:szCs w:val="24"/>
        </w:rPr>
        <w:t xml:space="preserve"> administrando justicia en nombre de la República y por autoridad de la ley,</w:t>
      </w:r>
    </w:p>
    <w:p w:rsidR="00D578CB" w:rsidRPr="00E32B0A" w:rsidRDefault="00D578CB" w:rsidP="00F017BF">
      <w:pPr>
        <w:pStyle w:val="Prrafodelista2"/>
        <w:spacing w:after="0"/>
        <w:ind w:left="0" w:firstLine="708"/>
        <w:jc w:val="both"/>
        <w:rPr>
          <w:rFonts w:ascii="Arial" w:hAnsi="Arial" w:cs="Arial"/>
          <w:sz w:val="24"/>
          <w:szCs w:val="24"/>
          <w:highlight w:val="green"/>
        </w:rPr>
      </w:pPr>
    </w:p>
    <w:p w:rsidR="00226D5F" w:rsidRDefault="00D578CB" w:rsidP="00F017BF">
      <w:pPr>
        <w:spacing w:line="276" w:lineRule="auto"/>
        <w:jc w:val="center"/>
        <w:rPr>
          <w:rFonts w:ascii="Arial" w:hAnsi="Arial" w:cs="Arial"/>
          <w:b/>
          <w:szCs w:val="24"/>
        </w:rPr>
      </w:pPr>
      <w:r w:rsidRPr="006B6933">
        <w:rPr>
          <w:rFonts w:ascii="Arial" w:hAnsi="Arial" w:cs="Arial"/>
          <w:b/>
          <w:szCs w:val="24"/>
        </w:rPr>
        <w:t>RESUELVE</w:t>
      </w:r>
    </w:p>
    <w:p w:rsidR="00086016" w:rsidRPr="006B6933" w:rsidRDefault="00086016" w:rsidP="00F017BF">
      <w:pPr>
        <w:spacing w:line="276" w:lineRule="auto"/>
        <w:jc w:val="center"/>
        <w:rPr>
          <w:rFonts w:ascii="Arial" w:hAnsi="Arial" w:cs="Arial"/>
          <w:b/>
          <w:szCs w:val="24"/>
        </w:rPr>
      </w:pPr>
    </w:p>
    <w:p w:rsidR="00050BF0" w:rsidRDefault="00572BE9" w:rsidP="00050BF0">
      <w:pPr>
        <w:spacing w:line="276" w:lineRule="auto"/>
        <w:jc w:val="both"/>
        <w:rPr>
          <w:rFonts w:ascii="Arial" w:hAnsi="Arial" w:cs="Arial"/>
          <w:szCs w:val="24"/>
          <w:lang w:val="es-ES"/>
        </w:rPr>
      </w:pPr>
      <w:r w:rsidRPr="006B6933">
        <w:rPr>
          <w:rFonts w:ascii="Arial" w:hAnsi="Arial" w:cs="Arial"/>
          <w:b/>
          <w:spacing w:val="-2"/>
          <w:szCs w:val="24"/>
        </w:rPr>
        <w:t>PRIMERO</w:t>
      </w:r>
      <w:r w:rsidR="004E66C9" w:rsidRPr="006B6933">
        <w:rPr>
          <w:rFonts w:ascii="Arial" w:hAnsi="Arial" w:cs="Arial"/>
          <w:b/>
          <w:spacing w:val="-2"/>
          <w:szCs w:val="24"/>
        </w:rPr>
        <w:t>.</w:t>
      </w:r>
      <w:r w:rsidRPr="006B6933">
        <w:rPr>
          <w:rFonts w:ascii="Arial" w:hAnsi="Arial" w:cs="Arial"/>
          <w:b/>
          <w:spacing w:val="-2"/>
          <w:szCs w:val="24"/>
        </w:rPr>
        <w:t xml:space="preserve"> </w:t>
      </w:r>
      <w:r w:rsidR="007D2659">
        <w:rPr>
          <w:rFonts w:ascii="Arial" w:hAnsi="Arial" w:cs="Arial"/>
          <w:b/>
          <w:spacing w:val="-2"/>
          <w:szCs w:val="24"/>
        </w:rPr>
        <w:t>MODIFICAR</w:t>
      </w:r>
      <w:r w:rsidR="00B70B1E">
        <w:rPr>
          <w:rFonts w:ascii="Arial" w:hAnsi="Arial" w:cs="Arial"/>
          <w:b/>
          <w:spacing w:val="-2"/>
          <w:szCs w:val="24"/>
        </w:rPr>
        <w:t xml:space="preserve"> </w:t>
      </w:r>
      <w:r w:rsidR="00B70B1E" w:rsidRPr="00B70B1E">
        <w:rPr>
          <w:rFonts w:ascii="Arial" w:hAnsi="Arial" w:cs="Arial"/>
          <w:spacing w:val="-2"/>
          <w:szCs w:val="24"/>
        </w:rPr>
        <w:t>parcialmente</w:t>
      </w:r>
      <w:r w:rsidR="00B70B1E">
        <w:rPr>
          <w:rFonts w:ascii="Arial" w:hAnsi="Arial" w:cs="Arial"/>
          <w:b/>
          <w:spacing w:val="-2"/>
          <w:szCs w:val="24"/>
        </w:rPr>
        <w:t xml:space="preserve"> </w:t>
      </w:r>
      <w:r w:rsidR="007F45E8">
        <w:rPr>
          <w:rFonts w:ascii="Arial" w:hAnsi="Arial" w:cs="Arial"/>
          <w:spacing w:val="-2"/>
          <w:szCs w:val="24"/>
        </w:rPr>
        <w:t xml:space="preserve">el numeral tercero </w:t>
      </w:r>
      <w:r w:rsidR="00B25CBE">
        <w:rPr>
          <w:rFonts w:ascii="Arial" w:hAnsi="Arial" w:cs="Arial"/>
          <w:szCs w:val="24"/>
          <w:lang w:val="es-ES"/>
        </w:rPr>
        <w:t>de la sentencia</w:t>
      </w:r>
      <w:r w:rsidR="00746803">
        <w:rPr>
          <w:rFonts w:ascii="Arial" w:hAnsi="Arial" w:cs="Arial"/>
          <w:szCs w:val="24"/>
          <w:lang w:val="es-ES"/>
        </w:rPr>
        <w:t xml:space="preserve"> proferida el 11 de mayo de 2017 por el Juzgado Quinto del circuito de Pereira dentro del proceso que promueve el señor Andrés Felipe Gómez Dávila contra el Instituto de Seguros Sociales</w:t>
      </w:r>
      <w:r w:rsidR="00B25CBE">
        <w:rPr>
          <w:rFonts w:ascii="Arial" w:hAnsi="Arial" w:cs="Arial"/>
          <w:szCs w:val="24"/>
          <w:lang w:val="es-ES"/>
        </w:rPr>
        <w:t>, en los ítems que corresponden a la compensación de vacaciones y a la devolución de aportes</w:t>
      </w:r>
      <w:r w:rsidR="00BE0A08">
        <w:rPr>
          <w:rFonts w:ascii="Arial" w:hAnsi="Arial" w:cs="Arial"/>
          <w:szCs w:val="24"/>
          <w:lang w:val="es-ES"/>
        </w:rPr>
        <w:t xml:space="preserve">, al igual que </w:t>
      </w:r>
      <w:r w:rsidR="00B70B1E">
        <w:rPr>
          <w:rFonts w:ascii="Arial" w:hAnsi="Arial" w:cs="Arial"/>
          <w:szCs w:val="24"/>
          <w:lang w:val="es-ES"/>
        </w:rPr>
        <w:t>a lo relacionado con el interés</w:t>
      </w:r>
      <w:r w:rsidR="00BE0A08">
        <w:rPr>
          <w:rFonts w:ascii="Arial" w:hAnsi="Arial" w:cs="Arial"/>
          <w:szCs w:val="24"/>
          <w:lang w:val="es-ES"/>
        </w:rPr>
        <w:t xml:space="preserve"> a las cesantías</w:t>
      </w:r>
      <w:r w:rsidR="00B25CBE">
        <w:rPr>
          <w:rFonts w:ascii="Arial" w:hAnsi="Arial" w:cs="Arial"/>
          <w:szCs w:val="24"/>
          <w:lang w:val="es-ES"/>
        </w:rPr>
        <w:t xml:space="preserve">; Y </w:t>
      </w:r>
      <w:r w:rsidR="00B25CBE">
        <w:rPr>
          <w:rFonts w:ascii="Arial" w:hAnsi="Arial" w:cs="Arial"/>
          <w:b/>
          <w:szCs w:val="24"/>
          <w:lang w:val="es-ES"/>
        </w:rPr>
        <w:t xml:space="preserve">REVOCAR </w:t>
      </w:r>
      <w:r w:rsidR="00B25CBE">
        <w:rPr>
          <w:rFonts w:ascii="Arial" w:hAnsi="Arial" w:cs="Arial"/>
          <w:szCs w:val="24"/>
          <w:lang w:val="es-ES"/>
        </w:rPr>
        <w:t xml:space="preserve">el ítem correspondiente a la sanción por no pago de cesantías; </w:t>
      </w:r>
      <w:r w:rsidR="00746803">
        <w:rPr>
          <w:rFonts w:ascii="Arial" w:hAnsi="Arial" w:cs="Arial"/>
          <w:szCs w:val="24"/>
          <w:lang w:val="es-ES"/>
        </w:rPr>
        <w:t>el</w:t>
      </w:r>
      <w:r w:rsidR="00B25CBE">
        <w:rPr>
          <w:rFonts w:ascii="Arial" w:hAnsi="Arial" w:cs="Arial"/>
          <w:szCs w:val="24"/>
          <w:lang w:val="es-ES"/>
        </w:rPr>
        <w:t xml:space="preserve">  que queda así</w:t>
      </w:r>
      <w:r w:rsidR="00746803">
        <w:rPr>
          <w:rFonts w:ascii="Arial" w:hAnsi="Arial" w:cs="Arial"/>
          <w:szCs w:val="24"/>
          <w:lang w:val="es-ES"/>
        </w:rPr>
        <w:t xml:space="preserve"> para mejor comprensión</w:t>
      </w:r>
      <w:r w:rsidR="00B25CBE">
        <w:rPr>
          <w:rFonts w:ascii="Arial" w:hAnsi="Arial" w:cs="Arial"/>
          <w:szCs w:val="24"/>
          <w:lang w:val="es-ES"/>
        </w:rPr>
        <w:t>:</w:t>
      </w:r>
    </w:p>
    <w:p w:rsidR="00B25CBE" w:rsidRDefault="00B25CBE" w:rsidP="00050BF0">
      <w:pPr>
        <w:spacing w:line="276" w:lineRule="auto"/>
        <w:jc w:val="both"/>
        <w:rPr>
          <w:rFonts w:ascii="Arial" w:hAnsi="Arial" w:cs="Arial"/>
          <w:szCs w:val="24"/>
          <w:lang w:val="es-ES"/>
        </w:rPr>
      </w:pPr>
    </w:p>
    <w:p w:rsidR="00B25CBE" w:rsidRPr="00C30626" w:rsidRDefault="00B25CBE" w:rsidP="00C30626">
      <w:pPr>
        <w:spacing w:line="276" w:lineRule="auto"/>
        <w:ind w:left="283" w:right="283"/>
        <w:jc w:val="both"/>
        <w:rPr>
          <w:rFonts w:ascii="Arial" w:hAnsi="Arial" w:cs="Arial"/>
          <w:i/>
          <w:sz w:val="22"/>
          <w:szCs w:val="22"/>
          <w:lang w:val="es-ES"/>
        </w:rPr>
      </w:pPr>
      <w:r w:rsidRPr="00C30626">
        <w:rPr>
          <w:rFonts w:ascii="Arial" w:hAnsi="Arial" w:cs="Arial"/>
          <w:b/>
          <w:i/>
          <w:sz w:val="22"/>
          <w:szCs w:val="22"/>
          <w:lang w:val="es-ES"/>
        </w:rPr>
        <w:t xml:space="preserve">TERCERO: CONDENAR, </w:t>
      </w:r>
      <w:r w:rsidRPr="00C30626">
        <w:rPr>
          <w:rFonts w:ascii="Arial" w:hAnsi="Arial" w:cs="Arial"/>
          <w:i/>
          <w:sz w:val="22"/>
          <w:szCs w:val="22"/>
          <w:lang w:val="es-ES"/>
        </w:rPr>
        <w:t xml:space="preserve">como consecuencia de la anterior decisión, al INSTITUTO DE SEGUROS SOCIALES LIQUIDADO representado por el </w:t>
      </w:r>
      <w:proofErr w:type="spellStart"/>
      <w:r w:rsidRPr="00C30626">
        <w:rPr>
          <w:rFonts w:ascii="Arial" w:hAnsi="Arial" w:cs="Arial"/>
          <w:i/>
          <w:sz w:val="22"/>
          <w:szCs w:val="22"/>
          <w:lang w:val="es-ES"/>
        </w:rPr>
        <w:t>PARISS</w:t>
      </w:r>
      <w:proofErr w:type="spellEnd"/>
      <w:r w:rsidRPr="00C30626">
        <w:rPr>
          <w:rFonts w:ascii="Arial" w:hAnsi="Arial" w:cs="Arial"/>
          <w:i/>
          <w:sz w:val="22"/>
          <w:szCs w:val="22"/>
          <w:lang w:val="es-ES"/>
        </w:rPr>
        <w:t xml:space="preserve">, a pagar a favor del señor </w:t>
      </w:r>
      <w:proofErr w:type="spellStart"/>
      <w:r w:rsidRPr="00C30626">
        <w:rPr>
          <w:rFonts w:ascii="Arial" w:hAnsi="Arial" w:cs="Arial"/>
          <w:i/>
          <w:sz w:val="22"/>
          <w:szCs w:val="22"/>
          <w:lang w:val="es-ES"/>
        </w:rPr>
        <w:t>ANDRES</w:t>
      </w:r>
      <w:proofErr w:type="spellEnd"/>
      <w:r w:rsidRPr="00C30626">
        <w:rPr>
          <w:rFonts w:ascii="Arial" w:hAnsi="Arial" w:cs="Arial"/>
          <w:i/>
          <w:sz w:val="22"/>
          <w:szCs w:val="22"/>
          <w:lang w:val="es-ES"/>
        </w:rPr>
        <w:t xml:space="preserve"> FELIPE </w:t>
      </w:r>
      <w:proofErr w:type="spellStart"/>
      <w:r w:rsidRPr="00C30626">
        <w:rPr>
          <w:rFonts w:ascii="Arial" w:hAnsi="Arial" w:cs="Arial"/>
          <w:i/>
          <w:sz w:val="22"/>
          <w:szCs w:val="22"/>
          <w:lang w:val="es-ES"/>
        </w:rPr>
        <w:t>GOMEZ</w:t>
      </w:r>
      <w:proofErr w:type="spellEnd"/>
      <w:r w:rsidRPr="00C30626">
        <w:rPr>
          <w:rFonts w:ascii="Arial" w:hAnsi="Arial" w:cs="Arial"/>
          <w:i/>
          <w:sz w:val="22"/>
          <w:szCs w:val="22"/>
          <w:lang w:val="es-ES"/>
        </w:rPr>
        <w:t xml:space="preserve"> </w:t>
      </w:r>
      <w:proofErr w:type="spellStart"/>
      <w:r w:rsidRPr="00C30626">
        <w:rPr>
          <w:rFonts w:ascii="Arial" w:hAnsi="Arial" w:cs="Arial"/>
          <w:i/>
          <w:sz w:val="22"/>
          <w:szCs w:val="22"/>
          <w:lang w:val="es-ES"/>
        </w:rPr>
        <w:t>DAVILA</w:t>
      </w:r>
      <w:proofErr w:type="spellEnd"/>
      <w:r w:rsidRPr="00C30626">
        <w:rPr>
          <w:rFonts w:ascii="Arial" w:hAnsi="Arial" w:cs="Arial"/>
          <w:i/>
          <w:sz w:val="22"/>
          <w:szCs w:val="22"/>
          <w:lang w:val="es-ES"/>
        </w:rPr>
        <w:t xml:space="preserve"> las siguientes sumas de dinero, derivadas del contrato de trabajo que aquí se atendió, as</w:t>
      </w:r>
      <w:r w:rsidR="00C30626" w:rsidRPr="00C30626">
        <w:rPr>
          <w:rFonts w:ascii="Arial" w:hAnsi="Arial" w:cs="Arial"/>
          <w:i/>
          <w:sz w:val="22"/>
          <w:szCs w:val="22"/>
          <w:lang w:val="es-ES"/>
        </w:rPr>
        <w:t>í:</w:t>
      </w:r>
    </w:p>
    <w:p w:rsidR="00B25CBE" w:rsidRDefault="00B25CBE" w:rsidP="00B25CBE">
      <w:pPr>
        <w:spacing w:line="276" w:lineRule="auto"/>
        <w:ind w:left="705"/>
        <w:jc w:val="both"/>
        <w:rPr>
          <w:rFonts w:ascii="Arial" w:hAnsi="Arial" w:cs="Arial"/>
          <w:szCs w:val="24"/>
          <w:lang w:val="es-ES"/>
        </w:rPr>
      </w:pPr>
    </w:p>
    <w:tbl>
      <w:tblPr>
        <w:tblStyle w:val="Tablaconcuadrcula"/>
        <w:tblW w:w="0" w:type="auto"/>
        <w:tblInd w:w="705" w:type="dxa"/>
        <w:tblLook w:val="04A0" w:firstRow="1" w:lastRow="0" w:firstColumn="1" w:lastColumn="0" w:noHBand="0" w:noVBand="1"/>
      </w:tblPr>
      <w:tblGrid>
        <w:gridCol w:w="4088"/>
        <w:gridCol w:w="4037"/>
      </w:tblGrid>
      <w:tr w:rsidR="00B25CBE" w:rsidTr="00B25CBE">
        <w:tc>
          <w:tcPr>
            <w:tcW w:w="4415" w:type="dxa"/>
          </w:tcPr>
          <w:p w:rsidR="00B25CBE" w:rsidRPr="00B25CBE" w:rsidRDefault="00B25CBE" w:rsidP="00B25CBE">
            <w:pPr>
              <w:spacing w:line="276" w:lineRule="auto"/>
              <w:jc w:val="both"/>
              <w:rPr>
                <w:rFonts w:ascii="Arial" w:hAnsi="Arial" w:cs="Arial"/>
                <w:b/>
                <w:szCs w:val="24"/>
                <w:lang w:val="es-ES"/>
              </w:rPr>
            </w:pPr>
            <w:r w:rsidRPr="00B25CBE">
              <w:rPr>
                <w:rFonts w:ascii="Arial" w:hAnsi="Arial" w:cs="Arial"/>
                <w:b/>
                <w:szCs w:val="24"/>
                <w:lang w:val="es-ES"/>
              </w:rPr>
              <w:t xml:space="preserve">CONCEPTO </w:t>
            </w:r>
          </w:p>
        </w:tc>
        <w:tc>
          <w:tcPr>
            <w:tcW w:w="4415" w:type="dxa"/>
          </w:tcPr>
          <w:p w:rsidR="00B25CBE" w:rsidRPr="00B25CBE" w:rsidRDefault="00B25CBE" w:rsidP="00B25CBE">
            <w:pPr>
              <w:spacing w:line="276" w:lineRule="auto"/>
              <w:jc w:val="both"/>
              <w:rPr>
                <w:rFonts w:ascii="Arial" w:hAnsi="Arial" w:cs="Arial"/>
                <w:b/>
                <w:szCs w:val="24"/>
                <w:lang w:val="es-ES"/>
              </w:rPr>
            </w:pPr>
            <w:r w:rsidRPr="00B25CBE">
              <w:rPr>
                <w:rFonts w:ascii="Arial" w:hAnsi="Arial" w:cs="Arial"/>
                <w:b/>
                <w:szCs w:val="24"/>
                <w:lang w:val="es-ES"/>
              </w:rPr>
              <w:t xml:space="preserve">VALOR </w:t>
            </w:r>
          </w:p>
        </w:tc>
      </w:tr>
      <w:tr w:rsidR="00B25CBE" w:rsidTr="00B25CBE">
        <w:tc>
          <w:tcPr>
            <w:tcW w:w="4415" w:type="dxa"/>
          </w:tcPr>
          <w:p w:rsidR="00B25CBE" w:rsidRDefault="00B25CBE" w:rsidP="00B25CBE">
            <w:pPr>
              <w:spacing w:line="276" w:lineRule="auto"/>
              <w:jc w:val="both"/>
              <w:rPr>
                <w:rFonts w:ascii="Arial" w:hAnsi="Arial" w:cs="Arial"/>
                <w:szCs w:val="24"/>
                <w:lang w:val="es-ES"/>
              </w:rPr>
            </w:pPr>
            <w:r>
              <w:rPr>
                <w:rFonts w:ascii="Arial" w:hAnsi="Arial" w:cs="Arial"/>
                <w:szCs w:val="24"/>
                <w:lang w:val="es-ES"/>
              </w:rPr>
              <w:t xml:space="preserve">Compensación vacaciones </w:t>
            </w:r>
          </w:p>
        </w:tc>
        <w:tc>
          <w:tcPr>
            <w:tcW w:w="4415" w:type="dxa"/>
          </w:tcPr>
          <w:p w:rsidR="00B25CBE" w:rsidRDefault="00B70B1E" w:rsidP="00B25CBE">
            <w:pPr>
              <w:spacing w:line="276" w:lineRule="auto"/>
              <w:jc w:val="right"/>
              <w:rPr>
                <w:rFonts w:ascii="Arial" w:hAnsi="Arial" w:cs="Arial"/>
                <w:szCs w:val="24"/>
                <w:lang w:val="es-ES"/>
              </w:rPr>
            </w:pPr>
            <w:r>
              <w:rPr>
                <w:rFonts w:ascii="Arial" w:hAnsi="Arial" w:cs="Arial"/>
                <w:szCs w:val="24"/>
                <w:lang w:val="es-ES"/>
              </w:rPr>
              <w:t>$831.862</w:t>
            </w:r>
          </w:p>
        </w:tc>
      </w:tr>
      <w:tr w:rsidR="00B25CBE" w:rsidTr="00B25CBE">
        <w:tc>
          <w:tcPr>
            <w:tcW w:w="4415" w:type="dxa"/>
          </w:tcPr>
          <w:p w:rsidR="00B25CBE" w:rsidRDefault="00B25CBE" w:rsidP="00B25CBE">
            <w:pPr>
              <w:spacing w:line="276" w:lineRule="auto"/>
              <w:jc w:val="both"/>
              <w:rPr>
                <w:rFonts w:ascii="Arial" w:hAnsi="Arial" w:cs="Arial"/>
                <w:szCs w:val="24"/>
                <w:lang w:val="es-ES"/>
              </w:rPr>
            </w:pPr>
            <w:r>
              <w:rPr>
                <w:rFonts w:ascii="Arial" w:hAnsi="Arial" w:cs="Arial"/>
                <w:szCs w:val="24"/>
                <w:lang w:val="es-ES"/>
              </w:rPr>
              <w:t>Prima de servicios legal</w:t>
            </w:r>
          </w:p>
        </w:tc>
        <w:tc>
          <w:tcPr>
            <w:tcW w:w="4415" w:type="dxa"/>
          </w:tcPr>
          <w:p w:rsidR="00B25CBE" w:rsidRDefault="001F6F11" w:rsidP="001F6F11">
            <w:pPr>
              <w:spacing w:line="276" w:lineRule="auto"/>
              <w:jc w:val="right"/>
              <w:rPr>
                <w:rFonts w:ascii="Arial" w:hAnsi="Arial" w:cs="Arial"/>
                <w:szCs w:val="24"/>
                <w:lang w:val="es-ES"/>
              </w:rPr>
            </w:pPr>
            <w:r>
              <w:rPr>
                <w:rFonts w:ascii="Arial" w:hAnsi="Arial" w:cs="Arial"/>
                <w:szCs w:val="24"/>
                <w:lang w:val="es-ES"/>
              </w:rPr>
              <w:t>$1.658.344</w:t>
            </w:r>
          </w:p>
        </w:tc>
      </w:tr>
      <w:tr w:rsidR="00B25CBE" w:rsidTr="00B25CBE">
        <w:tc>
          <w:tcPr>
            <w:tcW w:w="4415" w:type="dxa"/>
          </w:tcPr>
          <w:p w:rsidR="00B25CBE" w:rsidRDefault="001F6F11" w:rsidP="00B25CBE">
            <w:pPr>
              <w:spacing w:line="276" w:lineRule="auto"/>
              <w:jc w:val="both"/>
              <w:rPr>
                <w:rFonts w:ascii="Arial" w:hAnsi="Arial" w:cs="Arial"/>
                <w:szCs w:val="24"/>
                <w:lang w:val="es-ES"/>
              </w:rPr>
            </w:pPr>
            <w:r>
              <w:rPr>
                <w:rFonts w:ascii="Arial" w:hAnsi="Arial" w:cs="Arial"/>
                <w:szCs w:val="24"/>
                <w:lang w:val="es-ES"/>
              </w:rPr>
              <w:t xml:space="preserve">Cesantías </w:t>
            </w:r>
          </w:p>
        </w:tc>
        <w:tc>
          <w:tcPr>
            <w:tcW w:w="4415" w:type="dxa"/>
          </w:tcPr>
          <w:p w:rsidR="00B25CBE" w:rsidRDefault="001F6F11" w:rsidP="001F6F11">
            <w:pPr>
              <w:spacing w:line="276" w:lineRule="auto"/>
              <w:jc w:val="right"/>
              <w:rPr>
                <w:rFonts w:ascii="Arial" w:hAnsi="Arial" w:cs="Arial"/>
                <w:szCs w:val="24"/>
                <w:lang w:val="es-ES"/>
              </w:rPr>
            </w:pPr>
            <w:r>
              <w:rPr>
                <w:rFonts w:ascii="Arial" w:hAnsi="Arial" w:cs="Arial"/>
                <w:szCs w:val="24"/>
                <w:lang w:val="es-ES"/>
              </w:rPr>
              <w:t>$1.658.344</w:t>
            </w:r>
          </w:p>
        </w:tc>
      </w:tr>
      <w:tr w:rsidR="00B25CBE" w:rsidTr="00B25CBE">
        <w:tc>
          <w:tcPr>
            <w:tcW w:w="4415" w:type="dxa"/>
          </w:tcPr>
          <w:p w:rsidR="00B25CBE" w:rsidRDefault="001F6F11" w:rsidP="00B25CBE">
            <w:pPr>
              <w:spacing w:line="276" w:lineRule="auto"/>
              <w:jc w:val="both"/>
              <w:rPr>
                <w:rFonts w:ascii="Arial" w:hAnsi="Arial" w:cs="Arial"/>
                <w:szCs w:val="24"/>
                <w:lang w:val="es-ES"/>
              </w:rPr>
            </w:pPr>
            <w:r>
              <w:rPr>
                <w:rFonts w:ascii="Arial" w:hAnsi="Arial" w:cs="Arial"/>
                <w:szCs w:val="24"/>
                <w:lang w:val="es-ES"/>
              </w:rPr>
              <w:t xml:space="preserve">Interés sobre cesantías </w:t>
            </w:r>
          </w:p>
        </w:tc>
        <w:tc>
          <w:tcPr>
            <w:tcW w:w="4415" w:type="dxa"/>
          </w:tcPr>
          <w:p w:rsidR="00B25CBE" w:rsidRDefault="00BE0A08" w:rsidP="001F6F11">
            <w:pPr>
              <w:spacing w:line="276" w:lineRule="auto"/>
              <w:jc w:val="right"/>
              <w:rPr>
                <w:rFonts w:ascii="Arial" w:hAnsi="Arial" w:cs="Arial"/>
                <w:szCs w:val="24"/>
                <w:lang w:val="es-ES"/>
              </w:rPr>
            </w:pPr>
            <w:r>
              <w:rPr>
                <w:rFonts w:ascii="Arial" w:hAnsi="Arial" w:cs="Arial"/>
                <w:szCs w:val="24"/>
                <w:lang w:val="es-ES"/>
              </w:rPr>
              <w:t>$125.816</w:t>
            </w:r>
          </w:p>
        </w:tc>
      </w:tr>
      <w:tr w:rsidR="00B25CBE" w:rsidTr="00B25CBE">
        <w:tc>
          <w:tcPr>
            <w:tcW w:w="4415" w:type="dxa"/>
          </w:tcPr>
          <w:p w:rsidR="00B25CBE" w:rsidRDefault="001F6F11" w:rsidP="00B25CBE">
            <w:pPr>
              <w:spacing w:line="276" w:lineRule="auto"/>
              <w:jc w:val="both"/>
              <w:rPr>
                <w:rFonts w:ascii="Arial" w:hAnsi="Arial" w:cs="Arial"/>
                <w:szCs w:val="24"/>
                <w:lang w:val="es-ES"/>
              </w:rPr>
            </w:pPr>
            <w:r>
              <w:rPr>
                <w:rFonts w:ascii="Arial" w:hAnsi="Arial" w:cs="Arial"/>
                <w:szCs w:val="24"/>
                <w:lang w:val="es-ES"/>
              </w:rPr>
              <w:t xml:space="preserve">Devolución de aportes </w:t>
            </w:r>
          </w:p>
        </w:tc>
        <w:tc>
          <w:tcPr>
            <w:tcW w:w="4415" w:type="dxa"/>
          </w:tcPr>
          <w:p w:rsidR="00B25CBE" w:rsidRDefault="001F6F11" w:rsidP="001F6F11">
            <w:pPr>
              <w:spacing w:line="276" w:lineRule="auto"/>
              <w:jc w:val="right"/>
              <w:rPr>
                <w:rFonts w:ascii="Arial" w:hAnsi="Arial" w:cs="Arial"/>
                <w:szCs w:val="24"/>
                <w:lang w:val="es-ES"/>
              </w:rPr>
            </w:pPr>
            <w:r>
              <w:rPr>
                <w:rFonts w:ascii="Arial" w:hAnsi="Arial" w:cs="Arial"/>
                <w:szCs w:val="24"/>
                <w:lang w:val="es-ES"/>
              </w:rPr>
              <w:t>$979.736</w:t>
            </w:r>
          </w:p>
        </w:tc>
      </w:tr>
      <w:tr w:rsidR="00B25CBE" w:rsidTr="00B25CBE">
        <w:tc>
          <w:tcPr>
            <w:tcW w:w="4415" w:type="dxa"/>
          </w:tcPr>
          <w:p w:rsidR="00B25CBE" w:rsidRDefault="00B25CBE" w:rsidP="00B25CBE">
            <w:pPr>
              <w:spacing w:line="276" w:lineRule="auto"/>
              <w:jc w:val="both"/>
              <w:rPr>
                <w:rFonts w:ascii="Arial" w:hAnsi="Arial" w:cs="Arial"/>
                <w:szCs w:val="24"/>
                <w:lang w:val="es-ES"/>
              </w:rPr>
            </w:pPr>
          </w:p>
        </w:tc>
        <w:tc>
          <w:tcPr>
            <w:tcW w:w="4415" w:type="dxa"/>
          </w:tcPr>
          <w:p w:rsidR="00B25CBE" w:rsidRDefault="00B25CBE" w:rsidP="00B25CBE">
            <w:pPr>
              <w:spacing w:line="276" w:lineRule="auto"/>
              <w:jc w:val="both"/>
              <w:rPr>
                <w:rFonts w:ascii="Arial" w:hAnsi="Arial" w:cs="Arial"/>
                <w:szCs w:val="24"/>
                <w:lang w:val="es-ES"/>
              </w:rPr>
            </w:pPr>
          </w:p>
        </w:tc>
      </w:tr>
    </w:tbl>
    <w:p w:rsidR="00386418" w:rsidRDefault="00386418" w:rsidP="00386418">
      <w:pPr>
        <w:tabs>
          <w:tab w:val="left" w:pos="8647"/>
          <w:tab w:val="left" w:pos="9356"/>
        </w:tabs>
        <w:spacing w:line="276" w:lineRule="auto"/>
        <w:jc w:val="both"/>
        <w:rPr>
          <w:rFonts w:ascii="Arial" w:hAnsi="Arial" w:cs="Arial"/>
          <w:color w:val="000000"/>
          <w:szCs w:val="16"/>
          <w:lang w:val="es-ES"/>
        </w:rPr>
      </w:pPr>
    </w:p>
    <w:p w:rsidR="003418B4" w:rsidRPr="006B6933" w:rsidRDefault="00386418" w:rsidP="00386418">
      <w:pPr>
        <w:tabs>
          <w:tab w:val="left" w:pos="8647"/>
          <w:tab w:val="left" w:pos="9356"/>
        </w:tabs>
        <w:spacing w:line="276" w:lineRule="auto"/>
        <w:jc w:val="both"/>
        <w:rPr>
          <w:rFonts w:ascii="Arial" w:hAnsi="Arial" w:cs="Arial"/>
          <w:b/>
          <w:szCs w:val="24"/>
          <w:lang w:val="es-ES"/>
        </w:rPr>
      </w:pPr>
      <w:r w:rsidRPr="006B6933">
        <w:rPr>
          <w:rFonts w:ascii="Arial" w:hAnsi="Arial" w:cs="Arial"/>
          <w:b/>
          <w:szCs w:val="24"/>
          <w:lang w:val="es-ES"/>
        </w:rPr>
        <w:t xml:space="preserve"> </w:t>
      </w:r>
    </w:p>
    <w:p w:rsidR="00D037E4" w:rsidRPr="00C51F1F" w:rsidRDefault="001F6F11" w:rsidP="00D037E4">
      <w:pPr>
        <w:spacing w:line="276" w:lineRule="auto"/>
        <w:jc w:val="both"/>
        <w:rPr>
          <w:rFonts w:ascii="Arial" w:hAnsi="Arial" w:cs="Arial"/>
          <w:szCs w:val="24"/>
          <w:lang w:val="es-ES"/>
        </w:rPr>
      </w:pPr>
      <w:r>
        <w:rPr>
          <w:rFonts w:ascii="Arial" w:hAnsi="Arial" w:cs="Arial"/>
          <w:b/>
          <w:szCs w:val="24"/>
          <w:lang w:val="es-ES"/>
        </w:rPr>
        <w:t>SEGUNDO</w:t>
      </w:r>
      <w:r w:rsidR="004347F9">
        <w:rPr>
          <w:rFonts w:ascii="Arial" w:hAnsi="Arial" w:cs="Arial"/>
          <w:b/>
          <w:szCs w:val="24"/>
          <w:lang w:val="es-ES"/>
        </w:rPr>
        <w:t>.</w:t>
      </w:r>
      <w:r w:rsidR="00D037E4" w:rsidRPr="00D037E4">
        <w:rPr>
          <w:rFonts w:ascii="Arial" w:hAnsi="Arial" w:cs="Arial"/>
          <w:b/>
          <w:spacing w:val="-2"/>
          <w:szCs w:val="24"/>
        </w:rPr>
        <w:t xml:space="preserve"> </w:t>
      </w:r>
      <w:r w:rsidR="00D037E4">
        <w:rPr>
          <w:rFonts w:ascii="Arial" w:hAnsi="Arial" w:cs="Arial"/>
          <w:b/>
          <w:spacing w:val="-2"/>
          <w:szCs w:val="24"/>
        </w:rPr>
        <w:t>MODIFICAR</w:t>
      </w:r>
      <w:r w:rsidR="00D037E4" w:rsidRPr="006B6933">
        <w:rPr>
          <w:rFonts w:ascii="Arial" w:hAnsi="Arial" w:cs="Arial"/>
          <w:b/>
          <w:spacing w:val="-2"/>
          <w:szCs w:val="24"/>
        </w:rPr>
        <w:t xml:space="preserve"> </w:t>
      </w:r>
      <w:r w:rsidR="00C51F1F">
        <w:rPr>
          <w:rFonts w:ascii="Arial" w:hAnsi="Arial" w:cs="Arial"/>
          <w:spacing w:val="-2"/>
          <w:szCs w:val="24"/>
        </w:rPr>
        <w:t>el numeral cuarto que quedara así;</w:t>
      </w:r>
    </w:p>
    <w:p w:rsidR="00D037E4" w:rsidRPr="00C30626" w:rsidRDefault="00D037E4" w:rsidP="00D037E4">
      <w:pPr>
        <w:spacing w:line="276" w:lineRule="auto"/>
        <w:jc w:val="both"/>
        <w:rPr>
          <w:rFonts w:ascii="Arial" w:hAnsi="Arial" w:cs="Arial"/>
          <w:i/>
          <w:szCs w:val="24"/>
          <w:lang w:val="es-ES"/>
        </w:rPr>
      </w:pPr>
    </w:p>
    <w:p w:rsidR="00D037E4" w:rsidRPr="00C30626" w:rsidRDefault="00746803" w:rsidP="00C30626">
      <w:pPr>
        <w:spacing w:line="276" w:lineRule="auto"/>
        <w:ind w:left="283" w:right="283"/>
        <w:jc w:val="both"/>
        <w:rPr>
          <w:rFonts w:ascii="Arial" w:hAnsi="Arial" w:cs="Arial"/>
          <w:i/>
          <w:sz w:val="22"/>
          <w:szCs w:val="22"/>
          <w:lang w:val="es-ES"/>
        </w:rPr>
      </w:pPr>
      <w:r w:rsidRPr="00C30626">
        <w:rPr>
          <w:rFonts w:ascii="Arial" w:hAnsi="Arial" w:cs="Arial"/>
          <w:b/>
          <w:i/>
          <w:sz w:val="22"/>
          <w:szCs w:val="22"/>
          <w:lang w:val="es-ES"/>
        </w:rPr>
        <w:t>“</w:t>
      </w:r>
      <w:r w:rsidR="00C51F1F" w:rsidRPr="00C30626">
        <w:rPr>
          <w:rFonts w:ascii="Arial" w:hAnsi="Arial" w:cs="Arial"/>
          <w:b/>
          <w:i/>
          <w:sz w:val="22"/>
          <w:szCs w:val="22"/>
          <w:lang w:val="es-ES"/>
        </w:rPr>
        <w:t>CUARTO: ORDENAR</w:t>
      </w:r>
      <w:r w:rsidR="00D037E4" w:rsidRPr="00C30626">
        <w:rPr>
          <w:rFonts w:ascii="Arial" w:hAnsi="Arial" w:cs="Arial"/>
          <w:b/>
          <w:i/>
          <w:sz w:val="22"/>
          <w:szCs w:val="22"/>
          <w:lang w:val="es-ES"/>
        </w:rPr>
        <w:t xml:space="preserve"> </w:t>
      </w:r>
      <w:r w:rsidR="00C51F1F" w:rsidRPr="00C30626">
        <w:rPr>
          <w:rFonts w:ascii="Arial" w:hAnsi="Arial" w:cs="Arial"/>
          <w:i/>
          <w:sz w:val="22"/>
          <w:szCs w:val="22"/>
          <w:lang w:val="es-ES"/>
        </w:rPr>
        <w:t xml:space="preserve">así se condena </w:t>
      </w:r>
      <w:r w:rsidR="004B3927">
        <w:rPr>
          <w:rFonts w:ascii="Arial" w:hAnsi="Arial" w:cs="Arial"/>
          <w:sz w:val="22"/>
          <w:szCs w:val="22"/>
          <w:lang w:val="es-ES"/>
        </w:rPr>
        <w:t xml:space="preserve">(sic) </w:t>
      </w:r>
      <w:r w:rsidR="00C51F1F" w:rsidRPr="00C30626">
        <w:rPr>
          <w:rFonts w:ascii="Arial" w:hAnsi="Arial" w:cs="Arial"/>
          <w:i/>
          <w:sz w:val="22"/>
          <w:szCs w:val="22"/>
          <w:lang w:val="es-ES"/>
        </w:rPr>
        <w:t xml:space="preserve">a la demandada a cancelar por sanción no pago de prestaciones sociales a razón de $5.221.995 causados por el primer contrato y </w:t>
      </w:r>
      <w:r w:rsidRPr="00C30626">
        <w:rPr>
          <w:rFonts w:ascii="Arial" w:hAnsi="Arial" w:cs="Arial"/>
          <w:i/>
          <w:sz w:val="22"/>
          <w:szCs w:val="22"/>
        </w:rPr>
        <w:t xml:space="preserve">por </w:t>
      </w:r>
      <w:r w:rsidR="00D32FA3" w:rsidRPr="00C30626">
        <w:rPr>
          <w:rFonts w:ascii="Arial" w:hAnsi="Arial" w:cs="Arial"/>
          <w:i/>
          <w:sz w:val="22"/>
          <w:szCs w:val="22"/>
        </w:rPr>
        <w:t xml:space="preserve">el segundo contrato </w:t>
      </w:r>
      <w:r w:rsidR="00C51F1F" w:rsidRPr="00C30626">
        <w:rPr>
          <w:rFonts w:ascii="Arial" w:hAnsi="Arial" w:cs="Arial"/>
          <w:i/>
          <w:sz w:val="22"/>
          <w:szCs w:val="22"/>
          <w:lang w:val="es-ES"/>
        </w:rPr>
        <w:t>de $28.326 diarios a partir del 01 de febrero de 2012,</w:t>
      </w:r>
      <w:r w:rsidR="00C51F1F" w:rsidRPr="00C30626">
        <w:rPr>
          <w:rFonts w:ascii="Arial" w:hAnsi="Arial" w:cs="Arial"/>
          <w:i/>
          <w:sz w:val="22"/>
          <w:szCs w:val="22"/>
        </w:rPr>
        <w:t xml:space="preserve"> </w:t>
      </w:r>
      <w:r w:rsidRPr="00C30626">
        <w:rPr>
          <w:rFonts w:ascii="Arial" w:hAnsi="Arial" w:cs="Arial"/>
          <w:i/>
          <w:sz w:val="22"/>
          <w:szCs w:val="22"/>
        </w:rPr>
        <w:t xml:space="preserve">y hasta </w:t>
      </w:r>
      <w:r w:rsidR="00D32FA3" w:rsidRPr="00C30626">
        <w:rPr>
          <w:rFonts w:ascii="Arial" w:hAnsi="Arial" w:cs="Arial"/>
          <w:i/>
          <w:sz w:val="22"/>
          <w:szCs w:val="22"/>
        </w:rPr>
        <w:t>el 28-09-2012</w:t>
      </w:r>
      <w:r w:rsidRPr="00C30626">
        <w:rPr>
          <w:rFonts w:ascii="Arial" w:hAnsi="Arial" w:cs="Arial"/>
          <w:i/>
          <w:sz w:val="22"/>
          <w:szCs w:val="22"/>
        </w:rPr>
        <w:t xml:space="preserve">; </w:t>
      </w:r>
      <w:r w:rsidR="00C51F1F" w:rsidRPr="00C30626">
        <w:rPr>
          <w:rFonts w:ascii="Arial" w:hAnsi="Arial" w:cs="Arial"/>
          <w:i/>
          <w:sz w:val="22"/>
          <w:szCs w:val="22"/>
        </w:rPr>
        <w:t>que asc</w:t>
      </w:r>
      <w:r w:rsidR="00D32FA3" w:rsidRPr="00C30626">
        <w:rPr>
          <w:rFonts w:ascii="Arial" w:hAnsi="Arial" w:cs="Arial"/>
          <w:i/>
          <w:sz w:val="22"/>
          <w:szCs w:val="22"/>
        </w:rPr>
        <w:t>iende a $4.192</w:t>
      </w:r>
      <w:r w:rsidR="00C51F1F" w:rsidRPr="00C30626">
        <w:rPr>
          <w:rFonts w:ascii="Arial" w:hAnsi="Arial" w:cs="Arial"/>
          <w:i/>
          <w:sz w:val="22"/>
          <w:szCs w:val="22"/>
        </w:rPr>
        <w:t>.</w:t>
      </w:r>
      <w:r w:rsidR="00D32FA3" w:rsidRPr="00C30626">
        <w:rPr>
          <w:rFonts w:ascii="Arial" w:hAnsi="Arial" w:cs="Arial"/>
          <w:i/>
          <w:sz w:val="22"/>
          <w:szCs w:val="22"/>
        </w:rPr>
        <w:t>248</w:t>
      </w:r>
      <w:r w:rsidR="00E9050B" w:rsidRPr="00C30626">
        <w:rPr>
          <w:rFonts w:ascii="Arial" w:hAnsi="Arial" w:cs="Arial"/>
          <w:i/>
          <w:sz w:val="22"/>
          <w:szCs w:val="22"/>
        </w:rPr>
        <w:t>”</w:t>
      </w:r>
      <w:r w:rsidR="00D32FA3" w:rsidRPr="00C30626">
        <w:rPr>
          <w:rFonts w:ascii="Arial" w:hAnsi="Arial" w:cs="Arial"/>
          <w:i/>
          <w:sz w:val="22"/>
          <w:szCs w:val="22"/>
        </w:rPr>
        <w:t>.</w:t>
      </w:r>
    </w:p>
    <w:p w:rsidR="00D037E4" w:rsidRDefault="004E66C9" w:rsidP="00D037E4">
      <w:pPr>
        <w:tabs>
          <w:tab w:val="left" w:pos="8647"/>
          <w:tab w:val="left" w:pos="9356"/>
        </w:tabs>
        <w:spacing w:line="276" w:lineRule="auto"/>
        <w:jc w:val="both"/>
        <w:rPr>
          <w:rFonts w:ascii="Arial" w:hAnsi="Arial" w:cs="Arial"/>
          <w:b/>
          <w:szCs w:val="24"/>
          <w:lang w:val="es-ES"/>
        </w:rPr>
      </w:pPr>
      <w:r w:rsidRPr="006B6933">
        <w:rPr>
          <w:rFonts w:ascii="Arial" w:hAnsi="Arial" w:cs="Arial"/>
          <w:b/>
          <w:szCs w:val="24"/>
          <w:lang w:val="es-ES"/>
        </w:rPr>
        <w:t xml:space="preserve"> </w:t>
      </w:r>
    </w:p>
    <w:p w:rsidR="004E66C9" w:rsidRPr="006B6933" w:rsidRDefault="004347F9" w:rsidP="00B547A3">
      <w:pPr>
        <w:tabs>
          <w:tab w:val="left" w:pos="8647"/>
          <w:tab w:val="left" w:pos="9356"/>
        </w:tabs>
        <w:spacing w:line="276" w:lineRule="auto"/>
        <w:jc w:val="both"/>
        <w:rPr>
          <w:rFonts w:ascii="Arial" w:hAnsi="Arial" w:cs="Arial"/>
          <w:szCs w:val="24"/>
          <w:lang w:val="es-ES"/>
        </w:rPr>
      </w:pPr>
      <w:r>
        <w:rPr>
          <w:rFonts w:ascii="Arial" w:hAnsi="Arial" w:cs="Arial"/>
          <w:b/>
          <w:szCs w:val="24"/>
          <w:lang w:val="es-ES"/>
        </w:rPr>
        <w:t xml:space="preserve">TERCERO. </w:t>
      </w:r>
      <w:r w:rsidR="004E66C9" w:rsidRPr="006B6933">
        <w:rPr>
          <w:rFonts w:ascii="Arial" w:hAnsi="Arial" w:cs="Arial"/>
          <w:b/>
          <w:szCs w:val="24"/>
          <w:lang w:val="es-ES"/>
        </w:rPr>
        <w:t xml:space="preserve">CONFIRMAR </w:t>
      </w:r>
      <w:r w:rsidR="004E66C9" w:rsidRPr="006B6933">
        <w:rPr>
          <w:rFonts w:ascii="Arial" w:hAnsi="Arial" w:cs="Arial"/>
          <w:szCs w:val="24"/>
          <w:lang w:val="es-ES"/>
        </w:rPr>
        <w:t>los restantes numerales atendiendo lo dicho en esta sentencia.</w:t>
      </w:r>
    </w:p>
    <w:p w:rsidR="004E66C9" w:rsidRPr="006B6933" w:rsidRDefault="004E66C9" w:rsidP="00B547A3">
      <w:pPr>
        <w:tabs>
          <w:tab w:val="left" w:pos="8647"/>
          <w:tab w:val="left" w:pos="9356"/>
        </w:tabs>
        <w:spacing w:line="276" w:lineRule="auto"/>
        <w:jc w:val="both"/>
        <w:rPr>
          <w:rFonts w:ascii="Arial" w:hAnsi="Arial" w:cs="Arial"/>
          <w:b/>
          <w:szCs w:val="24"/>
          <w:lang w:val="es-ES"/>
        </w:rPr>
      </w:pPr>
    </w:p>
    <w:p w:rsidR="00505DB5" w:rsidRPr="00ED051C" w:rsidRDefault="004347F9" w:rsidP="00B547A3">
      <w:pPr>
        <w:tabs>
          <w:tab w:val="left" w:pos="8647"/>
          <w:tab w:val="left" w:pos="9356"/>
        </w:tabs>
        <w:spacing w:line="276" w:lineRule="auto"/>
        <w:jc w:val="both"/>
        <w:rPr>
          <w:rFonts w:ascii="Arial" w:hAnsi="Arial" w:cs="Arial"/>
          <w:szCs w:val="24"/>
        </w:rPr>
      </w:pPr>
      <w:r>
        <w:rPr>
          <w:rFonts w:ascii="Arial" w:hAnsi="Arial" w:cs="Arial"/>
          <w:b/>
          <w:szCs w:val="24"/>
          <w:lang w:val="es-ES"/>
        </w:rPr>
        <w:t>CUARTO</w:t>
      </w:r>
      <w:r w:rsidR="004E66C9" w:rsidRPr="006B6933">
        <w:rPr>
          <w:rFonts w:ascii="Arial" w:hAnsi="Arial" w:cs="Arial"/>
          <w:b/>
          <w:szCs w:val="24"/>
          <w:lang w:val="es-ES"/>
        </w:rPr>
        <w:t xml:space="preserve">. </w:t>
      </w:r>
      <w:r w:rsidR="009404E9" w:rsidRPr="006B6933">
        <w:rPr>
          <w:rFonts w:ascii="Arial" w:hAnsi="Arial" w:cs="Arial"/>
          <w:szCs w:val="28"/>
          <w:lang w:eastAsia="en-US"/>
        </w:rPr>
        <w:t>Sin c</w:t>
      </w:r>
      <w:r w:rsidR="00BD1E53" w:rsidRPr="006B6933">
        <w:rPr>
          <w:rFonts w:ascii="Arial" w:hAnsi="Arial" w:cs="Arial"/>
          <w:szCs w:val="28"/>
          <w:lang w:eastAsia="en-US"/>
        </w:rPr>
        <w:t>os</w:t>
      </w:r>
      <w:r w:rsidR="00824AA6" w:rsidRPr="006B6933">
        <w:rPr>
          <w:rFonts w:ascii="Arial" w:hAnsi="Arial" w:cs="Arial"/>
          <w:szCs w:val="28"/>
          <w:lang w:eastAsia="en-US"/>
        </w:rPr>
        <w:t>tas en esta instancia</w:t>
      </w:r>
      <w:r w:rsidR="000922D0" w:rsidRPr="006B6933">
        <w:rPr>
          <w:rFonts w:ascii="Arial" w:hAnsi="Arial" w:cs="Arial"/>
          <w:szCs w:val="28"/>
          <w:lang w:eastAsia="en-US"/>
        </w:rPr>
        <w:t>.</w:t>
      </w:r>
    </w:p>
    <w:p w:rsidR="00174E3F" w:rsidRDefault="00174E3F" w:rsidP="00B547A3">
      <w:pPr>
        <w:widowControl w:val="0"/>
        <w:autoSpaceDE w:val="0"/>
        <w:autoSpaceDN w:val="0"/>
        <w:adjustRightInd w:val="0"/>
        <w:spacing w:line="276" w:lineRule="auto"/>
        <w:contextualSpacing/>
        <w:jc w:val="both"/>
        <w:rPr>
          <w:rFonts w:ascii="Arial" w:hAnsi="Arial" w:cs="Arial"/>
          <w:szCs w:val="24"/>
        </w:rPr>
      </w:pPr>
    </w:p>
    <w:p w:rsidR="006578C6" w:rsidRDefault="006578C6" w:rsidP="00B547A3">
      <w:pPr>
        <w:spacing w:line="276" w:lineRule="auto"/>
        <w:contextualSpacing/>
        <w:jc w:val="both"/>
        <w:rPr>
          <w:rFonts w:ascii="Arial" w:hAnsi="Arial" w:cs="Arial"/>
          <w:szCs w:val="24"/>
        </w:rPr>
      </w:pPr>
      <w:r w:rsidRPr="00A47C8D">
        <w:rPr>
          <w:rFonts w:ascii="Arial" w:hAnsi="Arial" w:cs="Arial"/>
          <w:szCs w:val="24"/>
        </w:rPr>
        <w:t>Notificación surtida en estrados.</w:t>
      </w:r>
    </w:p>
    <w:p w:rsidR="006578C6" w:rsidRPr="00A47C8D" w:rsidRDefault="006578C6" w:rsidP="006578C6">
      <w:pPr>
        <w:spacing w:line="276" w:lineRule="auto"/>
        <w:contextualSpacing/>
        <w:jc w:val="both"/>
        <w:rPr>
          <w:rFonts w:ascii="Arial" w:hAnsi="Arial" w:cs="Arial"/>
          <w:szCs w:val="24"/>
        </w:rPr>
      </w:pPr>
    </w:p>
    <w:p w:rsidR="006578C6" w:rsidRPr="00A47C8D" w:rsidRDefault="006578C6" w:rsidP="006578C6">
      <w:pPr>
        <w:pStyle w:val="Textoindependiente"/>
        <w:spacing w:line="276" w:lineRule="auto"/>
        <w:contextualSpacing/>
        <w:rPr>
          <w:szCs w:val="24"/>
        </w:rPr>
      </w:pPr>
      <w:r w:rsidRPr="00A47C8D">
        <w:rPr>
          <w:szCs w:val="24"/>
        </w:rPr>
        <w:lastRenderedPageBreak/>
        <w:t>No siendo otro el objeto de la presente audiencia, se eleva y firma esta acta por las personas que han intervenido.</w:t>
      </w:r>
    </w:p>
    <w:p w:rsidR="006578C6" w:rsidRPr="00A47C8D" w:rsidRDefault="006578C6" w:rsidP="006578C6">
      <w:pPr>
        <w:widowControl w:val="0"/>
        <w:autoSpaceDE w:val="0"/>
        <w:autoSpaceDN w:val="0"/>
        <w:adjustRightInd w:val="0"/>
        <w:spacing w:line="276" w:lineRule="auto"/>
        <w:contextualSpacing/>
        <w:jc w:val="both"/>
        <w:rPr>
          <w:rFonts w:ascii="Arial" w:hAnsi="Arial" w:cs="Arial"/>
          <w:szCs w:val="24"/>
        </w:rPr>
      </w:pPr>
    </w:p>
    <w:p w:rsidR="006578C6" w:rsidRPr="00A47C8D" w:rsidRDefault="006578C6" w:rsidP="006578C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84B78" w:rsidRDefault="00284B78" w:rsidP="00824AA6">
      <w:pPr>
        <w:widowControl w:val="0"/>
        <w:autoSpaceDE w:val="0"/>
        <w:autoSpaceDN w:val="0"/>
        <w:adjustRightInd w:val="0"/>
        <w:spacing w:line="276" w:lineRule="auto"/>
        <w:contextualSpacing/>
        <w:jc w:val="center"/>
        <w:rPr>
          <w:rFonts w:ascii="Arial" w:hAnsi="Arial" w:cs="Arial"/>
          <w:b/>
          <w:szCs w:val="24"/>
        </w:rPr>
      </w:pPr>
    </w:p>
    <w:p w:rsidR="00EC008C" w:rsidRDefault="00EC008C" w:rsidP="00F017BF">
      <w:pPr>
        <w:pStyle w:val="Sinespaciado"/>
        <w:spacing w:line="276" w:lineRule="auto"/>
        <w:jc w:val="center"/>
        <w:rPr>
          <w:rFonts w:ascii="Arial" w:hAnsi="Arial" w:cs="Arial"/>
          <w:b/>
          <w:sz w:val="24"/>
          <w:szCs w:val="24"/>
          <w:lang w:val="es-ES"/>
        </w:rPr>
      </w:pPr>
    </w:p>
    <w:p w:rsidR="00134C86" w:rsidRPr="00284B78" w:rsidRDefault="00385D77" w:rsidP="00F017BF">
      <w:pPr>
        <w:pStyle w:val="Sinespaciado"/>
        <w:spacing w:line="276" w:lineRule="auto"/>
        <w:jc w:val="center"/>
        <w:rPr>
          <w:rFonts w:ascii="Arial" w:hAnsi="Arial" w:cs="Arial"/>
          <w:b/>
          <w:sz w:val="24"/>
          <w:szCs w:val="24"/>
          <w:lang w:val="es-ES"/>
        </w:rPr>
      </w:pPr>
      <w:r w:rsidRPr="00284B78">
        <w:rPr>
          <w:rFonts w:ascii="Arial" w:hAnsi="Arial" w:cs="Arial"/>
          <w:b/>
          <w:sz w:val="24"/>
          <w:szCs w:val="24"/>
          <w:lang w:val="es-ES"/>
        </w:rPr>
        <w:t>OLGA LUCÍA HOYOS SEPÚLVEDA</w:t>
      </w:r>
    </w:p>
    <w:p w:rsidR="00134C86" w:rsidRPr="00284B78" w:rsidRDefault="00385D77" w:rsidP="00F017BF">
      <w:pPr>
        <w:pStyle w:val="Sinespaciado"/>
        <w:spacing w:line="276" w:lineRule="auto"/>
        <w:jc w:val="center"/>
        <w:rPr>
          <w:rFonts w:ascii="Arial" w:hAnsi="Arial" w:cs="Arial"/>
          <w:sz w:val="24"/>
          <w:szCs w:val="24"/>
          <w:lang w:val="es-ES"/>
        </w:rPr>
      </w:pPr>
      <w:r w:rsidRPr="00284B78">
        <w:rPr>
          <w:rFonts w:ascii="Arial" w:hAnsi="Arial" w:cs="Arial"/>
          <w:sz w:val="24"/>
          <w:szCs w:val="24"/>
          <w:lang w:val="es-ES"/>
        </w:rPr>
        <w:t>Magistrada</w:t>
      </w:r>
      <w:r w:rsidR="00134C86" w:rsidRPr="00284B78">
        <w:rPr>
          <w:rFonts w:ascii="Arial" w:hAnsi="Arial" w:cs="Arial"/>
          <w:sz w:val="24"/>
          <w:szCs w:val="24"/>
          <w:lang w:val="es-ES"/>
        </w:rPr>
        <w:t xml:space="preserve"> Ponente</w:t>
      </w:r>
    </w:p>
    <w:p w:rsidR="00134C86" w:rsidRPr="00284B78" w:rsidRDefault="00134C86" w:rsidP="00F017BF">
      <w:pPr>
        <w:spacing w:line="276" w:lineRule="auto"/>
        <w:ind w:firstLine="900"/>
        <w:jc w:val="center"/>
        <w:rPr>
          <w:rFonts w:ascii="Arial" w:hAnsi="Arial" w:cs="Arial"/>
          <w:b/>
          <w:szCs w:val="24"/>
          <w:lang w:val="es-ES"/>
        </w:rPr>
      </w:pPr>
    </w:p>
    <w:p w:rsidR="00EC008C" w:rsidRDefault="00EC008C" w:rsidP="00F017BF">
      <w:pPr>
        <w:spacing w:line="276" w:lineRule="auto"/>
        <w:jc w:val="both"/>
        <w:rPr>
          <w:rFonts w:ascii="Arial" w:hAnsi="Arial" w:cs="Arial"/>
          <w:b/>
          <w:bCs/>
          <w:iCs/>
          <w:sz w:val="23"/>
          <w:szCs w:val="23"/>
          <w:lang w:val="es-ES"/>
        </w:rPr>
      </w:pPr>
    </w:p>
    <w:p w:rsidR="00134C86" w:rsidRPr="00284B78" w:rsidRDefault="00EA1B84" w:rsidP="00F017BF">
      <w:pPr>
        <w:spacing w:line="276" w:lineRule="auto"/>
        <w:jc w:val="both"/>
        <w:rPr>
          <w:rFonts w:ascii="Arial" w:hAnsi="Arial" w:cs="Arial"/>
          <w:sz w:val="23"/>
          <w:szCs w:val="23"/>
          <w:lang w:val="es-ES"/>
        </w:rPr>
      </w:pPr>
      <w:r w:rsidRPr="00284B78">
        <w:rPr>
          <w:rFonts w:ascii="Arial" w:hAnsi="Arial" w:cs="Arial"/>
          <w:b/>
          <w:bCs/>
          <w:iCs/>
          <w:sz w:val="23"/>
          <w:szCs w:val="23"/>
          <w:lang w:val="es-ES"/>
        </w:rPr>
        <w:t>JULIO CÉSAR SALAZAR MUÑOZ</w:t>
      </w:r>
      <w:r w:rsidR="000E2E65">
        <w:rPr>
          <w:rFonts w:ascii="Arial" w:hAnsi="Arial" w:cs="Arial"/>
          <w:sz w:val="23"/>
          <w:szCs w:val="23"/>
          <w:lang w:val="es-ES"/>
        </w:rPr>
        <w:tab/>
      </w:r>
      <w:r w:rsidR="000E2E65" w:rsidRPr="000E2E65">
        <w:rPr>
          <w:rFonts w:ascii="Arial" w:hAnsi="Arial" w:cs="Arial"/>
          <w:b/>
          <w:sz w:val="23"/>
          <w:szCs w:val="23"/>
          <w:lang w:val="es-ES"/>
        </w:rPr>
        <w:t>FRANCISCO JAVIER TAMAYO TABARES</w:t>
      </w:r>
      <w:r w:rsidR="0071545C" w:rsidRPr="00284B78">
        <w:rPr>
          <w:rFonts w:ascii="Arial" w:hAnsi="Arial" w:cs="Arial"/>
          <w:b/>
          <w:bCs/>
          <w:iCs/>
          <w:sz w:val="23"/>
          <w:szCs w:val="23"/>
          <w:lang w:val="es-ES"/>
        </w:rPr>
        <w:t xml:space="preserve"> </w:t>
      </w:r>
    </w:p>
    <w:p w:rsidR="00EC008C" w:rsidRDefault="00EA1B84" w:rsidP="00C30626">
      <w:pPr>
        <w:spacing w:line="276" w:lineRule="auto"/>
        <w:jc w:val="both"/>
        <w:rPr>
          <w:rFonts w:ascii="Arial" w:hAnsi="Arial" w:cs="Arial"/>
          <w:b/>
          <w:szCs w:val="22"/>
        </w:rPr>
      </w:pPr>
      <w:r w:rsidRPr="00284B78">
        <w:rPr>
          <w:rFonts w:ascii="Arial" w:hAnsi="Arial" w:cs="Arial"/>
          <w:sz w:val="23"/>
          <w:szCs w:val="23"/>
          <w:lang w:val="es-ES"/>
        </w:rPr>
        <w:t xml:space="preserve">                   Magistrado</w:t>
      </w:r>
      <w:r w:rsidR="00134C86" w:rsidRPr="00284B78">
        <w:rPr>
          <w:rFonts w:ascii="Arial" w:hAnsi="Arial" w:cs="Arial"/>
          <w:sz w:val="23"/>
          <w:szCs w:val="23"/>
          <w:lang w:val="es-ES"/>
        </w:rPr>
        <w:t xml:space="preserve">                                                        </w:t>
      </w:r>
      <w:proofErr w:type="spellStart"/>
      <w:r w:rsidR="008A07FD">
        <w:rPr>
          <w:rFonts w:ascii="Arial" w:hAnsi="Arial" w:cs="Arial"/>
          <w:sz w:val="23"/>
          <w:szCs w:val="23"/>
          <w:lang w:val="es-ES"/>
        </w:rPr>
        <w:t>Magistrado</w:t>
      </w:r>
      <w:proofErr w:type="spellEnd"/>
    </w:p>
    <w:tbl>
      <w:tblPr>
        <w:tblW w:w="9000" w:type="dxa"/>
        <w:tblCellMar>
          <w:left w:w="70" w:type="dxa"/>
          <w:right w:w="70" w:type="dxa"/>
        </w:tblCellMar>
        <w:tblLook w:val="04A0" w:firstRow="1" w:lastRow="0" w:firstColumn="1" w:lastColumn="0" w:noHBand="0" w:noVBand="1"/>
      </w:tblPr>
      <w:tblGrid>
        <w:gridCol w:w="1200"/>
        <w:gridCol w:w="1200"/>
        <w:gridCol w:w="1200"/>
        <w:gridCol w:w="200"/>
        <w:gridCol w:w="1200"/>
        <w:gridCol w:w="160"/>
        <w:gridCol w:w="1200"/>
        <w:gridCol w:w="1200"/>
        <w:gridCol w:w="240"/>
        <w:gridCol w:w="1200"/>
      </w:tblGrid>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rsidP="00050BF0">
            <w:pPr>
              <w:spacing w:after="160" w:line="259" w:lineRule="auto"/>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rsidP="00BE0A08">
            <w:pP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rsidP="00BE0A08">
            <w:pP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rsidP="00BE0A08">
            <w:pP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pPr>
              <w:jc w:val="center"/>
              <w:rPr>
                <w:rFonts w:ascii="Arial Narrow" w:hAnsi="Arial Narrow"/>
                <w:color w:val="000000"/>
                <w:sz w:val="20"/>
              </w:rPr>
            </w:pPr>
          </w:p>
          <w:p w:rsidR="00681316" w:rsidRDefault="00681316" w:rsidP="00D84293">
            <w:pPr>
              <w:rPr>
                <w:rFonts w:ascii="Arial Narrow" w:hAnsi="Arial Narrow"/>
                <w:color w:val="000000"/>
                <w:sz w:val="20"/>
              </w:rPr>
            </w:pPr>
          </w:p>
          <w:p w:rsidR="00681316" w:rsidRDefault="00681316" w:rsidP="00681316">
            <w:pP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p w:rsidR="00E9050B" w:rsidRDefault="00E9050B">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716C06">
        <w:trPr>
          <w:trHeight w:val="255"/>
        </w:trPr>
        <w:tc>
          <w:tcPr>
            <w:tcW w:w="1200" w:type="dxa"/>
            <w:tcBorders>
              <w:top w:val="nil"/>
              <w:left w:val="nil"/>
              <w:bottom w:val="nil"/>
              <w:right w:val="nil"/>
            </w:tcBorders>
            <w:shd w:val="clear" w:color="auto" w:fill="auto"/>
            <w:noWrap/>
            <w:vAlign w:val="bottom"/>
          </w:tcPr>
          <w:p w:rsidR="008D2BBE" w:rsidRDefault="008D2BBE" w:rsidP="00D84293">
            <w:pPr>
              <w:rPr>
                <w:rFonts w:ascii="Arial Narrow" w:hAnsi="Arial Narrow"/>
                <w:color w:val="000000"/>
                <w:sz w:val="20"/>
              </w:rPr>
            </w:pPr>
          </w:p>
        </w:tc>
        <w:tc>
          <w:tcPr>
            <w:tcW w:w="1200" w:type="dxa"/>
            <w:tcBorders>
              <w:top w:val="nil"/>
              <w:left w:val="nil"/>
              <w:bottom w:val="nil"/>
              <w:right w:val="nil"/>
            </w:tcBorders>
            <w:shd w:val="clear" w:color="auto" w:fill="auto"/>
            <w:noWrap/>
            <w:vAlign w:val="bottom"/>
          </w:tcPr>
          <w:p w:rsidR="008D2BBE" w:rsidRDefault="008D2BBE">
            <w:pPr>
              <w:rPr>
                <w:sz w:val="20"/>
              </w:rPr>
            </w:pPr>
          </w:p>
        </w:tc>
        <w:tc>
          <w:tcPr>
            <w:tcW w:w="1200" w:type="dxa"/>
            <w:tcBorders>
              <w:top w:val="nil"/>
              <w:left w:val="nil"/>
              <w:bottom w:val="nil"/>
              <w:right w:val="nil"/>
            </w:tcBorders>
            <w:shd w:val="clear" w:color="auto" w:fill="auto"/>
            <w:noWrap/>
            <w:vAlign w:val="bottom"/>
          </w:tcPr>
          <w:p w:rsidR="008D2BBE" w:rsidRDefault="008D2BBE">
            <w:pPr>
              <w:rPr>
                <w:sz w:val="20"/>
              </w:rPr>
            </w:pPr>
          </w:p>
        </w:tc>
        <w:tc>
          <w:tcPr>
            <w:tcW w:w="1400" w:type="dxa"/>
            <w:gridSpan w:val="2"/>
            <w:tcBorders>
              <w:top w:val="nil"/>
              <w:left w:val="nil"/>
              <w:bottom w:val="nil"/>
              <w:right w:val="nil"/>
            </w:tcBorders>
            <w:shd w:val="clear" w:color="auto" w:fill="auto"/>
            <w:noWrap/>
            <w:vAlign w:val="bottom"/>
          </w:tcPr>
          <w:p w:rsidR="008D2BBE" w:rsidRDefault="008D2BBE">
            <w:pPr>
              <w:rPr>
                <w:sz w:val="20"/>
              </w:rPr>
            </w:pPr>
          </w:p>
        </w:tc>
        <w:tc>
          <w:tcPr>
            <w:tcW w:w="136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b/>
                <w:bCs/>
                <w:color w:val="000000"/>
                <w:sz w:val="20"/>
              </w:rPr>
            </w:pPr>
          </w:p>
        </w:tc>
        <w:tc>
          <w:tcPr>
            <w:tcW w:w="1200" w:type="dxa"/>
            <w:tcBorders>
              <w:top w:val="nil"/>
              <w:left w:val="nil"/>
              <w:bottom w:val="nil"/>
              <w:right w:val="nil"/>
            </w:tcBorders>
            <w:shd w:val="clear" w:color="auto" w:fill="auto"/>
            <w:noWrap/>
            <w:vAlign w:val="bottom"/>
          </w:tcPr>
          <w:p w:rsidR="008D2BBE" w:rsidRDefault="008D2BBE">
            <w:pPr>
              <w:jc w:val="center"/>
              <w:rPr>
                <w:rFonts w:ascii="Arial Narrow" w:hAnsi="Arial Narrow"/>
                <w:b/>
                <w:bCs/>
                <w:color w:val="000000"/>
                <w:sz w:val="20"/>
              </w:rPr>
            </w:pPr>
          </w:p>
        </w:tc>
        <w:tc>
          <w:tcPr>
            <w:tcW w:w="1440" w:type="dxa"/>
            <w:gridSpan w:val="2"/>
            <w:tcBorders>
              <w:top w:val="nil"/>
              <w:left w:val="nil"/>
              <w:bottom w:val="nil"/>
              <w:right w:val="nil"/>
            </w:tcBorders>
            <w:shd w:val="clear" w:color="auto" w:fill="auto"/>
            <w:noWrap/>
            <w:vAlign w:val="center"/>
          </w:tcPr>
          <w:p w:rsidR="008D2BBE" w:rsidRDefault="008D2BBE">
            <w:pPr>
              <w:jc w:val="center"/>
              <w:rPr>
                <w:rFonts w:ascii="Arial Narrow" w:hAnsi="Arial Narrow"/>
                <w:b/>
                <w:bCs/>
                <w:color w:val="000000"/>
                <w:sz w:val="20"/>
                <w:u w:val="single"/>
              </w:rPr>
            </w:pPr>
          </w:p>
        </w:tc>
      </w:tr>
      <w:tr w:rsidR="00CA79E5" w:rsidRPr="002872C6" w:rsidTr="00D84293">
        <w:trPr>
          <w:gridAfter w:val="1"/>
          <w:wAfter w:w="1200" w:type="dxa"/>
          <w:trHeight w:val="80"/>
        </w:trPr>
        <w:tc>
          <w:tcPr>
            <w:tcW w:w="1200" w:type="dxa"/>
            <w:tcBorders>
              <w:top w:val="nil"/>
              <w:left w:val="nil"/>
              <w:bottom w:val="nil"/>
              <w:right w:val="nil"/>
            </w:tcBorders>
            <w:shd w:val="clear" w:color="auto" w:fill="auto"/>
            <w:noWrap/>
            <w:vAlign w:val="bottom"/>
          </w:tcPr>
          <w:p w:rsidR="008D2BBE" w:rsidRPr="002872C6" w:rsidRDefault="008D2BBE" w:rsidP="00B10FAB">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tcPr>
          <w:p w:rsidR="00CA79E5" w:rsidRPr="002872C6" w:rsidRDefault="00CA79E5" w:rsidP="00B10FAB">
            <w:pPr>
              <w:rPr>
                <w:sz w:val="20"/>
                <w:lang w:val="es-ES"/>
              </w:rPr>
            </w:pPr>
          </w:p>
        </w:tc>
        <w:tc>
          <w:tcPr>
            <w:tcW w:w="1400" w:type="dxa"/>
            <w:gridSpan w:val="2"/>
            <w:tcBorders>
              <w:top w:val="nil"/>
              <w:left w:val="nil"/>
              <w:bottom w:val="nil"/>
              <w:right w:val="nil"/>
            </w:tcBorders>
            <w:shd w:val="clear" w:color="auto" w:fill="auto"/>
            <w:noWrap/>
            <w:vAlign w:val="bottom"/>
          </w:tcPr>
          <w:p w:rsidR="00CA79E5" w:rsidRPr="002872C6" w:rsidRDefault="00CA79E5" w:rsidP="00B10FAB">
            <w:pPr>
              <w:rPr>
                <w:sz w:val="20"/>
                <w:lang w:val="es-ES"/>
              </w:rPr>
            </w:pPr>
          </w:p>
        </w:tc>
        <w:tc>
          <w:tcPr>
            <w:tcW w:w="1360" w:type="dxa"/>
            <w:gridSpan w:val="2"/>
            <w:tcBorders>
              <w:top w:val="nil"/>
              <w:left w:val="nil"/>
              <w:bottom w:val="nil"/>
              <w:right w:val="nil"/>
            </w:tcBorders>
            <w:shd w:val="clear" w:color="auto" w:fill="auto"/>
            <w:noWrap/>
            <w:vAlign w:val="center"/>
          </w:tcPr>
          <w:p w:rsidR="00CA79E5" w:rsidRPr="002872C6" w:rsidRDefault="00CA79E5" w:rsidP="00B10FAB">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tcPr>
          <w:p w:rsidR="00CA79E5" w:rsidRPr="002872C6" w:rsidRDefault="00CA79E5" w:rsidP="00B10FAB">
            <w:pPr>
              <w:jc w:val="center"/>
              <w:rPr>
                <w:rFonts w:ascii="Arial Narrow" w:hAnsi="Arial Narrow"/>
                <w:b/>
                <w:bCs/>
                <w:color w:val="000000"/>
                <w:sz w:val="20"/>
                <w:lang w:val="es-ES"/>
              </w:rPr>
            </w:pPr>
          </w:p>
        </w:tc>
        <w:tc>
          <w:tcPr>
            <w:tcW w:w="1440" w:type="dxa"/>
            <w:gridSpan w:val="2"/>
            <w:tcBorders>
              <w:top w:val="nil"/>
              <w:left w:val="nil"/>
              <w:bottom w:val="nil"/>
              <w:right w:val="nil"/>
            </w:tcBorders>
            <w:shd w:val="clear" w:color="auto" w:fill="auto"/>
            <w:noWrap/>
            <w:vAlign w:val="center"/>
          </w:tcPr>
          <w:p w:rsidR="00CA79E5" w:rsidRPr="002872C6" w:rsidRDefault="00CA79E5" w:rsidP="00B10FAB">
            <w:pPr>
              <w:jc w:val="center"/>
              <w:rPr>
                <w:rFonts w:ascii="Arial Narrow" w:hAnsi="Arial Narrow"/>
                <w:b/>
                <w:bCs/>
                <w:color w:val="000000"/>
                <w:sz w:val="20"/>
                <w:u w:val="single"/>
                <w:lang w:val="es-ES"/>
              </w:rPr>
            </w:pPr>
          </w:p>
        </w:tc>
      </w:tr>
      <w:tr w:rsidR="00D84293" w:rsidRPr="002872C6" w:rsidTr="00D84293">
        <w:trPr>
          <w:gridAfter w:val="1"/>
          <w:wAfter w:w="1200" w:type="dxa"/>
          <w:trHeight w:val="80"/>
        </w:trPr>
        <w:tc>
          <w:tcPr>
            <w:tcW w:w="1200" w:type="dxa"/>
            <w:tcBorders>
              <w:top w:val="nil"/>
              <w:left w:val="nil"/>
              <w:bottom w:val="nil"/>
              <w:right w:val="nil"/>
            </w:tcBorders>
            <w:shd w:val="clear" w:color="auto" w:fill="auto"/>
            <w:noWrap/>
            <w:vAlign w:val="bottom"/>
          </w:tcPr>
          <w:p w:rsidR="00D84293" w:rsidRPr="002872C6" w:rsidRDefault="00D84293" w:rsidP="00B10FAB">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tcPr>
          <w:p w:rsidR="00D84293" w:rsidRPr="002872C6" w:rsidRDefault="00D84293" w:rsidP="00B10FAB">
            <w:pPr>
              <w:rPr>
                <w:sz w:val="20"/>
                <w:lang w:val="es-ES"/>
              </w:rPr>
            </w:pPr>
          </w:p>
        </w:tc>
        <w:tc>
          <w:tcPr>
            <w:tcW w:w="1400" w:type="dxa"/>
            <w:gridSpan w:val="2"/>
            <w:tcBorders>
              <w:top w:val="nil"/>
              <w:left w:val="nil"/>
              <w:bottom w:val="nil"/>
              <w:right w:val="nil"/>
            </w:tcBorders>
            <w:shd w:val="clear" w:color="auto" w:fill="auto"/>
            <w:noWrap/>
            <w:vAlign w:val="bottom"/>
          </w:tcPr>
          <w:p w:rsidR="00D84293" w:rsidRPr="002872C6" w:rsidRDefault="00D84293" w:rsidP="00B10FAB">
            <w:pPr>
              <w:rPr>
                <w:sz w:val="20"/>
                <w:lang w:val="es-ES"/>
              </w:rPr>
            </w:pPr>
          </w:p>
        </w:tc>
        <w:tc>
          <w:tcPr>
            <w:tcW w:w="1360" w:type="dxa"/>
            <w:gridSpan w:val="2"/>
            <w:tcBorders>
              <w:top w:val="nil"/>
              <w:left w:val="nil"/>
              <w:bottom w:val="nil"/>
              <w:right w:val="nil"/>
            </w:tcBorders>
            <w:shd w:val="clear" w:color="auto" w:fill="auto"/>
            <w:noWrap/>
            <w:vAlign w:val="center"/>
          </w:tcPr>
          <w:p w:rsidR="00D84293" w:rsidRPr="002872C6" w:rsidRDefault="00D84293" w:rsidP="00B10FAB">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tcPr>
          <w:p w:rsidR="00D84293" w:rsidRPr="002872C6" w:rsidRDefault="00D84293" w:rsidP="00B10FAB">
            <w:pPr>
              <w:jc w:val="center"/>
              <w:rPr>
                <w:rFonts w:ascii="Arial Narrow" w:hAnsi="Arial Narrow"/>
                <w:b/>
                <w:bCs/>
                <w:color w:val="000000"/>
                <w:sz w:val="20"/>
                <w:lang w:val="es-ES"/>
              </w:rPr>
            </w:pPr>
          </w:p>
        </w:tc>
        <w:tc>
          <w:tcPr>
            <w:tcW w:w="1440" w:type="dxa"/>
            <w:gridSpan w:val="2"/>
            <w:tcBorders>
              <w:top w:val="nil"/>
              <w:left w:val="nil"/>
              <w:bottom w:val="nil"/>
              <w:right w:val="nil"/>
            </w:tcBorders>
            <w:shd w:val="clear" w:color="auto" w:fill="auto"/>
            <w:noWrap/>
            <w:vAlign w:val="center"/>
          </w:tcPr>
          <w:p w:rsidR="00D84293" w:rsidRPr="002872C6" w:rsidRDefault="00D84293" w:rsidP="00B10FAB">
            <w:pPr>
              <w:jc w:val="center"/>
              <w:rPr>
                <w:rFonts w:ascii="Arial Narrow" w:hAnsi="Arial Narrow"/>
                <w:b/>
                <w:bCs/>
                <w:color w:val="000000"/>
                <w:sz w:val="20"/>
                <w:u w:val="single"/>
                <w:lang w:val="es-ES"/>
              </w:rPr>
            </w:pPr>
          </w:p>
        </w:tc>
      </w:tr>
    </w:tbl>
    <w:p w:rsidR="00D84293" w:rsidRDefault="00D84293" w:rsidP="008E01FD">
      <w:pPr>
        <w:pStyle w:val="Prrafodelista"/>
        <w:tabs>
          <w:tab w:val="left" w:pos="709"/>
        </w:tabs>
        <w:spacing w:line="276" w:lineRule="auto"/>
        <w:ind w:left="0"/>
        <w:jc w:val="both"/>
      </w:pPr>
      <w:r>
        <w:t xml:space="preserve">SENTENCIA </w:t>
      </w:r>
      <w:proofErr w:type="spellStart"/>
      <w:r>
        <w:t>SL</w:t>
      </w:r>
      <w:proofErr w:type="spellEnd"/>
      <w:r>
        <w:t xml:space="preserve"> 2833 DEL 01 DE MARZO DE 2017 RADICADO 53793</w:t>
      </w:r>
    </w:p>
    <w:p w:rsidR="00D84293" w:rsidRDefault="00D84293" w:rsidP="008E01FD">
      <w:pPr>
        <w:pStyle w:val="Prrafodelista"/>
        <w:tabs>
          <w:tab w:val="left" w:pos="709"/>
        </w:tabs>
        <w:spacing w:line="276" w:lineRule="auto"/>
        <w:ind w:left="0"/>
        <w:jc w:val="both"/>
      </w:pPr>
    </w:p>
    <w:p w:rsidR="008E01FD" w:rsidRDefault="00D84293" w:rsidP="008E01FD">
      <w:pPr>
        <w:pStyle w:val="Prrafodelista"/>
        <w:tabs>
          <w:tab w:val="left" w:pos="709"/>
        </w:tabs>
        <w:spacing w:line="276" w:lineRule="auto"/>
        <w:ind w:left="0"/>
        <w:jc w:val="both"/>
      </w:pPr>
      <w:r>
        <w:t xml:space="preserve">“En lo que atañe a la moratoria del artículo 65 del </w:t>
      </w:r>
      <w:proofErr w:type="spellStart"/>
      <w:r>
        <w:t>CST</w:t>
      </w:r>
      <w:proofErr w:type="spellEnd"/>
      <w:r>
        <w:t xml:space="preserve">, causada por los salarios y prestaciones adeudados a la terminación del contrato, esto es el 6 de septiembre de 2010, corresponde decir que, dado el estado de liquidación judicial por el que atraviesa la demandada a partir del 7 de </w:t>
      </w:r>
      <w:r>
        <w:lastRenderedPageBreak/>
        <w:t>septiembre siguiente, conocido plenamente dentro del plenario, aplica el precedente de esta Corte contenido en la sentencia CSJ del 10 de oct. de 2003, No. 20764, en el sentido de que no se da la mala, frente al incumplimiento de las empresas en liquidación y, por tanto, no procede la condena por este concepto, a saber: 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 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rsidR="00D84293" w:rsidRDefault="00D84293" w:rsidP="008E01FD">
      <w:pPr>
        <w:pStyle w:val="Prrafodelista"/>
        <w:tabs>
          <w:tab w:val="left" w:pos="709"/>
        </w:tabs>
        <w:spacing w:line="276" w:lineRule="auto"/>
        <w:ind w:left="0"/>
        <w:jc w:val="both"/>
      </w:pPr>
    </w:p>
    <w:p w:rsidR="00D84293" w:rsidRDefault="00D84293" w:rsidP="008E01FD">
      <w:pPr>
        <w:pStyle w:val="Prrafodelista"/>
        <w:tabs>
          <w:tab w:val="left" w:pos="709"/>
        </w:tabs>
        <w:spacing w:line="276" w:lineRule="auto"/>
        <w:ind w:left="0"/>
        <w:jc w:val="both"/>
      </w:pPr>
    </w:p>
    <w:p w:rsidR="00D84293" w:rsidRPr="008D570A" w:rsidRDefault="00D84293" w:rsidP="008E01FD">
      <w:pPr>
        <w:pStyle w:val="Prrafodelista"/>
        <w:tabs>
          <w:tab w:val="left" w:pos="709"/>
        </w:tabs>
        <w:spacing w:line="276" w:lineRule="auto"/>
        <w:ind w:left="0"/>
        <w:jc w:val="both"/>
        <w:rPr>
          <w:rFonts w:ascii="Arial" w:hAnsi="Arial" w:cs="Arial"/>
          <w:color w:val="FF0000"/>
          <w:sz w:val="24"/>
        </w:rPr>
      </w:pPr>
      <w:r w:rsidRPr="008D570A">
        <w:rPr>
          <w:rFonts w:ascii="Arial" w:hAnsi="Arial" w:cs="Arial"/>
          <w:b/>
          <w:color w:val="FF0000"/>
          <w:sz w:val="24"/>
        </w:rPr>
        <w:t>2.3.1 Auxilio de cesantías e intereses a las cesantías</w:t>
      </w:r>
    </w:p>
    <w:p w:rsidR="008E01FD" w:rsidRPr="008D570A" w:rsidRDefault="008E01FD" w:rsidP="008E01FD">
      <w:pPr>
        <w:pStyle w:val="Prrafodelista"/>
        <w:tabs>
          <w:tab w:val="left" w:pos="709"/>
        </w:tabs>
        <w:spacing w:line="276" w:lineRule="auto"/>
        <w:ind w:left="0"/>
        <w:jc w:val="both"/>
        <w:rPr>
          <w:rFonts w:ascii="Arial" w:hAnsi="Arial" w:cs="Arial"/>
          <w:color w:val="FF0000"/>
          <w:sz w:val="24"/>
          <w:szCs w:val="24"/>
          <w:lang w:val="es-CO" w:eastAsia="x-none"/>
        </w:rPr>
      </w:pPr>
      <w:r w:rsidRPr="008D570A">
        <w:rPr>
          <w:rFonts w:ascii="Arial" w:hAnsi="Arial" w:cs="Arial"/>
          <w:color w:val="FF0000"/>
          <w:sz w:val="24"/>
        </w:rPr>
        <w:t xml:space="preserve">De conformidad al artículo 62 de la convención colectiva, el </w:t>
      </w:r>
      <w:proofErr w:type="spellStart"/>
      <w:r w:rsidRPr="008D570A">
        <w:rPr>
          <w:rFonts w:ascii="Arial" w:hAnsi="Arial" w:cs="Arial"/>
          <w:color w:val="FF0000"/>
          <w:sz w:val="24"/>
        </w:rPr>
        <w:t>ISS</w:t>
      </w:r>
      <w:proofErr w:type="spellEnd"/>
      <w:r w:rsidRPr="008D570A">
        <w:rPr>
          <w:rFonts w:ascii="Arial" w:hAnsi="Arial" w:cs="Arial"/>
          <w:color w:val="FF0000"/>
          <w:sz w:val="24"/>
        </w:rPr>
        <w:t xml:space="preserve"> debía liquidarlas en forma retroactiva a la totalidad de sus trabajadores a 31-12-2001; asimismo, dispone la misma norma que</w:t>
      </w:r>
      <w:r w:rsidRPr="008D570A">
        <w:rPr>
          <w:rFonts w:ascii="Arial" w:hAnsi="Arial" w:cs="Arial"/>
          <w:color w:val="FF0000"/>
          <w:sz w:val="24"/>
          <w:szCs w:val="24"/>
          <w:lang w:val="es-CO" w:eastAsia="x-none"/>
        </w:rPr>
        <w:t xml:space="preserve"> a partir del año 2002 las cesantías se deben liquidar anualmente y se deberá tener en cuenta la asignación básica mensual, la prima de vacaciones y de servicios legal o extralegal, horas extras, recargos nocturnos, dominicales y feriados, auxilio de alimentación y transporte y los viáticos; así, al realizar la liquidación </w:t>
      </w:r>
      <w:r>
        <w:rPr>
          <w:rFonts w:ascii="Arial" w:hAnsi="Arial" w:cs="Arial"/>
          <w:color w:val="FF0000"/>
          <w:sz w:val="24"/>
          <w:szCs w:val="24"/>
          <w:lang w:val="es-CO" w:eastAsia="x-none"/>
        </w:rPr>
        <w:t xml:space="preserve">por esta Sala </w:t>
      </w:r>
      <w:r w:rsidRPr="008D570A">
        <w:rPr>
          <w:rFonts w:ascii="Arial" w:hAnsi="Arial" w:cs="Arial"/>
          <w:color w:val="FF0000"/>
          <w:sz w:val="24"/>
          <w:szCs w:val="24"/>
          <w:lang w:val="es-CO" w:eastAsia="x-none"/>
        </w:rPr>
        <w:t>con los ítems</w:t>
      </w:r>
      <w:r>
        <w:rPr>
          <w:rFonts w:ascii="Arial" w:hAnsi="Arial" w:cs="Arial"/>
          <w:color w:val="FF0000"/>
          <w:sz w:val="24"/>
          <w:szCs w:val="24"/>
          <w:lang w:val="es-CO" w:eastAsia="x-none"/>
        </w:rPr>
        <w:t xml:space="preserve"> aplicables al</w:t>
      </w:r>
      <w:r w:rsidRPr="008D570A">
        <w:rPr>
          <w:rFonts w:ascii="Arial" w:hAnsi="Arial" w:cs="Arial"/>
          <w:color w:val="FF0000"/>
          <w:sz w:val="24"/>
          <w:szCs w:val="24"/>
          <w:lang w:val="es-CO" w:eastAsia="x-none"/>
        </w:rPr>
        <w:t xml:space="preserve"> demandante, tendría derecho a recibir por cesantías por el primer contrato a partir del 01-09-2009 hasta el 30-04-2010, la suma de $</w:t>
      </w:r>
      <w:r>
        <w:rPr>
          <w:rFonts w:ascii="Arial" w:hAnsi="Arial" w:cs="Arial"/>
          <w:color w:val="FF0000"/>
          <w:sz w:val="24"/>
          <w:szCs w:val="24"/>
          <w:lang w:val="es-CO" w:eastAsia="x-none"/>
        </w:rPr>
        <w:t xml:space="preserve"> 577.883</w:t>
      </w:r>
      <w:r w:rsidRPr="008D570A">
        <w:rPr>
          <w:rFonts w:ascii="Arial" w:hAnsi="Arial" w:cs="Arial"/>
          <w:color w:val="FF0000"/>
          <w:sz w:val="24"/>
          <w:szCs w:val="24"/>
          <w:lang w:val="es-CO" w:eastAsia="x-none"/>
        </w:rPr>
        <w:t xml:space="preserve">, y por el segundo contrato a partir del 01-07-2010 hasta </w:t>
      </w:r>
      <w:r>
        <w:rPr>
          <w:rFonts w:ascii="Arial" w:hAnsi="Arial" w:cs="Arial"/>
          <w:color w:val="FF0000"/>
          <w:sz w:val="24"/>
          <w:szCs w:val="24"/>
          <w:lang w:val="es-CO" w:eastAsia="x-none"/>
        </w:rPr>
        <w:t xml:space="preserve">el 31-10-2011, la suma de $1.203.743, valores que fueron superiores a </w:t>
      </w:r>
      <w:r w:rsidRPr="008D570A">
        <w:rPr>
          <w:rFonts w:ascii="Arial" w:hAnsi="Arial" w:cs="Arial"/>
          <w:color w:val="FF0000"/>
          <w:sz w:val="24"/>
          <w:szCs w:val="24"/>
          <w:lang w:val="es-CO" w:eastAsia="x-none"/>
        </w:rPr>
        <w:t xml:space="preserve"> </w:t>
      </w:r>
      <w:r>
        <w:rPr>
          <w:rFonts w:ascii="Arial" w:hAnsi="Arial" w:cs="Arial"/>
          <w:color w:val="FF0000"/>
          <w:sz w:val="24"/>
          <w:szCs w:val="24"/>
          <w:lang w:val="es-CO" w:eastAsia="x-none"/>
        </w:rPr>
        <w:t xml:space="preserve">que </w:t>
      </w:r>
      <w:r w:rsidRPr="008D570A">
        <w:rPr>
          <w:rFonts w:ascii="Arial" w:hAnsi="Arial" w:cs="Arial"/>
          <w:color w:val="FF0000"/>
          <w:sz w:val="24"/>
          <w:szCs w:val="24"/>
          <w:lang w:val="es-CO" w:eastAsia="x-none"/>
        </w:rPr>
        <w:t>liquidó la primera instancia, $538.350</w:t>
      </w:r>
      <w:r>
        <w:rPr>
          <w:rFonts w:ascii="Arial" w:hAnsi="Arial" w:cs="Arial"/>
          <w:color w:val="FF0000"/>
          <w:sz w:val="24"/>
          <w:szCs w:val="24"/>
          <w:lang w:val="es-CO" w:eastAsia="x-none"/>
        </w:rPr>
        <w:t xml:space="preserve">  y </w:t>
      </w:r>
      <w:r w:rsidRPr="008D570A">
        <w:rPr>
          <w:rFonts w:ascii="Arial" w:hAnsi="Arial" w:cs="Arial"/>
          <w:color w:val="FF0000"/>
          <w:sz w:val="24"/>
          <w:szCs w:val="24"/>
          <w:lang w:val="es-CO" w:eastAsia="x-none"/>
        </w:rPr>
        <w:t>$1.119.994</w:t>
      </w:r>
      <w:r>
        <w:rPr>
          <w:rFonts w:ascii="Arial" w:hAnsi="Arial" w:cs="Arial"/>
          <w:color w:val="FF0000"/>
          <w:sz w:val="24"/>
          <w:szCs w:val="24"/>
          <w:lang w:val="es-CO" w:eastAsia="x-none"/>
        </w:rPr>
        <w:t xml:space="preserve">. Por lo que se mantendrá </w:t>
      </w:r>
    </w:p>
    <w:p w:rsidR="008E01FD" w:rsidRPr="008D570A" w:rsidRDefault="008E01FD" w:rsidP="008E01FD">
      <w:pPr>
        <w:pStyle w:val="Prrafodelista"/>
        <w:tabs>
          <w:tab w:val="left" w:pos="709"/>
        </w:tabs>
        <w:spacing w:line="276" w:lineRule="auto"/>
        <w:ind w:left="0"/>
        <w:jc w:val="both"/>
        <w:rPr>
          <w:rFonts w:ascii="Arial" w:hAnsi="Arial" w:cs="Arial"/>
          <w:color w:val="FF0000"/>
          <w:sz w:val="24"/>
          <w:szCs w:val="24"/>
          <w:lang w:val="es-CO" w:eastAsia="x-none"/>
        </w:rPr>
      </w:pPr>
    </w:p>
    <w:p w:rsidR="008E01FD" w:rsidRPr="008D570A" w:rsidRDefault="008E01FD" w:rsidP="008E01FD">
      <w:pPr>
        <w:pStyle w:val="Prrafodelista"/>
        <w:tabs>
          <w:tab w:val="left" w:pos="709"/>
        </w:tabs>
        <w:spacing w:line="276" w:lineRule="auto"/>
        <w:ind w:left="0"/>
        <w:jc w:val="both"/>
        <w:rPr>
          <w:rFonts w:ascii="Arial" w:hAnsi="Arial" w:cs="Arial"/>
          <w:color w:val="FF0000"/>
          <w:sz w:val="24"/>
          <w:szCs w:val="24"/>
          <w:lang w:val="es-CO" w:eastAsia="x-none"/>
        </w:rPr>
      </w:pPr>
      <w:r w:rsidRPr="008D570A">
        <w:rPr>
          <w:rFonts w:ascii="Arial" w:hAnsi="Arial" w:cs="Arial"/>
          <w:color w:val="FF0000"/>
          <w:sz w:val="24"/>
          <w:szCs w:val="24"/>
          <w:lang w:val="es-CO" w:eastAsia="x-none"/>
        </w:rPr>
        <w:t>En lo atinente a los intereses a las cesantías</w:t>
      </w:r>
      <w:r w:rsidRPr="008D570A">
        <w:rPr>
          <w:rFonts w:ascii="Arial" w:hAnsi="Arial" w:cs="Arial"/>
          <w:color w:val="FF0000"/>
          <w:sz w:val="24"/>
          <w:szCs w:val="24"/>
        </w:rPr>
        <w:t xml:space="preserve"> Hay lugar a esta pretensión como quiera que independientemente del fondo de administración de cesantías que haya elegido el actor, sea privado o el Fondo Nacional del Ahorro, ambos establecen el reconocimiento de ésta prestación sobre el valor de las cesantías liquidadas, el cual asciende en el año 2009 a $xxx, 2010 $xxx, para un total de $xxx, al 2011 $.</w:t>
      </w:r>
    </w:p>
    <w:p w:rsidR="008E01FD" w:rsidRPr="0096233E" w:rsidRDefault="008E01FD" w:rsidP="008E01FD">
      <w:pPr>
        <w:jc w:val="both"/>
        <w:rPr>
          <w:rFonts w:ascii="Arial" w:hAnsi="Arial" w:cs="Arial"/>
          <w:b/>
          <w:color w:val="000000"/>
          <w:szCs w:val="24"/>
          <w:highlight w:val="yellow"/>
          <w:lang w:val="es-CO" w:eastAsia="es-CO"/>
        </w:rPr>
      </w:pPr>
      <w:r>
        <w:rPr>
          <w:rFonts w:ascii="Arial" w:hAnsi="Arial" w:cs="Arial"/>
          <w:b/>
          <w:color w:val="000000"/>
          <w:szCs w:val="24"/>
          <w:highlight w:val="yellow"/>
          <w:lang w:val="es-CO" w:eastAsia="es-CO"/>
        </w:rPr>
        <w:t xml:space="preserve"> </w:t>
      </w:r>
    </w:p>
    <w:p w:rsidR="008E01FD" w:rsidRPr="004E7503" w:rsidRDefault="008E01FD" w:rsidP="008E01FD">
      <w:pPr>
        <w:jc w:val="both"/>
        <w:rPr>
          <w:rFonts w:ascii="Arial" w:hAnsi="Arial" w:cs="Arial"/>
          <w:b/>
          <w:color w:val="FF0000"/>
          <w:szCs w:val="24"/>
          <w:lang w:eastAsia="es-CO"/>
        </w:rPr>
      </w:pPr>
      <w:r w:rsidRPr="004E7503">
        <w:rPr>
          <w:rFonts w:ascii="Arial" w:hAnsi="Arial" w:cs="Arial"/>
          <w:b/>
          <w:color w:val="FF0000"/>
          <w:szCs w:val="24"/>
          <w:lang w:eastAsia="es-CO"/>
        </w:rPr>
        <w:t xml:space="preserve">2.3.2 Auxilio de transporte </w:t>
      </w:r>
    </w:p>
    <w:p w:rsidR="008E01FD" w:rsidRPr="004E7503" w:rsidRDefault="008E01FD" w:rsidP="008E01FD">
      <w:pPr>
        <w:jc w:val="both"/>
        <w:rPr>
          <w:rFonts w:ascii="Arial" w:hAnsi="Arial" w:cs="Arial"/>
          <w:color w:val="FF0000"/>
          <w:szCs w:val="24"/>
          <w:lang w:eastAsia="es-CO"/>
        </w:rPr>
      </w:pPr>
    </w:p>
    <w:p w:rsidR="008E01FD" w:rsidRPr="004E7503" w:rsidRDefault="008E01FD" w:rsidP="008E01FD">
      <w:pPr>
        <w:tabs>
          <w:tab w:val="left" w:pos="8647"/>
          <w:tab w:val="left" w:pos="9356"/>
        </w:tabs>
        <w:spacing w:line="276" w:lineRule="auto"/>
        <w:jc w:val="both"/>
        <w:rPr>
          <w:rFonts w:ascii="Arial" w:hAnsi="Arial" w:cs="Arial"/>
          <w:color w:val="FF0000"/>
          <w:szCs w:val="24"/>
          <w:lang w:val="es-CO" w:eastAsia="x-none"/>
        </w:rPr>
      </w:pPr>
      <w:r w:rsidRPr="004E7503">
        <w:rPr>
          <w:rFonts w:ascii="Arial" w:hAnsi="Arial" w:cs="Arial"/>
          <w:color w:val="FF0000"/>
          <w:szCs w:val="24"/>
          <w:lang w:val="es-CO" w:eastAsia="x-none"/>
        </w:rPr>
        <w:t>Prevé el artículo 53 de la convención colectiva de trabajo, según el acta de interpretación con autoridad complementaria y declaratoria al artículo 53 del convención colectiva de 27-12-2001 (</w:t>
      </w:r>
      <w:proofErr w:type="spellStart"/>
      <w:r w:rsidRPr="004E7503">
        <w:rPr>
          <w:rFonts w:ascii="Arial" w:hAnsi="Arial" w:cs="Arial"/>
          <w:color w:val="FF0000"/>
          <w:szCs w:val="24"/>
          <w:lang w:val="es-CO" w:eastAsia="x-none"/>
        </w:rPr>
        <w:t>fl</w:t>
      </w:r>
      <w:proofErr w:type="spellEnd"/>
      <w:r w:rsidRPr="004E7503">
        <w:rPr>
          <w:rFonts w:ascii="Arial" w:hAnsi="Arial" w:cs="Arial"/>
          <w:color w:val="FF0000"/>
          <w:szCs w:val="24"/>
          <w:lang w:val="es-CO" w:eastAsia="x-none"/>
        </w:rPr>
        <w:t xml:space="preserve">.) que tendrán derecho a esta prestación económica aquellos trabajadores que devenguen hasta tres (3) salarios mínimos legales mensuales vigentes y como el demandante en su calidad de auxiliar  administrativo en el lapso de duración de los contratos de trabajo, devengó un salario inferior a los tres (3) salarios mínimos, tiene derecho a percibir dicha </w:t>
      </w:r>
      <w:r w:rsidRPr="004E7503">
        <w:rPr>
          <w:rFonts w:ascii="Arial" w:hAnsi="Arial" w:cs="Arial"/>
          <w:color w:val="FF0000"/>
          <w:szCs w:val="24"/>
          <w:lang w:val="es-CO" w:eastAsia="x-none"/>
        </w:rPr>
        <w:lastRenderedPageBreak/>
        <w:t xml:space="preserve">prestación, como lo concluyó la primera instancia, quien lo valoro en $1.382.549, para lo cual esta sala lo taso para el año 2009 $237.200, año 2010 $615.500 y año 2011 $636.000, para un total de $916.300 </w:t>
      </w:r>
      <w:r w:rsidRPr="004E7503">
        <w:rPr>
          <w:rFonts w:ascii="Arial" w:hAnsi="Arial" w:cs="Arial"/>
          <w:color w:val="FF0000"/>
          <w:szCs w:val="24"/>
        </w:rPr>
        <w:t xml:space="preserve">no obstante, como esa decisión no fue apelada, esta última se conservará por el grado jurisdiccional de consulta por lo cual revocara el numeral </w:t>
      </w:r>
      <w:proofErr w:type="spellStart"/>
      <w:r w:rsidRPr="004E7503">
        <w:rPr>
          <w:rFonts w:ascii="Arial" w:hAnsi="Arial" w:cs="Arial"/>
          <w:color w:val="FF0000"/>
          <w:szCs w:val="24"/>
        </w:rPr>
        <w:t>xxxx</w:t>
      </w:r>
      <w:proofErr w:type="spellEnd"/>
      <w:r w:rsidRPr="004E7503">
        <w:rPr>
          <w:rFonts w:ascii="Arial" w:hAnsi="Arial" w:cs="Arial"/>
          <w:color w:val="FF0000"/>
          <w:szCs w:val="24"/>
        </w:rPr>
        <w:t xml:space="preserve"> de la sentencia .</w:t>
      </w:r>
    </w:p>
    <w:p w:rsidR="008E01FD" w:rsidRDefault="008E01FD" w:rsidP="008E01FD">
      <w:pPr>
        <w:tabs>
          <w:tab w:val="left" w:pos="8647"/>
          <w:tab w:val="left" w:pos="9356"/>
        </w:tabs>
        <w:spacing w:line="276" w:lineRule="auto"/>
        <w:jc w:val="both"/>
        <w:rPr>
          <w:rFonts w:ascii="Arial" w:hAnsi="Arial" w:cs="Arial"/>
          <w:szCs w:val="24"/>
          <w:lang w:val="es-CO" w:eastAsia="x-none"/>
        </w:rPr>
      </w:pPr>
    </w:p>
    <w:p w:rsidR="008E01FD" w:rsidRPr="003A7B61" w:rsidRDefault="008E01FD" w:rsidP="008E01FD">
      <w:pPr>
        <w:tabs>
          <w:tab w:val="left" w:pos="8647"/>
          <w:tab w:val="left" w:pos="9356"/>
        </w:tabs>
        <w:spacing w:line="360" w:lineRule="auto"/>
        <w:jc w:val="both"/>
        <w:rPr>
          <w:rFonts w:ascii="Arial" w:hAnsi="Arial" w:cs="Arial"/>
          <w:b/>
          <w:color w:val="FF0000"/>
          <w:szCs w:val="24"/>
        </w:rPr>
      </w:pPr>
      <w:r w:rsidRPr="003A7B61">
        <w:rPr>
          <w:rFonts w:ascii="Arial" w:hAnsi="Arial" w:cs="Arial"/>
          <w:b/>
          <w:color w:val="FF0000"/>
          <w:szCs w:val="24"/>
          <w:lang w:eastAsia="es-CO"/>
        </w:rPr>
        <w:t xml:space="preserve">2.3.4. </w:t>
      </w:r>
      <w:r w:rsidRPr="003A7B61">
        <w:rPr>
          <w:rFonts w:ascii="Arial" w:hAnsi="Arial" w:cs="Arial"/>
          <w:b/>
          <w:color w:val="FF0000"/>
          <w:szCs w:val="24"/>
        </w:rPr>
        <w:t>Prima de servicio</w:t>
      </w:r>
    </w:p>
    <w:p w:rsidR="008E01FD" w:rsidRPr="003A7B61" w:rsidRDefault="008E01FD" w:rsidP="008E01FD">
      <w:pPr>
        <w:tabs>
          <w:tab w:val="left" w:pos="8647"/>
          <w:tab w:val="left" w:pos="9356"/>
        </w:tabs>
        <w:spacing w:line="276" w:lineRule="auto"/>
        <w:jc w:val="both"/>
        <w:rPr>
          <w:rFonts w:ascii="Arial" w:hAnsi="Arial" w:cs="Arial"/>
          <w:color w:val="FF0000"/>
          <w:szCs w:val="24"/>
          <w:lang w:val="es-CO" w:eastAsia="x-none"/>
        </w:rPr>
      </w:pPr>
    </w:p>
    <w:p w:rsidR="008E01FD" w:rsidRPr="003A7B61" w:rsidRDefault="008E01FD" w:rsidP="008E01FD">
      <w:pPr>
        <w:tabs>
          <w:tab w:val="left" w:pos="8647"/>
          <w:tab w:val="left" w:pos="9356"/>
        </w:tabs>
        <w:spacing w:line="276" w:lineRule="auto"/>
        <w:jc w:val="both"/>
        <w:rPr>
          <w:rFonts w:ascii="Arial" w:hAnsi="Arial" w:cs="Arial"/>
          <w:color w:val="FF0000"/>
          <w:szCs w:val="24"/>
          <w:lang w:val="es-CO" w:eastAsia="x-none"/>
        </w:rPr>
      </w:pPr>
    </w:p>
    <w:p w:rsidR="008E01FD" w:rsidRPr="003A7B61" w:rsidRDefault="008E01FD" w:rsidP="008E01FD">
      <w:pPr>
        <w:tabs>
          <w:tab w:val="left" w:pos="8647"/>
          <w:tab w:val="left" w:pos="9356"/>
        </w:tabs>
        <w:spacing w:line="276" w:lineRule="auto"/>
        <w:jc w:val="both"/>
        <w:rPr>
          <w:rFonts w:ascii="Arial" w:hAnsi="Arial" w:cs="Arial"/>
          <w:color w:val="FF0000"/>
          <w:szCs w:val="24"/>
        </w:rPr>
      </w:pPr>
      <w:r>
        <w:rPr>
          <w:rFonts w:ascii="Arial" w:hAnsi="Arial" w:cs="Arial"/>
          <w:color w:val="FF0000"/>
          <w:szCs w:val="24"/>
        </w:rPr>
        <w:t>El</w:t>
      </w:r>
      <w:r w:rsidRPr="003A7B61">
        <w:rPr>
          <w:rFonts w:ascii="Arial" w:hAnsi="Arial" w:cs="Arial"/>
          <w:color w:val="FF0000"/>
          <w:szCs w:val="24"/>
        </w:rPr>
        <w:t xml:space="preserve"> artículo 4 del Decreto 1919 de 2002</w:t>
      </w:r>
      <w:r w:rsidRPr="003A7B61">
        <w:rPr>
          <w:rStyle w:val="Refdenotaalpie"/>
          <w:rFonts w:ascii="Arial" w:hAnsi="Arial" w:cs="Arial"/>
          <w:color w:val="FF0000"/>
          <w:szCs w:val="24"/>
        </w:rPr>
        <w:footnoteReference w:id="5"/>
      </w:r>
      <w:r w:rsidRPr="003A7B61">
        <w:rPr>
          <w:rFonts w:ascii="Arial" w:hAnsi="Arial" w:cs="Arial"/>
          <w:color w:val="FF0000"/>
          <w:szCs w:val="24"/>
        </w:rPr>
        <w:t>, señala que todos los empleados públicos vinculados o que se vinculen a las entidades del sector central y descentralizado de la Rama Ejecutiva del Orden territorial, tendrán derecho a percibir la prima de servicios anual equivalente a 15 días de remuneración que trata el Decreto 1042 de 1978; asimismo, a su pago proporcional, cuando el funcionario no haya trabajado el año completo en la misma entidad, en razón de una doceava parte por cada mes completo de labor y siempre que hubiere servido en el organismo por lo menos un semestre.</w:t>
      </w:r>
    </w:p>
    <w:p w:rsidR="008E01FD" w:rsidRPr="003A7B61" w:rsidRDefault="008E01FD" w:rsidP="008E01FD">
      <w:pPr>
        <w:tabs>
          <w:tab w:val="left" w:pos="8647"/>
          <w:tab w:val="left" w:pos="9356"/>
        </w:tabs>
        <w:spacing w:line="276" w:lineRule="auto"/>
        <w:jc w:val="both"/>
        <w:rPr>
          <w:rFonts w:ascii="Arial" w:hAnsi="Arial" w:cs="Arial"/>
          <w:color w:val="FF0000"/>
          <w:szCs w:val="24"/>
        </w:rPr>
      </w:pPr>
    </w:p>
    <w:p w:rsidR="008E01FD" w:rsidRPr="003A7B61" w:rsidRDefault="008E01FD" w:rsidP="008E01FD">
      <w:pPr>
        <w:tabs>
          <w:tab w:val="left" w:pos="8647"/>
          <w:tab w:val="left" w:pos="9356"/>
        </w:tabs>
        <w:spacing w:line="276" w:lineRule="auto"/>
        <w:jc w:val="both"/>
        <w:rPr>
          <w:rFonts w:ascii="Arial" w:hAnsi="Arial" w:cs="Arial"/>
          <w:color w:val="FF0000"/>
          <w:szCs w:val="24"/>
        </w:rPr>
      </w:pPr>
      <w:r w:rsidRPr="003A7B61">
        <w:rPr>
          <w:rFonts w:ascii="Arial" w:hAnsi="Arial" w:cs="Arial"/>
          <w:color w:val="FF0000"/>
          <w:szCs w:val="24"/>
        </w:rPr>
        <w:t xml:space="preserve">De tal </w:t>
      </w:r>
      <w:r>
        <w:rPr>
          <w:rFonts w:ascii="Arial" w:hAnsi="Arial" w:cs="Arial"/>
          <w:color w:val="FF0000"/>
          <w:szCs w:val="24"/>
        </w:rPr>
        <w:t>manera que al laborar el actor 8</w:t>
      </w:r>
      <w:r w:rsidRPr="003A7B61">
        <w:rPr>
          <w:rFonts w:ascii="Arial" w:hAnsi="Arial" w:cs="Arial"/>
          <w:color w:val="FF0000"/>
          <w:szCs w:val="24"/>
        </w:rPr>
        <w:t xml:space="preserve"> meses completos</w:t>
      </w:r>
      <w:r>
        <w:rPr>
          <w:rFonts w:ascii="Arial" w:hAnsi="Arial" w:cs="Arial"/>
          <w:color w:val="FF0000"/>
          <w:szCs w:val="24"/>
        </w:rPr>
        <w:t xml:space="preserve"> en el primer contrato y 16 meses para el segundo</w:t>
      </w:r>
      <w:r w:rsidRPr="003A7B61">
        <w:rPr>
          <w:rFonts w:ascii="Arial" w:hAnsi="Arial" w:cs="Arial"/>
          <w:color w:val="FF0000"/>
          <w:szCs w:val="24"/>
        </w:rPr>
        <w:t>, el pago es proporcional</w:t>
      </w:r>
      <w:r>
        <w:rPr>
          <w:rFonts w:ascii="Arial" w:hAnsi="Arial" w:cs="Arial"/>
          <w:color w:val="FF0000"/>
          <w:szCs w:val="24"/>
        </w:rPr>
        <w:t xml:space="preserve"> en lo pertinente</w:t>
      </w:r>
      <w:r w:rsidRPr="003A7B61">
        <w:rPr>
          <w:rFonts w:ascii="Arial" w:hAnsi="Arial" w:cs="Arial"/>
          <w:color w:val="FF0000"/>
          <w:szCs w:val="24"/>
        </w:rPr>
        <w:t>, por lo tanto, la l</w:t>
      </w:r>
      <w:r>
        <w:rPr>
          <w:rFonts w:ascii="Arial" w:hAnsi="Arial" w:cs="Arial"/>
          <w:color w:val="FF0000"/>
          <w:szCs w:val="24"/>
        </w:rPr>
        <w:t>iquidación debe hacerse conforme la norma</w:t>
      </w:r>
      <w:r w:rsidRPr="003A7B61">
        <w:rPr>
          <w:rFonts w:ascii="Arial" w:hAnsi="Arial" w:cs="Arial"/>
          <w:color w:val="FF0000"/>
          <w:szCs w:val="24"/>
        </w:rPr>
        <w:t>.</w:t>
      </w:r>
    </w:p>
    <w:p w:rsidR="008E01FD" w:rsidRPr="003A7B61" w:rsidRDefault="008E01FD" w:rsidP="008E01FD">
      <w:pPr>
        <w:tabs>
          <w:tab w:val="left" w:pos="8647"/>
          <w:tab w:val="left" w:pos="9356"/>
        </w:tabs>
        <w:spacing w:line="276" w:lineRule="auto"/>
        <w:jc w:val="both"/>
        <w:rPr>
          <w:rFonts w:ascii="Arial" w:hAnsi="Arial" w:cs="Arial"/>
          <w:color w:val="FF0000"/>
          <w:szCs w:val="24"/>
        </w:rPr>
      </w:pPr>
    </w:p>
    <w:p w:rsidR="008E01FD" w:rsidRPr="003A7B61" w:rsidRDefault="008E01FD" w:rsidP="008E01FD">
      <w:pPr>
        <w:tabs>
          <w:tab w:val="left" w:pos="8647"/>
          <w:tab w:val="left" w:pos="9356"/>
        </w:tabs>
        <w:spacing w:line="276" w:lineRule="auto"/>
        <w:jc w:val="both"/>
        <w:rPr>
          <w:rFonts w:ascii="Arial" w:hAnsi="Arial" w:cs="Arial"/>
          <w:color w:val="FF0000"/>
          <w:szCs w:val="24"/>
          <w:lang w:val="es-ES"/>
        </w:rPr>
      </w:pPr>
      <w:r w:rsidRPr="003A7B61">
        <w:rPr>
          <w:rFonts w:ascii="Arial" w:hAnsi="Arial" w:cs="Arial"/>
          <w:color w:val="FF0000"/>
          <w:szCs w:val="24"/>
        </w:rPr>
        <w:t>Adicionalmente deben tenerse en cuenta para su liquidación los factores salariales contemplados en el artículo 58 del Decreto 1042 de 1978, que para el caso en concreto, son el sueldo básico y e</w:t>
      </w:r>
      <w:r>
        <w:rPr>
          <w:rFonts w:ascii="Arial" w:hAnsi="Arial" w:cs="Arial"/>
          <w:color w:val="FF0000"/>
          <w:szCs w:val="24"/>
        </w:rPr>
        <w:t>l auxilio de transporte</w:t>
      </w:r>
      <w:r w:rsidRPr="003A7B61">
        <w:rPr>
          <w:rFonts w:ascii="Arial" w:hAnsi="Arial" w:cs="Arial"/>
          <w:color w:val="FF0000"/>
          <w:szCs w:val="24"/>
          <w:lang w:val="es-ES"/>
        </w:rPr>
        <w:t>.</w:t>
      </w:r>
    </w:p>
    <w:p w:rsidR="008E01FD" w:rsidRPr="003A7B61" w:rsidRDefault="008E01FD" w:rsidP="008E01FD">
      <w:pPr>
        <w:tabs>
          <w:tab w:val="left" w:pos="8647"/>
          <w:tab w:val="left" w:pos="9356"/>
        </w:tabs>
        <w:spacing w:line="276" w:lineRule="auto"/>
        <w:jc w:val="both"/>
        <w:rPr>
          <w:rFonts w:ascii="Arial" w:hAnsi="Arial" w:cs="Arial"/>
          <w:color w:val="FF0000"/>
          <w:szCs w:val="24"/>
        </w:rPr>
      </w:pPr>
    </w:p>
    <w:p w:rsidR="008E01FD" w:rsidRDefault="008E01FD" w:rsidP="008E01FD">
      <w:pPr>
        <w:tabs>
          <w:tab w:val="left" w:pos="8647"/>
          <w:tab w:val="left" w:pos="9356"/>
        </w:tabs>
        <w:spacing w:line="276" w:lineRule="auto"/>
        <w:jc w:val="both"/>
        <w:rPr>
          <w:rFonts w:ascii="Arial" w:hAnsi="Arial" w:cs="Arial"/>
          <w:color w:val="FF0000"/>
          <w:szCs w:val="24"/>
        </w:rPr>
      </w:pPr>
      <w:r w:rsidRPr="003A7B61">
        <w:rPr>
          <w:rFonts w:ascii="Arial" w:hAnsi="Arial" w:cs="Arial"/>
          <w:color w:val="FF0000"/>
          <w:szCs w:val="24"/>
        </w:rPr>
        <w:t xml:space="preserve">Por lo que el valor a reconocerse por esta prestación asciende </w:t>
      </w:r>
      <w:r>
        <w:rPr>
          <w:rFonts w:ascii="Arial" w:hAnsi="Arial" w:cs="Arial"/>
          <w:color w:val="FF0000"/>
          <w:szCs w:val="24"/>
        </w:rPr>
        <w:t>para el primer contrato la de $577.883 y para el segundo contrato de $1.113.048</w:t>
      </w:r>
      <w:r w:rsidRPr="003A7B61">
        <w:rPr>
          <w:rFonts w:ascii="Arial" w:hAnsi="Arial" w:cs="Arial"/>
          <w:color w:val="FF0000"/>
          <w:szCs w:val="24"/>
        </w:rPr>
        <w:t xml:space="preserve">, </w:t>
      </w:r>
      <w:r>
        <w:rPr>
          <w:rFonts w:ascii="Arial" w:hAnsi="Arial" w:cs="Arial"/>
          <w:color w:val="FF0000"/>
          <w:szCs w:val="24"/>
        </w:rPr>
        <w:t xml:space="preserve">valor que es superior al liquidado por la Jueza, </w:t>
      </w:r>
      <w:r w:rsidRPr="003A7B61">
        <w:rPr>
          <w:rFonts w:ascii="Arial" w:hAnsi="Arial" w:cs="Arial"/>
          <w:color w:val="FF0000"/>
          <w:szCs w:val="24"/>
        </w:rPr>
        <w:t>por lo que teniendo en cuenta el grado jurisdiccional de consulta que se surte en</w:t>
      </w:r>
      <w:r>
        <w:rPr>
          <w:rFonts w:ascii="Arial" w:hAnsi="Arial" w:cs="Arial"/>
          <w:color w:val="FF0000"/>
          <w:szCs w:val="24"/>
        </w:rPr>
        <w:t xml:space="preserve"> favor del </w:t>
      </w:r>
      <w:proofErr w:type="spellStart"/>
      <w:r>
        <w:rPr>
          <w:rFonts w:ascii="Arial" w:hAnsi="Arial" w:cs="Arial"/>
          <w:color w:val="FF0000"/>
          <w:szCs w:val="24"/>
        </w:rPr>
        <w:t>ISS</w:t>
      </w:r>
      <w:proofErr w:type="spellEnd"/>
      <w:r>
        <w:rPr>
          <w:rFonts w:ascii="Arial" w:hAnsi="Arial" w:cs="Arial"/>
          <w:color w:val="FF0000"/>
          <w:szCs w:val="24"/>
        </w:rPr>
        <w:t xml:space="preserve">, esta se </w:t>
      </w:r>
      <w:r w:rsidRPr="003A7B61">
        <w:rPr>
          <w:rFonts w:ascii="Arial" w:hAnsi="Arial" w:cs="Arial"/>
          <w:color w:val="FF0000"/>
          <w:szCs w:val="24"/>
        </w:rPr>
        <w:t xml:space="preserve">deberá </w:t>
      </w:r>
      <w:r>
        <w:rPr>
          <w:rFonts w:ascii="Arial" w:hAnsi="Arial" w:cs="Arial"/>
          <w:color w:val="FF0000"/>
          <w:szCs w:val="24"/>
        </w:rPr>
        <w:t xml:space="preserve">como en la  </w:t>
      </w:r>
      <w:r w:rsidRPr="003A7B61">
        <w:rPr>
          <w:rFonts w:ascii="Arial" w:hAnsi="Arial" w:cs="Arial"/>
          <w:color w:val="FF0000"/>
          <w:szCs w:val="24"/>
        </w:rPr>
        <w:t>parte resolutiva de la sentencia.</w:t>
      </w:r>
    </w:p>
    <w:p w:rsidR="008E01FD" w:rsidRPr="00C93C2C" w:rsidRDefault="008E01FD" w:rsidP="008E01FD">
      <w:pPr>
        <w:tabs>
          <w:tab w:val="left" w:pos="8647"/>
          <w:tab w:val="left" w:pos="9356"/>
        </w:tabs>
        <w:spacing w:line="276" w:lineRule="auto"/>
        <w:jc w:val="both"/>
        <w:rPr>
          <w:rFonts w:ascii="Arial" w:hAnsi="Arial" w:cs="Arial"/>
          <w:color w:val="FF0000"/>
          <w:szCs w:val="24"/>
          <w:lang w:val="es-CO" w:eastAsia="x-none"/>
        </w:rPr>
      </w:pPr>
    </w:p>
    <w:p w:rsidR="008E01FD" w:rsidRPr="00C93C2C" w:rsidRDefault="008E01FD" w:rsidP="008E01FD">
      <w:pPr>
        <w:tabs>
          <w:tab w:val="left" w:pos="8647"/>
          <w:tab w:val="left" w:pos="9356"/>
        </w:tabs>
        <w:spacing w:line="360" w:lineRule="auto"/>
        <w:jc w:val="both"/>
        <w:rPr>
          <w:rFonts w:ascii="Arial" w:hAnsi="Arial" w:cs="Arial"/>
          <w:b/>
          <w:color w:val="FF0000"/>
          <w:szCs w:val="24"/>
        </w:rPr>
      </w:pPr>
      <w:r w:rsidRPr="00C93C2C">
        <w:rPr>
          <w:rFonts w:ascii="Arial" w:hAnsi="Arial" w:cs="Arial"/>
          <w:b/>
          <w:color w:val="FF0000"/>
          <w:szCs w:val="24"/>
          <w:lang w:eastAsia="es-CO"/>
        </w:rPr>
        <w:t xml:space="preserve">2.3.4. </w:t>
      </w:r>
      <w:r w:rsidRPr="00C93C2C">
        <w:rPr>
          <w:rFonts w:ascii="Arial" w:hAnsi="Arial" w:cs="Arial"/>
          <w:b/>
          <w:color w:val="FF0000"/>
          <w:szCs w:val="24"/>
        </w:rPr>
        <w:t>Prima de servicio convencional</w:t>
      </w:r>
    </w:p>
    <w:p w:rsidR="008E01FD" w:rsidRPr="00C93C2C" w:rsidRDefault="008E01FD" w:rsidP="008E01FD">
      <w:pPr>
        <w:tabs>
          <w:tab w:val="left" w:pos="8647"/>
          <w:tab w:val="left" w:pos="9356"/>
        </w:tabs>
        <w:spacing w:line="276" w:lineRule="auto"/>
        <w:jc w:val="both"/>
        <w:rPr>
          <w:rFonts w:ascii="Arial" w:hAnsi="Arial" w:cs="Arial"/>
          <w:color w:val="FF0000"/>
          <w:szCs w:val="24"/>
        </w:rPr>
      </w:pPr>
      <w:r w:rsidRPr="00C93C2C">
        <w:rPr>
          <w:rFonts w:ascii="Arial" w:hAnsi="Arial" w:cs="Arial"/>
          <w:color w:val="FF0000"/>
          <w:szCs w:val="24"/>
        </w:rPr>
        <w:t>El artículo 50 de la convención colectiva establece que se tendrá derecho a dos (2) primas de servicios al año, cada una de ellas equivalente a quince (15) días de salario, por lo tanto, el señor Gómez Dávila tiene derecho a que se le reconozca esta prestación.</w:t>
      </w:r>
    </w:p>
    <w:p w:rsidR="008E01FD" w:rsidRPr="00C93C2C" w:rsidRDefault="008E01FD" w:rsidP="008E01FD">
      <w:pPr>
        <w:tabs>
          <w:tab w:val="left" w:pos="8647"/>
          <w:tab w:val="left" w:pos="9356"/>
        </w:tabs>
        <w:spacing w:line="276" w:lineRule="auto"/>
        <w:jc w:val="both"/>
        <w:rPr>
          <w:rFonts w:ascii="Arial" w:hAnsi="Arial" w:cs="Arial"/>
          <w:color w:val="FF0000"/>
          <w:szCs w:val="24"/>
        </w:rPr>
      </w:pPr>
    </w:p>
    <w:p w:rsidR="008E01FD" w:rsidRDefault="008E01FD" w:rsidP="008E01FD">
      <w:pPr>
        <w:pStyle w:val="Textoindependiente22"/>
        <w:spacing w:line="276" w:lineRule="auto"/>
        <w:rPr>
          <w:rFonts w:cs="Arial"/>
          <w:b w:val="0"/>
          <w:sz w:val="24"/>
          <w:szCs w:val="24"/>
        </w:rPr>
      </w:pPr>
      <w:r w:rsidRPr="00C93C2C">
        <w:rPr>
          <w:rFonts w:cs="Arial"/>
          <w:color w:val="FF0000"/>
          <w:szCs w:val="24"/>
        </w:rPr>
        <w:t>Así entonces el valor que había lugar a reconocer por el primer contrato $</w:t>
      </w:r>
      <w:proofErr w:type="spellStart"/>
      <w:r w:rsidRPr="00C93C2C">
        <w:rPr>
          <w:rFonts w:cs="Arial"/>
          <w:color w:val="FF0000"/>
          <w:szCs w:val="24"/>
        </w:rPr>
        <w:t>xxxxx</w:t>
      </w:r>
      <w:proofErr w:type="spellEnd"/>
      <w:r w:rsidRPr="00C93C2C">
        <w:rPr>
          <w:rFonts w:cs="Arial"/>
          <w:color w:val="FF0000"/>
          <w:szCs w:val="24"/>
        </w:rPr>
        <w:t xml:space="preserve"> y por el segundo contrato $</w:t>
      </w:r>
      <w:proofErr w:type="spellStart"/>
      <w:r w:rsidRPr="00C93C2C">
        <w:rPr>
          <w:rFonts w:cs="Arial"/>
          <w:color w:val="FF0000"/>
          <w:szCs w:val="24"/>
        </w:rPr>
        <w:t>xxxx</w:t>
      </w:r>
      <w:proofErr w:type="spellEnd"/>
      <w:r w:rsidRPr="00C93C2C">
        <w:rPr>
          <w:rFonts w:cs="Arial"/>
          <w:color w:val="FF0000"/>
          <w:szCs w:val="24"/>
        </w:rPr>
        <w:t xml:space="preserve">  y no $1.247.536 fijado por la a quo; no obstante, como esa decisión no fue apelada, esta última se conservará por el grado jurisdiccional de consulta.</w:t>
      </w:r>
    </w:p>
    <w:p w:rsidR="008E01FD" w:rsidRDefault="008E01FD" w:rsidP="008E01FD">
      <w:pPr>
        <w:pStyle w:val="Textoindependiente22"/>
        <w:spacing w:line="276" w:lineRule="auto"/>
        <w:rPr>
          <w:rFonts w:cs="Arial"/>
          <w:b w:val="0"/>
          <w:sz w:val="24"/>
          <w:szCs w:val="24"/>
        </w:rPr>
      </w:pPr>
    </w:p>
    <w:p w:rsidR="008E01FD" w:rsidRPr="00726E7C" w:rsidRDefault="008E01FD" w:rsidP="008E01FD">
      <w:pPr>
        <w:pStyle w:val="Textoindependiente22"/>
        <w:spacing w:line="276" w:lineRule="auto"/>
        <w:rPr>
          <w:rFonts w:cs="Arial"/>
          <w:b w:val="0"/>
          <w:sz w:val="24"/>
          <w:szCs w:val="24"/>
        </w:rPr>
      </w:pPr>
    </w:p>
    <w:p w:rsidR="008E01FD" w:rsidRPr="00D44904" w:rsidRDefault="008E01FD" w:rsidP="008E01FD">
      <w:pPr>
        <w:rPr>
          <w:rFonts w:ascii="Arial" w:eastAsiaTheme="minorHAnsi" w:hAnsi="Arial" w:cs="Arial"/>
          <w:b/>
          <w:color w:val="FF0000"/>
          <w:szCs w:val="22"/>
          <w:lang w:eastAsia="en-US"/>
        </w:rPr>
      </w:pPr>
      <w:r w:rsidRPr="00D44904">
        <w:rPr>
          <w:rFonts w:ascii="Arial" w:eastAsiaTheme="minorHAnsi" w:hAnsi="Arial" w:cs="Arial"/>
          <w:b/>
          <w:color w:val="FF0000"/>
          <w:szCs w:val="22"/>
          <w:lang w:eastAsia="en-US"/>
        </w:rPr>
        <w:lastRenderedPageBreak/>
        <w:t>2.3.7 Indemnización moratoria Decreto Ley 797 de 1949</w:t>
      </w:r>
    </w:p>
    <w:p w:rsidR="008E01FD" w:rsidRPr="00D44904" w:rsidRDefault="008E01FD" w:rsidP="008E01FD">
      <w:pPr>
        <w:rPr>
          <w:rFonts w:ascii="Arial" w:eastAsiaTheme="minorHAnsi" w:hAnsi="Arial" w:cs="Arial"/>
          <w:b/>
          <w:color w:val="FF0000"/>
          <w:szCs w:val="22"/>
          <w:lang w:eastAsia="en-US"/>
        </w:rPr>
      </w:pPr>
    </w:p>
    <w:p w:rsidR="008E01FD" w:rsidRPr="00D44904" w:rsidRDefault="008E01FD" w:rsidP="008E01FD">
      <w:pPr>
        <w:autoSpaceDE w:val="0"/>
        <w:autoSpaceDN w:val="0"/>
        <w:adjustRightInd w:val="0"/>
        <w:spacing w:line="276" w:lineRule="auto"/>
        <w:jc w:val="both"/>
        <w:rPr>
          <w:rFonts w:ascii="Zurich Ex BT" w:hAnsi="Zurich Ex BT" w:cs="Tahoma"/>
          <w:bCs/>
          <w:color w:val="FF0000"/>
          <w:szCs w:val="24"/>
        </w:rPr>
      </w:pPr>
      <w:r w:rsidRPr="00D44904">
        <w:rPr>
          <w:rFonts w:ascii="Zurich Ex BT" w:hAnsi="Zurich Ex BT" w:cs="Tahoma"/>
          <w:bCs/>
          <w:color w:val="FF0000"/>
          <w:szCs w:val="24"/>
        </w:rPr>
        <w:t xml:space="preserve">Se genera esta sanción por la omisión del empleador en cancelarle al trabajador los salarios y prestaciones al término de su vinculación laboral, siempre y cuando tal actuar haya sido de mala fe. </w:t>
      </w:r>
    </w:p>
    <w:p w:rsidR="008E01FD" w:rsidRPr="00D44904" w:rsidRDefault="008E01FD" w:rsidP="008E01FD">
      <w:pPr>
        <w:autoSpaceDE w:val="0"/>
        <w:autoSpaceDN w:val="0"/>
        <w:adjustRightInd w:val="0"/>
        <w:spacing w:line="276" w:lineRule="auto"/>
        <w:jc w:val="both"/>
        <w:rPr>
          <w:rFonts w:ascii="Zurich Ex BT" w:hAnsi="Zurich Ex BT" w:cs="Tahoma"/>
          <w:bCs/>
          <w:color w:val="FF0000"/>
          <w:szCs w:val="24"/>
        </w:rPr>
      </w:pPr>
    </w:p>
    <w:p w:rsidR="008E01FD" w:rsidRPr="00D44904" w:rsidRDefault="008E01FD" w:rsidP="008E01FD">
      <w:pPr>
        <w:autoSpaceDE w:val="0"/>
        <w:autoSpaceDN w:val="0"/>
        <w:adjustRightInd w:val="0"/>
        <w:spacing w:line="276" w:lineRule="auto"/>
        <w:jc w:val="both"/>
        <w:rPr>
          <w:rFonts w:ascii="Arial" w:hAnsi="Arial" w:cs="Arial"/>
          <w:color w:val="FF0000"/>
          <w:szCs w:val="24"/>
        </w:rPr>
      </w:pPr>
      <w:r w:rsidRPr="00D44904">
        <w:rPr>
          <w:rFonts w:ascii="Arial" w:hAnsi="Arial" w:cs="Arial"/>
          <w:color w:val="FF0000"/>
          <w:szCs w:val="24"/>
        </w:rPr>
        <w:t>Sobre este tópico la Corte Suprema de Justicia</w:t>
      </w:r>
      <w:r w:rsidRPr="00D44904">
        <w:rPr>
          <w:rStyle w:val="Refdenotaalpie"/>
          <w:rFonts w:ascii="Arial" w:hAnsi="Arial" w:cs="Arial"/>
          <w:color w:val="FF0000"/>
          <w:szCs w:val="24"/>
        </w:rPr>
        <w:footnoteReference w:id="6"/>
      </w:r>
      <w:r w:rsidRPr="00D44904">
        <w:rPr>
          <w:rFonts w:ascii="Arial" w:hAnsi="Arial" w:cs="Arial"/>
          <w:color w:val="FF0000"/>
          <w:szCs w:val="24"/>
        </w:rPr>
        <w:t xml:space="preserve">, como máximo órgano de cierre en materia laboral, ha dicho que la condena a la indemnización moratoria no es automática por cuanto al tener naturaleza sancionatoria debe estar precedida de un examen de la conducta del empleador con el fin de determinar si actuó de buena o mala fe al omitir o retardar el reconocimiento de la acreencia laboral. </w:t>
      </w:r>
    </w:p>
    <w:p w:rsidR="008E01FD" w:rsidRPr="00D44904" w:rsidRDefault="008E01FD" w:rsidP="008E01FD">
      <w:pPr>
        <w:autoSpaceDE w:val="0"/>
        <w:autoSpaceDN w:val="0"/>
        <w:adjustRightInd w:val="0"/>
        <w:spacing w:line="276" w:lineRule="auto"/>
        <w:jc w:val="both"/>
        <w:rPr>
          <w:rFonts w:ascii="Arial" w:hAnsi="Arial" w:cs="Arial"/>
          <w:color w:val="FF0000"/>
          <w:szCs w:val="24"/>
        </w:rPr>
      </w:pPr>
    </w:p>
    <w:p w:rsidR="008E01FD" w:rsidRPr="00D44904" w:rsidRDefault="008E01FD" w:rsidP="008E01FD">
      <w:pPr>
        <w:autoSpaceDE w:val="0"/>
        <w:autoSpaceDN w:val="0"/>
        <w:adjustRightInd w:val="0"/>
        <w:spacing w:line="276" w:lineRule="auto"/>
        <w:jc w:val="both"/>
        <w:rPr>
          <w:rFonts w:ascii="Arial" w:hAnsi="Arial" w:cs="Arial"/>
          <w:color w:val="FF0000"/>
          <w:szCs w:val="24"/>
        </w:rPr>
      </w:pPr>
    </w:p>
    <w:p w:rsidR="008E01FD" w:rsidRPr="00D44904" w:rsidRDefault="008E01FD" w:rsidP="008E01FD">
      <w:pPr>
        <w:autoSpaceDE w:val="0"/>
        <w:autoSpaceDN w:val="0"/>
        <w:adjustRightInd w:val="0"/>
        <w:spacing w:line="276" w:lineRule="auto"/>
        <w:jc w:val="both"/>
        <w:rPr>
          <w:rFonts w:ascii="Arial" w:hAnsi="Arial" w:cs="Arial"/>
          <w:color w:val="FF0000"/>
          <w:szCs w:val="24"/>
        </w:rPr>
      </w:pPr>
      <w:r w:rsidRPr="00D44904">
        <w:rPr>
          <w:rFonts w:ascii="Arial" w:hAnsi="Arial" w:cs="Arial"/>
          <w:color w:val="FF0000"/>
          <w:szCs w:val="24"/>
        </w:rPr>
        <w:t xml:space="preserve">En el caso en concreto resultó evidente que el </w:t>
      </w:r>
      <w:proofErr w:type="spellStart"/>
      <w:r w:rsidRPr="00D44904">
        <w:rPr>
          <w:rFonts w:ascii="Arial" w:hAnsi="Arial" w:cs="Arial"/>
          <w:color w:val="FF0000"/>
          <w:szCs w:val="24"/>
        </w:rPr>
        <w:t>ISS</w:t>
      </w:r>
      <w:proofErr w:type="spellEnd"/>
      <w:r w:rsidRPr="00D44904">
        <w:rPr>
          <w:rFonts w:ascii="Arial" w:hAnsi="Arial" w:cs="Arial"/>
          <w:color w:val="FF0000"/>
          <w:szCs w:val="24"/>
        </w:rPr>
        <w:t xml:space="preserve"> disfrazó la relación laboral existente con el señor Gómez Dávila con unos contratos de prestación de servicios, para desarrollar funciones propias de un empleado de planta y que fueron ejecutadas de manera ininterrumpida, bajo la dependencia y subordinación de la jefe de pensiones de la entidad demandada; todo ello con el fin de eludir sus obligaciones legales y convencionales.</w:t>
      </w:r>
    </w:p>
    <w:p w:rsidR="008E01FD" w:rsidRPr="00D44904" w:rsidRDefault="008E01FD" w:rsidP="008E01FD">
      <w:pPr>
        <w:autoSpaceDE w:val="0"/>
        <w:autoSpaceDN w:val="0"/>
        <w:adjustRightInd w:val="0"/>
        <w:spacing w:line="276" w:lineRule="auto"/>
        <w:jc w:val="both"/>
        <w:rPr>
          <w:rFonts w:ascii="Arial" w:hAnsi="Arial" w:cs="Arial"/>
          <w:color w:val="FF0000"/>
          <w:szCs w:val="24"/>
        </w:rPr>
      </w:pPr>
    </w:p>
    <w:p w:rsidR="006B6933" w:rsidRDefault="008E01FD" w:rsidP="008E01FD">
      <w:pPr>
        <w:tabs>
          <w:tab w:val="left" w:pos="8647"/>
          <w:tab w:val="left" w:pos="9356"/>
        </w:tabs>
        <w:spacing w:line="276" w:lineRule="auto"/>
        <w:jc w:val="both"/>
        <w:rPr>
          <w:rFonts w:ascii="Arial" w:hAnsi="Arial" w:cs="Arial"/>
          <w:szCs w:val="24"/>
        </w:rPr>
      </w:pPr>
      <w:r w:rsidRPr="00D44904">
        <w:rPr>
          <w:rFonts w:ascii="Arial" w:hAnsi="Arial" w:cs="Arial"/>
          <w:color w:val="FF0000"/>
          <w:szCs w:val="24"/>
        </w:rPr>
        <w:t>Por tal razón y atendiendo los 90 días que de gracia tienen las entidades públicas para pagar las acreencias laborales y que estos se cuentan una vez se termina el vínculo laboral que en el asunto en concreto para el primer contrato  fue el 30-04-2010, y para el segundo contrato seria 31-10-2011, la sanción moratoria, se.</w:t>
      </w: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sectPr w:rsidR="006B6933"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44" w:rsidRDefault="00A97B44" w:rsidP="00226D5F">
      <w:r>
        <w:separator/>
      </w:r>
    </w:p>
  </w:endnote>
  <w:endnote w:type="continuationSeparator" w:id="0">
    <w:p w:rsidR="00A97B44" w:rsidRDefault="00A97B4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D0" w:rsidRDefault="000778D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78D0" w:rsidRDefault="000778D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D0" w:rsidRDefault="000778D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5F44">
      <w:rPr>
        <w:rStyle w:val="Nmerodepgina"/>
        <w:noProof/>
      </w:rPr>
      <w:t>15</w:t>
    </w:r>
    <w:r>
      <w:rPr>
        <w:rStyle w:val="Nmerodepgina"/>
      </w:rPr>
      <w:fldChar w:fldCharType="end"/>
    </w:r>
  </w:p>
  <w:p w:rsidR="000778D0" w:rsidRDefault="000778D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44" w:rsidRDefault="00A97B44" w:rsidP="00226D5F">
      <w:r>
        <w:separator/>
      </w:r>
    </w:p>
  </w:footnote>
  <w:footnote w:type="continuationSeparator" w:id="0">
    <w:p w:rsidR="00A97B44" w:rsidRDefault="00A97B44" w:rsidP="00226D5F">
      <w:r>
        <w:continuationSeparator/>
      </w:r>
    </w:p>
  </w:footnote>
  <w:footnote w:id="1">
    <w:p w:rsidR="00730E58" w:rsidRPr="00E95EEC" w:rsidRDefault="00730E58" w:rsidP="00730E58">
      <w:pPr>
        <w:pStyle w:val="Textonotapie"/>
        <w:rPr>
          <w:lang w:val="es-CO"/>
        </w:rPr>
      </w:pPr>
      <w:r>
        <w:rPr>
          <w:rStyle w:val="Refdenotaalpie"/>
        </w:rPr>
        <w:footnoteRef/>
      </w:r>
      <w:r>
        <w:t xml:space="preserve"> </w:t>
      </w:r>
      <w:r>
        <w:rPr>
          <w:lang w:val="es-CO"/>
        </w:rPr>
        <w:t xml:space="preserve">Corte Suprema de Justicia, </w:t>
      </w:r>
      <w:proofErr w:type="spellStart"/>
      <w:r>
        <w:rPr>
          <w:lang w:val="es-CO"/>
        </w:rPr>
        <w:t>R.A</w:t>
      </w:r>
      <w:proofErr w:type="spellEnd"/>
      <w:r>
        <w:rPr>
          <w:lang w:val="es-CO"/>
        </w:rPr>
        <w:t xml:space="preserve">. de 02-09-2008, radicación 36583, </w:t>
      </w:r>
      <w:proofErr w:type="spellStart"/>
      <w:r>
        <w:rPr>
          <w:lang w:val="es-CO"/>
        </w:rPr>
        <w:t>M.P</w:t>
      </w:r>
      <w:proofErr w:type="spellEnd"/>
      <w:r>
        <w:rPr>
          <w:lang w:val="es-CO"/>
        </w:rPr>
        <w:t>. Eduardo López Villegas.</w:t>
      </w:r>
    </w:p>
  </w:footnote>
  <w:footnote w:id="2">
    <w:p w:rsidR="004D1594" w:rsidRPr="00E95EEC" w:rsidRDefault="004D1594" w:rsidP="004D1594">
      <w:pPr>
        <w:pStyle w:val="Textonotapie"/>
        <w:rPr>
          <w:lang w:val="es-CO"/>
        </w:rPr>
      </w:pPr>
      <w:r>
        <w:rPr>
          <w:rStyle w:val="Refdenotaalpie"/>
        </w:rPr>
        <w:footnoteRef/>
      </w:r>
      <w:r>
        <w:t xml:space="preserve"> </w:t>
      </w:r>
      <w:r>
        <w:rPr>
          <w:lang w:val="es-CO"/>
        </w:rPr>
        <w:t xml:space="preserve">Corte Suprema de Justicia, </w:t>
      </w:r>
      <w:proofErr w:type="spellStart"/>
      <w:r>
        <w:rPr>
          <w:lang w:val="es-CO"/>
        </w:rPr>
        <w:t>R.A</w:t>
      </w:r>
      <w:proofErr w:type="spellEnd"/>
      <w:r>
        <w:rPr>
          <w:lang w:val="es-CO"/>
        </w:rPr>
        <w:t xml:space="preserve">. de 02-09-2008, radicación 36583, </w:t>
      </w:r>
      <w:proofErr w:type="spellStart"/>
      <w:r>
        <w:rPr>
          <w:lang w:val="es-CO"/>
        </w:rPr>
        <w:t>M.P</w:t>
      </w:r>
      <w:proofErr w:type="spellEnd"/>
      <w:r>
        <w:rPr>
          <w:lang w:val="es-CO"/>
        </w:rPr>
        <w:t>. Eduardo López Villegas.</w:t>
      </w:r>
    </w:p>
  </w:footnote>
  <w:footnote w:id="3">
    <w:p w:rsidR="000778D0" w:rsidRPr="00186CE0" w:rsidRDefault="000778D0" w:rsidP="006578C6">
      <w:pPr>
        <w:pStyle w:val="Textonotapie"/>
        <w:jc w:val="both"/>
        <w:rPr>
          <w:lang w:val="es-CO"/>
        </w:rPr>
      </w:pPr>
      <w:r w:rsidRPr="00186CE0">
        <w:rPr>
          <w:rStyle w:val="Refdenotaalpie"/>
          <w:rFonts w:ascii="Arial" w:hAnsi="Arial" w:cs="Arial"/>
          <w:sz w:val="18"/>
        </w:rPr>
        <w:footnoteRef/>
      </w:r>
      <w:r>
        <w:t xml:space="preserve"> </w:t>
      </w:r>
      <w:r w:rsidRPr="003B0828">
        <w:rPr>
          <w:rFonts w:ascii="Arial" w:hAnsi="Arial" w:cs="Arial"/>
          <w:color w:val="000000"/>
          <w:sz w:val="18"/>
          <w:lang w:val="es-ES"/>
        </w:rPr>
        <w:t>CORTE SUPRE</w:t>
      </w:r>
      <w:r>
        <w:rPr>
          <w:rFonts w:ascii="Arial" w:hAnsi="Arial" w:cs="Arial"/>
          <w:color w:val="000000"/>
          <w:sz w:val="18"/>
          <w:lang w:val="es-ES"/>
        </w:rPr>
        <w:t>MA DE JUSTICIA. Sentencia del 31-01-2012. Radicación 37389</w:t>
      </w:r>
      <w:r w:rsidRPr="003B0828">
        <w:rPr>
          <w:rFonts w:ascii="Arial" w:hAnsi="Arial" w:cs="Arial"/>
          <w:color w:val="000000"/>
          <w:sz w:val="18"/>
          <w:lang w:val="es-ES"/>
        </w:rPr>
        <w:t xml:space="preserve">. </w:t>
      </w:r>
      <w:proofErr w:type="spellStart"/>
      <w:r w:rsidRPr="003B0828">
        <w:rPr>
          <w:rFonts w:ascii="Arial" w:hAnsi="Arial" w:cs="Arial"/>
          <w:color w:val="000000"/>
          <w:sz w:val="18"/>
          <w:lang w:val="es-ES"/>
        </w:rPr>
        <w:t>M.P</w:t>
      </w:r>
      <w:proofErr w:type="spellEnd"/>
      <w:r w:rsidRPr="003B0828">
        <w:rPr>
          <w:rFonts w:ascii="Arial" w:hAnsi="Arial" w:cs="Arial"/>
          <w:color w:val="000000"/>
          <w:sz w:val="18"/>
          <w:lang w:val="es-ES"/>
        </w:rPr>
        <w:t xml:space="preserve">. </w:t>
      </w:r>
      <w:r>
        <w:rPr>
          <w:rFonts w:ascii="Arial" w:hAnsi="Arial" w:cs="Arial"/>
          <w:color w:val="000000"/>
          <w:sz w:val="18"/>
          <w:lang w:val="es-ES"/>
        </w:rPr>
        <w:t xml:space="preserve">Luis Gabriel Miranda </w:t>
      </w:r>
      <w:proofErr w:type="spellStart"/>
      <w:r>
        <w:rPr>
          <w:rFonts w:ascii="Arial" w:hAnsi="Arial" w:cs="Arial"/>
          <w:color w:val="000000"/>
          <w:sz w:val="18"/>
          <w:lang w:val="es-ES"/>
        </w:rPr>
        <w:t>Buelvas</w:t>
      </w:r>
      <w:proofErr w:type="spellEnd"/>
      <w:r>
        <w:rPr>
          <w:rFonts w:ascii="Arial" w:hAnsi="Arial" w:cs="Arial"/>
          <w:color w:val="000000"/>
          <w:sz w:val="18"/>
          <w:lang w:val="es-ES"/>
        </w:rPr>
        <w:t>.</w:t>
      </w:r>
    </w:p>
  </w:footnote>
  <w:footnote w:id="4">
    <w:p w:rsidR="00B70B1E" w:rsidRPr="003B0828" w:rsidRDefault="00B70B1E" w:rsidP="00B70B1E">
      <w:pPr>
        <w:shd w:val="clear" w:color="auto" w:fill="FFFFFF"/>
        <w:jc w:val="both"/>
        <w:rPr>
          <w:rFonts w:ascii="Arial" w:hAnsi="Arial" w:cs="Arial"/>
          <w:sz w:val="22"/>
          <w:lang w:val="es-ES"/>
        </w:rPr>
      </w:pPr>
      <w:r w:rsidRPr="003B0828">
        <w:rPr>
          <w:rStyle w:val="Refdenotaalpie"/>
          <w:rFonts w:ascii="Arial" w:hAnsi="Arial" w:cs="Arial"/>
          <w:sz w:val="18"/>
        </w:rPr>
        <w:footnoteRef/>
      </w:r>
      <w:r>
        <w:rPr>
          <w:rFonts w:ascii="Arial" w:hAnsi="Arial" w:cs="Arial"/>
          <w:color w:val="000000"/>
          <w:sz w:val="18"/>
          <w:lang w:val="es-ES"/>
        </w:rPr>
        <w:t xml:space="preserve"> </w:t>
      </w:r>
      <w:r w:rsidRPr="003B0828">
        <w:rPr>
          <w:rFonts w:ascii="Arial" w:hAnsi="Arial" w:cs="Arial"/>
          <w:color w:val="000000"/>
          <w:sz w:val="18"/>
          <w:lang w:val="es-ES"/>
        </w:rPr>
        <w:t xml:space="preserve">CORTE SUPREMA DE JUSTICIA. Sentencia del 24-01-2012. Radicación 37288. </w:t>
      </w:r>
      <w:proofErr w:type="spellStart"/>
      <w:r w:rsidRPr="003B0828">
        <w:rPr>
          <w:rFonts w:ascii="Arial" w:hAnsi="Arial" w:cs="Arial"/>
          <w:color w:val="000000"/>
          <w:sz w:val="18"/>
          <w:lang w:val="es-ES"/>
        </w:rPr>
        <w:t>M.P</w:t>
      </w:r>
      <w:proofErr w:type="spellEnd"/>
      <w:r w:rsidRPr="003B0828">
        <w:rPr>
          <w:rFonts w:ascii="Arial" w:hAnsi="Arial" w:cs="Arial"/>
          <w:color w:val="000000"/>
          <w:sz w:val="18"/>
          <w:lang w:val="es-ES"/>
        </w:rPr>
        <w:t>. Jorge Mario Burgos Ruíz.</w:t>
      </w:r>
    </w:p>
  </w:footnote>
  <w:footnote w:id="5">
    <w:p w:rsidR="008E01FD" w:rsidRPr="007F045A" w:rsidRDefault="008E01FD" w:rsidP="008E01FD">
      <w:pPr>
        <w:pStyle w:val="Textonotapie"/>
        <w:jc w:val="both"/>
        <w:rPr>
          <w:rFonts w:ascii="Arial" w:hAnsi="Arial" w:cs="Arial"/>
          <w:sz w:val="18"/>
          <w:szCs w:val="18"/>
          <w:lang w:val="es-CO"/>
        </w:rPr>
      </w:pPr>
      <w:r w:rsidRPr="007F045A">
        <w:rPr>
          <w:rStyle w:val="Refdenotaalpie"/>
          <w:rFonts w:ascii="Arial" w:hAnsi="Arial" w:cs="Arial"/>
          <w:sz w:val="18"/>
          <w:szCs w:val="18"/>
        </w:rPr>
        <w:footnoteRef/>
      </w:r>
      <w:r w:rsidRPr="007F045A">
        <w:rPr>
          <w:rFonts w:ascii="Arial" w:hAnsi="Arial" w:cs="Arial"/>
          <w:sz w:val="18"/>
          <w:szCs w:val="18"/>
        </w:rPr>
        <w:t xml:space="preserve"> Dispone que el régimen de prestaciones mínimas a los trabajadores oficiales vinculados a las entidades de que trata ese Decreto, dentro de los que se encuentran los trabajadores del nivel Municipal, será el consagrado para los empleados públicos de la rama ejecutiva del orden nacional.</w:t>
      </w:r>
    </w:p>
  </w:footnote>
  <w:footnote w:id="6">
    <w:p w:rsidR="008E01FD" w:rsidRPr="003B0828" w:rsidRDefault="008E01FD" w:rsidP="008E01FD">
      <w:pPr>
        <w:shd w:val="clear" w:color="auto" w:fill="FFFFFF"/>
        <w:jc w:val="both"/>
        <w:rPr>
          <w:rFonts w:ascii="Arial" w:hAnsi="Arial" w:cs="Arial"/>
          <w:sz w:val="22"/>
          <w:lang w:val="es-ES"/>
        </w:rPr>
      </w:pPr>
      <w:r w:rsidRPr="003B0828">
        <w:rPr>
          <w:rStyle w:val="Refdenotaalpie"/>
          <w:rFonts w:ascii="Arial" w:hAnsi="Arial" w:cs="Arial"/>
          <w:sz w:val="18"/>
        </w:rPr>
        <w:footnoteRef/>
      </w:r>
      <w:r>
        <w:rPr>
          <w:rFonts w:ascii="Arial" w:hAnsi="Arial" w:cs="Arial"/>
          <w:color w:val="000000"/>
          <w:sz w:val="18"/>
          <w:lang w:val="es-ES"/>
        </w:rPr>
        <w:t xml:space="preserve"> </w:t>
      </w:r>
      <w:r w:rsidRPr="003B0828">
        <w:rPr>
          <w:rFonts w:ascii="Arial" w:hAnsi="Arial" w:cs="Arial"/>
          <w:color w:val="000000"/>
          <w:sz w:val="18"/>
          <w:lang w:val="es-ES"/>
        </w:rPr>
        <w:t xml:space="preserve">CORTE SUPREMA DE JUSTICIA. Sentencia del 24-01-2012. Radicación 37288. </w:t>
      </w:r>
      <w:proofErr w:type="spellStart"/>
      <w:r w:rsidRPr="003B0828">
        <w:rPr>
          <w:rFonts w:ascii="Arial" w:hAnsi="Arial" w:cs="Arial"/>
          <w:color w:val="000000"/>
          <w:sz w:val="18"/>
          <w:lang w:val="es-ES"/>
        </w:rPr>
        <w:t>M.P</w:t>
      </w:r>
      <w:proofErr w:type="spellEnd"/>
      <w:r w:rsidRPr="003B0828">
        <w:rPr>
          <w:rFonts w:ascii="Arial" w:hAnsi="Arial" w:cs="Arial"/>
          <w:color w:val="000000"/>
          <w:sz w:val="18"/>
          <w:lang w:val="es-ES"/>
        </w:rPr>
        <w:t>. Jorge Mario Burgos Ruíz.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D0" w:rsidRPr="00174E3F" w:rsidRDefault="000778D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778D0" w:rsidRPr="00174E3F" w:rsidRDefault="000778D0" w:rsidP="00174E3F">
    <w:pPr>
      <w:pStyle w:val="Encabezado"/>
      <w:jc w:val="center"/>
      <w:rPr>
        <w:rFonts w:ascii="Arial" w:hAnsi="Arial" w:cs="Arial"/>
        <w:sz w:val="18"/>
        <w:szCs w:val="18"/>
      </w:rPr>
    </w:pPr>
    <w:r>
      <w:rPr>
        <w:rFonts w:ascii="Arial" w:hAnsi="Arial" w:cs="Arial"/>
        <w:sz w:val="18"/>
        <w:szCs w:val="18"/>
      </w:rPr>
      <w:t>66001-31-05-005-2014-00090-02</w:t>
    </w:r>
  </w:p>
  <w:p w:rsidR="000778D0" w:rsidRPr="00174E3F" w:rsidRDefault="000778D0" w:rsidP="00174E3F">
    <w:pPr>
      <w:pStyle w:val="Encabezado"/>
      <w:jc w:val="center"/>
      <w:rPr>
        <w:rFonts w:ascii="Arial" w:hAnsi="Arial" w:cs="Arial"/>
        <w:sz w:val="18"/>
        <w:szCs w:val="18"/>
      </w:rPr>
    </w:pPr>
    <w:r>
      <w:rPr>
        <w:rFonts w:ascii="Arial" w:hAnsi="Arial" w:cs="Arial"/>
        <w:sz w:val="18"/>
        <w:szCs w:val="18"/>
      </w:rPr>
      <w:t>Andrés Felipe Gómez Dávila vs Instituto de Seguros Sociales en liquidación-</w:t>
    </w:r>
    <w:proofErr w:type="spellStart"/>
    <w:r w:rsidRPr="00871B77">
      <w:rPr>
        <w:rFonts w:ascii="Arial" w:hAnsi="Arial" w:cs="Arial"/>
        <w:sz w:val="18"/>
        <w:szCs w:val="18"/>
      </w:rPr>
      <w:t>Fidu</w:t>
    </w:r>
    <w:r>
      <w:rPr>
        <w:rFonts w:ascii="Arial" w:hAnsi="Arial" w:cs="Arial"/>
        <w:sz w:val="18"/>
        <w:szCs w:val="18"/>
      </w:rPr>
      <w:t>agraria</w:t>
    </w:r>
    <w:proofErr w:type="spellEnd"/>
    <w:r w:rsidRPr="00871B77">
      <w:rPr>
        <w:rFonts w:ascii="Arial" w:hAnsi="Arial" w:cs="Arial"/>
        <w:sz w:val="18"/>
        <w:szCs w:val="18"/>
      </w:rPr>
      <w:t xml:space="preserve"> S.A.</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5AD724D"/>
    <w:multiLevelType w:val="hybridMultilevel"/>
    <w:tmpl w:val="935E211E"/>
    <w:lvl w:ilvl="0" w:tplc="7C5E966E">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AA164B5"/>
    <w:multiLevelType w:val="hybridMultilevel"/>
    <w:tmpl w:val="DA08FA80"/>
    <w:lvl w:ilvl="0" w:tplc="68FE543C">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3">
    <w:nsid w:val="6F7C4829"/>
    <w:multiLevelType w:val="hybridMultilevel"/>
    <w:tmpl w:val="250EFE2A"/>
    <w:lvl w:ilvl="0" w:tplc="99C0D620">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9"/>
  </w:num>
  <w:num w:numId="7">
    <w:abstractNumId w:val="1"/>
  </w:num>
  <w:num w:numId="8">
    <w:abstractNumId w:val="7"/>
  </w:num>
  <w:num w:numId="9">
    <w:abstractNumId w:val="8"/>
  </w:num>
  <w:num w:numId="10">
    <w:abstractNumId w:val="14"/>
  </w:num>
  <w:num w:numId="11">
    <w:abstractNumId w:val="2"/>
  </w:num>
  <w:num w:numId="12">
    <w:abstractNumId w:val="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492"/>
    <w:rsid w:val="0000581C"/>
    <w:rsid w:val="00005D3D"/>
    <w:rsid w:val="000066C2"/>
    <w:rsid w:val="00007B72"/>
    <w:rsid w:val="00013DE6"/>
    <w:rsid w:val="00014E00"/>
    <w:rsid w:val="000157D2"/>
    <w:rsid w:val="00017D74"/>
    <w:rsid w:val="00017D9E"/>
    <w:rsid w:val="00023DE7"/>
    <w:rsid w:val="00026378"/>
    <w:rsid w:val="00026BC6"/>
    <w:rsid w:val="00027CE4"/>
    <w:rsid w:val="000344FD"/>
    <w:rsid w:val="000375FF"/>
    <w:rsid w:val="0004026F"/>
    <w:rsid w:val="00040849"/>
    <w:rsid w:val="00040E9A"/>
    <w:rsid w:val="000425DB"/>
    <w:rsid w:val="000429E7"/>
    <w:rsid w:val="00042ADA"/>
    <w:rsid w:val="00045EA9"/>
    <w:rsid w:val="0004622A"/>
    <w:rsid w:val="000503F1"/>
    <w:rsid w:val="00050BF0"/>
    <w:rsid w:val="00052FC2"/>
    <w:rsid w:val="0005358E"/>
    <w:rsid w:val="00055F68"/>
    <w:rsid w:val="00057890"/>
    <w:rsid w:val="00057F4F"/>
    <w:rsid w:val="000608A6"/>
    <w:rsid w:val="00063358"/>
    <w:rsid w:val="00066357"/>
    <w:rsid w:val="00066417"/>
    <w:rsid w:val="0006646F"/>
    <w:rsid w:val="000701AC"/>
    <w:rsid w:val="000717AD"/>
    <w:rsid w:val="00071936"/>
    <w:rsid w:val="00074481"/>
    <w:rsid w:val="00075680"/>
    <w:rsid w:val="00076D35"/>
    <w:rsid w:val="0007786B"/>
    <w:rsid w:val="000778D0"/>
    <w:rsid w:val="00077AE0"/>
    <w:rsid w:val="00080004"/>
    <w:rsid w:val="00080570"/>
    <w:rsid w:val="00080ED0"/>
    <w:rsid w:val="00081200"/>
    <w:rsid w:val="00082409"/>
    <w:rsid w:val="00082AEB"/>
    <w:rsid w:val="00086016"/>
    <w:rsid w:val="0009090B"/>
    <w:rsid w:val="00090F3A"/>
    <w:rsid w:val="000922D0"/>
    <w:rsid w:val="000A2CBF"/>
    <w:rsid w:val="000A3072"/>
    <w:rsid w:val="000A397D"/>
    <w:rsid w:val="000A67C0"/>
    <w:rsid w:val="000A6B48"/>
    <w:rsid w:val="000B00C1"/>
    <w:rsid w:val="000B05A2"/>
    <w:rsid w:val="000B0CA6"/>
    <w:rsid w:val="000B2ECF"/>
    <w:rsid w:val="000B34D9"/>
    <w:rsid w:val="000B5BAF"/>
    <w:rsid w:val="000C08B1"/>
    <w:rsid w:val="000C0A51"/>
    <w:rsid w:val="000C21A4"/>
    <w:rsid w:val="000C28CA"/>
    <w:rsid w:val="000C46E7"/>
    <w:rsid w:val="000C4963"/>
    <w:rsid w:val="000C5B1E"/>
    <w:rsid w:val="000C6D44"/>
    <w:rsid w:val="000C72E5"/>
    <w:rsid w:val="000D1081"/>
    <w:rsid w:val="000D2903"/>
    <w:rsid w:val="000D5F43"/>
    <w:rsid w:val="000D6B64"/>
    <w:rsid w:val="000E2E65"/>
    <w:rsid w:val="000E2ED2"/>
    <w:rsid w:val="000E457C"/>
    <w:rsid w:val="000E70EB"/>
    <w:rsid w:val="000E7C55"/>
    <w:rsid w:val="000E7F42"/>
    <w:rsid w:val="000F2120"/>
    <w:rsid w:val="000F358E"/>
    <w:rsid w:val="000F3804"/>
    <w:rsid w:val="000F5775"/>
    <w:rsid w:val="000F633E"/>
    <w:rsid w:val="000F77C7"/>
    <w:rsid w:val="000F7A95"/>
    <w:rsid w:val="000F7AC0"/>
    <w:rsid w:val="00101891"/>
    <w:rsid w:val="00101DEB"/>
    <w:rsid w:val="001020BC"/>
    <w:rsid w:val="00103D7E"/>
    <w:rsid w:val="00104110"/>
    <w:rsid w:val="001053E1"/>
    <w:rsid w:val="00106F9C"/>
    <w:rsid w:val="00110478"/>
    <w:rsid w:val="00113797"/>
    <w:rsid w:val="00115A3C"/>
    <w:rsid w:val="00117D87"/>
    <w:rsid w:val="00121188"/>
    <w:rsid w:val="0012145E"/>
    <w:rsid w:val="00122626"/>
    <w:rsid w:val="00122A57"/>
    <w:rsid w:val="00122F27"/>
    <w:rsid w:val="001238FE"/>
    <w:rsid w:val="00127390"/>
    <w:rsid w:val="00127537"/>
    <w:rsid w:val="00131426"/>
    <w:rsid w:val="00133CD5"/>
    <w:rsid w:val="00134393"/>
    <w:rsid w:val="00134C86"/>
    <w:rsid w:val="0013644D"/>
    <w:rsid w:val="00136DFB"/>
    <w:rsid w:val="00137510"/>
    <w:rsid w:val="00141FAC"/>
    <w:rsid w:val="0014275E"/>
    <w:rsid w:val="00142E7F"/>
    <w:rsid w:val="00144124"/>
    <w:rsid w:val="001444C0"/>
    <w:rsid w:val="00144D6B"/>
    <w:rsid w:val="00146784"/>
    <w:rsid w:val="00153DA3"/>
    <w:rsid w:val="00154279"/>
    <w:rsid w:val="00155DC7"/>
    <w:rsid w:val="00156B5B"/>
    <w:rsid w:val="001576EC"/>
    <w:rsid w:val="00157A48"/>
    <w:rsid w:val="00161730"/>
    <w:rsid w:val="00163423"/>
    <w:rsid w:val="001634DA"/>
    <w:rsid w:val="0016492D"/>
    <w:rsid w:val="00166046"/>
    <w:rsid w:val="001667FB"/>
    <w:rsid w:val="00167322"/>
    <w:rsid w:val="00170297"/>
    <w:rsid w:val="00171C56"/>
    <w:rsid w:val="00172834"/>
    <w:rsid w:val="001738A5"/>
    <w:rsid w:val="00174E3F"/>
    <w:rsid w:val="001751D4"/>
    <w:rsid w:val="001762A3"/>
    <w:rsid w:val="00183477"/>
    <w:rsid w:val="00184BD9"/>
    <w:rsid w:val="00186CE0"/>
    <w:rsid w:val="0019076E"/>
    <w:rsid w:val="00194FFF"/>
    <w:rsid w:val="001A03F8"/>
    <w:rsid w:val="001A08A5"/>
    <w:rsid w:val="001A20FF"/>
    <w:rsid w:val="001A2783"/>
    <w:rsid w:val="001A2F06"/>
    <w:rsid w:val="001A444F"/>
    <w:rsid w:val="001A4D21"/>
    <w:rsid w:val="001B02CD"/>
    <w:rsid w:val="001B03FA"/>
    <w:rsid w:val="001B1AA3"/>
    <w:rsid w:val="001B2BB0"/>
    <w:rsid w:val="001B5F10"/>
    <w:rsid w:val="001B60FF"/>
    <w:rsid w:val="001B6DEA"/>
    <w:rsid w:val="001B74DD"/>
    <w:rsid w:val="001B7E70"/>
    <w:rsid w:val="001C2D4B"/>
    <w:rsid w:val="001C2DE0"/>
    <w:rsid w:val="001C3630"/>
    <w:rsid w:val="001C3EDE"/>
    <w:rsid w:val="001C4C0D"/>
    <w:rsid w:val="001C4C13"/>
    <w:rsid w:val="001C4D7F"/>
    <w:rsid w:val="001D5517"/>
    <w:rsid w:val="001D5D64"/>
    <w:rsid w:val="001D6785"/>
    <w:rsid w:val="001D67F5"/>
    <w:rsid w:val="001E0313"/>
    <w:rsid w:val="001E0BE5"/>
    <w:rsid w:val="001E2BB9"/>
    <w:rsid w:val="001E3575"/>
    <w:rsid w:val="001E3CBE"/>
    <w:rsid w:val="001E466C"/>
    <w:rsid w:val="001E4800"/>
    <w:rsid w:val="001E7509"/>
    <w:rsid w:val="001F217B"/>
    <w:rsid w:val="001F38C1"/>
    <w:rsid w:val="001F6F11"/>
    <w:rsid w:val="0020188C"/>
    <w:rsid w:val="00203E4A"/>
    <w:rsid w:val="00204DF7"/>
    <w:rsid w:val="002067A2"/>
    <w:rsid w:val="002077DB"/>
    <w:rsid w:val="00212028"/>
    <w:rsid w:val="00212143"/>
    <w:rsid w:val="00220669"/>
    <w:rsid w:val="002228B0"/>
    <w:rsid w:val="0022308B"/>
    <w:rsid w:val="002240E2"/>
    <w:rsid w:val="0022437A"/>
    <w:rsid w:val="0022536C"/>
    <w:rsid w:val="00225997"/>
    <w:rsid w:val="002269DE"/>
    <w:rsid w:val="00226D5F"/>
    <w:rsid w:val="00230DF7"/>
    <w:rsid w:val="002310B3"/>
    <w:rsid w:val="0023157E"/>
    <w:rsid w:val="00231B01"/>
    <w:rsid w:val="00231C21"/>
    <w:rsid w:val="002320EB"/>
    <w:rsid w:val="00232884"/>
    <w:rsid w:val="00237746"/>
    <w:rsid w:val="00237E77"/>
    <w:rsid w:val="002405AE"/>
    <w:rsid w:val="00242152"/>
    <w:rsid w:val="002424AA"/>
    <w:rsid w:val="00243B9C"/>
    <w:rsid w:val="00245041"/>
    <w:rsid w:val="00246AF6"/>
    <w:rsid w:val="00246E56"/>
    <w:rsid w:val="00247666"/>
    <w:rsid w:val="00247BBE"/>
    <w:rsid w:val="00250190"/>
    <w:rsid w:val="002510F5"/>
    <w:rsid w:val="0025734F"/>
    <w:rsid w:val="002578B8"/>
    <w:rsid w:val="00257DDF"/>
    <w:rsid w:val="00263834"/>
    <w:rsid w:val="002658E4"/>
    <w:rsid w:val="002678B2"/>
    <w:rsid w:val="002678CA"/>
    <w:rsid w:val="00271C9A"/>
    <w:rsid w:val="00272C8B"/>
    <w:rsid w:val="00275706"/>
    <w:rsid w:val="00277515"/>
    <w:rsid w:val="002777B2"/>
    <w:rsid w:val="00277E32"/>
    <w:rsid w:val="002821CD"/>
    <w:rsid w:val="00284B78"/>
    <w:rsid w:val="00285816"/>
    <w:rsid w:val="00287140"/>
    <w:rsid w:val="00287275"/>
    <w:rsid w:val="002872C6"/>
    <w:rsid w:val="00290275"/>
    <w:rsid w:val="00291204"/>
    <w:rsid w:val="00296D4A"/>
    <w:rsid w:val="002A02BA"/>
    <w:rsid w:val="002A3808"/>
    <w:rsid w:val="002A38B7"/>
    <w:rsid w:val="002A48AC"/>
    <w:rsid w:val="002A550A"/>
    <w:rsid w:val="002A55E3"/>
    <w:rsid w:val="002A7EDA"/>
    <w:rsid w:val="002B06F9"/>
    <w:rsid w:val="002B0E87"/>
    <w:rsid w:val="002B1D50"/>
    <w:rsid w:val="002B27B7"/>
    <w:rsid w:val="002B2DC9"/>
    <w:rsid w:val="002B454C"/>
    <w:rsid w:val="002B5139"/>
    <w:rsid w:val="002B6F91"/>
    <w:rsid w:val="002C12A1"/>
    <w:rsid w:val="002C3A4E"/>
    <w:rsid w:val="002C60DD"/>
    <w:rsid w:val="002D0D07"/>
    <w:rsid w:val="002D1EF2"/>
    <w:rsid w:val="002D31BC"/>
    <w:rsid w:val="002D5769"/>
    <w:rsid w:val="002D5C87"/>
    <w:rsid w:val="002D6807"/>
    <w:rsid w:val="002D73AC"/>
    <w:rsid w:val="002E28D3"/>
    <w:rsid w:val="002E34E6"/>
    <w:rsid w:val="002E3B26"/>
    <w:rsid w:val="002E4F47"/>
    <w:rsid w:val="002E7184"/>
    <w:rsid w:val="002F2452"/>
    <w:rsid w:val="002F27EA"/>
    <w:rsid w:val="002F2D3C"/>
    <w:rsid w:val="002F2F35"/>
    <w:rsid w:val="002F47EE"/>
    <w:rsid w:val="002F657B"/>
    <w:rsid w:val="002F6E28"/>
    <w:rsid w:val="0030045E"/>
    <w:rsid w:val="003032C2"/>
    <w:rsid w:val="00303A15"/>
    <w:rsid w:val="00303A2D"/>
    <w:rsid w:val="00305AD4"/>
    <w:rsid w:val="0030711F"/>
    <w:rsid w:val="0030734F"/>
    <w:rsid w:val="00307817"/>
    <w:rsid w:val="003138ED"/>
    <w:rsid w:val="003138FB"/>
    <w:rsid w:val="0031668E"/>
    <w:rsid w:val="00317F40"/>
    <w:rsid w:val="00322DA1"/>
    <w:rsid w:val="00322EBE"/>
    <w:rsid w:val="00327C67"/>
    <w:rsid w:val="00331EDC"/>
    <w:rsid w:val="00332DC1"/>
    <w:rsid w:val="00333A62"/>
    <w:rsid w:val="0034133C"/>
    <w:rsid w:val="003418B4"/>
    <w:rsid w:val="00341CD1"/>
    <w:rsid w:val="00342C3B"/>
    <w:rsid w:val="003440CA"/>
    <w:rsid w:val="00344272"/>
    <w:rsid w:val="003459DB"/>
    <w:rsid w:val="003463CD"/>
    <w:rsid w:val="003465C4"/>
    <w:rsid w:val="003506D7"/>
    <w:rsid w:val="00351B5E"/>
    <w:rsid w:val="00352AAB"/>
    <w:rsid w:val="00360DEF"/>
    <w:rsid w:val="003610BE"/>
    <w:rsid w:val="00362988"/>
    <w:rsid w:val="00372076"/>
    <w:rsid w:val="00372152"/>
    <w:rsid w:val="00372F89"/>
    <w:rsid w:val="00373EA4"/>
    <w:rsid w:val="00374005"/>
    <w:rsid w:val="00374A8C"/>
    <w:rsid w:val="0037564A"/>
    <w:rsid w:val="00376AB0"/>
    <w:rsid w:val="00377C7A"/>
    <w:rsid w:val="00382C27"/>
    <w:rsid w:val="00385D77"/>
    <w:rsid w:val="00386418"/>
    <w:rsid w:val="003864EB"/>
    <w:rsid w:val="00386E4D"/>
    <w:rsid w:val="003871DE"/>
    <w:rsid w:val="003922FA"/>
    <w:rsid w:val="003923AF"/>
    <w:rsid w:val="003945E4"/>
    <w:rsid w:val="003A1D24"/>
    <w:rsid w:val="003A1D58"/>
    <w:rsid w:val="003A2A7B"/>
    <w:rsid w:val="003A42B0"/>
    <w:rsid w:val="003A5A34"/>
    <w:rsid w:val="003A610E"/>
    <w:rsid w:val="003A6C93"/>
    <w:rsid w:val="003A7B61"/>
    <w:rsid w:val="003B07ED"/>
    <w:rsid w:val="003B3C46"/>
    <w:rsid w:val="003B40F4"/>
    <w:rsid w:val="003B6432"/>
    <w:rsid w:val="003B7DFA"/>
    <w:rsid w:val="003C1AC4"/>
    <w:rsid w:val="003C1FEC"/>
    <w:rsid w:val="003C2103"/>
    <w:rsid w:val="003C32B1"/>
    <w:rsid w:val="003C4EDF"/>
    <w:rsid w:val="003C662B"/>
    <w:rsid w:val="003D151C"/>
    <w:rsid w:val="003D4028"/>
    <w:rsid w:val="003E51FD"/>
    <w:rsid w:val="003E7AEF"/>
    <w:rsid w:val="003F0F5B"/>
    <w:rsid w:val="003F1003"/>
    <w:rsid w:val="003F1CAC"/>
    <w:rsid w:val="003F3372"/>
    <w:rsid w:val="003F4E7D"/>
    <w:rsid w:val="003F68D4"/>
    <w:rsid w:val="003F7084"/>
    <w:rsid w:val="003F7C53"/>
    <w:rsid w:val="00400179"/>
    <w:rsid w:val="00401140"/>
    <w:rsid w:val="00401AEA"/>
    <w:rsid w:val="00402654"/>
    <w:rsid w:val="004036FC"/>
    <w:rsid w:val="004046D1"/>
    <w:rsid w:val="004050D9"/>
    <w:rsid w:val="004074E6"/>
    <w:rsid w:val="0040758B"/>
    <w:rsid w:val="00411CE6"/>
    <w:rsid w:val="0041247B"/>
    <w:rsid w:val="00413516"/>
    <w:rsid w:val="00413BB4"/>
    <w:rsid w:val="00413D7D"/>
    <w:rsid w:val="00417339"/>
    <w:rsid w:val="004205A2"/>
    <w:rsid w:val="0042105E"/>
    <w:rsid w:val="0042214B"/>
    <w:rsid w:val="00425C96"/>
    <w:rsid w:val="00430DC4"/>
    <w:rsid w:val="00431A29"/>
    <w:rsid w:val="004347F9"/>
    <w:rsid w:val="004348AB"/>
    <w:rsid w:val="00435378"/>
    <w:rsid w:val="0043666D"/>
    <w:rsid w:val="00443AB3"/>
    <w:rsid w:val="00444317"/>
    <w:rsid w:val="00447A2F"/>
    <w:rsid w:val="00450598"/>
    <w:rsid w:val="0045062E"/>
    <w:rsid w:val="00450903"/>
    <w:rsid w:val="004519EB"/>
    <w:rsid w:val="0045273B"/>
    <w:rsid w:val="00453FF3"/>
    <w:rsid w:val="0045551F"/>
    <w:rsid w:val="00456E01"/>
    <w:rsid w:val="00457881"/>
    <w:rsid w:val="00457F32"/>
    <w:rsid w:val="00461AAC"/>
    <w:rsid w:val="00464B16"/>
    <w:rsid w:val="004651CC"/>
    <w:rsid w:val="00465C38"/>
    <w:rsid w:val="00472DAF"/>
    <w:rsid w:val="00474BF0"/>
    <w:rsid w:val="00475C3F"/>
    <w:rsid w:val="00483E82"/>
    <w:rsid w:val="00484840"/>
    <w:rsid w:val="004853A1"/>
    <w:rsid w:val="0048578F"/>
    <w:rsid w:val="004914BE"/>
    <w:rsid w:val="00492A37"/>
    <w:rsid w:val="004932E5"/>
    <w:rsid w:val="00494DFE"/>
    <w:rsid w:val="00496157"/>
    <w:rsid w:val="00496C02"/>
    <w:rsid w:val="004971BA"/>
    <w:rsid w:val="00497929"/>
    <w:rsid w:val="004A0539"/>
    <w:rsid w:val="004A2039"/>
    <w:rsid w:val="004A2424"/>
    <w:rsid w:val="004A2468"/>
    <w:rsid w:val="004A289A"/>
    <w:rsid w:val="004A3182"/>
    <w:rsid w:val="004A325C"/>
    <w:rsid w:val="004A557F"/>
    <w:rsid w:val="004A5F44"/>
    <w:rsid w:val="004A7AE8"/>
    <w:rsid w:val="004B2B6C"/>
    <w:rsid w:val="004B3927"/>
    <w:rsid w:val="004B4317"/>
    <w:rsid w:val="004B45FC"/>
    <w:rsid w:val="004B5CC2"/>
    <w:rsid w:val="004B68A1"/>
    <w:rsid w:val="004B7D0A"/>
    <w:rsid w:val="004C36E2"/>
    <w:rsid w:val="004C4762"/>
    <w:rsid w:val="004C4AF7"/>
    <w:rsid w:val="004D01C5"/>
    <w:rsid w:val="004D1594"/>
    <w:rsid w:val="004D3F25"/>
    <w:rsid w:val="004D440F"/>
    <w:rsid w:val="004D54A6"/>
    <w:rsid w:val="004D6369"/>
    <w:rsid w:val="004E142F"/>
    <w:rsid w:val="004E2277"/>
    <w:rsid w:val="004E2CFF"/>
    <w:rsid w:val="004E307E"/>
    <w:rsid w:val="004E4CC6"/>
    <w:rsid w:val="004E546E"/>
    <w:rsid w:val="004E6192"/>
    <w:rsid w:val="004E66C9"/>
    <w:rsid w:val="004E677D"/>
    <w:rsid w:val="004E7503"/>
    <w:rsid w:val="004F07EA"/>
    <w:rsid w:val="004F0F70"/>
    <w:rsid w:val="004F472D"/>
    <w:rsid w:val="004F50F9"/>
    <w:rsid w:val="004F5114"/>
    <w:rsid w:val="004F5F5A"/>
    <w:rsid w:val="004F6857"/>
    <w:rsid w:val="004F6DA3"/>
    <w:rsid w:val="00500460"/>
    <w:rsid w:val="00501034"/>
    <w:rsid w:val="00502691"/>
    <w:rsid w:val="00503B8A"/>
    <w:rsid w:val="005052DF"/>
    <w:rsid w:val="00505DB5"/>
    <w:rsid w:val="005068FA"/>
    <w:rsid w:val="0051311F"/>
    <w:rsid w:val="005132A4"/>
    <w:rsid w:val="00514C57"/>
    <w:rsid w:val="00515BDC"/>
    <w:rsid w:val="005163C3"/>
    <w:rsid w:val="00517812"/>
    <w:rsid w:val="005206F5"/>
    <w:rsid w:val="005211DB"/>
    <w:rsid w:val="005212BC"/>
    <w:rsid w:val="0052279B"/>
    <w:rsid w:val="00525724"/>
    <w:rsid w:val="00526ACA"/>
    <w:rsid w:val="00533479"/>
    <w:rsid w:val="00533E90"/>
    <w:rsid w:val="00533F44"/>
    <w:rsid w:val="00534895"/>
    <w:rsid w:val="0053562A"/>
    <w:rsid w:val="00535788"/>
    <w:rsid w:val="00537085"/>
    <w:rsid w:val="00541DBF"/>
    <w:rsid w:val="00542AF4"/>
    <w:rsid w:val="005434AD"/>
    <w:rsid w:val="0054451D"/>
    <w:rsid w:val="00546113"/>
    <w:rsid w:val="005500A5"/>
    <w:rsid w:val="005501C5"/>
    <w:rsid w:val="00551B9A"/>
    <w:rsid w:val="00551ECF"/>
    <w:rsid w:val="0055403E"/>
    <w:rsid w:val="0055465D"/>
    <w:rsid w:val="00557B6B"/>
    <w:rsid w:val="00561314"/>
    <w:rsid w:val="00562A27"/>
    <w:rsid w:val="00562CBC"/>
    <w:rsid w:val="00563496"/>
    <w:rsid w:val="00565E83"/>
    <w:rsid w:val="00566410"/>
    <w:rsid w:val="00566A22"/>
    <w:rsid w:val="00566AF3"/>
    <w:rsid w:val="00567B33"/>
    <w:rsid w:val="00572BE9"/>
    <w:rsid w:val="0057301B"/>
    <w:rsid w:val="005730DE"/>
    <w:rsid w:val="00573B9A"/>
    <w:rsid w:val="00574156"/>
    <w:rsid w:val="00576A27"/>
    <w:rsid w:val="00577AEA"/>
    <w:rsid w:val="00577C3F"/>
    <w:rsid w:val="005805A7"/>
    <w:rsid w:val="0058182B"/>
    <w:rsid w:val="0058223A"/>
    <w:rsid w:val="00583F03"/>
    <w:rsid w:val="00584360"/>
    <w:rsid w:val="005877F6"/>
    <w:rsid w:val="00590F86"/>
    <w:rsid w:val="005971BA"/>
    <w:rsid w:val="005A03DC"/>
    <w:rsid w:val="005A32DB"/>
    <w:rsid w:val="005B2774"/>
    <w:rsid w:val="005B31B1"/>
    <w:rsid w:val="005B36A8"/>
    <w:rsid w:val="005B3AEB"/>
    <w:rsid w:val="005B3C07"/>
    <w:rsid w:val="005B657D"/>
    <w:rsid w:val="005B7EC0"/>
    <w:rsid w:val="005C08BA"/>
    <w:rsid w:val="005C2889"/>
    <w:rsid w:val="005D04E2"/>
    <w:rsid w:val="005D30FA"/>
    <w:rsid w:val="005D342F"/>
    <w:rsid w:val="005D354E"/>
    <w:rsid w:val="005D4EB7"/>
    <w:rsid w:val="005D5862"/>
    <w:rsid w:val="005D5E66"/>
    <w:rsid w:val="005E0979"/>
    <w:rsid w:val="005E0ED1"/>
    <w:rsid w:val="005E0FCA"/>
    <w:rsid w:val="005E136E"/>
    <w:rsid w:val="005E4BAA"/>
    <w:rsid w:val="005E54C8"/>
    <w:rsid w:val="005F1C7C"/>
    <w:rsid w:val="005F5E82"/>
    <w:rsid w:val="006035F7"/>
    <w:rsid w:val="006048D8"/>
    <w:rsid w:val="00605E81"/>
    <w:rsid w:val="0060659A"/>
    <w:rsid w:val="00607F9F"/>
    <w:rsid w:val="0061092F"/>
    <w:rsid w:val="0061224A"/>
    <w:rsid w:val="00612EDA"/>
    <w:rsid w:val="006135E9"/>
    <w:rsid w:val="0061396E"/>
    <w:rsid w:val="00613D18"/>
    <w:rsid w:val="0061484D"/>
    <w:rsid w:val="00615660"/>
    <w:rsid w:val="006173D2"/>
    <w:rsid w:val="00617CEA"/>
    <w:rsid w:val="00622ABF"/>
    <w:rsid w:val="0062389F"/>
    <w:rsid w:val="00623C9F"/>
    <w:rsid w:val="00623D5F"/>
    <w:rsid w:val="00627144"/>
    <w:rsid w:val="00627E70"/>
    <w:rsid w:val="0063322A"/>
    <w:rsid w:val="00634002"/>
    <w:rsid w:val="00634550"/>
    <w:rsid w:val="00634A0C"/>
    <w:rsid w:val="00636A54"/>
    <w:rsid w:val="00637118"/>
    <w:rsid w:val="0064021E"/>
    <w:rsid w:val="0064023C"/>
    <w:rsid w:val="00641351"/>
    <w:rsid w:val="0064260B"/>
    <w:rsid w:val="00647715"/>
    <w:rsid w:val="00647A0A"/>
    <w:rsid w:val="00647FA4"/>
    <w:rsid w:val="006503C4"/>
    <w:rsid w:val="006516CA"/>
    <w:rsid w:val="006518D7"/>
    <w:rsid w:val="00652F31"/>
    <w:rsid w:val="00653E25"/>
    <w:rsid w:val="006578C6"/>
    <w:rsid w:val="0066558F"/>
    <w:rsid w:val="00665A56"/>
    <w:rsid w:val="00666005"/>
    <w:rsid w:val="006667A5"/>
    <w:rsid w:val="006728B4"/>
    <w:rsid w:val="00672F37"/>
    <w:rsid w:val="0067340E"/>
    <w:rsid w:val="00673E35"/>
    <w:rsid w:val="006743E1"/>
    <w:rsid w:val="00675D98"/>
    <w:rsid w:val="00675E25"/>
    <w:rsid w:val="00676401"/>
    <w:rsid w:val="00677A20"/>
    <w:rsid w:val="00681316"/>
    <w:rsid w:val="00682715"/>
    <w:rsid w:val="00682CF8"/>
    <w:rsid w:val="00684D23"/>
    <w:rsid w:val="006901D8"/>
    <w:rsid w:val="006A09DA"/>
    <w:rsid w:val="006A0D48"/>
    <w:rsid w:val="006A3196"/>
    <w:rsid w:val="006A5AB6"/>
    <w:rsid w:val="006A7D6E"/>
    <w:rsid w:val="006B1708"/>
    <w:rsid w:val="006B4721"/>
    <w:rsid w:val="006B6933"/>
    <w:rsid w:val="006C01C4"/>
    <w:rsid w:val="006C0975"/>
    <w:rsid w:val="006C1292"/>
    <w:rsid w:val="006C240F"/>
    <w:rsid w:val="006C2B02"/>
    <w:rsid w:val="006C2B9B"/>
    <w:rsid w:val="006C43DB"/>
    <w:rsid w:val="006C4937"/>
    <w:rsid w:val="006C4DC7"/>
    <w:rsid w:val="006C52E8"/>
    <w:rsid w:val="006C7A16"/>
    <w:rsid w:val="006D0816"/>
    <w:rsid w:val="006D425F"/>
    <w:rsid w:val="006D71F3"/>
    <w:rsid w:val="006D7866"/>
    <w:rsid w:val="006D79A3"/>
    <w:rsid w:val="006E02EE"/>
    <w:rsid w:val="006E0710"/>
    <w:rsid w:val="006E099D"/>
    <w:rsid w:val="006E11A2"/>
    <w:rsid w:val="006E2C68"/>
    <w:rsid w:val="006E2F01"/>
    <w:rsid w:val="006E35EA"/>
    <w:rsid w:val="006F0C8F"/>
    <w:rsid w:val="006F2021"/>
    <w:rsid w:val="006F2FF3"/>
    <w:rsid w:val="006F3D12"/>
    <w:rsid w:val="006F68BC"/>
    <w:rsid w:val="006F69D6"/>
    <w:rsid w:val="006F71DD"/>
    <w:rsid w:val="00701F94"/>
    <w:rsid w:val="00702C58"/>
    <w:rsid w:val="007046FA"/>
    <w:rsid w:val="007054E2"/>
    <w:rsid w:val="00705E6F"/>
    <w:rsid w:val="0070632A"/>
    <w:rsid w:val="0070664F"/>
    <w:rsid w:val="00707327"/>
    <w:rsid w:val="0071108C"/>
    <w:rsid w:val="00711E3F"/>
    <w:rsid w:val="00712CFC"/>
    <w:rsid w:val="00713558"/>
    <w:rsid w:val="0071545C"/>
    <w:rsid w:val="0071624B"/>
    <w:rsid w:val="00716474"/>
    <w:rsid w:val="00716C06"/>
    <w:rsid w:val="007219E3"/>
    <w:rsid w:val="00724E2C"/>
    <w:rsid w:val="007258A6"/>
    <w:rsid w:val="00726E7C"/>
    <w:rsid w:val="007308D1"/>
    <w:rsid w:val="00730E58"/>
    <w:rsid w:val="00735F08"/>
    <w:rsid w:val="0074316B"/>
    <w:rsid w:val="007465BA"/>
    <w:rsid w:val="00746803"/>
    <w:rsid w:val="007472DB"/>
    <w:rsid w:val="00754256"/>
    <w:rsid w:val="007560E9"/>
    <w:rsid w:val="007601FD"/>
    <w:rsid w:val="00760DE3"/>
    <w:rsid w:val="007611D4"/>
    <w:rsid w:val="007632AA"/>
    <w:rsid w:val="007641AC"/>
    <w:rsid w:val="007647BC"/>
    <w:rsid w:val="00764C9B"/>
    <w:rsid w:val="0076518D"/>
    <w:rsid w:val="00766240"/>
    <w:rsid w:val="00770917"/>
    <w:rsid w:val="00770A8C"/>
    <w:rsid w:val="007712C1"/>
    <w:rsid w:val="007714C0"/>
    <w:rsid w:val="0077447F"/>
    <w:rsid w:val="007751FF"/>
    <w:rsid w:val="00775E46"/>
    <w:rsid w:val="00776041"/>
    <w:rsid w:val="00777D9C"/>
    <w:rsid w:val="007834C5"/>
    <w:rsid w:val="00791F1D"/>
    <w:rsid w:val="007928D2"/>
    <w:rsid w:val="00793DC4"/>
    <w:rsid w:val="00795237"/>
    <w:rsid w:val="007967CF"/>
    <w:rsid w:val="007A23CA"/>
    <w:rsid w:val="007A2D40"/>
    <w:rsid w:val="007A4B48"/>
    <w:rsid w:val="007A7AAA"/>
    <w:rsid w:val="007B1977"/>
    <w:rsid w:val="007B4424"/>
    <w:rsid w:val="007B5499"/>
    <w:rsid w:val="007B6835"/>
    <w:rsid w:val="007B69AF"/>
    <w:rsid w:val="007C047B"/>
    <w:rsid w:val="007C1043"/>
    <w:rsid w:val="007C338F"/>
    <w:rsid w:val="007C3494"/>
    <w:rsid w:val="007C5A02"/>
    <w:rsid w:val="007C5C88"/>
    <w:rsid w:val="007D00C1"/>
    <w:rsid w:val="007D142F"/>
    <w:rsid w:val="007D2659"/>
    <w:rsid w:val="007D37FC"/>
    <w:rsid w:val="007D56F2"/>
    <w:rsid w:val="007D5E30"/>
    <w:rsid w:val="007D6363"/>
    <w:rsid w:val="007D6753"/>
    <w:rsid w:val="007D7CD9"/>
    <w:rsid w:val="007E1A41"/>
    <w:rsid w:val="007E5F18"/>
    <w:rsid w:val="007F0D1B"/>
    <w:rsid w:val="007F328C"/>
    <w:rsid w:val="007F45E8"/>
    <w:rsid w:val="007F4E9D"/>
    <w:rsid w:val="007F7473"/>
    <w:rsid w:val="00800093"/>
    <w:rsid w:val="008012D4"/>
    <w:rsid w:val="008038AE"/>
    <w:rsid w:val="00810397"/>
    <w:rsid w:val="0081091B"/>
    <w:rsid w:val="008112F3"/>
    <w:rsid w:val="008131E4"/>
    <w:rsid w:val="008141B8"/>
    <w:rsid w:val="00816908"/>
    <w:rsid w:val="00822B0F"/>
    <w:rsid w:val="00824AA6"/>
    <w:rsid w:val="0082544F"/>
    <w:rsid w:val="00825B7A"/>
    <w:rsid w:val="0083061B"/>
    <w:rsid w:val="0083155E"/>
    <w:rsid w:val="00832CAB"/>
    <w:rsid w:val="00834648"/>
    <w:rsid w:val="008379A9"/>
    <w:rsid w:val="00842AF9"/>
    <w:rsid w:val="00844A78"/>
    <w:rsid w:val="008468D6"/>
    <w:rsid w:val="00850B5F"/>
    <w:rsid w:val="00851922"/>
    <w:rsid w:val="00855839"/>
    <w:rsid w:val="00856739"/>
    <w:rsid w:val="00857983"/>
    <w:rsid w:val="00857B33"/>
    <w:rsid w:val="00860A8F"/>
    <w:rsid w:val="0086391B"/>
    <w:rsid w:val="00864CB2"/>
    <w:rsid w:val="008660D0"/>
    <w:rsid w:val="00870AAE"/>
    <w:rsid w:val="00871B77"/>
    <w:rsid w:val="008724B0"/>
    <w:rsid w:val="008726E3"/>
    <w:rsid w:val="00873875"/>
    <w:rsid w:val="008751D8"/>
    <w:rsid w:val="008778BA"/>
    <w:rsid w:val="008808E7"/>
    <w:rsid w:val="00881474"/>
    <w:rsid w:val="00881758"/>
    <w:rsid w:val="00881A43"/>
    <w:rsid w:val="00881EAA"/>
    <w:rsid w:val="00882880"/>
    <w:rsid w:val="00884A65"/>
    <w:rsid w:val="0088784B"/>
    <w:rsid w:val="0089056F"/>
    <w:rsid w:val="008905E5"/>
    <w:rsid w:val="0089179D"/>
    <w:rsid w:val="00891F9C"/>
    <w:rsid w:val="00892DF7"/>
    <w:rsid w:val="00895036"/>
    <w:rsid w:val="00897122"/>
    <w:rsid w:val="008A04F6"/>
    <w:rsid w:val="008A07FD"/>
    <w:rsid w:val="008A2E1D"/>
    <w:rsid w:val="008A3CBC"/>
    <w:rsid w:val="008A3D02"/>
    <w:rsid w:val="008A50F9"/>
    <w:rsid w:val="008A5B29"/>
    <w:rsid w:val="008B065C"/>
    <w:rsid w:val="008B1C58"/>
    <w:rsid w:val="008B1E23"/>
    <w:rsid w:val="008B6A51"/>
    <w:rsid w:val="008B6EBA"/>
    <w:rsid w:val="008B7F6A"/>
    <w:rsid w:val="008C028F"/>
    <w:rsid w:val="008C1F98"/>
    <w:rsid w:val="008C684E"/>
    <w:rsid w:val="008C68D6"/>
    <w:rsid w:val="008C7277"/>
    <w:rsid w:val="008C7972"/>
    <w:rsid w:val="008C7F45"/>
    <w:rsid w:val="008D164A"/>
    <w:rsid w:val="008D1855"/>
    <w:rsid w:val="008D2BBE"/>
    <w:rsid w:val="008D3314"/>
    <w:rsid w:val="008D53CA"/>
    <w:rsid w:val="008D570A"/>
    <w:rsid w:val="008D654E"/>
    <w:rsid w:val="008D7DFE"/>
    <w:rsid w:val="008E01FD"/>
    <w:rsid w:val="008E6AA8"/>
    <w:rsid w:val="008E6DFE"/>
    <w:rsid w:val="008F003B"/>
    <w:rsid w:val="008F00BE"/>
    <w:rsid w:val="008F2CDB"/>
    <w:rsid w:val="00901EB0"/>
    <w:rsid w:val="00902802"/>
    <w:rsid w:val="00902D01"/>
    <w:rsid w:val="00903579"/>
    <w:rsid w:val="009040B1"/>
    <w:rsid w:val="009065C6"/>
    <w:rsid w:val="00907942"/>
    <w:rsid w:val="00907A5F"/>
    <w:rsid w:val="00913252"/>
    <w:rsid w:val="00915EE3"/>
    <w:rsid w:val="009162CE"/>
    <w:rsid w:val="00916303"/>
    <w:rsid w:val="00920D01"/>
    <w:rsid w:val="009224DC"/>
    <w:rsid w:val="00922DCA"/>
    <w:rsid w:val="00923401"/>
    <w:rsid w:val="0092344C"/>
    <w:rsid w:val="00923C05"/>
    <w:rsid w:val="00924B42"/>
    <w:rsid w:val="00924F8D"/>
    <w:rsid w:val="00926DF4"/>
    <w:rsid w:val="009302FC"/>
    <w:rsid w:val="009317C3"/>
    <w:rsid w:val="0093309A"/>
    <w:rsid w:val="009330BA"/>
    <w:rsid w:val="00933188"/>
    <w:rsid w:val="00933474"/>
    <w:rsid w:val="009340FE"/>
    <w:rsid w:val="009404E9"/>
    <w:rsid w:val="009425D3"/>
    <w:rsid w:val="0094263D"/>
    <w:rsid w:val="00943127"/>
    <w:rsid w:val="009438EA"/>
    <w:rsid w:val="00944208"/>
    <w:rsid w:val="00944F9E"/>
    <w:rsid w:val="00945C06"/>
    <w:rsid w:val="00947C91"/>
    <w:rsid w:val="009521A9"/>
    <w:rsid w:val="00952C93"/>
    <w:rsid w:val="00953C09"/>
    <w:rsid w:val="00955654"/>
    <w:rsid w:val="009557F4"/>
    <w:rsid w:val="00955EF8"/>
    <w:rsid w:val="00960D55"/>
    <w:rsid w:val="00962246"/>
    <w:rsid w:val="0096233E"/>
    <w:rsid w:val="00964B4C"/>
    <w:rsid w:val="009667C1"/>
    <w:rsid w:val="00966F23"/>
    <w:rsid w:val="009740CF"/>
    <w:rsid w:val="009743C3"/>
    <w:rsid w:val="0097748B"/>
    <w:rsid w:val="0098108A"/>
    <w:rsid w:val="00985B08"/>
    <w:rsid w:val="009902BE"/>
    <w:rsid w:val="009930E3"/>
    <w:rsid w:val="009934E1"/>
    <w:rsid w:val="00994670"/>
    <w:rsid w:val="00995393"/>
    <w:rsid w:val="009A0EA9"/>
    <w:rsid w:val="009A2686"/>
    <w:rsid w:val="009A41BE"/>
    <w:rsid w:val="009A46B4"/>
    <w:rsid w:val="009A56E6"/>
    <w:rsid w:val="009A5D76"/>
    <w:rsid w:val="009B230A"/>
    <w:rsid w:val="009B285D"/>
    <w:rsid w:val="009B38CF"/>
    <w:rsid w:val="009B39E0"/>
    <w:rsid w:val="009B5608"/>
    <w:rsid w:val="009B7503"/>
    <w:rsid w:val="009C154C"/>
    <w:rsid w:val="009C1889"/>
    <w:rsid w:val="009C21A7"/>
    <w:rsid w:val="009C441A"/>
    <w:rsid w:val="009C5525"/>
    <w:rsid w:val="009C56CE"/>
    <w:rsid w:val="009C59D1"/>
    <w:rsid w:val="009C6057"/>
    <w:rsid w:val="009C76DD"/>
    <w:rsid w:val="009D0343"/>
    <w:rsid w:val="009D1A56"/>
    <w:rsid w:val="009D21DC"/>
    <w:rsid w:val="009D4F6F"/>
    <w:rsid w:val="009D7D60"/>
    <w:rsid w:val="009E0DDE"/>
    <w:rsid w:val="009E5915"/>
    <w:rsid w:val="009E5A8E"/>
    <w:rsid w:val="009E7B2F"/>
    <w:rsid w:val="009F1835"/>
    <w:rsid w:val="009F2922"/>
    <w:rsid w:val="009F320F"/>
    <w:rsid w:val="009F3966"/>
    <w:rsid w:val="009F5335"/>
    <w:rsid w:val="009F75D6"/>
    <w:rsid w:val="009F7DB1"/>
    <w:rsid w:val="00A01B47"/>
    <w:rsid w:val="00A01EA8"/>
    <w:rsid w:val="00A03B2F"/>
    <w:rsid w:val="00A0729A"/>
    <w:rsid w:val="00A10068"/>
    <w:rsid w:val="00A13163"/>
    <w:rsid w:val="00A20721"/>
    <w:rsid w:val="00A20CF7"/>
    <w:rsid w:val="00A21081"/>
    <w:rsid w:val="00A2356C"/>
    <w:rsid w:val="00A23CFA"/>
    <w:rsid w:val="00A24F8A"/>
    <w:rsid w:val="00A2504E"/>
    <w:rsid w:val="00A2679A"/>
    <w:rsid w:val="00A27137"/>
    <w:rsid w:val="00A30D4C"/>
    <w:rsid w:val="00A32B12"/>
    <w:rsid w:val="00A33F60"/>
    <w:rsid w:val="00A40A33"/>
    <w:rsid w:val="00A42AAC"/>
    <w:rsid w:val="00A437AE"/>
    <w:rsid w:val="00A44D29"/>
    <w:rsid w:val="00A462F2"/>
    <w:rsid w:val="00A46A33"/>
    <w:rsid w:val="00A50050"/>
    <w:rsid w:val="00A5024C"/>
    <w:rsid w:val="00A50F08"/>
    <w:rsid w:val="00A51149"/>
    <w:rsid w:val="00A53070"/>
    <w:rsid w:val="00A533B9"/>
    <w:rsid w:val="00A57806"/>
    <w:rsid w:val="00A6220A"/>
    <w:rsid w:val="00A65E5B"/>
    <w:rsid w:val="00A67910"/>
    <w:rsid w:val="00A75186"/>
    <w:rsid w:val="00A774B3"/>
    <w:rsid w:val="00A81D60"/>
    <w:rsid w:val="00A8498F"/>
    <w:rsid w:val="00A85C3A"/>
    <w:rsid w:val="00A9023E"/>
    <w:rsid w:val="00A928D2"/>
    <w:rsid w:val="00A92CEA"/>
    <w:rsid w:val="00A93DCA"/>
    <w:rsid w:val="00A941A4"/>
    <w:rsid w:val="00A957FB"/>
    <w:rsid w:val="00A9649A"/>
    <w:rsid w:val="00A97B44"/>
    <w:rsid w:val="00AA009E"/>
    <w:rsid w:val="00AA1137"/>
    <w:rsid w:val="00AA2CEB"/>
    <w:rsid w:val="00AA39CD"/>
    <w:rsid w:val="00AA7544"/>
    <w:rsid w:val="00AB31D5"/>
    <w:rsid w:val="00AB5413"/>
    <w:rsid w:val="00AB56D4"/>
    <w:rsid w:val="00AB5856"/>
    <w:rsid w:val="00AB5FBF"/>
    <w:rsid w:val="00AB6F49"/>
    <w:rsid w:val="00AB79E7"/>
    <w:rsid w:val="00AC087C"/>
    <w:rsid w:val="00AC1B08"/>
    <w:rsid w:val="00AC27C7"/>
    <w:rsid w:val="00AC3E0F"/>
    <w:rsid w:val="00AC486E"/>
    <w:rsid w:val="00AC61B2"/>
    <w:rsid w:val="00AC79D8"/>
    <w:rsid w:val="00AD6C68"/>
    <w:rsid w:val="00AD7491"/>
    <w:rsid w:val="00AE02A5"/>
    <w:rsid w:val="00AE26FD"/>
    <w:rsid w:val="00AE5FED"/>
    <w:rsid w:val="00AE7124"/>
    <w:rsid w:val="00AE7AAA"/>
    <w:rsid w:val="00AF15AD"/>
    <w:rsid w:val="00AF2861"/>
    <w:rsid w:val="00AF2DB4"/>
    <w:rsid w:val="00AF331A"/>
    <w:rsid w:val="00AF37FF"/>
    <w:rsid w:val="00AF4250"/>
    <w:rsid w:val="00AF4B4F"/>
    <w:rsid w:val="00AF4C89"/>
    <w:rsid w:val="00AF4FD9"/>
    <w:rsid w:val="00AF68D5"/>
    <w:rsid w:val="00B007CA"/>
    <w:rsid w:val="00B026E7"/>
    <w:rsid w:val="00B0355F"/>
    <w:rsid w:val="00B0466B"/>
    <w:rsid w:val="00B071D6"/>
    <w:rsid w:val="00B10FAB"/>
    <w:rsid w:val="00B10FBC"/>
    <w:rsid w:val="00B1139C"/>
    <w:rsid w:val="00B12B31"/>
    <w:rsid w:val="00B131F4"/>
    <w:rsid w:val="00B16BD2"/>
    <w:rsid w:val="00B208DF"/>
    <w:rsid w:val="00B21624"/>
    <w:rsid w:val="00B22E56"/>
    <w:rsid w:val="00B24131"/>
    <w:rsid w:val="00B2468D"/>
    <w:rsid w:val="00B24A82"/>
    <w:rsid w:val="00B25CBE"/>
    <w:rsid w:val="00B25EEA"/>
    <w:rsid w:val="00B26592"/>
    <w:rsid w:val="00B27BBF"/>
    <w:rsid w:val="00B32B9A"/>
    <w:rsid w:val="00B34386"/>
    <w:rsid w:val="00B35B5B"/>
    <w:rsid w:val="00B4338D"/>
    <w:rsid w:val="00B44683"/>
    <w:rsid w:val="00B46E3B"/>
    <w:rsid w:val="00B50141"/>
    <w:rsid w:val="00B510C1"/>
    <w:rsid w:val="00B531EF"/>
    <w:rsid w:val="00B547A3"/>
    <w:rsid w:val="00B56E76"/>
    <w:rsid w:val="00B578B5"/>
    <w:rsid w:val="00B60F48"/>
    <w:rsid w:val="00B62D2E"/>
    <w:rsid w:val="00B63804"/>
    <w:rsid w:val="00B66319"/>
    <w:rsid w:val="00B66B36"/>
    <w:rsid w:val="00B67118"/>
    <w:rsid w:val="00B70B1E"/>
    <w:rsid w:val="00B71EC4"/>
    <w:rsid w:val="00B73DB8"/>
    <w:rsid w:val="00B73F0D"/>
    <w:rsid w:val="00B769BF"/>
    <w:rsid w:val="00B810D6"/>
    <w:rsid w:val="00B815DC"/>
    <w:rsid w:val="00B82A13"/>
    <w:rsid w:val="00B8518E"/>
    <w:rsid w:val="00B871D0"/>
    <w:rsid w:val="00B91739"/>
    <w:rsid w:val="00B93086"/>
    <w:rsid w:val="00B945C6"/>
    <w:rsid w:val="00B94B2F"/>
    <w:rsid w:val="00B9600C"/>
    <w:rsid w:val="00B96716"/>
    <w:rsid w:val="00B978BE"/>
    <w:rsid w:val="00BA0C20"/>
    <w:rsid w:val="00BA135C"/>
    <w:rsid w:val="00BA4E9C"/>
    <w:rsid w:val="00BA5FDB"/>
    <w:rsid w:val="00BA6407"/>
    <w:rsid w:val="00BB0319"/>
    <w:rsid w:val="00BB3689"/>
    <w:rsid w:val="00BB648C"/>
    <w:rsid w:val="00BB7E94"/>
    <w:rsid w:val="00BC071C"/>
    <w:rsid w:val="00BC11BE"/>
    <w:rsid w:val="00BC1A6F"/>
    <w:rsid w:val="00BC1CCF"/>
    <w:rsid w:val="00BC31C8"/>
    <w:rsid w:val="00BC39EF"/>
    <w:rsid w:val="00BC4CAC"/>
    <w:rsid w:val="00BC7729"/>
    <w:rsid w:val="00BD00C4"/>
    <w:rsid w:val="00BD0993"/>
    <w:rsid w:val="00BD1A37"/>
    <w:rsid w:val="00BD1BC0"/>
    <w:rsid w:val="00BD1E53"/>
    <w:rsid w:val="00BD1F5F"/>
    <w:rsid w:val="00BD2671"/>
    <w:rsid w:val="00BD3C0F"/>
    <w:rsid w:val="00BD6F05"/>
    <w:rsid w:val="00BD7F25"/>
    <w:rsid w:val="00BE0373"/>
    <w:rsid w:val="00BE0A08"/>
    <w:rsid w:val="00BE0BB7"/>
    <w:rsid w:val="00BF05BF"/>
    <w:rsid w:val="00BF0901"/>
    <w:rsid w:val="00BF0DE4"/>
    <w:rsid w:val="00BF661D"/>
    <w:rsid w:val="00BF7BA8"/>
    <w:rsid w:val="00C04833"/>
    <w:rsid w:val="00C05A6F"/>
    <w:rsid w:val="00C1062A"/>
    <w:rsid w:val="00C12BD5"/>
    <w:rsid w:val="00C12F57"/>
    <w:rsid w:val="00C1591F"/>
    <w:rsid w:val="00C15D1E"/>
    <w:rsid w:val="00C2175A"/>
    <w:rsid w:val="00C23DD6"/>
    <w:rsid w:val="00C25F80"/>
    <w:rsid w:val="00C3019C"/>
    <w:rsid w:val="00C30626"/>
    <w:rsid w:val="00C324B8"/>
    <w:rsid w:val="00C32D56"/>
    <w:rsid w:val="00C35940"/>
    <w:rsid w:val="00C35C34"/>
    <w:rsid w:val="00C40724"/>
    <w:rsid w:val="00C43327"/>
    <w:rsid w:val="00C4542B"/>
    <w:rsid w:val="00C47323"/>
    <w:rsid w:val="00C51F1F"/>
    <w:rsid w:val="00C52550"/>
    <w:rsid w:val="00C546E9"/>
    <w:rsid w:val="00C552D5"/>
    <w:rsid w:val="00C55718"/>
    <w:rsid w:val="00C60DAF"/>
    <w:rsid w:val="00C62B11"/>
    <w:rsid w:val="00C645B3"/>
    <w:rsid w:val="00C653BB"/>
    <w:rsid w:val="00C66110"/>
    <w:rsid w:val="00C66EF5"/>
    <w:rsid w:val="00C73122"/>
    <w:rsid w:val="00C7677F"/>
    <w:rsid w:val="00C76E9B"/>
    <w:rsid w:val="00C83132"/>
    <w:rsid w:val="00C83420"/>
    <w:rsid w:val="00C83784"/>
    <w:rsid w:val="00C84164"/>
    <w:rsid w:val="00C84A48"/>
    <w:rsid w:val="00C85C33"/>
    <w:rsid w:val="00C90247"/>
    <w:rsid w:val="00C91182"/>
    <w:rsid w:val="00C91902"/>
    <w:rsid w:val="00C92023"/>
    <w:rsid w:val="00C93C2C"/>
    <w:rsid w:val="00C94D7D"/>
    <w:rsid w:val="00C9522B"/>
    <w:rsid w:val="00C95CB3"/>
    <w:rsid w:val="00C9613D"/>
    <w:rsid w:val="00C9628A"/>
    <w:rsid w:val="00C964DB"/>
    <w:rsid w:val="00C97795"/>
    <w:rsid w:val="00C97875"/>
    <w:rsid w:val="00CA13FF"/>
    <w:rsid w:val="00CA31D2"/>
    <w:rsid w:val="00CA4071"/>
    <w:rsid w:val="00CA64FD"/>
    <w:rsid w:val="00CA73F8"/>
    <w:rsid w:val="00CA79E5"/>
    <w:rsid w:val="00CB4756"/>
    <w:rsid w:val="00CB4E45"/>
    <w:rsid w:val="00CB5ED9"/>
    <w:rsid w:val="00CC161A"/>
    <w:rsid w:val="00CC27F6"/>
    <w:rsid w:val="00CC2F7F"/>
    <w:rsid w:val="00CC3D5A"/>
    <w:rsid w:val="00CC5F1D"/>
    <w:rsid w:val="00CC702C"/>
    <w:rsid w:val="00CC7105"/>
    <w:rsid w:val="00CD2AFA"/>
    <w:rsid w:val="00CD7D0A"/>
    <w:rsid w:val="00CE0870"/>
    <w:rsid w:val="00CE2152"/>
    <w:rsid w:val="00CE2A63"/>
    <w:rsid w:val="00CE2EDC"/>
    <w:rsid w:val="00CE6BEE"/>
    <w:rsid w:val="00CF0D70"/>
    <w:rsid w:val="00CF1042"/>
    <w:rsid w:val="00CF11EF"/>
    <w:rsid w:val="00CF14F8"/>
    <w:rsid w:val="00CF576A"/>
    <w:rsid w:val="00CF6EED"/>
    <w:rsid w:val="00CF70B9"/>
    <w:rsid w:val="00D037E4"/>
    <w:rsid w:val="00D04254"/>
    <w:rsid w:val="00D0496E"/>
    <w:rsid w:val="00D06CE3"/>
    <w:rsid w:val="00D10079"/>
    <w:rsid w:val="00D10308"/>
    <w:rsid w:val="00D112CF"/>
    <w:rsid w:val="00D127DC"/>
    <w:rsid w:val="00D14658"/>
    <w:rsid w:val="00D174FC"/>
    <w:rsid w:val="00D21BA1"/>
    <w:rsid w:val="00D229DF"/>
    <w:rsid w:val="00D232B1"/>
    <w:rsid w:val="00D23E38"/>
    <w:rsid w:val="00D252BF"/>
    <w:rsid w:val="00D25725"/>
    <w:rsid w:val="00D264DA"/>
    <w:rsid w:val="00D30498"/>
    <w:rsid w:val="00D320B2"/>
    <w:rsid w:val="00D329B3"/>
    <w:rsid w:val="00D32FA3"/>
    <w:rsid w:val="00D3553D"/>
    <w:rsid w:val="00D3559B"/>
    <w:rsid w:val="00D4093C"/>
    <w:rsid w:val="00D418FD"/>
    <w:rsid w:val="00D42AE1"/>
    <w:rsid w:val="00D44904"/>
    <w:rsid w:val="00D44E03"/>
    <w:rsid w:val="00D458C3"/>
    <w:rsid w:val="00D461BF"/>
    <w:rsid w:val="00D479F1"/>
    <w:rsid w:val="00D502E6"/>
    <w:rsid w:val="00D55C55"/>
    <w:rsid w:val="00D55FA5"/>
    <w:rsid w:val="00D56022"/>
    <w:rsid w:val="00D578CB"/>
    <w:rsid w:val="00D60CBF"/>
    <w:rsid w:val="00D64075"/>
    <w:rsid w:val="00D64183"/>
    <w:rsid w:val="00D6584C"/>
    <w:rsid w:val="00D66A81"/>
    <w:rsid w:val="00D7030C"/>
    <w:rsid w:val="00D708A9"/>
    <w:rsid w:val="00D709E9"/>
    <w:rsid w:val="00D70B6F"/>
    <w:rsid w:val="00D7175B"/>
    <w:rsid w:val="00D746B6"/>
    <w:rsid w:val="00D747E2"/>
    <w:rsid w:val="00D7522C"/>
    <w:rsid w:val="00D800C6"/>
    <w:rsid w:val="00D803FC"/>
    <w:rsid w:val="00D84293"/>
    <w:rsid w:val="00D868FB"/>
    <w:rsid w:val="00D9086E"/>
    <w:rsid w:val="00D92844"/>
    <w:rsid w:val="00D92C02"/>
    <w:rsid w:val="00D9390A"/>
    <w:rsid w:val="00D93DA4"/>
    <w:rsid w:val="00D94A16"/>
    <w:rsid w:val="00D97E1A"/>
    <w:rsid w:val="00DA2446"/>
    <w:rsid w:val="00DA2705"/>
    <w:rsid w:val="00DA27EC"/>
    <w:rsid w:val="00DA2871"/>
    <w:rsid w:val="00DA3E57"/>
    <w:rsid w:val="00DA4DD6"/>
    <w:rsid w:val="00DA4F31"/>
    <w:rsid w:val="00DA6E57"/>
    <w:rsid w:val="00DB0412"/>
    <w:rsid w:val="00DB61B1"/>
    <w:rsid w:val="00DB74CD"/>
    <w:rsid w:val="00DB7688"/>
    <w:rsid w:val="00DC16B7"/>
    <w:rsid w:val="00DC2EB1"/>
    <w:rsid w:val="00DC6979"/>
    <w:rsid w:val="00DC796A"/>
    <w:rsid w:val="00DD09E8"/>
    <w:rsid w:val="00DD16B0"/>
    <w:rsid w:val="00DD1927"/>
    <w:rsid w:val="00DD218F"/>
    <w:rsid w:val="00DD3057"/>
    <w:rsid w:val="00DD6178"/>
    <w:rsid w:val="00DE196E"/>
    <w:rsid w:val="00DE1A7D"/>
    <w:rsid w:val="00DE373F"/>
    <w:rsid w:val="00DE6752"/>
    <w:rsid w:val="00DE72C7"/>
    <w:rsid w:val="00DF096B"/>
    <w:rsid w:val="00DF24DE"/>
    <w:rsid w:val="00DF30A5"/>
    <w:rsid w:val="00DF4DE4"/>
    <w:rsid w:val="00DF5ABC"/>
    <w:rsid w:val="00E01916"/>
    <w:rsid w:val="00E026DB"/>
    <w:rsid w:val="00E02EF0"/>
    <w:rsid w:val="00E04572"/>
    <w:rsid w:val="00E062F9"/>
    <w:rsid w:val="00E12F94"/>
    <w:rsid w:val="00E13992"/>
    <w:rsid w:val="00E14B41"/>
    <w:rsid w:val="00E14DFB"/>
    <w:rsid w:val="00E17538"/>
    <w:rsid w:val="00E24AB9"/>
    <w:rsid w:val="00E26670"/>
    <w:rsid w:val="00E27B52"/>
    <w:rsid w:val="00E310A7"/>
    <w:rsid w:val="00E312C8"/>
    <w:rsid w:val="00E32B0A"/>
    <w:rsid w:val="00E33B56"/>
    <w:rsid w:val="00E3406A"/>
    <w:rsid w:val="00E346FF"/>
    <w:rsid w:val="00E347CD"/>
    <w:rsid w:val="00E36245"/>
    <w:rsid w:val="00E368B2"/>
    <w:rsid w:val="00E37B9A"/>
    <w:rsid w:val="00E406E9"/>
    <w:rsid w:val="00E41421"/>
    <w:rsid w:val="00E43AEA"/>
    <w:rsid w:val="00E46B55"/>
    <w:rsid w:val="00E47F0E"/>
    <w:rsid w:val="00E5151A"/>
    <w:rsid w:val="00E51BC0"/>
    <w:rsid w:val="00E5314B"/>
    <w:rsid w:val="00E5328C"/>
    <w:rsid w:val="00E54C64"/>
    <w:rsid w:val="00E573E6"/>
    <w:rsid w:val="00E6002A"/>
    <w:rsid w:val="00E60D90"/>
    <w:rsid w:val="00E60EB1"/>
    <w:rsid w:val="00E643B2"/>
    <w:rsid w:val="00E64B63"/>
    <w:rsid w:val="00E665CA"/>
    <w:rsid w:val="00E676F5"/>
    <w:rsid w:val="00E70A48"/>
    <w:rsid w:val="00E72AA9"/>
    <w:rsid w:val="00E72F1D"/>
    <w:rsid w:val="00E73117"/>
    <w:rsid w:val="00E7324E"/>
    <w:rsid w:val="00E748E3"/>
    <w:rsid w:val="00E75B27"/>
    <w:rsid w:val="00E8328E"/>
    <w:rsid w:val="00E84AFF"/>
    <w:rsid w:val="00E9050B"/>
    <w:rsid w:val="00E94DB6"/>
    <w:rsid w:val="00E9547F"/>
    <w:rsid w:val="00E9644F"/>
    <w:rsid w:val="00E97138"/>
    <w:rsid w:val="00E97E0D"/>
    <w:rsid w:val="00EA064E"/>
    <w:rsid w:val="00EA17D9"/>
    <w:rsid w:val="00EA1B84"/>
    <w:rsid w:val="00EA1B97"/>
    <w:rsid w:val="00EA4765"/>
    <w:rsid w:val="00EA4C14"/>
    <w:rsid w:val="00EA73D9"/>
    <w:rsid w:val="00EA7B80"/>
    <w:rsid w:val="00EB175C"/>
    <w:rsid w:val="00EB42C4"/>
    <w:rsid w:val="00EB4BBE"/>
    <w:rsid w:val="00EB6A83"/>
    <w:rsid w:val="00EC008C"/>
    <w:rsid w:val="00EC0EA2"/>
    <w:rsid w:val="00EC15D8"/>
    <w:rsid w:val="00EC263F"/>
    <w:rsid w:val="00EC3C6F"/>
    <w:rsid w:val="00EC442F"/>
    <w:rsid w:val="00EC5AC2"/>
    <w:rsid w:val="00EC6E69"/>
    <w:rsid w:val="00ED0345"/>
    <w:rsid w:val="00ED06D3"/>
    <w:rsid w:val="00ED2237"/>
    <w:rsid w:val="00ED3AFE"/>
    <w:rsid w:val="00ED55C9"/>
    <w:rsid w:val="00ED730C"/>
    <w:rsid w:val="00ED7832"/>
    <w:rsid w:val="00EE0F18"/>
    <w:rsid w:val="00EE364B"/>
    <w:rsid w:val="00EE6058"/>
    <w:rsid w:val="00EF2074"/>
    <w:rsid w:val="00F00C7F"/>
    <w:rsid w:val="00F017BF"/>
    <w:rsid w:val="00F025BE"/>
    <w:rsid w:val="00F0356D"/>
    <w:rsid w:val="00F04AF8"/>
    <w:rsid w:val="00F05BE9"/>
    <w:rsid w:val="00F104E6"/>
    <w:rsid w:val="00F10F3D"/>
    <w:rsid w:val="00F11410"/>
    <w:rsid w:val="00F1254D"/>
    <w:rsid w:val="00F13D96"/>
    <w:rsid w:val="00F13F2E"/>
    <w:rsid w:val="00F13FC0"/>
    <w:rsid w:val="00F142FB"/>
    <w:rsid w:val="00F175E0"/>
    <w:rsid w:val="00F17CC6"/>
    <w:rsid w:val="00F22D81"/>
    <w:rsid w:val="00F22E90"/>
    <w:rsid w:val="00F23769"/>
    <w:rsid w:val="00F23B68"/>
    <w:rsid w:val="00F30C5A"/>
    <w:rsid w:val="00F32921"/>
    <w:rsid w:val="00F331B5"/>
    <w:rsid w:val="00F367FD"/>
    <w:rsid w:val="00F3729D"/>
    <w:rsid w:val="00F37BEE"/>
    <w:rsid w:val="00F37C20"/>
    <w:rsid w:val="00F440B2"/>
    <w:rsid w:val="00F44736"/>
    <w:rsid w:val="00F45375"/>
    <w:rsid w:val="00F47453"/>
    <w:rsid w:val="00F500A7"/>
    <w:rsid w:val="00F53525"/>
    <w:rsid w:val="00F63965"/>
    <w:rsid w:val="00F6445D"/>
    <w:rsid w:val="00F6496C"/>
    <w:rsid w:val="00F649B6"/>
    <w:rsid w:val="00F65645"/>
    <w:rsid w:val="00F66F45"/>
    <w:rsid w:val="00F7229A"/>
    <w:rsid w:val="00F74DB0"/>
    <w:rsid w:val="00F75133"/>
    <w:rsid w:val="00F764D5"/>
    <w:rsid w:val="00F769F6"/>
    <w:rsid w:val="00F76BAF"/>
    <w:rsid w:val="00F837DD"/>
    <w:rsid w:val="00F83C28"/>
    <w:rsid w:val="00F87808"/>
    <w:rsid w:val="00F87823"/>
    <w:rsid w:val="00F9013B"/>
    <w:rsid w:val="00F91FDD"/>
    <w:rsid w:val="00F925A6"/>
    <w:rsid w:val="00F954E4"/>
    <w:rsid w:val="00F97021"/>
    <w:rsid w:val="00F97666"/>
    <w:rsid w:val="00F979EC"/>
    <w:rsid w:val="00FA6675"/>
    <w:rsid w:val="00FA7FA8"/>
    <w:rsid w:val="00FB0C14"/>
    <w:rsid w:val="00FB0FA1"/>
    <w:rsid w:val="00FB2F9F"/>
    <w:rsid w:val="00FB44D0"/>
    <w:rsid w:val="00FB7F2B"/>
    <w:rsid w:val="00FC0E48"/>
    <w:rsid w:val="00FC2C4E"/>
    <w:rsid w:val="00FC2CAD"/>
    <w:rsid w:val="00FC36EB"/>
    <w:rsid w:val="00FC5C54"/>
    <w:rsid w:val="00FD21CA"/>
    <w:rsid w:val="00FD3F03"/>
    <w:rsid w:val="00FD499E"/>
    <w:rsid w:val="00FD721F"/>
    <w:rsid w:val="00FE059A"/>
    <w:rsid w:val="00FE0A26"/>
    <w:rsid w:val="00FE42B3"/>
    <w:rsid w:val="00FE5292"/>
    <w:rsid w:val="00FE52E6"/>
    <w:rsid w:val="00FE6CF3"/>
    <w:rsid w:val="00FE6CFF"/>
    <w:rsid w:val="00FE6F3B"/>
    <w:rsid w:val="00FE7688"/>
    <w:rsid w:val="00FF01F2"/>
    <w:rsid w:val="00FF24FA"/>
    <w:rsid w:val="00FF3242"/>
    <w:rsid w:val="00FF6C9C"/>
    <w:rsid w:val="00FF7128"/>
    <w:rsid w:val="00FF71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AF9AB-07D1-457F-9A82-4A57B034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Textoindependiente21">
    <w:name w:val="Texto independiente 21"/>
    <w:basedOn w:val="Normal"/>
    <w:link w:val="BodyText2Car1"/>
    <w:rsid w:val="00CC5F1D"/>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CC5F1D"/>
    <w:rPr>
      <w:rFonts w:ascii="Arial" w:eastAsia="Times New Roman" w:hAnsi="Arial" w:cs="Times New Roman"/>
      <w:sz w:val="28"/>
      <w:szCs w:val="20"/>
      <w:lang w:val="es-ES" w:eastAsia="es-ES"/>
    </w:rPr>
  </w:style>
  <w:style w:type="paragraph" w:customStyle="1" w:styleId="Textoindependiente22">
    <w:name w:val="Texto independiente 22"/>
    <w:basedOn w:val="Normal"/>
    <w:rsid w:val="006C0975"/>
    <w:pPr>
      <w:spacing w:line="360" w:lineRule="auto"/>
      <w:jc w:val="both"/>
    </w:pPr>
    <w:rPr>
      <w:rFonts w:ascii="Arial" w:hAnsi="Arial"/>
      <w:b/>
      <w:sz w:val="28"/>
    </w:rPr>
  </w:style>
  <w:style w:type="character" w:customStyle="1" w:styleId="Cuerpodeltexto">
    <w:name w:val="Cuerpo del texto_"/>
    <w:link w:val="Cuerpodeltexto0"/>
    <w:rsid w:val="001A2783"/>
    <w:rPr>
      <w:rFonts w:ascii="Tahoma" w:eastAsia="Tahoma" w:hAnsi="Tahoma" w:cs="Tahoma"/>
      <w:shd w:val="clear" w:color="auto" w:fill="FFFFFF"/>
    </w:rPr>
  </w:style>
  <w:style w:type="paragraph" w:customStyle="1" w:styleId="Cuerpodeltexto0">
    <w:name w:val="Cuerpo del texto"/>
    <w:basedOn w:val="Normal"/>
    <w:link w:val="Cuerpodeltexto"/>
    <w:rsid w:val="001A2783"/>
    <w:pPr>
      <w:widowControl w:val="0"/>
      <w:shd w:val="clear" w:color="auto" w:fill="FFFFFF"/>
      <w:spacing w:before="480" w:after="240" w:line="436" w:lineRule="exact"/>
      <w:jc w:val="both"/>
    </w:pPr>
    <w:rPr>
      <w:rFonts w:ascii="Tahoma" w:eastAsia="Tahoma" w:hAnsi="Tahoma" w:cs="Tahoma"/>
      <w:sz w:val="22"/>
      <w:szCs w:val="22"/>
      <w:lang w:val="es-CO" w:eastAsia="en-US"/>
    </w:rPr>
  </w:style>
  <w:style w:type="table" w:styleId="Tablaconcuadrcula">
    <w:name w:val="Table Grid"/>
    <w:basedOn w:val="Tablanormal"/>
    <w:uiPriority w:val="39"/>
    <w:rsid w:val="00D8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515">
      <w:bodyDiv w:val="1"/>
      <w:marLeft w:val="0"/>
      <w:marRight w:val="0"/>
      <w:marTop w:val="0"/>
      <w:marBottom w:val="0"/>
      <w:divBdr>
        <w:top w:val="none" w:sz="0" w:space="0" w:color="auto"/>
        <w:left w:val="none" w:sz="0" w:space="0" w:color="auto"/>
        <w:bottom w:val="none" w:sz="0" w:space="0" w:color="auto"/>
        <w:right w:val="none" w:sz="0" w:space="0" w:color="auto"/>
      </w:divBdr>
    </w:div>
    <w:div w:id="50008266">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57142">
      <w:bodyDiv w:val="1"/>
      <w:marLeft w:val="0"/>
      <w:marRight w:val="0"/>
      <w:marTop w:val="0"/>
      <w:marBottom w:val="0"/>
      <w:divBdr>
        <w:top w:val="none" w:sz="0" w:space="0" w:color="auto"/>
        <w:left w:val="none" w:sz="0" w:space="0" w:color="auto"/>
        <w:bottom w:val="none" w:sz="0" w:space="0" w:color="auto"/>
        <w:right w:val="none" w:sz="0" w:space="0" w:color="auto"/>
      </w:divBdr>
    </w:div>
    <w:div w:id="89083980">
      <w:bodyDiv w:val="1"/>
      <w:marLeft w:val="0"/>
      <w:marRight w:val="0"/>
      <w:marTop w:val="0"/>
      <w:marBottom w:val="0"/>
      <w:divBdr>
        <w:top w:val="none" w:sz="0" w:space="0" w:color="auto"/>
        <w:left w:val="none" w:sz="0" w:space="0" w:color="auto"/>
        <w:bottom w:val="none" w:sz="0" w:space="0" w:color="auto"/>
        <w:right w:val="none" w:sz="0" w:space="0" w:color="auto"/>
      </w:divBdr>
    </w:div>
    <w:div w:id="112526835">
      <w:bodyDiv w:val="1"/>
      <w:marLeft w:val="0"/>
      <w:marRight w:val="0"/>
      <w:marTop w:val="0"/>
      <w:marBottom w:val="0"/>
      <w:divBdr>
        <w:top w:val="none" w:sz="0" w:space="0" w:color="auto"/>
        <w:left w:val="none" w:sz="0" w:space="0" w:color="auto"/>
        <w:bottom w:val="none" w:sz="0" w:space="0" w:color="auto"/>
        <w:right w:val="none" w:sz="0" w:space="0" w:color="auto"/>
      </w:divBdr>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159808277">
      <w:bodyDiv w:val="1"/>
      <w:marLeft w:val="0"/>
      <w:marRight w:val="0"/>
      <w:marTop w:val="0"/>
      <w:marBottom w:val="0"/>
      <w:divBdr>
        <w:top w:val="none" w:sz="0" w:space="0" w:color="auto"/>
        <w:left w:val="none" w:sz="0" w:space="0" w:color="auto"/>
        <w:bottom w:val="none" w:sz="0" w:space="0" w:color="auto"/>
        <w:right w:val="none" w:sz="0" w:space="0" w:color="auto"/>
      </w:divBdr>
    </w:div>
    <w:div w:id="179273054">
      <w:bodyDiv w:val="1"/>
      <w:marLeft w:val="0"/>
      <w:marRight w:val="0"/>
      <w:marTop w:val="0"/>
      <w:marBottom w:val="0"/>
      <w:divBdr>
        <w:top w:val="none" w:sz="0" w:space="0" w:color="auto"/>
        <w:left w:val="none" w:sz="0" w:space="0" w:color="auto"/>
        <w:bottom w:val="none" w:sz="0" w:space="0" w:color="auto"/>
        <w:right w:val="none" w:sz="0" w:space="0" w:color="auto"/>
      </w:divBdr>
    </w:div>
    <w:div w:id="182790234">
      <w:bodyDiv w:val="1"/>
      <w:marLeft w:val="0"/>
      <w:marRight w:val="0"/>
      <w:marTop w:val="0"/>
      <w:marBottom w:val="0"/>
      <w:divBdr>
        <w:top w:val="none" w:sz="0" w:space="0" w:color="auto"/>
        <w:left w:val="none" w:sz="0" w:space="0" w:color="auto"/>
        <w:bottom w:val="none" w:sz="0" w:space="0" w:color="auto"/>
        <w:right w:val="none" w:sz="0" w:space="0" w:color="auto"/>
      </w:divBdr>
    </w:div>
    <w:div w:id="24138163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144">
      <w:bodyDiv w:val="1"/>
      <w:marLeft w:val="0"/>
      <w:marRight w:val="0"/>
      <w:marTop w:val="0"/>
      <w:marBottom w:val="0"/>
      <w:divBdr>
        <w:top w:val="none" w:sz="0" w:space="0" w:color="auto"/>
        <w:left w:val="none" w:sz="0" w:space="0" w:color="auto"/>
        <w:bottom w:val="none" w:sz="0" w:space="0" w:color="auto"/>
        <w:right w:val="none" w:sz="0" w:space="0" w:color="auto"/>
      </w:divBdr>
    </w:div>
    <w:div w:id="400904370">
      <w:bodyDiv w:val="1"/>
      <w:marLeft w:val="0"/>
      <w:marRight w:val="0"/>
      <w:marTop w:val="0"/>
      <w:marBottom w:val="0"/>
      <w:divBdr>
        <w:top w:val="none" w:sz="0" w:space="0" w:color="auto"/>
        <w:left w:val="none" w:sz="0" w:space="0" w:color="auto"/>
        <w:bottom w:val="none" w:sz="0" w:space="0" w:color="auto"/>
        <w:right w:val="none" w:sz="0" w:space="0" w:color="auto"/>
      </w:divBdr>
    </w:div>
    <w:div w:id="489712242">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706365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587885983">
      <w:bodyDiv w:val="1"/>
      <w:marLeft w:val="0"/>
      <w:marRight w:val="0"/>
      <w:marTop w:val="0"/>
      <w:marBottom w:val="0"/>
      <w:divBdr>
        <w:top w:val="none" w:sz="0" w:space="0" w:color="auto"/>
        <w:left w:val="none" w:sz="0" w:space="0" w:color="auto"/>
        <w:bottom w:val="none" w:sz="0" w:space="0" w:color="auto"/>
        <w:right w:val="none" w:sz="0" w:space="0" w:color="auto"/>
      </w:divBdr>
    </w:div>
    <w:div w:id="637031562">
      <w:bodyDiv w:val="1"/>
      <w:marLeft w:val="0"/>
      <w:marRight w:val="0"/>
      <w:marTop w:val="0"/>
      <w:marBottom w:val="0"/>
      <w:divBdr>
        <w:top w:val="none" w:sz="0" w:space="0" w:color="auto"/>
        <w:left w:val="none" w:sz="0" w:space="0" w:color="auto"/>
        <w:bottom w:val="none" w:sz="0" w:space="0" w:color="auto"/>
        <w:right w:val="none" w:sz="0" w:space="0" w:color="auto"/>
      </w:divBdr>
    </w:div>
    <w:div w:id="654603806">
      <w:bodyDiv w:val="1"/>
      <w:marLeft w:val="0"/>
      <w:marRight w:val="0"/>
      <w:marTop w:val="0"/>
      <w:marBottom w:val="0"/>
      <w:divBdr>
        <w:top w:val="none" w:sz="0" w:space="0" w:color="auto"/>
        <w:left w:val="none" w:sz="0" w:space="0" w:color="auto"/>
        <w:bottom w:val="none" w:sz="0" w:space="0" w:color="auto"/>
        <w:right w:val="none" w:sz="0" w:space="0" w:color="auto"/>
      </w:divBdr>
    </w:div>
    <w:div w:id="677273130">
      <w:bodyDiv w:val="1"/>
      <w:marLeft w:val="0"/>
      <w:marRight w:val="0"/>
      <w:marTop w:val="0"/>
      <w:marBottom w:val="0"/>
      <w:divBdr>
        <w:top w:val="none" w:sz="0" w:space="0" w:color="auto"/>
        <w:left w:val="none" w:sz="0" w:space="0" w:color="auto"/>
        <w:bottom w:val="none" w:sz="0" w:space="0" w:color="auto"/>
        <w:right w:val="none" w:sz="0" w:space="0" w:color="auto"/>
      </w:divBdr>
    </w:div>
    <w:div w:id="680855403">
      <w:bodyDiv w:val="1"/>
      <w:marLeft w:val="0"/>
      <w:marRight w:val="0"/>
      <w:marTop w:val="0"/>
      <w:marBottom w:val="0"/>
      <w:divBdr>
        <w:top w:val="none" w:sz="0" w:space="0" w:color="auto"/>
        <w:left w:val="none" w:sz="0" w:space="0" w:color="auto"/>
        <w:bottom w:val="none" w:sz="0" w:space="0" w:color="auto"/>
        <w:right w:val="none" w:sz="0" w:space="0" w:color="auto"/>
      </w:divBdr>
    </w:div>
    <w:div w:id="732191827">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7038">
      <w:bodyDiv w:val="1"/>
      <w:marLeft w:val="0"/>
      <w:marRight w:val="0"/>
      <w:marTop w:val="0"/>
      <w:marBottom w:val="0"/>
      <w:divBdr>
        <w:top w:val="none" w:sz="0" w:space="0" w:color="auto"/>
        <w:left w:val="none" w:sz="0" w:space="0" w:color="auto"/>
        <w:bottom w:val="none" w:sz="0" w:space="0" w:color="auto"/>
        <w:right w:val="none" w:sz="0" w:space="0" w:color="auto"/>
      </w:divBdr>
    </w:div>
    <w:div w:id="91161891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5497973">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4157478">
      <w:bodyDiv w:val="1"/>
      <w:marLeft w:val="0"/>
      <w:marRight w:val="0"/>
      <w:marTop w:val="0"/>
      <w:marBottom w:val="0"/>
      <w:divBdr>
        <w:top w:val="none" w:sz="0" w:space="0" w:color="auto"/>
        <w:left w:val="none" w:sz="0" w:space="0" w:color="auto"/>
        <w:bottom w:val="none" w:sz="0" w:space="0" w:color="auto"/>
        <w:right w:val="none" w:sz="0" w:space="0" w:color="auto"/>
      </w:divBdr>
    </w:div>
    <w:div w:id="1158153977">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194705">
      <w:bodyDiv w:val="1"/>
      <w:marLeft w:val="0"/>
      <w:marRight w:val="0"/>
      <w:marTop w:val="0"/>
      <w:marBottom w:val="0"/>
      <w:divBdr>
        <w:top w:val="none" w:sz="0" w:space="0" w:color="auto"/>
        <w:left w:val="none" w:sz="0" w:space="0" w:color="auto"/>
        <w:bottom w:val="none" w:sz="0" w:space="0" w:color="auto"/>
        <w:right w:val="none" w:sz="0" w:space="0" w:color="auto"/>
      </w:divBdr>
    </w:div>
    <w:div w:id="1418988077">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8310">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07830246">
      <w:bodyDiv w:val="1"/>
      <w:marLeft w:val="0"/>
      <w:marRight w:val="0"/>
      <w:marTop w:val="0"/>
      <w:marBottom w:val="0"/>
      <w:divBdr>
        <w:top w:val="none" w:sz="0" w:space="0" w:color="auto"/>
        <w:left w:val="none" w:sz="0" w:space="0" w:color="auto"/>
        <w:bottom w:val="none" w:sz="0" w:space="0" w:color="auto"/>
        <w:right w:val="none" w:sz="0" w:space="0" w:color="auto"/>
      </w:divBdr>
    </w:div>
    <w:div w:id="1863323449">
      <w:bodyDiv w:val="1"/>
      <w:marLeft w:val="0"/>
      <w:marRight w:val="0"/>
      <w:marTop w:val="0"/>
      <w:marBottom w:val="0"/>
      <w:divBdr>
        <w:top w:val="none" w:sz="0" w:space="0" w:color="auto"/>
        <w:left w:val="none" w:sz="0" w:space="0" w:color="auto"/>
        <w:bottom w:val="none" w:sz="0" w:space="0" w:color="auto"/>
        <w:right w:val="none" w:sz="0" w:space="0" w:color="auto"/>
      </w:divBdr>
    </w:div>
    <w:div w:id="19077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A330-AD77-441A-8453-CBFDA5D1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5670</Words>
  <Characters>31186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18</cp:revision>
  <cp:lastPrinted>2018-08-17T12:45:00Z</cp:lastPrinted>
  <dcterms:created xsi:type="dcterms:W3CDTF">2018-07-13T16:51:00Z</dcterms:created>
  <dcterms:modified xsi:type="dcterms:W3CDTF">2018-09-26T12:24:00Z</dcterms:modified>
</cp:coreProperties>
</file>