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22C" w:rsidRDefault="008E722C" w:rsidP="008E722C">
      <w:pPr>
        <w:pBdr>
          <w:top w:val="single" w:sz="4" w:space="0" w:color="auto"/>
          <w:left w:val="single" w:sz="4" w:space="4" w:color="auto"/>
          <w:bottom w:val="single" w:sz="4" w:space="1" w:color="auto"/>
          <w:right w:val="single" w:sz="4" w:space="4" w:color="auto"/>
        </w:pBdr>
        <w:shd w:val="clear" w:color="auto" w:fill="FFFFFF"/>
        <w:jc w:val="both"/>
        <w:rPr>
          <w:rFonts w:ascii="Arial" w:eastAsia="Calibri" w:hAnsi="Arial" w:cs="Arial"/>
          <w:color w:val="FF0000"/>
          <w:sz w:val="18"/>
          <w:szCs w:val="18"/>
          <w:lang w:eastAsia="fr-FR"/>
        </w:rPr>
      </w:pPr>
      <w:bookmarkStart w:id="0" w:name="_GoBack"/>
      <w:bookmarkEnd w:id="0"/>
      <w:r>
        <w:rPr>
          <w:rFonts w:ascii="Arial" w:eastAsia="Calibri" w:hAnsi="Arial" w:cs="Arial"/>
          <w:color w:val="FF0000"/>
          <w:spacing w:val="-8"/>
          <w:sz w:val="18"/>
          <w:szCs w:val="18"/>
          <w:lang w:eastAsia="fr-FR"/>
        </w:rPr>
        <w:t xml:space="preserve">El siguiente es el documento presentado por el Magistrado Ponente que sirvió de base para proferir la providencia dentro del presente proceso.  </w:t>
      </w:r>
      <w:r>
        <w:rPr>
          <w:rFonts w:ascii="Arial" w:eastAsia="Calibri" w:hAnsi="Arial" w:cs="Arial"/>
          <w:color w:val="FF0000"/>
          <w:sz w:val="18"/>
          <w:szCs w:val="18"/>
          <w:lang w:eastAsia="fr-FR"/>
        </w:rPr>
        <w:t>El contenido total y fiel de la decisión debe ser verificado en la Secretaría de esta Sala.</w:t>
      </w:r>
    </w:p>
    <w:p w:rsidR="008E722C" w:rsidRPr="00DC3617" w:rsidRDefault="008E722C" w:rsidP="008E722C">
      <w:pPr>
        <w:jc w:val="both"/>
        <w:rPr>
          <w:rFonts w:ascii="Arial" w:hAnsi="Arial" w:cs="Arial"/>
          <w:sz w:val="20"/>
          <w:szCs w:val="20"/>
        </w:rPr>
      </w:pPr>
    </w:p>
    <w:p w:rsidR="00C63066" w:rsidRPr="00C63066" w:rsidRDefault="00C63066" w:rsidP="00C63066">
      <w:pPr>
        <w:jc w:val="both"/>
        <w:rPr>
          <w:rFonts w:ascii="Arial" w:hAnsi="Arial" w:cs="Arial"/>
          <w:sz w:val="20"/>
          <w:szCs w:val="20"/>
        </w:rPr>
      </w:pPr>
      <w:r w:rsidRPr="00C63066">
        <w:rPr>
          <w:rFonts w:ascii="Arial" w:hAnsi="Arial" w:cs="Arial"/>
          <w:sz w:val="20"/>
          <w:szCs w:val="20"/>
        </w:rPr>
        <w:t>Providencia:</w:t>
      </w:r>
      <w:r w:rsidRPr="00C63066">
        <w:rPr>
          <w:rFonts w:ascii="Arial" w:hAnsi="Arial" w:cs="Arial"/>
          <w:sz w:val="20"/>
          <w:szCs w:val="20"/>
        </w:rPr>
        <w:tab/>
        <w:t xml:space="preserve">   </w:t>
      </w:r>
      <w:r w:rsidRPr="00C63066">
        <w:rPr>
          <w:rFonts w:ascii="Arial" w:hAnsi="Arial" w:cs="Arial"/>
          <w:sz w:val="20"/>
          <w:szCs w:val="20"/>
        </w:rPr>
        <w:tab/>
      </w:r>
      <w:r w:rsidRPr="00C63066">
        <w:rPr>
          <w:rFonts w:ascii="Arial" w:hAnsi="Arial" w:cs="Arial"/>
          <w:sz w:val="20"/>
          <w:szCs w:val="20"/>
        </w:rPr>
        <w:tab/>
        <w:t>Apelación de auto.</w:t>
      </w:r>
    </w:p>
    <w:p w:rsidR="00C63066" w:rsidRPr="00C63066" w:rsidRDefault="00C63066" w:rsidP="00C63066">
      <w:pPr>
        <w:jc w:val="both"/>
        <w:rPr>
          <w:rFonts w:ascii="Arial" w:hAnsi="Arial" w:cs="Arial"/>
          <w:sz w:val="20"/>
          <w:szCs w:val="20"/>
        </w:rPr>
      </w:pPr>
      <w:r w:rsidRPr="00C63066">
        <w:rPr>
          <w:rFonts w:ascii="Arial" w:hAnsi="Arial" w:cs="Arial"/>
          <w:sz w:val="20"/>
          <w:szCs w:val="20"/>
        </w:rPr>
        <w:t>Proceso:</w:t>
      </w:r>
      <w:r w:rsidRPr="00C63066">
        <w:rPr>
          <w:rFonts w:ascii="Arial" w:hAnsi="Arial" w:cs="Arial"/>
          <w:sz w:val="20"/>
          <w:szCs w:val="20"/>
        </w:rPr>
        <w:tab/>
      </w:r>
      <w:r w:rsidRPr="00C63066">
        <w:rPr>
          <w:rFonts w:ascii="Arial" w:hAnsi="Arial" w:cs="Arial"/>
          <w:sz w:val="20"/>
          <w:szCs w:val="20"/>
        </w:rPr>
        <w:tab/>
      </w:r>
      <w:r w:rsidRPr="00C63066">
        <w:rPr>
          <w:rFonts w:ascii="Arial" w:hAnsi="Arial" w:cs="Arial"/>
          <w:sz w:val="20"/>
          <w:szCs w:val="20"/>
        </w:rPr>
        <w:tab/>
        <w:t>Ejecutivo Laboral.</w:t>
      </w:r>
    </w:p>
    <w:p w:rsidR="00C63066" w:rsidRPr="00C63066" w:rsidRDefault="00C63066" w:rsidP="00C63066">
      <w:pPr>
        <w:jc w:val="both"/>
        <w:rPr>
          <w:rFonts w:ascii="Arial" w:hAnsi="Arial" w:cs="Arial"/>
          <w:sz w:val="20"/>
          <w:szCs w:val="20"/>
        </w:rPr>
      </w:pPr>
      <w:r w:rsidRPr="00C63066">
        <w:rPr>
          <w:rFonts w:ascii="Arial" w:hAnsi="Arial" w:cs="Arial"/>
          <w:sz w:val="20"/>
          <w:szCs w:val="20"/>
        </w:rPr>
        <w:t>Radicación Nº.</w:t>
      </w:r>
      <w:r w:rsidRPr="00C63066">
        <w:rPr>
          <w:rFonts w:ascii="Arial" w:hAnsi="Arial" w:cs="Arial"/>
          <w:sz w:val="20"/>
          <w:szCs w:val="20"/>
        </w:rPr>
        <w:tab/>
      </w:r>
      <w:r w:rsidRPr="00C63066">
        <w:rPr>
          <w:rFonts w:ascii="Arial" w:hAnsi="Arial" w:cs="Arial"/>
          <w:sz w:val="20"/>
          <w:szCs w:val="20"/>
        </w:rPr>
        <w:tab/>
      </w:r>
      <w:r w:rsidRPr="00C63066">
        <w:rPr>
          <w:rFonts w:ascii="Arial" w:hAnsi="Arial" w:cs="Arial"/>
          <w:sz w:val="20"/>
          <w:szCs w:val="20"/>
        </w:rPr>
        <w:tab/>
        <w:t>66001-31-05-001-2006-00527-01</w:t>
      </w:r>
    </w:p>
    <w:p w:rsidR="00C63066" w:rsidRPr="00C63066" w:rsidRDefault="00C63066" w:rsidP="00C63066">
      <w:pPr>
        <w:jc w:val="both"/>
        <w:rPr>
          <w:rFonts w:ascii="Arial" w:hAnsi="Arial" w:cs="Arial"/>
          <w:sz w:val="20"/>
          <w:szCs w:val="20"/>
        </w:rPr>
      </w:pPr>
      <w:r w:rsidRPr="00C63066">
        <w:rPr>
          <w:rFonts w:ascii="Arial" w:hAnsi="Arial" w:cs="Arial"/>
          <w:sz w:val="20"/>
          <w:szCs w:val="20"/>
        </w:rPr>
        <w:t xml:space="preserve">Ejecutante: </w:t>
      </w:r>
      <w:r w:rsidRPr="00C63066">
        <w:rPr>
          <w:rFonts w:ascii="Arial" w:hAnsi="Arial" w:cs="Arial"/>
          <w:sz w:val="20"/>
          <w:szCs w:val="20"/>
        </w:rPr>
        <w:tab/>
      </w:r>
      <w:r w:rsidRPr="00C63066">
        <w:rPr>
          <w:rFonts w:ascii="Arial" w:hAnsi="Arial" w:cs="Arial"/>
          <w:sz w:val="20"/>
          <w:szCs w:val="20"/>
        </w:rPr>
        <w:tab/>
      </w:r>
      <w:r w:rsidRPr="00C63066">
        <w:rPr>
          <w:rFonts w:ascii="Arial" w:hAnsi="Arial" w:cs="Arial"/>
          <w:sz w:val="20"/>
          <w:szCs w:val="20"/>
        </w:rPr>
        <w:tab/>
        <w:t>Luz Mery Ospina López.</w:t>
      </w:r>
    </w:p>
    <w:p w:rsidR="00C63066" w:rsidRPr="00C63066" w:rsidRDefault="00C63066" w:rsidP="00C63066">
      <w:pPr>
        <w:jc w:val="both"/>
        <w:rPr>
          <w:rFonts w:ascii="Arial" w:hAnsi="Arial" w:cs="Arial"/>
          <w:sz w:val="20"/>
          <w:szCs w:val="20"/>
        </w:rPr>
      </w:pPr>
      <w:r w:rsidRPr="00C63066">
        <w:rPr>
          <w:rFonts w:ascii="Arial" w:hAnsi="Arial" w:cs="Arial"/>
          <w:sz w:val="20"/>
          <w:szCs w:val="20"/>
        </w:rPr>
        <w:t>Ejecutado:</w:t>
      </w:r>
      <w:r w:rsidRPr="00C63066">
        <w:rPr>
          <w:rFonts w:ascii="Arial" w:hAnsi="Arial" w:cs="Arial"/>
          <w:sz w:val="20"/>
          <w:szCs w:val="20"/>
        </w:rPr>
        <w:tab/>
      </w:r>
      <w:r w:rsidRPr="00C63066">
        <w:rPr>
          <w:rFonts w:ascii="Arial" w:hAnsi="Arial" w:cs="Arial"/>
          <w:sz w:val="20"/>
          <w:szCs w:val="20"/>
        </w:rPr>
        <w:tab/>
      </w:r>
      <w:r w:rsidRPr="00C63066">
        <w:rPr>
          <w:rFonts w:ascii="Arial" w:hAnsi="Arial" w:cs="Arial"/>
          <w:sz w:val="20"/>
          <w:szCs w:val="20"/>
        </w:rPr>
        <w:tab/>
        <w:t>Inversiones Miraflores Ltda.</w:t>
      </w:r>
    </w:p>
    <w:p w:rsidR="00C63066" w:rsidRPr="00C63066" w:rsidRDefault="00C63066" w:rsidP="00C63066">
      <w:pPr>
        <w:jc w:val="both"/>
        <w:rPr>
          <w:rFonts w:ascii="Arial" w:hAnsi="Arial" w:cs="Arial"/>
          <w:sz w:val="20"/>
          <w:szCs w:val="20"/>
        </w:rPr>
      </w:pPr>
      <w:proofErr w:type="spellStart"/>
      <w:r w:rsidRPr="00C63066">
        <w:rPr>
          <w:rFonts w:ascii="Arial" w:hAnsi="Arial" w:cs="Arial"/>
          <w:sz w:val="20"/>
          <w:szCs w:val="20"/>
        </w:rPr>
        <w:t>Incidentista</w:t>
      </w:r>
      <w:proofErr w:type="spellEnd"/>
      <w:r w:rsidRPr="00C63066">
        <w:rPr>
          <w:rFonts w:ascii="Arial" w:hAnsi="Arial" w:cs="Arial"/>
          <w:sz w:val="20"/>
          <w:szCs w:val="20"/>
        </w:rPr>
        <w:t>:</w:t>
      </w:r>
      <w:r w:rsidRPr="00C63066">
        <w:rPr>
          <w:rFonts w:ascii="Arial" w:hAnsi="Arial" w:cs="Arial"/>
          <w:sz w:val="20"/>
          <w:szCs w:val="20"/>
        </w:rPr>
        <w:tab/>
      </w:r>
      <w:r w:rsidRPr="00C63066">
        <w:rPr>
          <w:rFonts w:ascii="Arial" w:hAnsi="Arial" w:cs="Arial"/>
          <w:sz w:val="20"/>
          <w:szCs w:val="20"/>
        </w:rPr>
        <w:tab/>
      </w:r>
      <w:r w:rsidRPr="00C63066">
        <w:rPr>
          <w:rFonts w:ascii="Arial" w:hAnsi="Arial" w:cs="Arial"/>
          <w:sz w:val="20"/>
          <w:szCs w:val="20"/>
        </w:rPr>
        <w:tab/>
        <w:t>María Aurora García Ospina.</w:t>
      </w:r>
    </w:p>
    <w:p w:rsidR="00C63066" w:rsidRPr="00C63066" w:rsidRDefault="00C63066" w:rsidP="00C63066">
      <w:pPr>
        <w:jc w:val="both"/>
        <w:rPr>
          <w:rFonts w:ascii="Arial" w:hAnsi="Arial" w:cs="Arial"/>
          <w:sz w:val="20"/>
          <w:szCs w:val="20"/>
        </w:rPr>
      </w:pPr>
      <w:r w:rsidRPr="00C63066">
        <w:rPr>
          <w:rFonts w:ascii="Arial" w:hAnsi="Arial" w:cs="Arial"/>
          <w:sz w:val="20"/>
          <w:szCs w:val="20"/>
        </w:rPr>
        <w:t xml:space="preserve">Juzgado de Origen: </w:t>
      </w:r>
      <w:r w:rsidRPr="00C63066">
        <w:rPr>
          <w:rFonts w:ascii="Arial" w:hAnsi="Arial" w:cs="Arial"/>
          <w:sz w:val="20"/>
          <w:szCs w:val="20"/>
        </w:rPr>
        <w:tab/>
      </w:r>
      <w:r w:rsidRPr="00C63066">
        <w:rPr>
          <w:rFonts w:ascii="Arial" w:hAnsi="Arial" w:cs="Arial"/>
          <w:sz w:val="20"/>
          <w:szCs w:val="20"/>
        </w:rPr>
        <w:tab/>
        <w:t>Primero Laboral del Circuito.</w:t>
      </w:r>
    </w:p>
    <w:p w:rsidR="008E722C" w:rsidRPr="00DC3617" w:rsidRDefault="008E722C" w:rsidP="008E722C">
      <w:pPr>
        <w:jc w:val="both"/>
        <w:rPr>
          <w:rFonts w:ascii="Arial" w:hAnsi="Arial" w:cs="Arial"/>
          <w:sz w:val="20"/>
          <w:szCs w:val="20"/>
        </w:rPr>
      </w:pPr>
    </w:p>
    <w:p w:rsidR="008E722C" w:rsidRPr="00BB4F78" w:rsidRDefault="008E722C" w:rsidP="008E722C">
      <w:pPr>
        <w:pStyle w:val="Sinespaciado"/>
        <w:jc w:val="both"/>
        <w:rPr>
          <w:rFonts w:ascii="Arial" w:hAnsi="Arial" w:cs="Arial"/>
          <w:b/>
          <w:bCs/>
          <w:iCs/>
          <w:sz w:val="20"/>
          <w:szCs w:val="20"/>
          <w:lang w:eastAsia="fr-FR"/>
        </w:rPr>
      </w:pPr>
      <w:r w:rsidRPr="0078432A">
        <w:rPr>
          <w:rFonts w:ascii="Arial" w:hAnsi="Arial" w:cs="Arial"/>
          <w:b/>
          <w:bCs/>
          <w:iCs/>
          <w:sz w:val="20"/>
          <w:szCs w:val="20"/>
          <w:lang w:eastAsia="fr-FR"/>
        </w:rPr>
        <w:t>TEMAS:</w:t>
      </w:r>
      <w:r w:rsidRPr="0078432A">
        <w:rPr>
          <w:rFonts w:ascii="Arial" w:hAnsi="Arial" w:cs="Arial"/>
          <w:b/>
          <w:bCs/>
          <w:iCs/>
          <w:sz w:val="20"/>
          <w:szCs w:val="20"/>
          <w:lang w:eastAsia="fr-FR"/>
        </w:rPr>
        <w:tab/>
      </w:r>
      <w:r w:rsidR="004274CD">
        <w:rPr>
          <w:rFonts w:ascii="Arial" w:hAnsi="Arial" w:cs="Arial"/>
          <w:b/>
          <w:bCs/>
          <w:iCs/>
          <w:sz w:val="20"/>
          <w:szCs w:val="20"/>
          <w:lang w:eastAsia="fr-FR"/>
        </w:rPr>
        <w:t>INCIDENTE DE OPOSICIÓN AL SECUESTRO / TRÁNSITO DE LEGISLACIÓN PROCESAL / NORMA QUE RIGE SU TRÁMITE / ES LA VIGENTE AL MOMENTO DE INICIARSE EL INCIDENTE Y NO EL PROCESO.</w:t>
      </w:r>
    </w:p>
    <w:p w:rsidR="008E722C" w:rsidRDefault="008E722C" w:rsidP="008E722C">
      <w:pPr>
        <w:jc w:val="both"/>
        <w:rPr>
          <w:rFonts w:ascii="Arial" w:hAnsi="Arial" w:cs="Arial"/>
          <w:sz w:val="20"/>
          <w:szCs w:val="20"/>
        </w:rPr>
      </w:pPr>
    </w:p>
    <w:p w:rsidR="004274CD" w:rsidRPr="004274CD" w:rsidRDefault="004274CD" w:rsidP="004274CD">
      <w:pPr>
        <w:jc w:val="both"/>
        <w:rPr>
          <w:rFonts w:ascii="Arial" w:hAnsi="Arial" w:cs="Arial"/>
          <w:sz w:val="20"/>
          <w:szCs w:val="20"/>
        </w:rPr>
      </w:pPr>
      <w:r w:rsidRPr="004274CD">
        <w:rPr>
          <w:rFonts w:ascii="Arial" w:hAnsi="Arial" w:cs="Arial"/>
          <w:sz w:val="20"/>
          <w:szCs w:val="20"/>
        </w:rPr>
        <w:t>Discrepa el recurrente en la codificación que debe gobernar el trámite incidental que formuló, que considera debe ser el CGP, mientras que la primera instancia el CPC;  situación que tiene explicación en la fecha de iniciación del proceso ejecutivo en donde se formuló el incidente – 2006 – y la etapa en el que se encontraba al momento de entrar en vigencia el Código General del Proceso – sin notificar a la parte ejecutada, dada la nulidad parcial decretada del  mandamiento de pago, que dispuso notificarlo por estado, cuando debía ser personal.</w:t>
      </w:r>
    </w:p>
    <w:p w:rsidR="004274CD" w:rsidRPr="004274CD" w:rsidRDefault="004274CD" w:rsidP="004274CD">
      <w:pPr>
        <w:jc w:val="both"/>
        <w:rPr>
          <w:rFonts w:ascii="Arial" w:hAnsi="Arial" w:cs="Arial"/>
          <w:sz w:val="20"/>
          <w:szCs w:val="20"/>
        </w:rPr>
      </w:pPr>
    </w:p>
    <w:p w:rsidR="004274CD" w:rsidRPr="004274CD" w:rsidRDefault="004274CD" w:rsidP="004274CD">
      <w:pPr>
        <w:jc w:val="both"/>
        <w:rPr>
          <w:rFonts w:ascii="Arial" w:hAnsi="Arial" w:cs="Arial"/>
          <w:sz w:val="20"/>
          <w:szCs w:val="20"/>
        </w:rPr>
      </w:pPr>
      <w:r w:rsidRPr="004274CD">
        <w:rPr>
          <w:rFonts w:ascii="Arial" w:hAnsi="Arial" w:cs="Arial"/>
          <w:sz w:val="20"/>
          <w:szCs w:val="20"/>
        </w:rPr>
        <w:t>Sin embargo, se olvida que el trámite incidental es una cuestión accesoria al proceso ejecutivo o a cualquier otro proceso, por lo que poco importa la situación en que se encuentre el ejecutivo al momento de entrar a regir el CGP para fijar el camino a seguir en cuanto al incidente; pues este cuenta con normas propias, que son de carácter general que lo disciplinan (art. 121 y siguientes); de tal manera si hay algo que consultar, es la norma vigente al momento de elevarse la solicitud del incidente.</w:t>
      </w:r>
      <w:r w:rsidRPr="004274CD">
        <w:rPr>
          <w:rFonts w:ascii="Arial" w:hAnsi="Arial" w:cs="Arial"/>
          <w:sz w:val="20"/>
          <w:szCs w:val="20"/>
        </w:rPr>
        <w:t xml:space="preserve"> (…)</w:t>
      </w:r>
    </w:p>
    <w:p w:rsidR="004274CD" w:rsidRDefault="004274CD" w:rsidP="008E722C">
      <w:pPr>
        <w:jc w:val="both"/>
        <w:rPr>
          <w:rFonts w:ascii="Arial" w:hAnsi="Arial" w:cs="Arial"/>
          <w:sz w:val="20"/>
          <w:szCs w:val="20"/>
        </w:rPr>
      </w:pPr>
    </w:p>
    <w:p w:rsidR="004274CD" w:rsidRPr="004274CD" w:rsidRDefault="004274CD" w:rsidP="004274CD">
      <w:pPr>
        <w:jc w:val="both"/>
        <w:rPr>
          <w:rFonts w:ascii="Arial" w:hAnsi="Arial" w:cs="Arial"/>
          <w:sz w:val="20"/>
          <w:szCs w:val="20"/>
        </w:rPr>
      </w:pPr>
      <w:r w:rsidRPr="004274CD">
        <w:rPr>
          <w:rFonts w:ascii="Arial" w:hAnsi="Arial" w:cs="Arial"/>
          <w:sz w:val="20"/>
          <w:szCs w:val="20"/>
        </w:rPr>
        <w:t>Así el artículo 624 del Código General del Proceso, que modificó el artículo 40 de la Ley 153 de 1887, dispuso que la regla general es que las normas que fijen la sustanciación y ritualidades son las vigentes, esto es, prevalecen sobre las anteriores “desde el momento en que deben empezar a regir.”</w:t>
      </w:r>
    </w:p>
    <w:p w:rsidR="004274CD" w:rsidRPr="004274CD" w:rsidRDefault="004274CD" w:rsidP="004274CD">
      <w:pPr>
        <w:jc w:val="both"/>
        <w:rPr>
          <w:rFonts w:ascii="Arial" w:hAnsi="Arial" w:cs="Arial"/>
          <w:sz w:val="20"/>
          <w:szCs w:val="20"/>
        </w:rPr>
      </w:pPr>
      <w:r w:rsidRPr="004274CD">
        <w:rPr>
          <w:rFonts w:ascii="Arial" w:hAnsi="Arial" w:cs="Arial"/>
          <w:sz w:val="20"/>
          <w:szCs w:val="20"/>
        </w:rPr>
        <w:t xml:space="preserve"> </w:t>
      </w:r>
    </w:p>
    <w:p w:rsidR="004274CD" w:rsidRDefault="004274CD" w:rsidP="004274CD">
      <w:pPr>
        <w:jc w:val="both"/>
        <w:rPr>
          <w:rFonts w:ascii="Arial" w:hAnsi="Arial" w:cs="Arial"/>
          <w:sz w:val="20"/>
          <w:szCs w:val="20"/>
        </w:rPr>
      </w:pPr>
      <w:r w:rsidRPr="004274CD">
        <w:rPr>
          <w:rFonts w:ascii="Arial" w:hAnsi="Arial" w:cs="Arial"/>
          <w:sz w:val="20"/>
          <w:szCs w:val="20"/>
        </w:rPr>
        <w:t>Todo ello sin perjuicio de que se pueda aplicar la norma anterior, bajo la condición de que, en el caso concreto del incidente, se encuentre en curso; esto es, vigente al momento de presentarse el incidente; lo que reitera el numeral 5 del artículo 625 ib.</w:t>
      </w:r>
    </w:p>
    <w:p w:rsidR="005761C8" w:rsidRPr="009050FA" w:rsidRDefault="005761C8" w:rsidP="009050FA">
      <w:pPr>
        <w:jc w:val="both"/>
        <w:rPr>
          <w:rFonts w:ascii="Arial" w:hAnsi="Arial" w:cs="Arial"/>
          <w:sz w:val="20"/>
          <w:szCs w:val="20"/>
        </w:rPr>
      </w:pPr>
    </w:p>
    <w:p w:rsidR="009050FA" w:rsidRPr="009050FA" w:rsidRDefault="009050FA" w:rsidP="009050FA">
      <w:pPr>
        <w:jc w:val="both"/>
        <w:rPr>
          <w:rFonts w:ascii="Arial" w:hAnsi="Arial" w:cs="Arial"/>
          <w:sz w:val="20"/>
          <w:szCs w:val="20"/>
        </w:rPr>
      </w:pPr>
    </w:p>
    <w:p w:rsidR="00EE071F" w:rsidRPr="00EE071F" w:rsidRDefault="00EE071F" w:rsidP="00EE071F">
      <w:pPr>
        <w:jc w:val="both"/>
        <w:rPr>
          <w:rFonts w:ascii="Arial" w:hAnsi="Arial" w:cs="Arial"/>
          <w:sz w:val="20"/>
          <w:szCs w:val="20"/>
        </w:rPr>
      </w:pPr>
    </w:p>
    <w:p w:rsidR="00EA6AF9" w:rsidRDefault="00EA6AF9" w:rsidP="00EA6AF9">
      <w:pPr>
        <w:spacing w:line="276" w:lineRule="auto"/>
        <w:contextualSpacing/>
        <w:rPr>
          <w:rFonts w:ascii="Edwardian Script ITC" w:hAnsi="Edwardian Script ITC" w:cs="Arial"/>
          <w:b/>
          <w:sz w:val="44"/>
          <w:szCs w:val="44"/>
        </w:rPr>
      </w:pPr>
      <w:r w:rsidRPr="001A2C68">
        <w:rPr>
          <w:noProof/>
          <w:sz w:val="44"/>
          <w:szCs w:val="44"/>
        </w:rPr>
        <w:drawing>
          <wp:anchor distT="0" distB="0" distL="114300" distR="114300" simplePos="0" relativeHeight="251659264" behindDoc="0" locked="0" layoutInCell="1" allowOverlap="1" wp14:anchorId="6229E9E2" wp14:editId="7CFE61E2">
            <wp:simplePos x="0" y="0"/>
            <wp:positionH relativeFrom="column">
              <wp:posOffset>2425700</wp:posOffset>
            </wp:positionH>
            <wp:positionV relativeFrom="paragraph">
              <wp:posOffset>-222</wp:posOffset>
            </wp:positionV>
            <wp:extent cx="790575" cy="771525"/>
            <wp:effectExtent l="19050" t="0" r="952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0575" cy="771525"/>
                    </a:xfrm>
                    <a:prstGeom prst="rect">
                      <a:avLst/>
                    </a:prstGeom>
                    <a:noFill/>
                    <a:ln>
                      <a:noFill/>
                    </a:ln>
                  </pic:spPr>
                </pic:pic>
              </a:graphicData>
            </a:graphic>
          </wp:anchor>
        </w:drawing>
      </w:r>
    </w:p>
    <w:p w:rsidR="00EA6AF9" w:rsidRDefault="00EA6AF9" w:rsidP="00EA6AF9">
      <w:pPr>
        <w:spacing w:line="276" w:lineRule="auto"/>
        <w:contextualSpacing/>
        <w:rPr>
          <w:rFonts w:ascii="Edwardian Script ITC" w:hAnsi="Edwardian Script ITC" w:cs="Arial"/>
          <w:b/>
          <w:sz w:val="44"/>
          <w:szCs w:val="44"/>
        </w:rPr>
      </w:pPr>
    </w:p>
    <w:p w:rsidR="00EA6AF9" w:rsidRDefault="00EA6AF9" w:rsidP="00EA6AF9">
      <w:pPr>
        <w:pStyle w:val="Sinespaciado"/>
        <w:spacing w:line="276" w:lineRule="auto"/>
        <w:jc w:val="center"/>
      </w:pPr>
    </w:p>
    <w:p w:rsidR="00EA6AF9" w:rsidRPr="00EA6AF9" w:rsidRDefault="00EA6AF9" w:rsidP="00EA6AF9">
      <w:pPr>
        <w:pStyle w:val="Sinespaciado"/>
        <w:spacing w:line="276" w:lineRule="auto"/>
        <w:jc w:val="center"/>
        <w:rPr>
          <w:rFonts w:ascii="Arial" w:hAnsi="Arial" w:cs="Arial"/>
          <w:sz w:val="28"/>
          <w:szCs w:val="24"/>
        </w:rPr>
      </w:pPr>
      <w:r w:rsidRPr="00EA6AF9">
        <w:rPr>
          <w:rFonts w:ascii="Arial" w:hAnsi="Arial" w:cs="Arial"/>
          <w:sz w:val="28"/>
          <w:szCs w:val="24"/>
        </w:rPr>
        <w:t>RAMA JUDICIAL DEL PODER PÚBLICO</w:t>
      </w:r>
    </w:p>
    <w:p w:rsidR="00EA6AF9" w:rsidRPr="00EA6AF9" w:rsidRDefault="00EA6AF9" w:rsidP="00EA6AF9">
      <w:pPr>
        <w:pStyle w:val="Sinespaciado"/>
        <w:spacing w:line="276" w:lineRule="auto"/>
        <w:jc w:val="center"/>
        <w:rPr>
          <w:rFonts w:ascii="Arial" w:hAnsi="Arial" w:cs="Arial"/>
          <w:sz w:val="28"/>
          <w:szCs w:val="24"/>
        </w:rPr>
      </w:pPr>
      <w:r w:rsidRPr="00EA6AF9">
        <w:rPr>
          <w:rFonts w:ascii="Arial" w:hAnsi="Arial" w:cs="Arial"/>
          <w:sz w:val="28"/>
          <w:szCs w:val="24"/>
        </w:rPr>
        <w:t>TRIBUNAL SUPERIOR DEL DISTRITO JUDICIAL DE PEREIRA</w:t>
      </w:r>
    </w:p>
    <w:p w:rsidR="00EA6AF9" w:rsidRPr="00EA6AF9" w:rsidRDefault="00EA6AF9" w:rsidP="00EA6AF9">
      <w:pPr>
        <w:pStyle w:val="Sinespaciado"/>
        <w:spacing w:line="276" w:lineRule="auto"/>
        <w:jc w:val="center"/>
        <w:rPr>
          <w:rFonts w:ascii="Arial" w:hAnsi="Arial" w:cs="Arial"/>
          <w:sz w:val="28"/>
          <w:szCs w:val="24"/>
        </w:rPr>
      </w:pPr>
      <w:r w:rsidRPr="00EA6AF9">
        <w:rPr>
          <w:rFonts w:ascii="Arial" w:hAnsi="Arial" w:cs="Arial"/>
          <w:sz w:val="28"/>
          <w:szCs w:val="24"/>
        </w:rPr>
        <w:t>SALA SEGUNDA DE DECISIÓN LABORAL</w:t>
      </w:r>
    </w:p>
    <w:p w:rsidR="00EA6AF9" w:rsidRPr="00EA6AF9" w:rsidRDefault="00EA6AF9" w:rsidP="00EA6AF9">
      <w:pPr>
        <w:pStyle w:val="Sinespaciado"/>
        <w:spacing w:line="276" w:lineRule="auto"/>
        <w:jc w:val="both"/>
        <w:rPr>
          <w:rFonts w:ascii="Arial" w:hAnsi="Arial" w:cs="Arial"/>
          <w:b/>
          <w:sz w:val="24"/>
          <w:szCs w:val="24"/>
          <w:lang w:val="es-CO"/>
        </w:rPr>
      </w:pPr>
    </w:p>
    <w:p w:rsidR="00EA6AF9" w:rsidRPr="00EA6AF9" w:rsidRDefault="00EA6AF9" w:rsidP="00EA6AF9">
      <w:pPr>
        <w:pStyle w:val="Sinespaciado"/>
        <w:spacing w:line="276" w:lineRule="auto"/>
        <w:jc w:val="center"/>
        <w:rPr>
          <w:rFonts w:ascii="Arial" w:hAnsi="Arial" w:cs="Arial"/>
          <w:color w:val="000000"/>
          <w:sz w:val="24"/>
          <w:szCs w:val="24"/>
        </w:rPr>
      </w:pPr>
      <w:r w:rsidRPr="00EA6AF9">
        <w:rPr>
          <w:rFonts w:ascii="Arial" w:hAnsi="Arial" w:cs="Arial"/>
          <w:color w:val="000000"/>
          <w:sz w:val="24"/>
          <w:szCs w:val="24"/>
        </w:rPr>
        <w:t>Magistrada Sustanciadora</w:t>
      </w:r>
    </w:p>
    <w:p w:rsidR="00EA6AF9" w:rsidRPr="00EA6AF9" w:rsidRDefault="00EA6AF9" w:rsidP="00EA6AF9">
      <w:pPr>
        <w:pStyle w:val="Sinespaciado"/>
        <w:spacing w:line="276" w:lineRule="auto"/>
        <w:jc w:val="center"/>
        <w:rPr>
          <w:rFonts w:ascii="Arial" w:hAnsi="Arial" w:cs="Arial"/>
          <w:b/>
          <w:bCs/>
          <w:color w:val="000000"/>
          <w:sz w:val="24"/>
          <w:szCs w:val="24"/>
          <w:lang w:val="es-CO"/>
        </w:rPr>
      </w:pPr>
      <w:r w:rsidRPr="00EA6AF9">
        <w:rPr>
          <w:rFonts w:ascii="Arial" w:hAnsi="Arial" w:cs="Arial"/>
          <w:b/>
          <w:bCs/>
          <w:color w:val="000000"/>
          <w:sz w:val="24"/>
          <w:szCs w:val="24"/>
          <w:lang w:val="es-CO"/>
        </w:rPr>
        <w:t>OLGA LUCÍA HOYOS SEPÚLVEDA</w:t>
      </w:r>
    </w:p>
    <w:p w:rsidR="00EA6AF9" w:rsidRPr="00EA6AF9" w:rsidRDefault="00EA6AF9" w:rsidP="00EA6AF9">
      <w:pPr>
        <w:pStyle w:val="Sinespaciado"/>
        <w:spacing w:line="276" w:lineRule="auto"/>
        <w:jc w:val="both"/>
        <w:rPr>
          <w:rFonts w:ascii="Arial" w:hAnsi="Arial" w:cs="Arial"/>
          <w:color w:val="000000"/>
          <w:sz w:val="24"/>
          <w:szCs w:val="24"/>
          <w:lang w:val="es-CO"/>
        </w:rPr>
      </w:pPr>
    </w:p>
    <w:p w:rsidR="00EA6AF9" w:rsidRPr="00EA6AF9" w:rsidRDefault="00EA6AF9" w:rsidP="00EA6AF9">
      <w:pPr>
        <w:spacing w:line="276" w:lineRule="auto"/>
        <w:contextualSpacing/>
        <w:jc w:val="center"/>
        <w:rPr>
          <w:rFonts w:ascii="Arial" w:hAnsi="Arial" w:cs="Arial"/>
        </w:rPr>
      </w:pPr>
      <w:r w:rsidRPr="00EA6AF9">
        <w:rPr>
          <w:rFonts w:ascii="Arial" w:hAnsi="Arial" w:cs="Arial"/>
        </w:rPr>
        <w:t>Pereira, Risaralda, cuatro (4) de diciembre de dos mil dieciocho (2018)</w:t>
      </w:r>
    </w:p>
    <w:p w:rsidR="00EA6AF9" w:rsidRPr="00EA6AF9" w:rsidRDefault="00EA6AF9" w:rsidP="00EA6AF9">
      <w:pPr>
        <w:spacing w:line="276" w:lineRule="auto"/>
        <w:contextualSpacing/>
        <w:jc w:val="center"/>
        <w:rPr>
          <w:rFonts w:ascii="Arial" w:hAnsi="Arial" w:cs="Arial"/>
        </w:rPr>
      </w:pPr>
      <w:r w:rsidRPr="00EA6AF9">
        <w:rPr>
          <w:rFonts w:ascii="Arial" w:hAnsi="Arial" w:cs="Arial"/>
        </w:rPr>
        <w:t xml:space="preserve"> </w:t>
      </w:r>
    </w:p>
    <w:p w:rsidR="00EA6AF9" w:rsidRPr="00EA6AF9" w:rsidRDefault="00EA6AF9" w:rsidP="00EA6AF9">
      <w:pPr>
        <w:widowControl w:val="0"/>
        <w:autoSpaceDE w:val="0"/>
        <w:autoSpaceDN w:val="0"/>
        <w:adjustRightInd w:val="0"/>
        <w:spacing w:line="276" w:lineRule="auto"/>
        <w:jc w:val="both"/>
        <w:rPr>
          <w:rFonts w:ascii="Arial" w:hAnsi="Arial" w:cs="Arial"/>
          <w:lang w:val="es-CO"/>
        </w:rPr>
      </w:pPr>
      <w:r w:rsidRPr="00EA6AF9">
        <w:rPr>
          <w:rFonts w:ascii="Arial" w:eastAsia="Calibri" w:hAnsi="Arial" w:cs="Arial"/>
          <w:lang w:eastAsia="en-US"/>
        </w:rPr>
        <w:t>Procede</w:t>
      </w:r>
      <w:r w:rsidRPr="00EA6AF9">
        <w:rPr>
          <w:rFonts w:ascii="Arial" w:eastAsia="Calibri" w:hAnsi="Arial" w:cs="Arial"/>
          <w:lang w:val="es-CO" w:eastAsia="en-US"/>
        </w:rPr>
        <w:t xml:space="preserve"> </w:t>
      </w:r>
      <w:r w:rsidRPr="00EA6AF9">
        <w:rPr>
          <w:rFonts w:ascii="Arial" w:hAnsi="Arial" w:cs="Arial"/>
          <w:bCs/>
          <w:color w:val="000000"/>
          <w:lang w:eastAsia="es-CO"/>
        </w:rPr>
        <w:t>la Sala a resolver el recurso de apelación del</w:t>
      </w:r>
      <w:r w:rsidRPr="00EA6AF9">
        <w:rPr>
          <w:rFonts w:ascii="Arial" w:hAnsi="Arial" w:cs="Arial"/>
        </w:rPr>
        <w:t xml:space="preserve"> auto proferido el 24 de agosto de 2018 por el Juzgado Primero Laboral del Circuito de Pereira, a través del cual  fijó una caución a cargo de la </w:t>
      </w:r>
      <w:proofErr w:type="spellStart"/>
      <w:r w:rsidRPr="00EA6AF9">
        <w:rPr>
          <w:rFonts w:ascii="Arial" w:hAnsi="Arial" w:cs="Arial"/>
        </w:rPr>
        <w:t>incidentista</w:t>
      </w:r>
      <w:proofErr w:type="spellEnd"/>
      <w:r w:rsidRPr="00EA6AF9">
        <w:rPr>
          <w:rFonts w:ascii="Arial" w:hAnsi="Arial" w:cs="Arial"/>
        </w:rPr>
        <w:t xml:space="preserve">, dentro del proceso de la referencia. </w:t>
      </w:r>
    </w:p>
    <w:p w:rsidR="00EA6AF9" w:rsidRDefault="00EA6AF9" w:rsidP="00EA6AF9">
      <w:pPr>
        <w:widowControl w:val="0"/>
        <w:autoSpaceDE w:val="0"/>
        <w:autoSpaceDN w:val="0"/>
        <w:adjustRightInd w:val="0"/>
        <w:spacing w:line="276" w:lineRule="auto"/>
        <w:jc w:val="both"/>
        <w:rPr>
          <w:rFonts w:ascii="Arial" w:hAnsi="Arial" w:cs="Arial"/>
        </w:rPr>
      </w:pPr>
    </w:p>
    <w:p w:rsidR="000B43D9" w:rsidRPr="00EA6AF9" w:rsidRDefault="000B43D9" w:rsidP="00EA6AF9">
      <w:pPr>
        <w:widowControl w:val="0"/>
        <w:autoSpaceDE w:val="0"/>
        <w:autoSpaceDN w:val="0"/>
        <w:adjustRightInd w:val="0"/>
        <w:spacing w:line="276" w:lineRule="auto"/>
        <w:jc w:val="both"/>
        <w:rPr>
          <w:rFonts w:ascii="Arial" w:hAnsi="Arial" w:cs="Arial"/>
        </w:rPr>
      </w:pPr>
    </w:p>
    <w:p w:rsidR="00EA6AF9" w:rsidRPr="00EA6AF9" w:rsidRDefault="00EA6AF9" w:rsidP="00EA6AF9">
      <w:pPr>
        <w:pStyle w:val="Sinespaciado"/>
        <w:spacing w:line="276" w:lineRule="auto"/>
        <w:jc w:val="center"/>
        <w:rPr>
          <w:rStyle w:val="Textoennegrita"/>
          <w:rFonts w:ascii="Arial" w:hAnsi="Arial" w:cs="Arial"/>
          <w:sz w:val="24"/>
          <w:szCs w:val="24"/>
        </w:rPr>
      </w:pPr>
      <w:r w:rsidRPr="00EA6AF9">
        <w:rPr>
          <w:rStyle w:val="Textoennegrita"/>
          <w:rFonts w:ascii="Arial" w:hAnsi="Arial" w:cs="Arial"/>
          <w:sz w:val="24"/>
          <w:szCs w:val="24"/>
        </w:rPr>
        <w:lastRenderedPageBreak/>
        <w:t>ANTECEDENTES</w:t>
      </w:r>
    </w:p>
    <w:p w:rsidR="00EA6AF9" w:rsidRPr="00EA6AF9" w:rsidRDefault="00EA6AF9" w:rsidP="00EA6AF9">
      <w:pPr>
        <w:pStyle w:val="Sinespaciado"/>
        <w:spacing w:line="276" w:lineRule="auto"/>
        <w:jc w:val="center"/>
        <w:rPr>
          <w:rStyle w:val="Textoennegrita"/>
          <w:rFonts w:ascii="Arial" w:hAnsi="Arial" w:cs="Arial"/>
          <w:bCs w:val="0"/>
          <w:sz w:val="24"/>
          <w:szCs w:val="24"/>
        </w:rPr>
      </w:pPr>
    </w:p>
    <w:p w:rsidR="00EA6AF9" w:rsidRPr="00EA6AF9" w:rsidRDefault="00EA6AF9" w:rsidP="00EA6AF9">
      <w:pPr>
        <w:spacing w:line="276" w:lineRule="auto"/>
        <w:contextualSpacing/>
        <w:jc w:val="both"/>
        <w:rPr>
          <w:rFonts w:ascii="Arial" w:hAnsi="Arial" w:cs="Arial"/>
        </w:rPr>
      </w:pPr>
      <w:r w:rsidRPr="00EA6AF9">
        <w:rPr>
          <w:rFonts w:ascii="Arial" w:hAnsi="Arial" w:cs="Arial"/>
          <w:b/>
        </w:rPr>
        <w:t xml:space="preserve">1. Crónica procesal </w:t>
      </w:r>
    </w:p>
    <w:p w:rsidR="00EA6AF9" w:rsidRPr="00EA6AF9" w:rsidRDefault="00EA6AF9" w:rsidP="00EA6AF9">
      <w:pPr>
        <w:spacing w:line="276" w:lineRule="auto"/>
        <w:contextualSpacing/>
        <w:jc w:val="both"/>
        <w:rPr>
          <w:rFonts w:ascii="Arial" w:hAnsi="Arial" w:cs="Arial"/>
          <w:b/>
        </w:rPr>
      </w:pPr>
    </w:p>
    <w:p w:rsidR="00EA6AF9" w:rsidRPr="00EA6AF9" w:rsidRDefault="00EA6AF9" w:rsidP="00EA6AF9">
      <w:pPr>
        <w:spacing w:line="276" w:lineRule="auto"/>
        <w:contextualSpacing/>
        <w:jc w:val="both"/>
        <w:rPr>
          <w:rFonts w:ascii="Arial" w:hAnsi="Arial" w:cs="Arial"/>
        </w:rPr>
      </w:pPr>
      <w:r w:rsidRPr="00EA6AF9">
        <w:rPr>
          <w:rFonts w:ascii="Arial" w:hAnsi="Arial" w:cs="Arial"/>
        </w:rPr>
        <w:t xml:space="preserve">1.1. El 9-08-2006 el juzgado libró mandamiento de pago a favor de Luz Mery Ospina López y en contra de Inversiones Miraflores </w:t>
      </w:r>
      <w:proofErr w:type="spellStart"/>
      <w:r w:rsidRPr="00EA6AF9">
        <w:rPr>
          <w:rFonts w:ascii="Arial" w:hAnsi="Arial" w:cs="Arial"/>
        </w:rPr>
        <w:t>Ltda</w:t>
      </w:r>
      <w:proofErr w:type="spellEnd"/>
      <w:r w:rsidRPr="00EA6AF9">
        <w:rPr>
          <w:rFonts w:ascii="Arial" w:hAnsi="Arial" w:cs="Arial"/>
        </w:rPr>
        <w:t xml:space="preserve">, Gilberto de Jesús Muñoz Agudelo, Antonio José Esquivel Campo y Daniel Raúl Estrada Maya. </w:t>
      </w:r>
    </w:p>
    <w:p w:rsidR="00EA6AF9" w:rsidRPr="00EA6AF9" w:rsidRDefault="00EA6AF9" w:rsidP="00EA6AF9">
      <w:pPr>
        <w:spacing w:line="276" w:lineRule="auto"/>
        <w:contextualSpacing/>
        <w:jc w:val="both"/>
        <w:rPr>
          <w:rFonts w:ascii="Arial" w:hAnsi="Arial" w:cs="Arial"/>
        </w:rPr>
      </w:pPr>
    </w:p>
    <w:p w:rsidR="00EA6AF9" w:rsidRPr="00EA6AF9" w:rsidRDefault="00EA6AF9" w:rsidP="00EA6AF9">
      <w:pPr>
        <w:spacing w:line="276" w:lineRule="auto"/>
        <w:contextualSpacing/>
        <w:jc w:val="both"/>
        <w:rPr>
          <w:rFonts w:ascii="Arial" w:hAnsi="Arial" w:cs="Arial"/>
        </w:rPr>
      </w:pPr>
      <w:r w:rsidRPr="00EA6AF9">
        <w:rPr>
          <w:rFonts w:ascii="Arial" w:hAnsi="Arial" w:cs="Arial"/>
        </w:rPr>
        <w:t>Igualmente, ordenó la práctica del embargo de la cuota parte equivalente al 50% de los bienes inmuebles identificados con las matrículas inmobiliarias 290-9662, 290-142094, 290-47147 de propiedad de Gilberto de Jesús Muñoz; registrado se dispuso su secuestro por proveído del 21-02-2018.</w:t>
      </w:r>
    </w:p>
    <w:p w:rsidR="00EA6AF9" w:rsidRPr="00EA6AF9" w:rsidRDefault="00EA6AF9" w:rsidP="00EA6AF9">
      <w:pPr>
        <w:spacing w:line="276" w:lineRule="auto"/>
        <w:contextualSpacing/>
        <w:jc w:val="both"/>
        <w:rPr>
          <w:rFonts w:ascii="Arial" w:hAnsi="Arial" w:cs="Arial"/>
        </w:rPr>
      </w:pPr>
    </w:p>
    <w:p w:rsidR="00EA6AF9" w:rsidRPr="00EA6AF9" w:rsidRDefault="00EA6AF9" w:rsidP="00EA6AF9">
      <w:pPr>
        <w:spacing w:line="276" w:lineRule="auto"/>
        <w:contextualSpacing/>
        <w:jc w:val="both"/>
        <w:rPr>
          <w:rFonts w:ascii="Arial" w:hAnsi="Arial" w:cs="Arial"/>
        </w:rPr>
      </w:pPr>
      <w:r w:rsidRPr="00EA6AF9">
        <w:rPr>
          <w:rFonts w:ascii="Arial" w:hAnsi="Arial" w:cs="Arial"/>
        </w:rPr>
        <w:t xml:space="preserve">1.2. El día 16-04-2018 se llevó a cabo el secuestro de los tres bienes, diligencia que fue atendida por Gabriel Isaac Muñoz García. </w:t>
      </w:r>
    </w:p>
    <w:p w:rsidR="00EA6AF9" w:rsidRPr="00EA6AF9" w:rsidRDefault="00EA6AF9" w:rsidP="00EA6AF9">
      <w:pPr>
        <w:spacing w:line="276" w:lineRule="auto"/>
        <w:contextualSpacing/>
        <w:jc w:val="both"/>
        <w:rPr>
          <w:rFonts w:ascii="Arial" w:hAnsi="Arial" w:cs="Arial"/>
        </w:rPr>
      </w:pPr>
    </w:p>
    <w:p w:rsidR="00EA6AF9" w:rsidRPr="00EA6AF9" w:rsidRDefault="00EA6AF9" w:rsidP="00EA6AF9">
      <w:pPr>
        <w:spacing w:line="276" w:lineRule="auto"/>
        <w:contextualSpacing/>
        <w:jc w:val="both"/>
        <w:rPr>
          <w:rFonts w:ascii="Arial" w:hAnsi="Arial" w:cs="Arial"/>
        </w:rPr>
      </w:pPr>
      <w:r w:rsidRPr="00EA6AF9">
        <w:rPr>
          <w:rFonts w:ascii="Arial" w:hAnsi="Arial" w:cs="Arial"/>
        </w:rPr>
        <w:t>1.3. El 23-04-2018, la señora María Aurora García Ospina, a través de apoderado judicial, instauró incidente de oposición contra la diligencia de embargo y secuestro al afirmar que es poseedora del 50% de los inmuebles y  propietaria del restante. Solicitó además se realice control de legalidad de la diligencia.</w:t>
      </w:r>
    </w:p>
    <w:p w:rsidR="00EA6AF9" w:rsidRPr="00EA6AF9" w:rsidRDefault="00EA6AF9" w:rsidP="00EA6AF9">
      <w:pPr>
        <w:spacing w:line="276" w:lineRule="auto"/>
        <w:contextualSpacing/>
        <w:jc w:val="both"/>
        <w:rPr>
          <w:rFonts w:ascii="Arial" w:hAnsi="Arial" w:cs="Arial"/>
        </w:rPr>
      </w:pPr>
    </w:p>
    <w:p w:rsidR="00EA6AF9" w:rsidRPr="00EA6AF9" w:rsidRDefault="00EA6AF9" w:rsidP="00EA6AF9">
      <w:pPr>
        <w:spacing w:line="276" w:lineRule="auto"/>
        <w:contextualSpacing/>
        <w:jc w:val="both"/>
        <w:rPr>
          <w:rFonts w:ascii="Arial" w:hAnsi="Arial" w:cs="Arial"/>
          <w:b/>
        </w:rPr>
      </w:pPr>
      <w:r w:rsidRPr="00EA6AF9">
        <w:rPr>
          <w:rFonts w:ascii="Arial" w:hAnsi="Arial" w:cs="Arial"/>
          <w:b/>
        </w:rPr>
        <w:t>2. Auto apelado</w:t>
      </w:r>
    </w:p>
    <w:p w:rsidR="00EA6AF9" w:rsidRDefault="00EA6AF9" w:rsidP="00EA6AF9">
      <w:pPr>
        <w:spacing w:line="276" w:lineRule="auto"/>
        <w:contextualSpacing/>
        <w:jc w:val="both"/>
        <w:rPr>
          <w:rFonts w:ascii="Arial" w:hAnsi="Arial" w:cs="Arial"/>
        </w:rPr>
      </w:pPr>
    </w:p>
    <w:p w:rsidR="00EA6AF9" w:rsidRPr="00EA6AF9" w:rsidRDefault="00EA6AF9" w:rsidP="00EA6AF9">
      <w:pPr>
        <w:spacing w:line="276" w:lineRule="auto"/>
        <w:contextualSpacing/>
        <w:jc w:val="both"/>
        <w:rPr>
          <w:rFonts w:ascii="Arial" w:hAnsi="Arial" w:cs="Arial"/>
        </w:rPr>
      </w:pPr>
      <w:r w:rsidRPr="00EA6AF9">
        <w:rPr>
          <w:rFonts w:ascii="Arial" w:hAnsi="Arial" w:cs="Arial"/>
        </w:rPr>
        <w:t>El 23-08-2018 el Juzgado Primero Laboral del Circuito declaró la improcedencia de la ilegalidad solicitada y fijó caución en  la suma de $6’249.936 que debe pagar la peticionaria, so pena de rechazarse el trámite incidental.</w:t>
      </w:r>
    </w:p>
    <w:p w:rsidR="00EA6AF9" w:rsidRPr="00EA6AF9" w:rsidRDefault="00EA6AF9" w:rsidP="00EA6AF9">
      <w:pPr>
        <w:spacing w:line="276" w:lineRule="auto"/>
        <w:contextualSpacing/>
        <w:jc w:val="both"/>
        <w:rPr>
          <w:rFonts w:ascii="Arial" w:hAnsi="Arial" w:cs="Arial"/>
        </w:rPr>
      </w:pPr>
    </w:p>
    <w:p w:rsidR="00EA6AF9" w:rsidRPr="00EA6AF9" w:rsidRDefault="00EA6AF9" w:rsidP="00EA6AF9">
      <w:pPr>
        <w:spacing w:line="276" w:lineRule="auto"/>
        <w:contextualSpacing/>
        <w:jc w:val="both"/>
        <w:rPr>
          <w:rFonts w:ascii="Arial" w:hAnsi="Arial" w:cs="Arial"/>
        </w:rPr>
      </w:pPr>
      <w:r w:rsidRPr="00EA6AF9">
        <w:rPr>
          <w:rFonts w:ascii="Arial" w:hAnsi="Arial" w:cs="Arial"/>
        </w:rPr>
        <w:t>Posición que reiteró, en proveído mediante el cual resolvió el recurso de reposición, al considerar que de conformidad con el artículo 625 del CGP, la norma aplicable a este asunto es el Código de Procedimiento Civil, al haber iniciado el proceso ejecutivo antes de entrar a regir el CGP, sin que se hubiere ordenado seguir adelante la ejecución.</w:t>
      </w:r>
    </w:p>
    <w:p w:rsidR="00EA6AF9" w:rsidRPr="00EA6AF9" w:rsidRDefault="00EA6AF9" w:rsidP="00EA6AF9">
      <w:pPr>
        <w:spacing w:line="276" w:lineRule="auto"/>
        <w:contextualSpacing/>
        <w:jc w:val="both"/>
        <w:rPr>
          <w:rFonts w:ascii="Arial" w:hAnsi="Arial" w:cs="Arial"/>
        </w:rPr>
      </w:pPr>
    </w:p>
    <w:p w:rsidR="00EA6AF9" w:rsidRPr="00EA6AF9" w:rsidRDefault="00EA6AF9" w:rsidP="00EA6AF9">
      <w:pPr>
        <w:spacing w:line="276" w:lineRule="auto"/>
        <w:contextualSpacing/>
        <w:jc w:val="both"/>
        <w:rPr>
          <w:rFonts w:ascii="Arial" w:hAnsi="Arial" w:cs="Arial"/>
          <w:b/>
        </w:rPr>
      </w:pPr>
      <w:r w:rsidRPr="00EA6AF9">
        <w:rPr>
          <w:rFonts w:ascii="Arial" w:hAnsi="Arial" w:cs="Arial"/>
          <w:b/>
        </w:rPr>
        <w:t>3. Síntesis del recurso de apelación</w:t>
      </w:r>
    </w:p>
    <w:p w:rsidR="00EA6AF9" w:rsidRPr="00EA6AF9" w:rsidRDefault="00EA6AF9" w:rsidP="00EA6AF9">
      <w:pPr>
        <w:spacing w:line="276" w:lineRule="auto"/>
        <w:contextualSpacing/>
        <w:jc w:val="both"/>
        <w:rPr>
          <w:rFonts w:ascii="Arial" w:hAnsi="Arial" w:cs="Arial"/>
        </w:rPr>
      </w:pPr>
    </w:p>
    <w:p w:rsidR="00EA6AF9" w:rsidRPr="00EA6AF9" w:rsidRDefault="00EA6AF9" w:rsidP="00EA6AF9">
      <w:pPr>
        <w:spacing w:line="276" w:lineRule="auto"/>
        <w:contextualSpacing/>
        <w:jc w:val="both"/>
        <w:rPr>
          <w:rFonts w:ascii="Arial" w:hAnsi="Arial" w:cs="Arial"/>
        </w:rPr>
      </w:pPr>
      <w:r w:rsidRPr="00EA6AF9">
        <w:rPr>
          <w:rFonts w:ascii="Arial" w:hAnsi="Arial" w:cs="Arial"/>
        </w:rPr>
        <w:t xml:space="preserve">Inconforme con la decisión, la apeló en subsidio y expuso que el juez se equivoca en aplicar el CPC, dado que toda la actuación debe surtirse con el CGP al entrar en vigencia el 12-07-2012 en forma gradual y definitivamente a partir del 1-01-2016; por lo que el sustento de la caución, artículo 687 del CPC, no está vigente, siendo aplicable el artículo 697 del CGP que no la exige para dar inicio al incidente; por lo que solicita se deje sin efecto la caución. </w:t>
      </w:r>
    </w:p>
    <w:p w:rsidR="00EA6AF9" w:rsidRDefault="00EA6AF9" w:rsidP="00EA6AF9">
      <w:pPr>
        <w:spacing w:line="276" w:lineRule="auto"/>
        <w:contextualSpacing/>
        <w:jc w:val="both"/>
        <w:rPr>
          <w:rFonts w:ascii="Arial" w:hAnsi="Arial" w:cs="Arial"/>
        </w:rPr>
      </w:pPr>
    </w:p>
    <w:p w:rsidR="000B43D9" w:rsidRPr="00EA6AF9" w:rsidRDefault="000B43D9" w:rsidP="00EA6AF9">
      <w:pPr>
        <w:spacing w:line="276" w:lineRule="auto"/>
        <w:contextualSpacing/>
        <w:jc w:val="both"/>
        <w:rPr>
          <w:rFonts w:ascii="Arial" w:hAnsi="Arial" w:cs="Arial"/>
        </w:rPr>
      </w:pPr>
    </w:p>
    <w:p w:rsidR="00EA6AF9" w:rsidRPr="00EA6AF9" w:rsidRDefault="00EA6AF9" w:rsidP="00EA6AF9">
      <w:pPr>
        <w:pStyle w:val="Sinespaciado"/>
        <w:spacing w:line="276" w:lineRule="auto"/>
        <w:jc w:val="center"/>
        <w:rPr>
          <w:rFonts w:ascii="Arial" w:hAnsi="Arial" w:cs="Arial"/>
          <w:b/>
          <w:sz w:val="24"/>
          <w:szCs w:val="24"/>
        </w:rPr>
      </w:pPr>
      <w:r w:rsidRPr="00EA6AF9">
        <w:rPr>
          <w:rFonts w:ascii="Arial" w:hAnsi="Arial" w:cs="Arial"/>
          <w:b/>
          <w:sz w:val="24"/>
          <w:szCs w:val="24"/>
        </w:rPr>
        <w:t>CONSIDERACIONES</w:t>
      </w:r>
    </w:p>
    <w:p w:rsidR="00EA6AF9" w:rsidRPr="00EA6AF9" w:rsidRDefault="00EA6AF9" w:rsidP="00EA6AF9">
      <w:pPr>
        <w:pStyle w:val="Sinespaciado"/>
        <w:spacing w:line="276" w:lineRule="auto"/>
        <w:jc w:val="both"/>
        <w:rPr>
          <w:rFonts w:ascii="Arial" w:hAnsi="Arial" w:cs="Arial"/>
          <w:b/>
          <w:sz w:val="24"/>
          <w:szCs w:val="24"/>
        </w:rPr>
      </w:pPr>
    </w:p>
    <w:p w:rsidR="00EA6AF9" w:rsidRPr="00EA6AF9" w:rsidRDefault="00EA6AF9" w:rsidP="00EA6AF9">
      <w:pPr>
        <w:pStyle w:val="Sinespaciado"/>
        <w:spacing w:line="276" w:lineRule="auto"/>
        <w:jc w:val="both"/>
        <w:rPr>
          <w:rFonts w:ascii="Arial" w:hAnsi="Arial" w:cs="Arial"/>
          <w:b/>
          <w:sz w:val="24"/>
          <w:szCs w:val="24"/>
        </w:rPr>
      </w:pPr>
      <w:r w:rsidRPr="00EA6AF9">
        <w:rPr>
          <w:rFonts w:ascii="Arial" w:hAnsi="Arial" w:cs="Arial"/>
          <w:b/>
          <w:sz w:val="24"/>
          <w:szCs w:val="24"/>
        </w:rPr>
        <w:t>1. Problema jurídico</w:t>
      </w:r>
    </w:p>
    <w:p w:rsidR="00EA6AF9" w:rsidRPr="00EA6AF9" w:rsidRDefault="00EA6AF9" w:rsidP="00EA6AF9">
      <w:pPr>
        <w:pStyle w:val="Sinespaciado"/>
        <w:spacing w:line="276" w:lineRule="auto"/>
        <w:jc w:val="both"/>
        <w:rPr>
          <w:rFonts w:ascii="Arial" w:hAnsi="Arial" w:cs="Arial"/>
          <w:b/>
          <w:sz w:val="24"/>
          <w:szCs w:val="24"/>
        </w:rPr>
      </w:pPr>
    </w:p>
    <w:p w:rsidR="00EA6AF9" w:rsidRPr="00EA6AF9" w:rsidRDefault="00EA6AF9" w:rsidP="00EA6AF9">
      <w:pPr>
        <w:suppressAutoHyphens/>
        <w:spacing w:line="276" w:lineRule="auto"/>
        <w:jc w:val="both"/>
        <w:rPr>
          <w:rFonts w:ascii="Arial" w:hAnsi="Arial" w:cs="Arial"/>
        </w:rPr>
      </w:pPr>
      <w:r w:rsidRPr="00EA6AF9">
        <w:rPr>
          <w:rFonts w:ascii="Arial" w:hAnsi="Arial" w:cs="Arial"/>
        </w:rPr>
        <w:t>De acuerdo con lo anterior, la Sala plantea el siguiente:</w:t>
      </w:r>
    </w:p>
    <w:p w:rsidR="00EA6AF9" w:rsidRPr="00EA6AF9" w:rsidRDefault="00EA6AF9" w:rsidP="00EA6AF9">
      <w:pPr>
        <w:pStyle w:val="Textoindependiente"/>
        <w:spacing w:line="276" w:lineRule="auto"/>
        <w:contextualSpacing/>
        <w:rPr>
          <w:rFonts w:cs="Arial"/>
          <w:bCs/>
          <w:iCs/>
          <w:sz w:val="24"/>
          <w:szCs w:val="24"/>
          <w:lang w:val="es-ES"/>
        </w:rPr>
      </w:pPr>
    </w:p>
    <w:p w:rsidR="00EA6AF9" w:rsidRPr="00EA6AF9" w:rsidRDefault="00EA6AF9" w:rsidP="00EA6AF9">
      <w:pPr>
        <w:pStyle w:val="Textoindependiente"/>
        <w:spacing w:line="276" w:lineRule="auto"/>
        <w:contextualSpacing/>
        <w:rPr>
          <w:rFonts w:cs="Arial"/>
          <w:bCs/>
          <w:iCs/>
          <w:sz w:val="24"/>
          <w:szCs w:val="24"/>
          <w:lang w:val="es-CO"/>
        </w:rPr>
      </w:pPr>
      <w:r w:rsidRPr="00EA6AF9">
        <w:rPr>
          <w:rFonts w:cs="Arial"/>
          <w:bCs/>
          <w:iCs/>
          <w:sz w:val="24"/>
          <w:szCs w:val="24"/>
          <w:lang w:val="es-CO"/>
        </w:rPr>
        <w:t xml:space="preserve">(i) ¿Teniendo en cuenta la transición realizada entre el Código de Procedimiento Civil y el Código General del Proceso, bajo qué disposición debió tramitarse el incidente de oposición al secuestre interpuesto por la señora  María Aurora García Ospina, dentro del proceso ejecutivo promovido por la señora Luz Mery Ospina López contra Inversiones </w:t>
      </w:r>
      <w:proofErr w:type="spellStart"/>
      <w:r w:rsidRPr="00EA6AF9">
        <w:rPr>
          <w:rFonts w:cs="Arial"/>
          <w:bCs/>
          <w:iCs/>
          <w:sz w:val="24"/>
          <w:szCs w:val="24"/>
          <w:lang w:val="es-CO"/>
        </w:rPr>
        <w:t>Miraflorez</w:t>
      </w:r>
      <w:proofErr w:type="spellEnd"/>
      <w:r w:rsidRPr="00EA6AF9">
        <w:rPr>
          <w:rFonts w:cs="Arial"/>
          <w:bCs/>
          <w:iCs/>
          <w:sz w:val="24"/>
          <w:szCs w:val="24"/>
          <w:lang w:val="es-CO"/>
        </w:rPr>
        <w:t xml:space="preserve"> Ltda.?</w:t>
      </w:r>
    </w:p>
    <w:p w:rsidR="00EA6AF9" w:rsidRPr="00EA6AF9" w:rsidRDefault="00EA6AF9" w:rsidP="00EA6AF9">
      <w:pPr>
        <w:pStyle w:val="Textoindependiente"/>
        <w:spacing w:line="276" w:lineRule="auto"/>
        <w:contextualSpacing/>
        <w:rPr>
          <w:rFonts w:cs="Arial"/>
          <w:bCs/>
          <w:iCs/>
          <w:sz w:val="24"/>
          <w:szCs w:val="24"/>
          <w:lang w:val="es-CO"/>
        </w:rPr>
      </w:pPr>
    </w:p>
    <w:p w:rsidR="00EA6AF9" w:rsidRPr="00EA6AF9" w:rsidRDefault="00EA6AF9" w:rsidP="00EA6AF9">
      <w:pPr>
        <w:pStyle w:val="Textoindependiente"/>
        <w:spacing w:line="276" w:lineRule="auto"/>
        <w:contextualSpacing/>
        <w:rPr>
          <w:rFonts w:cs="Arial"/>
          <w:bCs/>
          <w:iCs/>
          <w:sz w:val="24"/>
          <w:szCs w:val="24"/>
          <w:lang w:val="es-CO"/>
        </w:rPr>
      </w:pPr>
      <w:r w:rsidRPr="00EA6AF9">
        <w:rPr>
          <w:rFonts w:cs="Arial"/>
          <w:bCs/>
          <w:iCs/>
          <w:sz w:val="24"/>
          <w:szCs w:val="24"/>
          <w:lang w:val="es-CO"/>
        </w:rPr>
        <w:t>(ii) Dependiendo de la respuesta anterior, ¿Es procedente fijar caución para dar curso al incidente?</w:t>
      </w:r>
    </w:p>
    <w:p w:rsidR="00EA6AF9" w:rsidRPr="00EA6AF9" w:rsidRDefault="00EA6AF9" w:rsidP="00EA6AF9">
      <w:pPr>
        <w:pStyle w:val="Textoindependiente"/>
        <w:spacing w:line="276" w:lineRule="auto"/>
        <w:contextualSpacing/>
        <w:rPr>
          <w:rFonts w:cs="Arial"/>
          <w:bCs/>
          <w:iCs/>
          <w:sz w:val="24"/>
          <w:szCs w:val="24"/>
          <w:lang w:val="es-CO"/>
        </w:rPr>
      </w:pPr>
    </w:p>
    <w:p w:rsidR="00EA6AF9" w:rsidRPr="00EA6AF9" w:rsidRDefault="00EA6AF9" w:rsidP="00EA6AF9">
      <w:pPr>
        <w:pStyle w:val="Sinespaciado"/>
        <w:spacing w:line="276" w:lineRule="auto"/>
        <w:jc w:val="both"/>
        <w:rPr>
          <w:rFonts w:ascii="Arial" w:hAnsi="Arial" w:cs="Arial"/>
          <w:b/>
          <w:sz w:val="24"/>
          <w:szCs w:val="24"/>
        </w:rPr>
      </w:pPr>
      <w:r w:rsidRPr="00EA6AF9">
        <w:rPr>
          <w:rFonts w:ascii="Arial" w:hAnsi="Arial" w:cs="Arial"/>
          <w:b/>
          <w:sz w:val="24"/>
          <w:szCs w:val="24"/>
        </w:rPr>
        <w:t>2. Solución a los Interrogantes planteados</w:t>
      </w:r>
    </w:p>
    <w:p w:rsidR="00EA6AF9" w:rsidRPr="00EA6AF9" w:rsidRDefault="00EA6AF9" w:rsidP="00EA6AF9">
      <w:pPr>
        <w:pStyle w:val="Sinespaciado"/>
        <w:spacing w:line="276" w:lineRule="auto"/>
        <w:jc w:val="both"/>
        <w:rPr>
          <w:rFonts w:ascii="Arial" w:hAnsi="Arial" w:cs="Arial"/>
          <w:b/>
          <w:sz w:val="24"/>
          <w:szCs w:val="24"/>
        </w:rPr>
      </w:pPr>
    </w:p>
    <w:p w:rsidR="00EA6AF9" w:rsidRPr="00EA6AF9" w:rsidRDefault="00EA6AF9" w:rsidP="00EA6AF9">
      <w:pPr>
        <w:pStyle w:val="Sinespaciado"/>
        <w:spacing w:line="276" w:lineRule="auto"/>
        <w:jc w:val="both"/>
        <w:rPr>
          <w:rFonts w:ascii="Arial" w:hAnsi="Arial" w:cs="Arial"/>
          <w:sz w:val="24"/>
          <w:szCs w:val="24"/>
        </w:rPr>
      </w:pPr>
      <w:r w:rsidRPr="00EA6AF9">
        <w:rPr>
          <w:rFonts w:ascii="Arial" w:hAnsi="Arial" w:cs="Arial"/>
          <w:sz w:val="24"/>
          <w:szCs w:val="24"/>
        </w:rPr>
        <w:t>Previo a resolverlos, ha de decirse que con independencia de la norma que le es aplicable a este asunto, como se verá más adelante, debió revisarse en esta segunda instancia la procedencia del recurso de apelación con apoyo en lo previsto en el Código de Procedimiento Civil por ser a la que acudió la jueza; donde se consagra en el artículo 680 el recurso de apelación frente a los autos que fijen la modalidad y cuantía de una caución, donde cabe la que se fije para tramitar el incidente de oposición al secuestro.</w:t>
      </w:r>
    </w:p>
    <w:p w:rsidR="00EA6AF9" w:rsidRPr="00EA6AF9" w:rsidRDefault="00EA6AF9" w:rsidP="00EA6AF9">
      <w:pPr>
        <w:pStyle w:val="Sinespaciado"/>
        <w:spacing w:line="276" w:lineRule="auto"/>
        <w:jc w:val="both"/>
        <w:rPr>
          <w:rFonts w:ascii="Arial" w:hAnsi="Arial" w:cs="Arial"/>
          <w:sz w:val="24"/>
          <w:szCs w:val="24"/>
        </w:rPr>
      </w:pPr>
    </w:p>
    <w:p w:rsidR="00EA6AF9" w:rsidRPr="00EA6AF9" w:rsidRDefault="00EA6AF9" w:rsidP="00EA6AF9">
      <w:pPr>
        <w:pStyle w:val="Sinespaciado"/>
        <w:spacing w:line="276" w:lineRule="auto"/>
        <w:jc w:val="both"/>
        <w:rPr>
          <w:rFonts w:ascii="Arial" w:hAnsi="Arial" w:cs="Arial"/>
          <w:sz w:val="24"/>
          <w:szCs w:val="24"/>
        </w:rPr>
      </w:pPr>
      <w:r w:rsidRPr="00EA6AF9">
        <w:rPr>
          <w:rFonts w:ascii="Arial" w:hAnsi="Arial" w:cs="Arial"/>
          <w:sz w:val="24"/>
          <w:szCs w:val="24"/>
        </w:rPr>
        <w:t xml:space="preserve">Y se hace necesario advertir lo dicho, en tanto bajo el CGP este auto sería inapelable dado que el artículo 321 en el numeral 8 consagra la procedencia de la apelación frente al auto que fije caución para decretar (art. 508 </w:t>
      </w:r>
      <w:proofErr w:type="spellStart"/>
      <w:r w:rsidRPr="00EA6AF9">
        <w:rPr>
          <w:rFonts w:ascii="Arial" w:hAnsi="Arial" w:cs="Arial"/>
          <w:sz w:val="24"/>
          <w:szCs w:val="24"/>
        </w:rPr>
        <w:t>ib</w:t>
      </w:r>
      <w:proofErr w:type="spellEnd"/>
      <w:r w:rsidRPr="00EA6AF9">
        <w:rPr>
          <w:rFonts w:ascii="Arial" w:hAnsi="Arial" w:cs="Arial"/>
          <w:sz w:val="24"/>
          <w:szCs w:val="24"/>
        </w:rPr>
        <w:t xml:space="preserve">), levantar o impedir la práctica de las medidas cautelares (art. 602 </w:t>
      </w:r>
      <w:proofErr w:type="spellStart"/>
      <w:r w:rsidRPr="00EA6AF9">
        <w:rPr>
          <w:rFonts w:ascii="Arial" w:hAnsi="Arial" w:cs="Arial"/>
          <w:sz w:val="24"/>
          <w:szCs w:val="24"/>
        </w:rPr>
        <w:t>ib</w:t>
      </w:r>
      <w:proofErr w:type="spellEnd"/>
      <w:r w:rsidRPr="00EA6AF9">
        <w:rPr>
          <w:rFonts w:ascii="Arial" w:hAnsi="Arial" w:cs="Arial"/>
          <w:sz w:val="24"/>
          <w:szCs w:val="24"/>
        </w:rPr>
        <w:t>), estando ausente la finalidad de la caución que nos ocupa, adelantar un trámite incidental, y teniendo en cuenta el principio de taxatividad que rige el recurso de apelación no puede extenderse la interpretación a asuntos no señalados en este.</w:t>
      </w:r>
    </w:p>
    <w:p w:rsidR="00EA6AF9" w:rsidRPr="00EA6AF9" w:rsidRDefault="00EA6AF9" w:rsidP="00EA6AF9">
      <w:pPr>
        <w:pStyle w:val="Sinespaciado"/>
        <w:spacing w:line="276" w:lineRule="auto"/>
        <w:jc w:val="both"/>
        <w:rPr>
          <w:rFonts w:ascii="Arial" w:hAnsi="Arial" w:cs="Arial"/>
          <w:sz w:val="24"/>
          <w:szCs w:val="24"/>
        </w:rPr>
      </w:pPr>
    </w:p>
    <w:p w:rsidR="00EA6AF9" w:rsidRDefault="00EA6AF9" w:rsidP="00EA6AF9">
      <w:pPr>
        <w:tabs>
          <w:tab w:val="left" w:pos="5100"/>
        </w:tabs>
        <w:spacing w:line="276" w:lineRule="auto"/>
        <w:jc w:val="both"/>
        <w:rPr>
          <w:rFonts w:ascii="Arial" w:hAnsi="Arial" w:cs="Arial"/>
        </w:rPr>
      </w:pPr>
      <w:r w:rsidRPr="00EA6AF9">
        <w:rPr>
          <w:rFonts w:ascii="Arial" w:hAnsi="Arial" w:cs="Arial"/>
        </w:rPr>
        <w:t>Así las cosas y de conformidad con lo anteriormente expuesto, es viable dar trámite al recurso bajo esta normativa.</w:t>
      </w:r>
    </w:p>
    <w:p w:rsidR="00EA6AF9" w:rsidRPr="00EA6AF9" w:rsidRDefault="00EA6AF9" w:rsidP="00EA6AF9">
      <w:pPr>
        <w:tabs>
          <w:tab w:val="left" w:pos="5100"/>
        </w:tabs>
        <w:spacing w:line="276" w:lineRule="auto"/>
        <w:jc w:val="both"/>
        <w:rPr>
          <w:rFonts w:ascii="Arial" w:hAnsi="Arial" w:cs="Arial"/>
        </w:rPr>
      </w:pPr>
    </w:p>
    <w:p w:rsidR="00EA6AF9" w:rsidRPr="00EA6AF9" w:rsidRDefault="00EA6AF9" w:rsidP="00EA6AF9">
      <w:pPr>
        <w:pStyle w:val="Sinespaciado"/>
        <w:spacing w:line="276" w:lineRule="auto"/>
        <w:jc w:val="both"/>
        <w:rPr>
          <w:rFonts w:ascii="Arial" w:hAnsi="Arial" w:cs="Arial"/>
          <w:b/>
          <w:sz w:val="24"/>
          <w:szCs w:val="24"/>
        </w:rPr>
      </w:pPr>
      <w:r w:rsidRPr="00EA6AF9">
        <w:rPr>
          <w:rFonts w:ascii="Arial" w:hAnsi="Arial" w:cs="Arial"/>
          <w:b/>
          <w:sz w:val="24"/>
          <w:szCs w:val="24"/>
        </w:rPr>
        <w:t>2.1. Fundamento Jurídico</w:t>
      </w:r>
    </w:p>
    <w:p w:rsidR="00EA6AF9" w:rsidRPr="00EA6AF9" w:rsidRDefault="00EA6AF9" w:rsidP="00EA6AF9">
      <w:pPr>
        <w:tabs>
          <w:tab w:val="left" w:pos="5100"/>
        </w:tabs>
        <w:spacing w:line="276" w:lineRule="auto"/>
        <w:jc w:val="both"/>
        <w:rPr>
          <w:rFonts w:ascii="Arial" w:hAnsi="Arial" w:cs="Arial"/>
        </w:rPr>
      </w:pPr>
      <w:r w:rsidRPr="00EA6AF9">
        <w:rPr>
          <w:rFonts w:ascii="Arial" w:hAnsi="Arial" w:cs="Arial"/>
        </w:rPr>
        <w:t xml:space="preserve"> </w:t>
      </w:r>
    </w:p>
    <w:p w:rsidR="00EA6AF9" w:rsidRPr="00EA6AF9" w:rsidRDefault="00EA6AF9" w:rsidP="00EA6AF9">
      <w:pPr>
        <w:tabs>
          <w:tab w:val="left" w:pos="5100"/>
        </w:tabs>
        <w:spacing w:line="276" w:lineRule="auto"/>
        <w:jc w:val="both"/>
        <w:rPr>
          <w:rFonts w:ascii="Arial" w:hAnsi="Arial" w:cs="Arial"/>
          <w:b/>
        </w:rPr>
      </w:pPr>
      <w:r w:rsidRPr="00EA6AF9">
        <w:rPr>
          <w:rFonts w:ascii="Arial" w:hAnsi="Arial" w:cs="Arial"/>
        </w:rPr>
        <w:t>Discrepa el recurrente en la codificación que debe gobernar el trámite incidental que formuló, que considera debe ser el CGP, mientras que la primera instancia el CPC;  situación que tiene explicación en la fecha de iniciación del proceso ejecutivo en donde se formuló el incidente – 2006 – y la etapa en el que se encontraba al momento de entrar en vigencia el Código General del Proceso – sin notificar a la parte ejecutada, dada la nulidad parcial decretada del  mandamiento de pago, que dispuso notificarlo por estado, cuando debía ser personal.</w:t>
      </w:r>
    </w:p>
    <w:p w:rsidR="00EA6AF9" w:rsidRPr="00EA6AF9" w:rsidRDefault="00EA6AF9" w:rsidP="00EA6AF9">
      <w:pPr>
        <w:spacing w:line="276" w:lineRule="auto"/>
        <w:jc w:val="both"/>
        <w:rPr>
          <w:rFonts w:ascii="Arial" w:hAnsi="Arial" w:cs="Arial"/>
        </w:rPr>
      </w:pPr>
    </w:p>
    <w:p w:rsidR="00EA6AF9" w:rsidRPr="00EA6AF9" w:rsidRDefault="00EA6AF9" w:rsidP="00EA6AF9">
      <w:pPr>
        <w:spacing w:line="276" w:lineRule="auto"/>
        <w:jc w:val="both"/>
        <w:rPr>
          <w:rFonts w:ascii="Arial" w:hAnsi="Arial" w:cs="Arial"/>
        </w:rPr>
      </w:pPr>
      <w:r w:rsidRPr="00EA6AF9">
        <w:rPr>
          <w:rFonts w:ascii="Arial" w:hAnsi="Arial" w:cs="Arial"/>
        </w:rPr>
        <w:t>Sin embargo, se olvida que el trámite incidental es una cuestión accesoria al proceso ejecutivo o a cualquier otro proceso, por lo que poco importa la situación en que se encuentre el ejecutivo al momento de entrar a regir el CGP para fijar el camino a seguir en cuanto al incidente; pues este cuenta con normas propias, que son de carácter general que lo disciplinan (art. 121 y siguientes); de tal manera si hay algo que consultar, es la norma vigente al momento de elevarse la solicitud del incidente.</w:t>
      </w:r>
    </w:p>
    <w:p w:rsidR="00EA6AF9" w:rsidRPr="00EA6AF9" w:rsidRDefault="00EA6AF9" w:rsidP="00EA6AF9">
      <w:pPr>
        <w:spacing w:line="276" w:lineRule="auto"/>
        <w:jc w:val="both"/>
        <w:rPr>
          <w:rFonts w:ascii="Arial" w:hAnsi="Arial" w:cs="Arial"/>
        </w:rPr>
      </w:pPr>
    </w:p>
    <w:p w:rsidR="00EA6AF9" w:rsidRPr="00EA6AF9" w:rsidRDefault="00EA6AF9" w:rsidP="00EA6AF9">
      <w:pPr>
        <w:spacing w:line="276" w:lineRule="auto"/>
        <w:jc w:val="both"/>
        <w:rPr>
          <w:rFonts w:ascii="Arial" w:hAnsi="Arial" w:cs="Arial"/>
        </w:rPr>
      </w:pPr>
      <w:r w:rsidRPr="00EA6AF9">
        <w:rPr>
          <w:rFonts w:ascii="Arial" w:hAnsi="Arial" w:cs="Arial"/>
        </w:rPr>
        <w:t xml:space="preserve">Para dar respuesta a estas situaciones el CGP estableció varias normas que fijan las pautas para el tránsito de legislación. </w:t>
      </w:r>
    </w:p>
    <w:p w:rsidR="00EA6AF9" w:rsidRPr="00EA6AF9" w:rsidRDefault="00EA6AF9" w:rsidP="00EA6AF9">
      <w:pPr>
        <w:spacing w:line="276" w:lineRule="auto"/>
        <w:jc w:val="both"/>
        <w:rPr>
          <w:rFonts w:ascii="Arial" w:hAnsi="Arial" w:cs="Arial"/>
        </w:rPr>
      </w:pPr>
    </w:p>
    <w:p w:rsidR="00EA6AF9" w:rsidRPr="00EA6AF9" w:rsidRDefault="00EA6AF9" w:rsidP="00EA6AF9">
      <w:pPr>
        <w:spacing w:line="276" w:lineRule="auto"/>
        <w:jc w:val="both"/>
        <w:rPr>
          <w:rFonts w:ascii="Arial" w:hAnsi="Arial" w:cs="Arial"/>
          <w:i/>
        </w:rPr>
      </w:pPr>
      <w:r w:rsidRPr="00EA6AF9">
        <w:rPr>
          <w:rFonts w:ascii="Arial" w:hAnsi="Arial" w:cs="Arial"/>
        </w:rPr>
        <w:t xml:space="preserve">Así el </w:t>
      </w:r>
      <w:bookmarkStart w:id="1" w:name="624"/>
      <w:r w:rsidRPr="00EA6AF9">
        <w:rPr>
          <w:rFonts w:ascii="Arial" w:hAnsi="Arial" w:cs="Arial"/>
          <w:bCs/>
        </w:rPr>
        <w:t xml:space="preserve">artículo 624 del Código General del Proceso, que modificó el artículo 40 de la Ley 153 de 1887, </w:t>
      </w:r>
      <w:bookmarkEnd w:id="1"/>
      <w:r w:rsidRPr="00EA6AF9">
        <w:rPr>
          <w:rFonts w:ascii="Arial" w:hAnsi="Arial" w:cs="Arial"/>
          <w:bCs/>
        </w:rPr>
        <w:t>dispuso que la regla general es que las normas que fijen la sustanciación y ritualidades son las vigentes, esto es, prevalecen sobre las anteriores “</w:t>
      </w:r>
      <w:r w:rsidRPr="00EA6AF9">
        <w:rPr>
          <w:rFonts w:ascii="Arial" w:hAnsi="Arial" w:cs="Arial"/>
          <w:i/>
        </w:rPr>
        <w:t>desde el momento en que deben empezar a regir.”</w:t>
      </w:r>
    </w:p>
    <w:p w:rsidR="00EA6AF9" w:rsidRPr="00EA6AF9" w:rsidRDefault="00EA6AF9" w:rsidP="00EA6AF9">
      <w:pPr>
        <w:spacing w:line="276" w:lineRule="auto"/>
        <w:jc w:val="both"/>
        <w:rPr>
          <w:rFonts w:ascii="Arial" w:hAnsi="Arial" w:cs="Arial"/>
          <w:i/>
        </w:rPr>
      </w:pPr>
      <w:r w:rsidRPr="00EA6AF9">
        <w:rPr>
          <w:rFonts w:ascii="Arial" w:hAnsi="Arial" w:cs="Arial"/>
          <w:i/>
        </w:rPr>
        <w:t xml:space="preserve"> </w:t>
      </w:r>
    </w:p>
    <w:p w:rsidR="00EA6AF9" w:rsidRPr="00EA6AF9" w:rsidRDefault="00EA6AF9" w:rsidP="00EA6AF9">
      <w:pPr>
        <w:spacing w:line="276" w:lineRule="auto"/>
        <w:jc w:val="both"/>
        <w:rPr>
          <w:rFonts w:ascii="Arial" w:hAnsi="Arial" w:cs="Arial"/>
        </w:rPr>
      </w:pPr>
      <w:r w:rsidRPr="00EA6AF9">
        <w:rPr>
          <w:rFonts w:ascii="Arial" w:hAnsi="Arial" w:cs="Arial"/>
        </w:rPr>
        <w:t xml:space="preserve">Todo ello sin perjuicio de que se pueda aplicar la norma anterior, bajo la condición de que, en el caso concreto del incidente, se encuentre en curso; esto es, vigente al momento de presentarse el incidente; lo que reitera el numeral 5 del artículo 625 ib. </w:t>
      </w:r>
    </w:p>
    <w:p w:rsidR="00EA6AF9" w:rsidRPr="00EA6AF9" w:rsidRDefault="00EA6AF9" w:rsidP="00EA6AF9">
      <w:pPr>
        <w:spacing w:line="276" w:lineRule="auto"/>
        <w:jc w:val="both"/>
        <w:rPr>
          <w:rFonts w:ascii="Arial" w:hAnsi="Arial" w:cs="Arial"/>
        </w:rPr>
      </w:pPr>
    </w:p>
    <w:p w:rsidR="00EA6AF9" w:rsidRPr="00EA6AF9" w:rsidRDefault="00EA6AF9" w:rsidP="00EA6AF9">
      <w:pPr>
        <w:spacing w:line="276" w:lineRule="auto"/>
        <w:jc w:val="both"/>
        <w:rPr>
          <w:rFonts w:ascii="Arial" w:hAnsi="Arial" w:cs="Arial"/>
          <w:i/>
          <w:u w:val="single"/>
        </w:rPr>
      </w:pPr>
      <w:r w:rsidRPr="00EA6AF9">
        <w:rPr>
          <w:rFonts w:ascii="Arial" w:hAnsi="Arial" w:cs="Arial"/>
        </w:rPr>
        <w:t xml:space="preserve">Lo dicho para concluir que no regula el tránsito de legislación de los incidentes lo que se consagró para los procesos ejecutivos, pues como ya se dijo, el incidente es un trámite accesorio que cuenta con normas propias. </w:t>
      </w:r>
    </w:p>
    <w:p w:rsidR="00EA6AF9" w:rsidRPr="00EA6AF9" w:rsidRDefault="00EA6AF9" w:rsidP="00EA6AF9">
      <w:pPr>
        <w:spacing w:line="276" w:lineRule="auto"/>
        <w:jc w:val="both"/>
        <w:rPr>
          <w:rFonts w:ascii="Arial" w:hAnsi="Arial" w:cs="Arial"/>
        </w:rPr>
      </w:pPr>
      <w:r w:rsidRPr="00EA6AF9">
        <w:rPr>
          <w:rFonts w:ascii="Arial" w:hAnsi="Arial" w:cs="Arial"/>
          <w:b/>
        </w:rPr>
        <w:t xml:space="preserve"> </w:t>
      </w:r>
    </w:p>
    <w:p w:rsidR="00EA6AF9" w:rsidRPr="00EA6AF9" w:rsidRDefault="00EA6AF9" w:rsidP="00EA6AF9">
      <w:pPr>
        <w:spacing w:line="276" w:lineRule="auto"/>
        <w:jc w:val="both"/>
        <w:rPr>
          <w:rFonts w:ascii="Arial" w:hAnsi="Arial" w:cs="Arial"/>
        </w:rPr>
      </w:pPr>
      <w:r w:rsidRPr="00EA6AF9">
        <w:rPr>
          <w:rFonts w:ascii="Arial" w:hAnsi="Arial" w:cs="Arial"/>
        </w:rPr>
        <w:t>En este orden de ideas, al revisar la fecha en que se presentó el escrito de incidente – 23-04-2018- (fl.29), se tiene que estaba vigente el código general del proceso, por lo que es dicha codificación que debía consultarse para su estudio.</w:t>
      </w:r>
    </w:p>
    <w:p w:rsidR="00EA6AF9" w:rsidRPr="00EA6AF9" w:rsidRDefault="00EA6AF9" w:rsidP="00EA6AF9">
      <w:pPr>
        <w:spacing w:line="276" w:lineRule="auto"/>
        <w:jc w:val="both"/>
        <w:rPr>
          <w:rFonts w:ascii="Arial" w:hAnsi="Arial" w:cs="Arial"/>
        </w:rPr>
      </w:pPr>
    </w:p>
    <w:p w:rsidR="00EA6AF9" w:rsidRPr="00EA6AF9" w:rsidRDefault="00EA6AF9" w:rsidP="00EA6AF9">
      <w:pPr>
        <w:spacing w:line="276" w:lineRule="auto"/>
        <w:jc w:val="both"/>
        <w:rPr>
          <w:rFonts w:ascii="Arial" w:hAnsi="Arial" w:cs="Arial"/>
        </w:rPr>
      </w:pPr>
      <w:r w:rsidRPr="00EA6AF9">
        <w:rPr>
          <w:rFonts w:ascii="Arial" w:hAnsi="Arial" w:cs="Arial"/>
        </w:rPr>
        <w:t xml:space="preserve">Ahora, como se trata de un incidente para la oposición al secuestro, la nueva normativa – nº 8 del artículo 597 del CGP, contrario a lo que se disponía en el CPC – Nº 8 del 687, no exige prestar caución; por lo que le asiste razón al recurrente.  </w:t>
      </w:r>
    </w:p>
    <w:p w:rsidR="00EA6AF9" w:rsidRDefault="00EA6AF9" w:rsidP="00EA6AF9">
      <w:pPr>
        <w:spacing w:line="276" w:lineRule="auto"/>
        <w:jc w:val="both"/>
        <w:rPr>
          <w:rFonts w:ascii="Arial" w:hAnsi="Arial" w:cs="Arial"/>
          <w:b/>
        </w:rPr>
      </w:pPr>
    </w:p>
    <w:p w:rsidR="000B43D9" w:rsidRPr="00EA6AF9" w:rsidRDefault="000B43D9" w:rsidP="00EA6AF9">
      <w:pPr>
        <w:spacing w:line="276" w:lineRule="auto"/>
        <w:jc w:val="both"/>
        <w:rPr>
          <w:rFonts w:ascii="Arial" w:hAnsi="Arial" w:cs="Arial"/>
          <w:b/>
        </w:rPr>
      </w:pPr>
    </w:p>
    <w:p w:rsidR="00EA6AF9" w:rsidRPr="00EA6AF9" w:rsidRDefault="00EA6AF9" w:rsidP="00EA6AF9">
      <w:pPr>
        <w:spacing w:line="276" w:lineRule="auto"/>
        <w:jc w:val="center"/>
        <w:rPr>
          <w:rFonts w:ascii="Arial" w:hAnsi="Arial" w:cs="Arial"/>
          <w:b/>
        </w:rPr>
      </w:pPr>
      <w:r w:rsidRPr="00EA6AF9">
        <w:rPr>
          <w:rFonts w:ascii="Arial" w:hAnsi="Arial" w:cs="Arial"/>
          <w:b/>
        </w:rPr>
        <w:t>CONCLUSIÓN</w:t>
      </w:r>
    </w:p>
    <w:p w:rsidR="00EA6AF9" w:rsidRPr="00EA6AF9" w:rsidRDefault="00EA6AF9" w:rsidP="00EA6AF9">
      <w:pPr>
        <w:spacing w:line="276" w:lineRule="auto"/>
        <w:jc w:val="both"/>
        <w:rPr>
          <w:rFonts w:ascii="Arial" w:hAnsi="Arial" w:cs="Arial"/>
        </w:rPr>
      </w:pPr>
      <w:r w:rsidRPr="00EA6AF9">
        <w:rPr>
          <w:rFonts w:ascii="Arial" w:hAnsi="Arial" w:cs="Arial"/>
          <w:b/>
        </w:rPr>
        <w:t xml:space="preserve">  </w:t>
      </w:r>
      <w:r w:rsidRPr="00EA6AF9">
        <w:rPr>
          <w:rFonts w:ascii="Arial" w:hAnsi="Arial" w:cs="Arial"/>
        </w:rPr>
        <w:t xml:space="preserve">  </w:t>
      </w:r>
    </w:p>
    <w:p w:rsidR="00EA6AF9" w:rsidRPr="00EA6AF9" w:rsidRDefault="00EA6AF9" w:rsidP="00EA6AF9">
      <w:pPr>
        <w:spacing w:line="276" w:lineRule="auto"/>
        <w:jc w:val="both"/>
        <w:rPr>
          <w:rFonts w:ascii="Arial" w:hAnsi="Arial" w:cs="Arial"/>
        </w:rPr>
      </w:pPr>
      <w:r w:rsidRPr="00EA6AF9">
        <w:rPr>
          <w:rFonts w:ascii="Arial" w:hAnsi="Arial" w:cs="Arial"/>
        </w:rPr>
        <w:t>En armonía, con lo expuesto en precedencia se revocará el auto apelado, ya que se está aplicando una normativa errónea al trámite incidental, de esta manera el a quo deberá pronunciarse sobre el escrito de incidente.</w:t>
      </w:r>
    </w:p>
    <w:p w:rsidR="00EA6AF9" w:rsidRPr="00EA6AF9" w:rsidRDefault="00EA6AF9" w:rsidP="00EA6AF9">
      <w:pPr>
        <w:spacing w:line="276" w:lineRule="auto"/>
        <w:jc w:val="both"/>
        <w:rPr>
          <w:rFonts w:ascii="Arial" w:hAnsi="Arial" w:cs="Arial"/>
        </w:rPr>
      </w:pPr>
    </w:p>
    <w:p w:rsidR="00EA6AF9" w:rsidRPr="00EA6AF9" w:rsidRDefault="00EA6AF9" w:rsidP="00EA6AF9">
      <w:pPr>
        <w:spacing w:line="276" w:lineRule="auto"/>
        <w:jc w:val="both"/>
        <w:rPr>
          <w:rFonts w:ascii="Arial" w:hAnsi="Arial" w:cs="Arial"/>
        </w:rPr>
      </w:pPr>
      <w:r w:rsidRPr="00EA6AF9">
        <w:rPr>
          <w:rFonts w:ascii="Arial" w:hAnsi="Arial" w:cs="Arial"/>
        </w:rPr>
        <w:t>Sin costas en esta instancia al salir avante el recurso de alzada.</w:t>
      </w:r>
    </w:p>
    <w:p w:rsidR="00EA6AF9" w:rsidRDefault="00EA6AF9" w:rsidP="00EA6AF9">
      <w:pPr>
        <w:spacing w:line="276" w:lineRule="auto"/>
        <w:jc w:val="center"/>
        <w:rPr>
          <w:rFonts w:ascii="Arial" w:hAnsi="Arial" w:cs="Arial"/>
          <w:b/>
        </w:rPr>
      </w:pPr>
    </w:p>
    <w:p w:rsidR="000B43D9" w:rsidRPr="00EA6AF9" w:rsidRDefault="000B43D9" w:rsidP="00EA6AF9">
      <w:pPr>
        <w:spacing w:line="276" w:lineRule="auto"/>
        <w:jc w:val="center"/>
        <w:rPr>
          <w:rFonts w:ascii="Arial" w:hAnsi="Arial" w:cs="Arial"/>
          <w:b/>
        </w:rPr>
      </w:pPr>
    </w:p>
    <w:p w:rsidR="00EA6AF9" w:rsidRPr="00EA6AF9" w:rsidRDefault="00EA6AF9" w:rsidP="00EA6AF9">
      <w:pPr>
        <w:spacing w:line="276" w:lineRule="auto"/>
        <w:jc w:val="center"/>
        <w:rPr>
          <w:rFonts w:ascii="Arial" w:hAnsi="Arial" w:cs="Arial"/>
          <w:b/>
        </w:rPr>
      </w:pPr>
      <w:r w:rsidRPr="00EA6AF9">
        <w:rPr>
          <w:rFonts w:ascii="Arial" w:hAnsi="Arial" w:cs="Arial"/>
          <w:b/>
        </w:rPr>
        <w:t>DECISIÓN</w:t>
      </w:r>
    </w:p>
    <w:p w:rsidR="00EA6AF9" w:rsidRPr="00EA6AF9" w:rsidRDefault="00EA6AF9" w:rsidP="00EA6AF9">
      <w:pPr>
        <w:pStyle w:val="Standard"/>
        <w:spacing w:line="276" w:lineRule="auto"/>
        <w:jc w:val="center"/>
        <w:rPr>
          <w:rFonts w:ascii="Arial" w:hAnsi="Arial" w:cs="Arial"/>
          <w:b/>
        </w:rPr>
      </w:pPr>
    </w:p>
    <w:p w:rsidR="00EA6AF9" w:rsidRPr="00EA6AF9" w:rsidRDefault="00EA6AF9" w:rsidP="00EA6AF9">
      <w:pPr>
        <w:pStyle w:val="Standard"/>
        <w:spacing w:line="276" w:lineRule="auto"/>
        <w:jc w:val="both"/>
        <w:rPr>
          <w:rFonts w:ascii="Arial" w:hAnsi="Arial" w:cs="Arial"/>
        </w:rPr>
      </w:pPr>
      <w:r w:rsidRPr="00EA6AF9">
        <w:rPr>
          <w:rFonts w:ascii="Arial" w:hAnsi="Arial" w:cs="Arial"/>
        </w:rPr>
        <w:t xml:space="preserve">En mérito de lo expuesto, </w:t>
      </w:r>
      <w:r w:rsidRPr="00EA6AF9">
        <w:rPr>
          <w:rFonts w:ascii="Arial" w:hAnsi="Arial" w:cs="Arial"/>
          <w:b/>
        </w:rPr>
        <w:t>la Sala Segunda de Decisión Laboral del Tribunal Superior de Distrito Judicial de Pereira - Risaralda</w:t>
      </w:r>
      <w:r w:rsidRPr="00EA6AF9">
        <w:rPr>
          <w:rFonts w:ascii="Arial" w:hAnsi="Arial" w:cs="Arial"/>
        </w:rPr>
        <w:t xml:space="preserve">, </w:t>
      </w:r>
    </w:p>
    <w:p w:rsidR="00EA6AF9" w:rsidRDefault="00EA6AF9" w:rsidP="00EA6AF9">
      <w:pPr>
        <w:pStyle w:val="Standard"/>
        <w:spacing w:line="276" w:lineRule="auto"/>
        <w:ind w:firstLine="708"/>
        <w:jc w:val="both"/>
        <w:rPr>
          <w:rFonts w:ascii="Arial" w:hAnsi="Arial" w:cs="Arial"/>
        </w:rPr>
      </w:pPr>
    </w:p>
    <w:p w:rsidR="000B43D9" w:rsidRPr="00EA6AF9" w:rsidRDefault="000B43D9" w:rsidP="00EA6AF9">
      <w:pPr>
        <w:pStyle w:val="Standard"/>
        <w:spacing w:line="276" w:lineRule="auto"/>
        <w:ind w:firstLine="708"/>
        <w:jc w:val="both"/>
        <w:rPr>
          <w:rFonts w:ascii="Arial" w:hAnsi="Arial" w:cs="Arial"/>
        </w:rPr>
      </w:pPr>
    </w:p>
    <w:p w:rsidR="00EA6AF9" w:rsidRPr="00EA6AF9" w:rsidRDefault="00EA6AF9" w:rsidP="00EA6AF9">
      <w:pPr>
        <w:pStyle w:val="Standard"/>
        <w:spacing w:line="276" w:lineRule="auto"/>
        <w:ind w:left="3540"/>
        <w:rPr>
          <w:rFonts w:ascii="Arial" w:hAnsi="Arial" w:cs="Arial"/>
          <w:b/>
        </w:rPr>
      </w:pPr>
      <w:r w:rsidRPr="00EA6AF9">
        <w:rPr>
          <w:rFonts w:ascii="Arial" w:hAnsi="Arial" w:cs="Arial"/>
          <w:b/>
        </w:rPr>
        <w:t xml:space="preserve">    RESUELVE</w:t>
      </w:r>
    </w:p>
    <w:p w:rsidR="00EA6AF9" w:rsidRPr="00EA6AF9" w:rsidRDefault="00EA6AF9" w:rsidP="00EA6AF9">
      <w:pPr>
        <w:spacing w:line="276" w:lineRule="auto"/>
        <w:jc w:val="both"/>
        <w:rPr>
          <w:rFonts w:ascii="Arial" w:hAnsi="Arial" w:cs="Arial"/>
          <w:b/>
        </w:rPr>
      </w:pPr>
    </w:p>
    <w:p w:rsidR="00EA6AF9" w:rsidRPr="00EA6AF9" w:rsidRDefault="00EA6AF9" w:rsidP="00EA6AF9">
      <w:pPr>
        <w:spacing w:line="276" w:lineRule="auto"/>
        <w:jc w:val="both"/>
        <w:rPr>
          <w:rFonts w:ascii="Arial" w:hAnsi="Arial" w:cs="Arial"/>
        </w:rPr>
      </w:pPr>
      <w:r w:rsidRPr="00EA6AF9">
        <w:rPr>
          <w:rFonts w:ascii="Arial" w:hAnsi="Arial" w:cs="Arial"/>
          <w:b/>
        </w:rPr>
        <w:t xml:space="preserve">PRIMERO. REVOCAR </w:t>
      </w:r>
      <w:r w:rsidRPr="00EA6AF9">
        <w:rPr>
          <w:rFonts w:ascii="Arial" w:hAnsi="Arial" w:cs="Arial"/>
        </w:rPr>
        <w:t>el auto proferido por el Juzgado Primero Laboral del Circuito de Pereira el 24-08-2018, de esta manera el a quo deberá pronunciarse sobre el escrito de incidente, sin exigir caución.</w:t>
      </w:r>
    </w:p>
    <w:p w:rsidR="00EA6AF9" w:rsidRPr="00EA6AF9" w:rsidRDefault="00EA6AF9" w:rsidP="00EA6AF9">
      <w:pPr>
        <w:widowControl w:val="0"/>
        <w:autoSpaceDE w:val="0"/>
        <w:autoSpaceDN w:val="0"/>
        <w:adjustRightInd w:val="0"/>
        <w:spacing w:line="276" w:lineRule="auto"/>
        <w:jc w:val="both"/>
        <w:rPr>
          <w:rFonts w:ascii="Arial" w:hAnsi="Arial" w:cs="Arial"/>
          <w:lang w:val="es-CO"/>
        </w:rPr>
      </w:pPr>
    </w:p>
    <w:p w:rsidR="00EA6AF9" w:rsidRPr="00EA6AF9" w:rsidRDefault="00EA6AF9" w:rsidP="00EA6AF9">
      <w:pPr>
        <w:spacing w:line="276" w:lineRule="auto"/>
        <w:jc w:val="both"/>
        <w:rPr>
          <w:rFonts w:ascii="Arial" w:hAnsi="Arial" w:cs="Arial"/>
        </w:rPr>
      </w:pPr>
      <w:r w:rsidRPr="00EA6AF9">
        <w:rPr>
          <w:rFonts w:ascii="Arial" w:hAnsi="Arial" w:cs="Arial"/>
          <w:b/>
        </w:rPr>
        <w:lastRenderedPageBreak/>
        <w:t>SEGUNDO. Sin costas</w:t>
      </w:r>
      <w:r w:rsidRPr="00EA6AF9">
        <w:rPr>
          <w:rFonts w:ascii="Arial" w:hAnsi="Arial" w:cs="Arial"/>
        </w:rPr>
        <w:t xml:space="preserve"> en esta instancia. </w:t>
      </w:r>
    </w:p>
    <w:p w:rsidR="00EA6AF9" w:rsidRPr="00EA6AF9" w:rsidRDefault="00EA6AF9" w:rsidP="00EA6AF9">
      <w:pPr>
        <w:spacing w:line="276" w:lineRule="auto"/>
        <w:jc w:val="both"/>
        <w:rPr>
          <w:rFonts w:ascii="Arial" w:hAnsi="Arial" w:cs="Arial"/>
        </w:rPr>
      </w:pPr>
    </w:p>
    <w:p w:rsidR="00EA6AF9" w:rsidRPr="00EA6AF9" w:rsidRDefault="00EA6AF9" w:rsidP="00EA6AF9">
      <w:pPr>
        <w:spacing w:line="276" w:lineRule="auto"/>
        <w:jc w:val="both"/>
        <w:rPr>
          <w:rFonts w:ascii="Arial" w:hAnsi="Arial" w:cs="Arial"/>
        </w:rPr>
      </w:pPr>
      <w:r w:rsidRPr="00EA6AF9">
        <w:rPr>
          <w:rFonts w:ascii="Arial" w:hAnsi="Arial" w:cs="Arial"/>
          <w:b/>
        </w:rPr>
        <w:t xml:space="preserve">TERCERO. DEVOLVER </w:t>
      </w:r>
      <w:r w:rsidRPr="00EA6AF9">
        <w:rPr>
          <w:rFonts w:ascii="Arial" w:hAnsi="Arial" w:cs="Arial"/>
        </w:rPr>
        <w:t>la actuación al juzgado de origen.</w:t>
      </w:r>
    </w:p>
    <w:p w:rsidR="00EA6AF9" w:rsidRPr="00EA6AF9" w:rsidRDefault="00EA6AF9" w:rsidP="00EA6AF9">
      <w:pPr>
        <w:widowControl w:val="0"/>
        <w:autoSpaceDE w:val="0"/>
        <w:autoSpaceDN w:val="0"/>
        <w:adjustRightInd w:val="0"/>
        <w:spacing w:line="276" w:lineRule="auto"/>
        <w:contextualSpacing/>
        <w:jc w:val="both"/>
        <w:rPr>
          <w:rFonts w:ascii="Arial" w:hAnsi="Arial" w:cs="Arial"/>
        </w:rPr>
      </w:pPr>
    </w:p>
    <w:p w:rsidR="00EA6AF9" w:rsidRPr="00EA6AF9" w:rsidRDefault="00EA6AF9" w:rsidP="00EA6AF9">
      <w:pPr>
        <w:widowControl w:val="0"/>
        <w:autoSpaceDE w:val="0"/>
        <w:autoSpaceDN w:val="0"/>
        <w:adjustRightInd w:val="0"/>
        <w:spacing w:line="276" w:lineRule="auto"/>
        <w:contextualSpacing/>
        <w:jc w:val="both"/>
        <w:rPr>
          <w:rFonts w:ascii="Arial" w:hAnsi="Arial" w:cs="Arial"/>
        </w:rPr>
      </w:pPr>
    </w:p>
    <w:p w:rsidR="00EA6AF9" w:rsidRPr="00EA6AF9" w:rsidRDefault="00EA6AF9" w:rsidP="00EA6AF9">
      <w:pPr>
        <w:widowControl w:val="0"/>
        <w:autoSpaceDE w:val="0"/>
        <w:autoSpaceDN w:val="0"/>
        <w:adjustRightInd w:val="0"/>
        <w:spacing w:line="276" w:lineRule="auto"/>
        <w:contextualSpacing/>
        <w:jc w:val="both"/>
        <w:rPr>
          <w:rFonts w:ascii="Arial" w:hAnsi="Arial" w:cs="Arial"/>
        </w:rPr>
      </w:pPr>
      <w:r w:rsidRPr="00EA6AF9">
        <w:rPr>
          <w:rFonts w:ascii="Arial" w:hAnsi="Arial" w:cs="Arial"/>
        </w:rPr>
        <w:t>Quienes integran la Sala,</w:t>
      </w:r>
    </w:p>
    <w:p w:rsidR="00EA6AF9" w:rsidRPr="00EA6AF9" w:rsidRDefault="00EA6AF9" w:rsidP="00EA6AF9">
      <w:pPr>
        <w:pStyle w:val="Sinespaciado"/>
        <w:spacing w:line="276" w:lineRule="auto"/>
        <w:jc w:val="center"/>
        <w:rPr>
          <w:rFonts w:ascii="Arial" w:hAnsi="Arial" w:cs="Arial"/>
          <w:b/>
          <w:sz w:val="24"/>
          <w:szCs w:val="24"/>
        </w:rPr>
      </w:pPr>
    </w:p>
    <w:p w:rsidR="00EA6AF9" w:rsidRPr="00EA6AF9" w:rsidRDefault="00EA6AF9" w:rsidP="00EA6AF9">
      <w:pPr>
        <w:pStyle w:val="Sinespaciado"/>
        <w:spacing w:line="276" w:lineRule="auto"/>
        <w:jc w:val="center"/>
        <w:rPr>
          <w:rFonts w:ascii="Arial" w:hAnsi="Arial" w:cs="Arial"/>
          <w:b/>
          <w:sz w:val="24"/>
          <w:szCs w:val="24"/>
        </w:rPr>
      </w:pPr>
    </w:p>
    <w:p w:rsidR="00EA6AF9" w:rsidRPr="00EA6AF9" w:rsidRDefault="00EA6AF9" w:rsidP="00EA6AF9">
      <w:pPr>
        <w:pStyle w:val="Sinespaciado"/>
        <w:spacing w:line="276" w:lineRule="auto"/>
        <w:jc w:val="center"/>
        <w:rPr>
          <w:rFonts w:ascii="Arial" w:hAnsi="Arial" w:cs="Arial"/>
          <w:b/>
          <w:sz w:val="24"/>
          <w:szCs w:val="24"/>
        </w:rPr>
      </w:pPr>
    </w:p>
    <w:p w:rsidR="00EA6AF9" w:rsidRPr="00EA6AF9" w:rsidRDefault="00EA6AF9" w:rsidP="00EA6AF9">
      <w:pPr>
        <w:pStyle w:val="Sinespaciado"/>
        <w:spacing w:line="276" w:lineRule="auto"/>
        <w:jc w:val="center"/>
        <w:rPr>
          <w:rFonts w:ascii="Arial" w:hAnsi="Arial" w:cs="Arial"/>
          <w:b/>
          <w:sz w:val="24"/>
          <w:szCs w:val="24"/>
        </w:rPr>
      </w:pPr>
      <w:r w:rsidRPr="00EA6AF9">
        <w:rPr>
          <w:rFonts w:ascii="Arial" w:hAnsi="Arial" w:cs="Arial"/>
          <w:b/>
          <w:sz w:val="24"/>
          <w:szCs w:val="24"/>
        </w:rPr>
        <w:t>OLGA LUCÍA HOYOS SEPÚLVEDA</w:t>
      </w:r>
    </w:p>
    <w:p w:rsidR="00EA6AF9" w:rsidRPr="00EA6AF9" w:rsidRDefault="00EA6AF9" w:rsidP="00EA6AF9">
      <w:pPr>
        <w:pStyle w:val="Sinespaciado"/>
        <w:spacing w:line="276" w:lineRule="auto"/>
        <w:jc w:val="center"/>
        <w:rPr>
          <w:rFonts w:ascii="Arial" w:hAnsi="Arial" w:cs="Arial"/>
          <w:sz w:val="24"/>
          <w:szCs w:val="24"/>
        </w:rPr>
      </w:pPr>
      <w:r w:rsidRPr="00EA6AF9">
        <w:rPr>
          <w:rFonts w:ascii="Arial" w:hAnsi="Arial" w:cs="Arial"/>
          <w:sz w:val="24"/>
          <w:szCs w:val="24"/>
        </w:rPr>
        <w:t>Magistrada Ponente</w:t>
      </w:r>
    </w:p>
    <w:p w:rsidR="00EA6AF9" w:rsidRPr="00EA6AF9" w:rsidRDefault="00EA6AF9" w:rsidP="00EA6AF9">
      <w:pPr>
        <w:pStyle w:val="Sinespaciado"/>
        <w:spacing w:line="276" w:lineRule="auto"/>
        <w:jc w:val="center"/>
        <w:rPr>
          <w:rFonts w:ascii="Arial" w:hAnsi="Arial" w:cs="Arial"/>
          <w:sz w:val="24"/>
          <w:szCs w:val="24"/>
        </w:rPr>
      </w:pPr>
    </w:p>
    <w:p w:rsidR="00EA6AF9" w:rsidRPr="00EA6AF9" w:rsidRDefault="00EA6AF9" w:rsidP="00EA6AF9">
      <w:pPr>
        <w:spacing w:line="276" w:lineRule="auto"/>
        <w:ind w:firstLine="900"/>
        <w:jc w:val="center"/>
        <w:rPr>
          <w:rFonts w:ascii="Arial" w:hAnsi="Arial" w:cs="Arial"/>
          <w:b/>
        </w:rPr>
      </w:pPr>
    </w:p>
    <w:p w:rsidR="00EA6AF9" w:rsidRPr="00EA6AF9" w:rsidRDefault="00EA6AF9" w:rsidP="00EA6AF9">
      <w:pPr>
        <w:spacing w:line="276" w:lineRule="auto"/>
        <w:ind w:firstLine="900"/>
        <w:jc w:val="center"/>
        <w:rPr>
          <w:rFonts w:ascii="Arial" w:hAnsi="Arial" w:cs="Arial"/>
          <w:b/>
        </w:rPr>
      </w:pPr>
    </w:p>
    <w:p w:rsidR="00EA6AF9" w:rsidRPr="00EA6AF9" w:rsidRDefault="00EA6AF9" w:rsidP="00EA6AF9">
      <w:pPr>
        <w:spacing w:line="276" w:lineRule="auto"/>
        <w:ind w:firstLine="900"/>
        <w:jc w:val="center"/>
        <w:rPr>
          <w:rFonts w:ascii="Arial" w:hAnsi="Arial" w:cs="Arial"/>
          <w:b/>
        </w:rPr>
      </w:pPr>
    </w:p>
    <w:p w:rsidR="00EA6AF9" w:rsidRPr="00EA6AF9" w:rsidRDefault="00EA6AF9" w:rsidP="00EA6AF9">
      <w:pPr>
        <w:spacing w:line="276" w:lineRule="auto"/>
        <w:jc w:val="both"/>
        <w:rPr>
          <w:rFonts w:ascii="Arial" w:hAnsi="Arial" w:cs="Arial"/>
          <w:b/>
        </w:rPr>
      </w:pPr>
      <w:r w:rsidRPr="00EA6AF9">
        <w:rPr>
          <w:rFonts w:ascii="Arial" w:hAnsi="Arial" w:cs="Arial"/>
          <w:b/>
          <w:bCs/>
          <w:iCs/>
        </w:rPr>
        <w:t>JULIO CÉSAR SALAZAR MUÑOZ</w:t>
      </w:r>
      <w:r w:rsidRPr="00EA6AF9">
        <w:rPr>
          <w:rFonts w:ascii="Arial" w:hAnsi="Arial" w:cs="Arial"/>
        </w:rPr>
        <w:t xml:space="preserve">         </w:t>
      </w:r>
      <w:r w:rsidRPr="00EA6AF9">
        <w:rPr>
          <w:rFonts w:ascii="Arial" w:hAnsi="Arial" w:cs="Arial"/>
          <w:b/>
        </w:rPr>
        <w:t>FRANCISCO JAVIER TAMAYO TABARES</w:t>
      </w:r>
    </w:p>
    <w:p w:rsidR="009050FA" w:rsidRPr="00EA6AF9" w:rsidRDefault="00EA6AF9" w:rsidP="00EA6AF9">
      <w:pPr>
        <w:spacing w:line="276" w:lineRule="auto"/>
        <w:ind w:firstLine="708"/>
        <w:contextualSpacing/>
        <w:rPr>
          <w:rFonts w:ascii="Arial" w:hAnsi="Arial" w:cs="Arial"/>
          <w:b/>
        </w:rPr>
      </w:pPr>
      <w:r w:rsidRPr="00EA6AF9">
        <w:rPr>
          <w:rFonts w:ascii="Arial" w:hAnsi="Arial" w:cs="Arial"/>
        </w:rPr>
        <w:t xml:space="preserve">       Magistrado </w:t>
      </w:r>
      <w:r w:rsidRPr="00EA6AF9">
        <w:rPr>
          <w:rFonts w:ascii="Arial" w:hAnsi="Arial" w:cs="Arial"/>
        </w:rPr>
        <w:tab/>
      </w:r>
      <w:r w:rsidRPr="00EA6AF9">
        <w:rPr>
          <w:rFonts w:ascii="Arial" w:hAnsi="Arial" w:cs="Arial"/>
        </w:rPr>
        <w:tab/>
      </w:r>
      <w:r w:rsidRPr="00EA6AF9">
        <w:rPr>
          <w:rFonts w:ascii="Arial" w:hAnsi="Arial" w:cs="Arial"/>
        </w:rPr>
        <w:tab/>
      </w:r>
      <w:r w:rsidRPr="00EA6AF9">
        <w:rPr>
          <w:rFonts w:ascii="Arial" w:hAnsi="Arial" w:cs="Arial"/>
        </w:rPr>
        <w:tab/>
      </w:r>
      <w:r w:rsidRPr="00EA6AF9">
        <w:rPr>
          <w:rFonts w:ascii="Arial" w:hAnsi="Arial" w:cs="Arial"/>
        </w:rPr>
        <w:tab/>
        <w:t xml:space="preserve">   </w:t>
      </w:r>
      <w:proofErr w:type="spellStart"/>
      <w:r w:rsidRPr="00EA6AF9">
        <w:rPr>
          <w:rFonts w:ascii="Arial" w:hAnsi="Arial" w:cs="Arial"/>
        </w:rPr>
        <w:t>Magistrado</w:t>
      </w:r>
      <w:proofErr w:type="spellEnd"/>
    </w:p>
    <w:sectPr w:rsidR="009050FA" w:rsidRPr="00EA6AF9" w:rsidSect="004274CD">
      <w:headerReference w:type="default" r:id="rId8"/>
      <w:footerReference w:type="default" r:id="rId9"/>
      <w:pgSz w:w="12242" w:h="18722" w:code="14"/>
      <w:pgMar w:top="1985" w:right="1418" w:bottom="1418" w:left="1985"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7600" w:rsidRDefault="00137600" w:rsidP="005761C8">
      <w:r>
        <w:separator/>
      </w:r>
    </w:p>
  </w:endnote>
  <w:endnote w:type="continuationSeparator" w:id="0">
    <w:p w:rsidR="00137600" w:rsidRDefault="00137600" w:rsidP="00576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1C8" w:rsidRPr="005761C8" w:rsidRDefault="005761C8" w:rsidP="005761C8">
    <w:pPr>
      <w:pStyle w:val="Piedepgina"/>
      <w:jc w:val="right"/>
      <w:rPr>
        <w:rStyle w:val="Nmerodepgina"/>
        <w:rFonts w:ascii="Arial" w:hAnsi="Arial" w:cs="Arial"/>
        <w:sz w:val="20"/>
      </w:rPr>
    </w:pPr>
    <w:r w:rsidRPr="005761C8">
      <w:rPr>
        <w:rStyle w:val="Nmerodepgina"/>
        <w:rFonts w:ascii="Arial" w:hAnsi="Arial" w:cs="Arial"/>
        <w:sz w:val="20"/>
      </w:rPr>
      <w:fldChar w:fldCharType="begin"/>
    </w:r>
    <w:r w:rsidRPr="005761C8">
      <w:rPr>
        <w:rStyle w:val="Nmerodepgina"/>
        <w:rFonts w:ascii="Arial" w:hAnsi="Arial" w:cs="Arial"/>
        <w:sz w:val="20"/>
      </w:rPr>
      <w:instrText xml:space="preserve">PAGE  </w:instrText>
    </w:r>
    <w:r w:rsidRPr="005761C8">
      <w:rPr>
        <w:rStyle w:val="Nmerodepgina"/>
        <w:rFonts w:ascii="Arial" w:hAnsi="Arial" w:cs="Arial"/>
        <w:sz w:val="20"/>
      </w:rPr>
      <w:fldChar w:fldCharType="separate"/>
    </w:r>
    <w:r w:rsidR="000B43D9">
      <w:rPr>
        <w:rStyle w:val="Nmerodepgina"/>
        <w:rFonts w:ascii="Arial" w:hAnsi="Arial" w:cs="Arial"/>
        <w:noProof/>
        <w:sz w:val="20"/>
      </w:rPr>
      <w:t>5</w:t>
    </w:r>
    <w:r w:rsidRPr="005761C8">
      <w:rPr>
        <w:rStyle w:val="Nmerodepgina"/>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7600" w:rsidRDefault="00137600" w:rsidP="005761C8">
      <w:r>
        <w:separator/>
      </w:r>
    </w:p>
  </w:footnote>
  <w:footnote w:type="continuationSeparator" w:id="0">
    <w:p w:rsidR="00137600" w:rsidRDefault="00137600" w:rsidP="005761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066" w:rsidRPr="00C63066" w:rsidRDefault="00C63066" w:rsidP="00C63066">
    <w:pPr>
      <w:pStyle w:val="Encabezado"/>
      <w:jc w:val="center"/>
      <w:rPr>
        <w:rFonts w:ascii="Arial" w:hAnsi="Arial" w:cs="Arial"/>
        <w:sz w:val="18"/>
        <w:szCs w:val="18"/>
      </w:rPr>
    </w:pPr>
    <w:r w:rsidRPr="00C63066">
      <w:rPr>
        <w:rFonts w:ascii="Arial" w:hAnsi="Arial" w:cs="Arial"/>
        <w:sz w:val="18"/>
        <w:szCs w:val="18"/>
      </w:rPr>
      <w:t xml:space="preserve">Recurso de apelación </w:t>
    </w:r>
  </w:p>
  <w:p w:rsidR="00C63066" w:rsidRPr="00C63066" w:rsidRDefault="00C63066" w:rsidP="00C63066">
    <w:pPr>
      <w:pStyle w:val="Encabezado"/>
      <w:jc w:val="center"/>
      <w:rPr>
        <w:rFonts w:ascii="Arial" w:hAnsi="Arial" w:cs="Arial"/>
        <w:sz w:val="18"/>
        <w:szCs w:val="18"/>
      </w:rPr>
    </w:pPr>
    <w:r w:rsidRPr="00C63066">
      <w:rPr>
        <w:rFonts w:ascii="Arial" w:eastAsia="Calibri" w:hAnsi="Arial" w:cs="Arial"/>
        <w:sz w:val="18"/>
        <w:szCs w:val="18"/>
        <w:lang w:eastAsia="en-US"/>
      </w:rPr>
      <w:t>66001-31-05-001-2006-00527-01</w:t>
    </w:r>
  </w:p>
  <w:p w:rsidR="00C63066" w:rsidRPr="00C63066" w:rsidRDefault="00C63066" w:rsidP="00C63066">
    <w:pPr>
      <w:pStyle w:val="Encabezado"/>
      <w:jc w:val="center"/>
      <w:rPr>
        <w:rFonts w:ascii="Arial" w:hAnsi="Arial" w:cs="Arial"/>
        <w:sz w:val="18"/>
        <w:szCs w:val="18"/>
      </w:rPr>
    </w:pPr>
    <w:r w:rsidRPr="00C63066">
      <w:rPr>
        <w:rFonts w:ascii="Arial" w:hAnsi="Arial" w:cs="Arial"/>
        <w:sz w:val="18"/>
        <w:szCs w:val="18"/>
      </w:rPr>
      <w:t>Luz Mery Ospina López vs Inversiones Miraflores Ltda.</w:t>
    </w:r>
  </w:p>
  <w:p w:rsidR="005761C8" w:rsidRPr="00C63066" w:rsidRDefault="00C63066" w:rsidP="00C63066">
    <w:pPr>
      <w:pStyle w:val="Encabezado"/>
      <w:jc w:val="center"/>
      <w:rPr>
        <w:rFonts w:ascii="Arial" w:hAnsi="Arial" w:cs="Arial"/>
      </w:rPr>
    </w:pPr>
    <w:proofErr w:type="spellStart"/>
    <w:r w:rsidRPr="00C63066">
      <w:rPr>
        <w:rFonts w:ascii="Arial" w:hAnsi="Arial" w:cs="Arial"/>
        <w:sz w:val="18"/>
        <w:szCs w:val="18"/>
      </w:rPr>
      <w:t>Incidentista</w:t>
    </w:r>
    <w:proofErr w:type="spellEnd"/>
    <w:r w:rsidRPr="00C63066">
      <w:rPr>
        <w:rFonts w:ascii="Arial" w:hAnsi="Arial" w:cs="Arial"/>
        <w:sz w:val="18"/>
        <w:szCs w:val="18"/>
      </w:rPr>
      <w:t>: María Aurora García Ospina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B5E22"/>
    <w:multiLevelType w:val="multilevel"/>
    <w:tmpl w:val="91749314"/>
    <w:lvl w:ilvl="0">
      <w:start w:val="1"/>
      <w:numFmt w:val="upperRoman"/>
      <w:lvlText w:val="%1."/>
      <w:lvlJc w:val="left"/>
      <w:pPr>
        <w:ind w:left="1571" w:hanging="720"/>
      </w:pPr>
      <w:rPr>
        <w:rFonts w:hint="default"/>
        <w:i/>
      </w:rPr>
    </w:lvl>
    <w:lvl w:ilvl="1">
      <w:start w:val="1"/>
      <w:numFmt w:val="decimal"/>
      <w:isLgl/>
      <w:lvlText w:val="%1.%2"/>
      <w:lvlJc w:val="left"/>
      <w:pPr>
        <w:ind w:left="1248" w:hanging="390"/>
      </w:pPr>
      <w:rPr>
        <w:rFonts w:hint="default"/>
      </w:rPr>
    </w:lvl>
    <w:lvl w:ilvl="2">
      <w:start w:val="1"/>
      <w:numFmt w:val="decimal"/>
      <w:isLgl/>
      <w:lvlText w:val="%1.%2.%3"/>
      <w:lvlJc w:val="left"/>
      <w:pPr>
        <w:ind w:left="1585" w:hanging="720"/>
      </w:pPr>
      <w:rPr>
        <w:rFonts w:hint="default"/>
      </w:rPr>
    </w:lvl>
    <w:lvl w:ilvl="3">
      <w:start w:val="1"/>
      <w:numFmt w:val="decimal"/>
      <w:isLgl/>
      <w:lvlText w:val="%1.%2.%3.%4"/>
      <w:lvlJc w:val="left"/>
      <w:pPr>
        <w:ind w:left="1592" w:hanging="720"/>
      </w:pPr>
      <w:rPr>
        <w:rFonts w:hint="default"/>
      </w:rPr>
    </w:lvl>
    <w:lvl w:ilvl="4">
      <w:start w:val="1"/>
      <w:numFmt w:val="decimal"/>
      <w:isLgl/>
      <w:lvlText w:val="%1.%2.%3.%4.%5"/>
      <w:lvlJc w:val="left"/>
      <w:pPr>
        <w:ind w:left="1959" w:hanging="1080"/>
      </w:pPr>
      <w:rPr>
        <w:rFonts w:hint="default"/>
      </w:rPr>
    </w:lvl>
    <w:lvl w:ilvl="5">
      <w:start w:val="1"/>
      <w:numFmt w:val="decimal"/>
      <w:isLgl/>
      <w:lvlText w:val="%1.%2.%3.%4.%5.%6"/>
      <w:lvlJc w:val="left"/>
      <w:pPr>
        <w:ind w:left="2326" w:hanging="1440"/>
      </w:pPr>
      <w:rPr>
        <w:rFonts w:hint="default"/>
      </w:rPr>
    </w:lvl>
    <w:lvl w:ilvl="6">
      <w:start w:val="1"/>
      <w:numFmt w:val="decimal"/>
      <w:isLgl/>
      <w:lvlText w:val="%1.%2.%3.%4.%5.%6.%7"/>
      <w:lvlJc w:val="left"/>
      <w:pPr>
        <w:ind w:left="2333" w:hanging="144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2707" w:hanging="1800"/>
      </w:pPr>
      <w:rPr>
        <w:rFonts w:hint="default"/>
      </w:rPr>
    </w:lvl>
  </w:abstractNum>
  <w:abstractNum w:abstractNumId="1">
    <w:nsid w:val="16032394"/>
    <w:multiLevelType w:val="hybridMultilevel"/>
    <w:tmpl w:val="94367026"/>
    <w:lvl w:ilvl="0" w:tplc="188E5D94">
      <w:start w:val="1"/>
      <w:numFmt w:val="upp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
    <w:nsid w:val="1BCB7A59"/>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
    <w:nsid w:val="290560C9"/>
    <w:multiLevelType w:val="multilevel"/>
    <w:tmpl w:val="A8008E30"/>
    <w:lvl w:ilvl="0">
      <w:start w:val="4"/>
      <w:numFmt w:val="decimal"/>
      <w:lvlText w:val="%1"/>
      <w:lvlJc w:val="left"/>
      <w:pPr>
        <w:ind w:left="375" w:hanging="37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4">
    <w:nsid w:val="3E940137"/>
    <w:multiLevelType w:val="hybridMultilevel"/>
    <w:tmpl w:val="14E0281C"/>
    <w:lvl w:ilvl="0" w:tplc="0F5C907E">
      <w:start w:val="1"/>
      <w:numFmt w:val="decimal"/>
      <w:lvlText w:val="%1."/>
      <w:lvlJc w:val="left"/>
      <w:pPr>
        <w:ind w:left="720" w:hanging="360"/>
      </w:pPr>
      <w:rPr>
        <w:rFonts w:ascii="Arial Narrow" w:hAnsi="Arial Narrow" w:hint="default"/>
        <w:b/>
        <w:sz w:val="28"/>
        <w:szCs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6FB25D54"/>
    <w:multiLevelType w:val="multilevel"/>
    <w:tmpl w:val="50D2DD42"/>
    <w:lvl w:ilvl="0">
      <w:start w:val="4"/>
      <w:numFmt w:val="decimal"/>
      <w:lvlText w:val="%1"/>
      <w:lvlJc w:val="left"/>
      <w:pPr>
        <w:ind w:left="375" w:hanging="37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8184" w:hanging="2520"/>
      </w:pPr>
      <w:rPr>
        <w:rFonts w:hint="default"/>
      </w:rPr>
    </w:lvl>
  </w:abstractNum>
  <w:abstractNum w:abstractNumId="6">
    <w:nsid w:val="75CF45FD"/>
    <w:multiLevelType w:val="multilevel"/>
    <w:tmpl w:val="DC7C0A94"/>
    <w:lvl w:ilvl="0">
      <w:start w:val="3"/>
      <w:numFmt w:val="upperRoman"/>
      <w:lvlText w:val="%1."/>
      <w:lvlJc w:val="left"/>
      <w:pPr>
        <w:ind w:left="1428" w:hanging="72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num w:numId="1">
    <w:abstractNumId w:val="1"/>
  </w:num>
  <w:num w:numId="2">
    <w:abstractNumId w:val="6"/>
  </w:num>
  <w:num w:numId="3">
    <w:abstractNumId w:val="0"/>
  </w:num>
  <w:num w:numId="4">
    <w:abstractNumId w:val="4"/>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22C"/>
    <w:rsid w:val="000204A6"/>
    <w:rsid w:val="00026493"/>
    <w:rsid w:val="000B268B"/>
    <w:rsid w:val="000B43D9"/>
    <w:rsid w:val="00137600"/>
    <w:rsid w:val="002B042E"/>
    <w:rsid w:val="002F4251"/>
    <w:rsid w:val="0038676E"/>
    <w:rsid w:val="004274CD"/>
    <w:rsid w:val="004E7541"/>
    <w:rsid w:val="005761C8"/>
    <w:rsid w:val="005D17F4"/>
    <w:rsid w:val="00652C24"/>
    <w:rsid w:val="006919CB"/>
    <w:rsid w:val="006F029D"/>
    <w:rsid w:val="00787A0F"/>
    <w:rsid w:val="008E722C"/>
    <w:rsid w:val="009050FA"/>
    <w:rsid w:val="009A792E"/>
    <w:rsid w:val="00B802DE"/>
    <w:rsid w:val="00B90A27"/>
    <w:rsid w:val="00BB4F78"/>
    <w:rsid w:val="00BF6143"/>
    <w:rsid w:val="00C63066"/>
    <w:rsid w:val="00EA6AF9"/>
    <w:rsid w:val="00EE071F"/>
    <w:rsid w:val="00EE504B"/>
    <w:rsid w:val="00F55B00"/>
    <w:rsid w:val="00F9012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934F1A-FAB5-46B8-A33F-9635635EB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22C"/>
    <w:rPr>
      <w:rFonts w:ascii="Times New Roman" w:eastAsia="Times New Roman" w:hAnsi="Times New Roman"/>
      <w:sz w:val="24"/>
      <w:szCs w:val="24"/>
    </w:rPr>
  </w:style>
  <w:style w:type="paragraph" w:styleId="Ttulo3">
    <w:name w:val="heading 3"/>
    <w:basedOn w:val="Normal"/>
    <w:next w:val="Normal"/>
    <w:link w:val="Ttulo3Car"/>
    <w:qFormat/>
    <w:rsid w:val="00EE071F"/>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EE071F"/>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rsid w:val="00EE071F"/>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8E722C"/>
    <w:rPr>
      <w:rFonts w:eastAsia="Times New Roman"/>
      <w:sz w:val="22"/>
      <w:szCs w:val="22"/>
    </w:rPr>
  </w:style>
  <w:style w:type="character" w:customStyle="1" w:styleId="SinespaciadoCar">
    <w:name w:val="Sin espaciado Car"/>
    <w:link w:val="Sinespaciado"/>
    <w:uiPriority w:val="1"/>
    <w:locked/>
    <w:rsid w:val="008E722C"/>
    <w:rPr>
      <w:rFonts w:ascii="Calibri" w:eastAsia="Times New Roman" w:hAnsi="Calibri" w:cs="Times New Roman"/>
      <w:lang w:eastAsia="es-ES"/>
    </w:rPr>
  </w:style>
  <w:style w:type="paragraph" w:customStyle="1" w:styleId="Prrafodelista1">
    <w:name w:val="Párrafo de lista1"/>
    <w:basedOn w:val="Normal"/>
    <w:rsid w:val="005761C8"/>
    <w:pPr>
      <w:spacing w:after="200" w:line="276" w:lineRule="auto"/>
      <w:ind w:left="720"/>
      <w:contextualSpacing/>
    </w:pPr>
    <w:rPr>
      <w:rFonts w:ascii="Calibri" w:hAnsi="Calibri"/>
      <w:sz w:val="22"/>
      <w:szCs w:val="22"/>
      <w:lang w:val="es-CO" w:eastAsia="en-US"/>
    </w:rPr>
  </w:style>
  <w:style w:type="paragraph" w:styleId="Prrafodelista">
    <w:name w:val="List Paragraph"/>
    <w:basedOn w:val="Normal"/>
    <w:uiPriority w:val="34"/>
    <w:qFormat/>
    <w:rsid w:val="005761C8"/>
    <w:pPr>
      <w:ind w:left="708"/>
    </w:pPr>
    <w:rPr>
      <w:szCs w:val="20"/>
      <w:lang w:val="es-ES_tradnl"/>
    </w:rPr>
  </w:style>
  <w:style w:type="paragraph" w:customStyle="1" w:styleId="Textoindependiente31">
    <w:name w:val="Texto independiente 31"/>
    <w:basedOn w:val="Normal"/>
    <w:rsid w:val="005761C8"/>
    <w:pPr>
      <w:spacing w:line="360" w:lineRule="auto"/>
      <w:jc w:val="both"/>
    </w:pPr>
    <w:rPr>
      <w:rFonts w:ascii="Arial" w:hAnsi="Arial"/>
      <w:sz w:val="28"/>
      <w:szCs w:val="20"/>
      <w:lang w:val="es-ES_tradnl"/>
    </w:rPr>
  </w:style>
  <w:style w:type="paragraph" w:styleId="Textoindependiente">
    <w:name w:val="Body Text"/>
    <w:basedOn w:val="Normal"/>
    <w:link w:val="TextoindependienteCar"/>
    <w:unhideWhenUsed/>
    <w:rsid w:val="005761C8"/>
    <w:pPr>
      <w:spacing w:line="360" w:lineRule="auto"/>
      <w:jc w:val="both"/>
    </w:pPr>
    <w:rPr>
      <w:rFonts w:ascii="Arial" w:hAnsi="Arial"/>
      <w:sz w:val="26"/>
      <w:szCs w:val="20"/>
      <w:lang w:val="es-ES_tradnl"/>
    </w:rPr>
  </w:style>
  <w:style w:type="character" w:customStyle="1" w:styleId="TextoindependienteCar">
    <w:name w:val="Texto independiente Car"/>
    <w:basedOn w:val="Fuentedeprrafopredeter"/>
    <w:link w:val="Textoindependiente"/>
    <w:rsid w:val="005761C8"/>
    <w:rPr>
      <w:rFonts w:ascii="Arial" w:eastAsia="Times New Roman" w:hAnsi="Arial"/>
      <w:sz w:val="26"/>
      <w:lang w:val="es-ES_tradnl"/>
    </w:rPr>
  </w:style>
  <w:style w:type="paragraph" w:styleId="NormalWeb">
    <w:name w:val="Normal (Web)"/>
    <w:basedOn w:val="Normal"/>
    <w:uiPriority w:val="99"/>
    <w:unhideWhenUsed/>
    <w:rsid w:val="005761C8"/>
    <w:pPr>
      <w:spacing w:before="100" w:beforeAutospacing="1" w:after="100" w:afterAutospacing="1"/>
    </w:pPr>
  </w:style>
  <w:style w:type="paragraph" w:styleId="Encabezado">
    <w:name w:val="header"/>
    <w:basedOn w:val="Normal"/>
    <w:link w:val="EncabezadoCar"/>
    <w:uiPriority w:val="99"/>
    <w:unhideWhenUsed/>
    <w:rsid w:val="005761C8"/>
    <w:pPr>
      <w:tabs>
        <w:tab w:val="center" w:pos="4252"/>
        <w:tab w:val="right" w:pos="8504"/>
      </w:tabs>
    </w:pPr>
  </w:style>
  <w:style w:type="character" w:customStyle="1" w:styleId="EncabezadoCar">
    <w:name w:val="Encabezado Car"/>
    <w:basedOn w:val="Fuentedeprrafopredeter"/>
    <w:link w:val="Encabezado"/>
    <w:uiPriority w:val="99"/>
    <w:rsid w:val="005761C8"/>
    <w:rPr>
      <w:rFonts w:ascii="Times New Roman" w:eastAsia="Times New Roman" w:hAnsi="Times New Roman"/>
      <w:sz w:val="24"/>
      <w:szCs w:val="24"/>
    </w:rPr>
  </w:style>
  <w:style w:type="paragraph" w:styleId="Piedepgina">
    <w:name w:val="footer"/>
    <w:basedOn w:val="Normal"/>
    <w:link w:val="PiedepginaCar"/>
    <w:unhideWhenUsed/>
    <w:rsid w:val="005761C8"/>
    <w:pPr>
      <w:tabs>
        <w:tab w:val="center" w:pos="4252"/>
        <w:tab w:val="right" w:pos="8504"/>
      </w:tabs>
    </w:pPr>
  </w:style>
  <w:style w:type="character" w:customStyle="1" w:styleId="PiedepginaCar">
    <w:name w:val="Pie de página Car"/>
    <w:basedOn w:val="Fuentedeprrafopredeter"/>
    <w:link w:val="Piedepgina"/>
    <w:rsid w:val="005761C8"/>
    <w:rPr>
      <w:rFonts w:ascii="Times New Roman" w:eastAsia="Times New Roman" w:hAnsi="Times New Roman"/>
      <w:sz w:val="24"/>
      <w:szCs w:val="24"/>
    </w:rPr>
  </w:style>
  <w:style w:type="character" w:styleId="Nmerodepgina">
    <w:name w:val="page number"/>
    <w:basedOn w:val="Fuentedeprrafopredeter"/>
    <w:rsid w:val="005761C8"/>
  </w:style>
  <w:style w:type="paragraph" w:customStyle="1" w:styleId="Textoindependiente32">
    <w:name w:val="Texto independiente 32"/>
    <w:basedOn w:val="Normal"/>
    <w:rsid w:val="00F90124"/>
    <w:pPr>
      <w:spacing w:line="360" w:lineRule="auto"/>
      <w:jc w:val="both"/>
    </w:pPr>
    <w:rPr>
      <w:rFonts w:ascii="Arial" w:hAnsi="Arial"/>
      <w:szCs w:val="20"/>
      <w:lang w:val="es-ES_tradnl"/>
    </w:rPr>
  </w:style>
  <w:style w:type="paragraph" w:styleId="Sangradetextonormal">
    <w:name w:val="Body Text Indent"/>
    <w:basedOn w:val="Normal"/>
    <w:link w:val="SangradetextonormalCar"/>
    <w:uiPriority w:val="99"/>
    <w:semiHidden/>
    <w:unhideWhenUsed/>
    <w:rsid w:val="00EE071F"/>
    <w:pPr>
      <w:spacing w:after="120"/>
      <w:ind w:left="283"/>
    </w:pPr>
  </w:style>
  <w:style w:type="character" w:customStyle="1" w:styleId="SangradetextonormalCar">
    <w:name w:val="Sangría de texto normal Car"/>
    <w:basedOn w:val="Fuentedeprrafopredeter"/>
    <w:link w:val="Sangradetextonormal"/>
    <w:uiPriority w:val="99"/>
    <w:semiHidden/>
    <w:rsid w:val="00EE071F"/>
    <w:rPr>
      <w:rFonts w:ascii="Times New Roman" w:eastAsia="Times New Roman" w:hAnsi="Times New Roman"/>
      <w:sz w:val="24"/>
      <w:szCs w:val="24"/>
    </w:rPr>
  </w:style>
  <w:style w:type="character" w:customStyle="1" w:styleId="Ttulo3Car">
    <w:name w:val="Título 3 Car"/>
    <w:basedOn w:val="Fuentedeprrafopredeter"/>
    <w:link w:val="Ttulo3"/>
    <w:rsid w:val="00EE071F"/>
    <w:rPr>
      <w:rFonts w:ascii="Arial" w:eastAsia="Times New Roman" w:hAnsi="Arial" w:cs="Arial"/>
      <w:b/>
      <w:bCs/>
      <w:sz w:val="26"/>
      <w:szCs w:val="26"/>
    </w:rPr>
  </w:style>
  <w:style w:type="character" w:customStyle="1" w:styleId="Ttulo4Car">
    <w:name w:val="Título 4 Car"/>
    <w:basedOn w:val="Fuentedeprrafopredeter"/>
    <w:link w:val="Ttulo4"/>
    <w:rsid w:val="00EE071F"/>
    <w:rPr>
      <w:rFonts w:ascii="Times New Roman" w:eastAsia="Times New Roman" w:hAnsi="Times New Roman"/>
      <w:b/>
      <w:sz w:val="24"/>
    </w:rPr>
  </w:style>
  <w:style w:type="character" w:customStyle="1" w:styleId="Ttulo5Car">
    <w:name w:val="Título 5 Car"/>
    <w:basedOn w:val="Fuentedeprrafopredeter"/>
    <w:link w:val="Ttulo5"/>
    <w:rsid w:val="00EE071F"/>
    <w:rPr>
      <w:rFonts w:ascii="Arial" w:eastAsia="Times New Roman" w:hAnsi="Arial" w:cs="Arial"/>
      <w:b/>
      <w:bCs/>
      <w:sz w:val="24"/>
      <w:szCs w:val="24"/>
    </w:rPr>
  </w:style>
  <w:style w:type="paragraph" w:styleId="Puesto">
    <w:name w:val="Title"/>
    <w:basedOn w:val="Normal"/>
    <w:link w:val="PuestoCar"/>
    <w:qFormat/>
    <w:rsid w:val="00EE071F"/>
    <w:pPr>
      <w:widowControl w:val="0"/>
      <w:autoSpaceDE w:val="0"/>
      <w:autoSpaceDN w:val="0"/>
      <w:adjustRightInd w:val="0"/>
      <w:spacing w:line="360" w:lineRule="auto"/>
      <w:jc w:val="center"/>
    </w:pPr>
    <w:rPr>
      <w:rFonts w:ascii="Arial" w:hAnsi="Arial" w:cs="Arial"/>
      <w:b/>
    </w:rPr>
  </w:style>
  <w:style w:type="character" w:customStyle="1" w:styleId="PuestoCar">
    <w:name w:val="Puesto Car"/>
    <w:basedOn w:val="Fuentedeprrafopredeter"/>
    <w:link w:val="Puesto"/>
    <w:rsid w:val="00EE071F"/>
    <w:rPr>
      <w:rFonts w:ascii="Arial" w:eastAsia="Times New Roman" w:hAnsi="Arial" w:cs="Arial"/>
      <w:b/>
      <w:sz w:val="24"/>
      <w:szCs w:val="24"/>
    </w:rPr>
  </w:style>
  <w:style w:type="character" w:customStyle="1" w:styleId="apple-converted-space">
    <w:name w:val="apple-converted-space"/>
    <w:basedOn w:val="Fuentedeprrafopredeter"/>
    <w:rsid w:val="00EE071F"/>
  </w:style>
  <w:style w:type="paragraph" w:customStyle="1" w:styleId="xmsonormal">
    <w:name w:val="x_msonormal"/>
    <w:basedOn w:val="Normal"/>
    <w:rsid w:val="00EE071F"/>
    <w:pPr>
      <w:spacing w:before="100" w:beforeAutospacing="1" w:after="100" w:afterAutospacing="1"/>
    </w:pPr>
  </w:style>
  <w:style w:type="paragraph" w:customStyle="1" w:styleId="Standard">
    <w:name w:val="Standard"/>
    <w:rsid w:val="00EA6AF9"/>
    <w:pPr>
      <w:widowControl w:val="0"/>
      <w:suppressAutoHyphens/>
      <w:autoSpaceDN w:val="0"/>
      <w:textAlignment w:val="baseline"/>
    </w:pPr>
    <w:rPr>
      <w:rFonts w:ascii="Liberation Serif" w:eastAsia="SimSun" w:hAnsi="Liberation Serif" w:cs="Mangal"/>
      <w:kern w:val="3"/>
      <w:sz w:val="24"/>
      <w:szCs w:val="24"/>
      <w:lang w:val="es-CO" w:eastAsia="zh-CN" w:bidi="hi-IN"/>
    </w:rPr>
  </w:style>
  <w:style w:type="character" w:styleId="Textoennegrita">
    <w:name w:val="Strong"/>
    <w:basedOn w:val="Fuentedeprrafopredeter"/>
    <w:qFormat/>
    <w:rsid w:val="00EA6A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1559</Words>
  <Characters>8578</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Lora Rodriguez</dc:creator>
  <cp:keywords/>
  <dc:description/>
  <cp:lastModifiedBy>Henry Lora Rodriguez</cp:lastModifiedBy>
  <cp:revision>4</cp:revision>
  <dcterms:created xsi:type="dcterms:W3CDTF">2019-01-28T21:19:00Z</dcterms:created>
  <dcterms:modified xsi:type="dcterms:W3CDTF">2019-02-07T18:08:00Z</dcterms:modified>
</cp:coreProperties>
</file>