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374" w:rsidRPr="00D63801" w:rsidRDefault="00721374" w:rsidP="00721374">
      <w:pPr>
        <w:pBdr>
          <w:top w:val="single" w:sz="4" w:space="1" w:color="auto"/>
          <w:left w:val="single" w:sz="4" w:space="4" w:color="auto"/>
          <w:bottom w:val="single" w:sz="4" w:space="1" w:color="auto"/>
          <w:right w:val="single" w:sz="4" w:space="4" w:color="auto"/>
        </w:pBdr>
        <w:shd w:val="clear" w:color="auto" w:fill="FFFFFF"/>
        <w:spacing w:line="240" w:lineRule="auto"/>
        <w:rPr>
          <w:rFonts w:ascii="Arial" w:eastAsia="Calibri" w:hAnsi="Arial" w:cs="Arial"/>
          <w:color w:val="FF0000"/>
          <w:sz w:val="18"/>
          <w:szCs w:val="18"/>
          <w:lang w:val="es-CO" w:eastAsia="fr-FR"/>
        </w:rPr>
      </w:pPr>
      <w:r w:rsidRPr="00D63801">
        <w:rPr>
          <w:rFonts w:ascii="Arial" w:eastAsia="Calibri" w:hAnsi="Arial" w:cs="Arial"/>
          <w:color w:val="FF0000"/>
          <w:spacing w:val="-8"/>
          <w:sz w:val="18"/>
          <w:szCs w:val="18"/>
          <w:lang w:val="es-CO" w:eastAsia="fr-FR"/>
        </w:rPr>
        <w:t xml:space="preserve">El siguiente es el documento presentado por el Magistrado Ponente que sirvió de base para proferir la providencia dentro del presente proceso.  </w:t>
      </w:r>
      <w:r w:rsidRPr="00D63801">
        <w:rPr>
          <w:rFonts w:ascii="Arial" w:eastAsia="Calibri" w:hAnsi="Arial" w:cs="Arial"/>
          <w:color w:val="FF0000"/>
          <w:sz w:val="18"/>
          <w:szCs w:val="18"/>
          <w:lang w:val="es-CO" w:eastAsia="fr-FR"/>
        </w:rPr>
        <w:t>El contenido total y fiel de la decisión debe ser verificado en la Secretaría de esta Sala.</w:t>
      </w:r>
    </w:p>
    <w:p w:rsidR="00721374" w:rsidRPr="00D63801" w:rsidRDefault="00721374" w:rsidP="00721374">
      <w:pPr>
        <w:shd w:val="clear" w:color="auto" w:fill="FFFFFF"/>
        <w:spacing w:line="240" w:lineRule="auto"/>
        <w:ind w:left="1843" w:hanging="1843"/>
        <w:rPr>
          <w:rFonts w:ascii="Arial" w:hAnsi="Arial" w:cs="Arial"/>
          <w:sz w:val="18"/>
          <w:szCs w:val="18"/>
          <w:lang w:val="es-CO" w:eastAsia="fr-FR"/>
        </w:rPr>
      </w:pPr>
    </w:p>
    <w:p w:rsidR="00721374" w:rsidRPr="00D63801" w:rsidRDefault="00721374" w:rsidP="00721374">
      <w:pPr>
        <w:shd w:val="clear" w:color="auto" w:fill="FFFFFF"/>
        <w:spacing w:line="240" w:lineRule="auto"/>
        <w:ind w:left="1843" w:hanging="1843"/>
        <w:rPr>
          <w:rFonts w:ascii="Arial" w:hAnsi="Arial" w:cs="Arial"/>
          <w:sz w:val="18"/>
          <w:szCs w:val="18"/>
          <w:lang w:val="es-CO" w:eastAsia="fr-FR"/>
        </w:rPr>
      </w:pPr>
    </w:p>
    <w:p w:rsidR="00721374" w:rsidRPr="00D63801" w:rsidRDefault="00721374" w:rsidP="00721374">
      <w:pPr>
        <w:shd w:val="clear" w:color="auto" w:fill="FFFFFF"/>
        <w:spacing w:line="240" w:lineRule="auto"/>
        <w:ind w:left="1843" w:hanging="1843"/>
        <w:rPr>
          <w:rFonts w:ascii="Arial" w:hAnsi="Arial" w:cs="Arial"/>
          <w:sz w:val="22"/>
          <w:szCs w:val="22"/>
          <w:lang w:val="es-CO" w:eastAsia="fr-FR"/>
        </w:rPr>
      </w:pPr>
      <w:r w:rsidRPr="00D63801">
        <w:rPr>
          <w:rFonts w:ascii="Arial" w:hAnsi="Arial" w:cs="Arial"/>
          <w:sz w:val="22"/>
          <w:szCs w:val="22"/>
          <w:lang w:val="es-CO" w:eastAsia="fr-FR"/>
        </w:rPr>
        <w:t>Providencia:</w:t>
      </w:r>
      <w:r w:rsidRPr="00D63801">
        <w:rPr>
          <w:rFonts w:ascii="Arial" w:hAnsi="Arial" w:cs="Arial"/>
          <w:sz w:val="22"/>
          <w:szCs w:val="22"/>
          <w:lang w:val="es-CO" w:eastAsia="fr-FR"/>
        </w:rPr>
        <w:tab/>
        <w:t xml:space="preserve">     Sentencia  – 2ª instancia – 12 de septiembre de 2018</w:t>
      </w:r>
    </w:p>
    <w:p w:rsidR="00721374" w:rsidRPr="00D63801" w:rsidRDefault="00721374" w:rsidP="00721374">
      <w:pPr>
        <w:shd w:val="clear" w:color="auto" w:fill="FFFFFF"/>
        <w:tabs>
          <w:tab w:val="left" w:pos="1843"/>
          <w:tab w:val="left" w:pos="4755"/>
        </w:tabs>
        <w:spacing w:line="240" w:lineRule="auto"/>
        <w:ind w:left="1843" w:hanging="1843"/>
        <w:rPr>
          <w:rFonts w:ascii="Arial" w:eastAsia="Calibri" w:hAnsi="Arial" w:cs="Arial"/>
          <w:sz w:val="22"/>
          <w:szCs w:val="22"/>
          <w:lang w:eastAsia="fr-FR"/>
        </w:rPr>
      </w:pPr>
      <w:r w:rsidRPr="00D63801">
        <w:rPr>
          <w:rFonts w:ascii="Arial" w:eastAsia="Calibri" w:hAnsi="Arial" w:cs="Arial"/>
          <w:sz w:val="22"/>
          <w:szCs w:val="22"/>
          <w:lang w:val="es-CO" w:eastAsia="fr-FR"/>
        </w:rPr>
        <w:t>Proceso:    </w:t>
      </w:r>
      <w:r w:rsidRPr="00D63801">
        <w:rPr>
          <w:rFonts w:ascii="Arial" w:eastAsia="Calibri" w:hAnsi="Arial" w:cs="Arial"/>
          <w:sz w:val="22"/>
          <w:szCs w:val="22"/>
          <w:lang w:val="es-CO" w:eastAsia="fr-FR"/>
        </w:rPr>
        <w:tab/>
        <w:t xml:space="preserve">     Hurto calificado y agravado</w:t>
      </w:r>
    </w:p>
    <w:p w:rsidR="00721374" w:rsidRPr="00D63801" w:rsidRDefault="00721374" w:rsidP="00721374">
      <w:pPr>
        <w:shd w:val="clear" w:color="auto" w:fill="FFFFFF"/>
        <w:spacing w:line="240" w:lineRule="auto"/>
        <w:ind w:left="1843" w:hanging="1843"/>
        <w:rPr>
          <w:rFonts w:ascii="Arial" w:hAnsi="Arial" w:cs="Arial"/>
          <w:sz w:val="22"/>
          <w:szCs w:val="22"/>
          <w:lang w:val="es-CO" w:eastAsia="fr-FR"/>
        </w:rPr>
      </w:pPr>
      <w:r w:rsidRPr="00D63801">
        <w:rPr>
          <w:rFonts w:ascii="Arial" w:hAnsi="Arial" w:cs="Arial"/>
          <w:sz w:val="22"/>
          <w:szCs w:val="22"/>
          <w:lang w:val="es-CO" w:eastAsia="fr-FR"/>
        </w:rPr>
        <w:t>Radicación No.           666826000065201100919-01</w:t>
      </w:r>
    </w:p>
    <w:p w:rsidR="00721374" w:rsidRPr="00D63801" w:rsidRDefault="00721374" w:rsidP="00721374">
      <w:pPr>
        <w:shd w:val="clear" w:color="auto" w:fill="FFFFFF"/>
        <w:spacing w:line="240" w:lineRule="auto"/>
        <w:ind w:left="1843" w:hanging="1843"/>
        <w:rPr>
          <w:rFonts w:ascii="Arial" w:hAnsi="Arial" w:cs="Arial"/>
          <w:sz w:val="22"/>
          <w:szCs w:val="22"/>
          <w:lang w:val="es-CO" w:eastAsia="fr-FR"/>
        </w:rPr>
      </w:pPr>
      <w:r w:rsidRPr="00D63801">
        <w:rPr>
          <w:rFonts w:ascii="Arial" w:hAnsi="Arial" w:cs="Arial"/>
          <w:sz w:val="22"/>
          <w:szCs w:val="22"/>
          <w:lang w:val="es-CO" w:eastAsia="fr-FR"/>
        </w:rPr>
        <w:t>Procesado:                 José De Jesús Largo López</w:t>
      </w:r>
    </w:p>
    <w:p w:rsidR="00721374" w:rsidRPr="00D63801" w:rsidRDefault="00721374" w:rsidP="00721374">
      <w:pPr>
        <w:shd w:val="clear" w:color="auto" w:fill="FFFFFF"/>
        <w:spacing w:line="240" w:lineRule="auto"/>
        <w:ind w:left="1843" w:hanging="1843"/>
        <w:rPr>
          <w:rFonts w:ascii="Arial" w:hAnsi="Arial" w:cs="Arial"/>
          <w:sz w:val="22"/>
          <w:szCs w:val="22"/>
          <w:lang w:val="es-CO" w:eastAsia="fr-FR"/>
        </w:rPr>
      </w:pPr>
      <w:r w:rsidRPr="00D63801">
        <w:rPr>
          <w:rFonts w:ascii="Arial" w:hAnsi="Arial" w:cs="Arial"/>
          <w:sz w:val="22"/>
          <w:szCs w:val="22"/>
          <w:lang w:val="es-CO" w:eastAsia="fr-FR"/>
        </w:rPr>
        <w:t>Magistrado Ponente</w:t>
      </w:r>
      <w:proofErr w:type="gramStart"/>
      <w:r w:rsidRPr="00D63801">
        <w:rPr>
          <w:rFonts w:ascii="Arial" w:hAnsi="Arial" w:cs="Arial"/>
          <w:sz w:val="22"/>
          <w:szCs w:val="22"/>
          <w:lang w:val="es-CO" w:eastAsia="fr-FR"/>
        </w:rPr>
        <w:t>:  Jorge</w:t>
      </w:r>
      <w:proofErr w:type="gramEnd"/>
      <w:r w:rsidRPr="00D63801">
        <w:rPr>
          <w:rFonts w:ascii="Arial" w:hAnsi="Arial" w:cs="Arial"/>
          <w:sz w:val="22"/>
          <w:szCs w:val="22"/>
          <w:lang w:val="es-CO" w:eastAsia="fr-FR"/>
        </w:rPr>
        <w:t xml:space="preserve"> Arturo Castaño Duque</w:t>
      </w:r>
    </w:p>
    <w:p w:rsidR="00721374" w:rsidRPr="00D63801" w:rsidRDefault="00721374" w:rsidP="00721374">
      <w:pPr>
        <w:shd w:val="clear" w:color="auto" w:fill="FFFFFF"/>
        <w:spacing w:line="240" w:lineRule="auto"/>
        <w:ind w:left="1843" w:hanging="1843"/>
        <w:rPr>
          <w:rFonts w:ascii="Arial" w:hAnsi="Arial" w:cs="Arial"/>
          <w:sz w:val="22"/>
          <w:szCs w:val="22"/>
          <w:lang w:val="es-CO" w:eastAsia="fr-FR"/>
        </w:rPr>
      </w:pPr>
    </w:p>
    <w:p w:rsidR="00721374" w:rsidRPr="00D63801" w:rsidRDefault="00721374" w:rsidP="00721374">
      <w:pPr>
        <w:shd w:val="clear" w:color="auto" w:fill="FFFFFF"/>
        <w:spacing w:line="240" w:lineRule="auto"/>
        <w:ind w:left="1843" w:hanging="1843"/>
        <w:rPr>
          <w:rFonts w:ascii="Arial" w:hAnsi="Arial" w:cs="Arial"/>
          <w:sz w:val="22"/>
          <w:szCs w:val="22"/>
          <w:lang w:val="es-CO" w:eastAsia="fr-FR"/>
        </w:rPr>
      </w:pPr>
    </w:p>
    <w:p w:rsidR="00D63801" w:rsidRPr="00D63801" w:rsidRDefault="00D63801" w:rsidP="00D63801">
      <w:pPr>
        <w:shd w:val="clear" w:color="auto" w:fill="FFFFFF"/>
        <w:spacing w:line="240" w:lineRule="auto"/>
        <w:rPr>
          <w:rFonts w:ascii="Arial" w:hAnsi="Arial" w:cs="Arial"/>
          <w:sz w:val="22"/>
          <w:szCs w:val="22"/>
          <w:lang w:val="es-CO" w:eastAsia="fr-FR"/>
        </w:rPr>
      </w:pPr>
      <w:r w:rsidRPr="00D63801">
        <w:rPr>
          <w:rFonts w:ascii="Arial" w:hAnsi="Arial" w:cs="Arial"/>
          <w:b/>
          <w:sz w:val="22"/>
          <w:szCs w:val="22"/>
          <w:lang w:val="es-CO" w:eastAsia="fr-FR"/>
        </w:rPr>
        <w:t xml:space="preserve">TEMAS:   </w:t>
      </w:r>
      <w:r w:rsidRPr="00D63801">
        <w:rPr>
          <w:rFonts w:ascii="Arial" w:hAnsi="Arial" w:cs="Arial"/>
          <w:b/>
          <w:sz w:val="22"/>
          <w:szCs w:val="22"/>
          <w:lang w:val="es-CO" w:eastAsia="fr-FR"/>
        </w:rPr>
        <w:tab/>
      </w:r>
      <w:r w:rsidRPr="00D63801">
        <w:rPr>
          <w:rFonts w:ascii="Arial" w:hAnsi="Arial" w:cs="Arial"/>
          <w:b/>
          <w:sz w:val="22"/>
          <w:szCs w:val="22"/>
          <w:lang w:val="es-CO" w:eastAsia="fr-FR"/>
        </w:rPr>
        <w:tab/>
        <w:t>HURTO CALIFICADO Y AGRAVADO/</w:t>
      </w:r>
      <w:r w:rsidR="00962822" w:rsidRPr="00962822">
        <w:rPr>
          <w:rFonts w:ascii="Arial" w:hAnsi="Arial" w:cs="Arial"/>
          <w:b/>
          <w:sz w:val="22"/>
          <w:szCs w:val="22"/>
          <w:lang w:val="es-CO" w:eastAsia="fr-FR"/>
        </w:rPr>
        <w:t xml:space="preserve"> </w:t>
      </w:r>
      <w:r w:rsidR="00962822" w:rsidRPr="00D63801">
        <w:rPr>
          <w:rFonts w:ascii="Arial" w:hAnsi="Arial" w:cs="Arial"/>
          <w:b/>
          <w:sz w:val="22"/>
          <w:szCs w:val="22"/>
          <w:lang w:val="es-CO" w:eastAsia="fr-FR"/>
        </w:rPr>
        <w:t>REDOSIFICACIÓN PUNITIVA</w:t>
      </w:r>
      <w:r w:rsidR="00962822">
        <w:rPr>
          <w:rFonts w:ascii="Arial" w:hAnsi="Arial" w:cs="Arial"/>
          <w:b/>
          <w:sz w:val="22"/>
          <w:szCs w:val="22"/>
          <w:lang w:val="es-CO" w:eastAsia="fr-FR"/>
        </w:rPr>
        <w:t xml:space="preserve"> EN APLICACIÓN AL PRINCIPIO DE FAVORABILIDAD/</w:t>
      </w:r>
      <w:r w:rsidRPr="00D63801">
        <w:rPr>
          <w:rFonts w:ascii="Arial" w:hAnsi="Arial" w:cs="Arial"/>
          <w:b/>
          <w:sz w:val="22"/>
          <w:szCs w:val="22"/>
          <w:lang w:val="es-CO" w:eastAsia="fr-FR"/>
        </w:rPr>
        <w:t xml:space="preserve"> AUDIENCIA FORMULACIÓN DE ACUSACIÓN </w:t>
      </w:r>
      <w:r>
        <w:rPr>
          <w:rFonts w:ascii="Arial" w:hAnsi="Arial" w:cs="Arial"/>
          <w:b/>
          <w:sz w:val="22"/>
          <w:szCs w:val="22"/>
          <w:lang w:val="es-CO" w:eastAsia="fr-FR"/>
        </w:rPr>
        <w:t>-</w:t>
      </w:r>
      <w:r w:rsidRPr="00D63801">
        <w:rPr>
          <w:rFonts w:ascii="Arial" w:hAnsi="Arial" w:cs="Arial"/>
          <w:b/>
          <w:sz w:val="22"/>
          <w:szCs w:val="22"/>
          <w:lang w:val="es-CO" w:eastAsia="fr-FR"/>
        </w:rPr>
        <w:t>25 DE SEPTIEMBRE DE 2017</w:t>
      </w:r>
      <w:r>
        <w:rPr>
          <w:rFonts w:ascii="Arial" w:hAnsi="Arial" w:cs="Arial"/>
          <w:b/>
          <w:sz w:val="22"/>
          <w:szCs w:val="22"/>
          <w:lang w:val="es-CO" w:eastAsia="fr-FR"/>
        </w:rPr>
        <w:t>-</w:t>
      </w:r>
      <w:r w:rsidRPr="00D63801">
        <w:rPr>
          <w:rFonts w:ascii="Arial" w:hAnsi="Arial" w:cs="Arial"/>
          <w:b/>
          <w:sz w:val="22"/>
          <w:szCs w:val="22"/>
          <w:lang w:val="es-CO" w:eastAsia="fr-FR"/>
        </w:rPr>
        <w:t xml:space="preserve">/ </w:t>
      </w:r>
      <w:r>
        <w:rPr>
          <w:rFonts w:ascii="Arial" w:hAnsi="Arial" w:cs="Arial"/>
          <w:b/>
          <w:sz w:val="22"/>
          <w:szCs w:val="22"/>
          <w:lang w:val="es-CO" w:eastAsia="fr-FR"/>
        </w:rPr>
        <w:t xml:space="preserve">EL PROCESADO </w:t>
      </w:r>
      <w:r w:rsidRPr="00D63801">
        <w:rPr>
          <w:rFonts w:ascii="Arial" w:hAnsi="Arial" w:cs="Arial"/>
          <w:b/>
          <w:sz w:val="22"/>
          <w:szCs w:val="22"/>
          <w:lang w:val="es-CO" w:eastAsia="fr-FR"/>
        </w:rPr>
        <w:t>ACEPT</w:t>
      </w:r>
      <w:r>
        <w:rPr>
          <w:rFonts w:ascii="Arial" w:hAnsi="Arial" w:cs="Arial"/>
          <w:b/>
          <w:sz w:val="22"/>
          <w:szCs w:val="22"/>
          <w:lang w:val="es-CO" w:eastAsia="fr-FR"/>
        </w:rPr>
        <w:t>Ó</w:t>
      </w:r>
      <w:r w:rsidRPr="00D63801">
        <w:rPr>
          <w:rFonts w:ascii="Arial" w:hAnsi="Arial" w:cs="Arial"/>
          <w:b/>
          <w:sz w:val="22"/>
          <w:szCs w:val="22"/>
          <w:lang w:val="es-CO" w:eastAsia="fr-FR"/>
        </w:rPr>
        <w:t xml:space="preserve"> CARGOS/ -REBAJA 1/3/- </w:t>
      </w:r>
      <w:r>
        <w:rPr>
          <w:rFonts w:ascii="Arial" w:hAnsi="Arial" w:cs="Arial"/>
          <w:b/>
          <w:sz w:val="22"/>
          <w:szCs w:val="22"/>
          <w:lang w:val="es-CO" w:eastAsia="fr-FR"/>
        </w:rPr>
        <w:t xml:space="preserve">AJUSTADA A DERECHO/ </w:t>
      </w:r>
      <w:r w:rsidR="00962822">
        <w:rPr>
          <w:rFonts w:ascii="Arial" w:hAnsi="Arial" w:cs="Arial"/>
          <w:b/>
          <w:sz w:val="22"/>
          <w:szCs w:val="22"/>
          <w:lang w:val="es-CO" w:eastAsia="fr-FR"/>
        </w:rPr>
        <w:t xml:space="preserve">NORMATIVA Y </w:t>
      </w:r>
      <w:bookmarkStart w:id="0" w:name="_GoBack"/>
      <w:bookmarkEnd w:id="0"/>
      <w:r w:rsidRPr="00D63801">
        <w:rPr>
          <w:rFonts w:ascii="Arial" w:hAnsi="Arial" w:cs="Arial"/>
          <w:b/>
          <w:sz w:val="22"/>
          <w:szCs w:val="22"/>
        </w:rPr>
        <w:t>LÍNEA JURISPRUDENCIAL DE LA CORTE SUPREMA DE JUSTICIA</w:t>
      </w:r>
      <w:r>
        <w:rPr>
          <w:rFonts w:ascii="Arial" w:hAnsi="Arial" w:cs="Arial"/>
          <w:b/>
          <w:sz w:val="22"/>
          <w:szCs w:val="22"/>
        </w:rPr>
        <w:t>/</w:t>
      </w:r>
      <w:r w:rsidRPr="00D63801">
        <w:rPr>
          <w:rFonts w:ascii="Arial" w:hAnsi="Arial" w:cs="Arial"/>
          <w:b/>
          <w:sz w:val="22"/>
          <w:szCs w:val="22"/>
        </w:rPr>
        <w:t xml:space="preserve"> </w:t>
      </w:r>
      <w:r>
        <w:rPr>
          <w:rFonts w:ascii="Arial" w:hAnsi="Arial" w:cs="Arial"/>
          <w:b/>
          <w:sz w:val="22"/>
          <w:szCs w:val="22"/>
        </w:rPr>
        <w:t>CONFIRMA</w:t>
      </w:r>
    </w:p>
    <w:p w:rsidR="00721374" w:rsidRPr="00D63801" w:rsidRDefault="00721374" w:rsidP="00DB6D44">
      <w:pPr>
        <w:shd w:val="clear" w:color="auto" w:fill="FFFFFF"/>
        <w:spacing w:line="240" w:lineRule="auto"/>
        <w:rPr>
          <w:rFonts w:ascii="Arial" w:hAnsi="Arial" w:cs="Arial"/>
          <w:sz w:val="22"/>
          <w:szCs w:val="22"/>
          <w:lang w:val="es-CO" w:eastAsia="fr-FR"/>
        </w:rPr>
      </w:pPr>
    </w:p>
    <w:p w:rsidR="00721374" w:rsidRPr="00D63801" w:rsidRDefault="00721374" w:rsidP="00D63801">
      <w:pPr>
        <w:shd w:val="clear" w:color="auto" w:fill="FFFFFF"/>
        <w:spacing w:line="240" w:lineRule="auto"/>
        <w:ind w:left="1843" w:hanging="1843"/>
        <w:rPr>
          <w:rFonts w:ascii="Arial" w:hAnsi="Arial" w:cs="Arial"/>
          <w:sz w:val="22"/>
          <w:szCs w:val="22"/>
          <w:lang w:val="es-CO" w:eastAsia="fr-FR"/>
        </w:rPr>
      </w:pPr>
    </w:p>
    <w:p w:rsidR="00721374" w:rsidRPr="00D63801" w:rsidRDefault="00721374" w:rsidP="00D63801">
      <w:pPr>
        <w:overflowPunct w:val="0"/>
        <w:autoSpaceDE w:val="0"/>
        <w:autoSpaceDN w:val="0"/>
        <w:adjustRightInd w:val="0"/>
        <w:spacing w:line="240" w:lineRule="auto"/>
        <w:rPr>
          <w:rFonts w:ascii="Arial" w:hAnsi="Arial" w:cs="Arial"/>
          <w:sz w:val="22"/>
          <w:szCs w:val="22"/>
          <w:lang w:val="es-ES_tradnl"/>
        </w:rPr>
      </w:pPr>
      <w:r w:rsidRPr="00D63801">
        <w:rPr>
          <w:rFonts w:ascii="Arial" w:hAnsi="Arial" w:cs="Arial"/>
          <w:sz w:val="22"/>
          <w:szCs w:val="22"/>
          <w:lang w:val="es-ES_tradnl"/>
        </w:rPr>
        <w:t>No obstante que la a quo le explicó al apoderado que la reducción a aplicar no podría ser distinta a 1/</w:t>
      </w:r>
      <w:proofErr w:type="gramStart"/>
      <w:r w:rsidRPr="00D63801">
        <w:rPr>
          <w:rFonts w:ascii="Arial" w:hAnsi="Arial" w:cs="Arial"/>
          <w:sz w:val="22"/>
          <w:szCs w:val="22"/>
          <w:lang w:val="es-ES_tradnl"/>
        </w:rPr>
        <w:t>3 ,</w:t>
      </w:r>
      <w:proofErr w:type="gramEnd"/>
      <w:r w:rsidRPr="00D63801">
        <w:rPr>
          <w:rFonts w:ascii="Arial" w:hAnsi="Arial" w:cs="Arial"/>
          <w:sz w:val="22"/>
          <w:szCs w:val="22"/>
          <w:lang w:val="es-ES_tradnl"/>
        </w:rPr>
        <w:t xml:space="preserve"> frente a lo cual incluso refirió que de ser así interpondría recursos contra esa determinación, una vez que se le dispensó un plazo prudencial para que dialogara con el señor </w:t>
      </w:r>
      <w:r w:rsidRPr="00D63801">
        <w:rPr>
          <w:rFonts w:ascii="Arial" w:hAnsi="Arial" w:cs="Arial"/>
          <w:b/>
          <w:sz w:val="22"/>
          <w:szCs w:val="22"/>
          <w:lang w:val="es-ES_tradnl"/>
        </w:rPr>
        <w:t>JOSÉ DE JESÚS LARGO</w:t>
      </w:r>
      <w:r w:rsidRPr="00D63801">
        <w:rPr>
          <w:rFonts w:ascii="Arial" w:hAnsi="Arial" w:cs="Arial"/>
          <w:sz w:val="22"/>
          <w:szCs w:val="22"/>
          <w:lang w:val="es-ES_tradnl"/>
        </w:rPr>
        <w:t xml:space="preserve"> al respecto, indicó que su cliente estaba dispuesto a aceptar los cargos.</w:t>
      </w:r>
    </w:p>
    <w:p w:rsidR="00721374" w:rsidRPr="00D63801" w:rsidRDefault="00721374" w:rsidP="00D63801">
      <w:pPr>
        <w:overflowPunct w:val="0"/>
        <w:autoSpaceDE w:val="0"/>
        <w:autoSpaceDN w:val="0"/>
        <w:adjustRightInd w:val="0"/>
        <w:spacing w:line="240" w:lineRule="auto"/>
        <w:rPr>
          <w:rFonts w:ascii="Arial" w:hAnsi="Arial" w:cs="Arial"/>
          <w:sz w:val="22"/>
          <w:szCs w:val="22"/>
          <w:lang w:val="es-ES_tradnl"/>
        </w:rPr>
      </w:pPr>
      <w:r w:rsidRPr="00D63801">
        <w:rPr>
          <w:rFonts w:ascii="Arial" w:hAnsi="Arial" w:cs="Arial"/>
          <w:sz w:val="22"/>
          <w:szCs w:val="22"/>
          <w:lang w:val="es-ES_tradnl"/>
        </w:rPr>
        <w:t>(…)</w:t>
      </w:r>
    </w:p>
    <w:p w:rsidR="00DB6D44" w:rsidRPr="00D63801" w:rsidRDefault="00DB6D44" w:rsidP="00D63801">
      <w:pPr>
        <w:overflowPunct w:val="0"/>
        <w:autoSpaceDE w:val="0"/>
        <w:autoSpaceDN w:val="0"/>
        <w:adjustRightInd w:val="0"/>
        <w:spacing w:line="240" w:lineRule="auto"/>
        <w:rPr>
          <w:rFonts w:ascii="Arial" w:hAnsi="Arial" w:cs="Arial"/>
          <w:sz w:val="22"/>
          <w:szCs w:val="22"/>
          <w:lang w:val="es-ES_tradnl"/>
        </w:rPr>
      </w:pPr>
      <w:r w:rsidRPr="00D63801">
        <w:rPr>
          <w:rFonts w:ascii="Arial" w:hAnsi="Arial" w:cs="Arial"/>
          <w:sz w:val="22"/>
          <w:szCs w:val="22"/>
        </w:rPr>
        <w:t xml:space="preserve">En este caso se aprecia que el escrito de acusación fue radicado en agosto 22 de 2017, y la audiencia en la cual el señor </w:t>
      </w:r>
      <w:r w:rsidRPr="00D63801">
        <w:rPr>
          <w:rFonts w:ascii="Arial" w:hAnsi="Arial" w:cs="Arial"/>
          <w:b/>
          <w:sz w:val="22"/>
          <w:szCs w:val="22"/>
        </w:rPr>
        <w:t>LARGO LÓPEZ</w:t>
      </w:r>
      <w:r w:rsidRPr="00D63801">
        <w:rPr>
          <w:rFonts w:ascii="Arial" w:hAnsi="Arial" w:cs="Arial"/>
          <w:sz w:val="22"/>
          <w:szCs w:val="22"/>
        </w:rPr>
        <w:t xml:space="preserve"> aceptó de manera unilateral los cargos se realizó en septiembre 25 de 2017, por lo cual, se itera, no era posible que por parte de la a quo, ni mucho menos por esta Corporación, se acceda a una rebaja mayor a la concedida.</w:t>
      </w:r>
    </w:p>
    <w:p w:rsidR="00DB6D44" w:rsidRPr="00D63801" w:rsidRDefault="00DB6D44" w:rsidP="00D63801">
      <w:pPr>
        <w:pStyle w:val="Textosinformato"/>
        <w:tabs>
          <w:tab w:val="left" w:pos="8080"/>
        </w:tabs>
        <w:spacing w:after="120"/>
        <w:ind w:right="-91"/>
        <w:jc w:val="both"/>
        <w:rPr>
          <w:rFonts w:ascii="Arial" w:hAnsi="Arial" w:cs="Arial"/>
          <w:sz w:val="22"/>
          <w:szCs w:val="22"/>
        </w:rPr>
      </w:pPr>
    </w:p>
    <w:p w:rsidR="00721374" w:rsidRPr="00D63801" w:rsidRDefault="00721374" w:rsidP="00D63801">
      <w:pPr>
        <w:pStyle w:val="Textosinformato"/>
        <w:tabs>
          <w:tab w:val="left" w:pos="8080"/>
        </w:tabs>
        <w:spacing w:after="120"/>
        <w:ind w:right="-91"/>
        <w:jc w:val="both"/>
        <w:rPr>
          <w:rFonts w:ascii="Arial" w:hAnsi="Arial" w:cs="Arial"/>
          <w:sz w:val="22"/>
          <w:szCs w:val="22"/>
        </w:rPr>
      </w:pPr>
      <w:r w:rsidRPr="00D63801">
        <w:rPr>
          <w:rFonts w:ascii="Arial" w:hAnsi="Arial" w:cs="Arial"/>
          <w:sz w:val="22"/>
          <w:szCs w:val="22"/>
        </w:rPr>
        <w:t xml:space="preserve">Téngase en cuenta, porque quizá en ello existe una confusión de parte del señor defensor, que para allanamientos tanto la ley como la jurisprudencia se refiere a “mojones, estancos o momentos procesales”, y solo está autorizada en el momento de la imputación, en la preparatoria y al comienzo del juicio oral (no está diseñada la aceptación de cargos en la audiencia de formulación de acusación). En cambio, para los preacuerdos a lo que se hace referencia tanto por la ley como por la jurisprudencia es a “espacios o períodos procesales”. En consecuencia, para el caso de las negociaciones </w:t>
      </w:r>
      <w:proofErr w:type="spellStart"/>
      <w:r w:rsidRPr="00D63801">
        <w:rPr>
          <w:rFonts w:ascii="Arial" w:hAnsi="Arial" w:cs="Arial"/>
          <w:sz w:val="22"/>
          <w:szCs w:val="22"/>
        </w:rPr>
        <w:t>preacordadas</w:t>
      </w:r>
      <w:proofErr w:type="spellEnd"/>
      <w:r w:rsidRPr="00D63801">
        <w:rPr>
          <w:rFonts w:ascii="Arial" w:hAnsi="Arial" w:cs="Arial"/>
          <w:sz w:val="22"/>
          <w:szCs w:val="22"/>
        </w:rPr>
        <w:t xml:space="preserve"> sí tiene sentido la discusión acerca de si la admisión de responsabilidad se dio antes o después de la presentación formal del escrito de acusación por parte de la Fiscalía, pero para las aceptaciones unilaterales esa situación carece de relevancia como quiera que al haberse perdido la oportunidad de la imputación para allanarse, el procesado ya queda ineludiblemente sometido al descuento establecido para la audiencia preparatoria.</w:t>
      </w:r>
    </w:p>
    <w:p w:rsidR="00721374" w:rsidRPr="00D63801" w:rsidRDefault="00721374" w:rsidP="00D63801">
      <w:pPr>
        <w:pStyle w:val="Textosinformato"/>
        <w:tabs>
          <w:tab w:val="left" w:pos="8080"/>
        </w:tabs>
        <w:spacing w:after="120"/>
        <w:ind w:right="-91"/>
        <w:jc w:val="both"/>
        <w:rPr>
          <w:rFonts w:ascii="Arial" w:hAnsi="Arial" w:cs="Arial"/>
          <w:sz w:val="22"/>
          <w:szCs w:val="22"/>
        </w:rPr>
      </w:pPr>
      <w:r w:rsidRPr="00D63801">
        <w:rPr>
          <w:rFonts w:ascii="Arial" w:hAnsi="Arial" w:cs="Arial"/>
          <w:sz w:val="22"/>
          <w:szCs w:val="22"/>
        </w:rPr>
        <w:t>(…)</w:t>
      </w:r>
    </w:p>
    <w:p w:rsidR="00721374" w:rsidRPr="00D63801" w:rsidRDefault="00721374" w:rsidP="00D63801">
      <w:pPr>
        <w:spacing w:line="240" w:lineRule="auto"/>
        <w:rPr>
          <w:rFonts w:ascii="Arial" w:hAnsi="Arial" w:cs="Arial"/>
          <w:sz w:val="22"/>
          <w:szCs w:val="22"/>
        </w:rPr>
      </w:pPr>
      <w:r w:rsidRPr="00D63801">
        <w:rPr>
          <w:rFonts w:ascii="Arial" w:hAnsi="Arial" w:cs="Arial"/>
          <w:sz w:val="22"/>
          <w:szCs w:val="22"/>
        </w:rPr>
        <w:t xml:space="preserve">Tampoco puede ser de recibo el argumento del profesional del derecho en el entendido que la intención de su prohijado era la de aceptar cargos con antelación a arrimarse el escrito pertinente, cuando la realidad enseña que bien podría el señor </w:t>
      </w:r>
      <w:r w:rsidRPr="00D63801">
        <w:rPr>
          <w:rFonts w:ascii="Arial" w:hAnsi="Arial" w:cs="Arial"/>
          <w:b/>
          <w:sz w:val="22"/>
          <w:szCs w:val="22"/>
        </w:rPr>
        <w:t>LARGO LÓPEZ</w:t>
      </w:r>
      <w:r w:rsidRPr="00D63801">
        <w:rPr>
          <w:rFonts w:ascii="Arial" w:hAnsi="Arial" w:cs="Arial"/>
          <w:sz w:val="22"/>
          <w:szCs w:val="22"/>
        </w:rPr>
        <w:t xml:space="preserve"> haberse rehusado a hacerlo, amén de las sendas explicaciones que allí se dieron por parte de la funcionaria  a quo en punto del porcentaje de reducción a la que tendría derecho, y aun así o a pesar de ello, optó por hacer dejación de su derecho a un juicio público para que por la vía de la terminación anticipada se emitiera fallo de responsabilidad en su contra, por lo cual la decisión emitida en tal sentido se observa correcta.</w:t>
      </w:r>
    </w:p>
    <w:p w:rsidR="00721374" w:rsidRPr="00D63801" w:rsidRDefault="00721374" w:rsidP="00D63801">
      <w:pPr>
        <w:spacing w:line="240" w:lineRule="auto"/>
        <w:rPr>
          <w:rFonts w:ascii="Arial" w:hAnsi="Arial" w:cs="Arial"/>
          <w:sz w:val="22"/>
          <w:szCs w:val="22"/>
        </w:rPr>
      </w:pPr>
      <w:r w:rsidRPr="00D63801">
        <w:rPr>
          <w:rFonts w:ascii="Arial" w:hAnsi="Arial" w:cs="Arial"/>
          <w:sz w:val="22"/>
          <w:szCs w:val="22"/>
        </w:rPr>
        <w:t>(…)</w:t>
      </w:r>
    </w:p>
    <w:p w:rsidR="00721374" w:rsidRPr="00D63801" w:rsidRDefault="00721374" w:rsidP="00D63801">
      <w:pPr>
        <w:spacing w:line="240" w:lineRule="auto"/>
        <w:rPr>
          <w:rFonts w:ascii="Arial" w:hAnsi="Arial" w:cs="Arial"/>
          <w:sz w:val="22"/>
          <w:szCs w:val="22"/>
        </w:rPr>
      </w:pPr>
      <w:r w:rsidRPr="00D63801">
        <w:rPr>
          <w:rFonts w:ascii="Arial" w:hAnsi="Arial" w:cs="Arial"/>
          <w:sz w:val="22"/>
          <w:szCs w:val="22"/>
        </w:rPr>
        <w:t>Por lo anterior y al considerarse que la decisión adoptada por la funcionaria de primer nivel se encuentra ajustada a derecho, se acompañará la sentencia emitida en esos términos.</w:t>
      </w:r>
    </w:p>
    <w:p w:rsidR="00721374" w:rsidRPr="00D63801" w:rsidRDefault="00721374" w:rsidP="00D63801">
      <w:pPr>
        <w:shd w:val="clear" w:color="auto" w:fill="FFFFFF"/>
        <w:spacing w:line="240" w:lineRule="auto"/>
        <w:ind w:left="1843" w:hanging="1843"/>
        <w:rPr>
          <w:rFonts w:ascii="Arial" w:hAnsi="Arial" w:cs="Arial"/>
          <w:sz w:val="22"/>
          <w:szCs w:val="22"/>
          <w:lang w:val="es-CO" w:eastAsia="fr-FR"/>
        </w:rPr>
      </w:pPr>
    </w:p>
    <w:p w:rsidR="00DB6D44" w:rsidRPr="00D63801" w:rsidRDefault="00DB6D44" w:rsidP="00721374">
      <w:pPr>
        <w:shd w:val="clear" w:color="auto" w:fill="FFFFFF"/>
        <w:spacing w:line="240" w:lineRule="auto"/>
        <w:ind w:left="1843" w:hanging="1843"/>
        <w:rPr>
          <w:rFonts w:ascii="Arial" w:hAnsi="Arial" w:cs="Arial"/>
          <w:sz w:val="22"/>
          <w:szCs w:val="22"/>
          <w:lang w:val="es-CO" w:eastAsia="fr-FR"/>
        </w:rPr>
      </w:pPr>
    </w:p>
    <w:p w:rsidR="00DB6D44" w:rsidRPr="00D63801" w:rsidRDefault="00DB6D44" w:rsidP="00721374">
      <w:pPr>
        <w:shd w:val="clear" w:color="auto" w:fill="FFFFFF"/>
        <w:spacing w:line="240" w:lineRule="auto"/>
        <w:ind w:left="1843" w:hanging="1843"/>
        <w:rPr>
          <w:rFonts w:ascii="Arial" w:hAnsi="Arial" w:cs="Arial"/>
          <w:sz w:val="22"/>
          <w:szCs w:val="22"/>
          <w:lang w:val="es-CO" w:eastAsia="fr-FR"/>
        </w:rPr>
      </w:pPr>
    </w:p>
    <w:p w:rsidR="00DB6D44" w:rsidRPr="00D63801" w:rsidRDefault="00DB6D44" w:rsidP="00721374">
      <w:pPr>
        <w:shd w:val="clear" w:color="auto" w:fill="FFFFFF"/>
        <w:spacing w:line="240" w:lineRule="auto"/>
        <w:ind w:left="1843" w:hanging="1843"/>
        <w:rPr>
          <w:rFonts w:ascii="Arial" w:hAnsi="Arial" w:cs="Arial"/>
          <w:sz w:val="22"/>
          <w:szCs w:val="22"/>
          <w:lang w:val="es-CO" w:eastAsia="fr-FR"/>
        </w:rPr>
      </w:pPr>
    </w:p>
    <w:p w:rsidR="00DB6D44" w:rsidRPr="00D63801" w:rsidRDefault="00DB6D44" w:rsidP="00721374">
      <w:pPr>
        <w:shd w:val="clear" w:color="auto" w:fill="FFFFFF"/>
        <w:spacing w:line="240" w:lineRule="auto"/>
        <w:ind w:left="1843" w:hanging="1843"/>
        <w:rPr>
          <w:rFonts w:ascii="Arial" w:hAnsi="Arial" w:cs="Arial"/>
          <w:sz w:val="22"/>
          <w:szCs w:val="22"/>
          <w:lang w:val="es-CO" w:eastAsia="fr-FR"/>
        </w:rPr>
      </w:pPr>
    </w:p>
    <w:p w:rsidR="00DB6D44" w:rsidRPr="00D63801" w:rsidRDefault="00DB6D44" w:rsidP="00721374">
      <w:pPr>
        <w:shd w:val="clear" w:color="auto" w:fill="FFFFFF"/>
        <w:spacing w:line="240" w:lineRule="auto"/>
        <w:ind w:left="1843" w:hanging="1843"/>
        <w:rPr>
          <w:rFonts w:ascii="Arial" w:hAnsi="Arial" w:cs="Arial"/>
          <w:sz w:val="22"/>
          <w:szCs w:val="22"/>
          <w:lang w:val="es-CO" w:eastAsia="fr-FR"/>
        </w:rPr>
      </w:pPr>
    </w:p>
    <w:p w:rsidR="00721374" w:rsidRPr="00D63801" w:rsidRDefault="00721374" w:rsidP="00721374">
      <w:pPr>
        <w:shd w:val="clear" w:color="auto" w:fill="FFFFFF"/>
        <w:spacing w:line="240" w:lineRule="auto"/>
        <w:ind w:left="1843" w:hanging="1843"/>
        <w:rPr>
          <w:rFonts w:ascii="Arial" w:hAnsi="Arial" w:cs="Arial"/>
          <w:sz w:val="22"/>
          <w:szCs w:val="22"/>
          <w:lang w:val="es-CO" w:eastAsia="fr-FR"/>
        </w:rPr>
      </w:pPr>
    </w:p>
    <w:p w:rsidR="00F13C87" w:rsidRPr="00D63801" w:rsidRDefault="00F13C87" w:rsidP="00F13C87">
      <w:pPr>
        <w:spacing w:line="240" w:lineRule="auto"/>
        <w:rPr>
          <w:b/>
          <w:spacing w:val="2"/>
          <w:sz w:val="12"/>
          <w:szCs w:val="12"/>
        </w:rPr>
      </w:pPr>
      <w:r w:rsidRPr="00D63801">
        <w:rPr>
          <w:spacing w:val="2"/>
          <w:sz w:val="12"/>
          <w:szCs w:val="12"/>
        </w:rPr>
        <w:t xml:space="preserve">                                                                                     </w:t>
      </w:r>
      <w:r w:rsidR="00556860" w:rsidRPr="00D63801">
        <w:rPr>
          <w:spacing w:val="2"/>
          <w:sz w:val="12"/>
          <w:szCs w:val="12"/>
        </w:rPr>
        <w:t xml:space="preserve">      </w:t>
      </w:r>
      <w:r w:rsidRPr="00D63801">
        <w:rPr>
          <w:b/>
          <w:spacing w:val="2"/>
          <w:sz w:val="12"/>
          <w:szCs w:val="12"/>
        </w:rPr>
        <w:t>REPÚBLICA DE COLOMBIA</w:t>
      </w:r>
    </w:p>
    <w:p w:rsidR="00F13C87" w:rsidRPr="00D63801" w:rsidRDefault="00F13C87" w:rsidP="00F13C87">
      <w:pPr>
        <w:spacing w:line="240" w:lineRule="auto"/>
        <w:rPr>
          <w:b/>
          <w:spacing w:val="2"/>
          <w:sz w:val="12"/>
          <w:szCs w:val="12"/>
        </w:rPr>
      </w:pPr>
      <w:r w:rsidRPr="00D63801">
        <w:rPr>
          <w:b/>
          <w:spacing w:val="2"/>
          <w:sz w:val="12"/>
          <w:szCs w:val="12"/>
        </w:rPr>
        <w:t xml:space="preserve">                                                                                             </w:t>
      </w:r>
      <w:r w:rsidR="00556860" w:rsidRPr="00D63801">
        <w:rPr>
          <w:b/>
          <w:spacing w:val="2"/>
          <w:sz w:val="12"/>
          <w:szCs w:val="12"/>
        </w:rPr>
        <w:t xml:space="preserve">       </w:t>
      </w:r>
      <w:r w:rsidRPr="00D63801">
        <w:rPr>
          <w:b/>
          <w:spacing w:val="2"/>
          <w:sz w:val="12"/>
          <w:szCs w:val="12"/>
        </w:rPr>
        <w:t xml:space="preserve">  PEREIRA-RISARALDA</w:t>
      </w:r>
    </w:p>
    <w:p w:rsidR="00F13C87" w:rsidRPr="00D63801" w:rsidRDefault="00F13C87" w:rsidP="00F13C87">
      <w:pPr>
        <w:tabs>
          <w:tab w:val="left" w:pos="3090"/>
        </w:tabs>
        <w:spacing w:line="240" w:lineRule="auto"/>
        <w:rPr>
          <w:spacing w:val="2"/>
          <w:sz w:val="12"/>
          <w:szCs w:val="12"/>
        </w:rPr>
      </w:pPr>
      <w:r w:rsidRPr="00D63801">
        <w:rPr>
          <w:b/>
          <w:iCs/>
          <w:noProof/>
          <w:sz w:val="12"/>
          <w:szCs w:val="12"/>
          <w:lang w:eastAsia="es-ES"/>
        </w:rPr>
        <w:drawing>
          <wp:anchor distT="0" distB="0" distL="114300" distR="114300" simplePos="0" relativeHeight="251659264" behindDoc="1" locked="0" layoutInCell="1" allowOverlap="1">
            <wp:simplePos x="0" y="0"/>
            <wp:positionH relativeFrom="column">
              <wp:posOffset>2451100</wp:posOffset>
            </wp:positionH>
            <wp:positionV relativeFrom="paragraph">
              <wp:posOffset>100330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801">
        <w:rPr>
          <w:b/>
          <w:spacing w:val="2"/>
          <w:sz w:val="12"/>
          <w:szCs w:val="12"/>
        </w:rPr>
        <w:t xml:space="preserve">                                                                                                   </w:t>
      </w:r>
      <w:r w:rsidR="00556860" w:rsidRPr="00D63801">
        <w:rPr>
          <w:b/>
          <w:spacing w:val="2"/>
          <w:sz w:val="12"/>
          <w:szCs w:val="12"/>
        </w:rPr>
        <w:t xml:space="preserve">      </w:t>
      </w:r>
      <w:r w:rsidRPr="00D63801">
        <w:rPr>
          <w:b/>
          <w:spacing w:val="2"/>
          <w:sz w:val="12"/>
          <w:szCs w:val="12"/>
        </w:rPr>
        <w:t xml:space="preserve"> RAMA JUDICIAL</w:t>
      </w:r>
    </w:p>
    <w:p w:rsidR="00F13C87" w:rsidRPr="00D63801" w:rsidRDefault="00F13C87" w:rsidP="00F13C87">
      <w:pPr>
        <w:spacing w:line="240" w:lineRule="auto"/>
        <w:jc w:val="center"/>
        <w:rPr>
          <w:rFonts w:ascii="Algerian" w:hAnsi="Algerian"/>
          <w:sz w:val="28"/>
          <w:szCs w:val="28"/>
        </w:rPr>
      </w:pPr>
      <w:r w:rsidRPr="00D63801">
        <w:rPr>
          <w:rFonts w:ascii="Algerian" w:hAnsi="Algerian"/>
          <w:smallCaps/>
          <w:color w:val="000000"/>
          <w:spacing w:val="2"/>
          <w:sz w:val="28"/>
          <w:szCs w:val="28"/>
        </w:rPr>
        <w:t>TRIBUNAL SUPERIOR DE PEREIRA</w:t>
      </w:r>
    </w:p>
    <w:p w:rsidR="00F13C87" w:rsidRPr="00D63801" w:rsidRDefault="00F13C87" w:rsidP="00F13C87">
      <w:pPr>
        <w:pStyle w:val="Textoindependiente3"/>
        <w:tabs>
          <w:tab w:val="left" w:pos="1202"/>
        </w:tabs>
        <w:spacing w:line="240" w:lineRule="auto"/>
        <w:jc w:val="center"/>
        <w:rPr>
          <w:rFonts w:ascii="Algerian" w:hAnsi="Algerian"/>
          <w:spacing w:val="2"/>
          <w:sz w:val="28"/>
          <w:szCs w:val="28"/>
        </w:rPr>
      </w:pPr>
      <w:r w:rsidRPr="00D63801">
        <w:rPr>
          <w:rFonts w:ascii="Algerian" w:hAnsi="Algerian"/>
          <w:spacing w:val="2"/>
          <w:sz w:val="28"/>
          <w:szCs w:val="28"/>
        </w:rPr>
        <w:t>SALA de decisión PENAL</w:t>
      </w:r>
    </w:p>
    <w:p w:rsidR="00F13C87" w:rsidRPr="00D63801" w:rsidRDefault="00F13C87" w:rsidP="00F13C87">
      <w:pPr>
        <w:spacing w:line="240" w:lineRule="auto"/>
        <w:jc w:val="center"/>
      </w:pPr>
      <w:r w:rsidRPr="00D63801">
        <w:t>Magistrado Ponente</w:t>
      </w:r>
    </w:p>
    <w:p w:rsidR="00F13C87" w:rsidRPr="00D63801" w:rsidRDefault="00F13C87" w:rsidP="00F13C87">
      <w:pPr>
        <w:spacing w:line="240" w:lineRule="auto"/>
        <w:jc w:val="center"/>
        <w:rPr>
          <w:sz w:val="24"/>
          <w:szCs w:val="24"/>
        </w:rPr>
      </w:pPr>
      <w:r w:rsidRPr="00D63801">
        <w:rPr>
          <w:sz w:val="24"/>
          <w:szCs w:val="24"/>
        </w:rPr>
        <w:t xml:space="preserve"> JORGE ARTURO CASTAÑO DUQUE</w:t>
      </w:r>
    </w:p>
    <w:p w:rsidR="00F13C87" w:rsidRPr="00D63801" w:rsidRDefault="00F13C87" w:rsidP="00F13C87">
      <w:pPr>
        <w:spacing w:line="240" w:lineRule="auto"/>
      </w:pPr>
      <w:r w:rsidRPr="00D63801">
        <w:rPr>
          <w:spacing w:val="-4"/>
        </w:rPr>
        <w:t xml:space="preserve">                                      </w:t>
      </w:r>
      <w:r w:rsidRPr="00D63801">
        <w:rPr>
          <w:spacing w:val="-6"/>
        </w:rPr>
        <w:t xml:space="preserve">     </w:t>
      </w:r>
      <w:r w:rsidRPr="00D63801">
        <w:t xml:space="preserve">      </w:t>
      </w:r>
    </w:p>
    <w:p w:rsidR="00F13C87" w:rsidRPr="00D63801" w:rsidRDefault="00F13C87" w:rsidP="00F13C87">
      <w:pPr>
        <w:spacing w:line="240" w:lineRule="auto"/>
      </w:pPr>
    </w:p>
    <w:p w:rsidR="00F13C87" w:rsidRPr="00D63801" w:rsidRDefault="00F13C87" w:rsidP="00F13C87">
      <w:pPr>
        <w:spacing w:line="240" w:lineRule="auto"/>
        <w:jc w:val="center"/>
      </w:pPr>
      <w:r w:rsidRPr="00D63801">
        <w:t xml:space="preserve">    Pereira, </w:t>
      </w:r>
      <w:r w:rsidR="00DD1490" w:rsidRPr="00D63801">
        <w:t>doce</w:t>
      </w:r>
      <w:r w:rsidR="00556860" w:rsidRPr="00D63801">
        <w:t xml:space="preserve"> </w:t>
      </w:r>
      <w:r w:rsidRPr="00D63801">
        <w:t>(</w:t>
      </w:r>
      <w:r w:rsidR="00DD1490" w:rsidRPr="00D63801">
        <w:t>12</w:t>
      </w:r>
      <w:r w:rsidRPr="00D63801">
        <w:t xml:space="preserve">) de </w:t>
      </w:r>
      <w:r w:rsidR="00AD238B" w:rsidRPr="00D63801">
        <w:t>septiembre</w:t>
      </w:r>
      <w:r w:rsidR="007D3ADD" w:rsidRPr="00D63801">
        <w:t xml:space="preserve"> </w:t>
      </w:r>
      <w:r w:rsidRPr="00D63801">
        <w:t xml:space="preserve">de dos mil </w:t>
      </w:r>
      <w:r w:rsidR="00AD238B" w:rsidRPr="00D63801">
        <w:t xml:space="preserve">dieciocho </w:t>
      </w:r>
      <w:r w:rsidRPr="00D63801">
        <w:t>(201</w:t>
      </w:r>
      <w:r w:rsidR="00AD238B" w:rsidRPr="00D63801">
        <w:t>8</w:t>
      </w:r>
      <w:r w:rsidRPr="00D63801">
        <w:t>)</w:t>
      </w:r>
    </w:p>
    <w:p w:rsidR="00F13C87" w:rsidRPr="00D63801" w:rsidRDefault="00F13C87" w:rsidP="00F13C87">
      <w:pPr>
        <w:spacing w:line="240" w:lineRule="auto"/>
        <w:jc w:val="center"/>
      </w:pPr>
    </w:p>
    <w:p w:rsidR="00F13C87" w:rsidRPr="00D63801" w:rsidRDefault="00F13C87" w:rsidP="00F13C87">
      <w:pPr>
        <w:spacing w:line="240" w:lineRule="auto"/>
        <w:jc w:val="center"/>
      </w:pPr>
    </w:p>
    <w:p w:rsidR="00F13C87" w:rsidRPr="00D63801" w:rsidRDefault="00F13C87" w:rsidP="00F13C87">
      <w:pPr>
        <w:spacing w:line="240" w:lineRule="auto"/>
        <w:jc w:val="center"/>
        <w:rPr>
          <w:sz w:val="24"/>
          <w:szCs w:val="24"/>
        </w:rPr>
      </w:pPr>
      <w:r w:rsidRPr="00D63801">
        <w:rPr>
          <w:sz w:val="22"/>
          <w:szCs w:val="22"/>
        </w:rPr>
        <w:t xml:space="preserve">  </w:t>
      </w:r>
      <w:r w:rsidR="00DD1490" w:rsidRPr="00D63801">
        <w:rPr>
          <w:sz w:val="24"/>
          <w:szCs w:val="24"/>
        </w:rPr>
        <w:t>ACTA DE APROBACIÓN N° 795</w:t>
      </w:r>
    </w:p>
    <w:p w:rsidR="00F13C87" w:rsidRPr="00D63801" w:rsidRDefault="00F13C87" w:rsidP="00F13C87">
      <w:pPr>
        <w:spacing w:line="240" w:lineRule="auto"/>
        <w:jc w:val="center"/>
        <w:rPr>
          <w:sz w:val="24"/>
          <w:szCs w:val="24"/>
        </w:rPr>
      </w:pPr>
      <w:r w:rsidRPr="00D63801">
        <w:rPr>
          <w:sz w:val="24"/>
          <w:szCs w:val="24"/>
        </w:rPr>
        <w:t xml:space="preserve">  SEGUNDA INSTANCIA</w:t>
      </w:r>
    </w:p>
    <w:p w:rsidR="00F13C87" w:rsidRPr="00D63801" w:rsidRDefault="00F13C87" w:rsidP="00F13C87">
      <w:pPr>
        <w:spacing w:line="240" w:lineRule="auto"/>
        <w:rPr>
          <w:lang w:val="es-CO"/>
        </w:rPr>
      </w:pPr>
    </w:p>
    <w:p w:rsidR="00F13C87" w:rsidRPr="00D63801" w:rsidRDefault="00F13C87" w:rsidP="00F13C87">
      <w:pPr>
        <w:spacing w:line="240" w:lineRule="auto"/>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996"/>
      </w:tblGrid>
      <w:tr w:rsidR="00F13C87" w:rsidRPr="00D63801" w:rsidTr="00465100">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D63801" w:rsidRDefault="00F13C87" w:rsidP="007575ED">
            <w:pPr>
              <w:pStyle w:val="Tablaidentificadora"/>
              <w:rPr>
                <w:szCs w:val="24"/>
              </w:rPr>
            </w:pPr>
            <w:r w:rsidRPr="00D63801">
              <w:rPr>
                <w:szCs w:val="24"/>
              </w:rPr>
              <w:t xml:space="preserve">Fecha y hora de lectura: </w:t>
            </w:r>
          </w:p>
        </w:tc>
        <w:tc>
          <w:tcPr>
            <w:tcW w:w="4996" w:type="dxa"/>
            <w:tcBorders>
              <w:top w:val="single" w:sz="4" w:space="0" w:color="auto"/>
              <w:left w:val="single" w:sz="4" w:space="0" w:color="auto"/>
              <w:bottom w:val="single" w:sz="4" w:space="0" w:color="auto"/>
              <w:right w:val="single" w:sz="4" w:space="0" w:color="auto"/>
            </w:tcBorders>
          </w:tcPr>
          <w:p w:rsidR="00F13C87" w:rsidRPr="00D63801" w:rsidRDefault="00DD1490" w:rsidP="000D42A3">
            <w:pPr>
              <w:pStyle w:val="Tablaidentificadora"/>
              <w:rPr>
                <w:rFonts w:cs="Tahoma"/>
                <w:szCs w:val="24"/>
              </w:rPr>
            </w:pPr>
            <w:r w:rsidRPr="00D63801">
              <w:rPr>
                <w:rFonts w:cs="Tahoma"/>
                <w:szCs w:val="24"/>
              </w:rPr>
              <w:t>Septiembre 13 de 2018, 10:30 a.m.</w:t>
            </w:r>
          </w:p>
        </w:tc>
      </w:tr>
      <w:tr w:rsidR="00F13C87" w:rsidRPr="00D63801" w:rsidTr="00465100">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D63801" w:rsidRDefault="007D3ADD" w:rsidP="007575ED">
            <w:pPr>
              <w:pStyle w:val="Tablaidentificadora"/>
              <w:rPr>
                <w:szCs w:val="24"/>
              </w:rPr>
            </w:pPr>
            <w:r w:rsidRPr="00D63801">
              <w:rPr>
                <w:szCs w:val="24"/>
              </w:rPr>
              <w:t>Acusado</w:t>
            </w:r>
            <w:r w:rsidR="00F13C87" w:rsidRPr="00D63801">
              <w:rPr>
                <w:szCs w:val="24"/>
              </w:rPr>
              <w:t xml:space="preserve">: </w:t>
            </w:r>
          </w:p>
        </w:tc>
        <w:tc>
          <w:tcPr>
            <w:tcW w:w="4996" w:type="dxa"/>
            <w:tcBorders>
              <w:top w:val="single" w:sz="4" w:space="0" w:color="auto"/>
              <w:left w:val="single" w:sz="4" w:space="0" w:color="auto"/>
              <w:bottom w:val="single" w:sz="4" w:space="0" w:color="auto"/>
              <w:right w:val="single" w:sz="4" w:space="0" w:color="auto"/>
            </w:tcBorders>
          </w:tcPr>
          <w:p w:rsidR="00F13C87" w:rsidRPr="00D63801" w:rsidRDefault="00AD238B" w:rsidP="007575ED">
            <w:pPr>
              <w:pStyle w:val="Tablaidentificadora"/>
              <w:rPr>
                <w:rFonts w:cs="Tahoma"/>
                <w:szCs w:val="24"/>
              </w:rPr>
            </w:pPr>
            <w:r w:rsidRPr="00D63801">
              <w:rPr>
                <w:rFonts w:cs="Tahoma"/>
                <w:szCs w:val="24"/>
              </w:rPr>
              <w:t>José de Jesús Largo López</w:t>
            </w:r>
          </w:p>
        </w:tc>
      </w:tr>
      <w:tr w:rsidR="00F13C87" w:rsidRPr="00D63801" w:rsidTr="00465100">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D63801" w:rsidRDefault="00F13C87" w:rsidP="007575ED">
            <w:pPr>
              <w:pStyle w:val="Tablaidentificadora"/>
              <w:rPr>
                <w:szCs w:val="24"/>
              </w:rPr>
            </w:pPr>
            <w:r w:rsidRPr="00D63801">
              <w:rPr>
                <w:szCs w:val="24"/>
              </w:rPr>
              <w:t>Cédula de ciudadanía:</w:t>
            </w:r>
          </w:p>
        </w:tc>
        <w:tc>
          <w:tcPr>
            <w:tcW w:w="4996" w:type="dxa"/>
            <w:tcBorders>
              <w:top w:val="single" w:sz="4" w:space="0" w:color="auto"/>
              <w:left w:val="single" w:sz="4" w:space="0" w:color="auto"/>
              <w:bottom w:val="single" w:sz="4" w:space="0" w:color="auto"/>
              <w:right w:val="single" w:sz="4" w:space="0" w:color="auto"/>
            </w:tcBorders>
          </w:tcPr>
          <w:p w:rsidR="00F13C87" w:rsidRPr="00D63801" w:rsidRDefault="000F4565" w:rsidP="00AD238B">
            <w:pPr>
              <w:pStyle w:val="Tablaidentificadora"/>
              <w:rPr>
                <w:rFonts w:cs="Tahoma"/>
                <w:szCs w:val="24"/>
              </w:rPr>
            </w:pPr>
            <w:r w:rsidRPr="00D63801">
              <w:rPr>
                <w:rFonts w:cs="Tahoma"/>
                <w:szCs w:val="24"/>
              </w:rPr>
              <w:t>1</w:t>
            </w:r>
            <w:r w:rsidR="00AD238B" w:rsidRPr="00D63801">
              <w:rPr>
                <w:rFonts w:cs="Tahoma"/>
                <w:szCs w:val="24"/>
              </w:rPr>
              <w:t xml:space="preserve">0.021.206 de Pereira </w:t>
            </w:r>
            <w:r w:rsidR="00F13C87" w:rsidRPr="00D63801">
              <w:rPr>
                <w:rFonts w:cs="Tahoma"/>
                <w:szCs w:val="24"/>
              </w:rPr>
              <w:t>(Rda.)</w:t>
            </w:r>
          </w:p>
        </w:tc>
      </w:tr>
      <w:tr w:rsidR="00F13C87" w:rsidRPr="00D63801" w:rsidTr="00465100">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D63801" w:rsidRDefault="00F13C87" w:rsidP="007575ED">
            <w:pPr>
              <w:pStyle w:val="Tablaidentificadora"/>
              <w:rPr>
                <w:szCs w:val="24"/>
              </w:rPr>
            </w:pPr>
            <w:r w:rsidRPr="00D63801">
              <w:rPr>
                <w:szCs w:val="24"/>
              </w:rPr>
              <w:t>Delito:</w:t>
            </w:r>
          </w:p>
        </w:tc>
        <w:tc>
          <w:tcPr>
            <w:tcW w:w="4996" w:type="dxa"/>
            <w:tcBorders>
              <w:top w:val="single" w:sz="4" w:space="0" w:color="auto"/>
              <w:left w:val="single" w:sz="4" w:space="0" w:color="auto"/>
              <w:bottom w:val="single" w:sz="4" w:space="0" w:color="auto"/>
              <w:right w:val="single" w:sz="4" w:space="0" w:color="auto"/>
            </w:tcBorders>
          </w:tcPr>
          <w:p w:rsidR="00F13C87" w:rsidRPr="00D63801" w:rsidRDefault="00AD238B" w:rsidP="00AD238B">
            <w:pPr>
              <w:pStyle w:val="Tablaidentificadora"/>
              <w:rPr>
                <w:rFonts w:cs="Tahoma"/>
                <w:szCs w:val="24"/>
              </w:rPr>
            </w:pPr>
            <w:r w:rsidRPr="00D63801">
              <w:rPr>
                <w:rFonts w:cs="Tahoma"/>
                <w:szCs w:val="24"/>
              </w:rPr>
              <w:t>H</w:t>
            </w:r>
            <w:r w:rsidR="00AE42B1" w:rsidRPr="00D63801">
              <w:rPr>
                <w:rFonts w:cs="Tahoma"/>
                <w:szCs w:val="24"/>
              </w:rPr>
              <w:t>urto calificado y agravado</w:t>
            </w:r>
          </w:p>
        </w:tc>
      </w:tr>
      <w:tr w:rsidR="00F13C87" w:rsidRPr="00D63801" w:rsidTr="00465100">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D63801" w:rsidRDefault="00F13C87" w:rsidP="007575ED">
            <w:pPr>
              <w:pStyle w:val="Tablaidentificadora"/>
              <w:rPr>
                <w:szCs w:val="24"/>
              </w:rPr>
            </w:pPr>
            <w:r w:rsidRPr="00D63801">
              <w:rPr>
                <w:szCs w:val="24"/>
              </w:rPr>
              <w:t>Víctima:</w:t>
            </w:r>
          </w:p>
        </w:tc>
        <w:tc>
          <w:tcPr>
            <w:tcW w:w="4996" w:type="dxa"/>
            <w:tcBorders>
              <w:top w:val="single" w:sz="4" w:space="0" w:color="auto"/>
              <w:left w:val="single" w:sz="4" w:space="0" w:color="auto"/>
              <w:bottom w:val="single" w:sz="4" w:space="0" w:color="auto"/>
              <w:right w:val="single" w:sz="4" w:space="0" w:color="auto"/>
            </w:tcBorders>
          </w:tcPr>
          <w:p w:rsidR="00F13C87" w:rsidRPr="00D63801" w:rsidRDefault="00AD238B" w:rsidP="00AD238B">
            <w:pPr>
              <w:pStyle w:val="Tablaidentificadora"/>
              <w:rPr>
                <w:rFonts w:cs="Tahoma"/>
                <w:szCs w:val="24"/>
              </w:rPr>
            </w:pPr>
            <w:r w:rsidRPr="00D63801">
              <w:rPr>
                <w:rFonts w:cs="Tahoma"/>
                <w:szCs w:val="24"/>
              </w:rPr>
              <w:t xml:space="preserve">El </w:t>
            </w:r>
            <w:r w:rsidR="000F4565" w:rsidRPr="00D63801">
              <w:rPr>
                <w:rFonts w:cs="Tahoma"/>
                <w:szCs w:val="24"/>
              </w:rPr>
              <w:t xml:space="preserve">patrimonio económico de </w:t>
            </w:r>
            <w:r w:rsidRPr="00D63801">
              <w:rPr>
                <w:rFonts w:cs="Tahoma"/>
                <w:szCs w:val="24"/>
              </w:rPr>
              <w:t>Olga Lucía Marina Guevara</w:t>
            </w:r>
          </w:p>
        </w:tc>
      </w:tr>
      <w:tr w:rsidR="00F13C87" w:rsidRPr="00D63801" w:rsidTr="00465100">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D63801" w:rsidRDefault="00F13C87" w:rsidP="007575ED">
            <w:pPr>
              <w:pStyle w:val="Tablaidentificadora"/>
              <w:rPr>
                <w:szCs w:val="24"/>
              </w:rPr>
            </w:pPr>
            <w:r w:rsidRPr="00D63801">
              <w:rPr>
                <w:szCs w:val="24"/>
              </w:rPr>
              <w:t>Procedencia:</w:t>
            </w:r>
          </w:p>
        </w:tc>
        <w:tc>
          <w:tcPr>
            <w:tcW w:w="4996" w:type="dxa"/>
            <w:tcBorders>
              <w:top w:val="single" w:sz="4" w:space="0" w:color="auto"/>
              <w:left w:val="single" w:sz="4" w:space="0" w:color="auto"/>
              <w:bottom w:val="single" w:sz="4" w:space="0" w:color="auto"/>
              <w:right w:val="single" w:sz="4" w:space="0" w:color="auto"/>
            </w:tcBorders>
          </w:tcPr>
          <w:p w:rsidR="00F13C87" w:rsidRPr="00D63801" w:rsidRDefault="00F13C87" w:rsidP="00AD238B">
            <w:pPr>
              <w:pStyle w:val="Tablaidentificadora"/>
              <w:rPr>
                <w:rFonts w:cs="Tahoma"/>
                <w:szCs w:val="24"/>
              </w:rPr>
            </w:pPr>
            <w:r w:rsidRPr="00D63801">
              <w:rPr>
                <w:rFonts w:cs="Tahoma"/>
                <w:szCs w:val="24"/>
              </w:rPr>
              <w:t xml:space="preserve">Juzgado </w:t>
            </w:r>
            <w:r w:rsidR="000D42A3" w:rsidRPr="00D63801">
              <w:rPr>
                <w:rFonts w:cs="Tahoma"/>
                <w:szCs w:val="24"/>
              </w:rPr>
              <w:t xml:space="preserve">Penal </w:t>
            </w:r>
            <w:r w:rsidR="00AD238B" w:rsidRPr="00D63801">
              <w:rPr>
                <w:rFonts w:cs="Tahoma"/>
                <w:szCs w:val="24"/>
              </w:rPr>
              <w:t xml:space="preserve">Municipal con función de conocimiento de Santa Rosa de Cabal </w:t>
            </w:r>
            <w:r w:rsidRPr="00D63801">
              <w:rPr>
                <w:rFonts w:cs="Tahoma"/>
                <w:szCs w:val="24"/>
              </w:rPr>
              <w:t>(Rda.)</w:t>
            </w:r>
            <w:r w:rsidR="001B7BD0" w:rsidRPr="00D63801">
              <w:rPr>
                <w:rFonts w:cs="Tahoma"/>
                <w:szCs w:val="24"/>
              </w:rPr>
              <w:t xml:space="preserve"> </w:t>
            </w:r>
          </w:p>
        </w:tc>
      </w:tr>
      <w:tr w:rsidR="00F13C87" w:rsidRPr="00D63801" w:rsidTr="00465100">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D63801" w:rsidRDefault="00F13C87" w:rsidP="007575ED">
            <w:pPr>
              <w:pStyle w:val="Tablaidentificadora"/>
              <w:rPr>
                <w:szCs w:val="24"/>
              </w:rPr>
            </w:pPr>
            <w:r w:rsidRPr="00D63801">
              <w:rPr>
                <w:szCs w:val="24"/>
              </w:rPr>
              <w:t>Asunto:</w:t>
            </w:r>
          </w:p>
        </w:tc>
        <w:tc>
          <w:tcPr>
            <w:tcW w:w="4996" w:type="dxa"/>
            <w:tcBorders>
              <w:top w:val="single" w:sz="4" w:space="0" w:color="auto"/>
              <w:left w:val="single" w:sz="4" w:space="0" w:color="auto"/>
              <w:bottom w:val="single" w:sz="4" w:space="0" w:color="auto"/>
              <w:right w:val="single" w:sz="4" w:space="0" w:color="auto"/>
            </w:tcBorders>
          </w:tcPr>
          <w:p w:rsidR="00F13C87" w:rsidRPr="00D63801" w:rsidRDefault="00F13C87" w:rsidP="0067669F">
            <w:pPr>
              <w:pStyle w:val="Tablaidentificadora"/>
              <w:rPr>
                <w:rFonts w:cs="Tahoma"/>
                <w:szCs w:val="24"/>
              </w:rPr>
            </w:pPr>
            <w:r w:rsidRPr="00D63801">
              <w:rPr>
                <w:rFonts w:cs="Tahoma"/>
                <w:szCs w:val="24"/>
              </w:rPr>
              <w:t>Decide apelación interpuesta por la defensa</w:t>
            </w:r>
            <w:r w:rsidR="000F4565" w:rsidRPr="00D63801">
              <w:rPr>
                <w:rFonts w:cs="Tahoma"/>
                <w:szCs w:val="24"/>
              </w:rPr>
              <w:t xml:space="preserve"> </w:t>
            </w:r>
            <w:r w:rsidRPr="00D63801">
              <w:rPr>
                <w:rFonts w:cs="Tahoma"/>
                <w:szCs w:val="24"/>
              </w:rPr>
              <w:t xml:space="preserve">contra el fallo </w:t>
            </w:r>
            <w:r w:rsidR="000D42A3" w:rsidRPr="00D63801">
              <w:rPr>
                <w:rFonts w:cs="Tahoma"/>
                <w:szCs w:val="24"/>
              </w:rPr>
              <w:t>condenatori</w:t>
            </w:r>
            <w:r w:rsidR="000F4565" w:rsidRPr="00D63801">
              <w:rPr>
                <w:rFonts w:cs="Tahoma"/>
                <w:szCs w:val="24"/>
              </w:rPr>
              <w:t>o</w:t>
            </w:r>
            <w:r w:rsidR="000D42A3" w:rsidRPr="00D63801">
              <w:rPr>
                <w:rFonts w:cs="Tahoma"/>
                <w:szCs w:val="24"/>
              </w:rPr>
              <w:t xml:space="preserve"> </w:t>
            </w:r>
            <w:r w:rsidRPr="00D63801">
              <w:rPr>
                <w:rFonts w:cs="Tahoma"/>
                <w:szCs w:val="24"/>
              </w:rPr>
              <w:t xml:space="preserve">fechado </w:t>
            </w:r>
            <w:r w:rsidR="00AD238B" w:rsidRPr="00D63801">
              <w:rPr>
                <w:rFonts w:cs="Tahoma"/>
                <w:szCs w:val="24"/>
              </w:rPr>
              <w:t>febrero 15 de 2018</w:t>
            </w:r>
            <w:r w:rsidRPr="00D63801">
              <w:rPr>
                <w:rFonts w:cs="Tahoma"/>
                <w:szCs w:val="24"/>
              </w:rPr>
              <w:t xml:space="preserve">. SE </w:t>
            </w:r>
            <w:r w:rsidR="0067669F" w:rsidRPr="00D63801">
              <w:rPr>
                <w:rFonts w:cs="Tahoma"/>
                <w:szCs w:val="24"/>
              </w:rPr>
              <w:t>CONFIRMA</w:t>
            </w:r>
          </w:p>
        </w:tc>
      </w:tr>
    </w:tbl>
    <w:p w:rsidR="00F13C87" w:rsidRPr="00D63801" w:rsidRDefault="00F13C87" w:rsidP="00F13C87"/>
    <w:p w:rsidR="00F13C87" w:rsidRPr="00D63801" w:rsidRDefault="00F13C87" w:rsidP="00F13C87">
      <w:r w:rsidRPr="00D63801">
        <w:t>El Tribunal Superior del Distrito Judicial de Pereira pronuncia la sentencia en los siguientes términos:</w:t>
      </w:r>
    </w:p>
    <w:p w:rsidR="00F13C87" w:rsidRPr="00D63801" w:rsidRDefault="00F13C87" w:rsidP="00F13C87">
      <w:pPr>
        <w:pStyle w:val="Textoindependiente2"/>
      </w:pPr>
    </w:p>
    <w:p w:rsidR="00F13C87" w:rsidRPr="00D63801" w:rsidRDefault="00F13C87" w:rsidP="00F13C87">
      <w:pPr>
        <w:rPr>
          <w:rStyle w:val="Algerian"/>
        </w:rPr>
      </w:pPr>
      <w:r w:rsidRPr="00D63801">
        <w:rPr>
          <w:rStyle w:val="Algerian"/>
        </w:rPr>
        <w:t>1.- hechos Y precedentes</w:t>
      </w:r>
    </w:p>
    <w:p w:rsidR="00F13C87" w:rsidRPr="00D63801" w:rsidRDefault="00F13C87" w:rsidP="00F13C87"/>
    <w:p w:rsidR="00F13C87" w:rsidRPr="00D63801" w:rsidRDefault="00F13C87" w:rsidP="00F13C87">
      <w:r w:rsidRPr="00D63801">
        <w:t>La situación fáctica jurídicamente relevante y la actuación procesal esencial para la decisión a tomar, se pueden sintetizar así:</w:t>
      </w:r>
    </w:p>
    <w:p w:rsidR="000D42A3" w:rsidRPr="00D63801" w:rsidRDefault="000D42A3" w:rsidP="000D42A3"/>
    <w:p w:rsidR="00D32727" w:rsidRPr="00D63801" w:rsidRDefault="000D42A3" w:rsidP="000D42A3">
      <w:pPr>
        <w:rPr>
          <w:rStyle w:val="Numeracinttulo"/>
          <w:b w:val="0"/>
          <w:sz w:val="26"/>
        </w:rPr>
      </w:pPr>
      <w:r w:rsidRPr="00D63801">
        <w:rPr>
          <w:rStyle w:val="Numeracinttulo"/>
          <w:szCs w:val="24"/>
        </w:rPr>
        <w:t>1.1.-</w:t>
      </w:r>
      <w:r w:rsidRPr="00D63801">
        <w:rPr>
          <w:rStyle w:val="Numeracinttulo"/>
          <w:b w:val="0"/>
          <w:szCs w:val="24"/>
        </w:rPr>
        <w:t xml:space="preserve"> </w:t>
      </w:r>
      <w:r w:rsidR="000F4565" w:rsidRPr="00D63801">
        <w:rPr>
          <w:rStyle w:val="Numeracinttulo"/>
          <w:b w:val="0"/>
          <w:sz w:val="26"/>
        </w:rPr>
        <w:t xml:space="preserve">Los hechos </w:t>
      </w:r>
      <w:r w:rsidR="00D32727" w:rsidRPr="00D63801">
        <w:rPr>
          <w:rStyle w:val="Numeracinttulo"/>
          <w:b w:val="0"/>
          <w:sz w:val="26"/>
        </w:rPr>
        <w:t>fueron plasmados por la funcionaria de primer nivel en el fallo confutado de la siguiente manera:</w:t>
      </w:r>
    </w:p>
    <w:p w:rsidR="00D32727" w:rsidRPr="00D63801" w:rsidRDefault="00D32727" w:rsidP="000D42A3">
      <w:pPr>
        <w:rPr>
          <w:rStyle w:val="Numeracinttulo"/>
          <w:b w:val="0"/>
          <w:sz w:val="26"/>
        </w:rPr>
      </w:pPr>
    </w:p>
    <w:p w:rsidR="007A11B9" w:rsidRPr="00D63801" w:rsidRDefault="000F4565" w:rsidP="00594CF2">
      <w:pPr>
        <w:spacing w:line="240" w:lineRule="auto"/>
        <w:ind w:left="851" w:right="760"/>
        <w:rPr>
          <w:rStyle w:val="Numeracinttulo"/>
          <w:rFonts w:ascii="Verdana" w:hAnsi="Verdana"/>
          <w:b w:val="0"/>
          <w:sz w:val="20"/>
          <w:szCs w:val="20"/>
        </w:rPr>
      </w:pPr>
      <w:r w:rsidRPr="00D63801">
        <w:rPr>
          <w:rStyle w:val="Numeracinttulo"/>
          <w:rFonts w:ascii="Verdana" w:hAnsi="Verdana"/>
          <w:b w:val="0"/>
          <w:sz w:val="20"/>
          <w:szCs w:val="20"/>
        </w:rPr>
        <w:t>“</w:t>
      </w:r>
      <w:r w:rsidR="00D32727" w:rsidRPr="00D63801">
        <w:rPr>
          <w:rStyle w:val="Numeracinttulo"/>
          <w:rFonts w:ascii="Verdana" w:hAnsi="Verdana"/>
          <w:b w:val="0"/>
          <w:sz w:val="20"/>
          <w:szCs w:val="20"/>
        </w:rPr>
        <w:t>Mediante denuncia del 14 de julio de 2011, la señora OLGA LUCÍA MARÍN GUEVARA puso en conocimiento que el día 13 de ese mes y año, a eso de las 2:30 p.m., ingresaron dos hombres a su residencia donde se encontraba en compañía de su hija menor, estos se identificaron como policías</w:t>
      </w:r>
      <w:r w:rsidR="007A11B9" w:rsidRPr="00D63801">
        <w:rPr>
          <w:rStyle w:val="Numeracinttulo"/>
          <w:rFonts w:ascii="Verdana" w:hAnsi="Verdana"/>
          <w:b w:val="0"/>
          <w:sz w:val="20"/>
          <w:szCs w:val="20"/>
        </w:rPr>
        <w:t xml:space="preserve">, quienes le indicaron que iban a verificar si en ese lugar se expendían sustancias estupefacientes, por lo que procedió a solicitarles la orden de allanamiento, momento en el cual fueron intimidadas con arma de fuego, inquiriéndolas frente al lugar donde se encontraba la caja fuerte y el arma perteneciente al esposo, posteriormente las amarraron, y al encontrar la caja en mención, huyeron del lugar en un vehículo de placa PEG-479, del cual tomaron nota las víctimas; en total se apropiaron de un </w:t>
      </w:r>
      <w:r w:rsidR="0067669F" w:rsidRPr="00D63801">
        <w:rPr>
          <w:rStyle w:val="Numeracinttulo"/>
          <w:rFonts w:ascii="Verdana" w:hAnsi="Verdana"/>
          <w:b w:val="0"/>
          <w:sz w:val="20"/>
          <w:szCs w:val="20"/>
        </w:rPr>
        <w:t>BlackBerry</w:t>
      </w:r>
      <w:r w:rsidR="007A11B9" w:rsidRPr="00D63801">
        <w:rPr>
          <w:rStyle w:val="Numeracinttulo"/>
          <w:rFonts w:ascii="Verdana" w:hAnsi="Verdana"/>
          <w:b w:val="0"/>
          <w:sz w:val="20"/>
          <w:szCs w:val="20"/>
        </w:rPr>
        <w:t>, la caja fuerte que contenía la suma de cuarenta millones de pesos y un millón de pesos que tenía en una camisa que estaba en el closet”.</w:t>
      </w:r>
    </w:p>
    <w:p w:rsidR="000F4565" w:rsidRPr="00D63801" w:rsidRDefault="000F4565" w:rsidP="000D42A3">
      <w:pPr>
        <w:rPr>
          <w:rStyle w:val="Numeracinttulo"/>
          <w:szCs w:val="24"/>
        </w:rPr>
      </w:pPr>
    </w:p>
    <w:p w:rsidR="00D74C23" w:rsidRPr="00D63801" w:rsidRDefault="000D42A3" w:rsidP="000D42A3">
      <w:pPr>
        <w:rPr>
          <w:rStyle w:val="Numeracinttulo"/>
          <w:b w:val="0"/>
          <w:sz w:val="26"/>
        </w:rPr>
      </w:pPr>
      <w:r w:rsidRPr="00D63801">
        <w:rPr>
          <w:rStyle w:val="Numeracinttulo"/>
          <w:szCs w:val="24"/>
        </w:rPr>
        <w:t>1.2.-</w:t>
      </w:r>
      <w:r w:rsidRPr="00D63801">
        <w:rPr>
          <w:rStyle w:val="Numeracinttulo"/>
          <w:sz w:val="26"/>
        </w:rPr>
        <w:t xml:space="preserve"> </w:t>
      </w:r>
      <w:r w:rsidR="00AE42B1" w:rsidRPr="00D63801">
        <w:rPr>
          <w:rStyle w:val="Numeracinttulo"/>
          <w:b w:val="0"/>
          <w:sz w:val="26"/>
        </w:rPr>
        <w:t xml:space="preserve">Luego de adelantadas las labores investigativas se logró identificar </w:t>
      </w:r>
      <w:r w:rsidR="00A87360" w:rsidRPr="00D63801">
        <w:rPr>
          <w:rStyle w:val="Numeracinttulo"/>
          <w:b w:val="0"/>
          <w:sz w:val="26"/>
        </w:rPr>
        <w:t>a uno de los partícipes como</w:t>
      </w:r>
      <w:r w:rsidR="00AE42B1" w:rsidRPr="00D63801">
        <w:rPr>
          <w:rStyle w:val="Numeracinttulo"/>
          <w:b w:val="0"/>
          <w:sz w:val="26"/>
        </w:rPr>
        <w:t xml:space="preserve"> </w:t>
      </w:r>
      <w:r w:rsidR="007A11B9" w:rsidRPr="00D63801">
        <w:rPr>
          <w:rStyle w:val="Numeracinttulo"/>
          <w:sz w:val="22"/>
          <w:szCs w:val="22"/>
        </w:rPr>
        <w:t>JOSÉ DE JESÚS LARGO LÓPEZ</w:t>
      </w:r>
      <w:r w:rsidR="00A87360" w:rsidRPr="00D63801">
        <w:rPr>
          <w:rStyle w:val="Numeracinttulo"/>
          <w:b w:val="0"/>
          <w:sz w:val="26"/>
        </w:rPr>
        <w:t>,</w:t>
      </w:r>
      <w:r w:rsidR="00D74C23" w:rsidRPr="00D63801">
        <w:rPr>
          <w:rStyle w:val="Numeracinttulo"/>
          <w:b w:val="0"/>
          <w:sz w:val="26"/>
        </w:rPr>
        <w:t xml:space="preserve"> quien por encontrarse privado de la libertad por otro asunto en Ibagué (Tol.), se destacó a un fiscal de esa ciudad para llevar a cabo la audiencia de </w:t>
      </w:r>
      <w:r w:rsidR="007A11B9" w:rsidRPr="00D63801">
        <w:rPr>
          <w:rStyle w:val="Numeracinttulo"/>
          <w:b w:val="0"/>
          <w:sz w:val="26"/>
        </w:rPr>
        <w:t>formul</w:t>
      </w:r>
      <w:r w:rsidR="0067669F" w:rsidRPr="00D63801">
        <w:rPr>
          <w:rStyle w:val="Numeracinttulo"/>
          <w:b w:val="0"/>
          <w:sz w:val="26"/>
        </w:rPr>
        <w:t>ación</w:t>
      </w:r>
      <w:r w:rsidR="007A11B9" w:rsidRPr="00D63801">
        <w:rPr>
          <w:rStyle w:val="Numeracinttulo"/>
          <w:b w:val="0"/>
          <w:sz w:val="26"/>
        </w:rPr>
        <w:t xml:space="preserve"> </w:t>
      </w:r>
      <w:r w:rsidR="00D74C23" w:rsidRPr="00D63801">
        <w:rPr>
          <w:rStyle w:val="Numeracinttulo"/>
          <w:b w:val="0"/>
          <w:sz w:val="26"/>
        </w:rPr>
        <w:t xml:space="preserve">de </w:t>
      </w:r>
      <w:r w:rsidR="007A11B9" w:rsidRPr="00D63801">
        <w:rPr>
          <w:rStyle w:val="Numeracinttulo"/>
          <w:b w:val="0"/>
          <w:sz w:val="26"/>
        </w:rPr>
        <w:t>imputación</w:t>
      </w:r>
      <w:r w:rsidR="00D74C23" w:rsidRPr="00D63801">
        <w:rPr>
          <w:rStyle w:val="Numeracinttulo"/>
          <w:b w:val="0"/>
          <w:sz w:val="26"/>
        </w:rPr>
        <w:t>, la cual se realizó</w:t>
      </w:r>
      <w:r w:rsidR="007A11B9" w:rsidRPr="00D63801">
        <w:rPr>
          <w:rStyle w:val="Numeracinttulo"/>
          <w:b w:val="0"/>
          <w:sz w:val="26"/>
        </w:rPr>
        <w:t xml:space="preserve"> ante</w:t>
      </w:r>
      <w:r w:rsidRPr="00D63801">
        <w:rPr>
          <w:rStyle w:val="Numeracinttulo"/>
          <w:b w:val="0"/>
          <w:sz w:val="26"/>
        </w:rPr>
        <w:t xml:space="preserve"> el Juzgado </w:t>
      </w:r>
      <w:r w:rsidR="007A11B9" w:rsidRPr="00D63801">
        <w:rPr>
          <w:rStyle w:val="Numeracinttulo"/>
          <w:b w:val="0"/>
          <w:sz w:val="26"/>
        </w:rPr>
        <w:t xml:space="preserve">Sexto </w:t>
      </w:r>
      <w:r w:rsidRPr="00D63801">
        <w:rPr>
          <w:rStyle w:val="Numeracinttulo"/>
          <w:b w:val="0"/>
          <w:sz w:val="26"/>
        </w:rPr>
        <w:t xml:space="preserve">Penal Municipal con función de control de garantías de </w:t>
      </w:r>
      <w:r w:rsidR="00CA051A" w:rsidRPr="00D63801">
        <w:rPr>
          <w:rStyle w:val="Numeracinttulo"/>
          <w:b w:val="0"/>
          <w:sz w:val="26"/>
        </w:rPr>
        <w:t>Ibagué</w:t>
      </w:r>
      <w:r w:rsidR="007A11B9" w:rsidRPr="00D63801">
        <w:rPr>
          <w:rStyle w:val="Numeracinttulo"/>
          <w:b w:val="0"/>
          <w:sz w:val="26"/>
        </w:rPr>
        <w:t xml:space="preserve"> </w:t>
      </w:r>
      <w:r w:rsidRPr="00D63801">
        <w:rPr>
          <w:rStyle w:val="Numeracinttulo"/>
          <w:b w:val="0"/>
          <w:sz w:val="26"/>
        </w:rPr>
        <w:t>(</w:t>
      </w:r>
      <w:r w:rsidR="007A11B9" w:rsidRPr="00D63801">
        <w:rPr>
          <w:rStyle w:val="Numeracinttulo"/>
          <w:b w:val="0"/>
          <w:sz w:val="26"/>
        </w:rPr>
        <w:t>mayo 26 de 2017</w:t>
      </w:r>
      <w:r w:rsidR="00E75369" w:rsidRPr="00D63801">
        <w:rPr>
          <w:rStyle w:val="Numeracinttulo"/>
          <w:b w:val="0"/>
          <w:sz w:val="26"/>
        </w:rPr>
        <w:t>), por medio de la</w:t>
      </w:r>
      <w:r w:rsidR="00D74C23" w:rsidRPr="00D63801">
        <w:rPr>
          <w:rStyle w:val="Numeracinttulo"/>
          <w:b w:val="0"/>
          <w:sz w:val="26"/>
        </w:rPr>
        <w:t xml:space="preserve"> cual se le endilgaron cargos como coautor  del </w:t>
      </w:r>
      <w:r w:rsidRPr="00D63801">
        <w:rPr>
          <w:rStyle w:val="Numeracinttulo"/>
          <w:b w:val="0"/>
          <w:sz w:val="26"/>
        </w:rPr>
        <w:t xml:space="preserve">punible de </w:t>
      </w:r>
      <w:r w:rsidR="00E5517D" w:rsidRPr="00D63801">
        <w:rPr>
          <w:rStyle w:val="Numeracinttulo"/>
          <w:b w:val="0"/>
          <w:sz w:val="26"/>
        </w:rPr>
        <w:t>hurto calificado y agravado</w:t>
      </w:r>
      <w:r w:rsidR="00E65133" w:rsidRPr="00D63801">
        <w:rPr>
          <w:rStyle w:val="Numeracinttulo"/>
          <w:b w:val="0"/>
          <w:sz w:val="26"/>
        </w:rPr>
        <w:t xml:space="preserve"> </w:t>
      </w:r>
      <w:r w:rsidR="00E65133" w:rsidRPr="00D63801">
        <w:rPr>
          <w:rStyle w:val="Numeracinttulo"/>
          <w:rFonts w:ascii="Verdana" w:hAnsi="Verdana"/>
          <w:b w:val="0"/>
          <w:sz w:val="20"/>
          <w:szCs w:val="20"/>
        </w:rPr>
        <w:t xml:space="preserve">-arts. </w:t>
      </w:r>
      <w:r w:rsidR="00040FBA" w:rsidRPr="00D63801">
        <w:rPr>
          <w:rStyle w:val="Numeracinttulo"/>
          <w:rFonts w:ascii="Verdana" w:hAnsi="Verdana"/>
          <w:b w:val="0"/>
          <w:sz w:val="20"/>
          <w:szCs w:val="20"/>
        </w:rPr>
        <w:t xml:space="preserve">239, </w:t>
      </w:r>
      <w:r w:rsidR="00E65133" w:rsidRPr="00D63801">
        <w:rPr>
          <w:rStyle w:val="Numeracinttulo"/>
          <w:rFonts w:ascii="Verdana" w:hAnsi="Verdana"/>
          <w:b w:val="0"/>
          <w:sz w:val="20"/>
          <w:szCs w:val="20"/>
        </w:rPr>
        <w:t xml:space="preserve">240 inc. </w:t>
      </w:r>
      <w:r w:rsidR="00D74C23" w:rsidRPr="00D63801">
        <w:rPr>
          <w:rStyle w:val="Numeracinttulo"/>
          <w:rFonts w:ascii="Verdana" w:hAnsi="Verdana"/>
          <w:b w:val="0"/>
          <w:sz w:val="20"/>
          <w:szCs w:val="20"/>
        </w:rPr>
        <w:t>2</w:t>
      </w:r>
      <w:r w:rsidR="00E65133" w:rsidRPr="00D63801">
        <w:rPr>
          <w:rStyle w:val="Numeracinttulo"/>
          <w:rFonts w:ascii="Verdana" w:hAnsi="Verdana"/>
          <w:b w:val="0"/>
          <w:sz w:val="20"/>
          <w:szCs w:val="20"/>
        </w:rPr>
        <w:t xml:space="preserve">° y 241 </w:t>
      </w:r>
      <w:proofErr w:type="spellStart"/>
      <w:r w:rsidR="00E65133" w:rsidRPr="00D63801">
        <w:rPr>
          <w:rStyle w:val="Numeracinttulo"/>
          <w:rFonts w:ascii="Verdana" w:hAnsi="Verdana"/>
          <w:b w:val="0"/>
          <w:sz w:val="20"/>
          <w:szCs w:val="20"/>
        </w:rPr>
        <w:t>num</w:t>
      </w:r>
      <w:proofErr w:type="spellEnd"/>
      <w:r w:rsidR="00E65133" w:rsidRPr="00D63801">
        <w:rPr>
          <w:rStyle w:val="Numeracinttulo"/>
          <w:rFonts w:ascii="Verdana" w:hAnsi="Verdana"/>
          <w:b w:val="0"/>
          <w:sz w:val="20"/>
          <w:szCs w:val="20"/>
        </w:rPr>
        <w:t xml:space="preserve">. </w:t>
      </w:r>
      <w:r w:rsidR="00D74C23" w:rsidRPr="00D63801">
        <w:rPr>
          <w:rStyle w:val="Numeracinttulo"/>
          <w:rFonts w:ascii="Verdana" w:hAnsi="Verdana"/>
          <w:b w:val="0"/>
          <w:sz w:val="20"/>
          <w:szCs w:val="20"/>
        </w:rPr>
        <w:t xml:space="preserve">4 y </w:t>
      </w:r>
      <w:r w:rsidR="00E65133" w:rsidRPr="00D63801">
        <w:rPr>
          <w:rStyle w:val="Numeracinttulo"/>
          <w:rFonts w:ascii="Verdana" w:hAnsi="Verdana"/>
          <w:b w:val="0"/>
          <w:sz w:val="20"/>
          <w:szCs w:val="20"/>
        </w:rPr>
        <w:t>10 C.P</w:t>
      </w:r>
      <w:r w:rsidR="00E65133" w:rsidRPr="00D63801">
        <w:rPr>
          <w:rStyle w:val="Numeracinttulo"/>
          <w:rFonts w:ascii="Verdana" w:hAnsi="Verdana"/>
          <w:b w:val="0"/>
          <w:sz w:val="26"/>
        </w:rPr>
        <w:t>.-</w:t>
      </w:r>
      <w:r w:rsidR="00E5517D" w:rsidRPr="00D63801">
        <w:rPr>
          <w:rStyle w:val="Numeracinttulo"/>
          <w:b w:val="0"/>
          <w:sz w:val="26"/>
        </w:rPr>
        <w:t xml:space="preserve">, </w:t>
      </w:r>
      <w:r w:rsidR="00AE42B1" w:rsidRPr="00D63801">
        <w:rPr>
          <w:rStyle w:val="Numeracinttulo"/>
          <w:b w:val="0"/>
          <w:sz w:val="26"/>
        </w:rPr>
        <w:t xml:space="preserve">los cuales </w:t>
      </w:r>
      <w:r w:rsidR="00D74C23" w:rsidRPr="00D63801">
        <w:rPr>
          <w:rStyle w:val="Numeracinttulo"/>
          <w:b w:val="0"/>
          <w:sz w:val="26"/>
        </w:rPr>
        <w:t xml:space="preserve">NO </w:t>
      </w:r>
      <w:r w:rsidR="00E5517D" w:rsidRPr="00D63801">
        <w:rPr>
          <w:rStyle w:val="Numeracinttulo"/>
          <w:b w:val="0"/>
          <w:sz w:val="26"/>
        </w:rPr>
        <w:t>A</w:t>
      </w:r>
      <w:r w:rsidRPr="00D63801">
        <w:rPr>
          <w:rStyle w:val="Numeracinttulo"/>
          <w:b w:val="0"/>
          <w:sz w:val="26"/>
        </w:rPr>
        <w:t>CEPTÓ</w:t>
      </w:r>
      <w:r w:rsidR="00D74C23" w:rsidRPr="00D63801">
        <w:rPr>
          <w:rStyle w:val="Numeracinttulo"/>
          <w:b w:val="0"/>
          <w:sz w:val="26"/>
        </w:rPr>
        <w:t xml:space="preserve">. </w:t>
      </w:r>
      <w:r w:rsidR="00E65133" w:rsidRPr="00D63801">
        <w:rPr>
          <w:rStyle w:val="Numeracinttulo"/>
          <w:b w:val="0"/>
          <w:sz w:val="26"/>
        </w:rPr>
        <w:t xml:space="preserve"> </w:t>
      </w:r>
    </w:p>
    <w:p w:rsidR="00D74C23" w:rsidRPr="00D63801" w:rsidRDefault="00D74C23" w:rsidP="000D42A3">
      <w:pPr>
        <w:rPr>
          <w:rStyle w:val="Numeracinttulo"/>
          <w:szCs w:val="24"/>
        </w:rPr>
      </w:pPr>
    </w:p>
    <w:p w:rsidR="00D74C23" w:rsidRPr="00D63801" w:rsidRDefault="000D42A3" w:rsidP="00D74C23">
      <w:pPr>
        <w:rPr>
          <w:rStyle w:val="Numeracinttulo"/>
          <w:rFonts w:eastAsia="Batang"/>
          <w:b w:val="0"/>
          <w:sz w:val="26"/>
        </w:rPr>
      </w:pPr>
      <w:r w:rsidRPr="00D63801">
        <w:rPr>
          <w:rStyle w:val="Numeracinttulo"/>
          <w:szCs w:val="24"/>
        </w:rPr>
        <w:t>1.3.-</w:t>
      </w:r>
      <w:r w:rsidR="00E75369" w:rsidRPr="00D63801">
        <w:rPr>
          <w:rStyle w:val="Numeracinttulo"/>
          <w:b w:val="0"/>
          <w:sz w:val="26"/>
        </w:rPr>
        <w:t xml:space="preserve"> A</w:t>
      </w:r>
      <w:r w:rsidR="00E5517D" w:rsidRPr="00D63801">
        <w:rPr>
          <w:rStyle w:val="Numeracinttulo"/>
          <w:b w:val="0"/>
          <w:sz w:val="26"/>
        </w:rPr>
        <w:t>nte e</w:t>
      </w:r>
      <w:r w:rsidR="00E75369" w:rsidRPr="00D63801">
        <w:rPr>
          <w:rStyle w:val="Numeracinttulo"/>
          <w:b w:val="0"/>
          <w:sz w:val="26"/>
        </w:rPr>
        <w:t xml:space="preserve">sa </w:t>
      </w:r>
      <w:r w:rsidR="00D74C23" w:rsidRPr="00D63801">
        <w:rPr>
          <w:rStyle w:val="Numeracinttulo"/>
          <w:b w:val="0"/>
          <w:sz w:val="26"/>
        </w:rPr>
        <w:t xml:space="preserve">no </w:t>
      </w:r>
      <w:r w:rsidR="00E75369" w:rsidRPr="00D63801">
        <w:rPr>
          <w:rStyle w:val="Numeracinttulo"/>
          <w:b w:val="0"/>
          <w:sz w:val="26"/>
        </w:rPr>
        <w:t>aceptación de cargos,</w:t>
      </w:r>
      <w:r w:rsidR="00D74C23" w:rsidRPr="00D63801">
        <w:rPr>
          <w:rStyle w:val="Numeracinttulo"/>
          <w:rFonts w:eastAsia="Batang"/>
          <w:b w:val="0"/>
          <w:sz w:val="26"/>
        </w:rPr>
        <w:t xml:space="preserve"> la Fiscalía presentó formal escrito de acusación (agosto 22 de 2017) en el que ratificó los cargos como autor de las conductas referidas, cuyo conocimiento correspondió al Juzgado </w:t>
      </w:r>
      <w:r w:rsidR="00903CE0" w:rsidRPr="00D63801">
        <w:rPr>
          <w:rStyle w:val="Numeracinttulo"/>
          <w:rFonts w:eastAsia="Batang"/>
          <w:b w:val="0"/>
          <w:sz w:val="26"/>
        </w:rPr>
        <w:t>Penal Municipal con función de conocimiento de Santa Rosa de Cabal</w:t>
      </w:r>
      <w:r w:rsidR="00D74C23" w:rsidRPr="00D63801">
        <w:rPr>
          <w:rStyle w:val="Numeracinttulo"/>
          <w:rFonts w:eastAsia="Batang"/>
          <w:b w:val="0"/>
          <w:sz w:val="26"/>
        </w:rPr>
        <w:t xml:space="preserve"> (Rda.), autoridad que </w:t>
      </w:r>
      <w:r w:rsidR="00903CE0" w:rsidRPr="00D63801">
        <w:rPr>
          <w:rStyle w:val="Numeracinttulo"/>
          <w:rFonts w:eastAsia="Batang"/>
          <w:b w:val="0"/>
          <w:sz w:val="26"/>
        </w:rPr>
        <w:t xml:space="preserve">convocó para llevar a cabo la </w:t>
      </w:r>
      <w:r w:rsidR="00D74C23" w:rsidRPr="00D63801">
        <w:rPr>
          <w:rStyle w:val="Numeracinttulo"/>
          <w:rFonts w:eastAsia="Batang"/>
          <w:b w:val="0"/>
          <w:sz w:val="26"/>
        </w:rPr>
        <w:t>audiencia de formulación de acusación (</w:t>
      </w:r>
      <w:r w:rsidR="00903CE0" w:rsidRPr="00D63801">
        <w:rPr>
          <w:rStyle w:val="Numeracinttulo"/>
          <w:rFonts w:eastAsia="Batang"/>
          <w:b w:val="0"/>
          <w:sz w:val="26"/>
        </w:rPr>
        <w:t>septiembre 25 de 2017</w:t>
      </w:r>
      <w:r w:rsidR="00D74C23" w:rsidRPr="00D63801">
        <w:rPr>
          <w:rStyle w:val="Numeracinttulo"/>
          <w:rFonts w:eastAsia="Batang"/>
          <w:b w:val="0"/>
          <w:sz w:val="26"/>
        </w:rPr>
        <w:t>) en la</w:t>
      </w:r>
      <w:r w:rsidR="00903CE0" w:rsidRPr="00D63801">
        <w:rPr>
          <w:rStyle w:val="Numeracinttulo"/>
          <w:rFonts w:eastAsia="Batang"/>
          <w:b w:val="0"/>
          <w:sz w:val="26"/>
        </w:rPr>
        <w:t xml:space="preserve"> cual el señor </w:t>
      </w:r>
      <w:r w:rsidR="00903CE0" w:rsidRPr="00D63801">
        <w:rPr>
          <w:rStyle w:val="Numeracinttulo"/>
          <w:rFonts w:eastAsia="Batang"/>
          <w:sz w:val="22"/>
          <w:szCs w:val="22"/>
        </w:rPr>
        <w:t>JOSÉ DE JESÚS LARGO LÓPEZ</w:t>
      </w:r>
      <w:r w:rsidR="00903CE0" w:rsidRPr="00D63801">
        <w:rPr>
          <w:rStyle w:val="Numeracinttulo"/>
          <w:rFonts w:eastAsia="Batang"/>
          <w:b w:val="0"/>
          <w:sz w:val="26"/>
        </w:rPr>
        <w:t xml:space="preserve"> aceptó </w:t>
      </w:r>
      <w:r w:rsidR="005D0369" w:rsidRPr="00D63801">
        <w:rPr>
          <w:rStyle w:val="Numeracinttulo"/>
          <w:rFonts w:eastAsia="Batang"/>
          <w:b w:val="0"/>
          <w:sz w:val="26"/>
        </w:rPr>
        <w:t xml:space="preserve">cargos de manera unilateral </w:t>
      </w:r>
      <w:r w:rsidR="00903CE0" w:rsidRPr="00D63801">
        <w:rPr>
          <w:rStyle w:val="Numeracinttulo"/>
          <w:rFonts w:eastAsia="Batang"/>
          <w:b w:val="0"/>
          <w:sz w:val="26"/>
        </w:rPr>
        <w:t xml:space="preserve">por </w:t>
      </w:r>
      <w:r w:rsidR="005D0369" w:rsidRPr="00D63801">
        <w:rPr>
          <w:rStyle w:val="Numeracinttulo"/>
          <w:rFonts w:eastAsia="Batang"/>
          <w:b w:val="0"/>
          <w:sz w:val="26"/>
        </w:rPr>
        <w:t xml:space="preserve">el </w:t>
      </w:r>
      <w:r w:rsidR="00903CE0" w:rsidRPr="00D63801">
        <w:rPr>
          <w:rStyle w:val="Numeracinttulo"/>
          <w:rFonts w:eastAsia="Batang"/>
          <w:b w:val="0"/>
          <w:sz w:val="26"/>
        </w:rPr>
        <w:t>referido punible</w:t>
      </w:r>
      <w:r w:rsidR="004259C1" w:rsidRPr="00D63801">
        <w:rPr>
          <w:rStyle w:val="Numeracinttulo"/>
          <w:rFonts w:eastAsia="Batang"/>
          <w:b w:val="0"/>
          <w:sz w:val="26"/>
        </w:rPr>
        <w:t xml:space="preserve">, </w:t>
      </w:r>
      <w:r w:rsidR="005D0369" w:rsidRPr="00D63801">
        <w:rPr>
          <w:rStyle w:val="Numeracinttulo"/>
          <w:rFonts w:eastAsia="Batang"/>
          <w:b w:val="0"/>
          <w:sz w:val="26"/>
        </w:rPr>
        <w:t>y previo a dictar sentencia, a petición de la defensa</w:t>
      </w:r>
      <w:r w:rsidR="004259C1" w:rsidRPr="00D63801">
        <w:rPr>
          <w:rStyle w:val="Numeracinttulo"/>
          <w:rFonts w:eastAsia="Batang"/>
          <w:b w:val="0"/>
          <w:sz w:val="26"/>
        </w:rPr>
        <w:t xml:space="preserve"> quien pretendía la indemnización de perjuicios a la víctima</w:t>
      </w:r>
      <w:r w:rsidR="00232AC7" w:rsidRPr="00D63801">
        <w:rPr>
          <w:rStyle w:val="Numeracinttulo"/>
          <w:rFonts w:eastAsia="Batang"/>
          <w:b w:val="0"/>
          <w:sz w:val="26"/>
        </w:rPr>
        <w:t xml:space="preserve">, </w:t>
      </w:r>
      <w:r w:rsidR="005D0369" w:rsidRPr="00D63801">
        <w:rPr>
          <w:rStyle w:val="Numeracinttulo"/>
          <w:rFonts w:eastAsia="Batang"/>
          <w:b w:val="0"/>
          <w:sz w:val="26"/>
        </w:rPr>
        <w:t xml:space="preserve">se señaló fecha para llevar a cabo </w:t>
      </w:r>
      <w:r w:rsidR="00232AC7" w:rsidRPr="00D63801">
        <w:rPr>
          <w:rStyle w:val="Numeracinttulo"/>
          <w:rFonts w:eastAsia="Batang"/>
          <w:b w:val="0"/>
          <w:sz w:val="26"/>
        </w:rPr>
        <w:t>incidente de reparación previo (enero 04 de 2018) donde la defensa, con apoyo en dictamen de perito</w:t>
      </w:r>
      <w:r w:rsidR="0067669F" w:rsidRPr="00D63801">
        <w:rPr>
          <w:rStyle w:val="Numeracinttulo"/>
          <w:rFonts w:eastAsia="Batang"/>
          <w:b w:val="0"/>
          <w:sz w:val="26"/>
        </w:rPr>
        <w:t>,</w:t>
      </w:r>
      <w:r w:rsidR="00232AC7" w:rsidRPr="00D63801">
        <w:rPr>
          <w:rStyle w:val="Numeracinttulo"/>
          <w:rFonts w:eastAsia="Batang"/>
          <w:b w:val="0"/>
          <w:sz w:val="26"/>
        </w:rPr>
        <w:t xml:space="preserve"> estimó que los perjuicios materiales ascendían a </w:t>
      </w:r>
      <w:r w:rsidR="00CA051A" w:rsidRPr="00D63801">
        <w:rPr>
          <w:rStyle w:val="Numeracinttulo"/>
          <w:rFonts w:eastAsia="Batang"/>
          <w:b w:val="0"/>
          <w:sz w:val="26"/>
        </w:rPr>
        <w:t>$2’</w:t>
      </w:r>
      <w:r w:rsidR="00232AC7" w:rsidRPr="00D63801">
        <w:rPr>
          <w:rStyle w:val="Numeracinttulo"/>
          <w:rFonts w:eastAsia="Batang"/>
          <w:b w:val="0"/>
          <w:sz w:val="26"/>
        </w:rPr>
        <w:t>830.000</w:t>
      </w:r>
      <w:r w:rsidR="00CA051A" w:rsidRPr="00D63801">
        <w:rPr>
          <w:rStyle w:val="Numeracinttulo"/>
          <w:rFonts w:eastAsia="Batang"/>
          <w:b w:val="0"/>
          <w:sz w:val="26"/>
        </w:rPr>
        <w:t>.oo)</w:t>
      </w:r>
      <w:r w:rsidR="00232AC7" w:rsidRPr="00D63801">
        <w:rPr>
          <w:rStyle w:val="Numeracinttulo"/>
          <w:rFonts w:eastAsia="Batang"/>
          <w:b w:val="0"/>
          <w:sz w:val="26"/>
        </w:rPr>
        <w:t>, no obstante el despacho en  posterior decisión (enero 17 de 2018) consi</w:t>
      </w:r>
      <w:r w:rsidR="00CA051A" w:rsidRPr="00D63801">
        <w:rPr>
          <w:rStyle w:val="Numeracinttulo"/>
          <w:rFonts w:eastAsia="Batang"/>
          <w:b w:val="0"/>
          <w:sz w:val="26"/>
        </w:rPr>
        <w:t>deró que dicho monto era de $42’</w:t>
      </w:r>
      <w:r w:rsidR="00232AC7" w:rsidRPr="00D63801">
        <w:rPr>
          <w:rStyle w:val="Numeracinttulo"/>
          <w:rFonts w:eastAsia="Batang"/>
          <w:b w:val="0"/>
          <w:sz w:val="26"/>
        </w:rPr>
        <w:t>830.000</w:t>
      </w:r>
      <w:r w:rsidR="00CA051A" w:rsidRPr="00D63801">
        <w:rPr>
          <w:rStyle w:val="Numeracinttulo"/>
          <w:rFonts w:eastAsia="Batang"/>
          <w:b w:val="0"/>
          <w:sz w:val="26"/>
        </w:rPr>
        <w:t>.oo</w:t>
      </w:r>
      <w:r w:rsidR="00232AC7" w:rsidRPr="00D63801">
        <w:rPr>
          <w:rStyle w:val="Numeracinttulo"/>
          <w:rFonts w:eastAsia="Batang"/>
          <w:b w:val="0"/>
          <w:sz w:val="26"/>
        </w:rPr>
        <w:t xml:space="preserve">, </w:t>
      </w:r>
      <w:r w:rsidR="00D91734" w:rsidRPr="00D63801">
        <w:rPr>
          <w:rStyle w:val="Numeracinttulo"/>
          <w:rFonts w:eastAsia="Batang"/>
          <w:b w:val="0"/>
          <w:sz w:val="26"/>
        </w:rPr>
        <w:t xml:space="preserve">ante lo </w:t>
      </w:r>
      <w:r w:rsidR="00232AC7" w:rsidRPr="00D63801">
        <w:rPr>
          <w:rStyle w:val="Numeracinttulo"/>
          <w:rFonts w:eastAsia="Batang"/>
          <w:b w:val="0"/>
          <w:sz w:val="26"/>
        </w:rPr>
        <w:t xml:space="preserve">cual </w:t>
      </w:r>
      <w:r w:rsidR="00D91734" w:rsidRPr="00D63801">
        <w:rPr>
          <w:rStyle w:val="Numeracinttulo"/>
          <w:rFonts w:eastAsia="Batang"/>
          <w:b w:val="0"/>
          <w:sz w:val="26"/>
        </w:rPr>
        <w:t xml:space="preserve">se </w:t>
      </w:r>
      <w:r w:rsidR="00232AC7" w:rsidRPr="00D63801">
        <w:rPr>
          <w:rStyle w:val="Numeracinttulo"/>
          <w:rFonts w:eastAsia="Batang"/>
          <w:b w:val="0"/>
          <w:sz w:val="26"/>
        </w:rPr>
        <w:lastRenderedPageBreak/>
        <w:t xml:space="preserve">interpuso apelación </w:t>
      </w:r>
      <w:r w:rsidR="00D91734" w:rsidRPr="00D63801">
        <w:rPr>
          <w:rStyle w:val="Numeracinttulo"/>
          <w:rFonts w:eastAsia="Batang"/>
          <w:b w:val="0"/>
          <w:sz w:val="26"/>
        </w:rPr>
        <w:t xml:space="preserve">por </w:t>
      </w:r>
      <w:r w:rsidR="0067669F" w:rsidRPr="00D63801">
        <w:rPr>
          <w:rStyle w:val="Numeracinttulo"/>
          <w:rFonts w:eastAsia="Batang"/>
          <w:b w:val="0"/>
          <w:sz w:val="26"/>
        </w:rPr>
        <w:t>la</w:t>
      </w:r>
      <w:r w:rsidR="00232AC7" w:rsidRPr="00D63801">
        <w:rPr>
          <w:rStyle w:val="Numeracinttulo"/>
          <w:rFonts w:eastAsia="Batang"/>
          <w:b w:val="0"/>
          <w:sz w:val="26"/>
        </w:rPr>
        <w:t xml:space="preserve"> defensa, cuyo conocimiento correspondió al Juzgado Penal del Circuito de Santa Rosa, emitié</w:t>
      </w:r>
      <w:r w:rsidR="00CA051A" w:rsidRPr="00D63801">
        <w:rPr>
          <w:rStyle w:val="Numeracinttulo"/>
          <w:rFonts w:eastAsia="Batang"/>
          <w:b w:val="0"/>
          <w:sz w:val="26"/>
        </w:rPr>
        <w:t>ndose auto (febrero 09 de 2018)</w:t>
      </w:r>
      <w:r w:rsidR="00232AC7" w:rsidRPr="00D63801">
        <w:rPr>
          <w:rStyle w:val="Numeracinttulo"/>
          <w:rFonts w:eastAsia="Batang"/>
          <w:b w:val="0"/>
          <w:sz w:val="26"/>
        </w:rPr>
        <w:t xml:space="preserve"> por medio del cual </w:t>
      </w:r>
      <w:r w:rsidR="000C2599" w:rsidRPr="00D63801">
        <w:rPr>
          <w:rStyle w:val="Numeracinttulo"/>
          <w:rFonts w:eastAsia="Batang"/>
          <w:b w:val="0"/>
          <w:sz w:val="26"/>
        </w:rPr>
        <w:t xml:space="preserve">se </w:t>
      </w:r>
      <w:r w:rsidR="00CA051A" w:rsidRPr="00D63801">
        <w:rPr>
          <w:rStyle w:val="Numeracinttulo"/>
          <w:rFonts w:eastAsia="Batang"/>
          <w:b w:val="0"/>
          <w:sz w:val="26"/>
        </w:rPr>
        <w:t>abstuvo de conocer la alzada</w:t>
      </w:r>
      <w:r w:rsidR="000C2599" w:rsidRPr="00D63801">
        <w:rPr>
          <w:rStyle w:val="Numeracinttulo"/>
          <w:rFonts w:eastAsia="Batang"/>
          <w:b w:val="0"/>
          <w:sz w:val="26"/>
        </w:rPr>
        <w:t xml:space="preserve"> al no proceder rec</w:t>
      </w:r>
      <w:r w:rsidR="00CA051A" w:rsidRPr="00D63801">
        <w:rPr>
          <w:rStyle w:val="Numeracinttulo"/>
          <w:rFonts w:eastAsia="Batang"/>
          <w:b w:val="0"/>
          <w:sz w:val="26"/>
        </w:rPr>
        <w:t>urso contra lo allí decidido. F</w:t>
      </w:r>
      <w:r w:rsidR="000C2599" w:rsidRPr="00D63801">
        <w:rPr>
          <w:rStyle w:val="Numeracinttulo"/>
          <w:rFonts w:eastAsia="Batang"/>
          <w:b w:val="0"/>
          <w:sz w:val="26"/>
        </w:rPr>
        <w:t>inalmente se dict</w:t>
      </w:r>
      <w:r w:rsidR="005D0369" w:rsidRPr="00D63801">
        <w:rPr>
          <w:rStyle w:val="Numeracinttulo"/>
          <w:rFonts w:eastAsia="Batang"/>
          <w:b w:val="0"/>
          <w:sz w:val="26"/>
        </w:rPr>
        <w:t>ó</w:t>
      </w:r>
      <w:r w:rsidR="000C2599" w:rsidRPr="00D63801">
        <w:rPr>
          <w:rStyle w:val="Numeracinttulo"/>
          <w:rFonts w:eastAsia="Batang"/>
          <w:b w:val="0"/>
          <w:sz w:val="26"/>
        </w:rPr>
        <w:t xml:space="preserve"> sentencia en febrero 15 de 2018</w:t>
      </w:r>
      <w:r w:rsidR="00D74C23" w:rsidRPr="00D63801">
        <w:rPr>
          <w:rStyle w:val="Numeracinttulo"/>
          <w:rFonts w:eastAsia="Batang"/>
          <w:b w:val="0"/>
          <w:sz w:val="26"/>
        </w:rPr>
        <w:t xml:space="preserve"> por medio de la cual: (i) se declaró responsable </w:t>
      </w:r>
      <w:r w:rsidR="000C2599" w:rsidRPr="00D63801">
        <w:rPr>
          <w:rStyle w:val="Numeracinttulo"/>
          <w:rFonts w:eastAsia="Batang"/>
          <w:b w:val="0"/>
          <w:sz w:val="26"/>
        </w:rPr>
        <w:t xml:space="preserve">a </w:t>
      </w:r>
      <w:r w:rsidR="000C2599" w:rsidRPr="00D63801">
        <w:rPr>
          <w:rStyle w:val="Numeracinttulo"/>
          <w:rFonts w:eastAsia="Batang"/>
          <w:sz w:val="22"/>
          <w:szCs w:val="22"/>
        </w:rPr>
        <w:t>JOSÉ DE JESÚS LARGO LÓPEZ</w:t>
      </w:r>
      <w:r w:rsidR="000C2599" w:rsidRPr="00D63801">
        <w:rPr>
          <w:rStyle w:val="Numeracinttulo"/>
          <w:rFonts w:eastAsia="Batang"/>
          <w:b w:val="0"/>
          <w:sz w:val="26"/>
        </w:rPr>
        <w:t xml:space="preserve"> por el delito </w:t>
      </w:r>
      <w:r w:rsidR="00D74C23" w:rsidRPr="00D63801">
        <w:rPr>
          <w:rStyle w:val="Numeracinttulo"/>
          <w:rFonts w:eastAsia="Batang"/>
          <w:b w:val="0"/>
          <w:sz w:val="26"/>
        </w:rPr>
        <w:t xml:space="preserve">de hurto calificado y agravado; (ii) se le impuso sanción privativa de la libertad equivalente a </w:t>
      </w:r>
      <w:r w:rsidR="000C2599" w:rsidRPr="00D63801">
        <w:rPr>
          <w:rStyle w:val="Numeracinttulo"/>
          <w:rFonts w:eastAsia="Batang"/>
          <w:b w:val="0"/>
          <w:sz w:val="26"/>
        </w:rPr>
        <w:t xml:space="preserve">96 </w:t>
      </w:r>
      <w:r w:rsidR="00D74C23" w:rsidRPr="00D63801">
        <w:rPr>
          <w:rStyle w:val="Numeracinttulo"/>
          <w:rFonts w:eastAsia="Batang"/>
          <w:b w:val="0"/>
          <w:sz w:val="26"/>
        </w:rPr>
        <w:t>meses e inhabilitación en el ejercicio de derechos y funciones públicas por tiempo igual al de la pena principal</w:t>
      </w:r>
      <w:r w:rsidR="00CA051A" w:rsidRPr="00D63801">
        <w:rPr>
          <w:rStyle w:val="Numeracinttulo"/>
          <w:rFonts w:eastAsia="Batang"/>
          <w:b w:val="0"/>
          <w:sz w:val="26"/>
        </w:rPr>
        <w:t>;</w:t>
      </w:r>
      <w:r w:rsidR="000C2599" w:rsidRPr="00D63801">
        <w:rPr>
          <w:rStyle w:val="Numeracinttulo"/>
          <w:rFonts w:eastAsia="Batang"/>
          <w:b w:val="0"/>
          <w:sz w:val="26"/>
        </w:rPr>
        <w:t xml:space="preserve"> y</w:t>
      </w:r>
      <w:r w:rsidR="00D74C23" w:rsidRPr="00D63801">
        <w:rPr>
          <w:rStyle w:val="Numeracinttulo"/>
          <w:rFonts w:eastAsia="Batang"/>
          <w:b w:val="0"/>
          <w:sz w:val="26"/>
        </w:rPr>
        <w:t xml:space="preserve"> (iii) le negó la suspensión</w:t>
      </w:r>
      <w:r w:rsidR="00CA051A" w:rsidRPr="00D63801">
        <w:rPr>
          <w:rStyle w:val="Numeracinttulo"/>
          <w:rFonts w:eastAsia="Batang"/>
          <w:b w:val="0"/>
          <w:sz w:val="26"/>
        </w:rPr>
        <w:t xml:space="preserve"> condicional</w:t>
      </w:r>
      <w:r w:rsidR="00D74C23" w:rsidRPr="00D63801">
        <w:rPr>
          <w:rStyle w:val="Numeracinttulo"/>
          <w:rFonts w:eastAsia="Batang"/>
          <w:b w:val="0"/>
          <w:sz w:val="26"/>
        </w:rPr>
        <w:t xml:space="preserve"> de la ejecución de la pena.</w:t>
      </w:r>
    </w:p>
    <w:p w:rsidR="000D42A3" w:rsidRPr="00D63801" w:rsidRDefault="000D42A3" w:rsidP="000D42A3"/>
    <w:p w:rsidR="000D42A3" w:rsidRPr="00D63801" w:rsidRDefault="000D42A3" w:rsidP="000D42A3">
      <w:pPr>
        <w:rPr>
          <w:rStyle w:val="Numeracinttulo"/>
          <w:b w:val="0"/>
          <w:sz w:val="26"/>
        </w:rPr>
      </w:pPr>
      <w:r w:rsidRPr="00D63801">
        <w:rPr>
          <w:rStyle w:val="Numeracinttulo"/>
          <w:szCs w:val="24"/>
        </w:rPr>
        <w:t>1.4.-</w:t>
      </w:r>
      <w:r w:rsidRPr="00D63801">
        <w:rPr>
          <w:rStyle w:val="Numeracinttulo"/>
          <w:b w:val="0"/>
          <w:sz w:val="26"/>
        </w:rPr>
        <w:t xml:space="preserve"> </w:t>
      </w:r>
      <w:r w:rsidR="00116A8A" w:rsidRPr="00D63801">
        <w:rPr>
          <w:rStyle w:val="Numeracinttulo"/>
          <w:b w:val="0"/>
          <w:sz w:val="26"/>
        </w:rPr>
        <w:t>Inconforme con esa determinación</w:t>
      </w:r>
      <w:r w:rsidR="00AE3785" w:rsidRPr="00D63801">
        <w:rPr>
          <w:rStyle w:val="Numeracinttulo"/>
          <w:b w:val="0"/>
          <w:sz w:val="26"/>
        </w:rPr>
        <w:t xml:space="preserve">, </w:t>
      </w:r>
      <w:r w:rsidR="00B113B1" w:rsidRPr="00D63801">
        <w:rPr>
          <w:rStyle w:val="Numeracinttulo"/>
          <w:b w:val="0"/>
          <w:sz w:val="26"/>
        </w:rPr>
        <w:t>el defensor del sentenciado apeló la decisión y manifestó que la sustentaría por escrito</w:t>
      </w:r>
      <w:r w:rsidR="00AE3785" w:rsidRPr="00D63801">
        <w:rPr>
          <w:rStyle w:val="Numeracinttulo"/>
          <w:b w:val="0"/>
          <w:sz w:val="26"/>
        </w:rPr>
        <w:t>.</w:t>
      </w:r>
    </w:p>
    <w:p w:rsidR="002F2C30" w:rsidRPr="00D63801" w:rsidRDefault="002F2C30" w:rsidP="000D42A3">
      <w:pPr>
        <w:rPr>
          <w:rStyle w:val="Numeracinttulo"/>
          <w:b w:val="0"/>
          <w:sz w:val="26"/>
        </w:rPr>
      </w:pPr>
    </w:p>
    <w:p w:rsidR="00F13C87" w:rsidRPr="00D63801" w:rsidRDefault="00F13C87" w:rsidP="00F13C87">
      <w:pPr>
        <w:rPr>
          <w:rStyle w:val="Algerian"/>
        </w:rPr>
      </w:pPr>
      <w:r w:rsidRPr="00D63801">
        <w:rPr>
          <w:rStyle w:val="Algerian"/>
        </w:rPr>
        <w:t>2.- Debate</w:t>
      </w:r>
    </w:p>
    <w:p w:rsidR="00B31B9A" w:rsidRPr="00D63801" w:rsidRDefault="00B31B9A" w:rsidP="00F13C87">
      <w:pPr>
        <w:rPr>
          <w:b/>
          <w:sz w:val="24"/>
          <w:szCs w:val="24"/>
        </w:rPr>
      </w:pPr>
    </w:p>
    <w:p w:rsidR="00F13C87" w:rsidRPr="00D63801" w:rsidRDefault="00F13C87" w:rsidP="00F13C87">
      <w:r w:rsidRPr="00D63801">
        <w:rPr>
          <w:b/>
          <w:sz w:val="24"/>
          <w:szCs w:val="24"/>
        </w:rPr>
        <w:t>2.1.-</w:t>
      </w:r>
      <w:r w:rsidR="00E3428F" w:rsidRPr="00D63801">
        <w:t xml:space="preserve"> </w:t>
      </w:r>
      <w:r w:rsidR="00B113B1" w:rsidRPr="00D63801">
        <w:t xml:space="preserve">Defensa </w:t>
      </w:r>
      <w:r w:rsidR="005D1FC7" w:rsidRPr="00D63801">
        <w:rPr>
          <w:rFonts w:ascii="Verdana" w:hAnsi="Verdana"/>
          <w:sz w:val="20"/>
          <w:szCs w:val="20"/>
        </w:rPr>
        <w:t>-</w:t>
      </w:r>
      <w:r w:rsidRPr="00D63801">
        <w:rPr>
          <w:rFonts w:ascii="Verdana" w:hAnsi="Verdana"/>
          <w:sz w:val="20"/>
          <w:szCs w:val="20"/>
        </w:rPr>
        <w:t>recurrente</w:t>
      </w:r>
      <w:r w:rsidRPr="00D63801">
        <w:rPr>
          <w:rFonts w:ascii="Verdana" w:hAnsi="Verdana"/>
          <w:i/>
          <w:sz w:val="20"/>
          <w:szCs w:val="20"/>
        </w:rPr>
        <w:t xml:space="preserve">- </w:t>
      </w:r>
    </w:p>
    <w:p w:rsidR="00F13C87" w:rsidRPr="00D63801" w:rsidRDefault="00F13C87" w:rsidP="00F13C87">
      <w:pPr>
        <w:rPr>
          <w:rStyle w:val="Nombreprincipal"/>
        </w:rPr>
      </w:pPr>
    </w:p>
    <w:p w:rsidR="005E5782" w:rsidRPr="00D63801" w:rsidRDefault="005E5782" w:rsidP="00F13C87">
      <w:r w:rsidRPr="00D63801">
        <w:t>P</w:t>
      </w:r>
      <w:r w:rsidR="00B113B1" w:rsidRPr="00D63801">
        <w:t xml:space="preserve">ide se revoque </w:t>
      </w:r>
      <w:r w:rsidRPr="00D63801">
        <w:t>el fallo adoptado y se le conceda a su prohijado una rebaja acorde, para que su pena sea menor a la fijada.</w:t>
      </w:r>
    </w:p>
    <w:p w:rsidR="005E5782" w:rsidRPr="00D63801" w:rsidRDefault="005E5782" w:rsidP="00F13C87"/>
    <w:p w:rsidR="005E5782" w:rsidRPr="00D63801" w:rsidRDefault="005E5782" w:rsidP="005E5782">
      <w:r w:rsidRPr="00D63801">
        <w:t xml:space="preserve">Señala que el señor </w:t>
      </w:r>
      <w:r w:rsidRPr="00D63801">
        <w:rPr>
          <w:b/>
          <w:sz w:val="22"/>
          <w:szCs w:val="22"/>
        </w:rPr>
        <w:t>LARGO LÓPEZ</w:t>
      </w:r>
      <w:r w:rsidRPr="00D63801">
        <w:t xml:space="preserve"> fue condenado a 96 meses, al recibir una red</w:t>
      </w:r>
      <w:r w:rsidR="009C1EE1" w:rsidRPr="00D63801">
        <w:t>ucción de 1/3</w:t>
      </w:r>
      <w:r w:rsidRPr="00D63801">
        <w:t xml:space="preserve"> </w:t>
      </w:r>
      <w:r w:rsidR="005D0369" w:rsidRPr="00D63801">
        <w:t xml:space="preserve">de </w:t>
      </w:r>
      <w:r w:rsidRPr="00D63801">
        <w:t>144 meses al acepta</w:t>
      </w:r>
      <w:r w:rsidR="0067669F" w:rsidRPr="00D63801">
        <w:t>r</w:t>
      </w:r>
      <w:r w:rsidRPr="00D63801">
        <w:t xml:space="preserve"> cargos en la audiencia de acusación, y fue precisamente en </w:t>
      </w:r>
      <w:r w:rsidR="0067669F" w:rsidRPr="00D63801">
        <w:t xml:space="preserve">ese </w:t>
      </w:r>
      <w:r w:rsidRPr="00D63801">
        <w:t>acto procesal donde los pus</w:t>
      </w:r>
      <w:r w:rsidR="005D0369" w:rsidRPr="00D63801">
        <w:t>ieron</w:t>
      </w:r>
      <w:r w:rsidRPr="00D63801">
        <w:t xml:space="preserve"> contra la pared, al indicarles que solo procedía esa reducción y no otra distinta, pues de lo contrario </w:t>
      </w:r>
      <w:r w:rsidR="005D0369" w:rsidRPr="00D63801">
        <w:t xml:space="preserve">se </w:t>
      </w:r>
      <w:r w:rsidRPr="00D63801">
        <w:t>trasgredía la ley.</w:t>
      </w:r>
      <w:r w:rsidR="00837A05" w:rsidRPr="00D63801">
        <w:t xml:space="preserve"> </w:t>
      </w:r>
      <w:r w:rsidRPr="00D63801">
        <w:t>Considera que la juez debía tener en cuenta las circunstancias que allí expuso, donde señaló que su cliente no aceptó cargos antes de presentarse el escrito</w:t>
      </w:r>
      <w:r w:rsidR="00CC41CA" w:rsidRPr="00D63801">
        <w:t xml:space="preserve"> acusatorio </w:t>
      </w:r>
      <w:r w:rsidRPr="00D63801">
        <w:t xml:space="preserve">porque la fiscalía no le dio trámite a dicha solicitud, </w:t>
      </w:r>
      <w:r w:rsidR="005D0369" w:rsidRPr="00D63801">
        <w:t xml:space="preserve">pese a </w:t>
      </w:r>
      <w:r w:rsidRPr="00D63801">
        <w:t>informar</w:t>
      </w:r>
      <w:r w:rsidR="005D0369" w:rsidRPr="00D63801">
        <w:t>le</w:t>
      </w:r>
      <w:r w:rsidRPr="00D63801">
        <w:t xml:space="preserve"> el ánimo que tenían de hacer</w:t>
      </w:r>
      <w:r w:rsidR="0067669F" w:rsidRPr="00D63801">
        <w:t>lo</w:t>
      </w:r>
      <w:r w:rsidRPr="00D63801">
        <w:t xml:space="preserve"> con antelación, pero nada se hizo y por ende nada viola la ley si se le concedía una rebaja </w:t>
      </w:r>
      <w:r w:rsidR="0067669F" w:rsidRPr="00D63801">
        <w:t>entre el 40% y el 50%.</w:t>
      </w:r>
    </w:p>
    <w:p w:rsidR="00556860" w:rsidRPr="00D63801" w:rsidRDefault="00556860" w:rsidP="005E5782"/>
    <w:p w:rsidR="005E5782" w:rsidRPr="00D63801" w:rsidRDefault="005E5782" w:rsidP="005E5782">
      <w:r w:rsidRPr="00D63801">
        <w:lastRenderedPageBreak/>
        <w:t xml:space="preserve">Se ha sentido atropellado dentro del proceso, </w:t>
      </w:r>
      <w:r w:rsidR="008D4523" w:rsidRPr="00D63801">
        <w:t xml:space="preserve">toda vez que </w:t>
      </w:r>
      <w:r w:rsidRPr="00D63801">
        <w:t xml:space="preserve">en el trámite de la indemnización previa de perjuicios la juez incurrió en varios errores, </w:t>
      </w:r>
      <w:r w:rsidR="008D4523" w:rsidRPr="00D63801">
        <w:t xml:space="preserve">ya que pese </w:t>
      </w:r>
      <w:r w:rsidR="00837A05" w:rsidRPr="00D63801">
        <w:t xml:space="preserve">a realizarse </w:t>
      </w:r>
      <w:r w:rsidRPr="00D63801">
        <w:t xml:space="preserve">una </w:t>
      </w:r>
      <w:r w:rsidR="00837A05" w:rsidRPr="00D63801">
        <w:t xml:space="preserve">diligencia </w:t>
      </w:r>
      <w:r w:rsidRPr="00D63801">
        <w:t>donde tanto la fiscalía como el apoderado de víctimas aceptaron el dictamen del perito, esa audiencia se dañó y hubo que repetir</w:t>
      </w:r>
      <w:r w:rsidR="00837A05" w:rsidRPr="00D63801">
        <w:t>la</w:t>
      </w:r>
      <w:r w:rsidRPr="00D63801">
        <w:t xml:space="preserve">, y allí la fiscal objetó y </w:t>
      </w:r>
      <w:r w:rsidR="00837A05" w:rsidRPr="00D63801">
        <w:t xml:space="preserve">en su sentir, </w:t>
      </w:r>
      <w:r w:rsidRPr="00D63801">
        <w:t>el trámite debió ser diferente.</w:t>
      </w:r>
    </w:p>
    <w:p w:rsidR="005E5782" w:rsidRPr="00D63801" w:rsidRDefault="005E5782" w:rsidP="005E5782"/>
    <w:p w:rsidR="005E5782" w:rsidRPr="00D63801" w:rsidRDefault="005E5782" w:rsidP="005E5782">
      <w:r w:rsidRPr="00D63801">
        <w:t xml:space="preserve">Posteriormente la misma juez pasa a ser perito y tasa los perjuicios materiales, por encima de las facultades que la ley le otorga al evaluador, y </w:t>
      </w:r>
      <w:r w:rsidR="008D4523" w:rsidRPr="00D63801">
        <w:t xml:space="preserve">solicita </w:t>
      </w:r>
      <w:r w:rsidRPr="00D63801">
        <w:t xml:space="preserve">se revise la actuación donde se puede observar que la intención de aceptar cargos se </w:t>
      </w:r>
      <w:r w:rsidR="007E6C1A" w:rsidRPr="00D63801">
        <w:t xml:space="preserve">expresó </w:t>
      </w:r>
      <w:r w:rsidRPr="00D63801">
        <w:t>en varias oportunidades, mucho antes del escrito acusa</w:t>
      </w:r>
      <w:r w:rsidR="008D4523" w:rsidRPr="00D63801">
        <w:t xml:space="preserve">torio </w:t>
      </w:r>
      <w:r w:rsidRPr="00D63801">
        <w:t>y si la juez hubiera atendido tal circunstancia</w:t>
      </w:r>
      <w:r w:rsidR="00350E5C" w:rsidRPr="00D63801">
        <w:t xml:space="preserve"> asignaría </w:t>
      </w:r>
      <w:r w:rsidRPr="00D63801">
        <w:t xml:space="preserve">una rebaja más amplia, </w:t>
      </w:r>
      <w:r w:rsidR="008D4523" w:rsidRPr="00D63801">
        <w:t xml:space="preserve">lo que en </w:t>
      </w:r>
      <w:r w:rsidRPr="00D63801">
        <w:t xml:space="preserve">momento </w:t>
      </w:r>
      <w:r w:rsidR="008D4523" w:rsidRPr="00D63801">
        <w:t xml:space="preserve">alguno </w:t>
      </w:r>
      <w:r w:rsidRPr="00D63801">
        <w:t>vulneraba la ley, así la aceptación se hubiera realizado en la audiencia de acusación, en aplicación del principio de favorabilidad.</w:t>
      </w:r>
    </w:p>
    <w:p w:rsidR="00837A05" w:rsidRPr="00D63801" w:rsidRDefault="00837A05" w:rsidP="00837A05">
      <w:pPr>
        <w:rPr>
          <w:b/>
          <w:sz w:val="24"/>
          <w:szCs w:val="24"/>
        </w:rPr>
      </w:pPr>
    </w:p>
    <w:p w:rsidR="00837A05" w:rsidRPr="00D63801" w:rsidRDefault="00837A05" w:rsidP="00837A05">
      <w:r w:rsidRPr="00D63801">
        <w:rPr>
          <w:b/>
          <w:sz w:val="24"/>
          <w:szCs w:val="24"/>
        </w:rPr>
        <w:t>2.1.-</w:t>
      </w:r>
      <w:r w:rsidRPr="00D63801">
        <w:t xml:space="preserve"> Fiscalía </w:t>
      </w:r>
      <w:r w:rsidRPr="00D63801">
        <w:rPr>
          <w:rFonts w:ascii="Verdana" w:hAnsi="Verdana"/>
          <w:sz w:val="20"/>
          <w:szCs w:val="20"/>
        </w:rPr>
        <w:t>-no recurrente-</w:t>
      </w:r>
    </w:p>
    <w:p w:rsidR="00B113B1" w:rsidRPr="00D63801" w:rsidRDefault="00B113B1" w:rsidP="00F13C87"/>
    <w:p w:rsidR="00837A05" w:rsidRPr="00D63801" w:rsidRDefault="00350E5C" w:rsidP="00F13C87">
      <w:r w:rsidRPr="00D63801">
        <w:t>Pide se confirme la sentencia proferida</w:t>
      </w:r>
      <w:r w:rsidR="00837A05" w:rsidRPr="00D63801">
        <w:t xml:space="preserve">, </w:t>
      </w:r>
      <w:r w:rsidR="008D4523" w:rsidRPr="00D63801">
        <w:t xml:space="preserve">por cuanto </w:t>
      </w:r>
      <w:r w:rsidR="00837A05" w:rsidRPr="00D63801">
        <w:t>se encuentra ajustada a derecho.</w:t>
      </w:r>
    </w:p>
    <w:p w:rsidR="00837A05" w:rsidRPr="00D63801" w:rsidRDefault="00837A05" w:rsidP="00F13C87"/>
    <w:p w:rsidR="00837A05" w:rsidRPr="00D63801" w:rsidRDefault="00837A05" w:rsidP="00F13C87">
      <w:r w:rsidRPr="00D63801">
        <w:t xml:space="preserve">Esgrime al respecto que en la carpeta obra petición de la defensa de agosto 06 de 2017 donde pide requerir a la víctima para intentar un arreglo indemnizatorio y que no se presente acusación hasta </w:t>
      </w:r>
      <w:r w:rsidR="008D4523" w:rsidRPr="00D63801">
        <w:t xml:space="preserve">que se </w:t>
      </w:r>
      <w:r w:rsidRPr="00D63801">
        <w:t xml:space="preserve">resuelva lo mencionado, al ser intención de su cliente aceptar cargos, </w:t>
      </w:r>
      <w:r w:rsidR="008D4523" w:rsidRPr="00D63801">
        <w:t xml:space="preserve">frente a lo </w:t>
      </w:r>
      <w:r w:rsidRPr="00D63801">
        <w:t xml:space="preserve">cual se le indicó que la víctima no podía ser ubicada y que no podía accederse a su solicitud por cuanto se vencían los términos, ya que al señor </w:t>
      </w:r>
      <w:r w:rsidRPr="00D63801">
        <w:rPr>
          <w:b/>
          <w:sz w:val="22"/>
          <w:szCs w:val="22"/>
        </w:rPr>
        <w:t>LARGO LÓPEZ</w:t>
      </w:r>
      <w:r w:rsidRPr="00D63801">
        <w:t xml:space="preserve"> se le formularon cargos en mayo 26 de 2017.</w:t>
      </w:r>
    </w:p>
    <w:p w:rsidR="00556860" w:rsidRPr="00D63801" w:rsidRDefault="00556860" w:rsidP="00F13C87"/>
    <w:p w:rsidR="00837A05" w:rsidRPr="00D63801" w:rsidRDefault="00837A05" w:rsidP="00F13C87">
      <w:r w:rsidRPr="00D63801">
        <w:t xml:space="preserve">Una vez instalada la formulación de acusación, e informárseles la rebaja de pena a que tendría derecho por aceptación de cargos, así lo hizo el procesado y posteriormente se llevó a cabo una audiencia para tasar los perjuicios de la </w:t>
      </w:r>
      <w:r w:rsidRPr="00D63801">
        <w:lastRenderedPageBreak/>
        <w:t xml:space="preserve">víctima donde un perito de la defensa tasó los materiales en $2.830.000, sin tener en cuenta la suma de $40.000.000 hurtada a la víctima; y aclara que en las dos audiencias realizadas </w:t>
      </w:r>
      <w:r w:rsidR="00BD02E2" w:rsidRPr="00D63801">
        <w:t xml:space="preserve"> la fiscalía informó cuáles eran los perjuicios de la víctima</w:t>
      </w:r>
      <w:r w:rsidR="00CD7F62" w:rsidRPr="00D63801">
        <w:t xml:space="preserve">, y si bien estuvo de acuerdo con la tasación del valor de algunos elementos </w:t>
      </w:r>
      <w:r w:rsidR="00A63125" w:rsidRPr="00D63801">
        <w:rPr>
          <w:rFonts w:ascii="Verdana" w:hAnsi="Verdana"/>
          <w:sz w:val="20"/>
          <w:szCs w:val="20"/>
        </w:rPr>
        <w:t>-</w:t>
      </w:r>
      <w:r w:rsidR="00CD7F62" w:rsidRPr="00D63801">
        <w:rPr>
          <w:rFonts w:ascii="Verdana" w:hAnsi="Verdana"/>
          <w:sz w:val="20"/>
          <w:szCs w:val="20"/>
        </w:rPr>
        <w:t xml:space="preserve">un celular </w:t>
      </w:r>
      <w:r w:rsidR="00A63125" w:rsidRPr="00D63801">
        <w:rPr>
          <w:rFonts w:ascii="Verdana" w:hAnsi="Verdana"/>
          <w:sz w:val="20"/>
          <w:szCs w:val="20"/>
        </w:rPr>
        <w:t>B</w:t>
      </w:r>
      <w:r w:rsidR="00CD7F62" w:rsidRPr="00D63801">
        <w:rPr>
          <w:rFonts w:ascii="Verdana" w:hAnsi="Verdana"/>
          <w:sz w:val="20"/>
          <w:szCs w:val="20"/>
        </w:rPr>
        <w:t>lack</w:t>
      </w:r>
      <w:r w:rsidR="008D4523" w:rsidRPr="00D63801">
        <w:rPr>
          <w:rFonts w:ascii="Verdana" w:hAnsi="Verdana"/>
          <w:sz w:val="20"/>
          <w:szCs w:val="20"/>
        </w:rPr>
        <w:t>B</w:t>
      </w:r>
      <w:r w:rsidR="00CD7F62" w:rsidRPr="00D63801">
        <w:rPr>
          <w:rFonts w:ascii="Verdana" w:hAnsi="Verdana"/>
          <w:sz w:val="20"/>
          <w:szCs w:val="20"/>
        </w:rPr>
        <w:t>erry, una torre de computador</w:t>
      </w:r>
      <w:r w:rsidR="00A63125" w:rsidRPr="00D63801">
        <w:rPr>
          <w:rFonts w:ascii="Verdana" w:hAnsi="Verdana"/>
          <w:sz w:val="20"/>
          <w:szCs w:val="20"/>
        </w:rPr>
        <w:t>, un anillo de plata pequeño y un millón de pesos en efectivo-</w:t>
      </w:r>
      <w:r w:rsidR="00A63125" w:rsidRPr="00D63801">
        <w:t xml:space="preserve">, </w:t>
      </w:r>
      <w:r w:rsidR="00AF602A" w:rsidRPr="00D63801">
        <w:t xml:space="preserve">que fueron </w:t>
      </w:r>
      <w:r w:rsidR="008D4523" w:rsidRPr="00D63801">
        <w:t xml:space="preserve">tasados </w:t>
      </w:r>
      <w:r w:rsidR="00AF602A" w:rsidRPr="00D63801">
        <w:t>por el perito en $2.830.000</w:t>
      </w:r>
      <w:r w:rsidR="008D4523" w:rsidRPr="00D63801">
        <w:t>,</w:t>
      </w:r>
      <w:r w:rsidR="00AF602A" w:rsidRPr="00D63801">
        <w:t xml:space="preserve"> no se aceptó lo relativo al dinero hurtado, máxime que el mismo </w:t>
      </w:r>
      <w:r w:rsidR="008D4523" w:rsidRPr="00D63801">
        <w:t xml:space="preserve">perito </w:t>
      </w:r>
      <w:r w:rsidR="00AF602A" w:rsidRPr="00D63801">
        <w:t>señala que no puede incluir esa suma al no poder entrevistar a la víctima, y carece</w:t>
      </w:r>
      <w:r w:rsidR="007E6C1A" w:rsidRPr="00D63801">
        <w:t>r</w:t>
      </w:r>
      <w:r w:rsidR="00AF602A" w:rsidRPr="00D63801">
        <w:t xml:space="preserve"> de elementos para tomar otra determinación, lo cual no comparte.</w:t>
      </w:r>
    </w:p>
    <w:p w:rsidR="00D75E04" w:rsidRPr="00D63801" w:rsidRDefault="00D75E04" w:rsidP="00901375">
      <w:pPr>
        <w:rPr>
          <w:sz w:val="24"/>
          <w:szCs w:val="24"/>
        </w:rPr>
      </w:pPr>
    </w:p>
    <w:p w:rsidR="00901375" w:rsidRPr="00D63801" w:rsidRDefault="00901375" w:rsidP="00901375">
      <w:r w:rsidRPr="00D63801">
        <w:rPr>
          <w:b/>
          <w:sz w:val="24"/>
          <w:szCs w:val="24"/>
        </w:rPr>
        <w:t>2.3.-</w:t>
      </w:r>
      <w:r w:rsidRPr="00D63801">
        <w:t xml:space="preserve"> Debidamente sustentado el recurso, </w:t>
      </w:r>
      <w:r w:rsidR="002E5AFD" w:rsidRPr="00D63801">
        <w:t>el</w:t>
      </w:r>
      <w:r w:rsidRPr="00D63801">
        <w:t xml:space="preserve"> juez a quo lo concedió en el efect</w:t>
      </w:r>
      <w:r w:rsidR="001F37C3" w:rsidRPr="00D63801">
        <w:t>o</w:t>
      </w:r>
      <w:r w:rsidRPr="00D63801">
        <w:t xml:space="preserve"> suspensivo y dispuso la remisión de los registros pertinentes ante esta Corporación con el fin de desatar la alzada.</w:t>
      </w:r>
    </w:p>
    <w:p w:rsidR="00901375" w:rsidRPr="00D63801" w:rsidRDefault="00901375" w:rsidP="00901375"/>
    <w:p w:rsidR="00F13C87" w:rsidRPr="00D63801" w:rsidRDefault="00F13C87" w:rsidP="00F13C87">
      <w:pPr>
        <w:rPr>
          <w:rStyle w:val="Algerian"/>
        </w:rPr>
      </w:pPr>
      <w:r w:rsidRPr="00D63801">
        <w:rPr>
          <w:rStyle w:val="Algerian"/>
        </w:rPr>
        <w:t xml:space="preserve">3.- </w:t>
      </w:r>
      <w:r w:rsidRPr="00D63801">
        <w:rPr>
          <w:rStyle w:val="Algerian"/>
          <w:rFonts w:ascii="Tahoma" w:hAnsi="Tahoma" w:cs="Tahoma"/>
          <w:sz w:val="28"/>
          <w:szCs w:val="28"/>
        </w:rPr>
        <w:t>Para resolver,</w:t>
      </w:r>
      <w:r w:rsidRPr="00D63801">
        <w:rPr>
          <w:rStyle w:val="Algerian"/>
          <w:rFonts w:ascii="Tahoma" w:hAnsi="Tahoma" w:cs="Tahoma"/>
        </w:rPr>
        <w:t xml:space="preserve"> </w:t>
      </w:r>
      <w:r w:rsidRPr="00D63801">
        <w:rPr>
          <w:rStyle w:val="Algerian"/>
        </w:rPr>
        <w:t>se considera</w:t>
      </w:r>
    </w:p>
    <w:p w:rsidR="00F13C87" w:rsidRPr="00D63801" w:rsidRDefault="00F13C87" w:rsidP="00F13C87">
      <w:r w:rsidRPr="00D63801">
        <w:t xml:space="preserve"> </w:t>
      </w:r>
    </w:p>
    <w:p w:rsidR="00F13C87" w:rsidRPr="00D63801" w:rsidRDefault="00F13C87" w:rsidP="00F13C87">
      <w:pPr>
        <w:rPr>
          <w:b/>
          <w:sz w:val="24"/>
          <w:szCs w:val="24"/>
        </w:rPr>
      </w:pPr>
      <w:r w:rsidRPr="00D63801">
        <w:rPr>
          <w:b/>
          <w:sz w:val="24"/>
          <w:szCs w:val="24"/>
        </w:rPr>
        <w:t>3.1.-</w:t>
      </w:r>
      <w:r w:rsidRPr="00D63801">
        <w:rPr>
          <w:b/>
        </w:rPr>
        <w:t xml:space="preserve"> </w:t>
      </w:r>
      <w:r w:rsidRPr="00D63801">
        <w:rPr>
          <w:b/>
          <w:sz w:val="24"/>
          <w:szCs w:val="24"/>
        </w:rPr>
        <w:t>Competencia</w:t>
      </w:r>
    </w:p>
    <w:p w:rsidR="00F13C87" w:rsidRPr="00D63801" w:rsidRDefault="00F13C87" w:rsidP="00F13C87"/>
    <w:p w:rsidR="00F13C87" w:rsidRPr="00D63801" w:rsidRDefault="00F13C87" w:rsidP="00F13C87">
      <w:r w:rsidRPr="00D63801">
        <w:t>La tiene esta Colegiatura de conformidad con los factores objetivo, territorial y funcional a voces de los artículos 20, 34.1 y 179 de la Ley 906 de 2004</w:t>
      </w:r>
      <w:r w:rsidRPr="00D63801">
        <w:rPr>
          <w:rFonts w:ascii="Verdana" w:hAnsi="Verdana"/>
          <w:sz w:val="20"/>
          <w:szCs w:val="20"/>
        </w:rPr>
        <w:t xml:space="preserve"> -modificado este último por el artículo 91 de la Ley 1395 de 2010-</w:t>
      </w:r>
      <w:r w:rsidRPr="00D63801">
        <w:t xml:space="preserve">, al haber sido oportunamente interpuesta y </w:t>
      </w:r>
      <w:r w:rsidR="00735B8F" w:rsidRPr="00D63801">
        <w:t xml:space="preserve">apropiadamente </w:t>
      </w:r>
      <w:r w:rsidRPr="00D63801">
        <w:t>sustentada una apelación contra providencia susceptible de ese recurso y por las partes habilitadas para hacerlo</w:t>
      </w:r>
      <w:r w:rsidR="00B364D3" w:rsidRPr="00D63801">
        <w:rPr>
          <w:rFonts w:ascii="Verdana" w:hAnsi="Verdana"/>
          <w:sz w:val="20"/>
          <w:szCs w:val="20"/>
        </w:rPr>
        <w:t xml:space="preserve"> -en nuestro caso la defensa</w:t>
      </w:r>
      <w:r w:rsidRPr="00D63801">
        <w:rPr>
          <w:rFonts w:ascii="Verdana" w:hAnsi="Verdana"/>
          <w:sz w:val="20"/>
          <w:szCs w:val="20"/>
        </w:rPr>
        <w:t>-</w:t>
      </w:r>
      <w:r w:rsidRPr="00D63801">
        <w:t>.</w:t>
      </w:r>
    </w:p>
    <w:p w:rsidR="00556860" w:rsidRPr="00D63801" w:rsidRDefault="00556860" w:rsidP="00F13C87">
      <w:pPr>
        <w:rPr>
          <w:b/>
          <w:sz w:val="24"/>
          <w:szCs w:val="24"/>
        </w:rPr>
      </w:pPr>
    </w:p>
    <w:p w:rsidR="00F13C87" w:rsidRPr="00D63801" w:rsidRDefault="00F13C87" w:rsidP="00F13C87">
      <w:r w:rsidRPr="00D63801">
        <w:rPr>
          <w:b/>
          <w:sz w:val="24"/>
          <w:szCs w:val="24"/>
        </w:rPr>
        <w:t>3.2.-</w:t>
      </w:r>
      <w:r w:rsidRPr="00D63801">
        <w:t xml:space="preserve"> </w:t>
      </w:r>
      <w:r w:rsidRPr="00D63801">
        <w:rPr>
          <w:b/>
          <w:sz w:val="24"/>
          <w:szCs w:val="24"/>
        </w:rPr>
        <w:t>Problema jurídico planteado</w:t>
      </w:r>
    </w:p>
    <w:p w:rsidR="00F13C87" w:rsidRPr="00D63801" w:rsidRDefault="00F13C87" w:rsidP="00F13C87"/>
    <w:p w:rsidR="00E0224A" w:rsidRPr="00D63801" w:rsidRDefault="00F13C87" w:rsidP="00F13C87">
      <w:r w:rsidRPr="00D63801">
        <w:t xml:space="preserve">Se contrae básicamente a </w:t>
      </w:r>
      <w:r w:rsidR="000E575A" w:rsidRPr="00D63801">
        <w:t xml:space="preserve">determinar </w:t>
      </w:r>
      <w:r w:rsidR="00EF7946" w:rsidRPr="00D63801">
        <w:t>si en el caso concreto hay lugar a</w:t>
      </w:r>
      <w:r w:rsidR="00617A7B" w:rsidRPr="00D63801">
        <w:t xml:space="preserve"> la </w:t>
      </w:r>
      <w:proofErr w:type="spellStart"/>
      <w:r w:rsidR="00617A7B" w:rsidRPr="00D63801">
        <w:t>redosificación</w:t>
      </w:r>
      <w:proofErr w:type="spellEnd"/>
      <w:r w:rsidR="00617A7B" w:rsidRPr="00D63801">
        <w:t xml:space="preserve"> punitiva que se solicita para </w:t>
      </w:r>
      <w:r w:rsidR="0011120E" w:rsidRPr="00D63801">
        <w:t xml:space="preserve">el </w:t>
      </w:r>
      <w:r w:rsidR="00617A7B" w:rsidRPr="00D63801">
        <w:t>sentenciad</w:t>
      </w:r>
      <w:r w:rsidR="0011120E" w:rsidRPr="00D63801">
        <w:t>o</w:t>
      </w:r>
      <w:r w:rsidR="00D33FBD" w:rsidRPr="00D63801">
        <w:t xml:space="preserve"> </w:t>
      </w:r>
      <w:r w:rsidR="008D4523" w:rsidRPr="00D63801">
        <w:rPr>
          <w:b/>
          <w:sz w:val="22"/>
          <w:szCs w:val="22"/>
        </w:rPr>
        <w:t>JOSÉ DE JESÚS LARGO LÓPEZ</w:t>
      </w:r>
      <w:r w:rsidR="00EF7946" w:rsidRPr="00D63801">
        <w:t>,</w:t>
      </w:r>
      <w:r w:rsidR="00617A7B" w:rsidRPr="00D63801">
        <w:t xml:space="preserve"> al </w:t>
      </w:r>
      <w:r w:rsidR="008D4523" w:rsidRPr="00D63801">
        <w:t>considerar que pese a haber aceptado cargos durante la audiencia de formula</w:t>
      </w:r>
      <w:r w:rsidR="0071145D" w:rsidRPr="00D63801">
        <w:t>ción de acusación, la rebaja de pena concedida</w:t>
      </w:r>
      <w:r w:rsidR="008D4523" w:rsidRPr="00D63801">
        <w:t xml:space="preserve"> debió ser </w:t>
      </w:r>
      <w:r w:rsidR="008D4523" w:rsidRPr="00D63801">
        <w:lastRenderedPageBreak/>
        <w:t>superior a una</w:t>
      </w:r>
      <w:r w:rsidR="0071145D" w:rsidRPr="00D63801">
        <w:t xml:space="preserve"> tercera parte, habida cuenta de la i</w:t>
      </w:r>
      <w:r w:rsidR="008D4523" w:rsidRPr="00D63801">
        <w:t xml:space="preserve">ntención de asumir responsabilidad con antelación a la presentación del escrito </w:t>
      </w:r>
      <w:r w:rsidR="0071145D" w:rsidRPr="00D63801">
        <w:t>acusatorio</w:t>
      </w:r>
      <w:r w:rsidR="008D4523" w:rsidRPr="00D63801">
        <w:t>.</w:t>
      </w:r>
    </w:p>
    <w:p w:rsidR="008D4523" w:rsidRPr="00D63801" w:rsidRDefault="008D4523" w:rsidP="00F13C87"/>
    <w:p w:rsidR="00F13C87" w:rsidRPr="00D63801" w:rsidRDefault="00F13C87" w:rsidP="00F13C87">
      <w:r w:rsidRPr="00D63801">
        <w:rPr>
          <w:b/>
          <w:sz w:val="24"/>
          <w:szCs w:val="24"/>
        </w:rPr>
        <w:t>3.3.- Solución a la controversia</w:t>
      </w:r>
    </w:p>
    <w:p w:rsidR="00F13C87" w:rsidRPr="00D63801" w:rsidRDefault="00F13C87" w:rsidP="00F13C87"/>
    <w:p w:rsidR="00825182" w:rsidRPr="00D63801" w:rsidRDefault="00825182" w:rsidP="00825182">
      <w:r w:rsidRPr="00D63801">
        <w:t xml:space="preserve">Nos encontramos en presencia de un trámite abreviado por la admisión de los cargos </w:t>
      </w:r>
      <w:r w:rsidR="000A618B" w:rsidRPr="00D63801">
        <w:t xml:space="preserve">al momento de la realización de la audiencia de formulación de acusación </w:t>
      </w:r>
      <w:r w:rsidR="0011120E" w:rsidRPr="00D63801">
        <w:t xml:space="preserve">por </w:t>
      </w:r>
      <w:r w:rsidRPr="00D63801">
        <w:t>parte del procesad</w:t>
      </w:r>
      <w:r w:rsidR="0011120E" w:rsidRPr="00D63801">
        <w:t>o</w:t>
      </w:r>
      <w:r w:rsidRPr="00D63801">
        <w:t xml:space="preserve"> en forma libre, voluntaria, consciente, debidamente asistid</w:t>
      </w:r>
      <w:r w:rsidR="000A618B" w:rsidRPr="00D63801">
        <w:t>o</w:t>
      </w:r>
      <w:r w:rsidRPr="00D63801">
        <w:t>, y profusamente ilustrad</w:t>
      </w:r>
      <w:r w:rsidR="0011120E" w:rsidRPr="00D63801">
        <w:t>o</w:t>
      </w:r>
      <w:r w:rsidRPr="00D63801">
        <w:t xml:space="preserve"> acerca de las consecuencias de hacer dejación de su derecho a la no autoincriminación, lo que no obsta para asegurar que además de ese allanamiento unilateral que despeja el camino hacia el </w:t>
      </w:r>
      <w:proofErr w:type="spellStart"/>
      <w:r w:rsidRPr="00D63801">
        <w:t>proferimiento</w:t>
      </w:r>
      <w:proofErr w:type="spellEnd"/>
      <w:r w:rsidRPr="00D63801">
        <w:t xml:space="preserve"> de un fallo de condena, en el diligenciamiento en verdad existen elementos de convicción que determinan que la conducta ilícita que se pregona sí </w:t>
      </w:r>
      <w:r w:rsidR="007D2744" w:rsidRPr="00D63801">
        <w:t xml:space="preserve">ocurrió </w:t>
      </w:r>
      <w:r w:rsidRPr="00D63801">
        <w:t xml:space="preserve">y que </w:t>
      </w:r>
      <w:r w:rsidR="00E65133" w:rsidRPr="00D63801">
        <w:t>e</w:t>
      </w:r>
      <w:r w:rsidRPr="00D63801">
        <w:t xml:space="preserve">l hoy </w:t>
      </w:r>
      <w:r w:rsidR="00E65133" w:rsidRPr="00D63801">
        <w:t xml:space="preserve">sentenciado </w:t>
      </w:r>
      <w:r w:rsidRPr="00D63801">
        <w:t>tuvo participación activa en la misma.</w:t>
      </w:r>
    </w:p>
    <w:p w:rsidR="00825182" w:rsidRPr="00D63801" w:rsidRDefault="00825182" w:rsidP="00825182"/>
    <w:p w:rsidR="00825182" w:rsidRPr="00D63801" w:rsidRDefault="00825182" w:rsidP="00825182">
      <w:r w:rsidRPr="00D63801">
        <w:t xml:space="preserve">No se avizora irregularidad sustancial alguna de estructura o de garantía, ni error </w:t>
      </w:r>
      <w:r w:rsidRPr="00D63801">
        <w:rPr>
          <w:i/>
        </w:rPr>
        <w:t xml:space="preserve">in </w:t>
      </w:r>
      <w:proofErr w:type="spellStart"/>
      <w:r w:rsidRPr="00D63801">
        <w:rPr>
          <w:i/>
        </w:rPr>
        <w:t>procedendo</w:t>
      </w:r>
      <w:proofErr w:type="spellEnd"/>
      <w:r w:rsidRPr="00D63801">
        <w:t xml:space="preserve"> insubsanable que obligue a la Sala a retrotraer la actuación a segmentos ya superados; en consecuencia, se procederá al análisis de fondo que en derecho corresponde.</w:t>
      </w:r>
    </w:p>
    <w:p w:rsidR="00825182" w:rsidRPr="00D63801" w:rsidRDefault="00825182" w:rsidP="00825182"/>
    <w:p w:rsidR="00E65133" w:rsidRPr="00D63801" w:rsidRDefault="009C1EE1" w:rsidP="00E65133">
      <w:pPr>
        <w:overflowPunct w:val="0"/>
        <w:autoSpaceDE w:val="0"/>
        <w:autoSpaceDN w:val="0"/>
        <w:adjustRightInd w:val="0"/>
        <w:rPr>
          <w:rFonts w:cs="Tahoma"/>
          <w:lang w:val="es-ES_tradnl"/>
        </w:rPr>
      </w:pPr>
      <w:r w:rsidRPr="00D63801">
        <w:rPr>
          <w:rFonts w:cs="Tahoma"/>
        </w:rPr>
        <w:t>El</w:t>
      </w:r>
      <w:r w:rsidR="00E65133" w:rsidRPr="00D63801">
        <w:rPr>
          <w:rFonts w:cs="Tahoma"/>
        </w:rPr>
        <w:t xml:space="preserve"> profesional del derecho que </w:t>
      </w:r>
      <w:r w:rsidR="001F37C3" w:rsidRPr="00D63801">
        <w:rPr>
          <w:rFonts w:cs="Tahoma"/>
        </w:rPr>
        <w:t>asiste a</w:t>
      </w:r>
      <w:r w:rsidR="00546BED" w:rsidRPr="00D63801">
        <w:rPr>
          <w:rFonts w:cs="Tahoma"/>
        </w:rPr>
        <w:t xml:space="preserve">l señor </w:t>
      </w:r>
      <w:r w:rsidR="000A618B" w:rsidRPr="00D63801">
        <w:rPr>
          <w:rFonts w:cs="Tahoma"/>
          <w:b/>
          <w:sz w:val="22"/>
          <w:szCs w:val="22"/>
        </w:rPr>
        <w:t>LARGO LÓPEZ</w:t>
      </w:r>
      <w:r w:rsidRPr="00D63801">
        <w:rPr>
          <w:rFonts w:cs="Tahoma"/>
        </w:rPr>
        <w:t xml:space="preserve">, no </w:t>
      </w:r>
      <w:r w:rsidR="00825182" w:rsidRPr="00D63801">
        <w:rPr>
          <w:rFonts w:cs="Tahoma"/>
        </w:rPr>
        <w:t xml:space="preserve">cuestiona la responsabilidad aceptada por vía de </w:t>
      </w:r>
      <w:r w:rsidR="000A618B" w:rsidRPr="00D63801">
        <w:rPr>
          <w:rFonts w:cs="Tahoma"/>
        </w:rPr>
        <w:t>la aceptación unilateral</w:t>
      </w:r>
      <w:r w:rsidR="00546BED" w:rsidRPr="00D63801">
        <w:rPr>
          <w:rFonts w:cs="Tahoma"/>
        </w:rPr>
        <w:t>. L</w:t>
      </w:r>
      <w:r w:rsidR="000147C2" w:rsidRPr="00D63801">
        <w:rPr>
          <w:rFonts w:cs="Tahoma"/>
        </w:rPr>
        <w:t xml:space="preserve">o que se </w:t>
      </w:r>
      <w:r w:rsidR="0060371D" w:rsidRPr="00D63801">
        <w:rPr>
          <w:rFonts w:cs="Tahoma"/>
        </w:rPr>
        <w:t>censura</w:t>
      </w:r>
      <w:r w:rsidR="007D158C" w:rsidRPr="00D63801">
        <w:rPr>
          <w:rFonts w:cs="Tahoma"/>
        </w:rPr>
        <w:t xml:space="preserve"> </w:t>
      </w:r>
      <w:r w:rsidR="00E65133" w:rsidRPr="00D63801">
        <w:rPr>
          <w:rFonts w:cs="Tahoma"/>
        </w:rPr>
        <w:t>es lo relativo a la tasación punitiva</w:t>
      </w:r>
      <w:r w:rsidR="00546BED" w:rsidRPr="00D63801">
        <w:rPr>
          <w:rFonts w:cs="Tahoma"/>
        </w:rPr>
        <w:t xml:space="preserve"> al </w:t>
      </w:r>
      <w:r w:rsidR="00825182" w:rsidRPr="00D63801">
        <w:rPr>
          <w:rFonts w:cs="Tahoma"/>
          <w:lang w:val="es-ES_tradnl"/>
        </w:rPr>
        <w:t xml:space="preserve">sostener que la </w:t>
      </w:r>
      <w:r w:rsidR="009475FC" w:rsidRPr="00D63801">
        <w:rPr>
          <w:rFonts w:cs="Tahoma"/>
          <w:lang w:val="es-ES_tradnl"/>
        </w:rPr>
        <w:t>rebaja de pena</w:t>
      </w:r>
      <w:r w:rsidR="000A618B" w:rsidRPr="00D63801">
        <w:rPr>
          <w:rFonts w:cs="Tahoma"/>
          <w:lang w:val="es-ES_tradnl"/>
        </w:rPr>
        <w:t xml:space="preserve"> otorgada por la a qu</w:t>
      </w:r>
      <w:r w:rsidRPr="00D63801">
        <w:rPr>
          <w:rFonts w:cs="Tahoma"/>
          <w:lang w:val="es-ES_tradnl"/>
        </w:rPr>
        <w:t>o debió ser superior a 1/3</w:t>
      </w:r>
      <w:r w:rsidR="000A618B" w:rsidRPr="00D63801">
        <w:rPr>
          <w:rFonts w:cs="Tahoma"/>
          <w:lang w:val="es-ES_tradnl"/>
        </w:rPr>
        <w:t>, en tanto la juez</w:t>
      </w:r>
      <w:r w:rsidR="000613B9" w:rsidRPr="00D63801">
        <w:rPr>
          <w:rFonts w:cs="Tahoma"/>
          <w:lang w:val="es-ES_tradnl"/>
        </w:rPr>
        <w:t>a</w:t>
      </w:r>
      <w:r w:rsidR="000A618B" w:rsidRPr="00D63801">
        <w:rPr>
          <w:rFonts w:cs="Tahoma"/>
          <w:lang w:val="es-ES_tradnl"/>
        </w:rPr>
        <w:t xml:space="preserve"> debía tener en consideración que con antelación a la presentación del escrito acusatorio por parte de la Fiscalía se había manifestado el interés no solo de indemnizar los perjuicios de la víctima, sino de aceptar los cargos endilgados.</w:t>
      </w:r>
    </w:p>
    <w:p w:rsidR="00335562" w:rsidRPr="00D63801" w:rsidRDefault="00335562" w:rsidP="00E65133">
      <w:pPr>
        <w:overflowPunct w:val="0"/>
        <w:autoSpaceDE w:val="0"/>
        <w:autoSpaceDN w:val="0"/>
        <w:adjustRightInd w:val="0"/>
        <w:rPr>
          <w:rFonts w:cs="Tahoma"/>
          <w:lang w:val="es-ES_tradnl"/>
        </w:rPr>
      </w:pPr>
    </w:p>
    <w:p w:rsidR="00A53336" w:rsidRPr="00D63801" w:rsidRDefault="00335562" w:rsidP="00E65133">
      <w:pPr>
        <w:overflowPunct w:val="0"/>
        <w:autoSpaceDE w:val="0"/>
        <w:autoSpaceDN w:val="0"/>
        <w:adjustRightInd w:val="0"/>
        <w:rPr>
          <w:rFonts w:cs="Tahoma"/>
          <w:lang w:val="es-ES_tradnl"/>
        </w:rPr>
      </w:pPr>
      <w:r w:rsidRPr="00D63801">
        <w:rPr>
          <w:rFonts w:cs="Tahoma"/>
          <w:lang w:val="es-ES_tradnl"/>
        </w:rPr>
        <w:t>Con miras a verificar tal situación,</w:t>
      </w:r>
      <w:r w:rsidR="00410EF0" w:rsidRPr="00D63801">
        <w:rPr>
          <w:rFonts w:cs="Tahoma"/>
          <w:lang w:val="es-ES_tradnl"/>
        </w:rPr>
        <w:t xml:space="preserve"> la Sala</w:t>
      </w:r>
      <w:r w:rsidRPr="00D63801">
        <w:rPr>
          <w:rFonts w:cs="Tahoma"/>
          <w:lang w:val="es-ES_tradnl"/>
        </w:rPr>
        <w:t xml:space="preserve"> procedió a </w:t>
      </w:r>
      <w:r w:rsidR="00A53336" w:rsidRPr="00D63801">
        <w:rPr>
          <w:rFonts w:cs="Tahoma"/>
          <w:lang w:val="es-ES_tradnl"/>
        </w:rPr>
        <w:t xml:space="preserve">observar </w:t>
      </w:r>
      <w:r w:rsidRPr="00D63801">
        <w:rPr>
          <w:rFonts w:cs="Tahoma"/>
          <w:lang w:val="es-ES_tradnl"/>
        </w:rPr>
        <w:t xml:space="preserve">los registros de la </w:t>
      </w:r>
      <w:r w:rsidR="000A618B" w:rsidRPr="00D63801">
        <w:rPr>
          <w:rFonts w:cs="Tahoma"/>
          <w:lang w:val="es-ES_tradnl"/>
        </w:rPr>
        <w:t xml:space="preserve">audiencia </w:t>
      </w:r>
      <w:r w:rsidR="00A53336" w:rsidRPr="00D63801">
        <w:rPr>
          <w:rFonts w:cs="Tahoma"/>
          <w:lang w:val="es-ES_tradnl"/>
        </w:rPr>
        <w:t xml:space="preserve">por medio de la cual se llevaría a cabo la audiencia de formulación </w:t>
      </w:r>
      <w:r w:rsidR="00A53336" w:rsidRPr="00D63801">
        <w:rPr>
          <w:rFonts w:cs="Tahoma"/>
          <w:lang w:val="es-ES_tradnl"/>
        </w:rPr>
        <w:lastRenderedPageBreak/>
        <w:t>de acusación en septiembre 25 de 2017, en la cual in</w:t>
      </w:r>
      <w:r w:rsidR="000613B9" w:rsidRPr="00D63801">
        <w:rPr>
          <w:rFonts w:cs="Tahoma"/>
          <w:lang w:val="es-ES_tradnl"/>
        </w:rPr>
        <w:t>tervino de manera virtual el aquí</w:t>
      </w:r>
      <w:r w:rsidR="00A53336" w:rsidRPr="00D63801">
        <w:rPr>
          <w:rFonts w:cs="Tahoma"/>
          <w:lang w:val="es-ES_tradnl"/>
        </w:rPr>
        <w:t xml:space="preserve"> </w:t>
      </w:r>
      <w:r w:rsidR="00CC41CA" w:rsidRPr="00D63801">
        <w:rPr>
          <w:rFonts w:cs="Tahoma"/>
          <w:lang w:val="es-ES_tradnl"/>
        </w:rPr>
        <w:t>procesado</w:t>
      </w:r>
      <w:r w:rsidR="00A53336" w:rsidRPr="00D63801">
        <w:rPr>
          <w:rFonts w:cs="Tahoma"/>
          <w:lang w:val="es-ES_tradnl"/>
        </w:rPr>
        <w:t>, donde se advierte que desde un principio su apoderado le informó a la</w:t>
      </w:r>
      <w:r w:rsidR="000613B9" w:rsidRPr="00D63801">
        <w:rPr>
          <w:rFonts w:cs="Tahoma"/>
          <w:lang w:val="es-ES_tradnl"/>
        </w:rPr>
        <w:t xml:space="preserve"> funcionaria de conocimiento e</w:t>
      </w:r>
      <w:r w:rsidR="00A53336" w:rsidRPr="00D63801">
        <w:rPr>
          <w:rFonts w:cs="Tahoma"/>
          <w:lang w:val="es-ES_tradnl"/>
        </w:rPr>
        <w:t xml:space="preserve">l interés que le asistía a su cliente de aceptar los cargos, </w:t>
      </w:r>
      <w:r w:rsidR="00D91734" w:rsidRPr="00D63801">
        <w:rPr>
          <w:rFonts w:cs="Tahoma"/>
          <w:lang w:val="es-ES_tradnl"/>
        </w:rPr>
        <w:t xml:space="preserve">ante </w:t>
      </w:r>
      <w:r w:rsidR="00A53336" w:rsidRPr="00D63801">
        <w:rPr>
          <w:rFonts w:cs="Tahoma"/>
          <w:lang w:val="es-ES_tradnl"/>
        </w:rPr>
        <w:t xml:space="preserve">lo cual la funcionaria le informó que por tal </w:t>
      </w:r>
      <w:r w:rsidR="00CC41CA" w:rsidRPr="00D63801">
        <w:rPr>
          <w:rFonts w:cs="Tahoma"/>
          <w:lang w:val="es-ES_tradnl"/>
        </w:rPr>
        <w:t xml:space="preserve">razón </w:t>
      </w:r>
      <w:r w:rsidR="00A53336" w:rsidRPr="00D63801">
        <w:rPr>
          <w:rFonts w:cs="Tahoma"/>
          <w:lang w:val="es-ES_tradnl"/>
        </w:rPr>
        <w:t xml:space="preserve">tendría una </w:t>
      </w:r>
      <w:r w:rsidR="000613B9" w:rsidRPr="00D63801">
        <w:rPr>
          <w:rFonts w:cs="Tahoma"/>
          <w:lang w:val="es-ES_tradnl"/>
        </w:rPr>
        <w:t>rebaja</w:t>
      </w:r>
      <w:r w:rsidR="00A53336" w:rsidRPr="00D63801">
        <w:rPr>
          <w:rFonts w:cs="Tahoma"/>
          <w:lang w:val="es-ES_tradnl"/>
        </w:rPr>
        <w:t xml:space="preserve"> de pena de 1/3 como así lo regla el canon 352 </w:t>
      </w:r>
      <w:proofErr w:type="spellStart"/>
      <w:r w:rsidR="00A53336" w:rsidRPr="00D63801">
        <w:rPr>
          <w:rFonts w:cs="Tahoma"/>
          <w:lang w:val="es-ES_tradnl"/>
        </w:rPr>
        <w:t>C.P.P</w:t>
      </w:r>
      <w:proofErr w:type="spellEnd"/>
      <w:r w:rsidR="00A53336" w:rsidRPr="00D63801">
        <w:rPr>
          <w:rFonts w:cs="Tahoma"/>
          <w:lang w:val="es-ES_tradnl"/>
        </w:rPr>
        <w:t xml:space="preserve">., sin poder </w:t>
      </w:r>
      <w:r w:rsidR="000613B9" w:rsidRPr="00D63801">
        <w:rPr>
          <w:rFonts w:cs="Tahoma"/>
          <w:lang w:val="es-ES_tradnl"/>
        </w:rPr>
        <w:t>conceder</w:t>
      </w:r>
      <w:r w:rsidR="00350E5C" w:rsidRPr="00D63801">
        <w:rPr>
          <w:rFonts w:cs="Tahoma"/>
          <w:lang w:val="es-ES_tradnl"/>
        </w:rPr>
        <w:t xml:space="preserve"> </w:t>
      </w:r>
      <w:r w:rsidR="00A53336" w:rsidRPr="00D63801">
        <w:rPr>
          <w:rFonts w:cs="Tahoma"/>
          <w:lang w:val="es-ES_tradnl"/>
        </w:rPr>
        <w:t>una rebaja di</w:t>
      </w:r>
      <w:r w:rsidR="00CC41CA" w:rsidRPr="00D63801">
        <w:rPr>
          <w:rFonts w:cs="Tahoma"/>
          <w:lang w:val="es-ES_tradnl"/>
        </w:rPr>
        <w:t>ferente</w:t>
      </w:r>
      <w:r w:rsidR="000613B9" w:rsidRPr="00D63801">
        <w:rPr>
          <w:rFonts w:cs="Tahoma"/>
          <w:lang w:val="es-ES_tradnl"/>
        </w:rPr>
        <w:t xml:space="preserve"> porque</w:t>
      </w:r>
      <w:r w:rsidR="00A53336" w:rsidRPr="00D63801">
        <w:rPr>
          <w:rFonts w:cs="Tahoma"/>
          <w:lang w:val="es-ES_tradnl"/>
        </w:rPr>
        <w:t xml:space="preserve"> ello vulneraría </w:t>
      </w:r>
      <w:r w:rsidR="00161DA7" w:rsidRPr="00D63801">
        <w:rPr>
          <w:rFonts w:cs="Tahoma"/>
          <w:lang w:val="es-ES_tradnl"/>
        </w:rPr>
        <w:t>el ordenamiento legal</w:t>
      </w:r>
      <w:r w:rsidR="000613B9" w:rsidRPr="00D63801">
        <w:rPr>
          <w:rFonts w:cs="Tahoma"/>
          <w:lang w:val="es-ES_tradnl"/>
        </w:rPr>
        <w:t>. Ante ello,</w:t>
      </w:r>
      <w:r w:rsidR="00A53336" w:rsidRPr="00D63801">
        <w:rPr>
          <w:rFonts w:cs="Tahoma"/>
          <w:lang w:val="es-ES_tradnl"/>
        </w:rPr>
        <w:t xml:space="preserve"> el letrado </w:t>
      </w:r>
      <w:r w:rsidR="00161DA7" w:rsidRPr="00D63801">
        <w:rPr>
          <w:rFonts w:cs="Tahoma"/>
          <w:lang w:val="es-ES_tradnl"/>
        </w:rPr>
        <w:t xml:space="preserve">reiteró </w:t>
      </w:r>
      <w:r w:rsidR="00A53336" w:rsidRPr="00D63801">
        <w:rPr>
          <w:rFonts w:cs="Tahoma"/>
          <w:lang w:val="es-ES_tradnl"/>
        </w:rPr>
        <w:t>que con antelación a presentarse por parte de la Fiscalía dicho escrito, ya se había manifestado no solo el deseo de aceptar</w:t>
      </w:r>
      <w:r w:rsidR="000613B9" w:rsidRPr="00D63801">
        <w:rPr>
          <w:rFonts w:cs="Tahoma"/>
          <w:lang w:val="es-ES_tradnl"/>
        </w:rPr>
        <w:t xml:space="preserve"> cargos</w:t>
      </w:r>
      <w:r w:rsidR="00A53336" w:rsidRPr="00D63801">
        <w:rPr>
          <w:rFonts w:cs="Tahoma"/>
          <w:lang w:val="es-ES_tradnl"/>
        </w:rPr>
        <w:t xml:space="preserve"> sino de indemnizar a la víctima, pero la Fiscalía tuvo que radicar </w:t>
      </w:r>
      <w:r w:rsidR="00350E5C" w:rsidRPr="00D63801">
        <w:rPr>
          <w:rFonts w:cs="Tahoma"/>
          <w:lang w:val="es-ES_tradnl"/>
        </w:rPr>
        <w:t xml:space="preserve">tal documento </w:t>
      </w:r>
      <w:r w:rsidR="00A53336" w:rsidRPr="00D63801">
        <w:rPr>
          <w:rFonts w:cs="Tahoma"/>
          <w:lang w:val="es-ES_tradnl"/>
        </w:rPr>
        <w:t>para no dejar vencer los términos.</w:t>
      </w:r>
    </w:p>
    <w:p w:rsidR="00A53336" w:rsidRPr="00D63801" w:rsidRDefault="00A53336" w:rsidP="00E65133">
      <w:pPr>
        <w:overflowPunct w:val="0"/>
        <w:autoSpaceDE w:val="0"/>
        <w:autoSpaceDN w:val="0"/>
        <w:adjustRightInd w:val="0"/>
        <w:rPr>
          <w:rFonts w:cs="Tahoma"/>
          <w:lang w:val="es-ES_tradnl"/>
        </w:rPr>
      </w:pPr>
    </w:p>
    <w:p w:rsidR="00A53336" w:rsidRPr="00D63801" w:rsidRDefault="00A53336" w:rsidP="00E65133">
      <w:pPr>
        <w:overflowPunct w:val="0"/>
        <w:autoSpaceDE w:val="0"/>
        <w:autoSpaceDN w:val="0"/>
        <w:adjustRightInd w:val="0"/>
        <w:rPr>
          <w:rFonts w:cs="Tahoma"/>
          <w:lang w:val="es-ES_tradnl"/>
        </w:rPr>
      </w:pPr>
      <w:r w:rsidRPr="00D63801">
        <w:rPr>
          <w:rFonts w:cs="Tahoma"/>
          <w:lang w:val="es-ES_tradnl"/>
        </w:rPr>
        <w:t xml:space="preserve">No obstante que la a quo le explicó </w:t>
      </w:r>
      <w:r w:rsidR="000613B9" w:rsidRPr="00D63801">
        <w:rPr>
          <w:rFonts w:cs="Tahoma"/>
          <w:lang w:val="es-ES_tradnl"/>
        </w:rPr>
        <w:t xml:space="preserve">al apoderado </w:t>
      </w:r>
      <w:r w:rsidRPr="00D63801">
        <w:rPr>
          <w:rFonts w:cs="Tahoma"/>
          <w:lang w:val="es-ES_tradnl"/>
        </w:rPr>
        <w:t>que la reducción a aplicar no podría ser distinta a 1/</w:t>
      </w:r>
      <w:proofErr w:type="gramStart"/>
      <w:r w:rsidRPr="00D63801">
        <w:rPr>
          <w:rFonts w:cs="Tahoma"/>
          <w:lang w:val="es-ES_tradnl"/>
        </w:rPr>
        <w:t>3 ,</w:t>
      </w:r>
      <w:proofErr w:type="gramEnd"/>
      <w:r w:rsidRPr="00D63801">
        <w:rPr>
          <w:rFonts w:cs="Tahoma"/>
          <w:lang w:val="es-ES_tradnl"/>
        </w:rPr>
        <w:t xml:space="preserve"> frente a lo cual incluso refirió que de ser así interpondría recursos </w:t>
      </w:r>
      <w:r w:rsidR="00D91734" w:rsidRPr="00D63801">
        <w:rPr>
          <w:rFonts w:cs="Tahoma"/>
          <w:lang w:val="es-ES_tradnl"/>
        </w:rPr>
        <w:t xml:space="preserve">contra </w:t>
      </w:r>
      <w:r w:rsidRPr="00D63801">
        <w:rPr>
          <w:rFonts w:cs="Tahoma"/>
          <w:lang w:val="es-ES_tradnl"/>
        </w:rPr>
        <w:t xml:space="preserve">esa </w:t>
      </w:r>
      <w:r w:rsidR="00350E5C" w:rsidRPr="00D63801">
        <w:rPr>
          <w:rFonts w:cs="Tahoma"/>
          <w:lang w:val="es-ES_tradnl"/>
        </w:rPr>
        <w:t>determinación</w:t>
      </w:r>
      <w:r w:rsidRPr="00D63801">
        <w:rPr>
          <w:rFonts w:cs="Tahoma"/>
          <w:lang w:val="es-ES_tradnl"/>
        </w:rPr>
        <w:t xml:space="preserve">, una vez que </w:t>
      </w:r>
      <w:r w:rsidR="00161DA7" w:rsidRPr="00D63801">
        <w:rPr>
          <w:rFonts w:cs="Tahoma"/>
          <w:lang w:val="es-ES_tradnl"/>
        </w:rPr>
        <w:t xml:space="preserve">se le </w:t>
      </w:r>
      <w:r w:rsidR="00350E5C" w:rsidRPr="00D63801">
        <w:rPr>
          <w:rFonts w:cs="Tahoma"/>
          <w:lang w:val="es-ES_tradnl"/>
        </w:rPr>
        <w:t xml:space="preserve">dispensó </w:t>
      </w:r>
      <w:r w:rsidR="00CC41CA" w:rsidRPr="00D63801">
        <w:rPr>
          <w:rFonts w:cs="Tahoma"/>
          <w:lang w:val="es-ES_tradnl"/>
        </w:rPr>
        <w:t xml:space="preserve">un plazo </w:t>
      </w:r>
      <w:r w:rsidRPr="00D63801">
        <w:rPr>
          <w:rFonts w:cs="Tahoma"/>
          <w:lang w:val="es-ES_tradnl"/>
        </w:rPr>
        <w:t xml:space="preserve">prudencial para que dialogara con el señor </w:t>
      </w:r>
      <w:r w:rsidRPr="00D63801">
        <w:rPr>
          <w:rFonts w:cs="Tahoma"/>
          <w:b/>
          <w:sz w:val="22"/>
          <w:szCs w:val="22"/>
          <w:lang w:val="es-ES_tradnl"/>
        </w:rPr>
        <w:t>JOSÉ DE JESÚS LARGO</w:t>
      </w:r>
      <w:r w:rsidRPr="00D63801">
        <w:rPr>
          <w:rFonts w:cs="Tahoma"/>
          <w:lang w:val="es-ES_tradnl"/>
        </w:rPr>
        <w:t xml:space="preserve"> al respecto, indicó que su cliente </w:t>
      </w:r>
      <w:r w:rsidR="00161DA7" w:rsidRPr="00D63801">
        <w:rPr>
          <w:rFonts w:cs="Tahoma"/>
          <w:lang w:val="es-ES_tradnl"/>
        </w:rPr>
        <w:t>estaba dispuesto a aceptar los cargos.</w:t>
      </w:r>
    </w:p>
    <w:p w:rsidR="00161DA7" w:rsidRPr="00D63801" w:rsidRDefault="00161DA7" w:rsidP="00E65133">
      <w:pPr>
        <w:overflowPunct w:val="0"/>
        <w:autoSpaceDE w:val="0"/>
        <w:autoSpaceDN w:val="0"/>
        <w:adjustRightInd w:val="0"/>
        <w:rPr>
          <w:rFonts w:cs="Tahoma"/>
          <w:lang w:val="es-ES_tradnl"/>
        </w:rPr>
      </w:pPr>
    </w:p>
    <w:p w:rsidR="00161DA7" w:rsidRPr="00D63801" w:rsidRDefault="00161DA7" w:rsidP="00E65133">
      <w:pPr>
        <w:overflowPunct w:val="0"/>
        <w:autoSpaceDE w:val="0"/>
        <w:autoSpaceDN w:val="0"/>
        <w:adjustRightInd w:val="0"/>
        <w:rPr>
          <w:rFonts w:cs="Tahoma"/>
          <w:lang w:val="es-ES_tradnl"/>
        </w:rPr>
      </w:pPr>
      <w:r w:rsidRPr="00D63801">
        <w:rPr>
          <w:rFonts w:cs="Tahoma"/>
          <w:lang w:val="es-ES_tradnl"/>
        </w:rPr>
        <w:t>Fue así como la funcionaria le explicó al procesado las consecuencias de dicha aceptación</w:t>
      </w:r>
      <w:r w:rsidR="00350E5C" w:rsidRPr="00D63801">
        <w:rPr>
          <w:rFonts w:cs="Tahoma"/>
          <w:lang w:val="es-ES_tradnl"/>
        </w:rPr>
        <w:t>,</w:t>
      </w:r>
      <w:r w:rsidRPr="00D63801">
        <w:rPr>
          <w:rFonts w:cs="Tahoma"/>
          <w:lang w:val="es-ES_tradnl"/>
        </w:rPr>
        <w:t xml:space="preserve"> y </w:t>
      </w:r>
      <w:r w:rsidR="00CC41CA" w:rsidRPr="00D63801">
        <w:rPr>
          <w:rFonts w:cs="Tahoma"/>
          <w:lang w:val="es-ES_tradnl"/>
        </w:rPr>
        <w:t>pese a ello</w:t>
      </w:r>
      <w:r w:rsidRPr="00D63801">
        <w:rPr>
          <w:rFonts w:cs="Tahoma"/>
          <w:lang w:val="es-ES_tradnl"/>
        </w:rPr>
        <w:t xml:space="preserve"> el señor </w:t>
      </w:r>
      <w:r w:rsidRPr="00D63801">
        <w:rPr>
          <w:rFonts w:cs="Tahoma"/>
          <w:b/>
          <w:sz w:val="22"/>
          <w:szCs w:val="22"/>
          <w:lang w:val="es-ES_tradnl"/>
        </w:rPr>
        <w:t>LARGO LÓPEZ</w:t>
      </w:r>
      <w:r w:rsidRPr="00D63801">
        <w:rPr>
          <w:rFonts w:cs="Tahoma"/>
          <w:lang w:val="es-ES_tradnl"/>
        </w:rPr>
        <w:t xml:space="preserve"> de manera libre, voluntaria y cons</w:t>
      </w:r>
      <w:r w:rsidR="000613B9" w:rsidRPr="00D63801">
        <w:rPr>
          <w:rFonts w:cs="Tahoma"/>
          <w:lang w:val="es-ES_tradnl"/>
        </w:rPr>
        <w:t>ciente, como así lo verificó la juzgadora</w:t>
      </w:r>
      <w:r w:rsidRPr="00D63801">
        <w:rPr>
          <w:rFonts w:cs="Tahoma"/>
          <w:lang w:val="es-ES_tradnl"/>
        </w:rPr>
        <w:t>, decidió asum</w:t>
      </w:r>
      <w:r w:rsidR="000613B9" w:rsidRPr="00D63801">
        <w:rPr>
          <w:rFonts w:cs="Tahoma"/>
          <w:lang w:val="es-ES_tradnl"/>
        </w:rPr>
        <w:t>ir su responsabilidad frente a los hechos atribuidos</w:t>
      </w:r>
      <w:r w:rsidRPr="00D63801">
        <w:rPr>
          <w:rFonts w:cs="Tahoma"/>
          <w:lang w:val="es-ES_tradnl"/>
        </w:rPr>
        <w:t>,</w:t>
      </w:r>
      <w:r w:rsidR="000613B9" w:rsidRPr="00D63801">
        <w:rPr>
          <w:rFonts w:cs="Tahoma"/>
          <w:lang w:val="es-ES_tradnl"/>
        </w:rPr>
        <w:t xml:space="preserve"> a sabiendas del monto de disminución que por tal proceder procesal le correspondía</w:t>
      </w:r>
      <w:r w:rsidRPr="00D63801">
        <w:rPr>
          <w:rFonts w:cs="Tahoma"/>
          <w:lang w:val="es-ES_tradnl"/>
        </w:rPr>
        <w:t>.</w:t>
      </w:r>
    </w:p>
    <w:p w:rsidR="00556860" w:rsidRPr="00D63801" w:rsidRDefault="00556860" w:rsidP="00E65133">
      <w:pPr>
        <w:overflowPunct w:val="0"/>
        <w:autoSpaceDE w:val="0"/>
        <w:autoSpaceDN w:val="0"/>
        <w:adjustRightInd w:val="0"/>
        <w:rPr>
          <w:rFonts w:cs="Tahoma"/>
          <w:lang w:val="es-ES_tradnl"/>
        </w:rPr>
      </w:pPr>
    </w:p>
    <w:p w:rsidR="00161DA7" w:rsidRPr="00D63801" w:rsidRDefault="000613B9" w:rsidP="00E65133">
      <w:pPr>
        <w:overflowPunct w:val="0"/>
        <w:autoSpaceDE w:val="0"/>
        <w:autoSpaceDN w:val="0"/>
        <w:adjustRightInd w:val="0"/>
        <w:rPr>
          <w:rFonts w:cs="Tahoma"/>
          <w:lang w:val="es-ES_tradnl"/>
        </w:rPr>
      </w:pPr>
      <w:r w:rsidRPr="00D63801">
        <w:rPr>
          <w:rFonts w:cs="Tahoma"/>
          <w:lang w:val="es-ES_tradnl"/>
        </w:rPr>
        <w:t>L</w:t>
      </w:r>
      <w:r w:rsidR="00B463F0" w:rsidRPr="00D63801">
        <w:rPr>
          <w:rFonts w:cs="Tahoma"/>
          <w:lang w:val="es-ES_tradnl"/>
        </w:rPr>
        <w:t>a decisión</w:t>
      </w:r>
      <w:r w:rsidR="00161DA7" w:rsidRPr="00D63801">
        <w:rPr>
          <w:rFonts w:cs="Tahoma"/>
          <w:lang w:val="es-ES_tradnl"/>
        </w:rPr>
        <w:t xml:space="preserve"> objeto de controversia no podría ser distinta a la que en</w:t>
      </w:r>
      <w:r w:rsidRPr="00D63801">
        <w:rPr>
          <w:rFonts w:cs="Tahoma"/>
          <w:lang w:val="es-ES_tradnl"/>
        </w:rPr>
        <w:t xml:space="preserve"> efecto fue adoptada por la funcionaria de primer grado</w:t>
      </w:r>
      <w:r w:rsidR="00161DA7" w:rsidRPr="00D63801">
        <w:rPr>
          <w:rFonts w:cs="Tahoma"/>
          <w:lang w:val="es-ES_tradnl"/>
        </w:rPr>
        <w:t>, en tanto al haberse presentado el escrit</w:t>
      </w:r>
      <w:r w:rsidRPr="00D63801">
        <w:rPr>
          <w:rFonts w:cs="Tahoma"/>
          <w:lang w:val="es-ES_tradnl"/>
        </w:rPr>
        <w:t>o de acusación</w:t>
      </w:r>
      <w:r w:rsidR="00161DA7" w:rsidRPr="00D63801">
        <w:rPr>
          <w:rFonts w:cs="Tahoma"/>
          <w:lang w:val="es-ES_tradnl"/>
        </w:rPr>
        <w:t>, la única rebaja posible en ese momento no podr</w:t>
      </w:r>
      <w:r w:rsidR="00CC41CA" w:rsidRPr="00D63801">
        <w:rPr>
          <w:rFonts w:cs="Tahoma"/>
          <w:lang w:val="es-ES_tradnl"/>
        </w:rPr>
        <w:t xml:space="preserve">ía ser diferente </w:t>
      </w:r>
      <w:r w:rsidR="00161DA7" w:rsidRPr="00D63801">
        <w:rPr>
          <w:rFonts w:cs="Tahoma"/>
          <w:lang w:val="es-ES_tradnl"/>
        </w:rPr>
        <w:t xml:space="preserve">a la </w:t>
      </w:r>
      <w:r w:rsidRPr="00D63801">
        <w:rPr>
          <w:rFonts w:cs="Tahoma"/>
          <w:lang w:val="es-ES_tradnl"/>
        </w:rPr>
        <w:t>anunciada; de lo contario, es decir, de haberse accedido a lo p</w:t>
      </w:r>
      <w:r w:rsidR="007B74B0" w:rsidRPr="00D63801">
        <w:rPr>
          <w:rFonts w:cs="Tahoma"/>
          <w:lang w:val="es-ES_tradnl"/>
        </w:rPr>
        <w:t xml:space="preserve">retendido por el defensor del </w:t>
      </w:r>
      <w:r w:rsidR="00CC41CA" w:rsidRPr="00D63801">
        <w:rPr>
          <w:rFonts w:cs="Tahoma"/>
          <w:lang w:val="es-ES_tradnl"/>
        </w:rPr>
        <w:t>procesado</w:t>
      </w:r>
      <w:r w:rsidRPr="00D63801">
        <w:rPr>
          <w:rFonts w:cs="Tahoma"/>
          <w:lang w:val="es-ES_tradnl"/>
        </w:rPr>
        <w:t>, para que le fuera</w:t>
      </w:r>
      <w:r w:rsidR="007B74B0" w:rsidRPr="00D63801">
        <w:rPr>
          <w:rFonts w:cs="Tahoma"/>
          <w:lang w:val="es-ES_tradnl"/>
        </w:rPr>
        <w:t xml:space="preserve"> concedido un descuento que para él pod</w:t>
      </w:r>
      <w:r w:rsidRPr="00D63801">
        <w:rPr>
          <w:rFonts w:cs="Tahoma"/>
          <w:lang w:val="es-ES_tradnl"/>
        </w:rPr>
        <w:t xml:space="preserve">ría estar entre el 40% y el 50%, </w:t>
      </w:r>
      <w:r w:rsidR="007B74B0" w:rsidRPr="00D63801">
        <w:rPr>
          <w:rFonts w:cs="Tahoma"/>
          <w:lang w:val="es-ES_tradnl"/>
        </w:rPr>
        <w:t>se estaría</w:t>
      </w:r>
      <w:r w:rsidRPr="00D63801">
        <w:rPr>
          <w:rFonts w:cs="Tahoma"/>
          <w:lang w:val="es-ES_tradnl"/>
        </w:rPr>
        <w:t xml:space="preserve"> patrocinando un proceder que iría</w:t>
      </w:r>
      <w:r w:rsidR="007B74B0" w:rsidRPr="00D63801">
        <w:rPr>
          <w:rFonts w:cs="Tahoma"/>
          <w:lang w:val="es-ES_tradnl"/>
        </w:rPr>
        <w:t xml:space="preserve"> en </w:t>
      </w:r>
      <w:r w:rsidR="00161DA7" w:rsidRPr="00D63801">
        <w:rPr>
          <w:rFonts w:cs="Tahoma"/>
          <w:lang w:val="es-ES_tradnl"/>
        </w:rPr>
        <w:t>contrav</w:t>
      </w:r>
      <w:r w:rsidR="002B5A63" w:rsidRPr="00D63801">
        <w:rPr>
          <w:rFonts w:cs="Tahoma"/>
          <w:lang w:val="es-ES_tradnl"/>
        </w:rPr>
        <w:t>ía de la normativa procedimental penal</w:t>
      </w:r>
      <w:r w:rsidRPr="00D63801">
        <w:rPr>
          <w:rFonts w:cs="Tahoma"/>
          <w:lang w:val="es-ES_tradnl"/>
        </w:rPr>
        <w:t xml:space="preserve"> vigente</w:t>
      </w:r>
      <w:r w:rsidR="007B74B0" w:rsidRPr="00D63801">
        <w:rPr>
          <w:rFonts w:cs="Tahoma"/>
          <w:lang w:val="es-ES_tradnl"/>
        </w:rPr>
        <w:t xml:space="preserve"> y la misma jurisprudencia</w:t>
      </w:r>
      <w:r w:rsidRPr="00D63801">
        <w:rPr>
          <w:rFonts w:cs="Tahoma"/>
          <w:lang w:val="es-ES_tradnl"/>
        </w:rPr>
        <w:t xml:space="preserve"> nacional en la materia</w:t>
      </w:r>
      <w:r w:rsidR="002B5A63" w:rsidRPr="00D63801">
        <w:rPr>
          <w:rFonts w:cs="Tahoma"/>
          <w:lang w:val="es-ES_tradnl"/>
        </w:rPr>
        <w:t>.</w:t>
      </w:r>
    </w:p>
    <w:p w:rsidR="007B74B0" w:rsidRPr="00D63801" w:rsidRDefault="009C1EE1" w:rsidP="00E65133">
      <w:pPr>
        <w:overflowPunct w:val="0"/>
        <w:autoSpaceDE w:val="0"/>
        <w:autoSpaceDN w:val="0"/>
        <w:adjustRightInd w:val="0"/>
      </w:pPr>
      <w:r w:rsidRPr="00D63801">
        <w:rPr>
          <w:rFonts w:cs="Tahoma"/>
          <w:lang w:val="es-ES_tradnl"/>
        </w:rPr>
        <w:lastRenderedPageBreak/>
        <w:t>En efecto,</w:t>
      </w:r>
      <w:r w:rsidR="007B74B0" w:rsidRPr="00D63801">
        <w:rPr>
          <w:rFonts w:cs="Tahoma"/>
          <w:lang w:val="es-ES_tradnl"/>
        </w:rPr>
        <w:t xml:space="preserve"> </w:t>
      </w:r>
      <w:r w:rsidR="002B5A63" w:rsidRPr="00D63801">
        <w:rPr>
          <w:rFonts w:cs="Tahoma"/>
          <w:lang w:val="es-ES_tradnl"/>
        </w:rPr>
        <w:t xml:space="preserve">la </w:t>
      </w:r>
      <w:r w:rsidR="007B74B0" w:rsidRPr="00D63801">
        <w:rPr>
          <w:rFonts w:cs="Tahoma"/>
          <w:lang w:val="es-ES_tradnl"/>
        </w:rPr>
        <w:t xml:space="preserve">Corte Suprema de Justicia en CSJ </w:t>
      </w:r>
      <w:r w:rsidRPr="00D63801">
        <w:rPr>
          <w:rFonts w:cs="Tahoma"/>
          <w:lang w:val="es-ES_tradnl"/>
        </w:rPr>
        <w:t>AP, 16 ago. 2017, rad. 46507, al hacer</w:t>
      </w:r>
      <w:r w:rsidR="007B74B0" w:rsidRPr="00D63801">
        <w:rPr>
          <w:rFonts w:cs="Tahoma"/>
          <w:lang w:val="es-ES_tradnl"/>
        </w:rPr>
        <w:t xml:space="preserve"> alusión a la línea jurisprudencial que de otrora </w:t>
      </w:r>
      <w:r w:rsidR="002B5A63" w:rsidRPr="00D63801">
        <w:rPr>
          <w:rFonts w:cs="Tahoma"/>
          <w:lang w:val="es-ES_tradnl"/>
        </w:rPr>
        <w:t xml:space="preserve">ha </w:t>
      </w:r>
      <w:r w:rsidR="007B74B0" w:rsidRPr="00D63801">
        <w:rPr>
          <w:rFonts w:cs="Tahoma"/>
          <w:lang w:val="es-ES_tradnl"/>
        </w:rPr>
        <w:t xml:space="preserve">mantenido dicho órgano de cierre frente al </w:t>
      </w:r>
      <w:r w:rsidR="002B5A63" w:rsidRPr="00D63801">
        <w:t xml:space="preserve">porcentaje de descuento punitivo </w:t>
      </w:r>
      <w:r w:rsidR="007B74B0" w:rsidRPr="00D63801">
        <w:t xml:space="preserve">al que se tiene derecho </w:t>
      </w:r>
      <w:r w:rsidR="002B5A63" w:rsidRPr="00D63801">
        <w:t>una vez se ha radicado el escrito acusatorio</w:t>
      </w:r>
      <w:r w:rsidR="007B74B0" w:rsidRPr="00D63801">
        <w:t xml:space="preserve">, </w:t>
      </w:r>
      <w:r w:rsidRPr="00D63801">
        <w:t>consideró</w:t>
      </w:r>
      <w:r w:rsidR="007B74B0" w:rsidRPr="00D63801">
        <w:t xml:space="preserve"> que el mismo no </w:t>
      </w:r>
      <w:r w:rsidRPr="00D63801">
        <w:t>podía</w:t>
      </w:r>
      <w:r w:rsidR="002B5A63" w:rsidRPr="00D63801">
        <w:t xml:space="preserve"> ser mayor a</w:t>
      </w:r>
      <w:r w:rsidR="007B74B0" w:rsidRPr="00D63801">
        <w:t xml:space="preserve">l de </w:t>
      </w:r>
      <w:r w:rsidR="002B5A63" w:rsidRPr="00D63801">
        <w:t>una 1/3</w:t>
      </w:r>
      <w:r w:rsidRPr="00D63801">
        <w:t>. O</w:t>
      </w:r>
      <w:r w:rsidR="007B74B0" w:rsidRPr="00D63801">
        <w:t>bsérvese:</w:t>
      </w:r>
    </w:p>
    <w:p w:rsidR="007B0209" w:rsidRPr="00D63801" w:rsidRDefault="007B74B0" w:rsidP="00E65133">
      <w:pPr>
        <w:overflowPunct w:val="0"/>
        <w:autoSpaceDE w:val="0"/>
        <w:autoSpaceDN w:val="0"/>
        <w:adjustRightInd w:val="0"/>
      </w:pPr>
      <w:r w:rsidRPr="00D63801">
        <w:t xml:space="preserve"> </w:t>
      </w:r>
    </w:p>
    <w:p w:rsidR="007B0209" w:rsidRPr="00D63801" w:rsidRDefault="007B0209" w:rsidP="007B0209">
      <w:pPr>
        <w:overflowPunct w:val="0"/>
        <w:autoSpaceDE w:val="0"/>
        <w:autoSpaceDN w:val="0"/>
        <w:adjustRightInd w:val="0"/>
        <w:spacing w:line="240" w:lineRule="auto"/>
        <w:ind w:left="510" w:right="510"/>
        <w:rPr>
          <w:rFonts w:ascii="Verdana" w:hAnsi="Verdana"/>
          <w:sz w:val="20"/>
          <w:szCs w:val="20"/>
        </w:rPr>
      </w:pPr>
      <w:r w:rsidRPr="00D63801">
        <w:rPr>
          <w:rFonts w:ascii="Verdana" w:hAnsi="Verdana"/>
          <w:sz w:val="20"/>
          <w:szCs w:val="20"/>
        </w:rPr>
        <w:t xml:space="preserve">“Al insistir en la temática de rebaja de pena, fruto de la aceptación de responsabilidad por aceptación de cargos, en sus especies de allanamiento y preacuerdos, y su oportunidad, en la sentencia CSJ </w:t>
      </w:r>
      <w:proofErr w:type="spellStart"/>
      <w:r w:rsidRPr="00D63801">
        <w:rPr>
          <w:rFonts w:ascii="Verdana" w:hAnsi="Verdana"/>
          <w:sz w:val="20"/>
          <w:szCs w:val="20"/>
        </w:rPr>
        <w:t>SP</w:t>
      </w:r>
      <w:proofErr w:type="spellEnd"/>
      <w:r w:rsidRPr="00D63801">
        <w:rPr>
          <w:rFonts w:ascii="Verdana" w:hAnsi="Verdana"/>
          <w:sz w:val="20"/>
          <w:szCs w:val="20"/>
        </w:rPr>
        <w:t xml:space="preserve">, 5 sep. 2011, rad. 36502 (reiterada, entre otras, en CSJ AP, 1 oct. 2012, rad. 38903; </w:t>
      </w:r>
      <w:proofErr w:type="spellStart"/>
      <w:r w:rsidRPr="00D63801">
        <w:rPr>
          <w:rFonts w:ascii="Verdana" w:hAnsi="Verdana"/>
          <w:sz w:val="20"/>
          <w:szCs w:val="20"/>
        </w:rPr>
        <w:t>STP</w:t>
      </w:r>
      <w:proofErr w:type="spellEnd"/>
      <w:r w:rsidRPr="00D63801">
        <w:rPr>
          <w:rFonts w:ascii="Verdana" w:hAnsi="Verdana"/>
          <w:sz w:val="20"/>
          <w:szCs w:val="20"/>
        </w:rPr>
        <w:t xml:space="preserve">, 8 </w:t>
      </w:r>
      <w:proofErr w:type="spellStart"/>
      <w:r w:rsidRPr="00D63801">
        <w:rPr>
          <w:rFonts w:ascii="Verdana" w:hAnsi="Verdana"/>
          <w:sz w:val="20"/>
          <w:szCs w:val="20"/>
        </w:rPr>
        <w:t>ag</w:t>
      </w:r>
      <w:proofErr w:type="spellEnd"/>
      <w:r w:rsidRPr="00D63801">
        <w:rPr>
          <w:rFonts w:ascii="Verdana" w:hAnsi="Verdana"/>
          <w:sz w:val="20"/>
          <w:szCs w:val="20"/>
        </w:rPr>
        <w:t>. 2013, rad. 68482; AP2532–2016, 27 abr. 2016, rad. 43556), se indicó:</w:t>
      </w:r>
    </w:p>
    <w:p w:rsidR="007B0209" w:rsidRPr="00D63801" w:rsidRDefault="007B0209" w:rsidP="007B0209">
      <w:pPr>
        <w:ind w:left="709"/>
        <w:rPr>
          <w:rFonts w:ascii="Verdana" w:hAnsi="Verdana"/>
          <w:sz w:val="20"/>
          <w:szCs w:val="20"/>
        </w:rPr>
      </w:pPr>
    </w:p>
    <w:p w:rsidR="007B0209" w:rsidRPr="00D63801" w:rsidRDefault="007B0209" w:rsidP="007B0209">
      <w:pPr>
        <w:spacing w:line="240" w:lineRule="auto"/>
        <w:ind w:left="907" w:right="907"/>
        <w:rPr>
          <w:rFonts w:ascii="Verdana" w:hAnsi="Verdana" w:cs="Arial"/>
          <w:sz w:val="20"/>
          <w:szCs w:val="20"/>
        </w:rPr>
      </w:pPr>
      <w:r w:rsidRPr="00D63801">
        <w:rPr>
          <w:rFonts w:ascii="Verdana" w:hAnsi="Verdana" w:cs="Arial"/>
          <w:sz w:val="20"/>
          <w:szCs w:val="20"/>
        </w:rPr>
        <w:t xml:space="preserve">Desde la expedición de </w:t>
      </w:r>
      <w:smartTag w:uri="urn:schemas-microsoft-com:office:smarttags" w:element="PersonName">
        <w:smartTagPr>
          <w:attr w:name="ProductID" w:val="la L"/>
        </w:smartTagPr>
        <w:r w:rsidRPr="00D63801">
          <w:rPr>
            <w:rFonts w:ascii="Verdana" w:hAnsi="Verdana" w:cs="Arial"/>
            <w:sz w:val="20"/>
            <w:szCs w:val="20"/>
          </w:rPr>
          <w:t>la L</w:t>
        </w:r>
      </w:smartTag>
      <w:r w:rsidRPr="00D63801">
        <w:rPr>
          <w:rFonts w:ascii="Verdana" w:hAnsi="Verdana" w:cs="Arial"/>
          <w:sz w:val="20"/>
          <w:szCs w:val="20"/>
        </w:rPr>
        <w:t xml:space="preserve"> 906/04 el legislador previó tres oportunidades para que el imputado pudiera allanarse a los cargos: (i). en la audiencia de imputación (arts. 288–3 y 351 inc. 1); (ii). </w:t>
      </w:r>
      <w:proofErr w:type="gramStart"/>
      <w:r w:rsidRPr="00D63801">
        <w:rPr>
          <w:rFonts w:ascii="Verdana" w:hAnsi="Verdana" w:cs="Arial"/>
          <w:sz w:val="20"/>
          <w:szCs w:val="20"/>
        </w:rPr>
        <w:t>en</w:t>
      </w:r>
      <w:proofErr w:type="gramEnd"/>
      <w:r w:rsidRPr="00D63801">
        <w:rPr>
          <w:rFonts w:ascii="Verdana" w:hAnsi="Verdana" w:cs="Arial"/>
          <w:sz w:val="20"/>
          <w:szCs w:val="20"/>
        </w:rPr>
        <w:t xml:space="preserve"> la audiencia preparatoria (art. 356–5), y (iii). </w:t>
      </w:r>
      <w:proofErr w:type="gramStart"/>
      <w:r w:rsidRPr="00D63801">
        <w:rPr>
          <w:rFonts w:ascii="Verdana" w:hAnsi="Verdana" w:cs="Arial"/>
          <w:sz w:val="20"/>
          <w:szCs w:val="20"/>
        </w:rPr>
        <w:t>en</w:t>
      </w:r>
      <w:proofErr w:type="gramEnd"/>
      <w:r w:rsidRPr="00D63801">
        <w:rPr>
          <w:rFonts w:ascii="Verdana" w:hAnsi="Verdana" w:cs="Arial"/>
          <w:sz w:val="20"/>
          <w:szCs w:val="20"/>
        </w:rPr>
        <w:t xml:space="preserve"> el juicio oral (art. 367 inc. 2). Asimismo, precisó tres espacios para efectos de llevar a cabo preacuerdos con la fiscalía, así: (i). en la audiencia de imputación (art. 351); (ii). </w:t>
      </w:r>
      <w:proofErr w:type="gramStart"/>
      <w:r w:rsidRPr="00D63801">
        <w:rPr>
          <w:rFonts w:ascii="Verdana" w:hAnsi="Verdana" w:cs="Arial"/>
          <w:b/>
          <w:sz w:val="18"/>
          <w:szCs w:val="18"/>
        </w:rPr>
        <w:t>una</w:t>
      </w:r>
      <w:proofErr w:type="gramEnd"/>
      <w:r w:rsidRPr="00D63801">
        <w:rPr>
          <w:rFonts w:ascii="Verdana" w:hAnsi="Verdana" w:cs="Arial"/>
          <w:b/>
          <w:sz w:val="18"/>
          <w:szCs w:val="18"/>
        </w:rPr>
        <w:t xml:space="preserve"> vez presentada la acusación, entendida como radicado el respectivo escrito</w:t>
      </w:r>
      <w:r w:rsidRPr="00D63801">
        <w:rPr>
          <w:rFonts w:ascii="Verdana" w:hAnsi="Verdana" w:cs="Arial"/>
          <w:sz w:val="20"/>
          <w:szCs w:val="20"/>
        </w:rPr>
        <w:t xml:space="preserve">, y hasta el momento en que el acusado sea interrogado al inicio del juicio oral sobre la aceptación de su responsabilidad (art. 352); y (iii). </w:t>
      </w:r>
      <w:proofErr w:type="gramStart"/>
      <w:r w:rsidRPr="00D63801">
        <w:rPr>
          <w:rFonts w:ascii="Verdana" w:hAnsi="Verdana" w:cs="Arial"/>
          <w:sz w:val="20"/>
          <w:szCs w:val="20"/>
        </w:rPr>
        <w:t>en</w:t>
      </w:r>
      <w:proofErr w:type="gramEnd"/>
      <w:r w:rsidRPr="00D63801">
        <w:rPr>
          <w:rFonts w:ascii="Verdana" w:hAnsi="Verdana" w:cs="Arial"/>
          <w:sz w:val="20"/>
          <w:szCs w:val="20"/>
        </w:rPr>
        <w:t xml:space="preserve"> el juicio oral, a través de las llamadas manifestaciones de culpabilidad </w:t>
      </w:r>
      <w:proofErr w:type="spellStart"/>
      <w:r w:rsidRPr="00D63801">
        <w:rPr>
          <w:rFonts w:ascii="Verdana" w:hAnsi="Verdana" w:cs="Arial"/>
          <w:sz w:val="20"/>
          <w:szCs w:val="20"/>
        </w:rPr>
        <w:t>preacordadas</w:t>
      </w:r>
      <w:proofErr w:type="spellEnd"/>
      <w:r w:rsidRPr="00D63801">
        <w:rPr>
          <w:rFonts w:ascii="Verdana" w:hAnsi="Verdana" w:cs="Arial"/>
          <w:sz w:val="20"/>
          <w:szCs w:val="20"/>
        </w:rPr>
        <w:t xml:space="preserve"> (art. 369).</w:t>
      </w:r>
    </w:p>
    <w:p w:rsidR="007B0209" w:rsidRPr="00D63801" w:rsidRDefault="007B0209" w:rsidP="007B0209">
      <w:pPr>
        <w:spacing w:line="240" w:lineRule="auto"/>
        <w:ind w:left="907" w:right="907"/>
        <w:rPr>
          <w:rFonts w:ascii="Verdana" w:hAnsi="Verdana" w:cs="Arial"/>
          <w:sz w:val="20"/>
          <w:szCs w:val="20"/>
        </w:rPr>
      </w:pPr>
    </w:p>
    <w:p w:rsidR="007B0209" w:rsidRPr="00D63801" w:rsidRDefault="007B0209" w:rsidP="007B0209">
      <w:pPr>
        <w:overflowPunct w:val="0"/>
        <w:autoSpaceDE w:val="0"/>
        <w:autoSpaceDN w:val="0"/>
        <w:adjustRightInd w:val="0"/>
        <w:spacing w:line="240" w:lineRule="auto"/>
        <w:ind w:left="907" w:right="907"/>
        <w:rPr>
          <w:rFonts w:ascii="Verdana" w:hAnsi="Verdana"/>
          <w:sz w:val="20"/>
          <w:szCs w:val="20"/>
        </w:rPr>
      </w:pPr>
      <w:r w:rsidRPr="00D63801">
        <w:rPr>
          <w:rFonts w:ascii="Verdana" w:hAnsi="Verdana" w:cs="Arial"/>
          <w:sz w:val="20"/>
          <w:szCs w:val="20"/>
        </w:rPr>
        <w:t xml:space="preserve">En principio, la ley ha señalado una rebaja común a las dos especies de aceptación de cargos en la primera oportunidad de </w:t>
      </w:r>
      <w:r w:rsidRPr="00D63801">
        <w:rPr>
          <w:rFonts w:ascii="Verdana" w:hAnsi="Verdana" w:cs="Arial"/>
          <w:sz w:val="20"/>
          <w:szCs w:val="20"/>
          <w:u w:val="single"/>
        </w:rPr>
        <w:t xml:space="preserve">hasta </w:t>
      </w:r>
      <w:r w:rsidRPr="00D63801">
        <w:rPr>
          <w:rFonts w:ascii="Verdana" w:hAnsi="Verdana" w:cs="Arial"/>
          <w:sz w:val="20"/>
          <w:szCs w:val="20"/>
        </w:rPr>
        <w:t xml:space="preserve">la mitad de la pena. </w:t>
      </w:r>
      <w:r w:rsidRPr="00D63801">
        <w:rPr>
          <w:rFonts w:ascii="Verdana" w:hAnsi="Verdana" w:cs="Arial"/>
          <w:b/>
          <w:sz w:val="18"/>
          <w:szCs w:val="18"/>
        </w:rPr>
        <w:t xml:space="preserve">Para la segunda </w:t>
      </w:r>
      <w:r w:rsidRPr="00D63801">
        <w:rPr>
          <w:rFonts w:ascii="Verdana" w:hAnsi="Verdana" w:cs="Arial"/>
          <w:b/>
          <w:sz w:val="18"/>
          <w:szCs w:val="18"/>
          <w:u w:val="single"/>
        </w:rPr>
        <w:t>hasta</w:t>
      </w:r>
      <w:r w:rsidRPr="00D63801">
        <w:rPr>
          <w:rFonts w:ascii="Verdana" w:hAnsi="Verdana" w:cs="Arial"/>
          <w:b/>
          <w:sz w:val="18"/>
          <w:szCs w:val="18"/>
        </w:rPr>
        <w:t xml:space="preserve"> de una tercera parte para el allanamiento</w:t>
      </w:r>
      <w:r w:rsidRPr="00D63801">
        <w:rPr>
          <w:rFonts w:ascii="Verdana" w:hAnsi="Verdana" w:cs="Arial"/>
          <w:sz w:val="20"/>
          <w:szCs w:val="20"/>
        </w:rPr>
        <w:t xml:space="preserve"> (art. 356–5) y </w:t>
      </w:r>
      <w:r w:rsidRPr="00D63801">
        <w:rPr>
          <w:rFonts w:ascii="Verdana" w:hAnsi="Verdana" w:cs="Arial"/>
          <w:sz w:val="20"/>
          <w:szCs w:val="20"/>
          <w:u w:val="single"/>
        </w:rPr>
        <w:t>de</w:t>
      </w:r>
      <w:r w:rsidRPr="00D63801">
        <w:rPr>
          <w:rFonts w:ascii="Verdana" w:hAnsi="Verdana" w:cs="Arial"/>
          <w:sz w:val="20"/>
          <w:szCs w:val="20"/>
        </w:rPr>
        <w:t xml:space="preserve"> una tercera parte para el preacuerdo (art. 352 inc. 2), en tanto que para la última, </w:t>
      </w:r>
      <w:r w:rsidRPr="00D63801">
        <w:rPr>
          <w:rFonts w:ascii="Verdana" w:hAnsi="Verdana" w:cs="Arial"/>
          <w:sz w:val="20"/>
          <w:szCs w:val="20"/>
          <w:u w:val="single"/>
        </w:rPr>
        <w:t>de</w:t>
      </w:r>
      <w:r w:rsidRPr="00D63801">
        <w:rPr>
          <w:rFonts w:ascii="Verdana" w:hAnsi="Verdana" w:cs="Arial"/>
          <w:sz w:val="20"/>
          <w:szCs w:val="20"/>
        </w:rPr>
        <w:t xml:space="preserve"> una sexta parte si se trata de aceptación unilateral (art. 365 inc.) y la pretensión punitiva que exprese el fiscal, en el evento de la culpabilidad </w:t>
      </w:r>
      <w:proofErr w:type="spellStart"/>
      <w:r w:rsidRPr="00D63801">
        <w:rPr>
          <w:rFonts w:ascii="Verdana" w:hAnsi="Verdana" w:cs="Arial"/>
          <w:sz w:val="20"/>
          <w:szCs w:val="20"/>
        </w:rPr>
        <w:t>preacordada</w:t>
      </w:r>
      <w:proofErr w:type="spellEnd"/>
      <w:r w:rsidRPr="00D63801">
        <w:rPr>
          <w:rFonts w:ascii="Verdana" w:hAnsi="Verdana" w:cs="Arial"/>
          <w:sz w:val="20"/>
          <w:szCs w:val="20"/>
        </w:rPr>
        <w:t xml:space="preserve"> (art. 370).</w:t>
      </w:r>
      <w:r w:rsidR="007B74B0" w:rsidRPr="00D63801">
        <w:rPr>
          <w:rFonts w:ascii="Verdana" w:hAnsi="Verdana" w:cs="Arial"/>
          <w:sz w:val="20"/>
          <w:szCs w:val="20"/>
        </w:rPr>
        <w:t xml:space="preserve"> -</w:t>
      </w:r>
      <w:r w:rsidRPr="00D63801">
        <w:rPr>
          <w:rFonts w:ascii="Verdana" w:hAnsi="Verdana" w:cs="Arial"/>
          <w:sz w:val="20"/>
          <w:szCs w:val="20"/>
          <w:lang w:val="es-MX"/>
        </w:rPr>
        <w:t>subrayado original del texto, negrilla en esta oportunidad</w:t>
      </w:r>
      <w:r w:rsidR="007B74B0" w:rsidRPr="00D63801">
        <w:rPr>
          <w:rFonts w:ascii="Verdana" w:hAnsi="Verdana" w:cs="Arial"/>
          <w:sz w:val="20"/>
          <w:szCs w:val="20"/>
          <w:lang w:val="es-MX"/>
        </w:rPr>
        <w:t>-</w:t>
      </w:r>
    </w:p>
    <w:p w:rsidR="007B0209" w:rsidRPr="00D63801" w:rsidRDefault="007B0209" w:rsidP="007B0209">
      <w:pPr>
        <w:overflowPunct w:val="0"/>
        <w:autoSpaceDE w:val="0"/>
        <w:autoSpaceDN w:val="0"/>
        <w:adjustRightInd w:val="0"/>
        <w:spacing w:line="240" w:lineRule="auto"/>
        <w:ind w:left="510" w:right="510"/>
        <w:rPr>
          <w:rFonts w:ascii="Verdana" w:hAnsi="Verdana"/>
          <w:sz w:val="20"/>
          <w:szCs w:val="20"/>
        </w:rPr>
      </w:pPr>
    </w:p>
    <w:p w:rsidR="007B0209" w:rsidRPr="00D63801" w:rsidRDefault="007B74B0" w:rsidP="007B0209">
      <w:pPr>
        <w:overflowPunct w:val="0"/>
        <w:autoSpaceDE w:val="0"/>
        <w:autoSpaceDN w:val="0"/>
        <w:adjustRightInd w:val="0"/>
        <w:spacing w:line="240" w:lineRule="auto"/>
        <w:ind w:left="510" w:right="510"/>
        <w:rPr>
          <w:rFonts w:cs="Tahoma"/>
        </w:rPr>
      </w:pPr>
      <w:r w:rsidRPr="00D63801">
        <w:rPr>
          <w:rFonts w:cs="Tahoma"/>
        </w:rPr>
        <w:t>Así mismo, en la referida providencia, se indicó:</w:t>
      </w:r>
    </w:p>
    <w:p w:rsidR="007B74B0" w:rsidRPr="00D63801" w:rsidRDefault="007B74B0" w:rsidP="007B0209">
      <w:pPr>
        <w:overflowPunct w:val="0"/>
        <w:autoSpaceDE w:val="0"/>
        <w:autoSpaceDN w:val="0"/>
        <w:adjustRightInd w:val="0"/>
        <w:spacing w:line="240" w:lineRule="auto"/>
        <w:ind w:left="510" w:right="510"/>
        <w:rPr>
          <w:rFonts w:cs="Tahoma"/>
        </w:rPr>
      </w:pPr>
    </w:p>
    <w:p w:rsidR="007B74B0" w:rsidRPr="00D63801" w:rsidRDefault="007B74B0" w:rsidP="007B74B0">
      <w:pPr>
        <w:overflowPunct w:val="0"/>
        <w:autoSpaceDE w:val="0"/>
        <w:autoSpaceDN w:val="0"/>
        <w:adjustRightInd w:val="0"/>
        <w:spacing w:line="240" w:lineRule="auto"/>
        <w:ind w:left="510" w:right="510"/>
        <w:rPr>
          <w:rFonts w:ascii="Verdana" w:hAnsi="Verdana"/>
          <w:sz w:val="20"/>
          <w:szCs w:val="20"/>
        </w:rPr>
      </w:pPr>
      <w:r w:rsidRPr="00D63801">
        <w:rPr>
          <w:rFonts w:ascii="Verdana" w:hAnsi="Verdana" w:cs="Arial"/>
          <w:sz w:val="20"/>
          <w:szCs w:val="20"/>
        </w:rPr>
        <w:t xml:space="preserve">“Así las cosas, sin desconocer el criterio pacífico que propugna por entender a la acusación como acto complejo –presentación del documento y formulación en audiencia–, ninguna duda emerge que, la comprensión que la Colegiatura de </w:t>
      </w:r>
      <w:r w:rsidRPr="00D63801">
        <w:rPr>
          <w:rFonts w:ascii="Verdana" w:hAnsi="Verdana"/>
          <w:sz w:val="20"/>
          <w:szCs w:val="20"/>
        </w:rPr>
        <w:t xml:space="preserve">antaño ha dado a la expresión «presentada la acusación», asociada al artículo 352 del </w:t>
      </w:r>
      <w:proofErr w:type="spellStart"/>
      <w:r w:rsidRPr="00D63801">
        <w:rPr>
          <w:rFonts w:ascii="Verdana" w:hAnsi="Verdana"/>
          <w:sz w:val="20"/>
          <w:szCs w:val="20"/>
        </w:rPr>
        <w:t>CPP</w:t>
      </w:r>
      <w:proofErr w:type="spellEnd"/>
      <w:r w:rsidRPr="00D63801">
        <w:rPr>
          <w:rFonts w:ascii="Verdana" w:hAnsi="Verdana"/>
          <w:sz w:val="20"/>
          <w:szCs w:val="20"/>
        </w:rPr>
        <w:t xml:space="preserve">, es la de equipararla a la de «presentado el escrito de acusación», del artículo 350 </w:t>
      </w:r>
      <w:proofErr w:type="spellStart"/>
      <w:r w:rsidRPr="00D63801">
        <w:rPr>
          <w:rFonts w:ascii="Verdana" w:hAnsi="Verdana"/>
          <w:sz w:val="20"/>
          <w:szCs w:val="20"/>
        </w:rPr>
        <w:t>ibidem</w:t>
      </w:r>
      <w:proofErr w:type="spellEnd"/>
      <w:r w:rsidRPr="00D63801">
        <w:rPr>
          <w:rFonts w:ascii="Verdana" w:hAnsi="Verdana"/>
          <w:sz w:val="20"/>
          <w:szCs w:val="20"/>
        </w:rPr>
        <w:t xml:space="preserve">. </w:t>
      </w:r>
    </w:p>
    <w:p w:rsidR="007B74B0" w:rsidRPr="00D63801" w:rsidRDefault="007B74B0" w:rsidP="007B74B0">
      <w:pPr>
        <w:overflowPunct w:val="0"/>
        <w:autoSpaceDE w:val="0"/>
        <w:autoSpaceDN w:val="0"/>
        <w:adjustRightInd w:val="0"/>
        <w:spacing w:line="240" w:lineRule="auto"/>
        <w:ind w:left="510" w:right="510"/>
        <w:rPr>
          <w:rFonts w:ascii="Verdana" w:hAnsi="Verdana"/>
          <w:sz w:val="20"/>
          <w:szCs w:val="20"/>
        </w:rPr>
      </w:pPr>
    </w:p>
    <w:p w:rsidR="007B74B0" w:rsidRPr="00D63801" w:rsidRDefault="007B74B0" w:rsidP="007954AF">
      <w:pPr>
        <w:overflowPunct w:val="0"/>
        <w:autoSpaceDE w:val="0"/>
        <w:autoSpaceDN w:val="0"/>
        <w:adjustRightInd w:val="0"/>
        <w:spacing w:line="240" w:lineRule="auto"/>
        <w:ind w:left="510" w:right="510"/>
        <w:rPr>
          <w:rFonts w:ascii="Verdana" w:hAnsi="Verdana"/>
          <w:sz w:val="20"/>
          <w:szCs w:val="20"/>
          <w:shd w:val="clear" w:color="auto" w:fill="FFFFFF"/>
        </w:rPr>
      </w:pPr>
      <w:r w:rsidRPr="00D63801">
        <w:rPr>
          <w:rFonts w:ascii="Verdana" w:hAnsi="Verdana"/>
          <w:sz w:val="20"/>
          <w:szCs w:val="20"/>
        </w:rPr>
        <w:t>Postura que se justifica, no solo en el tenor literal de la última disposición en cita, sino del innegable hecho que la sistemática de reducción punitiva por preacuerdos y allanamientos, se funda en el presupuesto que al existir un mayor compromiso</w:t>
      </w:r>
      <w:r w:rsidRPr="00D63801">
        <w:rPr>
          <w:rFonts w:ascii="Verdana" w:hAnsi="Verdana"/>
          <w:sz w:val="20"/>
          <w:szCs w:val="20"/>
          <w:shd w:val="clear" w:color="auto" w:fill="FFFFFF"/>
        </w:rPr>
        <w:t xml:space="preserve"> de colaboración y economía procesal, más significativa debe ser la respuesta </w:t>
      </w:r>
      <w:proofErr w:type="spellStart"/>
      <w:r w:rsidRPr="00D63801">
        <w:rPr>
          <w:rFonts w:ascii="Verdana" w:hAnsi="Verdana"/>
          <w:sz w:val="20"/>
          <w:szCs w:val="20"/>
          <w:shd w:val="clear" w:color="auto" w:fill="FFFFFF"/>
        </w:rPr>
        <w:t>premial</w:t>
      </w:r>
      <w:proofErr w:type="spellEnd"/>
      <w:r w:rsidRPr="00D63801">
        <w:rPr>
          <w:rFonts w:ascii="Verdana" w:hAnsi="Verdana"/>
          <w:sz w:val="20"/>
          <w:szCs w:val="20"/>
          <w:shd w:val="clear" w:color="auto" w:fill="FFFFFF"/>
        </w:rPr>
        <w:t xml:space="preserve"> a reconocer (CC C–645–2012).</w:t>
      </w:r>
    </w:p>
    <w:p w:rsidR="007B74B0" w:rsidRPr="00D63801" w:rsidRDefault="007B74B0" w:rsidP="007954AF">
      <w:pPr>
        <w:overflowPunct w:val="0"/>
        <w:autoSpaceDE w:val="0"/>
        <w:autoSpaceDN w:val="0"/>
        <w:adjustRightInd w:val="0"/>
        <w:spacing w:line="240" w:lineRule="auto"/>
        <w:ind w:left="510" w:right="510"/>
        <w:rPr>
          <w:rFonts w:ascii="Verdana" w:hAnsi="Verdana" w:cs="Arial"/>
          <w:sz w:val="20"/>
          <w:szCs w:val="20"/>
        </w:rPr>
      </w:pPr>
      <w:r w:rsidRPr="00D63801">
        <w:rPr>
          <w:rFonts w:ascii="Verdana" w:hAnsi="Verdana" w:cs="Arial"/>
          <w:sz w:val="20"/>
          <w:szCs w:val="20"/>
        </w:rPr>
        <w:t>[…]</w:t>
      </w:r>
    </w:p>
    <w:p w:rsidR="007B74B0" w:rsidRPr="00D63801" w:rsidRDefault="007B74B0" w:rsidP="007B74B0">
      <w:pPr>
        <w:overflowPunct w:val="0"/>
        <w:autoSpaceDE w:val="0"/>
        <w:autoSpaceDN w:val="0"/>
        <w:adjustRightInd w:val="0"/>
        <w:spacing w:line="240" w:lineRule="auto"/>
        <w:ind w:left="510" w:right="510"/>
        <w:rPr>
          <w:rFonts w:ascii="Verdana" w:hAnsi="Verdana" w:cs="Arial"/>
          <w:sz w:val="20"/>
          <w:szCs w:val="20"/>
        </w:rPr>
      </w:pPr>
      <w:r w:rsidRPr="00D63801">
        <w:rPr>
          <w:rFonts w:ascii="Verdana" w:hAnsi="Verdana" w:cs="Arial"/>
          <w:sz w:val="20"/>
          <w:szCs w:val="20"/>
        </w:rPr>
        <w:t xml:space="preserve">Por tanto, era claro que al mediar la radicación del </w:t>
      </w:r>
      <w:proofErr w:type="spellStart"/>
      <w:r w:rsidRPr="00D63801">
        <w:rPr>
          <w:rFonts w:ascii="Verdana" w:hAnsi="Verdana" w:cs="Arial"/>
          <w:sz w:val="20"/>
          <w:szCs w:val="20"/>
        </w:rPr>
        <w:t>pluricitado</w:t>
      </w:r>
      <w:proofErr w:type="spellEnd"/>
      <w:r w:rsidRPr="00D63801">
        <w:rPr>
          <w:rFonts w:ascii="Verdana" w:hAnsi="Verdana" w:cs="Arial"/>
          <w:sz w:val="20"/>
          <w:szCs w:val="20"/>
        </w:rPr>
        <w:t xml:space="preserve"> documento, que da inicio al escalón procesal de juzgamiento, no podía otorgarse rebaja distinta a la tercera parte de la pena imponible, por lo que un beneficio de la mitad de la misma, contraviene lo dispuesto por el legislador”.</w:t>
      </w:r>
    </w:p>
    <w:p w:rsidR="007B74B0" w:rsidRPr="00D63801" w:rsidRDefault="007B74B0" w:rsidP="007B74B0">
      <w:pPr>
        <w:overflowPunct w:val="0"/>
        <w:autoSpaceDE w:val="0"/>
        <w:autoSpaceDN w:val="0"/>
        <w:adjustRightInd w:val="0"/>
        <w:spacing w:line="240" w:lineRule="auto"/>
        <w:ind w:left="510" w:right="510"/>
        <w:rPr>
          <w:rFonts w:ascii="Verdana" w:hAnsi="Verdana"/>
          <w:sz w:val="20"/>
          <w:szCs w:val="20"/>
          <w:shd w:val="clear" w:color="auto" w:fill="FFFFFF"/>
        </w:rPr>
      </w:pPr>
    </w:p>
    <w:p w:rsidR="007954AF" w:rsidRPr="00D63801" w:rsidRDefault="007954AF" w:rsidP="007B74B0">
      <w:pPr>
        <w:overflowPunct w:val="0"/>
        <w:autoSpaceDE w:val="0"/>
        <w:autoSpaceDN w:val="0"/>
        <w:adjustRightInd w:val="0"/>
        <w:spacing w:line="240" w:lineRule="auto"/>
        <w:ind w:left="510" w:right="510"/>
        <w:rPr>
          <w:rFonts w:ascii="Verdana" w:hAnsi="Verdana"/>
          <w:sz w:val="20"/>
          <w:szCs w:val="20"/>
          <w:shd w:val="clear" w:color="auto" w:fill="FFFFFF"/>
        </w:rPr>
      </w:pPr>
    </w:p>
    <w:p w:rsidR="002B5A63" w:rsidRPr="00D63801" w:rsidRDefault="001D7956" w:rsidP="00FA24C3">
      <w:pPr>
        <w:overflowPunct w:val="0"/>
        <w:autoSpaceDE w:val="0"/>
        <w:autoSpaceDN w:val="0"/>
        <w:adjustRightInd w:val="0"/>
        <w:rPr>
          <w:rFonts w:cs="Tahoma"/>
          <w:lang w:val="es-ES_tradnl"/>
        </w:rPr>
      </w:pPr>
      <w:r w:rsidRPr="00D63801">
        <w:lastRenderedPageBreak/>
        <w:t>En este caso se</w:t>
      </w:r>
      <w:r w:rsidR="00FA24C3" w:rsidRPr="00D63801">
        <w:t xml:space="preserve"> aprecia que el escrito de acusación fue radicado en agosto 22 de 2017, y la audiencia en la cual el señor </w:t>
      </w:r>
      <w:r w:rsidR="00FA24C3" w:rsidRPr="00D63801">
        <w:rPr>
          <w:b/>
          <w:sz w:val="22"/>
          <w:szCs w:val="22"/>
        </w:rPr>
        <w:t>LARGO LÓPEZ</w:t>
      </w:r>
      <w:r w:rsidR="00FA24C3" w:rsidRPr="00D63801">
        <w:t xml:space="preserve"> aceptó de manera unilateral los cargos se realizó en septiembre 25 de 2017, por lo cual, se itera, no era posible que</w:t>
      </w:r>
      <w:r w:rsidR="009C1EE1" w:rsidRPr="00D63801">
        <w:t xml:space="preserve"> por</w:t>
      </w:r>
      <w:r w:rsidR="00FA24C3" w:rsidRPr="00D63801">
        <w:t xml:space="preserve"> parte de la a quo, ni mucho menos por esta Corporación</w:t>
      </w:r>
      <w:r w:rsidR="009C1EE1" w:rsidRPr="00D63801">
        <w:t>,</w:t>
      </w:r>
      <w:r w:rsidR="00FA24C3" w:rsidRPr="00D63801">
        <w:t xml:space="preserve"> se acce</w:t>
      </w:r>
      <w:r w:rsidR="00605F06" w:rsidRPr="00D63801">
        <w:t xml:space="preserve">da a una rebaja mayor a la </w:t>
      </w:r>
      <w:r w:rsidR="00350E5C" w:rsidRPr="00D63801">
        <w:t>concedida</w:t>
      </w:r>
      <w:r w:rsidR="00FA24C3" w:rsidRPr="00D63801">
        <w:t>.</w:t>
      </w:r>
    </w:p>
    <w:p w:rsidR="00263CD9" w:rsidRPr="00D63801" w:rsidRDefault="00263CD9" w:rsidP="00263CD9">
      <w:pPr>
        <w:pStyle w:val="Textosinformato"/>
        <w:tabs>
          <w:tab w:val="left" w:pos="8080"/>
        </w:tabs>
        <w:spacing w:after="120" w:line="360" w:lineRule="auto"/>
        <w:ind w:right="-91"/>
        <w:jc w:val="both"/>
        <w:rPr>
          <w:rFonts w:ascii="Tahoma" w:hAnsi="Tahoma" w:cs="Tahoma"/>
          <w:sz w:val="26"/>
          <w:szCs w:val="26"/>
        </w:rPr>
      </w:pPr>
    </w:p>
    <w:p w:rsidR="00B463F0" w:rsidRPr="00D63801" w:rsidRDefault="00B463F0" w:rsidP="00263CD9">
      <w:pPr>
        <w:pStyle w:val="Textosinformato"/>
        <w:tabs>
          <w:tab w:val="left" w:pos="8080"/>
        </w:tabs>
        <w:spacing w:after="120" w:line="360" w:lineRule="auto"/>
        <w:ind w:right="-91"/>
        <w:jc w:val="both"/>
        <w:rPr>
          <w:rFonts w:ascii="Tahoma" w:hAnsi="Tahoma" w:cs="Tahoma"/>
          <w:sz w:val="26"/>
          <w:szCs w:val="26"/>
        </w:rPr>
      </w:pPr>
      <w:r w:rsidRPr="00D63801">
        <w:rPr>
          <w:rFonts w:ascii="Tahoma" w:hAnsi="Tahoma" w:cs="Tahoma"/>
          <w:sz w:val="26"/>
          <w:szCs w:val="26"/>
        </w:rPr>
        <w:t xml:space="preserve">Téngase en cuenta, porque quizá en ello existe una confusión de parte del señor defensor, que para allanamientos tanto la ley como la jurisprudencia se refiere a “mojones, estancos o momentos procesales”, y solo está autorizada en el momento de la imputación, en la preparatoria y al comienzo del juicio oral (no está diseñada la aceptación de cargos en la audiencia de formulación de acusación). En cambio, para los preacuerdos a lo que se hace referencia tanto por la ley como por la jurisprudencia es a “espacios o períodos procesales”. En consecuencia, para el caso de las negociaciones </w:t>
      </w:r>
      <w:proofErr w:type="spellStart"/>
      <w:r w:rsidRPr="00D63801">
        <w:rPr>
          <w:rFonts w:ascii="Tahoma" w:hAnsi="Tahoma" w:cs="Tahoma"/>
          <w:sz w:val="26"/>
          <w:szCs w:val="26"/>
        </w:rPr>
        <w:t>preacordadas</w:t>
      </w:r>
      <w:proofErr w:type="spellEnd"/>
      <w:r w:rsidRPr="00D63801">
        <w:rPr>
          <w:rFonts w:ascii="Tahoma" w:hAnsi="Tahoma" w:cs="Tahoma"/>
          <w:sz w:val="26"/>
          <w:szCs w:val="26"/>
        </w:rPr>
        <w:t xml:space="preserve"> sí tiene sentido la discusión acerca de si la admisión de responsabilidad se dio antes o después de la presentación formal del escrito de acusación por parte de la Fiscalía, pero para las aceptaciones unilaterales esa situación carece de relevancia como quiera que al haberse perdido la oportunidad de la imputación para allanarse, el procesado ya queda ineludiblemente sometido al descuento establecido para la audiencia preparatoria.</w:t>
      </w:r>
    </w:p>
    <w:p w:rsidR="00B463F0" w:rsidRPr="00D63801" w:rsidRDefault="00B463F0" w:rsidP="00263CD9">
      <w:pPr>
        <w:pStyle w:val="Textosinformato"/>
        <w:tabs>
          <w:tab w:val="left" w:pos="8080"/>
        </w:tabs>
        <w:spacing w:after="120" w:line="360" w:lineRule="auto"/>
        <w:ind w:right="-91"/>
        <w:jc w:val="both"/>
        <w:rPr>
          <w:rFonts w:ascii="Tahoma" w:hAnsi="Tahoma" w:cs="Tahoma"/>
          <w:sz w:val="26"/>
          <w:szCs w:val="26"/>
        </w:rPr>
      </w:pPr>
    </w:p>
    <w:p w:rsidR="009A14CC" w:rsidRPr="00D63801" w:rsidRDefault="00B463F0" w:rsidP="00605F06">
      <w:pPr>
        <w:pStyle w:val="Textosinformato"/>
        <w:tabs>
          <w:tab w:val="left" w:pos="8080"/>
        </w:tabs>
        <w:spacing w:after="120" w:line="360" w:lineRule="auto"/>
        <w:ind w:right="-91"/>
        <w:jc w:val="both"/>
        <w:rPr>
          <w:rFonts w:ascii="Tahoma" w:hAnsi="Tahoma" w:cs="Tahoma"/>
          <w:sz w:val="26"/>
          <w:szCs w:val="26"/>
        </w:rPr>
      </w:pPr>
      <w:r w:rsidRPr="00D63801">
        <w:rPr>
          <w:rFonts w:ascii="Tahoma" w:hAnsi="Tahoma" w:cs="Tahoma"/>
          <w:sz w:val="26"/>
          <w:szCs w:val="26"/>
        </w:rPr>
        <w:t xml:space="preserve">Sea como fuere, </w:t>
      </w:r>
      <w:r w:rsidR="008A5C09" w:rsidRPr="00D63801">
        <w:rPr>
          <w:rFonts w:ascii="Tahoma" w:hAnsi="Tahoma" w:cs="Tahoma"/>
          <w:sz w:val="26"/>
          <w:szCs w:val="26"/>
        </w:rPr>
        <w:t>así se hiciera caso omiso a esa realidad legal y jurisprudencial, debe aclararse que s</w:t>
      </w:r>
      <w:r w:rsidR="00605F06" w:rsidRPr="00D63801">
        <w:rPr>
          <w:rFonts w:ascii="Tahoma" w:hAnsi="Tahoma" w:cs="Tahoma"/>
          <w:sz w:val="26"/>
          <w:szCs w:val="26"/>
        </w:rPr>
        <w:t xml:space="preserve">i bien </w:t>
      </w:r>
      <w:r w:rsidR="00FA24C3" w:rsidRPr="00D63801">
        <w:rPr>
          <w:rFonts w:ascii="Tahoma" w:hAnsi="Tahoma" w:cs="Tahoma"/>
          <w:sz w:val="26"/>
          <w:szCs w:val="26"/>
        </w:rPr>
        <w:t xml:space="preserve">el </w:t>
      </w:r>
      <w:r w:rsidR="00CC41CA" w:rsidRPr="00D63801">
        <w:rPr>
          <w:rFonts w:ascii="Tahoma" w:hAnsi="Tahoma" w:cs="Tahoma"/>
          <w:sz w:val="26"/>
          <w:szCs w:val="26"/>
        </w:rPr>
        <w:t xml:space="preserve">letrado </w:t>
      </w:r>
      <w:r w:rsidR="00FA24C3" w:rsidRPr="00D63801">
        <w:rPr>
          <w:rFonts w:ascii="Tahoma" w:hAnsi="Tahoma" w:cs="Tahoma"/>
          <w:sz w:val="26"/>
          <w:szCs w:val="26"/>
        </w:rPr>
        <w:t>aduce q</w:t>
      </w:r>
      <w:r w:rsidR="00605F06" w:rsidRPr="00D63801">
        <w:rPr>
          <w:rFonts w:ascii="Tahoma" w:hAnsi="Tahoma" w:cs="Tahoma"/>
          <w:sz w:val="26"/>
          <w:szCs w:val="26"/>
        </w:rPr>
        <w:t>ue la intención de su prohijado</w:t>
      </w:r>
      <w:r w:rsidR="00FA24C3" w:rsidRPr="00D63801">
        <w:rPr>
          <w:rFonts w:ascii="Tahoma" w:hAnsi="Tahoma" w:cs="Tahoma"/>
          <w:sz w:val="26"/>
          <w:szCs w:val="26"/>
        </w:rPr>
        <w:t xml:space="preserve"> </w:t>
      </w:r>
      <w:r w:rsidR="00605F06" w:rsidRPr="00D63801">
        <w:rPr>
          <w:rFonts w:ascii="Tahoma" w:hAnsi="Tahoma" w:cs="Tahoma"/>
          <w:sz w:val="26"/>
          <w:szCs w:val="26"/>
        </w:rPr>
        <w:t>era</w:t>
      </w:r>
      <w:r w:rsidR="00FA24C3" w:rsidRPr="00D63801">
        <w:rPr>
          <w:rFonts w:ascii="Tahoma" w:hAnsi="Tahoma" w:cs="Tahoma"/>
          <w:sz w:val="26"/>
          <w:szCs w:val="26"/>
        </w:rPr>
        <w:t xml:space="preserve"> aceptar cargo</w:t>
      </w:r>
      <w:r w:rsidR="00605F06" w:rsidRPr="00D63801">
        <w:rPr>
          <w:rFonts w:ascii="Tahoma" w:hAnsi="Tahoma" w:cs="Tahoma"/>
          <w:sz w:val="26"/>
          <w:szCs w:val="26"/>
        </w:rPr>
        <w:t>s, como así se lo informó a la F</w:t>
      </w:r>
      <w:r w:rsidR="00FA24C3" w:rsidRPr="00D63801">
        <w:rPr>
          <w:rFonts w:ascii="Tahoma" w:hAnsi="Tahoma" w:cs="Tahoma"/>
          <w:sz w:val="26"/>
          <w:szCs w:val="26"/>
        </w:rPr>
        <w:t xml:space="preserve">iscalía, por lo cual le pidió que no radicara la acusación, en efecto al revisar la carpeta que </w:t>
      </w:r>
      <w:r w:rsidR="00605F06" w:rsidRPr="00D63801">
        <w:rPr>
          <w:rFonts w:ascii="Tahoma" w:hAnsi="Tahoma" w:cs="Tahoma"/>
          <w:sz w:val="26"/>
          <w:szCs w:val="26"/>
        </w:rPr>
        <w:t>se allegó al Tribunal</w:t>
      </w:r>
      <w:r w:rsidR="00FA24C3" w:rsidRPr="00D63801">
        <w:rPr>
          <w:rFonts w:ascii="Tahoma" w:hAnsi="Tahoma" w:cs="Tahoma"/>
          <w:sz w:val="26"/>
          <w:szCs w:val="26"/>
        </w:rPr>
        <w:t xml:space="preserve"> se evidencia que tal documento fue entregado en agosto 16 de 2017, es decir</w:t>
      </w:r>
      <w:r w:rsidR="00605F06" w:rsidRPr="00D63801">
        <w:rPr>
          <w:rFonts w:ascii="Tahoma" w:hAnsi="Tahoma" w:cs="Tahoma"/>
          <w:sz w:val="26"/>
          <w:szCs w:val="26"/>
        </w:rPr>
        <w:t>,</w:t>
      </w:r>
      <w:r w:rsidR="008A5C09" w:rsidRPr="00D63801">
        <w:rPr>
          <w:rFonts w:ascii="Tahoma" w:hAnsi="Tahoma" w:cs="Tahoma"/>
          <w:sz w:val="26"/>
          <w:szCs w:val="26"/>
        </w:rPr>
        <w:t xml:space="preserve"> seis</w:t>
      </w:r>
      <w:r w:rsidR="00FA24C3" w:rsidRPr="00D63801">
        <w:rPr>
          <w:rFonts w:ascii="Tahoma" w:hAnsi="Tahoma" w:cs="Tahoma"/>
          <w:sz w:val="26"/>
          <w:szCs w:val="26"/>
        </w:rPr>
        <w:t xml:space="preserve"> días antes de </w:t>
      </w:r>
      <w:r w:rsidR="001F37C3" w:rsidRPr="00D63801">
        <w:rPr>
          <w:rFonts w:ascii="Tahoma" w:hAnsi="Tahoma" w:cs="Tahoma"/>
          <w:sz w:val="26"/>
          <w:szCs w:val="26"/>
        </w:rPr>
        <w:t xml:space="preserve">entregar </w:t>
      </w:r>
      <w:r w:rsidR="00FA24C3" w:rsidRPr="00D63801">
        <w:rPr>
          <w:rFonts w:ascii="Tahoma" w:hAnsi="Tahoma" w:cs="Tahoma"/>
          <w:sz w:val="26"/>
          <w:szCs w:val="26"/>
        </w:rPr>
        <w:t xml:space="preserve">formalmente ante el juzgado de conocimiento el escrito </w:t>
      </w:r>
      <w:r w:rsidR="00CC41CA" w:rsidRPr="00D63801">
        <w:rPr>
          <w:rFonts w:ascii="Tahoma" w:hAnsi="Tahoma" w:cs="Tahoma"/>
          <w:sz w:val="26"/>
          <w:szCs w:val="26"/>
        </w:rPr>
        <w:t xml:space="preserve">respectivo </w:t>
      </w:r>
      <w:r w:rsidR="002602B8" w:rsidRPr="00D63801">
        <w:rPr>
          <w:rFonts w:ascii="Verdana" w:hAnsi="Verdana" w:cs="Tahoma"/>
        </w:rPr>
        <w:t>-agosto 22 de 2017-</w:t>
      </w:r>
      <w:r w:rsidR="008A5C09" w:rsidRPr="00D63801">
        <w:rPr>
          <w:rFonts w:ascii="Tahoma" w:hAnsi="Tahoma" w:cs="Tahoma"/>
          <w:sz w:val="26"/>
          <w:szCs w:val="26"/>
        </w:rPr>
        <w:t>, pero</w:t>
      </w:r>
      <w:r w:rsidR="00FA24C3" w:rsidRPr="00D63801">
        <w:rPr>
          <w:rFonts w:ascii="Tahoma" w:hAnsi="Tahoma" w:cs="Tahoma"/>
          <w:sz w:val="26"/>
          <w:szCs w:val="26"/>
        </w:rPr>
        <w:t xml:space="preserve"> allí no obra respuesta alguna</w:t>
      </w:r>
      <w:r w:rsidR="00605F06" w:rsidRPr="00D63801">
        <w:rPr>
          <w:rFonts w:ascii="Tahoma" w:hAnsi="Tahoma" w:cs="Tahoma"/>
          <w:sz w:val="26"/>
          <w:szCs w:val="26"/>
        </w:rPr>
        <w:t xml:space="preserve"> al respecto</w:t>
      </w:r>
      <w:r w:rsidR="00FA24C3" w:rsidRPr="00D63801">
        <w:rPr>
          <w:rFonts w:ascii="Tahoma" w:hAnsi="Tahoma" w:cs="Tahoma"/>
          <w:sz w:val="26"/>
          <w:szCs w:val="26"/>
        </w:rPr>
        <w:t>,</w:t>
      </w:r>
      <w:r w:rsidR="008A5C09" w:rsidRPr="00D63801">
        <w:rPr>
          <w:rFonts w:ascii="Tahoma" w:hAnsi="Tahoma" w:cs="Tahoma"/>
          <w:sz w:val="26"/>
          <w:szCs w:val="26"/>
        </w:rPr>
        <w:t xml:space="preserve"> porque</w:t>
      </w:r>
      <w:r w:rsidR="00FA24C3" w:rsidRPr="00D63801">
        <w:rPr>
          <w:rFonts w:ascii="Tahoma" w:hAnsi="Tahoma" w:cs="Tahoma"/>
          <w:sz w:val="26"/>
          <w:szCs w:val="26"/>
        </w:rPr>
        <w:t xml:space="preserve"> la Fiscalía como no recurrente fue enfática en señalar que no se accedió a dicha solicitud por cuanto se podría </w:t>
      </w:r>
      <w:r w:rsidR="001F37C3" w:rsidRPr="00D63801">
        <w:rPr>
          <w:rFonts w:ascii="Tahoma" w:hAnsi="Tahoma" w:cs="Tahoma"/>
          <w:sz w:val="26"/>
          <w:szCs w:val="26"/>
        </w:rPr>
        <w:lastRenderedPageBreak/>
        <w:t xml:space="preserve">generar </w:t>
      </w:r>
      <w:r w:rsidR="00FA24C3" w:rsidRPr="00D63801">
        <w:rPr>
          <w:rFonts w:ascii="Tahoma" w:hAnsi="Tahoma" w:cs="Tahoma"/>
          <w:sz w:val="26"/>
          <w:szCs w:val="26"/>
        </w:rPr>
        <w:t xml:space="preserve">el vencimiento de términos, </w:t>
      </w:r>
      <w:r w:rsidR="000402EC" w:rsidRPr="00D63801">
        <w:rPr>
          <w:rFonts w:ascii="Tahoma" w:hAnsi="Tahoma" w:cs="Tahoma"/>
          <w:sz w:val="26"/>
          <w:szCs w:val="26"/>
        </w:rPr>
        <w:t xml:space="preserve">toda vez que </w:t>
      </w:r>
      <w:r w:rsidR="00605F06" w:rsidRPr="00D63801">
        <w:rPr>
          <w:rFonts w:ascii="Tahoma" w:hAnsi="Tahoma" w:cs="Tahoma"/>
          <w:sz w:val="26"/>
          <w:szCs w:val="26"/>
        </w:rPr>
        <w:t>al procesado se le imputaron</w:t>
      </w:r>
      <w:r w:rsidR="002602B8" w:rsidRPr="00D63801">
        <w:rPr>
          <w:rFonts w:ascii="Tahoma" w:hAnsi="Tahoma" w:cs="Tahoma"/>
          <w:sz w:val="26"/>
          <w:szCs w:val="26"/>
        </w:rPr>
        <w:t xml:space="preserve"> cargos en mayo 26 de 2017, y por ende los 90 días con los que contaba el órgano persecutor para presentar </w:t>
      </w:r>
      <w:r w:rsidR="00350E5C" w:rsidRPr="00D63801">
        <w:rPr>
          <w:rFonts w:ascii="Tahoma" w:hAnsi="Tahoma" w:cs="Tahoma"/>
          <w:sz w:val="26"/>
          <w:szCs w:val="26"/>
        </w:rPr>
        <w:t xml:space="preserve">la </w:t>
      </w:r>
      <w:r w:rsidR="002602B8" w:rsidRPr="00D63801">
        <w:rPr>
          <w:rFonts w:ascii="Tahoma" w:hAnsi="Tahoma" w:cs="Tahoma"/>
          <w:sz w:val="26"/>
          <w:szCs w:val="26"/>
        </w:rPr>
        <w:t>acusación</w:t>
      </w:r>
      <w:r w:rsidR="00605F06" w:rsidRPr="00D63801">
        <w:rPr>
          <w:rFonts w:ascii="Tahoma" w:hAnsi="Tahoma" w:cs="Tahoma"/>
          <w:sz w:val="26"/>
          <w:szCs w:val="26"/>
        </w:rPr>
        <w:t xml:space="preserve"> estaban próximos a fenecer.</w:t>
      </w:r>
    </w:p>
    <w:p w:rsidR="008A5C09" w:rsidRPr="00D63801" w:rsidRDefault="008A5C09" w:rsidP="00605F06">
      <w:pPr>
        <w:pStyle w:val="Textosinformato"/>
        <w:tabs>
          <w:tab w:val="left" w:pos="8080"/>
        </w:tabs>
        <w:spacing w:after="120" w:line="360" w:lineRule="auto"/>
        <w:ind w:right="-91"/>
        <w:jc w:val="both"/>
        <w:rPr>
          <w:rFonts w:ascii="Tahoma" w:hAnsi="Tahoma" w:cs="Tahoma"/>
          <w:sz w:val="26"/>
          <w:szCs w:val="26"/>
        </w:rPr>
      </w:pPr>
    </w:p>
    <w:p w:rsidR="00FA24C3" w:rsidRPr="00D63801" w:rsidRDefault="008A5C09" w:rsidP="00605F06">
      <w:pPr>
        <w:pStyle w:val="Textosinformato"/>
        <w:tabs>
          <w:tab w:val="left" w:pos="8080"/>
        </w:tabs>
        <w:spacing w:after="120" w:line="360" w:lineRule="auto"/>
        <w:ind w:right="-91"/>
        <w:jc w:val="both"/>
        <w:rPr>
          <w:rFonts w:ascii="Tahoma" w:hAnsi="Tahoma" w:cs="Tahoma"/>
          <w:sz w:val="26"/>
          <w:szCs w:val="26"/>
        </w:rPr>
      </w:pPr>
      <w:r w:rsidRPr="00D63801">
        <w:rPr>
          <w:rFonts w:ascii="Tahoma" w:hAnsi="Tahoma" w:cs="Tahoma"/>
          <w:sz w:val="26"/>
          <w:szCs w:val="26"/>
        </w:rPr>
        <w:t xml:space="preserve">Por demás, para </w:t>
      </w:r>
      <w:r w:rsidR="009A14CC" w:rsidRPr="00D63801">
        <w:rPr>
          <w:rFonts w:ascii="Tahoma" w:hAnsi="Tahoma" w:cs="Tahoma"/>
          <w:sz w:val="26"/>
          <w:szCs w:val="26"/>
        </w:rPr>
        <w:t xml:space="preserve">la </w:t>
      </w:r>
      <w:r w:rsidRPr="00D63801">
        <w:rPr>
          <w:rFonts w:ascii="Tahoma" w:hAnsi="Tahoma" w:cs="Tahoma"/>
          <w:sz w:val="26"/>
          <w:szCs w:val="26"/>
        </w:rPr>
        <w:t>Corporación</w:t>
      </w:r>
      <w:r w:rsidR="009A14CC" w:rsidRPr="00D63801">
        <w:rPr>
          <w:rFonts w:ascii="Tahoma" w:hAnsi="Tahoma" w:cs="Tahoma"/>
          <w:sz w:val="26"/>
          <w:szCs w:val="26"/>
        </w:rPr>
        <w:t xml:space="preserve"> el orden propuesto por la defensa a esa altura procesal no era viable, en tanto lo que pretendía era inicialmente adelantar trámite con la víctima para procurar la indemnización de perjuicios, que a raíz de ello la </w:t>
      </w:r>
      <w:r w:rsidR="002A5255" w:rsidRPr="00D63801">
        <w:rPr>
          <w:rFonts w:ascii="Tahoma" w:hAnsi="Tahoma" w:cs="Tahoma"/>
          <w:sz w:val="26"/>
          <w:szCs w:val="26"/>
        </w:rPr>
        <w:t>F</w:t>
      </w:r>
      <w:r w:rsidR="009A14CC" w:rsidRPr="00D63801">
        <w:rPr>
          <w:rFonts w:ascii="Tahoma" w:hAnsi="Tahoma" w:cs="Tahoma"/>
          <w:sz w:val="26"/>
          <w:szCs w:val="26"/>
        </w:rPr>
        <w:t>iscalía procediera a abs</w:t>
      </w:r>
      <w:r w:rsidR="002A5255" w:rsidRPr="00D63801">
        <w:rPr>
          <w:rFonts w:ascii="Tahoma" w:hAnsi="Tahoma" w:cs="Tahoma"/>
          <w:sz w:val="26"/>
          <w:szCs w:val="26"/>
        </w:rPr>
        <w:t>tenerse de presentar el escrito</w:t>
      </w:r>
      <w:r w:rsidR="009A14CC" w:rsidRPr="00D63801">
        <w:rPr>
          <w:rFonts w:ascii="Tahoma" w:hAnsi="Tahoma" w:cs="Tahoma"/>
          <w:sz w:val="26"/>
          <w:szCs w:val="26"/>
        </w:rPr>
        <w:t xml:space="preserve"> de acusación, y finalmente aceptar l</w:t>
      </w:r>
      <w:r w:rsidR="002A5255" w:rsidRPr="00D63801">
        <w:rPr>
          <w:rFonts w:ascii="Tahoma" w:hAnsi="Tahoma" w:cs="Tahoma"/>
          <w:sz w:val="26"/>
          <w:szCs w:val="26"/>
        </w:rPr>
        <w:t>os cargos endilgados, pretensiones a las que en su orden</w:t>
      </w:r>
      <w:r w:rsidR="009A14CC" w:rsidRPr="00D63801">
        <w:rPr>
          <w:rFonts w:ascii="Tahoma" w:hAnsi="Tahoma" w:cs="Tahoma"/>
          <w:sz w:val="26"/>
          <w:szCs w:val="26"/>
        </w:rPr>
        <w:t xml:space="preserve"> no podía acceder el órgano persecutor por las razones ya aludidas </w:t>
      </w:r>
    </w:p>
    <w:p w:rsidR="008A5C09" w:rsidRPr="00D63801" w:rsidRDefault="008A5C09" w:rsidP="00FA24C3">
      <w:pPr>
        <w:rPr>
          <w:rFonts w:cs="Tahoma"/>
        </w:rPr>
      </w:pPr>
    </w:p>
    <w:p w:rsidR="000402EC" w:rsidRPr="00D63801" w:rsidRDefault="008A5C09" w:rsidP="00FA24C3">
      <w:r w:rsidRPr="00D63801">
        <w:rPr>
          <w:rFonts w:cs="Tahoma"/>
        </w:rPr>
        <w:t>Tampoco</w:t>
      </w:r>
      <w:r w:rsidR="000402EC" w:rsidRPr="00D63801">
        <w:t xml:space="preserve"> puede ser de recibo el argumento del </w:t>
      </w:r>
      <w:r w:rsidR="00CC41CA" w:rsidRPr="00D63801">
        <w:t xml:space="preserve">profesional del derecho </w:t>
      </w:r>
      <w:r w:rsidR="000402EC" w:rsidRPr="00D63801">
        <w:t xml:space="preserve">en el entendido que la intención de su prohijado era la de aceptar cargos con antelación a </w:t>
      </w:r>
      <w:r w:rsidR="00350E5C" w:rsidRPr="00D63801">
        <w:t xml:space="preserve">arrimarse el </w:t>
      </w:r>
      <w:r w:rsidR="000402EC" w:rsidRPr="00D63801">
        <w:t xml:space="preserve">escrito </w:t>
      </w:r>
      <w:r w:rsidR="00CC41CA" w:rsidRPr="00D63801">
        <w:t>pertinente</w:t>
      </w:r>
      <w:r w:rsidR="000402EC" w:rsidRPr="00D63801">
        <w:t xml:space="preserve">, </w:t>
      </w:r>
      <w:r w:rsidRPr="00D63801">
        <w:t xml:space="preserve">cuando la realidad enseña </w:t>
      </w:r>
      <w:r w:rsidR="000402EC" w:rsidRPr="00D63801">
        <w:t xml:space="preserve">que bien podría el señor </w:t>
      </w:r>
      <w:r w:rsidR="000402EC" w:rsidRPr="00D63801">
        <w:rPr>
          <w:b/>
          <w:sz w:val="22"/>
          <w:szCs w:val="22"/>
        </w:rPr>
        <w:t>LARGO LÓPEZ</w:t>
      </w:r>
      <w:r w:rsidR="000402EC" w:rsidRPr="00D63801">
        <w:t xml:space="preserve"> haberse rehusado a hacerlo, amén de las sendas explicaciones que allí se dieron por parte de la</w:t>
      </w:r>
      <w:r w:rsidR="00605F06" w:rsidRPr="00D63801">
        <w:t xml:space="preserve"> funcionaria  a quo en punto del porcentaje</w:t>
      </w:r>
      <w:r w:rsidR="000402EC" w:rsidRPr="00D63801">
        <w:t xml:space="preserve"> de reducción a </w:t>
      </w:r>
      <w:r w:rsidR="00605F06" w:rsidRPr="00D63801">
        <w:t xml:space="preserve">la </w:t>
      </w:r>
      <w:r w:rsidR="000402EC" w:rsidRPr="00D63801">
        <w:t>que tendría derecho,</w:t>
      </w:r>
      <w:r w:rsidR="00880DC1" w:rsidRPr="00D63801">
        <w:t xml:space="preserve"> y aun así o a pesar de ello,</w:t>
      </w:r>
      <w:r w:rsidR="000402EC" w:rsidRPr="00D63801">
        <w:t xml:space="preserve"> optó por hacer dejación de su derecho a un juicio público para que por la vía de la terminación anticipada se emitiera fallo de responsabilidad en su contra</w:t>
      </w:r>
      <w:r w:rsidR="001F37C3" w:rsidRPr="00D63801">
        <w:t>, por lo cual la decisión emitida en tal sentido se observa correcta</w:t>
      </w:r>
      <w:r w:rsidR="000402EC" w:rsidRPr="00D63801">
        <w:t>.</w:t>
      </w:r>
    </w:p>
    <w:p w:rsidR="000402EC" w:rsidRPr="00D63801" w:rsidRDefault="000402EC" w:rsidP="00FA24C3"/>
    <w:p w:rsidR="00FD59CC" w:rsidRPr="00D63801" w:rsidRDefault="00DE4908" w:rsidP="00FA24C3">
      <w:r w:rsidRPr="00D63801">
        <w:t>De otro lado y</w:t>
      </w:r>
      <w:r w:rsidR="00482B7B" w:rsidRPr="00D63801">
        <w:t xml:space="preserve"> aunque aduce </w:t>
      </w:r>
      <w:r w:rsidRPr="00D63801">
        <w:t xml:space="preserve">el recurrente </w:t>
      </w:r>
      <w:r w:rsidR="00482B7B" w:rsidRPr="00D63801">
        <w:t>que se sintió atropellado durante la realización del incidente de reparación de perjuicios que de manera anticipada se celebró, donde pretendía establecer el monto de los perj</w:t>
      </w:r>
      <w:r w:rsidR="00A92618" w:rsidRPr="00D63801">
        <w:t>uicios ocasionados a la víctima</w:t>
      </w:r>
      <w:r w:rsidR="00482B7B" w:rsidRPr="00D63801">
        <w:t xml:space="preserve"> con miras a obtener su reparación integral,</w:t>
      </w:r>
      <w:r w:rsidR="00A92618" w:rsidRPr="00D63801">
        <w:t xml:space="preserve"> en </w:t>
      </w:r>
      <w:r w:rsidR="00FD59CC" w:rsidRPr="00D63801">
        <w:t>cuanto una vez se dañó el registro d</w:t>
      </w:r>
      <w:r w:rsidR="00A92618" w:rsidRPr="00D63801">
        <w:t>e audio de la primera audiencia</w:t>
      </w:r>
      <w:r w:rsidR="00FD59CC" w:rsidRPr="00D63801">
        <w:t xml:space="preserve"> se procedió a realizar</w:t>
      </w:r>
      <w:r w:rsidR="00A92618" w:rsidRPr="00D63801">
        <w:t xml:space="preserve">la </w:t>
      </w:r>
      <w:r w:rsidR="00FD59CC" w:rsidRPr="00D63801">
        <w:t>nue</w:t>
      </w:r>
      <w:r w:rsidR="00A92618" w:rsidRPr="00D63801">
        <w:t xml:space="preserve">vamente, momento en el cual la Fiscalía objetó el dictamen y la juzgadora </w:t>
      </w:r>
      <w:r w:rsidR="00D91734" w:rsidRPr="00D63801">
        <w:t xml:space="preserve">a diferencia de </w:t>
      </w:r>
      <w:r w:rsidR="00FD59CC" w:rsidRPr="00D63801">
        <w:t>lo refer</w:t>
      </w:r>
      <w:r w:rsidR="00A92618" w:rsidRPr="00D63801">
        <w:t>ido por el perito que intervino</w:t>
      </w:r>
      <w:r w:rsidR="00FD59CC" w:rsidRPr="00D63801">
        <w:t xml:space="preserve"> actuó como tal para considerar que el monto de lo apropiado era mayor al establecido por el evaluador</w:t>
      </w:r>
      <w:r w:rsidR="00A92618" w:rsidRPr="00D63801">
        <w:t>, debe señalar la Colegiatura</w:t>
      </w:r>
      <w:r w:rsidR="00525477" w:rsidRPr="00D63801">
        <w:t xml:space="preserve"> lo siguiente:</w:t>
      </w:r>
    </w:p>
    <w:p w:rsidR="00556860" w:rsidRPr="00D63801" w:rsidRDefault="00556860" w:rsidP="00FA24C3"/>
    <w:p w:rsidR="00FD59CC" w:rsidRPr="00D63801" w:rsidRDefault="001F37C3" w:rsidP="00FA24C3">
      <w:r w:rsidRPr="00D63801">
        <w:t xml:space="preserve">Ciertamente </w:t>
      </w:r>
      <w:r w:rsidR="00FD59CC" w:rsidRPr="00D63801">
        <w:t>lo acontecido en una primera</w:t>
      </w:r>
      <w:r w:rsidR="00525477" w:rsidRPr="00D63801">
        <w:t xml:space="preserve"> audiencia re</w:t>
      </w:r>
      <w:r w:rsidR="00A92618" w:rsidRPr="00D63801">
        <w:t>alizada en diciembre 11 de 2017</w:t>
      </w:r>
      <w:r w:rsidR="00525477" w:rsidRPr="00D63801">
        <w:t xml:space="preserve"> no pudo ser objeto de verificación</w:t>
      </w:r>
      <w:r w:rsidR="00A92618" w:rsidRPr="00D63801">
        <w:t xml:space="preserve"> por parte del Tribunal</w:t>
      </w:r>
      <w:r w:rsidR="00FD59CC" w:rsidRPr="00D63801">
        <w:t xml:space="preserve"> precisamente por el daño técnico en el sistema de grabación, pero </w:t>
      </w:r>
      <w:r w:rsidR="00350E5C" w:rsidRPr="00D63801">
        <w:t xml:space="preserve">a diferencia de  </w:t>
      </w:r>
      <w:r w:rsidR="00FD59CC" w:rsidRPr="00D63801">
        <w:t>lo indicado por el defensor, lo que procedía</w:t>
      </w:r>
      <w:r w:rsidRPr="00D63801">
        <w:t xml:space="preserve"> </w:t>
      </w:r>
      <w:r w:rsidRPr="00D63801">
        <w:rPr>
          <w:rFonts w:ascii="Verdana" w:hAnsi="Verdana"/>
          <w:sz w:val="20"/>
          <w:szCs w:val="20"/>
        </w:rPr>
        <w:t>-</w:t>
      </w:r>
      <w:r w:rsidR="00FD59CC" w:rsidRPr="00D63801">
        <w:rPr>
          <w:rFonts w:ascii="Verdana" w:hAnsi="Verdana"/>
          <w:sz w:val="20"/>
          <w:szCs w:val="20"/>
        </w:rPr>
        <w:t>como así lo hizo la a quo</w:t>
      </w:r>
      <w:r w:rsidRPr="00D63801">
        <w:rPr>
          <w:rFonts w:ascii="Verdana" w:hAnsi="Verdana"/>
          <w:sz w:val="20"/>
          <w:szCs w:val="20"/>
        </w:rPr>
        <w:t>-</w:t>
      </w:r>
      <w:r w:rsidR="00FD59CC" w:rsidRPr="00D63801">
        <w:t xml:space="preserve">, era </w:t>
      </w:r>
      <w:r w:rsidR="00A92618" w:rsidRPr="00D63801">
        <w:t>reconstruir dicho acto procesal</w:t>
      </w:r>
      <w:r w:rsidR="00FD59CC" w:rsidRPr="00D63801">
        <w:t xml:space="preserve"> </w:t>
      </w:r>
      <w:r w:rsidR="00A82534" w:rsidRPr="00D63801">
        <w:t xml:space="preserve">con el fin de atender el mandato establecido en el canon 9° </w:t>
      </w:r>
      <w:proofErr w:type="spellStart"/>
      <w:r w:rsidR="00A82534" w:rsidRPr="00D63801">
        <w:t>C.P.P</w:t>
      </w:r>
      <w:proofErr w:type="spellEnd"/>
      <w:r w:rsidR="00A82534" w:rsidRPr="00D63801">
        <w:t>.</w:t>
      </w:r>
      <w:r w:rsidR="00A82534" w:rsidRPr="00D63801">
        <w:rPr>
          <w:rFonts w:ascii="Verdana" w:hAnsi="Verdana"/>
          <w:sz w:val="20"/>
          <w:szCs w:val="20"/>
          <w:vertAlign w:val="superscript"/>
        </w:rPr>
        <w:footnoteReference w:id="1"/>
      </w:r>
      <w:r w:rsidR="00A82534" w:rsidRPr="00D63801">
        <w:t>,</w:t>
      </w:r>
      <w:r w:rsidR="007A57E7" w:rsidRPr="00D63801">
        <w:t xml:space="preserve"> y reiterado en el canon 144 ídem</w:t>
      </w:r>
      <w:r w:rsidR="007A57E7" w:rsidRPr="00D63801">
        <w:rPr>
          <w:rFonts w:ascii="Verdana" w:hAnsi="Verdana"/>
          <w:sz w:val="20"/>
          <w:szCs w:val="20"/>
          <w:vertAlign w:val="superscript"/>
        </w:rPr>
        <w:footnoteReference w:id="2"/>
      </w:r>
      <w:r w:rsidR="007A57E7" w:rsidRPr="00D63801">
        <w:t>,</w:t>
      </w:r>
      <w:r w:rsidR="00A82534" w:rsidRPr="00D63801">
        <w:t xml:space="preserve"> </w:t>
      </w:r>
      <w:r w:rsidR="00FD59CC" w:rsidRPr="00D63801">
        <w:t xml:space="preserve">mediante la realización nuevamente de esa diligencia, donde </w:t>
      </w:r>
      <w:r w:rsidR="00A92618" w:rsidRPr="00D63801">
        <w:t xml:space="preserve">se </w:t>
      </w:r>
      <w:r w:rsidR="00FD59CC" w:rsidRPr="00D63801">
        <w:t xml:space="preserve">tuvo la oportunidad de dar a conocer el dictamen </w:t>
      </w:r>
      <w:r w:rsidR="00A92618" w:rsidRPr="00D63801">
        <w:t>del perito y frente al cual la F</w:t>
      </w:r>
      <w:r w:rsidR="00FD59CC" w:rsidRPr="00D63801">
        <w:t>iscalía</w:t>
      </w:r>
      <w:r w:rsidR="00A92618" w:rsidRPr="00D63801">
        <w:t xml:space="preserve"> estuvo parcialmente de acuerdo</w:t>
      </w:r>
      <w:r w:rsidR="00FD59CC" w:rsidRPr="00D63801">
        <w:t xml:space="preserve"> al considerar que allí igualmente debía tenerse en cuenta el monto del dinero que se hallaba en la caja fuerte que le fue hurtada a la víctima, </w:t>
      </w:r>
      <w:r w:rsidRPr="00D63801">
        <w:t xml:space="preserve">lo que no fue tenido en cuenta en </w:t>
      </w:r>
      <w:r w:rsidR="00A92618" w:rsidRPr="00D63801">
        <w:t>el dictamen</w:t>
      </w:r>
      <w:r w:rsidR="00FD59CC" w:rsidRPr="00D63801">
        <w:t xml:space="preserve"> al no haber</w:t>
      </w:r>
      <w:r w:rsidR="007A57E7" w:rsidRPr="00D63801">
        <w:t>se</w:t>
      </w:r>
      <w:r w:rsidR="00FD59CC" w:rsidRPr="00D63801">
        <w:t xml:space="preserve"> logrado entrevistar a la v</w:t>
      </w:r>
      <w:r w:rsidR="007A57E7" w:rsidRPr="00D63801">
        <w:t>íctima y por</w:t>
      </w:r>
      <w:r w:rsidR="00FD59CC" w:rsidRPr="00D63801">
        <w:t xml:space="preserve"> </w:t>
      </w:r>
      <w:r w:rsidRPr="00D63801">
        <w:t xml:space="preserve">ende no corroborarse </w:t>
      </w:r>
      <w:r w:rsidR="00FD59CC" w:rsidRPr="00D63801">
        <w:t>su preexistencia.</w:t>
      </w:r>
    </w:p>
    <w:p w:rsidR="00FD59CC" w:rsidRPr="00D63801" w:rsidRDefault="00FD59CC" w:rsidP="00FA24C3"/>
    <w:p w:rsidR="00FA24C3" w:rsidRPr="00D63801" w:rsidRDefault="00A92618" w:rsidP="00FA24C3">
      <w:r w:rsidRPr="00D63801">
        <w:t>A</w:t>
      </w:r>
      <w:r w:rsidR="00DE4908" w:rsidRPr="00D63801">
        <w:t>unque la a quo igualmente desestimó lo argument</w:t>
      </w:r>
      <w:r w:rsidR="007A57E7" w:rsidRPr="00D63801">
        <w:t>ad</w:t>
      </w:r>
      <w:r w:rsidRPr="00D63801">
        <w:t xml:space="preserve">o por el perito quien dejó </w:t>
      </w:r>
      <w:r w:rsidR="00DE4908" w:rsidRPr="00D63801">
        <w:t xml:space="preserve">de lado el dinero que se </w:t>
      </w:r>
      <w:r w:rsidR="007A57E7" w:rsidRPr="00D63801">
        <w:t xml:space="preserve">encontraba </w:t>
      </w:r>
      <w:r w:rsidR="00DE4908" w:rsidRPr="00D63801">
        <w:t xml:space="preserve">en el interior de la caja fuerte </w:t>
      </w:r>
      <w:r w:rsidRPr="00D63801">
        <w:rPr>
          <w:rFonts w:ascii="Verdana" w:hAnsi="Verdana"/>
          <w:sz w:val="20"/>
          <w:szCs w:val="20"/>
        </w:rPr>
        <w:t>-$40’000.000.oo-</w:t>
      </w:r>
      <w:r w:rsidR="00DE4908" w:rsidRPr="00D63801">
        <w:t xml:space="preserve">, para </w:t>
      </w:r>
      <w:r w:rsidR="001F37C3" w:rsidRPr="00D63801">
        <w:t xml:space="preserve">valorar </w:t>
      </w:r>
      <w:r w:rsidR="00DE4908" w:rsidRPr="00D63801">
        <w:t xml:space="preserve">únicamente como perjuicios materiales el valor de los demás elementos hurtados </w:t>
      </w:r>
      <w:r w:rsidR="00844743" w:rsidRPr="00D63801">
        <w:t>-</w:t>
      </w:r>
      <w:r w:rsidR="00844743" w:rsidRPr="00D63801">
        <w:rPr>
          <w:rFonts w:ascii="Verdana" w:hAnsi="Verdana"/>
          <w:sz w:val="20"/>
          <w:szCs w:val="20"/>
        </w:rPr>
        <w:t>c</w:t>
      </w:r>
      <w:r w:rsidR="00DE4908" w:rsidRPr="00D63801">
        <w:rPr>
          <w:rFonts w:ascii="Verdana" w:hAnsi="Verdana"/>
          <w:sz w:val="20"/>
          <w:szCs w:val="20"/>
        </w:rPr>
        <w:t>aja fuerte, un celular Bla</w:t>
      </w:r>
      <w:r w:rsidRPr="00D63801">
        <w:rPr>
          <w:rFonts w:ascii="Verdana" w:hAnsi="Verdana"/>
          <w:sz w:val="20"/>
          <w:szCs w:val="20"/>
        </w:rPr>
        <w:t>ckBerry, un anillo pequeño y $1’</w:t>
      </w:r>
      <w:r w:rsidR="00DE4908" w:rsidRPr="00D63801">
        <w:rPr>
          <w:rFonts w:ascii="Verdana" w:hAnsi="Verdana"/>
          <w:sz w:val="20"/>
          <w:szCs w:val="20"/>
        </w:rPr>
        <w:t>000.000</w:t>
      </w:r>
      <w:r w:rsidRPr="00D63801">
        <w:rPr>
          <w:rFonts w:ascii="Verdana" w:hAnsi="Verdana"/>
          <w:sz w:val="20"/>
          <w:szCs w:val="20"/>
        </w:rPr>
        <w:t>.oo</w:t>
      </w:r>
      <w:r w:rsidR="00DE4908" w:rsidRPr="00D63801">
        <w:rPr>
          <w:rFonts w:ascii="Verdana" w:hAnsi="Verdana"/>
          <w:sz w:val="20"/>
          <w:szCs w:val="20"/>
        </w:rPr>
        <w:t xml:space="preserve"> en efectivo-</w:t>
      </w:r>
      <w:r w:rsidR="00DE4908" w:rsidRPr="00D63801">
        <w:t xml:space="preserve"> </w:t>
      </w:r>
      <w:r w:rsidR="00FD59CC" w:rsidRPr="00D63801">
        <w:t>e</w:t>
      </w:r>
      <w:r w:rsidRPr="00D63801">
        <w:t>n la suma de $2’</w:t>
      </w:r>
      <w:r w:rsidR="00DE4908" w:rsidRPr="00D63801">
        <w:t>830.000</w:t>
      </w:r>
      <w:r w:rsidR="00880DC1" w:rsidRPr="00D63801">
        <w:t>.oo, e</w:t>
      </w:r>
      <w:r w:rsidRPr="00D63801">
        <w:t>s evidente que para llegar a</w:t>
      </w:r>
      <w:r w:rsidR="00DE4908" w:rsidRPr="00D63801">
        <w:t xml:space="preserve"> una tal conclusión la a quo efectuó el análisis pertinen</w:t>
      </w:r>
      <w:r w:rsidRPr="00D63801">
        <w:t>te de la situación fáctica que ser oponía a</w:t>
      </w:r>
      <w:r w:rsidR="001F37C3" w:rsidRPr="00D63801">
        <w:t xml:space="preserve"> </w:t>
      </w:r>
      <w:r w:rsidR="00DE4908" w:rsidRPr="00D63801">
        <w:t>lo referido por el perito,</w:t>
      </w:r>
      <w:r w:rsidRPr="00D63801">
        <w:t xml:space="preserve"> y ello se hizo</w:t>
      </w:r>
      <w:r w:rsidR="00DE4908" w:rsidRPr="00D63801">
        <w:t xml:space="preserve"> en</w:t>
      </w:r>
      <w:r w:rsidRPr="00D63801">
        <w:t xml:space="preserve"> uso del legítimo </w:t>
      </w:r>
      <w:r w:rsidR="00DE4908" w:rsidRPr="00D63801">
        <w:t>ejercicio de la función judicial de apreciación y valoración de la prueba</w:t>
      </w:r>
      <w:r w:rsidRPr="00D63801">
        <w:t>, tal cual a</w:t>
      </w:r>
      <w:r w:rsidR="00DE4908" w:rsidRPr="00D63801">
        <w:t>s</w:t>
      </w:r>
      <w:r w:rsidR="00844743" w:rsidRPr="00D63801">
        <w:t xml:space="preserve">í lo tiene sentado </w:t>
      </w:r>
      <w:r w:rsidRPr="00D63801">
        <w:t>la jurisprudencia. V</w:t>
      </w:r>
      <w:r w:rsidR="00DE4908" w:rsidRPr="00D63801">
        <w:t>éase:</w:t>
      </w:r>
    </w:p>
    <w:p w:rsidR="00FD59CC" w:rsidRPr="00D63801" w:rsidRDefault="00FD59CC" w:rsidP="00FD59CC">
      <w:pPr>
        <w:spacing w:line="240" w:lineRule="auto"/>
        <w:ind w:left="510" w:right="510"/>
        <w:rPr>
          <w:rFonts w:ascii="Verdana" w:hAnsi="Verdana"/>
          <w:sz w:val="20"/>
          <w:szCs w:val="20"/>
        </w:rPr>
      </w:pPr>
    </w:p>
    <w:p w:rsidR="00FD59CC" w:rsidRPr="00D63801" w:rsidRDefault="00FD59CC" w:rsidP="00FD59CC">
      <w:pPr>
        <w:tabs>
          <w:tab w:val="left" w:pos="900"/>
        </w:tabs>
        <w:spacing w:line="240" w:lineRule="auto"/>
        <w:ind w:left="510" w:right="510"/>
        <w:rPr>
          <w:rFonts w:ascii="Verdana" w:hAnsi="Verdana"/>
          <w:sz w:val="20"/>
          <w:szCs w:val="20"/>
        </w:rPr>
      </w:pPr>
      <w:r w:rsidRPr="00D63801">
        <w:rPr>
          <w:rFonts w:ascii="Verdana" w:hAnsi="Verdana"/>
          <w:sz w:val="20"/>
          <w:szCs w:val="20"/>
        </w:rPr>
        <w:t xml:space="preserve">“Es evidente que a pesar que la experticia está sometida a métodos particulares de contradicción como los antes explicados, no por ello el juez queda limitado para valorar el dictamen pericial como uno más de los medios de pruebas incorporados en el proceso.  En ese sentido, bien puede apartarse </w:t>
      </w:r>
      <w:r w:rsidRPr="00D63801">
        <w:rPr>
          <w:rFonts w:ascii="Verdana" w:hAnsi="Verdana"/>
          <w:sz w:val="20"/>
          <w:szCs w:val="20"/>
        </w:rPr>
        <w:lastRenderedPageBreak/>
        <w:t xml:space="preserve">el funcionario judicial de las conclusiones del dictamen, cuando concluyese, por supuesto de manera motivada, que la pericia no interpreta adecuadamente los hechos materia de análisis, o que sufre de algún otro vicio que le reste aptitud probatoria. A su vez, la libre apreciación de la prueba por parte del juez al momento de adoptar la decisión que ponga fin al proceso, también habilita a las partes para que en sus alegatos conclusivos analicen y cuestionen el contenido del dictamen, en aras de hacerlo compatible con la satisfacción de sus pretensiones.  </w:t>
      </w:r>
    </w:p>
    <w:p w:rsidR="00FD59CC" w:rsidRPr="00D63801" w:rsidRDefault="00FD59CC" w:rsidP="00FD59CC">
      <w:pPr>
        <w:tabs>
          <w:tab w:val="left" w:pos="900"/>
        </w:tabs>
        <w:spacing w:line="240" w:lineRule="auto"/>
        <w:ind w:left="510" w:right="510"/>
        <w:rPr>
          <w:rFonts w:ascii="Verdana" w:hAnsi="Verdana"/>
          <w:sz w:val="20"/>
          <w:szCs w:val="20"/>
        </w:rPr>
      </w:pPr>
    </w:p>
    <w:p w:rsidR="00FD59CC" w:rsidRPr="00D63801" w:rsidRDefault="00FD59CC" w:rsidP="00FD59CC">
      <w:pPr>
        <w:tabs>
          <w:tab w:val="left" w:pos="900"/>
        </w:tabs>
        <w:spacing w:line="240" w:lineRule="auto"/>
        <w:ind w:left="510" w:right="510"/>
        <w:rPr>
          <w:rFonts w:ascii="Verdana" w:hAnsi="Verdana"/>
          <w:sz w:val="20"/>
          <w:szCs w:val="20"/>
        </w:rPr>
      </w:pPr>
      <w:r w:rsidRPr="00D63801">
        <w:rPr>
          <w:rFonts w:ascii="Verdana" w:hAnsi="Verdana"/>
          <w:sz w:val="20"/>
          <w:szCs w:val="20"/>
        </w:rPr>
        <w:t>Existe, en este orden de ideas, un deber judicial de valoración autónoma del dictamen pericial, el cual no se agota con su evaluación a través de los mecanismos de aclaración, adición y objeción antes descritos. Al respecto, la Sala de Casación Civil de la Corte Suprema ha señalado</w:t>
      </w:r>
      <w:r w:rsidRPr="00D63801">
        <w:rPr>
          <w:rFonts w:ascii="Verdana" w:hAnsi="Verdana"/>
          <w:sz w:val="20"/>
          <w:szCs w:val="20"/>
          <w:vertAlign w:val="superscript"/>
        </w:rPr>
        <w:footnoteReference w:id="3"/>
      </w:r>
      <w:r w:rsidRPr="00D63801">
        <w:rPr>
          <w:rFonts w:ascii="Verdana" w:hAnsi="Verdana"/>
          <w:sz w:val="20"/>
          <w:szCs w:val="20"/>
        </w:rPr>
        <w:t xml:space="preserve"> que </w:t>
      </w:r>
      <w:r w:rsidRPr="00D63801">
        <w:rPr>
          <w:rFonts w:ascii="Verdana" w:hAnsi="Verdana"/>
          <w:i/>
          <w:sz w:val="20"/>
          <w:szCs w:val="20"/>
        </w:rPr>
        <w:t xml:space="preserve">“… la peritación únicamente “es procedente para verificar hechos que interesan al proceso y requieran especiales conocimientos científicos, técnicos o artísticos”, no para que suplan al Juez en la tarea de ponderar las pruebas, siendo claro, en adición, que “el sentenciador de instancia goza de autonomía para calificar y apreciar la firmeza, precisión y calidad de los fundamentos del dictamen pericial, </w:t>
      </w:r>
      <w:r w:rsidRPr="00D63801">
        <w:rPr>
          <w:rFonts w:ascii="Verdana" w:hAnsi="Verdana"/>
          <w:sz w:val="20"/>
          <w:szCs w:val="20"/>
        </w:rPr>
        <w:t xml:space="preserve">(…) </w:t>
      </w:r>
      <w:r w:rsidRPr="00D63801">
        <w:rPr>
          <w:rFonts w:ascii="Verdana" w:hAnsi="Verdana"/>
          <w:i/>
          <w:sz w:val="20"/>
          <w:szCs w:val="20"/>
        </w:rPr>
        <w:t>mientras que la conclusión que él saque no sea contraevidente, sus juicios al respecto son inmodificables.”</w:t>
      </w:r>
      <w:r w:rsidRPr="00D63801">
        <w:rPr>
          <w:rFonts w:ascii="Verdana" w:hAnsi="Verdana"/>
          <w:i/>
          <w:sz w:val="20"/>
          <w:szCs w:val="20"/>
          <w:vertAlign w:val="superscript"/>
        </w:rPr>
        <w:footnoteReference w:id="4"/>
      </w:r>
      <w:r w:rsidRPr="00D63801">
        <w:rPr>
          <w:rFonts w:ascii="Verdana" w:hAnsi="Verdana"/>
          <w:i/>
          <w:sz w:val="20"/>
          <w:szCs w:val="20"/>
        </w:rPr>
        <w:t>”</w:t>
      </w:r>
      <w:r w:rsidRPr="00D63801">
        <w:rPr>
          <w:rFonts w:ascii="Verdana" w:hAnsi="Verdana"/>
          <w:sz w:val="20"/>
          <w:szCs w:val="20"/>
          <w:vertAlign w:val="superscript"/>
        </w:rPr>
        <w:t xml:space="preserve"> </w:t>
      </w:r>
      <w:r w:rsidRPr="00D63801">
        <w:rPr>
          <w:rFonts w:ascii="Verdana" w:hAnsi="Verdana"/>
          <w:sz w:val="20"/>
          <w:szCs w:val="20"/>
          <w:vertAlign w:val="superscript"/>
        </w:rPr>
        <w:footnoteReference w:id="5"/>
      </w:r>
    </w:p>
    <w:p w:rsidR="00880DC1" w:rsidRPr="00D63801" w:rsidRDefault="00880DC1" w:rsidP="00A92618"/>
    <w:p w:rsidR="00A92618" w:rsidRPr="00D63801" w:rsidRDefault="00DE4908" w:rsidP="00A92618">
      <w:r w:rsidRPr="00D63801">
        <w:t>En ese orden de ideas, y contrario a lo referido por el profesional del derecho</w:t>
      </w:r>
      <w:r w:rsidR="00A92618" w:rsidRPr="00D63801">
        <w:t xml:space="preserve"> inconforme</w:t>
      </w:r>
      <w:r w:rsidRPr="00D63801">
        <w:t xml:space="preserve">, </w:t>
      </w:r>
      <w:r w:rsidR="00A92618" w:rsidRPr="00D63801">
        <w:t xml:space="preserve">tampoco se observa </w:t>
      </w:r>
      <w:r w:rsidRPr="00D63801">
        <w:t xml:space="preserve">irregularidad </w:t>
      </w:r>
      <w:r w:rsidR="00A92618" w:rsidRPr="00D63801">
        <w:t xml:space="preserve">alguna </w:t>
      </w:r>
      <w:r w:rsidRPr="00D63801">
        <w:t xml:space="preserve">en punto del desarrollo de esa </w:t>
      </w:r>
      <w:r w:rsidR="007A57E7" w:rsidRPr="00D63801">
        <w:t xml:space="preserve">específica </w:t>
      </w:r>
      <w:r w:rsidRPr="00D63801">
        <w:t>audiencia.</w:t>
      </w:r>
    </w:p>
    <w:p w:rsidR="00A92618" w:rsidRPr="00D63801" w:rsidRDefault="00A92618" w:rsidP="00A92618"/>
    <w:p w:rsidR="00A92618" w:rsidRPr="00D63801" w:rsidRDefault="007A57E7" w:rsidP="007A57E7">
      <w:r w:rsidRPr="00D63801">
        <w:rPr>
          <w:rFonts w:cs="Tahoma"/>
        </w:rPr>
        <w:t>Por lo anterior y al considerar</w:t>
      </w:r>
      <w:r w:rsidR="00A92618" w:rsidRPr="00D63801">
        <w:rPr>
          <w:rFonts w:cs="Tahoma"/>
        </w:rPr>
        <w:t>se</w:t>
      </w:r>
      <w:r w:rsidRPr="00D63801">
        <w:rPr>
          <w:rFonts w:cs="Tahoma"/>
        </w:rPr>
        <w:t xml:space="preserve"> que la decisión adoptada por la funcionaria de primer nivel se encuentra ajustada a derecho, se acom</w:t>
      </w:r>
      <w:r w:rsidR="00A92618" w:rsidRPr="00D63801">
        <w:rPr>
          <w:rFonts w:cs="Tahoma"/>
        </w:rPr>
        <w:t>pañará la sentencia emitida en esos términos</w:t>
      </w:r>
      <w:r w:rsidRPr="00D63801">
        <w:rPr>
          <w:rFonts w:cs="Tahoma"/>
        </w:rPr>
        <w:t>.</w:t>
      </w:r>
    </w:p>
    <w:p w:rsidR="00A92618" w:rsidRPr="00D63801" w:rsidRDefault="00A92618" w:rsidP="007A57E7"/>
    <w:p w:rsidR="005654F9" w:rsidRPr="00D63801" w:rsidRDefault="009126DC" w:rsidP="00A92618">
      <w:r w:rsidRPr="00D63801">
        <w:rPr>
          <w:rFonts w:cs="Tahoma"/>
        </w:rPr>
        <w:t>E</w:t>
      </w:r>
      <w:r w:rsidR="00825182" w:rsidRPr="00D63801">
        <w:rPr>
          <w:rFonts w:cs="Tahoma"/>
        </w:rPr>
        <w:t xml:space="preserve">n mérito de lo expuesto, el Tribunal Superior del Distrito Judicial de Pereira (Rda.), Sala de Decisión Penal, administrando justicia en nombre de la República y por autoridad de la ley, </w:t>
      </w:r>
      <w:r w:rsidR="00825182" w:rsidRPr="00D63801">
        <w:rPr>
          <w:rFonts w:cs="Tahoma"/>
          <w:b/>
          <w:sz w:val="22"/>
          <w:szCs w:val="22"/>
        </w:rPr>
        <w:t>CONFIRM</w:t>
      </w:r>
      <w:r w:rsidR="009A3C63" w:rsidRPr="00D63801">
        <w:rPr>
          <w:rFonts w:cs="Tahoma"/>
          <w:b/>
          <w:sz w:val="22"/>
          <w:szCs w:val="22"/>
        </w:rPr>
        <w:t>A</w:t>
      </w:r>
      <w:r w:rsidR="009A3C63" w:rsidRPr="00D63801">
        <w:rPr>
          <w:rFonts w:cs="Tahoma"/>
          <w:b/>
        </w:rPr>
        <w:t xml:space="preserve"> </w:t>
      </w:r>
      <w:r w:rsidR="00825182" w:rsidRPr="00D63801">
        <w:rPr>
          <w:rFonts w:cs="Tahoma"/>
        </w:rPr>
        <w:t xml:space="preserve">el fallo </w:t>
      </w:r>
      <w:r w:rsidR="007A57E7" w:rsidRPr="00D63801">
        <w:t xml:space="preserve">condenatorio objeto de recurso, </w:t>
      </w:r>
      <w:r w:rsidR="00A92618" w:rsidRPr="00D63801">
        <w:t xml:space="preserve">el que fue </w:t>
      </w:r>
      <w:r w:rsidR="007A57E7" w:rsidRPr="00D63801">
        <w:t xml:space="preserve">proferido por el Juzgado Penal Municipal con función de conocimiento de Santa Rosa de Cabal (Rda.) en </w:t>
      </w:r>
      <w:r w:rsidR="005654F9" w:rsidRPr="00D63801">
        <w:t>contra del ciudadano</w:t>
      </w:r>
      <w:r w:rsidR="007A57E7" w:rsidRPr="00D63801">
        <w:t xml:space="preserve"> </w:t>
      </w:r>
      <w:r w:rsidR="007A57E7" w:rsidRPr="00D63801">
        <w:rPr>
          <w:b/>
          <w:sz w:val="22"/>
          <w:szCs w:val="22"/>
        </w:rPr>
        <w:t xml:space="preserve">JOSÉ DE JESÚS LARGO LÓPEZ </w:t>
      </w:r>
      <w:r w:rsidR="007A57E7" w:rsidRPr="00D63801">
        <w:t>por el delito de hurto calificado y agravado.</w:t>
      </w:r>
    </w:p>
    <w:p w:rsidR="00556860" w:rsidRPr="00D63801" w:rsidRDefault="00556860" w:rsidP="00A92618"/>
    <w:p w:rsidR="00825182" w:rsidRPr="00D63801" w:rsidRDefault="00825182" w:rsidP="00263CD9">
      <w:pPr>
        <w:pStyle w:val="Textosinformato"/>
        <w:tabs>
          <w:tab w:val="left" w:pos="8080"/>
        </w:tabs>
        <w:spacing w:after="120" w:line="360" w:lineRule="auto"/>
        <w:ind w:right="-91"/>
        <w:jc w:val="both"/>
        <w:rPr>
          <w:rFonts w:ascii="Tahoma" w:hAnsi="Tahoma" w:cs="Tahoma"/>
          <w:bCs/>
          <w:sz w:val="26"/>
          <w:szCs w:val="26"/>
          <w:lang w:val="es-CO"/>
        </w:rPr>
      </w:pPr>
      <w:r w:rsidRPr="00D63801">
        <w:rPr>
          <w:rFonts w:ascii="Tahoma" w:hAnsi="Tahoma" w:cs="Tahoma"/>
          <w:sz w:val="26"/>
          <w:szCs w:val="26"/>
        </w:rPr>
        <w:lastRenderedPageBreak/>
        <w:t xml:space="preserve">Esta </w:t>
      </w:r>
      <w:r w:rsidR="00A42246" w:rsidRPr="00D63801">
        <w:rPr>
          <w:rFonts w:ascii="Tahoma" w:hAnsi="Tahoma" w:cs="Tahoma"/>
          <w:sz w:val="26"/>
          <w:szCs w:val="26"/>
        </w:rPr>
        <w:t xml:space="preserve">providencia </w:t>
      </w:r>
      <w:r w:rsidRPr="00D63801">
        <w:rPr>
          <w:rFonts w:ascii="Tahoma" w:hAnsi="Tahoma" w:cs="Tahoma"/>
          <w:sz w:val="26"/>
          <w:szCs w:val="26"/>
        </w:rPr>
        <w:t>queda notificada en estrados y contra ella procede el recurso extraordinario de casación que de interponerse habrá de hacerse dentro del término de ley.</w:t>
      </w:r>
    </w:p>
    <w:p w:rsidR="00825182" w:rsidRPr="00D63801" w:rsidRDefault="00825182" w:rsidP="00825182"/>
    <w:p w:rsidR="00825182" w:rsidRPr="00D63801" w:rsidRDefault="00825182" w:rsidP="00825182">
      <w:r w:rsidRPr="00D63801">
        <w:t xml:space="preserve">Los Magistrados, </w:t>
      </w:r>
    </w:p>
    <w:p w:rsidR="00825182" w:rsidRPr="00D63801" w:rsidRDefault="00825182" w:rsidP="00825182">
      <w:pPr>
        <w:rPr>
          <w:lang w:val="es-ES_tradnl"/>
        </w:rPr>
      </w:pPr>
    </w:p>
    <w:p w:rsidR="00465100" w:rsidRPr="00D63801" w:rsidRDefault="00465100" w:rsidP="00825182">
      <w:pPr>
        <w:rPr>
          <w:lang w:val="es-ES_tradnl"/>
        </w:rPr>
      </w:pPr>
    </w:p>
    <w:p w:rsidR="00825182" w:rsidRPr="00D63801" w:rsidRDefault="00825182" w:rsidP="00825182">
      <w:pPr>
        <w:rPr>
          <w:lang w:val="es-ES_tradnl"/>
        </w:rPr>
      </w:pPr>
      <w:r w:rsidRPr="00D63801">
        <w:rPr>
          <w:lang w:val="es-ES_tradnl"/>
        </w:rPr>
        <w:t>JORGE ARTURO CASTAÑO DUQUE</w:t>
      </w:r>
      <w:r w:rsidRPr="00D63801">
        <w:rPr>
          <w:lang w:val="es-ES_tradnl"/>
        </w:rPr>
        <w:tab/>
        <w:t xml:space="preserve">         JAIRO ERNESTO ESCOBAR SANZ</w:t>
      </w:r>
    </w:p>
    <w:p w:rsidR="00825182" w:rsidRPr="00D63801" w:rsidRDefault="00825182" w:rsidP="00825182">
      <w:pPr>
        <w:rPr>
          <w:lang w:val="es-ES_tradnl"/>
        </w:rPr>
      </w:pPr>
    </w:p>
    <w:p w:rsidR="00465100" w:rsidRPr="00D63801" w:rsidRDefault="00465100" w:rsidP="00825182">
      <w:pPr>
        <w:rPr>
          <w:lang w:val="es-ES_tradnl"/>
        </w:rPr>
      </w:pPr>
    </w:p>
    <w:p w:rsidR="00465100" w:rsidRPr="00D63801" w:rsidRDefault="00465100" w:rsidP="00825182">
      <w:pPr>
        <w:rPr>
          <w:lang w:val="es-ES_tradnl"/>
        </w:rPr>
      </w:pPr>
    </w:p>
    <w:p w:rsidR="00825182" w:rsidRPr="00D63801" w:rsidRDefault="00825182" w:rsidP="00825182">
      <w:pPr>
        <w:jc w:val="center"/>
        <w:rPr>
          <w:lang w:val="es-ES_tradnl"/>
        </w:rPr>
      </w:pPr>
      <w:r w:rsidRPr="00D63801">
        <w:rPr>
          <w:lang w:val="es-ES_tradnl"/>
        </w:rPr>
        <w:t xml:space="preserve">MANUEL </w:t>
      </w:r>
      <w:proofErr w:type="spellStart"/>
      <w:r w:rsidRPr="00D63801">
        <w:rPr>
          <w:lang w:val="es-ES_tradnl"/>
        </w:rPr>
        <w:t>YARZAGARAY</w:t>
      </w:r>
      <w:proofErr w:type="spellEnd"/>
      <w:r w:rsidRPr="00D63801">
        <w:rPr>
          <w:lang w:val="es-ES_tradnl"/>
        </w:rPr>
        <w:t xml:space="preserve"> BANDERA</w:t>
      </w:r>
    </w:p>
    <w:p w:rsidR="00465100" w:rsidRPr="00D63801" w:rsidRDefault="00465100" w:rsidP="00825182"/>
    <w:p w:rsidR="00825182" w:rsidRPr="00D63801" w:rsidRDefault="005654F9" w:rsidP="00825182">
      <w:r w:rsidRPr="00D63801">
        <w:t>El</w:t>
      </w:r>
      <w:r w:rsidR="00825182" w:rsidRPr="00D63801">
        <w:t xml:space="preserve"> Secretari</w:t>
      </w:r>
      <w:r w:rsidRPr="00D63801">
        <w:t>o</w:t>
      </w:r>
      <w:r w:rsidR="00825182" w:rsidRPr="00D63801">
        <w:t xml:space="preserve"> de la Sala,</w:t>
      </w:r>
    </w:p>
    <w:p w:rsidR="00465100" w:rsidRPr="00D63801" w:rsidRDefault="00465100" w:rsidP="00825182">
      <w:pPr>
        <w:jc w:val="center"/>
        <w:rPr>
          <w:lang w:val="es-ES_tradnl"/>
        </w:rPr>
      </w:pPr>
    </w:p>
    <w:p w:rsidR="00F909A1" w:rsidRPr="00556860" w:rsidRDefault="005654F9" w:rsidP="00825182">
      <w:pPr>
        <w:jc w:val="center"/>
      </w:pPr>
      <w:r w:rsidRPr="00D63801">
        <w:rPr>
          <w:lang w:val="es-ES_tradnl"/>
        </w:rPr>
        <w:t>WILSON FREDY LÓPEZ</w:t>
      </w:r>
    </w:p>
    <w:sectPr w:rsidR="00F909A1" w:rsidRPr="00556860" w:rsidSect="00556860">
      <w:headerReference w:type="default" r:id="rId9"/>
      <w:footerReference w:type="default" r:id="rId10"/>
      <w:pgSz w:w="12242" w:h="18705" w:code="120"/>
      <w:pgMar w:top="2552" w:right="1701" w:bottom="1304" w:left="1701"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B96" w:rsidRDefault="009A3B96" w:rsidP="00F13C87">
      <w:pPr>
        <w:spacing w:line="240" w:lineRule="auto"/>
      </w:pPr>
      <w:r>
        <w:separator/>
      </w:r>
    </w:p>
  </w:endnote>
  <w:endnote w:type="continuationSeparator" w:id="0">
    <w:p w:rsidR="009A3B96" w:rsidRDefault="009A3B96"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36" w:rsidRDefault="00A53336">
    <w:pPr>
      <w:pStyle w:val="Piedepgina"/>
    </w:pPr>
  </w:p>
  <w:p w:rsidR="005B6276" w:rsidRDefault="005B6276">
    <w:pPr>
      <w:pStyle w:val="Piedepgina"/>
    </w:pPr>
    <w:r>
      <w:t xml:space="preserve">Página </w:t>
    </w:r>
    <w:r>
      <w:fldChar w:fldCharType="begin"/>
    </w:r>
    <w:r>
      <w:instrText xml:space="preserve"> PAGE </w:instrText>
    </w:r>
    <w:r>
      <w:fldChar w:fldCharType="separate"/>
    </w:r>
    <w:r w:rsidR="00962822">
      <w:rPr>
        <w:noProof/>
      </w:rPr>
      <w:t>1</w:t>
    </w:r>
    <w:r>
      <w:fldChar w:fldCharType="end"/>
    </w:r>
    <w:r>
      <w:t xml:space="preserve"> de </w:t>
    </w:r>
    <w:r>
      <w:fldChar w:fldCharType="begin"/>
    </w:r>
    <w:r>
      <w:instrText xml:space="preserve"> NUMPAGES </w:instrText>
    </w:r>
    <w:r>
      <w:fldChar w:fldCharType="separate"/>
    </w:r>
    <w:r w:rsidR="00962822">
      <w:rPr>
        <w:noProof/>
      </w:rPr>
      <w:t>14</w:t>
    </w:r>
    <w:r>
      <w:fldChar w:fldCharType="end"/>
    </w:r>
  </w:p>
  <w:p w:rsidR="00A53336" w:rsidRDefault="00A533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B96" w:rsidRDefault="009A3B96" w:rsidP="00F13C87">
      <w:pPr>
        <w:spacing w:line="240" w:lineRule="auto"/>
      </w:pPr>
      <w:r>
        <w:separator/>
      </w:r>
    </w:p>
  </w:footnote>
  <w:footnote w:type="continuationSeparator" w:id="0">
    <w:p w:rsidR="009A3B96" w:rsidRDefault="009A3B96" w:rsidP="00F13C87">
      <w:pPr>
        <w:spacing w:line="240" w:lineRule="auto"/>
      </w:pPr>
      <w:r>
        <w:continuationSeparator/>
      </w:r>
    </w:p>
  </w:footnote>
  <w:footnote w:id="1">
    <w:p w:rsidR="00A82534" w:rsidRDefault="00A82534" w:rsidP="00A82534">
      <w:pPr>
        <w:pStyle w:val="Textonotapie"/>
      </w:pPr>
      <w:r>
        <w:rPr>
          <w:vertAlign w:val="superscript"/>
        </w:rPr>
        <w:footnoteRef/>
      </w:r>
      <w:r w:rsidR="007A57E7">
        <w:t xml:space="preserve"> </w:t>
      </w:r>
      <w:r w:rsidR="007A57E7" w:rsidRPr="007A57E7">
        <w:rPr>
          <w:b/>
          <w:sz w:val="18"/>
          <w:szCs w:val="18"/>
        </w:rPr>
        <w:t>“</w:t>
      </w:r>
      <w:r w:rsidRPr="007A57E7">
        <w:rPr>
          <w:b/>
          <w:sz w:val="18"/>
          <w:szCs w:val="18"/>
        </w:rPr>
        <w:t>Oralidad</w:t>
      </w:r>
      <w:r>
        <w:t>. La actuación procesal será oral y en su realización se utilizarán los medios técnicos disponibl</w:t>
      </w:r>
      <w:r w:rsidR="007A57E7">
        <w:t>es que permitan imprimirle mayor agilidad y fidelidad, sin perjuicio de conservar el registro de lo acontecido, A estos efectos se dejará la constancia de la actuación”.</w:t>
      </w:r>
    </w:p>
  </w:footnote>
  <w:footnote w:id="2">
    <w:p w:rsidR="007A57E7" w:rsidRDefault="007A57E7" w:rsidP="007A57E7">
      <w:pPr>
        <w:pStyle w:val="Textonotapie"/>
      </w:pPr>
      <w:r w:rsidRPr="007A57E7">
        <w:footnoteRef/>
      </w:r>
      <w:r>
        <w:t xml:space="preserve"> </w:t>
      </w:r>
      <w:r w:rsidRPr="007A57E7">
        <w:t>“</w:t>
      </w:r>
      <w:r w:rsidRPr="007A57E7">
        <w:rPr>
          <w:b/>
          <w:sz w:val="18"/>
          <w:szCs w:val="18"/>
        </w:rPr>
        <w:t>Registro de la actuación</w:t>
      </w:r>
      <w:r w:rsidRPr="007A57E7">
        <w:t>. Se dispondrá el empleo de los medios técnicos idóneos para el registro y reproducción fidedignos de lo actuado […] 3. En las audiencias ante el juez de conocim</w:t>
      </w:r>
      <w:r>
        <w:t>iento […]</w:t>
      </w:r>
      <w:r w:rsidR="001F37C3">
        <w:t xml:space="preserve"> </w:t>
      </w:r>
      <w:r w:rsidRPr="007A57E7">
        <w:t>deberá realizarse una reproducción de seguridad con el medio técnico más idóneo posible, la cual solo se incorporará a la actuación para el trámite de los recursos consagrados en este código</w:t>
      </w:r>
      <w:r>
        <w:t xml:space="preserve"> […]”</w:t>
      </w:r>
    </w:p>
  </w:footnote>
  <w:footnote w:id="3">
    <w:p w:rsidR="00FD59CC" w:rsidRPr="00844743" w:rsidRDefault="00FD59CC" w:rsidP="00FD59CC">
      <w:pPr>
        <w:pStyle w:val="Textonotapie"/>
      </w:pPr>
      <w:r>
        <w:rPr>
          <w:vertAlign w:val="superscript"/>
        </w:rPr>
        <w:footnoteRef/>
      </w:r>
      <w:r>
        <w:t xml:space="preserve"> </w:t>
      </w:r>
      <w:r w:rsidRPr="00844743">
        <w:rPr>
          <w:lang w:val="es-CO"/>
        </w:rPr>
        <w:t xml:space="preserve">Las citas jurisprudenciales expuestas en este apartado son tomadas de PEÑA </w:t>
      </w:r>
      <w:proofErr w:type="spellStart"/>
      <w:r w:rsidRPr="00844743">
        <w:rPr>
          <w:lang w:val="es-CO"/>
        </w:rPr>
        <w:t>AYAZO</w:t>
      </w:r>
      <w:proofErr w:type="spellEnd"/>
      <w:r w:rsidRPr="00844743">
        <w:rPr>
          <w:lang w:val="es-CO"/>
        </w:rPr>
        <w:t>, Jairo Iván. Prueba Judicial. Análisis y valoración.  Escuela Judicial Rodrigo Lara Bonilla.  Bogotá. 2008. pp. 180-185.</w:t>
      </w:r>
    </w:p>
  </w:footnote>
  <w:footnote w:id="4">
    <w:p w:rsidR="00FD59CC" w:rsidRDefault="00FD59CC" w:rsidP="00FD59CC">
      <w:pPr>
        <w:pStyle w:val="Textonotapie"/>
      </w:pPr>
      <w:r w:rsidRPr="00844743">
        <w:rPr>
          <w:vertAlign w:val="superscript"/>
        </w:rPr>
        <w:footnoteRef/>
      </w:r>
      <w:r w:rsidRPr="00844743">
        <w:t xml:space="preserve"> </w:t>
      </w:r>
      <w:r w:rsidRPr="00844743">
        <w:rPr>
          <w:lang w:val="es-CO"/>
        </w:rPr>
        <w:t xml:space="preserve">Corte Suprema de Justicia.  Sala de Casación Civil.  Sentencia del 29 de abril de 2005.  </w:t>
      </w:r>
      <w:proofErr w:type="spellStart"/>
      <w:r w:rsidRPr="00844743">
        <w:rPr>
          <w:lang w:val="es-CO"/>
        </w:rPr>
        <w:t>M.P</w:t>
      </w:r>
      <w:proofErr w:type="spellEnd"/>
      <w:r w:rsidRPr="00844743">
        <w:rPr>
          <w:lang w:val="es-CO"/>
        </w:rPr>
        <w:t>. Carlos Ignacio Jaramillo</w:t>
      </w:r>
      <w:r>
        <w:rPr>
          <w:lang w:val="es-CO"/>
        </w:rPr>
        <w:t xml:space="preserve">. </w:t>
      </w:r>
    </w:p>
  </w:footnote>
  <w:footnote w:id="5">
    <w:p w:rsidR="00FD59CC" w:rsidRDefault="00FD59CC" w:rsidP="00FD59CC">
      <w:pPr>
        <w:pStyle w:val="Textonotapie"/>
      </w:pPr>
      <w:r>
        <w:rPr>
          <w:vertAlign w:val="superscript"/>
        </w:rPr>
        <w:footnoteRef/>
      </w:r>
      <w:r>
        <w:t xml:space="preserve"> </w:t>
      </w:r>
      <w:r>
        <w:rPr>
          <w:lang w:val="es-CO"/>
        </w:rPr>
        <w:t>Corte Constitucional, Sentencia C-124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276" w:rsidRPr="000F4565" w:rsidRDefault="00AD238B" w:rsidP="007575ED">
    <w:pPr>
      <w:pStyle w:val="Encabezado"/>
      <w:spacing w:line="240" w:lineRule="auto"/>
      <w:jc w:val="right"/>
      <w:rPr>
        <w:rFonts w:ascii="Courier New" w:hAnsi="Courier New" w:cs="Courier New"/>
        <w:sz w:val="16"/>
        <w:szCs w:val="16"/>
        <w:lang w:val="es-MX"/>
      </w:rPr>
    </w:pPr>
    <w:r>
      <w:rPr>
        <w:rFonts w:ascii="Courier New" w:hAnsi="Courier New" w:cs="Courier New"/>
        <w:sz w:val="16"/>
        <w:szCs w:val="16"/>
      </w:rPr>
      <w:t xml:space="preserve">HURTO CALIFICADO Y </w:t>
    </w:r>
    <w:r w:rsidR="007D3ADD">
      <w:rPr>
        <w:rFonts w:ascii="Courier New" w:hAnsi="Courier New" w:cs="Courier New"/>
        <w:sz w:val="16"/>
        <w:szCs w:val="16"/>
      </w:rPr>
      <w:t xml:space="preserve">AGRAVADO </w:t>
    </w:r>
  </w:p>
  <w:p w:rsidR="007D3ADD" w:rsidRDefault="005B6276" w:rsidP="007575ED">
    <w:pPr>
      <w:pStyle w:val="Encabezado"/>
      <w:spacing w:line="240" w:lineRule="auto"/>
      <w:jc w:val="right"/>
      <w:rPr>
        <w:rFonts w:ascii="Courier New" w:hAnsi="Courier New"/>
        <w:sz w:val="16"/>
        <w:lang w:val="es-MX"/>
      </w:rPr>
    </w:pPr>
    <w:r>
      <w:rPr>
        <w:rFonts w:ascii="Courier New" w:hAnsi="Courier New"/>
        <w:sz w:val="16"/>
        <w:lang w:val="es-MX"/>
      </w:rPr>
      <w:t>RADICACIÓN</w:t>
    </w:r>
    <w:proofErr w:type="gramStart"/>
    <w:r>
      <w:rPr>
        <w:rFonts w:ascii="Courier New" w:hAnsi="Courier New"/>
        <w:sz w:val="16"/>
        <w:lang w:val="es-MX"/>
      </w:rPr>
      <w:t>:</w:t>
    </w:r>
    <w:r w:rsidR="00AD238B">
      <w:rPr>
        <w:rFonts w:ascii="Courier New" w:hAnsi="Courier New"/>
        <w:sz w:val="16"/>
        <w:lang w:val="es-MX"/>
      </w:rPr>
      <w:t>666826000065201100919</w:t>
    </w:r>
    <w:proofErr w:type="gramEnd"/>
    <w:r w:rsidR="007D3ADD">
      <w:rPr>
        <w:rFonts w:ascii="Courier New" w:hAnsi="Courier New"/>
        <w:sz w:val="16"/>
        <w:lang w:val="es-MX"/>
      </w:rPr>
      <w:t>-01</w:t>
    </w:r>
  </w:p>
  <w:p w:rsidR="005B6276" w:rsidRDefault="005B6276" w:rsidP="007575ED">
    <w:pPr>
      <w:pStyle w:val="Encabezado"/>
      <w:spacing w:line="240" w:lineRule="auto"/>
      <w:jc w:val="right"/>
      <w:rPr>
        <w:rFonts w:ascii="Courier New" w:hAnsi="Courier New"/>
        <w:sz w:val="16"/>
        <w:lang w:val="es-MX"/>
      </w:rPr>
    </w:pPr>
    <w:proofErr w:type="spellStart"/>
    <w:r>
      <w:rPr>
        <w:rFonts w:ascii="Courier New" w:hAnsi="Courier New"/>
        <w:sz w:val="16"/>
        <w:lang w:val="es-MX"/>
      </w:rPr>
      <w:t>PROCESAD</w:t>
    </w:r>
    <w:r w:rsidR="007D3ADD">
      <w:rPr>
        <w:rFonts w:ascii="Courier New" w:hAnsi="Courier New"/>
        <w:sz w:val="16"/>
        <w:lang w:val="es-MX"/>
      </w:rPr>
      <w:t>O</w:t>
    </w:r>
    <w:proofErr w:type="gramStart"/>
    <w:r w:rsidR="00615274">
      <w:rPr>
        <w:rFonts w:ascii="Courier New" w:hAnsi="Courier New"/>
        <w:sz w:val="16"/>
        <w:lang w:val="es-MX"/>
      </w:rPr>
      <w:t>:</w:t>
    </w:r>
    <w:r w:rsidR="00AD238B">
      <w:rPr>
        <w:rFonts w:ascii="Courier New" w:hAnsi="Courier New"/>
        <w:sz w:val="16"/>
        <w:lang w:val="es-MX"/>
      </w:rPr>
      <w:t>JOSÉ</w:t>
    </w:r>
    <w:proofErr w:type="spellEnd"/>
    <w:proofErr w:type="gramEnd"/>
    <w:r w:rsidR="00AD238B">
      <w:rPr>
        <w:rFonts w:ascii="Courier New" w:hAnsi="Courier New"/>
        <w:sz w:val="16"/>
        <w:lang w:val="es-MX"/>
      </w:rPr>
      <w:t xml:space="preserve"> </w:t>
    </w:r>
    <w:r w:rsidR="00615274">
      <w:rPr>
        <w:rFonts w:ascii="Courier New" w:hAnsi="Courier New"/>
        <w:sz w:val="16"/>
        <w:lang w:val="es-MX"/>
      </w:rPr>
      <w:t xml:space="preserve">DE </w:t>
    </w:r>
    <w:r w:rsidR="00AD238B">
      <w:rPr>
        <w:rFonts w:ascii="Courier New" w:hAnsi="Courier New"/>
        <w:sz w:val="16"/>
        <w:lang w:val="es-MX"/>
      </w:rPr>
      <w:t>JESÚS LARGO LÓPEZ</w:t>
    </w:r>
  </w:p>
  <w:p w:rsidR="005B6276" w:rsidRDefault="0067669F" w:rsidP="007575ED">
    <w:pPr>
      <w:pStyle w:val="Encabezado"/>
      <w:spacing w:line="240" w:lineRule="auto"/>
      <w:jc w:val="right"/>
      <w:rPr>
        <w:rFonts w:ascii="Courier New" w:hAnsi="Courier New"/>
        <w:sz w:val="16"/>
        <w:lang w:val="es-MX"/>
      </w:rPr>
    </w:pPr>
    <w:r>
      <w:rPr>
        <w:rFonts w:ascii="Courier New" w:hAnsi="Courier New"/>
        <w:sz w:val="16"/>
        <w:lang w:val="es-MX"/>
      </w:rPr>
      <w:t xml:space="preserve">SE </w:t>
    </w:r>
    <w:r w:rsidR="005B6276">
      <w:rPr>
        <w:rFonts w:ascii="Courier New" w:hAnsi="Courier New"/>
        <w:sz w:val="16"/>
        <w:lang w:val="es-MX"/>
      </w:rPr>
      <w:t>CONFIRMA</w:t>
    </w:r>
    <w:r w:rsidR="00AD238B">
      <w:rPr>
        <w:rFonts w:ascii="Courier New" w:hAnsi="Courier New"/>
        <w:sz w:val="16"/>
        <w:lang w:val="es-MX"/>
      </w:rPr>
      <w:t xml:space="preserve"> </w:t>
    </w:r>
  </w:p>
  <w:p w:rsidR="005B6276" w:rsidRDefault="005B6276" w:rsidP="002932EB">
    <w:pPr>
      <w:pStyle w:val="Encabezado"/>
      <w:spacing w:line="240" w:lineRule="auto"/>
      <w:jc w:val="right"/>
      <w:rPr>
        <w:rFonts w:ascii="Courier New" w:hAnsi="Courier New"/>
        <w:sz w:val="16"/>
        <w:lang w:val="es-MX"/>
      </w:rPr>
    </w:pPr>
    <w:r>
      <w:rPr>
        <w:rFonts w:ascii="Courier New" w:hAnsi="Courier New"/>
        <w:sz w:val="16"/>
        <w:lang w:val="es-MX"/>
      </w:rPr>
      <w:t>S. N°</w:t>
    </w:r>
    <w:r w:rsidR="00556860">
      <w:rPr>
        <w:rFonts w:ascii="Courier New" w:hAnsi="Courier New"/>
        <w:sz w:val="16"/>
        <w:lang w:val="es-MX"/>
      </w:rPr>
      <w:t>041</w:t>
    </w:r>
  </w:p>
  <w:p w:rsidR="005B6276" w:rsidRDefault="005B6276" w:rsidP="007575ED">
    <w:pPr>
      <w:pStyle w:val="Encabezado"/>
      <w:spacing w:line="240" w:lineRule="auto"/>
      <w:jc w:val="right"/>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87"/>
    <w:rsid w:val="0001037D"/>
    <w:rsid w:val="00011C76"/>
    <w:rsid w:val="000147C2"/>
    <w:rsid w:val="000402EC"/>
    <w:rsid w:val="00040FBA"/>
    <w:rsid w:val="00045181"/>
    <w:rsid w:val="000515E3"/>
    <w:rsid w:val="0005391B"/>
    <w:rsid w:val="000613B9"/>
    <w:rsid w:val="00070AEE"/>
    <w:rsid w:val="00075611"/>
    <w:rsid w:val="00097041"/>
    <w:rsid w:val="000A49CB"/>
    <w:rsid w:val="000A618B"/>
    <w:rsid w:val="000A684F"/>
    <w:rsid w:val="000A7F5F"/>
    <w:rsid w:val="000B217E"/>
    <w:rsid w:val="000B38A1"/>
    <w:rsid w:val="000B440B"/>
    <w:rsid w:val="000C0B1B"/>
    <w:rsid w:val="000C2599"/>
    <w:rsid w:val="000C4751"/>
    <w:rsid w:val="000D42A3"/>
    <w:rsid w:val="000E04F2"/>
    <w:rsid w:val="000E575A"/>
    <w:rsid w:val="000F0791"/>
    <w:rsid w:val="000F0A6E"/>
    <w:rsid w:val="000F4565"/>
    <w:rsid w:val="000F7DA5"/>
    <w:rsid w:val="0011120E"/>
    <w:rsid w:val="00116A8A"/>
    <w:rsid w:val="00116EF6"/>
    <w:rsid w:val="001211B5"/>
    <w:rsid w:val="001216A5"/>
    <w:rsid w:val="00123E15"/>
    <w:rsid w:val="00127864"/>
    <w:rsid w:val="00133222"/>
    <w:rsid w:val="00140AD6"/>
    <w:rsid w:val="001425F5"/>
    <w:rsid w:val="00156C3E"/>
    <w:rsid w:val="00157074"/>
    <w:rsid w:val="00161DA7"/>
    <w:rsid w:val="00172E10"/>
    <w:rsid w:val="00177A4A"/>
    <w:rsid w:val="00186BC5"/>
    <w:rsid w:val="00191808"/>
    <w:rsid w:val="00195300"/>
    <w:rsid w:val="001A7786"/>
    <w:rsid w:val="001B22EA"/>
    <w:rsid w:val="001B4E44"/>
    <w:rsid w:val="001B758A"/>
    <w:rsid w:val="001B7BD0"/>
    <w:rsid w:val="001D1885"/>
    <w:rsid w:val="001D32B6"/>
    <w:rsid w:val="001D7956"/>
    <w:rsid w:val="001E7A6A"/>
    <w:rsid w:val="001F28AE"/>
    <w:rsid w:val="001F2A70"/>
    <w:rsid w:val="001F37C3"/>
    <w:rsid w:val="0020546C"/>
    <w:rsid w:val="00212E51"/>
    <w:rsid w:val="002259DA"/>
    <w:rsid w:val="002300FF"/>
    <w:rsid w:val="00232AC7"/>
    <w:rsid w:val="002349E4"/>
    <w:rsid w:val="00240BEB"/>
    <w:rsid w:val="002435A0"/>
    <w:rsid w:val="00244DF5"/>
    <w:rsid w:val="002602B8"/>
    <w:rsid w:val="00263CD9"/>
    <w:rsid w:val="00271BE3"/>
    <w:rsid w:val="00271E3E"/>
    <w:rsid w:val="00273723"/>
    <w:rsid w:val="00284D34"/>
    <w:rsid w:val="00287811"/>
    <w:rsid w:val="002913FE"/>
    <w:rsid w:val="002932EB"/>
    <w:rsid w:val="00295C2D"/>
    <w:rsid w:val="002A11DE"/>
    <w:rsid w:val="002A5255"/>
    <w:rsid w:val="002A5943"/>
    <w:rsid w:val="002B2FED"/>
    <w:rsid w:val="002B319C"/>
    <w:rsid w:val="002B5A63"/>
    <w:rsid w:val="002C17C9"/>
    <w:rsid w:val="002C57A1"/>
    <w:rsid w:val="002C7679"/>
    <w:rsid w:val="002D0910"/>
    <w:rsid w:val="002E0A6E"/>
    <w:rsid w:val="002E3686"/>
    <w:rsid w:val="002E5AFD"/>
    <w:rsid w:val="002F0C99"/>
    <w:rsid w:val="002F2C30"/>
    <w:rsid w:val="00305972"/>
    <w:rsid w:val="00324449"/>
    <w:rsid w:val="00324851"/>
    <w:rsid w:val="0032560B"/>
    <w:rsid w:val="00335562"/>
    <w:rsid w:val="00341926"/>
    <w:rsid w:val="00345F92"/>
    <w:rsid w:val="00350E5C"/>
    <w:rsid w:val="003530AC"/>
    <w:rsid w:val="00384C9C"/>
    <w:rsid w:val="00396C5D"/>
    <w:rsid w:val="003A22B8"/>
    <w:rsid w:val="003A437F"/>
    <w:rsid w:val="003B1F95"/>
    <w:rsid w:val="003B5B00"/>
    <w:rsid w:val="003C1FFD"/>
    <w:rsid w:val="003E29F2"/>
    <w:rsid w:val="003E5B21"/>
    <w:rsid w:val="003F744E"/>
    <w:rsid w:val="004100E3"/>
    <w:rsid w:val="00410EF0"/>
    <w:rsid w:val="0041147A"/>
    <w:rsid w:val="00422F07"/>
    <w:rsid w:val="004238BB"/>
    <w:rsid w:val="004259C1"/>
    <w:rsid w:val="00427115"/>
    <w:rsid w:val="00427CD7"/>
    <w:rsid w:val="00431E5C"/>
    <w:rsid w:val="00444CAC"/>
    <w:rsid w:val="00447B57"/>
    <w:rsid w:val="004540E1"/>
    <w:rsid w:val="00465100"/>
    <w:rsid w:val="00466F74"/>
    <w:rsid w:val="0047339D"/>
    <w:rsid w:val="0047380D"/>
    <w:rsid w:val="00482B7B"/>
    <w:rsid w:val="00482D2D"/>
    <w:rsid w:val="004905F7"/>
    <w:rsid w:val="004B6901"/>
    <w:rsid w:val="004C4C54"/>
    <w:rsid w:val="004D3005"/>
    <w:rsid w:val="004E14BC"/>
    <w:rsid w:val="005005DA"/>
    <w:rsid w:val="00504D06"/>
    <w:rsid w:val="005050BE"/>
    <w:rsid w:val="00511D03"/>
    <w:rsid w:val="00522D11"/>
    <w:rsid w:val="00525477"/>
    <w:rsid w:val="00544C1D"/>
    <w:rsid w:val="005450A9"/>
    <w:rsid w:val="00546BED"/>
    <w:rsid w:val="00553D4D"/>
    <w:rsid w:val="00556860"/>
    <w:rsid w:val="0056067E"/>
    <w:rsid w:val="005654F9"/>
    <w:rsid w:val="0057125E"/>
    <w:rsid w:val="0057584A"/>
    <w:rsid w:val="005932C6"/>
    <w:rsid w:val="00594CF2"/>
    <w:rsid w:val="005B03F0"/>
    <w:rsid w:val="005B2F59"/>
    <w:rsid w:val="005B5B5E"/>
    <w:rsid w:val="005B6276"/>
    <w:rsid w:val="005B6394"/>
    <w:rsid w:val="005C0B20"/>
    <w:rsid w:val="005D0369"/>
    <w:rsid w:val="005D1FC7"/>
    <w:rsid w:val="005D621E"/>
    <w:rsid w:val="005E04B4"/>
    <w:rsid w:val="005E3D98"/>
    <w:rsid w:val="005E4FA7"/>
    <w:rsid w:val="005E5782"/>
    <w:rsid w:val="005E6D49"/>
    <w:rsid w:val="005F1524"/>
    <w:rsid w:val="00601626"/>
    <w:rsid w:val="0060371D"/>
    <w:rsid w:val="006044FF"/>
    <w:rsid w:val="0060584B"/>
    <w:rsid w:val="00605F06"/>
    <w:rsid w:val="00614F32"/>
    <w:rsid w:val="00615274"/>
    <w:rsid w:val="00617A7B"/>
    <w:rsid w:val="00630CF8"/>
    <w:rsid w:val="00632ACA"/>
    <w:rsid w:val="00635180"/>
    <w:rsid w:val="0063589E"/>
    <w:rsid w:val="00636816"/>
    <w:rsid w:val="0064194B"/>
    <w:rsid w:val="006457F0"/>
    <w:rsid w:val="0064588C"/>
    <w:rsid w:val="006536E1"/>
    <w:rsid w:val="00671A3D"/>
    <w:rsid w:val="00672DE8"/>
    <w:rsid w:val="0067669F"/>
    <w:rsid w:val="00676CBF"/>
    <w:rsid w:val="00694F1E"/>
    <w:rsid w:val="00695B74"/>
    <w:rsid w:val="006A437C"/>
    <w:rsid w:val="006A4754"/>
    <w:rsid w:val="006B68C6"/>
    <w:rsid w:val="006C2371"/>
    <w:rsid w:val="006C3C48"/>
    <w:rsid w:val="006C6EB3"/>
    <w:rsid w:val="006D2176"/>
    <w:rsid w:val="006D23DB"/>
    <w:rsid w:val="006D3E10"/>
    <w:rsid w:val="006E2B45"/>
    <w:rsid w:val="006E4852"/>
    <w:rsid w:val="006F729B"/>
    <w:rsid w:val="007031FC"/>
    <w:rsid w:val="0071145D"/>
    <w:rsid w:val="00711B48"/>
    <w:rsid w:val="007137AC"/>
    <w:rsid w:val="00721374"/>
    <w:rsid w:val="00723A8F"/>
    <w:rsid w:val="00724548"/>
    <w:rsid w:val="00735B8F"/>
    <w:rsid w:val="0073665D"/>
    <w:rsid w:val="0074129B"/>
    <w:rsid w:val="007460EF"/>
    <w:rsid w:val="007575ED"/>
    <w:rsid w:val="00760153"/>
    <w:rsid w:val="00761433"/>
    <w:rsid w:val="00770552"/>
    <w:rsid w:val="007711D7"/>
    <w:rsid w:val="00773FD2"/>
    <w:rsid w:val="00777DDB"/>
    <w:rsid w:val="007954AF"/>
    <w:rsid w:val="007A0BB0"/>
    <w:rsid w:val="007A11B9"/>
    <w:rsid w:val="007A57E7"/>
    <w:rsid w:val="007B0209"/>
    <w:rsid w:val="007B15CB"/>
    <w:rsid w:val="007B74B0"/>
    <w:rsid w:val="007C5411"/>
    <w:rsid w:val="007C6A52"/>
    <w:rsid w:val="007D158C"/>
    <w:rsid w:val="007D2744"/>
    <w:rsid w:val="007D3ADD"/>
    <w:rsid w:val="007E6C1A"/>
    <w:rsid w:val="007F4491"/>
    <w:rsid w:val="008015A4"/>
    <w:rsid w:val="00801C89"/>
    <w:rsid w:val="00807AA8"/>
    <w:rsid w:val="00812595"/>
    <w:rsid w:val="0081799B"/>
    <w:rsid w:val="00825182"/>
    <w:rsid w:val="00830FEA"/>
    <w:rsid w:val="00837A05"/>
    <w:rsid w:val="00843F91"/>
    <w:rsid w:val="00844743"/>
    <w:rsid w:val="008733F2"/>
    <w:rsid w:val="008737F9"/>
    <w:rsid w:val="00880DC1"/>
    <w:rsid w:val="008A1CB0"/>
    <w:rsid w:val="008A2034"/>
    <w:rsid w:val="008A5C09"/>
    <w:rsid w:val="008A6A28"/>
    <w:rsid w:val="008B59EA"/>
    <w:rsid w:val="008C1194"/>
    <w:rsid w:val="008C7BF3"/>
    <w:rsid w:val="008D4523"/>
    <w:rsid w:val="008F7DFE"/>
    <w:rsid w:val="00901375"/>
    <w:rsid w:val="00903CE0"/>
    <w:rsid w:val="0090548B"/>
    <w:rsid w:val="00910FF9"/>
    <w:rsid w:val="009110ED"/>
    <w:rsid w:val="0091218D"/>
    <w:rsid w:val="009126DC"/>
    <w:rsid w:val="009138B2"/>
    <w:rsid w:val="00920F8C"/>
    <w:rsid w:val="00925987"/>
    <w:rsid w:val="00930C81"/>
    <w:rsid w:val="00933FCA"/>
    <w:rsid w:val="00936B0A"/>
    <w:rsid w:val="009475FC"/>
    <w:rsid w:val="00952B93"/>
    <w:rsid w:val="00953B7E"/>
    <w:rsid w:val="00957765"/>
    <w:rsid w:val="00962822"/>
    <w:rsid w:val="00962FC1"/>
    <w:rsid w:val="00963749"/>
    <w:rsid w:val="009702EA"/>
    <w:rsid w:val="00974F7D"/>
    <w:rsid w:val="009A14CC"/>
    <w:rsid w:val="009A3B96"/>
    <w:rsid w:val="009A3C63"/>
    <w:rsid w:val="009B386B"/>
    <w:rsid w:val="009C1EE1"/>
    <w:rsid w:val="009C5AB6"/>
    <w:rsid w:val="009C7E9F"/>
    <w:rsid w:val="009D3A43"/>
    <w:rsid w:val="009D66B1"/>
    <w:rsid w:val="009D6DA8"/>
    <w:rsid w:val="009E419B"/>
    <w:rsid w:val="009E428F"/>
    <w:rsid w:val="009E5623"/>
    <w:rsid w:val="009F6258"/>
    <w:rsid w:val="00A00F08"/>
    <w:rsid w:val="00A26B0C"/>
    <w:rsid w:val="00A27BCB"/>
    <w:rsid w:val="00A3514F"/>
    <w:rsid w:val="00A42246"/>
    <w:rsid w:val="00A53336"/>
    <w:rsid w:val="00A63125"/>
    <w:rsid w:val="00A67A41"/>
    <w:rsid w:val="00A71DD1"/>
    <w:rsid w:val="00A72BFA"/>
    <w:rsid w:val="00A82534"/>
    <w:rsid w:val="00A87360"/>
    <w:rsid w:val="00A9207C"/>
    <w:rsid w:val="00A92618"/>
    <w:rsid w:val="00A9514B"/>
    <w:rsid w:val="00A97599"/>
    <w:rsid w:val="00AA6D61"/>
    <w:rsid w:val="00AD238B"/>
    <w:rsid w:val="00AE3785"/>
    <w:rsid w:val="00AE42B1"/>
    <w:rsid w:val="00AF602A"/>
    <w:rsid w:val="00AF626D"/>
    <w:rsid w:val="00B0011A"/>
    <w:rsid w:val="00B05322"/>
    <w:rsid w:val="00B10ED7"/>
    <w:rsid w:val="00B113B1"/>
    <w:rsid w:val="00B14374"/>
    <w:rsid w:val="00B31B9A"/>
    <w:rsid w:val="00B33AEC"/>
    <w:rsid w:val="00B364D3"/>
    <w:rsid w:val="00B40963"/>
    <w:rsid w:val="00B43438"/>
    <w:rsid w:val="00B463F0"/>
    <w:rsid w:val="00B46D3D"/>
    <w:rsid w:val="00B55DAC"/>
    <w:rsid w:val="00B604A2"/>
    <w:rsid w:val="00B60587"/>
    <w:rsid w:val="00B60C33"/>
    <w:rsid w:val="00B63E3A"/>
    <w:rsid w:val="00B7126D"/>
    <w:rsid w:val="00B7391C"/>
    <w:rsid w:val="00B73F6B"/>
    <w:rsid w:val="00B85EB0"/>
    <w:rsid w:val="00BA2475"/>
    <w:rsid w:val="00BA3DE3"/>
    <w:rsid w:val="00BA782E"/>
    <w:rsid w:val="00BC02C2"/>
    <w:rsid w:val="00BC3695"/>
    <w:rsid w:val="00BD02E2"/>
    <w:rsid w:val="00BD5F37"/>
    <w:rsid w:val="00BD73D8"/>
    <w:rsid w:val="00BF58BD"/>
    <w:rsid w:val="00BF7711"/>
    <w:rsid w:val="00C15ABA"/>
    <w:rsid w:val="00C23221"/>
    <w:rsid w:val="00C25022"/>
    <w:rsid w:val="00C26B6D"/>
    <w:rsid w:val="00C33079"/>
    <w:rsid w:val="00C36255"/>
    <w:rsid w:val="00C54BA2"/>
    <w:rsid w:val="00C736DE"/>
    <w:rsid w:val="00C82C36"/>
    <w:rsid w:val="00CA051A"/>
    <w:rsid w:val="00CA6DE3"/>
    <w:rsid w:val="00CB02A3"/>
    <w:rsid w:val="00CC1030"/>
    <w:rsid w:val="00CC41CA"/>
    <w:rsid w:val="00CD7F62"/>
    <w:rsid w:val="00CE5379"/>
    <w:rsid w:val="00CE7FAB"/>
    <w:rsid w:val="00CF3F71"/>
    <w:rsid w:val="00CF55BA"/>
    <w:rsid w:val="00D0399E"/>
    <w:rsid w:val="00D05221"/>
    <w:rsid w:val="00D20A33"/>
    <w:rsid w:val="00D321A7"/>
    <w:rsid w:val="00D32727"/>
    <w:rsid w:val="00D33FBD"/>
    <w:rsid w:val="00D40989"/>
    <w:rsid w:val="00D6064C"/>
    <w:rsid w:val="00D63801"/>
    <w:rsid w:val="00D73FF5"/>
    <w:rsid w:val="00D74C23"/>
    <w:rsid w:val="00D75E04"/>
    <w:rsid w:val="00D84118"/>
    <w:rsid w:val="00D91317"/>
    <w:rsid w:val="00D91734"/>
    <w:rsid w:val="00D973E5"/>
    <w:rsid w:val="00DB6D44"/>
    <w:rsid w:val="00DB798D"/>
    <w:rsid w:val="00DC1406"/>
    <w:rsid w:val="00DC2D5E"/>
    <w:rsid w:val="00DD1490"/>
    <w:rsid w:val="00DD2399"/>
    <w:rsid w:val="00DE4908"/>
    <w:rsid w:val="00DE7D15"/>
    <w:rsid w:val="00E0224A"/>
    <w:rsid w:val="00E06CE6"/>
    <w:rsid w:val="00E1366A"/>
    <w:rsid w:val="00E3428F"/>
    <w:rsid w:val="00E34984"/>
    <w:rsid w:val="00E433B0"/>
    <w:rsid w:val="00E54207"/>
    <w:rsid w:val="00E5517D"/>
    <w:rsid w:val="00E57E94"/>
    <w:rsid w:val="00E6512B"/>
    <w:rsid w:val="00E65133"/>
    <w:rsid w:val="00E75369"/>
    <w:rsid w:val="00E860CF"/>
    <w:rsid w:val="00E93B57"/>
    <w:rsid w:val="00EA3701"/>
    <w:rsid w:val="00EA3CDA"/>
    <w:rsid w:val="00EC0C98"/>
    <w:rsid w:val="00EC15C0"/>
    <w:rsid w:val="00EC5DC0"/>
    <w:rsid w:val="00ED69AE"/>
    <w:rsid w:val="00EE1B99"/>
    <w:rsid w:val="00EE40C5"/>
    <w:rsid w:val="00EF2DCE"/>
    <w:rsid w:val="00EF6F76"/>
    <w:rsid w:val="00EF7946"/>
    <w:rsid w:val="00F13C87"/>
    <w:rsid w:val="00F24C55"/>
    <w:rsid w:val="00F25778"/>
    <w:rsid w:val="00F34DFF"/>
    <w:rsid w:val="00F42777"/>
    <w:rsid w:val="00F42F06"/>
    <w:rsid w:val="00F60A20"/>
    <w:rsid w:val="00F64AA4"/>
    <w:rsid w:val="00F7791D"/>
    <w:rsid w:val="00F80CEE"/>
    <w:rsid w:val="00F909A1"/>
    <w:rsid w:val="00F909F6"/>
    <w:rsid w:val="00FA16CE"/>
    <w:rsid w:val="00FA24C3"/>
    <w:rsid w:val="00FA5E3C"/>
    <w:rsid w:val="00FB55ED"/>
    <w:rsid w:val="00FC7B04"/>
    <w:rsid w:val="00FD59CC"/>
    <w:rsid w:val="00FE580D"/>
    <w:rsid w:val="00FF0897"/>
    <w:rsid w:val="00FF18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8A4783B-A93E-4494-A6DB-071A880D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F13C87"/>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3C87"/>
    <w:rPr>
      <w:rFonts w:ascii="Tahoma" w:eastAsia="Times New Roman" w:hAnsi="Tahoma" w:cs="Times New Roman"/>
      <w:b/>
      <w:bCs/>
      <w:kern w:val="32"/>
      <w:sz w:val="24"/>
      <w:szCs w:val="32"/>
      <w:lang w:val="es-ES" w:eastAsia="es-MX"/>
    </w:rPr>
  </w:style>
  <w:style w:type="character" w:customStyle="1" w:styleId="Ttulo6Car">
    <w:name w:val="Título 6 Car"/>
    <w:basedOn w:val="Fuentedeprrafopredeter"/>
    <w:link w:val="Ttulo6"/>
    <w:rsid w:val="00F13C87"/>
    <w:rPr>
      <w:rFonts w:ascii="Calibri" w:eastAsia="Batang" w:hAnsi="Calibri" w:cs="Times New Roman"/>
      <w:b/>
      <w:bCs/>
      <w:lang w:val="es-ES" w:eastAsia="es-MX"/>
    </w:rPr>
  </w:style>
  <w:style w:type="character" w:customStyle="1" w:styleId="Ttulo9Car">
    <w:name w:val="Título 9 Car"/>
    <w:basedOn w:val="Fuentedeprrafopredeter"/>
    <w:link w:val="Ttulo9"/>
    <w:rsid w:val="00F13C87"/>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F13C87"/>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F13C87"/>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ootnote Text Char"/>
    <w:basedOn w:val="Normal"/>
    <w:link w:val="TextonotapieCar1"/>
    <w:autoRedefine/>
    <w:uiPriority w:val="99"/>
    <w:qFormat/>
    <w:rsid w:val="00F13C87"/>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aliases w:val="Ref. de nota al pie1 Car,Footnote Text Char Car,Footnote Text Char Char Char Char Char Char Char Char Car"/>
    <w:basedOn w:val="Fuentedeprrafopredeter"/>
    <w:semiHidden/>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
    <w:uiPriority w:val="99"/>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cabezado">
    <w:name w:val="header"/>
    <w:basedOn w:val="Normal"/>
    <w:link w:val="EncabezadoCar"/>
    <w:rsid w:val="00F13C87"/>
    <w:pPr>
      <w:tabs>
        <w:tab w:val="center" w:pos="4252"/>
        <w:tab w:val="right" w:pos="8504"/>
      </w:tabs>
    </w:pPr>
    <w:rPr>
      <w:rFonts w:eastAsia="Batang"/>
    </w:rPr>
  </w:style>
  <w:style w:type="character" w:customStyle="1" w:styleId="EncabezadoCar">
    <w:name w:val="Encabezado Car"/>
    <w:basedOn w:val="Fuentedeprrafopredeter"/>
    <w:link w:val="Encabezado"/>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Textoindependiente">
    <w:name w:val="Body Text"/>
    <w:basedOn w:val="Normal"/>
    <w:link w:val="TextoindependienteCar"/>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F13C87"/>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locked/>
    <w:rsid w:val="00F13C87"/>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C87"/>
    <w:rPr>
      <w:rFonts w:ascii="Segoe UI" w:eastAsia="Times New Roman" w:hAnsi="Segoe UI" w:cs="Segoe UI"/>
      <w:sz w:val="18"/>
      <w:szCs w:val="18"/>
      <w:lang w:val="es-ES" w:eastAsia="es-MX"/>
    </w:rPr>
  </w:style>
  <w:style w:type="character" w:customStyle="1" w:styleId="Ttulo2Car">
    <w:name w:val="Título 2 Car"/>
    <w:basedOn w:val="Fuentedeprrafopredeter"/>
    <w:link w:val="Ttulo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Refdecomentario">
    <w:name w:val="annotation reference"/>
    <w:basedOn w:val="Fuentedeprrafopredeter"/>
    <w:uiPriority w:val="99"/>
    <w:semiHidden/>
    <w:unhideWhenUsed/>
    <w:rsid w:val="00770552"/>
    <w:rPr>
      <w:sz w:val="16"/>
      <w:szCs w:val="16"/>
    </w:rPr>
  </w:style>
  <w:style w:type="paragraph" w:styleId="Textocomentario">
    <w:name w:val="annotation text"/>
    <w:basedOn w:val="Normal"/>
    <w:link w:val="TextocomentarioCar"/>
    <w:uiPriority w:val="99"/>
    <w:semiHidden/>
    <w:unhideWhenUsed/>
    <w:rsid w:val="007705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552"/>
    <w:rPr>
      <w:rFonts w:ascii="Tahoma" w:eastAsia="Times New Roman" w:hAnsi="Tahoma"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70552"/>
    <w:rPr>
      <w:b/>
      <w:bCs/>
    </w:rPr>
  </w:style>
  <w:style w:type="character" w:customStyle="1" w:styleId="AsuntodelcomentarioCar">
    <w:name w:val="Asunto del comentario Car"/>
    <w:basedOn w:val="TextocomentarioCar"/>
    <w:link w:val="Asuntodelcomentario"/>
    <w:uiPriority w:val="99"/>
    <w:semiHidden/>
    <w:rsid w:val="00770552"/>
    <w:rPr>
      <w:rFonts w:ascii="Tahoma" w:eastAsia="Times New Roman" w:hAnsi="Tahoma" w:cs="Times New Roman"/>
      <w:b/>
      <w:bCs/>
      <w:sz w:val="20"/>
      <w:szCs w:val="20"/>
      <w:lang w:val="es-ES" w:eastAsia="es-MX"/>
    </w:rPr>
  </w:style>
  <w:style w:type="character" w:customStyle="1" w:styleId="SinespaciadoCar">
    <w:name w:val="Sin espaciado Car"/>
    <w:link w:val="Sinespaciado"/>
    <w:uiPriority w:val="99"/>
    <w:locked/>
    <w:rsid w:val="00825182"/>
    <w:rPr>
      <w:rFonts w:ascii="Verdana" w:hAnsi="Verdana"/>
      <w:sz w:val="28"/>
      <w:lang w:val="es-ES"/>
    </w:rPr>
  </w:style>
  <w:style w:type="paragraph" w:styleId="Sinespaciado">
    <w:name w:val="No Spacing"/>
    <w:link w:val="SinespaciadoCar"/>
    <w:uiPriority w:val="99"/>
    <w:qFormat/>
    <w:rsid w:val="00825182"/>
    <w:pPr>
      <w:spacing w:after="0" w:line="240" w:lineRule="auto"/>
    </w:pPr>
    <w:rPr>
      <w:rFonts w:ascii="Verdana" w:hAnsi="Verdana"/>
      <w:sz w:val="28"/>
      <w:lang w:val="es-ES"/>
    </w:rPr>
  </w:style>
  <w:style w:type="paragraph" w:customStyle="1" w:styleId="Default">
    <w:name w:val="Default"/>
    <w:rsid w:val="00CB02A3"/>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unico">
    <w:name w:val="unico"/>
    <w:basedOn w:val="Normal"/>
    <w:rsid w:val="002602B8"/>
    <w:pPr>
      <w:spacing w:before="100" w:beforeAutospacing="1" w:after="100" w:afterAutospacing="1" w:line="240" w:lineRule="auto"/>
      <w:jc w:val="left"/>
    </w:pPr>
    <w:rPr>
      <w:rFonts w:ascii="Times New Roman" w:hAnsi="Times New Roman"/>
      <w:sz w:val="24"/>
      <w:szCs w:val="24"/>
      <w:lang w:val="es-CO" w:eastAsia="es-CO"/>
    </w:rPr>
  </w:style>
  <w:style w:type="character" w:styleId="Hipervnculo">
    <w:name w:val="Hyperlink"/>
    <w:basedOn w:val="Fuentedeprrafopredeter"/>
    <w:uiPriority w:val="99"/>
    <w:semiHidden/>
    <w:unhideWhenUsed/>
    <w:rsid w:val="002602B8"/>
    <w:rPr>
      <w:color w:val="0000FF"/>
      <w:u w:val="single"/>
    </w:rPr>
  </w:style>
  <w:style w:type="paragraph" w:customStyle="1" w:styleId="cuerpotexto">
    <w:name w:val="cuerpotexto"/>
    <w:basedOn w:val="Normal"/>
    <w:rsid w:val="007A57E7"/>
    <w:pPr>
      <w:spacing w:before="100" w:beforeAutospacing="1" w:after="100" w:afterAutospacing="1" w:line="240" w:lineRule="auto"/>
      <w:jc w:val="left"/>
    </w:pPr>
    <w:rPr>
      <w:rFonts w:ascii="Times New Roman" w:eastAsiaTheme="minorEastAsia"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03497">
      <w:bodyDiv w:val="1"/>
      <w:marLeft w:val="0"/>
      <w:marRight w:val="0"/>
      <w:marTop w:val="0"/>
      <w:marBottom w:val="0"/>
      <w:divBdr>
        <w:top w:val="none" w:sz="0" w:space="0" w:color="auto"/>
        <w:left w:val="none" w:sz="0" w:space="0" w:color="auto"/>
        <w:bottom w:val="none" w:sz="0" w:space="0" w:color="auto"/>
        <w:right w:val="none" w:sz="0" w:space="0" w:color="auto"/>
      </w:divBdr>
    </w:div>
    <w:div w:id="13366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E98C7-036E-442A-BA85-08C3EE97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4347</Words>
  <Characters>23909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39</cp:revision>
  <cp:lastPrinted>2018-09-10T20:12:00Z</cp:lastPrinted>
  <dcterms:created xsi:type="dcterms:W3CDTF">2018-09-06T18:49:00Z</dcterms:created>
  <dcterms:modified xsi:type="dcterms:W3CDTF">2018-10-24T20:12:00Z</dcterms:modified>
</cp:coreProperties>
</file>