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0C" w:rsidRPr="00511166" w:rsidRDefault="00B9650C" w:rsidP="00B9650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8"/>
          <w:szCs w:val="18"/>
          <w:lang w:eastAsia="fr-FR"/>
        </w:rPr>
      </w:pPr>
      <w:r w:rsidRPr="00511166">
        <w:rPr>
          <w:rFonts w:ascii="Calibri" w:hAnsi="Calibri" w:cs="Calibri"/>
          <w:color w:val="FF0000"/>
          <w:spacing w:val="-8"/>
          <w:sz w:val="18"/>
          <w:szCs w:val="18"/>
          <w:lang w:eastAsia="fr-FR"/>
        </w:rPr>
        <w:t xml:space="preserve">El siguiente es el documento presentado por el Magistrado Ponente que sirvió de base para proferir la providencia dentro del presente proceso. </w:t>
      </w:r>
      <w:r w:rsidRPr="00511166">
        <w:rPr>
          <w:rFonts w:ascii="Calibri" w:hAnsi="Calibri" w:cs="Calibri"/>
          <w:color w:val="FF0000"/>
          <w:sz w:val="18"/>
          <w:szCs w:val="18"/>
          <w:lang w:eastAsia="fr-FR"/>
        </w:rPr>
        <w:t>El contenido total y fiel de la decisión debe ser verificado en la Secretaría de esta Sala.</w:t>
      </w:r>
    </w:p>
    <w:p w:rsidR="00B9650C" w:rsidRPr="00511166" w:rsidRDefault="00B9650C" w:rsidP="00B9650C">
      <w:pPr>
        <w:shd w:val="clear" w:color="auto" w:fill="FFFFFF"/>
        <w:jc w:val="both"/>
        <w:rPr>
          <w:rFonts w:ascii="Calibri" w:hAnsi="Calibri" w:cs="Calibri"/>
          <w:sz w:val="18"/>
          <w:szCs w:val="18"/>
          <w:lang w:eastAsia="fr-FR"/>
        </w:rPr>
      </w:pPr>
      <w:r w:rsidRPr="00511166">
        <w:rPr>
          <w:rFonts w:ascii="Calibri" w:hAnsi="Calibri" w:cs="Calibri"/>
          <w:sz w:val="18"/>
          <w:szCs w:val="18"/>
          <w:lang w:eastAsia="fr-FR"/>
        </w:rPr>
        <w:t>Providencia:</w:t>
      </w:r>
      <w:r w:rsidRPr="00511166">
        <w:rPr>
          <w:rFonts w:ascii="Calibri" w:hAnsi="Calibri" w:cs="Calibri"/>
          <w:sz w:val="18"/>
          <w:szCs w:val="18"/>
          <w:lang w:eastAsia="fr-FR"/>
        </w:rPr>
        <w:tab/>
      </w:r>
      <w:r w:rsidRPr="00511166">
        <w:rPr>
          <w:rFonts w:ascii="Calibri" w:hAnsi="Calibri" w:cs="Calibri"/>
          <w:sz w:val="18"/>
          <w:szCs w:val="18"/>
          <w:lang w:eastAsia="fr-FR"/>
        </w:rPr>
        <w:tab/>
        <w:t xml:space="preserve">Auto – 2ª Instancia – </w:t>
      </w:r>
      <w:r>
        <w:rPr>
          <w:rFonts w:ascii="Calibri" w:hAnsi="Calibri" w:cs="Calibri"/>
          <w:sz w:val="18"/>
          <w:szCs w:val="18"/>
          <w:lang w:eastAsia="fr-FR"/>
        </w:rPr>
        <w:t>23</w:t>
      </w:r>
      <w:r w:rsidRPr="00511166">
        <w:rPr>
          <w:rFonts w:ascii="Calibri" w:hAnsi="Calibri" w:cs="Calibri"/>
          <w:sz w:val="18"/>
          <w:szCs w:val="18"/>
          <w:lang w:eastAsia="fr-FR"/>
        </w:rPr>
        <w:t xml:space="preserve"> de marzo de 2018</w:t>
      </w:r>
    </w:p>
    <w:p w:rsidR="00B9650C" w:rsidRPr="00511166" w:rsidRDefault="00B9650C" w:rsidP="00B9650C">
      <w:pPr>
        <w:shd w:val="clear" w:color="auto" w:fill="FFFFFF"/>
        <w:tabs>
          <w:tab w:val="left" w:pos="1418"/>
        </w:tabs>
        <w:jc w:val="both"/>
        <w:rPr>
          <w:rFonts w:ascii="Calibri" w:hAnsi="Calibri" w:cs="Calibri"/>
          <w:sz w:val="18"/>
          <w:szCs w:val="18"/>
          <w:lang w:eastAsia="fr-FR"/>
        </w:rPr>
      </w:pPr>
      <w:r w:rsidRPr="00511166">
        <w:rPr>
          <w:rFonts w:ascii="Calibri" w:hAnsi="Calibri" w:cs="Calibri"/>
          <w:sz w:val="18"/>
          <w:szCs w:val="18"/>
          <w:lang w:eastAsia="fr-FR"/>
        </w:rPr>
        <w:t>Proceso:                </w:t>
      </w:r>
      <w:r w:rsidRPr="00511166">
        <w:rPr>
          <w:rFonts w:ascii="Calibri" w:hAnsi="Calibri" w:cs="Calibri"/>
          <w:sz w:val="18"/>
          <w:szCs w:val="18"/>
          <w:lang w:eastAsia="fr-FR"/>
        </w:rPr>
        <w:tab/>
      </w:r>
      <w:r w:rsidRPr="00511166">
        <w:rPr>
          <w:rFonts w:ascii="Calibri" w:hAnsi="Calibri" w:cs="Calibri"/>
          <w:sz w:val="18"/>
          <w:szCs w:val="18"/>
          <w:lang w:eastAsia="fr-FR"/>
        </w:rPr>
        <w:tab/>
        <w:t xml:space="preserve">Penal </w:t>
      </w:r>
      <w:r w:rsidRPr="00511166">
        <w:rPr>
          <w:rFonts w:ascii="Calibri" w:hAnsi="Calibri" w:cs="Calibri"/>
          <w:spacing w:val="-20"/>
          <w:sz w:val="18"/>
          <w:szCs w:val="18"/>
          <w:lang w:eastAsia="fr-FR"/>
        </w:rPr>
        <w:t xml:space="preserve">– </w:t>
      </w:r>
      <w:r w:rsidRPr="00511166">
        <w:rPr>
          <w:rFonts w:ascii="Calibri" w:hAnsi="Calibri" w:cs="Calibri"/>
          <w:sz w:val="18"/>
          <w:szCs w:val="18"/>
          <w:lang w:eastAsia="fr-FR"/>
        </w:rPr>
        <w:t>Confirma</w:t>
      </w:r>
    </w:p>
    <w:p w:rsidR="00B9650C" w:rsidRPr="00511166" w:rsidRDefault="00B9650C" w:rsidP="00B9650C">
      <w:pPr>
        <w:shd w:val="clear" w:color="auto" w:fill="FFFFFF"/>
        <w:tabs>
          <w:tab w:val="left" w:pos="1418"/>
          <w:tab w:val="left" w:pos="2115"/>
        </w:tabs>
        <w:jc w:val="both"/>
        <w:rPr>
          <w:rFonts w:ascii="Calibri" w:hAnsi="Calibri" w:cs="Calibri"/>
          <w:bCs/>
          <w:iCs/>
          <w:sz w:val="18"/>
          <w:szCs w:val="18"/>
          <w:lang w:eastAsia="fr-FR"/>
        </w:rPr>
      </w:pPr>
      <w:r w:rsidRPr="00511166">
        <w:rPr>
          <w:rFonts w:ascii="Calibri" w:hAnsi="Calibri" w:cs="Calibri"/>
          <w:sz w:val="18"/>
          <w:szCs w:val="18"/>
          <w:lang w:eastAsia="fr-FR"/>
        </w:rPr>
        <w:t>Radicación Nro.:</w:t>
      </w:r>
      <w:r w:rsidRPr="00511166">
        <w:rPr>
          <w:rFonts w:ascii="Calibri" w:hAnsi="Calibri" w:cs="Calibri"/>
          <w:sz w:val="18"/>
          <w:szCs w:val="18"/>
          <w:lang w:eastAsia="fr-FR"/>
        </w:rPr>
        <w:tab/>
        <w:t xml:space="preserve">  </w:t>
      </w:r>
      <w:r w:rsidRPr="00511166">
        <w:rPr>
          <w:rFonts w:ascii="Calibri" w:hAnsi="Calibri" w:cs="Calibri"/>
          <w:sz w:val="18"/>
          <w:szCs w:val="18"/>
          <w:lang w:eastAsia="fr-FR"/>
        </w:rPr>
        <w:tab/>
      </w:r>
      <w:r w:rsidRPr="00B9650C">
        <w:rPr>
          <w:rFonts w:ascii="Calibri" w:hAnsi="Calibri" w:cs="Calibri"/>
          <w:sz w:val="18"/>
          <w:szCs w:val="18"/>
          <w:lang w:eastAsia="fr-FR"/>
        </w:rPr>
        <w:t>66594 60 00 063 2010 00361 02</w:t>
      </w:r>
    </w:p>
    <w:p w:rsidR="00B9650C" w:rsidRPr="00511166" w:rsidRDefault="00B9650C" w:rsidP="00B9650C">
      <w:pPr>
        <w:shd w:val="clear" w:color="auto" w:fill="FFFFFF"/>
        <w:tabs>
          <w:tab w:val="left" w:pos="1418"/>
        </w:tabs>
        <w:jc w:val="both"/>
        <w:rPr>
          <w:rFonts w:ascii="Calibri" w:eastAsia="Batang" w:hAnsi="Calibri" w:cs="Calibri"/>
          <w:b/>
          <w:bCs/>
          <w:sz w:val="18"/>
          <w:szCs w:val="18"/>
        </w:rPr>
      </w:pPr>
      <w:r w:rsidRPr="00511166">
        <w:rPr>
          <w:rFonts w:ascii="Calibri" w:eastAsia="Batang" w:hAnsi="Calibri" w:cs="Calibri"/>
          <w:bCs/>
          <w:sz w:val="18"/>
          <w:szCs w:val="18"/>
        </w:rPr>
        <w:t xml:space="preserve">Procesado:   </w:t>
      </w:r>
      <w:r w:rsidRPr="00511166">
        <w:rPr>
          <w:rFonts w:ascii="Calibri" w:eastAsia="Batang" w:hAnsi="Calibri" w:cs="Calibri"/>
          <w:bCs/>
          <w:sz w:val="18"/>
          <w:szCs w:val="18"/>
        </w:rPr>
        <w:tab/>
      </w:r>
      <w:r w:rsidRPr="00511166">
        <w:rPr>
          <w:rFonts w:ascii="Calibri" w:eastAsia="Batang" w:hAnsi="Calibri" w:cs="Calibri"/>
          <w:bCs/>
          <w:sz w:val="18"/>
          <w:szCs w:val="18"/>
        </w:rPr>
        <w:tab/>
      </w:r>
      <w:r w:rsidRPr="00B9650C">
        <w:rPr>
          <w:rFonts w:ascii="Calibri" w:eastAsia="Batang" w:hAnsi="Calibri" w:cs="Calibri"/>
          <w:bCs/>
          <w:sz w:val="18"/>
          <w:szCs w:val="18"/>
        </w:rPr>
        <w:t>GERARDO ANTONIO MONCADA MEDINA</w:t>
      </w:r>
    </w:p>
    <w:p w:rsidR="00B9650C" w:rsidRPr="00511166" w:rsidRDefault="00B9650C" w:rsidP="00B9650C">
      <w:pPr>
        <w:shd w:val="clear" w:color="auto" w:fill="FFFFFF"/>
        <w:tabs>
          <w:tab w:val="left" w:pos="1418"/>
        </w:tabs>
        <w:jc w:val="both"/>
        <w:rPr>
          <w:rFonts w:ascii="Calibri" w:hAnsi="Calibri" w:cs="Calibri"/>
          <w:sz w:val="18"/>
          <w:szCs w:val="18"/>
          <w:lang w:eastAsia="fr-FR"/>
        </w:rPr>
      </w:pPr>
      <w:r w:rsidRPr="00511166">
        <w:rPr>
          <w:rFonts w:ascii="Calibri" w:hAnsi="Calibri" w:cs="Calibri"/>
          <w:sz w:val="18"/>
          <w:szCs w:val="18"/>
          <w:lang w:eastAsia="fr-FR"/>
        </w:rPr>
        <w:t>Magistrado Ponente: </w:t>
      </w:r>
      <w:r w:rsidRPr="00511166">
        <w:rPr>
          <w:rFonts w:ascii="Calibri" w:hAnsi="Calibri" w:cs="Calibri"/>
          <w:sz w:val="18"/>
          <w:szCs w:val="18"/>
          <w:lang w:eastAsia="fr-FR"/>
        </w:rPr>
        <w:tab/>
        <w:t>JAIRO ERNESTO ESCOBAR SANZ</w:t>
      </w:r>
    </w:p>
    <w:p w:rsidR="00B9650C" w:rsidRPr="00511166" w:rsidRDefault="00B9650C" w:rsidP="00B9650C">
      <w:pPr>
        <w:shd w:val="clear" w:color="auto" w:fill="FFFFFF"/>
        <w:tabs>
          <w:tab w:val="left" w:pos="1418"/>
        </w:tabs>
        <w:jc w:val="both"/>
        <w:rPr>
          <w:rFonts w:ascii="Calibri" w:hAnsi="Calibri" w:cs="Calibri"/>
          <w:sz w:val="18"/>
          <w:szCs w:val="18"/>
          <w:lang w:eastAsia="fr-FR"/>
        </w:rPr>
      </w:pPr>
    </w:p>
    <w:p w:rsidR="001B286E" w:rsidRPr="001B286E" w:rsidRDefault="00B9650C" w:rsidP="001B286E">
      <w:pPr>
        <w:jc w:val="both"/>
        <w:rPr>
          <w:rFonts w:ascii="Calibri" w:hAnsi="Calibri" w:cs="Calibri"/>
          <w:b/>
          <w:bCs/>
          <w:iCs/>
          <w:sz w:val="18"/>
          <w:szCs w:val="18"/>
          <w:lang w:eastAsia="fr-FR"/>
        </w:rPr>
      </w:pPr>
      <w:r w:rsidRPr="00511166">
        <w:rPr>
          <w:rFonts w:ascii="Calibri" w:hAnsi="Calibri" w:cs="Calibri"/>
          <w:b/>
          <w:bCs/>
          <w:iCs/>
          <w:sz w:val="18"/>
          <w:szCs w:val="18"/>
          <w:lang w:eastAsia="fr-FR"/>
        </w:rPr>
        <w:t xml:space="preserve">TEMA: </w:t>
      </w:r>
      <w:r>
        <w:rPr>
          <w:rFonts w:ascii="Calibri" w:hAnsi="Calibri" w:cs="Calibri"/>
          <w:b/>
          <w:bCs/>
          <w:iCs/>
          <w:sz w:val="18"/>
          <w:szCs w:val="18"/>
          <w:lang w:eastAsia="fr-FR"/>
        </w:rPr>
        <w:tab/>
      </w:r>
      <w:r>
        <w:rPr>
          <w:rFonts w:ascii="Calibri" w:hAnsi="Calibri" w:cs="Calibri"/>
          <w:b/>
          <w:bCs/>
          <w:iCs/>
          <w:sz w:val="18"/>
          <w:szCs w:val="18"/>
          <w:lang w:eastAsia="fr-FR"/>
        </w:rPr>
        <w:tab/>
      </w:r>
      <w:r>
        <w:rPr>
          <w:rFonts w:ascii="Calibri" w:hAnsi="Calibri" w:cs="Calibri"/>
          <w:b/>
          <w:bCs/>
          <w:iCs/>
          <w:sz w:val="18"/>
          <w:szCs w:val="18"/>
          <w:lang w:eastAsia="fr-FR"/>
        </w:rPr>
        <w:tab/>
        <w:t>ACCESO CARNAL ABUSIVO CON MENOR DE 14 AÑOS</w:t>
      </w:r>
      <w:r w:rsidRPr="00511166">
        <w:rPr>
          <w:rFonts w:ascii="Calibri" w:hAnsi="Calibri" w:cs="Calibri"/>
          <w:b/>
          <w:bCs/>
          <w:iCs/>
          <w:sz w:val="18"/>
          <w:szCs w:val="18"/>
          <w:lang w:eastAsia="fr-FR"/>
        </w:rPr>
        <w:t xml:space="preserve"> / </w:t>
      </w:r>
      <w:r w:rsidR="00FA2E76">
        <w:rPr>
          <w:rFonts w:ascii="Calibri" w:hAnsi="Calibri" w:cs="Calibri"/>
          <w:b/>
          <w:bCs/>
          <w:iCs/>
          <w:sz w:val="18"/>
          <w:szCs w:val="18"/>
          <w:lang w:eastAsia="fr-FR"/>
        </w:rPr>
        <w:t xml:space="preserve">LIBERTAD PROVISIONAL O </w:t>
      </w:r>
      <w:r w:rsidR="001B286E">
        <w:rPr>
          <w:rFonts w:ascii="Calibri" w:hAnsi="Calibri" w:cs="Calibri"/>
          <w:b/>
          <w:bCs/>
          <w:iCs/>
          <w:sz w:val="18"/>
          <w:szCs w:val="18"/>
          <w:lang w:eastAsia="fr-FR"/>
        </w:rPr>
        <w:t>SUSTITUCIÓN DE MEDIDA DE ASEGURAMIENTO</w:t>
      </w:r>
      <w:r>
        <w:rPr>
          <w:rFonts w:ascii="Calibri" w:hAnsi="Calibri" w:cs="Calibri"/>
          <w:b/>
          <w:bCs/>
          <w:iCs/>
          <w:sz w:val="18"/>
          <w:szCs w:val="18"/>
          <w:lang w:eastAsia="fr-FR"/>
        </w:rPr>
        <w:t xml:space="preserve"> </w:t>
      </w:r>
      <w:r w:rsidRPr="00511166">
        <w:rPr>
          <w:rFonts w:ascii="Calibri" w:hAnsi="Calibri" w:cs="Calibri"/>
          <w:b/>
          <w:bCs/>
          <w:iCs/>
          <w:sz w:val="18"/>
          <w:szCs w:val="18"/>
          <w:lang w:eastAsia="fr-FR"/>
        </w:rPr>
        <w:t xml:space="preserve">/ </w:t>
      </w:r>
      <w:r w:rsidR="001B286E">
        <w:rPr>
          <w:rFonts w:ascii="Calibri" w:hAnsi="Calibri" w:cs="Calibri"/>
          <w:b/>
          <w:bCs/>
          <w:iCs/>
          <w:sz w:val="18"/>
          <w:szCs w:val="18"/>
          <w:lang w:eastAsia="fr-FR"/>
        </w:rPr>
        <w:t>NO PROCEDE</w:t>
      </w:r>
      <w:r w:rsidR="00FA2E76">
        <w:rPr>
          <w:rFonts w:ascii="Calibri" w:hAnsi="Calibri" w:cs="Calibri"/>
          <w:b/>
          <w:bCs/>
          <w:iCs/>
          <w:sz w:val="18"/>
          <w:szCs w:val="18"/>
          <w:lang w:eastAsia="fr-FR"/>
        </w:rPr>
        <w:t>N</w:t>
      </w:r>
      <w:r w:rsidR="001B286E">
        <w:rPr>
          <w:rFonts w:ascii="Calibri" w:hAnsi="Calibri" w:cs="Calibri"/>
          <w:b/>
          <w:bCs/>
          <w:iCs/>
          <w:sz w:val="18"/>
          <w:szCs w:val="18"/>
          <w:lang w:eastAsia="fr-FR"/>
        </w:rPr>
        <w:t xml:space="preserve"> CUANDO EXISTE CONDENA EN PRIMERA INSTANCIA</w:t>
      </w:r>
      <w:r>
        <w:rPr>
          <w:rFonts w:ascii="Calibri" w:hAnsi="Calibri" w:cs="Calibri"/>
          <w:b/>
          <w:bCs/>
          <w:iCs/>
          <w:sz w:val="18"/>
          <w:szCs w:val="18"/>
          <w:lang w:eastAsia="fr-FR"/>
        </w:rPr>
        <w:t xml:space="preserve"> </w:t>
      </w:r>
      <w:r w:rsidRPr="00511166">
        <w:rPr>
          <w:rFonts w:ascii="Calibri" w:hAnsi="Calibri" w:cs="Calibri"/>
          <w:b/>
          <w:bCs/>
          <w:iCs/>
          <w:sz w:val="18"/>
          <w:szCs w:val="18"/>
          <w:lang w:eastAsia="fr-FR"/>
        </w:rPr>
        <w:t>/</w:t>
      </w:r>
      <w:r w:rsidR="001B286E">
        <w:rPr>
          <w:rFonts w:ascii="Calibri" w:hAnsi="Calibri" w:cs="Calibri"/>
          <w:b/>
          <w:bCs/>
          <w:iCs/>
          <w:sz w:val="18"/>
          <w:szCs w:val="18"/>
          <w:lang w:eastAsia="fr-FR"/>
        </w:rPr>
        <w:t xml:space="preserve"> PRIVACIÓN DE LA LIBERTAD SE ENTIENDE PARA CUMPLIMIENTO DE LA PENA / PRECEDENTE DE LA CORTE SUPREMA DE JUSTICIA </w:t>
      </w:r>
      <w:r w:rsidR="00FA2E76">
        <w:rPr>
          <w:rFonts w:ascii="Calibri" w:hAnsi="Calibri" w:cs="Calibri"/>
          <w:b/>
          <w:bCs/>
          <w:iCs/>
          <w:sz w:val="18"/>
          <w:szCs w:val="18"/>
          <w:lang w:eastAsia="fr-FR"/>
        </w:rPr>
        <w:t xml:space="preserve"> ES OBLIGATORIO- SENTENCIA C-037 DE 1996 </w:t>
      </w:r>
      <w:r w:rsidR="001B286E">
        <w:rPr>
          <w:rFonts w:ascii="Calibri" w:hAnsi="Calibri" w:cs="Calibri"/>
          <w:b/>
          <w:bCs/>
          <w:iCs/>
          <w:sz w:val="18"/>
          <w:szCs w:val="18"/>
          <w:lang w:eastAsia="fr-FR"/>
        </w:rPr>
        <w:t xml:space="preserve">/ NO SE ACOGE SENTENCIA C-221 DE 2017 </w:t>
      </w:r>
      <w:r w:rsidR="00FA2E76">
        <w:rPr>
          <w:rFonts w:ascii="Calibri" w:hAnsi="Calibri" w:cs="Calibri"/>
          <w:b/>
          <w:bCs/>
          <w:iCs/>
          <w:sz w:val="18"/>
          <w:szCs w:val="18"/>
          <w:lang w:eastAsia="fr-FR"/>
        </w:rPr>
        <w:t>DE CORTE CONSTITUCIONAL /</w:t>
      </w:r>
      <w:r>
        <w:rPr>
          <w:rFonts w:ascii="Calibri" w:hAnsi="Calibri" w:cs="Calibri"/>
          <w:b/>
          <w:bCs/>
          <w:iCs/>
          <w:sz w:val="18"/>
          <w:szCs w:val="18"/>
          <w:lang w:eastAsia="fr-FR"/>
        </w:rPr>
        <w:t xml:space="preserve"> </w:t>
      </w:r>
      <w:r w:rsidR="001B286E">
        <w:rPr>
          <w:rFonts w:ascii="Calibri" w:hAnsi="Calibri" w:cs="Calibri"/>
          <w:b/>
          <w:bCs/>
          <w:iCs/>
          <w:sz w:val="18"/>
          <w:szCs w:val="18"/>
          <w:lang w:eastAsia="fr-FR"/>
        </w:rPr>
        <w:t xml:space="preserve">CONFIRMA. </w:t>
      </w:r>
      <w:r w:rsidR="001B286E" w:rsidRPr="001B286E">
        <w:rPr>
          <w:rFonts w:ascii="Calibri" w:hAnsi="Calibri" w:cs="Calibri"/>
          <w:bCs/>
          <w:iCs/>
          <w:sz w:val="18"/>
          <w:szCs w:val="18"/>
          <w:lang w:eastAsia="fr-FR"/>
        </w:rPr>
        <w:t>6.3.6 Sin embargo, debe manifestarse que para la fecha del presente pronunciamiento se tiene conocimiento de la d</w:t>
      </w:r>
      <w:bookmarkStart w:id="0" w:name="_GoBack"/>
      <w:bookmarkEnd w:id="0"/>
      <w:r w:rsidR="001B286E" w:rsidRPr="001B286E">
        <w:rPr>
          <w:rFonts w:ascii="Calibri" w:hAnsi="Calibri" w:cs="Calibri"/>
          <w:bCs/>
          <w:iCs/>
          <w:sz w:val="18"/>
          <w:szCs w:val="18"/>
          <w:lang w:eastAsia="fr-FR"/>
        </w:rPr>
        <w:t xml:space="preserve">ecisión CSJ </w:t>
      </w:r>
      <w:proofErr w:type="spellStart"/>
      <w:r w:rsidR="001B286E" w:rsidRPr="001B286E">
        <w:rPr>
          <w:rFonts w:ascii="Calibri" w:hAnsi="Calibri" w:cs="Calibri"/>
          <w:bCs/>
          <w:iCs/>
          <w:sz w:val="18"/>
          <w:szCs w:val="18"/>
          <w:lang w:eastAsia="fr-FR"/>
        </w:rPr>
        <w:t>SP</w:t>
      </w:r>
      <w:proofErr w:type="spellEnd"/>
      <w:r w:rsidR="001B286E" w:rsidRPr="001B286E">
        <w:rPr>
          <w:rFonts w:ascii="Calibri" w:hAnsi="Calibri" w:cs="Calibri"/>
          <w:bCs/>
          <w:iCs/>
          <w:sz w:val="18"/>
          <w:szCs w:val="18"/>
          <w:lang w:eastAsia="fr-FR"/>
        </w:rPr>
        <w:t xml:space="preserve"> del 9 de agosto de 2017, radicado 50581, cuyos apartes se citaron en el ítem, 6.3.4 de esta decisión.</w:t>
      </w:r>
    </w:p>
    <w:p w:rsidR="001B286E" w:rsidRPr="001B286E" w:rsidRDefault="001B286E" w:rsidP="001B286E">
      <w:pPr>
        <w:jc w:val="both"/>
        <w:rPr>
          <w:rFonts w:ascii="Calibri" w:hAnsi="Calibri" w:cs="Calibri"/>
          <w:bCs/>
          <w:iCs/>
          <w:sz w:val="18"/>
          <w:szCs w:val="18"/>
          <w:lang w:eastAsia="fr-FR"/>
        </w:rPr>
      </w:pPr>
    </w:p>
    <w:p w:rsidR="001B286E" w:rsidRPr="001B286E" w:rsidRDefault="001B286E" w:rsidP="001B286E">
      <w:pPr>
        <w:jc w:val="both"/>
        <w:rPr>
          <w:rFonts w:ascii="Calibri" w:hAnsi="Calibri" w:cs="Calibri"/>
          <w:bCs/>
          <w:iCs/>
          <w:sz w:val="18"/>
          <w:szCs w:val="18"/>
          <w:lang w:eastAsia="fr-FR"/>
        </w:rPr>
      </w:pPr>
      <w:r w:rsidRPr="001B286E">
        <w:rPr>
          <w:rFonts w:ascii="Calibri" w:hAnsi="Calibri" w:cs="Calibri"/>
          <w:bCs/>
          <w:iCs/>
          <w:sz w:val="18"/>
          <w:szCs w:val="18"/>
          <w:lang w:eastAsia="fr-FR"/>
        </w:rPr>
        <w:t xml:space="preserve">6.3.7 Siguiendo los términos de ese precedente del órgano de cierre de la jurisdicción penal, resulta meridianamente claro que en este caso el procesado </w:t>
      </w:r>
      <w:proofErr w:type="spellStart"/>
      <w:r w:rsidR="00FA2E76">
        <w:rPr>
          <w:rFonts w:ascii="Calibri" w:hAnsi="Calibri" w:cs="Calibri"/>
          <w:bCs/>
          <w:iCs/>
          <w:sz w:val="18"/>
          <w:szCs w:val="18"/>
          <w:lang w:eastAsia="fr-FR"/>
        </w:rPr>
        <w:t>GAMM</w:t>
      </w:r>
      <w:proofErr w:type="spellEnd"/>
      <w:r w:rsidRPr="001B286E">
        <w:rPr>
          <w:rFonts w:ascii="Calibri" w:hAnsi="Calibri" w:cs="Calibri"/>
          <w:bCs/>
          <w:iCs/>
          <w:sz w:val="18"/>
          <w:szCs w:val="18"/>
          <w:lang w:eastAsia="fr-FR"/>
        </w:rPr>
        <w:t xml:space="preserve"> no se encuentra  bajo el régimen de “detención preventiva”, sino cumpliendo una pena impuesta por ese mismo despacho como lo entendió el A quo, por lo cual su situación no podía equipararse a un evento de concesión de libertad provisional o de sustitución de una medida de aseguramiento.</w:t>
      </w:r>
    </w:p>
    <w:p w:rsidR="001B286E" w:rsidRPr="001B286E" w:rsidRDefault="001B286E" w:rsidP="001B286E">
      <w:pPr>
        <w:jc w:val="both"/>
        <w:rPr>
          <w:rFonts w:ascii="Calibri" w:hAnsi="Calibri" w:cs="Calibri"/>
          <w:bCs/>
          <w:iCs/>
          <w:sz w:val="18"/>
          <w:szCs w:val="18"/>
          <w:lang w:eastAsia="fr-FR"/>
        </w:rPr>
      </w:pPr>
    </w:p>
    <w:p w:rsidR="001B286E" w:rsidRPr="001B286E" w:rsidRDefault="001B286E" w:rsidP="001B286E">
      <w:pPr>
        <w:jc w:val="both"/>
        <w:rPr>
          <w:rFonts w:ascii="Calibri" w:hAnsi="Calibri" w:cs="Calibri"/>
          <w:bCs/>
          <w:iCs/>
          <w:sz w:val="18"/>
          <w:szCs w:val="18"/>
          <w:lang w:eastAsia="fr-FR"/>
        </w:rPr>
      </w:pPr>
      <w:r w:rsidRPr="001B286E">
        <w:rPr>
          <w:rFonts w:ascii="Calibri" w:hAnsi="Calibri" w:cs="Calibri"/>
          <w:bCs/>
          <w:iCs/>
          <w:sz w:val="18"/>
          <w:szCs w:val="18"/>
          <w:lang w:eastAsia="fr-FR"/>
        </w:rPr>
        <w:t xml:space="preserve">6.3.8 Como quiera que el motivo de inconformidad del recurrente se soporta en la prevalencia del aparte de la sentencia C-221 de 2017 de la Corte Constitucional, frente a los autos AP4711-2017 y AP5052-2017 de la </w:t>
      </w:r>
      <w:proofErr w:type="spellStart"/>
      <w:r w:rsidRPr="001B286E">
        <w:rPr>
          <w:rFonts w:ascii="Calibri" w:hAnsi="Calibri" w:cs="Calibri"/>
          <w:bCs/>
          <w:iCs/>
          <w:sz w:val="18"/>
          <w:szCs w:val="18"/>
          <w:lang w:eastAsia="fr-FR"/>
        </w:rPr>
        <w:t>SP</w:t>
      </w:r>
      <w:proofErr w:type="spellEnd"/>
      <w:r w:rsidRPr="001B286E">
        <w:rPr>
          <w:rFonts w:ascii="Calibri" w:hAnsi="Calibri" w:cs="Calibri"/>
          <w:bCs/>
          <w:iCs/>
          <w:sz w:val="18"/>
          <w:szCs w:val="18"/>
          <w:lang w:eastAsia="fr-FR"/>
        </w:rPr>
        <w:t xml:space="preserve"> de la CSJ, esta Corporación en análisis normativo y jurisprudencial, concluye que no le asiste razón en su pretensión si se tiene en cuenta que los pronunciamientos de las altas cortes, como órganos de cierre de cada jurisdicción, también constituyen precedente judicial, es decir, el precedente no es exclusivamente el constitucional.</w:t>
      </w:r>
    </w:p>
    <w:p w:rsidR="001B286E" w:rsidRPr="001B286E" w:rsidRDefault="001B286E" w:rsidP="001B286E">
      <w:pPr>
        <w:jc w:val="both"/>
        <w:rPr>
          <w:rFonts w:ascii="Calibri" w:hAnsi="Calibri" w:cs="Calibri"/>
          <w:bCs/>
          <w:iCs/>
          <w:sz w:val="18"/>
          <w:szCs w:val="18"/>
          <w:lang w:eastAsia="fr-FR"/>
        </w:rPr>
      </w:pPr>
      <w:r w:rsidRPr="001B286E">
        <w:rPr>
          <w:rFonts w:ascii="Calibri" w:hAnsi="Calibri" w:cs="Calibri"/>
          <w:bCs/>
          <w:iCs/>
          <w:sz w:val="18"/>
          <w:szCs w:val="18"/>
          <w:lang w:eastAsia="fr-FR"/>
        </w:rPr>
        <w:t>(…)</w:t>
      </w:r>
    </w:p>
    <w:p w:rsidR="00FA2E76" w:rsidRDefault="001B286E" w:rsidP="001B286E">
      <w:pPr>
        <w:jc w:val="both"/>
        <w:rPr>
          <w:rFonts w:ascii="Calibri" w:hAnsi="Calibri" w:cs="Calibri"/>
          <w:bCs/>
          <w:iCs/>
          <w:sz w:val="18"/>
          <w:szCs w:val="18"/>
          <w:lang w:eastAsia="fr-FR"/>
        </w:rPr>
      </w:pPr>
      <w:r w:rsidRPr="001B286E">
        <w:rPr>
          <w:rFonts w:ascii="Calibri" w:hAnsi="Calibri" w:cs="Calibri"/>
          <w:bCs/>
          <w:iCs/>
          <w:sz w:val="18"/>
          <w:szCs w:val="18"/>
          <w:lang w:eastAsia="fr-FR"/>
        </w:rPr>
        <w:t xml:space="preserve">En ese orden de ideas debe entenderse que las decisiones CSJ </w:t>
      </w:r>
      <w:proofErr w:type="spellStart"/>
      <w:r w:rsidRPr="001B286E">
        <w:rPr>
          <w:rFonts w:ascii="Calibri" w:hAnsi="Calibri" w:cs="Calibri"/>
          <w:bCs/>
          <w:iCs/>
          <w:sz w:val="18"/>
          <w:szCs w:val="18"/>
          <w:lang w:eastAsia="fr-FR"/>
        </w:rPr>
        <w:t>SP</w:t>
      </w:r>
      <w:proofErr w:type="spellEnd"/>
      <w:r w:rsidRPr="001B286E">
        <w:rPr>
          <w:rFonts w:ascii="Calibri" w:hAnsi="Calibri" w:cs="Calibri"/>
          <w:bCs/>
          <w:iCs/>
          <w:sz w:val="18"/>
          <w:szCs w:val="18"/>
          <w:lang w:eastAsia="fr-FR"/>
        </w:rPr>
        <w:t xml:space="preserve"> del 24 de julio de 2017, radicado 49734 y CSJ </w:t>
      </w:r>
      <w:proofErr w:type="spellStart"/>
      <w:r w:rsidRPr="001B286E">
        <w:rPr>
          <w:rFonts w:ascii="Calibri" w:hAnsi="Calibri" w:cs="Calibri"/>
          <w:bCs/>
          <w:iCs/>
          <w:sz w:val="18"/>
          <w:szCs w:val="18"/>
          <w:lang w:eastAsia="fr-FR"/>
        </w:rPr>
        <w:t>SP</w:t>
      </w:r>
      <w:proofErr w:type="spellEnd"/>
      <w:r w:rsidRPr="001B286E">
        <w:rPr>
          <w:rFonts w:ascii="Calibri" w:hAnsi="Calibri" w:cs="Calibri"/>
          <w:bCs/>
          <w:iCs/>
          <w:sz w:val="18"/>
          <w:szCs w:val="18"/>
          <w:lang w:eastAsia="fr-FR"/>
        </w:rPr>
        <w:t xml:space="preserve"> del 9 de agosto de 2017, radicado 50861, donde se precisó que en los casos regidos por la ley 906 de 2004 las medidas de aseguramiento dejaban de tener efectos con el anuncio del sentido del fallo, y que de ahí en adelante la persona vinculada al proceso quedaba privada de su libertad para el cumplimiento de la pena, constituyen precedentes del órgano de cierre de la jurisdicción penal, proferidos en ejercicio de la labor de definición y unificación de la jurisprudencia que deben ser acatados, por los jueces, como se expuso en la misma sentencia C-037 de 1996 del 5 de febrero de 1996 de la Corte Constitucional. </w:t>
      </w:r>
    </w:p>
    <w:p w:rsidR="00B9650C" w:rsidRPr="00511166" w:rsidRDefault="00B9650C" w:rsidP="001B286E">
      <w:pPr>
        <w:jc w:val="both"/>
        <w:rPr>
          <w:rFonts w:ascii="Calibri" w:hAnsi="Calibri" w:cs="Calibri"/>
          <w:bCs/>
          <w:iCs/>
          <w:sz w:val="18"/>
          <w:szCs w:val="18"/>
          <w:lang w:eastAsia="fr-FR"/>
        </w:rPr>
      </w:pPr>
      <w:r w:rsidRPr="00511166">
        <w:rPr>
          <w:rFonts w:ascii="Calibri" w:hAnsi="Calibri" w:cs="Calibri"/>
          <w:bCs/>
          <w:iCs/>
          <w:sz w:val="18"/>
          <w:szCs w:val="18"/>
          <w:lang w:eastAsia="fr-FR"/>
        </w:rPr>
        <w:t>(…)</w:t>
      </w:r>
    </w:p>
    <w:p w:rsidR="00B9650C" w:rsidRPr="00511166" w:rsidRDefault="001B286E" w:rsidP="00B9650C">
      <w:pPr>
        <w:jc w:val="both"/>
        <w:rPr>
          <w:rFonts w:ascii="Calibri" w:hAnsi="Calibri" w:cs="Calibri"/>
          <w:bCs/>
          <w:iCs/>
          <w:sz w:val="18"/>
          <w:szCs w:val="18"/>
          <w:lang w:eastAsia="fr-FR"/>
        </w:rPr>
      </w:pPr>
      <w:r w:rsidRPr="001B286E">
        <w:rPr>
          <w:rFonts w:ascii="Calibri" w:hAnsi="Calibri" w:cs="Calibri"/>
          <w:bCs/>
          <w:iCs/>
          <w:sz w:val="18"/>
          <w:szCs w:val="18"/>
          <w:lang w:eastAsia="fr-FR"/>
        </w:rPr>
        <w:t xml:space="preserve">Por lo tanto, la Sala estima que en el caso en estudio fue acertado lo decidido por el a quo puesto que no resulta procedente la concesión de “libertad por vencimiento de términos” ni la sustitución de medida de aseguramiento al sentenciado </w:t>
      </w:r>
      <w:proofErr w:type="spellStart"/>
      <w:r w:rsidR="00FA2E76">
        <w:rPr>
          <w:rFonts w:ascii="Calibri" w:hAnsi="Calibri" w:cs="Calibri"/>
          <w:bCs/>
          <w:iCs/>
          <w:sz w:val="18"/>
          <w:szCs w:val="18"/>
          <w:lang w:eastAsia="fr-FR"/>
        </w:rPr>
        <w:t>GAMM</w:t>
      </w:r>
      <w:proofErr w:type="spellEnd"/>
      <w:r w:rsidRPr="001B286E">
        <w:rPr>
          <w:rFonts w:ascii="Calibri" w:hAnsi="Calibri" w:cs="Calibri"/>
          <w:bCs/>
          <w:iCs/>
          <w:sz w:val="18"/>
          <w:szCs w:val="18"/>
          <w:lang w:eastAsia="fr-FR"/>
        </w:rPr>
        <w:t>, toda vez que en sentido estricto está descontando una pena y no bajo el régimen de una medida de aseguramiento privativa de la libertad, por lo cual se confirmará la decisión de primera instancia.</w:t>
      </w:r>
    </w:p>
    <w:p w:rsidR="00B9650C" w:rsidRDefault="00B9650C" w:rsidP="00207F36">
      <w:pPr>
        <w:keepNext/>
        <w:widowControl/>
        <w:spacing w:before="240" w:line="360" w:lineRule="auto"/>
        <w:jc w:val="center"/>
        <w:outlineLvl w:val="0"/>
        <w:rPr>
          <w:rFonts w:ascii="Arial" w:hAnsi="Arial" w:cs="Arial"/>
          <w:b/>
          <w:bCs/>
          <w:color w:val="auto"/>
          <w:kern w:val="32"/>
          <w:lang w:val="es-CO" w:eastAsia="en-US"/>
        </w:rPr>
      </w:pPr>
    </w:p>
    <w:p w:rsidR="00E97302" w:rsidRPr="00021899" w:rsidRDefault="00E97302" w:rsidP="00207F36">
      <w:pPr>
        <w:keepNext/>
        <w:widowControl/>
        <w:spacing w:before="240" w:line="360" w:lineRule="auto"/>
        <w:jc w:val="center"/>
        <w:outlineLvl w:val="0"/>
        <w:rPr>
          <w:rFonts w:ascii="Arial" w:hAnsi="Arial" w:cs="Arial"/>
          <w:b/>
          <w:bCs/>
          <w:color w:val="auto"/>
          <w:kern w:val="32"/>
          <w:lang w:val="es-CO" w:eastAsia="en-US"/>
        </w:rPr>
      </w:pPr>
      <w:r w:rsidRPr="00021899">
        <w:rPr>
          <w:rFonts w:ascii="Arial" w:hAnsi="Arial" w:cs="Arial"/>
          <w:b/>
          <w:bCs/>
          <w:color w:val="auto"/>
          <w:kern w:val="32"/>
          <w:lang w:val="es-CO" w:eastAsia="en-US"/>
        </w:rPr>
        <w:t>RAMA JUDICIAL DEL PODER PÚBLICO</w:t>
      </w:r>
    </w:p>
    <w:p w:rsidR="00E97302" w:rsidRPr="00021899" w:rsidRDefault="003750FE" w:rsidP="00207F36">
      <w:pPr>
        <w:widowControl/>
        <w:spacing w:line="360" w:lineRule="auto"/>
        <w:ind w:right="7"/>
        <w:jc w:val="center"/>
        <w:rPr>
          <w:rFonts w:ascii="Arial" w:hAnsi="Arial" w:cs="Arial"/>
          <w:b/>
          <w:bCs/>
          <w:color w:val="auto"/>
          <w:lang w:val="es-CO" w:eastAsia="en-US"/>
        </w:rPr>
      </w:pPr>
      <w:r w:rsidRPr="00021899">
        <w:rPr>
          <w:rFonts w:ascii="Arial" w:hAnsi="Arial" w:cs="Arial"/>
          <w:b/>
          <w:noProof/>
          <w:color w:val="auto"/>
        </w:rPr>
        <w:drawing>
          <wp:inline distT="0" distB="0" distL="0" distR="0" wp14:anchorId="55D3C1BD" wp14:editId="37BC5B68">
            <wp:extent cx="453390" cy="572770"/>
            <wp:effectExtent l="0" t="0" r="381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72770"/>
                    </a:xfrm>
                    <a:prstGeom prst="rect">
                      <a:avLst/>
                    </a:prstGeom>
                    <a:noFill/>
                    <a:ln>
                      <a:noFill/>
                    </a:ln>
                  </pic:spPr>
                </pic:pic>
              </a:graphicData>
            </a:graphic>
          </wp:inline>
        </w:drawing>
      </w:r>
    </w:p>
    <w:p w:rsidR="00E97302" w:rsidRPr="00021899" w:rsidRDefault="00E97302" w:rsidP="00207F36">
      <w:pPr>
        <w:widowControl/>
        <w:spacing w:line="360" w:lineRule="auto"/>
        <w:jc w:val="center"/>
        <w:rPr>
          <w:rFonts w:ascii="Arial" w:hAnsi="Arial" w:cs="Arial"/>
          <w:b/>
          <w:bCs/>
          <w:color w:val="auto"/>
          <w:lang w:val="es-ES_tradnl"/>
        </w:rPr>
      </w:pPr>
      <w:r w:rsidRPr="00021899">
        <w:rPr>
          <w:rFonts w:ascii="Arial" w:hAnsi="Arial" w:cs="Arial"/>
          <w:b/>
          <w:bCs/>
          <w:color w:val="auto"/>
          <w:lang w:val="es-ES_tradnl"/>
        </w:rPr>
        <w:t>TRIBUNAL SUPERIOR DEL DISTRITO JUDICIAL DE PEREIRA – RISARALDA</w:t>
      </w:r>
    </w:p>
    <w:p w:rsidR="00E97302" w:rsidRPr="00021899" w:rsidRDefault="00E97302" w:rsidP="00207F36">
      <w:pPr>
        <w:keepNext/>
        <w:widowControl/>
        <w:spacing w:before="240" w:line="360" w:lineRule="auto"/>
        <w:ind w:right="7"/>
        <w:jc w:val="center"/>
        <w:outlineLvl w:val="3"/>
        <w:rPr>
          <w:rFonts w:ascii="Arial" w:hAnsi="Arial" w:cs="Arial"/>
          <w:b/>
          <w:bCs/>
          <w:color w:val="auto"/>
        </w:rPr>
      </w:pPr>
      <w:r w:rsidRPr="00021899">
        <w:rPr>
          <w:rFonts w:ascii="Arial" w:hAnsi="Arial" w:cs="Arial"/>
          <w:b/>
          <w:bCs/>
          <w:color w:val="auto"/>
        </w:rPr>
        <w:t>SALA DE DECISIÓN PENAL</w:t>
      </w:r>
    </w:p>
    <w:p w:rsidR="00E97302" w:rsidRPr="00021899" w:rsidRDefault="00E97302" w:rsidP="00207F36">
      <w:pPr>
        <w:widowControl/>
        <w:spacing w:line="360" w:lineRule="auto"/>
        <w:ind w:right="7"/>
        <w:jc w:val="center"/>
        <w:rPr>
          <w:rFonts w:ascii="Arial" w:hAnsi="Arial" w:cs="Arial"/>
          <w:b/>
          <w:color w:val="auto"/>
          <w:lang w:val="es-ES_tradnl"/>
        </w:rPr>
      </w:pPr>
      <w:proofErr w:type="spellStart"/>
      <w:r w:rsidRPr="00021899">
        <w:rPr>
          <w:rFonts w:ascii="Arial" w:hAnsi="Arial" w:cs="Arial"/>
          <w:b/>
          <w:color w:val="auto"/>
          <w:lang w:val="es-ES_tradnl"/>
        </w:rPr>
        <w:t>M.P</w:t>
      </w:r>
      <w:proofErr w:type="spellEnd"/>
      <w:r w:rsidRPr="00021899">
        <w:rPr>
          <w:rFonts w:ascii="Arial" w:hAnsi="Arial" w:cs="Arial"/>
          <w:b/>
          <w:color w:val="auto"/>
          <w:lang w:val="es-ES_tradnl"/>
        </w:rPr>
        <w:t>. JAIRO ERNESTO ESCOBAR SANZ</w:t>
      </w:r>
    </w:p>
    <w:p w:rsidR="00E97302" w:rsidRPr="00021899" w:rsidRDefault="00E97302" w:rsidP="00207F36">
      <w:pPr>
        <w:widowControl/>
        <w:tabs>
          <w:tab w:val="left" w:pos="2410"/>
        </w:tabs>
        <w:spacing w:line="360" w:lineRule="auto"/>
        <w:ind w:right="7"/>
        <w:jc w:val="both"/>
        <w:rPr>
          <w:rFonts w:ascii="Arial" w:hAnsi="Arial" w:cs="Arial"/>
          <w:color w:val="auto"/>
          <w:lang w:val="es-CO" w:eastAsia="en-US"/>
        </w:rPr>
      </w:pPr>
    </w:p>
    <w:p w:rsidR="00E97302" w:rsidRPr="00021899" w:rsidRDefault="00E97302" w:rsidP="00207F36">
      <w:pPr>
        <w:widowControl/>
        <w:tabs>
          <w:tab w:val="left" w:pos="2410"/>
        </w:tabs>
        <w:spacing w:line="360" w:lineRule="auto"/>
        <w:ind w:right="7"/>
        <w:jc w:val="both"/>
        <w:rPr>
          <w:rFonts w:ascii="Arial" w:hAnsi="Arial" w:cs="Arial"/>
          <w:color w:val="auto"/>
          <w:lang w:val="es-CO" w:eastAsia="en-US"/>
        </w:rPr>
      </w:pPr>
    </w:p>
    <w:p w:rsidR="00E97302" w:rsidRPr="00021899" w:rsidRDefault="00E97302" w:rsidP="00207F36">
      <w:pPr>
        <w:widowControl/>
        <w:spacing w:line="360" w:lineRule="auto"/>
        <w:jc w:val="both"/>
        <w:rPr>
          <w:rFonts w:ascii="Arial" w:hAnsi="Arial" w:cs="Arial"/>
          <w:bCs/>
          <w:color w:val="auto"/>
          <w:lang w:val="es-ES_tradnl"/>
        </w:rPr>
      </w:pPr>
      <w:r w:rsidRPr="00021899">
        <w:rPr>
          <w:rFonts w:ascii="Arial" w:hAnsi="Arial" w:cs="Arial"/>
          <w:bCs/>
          <w:color w:val="auto"/>
          <w:lang w:val="es-ES_tradnl"/>
        </w:rPr>
        <w:t xml:space="preserve">Pereira, </w:t>
      </w:r>
      <w:r w:rsidR="00272552">
        <w:rPr>
          <w:rFonts w:ascii="Arial" w:hAnsi="Arial" w:cs="Arial"/>
          <w:bCs/>
          <w:color w:val="auto"/>
          <w:lang w:val="es-ES_tradnl"/>
        </w:rPr>
        <w:t>veintitrés (</w:t>
      </w:r>
      <w:r w:rsidR="0004547D">
        <w:rPr>
          <w:rFonts w:ascii="Arial" w:hAnsi="Arial" w:cs="Arial"/>
          <w:bCs/>
          <w:color w:val="auto"/>
          <w:lang w:val="es-ES_tradnl"/>
        </w:rPr>
        <w:t>23</w:t>
      </w:r>
      <w:r w:rsidR="00272552">
        <w:rPr>
          <w:rFonts w:ascii="Arial" w:hAnsi="Arial" w:cs="Arial"/>
          <w:bCs/>
          <w:color w:val="auto"/>
          <w:lang w:val="es-ES_tradnl"/>
        </w:rPr>
        <w:t xml:space="preserve">) de marzo </w:t>
      </w:r>
      <w:r w:rsidRPr="00021899">
        <w:rPr>
          <w:rFonts w:ascii="Arial" w:hAnsi="Arial" w:cs="Arial"/>
          <w:bCs/>
          <w:color w:val="auto"/>
          <w:lang w:val="es-ES_tradnl"/>
        </w:rPr>
        <w:t>de dos mil dieci</w:t>
      </w:r>
      <w:r w:rsidR="00272552">
        <w:rPr>
          <w:rFonts w:ascii="Arial" w:hAnsi="Arial" w:cs="Arial"/>
          <w:bCs/>
          <w:color w:val="auto"/>
          <w:lang w:val="es-ES_tradnl"/>
        </w:rPr>
        <w:t>ocho</w:t>
      </w:r>
      <w:r w:rsidRPr="00021899">
        <w:rPr>
          <w:rFonts w:ascii="Arial" w:hAnsi="Arial" w:cs="Arial"/>
          <w:bCs/>
          <w:color w:val="auto"/>
          <w:lang w:val="es-ES_tradnl"/>
        </w:rPr>
        <w:t xml:space="preserve"> (201</w:t>
      </w:r>
      <w:r w:rsidR="00272552">
        <w:rPr>
          <w:rFonts w:ascii="Arial" w:hAnsi="Arial" w:cs="Arial"/>
          <w:bCs/>
          <w:color w:val="auto"/>
          <w:lang w:val="es-ES_tradnl"/>
        </w:rPr>
        <w:t>8</w:t>
      </w:r>
      <w:r w:rsidRPr="00021899">
        <w:rPr>
          <w:rFonts w:ascii="Arial" w:hAnsi="Arial" w:cs="Arial"/>
          <w:bCs/>
          <w:color w:val="auto"/>
          <w:lang w:val="es-ES_tradnl"/>
        </w:rPr>
        <w:t>)</w:t>
      </w:r>
    </w:p>
    <w:p w:rsidR="00E97302" w:rsidRPr="00021899" w:rsidRDefault="00272552" w:rsidP="00207F36">
      <w:pPr>
        <w:widowControl/>
        <w:spacing w:line="360" w:lineRule="auto"/>
        <w:ind w:left="708" w:hanging="708"/>
        <w:jc w:val="both"/>
        <w:rPr>
          <w:rFonts w:ascii="Arial" w:hAnsi="Arial" w:cs="Arial"/>
          <w:bCs/>
          <w:color w:val="auto"/>
          <w:lang w:val="es-ES_tradnl"/>
        </w:rPr>
      </w:pPr>
      <w:r>
        <w:rPr>
          <w:rFonts w:ascii="Arial" w:hAnsi="Arial" w:cs="Arial"/>
          <w:bCs/>
          <w:color w:val="auto"/>
          <w:lang w:val="es-ES_tradnl"/>
        </w:rPr>
        <w:t>Acta Nro. 0290</w:t>
      </w:r>
    </w:p>
    <w:p w:rsidR="00E97302" w:rsidRPr="00021899" w:rsidRDefault="00272552" w:rsidP="00207F36">
      <w:pPr>
        <w:widowControl/>
        <w:spacing w:line="360" w:lineRule="auto"/>
        <w:jc w:val="both"/>
        <w:rPr>
          <w:rFonts w:ascii="Arial" w:hAnsi="Arial" w:cs="Arial"/>
          <w:bCs/>
          <w:color w:val="auto"/>
          <w:lang w:val="es-ES_tradnl"/>
        </w:rPr>
      </w:pPr>
      <w:r>
        <w:rPr>
          <w:rFonts w:ascii="Arial" w:hAnsi="Arial" w:cs="Arial"/>
          <w:bCs/>
          <w:color w:val="auto"/>
          <w:lang w:val="es-ES_tradnl"/>
        </w:rPr>
        <w:t xml:space="preserve">Hora: 7:40 a.m. </w:t>
      </w:r>
    </w:p>
    <w:p w:rsidR="00E97302" w:rsidRPr="00021899" w:rsidRDefault="00E97302"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u w:val="single"/>
        </w:rPr>
      </w:pPr>
    </w:p>
    <w:p w:rsidR="00E97302" w:rsidRPr="00021899" w:rsidRDefault="00E97302" w:rsidP="00207F36">
      <w:pPr>
        <w:spacing w:line="360" w:lineRule="auto"/>
        <w:ind w:right="49"/>
        <w:jc w:val="both"/>
        <w:rPr>
          <w:rFonts w:ascii="Arial" w:hAnsi="Arial" w:cs="Arial"/>
          <w:color w:val="auto"/>
          <w:u w:val="single"/>
        </w:rPr>
      </w:pPr>
    </w:p>
    <w:p w:rsidR="00E97302" w:rsidRPr="00082BDF" w:rsidRDefault="00082BDF" w:rsidP="00207F36">
      <w:pPr>
        <w:spacing w:line="360" w:lineRule="auto"/>
        <w:ind w:right="49"/>
        <w:jc w:val="center"/>
        <w:rPr>
          <w:rFonts w:ascii="Arial" w:hAnsi="Arial" w:cs="Arial"/>
          <w:b/>
          <w:color w:val="auto"/>
        </w:rPr>
      </w:pPr>
      <w:r>
        <w:rPr>
          <w:rFonts w:ascii="Arial" w:hAnsi="Arial" w:cs="Arial"/>
          <w:b/>
          <w:color w:val="auto"/>
        </w:rPr>
        <w:t>1. ASUNTO A DECIDIR</w:t>
      </w:r>
    </w:p>
    <w:p w:rsidR="00E97302" w:rsidRPr="00021899" w:rsidRDefault="00E97302"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 xml:space="preserve">Se entra a resolver lo concerniente al recurso de apelación interpuesto por </w:t>
      </w:r>
      <w:r w:rsidR="007F0855" w:rsidRPr="00021899">
        <w:rPr>
          <w:rFonts w:ascii="Arial" w:hAnsi="Arial" w:cs="Arial"/>
          <w:color w:val="auto"/>
        </w:rPr>
        <w:t>e</w:t>
      </w:r>
      <w:r w:rsidRPr="00021899">
        <w:rPr>
          <w:rFonts w:ascii="Arial" w:hAnsi="Arial" w:cs="Arial"/>
          <w:color w:val="auto"/>
        </w:rPr>
        <w:t>l apoderad</w:t>
      </w:r>
      <w:r w:rsidR="007F0855" w:rsidRPr="00021899">
        <w:rPr>
          <w:rFonts w:ascii="Arial" w:hAnsi="Arial" w:cs="Arial"/>
          <w:color w:val="auto"/>
        </w:rPr>
        <w:t>o</w:t>
      </w:r>
      <w:r w:rsidRPr="00021899">
        <w:rPr>
          <w:rFonts w:ascii="Arial" w:hAnsi="Arial" w:cs="Arial"/>
          <w:color w:val="auto"/>
        </w:rPr>
        <w:t xml:space="preserve"> de la defensa, contra la decisión del </w:t>
      </w:r>
      <w:r w:rsidR="007F0855" w:rsidRPr="00021899">
        <w:rPr>
          <w:rFonts w:ascii="Arial" w:hAnsi="Arial" w:cs="Arial"/>
          <w:color w:val="auto"/>
        </w:rPr>
        <w:t>12 de septiembre de 2017</w:t>
      </w:r>
      <w:r w:rsidRPr="00021899">
        <w:rPr>
          <w:rFonts w:ascii="Arial" w:hAnsi="Arial" w:cs="Arial"/>
          <w:color w:val="auto"/>
        </w:rPr>
        <w:t xml:space="preserve"> del juez </w:t>
      </w:r>
      <w:proofErr w:type="gramStart"/>
      <w:r w:rsidR="007F0855" w:rsidRPr="00021899">
        <w:rPr>
          <w:rFonts w:ascii="Arial" w:hAnsi="Arial" w:cs="Arial"/>
          <w:color w:val="auto"/>
        </w:rPr>
        <w:t>único</w:t>
      </w:r>
      <w:proofErr w:type="gramEnd"/>
      <w:r w:rsidR="007F0855" w:rsidRPr="00021899">
        <w:rPr>
          <w:rFonts w:ascii="Arial" w:hAnsi="Arial" w:cs="Arial"/>
          <w:color w:val="auto"/>
        </w:rPr>
        <w:t xml:space="preserve"> promiscuo del circuito de </w:t>
      </w:r>
      <w:proofErr w:type="spellStart"/>
      <w:r w:rsidR="007F0855" w:rsidRPr="00021899">
        <w:rPr>
          <w:rFonts w:ascii="Arial" w:hAnsi="Arial" w:cs="Arial"/>
          <w:color w:val="auto"/>
        </w:rPr>
        <w:t>Quinchía</w:t>
      </w:r>
      <w:proofErr w:type="spellEnd"/>
      <w:r w:rsidR="007F0855" w:rsidRPr="00021899">
        <w:rPr>
          <w:rFonts w:ascii="Arial" w:hAnsi="Arial" w:cs="Arial"/>
          <w:color w:val="auto"/>
        </w:rPr>
        <w:t xml:space="preserve"> - Risaralda</w:t>
      </w:r>
      <w:r w:rsidRPr="00021899">
        <w:rPr>
          <w:rFonts w:ascii="Arial" w:hAnsi="Arial" w:cs="Arial"/>
          <w:color w:val="auto"/>
        </w:rPr>
        <w:t xml:space="preserve">, quien negó la </w:t>
      </w:r>
      <w:r w:rsidR="00673EE9" w:rsidRPr="00021899">
        <w:rPr>
          <w:rFonts w:ascii="Arial" w:hAnsi="Arial" w:cs="Arial"/>
          <w:color w:val="auto"/>
        </w:rPr>
        <w:t xml:space="preserve">solicitud de libertad o </w:t>
      </w:r>
      <w:r w:rsidRPr="00021899">
        <w:rPr>
          <w:rFonts w:ascii="Arial" w:hAnsi="Arial" w:cs="Arial"/>
          <w:color w:val="auto"/>
        </w:rPr>
        <w:t xml:space="preserve">sustitución de medida de aseguramiento al ciudadano </w:t>
      </w:r>
      <w:r w:rsidR="00673EE9" w:rsidRPr="00021899">
        <w:rPr>
          <w:rFonts w:ascii="Arial" w:hAnsi="Arial" w:cs="Arial"/>
          <w:color w:val="auto"/>
        </w:rPr>
        <w:t>Gerardo Alirio Moncada Medina</w:t>
      </w:r>
      <w:r w:rsidRPr="00021899">
        <w:rPr>
          <w:rFonts w:ascii="Arial" w:hAnsi="Arial" w:cs="Arial"/>
          <w:color w:val="auto"/>
        </w:rPr>
        <w:t xml:space="preserve">, quien se encuentra privado de su libertad como consecuencia de la sentencia dictada el </w:t>
      </w:r>
      <w:r w:rsidR="00673EE9" w:rsidRPr="00021899">
        <w:rPr>
          <w:rFonts w:ascii="Arial" w:hAnsi="Arial" w:cs="Arial"/>
          <w:color w:val="auto"/>
        </w:rPr>
        <w:t>6 de junio de 2011</w:t>
      </w:r>
      <w:r w:rsidRPr="00021899">
        <w:rPr>
          <w:rFonts w:ascii="Arial" w:hAnsi="Arial" w:cs="Arial"/>
          <w:color w:val="auto"/>
        </w:rPr>
        <w:t xml:space="preserve"> por ese mismo despacho, al ser declarado responsable del delito de </w:t>
      </w:r>
      <w:r w:rsidR="00232B5E" w:rsidRPr="00021899">
        <w:rPr>
          <w:rFonts w:ascii="Arial" w:hAnsi="Arial" w:cs="Arial"/>
          <w:color w:val="auto"/>
        </w:rPr>
        <w:t xml:space="preserve">acceso carnal abusivo con menor de 14 años. </w:t>
      </w:r>
    </w:p>
    <w:p w:rsidR="00232B5E" w:rsidRPr="00021899" w:rsidRDefault="00232B5E" w:rsidP="00207F36">
      <w:pPr>
        <w:spacing w:line="360" w:lineRule="auto"/>
        <w:ind w:right="49"/>
        <w:jc w:val="both"/>
        <w:rPr>
          <w:rFonts w:ascii="Arial" w:hAnsi="Arial" w:cs="Arial"/>
          <w:color w:val="auto"/>
        </w:rPr>
      </w:pPr>
    </w:p>
    <w:p w:rsidR="00E97302" w:rsidRPr="00082BDF" w:rsidRDefault="00E97302" w:rsidP="00207F36">
      <w:pPr>
        <w:spacing w:line="360" w:lineRule="auto"/>
        <w:ind w:right="49"/>
        <w:jc w:val="center"/>
        <w:rPr>
          <w:rFonts w:ascii="Arial" w:hAnsi="Arial" w:cs="Arial"/>
          <w:b/>
          <w:color w:val="auto"/>
        </w:rPr>
      </w:pPr>
      <w:r w:rsidRPr="00082BDF">
        <w:rPr>
          <w:rFonts w:ascii="Arial" w:hAnsi="Arial" w:cs="Arial"/>
          <w:b/>
          <w:color w:val="auto"/>
        </w:rPr>
        <w:t xml:space="preserve">2. ANTECEDENTES </w:t>
      </w:r>
    </w:p>
    <w:p w:rsidR="00E97302" w:rsidRPr="00021899" w:rsidRDefault="00E97302" w:rsidP="00207F36">
      <w:pPr>
        <w:spacing w:line="360" w:lineRule="auto"/>
        <w:ind w:right="49"/>
        <w:jc w:val="both"/>
        <w:rPr>
          <w:rFonts w:ascii="Arial" w:hAnsi="Arial" w:cs="Arial"/>
          <w:color w:val="auto"/>
          <w:u w:val="single"/>
        </w:rPr>
      </w:pPr>
    </w:p>
    <w:p w:rsidR="0089057A" w:rsidRPr="00021899" w:rsidRDefault="00B74FD6" w:rsidP="00207F36">
      <w:pPr>
        <w:spacing w:line="360" w:lineRule="auto"/>
        <w:ind w:right="49"/>
        <w:jc w:val="both"/>
        <w:rPr>
          <w:rFonts w:ascii="Arial" w:hAnsi="Arial" w:cs="Arial"/>
          <w:color w:val="auto"/>
        </w:rPr>
      </w:pPr>
      <w:r w:rsidRPr="00021899">
        <w:rPr>
          <w:rFonts w:ascii="Arial" w:hAnsi="Arial" w:cs="Arial"/>
          <w:color w:val="auto"/>
        </w:rPr>
        <w:t xml:space="preserve">2.1 </w:t>
      </w:r>
      <w:r w:rsidR="00232B5E" w:rsidRPr="00021899">
        <w:rPr>
          <w:rFonts w:ascii="Arial" w:hAnsi="Arial" w:cs="Arial"/>
          <w:color w:val="auto"/>
        </w:rPr>
        <w:t xml:space="preserve">El apoderado </w:t>
      </w:r>
      <w:r w:rsidR="00E97302" w:rsidRPr="00021899">
        <w:rPr>
          <w:rFonts w:ascii="Arial" w:hAnsi="Arial" w:cs="Arial"/>
          <w:color w:val="auto"/>
        </w:rPr>
        <w:t xml:space="preserve">judicial del señor </w:t>
      </w:r>
      <w:r w:rsidR="00673EE9" w:rsidRPr="00021899">
        <w:rPr>
          <w:rFonts w:ascii="Arial" w:hAnsi="Arial" w:cs="Arial"/>
          <w:color w:val="auto"/>
        </w:rPr>
        <w:t>Gerardo Alirio Moncada Medina</w:t>
      </w:r>
      <w:r w:rsidR="00E97302" w:rsidRPr="00021899">
        <w:rPr>
          <w:rFonts w:ascii="Arial" w:hAnsi="Arial" w:cs="Arial"/>
          <w:color w:val="auto"/>
        </w:rPr>
        <w:t xml:space="preserve"> elevó una solicitud de libertad </w:t>
      </w:r>
      <w:r w:rsidR="0089057A" w:rsidRPr="00021899">
        <w:rPr>
          <w:rFonts w:ascii="Arial" w:hAnsi="Arial" w:cs="Arial"/>
          <w:color w:val="auto"/>
        </w:rPr>
        <w:t xml:space="preserve">o en su defecto sustitución de medida de aseguramiento </w:t>
      </w:r>
      <w:r w:rsidR="00E97302" w:rsidRPr="00021899">
        <w:rPr>
          <w:rFonts w:ascii="Arial" w:hAnsi="Arial" w:cs="Arial"/>
          <w:color w:val="auto"/>
        </w:rPr>
        <w:t>a favor de su representado para lo cual invoc</w:t>
      </w:r>
      <w:r w:rsidRPr="00021899">
        <w:rPr>
          <w:rFonts w:ascii="Arial" w:hAnsi="Arial" w:cs="Arial"/>
          <w:color w:val="auto"/>
        </w:rPr>
        <w:t>ó</w:t>
      </w:r>
      <w:r w:rsidR="00E97302" w:rsidRPr="00021899">
        <w:rPr>
          <w:rFonts w:ascii="Arial" w:hAnsi="Arial" w:cs="Arial"/>
          <w:color w:val="auto"/>
        </w:rPr>
        <w:t xml:space="preserve"> lo dispuesto en la sentencia C-221 de 2017 de la Corte Constitucional, petición que </w:t>
      </w:r>
      <w:r w:rsidR="0089057A" w:rsidRPr="00021899">
        <w:rPr>
          <w:rFonts w:ascii="Arial" w:hAnsi="Arial" w:cs="Arial"/>
          <w:color w:val="auto"/>
        </w:rPr>
        <w:t xml:space="preserve">se radicó ante el juez único promiscuo del circuito de </w:t>
      </w:r>
      <w:proofErr w:type="spellStart"/>
      <w:r w:rsidR="0089057A" w:rsidRPr="00021899">
        <w:rPr>
          <w:rFonts w:ascii="Arial" w:hAnsi="Arial" w:cs="Arial"/>
          <w:color w:val="auto"/>
        </w:rPr>
        <w:t>Quinchía</w:t>
      </w:r>
      <w:proofErr w:type="spellEnd"/>
      <w:r w:rsidR="0089057A" w:rsidRPr="00021899">
        <w:rPr>
          <w:rFonts w:ascii="Arial" w:hAnsi="Arial" w:cs="Arial"/>
          <w:color w:val="auto"/>
        </w:rPr>
        <w:t xml:space="preserve">, quien consideró que la competencia para resolver lo deprecado recaía en el juzgado promiscuo municipal con función de control de garantías de la misma localidad </w:t>
      </w:r>
      <w:r w:rsidRPr="00021899">
        <w:rPr>
          <w:rFonts w:ascii="Arial" w:hAnsi="Arial" w:cs="Arial"/>
          <w:color w:val="auto"/>
        </w:rPr>
        <w:t>(</w:t>
      </w:r>
      <w:proofErr w:type="spellStart"/>
      <w:r w:rsidRPr="00021899">
        <w:rPr>
          <w:rFonts w:ascii="Arial" w:hAnsi="Arial" w:cs="Arial"/>
          <w:color w:val="auto"/>
        </w:rPr>
        <w:t>Fl</w:t>
      </w:r>
      <w:proofErr w:type="spellEnd"/>
      <w:r w:rsidRPr="00021899">
        <w:rPr>
          <w:rFonts w:ascii="Arial" w:hAnsi="Arial" w:cs="Arial"/>
          <w:color w:val="auto"/>
        </w:rPr>
        <w:t xml:space="preserve">. 13). </w:t>
      </w:r>
    </w:p>
    <w:p w:rsidR="0089057A" w:rsidRPr="00021899" w:rsidRDefault="0089057A" w:rsidP="00207F36">
      <w:pPr>
        <w:spacing w:line="360" w:lineRule="auto"/>
        <w:ind w:right="49"/>
        <w:jc w:val="both"/>
        <w:rPr>
          <w:rFonts w:ascii="Arial" w:hAnsi="Arial" w:cs="Arial"/>
          <w:color w:val="auto"/>
        </w:rPr>
      </w:pPr>
    </w:p>
    <w:p w:rsidR="0089057A" w:rsidRPr="00021899" w:rsidRDefault="00B74FD6" w:rsidP="00207F36">
      <w:pPr>
        <w:spacing w:line="360" w:lineRule="auto"/>
        <w:ind w:right="49"/>
        <w:jc w:val="both"/>
        <w:rPr>
          <w:rFonts w:ascii="Arial" w:hAnsi="Arial" w:cs="Arial"/>
          <w:color w:val="auto"/>
        </w:rPr>
      </w:pPr>
      <w:r w:rsidRPr="00021899">
        <w:rPr>
          <w:rFonts w:ascii="Arial" w:hAnsi="Arial" w:cs="Arial"/>
          <w:color w:val="auto"/>
        </w:rPr>
        <w:t xml:space="preserve">2.2 </w:t>
      </w:r>
      <w:r w:rsidR="00F7493E" w:rsidRPr="00021899">
        <w:rPr>
          <w:rFonts w:ascii="Arial" w:hAnsi="Arial" w:cs="Arial"/>
          <w:color w:val="auto"/>
        </w:rPr>
        <w:t xml:space="preserve">Mediante pronunciamiento del 15 de agosto de 2017 el juez promiscuo municipal de </w:t>
      </w:r>
      <w:proofErr w:type="spellStart"/>
      <w:r w:rsidR="00F7493E" w:rsidRPr="00021899">
        <w:rPr>
          <w:rFonts w:ascii="Arial" w:hAnsi="Arial" w:cs="Arial"/>
          <w:color w:val="auto"/>
        </w:rPr>
        <w:t>Quinchía</w:t>
      </w:r>
      <w:proofErr w:type="spellEnd"/>
      <w:r w:rsidR="00F7493E" w:rsidRPr="00021899">
        <w:rPr>
          <w:rFonts w:ascii="Arial" w:hAnsi="Arial" w:cs="Arial"/>
          <w:color w:val="auto"/>
        </w:rPr>
        <w:t xml:space="preserve"> advierte que en auto AP5052-2017 radicado 50861 del 9 de agosto del mismo año, la Corte Suprema de Justicia se definió la competencia para resolver sobre las peticiones de libertad de condenados en primera instancia en los jueces de conocimiento que impartieron las correspondientes sentencias, por lo tanto, remite la actuación nuevamente al juez promiscuo del circuito</w:t>
      </w:r>
      <w:r w:rsidR="00021899">
        <w:rPr>
          <w:rFonts w:ascii="Arial" w:hAnsi="Arial" w:cs="Arial"/>
          <w:color w:val="auto"/>
        </w:rPr>
        <w:t xml:space="preserve"> de </w:t>
      </w:r>
      <w:proofErr w:type="spellStart"/>
      <w:r w:rsidR="00021899">
        <w:rPr>
          <w:rFonts w:ascii="Arial" w:hAnsi="Arial" w:cs="Arial"/>
          <w:color w:val="auto"/>
        </w:rPr>
        <w:t>Quinchía</w:t>
      </w:r>
      <w:proofErr w:type="spellEnd"/>
      <w:r w:rsidR="00021899">
        <w:rPr>
          <w:rFonts w:ascii="Arial" w:hAnsi="Arial" w:cs="Arial"/>
          <w:color w:val="auto"/>
        </w:rPr>
        <w:t xml:space="preserve"> para lo pertinente</w:t>
      </w:r>
      <w:r w:rsidR="00F7493E" w:rsidRPr="00021899">
        <w:rPr>
          <w:rFonts w:ascii="Arial" w:hAnsi="Arial" w:cs="Arial"/>
          <w:color w:val="auto"/>
        </w:rPr>
        <w:t xml:space="preserve"> </w:t>
      </w:r>
      <w:r w:rsidR="00E67301" w:rsidRPr="00021899">
        <w:rPr>
          <w:rFonts w:ascii="Arial" w:hAnsi="Arial" w:cs="Arial"/>
          <w:color w:val="auto"/>
        </w:rPr>
        <w:t>(</w:t>
      </w:r>
      <w:proofErr w:type="spellStart"/>
      <w:r w:rsidR="00E67301" w:rsidRPr="00021899">
        <w:rPr>
          <w:rFonts w:ascii="Arial" w:hAnsi="Arial" w:cs="Arial"/>
          <w:color w:val="auto"/>
        </w:rPr>
        <w:t>Fl</w:t>
      </w:r>
      <w:proofErr w:type="spellEnd"/>
      <w:r w:rsidR="00E67301" w:rsidRPr="00021899">
        <w:rPr>
          <w:rFonts w:ascii="Arial" w:hAnsi="Arial" w:cs="Arial"/>
          <w:color w:val="auto"/>
        </w:rPr>
        <w:t>. 22).</w:t>
      </w:r>
    </w:p>
    <w:p w:rsidR="00F7493E" w:rsidRPr="00021899" w:rsidRDefault="00F7493E" w:rsidP="00207F36">
      <w:pPr>
        <w:spacing w:line="360" w:lineRule="auto"/>
        <w:ind w:right="49"/>
        <w:jc w:val="both"/>
        <w:rPr>
          <w:rFonts w:ascii="Arial" w:hAnsi="Arial" w:cs="Arial"/>
          <w:color w:val="auto"/>
        </w:rPr>
      </w:pPr>
    </w:p>
    <w:p w:rsidR="00E67301" w:rsidRPr="00021899" w:rsidRDefault="00E67301" w:rsidP="00207F36">
      <w:pPr>
        <w:spacing w:line="360" w:lineRule="auto"/>
        <w:ind w:right="49"/>
        <w:jc w:val="both"/>
        <w:rPr>
          <w:rFonts w:ascii="Arial" w:hAnsi="Arial" w:cs="Arial"/>
          <w:color w:val="auto"/>
        </w:rPr>
      </w:pPr>
    </w:p>
    <w:p w:rsidR="00E67301" w:rsidRPr="00021899" w:rsidRDefault="00E67301" w:rsidP="00E67301">
      <w:pPr>
        <w:spacing w:line="360" w:lineRule="auto"/>
        <w:ind w:right="49"/>
        <w:jc w:val="center"/>
        <w:rPr>
          <w:rFonts w:ascii="Arial" w:hAnsi="Arial" w:cs="Arial"/>
          <w:color w:val="auto"/>
          <w:u w:val="single"/>
        </w:rPr>
      </w:pPr>
      <w:r w:rsidRPr="00021899">
        <w:rPr>
          <w:rFonts w:ascii="Arial" w:hAnsi="Arial" w:cs="Arial"/>
          <w:color w:val="auto"/>
          <w:u w:val="single"/>
        </w:rPr>
        <w:t>3. SOBRE LA ACTUACIÓN QUE DIO ORIGEN AL RECURSO</w:t>
      </w:r>
    </w:p>
    <w:p w:rsidR="00E67301" w:rsidRPr="00021899" w:rsidRDefault="00E67301" w:rsidP="00207F36">
      <w:pPr>
        <w:spacing w:line="360" w:lineRule="auto"/>
        <w:ind w:right="49"/>
        <w:jc w:val="both"/>
        <w:rPr>
          <w:rFonts w:ascii="Arial" w:hAnsi="Arial" w:cs="Arial"/>
          <w:color w:val="auto"/>
          <w:u w:val="single"/>
        </w:rPr>
      </w:pPr>
    </w:p>
    <w:p w:rsidR="0008725D" w:rsidRPr="00021899" w:rsidRDefault="00E67301" w:rsidP="00207F36">
      <w:pPr>
        <w:spacing w:line="360" w:lineRule="auto"/>
        <w:ind w:right="49"/>
        <w:jc w:val="both"/>
        <w:rPr>
          <w:rFonts w:ascii="Arial" w:hAnsi="Arial" w:cs="Arial"/>
          <w:color w:val="auto"/>
        </w:rPr>
      </w:pPr>
      <w:r w:rsidRPr="00021899">
        <w:rPr>
          <w:rFonts w:ascii="Arial" w:hAnsi="Arial" w:cs="Arial"/>
          <w:color w:val="auto"/>
        </w:rPr>
        <w:t>3</w:t>
      </w:r>
      <w:r w:rsidR="00D173F1" w:rsidRPr="00021899">
        <w:rPr>
          <w:rFonts w:ascii="Arial" w:hAnsi="Arial" w:cs="Arial"/>
          <w:color w:val="auto"/>
        </w:rPr>
        <w:t xml:space="preserve">.1 Según el registro de la diligencia que tuvo lugar el </w:t>
      </w:r>
      <w:r w:rsidR="00BF5FD6" w:rsidRPr="00021899">
        <w:rPr>
          <w:rFonts w:ascii="Arial" w:hAnsi="Arial" w:cs="Arial"/>
          <w:color w:val="auto"/>
        </w:rPr>
        <w:t>12 de septiembre</w:t>
      </w:r>
      <w:r w:rsidR="00905B95" w:rsidRPr="00021899">
        <w:rPr>
          <w:rFonts w:ascii="Arial" w:hAnsi="Arial" w:cs="Arial"/>
          <w:color w:val="auto"/>
        </w:rPr>
        <w:t xml:space="preserve"> de</w:t>
      </w:r>
      <w:r w:rsidR="00CA0259" w:rsidRPr="00021899">
        <w:rPr>
          <w:rFonts w:ascii="Arial" w:hAnsi="Arial" w:cs="Arial"/>
          <w:color w:val="auto"/>
        </w:rPr>
        <w:t xml:space="preserve"> 2017, </w:t>
      </w:r>
      <w:r w:rsidR="00E97302" w:rsidRPr="00021899">
        <w:rPr>
          <w:rFonts w:ascii="Arial" w:hAnsi="Arial" w:cs="Arial"/>
          <w:color w:val="auto"/>
        </w:rPr>
        <w:t>el juez</w:t>
      </w:r>
      <w:r w:rsidR="00D81688" w:rsidRPr="00021899">
        <w:rPr>
          <w:rFonts w:ascii="Arial" w:hAnsi="Arial" w:cs="Arial"/>
          <w:color w:val="auto"/>
        </w:rPr>
        <w:t xml:space="preserve"> </w:t>
      </w:r>
      <w:r w:rsidR="000E6D08">
        <w:rPr>
          <w:rFonts w:ascii="Arial" w:hAnsi="Arial" w:cs="Arial"/>
          <w:color w:val="auto"/>
        </w:rPr>
        <w:t xml:space="preserve">de conocimiento </w:t>
      </w:r>
      <w:r w:rsidR="00D81688" w:rsidRPr="00021899">
        <w:rPr>
          <w:rFonts w:ascii="Arial" w:hAnsi="Arial" w:cs="Arial"/>
          <w:color w:val="auto"/>
        </w:rPr>
        <w:t>argumentó que e</w:t>
      </w:r>
      <w:r w:rsidR="000E6D08">
        <w:rPr>
          <w:rFonts w:ascii="Arial" w:hAnsi="Arial" w:cs="Arial"/>
          <w:color w:val="auto"/>
        </w:rPr>
        <w:t>ra</w:t>
      </w:r>
      <w:r w:rsidR="00CA0259" w:rsidRPr="00021899">
        <w:rPr>
          <w:rFonts w:ascii="Arial" w:hAnsi="Arial" w:cs="Arial"/>
          <w:color w:val="auto"/>
        </w:rPr>
        <w:t xml:space="preserve"> </w:t>
      </w:r>
      <w:r w:rsidR="00D81688" w:rsidRPr="00021899">
        <w:rPr>
          <w:rFonts w:ascii="Arial" w:hAnsi="Arial" w:cs="Arial"/>
          <w:color w:val="auto"/>
        </w:rPr>
        <w:t xml:space="preserve">competente para decidir esa petición en acatamiento de </w:t>
      </w:r>
      <w:r w:rsidR="00CA0259" w:rsidRPr="00021899">
        <w:rPr>
          <w:rFonts w:ascii="Arial" w:hAnsi="Arial" w:cs="Arial"/>
          <w:color w:val="auto"/>
        </w:rPr>
        <w:t xml:space="preserve">la </w:t>
      </w:r>
      <w:r w:rsidR="00D81688" w:rsidRPr="00021899">
        <w:rPr>
          <w:rFonts w:ascii="Arial" w:hAnsi="Arial" w:cs="Arial"/>
          <w:color w:val="auto"/>
        </w:rPr>
        <w:t>providencia de</w:t>
      </w:r>
      <w:r w:rsidR="00CA0259" w:rsidRPr="00021899">
        <w:rPr>
          <w:rFonts w:ascii="Arial" w:hAnsi="Arial" w:cs="Arial"/>
          <w:color w:val="auto"/>
        </w:rPr>
        <w:t xml:space="preserve">l </w:t>
      </w:r>
      <w:r w:rsidR="00D81688" w:rsidRPr="00021899">
        <w:rPr>
          <w:rFonts w:ascii="Arial" w:hAnsi="Arial" w:cs="Arial"/>
          <w:color w:val="auto"/>
        </w:rPr>
        <w:t xml:space="preserve">9 de agosto de 2017 radicado 50681 de la </w:t>
      </w:r>
      <w:proofErr w:type="spellStart"/>
      <w:r w:rsidR="00D81688" w:rsidRPr="00021899">
        <w:rPr>
          <w:rFonts w:ascii="Arial" w:hAnsi="Arial" w:cs="Arial"/>
          <w:color w:val="auto"/>
        </w:rPr>
        <w:t>SP</w:t>
      </w:r>
      <w:proofErr w:type="spellEnd"/>
      <w:r w:rsidR="00D81688" w:rsidRPr="00021899">
        <w:rPr>
          <w:rFonts w:ascii="Arial" w:hAnsi="Arial" w:cs="Arial"/>
          <w:color w:val="auto"/>
        </w:rPr>
        <w:t xml:space="preserve"> CSJ, por haber emitido la sentencia condenatoria en primera instancia</w:t>
      </w:r>
      <w:r w:rsidR="00CA0259" w:rsidRPr="00021899">
        <w:rPr>
          <w:rFonts w:ascii="Arial" w:hAnsi="Arial" w:cs="Arial"/>
          <w:color w:val="auto"/>
        </w:rPr>
        <w:t xml:space="preserve">. </w:t>
      </w:r>
    </w:p>
    <w:p w:rsidR="0008725D" w:rsidRPr="00021899" w:rsidRDefault="0008725D" w:rsidP="00207F36">
      <w:pPr>
        <w:spacing w:line="360" w:lineRule="auto"/>
        <w:ind w:right="49"/>
        <w:jc w:val="both"/>
        <w:rPr>
          <w:rFonts w:ascii="Arial" w:hAnsi="Arial" w:cs="Arial"/>
          <w:color w:val="auto"/>
        </w:rPr>
      </w:pPr>
    </w:p>
    <w:p w:rsidR="00E97302" w:rsidRPr="00021899" w:rsidRDefault="0008725D" w:rsidP="00207F36">
      <w:pPr>
        <w:spacing w:line="360" w:lineRule="auto"/>
        <w:ind w:right="49"/>
        <w:jc w:val="both"/>
        <w:rPr>
          <w:rFonts w:ascii="Arial" w:hAnsi="Arial" w:cs="Arial"/>
          <w:color w:val="auto"/>
        </w:rPr>
      </w:pPr>
      <w:r w:rsidRPr="00021899">
        <w:rPr>
          <w:rFonts w:ascii="Arial" w:hAnsi="Arial" w:cs="Arial"/>
          <w:color w:val="auto"/>
        </w:rPr>
        <w:lastRenderedPageBreak/>
        <w:t xml:space="preserve">3.2 </w:t>
      </w:r>
      <w:r w:rsidR="00CA0259" w:rsidRPr="00021899">
        <w:rPr>
          <w:rFonts w:ascii="Arial" w:hAnsi="Arial" w:cs="Arial"/>
          <w:color w:val="auto"/>
        </w:rPr>
        <w:t xml:space="preserve">En consecuencia le </w:t>
      </w:r>
      <w:r w:rsidR="00D81688" w:rsidRPr="00021899">
        <w:rPr>
          <w:rFonts w:ascii="Arial" w:hAnsi="Arial" w:cs="Arial"/>
          <w:color w:val="auto"/>
        </w:rPr>
        <w:t xml:space="preserve">otorgó la palabra al solicitante para que sustentara </w:t>
      </w:r>
      <w:r w:rsidRPr="00021899">
        <w:rPr>
          <w:rFonts w:ascii="Arial" w:hAnsi="Arial" w:cs="Arial"/>
          <w:color w:val="auto"/>
        </w:rPr>
        <w:t>su</w:t>
      </w:r>
      <w:r w:rsidR="00D81688" w:rsidRPr="00021899">
        <w:rPr>
          <w:rFonts w:ascii="Arial" w:hAnsi="Arial" w:cs="Arial"/>
          <w:color w:val="auto"/>
        </w:rPr>
        <w:t xml:space="preserve"> pretensión</w:t>
      </w:r>
      <w:r w:rsidR="00E97302" w:rsidRPr="00021899">
        <w:rPr>
          <w:rFonts w:ascii="Arial" w:hAnsi="Arial" w:cs="Arial"/>
          <w:color w:val="auto"/>
        </w:rPr>
        <w:t xml:space="preserve">, </w:t>
      </w:r>
      <w:r w:rsidR="00CA0259" w:rsidRPr="00021899">
        <w:rPr>
          <w:rFonts w:ascii="Arial" w:hAnsi="Arial" w:cs="Arial"/>
          <w:color w:val="auto"/>
        </w:rPr>
        <w:t>quien la fundamentó en los siguientes hechos:</w:t>
      </w:r>
    </w:p>
    <w:p w:rsidR="00E97302" w:rsidRPr="00021899" w:rsidRDefault="00E97302" w:rsidP="00207F36">
      <w:pPr>
        <w:spacing w:line="360" w:lineRule="auto"/>
        <w:ind w:right="49"/>
        <w:jc w:val="both"/>
        <w:rPr>
          <w:rFonts w:ascii="Arial" w:hAnsi="Arial" w:cs="Arial"/>
          <w:color w:val="auto"/>
        </w:rPr>
      </w:pPr>
    </w:p>
    <w:p w:rsidR="0008725D" w:rsidRPr="00021899" w:rsidRDefault="00583839"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El solicitante invocó</w:t>
      </w:r>
      <w:r w:rsidR="00DB6E94" w:rsidRPr="00021899">
        <w:rPr>
          <w:rFonts w:ascii="Arial" w:hAnsi="Arial" w:cs="Arial"/>
          <w:color w:val="auto"/>
        </w:rPr>
        <w:t xml:space="preserve"> la libertad de </w:t>
      </w:r>
      <w:r w:rsidR="00673EE9" w:rsidRPr="00021899">
        <w:rPr>
          <w:rFonts w:ascii="Arial" w:hAnsi="Arial" w:cs="Arial"/>
          <w:color w:val="auto"/>
        </w:rPr>
        <w:t>Gerardo Alirio Moncada Medina</w:t>
      </w:r>
      <w:r w:rsidR="00E97302" w:rsidRPr="00021899">
        <w:rPr>
          <w:rFonts w:ascii="Arial" w:hAnsi="Arial" w:cs="Arial"/>
          <w:color w:val="auto"/>
        </w:rPr>
        <w:t xml:space="preserve"> </w:t>
      </w:r>
      <w:r w:rsidR="00DB6E94" w:rsidRPr="00021899">
        <w:rPr>
          <w:rFonts w:ascii="Arial" w:hAnsi="Arial" w:cs="Arial"/>
          <w:color w:val="auto"/>
        </w:rPr>
        <w:t xml:space="preserve">o en su defecto la sustitución de la medida de aseguramiento </w:t>
      </w:r>
      <w:r w:rsidR="00E13368" w:rsidRPr="00021899">
        <w:rPr>
          <w:rFonts w:ascii="Arial" w:hAnsi="Arial" w:cs="Arial"/>
          <w:color w:val="auto"/>
        </w:rPr>
        <w:t xml:space="preserve">de detención preventiva </w:t>
      </w:r>
      <w:r w:rsidR="000E6D08">
        <w:rPr>
          <w:rFonts w:ascii="Arial" w:hAnsi="Arial" w:cs="Arial"/>
          <w:color w:val="auto"/>
        </w:rPr>
        <w:t xml:space="preserve">que le fue impuesta, </w:t>
      </w:r>
      <w:r w:rsidR="00DB6E94" w:rsidRPr="00021899">
        <w:rPr>
          <w:rFonts w:ascii="Arial" w:hAnsi="Arial" w:cs="Arial"/>
          <w:color w:val="auto"/>
        </w:rPr>
        <w:t>por</w:t>
      </w:r>
      <w:r w:rsidRPr="00021899">
        <w:rPr>
          <w:rFonts w:ascii="Arial" w:hAnsi="Arial" w:cs="Arial"/>
          <w:color w:val="auto"/>
        </w:rPr>
        <w:t xml:space="preserve"> una de</w:t>
      </w:r>
      <w:r w:rsidR="00DB6E94" w:rsidRPr="00021899">
        <w:rPr>
          <w:rFonts w:ascii="Arial" w:hAnsi="Arial" w:cs="Arial"/>
          <w:color w:val="auto"/>
        </w:rPr>
        <w:t xml:space="preserve"> aquellas no privativas de la libertad del artícu</w:t>
      </w:r>
      <w:r w:rsidRPr="00021899">
        <w:rPr>
          <w:rFonts w:ascii="Arial" w:hAnsi="Arial" w:cs="Arial"/>
          <w:color w:val="auto"/>
        </w:rPr>
        <w:t>lo 307 literal b</w:t>
      </w:r>
      <w:r w:rsidR="0008725D" w:rsidRPr="00021899">
        <w:rPr>
          <w:rFonts w:ascii="Arial" w:hAnsi="Arial" w:cs="Arial"/>
          <w:color w:val="auto"/>
        </w:rPr>
        <w:t xml:space="preserve">) </w:t>
      </w:r>
      <w:r w:rsidRPr="00021899">
        <w:rPr>
          <w:rFonts w:ascii="Arial" w:hAnsi="Arial" w:cs="Arial"/>
          <w:color w:val="auto"/>
        </w:rPr>
        <w:t xml:space="preserve"> del </w:t>
      </w:r>
      <w:proofErr w:type="spellStart"/>
      <w:r w:rsidRPr="00021899">
        <w:rPr>
          <w:rFonts w:ascii="Arial" w:hAnsi="Arial" w:cs="Arial"/>
          <w:color w:val="auto"/>
        </w:rPr>
        <w:t>CPP</w:t>
      </w:r>
      <w:proofErr w:type="spellEnd"/>
      <w:r w:rsidRPr="00021899">
        <w:rPr>
          <w:rFonts w:ascii="Arial" w:hAnsi="Arial" w:cs="Arial"/>
          <w:color w:val="auto"/>
        </w:rPr>
        <w:t xml:space="preserve">. </w:t>
      </w:r>
    </w:p>
    <w:p w:rsidR="0008725D" w:rsidRPr="00021899" w:rsidRDefault="0008725D" w:rsidP="0008725D">
      <w:pPr>
        <w:pStyle w:val="Prrafodelista"/>
        <w:spacing w:line="360" w:lineRule="auto"/>
        <w:ind w:right="49"/>
        <w:jc w:val="both"/>
        <w:rPr>
          <w:rFonts w:ascii="Arial" w:hAnsi="Arial" w:cs="Arial"/>
          <w:color w:val="auto"/>
        </w:rPr>
      </w:pPr>
    </w:p>
    <w:p w:rsidR="00021899" w:rsidRDefault="00583839" w:rsidP="00021899">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Indicó</w:t>
      </w:r>
      <w:r w:rsidR="00DB6E94" w:rsidRPr="00021899">
        <w:rPr>
          <w:rFonts w:ascii="Arial" w:hAnsi="Arial" w:cs="Arial"/>
          <w:color w:val="auto"/>
        </w:rPr>
        <w:t xml:space="preserve"> que su defendido </w:t>
      </w:r>
      <w:r w:rsidR="00E97302" w:rsidRPr="00021899">
        <w:rPr>
          <w:rFonts w:ascii="Arial" w:hAnsi="Arial" w:cs="Arial"/>
          <w:color w:val="auto"/>
        </w:rPr>
        <w:t xml:space="preserve">se encuentra detenido desde el </w:t>
      </w:r>
      <w:r w:rsidR="00DB6E94" w:rsidRPr="00021899">
        <w:rPr>
          <w:rFonts w:ascii="Arial" w:hAnsi="Arial" w:cs="Arial"/>
          <w:color w:val="auto"/>
        </w:rPr>
        <w:t xml:space="preserve">5 de </w:t>
      </w:r>
      <w:r w:rsidR="00AF481F" w:rsidRPr="00021899">
        <w:rPr>
          <w:rFonts w:ascii="Arial" w:hAnsi="Arial" w:cs="Arial"/>
          <w:color w:val="auto"/>
        </w:rPr>
        <w:t xml:space="preserve">julio </w:t>
      </w:r>
      <w:r w:rsidR="00DB6E94" w:rsidRPr="00021899">
        <w:rPr>
          <w:rFonts w:ascii="Arial" w:hAnsi="Arial" w:cs="Arial"/>
          <w:color w:val="auto"/>
        </w:rPr>
        <w:t xml:space="preserve">de 2011 </w:t>
      </w:r>
      <w:r w:rsidR="00AF481F" w:rsidRPr="00021899">
        <w:rPr>
          <w:rFonts w:ascii="Arial" w:hAnsi="Arial" w:cs="Arial"/>
          <w:color w:val="auto"/>
        </w:rPr>
        <w:t>fecha en la que operó su captura po</w:t>
      </w:r>
      <w:r w:rsidR="00E13368" w:rsidRPr="00021899">
        <w:rPr>
          <w:rFonts w:ascii="Arial" w:hAnsi="Arial" w:cs="Arial"/>
          <w:color w:val="auto"/>
        </w:rPr>
        <w:t xml:space="preserve">r orden </w:t>
      </w:r>
      <w:r w:rsidR="000E6D08">
        <w:rPr>
          <w:rFonts w:ascii="Arial" w:hAnsi="Arial" w:cs="Arial"/>
          <w:color w:val="auto"/>
        </w:rPr>
        <w:t>judicial,</w:t>
      </w:r>
      <w:r w:rsidR="00E13368" w:rsidRPr="00021899">
        <w:rPr>
          <w:rFonts w:ascii="Arial" w:hAnsi="Arial" w:cs="Arial"/>
          <w:color w:val="auto"/>
        </w:rPr>
        <w:t xml:space="preserve"> la cual </w:t>
      </w:r>
      <w:r w:rsidR="00AF481F" w:rsidRPr="00021899">
        <w:rPr>
          <w:rFonts w:ascii="Arial" w:hAnsi="Arial" w:cs="Arial"/>
          <w:color w:val="auto"/>
        </w:rPr>
        <w:t xml:space="preserve">se legalizó en audiencias preliminares ante </w:t>
      </w:r>
      <w:r w:rsidR="0008725D" w:rsidRPr="00021899">
        <w:rPr>
          <w:rFonts w:ascii="Arial" w:hAnsi="Arial" w:cs="Arial"/>
          <w:color w:val="auto"/>
        </w:rPr>
        <w:t>un</w:t>
      </w:r>
      <w:r w:rsidR="00AF481F" w:rsidRPr="00021899">
        <w:rPr>
          <w:rFonts w:ascii="Arial" w:hAnsi="Arial" w:cs="Arial"/>
          <w:color w:val="auto"/>
        </w:rPr>
        <w:t xml:space="preserve"> juez de control de garantías</w:t>
      </w:r>
      <w:r w:rsidR="00E13368" w:rsidRPr="00021899">
        <w:rPr>
          <w:rFonts w:ascii="Arial" w:hAnsi="Arial" w:cs="Arial"/>
          <w:color w:val="auto"/>
        </w:rPr>
        <w:t xml:space="preserve"> </w:t>
      </w:r>
      <w:r w:rsidR="0008725D" w:rsidRPr="00021899">
        <w:rPr>
          <w:rFonts w:ascii="Arial" w:hAnsi="Arial" w:cs="Arial"/>
          <w:color w:val="auto"/>
        </w:rPr>
        <w:t xml:space="preserve">del 6 de junio de 2011, donde se le </w:t>
      </w:r>
      <w:r w:rsidR="005A6C85" w:rsidRPr="00021899">
        <w:rPr>
          <w:rFonts w:ascii="Arial" w:hAnsi="Arial" w:cs="Arial"/>
          <w:color w:val="auto"/>
        </w:rPr>
        <w:t>impuso medida de aseguramiento en establecimiento carcelario</w:t>
      </w:r>
      <w:r w:rsidR="00E13368" w:rsidRPr="00021899">
        <w:rPr>
          <w:rFonts w:ascii="Arial" w:hAnsi="Arial" w:cs="Arial"/>
          <w:color w:val="auto"/>
        </w:rPr>
        <w:t>.</w:t>
      </w:r>
    </w:p>
    <w:p w:rsidR="00021899" w:rsidRPr="00021899" w:rsidRDefault="00021899" w:rsidP="00021899">
      <w:pPr>
        <w:pStyle w:val="Prrafodelista"/>
        <w:rPr>
          <w:rFonts w:ascii="Arial" w:hAnsi="Arial" w:cs="Arial"/>
          <w:color w:val="auto"/>
        </w:rPr>
      </w:pPr>
    </w:p>
    <w:p w:rsidR="00E97302" w:rsidRPr="00021899" w:rsidRDefault="00E13368" w:rsidP="00021899">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 xml:space="preserve">El </w:t>
      </w:r>
      <w:r w:rsidR="005A6C85" w:rsidRPr="00021899">
        <w:rPr>
          <w:rFonts w:ascii="Arial" w:hAnsi="Arial" w:cs="Arial"/>
          <w:color w:val="auto"/>
        </w:rPr>
        <w:t>18 de agosto de 2011 se llevó a cabo la audiencia de formulación de acusaci</w:t>
      </w:r>
      <w:r w:rsidR="00D04721" w:rsidRPr="00021899">
        <w:rPr>
          <w:rFonts w:ascii="Arial" w:hAnsi="Arial" w:cs="Arial"/>
          <w:color w:val="auto"/>
        </w:rPr>
        <w:t>ón</w:t>
      </w:r>
      <w:r w:rsidR="000E6D08">
        <w:rPr>
          <w:rFonts w:ascii="Arial" w:hAnsi="Arial" w:cs="Arial"/>
          <w:color w:val="auto"/>
        </w:rPr>
        <w:t>. El</w:t>
      </w:r>
      <w:r w:rsidR="00D04721" w:rsidRPr="00021899">
        <w:rPr>
          <w:rFonts w:ascii="Arial" w:hAnsi="Arial" w:cs="Arial"/>
          <w:color w:val="auto"/>
        </w:rPr>
        <w:t xml:space="preserve"> 26 de enero de 2012 se realizó la audiencia preparatoria</w:t>
      </w:r>
      <w:r w:rsidR="0008725D" w:rsidRPr="00021899">
        <w:rPr>
          <w:rFonts w:ascii="Arial" w:hAnsi="Arial" w:cs="Arial"/>
          <w:color w:val="auto"/>
        </w:rPr>
        <w:t xml:space="preserve">. Los </w:t>
      </w:r>
      <w:r w:rsidRPr="00021899">
        <w:rPr>
          <w:rFonts w:ascii="Arial" w:hAnsi="Arial" w:cs="Arial"/>
          <w:color w:val="auto"/>
        </w:rPr>
        <w:t xml:space="preserve">días </w:t>
      </w:r>
      <w:r w:rsidR="00D04721" w:rsidRPr="00021899">
        <w:rPr>
          <w:rFonts w:ascii="Arial" w:hAnsi="Arial" w:cs="Arial"/>
          <w:color w:val="auto"/>
        </w:rPr>
        <w:t xml:space="preserve">25 y 26 de abril de 2012 se llevó a cabo el juicio </w:t>
      </w:r>
      <w:r w:rsidR="0008725D" w:rsidRPr="00021899">
        <w:rPr>
          <w:rFonts w:ascii="Arial" w:hAnsi="Arial" w:cs="Arial"/>
          <w:color w:val="auto"/>
        </w:rPr>
        <w:t xml:space="preserve">oral </w:t>
      </w:r>
      <w:r w:rsidR="00D04721" w:rsidRPr="00021899">
        <w:rPr>
          <w:rFonts w:ascii="Arial" w:hAnsi="Arial" w:cs="Arial"/>
          <w:color w:val="auto"/>
        </w:rPr>
        <w:t xml:space="preserve">y se anunció </w:t>
      </w:r>
      <w:r w:rsidR="0008725D" w:rsidRPr="00021899">
        <w:rPr>
          <w:rFonts w:ascii="Arial" w:hAnsi="Arial" w:cs="Arial"/>
          <w:color w:val="auto"/>
        </w:rPr>
        <w:t xml:space="preserve">el </w:t>
      </w:r>
      <w:r w:rsidR="00D04721" w:rsidRPr="00021899">
        <w:rPr>
          <w:rFonts w:ascii="Arial" w:hAnsi="Arial" w:cs="Arial"/>
          <w:color w:val="auto"/>
        </w:rPr>
        <w:t>sentido de fallo condenatorio</w:t>
      </w:r>
      <w:r w:rsidR="000E6D08">
        <w:rPr>
          <w:rFonts w:ascii="Arial" w:hAnsi="Arial" w:cs="Arial"/>
          <w:color w:val="auto"/>
        </w:rPr>
        <w:t>. La sentencia se</w:t>
      </w:r>
      <w:r w:rsidR="00D04721" w:rsidRPr="00021899">
        <w:rPr>
          <w:rFonts w:ascii="Arial" w:hAnsi="Arial" w:cs="Arial"/>
          <w:color w:val="auto"/>
        </w:rPr>
        <w:t xml:space="preserve"> leyó el 6 de junio de 2012, </w:t>
      </w:r>
      <w:r w:rsidR="0008725D" w:rsidRPr="00021899">
        <w:rPr>
          <w:rFonts w:ascii="Arial" w:hAnsi="Arial" w:cs="Arial"/>
          <w:color w:val="auto"/>
        </w:rPr>
        <w:t xml:space="preserve">contra esa </w:t>
      </w:r>
      <w:r w:rsidR="00E97302" w:rsidRPr="00021899">
        <w:rPr>
          <w:rFonts w:ascii="Arial" w:hAnsi="Arial" w:cs="Arial"/>
          <w:color w:val="auto"/>
        </w:rPr>
        <w:t>providencia</w:t>
      </w:r>
      <w:r w:rsidR="0008725D" w:rsidRPr="00021899">
        <w:rPr>
          <w:rFonts w:ascii="Arial" w:hAnsi="Arial" w:cs="Arial"/>
          <w:color w:val="auto"/>
        </w:rPr>
        <w:t xml:space="preserve"> </w:t>
      </w:r>
      <w:r w:rsidR="00E97302" w:rsidRPr="00021899">
        <w:rPr>
          <w:rFonts w:ascii="Arial" w:hAnsi="Arial" w:cs="Arial"/>
          <w:color w:val="auto"/>
        </w:rPr>
        <w:t xml:space="preserve">interpuso </w:t>
      </w:r>
      <w:r w:rsidR="0008725D" w:rsidRPr="00021899">
        <w:rPr>
          <w:rFonts w:ascii="Arial" w:hAnsi="Arial" w:cs="Arial"/>
          <w:color w:val="auto"/>
        </w:rPr>
        <w:t xml:space="preserve">el </w:t>
      </w:r>
      <w:r w:rsidR="00E97302" w:rsidRPr="00021899">
        <w:rPr>
          <w:rFonts w:ascii="Arial" w:hAnsi="Arial" w:cs="Arial"/>
          <w:color w:val="auto"/>
        </w:rPr>
        <w:t xml:space="preserve">recurso de apelación sin que se haya desatado el mismo. </w:t>
      </w:r>
    </w:p>
    <w:p w:rsidR="00E97302" w:rsidRPr="00021899" w:rsidRDefault="00E97302" w:rsidP="00207F36">
      <w:pPr>
        <w:spacing w:line="360" w:lineRule="auto"/>
        <w:ind w:right="49"/>
        <w:jc w:val="both"/>
        <w:rPr>
          <w:rFonts w:ascii="Arial" w:hAnsi="Arial" w:cs="Arial"/>
          <w:color w:val="auto"/>
        </w:rPr>
      </w:pPr>
    </w:p>
    <w:p w:rsidR="00E97302" w:rsidRPr="00021899" w:rsidRDefault="0008725D"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 xml:space="preserve">La </w:t>
      </w:r>
      <w:r w:rsidR="00A0075B" w:rsidRPr="00021899">
        <w:rPr>
          <w:rFonts w:ascii="Arial" w:hAnsi="Arial" w:cs="Arial"/>
          <w:color w:val="auto"/>
        </w:rPr>
        <w:t xml:space="preserve">privación de la libertad </w:t>
      </w:r>
      <w:r w:rsidR="000E6D08">
        <w:rPr>
          <w:rFonts w:ascii="Arial" w:hAnsi="Arial" w:cs="Arial"/>
          <w:color w:val="auto"/>
        </w:rPr>
        <w:t>de su mandante se</w:t>
      </w:r>
      <w:r w:rsidRPr="00021899">
        <w:rPr>
          <w:rFonts w:ascii="Arial" w:hAnsi="Arial" w:cs="Arial"/>
          <w:color w:val="auto"/>
        </w:rPr>
        <w:t xml:space="preserve"> </w:t>
      </w:r>
      <w:r w:rsidR="00A0075B" w:rsidRPr="00021899">
        <w:rPr>
          <w:rFonts w:ascii="Arial" w:hAnsi="Arial" w:cs="Arial"/>
          <w:color w:val="auto"/>
        </w:rPr>
        <w:t>inició el 5 de julio de 2011 y hasta la fecha de la solicitud han transcurrido 6 años y 2 meses sin que se resuelva su caso</w:t>
      </w:r>
      <w:r w:rsidR="000E6D08">
        <w:rPr>
          <w:rFonts w:ascii="Arial" w:hAnsi="Arial" w:cs="Arial"/>
          <w:color w:val="auto"/>
        </w:rPr>
        <w:t>,</w:t>
      </w:r>
      <w:r w:rsidR="00BC5E35" w:rsidRPr="00021899">
        <w:rPr>
          <w:rFonts w:ascii="Arial" w:hAnsi="Arial" w:cs="Arial"/>
          <w:color w:val="auto"/>
        </w:rPr>
        <w:t xml:space="preserve"> por lo </w:t>
      </w:r>
      <w:r w:rsidRPr="00021899">
        <w:rPr>
          <w:rFonts w:ascii="Arial" w:hAnsi="Arial" w:cs="Arial"/>
          <w:color w:val="auto"/>
        </w:rPr>
        <w:t xml:space="preserve">cual </w:t>
      </w:r>
      <w:r w:rsidR="00BC5E35" w:rsidRPr="00021899">
        <w:rPr>
          <w:rFonts w:ascii="Arial" w:hAnsi="Arial" w:cs="Arial"/>
          <w:color w:val="auto"/>
        </w:rPr>
        <w:t>la</w:t>
      </w:r>
      <w:r w:rsidR="00A0075B" w:rsidRPr="00021899">
        <w:rPr>
          <w:rFonts w:ascii="Arial" w:hAnsi="Arial" w:cs="Arial"/>
          <w:color w:val="auto"/>
        </w:rPr>
        <w:t xml:space="preserve"> medida de aseguramiento se convirtió en un </w:t>
      </w:r>
      <w:r w:rsidRPr="00021899">
        <w:rPr>
          <w:rFonts w:ascii="Arial" w:hAnsi="Arial" w:cs="Arial"/>
          <w:color w:val="auto"/>
        </w:rPr>
        <w:t>“</w:t>
      </w:r>
      <w:r w:rsidR="00A0075B" w:rsidRPr="00021899">
        <w:rPr>
          <w:rFonts w:ascii="Arial" w:hAnsi="Arial" w:cs="Arial"/>
          <w:color w:val="auto"/>
        </w:rPr>
        <w:t>anticipo de la pena</w:t>
      </w:r>
      <w:r w:rsidRPr="00021899">
        <w:rPr>
          <w:rFonts w:ascii="Arial" w:hAnsi="Arial" w:cs="Arial"/>
          <w:color w:val="auto"/>
        </w:rPr>
        <w:t>”,</w:t>
      </w:r>
      <w:r w:rsidR="00BC5E35" w:rsidRPr="00021899">
        <w:rPr>
          <w:rFonts w:ascii="Arial" w:hAnsi="Arial" w:cs="Arial"/>
          <w:color w:val="auto"/>
        </w:rPr>
        <w:t xml:space="preserve"> </w:t>
      </w:r>
      <w:r w:rsidRPr="00021899">
        <w:rPr>
          <w:rFonts w:ascii="Arial" w:hAnsi="Arial" w:cs="Arial"/>
          <w:color w:val="auto"/>
        </w:rPr>
        <w:t>ya que la sa</w:t>
      </w:r>
      <w:r w:rsidR="00BC5E35" w:rsidRPr="00021899">
        <w:rPr>
          <w:rFonts w:ascii="Arial" w:hAnsi="Arial" w:cs="Arial"/>
          <w:color w:val="auto"/>
        </w:rPr>
        <w:t xml:space="preserve">nción que no ha adquirido firmeza porque fue impugnada y la Sala Penal del Tribunal Superior del Distrito no ha </w:t>
      </w:r>
      <w:r w:rsidR="000E6D08">
        <w:rPr>
          <w:rFonts w:ascii="Arial" w:hAnsi="Arial" w:cs="Arial"/>
          <w:color w:val="auto"/>
        </w:rPr>
        <w:t>decidido el</w:t>
      </w:r>
      <w:r w:rsidR="00BC5E35" w:rsidRPr="00021899">
        <w:rPr>
          <w:rFonts w:ascii="Arial" w:hAnsi="Arial" w:cs="Arial"/>
          <w:color w:val="auto"/>
        </w:rPr>
        <w:t xml:space="preserve"> recurso interpuesto. </w:t>
      </w:r>
    </w:p>
    <w:p w:rsidR="00BC5E35" w:rsidRPr="00021899" w:rsidRDefault="00BC5E35" w:rsidP="00207F36">
      <w:pPr>
        <w:spacing w:line="360" w:lineRule="auto"/>
        <w:ind w:right="49"/>
        <w:jc w:val="both"/>
        <w:rPr>
          <w:rFonts w:ascii="Arial" w:hAnsi="Arial" w:cs="Arial"/>
          <w:color w:val="auto"/>
        </w:rPr>
      </w:pPr>
    </w:p>
    <w:p w:rsidR="00BC5E35" w:rsidRPr="00021899" w:rsidRDefault="000E6D08" w:rsidP="008F5454">
      <w:pPr>
        <w:pStyle w:val="Prrafodelista"/>
        <w:numPr>
          <w:ilvl w:val="0"/>
          <w:numId w:val="3"/>
        </w:numPr>
        <w:spacing w:line="360" w:lineRule="auto"/>
        <w:ind w:right="49"/>
        <w:jc w:val="both"/>
        <w:rPr>
          <w:rFonts w:ascii="Arial" w:hAnsi="Arial" w:cs="Arial"/>
          <w:color w:val="auto"/>
        </w:rPr>
      </w:pPr>
      <w:r>
        <w:rPr>
          <w:rFonts w:ascii="Arial" w:hAnsi="Arial" w:cs="Arial"/>
          <w:color w:val="auto"/>
        </w:rPr>
        <w:t>Ha</w:t>
      </w:r>
      <w:r w:rsidR="00BC5E35" w:rsidRPr="00021899">
        <w:rPr>
          <w:rFonts w:ascii="Arial" w:hAnsi="Arial" w:cs="Arial"/>
          <w:color w:val="auto"/>
        </w:rPr>
        <w:t xml:space="preserve"> solicitado en dos ocasiones que se fije fecha para desatar el recurso y </w:t>
      </w:r>
      <w:r w:rsidR="00BB185B" w:rsidRPr="00021899">
        <w:rPr>
          <w:rFonts w:ascii="Arial" w:hAnsi="Arial" w:cs="Arial"/>
          <w:color w:val="auto"/>
        </w:rPr>
        <w:t xml:space="preserve">se le ha respondido </w:t>
      </w:r>
      <w:r w:rsidR="00BC5E35" w:rsidRPr="00021899">
        <w:rPr>
          <w:rFonts w:ascii="Arial" w:hAnsi="Arial" w:cs="Arial"/>
          <w:color w:val="auto"/>
        </w:rPr>
        <w:t xml:space="preserve">que no se ha dictado </w:t>
      </w:r>
      <w:r w:rsidR="00BB185B" w:rsidRPr="00021899">
        <w:rPr>
          <w:rFonts w:ascii="Arial" w:hAnsi="Arial" w:cs="Arial"/>
          <w:color w:val="auto"/>
        </w:rPr>
        <w:t xml:space="preserve">el </w:t>
      </w:r>
      <w:r w:rsidR="00BC5E35" w:rsidRPr="00021899">
        <w:rPr>
          <w:rFonts w:ascii="Arial" w:hAnsi="Arial" w:cs="Arial"/>
          <w:color w:val="auto"/>
        </w:rPr>
        <w:t>fallo de segunda instancia</w:t>
      </w:r>
      <w:r w:rsidR="00747007" w:rsidRPr="00021899">
        <w:rPr>
          <w:rFonts w:ascii="Arial" w:hAnsi="Arial" w:cs="Arial"/>
          <w:color w:val="auto"/>
        </w:rPr>
        <w:t>,</w:t>
      </w:r>
      <w:r w:rsidR="00BC5E35" w:rsidRPr="00021899">
        <w:rPr>
          <w:rFonts w:ascii="Arial" w:hAnsi="Arial" w:cs="Arial"/>
          <w:color w:val="auto"/>
        </w:rPr>
        <w:t xml:space="preserve"> entre otras cosas</w:t>
      </w:r>
      <w:r w:rsidR="00747007" w:rsidRPr="00021899">
        <w:rPr>
          <w:rFonts w:ascii="Arial" w:hAnsi="Arial" w:cs="Arial"/>
          <w:color w:val="auto"/>
        </w:rPr>
        <w:t>,</w:t>
      </w:r>
      <w:r w:rsidR="00BC5E35" w:rsidRPr="00021899">
        <w:rPr>
          <w:rFonts w:ascii="Arial" w:hAnsi="Arial" w:cs="Arial"/>
          <w:color w:val="auto"/>
        </w:rPr>
        <w:t xml:space="preserve"> por la congestión de la</w:t>
      </w:r>
      <w:r w:rsidR="00BB185B" w:rsidRPr="00021899">
        <w:rPr>
          <w:rFonts w:ascii="Arial" w:hAnsi="Arial" w:cs="Arial"/>
          <w:color w:val="auto"/>
        </w:rPr>
        <w:t xml:space="preserve"> Sala Penal y la </w:t>
      </w:r>
      <w:r w:rsidR="00BC5E35" w:rsidRPr="00021899">
        <w:rPr>
          <w:rFonts w:ascii="Arial" w:hAnsi="Arial" w:cs="Arial"/>
          <w:color w:val="auto"/>
        </w:rPr>
        <w:t xml:space="preserve">necesidad de dar cumplimiento al artículo 18 de la ley 446 de </w:t>
      </w:r>
      <w:r w:rsidR="00747007" w:rsidRPr="00021899">
        <w:rPr>
          <w:rFonts w:ascii="Arial" w:hAnsi="Arial" w:cs="Arial"/>
          <w:color w:val="auto"/>
        </w:rPr>
        <w:t xml:space="preserve">1998 y la ley 734 de 2002. </w:t>
      </w:r>
      <w:r w:rsidR="00F57ABC" w:rsidRPr="00021899">
        <w:rPr>
          <w:rFonts w:ascii="Arial" w:hAnsi="Arial" w:cs="Arial"/>
          <w:color w:val="auto"/>
        </w:rPr>
        <w:t xml:space="preserve">En su criterio, lo </w:t>
      </w:r>
      <w:r w:rsidR="00747007" w:rsidRPr="00021899">
        <w:rPr>
          <w:rFonts w:ascii="Arial" w:hAnsi="Arial" w:cs="Arial"/>
          <w:color w:val="auto"/>
        </w:rPr>
        <w:t>anterior</w:t>
      </w:r>
      <w:r w:rsidR="00B06E3A" w:rsidRPr="00021899">
        <w:rPr>
          <w:rFonts w:ascii="Arial" w:hAnsi="Arial" w:cs="Arial"/>
          <w:color w:val="auto"/>
        </w:rPr>
        <w:t>,</w:t>
      </w:r>
      <w:r w:rsidR="00747007" w:rsidRPr="00021899">
        <w:rPr>
          <w:rFonts w:ascii="Arial" w:hAnsi="Arial" w:cs="Arial"/>
          <w:color w:val="auto"/>
        </w:rPr>
        <w:t xml:space="preserve"> vulnera la dignidad humana, la presunción de inocencia, la libertad, l</w:t>
      </w:r>
      <w:r w:rsidR="0000293B" w:rsidRPr="00021899">
        <w:rPr>
          <w:rFonts w:ascii="Arial" w:hAnsi="Arial" w:cs="Arial"/>
          <w:color w:val="auto"/>
        </w:rPr>
        <w:t xml:space="preserve">a igualdad y el debido proceso sin dilaciones injustificadas. </w:t>
      </w:r>
    </w:p>
    <w:p w:rsidR="0000293B" w:rsidRPr="00021899" w:rsidRDefault="0000293B" w:rsidP="00207F36">
      <w:pPr>
        <w:spacing w:line="360" w:lineRule="auto"/>
        <w:ind w:right="49"/>
        <w:jc w:val="both"/>
        <w:rPr>
          <w:rFonts w:ascii="Arial" w:hAnsi="Arial" w:cs="Arial"/>
          <w:color w:val="auto"/>
        </w:rPr>
      </w:pPr>
    </w:p>
    <w:p w:rsidR="0000293B" w:rsidRPr="00021899" w:rsidRDefault="00F57ABC"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 xml:space="preserve">El </w:t>
      </w:r>
      <w:r w:rsidR="0000293B" w:rsidRPr="00021899">
        <w:rPr>
          <w:rFonts w:ascii="Arial" w:hAnsi="Arial" w:cs="Arial"/>
          <w:color w:val="auto"/>
        </w:rPr>
        <w:t xml:space="preserve">artículo 295 </w:t>
      </w:r>
      <w:proofErr w:type="spellStart"/>
      <w:r w:rsidR="0000293B" w:rsidRPr="00021899">
        <w:rPr>
          <w:rFonts w:ascii="Arial" w:hAnsi="Arial" w:cs="Arial"/>
          <w:color w:val="auto"/>
        </w:rPr>
        <w:t>CPP</w:t>
      </w:r>
      <w:proofErr w:type="spellEnd"/>
      <w:r w:rsidR="0000293B" w:rsidRPr="00021899">
        <w:rPr>
          <w:rFonts w:ascii="Arial" w:hAnsi="Arial" w:cs="Arial"/>
          <w:color w:val="auto"/>
        </w:rPr>
        <w:t xml:space="preserve"> se refiere a la reafirmación de libertad y dispone que la privación preventiva de la libertad tiene el carácter de excepcional y su </w:t>
      </w:r>
      <w:r w:rsidR="0000293B" w:rsidRPr="00021899">
        <w:rPr>
          <w:rFonts w:ascii="Arial" w:hAnsi="Arial" w:cs="Arial"/>
          <w:color w:val="auto"/>
        </w:rPr>
        <w:lastRenderedPageBreak/>
        <w:t xml:space="preserve">aplicación debe responder a </w:t>
      </w:r>
      <w:r w:rsidRPr="00021899">
        <w:rPr>
          <w:rFonts w:ascii="Arial" w:hAnsi="Arial" w:cs="Arial"/>
          <w:color w:val="auto"/>
        </w:rPr>
        <w:t xml:space="preserve">criterios de </w:t>
      </w:r>
      <w:r w:rsidR="0000293B" w:rsidRPr="00021899">
        <w:rPr>
          <w:rFonts w:ascii="Arial" w:hAnsi="Arial" w:cs="Arial"/>
          <w:color w:val="auto"/>
        </w:rPr>
        <w:t xml:space="preserve">necesidad, razonabilidad, adecuación y proporcionalidad frente a los contenidos constitucionales. </w:t>
      </w:r>
    </w:p>
    <w:p w:rsidR="0000293B" w:rsidRPr="00021899" w:rsidRDefault="0000293B" w:rsidP="00207F36">
      <w:pPr>
        <w:spacing w:line="360" w:lineRule="auto"/>
        <w:ind w:right="49"/>
        <w:jc w:val="both"/>
        <w:rPr>
          <w:rFonts w:ascii="Arial" w:hAnsi="Arial" w:cs="Arial"/>
          <w:color w:val="auto"/>
        </w:rPr>
      </w:pPr>
    </w:p>
    <w:p w:rsidR="0007333F" w:rsidRPr="00021899" w:rsidRDefault="0000293B"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En desarrollo de ese postulado se expidió la ley 17</w:t>
      </w:r>
      <w:r w:rsidR="0007333F" w:rsidRPr="00021899">
        <w:rPr>
          <w:rFonts w:ascii="Arial" w:hAnsi="Arial" w:cs="Arial"/>
          <w:color w:val="auto"/>
        </w:rPr>
        <w:t>8</w:t>
      </w:r>
      <w:r w:rsidRPr="00021899">
        <w:rPr>
          <w:rFonts w:ascii="Arial" w:hAnsi="Arial" w:cs="Arial"/>
          <w:color w:val="auto"/>
        </w:rPr>
        <w:t>6 de 201</w:t>
      </w:r>
      <w:r w:rsidR="0007333F" w:rsidRPr="00021899">
        <w:rPr>
          <w:rFonts w:ascii="Arial" w:hAnsi="Arial" w:cs="Arial"/>
          <w:color w:val="auto"/>
        </w:rPr>
        <w:t>6</w:t>
      </w:r>
      <w:r w:rsidRPr="00021899">
        <w:rPr>
          <w:rFonts w:ascii="Arial" w:hAnsi="Arial" w:cs="Arial"/>
          <w:color w:val="auto"/>
        </w:rPr>
        <w:t xml:space="preserve"> que añadió el parágrafo </w:t>
      </w:r>
      <w:r w:rsidR="00B06E3A" w:rsidRPr="00021899">
        <w:rPr>
          <w:rFonts w:ascii="Arial" w:hAnsi="Arial" w:cs="Arial"/>
          <w:color w:val="auto"/>
        </w:rPr>
        <w:t xml:space="preserve">1º </w:t>
      </w:r>
      <w:r w:rsidRPr="00021899">
        <w:rPr>
          <w:rFonts w:ascii="Arial" w:hAnsi="Arial" w:cs="Arial"/>
          <w:color w:val="auto"/>
        </w:rPr>
        <w:t xml:space="preserve">al artículo 307 </w:t>
      </w:r>
      <w:proofErr w:type="spellStart"/>
      <w:r w:rsidRPr="00021899">
        <w:rPr>
          <w:rFonts w:ascii="Arial" w:hAnsi="Arial" w:cs="Arial"/>
          <w:color w:val="auto"/>
        </w:rPr>
        <w:t>CPP</w:t>
      </w:r>
      <w:proofErr w:type="spellEnd"/>
      <w:r w:rsidRPr="00021899">
        <w:rPr>
          <w:rFonts w:ascii="Arial" w:hAnsi="Arial" w:cs="Arial"/>
          <w:color w:val="auto"/>
        </w:rPr>
        <w:t xml:space="preserve">, y </w:t>
      </w:r>
      <w:r w:rsidR="00F57ABC" w:rsidRPr="00021899">
        <w:rPr>
          <w:rFonts w:ascii="Arial" w:hAnsi="Arial" w:cs="Arial"/>
          <w:color w:val="auto"/>
        </w:rPr>
        <w:t xml:space="preserve">se </w:t>
      </w:r>
      <w:r w:rsidR="000E6D08">
        <w:rPr>
          <w:rFonts w:ascii="Arial" w:hAnsi="Arial" w:cs="Arial"/>
          <w:color w:val="auto"/>
        </w:rPr>
        <w:t>modificó el artículo 317 Ibídem</w:t>
      </w:r>
      <w:r w:rsidRPr="00021899">
        <w:rPr>
          <w:rFonts w:ascii="Arial" w:hAnsi="Arial" w:cs="Arial"/>
          <w:color w:val="auto"/>
        </w:rPr>
        <w:t xml:space="preserve">, sobre las medidas de aseguramiento privativas de la libertad. </w:t>
      </w:r>
      <w:r w:rsidR="00F57ABC" w:rsidRPr="00021899">
        <w:rPr>
          <w:rFonts w:ascii="Arial" w:hAnsi="Arial" w:cs="Arial"/>
          <w:color w:val="auto"/>
        </w:rPr>
        <w:t>Estas n</w:t>
      </w:r>
      <w:r w:rsidR="000E6D08">
        <w:rPr>
          <w:rFonts w:ascii="Arial" w:hAnsi="Arial" w:cs="Arial"/>
          <w:color w:val="auto"/>
        </w:rPr>
        <w:t>ormas</w:t>
      </w:r>
      <w:r w:rsidRPr="00021899">
        <w:rPr>
          <w:rFonts w:ascii="Arial" w:hAnsi="Arial" w:cs="Arial"/>
          <w:color w:val="auto"/>
        </w:rPr>
        <w:t xml:space="preserve"> se deben aplicar en su integridad en razón del principio de </w:t>
      </w:r>
      <w:r w:rsidR="0007333F" w:rsidRPr="00021899">
        <w:rPr>
          <w:rFonts w:ascii="Arial" w:hAnsi="Arial" w:cs="Arial"/>
          <w:color w:val="auto"/>
        </w:rPr>
        <w:t>favorabilidad reglado en el inciso 3</w:t>
      </w:r>
      <w:r w:rsidR="00B06E3A" w:rsidRPr="00021899">
        <w:rPr>
          <w:rFonts w:ascii="Arial" w:hAnsi="Arial" w:cs="Arial"/>
          <w:color w:val="auto"/>
        </w:rPr>
        <w:t>º</w:t>
      </w:r>
      <w:r w:rsidR="0007333F" w:rsidRPr="00021899">
        <w:rPr>
          <w:rFonts w:ascii="Arial" w:hAnsi="Arial" w:cs="Arial"/>
          <w:color w:val="auto"/>
        </w:rPr>
        <w:t xml:space="preserve"> del canon 29 constitucional. </w:t>
      </w:r>
    </w:p>
    <w:p w:rsidR="0007333F" w:rsidRPr="00021899" w:rsidRDefault="0007333F" w:rsidP="00207F36">
      <w:pPr>
        <w:spacing w:line="360" w:lineRule="auto"/>
        <w:ind w:right="49"/>
        <w:jc w:val="both"/>
        <w:rPr>
          <w:rFonts w:ascii="Arial" w:hAnsi="Arial" w:cs="Arial"/>
          <w:color w:val="auto"/>
        </w:rPr>
      </w:pPr>
    </w:p>
    <w:p w:rsidR="0000293B" w:rsidRPr="00021899" w:rsidRDefault="0007333F"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 xml:space="preserve">La situación jurídica </w:t>
      </w:r>
      <w:r w:rsidR="00F57ABC" w:rsidRPr="00021899">
        <w:rPr>
          <w:rFonts w:ascii="Arial" w:hAnsi="Arial" w:cs="Arial"/>
          <w:color w:val="auto"/>
        </w:rPr>
        <w:t xml:space="preserve">de su representado </w:t>
      </w:r>
      <w:r w:rsidRPr="00021899">
        <w:rPr>
          <w:rFonts w:ascii="Arial" w:hAnsi="Arial" w:cs="Arial"/>
          <w:color w:val="auto"/>
        </w:rPr>
        <w:t xml:space="preserve">aún no se encuentra definida y </w:t>
      </w:r>
      <w:r w:rsidR="00F57ABC" w:rsidRPr="00021899">
        <w:rPr>
          <w:rFonts w:ascii="Arial" w:hAnsi="Arial" w:cs="Arial"/>
          <w:color w:val="auto"/>
        </w:rPr>
        <w:t>su</w:t>
      </w:r>
      <w:r w:rsidRPr="00021899">
        <w:rPr>
          <w:rFonts w:ascii="Arial" w:hAnsi="Arial" w:cs="Arial"/>
          <w:color w:val="auto"/>
        </w:rPr>
        <w:t xml:space="preserve"> presunción de inocencia permanece incólume</w:t>
      </w:r>
      <w:r w:rsidR="000E6D08">
        <w:rPr>
          <w:rFonts w:ascii="Arial" w:hAnsi="Arial" w:cs="Arial"/>
          <w:color w:val="auto"/>
        </w:rPr>
        <w:t>. Por lo tanto,</w:t>
      </w:r>
      <w:r w:rsidRPr="00021899">
        <w:rPr>
          <w:rFonts w:ascii="Arial" w:hAnsi="Arial" w:cs="Arial"/>
          <w:color w:val="auto"/>
        </w:rPr>
        <w:t xml:space="preserve"> como </w:t>
      </w:r>
      <w:r w:rsidR="00B06E3A" w:rsidRPr="00021899">
        <w:rPr>
          <w:rFonts w:ascii="Arial" w:hAnsi="Arial" w:cs="Arial"/>
          <w:color w:val="auto"/>
        </w:rPr>
        <w:t xml:space="preserve">el procesado </w:t>
      </w:r>
      <w:r w:rsidRPr="00021899">
        <w:rPr>
          <w:rFonts w:ascii="Arial" w:hAnsi="Arial" w:cs="Arial"/>
          <w:color w:val="auto"/>
        </w:rPr>
        <w:t xml:space="preserve">se encuentra privado de la libertad, se contraviene el contenido de la reforma de la ley 1786 de 2016, según la cual la medida de aseguramiento no podrá exceder de un año, para este caso prorrogable por un año más, </w:t>
      </w:r>
      <w:r w:rsidR="00F57ABC" w:rsidRPr="00021899">
        <w:rPr>
          <w:rFonts w:ascii="Arial" w:hAnsi="Arial" w:cs="Arial"/>
          <w:color w:val="auto"/>
        </w:rPr>
        <w:t xml:space="preserve">que </w:t>
      </w:r>
      <w:r w:rsidRPr="00021899">
        <w:rPr>
          <w:rFonts w:ascii="Arial" w:hAnsi="Arial" w:cs="Arial"/>
          <w:color w:val="auto"/>
        </w:rPr>
        <w:t>es el</w:t>
      </w:r>
      <w:r w:rsidR="000E6D08">
        <w:rPr>
          <w:rFonts w:ascii="Arial" w:hAnsi="Arial" w:cs="Arial"/>
          <w:color w:val="auto"/>
        </w:rPr>
        <w:t xml:space="preserve"> término prudencial para darle </w:t>
      </w:r>
      <w:r w:rsidRPr="00021899">
        <w:rPr>
          <w:rFonts w:ascii="Arial" w:hAnsi="Arial" w:cs="Arial"/>
          <w:color w:val="auto"/>
        </w:rPr>
        <w:t xml:space="preserve">curso al proceso. </w:t>
      </w:r>
    </w:p>
    <w:p w:rsidR="0007333F" w:rsidRPr="00021899" w:rsidRDefault="0007333F" w:rsidP="00207F36">
      <w:pPr>
        <w:spacing w:line="360" w:lineRule="auto"/>
        <w:ind w:right="49"/>
        <w:jc w:val="both"/>
        <w:rPr>
          <w:rFonts w:ascii="Arial" w:hAnsi="Arial" w:cs="Arial"/>
          <w:color w:val="auto"/>
        </w:rPr>
      </w:pPr>
    </w:p>
    <w:p w:rsidR="0007333F" w:rsidRPr="00021899" w:rsidRDefault="00F57ABC"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 xml:space="preserve">La </w:t>
      </w:r>
      <w:r w:rsidR="00293FB4" w:rsidRPr="00021899">
        <w:rPr>
          <w:rFonts w:ascii="Arial" w:hAnsi="Arial" w:cs="Arial"/>
          <w:color w:val="auto"/>
        </w:rPr>
        <w:t xml:space="preserve">indefinición </w:t>
      </w:r>
      <w:r w:rsidR="00B06E3A" w:rsidRPr="00021899">
        <w:rPr>
          <w:rFonts w:ascii="Arial" w:hAnsi="Arial" w:cs="Arial"/>
          <w:color w:val="auto"/>
        </w:rPr>
        <w:t xml:space="preserve">de la situación jurídica </w:t>
      </w:r>
      <w:r w:rsidR="00021899">
        <w:rPr>
          <w:rFonts w:ascii="Arial" w:hAnsi="Arial" w:cs="Arial"/>
          <w:color w:val="auto"/>
        </w:rPr>
        <w:t>de su mandante</w:t>
      </w:r>
      <w:r w:rsidRPr="00021899">
        <w:rPr>
          <w:rFonts w:ascii="Arial" w:hAnsi="Arial" w:cs="Arial"/>
          <w:color w:val="auto"/>
        </w:rPr>
        <w:t xml:space="preserve">, resulta </w:t>
      </w:r>
      <w:r w:rsidR="00293FB4" w:rsidRPr="00021899">
        <w:rPr>
          <w:rFonts w:ascii="Arial" w:hAnsi="Arial" w:cs="Arial"/>
          <w:color w:val="auto"/>
        </w:rPr>
        <w:t>contraria al contenido de tratados internacionales ratificados por Colombia como la Convención Interamericana de Derechos Humanos que prevé el derecho a ser juzgado en un plazo razonable</w:t>
      </w:r>
      <w:r w:rsidR="00B06E3A" w:rsidRPr="00021899">
        <w:rPr>
          <w:rFonts w:ascii="Arial" w:hAnsi="Arial" w:cs="Arial"/>
          <w:color w:val="auto"/>
        </w:rPr>
        <w:t>.</w:t>
      </w:r>
      <w:r w:rsidR="00293FB4" w:rsidRPr="00021899">
        <w:rPr>
          <w:rFonts w:ascii="Arial" w:hAnsi="Arial" w:cs="Arial"/>
          <w:color w:val="auto"/>
        </w:rPr>
        <w:t xml:space="preserve"> </w:t>
      </w:r>
      <w:r w:rsidR="00D92CB6" w:rsidRPr="00021899">
        <w:rPr>
          <w:rFonts w:ascii="Arial" w:hAnsi="Arial" w:cs="Arial"/>
          <w:color w:val="auto"/>
        </w:rPr>
        <w:t xml:space="preserve">Lo </w:t>
      </w:r>
      <w:r w:rsidR="00293FB4" w:rsidRPr="00021899">
        <w:rPr>
          <w:rFonts w:ascii="Arial" w:hAnsi="Arial" w:cs="Arial"/>
          <w:color w:val="auto"/>
        </w:rPr>
        <w:t>mismo se estableció en el Pacto de Derechos Civiles y Pol</w:t>
      </w:r>
      <w:r w:rsidR="00CB20F2" w:rsidRPr="00021899">
        <w:rPr>
          <w:rFonts w:ascii="Arial" w:hAnsi="Arial" w:cs="Arial"/>
          <w:color w:val="auto"/>
        </w:rPr>
        <w:t xml:space="preserve">íticos, </w:t>
      </w:r>
      <w:r w:rsidR="00D92CB6" w:rsidRPr="00021899">
        <w:rPr>
          <w:rFonts w:ascii="Arial" w:hAnsi="Arial" w:cs="Arial"/>
          <w:color w:val="auto"/>
        </w:rPr>
        <w:t xml:space="preserve">y en el </w:t>
      </w:r>
      <w:r w:rsidR="00CB20F2" w:rsidRPr="00021899">
        <w:rPr>
          <w:rFonts w:ascii="Arial" w:hAnsi="Arial" w:cs="Arial"/>
          <w:color w:val="auto"/>
        </w:rPr>
        <w:t>Convenio Europeo de Derechos Humanos. Se refi</w:t>
      </w:r>
      <w:r w:rsidR="000E6D08">
        <w:rPr>
          <w:rFonts w:ascii="Arial" w:hAnsi="Arial" w:cs="Arial"/>
          <w:color w:val="auto"/>
        </w:rPr>
        <w:t>rió</w:t>
      </w:r>
      <w:r w:rsidR="00CB20F2" w:rsidRPr="00021899">
        <w:rPr>
          <w:rFonts w:ascii="Arial" w:hAnsi="Arial" w:cs="Arial"/>
          <w:color w:val="auto"/>
        </w:rPr>
        <w:t xml:space="preserve"> también a la decisión de la Corte Interamericana de Derechos Humanos </w:t>
      </w:r>
      <w:r w:rsidR="00C62D77" w:rsidRPr="00021899">
        <w:rPr>
          <w:rFonts w:ascii="Arial" w:hAnsi="Arial" w:cs="Arial"/>
          <w:color w:val="auto"/>
        </w:rPr>
        <w:t>del 1º de febrero de 2006</w:t>
      </w:r>
      <w:r w:rsidR="000E6D08">
        <w:rPr>
          <w:rFonts w:ascii="Arial" w:hAnsi="Arial" w:cs="Arial"/>
          <w:color w:val="auto"/>
        </w:rPr>
        <w:t>,</w:t>
      </w:r>
      <w:r w:rsidR="00C62D77" w:rsidRPr="00021899">
        <w:rPr>
          <w:rFonts w:ascii="Arial" w:hAnsi="Arial" w:cs="Arial"/>
          <w:color w:val="auto"/>
        </w:rPr>
        <w:t xml:space="preserve"> caso López Álvarez vs Honduras que define </w:t>
      </w:r>
      <w:r w:rsidR="00D92CB6" w:rsidRPr="00021899">
        <w:rPr>
          <w:rFonts w:ascii="Arial" w:hAnsi="Arial" w:cs="Arial"/>
          <w:color w:val="auto"/>
        </w:rPr>
        <w:t xml:space="preserve">los conceptos de </w:t>
      </w:r>
      <w:r w:rsidR="00C62D77" w:rsidRPr="00021899">
        <w:rPr>
          <w:rFonts w:ascii="Arial" w:hAnsi="Arial" w:cs="Arial"/>
          <w:color w:val="auto"/>
        </w:rPr>
        <w:t xml:space="preserve">plazo razonable y acceso a la justicia. </w:t>
      </w:r>
    </w:p>
    <w:p w:rsidR="00C62D77" w:rsidRPr="00021899" w:rsidRDefault="00C62D77" w:rsidP="00207F36">
      <w:pPr>
        <w:spacing w:line="360" w:lineRule="auto"/>
        <w:ind w:right="49"/>
        <w:jc w:val="both"/>
        <w:rPr>
          <w:rFonts w:ascii="Arial" w:hAnsi="Arial" w:cs="Arial"/>
          <w:color w:val="auto"/>
        </w:rPr>
      </w:pPr>
    </w:p>
    <w:p w:rsidR="00C62D77" w:rsidRPr="00021899" w:rsidRDefault="000E6D08" w:rsidP="008F5454">
      <w:pPr>
        <w:pStyle w:val="Prrafodelista"/>
        <w:numPr>
          <w:ilvl w:val="0"/>
          <w:numId w:val="3"/>
        </w:numPr>
        <w:spacing w:line="360" w:lineRule="auto"/>
        <w:ind w:right="49"/>
        <w:jc w:val="both"/>
        <w:rPr>
          <w:rFonts w:ascii="Arial" w:hAnsi="Arial" w:cs="Arial"/>
          <w:color w:val="auto"/>
        </w:rPr>
      </w:pPr>
      <w:r>
        <w:rPr>
          <w:rFonts w:ascii="Arial" w:hAnsi="Arial" w:cs="Arial"/>
          <w:color w:val="auto"/>
        </w:rPr>
        <w:t>En este caso</w:t>
      </w:r>
      <w:r w:rsidR="00704C35" w:rsidRPr="00021899">
        <w:rPr>
          <w:rFonts w:ascii="Arial" w:hAnsi="Arial" w:cs="Arial"/>
          <w:color w:val="auto"/>
        </w:rPr>
        <w:t xml:space="preserve"> la medida de aseguramiento </w:t>
      </w:r>
      <w:r>
        <w:rPr>
          <w:rFonts w:ascii="Arial" w:hAnsi="Arial" w:cs="Arial"/>
          <w:color w:val="auto"/>
        </w:rPr>
        <w:t xml:space="preserve">impuesta a su representado </w:t>
      </w:r>
      <w:r w:rsidR="00704C35" w:rsidRPr="00021899">
        <w:rPr>
          <w:rFonts w:ascii="Arial" w:hAnsi="Arial" w:cs="Arial"/>
          <w:color w:val="auto"/>
        </w:rPr>
        <w:t>perdió vigencia por el transcurso del tiempo y frente a los fines constitucionales por los cuales se impuso la misma, sin que se pueda</w:t>
      </w:r>
      <w:r w:rsidR="00D92CB6" w:rsidRPr="00021899">
        <w:rPr>
          <w:rFonts w:ascii="Arial" w:hAnsi="Arial" w:cs="Arial"/>
          <w:color w:val="auto"/>
        </w:rPr>
        <w:t xml:space="preserve">n </w:t>
      </w:r>
      <w:r w:rsidR="00704C35" w:rsidRPr="00021899">
        <w:rPr>
          <w:rFonts w:ascii="Arial" w:hAnsi="Arial" w:cs="Arial"/>
          <w:color w:val="auto"/>
        </w:rPr>
        <w:t xml:space="preserve">cargar al procesado </w:t>
      </w:r>
      <w:r w:rsidR="00D92CB6" w:rsidRPr="00021899">
        <w:rPr>
          <w:rFonts w:ascii="Arial" w:hAnsi="Arial" w:cs="Arial"/>
          <w:color w:val="auto"/>
        </w:rPr>
        <w:t>factores de c</w:t>
      </w:r>
      <w:r w:rsidR="00704C35" w:rsidRPr="00021899">
        <w:rPr>
          <w:rFonts w:ascii="Arial" w:hAnsi="Arial" w:cs="Arial"/>
          <w:color w:val="auto"/>
        </w:rPr>
        <w:t xml:space="preserve">ongestión judicial, </w:t>
      </w:r>
      <w:r w:rsidR="00D92CB6" w:rsidRPr="00021899">
        <w:rPr>
          <w:rFonts w:ascii="Arial" w:hAnsi="Arial" w:cs="Arial"/>
          <w:color w:val="auto"/>
        </w:rPr>
        <w:t xml:space="preserve">ni </w:t>
      </w:r>
      <w:r w:rsidR="00704C35" w:rsidRPr="00021899">
        <w:rPr>
          <w:rFonts w:ascii="Arial" w:hAnsi="Arial" w:cs="Arial"/>
          <w:color w:val="auto"/>
        </w:rPr>
        <w:t xml:space="preserve">puede convertirse en un anticipo de la sanción </w:t>
      </w:r>
      <w:r w:rsidR="00D92CB6" w:rsidRPr="00021899">
        <w:rPr>
          <w:rFonts w:ascii="Arial" w:hAnsi="Arial" w:cs="Arial"/>
          <w:color w:val="auto"/>
        </w:rPr>
        <w:t xml:space="preserve">penal </w:t>
      </w:r>
      <w:r w:rsidR="00704C35" w:rsidRPr="00021899">
        <w:rPr>
          <w:rFonts w:ascii="Arial" w:hAnsi="Arial" w:cs="Arial"/>
          <w:color w:val="auto"/>
        </w:rPr>
        <w:t xml:space="preserve">en el entendido que esta no ha cobrado vigencia. </w:t>
      </w:r>
    </w:p>
    <w:p w:rsidR="00246F99" w:rsidRPr="00021899" w:rsidRDefault="00246F99" w:rsidP="00207F36">
      <w:pPr>
        <w:spacing w:line="360" w:lineRule="auto"/>
        <w:ind w:right="49"/>
        <w:jc w:val="both"/>
        <w:rPr>
          <w:rFonts w:ascii="Arial" w:hAnsi="Arial" w:cs="Arial"/>
          <w:color w:val="auto"/>
        </w:rPr>
      </w:pPr>
    </w:p>
    <w:p w:rsidR="001D20FB" w:rsidRPr="00021899" w:rsidRDefault="00D92CB6"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 xml:space="preserve">La </w:t>
      </w:r>
      <w:r w:rsidR="00246F99" w:rsidRPr="00021899">
        <w:rPr>
          <w:rFonts w:ascii="Arial" w:hAnsi="Arial" w:cs="Arial"/>
          <w:color w:val="auto"/>
        </w:rPr>
        <w:t xml:space="preserve">sentencia de constitucionalidad </w:t>
      </w:r>
      <w:r w:rsidR="00B06E3A" w:rsidRPr="00021899">
        <w:rPr>
          <w:rFonts w:ascii="Arial" w:hAnsi="Arial" w:cs="Arial"/>
          <w:color w:val="auto"/>
        </w:rPr>
        <w:t>C-</w:t>
      </w:r>
      <w:r w:rsidR="00246F99" w:rsidRPr="00021899">
        <w:rPr>
          <w:rFonts w:ascii="Arial" w:hAnsi="Arial" w:cs="Arial"/>
          <w:color w:val="auto"/>
        </w:rPr>
        <w:t xml:space="preserve">221 de 2017 de la Corte Constitucional </w:t>
      </w:r>
      <w:r w:rsidR="001D20FB" w:rsidRPr="00021899">
        <w:rPr>
          <w:rFonts w:ascii="Arial" w:hAnsi="Arial" w:cs="Arial"/>
          <w:color w:val="auto"/>
        </w:rPr>
        <w:t>en uno de sus apartes</w:t>
      </w:r>
      <w:r w:rsidRPr="00021899">
        <w:rPr>
          <w:rFonts w:ascii="Arial" w:hAnsi="Arial" w:cs="Arial"/>
          <w:color w:val="auto"/>
        </w:rPr>
        <w:t xml:space="preserve">, </w:t>
      </w:r>
      <w:r w:rsidR="001D20FB" w:rsidRPr="00021899">
        <w:rPr>
          <w:rFonts w:ascii="Arial" w:hAnsi="Arial" w:cs="Arial"/>
          <w:color w:val="auto"/>
        </w:rPr>
        <w:t>indicó que la detención preventiva restringe el derecho a la libertad con el propósito de cumplir c</w:t>
      </w:r>
      <w:r w:rsidR="00E93370" w:rsidRPr="00021899">
        <w:rPr>
          <w:rFonts w:ascii="Arial" w:hAnsi="Arial" w:cs="Arial"/>
          <w:color w:val="auto"/>
        </w:rPr>
        <w:t>on otros fines constitucionales</w:t>
      </w:r>
      <w:r w:rsidRPr="00021899">
        <w:rPr>
          <w:rFonts w:ascii="Arial" w:hAnsi="Arial" w:cs="Arial"/>
          <w:color w:val="auto"/>
        </w:rPr>
        <w:t xml:space="preserve">; que no se </w:t>
      </w:r>
      <w:r w:rsidR="001D20FB" w:rsidRPr="00021899">
        <w:rPr>
          <w:rFonts w:ascii="Arial" w:hAnsi="Arial" w:cs="Arial"/>
          <w:color w:val="auto"/>
        </w:rPr>
        <w:t xml:space="preserve">debe persistir en la prolongación luego de un cierto lapso </w:t>
      </w:r>
      <w:r w:rsidR="00E93370" w:rsidRPr="00021899">
        <w:rPr>
          <w:rFonts w:ascii="Arial" w:hAnsi="Arial" w:cs="Arial"/>
          <w:color w:val="auto"/>
        </w:rPr>
        <w:t xml:space="preserve">de tiempo </w:t>
      </w:r>
      <w:r w:rsidR="001D20FB" w:rsidRPr="00021899">
        <w:rPr>
          <w:rFonts w:ascii="Arial" w:hAnsi="Arial" w:cs="Arial"/>
          <w:color w:val="auto"/>
        </w:rPr>
        <w:t>que no puede coincidir con el de la pena</w:t>
      </w:r>
      <w:r w:rsidRPr="00021899">
        <w:rPr>
          <w:rFonts w:ascii="Arial" w:hAnsi="Arial" w:cs="Arial"/>
          <w:color w:val="auto"/>
        </w:rPr>
        <w:t xml:space="preserve"> y que la </w:t>
      </w:r>
      <w:r w:rsidR="001D20FB" w:rsidRPr="00021899">
        <w:rPr>
          <w:rFonts w:ascii="Arial" w:hAnsi="Arial" w:cs="Arial"/>
          <w:color w:val="auto"/>
        </w:rPr>
        <w:lastRenderedPageBreak/>
        <w:t>fijación legal de un término máximo de las medidas de aseguramiento</w:t>
      </w:r>
      <w:r w:rsidRPr="00021899">
        <w:rPr>
          <w:rFonts w:ascii="Arial" w:hAnsi="Arial" w:cs="Arial"/>
          <w:color w:val="auto"/>
        </w:rPr>
        <w:t xml:space="preserve">, </w:t>
      </w:r>
      <w:r w:rsidR="001D20FB" w:rsidRPr="00021899">
        <w:rPr>
          <w:rFonts w:ascii="Arial" w:hAnsi="Arial" w:cs="Arial"/>
          <w:color w:val="auto"/>
        </w:rPr>
        <w:t xml:space="preserve">consulta la necesidad de garantizar un proceso justo e imparcial así como la libertad del procesado. </w:t>
      </w:r>
    </w:p>
    <w:p w:rsidR="001D20FB" w:rsidRPr="00021899" w:rsidRDefault="001D20FB" w:rsidP="00207F36">
      <w:pPr>
        <w:spacing w:line="360" w:lineRule="auto"/>
        <w:ind w:right="49"/>
        <w:jc w:val="both"/>
        <w:rPr>
          <w:rFonts w:ascii="Arial" w:hAnsi="Arial" w:cs="Arial"/>
          <w:color w:val="auto"/>
        </w:rPr>
      </w:pPr>
    </w:p>
    <w:p w:rsidR="001D20FB" w:rsidRPr="00021899" w:rsidRDefault="000E6D08" w:rsidP="008F5454">
      <w:pPr>
        <w:pStyle w:val="Prrafodelista"/>
        <w:numPr>
          <w:ilvl w:val="0"/>
          <w:numId w:val="3"/>
        </w:numPr>
        <w:spacing w:line="360" w:lineRule="auto"/>
        <w:ind w:right="49"/>
        <w:jc w:val="both"/>
        <w:rPr>
          <w:rFonts w:ascii="Arial" w:hAnsi="Arial" w:cs="Arial"/>
          <w:color w:val="auto"/>
        </w:rPr>
      </w:pPr>
      <w:r>
        <w:rPr>
          <w:rFonts w:ascii="Arial" w:hAnsi="Arial" w:cs="Arial"/>
          <w:color w:val="auto"/>
        </w:rPr>
        <w:t xml:space="preserve">En </w:t>
      </w:r>
      <w:r w:rsidR="00E93370" w:rsidRPr="00021899">
        <w:rPr>
          <w:rFonts w:ascii="Arial" w:hAnsi="Arial" w:cs="Arial"/>
          <w:color w:val="auto"/>
        </w:rPr>
        <w:t xml:space="preserve">caso </w:t>
      </w:r>
      <w:r w:rsidR="00FF57BC" w:rsidRPr="00021899">
        <w:rPr>
          <w:rFonts w:ascii="Arial" w:hAnsi="Arial" w:cs="Arial"/>
          <w:color w:val="auto"/>
        </w:rPr>
        <w:t>de considerar</w:t>
      </w:r>
      <w:r w:rsidR="00D92CB6" w:rsidRPr="00021899">
        <w:rPr>
          <w:rFonts w:ascii="Arial" w:hAnsi="Arial" w:cs="Arial"/>
          <w:color w:val="auto"/>
        </w:rPr>
        <w:t xml:space="preserve">se </w:t>
      </w:r>
      <w:r w:rsidR="00FF57BC" w:rsidRPr="00021899">
        <w:rPr>
          <w:rFonts w:ascii="Arial" w:hAnsi="Arial" w:cs="Arial"/>
          <w:color w:val="auto"/>
        </w:rPr>
        <w:t xml:space="preserve">que es aplicable la sentencia del 18 de enero de 2017 </w:t>
      </w:r>
      <w:r w:rsidR="00BE5F5D" w:rsidRPr="00021899">
        <w:rPr>
          <w:rFonts w:ascii="Arial" w:hAnsi="Arial" w:cs="Arial"/>
          <w:color w:val="auto"/>
        </w:rPr>
        <w:t xml:space="preserve">de la Corte Suprema de Justicia, </w:t>
      </w:r>
      <w:r w:rsidR="00FF57BC" w:rsidRPr="00021899">
        <w:rPr>
          <w:rFonts w:ascii="Arial" w:hAnsi="Arial" w:cs="Arial"/>
          <w:color w:val="auto"/>
        </w:rPr>
        <w:t>en el entendido que el sentido del fallo con sentencia de primera instancia pone fin a la medida de aseguramiento</w:t>
      </w:r>
      <w:r w:rsidR="00BE5F5D" w:rsidRPr="00021899">
        <w:rPr>
          <w:rFonts w:ascii="Arial" w:hAnsi="Arial" w:cs="Arial"/>
          <w:color w:val="auto"/>
        </w:rPr>
        <w:t xml:space="preserve">, solicita la sustitución de la misma según lo dispuesto en el artículo 307 literal b numerales 1 a 9 del </w:t>
      </w:r>
      <w:proofErr w:type="spellStart"/>
      <w:r w:rsidR="00BE5F5D" w:rsidRPr="00021899">
        <w:rPr>
          <w:rFonts w:ascii="Arial" w:hAnsi="Arial" w:cs="Arial"/>
          <w:color w:val="auto"/>
        </w:rPr>
        <w:t>CPP</w:t>
      </w:r>
      <w:proofErr w:type="spellEnd"/>
      <w:r w:rsidR="00BE5F5D" w:rsidRPr="00021899">
        <w:rPr>
          <w:rFonts w:ascii="Arial" w:hAnsi="Arial" w:cs="Arial"/>
          <w:color w:val="auto"/>
        </w:rPr>
        <w:t>.</w:t>
      </w:r>
    </w:p>
    <w:p w:rsidR="00BE5F5D" w:rsidRPr="00021899" w:rsidRDefault="00BE5F5D" w:rsidP="00207F36">
      <w:pPr>
        <w:spacing w:line="360" w:lineRule="auto"/>
        <w:ind w:right="49"/>
        <w:jc w:val="both"/>
        <w:rPr>
          <w:rFonts w:ascii="Arial" w:hAnsi="Arial" w:cs="Arial"/>
          <w:color w:val="auto"/>
        </w:rPr>
      </w:pPr>
    </w:p>
    <w:p w:rsidR="00BE5F5D" w:rsidRPr="00021899" w:rsidRDefault="00E93370" w:rsidP="008F5454">
      <w:pPr>
        <w:pStyle w:val="Prrafodelista"/>
        <w:numPr>
          <w:ilvl w:val="0"/>
          <w:numId w:val="3"/>
        </w:numPr>
        <w:spacing w:line="360" w:lineRule="auto"/>
        <w:ind w:right="49"/>
        <w:jc w:val="both"/>
        <w:rPr>
          <w:rFonts w:ascii="Arial" w:hAnsi="Arial" w:cs="Arial"/>
          <w:color w:val="auto"/>
        </w:rPr>
      </w:pPr>
      <w:r w:rsidRPr="00021899">
        <w:rPr>
          <w:rFonts w:ascii="Arial" w:hAnsi="Arial" w:cs="Arial"/>
          <w:color w:val="auto"/>
        </w:rPr>
        <w:t>Por último</w:t>
      </w:r>
      <w:r w:rsidR="00EA6221" w:rsidRPr="00021899">
        <w:rPr>
          <w:rFonts w:ascii="Arial" w:hAnsi="Arial" w:cs="Arial"/>
          <w:color w:val="auto"/>
        </w:rPr>
        <w:t xml:space="preserve"> hizo referencia a que e</w:t>
      </w:r>
      <w:r w:rsidR="00BE5F5D" w:rsidRPr="00021899">
        <w:rPr>
          <w:rFonts w:ascii="Arial" w:hAnsi="Arial" w:cs="Arial"/>
          <w:color w:val="auto"/>
        </w:rPr>
        <w:t>l estado de salud de su representado es delicado</w:t>
      </w:r>
      <w:r w:rsidR="000E6D08">
        <w:rPr>
          <w:rFonts w:ascii="Arial" w:hAnsi="Arial" w:cs="Arial"/>
          <w:color w:val="auto"/>
        </w:rPr>
        <w:t xml:space="preserve"> y</w:t>
      </w:r>
      <w:r w:rsidR="00BE5F5D" w:rsidRPr="00021899">
        <w:rPr>
          <w:rFonts w:ascii="Arial" w:hAnsi="Arial" w:cs="Arial"/>
          <w:color w:val="auto"/>
        </w:rPr>
        <w:t xml:space="preserve"> ha requerido atención médica reiterada del </w:t>
      </w:r>
      <w:proofErr w:type="spellStart"/>
      <w:r w:rsidR="00BE5F5D" w:rsidRPr="00021899">
        <w:rPr>
          <w:rFonts w:ascii="Arial" w:hAnsi="Arial" w:cs="Arial"/>
          <w:color w:val="auto"/>
        </w:rPr>
        <w:t>INPEC</w:t>
      </w:r>
      <w:proofErr w:type="spellEnd"/>
      <w:r w:rsidR="00BE5F5D" w:rsidRPr="00021899">
        <w:rPr>
          <w:rFonts w:ascii="Arial" w:hAnsi="Arial" w:cs="Arial"/>
          <w:color w:val="auto"/>
        </w:rPr>
        <w:t xml:space="preserve">. </w:t>
      </w:r>
    </w:p>
    <w:p w:rsidR="00FF57BC" w:rsidRPr="00021899" w:rsidRDefault="00FF57BC" w:rsidP="00207F36">
      <w:pPr>
        <w:spacing w:line="360" w:lineRule="auto"/>
        <w:ind w:right="49"/>
        <w:jc w:val="both"/>
        <w:rPr>
          <w:rFonts w:ascii="Arial" w:hAnsi="Arial" w:cs="Arial"/>
          <w:color w:val="auto"/>
        </w:rPr>
      </w:pPr>
    </w:p>
    <w:p w:rsidR="00EA6221" w:rsidRPr="00021899" w:rsidRDefault="00E93370" w:rsidP="00207F36">
      <w:pPr>
        <w:spacing w:line="360" w:lineRule="auto"/>
        <w:ind w:right="49"/>
        <w:jc w:val="both"/>
        <w:rPr>
          <w:rFonts w:ascii="Arial" w:hAnsi="Arial" w:cs="Arial"/>
          <w:color w:val="auto"/>
        </w:rPr>
      </w:pPr>
      <w:r w:rsidRPr="00021899">
        <w:rPr>
          <w:rFonts w:ascii="Arial" w:hAnsi="Arial" w:cs="Arial"/>
          <w:color w:val="auto"/>
        </w:rPr>
        <w:t xml:space="preserve">3.3 </w:t>
      </w:r>
      <w:r w:rsidR="0099558F" w:rsidRPr="00021899">
        <w:rPr>
          <w:rFonts w:ascii="Arial" w:hAnsi="Arial" w:cs="Arial"/>
          <w:color w:val="auto"/>
        </w:rPr>
        <w:t>El</w:t>
      </w:r>
      <w:r w:rsidR="00EA6221" w:rsidRPr="00021899">
        <w:rPr>
          <w:rFonts w:ascii="Arial" w:hAnsi="Arial" w:cs="Arial"/>
          <w:color w:val="auto"/>
        </w:rPr>
        <w:t xml:space="preserve"> delegado de l</w:t>
      </w:r>
      <w:r w:rsidR="000E6D08">
        <w:rPr>
          <w:rFonts w:ascii="Arial" w:hAnsi="Arial" w:cs="Arial"/>
          <w:color w:val="auto"/>
        </w:rPr>
        <w:t xml:space="preserve">a </w:t>
      </w:r>
      <w:proofErr w:type="spellStart"/>
      <w:r w:rsidR="000E6D08">
        <w:rPr>
          <w:rFonts w:ascii="Arial" w:hAnsi="Arial" w:cs="Arial"/>
          <w:color w:val="auto"/>
        </w:rPr>
        <w:t>FGN</w:t>
      </w:r>
      <w:proofErr w:type="spellEnd"/>
      <w:r w:rsidR="000E6D08">
        <w:rPr>
          <w:rFonts w:ascii="Arial" w:hAnsi="Arial" w:cs="Arial"/>
          <w:color w:val="auto"/>
        </w:rPr>
        <w:t xml:space="preserve"> se opuso a esa</w:t>
      </w:r>
      <w:r w:rsidR="00021899">
        <w:rPr>
          <w:rFonts w:ascii="Arial" w:hAnsi="Arial" w:cs="Arial"/>
          <w:color w:val="auto"/>
        </w:rPr>
        <w:t xml:space="preserve"> pretensión, argumentando lo siguiente</w:t>
      </w:r>
      <w:r w:rsidR="00EA6221" w:rsidRPr="00021899">
        <w:rPr>
          <w:rFonts w:ascii="Arial" w:hAnsi="Arial" w:cs="Arial"/>
          <w:color w:val="auto"/>
        </w:rPr>
        <w:t>:</w:t>
      </w:r>
    </w:p>
    <w:p w:rsidR="00EA6221" w:rsidRPr="00021899" w:rsidRDefault="00EA6221" w:rsidP="00207F36">
      <w:pPr>
        <w:spacing w:line="360" w:lineRule="auto"/>
        <w:ind w:right="49"/>
        <w:jc w:val="both"/>
        <w:rPr>
          <w:rFonts w:ascii="Arial" w:hAnsi="Arial" w:cs="Arial"/>
          <w:color w:val="auto"/>
        </w:rPr>
      </w:pPr>
    </w:p>
    <w:p w:rsidR="008F4B9C" w:rsidRPr="00021899" w:rsidRDefault="00EA6221" w:rsidP="008F5454">
      <w:pPr>
        <w:pStyle w:val="Prrafodelista"/>
        <w:numPr>
          <w:ilvl w:val="0"/>
          <w:numId w:val="4"/>
        </w:numPr>
        <w:spacing w:line="360" w:lineRule="auto"/>
        <w:ind w:right="49"/>
        <w:jc w:val="both"/>
        <w:rPr>
          <w:rFonts w:ascii="Arial" w:hAnsi="Arial" w:cs="Arial"/>
          <w:color w:val="auto"/>
        </w:rPr>
      </w:pPr>
      <w:r w:rsidRPr="00021899">
        <w:rPr>
          <w:rFonts w:ascii="Arial" w:hAnsi="Arial" w:cs="Arial"/>
          <w:color w:val="auto"/>
        </w:rPr>
        <w:t xml:space="preserve">Las </w:t>
      </w:r>
      <w:r w:rsidR="00E93370" w:rsidRPr="00021899">
        <w:rPr>
          <w:rFonts w:ascii="Arial" w:hAnsi="Arial" w:cs="Arial"/>
          <w:color w:val="auto"/>
        </w:rPr>
        <w:t xml:space="preserve">solicitudes </w:t>
      </w:r>
      <w:r w:rsidRPr="00021899">
        <w:rPr>
          <w:rFonts w:ascii="Arial" w:hAnsi="Arial" w:cs="Arial"/>
          <w:color w:val="auto"/>
        </w:rPr>
        <w:t xml:space="preserve">formuladas </w:t>
      </w:r>
      <w:r w:rsidR="000A119D" w:rsidRPr="00021899">
        <w:rPr>
          <w:rFonts w:ascii="Arial" w:hAnsi="Arial" w:cs="Arial"/>
          <w:color w:val="auto"/>
        </w:rPr>
        <w:t>ante el Tribunal Superior del Distrito Judicial de Pereira</w:t>
      </w:r>
      <w:r w:rsidR="008F4B9C" w:rsidRPr="00021899">
        <w:rPr>
          <w:rFonts w:ascii="Arial" w:hAnsi="Arial" w:cs="Arial"/>
          <w:color w:val="auto"/>
        </w:rPr>
        <w:t xml:space="preserve"> para que se pronunci</w:t>
      </w:r>
      <w:r w:rsidR="00E93370" w:rsidRPr="00021899">
        <w:rPr>
          <w:rFonts w:ascii="Arial" w:hAnsi="Arial" w:cs="Arial"/>
          <w:color w:val="auto"/>
        </w:rPr>
        <w:t>e</w:t>
      </w:r>
      <w:r w:rsidR="008F4B9C" w:rsidRPr="00021899">
        <w:rPr>
          <w:rFonts w:ascii="Arial" w:hAnsi="Arial" w:cs="Arial"/>
          <w:color w:val="auto"/>
        </w:rPr>
        <w:t xml:space="preserve"> sobre el recurso, </w:t>
      </w:r>
      <w:r w:rsidR="00E93370" w:rsidRPr="00021899">
        <w:rPr>
          <w:rFonts w:ascii="Arial" w:hAnsi="Arial" w:cs="Arial"/>
          <w:color w:val="auto"/>
        </w:rPr>
        <w:t xml:space="preserve">versan sobre una </w:t>
      </w:r>
      <w:r w:rsidR="008F4B9C" w:rsidRPr="00021899">
        <w:rPr>
          <w:rFonts w:ascii="Arial" w:hAnsi="Arial" w:cs="Arial"/>
          <w:color w:val="auto"/>
        </w:rPr>
        <w:t>decisión exclusiva del magistrado ponente</w:t>
      </w:r>
      <w:r w:rsidR="00E93370" w:rsidRPr="00021899">
        <w:rPr>
          <w:rFonts w:ascii="Arial" w:hAnsi="Arial" w:cs="Arial"/>
          <w:color w:val="auto"/>
        </w:rPr>
        <w:t>,</w:t>
      </w:r>
      <w:r w:rsidR="008F4B9C" w:rsidRPr="00021899">
        <w:rPr>
          <w:rFonts w:ascii="Arial" w:hAnsi="Arial" w:cs="Arial"/>
          <w:color w:val="auto"/>
        </w:rPr>
        <w:t xml:space="preserve"> quien dio fundamentos claros de</w:t>
      </w:r>
      <w:r w:rsidR="00E93370" w:rsidRPr="00021899">
        <w:rPr>
          <w:rFonts w:ascii="Arial" w:hAnsi="Arial" w:cs="Arial"/>
          <w:color w:val="auto"/>
        </w:rPr>
        <w:t xml:space="preserve">l motivo por el cual no se ha desatado la alzada. </w:t>
      </w:r>
    </w:p>
    <w:p w:rsidR="00E93370" w:rsidRPr="00021899" w:rsidRDefault="00E93370" w:rsidP="00207F36">
      <w:pPr>
        <w:spacing w:line="360" w:lineRule="auto"/>
        <w:ind w:right="49"/>
        <w:jc w:val="both"/>
        <w:rPr>
          <w:rFonts w:ascii="Arial" w:hAnsi="Arial" w:cs="Arial"/>
          <w:color w:val="auto"/>
        </w:rPr>
      </w:pPr>
    </w:p>
    <w:p w:rsidR="0099558F" w:rsidRPr="00021899" w:rsidRDefault="008F4B9C" w:rsidP="008F5454">
      <w:pPr>
        <w:pStyle w:val="Prrafodelista"/>
        <w:numPr>
          <w:ilvl w:val="0"/>
          <w:numId w:val="4"/>
        </w:numPr>
        <w:spacing w:line="360" w:lineRule="auto"/>
        <w:ind w:right="49"/>
        <w:jc w:val="both"/>
        <w:rPr>
          <w:rFonts w:ascii="Arial" w:hAnsi="Arial" w:cs="Arial"/>
          <w:color w:val="auto"/>
        </w:rPr>
      </w:pPr>
      <w:r w:rsidRPr="00021899">
        <w:rPr>
          <w:rFonts w:ascii="Arial" w:hAnsi="Arial" w:cs="Arial"/>
          <w:color w:val="auto"/>
        </w:rPr>
        <w:t xml:space="preserve">En cuanto a la libertad </w:t>
      </w:r>
      <w:r w:rsidR="00D63395">
        <w:rPr>
          <w:rFonts w:ascii="Arial" w:hAnsi="Arial" w:cs="Arial"/>
          <w:color w:val="auto"/>
        </w:rPr>
        <w:t>por vencimiento de términos del</w:t>
      </w:r>
      <w:r w:rsidR="00E93370" w:rsidRPr="00021899">
        <w:rPr>
          <w:rFonts w:ascii="Arial" w:hAnsi="Arial" w:cs="Arial"/>
          <w:color w:val="auto"/>
        </w:rPr>
        <w:t xml:space="preserve"> </w:t>
      </w:r>
      <w:r w:rsidRPr="00021899">
        <w:rPr>
          <w:rFonts w:ascii="Arial" w:hAnsi="Arial" w:cs="Arial"/>
          <w:color w:val="auto"/>
        </w:rPr>
        <w:t>parágrafo 1º de la ley 1786</w:t>
      </w:r>
      <w:r w:rsidR="00EA6221" w:rsidRPr="00021899">
        <w:rPr>
          <w:rFonts w:ascii="Arial" w:hAnsi="Arial" w:cs="Arial"/>
          <w:color w:val="auto"/>
        </w:rPr>
        <w:t xml:space="preserve"> de 2016</w:t>
      </w:r>
      <w:r w:rsidRPr="00021899">
        <w:rPr>
          <w:rFonts w:ascii="Arial" w:hAnsi="Arial" w:cs="Arial"/>
          <w:color w:val="auto"/>
        </w:rPr>
        <w:t xml:space="preserve">, en el sentido que la </w:t>
      </w:r>
      <w:r w:rsidR="00233995" w:rsidRPr="00021899">
        <w:rPr>
          <w:rFonts w:ascii="Arial" w:hAnsi="Arial" w:cs="Arial"/>
          <w:color w:val="auto"/>
        </w:rPr>
        <w:t xml:space="preserve">medida de aseguramiento privativa de la libertad no debe exceder de un año y, para el caso de los delitos sexuales un año más, </w:t>
      </w:r>
      <w:r w:rsidR="00EA6221" w:rsidRPr="00021899">
        <w:rPr>
          <w:rFonts w:ascii="Arial" w:hAnsi="Arial" w:cs="Arial"/>
          <w:color w:val="auto"/>
        </w:rPr>
        <w:t>se d</w:t>
      </w:r>
      <w:r w:rsidR="00D63395">
        <w:rPr>
          <w:rFonts w:ascii="Arial" w:hAnsi="Arial" w:cs="Arial"/>
          <w:color w:val="auto"/>
        </w:rPr>
        <w:t>ebe tener en cuenta que ya</w:t>
      </w:r>
      <w:r w:rsidR="00233995" w:rsidRPr="00021899">
        <w:rPr>
          <w:rFonts w:ascii="Arial" w:hAnsi="Arial" w:cs="Arial"/>
          <w:color w:val="auto"/>
        </w:rPr>
        <w:t xml:space="preserve"> existen pronunciamientos de</w:t>
      </w:r>
      <w:r w:rsidR="00E93370" w:rsidRPr="00021899">
        <w:rPr>
          <w:rFonts w:ascii="Arial" w:hAnsi="Arial" w:cs="Arial"/>
          <w:color w:val="auto"/>
        </w:rPr>
        <w:t xml:space="preserve"> </w:t>
      </w:r>
      <w:r w:rsidR="00233995" w:rsidRPr="00021899">
        <w:rPr>
          <w:rFonts w:ascii="Arial" w:hAnsi="Arial" w:cs="Arial"/>
          <w:color w:val="auto"/>
        </w:rPr>
        <w:t>l</w:t>
      </w:r>
      <w:r w:rsidR="00E93370" w:rsidRPr="00021899">
        <w:rPr>
          <w:rFonts w:ascii="Arial" w:hAnsi="Arial" w:cs="Arial"/>
          <w:color w:val="auto"/>
        </w:rPr>
        <w:t>a</w:t>
      </w:r>
      <w:r w:rsidR="00233995" w:rsidRPr="00021899">
        <w:rPr>
          <w:rFonts w:ascii="Arial" w:hAnsi="Arial" w:cs="Arial"/>
          <w:color w:val="auto"/>
        </w:rPr>
        <w:t xml:space="preserve"> CSJ </w:t>
      </w:r>
      <w:proofErr w:type="spellStart"/>
      <w:r w:rsidR="00E93370" w:rsidRPr="00021899">
        <w:rPr>
          <w:rFonts w:ascii="Arial" w:hAnsi="Arial" w:cs="Arial"/>
          <w:color w:val="auto"/>
        </w:rPr>
        <w:t>SP</w:t>
      </w:r>
      <w:proofErr w:type="spellEnd"/>
      <w:r w:rsidR="00E93370" w:rsidRPr="00021899">
        <w:rPr>
          <w:rFonts w:ascii="Arial" w:hAnsi="Arial" w:cs="Arial"/>
          <w:color w:val="auto"/>
        </w:rPr>
        <w:t xml:space="preserve"> </w:t>
      </w:r>
      <w:r w:rsidR="00233995" w:rsidRPr="00021899">
        <w:rPr>
          <w:rFonts w:ascii="Arial" w:hAnsi="Arial" w:cs="Arial"/>
          <w:color w:val="auto"/>
        </w:rPr>
        <w:t xml:space="preserve">y del mismo Tribunal Superior de Pereira. </w:t>
      </w:r>
    </w:p>
    <w:p w:rsidR="00233995" w:rsidRPr="00021899" w:rsidRDefault="00233995" w:rsidP="00207F36">
      <w:pPr>
        <w:spacing w:line="360" w:lineRule="auto"/>
        <w:ind w:right="49"/>
        <w:jc w:val="both"/>
        <w:rPr>
          <w:rFonts w:ascii="Arial" w:hAnsi="Arial" w:cs="Arial"/>
          <w:color w:val="auto"/>
        </w:rPr>
      </w:pPr>
    </w:p>
    <w:p w:rsidR="00233995" w:rsidRPr="00021899" w:rsidRDefault="00233995" w:rsidP="008F5454">
      <w:pPr>
        <w:pStyle w:val="Prrafodelista"/>
        <w:numPr>
          <w:ilvl w:val="0"/>
          <w:numId w:val="4"/>
        </w:numPr>
        <w:spacing w:line="360" w:lineRule="auto"/>
        <w:ind w:right="49"/>
        <w:jc w:val="both"/>
        <w:rPr>
          <w:rFonts w:ascii="Arial" w:hAnsi="Arial" w:cs="Arial"/>
          <w:color w:val="auto"/>
        </w:rPr>
      </w:pPr>
      <w:r w:rsidRPr="00021899">
        <w:rPr>
          <w:rFonts w:ascii="Arial" w:hAnsi="Arial" w:cs="Arial"/>
          <w:color w:val="auto"/>
        </w:rPr>
        <w:t xml:space="preserve">Aduce que inicialmente se presentó una confusión </w:t>
      </w:r>
      <w:r w:rsidR="00347651">
        <w:rPr>
          <w:rFonts w:ascii="Arial" w:hAnsi="Arial" w:cs="Arial"/>
          <w:color w:val="auto"/>
        </w:rPr>
        <w:t>sobre los efectos de la</w:t>
      </w:r>
      <w:r w:rsidRPr="00021899">
        <w:rPr>
          <w:rFonts w:ascii="Arial" w:hAnsi="Arial" w:cs="Arial"/>
          <w:color w:val="auto"/>
        </w:rPr>
        <w:t xml:space="preserve"> sentencia C-221 de 2017 de la Corte Constitucional</w:t>
      </w:r>
      <w:r w:rsidR="00347651">
        <w:rPr>
          <w:rFonts w:ascii="Arial" w:hAnsi="Arial" w:cs="Arial"/>
          <w:color w:val="auto"/>
        </w:rPr>
        <w:t>,</w:t>
      </w:r>
      <w:r w:rsidRPr="00021899">
        <w:rPr>
          <w:rFonts w:ascii="Arial" w:hAnsi="Arial" w:cs="Arial"/>
          <w:color w:val="auto"/>
        </w:rPr>
        <w:t xml:space="preserve"> en el entendido que la medida de aseguramiento se extendía hasta más allá del </w:t>
      </w:r>
      <w:r w:rsidR="0057723F" w:rsidRPr="00021899">
        <w:rPr>
          <w:rFonts w:ascii="Arial" w:hAnsi="Arial" w:cs="Arial"/>
          <w:color w:val="auto"/>
        </w:rPr>
        <w:t xml:space="preserve">anuncio del </w:t>
      </w:r>
      <w:r w:rsidRPr="00021899">
        <w:rPr>
          <w:rFonts w:ascii="Arial" w:hAnsi="Arial" w:cs="Arial"/>
          <w:color w:val="auto"/>
        </w:rPr>
        <w:t xml:space="preserve">sentido del fallo, </w:t>
      </w:r>
      <w:r w:rsidR="0057723F" w:rsidRPr="00021899">
        <w:rPr>
          <w:rFonts w:ascii="Arial" w:hAnsi="Arial" w:cs="Arial"/>
          <w:color w:val="auto"/>
        </w:rPr>
        <w:t xml:space="preserve">hasta la </w:t>
      </w:r>
      <w:r w:rsidR="00E93370" w:rsidRPr="00021899">
        <w:rPr>
          <w:rFonts w:ascii="Arial" w:hAnsi="Arial" w:cs="Arial"/>
          <w:color w:val="auto"/>
        </w:rPr>
        <w:t xml:space="preserve">sentencia de segunda </w:t>
      </w:r>
      <w:r w:rsidRPr="00021899">
        <w:rPr>
          <w:rFonts w:ascii="Arial" w:hAnsi="Arial" w:cs="Arial"/>
          <w:color w:val="auto"/>
        </w:rPr>
        <w:t>instancia. Pero</w:t>
      </w:r>
      <w:r w:rsidR="0057723F" w:rsidRPr="00021899">
        <w:rPr>
          <w:rFonts w:ascii="Arial" w:hAnsi="Arial" w:cs="Arial"/>
          <w:color w:val="auto"/>
        </w:rPr>
        <w:t xml:space="preserve"> </w:t>
      </w:r>
      <w:r w:rsidRPr="00021899">
        <w:rPr>
          <w:rFonts w:ascii="Arial" w:hAnsi="Arial" w:cs="Arial"/>
          <w:color w:val="auto"/>
        </w:rPr>
        <w:t xml:space="preserve">la </w:t>
      </w:r>
      <w:proofErr w:type="spellStart"/>
      <w:r w:rsidRPr="00021899">
        <w:rPr>
          <w:rFonts w:ascii="Arial" w:hAnsi="Arial" w:cs="Arial"/>
          <w:color w:val="auto"/>
        </w:rPr>
        <w:t>SP</w:t>
      </w:r>
      <w:proofErr w:type="spellEnd"/>
      <w:r w:rsidRPr="00021899">
        <w:rPr>
          <w:rFonts w:ascii="Arial" w:hAnsi="Arial" w:cs="Arial"/>
          <w:color w:val="auto"/>
        </w:rPr>
        <w:t xml:space="preserve"> </w:t>
      </w:r>
      <w:r w:rsidR="0057723F" w:rsidRPr="00021899">
        <w:rPr>
          <w:rFonts w:ascii="Arial" w:hAnsi="Arial" w:cs="Arial"/>
          <w:color w:val="auto"/>
        </w:rPr>
        <w:t xml:space="preserve">de la </w:t>
      </w:r>
      <w:r w:rsidRPr="00021899">
        <w:rPr>
          <w:rFonts w:ascii="Arial" w:hAnsi="Arial" w:cs="Arial"/>
          <w:color w:val="auto"/>
        </w:rPr>
        <w:t>CSJ en providencia del 24 de julio de 2017 radicado 49734</w:t>
      </w:r>
      <w:r w:rsidR="00347651">
        <w:rPr>
          <w:rFonts w:ascii="Arial" w:hAnsi="Arial" w:cs="Arial"/>
          <w:color w:val="auto"/>
        </w:rPr>
        <w:t>,</w:t>
      </w:r>
      <w:r w:rsidRPr="00021899">
        <w:rPr>
          <w:rFonts w:ascii="Arial" w:hAnsi="Arial" w:cs="Arial"/>
          <w:color w:val="auto"/>
        </w:rPr>
        <w:t xml:space="preserve"> </w:t>
      </w:r>
      <w:r w:rsidR="00347651">
        <w:rPr>
          <w:rFonts w:ascii="Arial" w:hAnsi="Arial" w:cs="Arial"/>
          <w:color w:val="auto"/>
        </w:rPr>
        <w:t>hizo</w:t>
      </w:r>
      <w:r w:rsidRPr="00021899">
        <w:rPr>
          <w:rFonts w:ascii="Arial" w:hAnsi="Arial" w:cs="Arial"/>
          <w:color w:val="auto"/>
        </w:rPr>
        <w:t xml:space="preserve"> un análisis más exhaustivo y claro en el cual moduló la decisión</w:t>
      </w:r>
      <w:r w:rsidR="0057723F" w:rsidRPr="00021899">
        <w:rPr>
          <w:rFonts w:ascii="Arial" w:hAnsi="Arial" w:cs="Arial"/>
          <w:color w:val="auto"/>
        </w:rPr>
        <w:t xml:space="preserve"> de la Corte Constitucional, al </w:t>
      </w:r>
      <w:r w:rsidRPr="00021899">
        <w:rPr>
          <w:rFonts w:ascii="Arial" w:hAnsi="Arial" w:cs="Arial"/>
          <w:color w:val="auto"/>
        </w:rPr>
        <w:t xml:space="preserve">establecer que la medida de aseguramiento tiene vigencia hasta el sentido del fallo o la lectura del mismo. </w:t>
      </w:r>
      <w:r w:rsidR="00347651">
        <w:rPr>
          <w:rFonts w:ascii="Arial" w:hAnsi="Arial" w:cs="Arial"/>
          <w:color w:val="auto"/>
        </w:rPr>
        <w:t>Es decir,</w:t>
      </w:r>
      <w:r w:rsidR="00603B41" w:rsidRPr="00021899">
        <w:rPr>
          <w:rFonts w:ascii="Arial" w:hAnsi="Arial" w:cs="Arial"/>
          <w:color w:val="auto"/>
        </w:rPr>
        <w:t xml:space="preserve"> </w:t>
      </w:r>
      <w:r w:rsidR="0057723F" w:rsidRPr="00021899">
        <w:rPr>
          <w:rFonts w:ascii="Arial" w:hAnsi="Arial" w:cs="Arial"/>
          <w:color w:val="auto"/>
        </w:rPr>
        <w:t xml:space="preserve">que la </w:t>
      </w:r>
      <w:r w:rsidR="00603B41" w:rsidRPr="00021899">
        <w:rPr>
          <w:rFonts w:ascii="Arial" w:hAnsi="Arial" w:cs="Arial"/>
          <w:color w:val="auto"/>
        </w:rPr>
        <w:t>detención</w:t>
      </w:r>
      <w:r w:rsidR="0057723F" w:rsidRPr="00021899">
        <w:rPr>
          <w:rFonts w:ascii="Arial" w:hAnsi="Arial" w:cs="Arial"/>
          <w:color w:val="auto"/>
        </w:rPr>
        <w:t xml:space="preserve"> opera en virtud de la </w:t>
      </w:r>
      <w:r w:rsidR="00603B41" w:rsidRPr="00021899">
        <w:rPr>
          <w:rFonts w:ascii="Arial" w:hAnsi="Arial" w:cs="Arial"/>
          <w:color w:val="auto"/>
        </w:rPr>
        <w:t>pena impuesta y n</w:t>
      </w:r>
      <w:r w:rsidR="004B2945" w:rsidRPr="00021899">
        <w:rPr>
          <w:rFonts w:ascii="Arial" w:hAnsi="Arial" w:cs="Arial"/>
          <w:color w:val="auto"/>
        </w:rPr>
        <w:t>o de la medida de aseguramiento</w:t>
      </w:r>
      <w:r w:rsidR="0057723F" w:rsidRPr="00021899">
        <w:rPr>
          <w:rFonts w:ascii="Arial" w:hAnsi="Arial" w:cs="Arial"/>
          <w:color w:val="auto"/>
        </w:rPr>
        <w:t>.</w:t>
      </w:r>
    </w:p>
    <w:p w:rsidR="004B2945" w:rsidRPr="00021899" w:rsidRDefault="004B2945" w:rsidP="00207F36">
      <w:pPr>
        <w:spacing w:line="360" w:lineRule="auto"/>
        <w:ind w:right="49"/>
        <w:jc w:val="both"/>
        <w:rPr>
          <w:rFonts w:ascii="Arial" w:hAnsi="Arial" w:cs="Arial"/>
          <w:color w:val="auto"/>
        </w:rPr>
      </w:pPr>
    </w:p>
    <w:p w:rsidR="004B2945" w:rsidRPr="00021899" w:rsidRDefault="00A357D1" w:rsidP="008F5454">
      <w:pPr>
        <w:pStyle w:val="Prrafodelista"/>
        <w:numPr>
          <w:ilvl w:val="0"/>
          <w:numId w:val="4"/>
        </w:numPr>
        <w:spacing w:line="360" w:lineRule="auto"/>
        <w:ind w:right="49"/>
        <w:jc w:val="both"/>
        <w:rPr>
          <w:rFonts w:ascii="Arial" w:hAnsi="Arial" w:cs="Arial"/>
          <w:color w:val="auto"/>
        </w:rPr>
      </w:pPr>
      <w:r w:rsidRPr="00021899">
        <w:rPr>
          <w:rFonts w:ascii="Arial" w:hAnsi="Arial" w:cs="Arial"/>
          <w:color w:val="auto"/>
        </w:rPr>
        <w:t>Cit</w:t>
      </w:r>
      <w:r w:rsidR="0057723F" w:rsidRPr="00021899">
        <w:rPr>
          <w:rFonts w:ascii="Arial" w:hAnsi="Arial" w:cs="Arial"/>
          <w:color w:val="auto"/>
        </w:rPr>
        <w:t xml:space="preserve">ó </w:t>
      </w:r>
      <w:r w:rsidRPr="00021899">
        <w:rPr>
          <w:rFonts w:ascii="Arial" w:hAnsi="Arial" w:cs="Arial"/>
          <w:color w:val="auto"/>
        </w:rPr>
        <w:t xml:space="preserve">también la providencia del </w:t>
      </w:r>
      <w:r w:rsidR="004B2945" w:rsidRPr="00021899">
        <w:rPr>
          <w:rFonts w:ascii="Arial" w:hAnsi="Arial" w:cs="Arial"/>
          <w:color w:val="auto"/>
        </w:rPr>
        <w:t xml:space="preserve">28 agosto de 2017 </w:t>
      </w:r>
      <w:proofErr w:type="spellStart"/>
      <w:r w:rsidR="004B2945" w:rsidRPr="00021899">
        <w:rPr>
          <w:rFonts w:ascii="Arial" w:hAnsi="Arial" w:cs="Arial"/>
          <w:color w:val="auto"/>
        </w:rPr>
        <w:t>MP</w:t>
      </w:r>
      <w:proofErr w:type="spellEnd"/>
      <w:r w:rsidR="004B2945" w:rsidRPr="00021899">
        <w:rPr>
          <w:rFonts w:ascii="Arial" w:hAnsi="Arial" w:cs="Arial"/>
          <w:color w:val="auto"/>
        </w:rPr>
        <w:t xml:space="preserve"> Manuel </w:t>
      </w:r>
      <w:proofErr w:type="spellStart"/>
      <w:r w:rsidR="004B2945" w:rsidRPr="00021899">
        <w:rPr>
          <w:rFonts w:ascii="Arial" w:hAnsi="Arial" w:cs="Arial"/>
          <w:color w:val="auto"/>
        </w:rPr>
        <w:t>Yarzagaray</w:t>
      </w:r>
      <w:proofErr w:type="spellEnd"/>
      <w:r w:rsidR="004B2945" w:rsidRPr="00021899">
        <w:rPr>
          <w:rFonts w:ascii="Arial" w:hAnsi="Arial" w:cs="Arial"/>
          <w:color w:val="auto"/>
        </w:rPr>
        <w:t xml:space="preserve"> </w:t>
      </w:r>
      <w:r w:rsidR="004B2945" w:rsidRPr="00021899">
        <w:rPr>
          <w:rFonts w:ascii="Arial" w:hAnsi="Arial" w:cs="Arial"/>
          <w:color w:val="auto"/>
        </w:rPr>
        <w:lastRenderedPageBreak/>
        <w:t>Bandera de</w:t>
      </w:r>
      <w:r w:rsidR="0057723F" w:rsidRPr="00021899">
        <w:rPr>
          <w:rFonts w:ascii="Arial" w:hAnsi="Arial" w:cs="Arial"/>
          <w:color w:val="auto"/>
        </w:rPr>
        <w:t xml:space="preserve"> esta Sala, </w:t>
      </w:r>
      <w:r w:rsidRPr="00021899">
        <w:rPr>
          <w:rFonts w:ascii="Arial" w:hAnsi="Arial" w:cs="Arial"/>
          <w:color w:val="auto"/>
        </w:rPr>
        <w:t>que</w:t>
      </w:r>
      <w:r w:rsidR="004B2945" w:rsidRPr="00021899">
        <w:rPr>
          <w:rFonts w:ascii="Arial" w:hAnsi="Arial" w:cs="Arial"/>
          <w:color w:val="auto"/>
        </w:rPr>
        <w:t xml:space="preserve"> asume la postura de la CSJ</w:t>
      </w:r>
      <w:r w:rsidRPr="00021899">
        <w:rPr>
          <w:rFonts w:ascii="Arial" w:hAnsi="Arial" w:cs="Arial"/>
          <w:color w:val="auto"/>
        </w:rPr>
        <w:t xml:space="preserve"> </w:t>
      </w:r>
      <w:proofErr w:type="spellStart"/>
      <w:r w:rsidRPr="00021899">
        <w:rPr>
          <w:rFonts w:ascii="Arial" w:hAnsi="Arial" w:cs="Arial"/>
          <w:color w:val="auto"/>
        </w:rPr>
        <w:t>SP</w:t>
      </w:r>
      <w:proofErr w:type="spellEnd"/>
      <w:r w:rsidR="004B2945" w:rsidRPr="00021899">
        <w:rPr>
          <w:rFonts w:ascii="Arial" w:hAnsi="Arial" w:cs="Arial"/>
          <w:color w:val="auto"/>
        </w:rPr>
        <w:t xml:space="preserve">, en cuanto a la modulación del fallo C-221 de 2017. </w:t>
      </w:r>
    </w:p>
    <w:p w:rsidR="0044595F" w:rsidRPr="00021899" w:rsidRDefault="0044595F" w:rsidP="00207F36">
      <w:pPr>
        <w:spacing w:line="360" w:lineRule="auto"/>
        <w:ind w:right="49"/>
        <w:jc w:val="both"/>
        <w:rPr>
          <w:rFonts w:ascii="Arial" w:hAnsi="Arial" w:cs="Arial"/>
          <w:color w:val="auto"/>
        </w:rPr>
      </w:pPr>
    </w:p>
    <w:p w:rsidR="0044595F" w:rsidRPr="00021899" w:rsidRDefault="0044595F" w:rsidP="008F5454">
      <w:pPr>
        <w:pStyle w:val="Prrafodelista"/>
        <w:numPr>
          <w:ilvl w:val="0"/>
          <w:numId w:val="4"/>
        </w:numPr>
        <w:spacing w:line="360" w:lineRule="auto"/>
        <w:ind w:right="49"/>
        <w:jc w:val="both"/>
        <w:rPr>
          <w:rFonts w:ascii="Arial" w:hAnsi="Arial" w:cs="Arial"/>
          <w:color w:val="auto"/>
        </w:rPr>
      </w:pPr>
      <w:r w:rsidRPr="00021899">
        <w:rPr>
          <w:rFonts w:ascii="Arial" w:hAnsi="Arial" w:cs="Arial"/>
          <w:color w:val="auto"/>
        </w:rPr>
        <w:t>Respecto del estado de salud del privado de la libertad</w:t>
      </w:r>
      <w:r w:rsidR="0057723F" w:rsidRPr="00021899">
        <w:rPr>
          <w:rFonts w:ascii="Arial" w:hAnsi="Arial" w:cs="Arial"/>
          <w:color w:val="auto"/>
        </w:rPr>
        <w:t xml:space="preserve">, es un asunto que escapa </w:t>
      </w:r>
      <w:r w:rsidRPr="00021899">
        <w:rPr>
          <w:rFonts w:ascii="Arial" w:hAnsi="Arial" w:cs="Arial"/>
          <w:color w:val="auto"/>
        </w:rPr>
        <w:t>a la solicitud de libertad</w:t>
      </w:r>
      <w:r w:rsidR="0057723F" w:rsidRPr="00021899">
        <w:rPr>
          <w:rFonts w:ascii="Arial" w:hAnsi="Arial" w:cs="Arial"/>
          <w:color w:val="auto"/>
        </w:rPr>
        <w:t xml:space="preserve"> formulada por la defensa, por lo cual se debe requerir </w:t>
      </w:r>
      <w:r w:rsidRPr="00021899">
        <w:rPr>
          <w:rFonts w:ascii="Arial" w:hAnsi="Arial" w:cs="Arial"/>
          <w:color w:val="auto"/>
        </w:rPr>
        <w:t xml:space="preserve">la atención médica por parte de la </w:t>
      </w:r>
      <w:proofErr w:type="spellStart"/>
      <w:r w:rsidRPr="00021899">
        <w:rPr>
          <w:rFonts w:ascii="Arial" w:hAnsi="Arial" w:cs="Arial"/>
          <w:color w:val="auto"/>
        </w:rPr>
        <w:t>EPS</w:t>
      </w:r>
      <w:proofErr w:type="spellEnd"/>
      <w:r w:rsidRPr="00021899">
        <w:rPr>
          <w:rFonts w:ascii="Arial" w:hAnsi="Arial" w:cs="Arial"/>
          <w:color w:val="auto"/>
        </w:rPr>
        <w:t xml:space="preserve"> a la cual está afiliado. </w:t>
      </w:r>
    </w:p>
    <w:p w:rsidR="0044595F" w:rsidRDefault="0044595F" w:rsidP="00207F36">
      <w:pPr>
        <w:spacing w:line="360" w:lineRule="auto"/>
        <w:ind w:right="49"/>
        <w:jc w:val="both"/>
        <w:rPr>
          <w:rFonts w:ascii="Arial" w:hAnsi="Arial" w:cs="Arial"/>
          <w:color w:val="auto"/>
        </w:rPr>
      </w:pPr>
    </w:p>
    <w:p w:rsidR="00021899" w:rsidRPr="00021899" w:rsidRDefault="00021899" w:rsidP="00207F36">
      <w:pPr>
        <w:spacing w:line="360" w:lineRule="auto"/>
        <w:ind w:right="49"/>
        <w:jc w:val="both"/>
        <w:rPr>
          <w:rFonts w:ascii="Arial" w:hAnsi="Arial" w:cs="Arial"/>
          <w:color w:val="auto"/>
        </w:rPr>
      </w:pPr>
    </w:p>
    <w:p w:rsidR="00E97302" w:rsidRPr="00082BDF" w:rsidRDefault="00A357D1" w:rsidP="00207F36">
      <w:pPr>
        <w:spacing w:line="360" w:lineRule="auto"/>
        <w:ind w:right="49"/>
        <w:jc w:val="center"/>
        <w:rPr>
          <w:rFonts w:ascii="Arial" w:hAnsi="Arial" w:cs="Arial"/>
          <w:b/>
          <w:color w:val="auto"/>
        </w:rPr>
      </w:pPr>
      <w:r w:rsidRPr="00082BDF">
        <w:rPr>
          <w:rFonts w:ascii="Arial" w:hAnsi="Arial" w:cs="Arial"/>
          <w:b/>
          <w:color w:val="auto"/>
        </w:rPr>
        <w:t>4</w:t>
      </w:r>
      <w:r w:rsidR="00E97302" w:rsidRPr="00082BDF">
        <w:rPr>
          <w:rFonts w:ascii="Arial" w:hAnsi="Arial" w:cs="Arial"/>
          <w:b/>
          <w:color w:val="auto"/>
        </w:rPr>
        <w:t>. SOBRE LA DECISIÓN OBJETO DEL RECURSO</w:t>
      </w:r>
    </w:p>
    <w:p w:rsidR="00E97302" w:rsidRPr="00021899" w:rsidRDefault="00E97302" w:rsidP="00207F36">
      <w:pPr>
        <w:spacing w:line="360" w:lineRule="auto"/>
        <w:ind w:right="49"/>
        <w:jc w:val="center"/>
        <w:rPr>
          <w:rFonts w:ascii="Arial" w:hAnsi="Arial" w:cs="Arial"/>
          <w:color w:val="auto"/>
          <w:u w:val="single"/>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La decisión del juez de primer grado se sintetiza así:</w:t>
      </w:r>
    </w:p>
    <w:p w:rsidR="00E97302" w:rsidRPr="00021899" w:rsidRDefault="00E97302" w:rsidP="00207F36">
      <w:pPr>
        <w:spacing w:line="360" w:lineRule="auto"/>
        <w:ind w:right="49"/>
        <w:jc w:val="both"/>
        <w:rPr>
          <w:rFonts w:ascii="Arial" w:hAnsi="Arial" w:cs="Arial"/>
          <w:color w:val="auto"/>
        </w:rPr>
      </w:pPr>
    </w:p>
    <w:p w:rsidR="00D81688" w:rsidRPr="00021899" w:rsidRDefault="0057723F" w:rsidP="008F5454">
      <w:pPr>
        <w:pStyle w:val="Prrafodelista"/>
        <w:numPr>
          <w:ilvl w:val="0"/>
          <w:numId w:val="5"/>
        </w:numPr>
        <w:spacing w:line="360" w:lineRule="auto"/>
        <w:ind w:right="49"/>
        <w:jc w:val="both"/>
        <w:rPr>
          <w:rFonts w:ascii="Arial" w:hAnsi="Arial" w:cs="Arial"/>
          <w:color w:val="auto"/>
        </w:rPr>
      </w:pPr>
      <w:r w:rsidRPr="00021899">
        <w:rPr>
          <w:rFonts w:ascii="Arial" w:hAnsi="Arial" w:cs="Arial"/>
          <w:color w:val="auto"/>
        </w:rPr>
        <w:t xml:space="preserve">Le </w:t>
      </w:r>
      <w:r w:rsidR="00D81688" w:rsidRPr="00021899">
        <w:rPr>
          <w:rFonts w:ascii="Arial" w:hAnsi="Arial" w:cs="Arial"/>
          <w:color w:val="auto"/>
        </w:rPr>
        <w:t xml:space="preserve">corresponde definir si en el caso bajo estudio se encuentran superados los términos del parágrafo 1º del artículo 307 </w:t>
      </w:r>
      <w:proofErr w:type="spellStart"/>
      <w:r w:rsidR="00D81688" w:rsidRPr="00021899">
        <w:rPr>
          <w:rFonts w:ascii="Arial" w:hAnsi="Arial" w:cs="Arial"/>
          <w:color w:val="auto"/>
        </w:rPr>
        <w:t>CPP</w:t>
      </w:r>
      <w:proofErr w:type="spellEnd"/>
      <w:r w:rsidR="00D81688" w:rsidRPr="00021899">
        <w:rPr>
          <w:rFonts w:ascii="Arial" w:hAnsi="Arial" w:cs="Arial"/>
          <w:color w:val="auto"/>
        </w:rPr>
        <w:t xml:space="preserve"> modificado por la ley 1786 de 2016</w:t>
      </w:r>
      <w:r w:rsidR="00D87CF7">
        <w:rPr>
          <w:rFonts w:ascii="Arial" w:hAnsi="Arial" w:cs="Arial"/>
          <w:color w:val="auto"/>
        </w:rPr>
        <w:t>, y si se ha</w:t>
      </w:r>
      <w:r w:rsidR="00D81688" w:rsidRPr="00021899">
        <w:rPr>
          <w:rFonts w:ascii="Arial" w:hAnsi="Arial" w:cs="Arial"/>
          <w:color w:val="auto"/>
        </w:rPr>
        <w:t xml:space="preserve"> superado el plazo razonable del que tratan </w:t>
      </w:r>
      <w:r w:rsidR="00254AC4" w:rsidRPr="00021899">
        <w:rPr>
          <w:rFonts w:ascii="Arial" w:hAnsi="Arial" w:cs="Arial"/>
          <w:color w:val="auto"/>
        </w:rPr>
        <w:t xml:space="preserve">los </w:t>
      </w:r>
      <w:r w:rsidR="00D81688" w:rsidRPr="00021899">
        <w:rPr>
          <w:rFonts w:ascii="Arial" w:hAnsi="Arial" w:cs="Arial"/>
          <w:color w:val="auto"/>
        </w:rPr>
        <w:t xml:space="preserve">instrumentos internacionales </w:t>
      </w:r>
      <w:r w:rsidR="00D87CF7">
        <w:rPr>
          <w:rFonts w:ascii="Arial" w:hAnsi="Arial" w:cs="Arial"/>
          <w:color w:val="auto"/>
        </w:rPr>
        <w:t>citados</w:t>
      </w:r>
      <w:r w:rsidR="00D81688" w:rsidRPr="00021899">
        <w:rPr>
          <w:rFonts w:ascii="Arial" w:hAnsi="Arial" w:cs="Arial"/>
          <w:color w:val="auto"/>
        </w:rPr>
        <w:t xml:space="preserve"> por el solicitante. </w:t>
      </w:r>
    </w:p>
    <w:p w:rsidR="00D81688" w:rsidRPr="00021899" w:rsidRDefault="00D81688" w:rsidP="00D81688">
      <w:pPr>
        <w:spacing w:line="360" w:lineRule="auto"/>
        <w:ind w:right="49"/>
        <w:jc w:val="both"/>
        <w:rPr>
          <w:rFonts w:ascii="Arial" w:hAnsi="Arial" w:cs="Arial"/>
          <w:color w:val="auto"/>
        </w:rPr>
      </w:pPr>
    </w:p>
    <w:p w:rsidR="00E97302" w:rsidRPr="00021899" w:rsidRDefault="00254AC4" w:rsidP="008F5454">
      <w:pPr>
        <w:pStyle w:val="Prrafodelista"/>
        <w:numPr>
          <w:ilvl w:val="0"/>
          <w:numId w:val="5"/>
        </w:numPr>
        <w:spacing w:line="360" w:lineRule="auto"/>
        <w:ind w:right="49"/>
        <w:jc w:val="both"/>
        <w:rPr>
          <w:rFonts w:ascii="Arial" w:hAnsi="Arial" w:cs="Arial"/>
          <w:color w:val="auto"/>
        </w:rPr>
      </w:pPr>
      <w:r w:rsidRPr="00021899">
        <w:rPr>
          <w:rFonts w:ascii="Arial" w:hAnsi="Arial" w:cs="Arial"/>
          <w:color w:val="auto"/>
        </w:rPr>
        <w:t xml:space="preserve">Se refirió a lo </w:t>
      </w:r>
      <w:r w:rsidR="002D05D4" w:rsidRPr="00021899">
        <w:rPr>
          <w:rFonts w:ascii="Arial" w:hAnsi="Arial" w:cs="Arial"/>
          <w:color w:val="auto"/>
        </w:rPr>
        <w:t>correspondiente al término de vigencia de las medidas de aseguramiento cuando ya existe condena de primera instancia</w:t>
      </w:r>
      <w:r w:rsidRPr="00021899">
        <w:rPr>
          <w:rFonts w:ascii="Arial" w:hAnsi="Arial" w:cs="Arial"/>
          <w:color w:val="auto"/>
        </w:rPr>
        <w:t xml:space="preserve">, </w:t>
      </w:r>
      <w:r w:rsidR="00C206CD" w:rsidRPr="00021899">
        <w:rPr>
          <w:rFonts w:ascii="Arial" w:hAnsi="Arial" w:cs="Arial"/>
          <w:color w:val="auto"/>
        </w:rPr>
        <w:t xml:space="preserve">con el fin de determinar si es posible aplicar o no el parágrafo 1º del artículo 307 </w:t>
      </w:r>
      <w:proofErr w:type="spellStart"/>
      <w:r w:rsidR="00C206CD" w:rsidRPr="00021899">
        <w:rPr>
          <w:rFonts w:ascii="Arial" w:hAnsi="Arial" w:cs="Arial"/>
          <w:color w:val="auto"/>
        </w:rPr>
        <w:t>CPP</w:t>
      </w:r>
      <w:proofErr w:type="spellEnd"/>
      <w:r w:rsidR="00C206CD" w:rsidRPr="00021899">
        <w:rPr>
          <w:rFonts w:ascii="Arial" w:hAnsi="Arial" w:cs="Arial"/>
          <w:color w:val="auto"/>
        </w:rPr>
        <w:t xml:space="preserve"> ya referido, el cual </w:t>
      </w:r>
      <w:r w:rsidR="00D808C4" w:rsidRPr="00021899">
        <w:rPr>
          <w:rFonts w:ascii="Arial" w:hAnsi="Arial" w:cs="Arial"/>
          <w:color w:val="auto"/>
        </w:rPr>
        <w:t xml:space="preserve">dispone que el término de las medidas de aseguramiento privativas de la libertad no podrá exceder de un año, define los </w:t>
      </w:r>
      <w:r w:rsidRPr="00021899">
        <w:rPr>
          <w:rFonts w:ascii="Arial" w:hAnsi="Arial" w:cs="Arial"/>
          <w:color w:val="auto"/>
        </w:rPr>
        <w:t xml:space="preserve">casos en que se </w:t>
      </w:r>
      <w:r w:rsidR="00D808C4" w:rsidRPr="00021899">
        <w:rPr>
          <w:rFonts w:ascii="Arial" w:hAnsi="Arial" w:cs="Arial"/>
          <w:color w:val="auto"/>
        </w:rPr>
        <w:t>p</w:t>
      </w:r>
      <w:r w:rsidRPr="00021899">
        <w:rPr>
          <w:rFonts w:ascii="Arial" w:hAnsi="Arial" w:cs="Arial"/>
          <w:color w:val="auto"/>
        </w:rPr>
        <w:t xml:space="preserve">uede </w:t>
      </w:r>
      <w:r w:rsidR="00D808C4" w:rsidRPr="00021899">
        <w:rPr>
          <w:rFonts w:ascii="Arial" w:hAnsi="Arial" w:cs="Arial"/>
          <w:color w:val="auto"/>
        </w:rPr>
        <w:t>prorrogar y establece que vencido e</w:t>
      </w:r>
      <w:r w:rsidRPr="00021899">
        <w:rPr>
          <w:rFonts w:ascii="Arial" w:hAnsi="Arial" w:cs="Arial"/>
          <w:color w:val="auto"/>
        </w:rPr>
        <w:t xml:space="preserve">se plazo se </w:t>
      </w:r>
      <w:r w:rsidR="00D808C4" w:rsidRPr="00021899">
        <w:rPr>
          <w:rFonts w:ascii="Arial" w:hAnsi="Arial" w:cs="Arial"/>
          <w:color w:val="auto"/>
        </w:rPr>
        <w:t>podr</w:t>
      </w:r>
      <w:r w:rsidR="005E2D69" w:rsidRPr="00021899">
        <w:rPr>
          <w:rFonts w:ascii="Arial" w:hAnsi="Arial" w:cs="Arial"/>
          <w:color w:val="auto"/>
        </w:rPr>
        <w:t>á sustituir por una medida de aseguramiento no privativa de la libertad</w:t>
      </w:r>
      <w:r w:rsidR="009A3358" w:rsidRPr="00021899">
        <w:rPr>
          <w:rFonts w:ascii="Arial" w:hAnsi="Arial" w:cs="Arial"/>
          <w:color w:val="auto"/>
        </w:rPr>
        <w:t>.</w:t>
      </w:r>
    </w:p>
    <w:p w:rsidR="002D05D4" w:rsidRPr="00021899" w:rsidRDefault="002D05D4" w:rsidP="00207F36">
      <w:pPr>
        <w:spacing w:line="360" w:lineRule="auto"/>
        <w:ind w:right="49"/>
        <w:jc w:val="both"/>
        <w:rPr>
          <w:rFonts w:ascii="Arial" w:hAnsi="Arial" w:cs="Arial"/>
          <w:color w:val="auto"/>
        </w:rPr>
      </w:pPr>
    </w:p>
    <w:p w:rsidR="009A3358" w:rsidRPr="00021899" w:rsidRDefault="00D87CF7" w:rsidP="008F5454">
      <w:pPr>
        <w:pStyle w:val="Prrafodelista"/>
        <w:numPr>
          <w:ilvl w:val="0"/>
          <w:numId w:val="5"/>
        </w:numPr>
        <w:spacing w:line="360" w:lineRule="auto"/>
        <w:ind w:right="49"/>
        <w:jc w:val="both"/>
        <w:rPr>
          <w:rFonts w:ascii="Arial" w:hAnsi="Arial" w:cs="Arial"/>
          <w:color w:val="auto"/>
        </w:rPr>
      </w:pPr>
      <w:r>
        <w:rPr>
          <w:rFonts w:ascii="Arial" w:hAnsi="Arial" w:cs="Arial"/>
          <w:color w:val="auto"/>
        </w:rPr>
        <w:t>Los</w:t>
      </w:r>
      <w:r w:rsidR="003C2643" w:rsidRPr="00021899">
        <w:rPr>
          <w:rFonts w:ascii="Arial" w:hAnsi="Arial" w:cs="Arial"/>
          <w:color w:val="auto"/>
        </w:rPr>
        <w:t xml:space="preserve"> hechos están plenamente acreditados como es la privación de la libertad desde el 5 de julio de 2011 del defendido, que se impuso medida de aseguramiento desde </w:t>
      </w:r>
      <w:r w:rsidR="00D3705D" w:rsidRPr="00021899">
        <w:rPr>
          <w:rFonts w:ascii="Arial" w:hAnsi="Arial" w:cs="Arial"/>
          <w:color w:val="auto"/>
        </w:rPr>
        <w:t>las audiencias preliminares</w:t>
      </w:r>
      <w:r w:rsidR="009A3358" w:rsidRPr="00021899">
        <w:rPr>
          <w:rFonts w:ascii="Arial" w:hAnsi="Arial" w:cs="Arial"/>
          <w:color w:val="auto"/>
        </w:rPr>
        <w:t>. La s</w:t>
      </w:r>
      <w:r w:rsidR="00D3705D" w:rsidRPr="00021899">
        <w:rPr>
          <w:rFonts w:ascii="Arial" w:hAnsi="Arial" w:cs="Arial"/>
          <w:color w:val="auto"/>
        </w:rPr>
        <w:t xml:space="preserve">entencia condenatoria está suspendida con motivo del recurso de apelación interpuesto contra la misma, por lo tanto la presunción de inocencia </w:t>
      </w:r>
      <w:r w:rsidR="009A3358" w:rsidRPr="00021899">
        <w:rPr>
          <w:rFonts w:ascii="Arial" w:hAnsi="Arial" w:cs="Arial"/>
          <w:color w:val="auto"/>
        </w:rPr>
        <w:t xml:space="preserve">del procesado </w:t>
      </w:r>
      <w:r w:rsidR="00D3705D" w:rsidRPr="00021899">
        <w:rPr>
          <w:rFonts w:ascii="Arial" w:hAnsi="Arial" w:cs="Arial"/>
          <w:color w:val="auto"/>
        </w:rPr>
        <w:t>permanece incólume hasta tanto se emita el pronunciamiento de segunda instancia</w:t>
      </w:r>
      <w:r w:rsidR="009A3358" w:rsidRPr="00021899">
        <w:rPr>
          <w:rFonts w:ascii="Arial" w:hAnsi="Arial" w:cs="Arial"/>
          <w:color w:val="auto"/>
        </w:rPr>
        <w:t xml:space="preserve"> según lo manifestado.</w:t>
      </w:r>
    </w:p>
    <w:p w:rsidR="009A3358" w:rsidRPr="00021899" w:rsidRDefault="009A3358" w:rsidP="009A3358">
      <w:pPr>
        <w:pStyle w:val="Prrafodelista"/>
        <w:rPr>
          <w:rFonts w:ascii="Arial" w:hAnsi="Arial" w:cs="Arial"/>
          <w:color w:val="auto"/>
        </w:rPr>
      </w:pPr>
    </w:p>
    <w:p w:rsidR="00061AB5" w:rsidRPr="00021899" w:rsidRDefault="009A3358" w:rsidP="008F5454">
      <w:pPr>
        <w:pStyle w:val="Prrafodelista"/>
        <w:numPr>
          <w:ilvl w:val="0"/>
          <w:numId w:val="5"/>
        </w:numPr>
        <w:spacing w:line="360" w:lineRule="auto"/>
        <w:ind w:right="49"/>
        <w:jc w:val="both"/>
        <w:rPr>
          <w:rFonts w:ascii="Arial" w:hAnsi="Arial" w:cs="Arial"/>
          <w:color w:val="auto"/>
        </w:rPr>
      </w:pPr>
      <w:r w:rsidRPr="00021899">
        <w:rPr>
          <w:rFonts w:ascii="Arial" w:hAnsi="Arial" w:cs="Arial"/>
          <w:color w:val="auto"/>
        </w:rPr>
        <w:t xml:space="preserve">No accedió a </w:t>
      </w:r>
      <w:r w:rsidR="00716C3E" w:rsidRPr="00021899">
        <w:rPr>
          <w:rFonts w:ascii="Arial" w:hAnsi="Arial" w:cs="Arial"/>
          <w:color w:val="auto"/>
        </w:rPr>
        <w:t xml:space="preserve">lo </w:t>
      </w:r>
      <w:r w:rsidR="00D3705D" w:rsidRPr="00021899">
        <w:rPr>
          <w:rFonts w:ascii="Arial" w:hAnsi="Arial" w:cs="Arial"/>
          <w:color w:val="auto"/>
        </w:rPr>
        <w:t xml:space="preserve">solicitado porque </w:t>
      </w:r>
      <w:r w:rsidR="00233AE0" w:rsidRPr="00021899">
        <w:rPr>
          <w:rFonts w:ascii="Arial" w:hAnsi="Arial" w:cs="Arial"/>
          <w:color w:val="auto"/>
        </w:rPr>
        <w:t xml:space="preserve">acoge </w:t>
      </w:r>
      <w:r w:rsidR="00D3705D" w:rsidRPr="00021899">
        <w:rPr>
          <w:rFonts w:ascii="Arial" w:hAnsi="Arial" w:cs="Arial"/>
          <w:color w:val="auto"/>
        </w:rPr>
        <w:t xml:space="preserve">el criterio de la CSJ </w:t>
      </w:r>
      <w:proofErr w:type="spellStart"/>
      <w:r w:rsidR="008B114D" w:rsidRPr="00021899">
        <w:rPr>
          <w:rFonts w:ascii="Arial" w:hAnsi="Arial" w:cs="Arial"/>
          <w:color w:val="auto"/>
        </w:rPr>
        <w:t>SP</w:t>
      </w:r>
      <w:proofErr w:type="spellEnd"/>
      <w:r w:rsidR="008B114D" w:rsidRPr="00021899">
        <w:rPr>
          <w:rFonts w:ascii="Arial" w:hAnsi="Arial" w:cs="Arial"/>
          <w:color w:val="auto"/>
        </w:rPr>
        <w:t xml:space="preserve"> </w:t>
      </w:r>
      <w:r w:rsidR="00D3705D" w:rsidRPr="00021899">
        <w:rPr>
          <w:rFonts w:ascii="Arial" w:hAnsi="Arial" w:cs="Arial"/>
          <w:color w:val="auto"/>
        </w:rPr>
        <w:t xml:space="preserve">y </w:t>
      </w:r>
      <w:r w:rsidR="006B7798" w:rsidRPr="00021899">
        <w:rPr>
          <w:rFonts w:ascii="Arial" w:hAnsi="Arial" w:cs="Arial"/>
          <w:color w:val="auto"/>
        </w:rPr>
        <w:t>d</w:t>
      </w:r>
      <w:r w:rsidR="00D3705D" w:rsidRPr="00021899">
        <w:rPr>
          <w:rFonts w:ascii="Arial" w:hAnsi="Arial" w:cs="Arial"/>
          <w:color w:val="auto"/>
        </w:rPr>
        <w:t>e</w:t>
      </w:r>
      <w:r w:rsidR="006B7798" w:rsidRPr="00021899">
        <w:rPr>
          <w:rFonts w:ascii="Arial" w:hAnsi="Arial" w:cs="Arial"/>
          <w:color w:val="auto"/>
        </w:rPr>
        <w:t xml:space="preserve"> la Sala Penal del </w:t>
      </w:r>
      <w:proofErr w:type="spellStart"/>
      <w:r w:rsidR="006B7798" w:rsidRPr="00021899">
        <w:rPr>
          <w:rFonts w:ascii="Arial" w:hAnsi="Arial" w:cs="Arial"/>
          <w:color w:val="auto"/>
        </w:rPr>
        <w:t>TS</w:t>
      </w:r>
      <w:proofErr w:type="spellEnd"/>
      <w:r w:rsidR="006B7798" w:rsidRPr="00021899">
        <w:rPr>
          <w:rFonts w:ascii="Arial" w:hAnsi="Arial" w:cs="Arial"/>
          <w:color w:val="auto"/>
        </w:rPr>
        <w:t xml:space="preserve"> de </w:t>
      </w:r>
      <w:r w:rsidR="00D3705D" w:rsidRPr="00021899">
        <w:rPr>
          <w:rFonts w:ascii="Arial" w:hAnsi="Arial" w:cs="Arial"/>
          <w:color w:val="auto"/>
        </w:rPr>
        <w:t xml:space="preserve">Pereira, al concluir que la medida de aseguramiento tiene vigencia hasta el </w:t>
      </w:r>
      <w:r w:rsidR="00D87CF7">
        <w:rPr>
          <w:rFonts w:ascii="Arial" w:hAnsi="Arial" w:cs="Arial"/>
          <w:color w:val="auto"/>
        </w:rPr>
        <w:t xml:space="preserve">anuncio </w:t>
      </w:r>
      <w:r w:rsidR="006B7798" w:rsidRPr="00021899">
        <w:rPr>
          <w:rFonts w:ascii="Arial" w:hAnsi="Arial" w:cs="Arial"/>
          <w:color w:val="auto"/>
        </w:rPr>
        <w:t xml:space="preserve">del </w:t>
      </w:r>
      <w:r w:rsidR="00D3705D" w:rsidRPr="00021899">
        <w:rPr>
          <w:rFonts w:ascii="Arial" w:hAnsi="Arial" w:cs="Arial"/>
          <w:color w:val="auto"/>
        </w:rPr>
        <w:t>sentido del fallo o</w:t>
      </w:r>
      <w:r w:rsidR="00D87CF7">
        <w:rPr>
          <w:rFonts w:ascii="Arial" w:hAnsi="Arial" w:cs="Arial"/>
          <w:color w:val="auto"/>
        </w:rPr>
        <w:t xml:space="preserve"> la</w:t>
      </w:r>
      <w:r w:rsidR="00D3705D" w:rsidRPr="00021899">
        <w:rPr>
          <w:rFonts w:ascii="Arial" w:hAnsi="Arial" w:cs="Arial"/>
          <w:color w:val="auto"/>
        </w:rPr>
        <w:t xml:space="preserve"> lectura de la sentencia y</w:t>
      </w:r>
      <w:r w:rsidR="000C657A" w:rsidRPr="00021899">
        <w:rPr>
          <w:rFonts w:ascii="Arial" w:hAnsi="Arial" w:cs="Arial"/>
          <w:color w:val="auto"/>
        </w:rPr>
        <w:t xml:space="preserve"> en lo sucesivo se </w:t>
      </w:r>
      <w:r w:rsidR="006B7798" w:rsidRPr="00021899">
        <w:rPr>
          <w:rFonts w:ascii="Arial" w:hAnsi="Arial" w:cs="Arial"/>
          <w:color w:val="auto"/>
        </w:rPr>
        <w:t xml:space="preserve">está en la fase del </w:t>
      </w:r>
      <w:r w:rsidR="00233AE0" w:rsidRPr="00021899">
        <w:rPr>
          <w:rFonts w:ascii="Arial" w:hAnsi="Arial" w:cs="Arial"/>
          <w:color w:val="auto"/>
        </w:rPr>
        <w:t>cumplimiento de la pena</w:t>
      </w:r>
      <w:r w:rsidR="00D3705D" w:rsidRPr="00021899">
        <w:rPr>
          <w:rFonts w:ascii="Arial" w:hAnsi="Arial" w:cs="Arial"/>
          <w:color w:val="auto"/>
        </w:rPr>
        <w:t xml:space="preserve">, </w:t>
      </w:r>
      <w:r w:rsidR="00233AE0" w:rsidRPr="00021899">
        <w:rPr>
          <w:rFonts w:ascii="Arial" w:hAnsi="Arial" w:cs="Arial"/>
          <w:color w:val="auto"/>
        </w:rPr>
        <w:t xml:space="preserve">como se </w:t>
      </w:r>
      <w:r w:rsidR="00233AE0" w:rsidRPr="00021899">
        <w:rPr>
          <w:rFonts w:ascii="Arial" w:hAnsi="Arial" w:cs="Arial"/>
          <w:color w:val="auto"/>
        </w:rPr>
        <w:lastRenderedPageBreak/>
        <w:t>definió en providencia del</w:t>
      </w:r>
      <w:r w:rsidR="00D3705D" w:rsidRPr="00021899">
        <w:rPr>
          <w:rFonts w:ascii="Arial" w:hAnsi="Arial" w:cs="Arial"/>
          <w:color w:val="auto"/>
        </w:rPr>
        <w:t xml:space="preserve"> 24 julio </w:t>
      </w:r>
      <w:r w:rsidR="000C657A" w:rsidRPr="00021899">
        <w:rPr>
          <w:rFonts w:ascii="Arial" w:hAnsi="Arial" w:cs="Arial"/>
          <w:color w:val="auto"/>
        </w:rPr>
        <w:t xml:space="preserve">de </w:t>
      </w:r>
      <w:r w:rsidR="00D3705D" w:rsidRPr="00021899">
        <w:rPr>
          <w:rFonts w:ascii="Arial" w:hAnsi="Arial" w:cs="Arial"/>
          <w:color w:val="auto"/>
        </w:rPr>
        <w:t xml:space="preserve">2017 </w:t>
      </w:r>
      <w:r w:rsidR="00233AE0" w:rsidRPr="00021899">
        <w:rPr>
          <w:rFonts w:ascii="Arial" w:hAnsi="Arial" w:cs="Arial"/>
          <w:color w:val="auto"/>
        </w:rPr>
        <w:t>AP</w:t>
      </w:r>
      <w:r w:rsidR="00D3705D" w:rsidRPr="00021899">
        <w:rPr>
          <w:rFonts w:ascii="Arial" w:hAnsi="Arial" w:cs="Arial"/>
          <w:color w:val="auto"/>
        </w:rPr>
        <w:t xml:space="preserve"> 4711-2017 radicado 49734</w:t>
      </w:r>
      <w:r w:rsidR="00233AE0" w:rsidRPr="00021899">
        <w:rPr>
          <w:rFonts w:ascii="Arial" w:hAnsi="Arial" w:cs="Arial"/>
          <w:color w:val="auto"/>
        </w:rPr>
        <w:t xml:space="preserve"> y AP5052-2017 del 9 de agosto de 2017 radicado 50861</w:t>
      </w:r>
      <w:r w:rsidR="00061AB5" w:rsidRPr="00021899">
        <w:rPr>
          <w:rFonts w:ascii="Arial" w:hAnsi="Arial" w:cs="Arial"/>
          <w:color w:val="auto"/>
        </w:rPr>
        <w:t xml:space="preserve"> de la </w:t>
      </w:r>
      <w:proofErr w:type="spellStart"/>
      <w:r w:rsidR="00061AB5" w:rsidRPr="00021899">
        <w:rPr>
          <w:rFonts w:ascii="Arial" w:hAnsi="Arial" w:cs="Arial"/>
          <w:color w:val="auto"/>
        </w:rPr>
        <w:t>SP</w:t>
      </w:r>
      <w:proofErr w:type="spellEnd"/>
      <w:r w:rsidR="00061AB5" w:rsidRPr="00021899">
        <w:rPr>
          <w:rFonts w:ascii="Arial" w:hAnsi="Arial" w:cs="Arial"/>
          <w:color w:val="auto"/>
        </w:rPr>
        <w:t xml:space="preserve"> CSJ, </w:t>
      </w:r>
      <w:r w:rsidR="000C657A" w:rsidRPr="00021899">
        <w:rPr>
          <w:rFonts w:ascii="Arial" w:hAnsi="Arial" w:cs="Arial"/>
          <w:color w:val="auto"/>
        </w:rPr>
        <w:t xml:space="preserve">donde se moduló la </w:t>
      </w:r>
      <w:r w:rsidR="008B114D" w:rsidRPr="00021899">
        <w:rPr>
          <w:rFonts w:ascii="Arial" w:hAnsi="Arial" w:cs="Arial"/>
          <w:color w:val="auto"/>
        </w:rPr>
        <w:t>sentencia C-221 de 2017</w:t>
      </w:r>
      <w:r w:rsidR="000C657A" w:rsidRPr="00021899">
        <w:rPr>
          <w:rFonts w:ascii="Arial" w:hAnsi="Arial" w:cs="Arial"/>
          <w:color w:val="auto"/>
        </w:rPr>
        <w:t xml:space="preserve"> y en la </w:t>
      </w:r>
      <w:r w:rsidR="00061AB5" w:rsidRPr="00021899">
        <w:rPr>
          <w:rFonts w:ascii="Arial" w:hAnsi="Arial" w:cs="Arial"/>
          <w:color w:val="auto"/>
        </w:rPr>
        <w:t xml:space="preserve">providencia del 28 de agosto de 2017 de la Sala Penal del Tribunal Superior de Pereira. </w:t>
      </w:r>
    </w:p>
    <w:p w:rsidR="00061AB5" w:rsidRPr="00021899" w:rsidRDefault="00061AB5" w:rsidP="00207F36">
      <w:pPr>
        <w:spacing w:line="360" w:lineRule="auto"/>
        <w:ind w:right="49"/>
        <w:jc w:val="both"/>
        <w:rPr>
          <w:rFonts w:ascii="Arial" w:hAnsi="Arial" w:cs="Arial"/>
          <w:color w:val="auto"/>
        </w:rPr>
      </w:pPr>
    </w:p>
    <w:p w:rsidR="00061AB5" w:rsidRDefault="00D87CF7" w:rsidP="008F5454">
      <w:pPr>
        <w:pStyle w:val="Prrafodelista"/>
        <w:numPr>
          <w:ilvl w:val="0"/>
          <w:numId w:val="5"/>
        </w:numPr>
        <w:spacing w:line="360" w:lineRule="auto"/>
        <w:ind w:right="49"/>
        <w:jc w:val="both"/>
        <w:rPr>
          <w:rFonts w:ascii="Arial" w:hAnsi="Arial" w:cs="Arial"/>
          <w:color w:val="auto"/>
        </w:rPr>
      </w:pPr>
      <w:r>
        <w:rPr>
          <w:rFonts w:ascii="Arial" w:hAnsi="Arial" w:cs="Arial"/>
          <w:color w:val="auto"/>
        </w:rPr>
        <w:t xml:space="preserve">Comparte esos </w:t>
      </w:r>
      <w:r w:rsidR="000C10D8" w:rsidRPr="00021899">
        <w:rPr>
          <w:rFonts w:ascii="Arial" w:hAnsi="Arial" w:cs="Arial"/>
          <w:color w:val="auto"/>
        </w:rPr>
        <w:t xml:space="preserve">argumentos </w:t>
      </w:r>
      <w:r>
        <w:rPr>
          <w:rFonts w:ascii="Arial" w:hAnsi="Arial" w:cs="Arial"/>
          <w:color w:val="auto"/>
        </w:rPr>
        <w:t>en</w:t>
      </w:r>
      <w:r w:rsidR="000C10D8" w:rsidRPr="00021899">
        <w:rPr>
          <w:rFonts w:ascii="Arial" w:hAnsi="Arial" w:cs="Arial"/>
          <w:color w:val="auto"/>
        </w:rPr>
        <w:t xml:space="preserve"> respeto del precedente vertical</w:t>
      </w:r>
      <w:r w:rsidR="008B114D" w:rsidRPr="00021899">
        <w:rPr>
          <w:rFonts w:ascii="Arial" w:hAnsi="Arial" w:cs="Arial"/>
          <w:color w:val="auto"/>
        </w:rPr>
        <w:t>,</w:t>
      </w:r>
      <w:r w:rsidR="000C10D8" w:rsidRPr="00021899">
        <w:rPr>
          <w:rFonts w:ascii="Arial" w:hAnsi="Arial" w:cs="Arial"/>
          <w:color w:val="auto"/>
        </w:rPr>
        <w:t xml:space="preserve"> </w:t>
      </w:r>
      <w:r w:rsidR="000C657A" w:rsidRPr="00021899">
        <w:rPr>
          <w:rFonts w:ascii="Arial" w:hAnsi="Arial" w:cs="Arial"/>
          <w:color w:val="auto"/>
        </w:rPr>
        <w:t>y porque los</w:t>
      </w:r>
      <w:r w:rsidR="00CA3172" w:rsidRPr="00021899">
        <w:rPr>
          <w:rFonts w:ascii="Arial" w:hAnsi="Arial" w:cs="Arial"/>
          <w:color w:val="auto"/>
        </w:rPr>
        <w:t xml:space="preserve"> considera acordes con el </w:t>
      </w:r>
      <w:r w:rsidR="000C657A" w:rsidRPr="00021899">
        <w:rPr>
          <w:rFonts w:ascii="Arial" w:hAnsi="Arial" w:cs="Arial"/>
          <w:color w:val="auto"/>
        </w:rPr>
        <w:t xml:space="preserve">artículo 308 del </w:t>
      </w:r>
      <w:proofErr w:type="spellStart"/>
      <w:r w:rsidR="000C657A" w:rsidRPr="00021899">
        <w:rPr>
          <w:rFonts w:ascii="Arial" w:hAnsi="Arial" w:cs="Arial"/>
          <w:color w:val="auto"/>
        </w:rPr>
        <w:t>CPP</w:t>
      </w:r>
      <w:proofErr w:type="spellEnd"/>
      <w:r w:rsidR="000C657A" w:rsidRPr="00021899">
        <w:rPr>
          <w:rFonts w:ascii="Arial" w:hAnsi="Arial" w:cs="Arial"/>
          <w:color w:val="auto"/>
        </w:rPr>
        <w:t xml:space="preserve">, </w:t>
      </w:r>
      <w:r w:rsidR="00CA3172" w:rsidRPr="00021899">
        <w:rPr>
          <w:rFonts w:ascii="Arial" w:hAnsi="Arial" w:cs="Arial"/>
          <w:color w:val="auto"/>
        </w:rPr>
        <w:t>que define la procedencia de las medidas de aseguramiento, entre ellas, la inferencia razonable de autoría o participaci</w:t>
      </w:r>
      <w:r w:rsidR="002B61F2" w:rsidRPr="00021899">
        <w:rPr>
          <w:rFonts w:ascii="Arial" w:hAnsi="Arial" w:cs="Arial"/>
          <w:color w:val="auto"/>
        </w:rPr>
        <w:t>ón</w:t>
      </w:r>
      <w:r w:rsidR="008B114D" w:rsidRPr="00021899">
        <w:rPr>
          <w:rFonts w:ascii="Arial" w:hAnsi="Arial" w:cs="Arial"/>
          <w:color w:val="auto"/>
        </w:rPr>
        <w:t>. E</w:t>
      </w:r>
      <w:r w:rsidR="002B61F2" w:rsidRPr="00021899">
        <w:rPr>
          <w:rFonts w:ascii="Arial" w:hAnsi="Arial" w:cs="Arial"/>
          <w:color w:val="auto"/>
        </w:rPr>
        <w:t>mpero</w:t>
      </w:r>
      <w:r w:rsidR="00CA3172" w:rsidRPr="00021899">
        <w:rPr>
          <w:rFonts w:ascii="Arial" w:hAnsi="Arial" w:cs="Arial"/>
          <w:color w:val="auto"/>
        </w:rPr>
        <w:t xml:space="preserve">, </w:t>
      </w:r>
      <w:r w:rsidR="000C657A" w:rsidRPr="00021899">
        <w:rPr>
          <w:rFonts w:ascii="Arial" w:hAnsi="Arial" w:cs="Arial"/>
          <w:color w:val="auto"/>
        </w:rPr>
        <w:t xml:space="preserve">la </w:t>
      </w:r>
      <w:r w:rsidR="00CA3172" w:rsidRPr="00021899">
        <w:rPr>
          <w:rFonts w:ascii="Arial" w:hAnsi="Arial" w:cs="Arial"/>
          <w:color w:val="auto"/>
        </w:rPr>
        <w:t>sentencia de primera instancia</w:t>
      </w:r>
      <w:r w:rsidR="002B61F2" w:rsidRPr="00021899">
        <w:rPr>
          <w:rFonts w:ascii="Arial" w:hAnsi="Arial" w:cs="Arial"/>
          <w:color w:val="auto"/>
        </w:rPr>
        <w:t xml:space="preserve"> pasa a ser un juicio de valor</w:t>
      </w:r>
      <w:r w:rsidR="00244A37" w:rsidRPr="00021899">
        <w:rPr>
          <w:rFonts w:ascii="Arial" w:hAnsi="Arial" w:cs="Arial"/>
          <w:color w:val="auto"/>
        </w:rPr>
        <w:t xml:space="preserve"> respecto de</w:t>
      </w:r>
      <w:r>
        <w:rPr>
          <w:rFonts w:ascii="Arial" w:hAnsi="Arial" w:cs="Arial"/>
          <w:color w:val="auto"/>
        </w:rPr>
        <w:t xml:space="preserve"> las</w:t>
      </w:r>
      <w:r w:rsidR="00244A37" w:rsidRPr="00021899">
        <w:rPr>
          <w:rFonts w:ascii="Arial" w:hAnsi="Arial" w:cs="Arial"/>
          <w:color w:val="auto"/>
        </w:rPr>
        <w:t xml:space="preserve"> pruebas</w:t>
      </w:r>
      <w:r w:rsidR="006D38E7" w:rsidRPr="00021899">
        <w:rPr>
          <w:rFonts w:ascii="Arial" w:hAnsi="Arial" w:cs="Arial"/>
          <w:color w:val="auto"/>
        </w:rPr>
        <w:t xml:space="preserve"> que otorgan </w:t>
      </w:r>
      <w:r w:rsidR="000C657A" w:rsidRPr="00021899">
        <w:rPr>
          <w:rFonts w:ascii="Arial" w:hAnsi="Arial" w:cs="Arial"/>
          <w:color w:val="auto"/>
        </w:rPr>
        <w:t xml:space="preserve">la </w:t>
      </w:r>
      <w:r w:rsidR="006D38E7" w:rsidRPr="00021899">
        <w:rPr>
          <w:rFonts w:ascii="Arial" w:hAnsi="Arial" w:cs="Arial"/>
          <w:color w:val="auto"/>
        </w:rPr>
        <w:t xml:space="preserve">convicción de </w:t>
      </w:r>
      <w:r w:rsidR="000C657A" w:rsidRPr="00021899">
        <w:rPr>
          <w:rFonts w:ascii="Arial" w:hAnsi="Arial" w:cs="Arial"/>
          <w:color w:val="auto"/>
        </w:rPr>
        <w:t xml:space="preserve">la </w:t>
      </w:r>
      <w:r w:rsidR="006D38E7" w:rsidRPr="00021899">
        <w:rPr>
          <w:rFonts w:ascii="Arial" w:hAnsi="Arial" w:cs="Arial"/>
          <w:color w:val="auto"/>
        </w:rPr>
        <w:t>responsabilidad</w:t>
      </w:r>
      <w:r w:rsidR="000C657A" w:rsidRPr="00021899">
        <w:rPr>
          <w:rFonts w:ascii="Arial" w:hAnsi="Arial" w:cs="Arial"/>
          <w:color w:val="auto"/>
        </w:rPr>
        <w:t xml:space="preserve"> del acusado y entonces no </w:t>
      </w:r>
      <w:r w:rsidR="00244A37" w:rsidRPr="00021899">
        <w:rPr>
          <w:rFonts w:ascii="Arial" w:hAnsi="Arial" w:cs="Arial"/>
          <w:color w:val="auto"/>
        </w:rPr>
        <w:t>pueden equipararse</w:t>
      </w:r>
      <w:r w:rsidR="008C766E" w:rsidRPr="00021899">
        <w:rPr>
          <w:rFonts w:ascii="Arial" w:hAnsi="Arial" w:cs="Arial"/>
          <w:color w:val="auto"/>
        </w:rPr>
        <w:t xml:space="preserve">, </w:t>
      </w:r>
      <w:r w:rsidR="002B61F2" w:rsidRPr="00021899">
        <w:rPr>
          <w:rFonts w:ascii="Arial" w:hAnsi="Arial" w:cs="Arial"/>
          <w:color w:val="auto"/>
        </w:rPr>
        <w:t>as</w:t>
      </w:r>
      <w:r w:rsidR="00244A37" w:rsidRPr="00021899">
        <w:rPr>
          <w:rFonts w:ascii="Arial" w:hAnsi="Arial" w:cs="Arial"/>
          <w:color w:val="auto"/>
        </w:rPr>
        <w:t xml:space="preserve">í </w:t>
      </w:r>
      <w:r w:rsidR="000C657A" w:rsidRPr="00021899">
        <w:rPr>
          <w:rFonts w:ascii="Arial" w:hAnsi="Arial" w:cs="Arial"/>
          <w:color w:val="auto"/>
        </w:rPr>
        <w:t xml:space="preserve">no se encuentre en firme la </w:t>
      </w:r>
      <w:r w:rsidR="00244A37" w:rsidRPr="00021899">
        <w:rPr>
          <w:rFonts w:ascii="Arial" w:hAnsi="Arial" w:cs="Arial"/>
          <w:color w:val="auto"/>
        </w:rPr>
        <w:t>sentencia</w:t>
      </w:r>
      <w:r w:rsidR="000C657A" w:rsidRPr="00021899">
        <w:rPr>
          <w:rFonts w:ascii="Arial" w:hAnsi="Arial" w:cs="Arial"/>
          <w:color w:val="auto"/>
        </w:rPr>
        <w:t xml:space="preserve"> de primera instancia.</w:t>
      </w:r>
    </w:p>
    <w:p w:rsidR="00021899" w:rsidRPr="00021899" w:rsidRDefault="00021899" w:rsidP="00021899">
      <w:pPr>
        <w:spacing w:line="360" w:lineRule="auto"/>
        <w:ind w:right="49"/>
        <w:jc w:val="both"/>
        <w:rPr>
          <w:rFonts w:ascii="Arial" w:hAnsi="Arial" w:cs="Arial"/>
          <w:color w:val="auto"/>
        </w:rPr>
      </w:pPr>
    </w:p>
    <w:p w:rsidR="00021899" w:rsidRDefault="000C657A" w:rsidP="00021899">
      <w:pPr>
        <w:pStyle w:val="Prrafodelista"/>
        <w:numPr>
          <w:ilvl w:val="0"/>
          <w:numId w:val="5"/>
        </w:numPr>
        <w:spacing w:line="360" w:lineRule="auto"/>
        <w:ind w:right="49"/>
        <w:jc w:val="both"/>
        <w:rPr>
          <w:rFonts w:ascii="Arial" w:hAnsi="Arial" w:cs="Arial"/>
          <w:color w:val="auto"/>
        </w:rPr>
      </w:pPr>
      <w:r w:rsidRPr="00021899">
        <w:rPr>
          <w:rFonts w:ascii="Arial" w:hAnsi="Arial" w:cs="Arial"/>
          <w:color w:val="auto"/>
        </w:rPr>
        <w:t xml:space="preserve">En cuanto a la petición fundada en </w:t>
      </w:r>
      <w:r w:rsidR="008C766E" w:rsidRPr="00021899">
        <w:rPr>
          <w:rFonts w:ascii="Arial" w:hAnsi="Arial" w:cs="Arial"/>
          <w:color w:val="auto"/>
        </w:rPr>
        <w:t xml:space="preserve">la aplicación del </w:t>
      </w:r>
      <w:r w:rsidR="00D87CF7">
        <w:rPr>
          <w:rFonts w:ascii="Arial" w:hAnsi="Arial" w:cs="Arial"/>
          <w:color w:val="auto"/>
        </w:rPr>
        <w:t>Bloque de C</w:t>
      </w:r>
      <w:r w:rsidRPr="00021899">
        <w:rPr>
          <w:rFonts w:ascii="Arial" w:hAnsi="Arial" w:cs="Arial"/>
          <w:color w:val="auto"/>
        </w:rPr>
        <w:t>onstitucionalidad, concretamente la Convención Interamericana de Derechos Humanos, el Pacto Internacional de Derechos Civiles Políticos y las Reglas de Mallorca, que se refieren al plazo razonable en el cual se le debe definir la situación</w:t>
      </w:r>
      <w:r w:rsidR="008C766E" w:rsidRPr="00021899">
        <w:rPr>
          <w:rFonts w:ascii="Arial" w:hAnsi="Arial" w:cs="Arial"/>
          <w:color w:val="auto"/>
        </w:rPr>
        <w:t xml:space="preserve"> j</w:t>
      </w:r>
      <w:r w:rsidR="00863A30" w:rsidRPr="00021899">
        <w:rPr>
          <w:rFonts w:ascii="Arial" w:hAnsi="Arial" w:cs="Arial"/>
          <w:color w:val="auto"/>
        </w:rPr>
        <w:t xml:space="preserve">urídica a una persona privada de la libertad, </w:t>
      </w:r>
      <w:r w:rsidRPr="00021899">
        <w:rPr>
          <w:rFonts w:ascii="Arial" w:hAnsi="Arial" w:cs="Arial"/>
          <w:color w:val="auto"/>
        </w:rPr>
        <w:t xml:space="preserve">no </w:t>
      </w:r>
      <w:r w:rsidR="00863A30" w:rsidRPr="00021899">
        <w:rPr>
          <w:rFonts w:ascii="Arial" w:hAnsi="Arial" w:cs="Arial"/>
          <w:color w:val="auto"/>
        </w:rPr>
        <w:t xml:space="preserve">hay duda que </w:t>
      </w:r>
      <w:r w:rsidR="003D10DC" w:rsidRPr="00021899">
        <w:rPr>
          <w:rFonts w:ascii="Arial" w:hAnsi="Arial" w:cs="Arial"/>
          <w:color w:val="auto"/>
        </w:rPr>
        <w:t xml:space="preserve">el </w:t>
      </w:r>
      <w:r w:rsidR="00451D21" w:rsidRPr="00021899">
        <w:rPr>
          <w:rFonts w:ascii="Arial" w:hAnsi="Arial" w:cs="Arial"/>
          <w:color w:val="auto"/>
        </w:rPr>
        <w:t xml:space="preserve">sentenciado se </w:t>
      </w:r>
      <w:r w:rsidR="003D10DC" w:rsidRPr="00021899">
        <w:rPr>
          <w:rFonts w:ascii="Arial" w:hAnsi="Arial" w:cs="Arial"/>
          <w:color w:val="auto"/>
        </w:rPr>
        <w:t>encuentra a la espera de la resolución de s</w:t>
      </w:r>
      <w:r w:rsidR="00505296" w:rsidRPr="00021899">
        <w:rPr>
          <w:rFonts w:ascii="Arial" w:hAnsi="Arial" w:cs="Arial"/>
          <w:color w:val="auto"/>
        </w:rPr>
        <w:t>u proceso desde hace seis años, pero</w:t>
      </w:r>
      <w:r w:rsidR="008C766E" w:rsidRPr="00021899">
        <w:rPr>
          <w:rFonts w:ascii="Arial" w:hAnsi="Arial" w:cs="Arial"/>
          <w:color w:val="auto"/>
        </w:rPr>
        <w:t xml:space="preserve"> </w:t>
      </w:r>
      <w:r w:rsidR="00505296" w:rsidRPr="00021899">
        <w:rPr>
          <w:rFonts w:ascii="Arial" w:hAnsi="Arial" w:cs="Arial"/>
          <w:color w:val="auto"/>
        </w:rPr>
        <w:t>por la ambigüedad de esas normas no es posible aplicarlas o concluir que el plazo no es razonable en este caso, m</w:t>
      </w:r>
      <w:r w:rsidR="00F93BED" w:rsidRPr="00021899">
        <w:rPr>
          <w:rFonts w:ascii="Arial" w:hAnsi="Arial" w:cs="Arial"/>
          <w:color w:val="auto"/>
        </w:rPr>
        <w:t>áxim</w:t>
      </w:r>
      <w:r w:rsidR="00875CF8" w:rsidRPr="00021899">
        <w:rPr>
          <w:rFonts w:ascii="Arial" w:hAnsi="Arial" w:cs="Arial"/>
          <w:color w:val="auto"/>
        </w:rPr>
        <w:t>e</w:t>
      </w:r>
      <w:r w:rsidR="00505296" w:rsidRPr="00021899">
        <w:rPr>
          <w:rFonts w:ascii="Arial" w:hAnsi="Arial" w:cs="Arial"/>
          <w:color w:val="auto"/>
        </w:rPr>
        <w:t xml:space="preserve"> si se tiene en cuenta </w:t>
      </w:r>
      <w:r w:rsidR="00875CF8" w:rsidRPr="00021899">
        <w:rPr>
          <w:rFonts w:ascii="Arial" w:hAnsi="Arial" w:cs="Arial"/>
          <w:color w:val="auto"/>
        </w:rPr>
        <w:t xml:space="preserve">que la </w:t>
      </w:r>
      <w:r w:rsidR="00505296" w:rsidRPr="00021899">
        <w:rPr>
          <w:rFonts w:ascii="Arial" w:hAnsi="Arial" w:cs="Arial"/>
          <w:color w:val="auto"/>
        </w:rPr>
        <w:t>congestión ju</w:t>
      </w:r>
      <w:r w:rsidR="00307D3F" w:rsidRPr="00021899">
        <w:rPr>
          <w:rFonts w:ascii="Arial" w:hAnsi="Arial" w:cs="Arial"/>
          <w:color w:val="auto"/>
        </w:rPr>
        <w:t>dicial</w:t>
      </w:r>
      <w:r w:rsidR="00875CF8" w:rsidRPr="00021899">
        <w:rPr>
          <w:rFonts w:ascii="Arial" w:hAnsi="Arial" w:cs="Arial"/>
          <w:color w:val="auto"/>
        </w:rPr>
        <w:t xml:space="preserve"> </w:t>
      </w:r>
      <w:r w:rsidR="00307D3F" w:rsidRPr="00021899">
        <w:rPr>
          <w:rFonts w:ascii="Arial" w:hAnsi="Arial" w:cs="Arial"/>
          <w:color w:val="auto"/>
        </w:rPr>
        <w:t>es un hecho notorio</w:t>
      </w:r>
      <w:r w:rsidR="008C766E" w:rsidRPr="00021899">
        <w:rPr>
          <w:rFonts w:ascii="Arial" w:hAnsi="Arial" w:cs="Arial"/>
          <w:color w:val="auto"/>
        </w:rPr>
        <w:t xml:space="preserve">, </w:t>
      </w:r>
      <w:r w:rsidR="00875CF8" w:rsidRPr="00021899">
        <w:rPr>
          <w:rFonts w:ascii="Arial" w:hAnsi="Arial" w:cs="Arial"/>
          <w:color w:val="auto"/>
        </w:rPr>
        <w:t xml:space="preserve">al igual que la </w:t>
      </w:r>
      <w:r w:rsidR="00505296" w:rsidRPr="00021899">
        <w:rPr>
          <w:rFonts w:ascii="Arial" w:hAnsi="Arial" w:cs="Arial"/>
          <w:color w:val="auto"/>
        </w:rPr>
        <w:t>falta de personal y de recursos del sistema judicial</w:t>
      </w:r>
      <w:r w:rsidR="00875CF8" w:rsidRPr="00021899">
        <w:rPr>
          <w:rFonts w:ascii="Arial" w:hAnsi="Arial" w:cs="Arial"/>
          <w:color w:val="auto"/>
        </w:rPr>
        <w:t>.</w:t>
      </w:r>
    </w:p>
    <w:p w:rsidR="00E97302" w:rsidRPr="00021899" w:rsidRDefault="00D54A1C" w:rsidP="00021899">
      <w:pPr>
        <w:pStyle w:val="Prrafodelista"/>
        <w:numPr>
          <w:ilvl w:val="0"/>
          <w:numId w:val="5"/>
        </w:numPr>
        <w:spacing w:line="360" w:lineRule="auto"/>
        <w:ind w:right="49"/>
        <w:jc w:val="both"/>
        <w:rPr>
          <w:rFonts w:ascii="Arial" w:hAnsi="Arial" w:cs="Arial"/>
          <w:color w:val="auto"/>
        </w:rPr>
      </w:pPr>
      <w:r w:rsidRPr="00021899">
        <w:rPr>
          <w:rFonts w:ascii="Arial" w:hAnsi="Arial" w:cs="Arial"/>
          <w:color w:val="auto"/>
        </w:rPr>
        <w:t xml:space="preserve">La </w:t>
      </w:r>
      <w:r w:rsidR="00307D3F" w:rsidRPr="00021899">
        <w:rPr>
          <w:rFonts w:ascii="Arial" w:hAnsi="Arial" w:cs="Arial"/>
          <w:color w:val="auto"/>
        </w:rPr>
        <w:t>afectación a la salud</w:t>
      </w:r>
      <w:r w:rsidR="008B114D" w:rsidRPr="00021899">
        <w:rPr>
          <w:rFonts w:ascii="Arial" w:hAnsi="Arial" w:cs="Arial"/>
          <w:color w:val="auto"/>
        </w:rPr>
        <w:t xml:space="preserve"> </w:t>
      </w:r>
      <w:r w:rsidRPr="00021899">
        <w:rPr>
          <w:rFonts w:ascii="Arial" w:hAnsi="Arial" w:cs="Arial"/>
          <w:color w:val="auto"/>
        </w:rPr>
        <w:t xml:space="preserve">del señor Moncada, no es fundamento de la solicitud de </w:t>
      </w:r>
      <w:r w:rsidR="00307D3F" w:rsidRPr="00021899">
        <w:rPr>
          <w:rFonts w:ascii="Arial" w:hAnsi="Arial" w:cs="Arial"/>
          <w:color w:val="auto"/>
        </w:rPr>
        <w:t>libertad porque</w:t>
      </w:r>
      <w:r w:rsidR="008B114D" w:rsidRPr="00021899">
        <w:rPr>
          <w:rFonts w:ascii="Arial" w:hAnsi="Arial" w:cs="Arial"/>
          <w:color w:val="auto"/>
        </w:rPr>
        <w:t xml:space="preserve"> la persona privada de la libertad</w:t>
      </w:r>
      <w:r w:rsidR="00307D3F" w:rsidRPr="00021899">
        <w:rPr>
          <w:rFonts w:ascii="Arial" w:hAnsi="Arial" w:cs="Arial"/>
          <w:color w:val="auto"/>
        </w:rPr>
        <w:t xml:space="preserve"> está a disposición del Estado</w:t>
      </w:r>
      <w:r w:rsidR="008B114D" w:rsidRPr="00021899">
        <w:rPr>
          <w:rFonts w:ascii="Arial" w:hAnsi="Arial" w:cs="Arial"/>
          <w:color w:val="auto"/>
        </w:rPr>
        <w:t xml:space="preserve">, </w:t>
      </w:r>
      <w:r w:rsidRPr="00021899">
        <w:rPr>
          <w:rFonts w:ascii="Arial" w:hAnsi="Arial" w:cs="Arial"/>
          <w:color w:val="auto"/>
        </w:rPr>
        <w:t xml:space="preserve">que debe </w:t>
      </w:r>
      <w:r w:rsidR="00307D3F" w:rsidRPr="00021899">
        <w:rPr>
          <w:rFonts w:ascii="Arial" w:hAnsi="Arial" w:cs="Arial"/>
          <w:color w:val="auto"/>
        </w:rPr>
        <w:t>velar por su derecho a la salud</w:t>
      </w:r>
      <w:r w:rsidRPr="00021899">
        <w:rPr>
          <w:rFonts w:ascii="Arial" w:hAnsi="Arial" w:cs="Arial"/>
          <w:color w:val="auto"/>
        </w:rPr>
        <w:t xml:space="preserve"> al </w:t>
      </w:r>
      <w:r w:rsidR="00307D3F" w:rsidRPr="00021899">
        <w:rPr>
          <w:rFonts w:ascii="Arial" w:hAnsi="Arial" w:cs="Arial"/>
          <w:color w:val="auto"/>
        </w:rPr>
        <w:t xml:space="preserve">interior del establecimiento penitenciario y carcelario. </w:t>
      </w:r>
    </w:p>
    <w:p w:rsidR="00E97302" w:rsidRPr="00021899" w:rsidRDefault="00E97302" w:rsidP="00207F36">
      <w:pPr>
        <w:spacing w:line="360" w:lineRule="auto"/>
        <w:ind w:right="49"/>
        <w:jc w:val="both"/>
        <w:rPr>
          <w:rFonts w:ascii="Arial" w:hAnsi="Arial" w:cs="Arial"/>
          <w:color w:val="auto"/>
        </w:rPr>
      </w:pPr>
    </w:p>
    <w:p w:rsidR="00E97302" w:rsidRPr="00021899" w:rsidRDefault="008B114D" w:rsidP="00207F36">
      <w:pPr>
        <w:spacing w:line="360" w:lineRule="auto"/>
        <w:ind w:right="49"/>
        <w:jc w:val="both"/>
        <w:rPr>
          <w:rFonts w:ascii="Arial" w:hAnsi="Arial" w:cs="Arial"/>
          <w:color w:val="auto"/>
        </w:rPr>
      </w:pPr>
      <w:r w:rsidRPr="00021899">
        <w:rPr>
          <w:rFonts w:ascii="Arial" w:hAnsi="Arial" w:cs="Arial"/>
          <w:color w:val="auto"/>
        </w:rPr>
        <w:t>4</w:t>
      </w:r>
      <w:r w:rsidR="00E97302" w:rsidRPr="00021899">
        <w:rPr>
          <w:rFonts w:ascii="Arial" w:hAnsi="Arial" w:cs="Arial"/>
          <w:color w:val="auto"/>
        </w:rPr>
        <w:t>.</w:t>
      </w:r>
      <w:r w:rsidR="00307D3F" w:rsidRPr="00021899">
        <w:rPr>
          <w:rFonts w:ascii="Arial" w:hAnsi="Arial" w:cs="Arial"/>
          <w:color w:val="auto"/>
        </w:rPr>
        <w:t>8</w:t>
      </w:r>
      <w:r w:rsidR="00E97302" w:rsidRPr="00021899">
        <w:rPr>
          <w:rFonts w:ascii="Arial" w:hAnsi="Arial" w:cs="Arial"/>
          <w:color w:val="auto"/>
        </w:rPr>
        <w:t xml:space="preserve"> En consecuencia </w:t>
      </w:r>
      <w:r w:rsidR="006C3852" w:rsidRPr="00021899">
        <w:rPr>
          <w:rFonts w:ascii="Arial" w:hAnsi="Arial" w:cs="Arial"/>
          <w:color w:val="auto"/>
        </w:rPr>
        <w:t>e</w:t>
      </w:r>
      <w:r w:rsidR="00E97302" w:rsidRPr="00021899">
        <w:rPr>
          <w:rFonts w:ascii="Arial" w:hAnsi="Arial" w:cs="Arial"/>
          <w:color w:val="auto"/>
        </w:rPr>
        <w:t xml:space="preserve">l juez </w:t>
      </w:r>
      <w:r w:rsidR="00307D3F" w:rsidRPr="00021899">
        <w:rPr>
          <w:rFonts w:ascii="Arial" w:hAnsi="Arial" w:cs="Arial"/>
          <w:color w:val="auto"/>
        </w:rPr>
        <w:t xml:space="preserve">promiscuo del circuito de </w:t>
      </w:r>
      <w:proofErr w:type="spellStart"/>
      <w:r w:rsidR="00307D3F" w:rsidRPr="00021899">
        <w:rPr>
          <w:rFonts w:ascii="Arial" w:hAnsi="Arial" w:cs="Arial"/>
          <w:color w:val="auto"/>
        </w:rPr>
        <w:t>Quinchía</w:t>
      </w:r>
      <w:proofErr w:type="spellEnd"/>
      <w:r w:rsidR="00307D3F" w:rsidRPr="00021899">
        <w:rPr>
          <w:rFonts w:ascii="Arial" w:hAnsi="Arial" w:cs="Arial"/>
          <w:color w:val="auto"/>
        </w:rPr>
        <w:t xml:space="preserve"> n</w:t>
      </w:r>
      <w:r w:rsidR="00D54A1C" w:rsidRPr="00021899">
        <w:rPr>
          <w:rFonts w:ascii="Arial" w:hAnsi="Arial" w:cs="Arial"/>
          <w:color w:val="auto"/>
        </w:rPr>
        <w:t xml:space="preserve">egó la </w:t>
      </w:r>
      <w:r w:rsidR="00307D3F" w:rsidRPr="00021899">
        <w:rPr>
          <w:rFonts w:ascii="Arial" w:hAnsi="Arial" w:cs="Arial"/>
          <w:color w:val="auto"/>
        </w:rPr>
        <w:t>petición de libertad o sustitución de medida de aseguramiento</w:t>
      </w:r>
      <w:r w:rsidR="00D54A1C" w:rsidRPr="00021899">
        <w:rPr>
          <w:rFonts w:ascii="Arial" w:hAnsi="Arial" w:cs="Arial"/>
          <w:color w:val="auto"/>
        </w:rPr>
        <w:t xml:space="preserve"> en favor del señor M</w:t>
      </w:r>
      <w:r w:rsidR="00021899">
        <w:rPr>
          <w:rFonts w:ascii="Arial" w:hAnsi="Arial" w:cs="Arial"/>
          <w:color w:val="auto"/>
        </w:rPr>
        <w:t>oncada Medina</w:t>
      </w:r>
      <w:r w:rsidR="00307D3F" w:rsidRPr="00021899">
        <w:rPr>
          <w:rFonts w:ascii="Arial" w:hAnsi="Arial" w:cs="Arial"/>
          <w:color w:val="auto"/>
        </w:rPr>
        <w:t>.</w:t>
      </w:r>
    </w:p>
    <w:p w:rsidR="00E97302" w:rsidRPr="00021899" w:rsidRDefault="00E97302" w:rsidP="00207F36">
      <w:pPr>
        <w:spacing w:line="360" w:lineRule="auto"/>
        <w:ind w:right="49"/>
        <w:jc w:val="both"/>
        <w:rPr>
          <w:rFonts w:ascii="Arial" w:hAnsi="Arial" w:cs="Arial"/>
          <w:color w:val="auto"/>
        </w:rPr>
      </w:pPr>
    </w:p>
    <w:p w:rsidR="00E97302" w:rsidRPr="00021899" w:rsidRDefault="008B114D" w:rsidP="00207F36">
      <w:pPr>
        <w:spacing w:line="360" w:lineRule="auto"/>
        <w:ind w:right="49"/>
        <w:jc w:val="both"/>
        <w:rPr>
          <w:rFonts w:ascii="Arial" w:hAnsi="Arial" w:cs="Arial"/>
          <w:color w:val="auto"/>
        </w:rPr>
      </w:pPr>
      <w:r w:rsidRPr="00021899">
        <w:rPr>
          <w:rFonts w:ascii="Arial" w:hAnsi="Arial" w:cs="Arial"/>
          <w:color w:val="auto"/>
        </w:rPr>
        <w:t>4</w:t>
      </w:r>
      <w:r w:rsidR="00E97302" w:rsidRPr="00021899">
        <w:rPr>
          <w:rFonts w:ascii="Arial" w:hAnsi="Arial" w:cs="Arial"/>
          <w:color w:val="auto"/>
        </w:rPr>
        <w:t>.</w:t>
      </w:r>
      <w:r w:rsidR="00307D3F" w:rsidRPr="00021899">
        <w:rPr>
          <w:rFonts w:ascii="Arial" w:hAnsi="Arial" w:cs="Arial"/>
          <w:color w:val="auto"/>
        </w:rPr>
        <w:t>9</w:t>
      </w:r>
      <w:r w:rsidR="00E97302" w:rsidRPr="00021899">
        <w:rPr>
          <w:rFonts w:ascii="Arial" w:hAnsi="Arial" w:cs="Arial"/>
          <w:color w:val="auto"/>
        </w:rPr>
        <w:t xml:space="preserve"> </w:t>
      </w:r>
      <w:r w:rsidR="00307D3F" w:rsidRPr="00021899">
        <w:rPr>
          <w:rFonts w:ascii="Arial" w:hAnsi="Arial" w:cs="Arial"/>
          <w:color w:val="auto"/>
        </w:rPr>
        <w:t>El</w:t>
      </w:r>
      <w:r w:rsidR="00E97302" w:rsidRPr="00021899">
        <w:rPr>
          <w:rFonts w:ascii="Arial" w:hAnsi="Arial" w:cs="Arial"/>
          <w:color w:val="auto"/>
        </w:rPr>
        <w:t xml:space="preserve"> defensor interpuso el recurso de apelación contra esa decisión. </w:t>
      </w:r>
    </w:p>
    <w:p w:rsidR="00E97302" w:rsidRPr="00021899" w:rsidRDefault="00E97302" w:rsidP="00207F36">
      <w:pPr>
        <w:spacing w:line="360" w:lineRule="auto"/>
        <w:ind w:right="49"/>
        <w:jc w:val="center"/>
        <w:rPr>
          <w:rFonts w:ascii="Arial" w:hAnsi="Arial" w:cs="Arial"/>
          <w:color w:val="auto"/>
        </w:rPr>
      </w:pPr>
    </w:p>
    <w:p w:rsidR="00E97302" w:rsidRPr="00021899" w:rsidRDefault="00E97302" w:rsidP="00207F36">
      <w:pPr>
        <w:spacing w:line="360" w:lineRule="auto"/>
        <w:ind w:right="49"/>
        <w:rPr>
          <w:rFonts w:ascii="Arial" w:hAnsi="Arial" w:cs="Arial"/>
          <w:color w:val="auto"/>
        </w:rPr>
      </w:pPr>
    </w:p>
    <w:p w:rsidR="00E97302" w:rsidRPr="00021899" w:rsidRDefault="008B114D" w:rsidP="00207F36">
      <w:pPr>
        <w:spacing w:line="360" w:lineRule="auto"/>
        <w:ind w:right="49"/>
        <w:jc w:val="center"/>
        <w:rPr>
          <w:rFonts w:ascii="Arial" w:hAnsi="Arial" w:cs="Arial"/>
          <w:color w:val="auto"/>
          <w:u w:val="single"/>
        </w:rPr>
      </w:pPr>
      <w:r w:rsidRPr="00021899">
        <w:rPr>
          <w:rFonts w:ascii="Arial" w:hAnsi="Arial" w:cs="Arial"/>
          <w:color w:val="auto"/>
          <w:u w:val="single"/>
        </w:rPr>
        <w:t>5</w:t>
      </w:r>
      <w:r w:rsidR="00E97302" w:rsidRPr="00021899">
        <w:rPr>
          <w:rFonts w:ascii="Arial" w:hAnsi="Arial" w:cs="Arial"/>
          <w:color w:val="auto"/>
          <w:u w:val="single"/>
        </w:rPr>
        <w:t>. SOBRE EL RECURSO PROPUESTO.</w:t>
      </w:r>
    </w:p>
    <w:p w:rsidR="00E97302" w:rsidRPr="00021899" w:rsidRDefault="00E97302" w:rsidP="00207F36">
      <w:pPr>
        <w:spacing w:line="360" w:lineRule="auto"/>
        <w:ind w:right="49"/>
        <w:jc w:val="both"/>
        <w:rPr>
          <w:rFonts w:ascii="Arial" w:hAnsi="Arial" w:cs="Arial"/>
          <w:color w:val="auto"/>
        </w:rPr>
      </w:pPr>
    </w:p>
    <w:p w:rsidR="008B114D" w:rsidRPr="00021899" w:rsidRDefault="008B114D" w:rsidP="00207F36">
      <w:pPr>
        <w:spacing w:line="360" w:lineRule="auto"/>
        <w:ind w:right="49"/>
        <w:jc w:val="both"/>
        <w:rPr>
          <w:rFonts w:ascii="Arial" w:hAnsi="Arial" w:cs="Arial"/>
          <w:color w:val="auto"/>
        </w:rPr>
      </w:pPr>
      <w:r w:rsidRPr="00021899">
        <w:rPr>
          <w:rFonts w:ascii="Arial" w:hAnsi="Arial" w:cs="Arial"/>
          <w:color w:val="auto"/>
        </w:rPr>
        <w:lastRenderedPageBreak/>
        <w:t>5.1 Defensor (recurrente)</w:t>
      </w:r>
    </w:p>
    <w:p w:rsidR="008B114D" w:rsidRPr="00021899" w:rsidRDefault="008B114D" w:rsidP="00207F36">
      <w:pPr>
        <w:spacing w:line="360" w:lineRule="auto"/>
        <w:ind w:right="49"/>
        <w:jc w:val="both"/>
        <w:rPr>
          <w:rFonts w:ascii="Arial" w:hAnsi="Arial" w:cs="Arial"/>
          <w:color w:val="auto"/>
        </w:rPr>
      </w:pPr>
    </w:p>
    <w:p w:rsidR="00E97302" w:rsidRPr="00021899" w:rsidRDefault="00120328" w:rsidP="00207F36">
      <w:pPr>
        <w:spacing w:line="360" w:lineRule="auto"/>
        <w:ind w:right="49"/>
        <w:jc w:val="both"/>
        <w:rPr>
          <w:rFonts w:ascii="Arial" w:hAnsi="Arial" w:cs="Arial"/>
          <w:color w:val="auto"/>
        </w:rPr>
      </w:pPr>
      <w:r w:rsidRPr="00021899">
        <w:rPr>
          <w:rFonts w:ascii="Arial" w:hAnsi="Arial" w:cs="Arial"/>
          <w:color w:val="auto"/>
        </w:rPr>
        <w:t xml:space="preserve">El </w:t>
      </w:r>
      <w:r w:rsidR="00043686" w:rsidRPr="00021899">
        <w:rPr>
          <w:rFonts w:ascii="Arial" w:hAnsi="Arial" w:cs="Arial"/>
          <w:color w:val="auto"/>
        </w:rPr>
        <w:t>defensor</w:t>
      </w:r>
      <w:r w:rsidRPr="00021899">
        <w:rPr>
          <w:rFonts w:ascii="Arial" w:hAnsi="Arial" w:cs="Arial"/>
          <w:color w:val="auto"/>
        </w:rPr>
        <w:t xml:space="preserve"> </w:t>
      </w:r>
      <w:r w:rsidR="00E97302" w:rsidRPr="00021899">
        <w:rPr>
          <w:rFonts w:ascii="Arial" w:hAnsi="Arial" w:cs="Arial"/>
          <w:color w:val="auto"/>
        </w:rPr>
        <w:t>impugnó la decisión en los siguientes términos:</w:t>
      </w:r>
    </w:p>
    <w:p w:rsidR="00E97302" w:rsidRPr="00021899" w:rsidRDefault="00E97302" w:rsidP="00207F36">
      <w:pPr>
        <w:pStyle w:val="Sinespaciado"/>
        <w:spacing w:line="360" w:lineRule="auto"/>
        <w:jc w:val="both"/>
        <w:rPr>
          <w:rFonts w:ascii="Arial" w:hAnsi="Arial" w:cs="Arial"/>
          <w:color w:val="auto"/>
          <w:sz w:val="24"/>
          <w:szCs w:val="24"/>
        </w:rPr>
      </w:pPr>
    </w:p>
    <w:p w:rsidR="00D54A1C" w:rsidRDefault="00D54A1C" w:rsidP="008F5454">
      <w:pPr>
        <w:pStyle w:val="Sinespaciado"/>
        <w:numPr>
          <w:ilvl w:val="0"/>
          <w:numId w:val="1"/>
        </w:numPr>
        <w:spacing w:line="360" w:lineRule="auto"/>
        <w:jc w:val="both"/>
        <w:rPr>
          <w:rFonts w:ascii="Arial" w:hAnsi="Arial" w:cs="Arial"/>
          <w:color w:val="auto"/>
          <w:sz w:val="24"/>
          <w:szCs w:val="24"/>
        </w:rPr>
      </w:pPr>
      <w:r w:rsidRPr="00021899">
        <w:rPr>
          <w:rFonts w:ascii="Arial" w:hAnsi="Arial" w:cs="Arial"/>
          <w:color w:val="auto"/>
          <w:sz w:val="24"/>
          <w:szCs w:val="24"/>
        </w:rPr>
        <w:t xml:space="preserve">El </w:t>
      </w:r>
      <w:r w:rsidR="00120328" w:rsidRPr="00021899">
        <w:rPr>
          <w:rFonts w:ascii="Arial" w:hAnsi="Arial" w:cs="Arial"/>
          <w:color w:val="auto"/>
          <w:sz w:val="24"/>
          <w:szCs w:val="24"/>
        </w:rPr>
        <w:t xml:space="preserve">tema jurídico a resolver es la prevalencia entre la sentencia de constitucionalidad </w:t>
      </w:r>
      <w:r w:rsidR="00B622AC" w:rsidRPr="00021899">
        <w:rPr>
          <w:rFonts w:ascii="Arial" w:hAnsi="Arial" w:cs="Arial"/>
          <w:color w:val="auto"/>
          <w:sz w:val="24"/>
          <w:szCs w:val="24"/>
        </w:rPr>
        <w:t>C-221 de 2017</w:t>
      </w:r>
      <w:r w:rsidR="00120328" w:rsidRPr="00021899">
        <w:rPr>
          <w:rFonts w:ascii="Arial" w:hAnsi="Arial" w:cs="Arial"/>
          <w:color w:val="auto"/>
          <w:sz w:val="24"/>
          <w:szCs w:val="24"/>
        </w:rPr>
        <w:t xml:space="preserve"> </w:t>
      </w:r>
      <w:r w:rsidR="008B114D" w:rsidRPr="00021899">
        <w:rPr>
          <w:rFonts w:ascii="Arial" w:hAnsi="Arial" w:cs="Arial"/>
          <w:color w:val="auto"/>
          <w:sz w:val="24"/>
          <w:szCs w:val="24"/>
        </w:rPr>
        <w:t>y</w:t>
      </w:r>
      <w:r w:rsidR="00120328" w:rsidRPr="00021899">
        <w:rPr>
          <w:rFonts w:ascii="Arial" w:hAnsi="Arial" w:cs="Arial"/>
          <w:color w:val="auto"/>
          <w:sz w:val="24"/>
          <w:szCs w:val="24"/>
        </w:rPr>
        <w:t xml:space="preserve"> los autos</w:t>
      </w:r>
      <w:r w:rsidR="00231486">
        <w:rPr>
          <w:rFonts w:ascii="Arial" w:hAnsi="Arial" w:cs="Arial"/>
          <w:color w:val="auto"/>
          <w:sz w:val="24"/>
          <w:szCs w:val="24"/>
        </w:rPr>
        <w:t xml:space="preserve"> con</w:t>
      </w:r>
      <w:r w:rsidR="00120328" w:rsidRPr="00021899">
        <w:rPr>
          <w:rFonts w:ascii="Arial" w:hAnsi="Arial" w:cs="Arial"/>
          <w:color w:val="auto"/>
          <w:sz w:val="24"/>
          <w:szCs w:val="24"/>
        </w:rPr>
        <w:t xml:space="preserve"> </w:t>
      </w:r>
      <w:r w:rsidR="001B0449" w:rsidRPr="00021899">
        <w:rPr>
          <w:rFonts w:ascii="Arial" w:hAnsi="Arial" w:cs="Arial"/>
          <w:color w:val="auto"/>
          <w:sz w:val="24"/>
          <w:szCs w:val="24"/>
        </w:rPr>
        <w:t xml:space="preserve">radicados 49734 y 50861 de la </w:t>
      </w:r>
      <w:proofErr w:type="spellStart"/>
      <w:r w:rsidR="001B0449" w:rsidRPr="00021899">
        <w:rPr>
          <w:rFonts w:ascii="Arial" w:hAnsi="Arial" w:cs="Arial"/>
          <w:color w:val="auto"/>
          <w:sz w:val="24"/>
          <w:szCs w:val="24"/>
        </w:rPr>
        <w:t>SP</w:t>
      </w:r>
      <w:proofErr w:type="spellEnd"/>
      <w:r w:rsidR="001B0449" w:rsidRPr="00021899">
        <w:rPr>
          <w:rFonts w:ascii="Arial" w:hAnsi="Arial" w:cs="Arial"/>
          <w:color w:val="auto"/>
          <w:sz w:val="24"/>
          <w:szCs w:val="24"/>
        </w:rPr>
        <w:t xml:space="preserve"> CSJ. </w:t>
      </w:r>
    </w:p>
    <w:p w:rsidR="00021899" w:rsidRPr="00021899" w:rsidRDefault="00021899" w:rsidP="00021899">
      <w:pPr>
        <w:pStyle w:val="Sinespaciado"/>
        <w:spacing w:line="360" w:lineRule="auto"/>
        <w:ind w:left="720"/>
        <w:jc w:val="both"/>
        <w:rPr>
          <w:rFonts w:ascii="Arial" w:hAnsi="Arial" w:cs="Arial"/>
          <w:color w:val="auto"/>
          <w:sz w:val="24"/>
          <w:szCs w:val="24"/>
        </w:rPr>
      </w:pPr>
    </w:p>
    <w:p w:rsidR="005B314F" w:rsidRPr="00021899" w:rsidRDefault="00D54A1C" w:rsidP="008F5454">
      <w:pPr>
        <w:pStyle w:val="Sinespaciado"/>
        <w:numPr>
          <w:ilvl w:val="0"/>
          <w:numId w:val="1"/>
        </w:numPr>
        <w:spacing w:line="360" w:lineRule="auto"/>
        <w:jc w:val="both"/>
        <w:rPr>
          <w:rFonts w:ascii="Arial" w:hAnsi="Arial" w:cs="Arial"/>
          <w:color w:val="auto"/>
          <w:sz w:val="24"/>
          <w:szCs w:val="24"/>
        </w:rPr>
      </w:pPr>
      <w:r w:rsidRPr="00021899">
        <w:rPr>
          <w:rFonts w:ascii="Arial" w:hAnsi="Arial" w:cs="Arial"/>
          <w:color w:val="auto"/>
          <w:sz w:val="24"/>
          <w:szCs w:val="24"/>
        </w:rPr>
        <w:t xml:space="preserve">En su criterio debe </w:t>
      </w:r>
      <w:r w:rsidR="00120328" w:rsidRPr="00021899">
        <w:rPr>
          <w:rFonts w:ascii="Arial" w:hAnsi="Arial" w:cs="Arial"/>
          <w:color w:val="auto"/>
          <w:sz w:val="24"/>
          <w:szCs w:val="24"/>
        </w:rPr>
        <w:t xml:space="preserve">prevalecer por </w:t>
      </w:r>
      <w:r w:rsidR="0080251E" w:rsidRPr="00021899">
        <w:rPr>
          <w:rFonts w:ascii="Arial" w:hAnsi="Arial" w:cs="Arial"/>
          <w:color w:val="auto"/>
          <w:sz w:val="24"/>
          <w:szCs w:val="24"/>
        </w:rPr>
        <w:t xml:space="preserve">aplicación del </w:t>
      </w:r>
      <w:r w:rsidR="00120328" w:rsidRPr="00021899">
        <w:rPr>
          <w:rFonts w:ascii="Arial" w:hAnsi="Arial" w:cs="Arial"/>
          <w:color w:val="auto"/>
          <w:sz w:val="24"/>
          <w:szCs w:val="24"/>
        </w:rPr>
        <w:t xml:space="preserve">principio </w:t>
      </w:r>
      <w:r w:rsidR="00120328" w:rsidRPr="00021899">
        <w:rPr>
          <w:rFonts w:ascii="Arial" w:hAnsi="Arial" w:cs="Arial"/>
          <w:i/>
          <w:color w:val="auto"/>
          <w:sz w:val="24"/>
          <w:szCs w:val="24"/>
        </w:rPr>
        <w:t xml:space="preserve">pro </w:t>
      </w:r>
      <w:proofErr w:type="spellStart"/>
      <w:r w:rsidR="00120328" w:rsidRPr="00021899">
        <w:rPr>
          <w:rFonts w:ascii="Arial" w:hAnsi="Arial" w:cs="Arial"/>
          <w:i/>
          <w:color w:val="auto"/>
          <w:sz w:val="24"/>
          <w:szCs w:val="24"/>
        </w:rPr>
        <w:t>homine</w:t>
      </w:r>
      <w:proofErr w:type="spellEnd"/>
      <w:r w:rsidR="00120328" w:rsidRPr="00021899">
        <w:rPr>
          <w:rFonts w:ascii="Arial" w:hAnsi="Arial" w:cs="Arial"/>
          <w:i/>
          <w:color w:val="auto"/>
          <w:sz w:val="24"/>
          <w:szCs w:val="24"/>
        </w:rPr>
        <w:t>,</w:t>
      </w:r>
      <w:r w:rsidR="00120328" w:rsidRPr="00021899">
        <w:rPr>
          <w:rFonts w:ascii="Arial" w:hAnsi="Arial" w:cs="Arial"/>
          <w:color w:val="auto"/>
          <w:sz w:val="24"/>
          <w:szCs w:val="24"/>
        </w:rPr>
        <w:t xml:space="preserve"> la sentencia </w:t>
      </w:r>
      <w:r w:rsidRPr="00021899">
        <w:rPr>
          <w:rFonts w:ascii="Arial" w:hAnsi="Arial" w:cs="Arial"/>
          <w:color w:val="auto"/>
          <w:sz w:val="24"/>
          <w:szCs w:val="24"/>
        </w:rPr>
        <w:t xml:space="preserve">C-221 de 2017 </w:t>
      </w:r>
      <w:r w:rsidR="00120328" w:rsidRPr="00021899">
        <w:rPr>
          <w:rFonts w:ascii="Arial" w:hAnsi="Arial" w:cs="Arial"/>
          <w:color w:val="auto"/>
          <w:sz w:val="24"/>
          <w:szCs w:val="24"/>
        </w:rPr>
        <w:t xml:space="preserve">que estableció </w:t>
      </w:r>
      <w:r w:rsidRPr="00021899">
        <w:rPr>
          <w:rFonts w:ascii="Arial" w:hAnsi="Arial" w:cs="Arial"/>
          <w:color w:val="auto"/>
          <w:sz w:val="24"/>
          <w:szCs w:val="24"/>
        </w:rPr>
        <w:t xml:space="preserve">claramente </w:t>
      </w:r>
      <w:r w:rsidR="00120328" w:rsidRPr="00021899">
        <w:rPr>
          <w:rFonts w:ascii="Arial" w:hAnsi="Arial" w:cs="Arial"/>
          <w:color w:val="auto"/>
          <w:sz w:val="24"/>
          <w:szCs w:val="24"/>
        </w:rPr>
        <w:t>que la</w:t>
      </w:r>
      <w:r w:rsidRPr="00021899">
        <w:rPr>
          <w:rFonts w:ascii="Arial" w:hAnsi="Arial" w:cs="Arial"/>
          <w:color w:val="auto"/>
          <w:sz w:val="24"/>
          <w:szCs w:val="24"/>
        </w:rPr>
        <w:t>s</w:t>
      </w:r>
      <w:r w:rsidR="00120328" w:rsidRPr="00021899">
        <w:rPr>
          <w:rFonts w:ascii="Arial" w:hAnsi="Arial" w:cs="Arial"/>
          <w:color w:val="auto"/>
          <w:sz w:val="24"/>
          <w:szCs w:val="24"/>
        </w:rPr>
        <w:t xml:space="preserve"> medida</w:t>
      </w:r>
      <w:r w:rsidRPr="00021899">
        <w:rPr>
          <w:rFonts w:ascii="Arial" w:hAnsi="Arial" w:cs="Arial"/>
          <w:color w:val="auto"/>
          <w:sz w:val="24"/>
          <w:szCs w:val="24"/>
        </w:rPr>
        <w:t>s</w:t>
      </w:r>
      <w:r w:rsidR="00120328" w:rsidRPr="00021899">
        <w:rPr>
          <w:rFonts w:ascii="Arial" w:hAnsi="Arial" w:cs="Arial"/>
          <w:color w:val="auto"/>
          <w:sz w:val="24"/>
          <w:szCs w:val="24"/>
        </w:rPr>
        <w:t xml:space="preserve"> de aseguramiento se mantiene</w:t>
      </w:r>
      <w:r w:rsidRPr="00021899">
        <w:rPr>
          <w:rFonts w:ascii="Arial" w:hAnsi="Arial" w:cs="Arial"/>
          <w:color w:val="auto"/>
          <w:sz w:val="24"/>
          <w:szCs w:val="24"/>
        </w:rPr>
        <w:t xml:space="preserve">n vigentes </w:t>
      </w:r>
      <w:r w:rsidR="00120328" w:rsidRPr="00021899">
        <w:rPr>
          <w:rFonts w:ascii="Arial" w:hAnsi="Arial" w:cs="Arial"/>
          <w:color w:val="auto"/>
          <w:sz w:val="24"/>
          <w:szCs w:val="24"/>
        </w:rPr>
        <w:t>hasta la decisión de segunda instancia</w:t>
      </w:r>
      <w:r w:rsidR="0080251E" w:rsidRPr="00021899">
        <w:rPr>
          <w:rFonts w:ascii="Arial" w:hAnsi="Arial" w:cs="Arial"/>
          <w:color w:val="auto"/>
          <w:sz w:val="24"/>
          <w:szCs w:val="24"/>
        </w:rPr>
        <w:t>. E</w:t>
      </w:r>
      <w:r w:rsidR="00120328" w:rsidRPr="00021899">
        <w:rPr>
          <w:rFonts w:ascii="Arial" w:hAnsi="Arial" w:cs="Arial"/>
          <w:color w:val="auto"/>
          <w:sz w:val="24"/>
          <w:szCs w:val="24"/>
        </w:rPr>
        <w:t xml:space="preserve">s decir, </w:t>
      </w:r>
      <w:r w:rsidR="00231486">
        <w:rPr>
          <w:rFonts w:ascii="Arial" w:hAnsi="Arial" w:cs="Arial"/>
          <w:color w:val="auto"/>
          <w:sz w:val="24"/>
          <w:szCs w:val="24"/>
        </w:rPr>
        <w:t>que el</w:t>
      </w:r>
      <w:r w:rsidR="00120328" w:rsidRPr="00021899">
        <w:rPr>
          <w:rFonts w:ascii="Arial" w:hAnsi="Arial" w:cs="Arial"/>
          <w:color w:val="auto"/>
          <w:sz w:val="24"/>
          <w:szCs w:val="24"/>
        </w:rPr>
        <w:t xml:space="preserve"> t</w:t>
      </w:r>
      <w:r w:rsidR="00A4602F" w:rsidRPr="00021899">
        <w:rPr>
          <w:rFonts w:ascii="Arial" w:hAnsi="Arial" w:cs="Arial"/>
          <w:color w:val="auto"/>
          <w:sz w:val="24"/>
          <w:szCs w:val="24"/>
        </w:rPr>
        <w:t xml:space="preserve">érmino </w:t>
      </w:r>
      <w:r w:rsidR="0080251E" w:rsidRPr="00021899">
        <w:rPr>
          <w:rFonts w:ascii="Arial" w:hAnsi="Arial" w:cs="Arial"/>
          <w:color w:val="auto"/>
          <w:sz w:val="24"/>
          <w:szCs w:val="24"/>
        </w:rPr>
        <w:t xml:space="preserve">establecido en el parágrafo del artículo 307 </w:t>
      </w:r>
      <w:proofErr w:type="spellStart"/>
      <w:r w:rsidR="0080251E" w:rsidRPr="00021899">
        <w:rPr>
          <w:rFonts w:ascii="Arial" w:hAnsi="Arial" w:cs="Arial"/>
          <w:color w:val="auto"/>
          <w:sz w:val="24"/>
          <w:szCs w:val="24"/>
        </w:rPr>
        <w:t>CP</w:t>
      </w:r>
      <w:r w:rsidRPr="00021899">
        <w:rPr>
          <w:rFonts w:ascii="Arial" w:hAnsi="Arial" w:cs="Arial"/>
          <w:color w:val="auto"/>
          <w:sz w:val="24"/>
          <w:szCs w:val="24"/>
        </w:rPr>
        <w:t>P</w:t>
      </w:r>
      <w:proofErr w:type="spellEnd"/>
      <w:r w:rsidRPr="00021899">
        <w:rPr>
          <w:rFonts w:ascii="Arial" w:hAnsi="Arial" w:cs="Arial"/>
          <w:color w:val="auto"/>
          <w:sz w:val="24"/>
          <w:szCs w:val="24"/>
        </w:rPr>
        <w:t xml:space="preserve"> </w:t>
      </w:r>
      <w:r w:rsidR="00A4602F" w:rsidRPr="00021899">
        <w:rPr>
          <w:rFonts w:ascii="Arial" w:hAnsi="Arial" w:cs="Arial"/>
          <w:color w:val="auto"/>
          <w:sz w:val="24"/>
          <w:szCs w:val="24"/>
        </w:rPr>
        <w:t xml:space="preserve">es el promedio de duración del proceso penal en primera </w:t>
      </w:r>
      <w:r w:rsidR="0098515F" w:rsidRPr="00021899">
        <w:rPr>
          <w:rFonts w:ascii="Arial" w:hAnsi="Arial" w:cs="Arial"/>
          <w:color w:val="auto"/>
          <w:sz w:val="24"/>
          <w:szCs w:val="24"/>
        </w:rPr>
        <w:t xml:space="preserve">y segunda instancia, protegido por la ley 1786, </w:t>
      </w:r>
      <w:r w:rsidR="00A1122E" w:rsidRPr="00021899">
        <w:rPr>
          <w:rFonts w:ascii="Arial" w:hAnsi="Arial" w:cs="Arial"/>
          <w:color w:val="auto"/>
          <w:sz w:val="24"/>
          <w:szCs w:val="24"/>
        </w:rPr>
        <w:t xml:space="preserve">y que </w:t>
      </w:r>
      <w:r w:rsidR="0098515F" w:rsidRPr="00021899">
        <w:rPr>
          <w:rFonts w:ascii="Arial" w:hAnsi="Arial" w:cs="Arial"/>
          <w:color w:val="auto"/>
          <w:sz w:val="24"/>
          <w:szCs w:val="24"/>
        </w:rPr>
        <w:t xml:space="preserve">por lo tanto, no hay omisión legislativa respecto de quienes se encuentran a la espera del fallo de segunda instancia. </w:t>
      </w:r>
    </w:p>
    <w:p w:rsidR="005B314F" w:rsidRPr="00021899" w:rsidRDefault="005B314F" w:rsidP="005B314F">
      <w:pPr>
        <w:pStyle w:val="Sinespaciado"/>
        <w:spacing w:line="360" w:lineRule="auto"/>
        <w:ind w:left="720"/>
        <w:jc w:val="both"/>
        <w:rPr>
          <w:rFonts w:ascii="Arial" w:hAnsi="Arial" w:cs="Arial"/>
          <w:color w:val="auto"/>
          <w:sz w:val="24"/>
          <w:szCs w:val="24"/>
        </w:rPr>
      </w:pPr>
    </w:p>
    <w:p w:rsidR="00021C3D" w:rsidRPr="00021899" w:rsidRDefault="00C97F06" w:rsidP="008F5454">
      <w:pPr>
        <w:pStyle w:val="Sinespaciado"/>
        <w:numPr>
          <w:ilvl w:val="0"/>
          <w:numId w:val="1"/>
        </w:numPr>
        <w:spacing w:line="360" w:lineRule="auto"/>
        <w:jc w:val="both"/>
        <w:rPr>
          <w:rFonts w:ascii="Arial" w:hAnsi="Arial" w:cs="Arial"/>
          <w:color w:val="auto"/>
          <w:sz w:val="24"/>
          <w:szCs w:val="24"/>
        </w:rPr>
      </w:pPr>
      <w:r w:rsidRPr="00021899">
        <w:rPr>
          <w:rFonts w:ascii="Arial" w:hAnsi="Arial" w:cs="Arial"/>
          <w:color w:val="auto"/>
          <w:sz w:val="24"/>
          <w:szCs w:val="24"/>
        </w:rPr>
        <w:t xml:space="preserve">Argumentó que en caso de considerar lo </w:t>
      </w:r>
      <w:r w:rsidR="00021C3D" w:rsidRPr="00021899">
        <w:rPr>
          <w:rFonts w:ascii="Arial" w:hAnsi="Arial" w:cs="Arial"/>
          <w:color w:val="auto"/>
          <w:sz w:val="24"/>
          <w:szCs w:val="24"/>
        </w:rPr>
        <w:t xml:space="preserve">contrario no tendría sentido interponer un recurso de apelación contra la sentencia. </w:t>
      </w:r>
      <w:r w:rsidRPr="00021899">
        <w:rPr>
          <w:rFonts w:ascii="Arial" w:hAnsi="Arial" w:cs="Arial"/>
          <w:color w:val="auto"/>
          <w:sz w:val="24"/>
          <w:szCs w:val="24"/>
        </w:rPr>
        <w:t>Sin embargo mientras se resuelve el recurso</w:t>
      </w:r>
      <w:r w:rsidR="00021C3D" w:rsidRPr="00021899">
        <w:rPr>
          <w:rFonts w:ascii="Arial" w:hAnsi="Arial" w:cs="Arial"/>
          <w:color w:val="auto"/>
          <w:sz w:val="24"/>
          <w:szCs w:val="24"/>
        </w:rPr>
        <w:t xml:space="preserve">, el condenado no tiene forma de redimir pena ni acceder a los jueces de </w:t>
      </w:r>
      <w:proofErr w:type="spellStart"/>
      <w:r w:rsidR="00A1122E" w:rsidRPr="00021899">
        <w:rPr>
          <w:rFonts w:ascii="Arial" w:hAnsi="Arial" w:cs="Arial"/>
          <w:color w:val="auto"/>
          <w:sz w:val="24"/>
          <w:szCs w:val="24"/>
        </w:rPr>
        <w:t>E.P.M.S</w:t>
      </w:r>
      <w:proofErr w:type="spellEnd"/>
      <w:r w:rsidR="00A1122E" w:rsidRPr="00021899">
        <w:rPr>
          <w:rFonts w:ascii="Arial" w:hAnsi="Arial" w:cs="Arial"/>
          <w:color w:val="auto"/>
          <w:sz w:val="24"/>
          <w:szCs w:val="24"/>
        </w:rPr>
        <w:t xml:space="preserve">., </w:t>
      </w:r>
      <w:r w:rsidR="00021C3D" w:rsidRPr="00021899">
        <w:rPr>
          <w:rFonts w:ascii="Arial" w:hAnsi="Arial" w:cs="Arial"/>
          <w:color w:val="auto"/>
          <w:sz w:val="24"/>
          <w:szCs w:val="24"/>
        </w:rPr>
        <w:t xml:space="preserve">lo que conlleva a que el procesado sea el que lleve la peor parte </w:t>
      </w:r>
      <w:r w:rsidR="00231486">
        <w:rPr>
          <w:rFonts w:ascii="Arial" w:hAnsi="Arial" w:cs="Arial"/>
          <w:color w:val="auto"/>
          <w:sz w:val="24"/>
          <w:szCs w:val="24"/>
        </w:rPr>
        <w:t>por la</w:t>
      </w:r>
      <w:r w:rsidR="00021C3D" w:rsidRPr="00021899">
        <w:rPr>
          <w:rFonts w:ascii="Arial" w:hAnsi="Arial" w:cs="Arial"/>
          <w:color w:val="auto"/>
          <w:sz w:val="24"/>
          <w:szCs w:val="24"/>
        </w:rPr>
        <w:t xml:space="preserve"> mora en el </w:t>
      </w:r>
      <w:r w:rsidR="00A1122E" w:rsidRPr="00021899">
        <w:rPr>
          <w:rFonts w:ascii="Arial" w:hAnsi="Arial" w:cs="Arial"/>
          <w:color w:val="auto"/>
          <w:sz w:val="24"/>
          <w:szCs w:val="24"/>
        </w:rPr>
        <w:t xml:space="preserve">trámite del </w:t>
      </w:r>
      <w:r w:rsidR="00021C3D" w:rsidRPr="00021899">
        <w:rPr>
          <w:rFonts w:ascii="Arial" w:hAnsi="Arial" w:cs="Arial"/>
          <w:color w:val="auto"/>
          <w:sz w:val="24"/>
          <w:szCs w:val="24"/>
        </w:rPr>
        <w:t xml:space="preserve">proceso penal. </w:t>
      </w:r>
    </w:p>
    <w:p w:rsidR="00021C3D" w:rsidRPr="00021899" w:rsidRDefault="00021C3D" w:rsidP="00021C3D">
      <w:pPr>
        <w:pStyle w:val="Prrafodelista"/>
        <w:rPr>
          <w:rFonts w:ascii="Arial" w:hAnsi="Arial" w:cs="Arial"/>
          <w:color w:val="auto"/>
        </w:rPr>
      </w:pPr>
    </w:p>
    <w:p w:rsidR="00694FEE" w:rsidRPr="00021899" w:rsidRDefault="00C97F06" w:rsidP="008F5454">
      <w:pPr>
        <w:pStyle w:val="Sinespaciado"/>
        <w:numPr>
          <w:ilvl w:val="0"/>
          <w:numId w:val="1"/>
        </w:numPr>
        <w:spacing w:line="360" w:lineRule="auto"/>
        <w:jc w:val="both"/>
        <w:rPr>
          <w:rFonts w:ascii="Arial" w:hAnsi="Arial" w:cs="Arial"/>
          <w:color w:val="auto"/>
          <w:sz w:val="24"/>
          <w:szCs w:val="24"/>
        </w:rPr>
      </w:pPr>
      <w:r w:rsidRPr="00021899">
        <w:rPr>
          <w:rFonts w:ascii="Arial" w:hAnsi="Arial" w:cs="Arial"/>
          <w:color w:val="auto"/>
          <w:sz w:val="24"/>
          <w:szCs w:val="24"/>
        </w:rPr>
        <w:t>Solicitó</w:t>
      </w:r>
      <w:r w:rsidR="00694FEE" w:rsidRPr="00021899">
        <w:rPr>
          <w:rFonts w:ascii="Arial" w:hAnsi="Arial" w:cs="Arial"/>
          <w:color w:val="auto"/>
          <w:sz w:val="24"/>
          <w:szCs w:val="24"/>
        </w:rPr>
        <w:t xml:space="preserve"> </w:t>
      </w:r>
      <w:r w:rsidR="00A1122E" w:rsidRPr="00021899">
        <w:rPr>
          <w:rFonts w:ascii="Arial" w:hAnsi="Arial" w:cs="Arial"/>
          <w:color w:val="auto"/>
          <w:sz w:val="24"/>
          <w:szCs w:val="24"/>
        </w:rPr>
        <w:t xml:space="preserve">que se </w:t>
      </w:r>
      <w:r w:rsidR="00694FEE" w:rsidRPr="00021899">
        <w:rPr>
          <w:rFonts w:ascii="Arial" w:hAnsi="Arial" w:cs="Arial"/>
          <w:color w:val="auto"/>
          <w:sz w:val="24"/>
          <w:szCs w:val="24"/>
        </w:rPr>
        <w:t>revocar</w:t>
      </w:r>
      <w:r w:rsidR="00231486">
        <w:rPr>
          <w:rFonts w:ascii="Arial" w:hAnsi="Arial" w:cs="Arial"/>
          <w:color w:val="auto"/>
          <w:sz w:val="24"/>
          <w:szCs w:val="24"/>
        </w:rPr>
        <w:t>a</w:t>
      </w:r>
      <w:r w:rsidR="00694FEE" w:rsidRPr="00021899">
        <w:rPr>
          <w:rFonts w:ascii="Arial" w:hAnsi="Arial" w:cs="Arial"/>
          <w:color w:val="auto"/>
          <w:sz w:val="24"/>
          <w:szCs w:val="24"/>
        </w:rPr>
        <w:t xml:space="preserve"> la decisión </w:t>
      </w:r>
      <w:r w:rsidR="00A1122E" w:rsidRPr="00021899">
        <w:rPr>
          <w:rFonts w:ascii="Arial" w:hAnsi="Arial" w:cs="Arial"/>
          <w:color w:val="auto"/>
          <w:sz w:val="24"/>
          <w:szCs w:val="24"/>
        </w:rPr>
        <w:t>de primer grado y se o</w:t>
      </w:r>
      <w:r w:rsidR="00694FEE" w:rsidRPr="00021899">
        <w:rPr>
          <w:rFonts w:ascii="Arial" w:hAnsi="Arial" w:cs="Arial"/>
          <w:color w:val="auto"/>
          <w:sz w:val="24"/>
          <w:szCs w:val="24"/>
        </w:rPr>
        <w:t>rdenar</w:t>
      </w:r>
      <w:r w:rsidR="00A1122E" w:rsidRPr="00021899">
        <w:rPr>
          <w:rFonts w:ascii="Arial" w:hAnsi="Arial" w:cs="Arial"/>
          <w:color w:val="auto"/>
          <w:sz w:val="24"/>
          <w:szCs w:val="24"/>
        </w:rPr>
        <w:t xml:space="preserve">a </w:t>
      </w:r>
      <w:r w:rsidR="00231486">
        <w:rPr>
          <w:rFonts w:ascii="Arial" w:hAnsi="Arial" w:cs="Arial"/>
          <w:color w:val="auto"/>
          <w:sz w:val="24"/>
          <w:szCs w:val="24"/>
        </w:rPr>
        <w:t>su</w:t>
      </w:r>
      <w:r w:rsidR="00694FEE" w:rsidRPr="00021899">
        <w:rPr>
          <w:rFonts w:ascii="Arial" w:hAnsi="Arial" w:cs="Arial"/>
          <w:color w:val="auto"/>
          <w:sz w:val="24"/>
          <w:szCs w:val="24"/>
        </w:rPr>
        <w:t xml:space="preserve"> libertad o </w:t>
      </w:r>
      <w:r w:rsidR="00A1122E" w:rsidRPr="00021899">
        <w:rPr>
          <w:rFonts w:ascii="Arial" w:hAnsi="Arial" w:cs="Arial"/>
          <w:color w:val="auto"/>
          <w:sz w:val="24"/>
          <w:szCs w:val="24"/>
        </w:rPr>
        <w:t xml:space="preserve">la </w:t>
      </w:r>
      <w:r w:rsidR="00694FEE" w:rsidRPr="00021899">
        <w:rPr>
          <w:rFonts w:ascii="Arial" w:hAnsi="Arial" w:cs="Arial"/>
          <w:color w:val="auto"/>
          <w:sz w:val="24"/>
          <w:szCs w:val="24"/>
        </w:rPr>
        <w:t>sustitución de la medida de aseguramiento impuesta a su defendido</w:t>
      </w:r>
      <w:r w:rsidR="00A1122E" w:rsidRPr="00021899">
        <w:rPr>
          <w:rFonts w:ascii="Arial" w:hAnsi="Arial" w:cs="Arial"/>
          <w:color w:val="auto"/>
          <w:sz w:val="24"/>
          <w:szCs w:val="24"/>
        </w:rPr>
        <w:t xml:space="preserve">, </w:t>
      </w:r>
      <w:r w:rsidR="00694FEE" w:rsidRPr="00021899">
        <w:rPr>
          <w:rFonts w:ascii="Arial" w:hAnsi="Arial" w:cs="Arial"/>
          <w:color w:val="auto"/>
          <w:sz w:val="24"/>
          <w:szCs w:val="24"/>
        </w:rPr>
        <w:t xml:space="preserve">incluso bajo una caución prendaria de ser necesario. </w:t>
      </w:r>
    </w:p>
    <w:p w:rsidR="00694FEE" w:rsidRPr="00021899" w:rsidRDefault="00694FEE" w:rsidP="00694FEE">
      <w:pPr>
        <w:pStyle w:val="Prrafodelista"/>
        <w:rPr>
          <w:rFonts w:ascii="Arial" w:hAnsi="Arial" w:cs="Arial"/>
          <w:color w:val="auto"/>
        </w:rPr>
      </w:pPr>
    </w:p>
    <w:p w:rsidR="00F02F84" w:rsidRPr="00021899" w:rsidRDefault="00694FEE" w:rsidP="008F5454">
      <w:pPr>
        <w:pStyle w:val="Sinespaciado"/>
        <w:numPr>
          <w:ilvl w:val="0"/>
          <w:numId w:val="1"/>
        </w:numPr>
        <w:spacing w:line="360" w:lineRule="auto"/>
        <w:jc w:val="both"/>
        <w:rPr>
          <w:rFonts w:ascii="Arial" w:hAnsi="Arial" w:cs="Arial"/>
          <w:color w:val="auto"/>
          <w:sz w:val="24"/>
          <w:szCs w:val="24"/>
        </w:rPr>
      </w:pPr>
      <w:r w:rsidRPr="00021899">
        <w:rPr>
          <w:rFonts w:ascii="Arial" w:hAnsi="Arial" w:cs="Arial"/>
          <w:color w:val="auto"/>
          <w:sz w:val="24"/>
          <w:szCs w:val="24"/>
        </w:rPr>
        <w:t>Por último, advi</w:t>
      </w:r>
      <w:r w:rsidR="00C97F06" w:rsidRPr="00021899">
        <w:rPr>
          <w:rFonts w:ascii="Arial" w:hAnsi="Arial" w:cs="Arial"/>
          <w:color w:val="auto"/>
          <w:sz w:val="24"/>
          <w:szCs w:val="24"/>
        </w:rPr>
        <w:t xml:space="preserve">rtió </w:t>
      </w:r>
      <w:r w:rsidRPr="00021899">
        <w:rPr>
          <w:rFonts w:ascii="Arial" w:hAnsi="Arial" w:cs="Arial"/>
          <w:color w:val="auto"/>
          <w:sz w:val="24"/>
          <w:szCs w:val="24"/>
        </w:rPr>
        <w:t>que recusa</w:t>
      </w:r>
      <w:r w:rsidR="00A1122E" w:rsidRPr="00021899">
        <w:rPr>
          <w:rFonts w:ascii="Arial" w:hAnsi="Arial" w:cs="Arial"/>
          <w:color w:val="auto"/>
          <w:sz w:val="24"/>
          <w:szCs w:val="24"/>
        </w:rPr>
        <w:t xml:space="preserve">ba </w:t>
      </w:r>
      <w:r w:rsidRPr="00021899">
        <w:rPr>
          <w:rFonts w:ascii="Arial" w:hAnsi="Arial" w:cs="Arial"/>
          <w:color w:val="auto"/>
          <w:sz w:val="24"/>
          <w:szCs w:val="24"/>
        </w:rPr>
        <w:t xml:space="preserve">al magistrado ponente </w:t>
      </w:r>
      <w:r w:rsidR="00450F53" w:rsidRPr="00021899">
        <w:rPr>
          <w:rFonts w:ascii="Arial" w:hAnsi="Arial" w:cs="Arial"/>
          <w:color w:val="auto"/>
          <w:sz w:val="24"/>
          <w:szCs w:val="24"/>
        </w:rPr>
        <w:t xml:space="preserve">del fallo de segunda instancia </w:t>
      </w:r>
      <w:r w:rsidRPr="00021899">
        <w:rPr>
          <w:rFonts w:ascii="Arial" w:hAnsi="Arial" w:cs="Arial"/>
          <w:color w:val="auto"/>
          <w:sz w:val="24"/>
          <w:szCs w:val="24"/>
        </w:rPr>
        <w:t>respecto de la presente decisión</w:t>
      </w:r>
      <w:r w:rsidR="00C97F06" w:rsidRPr="00021899">
        <w:rPr>
          <w:rFonts w:ascii="Arial" w:hAnsi="Arial" w:cs="Arial"/>
          <w:color w:val="auto"/>
          <w:sz w:val="24"/>
          <w:szCs w:val="24"/>
        </w:rPr>
        <w:t>,</w:t>
      </w:r>
      <w:r w:rsidR="00450F53" w:rsidRPr="00021899">
        <w:rPr>
          <w:rFonts w:ascii="Arial" w:hAnsi="Arial" w:cs="Arial"/>
          <w:color w:val="auto"/>
          <w:sz w:val="24"/>
          <w:szCs w:val="24"/>
        </w:rPr>
        <w:t xml:space="preserve"> porque se trata</w:t>
      </w:r>
      <w:r w:rsidR="00A1122E" w:rsidRPr="00021899">
        <w:rPr>
          <w:rFonts w:ascii="Arial" w:hAnsi="Arial" w:cs="Arial"/>
          <w:color w:val="auto"/>
          <w:sz w:val="24"/>
          <w:szCs w:val="24"/>
        </w:rPr>
        <w:t xml:space="preserve">ba </w:t>
      </w:r>
      <w:r w:rsidR="00450F53" w:rsidRPr="00021899">
        <w:rPr>
          <w:rFonts w:ascii="Arial" w:hAnsi="Arial" w:cs="Arial"/>
          <w:color w:val="auto"/>
          <w:sz w:val="24"/>
          <w:szCs w:val="24"/>
        </w:rPr>
        <w:t xml:space="preserve">del mismo funcionario que tiene a su cargo desatar la alzada y el abogado ha observado </w:t>
      </w:r>
      <w:r w:rsidR="00C97F06" w:rsidRPr="00021899">
        <w:rPr>
          <w:rFonts w:ascii="Arial" w:hAnsi="Arial" w:cs="Arial"/>
          <w:color w:val="auto"/>
          <w:sz w:val="24"/>
          <w:szCs w:val="24"/>
        </w:rPr>
        <w:t xml:space="preserve">que </w:t>
      </w:r>
      <w:r w:rsidR="00450F53" w:rsidRPr="00021899">
        <w:rPr>
          <w:rFonts w:ascii="Arial" w:hAnsi="Arial" w:cs="Arial"/>
          <w:color w:val="auto"/>
          <w:sz w:val="24"/>
          <w:szCs w:val="24"/>
        </w:rPr>
        <w:t>en varias peticiones del mismo tipo</w:t>
      </w:r>
      <w:r w:rsidR="00B359F5" w:rsidRPr="00021899">
        <w:rPr>
          <w:rFonts w:ascii="Arial" w:hAnsi="Arial" w:cs="Arial"/>
          <w:color w:val="auto"/>
          <w:sz w:val="24"/>
          <w:szCs w:val="24"/>
        </w:rPr>
        <w:t xml:space="preserve"> ha fungido en similar condición.</w:t>
      </w:r>
    </w:p>
    <w:p w:rsidR="00450F53" w:rsidRPr="00021899" w:rsidRDefault="00450F53" w:rsidP="00450F53">
      <w:pPr>
        <w:pStyle w:val="Prrafodelista"/>
        <w:rPr>
          <w:rFonts w:ascii="Arial" w:hAnsi="Arial" w:cs="Arial"/>
          <w:color w:val="auto"/>
        </w:rPr>
      </w:pPr>
    </w:p>
    <w:p w:rsidR="0035497F" w:rsidRPr="00021899" w:rsidRDefault="0035497F" w:rsidP="0035497F">
      <w:pPr>
        <w:spacing w:line="360" w:lineRule="auto"/>
        <w:ind w:right="49"/>
        <w:jc w:val="both"/>
        <w:rPr>
          <w:rFonts w:ascii="Arial" w:hAnsi="Arial" w:cs="Arial"/>
          <w:color w:val="auto"/>
        </w:rPr>
      </w:pPr>
      <w:r w:rsidRPr="00021899">
        <w:rPr>
          <w:rFonts w:ascii="Arial" w:hAnsi="Arial" w:cs="Arial"/>
          <w:color w:val="auto"/>
        </w:rPr>
        <w:t>5.1 Fiscal (no recurrente)</w:t>
      </w:r>
    </w:p>
    <w:p w:rsidR="0035497F" w:rsidRPr="00021899" w:rsidRDefault="0035497F" w:rsidP="00450F53">
      <w:pPr>
        <w:pStyle w:val="Prrafodelista"/>
        <w:rPr>
          <w:rFonts w:ascii="Arial" w:hAnsi="Arial" w:cs="Arial"/>
          <w:color w:val="auto"/>
        </w:rPr>
      </w:pPr>
    </w:p>
    <w:p w:rsidR="00450F53" w:rsidRPr="00021899" w:rsidRDefault="00B359F5" w:rsidP="008F5454">
      <w:pPr>
        <w:pStyle w:val="Sinespaciado"/>
        <w:numPr>
          <w:ilvl w:val="0"/>
          <w:numId w:val="1"/>
        </w:numPr>
        <w:spacing w:line="360" w:lineRule="auto"/>
        <w:jc w:val="both"/>
        <w:rPr>
          <w:rFonts w:ascii="Arial" w:hAnsi="Arial" w:cs="Arial"/>
          <w:color w:val="auto"/>
          <w:sz w:val="24"/>
          <w:szCs w:val="24"/>
          <w:u w:val="single"/>
          <w:lang w:val="es-CO" w:eastAsia="en-US"/>
        </w:rPr>
      </w:pPr>
      <w:r w:rsidRPr="00021899">
        <w:rPr>
          <w:rFonts w:ascii="Arial" w:hAnsi="Arial" w:cs="Arial"/>
          <w:color w:val="auto"/>
          <w:sz w:val="24"/>
          <w:szCs w:val="24"/>
        </w:rPr>
        <w:t>Se debe confirmar la d</w:t>
      </w:r>
      <w:r w:rsidR="00450F53" w:rsidRPr="00021899">
        <w:rPr>
          <w:rFonts w:ascii="Arial" w:hAnsi="Arial" w:cs="Arial"/>
          <w:color w:val="auto"/>
          <w:sz w:val="24"/>
          <w:szCs w:val="24"/>
        </w:rPr>
        <w:t xml:space="preserve">ecisión </w:t>
      </w:r>
      <w:r w:rsidRPr="00021899">
        <w:rPr>
          <w:rFonts w:ascii="Arial" w:hAnsi="Arial" w:cs="Arial"/>
          <w:color w:val="auto"/>
          <w:sz w:val="24"/>
          <w:szCs w:val="24"/>
        </w:rPr>
        <w:t xml:space="preserve">recurrida, ya que el </w:t>
      </w:r>
      <w:r w:rsidRPr="00021899">
        <w:rPr>
          <w:rFonts w:ascii="Arial" w:hAnsi="Arial" w:cs="Arial"/>
          <w:i/>
          <w:color w:val="auto"/>
          <w:sz w:val="24"/>
          <w:szCs w:val="24"/>
        </w:rPr>
        <w:t xml:space="preserve">A quo </w:t>
      </w:r>
      <w:r w:rsidR="00450F53" w:rsidRPr="00021899">
        <w:rPr>
          <w:rFonts w:ascii="Arial" w:hAnsi="Arial" w:cs="Arial"/>
          <w:color w:val="auto"/>
          <w:sz w:val="24"/>
          <w:szCs w:val="24"/>
        </w:rPr>
        <w:t xml:space="preserve">realizó un análisis concreto y ordenado de la sentencia </w:t>
      </w:r>
      <w:r w:rsidRPr="00021899">
        <w:rPr>
          <w:rFonts w:ascii="Arial" w:hAnsi="Arial" w:cs="Arial"/>
          <w:color w:val="auto"/>
          <w:sz w:val="24"/>
          <w:szCs w:val="24"/>
        </w:rPr>
        <w:t>C-</w:t>
      </w:r>
      <w:r w:rsidR="00450F53" w:rsidRPr="00021899">
        <w:rPr>
          <w:rFonts w:ascii="Arial" w:hAnsi="Arial" w:cs="Arial"/>
          <w:color w:val="auto"/>
          <w:sz w:val="24"/>
          <w:szCs w:val="24"/>
        </w:rPr>
        <w:t xml:space="preserve">-221 de 2017 y los autos radicados 49734 y 50861 de la </w:t>
      </w:r>
      <w:proofErr w:type="spellStart"/>
      <w:r w:rsidR="00450F53" w:rsidRPr="00021899">
        <w:rPr>
          <w:rFonts w:ascii="Arial" w:hAnsi="Arial" w:cs="Arial"/>
          <w:color w:val="auto"/>
          <w:sz w:val="24"/>
          <w:szCs w:val="24"/>
        </w:rPr>
        <w:t>SP</w:t>
      </w:r>
      <w:proofErr w:type="spellEnd"/>
      <w:r w:rsidR="00450F53" w:rsidRPr="00021899">
        <w:rPr>
          <w:rFonts w:ascii="Arial" w:hAnsi="Arial" w:cs="Arial"/>
          <w:color w:val="auto"/>
          <w:sz w:val="24"/>
          <w:szCs w:val="24"/>
        </w:rPr>
        <w:t xml:space="preserve"> CSJ, así como del proceso penal, tras lo cual concluyó que la medida de aseguramiento solo tiene vigencia hasta el fallo </w:t>
      </w:r>
      <w:r w:rsidR="00450F53" w:rsidRPr="00021899">
        <w:rPr>
          <w:rFonts w:ascii="Arial" w:hAnsi="Arial" w:cs="Arial"/>
          <w:color w:val="auto"/>
          <w:sz w:val="24"/>
          <w:szCs w:val="24"/>
        </w:rPr>
        <w:lastRenderedPageBreak/>
        <w:t>de primera instancia, postura que fue acogida inicialmente por la Sala Penal del Tribunal Superior de Pereira y</w:t>
      </w:r>
      <w:r w:rsidR="0035497F" w:rsidRPr="00021899">
        <w:rPr>
          <w:rFonts w:ascii="Arial" w:hAnsi="Arial" w:cs="Arial"/>
          <w:color w:val="auto"/>
          <w:sz w:val="24"/>
          <w:szCs w:val="24"/>
        </w:rPr>
        <w:t>,</w:t>
      </w:r>
      <w:r w:rsidR="00450F53" w:rsidRPr="00021899">
        <w:rPr>
          <w:rFonts w:ascii="Arial" w:hAnsi="Arial" w:cs="Arial"/>
          <w:color w:val="auto"/>
          <w:sz w:val="24"/>
          <w:szCs w:val="24"/>
        </w:rPr>
        <w:t xml:space="preserve"> por los jueces d</w:t>
      </w:r>
      <w:r w:rsidRPr="00021899">
        <w:rPr>
          <w:rFonts w:ascii="Arial" w:hAnsi="Arial" w:cs="Arial"/>
          <w:color w:val="auto"/>
          <w:sz w:val="24"/>
          <w:szCs w:val="24"/>
        </w:rPr>
        <w:t>e este distrito.</w:t>
      </w:r>
      <w:r w:rsidR="00450F53" w:rsidRPr="00021899">
        <w:rPr>
          <w:rFonts w:ascii="Arial" w:hAnsi="Arial" w:cs="Arial"/>
          <w:color w:val="auto"/>
          <w:sz w:val="24"/>
          <w:szCs w:val="24"/>
        </w:rPr>
        <w:t xml:space="preserve"> </w:t>
      </w:r>
    </w:p>
    <w:p w:rsidR="00450F53" w:rsidRPr="00021899" w:rsidRDefault="00450F53" w:rsidP="00450F53">
      <w:pPr>
        <w:pStyle w:val="Prrafodelista"/>
        <w:rPr>
          <w:rFonts w:ascii="Arial" w:hAnsi="Arial" w:cs="Arial"/>
          <w:color w:val="auto"/>
          <w:u w:val="single"/>
          <w:lang w:val="es-CO" w:eastAsia="en-US"/>
        </w:rPr>
      </w:pPr>
    </w:p>
    <w:p w:rsidR="001C02C5" w:rsidRPr="00021899" w:rsidRDefault="00450F53" w:rsidP="008F5454">
      <w:pPr>
        <w:pStyle w:val="Sinespaciado"/>
        <w:numPr>
          <w:ilvl w:val="0"/>
          <w:numId w:val="1"/>
        </w:numPr>
        <w:spacing w:line="360" w:lineRule="auto"/>
        <w:jc w:val="both"/>
        <w:rPr>
          <w:rFonts w:ascii="Arial" w:hAnsi="Arial" w:cs="Arial"/>
          <w:color w:val="auto"/>
          <w:sz w:val="24"/>
          <w:szCs w:val="24"/>
          <w:u w:val="single"/>
          <w:lang w:val="es-CO" w:eastAsia="en-US"/>
        </w:rPr>
      </w:pPr>
      <w:r w:rsidRPr="00021899">
        <w:rPr>
          <w:rFonts w:ascii="Arial" w:hAnsi="Arial" w:cs="Arial"/>
          <w:color w:val="auto"/>
          <w:sz w:val="24"/>
          <w:szCs w:val="24"/>
        </w:rPr>
        <w:t>Reiter</w:t>
      </w:r>
      <w:r w:rsidR="0035497F" w:rsidRPr="00021899">
        <w:rPr>
          <w:rFonts w:ascii="Arial" w:hAnsi="Arial" w:cs="Arial"/>
          <w:color w:val="auto"/>
          <w:sz w:val="24"/>
          <w:szCs w:val="24"/>
        </w:rPr>
        <w:t>ó</w:t>
      </w:r>
      <w:r w:rsidRPr="00021899">
        <w:rPr>
          <w:rFonts w:ascii="Arial" w:hAnsi="Arial" w:cs="Arial"/>
          <w:color w:val="auto"/>
          <w:sz w:val="24"/>
          <w:szCs w:val="24"/>
        </w:rPr>
        <w:t xml:space="preserve"> que la medida de aseguramiento es diferente </w:t>
      </w:r>
      <w:r w:rsidR="00B359F5" w:rsidRPr="00021899">
        <w:rPr>
          <w:rFonts w:ascii="Arial" w:hAnsi="Arial" w:cs="Arial"/>
          <w:color w:val="auto"/>
          <w:sz w:val="24"/>
          <w:szCs w:val="24"/>
        </w:rPr>
        <w:t xml:space="preserve">a la </w:t>
      </w:r>
      <w:r w:rsidRPr="00021899">
        <w:rPr>
          <w:rFonts w:ascii="Arial" w:hAnsi="Arial" w:cs="Arial"/>
          <w:color w:val="auto"/>
          <w:sz w:val="24"/>
          <w:szCs w:val="24"/>
        </w:rPr>
        <w:t>pen</w:t>
      </w:r>
      <w:r w:rsidR="0035497F" w:rsidRPr="00021899">
        <w:rPr>
          <w:rFonts w:ascii="Arial" w:hAnsi="Arial" w:cs="Arial"/>
          <w:color w:val="auto"/>
          <w:sz w:val="24"/>
          <w:szCs w:val="24"/>
        </w:rPr>
        <w:t>a</w:t>
      </w:r>
      <w:r w:rsidR="00231486">
        <w:rPr>
          <w:rFonts w:ascii="Arial" w:hAnsi="Arial" w:cs="Arial"/>
          <w:color w:val="auto"/>
          <w:sz w:val="24"/>
          <w:szCs w:val="24"/>
        </w:rPr>
        <w:t>,</w:t>
      </w:r>
      <w:r w:rsidR="0035497F" w:rsidRPr="00021899">
        <w:rPr>
          <w:rFonts w:ascii="Arial" w:hAnsi="Arial" w:cs="Arial"/>
          <w:color w:val="auto"/>
          <w:sz w:val="24"/>
          <w:szCs w:val="24"/>
        </w:rPr>
        <w:t xml:space="preserve"> porque </w:t>
      </w:r>
      <w:r w:rsidRPr="00021899">
        <w:rPr>
          <w:rFonts w:ascii="Arial" w:hAnsi="Arial" w:cs="Arial"/>
          <w:color w:val="auto"/>
          <w:sz w:val="24"/>
          <w:szCs w:val="24"/>
        </w:rPr>
        <w:t xml:space="preserve">cuando la persona está condenada en primera instancia concluye la </w:t>
      </w:r>
      <w:r w:rsidR="00B359F5" w:rsidRPr="00021899">
        <w:rPr>
          <w:rFonts w:ascii="Arial" w:hAnsi="Arial" w:cs="Arial"/>
          <w:color w:val="auto"/>
          <w:sz w:val="24"/>
          <w:szCs w:val="24"/>
        </w:rPr>
        <w:t xml:space="preserve">vigencia de la </w:t>
      </w:r>
      <w:r w:rsidR="001C02C5" w:rsidRPr="00021899">
        <w:rPr>
          <w:rFonts w:ascii="Arial" w:hAnsi="Arial" w:cs="Arial"/>
          <w:color w:val="auto"/>
          <w:sz w:val="24"/>
          <w:szCs w:val="24"/>
        </w:rPr>
        <w:t xml:space="preserve">medida de aseguramiento. </w:t>
      </w:r>
    </w:p>
    <w:p w:rsidR="001C02C5" w:rsidRPr="00021899" w:rsidRDefault="001C02C5" w:rsidP="001C02C5">
      <w:pPr>
        <w:pStyle w:val="Prrafodelista"/>
        <w:rPr>
          <w:rFonts w:ascii="Arial" w:hAnsi="Arial" w:cs="Arial"/>
          <w:color w:val="auto"/>
        </w:rPr>
      </w:pPr>
    </w:p>
    <w:p w:rsidR="00C34067" w:rsidRPr="00021899" w:rsidRDefault="0035497F" w:rsidP="008F5454">
      <w:pPr>
        <w:pStyle w:val="Sinespaciado"/>
        <w:numPr>
          <w:ilvl w:val="0"/>
          <w:numId w:val="1"/>
        </w:numPr>
        <w:spacing w:line="360" w:lineRule="auto"/>
        <w:jc w:val="both"/>
        <w:rPr>
          <w:rFonts w:ascii="Arial" w:hAnsi="Arial" w:cs="Arial"/>
          <w:color w:val="auto"/>
          <w:sz w:val="24"/>
          <w:szCs w:val="24"/>
          <w:u w:val="single"/>
          <w:lang w:val="es-CO" w:eastAsia="en-US"/>
        </w:rPr>
      </w:pPr>
      <w:r w:rsidRPr="00021899">
        <w:rPr>
          <w:rFonts w:ascii="Arial" w:hAnsi="Arial" w:cs="Arial"/>
          <w:color w:val="auto"/>
          <w:sz w:val="24"/>
          <w:szCs w:val="24"/>
        </w:rPr>
        <w:t>Agregó</w:t>
      </w:r>
      <w:r w:rsidR="001C02C5" w:rsidRPr="00021899">
        <w:rPr>
          <w:rFonts w:ascii="Arial" w:hAnsi="Arial" w:cs="Arial"/>
          <w:color w:val="auto"/>
          <w:sz w:val="24"/>
          <w:szCs w:val="24"/>
        </w:rPr>
        <w:t xml:space="preserve"> que el plazo razonable </w:t>
      </w:r>
      <w:r w:rsidR="00231486">
        <w:rPr>
          <w:rFonts w:ascii="Arial" w:hAnsi="Arial" w:cs="Arial"/>
          <w:color w:val="auto"/>
          <w:sz w:val="24"/>
          <w:szCs w:val="24"/>
        </w:rPr>
        <w:t>debe</w:t>
      </w:r>
      <w:r w:rsidR="001C02C5" w:rsidRPr="00021899">
        <w:rPr>
          <w:rFonts w:ascii="Arial" w:hAnsi="Arial" w:cs="Arial"/>
          <w:color w:val="auto"/>
          <w:sz w:val="24"/>
          <w:szCs w:val="24"/>
        </w:rPr>
        <w:t xml:space="preserve"> ser fijado teniendo en cuenta la congestión tanto de </w:t>
      </w:r>
      <w:r w:rsidR="00B359F5" w:rsidRPr="00021899">
        <w:rPr>
          <w:rFonts w:ascii="Arial" w:hAnsi="Arial" w:cs="Arial"/>
          <w:color w:val="auto"/>
          <w:sz w:val="24"/>
          <w:szCs w:val="24"/>
        </w:rPr>
        <w:t xml:space="preserve">los juzgados como de la </w:t>
      </w:r>
      <w:proofErr w:type="spellStart"/>
      <w:r w:rsidR="00B359F5" w:rsidRPr="00021899">
        <w:rPr>
          <w:rFonts w:ascii="Arial" w:hAnsi="Arial" w:cs="Arial"/>
          <w:color w:val="auto"/>
          <w:sz w:val="24"/>
          <w:szCs w:val="24"/>
        </w:rPr>
        <w:t>FGN</w:t>
      </w:r>
      <w:proofErr w:type="spellEnd"/>
      <w:r w:rsidR="00B359F5" w:rsidRPr="00021899">
        <w:rPr>
          <w:rFonts w:ascii="Arial" w:hAnsi="Arial" w:cs="Arial"/>
          <w:color w:val="auto"/>
          <w:sz w:val="24"/>
          <w:szCs w:val="24"/>
        </w:rPr>
        <w:t xml:space="preserve"> y que en este caso la </w:t>
      </w:r>
      <w:r w:rsidR="001C02C5" w:rsidRPr="00021899">
        <w:rPr>
          <w:rFonts w:ascii="Arial" w:hAnsi="Arial" w:cs="Arial"/>
          <w:color w:val="auto"/>
          <w:sz w:val="24"/>
          <w:szCs w:val="24"/>
        </w:rPr>
        <w:t xml:space="preserve">enfermedad </w:t>
      </w:r>
      <w:r w:rsidR="00231486">
        <w:rPr>
          <w:rFonts w:ascii="Arial" w:hAnsi="Arial" w:cs="Arial"/>
          <w:color w:val="auto"/>
          <w:sz w:val="24"/>
          <w:szCs w:val="24"/>
        </w:rPr>
        <w:t>que aqueja al sentenciado no</w:t>
      </w:r>
      <w:r w:rsidR="001C02C5" w:rsidRPr="00021899">
        <w:rPr>
          <w:rFonts w:ascii="Arial" w:hAnsi="Arial" w:cs="Arial"/>
          <w:color w:val="auto"/>
          <w:sz w:val="24"/>
          <w:szCs w:val="24"/>
        </w:rPr>
        <w:t xml:space="preserve"> es motivo para solicitar </w:t>
      </w:r>
      <w:r w:rsidR="00B359F5" w:rsidRPr="00021899">
        <w:rPr>
          <w:rFonts w:ascii="Arial" w:hAnsi="Arial" w:cs="Arial"/>
          <w:color w:val="auto"/>
          <w:sz w:val="24"/>
          <w:szCs w:val="24"/>
        </w:rPr>
        <w:t xml:space="preserve">su </w:t>
      </w:r>
      <w:r w:rsidR="001C02C5" w:rsidRPr="00021899">
        <w:rPr>
          <w:rFonts w:ascii="Arial" w:hAnsi="Arial" w:cs="Arial"/>
          <w:color w:val="auto"/>
          <w:sz w:val="24"/>
          <w:szCs w:val="24"/>
        </w:rPr>
        <w:t>libertad</w:t>
      </w:r>
      <w:r w:rsidR="00B359F5" w:rsidRPr="00021899">
        <w:rPr>
          <w:rFonts w:ascii="Arial" w:hAnsi="Arial" w:cs="Arial"/>
          <w:color w:val="auto"/>
          <w:sz w:val="24"/>
          <w:szCs w:val="24"/>
        </w:rPr>
        <w:t>.</w:t>
      </w:r>
      <w:r w:rsidR="001C02C5" w:rsidRPr="00021899">
        <w:rPr>
          <w:rFonts w:ascii="Arial" w:hAnsi="Arial" w:cs="Arial"/>
          <w:color w:val="auto"/>
          <w:sz w:val="24"/>
          <w:szCs w:val="24"/>
        </w:rPr>
        <w:t xml:space="preserve"> </w:t>
      </w:r>
    </w:p>
    <w:p w:rsidR="00E97302" w:rsidRDefault="00E97302" w:rsidP="00C34067">
      <w:pPr>
        <w:pStyle w:val="Sinespaciado"/>
        <w:spacing w:line="360" w:lineRule="auto"/>
        <w:ind w:left="720"/>
        <w:jc w:val="both"/>
        <w:rPr>
          <w:rFonts w:ascii="Arial" w:hAnsi="Arial" w:cs="Arial"/>
          <w:color w:val="auto"/>
          <w:sz w:val="24"/>
          <w:szCs w:val="24"/>
          <w:u w:val="single"/>
          <w:lang w:val="es-CO" w:eastAsia="en-US"/>
        </w:rPr>
      </w:pPr>
    </w:p>
    <w:p w:rsidR="00231486" w:rsidRPr="00021899" w:rsidRDefault="00231486" w:rsidP="00C34067">
      <w:pPr>
        <w:pStyle w:val="Sinespaciado"/>
        <w:spacing w:line="360" w:lineRule="auto"/>
        <w:ind w:left="720"/>
        <w:jc w:val="both"/>
        <w:rPr>
          <w:rFonts w:ascii="Arial" w:hAnsi="Arial" w:cs="Arial"/>
          <w:color w:val="auto"/>
          <w:sz w:val="24"/>
          <w:szCs w:val="24"/>
          <w:u w:val="single"/>
          <w:lang w:val="es-CO" w:eastAsia="en-US"/>
        </w:rPr>
      </w:pPr>
    </w:p>
    <w:p w:rsidR="00E97302" w:rsidRPr="00082BDF" w:rsidRDefault="0035497F" w:rsidP="00207F36">
      <w:pPr>
        <w:spacing w:line="360" w:lineRule="auto"/>
        <w:ind w:right="49"/>
        <w:jc w:val="center"/>
        <w:rPr>
          <w:rFonts w:ascii="Arial" w:hAnsi="Arial" w:cs="Arial"/>
          <w:b/>
          <w:color w:val="auto"/>
        </w:rPr>
      </w:pPr>
      <w:r w:rsidRPr="00082BDF">
        <w:rPr>
          <w:rFonts w:ascii="Arial" w:hAnsi="Arial" w:cs="Arial"/>
          <w:b/>
          <w:color w:val="auto"/>
        </w:rPr>
        <w:t>6</w:t>
      </w:r>
      <w:r w:rsidR="00E97302" w:rsidRPr="00082BDF">
        <w:rPr>
          <w:rFonts w:ascii="Arial" w:hAnsi="Arial" w:cs="Arial"/>
          <w:b/>
          <w:color w:val="auto"/>
        </w:rPr>
        <w:t>. CONSIDERACIONES DE LA SALA</w:t>
      </w:r>
    </w:p>
    <w:p w:rsidR="00E97302" w:rsidRPr="00021899" w:rsidRDefault="00E97302" w:rsidP="00207F36">
      <w:pPr>
        <w:spacing w:line="360" w:lineRule="auto"/>
        <w:ind w:right="49"/>
        <w:jc w:val="both"/>
        <w:rPr>
          <w:rFonts w:ascii="Arial" w:hAnsi="Arial" w:cs="Arial"/>
          <w:color w:val="auto"/>
          <w:u w:val="single"/>
        </w:rPr>
      </w:pPr>
    </w:p>
    <w:p w:rsidR="00E97302" w:rsidRPr="00021899" w:rsidRDefault="0035497F" w:rsidP="00207F36">
      <w:pPr>
        <w:spacing w:line="360" w:lineRule="auto"/>
        <w:ind w:right="49"/>
        <w:jc w:val="both"/>
        <w:rPr>
          <w:rFonts w:ascii="Arial" w:hAnsi="Arial" w:cs="Arial"/>
          <w:color w:val="auto"/>
        </w:rPr>
      </w:pPr>
      <w:r w:rsidRPr="00021899">
        <w:rPr>
          <w:rFonts w:ascii="Arial" w:hAnsi="Arial" w:cs="Arial"/>
          <w:color w:val="auto"/>
        </w:rPr>
        <w:t>6</w:t>
      </w:r>
      <w:r w:rsidR="00E97302" w:rsidRPr="00021899">
        <w:rPr>
          <w:rFonts w:ascii="Arial" w:hAnsi="Arial" w:cs="Arial"/>
          <w:color w:val="auto"/>
        </w:rPr>
        <w:t xml:space="preserve">.1 Competencia </w:t>
      </w:r>
    </w:p>
    <w:p w:rsidR="00E97302" w:rsidRPr="00021899" w:rsidRDefault="00E97302"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 xml:space="preserve">Esta Colegiatura es competente para decidir el recurso propuesto, con base en lo dispuesto en los artículos 20 y 34 -1 del </w:t>
      </w:r>
      <w:proofErr w:type="spellStart"/>
      <w:r w:rsidRPr="00021899">
        <w:rPr>
          <w:rFonts w:ascii="Arial" w:hAnsi="Arial" w:cs="Arial"/>
          <w:color w:val="auto"/>
        </w:rPr>
        <w:t>CPP</w:t>
      </w:r>
      <w:proofErr w:type="spellEnd"/>
      <w:r w:rsidRPr="00021899">
        <w:rPr>
          <w:rFonts w:ascii="Arial" w:hAnsi="Arial" w:cs="Arial"/>
          <w:color w:val="auto"/>
        </w:rPr>
        <w:t>.</w:t>
      </w:r>
    </w:p>
    <w:p w:rsidR="00E97302" w:rsidRPr="00021899" w:rsidRDefault="00E97302" w:rsidP="00207F36">
      <w:pPr>
        <w:spacing w:line="360" w:lineRule="auto"/>
        <w:ind w:right="49"/>
        <w:jc w:val="both"/>
        <w:rPr>
          <w:rFonts w:ascii="Arial" w:hAnsi="Arial" w:cs="Arial"/>
          <w:color w:val="auto"/>
        </w:rPr>
      </w:pPr>
    </w:p>
    <w:p w:rsidR="00A97E44" w:rsidRDefault="0035497F" w:rsidP="00207F36">
      <w:pPr>
        <w:spacing w:line="360" w:lineRule="auto"/>
        <w:ind w:right="49"/>
        <w:jc w:val="both"/>
        <w:rPr>
          <w:rFonts w:ascii="Arial" w:hAnsi="Arial" w:cs="Arial"/>
          <w:color w:val="auto"/>
        </w:rPr>
      </w:pPr>
      <w:r w:rsidRPr="00021899">
        <w:rPr>
          <w:rFonts w:ascii="Arial" w:hAnsi="Arial" w:cs="Arial"/>
          <w:color w:val="auto"/>
        </w:rPr>
        <w:t>6</w:t>
      </w:r>
      <w:r w:rsidR="00021899">
        <w:rPr>
          <w:rFonts w:ascii="Arial" w:hAnsi="Arial" w:cs="Arial"/>
          <w:color w:val="auto"/>
        </w:rPr>
        <w:t xml:space="preserve">.2 </w:t>
      </w:r>
      <w:proofErr w:type="spellStart"/>
      <w:r w:rsidR="00021899">
        <w:rPr>
          <w:rFonts w:ascii="Arial" w:hAnsi="Arial" w:cs="Arial"/>
          <w:color w:val="auto"/>
        </w:rPr>
        <w:t>CONSIDERACION</w:t>
      </w:r>
      <w:proofErr w:type="spellEnd"/>
      <w:r w:rsidR="00A97E44" w:rsidRPr="00021899">
        <w:rPr>
          <w:rFonts w:ascii="Arial" w:hAnsi="Arial" w:cs="Arial"/>
          <w:color w:val="auto"/>
        </w:rPr>
        <w:t xml:space="preserve"> INICIAL</w:t>
      </w:r>
    </w:p>
    <w:p w:rsidR="00021899" w:rsidRDefault="00021899" w:rsidP="00207F36">
      <w:pPr>
        <w:spacing w:line="360" w:lineRule="auto"/>
        <w:ind w:right="49"/>
        <w:jc w:val="both"/>
        <w:rPr>
          <w:rFonts w:ascii="Arial" w:hAnsi="Arial" w:cs="Arial"/>
          <w:color w:val="auto"/>
        </w:rPr>
      </w:pPr>
    </w:p>
    <w:p w:rsidR="004F26A1" w:rsidRDefault="000059CF" w:rsidP="00207F36">
      <w:pPr>
        <w:spacing w:line="360" w:lineRule="auto"/>
        <w:ind w:right="49"/>
        <w:jc w:val="both"/>
        <w:rPr>
          <w:rFonts w:ascii="Arial" w:hAnsi="Arial" w:cs="Arial"/>
          <w:color w:val="auto"/>
        </w:rPr>
      </w:pPr>
      <w:r>
        <w:rPr>
          <w:rFonts w:ascii="Arial" w:hAnsi="Arial" w:cs="Arial"/>
          <w:color w:val="auto"/>
        </w:rPr>
        <w:t xml:space="preserve">6.2.1 </w:t>
      </w:r>
      <w:r w:rsidR="00231486">
        <w:rPr>
          <w:rFonts w:ascii="Arial" w:hAnsi="Arial" w:cs="Arial"/>
          <w:color w:val="auto"/>
        </w:rPr>
        <w:t xml:space="preserve">En atención a </w:t>
      </w:r>
      <w:r w:rsidR="006C23C9">
        <w:rPr>
          <w:rFonts w:ascii="Arial" w:hAnsi="Arial" w:cs="Arial"/>
          <w:color w:val="auto"/>
        </w:rPr>
        <w:t xml:space="preserve">la manifestación de recusación realizada por el abogado del señor Moncada Medina, esta Sala mediante providencia del 25 de enero del año en curso, dispuso un término de cinco días para que dicho profesional indicara de manera concreta la causal de impedimento en la que presuntamente estaba incurriendo el Magistrado Ponente (folio </w:t>
      </w:r>
      <w:r w:rsidR="004F26A1">
        <w:rPr>
          <w:rFonts w:ascii="Arial" w:hAnsi="Arial" w:cs="Arial"/>
          <w:color w:val="auto"/>
        </w:rPr>
        <w:t xml:space="preserve">82). El doctor </w:t>
      </w:r>
      <w:proofErr w:type="spellStart"/>
      <w:r w:rsidR="004F26A1">
        <w:rPr>
          <w:rFonts w:ascii="Arial" w:hAnsi="Arial" w:cs="Arial"/>
          <w:color w:val="auto"/>
        </w:rPr>
        <w:t>Jhon</w:t>
      </w:r>
      <w:proofErr w:type="spellEnd"/>
      <w:r w:rsidR="004F26A1">
        <w:rPr>
          <w:rFonts w:ascii="Arial" w:hAnsi="Arial" w:cs="Arial"/>
          <w:color w:val="auto"/>
        </w:rPr>
        <w:t xml:space="preserve"> Jairo García Holguín realizó la sustentación respectiva en la que señaló que el Magistrado Jairo Ernesto </w:t>
      </w:r>
      <w:proofErr w:type="spellStart"/>
      <w:r w:rsidR="004F26A1">
        <w:rPr>
          <w:rFonts w:ascii="Arial" w:hAnsi="Arial" w:cs="Arial"/>
          <w:color w:val="auto"/>
        </w:rPr>
        <w:t>Esocbar</w:t>
      </w:r>
      <w:proofErr w:type="spellEnd"/>
      <w:r w:rsidR="004F26A1">
        <w:rPr>
          <w:rFonts w:ascii="Arial" w:hAnsi="Arial" w:cs="Arial"/>
          <w:color w:val="auto"/>
        </w:rPr>
        <w:t xml:space="preserve"> Sanz se encontraba incurso en la causal de impedimento prevista en el artículo 57 numeral 7 del </w:t>
      </w:r>
      <w:proofErr w:type="spellStart"/>
      <w:r w:rsidR="004F26A1">
        <w:rPr>
          <w:rFonts w:ascii="Arial" w:hAnsi="Arial" w:cs="Arial"/>
          <w:color w:val="auto"/>
        </w:rPr>
        <w:t>CPP</w:t>
      </w:r>
      <w:proofErr w:type="spellEnd"/>
      <w:r w:rsidR="004F26A1">
        <w:rPr>
          <w:rFonts w:ascii="Arial" w:hAnsi="Arial" w:cs="Arial"/>
          <w:color w:val="auto"/>
        </w:rPr>
        <w:t xml:space="preserve">, ya que a su modo de ver </w:t>
      </w:r>
      <w:r w:rsidR="00081BBF">
        <w:rPr>
          <w:rFonts w:ascii="Arial" w:hAnsi="Arial" w:cs="Arial"/>
          <w:color w:val="auto"/>
        </w:rPr>
        <w:t xml:space="preserve">en el asunto de la referencia se han sobrepasado con creces los términos establecidos en el artículo 179 Ibídem </w:t>
      </w:r>
      <w:r w:rsidR="004F26A1">
        <w:rPr>
          <w:rFonts w:ascii="Arial" w:hAnsi="Arial" w:cs="Arial"/>
          <w:color w:val="auto"/>
        </w:rPr>
        <w:t xml:space="preserve">(folio 87 a 91). </w:t>
      </w:r>
    </w:p>
    <w:p w:rsidR="004F26A1" w:rsidRDefault="004F26A1" w:rsidP="00207F36">
      <w:pPr>
        <w:spacing w:line="360" w:lineRule="auto"/>
        <w:ind w:right="49"/>
        <w:jc w:val="both"/>
        <w:rPr>
          <w:rFonts w:ascii="Arial" w:hAnsi="Arial" w:cs="Arial"/>
          <w:color w:val="auto"/>
        </w:rPr>
      </w:pPr>
    </w:p>
    <w:p w:rsidR="000059CF" w:rsidRDefault="000059CF" w:rsidP="00207F36">
      <w:pPr>
        <w:spacing w:line="360" w:lineRule="auto"/>
        <w:ind w:right="49"/>
        <w:jc w:val="both"/>
        <w:rPr>
          <w:rFonts w:ascii="Arial" w:hAnsi="Arial" w:cs="Arial"/>
          <w:color w:val="auto"/>
        </w:rPr>
      </w:pPr>
      <w:r>
        <w:rPr>
          <w:rFonts w:ascii="Arial" w:hAnsi="Arial" w:cs="Arial"/>
          <w:color w:val="auto"/>
        </w:rPr>
        <w:t xml:space="preserve">6.2.2 </w:t>
      </w:r>
      <w:r w:rsidR="004F26A1">
        <w:rPr>
          <w:rFonts w:ascii="Arial" w:hAnsi="Arial" w:cs="Arial"/>
          <w:color w:val="auto"/>
        </w:rPr>
        <w:t xml:space="preserve">A través </w:t>
      </w:r>
      <w:r w:rsidR="00EE0E4A">
        <w:rPr>
          <w:rFonts w:ascii="Arial" w:hAnsi="Arial" w:cs="Arial"/>
          <w:color w:val="auto"/>
        </w:rPr>
        <w:t xml:space="preserve">de auto del </w:t>
      </w:r>
      <w:r w:rsidR="0052749B">
        <w:rPr>
          <w:rFonts w:ascii="Arial" w:hAnsi="Arial" w:cs="Arial"/>
          <w:color w:val="auto"/>
        </w:rPr>
        <w:t xml:space="preserve">26 de febrero del año en curso (folio 92 a 97) el Magistrado que funge como Ponente no aceptó la causal de impedimento manifestada por la defensa y en consecuencia dispuso remitir la actuación a los demás Magistrados que conforman la Sala </w:t>
      </w:r>
      <w:r>
        <w:rPr>
          <w:rFonts w:ascii="Arial" w:hAnsi="Arial" w:cs="Arial"/>
          <w:color w:val="auto"/>
        </w:rPr>
        <w:t xml:space="preserve">para que definieran el asunto conforme a lo dispuesto en el inciso 2º del artículo 60 de la Ley 906 de 2004, quienes por medio de providencia del 15 de marzo de 2018 no aceptaron la recusación </w:t>
      </w:r>
      <w:r>
        <w:rPr>
          <w:rFonts w:ascii="Arial" w:hAnsi="Arial" w:cs="Arial"/>
          <w:color w:val="auto"/>
        </w:rPr>
        <w:lastRenderedPageBreak/>
        <w:t xml:space="preserve">propuesta por la defensa del señor Gerardo Alirio Moncada Medina (folio 99 a 103). </w:t>
      </w:r>
    </w:p>
    <w:p w:rsidR="00021899" w:rsidRPr="00021899" w:rsidRDefault="00021899" w:rsidP="00207F36">
      <w:pPr>
        <w:spacing w:line="360" w:lineRule="auto"/>
        <w:ind w:right="49"/>
        <w:jc w:val="both"/>
        <w:rPr>
          <w:rFonts w:ascii="Arial" w:hAnsi="Arial" w:cs="Arial"/>
          <w:color w:val="auto"/>
        </w:rPr>
      </w:pPr>
    </w:p>
    <w:p w:rsidR="00A97E44" w:rsidRPr="00021899" w:rsidRDefault="007D7A21" w:rsidP="00207F36">
      <w:pPr>
        <w:spacing w:line="360" w:lineRule="auto"/>
        <w:ind w:right="49"/>
        <w:jc w:val="both"/>
        <w:rPr>
          <w:rFonts w:ascii="Arial" w:hAnsi="Arial" w:cs="Arial"/>
          <w:color w:val="auto"/>
        </w:rPr>
      </w:pPr>
      <w:r w:rsidRPr="00021899">
        <w:rPr>
          <w:rFonts w:ascii="Arial" w:hAnsi="Arial" w:cs="Arial"/>
          <w:color w:val="auto"/>
        </w:rPr>
        <w:t>6</w:t>
      </w:r>
      <w:r w:rsidR="00A97E44" w:rsidRPr="00021899">
        <w:rPr>
          <w:rFonts w:ascii="Arial" w:hAnsi="Arial" w:cs="Arial"/>
          <w:color w:val="auto"/>
        </w:rPr>
        <w:t>.3 Ya en lo que atañe al recurso propuesto, se hacen</w:t>
      </w:r>
      <w:r w:rsidR="00021899">
        <w:rPr>
          <w:rFonts w:ascii="Arial" w:hAnsi="Arial" w:cs="Arial"/>
          <w:color w:val="auto"/>
        </w:rPr>
        <w:t xml:space="preserve"> las siguientes consideraciones</w:t>
      </w:r>
      <w:r w:rsidR="00A97E44" w:rsidRPr="00021899">
        <w:rPr>
          <w:rFonts w:ascii="Arial" w:hAnsi="Arial" w:cs="Arial"/>
          <w:color w:val="auto"/>
        </w:rPr>
        <w:t>:</w:t>
      </w:r>
    </w:p>
    <w:p w:rsidR="00A97E44" w:rsidRPr="00021899" w:rsidRDefault="00A97E44" w:rsidP="00207F36">
      <w:pPr>
        <w:spacing w:line="360" w:lineRule="auto"/>
        <w:ind w:right="49"/>
        <w:jc w:val="both"/>
        <w:rPr>
          <w:rFonts w:ascii="Arial" w:hAnsi="Arial" w:cs="Arial"/>
          <w:color w:val="auto"/>
        </w:rPr>
      </w:pPr>
    </w:p>
    <w:p w:rsidR="00724CB9" w:rsidRPr="00021899" w:rsidRDefault="00A97E44" w:rsidP="00207F36">
      <w:pPr>
        <w:spacing w:line="360" w:lineRule="auto"/>
        <w:ind w:right="49"/>
        <w:jc w:val="both"/>
        <w:rPr>
          <w:rFonts w:ascii="Arial" w:hAnsi="Arial" w:cs="Arial"/>
          <w:color w:val="auto"/>
        </w:rPr>
      </w:pPr>
      <w:r w:rsidRPr="00021899">
        <w:rPr>
          <w:rFonts w:ascii="Arial" w:hAnsi="Arial" w:cs="Arial"/>
          <w:color w:val="auto"/>
        </w:rPr>
        <w:t xml:space="preserve">6.3.1 Se hará el </w:t>
      </w:r>
      <w:r w:rsidR="00616B28" w:rsidRPr="00021899">
        <w:rPr>
          <w:rFonts w:ascii="Arial" w:hAnsi="Arial" w:cs="Arial"/>
          <w:color w:val="auto"/>
        </w:rPr>
        <w:t>pronunciamiento de fondo sobre e</w:t>
      </w:r>
      <w:r w:rsidR="00E97302" w:rsidRPr="00021899">
        <w:rPr>
          <w:rFonts w:ascii="Arial" w:hAnsi="Arial" w:cs="Arial"/>
          <w:color w:val="auto"/>
        </w:rPr>
        <w:t xml:space="preserve">n el recurso interpuesto por la defensa </w:t>
      </w:r>
      <w:r w:rsidR="00616B28" w:rsidRPr="00021899">
        <w:rPr>
          <w:rFonts w:ascii="Arial" w:hAnsi="Arial" w:cs="Arial"/>
          <w:color w:val="auto"/>
        </w:rPr>
        <w:t xml:space="preserve">en el cual </w:t>
      </w:r>
      <w:r w:rsidR="00E97302" w:rsidRPr="00021899">
        <w:rPr>
          <w:rFonts w:ascii="Arial" w:hAnsi="Arial" w:cs="Arial"/>
          <w:color w:val="auto"/>
        </w:rPr>
        <w:t xml:space="preserve">se controvierten los argumentos jurídicos de la decisión de primer grado, </w:t>
      </w:r>
      <w:r w:rsidRPr="00021899">
        <w:rPr>
          <w:rFonts w:ascii="Arial" w:hAnsi="Arial" w:cs="Arial"/>
          <w:color w:val="auto"/>
        </w:rPr>
        <w:t xml:space="preserve">aduciendo la </w:t>
      </w:r>
      <w:r w:rsidR="00E97302" w:rsidRPr="00021899">
        <w:rPr>
          <w:rFonts w:ascii="Arial" w:hAnsi="Arial" w:cs="Arial"/>
          <w:color w:val="auto"/>
        </w:rPr>
        <w:t xml:space="preserve"> omisión en la aplicación del precedente constitucional</w:t>
      </w:r>
      <w:r w:rsidRPr="00021899">
        <w:rPr>
          <w:rFonts w:ascii="Arial" w:hAnsi="Arial" w:cs="Arial"/>
          <w:color w:val="auto"/>
        </w:rPr>
        <w:t xml:space="preserve"> contenido en la </w:t>
      </w:r>
      <w:r w:rsidR="00E97302" w:rsidRPr="00021899">
        <w:rPr>
          <w:rFonts w:ascii="Arial" w:hAnsi="Arial" w:cs="Arial"/>
          <w:color w:val="auto"/>
        </w:rPr>
        <w:t xml:space="preserve">sentencia C-221 del 19 de abril de 2017, frente a las personas que han sido sentenciadas en primera instancia y ha transcurrido </w:t>
      </w:r>
      <w:r w:rsidR="001C02C5" w:rsidRPr="00021899">
        <w:rPr>
          <w:rFonts w:ascii="Arial" w:hAnsi="Arial" w:cs="Arial"/>
          <w:color w:val="auto"/>
        </w:rPr>
        <w:t xml:space="preserve">más de </w:t>
      </w:r>
      <w:r w:rsidR="00E97302" w:rsidRPr="00021899">
        <w:rPr>
          <w:rFonts w:ascii="Arial" w:hAnsi="Arial" w:cs="Arial"/>
          <w:color w:val="auto"/>
        </w:rPr>
        <w:t xml:space="preserve">un año sin que se haya resuelto su situación en segunda instancia. Lo anterior </w:t>
      </w:r>
      <w:r w:rsidR="002139E5" w:rsidRPr="00021899">
        <w:rPr>
          <w:rFonts w:ascii="Arial" w:hAnsi="Arial" w:cs="Arial"/>
          <w:color w:val="auto"/>
        </w:rPr>
        <w:t xml:space="preserve">en aplicación de criterios </w:t>
      </w:r>
      <w:r w:rsidR="00E97302" w:rsidRPr="00021899">
        <w:rPr>
          <w:rFonts w:ascii="Arial" w:hAnsi="Arial" w:cs="Arial"/>
          <w:color w:val="auto"/>
        </w:rPr>
        <w:t xml:space="preserve">de la Corte Suprema de Justicia que </w:t>
      </w:r>
      <w:r w:rsidR="000059CF">
        <w:rPr>
          <w:rFonts w:ascii="Arial" w:hAnsi="Arial" w:cs="Arial"/>
          <w:color w:val="auto"/>
        </w:rPr>
        <w:t xml:space="preserve">según </w:t>
      </w:r>
      <w:r w:rsidRPr="00021899">
        <w:rPr>
          <w:rFonts w:ascii="Arial" w:hAnsi="Arial" w:cs="Arial"/>
          <w:color w:val="auto"/>
        </w:rPr>
        <w:t xml:space="preserve">el censor no </w:t>
      </w:r>
      <w:r w:rsidR="001C02C5" w:rsidRPr="00021899">
        <w:rPr>
          <w:rFonts w:ascii="Arial" w:hAnsi="Arial" w:cs="Arial"/>
          <w:color w:val="auto"/>
        </w:rPr>
        <w:t>tiene</w:t>
      </w:r>
      <w:r w:rsidR="002139E5" w:rsidRPr="00021899">
        <w:rPr>
          <w:rFonts w:ascii="Arial" w:hAnsi="Arial" w:cs="Arial"/>
          <w:color w:val="auto"/>
        </w:rPr>
        <w:t>n</w:t>
      </w:r>
      <w:r w:rsidR="001C02C5" w:rsidRPr="00021899">
        <w:rPr>
          <w:rFonts w:ascii="Arial" w:hAnsi="Arial" w:cs="Arial"/>
          <w:color w:val="auto"/>
        </w:rPr>
        <w:t xml:space="preserve"> prevalencia sobre una decisión de constitucionalidad. </w:t>
      </w:r>
      <w:r w:rsidR="00724CB9" w:rsidRPr="00021899">
        <w:rPr>
          <w:rFonts w:ascii="Arial" w:hAnsi="Arial" w:cs="Arial"/>
          <w:color w:val="auto"/>
        </w:rPr>
        <w:t xml:space="preserve"> </w:t>
      </w:r>
    </w:p>
    <w:p w:rsidR="00724CB9" w:rsidRPr="00021899" w:rsidRDefault="00724CB9" w:rsidP="00207F36">
      <w:pPr>
        <w:spacing w:line="360" w:lineRule="auto"/>
        <w:ind w:right="49"/>
        <w:jc w:val="both"/>
        <w:rPr>
          <w:rFonts w:ascii="Arial" w:hAnsi="Arial" w:cs="Arial"/>
          <w:color w:val="auto"/>
        </w:rPr>
      </w:pPr>
    </w:p>
    <w:p w:rsidR="00E97302" w:rsidRPr="00021899" w:rsidRDefault="002139E5" w:rsidP="00207F36">
      <w:pPr>
        <w:spacing w:line="360" w:lineRule="auto"/>
        <w:ind w:right="49"/>
        <w:jc w:val="both"/>
        <w:rPr>
          <w:rFonts w:ascii="Arial" w:hAnsi="Arial" w:cs="Arial"/>
          <w:color w:val="auto"/>
        </w:rPr>
      </w:pPr>
      <w:r w:rsidRPr="00021899">
        <w:rPr>
          <w:rFonts w:ascii="Arial" w:hAnsi="Arial" w:cs="Arial"/>
          <w:color w:val="auto"/>
        </w:rPr>
        <w:t>6</w:t>
      </w:r>
      <w:r w:rsidR="00E97302" w:rsidRPr="00021899">
        <w:rPr>
          <w:rFonts w:ascii="Arial" w:hAnsi="Arial" w:cs="Arial"/>
          <w:color w:val="auto"/>
        </w:rPr>
        <w:t>.</w:t>
      </w:r>
      <w:r w:rsidR="00A97E44" w:rsidRPr="00021899">
        <w:rPr>
          <w:rFonts w:ascii="Arial" w:hAnsi="Arial" w:cs="Arial"/>
          <w:color w:val="auto"/>
        </w:rPr>
        <w:t xml:space="preserve">3.2 </w:t>
      </w:r>
      <w:r w:rsidR="00E97302" w:rsidRPr="00021899">
        <w:rPr>
          <w:rFonts w:ascii="Arial" w:hAnsi="Arial" w:cs="Arial"/>
          <w:color w:val="auto"/>
        </w:rPr>
        <w:t xml:space="preserve">En atención al problema jurídico propuesto, hay que manifestar que en decisión del 11 de julio de 2017 (acta 662) dentro del proceso adelantado contra el señor </w:t>
      </w:r>
      <w:r w:rsidR="00B76BE3" w:rsidRPr="00021899">
        <w:rPr>
          <w:rFonts w:ascii="Arial" w:hAnsi="Arial" w:cs="Arial"/>
          <w:color w:val="auto"/>
        </w:rPr>
        <w:t xml:space="preserve">Marlon </w:t>
      </w:r>
      <w:proofErr w:type="spellStart"/>
      <w:r w:rsidR="00B76BE3" w:rsidRPr="00021899">
        <w:rPr>
          <w:rFonts w:ascii="Arial" w:hAnsi="Arial" w:cs="Arial"/>
          <w:color w:val="auto"/>
        </w:rPr>
        <w:t>Edut</w:t>
      </w:r>
      <w:proofErr w:type="spellEnd"/>
      <w:r w:rsidR="00B76BE3" w:rsidRPr="00021899">
        <w:rPr>
          <w:rFonts w:ascii="Arial" w:hAnsi="Arial" w:cs="Arial"/>
          <w:color w:val="auto"/>
        </w:rPr>
        <w:t xml:space="preserve"> Rivera Castellanos</w:t>
      </w:r>
      <w:r w:rsidR="00E97302" w:rsidRPr="00021899">
        <w:rPr>
          <w:rFonts w:ascii="Arial" w:hAnsi="Arial" w:cs="Arial"/>
          <w:color w:val="auto"/>
        </w:rPr>
        <w:t>, por los delitos de homicidio y porte ilegal de armas, esta Sala decretó la nulidad de la actuación que se cumplió el 16 de junio de 2017</w:t>
      </w:r>
      <w:r w:rsidR="00EA32EE" w:rsidRPr="00021899">
        <w:rPr>
          <w:rFonts w:ascii="Arial" w:hAnsi="Arial" w:cs="Arial"/>
          <w:color w:val="auto"/>
        </w:rPr>
        <w:t xml:space="preserve">, mediante la cual el </w:t>
      </w:r>
      <w:r w:rsidR="00E97302" w:rsidRPr="00021899">
        <w:rPr>
          <w:rFonts w:ascii="Arial" w:hAnsi="Arial" w:cs="Arial"/>
          <w:color w:val="auto"/>
        </w:rPr>
        <w:t xml:space="preserve">juez 1º penal del circuito de esta ciudad, </w:t>
      </w:r>
      <w:r w:rsidR="00EA32EE" w:rsidRPr="00021899">
        <w:rPr>
          <w:rFonts w:ascii="Arial" w:hAnsi="Arial" w:cs="Arial"/>
          <w:color w:val="auto"/>
        </w:rPr>
        <w:t xml:space="preserve">le </w:t>
      </w:r>
      <w:r w:rsidR="00E97302" w:rsidRPr="00021899">
        <w:rPr>
          <w:rFonts w:ascii="Arial" w:hAnsi="Arial" w:cs="Arial"/>
          <w:color w:val="auto"/>
        </w:rPr>
        <w:t xml:space="preserve">concedió “libertad provisional” al citado ciudadano, con base en su particular entendimiento de los efectos de la sentencia C-221 del 19 de abril de 2017 de la Corte Constitucional. </w:t>
      </w:r>
    </w:p>
    <w:p w:rsidR="00E97302" w:rsidRPr="00021899" w:rsidRDefault="00E97302" w:rsidP="00207F36">
      <w:pPr>
        <w:spacing w:line="360" w:lineRule="auto"/>
        <w:ind w:right="49"/>
        <w:rPr>
          <w:rFonts w:ascii="Arial" w:hAnsi="Arial" w:cs="Arial"/>
          <w:color w:val="auto"/>
        </w:rPr>
      </w:pPr>
    </w:p>
    <w:p w:rsidR="00E97302" w:rsidRPr="00021899" w:rsidRDefault="0007692E" w:rsidP="00207F36">
      <w:pPr>
        <w:spacing w:line="360" w:lineRule="auto"/>
        <w:ind w:right="49"/>
        <w:jc w:val="both"/>
        <w:rPr>
          <w:rFonts w:ascii="Arial" w:hAnsi="Arial" w:cs="Arial"/>
          <w:color w:val="auto"/>
        </w:rPr>
      </w:pPr>
      <w:r w:rsidRPr="00021899">
        <w:rPr>
          <w:rFonts w:ascii="Arial" w:hAnsi="Arial" w:cs="Arial"/>
          <w:color w:val="auto"/>
        </w:rPr>
        <w:t>6</w:t>
      </w:r>
      <w:r w:rsidR="000059CF">
        <w:rPr>
          <w:rFonts w:ascii="Arial" w:hAnsi="Arial" w:cs="Arial"/>
          <w:color w:val="auto"/>
        </w:rPr>
        <w:t>. 3.3</w:t>
      </w:r>
      <w:r w:rsidR="00E97302" w:rsidRPr="00021899">
        <w:rPr>
          <w:rFonts w:ascii="Arial" w:hAnsi="Arial" w:cs="Arial"/>
          <w:color w:val="auto"/>
        </w:rPr>
        <w:t xml:space="preserve"> En la providencia del 11 de julio de 2017, esta Colegiatura: i) se pronunció sobre los efectos de la sentencia C- 221 de 2017; y ii) se decretó la nulidad de la actuación adelantada por el juez de primera instancia por considerarse que no era competente para tramitar esa solicitud y por haber dado un trámite diverso al pedimento de la defensa del señor Rivera Castellanos, que en sentido estricto se debió tener como una petición de sustitución de medida de aseguramiento y no de libertad provisional. Sobre esos temas se dijo lo siguiente en sus apartes más relevantes:</w:t>
      </w:r>
    </w:p>
    <w:p w:rsidR="00E97302" w:rsidRPr="00021899" w:rsidRDefault="00E97302" w:rsidP="00207F36">
      <w:pPr>
        <w:spacing w:line="360" w:lineRule="auto"/>
        <w:ind w:right="49"/>
        <w:rPr>
          <w:rFonts w:ascii="Arial" w:hAnsi="Arial" w:cs="Arial"/>
          <w:color w:val="auto"/>
          <w:u w:val="single"/>
        </w:rPr>
      </w:pPr>
    </w:p>
    <w:p w:rsidR="00E97302" w:rsidRPr="00021899" w:rsidRDefault="00E97302" w:rsidP="00207F36">
      <w:pPr>
        <w:spacing w:line="360" w:lineRule="auto"/>
        <w:ind w:left="567" w:right="616"/>
        <w:rPr>
          <w:rFonts w:ascii="Arial" w:hAnsi="Arial" w:cs="Arial"/>
          <w:color w:val="auto"/>
          <w:sz w:val="20"/>
          <w:szCs w:val="20"/>
        </w:rPr>
      </w:pPr>
      <w:r w:rsidRPr="00021899">
        <w:rPr>
          <w:rFonts w:ascii="Arial" w:hAnsi="Arial" w:cs="Arial"/>
          <w:color w:val="auto"/>
          <w:sz w:val="20"/>
          <w:szCs w:val="20"/>
        </w:rPr>
        <w:t xml:space="preserve">“(...)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8.2 Sin embargo la aplicación del precedente contenido en la sentencia C-221 de 2017 tiene efectos necesarios en lo relativo a la competencia para decidir las solicitudes de sustitución de la medida de aseguramiento en esos casos específicos, por las siguientes razones:</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8.2.1 El numeral 8 del artículo 154 del </w:t>
      </w:r>
      <w:proofErr w:type="spellStart"/>
      <w:r w:rsidRPr="00021899">
        <w:rPr>
          <w:rFonts w:ascii="Arial" w:hAnsi="Arial" w:cs="Arial"/>
          <w:i/>
          <w:color w:val="auto"/>
          <w:sz w:val="20"/>
          <w:szCs w:val="20"/>
        </w:rPr>
        <w:t>CPP</w:t>
      </w:r>
      <w:proofErr w:type="spellEnd"/>
      <w:r w:rsidRPr="00021899">
        <w:rPr>
          <w:rFonts w:ascii="Arial" w:hAnsi="Arial" w:cs="Arial"/>
          <w:i/>
          <w:color w:val="auto"/>
          <w:sz w:val="20"/>
          <w:szCs w:val="20"/>
        </w:rPr>
        <w:t xml:space="preserve"> establece que se deben tramitar en audiencia preliminar: “Las peticiones de libertad que se presenten con anterioridad al anuncio del sentido del fallo.”.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8.2.2 Por su parte el artículo 190 del </w:t>
      </w:r>
      <w:proofErr w:type="spellStart"/>
      <w:r w:rsidRPr="00021899">
        <w:rPr>
          <w:rFonts w:ascii="Arial" w:hAnsi="Arial" w:cs="Arial"/>
          <w:i/>
          <w:color w:val="auto"/>
          <w:sz w:val="20"/>
          <w:szCs w:val="20"/>
        </w:rPr>
        <w:t>CPP</w:t>
      </w:r>
      <w:proofErr w:type="spellEnd"/>
      <w:r w:rsidRPr="00021899">
        <w:rPr>
          <w:rFonts w:ascii="Arial" w:hAnsi="Arial" w:cs="Arial"/>
          <w:i/>
          <w:color w:val="auto"/>
          <w:sz w:val="20"/>
          <w:szCs w:val="20"/>
        </w:rPr>
        <w:t xml:space="preserve"> dispone que:</w:t>
      </w:r>
      <w:r w:rsidRPr="00021899">
        <w:rPr>
          <w:rFonts w:ascii="Arial" w:hAnsi="Arial" w:cs="Arial"/>
          <w:color w:val="auto"/>
          <w:sz w:val="20"/>
          <w:szCs w:val="20"/>
        </w:rPr>
        <w:t xml:space="preserve"> </w:t>
      </w:r>
      <w:r w:rsidRPr="00021899">
        <w:rPr>
          <w:rFonts w:ascii="Arial" w:hAnsi="Arial" w:cs="Arial"/>
          <w:i/>
          <w:color w:val="auto"/>
          <w:sz w:val="20"/>
          <w:szCs w:val="20"/>
        </w:rPr>
        <w:t>“Durante el trámite del recurso de casación lo referente a la libertad y demás asuntos que no estén vinculados con la impugnación, serán de exclusiva competencia del juez de primera instancia”.</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8.3.3 Sin embargo en virtud de la ratio </w:t>
      </w:r>
      <w:proofErr w:type="spellStart"/>
      <w:r w:rsidRPr="00021899">
        <w:rPr>
          <w:rFonts w:ascii="Arial" w:hAnsi="Arial" w:cs="Arial"/>
          <w:i/>
          <w:color w:val="auto"/>
          <w:sz w:val="20"/>
          <w:szCs w:val="20"/>
        </w:rPr>
        <w:t>decidendi</w:t>
      </w:r>
      <w:proofErr w:type="spellEnd"/>
      <w:r w:rsidRPr="00021899">
        <w:rPr>
          <w:rFonts w:ascii="Arial" w:hAnsi="Arial" w:cs="Arial"/>
          <w:i/>
          <w:color w:val="auto"/>
          <w:sz w:val="20"/>
          <w:szCs w:val="20"/>
        </w:rPr>
        <w:t xml:space="preserve">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1º de la ley 1786 de 2016, se aplica frente a personas que están bajo ese régimen y no descontando la pena impuesta, </w:t>
      </w:r>
      <w:r w:rsidRPr="00021899">
        <w:rPr>
          <w:rFonts w:ascii="Arial" w:hAnsi="Arial" w:cs="Arial"/>
          <w:i/>
          <w:color w:val="auto"/>
          <w:sz w:val="20"/>
          <w:szCs w:val="20"/>
          <w:u w:val="single"/>
        </w:rPr>
        <w:t>por lo cual ese tipo de decisiones no pueden ser adoptadas por el juez de conocimiento o de primera instancia, sino por un juez con función de control de garantías,</w:t>
      </w:r>
      <w:r w:rsidRPr="00021899">
        <w:rPr>
          <w:rFonts w:ascii="Arial" w:hAnsi="Arial" w:cs="Arial"/>
          <w:i/>
          <w:color w:val="auto"/>
          <w:sz w:val="20"/>
          <w:szCs w:val="20"/>
        </w:rPr>
        <w:t xml:space="preserve"> en aplicación de lo dispuesto en el numeral 1º del artículo 250 de la Constitución de 1991, que dispone lo siguiente:</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color w:val="auto"/>
          <w:sz w:val="20"/>
          <w:szCs w:val="20"/>
        </w:rPr>
      </w:pPr>
      <w:r w:rsidRPr="00021899">
        <w:rPr>
          <w:rFonts w:ascii="Arial" w:hAnsi="Arial" w:cs="Arial"/>
          <w:color w:val="auto"/>
          <w:sz w:val="20"/>
          <w:szCs w:val="20"/>
        </w:rPr>
        <w:t xml:space="preserve">(...)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8.2.6 En tal virtud se concluye, modificando la posición anterior de esta Sala, que el juez 1º penal del circuito de esta ciudad no era competente para pronunciarse sobre 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de 2017 de la Corte Constitucional), lo que obligaba a adecuar la decisión del A quo a lo dispuesto en el artículo 307 del </w:t>
      </w:r>
      <w:proofErr w:type="spellStart"/>
      <w:r w:rsidRPr="00021899">
        <w:rPr>
          <w:rFonts w:ascii="Arial" w:hAnsi="Arial" w:cs="Arial"/>
          <w:i/>
          <w:color w:val="auto"/>
          <w:sz w:val="20"/>
          <w:szCs w:val="20"/>
        </w:rPr>
        <w:t>CPP</w:t>
      </w:r>
      <w:proofErr w:type="spellEnd"/>
      <w:r w:rsidRPr="00021899">
        <w:rPr>
          <w:rFonts w:ascii="Arial" w:hAnsi="Arial" w:cs="Arial"/>
          <w:i/>
          <w:color w:val="auto"/>
          <w:sz w:val="20"/>
          <w:szCs w:val="20"/>
        </w:rPr>
        <w:t xml:space="preserve"> y no al artículo 317 ibídem, como</w:t>
      </w:r>
      <w:r w:rsidRPr="00021899">
        <w:rPr>
          <w:rFonts w:ascii="Arial" w:hAnsi="Arial" w:cs="Arial"/>
          <w:color w:val="auto"/>
          <w:sz w:val="20"/>
          <w:szCs w:val="20"/>
        </w:rPr>
        <w:t xml:space="preserve"> </w:t>
      </w:r>
      <w:r w:rsidRPr="00021899">
        <w:rPr>
          <w:rFonts w:ascii="Arial" w:hAnsi="Arial" w:cs="Arial"/>
          <w:i/>
          <w:color w:val="auto"/>
          <w:sz w:val="20"/>
          <w:szCs w:val="20"/>
        </w:rPr>
        <w:t>ocurrió en el presente caso.</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8.2.7 Por lo tanto, en razón de la falta de competencia del juez de conocimiento para decidir la mencionada solicitud y por la vulneración del debido proceso deducida del trámite equivocado que se le </w:t>
      </w:r>
      <w:proofErr w:type="spellStart"/>
      <w:r w:rsidRPr="00021899">
        <w:rPr>
          <w:rFonts w:ascii="Arial" w:hAnsi="Arial" w:cs="Arial"/>
          <w:i/>
          <w:color w:val="auto"/>
          <w:sz w:val="20"/>
          <w:szCs w:val="20"/>
        </w:rPr>
        <w:t>dió</w:t>
      </w:r>
      <w:proofErr w:type="spellEnd"/>
      <w:r w:rsidRPr="00021899">
        <w:rPr>
          <w:rFonts w:ascii="Arial" w:hAnsi="Arial" w:cs="Arial"/>
          <w:i/>
          <w:color w:val="auto"/>
          <w:sz w:val="20"/>
          <w:szCs w:val="20"/>
        </w:rPr>
        <w:t xml:space="preserve">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w:t>
      </w:r>
      <w:r w:rsidRPr="00021899">
        <w:rPr>
          <w:rFonts w:ascii="Arial" w:hAnsi="Arial" w:cs="Arial"/>
          <w:i/>
          <w:color w:val="auto"/>
          <w:sz w:val="20"/>
          <w:szCs w:val="20"/>
        </w:rPr>
        <w:lastRenderedPageBreak/>
        <w:t xml:space="preserve">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w:t>
      </w:r>
      <w:proofErr w:type="spellStart"/>
      <w:r w:rsidRPr="00021899">
        <w:rPr>
          <w:rFonts w:ascii="Arial" w:hAnsi="Arial" w:cs="Arial"/>
          <w:i/>
          <w:color w:val="auto"/>
          <w:sz w:val="20"/>
          <w:szCs w:val="20"/>
        </w:rPr>
        <w:t>CPP</w:t>
      </w:r>
      <w:proofErr w:type="spellEnd"/>
      <w:r w:rsidRPr="00021899">
        <w:rPr>
          <w:rFonts w:ascii="Arial" w:hAnsi="Arial" w:cs="Arial"/>
          <w:i/>
          <w:color w:val="auto"/>
          <w:sz w:val="20"/>
          <w:szCs w:val="20"/>
        </w:rPr>
        <w:t>, para efectos de fijar la medida sustitutiva que corresponda, teniendo en cuenta circunstancias tales como la garantía de la futura comparecencia del procesado en el momento</w:t>
      </w:r>
      <w:r w:rsidRPr="00021899">
        <w:rPr>
          <w:rFonts w:ascii="Arial" w:hAnsi="Arial" w:cs="Arial"/>
          <w:color w:val="auto"/>
          <w:sz w:val="20"/>
          <w:szCs w:val="20"/>
        </w:rPr>
        <w:t xml:space="preserve"> </w:t>
      </w:r>
      <w:r w:rsidRPr="00021899">
        <w:rPr>
          <w:rFonts w:ascii="Arial" w:hAnsi="Arial" w:cs="Arial"/>
          <w:i/>
          <w:color w:val="auto"/>
          <w:sz w:val="20"/>
          <w:szCs w:val="20"/>
        </w:rPr>
        <w:t xml:space="preserve">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w:t>
      </w:r>
      <w:proofErr w:type="spellStart"/>
      <w:r w:rsidRPr="00021899">
        <w:rPr>
          <w:rFonts w:ascii="Arial" w:hAnsi="Arial" w:cs="Arial"/>
          <w:i/>
          <w:color w:val="auto"/>
          <w:sz w:val="20"/>
          <w:szCs w:val="20"/>
        </w:rPr>
        <w:t>CPP</w:t>
      </w:r>
      <w:proofErr w:type="spellEnd"/>
      <w:r w:rsidRPr="00021899">
        <w:rPr>
          <w:rFonts w:ascii="Arial" w:hAnsi="Arial" w:cs="Arial"/>
          <w:i/>
          <w:color w:val="auto"/>
          <w:sz w:val="20"/>
          <w:szCs w:val="20"/>
        </w:rPr>
        <w:t xml:space="preserve">...”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8.2.9 En consecuencia, al quedar sin efectos la actuación que dio origen a la decisión del 21 de junio de 2017 del juez 1º penal del circuito de esta ciudad que le concedió “libertad provisional” (sic) al señor</w:t>
      </w:r>
      <w:r w:rsidR="00B76BE3" w:rsidRPr="00021899">
        <w:rPr>
          <w:rFonts w:ascii="Arial" w:hAnsi="Arial" w:cs="Arial"/>
          <w:i/>
          <w:color w:val="auto"/>
          <w:sz w:val="20"/>
          <w:szCs w:val="20"/>
        </w:rPr>
        <w:t xml:space="preserve"> Marlon </w:t>
      </w:r>
      <w:proofErr w:type="spellStart"/>
      <w:r w:rsidR="00B76BE3" w:rsidRPr="00021899">
        <w:rPr>
          <w:rFonts w:ascii="Arial" w:hAnsi="Arial" w:cs="Arial"/>
          <w:i/>
          <w:color w:val="auto"/>
          <w:sz w:val="20"/>
          <w:szCs w:val="20"/>
        </w:rPr>
        <w:t>Edut</w:t>
      </w:r>
      <w:proofErr w:type="spellEnd"/>
      <w:r w:rsidR="00B76BE3" w:rsidRPr="00021899">
        <w:rPr>
          <w:rFonts w:ascii="Arial" w:hAnsi="Arial" w:cs="Arial"/>
          <w:i/>
          <w:color w:val="auto"/>
          <w:sz w:val="20"/>
          <w:szCs w:val="20"/>
        </w:rPr>
        <w:t xml:space="preserve"> Rivera Castellanos</w:t>
      </w:r>
      <w:r w:rsidRPr="00021899">
        <w:rPr>
          <w:rFonts w:ascii="Arial" w:hAnsi="Arial" w:cs="Arial"/>
          <w:i/>
          <w:color w:val="auto"/>
          <w:sz w:val="20"/>
          <w:szCs w:val="20"/>
        </w:rPr>
        <w:t xml:space="preserve">, se entiende que se debe retrotraer la actuación al estadio procesal vigente para el 1 de julio de 2016, cuando el procesado se encontraba privado de su libertad, descontando la pena de 240 meses de prisión, que le fue impuesta por el juzgado de conocimiento, por violación de los artículos 103 y 165 del </w:t>
      </w:r>
      <w:proofErr w:type="spellStart"/>
      <w:r w:rsidRPr="00021899">
        <w:rPr>
          <w:rFonts w:ascii="Arial" w:hAnsi="Arial" w:cs="Arial"/>
          <w:i/>
          <w:color w:val="auto"/>
          <w:sz w:val="20"/>
          <w:szCs w:val="20"/>
        </w:rPr>
        <w:t>CP</w:t>
      </w:r>
      <w:proofErr w:type="spellEnd"/>
      <w:r w:rsidRPr="00021899">
        <w:rPr>
          <w:rFonts w:ascii="Arial" w:hAnsi="Arial" w:cs="Arial"/>
          <w:i/>
          <w:color w:val="auto"/>
          <w:sz w:val="20"/>
          <w:szCs w:val="20"/>
        </w:rPr>
        <w:t>, por lo cual se ordenará su recaptura...”</w:t>
      </w:r>
    </w:p>
    <w:p w:rsidR="00E97302" w:rsidRPr="00021899" w:rsidRDefault="00E97302" w:rsidP="00207F36">
      <w:pPr>
        <w:spacing w:line="360" w:lineRule="auto"/>
        <w:ind w:left="567" w:right="616"/>
        <w:jc w:val="both"/>
        <w:rPr>
          <w:rFonts w:ascii="Arial" w:hAnsi="Arial" w:cs="Arial"/>
          <w:color w:val="auto"/>
        </w:rPr>
      </w:pPr>
    </w:p>
    <w:p w:rsidR="00E97302" w:rsidRPr="00021899" w:rsidRDefault="0007692E" w:rsidP="00207F36">
      <w:pPr>
        <w:spacing w:line="360" w:lineRule="auto"/>
        <w:ind w:right="49"/>
        <w:jc w:val="both"/>
        <w:rPr>
          <w:rFonts w:ascii="Arial" w:hAnsi="Arial" w:cs="Arial"/>
          <w:color w:val="auto"/>
        </w:rPr>
      </w:pPr>
      <w:r w:rsidRPr="00021899">
        <w:rPr>
          <w:rFonts w:ascii="Arial" w:hAnsi="Arial" w:cs="Arial"/>
          <w:color w:val="auto"/>
        </w:rPr>
        <w:t>6</w:t>
      </w:r>
      <w:r w:rsidR="00E97302" w:rsidRPr="00021899">
        <w:rPr>
          <w:rFonts w:ascii="Arial" w:hAnsi="Arial" w:cs="Arial"/>
          <w:color w:val="auto"/>
        </w:rPr>
        <w:t>.</w:t>
      </w:r>
      <w:r w:rsidR="00EA32EE" w:rsidRPr="00021899">
        <w:rPr>
          <w:rFonts w:ascii="Arial" w:hAnsi="Arial" w:cs="Arial"/>
          <w:color w:val="auto"/>
        </w:rPr>
        <w:t xml:space="preserve">3.4 </w:t>
      </w:r>
      <w:r w:rsidR="00E97302" w:rsidRPr="00021899">
        <w:rPr>
          <w:rFonts w:ascii="Arial" w:hAnsi="Arial" w:cs="Arial"/>
          <w:color w:val="auto"/>
        </w:rPr>
        <w:t xml:space="preserve">Sin embargo al momento de tomar esta decisión la Sala tiene conocimiento de lo dispuesto en CSJ </w:t>
      </w:r>
      <w:proofErr w:type="spellStart"/>
      <w:r w:rsidR="00E97302" w:rsidRPr="00021899">
        <w:rPr>
          <w:rFonts w:ascii="Arial" w:hAnsi="Arial" w:cs="Arial"/>
          <w:color w:val="auto"/>
        </w:rPr>
        <w:t>SP</w:t>
      </w:r>
      <w:proofErr w:type="spellEnd"/>
      <w:r w:rsidR="00E97302" w:rsidRPr="00021899">
        <w:rPr>
          <w:rFonts w:ascii="Arial" w:hAnsi="Arial" w:cs="Arial"/>
          <w:color w:val="auto"/>
        </w:rPr>
        <w:t xml:space="preserve"> del 9 de agosto de 2017, AP5052-2017, radicado 50861, donde se</w:t>
      </w:r>
      <w:r w:rsidR="00021899">
        <w:rPr>
          <w:rFonts w:ascii="Arial" w:hAnsi="Arial" w:cs="Arial"/>
          <w:color w:val="auto"/>
        </w:rPr>
        <w:t xml:space="preserve"> argumentó</w:t>
      </w:r>
      <w:r w:rsidR="00E97302" w:rsidRPr="00021899">
        <w:rPr>
          <w:rFonts w:ascii="Arial" w:hAnsi="Arial" w:cs="Arial"/>
          <w:color w:val="auto"/>
        </w:rPr>
        <w:t>:</w:t>
      </w:r>
    </w:p>
    <w:p w:rsidR="00E97302" w:rsidRPr="00021899" w:rsidRDefault="00E97302" w:rsidP="00207F36">
      <w:pPr>
        <w:spacing w:line="360" w:lineRule="auto"/>
        <w:ind w:left="567" w:right="616"/>
        <w:jc w:val="both"/>
        <w:rPr>
          <w:rFonts w:ascii="Arial" w:hAnsi="Arial" w:cs="Arial"/>
          <w:color w:val="auto"/>
          <w:sz w:val="20"/>
          <w:szCs w:val="20"/>
        </w:rPr>
      </w:pPr>
      <w:r w:rsidRPr="00021899">
        <w:rPr>
          <w:rFonts w:ascii="Arial" w:hAnsi="Arial" w:cs="Arial"/>
          <w:color w:val="auto"/>
          <w:sz w:val="20"/>
          <w:szCs w:val="20"/>
        </w:rPr>
        <w:t xml:space="preserve">“(...) </w:t>
      </w:r>
    </w:p>
    <w:p w:rsidR="00021899" w:rsidRPr="00021899" w:rsidRDefault="00021899" w:rsidP="00207F36">
      <w:pPr>
        <w:spacing w:line="360" w:lineRule="auto"/>
        <w:ind w:left="567" w:right="616"/>
        <w:jc w:val="both"/>
        <w:rPr>
          <w:rFonts w:ascii="Arial" w:hAnsi="Arial" w:cs="Arial"/>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 Sin embargo, el problema jurídico que debe resolver la Corte precisa definir a qué funcionario le compete pronunciarse sobre dicha solicitud cuando ya se ha anunciado el sentido del fallo o dado lectura a la sentencia que resuelve sobre la responsabilidad del procesado. </w:t>
      </w:r>
    </w:p>
    <w:p w:rsidR="00E97302" w:rsidRPr="00021899" w:rsidRDefault="00E97302" w:rsidP="00207F36">
      <w:pPr>
        <w:spacing w:line="360" w:lineRule="auto"/>
        <w:ind w:right="616" w:firstLine="567"/>
        <w:jc w:val="both"/>
        <w:rPr>
          <w:rFonts w:ascii="Arial" w:hAnsi="Arial" w:cs="Arial"/>
          <w:i/>
          <w:color w:val="auto"/>
          <w:sz w:val="20"/>
          <w:szCs w:val="20"/>
        </w:rPr>
      </w:pPr>
    </w:p>
    <w:p w:rsidR="00E97302" w:rsidRPr="00021899" w:rsidRDefault="00E97302" w:rsidP="00207F36">
      <w:pPr>
        <w:spacing w:line="360" w:lineRule="auto"/>
        <w:ind w:right="616" w:firstLine="567"/>
        <w:jc w:val="both"/>
        <w:rPr>
          <w:rFonts w:ascii="Arial" w:hAnsi="Arial" w:cs="Arial"/>
          <w:i/>
          <w:color w:val="auto"/>
          <w:sz w:val="20"/>
          <w:szCs w:val="20"/>
        </w:rPr>
      </w:pPr>
      <w:r w:rsidRPr="00021899">
        <w:rPr>
          <w:rFonts w:ascii="Arial" w:hAnsi="Arial" w:cs="Arial"/>
          <w:i/>
          <w:color w:val="auto"/>
          <w:sz w:val="20"/>
          <w:szCs w:val="20"/>
        </w:rPr>
        <w:t xml:space="preserve">(...) </w:t>
      </w:r>
    </w:p>
    <w:p w:rsidR="00E97302" w:rsidRPr="00021899" w:rsidRDefault="00E97302" w:rsidP="00207F36">
      <w:pPr>
        <w:spacing w:line="360" w:lineRule="auto"/>
        <w:ind w:right="616" w:firstLine="567"/>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lang w:eastAsia="es-CO"/>
        </w:rPr>
        <w:t xml:space="preserve">“Ahora bien, esta Corporación en la decisión CSJ AP4711-2017, rad. 49734, del 24 de julio de 2017, luego de estudiar y analizar la providencia emitida por la Corte Constitucional, concluyó, en lo que ahora es motivo de interés, que </w:t>
      </w:r>
      <w:r w:rsidRPr="00021899">
        <w:rPr>
          <w:rFonts w:ascii="Arial" w:hAnsi="Arial" w:cs="Arial"/>
          <w:i/>
          <w:color w:val="auto"/>
          <w:sz w:val="20"/>
          <w:szCs w:val="20"/>
        </w:rPr>
        <w:t xml:space="preserve">la medida cautelar personal tiene vigencia hasta el anuncio del sentido del fallo condenatorio o hasta la lectura de la sentencia, por lo que, de negarse cualquier beneficio liberatorio en la sentencia de condena, la restricción de la libertad del procesado ya no será en virtud de la medida de aseguramiento, sino fundada en el fallo que declara su responsabilidad penal, razón por la cual el plazo máximo de vigencia de la medida de aseguramiento </w:t>
      </w:r>
      <w:r w:rsidRPr="00021899">
        <w:rPr>
          <w:rFonts w:ascii="Arial" w:hAnsi="Arial" w:cs="Arial"/>
          <w:i/>
          <w:color w:val="auto"/>
          <w:sz w:val="20"/>
          <w:szCs w:val="20"/>
        </w:rPr>
        <w:lastRenderedPageBreak/>
        <w:t>previsto en el inciso 1º de la Ley 1786 de 2016, se deberá contabilizar desde el momento en que se impone la medida cautelar personal sin que se haya realizado la audiencia de lectura de fallo de primera instancia. Estos fueron los argumentos de la Sala:</w:t>
      </w:r>
    </w:p>
    <w:p w:rsidR="00E97302" w:rsidRPr="00021899" w:rsidRDefault="00E97302" w:rsidP="00207F36">
      <w:pPr>
        <w:tabs>
          <w:tab w:val="left" w:pos="8222"/>
        </w:tabs>
        <w:spacing w:line="360" w:lineRule="auto"/>
        <w:ind w:left="567" w:right="616" w:firstLine="567"/>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Sobre el particular, en el CSJ AP 6 abr. 2006, rad. 24.110 textualmente expuso la Corte: </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t>(…)</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t>De ello se infiere que la medida de aseguramiento únicamente surte efectos jurídicos hasta el momento en que se profiera la sentencia, con independencia de su ejecutoria,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t xml:space="preserve">A ese respecto, se lee en la referida decisión: </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t>(…)</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t xml:space="preserve">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w:t>
      </w:r>
      <w:proofErr w:type="spellStart"/>
      <w:r w:rsidRPr="00021899">
        <w:rPr>
          <w:rFonts w:ascii="Arial" w:hAnsi="Arial" w:cs="Arial"/>
          <w:b w:val="0"/>
          <w:i/>
          <w:sz w:val="20"/>
        </w:rPr>
        <w:t>proferimiento</w:t>
      </w:r>
      <w:proofErr w:type="spellEnd"/>
      <w:r w:rsidRPr="00021899">
        <w:rPr>
          <w:rFonts w:ascii="Arial" w:hAnsi="Arial" w:cs="Arial"/>
          <w:b w:val="0"/>
          <w:i/>
          <w:sz w:val="20"/>
        </w:rPr>
        <w:t xml:space="preserve"> de aquél.</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lastRenderedPageBreak/>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E97302" w:rsidRPr="00021899" w:rsidRDefault="00E97302" w:rsidP="00207F36">
      <w:pPr>
        <w:pStyle w:val="Puesto"/>
        <w:spacing w:line="360" w:lineRule="auto"/>
        <w:ind w:left="567" w:right="616"/>
        <w:jc w:val="both"/>
        <w:rPr>
          <w:rFonts w:ascii="Arial" w:hAnsi="Arial" w:cs="Arial"/>
          <w:b w:val="0"/>
          <w:i/>
          <w:sz w:val="20"/>
        </w:rPr>
      </w:pPr>
    </w:p>
    <w:p w:rsidR="00E97302" w:rsidRPr="00021899" w:rsidRDefault="00E97302" w:rsidP="00207F36">
      <w:pPr>
        <w:pStyle w:val="Puesto"/>
        <w:spacing w:line="360" w:lineRule="auto"/>
        <w:ind w:left="567" w:right="616"/>
        <w:jc w:val="both"/>
        <w:rPr>
          <w:rFonts w:ascii="Arial" w:hAnsi="Arial" w:cs="Arial"/>
          <w:b w:val="0"/>
          <w:i/>
          <w:sz w:val="20"/>
        </w:rPr>
      </w:pPr>
      <w:r w:rsidRPr="00021899">
        <w:rPr>
          <w:rFonts w:ascii="Arial" w:hAnsi="Arial" w:cs="Arial"/>
          <w:b w:val="0"/>
          <w:i/>
          <w:sz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la misma se rige por lo decidido en la sentencia cuando ella se ha proferido y no por la existencia de la medida de aseguramiento. </w:t>
      </w:r>
    </w:p>
    <w:p w:rsidR="00E97302" w:rsidRPr="00021899" w:rsidRDefault="00E97302" w:rsidP="00207F36">
      <w:pPr>
        <w:spacing w:line="360" w:lineRule="auto"/>
        <w:ind w:left="567" w:right="616"/>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0059CF" w:rsidRDefault="000059CF" w:rsidP="00207F36">
      <w:pPr>
        <w:spacing w:line="360" w:lineRule="auto"/>
        <w:ind w:left="567" w:right="616"/>
        <w:jc w:val="both"/>
        <w:rPr>
          <w:rFonts w:ascii="Arial" w:hAnsi="Arial" w:cs="Arial"/>
          <w:i/>
          <w:color w:val="auto"/>
          <w:sz w:val="20"/>
          <w:szCs w:val="20"/>
          <w:lang w:eastAsia="es-CO"/>
        </w:rPr>
      </w:pPr>
    </w:p>
    <w:p w:rsidR="00E97302" w:rsidRPr="00021899" w:rsidRDefault="00E97302" w:rsidP="00207F36">
      <w:pPr>
        <w:spacing w:line="360" w:lineRule="auto"/>
        <w:ind w:left="567" w:right="616"/>
        <w:jc w:val="both"/>
        <w:rPr>
          <w:rFonts w:ascii="Arial" w:hAnsi="Arial" w:cs="Arial"/>
          <w:i/>
          <w:color w:val="auto"/>
          <w:sz w:val="20"/>
          <w:szCs w:val="20"/>
          <w:lang w:eastAsia="es-CO"/>
        </w:rPr>
      </w:pPr>
      <w:r w:rsidRPr="00021899">
        <w:rPr>
          <w:rFonts w:ascii="Arial" w:hAnsi="Arial" w:cs="Arial"/>
          <w:i/>
          <w:color w:val="auto"/>
          <w:sz w:val="20"/>
          <w:szCs w:val="20"/>
          <w:lang w:eastAsia="es-CO"/>
        </w:rPr>
        <w:t>(…)</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w:t>
      </w:r>
      <w:proofErr w:type="spellStart"/>
      <w:r w:rsidRPr="00021899">
        <w:rPr>
          <w:rFonts w:ascii="Arial" w:hAnsi="Arial" w:cs="Arial"/>
          <w:i/>
          <w:color w:val="auto"/>
          <w:sz w:val="20"/>
          <w:szCs w:val="20"/>
        </w:rPr>
        <w:t>proferimiento</w:t>
      </w:r>
      <w:proofErr w:type="spellEnd"/>
      <w:r w:rsidRPr="00021899">
        <w:rPr>
          <w:rFonts w:ascii="Arial" w:hAnsi="Arial" w:cs="Arial"/>
          <w:i/>
          <w:color w:val="auto"/>
          <w:sz w:val="20"/>
          <w:szCs w:val="20"/>
        </w:rPr>
        <w:t xml:space="preserve"> de la sentencia, pues por mandato del art. 162-5 ídem, así como de los arts. 34 y ss. </w:t>
      </w:r>
      <w:proofErr w:type="gramStart"/>
      <w:r w:rsidRPr="00021899">
        <w:rPr>
          <w:rFonts w:ascii="Arial" w:hAnsi="Arial" w:cs="Arial"/>
          <w:i/>
          <w:color w:val="auto"/>
          <w:sz w:val="20"/>
          <w:szCs w:val="20"/>
        </w:rPr>
        <w:t>del</w:t>
      </w:r>
      <w:proofErr w:type="gramEnd"/>
      <w:r w:rsidRPr="00021899">
        <w:rPr>
          <w:rFonts w:ascii="Arial" w:hAnsi="Arial" w:cs="Arial"/>
          <w:i/>
          <w:color w:val="auto"/>
          <w:sz w:val="20"/>
          <w:szCs w:val="20"/>
        </w:rPr>
        <w:t xml:space="preserve"> C.P., el juzgador deberá imponer las penas principales, sustitutivas y accesorias. Además, según se desprende de lo estipulado en los arts. 63 y </w:t>
      </w:r>
      <w:smartTag w:uri="urn:schemas-microsoft-com:office:smarttags" w:element="metricconverter">
        <w:smartTagPr>
          <w:attr w:name="ProductID" w:val="68 A"/>
        </w:smartTagPr>
        <w:r w:rsidRPr="00021899">
          <w:rPr>
            <w:rFonts w:ascii="Arial" w:hAnsi="Arial" w:cs="Arial"/>
            <w:i/>
            <w:color w:val="auto"/>
            <w:sz w:val="20"/>
            <w:szCs w:val="20"/>
          </w:rPr>
          <w:t>68 A</w:t>
        </w:r>
      </w:smartTag>
      <w:r w:rsidRPr="00021899">
        <w:rPr>
          <w:rFonts w:ascii="Arial" w:hAnsi="Arial" w:cs="Arial"/>
          <w:i/>
          <w:color w:val="auto"/>
          <w:sz w:val="20"/>
          <w:szCs w:val="20"/>
        </w:rPr>
        <w:t xml:space="preserve"> del C.P., también se debe pronunciar acerca de libertad del implicado, en referencia a la suspensión de la ejecución de la pena de prisión y la prisión domiciliaria.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En esa dirección, si se llegare a conceder la suspensión condicional de la ejecución de la pena, cesan en ese instante los efectos de la medida de aseguramiento de detención </w:t>
      </w:r>
      <w:r w:rsidRPr="00021899">
        <w:rPr>
          <w:rFonts w:ascii="Arial" w:hAnsi="Arial" w:cs="Arial"/>
          <w:i/>
          <w:color w:val="auto"/>
          <w:sz w:val="20"/>
          <w:szCs w:val="20"/>
        </w:rPr>
        <w:lastRenderedPageBreak/>
        <w:t>preventiva, pero si por el contrario se negare, la privación de la libertad, en adelante, se fundamentará en la denegación del beneficio, decretada en la sentencia condenatoria.</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De igual manera, al aplicar el art. </w:t>
      </w:r>
      <w:smartTag w:uri="urn:schemas-microsoft-com:office:smarttags" w:element="metricconverter">
        <w:smartTagPr>
          <w:attr w:name="ProductID" w:val="68 A"/>
        </w:smartTagPr>
        <w:r w:rsidRPr="00021899">
          <w:rPr>
            <w:rFonts w:ascii="Arial" w:hAnsi="Arial" w:cs="Arial"/>
            <w:i/>
            <w:color w:val="auto"/>
            <w:sz w:val="20"/>
            <w:szCs w:val="20"/>
          </w:rPr>
          <w:t>68 A</w:t>
        </w:r>
      </w:smartTag>
      <w:r w:rsidRPr="00021899">
        <w:rPr>
          <w:rFonts w:ascii="Arial" w:hAnsi="Arial" w:cs="Arial"/>
          <w:i/>
          <w:color w:val="auto"/>
          <w:sz w:val="20"/>
          <w:szCs w:val="20"/>
        </w:rPr>
        <w:t xml:space="preserve">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u w:val="single"/>
        </w:rPr>
      </w:pPr>
      <w:r w:rsidRPr="00021899">
        <w:rPr>
          <w:rFonts w:ascii="Arial" w:hAnsi="Arial" w:cs="Arial"/>
          <w:i/>
          <w:color w:val="auto"/>
          <w:sz w:val="20"/>
          <w:szCs w:val="20"/>
          <w:u w:val="single"/>
        </w:rPr>
        <w:t>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w:t>
      </w:r>
      <w:r w:rsidRPr="00021899">
        <w:rPr>
          <w:rFonts w:ascii="Arial" w:hAnsi="Arial" w:cs="Arial"/>
          <w:i/>
          <w:color w:val="auto"/>
          <w:sz w:val="20"/>
          <w:szCs w:val="20"/>
        </w:rPr>
        <w:t xml:space="preserve"> </w:t>
      </w:r>
      <w:r w:rsidRPr="00021899">
        <w:rPr>
          <w:rFonts w:ascii="Arial" w:hAnsi="Arial" w:cs="Arial"/>
          <w:i/>
          <w:color w:val="auto"/>
          <w:sz w:val="20"/>
          <w:szCs w:val="20"/>
          <w:u w:val="single"/>
        </w:rPr>
        <w:t>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w:t>
      </w:r>
    </w:p>
    <w:p w:rsidR="00E97302" w:rsidRPr="00021899" w:rsidRDefault="00E97302" w:rsidP="00207F36">
      <w:pPr>
        <w:spacing w:line="360" w:lineRule="auto"/>
        <w:ind w:left="567" w:right="616"/>
        <w:jc w:val="both"/>
        <w:rPr>
          <w:rFonts w:ascii="Arial" w:hAnsi="Arial" w:cs="Arial"/>
          <w:i/>
          <w:color w:val="auto"/>
          <w:sz w:val="20"/>
          <w:szCs w:val="20"/>
          <w:u w:val="single"/>
        </w:rPr>
      </w:pPr>
    </w:p>
    <w:p w:rsidR="00E97302" w:rsidRPr="00021899" w:rsidRDefault="00E97302" w:rsidP="00207F36">
      <w:pPr>
        <w:spacing w:line="360" w:lineRule="auto"/>
        <w:ind w:left="567" w:right="616"/>
        <w:jc w:val="both"/>
        <w:rPr>
          <w:rFonts w:ascii="Arial" w:hAnsi="Arial" w:cs="Arial"/>
          <w:i/>
          <w:color w:val="auto"/>
          <w:sz w:val="20"/>
          <w:szCs w:val="20"/>
          <w:u w:val="single"/>
        </w:rPr>
      </w:pPr>
      <w:r w:rsidRPr="00021899">
        <w:rPr>
          <w:rFonts w:ascii="Arial" w:hAnsi="Arial" w:cs="Arial"/>
          <w:i/>
          <w:color w:val="auto"/>
          <w:sz w:val="20"/>
          <w:szCs w:val="20"/>
          <w:u w:val="single"/>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u w:val="single"/>
        </w:rPr>
      </w:pPr>
      <w:r w:rsidRPr="00021899">
        <w:rPr>
          <w:rFonts w:ascii="Arial" w:hAnsi="Arial" w:cs="Arial"/>
          <w:i/>
          <w:color w:val="auto"/>
          <w:sz w:val="20"/>
          <w:szCs w:val="20"/>
          <w:u w:val="single"/>
        </w:rPr>
        <w:t xml:space="preserve">La Corte Constitucional juzgó la </w:t>
      </w:r>
      <w:proofErr w:type="spellStart"/>
      <w:r w:rsidRPr="00021899">
        <w:rPr>
          <w:rFonts w:ascii="Arial" w:hAnsi="Arial" w:cs="Arial"/>
          <w:i/>
          <w:color w:val="auto"/>
          <w:sz w:val="20"/>
          <w:szCs w:val="20"/>
          <w:u w:val="single"/>
        </w:rPr>
        <w:t>exequibilidad</w:t>
      </w:r>
      <w:proofErr w:type="spellEnd"/>
      <w:r w:rsidRPr="00021899">
        <w:rPr>
          <w:rFonts w:ascii="Arial" w:hAnsi="Arial" w:cs="Arial"/>
          <w:i/>
          <w:color w:val="auto"/>
          <w:sz w:val="20"/>
          <w:szCs w:val="20"/>
          <w:u w:val="single"/>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w:t>
      </w:r>
      <w:r w:rsidRPr="00021899">
        <w:rPr>
          <w:rFonts w:ascii="Arial" w:hAnsi="Arial" w:cs="Arial"/>
          <w:i/>
          <w:color w:val="auto"/>
          <w:sz w:val="20"/>
          <w:szCs w:val="20"/>
          <w:u w:val="single"/>
        </w:rPr>
        <w:lastRenderedPageBreak/>
        <w:t>jurisprudencia penal especializada con la norma en mención, pone de presente que la referida medida de</w:t>
      </w:r>
      <w:r w:rsidRPr="00021899">
        <w:rPr>
          <w:rFonts w:ascii="Arial" w:hAnsi="Arial" w:cs="Arial"/>
          <w:i/>
          <w:color w:val="auto"/>
          <w:sz w:val="20"/>
          <w:szCs w:val="20"/>
        </w:rPr>
        <w:t xml:space="preserve"> </w:t>
      </w:r>
      <w:r w:rsidRPr="00021899">
        <w:rPr>
          <w:rFonts w:ascii="Arial" w:hAnsi="Arial" w:cs="Arial"/>
          <w:i/>
          <w:color w:val="auto"/>
          <w:sz w:val="20"/>
          <w:szCs w:val="20"/>
          <w:u w:val="single"/>
        </w:rPr>
        <w:t>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w:t>
      </w:r>
      <w:r w:rsidRPr="00021899">
        <w:rPr>
          <w:rFonts w:ascii="Arial" w:hAnsi="Arial" w:cs="Arial"/>
          <w:i/>
          <w:color w:val="auto"/>
          <w:sz w:val="20"/>
          <w:szCs w:val="20"/>
        </w:rPr>
        <w:t xml:space="preserve"> </w:t>
      </w:r>
      <w:r w:rsidRPr="00021899">
        <w:rPr>
          <w:rFonts w:ascii="Arial" w:hAnsi="Arial" w:cs="Arial"/>
          <w:i/>
          <w:color w:val="auto"/>
          <w:sz w:val="20"/>
          <w:szCs w:val="20"/>
          <w:u w:val="single"/>
        </w:rPr>
        <w:t xml:space="preserve">instancia, hay lugar a la libertad del detenido». </w:t>
      </w:r>
    </w:p>
    <w:p w:rsidR="00E97302" w:rsidRPr="00021899" w:rsidRDefault="00E97302" w:rsidP="00207F36">
      <w:pPr>
        <w:spacing w:line="360" w:lineRule="auto"/>
        <w:ind w:left="567" w:right="616"/>
        <w:jc w:val="both"/>
        <w:rPr>
          <w:rFonts w:ascii="Arial" w:hAnsi="Arial" w:cs="Arial"/>
          <w:i/>
          <w:color w:val="auto"/>
          <w:sz w:val="20"/>
          <w:szCs w:val="20"/>
          <w:u w:val="single"/>
        </w:rPr>
      </w:pPr>
    </w:p>
    <w:p w:rsidR="00E97302" w:rsidRPr="00021899" w:rsidRDefault="00E97302" w:rsidP="00207F36">
      <w:pPr>
        <w:spacing w:line="360" w:lineRule="auto"/>
        <w:ind w:left="567" w:right="616"/>
        <w:jc w:val="both"/>
        <w:rPr>
          <w:rFonts w:ascii="Arial" w:hAnsi="Arial" w:cs="Arial"/>
          <w:i/>
          <w:color w:val="auto"/>
          <w:sz w:val="20"/>
          <w:szCs w:val="20"/>
          <w:u w:val="single"/>
        </w:rPr>
      </w:pPr>
      <w:r w:rsidRPr="00021899">
        <w:rPr>
          <w:rFonts w:ascii="Arial" w:eastAsia="BatangChe" w:hAnsi="Arial" w:cs="Arial"/>
          <w:i/>
          <w:color w:val="auto"/>
          <w:sz w:val="20"/>
          <w:szCs w:val="20"/>
        </w:rPr>
        <w:t xml:space="preserve">El anterior análisis normativo y jurisprudencial  permite concluir lo siguiente: </w:t>
      </w:r>
    </w:p>
    <w:p w:rsidR="00E97302" w:rsidRPr="00021899" w:rsidRDefault="00E97302" w:rsidP="00207F36">
      <w:pPr>
        <w:spacing w:line="360" w:lineRule="auto"/>
        <w:ind w:left="567" w:right="616" w:firstLine="567"/>
        <w:jc w:val="both"/>
        <w:rPr>
          <w:rFonts w:ascii="Arial" w:eastAsia="BatangChe" w:hAnsi="Arial" w:cs="Arial"/>
          <w:i/>
          <w:color w:val="auto"/>
          <w:sz w:val="20"/>
          <w:szCs w:val="20"/>
        </w:rPr>
      </w:pPr>
    </w:p>
    <w:p w:rsidR="00E97302" w:rsidRPr="00021899" w:rsidRDefault="00E97302" w:rsidP="008F5454">
      <w:pPr>
        <w:pStyle w:val="Prrafodelista"/>
        <w:widowControl/>
        <w:numPr>
          <w:ilvl w:val="0"/>
          <w:numId w:val="2"/>
        </w:numPr>
        <w:tabs>
          <w:tab w:val="left" w:pos="851"/>
        </w:tabs>
        <w:spacing w:line="360" w:lineRule="auto"/>
        <w:ind w:left="567" w:right="616" w:firstLine="0"/>
        <w:jc w:val="both"/>
        <w:rPr>
          <w:rFonts w:ascii="Arial" w:eastAsia="BatangChe" w:hAnsi="Arial" w:cs="Arial"/>
          <w:i/>
          <w:color w:val="auto"/>
          <w:sz w:val="20"/>
          <w:szCs w:val="20"/>
        </w:rPr>
      </w:pPr>
      <w:r w:rsidRPr="00021899">
        <w:rPr>
          <w:rFonts w:ascii="Arial" w:eastAsia="BatangChe" w:hAnsi="Arial" w:cs="Arial"/>
          <w:i/>
          <w:color w:val="auto"/>
          <w:sz w:val="20"/>
          <w:szCs w:val="20"/>
        </w:rPr>
        <w:t xml:space="preserve">El Juez con Funciones de Control de Garantías es competente, de conformidad con lo establecido en el numeral 4º del artículo 154 y 317 de la Ley 906 de 2004 para resolver la solicitud de prórroga de la medida de aseguramiento. </w:t>
      </w:r>
    </w:p>
    <w:p w:rsidR="00E97302" w:rsidRPr="00021899" w:rsidRDefault="00E97302" w:rsidP="00207F36">
      <w:pPr>
        <w:pStyle w:val="Prrafodelista"/>
        <w:tabs>
          <w:tab w:val="left" w:pos="993"/>
        </w:tabs>
        <w:spacing w:line="360" w:lineRule="auto"/>
        <w:ind w:left="567" w:right="616"/>
        <w:jc w:val="both"/>
        <w:rPr>
          <w:rFonts w:ascii="Arial" w:eastAsia="BatangChe" w:hAnsi="Arial" w:cs="Arial"/>
          <w:i/>
          <w:color w:val="auto"/>
          <w:sz w:val="20"/>
          <w:szCs w:val="20"/>
        </w:rPr>
      </w:pPr>
    </w:p>
    <w:p w:rsidR="00E97302" w:rsidRPr="00021899" w:rsidRDefault="00E97302" w:rsidP="008F5454">
      <w:pPr>
        <w:pStyle w:val="Prrafodelista"/>
        <w:widowControl/>
        <w:numPr>
          <w:ilvl w:val="0"/>
          <w:numId w:val="2"/>
        </w:numPr>
        <w:tabs>
          <w:tab w:val="left" w:pos="993"/>
        </w:tabs>
        <w:spacing w:line="360" w:lineRule="auto"/>
        <w:ind w:left="567" w:right="616" w:firstLine="0"/>
        <w:jc w:val="both"/>
        <w:rPr>
          <w:rFonts w:ascii="Arial" w:eastAsia="BatangChe" w:hAnsi="Arial" w:cs="Arial"/>
          <w:i/>
          <w:color w:val="auto"/>
          <w:sz w:val="20"/>
          <w:szCs w:val="20"/>
        </w:rPr>
      </w:pPr>
      <w:r w:rsidRPr="00021899">
        <w:rPr>
          <w:rFonts w:ascii="Arial" w:eastAsia="BatangChe" w:hAnsi="Arial" w:cs="Arial"/>
          <w:i/>
          <w:color w:val="auto"/>
          <w:sz w:val="20"/>
          <w:szCs w:val="20"/>
        </w:rPr>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E97302" w:rsidRPr="00021899" w:rsidRDefault="00E97302" w:rsidP="00207F36">
      <w:pPr>
        <w:pStyle w:val="Prrafodelista"/>
        <w:spacing w:line="360" w:lineRule="auto"/>
        <w:ind w:left="567" w:right="616"/>
        <w:rPr>
          <w:rFonts w:ascii="Arial" w:eastAsia="BatangChe" w:hAnsi="Arial" w:cs="Arial"/>
          <w:i/>
          <w:color w:val="auto"/>
          <w:sz w:val="20"/>
          <w:szCs w:val="20"/>
        </w:rPr>
      </w:pPr>
    </w:p>
    <w:p w:rsidR="00E97302" w:rsidRPr="00021899" w:rsidRDefault="00E97302" w:rsidP="008F5454">
      <w:pPr>
        <w:pStyle w:val="Prrafodelista"/>
        <w:widowControl/>
        <w:numPr>
          <w:ilvl w:val="0"/>
          <w:numId w:val="2"/>
        </w:numPr>
        <w:tabs>
          <w:tab w:val="left" w:pos="1134"/>
        </w:tabs>
        <w:spacing w:line="360" w:lineRule="auto"/>
        <w:ind w:left="567" w:right="616" w:firstLine="0"/>
        <w:jc w:val="both"/>
        <w:rPr>
          <w:rFonts w:ascii="Arial" w:eastAsia="BatangChe" w:hAnsi="Arial" w:cs="Arial"/>
          <w:i/>
          <w:color w:val="auto"/>
          <w:sz w:val="20"/>
          <w:szCs w:val="20"/>
        </w:rPr>
      </w:pPr>
      <w:r w:rsidRPr="00021899">
        <w:rPr>
          <w:rFonts w:ascii="Arial" w:eastAsia="BatangChe" w:hAnsi="Arial" w:cs="Arial"/>
          <w:i/>
          <w:color w:val="auto"/>
          <w:sz w:val="20"/>
          <w:szCs w:val="20"/>
        </w:rPr>
        <w:t xml:space="preserve">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 </w:t>
      </w:r>
    </w:p>
    <w:p w:rsidR="00E97302" w:rsidRPr="00021899" w:rsidRDefault="00E97302" w:rsidP="00207F36">
      <w:pPr>
        <w:pStyle w:val="Prrafodelista"/>
        <w:spacing w:line="360" w:lineRule="auto"/>
        <w:ind w:left="567" w:right="616"/>
        <w:rPr>
          <w:rFonts w:ascii="Arial" w:eastAsia="BatangChe" w:hAnsi="Arial" w:cs="Arial"/>
          <w:i/>
          <w:color w:val="auto"/>
          <w:sz w:val="20"/>
          <w:szCs w:val="20"/>
        </w:rPr>
      </w:pPr>
    </w:p>
    <w:p w:rsidR="00E97302" w:rsidRPr="00021899" w:rsidRDefault="00E97302" w:rsidP="008F5454">
      <w:pPr>
        <w:pStyle w:val="Prrafodelista"/>
        <w:widowControl/>
        <w:numPr>
          <w:ilvl w:val="0"/>
          <w:numId w:val="2"/>
        </w:numPr>
        <w:tabs>
          <w:tab w:val="left" w:pos="1134"/>
        </w:tabs>
        <w:spacing w:line="360" w:lineRule="auto"/>
        <w:ind w:left="567" w:right="616" w:firstLine="0"/>
        <w:jc w:val="both"/>
        <w:rPr>
          <w:rFonts w:ascii="Arial" w:eastAsia="BatangChe" w:hAnsi="Arial" w:cs="Arial"/>
          <w:i/>
          <w:color w:val="auto"/>
          <w:sz w:val="20"/>
          <w:szCs w:val="20"/>
        </w:rPr>
      </w:pPr>
      <w:r w:rsidRPr="00021899">
        <w:rPr>
          <w:rFonts w:ascii="Arial" w:eastAsia="BatangChe" w:hAnsi="Arial" w:cs="Arial"/>
          <w:i/>
          <w:color w:val="auto"/>
          <w:sz w:val="20"/>
          <w:szCs w:val="20"/>
        </w:rPr>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E97302" w:rsidRPr="00021899" w:rsidRDefault="00E97302" w:rsidP="00207F36">
      <w:pPr>
        <w:pStyle w:val="Prrafodelista"/>
        <w:spacing w:line="360" w:lineRule="auto"/>
        <w:ind w:left="567" w:right="616"/>
        <w:rPr>
          <w:rFonts w:ascii="Arial" w:eastAsia="BatangChe" w:hAnsi="Arial" w:cs="Arial"/>
          <w:i/>
          <w:color w:val="auto"/>
          <w:sz w:val="20"/>
          <w:szCs w:val="20"/>
        </w:rPr>
      </w:pPr>
    </w:p>
    <w:p w:rsidR="00E97302" w:rsidRPr="00021899" w:rsidRDefault="00E97302" w:rsidP="008F5454">
      <w:pPr>
        <w:pStyle w:val="Prrafodelista"/>
        <w:widowControl/>
        <w:numPr>
          <w:ilvl w:val="0"/>
          <w:numId w:val="2"/>
        </w:numPr>
        <w:tabs>
          <w:tab w:val="left" w:pos="993"/>
        </w:tabs>
        <w:spacing w:line="360" w:lineRule="auto"/>
        <w:ind w:left="567" w:right="616" w:firstLine="0"/>
        <w:jc w:val="both"/>
        <w:rPr>
          <w:rFonts w:ascii="Arial" w:hAnsi="Arial" w:cs="Arial"/>
          <w:i/>
          <w:color w:val="auto"/>
          <w:sz w:val="20"/>
          <w:szCs w:val="20"/>
          <w:u w:val="single"/>
        </w:rPr>
      </w:pPr>
      <w:r w:rsidRPr="00021899">
        <w:rPr>
          <w:rFonts w:ascii="Arial" w:hAnsi="Arial" w:cs="Arial"/>
          <w:i/>
          <w:color w:val="auto"/>
          <w:sz w:val="20"/>
          <w:szCs w:val="20"/>
          <w:u w:val="single"/>
        </w:rPr>
        <w:t>En consecuencia, una vez pierde eficacia la medida de aseguramiento, el Juez con Funciones de Control de Garantías pierde competencia para pronunciarse acerca del derecho fundamental a la libertad y su restricción.</w:t>
      </w:r>
    </w:p>
    <w:p w:rsidR="00E97302" w:rsidRPr="00021899" w:rsidRDefault="00E97302" w:rsidP="00207F36">
      <w:pPr>
        <w:spacing w:line="360" w:lineRule="auto"/>
        <w:ind w:right="616"/>
        <w:jc w:val="both"/>
        <w:rPr>
          <w:rFonts w:ascii="Arial" w:hAnsi="Arial" w:cs="Arial"/>
          <w:i/>
          <w:color w:val="auto"/>
          <w:spacing w:val="-3"/>
          <w:sz w:val="20"/>
          <w:szCs w:val="20"/>
          <w:u w:val="single"/>
          <w:lang w:val="es-ES_tradnl"/>
        </w:rPr>
      </w:pPr>
    </w:p>
    <w:p w:rsidR="00E97302" w:rsidRPr="000059CF" w:rsidRDefault="00E97302" w:rsidP="00207F36">
      <w:pPr>
        <w:spacing w:line="360" w:lineRule="auto"/>
        <w:ind w:right="616" w:firstLine="567"/>
        <w:jc w:val="both"/>
        <w:rPr>
          <w:rFonts w:ascii="Arial" w:hAnsi="Arial" w:cs="Arial"/>
          <w:i/>
          <w:color w:val="auto"/>
          <w:spacing w:val="-3"/>
          <w:sz w:val="20"/>
          <w:szCs w:val="20"/>
          <w:lang w:val="es-ES_tradnl"/>
        </w:rPr>
      </w:pPr>
      <w:r w:rsidRPr="000059CF">
        <w:rPr>
          <w:rFonts w:ascii="Arial" w:hAnsi="Arial" w:cs="Arial"/>
          <w:i/>
          <w:color w:val="auto"/>
          <w:spacing w:val="-3"/>
          <w:sz w:val="20"/>
          <w:szCs w:val="20"/>
          <w:lang w:val="es-ES_tradnl"/>
        </w:rPr>
        <w:t xml:space="preserve">(...) </w:t>
      </w:r>
    </w:p>
    <w:p w:rsidR="00E97302" w:rsidRPr="00021899" w:rsidRDefault="00E97302" w:rsidP="00207F36">
      <w:pPr>
        <w:spacing w:line="360" w:lineRule="auto"/>
        <w:ind w:right="616"/>
        <w:jc w:val="both"/>
        <w:rPr>
          <w:rFonts w:ascii="Arial" w:hAnsi="Arial" w:cs="Arial"/>
          <w:i/>
          <w:color w:val="auto"/>
          <w:spacing w:val="-3"/>
          <w:sz w:val="20"/>
          <w:szCs w:val="20"/>
          <w:lang w:val="es-ES_tradnl"/>
        </w:rPr>
      </w:pPr>
    </w:p>
    <w:p w:rsidR="00E97302" w:rsidRDefault="00E97302" w:rsidP="00207F36">
      <w:pPr>
        <w:spacing w:line="360" w:lineRule="auto"/>
        <w:ind w:left="567" w:right="616"/>
        <w:jc w:val="both"/>
        <w:rPr>
          <w:rFonts w:ascii="Arial" w:hAnsi="Arial" w:cs="Arial"/>
          <w:bCs/>
          <w:i/>
          <w:color w:val="auto"/>
          <w:sz w:val="20"/>
          <w:szCs w:val="20"/>
        </w:rPr>
      </w:pPr>
      <w:r w:rsidRPr="00021899">
        <w:rPr>
          <w:rFonts w:ascii="Arial" w:hAnsi="Arial" w:cs="Arial"/>
          <w:bCs/>
          <w:i/>
          <w:color w:val="auto"/>
          <w:sz w:val="20"/>
          <w:szCs w:val="20"/>
          <w:u w:val="single"/>
        </w:rPr>
        <w:t xml:space="preserve">El 12 de julio de 2017 la Juez de Conocimiento dio lectura a la sentencia condenatoria en contra de los procesados, la cual «no ha cobrado ejecutoria por cuanto fue impugnada y debidamente sustentada por la Defensa, debiéndose remitir el expediente al Tribunal Superior de Antioquia, una vez finalice el término de traslado de la apelación para los sujetos procesales no recurrentes, para que se emita decisión de segunda </w:t>
      </w:r>
      <w:r w:rsidRPr="00021899">
        <w:rPr>
          <w:rFonts w:ascii="Arial" w:hAnsi="Arial" w:cs="Arial"/>
          <w:bCs/>
          <w:i/>
          <w:color w:val="auto"/>
          <w:sz w:val="20"/>
          <w:szCs w:val="20"/>
          <w:u w:val="single"/>
        </w:rPr>
        <w:lastRenderedPageBreak/>
        <w:t>instancia</w:t>
      </w:r>
      <w:r w:rsidRPr="00021899">
        <w:rPr>
          <w:rStyle w:val="Refdenotaalpie"/>
          <w:rFonts w:ascii="Arial" w:hAnsi="Arial" w:cs="Arial"/>
          <w:bCs/>
          <w:i/>
          <w:color w:val="auto"/>
          <w:szCs w:val="20"/>
        </w:rPr>
        <w:footnoteReference w:id="1"/>
      </w:r>
      <w:r w:rsidRPr="00021899">
        <w:rPr>
          <w:rFonts w:ascii="Arial" w:hAnsi="Arial" w:cs="Arial"/>
          <w:bCs/>
          <w:i/>
          <w:color w:val="auto"/>
          <w:sz w:val="20"/>
          <w:szCs w:val="20"/>
        </w:rPr>
        <w:t>».</w:t>
      </w:r>
    </w:p>
    <w:p w:rsidR="000059CF" w:rsidRPr="00021899" w:rsidRDefault="000059CF" w:rsidP="00207F36">
      <w:pPr>
        <w:spacing w:line="360" w:lineRule="auto"/>
        <w:ind w:left="567" w:right="616"/>
        <w:jc w:val="both"/>
        <w:rPr>
          <w:rFonts w:ascii="Arial" w:hAnsi="Arial" w:cs="Arial"/>
          <w:bCs/>
          <w:i/>
          <w:color w:val="auto"/>
          <w:sz w:val="20"/>
          <w:szCs w:val="20"/>
        </w:rPr>
      </w:pPr>
    </w:p>
    <w:p w:rsidR="00E97302" w:rsidRPr="00021899" w:rsidRDefault="00E97302" w:rsidP="00021899">
      <w:pPr>
        <w:spacing w:line="360" w:lineRule="auto"/>
        <w:ind w:left="567" w:right="616"/>
        <w:jc w:val="both"/>
        <w:rPr>
          <w:rFonts w:ascii="Arial" w:hAnsi="Arial" w:cs="Arial"/>
          <w:i/>
          <w:color w:val="auto"/>
          <w:sz w:val="20"/>
          <w:szCs w:val="20"/>
          <w:u w:val="single"/>
        </w:rPr>
      </w:pPr>
      <w:r w:rsidRPr="00021899">
        <w:rPr>
          <w:rFonts w:ascii="Arial" w:hAnsi="Arial" w:cs="Arial"/>
          <w:bCs/>
          <w:i/>
          <w:color w:val="auto"/>
          <w:sz w:val="20"/>
          <w:szCs w:val="20"/>
          <w:u w:val="single"/>
        </w:rPr>
        <w:t xml:space="preserve">En consecuencia, a partir de esa fecha la medida de aseguramiento impuesta a los procesados </w:t>
      </w:r>
      <w:r w:rsidRPr="00021899">
        <w:rPr>
          <w:rFonts w:ascii="Arial" w:hAnsi="Arial" w:cs="Arial"/>
          <w:i/>
          <w:color w:val="auto"/>
          <w:sz w:val="20"/>
          <w:szCs w:val="20"/>
          <w:u w:val="single"/>
        </w:rPr>
        <w:t>Luis Fernando Mena</w:t>
      </w:r>
      <w:r w:rsidRPr="00021899">
        <w:rPr>
          <w:rFonts w:ascii="Arial" w:hAnsi="Arial" w:cs="Arial"/>
          <w:color w:val="auto"/>
          <w:sz w:val="20"/>
          <w:szCs w:val="20"/>
          <w:u w:val="single"/>
        </w:rPr>
        <w:t xml:space="preserve"> </w:t>
      </w:r>
      <w:r w:rsidRPr="00021899">
        <w:rPr>
          <w:rFonts w:ascii="Arial" w:hAnsi="Arial" w:cs="Arial"/>
          <w:i/>
          <w:color w:val="auto"/>
          <w:sz w:val="20"/>
          <w:szCs w:val="20"/>
          <w:u w:val="single"/>
        </w:rPr>
        <w:t xml:space="preserve">Moreno, </w:t>
      </w:r>
      <w:proofErr w:type="spellStart"/>
      <w:r w:rsidRPr="00021899">
        <w:rPr>
          <w:rFonts w:ascii="Arial" w:hAnsi="Arial" w:cs="Arial"/>
          <w:i/>
          <w:color w:val="auto"/>
          <w:sz w:val="20"/>
          <w:szCs w:val="20"/>
          <w:u w:val="single"/>
        </w:rPr>
        <w:t>Brayan</w:t>
      </w:r>
      <w:proofErr w:type="spellEnd"/>
      <w:r w:rsidRPr="00021899">
        <w:rPr>
          <w:rFonts w:ascii="Arial" w:hAnsi="Arial" w:cs="Arial"/>
          <w:i/>
          <w:color w:val="auto"/>
          <w:sz w:val="20"/>
          <w:szCs w:val="20"/>
          <w:u w:val="single"/>
        </w:rPr>
        <w:t xml:space="preserve"> Esteban </w:t>
      </w:r>
      <w:proofErr w:type="spellStart"/>
      <w:r w:rsidRPr="00021899">
        <w:rPr>
          <w:rFonts w:ascii="Arial" w:hAnsi="Arial" w:cs="Arial"/>
          <w:i/>
          <w:color w:val="auto"/>
          <w:sz w:val="20"/>
          <w:szCs w:val="20"/>
          <w:u w:val="single"/>
        </w:rPr>
        <w:t>Ortíz</w:t>
      </w:r>
      <w:proofErr w:type="spellEnd"/>
      <w:r w:rsidRPr="00021899">
        <w:rPr>
          <w:rFonts w:ascii="Arial" w:hAnsi="Arial" w:cs="Arial"/>
          <w:i/>
          <w:color w:val="auto"/>
          <w:sz w:val="20"/>
          <w:szCs w:val="20"/>
          <w:u w:val="single"/>
        </w:rPr>
        <w:t xml:space="preserve"> Quintero, Juan Fernando Cuadros Galeano y Andrés Felipe </w:t>
      </w:r>
      <w:proofErr w:type="spellStart"/>
      <w:r w:rsidRPr="00021899">
        <w:rPr>
          <w:rFonts w:ascii="Arial" w:hAnsi="Arial" w:cs="Arial"/>
          <w:i/>
          <w:color w:val="auto"/>
          <w:sz w:val="20"/>
          <w:szCs w:val="20"/>
          <w:u w:val="single"/>
        </w:rPr>
        <w:t>Freydell</w:t>
      </w:r>
      <w:proofErr w:type="spellEnd"/>
      <w:r w:rsidRPr="00021899">
        <w:rPr>
          <w:rFonts w:ascii="Arial" w:hAnsi="Arial" w:cs="Arial"/>
          <w:i/>
          <w:color w:val="auto"/>
          <w:sz w:val="20"/>
          <w:szCs w:val="20"/>
          <w:u w:val="single"/>
        </w:rPr>
        <w:t xml:space="preserve"> Salazar dejó de surtir efectos jurídicos, por lo que el Juez con Funciones de Control de Garantías perdió competencia para resolver sobre el derecho fundamental a la libertad y su restricción.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 </w:t>
      </w:r>
    </w:p>
    <w:p w:rsidR="00E97302" w:rsidRPr="00021899" w:rsidRDefault="00E97302" w:rsidP="00207F36">
      <w:pPr>
        <w:spacing w:line="360" w:lineRule="auto"/>
        <w:ind w:left="567" w:right="616"/>
        <w:jc w:val="both"/>
        <w:rPr>
          <w:rFonts w:ascii="Arial" w:hAnsi="Arial" w:cs="Arial"/>
          <w:i/>
          <w:color w:val="auto"/>
          <w:sz w:val="20"/>
          <w:szCs w:val="20"/>
        </w:rPr>
      </w:pPr>
    </w:p>
    <w:p w:rsidR="00E97302" w:rsidRPr="00021899" w:rsidRDefault="00E97302" w:rsidP="00207F36">
      <w:pPr>
        <w:spacing w:line="360" w:lineRule="auto"/>
        <w:ind w:left="567" w:right="616"/>
        <w:jc w:val="both"/>
        <w:rPr>
          <w:rFonts w:ascii="Arial" w:hAnsi="Arial" w:cs="Arial"/>
          <w:i/>
          <w:color w:val="auto"/>
          <w:sz w:val="20"/>
          <w:szCs w:val="20"/>
        </w:rPr>
      </w:pPr>
      <w:r w:rsidRPr="00021899">
        <w:rPr>
          <w:rFonts w:ascii="Arial" w:hAnsi="Arial" w:cs="Arial"/>
          <w:i/>
          <w:color w:val="auto"/>
          <w:sz w:val="20"/>
          <w:szCs w:val="20"/>
        </w:rPr>
        <w:t xml:space="preserve">Por lo anterior, como los procesados se encuentran restringidos en su libertad por virtud de la sentencia condenatoria proferida por la Juez Promiscuo del Circuito de Santa Bárbara –Antioquia-, con Funciones de Conocimiento, es a esta funcionaria a quien le compete resolver sobre la libertad o la restricción de este derecho...” </w:t>
      </w:r>
      <w:r w:rsidRPr="00021899">
        <w:rPr>
          <w:rFonts w:ascii="Arial" w:hAnsi="Arial" w:cs="Arial"/>
          <w:color w:val="auto"/>
          <w:sz w:val="20"/>
          <w:szCs w:val="20"/>
        </w:rPr>
        <w:t>(Subrayas fuera del texto original).</w:t>
      </w:r>
    </w:p>
    <w:p w:rsidR="00E97302" w:rsidRPr="00021899" w:rsidRDefault="00E97302" w:rsidP="00207F36">
      <w:pPr>
        <w:spacing w:line="360" w:lineRule="auto"/>
        <w:jc w:val="both"/>
        <w:rPr>
          <w:rFonts w:ascii="Arial" w:hAnsi="Arial" w:cs="Arial"/>
          <w:color w:val="auto"/>
        </w:rPr>
      </w:pPr>
    </w:p>
    <w:p w:rsidR="00E97302" w:rsidRPr="00021899" w:rsidRDefault="0007692E" w:rsidP="00207F36">
      <w:pPr>
        <w:spacing w:line="360" w:lineRule="auto"/>
        <w:jc w:val="both"/>
        <w:rPr>
          <w:rFonts w:ascii="Arial" w:hAnsi="Arial" w:cs="Arial"/>
          <w:color w:val="auto"/>
        </w:rPr>
      </w:pPr>
      <w:r w:rsidRPr="00021899">
        <w:rPr>
          <w:rFonts w:ascii="Arial" w:hAnsi="Arial" w:cs="Arial"/>
          <w:color w:val="auto"/>
        </w:rPr>
        <w:t>6</w:t>
      </w:r>
      <w:r w:rsidR="00E97302" w:rsidRPr="00021899">
        <w:rPr>
          <w:rFonts w:ascii="Arial" w:hAnsi="Arial" w:cs="Arial"/>
          <w:color w:val="auto"/>
        </w:rPr>
        <w:t>.</w:t>
      </w:r>
      <w:r w:rsidR="00EA32EE" w:rsidRPr="00021899">
        <w:rPr>
          <w:rFonts w:ascii="Arial" w:hAnsi="Arial" w:cs="Arial"/>
          <w:color w:val="auto"/>
        </w:rPr>
        <w:t xml:space="preserve">3.5 </w:t>
      </w:r>
      <w:r w:rsidR="00E97302" w:rsidRPr="00021899">
        <w:rPr>
          <w:rFonts w:ascii="Arial" w:hAnsi="Arial" w:cs="Arial"/>
          <w:color w:val="auto"/>
        </w:rPr>
        <w:t xml:space="preserve">Del precedente antes mencionado se desprende que el juez de conocimiento es quien tiene competencia para resolver las solicitudes de libertad que se presenten luego del anuncio del sentido del fallo, o después de que sea proferida la sentencia de primera instancia. En consecuencia no hay lugar a cuestionar la validez de la actuación adelantada por </w:t>
      </w:r>
      <w:r w:rsidR="007D6929" w:rsidRPr="00021899">
        <w:rPr>
          <w:rFonts w:ascii="Arial" w:hAnsi="Arial" w:cs="Arial"/>
          <w:color w:val="auto"/>
        </w:rPr>
        <w:t>e</w:t>
      </w:r>
      <w:r w:rsidR="00E97302" w:rsidRPr="00021899">
        <w:rPr>
          <w:rFonts w:ascii="Arial" w:hAnsi="Arial" w:cs="Arial"/>
          <w:color w:val="auto"/>
        </w:rPr>
        <w:t xml:space="preserve">l juez </w:t>
      </w:r>
      <w:r w:rsidR="00B76BE3" w:rsidRPr="00021899">
        <w:rPr>
          <w:rFonts w:ascii="Arial" w:hAnsi="Arial" w:cs="Arial"/>
          <w:color w:val="auto"/>
        </w:rPr>
        <w:t xml:space="preserve">único promiscuo del circuito de </w:t>
      </w:r>
      <w:proofErr w:type="spellStart"/>
      <w:r w:rsidR="00B76BE3" w:rsidRPr="00021899">
        <w:rPr>
          <w:rFonts w:ascii="Arial" w:hAnsi="Arial" w:cs="Arial"/>
          <w:color w:val="auto"/>
        </w:rPr>
        <w:t>Quinchía</w:t>
      </w:r>
      <w:proofErr w:type="spellEnd"/>
      <w:r w:rsidR="00E97302" w:rsidRPr="00021899">
        <w:rPr>
          <w:rFonts w:ascii="Arial" w:hAnsi="Arial" w:cs="Arial"/>
          <w:color w:val="auto"/>
        </w:rPr>
        <w:t xml:space="preserve">, quien era </w:t>
      </w:r>
      <w:r w:rsidR="007D6929" w:rsidRPr="00021899">
        <w:rPr>
          <w:rFonts w:ascii="Arial" w:hAnsi="Arial" w:cs="Arial"/>
          <w:color w:val="auto"/>
        </w:rPr>
        <w:t>el</w:t>
      </w:r>
      <w:r w:rsidR="00E97302" w:rsidRPr="00021899">
        <w:rPr>
          <w:rFonts w:ascii="Arial" w:hAnsi="Arial" w:cs="Arial"/>
          <w:color w:val="auto"/>
        </w:rPr>
        <w:t xml:space="preserve"> funcionari</w:t>
      </w:r>
      <w:r w:rsidR="007D6929" w:rsidRPr="00021899">
        <w:rPr>
          <w:rFonts w:ascii="Arial" w:hAnsi="Arial" w:cs="Arial"/>
          <w:color w:val="auto"/>
        </w:rPr>
        <w:t>o</w:t>
      </w:r>
      <w:r w:rsidR="00E97302" w:rsidRPr="00021899">
        <w:rPr>
          <w:rFonts w:ascii="Arial" w:hAnsi="Arial" w:cs="Arial"/>
          <w:color w:val="auto"/>
        </w:rPr>
        <w:t xml:space="preserve"> competente para adoptar la decisión recurrida, ya que el ciudadano </w:t>
      </w:r>
      <w:r w:rsidR="00673EE9" w:rsidRPr="00021899">
        <w:rPr>
          <w:rFonts w:ascii="Arial" w:hAnsi="Arial" w:cs="Arial"/>
          <w:color w:val="auto"/>
        </w:rPr>
        <w:t>Gerardo Alirio Moncada Medina</w:t>
      </w:r>
      <w:r w:rsidR="00E97302" w:rsidRPr="00021899">
        <w:rPr>
          <w:rFonts w:ascii="Arial" w:hAnsi="Arial" w:cs="Arial"/>
          <w:color w:val="auto"/>
        </w:rPr>
        <w:t xml:space="preserve"> se enc</w:t>
      </w:r>
      <w:r w:rsidR="007D6929" w:rsidRPr="00021899">
        <w:rPr>
          <w:rFonts w:ascii="Arial" w:hAnsi="Arial" w:cs="Arial"/>
          <w:color w:val="auto"/>
        </w:rPr>
        <w:t xml:space="preserve">uentra </w:t>
      </w:r>
      <w:r w:rsidR="00E97302" w:rsidRPr="00021899">
        <w:rPr>
          <w:rFonts w:ascii="Arial" w:hAnsi="Arial" w:cs="Arial"/>
          <w:color w:val="auto"/>
        </w:rPr>
        <w:t xml:space="preserve">descontando la pena de </w:t>
      </w:r>
      <w:r w:rsidR="007D6929" w:rsidRPr="00021899">
        <w:rPr>
          <w:rFonts w:ascii="Arial" w:hAnsi="Arial" w:cs="Arial"/>
          <w:color w:val="auto"/>
        </w:rPr>
        <w:t xml:space="preserve">240 </w:t>
      </w:r>
      <w:r w:rsidR="00E97302" w:rsidRPr="00021899">
        <w:rPr>
          <w:rFonts w:ascii="Arial" w:hAnsi="Arial" w:cs="Arial"/>
          <w:color w:val="auto"/>
        </w:rPr>
        <w:t xml:space="preserve">meses de prisión que le impuso ese despacho, como responsable del delito de </w:t>
      </w:r>
      <w:r w:rsidR="00B76BE3" w:rsidRPr="00021899">
        <w:rPr>
          <w:rFonts w:ascii="Arial" w:hAnsi="Arial" w:cs="Arial"/>
          <w:color w:val="auto"/>
        </w:rPr>
        <w:t>acceso carnal abusivo con menor de catorce años.</w:t>
      </w:r>
    </w:p>
    <w:p w:rsidR="00E97302" w:rsidRPr="00021899" w:rsidRDefault="00E97302" w:rsidP="00207F36">
      <w:pPr>
        <w:spacing w:line="360" w:lineRule="auto"/>
        <w:jc w:val="both"/>
        <w:rPr>
          <w:rFonts w:ascii="Arial" w:hAnsi="Arial" w:cs="Arial"/>
          <w:color w:val="auto"/>
        </w:rPr>
      </w:pPr>
    </w:p>
    <w:p w:rsidR="00E97302" w:rsidRPr="00B9650C" w:rsidRDefault="0007692E" w:rsidP="00207F36">
      <w:pPr>
        <w:spacing w:line="360" w:lineRule="auto"/>
        <w:jc w:val="both"/>
        <w:rPr>
          <w:rFonts w:ascii="Arial" w:hAnsi="Arial" w:cs="Arial"/>
          <w:color w:val="FF0000"/>
        </w:rPr>
      </w:pPr>
      <w:r w:rsidRPr="00021899">
        <w:rPr>
          <w:rFonts w:ascii="Arial" w:hAnsi="Arial" w:cs="Arial"/>
          <w:color w:val="auto"/>
        </w:rPr>
        <w:t>6</w:t>
      </w:r>
      <w:r w:rsidR="00E97302" w:rsidRPr="00021899">
        <w:rPr>
          <w:rFonts w:ascii="Arial" w:hAnsi="Arial" w:cs="Arial"/>
          <w:color w:val="auto"/>
        </w:rPr>
        <w:t>.</w:t>
      </w:r>
      <w:r w:rsidR="00EA32EE" w:rsidRPr="00021899">
        <w:rPr>
          <w:rFonts w:ascii="Arial" w:hAnsi="Arial" w:cs="Arial"/>
          <w:color w:val="auto"/>
        </w:rPr>
        <w:t xml:space="preserve">3.6 </w:t>
      </w:r>
      <w:r w:rsidR="00E97302" w:rsidRPr="00B9650C">
        <w:rPr>
          <w:rFonts w:ascii="Arial" w:hAnsi="Arial" w:cs="Arial"/>
          <w:color w:val="FF0000"/>
        </w:rPr>
        <w:t>Sin embargo</w:t>
      </w:r>
      <w:r w:rsidR="007D6929" w:rsidRPr="00B9650C">
        <w:rPr>
          <w:rFonts w:ascii="Arial" w:hAnsi="Arial" w:cs="Arial"/>
          <w:color w:val="FF0000"/>
        </w:rPr>
        <w:t>,</w:t>
      </w:r>
      <w:r w:rsidR="00E97302" w:rsidRPr="00B9650C">
        <w:rPr>
          <w:rFonts w:ascii="Arial" w:hAnsi="Arial" w:cs="Arial"/>
          <w:color w:val="FF0000"/>
        </w:rPr>
        <w:t xml:space="preserve"> debe manifestarse que para la fecha del presente pronunciamiento se tiene conocimiento de la decisión CSJ </w:t>
      </w:r>
      <w:proofErr w:type="spellStart"/>
      <w:r w:rsidR="00E97302" w:rsidRPr="00B9650C">
        <w:rPr>
          <w:rFonts w:ascii="Arial" w:hAnsi="Arial" w:cs="Arial"/>
          <w:color w:val="FF0000"/>
        </w:rPr>
        <w:t>SP</w:t>
      </w:r>
      <w:proofErr w:type="spellEnd"/>
      <w:r w:rsidR="00E97302" w:rsidRPr="00B9650C">
        <w:rPr>
          <w:rFonts w:ascii="Arial" w:hAnsi="Arial" w:cs="Arial"/>
          <w:color w:val="FF0000"/>
        </w:rPr>
        <w:t xml:space="preserve"> del 9 de agosto de 2017, radicado 50581, cuyos apartes se citaron en el </w:t>
      </w:r>
      <w:r w:rsidR="00E97302" w:rsidRPr="00B9650C">
        <w:rPr>
          <w:rFonts w:ascii="Arial" w:hAnsi="Arial" w:cs="Arial"/>
          <w:i/>
          <w:color w:val="FF0000"/>
        </w:rPr>
        <w:t xml:space="preserve">ítem, </w:t>
      </w:r>
      <w:r w:rsidRPr="00B9650C">
        <w:rPr>
          <w:rFonts w:ascii="Arial" w:hAnsi="Arial" w:cs="Arial"/>
          <w:color w:val="FF0000"/>
        </w:rPr>
        <w:t>6</w:t>
      </w:r>
      <w:r w:rsidR="00E97302" w:rsidRPr="00B9650C">
        <w:rPr>
          <w:rFonts w:ascii="Arial" w:hAnsi="Arial" w:cs="Arial"/>
          <w:color w:val="FF0000"/>
        </w:rPr>
        <w:t>.</w:t>
      </w:r>
      <w:r w:rsidR="00EA32EE" w:rsidRPr="00B9650C">
        <w:rPr>
          <w:rFonts w:ascii="Arial" w:hAnsi="Arial" w:cs="Arial"/>
          <w:color w:val="FF0000"/>
        </w:rPr>
        <w:t>3</w:t>
      </w:r>
      <w:r w:rsidR="00E97302" w:rsidRPr="00B9650C">
        <w:rPr>
          <w:rFonts w:ascii="Arial" w:hAnsi="Arial" w:cs="Arial"/>
          <w:color w:val="FF0000"/>
        </w:rPr>
        <w:t>.4 de esta decisión.</w:t>
      </w:r>
    </w:p>
    <w:p w:rsidR="00E97302" w:rsidRPr="00B9650C" w:rsidRDefault="00E97302" w:rsidP="00207F36">
      <w:pPr>
        <w:spacing w:line="360" w:lineRule="auto"/>
        <w:jc w:val="both"/>
        <w:rPr>
          <w:rFonts w:ascii="Arial" w:hAnsi="Arial" w:cs="Arial"/>
          <w:color w:val="FF0000"/>
        </w:rPr>
      </w:pPr>
    </w:p>
    <w:p w:rsidR="00E97302" w:rsidRPr="00B9650C" w:rsidRDefault="00082D6A" w:rsidP="00207F36">
      <w:pPr>
        <w:spacing w:line="360" w:lineRule="auto"/>
        <w:jc w:val="both"/>
        <w:rPr>
          <w:rFonts w:ascii="Arial" w:hAnsi="Arial" w:cs="Arial"/>
          <w:color w:val="FF0000"/>
        </w:rPr>
      </w:pPr>
      <w:r w:rsidRPr="00B9650C">
        <w:rPr>
          <w:rFonts w:ascii="Arial" w:hAnsi="Arial" w:cs="Arial"/>
          <w:color w:val="FF0000"/>
        </w:rPr>
        <w:t>6</w:t>
      </w:r>
      <w:r w:rsidR="00E97302" w:rsidRPr="00B9650C">
        <w:rPr>
          <w:rFonts w:ascii="Arial" w:hAnsi="Arial" w:cs="Arial"/>
          <w:color w:val="FF0000"/>
        </w:rPr>
        <w:t>.</w:t>
      </w:r>
      <w:r w:rsidR="00EA32EE" w:rsidRPr="00B9650C">
        <w:rPr>
          <w:rFonts w:ascii="Arial" w:hAnsi="Arial" w:cs="Arial"/>
          <w:color w:val="FF0000"/>
        </w:rPr>
        <w:t xml:space="preserve">3.7 </w:t>
      </w:r>
      <w:r w:rsidR="00E97302" w:rsidRPr="00B9650C">
        <w:rPr>
          <w:rFonts w:ascii="Arial" w:hAnsi="Arial" w:cs="Arial"/>
          <w:color w:val="FF0000"/>
        </w:rPr>
        <w:t xml:space="preserve">Siguiendo los términos de ese precedente del órgano de cierre de la jurisdicción penal, resulta meridianamente claro que </w:t>
      </w:r>
      <w:r w:rsidR="00EA32EE" w:rsidRPr="00B9650C">
        <w:rPr>
          <w:rFonts w:ascii="Arial" w:hAnsi="Arial" w:cs="Arial"/>
          <w:color w:val="FF0000"/>
        </w:rPr>
        <w:t>en este caso el pr</w:t>
      </w:r>
      <w:r w:rsidR="00E97302" w:rsidRPr="00B9650C">
        <w:rPr>
          <w:rFonts w:ascii="Arial" w:hAnsi="Arial" w:cs="Arial"/>
          <w:color w:val="FF0000"/>
        </w:rPr>
        <w:t xml:space="preserve">ocesado </w:t>
      </w:r>
      <w:r w:rsidR="00EA32EE" w:rsidRPr="00B9650C">
        <w:rPr>
          <w:rFonts w:ascii="Arial" w:hAnsi="Arial" w:cs="Arial"/>
          <w:color w:val="FF0000"/>
        </w:rPr>
        <w:t xml:space="preserve">Moncada Medina no se encuentra </w:t>
      </w:r>
      <w:r w:rsidR="00E97302" w:rsidRPr="00B9650C">
        <w:rPr>
          <w:rFonts w:ascii="Arial" w:hAnsi="Arial" w:cs="Arial"/>
          <w:color w:val="FF0000"/>
        </w:rPr>
        <w:t xml:space="preserve"> bajo el régimen de “detención preventiva”</w:t>
      </w:r>
      <w:r w:rsidR="00E97302" w:rsidRPr="00B9650C">
        <w:rPr>
          <w:rFonts w:ascii="Arial" w:hAnsi="Arial" w:cs="Arial"/>
          <w:i/>
          <w:color w:val="FF0000"/>
        </w:rPr>
        <w:t xml:space="preserve">, </w:t>
      </w:r>
      <w:r w:rsidR="00E97302" w:rsidRPr="00B9650C">
        <w:rPr>
          <w:rFonts w:ascii="Arial" w:hAnsi="Arial" w:cs="Arial"/>
          <w:color w:val="FF0000"/>
        </w:rPr>
        <w:t xml:space="preserve">sino cumpliendo una pena impuesta por ese mismo despacho como lo entendió </w:t>
      </w:r>
      <w:r w:rsidR="007D6929" w:rsidRPr="00B9650C">
        <w:rPr>
          <w:rFonts w:ascii="Arial" w:hAnsi="Arial" w:cs="Arial"/>
          <w:color w:val="FF0000"/>
        </w:rPr>
        <w:t>e</w:t>
      </w:r>
      <w:r w:rsidR="00E97302" w:rsidRPr="00B9650C">
        <w:rPr>
          <w:rFonts w:ascii="Arial" w:hAnsi="Arial" w:cs="Arial"/>
          <w:color w:val="FF0000"/>
        </w:rPr>
        <w:t xml:space="preserve">l </w:t>
      </w:r>
      <w:r w:rsidR="00EA32EE" w:rsidRPr="00B9650C">
        <w:rPr>
          <w:rFonts w:ascii="Arial" w:hAnsi="Arial" w:cs="Arial"/>
          <w:i/>
          <w:color w:val="FF0000"/>
        </w:rPr>
        <w:t xml:space="preserve">A </w:t>
      </w:r>
      <w:r w:rsidR="00E97302" w:rsidRPr="00B9650C">
        <w:rPr>
          <w:rFonts w:ascii="Arial" w:hAnsi="Arial" w:cs="Arial"/>
          <w:i/>
          <w:color w:val="FF0000"/>
        </w:rPr>
        <w:t>quo</w:t>
      </w:r>
      <w:r w:rsidR="00E97302" w:rsidRPr="00B9650C">
        <w:rPr>
          <w:rFonts w:ascii="Arial" w:hAnsi="Arial" w:cs="Arial"/>
          <w:color w:val="FF0000"/>
        </w:rPr>
        <w:t>, por lo cual su situación no podía equipararse a un evento de concesión de libertad provisional o de sustitución de una medida de aseguramiento.</w:t>
      </w:r>
    </w:p>
    <w:p w:rsidR="00E97302" w:rsidRPr="00B9650C" w:rsidRDefault="00E97302" w:rsidP="00207F36">
      <w:pPr>
        <w:spacing w:line="360" w:lineRule="auto"/>
        <w:ind w:right="49"/>
        <w:jc w:val="both"/>
        <w:rPr>
          <w:rFonts w:ascii="Arial" w:hAnsi="Arial" w:cs="Arial"/>
          <w:color w:val="FF0000"/>
        </w:rPr>
      </w:pPr>
    </w:p>
    <w:p w:rsidR="00E97302" w:rsidRPr="00B9650C" w:rsidRDefault="00082D6A" w:rsidP="00207F36">
      <w:pPr>
        <w:spacing w:line="360" w:lineRule="auto"/>
        <w:ind w:right="49"/>
        <w:jc w:val="both"/>
        <w:rPr>
          <w:rFonts w:ascii="Arial" w:hAnsi="Arial" w:cs="Arial"/>
          <w:color w:val="FF0000"/>
        </w:rPr>
      </w:pPr>
      <w:r w:rsidRPr="00B9650C">
        <w:rPr>
          <w:rFonts w:ascii="Arial" w:hAnsi="Arial" w:cs="Arial"/>
          <w:color w:val="FF0000"/>
        </w:rPr>
        <w:t>6</w:t>
      </w:r>
      <w:r w:rsidR="00E97302" w:rsidRPr="00B9650C">
        <w:rPr>
          <w:rFonts w:ascii="Arial" w:hAnsi="Arial" w:cs="Arial"/>
          <w:color w:val="FF0000"/>
        </w:rPr>
        <w:t>.</w:t>
      </w:r>
      <w:r w:rsidR="00EA32EE" w:rsidRPr="00B9650C">
        <w:rPr>
          <w:rFonts w:ascii="Arial" w:hAnsi="Arial" w:cs="Arial"/>
          <w:color w:val="FF0000"/>
        </w:rPr>
        <w:t xml:space="preserve">3.8 </w:t>
      </w:r>
      <w:r w:rsidR="00E97302" w:rsidRPr="00B9650C">
        <w:rPr>
          <w:rFonts w:ascii="Arial" w:hAnsi="Arial" w:cs="Arial"/>
          <w:color w:val="FF0000"/>
        </w:rPr>
        <w:t xml:space="preserve">Como quiera que el motivo de inconformidad del recurrente se soporta en la </w:t>
      </w:r>
      <w:r w:rsidR="00E97302" w:rsidRPr="00B9650C">
        <w:rPr>
          <w:rFonts w:ascii="Arial" w:hAnsi="Arial" w:cs="Arial"/>
          <w:color w:val="FF0000"/>
        </w:rPr>
        <w:lastRenderedPageBreak/>
        <w:t>prevalencia de</w:t>
      </w:r>
      <w:r w:rsidR="00EA32EE" w:rsidRPr="00B9650C">
        <w:rPr>
          <w:rFonts w:ascii="Arial" w:hAnsi="Arial" w:cs="Arial"/>
          <w:color w:val="FF0000"/>
        </w:rPr>
        <w:t>l aparte de la sentencia C-221 de 2017</w:t>
      </w:r>
      <w:r w:rsidR="0083112D" w:rsidRPr="00B9650C">
        <w:rPr>
          <w:rFonts w:ascii="Arial" w:hAnsi="Arial" w:cs="Arial"/>
          <w:color w:val="FF0000"/>
        </w:rPr>
        <w:t xml:space="preserve"> de la Corte Constitucional, </w:t>
      </w:r>
      <w:r w:rsidR="00E5423D" w:rsidRPr="00B9650C">
        <w:rPr>
          <w:rFonts w:ascii="Arial" w:hAnsi="Arial" w:cs="Arial"/>
          <w:color w:val="FF0000"/>
        </w:rPr>
        <w:t xml:space="preserve">frente a los autos </w:t>
      </w:r>
      <w:r w:rsidR="007D6929" w:rsidRPr="00B9650C">
        <w:rPr>
          <w:rFonts w:ascii="Arial" w:hAnsi="Arial" w:cs="Arial"/>
          <w:color w:val="FF0000"/>
        </w:rPr>
        <w:t>AP4711-2017</w:t>
      </w:r>
      <w:r w:rsidR="00F6449E" w:rsidRPr="00B9650C">
        <w:rPr>
          <w:rFonts w:ascii="Arial" w:hAnsi="Arial" w:cs="Arial"/>
          <w:color w:val="FF0000"/>
        </w:rPr>
        <w:t xml:space="preserve"> y AP5052-2017</w:t>
      </w:r>
      <w:r w:rsidR="007D6929" w:rsidRPr="00B9650C">
        <w:rPr>
          <w:rFonts w:ascii="Arial" w:hAnsi="Arial" w:cs="Arial"/>
          <w:color w:val="FF0000"/>
        </w:rPr>
        <w:t xml:space="preserve"> de la </w:t>
      </w:r>
      <w:proofErr w:type="spellStart"/>
      <w:r w:rsidR="007D6929" w:rsidRPr="00B9650C">
        <w:rPr>
          <w:rFonts w:ascii="Arial" w:hAnsi="Arial" w:cs="Arial"/>
          <w:color w:val="FF0000"/>
        </w:rPr>
        <w:t>SP</w:t>
      </w:r>
      <w:proofErr w:type="spellEnd"/>
      <w:r w:rsidR="007D6929" w:rsidRPr="00B9650C">
        <w:rPr>
          <w:rFonts w:ascii="Arial" w:hAnsi="Arial" w:cs="Arial"/>
          <w:color w:val="FF0000"/>
        </w:rPr>
        <w:t xml:space="preserve"> </w:t>
      </w:r>
      <w:r w:rsidR="0083112D" w:rsidRPr="00B9650C">
        <w:rPr>
          <w:rFonts w:ascii="Arial" w:hAnsi="Arial" w:cs="Arial"/>
          <w:color w:val="FF0000"/>
        </w:rPr>
        <w:t xml:space="preserve">de la CSJ, </w:t>
      </w:r>
      <w:r w:rsidR="00E97302" w:rsidRPr="00B9650C">
        <w:rPr>
          <w:rFonts w:ascii="Arial" w:hAnsi="Arial" w:cs="Arial"/>
          <w:color w:val="FF0000"/>
        </w:rPr>
        <w:t>esta Corporación en análisis normativo y jurisprudencial, concluye que no le asiste razón en su pretensión si se tiene en cuenta que los pronunciamientos de las altas cortes, como órganos de cierre de cada jurisdicción, también constituyen precedente judicial, es decir, el precedente no es exclusivamente el constitucional.</w:t>
      </w:r>
    </w:p>
    <w:p w:rsidR="00E97302" w:rsidRPr="00021899" w:rsidRDefault="00E97302"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 xml:space="preserve">Lo anterior de conformidad con lo expuesto por la Corte Constitucional en </w:t>
      </w:r>
      <w:r w:rsidR="0083112D" w:rsidRPr="00021899">
        <w:rPr>
          <w:rFonts w:ascii="Arial" w:hAnsi="Arial" w:cs="Arial"/>
          <w:color w:val="auto"/>
        </w:rPr>
        <w:t xml:space="preserve">la </w:t>
      </w:r>
      <w:r w:rsidRPr="00021899">
        <w:rPr>
          <w:rFonts w:ascii="Arial" w:hAnsi="Arial" w:cs="Arial"/>
          <w:color w:val="auto"/>
        </w:rPr>
        <w:t xml:space="preserve">sentencia C-621 de 2015, </w:t>
      </w:r>
      <w:proofErr w:type="spellStart"/>
      <w:r w:rsidRPr="00021899">
        <w:rPr>
          <w:rFonts w:ascii="Arial" w:hAnsi="Arial" w:cs="Arial"/>
          <w:color w:val="auto"/>
        </w:rPr>
        <w:t>MP</w:t>
      </w:r>
      <w:proofErr w:type="spellEnd"/>
      <w:r w:rsidRPr="00021899">
        <w:rPr>
          <w:rFonts w:ascii="Arial" w:hAnsi="Arial" w:cs="Arial"/>
          <w:color w:val="auto"/>
        </w:rPr>
        <w:t xml:space="preserve"> Jorge Ignacio </w:t>
      </w:r>
      <w:proofErr w:type="spellStart"/>
      <w:r w:rsidRPr="00021899">
        <w:rPr>
          <w:rFonts w:ascii="Arial" w:hAnsi="Arial" w:cs="Arial"/>
          <w:color w:val="auto"/>
        </w:rPr>
        <w:t>Pretelt</w:t>
      </w:r>
      <w:proofErr w:type="spellEnd"/>
      <w:r w:rsidRPr="00021899">
        <w:rPr>
          <w:rFonts w:ascii="Arial" w:hAnsi="Arial" w:cs="Arial"/>
          <w:color w:val="auto"/>
        </w:rPr>
        <w:t xml:space="preserve"> </w:t>
      </w:r>
      <w:proofErr w:type="spellStart"/>
      <w:r w:rsidRPr="00021899">
        <w:rPr>
          <w:rFonts w:ascii="Arial" w:hAnsi="Arial" w:cs="Arial"/>
          <w:color w:val="auto"/>
        </w:rPr>
        <w:t>Chaljub</w:t>
      </w:r>
      <w:proofErr w:type="spellEnd"/>
      <w:r w:rsidR="00E70EA2">
        <w:rPr>
          <w:rFonts w:ascii="Arial" w:hAnsi="Arial" w:cs="Arial"/>
          <w:color w:val="auto"/>
        </w:rPr>
        <w:t xml:space="preserve"> donde se dijo</w:t>
      </w:r>
      <w:r w:rsidR="007F4107" w:rsidRPr="00021899">
        <w:rPr>
          <w:rFonts w:ascii="Arial" w:hAnsi="Arial" w:cs="Arial"/>
          <w:color w:val="auto"/>
        </w:rPr>
        <w:t>:</w:t>
      </w:r>
    </w:p>
    <w:p w:rsidR="00E97302" w:rsidRPr="00E70EA2" w:rsidRDefault="00E97302" w:rsidP="00207F36">
      <w:pPr>
        <w:spacing w:line="360" w:lineRule="auto"/>
        <w:ind w:right="49"/>
        <w:jc w:val="both"/>
        <w:rPr>
          <w:rFonts w:ascii="Arial" w:hAnsi="Arial" w:cs="Arial"/>
          <w:color w:val="auto"/>
          <w:sz w:val="20"/>
          <w:szCs w:val="20"/>
        </w:rPr>
      </w:pP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bdr w:val="none" w:sz="0" w:space="0" w:color="auto" w:frame="1"/>
          <w:lang w:val="es-CO"/>
        </w:rPr>
      </w:pPr>
      <w:r w:rsidRPr="00E70EA2">
        <w:rPr>
          <w:rFonts w:ascii="Arial" w:hAnsi="Arial" w:cs="Arial"/>
          <w:i/>
          <w:color w:val="auto"/>
          <w:sz w:val="20"/>
          <w:szCs w:val="20"/>
          <w:bdr w:val="none" w:sz="0" w:space="0" w:color="auto" w:frame="1"/>
          <w:lang w:val="es-CO"/>
        </w:rPr>
        <w:t>“</w:t>
      </w:r>
      <w:r w:rsidRPr="00E70EA2">
        <w:rPr>
          <w:rFonts w:ascii="Arial" w:hAnsi="Arial" w:cs="Arial"/>
          <w:i/>
          <w:color w:val="auto"/>
          <w:sz w:val="20"/>
          <w:szCs w:val="20"/>
          <w:lang w:val="es-CO"/>
        </w:rPr>
        <w:t>(…)</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bdr w:val="none" w:sz="0" w:space="0" w:color="auto" w:frame="1"/>
          <w:lang w:val="es-CO"/>
        </w:rPr>
      </w:pP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Reconocerle fuerza vinculante a la jurisprudencia sentada por la Corte Constitucional, la Corte Suprema de Justicia, el Consejo de Estado y la Sala Disciplinaria del Consejo Superior de la Judicatura, </w:t>
      </w:r>
      <w:r w:rsidRPr="00E70EA2">
        <w:rPr>
          <w:rFonts w:ascii="Arial" w:hAnsi="Arial" w:cs="Arial"/>
          <w:i/>
          <w:color w:val="auto"/>
          <w:sz w:val="20"/>
          <w:szCs w:val="20"/>
          <w:u w:val="single"/>
          <w:bdr w:val="none" w:sz="0" w:space="0" w:color="auto" w:frame="1"/>
          <w:lang w:val="es-CO"/>
        </w:rPr>
        <w:t>redunda en una mayor coherencia del sistema jurídico colombiano, lo cual no se contradice con imperativos de adaptación a los cambios sociales y económicos.</w:t>
      </w:r>
      <w:r w:rsidRPr="00E70EA2">
        <w:rPr>
          <w:rFonts w:ascii="Arial" w:hAnsi="Arial" w:cs="Arial"/>
          <w:i/>
          <w:color w:val="auto"/>
          <w:sz w:val="20"/>
          <w:szCs w:val="20"/>
          <w:bdr w:val="none" w:sz="0" w:space="0" w:color="auto" w:frame="1"/>
          <w:lang w:val="es-CO"/>
        </w:rPr>
        <w:t xml:space="preserve"> De igual manera, la </w:t>
      </w:r>
      <w:proofErr w:type="spellStart"/>
      <w:r w:rsidRPr="00E70EA2">
        <w:rPr>
          <w:rFonts w:ascii="Arial" w:hAnsi="Arial" w:cs="Arial"/>
          <w:i/>
          <w:color w:val="auto"/>
          <w:sz w:val="20"/>
          <w:szCs w:val="20"/>
          <w:bdr w:val="none" w:sz="0" w:space="0" w:color="auto" w:frame="1"/>
          <w:lang w:val="es-CO"/>
        </w:rPr>
        <w:t>vinculatoriedad</w:t>
      </w:r>
      <w:proofErr w:type="spellEnd"/>
      <w:r w:rsidRPr="00E70EA2">
        <w:rPr>
          <w:rFonts w:ascii="Arial" w:hAnsi="Arial" w:cs="Arial"/>
          <w:i/>
          <w:color w:val="auto"/>
          <w:sz w:val="20"/>
          <w:szCs w:val="20"/>
          <w:bdr w:val="none" w:sz="0" w:space="0" w:color="auto" w:frame="1"/>
          <w:lang w:val="es-CO"/>
        </w:rPr>
        <w:t xml:space="preserve"> de los precedentes garantiza de mejor manera la vigencia del derecho a la igualdad ante la ley de los ciudadanos, por cuanto casos semejantes son fallados de igual manera. </w:t>
      </w:r>
      <w:r w:rsidRPr="00E70EA2">
        <w:rPr>
          <w:rFonts w:ascii="Arial" w:hAnsi="Arial" w:cs="Arial"/>
          <w:i/>
          <w:color w:val="auto"/>
          <w:sz w:val="20"/>
          <w:szCs w:val="20"/>
          <w:u w:val="single"/>
          <w:bdr w:val="none" w:sz="0" w:space="0" w:color="auto" w:frame="1"/>
          <w:lang w:val="es-CO"/>
        </w:rPr>
        <w:t>Así mismo, la sumisión de los jueces ordinarios a los precedentes sentados por las Altas Cortes asegura una mayor seguridad jurídica para el tráfico jurídico entre los particulares.</w:t>
      </w:r>
      <w:r w:rsidRPr="00E70EA2">
        <w:rPr>
          <w:rFonts w:ascii="Arial" w:hAnsi="Arial" w:cs="Arial"/>
          <w:i/>
          <w:color w:val="auto"/>
          <w:sz w:val="20"/>
          <w:szCs w:val="20"/>
          <w:bdr w:val="none" w:sz="0" w:space="0" w:color="auto" w:frame="1"/>
          <w:lang w:val="es-CO"/>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 </w:t>
      </w:r>
      <w:r w:rsidRPr="00E70EA2">
        <w:rPr>
          <w:rFonts w:ascii="Arial" w:hAnsi="Arial" w:cs="Arial"/>
          <w:bCs/>
          <w:i/>
          <w:color w:val="auto"/>
          <w:sz w:val="20"/>
          <w:szCs w:val="20"/>
          <w:bdr w:val="none" w:sz="0" w:space="0" w:color="auto" w:frame="1"/>
          <w:lang w:val="es-CO"/>
        </w:rPr>
        <w:t>3.7.9.</w:t>
      </w:r>
      <w:r w:rsidRPr="00E70EA2">
        <w:rPr>
          <w:rFonts w:ascii="Arial" w:hAnsi="Arial" w:cs="Arial"/>
          <w:i/>
          <w:color w:val="auto"/>
          <w:sz w:val="20"/>
          <w:szCs w:val="20"/>
          <w:lang w:val="es-CO"/>
        </w:rPr>
        <w:t> </w:t>
      </w:r>
      <w:r w:rsidRPr="00E70EA2">
        <w:rPr>
          <w:rFonts w:ascii="Arial" w:hAnsi="Arial" w:cs="Arial"/>
          <w:i/>
          <w:color w:val="auto"/>
          <w:sz w:val="20"/>
          <w:szCs w:val="20"/>
          <w:bdr w:val="none" w:sz="0" w:space="0" w:color="auto" w:frame="1"/>
          <w:lang w:val="es-CO"/>
        </w:rPr>
        <w:t>Luego en  la Sentencia C-816 de 2011,  la Corporación sostuvo:</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iCs/>
          <w:color w:val="auto"/>
          <w:sz w:val="20"/>
          <w:szCs w:val="20"/>
          <w:bdr w:val="none" w:sz="0" w:space="0" w:color="auto" w:frame="1"/>
        </w:rPr>
        <w:t>La fuerza vinculante de las decisiones de las denominadas altas cortes surge de su definición constitucional como</w:t>
      </w:r>
      <w:r w:rsidRPr="00E70EA2">
        <w:rPr>
          <w:rFonts w:ascii="Arial" w:hAnsi="Arial" w:cs="Arial"/>
          <w:i/>
          <w:iCs/>
          <w:color w:val="auto"/>
          <w:sz w:val="20"/>
          <w:szCs w:val="20"/>
        </w:rPr>
        <w:t> </w:t>
      </w:r>
      <w:r w:rsidRPr="00E70EA2">
        <w:rPr>
          <w:rFonts w:ascii="Arial" w:hAnsi="Arial" w:cs="Arial"/>
          <w:bCs/>
          <w:i/>
          <w:iCs/>
          <w:color w:val="auto"/>
          <w:sz w:val="20"/>
          <w:szCs w:val="20"/>
          <w:bdr w:val="none" w:sz="0" w:space="0" w:color="auto" w:frame="1"/>
        </w:rPr>
        <w:t>órganos jurisdiccionales de cierre, condición que les impone el deber de unificación jurisprudencial en sus respectivas jurisdicciones</w:t>
      </w:r>
      <w:r w:rsidRPr="00E70EA2">
        <w:rPr>
          <w:rFonts w:ascii="Arial" w:hAnsi="Arial" w:cs="Arial"/>
          <w:i/>
          <w:iCs/>
          <w:color w:val="auto"/>
          <w:sz w:val="20"/>
          <w:szCs w:val="20"/>
          <w:bdr w:val="none" w:sz="0" w:space="0" w:color="auto" w:frame="1"/>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bCs/>
          <w:i/>
          <w:color w:val="auto"/>
          <w:sz w:val="20"/>
          <w:szCs w:val="20"/>
          <w:bdr w:val="none" w:sz="0" w:space="0" w:color="auto" w:frame="1"/>
          <w:lang w:val="es-CO"/>
        </w:rPr>
        <w:t>3.7.10.</w:t>
      </w:r>
      <w:r w:rsidRPr="00E70EA2">
        <w:rPr>
          <w:rFonts w:ascii="Arial" w:hAnsi="Arial" w:cs="Arial"/>
          <w:i/>
          <w:color w:val="auto"/>
          <w:sz w:val="20"/>
          <w:szCs w:val="20"/>
          <w:lang w:val="es-CO"/>
        </w:rPr>
        <w:t> </w:t>
      </w:r>
      <w:r w:rsidRPr="00E70EA2">
        <w:rPr>
          <w:rFonts w:ascii="Arial" w:hAnsi="Arial" w:cs="Arial"/>
          <w:i/>
          <w:color w:val="auto"/>
          <w:sz w:val="20"/>
          <w:szCs w:val="20"/>
          <w:bdr w:val="none" w:sz="0" w:space="0" w:color="auto" w:frame="1"/>
          <w:lang w:val="es-CO"/>
        </w:rPr>
        <w:t xml:space="preserve">En una reciente decisión la Corte, en Sentencia de Unificación, se refirió con toda claridad a la importancia del precedente de las Altas Cortes, al pronunciarse sobre </w:t>
      </w:r>
      <w:r w:rsidRPr="00E70EA2">
        <w:rPr>
          <w:rFonts w:ascii="Arial" w:hAnsi="Arial" w:cs="Arial"/>
          <w:i/>
          <w:color w:val="auto"/>
          <w:sz w:val="20"/>
          <w:szCs w:val="20"/>
          <w:bdr w:val="none" w:sz="0" w:space="0" w:color="auto" w:frame="1"/>
          <w:lang w:val="es-CO"/>
        </w:rPr>
        <w:lastRenderedPageBreak/>
        <w:t>la causal de nulidad de sentencias vía acción de tutela por desconocimiento del precedente. Al respecto la Corte reiteró:</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lang w:val="es-CO"/>
        </w:rPr>
        <w:t> </w:t>
      </w:r>
      <w:r w:rsidRPr="00E70EA2">
        <w:rPr>
          <w:rFonts w:ascii="Arial" w:hAnsi="Arial" w:cs="Arial"/>
          <w:i/>
          <w:color w:val="auto"/>
          <w:sz w:val="20"/>
          <w:szCs w:val="20"/>
          <w:bdr w:val="none" w:sz="0" w:space="0" w:color="auto" w:frame="1"/>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iCs/>
          <w:color w:val="auto"/>
          <w:sz w:val="20"/>
          <w:szCs w:val="20"/>
          <w:bdr w:val="none" w:sz="0" w:space="0" w:color="auto" w:frame="1"/>
        </w:rPr>
        <w:t>Ahora bien, como se explicó líneas atrás, cuando el precedente emana de los altos tribunales de justicia en el país (Corte Constitucional, Corte Suprema de Justicia y Consejo de Estado), adquiere un carácter ordenador y unificador que busca realizar los principios de primacía de la Constitución, igualdad, confianza, certeza del derecho y debido proceso. Adicionalmente, se considera indispensable como técnica judicial para mantener la coherencia del ordenamiento.</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iCs/>
          <w:color w:val="auto"/>
          <w:sz w:val="20"/>
          <w:szCs w:val="20"/>
          <w:bdr w:val="none" w:sz="0" w:space="0" w:color="auto" w:frame="1"/>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iCs/>
          <w:color w:val="auto"/>
          <w:sz w:val="20"/>
          <w:szCs w:val="20"/>
          <w:bdr w:val="none" w:sz="0" w:space="0" w:color="auto" w:frame="1"/>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E70EA2">
        <w:rPr>
          <w:rFonts w:ascii="Arial" w:hAnsi="Arial" w:cs="Arial"/>
          <w:i/>
          <w:iCs/>
          <w:color w:val="auto"/>
          <w:sz w:val="20"/>
          <w:szCs w:val="20"/>
          <w:u w:val="single"/>
          <w:bdr w:val="none" w:sz="0" w:space="0" w:color="auto" w:frame="1"/>
        </w:rPr>
        <w:t>Eso genera la necesidad de que, en primer lugar, sea el juez el que fije el alcance de éste en cada caso concreto y, en segundo lugar, de que haya órganos que permitan disciplinar esa práctica jurídica en pro de la igualdad</w:t>
      </w:r>
      <w:r w:rsidRPr="00E70EA2">
        <w:rPr>
          <w:rFonts w:ascii="Arial" w:hAnsi="Arial" w:cs="Arial"/>
          <w:i/>
          <w:color w:val="auto"/>
          <w:sz w:val="20"/>
          <w:szCs w:val="20"/>
          <w:u w:val="single"/>
          <w:bdr w:val="none" w:sz="0" w:space="0" w:color="auto" w:frame="1"/>
        </w:rPr>
        <w:t>.</w:t>
      </w:r>
      <w:r w:rsidRPr="00E70EA2">
        <w:rPr>
          <w:rFonts w:ascii="Arial" w:hAnsi="Arial" w:cs="Arial"/>
          <w:i/>
          <w:color w:val="auto"/>
          <w:sz w:val="20"/>
          <w:szCs w:val="20"/>
        </w:rPr>
        <w:t xml:space="preserve">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i/>
          <w:color w:val="auto"/>
          <w:sz w:val="20"/>
          <w:szCs w:val="20"/>
        </w:rPr>
      </w:pPr>
      <w:r w:rsidRPr="00E70EA2">
        <w:rPr>
          <w:rFonts w:ascii="Arial" w:hAnsi="Arial" w:cs="Arial"/>
          <w:i/>
          <w:color w:val="auto"/>
          <w:sz w:val="20"/>
          <w:szCs w:val="20"/>
          <w:bdr w:val="none" w:sz="0" w:space="0" w:color="auto" w:frame="1"/>
        </w:rPr>
        <w:t> </w:t>
      </w:r>
    </w:p>
    <w:p w:rsidR="00E97302" w:rsidRPr="00E70EA2" w:rsidRDefault="00E97302" w:rsidP="00207F36">
      <w:pPr>
        <w:widowControl/>
        <w:shd w:val="clear" w:color="auto" w:fill="FFFFFF"/>
        <w:spacing w:line="360" w:lineRule="auto"/>
        <w:ind w:left="543" w:right="693" w:firstLine="15"/>
        <w:jc w:val="both"/>
        <w:textAlignment w:val="baseline"/>
        <w:rPr>
          <w:rFonts w:ascii="Arial" w:hAnsi="Arial" w:cs="Arial"/>
          <w:color w:val="auto"/>
          <w:sz w:val="20"/>
          <w:szCs w:val="20"/>
        </w:rPr>
      </w:pPr>
      <w:r w:rsidRPr="00E70EA2">
        <w:rPr>
          <w:rFonts w:ascii="Arial" w:hAnsi="Arial" w:cs="Arial"/>
          <w:bCs/>
          <w:i/>
          <w:color w:val="auto"/>
          <w:sz w:val="20"/>
          <w:szCs w:val="20"/>
          <w:bdr w:val="none" w:sz="0" w:space="0" w:color="auto" w:frame="1"/>
        </w:rPr>
        <w:t>3.7.11.</w:t>
      </w:r>
      <w:r w:rsidRPr="00E70EA2">
        <w:rPr>
          <w:rFonts w:ascii="Arial" w:hAnsi="Arial" w:cs="Arial"/>
          <w:i/>
          <w:color w:val="auto"/>
          <w:sz w:val="20"/>
          <w:szCs w:val="20"/>
        </w:rPr>
        <w:t> </w:t>
      </w:r>
      <w:r w:rsidRPr="00E70EA2">
        <w:rPr>
          <w:rFonts w:ascii="Arial" w:hAnsi="Arial" w:cs="Arial"/>
          <w:i/>
          <w:color w:val="auto"/>
          <w:sz w:val="20"/>
          <w:szCs w:val="20"/>
          <w:bdr w:val="none" w:sz="0" w:space="0" w:color="auto" w:frame="1"/>
        </w:rPr>
        <w:t>Como bien lo ha sostenido la Corte,</w:t>
      </w:r>
      <w:r w:rsidRPr="00E70EA2">
        <w:rPr>
          <w:rFonts w:ascii="Arial" w:hAnsi="Arial" w:cs="Arial"/>
          <w:i/>
          <w:color w:val="auto"/>
          <w:sz w:val="20"/>
          <w:szCs w:val="20"/>
          <w:lang w:val="es-CO"/>
        </w:rPr>
        <w:t> </w:t>
      </w:r>
      <w:r w:rsidRPr="00E70EA2">
        <w:rPr>
          <w:rFonts w:ascii="Arial" w:hAnsi="Arial" w:cs="Arial"/>
          <w:i/>
          <w:color w:val="auto"/>
          <w:sz w:val="20"/>
          <w:szCs w:val="20"/>
          <w:bdr w:val="none" w:sz="0" w:space="0" w:color="auto" w:frame="1"/>
          <w:lang w:val="es-CO"/>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E70EA2">
        <w:rPr>
          <w:rFonts w:ascii="Arial" w:hAnsi="Arial" w:cs="Arial"/>
          <w:i/>
          <w:color w:val="auto"/>
          <w:sz w:val="20"/>
          <w:szCs w:val="20"/>
          <w:u w:val="single"/>
          <w:bdr w:val="none" w:sz="0" w:space="0" w:color="auto" w:frame="1"/>
          <w:lang w:val="es-CO"/>
        </w:rPr>
        <w:t>(ii) de la potestad otorgada constitucionalmente a las altas corporaciones, como órganos de cierre en sus respectivas jurisdicciones y el cometido de unificación jurisprudencial en el ámbito correspondiente de actuación;</w:t>
      </w:r>
      <w:r w:rsidRPr="00E70EA2">
        <w:rPr>
          <w:rFonts w:ascii="Arial" w:hAnsi="Arial" w:cs="Arial"/>
          <w:i/>
          <w:color w:val="auto"/>
          <w:sz w:val="20"/>
          <w:szCs w:val="20"/>
          <w:bdr w:val="none" w:sz="0" w:space="0" w:color="auto" w:frame="1"/>
          <w:lang w:val="es-CO"/>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E70EA2">
        <w:rPr>
          <w:rFonts w:ascii="Arial" w:hAnsi="Arial" w:cs="Arial"/>
          <w:color w:val="auto"/>
          <w:sz w:val="20"/>
          <w:szCs w:val="20"/>
          <w:bdr w:val="none" w:sz="0" w:space="0" w:color="auto" w:frame="1"/>
          <w:lang w:val="es-CO"/>
        </w:rPr>
        <w:t>(Subrayas fuera del texto original).</w:t>
      </w:r>
    </w:p>
    <w:p w:rsidR="00E97302" w:rsidRPr="00E70EA2" w:rsidRDefault="00E97302" w:rsidP="00207F36">
      <w:pPr>
        <w:spacing w:line="360" w:lineRule="auto"/>
        <w:ind w:right="49"/>
        <w:jc w:val="both"/>
        <w:rPr>
          <w:rFonts w:ascii="Arial" w:hAnsi="Arial" w:cs="Arial"/>
          <w:color w:val="auto"/>
          <w:sz w:val="20"/>
          <w:szCs w:val="20"/>
        </w:rPr>
      </w:pPr>
    </w:p>
    <w:p w:rsidR="00E97302" w:rsidRPr="00021899" w:rsidRDefault="00082D6A" w:rsidP="00207F36">
      <w:pPr>
        <w:spacing w:line="360" w:lineRule="auto"/>
        <w:ind w:right="49"/>
        <w:jc w:val="both"/>
        <w:rPr>
          <w:rFonts w:ascii="Arial" w:hAnsi="Arial" w:cs="Arial"/>
          <w:color w:val="auto"/>
          <w:lang w:val="es-CO"/>
        </w:rPr>
      </w:pPr>
      <w:r w:rsidRPr="00021899">
        <w:rPr>
          <w:rFonts w:ascii="Arial" w:hAnsi="Arial" w:cs="Arial"/>
          <w:color w:val="auto"/>
        </w:rPr>
        <w:t>6</w:t>
      </w:r>
      <w:r w:rsidR="00E97302" w:rsidRPr="00021899">
        <w:rPr>
          <w:rFonts w:ascii="Arial" w:hAnsi="Arial" w:cs="Arial"/>
          <w:color w:val="auto"/>
        </w:rPr>
        <w:t>.</w:t>
      </w:r>
      <w:r w:rsidR="007F4107" w:rsidRPr="00021899">
        <w:rPr>
          <w:rFonts w:ascii="Arial" w:hAnsi="Arial" w:cs="Arial"/>
          <w:color w:val="auto"/>
        </w:rPr>
        <w:t xml:space="preserve">3.9 </w:t>
      </w:r>
      <w:r w:rsidR="00E97302" w:rsidRPr="00021899">
        <w:rPr>
          <w:rFonts w:ascii="Arial" w:hAnsi="Arial" w:cs="Arial"/>
          <w:color w:val="auto"/>
        </w:rPr>
        <w:t xml:space="preserve">Entonces, ante dos pronunciamientos jurisprudenciales con </w:t>
      </w:r>
      <w:r w:rsidR="00E97302" w:rsidRPr="00021899">
        <w:rPr>
          <w:rFonts w:ascii="Arial" w:hAnsi="Arial" w:cs="Arial"/>
          <w:color w:val="auto"/>
          <w:lang w:val="es-CO"/>
        </w:rPr>
        <w:t xml:space="preserve">criterios distintos sobre el alcance de una norma, basados en las consideraciones de la sentencia C-221 del 19 de abril de 2017 y los precedentes de la </w:t>
      </w:r>
      <w:proofErr w:type="spellStart"/>
      <w:r w:rsidR="00E97302" w:rsidRPr="00021899">
        <w:rPr>
          <w:rFonts w:ascii="Arial" w:hAnsi="Arial" w:cs="Arial"/>
          <w:color w:val="auto"/>
          <w:lang w:val="es-CO"/>
        </w:rPr>
        <w:t>SP</w:t>
      </w:r>
      <w:proofErr w:type="spellEnd"/>
      <w:r w:rsidR="00E97302" w:rsidRPr="00021899">
        <w:rPr>
          <w:rFonts w:ascii="Arial" w:hAnsi="Arial" w:cs="Arial"/>
          <w:color w:val="auto"/>
          <w:lang w:val="es-CO"/>
        </w:rPr>
        <w:t xml:space="preserve"> de la CSJ antes referidos, la Sala toma como punto de partida lo decidido por la </w:t>
      </w:r>
      <w:proofErr w:type="spellStart"/>
      <w:r w:rsidR="00E97302" w:rsidRPr="00021899">
        <w:rPr>
          <w:rFonts w:ascii="Arial" w:hAnsi="Arial" w:cs="Arial"/>
          <w:color w:val="auto"/>
          <w:lang w:val="es-CO"/>
        </w:rPr>
        <w:t>SP</w:t>
      </w:r>
      <w:proofErr w:type="spellEnd"/>
      <w:r w:rsidR="00E97302" w:rsidRPr="00021899">
        <w:rPr>
          <w:rFonts w:ascii="Arial" w:hAnsi="Arial" w:cs="Arial"/>
          <w:color w:val="auto"/>
          <w:lang w:val="es-CO"/>
        </w:rPr>
        <w:t xml:space="preserve"> de la CSJ en decisión del 23 de octubre de 2014, radicado </w:t>
      </w:r>
      <w:smartTag w:uri="urn:schemas-microsoft-com:office:smarttags" w:element="metricconverter">
        <w:smartTagPr>
          <w:attr w:name="ProductID" w:val="39538 M"/>
        </w:smartTagPr>
        <w:r w:rsidR="00E97302" w:rsidRPr="00021899">
          <w:rPr>
            <w:rFonts w:ascii="Arial" w:hAnsi="Arial" w:cs="Arial"/>
            <w:color w:val="auto"/>
            <w:lang w:val="es-CO"/>
          </w:rPr>
          <w:t xml:space="preserve">39538 </w:t>
        </w:r>
        <w:proofErr w:type="spellStart"/>
        <w:r w:rsidR="00E97302" w:rsidRPr="00021899">
          <w:rPr>
            <w:rFonts w:ascii="Arial" w:hAnsi="Arial" w:cs="Arial"/>
            <w:color w:val="auto"/>
            <w:lang w:val="es-CO"/>
          </w:rPr>
          <w:t>M</w:t>
        </w:r>
      </w:smartTag>
      <w:r w:rsidR="00E97302" w:rsidRPr="00021899">
        <w:rPr>
          <w:rFonts w:ascii="Arial" w:hAnsi="Arial" w:cs="Arial"/>
          <w:color w:val="auto"/>
          <w:lang w:val="es-CO"/>
        </w:rPr>
        <w:t>.P</w:t>
      </w:r>
      <w:proofErr w:type="spellEnd"/>
      <w:r w:rsidR="00E97302" w:rsidRPr="00021899">
        <w:rPr>
          <w:rFonts w:ascii="Arial" w:hAnsi="Arial" w:cs="Arial"/>
          <w:color w:val="auto"/>
          <w:lang w:val="es-CO"/>
        </w:rPr>
        <w:t xml:space="preserve">. Eugenio Fernández </w:t>
      </w:r>
      <w:proofErr w:type="spellStart"/>
      <w:r w:rsidR="00E97302" w:rsidRPr="00021899">
        <w:rPr>
          <w:rFonts w:ascii="Arial" w:hAnsi="Arial" w:cs="Arial"/>
          <w:color w:val="auto"/>
          <w:lang w:val="es-CO"/>
        </w:rPr>
        <w:t>Carlier</w:t>
      </w:r>
      <w:proofErr w:type="spellEnd"/>
      <w:r w:rsidR="00E97302" w:rsidRPr="00021899">
        <w:rPr>
          <w:rFonts w:ascii="Arial" w:hAnsi="Arial" w:cs="Arial"/>
          <w:color w:val="auto"/>
          <w:lang w:val="es-CO"/>
        </w:rPr>
        <w:t>, donde se manifestó lo siguiente:</w:t>
      </w:r>
    </w:p>
    <w:p w:rsidR="00E97302" w:rsidRPr="00E70EA2" w:rsidRDefault="00E97302" w:rsidP="00207F36">
      <w:pPr>
        <w:spacing w:line="360" w:lineRule="auto"/>
        <w:jc w:val="both"/>
        <w:rPr>
          <w:rFonts w:ascii="Arial" w:hAnsi="Arial" w:cs="Arial"/>
          <w:color w:val="auto"/>
          <w:sz w:val="20"/>
          <w:szCs w:val="20"/>
          <w:lang w:val="es-CO"/>
        </w:rPr>
      </w:pPr>
    </w:p>
    <w:p w:rsidR="00E97302" w:rsidRPr="00E70EA2" w:rsidRDefault="00E97302" w:rsidP="00207F36">
      <w:pPr>
        <w:spacing w:line="360" w:lineRule="auto"/>
        <w:ind w:left="567" w:right="616"/>
        <w:jc w:val="both"/>
        <w:rPr>
          <w:rFonts w:ascii="Arial" w:hAnsi="Arial" w:cs="Arial"/>
          <w:i/>
          <w:color w:val="auto"/>
          <w:sz w:val="20"/>
          <w:szCs w:val="20"/>
          <w:lang w:val="es-CO"/>
        </w:rPr>
      </w:pPr>
      <w:r w:rsidRPr="00E70EA2">
        <w:rPr>
          <w:rFonts w:ascii="Arial" w:hAnsi="Arial" w:cs="Arial"/>
          <w:i/>
          <w:color w:val="auto"/>
          <w:sz w:val="20"/>
          <w:szCs w:val="20"/>
          <w:lang w:val="es-CO"/>
        </w:rPr>
        <w:t xml:space="preserve">“(…) </w:t>
      </w:r>
    </w:p>
    <w:p w:rsidR="00E97302" w:rsidRPr="00E70EA2" w:rsidRDefault="00E97302" w:rsidP="00207F36">
      <w:pPr>
        <w:spacing w:line="360" w:lineRule="auto"/>
        <w:ind w:right="616"/>
        <w:jc w:val="both"/>
        <w:rPr>
          <w:rFonts w:ascii="Arial" w:hAnsi="Arial" w:cs="Arial"/>
          <w:i/>
          <w:color w:val="auto"/>
          <w:sz w:val="20"/>
          <w:szCs w:val="20"/>
          <w:lang w:val="es-MX" w:eastAsia="es-MX"/>
        </w:rPr>
      </w:pPr>
    </w:p>
    <w:p w:rsidR="00E97302" w:rsidRPr="00E70EA2" w:rsidRDefault="00E97302" w:rsidP="00207F36">
      <w:pPr>
        <w:spacing w:line="360" w:lineRule="auto"/>
        <w:ind w:left="567" w:right="616"/>
        <w:jc w:val="both"/>
        <w:rPr>
          <w:rFonts w:ascii="Arial" w:hAnsi="Arial" w:cs="Arial"/>
          <w:i/>
          <w:color w:val="auto"/>
          <w:sz w:val="20"/>
          <w:szCs w:val="20"/>
          <w:lang w:val="es-MX" w:eastAsia="es-MX"/>
        </w:rPr>
      </w:pPr>
      <w:r w:rsidRPr="00E70EA2">
        <w:rPr>
          <w:rFonts w:ascii="Arial" w:hAnsi="Arial" w:cs="Arial"/>
          <w:i/>
          <w:color w:val="auto"/>
          <w:sz w:val="20"/>
          <w:szCs w:val="20"/>
          <w:lang w:val="es-MX" w:eastAsia="es-MX"/>
        </w:rPr>
        <w:t xml:space="preserve"> “...para proteger la dignidad y la majestad de la justicia, para aislarla de toda clase de </w:t>
      </w:r>
      <w:r w:rsidRPr="00E70EA2">
        <w:rPr>
          <w:rFonts w:ascii="Arial" w:hAnsi="Arial" w:cs="Arial"/>
          <w:i/>
          <w:color w:val="auto"/>
          <w:sz w:val="20"/>
          <w:szCs w:val="20"/>
          <w:lang w:val="es-MX" w:eastAsia="es-MX"/>
        </w:rPr>
        <w:lastRenderedPageBreak/>
        <w:t xml:space="preserve">presiones indebidas se ha reconocido autonomía e independencia en el </w:t>
      </w:r>
      <w:r w:rsidRPr="00E70EA2">
        <w:rPr>
          <w:rFonts w:ascii="Arial" w:hAnsi="Arial" w:cs="Arial"/>
          <w:i/>
          <w:color w:val="auto"/>
          <w:sz w:val="20"/>
          <w:szCs w:val="20"/>
          <w:lang w:val="es-CO"/>
        </w:rPr>
        <w:t>«</w:t>
      </w:r>
      <w:r w:rsidRPr="00E70EA2">
        <w:rPr>
          <w:rFonts w:ascii="Arial" w:hAnsi="Arial" w:cs="Arial"/>
          <w:i/>
          <w:color w:val="auto"/>
          <w:sz w:val="20"/>
          <w:szCs w:val="20"/>
          <w:lang w:val="es-MX" w:eastAsia="es-MX"/>
        </w:rPr>
        <w:t>ejercicio de su función constitucional y legal de administrar justicia</w:t>
      </w:r>
      <w:r w:rsidRPr="00E70EA2">
        <w:rPr>
          <w:rFonts w:ascii="Arial" w:hAnsi="Arial" w:cs="Arial"/>
          <w:i/>
          <w:color w:val="auto"/>
          <w:sz w:val="20"/>
          <w:szCs w:val="20"/>
          <w:lang w:val="es-CO"/>
        </w:rPr>
        <w:t>»</w:t>
      </w:r>
      <w:r w:rsidRPr="00E70EA2">
        <w:rPr>
          <w:rFonts w:ascii="Arial" w:hAnsi="Arial" w:cs="Arial"/>
          <w:i/>
          <w:color w:val="auto"/>
          <w:sz w:val="20"/>
          <w:szCs w:val="20"/>
          <w:lang w:val="es-MX" w:eastAsia="es-MX"/>
        </w:rPr>
        <w:t xml:space="preserve"> (artículos 5 de la Ley Estatutaria de Administración de Justicia y 228 de la Constitución Política.). </w:t>
      </w:r>
    </w:p>
    <w:p w:rsidR="00E97302" w:rsidRPr="00E70EA2" w:rsidRDefault="00E97302" w:rsidP="00207F36">
      <w:pPr>
        <w:spacing w:line="360" w:lineRule="auto"/>
        <w:ind w:left="567" w:right="616"/>
        <w:jc w:val="both"/>
        <w:rPr>
          <w:rFonts w:ascii="Arial" w:hAnsi="Arial" w:cs="Arial"/>
          <w:color w:val="auto"/>
          <w:sz w:val="20"/>
          <w:szCs w:val="20"/>
          <w:lang w:val="es-MX" w:eastAsia="es-MX"/>
        </w:rPr>
      </w:pPr>
      <w:r w:rsidRPr="00E70EA2">
        <w:rPr>
          <w:rFonts w:ascii="Arial" w:hAnsi="Arial" w:cs="Arial"/>
          <w:color w:val="auto"/>
          <w:sz w:val="20"/>
          <w:szCs w:val="20"/>
          <w:lang w:val="es-MX" w:eastAsia="es-MX"/>
        </w:rPr>
        <w:t>(...)</w:t>
      </w:r>
    </w:p>
    <w:p w:rsidR="00E97302" w:rsidRPr="00E70EA2" w:rsidRDefault="00E97302" w:rsidP="00207F36">
      <w:pPr>
        <w:spacing w:line="360" w:lineRule="auto"/>
        <w:ind w:left="567" w:right="616"/>
        <w:jc w:val="both"/>
        <w:rPr>
          <w:rFonts w:ascii="Arial" w:hAnsi="Arial" w:cs="Arial"/>
          <w:color w:val="auto"/>
          <w:sz w:val="20"/>
          <w:szCs w:val="20"/>
          <w:lang w:val="es-MX" w:eastAsia="es-MX"/>
        </w:rPr>
      </w:pPr>
    </w:p>
    <w:p w:rsidR="00E97302" w:rsidRPr="00E70EA2" w:rsidRDefault="00E97302" w:rsidP="00207F36">
      <w:pPr>
        <w:spacing w:line="360" w:lineRule="auto"/>
        <w:ind w:left="567" w:right="616"/>
        <w:jc w:val="both"/>
        <w:rPr>
          <w:rFonts w:ascii="Arial" w:hAnsi="Arial" w:cs="Arial"/>
          <w:i/>
          <w:iCs/>
          <w:color w:val="auto"/>
          <w:spacing w:val="-3"/>
          <w:sz w:val="20"/>
          <w:szCs w:val="20"/>
          <w:lang w:val="es-CO" w:eastAsia="es-MX"/>
        </w:rPr>
      </w:pPr>
      <w:r w:rsidRPr="00E70EA2">
        <w:rPr>
          <w:rFonts w:ascii="Arial" w:hAnsi="Arial" w:cs="Arial"/>
          <w:i/>
          <w:iCs/>
          <w:color w:val="auto"/>
          <w:spacing w:val="-3"/>
          <w:sz w:val="20"/>
          <w:szCs w:val="20"/>
          <w:lang w:val="es-CO" w:eastAsia="es-MX"/>
        </w:rPr>
        <w:t xml:space="preserve">La autonomía y la independencia desde una perspectiva funcional </w:t>
      </w:r>
      <w:r w:rsidRPr="00E70EA2">
        <w:rPr>
          <w:rFonts w:ascii="Arial" w:hAnsi="Arial" w:cs="Arial"/>
          <w:i/>
          <w:iCs/>
          <w:color w:val="auto"/>
          <w:spacing w:val="-3"/>
          <w:sz w:val="20"/>
          <w:szCs w:val="20"/>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E70EA2">
        <w:rPr>
          <w:rFonts w:ascii="Arial" w:hAnsi="Arial" w:cs="Arial"/>
          <w:i/>
          <w:iCs/>
          <w:color w:val="auto"/>
          <w:spacing w:val="-3"/>
          <w:sz w:val="20"/>
          <w:szCs w:val="20"/>
          <w:lang w:val="es-CO" w:eastAsia="es-MX"/>
        </w:rPr>
        <w:t xml:space="preserve"> en ese campo la Corte Constitucional reconoce en la sentencia C.037 de 1996 que: </w:t>
      </w:r>
    </w:p>
    <w:p w:rsidR="00E97302" w:rsidRPr="00E70EA2" w:rsidRDefault="00E97302" w:rsidP="00207F36">
      <w:pPr>
        <w:spacing w:line="360" w:lineRule="auto"/>
        <w:ind w:left="567" w:right="616"/>
        <w:jc w:val="both"/>
        <w:rPr>
          <w:rFonts w:ascii="Arial" w:hAnsi="Arial" w:cs="Arial"/>
          <w:iCs/>
          <w:color w:val="auto"/>
          <w:spacing w:val="-3"/>
          <w:sz w:val="20"/>
          <w:szCs w:val="20"/>
          <w:lang w:val="es-CO" w:eastAsia="es-MX"/>
        </w:rPr>
      </w:pPr>
    </w:p>
    <w:p w:rsidR="00E97302" w:rsidRPr="00E70EA2" w:rsidRDefault="00E97302" w:rsidP="00207F36">
      <w:pPr>
        <w:spacing w:line="360" w:lineRule="auto"/>
        <w:ind w:left="567" w:right="616"/>
        <w:jc w:val="both"/>
        <w:rPr>
          <w:rFonts w:ascii="Arial" w:hAnsi="Arial" w:cs="Arial"/>
          <w:i/>
          <w:color w:val="auto"/>
          <w:sz w:val="20"/>
          <w:szCs w:val="20"/>
          <w:lang w:val="es-CO" w:eastAsia="es-MX"/>
        </w:rPr>
      </w:pPr>
      <w:r w:rsidRPr="00E70EA2">
        <w:rPr>
          <w:rFonts w:ascii="Arial" w:hAnsi="Arial" w:cs="Arial"/>
          <w:i/>
          <w:color w:val="auto"/>
          <w:sz w:val="20"/>
          <w:szCs w:val="20"/>
          <w:lang w:val="es-CO"/>
        </w:rPr>
        <w:t>«</w:t>
      </w:r>
      <w:r w:rsidRPr="00E70EA2">
        <w:rPr>
          <w:rFonts w:ascii="Arial" w:hAnsi="Arial" w:cs="Arial"/>
          <w:i/>
          <w:color w:val="auto"/>
          <w:sz w:val="20"/>
          <w:szCs w:val="20"/>
          <w:lang w:val="es-CO"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w:t>
      </w:r>
      <w:smartTag w:uri="urn:schemas-microsoft-com:office:smarttags" w:element="metricconverter">
        <w:smartTagPr>
          <w:attr w:name="ProductID" w:val="228 C"/>
        </w:smartTagPr>
        <w:r w:rsidRPr="00E70EA2">
          <w:rPr>
            <w:rFonts w:ascii="Arial" w:hAnsi="Arial" w:cs="Arial"/>
            <w:i/>
            <w:color w:val="auto"/>
            <w:sz w:val="20"/>
            <w:szCs w:val="20"/>
            <w:lang w:val="es-CO" w:eastAsia="es-MX"/>
          </w:rPr>
          <w:t>228 C</w:t>
        </w:r>
      </w:smartTag>
      <w:r w:rsidRPr="00E70EA2">
        <w:rPr>
          <w:rFonts w:ascii="Arial" w:hAnsi="Arial" w:cs="Arial"/>
          <w:i/>
          <w:color w:val="auto"/>
          <w:sz w:val="20"/>
          <w:szCs w:val="20"/>
          <w:lang w:val="es-CO" w:eastAsia="es-MX"/>
        </w:rPr>
        <w:t xml:space="preserve">.P.). </w:t>
      </w:r>
    </w:p>
    <w:p w:rsidR="00E97302" w:rsidRPr="00E70EA2" w:rsidRDefault="00E97302" w:rsidP="00207F36">
      <w:pPr>
        <w:spacing w:line="360" w:lineRule="auto"/>
        <w:ind w:left="567" w:right="616"/>
        <w:jc w:val="both"/>
        <w:rPr>
          <w:rFonts w:ascii="Arial" w:hAnsi="Arial" w:cs="Arial"/>
          <w:color w:val="auto"/>
          <w:sz w:val="20"/>
          <w:szCs w:val="20"/>
          <w:lang w:val="es-CO" w:eastAsia="es-MX"/>
        </w:rPr>
      </w:pPr>
    </w:p>
    <w:p w:rsidR="00E97302" w:rsidRPr="00E70EA2" w:rsidRDefault="00E97302" w:rsidP="00207F36">
      <w:pPr>
        <w:spacing w:line="360" w:lineRule="auto"/>
        <w:ind w:left="567" w:right="616"/>
        <w:jc w:val="both"/>
        <w:rPr>
          <w:rFonts w:ascii="Arial" w:hAnsi="Arial" w:cs="Arial"/>
          <w:color w:val="auto"/>
          <w:sz w:val="20"/>
          <w:szCs w:val="20"/>
          <w:lang w:val="es-CO" w:eastAsia="es-MX"/>
        </w:rPr>
      </w:pPr>
      <w:r w:rsidRPr="00E70EA2">
        <w:rPr>
          <w:rFonts w:ascii="Arial" w:hAnsi="Arial" w:cs="Arial"/>
          <w:color w:val="auto"/>
          <w:sz w:val="20"/>
          <w:szCs w:val="20"/>
          <w:lang w:val="es-CO" w:eastAsia="es-MX"/>
        </w:rPr>
        <w:t>(...)</w:t>
      </w:r>
    </w:p>
    <w:p w:rsidR="00E97302" w:rsidRPr="00E70EA2" w:rsidRDefault="00E97302" w:rsidP="00207F36">
      <w:pPr>
        <w:spacing w:line="360" w:lineRule="auto"/>
        <w:ind w:right="616"/>
        <w:jc w:val="both"/>
        <w:rPr>
          <w:rFonts w:ascii="Arial" w:hAnsi="Arial" w:cs="Arial"/>
          <w:color w:val="auto"/>
          <w:sz w:val="20"/>
          <w:szCs w:val="20"/>
          <w:lang w:val="es-CO" w:eastAsia="es-MX"/>
        </w:rPr>
      </w:pPr>
    </w:p>
    <w:p w:rsidR="00E97302" w:rsidRPr="00E70EA2" w:rsidRDefault="00E97302" w:rsidP="00207F36">
      <w:pPr>
        <w:spacing w:line="360" w:lineRule="auto"/>
        <w:ind w:left="567" w:right="616"/>
        <w:jc w:val="both"/>
        <w:rPr>
          <w:rFonts w:ascii="Arial" w:hAnsi="Arial" w:cs="Arial"/>
          <w:color w:val="auto"/>
          <w:sz w:val="20"/>
          <w:szCs w:val="20"/>
          <w:lang w:val="es-CO" w:eastAsia="es-MX"/>
        </w:rPr>
      </w:pPr>
      <w:r w:rsidRPr="00E70EA2">
        <w:rPr>
          <w:rFonts w:ascii="Arial" w:hAnsi="Arial" w:cs="Arial"/>
          <w:i/>
          <w:color w:val="auto"/>
          <w:sz w:val="20"/>
          <w:szCs w:val="20"/>
          <w:u w:val="single"/>
          <w:lang w:val="es-CO" w:eastAsia="es-MX"/>
        </w:rPr>
        <w:t>Que las decisiones de los órganos de cierre en la administración de justicia en el ámbito de sus competencias funcionales son intangibles,</w:t>
      </w:r>
      <w:r w:rsidRPr="00E70EA2">
        <w:rPr>
          <w:rFonts w:ascii="Arial" w:hAnsi="Arial" w:cs="Arial"/>
          <w:color w:val="auto"/>
          <w:sz w:val="20"/>
          <w:szCs w:val="20"/>
          <w:lang w:val="es-CO" w:eastAsia="es-MX"/>
        </w:rPr>
        <w:t xml:space="preserve"> es asunto que ya ha definido la Corte Constitucional en la sentencia C.037 de 1996 al señalar:</w:t>
      </w:r>
    </w:p>
    <w:p w:rsidR="00E97302" w:rsidRPr="00E70EA2" w:rsidRDefault="00E97302" w:rsidP="00207F36">
      <w:pPr>
        <w:spacing w:line="360" w:lineRule="auto"/>
        <w:ind w:left="567" w:right="616"/>
        <w:jc w:val="both"/>
        <w:rPr>
          <w:rFonts w:ascii="Arial" w:hAnsi="Arial" w:cs="Arial"/>
          <w:color w:val="auto"/>
          <w:sz w:val="20"/>
          <w:szCs w:val="20"/>
          <w:lang w:val="es-CO" w:eastAsia="es-MX"/>
        </w:rPr>
      </w:pPr>
    </w:p>
    <w:p w:rsidR="00E97302" w:rsidRPr="00E70EA2" w:rsidRDefault="00E97302" w:rsidP="00207F36">
      <w:pPr>
        <w:spacing w:line="360" w:lineRule="auto"/>
        <w:ind w:left="567" w:right="616"/>
        <w:jc w:val="both"/>
        <w:rPr>
          <w:rFonts w:ascii="Arial" w:hAnsi="Arial" w:cs="Arial"/>
          <w:i/>
          <w:color w:val="auto"/>
          <w:sz w:val="20"/>
          <w:szCs w:val="20"/>
          <w:u w:val="single"/>
          <w:lang w:val="es-CO" w:eastAsia="es-MX"/>
        </w:rPr>
      </w:pPr>
      <w:r w:rsidRPr="00E70EA2">
        <w:rPr>
          <w:rFonts w:ascii="Arial" w:hAnsi="Arial" w:cs="Arial"/>
          <w:i/>
          <w:color w:val="auto"/>
          <w:sz w:val="20"/>
          <w:szCs w:val="20"/>
          <w:lang w:val="es-CO"/>
        </w:rPr>
        <w:t>«</w:t>
      </w:r>
      <w:r w:rsidRPr="00E70EA2">
        <w:rPr>
          <w:rFonts w:ascii="Arial" w:hAnsi="Arial" w:cs="Arial"/>
          <w:i/>
          <w:color w:val="auto"/>
          <w:sz w:val="20"/>
          <w:szCs w:val="20"/>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E70EA2">
        <w:rPr>
          <w:rFonts w:ascii="Arial" w:hAnsi="Arial" w:cs="Arial"/>
          <w:i/>
          <w:color w:val="auto"/>
          <w:sz w:val="20"/>
          <w:szCs w:val="20"/>
          <w:u w:val="single"/>
          <w:lang w:val="es-CO" w:eastAsia="es-MX"/>
        </w:rPr>
        <w:t xml:space="preserve">Sobre el particular, entiende la Corte que la Constitución ha determinado un órgano límite o una autoridad máxima dentro de cada jurisdicción; así, para la jurisdicción constitucional se ha previsto a la Corte Constitucional (Art. </w:t>
      </w:r>
      <w:smartTag w:uri="urn:schemas-microsoft-com:office:smarttags" w:element="metricconverter">
        <w:smartTagPr>
          <w:attr w:name="ProductID" w:val="241 C"/>
        </w:smartTagPr>
        <w:r w:rsidRPr="00E70EA2">
          <w:rPr>
            <w:rFonts w:ascii="Arial" w:hAnsi="Arial" w:cs="Arial"/>
            <w:i/>
            <w:color w:val="auto"/>
            <w:sz w:val="20"/>
            <w:szCs w:val="20"/>
            <w:u w:val="single"/>
            <w:lang w:val="es-CO" w:eastAsia="es-MX"/>
          </w:rPr>
          <w:t>241 C</w:t>
        </w:r>
      </w:smartTag>
      <w:r w:rsidRPr="00E70EA2">
        <w:rPr>
          <w:rFonts w:ascii="Arial" w:hAnsi="Arial" w:cs="Arial"/>
          <w:i/>
          <w:color w:val="auto"/>
          <w:sz w:val="20"/>
          <w:szCs w:val="20"/>
          <w:u w:val="single"/>
          <w:lang w:val="es-CO" w:eastAsia="es-MX"/>
        </w:rPr>
        <w:t xml:space="preserve">.P.), para la ordinaria a la Corte Suprema de Justicia (art. </w:t>
      </w:r>
      <w:smartTag w:uri="urn:schemas-microsoft-com:office:smarttags" w:element="metricconverter">
        <w:smartTagPr>
          <w:attr w:name="ProductID" w:val="234 C"/>
        </w:smartTagPr>
        <w:r w:rsidRPr="00E70EA2">
          <w:rPr>
            <w:rFonts w:ascii="Arial" w:hAnsi="Arial" w:cs="Arial"/>
            <w:i/>
            <w:color w:val="auto"/>
            <w:sz w:val="20"/>
            <w:szCs w:val="20"/>
            <w:u w:val="single"/>
            <w:lang w:val="es-CO" w:eastAsia="es-MX"/>
          </w:rPr>
          <w:t>234 C</w:t>
        </w:r>
      </w:smartTag>
      <w:r w:rsidRPr="00E70EA2">
        <w:rPr>
          <w:rFonts w:ascii="Arial" w:hAnsi="Arial" w:cs="Arial"/>
          <w:i/>
          <w:color w:val="auto"/>
          <w:sz w:val="20"/>
          <w:szCs w:val="20"/>
          <w:u w:val="single"/>
          <w:lang w:val="es-CO" w:eastAsia="es-MX"/>
        </w:rPr>
        <w:t xml:space="preserve">.P.), para la contencioso administrativa al Consejo de Estado (Art. </w:t>
      </w:r>
      <w:smartTag w:uri="urn:schemas-microsoft-com:office:smarttags" w:element="metricconverter">
        <w:smartTagPr>
          <w:attr w:name="ProductID" w:val="237 C"/>
        </w:smartTagPr>
        <w:r w:rsidRPr="00E70EA2">
          <w:rPr>
            <w:rFonts w:ascii="Arial" w:hAnsi="Arial" w:cs="Arial"/>
            <w:i/>
            <w:color w:val="auto"/>
            <w:sz w:val="20"/>
            <w:szCs w:val="20"/>
            <w:u w:val="single"/>
            <w:lang w:val="es-CO" w:eastAsia="es-MX"/>
          </w:rPr>
          <w:t>237 C</w:t>
        </w:r>
      </w:smartTag>
      <w:r w:rsidRPr="00E70EA2">
        <w:rPr>
          <w:rFonts w:ascii="Arial" w:hAnsi="Arial" w:cs="Arial"/>
          <w:i/>
          <w:color w:val="auto"/>
          <w:sz w:val="20"/>
          <w:szCs w:val="20"/>
          <w:u w:val="single"/>
          <w:lang w:val="es-CO" w:eastAsia="es-MX"/>
        </w:rPr>
        <w:t xml:space="preserve">.P.) y para la jurisdiccional disciplinaria a la correspondiente sala del Consejo Superior de la Judicatura (Art. </w:t>
      </w:r>
      <w:smartTag w:uri="urn:schemas-microsoft-com:office:smarttags" w:element="metricconverter">
        <w:smartTagPr>
          <w:attr w:name="ProductID" w:val="257 C"/>
        </w:smartTagPr>
        <w:r w:rsidRPr="00E70EA2">
          <w:rPr>
            <w:rFonts w:ascii="Arial" w:hAnsi="Arial" w:cs="Arial"/>
            <w:i/>
            <w:color w:val="auto"/>
            <w:sz w:val="20"/>
            <w:szCs w:val="20"/>
            <w:u w:val="single"/>
            <w:lang w:val="es-CO" w:eastAsia="es-MX"/>
          </w:rPr>
          <w:t>257 C</w:t>
        </w:r>
      </w:smartTag>
      <w:r w:rsidRPr="00E70EA2">
        <w:rPr>
          <w:rFonts w:ascii="Arial" w:hAnsi="Arial" w:cs="Arial"/>
          <w:i/>
          <w:color w:val="auto"/>
          <w:sz w:val="20"/>
          <w:szCs w:val="20"/>
          <w:u w:val="single"/>
          <w:lang w:val="es-CO" w:eastAsia="es-MX"/>
        </w:rPr>
        <w:t>.P.).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E70EA2">
        <w:rPr>
          <w:rFonts w:ascii="Arial" w:hAnsi="Arial" w:cs="Arial"/>
          <w:i/>
          <w:color w:val="auto"/>
          <w:sz w:val="20"/>
          <w:szCs w:val="20"/>
          <w:u w:val="single"/>
          <w:lang w:val="es-CO"/>
        </w:rPr>
        <w:t>».</w:t>
      </w:r>
      <w:r w:rsidRPr="00E70EA2">
        <w:rPr>
          <w:rFonts w:ascii="Arial" w:hAnsi="Arial" w:cs="Arial"/>
          <w:i/>
          <w:color w:val="auto"/>
          <w:sz w:val="20"/>
          <w:szCs w:val="20"/>
          <w:u w:val="single"/>
          <w:lang w:val="es-CO" w:eastAsia="es-MX"/>
        </w:rPr>
        <w:t xml:space="preserve"> </w:t>
      </w:r>
      <w:r w:rsidRPr="00E70EA2">
        <w:rPr>
          <w:rFonts w:ascii="Arial" w:hAnsi="Arial" w:cs="Arial"/>
          <w:color w:val="auto"/>
          <w:sz w:val="20"/>
          <w:szCs w:val="20"/>
          <w:u w:val="single"/>
          <w:lang w:val="es-CO" w:eastAsia="es-MX"/>
        </w:rPr>
        <w:t>(Subrayado fuera del texto original).</w:t>
      </w:r>
    </w:p>
    <w:p w:rsidR="00E97302" w:rsidRPr="00E70EA2" w:rsidRDefault="00E97302" w:rsidP="00207F36">
      <w:pPr>
        <w:spacing w:line="360" w:lineRule="auto"/>
        <w:ind w:right="616"/>
        <w:jc w:val="both"/>
        <w:rPr>
          <w:rFonts w:ascii="Arial" w:hAnsi="Arial" w:cs="Arial"/>
          <w:i/>
          <w:color w:val="auto"/>
          <w:sz w:val="20"/>
          <w:szCs w:val="20"/>
          <w:u w:val="single"/>
          <w:lang w:val="es-MX" w:eastAsia="es-MX"/>
        </w:rPr>
      </w:pPr>
    </w:p>
    <w:p w:rsidR="00E97302" w:rsidRPr="00021899" w:rsidRDefault="00E97302" w:rsidP="00207F36">
      <w:pPr>
        <w:spacing w:line="360" w:lineRule="auto"/>
        <w:ind w:left="567" w:right="616"/>
        <w:jc w:val="both"/>
        <w:rPr>
          <w:rFonts w:ascii="Arial" w:hAnsi="Arial" w:cs="Arial"/>
          <w:color w:val="auto"/>
          <w:lang w:val="es-MX" w:eastAsia="es-MX"/>
        </w:rPr>
      </w:pPr>
    </w:p>
    <w:p w:rsidR="00E97302" w:rsidRPr="00021899" w:rsidRDefault="00082D6A" w:rsidP="00207F36">
      <w:pPr>
        <w:spacing w:line="360" w:lineRule="auto"/>
        <w:jc w:val="both"/>
        <w:rPr>
          <w:rFonts w:ascii="Arial" w:hAnsi="Arial" w:cs="Arial"/>
          <w:iCs/>
          <w:color w:val="auto"/>
          <w:lang w:val="es-CO"/>
        </w:rPr>
      </w:pPr>
      <w:r w:rsidRPr="00021899">
        <w:rPr>
          <w:rFonts w:ascii="Arial" w:hAnsi="Arial" w:cs="Arial"/>
          <w:iCs/>
          <w:color w:val="auto"/>
          <w:lang w:val="es-CO"/>
        </w:rPr>
        <w:t>6</w:t>
      </w:r>
      <w:r w:rsidR="00E97302" w:rsidRPr="00021899">
        <w:rPr>
          <w:rFonts w:ascii="Arial" w:hAnsi="Arial" w:cs="Arial"/>
          <w:iCs/>
          <w:color w:val="auto"/>
          <w:lang w:val="es-CO"/>
        </w:rPr>
        <w:t>.</w:t>
      </w:r>
      <w:r w:rsidR="007F4107" w:rsidRPr="00021899">
        <w:rPr>
          <w:rFonts w:ascii="Arial" w:hAnsi="Arial" w:cs="Arial"/>
          <w:iCs/>
          <w:color w:val="auto"/>
          <w:lang w:val="es-CO"/>
        </w:rPr>
        <w:t>3.10</w:t>
      </w:r>
      <w:r w:rsidR="00E97302" w:rsidRPr="00021899">
        <w:rPr>
          <w:rFonts w:ascii="Arial" w:hAnsi="Arial" w:cs="Arial"/>
          <w:iCs/>
          <w:color w:val="auto"/>
          <w:lang w:val="es-CO"/>
        </w:rPr>
        <w:t xml:space="preserve"> De esa manera se concluye que: i) según la sentencia C</w:t>
      </w:r>
      <w:r w:rsidR="004962D7" w:rsidRPr="00021899">
        <w:rPr>
          <w:rFonts w:ascii="Arial" w:hAnsi="Arial" w:cs="Arial"/>
          <w:iCs/>
          <w:color w:val="auto"/>
          <w:lang w:val="es-CO"/>
        </w:rPr>
        <w:t>-</w:t>
      </w:r>
      <w:r w:rsidR="00E97302" w:rsidRPr="00021899">
        <w:rPr>
          <w:rFonts w:ascii="Arial" w:hAnsi="Arial" w:cs="Arial"/>
          <w:iCs/>
          <w:color w:val="auto"/>
          <w:lang w:val="es-CO"/>
        </w:rPr>
        <w:t xml:space="preserve">037 de 1996 donde se hizo control abstracto de la Ley 270 de 1996 Estatutaria de la Administración de Justicia, </w:t>
      </w:r>
      <w:r w:rsidR="00E97302" w:rsidRPr="00021899">
        <w:rPr>
          <w:rFonts w:ascii="Arial" w:hAnsi="Arial" w:cs="Arial"/>
          <w:iCs/>
          <w:color w:val="auto"/>
          <w:u w:val="single"/>
          <w:lang w:val="es-CO"/>
        </w:rPr>
        <w:t>los órganos de cierre de cada jurisdicción tienen la potestad de definir la jurisprudencia que debe orientar la administración de justicia en cada especialidad, en el ámbito de sus competencias;</w:t>
      </w:r>
      <w:r w:rsidR="00E97302" w:rsidRPr="00021899">
        <w:rPr>
          <w:rFonts w:ascii="Arial" w:hAnsi="Arial" w:cs="Arial"/>
          <w:iCs/>
          <w:color w:val="auto"/>
          <w:lang w:val="es-CO"/>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E97302" w:rsidRPr="00021899" w:rsidRDefault="00E97302" w:rsidP="00207F36">
      <w:pPr>
        <w:spacing w:line="360" w:lineRule="auto"/>
        <w:ind w:right="49"/>
        <w:jc w:val="both"/>
        <w:rPr>
          <w:rFonts w:ascii="Arial" w:hAnsi="Arial" w:cs="Arial"/>
          <w:color w:val="auto"/>
        </w:rPr>
      </w:pPr>
    </w:p>
    <w:p w:rsidR="007F4107" w:rsidRPr="00021899" w:rsidRDefault="00082D6A" w:rsidP="00207F36">
      <w:pPr>
        <w:spacing w:line="360" w:lineRule="auto"/>
        <w:ind w:right="49"/>
        <w:jc w:val="both"/>
        <w:rPr>
          <w:rFonts w:ascii="Arial" w:hAnsi="Arial" w:cs="Arial"/>
          <w:color w:val="auto"/>
        </w:rPr>
      </w:pPr>
      <w:r w:rsidRPr="00021899">
        <w:rPr>
          <w:rFonts w:ascii="Arial" w:hAnsi="Arial" w:cs="Arial"/>
          <w:color w:val="auto"/>
        </w:rPr>
        <w:t>6</w:t>
      </w:r>
      <w:r w:rsidR="00E97302" w:rsidRPr="00021899">
        <w:rPr>
          <w:rFonts w:ascii="Arial" w:hAnsi="Arial" w:cs="Arial"/>
          <w:color w:val="auto"/>
        </w:rPr>
        <w:t>.</w:t>
      </w:r>
      <w:r w:rsidR="007F4107" w:rsidRPr="00021899">
        <w:rPr>
          <w:rFonts w:ascii="Arial" w:hAnsi="Arial" w:cs="Arial"/>
          <w:color w:val="auto"/>
        </w:rPr>
        <w:t xml:space="preserve">3.11 </w:t>
      </w:r>
      <w:r w:rsidR="00E97302" w:rsidRPr="00021899">
        <w:rPr>
          <w:rFonts w:ascii="Arial" w:hAnsi="Arial" w:cs="Arial"/>
          <w:color w:val="auto"/>
        </w:rPr>
        <w:t xml:space="preserve">En el mismo sentido, concluye la Sala que sí es viable para el operador judicial apartarse del precedente judicial, que </w:t>
      </w:r>
      <w:r w:rsidR="00582C73">
        <w:rPr>
          <w:rFonts w:ascii="Arial" w:hAnsi="Arial" w:cs="Arial"/>
          <w:color w:val="auto"/>
        </w:rPr>
        <w:t>comprende aquel emanado de las Altas Co</w:t>
      </w:r>
      <w:r w:rsidR="00E97302" w:rsidRPr="00021899">
        <w:rPr>
          <w:rFonts w:ascii="Arial" w:hAnsi="Arial" w:cs="Arial"/>
          <w:color w:val="auto"/>
        </w:rPr>
        <w:t>rtes como ya se indicó</w:t>
      </w:r>
      <w:r w:rsidR="007F4107" w:rsidRPr="00021899">
        <w:rPr>
          <w:rFonts w:ascii="Arial" w:hAnsi="Arial" w:cs="Arial"/>
          <w:color w:val="auto"/>
        </w:rPr>
        <w:t xml:space="preserve">. </w:t>
      </w:r>
    </w:p>
    <w:p w:rsidR="007F4107" w:rsidRPr="00021899" w:rsidRDefault="007F4107" w:rsidP="00207F36">
      <w:pPr>
        <w:spacing w:line="360" w:lineRule="auto"/>
        <w:ind w:right="49"/>
        <w:jc w:val="both"/>
        <w:rPr>
          <w:rFonts w:ascii="Arial" w:hAnsi="Arial" w:cs="Arial"/>
          <w:color w:val="auto"/>
        </w:rPr>
      </w:pPr>
    </w:p>
    <w:p w:rsidR="00E97302" w:rsidRPr="00021899" w:rsidRDefault="007F4107" w:rsidP="00207F36">
      <w:pPr>
        <w:spacing w:line="360" w:lineRule="auto"/>
        <w:ind w:right="49"/>
        <w:jc w:val="both"/>
        <w:rPr>
          <w:rFonts w:ascii="Arial" w:hAnsi="Arial" w:cs="Arial"/>
          <w:color w:val="auto"/>
        </w:rPr>
      </w:pPr>
      <w:r w:rsidRPr="00021899">
        <w:rPr>
          <w:rFonts w:ascii="Arial" w:hAnsi="Arial" w:cs="Arial"/>
          <w:color w:val="auto"/>
        </w:rPr>
        <w:t xml:space="preserve">Sin </w:t>
      </w:r>
      <w:r w:rsidR="00E97302" w:rsidRPr="00021899">
        <w:rPr>
          <w:rFonts w:ascii="Arial" w:hAnsi="Arial" w:cs="Arial"/>
          <w:color w:val="auto"/>
        </w:rPr>
        <w:t xml:space="preserve"> embargo, en el caso concreto más que un distanciamiento, lo que sucedió fue que se acató el precedente contenido en la jurisprudencia especializada de la </w:t>
      </w:r>
      <w:proofErr w:type="spellStart"/>
      <w:r w:rsidR="00E97302" w:rsidRPr="00021899">
        <w:rPr>
          <w:rFonts w:ascii="Arial" w:hAnsi="Arial" w:cs="Arial"/>
          <w:color w:val="auto"/>
        </w:rPr>
        <w:t>SP</w:t>
      </w:r>
      <w:proofErr w:type="spellEnd"/>
      <w:r w:rsidR="00E97302" w:rsidRPr="00021899">
        <w:rPr>
          <w:rFonts w:ascii="Arial" w:hAnsi="Arial" w:cs="Arial"/>
          <w:color w:val="auto"/>
        </w:rPr>
        <w:t xml:space="preserve"> de la CSJ, por tratarse de un análisis que se consideró </w:t>
      </w:r>
      <w:r w:rsidR="00582C73">
        <w:rPr>
          <w:rFonts w:ascii="Arial" w:hAnsi="Arial" w:cs="Arial"/>
          <w:color w:val="auto"/>
        </w:rPr>
        <w:t xml:space="preserve">ajustado al </w:t>
      </w:r>
      <w:proofErr w:type="spellStart"/>
      <w:r w:rsidR="00582C73">
        <w:rPr>
          <w:rFonts w:ascii="Arial" w:hAnsi="Arial" w:cs="Arial"/>
          <w:color w:val="auto"/>
        </w:rPr>
        <w:t>CPP</w:t>
      </w:r>
      <w:proofErr w:type="spellEnd"/>
      <w:r w:rsidR="00582C73">
        <w:rPr>
          <w:rFonts w:ascii="Arial" w:hAnsi="Arial" w:cs="Arial"/>
          <w:color w:val="auto"/>
        </w:rPr>
        <w:t>,</w:t>
      </w:r>
      <w:r w:rsidR="00E97302" w:rsidRPr="00021899">
        <w:rPr>
          <w:rFonts w:ascii="Arial" w:hAnsi="Arial" w:cs="Arial"/>
          <w:color w:val="auto"/>
        </w:rPr>
        <w:t xml:space="preserve"> a diferencia de la sentencia de constitucionalidad en la cual se fundamenta la pretensión </w:t>
      </w:r>
      <w:r w:rsidRPr="00021899">
        <w:rPr>
          <w:rFonts w:ascii="Arial" w:hAnsi="Arial" w:cs="Arial"/>
          <w:color w:val="auto"/>
        </w:rPr>
        <w:t xml:space="preserve">de recurrente, ya que para </w:t>
      </w:r>
      <w:r w:rsidR="00E97302" w:rsidRPr="00021899">
        <w:rPr>
          <w:rFonts w:ascii="Arial" w:hAnsi="Arial" w:cs="Arial"/>
          <w:color w:val="auto"/>
        </w:rPr>
        <w:t xml:space="preserve">llegar a esa conclusión </w:t>
      </w:r>
      <w:r w:rsidR="00B666FE" w:rsidRPr="00021899">
        <w:rPr>
          <w:rFonts w:ascii="Arial" w:hAnsi="Arial" w:cs="Arial"/>
          <w:color w:val="auto"/>
        </w:rPr>
        <w:t>e</w:t>
      </w:r>
      <w:r w:rsidR="00E97302" w:rsidRPr="00021899">
        <w:rPr>
          <w:rFonts w:ascii="Arial" w:hAnsi="Arial" w:cs="Arial"/>
          <w:color w:val="auto"/>
        </w:rPr>
        <w:t xml:space="preserve">l </w:t>
      </w:r>
      <w:r w:rsidR="00E97302" w:rsidRPr="00021899">
        <w:rPr>
          <w:rFonts w:ascii="Arial" w:hAnsi="Arial" w:cs="Arial"/>
          <w:i/>
          <w:color w:val="auto"/>
        </w:rPr>
        <w:t xml:space="preserve"> </w:t>
      </w:r>
      <w:r w:rsidRPr="00021899">
        <w:rPr>
          <w:rFonts w:ascii="Arial" w:hAnsi="Arial" w:cs="Arial"/>
          <w:i/>
          <w:color w:val="auto"/>
        </w:rPr>
        <w:t xml:space="preserve">A </w:t>
      </w:r>
      <w:r w:rsidR="00E97302" w:rsidRPr="00021899">
        <w:rPr>
          <w:rFonts w:ascii="Arial" w:hAnsi="Arial" w:cs="Arial"/>
          <w:i/>
          <w:color w:val="auto"/>
        </w:rPr>
        <w:t xml:space="preserve">quo, </w:t>
      </w:r>
      <w:r w:rsidRPr="00021899">
        <w:rPr>
          <w:rFonts w:ascii="Arial" w:hAnsi="Arial" w:cs="Arial"/>
          <w:color w:val="auto"/>
        </w:rPr>
        <w:t xml:space="preserve">sustento su decisión en los autos </w:t>
      </w:r>
      <w:r w:rsidR="00E97302" w:rsidRPr="00021899">
        <w:rPr>
          <w:rFonts w:ascii="Arial" w:hAnsi="Arial" w:cs="Arial"/>
          <w:color w:val="auto"/>
        </w:rPr>
        <w:t xml:space="preserve">referidos </w:t>
      </w:r>
      <w:r w:rsidRPr="00021899">
        <w:rPr>
          <w:rFonts w:ascii="Arial" w:hAnsi="Arial" w:cs="Arial"/>
          <w:color w:val="auto"/>
        </w:rPr>
        <w:t xml:space="preserve">de la </w:t>
      </w:r>
      <w:proofErr w:type="spellStart"/>
      <w:r w:rsidRPr="00021899">
        <w:rPr>
          <w:rFonts w:ascii="Arial" w:hAnsi="Arial" w:cs="Arial"/>
          <w:color w:val="auto"/>
        </w:rPr>
        <w:t>SP</w:t>
      </w:r>
      <w:proofErr w:type="spellEnd"/>
      <w:r w:rsidRPr="00021899">
        <w:rPr>
          <w:rFonts w:ascii="Arial" w:hAnsi="Arial" w:cs="Arial"/>
          <w:color w:val="auto"/>
        </w:rPr>
        <w:t xml:space="preserve"> de la </w:t>
      </w:r>
      <w:r w:rsidR="00E97302" w:rsidRPr="00021899">
        <w:rPr>
          <w:rFonts w:ascii="Arial" w:hAnsi="Arial" w:cs="Arial"/>
          <w:color w:val="auto"/>
        </w:rPr>
        <w:t>CSJ</w:t>
      </w:r>
      <w:r w:rsidRPr="00021899">
        <w:rPr>
          <w:rFonts w:ascii="Arial" w:hAnsi="Arial" w:cs="Arial"/>
          <w:color w:val="auto"/>
        </w:rPr>
        <w:t>, sobre el tema propuesto por el censor.</w:t>
      </w:r>
      <w:r w:rsidR="00E97302" w:rsidRPr="00021899">
        <w:rPr>
          <w:rFonts w:ascii="Arial" w:hAnsi="Arial" w:cs="Arial"/>
          <w:color w:val="auto"/>
        </w:rPr>
        <w:t xml:space="preserve"> </w:t>
      </w:r>
    </w:p>
    <w:p w:rsidR="00E97302" w:rsidRPr="00021899" w:rsidRDefault="00E97302" w:rsidP="00207F36">
      <w:pPr>
        <w:spacing w:line="360" w:lineRule="auto"/>
        <w:ind w:right="49"/>
        <w:jc w:val="both"/>
        <w:rPr>
          <w:rFonts w:ascii="Arial" w:hAnsi="Arial" w:cs="Arial"/>
          <w:color w:val="auto"/>
        </w:rPr>
      </w:pPr>
    </w:p>
    <w:p w:rsidR="00E97302" w:rsidRPr="00021899" w:rsidRDefault="00082D6A" w:rsidP="00207F36">
      <w:pPr>
        <w:spacing w:line="360" w:lineRule="auto"/>
        <w:jc w:val="both"/>
        <w:rPr>
          <w:rFonts w:ascii="Arial" w:hAnsi="Arial" w:cs="Arial"/>
          <w:color w:val="auto"/>
        </w:rPr>
      </w:pPr>
      <w:r w:rsidRPr="00021899">
        <w:rPr>
          <w:rFonts w:ascii="Arial" w:hAnsi="Arial" w:cs="Arial"/>
          <w:color w:val="auto"/>
        </w:rPr>
        <w:t>6</w:t>
      </w:r>
      <w:r w:rsidR="00E97302" w:rsidRPr="00021899">
        <w:rPr>
          <w:rFonts w:ascii="Arial" w:hAnsi="Arial" w:cs="Arial"/>
          <w:color w:val="auto"/>
        </w:rPr>
        <w:t>.</w:t>
      </w:r>
      <w:r w:rsidR="007F4107" w:rsidRPr="00021899">
        <w:rPr>
          <w:rFonts w:ascii="Arial" w:hAnsi="Arial" w:cs="Arial"/>
          <w:color w:val="auto"/>
        </w:rPr>
        <w:t>3.12</w:t>
      </w:r>
      <w:r w:rsidR="00E97302" w:rsidRPr="00021899">
        <w:rPr>
          <w:rFonts w:ascii="Arial" w:hAnsi="Arial" w:cs="Arial"/>
          <w:color w:val="auto"/>
        </w:rPr>
        <w:t xml:space="preserve"> </w:t>
      </w:r>
      <w:r w:rsidR="00E97302" w:rsidRPr="00B9650C">
        <w:rPr>
          <w:rFonts w:ascii="Arial" w:hAnsi="Arial" w:cs="Arial"/>
          <w:color w:val="FF0000"/>
        </w:rPr>
        <w:t xml:space="preserve">En ese orden de ideas debe entenderse que las decisiones CSJ </w:t>
      </w:r>
      <w:proofErr w:type="spellStart"/>
      <w:r w:rsidR="00E97302" w:rsidRPr="00B9650C">
        <w:rPr>
          <w:rFonts w:ascii="Arial" w:hAnsi="Arial" w:cs="Arial"/>
          <w:color w:val="FF0000"/>
        </w:rPr>
        <w:t>SP</w:t>
      </w:r>
      <w:proofErr w:type="spellEnd"/>
      <w:r w:rsidR="00E97302" w:rsidRPr="00B9650C">
        <w:rPr>
          <w:rFonts w:ascii="Arial" w:hAnsi="Arial" w:cs="Arial"/>
          <w:color w:val="FF0000"/>
        </w:rPr>
        <w:t xml:space="preserve"> del 24 de julio de 2017, radicado 49734 y CSJ </w:t>
      </w:r>
      <w:proofErr w:type="spellStart"/>
      <w:r w:rsidR="00E97302" w:rsidRPr="00B9650C">
        <w:rPr>
          <w:rFonts w:ascii="Arial" w:hAnsi="Arial" w:cs="Arial"/>
          <w:color w:val="FF0000"/>
        </w:rPr>
        <w:t>SP</w:t>
      </w:r>
      <w:proofErr w:type="spellEnd"/>
      <w:r w:rsidR="00E97302" w:rsidRPr="00B9650C">
        <w:rPr>
          <w:rFonts w:ascii="Arial" w:hAnsi="Arial" w:cs="Arial"/>
          <w:color w:val="FF0000"/>
        </w:rPr>
        <w:t xml:space="preserve"> del 9 de agosto de 2017, radicado 50861, donde se precisó que en los casos regidos por la ley 906 de 2004 las medidas de aseguramiento dejaban de tener efectos con el anuncio del sentido del fallo, y que de ahí en adelante la persona vinculada al proceso quedaba privada de su libertad para el cumplimiento de la pena, constituyen precedentes del órgano de cierre de la jurisdicción penal, proferidos en ejercicio de la labor de definición y unificación de la jurisprudencia que deben ser acatados, por los jueces, como se expuso en la misma sentencia C-037 de 1996 del 5 de febrero de 1996 de la Corte Constitucional.</w:t>
      </w:r>
    </w:p>
    <w:p w:rsidR="007D7A21" w:rsidRPr="00021899" w:rsidRDefault="007D7A21" w:rsidP="00207F36">
      <w:pPr>
        <w:spacing w:line="360" w:lineRule="auto"/>
        <w:jc w:val="both"/>
        <w:rPr>
          <w:rFonts w:ascii="Arial" w:hAnsi="Arial" w:cs="Arial"/>
          <w:color w:val="auto"/>
        </w:rPr>
      </w:pPr>
    </w:p>
    <w:p w:rsidR="007D7A21" w:rsidRPr="00021899" w:rsidRDefault="007D7A21" w:rsidP="00207F36">
      <w:pPr>
        <w:spacing w:line="360" w:lineRule="auto"/>
        <w:jc w:val="both"/>
        <w:rPr>
          <w:rFonts w:ascii="Arial" w:hAnsi="Arial" w:cs="Arial"/>
          <w:color w:val="auto"/>
        </w:rPr>
      </w:pPr>
      <w:r w:rsidRPr="00021899">
        <w:rPr>
          <w:rFonts w:ascii="Arial" w:hAnsi="Arial" w:cs="Arial"/>
          <w:color w:val="auto"/>
        </w:rPr>
        <w:t>6.</w:t>
      </w:r>
      <w:r w:rsidR="007F4107" w:rsidRPr="00021899">
        <w:rPr>
          <w:rFonts w:ascii="Arial" w:hAnsi="Arial" w:cs="Arial"/>
          <w:color w:val="auto"/>
        </w:rPr>
        <w:t xml:space="preserve">3.13 </w:t>
      </w:r>
      <w:r w:rsidRPr="00021899">
        <w:rPr>
          <w:rFonts w:ascii="Arial" w:hAnsi="Arial" w:cs="Arial"/>
          <w:color w:val="auto"/>
        </w:rPr>
        <w:t xml:space="preserve">Aunado a lo anterior, se debe tener en cuenta que luego de la expedición de la sentencia C-221 de 2017, la Corte Constitucional mediante providencia </w:t>
      </w:r>
      <w:r w:rsidR="00BF3012" w:rsidRPr="00021899">
        <w:rPr>
          <w:rFonts w:ascii="Arial" w:hAnsi="Arial" w:cs="Arial"/>
          <w:color w:val="auto"/>
        </w:rPr>
        <w:t xml:space="preserve">C-342 de 2017 realizó un análisis referente a la privación de la libertad a partir del </w:t>
      </w:r>
      <w:proofErr w:type="spellStart"/>
      <w:r w:rsidR="00BF3012" w:rsidRPr="00021899">
        <w:rPr>
          <w:rFonts w:ascii="Arial" w:hAnsi="Arial" w:cs="Arial"/>
          <w:color w:val="auto"/>
        </w:rPr>
        <w:t>proferimiento</w:t>
      </w:r>
      <w:proofErr w:type="spellEnd"/>
      <w:r w:rsidR="00BF3012" w:rsidRPr="00021899">
        <w:rPr>
          <w:rFonts w:ascii="Arial" w:hAnsi="Arial" w:cs="Arial"/>
          <w:color w:val="auto"/>
        </w:rPr>
        <w:t xml:space="preserve"> del sentido del fallo, en la cual se vislumbra que el máximo órgano constitucional realizó la diferenciación entre la medida de aseguramiento y la </w:t>
      </w:r>
      <w:r w:rsidR="00BF3012" w:rsidRPr="00021899">
        <w:rPr>
          <w:rFonts w:ascii="Arial" w:hAnsi="Arial" w:cs="Arial"/>
          <w:color w:val="auto"/>
        </w:rPr>
        <w:lastRenderedPageBreak/>
        <w:t xml:space="preserve">detención para el cumplimiento de la sanción penal. En ese sentido, esa Colegiatura adujo lo siguiente: </w:t>
      </w:r>
    </w:p>
    <w:p w:rsidR="00BF3012" w:rsidRPr="00021899" w:rsidRDefault="00BF3012" w:rsidP="00207F36">
      <w:pPr>
        <w:spacing w:line="360" w:lineRule="auto"/>
        <w:jc w:val="both"/>
        <w:rPr>
          <w:rFonts w:ascii="Arial" w:hAnsi="Arial" w:cs="Arial"/>
          <w:color w:val="auto"/>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w:t>
      </w:r>
      <w:r w:rsidRPr="00582C73">
        <w:rPr>
          <w:rFonts w:ascii="Arial" w:hAnsi="Arial" w:cs="Arial"/>
          <w:i/>
          <w:color w:val="auto"/>
          <w:sz w:val="20"/>
          <w:szCs w:val="20"/>
          <w:u w:val="single"/>
        </w:rPr>
        <w:t>A los efectos del problema jurídico que aquí se examina, debe precisarse si la detención del sentenciado que se da con el anuncio del sentido del fallo condenatorio, viola la presunción de inocencia, y la respuesta es que no la viola</w:t>
      </w:r>
      <w:r w:rsidRPr="00582C73">
        <w:rPr>
          <w:rFonts w:ascii="Arial" w:hAnsi="Arial" w:cs="Arial"/>
          <w:i/>
          <w:color w:val="auto"/>
          <w:sz w:val="20"/>
          <w:szCs w:val="20"/>
        </w:rPr>
        <w:t xml:space="preserve">. </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En el presente caso el accionante plantea que la orden de detención que se dicta con el anuncio del sentido del fallo viola la presunción de inocencia, pues la restricción de la libertad se da antes de la ejecutoria del fallo condenatorio. De este modo sostiene, que acontece un cumplimiento anticipado de la pena.</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u w:val="single"/>
        </w:rPr>
      </w:pPr>
      <w:r w:rsidRPr="00582C73">
        <w:rPr>
          <w:rFonts w:ascii="Arial" w:hAnsi="Arial" w:cs="Arial"/>
          <w:i/>
          <w:color w:val="auto"/>
          <w:sz w:val="20"/>
          <w:szCs w:val="20"/>
          <w:u w:val="single"/>
        </w:rPr>
        <w:t>Para la Sala, la premisa sostenida por el demandante sería correcta, en relación con la presunció</w:t>
      </w:r>
      <w:r w:rsidR="00017101" w:rsidRPr="00582C73">
        <w:rPr>
          <w:rFonts w:ascii="Arial" w:hAnsi="Arial" w:cs="Arial"/>
          <w:i/>
          <w:color w:val="auto"/>
          <w:sz w:val="20"/>
          <w:szCs w:val="20"/>
          <w:u w:val="single"/>
        </w:rPr>
        <w:t>n de inocencia, que ciertamente</w:t>
      </w:r>
      <w:r w:rsidRPr="00582C73">
        <w:rPr>
          <w:rFonts w:ascii="Arial" w:hAnsi="Arial" w:cs="Arial"/>
          <w:i/>
          <w:color w:val="auto"/>
          <w:sz w:val="20"/>
          <w:szCs w:val="20"/>
          <w:u w:val="single"/>
        </w:rPr>
        <w:t xml:space="preserve"> se mantiene hasta la ejecutoria del fallo condenatorio, si la conclusión de su razonamiento no fuera equivocada, pues la detención que se decrete con el sentido del fallo, sobreviene propiamente como consecuencia de la satisfacción del criterio de necesidad ya precisado, y no únicamente como consecuencia de la condena y la pena dispuesta, que tan solo aflorarán con el texto escrito del fallo y su posterior ejecutoria. Es justamente por esto que el acto debe ser motivado, de modo tal que en el momento procesal adecuado, es decir, con la emisión del texto escrito de la sentencia, sobrevenga la apelación como medio de control efectivo.</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 xml:space="preserve">Valga recordar también, en diálogo judicial con la Sala de Casación Penal de la Corte Suprema de Justicia , que la medida introducida por el artículo 450 del Código de Procedimiento Penal es ciertamente distinta de la anteriormente dispuesta por el artículo 188 de la Ley 600 de 2000, debiendo reiterar además que el diseño del proceso penal introducido por la Ley 906 de 2004 no corresponde a un típico proceso </w:t>
      </w:r>
      <w:proofErr w:type="spellStart"/>
      <w:r w:rsidRPr="00582C73">
        <w:rPr>
          <w:rFonts w:ascii="Arial" w:hAnsi="Arial" w:cs="Arial"/>
          <w:i/>
          <w:color w:val="auto"/>
          <w:sz w:val="20"/>
          <w:szCs w:val="20"/>
        </w:rPr>
        <w:t>adversarial</w:t>
      </w:r>
      <w:proofErr w:type="spellEnd"/>
      <w:r w:rsidRPr="00582C73">
        <w:rPr>
          <w:rFonts w:ascii="Arial" w:hAnsi="Arial" w:cs="Arial"/>
          <w:i/>
          <w:color w:val="auto"/>
          <w:sz w:val="20"/>
          <w:szCs w:val="20"/>
        </w:rPr>
        <w:t xml:space="preserve"> de partes en igualdad de condiciones, sino que “(…) la misión que corresponde desempeñar al juez, bien sea de control de garantías o de conocimiento, va más allá de la de ser un mero árbitro regulador de las formas procesales, sino en buscar la aplicación de una justicia material, y sobre todo, en ser un guardián del respeto de los derechos fundamentales del indiciado o sindicado, así como de aquellos de la víctima, en especial, de los derechos de ésta a conocer la  verdad sobre lo ocurrido, a acceder a la justicia y a obtener una reparación integral, de conformidad con la Constitución y con los tratados internacionales que hacen parte del bloque de constitucionalidad” , en un balance que arroje como resultado la genuina expresión de los fines del Estado social de derecho en términos de justicia material. </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10.11. Reitera finalmente la Corte, que 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w:t>
      </w:r>
      <w:r w:rsidR="00403B26" w:rsidRPr="00582C73">
        <w:rPr>
          <w:rFonts w:ascii="Arial" w:hAnsi="Arial" w:cs="Arial"/>
          <w:i/>
          <w:color w:val="auto"/>
          <w:sz w:val="20"/>
          <w:szCs w:val="20"/>
        </w:rPr>
        <w:t xml:space="preserve">cia del principio pro </w:t>
      </w:r>
      <w:proofErr w:type="spellStart"/>
      <w:r w:rsidR="00403B26" w:rsidRPr="00582C73">
        <w:rPr>
          <w:rFonts w:ascii="Arial" w:hAnsi="Arial" w:cs="Arial"/>
          <w:i/>
          <w:color w:val="auto"/>
          <w:sz w:val="20"/>
          <w:szCs w:val="20"/>
        </w:rPr>
        <w:t>libertate</w:t>
      </w:r>
      <w:proofErr w:type="spellEnd"/>
      <w:r w:rsidRPr="00582C73">
        <w:rPr>
          <w:rFonts w:ascii="Arial" w:hAnsi="Arial" w:cs="Arial"/>
          <w:i/>
          <w:color w:val="auto"/>
          <w:sz w:val="20"/>
          <w:szCs w:val="20"/>
        </w:rPr>
        <w:t xml:space="preserve">. Adicionalmente debe considerar, que la privación de la libertad </w:t>
      </w:r>
      <w:r w:rsidRPr="00582C73">
        <w:rPr>
          <w:rFonts w:ascii="Arial" w:hAnsi="Arial" w:cs="Arial"/>
          <w:i/>
          <w:color w:val="auto"/>
          <w:sz w:val="20"/>
          <w:szCs w:val="20"/>
        </w:rPr>
        <w:lastRenderedPageBreak/>
        <w:t xml:space="preserve">es excepcional y que más aún debe serlo la privación de la libertad </w:t>
      </w:r>
      <w:proofErr w:type="spellStart"/>
      <w:r w:rsidRPr="00582C73">
        <w:rPr>
          <w:rFonts w:ascii="Arial" w:hAnsi="Arial" w:cs="Arial"/>
          <w:i/>
          <w:color w:val="auto"/>
          <w:sz w:val="20"/>
          <w:szCs w:val="20"/>
        </w:rPr>
        <w:t>intramural</w:t>
      </w:r>
      <w:proofErr w:type="spellEnd"/>
      <w:r w:rsidRPr="00582C73">
        <w:rPr>
          <w:rFonts w:ascii="Arial" w:hAnsi="Arial" w:cs="Arial"/>
          <w:i/>
          <w:color w:val="auto"/>
          <w:sz w:val="20"/>
          <w:szCs w:val="20"/>
        </w:rPr>
        <w:t>, por implicar un afectación más profunda de los derechos fundamentales, por lo cual y de conformidad con la doctrina reconocida por esta Corte, “las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 .</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 xml:space="preserve">Desde las anteriores consideraciones, la Corte Constitucional declara la </w:t>
      </w:r>
      <w:proofErr w:type="spellStart"/>
      <w:r w:rsidRPr="00582C73">
        <w:rPr>
          <w:rFonts w:ascii="Arial" w:hAnsi="Arial" w:cs="Arial"/>
          <w:i/>
          <w:color w:val="auto"/>
          <w:sz w:val="20"/>
          <w:szCs w:val="20"/>
        </w:rPr>
        <w:t>exequibilidad</w:t>
      </w:r>
      <w:proofErr w:type="spellEnd"/>
      <w:r w:rsidRPr="00582C73">
        <w:rPr>
          <w:rFonts w:ascii="Arial" w:hAnsi="Arial" w:cs="Arial"/>
          <w:i/>
          <w:color w:val="auto"/>
          <w:sz w:val="20"/>
          <w:szCs w:val="20"/>
        </w:rPr>
        <w:t xml:space="preserve"> del artículo 450 de la Ley 906 de 2004 por los cargos examinados. </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11. Síntesis del fallo</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 xml:space="preserve">11.1. La Corte resolvió la demanda formulada por un ciudadano en contra de algunas expresiones contenidas en el artículo 450 de la Ley 906 de 2004, que contiene el Código de Procedimiento Penal, el cual dispone que el juez al momento de dar el sentido del fallo, podrá ordenar la detención del procesado si esta resulta necesaria. El accionante señaló que tales enunciados vulneran el derecho a la libertad personal y algunas de las garantías del debido proceso, como el acceso a la segunda instancia mediante recurso judicial efectivo y la presunción de inocencia. La Sala consideró que es necesario efectuar la integración normativa con la totalidad del artículo demandado, pues de no hacerlo, la eventual declaratoria de </w:t>
      </w:r>
      <w:proofErr w:type="spellStart"/>
      <w:r w:rsidRPr="00582C73">
        <w:rPr>
          <w:rFonts w:ascii="Arial" w:hAnsi="Arial" w:cs="Arial"/>
          <w:i/>
          <w:color w:val="auto"/>
          <w:sz w:val="20"/>
          <w:szCs w:val="20"/>
        </w:rPr>
        <w:t>inexequib</w:t>
      </w:r>
      <w:r w:rsidR="00E90011" w:rsidRPr="00582C73">
        <w:rPr>
          <w:rFonts w:ascii="Arial" w:hAnsi="Arial" w:cs="Arial"/>
          <w:i/>
          <w:color w:val="auto"/>
          <w:sz w:val="20"/>
          <w:szCs w:val="20"/>
        </w:rPr>
        <w:t>i</w:t>
      </w:r>
      <w:r w:rsidRPr="00582C73">
        <w:rPr>
          <w:rFonts w:ascii="Arial" w:hAnsi="Arial" w:cs="Arial"/>
          <w:i/>
          <w:color w:val="auto"/>
          <w:sz w:val="20"/>
          <w:szCs w:val="20"/>
        </w:rPr>
        <w:t>lidad</w:t>
      </w:r>
      <w:proofErr w:type="spellEnd"/>
      <w:r w:rsidRPr="00582C73">
        <w:rPr>
          <w:rFonts w:ascii="Arial" w:hAnsi="Arial" w:cs="Arial"/>
          <w:i/>
          <w:color w:val="auto"/>
          <w:sz w:val="20"/>
          <w:szCs w:val="20"/>
        </w:rPr>
        <w:t xml:space="preserve"> de las expresiones implicaría que los apartes que no fueron acusados perderían la posibilidad de producir efectos jurídicos.</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 xml:space="preserve">11.2. Como primer asunto la Sala se refirió al amplio espacio de configuración del legislador para regular los procedimientos judiciales, así como los límites del mismo. Señaló que se funda en lo dispuesto por los numerales 1° y 2° del artículo 150 de la Constitución, que consagran la cláusula general de competencia del Congreso de la República, que le permite regular los procedimientos judiciales y administrativos. Adicionalmente la Sala identificó cuatro límites de esa facultad configurativa, precisados entre otras, en la Sentencia C-319 de 2013, siendo estos : (i) la fijación directa, por parte de la Constitución, de determinado recurso o trámite judicial; (ii) el cumplimiento de los fines esenciales del Estado y particularmente de la administración de justicia; (iii) la satisfacción de principios de razonabilidad y proporcionalidad; y (iv) la eficacia de las diferentes garantías que conforman el debido proceso y el acceso a la administración de justicia. La norma demandada respeta dichos límites. </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11.3. En segundo término, la Corte verificó los derechos que el demandante señaló como violados. Respecto de la libertad personal, la Corporación señaló que se trata de un principio y derecho fundamental, que para su protección cuenta con las garantías de la reserva legal y la reserva judicial, precisando que las medidas privativas de la libertad son de carácter excepcional y de interpretación restrictiva. En lo que tuvo que ver con el debido proceso, se afirmó que de conformidad con la jurisprudencia de la Corte Interamerican</w:t>
      </w:r>
      <w:r w:rsidR="00BD73E2" w:rsidRPr="00582C73">
        <w:rPr>
          <w:rFonts w:ascii="Arial" w:hAnsi="Arial" w:cs="Arial"/>
          <w:i/>
          <w:color w:val="auto"/>
          <w:sz w:val="20"/>
          <w:szCs w:val="20"/>
        </w:rPr>
        <w:t>a  y de la Corte Constitucional</w:t>
      </w:r>
      <w:r w:rsidRPr="00582C73">
        <w:rPr>
          <w:rFonts w:ascii="Arial" w:hAnsi="Arial" w:cs="Arial"/>
          <w:i/>
          <w:color w:val="auto"/>
          <w:sz w:val="20"/>
          <w:szCs w:val="20"/>
        </w:rPr>
        <w:t xml:space="preserve">, el derecho al recurso judicial efectivo supone la existencia de mecanismos procesales accesibles y eficaces que permitan el </w:t>
      </w:r>
      <w:r w:rsidRPr="00582C73">
        <w:rPr>
          <w:rFonts w:ascii="Arial" w:hAnsi="Arial" w:cs="Arial"/>
          <w:i/>
          <w:color w:val="auto"/>
          <w:sz w:val="20"/>
          <w:szCs w:val="20"/>
        </w:rPr>
        <w:lastRenderedPageBreak/>
        <w:t>control y la revisión de las decisiones judiciales, cuando los afectados consideren vulnerados sus derechos. Finalmente y en relación con la presunción de inocencia, la Sala de</w:t>
      </w:r>
      <w:r w:rsidR="00BD73E2" w:rsidRPr="00582C73">
        <w:rPr>
          <w:rFonts w:ascii="Arial" w:hAnsi="Arial" w:cs="Arial"/>
          <w:i/>
          <w:color w:val="auto"/>
          <w:sz w:val="20"/>
          <w:szCs w:val="20"/>
        </w:rPr>
        <w:t>terminó desde su jurisprudencia</w:t>
      </w:r>
      <w:r w:rsidRPr="00582C73">
        <w:rPr>
          <w:rFonts w:ascii="Arial" w:hAnsi="Arial" w:cs="Arial"/>
          <w:i/>
          <w:color w:val="auto"/>
          <w:sz w:val="20"/>
          <w:szCs w:val="20"/>
        </w:rPr>
        <w:t>, que se trata de un principio constitucional, un derecho fundamental y una de las garantías del debido proceso, de acuerdo con la cual, la persona sometida a proceso penal deberá ser tratada como inocente mientras no se demuestre lo contrario, a través de un proceso en el que se le haya declarado judicialmente responsable mediante sentencia ejecutoriada.</w:t>
      </w:r>
    </w:p>
    <w:p w:rsidR="00BF3012" w:rsidRPr="00582C73" w:rsidRDefault="00BF3012" w:rsidP="00BF3012">
      <w:pPr>
        <w:spacing w:line="360" w:lineRule="auto"/>
        <w:ind w:left="567" w:right="616"/>
        <w:jc w:val="both"/>
        <w:rPr>
          <w:rFonts w:ascii="Arial" w:hAnsi="Arial" w:cs="Arial"/>
          <w:i/>
          <w:color w:val="auto"/>
          <w:sz w:val="20"/>
          <w:szCs w:val="20"/>
          <w:u w:val="single"/>
        </w:rPr>
      </w:pPr>
    </w:p>
    <w:p w:rsidR="00BF3012" w:rsidRPr="00582C73" w:rsidRDefault="00BF3012" w:rsidP="00BF3012">
      <w:pPr>
        <w:spacing w:line="360" w:lineRule="auto"/>
        <w:ind w:left="567" w:right="616"/>
        <w:jc w:val="both"/>
        <w:rPr>
          <w:rFonts w:ascii="Arial" w:hAnsi="Arial" w:cs="Arial"/>
          <w:i/>
          <w:color w:val="auto"/>
          <w:sz w:val="20"/>
          <w:szCs w:val="20"/>
          <w:u w:val="single"/>
        </w:rPr>
      </w:pPr>
      <w:r w:rsidRPr="00582C73">
        <w:rPr>
          <w:rFonts w:ascii="Arial" w:hAnsi="Arial" w:cs="Arial"/>
          <w:i/>
          <w:color w:val="auto"/>
          <w:sz w:val="20"/>
          <w:szCs w:val="20"/>
          <w:u w:val="single"/>
        </w:rPr>
        <w:t>11.4. Finalmente se procedió a la solución del caso, para lo cual la Corporación afirmó que la interpretación hecha por la Sala de Casación Penal de la Corte Suprema de Justicia, según la cual el fallo condenatorio consiste en un acto jurídicamente complejo dentro del sistema acusatorio adoptado por la Ley 906 de 2004, es constitucionalmente consistente, en el sentido de integrar como una unidad conceptual el anuncio del sentido del fallo y el texto de la sentencia condenatoria que se emitirá después, lo que no excede los límites del amplio espacio de configuración del legislador para el establecimiento de los procedimientos judiciales.</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u w:val="single"/>
        </w:rPr>
      </w:pPr>
      <w:r w:rsidRPr="00582C73">
        <w:rPr>
          <w:rFonts w:ascii="Arial" w:hAnsi="Arial" w:cs="Arial"/>
          <w:i/>
          <w:color w:val="auto"/>
          <w:sz w:val="20"/>
          <w:szCs w:val="20"/>
          <w:u w:val="single"/>
        </w:rPr>
        <w:t>11.5. En lo que tuvo que ver con el cargo de violación del derecho a la libertad personal, la Sala encontró que la orden de privación de la libertad establecida por el artículo 450 del Código de Procedimiento Penal respeta las garantías de la reserva judicial, la reserva legal y el carácter excepcional de las medidas privativas de la libertad, pues se trata de una medida que únicamente ocurre en el primer momento del acto jurídicamente complejo en que consiste la sentencia condenatoria. Para el efecto se precisó, que respecto de la necesidad de la detención, el inciso segundo del artículo 450 demandado debe asumirse en relación con los artículos 54 y 63 del Código Penal, que establecen los criterios y reglas para la determinación de la punibilidad y los mecanismos sustitutivos de la pena privativa de la libertad, y no con  los criterios que deben ser considerados al decretar la medida de aseguramiento.</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Pr="00582C73" w:rsidRDefault="00BF3012" w:rsidP="00BF3012">
      <w:pPr>
        <w:spacing w:line="360" w:lineRule="auto"/>
        <w:ind w:left="567" w:right="616"/>
        <w:jc w:val="both"/>
        <w:rPr>
          <w:rFonts w:ascii="Arial" w:hAnsi="Arial" w:cs="Arial"/>
          <w:i/>
          <w:color w:val="auto"/>
          <w:sz w:val="20"/>
          <w:szCs w:val="20"/>
        </w:rPr>
      </w:pPr>
      <w:r w:rsidRPr="00582C73">
        <w:rPr>
          <w:rFonts w:ascii="Arial" w:hAnsi="Arial" w:cs="Arial"/>
          <w:i/>
          <w:color w:val="auto"/>
          <w:sz w:val="20"/>
          <w:szCs w:val="20"/>
        </w:rPr>
        <w:t xml:space="preserve">Igualmente consideró la Sala que esa orden de detención tampoco viola las garantías del debido proceso, pues el afectado cuenta con medios de control adecuados, como son la declaratoria de nulidad del sentido del fallo y de la orden de detención, y el recurso de apelación sobre la sentencia, en virtud del cual podrán ser impugnadas tanto la privación de la libertad, como la declaratoria de responsabilidad penal. Dentro de esta misma perspectiva se concluyó también, que la norma demandada no viola la presunción de inocencia, pues la detención excepcional que se ordena al anunciar el sentido del fallo, constituye una restricción de la libertad dictada por motivos de necesidad, en los términos antedichos. </w:t>
      </w:r>
    </w:p>
    <w:p w:rsidR="00BF3012" w:rsidRPr="00582C73" w:rsidRDefault="00BF3012" w:rsidP="00BF3012">
      <w:pPr>
        <w:spacing w:line="360" w:lineRule="auto"/>
        <w:ind w:left="567" w:right="616"/>
        <w:jc w:val="both"/>
        <w:rPr>
          <w:rFonts w:ascii="Arial" w:hAnsi="Arial" w:cs="Arial"/>
          <w:i/>
          <w:color w:val="auto"/>
          <w:sz w:val="20"/>
          <w:szCs w:val="20"/>
        </w:rPr>
      </w:pPr>
    </w:p>
    <w:p w:rsidR="00BF3012" w:rsidRDefault="00BF3012" w:rsidP="00BF3012">
      <w:pPr>
        <w:spacing w:line="360" w:lineRule="auto"/>
        <w:ind w:left="567" w:right="616"/>
        <w:jc w:val="both"/>
        <w:rPr>
          <w:rFonts w:ascii="Arial" w:hAnsi="Arial" w:cs="Arial"/>
          <w:color w:val="auto"/>
          <w:sz w:val="20"/>
          <w:szCs w:val="20"/>
        </w:rPr>
      </w:pPr>
      <w:r w:rsidRPr="00582C73">
        <w:rPr>
          <w:rFonts w:ascii="Arial" w:hAnsi="Arial" w:cs="Arial"/>
          <w:i/>
          <w:color w:val="auto"/>
          <w:sz w:val="20"/>
          <w:szCs w:val="20"/>
        </w:rPr>
        <w:t xml:space="preserve">11.6. Como cuestión final la Corte reiteró que el juez de conocimiento tiene la obligación de evaluar todas las circunstancias relacionadas con el caso y la conducta desarrollada por el acusado, velando por la integridad de sus derechos fundamentales y la vigencia del principio pro </w:t>
      </w:r>
      <w:proofErr w:type="spellStart"/>
      <w:r w:rsidRPr="00582C73">
        <w:rPr>
          <w:rFonts w:ascii="Arial" w:hAnsi="Arial" w:cs="Arial"/>
          <w:i/>
          <w:color w:val="auto"/>
          <w:sz w:val="20"/>
          <w:szCs w:val="20"/>
        </w:rPr>
        <w:t>libertate</w:t>
      </w:r>
      <w:proofErr w:type="spellEnd"/>
      <w:r w:rsidRPr="00582C73">
        <w:rPr>
          <w:rFonts w:ascii="Arial" w:hAnsi="Arial" w:cs="Arial"/>
          <w:i/>
          <w:color w:val="auto"/>
          <w:sz w:val="20"/>
          <w:szCs w:val="20"/>
        </w:rPr>
        <w:t xml:space="preserve"> . Por lo mismo, el funcionario debe asumir rigurosamente, que la privación de la libertad es excepcional y que más aún debe serlo la privación de la </w:t>
      </w:r>
      <w:r w:rsidRPr="00582C73">
        <w:rPr>
          <w:rFonts w:ascii="Arial" w:hAnsi="Arial" w:cs="Arial"/>
          <w:i/>
          <w:color w:val="auto"/>
          <w:sz w:val="20"/>
          <w:szCs w:val="20"/>
        </w:rPr>
        <w:lastRenderedPageBreak/>
        <w:t xml:space="preserve">libertad </w:t>
      </w:r>
      <w:proofErr w:type="spellStart"/>
      <w:r w:rsidRPr="00582C73">
        <w:rPr>
          <w:rFonts w:ascii="Arial" w:hAnsi="Arial" w:cs="Arial"/>
          <w:i/>
          <w:color w:val="auto"/>
          <w:sz w:val="20"/>
          <w:szCs w:val="20"/>
        </w:rPr>
        <w:t>intramural</w:t>
      </w:r>
      <w:proofErr w:type="spellEnd"/>
      <w:r w:rsidRPr="00582C73">
        <w:rPr>
          <w:rFonts w:ascii="Arial" w:hAnsi="Arial" w:cs="Arial"/>
          <w:i/>
          <w:color w:val="auto"/>
          <w:sz w:val="20"/>
          <w:szCs w:val="20"/>
        </w:rPr>
        <w:t>, por lo cual y de conformidad con la doctrina reconocida por la Corte, “las autoridades deben verificar en cada caso concreto la procedencia de los subrogados penales como la prisión o detención domiciliaria, la vigilancia electrónica y la libertad provisional, pues éstas desarrollan finalidades constitucionales esenciales en el Estados Social de Derecho” .</w:t>
      </w:r>
      <w:r w:rsidR="00BD73E2" w:rsidRPr="00582C73">
        <w:rPr>
          <w:rFonts w:ascii="Arial" w:hAnsi="Arial" w:cs="Arial"/>
          <w:color w:val="auto"/>
          <w:sz w:val="20"/>
          <w:szCs w:val="20"/>
        </w:rPr>
        <w:t xml:space="preserve"> (Subraya y negrilla </w:t>
      </w:r>
      <w:r w:rsidR="00582C73">
        <w:rPr>
          <w:rFonts w:ascii="Arial" w:hAnsi="Arial" w:cs="Arial"/>
          <w:color w:val="auto"/>
          <w:sz w:val="20"/>
          <w:szCs w:val="20"/>
        </w:rPr>
        <w:t>ex texto</w:t>
      </w:r>
      <w:r w:rsidR="00E90011" w:rsidRPr="00582C73">
        <w:rPr>
          <w:rFonts w:ascii="Arial" w:hAnsi="Arial" w:cs="Arial"/>
          <w:color w:val="auto"/>
          <w:sz w:val="20"/>
          <w:szCs w:val="20"/>
        </w:rPr>
        <w:t>)</w:t>
      </w:r>
    </w:p>
    <w:p w:rsidR="00082BDF" w:rsidRPr="00582C73" w:rsidRDefault="00082BDF" w:rsidP="00BF3012">
      <w:pPr>
        <w:spacing w:line="360" w:lineRule="auto"/>
        <w:ind w:left="567" w:right="616"/>
        <w:jc w:val="both"/>
        <w:rPr>
          <w:rFonts w:ascii="Arial" w:hAnsi="Arial" w:cs="Arial"/>
          <w:i/>
          <w:color w:val="auto"/>
          <w:sz w:val="20"/>
          <w:szCs w:val="20"/>
        </w:rPr>
      </w:pPr>
    </w:p>
    <w:p w:rsidR="00E97302" w:rsidRPr="00021899" w:rsidRDefault="00E90011" w:rsidP="00207F36">
      <w:pPr>
        <w:spacing w:line="360" w:lineRule="auto"/>
        <w:ind w:right="49"/>
        <w:jc w:val="both"/>
        <w:rPr>
          <w:rFonts w:ascii="Arial" w:hAnsi="Arial" w:cs="Arial"/>
          <w:color w:val="auto"/>
        </w:rPr>
      </w:pPr>
      <w:r w:rsidRPr="00021899">
        <w:rPr>
          <w:rFonts w:ascii="Arial" w:hAnsi="Arial" w:cs="Arial"/>
          <w:color w:val="auto"/>
        </w:rPr>
        <w:t xml:space="preserve">6.3.13 </w:t>
      </w:r>
      <w:r w:rsidR="00E97302" w:rsidRPr="00021899">
        <w:rPr>
          <w:rFonts w:ascii="Arial" w:hAnsi="Arial" w:cs="Arial"/>
          <w:color w:val="auto"/>
        </w:rPr>
        <w:t>Por lo tanto, la Sala es</w:t>
      </w:r>
      <w:r w:rsidR="00197BEE">
        <w:rPr>
          <w:rFonts w:ascii="Arial" w:hAnsi="Arial" w:cs="Arial"/>
          <w:color w:val="auto"/>
        </w:rPr>
        <w:t>tima que en el caso en estudio fue</w:t>
      </w:r>
      <w:r w:rsidR="00E97302" w:rsidRPr="00021899">
        <w:rPr>
          <w:rFonts w:ascii="Arial" w:hAnsi="Arial" w:cs="Arial"/>
          <w:color w:val="auto"/>
        </w:rPr>
        <w:t xml:space="preserve"> acertado lo decidido por </w:t>
      </w:r>
      <w:r w:rsidR="00913814" w:rsidRPr="00021899">
        <w:rPr>
          <w:rFonts w:ascii="Arial" w:hAnsi="Arial" w:cs="Arial"/>
          <w:color w:val="auto"/>
        </w:rPr>
        <w:t>e</w:t>
      </w:r>
      <w:r w:rsidR="00E97302" w:rsidRPr="00021899">
        <w:rPr>
          <w:rFonts w:ascii="Arial" w:hAnsi="Arial" w:cs="Arial"/>
          <w:color w:val="auto"/>
        </w:rPr>
        <w:t xml:space="preserve">l </w:t>
      </w:r>
      <w:r w:rsidR="00E97302" w:rsidRPr="00021899">
        <w:rPr>
          <w:rFonts w:ascii="Arial" w:hAnsi="Arial" w:cs="Arial"/>
          <w:i/>
          <w:color w:val="auto"/>
        </w:rPr>
        <w:t xml:space="preserve">a quo </w:t>
      </w:r>
      <w:r w:rsidR="00E97302" w:rsidRPr="00021899">
        <w:rPr>
          <w:rFonts w:ascii="Arial" w:hAnsi="Arial" w:cs="Arial"/>
          <w:color w:val="auto"/>
        </w:rPr>
        <w:t xml:space="preserve">puesto que no resulta procedente la concesión de “libertad por vencimiento de términos” ni la sustitución de medida de aseguramiento al sentenciado </w:t>
      </w:r>
      <w:r w:rsidR="00673EE9" w:rsidRPr="00021899">
        <w:rPr>
          <w:rFonts w:ascii="Arial" w:hAnsi="Arial" w:cs="Arial"/>
          <w:color w:val="auto"/>
        </w:rPr>
        <w:t>Gerardo Alirio Moncada Medina</w:t>
      </w:r>
      <w:r w:rsidR="00E97302" w:rsidRPr="00021899">
        <w:rPr>
          <w:rFonts w:ascii="Arial" w:hAnsi="Arial" w:cs="Arial"/>
          <w:color w:val="auto"/>
        </w:rPr>
        <w:t>, toda vez que en sentido estricto está descontando una pena y no bajo el régimen de una medida de aseguramiento privativa de la libertad, por lo cual se confirmará la decisión de primera instancia.</w:t>
      </w:r>
    </w:p>
    <w:p w:rsidR="00E97302" w:rsidRPr="00021899" w:rsidRDefault="00E97302"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Con base en lo expuesto en precedencia la Sala Penal del Tribunal Superior de Pereira,</w:t>
      </w:r>
    </w:p>
    <w:p w:rsidR="00E97302" w:rsidRDefault="00E97302" w:rsidP="00207F36">
      <w:pPr>
        <w:spacing w:line="360" w:lineRule="auto"/>
        <w:ind w:right="49"/>
        <w:jc w:val="both"/>
        <w:rPr>
          <w:rFonts w:ascii="Arial" w:hAnsi="Arial" w:cs="Arial"/>
          <w:color w:val="auto"/>
        </w:rPr>
      </w:pPr>
    </w:p>
    <w:p w:rsidR="00082BDF" w:rsidRPr="00021899" w:rsidRDefault="00082BDF" w:rsidP="00207F36">
      <w:pPr>
        <w:spacing w:line="360" w:lineRule="auto"/>
        <w:ind w:right="49"/>
        <w:jc w:val="both"/>
        <w:rPr>
          <w:rFonts w:ascii="Arial" w:hAnsi="Arial" w:cs="Arial"/>
          <w:color w:val="auto"/>
        </w:rPr>
      </w:pPr>
    </w:p>
    <w:p w:rsidR="00E97302" w:rsidRPr="00082BDF" w:rsidRDefault="00E97302" w:rsidP="00207F36">
      <w:pPr>
        <w:spacing w:line="360" w:lineRule="auto"/>
        <w:ind w:right="49"/>
        <w:jc w:val="center"/>
        <w:rPr>
          <w:rFonts w:ascii="Arial" w:hAnsi="Arial" w:cs="Arial"/>
          <w:b/>
          <w:color w:val="auto"/>
        </w:rPr>
      </w:pPr>
      <w:r w:rsidRPr="00082BDF">
        <w:rPr>
          <w:rFonts w:ascii="Arial" w:hAnsi="Arial" w:cs="Arial"/>
          <w:b/>
          <w:color w:val="auto"/>
        </w:rPr>
        <w:t>RESUELVE</w:t>
      </w:r>
    </w:p>
    <w:p w:rsidR="00E97302" w:rsidRPr="00021899" w:rsidRDefault="00E97302"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 xml:space="preserve">PRIMERO: CONFIRMAR la decisión del </w:t>
      </w:r>
      <w:r w:rsidR="007F0855" w:rsidRPr="00021899">
        <w:rPr>
          <w:rFonts w:ascii="Arial" w:hAnsi="Arial" w:cs="Arial"/>
          <w:color w:val="auto"/>
        </w:rPr>
        <w:t>12 de septiembre de 2017</w:t>
      </w:r>
      <w:r w:rsidRPr="00021899">
        <w:rPr>
          <w:rFonts w:ascii="Arial" w:hAnsi="Arial" w:cs="Arial"/>
          <w:color w:val="auto"/>
        </w:rPr>
        <w:t xml:space="preserve"> del juez </w:t>
      </w:r>
      <w:r w:rsidR="00A23F10" w:rsidRPr="00021899">
        <w:rPr>
          <w:rFonts w:ascii="Arial" w:hAnsi="Arial" w:cs="Arial"/>
          <w:color w:val="auto"/>
        </w:rPr>
        <w:t xml:space="preserve">único promiscuo del circuito de </w:t>
      </w:r>
      <w:proofErr w:type="spellStart"/>
      <w:r w:rsidR="00A23F10" w:rsidRPr="00021899">
        <w:rPr>
          <w:rFonts w:ascii="Arial" w:hAnsi="Arial" w:cs="Arial"/>
          <w:color w:val="auto"/>
        </w:rPr>
        <w:t>Quinchía</w:t>
      </w:r>
      <w:proofErr w:type="spellEnd"/>
      <w:r w:rsidR="00A23F10" w:rsidRPr="00021899">
        <w:rPr>
          <w:rFonts w:ascii="Arial" w:hAnsi="Arial" w:cs="Arial"/>
          <w:color w:val="auto"/>
        </w:rPr>
        <w:t xml:space="preserve"> - Risaralda</w:t>
      </w:r>
      <w:r w:rsidRPr="00021899">
        <w:rPr>
          <w:rFonts w:ascii="Arial" w:hAnsi="Arial" w:cs="Arial"/>
          <w:color w:val="auto"/>
        </w:rPr>
        <w:t xml:space="preserve">, que negó la “libertad </w:t>
      </w:r>
      <w:r w:rsidR="00913814" w:rsidRPr="00021899">
        <w:rPr>
          <w:rFonts w:ascii="Arial" w:hAnsi="Arial" w:cs="Arial"/>
          <w:color w:val="auto"/>
        </w:rPr>
        <w:t>o sustitución</w:t>
      </w:r>
      <w:r w:rsidR="00913814" w:rsidRPr="00021899">
        <w:rPr>
          <w:rFonts w:ascii="Arial" w:hAnsi="Arial" w:cs="Arial"/>
          <w:color w:val="auto"/>
          <w:lang w:val="es-CO"/>
        </w:rPr>
        <w:t xml:space="preserve"> </w:t>
      </w:r>
      <w:r w:rsidR="00913814" w:rsidRPr="00021899">
        <w:rPr>
          <w:rFonts w:ascii="Arial" w:hAnsi="Arial" w:cs="Arial"/>
          <w:color w:val="auto"/>
        </w:rPr>
        <w:t>de la pena</w:t>
      </w:r>
      <w:r w:rsidRPr="00021899">
        <w:rPr>
          <w:rFonts w:ascii="Arial" w:hAnsi="Arial" w:cs="Arial"/>
          <w:color w:val="auto"/>
        </w:rPr>
        <w:t xml:space="preserve">” al señor </w:t>
      </w:r>
      <w:r w:rsidR="00673EE9" w:rsidRPr="00021899">
        <w:rPr>
          <w:rFonts w:ascii="Arial" w:hAnsi="Arial" w:cs="Arial"/>
          <w:color w:val="auto"/>
        </w:rPr>
        <w:t>Gerardo Alirio Moncada Medina</w:t>
      </w:r>
      <w:r w:rsidR="00E90011" w:rsidRPr="00021899">
        <w:rPr>
          <w:rFonts w:ascii="Arial" w:hAnsi="Arial" w:cs="Arial"/>
          <w:color w:val="auto"/>
        </w:rPr>
        <w:t>, en lo que fue objeto de impugnación.</w:t>
      </w:r>
    </w:p>
    <w:p w:rsidR="00BD73E2" w:rsidRDefault="00BD73E2" w:rsidP="00207F36">
      <w:pPr>
        <w:spacing w:line="360" w:lineRule="auto"/>
        <w:ind w:right="49"/>
        <w:jc w:val="both"/>
        <w:rPr>
          <w:rFonts w:ascii="Arial" w:hAnsi="Arial" w:cs="Arial"/>
          <w:color w:val="auto"/>
        </w:rPr>
      </w:pPr>
    </w:p>
    <w:p w:rsidR="00082BDF" w:rsidRPr="00021899" w:rsidRDefault="00082BDF" w:rsidP="00207F36">
      <w:pPr>
        <w:spacing w:line="360" w:lineRule="auto"/>
        <w:ind w:right="49"/>
        <w:jc w:val="both"/>
        <w:rPr>
          <w:rFonts w:ascii="Arial" w:hAnsi="Arial" w:cs="Arial"/>
          <w:color w:val="auto"/>
        </w:rPr>
      </w:pPr>
    </w:p>
    <w:p w:rsidR="00E97302" w:rsidRPr="00021899" w:rsidRDefault="00E97302" w:rsidP="00207F36">
      <w:pPr>
        <w:spacing w:line="360" w:lineRule="auto"/>
        <w:ind w:right="49"/>
        <w:jc w:val="both"/>
        <w:rPr>
          <w:rFonts w:ascii="Arial" w:hAnsi="Arial" w:cs="Arial"/>
          <w:color w:val="auto"/>
        </w:rPr>
      </w:pPr>
      <w:r w:rsidRPr="00021899">
        <w:rPr>
          <w:rFonts w:ascii="Arial" w:hAnsi="Arial" w:cs="Arial"/>
          <w:color w:val="auto"/>
        </w:rPr>
        <w:t>SEGUNDO: Contra esta determinación no procede ningún recurso.</w:t>
      </w:r>
    </w:p>
    <w:p w:rsidR="00E97302" w:rsidRPr="00021899" w:rsidRDefault="00E97302" w:rsidP="00207F36">
      <w:pPr>
        <w:spacing w:line="360" w:lineRule="auto"/>
        <w:ind w:right="49"/>
        <w:jc w:val="both"/>
        <w:rPr>
          <w:rFonts w:ascii="Arial" w:hAnsi="Arial" w:cs="Arial"/>
          <w:color w:val="auto"/>
        </w:rPr>
      </w:pP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t>CÓPIESE, NOTIFÍQUESE Y CÚMPLASE.</w:t>
      </w: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t>JAIRO ERNESTO ESCOBAR SANZ</w:t>
      </w: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t>Magistrado</w:t>
      </w: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lastRenderedPageBreak/>
        <w:t xml:space="preserve">MANUEL </w:t>
      </w:r>
      <w:proofErr w:type="spellStart"/>
      <w:r w:rsidRPr="00082BDF">
        <w:rPr>
          <w:rFonts w:ascii="Arial" w:hAnsi="Arial" w:cs="Arial"/>
          <w:b/>
          <w:bCs/>
          <w:color w:val="auto"/>
        </w:rPr>
        <w:t>YARZAGARAY</w:t>
      </w:r>
      <w:proofErr w:type="spellEnd"/>
      <w:r w:rsidRPr="00082BDF">
        <w:rPr>
          <w:rFonts w:ascii="Arial" w:hAnsi="Arial" w:cs="Arial"/>
          <w:b/>
          <w:bCs/>
          <w:color w:val="auto"/>
        </w:rPr>
        <w:t xml:space="preserve"> BANDERA</w:t>
      </w: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t>Magistrado</w:t>
      </w: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t>JORGE ARTURO CASTAÑO DUQUE</w:t>
      </w:r>
    </w:p>
    <w:p w:rsidR="00E97302" w:rsidRPr="00082BDF" w:rsidRDefault="00E97302" w:rsidP="00207F36">
      <w:pPr>
        <w:spacing w:line="360" w:lineRule="auto"/>
        <w:ind w:right="-516"/>
        <w:jc w:val="center"/>
        <w:rPr>
          <w:rFonts w:ascii="Arial" w:hAnsi="Arial" w:cs="Arial"/>
          <w:b/>
          <w:bCs/>
          <w:color w:val="auto"/>
        </w:rPr>
      </w:pPr>
      <w:r w:rsidRPr="00082BDF">
        <w:rPr>
          <w:rFonts w:ascii="Arial" w:hAnsi="Arial" w:cs="Arial"/>
          <w:b/>
          <w:bCs/>
          <w:color w:val="auto"/>
        </w:rPr>
        <w:t>Magistrado</w:t>
      </w:r>
    </w:p>
    <w:sectPr w:rsidR="00E97302" w:rsidRPr="00082BDF" w:rsidSect="00AC0977">
      <w:headerReference w:type="even" r:id="rId9"/>
      <w:headerReference w:type="default" r:id="rId10"/>
      <w:footerReference w:type="even" r:id="rId11"/>
      <w:footerReference w:type="default" r:id="rId12"/>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92" w:rsidRDefault="00395E92">
      <w:r>
        <w:separator/>
      </w:r>
    </w:p>
  </w:endnote>
  <w:endnote w:type="continuationSeparator" w:id="0">
    <w:p w:rsidR="00395E92" w:rsidRDefault="003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Roman P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
    <w:altName w:val="¢®E¡ËcE¡Ë¢çEcE¡Ë¢çE¢®EcEc¡Ë¢çE¢"/>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1C" w:rsidRPr="00AF5DFB" w:rsidRDefault="00D54A1C">
    <w:pPr>
      <w:pStyle w:val="Piedepgina"/>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FA2E76">
      <w:rPr>
        <w:rFonts w:ascii="Arial" w:hAnsi="Arial" w:cs="Arial"/>
        <w:b/>
        <w:bCs/>
        <w:noProof/>
      </w:rPr>
      <w:t>20</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FA2E76">
      <w:rPr>
        <w:rFonts w:ascii="Arial" w:hAnsi="Arial" w:cs="Arial"/>
        <w:b/>
        <w:bCs/>
        <w:noProof/>
      </w:rPr>
      <w:t>26</w:t>
    </w:r>
    <w:r w:rsidRPr="00AF5DFB">
      <w:rPr>
        <w:rFonts w:ascii="Arial" w:hAnsi="Arial" w:cs="Arial"/>
        <w:b/>
        <w:bCs/>
      </w:rPr>
      <w:fldChar w:fldCharType="end"/>
    </w:r>
  </w:p>
  <w:p w:rsidR="00D54A1C" w:rsidRDefault="00D54A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1C" w:rsidRPr="00AC0977" w:rsidRDefault="00D54A1C">
    <w:pPr>
      <w:pStyle w:val="Piedepgina"/>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FA2E76">
      <w:rPr>
        <w:rFonts w:ascii="Arial" w:hAnsi="Arial" w:cs="Arial"/>
        <w:b/>
        <w:bCs/>
        <w:noProof/>
      </w:rPr>
      <w:t>21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FA2E76">
      <w:rPr>
        <w:rFonts w:ascii="Arial" w:hAnsi="Arial" w:cs="Arial"/>
        <w:b/>
        <w:bCs/>
        <w:noProof/>
      </w:rPr>
      <w:t>26</w:t>
    </w:r>
    <w:r w:rsidRPr="00AC0977">
      <w:rPr>
        <w:rFonts w:ascii="Arial" w:hAnsi="Arial" w:cs="Arial"/>
        <w:b/>
        <w:bCs/>
      </w:rPr>
      <w:fldChar w:fldCharType="end"/>
    </w:r>
  </w:p>
  <w:p w:rsidR="00D54A1C" w:rsidRDefault="00D54A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92" w:rsidRDefault="00395E92">
      <w:r>
        <w:separator/>
      </w:r>
    </w:p>
  </w:footnote>
  <w:footnote w:type="continuationSeparator" w:id="0">
    <w:p w:rsidR="00395E92" w:rsidRDefault="00395E92">
      <w:r>
        <w:continuationSeparator/>
      </w:r>
    </w:p>
  </w:footnote>
  <w:footnote w:id="1">
    <w:p w:rsidR="00D54A1C" w:rsidRDefault="00D54A1C" w:rsidP="008A4FF0">
      <w:pPr>
        <w:pStyle w:val="Textonotapie"/>
        <w:jc w:val="both"/>
      </w:pPr>
      <w:r w:rsidRPr="00AF5DFB">
        <w:rPr>
          <w:rStyle w:val="Refdenotaalpie"/>
          <w:rFonts w:ascii="Arial" w:hAnsi="Arial" w:cs="Arial"/>
        </w:rPr>
        <w:footnoteRef/>
      </w:r>
      <w:r w:rsidRPr="00AF5DFB">
        <w:rPr>
          <w:rFonts w:ascii="Arial" w:hAnsi="Arial" w:cs="Arial"/>
        </w:rPr>
        <w:t xml:space="preserve"> </w:t>
      </w:r>
      <w:r w:rsidRPr="00AF5DFB">
        <w:rPr>
          <w:rFonts w:ascii="Arial" w:hAnsi="Arial" w:cs="Arial"/>
          <w:lang w:val="es-CO"/>
        </w:rPr>
        <w:t>A folio 33, reverso.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1C" w:rsidRDefault="00D54A1C" w:rsidP="00045614">
    <w:pPr>
      <w:pStyle w:val="Encabezado"/>
      <w:jc w:val="right"/>
      <w:rPr>
        <w:rFonts w:ascii="Arial" w:hAnsi="Arial" w:cs="Arial"/>
        <w:sz w:val="20"/>
      </w:rPr>
    </w:pPr>
  </w:p>
  <w:p w:rsidR="00D54A1C" w:rsidRDefault="00D54A1C" w:rsidP="00045614">
    <w:pPr>
      <w:pStyle w:val="Encabezado"/>
      <w:jc w:val="right"/>
      <w:rPr>
        <w:rFonts w:ascii="Arial" w:hAnsi="Arial" w:cs="Arial"/>
        <w:sz w:val="20"/>
      </w:rPr>
    </w:pPr>
  </w:p>
  <w:p w:rsidR="00D54A1C" w:rsidRDefault="00D54A1C" w:rsidP="007F0855">
    <w:pPr>
      <w:pStyle w:val="Encabezado"/>
      <w:jc w:val="right"/>
      <w:rPr>
        <w:rFonts w:ascii="Arial" w:hAnsi="Arial" w:cs="Arial"/>
        <w:sz w:val="20"/>
      </w:rPr>
    </w:pPr>
    <w:r w:rsidRPr="00763208">
      <w:rPr>
        <w:rFonts w:ascii="Arial" w:hAnsi="Arial" w:cs="Arial"/>
        <w:sz w:val="20"/>
      </w:rPr>
      <w:t>Radicado:</w:t>
    </w:r>
    <w:r>
      <w:rPr>
        <w:rFonts w:ascii="Arial" w:hAnsi="Arial" w:cs="Arial"/>
        <w:sz w:val="20"/>
      </w:rPr>
      <w:t xml:space="preserve"> 66594 60 00 063 2010 00361 02</w:t>
    </w:r>
  </w:p>
  <w:p w:rsidR="00D54A1C" w:rsidRDefault="00D54A1C" w:rsidP="007F0855">
    <w:pPr>
      <w:pStyle w:val="Encabezado"/>
      <w:jc w:val="right"/>
      <w:rPr>
        <w:rFonts w:ascii="Arial" w:hAnsi="Arial" w:cs="Arial"/>
        <w:sz w:val="20"/>
      </w:rPr>
    </w:pPr>
    <w:r w:rsidRPr="00763208">
      <w:rPr>
        <w:rFonts w:ascii="Arial" w:hAnsi="Arial" w:cs="Arial"/>
        <w:sz w:val="20"/>
      </w:rPr>
      <w:t>Acusado:</w:t>
    </w:r>
    <w:r>
      <w:rPr>
        <w:rFonts w:ascii="Arial" w:hAnsi="Arial" w:cs="Arial"/>
        <w:sz w:val="20"/>
      </w:rPr>
      <w:t xml:space="preserve"> Gerardo Antonio Moncada Medina</w:t>
    </w:r>
  </w:p>
  <w:p w:rsidR="00D54A1C" w:rsidRDefault="00D54A1C" w:rsidP="007F0855">
    <w:pPr>
      <w:pStyle w:val="Encabezado"/>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Pr>
        <w:rFonts w:ascii="Arial" w:hAnsi="Arial" w:cs="Arial"/>
        <w:sz w:val="20"/>
      </w:rPr>
      <w:t>Acceso carnal abusivo con menor de 14 años</w:t>
    </w:r>
  </w:p>
  <w:p w:rsidR="00D54A1C" w:rsidRDefault="00D54A1C" w:rsidP="007F0855">
    <w:pPr>
      <w:pStyle w:val="Encabezado"/>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D54A1C" w:rsidRDefault="00D54A1C" w:rsidP="007F0855">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1C" w:rsidRDefault="00D54A1C">
    <w:pPr>
      <w:pStyle w:val="Encabezado"/>
    </w:pPr>
  </w:p>
  <w:p w:rsidR="00D54A1C" w:rsidRDefault="00D54A1C" w:rsidP="00763208">
    <w:pPr>
      <w:pStyle w:val="Encabezado"/>
      <w:jc w:val="right"/>
      <w:rPr>
        <w:rFonts w:ascii="Arial" w:hAnsi="Arial" w:cs="Arial"/>
        <w:sz w:val="20"/>
      </w:rPr>
    </w:pPr>
    <w:r w:rsidRPr="00763208">
      <w:rPr>
        <w:rFonts w:ascii="Arial" w:hAnsi="Arial" w:cs="Arial"/>
        <w:sz w:val="20"/>
      </w:rPr>
      <w:t>Radicado:</w:t>
    </w:r>
    <w:r>
      <w:rPr>
        <w:rFonts w:ascii="Arial" w:hAnsi="Arial" w:cs="Arial"/>
        <w:sz w:val="20"/>
      </w:rPr>
      <w:t xml:space="preserve"> 66594 60 00 063 2010 00361 02</w:t>
    </w:r>
  </w:p>
  <w:p w:rsidR="00D54A1C" w:rsidRDefault="00D54A1C" w:rsidP="00763208">
    <w:pPr>
      <w:pStyle w:val="Encabezado"/>
      <w:jc w:val="right"/>
      <w:rPr>
        <w:rFonts w:ascii="Arial" w:hAnsi="Arial" w:cs="Arial"/>
        <w:sz w:val="20"/>
      </w:rPr>
    </w:pPr>
    <w:r w:rsidRPr="00763208">
      <w:rPr>
        <w:rFonts w:ascii="Arial" w:hAnsi="Arial" w:cs="Arial"/>
        <w:sz w:val="20"/>
      </w:rPr>
      <w:t>Acusado:</w:t>
    </w:r>
    <w:r>
      <w:rPr>
        <w:rFonts w:ascii="Arial" w:hAnsi="Arial" w:cs="Arial"/>
        <w:sz w:val="20"/>
      </w:rPr>
      <w:t xml:space="preserve"> Gerardo Antonio Moncada Medina</w:t>
    </w:r>
  </w:p>
  <w:p w:rsidR="00D54A1C" w:rsidRDefault="00D54A1C" w:rsidP="00763208">
    <w:pPr>
      <w:pStyle w:val="Encabezado"/>
      <w:jc w:val="right"/>
      <w:rPr>
        <w:rFonts w:ascii="Arial" w:hAnsi="Arial" w:cs="Arial"/>
        <w:sz w:val="20"/>
      </w:rPr>
    </w:pPr>
    <w:r>
      <w:rPr>
        <w:rFonts w:ascii="Arial" w:hAnsi="Arial" w:cs="Arial"/>
        <w:sz w:val="20"/>
      </w:rPr>
      <w:t>D</w:t>
    </w:r>
    <w:r w:rsidRPr="00763208">
      <w:rPr>
        <w:rFonts w:ascii="Arial" w:hAnsi="Arial" w:cs="Arial"/>
        <w:sz w:val="20"/>
      </w:rPr>
      <w:t>elito</w:t>
    </w:r>
    <w:r>
      <w:rPr>
        <w:rFonts w:ascii="Arial" w:hAnsi="Arial" w:cs="Arial"/>
        <w:sz w:val="20"/>
      </w:rPr>
      <w:t>s</w:t>
    </w:r>
    <w:r w:rsidRPr="00763208">
      <w:rPr>
        <w:rFonts w:ascii="Arial" w:hAnsi="Arial" w:cs="Arial"/>
        <w:sz w:val="20"/>
      </w:rPr>
      <w:t xml:space="preserve">: </w:t>
    </w:r>
    <w:r>
      <w:rPr>
        <w:rFonts w:ascii="Arial" w:hAnsi="Arial" w:cs="Arial"/>
        <w:sz w:val="20"/>
      </w:rPr>
      <w:t>Acceso carnal abusivo con menor de 14 años</w:t>
    </w:r>
  </w:p>
  <w:p w:rsidR="00D54A1C" w:rsidRDefault="00D54A1C" w:rsidP="00426282">
    <w:pPr>
      <w:pStyle w:val="Encabezado"/>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D54A1C" w:rsidRPr="00AC0977" w:rsidRDefault="00D54A1C" w:rsidP="00426282">
    <w:pPr>
      <w:pStyle w:val="Encabezado"/>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56072"/>
    <w:multiLevelType w:val="hybridMultilevel"/>
    <w:tmpl w:val="C6BC9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351FEC"/>
    <w:multiLevelType w:val="hybridMultilevel"/>
    <w:tmpl w:val="ACE0A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F935C5"/>
    <w:multiLevelType w:val="hybridMultilevel"/>
    <w:tmpl w:val="39C83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70"/>
    <w:rsid w:val="000012A4"/>
    <w:rsid w:val="0000293B"/>
    <w:rsid w:val="0000442E"/>
    <w:rsid w:val="000059CF"/>
    <w:rsid w:val="00011DA5"/>
    <w:rsid w:val="0001204B"/>
    <w:rsid w:val="00015571"/>
    <w:rsid w:val="00017101"/>
    <w:rsid w:val="000171E0"/>
    <w:rsid w:val="00021334"/>
    <w:rsid w:val="00021884"/>
    <w:rsid w:val="00021899"/>
    <w:rsid w:val="00021C3D"/>
    <w:rsid w:val="00023021"/>
    <w:rsid w:val="00027920"/>
    <w:rsid w:val="00027A8B"/>
    <w:rsid w:val="00031B89"/>
    <w:rsid w:val="00033A92"/>
    <w:rsid w:val="00035DD3"/>
    <w:rsid w:val="00043686"/>
    <w:rsid w:val="0004378B"/>
    <w:rsid w:val="0004405D"/>
    <w:rsid w:val="000450B7"/>
    <w:rsid w:val="0004547D"/>
    <w:rsid w:val="00045614"/>
    <w:rsid w:val="00047800"/>
    <w:rsid w:val="000503A7"/>
    <w:rsid w:val="00050E1D"/>
    <w:rsid w:val="000537FD"/>
    <w:rsid w:val="0006150C"/>
    <w:rsid w:val="00061AB5"/>
    <w:rsid w:val="00062DE0"/>
    <w:rsid w:val="00066282"/>
    <w:rsid w:val="00072281"/>
    <w:rsid w:val="0007333F"/>
    <w:rsid w:val="00073FC8"/>
    <w:rsid w:val="0007692E"/>
    <w:rsid w:val="00081BBF"/>
    <w:rsid w:val="00082BDF"/>
    <w:rsid w:val="00082D6A"/>
    <w:rsid w:val="0008609B"/>
    <w:rsid w:val="0008725D"/>
    <w:rsid w:val="00093625"/>
    <w:rsid w:val="0009445B"/>
    <w:rsid w:val="000954D4"/>
    <w:rsid w:val="000A119D"/>
    <w:rsid w:val="000A25A8"/>
    <w:rsid w:val="000A498C"/>
    <w:rsid w:val="000A4CEE"/>
    <w:rsid w:val="000B0FFC"/>
    <w:rsid w:val="000B2424"/>
    <w:rsid w:val="000B385D"/>
    <w:rsid w:val="000B4F6A"/>
    <w:rsid w:val="000B5D00"/>
    <w:rsid w:val="000B61F3"/>
    <w:rsid w:val="000B62D1"/>
    <w:rsid w:val="000B6DD7"/>
    <w:rsid w:val="000C0FA2"/>
    <w:rsid w:val="000C10D8"/>
    <w:rsid w:val="000C5EC5"/>
    <w:rsid w:val="000C657A"/>
    <w:rsid w:val="000D0CA3"/>
    <w:rsid w:val="000D7463"/>
    <w:rsid w:val="000E0870"/>
    <w:rsid w:val="000E3FE7"/>
    <w:rsid w:val="000E6D08"/>
    <w:rsid w:val="000E77F5"/>
    <w:rsid w:val="000E7A6C"/>
    <w:rsid w:val="000F486F"/>
    <w:rsid w:val="000F56F4"/>
    <w:rsid w:val="000F58B1"/>
    <w:rsid w:val="000F6AF4"/>
    <w:rsid w:val="00100C2B"/>
    <w:rsid w:val="00100F77"/>
    <w:rsid w:val="00105C04"/>
    <w:rsid w:val="00106539"/>
    <w:rsid w:val="00106E81"/>
    <w:rsid w:val="00120328"/>
    <w:rsid w:val="00121DE1"/>
    <w:rsid w:val="00124F5A"/>
    <w:rsid w:val="001276FA"/>
    <w:rsid w:val="00127773"/>
    <w:rsid w:val="0013512E"/>
    <w:rsid w:val="0013633B"/>
    <w:rsid w:val="001402AD"/>
    <w:rsid w:val="00140BBF"/>
    <w:rsid w:val="00143E41"/>
    <w:rsid w:val="00150CB6"/>
    <w:rsid w:val="00153896"/>
    <w:rsid w:val="001551FB"/>
    <w:rsid w:val="00160816"/>
    <w:rsid w:val="001621C0"/>
    <w:rsid w:val="00162610"/>
    <w:rsid w:val="001651F6"/>
    <w:rsid w:val="0017096B"/>
    <w:rsid w:val="001754F5"/>
    <w:rsid w:val="001821A2"/>
    <w:rsid w:val="001867B9"/>
    <w:rsid w:val="00190427"/>
    <w:rsid w:val="00191D75"/>
    <w:rsid w:val="001920FC"/>
    <w:rsid w:val="00193441"/>
    <w:rsid w:val="00195CBF"/>
    <w:rsid w:val="00197272"/>
    <w:rsid w:val="00197BEE"/>
    <w:rsid w:val="001A0DCB"/>
    <w:rsid w:val="001A258A"/>
    <w:rsid w:val="001A4659"/>
    <w:rsid w:val="001A7822"/>
    <w:rsid w:val="001B0449"/>
    <w:rsid w:val="001B286E"/>
    <w:rsid w:val="001B485D"/>
    <w:rsid w:val="001B6326"/>
    <w:rsid w:val="001C02C5"/>
    <w:rsid w:val="001C4CE8"/>
    <w:rsid w:val="001C7520"/>
    <w:rsid w:val="001D081E"/>
    <w:rsid w:val="001D20FB"/>
    <w:rsid w:val="001D2F62"/>
    <w:rsid w:val="001D50D9"/>
    <w:rsid w:val="001E07B8"/>
    <w:rsid w:val="001E152D"/>
    <w:rsid w:val="001E4BDA"/>
    <w:rsid w:val="001E5A47"/>
    <w:rsid w:val="001E694C"/>
    <w:rsid w:val="001E7385"/>
    <w:rsid w:val="001F4346"/>
    <w:rsid w:val="001F4B25"/>
    <w:rsid w:val="001F6953"/>
    <w:rsid w:val="001F7AE0"/>
    <w:rsid w:val="002031FC"/>
    <w:rsid w:val="002077EC"/>
    <w:rsid w:val="00207F36"/>
    <w:rsid w:val="002139E5"/>
    <w:rsid w:val="00216895"/>
    <w:rsid w:val="00225467"/>
    <w:rsid w:val="00227133"/>
    <w:rsid w:val="00227677"/>
    <w:rsid w:val="00227695"/>
    <w:rsid w:val="00231486"/>
    <w:rsid w:val="00232B5E"/>
    <w:rsid w:val="0023332E"/>
    <w:rsid w:val="00233995"/>
    <w:rsid w:val="00233AE0"/>
    <w:rsid w:val="00235145"/>
    <w:rsid w:val="00240DF9"/>
    <w:rsid w:val="00242B0C"/>
    <w:rsid w:val="00243C4F"/>
    <w:rsid w:val="00244A37"/>
    <w:rsid w:val="002461BE"/>
    <w:rsid w:val="00246F99"/>
    <w:rsid w:val="0025221F"/>
    <w:rsid w:val="00254AC4"/>
    <w:rsid w:val="00255140"/>
    <w:rsid w:val="00256A24"/>
    <w:rsid w:val="00261299"/>
    <w:rsid w:val="002646D0"/>
    <w:rsid w:val="00265377"/>
    <w:rsid w:val="00267212"/>
    <w:rsid w:val="00267362"/>
    <w:rsid w:val="00267DE3"/>
    <w:rsid w:val="002711D4"/>
    <w:rsid w:val="00272370"/>
    <w:rsid w:val="00272552"/>
    <w:rsid w:val="00273423"/>
    <w:rsid w:val="0027408C"/>
    <w:rsid w:val="00275D0F"/>
    <w:rsid w:val="00277408"/>
    <w:rsid w:val="00277546"/>
    <w:rsid w:val="002860F6"/>
    <w:rsid w:val="002869FF"/>
    <w:rsid w:val="00287A63"/>
    <w:rsid w:val="00292FB6"/>
    <w:rsid w:val="00293853"/>
    <w:rsid w:val="00293FB4"/>
    <w:rsid w:val="002A25D5"/>
    <w:rsid w:val="002A4DD5"/>
    <w:rsid w:val="002B61F2"/>
    <w:rsid w:val="002B7B86"/>
    <w:rsid w:val="002C2D54"/>
    <w:rsid w:val="002C429A"/>
    <w:rsid w:val="002C53A7"/>
    <w:rsid w:val="002D05D4"/>
    <w:rsid w:val="002D07DE"/>
    <w:rsid w:val="002D2EC0"/>
    <w:rsid w:val="002D75DA"/>
    <w:rsid w:val="002E0B28"/>
    <w:rsid w:val="002E17C1"/>
    <w:rsid w:val="002E6500"/>
    <w:rsid w:val="002E6B42"/>
    <w:rsid w:val="002E7C4F"/>
    <w:rsid w:val="002F1DA2"/>
    <w:rsid w:val="002F376C"/>
    <w:rsid w:val="002F407A"/>
    <w:rsid w:val="00301C54"/>
    <w:rsid w:val="00307D3F"/>
    <w:rsid w:val="0031561A"/>
    <w:rsid w:val="00317054"/>
    <w:rsid w:val="00326F92"/>
    <w:rsid w:val="0032731A"/>
    <w:rsid w:val="00336630"/>
    <w:rsid w:val="00336B0F"/>
    <w:rsid w:val="00343039"/>
    <w:rsid w:val="003430D6"/>
    <w:rsid w:val="00345247"/>
    <w:rsid w:val="00345ED6"/>
    <w:rsid w:val="00347651"/>
    <w:rsid w:val="00350CCB"/>
    <w:rsid w:val="0035497F"/>
    <w:rsid w:val="003639A2"/>
    <w:rsid w:val="003653F7"/>
    <w:rsid w:val="00365446"/>
    <w:rsid w:val="00365C82"/>
    <w:rsid w:val="00366071"/>
    <w:rsid w:val="003718BD"/>
    <w:rsid w:val="003750FE"/>
    <w:rsid w:val="003768E3"/>
    <w:rsid w:val="0038002B"/>
    <w:rsid w:val="0038321A"/>
    <w:rsid w:val="0038406A"/>
    <w:rsid w:val="003846AD"/>
    <w:rsid w:val="00384C85"/>
    <w:rsid w:val="003869CB"/>
    <w:rsid w:val="00387AD4"/>
    <w:rsid w:val="00390F4C"/>
    <w:rsid w:val="00392964"/>
    <w:rsid w:val="0039303E"/>
    <w:rsid w:val="00394877"/>
    <w:rsid w:val="00395E92"/>
    <w:rsid w:val="003971AB"/>
    <w:rsid w:val="0039725D"/>
    <w:rsid w:val="00397A0C"/>
    <w:rsid w:val="003A265D"/>
    <w:rsid w:val="003A37DD"/>
    <w:rsid w:val="003A50FA"/>
    <w:rsid w:val="003B3F2B"/>
    <w:rsid w:val="003C2643"/>
    <w:rsid w:val="003C2FE2"/>
    <w:rsid w:val="003C74BA"/>
    <w:rsid w:val="003D10DC"/>
    <w:rsid w:val="003D2570"/>
    <w:rsid w:val="003D5068"/>
    <w:rsid w:val="003E217E"/>
    <w:rsid w:val="003F0FCA"/>
    <w:rsid w:val="003F1E78"/>
    <w:rsid w:val="003F5446"/>
    <w:rsid w:val="003F6D63"/>
    <w:rsid w:val="00400550"/>
    <w:rsid w:val="00403B26"/>
    <w:rsid w:val="0040416C"/>
    <w:rsid w:val="00404273"/>
    <w:rsid w:val="00405A29"/>
    <w:rsid w:val="004113C2"/>
    <w:rsid w:val="00416F88"/>
    <w:rsid w:val="004213BC"/>
    <w:rsid w:val="004215FB"/>
    <w:rsid w:val="00424938"/>
    <w:rsid w:val="00426282"/>
    <w:rsid w:val="00433B61"/>
    <w:rsid w:val="00441D30"/>
    <w:rsid w:val="00442D24"/>
    <w:rsid w:val="00445249"/>
    <w:rsid w:val="0044595F"/>
    <w:rsid w:val="00450AE3"/>
    <w:rsid w:val="00450F53"/>
    <w:rsid w:val="00451D21"/>
    <w:rsid w:val="004645E2"/>
    <w:rsid w:val="00466717"/>
    <w:rsid w:val="0046730F"/>
    <w:rsid w:val="00472F02"/>
    <w:rsid w:val="00473782"/>
    <w:rsid w:val="00477028"/>
    <w:rsid w:val="00477450"/>
    <w:rsid w:val="00484718"/>
    <w:rsid w:val="00486748"/>
    <w:rsid w:val="00492CEA"/>
    <w:rsid w:val="004934DB"/>
    <w:rsid w:val="004962D7"/>
    <w:rsid w:val="004A1F38"/>
    <w:rsid w:val="004A3813"/>
    <w:rsid w:val="004B1EB8"/>
    <w:rsid w:val="004B2945"/>
    <w:rsid w:val="004B6E99"/>
    <w:rsid w:val="004B7DD6"/>
    <w:rsid w:val="004B7F7D"/>
    <w:rsid w:val="004C0295"/>
    <w:rsid w:val="004C048C"/>
    <w:rsid w:val="004C1F0D"/>
    <w:rsid w:val="004D2D55"/>
    <w:rsid w:val="004D40E0"/>
    <w:rsid w:val="004D6B61"/>
    <w:rsid w:val="004E31CD"/>
    <w:rsid w:val="004E5FFF"/>
    <w:rsid w:val="004E7254"/>
    <w:rsid w:val="004F26A1"/>
    <w:rsid w:val="004F3CD6"/>
    <w:rsid w:val="004F4997"/>
    <w:rsid w:val="00502770"/>
    <w:rsid w:val="00505296"/>
    <w:rsid w:val="00506877"/>
    <w:rsid w:val="00506B62"/>
    <w:rsid w:val="00514010"/>
    <w:rsid w:val="005161C4"/>
    <w:rsid w:val="00524984"/>
    <w:rsid w:val="0052749B"/>
    <w:rsid w:val="0053407A"/>
    <w:rsid w:val="00535935"/>
    <w:rsid w:val="00535CE5"/>
    <w:rsid w:val="00536598"/>
    <w:rsid w:val="005432A4"/>
    <w:rsid w:val="005527AC"/>
    <w:rsid w:val="005530FC"/>
    <w:rsid w:val="005534A1"/>
    <w:rsid w:val="0055693C"/>
    <w:rsid w:val="00561625"/>
    <w:rsid w:val="00564C76"/>
    <w:rsid w:val="00566FCC"/>
    <w:rsid w:val="005675E4"/>
    <w:rsid w:val="0057377A"/>
    <w:rsid w:val="0057723F"/>
    <w:rsid w:val="005820D2"/>
    <w:rsid w:val="005829A5"/>
    <w:rsid w:val="00582C73"/>
    <w:rsid w:val="00583839"/>
    <w:rsid w:val="00585205"/>
    <w:rsid w:val="005877C0"/>
    <w:rsid w:val="0059106C"/>
    <w:rsid w:val="00592708"/>
    <w:rsid w:val="00594707"/>
    <w:rsid w:val="005964FD"/>
    <w:rsid w:val="005A0481"/>
    <w:rsid w:val="005A60CA"/>
    <w:rsid w:val="005A6C85"/>
    <w:rsid w:val="005A74DC"/>
    <w:rsid w:val="005B225B"/>
    <w:rsid w:val="005B314F"/>
    <w:rsid w:val="005B504D"/>
    <w:rsid w:val="005B681C"/>
    <w:rsid w:val="005C16B8"/>
    <w:rsid w:val="005C6281"/>
    <w:rsid w:val="005C6727"/>
    <w:rsid w:val="005D4F1B"/>
    <w:rsid w:val="005D5E44"/>
    <w:rsid w:val="005D5E56"/>
    <w:rsid w:val="005E2D69"/>
    <w:rsid w:val="005F1F22"/>
    <w:rsid w:val="005F2AC2"/>
    <w:rsid w:val="005F34CB"/>
    <w:rsid w:val="005F385A"/>
    <w:rsid w:val="005F3FB5"/>
    <w:rsid w:val="005F7D87"/>
    <w:rsid w:val="006001A3"/>
    <w:rsid w:val="006026AA"/>
    <w:rsid w:val="00603B41"/>
    <w:rsid w:val="00605EE4"/>
    <w:rsid w:val="0060738A"/>
    <w:rsid w:val="00607C3D"/>
    <w:rsid w:val="00610BFC"/>
    <w:rsid w:val="00611D64"/>
    <w:rsid w:val="006126F5"/>
    <w:rsid w:val="006162BE"/>
    <w:rsid w:val="00616B28"/>
    <w:rsid w:val="0061742F"/>
    <w:rsid w:val="00617B72"/>
    <w:rsid w:val="0062579C"/>
    <w:rsid w:val="00631BB0"/>
    <w:rsid w:val="00643DFF"/>
    <w:rsid w:val="00643E6E"/>
    <w:rsid w:val="00644D26"/>
    <w:rsid w:val="00646E3C"/>
    <w:rsid w:val="00650ECA"/>
    <w:rsid w:val="0066025F"/>
    <w:rsid w:val="00664F21"/>
    <w:rsid w:val="0066660B"/>
    <w:rsid w:val="00666CEB"/>
    <w:rsid w:val="006672E4"/>
    <w:rsid w:val="0067288F"/>
    <w:rsid w:val="00672987"/>
    <w:rsid w:val="00673EE9"/>
    <w:rsid w:val="006742E9"/>
    <w:rsid w:val="00676A9E"/>
    <w:rsid w:val="00677C39"/>
    <w:rsid w:val="0068008B"/>
    <w:rsid w:val="00682C68"/>
    <w:rsid w:val="006837A7"/>
    <w:rsid w:val="0068445E"/>
    <w:rsid w:val="0069375F"/>
    <w:rsid w:val="00694FEE"/>
    <w:rsid w:val="006A0B9C"/>
    <w:rsid w:val="006A0C9B"/>
    <w:rsid w:val="006A1939"/>
    <w:rsid w:val="006A4DFA"/>
    <w:rsid w:val="006A6BFD"/>
    <w:rsid w:val="006B09C9"/>
    <w:rsid w:val="006B32CC"/>
    <w:rsid w:val="006B59E9"/>
    <w:rsid w:val="006B6739"/>
    <w:rsid w:val="006B7798"/>
    <w:rsid w:val="006C214C"/>
    <w:rsid w:val="006C23C9"/>
    <w:rsid w:val="006C3852"/>
    <w:rsid w:val="006D38E7"/>
    <w:rsid w:val="006D48B7"/>
    <w:rsid w:val="006D4E75"/>
    <w:rsid w:val="006E12E6"/>
    <w:rsid w:val="006E2FA1"/>
    <w:rsid w:val="006E48D8"/>
    <w:rsid w:val="006F2D70"/>
    <w:rsid w:val="006F4B61"/>
    <w:rsid w:val="006F6902"/>
    <w:rsid w:val="00703A08"/>
    <w:rsid w:val="00703F92"/>
    <w:rsid w:val="00704C35"/>
    <w:rsid w:val="00705109"/>
    <w:rsid w:val="0070621C"/>
    <w:rsid w:val="007076BC"/>
    <w:rsid w:val="00712F71"/>
    <w:rsid w:val="007151EA"/>
    <w:rsid w:val="00716C3E"/>
    <w:rsid w:val="00717E63"/>
    <w:rsid w:val="00720285"/>
    <w:rsid w:val="0072185A"/>
    <w:rsid w:val="0072254F"/>
    <w:rsid w:val="00724CB9"/>
    <w:rsid w:val="00725AA0"/>
    <w:rsid w:val="0072782A"/>
    <w:rsid w:val="007414D1"/>
    <w:rsid w:val="0074303C"/>
    <w:rsid w:val="00747007"/>
    <w:rsid w:val="007536E8"/>
    <w:rsid w:val="00755270"/>
    <w:rsid w:val="00756C07"/>
    <w:rsid w:val="00757AA1"/>
    <w:rsid w:val="0076078C"/>
    <w:rsid w:val="00763208"/>
    <w:rsid w:val="00763B5B"/>
    <w:rsid w:val="00771BE2"/>
    <w:rsid w:val="0077232A"/>
    <w:rsid w:val="007726D2"/>
    <w:rsid w:val="0077439A"/>
    <w:rsid w:val="00774CD3"/>
    <w:rsid w:val="00774EF8"/>
    <w:rsid w:val="007821DD"/>
    <w:rsid w:val="0078303D"/>
    <w:rsid w:val="00783D6E"/>
    <w:rsid w:val="00785F6F"/>
    <w:rsid w:val="00786669"/>
    <w:rsid w:val="0079030F"/>
    <w:rsid w:val="0079197C"/>
    <w:rsid w:val="00792D7B"/>
    <w:rsid w:val="00793560"/>
    <w:rsid w:val="00794F0F"/>
    <w:rsid w:val="007A3C64"/>
    <w:rsid w:val="007A5104"/>
    <w:rsid w:val="007A6AD2"/>
    <w:rsid w:val="007A79EA"/>
    <w:rsid w:val="007A7AB8"/>
    <w:rsid w:val="007B0A66"/>
    <w:rsid w:val="007B4AC4"/>
    <w:rsid w:val="007C1F63"/>
    <w:rsid w:val="007D06CF"/>
    <w:rsid w:val="007D5F35"/>
    <w:rsid w:val="007D6929"/>
    <w:rsid w:val="007D7A21"/>
    <w:rsid w:val="007E1A5B"/>
    <w:rsid w:val="007F0855"/>
    <w:rsid w:val="007F4107"/>
    <w:rsid w:val="007F64A6"/>
    <w:rsid w:val="0080251E"/>
    <w:rsid w:val="008049F8"/>
    <w:rsid w:val="00805F49"/>
    <w:rsid w:val="00812860"/>
    <w:rsid w:val="00812C86"/>
    <w:rsid w:val="008203F3"/>
    <w:rsid w:val="00821B42"/>
    <w:rsid w:val="00823E31"/>
    <w:rsid w:val="00827897"/>
    <w:rsid w:val="00827A13"/>
    <w:rsid w:val="0083037B"/>
    <w:rsid w:val="0083112D"/>
    <w:rsid w:val="008314A2"/>
    <w:rsid w:val="00837A4D"/>
    <w:rsid w:val="00837B41"/>
    <w:rsid w:val="008419A2"/>
    <w:rsid w:val="00846197"/>
    <w:rsid w:val="00846518"/>
    <w:rsid w:val="008476A6"/>
    <w:rsid w:val="00850124"/>
    <w:rsid w:val="00850402"/>
    <w:rsid w:val="00861796"/>
    <w:rsid w:val="008630C5"/>
    <w:rsid w:val="00863A30"/>
    <w:rsid w:val="00867249"/>
    <w:rsid w:val="00867517"/>
    <w:rsid w:val="00875073"/>
    <w:rsid w:val="00875CF8"/>
    <w:rsid w:val="008833F8"/>
    <w:rsid w:val="00884CC1"/>
    <w:rsid w:val="0089057A"/>
    <w:rsid w:val="00891421"/>
    <w:rsid w:val="00893115"/>
    <w:rsid w:val="00893C58"/>
    <w:rsid w:val="008A0293"/>
    <w:rsid w:val="008A3350"/>
    <w:rsid w:val="008A4CCD"/>
    <w:rsid w:val="008A4FF0"/>
    <w:rsid w:val="008A5A2E"/>
    <w:rsid w:val="008A677E"/>
    <w:rsid w:val="008A6F48"/>
    <w:rsid w:val="008B0619"/>
    <w:rsid w:val="008B114D"/>
    <w:rsid w:val="008B5752"/>
    <w:rsid w:val="008B682F"/>
    <w:rsid w:val="008B7E21"/>
    <w:rsid w:val="008B7F66"/>
    <w:rsid w:val="008C766E"/>
    <w:rsid w:val="008D0206"/>
    <w:rsid w:val="008D08B5"/>
    <w:rsid w:val="008D2FC0"/>
    <w:rsid w:val="008D6853"/>
    <w:rsid w:val="008D6A68"/>
    <w:rsid w:val="008D6B90"/>
    <w:rsid w:val="008D7467"/>
    <w:rsid w:val="008E22F8"/>
    <w:rsid w:val="008E37BE"/>
    <w:rsid w:val="008E3961"/>
    <w:rsid w:val="008E4796"/>
    <w:rsid w:val="008E4D30"/>
    <w:rsid w:val="008E5359"/>
    <w:rsid w:val="008E7DA3"/>
    <w:rsid w:val="008F0234"/>
    <w:rsid w:val="008F3E12"/>
    <w:rsid w:val="008F4146"/>
    <w:rsid w:val="008F4B9C"/>
    <w:rsid w:val="008F5454"/>
    <w:rsid w:val="00901E1F"/>
    <w:rsid w:val="00902F7C"/>
    <w:rsid w:val="00904645"/>
    <w:rsid w:val="00905B95"/>
    <w:rsid w:val="00905E84"/>
    <w:rsid w:val="009069E6"/>
    <w:rsid w:val="00910429"/>
    <w:rsid w:val="00910E80"/>
    <w:rsid w:val="009124A5"/>
    <w:rsid w:val="00913814"/>
    <w:rsid w:val="00920BDA"/>
    <w:rsid w:val="00930301"/>
    <w:rsid w:val="00931D2A"/>
    <w:rsid w:val="009343F9"/>
    <w:rsid w:val="009358AC"/>
    <w:rsid w:val="00945AFF"/>
    <w:rsid w:val="009461DB"/>
    <w:rsid w:val="0095550B"/>
    <w:rsid w:val="0096139C"/>
    <w:rsid w:val="0097278C"/>
    <w:rsid w:val="00972FE8"/>
    <w:rsid w:val="00976651"/>
    <w:rsid w:val="00977A9D"/>
    <w:rsid w:val="00981E8C"/>
    <w:rsid w:val="00982DF4"/>
    <w:rsid w:val="0098515F"/>
    <w:rsid w:val="00986516"/>
    <w:rsid w:val="009918BD"/>
    <w:rsid w:val="0099490E"/>
    <w:rsid w:val="0099558F"/>
    <w:rsid w:val="009A1911"/>
    <w:rsid w:val="009A1E4B"/>
    <w:rsid w:val="009A3358"/>
    <w:rsid w:val="009A3A62"/>
    <w:rsid w:val="009A42ED"/>
    <w:rsid w:val="009A53A0"/>
    <w:rsid w:val="009B12D3"/>
    <w:rsid w:val="009B29B8"/>
    <w:rsid w:val="009B2DBF"/>
    <w:rsid w:val="009C1E61"/>
    <w:rsid w:val="009C3A67"/>
    <w:rsid w:val="009C3CC8"/>
    <w:rsid w:val="009C40C6"/>
    <w:rsid w:val="009D5456"/>
    <w:rsid w:val="009E2263"/>
    <w:rsid w:val="009E607F"/>
    <w:rsid w:val="009E7DDB"/>
    <w:rsid w:val="009F2587"/>
    <w:rsid w:val="009F4502"/>
    <w:rsid w:val="00A0075B"/>
    <w:rsid w:val="00A00E7A"/>
    <w:rsid w:val="00A032C3"/>
    <w:rsid w:val="00A06D8B"/>
    <w:rsid w:val="00A1122E"/>
    <w:rsid w:val="00A15156"/>
    <w:rsid w:val="00A173AC"/>
    <w:rsid w:val="00A17CD7"/>
    <w:rsid w:val="00A211C2"/>
    <w:rsid w:val="00A217A0"/>
    <w:rsid w:val="00A219DC"/>
    <w:rsid w:val="00A23F10"/>
    <w:rsid w:val="00A3155D"/>
    <w:rsid w:val="00A3311B"/>
    <w:rsid w:val="00A3476F"/>
    <w:rsid w:val="00A34B01"/>
    <w:rsid w:val="00A357D1"/>
    <w:rsid w:val="00A360F0"/>
    <w:rsid w:val="00A4057A"/>
    <w:rsid w:val="00A4154B"/>
    <w:rsid w:val="00A452C8"/>
    <w:rsid w:val="00A4602F"/>
    <w:rsid w:val="00A4763B"/>
    <w:rsid w:val="00A47C4A"/>
    <w:rsid w:val="00A501E9"/>
    <w:rsid w:val="00A51F57"/>
    <w:rsid w:val="00A54E1D"/>
    <w:rsid w:val="00A55B66"/>
    <w:rsid w:val="00A66A74"/>
    <w:rsid w:val="00A67A67"/>
    <w:rsid w:val="00A76DC0"/>
    <w:rsid w:val="00A7777E"/>
    <w:rsid w:val="00A81CB4"/>
    <w:rsid w:val="00A8201B"/>
    <w:rsid w:val="00A83B20"/>
    <w:rsid w:val="00A853F8"/>
    <w:rsid w:val="00A90627"/>
    <w:rsid w:val="00A95460"/>
    <w:rsid w:val="00A96D75"/>
    <w:rsid w:val="00A97E44"/>
    <w:rsid w:val="00AA07A3"/>
    <w:rsid w:val="00AB0809"/>
    <w:rsid w:val="00AB0AC1"/>
    <w:rsid w:val="00AB7A95"/>
    <w:rsid w:val="00AC0977"/>
    <w:rsid w:val="00AC259F"/>
    <w:rsid w:val="00AC4456"/>
    <w:rsid w:val="00AC69A1"/>
    <w:rsid w:val="00AC6BE9"/>
    <w:rsid w:val="00AD49F2"/>
    <w:rsid w:val="00AE0F0E"/>
    <w:rsid w:val="00AE5DB8"/>
    <w:rsid w:val="00AF0285"/>
    <w:rsid w:val="00AF481F"/>
    <w:rsid w:val="00AF59EE"/>
    <w:rsid w:val="00AF5DFB"/>
    <w:rsid w:val="00AF69CC"/>
    <w:rsid w:val="00B008E1"/>
    <w:rsid w:val="00B03FB6"/>
    <w:rsid w:val="00B03FE6"/>
    <w:rsid w:val="00B05175"/>
    <w:rsid w:val="00B06E3A"/>
    <w:rsid w:val="00B12383"/>
    <w:rsid w:val="00B166B0"/>
    <w:rsid w:val="00B16D4B"/>
    <w:rsid w:val="00B174FA"/>
    <w:rsid w:val="00B2361E"/>
    <w:rsid w:val="00B2580A"/>
    <w:rsid w:val="00B259D0"/>
    <w:rsid w:val="00B359F5"/>
    <w:rsid w:val="00B41076"/>
    <w:rsid w:val="00B41867"/>
    <w:rsid w:val="00B42698"/>
    <w:rsid w:val="00B43308"/>
    <w:rsid w:val="00B5165D"/>
    <w:rsid w:val="00B53781"/>
    <w:rsid w:val="00B60034"/>
    <w:rsid w:val="00B60B08"/>
    <w:rsid w:val="00B622AC"/>
    <w:rsid w:val="00B666FE"/>
    <w:rsid w:val="00B67DEF"/>
    <w:rsid w:val="00B74FD6"/>
    <w:rsid w:val="00B75C93"/>
    <w:rsid w:val="00B76037"/>
    <w:rsid w:val="00B76BE3"/>
    <w:rsid w:val="00B771F1"/>
    <w:rsid w:val="00B855FF"/>
    <w:rsid w:val="00B85C8E"/>
    <w:rsid w:val="00B85DA6"/>
    <w:rsid w:val="00B91E10"/>
    <w:rsid w:val="00B9290A"/>
    <w:rsid w:val="00B93428"/>
    <w:rsid w:val="00B934B4"/>
    <w:rsid w:val="00B9554B"/>
    <w:rsid w:val="00B960AF"/>
    <w:rsid w:val="00B9650C"/>
    <w:rsid w:val="00BA1437"/>
    <w:rsid w:val="00BA20FC"/>
    <w:rsid w:val="00BA2684"/>
    <w:rsid w:val="00BA316F"/>
    <w:rsid w:val="00BA3A9B"/>
    <w:rsid w:val="00BA3C55"/>
    <w:rsid w:val="00BA4A32"/>
    <w:rsid w:val="00BB0B1B"/>
    <w:rsid w:val="00BB185B"/>
    <w:rsid w:val="00BB6306"/>
    <w:rsid w:val="00BB6AEB"/>
    <w:rsid w:val="00BC5E35"/>
    <w:rsid w:val="00BC5E81"/>
    <w:rsid w:val="00BC63DC"/>
    <w:rsid w:val="00BD4D48"/>
    <w:rsid w:val="00BD73E2"/>
    <w:rsid w:val="00BE1CB1"/>
    <w:rsid w:val="00BE41EB"/>
    <w:rsid w:val="00BE474B"/>
    <w:rsid w:val="00BE5F5D"/>
    <w:rsid w:val="00BE7895"/>
    <w:rsid w:val="00BE7AAB"/>
    <w:rsid w:val="00BF2639"/>
    <w:rsid w:val="00BF3012"/>
    <w:rsid w:val="00BF36DA"/>
    <w:rsid w:val="00BF5FD6"/>
    <w:rsid w:val="00BF6B9F"/>
    <w:rsid w:val="00BF71EF"/>
    <w:rsid w:val="00C01BE4"/>
    <w:rsid w:val="00C06D42"/>
    <w:rsid w:val="00C12FBA"/>
    <w:rsid w:val="00C13A62"/>
    <w:rsid w:val="00C14D27"/>
    <w:rsid w:val="00C202C5"/>
    <w:rsid w:val="00C206CD"/>
    <w:rsid w:val="00C20BD2"/>
    <w:rsid w:val="00C252CD"/>
    <w:rsid w:val="00C257CA"/>
    <w:rsid w:val="00C271EE"/>
    <w:rsid w:val="00C27C2A"/>
    <w:rsid w:val="00C34046"/>
    <w:rsid w:val="00C34067"/>
    <w:rsid w:val="00C348D7"/>
    <w:rsid w:val="00C41221"/>
    <w:rsid w:val="00C42D52"/>
    <w:rsid w:val="00C44D31"/>
    <w:rsid w:val="00C62D77"/>
    <w:rsid w:val="00C70505"/>
    <w:rsid w:val="00C706EE"/>
    <w:rsid w:val="00C75A3A"/>
    <w:rsid w:val="00C86F5E"/>
    <w:rsid w:val="00C87EFA"/>
    <w:rsid w:val="00C922AF"/>
    <w:rsid w:val="00C96E46"/>
    <w:rsid w:val="00C97F06"/>
    <w:rsid w:val="00CA0259"/>
    <w:rsid w:val="00CA3172"/>
    <w:rsid w:val="00CA4E5F"/>
    <w:rsid w:val="00CA58A1"/>
    <w:rsid w:val="00CB08F7"/>
    <w:rsid w:val="00CB20F2"/>
    <w:rsid w:val="00CB228D"/>
    <w:rsid w:val="00CB72D9"/>
    <w:rsid w:val="00CC0A24"/>
    <w:rsid w:val="00CC33C9"/>
    <w:rsid w:val="00CC40D3"/>
    <w:rsid w:val="00CD0884"/>
    <w:rsid w:val="00CD08D0"/>
    <w:rsid w:val="00CD279C"/>
    <w:rsid w:val="00CD3426"/>
    <w:rsid w:val="00CD7A6F"/>
    <w:rsid w:val="00CE4CBD"/>
    <w:rsid w:val="00CE6700"/>
    <w:rsid w:val="00CE754E"/>
    <w:rsid w:val="00CF285C"/>
    <w:rsid w:val="00D0006B"/>
    <w:rsid w:val="00D01B7E"/>
    <w:rsid w:val="00D024CC"/>
    <w:rsid w:val="00D04721"/>
    <w:rsid w:val="00D06FDF"/>
    <w:rsid w:val="00D173F1"/>
    <w:rsid w:val="00D17BDB"/>
    <w:rsid w:val="00D25A56"/>
    <w:rsid w:val="00D31107"/>
    <w:rsid w:val="00D3705D"/>
    <w:rsid w:val="00D417FF"/>
    <w:rsid w:val="00D46466"/>
    <w:rsid w:val="00D5056C"/>
    <w:rsid w:val="00D511F7"/>
    <w:rsid w:val="00D53402"/>
    <w:rsid w:val="00D54A1C"/>
    <w:rsid w:val="00D60774"/>
    <w:rsid w:val="00D612CF"/>
    <w:rsid w:val="00D61F0A"/>
    <w:rsid w:val="00D63395"/>
    <w:rsid w:val="00D640F0"/>
    <w:rsid w:val="00D65F91"/>
    <w:rsid w:val="00D71336"/>
    <w:rsid w:val="00D71F2A"/>
    <w:rsid w:val="00D71F64"/>
    <w:rsid w:val="00D72659"/>
    <w:rsid w:val="00D7404B"/>
    <w:rsid w:val="00D75F95"/>
    <w:rsid w:val="00D775A2"/>
    <w:rsid w:val="00D7779E"/>
    <w:rsid w:val="00D808C4"/>
    <w:rsid w:val="00D80CFA"/>
    <w:rsid w:val="00D81688"/>
    <w:rsid w:val="00D82D1B"/>
    <w:rsid w:val="00D855DA"/>
    <w:rsid w:val="00D87CF7"/>
    <w:rsid w:val="00D91B05"/>
    <w:rsid w:val="00D91F53"/>
    <w:rsid w:val="00D92CB6"/>
    <w:rsid w:val="00D9369F"/>
    <w:rsid w:val="00D9409D"/>
    <w:rsid w:val="00D96148"/>
    <w:rsid w:val="00D96B59"/>
    <w:rsid w:val="00DA2408"/>
    <w:rsid w:val="00DA42AD"/>
    <w:rsid w:val="00DA7260"/>
    <w:rsid w:val="00DB6E94"/>
    <w:rsid w:val="00DB7297"/>
    <w:rsid w:val="00DB7E09"/>
    <w:rsid w:val="00DC1505"/>
    <w:rsid w:val="00DC1827"/>
    <w:rsid w:val="00DC52C6"/>
    <w:rsid w:val="00DC5EB8"/>
    <w:rsid w:val="00DC5FD2"/>
    <w:rsid w:val="00DC68F3"/>
    <w:rsid w:val="00DD13E7"/>
    <w:rsid w:val="00DD2B5E"/>
    <w:rsid w:val="00DD2E82"/>
    <w:rsid w:val="00DD46E1"/>
    <w:rsid w:val="00DD6715"/>
    <w:rsid w:val="00DD776F"/>
    <w:rsid w:val="00DE47D0"/>
    <w:rsid w:val="00DF36EF"/>
    <w:rsid w:val="00DF4F27"/>
    <w:rsid w:val="00E029D7"/>
    <w:rsid w:val="00E04E53"/>
    <w:rsid w:val="00E10075"/>
    <w:rsid w:val="00E1152F"/>
    <w:rsid w:val="00E13368"/>
    <w:rsid w:val="00E14535"/>
    <w:rsid w:val="00E16047"/>
    <w:rsid w:val="00E21ADF"/>
    <w:rsid w:val="00E22AFF"/>
    <w:rsid w:val="00E25D0F"/>
    <w:rsid w:val="00E2782D"/>
    <w:rsid w:val="00E3029B"/>
    <w:rsid w:val="00E34487"/>
    <w:rsid w:val="00E3603C"/>
    <w:rsid w:val="00E420E2"/>
    <w:rsid w:val="00E44325"/>
    <w:rsid w:val="00E4780F"/>
    <w:rsid w:val="00E52A62"/>
    <w:rsid w:val="00E53330"/>
    <w:rsid w:val="00E5423D"/>
    <w:rsid w:val="00E5631A"/>
    <w:rsid w:val="00E56762"/>
    <w:rsid w:val="00E66DF0"/>
    <w:rsid w:val="00E67301"/>
    <w:rsid w:val="00E70BDD"/>
    <w:rsid w:val="00E70EA2"/>
    <w:rsid w:val="00E73F06"/>
    <w:rsid w:val="00E77B7B"/>
    <w:rsid w:val="00E8049C"/>
    <w:rsid w:val="00E80C1E"/>
    <w:rsid w:val="00E813D8"/>
    <w:rsid w:val="00E86828"/>
    <w:rsid w:val="00E868EB"/>
    <w:rsid w:val="00E90011"/>
    <w:rsid w:val="00E93370"/>
    <w:rsid w:val="00E96D47"/>
    <w:rsid w:val="00E97302"/>
    <w:rsid w:val="00EA1D2C"/>
    <w:rsid w:val="00EA1F72"/>
    <w:rsid w:val="00EA208B"/>
    <w:rsid w:val="00EA293F"/>
    <w:rsid w:val="00EA2F38"/>
    <w:rsid w:val="00EA32EE"/>
    <w:rsid w:val="00EA336F"/>
    <w:rsid w:val="00EA4741"/>
    <w:rsid w:val="00EA58E6"/>
    <w:rsid w:val="00EA5D10"/>
    <w:rsid w:val="00EA6221"/>
    <w:rsid w:val="00EC1ADD"/>
    <w:rsid w:val="00ED3A28"/>
    <w:rsid w:val="00ED4BCC"/>
    <w:rsid w:val="00EE0586"/>
    <w:rsid w:val="00EE0E44"/>
    <w:rsid w:val="00EE0E4A"/>
    <w:rsid w:val="00EE36F0"/>
    <w:rsid w:val="00EE4C87"/>
    <w:rsid w:val="00EF0277"/>
    <w:rsid w:val="00EF41C0"/>
    <w:rsid w:val="00EF7686"/>
    <w:rsid w:val="00F01EEC"/>
    <w:rsid w:val="00F02F84"/>
    <w:rsid w:val="00F03ED1"/>
    <w:rsid w:val="00F053AF"/>
    <w:rsid w:val="00F13099"/>
    <w:rsid w:val="00F14063"/>
    <w:rsid w:val="00F15655"/>
    <w:rsid w:val="00F16718"/>
    <w:rsid w:val="00F168DA"/>
    <w:rsid w:val="00F175B9"/>
    <w:rsid w:val="00F254A1"/>
    <w:rsid w:val="00F26382"/>
    <w:rsid w:val="00F2743B"/>
    <w:rsid w:val="00F27BDA"/>
    <w:rsid w:val="00F3205F"/>
    <w:rsid w:val="00F3274E"/>
    <w:rsid w:val="00F33D6E"/>
    <w:rsid w:val="00F341D3"/>
    <w:rsid w:val="00F360D5"/>
    <w:rsid w:val="00F3698A"/>
    <w:rsid w:val="00F42CE5"/>
    <w:rsid w:val="00F4650A"/>
    <w:rsid w:val="00F47595"/>
    <w:rsid w:val="00F47B5C"/>
    <w:rsid w:val="00F53002"/>
    <w:rsid w:val="00F53A8E"/>
    <w:rsid w:val="00F57ABC"/>
    <w:rsid w:val="00F636E8"/>
    <w:rsid w:val="00F6449E"/>
    <w:rsid w:val="00F66A57"/>
    <w:rsid w:val="00F676BD"/>
    <w:rsid w:val="00F676C2"/>
    <w:rsid w:val="00F7493E"/>
    <w:rsid w:val="00F75165"/>
    <w:rsid w:val="00F75B8D"/>
    <w:rsid w:val="00F80142"/>
    <w:rsid w:val="00F857F9"/>
    <w:rsid w:val="00F930E9"/>
    <w:rsid w:val="00F93BED"/>
    <w:rsid w:val="00F9531D"/>
    <w:rsid w:val="00F959C1"/>
    <w:rsid w:val="00F97FA5"/>
    <w:rsid w:val="00FA2E76"/>
    <w:rsid w:val="00FB131E"/>
    <w:rsid w:val="00FC259A"/>
    <w:rsid w:val="00FC5922"/>
    <w:rsid w:val="00FD1647"/>
    <w:rsid w:val="00FD1835"/>
    <w:rsid w:val="00FD59BA"/>
    <w:rsid w:val="00FD7FB3"/>
    <w:rsid w:val="00FE1676"/>
    <w:rsid w:val="00FE4103"/>
    <w:rsid w:val="00FF1AEC"/>
    <w:rsid w:val="00FF36B6"/>
    <w:rsid w:val="00FF51EA"/>
    <w:rsid w:val="00FF57BC"/>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9BA3959-E843-4104-AB0C-2F8C5543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F5"/>
    <w:pPr>
      <w:widowControl w:val="0"/>
    </w:pPr>
    <w:rPr>
      <w:color w:val="000000"/>
      <w:sz w:val="24"/>
      <w:szCs w:val="24"/>
      <w:lang w:val="es-ES" w:eastAsia="es-ES"/>
    </w:rPr>
  </w:style>
  <w:style w:type="paragraph" w:styleId="Ttulo1">
    <w:name w:val="heading 1"/>
    <w:basedOn w:val="Normal"/>
    <w:next w:val="Normal"/>
    <w:link w:val="Ttulo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tulo3">
    <w:name w:val="heading 3"/>
    <w:basedOn w:val="Normal"/>
    <w:next w:val="Normal"/>
    <w:link w:val="Ttulo3Car"/>
    <w:uiPriority w:val="99"/>
    <w:qFormat/>
    <w:rsid w:val="00394877"/>
    <w:pPr>
      <w:keepNext/>
      <w:keepLines/>
      <w:spacing w:before="40"/>
      <w:outlineLvl w:val="2"/>
    </w:pPr>
    <w:rPr>
      <w:rFonts w:ascii="Calibri Light" w:eastAsia="Times New Roman" w:hAnsi="Calibri Light" w:cs="Times New Roman"/>
      <w:color w:val="1F4D78"/>
    </w:rPr>
  </w:style>
  <w:style w:type="paragraph" w:styleId="Ttulo4">
    <w:name w:val="heading 4"/>
    <w:basedOn w:val="Normal"/>
    <w:next w:val="Normal"/>
    <w:link w:val="Ttulo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tulo5">
    <w:name w:val="heading 5"/>
    <w:basedOn w:val="Normal"/>
    <w:next w:val="Normal"/>
    <w:link w:val="Ttulo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tulo6">
    <w:name w:val="heading 6"/>
    <w:basedOn w:val="Normal"/>
    <w:next w:val="Normal"/>
    <w:link w:val="Ttulo6Car"/>
    <w:uiPriority w:val="99"/>
    <w:qFormat/>
    <w:rsid w:val="009461DB"/>
    <w:pPr>
      <w:keepNext/>
      <w:keepLines/>
      <w:spacing w:before="40"/>
      <w:outlineLvl w:val="5"/>
    </w:pPr>
    <w:rPr>
      <w:rFonts w:ascii="Calibri Light" w:eastAsia="Times New Roman" w:hAnsi="Calibri Light" w:cs="Times New Roman"/>
      <w:color w:val="1F4D78"/>
    </w:rPr>
  </w:style>
  <w:style w:type="paragraph" w:styleId="Ttulo7">
    <w:name w:val="heading 7"/>
    <w:basedOn w:val="Normal"/>
    <w:next w:val="Normal"/>
    <w:link w:val="Ttulo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tulo8">
    <w:name w:val="heading 8"/>
    <w:basedOn w:val="Normal"/>
    <w:next w:val="Normal"/>
    <w:link w:val="Ttulo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tulo9">
    <w:name w:val="heading 9"/>
    <w:basedOn w:val="Normal"/>
    <w:next w:val="Normal"/>
    <w:link w:val="Ttulo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66DF0"/>
    <w:rPr>
      <w:rFonts w:ascii="Calibri Light" w:hAnsi="Calibri Light" w:cs="Times New Roman"/>
      <w:color w:val="2E74B5"/>
      <w:sz w:val="32"/>
      <w:szCs w:val="32"/>
    </w:rPr>
  </w:style>
  <w:style w:type="character" w:customStyle="1" w:styleId="Ttulo2Car">
    <w:name w:val="Título 2 Car"/>
    <w:basedOn w:val="Fuentedeprrafopredeter"/>
    <w:link w:val="Ttulo2"/>
    <w:uiPriority w:val="99"/>
    <w:locked/>
    <w:rsid w:val="00E66DF0"/>
    <w:rPr>
      <w:rFonts w:ascii="Times New Roman" w:hAnsi="Times New Roman" w:cs="Times New Roman"/>
      <w:b/>
      <w:sz w:val="20"/>
      <w:szCs w:val="20"/>
      <w:lang w:val="es-CO"/>
    </w:rPr>
  </w:style>
  <w:style w:type="character" w:customStyle="1" w:styleId="Ttulo3Car">
    <w:name w:val="Título 3 Car"/>
    <w:basedOn w:val="Fuentedeprrafopredeter"/>
    <w:link w:val="Ttulo3"/>
    <w:uiPriority w:val="99"/>
    <w:locked/>
    <w:rsid w:val="00394877"/>
    <w:rPr>
      <w:rFonts w:ascii="Calibri Light" w:hAnsi="Calibri Light" w:cs="Times New Roman"/>
      <w:color w:val="1F4D78"/>
    </w:rPr>
  </w:style>
  <w:style w:type="character" w:customStyle="1" w:styleId="Ttulo4Car">
    <w:name w:val="Título 4 Car"/>
    <w:basedOn w:val="Fuentedeprrafopredeter"/>
    <w:link w:val="Ttulo4"/>
    <w:uiPriority w:val="99"/>
    <w:locked/>
    <w:rsid w:val="009461DB"/>
    <w:rPr>
      <w:rFonts w:ascii="Calibri Light" w:hAnsi="Calibri Light" w:cs="Times New Roman"/>
      <w:i/>
      <w:iCs/>
      <w:color w:val="2E74B5"/>
    </w:rPr>
  </w:style>
  <w:style w:type="character" w:customStyle="1" w:styleId="Ttulo5Car">
    <w:name w:val="Título 5 Car"/>
    <w:basedOn w:val="Fuentedeprrafopredeter"/>
    <w:link w:val="Ttulo5"/>
    <w:uiPriority w:val="99"/>
    <w:locked/>
    <w:rsid w:val="00850124"/>
    <w:rPr>
      <w:rFonts w:ascii="Times New Roman" w:hAnsi="Times New Roman" w:cs="Times New Roman"/>
      <w:b/>
      <w:bCs/>
      <w:i/>
      <w:iCs/>
      <w:sz w:val="26"/>
      <w:szCs w:val="26"/>
    </w:rPr>
  </w:style>
  <w:style w:type="character" w:customStyle="1" w:styleId="Ttulo6Car">
    <w:name w:val="Título 6 Car"/>
    <w:basedOn w:val="Fuentedeprrafopredeter"/>
    <w:link w:val="Ttulo6"/>
    <w:uiPriority w:val="99"/>
    <w:locked/>
    <w:rsid w:val="009461DB"/>
    <w:rPr>
      <w:rFonts w:ascii="Calibri Light" w:hAnsi="Calibri Light" w:cs="Times New Roman"/>
      <w:color w:val="1F4D78"/>
    </w:rPr>
  </w:style>
  <w:style w:type="character" w:customStyle="1" w:styleId="Ttulo7Car">
    <w:name w:val="Título 7 Car"/>
    <w:basedOn w:val="Fuentedeprrafopredeter"/>
    <w:link w:val="Ttulo7"/>
    <w:uiPriority w:val="99"/>
    <w:locked/>
    <w:rsid w:val="00394877"/>
    <w:rPr>
      <w:rFonts w:ascii="Calibri Light" w:hAnsi="Calibri Light" w:cs="Times New Roman"/>
      <w:i/>
      <w:iCs/>
      <w:color w:val="1F4D78"/>
    </w:rPr>
  </w:style>
  <w:style w:type="character" w:customStyle="1" w:styleId="Ttulo8Car">
    <w:name w:val="Título 8 Car"/>
    <w:basedOn w:val="Fuentedeprrafopredeter"/>
    <w:link w:val="Ttulo8"/>
    <w:uiPriority w:val="99"/>
    <w:locked/>
    <w:rsid w:val="00850124"/>
    <w:rPr>
      <w:rFonts w:ascii="Times New Roman" w:hAnsi="Times New Roman" w:cs="Times New Roman"/>
      <w:i/>
      <w:iCs/>
      <w:lang w:val="es-CO"/>
    </w:rPr>
  </w:style>
  <w:style w:type="character" w:customStyle="1" w:styleId="Ttulo9Car">
    <w:name w:val="Título 9 Car"/>
    <w:basedOn w:val="Fuentedeprrafopredeter"/>
    <w:link w:val="Ttulo9"/>
    <w:uiPriority w:val="99"/>
    <w:locked/>
    <w:rsid w:val="00E66DF0"/>
    <w:rPr>
      <w:rFonts w:ascii="Arial" w:hAnsi="Arial" w:cs="Times New Roman"/>
      <w:sz w:val="20"/>
      <w:szCs w:val="20"/>
    </w:rPr>
  </w:style>
  <w:style w:type="character" w:customStyle="1" w:styleId="Cuerpodeltexto">
    <w:name w:val="Cuerpo del texto_"/>
    <w:basedOn w:val="Fuentedeprrafopredeter"/>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basedOn w:val="Cuerpodeltex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basedOn w:val="Cuerpodeltexto"/>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basedOn w:val="Fuentedeprrafopredeter"/>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basedOn w:val="Fuentedeprrafopredeter"/>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basedOn w:val="Cuerpodeltexto2"/>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basedOn w:val="Fuentedeprrafopredeter"/>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basedOn w:val="Notaalpie"/>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basedOn w:val="Cuerpodeltex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basedOn w:val="Fuentedeprrafopredeter"/>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basedOn w:val="Fuentedeprrafopredeter"/>
    <w:link w:val="Cuerpodeltexto40"/>
    <w:uiPriority w:val="99"/>
    <w:locked/>
    <w:rsid w:val="001754F5"/>
    <w:rPr>
      <w:rFonts w:ascii="Arial" w:hAnsi="Arial" w:cs="Arial"/>
      <w:sz w:val="42"/>
      <w:szCs w:val="42"/>
      <w:u w:val="none"/>
    </w:rPr>
  </w:style>
  <w:style w:type="character" w:customStyle="1" w:styleId="Cuerpodeltexto5">
    <w:name w:val="Cuerpo del texto (5)_"/>
    <w:basedOn w:val="Fuentedeprrafopredeter"/>
    <w:link w:val="Cuerpodeltexto51"/>
    <w:uiPriority w:val="99"/>
    <w:locked/>
    <w:rsid w:val="001754F5"/>
    <w:rPr>
      <w:rFonts w:ascii="Arial" w:hAnsi="Arial" w:cs="Arial"/>
      <w:sz w:val="20"/>
      <w:szCs w:val="20"/>
      <w:u w:val="none"/>
    </w:rPr>
  </w:style>
  <w:style w:type="character" w:customStyle="1" w:styleId="Cuerpodeltexto50">
    <w:name w:val="Cuerpo del texto (5)"/>
    <w:basedOn w:val="Cuerpodeltexto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basedOn w:val="Cuerpodeltexto5"/>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basedOn w:val="Fuentedeprrafopredeter"/>
    <w:link w:val="Cuerpodeltexto61"/>
    <w:uiPriority w:val="99"/>
    <w:locked/>
    <w:rsid w:val="001754F5"/>
    <w:rPr>
      <w:rFonts w:ascii="Arial" w:hAnsi="Arial" w:cs="Arial"/>
      <w:b/>
      <w:bCs/>
      <w:sz w:val="19"/>
      <w:szCs w:val="19"/>
      <w:u w:val="none"/>
    </w:rPr>
  </w:style>
  <w:style w:type="character" w:customStyle="1" w:styleId="Cuerpodeltexto60">
    <w:name w:val="Cuerpo del texto (6)"/>
    <w:basedOn w:val="Cuerpodeltexto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basedOn w:val="Cuerpodeltexto5"/>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basedOn w:val="Fuentedeprrafopredeter"/>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Textoindependiente3">
    <w:name w:val="Body Text 3"/>
    <w:basedOn w:val="Normal"/>
    <w:link w:val="Textoindependien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Textoindependiente3Car">
    <w:name w:val="Texto independiente 3 Car"/>
    <w:basedOn w:val="Fuentedeprrafopredeter"/>
    <w:link w:val="Textoindependien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Textonotapi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TextonotapieCar1"/>
    <w:uiPriority w:val="99"/>
    <w:rsid w:val="00850124"/>
    <w:pPr>
      <w:widowControl/>
    </w:pPr>
    <w:rPr>
      <w:rFonts w:ascii="Times New Roman" w:eastAsia="Times New Roman" w:hAnsi="Times New Roman" w:cs="Times New Roman"/>
      <w:color w:val="auto"/>
      <w:sz w:val="20"/>
      <w:szCs w:val="20"/>
      <w:lang w:val="en-US"/>
    </w:rPr>
  </w:style>
  <w:style w:type="character" w:customStyle="1" w:styleId="TextonotapieCar1">
    <w:name w:val="Texto nota pie Car1"/>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basedOn w:val="Fuentedeprrafopredeter"/>
    <w:uiPriority w:val="99"/>
    <w:rsid w:val="00850124"/>
    <w:rPr>
      <w:rFonts w:cs="Times New Roman"/>
      <w:color w:val="000000"/>
      <w:sz w:val="20"/>
      <w:szCs w:val="20"/>
    </w:rPr>
  </w:style>
  <w:style w:type="paragraph" w:styleId="Sangradetextonormal">
    <w:name w:val="Body Text Indent"/>
    <w:basedOn w:val="Normal"/>
    <w:link w:val="SangradetextonormalCar"/>
    <w:uiPriority w:val="99"/>
    <w:rsid w:val="00850124"/>
    <w:pPr>
      <w:widowControl/>
      <w:spacing w:after="120"/>
      <w:ind w:left="283"/>
    </w:pPr>
    <w:rPr>
      <w:rFonts w:ascii="Times New Roman" w:eastAsia="Times New Roman" w:hAnsi="Times New Roman" w:cs="Times New Roman"/>
      <w:color w:val="auto"/>
    </w:rPr>
  </w:style>
  <w:style w:type="character" w:customStyle="1" w:styleId="SangradetextonormalCar">
    <w:name w:val="Sangría de texto normal Car"/>
    <w:basedOn w:val="Fuentedeprrafopredeter"/>
    <w:link w:val="Sangradetextonormal"/>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eastAsia="es-E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Textoindependiente">
    <w:name w:val="Body Text"/>
    <w:basedOn w:val="Normal"/>
    <w:link w:val="TextoindependienteCar"/>
    <w:uiPriority w:val="99"/>
    <w:rsid w:val="00E66DF0"/>
    <w:pPr>
      <w:spacing w:after="120"/>
    </w:pPr>
  </w:style>
  <w:style w:type="character" w:customStyle="1" w:styleId="TextoindependienteCar">
    <w:name w:val="Texto independiente Car"/>
    <w:basedOn w:val="Fuentedeprrafopredeter"/>
    <w:link w:val="Textoindependiente"/>
    <w:uiPriority w:val="99"/>
    <w:locked/>
    <w:rsid w:val="00E66DF0"/>
    <w:rPr>
      <w:rFonts w:cs="Times New Roman"/>
      <w:color w:val="000000"/>
    </w:rPr>
  </w:style>
  <w:style w:type="paragraph" w:styleId="Textoindependiente2">
    <w:name w:val="Body Text 2"/>
    <w:basedOn w:val="Normal"/>
    <w:link w:val="Textoindependiente2Car"/>
    <w:uiPriority w:val="99"/>
    <w:rsid w:val="00E66DF0"/>
    <w:pPr>
      <w:spacing w:after="120" w:line="480" w:lineRule="auto"/>
    </w:pPr>
  </w:style>
  <w:style w:type="character" w:customStyle="1" w:styleId="Textoindependiente2Car">
    <w:name w:val="Texto independiente 2 Car"/>
    <w:basedOn w:val="Fuentedeprrafopredeter"/>
    <w:link w:val="Textoindependiente2"/>
    <w:uiPriority w:val="99"/>
    <w:locked/>
    <w:rsid w:val="00E66DF0"/>
    <w:rPr>
      <w:rFonts w:cs="Times New Roman"/>
      <w:color w:val="000000"/>
    </w:rPr>
  </w:style>
  <w:style w:type="paragraph" w:styleId="Sangra2detindependiente">
    <w:name w:val="Body Text Indent 2"/>
    <w:basedOn w:val="Normal"/>
    <w:link w:val="Sangra2detindependienteCar"/>
    <w:uiPriority w:val="99"/>
    <w:rsid w:val="00E66D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E66DF0"/>
    <w:rPr>
      <w:rFonts w:cs="Times New Roman"/>
      <w:color w:val="000000"/>
    </w:rPr>
  </w:style>
  <w:style w:type="paragraph" w:styleId="Encabezado">
    <w:name w:val="header"/>
    <w:basedOn w:val="Normal"/>
    <w:link w:val="Encabezado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cabezadoCar">
    <w:name w:val="Encabezado Car"/>
    <w:basedOn w:val="Fuentedeprrafopredeter"/>
    <w:link w:val="Encabezado"/>
    <w:uiPriority w:val="99"/>
    <w:locked/>
    <w:rsid w:val="00E66DF0"/>
    <w:rPr>
      <w:rFonts w:ascii="Times New Roman" w:hAnsi="Times New Roman" w:cs="Times New Roman"/>
      <w:sz w:val="20"/>
      <w:szCs w:val="20"/>
      <w:lang w:val="es-ES_tradnl"/>
    </w:rPr>
  </w:style>
  <w:style w:type="paragraph" w:styleId="Piedepgina">
    <w:name w:val="footer"/>
    <w:basedOn w:val="Normal"/>
    <w:link w:val="Piedepgina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epginaCar">
    <w:name w:val="Pie de página Car"/>
    <w:basedOn w:val="Fuentedeprrafopredeter"/>
    <w:link w:val="Piedepgina"/>
    <w:uiPriority w:val="99"/>
    <w:locked/>
    <w:rsid w:val="00E66DF0"/>
    <w:rPr>
      <w:rFonts w:ascii="Times New Roman" w:hAnsi="Times New Roman" w:cs="Times New Roman"/>
      <w:sz w:val="20"/>
      <w:szCs w:val="20"/>
    </w:rPr>
  </w:style>
  <w:style w:type="paragraph" w:styleId="Puesto">
    <w:name w:val="Title"/>
    <w:basedOn w:val="Normal"/>
    <w:link w:val="Puesto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PuestoCar">
    <w:name w:val="Puesto Car"/>
    <w:basedOn w:val="Fuentedeprrafopredeter"/>
    <w:link w:val="Puesto"/>
    <w:uiPriority w:val="99"/>
    <w:locked/>
    <w:rsid w:val="00E66DF0"/>
    <w:rPr>
      <w:rFonts w:ascii="Times New Roman" w:hAnsi="Times New Roman" w:cs="Times New Roman"/>
      <w:b/>
      <w:sz w:val="20"/>
      <w:szCs w:val="20"/>
    </w:rPr>
  </w:style>
  <w:style w:type="paragraph" w:styleId="Textodeglobo">
    <w:name w:val="Balloon Text"/>
    <w:basedOn w:val="Normal"/>
    <w:link w:val="Textodeglobo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odegloboCar">
    <w:name w:val="Texto de globo Car"/>
    <w:basedOn w:val="Fuentedeprrafopredeter"/>
    <w:link w:val="Textodeglobo"/>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Refdenotaalpie">
    <w:name w:val="footnote reference"/>
    <w:aliases w:val="Texto de nota al pie,Fago Fußnotenzeichen,4_G,16 Point,Superscript 6 Point,Texto nota al pie,Footnote Reference Char3,FC,Ref1,Nota de pie,f1,Texto nota pie Car Car,Footnote Text Char Char Char Char Char Char1 Car,Footnote symbol,R"/>
    <w:basedOn w:val="Fuentedeprrafopredeter"/>
    <w:uiPriority w:val="99"/>
    <w:rsid w:val="00E66DF0"/>
    <w:rPr>
      <w:rFonts w:ascii="Times New Roman" w:hAnsi="Times New Roman" w:cs="Times New Roman"/>
      <w:sz w:val="20"/>
      <w:vertAlign w:val="superscript"/>
    </w:rPr>
  </w:style>
  <w:style w:type="character" w:styleId="Nmerodepgina">
    <w:name w:val="page number"/>
    <w:basedOn w:val="Fuentedeprrafopredeter"/>
    <w:uiPriority w:val="99"/>
    <w:rsid w:val="00E66DF0"/>
    <w:rPr>
      <w:rFonts w:ascii="Times New Roman" w:hAnsi="Times New Roman" w:cs="Times New Roman"/>
    </w:rPr>
  </w:style>
  <w:style w:type="character" w:styleId="Refdenotaalfinal">
    <w:name w:val="endnote reference"/>
    <w:basedOn w:val="Fuentedeprrafopredeter"/>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lang w:val="es-ES" w:eastAsia="es-ES"/>
    </w:rPr>
    <w:tblPr>
      <w:tblCellMar>
        <w:top w:w="0" w:type="dxa"/>
        <w:left w:w="0" w:type="dxa"/>
        <w:bottom w:w="0" w:type="dxa"/>
        <w:right w:w="0" w:type="dxa"/>
      </w:tblCellMar>
    </w:tblPr>
  </w:style>
  <w:style w:type="paragraph" w:styleId="Textodebloque">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basedOn w:val="Normal"/>
    <w:uiPriority w:val="99"/>
    <w:qFormat/>
    <w:rsid w:val="00982DF4"/>
    <w:pPr>
      <w:ind w:left="720"/>
      <w:contextualSpacing/>
    </w:pPr>
  </w:style>
  <w:style w:type="character" w:styleId="Hipervnculo">
    <w:name w:val="Hyperlink"/>
    <w:basedOn w:val="Fuentedeprrafopredeter"/>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1">
    <w:name w:val="1"/>
    <w:basedOn w:val="Normal"/>
    <w:next w:val="Puesto"/>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Sangra3detindependiente">
    <w:name w:val="Body Text Indent 3"/>
    <w:basedOn w:val="Normal"/>
    <w:link w:val="Sangra3detindependiente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Sangra3detindependienteCar">
    <w:name w:val="Sangría 3 de t. independiente Car"/>
    <w:basedOn w:val="Fuentedeprrafopredeter"/>
    <w:link w:val="Sangra3detindependiente"/>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osinformato">
    <w:name w:val="Plain Text"/>
    <w:basedOn w:val="Normal"/>
    <w:link w:val="TextosinformatoCar"/>
    <w:uiPriority w:val="99"/>
    <w:rsid w:val="008B5752"/>
    <w:pPr>
      <w:widowControl/>
    </w:pPr>
    <w:rPr>
      <w:rFonts w:eastAsia="Times New Roman"/>
      <w:color w:val="auto"/>
      <w:sz w:val="20"/>
      <w:szCs w:val="20"/>
    </w:rPr>
  </w:style>
  <w:style w:type="character" w:customStyle="1" w:styleId="TextosinformatoCar">
    <w:name w:val="Texto sin formato Car"/>
    <w:basedOn w:val="Fuentedeprrafopredeter"/>
    <w:link w:val="Textosinformato"/>
    <w:uiPriority w:val="99"/>
    <w:locked/>
    <w:rsid w:val="008B5752"/>
    <w:rPr>
      <w:rFonts w:eastAsia="Times New Roman" w:cs="Times New Roman"/>
      <w:sz w:val="20"/>
      <w:szCs w:val="20"/>
    </w:rPr>
  </w:style>
  <w:style w:type="table" w:styleId="Tablaconcuadrcula">
    <w:name w:val="Table Grid"/>
    <w:basedOn w:val="Tablanormal"/>
    <w:uiPriority w:val="99"/>
    <w:rsid w:val="008B575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Hipervnculovisitado">
    <w:name w:val="FollowedHyperlink"/>
    <w:basedOn w:val="Fuentedeprrafopredeter"/>
    <w:uiPriority w:val="99"/>
    <w:rsid w:val="008B5752"/>
    <w:rPr>
      <w:rFonts w:cs="Times New Roman"/>
      <w:color w:val="800080"/>
      <w:u w:val="single"/>
    </w:rPr>
  </w:style>
  <w:style w:type="paragraph" w:styleId="Descripcin">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inespaciado">
    <w:name w:val="No Spacing"/>
    <w:link w:val="SinespaciadoCar"/>
    <w:uiPriority w:val="99"/>
    <w:qFormat/>
    <w:rsid w:val="00345ED6"/>
    <w:pPr>
      <w:widowControl w:val="0"/>
    </w:pPr>
    <w:rPr>
      <w:rFonts w:cs="Times New Roman"/>
      <w:color w:val="000000"/>
      <w:lang w:val="es-ES" w:eastAsia="es-ES"/>
    </w:rPr>
  </w:style>
  <w:style w:type="character" w:customStyle="1" w:styleId="SinespaciadoCar">
    <w:name w:val="Sin espaciado Car"/>
    <w:link w:val="Sinespaciado"/>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328890">
      <w:marLeft w:val="0"/>
      <w:marRight w:val="0"/>
      <w:marTop w:val="0"/>
      <w:marBottom w:val="0"/>
      <w:divBdr>
        <w:top w:val="none" w:sz="0" w:space="0" w:color="auto"/>
        <w:left w:val="none" w:sz="0" w:space="0" w:color="auto"/>
        <w:bottom w:val="none" w:sz="0" w:space="0" w:color="auto"/>
        <w:right w:val="none" w:sz="0" w:space="0" w:color="auto"/>
      </w:divBdr>
    </w:div>
    <w:div w:id="951328891">
      <w:marLeft w:val="0"/>
      <w:marRight w:val="0"/>
      <w:marTop w:val="0"/>
      <w:marBottom w:val="0"/>
      <w:divBdr>
        <w:top w:val="none" w:sz="0" w:space="0" w:color="auto"/>
        <w:left w:val="none" w:sz="0" w:space="0" w:color="auto"/>
        <w:bottom w:val="none" w:sz="0" w:space="0" w:color="auto"/>
        <w:right w:val="none" w:sz="0" w:space="0" w:color="auto"/>
      </w:divBdr>
    </w:div>
    <w:div w:id="951328892">
      <w:marLeft w:val="0"/>
      <w:marRight w:val="0"/>
      <w:marTop w:val="0"/>
      <w:marBottom w:val="0"/>
      <w:divBdr>
        <w:top w:val="none" w:sz="0" w:space="0" w:color="auto"/>
        <w:left w:val="none" w:sz="0" w:space="0" w:color="auto"/>
        <w:bottom w:val="none" w:sz="0" w:space="0" w:color="auto"/>
        <w:right w:val="none" w:sz="0" w:space="0" w:color="auto"/>
      </w:divBdr>
    </w:div>
    <w:div w:id="951328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42AA-8C48-4695-A744-641FDD4A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9779</Words>
  <Characters>53789</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63442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Henry Lora Rodriguez</cp:lastModifiedBy>
  <cp:revision>15</cp:revision>
  <cp:lastPrinted>2018-04-02T13:51:00Z</cp:lastPrinted>
  <dcterms:created xsi:type="dcterms:W3CDTF">2018-03-22T22:59:00Z</dcterms:created>
  <dcterms:modified xsi:type="dcterms:W3CDTF">2018-04-12T19:35:00Z</dcterms:modified>
</cp:coreProperties>
</file>