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3E" w:rsidRPr="002244CB" w:rsidRDefault="00D07D3E" w:rsidP="00D07D3E">
      <w:pPr>
        <w:pBdr>
          <w:top w:val="single" w:sz="4" w:space="1" w:color="auto"/>
          <w:left w:val="single" w:sz="4" w:space="4" w:color="auto"/>
          <w:bottom w:val="single" w:sz="4" w:space="1" w:color="auto"/>
          <w:right w:val="single" w:sz="4" w:space="4" w:color="auto"/>
        </w:pBdr>
        <w:shd w:val="clear" w:color="auto" w:fill="FFFFFF"/>
        <w:rPr>
          <w:rFonts w:eastAsia="Calibri"/>
          <w:color w:val="FF0000"/>
          <w:sz w:val="18"/>
          <w:szCs w:val="18"/>
          <w:lang w:eastAsia="fr-FR"/>
        </w:rPr>
      </w:pPr>
      <w:r w:rsidRPr="002244CB">
        <w:rPr>
          <w:rFonts w:eastAsia="Calibri"/>
          <w:color w:val="FF0000"/>
          <w:spacing w:val="-8"/>
          <w:sz w:val="18"/>
          <w:szCs w:val="18"/>
          <w:lang w:eastAsia="fr-FR"/>
        </w:rPr>
        <w:t xml:space="preserve">El siguiente es el documento presentado por el Magistrado Ponente que sirvió de base para proferir la providencia dentro del presente proceso. </w:t>
      </w:r>
      <w:r w:rsidRPr="002244CB">
        <w:rPr>
          <w:rFonts w:eastAsia="Calibri"/>
          <w:color w:val="FF0000"/>
          <w:sz w:val="18"/>
          <w:szCs w:val="18"/>
          <w:lang w:eastAsia="fr-FR"/>
        </w:rPr>
        <w:t>El contenido total y fiel de la decisión debe ser verificado en la Secretaría de esta Sala.</w:t>
      </w:r>
    </w:p>
    <w:p w:rsidR="00D07D3E" w:rsidRPr="002244CB" w:rsidRDefault="00D07D3E" w:rsidP="00D07D3E">
      <w:pPr>
        <w:shd w:val="clear" w:color="auto" w:fill="FFFFFF"/>
        <w:rPr>
          <w:sz w:val="18"/>
          <w:szCs w:val="18"/>
          <w:lang w:eastAsia="fr-FR"/>
        </w:rPr>
      </w:pPr>
    </w:p>
    <w:p w:rsidR="00D07D3E" w:rsidRPr="002244CB" w:rsidRDefault="00D07D3E" w:rsidP="00D07D3E">
      <w:pPr>
        <w:shd w:val="clear" w:color="auto" w:fill="FFFFFF"/>
        <w:rPr>
          <w:sz w:val="18"/>
          <w:szCs w:val="18"/>
          <w:lang w:eastAsia="fr-FR"/>
        </w:rPr>
      </w:pPr>
    </w:p>
    <w:p w:rsidR="00D07D3E" w:rsidRPr="005D14BF" w:rsidRDefault="00D07D3E" w:rsidP="00D07D3E">
      <w:pPr>
        <w:shd w:val="clear" w:color="auto" w:fill="FFFFFF"/>
        <w:rPr>
          <w:rFonts w:eastAsia="Calibri"/>
          <w:sz w:val="22"/>
          <w:szCs w:val="22"/>
          <w:lang w:eastAsia="fr-FR"/>
        </w:rPr>
      </w:pPr>
      <w:r w:rsidRPr="005D14BF">
        <w:rPr>
          <w:sz w:val="22"/>
          <w:szCs w:val="22"/>
          <w:lang w:eastAsia="fr-FR"/>
        </w:rPr>
        <w:t>Providencia:</w:t>
      </w:r>
      <w:r w:rsidRPr="005D14BF">
        <w:rPr>
          <w:sz w:val="22"/>
          <w:szCs w:val="22"/>
          <w:lang w:eastAsia="fr-FR"/>
        </w:rPr>
        <w:tab/>
      </w:r>
      <w:r w:rsidRPr="005D14BF">
        <w:rPr>
          <w:sz w:val="22"/>
          <w:szCs w:val="22"/>
          <w:lang w:eastAsia="fr-FR"/>
        </w:rPr>
        <w:tab/>
        <w:t>Sentencia – 3</w:t>
      </w:r>
      <w:r>
        <w:rPr>
          <w:sz w:val="22"/>
          <w:szCs w:val="22"/>
          <w:lang w:eastAsia="fr-FR"/>
        </w:rPr>
        <w:t>1</w:t>
      </w:r>
      <w:r w:rsidRPr="005D14BF">
        <w:rPr>
          <w:sz w:val="22"/>
          <w:szCs w:val="22"/>
          <w:lang w:eastAsia="fr-FR"/>
        </w:rPr>
        <w:t xml:space="preserve"> de agosto de 2018</w:t>
      </w:r>
    </w:p>
    <w:p w:rsidR="00D07D3E" w:rsidRPr="005D14BF" w:rsidRDefault="00D07D3E" w:rsidP="00D07D3E">
      <w:pPr>
        <w:shd w:val="clear" w:color="auto" w:fill="FFFFFF"/>
        <w:tabs>
          <w:tab w:val="left" w:pos="1418"/>
        </w:tabs>
        <w:rPr>
          <w:rFonts w:eastAsia="Calibri"/>
          <w:sz w:val="22"/>
          <w:szCs w:val="22"/>
          <w:lang w:eastAsia="fr-FR"/>
        </w:rPr>
      </w:pPr>
      <w:r w:rsidRPr="005D14BF">
        <w:rPr>
          <w:rFonts w:eastAsia="Calibri"/>
          <w:sz w:val="22"/>
          <w:szCs w:val="22"/>
          <w:lang w:eastAsia="fr-FR"/>
        </w:rPr>
        <w:t>Proceso:                </w:t>
      </w:r>
      <w:r w:rsidRPr="005D14BF">
        <w:rPr>
          <w:rFonts w:eastAsia="Calibri"/>
          <w:sz w:val="22"/>
          <w:szCs w:val="22"/>
          <w:lang w:eastAsia="fr-FR"/>
        </w:rPr>
        <w:tab/>
        <w:t>Acción de revisión</w:t>
      </w:r>
    </w:p>
    <w:p w:rsidR="00D07D3E" w:rsidRPr="00D07D3E" w:rsidRDefault="00D07D3E" w:rsidP="00D07D3E">
      <w:pPr>
        <w:shd w:val="clear" w:color="auto" w:fill="FFFFFF"/>
        <w:rPr>
          <w:sz w:val="22"/>
          <w:szCs w:val="22"/>
          <w:lang w:eastAsia="fr-FR"/>
        </w:rPr>
      </w:pPr>
      <w:r w:rsidRPr="00D07D3E">
        <w:rPr>
          <w:sz w:val="22"/>
          <w:szCs w:val="22"/>
          <w:lang w:eastAsia="fr-FR"/>
        </w:rPr>
        <w:t>Radicación Nro. :       660012204000201800090</w:t>
      </w:r>
    </w:p>
    <w:p w:rsidR="00D07D3E" w:rsidRPr="00D07D3E" w:rsidRDefault="00D07D3E" w:rsidP="00D07D3E">
      <w:pPr>
        <w:shd w:val="clear" w:color="auto" w:fill="FFFFFF"/>
        <w:rPr>
          <w:sz w:val="22"/>
          <w:szCs w:val="22"/>
          <w:lang w:eastAsia="fr-FR"/>
        </w:rPr>
      </w:pPr>
      <w:r w:rsidRPr="00D07D3E">
        <w:rPr>
          <w:sz w:val="22"/>
          <w:szCs w:val="22"/>
          <w:lang w:eastAsia="fr-FR"/>
        </w:rPr>
        <w:t>Procesado:                 Hernando Antonio Gallego Sánchez</w:t>
      </w:r>
    </w:p>
    <w:p w:rsidR="00D07D3E" w:rsidRPr="00D07D3E" w:rsidRDefault="00D07D3E" w:rsidP="00D07D3E">
      <w:pPr>
        <w:shd w:val="clear" w:color="auto" w:fill="FFFFFF"/>
        <w:rPr>
          <w:sz w:val="22"/>
          <w:szCs w:val="22"/>
          <w:lang w:eastAsia="fr-FR"/>
        </w:rPr>
      </w:pPr>
      <w:r w:rsidRPr="00D07D3E">
        <w:rPr>
          <w:sz w:val="22"/>
          <w:szCs w:val="22"/>
          <w:lang w:eastAsia="fr-FR"/>
        </w:rPr>
        <w:t>Magistrado Ponente: </w:t>
      </w:r>
      <w:r w:rsidRPr="00D07D3E">
        <w:rPr>
          <w:sz w:val="22"/>
          <w:szCs w:val="22"/>
          <w:lang w:eastAsia="fr-FR"/>
        </w:rPr>
        <w:tab/>
        <w:t>Jairo Ernesto Escobar Sanz</w:t>
      </w:r>
    </w:p>
    <w:p w:rsidR="00D07D3E" w:rsidRPr="005D14BF" w:rsidRDefault="00D07D3E" w:rsidP="00D07D3E">
      <w:pPr>
        <w:shd w:val="clear" w:color="auto" w:fill="FFFFFF"/>
        <w:tabs>
          <w:tab w:val="left" w:pos="1418"/>
        </w:tabs>
        <w:rPr>
          <w:rFonts w:eastAsia="Calibri"/>
          <w:bCs/>
          <w:iCs/>
          <w:sz w:val="22"/>
          <w:szCs w:val="22"/>
          <w:lang w:eastAsia="fr-FR"/>
        </w:rPr>
      </w:pPr>
    </w:p>
    <w:p w:rsidR="00D07D3E" w:rsidRPr="002244CB" w:rsidRDefault="00D07D3E" w:rsidP="00B37561">
      <w:pPr>
        <w:shd w:val="clear" w:color="auto" w:fill="FFFFFF"/>
        <w:tabs>
          <w:tab w:val="left" w:pos="1418"/>
        </w:tabs>
        <w:jc w:val="both"/>
        <w:rPr>
          <w:rFonts w:eastAsia="Calibri"/>
          <w:bCs/>
          <w:iCs/>
          <w:sz w:val="18"/>
          <w:szCs w:val="18"/>
          <w:lang w:eastAsia="fr-FR"/>
        </w:rPr>
      </w:pPr>
    </w:p>
    <w:p w:rsidR="00D07D3E" w:rsidRPr="002244CB" w:rsidRDefault="00D07D3E" w:rsidP="00B37561">
      <w:pPr>
        <w:jc w:val="both"/>
        <w:rPr>
          <w:b/>
          <w:spacing w:val="-4"/>
          <w:sz w:val="22"/>
          <w:szCs w:val="22"/>
          <w:lang w:val="es-ES_tradnl"/>
        </w:rPr>
      </w:pPr>
      <w:r w:rsidRPr="003A09F8">
        <w:rPr>
          <w:rFonts w:eastAsia="Calibri"/>
          <w:b/>
          <w:bCs/>
          <w:iCs/>
          <w:sz w:val="22"/>
          <w:szCs w:val="22"/>
          <w:lang w:eastAsia="fr-FR"/>
        </w:rPr>
        <w:t xml:space="preserve">Temas:  </w:t>
      </w:r>
      <w:r w:rsidRPr="003A09F8">
        <w:rPr>
          <w:rFonts w:eastAsia="Calibri"/>
          <w:b/>
          <w:bCs/>
          <w:iCs/>
          <w:sz w:val="22"/>
          <w:szCs w:val="22"/>
          <w:lang w:eastAsia="fr-FR"/>
        </w:rPr>
        <w:tab/>
      </w:r>
      <w:r w:rsidRPr="003A09F8">
        <w:rPr>
          <w:rFonts w:eastAsia="Calibri"/>
          <w:b/>
          <w:bCs/>
          <w:iCs/>
          <w:sz w:val="22"/>
          <w:szCs w:val="22"/>
          <w:lang w:eastAsia="fr-FR"/>
        </w:rPr>
        <w:tab/>
      </w:r>
      <w:r w:rsidRPr="003A09F8">
        <w:rPr>
          <w:b/>
          <w:bCs/>
          <w:iCs/>
          <w:sz w:val="22"/>
          <w:szCs w:val="22"/>
          <w:lang w:eastAsia="fr-FR"/>
        </w:rPr>
        <w:t xml:space="preserve">TRÁFICO, FABRICACIÓN O PORTE DE ESTUPEFACIENTES / CAMBIO JURISPRUDENCIAL/ </w:t>
      </w:r>
      <w:r w:rsidR="00D639DC">
        <w:rPr>
          <w:b/>
          <w:bCs/>
          <w:iCs/>
          <w:sz w:val="22"/>
          <w:szCs w:val="22"/>
          <w:lang w:eastAsia="fr-FR"/>
        </w:rPr>
        <w:t>ELEMENTO SUBJETIVO DEL TIPO PENAL</w:t>
      </w:r>
      <w:r w:rsidR="00B37561">
        <w:rPr>
          <w:b/>
          <w:bCs/>
          <w:iCs/>
          <w:sz w:val="22"/>
          <w:szCs w:val="22"/>
          <w:lang w:eastAsia="fr-FR"/>
        </w:rPr>
        <w:t xml:space="preserve"> EN CUANTO A LA VERIFICACIÓN DE LA INTENCIÓN DEL PORTADOR DE LA SUSTANCIA ESTUPEFACIENTE</w:t>
      </w:r>
      <w:r w:rsidRPr="003A09F8">
        <w:rPr>
          <w:rFonts w:eastAsia="Calibri"/>
          <w:b/>
          <w:bCs/>
          <w:iCs/>
          <w:sz w:val="22"/>
          <w:szCs w:val="22"/>
          <w:lang w:eastAsia="fr-FR"/>
        </w:rPr>
        <w:t xml:space="preserve">/ CARGA PROBATORIA/ </w:t>
      </w:r>
      <w:r w:rsidR="00C63B6A">
        <w:rPr>
          <w:rFonts w:eastAsia="Calibri"/>
          <w:b/>
          <w:bCs/>
          <w:iCs/>
          <w:sz w:val="22"/>
          <w:szCs w:val="22"/>
          <w:lang w:eastAsia="fr-FR"/>
        </w:rPr>
        <w:t xml:space="preserve">LA FISCALÍA </w:t>
      </w:r>
      <w:bookmarkStart w:id="0" w:name="_GoBack"/>
      <w:bookmarkEnd w:id="0"/>
      <w:r w:rsidRPr="003A09F8">
        <w:rPr>
          <w:b/>
          <w:bCs/>
          <w:spacing w:val="-6"/>
          <w:sz w:val="22"/>
          <w:szCs w:val="22"/>
        </w:rPr>
        <w:t xml:space="preserve">NO </w:t>
      </w:r>
      <w:r w:rsidR="0063731F">
        <w:rPr>
          <w:b/>
          <w:bCs/>
          <w:spacing w:val="-6"/>
          <w:sz w:val="22"/>
          <w:szCs w:val="22"/>
        </w:rPr>
        <w:t xml:space="preserve">LO </w:t>
      </w:r>
      <w:r w:rsidRPr="003A09F8">
        <w:rPr>
          <w:b/>
          <w:bCs/>
          <w:spacing w:val="-6"/>
          <w:sz w:val="22"/>
          <w:szCs w:val="22"/>
        </w:rPr>
        <w:t xml:space="preserve">PROBÓ </w:t>
      </w:r>
      <w:r w:rsidRPr="003A09F8">
        <w:rPr>
          <w:rFonts w:eastAsia="Calibri"/>
          <w:b/>
          <w:bCs/>
          <w:iCs/>
          <w:sz w:val="22"/>
          <w:szCs w:val="22"/>
          <w:lang w:eastAsia="fr-FR"/>
        </w:rPr>
        <w:t xml:space="preserve">/  </w:t>
      </w:r>
      <w:r w:rsidRPr="003A09F8">
        <w:rPr>
          <w:b/>
          <w:spacing w:val="-4"/>
          <w:sz w:val="22"/>
          <w:szCs w:val="22"/>
        </w:rPr>
        <w:t>FUNDADA CAUSAL DE REVISIÓN Y ABSUELVE AL PROCESAD</w:t>
      </w:r>
      <w:r w:rsidR="0063731F">
        <w:rPr>
          <w:b/>
          <w:spacing w:val="-4"/>
          <w:sz w:val="22"/>
          <w:szCs w:val="22"/>
        </w:rPr>
        <w:t>O</w:t>
      </w:r>
      <w:r w:rsidRPr="003A09F8">
        <w:rPr>
          <w:b/>
          <w:spacing w:val="-4"/>
          <w:sz w:val="22"/>
          <w:szCs w:val="22"/>
        </w:rPr>
        <w:t>.</w:t>
      </w:r>
      <w:r w:rsidRPr="002244CB">
        <w:rPr>
          <w:b/>
          <w:spacing w:val="-4"/>
          <w:sz w:val="22"/>
          <w:szCs w:val="22"/>
        </w:rPr>
        <w:t xml:space="preserve"> </w:t>
      </w:r>
    </w:p>
    <w:p w:rsidR="00D07D3E" w:rsidRDefault="00D07D3E" w:rsidP="00D07D3E">
      <w:pPr>
        <w:pStyle w:val="Prrafodelista"/>
        <w:spacing w:line="360" w:lineRule="auto"/>
        <w:ind w:left="0" w:right="-425"/>
        <w:jc w:val="both"/>
        <w:rPr>
          <w:sz w:val="24"/>
          <w:szCs w:val="24"/>
          <w:lang w:val="es-ES"/>
        </w:rPr>
      </w:pPr>
    </w:p>
    <w:p w:rsidR="00D07D3E" w:rsidRPr="009A6567" w:rsidRDefault="00D07D3E" w:rsidP="00D07D3E">
      <w:pPr>
        <w:pStyle w:val="Prrafodelista"/>
        <w:numPr>
          <w:ilvl w:val="2"/>
          <w:numId w:val="17"/>
        </w:numPr>
        <w:spacing w:line="360" w:lineRule="auto"/>
        <w:ind w:left="0" w:right="-425" w:firstLine="0"/>
        <w:jc w:val="both"/>
        <w:rPr>
          <w:sz w:val="24"/>
          <w:szCs w:val="24"/>
          <w:lang w:val="es-ES"/>
        </w:rPr>
      </w:pPr>
      <w:r w:rsidRPr="00C176F8">
        <w:rPr>
          <w:sz w:val="24"/>
          <w:szCs w:val="24"/>
        </w:rPr>
        <w:t xml:space="preserve">En este orden de ideas, </w:t>
      </w:r>
      <w:r>
        <w:rPr>
          <w:sz w:val="24"/>
          <w:szCs w:val="24"/>
        </w:rPr>
        <w:t>se considera que en el caso i) se profirió sentencia el 30 de septiembre de 2016 por el Juzgado Penal del Circuito de Santa Rosa de Cabal (Risaralda), mediante la cual se declaró la responsabilidad del entonces procesado Hernando Antonio Gallego Sánchez por la comisión del delito  de tráfico, fabricación o porte de estupefacientes en la modalidad de llevar consigo; ii) dicha responsabilidad fue declarada por cuanto el procesado llevaba consigo una cantidad que superaba la dosis personal de cocaína y por cuanto no se desvirtuó por parte de la defensa la afectación al bien jurídico protegido y iii) pese a lo anterior, no se acreditó por parte de la FGN el ánimo de distribución de la sustancia que fuera incautada al señor Hernando Antonio Gallego Sánchez.</w:t>
      </w:r>
    </w:p>
    <w:p w:rsidR="00D07D3E" w:rsidRDefault="00D639DC" w:rsidP="00D07D3E">
      <w:pPr>
        <w:pStyle w:val="Prrafodelista"/>
        <w:spacing w:line="360" w:lineRule="auto"/>
        <w:ind w:left="0" w:right="-425"/>
        <w:jc w:val="both"/>
        <w:rPr>
          <w:sz w:val="24"/>
          <w:szCs w:val="24"/>
          <w:lang w:val="es-ES"/>
        </w:rPr>
      </w:pPr>
      <w:r>
        <w:rPr>
          <w:sz w:val="24"/>
          <w:szCs w:val="24"/>
          <w:lang w:val="es-ES"/>
        </w:rPr>
        <w:t>(…)</w:t>
      </w:r>
    </w:p>
    <w:p w:rsidR="00D07D3E" w:rsidRDefault="00D07D3E" w:rsidP="00D07D3E">
      <w:pPr>
        <w:pStyle w:val="Prrafodelista"/>
        <w:spacing w:line="360" w:lineRule="auto"/>
        <w:ind w:left="0" w:right="-425"/>
        <w:jc w:val="both"/>
        <w:rPr>
          <w:sz w:val="24"/>
          <w:szCs w:val="24"/>
        </w:rPr>
      </w:pPr>
      <w:r>
        <w:rPr>
          <w:sz w:val="24"/>
          <w:szCs w:val="24"/>
        </w:rPr>
        <w:t xml:space="preserve">Sin embargo, es menester resaltar </w:t>
      </w:r>
      <w:r w:rsidRPr="00F36673">
        <w:rPr>
          <w:sz w:val="24"/>
          <w:szCs w:val="24"/>
        </w:rPr>
        <w:t>que a la luz de la jurisprudencia actual</w:t>
      </w:r>
      <w:r>
        <w:rPr>
          <w:sz w:val="24"/>
          <w:szCs w:val="24"/>
        </w:rPr>
        <w:t xml:space="preserve"> –antes reseñada- no se configura el delito de t</w:t>
      </w:r>
      <w:r w:rsidRPr="00F36673">
        <w:rPr>
          <w:sz w:val="24"/>
          <w:szCs w:val="24"/>
        </w:rPr>
        <w:t>ráfico, fabricación o porte de estupefacientes consagrado en el artículo 376 del Código Penal</w:t>
      </w:r>
      <w:r>
        <w:rPr>
          <w:sz w:val="24"/>
          <w:szCs w:val="24"/>
        </w:rPr>
        <w:t xml:space="preserve"> por no haberse demostrado por parte de la FGN el ingrediente subjetivo del tipo consistente en la intención o propósito del sujeto agente de destinarla a su distribución o comercialización, y bajo ese entendido, la ausencia de tal elemento conduciría a que la conducta se tornara atípica.</w:t>
      </w:r>
    </w:p>
    <w:p w:rsidR="00D07D3E" w:rsidRDefault="00D07D3E" w:rsidP="00D07D3E">
      <w:pPr>
        <w:pStyle w:val="Prrafodelista"/>
        <w:spacing w:line="360" w:lineRule="auto"/>
        <w:ind w:left="0" w:right="-425"/>
        <w:jc w:val="both"/>
        <w:rPr>
          <w:sz w:val="24"/>
          <w:szCs w:val="24"/>
        </w:rPr>
      </w:pPr>
    </w:p>
    <w:p w:rsidR="00D07D3E" w:rsidRDefault="00D07D3E" w:rsidP="00D07D3E">
      <w:pPr>
        <w:pStyle w:val="Prrafodelista"/>
        <w:spacing w:line="360" w:lineRule="auto"/>
        <w:ind w:left="0" w:right="-425"/>
        <w:jc w:val="both"/>
        <w:rPr>
          <w:sz w:val="24"/>
          <w:szCs w:val="24"/>
        </w:rPr>
      </w:pPr>
      <w:r>
        <w:rPr>
          <w:sz w:val="24"/>
          <w:szCs w:val="24"/>
        </w:rPr>
        <w:t xml:space="preserve">Por otra parte es importante destacar, que pese a que la primera sentencia dentro de esta nueva línea jurisprudencial (Rad. </w:t>
      </w:r>
      <w:r w:rsidRPr="00C22B89">
        <w:rPr>
          <w:rFonts w:eastAsia="Adobe Gothic Std B"/>
          <w:sz w:val="24"/>
          <w:szCs w:val="24"/>
        </w:rPr>
        <w:t>4176</w:t>
      </w:r>
      <w:r>
        <w:rPr>
          <w:rFonts w:eastAsia="Adobe Gothic Std B"/>
          <w:sz w:val="24"/>
          <w:szCs w:val="24"/>
        </w:rPr>
        <w:t>0, SP2940 del 09 de marzo de 2016</w:t>
      </w:r>
      <w:r>
        <w:rPr>
          <w:sz w:val="24"/>
          <w:szCs w:val="24"/>
        </w:rPr>
        <w:t xml:space="preserve">) ya había sido proferida a la fecha en que se dictó la providencia por parte del Juzgado Penal del Circuito de Santa Rosa de Cabal (30 de septiembre de 2016) y que ello en principio impediría la prosperidad de la causal de revisión invocada, aquello puede superarse  aplicando la jurisprudencia de la SP CSJ proferida el 20 de agosto de 2014 dentro del radicado 43624, la cual permite que sea viable la causal 7 de la acción de revisión pese a que los precedentes jurisprudenciales hayan existido con antelación a </w:t>
      </w:r>
      <w:r>
        <w:rPr>
          <w:sz w:val="24"/>
          <w:szCs w:val="24"/>
        </w:rPr>
        <w:lastRenderedPageBreak/>
        <w:t>la providencia demandada, siempre y cuando los mismos hayan sido desconocidos por el operador judicial; como bien se observa que ocurrió en el caso bajo estudio.</w:t>
      </w:r>
    </w:p>
    <w:p w:rsidR="00D07D3E" w:rsidRDefault="00D07D3E" w:rsidP="00D07D3E">
      <w:pPr>
        <w:pStyle w:val="Prrafodelista"/>
        <w:spacing w:line="360" w:lineRule="auto"/>
        <w:ind w:left="0" w:right="-425"/>
        <w:jc w:val="both"/>
        <w:rPr>
          <w:sz w:val="24"/>
          <w:szCs w:val="24"/>
          <w:lang w:val="es-ES"/>
        </w:rPr>
      </w:pPr>
    </w:p>
    <w:p w:rsidR="00D07D3E" w:rsidRPr="009A6567" w:rsidRDefault="00D07D3E" w:rsidP="00D07D3E">
      <w:pPr>
        <w:pStyle w:val="Prrafodelista"/>
        <w:numPr>
          <w:ilvl w:val="2"/>
          <w:numId w:val="17"/>
        </w:numPr>
        <w:spacing w:line="360" w:lineRule="auto"/>
        <w:ind w:left="0" w:right="-425" w:firstLine="0"/>
        <w:jc w:val="both"/>
        <w:rPr>
          <w:sz w:val="24"/>
          <w:szCs w:val="24"/>
          <w:lang w:val="es-ES"/>
        </w:rPr>
      </w:pPr>
      <w:r>
        <w:rPr>
          <w:sz w:val="24"/>
          <w:szCs w:val="24"/>
        </w:rPr>
        <w:t xml:space="preserve"> En consecuencia, por estar en presencia de la causal 7 de la acción de revisión de acuerdo con lo reglado en el numeral 1 del artículo 196 C.P.P. la Sala procederá a dictar la correspondiente sentencia de reemplazo, la cual consistiría en la absolución del señor procesado Hernando Antonio Gallego Sánchez, por la conducta de violación del artículo 376 del C.P., por la cual fue sentenciado.</w:t>
      </w:r>
    </w:p>
    <w:p w:rsidR="00D07D3E" w:rsidRPr="009A6567" w:rsidRDefault="00D07D3E" w:rsidP="00D07D3E">
      <w:pPr>
        <w:pStyle w:val="Prrafodelista"/>
        <w:spacing w:line="360" w:lineRule="auto"/>
        <w:ind w:left="0" w:right="-425"/>
        <w:jc w:val="both"/>
        <w:rPr>
          <w:sz w:val="24"/>
          <w:szCs w:val="24"/>
          <w:lang w:val="es-ES"/>
        </w:rPr>
      </w:pPr>
    </w:p>
    <w:p w:rsidR="00D07D3E" w:rsidRPr="009A6567" w:rsidRDefault="00D07D3E" w:rsidP="00D07D3E">
      <w:pPr>
        <w:pStyle w:val="Prrafodelista"/>
        <w:numPr>
          <w:ilvl w:val="2"/>
          <w:numId w:val="17"/>
        </w:numPr>
        <w:spacing w:line="360" w:lineRule="auto"/>
        <w:ind w:left="0" w:right="-425" w:firstLine="0"/>
        <w:jc w:val="both"/>
        <w:rPr>
          <w:sz w:val="24"/>
          <w:szCs w:val="24"/>
          <w:lang w:val="es-ES"/>
        </w:rPr>
      </w:pPr>
      <w:r w:rsidRPr="009A6567">
        <w:rPr>
          <w:sz w:val="24"/>
          <w:szCs w:val="24"/>
        </w:rPr>
        <w:t>Finalmente, se ordenará cancelar la orden de captura emitida por cuenta de este proceso en contra del señor Gallego Sánchez y en caso de que se encuentre recluido en establecimiento carcelario se procederá a ordenar su inmediata libertad, siempre y cuando ese estado de privación sea consecuencia del fallo que se invalida mediante la presente acción de revisión.</w:t>
      </w:r>
    </w:p>
    <w:p w:rsidR="00D07D3E" w:rsidRDefault="00D07D3E" w:rsidP="00D07D3E">
      <w:pPr>
        <w:spacing w:line="360" w:lineRule="auto"/>
        <w:ind w:right="-425"/>
        <w:jc w:val="both"/>
        <w:rPr>
          <w:sz w:val="24"/>
          <w:szCs w:val="24"/>
          <w:lang w:val="es-ES"/>
        </w:rPr>
      </w:pPr>
    </w:p>
    <w:p w:rsidR="00D07D3E" w:rsidRPr="00B95E8B" w:rsidRDefault="00D07D3E" w:rsidP="00D07D3E">
      <w:pPr>
        <w:spacing w:line="360" w:lineRule="auto"/>
        <w:ind w:right="-425"/>
        <w:jc w:val="both"/>
        <w:rPr>
          <w:sz w:val="24"/>
          <w:szCs w:val="24"/>
          <w:lang w:val="es-ES"/>
        </w:rPr>
      </w:pPr>
    </w:p>
    <w:p w:rsidR="00D07D3E" w:rsidRDefault="00D07D3E" w:rsidP="009A6567">
      <w:pPr>
        <w:spacing w:line="360" w:lineRule="auto"/>
        <w:ind w:right="-425"/>
        <w:jc w:val="center"/>
        <w:rPr>
          <w:rFonts w:eastAsia="Adobe Gothic Std B"/>
          <w:b/>
          <w:bCs/>
          <w:sz w:val="24"/>
          <w:szCs w:val="24"/>
          <w:lang w:eastAsia="en-US"/>
        </w:rPr>
      </w:pPr>
    </w:p>
    <w:p w:rsidR="00D07D3E" w:rsidRDefault="00D07D3E" w:rsidP="009A6567">
      <w:pPr>
        <w:spacing w:line="360" w:lineRule="auto"/>
        <w:ind w:right="-425"/>
        <w:jc w:val="center"/>
        <w:rPr>
          <w:rFonts w:eastAsia="Adobe Gothic Std B"/>
          <w:b/>
          <w:bCs/>
          <w:sz w:val="24"/>
          <w:szCs w:val="24"/>
          <w:lang w:eastAsia="en-US"/>
        </w:rPr>
      </w:pPr>
    </w:p>
    <w:p w:rsidR="00D07D3E" w:rsidRDefault="00D07D3E" w:rsidP="009A6567">
      <w:pPr>
        <w:spacing w:line="360" w:lineRule="auto"/>
        <w:ind w:right="-425"/>
        <w:jc w:val="center"/>
        <w:rPr>
          <w:rFonts w:eastAsia="Adobe Gothic Std B"/>
          <w:b/>
          <w:bCs/>
          <w:sz w:val="24"/>
          <w:szCs w:val="24"/>
          <w:lang w:eastAsia="en-US"/>
        </w:rPr>
      </w:pPr>
    </w:p>
    <w:p w:rsidR="0012624C" w:rsidRDefault="00584F09" w:rsidP="009A6567">
      <w:pPr>
        <w:spacing w:line="360" w:lineRule="auto"/>
        <w:ind w:right="-425"/>
        <w:jc w:val="center"/>
        <w:rPr>
          <w:rFonts w:eastAsia="Adobe Gothic Std B"/>
          <w:b/>
          <w:bCs/>
          <w:sz w:val="24"/>
          <w:szCs w:val="24"/>
          <w:lang w:eastAsia="en-US"/>
        </w:rPr>
      </w:pPr>
      <w:r>
        <w:rPr>
          <w:rFonts w:eastAsia="Adobe Gothic Std B"/>
          <w:b/>
          <w:bCs/>
          <w:sz w:val="24"/>
          <w:szCs w:val="24"/>
          <w:lang w:eastAsia="en-US"/>
        </w:rPr>
        <w:t xml:space="preserve"> </w:t>
      </w:r>
      <w:r w:rsidR="00792DE3">
        <w:rPr>
          <w:rFonts w:eastAsia="Adobe Gothic Std B"/>
          <w:b/>
          <w:bCs/>
          <w:sz w:val="24"/>
          <w:szCs w:val="24"/>
          <w:lang w:eastAsia="en-US"/>
        </w:rPr>
        <w:t xml:space="preserve"> </w:t>
      </w:r>
      <w:r w:rsidR="00FA55F5">
        <w:rPr>
          <w:rFonts w:eastAsia="Adobe Gothic Std B"/>
          <w:b/>
          <w:bCs/>
          <w:sz w:val="24"/>
          <w:szCs w:val="24"/>
          <w:lang w:eastAsia="en-US"/>
        </w:rPr>
        <w:t xml:space="preserve"> </w:t>
      </w:r>
    </w:p>
    <w:p w:rsidR="00AA0CC2" w:rsidRPr="009905FF" w:rsidRDefault="00AA0CC2" w:rsidP="009A6567">
      <w:pPr>
        <w:spacing w:line="360" w:lineRule="auto"/>
        <w:ind w:right="-425"/>
        <w:jc w:val="center"/>
        <w:rPr>
          <w:rFonts w:eastAsia="Adobe Gothic Std B"/>
          <w:b/>
          <w:bCs/>
          <w:sz w:val="24"/>
          <w:szCs w:val="24"/>
          <w:lang w:eastAsia="en-US"/>
        </w:rPr>
      </w:pPr>
      <w:r w:rsidRPr="009905FF">
        <w:rPr>
          <w:rFonts w:eastAsia="Adobe Gothic Std B"/>
          <w:b/>
          <w:bCs/>
          <w:sz w:val="24"/>
          <w:szCs w:val="24"/>
          <w:lang w:eastAsia="en-US"/>
        </w:rPr>
        <w:t>REPÚBLICA DE COLOMBIA</w:t>
      </w:r>
    </w:p>
    <w:p w:rsidR="00AA0CC2" w:rsidRPr="009905FF" w:rsidRDefault="00AA0CC2" w:rsidP="009A6567">
      <w:pPr>
        <w:spacing w:line="360" w:lineRule="auto"/>
        <w:ind w:right="-425"/>
        <w:jc w:val="center"/>
        <w:rPr>
          <w:rFonts w:eastAsia="Adobe Gothic Std B"/>
          <w:b/>
          <w:bCs/>
          <w:sz w:val="24"/>
          <w:szCs w:val="24"/>
          <w:lang w:eastAsia="en-US"/>
        </w:rPr>
      </w:pPr>
      <w:r w:rsidRPr="009905FF">
        <w:rPr>
          <w:rFonts w:eastAsia="Adobe Gothic Std B"/>
          <w:b/>
          <w:bCs/>
          <w:sz w:val="24"/>
          <w:szCs w:val="24"/>
          <w:lang w:eastAsia="en-US"/>
        </w:rPr>
        <w:t>RAMA JUDICIAL DEL PODER PÚBLICO</w:t>
      </w:r>
    </w:p>
    <w:p w:rsidR="00AA0CC2" w:rsidRPr="009905FF" w:rsidRDefault="00AA0CC2" w:rsidP="009A6567">
      <w:pPr>
        <w:spacing w:line="360" w:lineRule="auto"/>
        <w:ind w:right="-425"/>
        <w:jc w:val="center"/>
        <w:rPr>
          <w:rFonts w:eastAsia="Adobe Gothic Std B"/>
          <w:b/>
          <w:bCs/>
          <w:sz w:val="24"/>
          <w:szCs w:val="24"/>
          <w:lang w:eastAsia="en-US"/>
        </w:rPr>
      </w:pPr>
      <w:r w:rsidRPr="009905FF">
        <w:rPr>
          <w:rFonts w:eastAsia="Adobe Gothic Std B"/>
          <w:b/>
          <w:noProof/>
          <w:sz w:val="24"/>
          <w:szCs w:val="24"/>
          <w:lang w:val="es-ES"/>
        </w:rPr>
        <w:drawing>
          <wp:inline distT="0" distB="0" distL="0" distR="0" wp14:anchorId="3DA1C86E" wp14:editId="02930B71">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9905FF" w:rsidRDefault="00AA0CC2" w:rsidP="009A6567">
      <w:pPr>
        <w:spacing w:line="360" w:lineRule="auto"/>
        <w:ind w:right="-425"/>
        <w:jc w:val="center"/>
        <w:rPr>
          <w:rFonts w:eastAsia="Adobe Gothic Std B"/>
          <w:b/>
          <w:bCs/>
          <w:sz w:val="24"/>
          <w:szCs w:val="24"/>
          <w:lang w:eastAsia="en-US"/>
        </w:rPr>
      </w:pPr>
      <w:r w:rsidRPr="009905FF">
        <w:rPr>
          <w:rFonts w:eastAsia="Adobe Gothic Std B"/>
          <w:b/>
          <w:bCs/>
          <w:sz w:val="24"/>
          <w:szCs w:val="24"/>
          <w:lang w:eastAsia="en-US"/>
        </w:rPr>
        <w:t>TRIBUNAL SUPERIOR DEL DISTRITO JUDICIAL DE PEREIRA</w:t>
      </w:r>
    </w:p>
    <w:p w:rsidR="00AA0CC2" w:rsidRPr="009905FF" w:rsidRDefault="00AA0CC2" w:rsidP="009A6567">
      <w:pPr>
        <w:spacing w:line="360" w:lineRule="auto"/>
        <w:ind w:right="-425"/>
        <w:jc w:val="center"/>
        <w:rPr>
          <w:rFonts w:eastAsia="Adobe Gothic Std B"/>
          <w:b/>
          <w:sz w:val="24"/>
          <w:szCs w:val="24"/>
          <w:lang w:eastAsia="en-US"/>
        </w:rPr>
      </w:pPr>
      <w:r w:rsidRPr="009905FF">
        <w:rPr>
          <w:rFonts w:eastAsia="Adobe Gothic Std B"/>
          <w:b/>
          <w:bCs/>
          <w:sz w:val="24"/>
          <w:szCs w:val="24"/>
          <w:lang w:eastAsia="en-US"/>
        </w:rPr>
        <w:t>SALA DE DECISIÓN PENAL</w:t>
      </w:r>
    </w:p>
    <w:p w:rsidR="00AA0CC2" w:rsidRPr="009905FF" w:rsidRDefault="00AA0CC2" w:rsidP="009A6567">
      <w:pPr>
        <w:spacing w:line="360" w:lineRule="auto"/>
        <w:ind w:right="-425"/>
        <w:jc w:val="center"/>
        <w:rPr>
          <w:rFonts w:eastAsia="Adobe Gothic Std B"/>
          <w:b/>
          <w:bCs/>
          <w:sz w:val="24"/>
          <w:szCs w:val="24"/>
        </w:rPr>
      </w:pPr>
      <w:r w:rsidRPr="009905FF">
        <w:rPr>
          <w:rFonts w:eastAsia="Adobe Gothic Std B"/>
          <w:b/>
          <w:bCs/>
          <w:sz w:val="24"/>
          <w:szCs w:val="24"/>
        </w:rPr>
        <w:t xml:space="preserve">M.P. </w:t>
      </w:r>
      <w:r w:rsidR="00C504B6" w:rsidRPr="009905FF">
        <w:rPr>
          <w:rFonts w:eastAsia="Adobe Gothic Std B"/>
          <w:b/>
          <w:bCs/>
          <w:sz w:val="24"/>
          <w:szCs w:val="24"/>
        </w:rPr>
        <w:t xml:space="preserve">JAIRO </w:t>
      </w:r>
      <w:r w:rsidR="00056D81" w:rsidRPr="009905FF">
        <w:rPr>
          <w:rFonts w:eastAsia="Adobe Gothic Std B"/>
          <w:b/>
          <w:bCs/>
          <w:sz w:val="24"/>
          <w:szCs w:val="24"/>
        </w:rPr>
        <w:t>ERNESTO ESCOBAR SANZ</w:t>
      </w:r>
    </w:p>
    <w:p w:rsidR="00AA0CC2" w:rsidRPr="009905FF" w:rsidRDefault="00AA0CC2" w:rsidP="009A6567">
      <w:pPr>
        <w:spacing w:line="360" w:lineRule="auto"/>
        <w:ind w:right="-425"/>
        <w:jc w:val="both"/>
        <w:rPr>
          <w:rFonts w:eastAsia="Adobe Gothic Std B"/>
          <w:bCs/>
          <w:sz w:val="24"/>
          <w:szCs w:val="24"/>
        </w:rPr>
      </w:pPr>
    </w:p>
    <w:p w:rsidR="00AA0CC2" w:rsidRPr="009905FF" w:rsidRDefault="009B7C21" w:rsidP="009A6567">
      <w:pPr>
        <w:spacing w:line="360" w:lineRule="auto"/>
        <w:ind w:right="-425"/>
        <w:jc w:val="both"/>
        <w:rPr>
          <w:rFonts w:eastAsia="Adobe Gothic Std B"/>
          <w:sz w:val="24"/>
          <w:szCs w:val="24"/>
        </w:rPr>
      </w:pPr>
      <w:r>
        <w:rPr>
          <w:rFonts w:eastAsia="Adobe Gothic Std B"/>
          <w:sz w:val="24"/>
          <w:szCs w:val="24"/>
        </w:rPr>
        <w:t>Proyecto aprobado mediante acta 0735</w:t>
      </w:r>
    </w:p>
    <w:p w:rsidR="000220AE" w:rsidRPr="009905FF" w:rsidRDefault="009B7C21" w:rsidP="00D77BF1">
      <w:pPr>
        <w:spacing w:line="360" w:lineRule="auto"/>
        <w:ind w:left="708" w:right="-425" w:hanging="708"/>
        <w:jc w:val="both"/>
        <w:rPr>
          <w:rFonts w:eastAsia="Adobe Gothic Std B"/>
          <w:sz w:val="24"/>
          <w:szCs w:val="24"/>
        </w:rPr>
      </w:pPr>
      <w:r>
        <w:rPr>
          <w:rFonts w:eastAsia="Adobe Gothic Std B"/>
          <w:sz w:val="24"/>
          <w:szCs w:val="24"/>
        </w:rPr>
        <w:t>Pereira, 31 de agosto de 2018</w:t>
      </w:r>
    </w:p>
    <w:p w:rsidR="00AA0CC2" w:rsidRPr="009905FF" w:rsidRDefault="000220AE" w:rsidP="009A6567">
      <w:pPr>
        <w:spacing w:line="360" w:lineRule="auto"/>
        <w:ind w:right="-425"/>
        <w:jc w:val="both"/>
        <w:rPr>
          <w:rFonts w:eastAsia="Adobe Gothic Std B"/>
          <w:sz w:val="24"/>
          <w:szCs w:val="24"/>
        </w:rPr>
      </w:pPr>
      <w:r w:rsidRPr="009905FF">
        <w:rPr>
          <w:rFonts w:eastAsia="Adobe Gothic Std B"/>
          <w:sz w:val="24"/>
          <w:szCs w:val="24"/>
        </w:rPr>
        <w:t>Hora:</w:t>
      </w:r>
      <w:r w:rsidR="009B7C21">
        <w:rPr>
          <w:rFonts w:eastAsia="Adobe Gothic Std B"/>
          <w:sz w:val="24"/>
          <w:szCs w:val="24"/>
        </w:rPr>
        <w:t xml:space="preserve"> 07:30</w:t>
      </w:r>
    </w:p>
    <w:p w:rsidR="00AE74D3" w:rsidRPr="009905FF" w:rsidRDefault="00AE74D3" w:rsidP="009A6567">
      <w:pPr>
        <w:spacing w:line="360" w:lineRule="auto"/>
        <w:ind w:right="-425"/>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695E4B" w:rsidRPr="009905FF"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9905FF" w:rsidRDefault="00695E4B" w:rsidP="009A6567">
            <w:pPr>
              <w:spacing w:line="360" w:lineRule="auto"/>
              <w:ind w:right="-425"/>
              <w:jc w:val="both"/>
              <w:rPr>
                <w:sz w:val="24"/>
                <w:szCs w:val="24"/>
              </w:rPr>
            </w:pPr>
            <w:r w:rsidRPr="009905FF">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9905FF" w:rsidRDefault="0011237A" w:rsidP="009A6567">
            <w:pPr>
              <w:spacing w:line="360" w:lineRule="auto"/>
              <w:ind w:right="-425"/>
              <w:jc w:val="both"/>
              <w:rPr>
                <w:sz w:val="24"/>
                <w:szCs w:val="24"/>
              </w:rPr>
            </w:pPr>
            <w:r>
              <w:rPr>
                <w:sz w:val="24"/>
                <w:szCs w:val="24"/>
                <w:lang w:val="es-SV"/>
              </w:rPr>
              <w:t>66001220400020180009</w:t>
            </w:r>
            <w:r w:rsidR="00762273">
              <w:rPr>
                <w:sz w:val="24"/>
                <w:szCs w:val="24"/>
                <w:lang w:val="es-SV"/>
              </w:rPr>
              <w:t>0</w:t>
            </w:r>
          </w:p>
        </w:tc>
      </w:tr>
      <w:tr w:rsidR="00695E4B" w:rsidRPr="009905FF" w:rsidTr="00155FAA">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95E4B" w:rsidRPr="009905FF" w:rsidRDefault="00695E4B" w:rsidP="009A6567">
            <w:pPr>
              <w:spacing w:line="360" w:lineRule="auto"/>
              <w:ind w:right="-425"/>
              <w:jc w:val="both"/>
              <w:rPr>
                <w:sz w:val="24"/>
                <w:szCs w:val="24"/>
              </w:rPr>
            </w:pPr>
            <w:r w:rsidRPr="009905FF">
              <w:rPr>
                <w:sz w:val="24"/>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9905FF" w:rsidRDefault="00762273" w:rsidP="009A6567">
            <w:pPr>
              <w:spacing w:line="360" w:lineRule="auto"/>
              <w:ind w:right="-425"/>
              <w:jc w:val="both"/>
              <w:rPr>
                <w:sz w:val="24"/>
                <w:szCs w:val="24"/>
              </w:rPr>
            </w:pPr>
            <w:r>
              <w:rPr>
                <w:sz w:val="24"/>
                <w:szCs w:val="24"/>
              </w:rPr>
              <w:t>Hernando Antonio Gallego Sánchez</w:t>
            </w:r>
          </w:p>
        </w:tc>
      </w:tr>
      <w:tr w:rsidR="00695E4B" w:rsidRPr="009905FF" w:rsidTr="00155FA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9905FF" w:rsidRDefault="00695E4B" w:rsidP="009A6567">
            <w:pPr>
              <w:spacing w:line="360" w:lineRule="auto"/>
              <w:ind w:right="-425"/>
              <w:jc w:val="both"/>
              <w:rPr>
                <w:sz w:val="24"/>
                <w:szCs w:val="24"/>
              </w:rPr>
            </w:pPr>
            <w:r w:rsidRPr="009905FF">
              <w:rPr>
                <w:sz w:val="24"/>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9905FF" w:rsidRDefault="005424B4" w:rsidP="009A6567">
            <w:pPr>
              <w:spacing w:line="360" w:lineRule="auto"/>
              <w:ind w:right="-425"/>
              <w:jc w:val="both"/>
              <w:rPr>
                <w:sz w:val="24"/>
                <w:szCs w:val="24"/>
              </w:rPr>
            </w:pPr>
            <w:r>
              <w:rPr>
                <w:sz w:val="24"/>
                <w:szCs w:val="24"/>
              </w:rPr>
              <w:t>Tráfico, fabricación o porte de estupefacientes</w:t>
            </w:r>
          </w:p>
        </w:tc>
      </w:tr>
      <w:tr w:rsidR="00695E4B" w:rsidRPr="009905FF"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9905FF" w:rsidRDefault="00695E4B" w:rsidP="009A6567">
            <w:pPr>
              <w:spacing w:line="360" w:lineRule="auto"/>
              <w:ind w:right="-425"/>
              <w:jc w:val="both"/>
              <w:rPr>
                <w:sz w:val="24"/>
                <w:szCs w:val="24"/>
              </w:rPr>
            </w:pPr>
            <w:r w:rsidRPr="009905FF">
              <w:rPr>
                <w:sz w:val="24"/>
                <w:szCs w:val="24"/>
              </w:rPr>
              <w:lastRenderedPageBreak/>
              <w:t xml:space="preserve">Juzgado </w:t>
            </w:r>
            <w:r w:rsidR="00211704" w:rsidRPr="009905FF">
              <w:rPr>
                <w:sz w:val="24"/>
                <w:szCs w:val="24"/>
              </w:rPr>
              <w:t xml:space="preserve">Accionado </w:t>
            </w:r>
            <w:r w:rsidRPr="009905FF">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9905FF" w:rsidRDefault="00695E4B" w:rsidP="009A6567">
            <w:pPr>
              <w:spacing w:line="360" w:lineRule="auto"/>
              <w:ind w:right="-425"/>
              <w:jc w:val="both"/>
              <w:rPr>
                <w:sz w:val="24"/>
                <w:szCs w:val="24"/>
              </w:rPr>
            </w:pPr>
            <w:r w:rsidRPr="009905FF">
              <w:rPr>
                <w:sz w:val="24"/>
                <w:szCs w:val="24"/>
              </w:rPr>
              <w:t xml:space="preserve">Juzgado Penal del </w:t>
            </w:r>
            <w:r w:rsidR="001232B3" w:rsidRPr="009905FF">
              <w:rPr>
                <w:sz w:val="24"/>
                <w:szCs w:val="24"/>
              </w:rPr>
              <w:t>Circuito</w:t>
            </w:r>
            <w:r w:rsidR="00211704" w:rsidRPr="009905FF">
              <w:rPr>
                <w:sz w:val="24"/>
                <w:szCs w:val="24"/>
              </w:rPr>
              <w:t xml:space="preserve"> </w:t>
            </w:r>
            <w:r w:rsidR="00542F4B" w:rsidRPr="009905FF">
              <w:rPr>
                <w:sz w:val="24"/>
                <w:szCs w:val="24"/>
              </w:rPr>
              <w:t xml:space="preserve">de </w:t>
            </w:r>
            <w:r w:rsidR="00762273">
              <w:rPr>
                <w:sz w:val="24"/>
                <w:szCs w:val="24"/>
              </w:rPr>
              <w:t>Santa Rosa de Cabal</w:t>
            </w:r>
            <w:r w:rsidR="00542F4B" w:rsidRPr="009905FF">
              <w:rPr>
                <w:sz w:val="24"/>
                <w:szCs w:val="24"/>
              </w:rPr>
              <w:t xml:space="preserve"> (Risaralda)</w:t>
            </w:r>
          </w:p>
        </w:tc>
      </w:tr>
      <w:tr w:rsidR="00695E4B" w:rsidRPr="009905FF" w:rsidTr="00155FAA">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9905FF" w:rsidRDefault="00695E4B" w:rsidP="009A6567">
            <w:pPr>
              <w:spacing w:line="360" w:lineRule="auto"/>
              <w:ind w:right="-425"/>
              <w:jc w:val="both"/>
              <w:rPr>
                <w:sz w:val="24"/>
                <w:szCs w:val="24"/>
              </w:rPr>
            </w:pPr>
            <w:r w:rsidRPr="009905FF">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9905FF" w:rsidRDefault="00695E4B" w:rsidP="009A6567">
            <w:pPr>
              <w:spacing w:line="360" w:lineRule="auto"/>
              <w:ind w:right="-425"/>
              <w:jc w:val="both"/>
              <w:rPr>
                <w:sz w:val="24"/>
                <w:szCs w:val="24"/>
              </w:rPr>
            </w:pPr>
            <w:r w:rsidRPr="009905FF">
              <w:rPr>
                <w:sz w:val="24"/>
                <w:szCs w:val="24"/>
              </w:rPr>
              <w:t xml:space="preserve">Resolver </w:t>
            </w:r>
            <w:r w:rsidR="00211704" w:rsidRPr="009905FF">
              <w:rPr>
                <w:sz w:val="24"/>
                <w:szCs w:val="24"/>
              </w:rPr>
              <w:t>la</w:t>
            </w:r>
            <w:r w:rsidR="001232B3" w:rsidRPr="009905FF">
              <w:rPr>
                <w:sz w:val="24"/>
                <w:szCs w:val="24"/>
              </w:rPr>
              <w:t xml:space="preserve"> acción de revisión interp</w:t>
            </w:r>
            <w:r w:rsidR="00762273">
              <w:rPr>
                <w:sz w:val="24"/>
                <w:szCs w:val="24"/>
              </w:rPr>
              <w:t>uesta contra la sentencia del 30</w:t>
            </w:r>
            <w:r w:rsidR="001232B3" w:rsidRPr="009905FF">
              <w:rPr>
                <w:sz w:val="24"/>
                <w:szCs w:val="24"/>
              </w:rPr>
              <w:t xml:space="preserve"> de </w:t>
            </w:r>
            <w:r w:rsidR="00762273">
              <w:rPr>
                <w:sz w:val="24"/>
                <w:szCs w:val="24"/>
              </w:rPr>
              <w:t>septiembre</w:t>
            </w:r>
            <w:r w:rsidR="005424B4">
              <w:rPr>
                <w:sz w:val="24"/>
                <w:szCs w:val="24"/>
              </w:rPr>
              <w:t xml:space="preserve"> del 2016</w:t>
            </w:r>
          </w:p>
        </w:tc>
      </w:tr>
    </w:tbl>
    <w:p w:rsidR="00D2247B" w:rsidRPr="009905FF" w:rsidRDefault="00D2247B" w:rsidP="009A6567">
      <w:pPr>
        <w:spacing w:line="360" w:lineRule="auto"/>
        <w:ind w:right="-425"/>
        <w:jc w:val="both"/>
        <w:rPr>
          <w:rFonts w:eastAsia="Adobe Gothic Std B"/>
          <w:sz w:val="24"/>
          <w:szCs w:val="24"/>
        </w:rPr>
      </w:pPr>
    </w:p>
    <w:p w:rsidR="00724277" w:rsidRPr="00B22514" w:rsidRDefault="00724277" w:rsidP="009A6567">
      <w:pPr>
        <w:spacing w:line="360" w:lineRule="auto"/>
        <w:ind w:right="-425"/>
        <w:jc w:val="both"/>
        <w:rPr>
          <w:rFonts w:eastAsia="Adobe Gothic Std B"/>
          <w:sz w:val="24"/>
          <w:szCs w:val="24"/>
        </w:rPr>
      </w:pPr>
    </w:p>
    <w:p w:rsidR="00AA0CC2" w:rsidRPr="00B22514" w:rsidRDefault="00056D81" w:rsidP="009A6567">
      <w:pPr>
        <w:pStyle w:val="Prrafodelista"/>
        <w:numPr>
          <w:ilvl w:val="0"/>
          <w:numId w:val="17"/>
        </w:numPr>
        <w:spacing w:line="360" w:lineRule="auto"/>
        <w:ind w:right="-425"/>
        <w:jc w:val="center"/>
        <w:rPr>
          <w:rFonts w:eastAsia="Adobe Gothic Std B"/>
          <w:sz w:val="24"/>
          <w:szCs w:val="24"/>
        </w:rPr>
      </w:pPr>
      <w:r w:rsidRPr="00B22514">
        <w:rPr>
          <w:rFonts w:eastAsia="Adobe Gothic Std B"/>
          <w:sz w:val="24"/>
          <w:szCs w:val="24"/>
        </w:rPr>
        <w:t>ASUNTO A DECIDIR</w:t>
      </w:r>
    </w:p>
    <w:p w:rsidR="00AA0CC2" w:rsidRPr="00B22514" w:rsidRDefault="00AA0CC2" w:rsidP="009A6567">
      <w:pPr>
        <w:spacing w:line="360" w:lineRule="auto"/>
        <w:ind w:right="-425"/>
        <w:jc w:val="both"/>
        <w:rPr>
          <w:rFonts w:eastAsia="Adobe Gothic Std B"/>
          <w:sz w:val="24"/>
          <w:szCs w:val="24"/>
        </w:rPr>
      </w:pPr>
    </w:p>
    <w:p w:rsidR="002E3214" w:rsidRPr="00B22514" w:rsidRDefault="00AA0CC2" w:rsidP="009A6567">
      <w:pPr>
        <w:spacing w:line="360" w:lineRule="auto"/>
        <w:ind w:right="-425"/>
        <w:jc w:val="both"/>
        <w:rPr>
          <w:rFonts w:eastAsia="Adobe Gothic Std B"/>
          <w:sz w:val="24"/>
          <w:szCs w:val="24"/>
        </w:rPr>
      </w:pPr>
      <w:r w:rsidRPr="00B22514">
        <w:rPr>
          <w:rFonts w:eastAsia="Adobe Gothic Std B"/>
          <w:sz w:val="24"/>
          <w:szCs w:val="24"/>
        </w:rPr>
        <w:t xml:space="preserve">Procede la Sala de Decisión </w:t>
      </w:r>
      <w:r w:rsidR="001232B3" w:rsidRPr="00B22514">
        <w:rPr>
          <w:rFonts w:eastAsia="Adobe Gothic Std B"/>
          <w:sz w:val="24"/>
          <w:szCs w:val="24"/>
        </w:rPr>
        <w:t xml:space="preserve">Penal </w:t>
      </w:r>
      <w:r w:rsidRPr="00B22514">
        <w:rPr>
          <w:rFonts w:eastAsia="Adobe Gothic Std B"/>
          <w:sz w:val="24"/>
          <w:szCs w:val="24"/>
        </w:rPr>
        <w:t>del Tribunal Superior de este Distrito Judicial a proferir el correspondie</w:t>
      </w:r>
      <w:r w:rsidR="00172B6C" w:rsidRPr="00B22514">
        <w:rPr>
          <w:rFonts w:eastAsia="Adobe Gothic Std B"/>
          <w:sz w:val="24"/>
          <w:szCs w:val="24"/>
        </w:rPr>
        <w:t>nte fallo en el cual se resuelve</w:t>
      </w:r>
      <w:r w:rsidR="001232B3" w:rsidRPr="00B22514">
        <w:rPr>
          <w:rFonts w:eastAsia="Adobe Gothic Std B"/>
          <w:sz w:val="24"/>
          <w:szCs w:val="24"/>
        </w:rPr>
        <w:t xml:space="preserve"> lo relacionado con la acción de r</w:t>
      </w:r>
      <w:r w:rsidRPr="00B22514">
        <w:rPr>
          <w:rFonts w:eastAsia="Adobe Gothic Std B"/>
          <w:sz w:val="24"/>
          <w:szCs w:val="24"/>
        </w:rPr>
        <w:t>evisión impetrada</w:t>
      </w:r>
      <w:r w:rsidR="00792DE3" w:rsidRPr="00B22514">
        <w:rPr>
          <w:rFonts w:eastAsia="Adobe Gothic Std B"/>
          <w:sz w:val="24"/>
          <w:szCs w:val="24"/>
        </w:rPr>
        <w:t xml:space="preserve"> por</w:t>
      </w:r>
      <w:r w:rsidRPr="00B22514">
        <w:rPr>
          <w:rFonts w:eastAsia="Adobe Gothic Std B"/>
          <w:sz w:val="24"/>
          <w:szCs w:val="24"/>
        </w:rPr>
        <w:t xml:space="preserve"> </w:t>
      </w:r>
      <w:r w:rsidR="005424B4" w:rsidRPr="00B22514">
        <w:rPr>
          <w:rFonts w:eastAsia="Adobe Gothic Std B"/>
          <w:sz w:val="24"/>
          <w:szCs w:val="24"/>
        </w:rPr>
        <w:t xml:space="preserve">el Procurador 149 Judicial II Penal, en favor </w:t>
      </w:r>
      <w:r w:rsidR="00056D81" w:rsidRPr="00B22514">
        <w:rPr>
          <w:rFonts w:eastAsia="Adobe Gothic Std B"/>
          <w:sz w:val="24"/>
          <w:szCs w:val="24"/>
        </w:rPr>
        <w:t xml:space="preserve">del señor </w:t>
      </w:r>
      <w:r w:rsidR="00762273" w:rsidRPr="00B22514">
        <w:rPr>
          <w:rFonts w:eastAsia="Adobe Gothic Std B"/>
          <w:sz w:val="24"/>
          <w:szCs w:val="24"/>
        </w:rPr>
        <w:t>Hernando Antonio Gallego Sánchez</w:t>
      </w:r>
      <w:r w:rsidR="005424B4" w:rsidRPr="00B22514">
        <w:rPr>
          <w:rFonts w:eastAsia="Adobe Gothic Std B"/>
          <w:sz w:val="24"/>
          <w:szCs w:val="24"/>
        </w:rPr>
        <w:t xml:space="preserve"> y</w:t>
      </w:r>
      <w:r w:rsidR="00056D81" w:rsidRPr="00B22514">
        <w:rPr>
          <w:rFonts w:eastAsia="Adobe Gothic Std B"/>
          <w:sz w:val="24"/>
          <w:szCs w:val="24"/>
        </w:rPr>
        <w:t xml:space="preserve"> en </w:t>
      </w:r>
      <w:r w:rsidRPr="00B22514">
        <w:rPr>
          <w:rFonts w:eastAsia="Adobe Gothic Std B"/>
          <w:sz w:val="24"/>
          <w:szCs w:val="24"/>
        </w:rPr>
        <w:t xml:space="preserve">contra de la </w:t>
      </w:r>
      <w:r w:rsidR="00056D81" w:rsidRPr="00B22514">
        <w:rPr>
          <w:rFonts w:eastAsia="Adobe Gothic Std B"/>
          <w:sz w:val="24"/>
          <w:szCs w:val="24"/>
        </w:rPr>
        <w:t>s</w:t>
      </w:r>
      <w:r w:rsidR="006B7F55" w:rsidRPr="00B22514">
        <w:rPr>
          <w:rFonts w:eastAsia="Adobe Gothic Std B"/>
          <w:sz w:val="24"/>
          <w:szCs w:val="24"/>
        </w:rPr>
        <w:t>e</w:t>
      </w:r>
      <w:r w:rsidRPr="00B22514">
        <w:rPr>
          <w:rFonts w:eastAsia="Adobe Gothic Std B"/>
          <w:sz w:val="24"/>
          <w:szCs w:val="24"/>
        </w:rPr>
        <w:t>n</w:t>
      </w:r>
      <w:r w:rsidR="001232B3" w:rsidRPr="00B22514">
        <w:rPr>
          <w:rFonts w:eastAsia="Adobe Gothic Std B"/>
          <w:sz w:val="24"/>
          <w:szCs w:val="24"/>
        </w:rPr>
        <w:t xml:space="preserve">tencia proferida por el Juzgado </w:t>
      </w:r>
      <w:r w:rsidR="006B7F55" w:rsidRPr="00B22514">
        <w:rPr>
          <w:rFonts w:eastAsia="Adobe Gothic Std B"/>
          <w:sz w:val="24"/>
          <w:szCs w:val="24"/>
        </w:rPr>
        <w:t xml:space="preserve">Penal </w:t>
      </w:r>
      <w:r w:rsidR="001232B3" w:rsidRPr="00B22514">
        <w:rPr>
          <w:rFonts w:eastAsia="Adobe Gothic Std B"/>
          <w:sz w:val="24"/>
          <w:szCs w:val="24"/>
        </w:rPr>
        <w:t>del Circuito</w:t>
      </w:r>
      <w:r w:rsidR="00762273" w:rsidRPr="00B22514">
        <w:rPr>
          <w:rFonts w:eastAsia="Adobe Gothic Std B"/>
          <w:sz w:val="24"/>
          <w:szCs w:val="24"/>
        </w:rPr>
        <w:t xml:space="preserve"> de Santa Rosa de Cabal</w:t>
      </w:r>
      <w:r w:rsidR="00542F4B" w:rsidRPr="00B22514">
        <w:rPr>
          <w:rFonts w:eastAsia="Adobe Gothic Std B"/>
          <w:sz w:val="24"/>
          <w:szCs w:val="24"/>
        </w:rPr>
        <w:t xml:space="preserve"> (Risaralda)</w:t>
      </w:r>
      <w:r w:rsidR="001232B3" w:rsidRPr="00B22514">
        <w:rPr>
          <w:rFonts w:eastAsia="Adobe Gothic Std B"/>
          <w:sz w:val="24"/>
          <w:szCs w:val="24"/>
        </w:rPr>
        <w:t xml:space="preserve">; </w:t>
      </w:r>
      <w:r w:rsidR="006B7F55" w:rsidRPr="00B22514">
        <w:rPr>
          <w:rFonts w:eastAsia="Adobe Gothic Std B"/>
          <w:sz w:val="24"/>
          <w:szCs w:val="24"/>
        </w:rPr>
        <w:t xml:space="preserve">en la cual se declaró la responsabilidad del citado ciudadano </w:t>
      </w:r>
      <w:r w:rsidR="005424B4" w:rsidRPr="00B22514">
        <w:rPr>
          <w:rFonts w:eastAsia="Adobe Gothic Std B"/>
          <w:sz w:val="24"/>
          <w:szCs w:val="24"/>
        </w:rPr>
        <w:t>como autor del delito de tráfico, fabricación o porte de estupefacientes.</w:t>
      </w:r>
    </w:p>
    <w:p w:rsidR="002E3214" w:rsidRPr="00B22514" w:rsidRDefault="002E3214" w:rsidP="009A6567">
      <w:pPr>
        <w:spacing w:line="360" w:lineRule="auto"/>
        <w:ind w:right="-425"/>
        <w:jc w:val="both"/>
        <w:rPr>
          <w:rFonts w:eastAsia="Adobe Gothic Std B"/>
          <w:sz w:val="24"/>
          <w:szCs w:val="24"/>
        </w:rPr>
      </w:pPr>
    </w:p>
    <w:p w:rsidR="002E3214" w:rsidRPr="00B22514" w:rsidRDefault="002E3214" w:rsidP="009A6567">
      <w:pPr>
        <w:pStyle w:val="Prrafodelista"/>
        <w:numPr>
          <w:ilvl w:val="0"/>
          <w:numId w:val="17"/>
        </w:numPr>
        <w:spacing w:line="360" w:lineRule="auto"/>
        <w:ind w:right="-425"/>
        <w:jc w:val="center"/>
        <w:rPr>
          <w:rFonts w:eastAsia="Adobe Gothic Std B"/>
          <w:sz w:val="24"/>
          <w:szCs w:val="24"/>
        </w:rPr>
      </w:pPr>
      <w:r w:rsidRPr="00B22514">
        <w:rPr>
          <w:sz w:val="24"/>
          <w:szCs w:val="24"/>
        </w:rPr>
        <w:t>ANTECEDENTES</w:t>
      </w:r>
    </w:p>
    <w:p w:rsidR="002E3214" w:rsidRPr="002E3214" w:rsidRDefault="002E3214" w:rsidP="009A6567">
      <w:pPr>
        <w:pStyle w:val="Prrafodelista"/>
        <w:spacing w:line="360" w:lineRule="auto"/>
        <w:ind w:right="-425"/>
        <w:rPr>
          <w:rFonts w:eastAsia="Adobe Gothic Std B"/>
          <w:sz w:val="24"/>
          <w:szCs w:val="24"/>
        </w:rPr>
      </w:pPr>
    </w:p>
    <w:p w:rsidR="002E3214" w:rsidRDefault="002E3214" w:rsidP="009A6567">
      <w:pPr>
        <w:pStyle w:val="Sinespaciado"/>
        <w:numPr>
          <w:ilvl w:val="1"/>
          <w:numId w:val="17"/>
        </w:numPr>
        <w:spacing w:line="360" w:lineRule="auto"/>
        <w:ind w:right="-425"/>
        <w:jc w:val="both"/>
        <w:rPr>
          <w:rFonts w:ascii="Arial" w:hAnsi="Arial" w:cs="Arial"/>
          <w:sz w:val="24"/>
          <w:szCs w:val="24"/>
        </w:rPr>
      </w:pPr>
      <w:r>
        <w:rPr>
          <w:rFonts w:ascii="Arial" w:hAnsi="Arial" w:cs="Arial"/>
          <w:sz w:val="24"/>
          <w:szCs w:val="24"/>
        </w:rPr>
        <w:t>Según el escrito de acusación, los hechos que dieron origen a la acción tuvieron ocurrencia el 5 de marzo de 2016 en la vía pública del Municipio de Santa Rosa de Cabal (Risaralda), cuando fue capturado el ciudadano Hernando Antonio Gallego Sánchez. Lo anterior se dio porque uniformados de la Policía Nacional mientras efectuaban planes preventivos de identificación de personas y requisas de rutina a quienes se desplazaban por el lugar, observaron una persona de sexo masculino que al notar su presencia asumió actitud sospechosa, motivo por el cual fue requerido para una requisa a la que accedió de manera voluntaria procediendo a sacar de su bolso ocho bolsas plásticas transparentes con cierre hermético; en cuyo interior se observó sustancia pulverulenta color habano con olor fuerte con características similares al estupefaciente bazuco, que al ser analizada arrojó un peso neto de 6.3 gramos positivo para cocaína.</w:t>
      </w:r>
    </w:p>
    <w:p w:rsidR="002E3214" w:rsidRDefault="002E3214" w:rsidP="009A6567">
      <w:pPr>
        <w:pStyle w:val="Sinespaciado"/>
        <w:spacing w:line="360" w:lineRule="auto"/>
        <w:ind w:left="405" w:right="-425"/>
        <w:jc w:val="both"/>
        <w:rPr>
          <w:rFonts w:ascii="Arial" w:hAnsi="Arial" w:cs="Arial"/>
          <w:sz w:val="24"/>
          <w:szCs w:val="24"/>
        </w:rPr>
      </w:pPr>
    </w:p>
    <w:p w:rsidR="002E3214" w:rsidRDefault="002E3214" w:rsidP="009A6567">
      <w:pPr>
        <w:pStyle w:val="Sinespaciado"/>
        <w:numPr>
          <w:ilvl w:val="1"/>
          <w:numId w:val="17"/>
        </w:numPr>
        <w:spacing w:line="360" w:lineRule="auto"/>
        <w:ind w:right="-425"/>
        <w:jc w:val="both"/>
        <w:rPr>
          <w:rFonts w:ascii="Arial" w:hAnsi="Arial" w:cs="Arial"/>
          <w:sz w:val="24"/>
          <w:szCs w:val="24"/>
        </w:rPr>
      </w:pPr>
      <w:r w:rsidRPr="002E3214">
        <w:rPr>
          <w:rFonts w:ascii="Arial" w:hAnsi="Arial" w:cs="Arial"/>
          <w:sz w:val="24"/>
          <w:szCs w:val="24"/>
        </w:rPr>
        <w:t xml:space="preserve">Por lo anterior, el 06 de marzo de 2016 se realizó audiencia ante el Juzgado Segundo Penal Municipal con función de control de garantías; en la cual se legalizó la captura, se le formuló imputación </w:t>
      </w:r>
      <w:r w:rsidRPr="002E3214">
        <w:rPr>
          <w:rFonts w:ascii="Arial" w:hAnsi="Arial" w:cs="Arial"/>
          <w:sz w:val="24"/>
          <w:szCs w:val="24"/>
        </w:rPr>
        <w:lastRenderedPageBreak/>
        <w:t xml:space="preserve">por el delito de tráfico, fabricación o porte de estupefacientes (art. 376 inc. 2) bajo el verbo rector llevar consigo y no se solicitó de medida de aseguramiento. En dicha </w:t>
      </w:r>
      <w:r>
        <w:rPr>
          <w:rFonts w:ascii="Arial" w:hAnsi="Arial" w:cs="Arial"/>
          <w:sz w:val="24"/>
          <w:szCs w:val="24"/>
        </w:rPr>
        <w:t xml:space="preserve">diligencia el señor Gallego </w:t>
      </w:r>
      <w:r w:rsidR="00E76351">
        <w:rPr>
          <w:rFonts w:ascii="Arial" w:hAnsi="Arial" w:cs="Arial"/>
          <w:sz w:val="24"/>
          <w:szCs w:val="24"/>
        </w:rPr>
        <w:t>Sánchez</w:t>
      </w:r>
      <w:r>
        <w:rPr>
          <w:rFonts w:ascii="Arial" w:hAnsi="Arial" w:cs="Arial"/>
          <w:sz w:val="24"/>
          <w:szCs w:val="24"/>
        </w:rPr>
        <w:t xml:space="preserve"> </w:t>
      </w:r>
      <w:r w:rsidRPr="002E3214">
        <w:rPr>
          <w:rFonts w:ascii="Arial" w:hAnsi="Arial" w:cs="Arial"/>
          <w:sz w:val="24"/>
          <w:szCs w:val="24"/>
        </w:rPr>
        <w:t>no aceptó los cargos comunicados por la FGN.</w:t>
      </w:r>
    </w:p>
    <w:p w:rsidR="002E3214" w:rsidRDefault="002E3214" w:rsidP="009A6567">
      <w:pPr>
        <w:pStyle w:val="Prrafodelista"/>
        <w:ind w:right="-425"/>
        <w:rPr>
          <w:sz w:val="24"/>
          <w:szCs w:val="24"/>
        </w:rPr>
      </w:pPr>
    </w:p>
    <w:p w:rsidR="002E3214" w:rsidRDefault="002E3214" w:rsidP="009A6567">
      <w:pPr>
        <w:pStyle w:val="Sinespaciado"/>
        <w:numPr>
          <w:ilvl w:val="1"/>
          <w:numId w:val="17"/>
        </w:numPr>
        <w:spacing w:line="360" w:lineRule="auto"/>
        <w:ind w:right="-425"/>
        <w:jc w:val="both"/>
        <w:rPr>
          <w:rFonts w:ascii="Arial" w:hAnsi="Arial" w:cs="Arial"/>
          <w:sz w:val="24"/>
          <w:szCs w:val="24"/>
        </w:rPr>
      </w:pPr>
      <w:r w:rsidRPr="002E3214">
        <w:rPr>
          <w:rFonts w:ascii="Arial" w:hAnsi="Arial" w:cs="Arial"/>
          <w:sz w:val="24"/>
          <w:szCs w:val="24"/>
        </w:rPr>
        <w:t>El 07 de junio de 2016 la FGN presentó escrito de acusación correspondiéndole el conocimiento del asunto al Juzgado Penal del Circuito de Santa Rosa de Cabal (Risaralda), ante el cual se llevó a cabo audiencia de acusación el 11 de julio de 2016 y audiencia preparatoria  el 11 de agosto de 2016.</w:t>
      </w:r>
    </w:p>
    <w:p w:rsidR="002E3214" w:rsidRDefault="002E3214" w:rsidP="009A6567">
      <w:pPr>
        <w:pStyle w:val="Prrafodelista"/>
        <w:ind w:right="-425"/>
        <w:rPr>
          <w:sz w:val="24"/>
          <w:szCs w:val="24"/>
        </w:rPr>
      </w:pPr>
    </w:p>
    <w:p w:rsidR="002E3214" w:rsidRPr="002E3214" w:rsidRDefault="002E3214" w:rsidP="009A6567">
      <w:pPr>
        <w:pStyle w:val="Sinespaciado"/>
        <w:numPr>
          <w:ilvl w:val="1"/>
          <w:numId w:val="17"/>
        </w:numPr>
        <w:spacing w:line="360" w:lineRule="auto"/>
        <w:ind w:right="-425"/>
        <w:jc w:val="both"/>
        <w:rPr>
          <w:rFonts w:ascii="Arial" w:hAnsi="Arial" w:cs="Arial"/>
          <w:sz w:val="24"/>
          <w:szCs w:val="24"/>
        </w:rPr>
      </w:pPr>
      <w:r w:rsidRPr="002E3214">
        <w:rPr>
          <w:rFonts w:ascii="Arial" w:hAnsi="Arial" w:cs="Arial"/>
          <w:sz w:val="24"/>
          <w:szCs w:val="24"/>
        </w:rPr>
        <w:t>El juicio oral se llevó a cabo el día 13 de septiembre de 2016, diligencia en la que se emitió sentido del fallo de carácter condenatorio. El día 30 de septiembre de 2016 se dio lectura a la sentencia, decisión contra la cual no se interpuso ningún recurso, quedando legalmente ejecutoriada.</w:t>
      </w:r>
    </w:p>
    <w:p w:rsidR="002E3214" w:rsidRPr="009905FF" w:rsidRDefault="002E3214" w:rsidP="009A6567">
      <w:pPr>
        <w:spacing w:line="360" w:lineRule="auto"/>
        <w:ind w:right="-425"/>
        <w:jc w:val="both"/>
        <w:rPr>
          <w:sz w:val="24"/>
          <w:szCs w:val="24"/>
          <w:highlight w:val="green"/>
          <w:u w:val="single"/>
        </w:rPr>
      </w:pPr>
    </w:p>
    <w:p w:rsidR="004B1AE1" w:rsidRPr="009905FF" w:rsidRDefault="004B1AE1" w:rsidP="009A6567">
      <w:pPr>
        <w:pStyle w:val="Sinespaciado"/>
        <w:numPr>
          <w:ilvl w:val="0"/>
          <w:numId w:val="17"/>
        </w:numPr>
        <w:spacing w:line="360" w:lineRule="auto"/>
        <w:ind w:right="-425"/>
        <w:jc w:val="center"/>
        <w:rPr>
          <w:rFonts w:ascii="Arial" w:hAnsi="Arial" w:cs="Arial"/>
          <w:b/>
          <w:sz w:val="24"/>
          <w:szCs w:val="24"/>
        </w:rPr>
      </w:pPr>
      <w:r w:rsidRPr="009905FF">
        <w:rPr>
          <w:rFonts w:ascii="Arial" w:hAnsi="Arial" w:cs="Arial"/>
          <w:b/>
          <w:sz w:val="24"/>
          <w:szCs w:val="24"/>
        </w:rPr>
        <w:t xml:space="preserve">SOBRE </w:t>
      </w:r>
      <w:r w:rsidR="00724277" w:rsidRPr="009905FF">
        <w:rPr>
          <w:rFonts w:ascii="Arial" w:hAnsi="Arial" w:cs="Arial"/>
          <w:b/>
          <w:sz w:val="24"/>
          <w:szCs w:val="24"/>
        </w:rPr>
        <w:t>LA SUSTENTACIÓN DE LA ACCIÓ</w:t>
      </w:r>
      <w:r w:rsidR="00FB3F81" w:rsidRPr="009905FF">
        <w:rPr>
          <w:rFonts w:ascii="Arial" w:hAnsi="Arial" w:cs="Arial"/>
          <w:b/>
          <w:sz w:val="24"/>
          <w:szCs w:val="24"/>
        </w:rPr>
        <w:t>N DE REVI</w:t>
      </w:r>
      <w:r w:rsidR="00724277" w:rsidRPr="009905FF">
        <w:rPr>
          <w:rFonts w:ascii="Arial" w:hAnsi="Arial" w:cs="Arial"/>
          <w:b/>
          <w:sz w:val="24"/>
          <w:szCs w:val="24"/>
        </w:rPr>
        <w:t>SIÓ</w:t>
      </w:r>
      <w:r w:rsidR="00EF04A4" w:rsidRPr="009905FF">
        <w:rPr>
          <w:rFonts w:ascii="Arial" w:hAnsi="Arial" w:cs="Arial"/>
          <w:b/>
          <w:sz w:val="24"/>
          <w:szCs w:val="24"/>
        </w:rPr>
        <w:t>N</w:t>
      </w:r>
      <w:r w:rsidR="009A560E" w:rsidRPr="009905FF">
        <w:rPr>
          <w:rFonts w:ascii="Arial" w:hAnsi="Arial" w:cs="Arial"/>
          <w:b/>
          <w:sz w:val="24"/>
          <w:szCs w:val="24"/>
        </w:rPr>
        <w:t xml:space="preserve"> PROPUESTA</w:t>
      </w:r>
    </w:p>
    <w:p w:rsidR="00FB3F81" w:rsidRPr="009905FF" w:rsidRDefault="00FB3F81" w:rsidP="009A6567">
      <w:pPr>
        <w:pStyle w:val="Sinespaciado"/>
        <w:spacing w:line="360" w:lineRule="auto"/>
        <w:ind w:right="-425"/>
        <w:jc w:val="both"/>
        <w:rPr>
          <w:rFonts w:ascii="Arial" w:hAnsi="Arial" w:cs="Arial"/>
          <w:sz w:val="24"/>
          <w:szCs w:val="24"/>
        </w:rPr>
      </w:pPr>
    </w:p>
    <w:p w:rsidR="00FB3F81" w:rsidRPr="009905FF" w:rsidRDefault="001232B3" w:rsidP="009A6567">
      <w:pPr>
        <w:pStyle w:val="Sinespaciado"/>
        <w:spacing w:line="360" w:lineRule="auto"/>
        <w:ind w:right="-425"/>
        <w:jc w:val="both"/>
        <w:rPr>
          <w:rFonts w:ascii="Arial" w:hAnsi="Arial" w:cs="Arial"/>
          <w:sz w:val="24"/>
          <w:szCs w:val="24"/>
        </w:rPr>
      </w:pPr>
      <w:r w:rsidRPr="009905FF">
        <w:rPr>
          <w:rFonts w:ascii="Arial" w:hAnsi="Arial" w:cs="Arial"/>
          <w:sz w:val="24"/>
          <w:szCs w:val="24"/>
        </w:rPr>
        <w:t xml:space="preserve">En la audiencia adelantada el </w:t>
      </w:r>
      <w:r w:rsidR="00792DE3">
        <w:rPr>
          <w:rFonts w:ascii="Arial" w:hAnsi="Arial" w:cs="Arial"/>
          <w:sz w:val="24"/>
          <w:szCs w:val="24"/>
        </w:rPr>
        <w:t>02</w:t>
      </w:r>
      <w:r w:rsidR="00FB3F81" w:rsidRPr="009905FF">
        <w:rPr>
          <w:rFonts w:ascii="Arial" w:hAnsi="Arial" w:cs="Arial"/>
          <w:sz w:val="24"/>
          <w:szCs w:val="24"/>
        </w:rPr>
        <w:t xml:space="preserve"> de </w:t>
      </w:r>
      <w:r w:rsidR="00792DE3">
        <w:rPr>
          <w:rFonts w:ascii="Arial" w:hAnsi="Arial" w:cs="Arial"/>
          <w:sz w:val="24"/>
          <w:szCs w:val="24"/>
        </w:rPr>
        <w:t>agosto</w:t>
      </w:r>
      <w:r w:rsidRPr="009905FF">
        <w:rPr>
          <w:rFonts w:ascii="Arial" w:hAnsi="Arial" w:cs="Arial"/>
          <w:sz w:val="24"/>
          <w:szCs w:val="24"/>
        </w:rPr>
        <w:t xml:space="preserve"> de 2018</w:t>
      </w:r>
      <w:r w:rsidR="00FB3F81" w:rsidRPr="009905FF">
        <w:rPr>
          <w:rFonts w:ascii="Arial" w:hAnsi="Arial" w:cs="Arial"/>
          <w:sz w:val="24"/>
          <w:szCs w:val="24"/>
        </w:rPr>
        <w:t>, se presentaron</w:t>
      </w:r>
      <w:r w:rsidR="00172B6C" w:rsidRPr="009905FF">
        <w:rPr>
          <w:rFonts w:ascii="Arial" w:hAnsi="Arial" w:cs="Arial"/>
          <w:sz w:val="24"/>
          <w:szCs w:val="24"/>
        </w:rPr>
        <w:t xml:space="preserve"> las </w:t>
      </w:r>
      <w:r w:rsidR="00724277" w:rsidRPr="009905FF">
        <w:rPr>
          <w:rFonts w:ascii="Arial" w:hAnsi="Arial" w:cs="Arial"/>
          <w:sz w:val="24"/>
          <w:szCs w:val="24"/>
        </w:rPr>
        <w:t>siguientes intervenciones:</w:t>
      </w:r>
    </w:p>
    <w:p w:rsidR="009A560E" w:rsidRPr="009905FF" w:rsidRDefault="009A560E" w:rsidP="009A6567">
      <w:pPr>
        <w:pStyle w:val="Sinespaciado"/>
        <w:spacing w:line="360" w:lineRule="auto"/>
        <w:ind w:right="-425"/>
        <w:jc w:val="both"/>
        <w:rPr>
          <w:rFonts w:ascii="Arial" w:hAnsi="Arial" w:cs="Arial"/>
          <w:sz w:val="24"/>
          <w:szCs w:val="24"/>
        </w:rPr>
      </w:pPr>
    </w:p>
    <w:p w:rsidR="004B1AE1" w:rsidRPr="009905FF" w:rsidRDefault="00792DE3" w:rsidP="009A6567">
      <w:pPr>
        <w:pStyle w:val="Sinespaciado"/>
        <w:numPr>
          <w:ilvl w:val="1"/>
          <w:numId w:val="17"/>
        </w:numPr>
        <w:spacing w:line="360" w:lineRule="auto"/>
        <w:ind w:left="709" w:right="-425" w:hanging="709"/>
        <w:rPr>
          <w:rFonts w:ascii="Arial" w:hAnsi="Arial" w:cs="Arial"/>
          <w:sz w:val="24"/>
          <w:szCs w:val="24"/>
        </w:rPr>
      </w:pPr>
      <w:r>
        <w:rPr>
          <w:rFonts w:ascii="Arial" w:hAnsi="Arial" w:cs="Arial"/>
          <w:sz w:val="24"/>
          <w:szCs w:val="24"/>
        </w:rPr>
        <w:t xml:space="preserve">AGENTE DEL </w:t>
      </w:r>
      <w:r w:rsidR="00AE74D3">
        <w:rPr>
          <w:rFonts w:ascii="Arial" w:hAnsi="Arial" w:cs="Arial"/>
          <w:sz w:val="24"/>
          <w:szCs w:val="24"/>
        </w:rPr>
        <w:t>MINISTERIO</w:t>
      </w:r>
      <w:r>
        <w:rPr>
          <w:rFonts w:ascii="Arial" w:hAnsi="Arial" w:cs="Arial"/>
          <w:sz w:val="24"/>
          <w:szCs w:val="24"/>
        </w:rPr>
        <w:t xml:space="preserve"> PÚBLICO</w:t>
      </w:r>
      <w:r w:rsidR="00AE74D3">
        <w:rPr>
          <w:rFonts w:ascii="Arial" w:hAnsi="Arial" w:cs="Arial"/>
          <w:sz w:val="24"/>
          <w:szCs w:val="24"/>
        </w:rPr>
        <w:t xml:space="preserve"> </w:t>
      </w:r>
    </w:p>
    <w:p w:rsidR="004B1AE1" w:rsidRPr="009905FF" w:rsidRDefault="004B1AE1" w:rsidP="009A6567">
      <w:pPr>
        <w:pStyle w:val="Sinespaciado"/>
        <w:spacing w:line="360" w:lineRule="auto"/>
        <w:ind w:right="-425"/>
        <w:jc w:val="both"/>
        <w:rPr>
          <w:rFonts w:ascii="Arial" w:hAnsi="Arial" w:cs="Arial"/>
          <w:sz w:val="24"/>
          <w:szCs w:val="24"/>
        </w:rPr>
      </w:pPr>
    </w:p>
    <w:p w:rsidR="00792DE3" w:rsidRPr="00792DE3" w:rsidRDefault="006D5B17" w:rsidP="009A6567">
      <w:pPr>
        <w:numPr>
          <w:ilvl w:val="0"/>
          <w:numId w:val="27"/>
        </w:numPr>
        <w:spacing w:line="360" w:lineRule="auto"/>
        <w:ind w:right="-425"/>
        <w:jc w:val="both"/>
        <w:rPr>
          <w:sz w:val="24"/>
          <w:szCs w:val="24"/>
        </w:rPr>
      </w:pPr>
      <w:r>
        <w:rPr>
          <w:sz w:val="24"/>
          <w:szCs w:val="24"/>
        </w:rPr>
        <w:t>Hizo referencia a qu</w:t>
      </w:r>
      <w:r w:rsidR="004D3C95">
        <w:rPr>
          <w:sz w:val="24"/>
          <w:szCs w:val="24"/>
        </w:rPr>
        <w:t xml:space="preserve">e </w:t>
      </w:r>
      <w:r w:rsidR="00762273">
        <w:rPr>
          <w:sz w:val="24"/>
          <w:szCs w:val="24"/>
        </w:rPr>
        <w:t>Hernando Antonio Gallego Sánchez</w:t>
      </w:r>
      <w:r w:rsidR="00792DE3" w:rsidRPr="00792DE3">
        <w:rPr>
          <w:sz w:val="24"/>
          <w:szCs w:val="24"/>
        </w:rPr>
        <w:t xml:space="preserve"> fue condenado por el Juzgado </w:t>
      </w:r>
      <w:r w:rsidR="00762273">
        <w:rPr>
          <w:sz w:val="24"/>
          <w:szCs w:val="24"/>
        </w:rPr>
        <w:t>Penal del Circuito de Santa Rosa de Cabal</w:t>
      </w:r>
      <w:r>
        <w:rPr>
          <w:sz w:val="24"/>
          <w:szCs w:val="24"/>
        </w:rPr>
        <w:t>,</w:t>
      </w:r>
      <w:r w:rsidR="00792DE3" w:rsidRPr="00792DE3">
        <w:rPr>
          <w:sz w:val="24"/>
          <w:szCs w:val="24"/>
        </w:rPr>
        <w:t xml:space="preserve"> </w:t>
      </w:r>
      <w:r w:rsidR="00762273">
        <w:rPr>
          <w:sz w:val="24"/>
          <w:szCs w:val="24"/>
        </w:rPr>
        <w:t>luego de que fuera capturado en ese municipio por habérsele encontrado 6.3 gramos de cocaína</w:t>
      </w:r>
      <w:r w:rsidR="00792DE3" w:rsidRPr="00792DE3">
        <w:rPr>
          <w:sz w:val="24"/>
          <w:szCs w:val="24"/>
        </w:rPr>
        <w:t>.</w:t>
      </w:r>
      <w:r>
        <w:rPr>
          <w:sz w:val="24"/>
          <w:szCs w:val="24"/>
        </w:rPr>
        <w:t xml:space="preserve"> </w:t>
      </w:r>
      <w:r w:rsidR="00A34466">
        <w:rPr>
          <w:sz w:val="24"/>
          <w:szCs w:val="24"/>
        </w:rPr>
        <w:t>Indicó que en dicha oportunidad s</w:t>
      </w:r>
      <w:r w:rsidRPr="006D5B17">
        <w:rPr>
          <w:sz w:val="24"/>
          <w:szCs w:val="24"/>
        </w:rPr>
        <w:t xml:space="preserve">e descartó la idea de distribución y </w:t>
      </w:r>
      <w:r w:rsidR="00A34466">
        <w:rPr>
          <w:sz w:val="24"/>
          <w:szCs w:val="24"/>
        </w:rPr>
        <w:t xml:space="preserve">ni </w:t>
      </w:r>
      <w:r w:rsidRPr="006D5B17">
        <w:rPr>
          <w:sz w:val="24"/>
          <w:szCs w:val="24"/>
        </w:rPr>
        <w:t xml:space="preserve">siquiera indiciariamente se manifestó la posibilidad de que esta persona estuviera </w:t>
      </w:r>
      <w:r w:rsidR="004D3C95">
        <w:rPr>
          <w:sz w:val="24"/>
          <w:szCs w:val="24"/>
        </w:rPr>
        <w:t>involucrado en tal</w:t>
      </w:r>
      <w:r w:rsidRPr="006D5B17">
        <w:rPr>
          <w:sz w:val="24"/>
          <w:szCs w:val="24"/>
        </w:rPr>
        <w:t xml:space="preserve"> actividad, </w:t>
      </w:r>
      <w:r w:rsidR="004D3C95">
        <w:rPr>
          <w:sz w:val="24"/>
          <w:szCs w:val="24"/>
        </w:rPr>
        <w:t xml:space="preserve">pues </w:t>
      </w:r>
      <w:r w:rsidRPr="006D5B17">
        <w:rPr>
          <w:sz w:val="24"/>
          <w:szCs w:val="24"/>
        </w:rPr>
        <w:t>se conoció del caso en virtud de una requisa espontánea que efectú</w:t>
      </w:r>
      <w:r>
        <w:rPr>
          <w:sz w:val="24"/>
          <w:szCs w:val="24"/>
        </w:rPr>
        <w:t>o la P</w:t>
      </w:r>
      <w:r w:rsidRPr="006D5B17">
        <w:rPr>
          <w:sz w:val="24"/>
          <w:szCs w:val="24"/>
        </w:rPr>
        <w:t>oli</w:t>
      </w:r>
      <w:r>
        <w:rPr>
          <w:sz w:val="24"/>
          <w:szCs w:val="24"/>
        </w:rPr>
        <w:t>cía N</w:t>
      </w:r>
      <w:r w:rsidRPr="006D5B17">
        <w:rPr>
          <w:sz w:val="24"/>
          <w:szCs w:val="24"/>
        </w:rPr>
        <w:t>acional.</w:t>
      </w:r>
    </w:p>
    <w:p w:rsidR="009D7F0A" w:rsidRPr="009905FF" w:rsidRDefault="009D7F0A" w:rsidP="009A6567">
      <w:pPr>
        <w:spacing w:line="360" w:lineRule="auto"/>
        <w:ind w:left="720" w:right="-425"/>
        <w:jc w:val="both"/>
        <w:rPr>
          <w:sz w:val="24"/>
          <w:szCs w:val="24"/>
        </w:rPr>
      </w:pPr>
    </w:p>
    <w:p w:rsidR="00A34466" w:rsidRPr="00A34466" w:rsidRDefault="00A34466" w:rsidP="009A6567">
      <w:pPr>
        <w:numPr>
          <w:ilvl w:val="0"/>
          <w:numId w:val="27"/>
        </w:numPr>
        <w:spacing w:line="360" w:lineRule="auto"/>
        <w:ind w:right="-425"/>
        <w:jc w:val="both"/>
        <w:rPr>
          <w:sz w:val="24"/>
          <w:szCs w:val="24"/>
        </w:rPr>
      </w:pPr>
      <w:r w:rsidRPr="00A34466">
        <w:rPr>
          <w:sz w:val="24"/>
          <w:szCs w:val="24"/>
        </w:rPr>
        <w:t>La providencia aludida se emitió antes de la SP44997-2</w:t>
      </w:r>
      <w:r>
        <w:rPr>
          <w:sz w:val="24"/>
          <w:szCs w:val="24"/>
        </w:rPr>
        <w:t>017 de la SP CSJ, en la cual se cambió radicalmente la postura</w:t>
      </w:r>
      <w:r w:rsidRPr="00A34466">
        <w:rPr>
          <w:sz w:val="24"/>
          <w:szCs w:val="24"/>
        </w:rPr>
        <w:t xml:space="preserve"> sobre la interpretación del artículo 376 del C.P</w:t>
      </w:r>
      <w:r>
        <w:rPr>
          <w:sz w:val="24"/>
          <w:szCs w:val="24"/>
        </w:rPr>
        <w:t>., bajo el entendido de que</w:t>
      </w:r>
      <w:r w:rsidRPr="00A34466">
        <w:rPr>
          <w:sz w:val="24"/>
          <w:szCs w:val="24"/>
        </w:rPr>
        <w:t xml:space="preserve"> cuando se trata de llevar consigo estupefacientes existe un elemento subjetivo tácito que tiene que ser probado por la Fiscalía</w:t>
      </w:r>
      <w:r>
        <w:rPr>
          <w:sz w:val="24"/>
          <w:szCs w:val="24"/>
        </w:rPr>
        <w:t xml:space="preserve">, esto es, </w:t>
      </w:r>
      <w:r w:rsidRPr="00A34466">
        <w:rPr>
          <w:sz w:val="24"/>
          <w:szCs w:val="24"/>
        </w:rPr>
        <w:t>el ánimo de distribución o comercialización de droga</w:t>
      </w:r>
      <w:r w:rsidR="004D3C95">
        <w:rPr>
          <w:sz w:val="24"/>
          <w:szCs w:val="24"/>
        </w:rPr>
        <w:t>,</w:t>
      </w:r>
      <w:r w:rsidR="00066981">
        <w:rPr>
          <w:sz w:val="24"/>
          <w:szCs w:val="24"/>
        </w:rPr>
        <w:t xml:space="preserve"> el</w:t>
      </w:r>
      <w:r w:rsidRPr="00A34466">
        <w:rPr>
          <w:sz w:val="24"/>
          <w:szCs w:val="24"/>
        </w:rPr>
        <w:t xml:space="preserve"> cual no se </w:t>
      </w:r>
      <w:r w:rsidR="00066981">
        <w:rPr>
          <w:sz w:val="24"/>
          <w:szCs w:val="24"/>
        </w:rPr>
        <w:t>evidenciaba</w:t>
      </w:r>
      <w:r w:rsidRPr="00A34466">
        <w:rPr>
          <w:sz w:val="24"/>
          <w:szCs w:val="24"/>
        </w:rPr>
        <w:t xml:space="preserve"> en este asunto</w:t>
      </w:r>
      <w:r>
        <w:rPr>
          <w:sz w:val="24"/>
          <w:szCs w:val="24"/>
        </w:rPr>
        <w:t xml:space="preserve"> y por tanto </w:t>
      </w:r>
      <w:r w:rsidRPr="00A34466">
        <w:rPr>
          <w:sz w:val="24"/>
          <w:szCs w:val="24"/>
        </w:rPr>
        <w:t xml:space="preserve">afirmó que si en el momento </w:t>
      </w:r>
      <w:r w:rsidRPr="00A34466">
        <w:rPr>
          <w:sz w:val="24"/>
          <w:szCs w:val="24"/>
        </w:rPr>
        <w:lastRenderedPageBreak/>
        <w:t xml:space="preserve">de dictarse la sentencia se hubiera conocido la postura de la Corte, el fallo hubiera sido absolutorio. </w:t>
      </w:r>
    </w:p>
    <w:p w:rsidR="009D7F0A" w:rsidRPr="009905FF" w:rsidRDefault="009D7F0A" w:rsidP="009A6567">
      <w:pPr>
        <w:spacing w:line="360" w:lineRule="auto"/>
        <w:ind w:right="-425"/>
        <w:jc w:val="both"/>
        <w:rPr>
          <w:sz w:val="24"/>
          <w:szCs w:val="24"/>
        </w:rPr>
      </w:pPr>
    </w:p>
    <w:p w:rsidR="00B16F04" w:rsidRDefault="00B16F04" w:rsidP="009A6567">
      <w:pPr>
        <w:numPr>
          <w:ilvl w:val="0"/>
          <w:numId w:val="27"/>
        </w:numPr>
        <w:spacing w:line="360" w:lineRule="auto"/>
        <w:ind w:right="-425"/>
        <w:jc w:val="both"/>
        <w:rPr>
          <w:color w:val="000000"/>
          <w:sz w:val="24"/>
          <w:szCs w:val="24"/>
          <w:lang w:eastAsia="en-US"/>
        </w:rPr>
      </w:pPr>
      <w:r w:rsidRPr="00B16F04">
        <w:rPr>
          <w:color w:val="000000"/>
          <w:sz w:val="24"/>
          <w:szCs w:val="24"/>
          <w:lang w:eastAsia="en-US"/>
        </w:rPr>
        <w:t>Señaló que el argumento principal de la CSJ para cambiar su precedente, fue la reinterpretación del Acto Legislativo 02 del 2009 en el sentido de que los adictos no podían ser tratados como delincuentes y que en todo caso -aun cuando se excediera la dosis personal de manera razonable- era menester que la Fiscalía acreditara el elemento subjetivo tácito</w:t>
      </w:r>
      <w:r>
        <w:rPr>
          <w:color w:val="000000"/>
          <w:sz w:val="24"/>
          <w:szCs w:val="24"/>
          <w:lang w:eastAsia="en-US"/>
        </w:rPr>
        <w:t>.</w:t>
      </w:r>
    </w:p>
    <w:p w:rsidR="00B16F04" w:rsidRDefault="00B16F04" w:rsidP="009A6567">
      <w:pPr>
        <w:pStyle w:val="Prrafodelista"/>
        <w:ind w:right="-425"/>
        <w:rPr>
          <w:color w:val="000000"/>
          <w:sz w:val="24"/>
          <w:szCs w:val="24"/>
          <w:lang w:eastAsia="en-US"/>
        </w:rPr>
      </w:pPr>
    </w:p>
    <w:p w:rsidR="0042616E" w:rsidRDefault="00B16F04" w:rsidP="009A6567">
      <w:pPr>
        <w:numPr>
          <w:ilvl w:val="0"/>
          <w:numId w:val="27"/>
        </w:numPr>
        <w:spacing w:line="360" w:lineRule="auto"/>
        <w:ind w:right="-425"/>
        <w:jc w:val="both"/>
        <w:rPr>
          <w:color w:val="000000"/>
          <w:sz w:val="24"/>
          <w:szCs w:val="24"/>
          <w:lang w:eastAsia="en-US"/>
        </w:rPr>
      </w:pPr>
      <w:r w:rsidRPr="00B16F04">
        <w:rPr>
          <w:color w:val="000000"/>
          <w:sz w:val="24"/>
          <w:szCs w:val="24"/>
          <w:lang w:eastAsia="en-US"/>
        </w:rPr>
        <w:t>Adicionalmente, trajo a colación la Convención de las Naciones Unidas contra el tráfico ilícito de sustancias psicotrópicas del año 88 que fuera considerada por la C.Co en la sentencia C-676 de 1994 y por la C.S.J en la sentencia 41760 del 2016, por medio de las cuales se comenzó a generar la diferenciación entre llevar consigo y comercializar; hablando así en el segundo caso de narcotráfico y en el primero</w:t>
      </w:r>
      <w:r w:rsidR="004D3C95">
        <w:rPr>
          <w:color w:val="000000"/>
          <w:sz w:val="24"/>
          <w:szCs w:val="24"/>
          <w:lang w:eastAsia="en-US"/>
        </w:rPr>
        <w:t>,</w:t>
      </w:r>
      <w:r w:rsidRPr="00B16F04">
        <w:rPr>
          <w:color w:val="000000"/>
          <w:sz w:val="24"/>
          <w:szCs w:val="24"/>
          <w:lang w:eastAsia="en-US"/>
        </w:rPr>
        <w:t xml:space="preserve"> de un problema de salud pública como lo era la adicción a sustancias estupefacientes. </w:t>
      </w:r>
    </w:p>
    <w:p w:rsidR="0042616E" w:rsidRDefault="0042616E" w:rsidP="009A6567">
      <w:pPr>
        <w:pStyle w:val="Prrafodelista"/>
        <w:ind w:right="-425"/>
        <w:rPr>
          <w:color w:val="000000"/>
          <w:sz w:val="24"/>
          <w:szCs w:val="24"/>
          <w:lang w:eastAsia="en-US"/>
        </w:rPr>
      </w:pPr>
    </w:p>
    <w:p w:rsidR="00B16F04" w:rsidRDefault="0042616E" w:rsidP="009A6567">
      <w:pPr>
        <w:numPr>
          <w:ilvl w:val="0"/>
          <w:numId w:val="27"/>
        </w:numPr>
        <w:spacing w:line="360" w:lineRule="auto"/>
        <w:ind w:right="-425"/>
        <w:jc w:val="both"/>
        <w:rPr>
          <w:color w:val="000000"/>
          <w:sz w:val="24"/>
          <w:szCs w:val="24"/>
          <w:lang w:eastAsia="en-US"/>
        </w:rPr>
      </w:pPr>
      <w:r>
        <w:rPr>
          <w:color w:val="000000"/>
          <w:sz w:val="24"/>
          <w:szCs w:val="24"/>
          <w:lang w:eastAsia="en-US"/>
        </w:rPr>
        <w:t>Resaltó que l</w:t>
      </w:r>
      <w:r w:rsidR="00B16F04" w:rsidRPr="00B16F04">
        <w:rPr>
          <w:color w:val="000000"/>
          <w:sz w:val="24"/>
          <w:szCs w:val="24"/>
          <w:lang w:eastAsia="en-US"/>
        </w:rPr>
        <w:t>a C.S.J. venía variando su línea jurisprudencial por medio de las sentencias 41760, 43512 y 43725, considerando la comercialización como elemento importante en la conducta; pero solamente hasta el 11 de julio de 2017 en la sentencia 44997 la C</w:t>
      </w:r>
      <w:r w:rsidR="004D3C95">
        <w:rPr>
          <w:color w:val="000000"/>
          <w:sz w:val="24"/>
          <w:szCs w:val="24"/>
          <w:lang w:eastAsia="en-US"/>
        </w:rPr>
        <w:t>.S.J.</w:t>
      </w:r>
      <w:r w:rsidR="00B16F04" w:rsidRPr="00B16F04">
        <w:rPr>
          <w:color w:val="000000"/>
          <w:sz w:val="24"/>
          <w:szCs w:val="24"/>
          <w:lang w:eastAsia="en-US"/>
        </w:rPr>
        <w:t xml:space="preserve"> expresamente habló del elemento subjetivo tácito y empezó a emitir sentencias absolutorias, incluso en casos con dosis mucho más altas que la del </w:t>
      </w:r>
      <w:r>
        <w:rPr>
          <w:color w:val="000000"/>
          <w:sz w:val="24"/>
          <w:szCs w:val="24"/>
          <w:lang w:eastAsia="en-US"/>
        </w:rPr>
        <w:t>caso objeto de estudio</w:t>
      </w:r>
      <w:r w:rsidR="00B16F04" w:rsidRPr="00B16F04">
        <w:rPr>
          <w:color w:val="000000"/>
          <w:sz w:val="24"/>
          <w:szCs w:val="24"/>
          <w:lang w:eastAsia="en-US"/>
        </w:rPr>
        <w:t xml:space="preserve">. </w:t>
      </w:r>
    </w:p>
    <w:p w:rsidR="00D643B6" w:rsidRDefault="00D643B6" w:rsidP="009A6567">
      <w:pPr>
        <w:pStyle w:val="Prrafodelista"/>
        <w:ind w:right="-425"/>
        <w:rPr>
          <w:color w:val="000000"/>
          <w:sz w:val="24"/>
          <w:szCs w:val="24"/>
          <w:lang w:eastAsia="en-US"/>
        </w:rPr>
      </w:pPr>
    </w:p>
    <w:p w:rsidR="00D643B6" w:rsidRPr="00D643B6" w:rsidRDefault="00D643B6" w:rsidP="009A6567">
      <w:pPr>
        <w:numPr>
          <w:ilvl w:val="0"/>
          <w:numId w:val="27"/>
        </w:numPr>
        <w:spacing w:line="360" w:lineRule="auto"/>
        <w:ind w:right="-425"/>
        <w:jc w:val="both"/>
        <w:rPr>
          <w:color w:val="000000"/>
          <w:sz w:val="24"/>
          <w:szCs w:val="24"/>
          <w:lang w:eastAsia="en-US"/>
        </w:rPr>
      </w:pPr>
      <w:r w:rsidRPr="00D643B6">
        <w:rPr>
          <w:color w:val="000000"/>
          <w:sz w:val="24"/>
          <w:szCs w:val="24"/>
          <w:lang w:eastAsia="en-US"/>
        </w:rPr>
        <w:t>Indicó que la tesis anterior, fue ratificada en el año 2018 mediante las sentencias proferidas dentro</w:t>
      </w:r>
      <w:r>
        <w:rPr>
          <w:color w:val="000000"/>
          <w:sz w:val="24"/>
          <w:szCs w:val="24"/>
          <w:lang w:eastAsia="en-US"/>
        </w:rPr>
        <w:t xml:space="preserve"> de los radicados 50512 y 46848;</w:t>
      </w:r>
      <w:r w:rsidRPr="00D643B6">
        <w:rPr>
          <w:color w:val="000000"/>
          <w:sz w:val="24"/>
          <w:szCs w:val="24"/>
          <w:lang w:eastAsia="en-US"/>
        </w:rPr>
        <w:t xml:space="preserve"> lo cual denota</w:t>
      </w:r>
      <w:r>
        <w:rPr>
          <w:color w:val="000000"/>
          <w:sz w:val="24"/>
          <w:szCs w:val="24"/>
          <w:lang w:eastAsia="en-US"/>
        </w:rPr>
        <w:t>ba una línea pacifica que podía considerarse precedente y era</w:t>
      </w:r>
      <w:r w:rsidRPr="00D643B6">
        <w:rPr>
          <w:color w:val="000000"/>
          <w:sz w:val="24"/>
          <w:szCs w:val="24"/>
          <w:lang w:eastAsia="en-US"/>
        </w:rPr>
        <w:t xml:space="preserve"> completamente análoga a los eventos fácticos del caso en cuestión.</w:t>
      </w:r>
    </w:p>
    <w:p w:rsidR="00D643B6" w:rsidRPr="00D643B6" w:rsidRDefault="00D643B6" w:rsidP="009A6567">
      <w:pPr>
        <w:numPr>
          <w:ilvl w:val="0"/>
          <w:numId w:val="27"/>
        </w:numPr>
        <w:spacing w:line="360" w:lineRule="auto"/>
        <w:ind w:right="-425"/>
        <w:jc w:val="both"/>
        <w:rPr>
          <w:color w:val="000000"/>
          <w:sz w:val="24"/>
          <w:szCs w:val="24"/>
          <w:lang w:eastAsia="en-US"/>
        </w:rPr>
      </w:pPr>
      <w:r w:rsidRPr="00D643B6">
        <w:rPr>
          <w:color w:val="000000"/>
          <w:sz w:val="24"/>
          <w:szCs w:val="24"/>
          <w:lang w:eastAsia="en-US"/>
        </w:rPr>
        <w:t>Concluyó que atendiendo al cambio de jurisprudencia solicitaba que se revisara el fallo proferido, para aplicar la nueva postura y así infirmar la sentencia condenatoria emitiendo para el efecto fallo de reemplazo.</w:t>
      </w:r>
    </w:p>
    <w:p w:rsidR="00EC127F" w:rsidRPr="009905FF" w:rsidRDefault="00EC127F" w:rsidP="009A6567">
      <w:pPr>
        <w:pStyle w:val="Sinespaciado"/>
        <w:spacing w:line="360" w:lineRule="auto"/>
        <w:ind w:right="-425"/>
        <w:jc w:val="both"/>
        <w:rPr>
          <w:rFonts w:ascii="Arial" w:hAnsi="Arial" w:cs="Arial"/>
          <w:sz w:val="24"/>
          <w:szCs w:val="24"/>
        </w:rPr>
      </w:pPr>
    </w:p>
    <w:p w:rsidR="004B1AE1" w:rsidRPr="009905FF" w:rsidRDefault="000532EE" w:rsidP="009A6567">
      <w:pPr>
        <w:pStyle w:val="Sinespaciado"/>
        <w:numPr>
          <w:ilvl w:val="1"/>
          <w:numId w:val="17"/>
        </w:numPr>
        <w:spacing w:line="360" w:lineRule="auto"/>
        <w:ind w:left="709" w:right="-425" w:hanging="709"/>
        <w:jc w:val="both"/>
        <w:rPr>
          <w:rFonts w:ascii="Arial" w:hAnsi="Arial" w:cs="Arial"/>
          <w:sz w:val="24"/>
          <w:szCs w:val="24"/>
        </w:rPr>
      </w:pPr>
      <w:r w:rsidRPr="009905FF">
        <w:rPr>
          <w:rFonts w:ascii="Arial" w:hAnsi="Arial" w:cs="Arial"/>
          <w:sz w:val="24"/>
          <w:szCs w:val="24"/>
        </w:rPr>
        <w:t xml:space="preserve">DELEGADO DE LA F.G.N </w:t>
      </w:r>
    </w:p>
    <w:p w:rsidR="00837E39" w:rsidRPr="009905FF" w:rsidRDefault="00837E39" w:rsidP="009A6567">
      <w:pPr>
        <w:pStyle w:val="Sinespaciado"/>
        <w:spacing w:line="360" w:lineRule="auto"/>
        <w:ind w:right="-425"/>
        <w:jc w:val="both"/>
        <w:rPr>
          <w:rFonts w:ascii="Arial" w:hAnsi="Arial" w:cs="Arial"/>
          <w:sz w:val="24"/>
          <w:szCs w:val="24"/>
        </w:rPr>
      </w:pPr>
    </w:p>
    <w:p w:rsidR="00EC127F" w:rsidRDefault="00D06D7D" w:rsidP="009A6567">
      <w:pPr>
        <w:pStyle w:val="Sinespaciado"/>
        <w:numPr>
          <w:ilvl w:val="0"/>
          <w:numId w:val="28"/>
        </w:numPr>
        <w:spacing w:line="360" w:lineRule="auto"/>
        <w:ind w:right="-425"/>
        <w:jc w:val="both"/>
        <w:rPr>
          <w:rFonts w:ascii="Arial" w:hAnsi="Arial" w:cs="Arial"/>
          <w:sz w:val="24"/>
          <w:szCs w:val="24"/>
        </w:rPr>
      </w:pPr>
      <w:r w:rsidRPr="00D06D7D">
        <w:rPr>
          <w:rFonts w:ascii="Arial" w:hAnsi="Arial" w:cs="Arial"/>
          <w:sz w:val="24"/>
          <w:szCs w:val="24"/>
        </w:rPr>
        <w:t>Retomó los conceptos emitidos con anterioridad, indicando que la solicitud de la Procuraduría resultaba de recibo para la Fiscalía puesto que agotaba los presupuestos de orden formal y sustancial, dejando en consideración de la Sala la decisión de reemplazo.</w:t>
      </w:r>
    </w:p>
    <w:p w:rsidR="00F74388" w:rsidRDefault="00F74388" w:rsidP="009A6567">
      <w:pPr>
        <w:pStyle w:val="Sinespaciado"/>
        <w:spacing w:line="360" w:lineRule="auto"/>
        <w:ind w:left="720" w:right="-425"/>
        <w:jc w:val="both"/>
        <w:rPr>
          <w:rFonts w:ascii="Arial" w:hAnsi="Arial" w:cs="Arial"/>
          <w:sz w:val="24"/>
          <w:szCs w:val="24"/>
        </w:rPr>
      </w:pPr>
    </w:p>
    <w:p w:rsidR="00D06D7D" w:rsidRDefault="00D06D7D" w:rsidP="009A6567">
      <w:pPr>
        <w:pStyle w:val="Sinespaciado"/>
        <w:numPr>
          <w:ilvl w:val="0"/>
          <w:numId w:val="28"/>
        </w:numPr>
        <w:spacing w:line="360" w:lineRule="auto"/>
        <w:ind w:right="-425"/>
        <w:jc w:val="both"/>
        <w:rPr>
          <w:rFonts w:ascii="Arial" w:hAnsi="Arial" w:cs="Arial"/>
          <w:sz w:val="24"/>
          <w:szCs w:val="24"/>
        </w:rPr>
      </w:pPr>
      <w:r w:rsidRPr="00D06D7D">
        <w:rPr>
          <w:rFonts w:ascii="Arial" w:hAnsi="Arial" w:cs="Arial"/>
          <w:sz w:val="24"/>
          <w:szCs w:val="24"/>
        </w:rPr>
        <w:t>Reconoció que no era manifiestamente ostensible que la cantidad llevada consigo por parte del condenado permitiera suponer que la sustancia incautada tuviera como destino el tráfico de estupefacientes; por lo tanto advirtió la presencia de un hito jurisprudencial con respecto al elemento subjetivo tácito como elemento estructural del punible del artículo 376 del C.P.</w:t>
      </w:r>
    </w:p>
    <w:p w:rsidR="00F74388" w:rsidRDefault="00F74388" w:rsidP="009A6567">
      <w:pPr>
        <w:pStyle w:val="Sinespaciado"/>
        <w:spacing w:line="360" w:lineRule="auto"/>
        <w:ind w:right="-425"/>
        <w:jc w:val="both"/>
        <w:rPr>
          <w:rFonts w:ascii="Arial" w:hAnsi="Arial" w:cs="Arial"/>
          <w:sz w:val="24"/>
          <w:szCs w:val="24"/>
        </w:rPr>
      </w:pPr>
    </w:p>
    <w:p w:rsidR="00D06D7D" w:rsidRDefault="00F74388" w:rsidP="009A6567">
      <w:pPr>
        <w:pStyle w:val="Sinespaciado"/>
        <w:numPr>
          <w:ilvl w:val="0"/>
          <w:numId w:val="28"/>
        </w:numPr>
        <w:spacing w:line="360" w:lineRule="auto"/>
        <w:ind w:right="-425"/>
        <w:jc w:val="both"/>
        <w:rPr>
          <w:rFonts w:ascii="Arial" w:hAnsi="Arial" w:cs="Arial"/>
          <w:sz w:val="24"/>
          <w:szCs w:val="24"/>
        </w:rPr>
      </w:pPr>
      <w:r w:rsidRPr="00F74388">
        <w:rPr>
          <w:rFonts w:ascii="Arial" w:hAnsi="Arial" w:cs="Arial"/>
          <w:sz w:val="24"/>
          <w:szCs w:val="24"/>
        </w:rPr>
        <w:t>Resaltó que con posterioridad a la providencia de la que se solicita su revisión, se profirieron por la C.S.J. las sentencias dentro de los radicados 44997, 48648 y 50512; construyendo así un nuevo modelo probatorio conforme a los cánones del derecho internacional, del derecho convencional y las posturas de la C.Co</w:t>
      </w:r>
      <w:r>
        <w:rPr>
          <w:rFonts w:ascii="Arial" w:hAnsi="Arial" w:cs="Arial"/>
          <w:sz w:val="24"/>
          <w:szCs w:val="24"/>
        </w:rPr>
        <w:t>.</w:t>
      </w:r>
    </w:p>
    <w:p w:rsidR="00F74388" w:rsidRPr="009905FF" w:rsidRDefault="00F74388" w:rsidP="009A6567">
      <w:pPr>
        <w:pStyle w:val="Sinespaciado"/>
        <w:spacing w:line="360" w:lineRule="auto"/>
        <w:ind w:left="360" w:right="-425"/>
        <w:jc w:val="both"/>
        <w:rPr>
          <w:rFonts w:ascii="Arial" w:hAnsi="Arial" w:cs="Arial"/>
          <w:sz w:val="24"/>
          <w:szCs w:val="24"/>
        </w:rPr>
      </w:pPr>
    </w:p>
    <w:p w:rsidR="004A0285" w:rsidRDefault="00F74388" w:rsidP="009A6567">
      <w:pPr>
        <w:pStyle w:val="Sinespaciado"/>
        <w:numPr>
          <w:ilvl w:val="1"/>
          <w:numId w:val="17"/>
        </w:numPr>
        <w:spacing w:line="360" w:lineRule="auto"/>
        <w:ind w:left="709" w:right="-425" w:hanging="709"/>
        <w:jc w:val="both"/>
        <w:rPr>
          <w:rFonts w:ascii="Arial" w:hAnsi="Arial" w:cs="Arial"/>
          <w:sz w:val="24"/>
          <w:szCs w:val="24"/>
        </w:rPr>
      </w:pPr>
      <w:r>
        <w:rPr>
          <w:rFonts w:ascii="Arial" w:hAnsi="Arial" w:cs="Arial"/>
          <w:sz w:val="24"/>
          <w:szCs w:val="24"/>
        </w:rPr>
        <w:t>DEFENSOR</w:t>
      </w:r>
      <w:r w:rsidR="00762273">
        <w:rPr>
          <w:rFonts w:ascii="Arial" w:hAnsi="Arial" w:cs="Arial"/>
          <w:sz w:val="24"/>
          <w:szCs w:val="24"/>
        </w:rPr>
        <w:t>A, coady</w:t>
      </w:r>
      <w:r w:rsidR="00D77BF1">
        <w:rPr>
          <w:rFonts w:ascii="Arial" w:hAnsi="Arial" w:cs="Arial"/>
          <w:sz w:val="24"/>
          <w:szCs w:val="24"/>
        </w:rPr>
        <w:t>uvó lo expuesto en la misma audiencia (acumulada) por el defensor del señor Jhon Fredy Gómez que tenía un objeto similar, así:</w:t>
      </w:r>
    </w:p>
    <w:p w:rsidR="00A70212" w:rsidRPr="00F74388" w:rsidRDefault="00A70212" w:rsidP="009A6567">
      <w:pPr>
        <w:pStyle w:val="Sinespaciado"/>
        <w:spacing w:line="360" w:lineRule="auto"/>
        <w:ind w:left="709" w:right="-425"/>
        <w:jc w:val="both"/>
        <w:rPr>
          <w:rFonts w:ascii="Arial" w:hAnsi="Arial" w:cs="Arial"/>
          <w:sz w:val="24"/>
          <w:szCs w:val="24"/>
        </w:rPr>
      </w:pPr>
    </w:p>
    <w:p w:rsidR="002A6CA0" w:rsidRDefault="00762273" w:rsidP="009A6567">
      <w:pPr>
        <w:pStyle w:val="Sinespaciado"/>
        <w:numPr>
          <w:ilvl w:val="0"/>
          <w:numId w:val="29"/>
        </w:numPr>
        <w:spacing w:line="360" w:lineRule="auto"/>
        <w:ind w:right="-425"/>
        <w:jc w:val="both"/>
        <w:rPr>
          <w:rFonts w:ascii="Arial" w:hAnsi="Arial" w:cs="Arial"/>
          <w:sz w:val="24"/>
          <w:szCs w:val="24"/>
        </w:rPr>
      </w:pPr>
      <w:r>
        <w:rPr>
          <w:rFonts w:ascii="Arial" w:hAnsi="Arial" w:cs="Arial"/>
          <w:sz w:val="24"/>
          <w:szCs w:val="24"/>
        </w:rPr>
        <w:t>Que</w:t>
      </w:r>
      <w:r w:rsidR="00F74388" w:rsidRPr="00F74388">
        <w:rPr>
          <w:rFonts w:ascii="Arial" w:hAnsi="Arial" w:cs="Arial"/>
          <w:sz w:val="24"/>
          <w:szCs w:val="24"/>
        </w:rPr>
        <w:t xml:space="preserve"> se despachara favorablemente la pretensión de la Procuraduría General de la Nación, esto es, que se dejara sin efecto la sentencia condenatoria dictada por el Juzgado Penal del Circuito </w:t>
      </w:r>
      <w:r>
        <w:rPr>
          <w:rFonts w:ascii="Arial" w:hAnsi="Arial" w:cs="Arial"/>
          <w:sz w:val="24"/>
          <w:szCs w:val="24"/>
        </w:rPr>
        <w:t>de Santa Rosa de Cabal en contra del señor Hernando Antonio Gallego Sánchez</w:t>
      </w:r>
      <w:r w:rsidR="00A70212">
        <w:rPr>
          <w:rFonts w:ascii="Arial" w:hAnsi="Arial" w:cs="Arial"/>
          <w:sz w:val="24"/>
          <w:szCs w:val="24"/>
        </w:rPr>
        <w:t xml:space="preserve"> y </w:t>
      </w:r>
      <w:r w:rsidR="00F74388" w:rsidRPr="00F74388">
        <w:rPr>
          <w:rFonts w:ascii="Arial" w:hAnsi="Arial" w:cs="Arial"/>
          <w:sz w:val="24"/>
          <w:szCs w:val="24"/>
        </w:rPr>
        <w:t>en reemplazo se dictara un fallo de carácter absolutorio</w:t>
      </w:r>
      <w:r w:rsidR="00A70212">
        <w:rPr>
          <w:rFonts w:ascii="Arial" w:hAnsi="Arial" w:cs="Arial"/>
          <w:sz w:val="24"/>
          <w:szCs w:val="24"/>
        </w:rPr>
        <w:t>.</w:t>
      </w:r>
    </w:p>
    <w:p w:rsidR="00A70212" w:rsidRDefault="00A70212" w:rsidP="009A6567">
      <w:pPr>
        <w:pStyle w:val="Sinespaciado"/>
        <w:spacing w:line="360" w:lineRule="auto"/>
        <w:ind w:left="720" w:right="-425"/>
        <w:jc w:val="both"/>
        <w:rPr>
          <w:rFonts w:ascii="Arial" w:hAnsi="Arial" w:cs="Arial"/>
          <w:sz w:val="24"/>
          <w:szCs w:val="24"/>
        </w:rPr>
      </w:pPr>
    </w:p>
    <w:p w:rsidR="00A70212" w:rsidRDefault="00A70212" w:rsidP="009A6567">
      <w:pPr>
        <w:pStyle w:val="Sinespaciado"/>
        <w:numPr>
          <w:ilvl w:val="0"/>
          <w:numId w:val="29"/>
        </w:numPr>
        <w:spacing w:line="360" w:lineRule="auto"/>
        <w:ind w:right="-425"/>
        <w:jc w:val="both"/>
        <w:rPr>
          <w:rFonts w:ascii="Arial" w:hAnsi="Arial" w:cs="Arial"/>
          <w:sz w:val="24"/>
          <w:szCs w:val="24"/>
        </w:rPr>
      </w:pPr>
      <w:r w:rsidRPr="00A70212">
        <w:rPr>
          <w:rFonts w:ascii="Arial" w:hAnsi="Arial" w:cs="Arial"/>
          <w:sz w:val="24"/>
          <w:szCs w:val="24"/>
        </w:rPr>
        <w:t>Lo anterior en virtud al cambio de la línea jurisprudencial de la SP CSJ para esta clase de delitos en los que inicialmente se presumía tanto la tipicidad subjetiva como la antijuridicidad, llegando luego a la antijuridicidad material que era demos</w:t>
      </w:r>
      <w:r>
        <w:rPr>
          <w:rFonts w:ascii="Arial" w:hAnsi="Arial" w:cs="Arial"/>
          <w:sz w:val="24"/>
          <w:szCs w:val="24"/>
        </w:rPr>
        <w:t>t</w:t>
      </w:r>
      <w:r w:rsidRPr="00A70212">
        <w:rPr>
          <w:rFonts w:ascii="Arial" w:hAnsi="Arial" w:cs="Arial"/>
          <w:sz w:val="24"/>
          <w:szCs w:val="24"/>
        </w:rPr>
        <w:t>rable y admitía una prueba en contra</w:t>
      </w:r>
      <w:r>
        <w:rPr>
          <w:rFonts w:ascii="Arial" w:hAnsi="Arial" w:cs="Arial"/>
          <w:sz w:val="24"/>
          <w:szCs w:val="24"/>
        </w:rPr>
        <w:t>rio por parte de la defensa, y avanzando</w:t>
      </w:r>
      <w:r w:rsidRPr="00A70212">
        <w:rPr>
          <w:rFonts w:ascii="Arial" w:hAnsi="Arial" w:cs="Arial"/>
          <w:sz w:val="24"/>
          <w:szCs w:val="24"/>
        </w:rPr>
        <w:t xml:space="preserve"> posteriormente en cuanto a requerir que el ente acusador probara ese ánimo de violentar o colocar en riesgo el bien jurídico tutelado.</w:t>
      </w:r>
    </w:p>
    <w:p w:rsidR="00A70212" w:rsidRDefault="00A70212" w:rsidP="009A6567">
      <w:pPr>
        <w:pStyle w:val="Prrafodelista"/>
        <w:ind w:right="-425"/>
        <w:rPr>
          <w:sz w:val="24"/>
          <w:szCs w:val="24"/>
        </w:rPr>
      </w:pPr>
    </w:p>
    <w:p w:rsidR="00A70212" w:rsidRPr="009905FF" w:rsidRDefault="00A70212" w:rsidP="009A6567">
      <w:pPr>
        <w:pStyle w:val="Sinespaciado"/>
        <w:numPr>
          <w:ilvl w:val="0"/>
          <w:numId w:val="29"/>
        </w:numPr>
        <w:spacing w:line="360" w:lineRule="auto"/>
        <w:ind w:right="-425"/>
        <w:jc w:val="both"/>
        <w:rPr>
          <w:rFonts w:ascii="Arial" w:hAnsi="Arial" w:cs="Arial"/>
          <w:sz w:val="24"/>
          <w:szCs w:val="24"/>
        </w:rPr>
      </w:pPr>
      <w:r w:rsidRPr="00A70212">
        <w:rPr>
          <w:rFonts w:ascii="Arial" w:hAnsi="Arial" w:cs="Arial"/>
          <w:sz w:val="24"/>
          <w:szCs w:val="24"/>
        </w:rPr>
        <w:t xml:space="preserve">Advirtió que en este asunto se surtieron todos los actos procesales llegando así a la etapa de juzgamiento, en la cual la FGN probó la captura en flagrancia, la sustancia de la que se trataba y su peso, sin demostrar que se pretendía su distribución, venta o la comercialización; indicó que toda vez que la CSJ había descartado cualquier presunción de distribución, se exigía </w:t>
      </w:r>
      <w:r w:rsidR="005637EE">
        <w:rPr>
          <w:rFonts w:ascii="Arial" w:hAnsi="Arial" w:cs="Arial"/>
          <w:sz w:val="24"/>
          <w:szCs w:val="24"/>
        </w:rPr>
        <w:t>a la Fiscalía demostrar más allá</w:t>
      </w:r>
      <w:r w:rsidRPr="00A70212">
        <w:rPr>
          <w:rFonts w:ascii="Arial" w:hAnsi="Arial" w:cs="Arial"/>
          <w:sz w:val="24"/>
          <w:szCs w:val="24"/>
        </w:rPr>
        <w:t xml:space="preserve"> de toda duda que efectivamente el “llevar consigo” esa sustancia tenía como objetivo la distribución o la venta y no el consumo.</w:t>
      </w:r>
    </w:p>
    <w:p w:rsidR="00742D85" w:rsidRPr="009905FF" w:rsidRDefault="00742D85" w:rsidP="009A6567">
      <w:pPr>
        <w:pStyle w:val="Sinespaciado"/>
        <w:spacing w:line="360" w:lineRule="auto"/>
        <w:ind w:right="-425"/>
        <w:jc w:val="both"/>
        <w:rPr>
          <w:rFonts w:ascii="Arial" w:hAnsi="Arial" w:cs="Arial"/>
          <w:sz w:val="24"/>
          <w:szCs w:val="24"/>
        </w:rPr>
      </w:pPr>
    </w:p>
    <w:p w:rsidR="00B22C12" w:rsidRDefault="00240980" w:rsidP="009A6567">
      <w:pPr>
        <w:pStyle w:val="Prrafodelista"/>
        <w:numPr>
          <w:ilvl w:val="0"/>
          <w:numId w:val="17"/>
        </w:numPr>
        <w:spacing w:line="360" w:lineRule="auto"/>
        <w:ind w:right="-425"/>
        <w:jc w:val="center"/>
        <w:rPr>
          <w:b/>
          <w:sz w:val="24"/>
          <w:szCs w:val="24"/>
        </w:rPr>
      </w:pPr>
      <w:r w:rsidRPr="009905FF">
        <w:rPr>
          <w:b/>
          <w:sz w:val="24"/>
          <w:szCs w:val="24"/>
        </w:rPr>
        <w:t>CONSIDERACIONES</w:t>
      </w:r>
      <w:r w:rsidR="00067028">
        <w:rPr>
          <w:b/>
          <w:sz w:val="24"/>
          <w:szCs w:val="24"/>
        </w:rPr>
        <w:t xml:space="preserve"> DE LA SALA</w:t>
      </w:r>
    </w:p>
    <w:p w:rsidR="00502261" w:rsidRPr="00502261" w:rsidRDefault="00502261" w:rsidP="009A6567">
      <w:pPr>
        <w:pStyle w:val="Prrafodelista"/>
        <w:spacing w:line="360" w:lineRule="auto"/>
        <w:ind w:right="-425"/>
        <w:rPr>
          <w:b/>
          <w:sz w:val="24"/>
          <w:szCs w:val="24"/>
        </w:rPr>
      </w:pPr>
    </w:p>
    <w:p w:rsidR="00916631" w:rsidRDefault="00B22C12" w:rsidP="009A6567">
      <w:pPr>
        <w:pStyle w:val="Prrafodelista"/>
        <w:numPr>
          <w:ilvl w:val="1"/>
          <w:numId w:val="17"/>
        </w:numPr>
        <w:tabs>
          <w:tab w:val="left" w:pos="0"/>
        </w:tabs>
        <w:spacing w:before="240" w:after="240" w:line="360" w:lineRule="auto"/>
        <w:ind w:left="0" w:right="-425" w:firstLine="0"/>
        <w:jc w:val="both"/>
        <w:rPr>
          <w:rFonts w:eastAsia="Adobe Gothic Std B"/>
          <w:sz w:val="24"/>
          <w:szCs w:val="24"/>
        </w:rPr>
      </w:pPr>
      <w:r w:rsidRPr="009905FF">
        <w:rPr>
          <w:sz w:val="24"/>
          <w:szCs w:val="24"/>
        </w:rPr>
        <w:lastRenderedPageBreak/>
        <w:t xml:space="preserve">Esta Colegiatura es competente para decidir la presente </w:t>
      </w:r>
      <w:r w:rsidR="002F4234" w:rsidRPr="009905FF">
        <w:rPr>
          <w:sz w:val="24"/>
          <w:szCs w:val="24"/>
        </w:rPr>
        <w:t>acción,</w:t>
      </w:r>
      <w:r w:rsidR="00240980" w:rsidRPr="009905FF">
        <w:rPr>
          <w:sz w:val="24"/>
          <w:szCs w:val="24"/>
        </w:rPr>
        <w:t xml:space="preserve"> con base en </w:t>
      </w:r>
      <w:r w:rsidR="002F4234" w:rsidRPr="009905FF">
        <w:rPr>
          <w:sz w:val="24"/>
          <w:szCs w:val="24"/>
        </w:rPr>
        <w:t>lo dispuesto en el numeral 3</w:t>
      </w:r>
      <w:r w:rsidR="00236AC1" w:rsidRPr="009905FF">
        <w:rPr>
          <w:sz w:val="24"/>
          <w:szCs w:val="24"/>
        </w:rPr>
        <w:t xml:space="preserve"> </w:t>
      </w:r>
      <w:r w:rsidR="002F4234" w:rsidRPr="009905FF">
        <w:rPr>
          <w:rFonts w:eastAsia="Adobe Gothic Std B"/>
          <w:sz w:val="24"/>
          <w:szCs w:val="24"/>
        </w:rPr>
        <w:t>del artículo 34 del C.P.P.;</w:t>
      </w:r>
      <w:r w:rsidR="00236AC1" w:rsidRPr="009905FF">
        <w:rPr>
          <w:rFonts w:eastAsia="Adobe Gothic Std B"/>
          <w:sz w:val="24"/>
          <w:szCs w:val="24"/>
        </w:rPr>
        <w:t xml:space="preserve"> ya que la sentencia cuya revisión se solicita fue dictada por el Juzgado</w:t>
      </w:r>
      <w:r w:rsidR="002F4234" w:rsidRPr="009905FF">
        <w:rPr>
          <w:rFonts w:eastAsia="Adobe Gothic Std B"/>
          <w:sz w:val="24"/>
          <w:szCs w:val="24"/>
        </w:rPr>
        <w:t xml:space="preserve"> </w:t>
      </w:r>
      <w:r w:rsidR="001C4823" w:rsidRPr="009905FF">
        <w:rPr>
          <w:rFonts w:eastAsia="Adobe Gothic Std B"/>
          <w:sz w:val="24"/>
          <w:szCs w:val="24"/>
        </w:rPr>
        <w:t xml:space="preserve">Penal </w:t>
      </w:r>
      <w:r w:rsidR="002F4234" w:rsidRPr="009905FF">
        <w:rPr>
          <w:rFonts w:eastAsia="Adobe Gothic Std B"/>
          <w:sz w:val="24"/>
          <w:szCs w:val="24"/>
        </w:rPr>
        <w:t xml:space="preserve">del </w:t>
      </w:r>
      <w:r w:rsidR="00346A17" w:rsidRPr="009905FF">
        <w:rPr>
          <w:rFonts w:eastAsia="Adobe Gothic Std B"/>
          <w:sz w:val="24"/>
          <w:szCs w:val="24"/>
        </w:rPr>
        <w:t xml:space="preserve">Circuito </w:t>
      </w:r>
      <w:r w:rsidR="00732BC0">
        <w:rPr>
          <w:rFonts w:eastAsia="Adobe Gothic Std B"/>
          <w:sz w:val="24"/>
          <w:szCs w:val="24"/>
        </w:rPr>
        <w:t>de Santa Rosa de Cabal</w:t>
      </w:r>
      <w:r w:rsidR="00346A17" w:rsidRPr="009905FF">
        <w:rPr>
          <w:rFonts w:eastAsia="Adobe Gothic Std B"/>
          <w:sz w:val="24"/>
          <w:szCs w:val="24"/>
        </w:rPr>
        <w:t xml:space="preserve"> (Risaralda)</w:t>
      </w:r>
      <w:r w:rsidR="00732BC0">
        <w:rPr>
          <w:rFonts w:eastAsia="Adobe Gothic Std B"/>
          <w:sz w:val="24"/>
          <w:szCs w:val="24"/>
        </w:rPr>
        <w:t xml:space="preserve"> el 30 </w:t>
      </w:r>
      <w:r w:rsidR="002F4234" w:rsidRPr="009905FF">
        <w:rPr>
          <w:rFonts w:eastAsia="Adobe Gothic Std B"/>
          <w:sz w:val="24"/>
          <w:szCs w:val="24"/>
        </w:rPr>
        <w:t xml:space="preserve">de </w:t>
      </w:r>
      <w:r w:rsidR="00732BC0">
        <w:rPr>
          <w:rFonts w:eastAsia="Adobe Gothic Std B"/>
          <w:sz w:val="24"/>
          <w:szCs w:val="24"/>
        </w:rPr>
        <w:t>septiembre</w:t>
      </w:r>
      <w:r w:rsidR="000D0E0D">
        <w:rPr>
          <w:rFonts w:eastAsia="Adobe Gothic Std B"/>
          <w:sz w:val="24"/>
          <w:szCs w:val="24"/>
        </w:rPr>
        <w:t xml:space="preserve"> de 2016</w:t>
      </w:r>
      <w:r w:rsidR="00236AC1" w:rsidRPr="009905FF">
        <w:rPr>
          <w:rFonts w:eastAsia="Adobe Gothic Std B"/>
          <w:sz w:val="24"/>
          <w:szCs w:val="24"/>
        </w:rPr>
        <w:t>.</w:t>
      </w:r>
    </w:p>
    <w:p w:rsidR="00916631" w:rsidRPr="00916631" w:rsidRDefault="00916631" w:rsidP="009A6567">
      <w:pPr>
        <w:pStyle w:val="Prrafodelista"/>
        <w:tabs>
          <w:tab w:val="left" w:pos="0"/>
        </w:tabs>
        <w:spacing w:before="240" w:after="240" w:line="360" w:lineRule="auto"/>
        <w:ind w:left="0" w:right="-425"/>
        <w:jc w:val="both"/>
        <w:rPr>
          <w:rFonts w:eastAsia="Adobe Gothic Std B"/>
          <w:sz w:val="24"/>
          <w:szCs w:val="24"/>
        </w:rPr>
      </w:pPr>
    </w:p>
    <w:p w:rsidR="002E3214" w:rsidRPr="00C103F8" w:rsidRDefault="002E3214" w:rsidP="009A6567">
      <w:pPr>
        <w:pStyle w:val="Prrafodelista"/>
        <w:numPr>
          <w:ilvl w:val="1"/>
          <w:numId w:val="17"/>
        </w:numPr>
        <w:tabs>
          <w:tab w:val="left" w:pos="0"/>
        </w:tabs>
        <w:spacing w:before="240" w:after="240" w:line="360" w:lineRule="auto"/>
        <w:ind w:left="0" w:right="-425" w:firstLine="0"/>
        <w:jc w:val="both"/>
        <w:rPr>
          <w:rFonts w:eastAsia="Adobe Gothic Std B"/>
          <w:sz w:val="24"/>
          <w:szCs w:val="24"/>
        </w:rPr>
      </w:pPr>
      <w:r w:rsidRPr="00916631">
        <w:rPr>
          <w:rFonts w:eastAsia="Adobe Gothic Std B"/>
          <w:sz w:val="24"/>
          <w:szCs w:val="24"/>
        </w:rPr>
        <w:t xml:space="preserve">En consecuencia, se debe decidir si en el caso </w:t>
      </w:r>
      <w:r w:rsidRPr="00916631">
        <w:rPr>
          <w:rFonts w:eastAsia="Adobe Gothic Std B"/>
          <w:i/>
          <w:sz w:val="24"/>
          <w:szCs w:val="24"/>
        </w:rPr>
        <w:t xml:space="preserve">sub lite </w:t>
      </w:r>
      <w:r>
        <w:rPr>
          <w:rFonts w:eastAsia="Adobe Gothic Std B"/>
          <w:sz w:val="24"/>
          <w:szCs w:val="24"/>
        </w:rPr>
        <w:t>se demostraron los presupuestos de procedencia de</w:t>
      </w:r>
      <w:r w:rsidRPr="00916631">
        <w:rPr>
          <w:rFonts w:eastAsia="Adobe Gothic Std B"/>
          <w:sz w:val="24"/>
          <w:szCs w:val="24"/>
        </w:rPr>
        <w:t xml:space="preserve"> la causal establecida en el numeral </w:t>
      </w:r>
      <w:r w:rsidRPr="00916631">
        <w:rPr>
          <w:rFonts w:eastAsia="Adobe Gothic Std B"/>
          <w:sz w:val="24"/>
          <w:szCs w:val="24"/>
          <w:lang w:val="es-ES"/>
        </w:rPr>
        <w:t xml:space="preserve">7 del artículo 192 C.P.P. </w:t>
      </w:r>
      <w:r>
        <w:rPr>
          <w:rFonts w:eastAsia="Adobe Gothic Std B"/>
          <w:sz w:val="24"/>
          <w:szCs w:val="24"/>
          <w:lang w:val="es-ES"/>
        </w:rPr>
        <w:t>y por tanto sería viable dejar sin efecto la sentencia objeto de revisión.</w:t>
      </w:r>
    </w:p>
    <w:p w:rsidR="00C103F8" w:rsidRPr="002E3214" w:rsidRDefault="00C103F8" w:rsidP="009A6567">
      <w:pPr>
        <w:pStyle w:val="Prrafodelista"/>
        <w:ind w:right="-425"/>
        <w:rPr>
          <w:rFonts w:eastAsia="Adobe Gothic Std B"/>
          <w:sz w:val="24"/>
          <w:szCs w:val="24"/>
        </w:rPr>
      </w:pPr>
    </w:p>
    <w:p w:rsidR="00F853FB" w:rsidRPr="00061DAE" w:rsidRDefault="00864522" w:rsidP="009A6567">
      <w:pPr>
        <w:pStyle w:val="Prrafodelista"/>
        <w:numPr>
          <w:ilvl w:val="1"/>
          <w:numId w:val="17"/>
        </w:numPr>
        <w:tabs>
          <w:tab w:val="left" w:pos="0"/>
        </w:tabs>
        <w:spacing w:before="240" w:after="240" w:line="360" w:lineRule="auto"/>
        <w:ind w:left="0" w:right="-425" w:firstLine="0"/>
        <w:jc w:val="both"/>
        <w:rPr>
          <w:rFonts w:eastAsia="Adobe Gothic Std B"/>
          <w:sz w:val="24"/>
          <w:szCs w:val="24"/>
        </w:rPr>
      </w:pPr>
      <w:r w:rsidRPr="00C103F8">
        <w:rPr>
          <w:rFonts w:eastAsia="Adobe Gothic Std B"/>
          <w:sz w:val="24"/>
          <w:szCs w:val="24"/>
          <w:lang w:val="es-ES"/>
        </w:rPr>
        <w:t xml:space="preserve">En el caso </w:t>
      </w:r>
      <w:r w:rsidRPr="00C103F8">
        <w:rPr>
          <w:rFonts w:eastAsia="Adobe Gothic Std B"/>
          <w:i/>
          <w:sz w:val="24"/>
          <w:szCs w:val="24"/>
          <w:lang w:val="es-ES"/>
        </w:rPr>
        <w:t xml:space="preserve">sub examen, </w:t>
      </w:r>
      <w:r w:rsidR="00EA4FA6" w:rsidRPr="00C103F8">
        <w:rPr>
          <w:rFonts w:eastAsia="Adobe Gothic Std B"/>
          <w:sz w:val="24"/>
          <w:szCs w:val="24"/>
          <w:lang w:val="es-ES"/>
        </w:rPr>
        <w:t xml:space="preserve">se parte de que el </w:t>
      </w:r>
      <w:r w:rsidRPr="00C103F8">
        <w:rPr>
          <w:rFonts w:eastAsia="Adobe Gothic Std B"/>
          <w:sz w:val="24"/>
          <w:szCs w:val="24"/>
          <w:lang w:val="es-ES"/>
        </w:rPr>
        <w:t xml:space="preserve">señor </w:t>
      </w:r>
      <w:r w:rsidR="00732BC0">
        <w:rPr>
          <w:rFonts w:eastAsia="Adobe Gothic Std B"/>
          <w:sz w:val="24"/>
          <w:szCs w:val="24"/>
          <w:lang w:val="es-ES"/>
        </w:rPr>
        <w:t>Gallego Sánchez</w:t>
      </w:r>
      <w:r w:rsidR="00984719" w:rsidRPr="00C103F8">
        <w:rPr>
          <w:rFonts w:eastAsia="Adobe Gothic Std B"/>
          <w:sz w:val="24"/>
          <w:szCs w:val="24"/>
          <w:lang w:val="es-ES"/>
        </w:rPr>
        <w:t xml:space="preserve"> </w:t>
      </w:r>
      <w:r w:rsidR="00732BC0">
        <w:rPr>
          <w:rFonts w:eastAsia="Adobe Gothic Std B"/>
          <w:sz w:val="24"/>
          <w:szCs w:val="24"/>
          <w:lang w:val="es-ES"/>
        </w:rPr>
        <w:t>fue condenado por el Juzgado</w:t>
      </w:r>
      <w:r w:rsidR="00984719" w:rsidRPr="00C103F8">
        <w:rPr>
          <w:rFonts w:eastAsia="Adobe Gothic Std B"/>
          <w:sz w:val="24"/>
          <w:szCs w:val="24"/>
          <w:lang w:val="es-ES"/>
        </w:rPr>
        <w:t xml:space="preserve"> Penal del Circuito </w:t>
      </w:r>
      <w:r w:rsidR="00323DC3" w:rsidRPr="00C103F8">
        <w:rPr>
          <w:rFonts w:eastAsia="Adobe Gothic Std B"/>
          <w:sz w:val="24"/>
          <w:szCs w:val="24"/>
          <w:lang w:val="es-ES"/>
        </w:rPr>
        <w:t xml:space="preserve">de </w:t>
      </w:r>
      <w:r w:rsidR="00732BC0">
        <w:rPr>
          <w:rFonts w:eastAsia="Adobe Gothic Std B"/>
          <w:sz w:val="24"/>
          <w:szCs w:val="24"/>
          <w:lang w:val="es-ES"/>
        </w:rPr>
        <w:t>Santa Rosa de Cabal</w:t>
      </w:r>
      <w:r w:rsidR="00984719" w:rsidRPr="00C103F8">
        <w:rPr>
          <w:rFonts w:eastAsia="Adobe Gothic Std B"/>
          <w:sz w:val="24"/>
          <w:szCs w:val="24"/>
          <w:lang w:val="es-ES"/>
        </w:rPr>
        <w:t xml:space="preserve"> (Risaralda)</w:t>
      </w:r>
      <w:r w:rsidR="004C6C7A" w:rsidRPr="00C103F8">
        <w:rPr>
          <w:rFonts w:eastAsia="Adobe Gothic Std B"/>
          <w:sz w:val="24"/>
          <w:szCs w:val="24"/>
          <w:lang w:val="es-ES"/>
        </w:rPr>
        <w:t xml:space="preserve"> el </w:t>
      </w:r>
      <w:r w:rsidR="00732BC0">
        <w:rPr>
          <w:rFonts w:eastAsia="Adobe Gothic Std B"/>
          <w:sz w:val="24"/>
          <w:szCs w:val="24"/>
          <w:lang w:val="es-ES"/>
        </w:rPr>
        <w:t>30</w:t>
      </w:r>
      <w:r w:rsidR="004C6C7A" w:rsidRPr="00C103F8">
        <w:rPr>
          <w:rFonts w:eastAsia="Adobe Gothic Std B"/>
          <w:sz w:val="24"/>
          <w:szCs w:val="24"/>
          <w:lang w:val="es-ES"/>
        </w:rPr>
        <w:t xml:space="preserve"> de </w:t>
      </w:r>
      <w:r w:rsidR="00732BC0">
        <w:rPr>
          <w:rFonts w:eastAsia="Adobe Gothic Std B"/>
          <w:sz w:val="24"/>
          <w:szCs w:val="24"/>
          <w:lang w:val="es-ES"/>
        </w:rPr>
        <w:t>septiembre</w:t>
      </w:r>
      <w:r w:rsidR="00A31248" w:rsidRPr="00C103F8">
        <w:rPr>
          <w:rFonts w:eastAsia="Adobe Gothic Std B"/>
          <w:sz w:val="24"/>
          <w:szCs w:val="24"/>
          <w:lang w:val="es-ES"/>
        </w:rPr>
        <w:t xml:space="preserve"> de 2016</w:t>
      </w:r>
      <w:r w:rsidR="00984719" w:rsidRPr="00C103F8">
        <w:rPr>
          <w:rFonts w:eastAsia="Adobe Gothic Std B"/>
          <w:sz w:val="24"/>
          <w:szCs w:val="24"/>
          <w:lang w:val="es-ES"/>
        </w:rPr>
        <w:t>,</w:t>
      </w:r>
      <w:r w:rsidR="004C6C7A" w:rsidRPr="00C103F8">
        <w:rPr>
          <w:rFonts w:eastAsia="Adobe Gothic Std B"/>
          <w:sz w:val="24"/>
          <w:szCs w:val="24"/>
          <w:lang w:val="es-ES"/>
        </w:rPr>
        <w:t xml:space="preserve"> a la pena</w:t>
      </w:r>
      <w:r w:rsidR="00AA1945" w:rsidRPr="00C103F8">
        <w:rPr>
          <w:rFonts w:eastAsia="Adobe Gothic Std B"/>
          <w:sz w:val="24"/>
          <w:szCs w:val="24"/>
          <w:lang w:val="es-ES"/>
        </w:rPr>
        <w:t xml:space="preserve"> principal</w:t>
      </w:r>
      <w:r w:rsidR="004C6C7A" w:rsidRPr="00C103F8">
        <w:rPr>
          <w:rFonts w:eastAsia="Adobe Gothic Std B"/>
          <w:sz w:val="24"/>
          <w:szCs w:val="24"/>
          <w:lang w:val="es-ES"/>
        </w:rPr>
        <w:t xml:space="preserve"> </w:t>
      </w:r>
      <w:r w:rsidR="00A31248" w:rsidRPr="00C103F8">
        <w:rPr>
          <w:rFonts w:eastAsia="Adobe Gothic Std B"/>
          <w:sz w:val="24"/>
          <w:szCs w:val="24"/>
          <w:lang w:val="es-ES"/>
        </w:rPr>
        <w:t>de 64</w:t>
      </w:r>
      <w:r w:rsidR="00A11398" w:rsidRPr="00C103F8">
        <w:rPr>
          <w:rFonts w:eastAsia="Adobe Gothic Std B"/>
          <w:sz w:val="24"/>
          <w:szCs w:val="24"/>
          <w:lang w:val="es-ES"/>
        </w:rPr>
        <w:t xml:space="preserve"> meses de prisión</w:t>
      </w:r>
      <w:r w:rsidR="00A31248" w:rsidRPr="00C103F8">
        <w:rPr>
          <w:rFonts w:eastAsia="Adobe Gothic Std B"/>
          <w:sz w:val="24"/>
          <w:szCs w:val="24"/>
          <w:lang w:val="es-ES"/>
        </w:rPr>
        <w:t xml:space="preserve"> y multa de 2 SMLMV</w:t>
      </w:r>
      <w:r w:rsidR="00A11398" w:rsidRPr="009905FF">
        <w:rPr>
          <w:rStyle w:val="Refdenotaalpie"/>
          <w:rFonts w:eastAsia="Adobe Gothic Std B"/>
          <w:sz w:val="24"/>
          <w:szCs w:val="24"/>
          <w:lang w:val="es-ES"/>
        </w:rPr>
        <w:footnoteReference w:id="1"/>
      </w:r>
      <w:r w:rsidR="00F853FB" w:rsidRPr="00C103F8">
        <w:rPr>
          <w:rFonts w:eastAsia="Adobe Gothic Std B"/>
          <w:sz w:val="24"/>
          <w:szCs w:val="24"/>
          <w:lang w:val="es-ES"/>
        </w:rPr>
        <w:t xml:space="preserve">; </w:t>
      </w:r>
      <w:r w:rsidR="00A0530B" w:rsidRPr="00C103F8">
        <w:rPr>
          <w:rFonts w:eastAsia="Adobe Gothic Std B"/>
          <w:sz w:val="24"/>
          <w:szCs w:val="24"/>
          <w:lang w:val="es-ES"/>
        </w:rPr>
        <w:t>como responsable del</w:t>
      </w:r>
      <w:r w:rsidR="00EA4FA6" w:rsidRPr="00C103F8">
        <w:rPr>
          <w:rFonts w:eastAsia="Adobe Gothic Std B"/>
          <w:sz w:val="24"/>
          <w:szCs w:val="24"/>
          <w:lang w:val="es-ES"/>
        </w:rPr>
        <w:t xml:space="preserve"> delito de tráfico, </w:t>
      </w:r>
      <w:r w:rsidR="00EA4FA6" w:rsidRPr="00C103F8">
        <w:rPr>
          <w:sz w:val="24"/>
          <w:szCs w:val="24"/>
        </w:rPr>
        <w:t>fabricación o porte de estupefacientes</w:t>
      </w:r>
      <w:r w:rsidR="00EA4FA6" w:rsidRPr="00C103F8">
        <w:rPr>
          <w:rFonts w:eastAsia="Adobe Gothic Std B"/>
          <w:sz w:val="24"/>
          <w:szCs w:val="24"/>
          <w:lang w:val="es-ES"/>
        </w:rPr>
        <w:t xml:space="preserve"> por llevar consigo c</w:t>
      </w:r>
      <w:r w:rsidR="00732BC0">
        <w:rPr>
          <w:rFonts w:eastAsia="Adobe Gothic Std B"/>
          <w:sz w:val="24"/>
          <w:szCs w:val="24"/>
          <w:lang w:val="es-ES"/>
        </w:rPr>
        <w:t>ocaína en un peso neto total de 6.3</w:t>
      </w:r>
      <w:r w:rsidR="00EA4FA6" w:rsidRPr="00C103F8">
        <w:rPr>
          <w:rFonts w:eastAsia="Adobe Gothic Std B"/>
          <w:sz w:val="24"/>
          <w:szCs w:val="24"/>
          <w:lang w:val="es-ES"/>
        </w:rPr>
        <w:t xml:space="preserve"> gramos. </w:t>
      </w:r>
    </w:p>
    <w:p w:rsidR="00061DAE" w:rsidRPr="00061DAE" w:rsidRDefault="00061DAE" w:rsidP="009A6567">
      <w:pPr>
        <w:pStyle w:val="Prrafodelista"/>
        <w:ind w:right="-425"/>
        <w:rPr>
          <w:rFonts w:eastAsia="Adobe Gothic Std B"/>
          <w:sz w:val="24"/>
          <w:szCs w:val="24"/>
        </w:rPr>
      </w:pPr>
    </w:p>
    <w:p w:rsidR="00393C97" w:rsidRPr="009905FF" w:rsidRDefault="005D0CBF" w:rsidP="009A6567">
      <w:pPr>
        <w:pStyle w:val="Prrafodelista"/>
        <w:numPr>
          <w:ilvl w:val="1"/>
          <w:numId w:val="17"/>
        </w:numPr>
        <w:tabs>
          <w:tab w:val="left" w:pos="0"/>
        </w:tabs>
        <w:spacing w:line="360" w:lineRule="auto"/>
        <w:ind w:left="0" w:right="-425" w:firstLine="0"/>
        <w:jc w:val="both"/>
        <w:rPr>
          <w:rFonts w:eastAsia="Adobe Gothic Std B"/>
          <w:sz w:val="24"/>
          <w:szCs w:val="24"/>
        </w:rPr>
      </w:pPr>
      <w:r w:rsidRPr="009905FF">
        <w:rPr>
          <w:rFonts w:eastAsia="Adobe Gothic Std B"/>
          <w:sz w:val="24"/>
          <w:szCs w:val="24"/>
          <w:lang w:val="es-ES"/>
        </w:rPr>
        <w:t xml:space="preserve">La causal de revisión por cambio de jurisprudencia </w:t>
      </w:r>
      <w:r w:rsidR="000F3092" w:rsidRPr="009905FF">
        <w:rPr>
          <w:rFonts w:eastAsia="Adobe Gothic Std B"/>
          <w:sz w:val="24"/>
          <w:szCs w:val="24"/>
          <w:lang w:val="es-ES"/>
        </w:rPr>
        <w:t>favorable, se</w:t>
      </w:r>
      <w:r w:rsidRPr="009905FF">
        <w:rPr>
          <w:rFonts w:eastAsia="Adobe Gothic Std B"/>
          <w:sz w:val="24"/>
          <w:szCs w:val="24"/>
          <w:lang w:val="es-ES"/>
        </w:rPr>
        <w:t xml:space="preserve"> encuen</w:t>
      </w:r>
      <w:r w:rsidR="00F853FB" w:rsidRPr="009905FF">
        <w:rPr>
          <w:rFonts w:eastAsia="Adobe Gothic Std B"/>
          <w:sz w:val="24"/>
          <w:szCs w:val="24"/>
          <w:lang w:val="es-ES"/>
        </w:rPr>
        <w:t>tra establecida en el numeral 7</w:t>
      </w:r>
      <w:r w:rsidRPr="009905FF">
        <w:rPr>
          <w:rFonts w:eastAsia="Adobe Gothic Std B"/>
          <w:sz w:val="24"/>
          <w:szCs w:val="24"/>
          <w:lang w:val="es-ES"/>
        </w:rPr>
        <w:t xml:space="preserve"> del </w:t>
      </w:r>
      <w:r w:rsidR="00ED28C7" w:rsidRPr="009905FF">
        <w:rPr>
          <w:rFonts w:eastAsia="Adobe Gothic Std B"/>
          <w:sz w:val="24"/>
          <w:szCs w:val="24"/>
        </w:rPr>
        <w:t>del artículo 192 C.P.P</w:t>
      </w:r>
      <w:r w:rsidR="003A46F9" w:rsidRPr="009905FF">
        <w:rPr>
          <w:rFonts w:eastAsia="Adobe Gothic Std B"/>
          <w:sz w:val="24"/>
          <w:szCs w:val="24"/>
        </w:rPr>
        <w:t>.</w:t>
      </w:r>
      <w:r w:rsidR="00F853FB" w:rsidRPr="009905FF">
        <w:rPr>
          <w:rFonts w:eastAsia="Adobe Gothic Std B"/>
          <w:sz w:val="24"/>
          <w:szCs w:val="24"/>
        </w:rPr>
        <w:t xml:space="preserve"> </w:t>
      </w:r>
      <w:r w:rsidR="00386628" w:rsidRPr="009905FF">
        <w:rPr>
          <w:rFonts w:eastAsia="Adobe Gothic Std B"/>
          <w:sz w:val="24"/>
          <w:szCs w:val="24"/>
        </w:rPr>
        <w:t>En providencia dentro del radicado 40093 de la</w:t>
      </w:r>
      <w:r w:rsidRPr="009905FF">
        <w:rPr>
          <w:rFonts w:eastAsia="Adobe Gothic Std B"/>
          <w:sz w:val="24"/>
          <w:szCs w:val="24"/>
        </w:rPr>
        <w:t xml:space="preserve"> C</w:t>
      </w:r>
      <w:r w:rsidR="00386628" w:rsidRPr="009905FF">
        <w:rPr>
          <w:rFonts w:eastAsia="Adobe Gothic Std B"/>
          <w:sz w:val="24"/>
          <w:szCs w:val="24"/>
        </w:rPr>
        <w:t>SJ SP del 15 de agosto de 2013, se establecieron los requisitos para su procedencia, así</w:t>
      </w:r>
      <w:r w:rsidR="00393C97" w:rsidRPr="009905FF">
        <w:rPr>
          <w:rFonts w:eastAsia="Adobe Gothic Std B"/>
          <w:sz w:val="24"/>
          <w:szCs w:val="24"/>
        </w:rPr>
        <w:t>:</w:t>
      </w:r>
    </w:p>
    <w:p w:rsidR="00BE06D5" w:rsidRPr="009905FF" w:rsidRDefault="00BE06D5" w:rsidP="009A6567">
      <w:pPr>
        <w:spacing w:line="360" w:lineRule="auto"/>
        <w:ind w:right="-425"/>
        <w:jc w:val="both"/>
        <w:rPr>
          <w:i/>
          <w:sz w:val="24"/>
          <w:szCs w:val="24"/>
          <w:lang w:val="es-ES"/>
        </w:rPr>
      </w:pPr>
    </w:p>
    <w:p w:rsidR="00BE06D5" w:rsidRPr="009905FF" w:rsidRDefault="00393C97" w:rsidP="009A6567">
      <w:pPr>
        <w:spacing w:line="360" w:lineRule="auto"/>
        <w:ind w:left="709" w:right="-425" w:hanging="4"/>
        <w:jc w:val="both"/>
        <w:rPr>
          <w:i/>
          <w:sz w:val="24"/>
          <w:szCs w:val="24"/>
          <w:lang w:val="es-ES"/>
        </w:rPr>
      </w:pPr>
      <w:r w:rsidRPr="009905FF">
        <w:rPr>
          <w:i/>
          <w:sz w:val="24"/>
          <w:szCs w:val="24"/>
          <w:lang w:val="es-ES"/>
        </w:rPr>
        <w:t xml:space="preserve">“... </w:t>
      </w:r>
      <w:r w:rsidR="00BE06D5" w:rsidRPr="009905FF">
        <w:rPr>
          <w:i/>
          <w:sz w:val="24"/>
          <w:szCs w:val="24"/>
          <w:lang w:val="es-ES"/>
        </w:rPr>
        <w:t>La Sala ha determinado que la alegación de la causal 7ª del artículo 192 de la Ley 906 de 2004, según la cual la acción de revisión procede “</w:t>
      </w:r>
      <w:r w:rsidR="00BE06D5" w:rsidRPr="009905FF">
        <w:rPr>
          <w:i/>
          <w:iCs/>
          <w:sz w:val="24"/>
          <w:szCs w:val="24"/>
          <w:lang w:val="es-ES"/>
        </w:rPr>
        <w:t>cuando mediante pronunciamiento judicial, la Corte haya cambiado favorablemente el criterio jurídico que sirvió para sustentar la sentencia condenatoria, tanto respecto de la responsabilidad como de la punibilidad</w:t>
      </w:r>
      <w:r w:rsidR="00BE06D5" w:rsidRPr="009905FF">
        <w:rPr>
          <w:i/>
          <w:sz w:val="24"/>
          <w:szCs w:val="24"/>
          <w:lang w:val="es-ES"/>
        </w:rPr>
        <w:t>”, debe cumplir como mínimo los siguientes requisitos:</w:t>
      </w:r>
    </w:p>
    <w:p w:rsidR="00BE06D5" w:rsidRPr="009905FF" w:rsidRDefault="00BE06D5" w:rsidP="009A6567">
      <w:pPr>
        <w:spacing w:line="360" w:lineRule="auto"/>
        <w:ind w:left="709" w:right="-425" w:hanging="4"/>
        <w:jc w:val="both"/>
        <w:rPr>
          <w:i/>
          <w:sz w:val="24"/>
          <w:szCs w:val="24"/>
          <w:lang w:val="es-ES"/>
        </w:rPr>
      </w:pPr>
    </w:p>
    <w:p w:rsidR="00BE06D5" w:rsidRPr="009905FF" w:rsidRDefault="00BE06D5" w:rsidP="009A6567">
      <w:pPr>
        <w:numPr>
          <w:ilvl w:val="0"/>
          <w:numId w:val="11"/>
        </w:numPr>
        <w:spacing w:line="360" w:lineRule="auto"/>
        <w:ind w:left="709" w:right="-425" w:hanging="4"/>
        <w:jc w:val="both"/>
        <w:rPr>
          <w:i/>
          <w:sz w:val="24"/>
          <w:szCs w:val="24"/>
          <w:lang w:val="es-ES"/>
        </w:rPr>
      </w:pPr>
      <w:r w:rsidRPr="009905FF">
        <w:rPr>
          <w:i/>
          <w:iCs/>
          <w:sz w:val="24"/>
          <w:szCs w:val="24"/>
          <w:lang w:val="es-ES"/>
        </w:rPr>
        <w:t>Que se dirija contra una sentencia ejecutoriada cuya condena se haya fundamentado en un criterio jurisprudencial específico de la Corte Suprema de Justicia, Sala de Casación Penal;</w:t>
      </w:r>
    </w:p>
    <w:p w:rsidR="00264BD6" w:rsidRPr="009905FF" w:rsidRDefault="00264BD6" w:rsidP="009A6567">
      <w:pPr>
        <w:spacing w:line="360" w:lineRule="auto"/>
        <w:ind w:left="709" w:right="-425"/>
        <w:jc w:val="both"/>
        <w:rPr>
          <w:i/>
          <w:sz w:val="24"/>
          <w:szCs w:val="24"/>
          <w:lang w:val="es-ES"/>
        </w:rPr>
      </w:pPr>
    </w:p>
    <w:p w:rsidR="00BE06D5" w:rsidRPr="009905FF" w:rsidRDefault="00BE06D5" w:rsidP="009A6567">
      <w:pPr>
        <w:numPr>
          <w:ilvl w:val="0"/>
          <w:numId w:val="12"/>
        </w:numPr>
        <w:spacing w:line="360" w:lineRule="auto"/>
        <w:ind w:left="709" w:right="-425" w:hanging="4"/>
        <w:jc w:val="both"/>
        <w:rPr>
          <w:i/>
          <w:sz w:val="24"/>
          <w:szCs w:val="24"/>
          <w:lang w:val="es-ES"/>
        </w:rPr>
      </w:pPr>
      <w:r w:rsidRPr="009905FF">
        <w:rPr>
          <w:i/>
          <w:iCs/>
          <w:sz w:val="24"/>
          <w:szCs w:val="24"/>
          <w:lang w:val="es-ES"/>
        </w:rPr>
        <w:t>Que el referente jurisprudencial de la Sala Penal se cambie mediante un fallo proferido con posterioridad a la providencia que se revisa;</w:t>
      </w:r>
    </w:p>
    <w:p w:rsidR="00264BD6" w:rsidRPr="009905FF" w:rsidRDefault="00264BD6" w:rsidP="009A6567">
      <w:pPr>
        <w:spacing w:line="360" w:lineRule="auto"/>
        <w:ind w:left="705" w:right="-425"/>
        <w:jc w:val="both"/>
        <w:rPr>
          <w:i/>
          <w:sz w:val="24"/>
          <w:szCs w:val="24"/>
          <w:lang w:val="es-ES"/>
        </w:rPr>
      </w:pPr>
    </w:p>
    <w:p w:rsidR="00BE06D5" w:rsidRPr="009905FF" w:rsidRDefault="00BE06D5" w:rsidP="009A6567">
      <w:pPr>
        <w:numPr>
          <w:ilvl w:val="0"/>
          <w:numId w:val="13"/>
        </w:numPr>
        <w:spacing w:line="360" w:lineRule="auto"/>
        <w:ind w:left="709" w:right="-425" w:hanging="4"/>
        <w:jc w:val="both"/>
        <w:rPr>
          <w:i/>
          <w:sz w:val="24"/>
          <w:szCs w:val="24"/>
          <w:lang w:val="es-ES"/>
        </w:rPr>
      </w:pPr>
      <w:r w:rsidRPr="009905FF">
        <w:rPr>
          <w:i/>
          <w:iCs/>
          <w:sz w:val="24"/>
          <w:szCs w:val="24"/>
          <w:lang w:val="es-ES"/>
        </w:rPr>
        <w:t>Que a través de un análisis comparativo se pueda demostrar que fundamentado en el nuevo razonamiento jurídico el proveído atacado habría sido más beneficioso para el demandante.</w:t>
      </w:r>
    </w:p>
    <w:p w:rsidR="00BE06D5" w:rsidRPr="009905FF" w:rsidRDefault="00BE06D5" w:rsidP="009A6567">
      <w:pPr>
        <w:spacing w:line="360" w:lineRule="auto"/>
        <w:ind w:left="709" w:right="-425" w:hanging="4"/>
        <w:jc w:val="both"/>
        <w:rPr>
          <w:i/>
          <w:sz w:val="24"/>
          <w:szCs w:val="24"/>
          <w:lang w:val="es-ES"/>
        </w:rPr>
      </w:pPr>
    </w:p>
    <w:p w:rsidR="008D6AC6" w:rsidRDefault="00BE06D5" w:rsidP="009A6567">
      <w:pPr>
        <w:spacing w:line="360" w:lineRule="auto"/>
        <w:ind w:left="709" w:right="-425" w:hanging="4"/>
        <w:jc w:val="both"/>
        <w:rPr>
          <w:i/>
          <w:sz w:val="24"/>
          <w:szCs w:val="24"/>
          <w:lang w:val="es-ES"/>
        </w:rPr>
      </w:pPr>
      <w:r w:rsidRPr="009905FF">
        <w:rPr>
          <w:i/>
          <w:sz w:val="24"/>
          <w:szCs w:val="24"/>
          <w:lang w:val="es-ES"/>
        </w:rPr>
        <w:t>Sobre esta causal, en vigencia de la Ley 600 de 2000, que la consagraba en el numeral 6º del artículo 220, señaló la Sala que </w:t>
      </w:r>
      <w:r w:rsidRPr="009905FF">
        <w:rPr>
          <w:i/>
          <w:iCs/>
          <w:sz w:val="24"/>
          <w:szCs w:val="24"/>
          <w:lang w:val="es-ES"/>
        </w:rPr>
        <w:t>“es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 y que por tanto, “no resulta suficiente invocar abstractamente la existencia de un pronunciamiento del máximo tribunal de la jurisdicción ordinaria, o de señalar uno concreto pero desconectado de la solución del caso, sino que resulta indispensable, además, demostrar cómo de haberse conocido oportunamente por los juzgadores la nueva doctrina sobre el punto, el fallo cuya rescisión se persigue habría sido distinto”</w:t>
      </w:r>
      <w:hyperlink r:id="rId9" w:anchor="footnote1" w:history="1">
        <w:r w:rsidRPr="009905FF">
          <w:rPr>
            <w:i/>
            <w:sz w:val="24"/>
            <w:szCs w:val="24"/>
            <w:u w:val="single"/>
            <w:vertAlign w:val="superscript"/>
            <w:lang w:val="es-ES"/>
          </w:rPr>
          <w:t>2</w:t>
        </w:r>
      </w:hyperlink>
      <w:r w:rsidRPr="009905FF">
        <w:rPr>
          <w:i/>
          <w:iCs/>
          <w:sz w:val="24"/>
          <w:szCs w:val="24"/>
          <w:lang w:val="es-ES"/>
        </w:rPr>
        <w:t>, </w:t>
      </w:r>
      <w:r w:rsidRPr="009905FF">
        <w:rPr>
          <w:i/>
          <w:sz w:val="24"/>
          <w:szCs w:val="24"/>
          <w:lang w:val="es-ES"/>
        </w:rPr>
        <w:t>criterio que</w:t>
      </w:r>
      <w:r w:rsidRPr="009905FF">
        <w:rPr>
          <w:i/>
          <w:iCs/>
          <w:sz w:val="24"/>
          <w:szCs w:val="24"/>
          <w:lang w:val="es-ES"/>
        </w:rPr>
        <w:t> </w:t>
      </w:r>
      <w:r w:rsidRPr="009905FF">
        <w:rPr>
          <w:i/>
          <w:sz w:val="24"/>
          <w:szCs w:val="24"/>
          <w:lang w:val="es-ES"/>
        </w:rPr>
        <w:t>cabe reiterar frente al mismo supuesto establecido ahora en el numeral 7º del artículo 192 de la Ley 906 de 2004.</w:t>
      </w:r>
    </w:p>
    <w:p w:rsidR="00061DAE" w:rsidRPr="009905FF" w:rsidRDefault="00061DAE" w:rsidP="009A6567">
      <w:pPr>
        <w:spacing w:line="360" w:lineRule="auto"/>
        <w:ind w:left="709" w:right="-425" w:hanging="4"/>
        <w:jc w:val="both"/>
        <w:rPr>
          <w:i/>
          <w:sz w:val="24"/>
          <w:szCs w:val="24"/>
          <w:lang w:val="es-ES"/>
        </w:rPr>
      </w:pPr>
    </w:p>
    <w:p w:rsidR="00D655BF" w:rsidRPr="009905FF" w:rsidRDefault="00C17852" w:rsidP="009A6567">
      <w:pPr>
        <w:pStyle w:val="Prrafodelista"/>
        <w:numPr>
          <w:ilvl w:val="1"/>
          <w:numId w:val="17"/>
        </w:numPr>
        <w:spacing w:line="360" w:lineRule="auto"/>
        <w:ind w:left="0" w:right="-425" w:firstLine="0"/>
        <w:jc w:val="both"/>
        <w:rPr>
          <w:i/>
          <w:sz w:val="24"/>
          <w:szCs w:val="24"/>
          <w:lang w:val="es-ES"/>
        </w:rPr>
      </w:pPr>
      <w:r w:rsidRPr="009905FF">
        <w:rPr>
          <w:rFonts w:eastAsia="Adobe Gothic Std B"/>
          <w:sz w:val="24"/>
          <w:szCs w:val="24"/>
        </w:rPr>
        <w:t>Así las cosas,</w:t>
      </w:r>
      <w:r w:rsidR="008D6AC6" w:rsidRPr="009905FF">
        <w:rPr>
          <w:rFonts w:eastAsia="Adobe Gothic Std B"/>
          <w:sz w:val="24"/>
          <w:szCs w:val="24"/>
        </w:rPr>
        <w:t xml:space="preserve"> se observa</w:t>
      </w:r>
      <w:r w:rsidR="00ED28C7" w:rsidRPr="009905FF">
        <w:rPr>
          <w:rFonts w:eastAsia="Adobe Gothic Std B"/>
          <w:sz w:val="24"/>
          <w:szCs w:val="24"/>
        </w:rPr>
        <w:t xml:space="preserve"> que </w:t>
      </w:r>
      <w:r w:rsidRPr="009905FF">
        <w:rPr>
          <w:rFonts w:eastAsia="Adobe Gothic Std B"/>
          <w:sz w:val="24"/>
          <w:szCs w:val="24"/>
        </w:rPr>
        <w:t xml:space="preserve">en este asunto </w:t>
      </w:r>
      <w:r w:rsidR="00ED28C7" w:rsidRPr="009905FF">
        <w:rPr>
          <w:rFonts w:eastAsia="Adobe Gothic Std B"/>
          <w:sz w:val="24"/>
          <w:szCs w:val="24"/>
        </w:rPr>
        <w:t>se cumplen a cabalidad</w:t>
      </w:r>
      <w:r w:rsidRPr="009905FF">
        <w:rPr>
          <w:rFonts w:eastAsia="Adobe Gothic Std B"/>
          <w:sz w:val="24"/>
          <w:szCs w:val="24"/>
        </w:rPr>
        <w:t xml:space="preserve"> los anteriores</w:t>
      </w:r>
      <w:r w:rsidR="00E46B9A" w:rsidRPr="009905FF">
        <w:rPr>
          <w:rFonts w:eastAsia="Adobe Gothic Std B"/>
          <w:sz w:val="24"/>
          <w:szCs w:val="24"/>
        </w:rPr>
        <w:t xml:space="preserve"> r</w:t>
      </w:r>
      <w:r w:rsidR="00ED28C7" w:rsidRPr="009905FF">
        <w:rPr>
          <w:rFonts w:eastAsia="Adobe Gothic Std B"/>
          <w:sz w:val="24"/>
          <w:szCs w:val="24"/>
        </w:rPr>
        <w:t xml:space="preserve">equisitos, </w:t>
      </w:r>
      <w:r w:rsidR="008D6AC6" w:rsidRPr="009905FF">
        <w:rPr>
          <w:rFonts w:eastAsia="Adobe Gothic Std B"/>
          <w:sz w:val="24"/>
          <w:szCs w:val="24"/>
        </w:rPr>
        <w:t>en razón a que</w:t>
      </w:r>
      <w:r w:rsidR="00E46B9A" w:rsidRPr="009905FF">
        <w:rPr>
          <w:rFonts w:eastAsia="Adobe Gothic Std B"/>
          <w:sz w:val="24"/>
          <w:szCs w:val="24"/>
        </w:rPr>
        <w:t>: i)</w:t>
      </w:r>
      <w:r w:rsidRPr="009905FF">
        <w:rPr>
          <w:rFonts w:eastAsia="Adobe Gothic Std B"/>
          <w:sz w:val="24"/>
          <w:szCs w:val="24"/>
        </w:rPr>
        <w:t xml:space="preserve"> </w:t>
      </w:r>
      <w:r w:rsidR="00604F55">
        <w:rPr>
          <w:rFonts w:eastAsia="Adobe Gothic Std B"/>
          <w:sz w:val="24"/>
          <w:szCs w:val="24"/>
        </w:rPr>
        <w:t xml:space="preserve">la sentencia condenatoria dentro del </w:t>
      </w:r>
      <w:r w:rsidR="00604F55" w:rsidRPr="00B22514">
        <w:rPr>
          <w:rFonts w:eastAsia="Adobe Gothic Std B"/>
          <w:sz w:val="24"/>
          <w:szCs w:val="24"/>
        </w:rPr>
        <w:t>proceso se dic</w:t>
      </w:r>
      <w:r w:rsidR="000C7E66" w:rsidRPr="00B22514">
        <w:rPr>
          <w:rFonts w:eastAsia="Adobe Gothic Std B"/>
          <w:sz w:val="24"/>
          <w:szCs w:val="24"/>
        </w:rPr>
        <w:t xml:space="preserve">tó el </w:t>
      </w:r>
      <w:r w:rsidR="00732BC0" w:rsidRPr="00B22514">
        <w:rPr>
          <w:rFonts w:eastAsia="Adobe Gothic Std B"/>
          <w:sz w:val="24"/>
          <w:szCs w:val="24"/>
        </w:rPr>
        <w:t>30</w:t>
      </w:r>
      <w:r w:rsidR="000C7E66" w:rsidRPr="00B22514">
        <w:rPr>
          <w:rFonts w:eastAsia="Adobe Gothic Std B"/>
          <w:sz w:val="24"/>
          <w:szCs w:val="24"/>
        </w:rPr>
        <w:t xml:space="preserve"> de </w:t>
      </w:r>
      <w:r w:rsidR="00732BC0" w:rsidRPr="00B22514">
        <w:rPr>
          <w:rFonts w:eastAsia="Adobe Gothic Std B"/>
          <w:sz w:val="24"/>
          <w:szCs w:val="24"/>
        </w:rPr>
        <w:t>septiembre</w:t>
      </w:r>
      <w:r w:rsidR="000C7E66" w:rsidRPr="00B22514">
        <w:rPr>
          <w:rFonts w:eastAsia="Adobe Gothic Std B"/>
          <w:sz w:val="24"/>
          <w:szCs w:val="24"/>
        </w:rPr>
        <w:t xml:space="preserve"> de 2016, </w:t>
      </w:r>
      <w:r w:rsidR="00604F55" w:rsidRPr="00B22514">
        <w:rPr>
          <w:rFonts w:eastAsia="Adobe Gothic Std B"/>
          <w:sz w:val="24"/>
          <w:szCs w:val="24"/>
        </w:rPr>
        <w:t>se encuentra ejecutoriada</w:t>
      </w:r>
      <w:r w:rsidR="000C7E66" w:rsidRPr="00B22514">
        <w:rPr>
          <w:rFonts w:eastAsia="Adobe Gothic Std B"/>
          <w:sz w:val="24"/>
          <w:szCs w:val="24"/>
        </w:rPr>
        <w:t xml:space="preserve"> y </w:t>
      </w:r>
      <w:r w:rsidR="002E3214" w:rsidRPr="00B22514">
        <w:rPr>
          <w:rFonts w:eastAsia="Adobe Gothic Std B"/>
          <w:sz w:val="24"/>
          <w:szCs w:val="24"/>
        </w:rPr>
        <w:t xml:space="preserve">se dictó con base en el criterio jurisprudencial según el cual la defensa debía aportar prueba </w:t>
      </w:r>
      <w:r w:rsidR="00D77BF1">
        <w:rPr>
          <w:rFonts w:eastAsia="Adobe Gothic Std B"/>
          <w:sz w:val="24"/>
          <w:szCs w:val="24"/>
        </w:rPr>
        <w:t xml:space="preserve"> que desvirtuara lo probado por la Fiscalía, esto era, el porte de los 6.3 gramos de cocaína por parte del procesado</w:t>
      </w:r>
      <w:r w:rsidR="00604F55" w:rsidRPr="00B22514">
        <w:rPr>
          <w:rFonts w:eastAsia="Adobe Gothic Std B"/>
          <w:sz w:val="24"/>
          <w:szCs w:val="24"/>
        </w:rPr>
        <w:t xml:space="preserve">, ii) mediante decisión dentro del radicado 44997 del 11 de julio de 2017, la SP de la CSJ cambió el criterio jurídico aplicable al delito de </w:t>
      </w:r>
      <w:r w:rsidR="00DD1685" w:rsidRPr="00B22514">
        <w:rPr>
          <w:rFonts w:eastAsia="Adobe Gothic Std B"/>
          <w:sz w:val="24"/>
          <w:szCs w:val="24"/>
        </w:rPr>
        <w:t>tráfico, fabricación y porte de estupefacientes</w:t>
      </w:r>
      <w:r w:rsidR="003858E3" w:rsidRPr="00B22514">
        <w:rPr>
          <w:rFonts w:eastAsia="Adobe Gothic Std B"/>
          <w:sz w:val="24"/>
          <w:szCs w:val="24"/>
        </w:rPr>
        <w:t xml:space="preserve"> aduciendo que correspondía a la FGN la prueba de</w:t>
      </w:r>
      <w:r w:rsidR="002B09E8" w:rsidRPr="00B22514">
        <w:rPr>
          <w:rFonts w:eastAsia="Adobe Gothic Std B"/>
          <w:sz w:val="24"/>
          <w:szCs w:val="24"/>
        </w:rPr>
        <w:t xml:space="preserve"> los elementos del tipo penal, entre ellos, el ánimo de distribución o tr</w:t>
      </w:r>
      <w:r w:rsidR="003256F2" w:rsidRPr="00B22514">
        <w:rPr>
          <w:rFonts w:eastAsia="Adobe Gothic Std B"/>
          <w:sz w:val="24"/>
          <w:szCs w:val="24"/>
        </w:rPr>
        <w:t>áfico de la sustancia</w:t>
      </w:r>
      <w:r w:rsidR="00DD1685" w:rsidRPr="00B22514">
        <w:rPr>
          <w:rFonts w:eastAsia="Adobe Gothic Std B"/>
          <w:sz w:val="24"/>
          <w:szCs w:val="24"/>
        </w:rPr>
        <w:t>, iii) aplicar al caso el criterio adoptado con el cambio jurisprudencial</w:t>
      </w:r>
      <w:r w:rsidR="003858E3" w:rsidRPr="00B22514">
        <w:rPr>
          <w:rFonts w:eastAsia="Adobe Gothic Std B"/>
          <w:sz w:val="24"/>
          <w:szCs w:val="24"/>
        </w:rPr>
        <w:t>,</w:t>
      </w:r>
      <w:r w:rsidR="00DD1685" w:rsidRPr="00B22514">
        <w:rPr>
          <w:rFonts w:eastAsia="Adobe Gothic Std B"/>
          <w:sz w:val="24"/>
          <w:szCs w:val="24"/>
        </w:rPr>
        <w:t xml:space="preserve"> resultaría favorable para el procesado.</w:t>
      </w:r>
    </w:p>
    <w:p w:rsidR="00C17852" w:rsidRPr="009905FF" w:rsidRDefault="00C17852" w:rsidP="009A6567">
      <w:pPr>
        <w:pStyle w:val="Prrafodelista"/>
        <w:spacing w:line="360" w:lineRule="auto"/>
        <w:ind w:left="142" w:right="-425"/>
        <w:jc w:val="both"/>
        <w:rPr>
          <w:i/>
          <w:sz w:val="24"/>
          <w:szCs w:val="24"/>
          <w:lang w:val="es-ES"/>
        </w:rPr>
      </w:pPr>
    </w:p>
    <w:p w:rsidR="003E2374" w:rsidRPr="003E2374" w:rsidRDefault="00B27712" w:rsidP="009A6567">
      <w:pPr>
        <w:pStyle w:val="Prrafodelista"/>
        <w:numPr>
          <w:ilvl w:val="1"/>
          <w:numId w:val="17"/>
        </w:numPr>
        <w:spacing w:line="360" w:lineRule="auto"/>
        <w:ind w:left="0" w:right="-425" w:firstLine="0"/>
        <w:jc w:val="both"/>
        <w:rPr>
          <w:rFonts w:eastAsia="Adobe Gothic Std B"/>
          <w:sz w:val="24"/>
          <w:szCs w:val="24"/>
        </w:rPr>
      </w:pPr>
      <w:r w:rsidRPr="00B27712">
        <w:rPr>
          <w:rFonts w:eastAsia="Adobe Gothic Std B"/>
          <w:sz w:val="24"/>
          <w:szCs w:val="24"/>
        </w:rPr>
        <w:t>Sobre el tema objeto de decisión</w:t>
      </w:r>
      <w:r w:rsidR="00B73A91">
        <w:rPr>
          <w:rFonts w:eastAsia="Adobe Gothic Std B"/>
          <w:sz w:val="24"/>
          <w:szCs w:val="24"/>
        </w:rPr>
        <w:t xml:space="preserve"> se tiene en primer lugar, que </w:t>
      </w:r>
      <w:r w:rsidR="003E2374">
        <w:rPr>
          <w:rFonts w:eastAsia="Adobe Gothic Std B"/>
          <w:sz w:val="24"/>
          <w:szCs w:val="24"/>
        </w:rPr>
        <w:t>mediante</w:t>
      </w:r>
      <w:r w:rsidR="00B73A91">
        <w:rPr>
          <w:rFonts w:eastAsia="Adobe Gothic Std B"/>
          <w:sz w:val="24"/>
          <w:szCs w:val="24"/>
        </w:rPr>
        <w:t xml:space="preserve"> la </w:t>
      </w:r>
      <w:r w:rsidR="002A3033">
        <w:rPr>
          <w:rFonts w:eastAsia="Adobe Gothic Std B"/>
          <w:sz w:val="24"/>
          <w:szCs w:val="24"/>
        </w:rPr>
        <w:t xml:space="preserve">sentencia </w:t>
      </w:r>
      <w:r w:rsidR="00B73A91">
        <w:rPr>
          <w:rFonts w:eastAsia="Adobe Gothic Std B"/>
          <w:sz w:val="24"/>
          <w:szCs w:val="24"/>
        </w:rPr>
        <w:t>C 221 de 1994 la Corte Constitucional con el fin de reivindicar el derecho al libre desarrollo de la personalidad despenalizó el porte para el consumo en proporcio</w:t>
      </w:r>
      <w:r w:rsidR="003E2374">
        <w:rPr>
          <w:rFonts w:eastAsia="Adobe Gothic Std B"/>
          <w:sz w:val="24"/>
          <w:szCs w:val="24"/>
        </w:rPr>
        <w:t xml:space="preserve">nes </w:t>
      </w:r>
      <w:r w:rsidR="002A3033">
        <w:rPr>
          <w:rFonts w:eastAsia="Adobe Gothic Std B"/>
          <w:sz w:val="24"/>
          <w:szCs w:val="24"/>
        </w:rPr>
        <w:t>equivalentes</w:t>
      </w:r>
      <w:r w:rsidR="003E2374">
        <w:rPr>
          <w:rFonts w:eastAsia="Adobe Gothic Std B"/>
          <w:sz w:val="24"/>
          <w:szCs w:val="24"/>
        </w:rPr>
        <w:t xml:space="preserve"> a la dosis personal, así se expuso en aquella providencia:</w:t>
      </w:r>
    </w:p>
    <w:p w:rsidR="0012624C" w:rsidRDefault="0012624C" w:rsidP="009A6567">
      <w:pPr>
        <w:pStyle w:val="Prrafodelista"/>
        <w:spacing w:line="360" w:lineRule="auto"/>
        <w:ind w:left="708" w:right="142"/>
        <w:jc w:val="both"/>
        <w:rPr>
          <w:rFonts w:eastAsia="Adobe Gothic Std B"/>
          <w:i/>
          <w:sz w:val="22"/>
          <w:szCs w:val="22"/>
        </w:rPr>
      </w:pPr>
    </w:p>
    <w:p w:rsidR="003E2374" w:rsidRDefault="003E2374" w:rsidP="009A6567">
      <w:pPr>
        <w:pStyle w:val="Prrafodelista"/>
        <w:spacing w:line="360" w:lineRule="auto"/>
        <w:ind w:left="708" w:right="142"/>
        <w:jc w:val="both"/>
        <w:rPr>
          <w:rFonts w:eastAsia="Adobe Gothic Std B"/>
          <w:i/>
          <w:sz w:val="22"/>
          <w:szCs w:val="22"/>
        </w:rPr>
      </w:pPr>
      <w:r w:rsidRPr="009A6567">
        <w:rPr>
          <w:rFonts w:eastAsia="Adobe Gothic Std B"/>
          <w:i/>
          <w:sz w:val="22"/>
          <w:szCs w:val="22"/>
        </w:rPr>
        <w:t xml:space="preserve">“Sólo las conductas que interfieran con la órbita de la libertad y los intereses ajenos, pueden ser jurídicamente exigibles. No se compadece con nuestro ordenamiento básico la tipificación, como delictiva, de una conducta que, en sí misma, sólo incumbe a quien la observa y, en consecuencia, está sustraída a la forma de control normativo que llamamos derecho y más aún a un sistema </w:t>
      </w:r>
      <w:r w:rsidRPr="009A6567">
        <w:rPr>
          <w:rFonts w:eastAsia="Adobe Gothic Std B"/>
          <w:i/>
          <w:sz w:val="22"/>
          <w:szCs w:val="22"/>
        </w:rPr>
        <w:lastRenderedPageBreak/>
        <w:t>jurídico respetuoso de la libertad y de la dignidad humana, como sin duda, lo es el nuestro.”</w:t>
      </w:r>
    </w:p>
    <w:p w:rsidR="0012624C" w:rsidRPr="009A6567" w:rsidRDefault="0012624C" w:rsidP="009A6567">
      <w:pPr>
        <w:pStyle w:val="Prrafodelista"/>
        <w:spacing w:line="360" w:lineRule="auto"/>
        <w:ind w:left="708" w:right="142"/>
        <w:jc w:val="both"/>
        <w:rPr>
          <w:rFonts w:eastAsia="Adobe Gothic Std B"/>
          <w:i/>
          <w:sz w:val="22"/>
          <w:szCs w:val="22"/>
        </w:rPr>
      </w:pPr>
    </w:p>
    <w:p w:rsidR="00B73A91" w:rsidRDefault="003E2374" w:rsidP="009A6567">
      <w:pPr>
        <w:pStyle w:val="Prrafodelista"/>
        <w:spacing w:line="360" w:lineRule="auto"/>
        <w:ind w:left="0" w:right="-425"/>
        <w:jc w:val="both"/>
        <w:rPr>
          <w:rFonts w:eastAsia="Adobe Gothic Std B"/>
          <w:sz w:val="24"/>
          <w:szCs w:val="24"/>
        </w:rPr>
      </w:pPr>
      <w:r>
        <w:rPr>
          <w:rFonts w:eastAsia="Adobe Gothic Std B"/>
          <w:sz w:val="24"/>
          <w:szCs w:val="24"/>
        </w:rPr>
        <w:t xml:space="preserve">Así pues, </w:t>
      </w:r>
      <w:r w:rsidR="00CE0459">
        <w:rPr>
          <w:rFonts w:eastAsia="Adobe Gothic Std B"/>
          <w:sz w:val="24"/>
          <w:szCs w:val="24"/>
        </w:rPr>
        <w:t xml:space="preserve">se estimó que </w:t>
      </w:r>
      <w:r>
        <w:rPr>
          <w:rFonts w:eastAsia="Adobe Gothic Std B"/>
          <w:sz w:val="24"/>
          <w:szCs w:val="24"/>
        </w:rPr>
        <w:t>no todas las conductas de porte de estupefacientes o sustancias alucinógenas eran delictivas, sin embargo, si</w:t>
      </w:r>
      <w:r w:rsidR="002A3033">
        <w:rPr>
          <w:rFonts w:eastAsia="Adobe Gothic Std B"/>
          <w:sz w:val="24"/>
          <w:szCs w:val="24"/>
        </w:rPr>
        <w:t xml:space="preserve"> lo eran aquellas que sobrepasab</w:t>
      </w:r>
      <w:r>
        <w:rPr>
          <w:rFonts w:eastAsia="Adobe Gothic Std B"/>
          <w:sz w:val="24"/>
          <w:szCs w:val="24"/>
        </w:rPr>
        <w:t xml:space="preserve">an la dosis personal </w:t>
      </w:r>
      <w:r w:rsidR="002A3033">
        <w:rPr>
          <w:rFonts w:eastAsia="Adobe Gothic Std B"/>
          <w:sz w:val="24"/>
          <w:szCs w:val="24"/>
        </w:rPr>
        <w:t>conforme al literal j) del artículo 2 de la Ley 30 de 1986.</w:t>
      </w:r>
    </w:p>
    <w:p w:rsidR="00270BF6" w:rsidRDefault="00270BF6" w:rsidP="009A6567">
      <w:pPr>
        <w:pStyle w:val="Prrafodelista"/>
        <w:spacing w:line="360" w:lineRule="auto"/>
        <w:ind w:left="0" w:right="-425"/>
        <w:jc w:val="both"/>
        <w:rPr>
          <w:rFonts w:eastAsia="Adobe Gothic Std B"/>
          <w:sz w:val="24"/>
          <w:szCs w:val="24"/>
        </w:rPr>
      </w:pPr>
    </w:p>
    <w:p w:rsidR="00270BF6" w:rsidRDefault="00270BF6" w:rsidP="009A6567">
      <w:pPr>
        <w:pStyle w:val="Prrafodelista"/>
        <w:spacing w:line="360" w:lineRule="auto"/>
        <w:ind w:left="0" w:right="-425"/>
        <w:jc w:val="both"/>
        <w:rPr>
          <w:rFonts w:eastAsia="Adobe Gothic Std B"/>
          <w:sz w:val="24"/>
          <w:szCs w:val="24"/>
        </w:rPr>
      </w:pPr>
      <w:r>
        <w:rPr>
          <w:rFonts w:eastAsia="Adobe Gothic Std B"/>
          <w:sz w:val="24"/>
          <w:szCs w:val="24"/>
        </w:rPr>
        <w:t>Posteriormente, el Acto Legislativo 02 de 2009 excluyó la posibilidad de imponer penas de reclusión en establecimientos carcelarios y facultó al legislador para establecer medidas pedagógicas, profilácticas o terapéuticas destinadas a los consumidores</w:t>
      </w:r>
      <w:r w:rsidR="00505684">
        <w:rPr>
          <w:rFonts w:eastAsia="Adobe Gothic Std B"/>
          <w:sz w:val="24"/>
          <w:szCs w:val="24"/>
        </w:rPr>
        <w:t xml:space="preserve">, a quienes se garantizaría la protección del derecho a la salud pública y quienes se distinguirían de los delincuentes, que eran aquellos que fabricaban, traficaban y distribuían drogas ilícitas. </w:t>
      </w:r>
    </w:p>
    <w:p w:rsidR="002A3033" w:rsidRDefault="002A3033" w:rsidP="009A6567">
      <w:pPr>
        <w:pStyle w:val="Prrafodelista"/>
        <w:spacing w:line="360" w:lineRule="auto"/>
        <w:ind w:left="0" w:right="-425"/>
        <w:jc w:val="both"/>
        <w:rPr>
          <w:rFonts w:eastAsia="Adobe Gothic Std B"/>
          <w:sz w:val="24"/>
          <w:szCs w:val="24"/>
        </w:rPr>
      </w:pPr>
    </w:p>
    <w:p w:rsidR="00B27712" w:rsidRDefault="00CE0459" w:rsidP="009A6567">
      <w:pPr>
        <w:pStyle w:val="Prrafodelista"/>
        <w:spacing w:line="360" w:lineRule="auto"/>
        <w:ind w:left="0" w:right="-425"/>
        <w:jc w:val="both"/>
        <w:rPr>
          <w:rFonts w:eastAsia="Adobe Gothic Std B"/>
          <w:sz w:val="24"/>
          <w:szCs w:val="24"/>
        </w:rPr>
      </w:pPr>
      <w:r>
        <w:rPr>
          <w:rFonts w:eastAsia="Adobe Gothic Std B"/>
          <w:sz w:val="24"/>
          <w:szCs w:val="24"/>
        </w:rPr>
        <w:t>Con respecto a lo</w:t>
      </w:r>
      <w:r w:rsidR="00505684">
        <w:rPr>
          <w:rFonts w:eastAsia="Adobe Gothic Std B"/>
          <w:sz w:val="24"/>
          <w:szCs w:val="24"/>
        </w:rPr>
        <w:t xml:space="preserve"> sostenid</w:t>
      </w:r>
      <w:r>
        <w:rPr>
          <w:rFonts w:eastAsia="Adobe Gothic Std B"/>
          <w:sz w:val="24"/>
          <w:szCs w:val="24"/>
        </w:rPr>
        <w:t>o</w:t>
      </w:r>
      <w:r w:rsidR="00D56F09">
        <w:rPr>
          <w:rFonts w:eastAsia="Adobe Gothic Std B"/>
          <w:sz w:val="24"/>
          <w:szCs w:val="24"/>
        </w:rPr>
        <w:t xml:space="preserve"> de tiempo atrás por esta Corporación,</w:t>
      </w:r>
      <w:r w:rsidR="009A1CA4">
        <w:rPr>
          <w:rFonts w:eastAsia="Adobe Gothic Std B"/>
          <w:sz w:val="24"/>
          <w:szCs w:val="24"/>
        </w:rPr>
        <w:t xml:space="preserve"> </w:t>
      </w:r>
      <w:r w:rsidR="00505684">
        <w:rPr>
          <w:rFonts w:eastAsia="Adobe Gothic Std B"/>
          <w:sz w:val="24"/>
          <w:szCs w:val="24"/>
        </w:rPr>
        <w:t xml:space="preserve">se había trazado </w:t>
      </w:r>
      <w:r w:rsidR="009A1CA4">
        <w:rPr>
          <w:rFonts w:eastAsia="Adobe Gothic Std B"/>
          <w:sz w:val="24"/>
          <w:szCs w:val="24"/>
        </w:rPr>
        <w:t>una</w:t>
      </w:r>
      <w:r w:rsidR="00D56F09">
        <w:rPr>
          <w:rFonts w:eastAsia="Adobe Gothic Std B"/>
          <w:sz w:val="24"/>
          <w:szCs w:val="24"/>
        </w:rPr>
        <w:t xml:space="preserve"> línea jurisprudencial</w:t>
      </w:r>
      <w:r w:rsidR="00B27712" w:rsidRPr="00B27712">
        <w:rPr>
          <w:rFonts w:eastAsia="Adobe Gothic Std B"/>
          <w:sz w:val="24"/>
          <w:szCs w:val="24"/>
        </w:rPr>
        <w:t xml:space="preserve"> con fundamento en precedentes de la </w:t>
      </w:r>
      <w:r w:rsidR="00C22B89">
        <w:rPr>
          <w:rFonts w:eastAsia="Adobe Gothic Std B"/>
          <w:sz w:val="24"/>
          <w:szCs w:val="24"/>
        </w:rPr>
        <w:t>C.S.J.</w:t>
      </w:r>
      <w:r>
        <w:rPr>
          <w:rFonts w:eastAsia="Adobe Gothic Std B"/>
          <w:sz w:val="24"/>
          <w:szCs w:val="24"/>
        </w:rPr>
        <w:t xml:space="preserve"> según los</w:t>
      </w:r>
      <w:r w:rsidR="00B73A91">
        <w:rPr>
          <w:rFonts w:eastAsia="Adobe Gothic Std B"/>
          <w:sz w:val="24"/>
          <w:szCs w:val="24"/>
        </w:rPr>
        <w:t xml:space="preserve"> cual</w:t>
      </w:r>
      <w:r>
        <w:rPr>
          <w:rFonts w:eastAsia="Adobe Gothic Std B"/>
          <w:sz w:val="24"/>
          <w:szCs w:val="24"/>
        </w:rPr>
        <w:t>es</w:t>
      </w:r>
      <w:r w:rsidR="00B73A91">
        <w:rPr>
          <w:rFonts w:eastAsia="Adobe Gothic Std B"/>
          <w:sz w:val="24"/>
          <w:szCs w:val="24"/>
        </w:rPr>
        <w:t xml:space="preserve"> </w:t>
      </w:r>
      <w:r w:rsidR="00B27712" w:rsidRPr="00B27712">
        <w:rPr>
          <w:rFonts w:eastAsia="Adobe Gothic Std B"/>
          <w:sz w:val="24"/>
          <w:szCs w:val="24"/>
        </w:rPr>
        <w:t>lo de ser o no consumidor de estupefacientes era algo que únicamente interesaba para aquellos casos en que se estaba ante la incautación de una cantidad que no superaba la dosis pers</w:t>
      </w:r>
      <w:r w:rsidR="00B73A91">
        <w:rPr>
          <w:rFonts w:eastAsia="Adobe Gothic Std B"/>
          <w:sz w:val="24"/>
          <w:szCs w:val="24"/>
        </w:rPr>
        <w:t>onal o de aprovisionamiento, y por tanto</w:t>
      </w:r>
      <w:r w:rsidR="00B27712" w:rsidRPr="00B27712">
        <w:rPr>
          <w:rFonts w:eastAsia="Adobe Gothic Std B"/>
          <w:sz w:val="24"/>
          <w:szCs w:val="24"/>
        </w:rPr>
        <w:t xml:space="preserve">, </w:t>
      </w:r>
      <w:r w:rsidR="00B27712" w:rsidRPr="00B73A91">
        <w:rPr>
          <w:rFonts w:eastAsia="Adobe Gothic Std B"/>
          <w:i/>
          <w:sz w:val="24"/>
          <w:szCs w:val="24"/>
        </w:rPr>
        <w:t>contrario sensu</w:t>
      </w:r>
      <w:r w:rsidR="00B27712" w:rsidRPr="00B27712">
        <w:rPr>
          <w:rFonts w:eastAsia="Adobe Gothic Std B"/>
          <w:sz w:val="24"/>
          <w:szCs w:val="24"/>
        </w:rPr>
        <w:t xml:space="preserve">, cuando esa cantidad </w:t>
      </w:r>
      <w:r w:rsidR="00B73A91">
        <w:rPr>
          <w:rFonts w:eastAsia="Adobe Gothic Std B"/>
          <w:sz w:val="24"/>
          <w:szCs w:val="24"/>
        </w:rPr>
        <w:t>fuera</w:t>
      </w:r>
      <w:r w:rsidR="00B27712" w:rsidRPr="00B27712">
        <w:rPr>
          <w:rFonts w:eastAsia="Adobe Gothic Std B"/>
          <w:sz w:val="24"/>
          <w:szCs w:val="24"/>
        </w:rPr>
        <w:t xml:space="preserve"> superior a la dosis permitida, se presumía de pleno derecho que con tal comportamiento se vulneraba de manera eficaz y efectiva el i</w:t>
      </w:r>
      <w:r w:rsidR="00B27712">
        <w:rPr>
          <w:rFonts w:eastAsia="Adobe Gothic Std B"/>
          <w:sz w:val="24"/>
          <w:szCs w:val="24"/>
        </w:rPr>
        <w:t>nterés jurídicamente protegido.</w:t>
      </w:r>
    </w:p>
    <w:p w:rsidR="00B27712" w:rsidRPr="00B27712" w:rsidRDefault="00B27712" w:rsidP="009A6567">
      <w:pPr>
        <w:pStyle w:val="Prrafodelista"/>
        <w:ind w:right="-425"/>
        <w:rPr>
          <w:rFonts w:eastAsia="Adobe Gothic Std B"/>
          <w:sz w:val="24"/>
          <w:szCs w:val="24"/>
        </w:rPr>
      </w:pPr>
    </w:p>
    <w:p w:rsidR="002E3214" w:rsidRPr="00C22B89" w:rsidRDefault="00B22514" w:rsidP="009A6567">
      <w:pPr>
        <w:spacing w:line="360" w:lineRule="auto"/>
        <w:ind w:right="-425"/>
        <w:jc w:val="both"/>
        <w:rPr>
          <w:rFonts w:eastAsia="Adobe Gothic Std B"/>
          <w:sz w:val="24"/>
          <w:szCs w:val="24"/>
        </w:rPr>
      </w:pPr>
      <w:r>
        <w:rPr>
          <w:rFonts w:eastAsia="Adobe Gothic Std B"/>
          <w:sz w:val="24"/>
          <w:szCs w:val="24"/>
        </w:rPr>
        <w:t>Ulteriormente</w:t>
      </w:r>
      <w:r w:rsidR="002E3214" w:rsidRPr="00C22B89">
        <w:rPr>
          <w:rFonts w:eastAsia="Adobe Gothic Std B"/>
          <w:sz w:val="24"/>
          <w:szCs w:val="24"/>
        </w:rPr>
        <w:t xml:space="preserve">, </w:t>
      </w:r>
      <w:r w:rsidR="002E3214">
        <w:rPr>
          <w:rFonts w:eastAsia="Adobe Gothic Std B"/>
          <w:sz w:val="24"/>
          <w:szCs w:val="24"/>
        </w:rPr>
        <w:t xml:space="preserve">la jurisprudencia de </w:t>
      </w:r>
      <w:r w:rsidR="002E3214" w:rsidRPr="00C22B89">
        <w:rPr>
          <w:rFonts w:eastAsia="Adobe Gothic Std B"/>
          <w:sz w:val="24"/>
          <w:szCs w:val="24"/>
        </w:rPr>
        <w:t>dicho órgano determinó que las conductas en las que se superaba la cantidad establecida como dosis personal o la concebida como dosis de aprovisionamiento, debían analizarse en sede de antijuridicidad material en aras de establecer si se afectaba realmente</w:t>
      </w:r>
      <w:r w:rsidR="002E3214">
        <w:rPr>
          <w:rFonts w:eastAsia="Adobe Gothic Std B"/>
          <w:sz w:val="24"/>
          <w:szCs w:val="24"/>
        </w:rPr>
        <w:t xml:space="preserve"> el bien jurídico tutelado -R</w:t>
      </w:r>
      <w:r w:rsidR="002E3214" w:rsidRPr="00C22B89">
        <w:rPr>
          <w:rFonts w:eastAsia="Adobe Gothic Std B"/>
          <w:sz w:val="24"/>
          <w:szCs w:val="24"/>
        </w:rPr>
        <w:t xml:space="preserve">ad. 33409 </w:t>
      </w:r>
      <w:r w:rsidR="002E3214">
        <w:rPr>
          <w:rFonts w:eastAsia="Adobe Gothic Std B"/>
          <w:sz w:val="24"/>
          <w:szCs w:val="24"/>
        </w:rPr>
        <w:t>(</w:t>
      </w:r>
      <w:r w:rsidR="002E3214" w:rsidRPr="00C22B89">
        <w:rPr>
          <w:rFonts w:eastAsia="Adobe Gothic Std B"/>
          <w:sz w:val="24"/>
          <w:szCs w:val="24"/>
        </w:rPr>
        <w:t>SP</w:t>
      </w:r>
      <w:r w:rsidR="002E3214">
        <w:rPr>
          <w:rFonts w:eastAsia="Adobe Gothic Std B"/>
          <w:sz w:val="24"/>
          <w:szCs w:val="24"/>
        </w:rPr>
        <w:t xml:space="preserve">11726 del </w:t>
      </w:r>
      <w:r w:rsidR="002E3214" w:rsidRPr="00C22B89">
        <w:rPr>
          <w:rFonts w:eastAsia="Adobe Gothic Std B"/>
          <w:sz w:val="24"/>
          <w:szCs w:val="24"/>
        </w:rPr>
        <w:t>03</w:t>
      </w:r>
      <w:r w:rsidR="002E3214">
        <w:rPr>
          <w:rFonts w:eastAsia="Adobe Gothic Std B"/>
          <w:sz w:val="24"/>
          <w:szCs w:val="24"/>
        </w:rPr>
        <w:t xml:space="preserve"> de septiembre de 2014) y R</w:t>
      </w:r>
      <w:r w:rsidR="002E3214" w:rsidRPr="00C22B89">
        <w:rPr>
          <w:rFonts w:eastAsia="Adobe Gothic Std B"/>
          <w:sz w:val="24"/>
          <w:szCs w:val="24"/>
        </w:rPr>
        <w:t>ad. 42617</w:t>
      </w:r>
      <w:r w:rsidR="002E3214">
        <w:rPr>
          <w:rFonts w:eastAsia="Adobe Gothic Std B"/>
          <w:sz w:val="24"/>
          <w:szCs w:val="24"/>
        </w:rPr>
        <w:t xml:space="preserve"> (SP15519 del 12 de noviembre de 20</w:t>
      </w:r>
      <w:r w:rsidR="002E3214" w:rsidRPr="00C22B89">
        <w:rPr>
          <w:rFonts w:eastAsia="Adobe Gothic Std B"/>
          <w:sz w:val="24"/>
          <w:szCs w:val="24"/>
        </w:rPr>
        <w:t>14</w:t>
      </w:r>
      <w:r w:rsidR="002E3214">
        <w:rPr>
          <w:rFonts w:eastAsia="Adobe Gothic Std B"/>
          <w:sz w:val="24"/>
          <w:szCs w:val="24"/>
        </w:rPr>
        <w:t>)</w:t>
      </w:r>
      <w:r w:rsidR="002E3214" w:rsidRPr="00C22B89">
        <w:rPr>
          <w:rFonts w:eastAsia="Adobe Gothic Std B"/>
          <w:sz w:val="24"/>
          <w:szCs w:val="24"/>
        </w:rPr>
        <w:t>, entre otras-, e incluso, que en l</w:t>
      </w:r>
      <w:r w:rsidR="002E3214">
        <w:rPr>
          <w:rFonts w:eastAsia="Adobe Gothic Std B"/>
          <w:sz w:val="24"/>
          <w:szCs w:val="24"/>
        </w:rPr>
        <w:t>os eventos en los que se excediera</w:t>
      </w:r>
      <w:r w:rsidR="002E3214" w:rsidRPr="00C22B89">
        <w:rPr>
          <w:rFonts w:eastAsia="Adobe Gothic Std B"/>
          <w:sz w:val="24"/>
          <w:szCs w:val="24"/>
        </w:rPr>
        <w:t xml:space="preserve"> el límite de lo permitido</w:t>
      </w:r>
      <w:r w:rsidR="002E3214">
        <w:rPr>
          <w:rFonts w:eastAsia="Adobe Gothic Std B"/>
          <w:sz w:val="24"/>
          <w:szCs w:val="24"/>
        </w:rPr>
        <w:t>,</w:t>
      </w:r>
      <w:r w:rsidR="002E3214" w:rsidRPr="00C22B89">
        <w:rPr>
          <w:rFonts w:eastAsia="Adobe Gothic Std B"/>
          <w:sz w:val="24"/>
          <w:szCs w:val="24"/>
        </w:rPr>
        <w:t xml:space="preserve"> c</w:t>
      </w:r>
      <w:r w:rsidR="002E3214">
        <w:rPr>
          <w:rFonts w:eastAsia="Adobe Gothic Std B"/>
          <w:sz w:val="24"/>
          <w:szCs w:val="24"/>
        </w:rPr>
        <w:t>omo delito de peligro abstracto</w:t>
      </w:r>
      <w:r w:rsidR="002E3214" w:rsidRPr="00C22B89">
        <w:rPr>
          <w:rFonts w:eastAsia="Adobe Gothic Std B"/>
          <w:sz w:val="24"/>
          <w:szCs w:val="24"/>
        </w:rPr>
        <w:t xml:space="preserve"> la presunción era legal -iuris tantum- y n</w:t>
      </w:r>
      <w:r w:rsidR="002E3214">
        <w:rPr>
          <w:rFonts w:eastAsia="Adobe Gothic Std B"/>
          <w:sz w:val="24"/>
          <w:szCs w:val="24"/>
        </w:rPr>
        <w:t>o de derecho -iuris et de iure-</w:t>
      </w:r>
      <w:r w:rsidR="002E3214" w:rsidRPr="00C22B89">
        <w:rPr>
          <w:rFonts w:eastAsia="Adobe Gothic Std B"/>
          <w:sz w:val="24"/>
          <w:szCs w:val="24"/>
        </w:rPr>
        <w:t xml:space="preserve"> y como consecuencia de ello admitía prueba en contrario; por tanto, la cantidad de estupefaciente incautado no sería el único elemento para definir ese aspecto, sino uno más de los que el fallador debía valorar a efectos de resolver lo pertinente.</w:t>
      </w:r>
    </w:p>
    <w:p w:rsidR="00B27712" w:rsidRPr="00B27712" w:rsidRDefault="00B27712" w:rsidP="009A6567">
      <w:pPr>
        <w:pStyle w:val="Prrafodelista"/>
        <w:ind w:right="-425"/>
        <w:rPr>
          <w:rFonts w:eastAsia="Adobe Gothic Std B"/>
          <w:sz w:val="24"/>
          <w:szCs w:val="24"/>
        </w:rPr>
      </w:pPr>
    </w:p>
    <w:p w:rsidR="00B22514" w:rsidRPr="007431DD" w:rsidRDefault="00C17852" w:rsidP="009A6567">
      <w:pPr>
        <w:pStyle w:val="Prrafodelista"/>
        <w:numPr>
          <w:ilvl w:val="1"/>
          <w:numId w:val="17"/>
        </w:numPr>
        <w:spacing w:line="360" w:lineRule="auto"/>
        <w:ind w:left="0" w:right="-425" w:firstLine="0"/>
        <w:jc w:val="both"/>
        <w:rPr>
          <w:i/>
          <w:sz w:val="24"/>
          <w:szCs w:val="24"/>
        </w:rPr>
      </w:pPr>
      <w:r w:rsidRPr="009905FF">
        <w:rPr>
          <w:rFonts w:eastAsia="Adobe Gothic Std B"/>
          <w:sz w:val="24"/>
          <w:szCs w:val="24"/>
        </w:rPr>
        <w:t xml:space="preserve"> </w:t>
      </w:r>
      <w:r w:rsidR="00B22514" w:rsidRPr="007431DD">
        <w:rPr>
          <w:rFonts w:eastAsia="Adobe Gothic Std B"/>
          <w:sz w:val="24"/>
          <w:szCs w:val="24"/>
        </w:rPr>
        <w:t>En razón  de la jurisprudencia vigente actualmente sobre la materia, la decisión que se adopta en la presente acción de revisión, se fundament</w:t>
      </w:r>
      <w:r w:rsidR="00B22514">
        <w:rPr>
          <w:rFonts w:eastAsia="Adobe Gothic Std B"/>
          <w:sz w:val="24"/>
          <w:szCs w:val="24"/>
        </w:rPr>
        <w:t>a</w:t>
      </w:r>
      <w:r w:rsidR="00B22514" w:rsidRPr="007431DD">
        <w:rPr>
          <w:rFonts w:eastAsia="Adobe Gothic Std B"/>
          <w:sz w:val="24"/>
          <w:szCs w:val="24"/>
        </w:rPr>
        <w:t xml:space="preserve"> en el precedente CSJ </w:t>
      </w:r>
      <w:r w:rsidR="00B22514" w:rsidRPr="007431DD">
        <w:rPr>
          <w:rFonts w:eastAsia="Adobe Gothic Std B"/>
          <w:sz w:val="24"/>
          <w:szCs w:val="24"/>
        </w:rPr>
        <w:lastRenderedPageBreak/>
        <w:t>de 11 de julio de 2017, radicado 44997, donde se expuso lo siguiente e</w:t>
      </w:r>
      <w:r w:rsidR="00B22514">
        <w:rPr>
          <w:rFonts w:eastAsia="Adobe Gothic Std B"/>
          <w:sz w:val="24"/>
          <w:szCs w:val="24"/>
        </w:rPr>
        <w:t>n sus apartes má</w:t>
      </w:r>
      <w:r w:rsidR="00B22514" w:rsidRPr="007431DD">
        <w:rPr>
          <w:rFonts w:eastAsia="Adobe Gothic Std B"/>
          <w:sz w:val="24"/>
          <w:szCs w:val="24"/>
        </w:rPr>
        <w:t>s relevantes :</w:t>
      </w:r>
    </w:p>
    <w:p w:rsidR="00B22514" w:rsidRPr="007431DD" w:rsidRDefault="00B22514" w:rsidP="009A6567">
      <w:pPr>
        <w:spacing w:line="360" w:lineRule="auto"/>
        <w:ind w:right="-425"/>
        <w:jc w:val="both"/>
        <w:rPr>
          <w:i/>
          <w:sz w:val="24"/>
          <w:szCs w:val="24"/>
        </w:rPr>
      </w:pPr>
    </w:p>
    <w:p w:rsidR="00B22514" w:rsidRDefault="00B22514" w:rsidP="009A6567">
      <w:pPr>
        <w:spacing w:line="360" w:lineRule="auto"/>
        <w:ind w:right="-425"/>
        <w:jc w:val="both"/>
        <w:rPr>
          <w:sz w:val="24"/>
          <w:szCs w:val="24"/>
          <w:lang w:val="es-ES"/>
        </w:rPr>
      </w:pPr>
      <w:r w:rsidRPr="007431DD">
        <w:rPr>
          <w:sz w:val="24"/>
          <w:szCs w:val="24"/>
        </w:rPr>
        <w:t xml:space="preserve">4.7.1. Se hizo referencia a las sentencias  </w:t>
      </w:r>
      <w:r w:rsidRPr="007431DD">
        <w:rPr>
          <w:sz w:val="24"/>
          <w:szCs w:val="24"/>
          <w:lang w:val="es-ES"/>
        </w:rPr>
        <w:t>C-221 de 1994</w:t>
      </w:r>
      <w:r>
        <w:rPr>
          <w:sz w:val="24"/>
          <w:szCs w:val="24"/>
          <w:lang w:val="es-ES"/>
        </w:rPr>
        <w:t>, C- 689 de 2002, C</w:t>
      </w:r>
      <w:r w:rsidRPr="007431DD">
        <w:rPr>
          <w:sz w:val="24"/>
          <w:szCs w:val="24"/>
          <w:lang w:val="es-ES"/>
        </w:rPr>
        <w:t>- 574 y C- 582 de 2011 y C- 491 de 2012, a efectos de distinguir el tratamiento que se debía dar a los casos de conductas dirigidas al consumo de lo que se ha definido como dosis para uso individual según el artículo 2º, literal j) de  la Ley 30 de 1986 y  aquellas dirigidas al tráfico o comercialización de estupefacientes, que debían ser penalizadas en virtud de tener un propósito de lucro.</w:t>
      </w:r>
    </w:p>
    <w:p w:rsidR="00B22514" w:rsidRPr="007431DD" w:rsidRDefault="00B22514" w:rsidP="009A6567">
      <w:pPr>
        <w:spacing w:line="360" w:lineRule="auto"/>
        <w:ind w:right="-425"/>
        <w:jc w:val="both"/>
        <w:rPr>
          <w:sz w:val="24"/>
          <w:szCs w:val="24"/>
          <w:lang w:val="es-ES"/>
        </w:rPr>
      </w:pPr>
    </w:p>
    <w:p w:rsidR="00B22514" w:rsidRPr="00A100FA" w:rsidRDefault="00B22514" w:rsidP="009A6567">
      <w:pPr>
        <w:tabs>
          <w:tab w:val="left" w:pos="709"/>
        </w:tabs>
        <w:spacing w:line="360" w:lineRule="auto"/>
        <w:ind w:right="-425"/>
        <w:jc w:val="both"/>
        <w:rPr>
          <w:sz w:val="24"/>
          <w:szCs w:val="24"/>
          <w:lang w:val="es-ES"/>
        </w:rPr>
      </w:pPr>
      <w:r w:rsidRPr="00A100FA">
        <w:rPr>
          <w:sz w:val="24"/>
          <w:szCs w:val="24"/>
          <w:lang w:val="es-ES"/>
        </w:rPr>
        <w:t xml:space="preserve">4.7.2 Se hizo </w:t>
      </w:r>
      <w:r>
        <w:rPr>
          <w:sz w:val="24"/>
          <w:szCs w:val="24"/>
          <w:lang w:val="es-ES"/>
        </w:rPr>
        <w:t>alusión</w:t>
      </w:r>
      <w:r w:rsidRPr="00A100FA">
        <w:rPr>
          <w:sz w:val="24"/>
          <w:szCs w:val="24"/>
          <w:lang w:val="es-ES"/>
        </w:rPr>
        <w:t xml:space="preserve"> a la posición de la SP de la CSJ </w:t>
      </w:r>
      <w:r w:rsidR="00453274">
        <w:rPr>
          <w:sz w:val="24"/>
          <w:szCs w:val="24"/>
          <w:lang w:val="es-ES"/>
        </w:rPr>
        <w:t>sobre</w:t>
      </w:r>
      <w:r w:rsidRPr="00A100FA">
        <w:rPr>
          <w:sz w:val="24"/>
          <w:szCs w:val="24"/>
          <w:lang w:val="es-ES"/>
        </w:rPr>
        <w:t xml:space="preserve"> la libertad de configuración legislativa para configurar tipos de peligro abstracto, y se dijo:  </w:t>
      </w:r>
    </w:p>
    <w:p w:rsidR="0012624C" w:rsidRDefault="0012624C" w:rsidP="009A6567">
      <w:pPr>
        <w:pStyle w:val="Prrafodelista"/>
        <w:tabs>
          <w:tab w:val="left" w:pos="709"/>
          <w:tab w:val="left" w:pos="8505"/>
        </w:tabs>
        <w:spacing w:line="360" w:lineRule="auto"/>
        <w:jc w:val="both"/>
        <w:rPr>
          <w:sz w:val="24"/>
          <w:szCs w:val="24"/>
          <w:lang w:val="es-ES"/>
        </w:rPr>
      </w:pPr>
    </w:p>
    <w:p w:rsidR="00B22514" w:rsidRPr="00CA6699" w:rsidRDefault="00B22514" w:rsidP="009A6567">
      <w:pPr>
        <w:pStyle w:val="Prrafodelista"/>
        <w:tabs>
          <w:tab w:val="left" w:pos="709"/>
          <w:tab w:val="left" w:pos="8505"/>
        </w:tabs>
        <w:spacing w:line="360" w:lineRule="auto"/>
        <w:jc w:val="both"/>
        <w:rPr>
          <w:i/>
          <w:sz w:val="22"/>
          <w:szCs w:val="22"/>
          <w:lang w:val="es-ES"/>
        </w:rPr>
      </w:pPr>
      <w:r>
        <w:rPr>
          <w:sz w:val="24"/>
          <w:szCs w:val="24"/>
          <w:lang w:val="es-ES"/>
        </w:rPr>
        <w:t>“</w:t>
      </w:r>
      <w:r w:rsidRPr="007431DD">
        <w:rPr>
          <w:sz w:val="24"/>
          <w:szCs w:val="24"/>
          <w:lang w:val="es-ES"/>
        </w:rPr>
        <w:t xml:space="preserve">(... </w:t>
      </w:r>
      <w:r>
        <w:rPr>
          <w:sz w:val="24"/>
          <w:szCs w:val="24"/>
          <w:lang w:val="es-ES"/>
        </w:rPr>
        <w:t xml:space="preserve">) </w:t>
      </w:r>
      <w:r w:rsidRPr="00CA6699">
        <w:rPr>
          <w:i/>
          <w:sz w:val="22"/>
          <w:szCs w:val="22"/>
          <w:lang w:val="es-ES"/>
        </w:rPr>
        <w:t>Sin embargo, precisando aquel concepto, la Sala definió con base en su propia jurisprudencia, que no obstante la legitimidad del legislador para configurar delitos de peligro abstracto, estos no pueden contener una presunción iuris et de iure y en todos los casos admite prueba en contrario en el proceso valorativo sobre su lesividad, llevado a cabo por el juez frente a la conducta concreta:</w:t>
      </w:r>
    </w:p>
    <w:p w:rsidR="00B22514" w:rsidRPr="00CA6699" w:rsidRDefault="00B22514" w:rsidP="009A6567">
      <w:pPr>
        <w:pStyle w:val="Prrafodelista"/>
        <w:tabs>
          <w:tab w:val="left" w:pos="709"/>
          <w:tab w:val="left" w:pos="8505"/>
        </w:tabs>
        <w:spacing w:line="360" w:lineRule="auto"/>
        <w:jc w:val="both"/>
        <w:rPr>
          <w:i/>
          <w:sz w:val="22"/>
          <w:szCs w:val="22"/>
          <w:lang w:val="es-ES"/>
        </w:rPr>
      </w:pPr>
    </w:p>
    <w:p w:rsidR="00B22514" w:rsidRPr="00CA6699" w:rsidRDefault="00B22514" w:rsidP="009A6567">
      <w:pPr>
        <w:pStyle w:val="Prrafodelista"/>
        <w:tabs>
          <w:tab w:val="left" w:pos="709"/>
          <w:tab w:val="left" w:pos="8505"/>
        </w:tabs>
        <w:spacing w:line="360" w:lineRule="auto"/>
        <w:jc w:val="both"/>
        <w:rPr>
          <w:i/>
          <w:sz w:val="22"/>
          <w:szCs w:val="22"/>
          <w:lang w:val="es-ES"/>
        </w:rPr>
      </w:pPr>
      <w:r w:rsidRPr="00CA6699">
        <w:rPr>
          <w:i/>
          <w:sz w:val="22"/>
          <w:szCs w:val="22"/>
          <w:lang w:val="es-ES"/>
        </w:rPr>
        <w:t>[E]l porte de estupefacientes en una cantidad superior a la establecida legalmente como dosis de uso personal, es una conducta típica que se presume antijurídica. Sin embargo, como quiera que tal presunción ostenta carácter  iuris tantum, la prueba de que su</w:t>
      </w:r>
      <w:r w:rsidRPr="00CA6699">
        <w:rPr>
          <w:sz w:val="22"/>
          <w:szCs w:val="22"/>
          <w:lang w:val="es-ES"/>
        </w:rPr>
        <w:t xml:space="preserve"> </w:t>
      </w:r>
      <w:r w:rsidRPr="00CA6699">
        <w:rPr>
          <w:i/>
          <w:sz w:val="22"/>
          <w:szCs w:val="22"/>
          <w:lang w:val="es-ES"/>
        </w:rPr>
        <w:t xml:space="preserve">destino es el consumo estrictamente personal sin que apareje interferencia en derechos ajenos (orden socio-económico o la seguridad pública), desvirtúa tal suposición legal y, por ende, excluye la responsabilidad penal. En consecuencia, la cantidad de estupefaciente que se lleve consigo no es el único elemento definitorio de la antijuridicidad, sino sólo uno más de los que habrán de valorar los juzgadores a fin de determinar la licitud de la finalidad del porte.    </w:t>
      </w:r>
    </w:p>
    <w:p w:rsidR="00B22514" w:rsidRPr="00CA6699" w:rsidRDefault="00B22514" w:rsidP="009A6567">
      <w:pPr>
        <w:pStyle w:val="Prrafodelista"/>
        <w:tabs>
          <w:tab w:val="left" w:pos="709"/>
          <w:tab w:val="left" w:pos="8505"/>
        </w:tabs>
        <w:spacing w:line="360" w:lineRule="auto"/>
        <w:jc w:val="both"/>
        <w:rPr>
          <w:sz w:val="22"/>
          <w:szCs w:val="22"/>
          <w:lang w:val="es-ES"/>
        </w:rPr>
      </w:pPr>
    </w:p>
    <w:p w:rsidR="00B22514" w:rsidRPr="00CA6699" w:rsidRDefault="00B22514" w:rsidP="009A6567">
      <w:pPr>
        <w:pStyle w:val="Prrafodelista"/>
        <w:tabs>
          <w:tab w:val="left" w:pos="709"/>
          <w:tab w:val="left" w:pos="8505"/>
        </w:tabs>
        <w:spacing w:line="360" w:lineRule="auto"/>
        <w:jc w:val="both"/>
        <w:rPr>
          <w:i/>
          <w:sz w:val="22"/>
          <w:szCs w:val="22"/>
          <w:lang w:val="es-ES"/>
        </w:rPr>
      </w:pPr>
      <w:r w:rsidRPr="00CA6699">
        <w:rPr>
          <w:i/>
          <w:sz w:val="22"/>
          <w:szCs w:val="22"/>
          <w:lang w:val="es-ES"/>
        </w:rPr>
        <w:t xml:space="preserve">Con ello quedaba resuelto el problema relacionado con el peso de la sustancia que era objeto de porte, pues la cantidad deja de ser un factor determinante a efectos de establecer la lesividad de la conducta, precisándose la posibilidad de desvirtuarse en el juicio concreto de responsabilidad el carácter antijurídico presunto de las acciones de llevar consigo sustancias estupefacientes que desbordan los límites previstos legalmente para la dosis de uso personal. </w:t>
      </w:r>
    </w:p>
    <w:p w:rsidR="00B22514" w:rsidRPr="00CA6699" w:rsidRDefault="00B22514" w:rsidP="009A6567">
      <w:pPr>
        <w:pStyle w:val="Prrafodelista"/>
        <w:tabs>
          <w:tab w:val="left" w:pos="709"/>
          <w:tab w:val="left" w:pos="8505"/>
        </w:tabs>
        <w:spacing w:line="360" w:lineRule="auto"/>
        <w:jc w:val="both"/>
        <w:rPr>
          <w:i/>
          <w:sz w:val="22"/>
          <w:szCs w:val="22"/>
          <w:lang w:val="es-ES"/>
        </w:rPr>
      </w:pPr>
    </w:p>
    <w:p w:rsidR="00B22514" w:rsidRPr="00CA6699" w:rsidRDefault="00B22514" w:rsidP="009A6567">
      <w:pPr>
        <w:pStyle w:val="Prrafodelista"/>
        <w:tabs>
          <w:tab w:val="left" w:pos="709"/>
          <w:tab w:val="left" w:pos="8505"/>
        </w:tabs>
        <w:spacing w:line="360" w:lineRule="auto"/>
        <w:jc w:val="both"/>
        <w:rPr>
          <w:sz w:val="22"/>
          <w:szCs w:val="22"/>
          <w:lang w:val="es-ES"/>
        </w:rPr>
      </w:pPr>
      <w:r w:rsidRPr="00CA6699">
        <w:rPr>
          <w:i/>
          <w:sz w:val="22"/>
          <w:szCs w:val="22"/>
          <w:lang w:val="es-ES"/>
        </w:rPr>
        <w:t xml:space="preserve">El tema fue retomado, finalmente, en las sentencias CSJ SP-2940, 9 mar. 2016, rad. 41760; CSJ SP-4131, 6 abr. 2016, rad. 43512; y, CSJ SP-3605, 15 mar. 2017, rad. 43725, en las que se acentuó la vigencia del concepto de dosis mínima para el uso personal, previsto en el literal j) del artículo 2º de la Ley 30 de 1986, bajo el </w:t>
      </w:r>
      <w:r w:rsidRPr="00CA6699">
        <w:rPr>
          <w:i/>
          <w:sz w:val="22"/>
          <w:szCs w:val="22"/>
          <w:lang w:val="es-ES"/>
        </w:rPr>
        <w:lastRenderedPageBreak/>
        <w:t>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r w:rsidRPr="00CA6699">
        <w:rPr>
          <w:sz w:val="22"/>
          <w:szCs w:val="22"/>
          <w:lang w:val="es-ES"/>
        </w:rPr>
        <w:t>.</w:t>
      </w:r>
    </w:p>
    <w:p w:rsidR="00B22514" w:rsidRPr="00CA6699" w:rsidRDefault="00B22514" w:rsidP="009A6567">
      <w:pPr>
        <w:pStyle w:val="Prrafodelista"/>
        <w:tabs>
          <w:tab w:val="left" w:pos="709"/>
          <w:tab w:val="left" w:pos="8505"/>
        </w:tabs>
        <w:spacing w:line="360" w:lineRule="auto"/>
        <w:jc w:val="both"/>
        <w:rPr>
          <w:i/>
          <w:sz w:val="22"/>
          <w:szCs w:val="22"/>
          <w:lang w:val="es-ES"/>
        </w:rPr>
      </w:pPr>
    </w:p>
    <w:p w:rsidR="00B22514" w:rsidRPr="00CA6699" w:rsidRDefault="00B22514" w:rsidP="009A6567">
      <w:pPr>
        <w:pStyle w:val="Prrafodelista"/>
        <w:tabs>
          <w:tab w:val="left" w:pos="709"/>
          <w:tab w:val="left" w:pos="8505"/>
        </w:tabs>
        <w:spacing w:line="360" w:lineRule="auto"/>
        <w:jc w:val="both"/>
        <w:rPr>
          <w:i/>
          <w:sz w:val="22"/>
          <w:szCs w:val="22"/>
          <w:lang w:val="es-ES"/>
        </w:rPr>
      </w:pPr>
      <w:r w:rsidRPr="00CA6699">
        <w:rPr>
          <w:i/>
          <w:sz w:val="22"/>
          <w:szCs w:val="22"/>
          <w:lang w:val="es-ES"/>
        </w:rPr>
        <w:t>Así se sostuvo por parte de esta Corporación:</w:t>
      </w:r>
    </w:p>
    <w:p w:rsidR="00B22514" w:rsidRPr="00CA6699" w:rsidRDefault="00B22514" w:rsidP="009A6567">
      <w:pPr>
        <w:pStyle w:val="Prrafodelista"/>
        <w:tabs>
          <w:tab w:val="left" w:pos="709"/>
          <w:tab w:val="left" w:pos="8505"/>
        </w:tabs>
        <w:spacing w:line="360" w:lineRule="auto"/>
        <w:jc w:val="both"/>
        <w:rPr>
          <w:i/>
          <w:sz w:val="22"/>
          <w:szCs w:val="22"/>
          <w:lang w:val="es-ES"/>
        </w:rPr>
      </w:pPr>
    </w:p>
    <w:p w:rsidR="00B22514" w:rsidRPr="00CA6699" w:rsidRDefault="00B22514" w:rsidP="009A6567">
      <w:pPr>
        <w:pStyle w:val="Prrafodelista"/>
        <w:tabs>
          <w:tab w:val="left" w:pos="709"/>
          <w:tab w:val="left" w:pos="8505"/>
        </w:tabs>
        <w:spacing w:line="360" w:lineRule="auto"/>
        <w:jc w:val="both"/>
        <w:rPr>
          <w:i/>
          <w:sz w:val="22"/>
          <w:szCs w:val="22"/>
          <w:lang w:val="es-ES"/>
        </w:rPr>
      </w:pPr>
      <w:r w:rsidRPr="00CA6699">
        <w:rPr>
          <w:i/>
          <w:sz w:val="22"/>
          <w:szCs w:val="22"/>
          <w:lang w:val="es-ES"/>
        </w:rPr>
        <w:t>[</w:t>
      </w:r>
      <w:r>
        <w:rPr>
          <w:i/>
          <w:sz w:val="22"/>
          <w:szCs w:val="22"/>
          <w:lang w:val="es-ES"/>
        </w:rPr>
        <w:t>L</w:t>
      </w:r>
      <w:r w:rsidRPr="00CA6699">
        <w:rPr>
          <w:i/>
          <w:sz w:val="22"/>
          <w:szCs w:val="22"/>
          <w:lang w:val="es-ES"/>
        </w:rPr>
        <w:t>]a dosis personal que genera atipicidad de la conducta por la circunstancia de cantidad no es solamente la que determina el literal j) del artículo 2 de la Ley 30 de 1986, como hasta ahora se ha venido entendiendo por la jurisprudencia, sino también la que se</w:t>
      </w:r>
      <w:r w:rsidRPr="00CA6699">
        <w:rPr>
          <w:sz w:val="22"/>
          <w:szCs w:val="22"/>
          <w:lang w:val="es-ES"/>
        </w:rPr>
        <w:t xml:space="preserve"> </w:t>
      </w:r>
      <w:r w:rsidRPr="00CA6699">
        <w:rPr>
          <w:i/>
          <w:sz w:val="22"/>
          <w:szCs w:val="22"/>
          <w:lang w:val="es-ES"/>
        </w:rPr>
        <w:t>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w:t>
      </w:r>
    </w:p>
    <w:p w:rsidR="00B22514" w:rsidRPr="00CA6699" w:rsidRDefault="00B22514" w:rsidP="009A6567">
      <w:pPr>
        <w:pStyle w:val="Prrafodelista"/>
        <w:tabs>
          <w:tab w:val="left" w:pos="709"/>
          <w:tab w:val="left" w:pos="8505"/>
        </w:tabs>
        <w:spacing w:line="360" w:lineRule="auto"/>
        <w:jc w:val="both"/>
        <w:rPr>
          <w:i/>
          <w:sz w:val="22"/>
          <w:szCs w:val="22"/>
          <w:lang w:val="es-ES"/>
        </w:rPr>
      </w:pPr>
      <w:r w:rsidRPr="00CA6699">
        <w:rPr>
          <w:i/>
          <w:sz w:val="22"/>
          <w:szCs w:val="22"/>
          <w:lang w:val="es-ES"/>
        </w:rPr>
        <w:t xml:space="preserve"> </w:t>
      </w:r>
    </w:p>
    <w:p w:rsidR="00B22514" w:rsidRDefault="00B22514" w:rsidP="009A6567">
      <w:pPr>
        <w:pStyle w:val="Prrafodelista"/>
        <w:tabs>
          <w:tab w:val="left" w:pos="709"/>
          <w:tab w:val="left" w:pos="8505"/>
        </w:tabs>
        <w:spacing w:line="360" w:lineRule="auto"/>
        <w:jc w:val="both"/>
        <w:rPr>
          <w:i/>
          <w:sz w:val="22"/>
          <w:szCs w:val="22"/>
          <w:lang w:val="es-ES"/>
        </w:rPr>
      </w:pPr>
      <w:r w:rsidRPr="00CA6699">
        <w:rPr>
          <w:i/>
          <w:sz w:val="22"/>
          <w:szCs w:val="22"/>
          <w:lang w:val="es-ES"/>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w:t>
      </w:r>
      <w:r>
        <w:rPr>
          <w:i/>
          <w:sz w:val="22"/>
          <w:szCs w:val="22"/>
          <w:lang w:val="es-ES"/>
        </w:rPr>
        <w:t>mo diverso al consumo personal.”</w:t>
      </w:r>
    </w:p>
    <w:p w:rsidR="00B22514" w:rsidRPr="007431DD" w:rsidRDefault="00B22514" w:rsidP="009A6567">
      <w:pPr>
        <w:pStyle w:val="Prrafodelista"/>
        <w:tabs>
          <w:tab w:val="left" w:pos="709"/>
          <w:tab w:val="left" w:pos="8505"/>
        </w:tabs>
        <w:spacing w:line="360" w:lineRule="auto"/>
        <w:ind w:right="-425"/>
        <w:jc w:val="both"/>
        <w:rPr>
          <w:i/>
          <w:sz w:val="24"/>
          <w:szCs w:val="24"/>
          <w:lang w:val="es-ES"/>
        </w:rPr>
      </w:pPr>
    </w:p>
    <w:p w:rsidR="00B22514" w:rsidRPr="007431DD" w:rsidRDefault="00B22514" w:rsidP="009A6567">
      <w:pPr>
        <w:pStyle w:val="Prrafodelista"/>
        <w:tabs>
          <w:tab w:val="left" w:pos="709"/>
        </w:tabs>
        <w:spacing w:line="360" w:lineRule="auto"/>
        <w:ind w:right="-425"/>
        <w:jc w:val="both"/>
        <w:rPr>
          <w:sz w:val="24"/>
          <w:szCs w:val="24"/>
          <w:lang w:val="es-ES"/>
        </w:rPr>
      </w:pPr>
      <w:r w:rsidRPr="007431DD">
        <w:rPr>
          <w:sz w:val="24"/>
          <w:szCs w:val="24"/>
          <w:lang w:val="es-ES"/>
        </w:rPr>
        <w:t xml:space="preserve">4.7.3 En el mismo precedente que se viene citando </w:t>
      </w:r>
      <w:r w:rsidRPr="007431DD">
        <w:rPr>
          <w:sz w:val="24"/>
          <w:szCs w:val="24"/>
          <w:lang w:val="es-ES"/>
        </w:rPr>
        <w:tab/>
        <w:t>(CSJ SP del 11 de julio de 2017, radicado 44997), se hicieron una serie de consideraciones que resultan determinantes para la decisión que se debe adoptar en el presente caso así : i) el tipo del artículo 376 del CP contiene un “</w:t>
      </w:r>
      <w:r>
        <w:rPr>
          <w:sz w:val="24"/>
          <w:szCs w:val="24"/>
          <w:lang w:val="es-ES"/>
        </w:rPr>
        <w:t xml:space="preserve"> ingrediente subjetivo tácito” </w:t>
      </w:r>
      <w:r w:rsidRPr="007431DD">
        <w:rPr>
          <w:sz w:val="24"/>
          <w:szCs w:val="24"/>
          <w:lang w:val="es-ES"/>
        </w:rPr>
        <w:t>derivado del propósito de</w:t>
      </w:r>
      <w:r>
        <w:rPr>
          <w:sz w:val="24"/>
          <w:szCs w:val="24"/>
          <w:lang w:val="es-ES"/>
        </w:rPr>
        <w:t xml:space="preserve"> quien realiza las conducta de “llevar consigo”</w:t>
      </w:r>
      <w:r w:rsidRPr="007431DD">
        <w:rPr>
          <w:sz w:val="24"/>
          <w:szCs w:val="24"/>
          <w:lang w:val="es-ES"/>
        </w:rPr>
        <w:t>,  que hace parte del supuesto de hecho de esa norma, por lo cual lo determinante no viene a ser la cantidad de sustancia controlada que porte el infractor;   ii) se debe establecer si el propósito del autor de la conducta es el uso personal de la sustancia o si es portada con fines de distribución o de tráfico y iii) en atención a  lo dispuesto en el inciso 2º del artículo 7º de la Ley 906 de 2004, la corresponde a la FGN la carga de la prueba de los fines del porte del material estupefaciente.</w:t>
      </w:r>
    </w:p>
    <w:p w:rsidR="00B22514" w:rsidRPr="007431DD" w:rsidRDefault="00B22514" w:rsidP="009A6567">
      <w:pPr>
        <w:pStyle w:val="Prrafodelista"/>
        <w:tabs>
          <w:tab w:val="left" w:pos="709"/>
        </w:tabs>
        <w:spacing w:line="360" w:lineRule="auto"/>
        <w:ind w:right="-425"/>
        <w:jc w:val="both"/>
        <w:rPr>
          <w:sz w:val="24"/>
          <w:szCs w:val="24"/>
          <w:lang w:val="es-ES"/>
        </w:rPr>
      </w:pPr>
    </w:p>
    <w:p w:rsidR="00B22514" w:rsidRPr="007431DD" w:rsidRDefault="00B22514" w:rsidP="009A6567">
      <w:pPr>
        <w:pStyle w:val="Prrafodelista"/>
        <w:tabs>
          <w:tab w:val="left" w:pos="709"/>
        </w:tabs>
        <w:spacing w:line="360" w:lineRule="auto"/>
        <w:ind w:right="-425"/>
        <w:jc w:val="both"/>
        <w:rPr>
          <w:sz w:val="24"/>
          <w:szCs w:val="24"/>
          <w:lang w:val="es-ES"/>
        </w:rPr>
      </w:pPr>
      <w:r w:rsidRPr="007431DD">
        <w:rPr>
          <w:sz w:val="24"/>
          <w:szCs w:val="24"/>
          <w:lang w:val="es-ES"/>
        </w:rPr>
        <w:t>En ese sentido se dijo lo s</w:t>
      </w:r>
      <w:r>
        <w:rPr>
          <w:sz w:val="24"/>
          <w:szCs w:val="24"/>
          <w:lang w:val="es-ES"/>
        </w:rPr>
        <w:t>iguiente en la sentencia citada</w:t>
      </w:r>
      <w:r w:rsidRPr="007431DD">
        <w:rPr>
          <w:sz w:val="24"/>
          <w:szCs w:val="24"/>
          <w:lang w:val="es-ES"/>
        </w:rPr>
        <w:t>:</w:t>
      </w:r>
    </w:p>
    <w:p w:rsidR="00B22514" w:rsidRPr="007431DD" w:rsidRDefault="00B22514" w:rsidP="009A6567">
      <w:pPr>
        <w:pStyle w:val="Prrafodelista"/>
        <w:tabs>
          <w:tab w:val="left" w:pos="709"/>
        </w:tabs>
        <w:spacing w:line="360" w:lineRule="auto"/>
        <w:ind w:right="-425"/>
        <w:jc w:val="both"/>
        <w:rPr>
          <w:sz w:val="24"/>
          <w:szCs w:val="24"/>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Pero además, 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xml:space="preserve">[P]ara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w:t>
      </w:r>
      <w:r w:rsidRPr="00C40137">
        <w:rPr>
          <w:rStyle w:val="Refdenotaalpie"/>
          <w:i/>
          <w:sz w:val="22"/>
          <w:szCs w:val="22"/>
          <w:lang w:val="es-ES"/>
        </w:rPr>
        <w:footnoteReference w:id="2"/>
      </w:r>
    </w:p>
    <w:p w:rsidR="00B22514" w:rsidRPr="00C40137" w:rsidRDefault="00B22514" w:rsidP="009A6567">
      <w:pPr>
        <w:pStyle w:val="Prrafodelista"/>
        <w:tabs>
          <w:tab w:val="left" w:pos="709"/>
        </w:tabs>
        <w:spacing w:line="360" w:lineRule="auto"/>
        <w:jc w:val="both"/>
        <w:rPr>
          <w:i/>
          <w:sz w:val="22"/>
          <w:szCs w:val="22"/>
          <w:lang w:val="es-ES"/>
        </w:rPr>
      </w:pPr>
      <w:r w:rsidRPr="00C40137">
        <w:rPr>
          <w:sz w:val="22"/>
          <w:szCs w:val="22"/>
          <w:lang w:val="es-ES"/>
        </w:rPr>
        <w:t xml:space="preserve"> </w:t>
      </w:r>
      <w:r w:rsidRPr="00C40137">
        <w:rPr>
          <w:i/>
          <w:sz w:val="22"/>
          <w:szCs w:val="22"/>
          <w:lang w:val="es-ES"/>
        </w:rPr>
        <w:t>Llegados a este punto, debe destacarse que la evolución del tema relacionado con el porte de estupefacientes –alusivo al verbo rector llevar consigo-, ha consolidado las siguientes tesis:</w:t>
      </w:r>
    </w:p>
    <w:p w:rsidR="00B22514" w:rsidRPr="00C40137" w:rsidRDefault="00B22514" w:rsidP="009A6567">
      <w:pPr>
        <w:pStyle w:val="Prrafodelista"/>
        <w:tabs>
          <w:tab w:val="left" w:pos="709"/>
        </w:tabs>
        <w:spacing w:line="360" w:lineRule="auto"/>
        <w:jc w:val="both"/>
        <w:rPr>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a)</w:t>
      </w:r>
      <w:r w:rsidRPr="00C40137">
        <w:rPr>
          <w:i/>
          <w:sz w:val="22"/>
          <w:szCs w:val="22"/>
          <w:lang w:val="es-ES"/>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b)</w:t>
      </w:r>
      <w:r w:rsidRPr="00C40137">
        <w:rPr>
          <w:i/>
          <w:sz w:val="22"/>
          <w:szCs w:val="22"/>
          <w:lang w:val="es-ES"/>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c)</w:t>
      </w:r>
      <w:r w:rsidRPr="00C40137">
        <w:rPr>
          <w:i/>
          <w:sz w:val="22"/>
          <w:szCs w:val="22"/>
          <w:lang w:val="es-ES"/>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Lo anterior, por cuanto las presunciones constituyen reglas probatorias y no reglas sobre la carga de la prueba. Por eso, en ningún evento, la carga de la prueba de su inocencia le corresponde al procesado, ella se presume.</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xml:space="preserve">En efecto, los incisos segundo y tercero del artículo 7º de la Ley 906 de 2004, en desarrollo del artículo 29 de la Constitución Política, con claridad precisan que «corresponde al órgano de persecución penal la carga de la prueba acerca de la responsabilidad penal», y que «En ningún caso podrá invertirse esta carga probatoria». </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Esto significa que la carga de probar tiene que ser asumida por el órgano de persecución penal, pues el procesado no tiene por qué presentar pruebas de su inocencia, siendo función del Estado acreditar la ocurrencia del delito, que el acusado intervino en su realización y que es penalmente responsable. Así lo ratifican la Declaración Universal de los Derechos Humanos (artículo 11), el Pacto Internacional de Derechos Civiles y Políticos (artículo 14-2) y la Convención Americana Sobre Derechos Humanos (artículo 8-2).</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En consecuencia,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Obviamente, también corresponde al órgano de persecución penal, en virtud del principio de objetividad (artículo 115 de la Ley 906 de 2004), establecer situaciones relacionadas con la ausencia de responsabilidad, a efectos de no incoar la pretensión punitiva.</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xml:space="preserve">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w:t>
      </w:r>
      <w:r w:rsidRPr="00C40137">
        <w:rPr>
          <w:i/>
          <w:sz w:val="22"/>
          <w:szCs w:val="22"/>
          <w:lang w:val="es-ES"/>
        </w:rPr>
        <w:lastRenderedPageBreak/>
        <w:t>el comportamiento se estima lesivo del bien jurídico, sin reparar en que la sustancia desborde o no aquellos rangos regulados en la ley.</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De la misma manera, cuando la cantidad de estupefaciente supera la prevista como dosis para el uso personal, es necesario recurrir a otros factores que puedan determinar el juicio de lesividad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lesividad de la conducta realizada o, por el contrario, para entender el riesgo real para los bienes jurídicos cuando se supera lo leve o ligero.</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xml:space="preserve">En realidad, no es ese un criterio que pueda resolver de manera satisfactoria el problema de la lesividad de la conducta, puesto que el principio de insignificancia presupone un auténtico juicio de adecuación típica y una afectación real del bien jurídico –aunque de manera nimia-. En tales casos la conducta del agente carece </w:t>
      </w:r>
      <w:r w:rsidRPr="00C40137">
        <w:rPr>
          <w:i/>
          <w:sz w:val="22"/>
          <w:szCs w:val="22"/>
          <w:lang w:val="es-ES"/>
        </w:rPr>
        <w:lastRenderedPageBreak/>
        <w:t>de relevancia para el derecho penal, aun cuando, prima facie, reúna los elementos contenidos en la figura prevista en el Código Penal.</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Por lo tanto, aun cuando se repute como categoría vigente el concepto de dosis personal ,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caprichosos empleados en la praxis judicial como el de cantidad ligera o levemente superior a esa dosis personal.</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En este sentido, cobra importancia la orientación que frente al delito de Tráfico, fabricación o porte de estupefacientes ha dado la Sala en las sentencias CSJ SP-2940, 9 mar.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Con ello, la Corte está reconociendo la existencia en el tipo penal del artículo 376 del Código Penal de lo que se conoce en la doctrina como elementos subjetivos distintos del dolo, elementos subjetivos del tipo o elementos subjetivos del injusto ,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B22514" w:rsidRPr="00C40137" w:rsidRDefault="00B22514" w:rsidP="009A6567">
      <w:pPr>
        <w:pStyle w:val="Prrafodelista"/>
        <w:tabs>
          <w:tab w:val="left" w:pos="709"/>
        </w:tabs>
        <w:spacing w:line="360" w:lineRule="auto"/>
        <w:jc w:val="both"/>
        <w:rPr>
          <w:i/>
          <w:sz w:val="22"/>
          <w:szCs w:val="22"/>
          <w:lang w:val="es-ES"/>
        </w:rPr>
      </w:pPr>
    </w:p>
    <w:p w:rsidR="00B22514" w:rsidRPr="00C40137" w:rsidRDefault="00B22514" w:rsidP="009A6567">
      <w:pPr>
        <w:pStyle w:val="Prrafodelista"/>
        <w:tabs>
          <w:tab w:val="left" w:pos="709"/>
        </w:tabs>
        <w:spacing w:line="360" w:lineRule="auto"/>
        <w:jc w:val="both"/>
        <w:rPr>
          <w:i/>
          <w:sz w:val="22"/>
          <w:szCs w:val="22"/>
          <w:lang w:val="es-ES"/>
        </w:rPr>
      </w:pPr>
      <w:r w:rsidRPr="00C40137">
        <w:rPr>
          <w:i/>
          <w:sz w:val="22"/>
          <w:szCs w:val="22"/>
          <w:lang w:val="es-ES"/>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B22514" w:rsidRPr="00C40137" w:rsidRDefault="00B22514" w:rsidP="009A6567">
      <w:pPr>
        <w:pStyle w:val="Prrafodelista"/>
        <w:tabs>
          <w:tab w:val="left" w:pos="709"/>
        </w:tabs>
        <w:spacing w:line="360" w:lineRule="auto"/>
        <w:jc w:val="both"/>
        <w:rPr>
          <w:i/>
          <w:sz w:val="22"/>
          <w:szCs w:val="22"/>
          <w:u w:val="single"/>
          <w:lang w:val="es-ES"/>
        </w:rPr>
      </w:pPr>
    </w:p>
    <w:p w:rsidR="00B22514" w:rsidRPr="00C40137" w:rsidRDefault="00B22514" w:rsidP="009A6567">
      <w:pPr>
        <w:pStyle w:val="Prrafodelista"/>
        <w:tabs>
          <w:tab w:val="left" w:pos="709"/>
        </w:tabs>
        <w:spacing w:line="360" w:lineRule="auto"/>
        <w:jc w:val="both"/>
        <w:rPr>
          <w:i/>
          <w:sz w:val="22"/>
          <w:szCs w:val="22"/>
          <w:u w:val="single"/>
          <w:lang w:val="es-ES"/>
        </w:rPr>
      </w:pPr>
      <w:r w:rsidRPr="00C40137">
        <w:rPr>
          <w:i/>
          <w:sz w:val="22"/>
          <w:szCs w:val="22"/>
          <w:u w:val="single"/>
          <w:lang w:val="es-ES"/>
        </w:rPr>
        <w:t>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telos de la norma.</w:t>
      </w:r>
    </w:p>
    <w:p w:rsidR="00B22514" w:rsidRPr="00C40137" w:rsidRDefault="00B22514" w:rsidP="009A6567">
      <w:pPr>
        <w:pStyle w:val="Prrafodelista"/>
        <w:tabs>
          <w:tab w:val="left" w:pos="709"/>
        </w:tabs>
        <w:spacing w:line="360" w:lineRule="auto"/>
        <w:jc w:val="both"/>
        <w:rPr>
          <w:i/>
          <w:sz w:val="22"/>
          <w:szCs w:val="22"/>
          <w:u w:val="single"/>
          <w:lang w:val="es-ES"/>
        </w:rPr>
      </w:pPr>
    </w:p>
    <w:p w:rsidR="00B22514" w:rsidRPr="00C40137" w:rsidRDefault="00B22514" w:rsidP="009A6567">
      <w:pPr>
        <w:pStyle w:val="Prrafodelista"/>
        <w:tabs>
          <w:tab w:val="left" w:pos="709"/>
        </w:tabs>
        <w:spacing w:line="360" w:lineRule="auto"/>
        <w:jc w:val="both"/>
        <w:rPr>
          <w:i/>
          <w:sz w:val="22"/>
          <w:szCs w:val="22"/>
          <w:u w:val="single"/>
          <w:lang w:val="es-ES"/>
        </w:rPr>
      </w:pPr>
      <w:r w:rsidRPr="00C40137">
        <w:rPr>
          <w:i/>
          <w:sz w:val="22"/>
          <w:szCs w:val="22"/>
          <w:u w:val="single"/>
          <w:lang w:val="es-ES"/>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B22514" w:rsidRPr="00C40137" w:rsidRDefault="00B22514" w:rsidP="009A6567">
      <w:pPr>
        <w:pStyle w:val="Prrafodelista"/>
        <w:tabs>
          <w:tab w:val="left" w:pos="709"/>
        </w:tabs>
        <w:spacing w:line="360" w:lineRule="auto"/>
        <w:jc w:val="both"/>
        <w:rPr>
          <w:i/>
          <w:sz w:val="22"/>
          <w:szCs w:val="22"/>
          <w:u w:val="single"/>
          <w:lang w:val="es-ES"/>
        </w:rPr>
      </w:pPr>
    </w:p>
    <w:p w:rsidR="00B22514" w:rsidRPr="007431DD" w:rsidRDefault="00B22514" w:rsidP="009A6567">
      <w:pPr>
        <w:pStyle w:val="Prrafodelista"/>
        <w:tabs>
          <w:tab w:val="left" w:pos="709"/>
        </w:tabs>
        <w:spacing w:line="360" w:lineRule="auto"/>
        <w:jc w:val="both"/>
        <w:rPr>
          <w:sz w:val="24"/>
          <w:szCs w:val="24"/>
          <w:u w:val="single"/>
          <w:lang w:val="es-ES"/>
        </w:rPr>
      </w:pPr>
      <w:r w:rsidRPr="00C40137">
        <w:rPr>
          <w:i/>
          <w:sz w:val="22"/>
          <w:szCs w:val="22"/>
          <w:u w:val="single"/>
          <w:lang w:val="es-ES"/>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Pr="003A7D6A">
        <w:rPr>
          <w:sz w:val="22"/>
          <w:szCs w:val="22"/>
          <w:lang w:val="es-ES"/>
        </w:rPr>
        <w:t>” (</w:t>
      </w:r>
      <w:r w:rsidRPr="00C40137">
        <w:rPr>
          <w:sz w:val="22"/>
          <w:szCs w:val="22"/>
          <w:lang w:val="es-ES"/>
        </w:rPr>
        <w:t>Subrayas ex texto)</w:t>
      </w:r>
      <w:r w:rsidRPr="007431DD">
        <w:rPr>
          <w:sz w:val="24"/>
          <w:szCs w:val="24"/>
          <w:u w:val="single"/>
          <w:lang w:val="es-ES"/>
        </w:rPr>
        <w:t xml:space="preserve"> </w:t>
      </w:r>
    </w:p>
    <w:p w:rsidR="00B22514" w:rsidRPr="007431DD" w:rsidRDefault="00B22514" w:rsidP="009A6567">
      <w:pPr>
        <w:pStyle w:val="Prrafodelista"/>
        <w:spacing w:line="360" w:lineRule="auto"/>
        <w:ind w:left="0" w:right="-425"/>
        <w:jc w:val="both"/>
        <w:rPr>
          <w:sz w:val="24"/>
          <w:szCs w:val="24"/>
          <w:lang w:val="es-ES"/>
        </w:rPr>
      </w:pPr>
    </w:p>
    <w:p w:rsidR="00B22514" w:rsidRDefault="00B22514" w:rsidP="009A6567">
      <w:pPr>
        <w:pStyle w:val="Prrafodelista"/>
        <w:spacing w:line="360" w:lineRule="auto"/>
        <w:ind w:left="0" w:right="-425"/>
        <w:jc w:val="both"/>
        <w:rPr>
          <w:sz w:val="24"/>
          <w:szCs w:val="24"/>
          <w:lang w:val="es-ES"/>
        </w:rPr>
      </w:pPr>
      <w:r w:rsidRPr="007431DD">
        <w:rPr>
          <w:sz w:val="24"/>
          <w:szCs w:val="24"/>
          <w:lang w:val="es-ES"/>
        </w:rPr>
        <w:t xml:space="preserve">4.7.4 Con base en los precedentes reseñados, se considera que en el caso </w:t>
      </w:r>
      <w:r w:rsidRPr="007431DD">
        <w:rPr>
          <w:i/>
          <w:sz w:val="24"/>
          <w:szCs w:val="24"/>
          <w:lang w:val="es-ES"/>
        </w:rPr>
        <w:t xml:space="preserve">sub examen,  </w:t>
      </w:r>
      <w:r w:rsidRPr="007431DD">
        <w:rPr>
          <w:sz w:val="24"/>
          <w:szCs w:val="24"/>
          <w:lang w:val="es-ES"/>
        </w:rPr>
        <w:t>se puede llegar a las  siguientes conclusiones, que fueron consignadas en decisión de este Sala del 28 de agosto de 2018, dentro de la acción de revisión propuesta en favor de Julio Cesar Arango Cabezas, radicación 66001 2204000 201 800096-00. M.P. Manuel Yarzagaray Bandera</w:t>
      </w:r>
      <w:r w:rsidRPr="00473384">
        <w:rPr>
          <w:sz w:val="24"/>
          <w:szCs w:val="24"/>
          <w:lang w:val="es-ES"/>
        </w:rPr>
        <w:t xml:space="preserve">:  </w:t>
      </w:r>
    </w:p>
    <w:p w:rsidR="0012624C" w:rsidRDefault="0012624C" w:rsidP="009A6567">
      <w:pPr>
        <w:pStyle w:val="Prrafodelista"/>
        <w:spacing w:line="360" w:lineRule="auto"/>
        <w:ind w:left="0" w:right="-425"/>
        <w:jc w:val="both"/>
        <w:rPr>
          <w:sz w:val="24"/>
          <w:szCs w:val="24"/>
          <w:lang w:val="es-ES"/>
        </w:rPr>
      </w:pPr>
    </w:p>
    <w:p w:rsidR="00B22514" w:rsidRDefault="00B22514" w:rsidP="009A6567">
      <w:pPr>
        <w:pStyle w:val="Prrafodelista"/>
        <w:spacing w:line="360" w:lineRule="auto"/>
        <w:ind w:left="0" w:right="-425"/>
        <w:jc w:val="both"/>
        <w:rPr>
          <w:sz w:val="24"/>
          <w:szCs w:val="24"/>
          <w:lang w:val="es-ES"/>
        </w:rPr>
      </w:pPr>
      <w:r>
        <w:rPr>
          <w:sz w:val="24"/>
          <w:szCs w:val="24"/>
          <w:lang w:val="es-ES"/>
        </w:rPr>
        <w:tab/>
        <w:t>“ (…)</w:t>
      </w:r>
    </w:p>
    <w:p w:rsidR="00B22514" w:rsidRDefault="00B22514" w:rsidP="0012624C">
      <w:pPr>
        <w:pStyle w:val="Prrafodelista"/>
        <w:numPr>
          <w:ilvl w:val="0"/>
          <w:numId w:val="32"/>
        </w:numPr>
        <w:spacing w:line="360" w:lineRule="auto"/>
        <w:jc w:val="both"/>
        <w:rPr>
          <w:i/>
          <w:sz w:val="22"/>
          <w:szCs w:val="22"/>
          <w:lang w:val="es-ES"/>
        </w:rPr>
      </w:pPr>
      <w:r w:rsidRPr="0042096D">
        <w:rPr>
          <w:i/>
          <w:sz w:val="22"/>
          <w:szCs w:val="22"/>
          <w:lang w:val="es-ES"/>
        </w:rPr>
        <w:t>En aquellos eventos en los cuales el sujeto agente lleve consigo sustancias psicotrópicas que excedan los límites tolerados para la dosis personal, dicha conducta sería 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12624C" w:rsidRPr="0042096D" w:rsidRDefault="0012624C" w:rsidP="0012624C">
      <w:pPr>
        <w:pStyle w:val="Prrafodelista"/>
        <w:spacing w:line="360" w:lineRule="auto"/>
        <w:jc w:val="both"/>
        <w:rPr>
          <w:i/>
          <w:sz w:val="22"/>
          <w:szCs w:val="22"/>
          <w:lang w:val="es-ES"/>
        </w:rPr>
      </w:pPr>
    </w:p>
    <w:p w:rsidR="00B22514" w:rsidRDefault="00B22514" w:rsidP="0012624C">
      <w:pPr>
        <w:pStyle w:val="Prrafodelista"/>
        <w:numPr>
          <w:ilvl w:val="0"/>
          <w:numId w:val="32"/>
        </w:numPr>
        <w:spacing w:line="360" w:lineRule="auto"/>
        <w:jc w:val="both"/>
        <w:rPr>
          <w:i/>
          <w:sz w:val="22"/>
          <w:szCs w:val="22"/>
          <w:lang w:val="es-ES"/>
        </w:rPr>
      </w:pPr>
      <w:r w:rsidRPr="0042096D">
        <w:rPr>
          <w:i/>
          <w:sz w:val="22"/>
          <w:szCs w:val="22"/>
          <w:lang w:val="es-ES"/>
        </w:rPr>
        <w:t>No todos los excesos en el porte de sustancias psicotrópicas que rebasen los topes permitidos para la dosis personal, a pesar de que se diga que iban a ser utilizados para el consumo del encausado o para satisfacer su adicción, per se se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jugarán factores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límites tolerados para la dosis personal, era únicamente para el consumo del indiciado, o si por el contrario se le iba a dar un uso diferente, vg. el expendio, la distribución, etc</w:t>
      </w:r>
    </w:p>
    <w:p w:rsidR="0012624C" w:rsidRPr="0042096D" w:rsidRDefault="0012624C" w:rsidP="0012624C">
      <w:pPr>
        <w:pStyle w:val="Prrafodelista"/>
        <w:spacing w:line="360" w:lineRule="auto"/>
        <w:jc w:val="both"/>
        <w:rPr>
          <w:i/>
          <w:sz w:val="22"/>
          <w:szCs w:val="22"/>
          <w:lang w:val="es-ES"/>
        </w:rPr>
      </w:pPr>
    </w:p>
    <w:p w:rsidR="00B22514" w:rsidRPr="0042096D" w:rsidRDefault="00B22514" w:rsidP="0012624C">
      <w:pPr>
        <w:pStyle w:val="Prrafodelista"/>
        <w:numPr>
          <w:ilvl w:val="0"/>
          <w:numId w:val="32"/>
        </w:numPr>
        <w:spacing w:line="360" w:lineRule="auto"/>
        <w:jc w:val="both"/>
        <w:rPr>
          <w:i/>
          <w:sz w:val="22"/>
          <w:szCs w:val="22"/>
          <w:lang w:val="es-ES"/>
        </w:rPr>
      </w:pPr>
      <w:r w:rsidRPr="0042096D">
        <w:rPr>
          <w:i/>
          <w:sz w:val="22"/>
          <w:szCs w:val="22"/>
          <w:lang w:val="es-ES"/>
        </w:rPr>
        <w:t>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w:t>
      </w:r>
      <w:r>
        <w:rPr>
          <w:i/>
          <w:sz w:val="22"/>
          <w:szCs w:val="22"/>
          <w:lang w:val="es-ES"/>
        </w:rPr>
        <w:t>”</w:t>
      </w:r>
    </w:p>
    <w:p w:rsidR="00B22514" w:rsidRPr="007431DD" w:rsidRDefault="00B22514" w:rsidP="009A6567">
      <w:pPr>
        <w:pStyle w:val="Prrafodelista"/>
        <w:spacing w:line="360" w:lineRule="auto"/>
        <w:ind w:left="0" w:right="-425"/>
        <w:jc w:val="both"/>
        <w:rPr>
          <w:sz w:val="24"/>
          <w:szCs w:val="24"/>
          <w:lang w:val="es-ES"/>
        </w:rPr>
      </w:pPr>
    </w:p>
    <w:p w:rsidR="00B22514" w:rsidRPr="007431DD" w:rsidRDefault="00B22514" w:rsidP="009A6567">
      <w:pPr>
        <w:pStyle w:val="Prrafodelista"/>
        <w:numPr>
          <w:ilvl w:val="1"/>
          <w:numId w:val="17"/>
        </w:numPr>
        <w:spacing w:line="360" w:lineRule="auto"/>
        <w:ind w:left="0" w:right="-425" w:firstLine="0"/>
        <w:jc w:val="both"/>
        <w:rPr>
          <w:sz w:val="24"/>
          <w:szCs w:val="24"/>
          <w:lang w:val="es-ES"/>
        </w:rPr>
      </w:pPr>
      <w:r>
        <w:rPr>
          <w:sz w:val="24"/>
          <w:szCs w:val="24"/>
          <w:lang w:val="es-ES"/>
        </w:rPr>
        <w:t>SOLUCIÓN AL PROBLEMA JURÍ</w:t>
      </w:r>
      <w:r w:rsidRPr="007431DD">
        <w:rPr>
          <w:sz w:val="24"/>
          <w:szCs w:val="24"/>
          <w:lang w:val="es-ES"/>
        </w:rPr>
        <w:t>DICO PROPUESTO :</w:t>
      </w:r>
    </w:p>
    <w:p w:rsidR="007D431C" w:rsidRDefault="007D431C" w:rsidP="009A6567">
      <w:pPr>
        <w:pStyle w:val="Prrafodelista"/>
        <w:spacing w:line="360" w:lineRule="auto"/>
        <w:ind w:left="0" w:right="-425"/>
        <w:jc w:val="both"/>
        <w:rPr>
          <w:sz w:val="24"/>
          <w:szCs w:val="24"/>
          <w:lang w:val="es-ES"/>
        </w:rPr>
      </w:pPr>
    </w:p>
    <w:p w:rsidR="009A6567" w:rsidRPr="009A6567" w:rsidRDefault="007D431C" w:rsidP="009A6567">
      <w:pPr>
        <w:pStyle w:val="Prrafodelista"/>
        <w:numPr>
          <w:ilvl w:val="2"/>
          <w:numId w:val="17"/>
        </w:numPr>
        <w:spacing w:line="360" w:lineRule="auto"/>
        <w:ind w:left="0" w:right="-425" w:firstLine="0"/>
        <w:jc w:val="both"/>
        <w:rPr>
          <w:sz w:val="24"/>
          <w:szCs w:val="24"/>
          <w:lang w:val="es-ES"/>
        </w:rPr>
      </w:pPr>
      <w:r w:rsidRPr="00C176F8">
        <w:rPr>
          <w:sz w:val="24"/>
          <w:szCs w:val="24"/>
        </w:rPr>
        <w:t xml:space="preserve">En este orden de ideas, </w:t>
      </w:r>
      <w:r w:rsidR="009A6567">
        <w:rPr>
          <w:sz w:val="24"/>
          <w:szCs w:val="24"/>
        </w:rPr>
        <w:t>se considera que en el</w:t>
      </w:r>
      <w:r>
        <w:rPr>
          <w:sz w:val="24"/>
          <w:szCs w:val="24"/>
        </w:rPr>
        <w:t xml:space="preserve"> caso i) se profirió sentencia el 30 de septiembre de 2016 por el Juzgado Penal del Circuito de Santa Rosa de Cabal (Risaralda), mediante la cual se declaró la responsabilidad del entonces procesado Hernando Antonio Gallego Sánchez por la comisión del delito  de tráfico, fabricación o porte de estupefacientes en la modalidad de llevar consigo; ii) dicha responsabilidad fue declarada por cuanto el procesado llevaba consigo una cantidad que superaba la dosis personal de cocaína y por cuanto no se desvirtuó por parte </w:t>
      </w:r>
      <w:r w:rsidR="005627DB">
        <w:rPr>
          <w:sz w:val="24"/>
          <w:szCs w:val="24"/>
        </w:rPr>
        <w:t xml:space="preserve">de la defensa la afectación al bien jurídico protegido </w:t>
      </w:r>
      <w:r>
        <w:rPr>
          <w:sz w:val="24"/>
          <w:szCs w:val="24"/>
        </w:rPr>
        <w:t>y iii) pese a lo anterior, no se acreditó por parte de la FGN el ánimo de distribución de la sustancia que fuera incautada al señor Hernando Antonio Gallego Sánchez.</w:t>
      </w:r>
    </w:p>
    <w:p w:rsidR="009A6567" w:rsidRDefault="009A6567" w:rsidP="009A6567">
      <w:pPr>
        <w:pStyle w:val="Prrafodelista"/>
        <w:spacing w:line="360" w:lineRule="auto"/>
        <w:ind w:left="0" w:right="-425"/>
        <w:jc w:val="both"/>
        <w:rPr>
          <w:sz w:val="24"/>
          <w:szCs w:val="24"/>
          <w:lang w:val="es-ES"/>
        </w:rPr>
      </w:pPr>
    </w:p>
    <w:p w:rsidR="007D431C" w:rsidRPr="009A6567" w:rsidRDefault="007D431C" w:rsidP="009A6567">
      <w:pPr>
        <w:pStyle w:val="Prrafodelista"/>
        <w:numPr>
          <w:ilvl w:val="2"/>
          <w:numId w:val="17"/>
        </w:numPr>
        <w:spacing w:line="360" w:lineRule="auto"/>
        <w:ind w:left="0" w:right="-425" w:firstLine="0"/>
        <w:jc w:val="both"/>
        <w:rPr>
          <w:sz w:val="24"/>
          <w:szCs w:val="24"/>
          <w:lang w:val="es-ES"/>
        </w:rPr>
      </w:pPr>
      <w:r w:rsidRPr="009A6567">
        <w:rPr>
          <w:sz w:val="24"/>
          <w:szCs w:val="24"/>
          <w:lang w:val="es-ES"/>
        </w:rPr>
        <w:t>De lo expuesto, debe advertirse que tal sentencia condenatoria se fundamentó en la línea jurisprudencial según la cual era obligación de la defensa desvirtuar la presunción iuris tantum de afect</w:t>
      </w:r>
      <w:r w:rsidRPr="009A6567">
        <w:rPr>
          <w:sz w:val="24"/>
          <w:szCs w:val="24"/>
        </w:rPr>
        <w:t>ación al interés jurídicamente protegido que generaba el porte o la tenencia de sustancias estupefacientes que rebasaran la dosis personal, pues así fue dicho por el fallador de primer grado cuando destacó que “</w:t>
      </w:r>
      <w:r w:rsidR="005627DB" w:rsidRPr="009A6567">
        <w:rPr>
          <w:sz w:val="24"/>
          <w:szCs w:val="24"/>
        </w:rPr>
        <w:t>[el procesado] llevaba consigo 6.3 gramos de cocaína, lo cual superaba ampliamente la dosis personal, sin que por parte de la defensa se hubiera aportado prueba que desvirtuara lo probado por la Fiscalía, teniendo en cuenta que el defensor no pudo tener contacto con su representado. En lo que respecta a la antijuridicidad es claro que con dicha conducta punible se lesionó un bien jurídico tutelado por la ley, como lo es la salud pública, sin que para ello hubiera existido justa causa por parte del incriminado”.</w:t>
      </w:r>
    </w:p>
    <w:p w:rsidR="007D431C" w:rsidRDefault="007D431C" w:rsidP="009A6567">
      <w:pPr>
        <w:pStyle w:val="Prrafodelista"/>
        <w:spacing w:line="360" w:lineRule="auto"/>
        <w:ind w:left="0" w:right="-425"/>
        <w:jc w:val="both"/>
        <w:rPr>
          <w:sz w:val="24"/>
          <w:szCs w:val="24"/>
        </w:rPr>
      </w:pPr>
    </w:p>
    <w:p w:rsidR="007D431C" w:rsidRDefault="007D431C" w:rsidP="009A6567">
      <w:pPr>
        <w:pStyle w:val="Prrafodelista"/>
        <w:spacing w:line="360" w:lineRule="auto"/>
        <w:ind w:left="0" w:right="-425"/>
        <w:jc w:val="both"/>
        <w:rPr>
          <w:sz w:val="24"/>
          <w:szCs w:val="24"/>
        </w:rPr>
      </w:pPr>
      <w:r>
        <w:rPr>
          <w:sz w:val="24"/>
          <w:szCs w:val="24"/>
        </w:rPr>
        <w:t xml:space="preserve">Sin embargo, es menester resaltar </w:t>
      </w:r>
      <w:r w:rsidRPr="00F36673">
        <w:rPr>
          <w:sz w:val="24"/>
          <w:szCs w:val="24"/>
        </w:rPr>
        <w:t>que a la luz de la jurisprudencia actual</w:t>
      </w:r>
      <w:r>
        <w:rPr>
          <w:sz w:val="24"/>
          <w:szCs w:val="24"/>
        </w:rPr>
        <w:t xml:space="preserve"> –antes reseñada- no se configura el delito de t</w:t>
      </w:r>
      <w:r w:rsidRPr="00F36673">
        <w:rPr>
          <w:sz w:val="24"/>
          <w:szCs w:val="24"/>
        </w:rPr>
        <w:t>ráfico, fabricación o porte de estupefacientes consagrado en el artículo 376 del Código Penal</w:t>
      </w:r>
      <w:r>
        <w:rPr>
          <w:sz w:val="24"/>
          <w:szCs w:val="24"/>
        </w:rPr>
        <w:t xml:space="preserve"> por no haberse demostrado por parte de la FGN el ingrediente subjetivo del tipo consistente en la intención o propósito del sujeto agente de destinarla a su distribución o comercialización, y </w:t>
      </w:r>
      <w:r w:rsidR="001D4A50">
        <w:rPr>
          <w:sz w:val="24"/>
          <w:szCs w:val="24"/>
        </w:rPr>
        <w:t>b</w:t>
      </w:r>
      <w:r>
        <w:rPr>
          <w:sz w:val="24"/>
          <w:szCs w:val="24"/>
        </w:rPr>
        <w:t>ajo ese entendido</w:t>
      </w:r>
      <w:r w:rsidR="001D4A50">
        <w:rPr>
          <w:sz w:val="24"/>
          <w:szCs w:val="24"/>
        </w:rPr>
        <w:t>,</w:t>
      </w:r>
      <w:r>
        <w:rPr>
          <w:sz w:val="24"/>
          <w:szCs w:val="24"/>
        </w:rPr>
        <w:t xml:space="preserve"> la ausencia de tal elemento conduciría a que la conducta se tornara atípica.</w:t>
      </w:r>
    </w:p>
    <w:p w:rsidR="007D431C" w:rsidRDefault="007D431C" w:rsidP="009A6567">
      <w:pPr>
        <w:pStyle w:val="Prrafodelista"/>
        <w:spacing w:line="360" w:lineRule="auto"/>
        <w:ind w:left="0" w:right="-425"/>
        <w:jc w:val="both"/>
        <w:rPr>
          <w:sz w:val="24"/>
          <w:szCs w:val="24"/>
        </w:rPr>
      </w:pPr>
    </w:p>
    <w:p w:rsidR="009A6567" w:rsidRDefault="007D431C" w:rsidP="009A6567">
      <w:pPr>
        <w:pStyle w:val="Prrafodelista"/>
        <w:spacing w:line="360" w:lineRule="auto"/>
        <w:ind w:left="0" w:right="-425"/>
        <w:jc w:val="both"/>
        <w:rPr>
          <w:sz w:val="24"/>
          <w:szCs w:val="24"/>
        </w:rPr>
      </w:pPr>
      <w:r>
        <w:rPr>
          <w:sz w:val="24"/>
          <w:szCs w:val="24"/>
        </w:rPr>
        <w:t xml:space="preserve">Por otra parte es importante destacar, que pese a que </w:t>
      </w:r>
      <w:r w:rsidR="00630C6A">
        <w:rPr>
          <w:sz w:val="24"/>
          <w:szCs w:val="24"/>
        </w:rPr>
        <w:t xml:space="preserve">la </w:t>
      </w:r>
      <w:r>
        <w:rPr>
          <w:sz w:val="24"/>
          <w:szCs w:val="24"/>
        </w:rPr>
        <w:t xml:space="preserve">primera sentencia dentro de esta nueva línea jurisprudencial (Rad. </w:t>
      </w:r>
      <w:r w:rsidRPr="00C22B89">
        <w:rPr>
          <w:rFonts w:eastAsia="Adobe Gothic Std B"/>
          <w:sz w:val="24"/>
          <w:szCs w:val="24"/>
        </w:rPr>
        <w:t>4176</w:t>
      </w:r>
      <w:r>
        <w:rPr>
          <w:rFonts w:eastAsia="Adobe Gothic Std B"/>
          <w:sz w:val="24"/>
          <w:szCs w:val="24"/>
        </w:rPr>
        <w:t>0, SP2940 del 09 de marzo de 2016</w:t>
      </w:r>
      <w:r>
        <w:rPr>
          <w:sz w:val="24"/>
          <w:szCs w:val="24"/>
        </w:rPr>
        <w:t xml:space="preserve">) ya había sido proferida a la fecha en que se dictó la providencia por parte del Juzgado Penal del Circuito de </w:t>
      </w:r>
      <w:r w:rsidR="001D4A50">
        <w:rPr>
          <w:sz w:val="24"/>
          <w:szCs w:val="24"/>
        </w:rPr>
        <w:t>Santa Rosa de Cabal (30</w:t>
      </w:r>
      <w:r>
        <w:rPr>
          <w:sz w:val="24"/>
          <w:szCs w:val="24"/>
        </w:rPr>
        <w:t xml:space="preserve"> de </w:t>
      </w:r>
      <w:r w:rsidR="001D4A50">
        <w:rPr>
          <w:sz w:val="24"/>
          <w:szCs w:val="24"/>
        </w:rPr>
        <w:t>septiembre</w:t>
      </w:r>
      <w:r>
        <w:rPr>
          <w:sz w:val="24"/>
          <w:szCs w:val="24"/>
        </w:rPr>
        <w:t xml:space="preserve"> de 2016) y que ello en principio impediría la prosperidad de la causal de revisión invocada, aquello puede superarse  aplicando la jurisprudencia de la SP CSJ proferida el 20 de agosto de 2014 dentro del radicado 43624, la cual permite que sea viable la causal 7 de la acción de revisión pese a que los precedentes jurisprudenciales hayan existido con antelación a la providencia demandada, siempre y cuando los mismos hayan sido desconocidos por el operador judicial; como bien se observa que ocurrió en el caso bajo estudio.</w:t>
      </w:r>
    </w:p>
    <w:p w:rsidR="00630C6A" w:rsidRDefault="00630C6A" w:rsidP="009A6567">
      <w:pPr>
        <w:pStyle w:val="Prrafodelista"/>
        <w:spacing w:line="360" w:lineRule="auto"/>
        <w:ind w:left="0" w:right="-425"/>
        <w:jc w:val="both"/>
        <w:rPr>
          <w:sz w:val="24"/>
          <w:szCs w:val="24"/>
          <w:lang w:val="es-ES"/>
        </w:rPr>
      </w:pPr>
    </w:p>
    <w:p w:rsidR="009A6567" w:rsidRPr="009A6567" w:rsidRDefault="009A6567" w:rsidP="009A6567">
      <w:pPr>
        <w:pStyle w:val="Prrafodelista"/>
        <w:numPr>
          <w:ilvl w:val="2"/>
          <w:numId w:val="17"/>
        </w:numPr>
        <w:spacing w:line="360" w:lineRule="auto"/>
        <w:ind w:left="0" w:right="-425" w:firstLine="0"/>
        <w:jc w:val="both"/>
        <w:rPr>
          <w:sz w:val="24"/>
          <w:szCs w:val="24"/>
          <w:lang w:val="es-ES"/>
        </w:rPr>
      </w:pPr>
      <w:r>
        <w:rPr>
          <w:sz w:val="24"/>
          <w:szCs w:val="24"/>
        </w:rPr>
        <w:t xml:space="preserve"> </w:t>
      </w:r>
      <w:r w:rsidR="007D431C">
        <w:rPr>
          <w:sz w:val="24"/>
          <w:szCs w:val="24"/>
        </w:rPr>
        <w:t>En consecuencia, por estar en presencia de la causal 7 de la acción de</w:t>
      </w:r>
      <w:r w:rsidR="00630C6A">
        <w:rPr>
          <w:sz w:val="24"/>
          <w:szCs w:val="24"/>
        </w:rPr>
        <w:t xml:space="preserve"> revisión de acuerdo con lo reg</w:t>
      </w:r>
      <w:r w:rsidR="007D431C">
        <w:rPr>
          <w:sz w:val="24"/>
          <w:szCs w:val="24"/>
        </w:rPr>
        <w:t xml:space="preserve">lado en el numeral 1 del artículo 196 C.P.P. la Sala procederá a dictar la correspondiente sentencia de reemplazo, la cual consistiría en la </w:t>
      </w:r>
      <w:r w:rsidR="001D4A50">
        <w:rPr>
          <w:sz w:val="24"/>
          <w:szCs w:val="24"/>
        </w:rPr>
        <w:t xml:space="preserve">absolución del </w:t>
      </w:r>
      <w:r>
        <w:rPr>
          <w:sz w:val="24"/>
          <w:szCs w:val="24"/>
        </w:rPr>
        <w:t>señor</w:t>
      </w:r>
      <w:r w:rsidR="001D4A50">
        <w:rPr>
          <w:sz w:val="24"/>
          <w:szCs w:val="24"/>
        </w:rPr>
        <w:t xml:space="preserve"> procesado </w:t>
      </w:r>
      <w:r>
        <w:rPr>
          <w:sz w:val="24"/>
          <w:szCs w:val="24"/>
        </w:rPr>
        <w:t>Hernando Antonio Gallego Sánchez, por la conducta de violación del artículo 376 del C.P., por la cual fue sentenciado.</w:t>
      </w:r>
    </w:p>
    <w:p w:rsidR="009A6567" w:rsidRPr="009A6567" w:rsidRDefault="009A6567" w:rsidP="009A6567">
      <w:pPr>
        <w:pStyle w:val="Prrafodelista"/>
        <w:spacing w:line="360" w:lineRule="auto"/>
        <w:ind w:left="0" w:right="-425"/>
        <w:jc w:val="both"/>
        <w:rPr>
          <w:sz w:val="24"/>
          <w:szCs w:val="24"/>
          <w:lang w:val="es-ES"/>
        </w:rPr>
      </w:pPr>
    </w:p>
    <w:p w:rsidR="007D431C" w:rsidRPr="009A6567" w:rsidRDefault="007D431C" w:rsidP="009A6567">
      <w:pPr>
        <w:pStyle w:val="Prrafodelista"/>
        <w:numPr>
          <w:ilvl w:val="2"/>
          <w:numId w:val="17"/>
        </w:numPr>
        <w:spacing w:line="360" w:lineRule="auto"/>
        <w:ind w:left="0" w:right="-425" w:firstLine="0"/>
        <w:jc w:val="both"/>
        <w:rPr>
          <w:sz w:val="24"/>
          <w:szCs w:val="24"/>
          <w:lang w:val="es-ES"/>
        </w:rPr>
      </w:pPr>
      <w:r w:rsidRPr="009A6567">
        <w:rPr>
          <w:sz w:val="24"/>
          <w:szCs w:val="24"/>
        </w:rPr>
        <w:lastRenderedPageBreak/>
        <w:t xml:space="preserve">Finalmente, se ordenará cancelar la orden de captura emitida por cuenta de este proceso en contra del señor </w:t>
      </w:r>
      <w:r w:rsidR="001D4A50" w:rsidRPr="009A6567">
        <w:rPr>
          <w:sz w:val="24"/>
          <w:szCs w:val="24"/>
        </w:rPr>
        <w:t>Gallego Sánchez</w:t>
      </w:r>
      <w:r w:rsidRPr="009A6567">
        <w:rPr>
          <w:sz w:val="24"/>
          <w:szCs w:val="24"/>
        </w:rPr>
        <w:t xml:space="preserve"> y en caso de que se encuentre recluido en establecimiento carcelario se procederá a ordenar su inmediata libertad, siempre y cuando ese estado de privación sea consecuencia del fallo que se invalida mediante la presente acción de revisión.</w:t>
      </w:r>
    </w:p>
    <w:p w:rsidR="007D431C" w:rsidRPr="00950447" w:rsidRDefault="007D431C" w:rsidP="009A6567">
      <w:pPr>
        <w:tabs>
          <w:tab w:val="left" w:pos="8222"/>
        </w:tabs>
        <w:spacing w:line="360" w:lineRule="auto"/>
        <w:ind w:left="567" w:right="-425"/>
        <w:jc w:val="both"/>
        <w:rPr>
          <w:rFonts w:eastAsia="Adobe Gothic Std B"/>
          <w:i/>
          <w:sz w:val="24"/>
          <w:szCs w:val="24"/>
        </w:rPr>
      </w:pPr>
    </w:p>
    <w:p w:rsidR="007D431C" w:rsidRPr="00B95E8B" w:rsidRDefault="007D431C" w:rsidP="009A6567">
      <w:pPr>
        <w:spacing w:line="360" w:lineRule="auto"/>
        <w:ind w:right="-425"/>
        <w:jc w:val="both"/>
        <w:rPr>
          <w:sz w:val="24"/>
          <w:szCs w:val="24"/>
          <w:lang w:val="es-ES"/>
        </w:rPr>
      </w:pPr>
      <w:r w:rsidRPr="00B95E8B">
        <w:rPr>
          <w:sz w:val="24"/>
          <w:szCs w:val="24"/>
          <w:lang w:val="es-ES"/>
        </w:rPr>
        <w:t>Con base en lo expuesto en precedencia, la Sala de Decisión Penal del Tribunal Superior del Distrito Judicial de Pereira, Administrando Justicia en nombre de la República y por Autoridad de la Ley,</w:t>
      </w:r>
    </w:p>
    <w:p w:rsidR="007D431C" w:rsidRDefault="007D431C" w:rsidP="009A6567">
      <w:pPr>
        <w:spacing w:line="360" w:lineRule="auto"/>
        <w:ind w:right="-425"/>
        <w:jc w:val="both"/>
        <w:rPr>
          <w:sz w:val="24"/>
          <w:szCs w:val="24"/>
          <w:lang w:val="es-ES"/>
        </w:rPr>
      </w:pPr>
    </w:p>
    <w:p w:rsidR="0012624C" w:rsidRPr="00B95E8B" w:rsidRDefault="0012624C" w:rsidP="009A6567">
      <w:pPr>
        <w:spacing w:line="360" w:lineRule="auto"/>
        <w:ind w:right="-425"/>
        <w:jc w:val="both"/>
        <w:rPr>
          <w:sz w:val="24"/>
          <w:szCs w:val="24"/>
          <w:lang w:val="es-ES"/>
        </w:rPr>
      </w:pPr>
    </w:p>
    <w:p w:rsidR="007D431C" w:rsidRPr="00B95E8B" w:rsidRDefault="007D431C" w:rsidP="0012624C">
      <w:pPr>
        <w:spacing w:line="360" w:lineRule="auto"/>
        <w:ind w:right="-425"/>
        <w:jc w:val="center"/>
        <w:rPr>
          <w:rFonts w:eastAsia="Adobe Gothic Std B"/>
          <w:sz w:val="24"/>
          <w:szCs w:val="24"/>
        </w:rPr>
      </w:pPr>
      <w:r w:rsidRPr="00B95E8B">
        <w:rPr>
          <w:rFonts w:eastAsia="Adobe Gothic Std B"/>
          <w:sz w:val="24"/>
          <w:szCs w:val="24"/>
        </w:rPr>
        <w:t>RESUELVE:</w:t>
      </w:r>
    </w:p>
    <w:p w:rsidR="007D431C" w:rsidRPr="009905FF" w:rsidRDefault="007D431C" w:rsidP="009A6567">
      <w:pPr>
        <w:spacing w:line="360" w:lineRule="auto"/>
        <w:ind w:right="-425"/>
        <w:jc w:val="both"/>
        <w:rPr>
          <w:rFonts w:eastAsia="Adobe Gothic Std B"/>
          <w:color w:val="4472C4" w:themeColor="accent5"/>
          <w:sz w:val="24"/>
          <w:szCs w:val="24"/>
        </w:rPr>
      </w:pPr>
    </w:p>
    <w:p w:rsidR="007D431C" w:rsidRPr="00B95E8B" w:rsidRDefault="007D431C" w:rsidP="009A6567">
      <w:pPr>
        <w:spacing w:line="360" w:lineRule="auto"/>
        <w:ind w:right="-425"/>
        <w:jc w:val="both"/>
        <w:rPr>
          <w:sz w:val="24"/>
          <w:szCs w:val="24"/>
        </w:rPr>
      </w:pPr>
      <w:r w:rsidRPr="00B95E8B">
        <w:rPr>
          <w:rFonts w:eastAsia="Adobe Gothic Std B"/>
          <w:sz w:val="24"/>
          <w:szCs w:val="24"/>
        </w:rPr>
        <w:t>PRIMERO:</w:t>
      </w:r>
      <w:r w:rsidRPr="00B95E8B">
        <w:rPr>
          <w:rFonts w:eastAsia="Adobe Gothic Std B"/>
          <w:sz w:val="24"/>
          <w:szCs w:val="24"/>
        </w:rPr>
        <w:tab/>
      </w:r>
      <w:r>
        <w:rPr>
          <w:sz w:val="24"/>
          <w:szCs w:val="24"/>
        </w:rPr>
        <w:t>Declarar FUNDADA</w:t>
      </w:r>
      <w:r w:rsidRPr="00B95E8B">
        <w:rPr>
          <w:sz w:val="24"/>
          <w:szCs w:val="24"/>
        </w:rPr>
        <w:t xml:space="preserve"> la acción de revisión impetrada por el accionante</w:t>
      </w:r>
      <w:r>
        <w:rPr>
          <w:sz w:val="24"/>
          <w:szCs w:val="24"/>
        </w:rPr>
        <w:t xml:space="preserve"> con base en la causal 7</w:t>
      </w:r>
      <w:r w:rsidRPr="00B95E8B">
        <w:rPr>
          <w:sz w:val="24"/>
          <w:szCs w:val="24"/>
        </w:rPr>
        <w:t xml:space="preserve"> del artículo 192 del C</w:t>
      </w:r>
      <w:r>
        <w:rPr>
          <w:sz w:val="24"/>
          <w:szCs w:val="24"/>
        </w:rPr>
        <w:t>.</w:t>
      </w:r>
      <w:r w:rsidRPr="00B95E8B">
        <w:rPr>
          <w:sz w:val="24"/>
          <w:szCs w:val="24"/>
        </w:rPr>
        <w:t>P</w:t>
      </w:r>
      <w:r>
        <w:rPr>
          <w:sz w:val="24"/>
          <w:szCs w:val="24"/>
        </w:rPr>
        <w:t>.</w:t>
      </w:r>
      <w:r w:rsidRPr="00B95E8B">
        <w:rPr>
          <w:sz w:val="24"/>
          <w:szCs w:val="24"/>
        </w:rPr>
        <w:t>P.</w:t>
      </w:r>
    </w:p>
    <w:p w:rsidR="007D431C" w:rsidRPr="009905FF" w:rsidRDefault="007D431C" w:rsidP="009A6567">
      <w:pPr>
        <w:spacing w:line="360" w:lineRule="auto"/>
        <w:ind w:right="-425"/>
        <w:jc w:val="both"/>
        <w:rPr>
          <w:color w:val="4472C4" w:themeColor="accent5"/>
          <w:sz w:val="24"/>
          <w:szCs w:val="24"/>
        </w:rPr>
      </w:pPr>
    </w:p>
    <w:p w:rsidR="007D431C" w:rsidRPr="00B95E8B" w:rsidRDefault="007D431C" w:rsidP="009A6567">
      <w:pPr>
        <w:spacing w:line="360" w:lineRule="auto"/>
        <w:ind w:right="-425"/>
        <w:jc w:val="both"/>
        <w:rPr>
          <w:sz w:val="24"/>
          <w:szCs w:val="24"/>
        </w:rPr>
      </w:pPr>
      <w:r w:rsidRPr="00B95E8B">
        <w:rPr>
          <w:sz w:val="24"/>
          <w:szCs w:val="24"/>
        </w:rPr>
        <w:t>SEGUNDO:</w:t>
      </w:r>
      <w:r w:rsidRPr="00B95E8B">
        <w:rPr>
          <w:sz w:val="24"/>
          <w:szCs w:val="24"/>
        </w:rPr>
        <w:tab/>
        <w:t>En consecuencia</w:t>
      </w:r>
      <w:r>
        <w:rPr>
          <w:sz w:val="24"/>
          <w:szCs w:val="24"/>
        </w:rPr>
        <w:t>,</w:t>
      </w:r>
      <w:r w:rsidRPr="00B95E8B">
        <w:rPr>
          <w:sz w:val="24"/>
          <w:szCs w:val="24"/>
        </w:rPr>
        <w:t xml:space="preserve"> </w:t>
      </w:r>
      <w:r>
        <w:rPr>
          <w:sz w:val="24"/>
          <w:szCs w:val="24"/>
        </w:rPr>
        <w:t xml:space="preserve">invalidar </w:t>
      </w:r>
      <w:r w:rsidRPr="00B95E8B">
        <w:rPr>
          <w:sz w:val="24"/>
          <w:szCs w:val="24"/>
        </w:rPr>
        <w:t xml:space="preserve">la sentencia dictada el </w:t>
      </w:r>
      <w:r w:rsidR="001D4A50">
        <w:rPr>
          <w:sz w:val="24"/>
          <w:szCs w:val="24"/>
        </w:rPr>
        <w:t>30</w:t>
      </w:r>
      <w:r w:rsidRPr="00B95E8B">
        <w:rPr>
          <w:sz w:val="24"/>
          <w:szCs w:val="24"/>
        </w:rPr>
        <w:t xml:space="preserve"> de </w:t>
      </w:r>
      <w:r w:rsidR="001D4A50">
        <w:rPr>
          <w:sz w:val="24"/>
          <w:szCs w:val="24"/>
        </w:rPr>
        <w:t>septiembre</w:t>
      </w:r>
      <w:r>
        <w:rPr>
          <w:sz w:val="24"/>
          <w:szCs w:val="24"/>
        </w:rPr>
        <w:t xml:space="preserve"> de 2016</w:t>
      </w:r>
      <w:r w:rsidRPr="00B95E8B">
        <w:rPr>
          <w:sz w:val="24"/>
          <w:szCs w:val="24"/>
        </w:rPr>
        <w:t xml:space="preserve"> por el Juzgado Penal del </w:t>
      </w:r>
      <w:r>
        <w:rPr>
          <w:sz w:val="24"/>
          <w:szCs w:val="24"/>
        </w:rPr>
        <w:t xml:space="preserve">Circuito de </w:t>
      </w:r>
      <w:r w:rsidR="001D4A50">
        <w:rPr>
          <w:sz w:val="24"/>
          <w:szCs w:val="24"/>
        </w:rPr>
        <w:t>Santa Rosa de Cabal</w:t>
      </w:r>
      <w:r>
        <w:rPr>
          <w:sz w:val="24"/>
          <w:szCs w:val="24"/>
        </w:rPr>
        <w:t xml:space="preserve"> (Risaralda), en la cual se declaró penalmente responsable al señor </w:t>
      </w:r>
      <w:r w:rsidR="001D4A50">
        <w:rPr>
          <w:sz w:val="24"/>
          <w:szCs w:val="24"/>
        </w:rPr>
        <w:t>HERNANDO ANTONIO GALLEGO SÁNCHEZ</w:t>
      </w:r>
      <w:r>
        <w:rPr>
          <w:sz w:val="24"/>
          <w:szCs w:val="24"/>
        </w:rPr>
        <w:t xml:space="preserve"> por incurrir en la comisión del delito de tráfico, fabricación o porte de estupefacientes (art. 376 C.P.).</w:t>
      </w:r>
    </w:p>
    <w:p w:rsidR="007D431C" w:rsidRPr="009905FF" w:rsidRDefault="007D431C" w:rsidP="009A6567">
      <w:pPr>
        <w:spacing w:line="360" w:lineRule="auto"/>
        <w:ind w:left="708" w:right="-425" w:hanging="708"/>
        <w:jc w:val="both"/>
        <w:rPr>
          <w:color w:val="4472C4" w:themeColor="accent5"/>
          <w:sz w:val="24"/>
          <w:szCs w:val="24"/>
        </w:rPr>
      </w:pPr>
    </w:p>
    <w:p w:rsidR="007D431C" w:rsidRPr="000D4F72" w:rsidRDefault="007D431C" w:rsidP="009A6567">
      <w:pPr>
        <w:pStyle w:val="Prrafodelista"/>
        <w:spacing w:line="360" w:lineRule="auto"/>
        <w:ind w:left="0" w:right="-425"/>
        <w:jc w:val="both"/>
        <w:rPr>
          <w:sz w:val="24"/>
          <w:szCs w:val="24"/>
          <w:lang w:val="es-ES"/>
        </w:rPr>
      </w:pPr>
      <w:r w:rsidRPr="00B95E8B">
        <w:rPr>
          <w:sz w:val="24"/>
          <w:szCs w:val="24"/>
        </w:rPr>
        <w:t>TERCERO:</w:t>
      </w:r>
      <w:r>
        <w:rPr>
          <w:sz w:val="24"/>
          <w:szCs w:val="24"/>
        </w:rPr>
        <w:tab/>
        <w:t xml:space="preserve">En su lugar, dictar como sentencia de reemplazo la absolución del otrora procesado </w:t>
      </w:r>
      <w:r w:rsidR="001D4A50">
        <w:rPr>
          <w:sz w:val="24"/>
          <w:szCs w:val="24"/>
        </w:rPr>
        <w:t xml:space="preserve">HERNANDO ANTONIO GALLEGO SÁNCHEZ </w:t>
      </w:r>
      <w:r>
        <w:rPr>
          <w:sz w:val="24"/>
          <w:szCs w:val="24"/>
        </w:rPr>
        <w:t xml:space="preserve">de los cargos por los cuales fue llamado a juicio en el presente asunto por parte de la FGN, se ordena cancelar la orden de captura emitida por cuenta de este proceso en contra del </w:t>
      </w:r>
      <w:r w:rsidR="003E525A">
        <w:rPr>
          <w:sz w:val="24"/>
          <w:szCs w:val="24"/>
        </w:rPr>
        <w:t>Gallego Sánchez</w:t>
      </w:r>
      <w:r>
        <w:rPr>
          <w:sz w:val="24"/>
          <w:szCs w:val="24"/>
        </w:rPr>
        <w:t xml:space="preserve"> y en caso de que se encuentre recluido en establecimiento carcelario se procederá a ordenar su inmediata libertad, siempre y cuando ese estado de privación sea consecuencia del fallo que se invalida mediante la presente acción de revisión.</w:t>
      </w:r>
    </w:p>
    <w:p w:rsidR="007D431C" w:rsidRPr="007A40DD" w:rsidRDefault="007D431C" w:rsidP="009A6567">
      <w:pPr>
        <w:spacing w:line="360" w:lineRule="auto"/>
        <w:ind w:right="-425"/>
        <w:jc w:val="both"/>
        <w:rPr>
          <w:color w:val="4472C4" w:themeColor="accent5"/>
          <w:sz w:val="24"/>
          <w:szCs w:val="24"/>
          <w:lang w:val="es-ES"/>
        </w:rPr>
      </w:pPr>
    </w:p>
    <w:p w:rsidR="007D431C" w:rsidRDefault="007D431C" w:rsidP="009A6567">
      <w:pPr>
        <w:spacing w:line="360" w:lineRule="auto"/>
        <w:ind w:right="-425"/>
        <w:jc w:val="both"/>
        <w:rPr>
          <w:rFonts w:eastAsia="Adobe Gothic Std B"/>
          <w:sz w:val="24"/>
          <w:szCs w:val="24"/>
        </w:rPr>
      </w:pPr>
      <w:r w:rsidRPr="00B95E8B">
        <w:rPr>
          <w:sz w:val="24"/>
          <w:szCs w:val="24"/>
        </w:rPr>
        <w:t>CUARTO:</w:t>
      </w:r>
      <w:r w:rsidRPr="00B95E8B">
        <w:rPr>
          <w:sz w:val="24"/>
          <w:szCs w:val="24"/>
        </w:rPr>
        <w:tab/>
      </w:r>
      <w:r>
        <w:rPr>
          <w:rFonts w:eastAsia="Adobe Gothic Std B"/>
          <w:sz w:val="24"/>
          <w:szCs w:val="24"/>
        </w:rPr>
        <w:t>Declarar que contra la presente decisión, por tratarse de un fallo de única instancia, no procede recurso alguno</w:t>
      </w:r>
      <w:r w:rsidRPr="00B95E8B">
        <w:rPr>
          <w:rFonts w:eastAsia="Adobe Gothic Std B"/>
          <w:sz w:val="24"/>
          <w:szCs w:val="24"/>
        </w:rPr>
        <w:t>.</w:t>
      </w:r>
    </w:p>
    <w:p w:rsidR="007D431C" w:rsidRDefault="007D431C" w:rsidP="009A6567">
      <w:pPr>
        <w:spacing w:line="360" w:lineRule="auto"/>
        <w:ind w:right="-425"/>
        <w:jc w:val="both"/>
        <w:rPr>
          <w:rFonts w:eastAsia="Adobe Gothic Std B"/>
          <w:b/>
          <w:color w:val="4472C4" w:themeColor="accent5"/>
          <w:sz w:val="24"/>
          <w:szCs w:val="24"/>
        </w:rPr>
      </w:pPr>
    </w:p>
    <w:p w:rsidR="007D431C" w:rsidRPr="009905FF" w:rsidRDefault="007D431C" w:rsidP="009A6567">
      <w:pPr>
        <w:spacing w:line="360" w:lineRule="auto"/>
        <w:ind w:right="-425"/>
        <w:jc w:val="both"/>
        <w:rPr>
          <w:rFonts w:eastAsia="Adobe Gothic Std B"/>
          <w:b/>
          <w:color w:val="4472C4" w:themeColor="accent5"/>
          <w:sz w:val="24"/>
          <w:szCs w:val="24"/>
        </w:rPr>
      </w:pPr>
    </w:p>
    <w:p w:rsidR="007D431C" w:rsidRPr="00B95E8B" w:rsidRDefault="007D431C" w:rsidP="0012624C">
      <w:pPr>
        <w:spacing w:line="360" w:lineRule="auto"/>
        <w:ind w:right="-425"/>
        <w:jc w:val="center"/>
        <w:rPr>
          <w:rFonts w:eastAsia="Adobe Gothic Std B"/>
          <w:b/>
          <w:sz w:val="24"/>
          <w:szCs w:val="24"/>
        </w:rPr>
      </w:pPr>
      <w:r w:rsidRPr="00B95E8B">
        <w:rPr>
          <w:rFonts w:eastAsia="Adobe Gothic Std B"/>
          <w:b/>
          <w:sz w:val="24"/>
          <w:szCs w:val="24"/>
        </w:rPr>
        <w:t>NOTIFÍQUESE Y CÚMPLASE.</w:t>
      </w:r>
    </w:p>
    <w:p w:rsidR="007D431C" w:rsidRPr="00B95E8B" w:rsidRDefault="007D431C" w:rsidP="0012624C">
      <w:pPr>
        <w:spacing w:line="360" w:lineRule="auto"/>
        <w:ind w:right="-425"/>
        <w:jc w:val="center"/>
        <w:rPr>
          <w:rFonts w:eastAsia="Adobe Gothic Std B"/>
          <w:b/>
          <w:sz w:val="24"/>
          <w:szCs w:val="24"/>
        </w:rPr>
      </w:pPr>
    </w:p>
    <w:p w:rsidR="007D431C" w:rsidRPr="00B95E8B" w:rsidRDefault="007D431C" w:rsidP="0012624C">
      <w:pPr>
        <w:spacing w:line="360" w:lineRule="auto"/>
        <w:ind w:right="-425"/>
        <w:jc w:val="center"/>
        <w:rPr>
          <w:rFonts w:eastAsia="Adobe Gothic Std B"/>
          <w:b/>
          <w:sz w:val="24"/>
          <w:szCs w:val="24"/>
        </w:rPr>
      </w:pPr>
    </w:p>
    <w:p w:rsidR="007D431C" w:rsidRPr="00B95E8B" w:rsidRDefault="007D431C" w:rsidP="0012624C">
      <w:pPr>
        <w:spacing w:line="360" w:lineRule="auto"/>
        <w:ind w:right="-425"/>
        <w:jc w:val="center"/>
        <w:rPr>
          <w:rFonts w:eastAsia="Adobe Gothic Std B"/>
          <w:b/>
          <w:sz w:val="24"/>
          <w:szCs w:val="24"/>
        </w:rPr>
      </w:pPr>
    </w:p>
    <w:p w:rsidR="007D431C" w:rsidRPr="00B95E8B" w:rsidRDefault="007D431C" w:rsidP="0012624C">
      <w:pPr>
        <w:spacing w:line="360" w:lineRule="auto"/>
        <w:ind w:right="-425"/>
        <w:jc w:val="center"/>
        <w:rPr>
          <w:rFonts w:eastAsia="Adobe Gothic Std B"/>
          <w:b/>
          <w:sz w:val="24"/>
          <w:szCs w:val="24"/>
          <w:lang w:val="es-ES"/>
        </w:rPr>
      </w:pPr>
      <w:r w:rsidRPr="00B95E8B">
        <w:rPr>
          <w:rFonts w:eastAsia="Adobe Gothic Std B"/>
          <w:b/>
          <w:sz w:val="24"/>
          <w:szCs w:val="24"/>
          <w:lang w:val="es-ES"/>
        </w:rPr>
        <w:lastRenderedPageBreak/>
        <w:t>JAIRO ERNESTO ESCOBAR SANZ</w:t>
      </w:r>
    </w:p>
    <w:p w:rsidR="007D431C" w:rsidRPr="00B95E8B" w:rsidRDefault="007D431C" w:rsidP="0012624C">
      <w:pPr>
        <w:spacing w:line="360" w:lineRule="auto"/>
        <w:ind w:right="-425"/>
        <w:jc w:val="center"/>
        <w:rPr>
          <w:rFonts w:eastAsia="Adobe Gothic Std B"/>
          <w:b/>
          <w:sz w:val="24"/>
          <w:szCs w:val="24"/>
          <w:lang w:val="es-ES"/>
        </w:rPr>
      </w:pPr>
      <w:r w:rsidRPr="00B95E8B">
        <w:rPr>
          <w:rFonts w:eastAsia="Adobe Gothic Std B"/>
          <w:b/>
          <w:sz w:val="24"/>
          <w:szCs w:val="24"/>
          <w:lang w:val="es-ES"/>
        </w:rPr>
        <w:t>Magistrado</w:t>
      </w:r>
    </w:p>
    <w:p w:rsidR="007D431C" w:rsidRPr="00B95E8B" w:rsidRDefault="007D431C" w:rsidP="0012624C">
      <w:pPr>
        <w:spacing w:line="360" w:lineRule="auto"/>
        <w:ind w:right="-425"/>
        <w:jc w:val="center"/>
        <w:rPr>
          <w:rFonts w:eastAsia="Adobe Gothic Std B"/>
          <w:b/>
          <w:sz w:val="24"/>
          <w:szCs w:val="24"/>
          <w:lang w:val="es-ES"/>
        </w:rPr>
      </w:pPr>
    </w:p>
    <w:p w:rsidR="007D431C" w:rsidRPr="00B95E8B" w:rsidRDefault="007D431C" w:rsidP="0012624C">
      <w:pPr>
        <w:spacing w:line="360" w:lineRule="auto"/>
        <w:ind w:right="-425"/>
        <w:jc w:val="center"/>
        <w:rPr>
          <w:rFonts w:eastAsia="Adobe Gothic Std B"/>
          <w:b/>
          <w:sz w:val="24"/>
          <w:szCs w:val="24"/>
          <w:lang w:val="es-ES"/>
        </w:rPr>
      </w:pPr>
    </w:p>
    <w:p w:rsidR="007D431C" w:rsidRPr="00B95E8B" w:rsidRDefault="007D431C" w:rsidP="0012624C">
      <w:pPr>
        <w:spacing w:line="360" w:lineRule="auto"/>
        <w:ind w:right="-425"/>
        <w:jc w:val="center"/>
        <w:rPr>
          <w:rFonts w:eastAsia="Adobe Gothic Std B"/>
          <w:b/>
          <w:sz w:val="24"/>
          <w:szCs w:val="24"/>
          <w:lang w:val="es-ES"/>
        </w:rPr>
      </w:pPr>
    </w:p>
    <w:p w:rsidR="007D431C" w:rsidRPr="00B95E8B" w:rsidRDefault="007D431C" w:rsidP="0012624C">
      <w:pPr>
        <w:spacing w:line="360" w:lineRule="auto"/>
        <w:ind w:right="-425"/>
        <w:jc w:val="center"/>
        <w:rPr>
          <w:rFonts w:eastAsia="Adobe Gothic Std B"/>
          <w:b/>
          <w:sz w:val="24"/>
          <w:szCs w:val="24"/>
          <w:lang w:val="es-ES"/>
        </w:rPr>
      </w:pPr>
      <w:r w:rsidRPr="00B95E8B">
        <w:rPr>
          <w:rFonts w:eastAsia="Adobe Gothic Std B"/>
          <w:b/>
          <w:sz w:val="24"/>
          <w:szCs w:val="24"/>
          <w:lang w:val="es-ES"/>
        </w:rPr>
        <w:t>MANUEL YARZAGARAY BANDERA</w:t>
      </w:r>
    </w:p>
    <w:p w:rsidR="007D431C" w:rsidRPr="00B95E8B" w:rsidRDefault="007D431C" w:rsidP="0012624C">
      <w:pPr>
        <w:spacing w:line="360" w:lineRule="auto"/>
        <w:ind w:right="-425"/>
        <w:jc w:val="center"/>
        <w:rPr>
          <w:rFonts w:eastAsia="Adobe Gothic Std B"/>
          <w:b/>
          <w:sz w:val="24"/>
          <w:szCs w:val="24"/>
          <w:lang w:val="es-ES"/>
        </w:rPr>
      </w:pPr>
      <w:r w:rsidRPr="00B95E8B">
        <w:rPr>
          <w:rFonts w:eastAsia="Adobe Gothic Std B"/>
          <w:b/>
          <w:sz w:val="24"/>
          <w:szCs w:val="24"/>
          <w:lang w:val="es-ES"/>
        </w:rPr>
        <w:t>Magistrado</w:t>
      </w:r>
    </w:p>
    <w:p w:rsidR="007D431C" w:rsidRPr="00B95E8B" w:rsidRDefault="007D431C" w:rsidP="0012624C">
      <w:pPr>
        <w:spacing w:line="360" w:lineRule="auto"/>
        <w:ind w:right="-425"/>
        <w:jc w:val="center"/>
        <w:rPr>
          <w:rFonts w:eastAsia="Adobe Gothic Std B"/>
          <w:b/>
          <w:sz w:val="24"/>
          <w:szCs w:val="24"/>
          <w:lang w:val="es-ES"/>
        </w:rPr>
      </w:pPr>
    </w:p>
    <w:p w:rsidR="007D431C" w:rsidRPr="00B95E8B" w:rsidRDefault="007D431C" w:rsidP="0012624C">
      <w:pPr>
        <w:spacing w:line="360" w:lineRule="auto"/>
        <w:ind w:right="-425"/>
        <w:jc w:val="center"/>
        <w:rPr>
          <w:rFonts w:eastAsia="Adobe Gothic Std B"/>
          <w:b/>
          <w:sz w:val="24"/>
          <w:szCs w:val="24"/>
          <w:lang w:val="es-ES"/>
        </w:rPr>
      </w:pPr>
    </w:p>
    <w:p w:rsidR="007D431C" w:rsidRPr="00B95E8B" w:rsidRDefault="007D431C" w:rsidP="0012624C">
      <w:pPr>
        <w:spacing w:line="360" w:lineRule="auto"/>
        <w:ind w:right="-425"/>
        <w:jc w:val="center"/>
        <w:rPr>
          <w:rFonts w:eastAsia="Adobe Gothic Std B"/>
          <w:b/>
          <w:sz w:val="24"/>
          <w:szCs w:val="24"/>
          <w:lang w:val="es-ES"/>
        </w:rPr>
      </w:pPr>
    </w:p>
    <w:p w:rsidR="007D431C" w:rsidRPr="00B95E8B" w:rsidRDefault="007D431C" w:rsidP="0012624C">
      <w:pPr>
        <w:spacing w:line="360" w:lineRule="auto"/>
        <w:ind w:right="-425"/>
        <w:jc w:val="center"/>
        <w:rPr>
          <w:rFonts w:eastAsia="Adobe Gothic Std B"/>
          <w:b/>
          <w:sz w:val="24"/>
          <w:szCs w:val="24"/>
          <w:lang w:val="es-ES"/>
        </w:rPr>
      </w:pPr>
      <w:r w:rsidRPr="00B95E8B">
        <w:rPr>
          <w:rFonts w:eastAsia="Adobe Gothic Std B"/>
          <w:b/>
          <w:sz w:val="24"/>
          <w:szCs w:val="24"/>
          <w:lang w:val="es-ES"/>
        </w:rPr>
        <w:t>JORGE ARTURO CASTAÑO DUQUE</w:t>
      </w:r>
    </w:p>
    <w:p w:rsidR="007D431C" w:rsidRPr="00B95E8B" w:rsidRDefault="007D431C" w:rsidP="0012624C">
      <w:pPr>
        <w:spacing w:line="360" w:lineRule="auto"/>
        <w:ind w:right="-425"/>
        <w:jc w:val="center"/>
        <w:rPr>
          <w:rFonts w:eastAsia="Adobe Gothic Std B"/>
          <w:b/>
          <w:sz w:val="24"/>
          <w:szCs w:val="24"/>
          <w:lang w:val="es-ES"/>
        </w:rPr>
      </w:pPr>
      <w:r w:rsidRPr="00B95E8B">
        <w:rPr>
          <w:rFonts w:eastAsia="Adobe Gothic Std B"/>
          <w:b/>
          <w:sz w:val="24"/>
          <w:szCs w:val="24"/>
          <w:lang w:val="es-ES"/>
        </w:rPr>
        <w:t>Magistrado</w:t>
      </w:r>
    </w:p>
    <w:p w:rsidR="007D431C" w:rsidRPr="00B95E8B" w:rsidRDefault="007D431C" w:rsidP="009A6567">
      <w:pPr>
        <w:spacing w:line="360" w:lineRule="auto"/>
        <w:ind w:right="-425"/>
        <w:jc w:val="both"/>
        <w:rPr>
          <w:rFonts w:eastAsia="Adobe Gothic Std B"/>
          <w:b/>
          <w:sz w:val="24"/>
          <w:szCs w:val="24"/>
          <w:lang w:val="es-ES"/>
        </w:rPr>
      </w:pPr>
    </w:p>
    <w:p w:rsidR="007D431C" w:rsidRPr="009905FF" w:rsidRDefault="007D431C" w:rsidP="009A6567">
      <w:pPr>
        <w:spacing w:line="360" w:lineRule="auto"/>
        <w:ind w:right="-425"/>
        <w:jc w:val="both"/>
        <w:rPr>
          <w:rFonts w:eastAsia="Adobe Gothic Std B"/>
          <w:b/>
          <w:color w:val="4472C4" w:themeColor="accent5"/>
          <w:sz w:val="24"/>
          <w:szCs w:val="24"/>
          <w:lang w:val="es-ES"/>
        </w:rPr>
      </w:pPr>
    </w:p>
    <w:p w:rsidR="007D431C" w:rsidRPr="009905FF" w:rsidRDefault="007D431C" w:rsidP="009A6567">
      <w:pPr>
        <w:spacing w:line="360" w:lineRule="auto"/>
        <w:ind w:right="-425"/>
        <w:jc w:val="both"/>
        <w:rPr>
          <w:color w:val="4472C4" w:themeColor="accent5"/>
          <w:sz w:val="24"/>
          <w:szCs w:val="24"/>
        </w:rPr>
      </w:pPr>
    </w:p>
    <w:p w:rsidR="007D431C" w:rsidRPr="009905FF" w:rsidRDefault="007D431C" w:rsidP="009A6567">
      <w:pPr>
        <w:spacing w:line="360" w:lineRule="auto"/>
        <w:ind w:right="-425"/>
        <w:jc w:val="both"/>
        <w:rPr>
          <w:color w:val="4472C4" w:themeColor="accent5"/>
          <w:sz w:val="24"/>
          <w:szCs w:val="24"/>
        </w:rPr>
      </w:pPr>
    </w:p>
    <w:p w:rsidR="007D431C" w:rsidRPr="007D431C" w:rsidRDefault="007D431C" w:rsidP="009A6567">
      <w:pPr>
        <w:spacing w:line="360" w:lineRule="auto"/>
        <w:ind w:left="360" w:right="-425"/>
        <w:jc w:val="both"/>
        <w:rPr>
          <w:sz w:val="24"/>
          <w:szCs w:val="24"/>
        </w:rPr>
      </w:pPr>
    </w:p>
    <w:sectPr w:rsidR="007D431C" w:rsidRPr="007D431C" w:rsidSect="00AF522E">
      <w:headerReference w:type="default" r:id="rId10"/>
      <w:footerReference w:type="default" r:id="rId11"/>
      <w:pgSz w:w="12240" w:h="18720" w:code="14"/>
      <w:pgMar w:top="1417" w:right="1892"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79" w:rsidRDefault="00260C79" w:rsidP="00047C58">
      <w:r>
        <w:separator/>
      </w:r>
    </w:p>
  </w:endnote>
  <w:endnote w:type="continuationSeparator" w:id="0">
    <w:p w:rsidR="00260C79" w:rsidRDefault="00260C79"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1023014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155FAA" w:rsidRPr="00030498" w:rsidRDefault="00155FAA">
            <w:pPr>
              <w:pStyle w:val="Piedepgina"/>
              <w:rPr>
                <w:sz w:val="20"/>
                <w:szCs w:val="20"/>
              </w:rPr>
            </w:pPr>
            <w:r w:rsidRPr="00030498">
              <w:rPr>
                <w:sz w:val="20"/>
                <w:szCs w:val="20"/>
                <w:lang w:val="es-ES"/>
              </w:rPr>
              <w:t xml:space="preserve">Página </w:t>
            </w:r>
            <w:r w:rsidRPr="00030498">
              <w:rPr>
                <w:b/>
                <w:bCs/>
                <w:sz w:val="20"/>
                <w:szCs w:val="20"/>
              </w:rPr>
              <w:fldChar w:fldCharType="begin"/>
            </w:r>
            <w:r w:rsidRPr="00030498">
              <w:rPr>
                <w:b/>
                <w:bCs/>
                <w:sz w:val="20"/>
                <w:szCs w:val="20"/>
              </w:rPr>
              <w:instrText>PAGE</w:instrText>
            </w:r>
            <w:r w:rsidRPr="00030498">
              <w:rPr>
                <w:b/>
                <w:bCs/>
                <w:sz w:val="20"/>
                <w:szCs w:val="20"/>
              </w:rPr>
              <w:fldChar w:fldCharType="separate"/>
            </w:r>
            <w:r w:rsidR="00C63B6A">
              <w:rPr>
                <w:b/>
                <w:bCs/>
                <w:noProof/>
                <w:sz w:val="20"/>
                <w:szCs w:val="20"/>
              </w:rPr>
              <w:t>20</w:t>
            </w:r>
            <w:r w:rsidRPr="00030498">
              <w:rPr>
                <w:b/>
                <w:bCs/>
                <w:sz w:val="20"/>
                <w:szCs w:val="20"/>
              </w:rPr>
              <w:fldChar w:fldCharType="end"/>
            </w:r>
            <w:r w:rsidRPr="00030498">
              <w:rPr>
                <w:sz w:val="20"/>
                <w:szCs w:val="20"/>
                <w:lang w:val="es-ES"/>
              </w:rPr>
              <w:t xml:space="preserve"> de </w:t>
            </w:r>
            <w:r w:rsidRPr="00030498">
              <w:rPr>
                <w:b/>
                <w:bCs/>
                <w:sz w:val="20"/>
                <w:szCs w:val="20"/>
              </w:rPr>
              <w:fldChar w:fldCharType="begin"/>
            </w:r>
            <w:r w:rsidRPr="00030498">
              <w:rPr>
                <w:b/>
                <w:bCs/>
                <w:sz w:val="20"/>
                <w:szCs w:val="20"/>
              </w:rPr>
              <w:instrText>NUMPAGES</w:instrText>
            </w:r>
            <w:r w:rsidRPr="00030498">
              <w:rPr>
                <w:b/>
                <w:bCs/>
                <w:sz w:val="20"/>
                <w:szCs w:val="20"/>
              </w:rPr>
              <w:fldChar w:fldCharType="separate"/>
            </w:r>
            <w:r w:rsidR="00C63B6A">
              <w:rPr>
                <w:b/>
                <w:bCs/>
                <w:noProof/>
                <w:sz w:val="20"/>
                <w:szCs w:val="20"/>
              </w:rPr>
              <w:t>20</w:t>
            </w:r>
            <w:r w:rsidRPr="00030498">
              <w:rPr>
                <w:b/>
                <w:bCs/>
                <w:sz w:val="20"/>
                <w:szCs w:val="20"/>
              </w:rPr>
              <w:fldChar w:fldCharType="end"/>
            </w:r>
          </w:p>
        </w:sdtContent>
      </w:sdt>
    </w:sdtContent>
  </w:sdt>
  <w:p w:rsidR="00155FAA" w:rsidRDefault="00155FAA">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79" w:rsidRDefault="00260C79" w:rsidP="00047C58">
      <w:r>
        <w:separator/>
      </w:r>
    </w:p>
  </w:footnote>
  <w:footnote w:type="continuationSeparator" w:id="0">
    <w:p w:rsidR="00260C79" w:rsidRDefault="00260C79" w:rsidP="00047C58">
      <w:r>
        <w:continuationSeparator/>
      </w:r>
    </w:p>
  </w:footnote>
  <w:footnote w:id="1">
    <w:p w:rsidR="00155FAA" w:rsidRPr="00984719" w:rsidRDefault="00155FAA">
      <w:pPr>
        <w:pStyle w:val="Textonotapie"/>
        <w:rPr>
          <w:rFonts w:ascii="Arial" w:hAnsi="Arial" w:cs="Arial"/>
          <w:sz w:val="18"/>
          <w:szCs w:val="18"/>
        </w:rPr>
      </w:pPr>
      <w:r w:rsidRPr="00984719">
        <w:rPr>
          <w:rStyle w:val="Refdenotaalpie"/>
          <w:rFonts w:ascii="Arial" w:hAnsi="Arial" w:cs="Arial"/>
          <w:sz w:val="18"/>
          <w:szCs w:val="18"/>
        </w:rPr>
        <w:footnoteRef/>
      </w:r>
      <w:r w:rsidR="00732BC0">
        <w:rPr>
          <w:rFonts w:ascii="Arial" w:hAnsi="Arial" w:cs="Arial"/>
          <w:sz w:val="18"/>
          <w:szCs w:val="18"/>
        </w:rPr>
        <w:t xml:space="preserve"> Folio 51</w:t>
      </w:r>
      <w:r>
        <w:rPr>
          <w:rFonts w:ascii="Arial" w:hAnsi="Arial" w:cs="Arial"/>
          <w:sz w:val="18"/>
          <w:szCs w:val="18"/>
        </w:rPr>
        <w:t xml:space="preserve"> del cuaderno de conocimiento.</w:t>
      </w:r>
    </w:p>
  </w:footnote>
  <w:footnote w:id="2">
    <w:p w:rsidR="00B22514" w:rsidRPr="00C40137" w:rsidRDefault="00B22514" w:rsidP="00B22514">
      <w:pPr>
        <w:pStyle w:val="Textonotapie"/>
        <w:rPr>
          <w:rFonts w:ascii="Arial" w:hAnsi="Arial" w:cs="Arial"/>
          <w:sz w:val="18"/>
          <w:szCs w:val="18"/>
        </w:rPr>
      </w:pPr>
      <w:r w:rsidRPr="00C40137">
        <w:rPr>
          <w:rStyle w:val="Refdenotaalpie"/>
          <w:rFonts w:ascii="Arial" w:hAnsi="Arial" w:cs="Arial"/>
          <w:sz w:val="18"/>
          <w:szCs w:val="18"/>
        </w:rPr>
        <w:footnoteRef/>
      </w:r>
      <w:r w:rsidRPr="00C40137">
        <w:rPr>
          <w:rFonts w:ascii="Arial" w:hAnsi="Arial" w:cs="Arial"/>
          <w:sz w:val="18"/>
          <w:szCs w:val="18"/>
        </w:rPr>
        <w:t xml:space="preserve"> CSJ SP 2940, 9 marzo de 2016, radicado 41760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AA" w:rsidRDefault="00155FAA" w:rsidP="00D2247B">
    <w:pPr>
      <w:pStyle w:val="Encabezado"/>
      <w:jc w:val="right"/>
      <w:rPr>
        <w:sz w:val="16"/>
        <w:szCs w:val="16"/>
      </w:rPr>
    </w:pPr>
    <w:r>
      <w:rPr>
        <w:sz w:val="16"/>
        <w:szCs w:val="16"/>
      </w:rPr>
      <w:t>Radicado</w:t>
    </w:r>
    <w:r w:rsidRPr="00D2247B">
      <w:rPr>
        <w:sz w:val="16"/>
        <w:szCs w:val="16"/>
      </w:rPr>
      <w:t>:</w:t>
    </w:r>
    <w:r w:rsidR="0011237A">
      <w:rPr>
        <w:sz w:val="16"/>
        <w:szCs w:val="16"/>
      </w:rPr>
      <w:t xml:space="preserve"> 66001220400020180009</w:t>
    </w:r>
    <w:r w:rsidR="00762273">
      <w:rPr>
        <w:sz w:val="16"/>
        <w:szCs w:val="16"/>
      </w:rPr>
      <w:t>0</w:t>
    </w:r>
  </w:p>
  <w:p w:rsidR="00155FAA" w:rsidRDefault="00155FAA" w:rsidP="00D2247B">
    <w:pPr>
      <w:pStyle w:val="Encabezado"/>
      <w:jc w:val="right"/>
      <w:rPr>
        <w:sz w:val="16"/>
        <w:szCs w:val="16"/>
      </w:rPr>
    </w:pPr>
    <w:r>
      <w:rPr>
        <w:sz w:val="16"/>
        <w:szCs w:val="16"/>
      </w:rPr>
      <w:t xml:space="preserve">Accionante: </w:t>
    </w:r>
    <w:r w:rsidR="00762273">
      <w:rPr>
        <w:sz w:val="16"/>
        <w:szCs w:val="16"/>
      </w:rPr>
      <w:t>Hernando Antonio Gallego Sánchez</w:t>
    </w:r>
  </w:p>
  <w:p w:rsidR="00155FAA" w:rsidRDefault="00155FAA" w:rsidP="00D2247B">
    <w:pPr>
      <w:pStyle w:val="Encabezado"/>
      <w:jc w:val="right"/>
      <w:rPr>
        <w:sz w:val="16"/>
        <w:szCs w:val="16"/>
      </w:rPr>
    </w:pPr>
    <w:r>
      <w:rPr>
        <w:sz w:val="16"/>
        <w:szCs w:val="16"/>
      </w:rPr>
      <w:t xml:space="preserve">Accionado: Juzgado Penal del Circuito de </w:t>
    </w:r>
    <w:r w:rsidR="00762273">
      <w:rPr>
        <w:sz w:val="16"/>
        <w:szCs w:val="16"/>
      </w:rPr>
      <w:t>Santa Rosa</w:t>
    </w:r>
  </w:p>
  <w:p w:rsidR="00155FAA" w:rsidRDefault="00155FAA" w:rsidP="00D2247B">
    <w:pPr>
      <w:pStyle w:val="Encabezado"/>
      <w:jc w:val="right"/>
      <w:rPr>
        <w:sz w:val="16"/>
        <w:szCs w:val="16"/>
      </w:rPr>
    </w:pPr>
    <w:r>
      <w:rPr>
        <w:sz w:val="16"/>
        <w:szCs w:val="16"/>
      </w:rPr>
      <w:t>Asunto: Declara fundada causal de revisión</w:t>
    </w:r>
  </w:p>
  <w:p w:rsidR="00155FAA" w:rsidRPr="00D2247B" w:rsidRDefault="00155FAA" w:rsidP="00D2247B">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54278F"/>
    <w:multiLevelType w:val="multilevel"/>
    <w:tmpl w:val="3E4EA88E"/>
    <w:lvl w:ilvl="0">
      <w:start w:val="1"/>
      <w:numFmt w:val="decimal"/>
      <w:lvlText w:val="%1."/>
      <w:lvlJc w:val="left"/>
      <w:pPr>
        <w:ind w:left="720" w:hanging="360"/>
      </w:pPr>
      <w:rPr>
        <w:rFonts w:hint="default"/>
        <w:b/>
      </w:rPr>
    </w:lvl>
    <w:lvl w:ilvl="1">
      <w:start w:val="1"/>
      <w:numFmt w:val="decimal"/>
      <w:isLgl/>
      <w:lvlText w:val="%1.%2"/>
      <w:lvlJc w:val="left"/>
      <w:pPr>
        <w:ind w:left="196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A00B43"/>
    <w:multiLevelType w:val="hybridMultilevel"/>
    <w:tmpl w:val="8A36B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7F6228C"/>
    <w:multiLevelType w:val="multilevel"/>
    <w:tmpl w:val="3418CA7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9668F6"/>
    <w:multiLevelType w:val="hybridMultilevel"/>
    <w:tmpl w:val="FB6E4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61AF6"/>
    <w:multiLevelType w:val="hybridMultilevel"/>
    <w:tmpl w:val="14AA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6">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8">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6"/>
  </w:num>
  <w:num w:numId="4">
    <w:abstractNumId w:val="17"/>
  </w:num>
  <w:num w:numId="5">
    <w:abstractNumId w:val="24"/>
  </w:num>
  <w:num w:numId="6">
    <w:abstractNumId w:val="11"/>
  </w:num>
  <w:num w:numId="7">
    <w:abstractNumId w:val="18"/>
  </w:num>
  <w:num w:numId="8">
    <w:abstractNumId w:val="4"/>
  </w:num>
  <w:num w:numId="9">
    <w:abstractNumId w:val="29"/>
  </w:num>
  <w:num w:numId="10">
    <w:abstractNumId w:val="2"/>
  </w:num>
  <w:num w:numId="11">
    <w:abstractNumId w:val="23"/>
    <w:lvlOverride w:ilvl="0">
      <w:startOverride w:val="1"/>
    </w:lvlOverride>
  </w:num>
  <w:num w:numId="12">
    <w:abstractNumId w:val="23"/>
    <w:lvlOverride w:ilvl="0">
      <w:startOverride w:val="2"/>
    </w:lvlOverride>
  </w:num>
  <w:num w:numId="13">
    <w:abstractNumId w:val="23"/>
    <w:lvlOverride w:ilvl="0">
      <w:startOverride w:val="3"/>
    </w:lvlOverride>
  </w:num>
  <w:num w:numId="14">
    <w:abstractNumId w:val="21"/>
  </w:num>
  <w:num w:numId="15">
    <w:abstractNumId w:val="0"/>
  </w:num>
  <w:num w:numId="16">
    <w:abstractNumId w:val="9"/>
  </w:num>
  <w:num w:numId="17">
    <w:abstractNumId w:val="5"/>
  </w:num>
  <w:num w:numId="18">
    <w:abstractNumId w:val="7"/>
  </w:num>
  <w:num w:numId="19">
    <w:abstractNumId w:val="14"/>
  </w:num>
  <w:num w:numId="20">
    <w:abstractNumId w:val="6"/>
  </w:num>
  <w:num w:numId="21">
    <w:abstractNumId w:val="27"/>
  </w:num>
  <w:num w:numId="22">
    <w:abstractNumId w:val="25"/>
  </w:num>
  <w:num w:numId="23">
    <w:abstractNumId w:val="13"/>
  </w:num>
  <w:num w:numId="24">
    <w:abstractNumId w:val="16"/>
  </w:num>
  <w:num w:numId="25">
    <w:abstractNumId w:val="19"/>
  </w:num>
  <w:num w:numId="26">
    <w:abstractNumId w:val="3"/>
  </w:num>
  <w:num w:numId="27">
    <w:abstractNumId w:val="22"/>
  </w:num>
  <w:num w:numId="28">
    <w:abstractNumId w:val="20"/>
  </w:num>
  <w:num w:numId="29">
    <w:abstractNumId w:val="8"/>
  </w:num>
  <w:num w:numId="30">
    <w:abstractNumId w:val="15"/>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5078"/>
    <w:rsid w:val="00005266"/>
    <w:rsid w:val="00011167"/>
    <w:rsid w:val="000134A3"/>
    <w:rsid w:val="00014D8B"/>
    <w:rsid w:val="000165B0"/>
    <w:rsid w:val="00021EE3"/>
    <w:rsid w:val="000220AE"/>
    <w:rsid w:val="0002576F"/>
    <w:rsid w:val="00025843"/>
    <w:rsid w:val="000261C3"/>
    <w:rsid w:val="00027D3A"/>
    <w:rsid w:val="00030498"/>
    <w:rsid w:val="000324C1"/>
    <w:rsid w:val="00033D2D"/>
    <w:rsid w:val="00036073"/>
    <w:rsid w:val="00044812"/>
    <w:rsid w:val="00045E53"/>
    <w:rsid w:val="000466AF"/>
    <w:rsid w:val="00047C58"/>
    <w:rsid w:val="000532EE"/>
    <w:rsid w:val="00056D81"/>
    <w:rsid w:val="00061DAE"/>
    <w:rsid w:val="00066981"/>
    <w:rsid w:val="00067028"/>
    <w:rsid w:val="00070FFF"/>
    <w:rsid w:val="00071ABF"/>
    <w:rsid w:val="00071C2B"/>
    <w:rsid w:val="0007281F"/>
    <w:rsid w:val="00083568"/>
    <w:rsid w:val="00084912"/>
    <w:rsid w:val="00086DCF"/>
    <w:rsid w:val="000911AD"/>
    <w:rsid w:val="000966FE"/>
    <w:rsid w:val="000A4094"/>
    <w:rsid w:val="000A4169"/>
    <w:rsid w:val="000B2B08"/>
    <w:rsid w:val="000B4C22"/>
    <w:rsid w:val="000C613C"/>
    <w:rsid w:val="000C6928"/>
    <w:rsid w:val="000C7E66"/>
    <w:rsid w:val="000D08FF"/>
    <w:rsid w:val="000D0E0D"/>
    <w:rsid w:val="000D1663"/>
    <w:rsid w:val="000D3D94"/>
    <w:rsid w:val="000D4F72"/>
    <w:rsid w:val="000E4389"/>
    <w:rsid w:val="000E65FF"/>
    <w:rsid w:val="000F3092"/>
    <w:rsid w:val="000F66B3"/>
    <w:rsid w:val="00106811"/>
    <w:rsid w:val="00106FCA"/>
    <w:rsid w:val="00110179"/>
    <w:rsid w:val="0011041E"/>
    <w:rsid w:val="0011237A"/>
    <w:rsid w:val="00120860"/>
    <w:rsid w:val="00122034"/>
    <w:rsid w:val="001232B3"/>
    <w:rsid w:val="00125DB3"/>
    <w:rsid w:val="0012624C"/>
    <w:rsid w:val="00130A5F"/>
    <w:rsid w:val="00131C61"/>
    <w:rsid w:val="00142488"/>
    <w:rsid w:val="0015091B"/>
    <w:rsid w:val="00155FAA"/>
    <w:rsid w:val="00172B6C"/>
    <w:rsid w:val="001776BB"/>
    <w:rsid w:val="00195D11"/>
    <w:rsid w:val="00196269"/>
    <w:rsid w:val="001A7738"/>
    <w:rsid w:val="001B02A6"/>
    <w:rsid w:val="001B465B"/>
    <w:rsid w:val="001B56A6"/>
    <w:rsid w:val="001B5A41"/>
    <w:rsid w:val="001C15C9"/>
    <w:rsid w:val="001C2462"/>
    <w:rsid w:val="001C2807"/>
    <w:rsid w:val="001C2A57"/>
    <w:rsid w:val="001C4823"/>
    <w:rsid w:val="001C5342"/>
    <w:rsid w:val="001C7239"/>
    <w:rsid w:val="001D4A50"/>
    <w:rsid w:val="001E1D67"/>
    <w:rsid w:val="001E20FD"/>
    <w:rsid w:val="001E29D5"/>
    <w:rsid w:val="001E2E43"/>
    <w:rsid w:val="001E41D9"/>
    <w:rsid w:val="001F12B6"/>
    <w:rsid w:val="001F65A4"/>
    <w:rsid w:val="00211704"/>
    <w:rsid w:val="002128BD"/>
    <w:rsid w:val="00215741"/>
    <w:rsid w:val="00225974"/>
    <w:rsid w:val="002279EA"/>
    <w:rsid w:val="00236AC1"/>
    <w:rsid w:val="00240855"/>
    <w:rsid w:val="00240980"/>
    <w:rsid w:val="002507BC"/>
    <w:rsid w:val="0026031D"/>
    <w:rsid w:val="00260C79"/>
    <w:rsid w:val="00264BD6"/>
    <w:rsid w:val="00267CEE"/>
    <w:rsid w:val="00270BF6"/>
    <w:rsid w:val="00272218"/>
    <w:rsid w:val="00272F54"/>
    <w:rsid w:val="00274680"/>
    <w:rsid w:val="0027471A"/>
    <w:rsid w:val="00277899"/>
    <w:rsid w:val="00294DA4"/>
    <w:rsid w:val="00297057"/>
    <w:rsid w:val="002A3033"/>
    <w:rsid w:val="002A6CA0"/>
    <w:rsid w:val="002B09E8"/>
    <w:rsid w:val="002C7BD3"/>
    <w:rsid w:val="002D0150"/>
    <w:rsid w:val="002D6F31"/>
    <w:rsid w:val="002E3214"/>
    <w:rsid w:val="002F4234"/>
    <w:rsid w:val="003017A2"/>
    <w:rsid w:val="00304CC6"/>
    <w:rsid w:val="00320DE5"/>
    <w:rsid w:val="00323DC3"/>
    <w:rsid w:val="003256F2"/>
    <w:rsid w:val="00326BB3"/>
    <w:rsid w:val="00346A17"/>
    <w:rsid w:val="003478B5"/>
    <w:rsid w:val="00352C94"/>
    <w:rsid w:val="00360A1F"/>
    <w:rsid w:val="00360AC5"/>
    <w:rsid w:val="00372690"/>
    <w:rsid w:val="00372B38"/>
    <w:rsid w:val="003858E3"/>
    <w:rsid w:val="00386628"/>
    <w:rsid w:val="00387162"/>
    <w:rsid w:val="0038723D"/>
    <w:rsid w:val="00392C02"/>
    <w:rsid w:val="00393C97"/>
    <w:rsid w:val="003A36EF"/>
    <w:rsid w:val="003A46F9"/>
    <w:rsid w:val="003A7918"/>
    <w:rsid w:val="003A7BA6"/>
    <w:rsid w:val="003B41F2"/>
    <w:rsid w:val="003B5BA0"/>
    <w:rsid w:val="003C6965"/>
    <w:rsid w:val="003E06BF"/>
    <w:rsid w:val="003E2374"/>
    <w:rsid w:val="003E525A"/>
    <w:rsid w:val="003F07A9"/>
    <w:rsid w:val="003F271F"/>
    <w:rsid w:val="003F287F"/>
    <w:rsid w:val="004051F4"/>
    <w:rsid w:val="0041345D"/>
    <w:rsid w:val="0041558F"/>
    <w:rsid w:val="00422862"/>
    <w:rsid w:val="0042616E"/>
    <w:rsid w:val="0043118F"/>
    <w:rsid w:val="004321CF"/>
    <w:rsid w:val="00435F7F"/>
    <w:rsid w:val="00442185"/>
    <w:rsid w:val="00444F32"/>
    <w:rsid w:val="00451500"/>
    <w:rsid w:val="00453274"/>
    <w:rsid w:val="00460B45"/>
    <w:rsid w:val="00461AAD"/>
    <w:rsid w:val="00490F70"/>
    <w:rsid w:val="00496DC4"/>
    <w:rsid w:val="004971C7"/>
    <w:rsid w:val="004A0285"/>
    <w:rsid w:val="004A4D17"/>
    <w:rsid w:val="004B1AE1"/>
    <w:rsid w:val="004B544A"/>
    <w:rsid w:val="004B5DDF"/>
    <w:rsid w:val="004C0709"/>
    <w:rsid w:val="004C6C7A"/>
    <w:rsid w:val="004D3C95"/>
    <w:rsid w:val="004D3F3B"/>
    <w:rsid w:val="004D6DE5"/>
    <w:rsid w:val="004E61FF"/>
    <w:rsid w:val="004F3564"/>
    <w:rsid w:val="00502261"/>
    <w:rsid w:val="005042DC"/>
    <w:rsid w:val="00505684"/>
    <w:rsid w:val="005424B4"/>
    <w:rsid w:val="00542F4B"/>
    <w:rsid w:val="00551250"/>
    <w:rsid w:val="005627DB"/>
    <w:rsid w:val="005637EE"/>
    <w:rsid w:val="00567D50"/>
    <w:rsid w:val="00584F09"/>
    <w:rsid w:val="005914C9"/>
    <w:rsid w:val="005919DA"/>
    <w:rsid w:val="0059360F"/>
    <w:rsid w:val="00593BAD"/>
    <w:rsid w:val="005A461A"/>
    <w:rsid w:val="005B3446"/>
    <w:rsid w:val="005B7A39"/>
    <w:rsid w:val="005C095A"/>
    <w:rsid w:val="005C12CC"/>
    <w:rsid w:val="005C39BC"/>
    <w:rsid w:val="005C733B"/>
    <w:rsid w:val="005D0CBF"/>
    <w:rsid w:val="005E30CE"/>
    <w:rsid w:val="005E4527"/>
    <w:rsid w:val="005E6B95"/>
    <w:rsid w:val="005E7D43"/>
    <w:rsid w:val="005F0D49"/>
    <w:rsid w:val="00601139"/>
    <w:rsid w:val="00604F55"/>
    <w:rsid w:val="0061376D"/>
    <w:rsid w:val="006158C1"/>
    <w:rsid w:val="00623C0A"/>
    <w:rsid w:val="00630C6A"/>
    <w:rsid w:val="0063731F"/>
    <w:rsid w:val="00646BCF"/>
    <w:rsid w:val="006610F0"/>
    <w:rsid w:val="0066236F"/>
    <w:rsid w:val="00672360"/>
    <w:rsid w:val="00683635"/>
    <w:rsid w:val="00686E08"/>
    <w:rsid w:val="00695E4B"/>
    <w:rsid w:val="006B0635"/>
    <w:rsid w:val="006B25BD"/>
    <w:rsid w:val="006B7F55"/>
    <w:rsid w:val="006C0428"/>
    <w:rsid w:val="006D1062"/>
    <w:rsid w:val="006D244D"/>
    <w:rsid w:val="006D5B17"/>
    <w:rsid w:val="006E4EEB"/>
    <w:rsid w:val="006F3269"/>
    <w:rsid w:val="006F3D25"/>
    <w:rsid w:val="006F502F"/>
    <w:rsid w:val="00711B86"/>
    <w:rsid w:val="00724277"/>
    <w:rsid w:val="0072619B"/>
    <w:rsid w:val="00732BC0"/>
    <w:rsid w:val="00734387"/>
    <w:rsid w:val="00742D85"/>
    <w:rsid w:val="007467E5"/>
    <w:rsid w:val="007470D3"/>
    <w:rsid w:val="00755FB9"/>
    <w:rsid w:val="00762273"/>
    <w:rsid w:val="00764156"/>
    <w:rsid w:val="007642E3"/>
    <w:rsid w:val="007805BC"/>
    <w:rsid w:val="00791EB6"/>
    <w:rsid w:val="00792DE3"/>
    <w:rsid w:val="0079549B"/>
    <w:rsid w:val="007A1CE7"/>
    <w:rsid w:val="007A718A"/>
    <w:rsid w:val="007A7A5F"/>
    <w:rsid w:val="007C0B45"/>
    <w:rsid w:val="007D358D"/>
    <w:rsid w:val="007D431C"/>
    <w:rsid w:val="007D5A72"/>
    <w:rsid w:val="007D795E"/>
    <w:rsid w:val="007D7E55"/>
    <w:rsid w:val="007E3405"/>
    <w:rsid w:val="007E7A94"/>
    <w:rsid w:val="007F037B"/>
    <w:rsid w:val="008038FB"/>
    <w:rsid w:val="0080411B"/>
    <w:rsid w:val="00804A9B"/>
    <w:rsid w:val="00811902"/>
    <w:rsid w:val="00817FC4"/>
    <w:rsid w:val="0082237C"/>
    <w:rsid w:val="00823639"/>
    <w:rsid w:val="008300CB"/>
    <w:rsid w:val="00830EA5"/>
    <w:rsid w:val="00837E39"/>
    <w:rsid w:val="00855450"/>
    <w:rsid w:val="00856CA8"/>
    <w:rsid w:val="0086186E"/>
    <w:rsid w:val="00863AFF"/>
    <w:rsid w:val="00864522"/>
    <w:rsid w:val="0087249B"/>
    <w:rsid w:val="00872C82"/>
    <w:rsid w:val="00873EF2"/>
    <w:rsid w:val="0087711B"/>
    <w:rsid w:val="008868A5"/>
    <w:rsid w:val="00893669"/>
    <w:rsid w:val="008A185C"/>
    <w:rsid w:val="008D0ADF"/>
    <w:rsid w:val="008D3505"/>
    <w:rsid w:val="008D6AC6"/>
    <w:rsid w:val="009074B2"/>
    <w:rsid w:val="009101CE"/>
    <w:rsid w:val="0091067D"/>
    <w:rsid w:val="00910850"/>
    <w:rsid w:val="00911D4D"/>
    <w:rsid w:val="00916631"/>
    <w:rsid w:val="009179D7"/>
    <w:rsid w:val="00923644"/>
    <w:rsid w:val="009236EB"/>
    <w:rsid w:val="009239D6"/>
    <w:rsid w:val="00935AB0"/>
    <w:rsid w:val="00947D83"/>
    <w:rsid w:val="00950447"/>
    <w:rsid w:val="0095743D"/>
    <w:rsid w:val="009712EF"/>
    <w:rsid w:val="0098296F"/>
    <w:rsid w:val="00984719"/>
    <w:rsid w:val="009905FF"/>
    <w:rsid w:val="009933E6"/>
    <w:rsid w:val="009A1CA4"/>
    <w:rsid w:val="009A560E"/>
    <w:rsid w:val="009A5AF7"/>
    <w:rsid w:val="009A6567"/>
    <w:rsid w:val="009A70DC"/>
    <w:rsid w:val="009B0BDD"/>
    <w:rsid w:val="009B67E6"/>
    <w:rsid w:val="009B7C21"/>
    <w:rsid w:val="009C25B9"/>
    <w:rsid w:val="009C7B3B"/>
    <w:rsid w:val="009D01FB"/>
    <w:rsid w:val="009D7F0A"/>
    <w:rsid w:val="00A017E6"/>
    <w:rsid w:val="00A0530B"/>
    <w:rsid w:val="00A07195"/>
    <w:rsid w:val="00A11398"/>
    <w:rsid w:val="00A27E02"/>
    <w:rsid w:val="00A31248"/>
    <w:rsid w:val="00A34466"/>
    <w:rsid w:val="00A44475"/>
    <w:rsid w:val="00A461E1"/>
    <w:rsid w:val="00A5321A"/>
    <w:rsid w:val="00A54D73"/>
    <w:rsid w:val="00A64AE7"/>
    <w:rsid w:val="00A6539B"/>
    <w:rsid w:val="00A70212"/>
    <w:rsid w:val="00A7595C"/>
    <w:rsid w:val="00A761EA"/>
    <w:rsid w:val="00A81A0A"/>
    <w:rsid w:val="00A86055"/>
    <w:rsid w:val="00A96D18"/>
    <w:rsid w:val="00AA0CC2"/>
    <w:rsid w:val="00AA1945"/>
    <w:rsid w:val="00AA4127"/>
    <w:rsid w:val="00AA6411"/>
    <w:rsid w:val="00AB4098"/>
    <w:rsid w:val="00AB7BAA"/>
    <w:rsid w:val="00AB7D22"/>
    <w:rsid w:val="00AC0E0A"/>
    <w:rsid w:val="00AC25A6"/>
    <w:rsid w:val="00AE13F8"/>
    <w:rsid w:val="00AE231E"/>
    <w:rsid w:val="00AE74D3"/>
    <w:rsid w:val="00AF5108"/>
    <w:rsid w:val="00AF522E"/>
    <w:rsid w:val="00B03ECD"/>
    <w:rsid w:val="00B16F04"/>
    <w:rsid w:val="00B22514"/>
    <w:rsid w:val="00B22C12"/>
    <w:rsid w:val="00B27712"/>
    <w:rsid w:val="00B27934"/>
    <w:rsid w:val="00B37561"/>
    <w:rsid w:val="00B41B40"/>
    <w:rsid w:val="00B55B46"/>
    <w:rsid w:val="00B624CF"/>
    <w:rsid w:val="00B62DAA"/>
    <w:rsid w:val="00B63142"/>
    <w:rsid w:val="00B73A91"/>
    <w:rsid w:val="00B7569C"/>
    <w:rsid w:val="00B75B37"/>
    <w:rsid w:val="00B764BC"/>
    <w:rsid w:val="00B800C4"/>
    <w:rsid w:val="00B95E8B"/>
    <w:rsid w:val="00BA4A95"/>
    <w:rsid w:val="00BB2CFC"/>
    <w:rsid w:val="00BB462D"/>
    <w:rsid w:val="00BC78EC"/>
    <w:rsid w:val="00BD3F17"/>
    <w:rsid w:val="00BD6582"/>
    <w:rsid w:val="00BE06D5"/>
    <w:rsid w:val="00BE49C2"/>
    <w:rsid w:val="00BF6BC3"/>
    <w:rsid w:val="00C0167E"/>
    <w:rsid w:val="00C04ECB"/>
    <w:rsid w:val="00C103F8"/>
    <w:rsid w:val="00C11B86"/>
    <w:rsid w:val="00C176F8"/>
    <w:rsid w:val="00C17852"/>
    <w:rsid w:val="00C21B9A"/>
    <w:rsid w:val="00C22B89"/>
    <w:rsid w:val="00C504B6"/>
    <w:rsid w:val="00C63B6A"/>
    <w:rsid w:val="00C65771"/>
    <w:rsid w:val="00C66B28"/>
    <w:rsid w:val="00C6784E"/>
    <w:rsid w:val="00C722EF"/>
    <w:rsid w:val="00C81119"/>
    <w:rsid w:val="00C83E88"/>
    <w:rsid w:val="00C93100"/>
    <w:rsid w:val="00CA5979"/>
    <w:rsid w:val="00CA5AE5"/>
    <w:rsid w:val="00CC04FA"/>
    <w:rsid w:val="00CC0AB4"/>
    <w:rsid w:val="00CC35B3"/>
    <w:rsid w:val="00CC3681"/>
    <w:rsid w:val="00CC446F"/>
    <w:rsid w:val="00CC4D23"/>
    <w:rsid w:val="00CC73CD"/>
    <w:rsid w:val="00CE0459"/>
    <w:rsid w:val="00CE0E46"/>
    <w:rsid w:val="00CF78C4"/>
    <w:rsid w:val="00D06D7D"/>
    <w:rsid w:val="00D07D3E"/>
    <w:rsid w:val="00D141E1"/>
    <w:rsid w:val="00D21E3D"/>
    <w:rsid w:val="00D2247B"/>
    <w:rsid w:val="00D27729"/>
    <w:rsid w:val="00D34F27"/>
    <w:rsid w:val="00D3544D"/>
    <w:rsid w:val="00D4438B"/>
    <w:rsid w:val="00D50FC4"/>
    <w:rsid w:val="00D56F09"/>
    <w:rsid w:val="00D57ECD"/>
    <w:rsid w:val="00D57FC3"/>
    <w:rsid w:val="00D61504"/>
    <w:rsid w:val="00D639DC"/>
    <w:rsid w:val="00D643B6"/>
    <w:rsid w:val="00D655BF"/>
    <w:rsid w:val="00D77BF1"/>
    <w:rsid w:val="00D9175B"/>
    <w:rsid w:val="00D92AD8"/>
    <w:rsid w:val="00D93150"/>
    <w:rsid w:val="00D94001"/>
    <w:rsid w:val="00D940F3"/>
    <w:rsid w:val="00D95BB6"/>
    <w:rsid w:val="00DA3409"/>
    <w:rsid w:val="00DA382B"/>
    <w:rsid w:val="00DA7567"/>
    <w:rsid w:val="00DB297D"/>
    <w:rsid w:val="00DB72D6"/>
    <w:rsid w:val="00DD1685"/>
    <w:rsid w:val="00DE3F93"/>
    <w:rsid w:val="00DF6512"/>
    <w:rsid w:val="00DF66FB"/>
    <w:rsid w:val="00E113D6"/>
    <w:rsid w:val="00E122F5"/>
    <w:rsid w:val="00E269B0"/>
    <w:rsid w:val="00E37161"/>
    <w:rsid w:val="00E44CB0"/>
    <w:rsid w:val="00E46B9A"/>
    <w:rsid w:val="00E50F25"/>
    <w:rsid w:val="00E57077"/>
    <w:rsid w:val="00E6432E"/>
    <w:rsid w:val="00E76351"/>
    <w:rsid w:val="00E815D6"/>
    <w:rsid w:val="00E839D3"/>
    <w:rsid w:val="00E85BB4"/>
    <w:rsid w:val="00E87EA1"/>
    <w:rsid w:val="00E9292C"/>
    <w:rsid w:val="00EA26FC"/>
    <w:rsid w:val="00EA4FA6"/>
    <w:rsid w:val="00EA5EEF"/>
    <w:rsid w:val="00EC127F"/>
    <w:rsid w:val="00ED1F5D"/>
    <w:rsid w:val="00ED28C7"/>
    <w:rsid w:val="00ED4748"/>
    <w:rsid w:val="00EE491C"/>
    <w:rsid w:val="00EE6245"/>
    <w:rsid w:val="00EF04A4"/>
    <w:rsid w:val="00EF2A27"/>
    <w:rsid w:val="00EF47D0"/>
    <w:rsid w:val="00EF5636"/>
    <w:rsid w:val="00EF5DC6"/>
    <w:rsid w:val="00F24A47"/>
    <w:rsid w:val="00F2518E"/>
    <w:rsid w:val="00F33C4D"/>
    <w:rsid w:val="00F36810"/>
    <w:rsid w:val="00F40BD2"/>
    <w:rsid w:val="00F45524"/>
    <w:rsid w:val="00F62347"/>
    <w:rsid w:val="00F624F6"/>
    <w:rsid w:val="00F62DC2"/>
    <w:rsid w:val="00F677D8"/>
    <w:rsid w:val="00F728BE"/>
    <w:rsid w:val="00F74388"/>
    <w:rsid w:val="00F853FB"/>
    <w:rsid w:val="00FA55F5"/>
    <w:rsid w:val="00FA65F6"/>
    <w:rsid w:val="00FB3F81"/>
    <w:rsid w:val="00FC58E7"/>
    <w:rsid w:val="00FC5922"/>
    <w:rsid w:val="00FD0959"/>
    <w:rsid w:val="00FD70F2"/>
    <w:rsid w:val="00FF227B"/>
    <w:rsid w:val="00FF3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FE5EB-13BB-4D47-8DC0-812995F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nhideWhenUsed/>
    <w:rsid w:val="00D2247B"/>
    <w:pPr>
      <w:tabs>
        <w:tab w:val="center" w:pos="4252"/>
        <w:tab w:val="right" w:pos="8504"/>
      </w:tabs>
    </w:pPr>
  </w:style>
  <w:style w:type="character" w:customStyle="1" w:styleId="EncabezadoCar">
    <w:name w:val="Encabezado Car"/>
    <w:basedOn w:val="Fuentedeprrafopredeter"/>
    <w:link w:val="Encabezado"/>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JURISPRUDENCIA%20CSJ%201995-2014\2013\agosto\40093(15-08-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9AB3-D61A-4CFF-A2D3-703681E7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6946</Words>
  <Characters>38207</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6</cp:revision>
  <cp:lastPrinted>2018-08-31T14:36:00Z</cp:lastPrinted>
  <dcterms:created xsi:type="dcterms:W3CDTF">2018-08-29T20:56:00Z</dcterms:created>
  <dcterms:modified xsi:type="dcterms:W3CDTF">2018-10-16T20:12:00Z</dcterms:modified>
</cp:coreProperties>
</file>