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27" w:rsidRDefault="00054327" w:rsidP="00054327">
      <w:pPr>
        <w:pBdr>
          <w:top w:val="single" w:sz="4" w:space="1" w:color="auto"/>
          <w:left w:val="single" w:sz="4" w:space="4" w:color="auto"/>
          <w:bottom w:val="single" w:sz="4" w:space="1" w:color="auto"/>
          <w:right w:val="single" w:sz="4" w:space="4" w:color="auto"/>
        </w:pBdr>
        <w:shd w:val="clear" w:color="auto" w:fill="FFFFFF"/>
        <w:jc w:val="both"/>
        <w:rPr>
          <w:rFonts w:eastAsia="Calibri"/>
          <w:color w:val="FF0000"/>
          <w:sz w:val="18"/>
          <w:szCs w:val="18"/>
          <w:lang w:eastAsia="fr-FR"/>
        </w:rPr>
      </w:pPr>
      <w:bookmarkStart w:id="0" w:name="_GoBack"/>
      <w:bookmarkEnd w:id="0"/>
      <w:r>
        <w:rPr>
          <w:rFonts w:eastAsia="Calibri"/>
          <w:color w:val="FF0000"/>
          <w:spacing w:val="-8"/>
          <w:sz w:val="18"/>
          <w:szCs w:val="18"/>
          <w:lang w:eastAsia="fr-FR"/>
        </w:rPr>
        <w:t xml:space="preserve">El siguiente es el documento presentado por el Magistrado Ponente que sirvió de base para proferir la providencia dentro del presente proceso. </w:t>
      </w:r>
      <w:r>
        <w:rPr>
          <w:rFonts w:eastAsia="Calibri"/>
          <w:color w:val="FF0000"/>
          <w:sz w:val="18"/>
          <w:szCs w:val="18"/>
          <w:lang w:eastAsia="fr-FR"/>
        </w:rPr>
        <w:t>El contenido total y fiel de la decisión debe ser verificado en la Secretaría de esta Sala.</w:t>
      </w:r>
    </w:p>
    <w:p w:rsidR="00054327" w:rsidRDefault="00054327" w:rsidP="00054327">
      <w:pPr>
        <w:pStyle w:val="Sinespaciado"/>
        <w:spacing w:line="276" w:lineRule="auto"/>
        <w:jc w:val="center"/>
        <w:rPr>
          <w:rFonts w:ascii="Times New Roman" w:eastAsia="Times New Roman" w:hAnsi="Times New Roman" w:cs="Verdana"/>
          <w:b/>
        </w:rPr>
      </w:pPr>
    </w:p>
    <w:p w:rsidR="00054327" w:rsidRPr="00054327" w:rsidRDefault="00054327" w:rsidP="00054327">
      <w:pPr>
        <w:pStyle w:val="Sinespaciado"/>
        <w:rPr>
          <w:rFonts w:ascii="Arial" w:hAnsi="Arial" w:cs="Arial"/>
          <w:sz w:val="22"/>
          <w:szCs w:val="22"/>
        </w:rPr>
      </w:pPr>
      <w:r w:rsidRPr="00054327">
        <w:rPr>
          <w:rFonts w:ascii="Arial" w:hAnsi="Arial" w:cs="Arial"/>
          <w:sz w:val="22"/>
          <w:szCs w:val="22"/>
        </w:rPr>
        <w:t>Providencia:</w:t>
      </w:r>
      <w:r w:rsidRPr="00054327">
        <w:rPr>
          <w:rFonts w:ascii="Arial" w:hAnsi="Arial" w:cs="Arial"/>
          <w:sz w:val="22"/>
          <w:szCs w:val="22"/>
        </w:rPr>
        <w:tab/>
      </w:r>
      <w:r w:rsidRPr="00054327">
        <w:rPr>
          <w:rFonts w:ascii="Arial" w:hAnsi="Arial" w:cs="Arial"/>
          <w:sz w:val="22"/>
          <w:szCs w:val="22"/>
        </w:rPr>
        <w:tab/>
      </w:r>
      <w:r w:rsidRPr="00054327">
        <w:rPr>
          <w:rFonts w:ascii="Arial" w:hAnsi="Arial" w:cs="Arial"/>
          <w:sz w:val="22"/>
          <w:szCs w:val="22"/>
        </w:rPr>
        <w:tab/>
        <w:t xml:space="preserve"> Sentencia 2ª. Instancia – 28 de septiembre de 2018</w:t>
      </w:r>
    </w:p>
    <w:p w:rsidR="00054327" w:rsidRPr="00054327" w:rsidRDefault="00054327" w:rsidP="00054327">
      <w:pPr>
        <w:pStyle w:val="Sinespaciado"/>
        <w:rPr>
          <w:rFonts w:ascii="Arial" w:hAnsi="Arial" w:cs="Arial"/>
          <w:sz w:val="22"/>
          <w:szCs w:val="22"/>
        </w:rPr>
      </w:pPr>
      <w:r w:rsidRPr="00054327">
        <w:rPr>
          <w:rFonts w:ascii="Arial" w:hAnsi="Arial" w:cs="Arial"/>
          <w:sz w:val="22"/>
          <w:szCs w:val="22"/>
        </w:rPr>
        <w:t>Proceso:</w:t>
      </w:r>
      <w:r w:rsidRPr="00054327">
        <w:rPr>
          <w:rFonts w:ascii="Arial" w:hAnsi="Arial" w:cs="Arial"/>
          <w:sz w:val="22"/>
          <w:szCs w:val="22"/>
        </w:rPr>
        <w:tab/>
      </w:r>
      <w:r w:rsidRPr="00054327">
        <w:rPr>
          <w:rFonts w:ascii="Arial" w:hAnsi="Arial" w:cs="Arial"/>
          <w:sz w:val="22"/>
          <w:szCs w:val="22"/>
        </w:rPr>
        <w:tab/>
      </w:r>
      <w:r w:rsidRPr="00054327">
        <w:rPr>
          <w:rFonts w:ascii="Arial" w:hAnsi="Arial" w:cs="Arial"/>
          <w:sz w:val="22"/>
          <w:szCs w:val="22"/>
        </w:rPr>
        <w:tab/>
        <w:t xml:space="preserve"> Acción de revisión</w:t>
      </w:r>
    </w:p>
    <w:p w:rsidR="00054327" w:rsidRPr="00054327" w:rsidRDefault="00054327" w:rsidP="00054327">
      <w:pPr>
        <w:rPr>
          <w:sz w:val="22"/>
          <w:szCs w:val="22"/>
          <w:lang w:val="es-MX"/>
        </w:rPr>
      </w:pPr>
      <w:r w:rsidRPr="00054327">
        <w:rPr>
          <w:sz w:val="22"/>
          <w:szCs w:val="22"/>
        </w:rPr>
        <w:t>Radicación No.</w:t>
      </w:r>
      <w:r w:rsidRPr="00054327">
        <w:rPr>
          <w:sz w:val="22"/>
          <w:szCs w:val="22"/>
        </w:rPr>
        <w:tab/>
      </w:r>
      <w:r w:rsidRPr="00054327">
        <w:rPr>
          <w:sz w:val="22"/>
          <w:szCs w:val="22"/>
        </w:rPr>
        <w:tab/>
        <w:t xml:space="preserve"> 660012204000201700228</w:t>
      </w:r>
    </w:p>
    <w:p w:rsidR="00054327" w:rsidRPr="00054327" w:rsidRDefault="00054327" w:rsidP="00054327">
      <w:pPr>
        <w:pStyle w:val="Encabezado"/>
        <w:rPr>
          <w:sz w:val="22"/>
          <w:szCs w:val="22"/>
        </w:rPr>
      </w:pPr>
      <w:r w:rsidRPr="00054327">
        <w:rPr>
          <w:sz w:val="22"/>
          <w:szCs w:val="22"/>
          <w:lang w:val="es-MX"/>
        </w:rPr>
        <w:t xml:space="preserve">Accionante                             </w:t>
      </w:r>
      <w:r>
        <w:rPr>
          <w:sz w:val="22"/>
          <w:szCs w:val="22"/>
          <w:lang w:val="es-MX"/>
        </w:rPr>
        <w:t xml:space="preserve"> </w:t>
      </w:r>
      <w:r w:rsidRPr="00054327">
        <w:rPr>
          <w:sz w:val="22"/>
          <w:szCs w:val="22"/>
        </w:rPr>
        <w:t>Héctor William Monsalve Santamaría</w:t>
      </w:r>
    </w:p>
    <w:p w:rsidR="00054327" w:rsidRPr="00054327" w:rsidRDefault="00054327" w:rsidP="00054327">
      <w:pPr>
        <w:pStyle w:val="Encabezado"/>
        <w:rPr>
          <w:sz w:val="22"/>
          <w:szCs w:val="22"/>
        </w:rPr>
      </w:pPr>
      <w:r w:rsidRPr="00054327">
        <w:rPr>
          <w:sz w:val="22"/>
          <w:szCs w:val="22"/>
          <w:lang w:val="es-MX"/>
        </w:rPr>
        <w:t xml:space="preserve">Accionado:                              </w:t>
      </w:r>
      <w:r w:rsidRPr="00054327">
        <w:rPr>
          <w:sz w:val="22"/>
          <w:szCs w:val="22"/>
        </w:rPr>
        <w:t>Juzgado Cuarto Penal del Circuito de Pereira</w:t>
      </w:r>
    </w:p>
    <w:p w:rsidR="00054327" w:rsidRPr="00054327" w:rsidRDefault="00054327" w:rsidP="00054327">
      <w:pPr>
        <w:pStyle w:val="Sinespaciado"/>
        <w:rPr>
          <w:rFonts w:ascii="Arial" w:hAnsi="Arial" w:cs="Arial"/>
          <w:sz w:val="22"/>
          <w:szCs w:val="22"/>
          <w:lang w:val="es-ES"/>
        </w:rPr>
      </w:pPr>
      <w:r w:rsidRPr="00054327">
        <w:rPr>
          <w:rFonts w:ascii="Arial" w:hAnsi="Arial" w:cs="Arial"/>
          <w:sz w:val="22"/>
          <w:szCs w:val="22"/>
          <w:lang w:val="es-ES"/>
        </w:rPr>
        <w:t>Magistrado Ponente:</w:t>
      </w:r>
      <w:r w:rsidRPr="00054327">
        <w:rPr>
          <w:rFonts w:ascii="Arial" w:hAnsi="Arial" w:cs="Arial"/>
          <w:sz w:val="22"/>
          <w:szCs w:val="22"/>
          <w:lang w:val="es-ES"/>
        </w:rPr>
        <w:tab/>
      </w:r>
      <w:r w:rsidRPr="00054327">
        <w:rPr>
          <w:rFonts w:ascii="Arial" w:hAnsi="Arial" w:cs="Arial"/>
          <w:sz w:val="22"/>
          <w:szCs w:val="22"/>
          <w:lang w:val="es-ES"/>
        </w:rPr>
        <w:tab/>
        <w:t xml:space="preserve"> Jairo Ernesto Escobar Sanz</w:t>
      </w:r>
    </w:p>
    <w:p w:rsidR="00054327" w:rsidRPr="00054327" w:rsidRDefault="00054327" w:rsidP="00054327">
      <w:pPr>
        <w:pStyle w:val="Sinespaciado"/>
        <w:spacing w:line="276" w:lineRule="auto"/>
        <w:rPr>
          <w:rFonts w:ascii="Times New Roman" w:hAnsi="Times New Roman" w:cs="Verdana"/>
          <w:sz w:val="22"/>
          <w:szCs w:val="22"/>
          <w:lang w:val="es-ES"/>
        </w:rPr>
      </w:pPr>
    </w:p>
    <w:p w:rsidR="00054327" w:rsidRDefault="0060015F" w:rsidP="0092358A">
      <w:pPr>
        <w:ind w:right="283"/>
        <w:jc w:val="center"/>
        <w:rPr>
          <w:rFonts w:eastAsia="Adobe Gothic Std B"/>
          <w:bCs/>
          <w:sz w:val="24"/>
          <w:szCs w:val="24"/>
          <w:lang w:eastAsia="en-US"/>
        </w:rPr>
      </w:pPr>
      <w:r>
        <w:rPr>
          <w:rFonts w:eastAsia="Adobe Gothic Std B"/>
          <w:bCs/>
          <w:sz w:val="24"/>
          <w:szCs w:val="24"/>
          <w:lang w:eastAsia="en-US"/>
        </w:rPr>
        <w:t xml:space="preserve"> </w:t>
      </w:r>
      <w:r w:rsidR="00584F09" w:rsidRPr="007431DD">
        <w:rPr>
          <w:rFonts w:eastAsia="Adobe Gothic Std B"/>
          <w:bCs/>
          <w:sz w:val="24"/>
          <w:szCs w:val="24"/>
          <w:lang w:eastAsia="en-US"/>
        </w:rPr>
        <w:t xml:space="preserve"> </w:t>
      </w:r>
    </w:p>
    <w:p w:rsidR="00571F5F" w:rsidRPr="008F2B10" w:rsidRDefault="0092358A" w:rsidP="0092358A">
      <w:pPr>
        <w:pStyle w:val="Prrafodelista"/>
        <w:ind w:left="0" w:right="283"/>
        <w:jc w:val="both"/>
        <w:rPr>
          <w:rFonts w:eastAsia="Calibri"/>
          <w:b/>
          <w:bCs/>
          <w:iCs/>
          <w:sz w:val="22"/>
          <w:szCs w:val="22"/>
          <w:lang w:eastAsia="fr-FR"/>
        </w:rPr>
      </w:pPr>
      <w:r w:rsidRPr="008F2B10">
        <w:rPr>
          <w:rFonts w:eastAsia="Adobe Gothic Std B"/>
          <w:b/>
          <w:bCs/>
          <w:sz w:val="22"/>
          <w:szCs w:val="22"/>
          <w:lang w:eastAsia="en-US"/>
        </w:rPr>
        <w:t xml:space="preserve">TEMAS:    </w:t>
      </w:r>
      <w:r w:rsidRPr="008F2B10">
        <w:rPr>
          <w:rFonts w:eastAsia="Adobe Gothic Std B"/>
          <w:b/>
          <w:bCs/>
          <w:sz w:val="22"/>
          <w:szCs w:val="22"/>
          <w:lang w:eastAsia="en-US"/>
        </w:rPr>
        <w:tab/>
        <w:t xml:space="preserve">ACCIÓN DE REVISIÓN/ </w:t>
      </w:r>
      <w:r w:rsidRPr="008F2B10">
        <w:rPr>
          <w:b/>
          <w:sz w:val="22"/>
          <w:szCs w:val="22"/>
        </w:rPr>
        <w:t>TRÁFICO, FABRICACIÓN O PORTE DE ESTUPEFACIENTES</w:t>
      </w:r>
      <w:r w:rsidRPr="008F2B10">
        <w:rPr>
          <w:rFonts w:eastAsia="Calibri"/>
          <w:b/>
          <w:bCs/>
          <w:iCs/>
          <w:sz w:val="22"/>
          <w:szCs w:val="22"/>
          <w:lang w:eastAsia="fr-FR"/>
        </w:rPr>
        <w:t xml:space="preserve"> /</w:t>
      </w:r>
      <w:r w:rsidRPr="008F2B10">
        <w:rPr>
          <w:b/>
          <w:bCs/>
          <w:iCs/>
          <w:sz w:val="22"/>
          <w:szCs w:val="22"/>
          <w:lang w:eastAsia="fr-FR"/>
        </w:rPr>
        <w:t xml:space="preserve"> CAMBIO DEL PRECENDENTE JURISPRUDENCIAL/ PARA SU   APLICACIÓN  REQUIERE </w:t>
      </w:r>
      <w:r w:rsidRPr="008F2B10">
        <w:rPr>
          <w:b/>
          <w:sz w:val="22"/>
          <w:szCs w:val="22"/>
          <w:lang w:val="es-ES"/>
        </w:rPr>
        <w:t xml:space="preserve"> SIMILITUDES ENTRE LAS PREMISAS FÁCTICAS DEL PROCESO OBJETO DE LA ACCIÓN DE REVISIÓN Y LA </w:t>
      </w:r>
      <w:r w:rsidR="008F2B10" w:rsidRPr="008F2B10">
        <w:rPr>
          <w:b/>
          <w:sz w:val="22"/>
          <w:szCs w:val="22"/>
          <w:lang w:val="es-ES"/>
        </w:rPr>
        <w:t xml:space="preserve">NUEVA </w:t>
      </w:r>
      <w:r w:rsidRPr="008F2B10">
        <w:rPr>
          <w:b/>
          <w:sz w:val="22"/>
          <w:szCs w:val="22"/>
          <w:lang w:val="es-ES"/>
        </w:rPr>
        <w:t xml:space="preserve">LÍNEA JURISPRUDENCIAL/ EN ESTE CASO SE TRATA DE </w:t>
      </w:r>
      <w:r w:rsidR="003C3C19">
        <w:rPr>
          <w:b/>
          <w:sz w:val="22"/>
          <w:szCs w:val="22"/>
          <w:lang w:val="es-ES"/>
        </w:rPr>
        <w:t>ASUNTOS</w:t>
      </w:r>
      <w:r w:rsidRPr="008F2B10">
        <w:rPr>
          <w:b/>
          <w:sz w:val="22"/>
          <w:szCs w:val="22"/>
          <w:lang w:val="es-ES"/>
        </w:rPr>
        <w:t xml:space="preserve"> DISÍMILES/ </w:t>
      </w:r>
      <w:r w:rsidRPr="008F2B10">
        <w:rPr>
          <w:rFonts w:eastAsia="Calibri"/>
          <w:b/>
          <w:bCs/>
          <w:iCs/>
          <w:sz w:val="22"/>
          <w:szCs w:val="22"/>
          <w:lang w:eastAsia="fr-FR"/>
        </w:rPr>
        <w:t xml:space="preserve"> EL PROCESADO SE ALLANÓ A LOS CARGOS Y</w:t>
      </w:r>
      <w:r w:rsidR="008F2B10" w:rsidRPr="008F2B10">
        <w:rPr>
          <w:rFonts w:eastAsia="Calibri"/>
          <w:b/>
          <w:bCs/>
          <w:iCs/>
          <w:sz w:val="22"/>
          <w:szCs w:val="22"/>
          <w:lang w:eastAsia="fr-FR"/>
        </w:rPr>
        <w:t xml:space="preserve"> MENCIÓN</w:t>
      </w:r>
      <w:r w:rsidR="003C3C19">
        <w:rPr>
          <w:rFonts w:eastAsia="Calibri"/>
          <w:b/>
          <w:bCs/>
          <w:iCs/>
          <w:sz w:val="22"/>
          <w:szCs w:val="22"/>
          <w:lang w:eastAsia="fr-FR"/>
        </w:rPr>
        <w:t>Ó</w:t>
      </w:r>
      <w:r w:rsidRPr="008F2B10">
        <w:rPr>
          <w:rFonts w:eastAsia="Calibri"/>
          <w:b/>
          <w:bCs/>
          <w:iCs/>
          <w:sz w:val="22"/>
          <w:szCs w:val="22"/>
          <w:lang w:eastAsia="fr-FR"/>
        </w:rPr>
        <w:t xml:space="preserve"> SU CONDICIÓN DE ADICTO/</w:t>
      </w:r>
      <w:r w:rsidR="008F2B10" w:rsidRPr="008F2B10">
        <w:rPr>
          <w:rFonts w:eastAsia="Calibri"/>
          <w:b/>
          <w:bCs/>
          <w:iCs/>
          <w:sz w:val="22"/>
          <w:szCs w:val="22"/>
          <w:lang w:eastAsia="fr-FR"/>
        </w:rPr>
        <w:t xml:space="preserve"> INFUNDADA CAUSAL DE REVISIÓN</w:t>
      </w:r>
    </w:p>
    <w:p w:rsidR="00571F5F" w:rsidRDefault="00571F5F" w:rsidP="0092358A">
      <w:pPr>
        <w:rPr>
          <w:rFonts w:eastAsia="Calibri"/>
          <w:b/>
          <w:bCs/>
          <w:iCs/>
          <w:sz w:val="22"/>
          <w:szCs w:val="22"/>
          <w:lang w:eastAsia="fr-FR"/>
        </w:rPr>
      </w:pPr>
    </w:p>
    <w:p w:rsidR="00410BB5" w:rsidRDefault="00410BB5" w:rsidP="0092358A">
      <w:pPr>
        <w:pStyle w:val="Prrafodelista"/>
        <w:ind w:left="0" w:right="283"/>
        <w:jc w:val="both"/>
        <w:rPr>
          <w:sz w:val="24"/>
          <w:szCs w:val="24"/>
          <w:lang w:val="es-ES"/>
        </w:rPr>
      </w:pPr>
      <w:r>
        <w:rPr>
          <w:sz w:val="24"/>
          <w:szCs w:val="24"/>
          <w:lang w:val="es-ES"/>
        </w:rPr>
        <w:t xml:space="preserve">En este orden de ideas, debe recordarse que uno de los fundamentos que orientan la causal de revisión contenida en el numeral 7 del artículo 192 del C.P.P. es la aplicación </w:t>
      </w:r>
      <w:r w:rsidRPr="001D0022">
        <w:rPr>
          <w:i/>
          <w:sz w:val="24"/>
          <w:szCs w:val="24"/>
          <w:lang w:val="es-ES"/>
        </w:rPr>
        <w:t xml:space="preserve">ex post </w:t>
      </w:r>
      <w:r>
        <w:rPr>
          <w:sz w:val="24"/>
          <w:szCs w:val="24"/>
          <w:lang w:val="es-ES"/>
        </w:rPr>
        <w:t xml:space="preserve">o retardada del principio de igualdad; así, para que un caso fallado en el pasado encuentre consonancia con la </w:t>
      </w:r>
      <w:r w:rsidRPr="00F84B27">
        <w:rPr>
          <w:i/>
          <w:sz w:val="24"/>
          <w:szCs w:val="24"/>
          <w:lang w:val="es-ES"/>
        </w:rPr>
        <w:t>ratio decidendi</w:t>
      </w:r>
      <w:r>
        <w:rPr>
          <w:sz w:val="24"/>
          <w:szCs w:val="24"/>
          <w:lang w:val="es-ES"/>
        </w:rPr>
        <w:t xml:space="preserve"> de las nuevas tendencias jurisprudenciales que se profieran en casos afines fallados </w:t>
      </w:r>
      <w:r w:rsidRPr="00B8626F">
        <w:rPr>
          <w:i/>
          <w:sz w:val="24"/>
          <w:szCs w:val="24"/>
          <w:lang w:val="es-ES"/>
        </w:rPr>
        <w:t>a posteriori</w:t>
      </w:r>
      <w:r>
        <w:rPr>
          <w:sz w:val="24"/>
          <w:szCs w:val="24"/>
          <w:lang w:val="es-ES"/>
        </w:rPr>
        <w:t xml:space="preserve"> por el órgano de cierre, se torna necesario que existan unas similitudes entre las premisas fácticas del proceso objeto de la acción de revisión y los precedentes jurisprudenciales cuya aplicación se reclama.</w:t>
      </w:r>
    </w:p>
    <w:p w:rsidR="00410BB5" w:rsidRDefault="00410BB5" w:rsidP="0092358A">
      <w:pPr>
        <w:pStyle w:val="Prrafodelista"/>
        <w:ind w:left="0" w:right="283"/>
        <w:jc w:val="both"/>
        <w:rPr>
          <w:sz w:val="24"/>
          <w:szCs w:val="24"/>
          <w:lang w:val="es-ES"/>
        </w:rPr>
      </w:pPr>
    </w:p>
    <w:p w:rsidR="00410BB5" w:rsidRDefault="00410BB5" w:rsidP="0092358A">
      <w:pPr>
        <w:pStyle w:val="Prrafodelista"/>
        <w:ind w:left="0" w:right="283"/>
        <w:jc w:val="both"/>
        <w:rPr>
          <w:sz w:val="24"/>
          <w:szCs w:val="24"/>
          <w:lang w:val="es-ES"/>
        </w:rPr>
      </w:pPr>
      <w:r>
        <w:rPr>
          <w:sz w:val="24"/>
          <w:szCs w:val="24"/>
          <w:lang w:val="es-ES"/>
        </w:rPr>
        <w:t xml:space="preserve">Lo anterior, quiere decir </w:t>
      </w:r>
      <w:r w:rsidRPr="00B0648F">
        <w:rPr>
          <w:i/>
          <w:sz w:val="24"/>
          <w:szCs w:val="24"/>
          <w:lang w:val="es-ES"/>
        </w:rPr>
        <w:t>contrario sensu</w:t>
      </w:r>
      <w:r>
        <w:rPr>
          <w:sz w:val="24"/>
          <w:szCs w:val="24"/>
          <w:lang w:val="es-ES"/>
        </w:rPr>
        <w:t>, que en aquellas hipótesis en las que entre un caso juzgado y los precedentes jurisprudenciales cuya aplicación se reclama existan asimetrías o diferencias relevantes en lo factual, que de una u otra forma incidan para constituirse como una especie de factor de diferenciación; resulta claro que la solución jurídica de los nuevos precedentes jurisprudenciales emanados del órgano de cierre no pueden ser aplicados en el caso juzgado, pues se reitera, se trata de casos disímiles.</w:t>
      </w:r>
    </w:p>
    <w:p w:rsidR="00410BB5" w:rsidRPr="007431DD" w:rsidRDefault="0092358A" w:rsidP="0092358A">
      <w:pPr>
        <w:pStyle w:val="Prrafodelista"/>
        <w:ind w:left="0" w:right="283"/>
        <w:jc w:val="both"/>
        <w:rPr>
          <w:sz w:val="24"/>
          <w:szCs w:val="24"/>
          <w:lang w:val="es-ES"/>
        </w:rPr>
      </w:pPr>
      <w:r>
        <w:rPr>
          <w:sz w:val="24"/>
          <w:szCs w:val="24"/>
          <w:lang w:val="es-ES"/>
        </w:rPr>
        <w:t>(…)</w:t>
      </w:r>
      <w:r w:rsidR="00410BB5">
        <w:rPr>
          <w:sz w:val="24"/>
          <w:szCs w:val="24"/>
          <w:lang w:val="es-ES"/>
        </w:rPr>
        <w:t xml:space="preserve"> </w:t>
      </w:r>
    </w:p>
    <w:p w:rsidR="00410BB5" w:rsidRPr="00824310" w:rsidRDefault="00410BB5" w:rsidP="0092358A">
      <w:pPr>
        <w:pStyle w:val="Prrafodelista"/>
        <w:tabs>
          <w:tab w:val="left" w:pos="2835"/>
        </w:tabs>
        <w:ind w:left="0" w:right="283"/>
        <w:jc w:val="both"/>
        <w:rPr>
          <w:sz w:val="22"/>
          <w:szCs w:val="22"/>
        </w:rPr>
      </w:pPr>
      <w:r w:rsidRPr="00824310">
        <w:rPr>
          <w:sz w:val="22"/>
          <w:szCs w:val="22"/>
        </w:rPr>
        <w:t>En consecuencia, por cuanto no es posible aplicar el precedente referido al presente caso, la Sala procederá a declarar infundada la causal de la acción de revisión presentada por el Procurador Judicial Pena y en consecuencia no se accederá a la petición de dejar sin valor la sentencia proferida el 12 de marzo de 2012 por el Juzgado Cuarto Penal del Circuito de Pereira (Risaralda), mediante la cual se condenó al señor Héctor William Monsalve Santamaría como autor del delito de tráfico, fabricación o porte de estupefacientes.</w:t>
      </w:r>
    </w:p>
    <w:p w:rsidR="00410BB5" w:rsidRDefault="00410BB5" w:rsidP="0092358A">
      <w:pPr>
        <w:ind w:right="283"/>
        <w:jc w:val="center"/>
        <w:rPr>
          <w:rFonts w:eastAsia="Adobe Gothic Std B"/>
          <w:bCs/>
          <w:sz w:val="24"/>
          <w:szCs w:val="24"/>
          <w:lang w:eastAsia="en-US"/>
        </w:rPr>
      </w:pPr>
    </w:p>
    <w:p w:rsidR="00054327" w:rsidRDefault="00054327" w:rsidP="00924249">
      <w:pPr>
        <w:ind w:right="283"/>
        <w:jc w:val="center"/>
        <w:rPr>
          <w:rFonts w:eastAsia="Adobe Gothic Std B"/>
          <w:bCs/>
          <w:sz w:val="24"/>
          <w:szCs w:val="24"/>
          <w:lang w:eastAsia="en-US"/>
        </w:rPr>
      </w:pPr>
    </w:p>
    <w:p w:rsidR="0092358A" w:rsidRDefault="0092358A" w:rsidP="00924249">
      <w:pPr>
        <w:ind w:right="283"/>
        <w:jc w:val="center"/>
        <w:rPr>
          <w:rFonts w:eastAsia="Adobe Gothic Std B"/>
          <w:bCs/>
          <w:sz w:val="24"/>
          <w:szCs w:val="24"/>
          <w:lang w:eastAsia="en-US"/>
        </w:rPr>
      </w:pPr>
    </w:p>
    <w:p w:rsidR="0092358A" w:rsidRDefault="0092358A" w:rsidP="00924249">
      <w:pPr>
        <w:ind w:right="283"/>
        <w:jc w:val="center"/>
        <w:rPr>
          <w:rFonts w:eastAsia="Adobe Gothic Std B"/>
          <w:bCs/>
          <w:sz w:val="24"/>
          <w:szCs w:val="24"/>
          <w:lang w:eastAsia="en-US"/>
        </w:rPr>
      </w:pPr>
    </w:p>
    <w:p w:rsidR="0092358A" w:rsidRDefault="0092358A" w:rsidP="00924249">
      <w:pPr>
        <w:ind w:right="283"/>
        <w:jc w:val="center"/>
        <w:rPr>
          <w:rFonts w:eastAsia="Adobe Gothic Std B"/>
          <w:bCs/>
          <w:sz w:val="24"/>
          <w:szCs w:val="24"/>
          <w:lang w:eastAsia="en-US"/>
        </w:rPr>
      </w:pPr>
    </w:p>
    <w:p w:rsidR="00AA0CC2" w:rsidRPr="007431DD" w:rsidRDefault="00792DE3" w:rsidP="00924249">
      <w:pPr>
        <w:ind w:right="283"/>
        <w:jc w:val="center"/>
        <w:rPr>
          <w:rFonts w:eastAsia="Adobe Gothic Std B"/>
          <w:bCs/>
          <w:sz w:val="24"/>
          <w:szCs w:val="24"/>
          <w:lang w:eastAsia="en-US"/>
        </w:rPr>
      </w:pPr>
      <w:r w:rsidRPr="007431DD">
        <w:rPr>
          <w:rFonts w:eastAsia="Adobe Gothic Std B"/>
          <w:bCs/>
          <w:sz w:val="24"/>
          <w:szCs w:val="24"/>
          <w:lang w:eastAsia="en-US"/>
        </w:rPr>
        <w:t xml:space="preserve"> </w:t>
      </w:r>
      <w:r w:rsidR="00FA55F5" w:rsidRPr="007431DD">
        <w:rPr>
          <w:rFonts w:eastAsia="Adobe Gothic Std B"/>
          <w:bCs/>
          <w:sz w:val="24"/>
          <w:szCs w:val="24"/>
          <w:lang w:eastAsia="en-US"/>
        </w:rPr>
        <w:t xml:space="preserve"> </w:t>
      </w:r>
      <w:r w:rsidR="00AA0CC2" w:rsidRPr="007431DD">
        <w:rPr>
          <w:rFonts w:eastAsia="Adobe Gothic Std B"/>
          <w:bCs/>
          <w:sz w:val="24"/>
          <w:szCs w:val="24"/>
          <w:lang w:eastAsia="en-US"/>
        </w:rPr>
        <w:t>REPÚBLICA DE COLOMBIA</w:t>
      </w:r>
    </w:p>
    <w:p w:rsidR="00AA0CC2" w:rsidRPr="007431DD" w:rsidRDefault="00AA0CC2" w:rsidP="00924249">
      <w:pPr>
        <w:ind w:right="283"/>
        <w:jc w:val="center"/>
        <w:rPr>
          <w:rFonts w:eastAsia="Adobe Gothic Std B"/>
          <w:bCs/>
          <w:sz w:val="24"/>
          <w:szCs w:val="24"/>
          <w:lang w:eastAsia="en-US"/>
        </w:rPr>
      </w:pPr>
      <w:r w:rsidRPr="007431DD">
        <w:rPr>
          <w:rFonts w:eastAsia="Adobe Gothic Std B"/>
          <w:bCs/>
          <w:sz w:val="24"/>
          <w:szCs w:val="24"/>
          <w:lang w:eastAsia="en-US"/>
        </w:rPr>
        <w:t>RAMA JUDICIAL DEL PODER PÚBLICO</w:t>
      </w:r>
    </w:p>
    <w:p w:rsidR="00AA0CC2" w:rsidRPr="007431DD" w:rsidRDefault="00AA0CC2" w:rsidP="00924249">
      <w:pPr>
        <w:ind w:right="283"/>
        <w:jc w:val="center"/>
        <w:rPr>
          <w:rFonts w:eastAsia="Adobe Gothic Std B"/>
          <w:bCs/>
          <w:sz w:val="24"/>
          <w:szCs w:val="24"/>
          <w:lang w:eastAsia="en-US"/>
        </w:rPr>
      </w:pPr>
      <w:r w:rsidRPr="007431DD">
        <w:rPr>
          <w:rFonts w:eastAsia="Adobe Gothic Std B"/>
          <w:noProof/>
          <w:sz w:val="24"/>
          <w:szCs w:val="24"/>
          <w:lang w:eastAsia="es-CO"/>
        </w:rPr>
        <w:drawing>
          <wp:inline distT="0" distB="0" distL="0" distR="0" wp14:anchorId="7BA7311E" wp14:editId="58145444">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7431DD" w:rsidRDefault="00AA0CC2" w:rsidP="00924249">
      <w:pPr>
        <w:ind w:right="283"/>
        <w:jc w:val="center"/>
        <w:rPr>
          <w:rFonts w:eastAsia="Adobe Gothic Std B"/>
          <w:bCs/>
          <w:sz w:val="24"/>
          <w:szCs w:val="24"/>
          <w:lang w:eastAsia="en-US"/>
        </w:rPr>
      </w:pPr>
      <w:r w:rsidRPr="007431DD">
        <w:rPr>
          <w:rFonts w:eastAsia="Adobe Gothic Std B"/>
          <w:bCs/>
          <w:sz w:val="24"/>
          <w:szCs w:val="24"/>
          <w:lang w:eastAsia="en-US"/>
        </w:rPr>
        <w:t>TRIBUNAL SUPERIOR DEL DISTRITO JUDICIAL DE PEREIRA</w:t>
      </w:r>
    </w:p>
    <w:p w:rsidR="00AA0CC2" w:rsidRPr="007431DD" w:rsidRDefault="00AA0CC2" w:rsidP="00924249">
      <w:pPr>
        <w:ind w:right="283"/>
        <w:jc w:val="center"/>
        <w:rPr>
          <w:rFonts w:eastAsia="Adobe Gothic Std B"/>
          <w:sz w:val="24"/>
          <w:szCs w:val="24"/>
          <w:lang w:eastAsia="en-US"/>
        </w:rPr>
      </w:pPr>
      <w:r w:rsidRPr="007431DD">
        <w:rPr>
          <w:rFonts w:eastAsia="Adobe Gothic Std B"/>
          <w:bCs/>
          <w:sz w:val="24"/>
          <w:szCs w:val="24"/>
          <w:lang w:eastAsia="en-US"/>
        </w:rPr>
        <w:t>SALA DE DECISIÓN PENAL</w:t>
      </w:r>
    </w:p>
    <w:p w:rsidR="00AA0CC2" w:rsidRPr="007431DD" w:rsidRDefault="00AA0CC2" w:rsidP="00924249">
      <w:pPr>
        <w:ind w:right="283"/>
        <w:jc w:val="center"/>
        <w:rPr>
          <w:rFonts w:eastAsia="Adobe Gothic Std B"/>
          <w:bCs/>
          <w:sz w:val="24"/>
          <w:szCs w:val="24"/>
        </w:rPr>
      </w:pPr>
      <w:r w:rsidRPr="007431DD">
        <w:rPr>
          <w:rFonts w:eastAsia="Adobe Gothic Std B"/>
          <w:bCs/>
          <w:sz w:val="24"/>
          <w:szCs w:val="24"/>
        </w:rPr>
        <w:t xml:space="preserve">M.P. </w:t>
      </w:r>
      <w:r w:rsidR="00C504B6" w:rsidRPr="007431DD">
        <w:rPr>
          <w:rFonts w:eastAsia="Adobe Gothic Std B"/>
          <w:bCs/>
          <w:sz w:val="24"/>
          <w:szCs w:val="24"/>
        </w:rPr>
        <w:t xml:space="preserve">JAIRO </w:t>
      </w:r>
      <w:r w:rsidR="00056D81" w:rsidRPr="007431DD">
        <w:rPr>
          <w:rFonts w:eastAsia="Adobe Gothic Std B"/>
          <w:bCs/>
          <w:sz w:val="24"/>
          <w:szCs w:val="24"/>
        </w:rPr>
        <w:t>ERNESTO ESCOBAR SANZ</w:t>
      </w:r>
    </w:p>
    <w:p w:rsidR="00AA0CC2" w:rsidRPr="007431DD" w:rsidRDefault="00AA0CC2" w:rsidP="0042096D">
      <w:pPr>
        <w:spacing w:line="360" w:lineRule="auto"/>
        <w:ind w:right="283"/>
        <w:jc w:val="both"/>
        <w:rPr>
          <w:rFonts w:eastAsia="Adobe Gothic Std B"/>
          <w:bCs/>
          <w:sz w:val="24"/>
          <w:szCs w:val="24"/>
        </w:rPr>
      </w:pPr>
    </w:p>
    <w:p w:rsidR="00AA0CC2" w:rsidRPr="007431DD" w:rsidRDefault="00EB35F0" w:rsidP="0042096D">
      <w:pPr>
        <w:spacing w:line="360" w:lineRule="auto"/>
        <w:ind w:right="283"/>
        <w:jc w:val="both"/>
        <w:rPr>
          <w:rFonts w:eastAsia="Adobe Gothic Std B"/>
          <w:sz w:val="24"/>
          <w:szCs w:val="24"/>
        </w:rPr>
      </w:pPr>
      <w:r>
        <w:rPr>
          <w:rFonts w:eastAsia="Adobe Gothic Std B"/>
          <w:sz w:val="24"/>
          <w:szCs w:val="24"/>
        </w:rPr>
        <w:lastRenderedPageBreak/>
        <w:t xml:space="preserve">Proyecto aprobado mediante acta </w:t>
      </w:r>
      <w:r w:rsidR="00924249">
        <w:rPr>
          <w:rFonts w:eastAsia="Adobe Gothic Std B"/>
          <w:sz w:val="24"/>
          <w:szCs w:val="24"/>
        </w:rPr>
        <w:t>Nro. 852 del veinticuatro (24) de septiembre de dos mil dieciocho (2018)</w:t>
      </w:r>
    </w:p>
    <w:p w:rsidR="000220AE" w:rsidRPr="007431DD" w:rsidRDefault="00EB35F0" w:rsidP="0042096D">
      <w:pPr>
        <w:spacing w:line="360" w:lineRule="auto"/>
        <w:ind w:right="283"/>
        <w:jc w:val="both"/>
        <w:rPr>
          <w:rFonts w:eastAsia="Adobe Gothic Std B"/>
          <w:sz w:val="24"/>
          <w:szCs w:val="24"/>
        </w:rPr>
      </w:pPr>
      <w:r>
        <w:rPr>
          <w:rFonts w:eastAsia="Adobe Gothic Std B"/>
          <w:sz w:val="24"/>
          <w:szCs w:val="24"/>
        </w:rPr>
        <w:t xml:space="preserve">Pereira, </w:t>
      </w:r>
      <w:r w:rsidR="00924249">
        <w:rPr>
          <w:rFonts w:eastAsia="Adobe Gothic Std B"/>
          <w:sz w:val="24"/>
          <w:szCs w:val="24"/>
        </w:rPr>
        <w:t xml:space="preserve">veintiocho (28) </w:t>
      </w:r>
      <w:r w:rsidR="00497B16">
        <w:rPr>
          <w:rFonts w:eastAsia="Adobe Gothic Std B"/>
          <w:sz w:val="24"/>
          <w:szCs w:val="24"/>
        </w:rPr>
        <w:t>de septiembre</w:t>
      </w:r>
      <w:r>
        <w:rPr>
          <w:rFonts w:eastAsia="Adobe Gothic Std B"/>
          <w:sz w:val="24"/>
          <w:szCs w:val="24"/>
        </w:rPr>
        <w:t xml:space="preserve"> </w:t>
      </w:r>
      <w:r w:rsidR="00924249">
        <w:rPr>
          <w:rFonts w:eastAsia="Adobe Gothic Std B"/>
          <w:sz w:val="24"/>
          <w:szCs w:val="24"/>
        </w:rPr>
        <w:t>de dos mil dieciocho (2018)</w:t>
      </w:r>
    </w:p>
    <w:p w:rsidR="00AA0CC2" w:rsidRPr="007431DD" w:rsidRDefault="000220AE" w:rsidP="0042096D">
      <w:pPr>
        <w:spacing w:line="360" w:lineRule="auto"/>
        <w:ind w:right="283"/>
        <w:jc w:val="both"/>
        <w:rPr>
          <w:rFonts w:eastAsia="Adobe Gothic Std B"/>
          <w:sz w:val="24"/>
          <w:szCs w:val="24"/>
        </w:rPr>
      </w:pPr>
      <w:r w:rsidRPr="007431DD">
        <w:rPr>
          <w:rFonts w:eastAsia="Adobe Gothic Std B"/>
          <w:sz w:val="24"/>
          <w:szCs w:val="24"/>
        </w:rPr>
        <w:t>Hora:</w:t>
      </w:r>
      <w:r w:rsidR="00924249">
        <w:rPr>
          <w:rFonts w:eastAsia="Adobe Gothic Std B"/>
          <w:sz w:val="24"/>
          <w:szCs w:val="24"/>
        </w:rPr>
        <w:t xml:space="preserve"> 9:46 a.m. </w:t>
      </w:r>
    </w:p>
    <w:p w:rsidR="00AE74D3" w:rsidRPr="007431DD" w:rsidRDefault="00AE74D3" w:rsidP="0042096D">
      <w:pPr>
        <w:spacing w:line="360" w:lineRule="auto"/>
        <w:ind w:right="283"/>
        <w:jc w:val="both"/>
        <w:rPr>
          <w:rFonts w:eastAsia="Adobe Gothic Std B"/>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7431DD" w:rsidRPr="007431DD" w:rsidTr="00155FAA">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7431DD" w:rsidRDefault="00E83241" w:rsidP="00E83241">
            <w:pPr>
              <w:spacing w:line="360" w:lineRule="auto"/>
              <w:ind w:right="283"/>
              <w:jc w:val="both"/>
              <w:rPr>
                <w:sz w:val="24"/>
                <w:szCs w:val="24"/>
              </w:rPr>
            </w:pPr>
            <w:r>
              <w:rPr>
                <w:sz w:val="24"/>
                <w:szCs w:val="24"/>
                <w:lang w:val="es-SV"/>
              </w:rPr>
              <w:t>6600122040002017</w:t>
            </w:r>
            <w:r w:rsidR="0011237A" w:rsidRPr="007431DD">
              <w:rPr>
                <w:sz w:val="24"/>
                <w:szCs w:val="24"/>
                <w:lang w:val="es-SV"/>
              </w:rPr>
              <w:t>00</w:t>
            </w:r>
            <w:r>
              <w:rPr>
                <w:sz w:val="24"/>
                <w:szCs w:val="24"/>
                <w:lang w:val="es-SV"/>
              </w:rPr>
              <w:t>228</w:t>
            </w:r>
          </w:p>
        </w:tc>
      </w:tr>
      <w:tr w:rsidR="007431DD" w:rsidRPr="007431DD" w:rsidTr="00155FAA">
        <w:trPr>
          <w:trHeight w:val="417"/>
        </w:trPr>
        <w:tc>
          <w:tcPr>
            <w:tcW w:w="2866" w:type="dxa"/>
            <w:tcBorders>
              <w:top w:val="single" w:sz="4" w:space="0" w:color="auto"/>
              <w:left w:val="thinThickSmallGap" w:sz="24" w:space="0" w:color="auto"/>
              <w:bottom w:val="single" w:sz="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7431DD" w:rsidRDefault="00E83241" w:rsidP="0042096D">
            <w:pPr>
              <w:spacing w:line="360" w:lineRule="auto"/>
              <w:ind w:right="283"/>
              <w:jc w:val="both"/>
              <w:rPr>
                <w:sz w:val="24"/>
                <w:szCs w:val="24"/>
              </w:rPr>
            </w:pPr>
            <w:r>
              <w:rPr>
                <w:sz w:val="24"/>
                <w:szCs w:val="24"/>
              </w:rPr>
              <w:t>Héctor William Monsalve Santamaría</w:t>
            </w:r>
          </w:p>
        </w:tc>
      </w:tr>
      <w:tr w:rsidR="007431DD" w:rsidRPr="007431DD" w:rsidTr="00155FAA">
        <w:trPr>
          <w:trHeight w:val="366"/>
        </w:trPr>
        <w:tc>
          <w:tcPr>
            <w:tcW w:w="2866" w:type="dxa"/>
            <w:tcBorders>
              <w:top w:val="single" w:sz="4" w:space="0" w:color="auto"/>
              <w:left w:val="thinThickSmallGap" w:sz="24" w:space="0" w:color="auto"/>
              <w:bottom w:val="single" w:sz="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7431DD" w:rsidRDefault="005424B4" w:rsidP="0042096D">
            <w:pPr>
              <w:spacing w:line="360" w:lineRule="auto"/>
              <w:ind w:right="283"/>
              <w:jc w:val="both"/>
              <w:rPr>
                <w:sz w:val="24"/>
                <w:szCs w:val="24"/>
              </w:rPr>
            </w:pPr>
            <w:r w:rsidRPr="007431DD">
              <w:rPr>
                <w:sz w:val="24"/>
                <w:szCs w:val="24"/>
              </w:rPr>
              <w:t>Tráfico, fabricación o porte de estupefacientes</w:t>
            </w:r>
          </w:p>
        </w:tc>
      </w:tr>
      <w:tr w:rsidR="007431DD" w:rsidRPr="007431DD" w:rsidTr="00155FAA">
        <w:trPr>
          <w:trHeight w:val="311"/>
        </w:trPr>
        <w:tc>
          <w:tcPr>
            <w:tcW w:w="2866" w:type="dxa"/>
            <w:tcBorders>
              <w:top w:val="single" w:sz="4" w:space="0" w:color="auto"/>
              <w:left w:val="thinThickSmallGap" w:sz="24" w:space="0" w:color="auto"/>
              <w:bottom w:val="single" w:sz="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 xml:space="preserve">Juzgado </w:t>
            </w:r>
            <w:r w:rsidR="00211704" w:rsidRPr="007431DD">
              <w:rPr>
                <w:sz w:val="24"/>
                <w:szCs w:val="24"/>
              </w:rPr>
              <w:t xml:space="preserve">Accionado </w:t>
            </w:r>
            <w:r w:rsidRPr="007431DD">
              <w:rPr>
                <w:sz w:val="24"/>
                <w:szCs w:val="24"/>
              </w:rPr>
              <w:t xml:space="preserv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7431DD" w:rsidRDefault="00695E4B" w:rsidP="00E83241">
            <w:pPr>
              <w:spacing w:line="360" w:lineRule="auto"/>
              <w:ind w:right="283"/>
              <w:jc w:val="both"/>
              <w:rPr>
                <w:sz w:val="24"/>
                <w:szCs w:val="24"/>
              </w:rPr>
            </w:pPr>
            <w:r w:rsidRPr="007431DD">
              <w:rPr>
                <w:sz w:val="24"/>
                <w:szCs w:val="24"/>
              </w:rPr>
              <w:t xml:space="preserve">Juzgado </w:t>
            </w:r>
            <w:r w:rsidR="00E83241">
              <w:rPr>
                <w:sz w:val="24"/>
                <w:szCs w:val="24"/>
              </w:rPr>
              <w:t>Cuarto</w:t>
            </w:r>
            <w:r w:rsidRPr="007431DD">
              <w:rPr>
                <w:sz w:val="24"/>
                <w:szCs w:val="24"/>
              </w:rPr>
              <w:t xml:space="preserve"> Penal del </w:t>
            </w:r>
            <w:r w:rsidR="001232B3" w:rsidRPr="007431DD">
              <w:rPr>
                <w:sz w:val="24"/>
                <w:szCs w:val="24"/>
              </w:rPr>
              <w:t>Circuito</w:t>
            </w:r>
            <w:r w:rsidR="00211704" w:rsidRPr="007431DD">
              <w:rPr>
                <w:sz w:val="24"/>
                <w:szCs w:val="24"/>
              </w:rPr>
              <w:t xml:space="preserve"> </w:t>
            </w:r>
            <w:r w:rsidR="00542F4B" w:rsidRPr="007431DD">
              <w:rPr>
                <w:sz w:val="24"/>
                <w:szCs w:val="24"/>
              </w:rPr>
              <w:t>de Pereira (Risaralda)</w:t>
            </w:r>
          </w:p>
        </w:tc>
      </w:tr>
      <w:tr w:rsidR="007431DD" w:rsidRPr="007431DD" w:rsidTr="00155FAA">
        <w:trPr>
          <w:trHeight w:val="589"/>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7431DD" w:rsidRDefault="004047CD" w:rsidP="00E83241">
            <w:pPr>
              <w:spacing w:line="360" w:lineRule="auto"/>
              <w:ind w:right="283"/>
              <w:jc w:val="both"/>
              <w:rPr>
                <w:sz w:val="24"/>
                <w:szCs w:val="24"/>
              </w:rPr>
            </w:pPr>
            <w:r>
              <w:rPr>
                <w:sz w:val="24"/>
                <w:szCs w:val="24"/>
              </w:rPr>
              <w:t>Declara no fundada</w:t>
            </w:r>
            <w:r w:rsidR="00695E4B" w:rsidRPr="007431DD">
              <w:rPr>
                <w:sz w:val="24"/>
                <w:szCs w:val="24"/>
              </w:rPr>
              <w:t xml:space="preserve"> </w:t>
            </w:r>
            <w:r w:rsidR="00211704" w:rsidRPr="007431DD">
              <w:rPr>
                <w:sz w:val="24"/>
                <w:szCs w:val="24"/>
              </w:rPr>
              <w:t>la</w:t>
            </w:r>
            <w:r w:rsidR="001232B3" w:rsidRPr="007431DD">
              <w:rPr>
                <w:sz w:val="24"/>
                <w:szCs w:val="24"/>
              </w:rPr>
              <w:t xml:space="preserve"> acción de revisión interp</w:t>
            </w:r>
            <w:r w:rsidR="00E83241">
              <w:rPr>
                <w:sz w:val="24"/>
                <w:szCs w:val="24"/>
              </w:rPr>
              <w:t xml:space="preserve">uesta contra la sentencia del </w:t>
            </w:r>
            <w:r w:rsidR="005424B4" w:rsidRPr="007431DD">
              <w:rPr>
                <w:sz w:val="24"/>
                <w:szCs w:val="24"/>
              </w:rPr>
              <w:t>1</w:t>
            </w:r>
            <w:r w:rsidR="00E83241">
              <w:rPr>
                <w:sz w:val="24"/>
                <w:szCs w:val="24"/>
              </w:rPr>
              <w:t>2</w:t>
            </w:r>
            <w:r w:rsidR="001232B3" w:rsidRPr="007431DD">
              <w:rPr>
                <w:sz w:val="24"/>
                <w:szCs w:val="24"/>
              </w:rPr>
              <w:t xml:space="preserve"> de </w:t>
            </w:r>
            <w:r w:rsidR="00E83241">
              <w:rPr>
                <w:sz w:val="24"/>
                <w:szCs w:val="24"/>
              </w:rPr>
              <w:t>marzo del 2012</w:t>
            </w:r>
          </w:p>
        </w:tc>
      </w:tr>
    </w:tbl>
    <w:p w:rsidR="00D2247B" w:rsidRDefault="00D2247B" w:rsidP="0042096D">
      <w:pPr>
        <w:spacing w:line="360" w:lineRule="auto"/>
        <w:ind w:right="283"/>
        <w:jc w:val="both"/>
        <w:rPr>
          <w:rFonts w:eastAsia="Adobe Gothic Std B"/>
          <w:sz w:val="24"/>
          <w:szCs w:val="24"/>
        </w:rPr>
      </w:pPr>
    </w:p>
    <w:p w:rsidR="00924249" w:rsidRPr="007431DD" w:rsidRDefault="00924249" w:rsidP="0042096D">
      <w:pPr>
        <w:spacing w:line="360" w:lineRule="auto"/>
        <w:ind w:right="283"/>
        <w:jc w:val="both"/>
        <w:rPr>
          <w:rFonts w:eastAsia="Adobe Gothic Std B"/>
          <w:sz w:val="24"/>
          <w:szCs w:val="24"/>
        </w:rPr>
      </w:pPr>
    </w:p>
    <w:p w:rsidR="00AA0CC2" w:rsidRPr="007431DD" w:rsidRDefault="00056D81" w:rsidP="0042096D">
      <w:pPr>
        <w:pStyle w:val="Prrafodelista"/>
        <w:numPr>
          <w:ilvl w:val="0"/>
          <w:numId w:val="17"/>
        </w:numPr>
        <w:spacing w:line="360" w:lineRule="auto"/>
        <w:ind w:right="283"/>
        <w:jc w:val="center"/>
        <w:rPr>
          <w:rFonts w:eastAsia="Adobe Gothic Std B"/>
          <w:sz w:val="24"/>
          <w:szCs w:val="24"/>
        </w:rPr>
      </w:pPr>
      <w:r w:rsidRPr="007431DD">
        <w:rPr>
          <w:rFonts w:eastAsia="Adobe Gothic Std B"/>
          <w:sz w:val="24"/>
          <w:szCs w:val="24"/>
        </w:rPr>
        <w:t>ASUNTO A DECIDIR</w:t>
      </w:r>
    </w:p>
    <w:p w:rsidR="00AA0CC2" w:rsidRPr="007431DD" w:rsidRDefault="00AA0CC2" w:rsidP="0042096D">
      <w:pPr>
        <w:spacing w:line="360" w:lineRule="auto"/>
        <w:ind w:right="283"/>
        <w:jc w:val="both"/>
        <w:rPr>
          <w:rFonts w:eastAsia="Adobe Gothic Std B"/>
          <w:sz w:val="24"/>
          <w:szCs w:val="24"/>
        </w:rPr>
      </w:pPr>
    </w:p>
    <w:p w:rsidR="00EF04A4" w:rsidRPr="007431DD" w:rsidRDefault="00AA0CC2" w:rsidP="0042096D">
      <w:pPr>
        <w:spacing w:line="360" w:lineRule="auto"/>
        <w:ind w:right="283"/>
        <w:jc w:val="both"/>
        <w:rPr>
          <w:sz w:val="24"/>
          <w:szCs w:val="24"/>
          <w:highlight w:val="green"/>
          <w:u w:val="single"/>
        </w:rPr>
      </w:pPr>
      <w:r w:rsidRPr="007431DD">
        <w:rPr>
          <w:rFonts w:eastAsia="Adobe Gothic Std B"/>
          <w:sz w:val="24"/>
          <w:szCs w:val="24"/>
        </w:rPr>
        <w:t xml:space="preserve">Procede la Sala de Decisión </w:t>
      </w:r>
      <w:r w:rsidR="001232B3" w:rsidRPr="007431DD">
        <w:rPr>
          <w:rFonts w:eastAsia="Adobe Gothic Std B"/>
          <w:sz w:val="24"/>
          <w:szCs w:val="24"/>
        </w:rPr>
        <w:t xml:space="preserve">Penal </w:t>
      </w:r>
      <w:r w:rsidRPr="007431DD">
        <w:rPr>
          <w:rFonts w:eastAsia="Adobe Gothic Std B"/>
          <w:sz w:val="24"/>
          <w:szCs w:val="24"/>
        </w:rPr>
        <w:t>del Tribunal Superior de este Distrito Judicial a proferir el correspondie</w:t>
      </w:r>
      <w:r w:rsidR="00172B6C" w:rsidRPr="007431DD">
        <w:rPr>
          <w:rFonts w:eastAsia="Adobe Gothic Std B"/>
          <w:sz w:val="24"/>
          <w:szCs w:val="24"/>
        </w:rPr>
        <w:t>nte fallo en el cual se resuelve</w:t>
      </w:r>
      <w:r w:rsidR="001232B3" w:rsidRPr="007431DD">
        <w:rPr>
          <w:rFonts w:eastAsia="Adobe Gothic Std B"/>
          <w:sz w:val="24"/>
          <w:szCs w:val="24"/>
        </w:rPr>
        <w:t xml:space="preserve"> lo relacionado con la acción de r</w:t>
      </w:r>
      <w:r w:rsidRPr="007431DD">
        <w:rPr>
          <w:rFonts w:eastAsia="Adobe Gothic Std B"/>
          <w:sz w:val="24"/>
          <w:szCs w:val="24"/>
        </w:rPr>
        <w:t>evisión impetrada</w:t>
      </w:r>
      <w:r w:rsidR="00792DE3" w:rsidRPr="007431DD">
        <w:rPr>
          <w:rFonts w:eastAsia="Adobe Gothic Std B"/>
          <w:sz w:val="24"/>
          <w:szCs w:val="24"/>
        </w:rPr>
        <w:t xml:space="preserve"> por</w:t>
      </w:r>
      <w:r w:rsidRPr="007431DD">
        <w:rPr>
          <w:rFonts w:eastAsia="Adobe Gothic Std B"/>
          <w:sz w:val="24"/>
          <w:szCs w:val="24"/>
        </w:rPr>
        <w:t xml:space="preserve"> </w:t>
      </w:r>
      <w:r w:rsidR="005424B4" w:rsidRPr="007431DD">
        <w:rPr>
          <w:rFonts w:eastAsia="Adobe Gothic Std B"/>
          <w:sz w:val="24"/>
          <w:szCs w:val="24"/>
        </w:rPr>
        <w:t xml:space="preserve">el Procurador </w:t>
      </w:r>
      <w:r w:rsidR="004D5419">
        <w:rPr>
          <w:rFonts w:eastAsia="Adobe Gothic Std B"/>
          <w:sz w:val="24"/>
          <w:szCs w:val="24"/>
        </w:rPr>
        <w:t>150</w:t>
      </w:r>
      <w:r w:rsidR="005424B4" w:rsidRPr="007431DD">
        <w:rPr>
          <w:rFonts w:eastAsia="Adobe Gothic Std B"/>
          <w:sz w:val="24"/>
          <w:szCs w:val="24"/>
        </w:rPr>
        <w:t xml:space="preserve"> Judicial II Penal, en favor </w:t>
      </w:r>
      <w:r w:rsidR="00056D81" w:rsidRPr="007431DD">
        <w:rPr>
          <w:rFonts w:eastAsia="Adobe Gothic Std B"/>
          <w:sz w:val="24"/>
          <w:szCs w:val="24"/>
        </w:rPr>
        <w:t xml:space="preserve">del señor </w:t>
      </w:r>
      <w:r w:rsidR="004D5419">
        <w:rPr>
          <w:rFonts w:eastAsia="Adobe Gothic Std B"/>
          <w:sz w:val="24"/>
          <w:szCs w:val="24"/>
        </w:rPr>
        <w:t>Héctor William Monsalve Santamaría</w:t>
      </w:r>
      <w:r w:rsidR="005424B4" w:rsidRPr="007431DD">
        <w:rPr>
          <w:rFonts w:eastAsia="Adobe Gothic Std B"/>
          <w:sz w:val="24"/>
          <w:szCs w:val="24"/>
        </w:rPr>
        <w:t xml:space="preserve"> y</w:t>
      </w:r>
      <w:r w:rsidR="00056D81" w:rsidRPr="007431DD">
        <w:rPr>
          <w:rFonts w:eastAsia="Adobe Gothic Std B"/>
          <w:sz w:val="24"/>
          <w:szCs w:val="24"/>
        </w:rPr>
        <w:t xml:space="preserve"> en </w:t>
      </w:r>
      <w:r w:rsidRPr="007431DD">
        <w:rPr>
          <w:rFonts w:eastAsia="Adobe Gothic Std B"/>
          <w:sz w:val="24"/>
          <w:szCs w:val="24"/>
        </w:rPr>
        <w:t xml:space="preserve">contra de la </w:t>
      </w:r>
      <w:r w:rsidR="00056D81" w:rsidRPr="007431DD">
        <w:rPr>
          <w:rFonts w:eastAsia="Adobe Gothic Std B"/>
          <w:sz w:val="24"/>
          <w:szCs w:val="24"/>
        </w:rPr>
        <w:t>s</w:t>
      </w:r>
      <w:r w:rsidR="006B7F55" w:rsidRPr="007431DD">
        <w:rPr>
          <w:rFonts w:eastAsia="Adobe Gothic Std B"/>
          <w:sz w:val="24"/>
          <w:szCs w:val="24"/>
        </w:rPr>
        <w:t>e</w:t>
      </w:r>
      <w:r w:rsidRPr="007431DD">
        <w:rPr>
          <w:rFonts w:eastAsia="Adobe Gothic Std B"/>
          <w:sz w:val="24"/>
          <w:szCs w:val="24"/>
        </w:rPr>
        <w:t>n</w:t>
      </w:r>
      <w:r w:rsidR="001232B3" w:rsidRPr="007431DD">
        <w:rPr>
          <w:rFonts w:eastAsia="Adobe Gothic Std B"/>
          <w:sz w:val="24"/>
          <w:szCs w:val="24"/>
        </w:rPr>
        <w:t xml:space="preserve">tencia proferida por el Juzgado </w:t>
      </w:r>
      <w:r w:rsidR="003F7F35">
        <w:rPr>
          <w:rFonts w:eastAsia="Adobe Gothic Std B"/>
          <w:sz w:val="24"/>
          <w:szCs w:val="24"/>
        </w:rPr>
        <w:t>Cuarto</w:t>
      </w:r>
      <w:r w:rsidR="006B7F55" w:rsidRPr="007431DD">
        <w:rPr>
          <w:rFonts w:eastAsia="Adobe Gothic Std B"/>
          <w:sz w:val="24"/>
          <w:szCs w:val="24"/>
        </w:rPr>
        <w:t xml:space="preserve"> Penal </w:t>
      </w:r>
      <w:r w:rsidR="001232B3" w:rsidRPr="007431DD">
        <w:rPr>
          <w:rFonts w:eastAsia="Adobe Gothic Std B"/>
          <w:sz w:val="24"/>
          <w:szCs w:val="24"/>
        </w:rPr>
        <w:t xml:space="preserve">del Circuito </w:t>
      </w:r>
      <w:r w:rsidR="00BE49C2" w:rsidRPr="007431DD">
        <w:rPr>
          <w:rFonts w:eastAsia="Adobe Gothic Std B"/>
          <w:sz w:val="24"/>
          <w:szCs w:val="24"/>
        </w:rPr>
        <w:t>de Pereira</w:t>
      </w:r>
      <w:r w:rsidR="00542F4B" w:rsidRPr="007431DD">
        <w:rPr>
          <w:rFonts w:eastAsia="Adobe Gothic Std B"/>
          <w:sz w:val="24"/>
          <w:szCs w:val="24"/>
        </w:rPr>
        <w:t xml:space="preserve"> (Risaralda)</w:t>
      </w:r>
      <w:r w:rsidR="00F167CA">
        <w:rPr>
          <w:rFonts w:eastAsia="Adobe Gothic Std B"/>
          <w:sz w:val="24"/>
          <w:szCs w:val="24"/>
        </w:rPr>
        <w:t xml:space="preserve"> </w:t>
      </w:r>
      <w:r w:rsidR="00916394">
        <w:rPr>
          <w:rFonts w:eastAsia="Adobe Gothic Std B"/>
          <w:sz w:val="24"/>
          <w:szCs w:val="24"/>
        </w:rPr>
        <w:t>el 12 de marzo de</w:t>
      </w:r>
      <w:r w:rsidR="00F167CA">
        <w:rPr>
          <w:rFonts w:eastAsia="Adobe Gothic Std B"/>
          <w:sz w:val="24"/>
          <w:szCs w:val="24"/>
        </w:rPr>
        <w:t xml:space="preserve"> 2012</w:t>
      </w:r>
      <w:r w:rsidR="001232B3" w:rsidRPr="007431DD">
        <w:rPr>
          <w:rFonts w:eastAsia="Adobe Gothic Std B"/>
          <w:sz w:val="24"/>
          <w:szCs w:val="24"/>
        </w:rPr>
        <w:t xml:space="preserve">; </w:t>
      </w:r>
      <w:r w:rsidR="006B7F55" w:rsidRPr="007431DD">
        <w:rPr>
          <w:rFonts w:eastAsia="Adobe Gothic Std B"/>
          <w:sz w:val="24"/>
          <w:szCs w:val="24"/>
        </w:rPr>
        <w:t xml:space="preserve">en la cual se declaró la responsabilidad del citado ciudadano </w:t>
      </w:r>
      <w:r w:rsidR="005424B4" w:rsidRPr="007431DD">
        <w:rPr>
          <w:rFonts w:eastAsia="Adobe Gothic Std B"/>
          <w:sz w:val="24"/>
          <w:szCs w:val="24"/>
        </w:rPr>
        <w:t>como autor del delito de tráfico, fabricación o porte de estupefacientes.</w:t>
      </w:r>
    </w:p>
    <w:p w:rsidR="00BE49C2" w:rsidRPr="007431DD" w:rsidRDefault="00BE49C2" w:rsidP="0042096D">
      <w:pPr>
        <w:spacing w:line="360" w:lineRule="auto"/>
        <w:ind w:right="283"/>
        <w:jc w:val="both"/>
        <w:rPr>
          <w:sz w:val="24"/>
          <w:szCs w:val="24"/>
          <w:highlight w:val="green"/>
          <w:u w:val="single"/>
        </w:rPr>
      </w:pPr>
    </w:p>
    <w:p w:rsidR="005B5496" w:rsidRPr="007431DD" w:rsidRDefault="00D50EDE" w:rsidP="0042096D">
      <w:pPr>
        <w:pStyle w:val="Sinespaciado"/>
        <w:numPr>
          <w:ilvl w:val="0"/>
          <w:numId w:val="17"/>
        </w:numPr>
        <w:spacing w:before="240" w:line="360" w:lineRule="auto"/>
        <w:ind w:right="283"/>
        <w:jc w:val="center"/>
        <w:rPr>
          <w:rFonts w:ascii="Arial" w:hAnsi="Arial" w:cs="Arial"/>
          <w:sz w:val="24"/>
          <w:szCs w:val="24"/>
        </w:rPr>
      </w:pPr>
      <w:r w:rsidRPr="007431DD">
        <w:rPr>
          <w:rFonts w:ascii="Arial" w:hAnsi="Arial" w:cs="Arial"/>
          <w:sz w:val="24"/>
          <w:szCs w:val="24"/>
        </w:rPr>
        <w:t>ANTECEDENTES</w:t>
      </w:r>
    </w:p>
    <w:p w:rsidR="00D50EDE" w:rsidRPr="007431DD" w:rsidRDefault="0089074D" w:rsidP="0042096D">
      <w:pPr>
        <w:pStyle w:val="Sinespaciado"/>
        <w:numPr>
          <w:ilvl w:val="1"/>
          <w:numId w:val="17"/>
        </w:numPr>
        <w:spacing w:before="240" w:line="360" w:lineRule="auto"/>
        <w:ind w:right="283"/>
        <w:jc w:val="both"/>
        <w:rPr>
          <w:rFonts w:ascii="Arial" w:hAnsi="Arial" w:cs="Arial"/>
          <w:sz w:val="24"/>
          <w:szCs w:val="24"/>
        </w:rPr>
      </w:pPr>
      <w:r w:rsidRPr="007431DD">
        <w:rPr>
          <w:rFonts w:ascii="Arial" w:hAnsi="Arial" w:cs="Arial"/>
          <w:sz w:val="24"/>
          <w:szCs w:val="24"/>
        </w:rPr>
        <w:t xml:space="preserve">Según </w:t>
      </w:r>
      <w:r w:rsidR="00E456B0">
        <w:rPr>
          <w:rFonts w:ascii="Arial" w:hAnsi="Arial" w:cs="Arial"/>
          <w:sz w:val="24"/>
          <w:szCs w:val="24"/>
        </w:rPr>
        <w:t xml:space="preserve">el contexto fáctico del caso, </w:t>
      </w:r>
      <w:r w:rsidRPr="007431DD">
        <w:rPr>
          <w:rFonts w:ascii="Arial" w:hAnsi="Arial" w:cs="Arial"/>
          <w:sz w:val="24"/>
          <w:szCs w:val="24"/>
        </w:rPr>
        <w:t>l</w:t>
      </w:r>
      <w:r w:rsidR="00D50EDE" w:rsidRPr="007431DD">
        <w:rPr>
          <w:rFonts w:ascii="Arial" w:hAnsi="Arial" w:cs="Arial"/>
          <w:sz w:val="24"/>
          <w:szCs w:val="24"/>
        </w:rPr>
        <w:t>os hechos que dieron origen a la acción</w:t>
      </w:r>
      <w:r w:rsidRPr="007431DD">
        <w:rPr>
          <w:rFonts w:ascii="Arial" w:hAnsi="Arial" w:cs="Arial"/>
          <w:sz w:val="24"/>
          <w:szCs w:val="24"/>
        </w:rPr>
        <w:t xml:space="preserve"> </w:t>
      </w:r>
      <w:r w:rsidR="00D50EDE" w:rsidRPr="007431DD">
        <w:rPr>
          <w:rFonts w:ascii="Arial" w:hAnsi="Arial" w:cs="Arial"/>
          <w:sz w:val="24"/>
          <w:szCs w:val="24"/>
        </w:rPr>
        <w:t>tuvieron ocurrencia</w:t>
      </w:r>
      <w:r w:rsidRPr="007431DD">
        <w:rPr>
          <w:rFonts w:ascii="Arial" w:hAnsi="Arial" w:cs="Arial"/>
          <w:sz w:val="24"/>
          <w:szCs w:val="24"/>
        </w:rPr>
        <w:t xml:space="preserve"> </w:t>
      </w:r>
      <w:r w:rsidR="003F7F35">
        <w:rPr>
          <w:rFonts w:ascii="Arial" w:hAnsi="Arial" w:cs="Arial"/>
          <w:sz w:val="24"/>
          <w:szCs w:val="24"/>
        </w:rPr>
        <w:t>el día 09 de noviembre del 2011</w:t>
      </w:r>
      <w:r w:rsidR="006917BF">
        <w:rPr>
          <w:rFonts w:ascii="Arial" w:hAnsi="Arial" w:cs="Arial"/>
          <w:sz w:val="24"/>
          <w:szCs w:val="24"/>
        </w:rPr>
        <w:t xml:space="preserve"> </w:t>
      </w:r>
      <w:r w:rsidR="003F7F35">
        <w:rPr>
          <w:rFonts w:ascii="Arial" w:hAnsi="Arial" w:cs="Arial"/>
          <w:sz w:val="24"/>
          <w:szCs w:val="24"/>
        </w:rPr>
        <w:t>en el sector del barrio “Alfonso López”</w:t>
      </w:r>
      <w:r w:rsidR="006917BF">
        <w:rPr>
          <w:rFonts w:ascii="Arial" w:hAnsi="Arial" w:cs="Arial"/>
          <w:sz w:val="24"/>
          <w:szCs w:val="24"/>
        </w:rPr>
        <w:t>, carrera 1 con calle 1</w:t>
      </w:r>
      <w:r w:rsidR="003F7F35">
        <w:rPr>
          <w:rFonts w:ascii="Arial" w:hAnsi="Arial" w:cs="Arial"/>
          <w:sz w:val="24"/>
          <w:szCs w:val="24"/>
        </w:rPr>
        <w:t xml:space="preserve"> en la vía p</w:t>
      </w:r>
      <w:r w:rsidR="00367981">
        <w:rPr>
          <w:rFonts w:ascii="Arial" w:hAnsi="Arial" w:cs="Arial"/>
          <w:sz w:val="24"/>
          <w:szCs w:val="24"/>
        </w:rPr>
        <w:t>ública;</w:t>
      </w:r>
      <w:r w:rsidR="003F7F35">
        <w:rPr>
          <w:rFonts w:ascii="Arial" w:hAnsi="Arial" w:cs="Arial"/>
          <w:sz w:val="24"/>
          <w:szCs w:val="24"/>
        </w:rPr>
        <w:t xml:space="preserve"> cuando agentes del orden le solicitaron una requisa </w:t>
      </w:r>
      <w:r w:rsidR="00E456B0">
        <w:rPr>
          <w:rFonts w:ascii="Arial" w:hAnsi="Arial" w:cs="Arial"/>
          <w:sz w:val="24"/>
          <w:szCs w:val="24"/>
        </w:rPr>
        <w:t xml:space="preserve">al señor Monsalve </w:t>
      </w:r>
      <w:r w:rsidR="003F7F35">
        <w:rPr>
          <w:rFonts w:ascii="Arial" w:hAnsi="Arial" w:cs="Arial"/>
          <w:sz w:val="24"/>
          <w:szCs w:val="24"/>
        </w:rPr>
        <w:t>y le hallaron una bolsa que contenía sustancia pulverulenta color habano que al ser sometida a la prueba preliminar P.I.P.H. arrojó como resultado positiv</w:t>
      </w:r>
      <w:r w:rsidR="005F3CE2">
        <w:rPr>
          <w:rFonts w:ascii="Arial" w:hAnsi="Arial" w:cs="Arial"/>
          <w:sz w:val="24"/>
          <w:szCs w:val="24"/>
        </w:rPr>
        <w:t xml:space="preserve">o para cocaína y sus derivados en </w:t>
      </w:r>
      <w:r w:rsidR="003F7F35">
        <w:rPr>
          <w:rFonts w:ascii="Arial" w:hAnsi="Arial" w:cs="Arial"/>
          <w:sz w:val="24"/>
          <w:szCs w:val="24"/>
        </w:rPr>
        <w:t>un peso de 2.5 gramos.</w:t>
      </w:r>
    </w:p>
    <w:p w:rsidR="00824C39" w:rsidRPr="007431DD" w:rsidRDefault="00824C39" w:rsidP="0042096D">
      <w:pPr>
        <w:pStyle w:val="Sinespaciado"/>
        <w:spacing w:line="360" w:lineRule="auto"/>
        <w:ind w:left="405" w:right="283"/>
        <w:jc w:val="both"/>
        <w:rPr>
          <w:rFonts w:ascii="Arial" w:hAnsi="Arial" w:cs="Arial"/>
          <w:sz w:val="24"/>
          <w:szCs w:val="24"/>
        </w:rPr>
      </w:pPr>
    </w:p>
    <w:p w:rsidR="00A22B45" w:rsidRPr="00D816C6" w:rsidRDefault="008F4726" w:rsidP="0042096D">
      <w:pPr>
        <w:pStyle w:val="Sinespaciado"/>
        <w:numPr>
          <w:ilvl w:val="1"/>
          <w:numId w:val="17"/>
        </w:numPr>
        <w:spacing w:line="360" w:lineRule="auto"/>
        <w:ind w:right="283"/>
        <w:jc w:val="both"/>
        <w:rPr>
          <w:rFonts w:ascii="Arial" w:hAnsi="Arial" w:cs="Arial"/>
          <w:sz w:val="24"/>
          <w:szCs w:val="24"/>
        </w:rPr>
      </w:pPr>
      <w:r>
        <w:rPr>
          <w:rFonts w:ascii="Arial" w:hAnsi="Arial" w:cs="Arial"/>
          <w:sz w:val="24"/>
          <w:szCs w:val="24"/>
        </w:rPr>
        <w:t>Por lo anterior, el 10 de noviembre</w:t>
      </w:r>
      <w:r w:rsidR="00F25A3C" w:rsidRPr="007431DD">
        <w:rPr>
          <w:rFonts w:ascii="Arial" w:hAnsi="Arial" w:cs="Arial"/>
          <w:sz w:val="24"/>
          <w:szCs w:val="24"/>
        </w:rPr>
        <w:t xml:space="preserve"> de</w:t>
      </w:r>
      <w:r>
        <w:rPr>
          <w:rFonts w:ascii="Arial" w:hAnsi="Arial" w:cs="Arial"/>
          <w:sz w:val="24"/>
          <w:szCs w:val="24"/>
        </w:rPr>
        <w:t>l</w:t>
      </w:r>
      <w:r w:rsidR="00F25A3C" w:rsidRPr="007431DD">
        <w:rPr>
          <w:rFonts w:ascii="Arial" w:hAnsi="Arial" w:cs="Arial"/>
          <w:sz w:val="24"/>
          <w:szCs w:val="24"/>
        </w:rPr>
        <w:t xml:space="preserve"> 201</w:t>
      </w:r>
      <w:r>
        <w:rPr>
          <w:rFonts w:ascii="Arial" w:hAnsi="Arial" w:cs="Arial"/>
          <w:sz w:val="24"/>
          <w:szCs w:val="24"/>
        </w:rPr>
        <w:t>1</w:t>
      </w:r>
      <w:r w:rsidR="00824C39" w:rsidRPr="007431DD">
        <w:rPr>
          <w:rFonts w:ascii="Arial" w:hAnsi="Arial" w:cs="Arial"/>
          <w:sz w:val="24"/>
          <w:szCs w:val="24"/>
        </w:rPr>
        <w:t xml:space="preserve"> se realizó audiencia ante el Juzgado </w:t>
      </w:r>
      <w:r>
        <w:rPr>
          <w:rFonts w:ascii="Arial" w:hAnsi="Arial" w:cs="Arial"/>
          <w:sz w:val="24"/>
          <w:szCs w:val="24"/>
        </w:rPr>
        <w:t>Segundo</w:t>
      </w:r>
      <w:r w:rsidR="00F25A3C" w:rsidRPr="007431DD">
        <w:rPr>
          <w:rFonts w:ascii="Arial" w:hAnsi="Arial" w:cs="Arial"/>
          <w:sz w:val="24"/>
          <w:szCs w:val="24"/>
        </w:rPr>
        <w:t xml:space="preserve"> Penal Municipal con función </w:t>
      </w:r>
      <w:r w:rsidR="00824C39" w:rsidRPr="007431DD">
        <w:rPr>
          <w:rFonts w:ascii="Arial" w:hAnsi="Arial" w:cs="Arial"/>
          <w:sz w:val="24"/>
          <w:szCs w:val="24"/>
        </w:rPr>
        <w:t>de control de garantías</w:t>
      </w:r>
      <w:r w:rsidR="00E72CFB" w:rsidRPr="007431DD">
        <w:rPr>
          <w:rFonts w:ascii="Arial" w:hAnsi="Arial" w:cs="Arial"/>
          <w:sz w:val="24"/>
          <w:szCs w:val="24"/>
        </w:rPr>
        <w:t>;</w:t>
      </w:r>
      <w:r w:rsidR="00824C39" w:rsidRPr="007431DD">
        <w:rPr>
          <w:rFonts w:ascii="Arial" w:hAnsi="Arial" w:cs="Arial"/>
          <w:sz w:val="24"/>
          <w:szCs w:val="24"/>
        </w:rPr>
        <w:t xml:space="preserve"> en la </w:t>
      </w:r>
      <w:r w:rsidR="00824C39" w:rsidRPr="007431DD">
        <w:rPr>
          <w:rFonts w:ascii="Arial" w:hAnsi="Arial" w:cs="Arial"/>
          <w:sz w:val="24"/>
          <w:szCs w:val="24"/>
        </w:rPr>
        <w:lastRenderedPageBreak/>
        <w:t xml:space="preserve">cual se legalizó la captura, se le formuló imputación por el delito de </w:t>
      </w:r>
      <w:r w:rsidR="00612836" w:rsidRPr="007431DD">
        <w:rPr>
          <w:rFonts w:ascii="Arial" w:hAnsi="Arial" w:cs="Arial"/>
          <w:sz w:val="24"/>
          <w:szCs w:val="24"/>
        </w:rPr>
        <w:t xml:space="preserve">tráfico, fabricación o porte de estupefacientes </w:t>
      </w:r>
      <w:r>
        <w:rPr>
          <w:rFonts w:ascii="Arial" w:hAnsi="Arial" w:cs="Arial"/>
          <w:sz w:val="24"/>
          <w:szCs w:val="24"/>
        </w:rPr>
        <w:t>en la modalidad</w:t>
      </w:r>
      <w:r w:rsidR="00824C39" w:rsidRPr="007431DD">
        <w:rPr>
          <w:rFonts w:ascii="Arial" w:hAnsi="Arial" w:cs="Arial"/>
          <w:sz w:val="24"/>
          <w:szCs w:val="24"/>
        </w:rPr>
        <w:t xml:space="preserve"> llevar consigo</w:t>
      </w:r>
      <w:r w:rsidR="00E72CFB" w:rsidRPr="007431DD">
        <w:rPr>
          <w:rFonts w:ascii="Arial" w:hAnsi="Arial" w:cs="Arial"/>
          <w:sz w:val="24"/>
          <w:szCs w:val="24"/>
        </w:rPr>
        <w:t xml:space="preserve"> y </w:t>
      </w:r>
      <w:r>
        <w:rPr>
          <w:rFonts w:ascii="Arial" w:hAnsi="Arial" w:cs="Arial"/>
          <w:sz w:val="24"/>
          <w:szCs w:val="24"/>
        </w:rPr>
        <w:t>no se solicitó</w:t>
      </w:r>
      <w:r w:rsidR="00E72CFB" w:rsidRPr="007431DD">
        <w:rPr>
          <w:rFonts w:ascii="Arial" w:hAnsi="Arial" w:cs="Arial"/>
          <w:sz w:val="24"/>
          <w:szCs w:val="24"/>
        </w:rPr>
        <w:t xml:space="preserve"> medida de aseguramiento. En dicha diligencia el señor </w:t>
      </w:r>
      <w:r>
        <w:rPr>
          <w:rFonts w:ascii="Arial" w:hAnsi="Arial" w:cs="Arial"/>
          <w:sz w:val="24"/>
          <w:szCs w:val="24"/>
        </w:rPr>
        <w:t xml:space="preserve">Monsalve </w:t>
      </w:r>
      <w:r w:rsidRPr="00D816C6">
        <w:rPr>
          <w:rFonts w:ascii="Arial" w:hAnsi="Arial" w:cs="Arial"/>
          <w:sz w:val="24"/>
          <w:szCs w:val="24"/>
        </w:rPr>
        <w:t xml:space="preserve">Santamaría </w:t>
      </w:r>
      <w:r w:rsidR="00E72CFB" w:rsidRPr="00D816C6">
        <w:rPr>
          <w:rFonts w:ascii="Arial" w:hAnsi="Arial" w:cs="Arial"/>
          <w:sz w:val="24"/>
          <w:szCs w:val="24"/>
        </w:rPr>
        <w:t>aceptó lo</w:t>
      </w:r>
      <w:r w:rsidR="00E456B0">
        <w:rPr>
          <w:rFonts w:ascii="Arial" w:hAnsi="Arial" w:cs="Arial"/>
          <w:sz w:val="24"/>
          <w:szCs w:val="24"/>
        </w:rPr>
        <w:t>s cargos comunicados por la FGN (fl. 4 y 5).</w:t>
      </w:r>
    </w:p>
    <w:p w:rsidR="00E72CFB" w:rsidRPr="00D816C6" w:rsidRDefault="00E72CFB" w:rsidP="0042096D">
      <w:pPr>
        <w:pStyle w:val="Prrafodelista"/>
        <w:spacing w:line="360" w:lineRule="auto"/>
        <w:ind w:right="283"/>
        <w:rPr>
          <w:sz w:val="24"/>
          <w:szCs w:val="24"/>
        </w:rPr>
      </w:pPr>
    </w:p>
    <w:p w:rsidR="00D21355" w:rsidRPr="00D816C6" w:rsidRDefault="008F4726" w:rsidP="008F4726">
      <w:pPr>
        <w:pStyle w:val="Sinespaciado"/>
        <w:numPr>
          <w:ilvl w:val="1"/>
          <w:numId w:val="17"/>
        </w:numPr>
        <w:spacing w:line="360" w:lineRule="auto"/>
        <w:ind w:right="283"/>
        <w:jc w:val="both"/>
        <w:rPr>
          <w:sz w:val="24"/>
          <w:szCs w:val="24"/>
        </w:rPr>
      </w:pPr>
      <w:r w:rsidRPr="00D816C6">
        <w:rPr>
          <w:rFonts w:ascii="Arial" w:hAnsi="Arial" w:cs="Arial"/>
          <w:sz w:val="24"/>
          <w:szCs w:val="24"/>
        </w:rPr>
        <w:t xml:space="preserve"> Como consecuencia de tal aceptación de cargos, el 12 de marzo de 2012</w:t>
      </w:r>
      <w:r w:rsidR="00E456B0">
        <w:rPr>
          <w:rFonts w:ascii="Arial" w:hAnsi="Arial" w:cs="Arial"/>
          <w:sz w:val="24"/>
          <w:szCs w:val="24"/>
        </w:rPr>
        <w:t>,</w:t>
      </w:r>
      <w:r w:rsidRPr="00D816C6">
        <w:rPr>
          <w:rFonts w:ascii="Arial" w:hAnsi="Arial" w:cs="Arial"/>
          <w:sz w:val="24"/>
          <w:szCs w:val="24"/>
        </w:rPr>
        <w:t xml:space="preserve"> </w:t>
      </w:r>
      <w:r>
        <w:rPr>
          <w:rFonts w:ascii="Arial" w:hAnsi="Arial" w:cs="Arial"/>
          <w:sz w:val="24"/>
          <w:szCs w:val="24"/>
        </w:rPr>
        <w:t>el Juzgado Cuarto Penal del Circuito</w:t>
      </w:r>
      <w:r w:rsidR="00E12997">
        <w:rPr>
          <w:rFonts w:ascii="Arial" w:hAnsi="Arial" w:cs="Arial"/>
          <w:sz w:val="24"/>
          <w:szCs w:val="24"/>
        </w:rPr>
        <w:t xml:space="preserve"> d</w:t>
      </w:r>
      <w:r w:rsidR="00586B8B">
        <w:rPr>
          <w:rFonts w:ascii="Arial" w:hAnsi="Arial" w:cs="Arial"/>
          <w:sz w:val="24"/>
          <w:szCs w:val="24"/>
        </w:rPr>
        <w:t>e Pereira</w:t>
      </w:r>
      <w:r w:rsidR="00E12997">
        <w:rPr>
          <w:rFonts w:ascii="Arial" w:hAnsi="Arial" w:cs="Arial"/>
          <w:sz w:val="24"/>
          <w:szCs w:val="24"/>
        </w:rPr>
        <w:t xml:space="preserve"> </w:t>
      </w:r>
      <w:r w:rsidR="009326F8">
        <w:rPr>
          <w:rFonts w:ascii="Arial" w:hAnsi="Arial" w:cs="Arial"/>
          <w:sz w:val="24"/>
          <w:szCs w:val="24"/>
        </w:rPr>
        <w:t xml:space="preserve">dictó </w:t>
      </w:r>
      <w:r w:rsidR="00E12997">
        <w:rPr>
          <w:rFonts w:ascii="Arial" w:hAnsi="Arial" w:cs="Arial"/>
          <w:sz w:val="24"/>
          <w:szCs w:val="24"/>
        </w:rPr>
        <w:t>sentencia</w:t>
      </w:r>
      <w:r w:rsidR="00050809">
        <w:rPr>
          <w:rFonts w:ascii="Arial" w:hAnsi="Arial" w:cs="Arial"/>
          <w:sz w:val="24"/>
          <w:szCs w:val="24"/>
        </w:rPr>
        <w:t xml:space="preserve"> </w:t>
      </w:r>
      <w:r w:rsidR="009326F8">
        <w:rPr>
          <w:rFonts w:ascii="Arial" w:hAnsi="Arial" w:cs="Arial"/>
          <w:sz w:val="24"/>
          <w:szCs w:val="24"/>
        </w:rPr>
        <w:t xml:space="preserve">mediante </w:t>
      </w:r>
      <w:r w:rsidR="00050809">
        <w:rPr>
          <w:rFonts w:ascii="Arial" w:hAnsi="Arial" w:cs="Arial"/>
          <w:sz w:val="24"/>
          <w:szCs w:val="24"/>
        </w:rPr>
        <w:t>la cual se condenó a Héctor William Monsalve Santamaría a la pena principal de 40 meses de prisión y multa de 1.25 SMLMV como autor de la conducta de tráfico, fabricación o porte de estupefacientes.</w:t>
      </w:r>
      <w:r w:rsidR="003C39F9">
        <w:rPr>
          <w:rFonts w:ascii="Arial" w:hAnsi="Arial" w:cs="Arial"/>
          <w:sz w:val="24"/>
          <w:szCs w:val="24"/>
        </w:rPr>
        <w:t xml:space="preserve"> Contra esta decisión no se interpuso recurso, por lo cual se declaró l</w:t>
      </w:r>
      <w:r w:rsidR="009326F8">
        <w:rPr>
          <w:rFonts w:ascii="Arial" w:hAnsi="Arial" w:cs="Arial"/>
          <w:sz w:val="24"/>
          <w:szCs w:val="24"/>
        </w:rPr>
        <w:t xml:space="preserve">egalmente ejecutoriado el fallo (fl. 12 a 14). </w:t>
      </w:r>
    </w:p>
    <w:p w:rsidR="00D816C6" w:rsidRPr="00050809" w:rsidRDefault="00D816C6" w:rsidP="00D816C6">
      <w:pPr>
        <w:pStyle w:val="Sinespaciado"/>
        <w:spacing w:line="360" w:lineRule="auto"/>
        <w:ind w:right="283"/>
        <w:jc w:val="both"/>
        <w:rPr>
          <w:sz w:val="24"/>
          <w:szCs w:val="24"/>
        </w:rPr>
      </w:pPr>
    </w:p>
    <w:p w:rsidR="00050809" w:rsidRDefault="00050809" w:rsidP="00050809">
      <w:pPr>
        <w:pStyle w:val="Prrafodelista"/>
        <w:rPr>
          <w:sz w:val="24"/>
          <w:szCs w:val="24"/>
        </w:rPr>
      </w:pPr>
    </w:p>
    <w:p w:rsidR="004B1AE1" w:rsidRPr="007431DD" w:rsidRDefault="004B1AE1" w:rsidP="0042096D">
      <w:pPr>
        <w:pStyle w:val="Sinespaciado"/>
        <w:numPr>
          <w:ilvl w:val="0"/>
          <w:numId w:val="17"/>
        </w:numPr>
        <w:spacing w:line="360" w:lineRule="auto"/>
        <w:ind w:right="283"/>
        <w:jc w:val="center"/>
        <w:rPr>
          <w:rFonts w:ascii="Arial" w:hAnsi="Arial" w:cs="Arial"/>
          <w:sz w:val="24"/>
          <w:szCs w:val="24"/>
        </w:rPr>
      </w:pPr>
      <w:r w:rsidRPr="007431DD">
        <w:rPr>
          <w:rFonts w:ascii="Arial" w:hAnsi="Arial" w:cs="Arial"/>
          <w:sz w:val="24"/>
          <w:szCs w:val="24"/>
        </w:rPr>
        <w:t xml:space="preserve">SOBRE </w:t>
      </w:r>
      <w:r w:rsidR="00724277" w:rsidRPr="007431DD">
        <w:rPr>
          <w:rFonts w:ascii="Arial" w:hAnsi="Arial" w:cs="Arial"/>
          <w:sz w:val="24"/>
          <w:szCs w:val="24"/>
        </w:rPr>
        <w:t>LA SUSTENTACIÓN DE LA ACCIÓ</w:t>
      </w:r>
      <w:r w:rsidR="00FB3F81" w:rsidRPr="007431DD">
        <w:rPr>
          <w:rFonts w:ascii="Arial" w:hAnsi="Arial" w:cs="Arial"/>
          <w:sz w:val="24"/>
          <w:szCs w:val="24"/>
        </w:rPr>
        <w:t>N DE REVI</w:t>
      </w:r>
      <w:r w:rsidR="00724277" w:rsidRPr="007431DD">
        <w:rPr>
          <w:rFonts w:ascii="Arial" w:hAnsi="Arial" w:cs="Arial"/>
          <w:sz w:val="24"/>
          <w:szCs w:val="24"/>
        </w:rPr>
        <w:t>SIÓ</w:t>
      </w:r>
      <w:r w:rsidR="00EF04A4" w:rsidRPr="007431DD">
        <w:rPr>
          <w:rFonts w:ascii="Arial" w:hAnsi="Arial" w:cs="Arial"/>
          <w:sz w:val="24"/>
          <w:szCs w:val="24"/>
        </w:rPr>
        <w:t>N</w:t>
      </w:r>
      <w:r w:rsidR="009A560E" w:rsidRPr="007431DD">
        <w:rPr>
          <w:rFonts w:ascii="Arial" w:hAnsi="Arial" w:cs="Arial"/>
          <w:sz w:val="24"/>
          <w:szCs w:val="24"/>
        </w:rPr>
        <w:t xml:space="preserve"> PROPUESTA</w:t>
      </w:r>
    </w:p>
    <w:p w:rsidR="00FB3F81" w:rsidRPr="007431DD" w:rsidRDefault="00FB3F81" w:rsidP="0042096D">
      <w:pPr>
        <w:pStyle w:val="Sinespaciado"/>
        <w:spacing w:line="360" w:lineRule="auto"/>
        <w:ind w:right="283"/>
        <w:jc w:val="both"/>
        <w:rPr>
          <w:rFonts w:ascii="Arial" w:hAnsi="Arial" w:cs="Arial"/>
          <w:sz w:val="24"/>
          <w:szCs w:val="24"/>
        </w:rPr>
      </w:pPr>
    </w:p>
    <w:p w:rsidR="00FB3F81" w:rsidRPr="007431DD" w:rsidRDefault="001232B3" w:rsidP="0042096D">
      <w:pPr>
        <w:pStyle w:val="Sinespaciado"/>
        <w:spacing w:line="360" w:lineRule="auto"/>
        <w:ind w:right="283"/>
        <w:jc w:val="both"/>
        <w:rPr>
          <w:rFonts w:ascii="Arial" w:hAnsi="Arial" w:cs="Arial"/>
          <w:sz w:val="24"/>
          <w:szCs w:val="24"/>
        </w:rPr>
      </w:pPr>
      <w:r w:rsidRPr="007431DD">
        <w:rPr>
          <w:rFonts w:ascii="Arial" w:hAnsi="Arial" w:cs="Arial"/>
          <w:sz w:val="24"/>
          <w:szCs w:val="24"/>
        </w:rPr>
        <w:t xml:space="preserve">En la audiencia adelantada el </w:t>
      </w:r>
      <w:r w:rsidR="0087631A">
        <w:rPr>
          <w:rFonts w:ascii="Arial" w:hAnsi="Arial" w:cs="Arial"/>
          <w:sz w:val="24"/>
          <w:szCs w:val="24"/>
        </w:rPr>
        <w:t>18</w:t>
      </w:r>
      <w:r w:rsidR="00FB3F81" w:rsidRPr="007431DD">
        <w:rPr>
          <w:rFonts w:ascii="Arial" w:hAnsi="Arial" w:cs="Arial"/>
          <w:sz w:val="24"/>
          <w:szCs w:val="24"/>
        </w:rPr>
        <w:t xml:space="preserve"> de </w:t>
      </w:r>
      <w:r w:rsidR="0087631A">
        <w:rPr>
          <w:rFonts w:ascii="Arial" w:hAnsi="Arial" w:cs="Arial"/>
          <w:sz w:val="24"/>
          <w:szCs w:val="24"/>
        </w:rPr>
        <w:t>diciembre</w:t>
      </w:r>
      <w:r w:rsidRPr="007431DD">
        <w:rPr>
          <w:rFonts w:ascii="Arial" w:hAnsi="Arial" w:cs="Arial"/>
          <w:sz w:val="24"/>
          <w:szCs w:val="24"/>
        </w:rPr>
        <w:t xml:space="preserve"> de 201</w:t>
      </w:r>
      <w:r w:rsidR="0087631A">
        <w:rPr>
          <w:rFonts w:ascii="Arial" w:hAnsi="Arial" w:cs="Arial"/>
          <w:sz w:val="24"/>
          <w:szCs w:val="24"/>
        </w:rPr>
        <w:t>7</w:t>
      </w:r>
      <w:r w:rsidR="00FB3F81" w:rsidRPr="007431DD">
        <w:rPr>
          <w:rFonts w:ascii="Arial" w:hAnsi="Arial" w:cs="Arial"/>
          <w:sz w:val="24"/>
          <w:szCs w:val="24"/>
        </w:rPr>
        <w:t>, se presentaron</w:t>
      </w:r>
      <w:r w:rsidR="00172B6C" w:rsidRPr="007431DD">
        <w:rPr>
          <w:rFonts w:ascii="Arial" w:hAnsi="Arial" w:cs="Arial"/>
          <w:sz w:val="24"/>
          <w:szCs w:val="24"/>
        </w:rPr>
        <w:t xml:space="preserve"> las </w:t>
      </w:r>
      <w:r w:rsidR="00724277" w:rsidRPr="007431DD">
        <w:rPr>
          <w:rFonts w:ascii="Arial" w:hAnsi="Arial" w:cs="Arial"/>
          <w:sz w:val="24"/>
          <w:szCs w:val="24"/>
        </w:rPr>
        <w:t>siguientes intervenciones:</w:t>
      </w:r>
    </w:p>
    <w:p w:rsidR="009A560E" w:rsidRPr="007431DD" w:rsidRDefault="009A560E" w:rsidP="0042096D">
      <w:pPr>
        <w:pStyle w:val="Sinespaciado"/>
        <w:spacing w:line="360" w:lineRule="auto"/>
        <w:ind w:right="283"/>
        <w:jc w:val="both"/>
        <w:rPr>
          <w:rFonts w:ascii="Arial" w:hAnsi="Arial" w:cs="Arial"/>
          <w:sz w:val="24"/>
          <w:szCs w:val="24"/>
        </w:rPr>
      </w:pPr>
    </w:p>
    <w:p w:rsidR="004B1AE1" w:rsidRPr="007431DD" w:rsidRDefault="00792DE3" w:rsidP="00AB0483">
      <w:pPr>
        <w:pStyle w:val="Sinespaciado"/>
        <w:numPr>
          <w:ilvl w:val="1"/>
          <w:numId w:val="17"/>
        </w:numPr>
        <w:spacing w:before="240" w:line="360" w:lineRule="auto"/>
        <w:ind w:left="709" w:right="283" w:hanging="709"/>
        <w:rPr>
          <w:rFonts w:ascii="Arial" w:hAnsi="Arial" w:cs="Arial"/>
          <w:sz w:val="24"/>
          <w:szCs w:val="24"/>
        </w:rPr>
      </w:pPr>
      <w:r w:rsidRPr="007431DD">
        <w:rPr>
          <w:rFonts w:ascii="Arial" w:hAnsi="Arial" w:cs="Arial"/>
          <w:sz w:val="24"/>
          <w:szCs w:val="24"/>
        </w:rPr>
        <w:t xml:space="preserve">AGENTE DEL </w:t>
      </w:r>
      <w:r w:rsidR="00AE74D3" w:rsidRPr="007431DD">
        <w:rPr>
          <w:rFonts w:ascii="Arial" w:hAnsi="Arial" w:cs="Arial"/>
          <w:sz w:val="24"/>
          <w:szCs w:val="24"/>
        </w:rPr>
        <w:t>MINISTERIO</w:t>
      </w:r>
      <w:r w:rsidRPr="007431DD">
        <w:rPr>
          <w:rFonts w:ascii="Arial" w:hAnsi="Arial" w:cs="Arial"/>
          <w:sz w:val="24"/>
          <w:szCs w:val="24"/>
        </w:rPr>
        <w:t xml:space="preserve"> PÚBLICO</w:t>
      </w:r>
      <w:r w:rsidR="00AE74D3" w:rsidRPr="007431DD">
        <w:rPr>
          <w:rFonts w:ascii="Arial" w:hAnsi="Arial" w:cs="Arial"/>
          <w:sz w:val="24"/>
          <w:szCs w:val="24"/>
        </w:rPr>
        <w:t xml:space="preserve"> </w:t>
      </w:r>
    </w:p>
    <w:p w:rsidR="00741F1A" w:rsidRDefault="0087631A" w:rsidP="00AB0483">
      <w:pPr>
        <w:numPr>
          <w:ilvl w:val="0"/>
          <w:numId w:val="27"/>
        </w:numPr>
        <w:spacing w:before="240" w:line="360" w:lineRule="auto"/>
        <w:ind w:right="283"/>
        <w:jc w:val="both"/>
        <w:rPr>
          <w:sz w:val="24"/>
          <w:szCs w:val="24"/>
          <w:lang w:eastAsia="en-US"/>
        </w:rPr>
      </w:pPr>
      <w:r>
        <w:rPr>
          <w:sz w:val="24"/>
          <w:szCs w:val="24"/>
        </w:rPr>
        <w:t>Manifestó que</w:t>
      </w:r>
      <w:r w:rsidR="00741F1A">
        <w:rPr>
          <w:sz w:val="24"/>
          <w:szCs w:val="24"/>
        </w:rPr>
        <w:t xml:space="preserve"> mediante sentencia del 12 de marzo de 2012, el Juzgado Cuarto Penal del Circuito de Pereira (Risaralda) condenó a</w:t>
      </w:r>
      <w:r>
        <w:rPr>
          <w:sz w:val="24"/>
          <w:szCs w:val="24"/>
        </w:rPr>
        <w:t>l señor Héctor William Monsalve Santamaría</w:t>
      </w:r>
      <w:r w:rsidR="002A03A2">
        <w:rPr>
          <w:sz w:val="24"/>
          <w:szCs w:val="24"/>
        </w:rPr>
        <w:t xml:space="preserve"> a la pena principal de 40 meses de prisión;</w:t>
      </w:r>
      <w:r w:rsidR="00741F1A">
        <w:rPr>
          <w:sz w:val="24"/>
          <w:szCs w:val="24"/>
        </w:rPr>
        <w:t xml:space="preserve"> por haber sido capturado el día 9 de noviembre de 2011 llevando consigo 2.5 gramos de cocaína.</w:t>
      </w:r>
    </w:p>
    <w:p w:rsidR="0087631A" w:rsidRPr="007431DD" w:rsidRDefault="0087631A" w:rsidP="00741F1A">
      <w:pPr>
        <w:spacing w:line="360" w:lineRule="auto"/>
        <w:ind w:left="720" w:right="283"/>
        <w:jc w:val="both"/>
        <w:rPr>
          <w:sz w:val="24"/>
          <w:szCs w:val="24"/>
          <w:lang w:eastAsia="en-US"/>
        </w:rPr>
      </w:pPr>
      <w:r>
        <w:rPr>
          <w:sz w:val="24"/>
          <w:szCs w:val="24"/>
        </w:rPr>
        <w:t xml:space="preserve"> </w:t>
      </w:r>
    </w:p>
    <w:p w:rsidR="00D643B6" w:rsidRDefault="0087631A" w:rsidP="00D7073B">
      <w:pPr>
        <w:numPr>
          <w:ilvl w:val="0"/>
          <w:numId w:val="27"/>
        </w:numPr>
        <w:spacing w:line="360" w:lineRule="auto"/>
        <w:ind w:right="283"/>
        <w:jc w:val="both"/>
        <w:rPr>
          <w:sz w:val="24"/>
          <w:szCs w:val="24"/>
          <w:lang w:eastAsia="en-US"/>
        </w:rPr>
      </w:pPr>
      <w:r>
        <w:rPr>
          <w:sz w:val="24"/>
          <w:szCs w:val="24"/>
        </w:rPr>
        <w:t>Señaló que se acudía a la causal de revisión consagrada en el numeral 7 del art</w:t>
      </w:r>
      <w:r w:rsidR="00AB0483">
        <w:rPr>
          <w:sz w:val="24"/>
          <w:szCs w:val="24"/>
        </w:rPr>
        <w:t>ículo 192 del C.P.P.</w:t>
      </w:r>
      <w:r w:rsidR="00741F1A">
        <w:rPr>
          <w:sz w:val="24"/>
          <w:szCs w:val="24"/>
        </w:rPr>
        <w:t xml:space="preserve"> referente a que la C</w:t>
      </w:r>
      <w:r w:rsidR="00AE1CF6">
        <w:rPr>
          <w:sz w:val="24"/>
          <w:szCs w:val="24"/>
        </w:rPr>
        <w:t>.S.J.</w:t>
      </w:r>
      <w:r w:rsidR="00741F1A">
        <w:rPr>
          <w:sz w:val="24"/>
          <w:szCs w:val="24"/>
        </w:rPr>
        <w:t xml:space="preserve"> haya cambiado favorablemente el criterio jurídico que sirvió para sustentar la sentencia condenatoria; toda vez que en la fecha en que se profirió la sentencia antedicha se encontraba vigente el criterio adoptado </w:t>
      </w:r>
      <w:r w:rsidR="00B77679">
        <w:rPr>
          <w:sz w:val="24"/>
          <w:szCs w:val="24"/>
        </w:rPr>
        <w:t>mediante sentencia</w:t>
      </w:r>
      <w:r w:rsidR="00741F1A">
        <w:rPr>
          <w:sz w:val="24"/>
          <w:szCs w:val="24"/>
        </w:rPr>
        <w:t xml:space="preserve"> </w:t>
      </w:r>
      <w:r w:rsidR="002A03A2">
        <w:rPr>
          <w:sz w:val="24"/>
          <w:szCs w:val="24"/>
        </w:rPr>
        <w:t xml:space="preserve">del 17 de agosto de 2011 dentro del radicado 35978, según el cual bastaba con que el sujeto fuera sorprendido con una cantidad superior a la dosis personal para que incurriera en el tipo penal </w:t>
      </w:r>
      <w:r w:rsidR="00D7073B">
        <w:rPr>
          <w:sz w:val="24"/>
          <w:szCs w:val="24"/>
        </w:rPr>
        <w:t>descrito</w:t>
      </w:r>
      <w:r w:rsidR="002A03A2">
        <w:rPr>
          <w:sz w:val="24"/>
          <w:szCs w:val="24"/>
        </w:rPr>
        <w:t xml:space="preserve"> en el artículo</w:t>
      </w:r>
      <w:r w:rsidR="00D7073B">
        <w:rPr>
          <w:sz w:val="24"/>
          <w:szCs w:val="24"/>
        </w:rPr>
        <w:t xml:space="preserve"> 376, </w:t>
      </w:r>
      <w:r w:rsidR="00AE1CF6">
        <w:rPr>
          <w:sz w:val="24"/>
          <w:szCs w:val="24"/>
        </w:rPr>
        <w:t xml:space="preserve">e </w:t>
      </w:r>
      <w:r w:rsidR="00D7073B">
        <w:rPr>
          <w:sz w:val="24"/>
          <w:szCs w:val="24"/>
        </w:rPr>
        <w:t xml:space="preserve">igualmente se establecía una presunción </w:t>
      </w:r>
      <w:r w:rsidR="00D7073B" w:rsidRPr="00D7073B">
        <w:rPr>
          <w:i/>
          <w:sz w:val="24"/>
          <w:szCs w:val="24"/>
        </w:rPr>
        <w:t>iuris tantum</w:t>
      </w:r>
      <w:r w:rsidR="00D7073B">
        <w:rPr>
          <w:sz w:val="24"/>
          <w:szCs w:val="24"/>
        </w:rPr>
        <w:t xml:space="preserve"> al superarse </w:t>
      </w:r>
      <w:r w:rsidR="00AE1CF6">
        <w:rPr>
          <w:sz w:val="24"/>
          <w:szCs w:val="24"/>
        </w:rPr>
        <w:t>ligeramente</w:t>
      </w:r>
      <w:r w:rsidR="00D7073B">
        <w:rPr>
          <w:sz w:val="24"/>
          <w:szCs w:val="24"/>
        </w:rPr>
        <w:t xml:space="preserve"> dicho top</w:t>
      </w:r>
      <w:r w:rsidR="00AB0483">
        <w:rPr>
          <w:sz w:val="24"/>
          <w:szCs w:val="24"/>
        </w:rPr>
        <w:t>e</w:t>
      </w:r>
      <w:r w:rsidR="00D7073B">
        <w:rPr>
          <w:sz w:val="24"/>
          <w:szCs w:val="24"/>
        </w:rPr>
        <w:t xml:space="preserve"> y </w:t>
      </w:r>
      <w:r w:rsidR="00D7073B" w:rsidRPr="00D7073B">
        <w:rPr>
          <w:sz w:val="24"/>
          <w:szCs w:val="24"/>
        </w:rPr>
        <w:t>una presunci</w:t>
      </w:r>
      <w:r w:rsidR="00D7073B">
        <w:rPr>
          <w:sz w:val="24"/>
          <w:szCs w:val="24"/>
        </w:rPr>
        <w:t>ón de derecho cuand</w:t>
      </w:r>
      <w:r w:rsidR="00AE1CF6">
        <w:rPr>
          <w:sz w:val="24"/>
          <w:szCs w:val="24"/>
        </w:rPr>
        <w:t xml:space="preserve">o la cantidad </w:t>
      </w:r>
      <w:r w:rsidR="00D7073B">
        <w:rPr>
          <w:sz w:val="24"/>
          <w:szCs w:val="24"/>
        </w:rPr>
        <w:t xml:space="preserve">excediera </w:t>
      </w:r>
      <w:r w:rsidR="00AE1CF6">
        <w:rPr>
          <w:sz w:val="24"/>
          <w:szCs w:val="24"/>
        </w:rPr>
        <w:t xml:space="preserve">lo </w:t>
      </w:r>
      <w:r w:rsidR="00D7073B">
        <w:rPr>
          <w:sz w:val="24"/>
          <w:szCs w:val="24"/>
        </w:rPr>
        <w:t>razonable.</w:t>
      </w:r>
      <w:r w:rsidR="00D7073B" w:rsidRPr="00D7073B">
        <w:rPr>
          <w:sz w:val="24"/>
          <w:szCs w:val="24"/>
        </w:rPr>
        <w:t xml:space="preserve"> </w:t>
      </w:r>
    </w:p>
    <w:p w:rsidR="002F48BB" w:rsidRDefault="002F48BB" w:rsidP="002F48BB">
      <w:pPr>
        <w:pStyle w:val="Prrafodelista"/>
        <w:rPr>
          <w:sz w:val="24"/>
          <w:szCs w:val="24"/>
          <w:lang w:eastAsia="en-US"/>
        </w:rPr>
      </w:pPr>
    </w:p>
    <w:p w:rsidR="003D79AF" w:rsidRDefault="00AE1CF6" w:rsidP="00D7073B">
      <w:pPr>
        <w:numPr>
          <w:ilvl w:val="0"/>
          <w:numId w:val="27"/>
        </w:numPr>
        <w:spacing w:line="360" w:lineRule="auto"/>
        <w:ind w:right="283"/>
        <w:jc w:val="both"/>
        <w:rPr>
          <w:sz w:val="24"/>
          <w:szCs w:val="24"/>
          <w:lang w:eastAsia="en-US"/>
        </w:rPr>
      </w:pPr>
      <w:r>
        <w:rPr>
          <w:sz w:val="24"/>
          <w:szCs w:val="24"/>
          <w:lang w:eastAsia="en-US"/>
        </w:rPr>
        <w:lastRenderedPageBreak/>
        <w:t>Indicó que posteriormente se profirió por la C.S.J. la sentencia dentro del radicado 42617 en la que se afirmaba que la cantidad de droga no era el único, sino uno de</w:t>
      </w:r>
      <w:r w:rsidR="003D79AF">
        <w:rPr>
          <w:sz w:val="24"/>
          <w:szCs w:val="24"/>
          <w:lang w:eastAsia="en-US"/>
        </w:rPr>
        <w:t xml:space="preserve"> los</w:t>
      </w:r>
      <w:r>
        <w:rPr>
          <w:sz w:val="24"/>
          <w:szCs w:val="24"/>
          <w:lang w:eastAsia="en-US"/>
        </w:rPr>
        <w:t xml:space="preserve"> parámetros que debían analizarse al momento de estudiar la vulneración de los bienes jurídicos protegidos. </w:t>
      </w:r>
    </w:p>
    <w:p w:rsidR="003D79AF" w:rsidRDefault="003D79AF" w:rsidP="003D79AF">
      <w:pPr>
        <w:pStyle w:val="Prrafodelista"/>
        <w:rPr>
          <w:sz w:val="24"/>
          <w:szCs w:val="24"/>
          <w:lang w:eastAsia="en-US"/>
        </w:rPr>
      </w:pPr>
    </w:p>
    <w:p w:rsidR="002F48BB" w:rsidRDefault="003D79AF" w:rsidP="00D7073B">
      <w:pPr>
        <w:numPr>
          <w:ilvl w:val="0"/>
          <w:numId w:val="27"/>
        </w:numPr>
        <w:spacing w:line="360" w:lineRule="auto"/>
        <w:ind w:right="283"/>
        <w:jc w:val="both"/>
        <w:rPr>
          <w:sz w:val="24"/>
          <w:szCs w:val="24"/>
          <w:lang w:eastAsia="en-US"/>
        </w:rPr>
      </w:pPr>
      <w:r>
        <w:rPr>
          <w:sz w:val="24"/>
          <w:szCs w:val="24"/>
          <w:lang w:eastAsia="en-US"/>
        </w:rPr>
        <w:t>Mencionó que m</w:t>
      </w:r>
      <w:r w:rsidR="00AE1CF6">
        <w:rPr>
          <w:sz w:val="24"/>
          <w:szCs w:val="24"/>
          <w:lang w:eastAsia="en-US"/>
        </w:rPr>
        <w:t>ás adelante, dentro del radicado 41760</w:t>
      </w:r>
      <w:r>
        <w:rPr>
          <w:sz w:val="24"/>
          <w:szCs w:val="24"/>
          <w:lang w:eastAsia="en-US"/>
        </w:rPr>
        <w:t xml:space="preserve"> se dijo que en aquellos casos de porte en</w:t>
      </w:r>
      <w:r w:rsidR="00AE1CF6">
        <w:rPr>
          <w:sz w:val="24"/>
          <w:szCs w:val="24"/>
          <w:lang w:eastAsia="en-US"/>
        </w:rPr>
        <w:t xml:space="preserve"> cantidades s</w:t>
      </w:r>
      <w:r>
        <w:rPr>
          <w:sz w:val="24"/>
          <w:szCs w:val="24"/>
          <w:lang w:eastAsia="en-US"/>
        </w:rPr>
        <w:t>uperiores a la establecida como dosis personal existía un elemento subjetivo tácito, mediante el cual se afirmaba que no bastaba únicamente ese hallazgo sino que el mismo estuviera conectado a un contexto de distribución</w:t>
      </w:r>
      <w:r w:rsidR="00192DFD">
        <w:rPr>
          <w:sz w:val="24"/>
          <w:szCs w:val="24"/>
          <w:lang w:eastAsia="en-US"/>
        </w:rPr>
        <w:t>, debiendo estudiarse tal elemento en sede de</w:t>
      </w:r>
      <w:r>
        <w:rPr>
          <w:sz w:val="24"/>
          <w:szCs w:val="24"/>
          <w:lang w:eastAsia="en-US"/>
        </w:rPr>
        <w:t xml:space="preserve"> tipicidad</w:t>
      </w:r>
      <w:r w:rsidR="00192DFD">
        <w:rPr>
          <w:sz w:val="24"/>
          <w:szCs w:val="24"/>
          <w:lang w:eastAsia="en-US"/>
        </w:rPr>
        <w:t xml:space="preserve"> y</w:t>
      </w:r>
      <w:r>
        <w:rPr>
          <w:sz w:val="24"/>
          <w:szCs w:val="24"/>
          <w:lang w:eastAsia="en-US"/>
        </w:rPr>
        <w:t xml:space="preserve"> correspondiéndole </w:t>
      </w:r>
      <w:r w:rsidR="00BF5C62">
        <w:rPr>
          <w:sz w:val="24"/>
          <w:szCs w:val="24"/>
          <w:lang w:eastAsia="en-US"/>
        </w:rPr>
        <w:t>la carga de la prueba a la defensa.</w:t>
      </w:r>
    </w:p>
    <w:p w:rsidR="003D79AF" w:rsidRDefault="003D79AF" w:rsidP="003D79AF">
      <w:pPr>
        <w:pStyle w:val="Prrafodelista"/>
        <w:rPr>
          <w:sz w:val="24"/>
          <w:szCs w:val="24"/>
          <w:lang w:eastAsia="en-US"/>
        </w:rPr>
      </w:pPr>
    </w:p>
    <w:p w:rsidR="003D79AF" w:rsidRDefault="003D79AF" w:rsidP="00D7073B">
      <w:pPr>
        <w:numPr>
          <w:ilvl w:val="0"/>
          <w:numId w:val="27"/>
        </w:numPr>
        <w:spacing w:line="360" w:lineRule="auto"/>
        <w:ind w:right="283"/>
        <w:jc w:val="both"/>
        <w:rPr>
          <w:sz w:val="24"/>
          <w:szCs w:val="24"/>
          <w:lang w:eastAsia="en-US"/>
        </w:rPr>
      </w:pPr>
      <w:r>
        <w:rPr>
          <w:sz w:val="24"/>
          <w:szCs w:val="24"/>
          <w:lang w:eastAsia="en-US"/>
        </w:rPr>
        <w:t>Resaltó que por medio de la sentencia profe</w:t>
      </w:r>
      <w:r w:rsidR="00BF5C62">
        <w:rPr>
          <w:sz w:val="24"/>
          <w:szCs w:val="24"/>
          <w:lang w:eastAsia="en-US"/>
        </w:rPr>
        <w:t xml:space="preserve">rida dentro del radicado 44997, se reafirmó la existencia del elemento subjetivo tácito </w:t>
      </w:r>
      <w:r w:rsidR="00B43C67">
        <w:rPr>
          <w:sz w:val="24"/>
          <w:szCs w:val="24"/>
          <w:lang w:eastAsia="en-US"/>
        </w:rPr>
        <w:t xml:space="preserve">y </w:t>
      </w:r>
      <w:r w:rsidR="00B97ECB">
        <w:rPr>
          <w:sz w:val="24"/>
          <w:szCs w:val="24"/>
          <w:lang w:eastAsia="en-US"/>
        </w:rPr>
        <w:t xml:space="preserve">el deber de la FGN de probar </w:t>
      </w:r>
      <w:r w:rsidR="00B43C67">
        <w:rPr>
          <w:sz w:val="24"/>
          <w:szCs w:val="24"/>
          <w:lang w:eastAsia="en-US"/>
        </w:rPr>
        <w:t>no solo la tenencia de la droga sino</w:t>
      </w:r>
      <w:r w:rsidR="00B97ECB">
        <w:rPr>
          <w:sz w:val="24"/>
          <w:szCs w:val="24"/>
          <w:lang w:eastAsia="en-US"/>
        </w:rPr>
        <w:t xml:space="preserve"> también</w:t>
      </w:r>
      <w:r w:rsidR="00B43C67">
        <w:rPr>
          <w:sz w:val="24"/>
          <w:szCs w:val="24"/>
          <w:lang w:eastAsia="en-US"/>
        </w:rPr>
        <w:t xml:space="preserve"> la finalidad de tráfico.</w:t>
      </w:r>
    </w:p>
    <w:p w:rsidR="00BF5C62" w:rsidRDefault="00BF5C62" w:rsidP="00BF5C62">
      <w:pPr>
        <w:pStyle w:val="Prrafodelista"/>
        <w:rPr>
          <w:sz w:val="24"/>
          <w:szCs w:val="24"/>
          <w:lang w:eastAsia="en-US"/>
        </w:rPr>
      </w:pPr>
    </w:p>
    <w:p w:rsidR="00BF5C62" w:rsidRPr="00735D4D" w:rsidRDefault="00BF5C62" w:rsidP="00735D4D">
      <w:pPr>
        <w:numPr>
          <w:ilvl w:val="0"/>
          <w:numId w:val="27"/>
        </w:numPr>
        <w:spacing w:line="360" w:lineRule="auto"/>
        <w:ind w:right="283"/>
        <w:jc w:val="both"/>
        <w:rPr>
          <w:sz w:val="24"/>
          <w:szCs w:val="24"/>
          <w:lang w:eastAsia="en-US"/>
        </w:rPr>
      </w:pPr>
      <w:r>
        <w:rPr>
          <w:sz w:val="24"/>
          <w:szCs w:val="24"/>
          <w:lang w:eastAsia="en-US"/>
        </w:rPr>
        <w:t>Por lo</w:t>
      </w:r>
      <w:r w:rsidRPr="00735D4D">
        <w:rPr>
          <w:sz w:val="24"/>
          <w:szCs w:val="24"/>
          <w:lang w:eastAsia="en-US"/>
        </w:rPr>
        <w:t xml:space="preserve"> anterior,</w:t>
      </w:r>
      <w:r w:rsidR="00E87B68" w:rsidRPr="00735D4D">
        <w:rPr>
          <w:sz w:val="24"/>
          <w:szCs w:val="24"/>
          <w:lang w:eastAsia="en-US"/>
        </w:rPr>
        <w:t xml:space="preserve"> solicitó que se decretara la prosperidad de la acción y se dictara sentencia de reemplazo absolviendo al procesado.</w:t>
      </w:r>
    </w:p>
    <w:p w:rsidR="00EC127F" w:rsidRPr="007431DD" w:rsidRDefault="00EC127F" w:rsidP="0042096D">
      <w:pPr>
        <w:pStyle w:val="Sinespaciado"/>
        <w:spacing w:line="360" w:lineRule="auto"/>
        <w:ind w:right="283"/>
        <w:jc w:val="both"/>
        <w:rPr>
          <w:rFonts w:ascii="Arial" w:hAnsi="Arial" w:cs="Arial"/>
          <w:sz w:val="24"/>
          <w:szCs w:val="24"/>
        </w:rPr>
      </w:pPr>
    </w:p>
    <w:p w:rsidR="004B1AE1" w:rsidRPr="007431DD" w:rsidRDefault="000532EE" w:rsidP="0042096D">
      <w:pPr>
        <w:pStyle w:val="Sinespaciado"/>
        <w:numPr>
          <w:ilvl w:val="1"/>
          <w:numId w:val="17"/>
        </w:numPr>
        <w:spacing w:line="360" w:lineRule="auto"/>
        <w:ind w:left="709" w:right="283" w:hanging="709"/>
        <w:jc w:val="both"/>
        <w:rPr>
          <w:rFonts w:ascii="Arial" w:hAnsi="Arial" w:cs="Arial"/>
          <w:sz w:val="24"/>
          <w:szCs w:val="24"/>
        </w:rPr>
      </w:pPr>
      <w:r w:rsidRPr="007431DD">
        <w:rPr>
          <w:rFonts w:ascii="Arial" w:hAnsi="Arial" w:cs="Arial"/>
          <w:sz w:val="24"/>
          <w:szCs w:val="24"/>
        </w:rPr>
        <w:t xml:space="preserve">DELEGADO DE LA F.G.N </w:t>
      </w:r>
      <w:r w:rsidR="009326F8">
        <w:rPr>
          <w:rFonts w:ascii="Arial" w:hAnsi="Arial" w:cs="Arial"/>
          <w:sz w:val="24"/>
          <w:szCs w:val="24"/>
        </w:rPr>
        <w:t>(Sinopsis)</w:t>
      </w:r>
    </w:p>
    <w:p w:rsidR="00F74388" w:rsidRDefault="009326F8" w:rsidP="00AB0483">
      <w:pPr>
        <w:pStyle w:val="Sinespaciado"/>
        <w:numPr>
          <w:ilvl w:val="0"/>
          <w:numId w:val="28"/>
        </w:numPr>
        <w:spacing w:before="240" w:line="360" w:lineRule="auto"/>
        <w:ind w:right="283"/>
        <w:jc w:val="both"/>
        <w:rPr>
          <w:rFonts w:ascii="Arial" w:hAnsi="Arial" w:cs="Arial"/>
          <w:sz w:val="24"/>
          <w:szCs w:val="24"/>
        </w:rPr>
      </w:pPr>
      <w:r>
        <w:rPr>
          <w:rFonts w:ascii="Arial" w:hAnsi="Arial" w:cs="Arial"/>
          <w:sz w:val="24"/>
          <w:szCs w:val="24"/>
        </w:rPr>
        <w:t>Afirmó que el Ministerio P</w:t>
      </w:r>
      <w:r w:rsidR="002D11D6">
        <w:rPr>
          <w:rFonts w:ascii="Arial" w:hAnsi="Arial" w:cs="Arial"/>
          <w:sz w:val="24"/>
          <w:szCs w:val="24"/>
        </w:rPr>
        <w:t>úblico había acreditado los requisitos de procedencia para la acción de revisión</w:t>
      </w:r>
      <w:r w:rsidR="008806FD">
        <w:rPr>
          <w:rFonts w:ascii="Arial" w:hAnsi="Arial" w:cs="Arial"/>
          <w:sz w:val="24"/>
          <w:szCs w:val="24"/>
        </w:rPr>
        <w:t>.</w:t>
      </w:r>
    </w:p>
    <w:p w:rsidR="004D5286" w:rsidRDefault="004D5286" w:rsidP="00AB0483">
      <w:pPr>
        <w:pStyle w:val="Sinespaciado"/>
        <w:numPr>
          <w:ilvl w:val="0"/>
          <w:numId w:val="28"/>
        </w:numPr>
        <w:spacing w:before="240" w:after="240" w:line="360" w:lineRule="auto"/>
        <w:ind w:right="283"/>
        <w:jc w:val="both"/>
        <w:rPr>
          <w:rFonts w:ascii="Arial" w:hAnsi="Arial" w:cs="Arial"/>
          <w:sz w:val="24"/>
          <w:szCs w:val="24"/>
        </w:rPr>
      </w:pPr>
      <w:r>
        <w:rPr>
          <w:rFonts w:ascii="Arial" w:hAnsi="Arial" w:cs="Arial"/>
          <w:sz w:val="24"/>
          <w:szCs w:val="24"/>
        </w:rPr>
        <w:t xml:space="preserve">Señaló que la Fiscalía tenía la carga de probar </w:t>
      </w:r>
      <w:r w:rsidR="00CE73E9">
        <w:rPr>
          <w:rFonts w:ascii="Arial" w:hAnsi="Arial" w:cs="Arial"/>
          <w:sz w:val="24"/>
          <w:szCs w:val="24"/>
        </w:rPr>
        <w:t>todos los elementos del tipo, así, debía demostrar que</w:t>
      </w:r>
      <w:r>
        <w:rPr>
          <w:rFonts w:ascii="Arial" w:hAnsi="Arial" w:cs="Arial"/>
          <w:sz w:val="24"/>
          <w:szCs w:val="24"/>
        </w:rPr>
        <w:t xml:space="preserve"> la conducta que se atribuyó a título de presunción estaba verificada probatoriamente</w:t>
      </w:r>
      <w:r w:rsidR="009326F8">
        <w:rPr>
          <w:rFonts w:ascii="Arial" w:hAnsi="Arial" w:cs="Arial"/>
          <w:sz w:val="24"/>
          <w:szCs w:val="24"/>
        </w:rPr>
        <w:t xml:space="preserve">, como se dijo en la sentencia con radicado 44997 del 11 de julio de 2017. </w:t>
      </w:r>
    </w:p>
    <w:p w:rsidR="00CE73E9" w:rsidRDefault="00CE73E9" w:rsidP="00AB0483">
      <w:pPr>
        <w:pStyle w:val="Sinespaciado"/>
        <w:numPr>
          <w:ilvl w:val="0"/>
          <w:numId w:val="28"/>
        </w:numPr>
        <w:spacing w:after="240" w:line="360" w:lineRule="auto"/>
        <w:ind w:right="283"/>
        <w:jc w:val="both"/>
        <w:rPr>
          <w:rFonts w:ascii="Arial" w:hAnsi="Arial" w:cs="Arial"/>
          <w:sz w:val="24"/>
          <w:szCs w:val="24"/>
        </w:rPr>
      </w:pPr>
      <w:r>
        <w:rPr>
          <w:rFonts w:ascii="Arial" w:hAnsi="Arial" w:cs="Arial"/>
          <w:sz w:val="24"/>
          <w:szCs w:val="24"/>
        </w:rPr>
        <w:t>Advirtió que por cuanto no era posible para la FGN probar la intención de distribución, debía admitirse que el porte de estupefacientes estaba destinado al consumo personal.</w:t>
      </w:r>
    </w:p>
    <w:p w:rsidR="00CE73E9" w:rsidRDefault="00CE73E9" w:rsidP="00AB0483">
      <w:pPr>
        <w:pStyle w:val="Sinespaciado"/>
        <w:numPr>
          <w:ilvl w:val="0"/>
          <w:numId w:val="28"/>
        </w:numPr>
        <w:spacing w:before="240" w:line="360" w:lineRule="auto"/>
        <w:ind w:right="283"/>
        <w:jc w:val="both"/>
        <w:rPr>
          <w:rFonts w:ascii="Arial" w:hAnsi="Arial" w:cs="Arial"/>
          <w:sz w:val="24"/>
          <w:szCs w:val="24"/>
        </w:rPr>
      </w:pPr>
      <w:r>
        <w:rPr>
          <w:rFonts w:ascii="Arial" w:hAnsi="Arial" w:cs="Arial"/>
          <w:sz w:val="24"/>
          <w:szCs w:val="24"/>
        </w:rPr>
        <w:t>Con base en ello</w:t>
      </w:r>
      <w:r w:rsidR="0083339A">
        <w:rPr>
          <w:rFonts w:ascii="Arial" w:hAnsi="Arial" w:cs="Arial"/>
          <w:sz w:val="24"/>
          <w:szCs w:val="24"/>
        </w:rPr>
        <w:t xml:space="preserve"> solicitó que se revisara la sent</w:t>
      </w:r>
      <w:r w:rsidR="00AB0483">
        <w:rPr>
          <w:rFonts w:ascii="Arial" w:hAnsi="Arial" w:cs="Arial"/>
          <w:sz w:val="24"/>
          <w:szCs w:val="24"/>
        </w:rPr>
        <w:t>encia con el fin de proferir un fallo absolutorio</w:t>
      </w:r>
      <w:r w:rsidR="0083339A">
        <w:rPr>
          <w:rFonts w:ascii="Arial" w:hAnsi="Arial" w:cs="Arial"/>
          <w:sz w:val="24"/>
          <w:szCs w:val="24"/>
        </w:rPr>
        <w:t>.</w:t>
      </w:r>
    </w:p>
    <w:p w:rsidR="004A0285" w:rsidRPr="007431DD" w:rsidRDefault="00F74388" w:rsidP="00AB0483">
      <w:pPr>
        <w:pStyle w:val="Sinespaciado"/>
        <w:numPr>
          <w:ilvl w:val="1"/>
          <w:numId w:val="17"/>
        </w:numPr>
        <w:spacing w:before="240" w:line="360" w:lineRule="auto"/>
        <w:ind w:left="709" w:right="283" w:hanging="709"/>
        <w:jc w:val="both"/>
        <w:rPr>
          <w:rFonts w:ascii="Arial" w:hAnsi="Arial" w:cs="Arial"/>
          <w:sz w:val="24"/>
          <w:szCs w:val="24"/>
        </w:rPr>
      </w:pPr>
      <w:r w:rsidRPr="007431DD">
        <w:rPr>
          <w:rFonts w:ascii="Arial" w:hAnsi="Arial" w:cs="Arial"/>
          <w:sz w:val="24"/>
          <w:szCs w:val="24"/>
        </w:rPr>
        <w:t>DEFENSOR</w:t>
      </w:r>
      <w:r w:rsidR="009326F8">
        <w:rPr>
          <w:rFonts w:ascii="Arial" w:hAnsi="Arial" w:cs="Arial"/>
          <w:sz w:val="24"/>
          <w:szCs w:val="24"/>
        </w:rPr>
        <w:t>A DEL PROCESADO</w:t>
      </w:r>
    </w:p>
    <w:p w:rsidR="00380BAA" w:rsidRDefault="0083339A" w:rsidP="00AB0483">
      <w:pPr>
        <w:pStyle w:val="Sinespaciado"/>
        <w:numPr>
          <w:ilvl w:val="0"/>
          <w:numId w:val="29"/>
        </w:numPr>
        <w:spacing w:before="240" w:line="360" w:lineRule="auto"/>
        <w:ind w:right="283"/>
        <w:jc w:val="both"/>
        <w:rPr>
          <w:rFonts w:ascii="Arial" w:hAnsi="Arial" w:cs="Arial"/>
          <w:sz w:val="24"/>
          <w:szCs w:val="24"/>
        </w:rPr>
      </w:pPr>
      <w:r w:rsidRPr="00380BAA">
        <w:rPr>
          <w:rFonts w:ascii="Arial" w:hAnsi="Arial" w:cs="Arial"/>
          <w:sz w:val="24"/>
          <w:szCs w:val="24"/>
        </w:rPr>
        <w:t xml:space="preserve">Manifestó que el señor Monsalve Santamaría fue condenado </w:t>
      </w:r>
      <w:r w:rsidR="00380BAA" w:rsidRPr="00380BAA">
        <w:rPr>
          <w:rFonts w:ascii="Arial" w:hAnsi="Arial" w:cs="Arial"/>
          <w:sz w:val="24"/>
          <w:szCs w:val="24"/>
        </w:rPr>
        <w:t xml:space="preserve">a 40 meses de prisión </w:t>
      </w:r>
      <w:r w:rsidRPr="00380BAA">
        <w:rPr>
          <w:rFonts w:ascii="Arial" w:hAnsi="Arial" w:cs="Arial"/>
          <w:sz w:val="24"/>
          <w:szCs w:val="24"/>
        </w:rPr>
        <w:t xml:space="preserve">por el Juzgado Cuarto Penal del Circuito el 12 de </w:t>
      </w:r>
      <w:r w:rsidR="00512541">
        <w:rPr>
          <w:rFonts w:ascii="Arial" w:hAnsi="Arial" w:cs="Arial"/>
          <w:sz w:val="24"/>
          <w:szCs w:val="24"/>
        </w:rPr>
        <w:t xml:space="preserve">marzo de 2012, </w:t>
      </w:r>
      <w:r w:rsidRPr="00380BAA">
        <w:rPr>
          <w:rFonts w:ascii="Arial" w:hAnsi="Arial" w:cs="Arial"/>
          <w:sz w:val="24"/>
          <w:szCs w:val="24"/>
        </w:rPr>
        <w:t xml:space="preserve"> </w:t>
      </w:r>
      <w:r w:rsidRPr="00380BAA">
        <w:rPr>
          <w:rFonts w:ascii="Arial" w:hAnsi="Arial" w:cs="Arial"/>
          <w:sz w:val="24"/>
          <w:szCs w:val="24"/>
        </w:rPr>
        <w:lastRenderedPageBreak/>
        <w:t xml:space="preserve">posteriormente el juzgado de ejecución de penas </w:t>
      </w:r>
      <w:r w:rsidR="00380BAA" w:rsidRPr="00380BAA">
        <w:rPr>
          <w:rFonts w:ascii="Arial" w:hAnsi="Arial" w:cs="Arial"/>
          <w:sz w:val="24"/>
          <w:szCs w:val="24"/>
        </w:rPr>
        <w:t>le concedi</w:t>
      </w:r>
      <w:r w:rsidR="00380BAA">
        <w:rPr>
          <w:rFonts w:ascii="Arial" w:hAnsi="Arial" w:cs="Arial"/>
          <w:sz w:val="24"/>
          <w:szCs w:val="24"/>
        </w:rPr>
        <w:t>ó</w:t>
      </w:r>
      <w:r w:rsidR="00380BAA" w:rsidRPr="00380BAA">
        <w:rPr>
          <w:rFonts w:ascii="Arial" w:hAnsi="Arial" w:cs="Arial"/>
          <w:sz w:val="24"/>
          <w:szCs w:val="24"/>
        </w:rPr>
        <w:t xml:space="preserve"> prisión domiciliaria</w:t>
      </w:r>
      <w:r w:rsidR="00380BAA">
        <w:rPr>
          <w:rFonts w:ascii="Arial" w:hAnsi="Arial" w:cs="Arial"/>
          <w:sz w:val="24"/>
          <w:szCs w:val="24"/>
        </w:rPr>
        <w:t xml:space="preserve"> por haber cumplido la mitad de la condena, conforme a lo establecido en la Ley 1709 artículo 38G y posteriormente la libertad condicional</w:t>
      </w:r>
      <w:r w:rsidR="00512541">
        <w:rPr>
          <w:rFonts w:ascii="Arial" w:hAnsi="Arial" w:cs="Arial"/>
          <w:sz w:val="24"/>
          <w:szCs w:val="24"/>
        </w:rPr>
        <w:t>.</w:t>
      </w:r>
    </w:p>
    <w:p w:rsidR="00380BAA" w:rsidRDefault="00380BAA" w:rsidP="00AB0483">
      <w:pPr>
        <w:pStyle w:val="Sinespaciado"/>
        <w:numPr>
          <w:ilvl w:val="0"/>
          <w:numId w:val="29"/>
        </w:numPr>
        <w:spacing w:before="240" w:line="360" w:lineRule="auto"/>
        <w:ind w:right="283"/>
        <w:jc w:val="both"/>
        <w:rPr>
          <w:rFonts w:ascii="Arial" w:hAnsi="Arial" w:cs="Arial"/>
          <w:sz w:val="24"/>
          <w:szCs w:val="24"/>
        </w:rPr>
      </w:pPr>
      <w:r w:rsidRPr="00380BAA">
        <w:rPr>
          <w:rFonts w:ascii="Arial" w:hAnsi="Arial" w:cs="Arial"/>
          <w:sz w:val="24"/>
          <w:szCs w:val="24"/>
        </w:rPr>
        <w:t xml:space="preserve">Resaltó </w:t>
      </w:r>
      <w:r w:rsidR="00512541">
        <w:rPr>
          <w:rFonts w:ascii="Arial" w:hAnsi="Arial" w:cs="Arial"/>
          <w:sz w:val="24"/>
          <w:szCs w:val="24"/>
        </w:rPr>
        <w:t xml:space="preserve">la importancia del </w:t>
      </w:r>
      <w:r w:rsidRPr="00380BAA">
        <w:rPr>
          <w:rFonts w:ascii="Arial" w:hAnsi="Arial" w:cs="Arial"/>
          <w:sz w:val="24"/>
          <w:szCs w:val="24"/>
        </w:rPr>
        <w:t>trabajo</w:t>
      </w:r>
      <w:r w:rsidR="004047CD">
        <w:rPr>
          <w:rFonts w:ascii="Arial" w:hAnsi="Arial" w:cs="Arial"/>
          <w:sz w:val="24"/>
          <w:szCs w:val="24"/>
        </w:rPr>
        <w:t xml:space="preserve"> del Ministerio P</w:t>
      </w:r>
      <w:r w:rsidR="00512541">
        <w:rPr>
          <w:rFonts w:ascii="Arial" w:hAnsi="Arial" w:cs="Arial"/>
          <w:sz w:val="24"/>
          <w:szCs w:val="24"/>
        </w:rPr>
        <w:t>úblico al solicitar las acciones de revisión por cambio del precedente, puesto que muchas personas que se encontraban condenadas debían ser absueltas por cuenta del cambio favorable de criterio jurídico.</w:t>
      </w:r>
    </w:p>
    <w:p w:rsidR="00512541" w:rsidRPr="00380BAA" w:rsidRDefault="00512541" w:rsidP="007778C7">
      <w:pPr>
        <w:pStyle w:val="Sinespaciado"/>
        <w:spacing w:line="360" w:lineRule="auto"/>
        <w:ind w:left="720" w:right="283"/>
        <w:jc w:val="both"/>
        <w:rPr>
          <w:rFonts w:ascii="Arial" w:hAnsi="Arial" w:cs="Arial"/>
          <w:sz w:val="24"/>
          <w:szCs w:val="24"/>
        </w:rPr>
      </w:pPr>
    </w:p>
    <w:p w:rsidR="00742D85" w:rsidRPr="007431DD" w:rsidRDefault="00742D85" w:rsidP="0042096D">
      <w:pPr>
        <w:pStyle w:val="Sinespaciado"/>
        <w:spacing w:line="360" w:lineRule="auto"/>
        <w:ind w:right="283"/>
        <w:jc w:val="both"/>
        <w:rPr>
          <w:rFonts w:ascii="Arial" w:hAnsi="Arial" w:cs="Arial"/>
          <w:sz w:val="24"/>
          <w:szCs w:val="24"/>
        </w:rPr>
      </w:pPr>
    </w:p>
    <w:p w:rsidR="00B22C12" w:rsidRPr="007431DD" w:rsidRDefault="00240980" w:rsidP="0042096D">
      <w:pPr>
        <w:pStyle w:val="Prrafodelista"/>
        <w:numPr>
          <w:ilvl w:val="0"/>
          <w:numId w:val="17"/>
        </w:numPr>
        <w:spacing w:line="360" w:lineRule="auto"/>
        <w:ind w:right="283"/>
        <w:jc w:val="center"/>
        <w:rPr>
          <w:sz w:val="24"/>
          <w:szCs w:val="24"/>
        </w:rPr>
      </w:pPr>
      <w:r w:rsidRPr="007431DD">
        <w:rPr>
          <w:sz w:val="24"/>
          <w:szCs w:val="24"/>
        </w:rPr>
        <w:t>CONSIDERACIONES</w:t>
      </w:r>
      <w:r w:rsidR="00067028" w:rsidRPr="007431DD">
        <w:rPr>
          <w:sz w:val="24"/>
          <w:szCs w:val="24"/>
        </w:rPr>
        <w:t xml:space="preserve"> DE LA SALA</w:t>
      </w:r>
    </w:p>
    <w:p w:rsidR="00502261" w:rsidRPr="007431DD" w:rsidRDefault="00502261" w:rsidP="0042096D">
      <w:pPr>
        <w:pStyle w:val="Prrafodelista"/>
        <w:spacing w:line="360" w:lineRule="auto"/>
        <w:ind w:right="283"/>
        <w:rPr>
          <w:sz w:val="24"/>
          <w:szCs w:val="24"/>
        </w:rPr>
      </w:pPr>
    </w:p>
    <w:p w:rsidR="00916631" w:rsidRPr="007431DD" w:rsidRDefault="00B22C12" w:rsidP="0042096D">
      <w:pPr>
        <w:pStyle w:val="Prrafodelista"/>
        <w:numPr>
          <w:ilvl w:val="1"/>
          <w:numId w:val="17"/>
        </w:numPr>
        <w:tabs>
          <w:tab w:val="left" w:pos="0"/>
        </w:tabs>
        <w:spacing w:before="240" w:after="240" w:line="360" w:lineRule="auto"/>
        <w:ind w:left="0" w:right="283" w:firstLine="0"/>
        <w:jc w:val="both"/>
        <w:rPr>
          <w:rFonts w:eastAsia="Adobe Gothic Std B"/>
          <w:sz w:val="24"/>
          <w:szCs w:val="24"/>
        </w:rPr>
      </w:pPr>
      <w:r w:rsidRPr="007431DD">
        <w:rPr>
          <w:sz w:val="24"/>
          <w:szCs w:val="24"/>
        </w:rPr>
        <w:t xml:space="preserve">Esta Colegiatura es competente para decidir la presente </w:t>
      </w:r>
      <w:r w:rsidR="002F4234" w:rsidRPr="007431DD">
        <w:rPr>
          <w:sz w:val="24"/>
          <w:szCs w:val="24"/>
        </w:rPr>
        <w:t>acción,</w:t>
      </w:r>
      <w:r w:rsidR="00240980" w:rsidRPr="007431DD">
        <w:rPr>
          <w:sz w:val="24"/>
          <w:szCs w:val="24"/>
        </w:rPr>
        <w:t xml:space="preserve"> con base en </w:t>
      </w:r>
      <w:r w:rsidR="002F4234" w:rsidRPr="007431DD">
        <w:rPr>
          <w:sz w:val="24"/>
          <w:szCs w:val="24"/>
        </w:rPr>
        <w:t>lo dispuesto en el numeral 3</w:t>
      </w:r>
      <w:r w:rsidR="00236AC1" w:rsidRPr="007431DD">
        <w:rPr>
          <w:sz w:val="24"/>
          <w:szCs w:val="24"/>
        </w:rPr>
        <w:t xml:space="preserve"> </w:t>
      </w:r>
      <w:r w:rsidR="002F4234" w:rsidRPr="007431DD">
        <w:rPr>
          <w:rFonts w:eastAsia="Adobe Gothic Std B"/>
          <w:sz w:val="24"/>
          <w:szCs w:val="24"/>
        </w:rPr>
        <w:t>del artículo 34 del C.P.P.;</w:t>
      </w:r>
      <w:r w:rsidR="00236AC1" w:rsidRPr="007431DD">
        <w:rPr>
          <w:rFonts w:eastAsia="Adobe Gothic Std B"/>
          <w:sz w:val="24"/>
          <w:szCs w:val="24"/>
        </w:rPr>
        <w:t xml:space="preserve"> ya que la sentencia cuya revisión se solicita fue dictada por el Juzgado</w:t>
      </w:r>
      <w:r w:rsidR="002F4234" w:rsidRPr="007431DD">
        <w:rPr>
          <w:rFonts w:eastAsia="Adobe Gothic Std B"/>
          <w:sz w:val="24"/>
          <w:szCs w:val="24"/>
        </w:rPr>
        <w:t xml:space="preserve"> </w:t>
      </w:r>
      <w:r w:rsidR="00632143">
        <w:rPr>
          <w:rFonts w:eastAsia="Adobe Gothic Std B"/>
          <w:sz w:val="24"/>
          <w:szCs w:val="24"/>
        </w:rPr>
        <w:t>Cuarto</w:t>
      </w:r>
      <w:r w:rsidR="00236AC1" w:rsidRPr="007431DD">
        <w:rPr>
          <w:rFonts w:eastAsia="Adobe Gothic Std B"/>
          <w:sz w:val="24"/>
          <w:szCs w:val="24"/>
        </w:rPr>
        <w:t xml:space="preserve"> </w:t>
      </w:r>
      <w:r w:rsidR="001C4823" w:rsidRPr="007431DD">
        <w:rPr>
          <w:rFonts w:eastAsia="Adobe Gothic Std B"/>
          <w:sz w:val="24"/>
          <w:szCs w:val="24"/>
        </w:rPr>
        <w:t xml:space="preserve">Penal </w:t>
      </w:r>
      <w:r w:rsidR="002F4234" w:rsidRPr="007431DD">
        <w:rPr>
          <w:rFonts w:eastAsia="Adobe Gothic Std B"/>
          <w:sz w:val="24"/>
          <w:szCs w:val="24"/>
        </w:rPr>
        <w:t xml:space="preserve">del </w:t>
      </w:r>
      <w:r w:rsidR="00346A17" w:rsidRPr="007431DD">
        <w:rPr>
          <w:rFonts w:eastAsia="Adobe Gothic Std B"/>
          <w:sz w:val="24"/>
          <w:szCs w:val="24"/>
        </w:rPr>
        <w:t>Circuito de Pereira (Risaralda)</w:t>
      </w:r>
      <w:r w:rsidR="00632143">
        <w:rPr>
          <w:rFonts w:eastAsia="Adobe Gothic Std B"/>
          <w:sz w:val="24"/>
          <w:szCs w:val="24"/>
        </w:rPr>
        <w:t xml:space="preserve"> el 12</w:t>
      </w:r>
      <w:r w:rsidR="002F4234" w:rsidRPr="007431DD">
        <w:rPr>
          <w:rFonts w:eastAsia="Adobe Gothic Std B"/>
          <w:sz w:val="24"/>
          <w:szCs w:val="24"/>
        </w:rPr>
        <w:t xml:space="preserve"> de </w:t>
      </w:r>
      <w:r w:rsidR="00632143">
        <w:rPr>
          <w:rFonts w:eastAsia="Adobe Gothic Std B"/>
          <w:sz w:val="24"/>
          <w:szCs w:val="24"/>
        </w:rPr>
        <w:t>marzo de 2012</w:t>
      </w:r>
      <w:r w:rsidR="00236AC1" w:rsidRPr="007431DD">
        <w:rPr>
          <w:rFonts w:eastAsia="Adobe Gothic Std B"/>
          <w:sz w:val="24"/>
          <w:szCs w:val="24"/>
        </w:rPr>
        <w:t>.</w:t>
      </w:r>
    </w:p>
    <w:p w:rsidR="00916631" w:rsidRPr="007431DD" w:rsidRDefault="00916631" w:rsidP="0042096D">
      <w:pPr>
        <w:pStyle w:val="Prrafodelista"/>
        <w:tabs>
          <w:tab w:val="left" w:pos="0"/>
        </w:tabs>
        <w:spacing w:before="240" w:after="240" w:line="360" w:lineRule="auto"/>
        <w:ind w:left="0" w:right="283"/>
        <w:jc w:val="both"/>
        <w:rPr>
          <w:rFonts w:eastAsia="Adobe Gothic Std B"/>
          <w:sz w:val="24"/>
          <w:szCs w:val="24"/>
        </w:rPr>
      </w:pPr>
    </w:p>
    <w:p w:rsidR="00C103F8" w:rsidRPr="007431DD" w:rsidRDefault="002F4234" w:rsidP="0042096D">
      <w:pPr>
        <w:pStyle w:val="Prrafodelista"/>
        <w:numPr>
          <w:ilvl w:val="1"/>
          <w:numId w:val="17"/>
        </w:numPr>
        <w:tabs>
          <w:tab w:val="left" w:pos="0"/>
        </w:tabs>
        <w:spacing w:before="240" w:after="240" w:line="360" w:lineRule="auto"/>
        <w:ind w:left="0" w:right="283" w:firstLine="0"/>
        <w:jc w:val="both"/>
        <w:rPr>
          <w:rFonts w:eastAsia="Adobe Gothic Std B"/>
          <w:sz w:val="24"/>
          <w:szCs w:val="24"/>
        </w:rPr>
      </w:pPr>
      <w:r w:rsidRPr="007431DD">
        <w:rPr>
          <w:rFonts w:eastAsia="Adobe Gothic Std B"/>
          <w:sz w:val="24"/>
          <w:szCs w:val="24"/>
        </w:rPr>
        <w:t>E</w:t>
      </w:r>
      <w:r w:rsidR="00236AC1" w:rsidRPr="007431DD">
        <w:rPr>
          <w:rFonts w:eastAsia="Adobe Gothic Std B"/>
          <w:sz w:val="24"/>
          <w:szCs w:val="24"/>
        </w:rPr>
        <w:t>n consecuencia</w:t>
      </w:r>
      <w:r w:rsidRPr="007431DD">
        <w:rPr>
          <w:rFonts w:eastAsia="Adobe Gothic Std B"/>
          <w:sz w:val="24"/>
          <w:szCs w:val="24"/>
        </w:rPr>
        <w:t>,</w:t>
      </w:r>
      <w:r w:rsidR="00236AC1" w:rsidRPr="007431DD">
        <w:rPr>
          <w:rFonts w:eastAsia="Adobe Gothic Std B"/>
          <w:sz w:val="24"/>
          <w:szCs w:val="24"/>
        </w:rPr>
        <w:t xml:space="preserve"> se debe decidir si en el caso </w:t>
      </w:r>
      <w:r w:rsidR="00236AC1" w:rsidRPr="007431DD">
        <w:rPr>
          <w:rFonts w:eastAsia="Adobe Gothic Std B"/>
          <w:i/>
          <w:sz w:val="24"/>
          <w:szCs w:val="24"/>
        </w:rPr>
        <w:t xml:space="preserve">sub lite </w:t>
      </w:r>
      <w:r w:rsidR="007F18AA" w:rsidRPr="007431DD">
        <w:rPr>
          <w:rFonts w:eastAsia="Adobe Gothic Std B"/>
          <w:sz w:val="24"/>
          <w:szCs w:val="24"/>
        </w:rPr>
        <w:t>se demostraron los presupuestos de procedencia de</w:t>
      </w:r>
      <w:r w:rsidR="00236AC1" w:rsidRPr="007431DD">
        <w:rPr>
          <w:rFonts w:eastAsia="Adobe Gothic Std B"/>
          <w:sz w:val="24"/>
          <w:szCs w:val="24"/>
        </w:rPr>
        <w:t xml:space="preserve"> la causal establecida en el numeral </w:t>
      </w:r>
      <w:r w:rsidRPr="007431DD">
        <w:rPr>
          <w:rFonts w:eastAsia="Adobe Gothic Std B"/>
          <w:sz w:val="24"/>
          <w:szCs w:val="24"/>
          <w:lang w:val="es-ES"/>
        </w:rPr>
        <w:t>7</w:t>
      </w:r>
      <w:r w:rsidR="00ED28C7" w:rsidRPr="007431DD">
        <w:rPr>
          <w:rFonts w:eastAsia="Adobe Gothic Std B"/>
          <w:sz w:val="24"/>
          <w:szCs w:val="24"/>
          <w:lang w:val="es-ES"/>
        </w:rPr>
        <w:t xml:space="preserve"> del artículo 192 C.P.P. </w:t>
      </w:r>
      <w:r w:rsidR="007F18AA" w:rsidRPr="007431DD">
        <w:rPr>
          <w:rFonts w:eastAsia="Adobe Gothic Std B"/>
          <w:sz w:val="24"/>
          <w:szCs w:val="24"/>
          <w:lang w:val="es-ES"/>
        </w:rPr>
        <w:t>y por tanto sería viable dejar sin efecto la sentencia objeto de revisión.</w:t>
      </w:r>
    </w:p>
    <w:p w:rsidR="00C103F8" w:rsidRPr="007431DD" w:rsidRDefault="00C103F8" w:rsidP="0042096D">
      <w:pPr>
        <w:pStyle w:val="Prrafodelista"/>
        <w:spacing w:line="360" w:lineRule="auto"/>
        <w:ind w:right="283"/>
        <w:rPr>
          <w:rFonts w:eastAsia="Adobe Gothic Std B"/>
          <w:sz w:val="24"/>
          <w:szCs w:val="24"/>
          <w:lang w:val="es-ES"/>
        </w:rPr>
      </w:pPr>
    </w:p>
    <w:p w:rsidR="00F853FB" w:rsidRPr="007431DD" w:rsidRDefault="00864522" w:rsidP="0042096D">
      <w:pPr>
        <w:pStyle w:val="Prrafodelista"/>
        <w:numPr>
          <w:ilvl w:val="1"/>
          <w:numId w:val="17"/>
        </w:numPr>
        <w:tabs>
          <w:tab w:val="left" w:pos="0"/>
        </w:tabs>
        <w:spacing w:before="240" w:after="240" w:line="360" w:lineRule="auto"/>
        <w:ind w:left="0" w:right="283" w:firstLine="0"/>
        <w:jc w:val="both"/>
        <w:rPr>
          <w:rFonts w:eastAsia="Adobe Gothic Std B"/>
          <w:sz w:val="24"/>
          <w:szCs w:val="24"/>
        </w:rPr>
      </w:pPr>
      <w:r w:rsidRPr="007431DD">
        <w:rPr>
          <w:rFonts w:eastAsia="Adobe Gothic Std B"/>
          <w:sz w:val="24"/>
          <w:szCs w:val="24"/>
          <w:lang w:val="es-ES"/>
        </w:rPr>
        <w:t xml:space="preserve">En el caso </w:t>
      </w:r>
      <w:r w:rsidRPr="007431DD">
        <w:rPr>
          <w:rFonts w:eastAsia="Adobe Gothic Std B"/>
          <w:i/>
          <w:sz w:val="24"/>
          <w:szCs w:val="24"/>
          <w:lang w:val="es-ES"/>
        </w:rPr>
        <w:t xml:space="preserve">sub examen, </w:t>
      </w:r>
      <w:r w:rsidR="00EA4FA6" w:rsidRPr="007431DD">
        <w:rPr>
          <w:rFonts w:eastAsia="Adobe Gothic Std B"/>
          <w:sz w:val="24"/>
          <w:szCs w:val="24"/>
          <w:lang w:val="es-ES"/>
        </w:rPr>
        <w:t xml:space="preserve">se parte de que el </w:t>
      </w:r>
      <w:r w:rsidRPr="007431DD">
        <w:rPr>
          <w:rFonts w:eastAsia="Adobe Gothic Std B"/>
          <w:sz w:val="24"/>
          <w:szCs w:val="24"/>
          <w:lang w:val="es-ES"/>
        </w:rPr>
        <w:t xml:space="preserve">señor </w:t>
      </w:r>
      <w:r w:rsidR="00632143">
        <w:rPr>
          <w:rFonts w:eastAsia="Adobe Gothic Std B"/>
          <w:sz w:val="24"/>
          <w:szCs w:val="24"/>
          <w:lang w:val="es-ES"/>
        </w:rPr>
        <w:t xml:space="preserve">Monsalve Santamaría </w:t>
      </w:r>
      <w:r w:rsidR="000D0E0D" w:rsidRPr="007431DD">
        <w:rPr>
          <w:rFonts w:eastAsia="Adobe Gothic Std B"/>
          <w:sz w:val="24"/>
          <w:szCs w:val="24"/>
          <w:lang w:val="es-ES"/>
        </w:rPr>
        <w:t xml:space="preserve">fue condenado por el Juzgado </w:t>
      </w:r>
      <w:r w:rsidR="00632143">
        <w:rPr>
          <w:rFonts w:eastAsia="Adobe Gothic Std B"/>
          <w:sz w:val="24"/>
          <w:szCs w:val="24"/>
          <w:lang w:val="es-ES"/>
        </w:rPr>
        <w:t>Cuarto</w:t>
      </w:r>
      <w:r w:rsidR="00984719" w:rsidRPr="007431DD">
        <w:rPr>
          <w:rFonts w:eastAsia="Adobe Gothic Std B"/>
          <w:sz w:val="24"/>
          <w:szCs w:val="24"/>
          <w:lang w:val="es-ES"/>
        </w:rPr>
        <w:t xml:space="preserve"> Penal del Circuito </w:t>
      </w:r>
      <w:r w:rsidR="00323DC3" w:rsidRPr="007431DD">
        <w:rPr>
          <w:rFonts w:eastAsia="Adobe Gothic Std B"/>
          <w:sz w:val="24"/>
          <w:szCs w:val="24"/>
          <w:lang w:val="es-ES"/>
        </w:rPr>
        <w:t>de Pereira</w:t>
      </w:r>
      <w:r w:rsidR="00984719" w:rsidRPr="007431DD">
        <w:rPr>
          <w:rFonts w:eastAsia="Adobe Gothic Std B"/>
          <w:sz w:val="24"/>
          <w:szCs w:val="24"/>
          <w:lang w:val="es-ES"/>
        </w:rPr>
        <w:t xml:space="preserve"> (Risaralda)</w:t>
      </w:r>
      <w:r w:rsidR="004C6C7A" w:rsidRPr="007431DD">
        <w:rPr>
          <w:rFonts w:eastAsia="Adobe Gothic Std B"/>
          <w:sz w:val="24"/>
          <w:szCs w:val="24"/>
          <w:lang w:val="es-ES"/>
        </w:rPr>
        <w:t xml:space="preserve"> el </w:t>
      </w:r>
      <w:r w:rsidR="00632143">
        <w:rPr>
          <w:rFonts w:eastAsia="Adobe Gothic Std B"/>
          <w:sz w:val="24"/>
          <w:szCs w:val="24"/>
          <w:lang w:val="es-ES"/>
        </w:rPr>
        <w:t>12</w:t>
      </w:r>
      <w:r w:rsidR="004C6C7A" w:rsidRPr="007431DD">
        <w:rPr>
          <w:rFonts w:eastAsia="Adobe Gothic Std B"/>
          <w:sz w:val="24"/>
          <w:szCs w:val="24"/>
          <w:lang w:val="es-ES"/>
        </w:rPr>
        <w:t xml:space="preserve"> de </w:t>
      </w:r>
      <w:r w:rsidR="00632143">
        <w:rPr>
          <w:rFonts w:eastAsia="Adobe Gothic Std B"/>
          <w:sz w:val="24"/>
          <w:szCs w:val="24"/>
          <w:lang w:val="es-ES"/>
        </w:rPr>
        <w:t>marzo de 2012</w:t>
      </w:r>
      <w:r w:rsidR="00984719" w:rsidRPr="007431DD">
        <w:rPr>
          <w:rFonts w:eastAsia="Adobe Gothic Std B"/>
          <w:sz w:val="24"/>
          <w:szCs w:val="24"/>
          <w:lang w:val="es-ES"/>
        </w:rPr>
        <w:t>,</w:t>
      </w:r>
      <w:r w:rsidR="004C6C7A" w:rsidRPr="007431DD">
        <w:rPr>
          <w:rFonts w:eastAsia="Adobe Gothic Std B"/>
          <w:sz w:val="24"/>
          <w:szCs w:val="24"/>
          <w:lang w:val="es-ES"/>
        </w:rPr>
        <w:t xml:space="preserve"> a la pena</w:t>
      </w:r>
      <w:r w:rsidR="00AA1945" w:rsidRPr="007431DD">
        <w:rPr>
          <w:rFonts w:eastAsia="Adobe Gothic Std B"/>
          <w:sz w:val="24"/>
          <w:szCs w:val="24"/>
          <w:lang w:val="es-ES"/>
        </w:rPr>
        <w:t xml:space="preserve"> principal</w:t>
      </w:r>
      <w:r w:rsidR="004C6C7A" w:rsidRPr="007431DD">
        <w:rPr>
          <w:rFonts w:eastAsia="Adobe Gothic Std B"/>
          <w:sz w:val="24"/>
          <w:szCs w:val="24"/>
          <w:lang w:val="es-ES"/>
        </w:rPr>
        <w:t xml:space="preserve"> </w:t>
      </w:r>
      <w:r w:rsidR="00632143">
        <w:rPr>
          <w:rFonts w:eastAsia="Adobe Gothic Std B"/>
          <w:sz w:val="24"/>
          <w:szCs w:val="24"/>
          <w:lang w:val="es-ES"/>
        </w:rPr>
        <w:t>de 40</w:t>
      </w:r>
      <w:r w:rsidR="00A11398" w:rsidRPr="007431DD">
        <w:rPr>
          <w:rFonts w:eastAsia="Adobe Gothic Std B"/>
          <w:sz w:val="24"/>
          <w:szCs w:val="24"/>
          <w:lang w:val="es-ES"/>
        </w:rPr>
        <w:t xml:space="preserve"> meses de prisión</w:t>
      </w:r>
      <w:r w:rsidR="00A31248" w:rsidRPr="007431DD">
        <w:rPr>
          <w:rFonts w:eastAsia="Adobe Gothic Std B"/>
          <w:sz w:val="24"/>
          <w:szCs w:val="24"/>
          <w:lang w:val="es-ES"/>
        </w:rPr>
        <w:t xml:space="preserve"> y multa de </w:t>
      </w:r>
      <w:r w:rsidR="005F3CE2" w:rsidRPr="005F3CE2">
        <w:rPr>
          <w:rFonts w:eastAsia="Adobe Gothic Std B"/>
          <w:sz w:val="24"/>
          <w:szCs w:val="24"/>
          <w:lang w:val="es-ES"/>
        </w:rPr>
        <w:t>1.25</w:t>
      </w:r>
      <w:r w:rsidR="00A31248" w:rsidRPr="00632143">
        <w:rPr>
          <w:rFonts w:eastAsia="Adobe Gothic Std B"/>
          <w:color w:val="FF0000"/>
          <w:sz w:val="24"/>
          <w:szCs w:val="24"/>
          <w:lang w:val="es-ES"/>
        </w:rPr>
        <w:t xml:space="preserve"> </w:t>
      </w:r>
      <w:r w:rsidR="00A31248" w:rsidRPr="007431DD">
        <w:rPr>
          <w:rFonts w:eastAsia="Adobe Gothic Std B"/>
          <w:sz w:val="24"/>
          <w:szCs w:val="24"/>
          <w:lang w:val="es-ES"/>
        </w:rPr>
        <w:t>SMLMV</w:t>
      </w:r>
      <w:r w:rsidR="00A11398" w:rsidRPr="007431DD">
        <w:rPr>
          <w:rStyle w:val="Refdenotaalpie"/>
          <w:rFonts w:eastAsia="Adobe Gothic Std B"/>
          <w:sz w:val="24"/>
          <w:szCs w:val="24"/>
          <w:lang w:val="es-ES"/>
        </w:rPr>
        <w:footnoteReference w:id="1"/>
      </w:r>
      <w:r w:rsidR="00F853FB" w:rsidRPr="007431DD">
        <w:rPr>
          <w:rFonts w:eastAsia="Adobe Gothic Std B"/>
          <w:sz w:val="24"/>
          <w:szCs w:val="24"/>
          <w:lang w:val="es-ES"/>
        </w:rPr>
        <w:t xml:space="preserve">; </w:t>
      </w:r>
      <w:r w:rsidR="00A0530B" w:rsidRPr="007431DD">
        <w:rPr>
          <w:rFonts w:eastAsia="Adobe Gothic Std B"/>
          <w:sz w:val="24"/>
          <w:szCs w:val="24"/>
          <w:lang w:val="es-ES"/>
        </w:rPr>
        <w:t>como responsable del</w:t>
      </w:r>
      <w:r w:rsidR="00EA4FA6" w:rsidRPr="007431DD">
        <w:rPr>
          <w:rFonts w:eastAsia="Adobe Gothic Std B"/>
          <w:sz w:val="24"/>
          <w:szCs w:val="24"/>
          <w:lang w:val="es-ES"/>
        </w:rPr>
        <w:t xml:space="preserve"> delito de tráfico, </w:t>
      </w:r>
      <w:r w:rsidR="00EA4FA6" w:rsidRPr="007431DD">
        <w:rPr>
          <w:sz w:val="24"/>
          <w:szCs w:val="24"/>
        </w:rPr>
        <w:t>fabricación o porte de estupefacientes</w:t>
      </w:r>
      <w:r w:rsidR="00EA4FA6" w:rsidRPr="007431DD">
        <w:rPr>
          <w:rFonts w:eastAsia="Adobe Gothic Std B"/>
          <w:sz w:val="24"/>
          <w:szCs w:val="24"/>
          <w:lang w:val="es-ES"/>
        </w:rPr>
        <w:t xml:space="preserve"> por llevar consigo</w:t>
      </w:r>
      <w:r w:rsidR="00632143">
        <w:rPr>
          <w:rFonts w:eastAsia="Adobe Gothic Std B"/>
          <w:sz w:val="24"/>
          <w:szCs w:val="24"/>
          <w:lang w:val="es-ES"/>
        </w:rPr>
        <w:t xml:space="preserve"> sustancia </w:t>
      </w:r>
      <w:r w:rsidR="00632143" w:rsidRPr="00632143">
        <w:rPr>
          <w:rFonts w:eastAsia="Adobe Gothic Std B"/>
          <w:sz w:val="24"/>
          <w:szCs w:val="24"/>
          <w:lang w:val="es-ES"/>
        </w:rPr>
        <w:t xml:space="preserve">positiva para </w:t>
      </w:r>
      <w:r w:rsidR="00EA4FA6" w:rsidRPr="00632143">
        <w:rPr>
          <w:rFonts w:eastAsia="Adobe Gothic Std B"/>
          <w:sz w:val="24"/>
          <w:szCs w:val="24"/>
          <w:lang w:val="es-ES"/>
        </w:rPr>
        <w:t>cocaína</w:t>
      </w:r>
      <w:r w:rsidR="00632143" w:rsidRPr="00632143">
        <w:rPr>
          <w:rFonts w:eastAsia="Adobe Gothic Std B"/>
          <w:sz w:val="24"/>
          <w:szCs w:val="24"/>
          <w:lang w:val="es-ES"/>
        </w:rPr>
        <w:t xml:space="preserve"> y sus derivados</w:t>
      </w:r>
      <w:r w:rsidR="00EA4FA6" w:rsidRPr="00632143">
        <w:rPr>
          <w:rFonts w:eastAsia="Adobe Gothic Std B"/>
          <w:sz w:val="24"/>
          <w:szCs w:val="24"/>
          <w:lang w:val="es-ES"/>
        </w:rPr>
        <w:t xml:space="preserve"> </w:t>
      </w:r>
      <w:r w:rsidR="00EA4FA6" w:rsidRPr="007431DD">
        <w:rPr>
          <w:rFonts w:eastAsia="Adobe Gothic Std B"/>
          <w:sz w:val="24"/>
          <w:szCs w:val="24"/>
          <w:lang w:val="es-ES"/>
        </w:rPr>
        <w:t xml:space="preserve">en un peso neto total de </w:t>
      </w:r>
      <w:r w:rsidR="00632143" w:rsidRPr="00632143">
        <w:rPr>
          <w:rFonts w:eastAsia="Adobe Gothic Std B"/>
          <w:sz w:val="24"/>
          <w:szCs w:val="24"/>
          <w:lang w:val="es-ES"/>
        </w:rPr>
        <w:t>2.5</w:t>
      </w:r>
      <w:r w:rsidR="00EA4FA6" w:rsidRPr="00632143">
        <w:rPr>
          <w:rFonts w:eastAsia="Adobe Gothic Std B"/>
          <w:color w:val="FF0000"/>
          <w:sz w:val="24"/>
          <w:szCs w:val="24"/>
          <w:lang w:val="es-ES"/>
        </w:rPr>
        <w:t xml:space="preserve"> </w:t>
      </w:r>
      <w:r w:rsidR="00EA4FA6" w:rsidRPr="007431DD">
        <w:rPr>
          <w:rFonts w:eastAsia="Adobe Gothic Std B"/>
          <w:sz w:val="24"/>
          <w:szCs w:val="24"/>
          <w:lang w:val="es-ES"/>
        </w:rPr>
        <w:t xml:space="preserve">gramos. </w:t>
      </w:r>
    </w:p>
    <w:p w:rsidR="00061DAE" w:rsidRPr="007431DD" w:rsidRDefault="00061DAE" w:rsidP="0042096D">
      <w:pPr>
        <w:pStyle w:val="Prrafodelista"/>
        <w:spacing w:line="360" w:lineRule="auto"/>
        <w:ind w:right="283"/>
        <w:rPr>
          <w:rFonts w:eastAsia="Adobe Gothic Std B"/>
          <w:sz w:val="24"/>
          <w:szCs w:val="24"/>
        </w:rPr>
      </w:pPr>
    </w:p>
    <w:p w:rsidR="00393C97" w:rsidRPr="007431DD" w:rsidRDefault="005D0CBF" w:rsidP="0042096D">
      <w:pPr>
        <w:pStyle w:val="Prrafodelista"/>
        <w:numPr>
          <w:ilvl w:val="1"/>
          <w:numId w:val="17"/>
        </w:numPr>
        <w:tabs>
          <w:tab w:val="left" w:pos="0"/>
        </w:tabs>
        <w:spacing w:line="360" w:lineRule="auto"/>
        <w:ind w:left="0" w:right="283" w:firstLine="0"/>
        <w:jc w:val="both"/>
        <w:rPr>
          <w:rFonts w:eastAsia="Adobe Gothic Std B"/>
          <w:sz w:val="24"/>
          <w:szCs w:val="24"/>
        </w:rPr>
      </w:pPr>
      <w:r w:rsidRPr="007431DD">
        <w:rPr>
          <w:rFonts w:eastAsia="Adobe Gothic Std B"/>
          <w:sz w:val="24"/>
          <w:szCs w:val="24"/>
          <w:lang w:val="es-ES"/>
        </w:rPr>
        <w:t xml:space="preserve">La causal de revisión por cambio de jurisprudencia </w:t>
      </w:r>
      <w:r w:rsidR="000F3092" w:rsidRPr="007431DD">
        <w:rPr>
          <w:rFonts w:eastAsia="Adobe Gothic Std B"/>
          <w:sz w:val="24"/>
          <w:szCs w:val="24"/>
          <w:lang w:val="es-ES"/>
        </w:rPr>
        <w:t>favorable, se</w:t>
      </w:r>
      <w:r w:rsidRPr="007431DD">
        <w:rPr>
          <w:rFonts w:eastAsia="Adobe Gothic Std B"/>
          <w:sz w:val="24"/>
          <w:szCs w:val="24"/>
          <w:lang w:val="es-ES"/>
        </w:rPr>
        <w:t xml:space="preserve"> encuen</w:t>
      </w:r>
      <w:r w:rsidR="00F853FB" w:rsidRPr="007431DD">
        <w:rPr>
          <w:rFonts w:eastAsia="Adobe Gothic Std B"/>
          <w:sz w:val="24"/>
          <w:szCs w:val="24"/>
          <w:lang w:val="es-ES"/>
        </w:rPr>
        <w:t>tra establecida en el numeral 7</w:t>
      </w:r>
      <w:r w:rsidRPr="007431DD">
        <w:rPr>
          <w:rFonts w:eastAsia="Adobe Gothic Std B"/>
          <w:sz w:val="24"/>
          <w:szCs w:val="24"/>
          <w:lang w:val="es-ES"/>
        </w:rPr>
        <w:t xml:space="preserve"> del </w:t>
      </w:r>
      <w:r w:rsidR="00ED28C7" w:rsidRPr="007431DD">
        <w:rPr>
          <w:rFonts w:eastAsia="Adobe Gothic Std B"/>
          <w:sz w:val="24"/>
          <w:szCs w:val="24"/>
        </w:rPr>
        <w:t>del artículo 192 C.P.P</w:t>
      </w:r>
      <w:r w:rsidR="003A46F9" w:rsidRPr="007431DD">
        <w:rPr>
          <w:rFonts w:eastAsia="Adobe Gothic Std B"/>
          <w:sz w:val="24"/>
          <w:szCs w:val="24"/>
        </w:rPr>
        <w:t>.</w:t>
      </w:r>
      <w:r w:rsidR="00F853FB" w:rsidRPr="007431DD">
        <w:rPr>
          <w:rFonts w:eastAsia="Adobe Gothic Std B"/>
          <w:sz w:val="24"/>
          <w:szCs w:val="24"/>
        </w:rPr>
        <w:t xml:space="preserve"> </w:t>
      </w:r>
      <w:r w:rsidR="00386628" w:rsidRPr="007431DD">
        <w:rPr>
          <w:rFonts w:eastAsia="Adobe Gothic Std B"/>
          <w:sz w:val="24"/>
          <w:szCs w:val="24"/>
        </w:rPr>
        <w:t>En providencia dentro del radicado 40093 de la</w:t>
      </w:r>
      <w:r w:rsidRPr="007431DD">
        <w:rPr>
          <w:rFonts w:eastAsia="Adobe Gothic Std B"/>
          <w:sz w:val="24"/>
          <w:szCs w:val="24"/>
        </w:rPr>
        <w:t xml:space="preserve"> C</w:t>
      </w:r>
      <w:r w:rsidR="00386628" w:rsidRPr="007431DD">
        <w:rPr>
          <w:rFonts w:eastAsia="Adobe Gothic Std B"/>
          <w:sz w:val="24"/>
          <w:szCs w:val="24"/>
        </w:rPr>
        <w:t>SJ SP del 15 de agosto de 2013, se establecieron los requisitos para su procedencia, así</w:t>
      </w:r>
      <w:r w:rsidR="00393C97" w:rsidRPr="007431DD">
        <w:rPr>
          <w:rFonts w:eastAsia="Adobe Gothic Std B"/>
          <w:sz w:val="24"/>
          <w:szCs w:val="24"/>
        </w:rPr>
        <w:t>:</w:t>
      </w:r>
    </w:p>
    <w:p w:rsidR="00BE06D5" w:rsidRPr="007431DD" w:rsidRDefault="00BE06D5" w:rsidP="0042096D">
      <w:pPr>
        <w:spacing w:line="360" w:lineRule="auto"/>
        <w:ind w:right="283"/>
        <w:jc w:val="both"/>
        <w:rPr>
          <w:i/>
          <w:sz w:val="24"/>
          <w:szCs w:val="24"/>
          <w:lang w:val="es-ES"/>
        </w:rPr>
      </w:pPr>
    </w:p>
    <w:p w:rsidR="00BE06D5" w:rsidRPr="00CA6699" w:rsidRDefault="00393C97" w:rsidP="0042096D">
      <w:pPr>
        <w:spacing w:line="360" w:lineRule="auto"/>
        <w:ind w:left="709" w:right="567" w:hanging="4"/>
        <w:jc w:val="both"/>
        <w:rPr>
          <w:i/>
          <w:sz w:val="22"/>
          <w:szCs w:val="22"/>
          <w:lang w:val="es-ES"/>
        </w:rPr>
      </w:pPr>
      <w:r w:rsidRPr="00CA6699">
        <w:rPr>
          <w:i/>
          <w:sz w:val="22"/>
          <w:szCs w:val="22"/>
          <w:lang w:val="es-ES"/>
        </w:rPr>
        <w:t xml:space="preserve">“... </w:t>
      </w:r>
      <w:r w:rsidR="00BE06D5" w:rsidRPr="00CA6699">
        <w:rPr>
          <w:i/>
          <w:sz w:val="22"/>
          <w:szCs w:val="22"/>
          <w:lang w:val="es-ES"/>
        </w:rPr>
        <w:t>La Sala ha determinado que la alegación de la causal 7ª del artículo 192 de la Ley 906 de 2004, según la cual la acción de revisión procede “</w:t>
      </w:r>
      <w:r w:rsidR="00BE06D5" w:rsidRPr="00CA6699">
        <w:rPr>
          <w:i/>
          <w:iCs/>
          <w:sz w:val="22"/>
          <w:szCs w:val="22"/>
          <w:lang w:val="es-ES"/>
        </w:rPr>
        <w:t xml:space="preserve">cuando mediante pronunciamiento judicial, la Corte haya cambiado favorablemente el </w:t>
      </w:r>
      <w:r w:rsidR="00BE06D5" w:rsidRPr="00CA6699">
        <w:rPr>
          <w:i/>
          <w:iCs/>
          <w:sz w:val="22"/>
          <w:szCs w:val="22"/>
          <w:lang w:val="es-ES"/>
        </w:rPr>
        <w:lastRenderedPageBreak/>
        <w:t>criterio jurídico que sirvió para sustentar la sentencia condenatoria, tanto respecto de la responsabilidad como de la punibilidad</w:t>
      </w:r>
      <w:r w:rsidR="00BE06D5" w:rsidRPr="00CA6699">
        <w:rPr>
          <w:i/>
          <w:sz w:val="22"/>
          <w:szCs w:val="22"/>
          <w:lang w:val="es-ES"/>
        </w:rPr>
        <w:t>”, debe cumplir como mínimo los siguientes requisitos:</w:t>
      </w:r>
    </w:p>
    <w:p w:rsidR="00BE06D5" w:rsidRPr="00CA6699" w:rsidRDefault="00BE06D5" w:rsidP="0042096D">
      <w:pPr>
        <w:spacing w:line="360" w:lineRule="auto"/>
        <w:ind w:left="709" w:right="567" w:hanging="4"/>
        <w:jc w:val="both"/>
        <w:rPr>
          <w:i/>
          <w:sz w:val="22"/>
          <w:szCs w:val="22"/>
          <w:lang w:val="es-ES"/>
        </w:rPr>
      </w:pPr>
    </w:p>
    <w:p w:rsidR="00BE06D5" w:rsidRPr="00CA6699" w:rsidRDefault="00BE06D5" w:rsidP="0042096D">
      <w:pPr>
        <w:numPr>
          <w:ilvl w:val="0"/>
          <w:numId w:val="11"/>
        </w:numPr>
        <w:spacing w:line="360" w:lineRule="auto"/>
        <w:ind w:left="709" w:right="567" w:hanging="4"/>
        <w:jc w:val="both"/>
        <w:rPr>
          <w:i/>
          <w:sz w:val="22"/>
          <w:szCs w:val="22"/>
          <w:lang w:val="es-ES"/>
        </w:rPr>
      </w:pPr>
      <w:r w:rsidRPr="00CA6699">
        <w:rPr>
          <w:i/>
          <w:iCs/>
          <w:sz w:val="22"/>
          <w:szCs w:val="22"/>
          <w:lang w:val="es-ES"/>
        </w:rPr>
        <w:t>Que se dirija contra una sentencia ejecutoriada cuya condena se haya fundamentado en un criterio jurisprudencial específico de la Corte Suprema de Justicia, Sala de Casación Penal;</w:t>
      </w:r>
    </w:p>
    <w:p w:rsidR="00264BD6" w:rsidRPr="00CA6699" w:rsidRDefault="00264BD6" w:rsidP="0042096D">
      <w:pPr>
        <w:spacing w:line="360" w:lineRule="auto"/>
        <w:ind w:left="709" w:right="567"/>
        <w:jc w:val="both"/>
        <w:rPr>
          <w:i/>
          <w:sz w:val="22"/>
          <w:szCs w:val="22"/>
          <w:lang w:val="es-ES"/>
        </w:rPr>
      </w:pPr>
    </w:p>
    <w:p w:rsidR="00BE06D5" w:rsidRPr="00CA6699" w:rsidRDefault="00BE06D5" w:rsidP="0042096D">
      <w:pPr>
        <w:numPr>
          <w:ilvl w:val="0"/>
          <w:numId w:val="12"/>
        </w:numPr>
        <w:spacing w:line="360" w:lineRule="auto"/>
        <w:ind w:left="709" w:right="567" w:hanging="4"/>
        <w:jc w:val="both"/>
        <w:rPr>
          <w:i/>
          <w:sz w:val="22"/>
          <w:szCs w:val="22"/>
          <w:lang w:val="es-ES"/>
        </w:rPr>
      </w:pPr>
      <w:r w:rsidRPr="00CA6699">
        <w:rPr>
          <w:i/>
          <w:iCs/>
          <w:sz w:val="22"/>
          <w:szCs w:val="22"/>
          <w:lang w:val="es-ES"/>
        </w:rPr>
        <w:t>Que el referente jurisprudencial de la Sala Penal se cambie mediante un fallo proferido con posterioridad a la providencia que se revisa;</w:t>
      </w:r>
    </w:p>
    <w:p w:rsidR="00264BD6" w:rsidRPr="00CA6699" w:rsidRDefault="00264BD6" w:rsidP="0042096D">
      <w:pPr>
        <w:spacing w:line="360" w:lineRule="auto"/>
        <w:ind w:left="705" w:right="567"/>
        <w:jc w:val="both"/>
        <w:rPr>
          <w:i/>
          <w:sz w:val="22"/>
          <w:szCs w:val="22"/>
          <w:lang w:val="es-ES"/>
        </w:rPr>
      </w:pPr>
    </w:p>
    <w:p w:rsidR="00BE06D5" w:rsidRPr="00CA6699" w:rsidRDefault="00BE06D5" w:rsidP="0042096D">
      <w:pPr>
        <w:numPr>
          <w:ilvl w:val="0"/>
          <w:numId w:val="13"/>
        </w:numPr>
        <w:spacing w:line="360" w:lineRule="auto"/>
        <w:ind w:left="709" w:right="567" w:hanging="4"/>
        <w:jc w:val="both"/>
        <w:rPr>
          <w:i/>
          <w:sz w:val="22"/>
          <w:szCs w:val="22"/>
          <w:lang w:val="es-ES"/>
        </w:rPr>
      </w:pPr>
      <w:r w:rsidRPr="00CA6699">
        <w:rPr>
          <w:i/>
          <w:iCs/>
          <w:sz w:val="22"/>
          <w:szCs w:val="22"/>
          <w:lang w:val="es-ES"/>
        </w:rPr>
        <w:t>Que a través de un análisis comparativo se pueda demostrar que fundamentado en el nuevo razonamiento jurídico el proveído atacado habría sido más beneficioso para el demandante.</w:t>
      </w:r>
    </w:p>
    <w:p w:rsidR="00BE06D5" w:rsidRPr="00CA6699" w:rsidRDefault="00BE06D5" w:rsidP="0042096D">
      <w:pPr>
        <w:spacing w:line="360" w:lineRule="auto"/>
        <w:ind w:left="709" w:right="567" w:hanging="4"/>
        <w:jc w:val="both"/>
        <w:rPr>
          <w:i/>
          <w:sz w:val="22"/>
          <w:szCs w:val="22"/>
          <w:lang w:val="es-ES"/>
        </w:rPr>
      </w:pPr>
    </w:p>
    <w:p w:rsidR="008D6AC6" w:rsidRDefault="00BE06D5" w:rsidP="0042096D">
      <w:pPr>
        <w:spacing w:line="360" w:lineRule="auto"/>
        <w:ind w:left="709" w:right="567" w:hanging="4"/>
        <w:jc w:val="both"/>
        <w:rPr>
          <w:i/>
          <w:sz w:val="22"/>
          <w:szCs w:val="22"/>
          <w:lang w:val="es-ES"/>
        </w:rPr>
      </w:pPr>
      <w:r w:rsidRPr="00CA6699">
        <w:rPr>
          <w:i/>
          <w:sz w:val="22"/>
          <w:szCs w:val="22"/>
          <w:lang w:val="es-ES"/>
        </w:rPr>
        <w:t>Sobre esta causal, en vigencia de la Ley 600 de 2000, que la consagraba en el numeral 6º del artículo 220, señaló la Sala que </w:t>
      </w:r>
      <w:r w:rsidRPr="00CA6699">
        <w:rPr>
          <w:i/>
          <w:iCs/>
          <w:sz w:val="22"/>
          <w:szCs w:val="22"/>
          <w:lang w:val="es-ES"/>
        </w:rPr>
        <w:t>“es indispensable que el actor no solamente demuestre cómo el fundamento de la sentencia cuya remoción se persigue es entendido por la jurisprudencia de modo diferente, sino que, de mantenerse, comportaría una clara situación de injusticia, pues la nueva solución ofrecida por la doctrina de la Corte conduciría a la sustitución del fallo”, y que por tanto, “no resulta suficiente invocar abstractamente la existencia de un pronunciamiento del máximo tribunal de la jurisdicción ordinaria, o de señalar uno concreto pero desconectado de la solución del caso, sino que resulta indispensable, además, demostrar cómo de haberse conocido oportunamente por los juzgadores la nueva doctrina sobre el punto, el fallo cuya rescisión se persigue habría sido distinto”</w:t>
      </w:r>
      <w:hyperlink r:id="rId9" w:anchor="footnote1" w:history="1">
        <w:r w:rsidRPr="00CA6699">
          <w:rPr>
            <w:i/>
            <w:sz w:val="22"/>
            <w:szCs w:val="22"/>
            <w:u w:val="single"/>
            <w:vertAlign w:val="superscript"/>
            <w:lang w:val="es-ES"/>
          </w:rPr>
          <w:t>2</w:t>
        </w:r>
      </w:hyperlink>
      <w:r w:rsidRPr="00CA6699">
        <w:rPr>
          <w:i/>
          <w:iCs/>
          <w:sz w:val="22"/>
          <w:szCs w:val="22"/>
          <w:lang w:val="es-ES"/>
        </w:rPr>
        <w:t>, </w:t>
      </w:r>
      <w:r w:rsidRPr="00CA6699">
        <w:rPr>
          <w:i/>
          <w:sz w:val="22"/>
          <w:szCs w:val="22"/>
          <w:lang w:val="es-ES"/>
        </w:rPr>
        <w:t>criterio que</w:t>
      </w:r>
      <w:r w:rsidRPr="00CA6699">
        <w:rPr>
          <w:i/>
          <w:iCs/>
          <w:sz w:val="22"/>
          <w:szCs w:val="22"/>
          <w:lang w:val="es-ES"/>
        </w:rPr>
        <w:t> </w:t>
      </w:r>
      <w:r w:rsidRPr="00CA6699">
        <w:rPr>
          <w:i/>
          <w:sz w:val="22"/>
          <w:szCs w:val="22"/>
          <w:lang w:val="es-ES"/>
        </w:rPr>
        <w:t>cabe reiterar frente al mismo supuesto establecido ahora en el numeral 7º del artículo 192 de la Ley 906 de 2004.</w:t>
      </w:r>
    </w:p>
    <w:p w:rsidR="00632143" w:rsidRPr="00CA6699" w:rsidRDefault="00632143" w:rsidP="0042096D">
      <w:pPr>
        <w:spacing w:line="360" w:lineRule="auto"/>
        <w:ind w:left="709" w:right="567" w:hanging="4"/>
        <w:jc w:val="both"/>
        <w:rPr>
          <w:i/>
          <w:sz w:val="22"/>
          <w:szCs w:val="22"/>
          <w:lang w:val="es-ES"/>
        </w:rPr>
      </w:pPr>
    </w:p>
    <w:p w:rsidR="00D655BF" w:rsidRPr="007431DD" w:rsidRDefault="00C17852" w:rsidP="0042096D">
      <w:pPr>
        <w:pStyle w:val="Prrafodelista"/>
        <w:numPr>
          <w:ilvl w:val="1"/>
          <w:numId w:val="17"/>
        </w:numPr>
        <w:spacing w:line="360" w:lineRule="auto"/>
        <w:ind w:left="0" w:right="283" w:firstLine="0"/>
        <w:jc w:val="both"/>
        <w:rPr>
          <w:i/>
          <w:sz w:val="24"/>
          <w:szCs w:val="24"/>
          <w:lang w:val="es-ES"/>
        </w:rPr>
      </w:pPr>
      <w:r w:rsidRPr="007431DD">
        <w:rPr>
          <w:rFonts w:eastAsia="Adobe Gothic Std B"/>
          <w:sz w:val="24"/>
          <w:szCs w:val="24"/>
        </w:rPr>
        <w:t>Así las cosas,</w:t>
      </w:r>
      <w:r w:rsidR="008D6AC6" w:rsidRPr="007431DD">
        <w:rPr>
          <w:rFonts w:eastAsia="Adobe Gothic Std B"/>
          <w:sz w:val="24"/>
          <w:szCs w:val="24"/>
        </w:rPr>
        <w:t xml:space="preserve"> se observa</w:t>
      </w:r>
      <w:r w:rsidR="00ED28C7" w:rsidRPr="007431DD">
        <w:rPr>
          <w:rFonts w:eastAsia="Adobe Gothic Std B"/>
          <w:sz w:val="24"/>
          <w:szCs w:val="24"/>
        </w:rPr>
        <w:t xml:space="preserve"> que </w:t>
      </w:r>
      <w:r w:rsidRPr="007431DD">
        <w:rPr>
          <w:rFonts w:eastAsia="Adobe Gothic Std B"/>
          <w:sz w:val="24"/>
          <w:szCs w:val="24"/>
        </w:rPr>
        <w:t>en este asunto</w:t>
      </w:r>
      <w:r w:rsidR="00AB0483">
        <w:rPr>
          <w:rFonts w:eastAsia="Adobe Gothic Std B"/>
          <w:sz w:val="24"/>
          <w:szCs w:val="24"/>
        </w:rPr>
        <w:t>:</w:t>
      </w:r>
      <w:r w:rsidR="00E46B9A" w:rsidRPr="007431DD">
        <w:rPr>
          <w:rFonts w:eastAsia="Adobe Gothic Std B"/>
          <w:sz w:val="24"/>
          <w:szCs w:val="24"/>
        </w:rPr>
        <w:t>: i)</w:t>
      </w:r>
      <w:r w:rsidRPr="007431DD">
        <w:rPr>
          <w:rFonts w:eastAsia="Adobe Gothic Std B"/>
          <w:sz w:val="24"/>
          <w:szCs w:val="24"/>
        </w:rPr>
        <w:t xml:space="preserve"> </w:t>
      </w:r>
      <w:r w:rsidR="00604F55" w:rsidRPr="007431DD">
        <w:rPr>
          <w:rFonts w:eastAsia="Adobe Gothic Std B"/>
          <w:sz w:val="24"/>
          <w:szCs w:val="24"/>
        </w:rPr>
        <w:t>la sentencia condenatoria dentro del proceso se dic</w:t>
      </w:r>
      <w:r w:rsidR="000C7E66" w:rsidRPr="007431DD">
        <w:rPr>
          <w:rFonts w:eastAsia="Adobe Gothic Std B"/>
          <w:sz w:val="24"/>
          <w:szCs w:val="24"/>
        </w:rPr>
        <w:t xml:space="preserve">tó el </w:t>
      </w:r>
      <w:r w:rsidR="00632143">
        <w:rPr>
          <w:rFonts w:eastAsia="Adobe Gothic Std B"/>
          <w:sz w:val="24"/>
          <w:szCs w:val="24"/>
        </w:rPr>
        <w:t xml:space="preserve">12 </w:t>
      </w:r>
      <w:r w:rsidR="000C7E66" w:rsidRPr="00A100FA">
        <w:rPr>
          <w:rFonts w:eastAsia="Adobe Gothic Std B"/>
          <w:sz w:val="24"/>
          <w:szCs w:val="24"/>
        </w:rPr>
        <w:t xml:space="preserve">de </w:t>
      </w:r>
      <w:r w:rsidR="00632143">
        <w:rPr>
          <w:rFonts w:eastAsia="Adobe Gothic Std B"/>
          <w:sz w:val="24"/>
          <w:szCs w:val="24"/>
        </w:rPr>
        <w:t>marzo de 2012</w:t>
      </w:r>
      <w:r w:rsidR="000C7E66" w:rsidRPr="00A100FA">
        <w:rPr>
          <w:rFonts w:eastAsia="Adobe Gothic Std B"/>
          <w:sz w:val="24"/>
          <w:szCs w:val="24"/>
        </w:rPr>
        <w:t xml:space="preserve">, </w:t>
      </w:r>
      <w:r w:rsidR="00632143">
        <w:rPr>
          <w:rFonts w:eastAsia="Adobe Gothic Std B"/>
          <w:sz w:val="24"/>
          <w:szCs w:val="24"/>
        </w:rPr>
        <w:t xml:space="preserve">se encuentra </w:t>
      </w:r>
      <w:r w:rsidR="00604F55" w:rsidRPr="00A100FA">
        <w:rPr>
          <w:rFonts w:eastAsia="Adobe Gothic Std B"/>
          <w:sz w:val="24"/>
          <w:szCs w:val="24"/>
        </w:rPr>
        <w:t>ejecutoriada</w:t>
      </w:r>
      <w:r w:rsidR="000C7E66" w:rsidRPr="00A100FA">
        <w:rPr>
          <w:rFonts w:eastAsia="Adobe Gothic Std B"/>
          <w:sz w:val="24"/>
          <w:szCs w:val="24"/>
        </w:rPr>
        <w:t xml:space="preserve"> y se dictó con base en el criterio jurisprudencial según el</w:t>
      </w:r>
      <w:r w:rsidR="00632143">
        <w:rPr>
          <w:rFonts w:eastAsia="Adobe Gothic Std B"/>
          <w:sz w:val="24"/>
          <w:szCs w:val="24"/>
        </w:rPr>
        <w:t xml:space="preserve"> cual el portar una sustancia en cantidad superior a la dosis personal configuraba de por sí el tipo penal previsto en el artículo 376 del C.P. </w:t>
      </w:r>
      <w:r w:rsidR="00604F55" w:rsidRPr="00A100FA">
        <w:rPr>
          <w:rFonts w:eastAsia="Adobe Gothic Std B"/>
          <w:sz w:val="24"/>
          <w:szCs w:val="24"/>
        </w:rPr>
        <w:t xml:space="preserve">ii) </w:t>
      </w:r>
      <w:r w:rsidR="00A50159">
        <w:rPr>
          <w:rFonts w:eastAsia="Adobe Gothic Std B"/>
          <w:sz w:val="24"/>
          <w:szCs w:val="24"/>
        </w:rPr>
        <w:t>con posterioridad al</w:t>
      </w:r>
      <w:r w:rsidR="00AB0483">
        <w:rPr>
          <w:rFonts w:eastAsia="Adobe Gothic Std B"/>
          <w:sz w:val="24"/>
          <w:szCs w:val="24"/>
        </w:rPr>
        <w:t xml:space="preserve"> fallo condenatorio, </w:t>
      </w:r>
      <w:r w:rsidR="005F1DD2">
        <w:rPr>
          <w:rFonts w:eastAsia="Adobe Gothic Std B"/>
          <w:sz w:val="24"/>
          <w:szCs w:val="24"/>
        </w:rPr>
        <w:t xml:space="preserve">en providencia dentro del radicado 41760 del 9 de marzo de 2016 se empezó a variar el precedente jurisprudencial </w:t>
      </w:r>
      <w:r w:rsidR="005F1DD2" w:rsidRPr="00A100FA">
        <w:rPr>
          <w:rFonts w:eastAsia="Adobe Gothic Std B"/>
          <w:sz w:val="24"/>
          <w:szCs w:val="24"/>
        </w:rPr>
        <w:t>aplicable al delito de tráfico, fabricación o porte de estupefacientes</w:t>
      </w:r>
      <w:r w:rsidR="005F1DD2">
        <w:rPr>
          <w:rFonts w:eastAsia="Adobe Gothic Std B"/>
          <w:sz w:val="24"/>
          <w:szCs w:val="24"/>
        </w:rPr>
        <w:t xml:space="preserve"> para considerar la existencia de</w:t>
      </w:r>
      <w:r w:rsidR="009F51FD">
        <w:rPr>
          <w:rFonts w:eastAsia="Adobe Gothic Std B"/>
          <w:sz w:val="24"/>
          <w:szCs w:val="24"/>
        </w:rPr>
        <w:t xml:space="preserve"> un</w:t>
      </w:r>
      <w:r w:rsidR="005F1DD2">
        <w:rPr>
          <w:rFonts w:eastAsia="Adobe Gothic Std B"/>
          <w:sz w:val="24"/>
          <w:szCs w:val="24"/>
        </w:rPr>
        <w:t xml:space="preserve"> elemento subjetivo tácito</w:t>
      </w:r>
      <w:r w:rsidR="009F51FD">
        <w:rPr>
          <w:rFonts w:eastAsia="Adobe Gothic Std B"/>
          <w:sz w:val="24"/>
          <w:szCs w:val="24"/>
        </w:rPr>
        <w:t xml:space="preserve"> consistente en el ánimo de distribución, </w:t>
      </w:r>
      <w:r w:rsidR="005F1DD2">
        <w:rPr>
          <w:rFonts w:eastAsia="Adobe Gothic Std B"/>
          <w:sz w:val="24"/>
          <w:szCs w:val="24"/>
        </w:rPr>
        <w:t>profiri</w:t>
      </w:r>
      <w:r w:rsidR="009F51FD">
        <w:rPr>
          <w:rFonts w:eastAsia="Adobe Gothic Std B"/>
          <w:sz w:val="24"/>
          <w:szCs w:val="24"/>
        </w:rPr>
        <w:t>éndose</w:t>
      </w:r>
      <w:r w:rsidR="005F1DD2">
        <w:rPr>
          <w:rFonts w:eastAsia="Adobe Gothic Std B"/>
          <w:sz w:val="24"/>
          <w:szCs w:val="24"/>
        </w:rPr>
        <w:t xml:space="preserve"> luego</w:t>
      </w:r>
      <w:r w:rsidR="00A50159">
        <w:rPr>
          <w:rFonts w:eastAsia="Adobe Gothic Std B"/>
          <w:sz w:val="24"/>
          <w:szCs w:val="24"/>
        </w:rPr>
        <w:t xml:space="preserve"> la</w:t>
      </w:r>
      <w:r w:rsidR="00604F55" w:rsidRPr="00A100FA">
        <w:rPr>
          <w:rFonts w:eastAsia="Adobe Gothic Std B"/>
          <w:sz w:val="24"/>
          <w:szCs w:val="24"/>
        </w:rPr>
        <w:t xml:space="preserve"> decisión dentro del radicad</w:t>
      </w:r>
      <w:r w:rsidR="005F1DD2">
        <w:rPr>
          <w:rFonts w:eastAsia="Adobe Gothic Std B"/>
          <w:sz w:val="24"/>
          <w:szCs w:val="24"/>
        </w:rPr>
        <w:t>o 44997 del 11 de julio de 2017</w:t>
      </w:r>
      <w:r w:rsidR="00604F55" w:rsidRPr="00A100FA">
        <w:rPr>
          <w:rFonts w:eastAsia="Adobe Gothic Std B"/>
          <w:sz w:val="24"/>
          <w:szCs w:val="24"/>
        </w:rPr>
        <w:t xml:space="preserve"> </w:t>
      </w:r>
      <w:r w:rsidR="00A50159">
        <w:rPr>
          <w:rFonts w:eastAsia="Adobe Gothic Std B"/>
          <w:sz w:val="24"/>
          <w:szCs w:val="24"/>
        </w:rPr>
        <w:t xml:space="preserve">por medio de la cual </w:t>
      </w:r>
      <w:r w:rsidR="00604F55" w:rsidRPr="00A100FA">
        <w:rPr>
          <w:rFonts w:eastAsia="Adobe Gothic Std B"/>
          <w:sz w:val="24"/>
          <w:szCs w:val="24"/>
        </w:rPr>
        <w:t xml:space="preserve">la SP de la CSJ </w:t>
      </w:r>
      <w:r w:rsidR="005F1DD2">
        <w:rPr>
          <w:rFonts w:eastAsia="Adobe Gothic Std B"/>
          <w:sz w:val="24"/>
          <w:szCs w:val="24"/>
        </w:rPr>
        <w:t>advirtió que le correspondía a la FGN la prueba todos</w:t>
      </w:r>
      <w:r w:rsidR="002B09E8" w:rsidRPr="00A100FA">
        <w:rPr>
          <w:rFonts w:eastAsia="Adobe Gothic Std B"/>
          <w:sz w:val="24"/>
          <w:szCs w:val="24"/>
        </w:rPr>
        <w:t xml:space="preserve"> los elementos del tipo penal, entre ellos, </w:t>
      </w:r>
      <w:r w:rsidR="009F51FD">
        <w:rPr>
          <w:rFonts w:eastAsia="Adobe Gothic Std B"/>
          <w:sz w:val="24"/>
          <w:szCs w:val="24"/>
        </w:rPr>
        <w:t>la intención</w:t>
      </w:r>
      <w:r w:rsidR="002B09E8" w:rsidRPr="00A100FA">
        <w:rPr>
          <w:rFonts w:eastAsia="Adobe Gothic Std B"/>
          <w:sz w:val="24"/>
          <w:szCs w:val="24"/>
        </w:rPr>
        <w:t xml:space="preserve"> de </w:t>
      </w:r>
      <w:r w:rsidR="002B09E8" w:rsidRPr="00A100FA">
        <w:rPr>
          <w:rFonts w:eastAsia="Adobe Gothic Std B"/>
          <w:sz w:val="24"/>
          <w:szCs w:val="24"/>
        </w:rPr>
        <w:lastRenderedPageBreak/>
        <w:t>tr</w:t>
      </w:r>
      <w:r w:rsidR="003256F2" w:rsidRPr="00A100FA">
        <w:rPr>
          <w:rFonts w:eastAsia="Adobe Gothic Std B"/>
          <w:sz w:val="24"/>
          <w:szCs w:val="24"/>
        </w:rPr>
        <w:t>áfico de la sustancia</w:t>
      </w:r>
      <w:r w:rsidR="00DD1685" w:rsidRPr="00A100FA">
        <w:rPr>
          <w:rFonts w:eastAsia="Adobe Gothic Std B"/>
          <w:sz w:val="24"/>
          <w:szCs w:val="24"/>
        </w:rPr>
        <w:t xml:space="preserve">, iii) </w:t>
      </w:r>
      <w:r w:rsidR="00AB0483">
        <w:rPr>
          <w:rFonts w:eastAsia="Adobe Gothic Std B"/>
          <w:sz w:val="24"/>
          <w:szCs w:val="24"/>
        </w:rPr>
        <w:t>de ser posible aplicar</w:t>
      </w:r>
      <w:r w:rsidR="00DD1685" w:rsidRPr="00A100FA">
        <w:rPr>
          <w:rFonts w:eastAsia="Adobe Gothic Std B"/>
          <w:sz w:val="24"/>
          <w:szCs w:val="24"/>
        </w:rPr>
        <w:t xml:space="preserve"> al</w:t>
      </w:r>
      <w:r w:rsidR="00DD1685" w:rsidRPr="007431DD">
        <w:rPr>
          <w:rFonts w:eastAsia="Adobe Gothic Std B"/>
          <w:sz w:val="24"/>
          <w:szCs w:val="24"/>
        </w:rPr>
        <w:t xml:space="preserve"> caso el criterio adoptado con el cambio jurisprudencial</w:t>
      </w:r>
      <w:r w:rsidR="003858E3" w:rsidRPr="007431DD">
        <w:rPr>
          <w:rFonts w:eastAsia="Adobe Gothic Std B"/>
          <w:sz w:val="24"/>
          <w:szCs w:val="24"/>
        </w:rPr>
        <w:t>,</w:t>
      </w:r>
      <w:r w:rsidR="00DD1685" w:rsidRPr="007431DD">
        <w:rPr>
          <w:rFonts w:eastAsia="Adobe Gothic Std B"/>
          <w:sz w:val="24"/>
          <w:szCs w:val="24"/>
        </w:rPr>
        <w:t xml:space="preserve"> resultaría favorable para el procesado.</w:t>
      </w:r>
    </w:p>
    <w:p w:rsidR="00C17852" w:rsidRPr="007431DD" w:rsidRDefault="00C17852" w:rsidP="0042096D">
      <w:pPr>
        <w:pStyle w:val="Prrafodelista"/>
        <w:spacing w:line="360" w:lineRule="auto"/>
        <w:ind w:left="142" w:right="283"/>
        <w:jc w:val="both"/>
        <w:rPr>
          <w:i/>
          <w:sz w:val="24"/>
          <w:szCs w:val="24"/>
          <w:lang w:val="es-ES"/>
        </w:rPr>
      </w:pPr>
    </w:p>
    <w:p w:rsidR="003E2374" w:rsidRPr="007431DD" w:rsidRDefault="00B27712" w:rsidP="0042096D">
      <w:pPr>
        <w:pStyle w:val="Prrafodelista"/>
        <w:numPr>
          <w:ilvl w:val="1"/>
          <w:numId w:val="17"/>
        </w:numPr>
        <w:spacing w:line="360" w:lineRule="auto"/>
        <w:ind w:left="0" w:right="283" w:firstLine="0"/>
        <w:jc w:val="both"/>
        <w:rPr>
          <w:rFonts w:eastAsia="Adobe Gothic Std B"/>
          <w:sz w:val="24"/>
          <w:szCs w:val="24"/>
        </w:rPr>
      </w:pPr>
      <w:r w:rsidRPr="007431DD">
        <w:rPr>
          <w:rFonts w:eastAsia="Adobe Gothic Std B"/>
          <w:sz w:val="24"/>
          <w:szCs w:val="24"/>
        </w:rPr>
        <w:t>Sobre el tema objeto de decisión</w:t>
      </w:r>
      <w:r w:rsidR="00B73A91" w:rsidRPr="007431DD">
        <w:rPr>
          <w:rFonts w:eastAsia="Adobe Gothic Std B"/>
          <w:sz w:val="24"/>
          <w:szCs w:val="24"/>
        </w:rPr>
        <w:t xml:space="preserve"> se tiene en primer lugar, que </w:t>
      </w:r>
      <w:r w:rsidR="003E2374" w:rsidRPr="007431DD">
        <w:rPr>
          <w:rFonts w:eastAsia="Adobe Gothic Std B"/>
          <w:sz w:val="24"/>
          <w:szCs w:val="24"/>
        </w:rPr>
        <w:t>mediante</w:t>
      </w:r>
      <w:r w:rsidR="00B73A91" w:rsidRPr="007431DD">
        <w:rPr>
          <w:rFonts w:eastAsia="Adobe Gothic Std B"/>
          <w:sz w:val="24"/>
          <w:szCs w:val="24"/>
        </w:rPr>
        <w:t xml:space="preserve"> la </w:t>
      </w:r>
      <w:r w:rsidR="002A3033" w:rsidRPr="007431DD">
        <w:rPr>
          <w:rFonts w:eastAsia="Adobe Gothic Std B"/>
          <w:sz w:val="24"/>
          <w:szCs w:val="24"/>
        </w:rPr>
        <w:t xml:space="preserve">sentencia </w:t>
      </w:r>
      <w:r w:rsidR="00B73A91" w:rsidRPr="007431DD">
        <w:rPr>
          <w:rFonts w:eastAsia="Adobe Gothic Std B"/>
          <w:sz w:val="24"/>
          <w:szCs w:val="24"/>
        </w:rPr>
        <w:t>C 221 de 1994 la Corte Constitucional con el fin de reivindicar el derecho al libre desarrollo de la personalidad despenalizó el porte para el consumo en proporcio</w:t>
      </w:r>
      <w:r w:rsidR="003E2374" w:rsidRPr="007431DD">
        <w:rPr>
          <w:rFonts w:eastAsia="Adobe Gothic Std B"/>
          <w:sz w:val="24"/>
          <w:szCs w:val="24"/>
        </w:rPr>
        <w:t xml:space="preserve">nes </w:t>
      </w:r>
      <w:r w:rsidR="002A3033" w:rsidRPr="007431DD">
        <w:rPr>
          <w:rFonts w:eastAsia="Adobe Gothic Std B"/>
          <w:sz w:val="24"/>
          <w:szCs w:val="24"/>
        </w:rPr>
        <w:t>equivalentes</w:t>
      </w:r>
      <w:r w:rsidR="003E2374" w:rsidRPr="007431DD">
        <w:rPr>
          <w:rFonts w:eastAsia="Adobe Gothic Std B"/>
          <w:sz w:val="24"/>
          <w:szCs w:val="24"/>
        </w:rPr>
        <w:t xml:space="preserve"> a la dosis personal, así se expuso en aquella providencia:</w:t>
      </w:r>
    </w:p>
    <w:p w:rsidR="003E2374" w:rsidRPr="00A100FA" w:rsidRDefault="003E2374" w:rsidP="0042096D">
      <w:pPr>
        <w:pStyle w:val="Prrafodelista"/>
        <w:spacing w:line="360" w:lineRule="auto"/>
        <w:ind w:left="708" w:right="567"/>
        <w:jc w:val="both"/>
        <w:rPr>
          <w:rFonts w:eastAsia="Adobe Gothic Std B"/>
          <w:i/>
          <w:sz w:val="22"/>
          <w:szCs w:val="22"/>
        </w:rPr>
      </w:pPr>
      <w:r w:rsidRPr="00A100FA">
        <w:rPr>
          <w:rFonts w:eastAsia="Adobe Gothic Std B"/>
          <w:i/>
          <w:sz w:val="22"/>
          <w:szCs w:val="22"/>
        </w:rPr>
        <w:t>“Sólo las conductas que interfieran con la órbita de la libertad y los intereses ajenos, pueden ser jurídicamente exigibles. No se compadece con nuestro ordenamiento básico la tipificación, como delictiva, de una conducta que, en sí misma, sólo incumbe a quien la observa y, en consecuencia, está sustraída a la forma de control normativo que llamamos derecho y más aún a un sistema jurídico respetuoso de la libertad y de la dignidad humana, como sin duda, lo es el nuestro.”</w:t>
      </w:r>
    </w:p>
    <w:p w:rsidR="00B73A91" w:rsidRPr="007431DD" w:rsidRDefault="003E2374" w:rsidP="0042096D">
      <w:pPr>
        <w:pStyle w:val="Prrafodelista"/>
        <w:spacing w:line="360" w:lineRule="auto"/>
        <w:ind w:left="0" w:right="283"/>
        <w:jc w:val="both"/>
        <w:rPr>
          <w:rFonts w:eastAsia="Adobe Gothic Std B"/>
          <w:sz w:val="24"/>
          <w:szCs w:val="24"/>
        </w:rPr>
      </w:pPr>
      <w:r w:rsidRPr="007431DD">
        <w:rPr>
          <w:rFonts w:eastAsia="Adobe Gothic Std B"/>
          <w:sz w:val="24"/>
          <w:szCs w:val="24"/>
        </w:rPr>
        <w:t xml:space="preserve">Así pues, </w:t>
      </w:r>
      <w:r w:rsidR="00CE0459" w:rsidRPr="007431DD">
        <w:rPr>
          <w:rFonts w:eastAsia="Adobe Gothic Std B"/>
          <w:sz w:val="24"/>
          <w:szCs w:val="24"/>
        </w:rPr>
        <w:t xml:space="preserve">se estimó que </w:t>
      </w:r>
      <w:r w:rsidRPr="007431DD">
        <w:rPr>
          <w:rFonts w:eastAsia="Adobe Gothic Std B"/>
          <w:sz w:val="24"/>
          <w:szCs w:val="24"/>
        </w:rPr>
        <w:t>no todas las conductas de porte de estupefacientes o sustancias alucinógenas eran delictivas, sin embargo, si</w:t>
      </w:r>
      <w:r w:rsidR="002A3033" w:rsidRPr="007431DD">
        <w:rPr>
          <w:rFonts w:eastAsia="Adobe Gothic Std B"/>
          <w:sz w:val="24"/>
          <w:szCs w:val="24"/>
        </w:rPr>
        <w:t xml:space="preserve"> lo eran aquellas que sobrepasab</w:t>
      </w:r>
      <w:r w:rsidRPr="007431DD">
        <w:rPr>
          <w:rFonts w:eastAsia="Adobe Gothic Std B"/>
          <w:sz w:val="24"/>
          <w:szCs w:val="24"/>
        </w:rPr>
        <w:t xml:space="preserve">an la dosis personal </w:t>
      </w:r>
      <w:r w:rsidR="002A3033" w:rsidRPr="007431DD">
        <w:rPr>
          <w:rFonts w:eastAsia="Adobe Gothic Std B"/>
          <w:sz w:val="24"/>
          <w:szCs w:val="24"/>
        </w:rPr>
        <w:t>conforme al literal j) del artículo 2 de la Ley 30 de 1986.</w:t>
      </w:r>
    </w:p>
    <w:p w:rsidR="00270BF6" w:rsidRPr="007431DD" w:rsidRDefault="00270BF6" w:rsidP="0042096D">
      <w:pPr>
        <w:pStyle w:val="Prrafodelista"/>
        <w:spacing w:line="360" w:lineRule="auto"/>
        <w:ind w:left="0" w:right="283"/>
        <w:jc w:val="both"/>
        <w:rPr>
          <w:rFonts w:eastAsia="Adobe Gothic Std B"/>
          <w:sz w:val="24"/>
          <w:szCs w:val="24"/>
        </w:rPr>
      </w:pPr>
    </w:p>
    <w:p w:rsidR="00270BF6" w:rsidRPr="007431DD" w:rsidRDefault="00270BF6" w:rsidP="0042096D">
      <w:pPr>
        <w:pStyle w:val="Prrafodelista"/>
        <w:spacing w:line="360" w:lineRule="auto"/>
        <w:ind w:left="0" w:right="283"/>
        <w:jc w:val="both"/>
        <w:rPr>
          <w:rFonts w:eastAsia="Adobe Gothic Std B"/>
          <w:sz w:val="24"/>
          <w:szCs w:val="24"/>
        </w:rPr>
      </w:pPr>
      <w:r w:rsidRPr="007431DD">
        <w:rPr>
          <w:rFonts w:eastAsia="Adobe Gothic Std B"/>
          <w:sz w:val="24"/>
          <w:szCs w:val="24"/>
        </w:rPr>
        <w:t>Posteriormente, el Acto Legislativo 02 de 2009 excluyó la posibilidad de imponer penas de reclusión en establecimientos carcelarios y facultó al legislador para establecer medidas pedagógicas, profilácticas o terapéuticas destinadas a los consumidores</w:t>
      </w:r>
      <w:r w:rsidR="00505684" w:rsidRPr="007431DD">
        <w:rPr>
          <w:rFonts w:eastAsia="Adobe Gothic Std B"/>
          <w:sz w:val="24"/>
          <w:szCs w:val="24"/>
        </w:rPr>
        <w:t xml:space="preserve">, a quienes se garantizaría la protección del derecho a la salud pública y quienes se distinguirían de los delincuentes, que eran aquellos que fabricaban, traficaban y distribuían drogas ilícitas. </w:t>
      </w:r>
    </w:p>
    <w:p w:rsidR="002A3033" w:rsidRPr="007431DD" w:rsidRDefault="002A3033" w:rsidP="0042096D">
      <w:pPr>
        <w:pStyle w:val="Prrafodelista"/>
        <w:spacing w:line="360" w:lineRule="auto"/>
        <w:ind w:left="0" w:right="283"/>
        <w:jc w:val="both"/>
        <w:rPr>
          <w:rFonts w:eastAsia="Adobe Gothic Std B"/>
          <w:sz w:val="24"/>
          <w:szCs w:val="24"/>
        </w:rPr>
      </w:pPr>
    </w:p>
    <w:p w:rsidR="00B27712" w:rsidRPr="007431DD" w:rsidRDefault="00CE0459" w:rsidP="0042096D">
      <w:pPr>
        <w:pStyle w:val="Prrafodelista"/>
        <w:spacing w:line="360" w:lineRule="auto"/>
        <w:ind w:left="0" w:right="283"/>
        <w:jc w:val="both"/>
        <w:rPr>
          <w:rFonts w:eastAsia="Adobe Gothic Std B"/>
          <w:sz w:val="24"/>
          <w:szCs w:val="24"/>
        </w:rPr>
      </w:pPr>
      <w:r w:rsidRPr="007431DD">
        <w:rPr>
          <w:rFonts w:eastAsia="Adobe Gothic Std B"/>
          <w:sz w:val="24"/>
          <w:szCs w:val="24"/>
        </w:rPr>
        <w:t>Con respecto a lo</w:t>
      </w:r>
      <w:r w:rsidR="00505684" w:rsidRPr="007431DD">
        <w:rPr>
          <w:rFonts w:eastAsia="Adobe Gothic Std B"/>
          <w:sz w:val="24"/>
          <w:szCs w:val="24"/>
        </w:rPr>
        <w:t xml:space="preserve"> sostenid</w:t>
      </w:r>
      <w:r w:rsidRPr="007431DD">
        <w:rPr>
          <w:rFonts w:eastAsia="Adobe Gothic Std B"/>
          <w:sz w:val="24"/>
          <w:szCs w:val="24"/>
        </w:rPr>
        <w:t>o</w:t>
      </w:r>
      <w:r w:rsidR="00D56F09" w:rsidRPr="007431DD">
        <w:rPr>
          <w:rFonts w:eastAsia="Adobe Gothic Std B"/>
          <w:sz w:val="24"/>
          <w:szCs w:val="24"/>
        </w:rPr>
        <w:t xml:space="preserve"> de tiempo atrás por esta Corporación,</w:t>
      </w:r>
      <w:r w:rsidR="009A1CA4" w:rsidRPr="007431DD">
        <w:rPr>
          <w:rFonts w:eastAsia="Adobe Gothic Std B"/>
          <w:sz w:val="24"/>
          <w:szCs w:val="24"/>
        </w:rPr>
        <w:t xml:space="preserve"> </w:t>
      </w:r>
      <w:r w:rsidR="00505684" w:rsidRPr="007431DD">
        <w:rPr>
          <w:rFonts w:eastAsia="Adobe Gothic Std B"/>
          <w:sz w:val="24"/>
          <w:szCs w:val="24"/>
        </w:rPr>
        <w:t xml:space="preserve">se había trazado </w:t>
      </w:r>
      <w:r w:rsidR="009A1CA4" w:rsidRPr="007431DD">
        <w:rPr>
          <w:rFonts w:eastAsia="Adobe Gothic Std B"/>
          <w:sz w:val="24"/>
          <w:szCs w:val="24"/>
        </w:rPr>
        <w:t>una</w:t>
      </w:r>
      <w:r w:rsidR="00D56F09" w:rsidRPr="007431DD">
        <w:rPr>
          <w:rFonts w:eastAsia="Adobe Gothic Std B"/>
          <w:sz w:val="24"/>
          <w:szCs w:val="24"/>
        </w:rPr>
        <w:t xml:space="preserve"> línea jurisprudencial</w:t>
      </w:r>
      <w:r w:rsidR="00B27712" w:rsidRPr="007431DD">
        <w:rPr>
          <w:rFonts w:eastAsia="Adobe Gothic Std B"/>
          <w:sz w:val="24"/>
          <w:szCs w:val="24"/>
        </w:rPr>
        <w:t xml:space="preserve"> con fundamento en precedentes de la</w:t>
      </w:r>
      <w:r w:rsidR="004C5768" w:rsidRPr="007431DD">
        <w:rPr>
          <w:rFonts w:eastAsia="Adobe Gothic Std B"/>
          <w:sz w:val="24"/>
          <w:szCs w:val="24"/>
        </w:rPr>
        <w:t xml:space="preserve"> SP de la </w:t>
      </w:r>
      <w:r w:rsidR="00B27712" w:rsidRPr="007431DD">
        <w:rPr>
          <w:rFonts w:eastAsia="Adobe Gothic Std B"/>
          <w:sz w:val="24"/>
          <w:szCs w:val="24"/>
        </w:rPr>
        <w:t xml:space="preserve"> </w:t>
      </w:r>
      <w:r w:rsidR="00C22B89" w:rsidRPr="007431DD">
        <w:rPr>
          <w:rFonts w:eastAsia="Adobe Gothic Std B"/>
          <w:sz w:val="24"/>
          <w:szCs w:val="24"/>
        </w:rPr>
        <w:t>C.S.J.</w:t>
      </w:r>
      <w:r w:rsidRPr="007431DD">
        <w:rPr>
          <w:rFonts w:eastAsia="Adobe Gothic Std B"/>
          <w:sz w:val="24"/>
          <w:szCs w:val="24"/>
        </w:rPr>
        <w:t xml:space="preserve"> según los</w:t>
      </w:r>
      <w:r w:rsidR="00B73A91" w:rsidRPr="007431DD">
        <w:rPr>
          <w:rFonts w:eastAsia="Adobe Gothic Std B"/>
          <w:sz w:val="24"/>
          <w:szCs w:val="24"/>
        </w:rPr>
        <w:t xml:space="preserve"> cual</w:t>
      </w:r>
      <w:r w:rsidRPr="007431DD">
        <w:rPr>
          <w:rFonts w:eastAsia="Adobe Gothic Std B"/>
          <w:sz w:val="24"/>
          <w:szCs w:val="24"/>
        </w:rPr>
        <w:t>es</w:t>
      </w:r>
      <w:r w:rsidR="00B73A91" w:rsidRPr="007431DD">
        <w:rPr>
          <w:rFonts w:eastAsia="Adobe Gothic Std B"/>
          <w:sz w:val="24"/>
          <w:szCs w:val="24"/>
        </w:rPr>
        <w:t xml:space="preserve"> </w:t>
      </w:r>
      <w:r w:rsidR="00B27712" w:rsidRPr="007431DD">
        <w:rPr>
          <w:rFonts w:eastAsia="Adobe Gothic Std B"/>
          <w:sz w:val="24"/>
          <w:szCs w:val="24"/>
        </w:rPr>
        <w:t>lo de ser o no consumidor de estupefacientes era algo que únicamente interesaba para aquellos casos en que se estaba ante la incautación de una cantidad que no superaba la dosis pers</w:t>
      </w:r>
      <w:r w:rsidR="00B73A91" w:rsidRPr="007431DD">
        <w:rPr>
          <w:rFonts w:eastAsia="Adobe Gothic Std B"/>
          <w:sz w:val="24"/>
          <w:szCs w:val="24"/>
        </w:rPr>
        <w:t>onal o de aprovisionamiento, y por tanto</w:t>
      </w:r>
      <w:r w:rsidR="00B27712" w:rsidRPr="007431DD">
        <w:rPr>
          <w:rFonts w:eastAsia="Adobe Gothic Std B"/>
          <w:sz w:val="24"/>
          <w:szCs w:val="24"/>
        </w:rPr>
        <w:t xml:space="preserve">, </w:t>
      </w:r>
      <w:r w:rsidR="00B27712" w:rsidRPr="007431DD">
        <w:rPr>
          <w:rFonts w:eastAsia="Adobe Gothic Std B"/>
          <w:i/>
          <w:sz w:val="24"/>
          <w:szCs w:val="24"/>
        </w:rPr>
        <w:t>contrario sensu</w:t>
      </w:r>
      <w:r w:rsidR="00B27712" w:rsidRPr="007431DD">
        <w:rPr>
          <w:rFonts w:eastAsia="Adobe Gothic Std B"/>
          <w:sz w:val="24"/>
          <w:szCs w:val="24"/>
        </w:rPr>
        <w:t xml:space="preserve">, cuando esa cantidad </w:t>
      </w:r>
      <w:r w:rsidR="00B73A91" w:rsidRPr="007431DD">
        <w:rPr>
          <w:rFonts w:eastAsia="Adobe Gothic Std B"/>
          <w:sz w:val="24"/>
          <w:szCs w:val="24"/>
        </w:rPr>
        <w:t>fuera</w:t>
      </w:r>
      <w:r w:rsidR="00B27712" w:rsidRPr="007431DD">
        <w:rPr>
          <w:rFonts w:eastAsia="Adobe Gothic Std B"/>
          <w:sz w:val="24"/>
          <w:szCs w:val="24"/>
        </w:rPr>
        <w:t xml:space="preserve"> superior a la dosis permitida, se presumía de pleno derecho que con tal comportamiento se vulneraba de manera eficaz y efectiva el interés jurídicamente protegido.</w:t>
      </w:r>
    </w:p>
    <w:p w:rsidR="00B27712" w:rsidRPr="007431DD" w:rsidRDefault="00B27712" w:rsidP="0042096D">
      <w:pPr>
        <w:pStyle w:val="Prrafodelista"/>
        <w:spacing w:line="360" w:lineRule="auto"/>
        <w:ind w:right="283"/>
        <w:rPr>
          <w:rFonts w:eastAsia="Adobe Gothic Std B"/>
          <w:sz w:val="24"/>
          <w:szCs w:val="24"/>
        </w:rPr>
      </w:pPr>
    </w:p>
    <w:p w:rsidR="00B27712" w:rsidRPr="007431DD" w:rsidRDefault="00C40137" w:rsidP="0042096D">
      <w:pPr>
        <w:spacing w:line="360" w:lineRule="auto"/>
        <w:ind w:right="283"/>
        <w:jc w:val="both"/>
        <w:rPr>
          <w:rFonts w:eastAsia="Adobe Gothic Std B"/>
          <w:sz w:val="24"/>
          <w:szCs w:val="24"/>
        </w:rPr>
      </w:pPr>
      <w:r>
        <w:rPr>
          <w:rFonts w:eastAsia="Adobe Gothic Std B"/>
          <w:sz w:val="24"/>
          <w:szCs w:val="24"/>
        </w:rPr>
        <w:t>Ul</w:t>
      </w:r>
      <w:r w:rsidR="00B27712" w:rsidRPr="007431DD">
        <w:rPr>
          <w:rFonts w:eastAsia="Adobe Gothic Std B"/>
          <w:sz w:val="24"/>
          <w:szCs w:val="24"/>
        </w:rPr>
        <w:t xml:space="preserve">teriormente, </w:t>
      </w:r>
      <w:r w:rsidR="00CE0459" w:rsidRPr="007431DD">
        <w:rPr>
          <w:rFonts w:eastAsia="Adobe Gothic Std B"/>
          <w:sz w:val="24"/>
          <w:szCs w:val="24"/>
        </w:rPr>
        <w:t xml:space="preserve">la jurisprudencia de </w:t>
      </w:r>
      <w:r w:rsidR="00B27712" w:rsidRPr="007431DD">
        <w:rPr>
          <w:rFonts w:eastAsia="Adobe Gothic Std B"/>
          <w:sz w:val="24"/>
          <w:szCs w:val="24"/>
        </w:rPr>
        <w:t xml:space="preserve">dicho órgano determinó que las conductas en las que se superaba la cantidad establecida como dosis personal o la concebida </w:t>
      </w:r>
      <w:r w:rsidR="00B27712" w:rsidRPr="007431DD">
        <w:rPr>
          <w:rFonts w:eastAsia="Adobe Gothic Std B"/>
          <w:sz w:val="24"/>
          <w:szCs w:val="24"/>
        </w:rPr>
        <w:lastRenderedPageBreak/>
        <w:t>como dosis de aprovisionamiento, debían analizarse en sede de antijuridicidad material en aras de establecer si se afectaba realmente</w:t>
      </w:r>
      <w:r w:rsidR="00227946" w:rsidRPr="007431DD">
        <w:rPr>
          <w:rFonts w:eastAsia="Adobe Gothic Std B"/>
          <w:sz w:val="24"/>
          <w:szCs w:val="24"/>
        </w:rPr>
        <w:t xml:space="preserve"> el bien jurídico tutelado -</w:t>
      </w:r>
      <w:r w:rsidR="00C22B89" w:rsidRPr="007431DD">
        <w:rPr>
          <w:rFonts w:eastAsia="Adobe Gothic Std B"/>
          <w:sz w:val="24"/>
          <w:szCs w:val="24"/>
        </w:rPr>
        <w:t>Rad. 33409</w:t>
      </w:r>
      <w:r w:rsidR="00B27712" w:rsidRPr="007431DD">
        <w:rPr>
          <w:rFonts w:eastAsia="Adobe Gothic Std B"/>
          <w:sz w:val="24"/>
          <w:szCs w:val="24"/>
        </w:rPr>
        <w:t xml:space="preserve"> </w:t>
      </w:r>
      <w:r w:rsidR="00445CB9" w:rsidRPr="007431DD">
        <w:rPr>
          <w:rFonts w:eastAsia="Adobe Gothic Std B"/>
          <w:sz w:val="24"/>
          <w:szCs w:val="24"/>
        </w:rPr>
        <w:t>(</w:t>
      </w:r>
      <w:r w:rsidR="00227946" w:rsidRPr="007431DD">
        <w:rPr>
          <w:rFonts w:eastAsia="Adobe Gothic Std B"/>
          <w:sz w:val="24"/>
          <w:szCs w:val="24"/>
        </w:rPr>
        <w:t xml:space="preserve">SP11726 del </w:t>
      </w:r>
      <w:r w:rsidR="00B27712" w:rsidRPr="007431DD">
        <w:rPr>
          <w:rFonts w:eastAsia="Adobe Gothic Std B"/>
          <w:sz w:val="24"/>
          <w:szCs w:val="24"/>
        </w:rPr>
        <w:t>03</w:t>
      </w:r>
      <w:r w:rsidR="00C22B89" w:rsidRPr="007431DD">
        <w:rPr>
          <w:rFonts w:eastAsia="Adobe Gothic Std B"/>
          <w:sz w:val="24"/>
          <w:szCs w:val="24"/>
        </w:rPr>
        <w:t xml:space="preserve"> de septiembre de 2014</w:t>
      </w:r>
      <w:r w:rsidR="00445CB9" w:rsidRPr="007431DD">
        <w:rPr>
          <w:rFonts w:eastAsia="Adobe Gothic Std B"/>
          <w:sz w:val="24"/>
          <w:szCs w:val="24"/>
        </w:rPr>
        <w:t>)</w:t>
      </w:r>
      <w:r w:rsidR="00C22B89" w:rsidRPr="007431DD">
        <w:rPr>
          <w:rFonts w:eastAsia="Adobe Gothic Std B"/>
          <w:sz w:val="24"/>
          <w:szCs w:val="24"/>
        </w:rPr>
        <w:t xml:space="preserve"> y Rad. 42617</w:t>
      </w:r>
      <w:r w:rsidR="00445CB9" w:rsidRPr="007431DD">
        <w:rPr>
          <w:rFonts w:eastAsia="Adobe Gothic Std B"/>
          <w:sz w:val="24"/>
          <w:szCs w:val="24"/>
        </w:rPr>
        <w:t xml:space="preserve"> (</w:t>
      </w:r>
      <w:r w:rsidR="00227946" w:rsidRPr="007431DD">
        <w:rPr>
          <w:rFonts w:eastAsia="Adobe Gothic Std B"/>
          <w:sz w:val="24"/>
          <w:szCs w:val="24"/>
        </w:rPr>
        <w:t xml:space="preserve">SP15519 del </w:t>
      </w:r>
      <w:r w:rsidR="00C22B89" w:rsidRPr="007431DD">
        <w:rPr>
          <w:rFonts w:eastAsia="Adobe Gothic Std B"/>
          <w:sz w:val="24"/>
          <w:szCs w:val="24"/>
        </w:rPr>
        <w:t>12 de noviembre de 20</w:t>
      </w:r>
      <w:r w:rsidR="00B27712" w:rsidRPr="007431DD">
        <w:rPr>
          <w:rFonts w:eastAsia="Adobe Gothic Std B"/>
          <w:sz w:val="24"/>
          <w:szCs w:val="24"/>
        </w:rPr>
        <w:t>14</w:t>
      </w:r>
      <w:r w:rsidR="00445CB9" w:rsidRPr="007431DD">
        <w:rPr>
          <w:rFonts w:eastAsia="Adobe Gothic Std B"/>
          <w:sz w:val="24"/>
          <w:szCs w:val="24"/>
        </w:rPr>
        <w:t>)</w:t>
      </w:r>
      <w:r w:rsidR="00B27712" w:rsidRPr="007431DD">
        <w:rPr>
          <w:rFonts w:eastAsia="Adobe Gothic Std B"/>
          <w:sz w:val="24"/>
          <w:szCs w:val="24"/>
        </w:rPr>
        <w:t>, entre otras-, e incluso, que en l</w:t>
      </w:r>
      <w:r w:rsidR="009A1CA4" w:rsidRPr="007431DD">
        <w:rPr>
          <w:rFonts w:eastAsia="Adobe Gothic Std B"/>
          <w:sz w:val="24"/>
          <w:szCs w:val="24"/>
        </w:rPr>
        <w:t>os eventos en los que se excediera</w:t>
      </w:r>
      <w:r w:rsidR="00B27712" w:rsidRPr="007431DD">
        <w:rPr>
          <w:rFonts w:eastAsia="Adobe Gothic Std B"/>
          <w:sz w:val="24"/>
          <w:szCs w:val="24"/>
        </w:rPr>
        <w:t xml:space="preserve"> el límite de lo permitido</w:t>
      </w:r>
      <w:r w:rsidR="00CE0459" w:rsidRPr="007431DD">
        <w:rPr>
          <w:rFonts w:eastAsia="Adobe Gothic Std B"/>
          <w:sz w:val="24"/>
          <w:szCs w:val="24"/>
        </w:rPr>
        <w:t>,</w:t>
      </w:r>
      <w:r w:rsidR="00B27712" w:rsidRPr="007431DD">
        <w:rPr>
          <w:rFonts w:eastAsia="Adobe Gothic Std B"/>
          <w:sz w:val="24"/>
          <w:szCs w:val="24"/>
        </w:rPr>
        <w:t xml:space="preserve"> c</w:t>
      </w:r>
      <w:r w:rsidR="00CE0459" w:rsidRPr="007431DD">
        <w:rPr>
          <w:rFonts w:eastAsia="Adobe Gothic Std B"/>
          <w:sz w:val="24"/>
          <w:szCs w:val="24"/>
        </w:rPr>
        <w:t>omo delito de peligro abstracto</w:t>
      </w:r>
      <w:r w:rsidR="00EB66A5" w:rsidRPr="007431DD">
        <w:rPr>
          <w:rFonts w:eastAsia="Adobe Gothic Std B"/>
          <w:sz w:val="24"/>
          <w:szCs w:val="24"/>
        </w:rPr>
        <w:t xml:space="preserve">, </w:t>
      </w:r>
      <w:r w:rsidR="00B27712" w:rsidRPr="007431DD">
        <w:rPr>
          <w:rFonts w:eastAsia="Adobe Gothic Std B"/>
          <w:sz w:val="24"/>
          <w:szCs w:val="24"/>
        </w:rPr>
        <w:t xml:space="preserve"> la presunción era legal -iuris tantum- y n</w:t>
      </w:r>
      <w:r w:rsidR="00CE0459" w:rsidRPr="007431DD">
        <w:rPr>
          <w:rFonts w:eastAsia="Adobe Gothic Std B"/>
          <w:sz w:val="24"/>
          <w:szCs w:val="24"/>
        </w:rPr>
        <w:t>o de derecho -iuris et de iure-</w:t>
      </w:r>
      <w:r w:rsidR="00B27712" w:rsidRPr="007431DD">
        <w:rPr>
          <w:rFonts w:eastAsia="Adobe Gothic Std B"/>
          <w:sz w:val="24"/>
          <w:szCs w:val="24"/>
        </w:rPr>
        <w:t xml:space="preserve"> y como consecuencia de ello admitía prueba en contrario; por tanto, la cantidad de estupefaciente incautado no sería el único elemento para definir ese aspecto, sino uno más de los que el fallador debía valorar a efectos de resolver lo pertinente.</w:t>
      </w:r>
    </w:p>
    <w:p w:rsidR="00B27712" w:rsidRPr="007431DD" w:rsidRDefault="00B27712" w:rsidP="0042096D">
      <w:pPr>
        <w:pStyle w:val="Prrafodelista"/>
        <w:spacing w:line="360" w:lineRule="auto"/>
        <w:ind w:right="283"/>
        <w:rPr>
          <w:rFonts w:eastAsia="Adobe Gothic Std B"/>
          <w:sz w:val="24"/>
          <w:szCs w:val="24"/>
        </w:rPr>
      </w:pPr>
    </w:p>
    <w:p w:rsidR="005B5024" w:rsidRPr="007431DD" w:rsidRDefault="00C17852" w:rsidP="0042096D">
      <w:pPr>
        <w:pStyle w:val="Prrafodelista"/>
        <w:numPr>
          <w:ilvl w:val="1"/>
          <w:numId w:val="17"/>
        </w:numPr>
        <w:spacing w:line="360" w:lineRule="auto"/>
        <w:ind w:left="0" w:right="283" w:firstLine="0"/>
        <w:jc w:val="both"/>
        <w:rPr>
          <w:i/>
          <w:sz w:val="24"/>
          <w:szCs w:val="24"/>
        </w:rPr>
      </w:pPr>
      <w:r w:rsidRPr="007431DD">
        <w:rPr>
          <w:rFonts w:eastAsia="Adobe Gothic Std B"/>
          <w:sz w:val="24"/>
          <w:szCs w:val="24"/>
        </w:rPr>
        <w:t xml:space="preserve"> </w:t>
      </w:r>
      <w:r w:rsidR="005B5024" w:rsidRPr="007431DD">
        <w:rPr>
          <w:rFonts w:eastAsia="Adobe Gothic Std B"/>
          <w:sz w:val="24"/>
          <w:szCs w:val="24"/>
        </w:rPr>
        <w:t>En razón  de la jurisprudencia vigente actualmente sobre la materia,</w:t>
      </w:r>
      <w:r w:rsidR="00286E5B">
        <w:rPr>
          <w:rFonts w:eastAsia="Adobe Gothic Std B"/>
          <w:sz w:val="24"/>
          <w:szCs w:val="24"/>
        </w:rPr>
        <w:t xml:space="preserve"> debe advertirse que la </w:t>
      </w:r>
      <w:r w:rsidR="00440F12">
        <w:rPr>
          <w:rFonts w:eastAsia="Adobe Gothic Std B"/>
          <w:sz w:val="24"/>
          <w:szCs w:val="24"/>
        </w:rPr>
        <w:t xml:space="preserve">sentencia fundante de esta línea </w:t>
      </w:r>
      <w:r w:rsidR="00286E5B">
        <w:rPr>
          <w:rFonts w:eastAsia="Adobe Gothic Std B"/>
          <w:sz w:val="24"/>
          <w:szCs w:val="24"/>
        </w:rPr>
        <w:t>es</w:t>
      </w:r>
      <w:r w:rsidR="00440F12">
        <w:rPr>
          <w:rFonts w:eastAsia="Adobe Gothic Std B"/>
          <w:sz w:val="24"/>
          <w:szCs w:val="24"/>
        </w:rPr>
        <w:t xml:space="preserve"> la SP-2940 del 9 de marzo de 2016 proferida por la SP dentro del radicado 41760. Sin embargo,</w:t>
      </w:r>
      <w:r w:rsidR="00286E5B">
        <w:rPr>
          <w:rFonts w:eastAsia="Adobe Gothic Std B"/>
          <w:sz w:val="24"/>
          <w:szCs w:val="24"/>
        </w:rPr>
        <w:t xml:space="preserve"> el nuevo criterio se concreta</w:t>
      </w:r>
      <w:r w:rsidR="00440F12">
        <w:rPr>
          <w:rFonts w:eastAsia="Adobe Gothic Std B"/>
          <w:sz w:val="24"/>
          <w:szCs w:val="24"/>
        </w:rPr>
        <w:t xml:space="preserve"> </w:t>
      </w:r>
      <w:r w:rsidR="00286E5B">
        <w:rPr>
          <w:rFonts w:eastAsia="Adobe Gothic Std B"/>
          <w:sz w:val="24"/>
          <w:szCs w:val="24"/>
        </w:rPr>
        <w:t>en la SP-9916 de 11 de julio de 2017 dentro del</w:t>
      </w:r>
      <w:r w:rsidR="005B5024" w:rsidRPr="007431DD">
        <w:rPr>
          <w:rFonts w:eastAsia="Adobe Gothic Std B"/>
          <w:sz w:val="24"/>
          <w:szCs w:val="24"/>
        </w:rPr>
        <w:t xml:space="preserve"> radicado 44997, donde se expuso lo siguiente e</w:t>
      </w:r>
      <w:r w:rsidR="00A100FA">
        <w:rPr>
          <w:rFonts w:eastAsia="Adobe Gothic Std B"/>
          <w:sz w:val="24"/>
          <w:szCs w:val="24"/>
        </w:rPr>
        <w:t>n sus apartes má</w:t>
      </w:r>
      <w:r w:rsidR="005B5024" w:rsidRPr="007431DD">
        <w:rPr>
          <w:rFonts w:eastAsia="Adobe Gothic Std B"/>
          <w:sz w:val="24"/>
          <w:szCs w:val="24"/>
        </w:rPr>
        <w:t>s relevantes :</w:t>
      </w:r>
    </w:p>
    <w:p w:rsidR="00A60953" w:rsidRPr="007431DD" w:rsidRDefault="00A60953" w:rsidP="0042096D">
      <w:pPr>
        <w:spacing w:line="360" w:lineRule="auto"/>
        <w:ind w:right="283"/>
        <w:jc w:val="both"/>
        <w:rPr>
          <w:i/>
          <w:sz w:val="24"/>
          <w:szCs w:val="24"/>
        </w:rPr>
      </w:pPr>
    </w:p>
    <w:p w:rsidR="007F7FEF" w:rsidRDefault="00A60953" w:rsidP="0042096D">
      <w:pPr>
        <w:spacing w:line="360" w:lineRule="auto"/>
        <w:ind w:right="283"/>
        <w:jc w:val="both"/>
        <w:rPr>
          <w:sz w:val="24"/>
          <w:szCs w:val="24"/>
          <w:lang w:val="es-ES"/>
        </w:rPr>
      </w:pPr>
      <w:r w:rsidRPr="007431DD">
        <w:rPr>
          <w:sz w:val="24"/>
          <w:szCs w:val="24"/>
        </w:rPr>
        <w:t xml:space="preserve">4.7.1. </w:t>
      </w:r>
      <w:r w:rsidR="0008117B" w:rsidRPr="007431DD">
        <w:rPr>
          <w:sz w:val="24"/>
          <w:szCs w:val="24"/>
        </w:rPr>
        <w:t xml:space="preserve">Se hizo referencia a las sentencias </w:t>
      </w:r>
      <w:r w:rsidRPr="007431DD">
        <w:rPr>
          <w:sz w:val="24"/>
          <w:szCs w:val="24"/>
        </w:rPr>
        <w:t xml:space="preserve"> </w:t>
      </w:r>
      <w:r w:rsidR="002C4C90" w:rsidRPr="007431DD">
        <w:rPr>
          <w:sz w:val="24"/>
          <w:szCs w:val="24"/>
          <w:lang w:val="es-ES"/>
        </w:rPr>
        <w:t>C-221 de 1994</w:t>
      </w:r>
      <w:r w:rsidR="001D303C">
        <w:rPr>
          <w:sz w:val="24"/>
          <w:szCs w:val="24"/>
          <w:lang w:val="es-ES"/>
        </w:rPr>
        <w:t>, C-</w:t>
      </w:r>
      <w:r w:rsidR="00C40137">
        <w:rPr>
          <w:sz w:val="24"/>
          <w:szCs w:val="24"/>
          <w:lang w:val="es-ES"/>
        </w:rPr>
        <w:t>689 de 2002, C</w:t>
      </w:r>
      <w:r w:rsidR="001D303C">
        <w:rPr>
          <w:sz w:val="24"/>
          <w:szCs w:val="24"/>
          <w:lang w:val="es-ES"/>
        </w:rPr>
        <w:t>-574 y C-582 de 2011 y C-</w:t>
      </w:r>
      <w:r w:rsidR="0008117B" w:rsidRPr="007431DD">
        <w:rPr>
          <w:sz w:val="24"/>
          <w:szCs w:val="24"/>
          <w:lang w:val="es-ES"/>
        </w:rPr>
        <w:t>491 de 2012, a efectos de distinguir el tratamiento que se debía dar a los casos de conductas dirigidas al consumo de lo que se ha definido como dosis para uso individu</w:t>
      </w:r>
      <w:r w:rsidR="007F7FEF" w:rsidRPr="007431DD">
        <w:rPr>
          <w:sz w:val="24"/>
          <w:szCs w:val="24"/>
          <w:lang w:val="es-ES"/>
        </w:rPr>
        <w:t>al según el artículo 2º, literal j) de  la Ley 30 de 1986 y  aquellas dirigidas al tráfico o comercialización de estupefacientes, que debían ser penalizadas en virtud de tener un propósito de lucro.</w:t>
      </w:r>
    </w:p>
    <w:p w:rsidR="00D33672" w:rsidRPr="007431DD" w:rsidRDefault="00D33672" w:rsidP="0042096D">
      <w:pPr>
        <w:spacing w:line="360" w:lineRule="auto"/>
        <w:ind w:right="283"/>
        <w:jc w:val="both"/>
        <w:rPr>
          <w:sz w:val="24"/>
          <w:szCs w:val="24"/>
          <w:lang w:val="es-ES"/>
        </w:rPr>
      </w:pPr>
    </w:p>
    <w:p w:rsidR="002C4C90" w:rsidRPr="00A100FA" w:rsidRDefault="007F7FEF" w:rsidP="0042096D">
      <w:pPr>
        <w:tabs>
          <w:tab w:val="left" w:pos="709"/>
        </w:tabs>
        <w:spacing w:line="360" w:lineRule="auto"/>
        <w:ind w:right="283"/>
        <w:jc w:val="both"/>
        <w:rPr>
          <w:sz w:val="24"/>
          <w:szCs w:val="24"/>
          <w:lang w:val="es-ES"/>
        </w:rPr>
      </w:pPr>
      <w:r w:rsidRPr="00A100FA">
        <w:rPr>
          <w:sz w:val="24"/>
          <w:szCs w:val="24"/>
          <w:lang w:val="es-ES"/>
        </w:rPr>
        <w:t xml:space="preserve">4.7.2 Se hizo </w:t>
      </w:r>
      <w:r w:rsidR="00D33672">
        <w:rPr>
          <w:sz w:val="24"/>
          <w:szCs w:val="24"/>
          <w:lang w:val="es-ES"/>
        </w:rPr>
        <w:t>alusión</w:t>
      </w:r>
      <w:r w:rsidRPr="00A100FA">
        <w:rPr>
          <w:sz w:val="24"/>
          <w:szCs w:val="24"/>
          <w:lang w:val="es-ES"/>
        </w:rPr>
        <w:t xml:space="preserve"> a la posición de la SP de la CSJ en el sentido de que pese a la libertad de configuración legislativa para configurar tipos de peligro abstracto, y se dijo:  </w:t>
      </w:r>
    </w:p>
    <w:p w:rsidR="002C4C90" w:rsidRPr="00CA6699" w:rsidRDefault="00CA6699" w:rsidP="0042096D">
      <w:pPr>
        <w:pStyle w:val="Prrafodelista"/>
        <w:tabs>
          <w:tab w:val="left" w:pos="709"/>
          <w:tab w:val="left" w:pos="8505"/>
        </w:tabs>
        <w:spacing w:line="360" w:lineRule="auto"/>
        <w:ind w:right="567"/>
        <w:jc w:val="both"/>
        <w:rPr>
          <w:i/>
          <w:sz w:val="22"/>
          <w:szCs w:val="22"/>
          <w:lang w:val="es-ES"/>
        </w:rPr>
      </w:pPr>
      <w:r>
        <w:rPr>
          <w:sz w:val="24"/>
          <w:szCs w:val="24"/>
          <w:lang w:val="es-ES"/>
        </w:rPr>
        <w:t>“</w:t>
      </w:r>
      <w:r w:rsidR="00B72A45" w:rsidRPr="007431DD">
        <w:rPr>
          <w:sz w:val="24"/>
          <w:szCs w:val="24"/>
          <w:lang w:val="es-ES"/>
        </w:rPr>
        <w:t xml:space="preserve">(... </w:t>
      </w:r>
      <w:r w:rsidR="00A100FA">
        <w:rPr>
          <w:sz w:val="24"/>
          <w:szCs w:val="24"/>
          <w:lang w:val="es-ES"/>
        </w:rPr>
        <w:t>)</w:t>
      </w:r>
      <w:r>
        <w:rPr>
          <w:sz w:val="24"/>
          <w:szCs w:val="24"/>
          <w:lang w:val="es-ES"/>
        </w:rPr>
        <w:t xml:space="preserve"> </w:t>
      </w:r>
      <w:r w:rsidR="002C4C90" w:rsidRPr="00CA6699">
        <w:rPr>
          <w:i/>
          <w:sz w:val="22"/>
          <w:szCs w:val="22"/>
          <w:lang w:val="es-ES"/>
        </w:rPr>
        <w:t>Sin embargo, precisando aquel concepto, la Sala definió con base</w:t>
      </w:r>
      <w:r w:rsidRPr="00CA6699">
        <w:rPr>
          <w:i/>
          <w:sz w:val="22"/>
          <w:szCs w:val="22"/>
          <w:lang w:val="es-ES"/>
        </w:rPr>
        <w:t xml:space="preserve"> en su propia jurisprudencia</w:t>
      </w:r>
      <w:r w:rsidR="002C4C90" w:rsidRPr="00CA6699">
        <w:rPr>
          <w:i/>
          <w:sz w:val="22"/>
          <w:szCs w:val="22"/>
          <w:lang w:val="es-ES"/>
        </w:rPr>
        <w:t>, que no obstante la legitimidad del legislador para configurar delitos de peligro abstracto, estos no pueden contener una presunción iuris et de iure y en todos los casos admite prueba en contrario en el proceso valorativo sobre su lesividad, llevado a cabo por el juez frente a la conducta concreta:</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p>
    <w:p w:rsidR="002C4C90" w:rsidRPr="00CA6699" w:rsidRDefault="00CA6699"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[E</w:t>
      </w:r>
      <w:r w:rsidR="002C4C90" w:rsidRPr="00CA6699">
        <w:rPr>
          <w:i/>
          <w:sz w:val="22"/>
          <w:szCs w:val="22"/>
          <w:lang w:val="es-ES"/>
        </w:rPr>
        <w:t>]l porte de estupefacientes en una cantidad superior a la establecida legalmente como dosis de uso personal, es una conducta típica que se presume antijurídica. Sin embargo, como quiera que tal presunción ostenta carácter  iuris tantum, la prueba de que su</w:t>
      </w:r>
      <w:r w:rsidR="002C4C90" w:rsidRPr="00CA6699">
        <w:rPr>
          <w:sz w:val="22"/>
          <w:szCs w:val="22"/>
          <w:lang w:val="es-ES"/>
        </w:rPr>
        <w:t xml:space="preserve"> </w:t>
      </w:r>
      <w:r w:rsidR="002C4C90" w:rsidRPr="00CA6699">
        <w:rPr>
          <w:i/>
          <w:sz w:val="22"/>
          <w:szCs w:val="22"/>
          <w:lang w:val="es-ES"/>
        </w:rPr>
        <w:t xml:space="preserve">destino es el consumo estrictamente personal sin que apareje interferencia en derechos ajenos (orden socio-económico o la seguridad pública), desvirtúa tal suposición legal y, por ende, excluye la </w:t>
      </w:r>
      <w:r w:rsidR="002C4C90" w:rsidRPr="00CA6699">
        <w:rPr>
          <w:i/>
          <w:sz w:val="22"/>
          <w:szCs w:val="22"/>
          <w:lang w:val="es-ES"/>
        </w:rPr>
        <w:lastRenderedPageBreak/>
        <w:t xml:space="preserve">responsabilidad penal. En consecuencia, la cantidad de estupefaciente que se lleve consigo no es el único elemento definitorio de la antijuridicidad, sino sólo uno más de los que habrán de valorar los juzgadores a fin de determinar la licitud de la finalidad del porte.    </w:t>
      </w:r>
    </w:p>
    <w:p w:rsidR="002C4C90" w:rsidRPr="00CA6699" w:rsidRDefault="002C4C90" w:rsidP="0042096D">
      <w:pPr>
        <w:pStyle w:val="Prrafodelista"/>
        <w:tabs>
          <w:tab w:val="left" w:pos="709"/>
          <w:tab w:val="left" w:pos="8505"/>
        </w:tabs>
        <w:spacing w:line="360" w:lineRule="auto"/>
        <w:ind w:right="567"/>
        <w:jc w:val="both"/>
        <w:rPr>
          <w:sz w:val="22"/>
          <w:szCs w:val="22"/>
          <w:lang w:val="es-ES"/>
        </w:rPr>
      </w:pP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 xml:space="preserve">Con ello quedaba resuelto el problema relacionado con el peso de la sustancia que era objeto de porte, pues la cantidad deja de ser un factor determinante a efectos de establecer la lesividad de la conducta, precisándose la posibilidad de desvirtuarse en el juicio concreto de responsabilidad el carácter antijurídico presunto de las acciones de llevar consigo sustancias estupefacientes que desbordan los límites previstos legalmente para la dosis de uso personal. </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p>
    <w:p w:rsidR="002C4C90" w:rsidRPr="00CA6699" w:rsidRDefault="002C4C90" w:rsidP="0042096D">
      <w:pPr>
        <w:pStyle w:val="Prrafodelista"/>
        <w:tabs>
          <w:tab w:val="left" w:pos="709"/>
          <w:tab w:val="left" w:pos="8505"/>
        </w:tabs>
        <w:spacing w:line="360" w:lineRule="auto"/>
        <w:ind w:right="567"/>
        <w:jc w:val="both"/>
        <w:rPr>
          <w:sz w:val="22"/>
          <w:szCs w:val="22"/>
          <w:lang w:val="es-ES"/>
        </w:rPr>
      </w:pPr>
      <w:r w:rsidRPr="00CA6699">
        <w:rPr>
          <w:i/>
          <w:sz w:val="22"/>
          <w:szCs w:val="22"/>
          <w:lang w:val="es-ES"/>
        </w:rPr>
        <w:t>El tema fue retomado, finalmente, en las sentencias CSJ SP-2940, 9 mar. 2016, rad. 41760; CSJ SP-4131, 6 abr. 2016, rad. 43512; y, CSJ SP-3605, 15 mar. 2017, rad. 43725, en las que se acentuó la vigencia del concepto de dosis mínima para el uso personal, previsto en el literal j) del artículo 2º de la Ley 30 de 1986, bajo el entendido que la proposición jurídica debe integrarse con el Acto Legislativo 02 de 2009 y las sentencias que se han adoptado en este sentido, bajo la comprensión que el consumidor o adicto puede portar una cantidad diferente a la legalmente establecida, siempre y cuando lo haga con la finalidad de su uso personal y aprovisionamiento, acorde con sus necesidades de consumo</w:t>
      </w:r>
      <w:r w:rsidRPr="00CA6699">
        <w:rPr>
          <w:sz w:val="22"/>
          <w:szCs w:val="22"/>
          <w:lang w:val="es-ES"/>
        </w:rPr>
        <w:t>.</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Así se sostuvo por parte de esta Corporación:</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w:t>
      </w:r>
      <w:r w:rsidR="00CA6699">
        <w:rPr>
          <w:i/>
          <w:sz w:val="22"/>
          <w:szCs w:val="22"/>
          <w:lang w:val="es-ES"/>
        </w:rPr>
        <w:t>L</w:t>
      </w:r>
      <w:r w:rsidRPr="00CA6699">
        <w:rPr>
          <w:i/>
          <w:sz w:val="22"/>
          <w:szCs w:val="22"/>
          <w:lang w:val="es-ES"/>
        </w:rPr>
        <w:t>]a dosis personal que genera atipicidad de la conducta por la circunstancia de cantidad no es solamente la que determina el literal j) del artículo 2 de la Ley 30 de 1986, como hasta ahora se ha venido entendiendo por la jurisprudencia, sino también la que se</w:t>
      </w:r>
      <w:r w:rsidRPr="00CA6699">
        <w:rPr>
          <w:sz w:val="22"/>
          <w:szCs w:val="22"/>
          <w:lang w:val="es-ES"/>
        </w:rPr>
        <w:t xml:space="preserve"> </w:t>
      </w:r>
      <w:r w:rsidRPr="00CA6699">
        <w:rPr>
          <w:i/>
          <w:sz w:val="22"/>
          <w:szCs w:val="22"/>
          <w:lang w:val="es-ES"/>
        </w:rPr>
        <w:t>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 xml:space="preserve"> </w:t>
      </w:r>
    </w:p>
    <w:p w:rsidR="002C4C90"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 xml:space="preserve">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w:t>
      </w:r>
      <w:r w:rsidRPr="00CA6699">
        <w:rPr>
          <w:i/>
          <w:sz w:val="22"/>
          <w:szCs w:val="22"/>
          <w:lang w:val="es-ES"/>
        </w:rPr>
        <w:lastRenderedPageBreak/>
        <w:t>elaborarla, venderla, ofrecerla, adquirirla, financiarla, suministrarla o portarla con áni</w:t>
      </w:r>
      <w:r w:rsidR="00CA6699">
        <w:rPr>
          <w:i/>
          <w:sz w:val="22"/>
          <w:szCs w:val="22"/>
          <w:lang w:val="es-ES"/>
        </w:rPr>
        <w:t>mo diverso al consumo personal.”</w:t>
      </w:r>
    </w:p>
    <w:p w:rsidR="00CA6699" w:rsidRPr="007431DD" w:rsidRDefault="00CA6699" w:rsidP="0042096D">
      <w:pPr>
        <w:pStyle w:val="Prrafodelista"/>
        <w:tabs>
          <w:tab w:val="left" w:pos="709"/>
          <w:tab w:val="left" w:pos="8505"/>
        </w:tabs>
        <w:spacing w:line="360" w:lineRule="auto"/>
        <w:ind w:right="283"/>
        <w:jc w:val="both"/>
        <w:rPr>
          <w:i/>
          <w:sz w:val="24"/>
          <w:szCs w:val="24"/>
          <w:lang w:val="es-ES"/>
        </w:rPr>
      </w:pPr>
    </w:p>
    <w:p w:rsidR="00461E29" w:rsidRPr="007431DD" w:rsidRDefault="00B72A45" w:rsidP="0042096D">
      <w:pPr>
        <w:pStyle w:val="Prrafodelista"/>
        <w:tabs>
          <w:tab w:val="left" w:pos="709"/>
        </w:tabs>
        <w:spacing w:line="360" w:lineRule="auto"/>
        <w:ind w:right="283"/>
        <w:jc w:val="both"/>
        <w:rPr>
          <w:sz w:val="24"/>
          <w:szCs w:val="24"/>
          <w:lang w:val="es-ES"/>
        </w:rPr>
      </w:pPr>
      <w:r w:rsidRPr="007431DD">
        <w:rPr>
          <w:sz w:val="24"/>
          <w:szCs w:val="24"/>
          <w:lang w:val="es-ES"/>
        </w:rPr>
        <w:t xml:space="preserve">4.7.3 En el mismo precedente que se viene citando </w:t>
      </w:r>
      <w:r w:rsidRPr="007431DD">
        <w:rPr>
          <w:sz w:val="24"/>
          <w:szCs w:val="24"/>
          <w:lang w:val="es-ES"/>
        </w:rPr>
        <w:tab/>
        <w:t xml:space="preserve">(CSJ SP del 11 de julio de 2017, radicado 44997), se hicieron una serie de consideraciones que resultan determinantes para la decisión que se debe adoptar en el presente caso así : i) el tipo del artículo 376 del CP contiene </w:t>
      </w:r>
      <w:r w:rsidR="00FF5645" w:rsidRPr="007431DD">
        <w:rPr>
          <w:sz w:val="24"/>
          <w:szCs w:val="24"/>
          <w:lang w:val="es-ES"/>
        </w:rPr>
        <w:t>un “</w:t>
      </w:r>
      <w:r w:rsidR="00CA6699">
        <w:rPr>
          <w:sz w:val="24"/>
          <w:szCs w:val="24"/>
          <w:lang w:val="es-ES"/>
        </w:rPr>
        <w:t xml:space="preserve"> ingrediente subjetivo tácito” </w:t>
      </w:r>
      <w:r w:rsidR="00FF5645" w:rsidRPr="007431DD">
        <w:rPr>
          <w:sz w:val="24"/>
          <w:szCs w:val="24"/>
          <w:lang w:val="es-ES"/>
        </w:rPr>
        <w:t>derivado del propósito de</w:t>
      </w:r>
      <w:r w:rsidR="00CA6699">
        <w:rPr>
          <w:sz w:val="24"/>
          <w:szCs w:val="24"/>
          <w:lang w:val="es-ES"/>
        </w:rPr>
        <w:t xml:space="preserve"> quien realiza las conducta de “llevar consigo”</w:t>
      </w:r>
      <w:r w:rsidR="00FF5645" w:rsidRPr="007431DD">
        <w:rPr>
          <w:sz w:val="24"/>
          <w:szCs w:val="24"/>
          <w:lang w:val="es-ES"/>
        </w:rPr>
        <w:t>,  que hace parte del supuesto de hecho de esa norma, por lo cual lo determinante no viene a ser la cantidad de sustancia controlada que porte el infractor</w:t>
      </w:r>
      <w:r w:rsidR="00461E29" w:rsidRPr="007431DD">
        <w:rPr>
          <w:sz w:val="24"/>
          <w:szCs w:val="24"/>
          <w:lang w:val="es-ES"/>
        </w:rPr>
        <w:t xml:space="preserve">; </w:t>
      </w:r>
      <w:r w:rsidR="00FF5645" w:rsidRPr="007431DD">
        <w:rPr>
          <w:sz w:val="24"/>
          <w:szCs w:val="24"/>
          <w:lang w:val="es-ES"/>
        </w:rPr>
        <w:t xml:space="preserve">  ii) se debe establecer si el propósito del autor de la conducta es el uso personal de la sustancia o si es portada con fines de distribución o de tráfico</w:t>
      </w:r>
      <w:r w:rsidR="00461E29" w:rsidRPr="007431DD">
        <w:rPr>
          <w:sz w:val="24"/>
          <w:szCs w:val="24"/>
          <w:lang w:val="es-ES"/>
        </w:rPr>
        <w:t xml:space="preserve"> y iii) en atención a  lo dispuesto en el inciso 2º del artículo 7º de la Ley 906 de 2004, la corresponde a la FGN la carga de la prueba de los fines del porte del material estupefaciente.</w:t>
      </w:r>
    </w:p>
    <w:p w:rsidR="00461E29" w:rsidRPr="007431DD" w:rsidRDefault="00461E29" w:rsidP="0042096D">
      <w:pPr>
        <w:pStyle w:val="Prrafodelista"/>
        <w:tabs>
          <w:tab w:val="left" w:pos="709"/>
        </w:tabs>
        <w:spacing w:line="360" w:lineRule="auto"/>
        <w:ind w:right="283"/>
        <w:jc w:val="both"/>
        <w:rPr>
          <w:sz w:val="24"/>
          <w:szCs w:val="24"/>
          <w:lang w:val="es-ES"/>
        </w:rPr>
      </w:pPr>
    </w:p>
    <w:p w:rsidR="00461E29" w:rsidRPr="007431DD" w:rsidRDefault="00461E29" w:rsidP="0042096D">
      <w:pPr>
        <w:pStyle w:val="Prrafodelista"/>
        <w:tabs>
          <w:tab w:val="left" w:pos="709"/>
        </w:tabs>
        <w:spacing w:line="360" w:lineRule="auto"/>
        <w:ind w:right="283"/>
        <w:jc w:val="both"/>
        <w:rPr>
          <w:sz w:val="24"/>
          <w:szCs w:val="24"/>
          <w:lang w:val="es-ES"/>
        </w:rPr>
      </w:pPr>
      <w:r w:rsidRPr="007431DD">
        <w:rPr>
          <w:sz w:val="24"/>
          <w:szCs w:val="24"/>
          <w:lang w:val="es-ES"/>
        </w:rPr>
        <w:t>En ese sentido se dijo lo s</w:t>
      </w:r>
      <w:r w:rsidR="00CA6699">
        <w:rPr>
          <w:sz w:val="24"/>
          <w:szCs w:val="24"/>
          <w:lang w:val="es-ES"/>
        </w:rPr>
        <w:t>iguiente en la sentencia citada</w:t>
      </w:r>
      <w:r w:rsidRPr="007431DD">
        <w:rPr>
          <w:sz w:val="24"/>
          <w:szCs w:val="24"/>
          <w:lang w:val="es-ES"/>
        </w:rPr>
        <w:t>:</w:t>
      </w:r>
    </w:p>
    <w:p w:rsidR="00461E29" w:rsidRPr="007431DD" w:rsidRDefault="00461E29" w:rsidP="0042096D">
      <w:pPr>
        <w:pStyle w:val="Prrafodelista"/>
        <w:tabs>
          <w:tab w:val="left" w:pos="709"/>
        </w:tabs>
        <w:spacing w:line="360" w:lineRule="auto"/>
        <w:ind w:right="283"/>
        <w:jc w:val="both"/>
        <w:rPr>
          <w:sz w:val="24"/>
          <w:szCs w:val="24"/>
          <w:lang w:val="es-ES"/>
        </w:rPr>
      </w:pPr>
    </w:p>
    <w:p w:rsidR="002C4C90" w:rsidRPr="00C40137" w:rsidRDefault="00CA6699" w:rsidP="0042096D">
      <w:pPr>
        <w:pStyle w:val="Prrafodelista"/>
        <w:tabs>
          <w:tab w:val="left" w:pos="709"/>
        </w:tabs>
        <w:spacing w:line="360" w:lineRule="auto"/>
        <w:ind w:right="567"/>
        <w:jc w:val="both"/>
        <w:rPr>
          <w:i/>
          <w:sz w:val="22"/>
          <w:szCs w:val="22"/>
          <w:lang w:val="es-ES"/>
        </w:rPr>
      </w:pPr>
      <w:r w:rsidRPr="00C40137">
        <w:rPr>
          <w:i/>
          <w:sz w:val="22"/>
          <w:szCs w:val="22"/>
          <w:lang w:val="es-ES"/>
        </w:rPr>
        <w:t>“</w:t>
      </w:r>
      <w:r w:rsidR="00461E29" w:rsidRPr="00C40137">
        <w:rPr>
          <w:i/>
          <w:sz w:val="22"/>
          <w:szCs w:val="22"/>
          <w:lang w:val="es-ES"/>
        </w:rPr>
        <w:t>(...) Pe</w:t>
      </w:r>
      <w:r w:rsidR="002C4C90" w:rsidRPr="00C40137">
        <w:rPr>
          <w:i/>
          <w:sz w:val="22"/>
          <w:szCs w:val="22"/>
          <w:lang w:val="es-ES"/>
        </w:rPr>
        <w:t>ro además, resulta de la mayor importancia la consideración hecha por la Sala en el sentido que el tipo penal del artículo 376 del Código Penal, cuando la conducta se relaciona con el porte de estupefacientes, contiene un ingrediente subjetivo tácito, atinente al propósito del sujeto agente, por lo que la realización del tipo penal no depende en últimas de la cantidad de sustancia llevada consigo sino de la verdadera intención que se persigue a través de la acción descrita:</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C40137" w:rsidP="0042096D">
      <w:pPr>
        <w:pStyle w:val="Prrafodelista"/>
        <w:tabs>
          <w:tab w:val="left" w:pos="709"/>
        </w:tabs>
        <w:spacing w:line="360" w:lineRule="auto"/>
        <w:ind w:right="567"/>
        <w:jc w:val="both"/>
        <w:rPr>
          <w:i/>
          <w:sz w:val="22"/>
          <w:szCs w:val="22"/>
          <w:lang w:val="es-ES"/>
        </w:rPr>
      </w:pPr>
      <w:r w:rsidRPr="00C40137">
        <w:rPr>
          <w:i/>
          <w:sz w:val="22"/>
          <w:szCs w:val="22"/>
          <w:lang w:val="es-ES"/>
        </w:rPr>
        <w:t>[P</w:t>
      </w:r>
      <w:r w:rsidR="002C4C90" w:rsidRPr="00C40137">
        <w:rPr>
          <w:i/>
          <w:sz w:val="22"/>
          <w:szCs w:val="22"/>
          <w:lang w:val="es-ES"/>
        </w:rPr>
        <w:t xml:space="preserve">]ara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 </w:t>
      </w:r>
      <w:r w:rsidR="00461E29" w:rsidRPr="00C40137">
        <w:rPr>
          <w:rStyle w:val="Refdenotaalpie"/>
          <w:i/>
          <w:sz w:val="22"/>
          <w:szCs w:val="22"/>
          <w:lang w:val="es-ES"/>
        </w:rPr>
        <w:footnoteReference w:id="2"/>
      </w: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sz w:val="22"/>
          <w:szCs w:val="22"/>
          <w:lang w:val="es-ES"/>
        </w:rPr>
        <w:t xml:space="preserve"> </w:t>
      </w:r>
      <w:r w:rsidRPr="00C40137">
        <w:rPr>
          <w:i/>
          <w:sz w:val="22"/>
          <w:szCs w:val="22"/>
          <w:lang w:val="es-ES"/>
        </w:rPr>
        <w:t>Llegados a este punto, debe destacarse que la evolución del tema relacionado con el porte de estupefacientes –alusivo al verbo rector llevar consigo-, ha consolidado las siguientes tesis:</w:t>
      </w:r>
    </w:p>
    <w:p w:rsidR="002C4C90" w:rsidRPr="00C40137" w:rsidRDefault="002C4C90" w:rsidP="0042096D">
      <w:pPr>
        <w:pStyle w:val="Prrafodelista"/>
        <w:tabs>
          <w:tab w:val="left" w:pos="709"/>
        </w:tabs>
        <w:spacing w:line="360" w:lineRule="auto"/>
        <w:ind w:right="567"/>
        <w:jc w:val="both"/>
        <w:rPr>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a)</w:t>
      </w:r>
      <w:r w:rsidRPr="00C40137">
        <w:rPr>
          <w:i/>
          <w:sz w:val="22"/>
          <w:szCs w:val="22"/>
          <w:lang w:val="es-ES"/>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lastRenderedPageBreak/>
        <w:t>b)</w:t>
      </w:r>
      <w:r w:rsidRPr="00C40137">
        <w:rPr>
          <w:i/>
          <w:sz w:val="22"/>
          <w:szCs w:val="22"/>
          <w:lang w:val="es-ES"/>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c)</w:t>
      </w:r>
      <w:r w:rsidRPr="00C40137">
        <w:rPr>
          <w:i/>
          <w:sz w:val="22"/>
          <w:szCs w:val="22"/>
          <w:lang w:val="es-ES"/>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Ahora bien, la Sala estima necesario subrayar que la consideración atinente a que es una presunción de antijuridicidad iuris tantum, susceptible de desvirtuar, la que opera sobre la puesta en riesgo de los bienes jurídicos en el delito de Tráfico, fabricación o porte de estupefacientes, no se traduce en la inversión de la carga de la prueba, la misma que en materia de responsabilidad penal estará siempre en cabeza del Estado. </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Lo anterior, por cuanto las presunciones constituyen reglas probatorias y no reglas sobre la carga de la prueba. Por eso, en ningún evento, la carga de la prueba de su inocencia le corresponde al procesado, ella se presume.</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En efecto, los incisos segundo y tercero del artículo 7º de la Ley 906 de 2004, en desarrollo del artículo 29 de la Constitución Política, con claridad precisan que «corresponde al órgano de persecución penal la carga de la prueba acerca de la responsabilidad penal», y que «En ningún caso podrá invertirse esta carga probatoria». </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Esto significa que la carga de probar tiene que ser asumida por el órgano de persecución penal, pues el procesado no tiene por qué presentar pruebas de su inocencia, siendo función del Estado acreditar la ocurrencia del delito, que el acusado intervino en su realización y que es penalmente responsable. Así lo ratifican la Declaración Universal de los Derechos Humanos (artículo 11), el Pacto Internacional de Derechos Civiles y Políticos (artículo 14-2) y la Convención Americana Sobre Derechos Humanos (artículo 8-2).</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En consecuencia, es a la Fiscalía a quien compete la demostración de cada uno de los elementos del tipo penal, entre ellos, la acreditación probatoria de los fines del porte de estupefacientes relacionados con la distribución o tráfico de los mismos y, con ello, la afectación o la efectiva puesta en peligro de los bienes </w:t>
      </w:r>
      <w:r w:rsidRPr="00C40137">
        <w:rPr>
          <w:i/>
          <w:sz w:val="22"/>
          <w:szCs w:val="22"/>
          <w:lang w:val="es-ES"/>
        </w:rPr>
        <w:lastRenderedPageBreak/>
        <w:t>jurídicos protegidos. Obviamente, también corresponde al órgano de persecución penal, en virtud del principio de objetividad (artículo 115 de la Ley 906 de 2004), establecer situaciones relacionadas con la ausencia de responsabilidad, a efectos de no incoar la pretensión punitiva.</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De otro lado, en relación con la acción de llevar consigo, verbo rector alternativo del tipo penal que recoge el artículo 376 del Código Penal, la Corte debe señalar que aunque eventualmente la cantidad de droga que se porte permitiría inferir conductas relacionadas con el tráfico de estupefacientes, no es ese un elemento que pueda adscribirse a la tipicidad de la conducta.</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En este sentido, se torna insuficiente apelar al criterio cuantitativo de dosis para uso personal, previsto en el literal j) del artículo 2º de la Ley 30 de 1986, como factor determinante para la configuración del injusto típico, puesto que en los eventos en que la cantidad llevada consigo no supera aquellos topes previstos por el legislador, la conducta deja de ser relevante para el derecho penal. Mientras, importa subrayarlo, cuando la acción está relacionada con el tráfico, es claro que el comportamiento se estima lesivo del bien jurídico, sin reparar en que la sustancia desborde o no aquellos rangos regulados en la ley.</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De la misma manera, cuando la cantidad de estupefaciente supera la prevista como dosis para el uso personal, es necesario recurrir a otros factores que puedan determinar el juicio de lesividad de la conducta, de modo que la ilicitud se establezca con fundamento en criterios normativos referidos a la relevancia jurídico penal del comportamiento y a la efectiva afectación del bien jurídico protegido, en todo caso distintos al arbitrario y vago concepto legal de dosis personal.</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Valga decir, en el contexto de la nocividad específica de la sustancia de crear dependencia, que es el concreto cometido de protección a través del bien jurídico de la salud pública, el criterio atinente a los límites cuantitativos impuestos por el legislador al determinar la dosis para el uso personal, con frecuencia riñe con las condiciones personales del individuo, caso en el cual entran en juego otros elementos atinentes, por ejemplo, al grado de dependencia, su tolerancia y necesidad, su condición de consumidor adicto, recreativo o primerizo y la posibilidad de abastecimiento en cantidades superiores o de dosis compartidas, lo que escapa a cualquier previsión legislativa. </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Esa misma ambigüedad se ha trasladado en la práctica al juicio de antijuridicidad realizado por jueces y tribunales del país, cuando bajo su arbitrio han recurrido a modificar los topes pretextando la aplicación del principio de insignificancia, </w:t>
      </w:r>
      <w:r w:rsidRPr="00C40137">
        <w:rPr>
          <w:i/>
          <w:sz w:val="22"/>
          <w:szCs w:val="22"/>
          <w:lang w:val="es-ES"/>
        </w:rPr>
        <w:lastRenderedPageBreak/>
        <w:t>introduciendo el discutible criterio de lo ligera o levemente superior a la dosis personal, para concluir en la falta de lesividad de la conducta realizada o, por el contrario, para entender el riesgo real para los bienes jurídicos cuando se supera lo leve o ligero.</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Dicha solución, a más de contribuir a la inseguridad jurídica, en tanto dispensa desiguales juicios valorativos frente a situaciones fácticas semejantes dependiendo del capricho del juzgador, conduce a perder de vista que tratándose de bienes jurídicos supraindividuales los protegidos en este caso por el legislador, su afectación no depende de una cantidad concreta de sustancia psicoactiva, cuando el riesgo no trasciende la esfera privada del portador y, por lo tanto, no interfiere en derechos ajenos susceptibles de protección penal.</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En realidad, no es ese un criterio que pueda resolver de manera satisfactoria el problema de la lesividad de la conducta, puesto que el principio de insignificancia presupone un auténtico juicio de adecuación típica y una afectación real del bien jurídico –aunque de manera nimia-. En tales casos la conducta del agente carece de relevancia para el derecho penal, aun cuando, prima facie, reúna los elementos contenidos en la figura prevista en el Código Penal.</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Por lo tanto, aun cuando se repute como categoría vigente el concepto de dosis personal , aparte de su función reductiva (será impune portar cantidades que no superen ese rango, a excepción de los casos asociados al tráfico o distribución), no es un criterio suficiente para determinar la prohibición inserta en el tipo penal, cuando se admite que independientemente de la cantidad de sustancia estupefaciente que un individuo lleve consigo, lo que en realidad permite establecer la conformación del injusto típico es el fin propuesto de traficar o distribuir con el psicotrópico. Por lo mismo, se hace inocuo la apelación a criterios caprichosos empleados en la praxis judicial como el de cantidad ligera o levemente superior a esa dosis personal.</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En este sentido, cobra importancia la orientación que frente al delito de Tráfico, fabricación o porte de estupefacientes ha dado la Sala en las sentencias CSJ SP-2940, 9 mar. 2016, rad. 41760; CSJ SP-4131, 6 abr. 2016, rad. 43512; y, CSJ SP-3605, 15 mar. 2017, rad. 43725; en el sentido de considerar el ánimo –de consumo propio o de distribución- del sujeto activo como ingrediente subjetivo o finalidad del porte de sustancias alucinógenas, a efectos de excluir su responsabilidad penal o de estimar realizado el tipo de prohibición.</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Con ello, la Corte está reconociendo la existencia en el tipo penal del artículo 376 del Código Penal de lo que se conoce en la doctrina como elementos </w:t>
      </w:r>
      <w:r w:rsidRPr="00C40137">
        <w:rPr>
          <w:i/>
          <w:sz w:val="22"/>
          <w:szCs w:val="22"/>
          <w:lang w:val="es-ES"/>
        </w:rPr>
        <w:lastRenderedPageBreak/>
        <w:t>subjetivos distintos del dolo, elementos subjetivos del tipo o elementos subjetivos del injusto , que son aquellos ingredientes de carácter intencional distintos del dolo que en ocasiones se emplean para describir los tipos penales y que poseen un componente de carácter anímico relacionado con una peculiar finalidad del sujeto realizador de la conducta descrita.</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Como se sabe, en algunas ocasiones es el mismo legislador el que incluye elementos subjetivos en el tipo penal (p. ej. artículo 239 del Código Penal). En otras, sin embargo, es la jurisprudencia la que recurre a elementos especiales de ánimo cuando no se han previsto expresamente en el tipo penal, haciéndose necesarios para identificar con claridad la carga de intencionalidad y, con ello, el sentido de la conducta. </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En todo caso, la función de esos ingredientes subjetivos, distintos al dolo, es la de definir el riesgo jurídicamente relevante, esto es, sirven para confirmar o rechazar la tipicidad de la conducta en el plano material dentro del proceso de imputación objetiva.    </w:t>
      </w:r>
    </w:p>
    <w:p w:rsidR="002C4C90" w:rsidRPr="00C40137" w:rsidRDefault="002C4C90" w:rsidP="0042096D">
      <w:pPr>
        <w:pStyle w:val="Prrafodelista"/>
        <w:tabs>
          <w:tab w:val="left" w:pos="709"/>
        </w:tabs>
        <w:spacing w:line="360" w:lineRule="auto"/>
        <w:ind w:right="567"/>
        <w:jc w:val="both"/>
        <w:rPr>
          <w:i/>
          <w:sz w:val="22"/>
          <w:szCs w:val="22"/>
          <w:u w:val="single"/>
          <w:lang w:val="es-ES"/>
        </w:rPr>
      </w:pPr>
    </w:p>
    <w:p w:rsidR="002C4C90" w:rsidRPr="00C40137" w:rsidRDefault="002C4C90" w:rsidP="0042096D">
      <w:pPr>
        <w:pStyle w:val="Prrafodelista"/>
        <w:tabs>
          <w:tab w:val="left" w:pos="709"/>
        </w:tabs>
        <w:spacing w:line="360" w:lineRule="auto"/>
        <w:ind w:right="567"/>
        <w:jc w:val="both"/>
        <w:rPr>
          <w:i/>
          <w:sz w:val="22"/>
          <w:szCs w:val="22"/>
          <w:u w:val="single"/>
          <w:lang w:val="es-ES"/>
        </w:rPr>
      </w:pPr>
      <w:r w:rsidRPr="00C40137">
        <w:rPr>
          <w:i/>
          <w:sz w:val="22"/>
          <w:szCs w:val="22"/>
          <w:u w:val="single"/>
          <w:lang w:val="es-ES"/>
        </w:rPr>
        <w:t>De esa manera, en relación con el delito de Tráfico, fabricación o porte de estupefacientes, el recurso a los elementos subjetivos diferentes del dolo, tiene el propósito de efectuar una restricción teleológica del tipo penal, pues no obstante que el contenido objetivo del verbo rector llevar consigo remite a la realización de la conducta penalmente relevante con el solo acto de portar las sustancias estupefacientes, psicotrópicas o drogas sintéticas, el desarrollo jurisprudencial atrás relacionado ha reducido el contenido del injusto a la demostración del ánimo por parte del portador de destinarla a su distribución o comercio, como fin o telos de la norma.</w:t>
      </w:r>
    </w:p>
    <w:p w:rsidR="002C4C90" w:rsidRPr="00C40137" w:rsidRDefault="002C4C90" w:rsidP="0042096D">
      <w:pPr>
        <w:pStyle w:val="Prrafodelista"/>
        <w:tabs>
          <w:tab w:val="left" w:pos="709"/>
        </w:tabs>
        <w:spacing w:line="360" w:lineRule="auto"/>
        <w:ind w:right="567"/>
        <w:jc w:val="both"/>
        <w:rPr>
          <w:i/>
          <w:sz w:val="22"/>
          <w:szCs w:val="22"/>
          <w:u w:val="single"/>
          <w:lang w:val="es-ES"/>
        </w:rPr>
      </w:pPr>
    </w:p>
    <w:p w:rsidR="002C4C90" w:rsidRPr="00C40137" w:rsidRDefault="002C4C90" w:rsidP="0042096D">
      <w:pPr>
        <w:pStyle w:val="Prrafodelista"/>
        <w:tabs>
          <w:tab w:val="left" w:pos="709"/>
        </w:tabs>
        <w:spacing w:line="360" w:lineRule="auto"/>
        <w:ind w:right="567"/>
        <w:jc w:val="both"/>
        <w:rPr>
          <w:i/>
          <w:sz w:val="22"/>
          <w:szCs w:val="22"/>
          <w:u w:val="single"/>
          <w:lang w:val="es-ES"/>
        </w:rPr>
      </w:pPr>
      <w:r w:rsidRPr="00C40137">
        <w:rPr>
          <w:i/>
          <w:sz w:val="22"/>
          <w:szCs w:val="22"/>
          <w:u w:val="single"/>
          <w:lang w:val="es-ES"/>
        </w:rPr>
        <w:t xml:space="preserve">Ahora bien,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rsidR="002C4C90" w:rsidRPr="00C40137" w:rsidRDefault="002C4C90" w:rsidP="0042096D">
      <w:pPr>
        <w:pStyle w:val="Prrafodelista"/>
        <w:tabs>
          <w:tab w:val="left" w:pos="709"/>
        </w:tabs>
        <w:spacing w:line="360" w:lineRule="auto"/>
        <w:ind w:right="567"/>
        <w:jc w:val="both"/>
        <w:rPr>
          <w:i/>
          <w:sz w:val="22"/>
          <w:szCs w:val="22"/>
          <w:u w:val="single"/>
          <w:lang w:val="es-ES"/>
        </w:rPr>
      </w:pPr>
    </w:p>
    <w:p w:rsidR="002C4C90" w:rsidRPr="007431DD" w:rsidRDefault="002C4C90" w:rsidP="0042096D">
      <w:pPr>
        <w:pStyle w:val="Prrafodelista"/>
        <w:tabs>
          <w:tab w:val="left" w:pos="709"/>
        </w:tabs>
        <w:spacing w:line="360" w:lineRule="auto"/>
        <w:ind w:right="567"/>
        <w:jc w:val="both"/>
        <w:rPr>
          <w:sz w:val="24"/>
          <w:szCs w:val="24"/>
          <w:u w:val="single"/>
          <w:lang w:val="es-ES"/>
        </w:rPr>
      </w:pPr>
      <w:r w:rsidRPr="00C40137">
        <w:rPr>
          <w:i/>
          <w:sz w:val="22"/>
          <w:szCs w:val="22"/>
          <w:u w:val="single"/>
          <w:lang w:val="es-ES"/>
        </w:rPr>
        <w:t xml:space="preserve">Por último, importa reiterar que la demostración de los hechos o circunstancias atinentes al ánimo del porte de los estupefacientes, como componentes de los ingredientes subjetivos relativos al tráfico o distribución de las sustancias, </w:t>
      </w:r>
      <w:r w:rsidRPr="00C40137">
        <w:rPr>
          <w:i/>
          <w:sz w:val="22"/>
          <w:szCs w:val="22"/>
          <w:u w:val="single"/>
          <w:lang w:val="es-ES"/>
        </w:rPr>
        <w:lastRenderedPageBreak/>
        <w:t>incumbe siempre al acusador, quien tiene la carga de probar toda la estructura de la conducta punible.</w:t>
      </w:r>
      <w:r w:rsidR="003A7D6A" w:rsidRPr="003A7D6A">
        <w:rPr>
          <w:sz w:val="22"/>
          <w:szCs w:val="22"/>
          <w:lang w:val="es-ES"/>
        </w:rPr>
        <w:t xml:space="preserve">” </w:t>
      </w:r>
      <w:r w:rsidR="00E3745C" w:rsidRPr="003A7D6A">
        <w:rPr>
          <w:sz w:val="22"/>
          <w:szCs w:val="22"/>
          <w:lang w:val="es-ES"/>
        </w:rPr>
        <w:t>(</w:t>
      </w:r>
      <w:r w:rsidR="00E3745C" w:rsidRPr="00C40137">
        <w:rPr>
          <w:sz w:val="22"/>
          <w:szCs w:val="22"/>
          <w:lang w:val="es-ES"/>
        </w:rPr>
        <w:t>Subrayas ex texto)</w:t>
      </w:r>
      <w:r w:rsidR="00E3745C" w:rsidRPr="007431DD">
        <w:rPr>
          <w:sz w:val="24"/>
          <w:szCs w:val="24"/>
          <w:u w:val="single"/>
          <w:lang w:val="es-ES"/>
        </w:rPr>
        <w:t xml:space="preserve"> </w:t>
      </w:r>
    </w:p>
    <w:p w:rsidR="00E3745C" w:rsidRPr="007431DD" w:rsidRDefault="00E3745C" w:rsidP="0042096D">
      <w:pPr>
        <w:pStyle w:val="Prrafodelista"/>
        <w:spacing w:line="360" w:lineRule="auto"/>
        <w:ind w:left="0" w:right="283"/>
        <w:jc w:val="both"/>
        <w:rPr>
          <w:sz w:val="24"/>
          <w:szCs w:val="24"/>
          <w:lang w:val="es-ES"/>
        </w:rPr>
      </w:pPr>
    </w:p>
    <w:p w:rsidR="001D3DB3" w:rsidRPr="009326F8" w:rsidRDefault="004047CD" w:rsidP="00044859">
      <w:pPr>
        <w:pStyle w:val="Prrafodelista"/>
        <w:numPr>
          <w:ilvl w:val="1"/>
          <w:numId w:val="17"/>
        </w:numPr>
        <w:spacing w:line="360" w:lineRule="auto"/>
        <w:ind w:left="0" w:right="283" w:firstLine="0"/>
        <w:jc w:val="both"/>
        <w:rPr>
          <w:sz w:val="24"/>
          <w:szCs w:val="24"/>
          <w:lang w:val="es-ES"/>
        </w:rPr>
      </w:pPr>
      <w:r w:rsidRPr="009326F8">
        <w:rPr>
          <w:sz w:val="24"/>
          <w:szCs w:val="24"/>
          <w:lang w:val="es-ES"/>
        </w:rPr>
        <w:t>Sin embargo</w:t>
      </w:r>
      <w:r w:rsidR="00823676" w:rsidRPr="009326F8">
        <w:rPr>
          <w:sz w:val="24"/>
          <w:szCs w:val="24"/>
          <w:lang w:val="es-ES"/>
        </w:rPr>
        <w:t>,</w:t>
      </w:r>
      <w:r w:rsidR="000973D2" w:rsidRPr="009326F8">
        <w:rPr>
          <w:sz w:val="24"/>
          <w:szCs w:val="24"/>
          <w:lang w:val="es-ES"/>
        </w:rPr>
        <w:t xml:space="preserve"> debe destacarse que esta Sala mediante decisión del M.P. Manuel Yarzagaray Bandera </w:t>
      </w:r>
      <w:r w:rsidR="001D3DB3" w:rsidRPr="009326F8">
        <w:rPr>
          <w:sz w:val="24"/>
          <w:szCs w:val="24"/>
          <w:lang w:val="es-ES"/>
        </w:rPr>
        <w:t xml:space="preserve">en providencia por </w:t>
      </w:r>
      <w:r w:rsidRPr="009326F8">
        <w:rPr>
          <w:sz w:val="24"/>
          <w:szCs w:val="24"/>
          <w:lang w:val="es-ES"/>
        </w:rPr>
        <w:t xml:space="preserve">medio de la cual se resolvió una </w:t>
      </w:r>
      <w:r w:rsidR="001D3DB3" w:rsidRPr="009326F8">
        <w:rPr>
          <w:sz w:val="24"/>
          <w:szCs w:val="24"/>
          <w:lang w:val="es-ES"/>
        </w:rPr>
        <w:t>acción de revisión</w:t>
      </w:r>
      <w:r w:rsidRPr="009326F8">
        <w:rPr>
          <w:sz w:val="24"/>
          <w:szCs w:val="24"/>
          <w:lang w:val="es-ES"/>
        </w:rPr>
        <w:t xml:space="preserve"> similar al caso que se estudia,</w:t>
      </w:r>
      <w:r w:rsidR="000973D2" w:rsidRPr="009326F8">
        <w:rPr>
          <w:sz w:val="24"/>
          <w:szCs w:val="24"/>
          <w:lang w:val="es-ES"/>
        </w:rPr>
        <w:t xml:space="preserve"> </w:t>
      </w:r>
      <w:r w:rsidRPr="009326F8">
        <w:rPr>
          <w:sz w:val="24"/>
          <w:szCs w:val="24"/>
          <w:lang w:val="es-ES"/>
        </w:rPr>
        <w:t>solicitada dentro del proceso en contra del señor</w:t>
      </w:r>
      <w:r w:rsidR="001D3DB3" w:rsidRPr="009326F8">
        <w:rPr>
          <w:sz w:val="24"/>
          <w:szCs w:val="24"/>
          <w:lang w:val="es-ES"/>
        </w:rPr>
        <w:t xml:space="preserve"> Haiver Alexander Vélez Carmona</w:t>
      </w:r>
      <w:r w:rsidRPr="009326F8">
        <w:rPr>
          <w:sz w:val="24"/>
          <w:szCs w:val="24"/>
          <w:lang w:val="es-ES"/>
        </w:rPr>
        <w:t xml:space="preserve"> se pronunció en los siguientes términos</w:t>
      </w:r>
      <w:r w:rsidR="00044859" w:rsidRPr="009326F8">
        <w:rPr>
          <w:sz w:val="24"/>
          <w:szCs w:val="24"/>
          <w:lang w:val="es-ES"/>
        </w:rPr>
        <w:t>:</w:t>
      </w:r>
    </w:p>
    <w:p w:rsidR="00044859" w:rsidRDefault="00044859" w:rsidP="00044859">
      <w:pPr>
        <w:pStyle w:val="Prrafodelista"/>
        <w:spacing w:line="360" w:lineRule="auto"/>
        <w:ind w:left="405" w:right="283"/>
        <w:jc w:val="both"/>
        <w:rPr>
          <w:sz w:val="24"/>
          <w:szCs w:val="24"/>
          <w:lang w:val="es-ES"/>
        </w:rPr>
      </w:pPr>
    </w:p>
    <w:p w:rsidR="004F1391" w:rsidRDefault="00C115F0" w:rsidP="00AB0691">
      <w:pPr>
        <w:pStyle w:val="Prrafodelista"/>
        <w:numPr>
          <w:ilvl w:val="2"/>
          <w:numId w:val="17"/>
        </w:numPr>
        <w:spacing w:line="360" w:lineRule="auto"/>
        <w:ind w:left="0" w:right="283" w:firstLine="0"/>
        <w:jc w:val="both"/>
        <w:rPr>
          <w:sz w:val="24"/>
          <w:szCs w:val="24"/>
          <w:lang w:val="es-ES"/>
        </w:rPr>
      </w:pPr>
      <w:r>
        <w:rPr>
          <w:sz w:val="24"/>
          <w:szCs w:val="24"/>
          <w:lang w:val="es-ES"/>
        </w:rPr>
        <w:t>Se resaltó</w:t>
      </w:r>
      <w:r w:rsidR="00823676" w:rsidRPr="001D3DB3">
        <w:rPr>
          <w:sz w:val="24"/>
          <w:szCs w:val="24"/>
          <w:lang w:val="es-ES"/>
        </w:rPr>
        <w:t xml:space="preserve"> que la mayoría de los casos que dieron origen a la actual línea jurisprudencial fueron tra</w:t>
      </w:r>
      <w:r w:rsidR="00815F93" w:rsidRPr="001D3DB3">
        <w:rPr>
          <w:sz w:val="24"/>
          <w:szCs w:val="24"/>
          <w:lang w:val="es-ES"/>
        </w:rPr>
        <w:t>mitados mediante un</w:t>
      </w:r>
      <w:r w:rsidR="00823676" w:rsidRPr="001D3DB3">
        <w:rPr>
          <w:sz w:val="24"/>
          <w:szCs w:val="24"/>
          <w:lang w:val="es-ES"/>
        </w:rPr>
        <w:t xml:space="preserve"> proceso penal ordinario</w:t>
      </w:r>
      <w:r w:rsidR="00815F93" w:rsidRPr="001D3DB3">
        <w:rPr>
          <w:sz w:val="24"/>
          <w:szCs w:val="24"/>
          <w:lang w:val="es-ES"/>
        </w:rPr>
        <w:t xml:space="preserve"> donde</w:t>
      </w:r>
      <w:r w:rsidR="00823676" w:rsidRPr="001D3DB3">
        <w:rPr>
          <w:sz w:val="24"/>
          <w:szCs w:val="24"/>
          <w:lang w:val="es-ES"/>
        </w:rPr>
        <w:t xml:space="preserve"> el procesado decidió ejercer su derecho de controvertir y confrontar en un juicio oral, público y concentrado los cargos </w:t>
      </w:r>
      <w:r w:rsidR="005101DB">
        <w:rPr>
          <w:sz w:val="24"/>
          <w:szCs w:val="24"/>
          <w:lang w:val="es-ES"/>
        </w:rPr>
        <w:t>presentados</w:t>
      </w:r>
      <w:r w:rsidR="00823676" w:rsidRPr="001D3DB3">
        <w:rPr>
          <w:sz w:val="24"/>
          <w:szCs w:val="24"/>
          <w:lang w:val="es-ES"/>
        </w:rPr>
        <w:t xml:space="preserve"> por</w:t>
      </w:r>
      <w:r w:rsidR="005101DB">
        <w:rPr>
          <w:sz w:val="24"/>
          <w:szCs w:val="24"/>
          <w:lang w:val="es-ES"/>
        </w:rPr>
        <w:t xml:space="preserve"> loa FGN</w:t>
      </w:r>
      <w:r w:rsidR="004047CD">
        <w:rPr>
          <w:sz w:val="24"/>
          <w:szCs w:val="24"/>
          <w:lang w:val="es-ES"/>
        </w:rPr>
        <w:t>;</w:t>
      </w:r>
      <w:r w:rsidR="001D3DB3">
        <w:rPr>
          <w:sz w:val="24"/>
          <w:szCs w:val="24"/>
          <w:lang w:val="es-ES"/>
        </w:rPr>
        <w:t xml:space="preserve"> razón por la que se podría </w:t>
      </w:r>
      <w:r w:rsidR="007F23E5">
        <w:rPr>
          <w:sz w:val="24"/>
          <w:szCs w:val="24"/>
          <w:lang w:val="es-ES"/>
        </w:rPr>
        <w:t>afirmar</w:t>
      </w:r>
      <w:r w:rsidR="001D3DB3">
        <w:rPr>
          <w:sz w:val="24"/>
          <w:szCs w:val="24"/>
          <w:lang w:val="es-ES"/>
        </w:rPr>
        <w:t xml:space="preserve"> que en las hipótesis de terminación abreviada de los procesos penales no serían aplicables</w:t>
      </w:r>
      <w:r>
        <w:rPr>
          <w:sz w:val="24"/>
          <w:szCs w:val="24"/>
          <w:lang w:val="es-ES"/>
        </w:rPr>
        <w:t xml:space="preserve"> dichos precedentes jurisprudenciales</w:t>
      </w:r>
      <w:r w:rsidR="00044859">
        <w:rPr>
          <w:sz w:val="24"/>
          <w:szCs w:val="24"/>
          <w:lang w:val="es-ES"/>
        </w:rPr>
        <w:t>.</w:t>
      </w:r>
    </w:p>
    <w:p w:rsidR="00044859" w:rsidRDefault="00044859" w:rsidP="00044859">
      <w:pPr>
        <w:pStyle w:val="Prrafodelista"/>
        <w:spacing w:line="360" w:lineRule="auto"/>
        <w:ind w:left="426" w:right="283"/>
        <w:jc w:val="both"/>
        <w:rPr>
          <w:sz w:val="24"/>
          <w:szCs w:val="24"/>
          <w:lang w:val="es-ES"/>
        </w:rPr>
      </w:pPr>
    </w:p>
    <w:p w:rsidR="004F1391" w:rsidRDefault="004F1391" w:rsidP="00AB0691">
      <w:pPr>
        <w:pStyle w:val="Prrafodelista"/>
        <w:numPr>
          <w:ilvl w:val="2"/>
          <w:numId w:val="17"/>
        </w:numPr>
        <w:spacing w:line="360" w:lineRule="auto"/>
        <w:ind w:left="0" w:right="283" w:hanging="11"/>
        <w:jc w:val="both"/>
        <w:rPr>
          <w:sz w:val="24"/>
          <w:szCs w:val="24"/>
          <w:lang w:val="es-ES"/>
        </w:rPr>
      </w:pPr>
      <w:r>
        <w:rPr>
          <w:sz w:val="24"/>
          <w:szCs w:val="24"/>
          <w:lang w:val="es-ES"/>
        </w:rPr>
        <w:t>En este sentido</w:t>
      </w:r>
      <w:r w:rsidR="007F3730">
        <w:rPr>
          <w:sz w:val="24"/>
          <w:szCs w:val="24"/>
          <w:lang w:val="es-ES"/>
        </w:rPr>
        <w:t xml:space="preserve">, en SP-4498 del 13 de abril de 2016, la </w:t>
      </w:r>
      <w:r w:rsidRPr="004F1391">
        <w:rPr>
          <w:sz w:val="24"/>
          <w:szCs w:val="24"/>
          <w:lang w:val="es-ES"/>
        </w:rPr>
        <w:t>CSJ</w:t>
      </w:r>
      <w:r>
        <w:rPr>
          <w:sz w:val="24"/>
          <w:szCs w:val="24"/>
          <w:lang w:val="es-ES"/>
        </w:rPr>
        <w:t xml:space="preserve"> </w:t>
      </w:r>
      <w:r w:rsidRPr="004F1391">
        <w:rPr>
          <w:sz w:val="24"/>
          <w:szCs w:val="24"/>
          <w:lang w:val="es-ES"/>
        </w:rPr>
        <w:t>decidió no aplicar la línea jurisprudencial</w:t>
      </w:r>
      <w:r w:rsidR="007F3730">
        <w:rPr>
          <w:sz w:val="24"/>
          <w:szCs w:val="24"/>
          <w:lang w:val="es-ES"/>
        </w:rPr>
        <w:t xml:space="preserve"> que había sido</w:t>
      </w:r>
      <w:r w:rsidRPr="004F1391">
        <w:rPr>
          <w:sz w:val="24"/>
          <w:szCs w:val="24"/>
          <w:lang w:val="es-ES"/>
        </w:rPr>
        <w:t xml:space="preserve"> trazada </w:t>
      </w:r>
      <w:r w:rsidR="007F3730">
        <w:rPr>
          <w:sz w:val="24"/>
          <w:szCs w:val="24"/>
          <w:lang w:val="es-ES"/>
        </w:rPr>
        <w:t xml:space="preserve">mediante </w:t>
      </w:r>
      <w:r w:rsidRPr="004F1391">
        <w:rPr>
          <w:sz w:val="24"/>
          <w:szCs w:val="24"/>
          <w:lang w:val="es-ES"/>
        </w:rPr>
        <w:t>sentencia del 09 de marzo de 2016 dentro del radicado 41760</w:t>
      </w:r>
      <w:r w:rsidR="00044859">
        <w:rPr>
          <w:sz w:val="24"/>
          <w:szCs w:val="24"/>
          <w:lang w:val="es-ES"/>
        </w:rPr>
        <w:t>. Se expuso lo siguiente</w:t>
      </w:r>
      <w:r>
        <w:rPr>
          <w:sz w:val="24"/>
          <w:szCs w:val="24"/>
          <w:lang w:val="es-ES"/>
        </w:rPr>
        <w:t>:</w:t>
      </w:r>
    </w:p>
    <w:p w:rsidR="007F3730" w:rsidRDefault="007F3730" w:rsidP="004F1391">
      <w:pPr>
        <w:spacing w:line="360" w:lineRule="auto"/>
        <w:ind w:left="426" w:right="283"/>
        <w:jc w:val="both"/>
        <w:rPr>
          <w:sz w:val="24"/>
          <w:szCs w:val="24"/>
        </w:rPr>
      </w:pPr>
    </w:p>
    <w:p w:rsidR="0078680F" w:rsidRPr="007F3730" w:rsidRDefault="004F1391" w:rsidP="004F1391">
      <w:pPr>
        <w:spacing w:line="360" w:lineRule="auto"/>
        <w:ind w:left="426" w:right="283"/>
        <w:jc w:val="both"/>
        <w:rPr>
          <w:i/>
          <w:sz w:val="22"/>
          <w:szCs w:val="22"/>
        </w:rPr>
      </w:pPr>
      <w:r w:rsidRPr="004F1391">
        <w:rPr>
          <w:sz w:val="24"/>
          <w:szCs w:val="24"/>
        </w:rPr>
        <w:t>“</w:t>
      </w:r>
      <w:r w:rsidRPr="007F3730">
        <w:rPr>
          <w:i/>
          <w:sz w:val="22"/>
          <w:szCs w:val="22"/>
        </w:rPr>
        <w:t>Para terminar, debe advertir la Sala que en la situación fáctica y procesal aquí debatida no tiene cabida o aplicación la reciente tesis jurisprudencial expuesta en SP2940-2016, rad. 41760, del pasado 9 de marzo, de acuerdo con la cual en tratándose de la modalidad comportamental “llevar consigo” del artículo 376 de la Ley 599 de 2000 «…ha de sopesarse en todo caso el ánimo de ingesta de las sustancias, como ingrediente subjetivo o finalidad, [y] de ahí que el porte de una cantidad de droga compatible exclusivamente con ese propósito de consumo será una conducta atípica…»</w:t>
      </w:r>
    </w:p>
    <w:p w:rsidR="004F1391" w:rsidRPr="007F3730" w:rsidRDefault="004F1391" w:rsidP="004F1391">
      <w:pPr>
        <w:spacing w:line="360" w:lineRule="auto"/>
        <w:ind w:left="426" w:right="283"/>
        <w:jc w:val="both"/>
        <w:rPr>
          <w:i/>
          <w:sz w:val="22"/>
          <w:szCs w:val="22"/>
        </w:rPr>
      </w:pPr>
      <w:r w:rsidRPr="007F3730">
        <w:rPr>
          <w:i/>
          <w:sz w:val="22"/>
          <w:szCs w:val="22"/>
        </w:rPr>
        <w:t>(…)</w:t>
      </w:r>
    </w:p>
    <w:p w:rsidR="007F3730" w:rsidRPr="007F3730" w:rsidRDefault="007F3730" w:rsidP="007F3730">
      <w:pPr>
        <w:spacing w:line="360" w:lineRule="auto"/>
        <w:ind w:left="426" w:right="283"/>
        <w:jc w:val="both"/>
        <w:rPr>
          <w:i/>
          <w:sz w:val="22"/>
          <w:szCs w:val="22"/>
          <w:lang w:val="es-ES"/>
        </w:rPr>
      </w:pPr>
      <w:r w:rsidRPr="007F3730">
        <w:rPr>
          <w:i/>
          <w:sz w:val="22"/>
          <w:szCs w:val="22"/>
          <w:lang w:val="es-ES"/>
        </w:rPr>
        <w:t>Las consideraciones que anteceden no son aplicables en el asunto analizado, habida cuenta que, en primer lugar, el procesado se allanó o aceptó su responsabilidad a la conducta punible imputada, lo que equivale a decir que confesó o reconoció que la sustancia alucinógena que llevaba consigo, esto es, marihuana en cantidad de cuatrocientos noventa y cinco (495) gramos, la conservaba con una finalidad distinta al consumo personal.</w:t>
      </w:r>
    </w:p>
    <w:p w:rsidR="007F3730" w:rsidRPr="007F3730" w:rsidRDefault="007F3730" w:rsidP="007F3730">
      <w:pPr>
        <w:spacing w:line="360" w:lineRule="auto"/>
        <w:ind w:left="426" w:right="283"/>
        <w:jc w:val="both"/>
        <w:rPr>
          <w:i/>
          <w:sz w:val="22"/>
          <w:szCs w:val="22"/>
          <w:lang w:val="es-ES"/>
        </w:rPr>
      </w:pPr>
    </w:p>
    <w:p w:rsidR="007F3730" w:rsidRPr="007F3730" w:rsidRDefault="007F3730" w:rsidP="007F3730">
      <w:pPr>
        <w:spacing w:line="360" w:lineRule="auto"/>
        <w:ind w:left="426" w:right="283"/>
        <w:jc w:val="both"/>
        <w:rPr>
          <w:i/>
          <w:sz w:val="22"/>
          <w:szCs w:val="22"/>
          <w:lang w:val="es-ES"/>
        </w:rPr>
      </w:pPr>
      <w:r w:rsidRPr="007F3730">
        <w:rPr>
          <w:i/>
          <w:sz w:val="22"/>
          <w:szCs w:val="22"/>
          <w:lang w:val="es-ES"/>
        </w:rPr>
        <w:t xml:space="preserve">En segundo término, el enjuiciado nunca, bien sea en el instante en que fue capturado, en la audiencia de formulación de imputación, o en la de individualización de pena, en </w:t>
      </w:r>
      <w:r w:rsidRPr="007F3730">
        <w:rPr>
          <w:i/>
          <w:sz w:val="22"/>
          <w:szCs w:val="22"/>
          <w:lang w:val="es-ES"/>
        </w:rPr>
        <w:lastRenderedPageBreak/>
        <w:t>las que contó con la asistencia de un abogado de confianza, expresó o aludió tener la condición de adicto a la droga incautada.</w:t>
      </w:r>
    </w:p>
    <w:p w:rsidR="007F3730" w:rsidRPr="007F3730" w:rsidRDefault="007F3730" w:rsidP="007F3730">
      <w:pPr>
        <w:spacing w:line="360" w:lineRule="auto"/>
        <w:ind w:left="426" w:right="283"/>
        <w:jc w:val="both"/>
        <w:rPr>
          <w:i/>
          <w:sz w:val="22"/>
          <w:szCs w:val="22"/>
          <w:lang w:val="es-ES"/>
        </w:rPr>
      </w:pPr>
    </w:p>
    <w:p w:rsidR="007F3730" w:rsidRPr="007F3730" w:rsidRDefault="007F3730" w:rsidP="007F3730">
      <w:pPr>
        <w:spacing w:line="360" w:lineRule="auto"/>
        <w:ind w:left="426" w:right="283"/>
        <w:jc w:val="both"/>
        <w:rPr>
          <w:i/>
          <w:sz w:val="22"/>
          <w:szCs w:val="22"/>
          <w:lang w:val="es-ES"/>
        </w:rPr>
      </w:pPr>
      <w:r w:rsidRPr="007F3730">
        <w:rPr>
          <w:i/>
          <w:sz w:val="22"/>
          <w:szCs w:val="22"/>
          <w:lang w:val="es-ES"/>
        </w:rPr>
        <w:t>Por otra parte, en tercer lugar, si bien es cierto en el expediente obra una declaración ante Notario Público en la que quien refiere ser el progenitor del encausado asegura que éste “es adicto al consumo de marihuana, el cual no lo dijo en la audiencia por pena con la familia” , también es verdad que tal manifestación no puede ser valorada por la potísima razón de que se allegó de manera informal cuando la actuación se encontraba al despacho del juez a-quo para la redacción de la sentencia y al parecer con el memorial con el que el procesado confirió poder a otro profesional del derecho, lo cual implica que ese documento no fue conocido ni controvertido por la parte que regentó la pretensión punitiva del Estado en este asunto, dentro de las oportunidades legales para el respectivo debate.</w:t>
      </w:r>
    </w:p>
    <w:p w:rsidR="007F3730" w:rsidRPr="007F3730" w:rsidRDefault="007F3730" w:rsidP="007F3730">
      <w:pPr>
        <w:spacing w:line="360" w:lineRule="auto"/>
        <w:ind w:left="426" w:right="283"/>
        <w:jc w:val="both"/>
        <w:rPr>
          <w:i/>
          <w:sz w:val="22"/>
          <w:szCs w:val="22"/>
          <w:lang w:val="es-ES"/>
        </w:rPr>
      </w:pPr>
    </w:p>
    <w:p w:rsidR="004F1391" w:rsidRDefault="007F3730" w:rsidP="007F3730">
      <w:pPr>
        <w:spacing w:line="360" w:lineRule="auto"/>
        <w:ind w:left="426" w:right="283"/>
        <w:jc w:val="both"/>
        <w:rPr>
          <w:i/>
          <w:sz w:val="22"/>
          <w:szCs w:val="22"/>
          <w:lang w:val="es-ES"/>
        </w:rPr>
      </w:pPr>
      <w:r w:rsidRPr="007F3730">
        <w:rPr>
          <w:i/>
          <w:sz w:val="22"/>
          <w:szCs w:val="22"/>
          <w:lang w:val="es-ES"/>
        </w:rPr>
        <w:t>Finalmente, en cuarto lugar, si en gracia de discusión la aludida condición de adicto pudiese ser objeto de alguna valoración, en ausencia de otros elementos de conocimiento válidos y de acuerdo con los contornos fácticos del caso, esto es, atendida la forma en que el procesado llevaba dispuesta la sustancia alucinógena (compactada y debidamente embalada), el lugar en el que fue aprehendido (un sector urbano, en vía pública), así como la cantidad de droga (cuatrocientos noventa y cinco gramos de marihuana), la Sala no encuentra asidero cierto y admisible para deducir razonablemente que ese considerable volumen de estupefaciente era el que el acusado necesitaba atendida su condición personal por el presunto grado de adicción, con sujeción a los lineamientos de la sentencia atrás rememorada.</w:t>
      </w:r>
      <w:r>
        <w:rPr>
          <w:i/>
          <w:sz w:val="22"/>
          <w:szCs w:val="22"/>
          <w:lang w:val="es-ES"/>
        </w:rPr>
        <w:t>”</w:t>
      </w:r>
    </w:p>
    <w:p w:rsidR="00044859" w:rsidRDefault="00044859" w:rsidP="007F3730">
      <w:pPr>
        <w:spacing w:line="360" w:lineRule="auto"/>
        <w:ind w:left="426" w:right="283"/>
        <w:jc w:val="both"/>
        <w:rPr>
          <w:i/>
          <w:sz w:val="22"/>
          <w:szCs w:val="22"/>
          <w:lang w:val="es-ES"/>
        </w:rPr>
      </w:pPr>
    </w:p>
    <w:p w:rsidR="00044859" w:rsidRPr="005101DB" w:rsidRDefault="00044859" w:rsidP="00AB0691">
      <w:pPr>
        <w:pStyle w:val="Prrafodelista"/>
        <w:numPr>
          <w:ilvl w:val="2"/>
          <w:numId w:val="17"/>
        </w:numPr>
        <w:spacing w:line="360" w:lineRule="auto"/>
        <w:ind w:left="0" w:right="283" w:firstLine="0"/>
        <w:jc w:val="both"/>
        <w:rPr>
          <w:i/>
          <w:sz w:val="24"/>
          <w:szCs w:val="24"/>
          <w:lang w:val="es-ES"/>
        </w:rPr>
      </w:pPr>
      <w:r w:rsidRPr="007F23E5">
        <w:rPr>
          <w:sz w:val="24"/>
          <w:szCs w:val="24"/>
          <w:lang w:val="es-ES"/>
        </w:rPr>
        <w:t>Conforme a lo anterior, se llegó a la conclusión que en ciertos casos de terminación anticipada de los procesos penales</w:t>
      </w:r>
      <w:r w:rsidR="005101DB">
        <w:rPr>
          <w:sz w:val="24"/>
          <w:szCs w:val="24"/>
          <w:lang w:val="es-ES"/>
        </w:rPr>
        <w:t>,</w:t>
      </w:r>
      <w:r w:rsidRPr="007F23E5">
        <w:rPr>
          <w:sz w:val="24"/>
          <w:szCs w:val="24"/>
          <w:lang w:val="es-ES"/>
        </w:rPr>
        <w:t xml:space="preserve"> no era factible la aplicación de la aludida línea jurisprudencial respecto al ingrediente subjetivo que caracteriza el delito de porte de estupefacientes y de la carga de la prueba que le c</w:t>
      </w:r>
      <w:r w:rsidR="005101DB">
        <w:rPr>
          <w:sz w:val="24"/>
          <w:szCs w:val="24"/>
          <w:lang w:val="es-ES"/>
        </w:rPr>
        <w:t xml:space="preserve">orresponde a la FGN, y se dijo lo siguiente en la citada decisión del caso de Haider Alexánder Vélez Carmona, M.P. Manuel Yarzagaray Bandera: </w:t>
      </w:r>
    </w:p>
    <w:p w:rsidR="005101DB" w:rsidRDefault="005101DB" w:rsidP="005101DB">
      <w:pPr>
        <w:pStyle w:val="Prrafodelista"/>
        <w:spacing w:line="360" w:lineRule="auto"/>
        <w:ind w:left="284" w:right="283"/>
        <w:jc w:val="both"/>
        <w:rPr>
          <w:i/>
          <w:sz w:val="24"/>
          <w:szCs w:val="24"/>
          <w:lang w:val="es-ES"/>
        </w:rPr>
      </w:pPr>
    </w:p>
    <w:p w:rsidR="005101DB" w:rsidRDefault="005101DB" w:rsidP="005101DB">
      <w:pPr>
        <w:pStyle w:val="Prrafodelista"/>
        <w:spacing w:line="360" w:lineRule="auto"/>
        <w:ind w:left="284" w:right="283"/>
        <w:jc w:val="both"/>
        <w:rPr>
          <w:i/>
          <w:sz w:val="24"/>
          <w:szCs w:val="24"/>
          <w:lang w:val="es-ES"/>
        </w:rPr>
      </w:pPr>
      <w:r>
        <w:rPr>
          <w:i/>
          <w:sz w:val="24"/>
          <w:szCs w:val="24"/>
          <w:lang w:val="es-ES"/>
        </w:rPr>
        <w:t>“(…)</w:t>
      </w:r>
    </w:p>
    <w:p w:rsidR="007F23E5" w:rsidRPr="005101DB" w:rsidRDefault="007F23E5" w:rsidP="00AB0691">
      <w:pPr>
        <w:pStyle w:val="Prrafodelista"/>
        <w:numPr>
          <w:ilvl w:val="0"/>
          <w:numId w:val="36"/>
        </w:numPr>
        <w:spacing w:line="360" w:lineRule="auto"/>
        <w:ind w:left="284" w:right="283" w:hanging="294"/>
        <w:jc w:val="both"/>
        <w:rPr>
          <w:i/>
          <w:sz w:val="24"/>
          <w:szCs w:val="24"/>
          <w:lang w:val="es-ES"/>
        </w:rPr>
      </w:pPr>
      <w:r w:rsidRPr="005101DB">
        <w:rPr>
          <w:i/>
          <w:sz w:val="24"/>
          <w:szCs w:val="24"/>
          <w:lang w:val="es-ES"/>
        </w:rPr>
        <w:t>En los procesos abreviados operan los principios de irretractabilidad y de la obligatoriedad</w:t>
      </w:r>
      <w:r w:rsidRPr="005101DB">
        <w:rPr>
          <w:rStyle w:val="Refdenotaalpie"/>
          <w:i/>
          <w:sz w:val="24"/>
          <w:szCs w:val="24"/>
          <w:lang w:val="es-ES"/>
        </w:rPr>
        <w:footnoteReference w:id="3"/>
      </w:r>
      <w:r w:rsidRPr="005101DB">
        <w:rPr>
          <w:i/>
          <w:sz w:val="24"/>
          <w:szCs w:val="24"/>
          <w:lang w:val="es-ES"/>
        </w:rPr>
        <w:t xml:space="preserve">, lo cual quiere decir que una vez que el juez de conocimiento haya aprobado el allanamiento a cargos o el preacuerdo; los términos de lo </w:t>
      </w:r>
      <w:r w:rsidRPr="005101DB">
        <w:rPr>
          <w:i/>
          <w:sz w:val="24"/>
          <w:szCs w:val="24"/>
          <w:lang w:val="es-ES"/>
        </w:rPr>
        <w:lastRenderedPageBreak/>
        <w:t>acordado o aceptado se tornan de obligatorio cumplimiento para las partes e intervinientes, quienes no pueden desdecir o desconocer lo pactado o aceptado.</w:t>
      </w:r>
    </w:p>
    <w:p w:rsidR="007F23E5" w:rsidRPr="005101DB" w:rsidRDefault="007F23E5" w:rsidP="00AB0691">
      <w:pPr>
        <w:pStyle w:val="Prrafodelista"/>
        <w:numPr>
          <w:ilvl w:val="0"/>
          <w:numId w:val="36"/>
        </w:numPr>
        <w:spacing w:line="360" w:lineRule="auto"/>
        <w:ind w:left="284" w:right="283"/>
        <w:jc w:val="both"/>
        <w:rPr>
          <w:i/>
          <w:sz w:val="24"/>
          <w:szCs w:val="24"/>
          <w:lang w:val="es-ES"/>
        </w:rPr>
      </w:pPr>
      <w:r w:rsidRPr="005101DB">
        <w:rPr>
          <w:i/>
          <w:sz w:val="24"/>
          <w:szCs w:val="24"/>
          <w:lang w:val="es-ES"/>
        </w:rPr>
        <w:t>Una de las consecuencias que dimanan de las modalidades de la terminación abreviada de los procesos penales, en especial del allanamiento a cargos, es que la defensa acepta o admite tanto las pruebas habidas en su contra como los hechos tal y como se los presenta la Fiscalía, ya sea en la audiencia de formulación de la acusación o de la imputación, e igualmente renuncia al derecho que le asiste a que su caso sea tramitado en un juicio oral, público y concentrado, en el que puedan controvertir y confrontar las pruebas de la Fiscalía</w:t>
      </w:r>
      <w:r w:rsidRPr="005101DB">
        <w:rPr>
          <w:rStyle w:val="Refdenotaalpie"/>
          <w:i/>
          <w:sz w:val="24"/>
          <w:szCs w:val="24"/>
          <w:lang w:val="es-ES"/>
        </w:rPr>
        <w:footnoteReference w:id="4"/>
      </w:r>
      <w:r w:rsidRPr="005101DB">
        <w:rPr>
          <w:i/>
          <w:sz w:val="24"/>
          <w:szCs w:val="24"/>
          <w:lang w:val="es-ES"/>
        </w:rPr>
        <w:t>.</w:t>
      </w:r>
    </w:p>
    <w:p w:rsidR="007F23E5" w:rsidRPr="005101DB" w:rsidRDefault="007F23E5" w:rsidP="00AB0691">
      <w:pPr>
        <w:pStyle w:val="Prrafodelista"/>
        <w:numPr>
          <w:ilvl w:val="0"/>
          <w:numId w:val="36"/>
        </w:numPr>
        <w:spacing w:line="360" w:lineRule="auto"/>
        <w:ind w:left="284" w:right="283" w:hanging="284"/>
        <w:jc w:val="both"/>
        <w:rPr>
          <w:i/>
          <w:sz w:val="24"/>
          <w:szCs w:val="24"/>
          <w:lang w:val="es-ES"/>
        </w:rPr>
      </w:pPr>
      <w:r w:rsidRPr="005101DB">
        <w:rPr>
          <w:i/>
          <w:sz w:val="24"/>
          <w:szCs w:val="24"/>
          <w:lang w:val="es-ES"/>
        </w:rPr>
        <w:t>Al aceptar el procesado los cargos endilgados en su contra, o de convenir con la Fiscalía las circunstancias en las que admite su compromiso penal; la consecuencia lógica de la aprobación de lo aceptado o estipulado por las partes es que en contra del encausado se deba proferir una sentencia condenatoria, quien a cambio recibirá unas contraprestaciones punitivas por haber tomado ese tipo de determinación.</w:t>
      </w:r>
      <w:r w:rsidR="005101DB">
        <w:rPr>
          <w:i/>
          <w:sz w:val="24"/>
          <w:szCs w:val="24"/>
          <w:lang w:val="es-ES"/>
        </w:rPr>
        <w:t>”</w:t>
      </w:r>
    </w:p>
    <w:p w:rsidR="007F23E5" w:rsidRPr="007F23E5" w:rsidRDefault="007F23E5" w:rsidP="007F23E5">
      <w:pPr>
        <w:pStyle w:val="Prrafodelista"/>
        <w:spacing w:line="360" w:lineRule="auto"/>
        <w:ind w:left="426" w:right="283"/>
        <w:jc w:val="both"/>
        <w:rPr>
          <w:sz w:val="24"/>
          <w:szCs w:val="24"/>
          <w:lang w:val="es-ES"/>
        </w:rPr>
      </w:pPr>
    </w:p>
    <w:p w:rsidR="007F23E5" w:rsidRPr="000D3B9D" w:rsidRDefault="007F23E5" w:rsidP="000D3B9D">
      <w:pPr>
        <w:pStyle w:val="Prrafodelista"/>
        <w:numPr>
          <w:ilvl w:val="2"/>
          <w:numId w:val="17"/>
        </w:numPr>
        <w:spacing w:line="360" w:lineRule="auto"/>
        <w:ind w:left="284" w:right="283" w:hanging="284"/>
        <w:jc w:val="both"/>
        <w:rPr>
          <w:sz w:val="24"/>
          <w:szCs w:val="24"/>
          <w:lang w:val="es-ES"/>
        </w:rPr>
      </w:pPr>
      <w:r>
        <w:rPr>
          <w:sz w:val="24"/>
          <w:szCs w:val="24"/>
          <w:lang w:val="es-ES"/>
        </w:rPr>
        <w:t>Lo</w:t>
      </w:r>
      <w:r w:rsidR="000D3B9D">
        <w:rPr>
          <w:sz w:val="24"/>
          <w:szCs w:val="24"/>
          <w:lang w:val="es-ES"/>
        </w:rPr>
        <w:t xml:space="preserve"> anterior no </w:t>
      </w:r>
      <w:r w:rsidR="00A62A66">
        <w:rPr>
          <w:sz w:val="24"/>
          <w:szCs w:val="24"/>
          <w:lang w:val="es-ES"/>
        </w:rPr>
        <w:t xml:space="preserve">obsta para que de manera excepcional una aceptación de cargos </w:t>
      </w:r>
      <w:r w:rsidR="000E67E9">
        <w:rPr>
          <w:sz w:val="24"/>
          <w:szCs w:val="24"/>
          <w:lang w:val="es-ES"/>
        </w:rPr>
        <w:t>conduzca a un fallo absolutorio. S</w:t>
      </w:r>
      <w:r w:rsidR="00A62A66">
        <w:rPr>
          <w:sz w:val="24"/>
          <w:szCs w:val="24"/>
          <w:lang w:val="es-ES"/>
        </w:rPr>
        <w:t xml:space="preserve">in embargo, en caso de configurarse lo propio se analizará más adelante, por lo pronto se procederá a realizar el análisis de las </w:t>
      </w:r>
      <w:r w:rsidR="00645F7F">
        <w:rPr>
          <w:sz w:val="24"/>
          <w:szCs w:val="24"/>
          <w:lang w:val="es-ES"/>
        </w:rPr>
        <w:t>circunstancias del caso concreto.</w:t>
      </w:r>
    </w:p>
    <w:p w:rsidR="00612836" w:rsidRPr="007431DD" w:rsidRDefault="00612836" w:rsidP="0042096D">
      <w:pPr>
        <w:pStyle w:val="Prrafodelista"/>
        <w:spacing w:line="360" w:lineRule="auto"/>
        <w:ind w:left="0" w:right="283"/>
        <w:jc w:val="both"/>
        <w:rPr>
          <w:sz w:val="24"/>
          <w:szCs w:val="24"/>
          <w:lang w:val="es-ES"/>
        </w:rPr>
      </w:pPr>
    </w:p>
    <w:p w:rsidR="00E43F9E" w:rsidRPr="007431DD" w:rsidRDefault="00473384" w:rsidP="0042096D">
      <w:pPr>
        <w:pStyle w:val="Prrafodelista"/>
        <w:numPr>
          <w:ilvl w:val="1"/>
          <w:numId w:val="17"/>
        </w:numPr>
        <w:spacing w:line="360" w:lineRule="auto"/>
        <w:ind w:left="0" w:right="283" w:firstLine="0"/>
        <w:jc w:val="both"/>
        <w:rPr>
          <w:sz w:val="24"/>
          <w:szCs w:val="24"/>
          <w:lang w:val="es-ES"/>
        </w:rPr>
      </w:pPr>
      <w:r>
        <w:rPr>
          <w:sz w:val="24"/>
          <w:szCs w:val="24"/>
          <w:lang w:val="es-ES"/>
        </w:rPr>
        <w:t>SOLUCIÓN AL PROBLEMA JURÍ</w:t>
      </w:r>
      <w:r w:rsidR="00E43F9E" w:rsidRPr="007431DD">
        <w:rPr>
          <w:sz w:val="24"/>
          <w:szCs w:val="24"/>
          <w:lang w:val="es-ES"/>
        </w:rPr>
        <w:t>DICO PROPUESTO :</w:t>
      </w:r>
    </w:p>
    <w:p w:rsidR="00E43F9E" w:rsidRPr="007431DD" w:rsidRDefault="00E43F9E" w:rsidP="0042096D">
      <w:pPr>
        <w:pStyle w:val="Prrafodelista"/>
        <w:spacing w:line="360" w:lineRule="auto"/>
        <w:ind w:left="0" w:right="283"/>
        <w:jc w:val="both"/>
        <w:rPr>
          <w:sz w:val="24"/>
          <w:szCs w:val="24"/>
        </w:rPr>
      </w:pPr>
    </w:p>
    <w:p w:rsidR="00F36673" w:rsidRPr="007431DD" w:rsidRDefault="00E43F9E" w:rsidP="00A62A66">
      <w:pPr>
        <w:pStyle w:val="Prrafodelista"/>
        <w:numPr>
          <w:ilvl w:val="2"/>
          <w:numId w:val="17"/>
        </w:numPr>
        <w:spacing w:line="360" w:lineRule="auto"/>
        <w:ind w:left="284" w:right="283" w:hanging="284"/>
        <w:jc w:val="both"/>
        <w:rPr>
          <w:sz w:val="24"/>
          <w:szCs w:val="24"/>
          <w:lang w:val="es-ES"/>
        </w:rPr>
      </w:pPr>
      <w:r w:rsidRPr="007431DD">
        <w:rPr>
          <w:sz w:val="24"/>
          <w:szCs w:val="24"/>
        </w:rPr>
        <w:t xml:space="preserve">En </w:t>
      </w:r>
      <w:r w:rsidR="00C176F8" w:rsidRPr="007431DD">
        <w:rPr>
          <w:sz w:val="24"/>
          <w:szCs w:val="24"/>
        </w:rPr>
        <w:t xml:space="preserve"> este orden de idea</w:t>
      </w:r>
      <w:r w:rsidR="007F23E5">
        <w:rPr>
          <w:sz w:val="24"/>
          <w:szCs w:val="24"/>
        </w:rPr>
        <w:t>s</w:t>
      </w:r>
      <w:r w:rsidR="00C176F8" w:rsidRPr="007431DD">
        <w:rPr>
          <w:sz w:val="24"/>
          <w:szCs w:val="24"/>
        </w:rPr>
        <w:t xml:space="preserve">, </w:t>
      </w:r>
      <w:r w:rsidRPr="007431DD">
        <w:rPr>
          <w:sz w:val="24"/>
          <w:szCs w:val="24"/>
        </w:rPr>
        <w:t xml:space="preserve">se considera que en el </w:t>
      </w:r>
      <w:r w:rsidR="00C176F8" w:rsidRPr="007431DD">
        <w:rPr>
          <w:sz w:val="24"/>
          <w:szCs w:val="24"/>
        </w:rPr>
        <w:t xml:space="preserve"> caso</w:t>
      </w:r>
      <w:r w:rsidRPr="007431DD">
        <w:rPr>
          <w:sz w:val="24"/>
          <w:szCs w:val="24"/>
        </w:rPr>
        <w:t xml:space="preserve">: </w:t>
      </w:r>
      <w:r w:rsidR="00C176F8" w:rsidRPr="007431DD">
        <w:rPr>
          <w:sz w:val="24"/>
          <w:szCs w:val="24"/>
        </w:rPr>
        <w:t xml:space="preserve"> </w:t>
      </w:r>
      <w:r w:rsidR="00612836" w:rsidRPr="007431DD">
        <w:rPr>
          <w:sz w:val="24"/>
          <w:szCs w:val="24"/>
        </w:rPr>
        <w:t xml:space="preserve">i) se profirió sentencia el </w:t>
      </w:r>
      <w:r w:rsidR="00523702">
        <w:rPr>
          <w:sz w:val="24"/>
          <w:szCs w:val="24"/>
        </w:rPr>
        <w:t>12</w:t>
      </w:r>
      <w:r w:rsidR="00427C06" w:rsidRPr="007431DD">
        <w:rPr>
          <w:sz w:val="24"/>
          <w:szCs w:val="24"/>
        </w:rPr>
        <w:t xml:space="preserve"> de </w:t>
      </w:r>
      <w:r w:rsidR="00523702">
        <w:rPr>
          <w:sz w:val="24"/>
          <w:szCs w:val="24"/>
        </w:rPr>
        <w:t>marzo de 2012</w:t>
      </w:r>
      <w:r w:rsidR="00612836" w:rsidRPr="007431DD">
        <w:rPr>
          <w:sz w:val="24"/>
          <w:szCs w:val="24"/>
        </w:rPr>
        <w:t xml:space="preserve"> por el Juzgado</w:t>
      </w:r>
      <w:r w:rsidR="00427C06" w:rsidRPr="007431DD">
        <w:rPr>
          <w:sz w:val="24"/>
          <w:szCs w:val="24"/>
        </w:rPr>
        <w:t xml:space="preserve"> </w:t>
      </w:r>
      <w:r w:rsidR="00523702">
        <w:rPr>
          <w:sz w:val="24"/>
          <w:szCs w:val="24"/>
        </w:rPr>
        <w:t>Cuarto</w:t>
      </w:r>
      <w:r w:rsidR="00427C06" w:rsidRPr="007431DD">
        <w:rPr>
          <w:sz w:val="24"/>
          <w:szCs w:val="24"/>
        </w:rPr>
        <w:t xml:space="preserve"> Penal del Circuito de Pereira</w:t>
      </w:r>
      <w:r w:rsidR="00612836" w:rsidRPr="007431DD">
        <w:rPr>
          <w:sz w:val="24"/>
          <w:szCs w:val="24"/>
        </w:rPr>
        <w:t xml:space="preserve"> (Risaralda)</w:t>
      </w:r>
      <w:r w:rsidR="00F36673" w:rsidRPr="007431DD">
        <w:rPr>
          <w:sz w:val="24"/>
          <w:szCs w:val="24"/>
        </w:rPr>
        <w:t>,</w:t>
      </w:r>
      <w:r w:rsidR="00612836" w:rsidRPr="007431DD">
        <w:rPr>
          <w:sz w:val="24"/>
          <w:szCs w:val="24"/>
        </w:rPr>
        <w:t xml:space="preserve"> mediante la cual se declaró la responsabilidad del entonces procesado </w:t>
      </w:r>
      <w:r w:rsidR="00523702">
        <w:rPr>
          <w:sz w:val="24"/>
          <w:szCs w:val="24"/>
        </w:rPr>
        <w:t>Héctor William Monsalve Santamaría</w:t>
      </w:r>
      <w:r w:rsidR="00612836" w:rsidRPr="007431DD">
        <w:rPr>
          <w:sz w:val="24"/>
          <w:szCs w:val="24"/>
        </w:rPr>
        <w:t xml:space="preserve"> por la comisión del delito  de tráfico, fabricación o porte de estupefacientes en la modalidad de llevar consigo; ii)</w:t>
      </w:r>
      <w:r w:rsidR="00F36673" w:rsidRPr="007431DD">
        <w:rPr>
          <w:sz w:val="24"/>
          <w:szCs w:val="24"/>
        </w:rPr>
        <w:t xml:space="preserve"> d</w:t>
      </w:r>
      <w:r w:rsidR="00612836" w:rsidRPr="007431DD">
        <w:rPr>
          <w:sz w:val="24"/>
          <w:szCs w:val="24"/>
        </w:rPr>
        <w:t>icha responsabilidad fue dec</w:t>
      </w:r>
      <w:r w:rsidR="00523702">
        <w:rPr>
          <w:sz w:val="24"/>
          <w:szCs w:val="24"/>
        </w:rPr>
        <w:t>larada por cuanto el procesado aceptó los cargos en las audiencias preliminares llevadas a cabo ante el Juzgado Segundo Penal Municipal con función de control de garantías.</w:t>
      </w:r>
    </w:p>
    <w:p w:rsidR="00F36673" w:rsidRPr="007431DD" w:rsidRDefault="00F36673" w:rsidP="0042096D">
      <w:pPr>
        <w:pStyle w:val="Prrafodelista"/>
        <w:spacing w:line="360" w:lineRule="auto"/>
        <w:ind w:left="0" w:right="283"/>
        <w:jc w:val="both"/>
        <w:rPr>
          <w:sz w:val="24"/>
          <w:szCs w:val="24"/>
          <w:lang w:val="es-ES"/>
        </w:rPr>
      </w:pPr>
    </w:p>
    <w:p w:rsidR="001E77EE" w:rsidRDefault="000E6A1D" w:rsidP="0042096D">
      <w:pPr>
        <w:pStyle w:val="Prrafodelista"/>
        <w:spacing w:line="360" w:lineRule="auto"/>
        <w:ind w:left="0" w:right="283"/>
        <w:jc w:val="both"/>
        <w:rPr>
          <w:sz w:val="24"/>
          <w:szCs w:val="24"/>
          <w:lang w:val="es-ES"/>
        </w:rPr>
      </w:pPr>
      <w:r w:rsidRPr="007431DD">
        <w:rPr>
          <w:sz w:val="24"/>
          <w:szCs w:val="24"/>
          <w:lang w:val="es-ES"/>
        </w:rPr>
        <w:t xml:space="preserve">4.8.2 </w:t>
      </w:r>
      <w:r w:rsidR="00523702">
        <w:rPr>
          <w:sz w:val="24"/>
          <w:szCs w:val="24"/>
          <w:lang w:val="es-ES"/>
        </w:rPr>
        <w:t>En primer lugar, se tiene que la presente acción de revisión se planteó con base en una línea jurisprudencial que superó el concepto plasmado en la sentencia 35978 del 18 de agosto de 2011</w:t>
      </w:r>
      <w:r w:rsidR="001E77EE">
        <w:rPr>
          <w:sz w:val="24"/>
          <w:szCs w:val="24"/>
          <w:lang w:val="es-ES"/>
        </w:rPr>
        <w:t xml:space="preserve"> y</w:t>
      </w:r>
      <w:r w:rsidR="00523702">
        <w:rPr>
          <w:sz w:val="24"/>
          <w:szCs w:val="24"/>
          <w:lang w:val="es-ES"/>
        </w:rPr>
        <w:t xml:space="preserve"> avanzó</w:t>
      </w:r>
      <w:r w:rsidR="001E77EE">
        <w:rPr>
          <w:sz w:val="24"/>
          <w:szCs w:val="24"/>
          <w:lang w:val="es-ES"/>
        </w:rPr>
        <w:t xml:space="preserve"> hacia las providencias </w:t>
      </w:r>
      <w:r w:rsidR="00523702">
        <w:rPr>
          <w:sz w:val="24"/>
          <w:szCs w:val="24"/>
          <w:lang w:val="es-ES"/>
        </w:rPr>
        <w:t>42617</w:t>
      </w:r>
      <w:r w:rsidR="001E77EE">
        <w:rPr>
          <w:sz w:val="24"/>
          <w:szCs w:val="24"/>
          <w:lang w:val="es-ES"/>
        </w:rPr>
        <w:t xml:space="preserve"> del 12 de </w:t>
      </w:r>
      <w:r w:rsidR="001E77EE">
        <w:rPr>
          <w:sz w:val="24"/>
          <w:szCs w:val="24"/>
          <w:lang w:val="es-ES"/>
        </w:rPr>
        <w:lastRenderedPageBreak/>
        <w:t>noviembre de 2014</w:t>
      </w:r>
      <w:r w:rsidR="00523702">
        <w:rPr>
          <w:sz w:val="24"/>
          <w:szCs w:val="24"/>
          <w:lang w:val="es-ES"/>
        </w:rPr>
        <w:t>, 41760</w:t>
      </w:r>
      <w:r w:rsidR="001E77EE">
        <w:rPr>
          <w:sz w:val="24"/>
          <w:szCs w:val="24"/>
          <w:lang w:val="es-ES"/>
        </w:rPr>
        <w:t xml:space="preserve"> del 09 de marzo de 2016</w:t>
      </w:r>
      <w:r w:rsidR="00523702">
        <w:rPr>
          <w:sz w:val="24"/>
          <w:szCs w:val="24"/>
          <w:lang w:val="es-ES"/>
        </w:rPr>
        <w:t xml:space="preserve"> y 44997</w:t>
      </w:r>
      <w:r w:rsidR="001E77EE">
        <w:rPr>
          <w:sz w:val="24"/>
          <w:szCs w:val="24"/>
          <w:lang w:val="es-ES"/>
        </w:rPr>
        <w:t xml:space="preserve"> del 11 de julio de 2017. </w:t>
      </w:r>
    </w:p>
    <w:p w:rsidR="005665A8" w:rsidRDefault="005665A8" w:rsidP="0042096D">
      <w:pPr>
        <w:pStyle w:val="Prrafodelista"/>
        <w:spacing w:line="360" w:lineRule="auto"/>
        <w:ind w:left="0" w:right="283"/>
        <w:jc w:val="both"/>
        <w:rPr>
          <w:sz w:val="24"/>
          <w:szCs w:val="24"/>
          <w:lang w:val="es-ES"/>
        </w:rPr>
      </w:pPr>
    </w:p>
    <w:p w:rsidR="001E77EE" w:rsidRDefault="001E77EE" w:rsidP="0042096D">
      <w:pPr>
        <w:pStyle w:val="Prrafodelista"/>
        <w:spacing w:line="360" w:lineRule="auto"/>
        <w:ind w:left="0" w:right="283"/>
        <w:jc w:val="both"/>
        <w:rPr>
          <w:sz w:val="24"/>
          <w:szCs w:val="24"/>
          <w:lang w:val="es-ES"/>
        </w:rPr>
      </w:pPr>
      <w:r>
        <w:rPr>
          <w:sz w:val="24"/>
          <w:szCs w:val="24"/>
          <w:lang w:val="es-ES"/>
        </w:rPr>
        <w:t>Las anteriores providencias tienen con el caso objeto de estudio un factor de diferenciación, consistente en que en ellas se demostró que los procesados eran personas adictas o consumidoras de psicotrópicos; lo cual evidentemente conspiraba en contra de la acreditación del ingrediente subjetivo del delito de tráfico de estupefacientes aún en aquellos casos en los que la Fiscalía no tuvo oportunidad de allegar pruebas en juicio oral.</w:t>
      </w:r>
    </w:p>
    <w:p w:rsidR="005665A8" w:rsidRDefault="005665A8" w:rsidP="0042096D">
      <w:pPr>
        <w:pStyle w:val="Prrafodelista"/>
        <w:spacing w:line="360" w:lineRule="auto"/>
        <w:ind w:left="0" w:right="283"/>
        <w:jc w:val="both"/>
        <w:rPr>
          <w:sz w:val="24"/>
          <w:szCs w:val="24"/>
          <w:lang w:val="es-ES"/>
        </w:rPr>
      </w:pPr>
    </w:p>
    <w:p w:rsidR="001E77EE" w:rsidRDefault="001E77EE" w:rsidP="0042096D">
      <w:pPr>
        <w:pStyle w:val="Prrafodelista"/>
        <w:spacing w:line="360" w:lineRule="auto"/>
        <w:ind w:left="0" w:right="283"/>
        <w:jc w:val="both"/>
        <w:rPr>
          <w:sz w:val="24"/>
          <w:szCs w:val="24"/>
          <w:lang w:val="es-ES"/>
        </w:rPr>
      </w:pPr>
      <w:r>
        <w:rPr>
          <w:sz w:val="24"/>
          <w:szCs w:val="24"/>
          <w:lang w:val="es-ES"/>
        </w:rPr>
        <w:t>Sin embargo, en el caso que se estudia no ocurre lo mismo</w:t>
      </w:r>
      <w:r w:rsidR="00641D11">
        <w:rPr>
          <w:sz w:val="24"/>
          <w:szCs w:val="24"/>
          <w:lang w:val="es-ES"/>
        </w:rPr>
        <w:t>;</w:t>
      </w:r>
      <w:r>
        <w:rPr>
          <w:sz w:val="24"/>
          <w:szCs w:val="24"/>
          <w:lang w:val="es-ES"/>
        </w:rPr>
        <w:t xml:space="preserve"> puesto que el procesado se allanó a los cargos que la Fiscalía le comunicó y en ningún momento se señaló –siquiera remotamente- su condición de adicto, lo cual conllevó automáticamente al proferimiento de un fallo cond</w:t>
      </w:r>
      <w:r w:rsidR="005101DB">
        <w:rPr>
          <w:sz w:val="24"/>
          <w:szCs w:val="24"/>
          <w:lang w:val="es-ES"/>
        </w:rPr>
        <w:t xml:space="preserve">enatorio en su contra, sin que </w:t>
      </w:r>
      <w:r>
        <w:rPr>
          <w:sz w:val="24"/>
          <w:szCs w:val="24"/>
          <w:lang w:val="es-ES"/>
        </w:rPr>
        <w:t xml:space="preserve">el órgano acusador tuviera </w:t>
      </w:r>
      <w:r w:rsidR="001D0022">
        <w:rPr>
          <w:sz w:val="24"/>
          <w:szCs w:val="24"/>
          <w:lang w:val="es-ES"/>
        </w:rPr>
        <w:t>ocasión para</w:t>
      </w:r>
      <w:r>
        <w:rPr>
          <w:sz w:val="24"/>
          <w:szCs w:val="24"/>
          <w:lang w:val="es-ES"/>
        </w:rPr>
        <w:t xml:space="preserve"> </w:t>
      </w:r>
      <w:r w:rsidR="00320C1D">
        <w:rPr>
          <w:sz w:val="24"/>
          <w:szCs w:val="24"/>
          <w:lang w:val="es-ES"/>
        </w:rPr>
        <w:t>aportar</w:t>
      </w:r>
      <w:r w:rsidR="001D0022">
        <w:rPr>
          <w:sz w:val="24"/>
          <w:szCs w:val="24"/>
          <w:lang w:val="es-ES"/>
        </w:rPr>
        <w:t xml:space="preserve"> la prueba del elemento subjetivo tácito.</w:t>
      </w:r>
    </w:p>
    <w:p w:rsidR="001D0022" w:rsidRDefault="001D0022" w:rsidP="0042096D">
      <w:pPr>
        <w:pStyle w:val="Prrafodelista"/>
        <w:spacing w:line="360" w:lineRule="auto"/>
        <w:ind w:left="0" w:right="283"/>
        <w:jc w:val="both"/>
        <w:rPr>
          <w:sz w:val="24"/>
          <w:szCs w:val="24"/>
          <w:lang w:val="es-ES"/>
        </w:rPr>
      </w:pPr>
    </w:p>
    <w:p w:rsidR="001E77EE" w:rsidRDefault="001D0022" w:rsidP="0042096D">
      <w:pPr>
        <w:pStyle w:val="Prrafodelista"/>
        <w:spacing w:line="360" w:lineRule="auto"/>
        <w:ind w:left="0" w:right="283"/>
        <w:jc w:val="both"/>
        <w:rPr>
          <w:sz w:val="24"/>
          <w:szCs w:val="24"/>
          <w:lang w:val="es-ES"/>
        </w:rPr>
      </w:pPr>
      <w:r>
        <w:rPr>
          <w:sz w:val="24"/>
          <w:szCs w:val="24"/>
          <w:lang w:val="es-ES"/>
        </w:rPr>
        <w:t xml:space="preserve">4.8.3 </w:t>
      </w:r>
      <w:r w:rsidR="00617612">
        <w:rPr>
          <w:sz w:val="24"/>
          <w:szCs w:val="24"/>
          <w:lang w:val="es-ES"/>
        </w:rPr>
        <w:t>En este orden de ideas, debe recordarse que uno de</w:t>
      </w:r>
      <w:r>
        <w:rPr>
          <w:sz w:val="24"/>
          <w:szCs w:val="24"/>
          <w:lang w:val="es-ES"/>
        </w:rPr>
        <w:t xml:space="preserve"> los fundamentos que orientan la causal de revisión contenida en el numeral 7 del artículo 192 del C.P.P. es la aplicación </w:t>
      </w:r>
      <w:r w:rsidRPr="001D0022">
        <w:rPr>
          <w:i/>
          <w:sz w:val="24"/>
          <w:szCs w:val="24"/>
          <w:lang w:val="es-ES"/>
        </w:rPr>
        <w:t xml:space="preserve">ex post </w:t>
      </w:r>
      <w:r>
        <w:rPr>
          <w:sz w:val="24"/>
          <w:szCs w:val="24"/>
          <w:lang w:val="es-ES"/>
        </w:rPr>
        <w:t xml:space="preserve">o retardada del principio de igualdad; </w:t>
      </w:r>
      <w:r w:rsidR="00B8626F">
        <w:rPr>
          <w:sz w:val="24"/>
          <w:szCs w:val="24"/>
          <w:lang w:val="es-ES"/>
        </w:rPr>
        <w:t>así, para que un caso fallado en el pasado encuentre</w:t>
      </w:r>
      <w:r>
        <w:rPr>
          <w:sz w:val="24"/>
          <w:szCs w:val="24"/>
          <w:lang w:val="es-ES"/>
        </w:rPr>
        <w:t xml:space="preserve"> consonancia con la </w:t>
      </w:r>
      <w:r w:rsidRPr="00F84B27">
        <w:rPr>
          <w:i/>
          <w:sz w:val="24"/>
          <w:szCs w:val="24"/>
          <w:lang w:val="es-ES"/>
        </w:rPr>
        <w:t>ratio decidendi</w:t>
      </w:r>
      <w:r>
        <w:rPr>
          <w:sz w:val="24"/>
          <w:szCs w:val="24"/>
          <w:lang w:val="es-ES"/>
        </w:rPr>
        <w:t xml:space="preserve"> de las nuevas tendencias jurisprudenciales que se profi</w:t>
      </w:r>
      <w:r w:rsidR="00B8626F">
        <w:rPr>
          <w:sz w:val="24"/>
          <w:szCs w:val="24"/>
          <w:lang w:val="es-ES"/>
        </w:rPr>
        <w:t>eran</w:t>
      </w:r>
      <w:r>
        <w:rPr>
          <w:sz w:val="24"/>
          <w:szCs w:val="24"/>
          <w:lang w:val="es-ES"/>
        </w:rPr>
        <w:t xml:space="preserve"> en casos afines fallados </w:t>
      </w:r>
      <w:r w:rsidRPr="00B8626F">
        <w:rPr>
          <w:i/>
          <w:sz w:val="24"/>
          <w:szCs w:val="24"/>
          <w:lang w:val="es-ES"/>
        </w:rPr>
        <w:t>a posteriori</w:t>
      </w:r>
      <w:r w:rsidR="000E67E9">
        <w:rPr>
          <w:sz w:val="24"/>
          <w:szCs w:val="24"/>
          <w:lang w:val="es-ES"/>
        </w:rPr>
        <w:t xml:space="preserve"> por el órgano de cierre,</w:t>
      </w:r>
      <w:r>
        <w:rPr>
          <w:sz w:val="24"/>
          <w:szCs w:val="24"/>
          <w:lang w:val="es-ES"/>
        </w:rPr>
        <w:t xml:space="preserve"> se torna necesario que existan unas similitudes entre las premisas f</w:t>
      </w:r>
      <w:r w:rsidR="00B8626F">
        <w:rPr>
          <w:sz w:val="24"/>
          <w:szCs w:val="24"/>
          <w:lang w:val="es-ES"/>
        </w:rPr>
        <w:t>ácticas del proceso objeto de la</w:t>
      </w:r>
      <w:r>
        <w:rPr>
          <w:sz w:val="24"/>
          <w:szCs w:val="24"/>
          <w:lang w:val="es-ES"/>
        </w:rPr>
        <w:t xml:space="preserve"> acción de revisión y los precedentes jur</w:t>
      </w:r>
      <w:r w:rsidR="00B8626F">
        <w:rPr>
          <w:sz w:val="24"/>
          <w:szCs w:val="24"/>
          <w:lang w:val="es-ES"/>
        </w:rPr>
        <w:t xml:space="preserve">isprudenciales cuya aplicación se </w:t>
      </w:r>
      <w:r w:rsidR="000E67E9">
        <w:rPr>
          <w:sz w:val="24"/>
          <w:szCs w:val="24"/>
          <w:lang w:val="es-ES"/>
        </w:rPr>
        <w:t>reclama.</w:t>
      </w:r>
    </w:p>
    <w:p w:rsidR="000E67E9" w:rsidRDefault="000E67E9" w:rsidP="0042096D">
      <w:pPr>
        <w:pStyle w:val="Prrafodelista"/>
        <w:spacing w:line="360" w:lineRule="auto"/>
        <w:ind w:left="0" w:right="283"/>
        <w:jc w:val="both"/>
        <w:rPr>
          <w:sz w:val="24"/>
          <w:szCs w:val="24"/>
          <w:lang w:val="es-ES"/>
        </w:rPr>
      </w:pPr>
    </w:p>
    <w:p w:rsidR="0020727E" w:rsidRDefault="0020727E" w:rsidP="0042096D">
      <w:pPr>
        <w:pStyle w:val="Prrafodelista"/>
        <w:spacing w:line="360" w:lineRule="auto"/>
        <w:ind w:left="0" w:right="283"/>
        <w:jc w:val="both"/>
        <w:rPr>
          <w:sz w:val="24"/>
          <w:szCs w:val="24"/>
          <w:lang w:val="es-ES"/>
        </w:rPr>
      </w:pPr>
      <w:r>
        <w:rPr>
          <w:sz w:val="24"/>
          <w:szCs w:val="24"/>
          <w:lang w:val="es-ES"/>
        </w:rPr>
        <w:t xml:space="preserve">Lo anterior, quiere decir </w:t>
      </w:r>
      <w:r w:rsidRPr="00B0648F">
        <w:rPr>
          <w:i/>
          <w:sz w:val="24"/>
          <w:szCs w:val="24"/>
          <w:lang w:val="es-ES"/>
        </w:rPr>
        <w:t>contrario sensu</w:t>
      </w:r>
      <w:r>
        <w:rPr>
          <w:sz w:val="24"/>
          <w:szCs w:val="24"/>
          <w:lang w:val="es-ES"/>
        </w:rPr>
        <w:t xml:space="preserve">, que en aquellas hipótesis en las que entre un caso juzgado y los </w:t>
      </w:r>
      <w:r w:rsidR="000E67E9">
        <w:rPr>
          <w:sz w:val="24"/>
          <w:szCs w:val="24"/>
          <w:lang w:val="es-ES"/>
        </w:rPr>
        <w:t xml:space="preserve">precedentes jurisprudenciales cuya aplicación se reclama existan asimetrías o diferencias relevantes en lo factual, que de una u otra forma incidan para constituirse como una especie de factor de diferenciación; </w:t>
      </w:r>
      <w:r w:rsidR="00846EA1">
        <w:rPr>
          <w:sz w:val="24"/>
          <w:szCs w:val="24"/>
          <w:lang w:val="es-ES"/>
        </w:rPr>
        <w:t xml:space="preserve">resulta claro </w:t>
      </w:r>
      <w:r w:rsidR="000E67E9">
        <w:rPr>
          <w:sz w:val="24"/>
          <w:szCs w:val="24"/>
          <w:lang w:val="es-ES"/>
        </w:rPr>
        <w:t xml:space="preserve">que la solución jurídica de los nuevos precedentes jurisprudenciales emanados del órgano de cierre no </w:t>
      </w:r>
      <w:r w:rsidR="00846EA1">
        <w:rPr>
          <w:sz w:val="24"/>
          <w:szCs w:val="24"/>
          <w:lang w:val="es-ES"/>
        </w:rPr>
        <w:t>pueden</w:t>
      </w:r>
      <w:r w:rsidR="000E67E9">
        <w:rPr>
          <w:sz w:val="24"/>
          <w:szCs w:val="24"/>
          <w:lang w:val="es-ES"/>
        </w:rPr>
        <w:t xml:space="preserve"> ser aplicad</w:t>
      </w:r>
      <w:r w:rsidR="00846EA1">
        <w:rPr>
          <w:sz w:val="24"/>
          <w:szCs w:val="24"/>
          <w:lang w:val="es-ES"/>
        </w:rPr>
        <w:t>os</w:t>
      </w:r>
      <w:r w:rsidR="000E67E9">
        <w:rPr>
          <w:sz w:val="24"/>
          <w:szCs w:val="24"/>
          <w:lang w:val="es-ES"/>
        </w:rPr>
        <w:t xml:space="preserve"> en el caso juzgado, pues se reitera, se trata de casos disímiles.</w:t>
      </w:r>
    </w:p>
    <w:p w:rsidR="001D0022" w:rsidRPr="007431DD" w:rsidRDefault="00B8626F" w:rsidP="0042096D">
      <w:pPr>
        <w:pStyle w:val="Prrafodelista"/>
        <w:spacing w:line="360" w:lineRule="auto"/>
        <w:ind w:left="0" w:right="283"/>
        <w:jc w:val="both"/>
        <w:rPr>
          <w:sz w:val="24"/>
          <w:szCs w:val="24"/>
          <w:lang w:val="es-ES"/>
        </w:rPr>
      </w:pPr>
      <w:r>
        <w:rPr>
          <w:sz w:val="24"/>
          <w:szCs w:val="24"/>
          <w:lang w:val="es-ES"/>
        </w:rPr>
        <w:t xml:space="preserve"> </w:t>
      </w:r>
    </w:p>
    <w:p w:rsidR="000D4F72" w:rsidRPr="00824310" w:rsidRDefault="005665A8" w:rsidP="00641D11">
      <w:pPr>
        <w:pStyle w:val="Prrafodelista"/>
        <w:tabs>
          <w:tab w:val="left" w:pos="2835"/>
        </w:tabs>
        <w:spacing w:line="360" w:lineRule="auto"/>
        <w:ind w:left="0" w:right="283"/>
        <w:jc w:val="both"/>
        <w:rPr>
          <w:sz w:val="22"/>
          <w:szCs w:val="22"/>
        </w:rPr>
      </w:pPr>
      <w:r w:rsidRPr="00824310">
        <w:rPr>
          <w:sz w:val="22"/>
          <w:szCs w:val="22"/>
        </w:rPr>
        <w:t xml:space="preserve">4.8.5 </w:t>
      </w:r>
      <w:r w:rsidR="000D4F72" w:rsidRPr="00824310">
        <w:rPr>
          <w:sz w:val="22"/>
          <w:szCs w:val="22"/>
        </w:rPr>
        <w:t xml:space="preserve">En consecuencia, </w:t>
      </w:r>
      <w:r w:rsidR="00BB6DB6" w:rsidRPr="00824310">
        <w:rPr>
          <w:sz w:val="22"/>
          <w:szCs w:val="22"/>
        </w:rPr>
        <w:t xml:space="preserve">por cuanto no es posible aplicar el precedente referido al presente caso, </w:t>
      </w:r>
      <w:r w:rsidR="00641D11" w:rsidRPr="00824310">
        <w:rPr>
          <w:sz w:val="22"/>
          <w:szCs w:val="22"/>
        </w:rPr>
        <w:t>la Sala proceder</w:t>
      </w:r>
      <w:r w:rsidR="00D46D57" w:rsidRPr="00824310">
        <w:rPr>
          <w:sz w:val="22"/>
          <w:szCs w:val="22"/>
        </w:rPr>
        <w:t xml:space="preserve">á </w:t>
      </w:r>
      <w:r w:rsidR="00641D11" w:rsidRPr="00824310">
        <w:rPr>
          <w:sz w:val="22"/>
          <w:szCs w:val="22"/>
        </w:rPr>
        <w:t xml:space="preserve">a declarar infundada la causal de la acción de revisión presentada </w:t>
      </w:r>
      <w:r w:rsidR="00BB6DB6" w:rsidRPr="00824310">
        <w:rPr>
          <w:sz w:val="22"/>
          <w:szCs w:val="22"/>
        </w:rPr>
        <w:t>por el Procurador Judicial Pena</w:t>
      </w:r>
      <w:r w:rsidR="00641D11" w:rsidRPr="00824310">
        <w:rPr>
          <w:sz w:val="22"/>
          <w:szCs w:val="22"/>
        </w:rPr>
        <w:t xml:space="preserve"> y en consecuencia no se accederá a la petición de dejar sin valor la sentencia proferida el 12 de marzo de 2012 por el Juzgado Cuarto Penal del </w:t>
      </w:r>
      <w:r w:rsidR="00641D11" w:rsidRPr="00824310">
        <w:rPr>
          <w:sz w:val="22"/>
          <w:szCs w:val="22"/>
        </w:rPr>
        <w:lastRenderedPageBreak/>
        <w:t>Circuito de Pereira (Risaralda), mediante la cual se condenó al señor Héctor William Monsalve Santamaría como autor del delito de tráfico, fabricación o porte de estupefacientes.</w:t>
      </w:r>
    </w:p>
    <w:p w:rsidR="000D4F72" w:rsidRPr="007431DD" w:rsidRDefault="000D4F72" w:rsidP="0042096D">
      <w:pPr>
        <w:tabs>
          <w:tab w:val="left" w:pos="8222"/>
        </w:tabs>
        <w:spacing w:line="360" w:lineRule="auto"/>
        <w:ind w:left="567" w:right="283"/>
        <w:jc w:val="both"/>
        <w:rPr>
          <w:rFonts w:eastAsia="Adobe Gothic Std B"/>
          <w:i/>
          <w:sz w:val="24"/>
          <w:szCs w:val="24"/>
        </w:rPr>
      </w:pPr>
    </w:p>
    <w:p w:rsidR="006610F0" w:rsidRPr="00824310" w:rsidRDefault="00FC5922" w:rsidP="0042096D">
      <w:pPr>
        <w:spacing w:line="360" w:lineRule="auto"/>
        <w:ind w:right="283"/>
        <w:jc w:val="both"/>
        <w:rPr>
          <w:sz w:val="22"/>
          <w:szCs w:val="22"/>
          <w:lang w:val="es-ES"/>
        </w:rPr>
      </w:pPr>
      <w:r w:rsidRPr="00824310">
        <w:rPr>
          <w:sz w:val="22"/>
          <w:szCs w:val="22"/>
          <w:lang w:val="es-ES"/>
        </w:rPr>
        <w:t xml:space="preserve">Con base en lo expuesto en precedencia, la </w:t>
      </w:r>
      <w:r w:rsidR="006610F0" w:rsidRPr="00824310">
        <w:rPr>
          <w:sz w:val="22"/>
          <w:szCs w:val="22"/>
          <w:lang w:val="es-ES"/>
        </w:rPr>
        <w:t>Sala de Decisión Penal del T</w:t>
      </w:r>
      <w:r w:rsidR="00AE231E" w:rsidRPr="00824310">
        <w:rPr>
          <w:sz w:val="22"/>
          <w:szCs w:val="22"/>
          <w:lang w:val="es-ES"/>
        </w:rPr>
        <w:t xml:space="preserve">ribunal </w:t>
      </w:r>
      <w:r w:rsidR="006610F0" w:rsidRPr="00824310">
        <w:rPr>
          <w:sz w:val="22"/>
          <w:szCs w:val="22"/>
          <w:lang w:val="es-ES"/>
        </w:rPr>
        <w:t>S</w:t>
      </w:r>
      <w:r w:rsidR="00AE231E" w:rsidRPr="00824310">
        <w:rPr>
          <w:sz w:val="22"/>
          <w:szCs w:val="22"/>
          <w:lang w:val="es-ES"/>
        </w:rPr>
        <w:t>uperior</w:t>
      </w:r>
      <w:r w:rsidR="006610F0" w:rsidRPr="00824310">
        <w:rPr>
          <w:sz w:val="22"/>
          <w:szCs w:val="22"/>
          <w:lang w:val="es-ES"/>
        </w:rPr>
        <w:t xml:space="preserve"> del Distrito Judicial de Pereira, Administrando Justicia</w:t>
      </w:r>
      <w:r w:rsidR="00950447" w:rsidRPr="00824310">
        <w:rPr>
          <w:sz w:val="22"/>
          <w:szCs w:val="22"/>
          <w:lang w:val="es-ES"/>
        </w:rPr>
        <w:t xml:space="preserve"> en nombre de la Repú</w:t>
      </w:r>
      <w:r w:rsidR="006610F0" w:rsidRPr="00824310">
        <w:rPr>
          <w:sz w:val="22"/>
          <w:szCs w:val="22"/>
          <w:lang w:val="es-ES"/>
        </w:rPr>
        <w:t>blica y por Autoridad de la Ley,</w:t>
      </w:r>
    </w:p>
    <w:p w:rsidR="007D795E" w:rsidRPr="00824310" w:rsidRDefault="007D795E" w:rsidP="0042096D">
      <w:pPr>
        <w:spacing w:line="360" w:lineRule="auto"/>
        <w:ind w:right="283"/>
        <w:jc w:val="both"/>
        <w:rPr>
          <w:sz w:val="22"/>
          <w:szCs w:val="22"/>
          <w:lang w:val="es-ES"/>
        </w:rPr>
      </w:pPr>
    </w:p>
    <w:p w:rsidR="006610F0" w:rsidRPr="00824310" w:rsidRDefault="006610F0" w:rsidP="0042096D">
      <w:pPr>
        <w:spacing w:line="360" w:lineRule="auto"/>
        <w:ind w:right="283"/>
        <w:jc w:val="center"/>
        <w:rPr>
          <w:rFonts w:eastAsia="Adobe Gothic Std B"/>
          <w:sz w:val="22"/>
          <w:szCs w:val="22"/>
        </w:rPr>
      </w:pPr>
      <w:r w:rsidRPr="00824310">
        <w:rPr>
          <w:rFonts w:eastAsia="Adobe Gothic Std B"/>
          <w:sz w:val="22"/>
          <w:szCs w:val="22"/>
        </w:rPr>
        <w:t>RESUELVE:</w:t>
      </w:r>
    </w:p>
    <w:p w:rsidR="006610F0" w:rsidRPr="00824310" w:rsidRDefault="006610F0" w:rsidP="0042096D">
      <w:pPr>
        <w:spacing w:line="360" w:lineRule="auto"/>
        <w:ind w:right="283"/>
        <w:jc w:val="both"/>
        <w:rPr>
          <w:rFonts w:eastAsia="Adobe Gothic Std B"/>
          <w:sz w:val="22"/>
          <w:szCs w:val="22"/>
        </w:rPr>
      </w:pPr>
    </w:p>
    <w:p w:rsidR="00027D3A" w:rsidRPr="00824310" w:rsidRDefault="00B95E8B" w:rsidP="0042096D">
      <w:pPr>
        <w:spacing w:line="360" w:lineRule="auto"/>
        <w:ind w:right="283"/>
        <w:jc w:val="both"/>
        <w:rPr>
          <w:sz w:val="22"/>
          <w:szCs w:val="22"/>
        </w:rPr>
      </w:pPr>
      <w:r w:rsidRPr="00824310">
        <w:rPr>
          <w:rFonts w:eastAsia="Adobe Gothic Std B"/>
          <w:sz w:val="22"/>
          <w:szCs w:val="22"/>
        </w:rPr>
        <w:t>PRIMERO:</w:t>
      </w:r>
      <w:r w:rsidRPr="00824310">
        <w:rPr>
          <w:rFonts w:eastAsia="Adobe Gothic Std B"/>
          <w:sz w:val="22"/>
          <w:szCs w:val="22"/>
        </w:rPr>
        <w:tab/>
      </w:r>
      <w:r w:rsidR="00C6784E" w:rsidRPr="00824310">
        <w:rPr>
          <w:sz w:val="22"/>
          <w:szCs w:val="22"/>
        </w:rPr>
        <w:t>D</w:t>
      </w:r>
      <w:r w:rsidR="00641D11" w:rsidRPr="00824310">
        <w:rPr>
          <w:sz w:val="22"/>
          <w:szCs w:val="22"/>
        </w:rPr>
        <w:t>ECLARAR IN</w:t>
      </w:r>
      <w:r w:rsidR="00C6784E" w:rsidRPr="00824310">
        <w:rPr>
          <w:sz w:val="22"/>
          <w:szCs w:val="22"/>
        </w:rPr>
        <w:t>FUNDADA</w:t>
      </w:r>
      <w:r w:rsidR="00641D11" w:rsidRPr="00824310">
        <w:rPr>
          <w:sz w:val="22"/>
          <w:szCs w:val="22"/>
        </w:rPr>
        <w:t xml:space="preserve"> la </w:t>
      </w:r>
      <w:r w:rsidR="006610F0" w:rsidRPr="00824310">
        <w:rPr>
          <w:sz w:val="22"/>
          <w:szCs w:val="22"/>
        </w:rPr>
        <w:t>acción de revisión impetrada por</w:t>
      </w:r>
      <w:r w:rsidR="007D795E" w:rsidRPr="00824310">
        <w:rPr>
          <w:sz w:val="22"/>
          <w:szCs w:val="22"/>
        </w:rPr>
        <w:t xml:space="preserve"> el</w:t>
      </w:r>
      <w:r w:rsidR="006610F0" w:rsidRPr="00824310">
        <w:rPr>
          <w:sz w:val="22"/>
          <w:szCs w:val="22"/>
        </w:rPr>
        <w:t xml:space="preserve"> accionante</w:t>
      </w:r>
      <w:r w:rsidR="00C6784E" w:rsidRPr="00824310">
        <w:rPr>
          <w:sz w:val="22"/>
          <w:szCs w:val="22"/>
        </w:rPr>
        <w:t xml:space="preserve"> con base en la causal 7</w:t>
      </w:r>
      <w:r w:rsidR="006610F0" w:rsidRPr="00824310">
        <w:rPr>
          <w:sz w:val="22"/>
          <w:szCs w:val="22"/>
        </w:rPr>
        <w:t xml:space="preserve"> del </w:t>
      </w:r>
      <w:r w:rsidR="00AE231E" w:rsidRPr="00824310">
        <w:rPr>
          <w:sz w:val="22"/>
          <w:szCs w:val="22"/>
        </w:rPr>
        <w:t>artículo</w:t>
      </w:r>
      <w:r w:rsidR="006610F0" w:rsidRPr="00824310">
        <w:rPr>
          <w:sz w:val="22"/>
          <w:szCs w:val="22"/>
        </w:rPr>
        <w:t xml:space="preserve"> 192 del </w:t>
      </w:r>
      <w:r w:rsidR="00027D3A" w:rsidRPr="00824310">
        <w:rPr>
          <w:sz w:val="22"/>
          <w:szCs w:val="22"/>
        </w:rPr>
        <w:t>C</w:t>
      </w:r>
      <w:r w:rsidR="00C6784E" w:rsidRPr="00824310">
        <w:rPr>
          <w:sz w:val="22"/>
          <w:szCs w:val="22"/>
        </w:rPr>
        <w:t>.</w:t>
      </w:r>
      <w:r w:rsidR="00027D3A" w:rsidRPr="00824310">
        <w:rPr>
          <w:sz w:val="22"/>
          <w:szCs w:val="22"/>
        </w:rPr>
        <w:t>P</w:t>
      </w:r>
      <w:r w:rsidR="00C6784E" w:rsidRPr="00824310">
        <w:rPr>
          <w:sz w:val="22"/>
          <w:szCs w:val="22"/>
        </w:rPr>
        <w:t>.</w:t>
      </w:r>
      <w:r w:rsidR="00027D3A" w:rsidRPr="00824310">
        <w:rPr>
          <w:sz w:val="22"/>
          <w:szCs w:val="22"/>
        </w:rPr>
        <w:t>P.</w:t>
      </w:r>
      <w:r w:rsidR="00847E35" w:rsidRPr="00824310">
        <w:rPr>
          <w:sz w:val="22"/>
          <w:szCs w:val="22"/>
        </w:rPr>
        <w:t>, y en consecuencia no se accederá a</w:t>
      </w:r>
      <w:r w:rsidR="007646E8" w:rsidRPr="00824310">
        <w:rPr>
          <w:sz w:val="22"/>
          <w:szCs w:val="22"/>
        </w:rPr>
        <w:t xml:space="preserve"> la petición de dejar sin efectos </w:t>
      </w:r>
      <w:r w:rsidR="00847E35" w:rsidRPr="00824310">
        <w:rPr>
          <w:sz w:val="22"/>
          <w:szCs w:val="22"/>
        </w:rPr>
        <w:t>el contenido de la sentencia proferida el 12 de marzo de 2012 por el Juzgado Cuarto Penal del Circuito de Pereira (Risaralda); mediante la cual se condenó al señor Héctor William Monsalve Santamaría como autor del delito de tráfico, fabricación o porte de estupefacientes.</w:t>
      </w:r>
    </w:p>
    <w:p w:rsidR="00027D3A" w:rsidRPr="00824310" w:rsidRDefault="00027D3A" w:rsidP="0042096D">
      <w:pPr>
        <w:spacing w:line="360" w:lineRule="auto"/>
        <w:ind w:right="283"/>
        <w:jc w:val="both"/>
        <w:rPr>
          <w:sz w:val="22"/>
          <w:szCs w:val="22"/>
        </w:rPr>
      </w:pPr>
    </w:p>
    <w:p w:rsidR="006610F0" w:rsidRPr="00824310" w:rsidRDefault="00B95E8B" w:rsidP="0042096D">
      <w:pPr>
        <w:spacing w:line="360" w:lineRule="auto"/>
        <w:ind w:right="283"/>
        <w:jc w:val="both"/>
        <w:rPr>
          <w:rFonts w:eastAsia="Adobe Gothic Std B"/>
          <w:sz w:val="22"/>
          <w:szCs w:val="22"/>
        </w:rPr>
      </w:pPr>
      <w:r w:rsidRPr="00824310">
        <w:rPr>
          <w:sz w:val="22"/>
          <w:szCs w:val="22"/>
        </w:rPr>
        <w:t>SEGUNDO:</w:t>
      </w:r>
      <w:r w:rsidRPr="00824310">
        <w:rPr>
          <w:sz w:val="22"/>
          <w:szCs w:val="22"/>
        </w:rPr>
        <w:tab/>
      </w:r>
      <w:r w:rsidR="00702E81" w:rsidRPr="00824310">
        <w:rPr>
          <w:rFonts w:eastAsia="Adobe Gothic Std B"/>
          <w:sz w:val="22"/>
          <w:szCs w:val="22"/>
        </w:rPr>
        <w:t>Declarar que contra la presente decisión</w:t>
      </w:r>
      <w:r w:rsidR="000E6A1D" w:rsidRPr="00824310">
        <w:rPr>
          <w:rFonts w:eastAsia="Adobe Gothic Std B"/>
          <w:sz w:val="22"/>
          <w:szCs w:val="22"/>
        </w:rPr>
        <w:t xml:space="preserve"> </w:t>
      </w:r>
      <w:r w:rsidR="00702E81" w:rsidRPr="00824310">
        <w:rPr>
          <w:rFonts w:eastAsia="Adobe Gothic Std B"/>
          <w:sz w:val="22"/>
          <w:szCs w:val="22"/>
        </w:rPr>
        <w:t>no procede recurso alguno</w:t>
      </w:r>
      <w:r w:rsidR="000E6A1D" w:rsidRPr="00824310">
        <w:rPr>
          <w:rFonts w:eastAsia="Adobe Gothic Std B"/>
          <w:sz w:val="22"/>
          <w:szCs w:val="22"/>
        </w:rPr>
        <w:t>, por tratarse de un fallo de única instancia.</w:t>
      </w:r>
    </w:p>
    <w:p w:rsidR="005B5496" w:rsidRPr="00824310" w:rsidRDefault="005B5496" w:rsidP="0042096D">
      <w:pPr>
        <w:spacing w:line="360" w:lineRule="auto"/>
        <w:ind w:right="283"/>
        <w:jc w:val="center"/>
        <w:rPr>
          <w:rFonts w:eastAsia="Adobe Gothic Std B"/>
          <w:sz w:val="22"/>
          <w:szCs w:val="22"/>
        </w:rPr>
      </w:pPr>
    </w:p>
    <w:p w:rsidR="006610F0" w:rsidRPr="00824310" w:rsidRDefault="006610F0" w:rsidP="0042096D">
      <w:pPr>
        <w:spacing w:line="360" w:lineRule="auto"/>
        <w:ind w:right="283"/>
        <w:jc w:val="center"/>
        <w:rPr>
          <w:rFonts w:eastAsia="Adobe Gothic Std B"/>
          <w:sz w:val="22"/>
          <w:szCs w:val="22"/>
        </w:rPr>
      </w:pPr>
      <w:r w:rsidRPr="00824310">
        <w:rPr>
          <w:rFonts w:eastAsia="Adobe Gothic Std B"/>
          <w:sz w:val="22"/>
          <w:szCs w:val="22"/>
        </w:rPr>
        <w:t>NOTIFÍQUESE Y CÚMPLASE.</w:t>
      </w:r>
    </w:p>
    <w:p w:rsidR="006610F0" w:rsidRPr="00824310" w:rsidRDefault="006610F0" w:rsidP="0042096D">
      <w:pPr>
        <w:spacing w:line="360" w:lineRule="auto"/>
        <w:ind w:right="283"/>
        <w:jc w:val="center"/>
        <w:rPr>
          <w:rFonts w:eastAsia="Adobe Gothic Std B"/>
          <w:sz w:val="22"/>
          <w:szCs w:val="22"/>
        </w:rPr>
      </w:pPr>
    </w:p>
    <w:p w:rsidR="00056DB0" w:rsidRPr="00824310" w:rsidRDefault="00056DB0" w:rsidP="0042096D">
      <w:pPr>
        <w:spacing w:line="360" w:lineRule="auto"/>
        <w:ind w:right="283"/>
        <w:jc w:val="center"/>
        <w:rPr>
          <w:rFonts w:eastAsia="Adobe Gothic Std B"/>
          <w:sz w:val="22"/>
          <w:szCs w:val="22"/>
        </w:rPr>
      </w:pPr>
    </w:p>
    <w:p w:rsidR="00030498" w:rsidRPr="00824310" w:rsidRDefault="00030498" w:rsidP="0042096D">
      <w:pPr>
        <w:spacing w:line="360" w:lineRule="auto"/>
        <w:ind w:right="283"/>
        <w:jc w:val="center"/>
        <w:rPr>
          <w:rFonts w:eastAsia="Adobe Gothic Std B"/>
          <w:sz w:val="22"/>
          <w:szCs w:val="22"/>
        </w:rPr>
      </w:pPr>
    </w:p>
    <w:p w:rsidR="00734387" w:rsidRPr="00824310" w:rsidRDefault="00734387" w:rsidP="0042096D">
      <w:pPr>
        <w:spacing w:line="360" w:lineRule="auto"/>
        <w:ind w:right="283"/>
        <w:jc w:val="center"/>
        <w:rPr>
          <w:rFonts w:eastAsia="Adobe Gothic Std B"/>
          <w:sz w:val="22"/>
          <w:szCs w:val="22"/>
          <w:lang w:val="es-ES"/>
        </w:rPr>
      </w:pPr>
      <w:r w:rsidRPr="00824310">
        <w:rPr>
          <w:rFonts w:eastAsia="Adobe Gothic Std B"/>
          <w:sz w:val="22"/>
          <w:szCs w:val="22"/>
          <w:lang w:val="es-ES"/>
        </w:rPr>
        <w:t>JAIRO ERNESTO ESCO</w:t>
      </w:r>
      <w:r w:rsidR="000F3092" w:rsidRPr="00824310">
        <w:rPr>
          <w:rFonts w:eastAsia="Adobe Gothic Std B"/>
          <w:sz w:val="22"/>
          <w:szCs w:val="22"/>
          <w:lang w:val="es-ES"/>
        </w:rPr>
        <w:t>BAR SANZ</w:t>
      </w:r>
    </w:p>
    <w:p w:rsidR="00734387" w:rsidRPr="00824310" w:rsidRDefault="000F3092" w:rsidP="0042096D">
      <w:pPr>
        <w:spacing w:line="360" w:lineRule="auto"/>
        <w:ind w:right="283"/>
        <w:jc w:val="center"/>
        <w:rPr>
          <w:rFonts w:eastAsia="Adobe Gothic Std B"/>
          <w:sz w:val="22"/>
          <w:szCs w:val="22"/>
          <w:lang w:val="es-ES"/>
        </w:rPr>
      </w:pPr>
      <w:r w:rsidRPr="00824310">
        <w:rPr>
          <w:rFonts w:eastAsia="Adobe Gothic Std B"/>
          <w:sz w:val="22"/>
          <w:szCs w:val="22"/>
          <w:lang w:val="es-ES"/>
        </w:rPr>
        <w:t>Magistrado</w:t>
      </w:r>
    </w:p>
    <w:p w:rsidR="000F3092" w:rsidRPr="00824310" w:rsidRDefault="000F3092" w:rsidP="0042096D">
      <w:pPr>
        <w:spacing w:line="360" w:lineRule="auto"/>
        <w:ind w:right="283"/>
        <w:jc w:val="center"/>
        <w:rPr>
          <w:rFonts w:eastAsia="Adobe Gothic Std B"/>
          <w:sz w:val="22"/>
          <w:szCs w:val="22"/>
          <w:lang w:val="es-ES"/>
        </w:rPr>
      </w:pPr>
    </w:p>
    <w:p w:rsidR="00030498" w:rsidRPr="00824310" w:rsidRDefault="00030498" w:rsidP="0042096D">
      <w:pPr>
        <w:spacing w:line="360" w:lineRule="auto"/>
        <w:ind w:right="283"/>
        <w:jc w:val="center"/>
        <w:rPr>
          <w:rFonts w:eastAsia="Adobe Gothic Std B"/>
          <w:sz w:val="22"/>
          <w:szCs w:val="22"/>
          <w:lang w:val="es-ES"/>
        </w:rPr>
      </w:pPr>
    </w:p>
    <w:p w:rsidR="006610F0" w:rsidRPr="00824310" w:rsidRDefault="006610F0" w:rsidP="0042096D">
      <w:pPr>
        <w:spacing w:line="360" w:lineRule="auto"/>
        <w:ind w:right="283"/>
        <w:jc w:val="center"/>
        <w:rPr>
          <w:rFonts w:eastAsia="Adobe Gothic Std B"/>
          <w:sz w:val="22"/>
          <w:szCs w:val="22"/>
          <w:lang w:val="es-ES"/>
        </w:rPr>
      </w:pPr>
      <w:r w:rsidRPr="00824310">
        <w:rPr>
          <w:rFonts w:eastAsia="Adobe Gothic Std B"/>
          <w:sz w:val="22"/>
          <w:szCs w:val="22"/>
          <w:lang w:val="es-ES"/>
        </w:rPr>
        <w:t>MANUEL YARZAGARAY BANDERA</w:t>
      </w:r>
    </w:p>
    <w:p w:rsidR="000F3092" w:rsidRPr="00824310" w:rsidRDefault="006610F0" w:rsidP="0042096D">
      <w:pPr>
        <w:spacing w:line="360" w:lineRule="auto"/>
        <w:ind w:right="283"/>
        <w:jc w:val="center"/>
        <w:rPr>
          <w:rFonts w:eastAsia="Adobe Gothic Std B"/>
          <w:sz w:val="22"/>
          <w:szCs w:val="22"/>
          <w:lang w:val="es-ES"/>
        </w:rPr>
      </w:pPr>
      <w:r w:rsidRPr="00824310">
        <w:rPr>
          <w:rFonts w:eastAsia="Adobe Gothic Std B"/>
          <w:sz w:val="22"/>
          <w:szCs w:val="22"/>
          <w:lang w:val="es-ES"/>
        </w:rPr>
        <w:t>Magistrado</w:t>
      </w:r>
    </w:p>
    <w:p w:rsidR="000F3092" w:rsidRPr="00824310" w:rsidRDefault="000F3092" w:rsidP="0042096D">
      <w:pPr>
        <w:spacing w:line="360" w:lineRule="auto"/>
        <w:ind w:right="283"/>
        <w:jc w:val="center"/>
        <w:rPr>
          <w:rFonts w:eastAsia="Adobe Gothic Std B"/>
          <w:sz w:val="22"/>
          <w:szCs w:val="22"/>
          <w:lang w:val="es-ES"/>
        </w:rPr>
      </w:pPr>
    </w:p>
    <w:p w:rsidR="00030498" w:rsidRPr="00824310" w:rsidRDefault="00030498" w:rsidP="0042096D">
      <w:pPr>
        <w:spacing w:line="360" w:lineRule="auto"/>
        <w:ind w:right="283"/>
        <w:jc w:val="center"/>
        <w:rPr>
          <w:rFonts w:eastAsia="Adobe Gothic Std B"/>
          <w:sz w:val="22"/>
          <w:szCs w:val="22"/>
          <w:lang w:val="es-ES"/>
        </w:rPr>
      </w:pPr>
    </w:p>
    <w:p w:rsidR="006610F0" w:rsidRPr="00824310" w:rsidRDefault="006610F0" w:rsidP="0042096D">
      <w:pPr>
        <w:spacing w:line="360" w:lineRule="auto"/>
        <w:ind w:right="283"/>
        <w:jc w:val="center"/>
        <w:rPr>
          <w:rFonts w:eastAsia="Adobe Gothic Std B"/>
          <w:sz w:val="22"/>
          <w:szCs w:val="22"/>
          <w:lang w:val="es-ES"/>
        </w:rPr>
      </w:pPr>
      <w:r w:rsidRPr="00824310">
        <w:rPr>
          <w:rFonts w:eastAsia="Adobe Gothic Std B"/>
          <w:sz w:val="22"/>
          <w:szCs w:val="22"/>
          <w:lang w:val="es-ES"/>
        </w:rPr>
        <w:t>JORGE ARTURO CASTAÑO DUQUE</w:t>
      </w:r>
    </w:p>
    <w:p w:rsidR="00C17852" w:rsidRPr="00824310" w:rsidRDefault="006610F0" w:rsidP="0042096D">
      <w:pPr>
        <w:spacing w:line="360" w:lineRule="auto"/>
        <w:ind w:right="283"/>
        <w:jc w:val="center"/>
        <w:rPr>
          <w:sz w:val="22"/>
          <w:szCs w:val="22"/>
        </w:rPr>
      </w:pPr>
      <w:r w:rsidRPr="00824310">
        <w:rPr>
          <w:rFonts w:eastAsia="Adobe Gothic Std B"/>
          <w:sz w:val="22"/>
          <w:szCs w:val="22"/>
          <w:lang w:val="es-ES"/>
        </w:rPr>
        <w:t>Magistrado</w:t>
      </w:r>
    </w:p>
    <w:sectPr w:rsidR="00C17852" w:rsidRPr="00824310" w:rsidSect="0042096D">
      <w:headerReference w:type="default" r:id="rId10"/>
      <w:footerReference w:type="default" r:id="rId11"/>
      <w:pgSz w:w="12240" w:h="18720" w:code="14"/>
      <w:pgMar w:top="1417" w:right="1467" w:bottom="141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B95" w:rsidRDefault="00327B95" w:rsidP="00047C58">
      <w:r>
        <w:separator/>
      </w:r>
    </w:p>
  </w:endnote>
  <w:endnote w:type="continuationSeparator" w:id="0">
    <w:p w:rsidR="00327B95" w:rsidRDefault="00327B95"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07032509"/>
      <w:docPartObj>
        <w:docPartGallery w:val="Page Numbers (Bottom of Page)"/>
        <w:docPartUnique/>
      </w:docPartObj>
    </w:sdtPr>
    <w:sdtEndPr/>
    <w:sdtContent>
      <w:sdt>
        <w:sdtPr>
          <w:rPr>
            <w:sz w:val="20"/>
            <w:szCs w:val="20"/>
          </w:rPr>
          <w:id w:val="-2060385922"/>
          <w:docPartObj>
            <w:docPartGallery w:val="Page Numbers (Top of Page)"/>
            <w:docPartUnique/>
          </w:docPartObj>
        </w:sdtPr>
        <w:sdtEndPr/>
        <w:sdtContent>
          <w:p w:rsidR="00915E62" w:rsidRPr="00030498" w:rsidRDefault="00915E62">
            <w:pPr>
              <w:pStyle w:val="Piedepgina"/>
              <w:rPr>
                <w:sz w:val="20"/>
                <w:szCs w:val="20"/>
              </w:rPr>
            </w:pPr>
            <w:r w:rsidRPr="00030498">
              <w:rPr>
                <w:sz w:val="20"/>
                <w:szCs w:val="20"/>
                <w:lang w:val="es-ES"/>
              </w:rPr>
              <w:t xml:space="preserve">Página </w:t>
            </w:r>
            <w:r w:rsidRPr="00030498">
              <w:rPr>
                <w:b/>
                <w:bCs/>
                <w:sz w:val="20"/>
                <w:szCs w:val="20"/>
              </w:rPr>
              <w:fldChar w:fldCharType="begin"/>
            </w:r>
            <w:r w:rsidRPr="00030498">
              <w:rPr>
                <w:b/>
                <w:bCs/>
                <w:sz w:val="20"/>
                <w:szCs w:val="20"/>
              </w:rPr>
              <w:instrText>PAGE</w:instrText>
            </w:r>
            <w:r w:rsidRPr="00030498">
              <w:rPr>
                <w:b/>
                <w:bCs/>
                <w:sz w:val="20"/>
                <w:szCs w:val="20"/>
              </w:rPr>
              <w:fldChar w:fldCharType="separate"/>
            </w:r>
            <w:r w:rsidR="003C3C19">
              <w:rPr>
                <w:b/>
                <w:bCs/>
                <w:noProof/>
                <w:sz w:val="20"/>
                <w:szCs w:val="20"/>
              </w:rPr>
              <w:t>19</w:t>
            </w:r>
            <w:r w:rsidRPr="00030498">
              <w:rPr>
                <w:b/>
                <w:bCs/>
                <w:sz w:val="20"/>
                <w:szCs w:val="20"/>
              </w:rPr>
              <w:fldChar w:fldCharType="end"/>
            </w:r>
            <w:r w:rsidRPr="00030498">
              <w:rPr>
                <w:sz w:val="20"/>
                <w:szCs w:val="20"/>
                <w:lang w:val="es-ES"/>
              </w:rPr>
              <w:t xml:space="preserve"> de </w:t>
            </w:r>
            <w:r w:rsidRPr="00030498">
              <w:rPr>
                <w:b/>
                <w:bCs/>
                <w:sz w:val="20"/>
                <w:szCs w:val="20"/>
              </w:rPr>
              <w:fldChar w:fldCharType="begin"/>
            </w:r>
            <w:r w:rsidRPr="00030498">
              <w:rPr>
                <w:b/>
                <w:bCs/>
                <w:sz w:val="20"/>
                <w:szCs w:val="20"/>
              </w:rPr>
              <w:instrText>NUMPAGES</w:instrText>
            </w:r>
            <w:r w:rsidRPr="00030498">
              <w:rPr>
                <w:b/>
                <w:bCs/>
                <w:sz w:val="20"/>
                <w:szCs w:val="20"/>
              </w:rPr>
              <w:fldChar w:fldCharType="separate"/>
            </w:r>
            <w:r w:rsidR="003C3C19">
              <w:rPr>
                <w:b/>
                <w:bCs/>
                <w:noProof/>
                <w:sz w:val="20"/>
                <w:szCs w:val="20"/>
              </w:rPr>
              <w:t>19</w:t>
            </w:r>
            <w:r w:rsidRPr="00030498">
              <w:rPr>
                <w:b/>
                <w:bCs/>
                <w:sz w:val="20"/>
                <w:szCs w:val="20"/>
              </w:rPr>
              <w:fldChar w:fldCharType="end"/>
            </w:r>
          </w:p>
        </w:sdtContent>
      </w:sdt>
    </w:sdtContent>
  </w:sdt>
  <w:p w:rsidR="00915E62" w:rsidRDefault="00915E62">
    <w:pPr>
      <w:pStyle w:val="Style2"/>
      <w:widowControl/>
      <w:ind w:right="58"/>
      <w:jc w:val="right"/>
      <w:rPr>
        <w:rStyle w:val="FontStyle12"/>
        <w:lang w:val="es-ES_tradnl" w:eastAsia="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B95" w:rsidRDefault="00327B95" w:rsidP="00047C58">
      <w:r>
        <w:separator/>
      </w:r>
    </w:p>
  </w:footnote>
  <w:footnote w:type="continuationSeparator" w:id="0">
    <w:p w:rsidR="00327B95" w:rsidRDefault="00327B95" w:rsidP="00047C58">
      <w:r>
        <w:continuationSeparator/>
      </w:r>
    </w:p>
  </w:footnote>
  <w:footnote w:id="1">
    <w:p w:rsidR="00915E62" w:rsidRPr="00984719" w:rsidRDefault="00915E62">
      <w:pPr>
        <w:pStyle w:val="Textonotapie"/>
        <w:rPr>
          <w:rFonts w:ascii="Arial" w:hAnsi="Arial" w:cs="Arial"/>
          <w:sz w:val="18"/>
          <w:szCs w:val="18"/>
        </w:rPr>
      </w:pPr>
      <w:r w:rsidRPr="00984719">
        <w:rPr>
          <w:rStyle w:val="Refdenotaalpie"/>
          <w:rFonts w:ascii="Arial" w:hAnsi="Arial" w:cs="Arial"/>
          <w:sz w:val="18"/>
          <w:szCs w:val="18"/>
        </w:rPr>
        <w:footnoteRef/>
      </w:r>
      <w:r>
        <w:rPr>
          <w:rFonts w:ascii="Arial" w:hAnsi="Arial" w:cs="Arial"/>
          <w:sz w:val="18"/>
          <w:szCs w:val="18"/>
        </w:rPr>
        <w:t xml:space="preserve"> Folio 14 del cuaderno de conocimiento.</w:t>
      </w:r>
    </w:p>
  </w:footnote>
  <w:footnote w:id="2">
    <w:p w:rsidR="00915E62" w:rsidRPr="00C40137" w:rsidRDefault="00915E62">
      <w:pPr>
        <w:pStyle w:val="Textonotapie"/>
        <w:rPr>
          <w:rFonts w:ascii="Arial" w:hAnsi="Arial" w:cs="Arial"/>
          <w:sz w:val="18"/>
          <w:szCs w:val="18"/>
        </w:rPr>
      </w:pPr>
      <w:r w:rsidRPr="00C40137">
        <w:rPr>
          <w:rStyle w:val="Refdenotaalpie"/>
          <w:rFonts w:ascii="Arial" w:hAnsi="Arial" w:cs="Arial"/>
          <w:sz w:val="18"/>
          <w:szCs w:val="18"/>
        </w:rPr>
        <w:footnoteRef/>
      </w:r>
      <w:r w:rsidRPr="00C40137">
        <w:rPr>
          <w:rFonts w:ascii="Arial" w:hAnsi="Arial" w:cs="Arial"/>
          <w:sz w:val="18"/>
          <w:szCs w:val="18"/>
        </w:rPr>
        <w:t xml:space="preserve"> CSJ SP 2940, 9 marzo de 2016, radicado 41760</w:t>
      </w:r>
    </w:p>
  </w:footnote>
  <w:footnote w:id="3">
    <w:p w:rsidR="00915E62" w:rsidRPr="00044859" w:rsidRDefault="00915E62" w:rsidP="007F23E5">
      <w:pPr>
        <w:pStyle w:val="Textonotapie"/>
        <w:rPr>
          <w:rFonts w:ascii="Arial" w:hAnsi="Arial" w:cs="Arial"/>
          <w:sz w:val="18"/>
          <w:szCs w:val="18"/>
        </w:rPr>
      </w:pPr>
      <w:r w:rsidRPr="00044859">
        <w:rPr>
          <w:rStyle w:val="Refdenotaalpie"/>
          <w:rFonts w:ascii="Arial" w:hAnsi="Arial" w:cs="Arial"/>
          <w:sz w:val="18"/>
          <w:szCs w:val="18"/>
        </w:rPr>
        <w:footnoteRef/>
      </w:r>
      <w:r w:rsidRPr="00044859">
        <w:rPr>
          <w:rFonts w:ascii="Arial" w:hAnsi="Arial" w:cs="Arial"/>
          <w:sz w:val="18"/>
          <w:szCs w:val="18"/>
        </w:rPr>
        <w:t xml:space="preserve"> </w:t>
      </w:r>
      <w:r>
        <w:rPr>
          <w:rFonts w:ascii="Arial" w:hAnsi="Arial" w:cs="Arial"/>
          <w:sz w:val="18"/>
          <w:szCs w:val="18"/>
        </w:rPr>
        <w:t xml:space="preserve">Sobre estos principios, entre otras, se pueden consultar las siguientes providencias: radicado 27159 del 18 de abril de 2007, radicado 39834 del 20 de noviembre de 2013, radicado 41180 del 11 de junio de 2014, radicado 40439 AP1505-2015 y radicado 45495 del 28 de junio de 2017. </w:t>
      </w:r>
    </w:p>
  </w:footnote>
  <w:footnote w:id="4">
    <w:p w:rsidR="00915E62" w:rsidRPr="005D189B" w:rsidRDefault="00915E62" w:rsidP="007F23E5">
      <w:pPr>
        <w:pStyle w:val="Textonotapie"/>
        <w:rPr>
          <w:rFonts w:ascii="Arial" w:hAnsi="Arial" w:cs="Arial"/>
          <w:sz w:val="18"/>
          <w:szCs w:val="18"/>
        </w:rPr>
      </w:pPr>
      <w:r w:rsidRPr="005D189B">
        <w:rPr>
          <w:rStyle w:val="Refdenotaalpie"/>
          <w:rFonts w:ascii="Arial" w:hAnsi="Arial" w:cs="Arial"/>
          <w:sz w:val="18"/>
          <w:szCs w:val="18"/>
        </w:rPr>
        <w:footnoteRef/>
      </w:r>
      <w:r w:rsidRPr="005D189B">
        <w:rPr>
          <w:rFonts w:ascii="Arial" w:hAnsi="Arial" w:cs="Arial"/>
          <w:sz w:val="18"/>
          <w:szCs w:val="18"/>
        </w:rPr>
        <w:t xml:space="preserve"> </w:t>
      </w:r>
      <w:r>
        <w:rPr>
          <w:rFonts w:ascii="Arial" w:hAnsi="Arial" w:cs="Arial"/>
          <w:sz w:val="18"/>
          <w:szCs w:val="18"/>
        </w:rPr>
        <w:t>Ordinales j y k del artículo 8 del C.P.P.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62" w:rsidRDefault="00915E62" w:rsidP="00D2247B">
    <w:pPr>
      <w:pStyle w:val="Encabezado"/>
      <w:jc w:val="right"/>
      <w:rPr>
        <w:sz w:val="16"/>
        <w:szCs w:val="16"/>
      </w:rPr>
    </w:pPr>
    <w:r>
      <w:rPr>
        <w:sz w:val="16"/>
        <w:szCs w:val="16"/>
      </w:rPr>
      <w:t>Radicado</w:t>
    </w:r>
    <w:r w:rsidRPr="00D2247B">
      <w:rPr>
        <w:sz w:val="16"/>
        <w:szCs w:val="16"/>
      </w:rPr>
      <w:t>:</w:t>
    </w:r>
    <w:r>
      <w:rPr>
        <w:sz w:val="16"/>
        <w:szCs w:val="16"/>
      </w:rPr>
      <w:t xml:space="preserve"> 660012204000201700228</w:t>
    </w:r>
  </w:p>
  <w:p w:rsidR="00915E62" w:rsidRDefault="00915E62" w:rsidP="00D2247B">
    <w:pPr>
      <w:pStyle w:val="Encabezado"/>
      <w:jc w:val="right"/>
      <w:rPr>
        <w:sz w:val="16"/>
        <w:szCs w:val="16"/>
      </w:rPr>
    </w:pPr>
    <w:r>
      <w:rPr>
        <w:sz w:val="16"/>
        <w:szCs w:val="16"/>
      </w:rPr>
      <w:t>Accionante: Héctor William Monsalve Santamaría</w:t>
    </w:r>
  </w:p>
  <w:p w:rsidR="00915E62" w:rsidRDefault="00915E62" w:rsidP="00D2247B">
    <w:pPr>
      <w:pStyle w:val="Encabezado"/>
      <w:jc w:val="right"/>
      <w:rPr>
        <w:sz w:val="16"/>
        <w:szCs w:val="16"/>
      </w:rPr>
    </w:pPr>
    <w:r>
      <w:rPr>
        <w:sz w:val="16"/>
        <w:szCs w:val="16"/>
      </w:rPr>
      <w:t>Accionado: Juzgado Cuarto Penal del Circuito de Pereira</w:t>
    </w:r>
  </w:p>
  <w:p w:rsidR="00915E62" w:rsidRDefault="00915E62" w:rsidP="00D2247B">
    <w:pPr>
      <w:pStyle w:val="Encabezado"/>
      <w:jc w:val="right"/>
      <w:rPr>
        <w:sz w:val="16"/>
        <w:szCs w:val="16"/>
      </w:rPr>
    </w:pPr>
    <w:r>
      <w:rPr>
        <w:sz w:val="16"/>
        <w:szCs w:val="16"/>
      </w:rPr>
      <w:t>Asunto: Declara no fundada causal de revisión</w:t>
    </w:r>
  </w:p>
  <w:p w:rsidR="00915E62" w:rsidRPr="00D2247B" w:rsidRDefault="00915E62" w:rsidP="00D2247B">
    <w:pPr>
      <w:pStyle w:val="Encabezad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B62"/>
    <w:multiLevelType w:val="hybridMultilevel"/>
    <w:tmpl w:val="4E9E8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AB24DF8"/>
    <w:multiLevelType w:val="hybridMultilevel"/>
    <w:tmpl w:val="F2CE5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B54278F"/>
    <w:multiLevelType w:val="multilevel"/>
    <w:tmpl w:val="8C54FE56"/>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ascii="Arial" w:hAnsi="Arial" w:cs="Arial" w:hint="default"/>
        <w:i w:val="0"/>
        <w:color w:val="auto"/>
      </w:rPr>
    </w:lvl>
    <w:lvl w:ilvl="2">
      <w:start w:val="1"/>
      <w:numFmt w:val="decimal"/>
      <w:isLgl/>
      <w:lvlText w:val="%1.%2.%3"/>
      <w:lvlJc w:val="left"/>
      <w:pPr>
        <w:ind w:left="1080" w:hanging="720"/>
      </w:pPr>
      <w:rPr>
        <w:rFonts w:hint="default"/>
        <w:lang w:val="es-C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9">
    <w:nsid w:val="25C707F7"/>
    <w:multiLevelType w:val="hybridMultilevel"/>
    <w:tmpl w:val="2A324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6A00B43"/>
    <w:multiLevelType w:val="hybridMultilevel"/>
    <w:tmpl w:val="8A36B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C3013AC"/>
    <w:multiLevelType w:val="hybridMultilevel"/>
    <w:tmpl w:val="C734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C9668F6"/>
    <w:multiLevelType w:val="hybridMultilevel"/>
    <w:tmpl w:val="FB6E4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D61AF6"/>
    <w:multiLevelType w:val="hybridMultilevel"/>
    <w:tmpl w:val="14AA0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8">
    <w:nsid w:val="5D1A77EC"/>
    <w:multiLevelType w:val="hybridMultilevel"/>
    <w:tmpl w:val="BB789EF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9">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0">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2">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0"/>
  </w:num>
  <w:num w:numId="4">
    <w:abstractNumId w:val="19"/>
  </w:num>
  <w:num w:numId="5">
    <w:abstractNumId w:val="27"/>
  </w:num>
  <w:num w:numId="6">
    <w:abstractNumId w:val="14"/>
  </w:num>
  <w:num w:numId="7">
    <w:abstractNumId w:val="20"/>
  </w:num>
  <w:num w:numId="8">
    <w:abstractNumId w:val="6"/>
  </w:num>
  <w:num w:numId="9">
    <w:abstractNumId w:val="33"/>
  </w:num>
  <w:num w:numId="10">
    <w:abstractNumId w:val="3"/>
  </w:num>
  <w:num w:numId="11">
    <w:abstractNumId w:val="26"/>
    <w:lvlOverride w:ilvl="0">
      <w:startOverride w:val="1"/>
    </w:lvlOverride>
  </w:num>
  <w:num w:numId="12">
    <w:abstractNumId w:val="26"/>
    <w:lvlOverride w:ilvl="0">
      <w:startOverride w:val="2"/>
    </w:lvlOverride>
  </w:num>
  <w:num w:numId="13">
    <w:abstractNumId w:val="26"/>
    <w:lvlOverride w:ilvl="0">
      <w:startOverride w:val="3"/>
    </w:lvlOverride>
  </w:num>
  <w:num w:numId="14">
    <w:abstractNumId w:val="24"/>
  </w:num>
  <w:num w:numId="15">
    <w:abstractNumId w:val="1"/>
  </w:num>
  <w:num w:numId="16">
    <w:abstractNumId w:val="12"/>
  </w:num>
  <w:num w:numId="17">
    <w:abstractNumId w:val="7"/>
  </w:num>
  <w:num w:numId="18">
    <w:abstractNumId w:val="10"/>
  </w:num>
  <w:num w:numId="19">
    <w:abstractNumId w:val="17"/>
  </w:num>
  <w:num w:numId="20">
    <w:abstractNumId w:val="8"/>
  </w:num>
  <w:num w:numId="21">
    <w:abstractNumId w:val="31"/>
  </w:num>
  <w:num w:numId="22">
    <w:abstractNumId w:val="29"/>
  </w:num>
  <w:num w:numId="23">
    <w:abstractNumId w:val="16"/>
  </w:num>
  <w:num w:numId="24">
    <w:abstractNumId w:val="18"/>
  </w:num>
  <w:num w:numId="25">
    <w:abstractNumId w:val="21"/>
  </w:num>
  <w:num w:numId="26">
    <w:abstractNumId w:val="4"/>
  </w:num>
  <w:num w:numId="27">
    <w:abstractNumId w:val="25"/>
  </w:num>
  <w:num w:numId="28">
    <w:abstractNumId w:val="23"/>
  </w:num>
  <w:num w:numId="29">
    <w:abstractNumId w:val="11"/>
  </w:num>
  <w:num w:numId="30">
    <w:abstractNumId w:val="13"/>
  </w:num>
  <w:num w:numId="31">
    <w:abstractNumId w:val="5"/>
  </w:num>
  <w:num w:numId="32">
    <w:abstractNumId w:val="22"/>
  </w:num>
  <w:num w:numId="33">
    <w:abstractNumId w:val="32"/>
  </w:num>
  <w:num w:numId="34">
    <w:abstractNumId w:val="0"/>
  </w:num>
  <w:num w:numId="35">
    <w:abstractNumId w:val="2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E1"/>
    <w:rsid w:val="00005078"/>
    <w:rsid w:val="00005266"/>
    <w:rsid w:val="00011167"/>
    <w:rsid w:val="000134A3"/>
    <w:rsid w:val="00014D8B"/>
    <w:rsid w:val="000165B0"/>
    <w:rsid w:val="00021EE3"/>
    <w:rsid w:val="000220AE"/>
    <w:rsid w:val="0002576F"/>
    <w:rsid w:val="00025843"/>
    <w:rsid w:val="000261C3"/>
    <w:rsid w:val="00027D3A"/>
    <w:rsid w:val="00030498"/>
    <w:rsid w:val="000324C1"/>
    <w:rsid w:val="00033D2D"/>
    <w:rsid w:val="00036073"/>
    <w:rsid w:val="00044812"/>
    <w:rsid w:val="00044859"/>
    <w:rsid w:val="00045E53"/>
    <w:rsid w:val="000466AF"/>
    <w:rsid w:val="00047C58"/>
    <w:rsid w:val="00050809"/>
    <w:rsid w:val="000532EE"/>
    <w:rsid w:val="00054327"/>
    <w:rsid w:val="00056D81"/>
    <w:rsid w:val="00056DB0"/>
    <w:rsid w:val="00061DAE"/>
    <w:rsid w:val="00066981"/>
    <w:rsid w:val="00067028"/>
    <w:rsid w:val="00071ABF"/>
    <w:rsid w:val="00071C2B"/>
    <w:rsid w:val="0007281F"/>
    <w:rsid w:val="0008117B"/>
    <w:rsid w:val="00083568"/>
    <w:rsid w:val="00084912"/>
    <w:rsid w:val="00086DCF"/>
    <w:rsid w:val="000911AD"/>
    <w:rsid w:val="00094E7B"/>
    <w:rsid w:val="00095157"/>
    <w:rsid w:val="000966FE"/>
    <w:rsid w:val="000973D2"/>
    <w:rsid w:val="000A4094"/>
    <w:rsid w:val="000A4169"/>
    <w:rsid w:val="000B2B08"/>
    <w:rsid w:val="000B4C22"/>
    <w:rsid w:val="000C5BD7"/>
    <w:rsid w:val="000C613C"/>
    <w:rsid w:val="000C6928"/>
    <w:rsid w:val="000C7E66"/>
    <w:rsid w:val="000D08FF"/>
    <w:rsid w:val="000D0E0D"/>
    <w:rsid w:val="000D1663"/>
    <w:rsid w:val="000D1F18"/>
    <w:rsid w:val="000D3B9D"/>
    <w:rsid w:val="000D3D94"/>
    <w:rsid w:val="000D4F72"/>
    <w:rsid w:val="000E4389"/>
    <w:rsid w:val="000E65FF"/>
    <w:rsid w:val="000E67E9"/>
    <w:rsid w:val="000E6A1D"/>
    <w:rsid w:val="000F3092"/>
    <w:rsid w:val="000F66B3"/>
    <w:rsid w:val="00106811"/>
    <w:rsid w:val="00106FCA"/>
    <w:rsid w:val="00110179"/>
    <w:rsid w:val="0011041E"/>
    <w:rsid w:val="0011237A"/>
    <w:rsid w:val="0011435E"/>
    <w:rsid w:val="001207E9"/>
    <w:rsid w:val="00120860"/>
    <w:rsid w:val="00122034"/>
    <w:rsid w:val="001232B3"/>
    <w:rsid w:val="00125DB3"/>
    <w:rsid w:val="00130A5F"/>
    <w:rsid w:val="00131C61"/>
    <w:rsid w:val="00142488"/>
    <w:rsid w:val="0015091B"/>
    <w:rsid w:val="00155FAA"/>
    <w:rsid w:val="00172B6C"/>
    <w:rsid w:val="001776BB"/>
    <w:rsid w:val="00177974"/>
    <w:rsid w:val="00192DFD"/>
    <w:rsid w:val="00195D11"/>
    <w:rsid w:val="00196269"/>
    <w:rsid w:val="001A7738"/>
    <w:rsid w:val="001B02A6"/>
    <w:rsid w:val="001B465B"/>
    <w:rsid w:val="001B56A6"/>
    <w:rsid w:val="001B5A41"/>
    <w:rsid w:val="001B6AB7"/>
    <w:rsid w:val="001C15C9"/>
    <w:rsid w:val="001C2462"/>
    <w:rsid w:val="001C2807"/>
    <w:rsid w:val="001C2A57"/>
    <w:rsid w:val="001C4823"/>
    <w:rsid w:val="001C5342"/>
    <w:rsid w:val="001C7239"/>
    <w:rsid w:val="001D0022"/>
    <w:rsid w:val="001D16F1"/>
    <w:rsid w:val="001D303C"/>
    <w:rsid w:val="001D3DB3"/>
    <w:rsid w:val="001E1D67"/>
    <w:rsid w:val="001E20FD"/>
    <w:rsid w:val="001E29D5"/>
    <w:rsid w:val="001E2E43"/>
    <w:rsid w:val="001E41D9"/>
    <w:rsid w:val="001E77EE"/>
    <w:rsid w:val="001F12B6"/>
    <w:rsid w:val="001F2ECF"/>
    <w:rsid w:val="001F65A4"/>
    <w:rsid w:val="001F6CD5"/>
    <w:rsid w:val="0020727E"/>
    <w:rsid w:val="00211704"/>
    <w:rsid w:val="002128BD"/>
    <w:rsid w:val="002144D0"/>
    <w:rsid w:val="00215741"/>
    <w:rsid w:val="0022531C"/>
    <w:rsid w:val="00225974"/>
    <w:rsid w:val="00227946"/>
    <w:rsid w:val="002279EA"/>
    <w:rsid w:val="00236AC1"/>
    <w:rsid w:val="00240855"/>
    <w:rsid w:val="00240980"/>
    <w:rsid w:val="002507BC"/>
    <w:rsid w:val="00251E44"/>
    <w:rsid w:val="0026031D"/>
    <w:rsid w:val="00264BD6"/>
    <w:rsid w:val="00267CEE"/>
    <w:rsid w:val="00270BF6"/>
    <w:rsid w:val="00272218"/>
    <w:rsid w:val="00274680"/>
    <w:rsid w:val="0027471A"/>
    <w:rsid w:val="00277899"/>
    <w:rsid w:val="00286E5B"/>
    <w:rsid w:val="00294DA4"/>
    <w:rsid w:val="00297057"/>
    <w:rsid w:val="002A03A2"/>
    <w:rsid w:val="002A3033"/>
    <w:rsid w:val="002A6CA0"/>
    <w:rsid w:val="002B09E8"/>
    <w:rsid w:val="002B10C7"/>
    <w:rsid w:val="002C3A81"/>
    <w:rsid w:val="002C4C90"/>
    <w:rsid w:val="002C7BD3"/>
    <w:rsid w:val="002D0150"/>
    <w:rsid w:val="002D11D6"/>
    <w:rsid w:val="002D6F31"/>
    <w:rsid w:val="002F4234"/>
    <w:rsid w:val="002F48BB"/>
    <w:rsid w:val="003017A2"/>
    <w:rsid w:val="00304CC6"/>
    <w:rsid w:val="00320C1D"/>
    <w:rsid w:val="00320DE5"/>
    <w:rsid w:val="00323DC3"/>
    <w:rsid w:val="003256F2"/>
    <w:rsid w:val="00326BB3"/>
    <w:rsid w:val="00327B95"/>
    <w:rsid w:val="00346A17"/>
    <w:rsid w:val="003478B5"/>
    <w:rsid w:val="00350A53"/>
    <w:rsid w:val="00352C94"/>
    <w:rsid w:val="00360A1F"/>
    <w:rsid w:val="00360AC5"/>
    <w:rsid w:val="0036285F"/>
    <w:rsid w:val="00367981"/>
    <w:rsid w:val="00372690"/>
    <w:rsid w:val="00372B38"/>
    <w:rsid w:val="00380BAA"/>
    <w:rsid w:val="003858E3"/>
    <w:rsid w:val="00386628"/>
    <w:rsid w:val="0038723D"/>
    <w:rsid w:val="00392C02"/>
    <w:rsid w:val="00393C97"/>
    <w:rsid w:val="003A36EF"/>
    <w:rsid w:val="003A46F9"/>
    <w:rsid w:val="003A5D1D"/>
    <w:rsid w:val="003A7918"/>
    <w:rsid w:val="003A7BA6"/>
    <w:rsid w:val="003A7D6A"/>
    <w:rsid w:val="003B41F2"/>
    <w:rsid w:val="003B5BA0"/>
    <w:rsid w:val="003C39F9"/>
    <w:rsid w:val="003C3C19"/>
    <w:rsid w:val="003C6965"/>
    <w:rsid w:val="003D3EBB"/>
    <w:rsid w:val="003D79AF"/>
    <w:rsid w:val="003E06BF"/>
    <w:rsid w:val="003E2374"/>
    <w:rsid w:val="003F07A9"/>
    <w:rsid w:val="003F271F"/>
    <w:rsid w:val="003F287F"/>
    <w:rsid w:val="003F7F35"/>
    <w:rsid w:val="004047CD"/>
    <w:rsid w:val="004051F4"/>
    <w:rsid w:val="00410BB5"/>
    <w:rsid w:val="00412098"/>
    <w:rsid w:val="0041345D"/>
    <w:rsid w:val="0041558F"/>
    <w:rsid w:val="0042096D"/>
    <w:rsid w:val="00422862"/>
    <w:rsid w:val="00424958"/>
    <w:rsid w:val="0042616E"/>
    <w:rsid w:val="00427C06"/>
    <w:rsid w:val="0043118F"/>
    <w:rsid w:val="004321CF"/>
    <w:rsid w:val="00435F7F"/>
    <w:rsid w:val="00440F12"/>
    <w:rsid w:val="00442185"/>
    <w:rsid w:val="00444F32"/>
    <w:rsid w:val="00445C46"/>
    <w:rsid w:val="00445CB9"/>
    <w:rsid w:val="0045536A"/>
    <w:rsid w:val="00460B45"/>
    <w:rsid w:val="00461AAD"/>
    <w:rsid w:val="00461E29"/>
    <w:rsid w:val="00473384"/>
    <w:rsid w:val="00474245"/>
    <w:rsid w:val="00496DC4"/>
    <w:rsid w:val="004971C7"/>
    <w:rsid w:val="00497B16"/>
    <w:rsid w:val="004A0285"/>
    <w:rsid w:val="004A4D17"/>
    <w:rsid w:val="004B1AE1"/>
    <w:rsid w:val="004B544A"/>
    <w:rsid w:val="004B5DDF"/>
    <w:rsid w:val="004C0709"/>
    <w:rsid w:val="004C5768"/>
    <w:rsid w:val="004C6C7A"/>
    <w:rsid w:val="004D3C95"/>
    <w:rsid w:val="004D3F3B"/>
    <w:rsid w:val="004D5286"/>
    <w:rsid w:val="004D5419"/>
    <w:rsid w:val="004D6DE5"/>
    <w:rsid w:val="004E61FF"/>
    <w:rsid w:val="004F1391"/>
    <w:rsid w:val="004F3564"/>
    <w:rsid w:val="00502261"/>
    <w:rsid w:val="005042DC"/>
    <w:rsid w:val="00505684"/>
    <w:rsid w:val="005101DB"/>
    <w:rsid w:val="00512541"/>
    <w:rsid w:val="00521016"/>
    <w:rsid w:val="00523702"/>
    <w:rsid w:val="00530AA9"/>
    <w:rsid w:val="005424B4"/>
    <w:rsid w:val="00542F4B"/>
    <w:rsid w:val="00551250"/>
    <w:rsid w:val="005637EE"/>
    <w:rsid w:val="005665A8"/>
    <w:rsid w:val="00567D50"/>
    <w:rsid w:val="00571F5F"/>
    <w:rsid w:val="00584F09"/>
    <w:rsid w:val="00586B8B"/>
    <w:rsid w:val="005914C9"/>
    <w:rsid w:val="005919DA"/>
    <w:rsid w:val="0059360F"/>
    <w:rsid w:val="00593BAD"/>
    <w:rsid w:val="005A461A"/>
    <w:rsid w:val="005B3446"/>
    <w:rsid w:val="005B5024"/>
    <w:rsid w:val="005B5496"/>
    <w:rsid w:val="005C095A"/>
    <w:rsid w:val="005C12CC"/>
    <w:rsid w:val="005C39BC"/>
    <w:rsid w:val="005C733B"/>
    <w:rsid w:val="005D0CBF"/>
    <w:rsid w:val="005D189B"/>
    <w:rsid w:val="005E30CE"/>
    <w:rsid w:val="005E4527"/>
    <w:rsid w:val="005E6B95"/>
    <w:rsid w:val="005E7D43"/>
    <w:rsid w:val="005F0D49"/>
    <w:rsid w:val="005F1DD2"/>
    <w:rsid w:val="005F3CE2"/>
    <w:rsid w:val="0060015F"/>
    <w:rsid w:val="00601139"/>
    <w:rsid w:val="00604F55"/>
    <w:rsid w:val="00611694"/>
    <w:rsid w:val="00612836"/>
    <w:rsid w:val="0061376D"/>
    <w:rsid w:val="006158C1"/>
    <w:rsid w:val="00617612"/>
    <w:rsid w:val="00623C0A"/>
    <w:rsid w:val="00632143"/>
    <w:rsid w:val="00641D11"/>
    <w:rsid w:val="00645F7F"/>
    <w:rsid w:val="00646BCF"/>
    <w:rsid w:val="006476CE"/>
    <w:rsid w:val="006610F0"/>
    <w:rsid w:val="0066236F"/>
    <w:rsid w:val="00670034"/>
    <w:rsid w:val="00670D90"/>
    <w:rsid w:val="00672360"/>
    <w:rsid w:val="00683635"/>
    <w:rsid w:val="00686100"/>
    <w:rsid w:val="00686E08"/>
    <w:rsid w:val="006917BF"/>
    <w:rsid w:val="00695E4B"/>
    <w:rsid w:val="006A493F"/>
    <w:rsid w:val="006B0635"/>
    <w:rsid w:val="006B25BD"/>
    <w:rsid w:val="006B7F55"/>
    <w:rsid w:val="006C0428"/>
    <w:rsid w:val="006D1062"/>
    <w:rsid w:val="006D244D"/>
    <w:rsid w:val="006D5B17"/>
    <w:rsid w:val="006E4EEB"/>
    <w:rsid w:val="006F3269"/>
    <w:rsid w:val="006F3D25"/>
    <w:rsid w:val="006F502F"/>
    <w:rsid w:val="006F6B3D"/>
    <w:rsid w:val="00702E81"/>
    <w:rsid w:val="00711B86"/>
    <w:rsid w:val="00724277"/>
    <w:rsid w:val="0072619B"/>
    <w:rsid w:val="0073351E"/>
    <w:rsid w:val="00734387"/>
    <w:rsid w:val="00735D4D"/>
    <w:rsid w:val="007413BE"/>
    <w:rsid w:val="00741F1A"/>
    <w:rsid w:val="00742D85"/>
    <w:rsid w:val="007431DD"/>
    <w:rsid w:val="00745CF4"/>
    <w:rsid w:val="007467E5"/>
    <w:rsid w:val="007470D3"/>
    <w:rsid w:val="00755FB9"/>
    <w:rsid w:val="00764156"/>
    <w:rsid w:val="007642E3"/>
    <w:rsid w:val="007646E8"/>
    <w:rsid w:val="007778C7"/>
    <w:rsid w:val="00780576"/>
    <w:rsid w:val="007805BC"/>
    <w:rsid w:val="0078395A"/>
    <w:rsid w:val="0078680F"/>
    <w:rsid w:val="00791EB6"/>
    <w:rsid w:val="00792DE3"/>
    <w:rsid w:val="0079549B"/>
    <w:rsid w:val="007A1CE7"/>
    <w:rsid w:val="007A28CE"/>
    <w:rsid w:val="007A40DD"/>
    <w:rsid w:val="007A718A"/>
    <w:rsid w:val="007A7A5F"/>
    <w:rsid w:val="007C04CD"/>
    <w:rsid w:val="007C0B45"/>
    <w:rsid w:val="007D358D"/>
    <w:rsid w:val="007D5A72"/>
    <w:rsid w:val="007D795E"/>
    <w:rsid w:val="007D7E55"/>
    <w:rsid w:val="007E3405"/>
    <w:rsid w:val="007E62CD"/>
    <w:rsid w:val="007E7A94"/>
    <w:rsid w:val="007F037B"/>
    <w:rsid w:val="007F18AA"/>
    <w:rsid w:val="007F23E5"/>
    <w:rsid w:val="007F3730"/>
    <w:rsid w:val="007F7FEF"/>
    <w:rsid w:val="008038FB"/>
    <w:rsid w:val="00804A9B"/>
    <w:rsid w:val="00811902"/>
    <w:rsid w:val="00814015"/>
    <w:rsid w:val="00815F93"/>
    <w:rsid w:val="00817FC4"/>
    <w:rsid w:val="0082237C"/>
    <w:rsid w:val="00823639"/>
    <w:rsid w:val="00823676"/>
    <w:rsid w:val="00824310"/>
    <w:rsid w:val="00824C39"/>
    <w:rsid w:val="008300CB"/>
    <w:rsid w:val="00830EA5"/>
    <w:rsid w:val="00832DB0"/>
    <w:rsid w:val="0083339A"/>
    <w:rsid w:val="00837E39"/>
    <w:rsid w:val="00846EA1"/>
    <w:rsid w:val="00847E35"/>
    <w:rsid w:val="00855450"/>
    <w:rsid w:val="00856CA8"/>
    <w:rsid w:val="008578DC"/>
    <w:rsid w:val="00860D9E"/>
    <w:rsid w:val="0086186E"/>
    <w:rsid w:val="00863AFF"/>
    <w:rsid w:val="00864522"/>
    <w:rsid w:val="0087249B"/>
    <w:rsid w:val="00872C82"/>
    <w:rsid w:val="00873EF2"/>
    <w:rsid w:val="0087631A"/>
    <w:rsid w:val="0087711B"/>
    <w:rsid w:val="008806FD"/>
    <w:rsid w:val="008868A5"/>
    <w:rsid w:val="0089074D"/>
    <w:rsid w:val="00891622"/>
    <w:rsid w:val="00893669"/>
    <w:rsid w:val="008942CB"/>
    <w:rsid w:val="008A185C"/>
    <w:rsid w:val="008C5CDF"/>
    <w:rsid w:val="008D0ADF"/>
    <w:rsid w:val="008D3505"/>
    <w:rsid w:val="008D6AC6"/>
    <w:rsid w:val="008F2B10"/>
    <w:rsid w:val="008F4726"/>
    <w:rsid w:val="009074B2"/>
    <w:rsid w:val="009101CE"/>
    <w:rsid w:val="0091067D"/>
    <w:rsid w:val="00910850"/>
    <w:rsid w:val="00911D4D"/>
    <w:rsid w:val="00914EC7"/>
    <w:rsid w:val="00915E62"/>
    <w:rsid w:val="00916394"/>
    <w:rsid w:val="00916631"/>
    <w:rsid w:val="009179D7"/>
    <w:rsid w:val="009234E7"/>
    <w:rsid w:val="0092358A"/>
    <w:rsid w:val="00923644"/>
    <w:rsid w:val="009236EB"/>
    <w:rsid w:val="009239D6"/>
    <w:rsid w:val="00924249"/>
    <w:rsid w:val="00930A80"/>
    <w:rsid w:val="009326F8"/>
    <w:rsid w:val="00935AB0"/>
    <w:rsid w:val="00940784"/>
    <w:rsid w:val="0094370A"/>
    <w:rsid w:val="00947D83"/>
    <w:rsid w:val="00950447"/>
    <w:rsid w:val="0095743D"/>
    <w:rsid w:val="009712EF"/>
    <w:rsid w:val="0098296F"/>
    <w:rsid w:val="0098380E"/>
    <w:rsid w:val="00984719"/>
    <w:rsid w:val="009853DD"/>
    <w:rsid w:val="00985841"/>
    <w:rsid w:val="009905FF"/>
    <w:rsid w:val="009933E6"/>
    <w:rsid w:val="009A1CA4"/>
    <w:rsid w:val="009A560E"/>
    <w:rsid w:val="009A5AF7"/>
    <w:rsid w:val="009A70DC"/>
    <w:rsid w:val="009B0BDD"/>
    <w:rsid w:val="009B337B"/>
    <w:rsid w:val="009B67E6"/>
    <w:rsid w:val="009C25B9"/>
    <w:rsid w:val="009C7B3B"/>
    <w:rsid w:val="009D01FB"/>
    <w:rsid w:val="009D7F0A"/>
    <w:rsid w:val="009E224C"/>
    <w:rsid w:val="009F51FD"/>
    <w:rsid w:val="00A017E6"/>
    <w:rsid w:val="00A0400E"/>
    <w:rsid w:val="00A0530B"/>
    <w:rsid w:val="00A07195"/>
    <w:rsid w:val="00A100FA"/>
    <w:rsid w:val="00A10BB5"/>
    <w:rsid w:val="00A11398"/>
    <w:rsid w:val="00A122BB"/>
    <w:rsid w:val="00A12E8B"/>
    <w:rsid w:val="00A22B45"/>
    <w:rsid w:val="00A27E02"/>
    <w:rsid w:val="00A31248"/>
    <w:rsid w:val="00A34466"/>
    <w:rsid w:val="00A44475"/>
    <w:rsid w:val="00A461E1"/>
    <w:rsid w:val="00A50159"/>
    <w:rsid w:val="00A5321A"/>
    <w:rsid w:val="00A54D73"/>
    <w:rsid w:val="00A6008F"/>
    <w:rsid w:val="00A60953"/>
    <w:rsid w:val="00A62A66"/>
    <w:rsid w:val="00A6539B"/>
    <w:rsid w:val="00A70212"/>
    <w:rsid w:val="00A726BF"/>
    <w:rsid w:val="00A7595C"/>
    <w:rsid w:val="00A761EA"/>
    <w:rsid w:val="00A81A0A"/>
    <w:rsid w:val="00A86055"/>
    <w:rsid w:val="00A96D18"/>
    <w:rsid w:val="00AA0CC2"/>
    <w:rsid w:val="00AA1945"/>
    <w:rsid w:val="00AA4127"/>
    <w:rsid w:val="00AA6411"/>
    <w:rsid w:val="00AB0483"/>
    <w:rsid w:val="00AB0691"/>
    <w:rsid w:val="00AB2624"/>
    <w:rsid w:val="00AB4098"/>
    <w:rsid w:val="00AB7BAA"/>
    <w:rsid w:val="00AB7D22"/>
    <w:rsid w:val="00AC0E0A"/>
    <w:rsid w:val="00AC1A7E"/>
    <w:rsid w:val="00AC25A6"/>
    <w:rsid w:val="00AE13F8"/>
    <w:rsid w:val="00AE1CF6"/>
    <w:rsid w:val="00AE231E"/>
    <w:rsid w:val="00AE74D3"/>
    <w:rsid w:val="00AF4B6E"/>
    <w:rsid w:val="00AF5108"/>
    <w:rsid w:val="00AF522E"/>
    <w:rsid w:val="00B03ECD"/>
    <w:rsid w:val="00B0648F"/>
    <w:rsid w:val="00B07F72"/>
    <w:rsid w:val="00B16F04"/>
    <w:rsid w:val="00B22C12"/>
    <w:rsid w:val="00B27712"/>
    <w:rsid w:val="00B27934"/>
    <w:rsid w:val="00B41B40"/>
    <w:rsid w:val="00B43C67"/>
    <w:rsid w:val="00B52331"/>
    <w:rsid w:val="00B55B46"/>
    <w:rsid w:val="00B56B6E"/>
    <w:rsid w:val="00B624CF"/>
    <w:rsid w:val="00B62DAA"/>
    <w:rsid w:val="00B66DD6"/>
    <w:rsid w:val="00B72A45"/>
    <w:rsid w:val="00B73A91"/>
    <w:rsid w:val="00B7569C"/>
    <w:rsid w:val="00B764BC"/>
    <w:rsid w:val="00B77679"/>
    <w:rsid w:val="00B800C4"/>
    <w:rsid w:val="00B8626F"/>
    <w:rsid w:val="00B95E8B"/>
    <w:rsid w:val="00B97ECB"/>
    <w:rsid w:val="00BA4A95"/>
    <w:rsid w:val="00BB2CFC"/>
    <w:rsid w:val="00BB462D"/>
    <w:rsid w:val="00BB6DB6"/>
    <w:rsid w:val="00BC78EC"/>
    <w:rsid w:val="00BD06DD"/>
    <w:rsid w:val="00BD2C87"/>
    <w:rsid w:val="00BD3F17"/>
    <w:rsid w:val="00BD6582"/>
    <w:rsid w:val="00BE06D5"/>
    <w:rsid w:val="00BE49C2"/>
    <w:rsid w:val="00BF5711"/>
    <w:rsid w:val="00BF5C62"/>
    <w:rsid w:val="00BF6BC3"/>
    <w:rsid w:val="00C0167E"/>
    <w:rsid w:val="00C04ECB"/>
    <w:rsid w:val="00C103F8"/>
    <w:rsid w:val="00C115F0"/>
    <w:rsid w:val="00C11B86"/>
    <w:rsid w:val="00C16D87"/>
    <w:rsid w:val="00C176F8"/>
    <w:rsid w:val="00C17852"/>
    <w:rsid w:val="00C21B9A"/>
    <w:rsid w:val="00C22B89"/>
    <w:rsid w:val="00C3247C"/>
    <w:rsid w:val="00C40137"/>
    <w:rsid w:val="00C42177"/>
    <w:rsid w:val="00C504B6"/>
    <w:rsid w:val="00C65771"/>
    <w:rsid w:val="00C6784E"/>
    <w:rsid w:val="00C81119"/>
    <w:rsid w:val="00C83E88"/>
    <w:rsid w:val="00C93100"/>
    <w:rsid w:val="00C9423B"/>
    <w:rsid w:val="00CA5979"/>
    <w:rsid w:val="00CA5AE5"/>
    <w:rsid w:val="00CA6699"/>
    <w:rsid w:val="00CC04FA"/>
    <w:rsid w:val="00CC0AB4"/>
    <w:rsid w:val="00CC35B3"/>
    <w:rsid w:val="00CC3681"/>
    <w:rsid w:val="00CC446F"/>
    <w:rsid w:val="00CC4D23"/>
    <w:rsid w:val="00CC73CD"/>
    <w:rsid w:val="00CE0459"/>
    <w:rsid w:val="00CE0E46"/>
    <w:rsid w:val="00CE215C"/>
    <w:rsid w:val="00CE73E9"/>
    <w:rsid w:val="00CF78C4"/>
    <w:rsid w:val="00D06D7D"/>
    <w:rsid w:val="00D141E1"/>
    <w:rsid w:val="00D21355"/>
    <w:rsid w:val="00D21E3D"/>
    <w:rsid w:val="00D2247B"/>
    <w:rsid w:val="00D27729"/>
    <w:rsid w:val="00D33672"/>
    <w:rsid w:val="00D34F27"/>
    <w:rsid w:val="00D3544D"/>
    <w:rsid w:val="00D4438B"/>
    <w:rsid w:val="00D46D57"/>
    <w:rsid w:val="00D50EDE"/>
    <w:rsid w:val="00D50FC4"/>
    <w:rsid w:val="00D56F09"/>
    <w:rsid w:val="00D57ECD"/>
    <w:rsid w:val="00D57FC3"/>
    <w:rsid w:val="00D60F78"/>
    <w:rsid w:val="00D61504"/>
    <w:rsid w:val="00D643B6"/>
    <w:rsid w:val="00D655BF"/>
    <w:rsid w:val="00D7073B"/>
    <w:rsid w:val="00D77E54"/>
    <w:rsid w:val="00D816C6"/>
    <w:rsid w:val="00D9175B"/>
    <w:rsid w:val="00D92AD8"/>
    <w:rsid w:val="00D93150"/>
    <w:rsid w:val="00D94001"/>
    <w:rsid w:val="00D940F3"/>
    <w:rsid w:val="00D95BB6"/>
    <w:rsid w:val="00DA3409"/>
    <w:rsid w:val="00DA382B"/>
    <w:rsid w:val="00DA7567"/>
    <w:rsid w:val="00DB297D"/>
    <w:rsid w:val="00DB5D26"/>
    <w:rsid w:val="00DB72D6"/>
    <w:rsid w:val="00DD1685"/>
    <w:rsid w:val="00DD3188"/>
    <w:rsid w:val="00DE3F93"/>
    <w:rsid w:val="00DF6512"/>
    <w:rsid w:val="00DF66FB"/>
    <w:rsid w:val="00E113D6"/>
    <w:rsid w:val="00E122F5"/>
    <w:rsid w:val="00E12997"/>
    <w:rsid w:val="00E269B0"/>
    <w:rsid w:val="00E37161"/>
    <w:rsid w:val="00E3745C"/>
    <w:rsid w:val="00E4120F"/>
    <w:rsid w:val="00E43F9E"/>
    <w:rsid w:val="00E44CB0"/>
    <w:rsid w:val="00E456B0"/>
    <w:rsid w:val="00E46B9A"/>
    <w:rsid w:val="00E50F25"/>
    <w:rsid w:val="00E57077"/>
    <w:rsid w:val="00E6432E"/>
    <w:rsid w:val="00E64F51"/>
    <w:rsid w:val="00E72CFB"/>
    <w:rsid w:val="00E815D6"/>
    <w:rsid w:val="00E83241"/>
    <w:rsid w:val="00E839D3"/>
    <w:rsid w:val="00E85BB4"/>
    <w:rsid w:val="00E87B68"/>
    <w:rsid w:val="00E87EA1"/>
    <w:rsid w:val="00E9292C"/>
    <w:rsid w:val="00EA00F5"/>
    <w:rsid w:val="00EA26FC"/>
    <w:rsid w:val="00EA4FA6"/>
    <w:rsid w:val="00EA5EEF"/>
    <w:rsid w:val="00EB35F0"/>
    <w:rsid w:val="00EB66A5"/>
    <w:rsid w:val="00EC127F"/>
    <w:rsid w:val="00ED1F5D"/>
    <w:rsid w:val="00ED28C7"/>
    <w:rsid w:val="00ED4748"/>
    <w:rsid w:val="00EE491C"/>
    <w:rsid w:val="00EE6245"/>
    <w:rsid w:val="00EF04A4"/>
    <w:rsid w:val="00EF2A27"/>
    <w:rsid w:val="00EF47D0"/>
    <w:rsid w:val="00EF5636"/>
    <w:rsid w:val="00EF5DC6"/>
    <w:rsid w:val="00F167CA"/>
    <w:rsid w:val="00F24A47"/>
    <w:rsid w:val="00F2518E"/>
    <w:rsid w:val="00F25A3C"/>
    <w:rsid w:val="00F33C4D"/>
    <w:rsid w:val="00F36673"/>
    <w:rsid w:val="00F36810"/>
    <w:rsid w:val="00F40BD2"/>
    <w:rsid w:val="00F45524"/>
    <w:rsid w:val="00F57F69"/>
    <w:rsid w:val="00F62347"/>
    <w:rsid w:val="00F624F6"/>
    <w:rsid w:val="00F62DC2"/>
    <w:rsid w:val="00F677D8"/>
    <w:rsid w:val="00F728BE"/>
    <w:rsid w:val="00F72FF6"/>
    <w:rsid w:val="00F74388"/>
    <w:rsid w:val="00F84B27"/>
    <w:rsid w:val="00F853FB"/>
    <w:rsid w:val="00FA55F5"/>
    <w:rsid w:val="00FA65F6"/>
    <w:rsid w:val="00FB3F81"/>
    <w:rsid w:val="00FC1B69"/>
    <w:rsid w:val="00FC58E7"/>
    <w:rsid w:val="00FC5922"/>
    <w:rsid w:val="00FD0959"/>
    <w:rsid w:val="00FD70F2"/>
    <w:rsid w:val="00FE3DBB"/>
    <w:rsid w:val="00FF227B"/>
    <w:rsid w:val="00FF3512"/>
    <w:rsid w:val="00FF56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A3FE00-1079-4574-954D-0DA7840B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4B1AE1"/>
    <w:pPr>
      <w:spacing w:after="0" w:line="240" w:lineRule="auto"/>
    </w:pPr>
    <w:rPr>
      <w:sz w:val="28"/>
      <w:szCs w:val="28"/>
      <w:lang w:val="es-CO"/>
    </w:rPr>
  </w:style>
  <w:style w:type="character" w:customStyle="1" w:styleId="SinespaciadoCar">
    <w:name w:val="Sin espaciado Car"/>
    <w:link w:val="Sinespaciado"/>
    <w:uiPriority w:val="99"/>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48827897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JURISPRUDENCIA%20CSJ%201995-2014\2013\agosto\40093(15-08-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BE75D-1DA4-4B73-B05A-5C0B814A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6842</Words>
  <Characters>37637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walterpr palacios</cp:lastModifiedBy>
  <cp:revision>16</cp:revision>
  <cp:lastPrinted>2018-08-31T16:10:00Z</cp:lastPrinted>
  <dcterms:created xsi:type="dcterms:W3CDTF">2018-09-20T14:34:00Z</dcterms:created>
  <dcterms:modified xsi:type="dcterms:W3CDTF">2018-10-29T00:12:00Z</dcterms:modified>
</cp:coreProperties>
</file>