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16" w:rsidRDefault="007D2016" w:rsidP="008138CD">
      <w:pPr>
        <w:jc w:val="center"/>
        <w:rPr>
          <w:rFonts w:eastAsia="Adobe Gothic Std B"/>
          <w:b/>
          <w:bCs/>
          <w:sz w:val="24"/>
          <w:szCs w:val="24"/>
          <w:lang w:eastAsia="en-US"/>
        </w:rPr>
      </w:pPr>
    </w:p>
    <w:p w:rsidR="007D2016" w:rsidRPr="008E121F" w:rsidRDefault="007D2016" w:rsidP="007D2016">
      <w:pPr>
        <w:pBdr>
          <w:top w:val="single" w:sz="4" w:space="1" w:color="auto"/>
          <w:left w:val="single" w:sz="4" w:space="4" w:color="auto"/>
          <w:bottom w:val="single" w:sz="4" w:space="1" w:color="auto"/>
          <w:right w:val="single" w:sz="4" w:space="4" w:color="auto"/>
        </w:pBdr>
        <w:shd w:val="clear" w:color="auto" w:fill="FFFFFF"/>
        <w:rPr>
          <w:rFonts w:eastAsia="Calibri"/>
          <w:color w:val="FF0000"/>
          <w:sz w:val="18"/>
          <w:szCs w:val="18"/>
          <w:lang w:eastAsia="fr-FR"/>
        </w:rPr>
      </w:pPr>
      <w:r w:rsidRPr="008E121F">
        <w:rPr>
          <w:rFonts w:eastAsia="Calibri"/>
          <w:color w:val="FF0000"/>
          <w:spacing w:val="-8"/>
          <w:sz w:val="18"/>
          <w:szCs w:val="18"/>
          <w:lang w:eastAsia="fr-FR"/>
        </w:rPr>
        <w:t xml:space="preserve">El siguiente es el documento presentado por el Magistrado Ponente que sirvió de base para proferir la providencia dentro del presente proceso. </w:t>
      </w:r>
      <w:r w:rsidRPr="008E121F">
        <w:rPr>
          <w:rFonts w:eastAsia="Calibri"/>
          <w:color w:val="FF0000"/>
          <w:sz w:val="18"/>
          <w:szCs w:val="18"/>
          <w:lang w:eastAsia="fr-FR"/>
        </w:rPr>
        <w:t>El contenido total y fiel de la decisión debe ser verificado en la Secretaría de esta Sala.</w:t>
      </w:r>
    </w:p>
    <w:p w:rsidR="007D2016" w:rsidRPr="008E121F" w:rsidRDefault="007D2016" w:rsidP="007D2016">
      <w:pPr>
        <w:shd w:val="clear" w:color="auto" w:fill="FFFFFF"/>
        <w:rPr>
          <w:sz w:val="18"/>
          <w:szCs w:val="18"/>
          <w:lang w:eastAsia="fr-FR"/>
        </w:rPr>
      </w:pPr>
    </w:p>
    <w:p w:rsidR="007D2016" w:rsidRPr="008E121F" w:rsidRDefault="007D2016" w:rsidP="007D2016">
      <w:pPr>
        <w:shd w:val="clear" w:color="auto" w:fill="FFFFFF"/>
        <w:rPr>
          <w:sz w:val="18"/>
          <w:szCs w:val="18"/>
          <w:lang w:eastAsia="fr-FR"/>
        </w:rPr>
      </w:pPr>
    </w:p>
    <w:p w:rsidR="007D2016" w:rsidRPr="008E121F" w:rsidRDefault="007D2016" w:rsidP="007D2016">
      <w:pPr>
        <w:shd w:val="clear" w:color="auto" w:fill="FFFFFF"/>
        <w:rPr>
          <w:rFonts w:eastAsia="Calibri"/>
          <w:sz w:val="22"/>
          <w:szCs w:val="22"/>
          <w:lang w:eastAsia="fr-FR"/>
        </w:rPr>
      </w:pPr>
      <w:r w:rsidRPr="008E121F">
        <w:rPr>
          <w:sz w:val="22"/>
          <w:szCs w:val="22"/>
          <w:lang w:eastAsia="fr-FR"/>
        </w:rPr>
        <w:t>Providencia:</w:t>
      </w:r>
      <w:r w:rsidRPr="008E121F">
        <w:rPr>
          <w:sz w:val="22"/>
          <w:szCs w:val="22"/>
          <w:lang w:eastAsia="fr-FR"/>
        </w:rPr>
        <w:tab/>
      </w:r>
      <w:r w:rsidRPr="008E121F">
        <w:rPr>
          <w:sz w:val="22"/>
          <w:szCs w:val="22"/>
          <w:lang w:eastAsia="fr-FR"/>
        </w:rPr>
        <w:tab/>
        <w:t>Sentencia – 7 de septiembre de 2018</w:t>
      </w:r>
    </w:p>
    <w:p w:rsidR="007D2016" w:rsidRPr="008E121F" w:rsidRDefault="007D2016" w:rsidP="007D2016">
      <w:pPr>
        <w:shd w:val="clear" w:color="auto" w:fill="FFFFFF"/>
        <w:tabs>
          <w:tab w:val="left" w:pos="1418"/>
        </w:tabs>
        <w:rPr>
          <w:rFonts w:eastAsia="Calibri"/>
          <w:sz w:val="22"/>
          <w:szCs w:val="22"/>
          <w:lang w:eastAsia="fr-FR"/>
        </w:rPr>
      </w:pPr>
      <w:r w:rsidRPr="008E121F">
        <w:rPr>
          <w:rFonts w:eastAsia="Calibri"/>
          <w:sz w:val="22"/>
          <w:szCs w:val="22"/>
          <w:lang w:eastAsia="fr-FR"/>
        </w:rPr>
        <w:t>Proceso:                </w:t>
      </w:r>
      <w:r w:rsidRPr="008E121F">
        <w:rPr>
          <w:rFonts w:eastAsia="Calibri"/>
          <w:sz w:val="22"/>
          <w:szCs w:val="22"/>
          <w:lang w:eastAsia="fr-FR"/>
        </w:rPr>
        <w:tab/>
        <w:t>Acción de revisión</w:t>
      </w:r>
    </w:p>
    <w:p w:rsidR="007D2016" w:rsidRPr="008E121F" w:rsidRDefault="007D2016" w:rsidP="007D2016">
      <w:pPr>
        <w:pStyle w:val="Encabezado"/>
        <w:rPr>
          <w:sz w:val="22"/>
          <w:szCs w:val="22"/>
        </w:rPr>
      </w:pPr>
      <w:r w:rsidRPr="008E121F">
        <w:rPr>
          <w:rFonts w:eastAsia="Calibri"/>
          <w:sz w:val="22"/>
          <w:szCs w:val="22"/>
          <w:lang w:eastAsia="fr-FR"/>
        </w:rPr>
        <w:t xml:space="preserve">Radicación Nro. :       </w:t>
      </w:r>
      <w:r w:rsidRPr="008E121F">
        <w:rPr>
          <w:sz w:val="22"/>
          <w:szCs w:val="22"/>
        </w:rPr>
        <w:t>660012204000201800067</w:t>
      </w:r>
    </w:p>
    <w:p w:rsidR="007D2016" w:rsidRPr="008E121F" w:rsidRDefault="007D2016" w:rsidP="007D2016">
      <w:pPr>
        <w:pStyle w:val="Encabezado"/>
        <w:rPr>
          <w:sz w:val="22"/>
          <w:szCs w:val="22"/>
        </w:rPr>
      </w:pPr>
      <w:r w:rsidRPr="008E121F">
        <w:rPr>
          <w:sz w:val="22"/>
          <w:szCs w:val="22"/>
        </w:rPr>
        <w:t>Procesado:                 Richard Hernando Hincapié Giraldo</w:t>
      </w:r>
    </w:p>
    <w:p w:rsidR="007D2016" w:rsidRPr="008E121F" w:rsidRDefault="007D2016" w:rsidP="007D2016">
      <w:pPr>
        <w:pStyle w:val="Encabezado"/>
        <w:rPr>
          <w:sz w:val="22"/>
          <w:szCs w:val="22"/>
        </w:rPr>
      </w:pPr>
      <w:r w:rsidRPr="008E121F">
        <w:rPr>
          <w:sz w:val="22"/>
          <w:szCs w:val="22"/>
          <w:lang w:val="es-MX"/>
        </w:rPr>
        <w:t xml:space="preserve">Accionado:                </w:t>
      </w:r>
      <w:r w:rsidR="002551AD" w:rsidRPr="008E121F">
        <w:rPr>
          <w:sz w:val="22"/>
          <w:szCs w:val="22"/>
          <w:lang w:val="es-MX"/>
        </w:rPr>
        <w:t xml:space="preserve"> </w:t>
      </w:r>
      <w:r w:rsidRPr="008E121F">
        <w:rPr>
          <w:sz w:val="22"/>
          <w:szCs w:val="22"/>
        </w:rPr>
        <w:t>Juzgado Cuarto Penal del Circuito de Pereira</w:t>
      </w:r>
    </w:p>
    <w:p w:rsidR="007D2016" w:rsidRPr="008E121F" w:rsidRDefault="007D2016" w:rsidP="007D2016">
      <w:pPr>
        <w:pStyle w:val="Encabezado"/>
        <w:rPr>
          <w:rFonts w:eastAsia="Calibri"/>
          <w:bCs/>
          <w:iCs/>
          <w:sz w:val="22"/>
          <w:szCs w:val="22"/>
          <w:lang w:eastAsia="fr-FR"/>
        </w:rPr>
      </w:pPr>
      <w:r w:rsidRPr="008E121F">
        <w:rPr>
          <w:sz w:val="22"/>
          <w:szCs w:val="22"/>
          <w:lang w:val="es-MX"/>
        </w:rPr>
        <w:t>M</w:t>
      </w:r>
      <w:proofErr w:type="spellStart"/>
      <w:r w:rsidRPr="008E121F">
        <w:rPr>
          <w:rFonts w:eastAsia="Calibri"/>
          <w:sz w:val="22"/>
          <w:szCs w:val="22"/>
          <w:lang w:eastAsia="fr-FR"/>
        </w:rPr>
        <w:t>agistrado</w:t>
      </w:r>
      <w:proofErr w:type="spellEnd"/>
      <w:r w:rsidRPr="008E121F">
        <w:rPr>
          <w:rFonts w:eastAsia="Calibri"/>
          <w:sz w:val="22"/>
          <w:szCs w:val="22"/>
          <w:lang w:eastAsia="fr-FR"/>
        </w:rPr>
        <w:t xml:space="preserve"> Ponente: Jairo Ernesto Escobar Sanz</w:t>
      </w:r>
    </w:p>
    <w:p w:rsidR="007D2016" w:rsidRPr="008E121F" w:rsidRDefault="007D2016" w:rsidP="007D2016">
      <w:pPr>
        <w:shd w:val="clear" w:color="auto" w:fill="FFFFFF"/>
        <w:tabs>
          <w:tab w:val="left" w:pos="1418"/>
        </w:tabs>
        <w:jc w:val="both"/>
        <w:rPr>
          <w:rFonts w:eastAsia="Calibri"/>
          <w:bCs/>
          <w:iCs/>
          <w:sz w:val="22"/>
          <w:szCs w:val="22"/>
          <w:lang w:eastAsia="fr-FR"/>
        </w:rPr>
      </w:pPr>
    </w:p>
    <w:p w:rsidR="006F1677" w:rsidRPr="008E121F" w:rsidRDefault="007D2016" w:rsidP="008E121F">
      <w:pPr>
        <w:pStyle w:val="Prrafodelista"/>
        <w:tabs>
          <w:tab w:val="left" w:pos="0"/>
        </w:tabs>
        <w:spacing w:before="240" w:after="240"/>
        <w:ind w:left="0"/>
        <w:jc w:val="both"/>
        <w:rPr>
          <w:sz w:val="22"/>
          <w:szCs w:val="22"/>
        </w:rPr>
      </w:pPr>
      <w:r w:rsidRPr="008E121F">
        <w:rPr>
          <w:rFonts w:eastAsia="Calibri"/>
          <w:b/>
          <w:bCs/>
          <w:iCs/>
          <w:sz w:val="22"/>
          <w:szCs w:val="22"/>
          <w:lang w:eastAsia="fr-FR"/>
        </w:rPr>
        <w:t xml:space="preserve">Temas:  </w:t>
      </w:r>
      <w:r w:rsidRPr="008E121F">
        <w:rPr>
          <w:rFonts w:eastAsia="Calibri"/>
          <w:b/>
          <w:bCs/>
          <w:iCs/>
          <w:sz w:val="22"/>
          <w:szCs w:val="22"/>
          <w:lang w:eastAsia="fr-FR"/>
        </w:rPr>
        <w:tab/>
      </w:r>
      <w:r w:rsidRPr="008E121F">
        <w:rPr>
          <w:rFonts w:eastAsia="Calibri"/>
          <w:b/>
          <w:bCs/>
          <w:iCs/>
          <w:sz w:val="22"/>
          <w:szCs w:val="22"/>
          <w:lang w:eastAsia="fr-FR"/>
        </w:rPr>
        <w:tab/>
      </w:r>
      <w:r w:rsidR="00581C00" w:rsidRPr="008E121F">
        <w:rPr>
          <w:rFonts w:eastAsia="Calibri"/>
          <w:b/>
          <w:bCs/>
          <w:iCs/>
          <w:sz w:val="22"/>
          <w:szCs w:val="22"/>
          <w:lang w:eastAsia="fr-FR"/>
        </w:rPr>
        <w:t xml:space="preserve">HOMICIDIO AGRAVADO Y OTROS/ </w:t>
      </w:r>
      <w:r w:rsidR="00B0756E" w:rsidRPr="008E121F">
        <w:rPr>
          <w:rFonts w:eastAsia="Calibri"/>
          <w:b/>
          <w:bCs/>
          <w:iCs/>
          <w:sz w:val="22"/>
          <w:szCs w:val="22"/>
          <w:lang w:eastAsia="fr-FR"/>
        </w:rPr>
        <w:t xml:space="preserve">ACCIÓN DE REVISIÓN – Causales-/ </w:t>
      </w:r>
      <w:r w:rsidR="00B0756E" w:rsidRPr="008E121F">
        <w:rPr>
          <w:rFonts w:eastAsia="Adobe Gothic Std B"/>
          <w:b/>
          <w:sz w:val="24"/>
          <w:szCs w:val="24"/>
        </w:rPr>
        <w:t xml:space="preserve"> NUMERAL </w:t>
      </w:r>
      <w:r w:rsidR="00B0756E" w:rsidRPr="008E121F">
        <w:rPr>
          <w:rFonts w:eastAsia="Adobe Gothic Std B"/>
          <w:b/>
          <w:sz w:val="24"/>
          <w:szCs w:val="24"/>
          <w:lang w:val="es-ES"/>
        </w:rPr>
        <w:t>7 DEL ARTÍCULO 192 C.P.P/</w:t>
      </w:r>
      <w:r w:rsidR="00B0756E" w:rsidRPr="008E121F">
        <w:rPr>
          <w:b/>
          <w:spacing w:val="-4"/>
          <w:sz w:val="22"/>
          <w:szCs w:val="22"/>
        </w:rPr>
        <w:t xml:space="preserve"> CAMBIO LÍNEA JURISPRUDENCIAL/</w:t>
      </w:r>
      <w:r w:rsidR="009D360C" w:rsidRPr="008E121F">
        <w:rPr>
          <w:sz w:val="24"/>
          <w:szCs w:val="24"/>
        </w:rPr>
        <w:t xml:space="preserve"> </w:t>
      </w:r>
      <w:r w:rsidR="00B0756E" w:rsidRPr="008E121F">
        <w:rPr>
          <w:b/>
          <w:spacing w:val="-4"/>
          <w:sz w:val="22"/>
          <w:szCs w:val="22"/>
        </w:rPr>
        <w:t xml:space="preserve"> AUMENTO PUNITIVO PREVISTO EN </w:t>
      </w:r>
      <w:r w:rsidR="00B0756E" w:rsidRPr="008E121F">
        <w:rPr>
          <w:b/>
          <w:sz w:val="22"/>
          <w:szCs w:val="22"/>
        </w:rPr>
        <w:t xml:space="preserve">EL ARTÍCULO 14 DE LA LEY 890 DE 2004 PARA </w:t>
      </w:r>
      <w:bookmarkStart w:id="0" w:name="_GoBack"/>
      <w:bookmarkEnd w:id="0"/>
      <w:r w:rsidR="00B0756E" w:rsidRPr="008E121F">
        <w:rPr>
          <w:b/>
          <w:sz w:val="22"/>
          <w:szCs w:val="22"/>
        </w:rPr>
        <w:t>HOMICIDIO AGRAVADO DE MENORES</w:t>
      </w:r>
      <w:r w:rsidR="009D360C" w:rsidRPr="008E121F">
        <w:rPr>
          <w:b/>
          <w:sz w:val="22"/>
          <w:szCs w:val="22"/>
        </w:rPr>
        <w:t xml:space="preserve"> </w:t>
      </w:r>
      <w:r w:rsidR="008E121F" w:rsidRPr="008E121F">
        <w:rPr>
          <w:b/>
          <w:sz w:val="22"/>
          <w:szCs w:val="22"/>
        </w:rPr>
        <w:t>NO PROCEDE</w:t>
      </w:r>
      <w:r w:rsidR="003961BB">
        <w:rPr>
          <w:b/>
          <w:sz w:val="22"/>
          <w:szCs w:val="22"/>
        </w:rPr>
        <w:t xml:space="preserve"> POR RES</w:t>
      </w:r>
      <w:r w:rsidR="008E121F" w:rsidRPr="008E121F">
        <w:rPr>
          <w:b/>
          <w:sz w:val="22"/>
          <w:szCs w:val="22"/>
        </w:rPr>
        <w:t xml:space="preserve">TRICCIÓN DEL ARTÍCULO 199 DEL CIA/ </w:t>
      </w:r>
      <w:r w:rsidR="003961BB">
        <w:rPr>
          <w:b/>
          <w:sz w:val="22"/>
          <w:szCs w:val="22"/>
        </w:rPr>
        <w:t>SE CUMPLEN LOS PRESUPUESTOS PARA REDOSIFICAR LA PENA IMPUESTA POR</w:t>
      </w:r>
      <w:r w:rsidR="003867F2">
        <w:rPr>
          <w:b/>
          <w:sz w:val="22"/>
          <w:szCs w:val="22"/>
        </w:rPr>
        <w:t xml:space="preserve"> EL JUEZ DE PRIMER GRADO</w:t>
      </w:r>
      <w:r w:rsidR="0090231A" w:rsidRPr="008E121F">
        <w:rPr>
          <w:b/>
          <w:sz w:val="22"/>
          <w:szCs w:val="22"/>
        </w:rPr>
        <w:t>/</w:t>
      </w:r>
      <w:r w:rsidR="008E121F" w:rsidRPr="008E121F">
        <w:rPr>
          <w:b/>
          <w:sz w:val="22"/>
          <w:szCs w:val="22"/>
        </w:rPr>
        <w:t xml:space="preserve"> </w:t>
      </w:r>
      <w:r w:rsidR="008E121F">
        <w:rPr>
          <w:b/>
          <w:sz w:val="22"/>
          <w:szCs w:val="22"/>
        </w:rPr>
        <w:t>REBAJAS ADICIONALES</w:t>
      </w:r>
      <w:r w:rsidR="003961BB">
        <w:rPr>
          <w:b/>
          <w:sz w:val="22"/>
          <w:szCs w:val="22"/>
        </w:rPr>
        <w:t xml:space="preserve"> NO PROCEDEN PORQUE FUERON</w:t>
      </w:r>
      <w:r w:rsidR="008E121F">
        <w:rPr>
          <w:b/>
          <w:sz w:val="22"/>
          <w:szCs w:val="22"/>
        </w:rPr>
        <w:t xml:space="preserve"> RECONOCIDAS EN PREACUERDO/</w:t>
      </w:r>
      <w:r w:rsidR="008E121F" w:rsidRPr="008E121F">
        <w:rPr>
          <w:b/>
          <w:sz w:val="22"/>
          <w:szCs w:val="22"/>
        </w:rPr>
        <w:t xml:space="preserve"> DECLARA FUNDADA CAUSAL DE REVISIÓN -MODIFICA LA SENTENCIA</w:t>
      </w:r>
    </w:p>
    <w:p w:rsidR="006F1677" w:rsidRPr="008E121F" w:rsidRDefault="006F1677" w:rsidP="008E121F">
      <w:pPr>
        <w:jc w:val="both"/>
        <w:rPr>
          <w:rFonts w:eastAsia="Adobe Gothic Std B"/>
          <w:b/>
          <w:bCs/>
          <w:sz w:val="22"/>
          <w:szCs w:val="22"/>
          <w:lang w:eastAsia="en-US"/>
        </w:rPr>
      </w:pPr>
    </w:p>
    <w:p w:rsidR="00A0480C" w:rsidRPr="008E121F" w:rsidRDefault="00581C00" w:rsidP="008E121F">
      <w:pPr>
        <w:pStyle w:val="Prrafodelista"/>
        <w:tabs>
          <w:tab w:val="left" w:pos="709"/>
        </w:tabs>
        <w:ind w:left="0" w:right="49"/>
        <w:jc w:val="both"/>
        <w:rPr>
          <w:sz w:val="22"/>
          <w:szCs w:val="22"/>
          <w:lang w:val="es-ES"/>
        </w:rPr>
      </w:pPr>
      <w:r w:rsidRPr="008E121F">
        <w:rPr>
          <w:sz w:val="22"/>
          <w:szCs w:val="22"/>
          <w:lang w:val="es-ES"/>
        </w:rPr>
        <w:t>A</w:t>
      </w:r>
      <w:r w:rsidR="00A0480C" w:rsidRPr="008E121F">
        <w:rPr>
          <w:sz w:val="22"/>
          <w:szCs w:val="22"/>
          <w:lang w:val="es-ES"/>
        </w:rPr>
        <w:t>hora bien, se tiene que el fallador de primer grado dentro del presente caso aplicó los aumentos de pena estipulados en la Ley 890 de 2004, sin aplicar la rebaja de pena debido a la prohibición consagrada en el artículo 199 numeral 7 de la Ley 1098 de 2006, puesto que se juzgaba el homicidio de un menor de edad;</w:t>
      </w:r>
      <w:r w:rsidR="00A0480C" w:rsidRPr="008E121F">
        <w:rPr>
          <w:sz w:val="22"/>
          <w:szCs w:val="22"/>
          <w:u w:val="single"/>
          <w:lang w:val="es-ES"/>
        </w:rPr>
        <w:t xml:space="preserve"> pero posteriormente la jurisprudencia reseñada señaló que no procedía el incremento punitivo previsto en la Ley 890 de 2004 toda vez que hacerlo sería soslayar el fin de dicha norma; en tanto que al no ser posible aplicar ninguna rebaja de pena, tampoco se justificaría el incremento de la misma. </w:t>
      </w:r>
      <w:r w:rsidR="00A0480C" w:rsidRPr="008E121F">
        <w:rPr>
          <w:sz w:val="22"/>
          <w:szCs w:val="22"/>
          <w:lang w:val="es-ES"/>
        </w:rPr>
        <w:t>Por ello, deberá realizarse una nueva dosificación de la pena impuesta al señor Richard Hernando Hincapié  Giraldo por medio de sentencia del 14 de julio de 2008.</w:t>
      </w:r>
    </w:p>
    <w:p w:rsidR="00F82B8B" w:rsidRPr="008E121F" w:rsidRDefault="00F82B8B" w:rsidP="008E121F">
      <w:pPr>
        <w:ind w:right="333"/>
        <w:jc w:val="both"/>
        <w:rPr>
          <w:sz w:val="22"/>
          <w:szCs w:val="22"/>
          <w:lang w:val="es-ES"/>
        </w:rPr>
      </w:pPr>
      <w:r w:rsidRPr="008E121F">
        <w:rPr>
          <w:sz w:val="22"/>
          <w:szCs w:val="22"/>
          <w:lang w:val="es-ES"/>
        </w:rPr>
        <w:t>(…)</w:t>
      </w:r>
    </w:p>
    <w:p w:rsidR="00A0480C" w:rsidRPr="008E121F" w:rsidRDefault="00A0480C" w:rsidP="008E121F">
      <w:pPr>
        <w:pStyle w:val="Prrafodelista"/>
        <w:ind w:left="0" w:right="49"/>
        <w:jc w:val="both"/>
        <w:rPr>
          <w:i/>
          <w:sz w:val="22"/>
          <w:szCs w:val="22"/>
          <w:lang w:val="es-ES"/>
        </w:rPr>
      </w:pPr>
      <w:r w:rsidRPr="008E121F">
        <w:rPr>
          <w:sz w:val="22"/>
          <w:szCs w:val="22"/>
          <w:lang w:val="es-ES"/>
        </w:rPr>
        <w:t>En lo que atañe al tema puntual de la acción de revisión propuesta hay que manifestar que en la sentencia de primer grado se dijo:</w:t>
      </w:r>
      <w:r w:rsidRPr="008E121F">
        <w:rPr>
          <w:i/>
          <w:sz w:val="22"/>
          <w:szCs w:val="22"/>
          <w:lang w:val="es-ES"/>
        </w:rPr>
        <w:t xml:space="preserve"> “La Fiscalía acusó a los partícipes de dichas acciones por las siguientes conductas: “Homicidio agravado por ser la víctima un menor de edad, homicidio simple...”</w:t>
      </w:r>
      <w:r w:rsidRPr="008E121F">
        <w:rPr>
          <w:rStyle w:val="Refdenotaalpie"/>
          <w:i/>
          <w:sz w:val="22"/>
          <w:szCs w:val="22"/>
          <w:lang w:val="es-ES"/>
        </w:rPr>
        <w:footnoteReference w:id="1"/>
      </w:r>
      <w:r w:rsidRPr="008E121F">
        <w:rPr>
          <w:i/>
          <w:sz w:val="22"/>
          <w:szCs w:val="22"/>
          <w:lang w:val="es-ES"/>
        </w:rPr>
        <w:t xml:space="preserve">. </w:t>
      </w:r>
    </w:p>
    <w:p w:rsidR="00F82B8B" w:rsidRPr="008E121F" w:rsidRDefault="00F82B8B" w:rsidP="008E121F">
      <w:pPr>
        <w:tabs>
          <w:tab w:val="left" w:pos="8505"/>
        </w:tabs>
        <w:ind w:right="333"/>
        <w:jc w:val="both"/>
        <w:rPr>
          <w:i/>
          <w:sz w:val="22"/>
          <w:szCs w:val="22"/>
          <w:u w:val="single"/>
          <w:lang w:val="es-ES"/>
        </w:rPr>
      </w:pPr>
      <w:r w:rsidRPr="008E121F">
        <w:rPr>
          <w:i/>
          <w:sz w:val="22"/>
          <w:szCs w:val="22"/>
          <w:u w:val="single"/>
          <w:lang w:val="es-ES"/>
        </w:rPr>
        <w:t>(…)</w:t>
      </w:r>
    </w:p>
    <w:p w:rsidR="00A0480C" w:rsidRPr="008E121F" w:rsidRDefault="00A0480C" w:rsidP="008E121F">
      <w:pPr>
        <w:pStyle w:val="Prrafodelista"/>
        <w:ind w:left="0"/>
        <w:jc w:val="both"/>
        <w:rPr>
          <w:sz w:val="22"/>
          <w:szCs w:val="22"/>
        </w:rPr>
      </w:pPr>
      <w:r w:rsidRPr="008E121F">
        <w:rPr>
          <w:sz w:val="22"/>
          <w:szCs w:val="22"/>
        </w:rPr>
        <w:t xml:space="preserve">Respetando el marco punitivo del fallo de primer grado, se partirá entonces de 25 años equivalentes a 300 meses de prisión.  </w:t>
      </w:r>
    </w:p>
    <w:p w:rsidR="00A0480C" w:rsidRPr="008E121F" w:rsidRDefault="00A0480C" w:rsidP="008E121F">
      <w:pPr>
        <w:jc w:val="both"/>
        <w:rPr>
          <w:sz w:val="22"/>
          <w:szCs w:val="22"/>
        </w:rPr>
      </w:pPr>
    </w:p>
    <w:p w:rsidR="00A0480C" w:rsidRPr="008E121F" w:rsidRDefault="00A0480C" w:rsidP="008E121F">
      <w:pPr>
        <w:jc w:val="both"/>
        <w:rPr>
          <w:sz w:val="22"/>
          <w:szCs w:val="22"/>
        </w:rPr>
      </w:pPr>
      <w:r w:rsidRPr="008E121F">
        <w:rPr>
          <w:sz w:val="22"/>
          <w:szCs w:val="22"/>
        </w:rPr>
        <w:t xml:space="preserve">A esa sanción se incrementarán los doce (12) años de prisión que se fijaron por los demás delitos concursantes, </w:t>
      </w:r>
      <w:r w:rsidRPr="008E121F">
        <w:rPr>
          <w:sz w:val="22"/>
          <w:szCs w:val="22"/>
          <w:u w:val="single"/>
        </w:rPr>
        <w:t>para un total de pena de treinta y siete (37) años  de prisión, la cual resulta menor a los cuarenta y cinco (45) años con seis (6)  meses de prisión, fijados en el fallo inicial.</w:t>
      </w:r>
    </w:p>
    <w:p w:rsidR="00A0480C" w:rsidRPr="008E121F" w:rsidRDefault="00A0480C" w:rsidP="008E121F">
      <w:pPr>
        <w:jc w:val="both"/>
        <w:rPr>
          <w:sz w:val="22"/>
          <w:szCs w:val="22"/>
        </w:rPr>
      </w:pPr>
    </w:p>
    <w:p w:rsidR="00A0480C" w:rsidRPr="008E121F" w:rsidRDefault="00A0480C" w:rsidP="008E121F">
      <w:pPr>
        <w:jc w:val="both"/>
        <w:rPr>
          <w:sz w:val="22"/>
          <w:szCs w:val="22"/>
        </w:rPr>
      </w:pPr>
      <w:r w:rsidRPr="008E121F">
        <w:rPr>
          <w:sz w:val="22"/>
          <w:szCs w:val="22"/>
        </w:rPr>
        <w:t>En ese sentido se debe aclarar que no es posible hacer rebajas adicionales al procesado, con base en el artículo 352 del C.P.P., por los delitos concursantes de homicidio simple (que igualmente se debió tipificar como homicidio agravado del señor Juan Carlos Henao,  al presentarse la causal prevista en el artículo 104.5 del C.P.), homicidio en grado de tentativa, lesiones personales y porte ilegal de armas; pues se entiende que esa disminución punitiva ya fue reconocida en el preacuerdo aprobado por el juez de primera instancia, donde se pactó que la pena a imponer a los procesados era de cuarenta y cinco (45) años y seis( 6) meses de prisión.</w:t>
      </w:r>
    </w:p>
    <w:p w:rsidR="00A0480C" w:rsidRPr="008E121F" w:rsidRDefault="00A0480C" w:rsidP="008E121F">
      <w:pPr>
        <w:ind w:right="333"/>
        <w:jc w:val="both"/>
        <w:rPr>
          <w:strike/>
          <w:sz w:val="22"/>
          <w:szCs w:val="22"/>
          <w:lang w:val="es-ES"/>
        </w:rPr>
      </w:pPr>
    </w:p>
    <w:p w:rsidR="00A0480C" w:rsidRPr="008E121F" w:rsidRDefault="00A0480C" w:rsidP="008E121F">
      <w:pPr>
        <w:pStyle w:val="Prrafodelista"/>
        <w:ind w:left="0" w:right="49"/>
        <w:jc w:val="both"/>
        <w:rPr>
          <w:i/>
          <w:sz w:val="22"/>
          <w:szCs w:val="22"/>
          <w:lang w:val="es-ES"/>
        </w:rPr>
      </w:pPr>
    </w:p>
    <w:p w:rsidR="00A0480C" w:rsidRPr="008E121F" w:rsidRDefault="00A0480C" w:rsidP="008E121F">
      <w:pPr>
        <w:pStyle w:val="Prrafodelista"/>
        <w:ind w:left="142" w:right="333"/>
        <w:jc w:val="both"/>
        <w:rPr>
          <w:i/>
          <w:sz w:val="22"/>
          <w:szCs w:val="22"/>
          <w:lang w:val="es-ES"/>
        </w:rPr>
      </w:pPr>
    </w:p>
    <w:p w:rsidR="007D2016" w:rsidRPr="008E121F" w:rsidRDefault="007D2016" w:rsidP="008138CD">
      <w:pPr>
        <w:jc w:val="center"/>
        <w:rPr>
          <w:rFonts w:eastAsia="Adobe Gothic Std B"/>
          <w:b/>
          <w:bCs/>
          <w:sz w:val="24"/>
          <w:szCs w:val="24"/>
          <w:lang w:eastAsia="en-US"/>
        </w:rPr>
      </w:pPr>
    </w:p>
    <w:p w:rsidR="007D2016" w:rsidRPr="008E121F" w:rsidRDefault="007D2016" w:rsidP="008138CD">
      <w:pPr>
        <w:jc w:val="center"/>
        <w:rPr>
          <w:rFonts w:eastAsia="Adobe Gothic Std B"/>
          <w:b/>
          <w:bCs/>
          <w:sz w:val="24"/>
          <w:szCs w:val="24"/>
          <w:lang w:eastAsia="en-US"/>
        </w:rPr>
      </w:pPr>
    </w:p>
    <w:p w:rsidR="007D2016" w:rsidRPr="008E121F" w:rsidRDefault="007D2016" w:rsidP="008138CD">
      <w:pPr>
        <w:jc w:val="center"/>
        <w:rPr>
          <w:rFonts w:eastAsia="Adobe Gothic Std B"/>
          <w:b/>
          <w:bCs/>
          <w:sz w:val="24"/>
          <w:szCs w:val="24"/>
          <w:lang w:eastAsia="en-US"/>
        </w:rPr>
      </w:pPr>
    </w:p>
    <w:p w:rsidR="00AA0CC2" w:rsidRPr="008E121F" w:rsidRDefault="00FA55F5" w:rsidP="008138CD">
      <w:pPr>
        <w:jc w:val="center"/>
        <w:rPr>
          <w:rFonts w:eastAsia="Adobe Gothic Std B"/>
          <w:b/>
          <w:bCs/>
          <w:sz w:val="24"/>
          <w:szCs w:val="24"/>
          <w:lang w:eastAsia="en-US"/>
        </w:rPr>
      </w:pPr>
      <w:r w:rsidRPr="008E121F">
        <w:rPr>
          <w:rFonts w:eastAsia="Adobe Gothic Std B"/>
          <w:b/>
          <w:bCs/>
          <w:sz w:val="24"/>
          <w:szCs w:val="24"/>
          <w:lang w:eastAsia="en-US"/>
        </w:rPr>
        <w:t xml:space="preserve"> </w:t>
      </w:r>
      <w:r w:rsidR="00AA0CC2" w:rsidRPr="008E121F">
        <w:rPr>
          <w:rFonts w:eastAsia="Adobe Gothic Std B"/>
          <w:b/>
          <w:bCs/>
          <w:sz w:val="24"/>
          <w:szCs w:val="24"/>
          <w:lang w:eastAsia="en-US"/>
        </w:rPr>
        <w:t>REPÚBLICA DE COLOMBIA</w:t>
      </w:r>
    </w:p>
    <w:p w:rsidR="00AA0CC2" w:rsidRPr="008E121F" w:rsidRDefault="00AA0CC2" w:rsidP="008138CD">
      <w:pPr>
        <w:jc w:val="center"/>
        <w:rPr>
          <w:rFonts w:eastAsia="Adobe Gothic Std B"/>
          <w:b/>
          <w:bCs/>
          <w:sz w:val="24"/>
          <w:szCs w:val="24"/>
          <w:lang w:eastAsia="en-US"/>
        </w:rPr>
      </w:pPr>
      <w:r w:rsidRPr="008E121F">
        <w:rPr>
          <w:rFonts w:eastAsia="Adobe Gothic Std B"/>
          <w:b/>
          <w:bCs/>
          <w:sz w:val="24"/>
          <w:szCs w:val="24"/>
          <w:lang w:eastAsia="en-US"/>
        </w:rPr>
        <w:t>RAMA JUDICIAL DEL PODER PÚBLICO</w:t>
      </w:r>
    </w:p>
    <w:p w:rsidR="00AA0CC2" w:rsidRPr="008E121F" w:rsidRDefault="00AA0CC2" w:rsidP="008138CD">
      <w:pPr>
        <w:jc w:val="center"/>
        <w:rPr>
          <w:rFonts w:eastAsia="Adobe Gothic Std B"/>
          <w:b/>
          <w:bCs/>
          <w:sz w:val="24"/>
          <w:szCs w:val="24"/>
          <w:lang w:eastAsia="en-US"/>
        </w:rPr>
      </w:pPr>
      <w:r w:rsidRPr="008E121F">
        <w:rPr>
          <w:rFonts w:eastAsia="Adobe Gothic Std B"/>
          <w:b/>
          <w:noProof/>
          <w:sz w:val="24"/>
          <w:szCs w:val="24"/>
          <w:lang w:eastAsia="es-CO"/>
        </w:rPr>
        <w:drawing>
          <wp:inline distT="0" distB="0" distL="0" distR="0" wp14:anchorId="54C15583" wp14:editId="17FA6439">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8E121F" w:rsidRDefault="00AA0CC2" w:rsidP="008138CD">
      <w:pPr>
        <w:jc w:val="center"/>
        <w:rPr>
          <w:rFonts w:eastAsia="Adobe Gothic Std B"/>
          <w:b/>
          <w:bCs/>
          <w:sz w:val="24"/>
          <w:szCs w:val="24"/>
          <w:lang w:eastAsia="en-US"/>
        </w:rPr>
      </w:pPr>
      <w:r w:rsidRPr="008E121F">
        <w:rPr>
          <w:rFonts w:eastAsia="Adobe Gothic Std B"/>
          <w:b/>
          <w:bCs/>
          <w:sz w:val="24"/>
          <w:szCs w:val="24"/>
          <w:lang w:eastAsia="en-US"/>
        </w:rPr>
        <w:t>TRIBUNAL SUPERIOR DEL DISTRITO JUDICIAL DE PEREIRA</w:t>
      </w:r>
    </w:p>
    <w:p w:rsidR="00AA0CC2" w:rsidRPr="008E121F" w:rsidRDefault="00AA0CC2" w:rsidP="008138CD">
      <w:pPr>
        <w:jc w:val="center"/>
        <w:rPr>
          <w:rFonts w:eastAsia="Adobe Gothic Std B"/>
          <w:b/>
          <w:sz w:val="24"/>
          <w:szCs w:val="24"/>
          <w:lang w:eastAsia="en-US"/>
        </w:rPr>
      </w:pPr>
      <w:r w:rsidRPr="008E121F">
        <w:rPr>
          <w:rFonts w:eastAsia="Adobe Gothic Std B"/>
          <w:b/>
          <w:bCs/>
          <w:sz w:val="24"/>
          <w:szCs w:val="24"/>
          <w:lang w:eastAsia="en-US"/>
        </w:rPr>
        <w:t>SALA DE DECISIÓN PENAL</w:t>
      </w:r>
    </w:p>
    <w:p w:rsidR="00AA0CC2" w:rsidRPr="008E121F" w:rsidRDefault="00AA0CC2" w:rsidP="008138CD">
      <w:pPr>
        <w:jc w:val="center"/>
        <w:rPr>
          <w:rFonts w:eastAsia="Adobe Gothic Std B"/>
          <w:b/>
          <w:bCs/>
          <w:sz w:val="24"/>
          <w:szCs w:val="24"/>
        </w:rPr>
      </w:pPr>
      <w:r w:rsidRPr="008E121F">
        <w:rPr>
          <w:rFonts w:eastAsia="Adobe Gothic Std B"/>
          <w:b/>
          <w:bCs/>
          <w:sz w:val="24"/>
          <w:szCs w:val="24"/>
        </w:rPr>
        <w:t xml:space="preserve">M.P. </w:t>
      </w:r>
      <w:r w:rsidR="00C504B6" w:rsidRPr="008E121F">
        <w:rPr>
          <w:rFonts w:eastAsia="Adobe Gothic Std B"/>
          <w:b/>
          <w:bCs/>
          <w:sz w:val="24"/>
          <w:szCs w:val="24"/>
        </w:rPr>
        <w:t xml:space="preserve">JAIRO </w:t>
      </w:r>
      <w:r w:rsidR="00056D81" w:rsidRPr="008E121F">
        <w:rPr>
          <w:rFonts w:eastAsia="Adobe Gothic Std B"/>
          <w:b/>
          <w:bCs/>
          <w:sz w:val="24"/>
          <w:szCs w:val="24"/>
        </w:rPr>
        <w:t>ERNESTO ESCOBAR SANZ</w:t>
      </w:r>
    </w:p>
    <w:p w:rsidR="00AA0CC2" w:rsidRPr="008E121F" w:rsidRDefault="00AA0CC2" w:rsidP="008138CD">
      <w:pPr>
        <w:spacing w:line="360" w:lineRule="auto"/>
        <w:jc w:val="both"/>
        <w:rPr>
          <w:rFonts w:eastAsia="Adobe Gothic Std B"/>
          <w:bCs/>
          <w:sz w:val="24"/>
          <w:szCs w:val="24"/>
        </w:rPr>
      </w:pPr>
    </w:p>
    <w:p w:rsidR="00AA0CC2" w:rsidRPr="008E121F" w:rsidRDefault="003F4333" w:rsidP="008138CD">
      <w:pPr>
        <w:spacing w:line="360" w:lineRule="auto"/>
        <w:jc w:val="both"/>
        <w:rPr>
          <w:rFonts w:eastAsia="Adobe Gothic Std B"/>
          <w:sz w:val="24"/>
          <w:szCs w:val="24"/>
        </w:rPr>
      </w:pPr>
      <w:r w:rsidRPr="008E121F">
        <w:rPr>
          <w:rFonts w:eastAsia="Adobe Gothic Std B"/>
          <w:sz w:val="24"/>
          <w:szCs w:val="24"/>
        </w:rPr>
        <w:t xml:space="preserve">Pereira, siete </w:t>
      </w:r>
      <w:r w:rsidR="006635D6" w:rsidRPr="008E121F">
        <w:rPr>
          <w:rFonts w:eastAsia="Adobe Gothic Std B"/>
          <w:sz w:val="24"/>
          <w:szCs w:val="24"/>
        </w:rPr>
        <w:t>(7) de septiembre de dos mil dieciocho (2018)</w:t>
      </w:r>
    </w:p>
    <w:p w:rsidR="000220AE" w:rsidRPr="008E121F" w:rsidRDefault="002E3C67" w:rsidP="008138CD">
      <w:pPr>
        <w:spacing w:line="360" w:lineRule="auto"/>
        <w:jc w:val="both"/>
        <w:rPr>
          <w:rFonts w:eastAsia="Adobe Gothic Std B"/>
          <w:sz w:val="24"/>
          <w:szCs w:val="24"/>
        </w:rPr>
      </w:pPr>
      <w:r w:rsidRPr="008E121F">
        <w:rPr>
          <w:rFonts w:eastAsia="Adobe Gothic Std B"/>
          <w:sz w:val="24"/>
          <w:szCs w:val="24"/>
        </w:rPr>
        <w:t xml:space="preserve">Acta Nro. 763 </w:t>
      </w:r>
    </w:p>
    <w:p w:rsidR="00AA0CC2" w:rsidRPr="008E121F" w:rsidRDefault="000220AE" w:rsidP="008138CD">
      <w:pPr>
        <w:spacing w:line="360" w:lineRule="auto"/>
        <w:jc w:val="both"/>
        <w:rPr>
          <w:rFonts w:eastAsia="Adobe Gothic Std B"/>
          <w:sz w:val="24"/>
          <w:szCs w:val="24"/>
        </w:rPr>
      </w:pPr>
      <w:r w:rsidRPr="008E121F">
        <w:rPr>
          <w:rFonts w:eastAsia="Adobe Gothic Std B"/>
          <w:sz w:val="24"/>
          <w:szCs w:val="24"/>
        </w:rPr>
        <w:t>Hora:</w:t>
      </w:r>
      <w:r w:rsidR="00F62347" w:rsidRPr="008E121F">
        <w:rPr>
          <w:rFonts w:eastAsia="Adobe Gothic Std B"/>
          <w:sz w:val="24"/>
          <w:szCs w:val="24"/>
        </w:rPr>
        <w:t xml:space="preserve"> </w:t>
      </w:r>
      <w:r w:rsidR="002E3C67" w:rsidRPr="008E121F">
        <w:rPr>
          <w:rFonts w:eastAsia="Adobe Gothic Std B"/>
          <w:sz w:val="24"/>
          <w:szCs w:val="24"/>
        </w:rPr>
        <w:t>8:15 a.m.</w:t>
      </w:r>
    </w:p>
    <w:p w:rsidR="00AA0CC2" w:rsidRPr="008E121F" w:rsidRDefault="00AA0CC2" w:rsidP="008138CD">
      <w:pPr>
        <w:spacing w:line="360" w:lineRule="auto"/>
        <w:jc w:val="both"/>
        <w:rPr>
          <w:rFonts w:eastAsia="Adobe Gothic Std B"/>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8138CD" w:rsidRPr="008E121F" w:rsidTr="00155FAA">
        <w:trPr>
          <w:trHeight w:val="271"/>
        </w:trPr>
        <w:tc>
          <w:tcPr>
            <w:tcW w:w="2866" w:type="dxa"/>
            <w:tcBorders>
              <w:top w:val="thinThickSmallGap" w:sz="24" w:space="0" w:color="auto"/>
              <w:left w:val="thinThickSmallGap" w:sz="24" w:space="0" w:color="auto"/>
              <w:bottom w:val="single" w:sz="4" w:space="0" w:color="auto"/>
              <w:right w:val="single" w:sz="4" w:space="0" w:color="auto"/>
            </w:tcBorders>
          </w:tcPr>
          <w:p w:rsidR="00695E4B" w:rsidRPr="008E121F" w:rsidRDefault="00695E4B" w:rsidP="008138CD">
            <w:pPr>
              <w:spacing w:line="360" w:lineRule="auto"/>
              <w:ind w:right="51"/>
              <w:jc w:val="both"/>
              <w:rPr>
                <w:sz w:val="24"/>
                <w:szCs w:val="24"/>
              </w:rPr>
            </w:pPr>
            <w:r w:rsidRPr="008E121F">
              <w:rPr>
                <w:sz w:val="24"/>
                <w:szCs w:val="24"/>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95E4B" w:rsidRPr="008E121F" w:rsidRDefault="000220AE" w:rsidP="008138CD">
            <w:pPr>
              <w:spacing w:line="360" w:lineRule="auto"/>
              <w:ind w:right="51"/>
              <w:jc w:val="both"/>
              <w:rPr>
                <w:sz w:val="24"/>
                <w:szCs w:val="24"/>
              </w:rPr>
            </w:pPr>
            <w:r w:rsidRPr="008E121F">
              <w:rPr>
                <w:sz w:val="24"/>
                <w:szCs w:val="24"/>
                <w:lang w:val="es-SV"/>
              </w:rPr>
              <w:t>660012204000201800067</w:t>
            </w:r>
          </w:p>
        </w:tc>
      </w:tr>
      <w:tr w:rsidR="008138CD" w:rsidRPr="008E121F" w:rsidTr="00155FAA">
        <w:trPr>
          <w:trHeight w:val="417"/>
        </w:trPr>
        <w:tc>
          <w:tcPr>
            <w:tcW w:w="2866" w:type="dxa"/>
            <w:tcBorders>
              <w:top w:val="single" w:sz="4" w:space="0" w:color="auto"/>
              <w:left w:val="thinThickSmallGap" w:sz="24" w:space="0" w:color="auto"/>
              <w:bottom w:val="single" w:sz="4" w:space="0" w:color="auto"/>
              <w:right w:val="single" w:sz="4" w:space="0" w:color="auto"/>
            </w:tcBorders>
          </w:tcPr>
          <w:p w:rsidR="00695E4B" w:rsidRPr="008E121F" w:rsidRDefault="00695E4B" w:rsidP="008138CD">
            <w:pPr>
              <w:spacing w:line="360" w:lineRule="auto"/>
              <w:ind w:right="51"/>
              <w:jc w:val="both"/>
              <w:rPr>
                <w:sz w:val="24"/>
                <w:szCs w:val="24"/>
              </w:rPr>
            </w:pPr>
            <w:r w:rsidRPr="008E121F">
              <w:rPr>
                <w:sz w:val="24"/>
                <w:szCs w:val="24"/>
              </w:rPr>
              <w:t xml:space="preserve">Accionante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8E121F" w:rsidRDefault="000220AE" w:rsidP="008138CD">
            <w:pPr>
              <w:spacing w:line="360" w:lineRule="auto"/>
              <w:ind w:right="51"/>
              <w:jc w:val="both"/>
              <w:rPr>
                <w:sz w:val="24"/>
                <w:szCs w:val="24"/>
              </w:rPr>
            </w:pPr>
            <w:r w:rsidRPr="008E121F">
              <w:rPr>
                <w:sz w:val="24"/>
                <w:szCs w:val="24"/>
              </w:rPr>
              <w:t>Richard Hernando Hincapié Giraldo</w:t>
            </w:r>
          </w:p>
        </w:tc>
      </w:tr>
      <w:tr w:rsidR="008138CD" w:rsidRPr="008E121F" w:rsidTr="00155FAA">
        <w:trPr>
          <w:trHeight w:val="366"/>
        </w:trPr>
        <w:tc>
          <w:tcPr>
            <w:tcW w:w="2866" w:type="dxa"/>
            <w:tcBorders>
              <w:top w:val="single" w:sz="4" w:space="0" w:color="auto"/>
              <w:left w:val="thinThickSmallGap" w:sz="24" w:space="0" w:color="auto"/>
              <w:bottom w:val="single" w:sz="4" w:space="0" w:color="auto"/>
              <w:right w:val="single" w:sz="4" w:space="0" w:color="auto"/>
            </w:tcBorders>
          </w:tcPr>
          <w:p w:rsidR="00695E4B" w:rsidRPr="008E121F" w:rsidRDefault="00695E4B" w:rsidP="008138CD">
            <w:pPr>
              <w:spacing w:line="360" w:lineRule="auto"/>
              <w:ind w:right="51"/>
              <w:jc w:val="both"/>
              <w:rPr>
                <w:sz w:val="24"/>
                <w:szCs w:val="24"/>
              </w:rPr>
            </w:pPr>
            <w:r w:rsidRPr="008E121F">
              <w:rPr>
                <w:sz w:val="24"/>
                <w:szCs w:val="24"/>
              </w:rPr>
              <w:t>Delito</w:t>
            </w:r>
          </w:p>
        </w:tc>
        <w:tc>
          <w:tcPr>
            <w:tcW w:w="5954" w:type="dxa"/>
            <w:tcBorders>
              <w:top w:val="single" w:sz="4" w:space="0" w:color="auto"/>
              <w:left w:val="single" w:sz="4" w:space="0" w:color="auto"/>
              <w:bottom w:val="single" w:sz="4" w:space="0" w:color="auto"/>
              <w:right w:val="thickThinSmallGap" w:sz="24" w:space="0" w:color="auto"/>
            </w:tcBorders>
          </w:tcPr>
          <w:p w:rsidR="00695E4B" w:rsidRPr="008E121F" w:rsidRDefault="00542F4B" w:rsidP="008138CD">
            <w:pPr>
              <w:spacing w:line="360" w:lineRule="auto"/>
              <w:ind w:right="51"/>
              <w:jc w:val="both"/>
              <w:rPr>
                <w:sz w:val="24"/>
                <w:szCs w:val="24"/>
              </w:rPr>
            </w:pPr>
            <w:r w:rsidRPr="008E121F">
              <w:rPr>
                <w:sz w:val="24"/>
                <w:szCs w:val="24"/>
              </w:rPr>
              <w:t>Homicidio agravado y otros</w:t>
            </w:r>
          </w:p>
        </w:tc>
      </w:tr>
      <w:tr w:rsidR="008138CD" w:rsidRPr="008E121F" w:rsidTr="00155FAA">
        <w:trPr>
          <w:trHeight w:val="311"/>
        </w:trPr>
        <w:tc>
          <w:tcPr>
            <w:tcW w:w="2866" w:type="dxa"/>
            <w:tcBorders>
              <w:top w:val="single" w:sz="4" w:space="0" w:color="auto"/>
              <w:left w:val="thinThickSmallGap" w:sz="24" w:space="0" w:color="auto"/>
              <w:bottom w:val="single" w:sz="4" w:space="0" w:color="auto"/>
              <w:right w:val="single" w:sz="4" w:space="0" w:color="auto"/>
            </w:tcBorders>
          </w:tcPr>
          <w:p w:rsidR="00695E4B" w:rsidRPr="008E121F" w:rsidRDefault="00695E4B" w:rsidP="008138CD">
            <w:pPr>
              <w:spacing w:line="360" w:lineRule="auto"/>
              <w:ind w:right="51"/>
              <w:jc w:val="both"/>
              <w:rPr>
                <w:sz w:val="24"/>
                <w:szCs w:val="24"/>
              </w:rPr>
            </w:pPr>
            <w:r w:rsidRPr="008E121F">
              <w:rPr>
                <w:sz w:val="24"/>
                <w:szCs w:val="24"/>
              </w:rPr>
              <w:t xml:space="preserve">Juzgado </w:t>
            </w:r>
            <w:r w:rsidR="00211704" w:rsidRPr="008E121F">
              <w:rPr>
                <w:sz w:val="24"/>
                <w:szCs w:val="24"/>
              </w:rPr>
              <w:t xml:space="preserve">Accionado </w:t>
            </w:r>
            <w:r w:rsidRPr="008E121F">
              <w:rPr>
                <w:sz w:val="24"/>
                <w:szCs w:val="24"/>
              </w:rPr>
              <w:t xml:space="preserv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8E121F" w:rsidRDefault="00695E4B" w:rsidP="008138CD">
            <w:pPr>
              <w:spacing w:line="360" w:lineRule="auto"/>
              <w:ind w:right="51"/>
              <w:jc w:val="both"/>
              <w:rPr>
                <w:sz w:val="24"/>
                <w:szCs w:val="24"/>
              </w:rPr>
            </w:pPr>
            <w:r w:rsidRPr="008E121F">
              <w:rPr>
                <w:sz w:val="24"/>
                <w:szCs w:val="24"/>
              </w:rPr>
              <w:t xml:space="preserve">Juzgado </w:t>
            </w:r>
            <w:r w:rsidR="001232B3" w:rsidRPr="008E121F">
              <w:rPr>
                <w:sz w:val="24"/>
                <w:szCs w:val="24"/>
              </w:rPr>
              <w:t>Cuarto</w:t>
            </w:r>
            <w:r w:rsidRPr="008E121F">
              <w:rPr>
                <w:sz w:val="24"/>
                <w:szCs w:val="24"/>
              </w:rPr>
              <w:t xml:space="preserve"> Penal del </w:t>
            </w:r>
            <w:r w:rsidR="001232B3" w:rsidRPr="008E121F">
              <w:rPr>
                <w:sz w:val="24"/>
                <w:szCs w:val="24"/>
              </w:rPr>
              <w:t>Circuito</w:t>
            </w:r>
            <w:r w:rsidR="00211704" w:rsidRPr="008E121F">
              <w:rPr>
                <w:sz w:val="24"/>
                <w:szCs w:val="24"/>
              </w:rPr>
              <w:t xml:space="preserve"> </w:t>
            </w:r>
            <w:r w:rsidR="00542F4B" w:rsidRPr="008E121F">
              <w:rPr>
                <w:sz w:val="24"/>
                <w:szCs w:val="24"/>
              </w:rPr>
              <w:t>de Pereira (Risaralda)</w:t>
            </w:r>
          </w:p>
        </w:tc>
      </w:tr>
      <w:tr w:rsidR="008138CD" w:rsidRPr="008E121F" w:rsidTr="00155FAA">
        <w:trPr>
          <w:trHeight w:val="589"/>
        </w:trPr>
        <w:tc>
          <w:tcPr>
            <w:tcW w:w="2866" w:type="dxa"/>
            <w:tcBorders>
              <w:top w:val="single" w:sz="4" w:space="0" w:color="auto"/>
              <w:left w:val="thinThickSmallGap" w:sz="24" w:space="0" w:color="auto"/>
              <w:bottom w:val="thickThinSmallGap" w:sz="24" w:space="0" w:color="auto"/>
              <w:right w:val="single" w:sz="4" w:space="0" w:color="auto"/>
            </w:tcBorders>
          </w:tcPr>
          <w:p w:rsidR="00695E4B" w:rsidRPr="008E121F" w:rsidRDefault="00695E4B" w:rsidP="008138CD">
            <w:pPr>
              <w:spacing w:line="360" w:lineRule="auto"/>
              <w:ind w:right="51"/>
              <w:jc w:val="both"/>
              <w:rPr>
                <w:sz w:val="24"/>
                <w:szCs w:val="24"/>
              </w:rPr>
            </w:pPr>
            <w:r w:rsidRPr="008E121F">
              <w:rPr>
                <w:sz w:val="24"/>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95E4B" w:rsidRPr="008E121F" w:rsidRDefault="00695E4B" w:rsidP="008138CD">
            <w:pPr>
              <w:spacing w:line="360" w:lineRule="auto"/>
              <w:ind w:right="51"/>
              <w:jc w:val="both"/>
              <w:rPr>
                <w:sz w:val="24"/>
                <w:szCs w:val="24"/>
              </w:rPr>
            </w:pPr>
            <w:r w:rsidRPr="008E121F">
              <w:rPr>
                <w:sz w:val="24"/>
                <w:szCs w:val="24"/>
              </w:rPr>
              <w:t xml:space="preserve">Resolver </w:t>
            </w:r>
            <w:r w:rsidR="00211704" w:rsidRPr="008E121F">
              <w:rPr>
                <w:sz w:val="24"/>
                <w:szCs w:val="24"/>
              </w:rPr>
              <w:t>la</w:t>
            </w:r>
            <w:r w:rsidR="001232B3" w:rsidRPr="008E121F">
              <w:rPr>
                <w:sz w:val="24"/>
                <w:szCs w:val="24"/>
              </w:rPr>
              <w:t xml:space="preserve"> acción de revisión interpuesta contra la sentencia del 14 de julio del 2008</w:t>
            </w:r>
          </w:p>
        </w:tc>
      </w:tr>
    </w:tbl>
    <w:p w:rsidR="00D2247B" w:rsidRPr="008E121F" w:rsidRDefault="00D2247B" w:rsidP="008138CD">
      <w:pPr>
        <w:spacing w:line="360" w:lineRule="auto"/>
        <w:jc w:val="both"/>
        <w:rPr>
          <w:rFonts w:eastAsia="Adobe Gothic Std B"/>
          <w:sz w:val="24"/>
          <w:szCs w:val="24"/>
        </w:rPr>
      </w:pPr>
    </w:p>
    <w:p w:rsidR="00AA0CC2" w:rsidRPr="008E121F" w:rsidRDefault="00056D81" w:rsidP="008138CD">
      <w:pPr>
        <w:pStyle w:val="Prrafodelista"/>
        <w:numPr>
          <w:ilvl w:val="0"/>
          <w:numId w:val="17"/>
        </w:numPr>
        <w:spacing w:line="360" w:lineRule="auto"/>
        <w:jc w:val="center"/>
        <w:rPr>
          <w:rFonts w:eastAsia="Adobe Gothic Std B"/>
          <w:sz w:val="24"/>
          <w:szCs w:val="24"/>
        </w:rPr>
      </w:pPr>
      <w:r w:rsidRPr="008E121F">
        <w:rPr>
          <w:rFonts w:eastAsia="Adobe Gothic Std B"/>
          <w:sz w:val="24"/>
          <w:szCs w:val="24"/>
        </w:rPr>
        <w:t>ASUNTO A DECIDIR</w:t>
      </w:r>
    </w:p>
    <w:p w:rsidR="008138CD" w:rsidRPr="008E121F" w:rsidRDefault="008138CD" w:rsidP="008138CD">
      <w:pPr>
        <w:spacing w:line="360" w:lineRule="auto"/>
        <w:jc w:val="both"/>
        <w:rPr>
          <w:rFonts w:eastAsia="Adobe Gothic Std B"/>
          <w:sz w:val="24"/>
          <w:szCs w:val="24"/>
        </w:rPr>
      </w:pPr>
    </w:p>
    <w:p w:rsidR="00AA0CC2" w:rsidRPr="008E121F" w:rsidRDefault="00AA0CC2" w:rsidP="008138CD">
      <w:pPr>
        <w:spacing w:line="360" w:lineRule="auto"/>
        <w:jc w:val="both"/>
        <w:rPr>
          <w:rFonts w:eastAsia="Adobe Gothic Std B"/>
          <w:sz w:val="24"/>
          <w:szCs w:val="24"/>
        </w:rPr>
      </w:pPr>
      <w:r w:rsidRPr="008E121F">
        <w:rPr>
          <w:rFonts w:eastAsia="Adobe Gothic Std B"/>
          <w:sz w:val="24"/>
          <w:szCs w:val="24"/>
        </w:rPr>
        <w:t xml:space="preserve">Procede la Sala de Decisión </w:t>
      </w:r>
      <w:r w:rsidR="001232B3" w:rsidRPr="008E121F">
        <w:rPr>
          <w:rFonts w:eastAsia="Adobe Gothic Std B"/>
          <w:sz w:val="24"/>
          <w:szCs w:val="24"/>
        </w:rPr>
        <w:t xml:space="preserve">Penal </w:t>
      </w:r>
      <w:r w:rsidRPr="008E121F">
        <w:rPr>
          <w:rFonts w:eastAsia="Adobe Gothic Std B"/>
          <w:sz w:val="24"/>
          <w:szCs w:val="24"/>
        </w:rPr>
        <w:t>del Tribunal Superior de este Distrito Judicial a proferir el correspondie</w:t>
      </w:r>
      <w:r w:rsidR="00172B6C" w:rsidRPr="008E121F">
        <w:rPr>
          <w:rFonts w:eastAsia="Adobe Gothic Std B"/>
          <w:sz w:val="24"/>
          <w:szCs w:val="24"/>
        </w:rPr>
        <w:t>nte fallo en el cual se resuelve</w:t>
      </w:r>
      <w:r w:rsidR="001232B3" w:rsidRPr="008E121F">
        <w:rPr>
          <w:rFonts w:eastAsia="Adobe Gothic Std B"/>
          <w:sz w:val="24"/>
          <w:szCs w:val="24"/>
        </w:rPr>
        <w:t xml:space="preserve"> lo relacionado con la acción de r</w:t>
      </w:r>
      <w:r w:rsidRPr="008E121F">
        <w:rPr>
          <w:rFonts w:eastAsia="Adobe Gothic Std B"/>
          <w:sz w:val="24"/>
          <w:szCs w:val="24"/>
        </w:rPr>
        <w:t xml:space="preserve">evisión impetrada por </w:t>
      </w:r>
      <w:r w:rsidR="00056D81" w:rsidRPr="008E121F">
        <w:rPr>
          <w:rFonts w:eastAsia="Adobe Gothic Std B"/>
          <w:sz w:val="24"/>
          <w:szCs w:val="24"/>
        </w:rPr>
        <w:t xml:space="preserve">la defensora del señor </w:t>
      </w:r>
      <w:r w:rsidR="001232B3" w:rsidRPr="008E121F">
        <w:rPr>
          <w:rFonts w:eastAsia="Adobe Gothic Std B"/>
          <w:sz w:val="24"/>
          <w:szCs w:val="24"/>
        </w:rPr>
        <w:t>Richard Hernando Hincapié Giraldo</w:t>
      </w:r>
      <w:r w:rsidR="00056D81" w:rsidRPr="008E121F">
        <w:rPr>
          <w:rFonts w:eastAsia="Adobe Gothic Std B"/>
          <w:sz w:val="24"/>
          <w:szCs w:val="24"/>
        </w:rPr>
        <w:t xml:space="preserve"> en </w:t>
      </w:r>
      <w:r w:rsidRPr="008E121F">
        <w:rPr>
          <w:rFonts w:eastAsia="Adobe Gothic Std B"/>
          <w:sz w:val="24"/>
          <w:szCs w:val="24"/>
        </w:rPr>
        <w:t xml:space="preserve">contra de la </w:t>
      </w:r>
      <w:r w:rsidR="00056D81" w:rsidRPr="008E121F">
        <w:rPr>
          <w:rFonts w:eastAsia="Adobe Gothic Std B"/>
          <w:sz w:val="24"/>
          <w:szCs w:val="24"/>
        </w:rPr>
        <w:t>s</w:t>
      </w:r>
      <w:r w:rsidR="006B7F55" w:rsidRPr="008E121F">
        <w:rPr>
          <w:rFonts w:eastAsia="Adobe Gothic Std B"/>
          <w:sz w:val="24"/>
          <w:szCs w:val="24"/>
        </w:rPr>
        <w:t>e</w:t>
      </w:r>
      <w:r w:rsidRPr="008E121F">
        <w:rPr>
          <w:rFonts w:eastAsia="Adobe Gothic Std B"/>
          <w:sz w:val="24"/>
          <w:szCs w:val="24"/>
        </w:rPr>
        <w:t>n</w:t>
      </w:r>
      <w:r w:rsidR="001232B3" w:rsidRPr="008E121F">
        <w:rPr>
          <w:rFonts w:eastAsia="Adobe Gothic Std B"/>
          <w:sz w:val="24"/>
          <w:szCs w:val="24"/>
        </w:rPr>
        <w:t>tencia proferida por el Juzgado Cuarto</w:t>
      </w:r>
      <w:r w:rsidR="006B7F55" w:rsidRPr="008E121F">
        <w:rPr>
          <w:rFonts w:eastAsia="Adobe Gothic Std B"/>
          <w:sz w:val="24"/>
          <w:szCs w:val="24"/>
        </w:rPr>
        <w:t xml:space="preserve"> Penal </w:t>
      </w:r>
      <w:r w:rsidR="001232B3" w:rsidRPr="008E121F">
        <w:rPr>
          <w:rFonts w:eastAsia="Adobe Gothic Std B"/>
          <w:sz w:val="24"/>
          <w:szCs w:val="24"/>
        </w:rPr>
        <w:t>del Circuito con funciones de c</w:t>
      </w:r>
      <w:r w:rsidR="006B7F55" w:rsidRPr="008E121F">
        <w:rPr>
          <w:rFonts w:eastAsia="Adobe Gothic Std B"/>
          <w:sz w:val="24"/>
          <w:szCs w:val="24"/>
        </w:rPr>
        <w:t>onocimiento</w:t>
      </w:r>
      <w:r w:rsidR="00BE49C2" w:rsidRPr="008E121F">
        <w:rPr>
          <w:rFonts w:eastAsia="Adobe Gothic Std B"/>
          <w:sz w:val="24"/>
          <w:szCs w:val="24"/>
        </w:rPr>
        <w:t xml:space="preserve"> de Pereira</w:t>
      </w:r>
      <w:r w:rsidR="00542F4B" w:rsidRPr="008E121F">
        <w:rPr>
          <w:rFonts w:eastAsia="Adobe Gothic Std B"/>
          <w:sz w:val="24"/>
          <w:szCs w:val="24"/>
        </w:rPr>
        <w:t xml:space="preserve"> (Risaralda)</w:t>
      </w:r>
      <w:r w:rsidR="008138CD" w:rsidRPr="008E121F">
        <w:rPr>
          <w:rFonts w:eastAsia="Adobe Gothic Std B"/>
          <w:sz w:val="24"/>
          <w:szCs w:val="24"/>
        </w:rPr>
        <w:t xml:space="preserve">; </w:t>
      </w:r>
      <w:r w:rsidR="006B7F55" w:rsidRPr="008E121F">
        <w:rPr>
          <w:rFonts w:eastAsia="Adobe Gothic Std B"/>
          <w:sz w:val="24"/>
          <w:szCs w:val="24"/>
        </w:rPr>
        <w:t xml:space="preserve">en la cual se declaró la responsabilidad del citado ciudadano y del señor </w:t>
      </w:r>
      <w:r w:rsidR="001232B3" w:rsidRPr="008E121F">
        <w:rPr>
          <w:rFonts w:eastAsia="Adobe Gothic Std B"/>
          <w:sz w:val="24"/>
          <w:szCs w:val="24"/>
        </w:rPr>
        <w:t>César Alberto Morales Gómez</w:t>
      </w:r>
      <w:r w:rsidR="006B7F55" w:rsidRPr="008E121F">
        <w:rPr>
          <w:rFonts w:eastAsia="Adobe Gothic Std B"/>
          <w:sz w:val="24"/>
          <w:szCs w:val="24"/>
        </w:rPr>
        <w:t xml:space="preserve"> como co</w:t>
      </w:r>
      <w:r w:rsidR="00172B6C" w:rsidRPr="008E121F">
        <w:rPr>
          <w:rFonts w:eastAsia="Adobe Gothic Std B"/>
          <w:sz w:val="24"/>
          <w:szCs w:val="24"/>
        </w:rPr>
        <w:t>a</w:t>
      </w:r>
      <w:r w:rsidR="001232B3" w:rsidRPr="008E121F">
        <w:rPr>
          <w:rFonts w:eastAsia="Adobe Gothic Std B"/>
          <w:sz w:val="24"/>
          <w:szCs w:val="24"/>
        </w:rPr>
        <w:t xml:space="preserve">utores del </w:t>
      </w:r>
      <w:r w:rsidR="00947D83" w:rsidRPr="008E121F">
        <w:rPr>
          <w:rFonts w:eastAsia="Adobe Gothic Std B"/>
          <w:sz w:val="24"/>
          <w:szCs w:val="24"/>
        </w:rPr>
        <w:t>´</w:t>
      </w:r>
      <w:r w:rsidR="001232B3" w:rsidRPr="008E121F">
        <w:rPr>
          <w:rFonts w:eastAsia="Adobe Gothic Std B"/>
          <w:sz w:val="24"/>
          <w:szCs w:val="24"/>
        </w:rPr>
        <w:t xml:space="preserve">concurso punible de homicidio agravado, homicidio simple, tres tentativas de homicidio simple, tres lesiones personales dolosas y </w:t>
      </w:r>
      <w:r w:rsidR="00947D83" w:rsidRPr="008E121F">
        <w:rPr>
          <w:rFonts w:eastAsia="Adobe Gothic Std B"/>
          <w:sz w:val="24"/>
          <w:szCs w:val="24"/>
          <w:lang w:val="es-ES"/>
        </w:rPr>
        <w:t>fabricación, tráfico y porte de armas de fuego o municiones</w:t>
      </w:r>
      <w:r w:rsidR="00542F4B" w:rsidRPr="008E121F">
        <w:rPr>
          <w:rFonts w:eastAsia="Adobe Gothic Std B"/>
          <w:sz w:val="24"/>
          <w:szCs w:val="24"/>
        </w:rPr>
        <w:t>´</w:t>
      </w:r>
      <w:r w:rsidR="001232B3" w:rsidRPr="008E121F">
        <w:rPr>
          <w:rFonts w:eastAsia="Adobe Gothic Std B"/>
          <w:sz w:val="24"/>
          <w:szCs w:val="24"/>
        </w:rPr>
        <w:t>.</w:t>
      </w:r>
    </w:p>
    <w:p w:rsidR="00EF04A4" w:rsidRPr="008E121F" w:rsidRDefault="00EF04A4" w:rsidP="008138CD">
      <w:pPr>
        <w:spacing w:line="360" w:lineRule="auto"/>
        <w:jc w:val="both"/>
        <w:rPr>
          <w:sz w:val="24"/>
          <w:szCs w:val="24"/>
          <w:u w:val="single"/>
        </w:rPr>
      </w:pPr>
    </w:p>
    <w:p w:rsidR="004B1AE1" w:rsidRPr="008E121F" w:rsidRDefault="004B1AE1" w:rsidP="008138CD">
      <w:pPr>
        <w:pStyle w:val="Sinespaciado"/>
        <w:numPr>
          <w:ilvl w:val="0"/>
          <w:numId w:val="17"/>
        </w:numPr>
        <w:spacing w:line="360" w:lineRule="auto"/>
        <w:jc w:val="center"/>
        <w:rPr>
          <w:rFonts w:ascii="Arial" w:hAnsi="Arial" w:cs="Arial"/>
          <w:sz w:val="24"/>
          <w:szCs w:val="24"/>
        </w:rPr>
      </w:pPr>
      <w:r w:rsidRPr="008E121F">
        <w:rPr>
          <w:rFonts w:ascii="Arial" w:hAnsi="Arial" w:cs="Arial"/>
          <w:sz w:val="24"/>
          <w:szCs w:val="24"/>
        </w:rPr>
        <w:t xml:space="preserve">SOBRE </w:t>
      </w:r>
      <w:r w:rsidR="00724277" w:rsidRPr="008E121F">
        <w:rPr>
          <w:rFonts w:ascii="Arial" w:hAnsi="Arial" w:cs="Arial"/>
          <w:sz w:val="24"/>
          <w:szCs w:val="24"/>
        </w:rPr>
        <w:t>LA SUSTENTACIÓN DE LA ACCIÓ</w:t>
      </w:r>
      <w:r w:rsidR="00FB3F81" w:rsidRPr="008E121F">
        <w:rPr>
          <w:rFonts w:ascii="Arial" w:hAnsi="Arial" w:cs="Arial"/>
          <w:sz w:val="24"/>
          <w:szCs w:val="24"/>
        </w:rPr>
        <w:t>N DE REVI</w:t>
      </w:r>
      <w:r w:rsidR="00724277" w:rsidRPr="008E121F">
        <w:rPr>
          <w:rFonts w:ascii="Arial" w:hAnsi="Arial" w:cs="Arial"/>
          <w:sz w:val="24"/>
          <w:szCs w:val="24"/>
        </w:rPr>
        <w:t>SIÓ</w:t>
      </w:r>
      <w:r w:rsidR="00EF04A4" w:rsidRPr="008E121F">
        <w:rPr>
          <w:rFonts w:ascii="Arial" w:hAnsi="Arial" w:cs="Arial"/>
          <w:sz w:val="24"/>
          <w:szCs w:val="24"/>
        </w:rPr>
        <w:t>N</w:t>
      </w:r>
      <w:r w:rsidR="009A560E" w:rsidRPr="008E121F">
        <w:rPr>
          <w:rFonts w:ascii="Arial" w:hAnsi="Arial" w:cs="Arial"/>
          <w:sz w:val="24"/>
          <w:szCs w:val="24"/>
        </w:rPr>
        <w:t xml:space="preserve"> PROPUESTA</w:t>
      </w:r>
    </w:p>
    <w:p w:rsidR="00FB3F81" w:rsidRPr="008E121F" w:rsidRDefault="00FB3F81" w:rsidP="008138CD">
      <w:pPr>
        <w:pStyle w:val="Sinespaciado"/>
        <w:spacing w:line="360" w:lineRule="auto"/>
        <w:jc w:val="both"/>
        <w:rPr>
          <w:rFonts w:ascii="Arial" w:hAnsi="Arial" w:cs="Arial"/>
          <w:sz w:val="24"/>
          <w:szCs w:val="24"/>
        </w:rPr>
      </w:pPr>
    </w:p>
    <w:p w:rsidR="00FB3F81" w:rsidRPr="008E121F" w:rsidRDefault="001232B3" w:rsidP="008138CD">
      <w:pPr>
        <w:pStyle w:val="Sinespaciado"/>
        <w:spacing w:line="360" w:lineRule="auto"/>
        <w:jc w:val="both"/>
        <w:rPr>
          <w:rFonts w:ascii="Arial" w:hAnsi="Arial" w:cs="Arial"/>
          <w:sz w:val="24"/>
          <w:szCs w:val="24"/>
        </w:rPr>
      </w:pPr>
      <w:r w:rsidRPr="008E121F">
        <w:rPr>
          <w:rFonts w:ascii="Arial" w:hAnsi="Arial" w:cs="Arial"/>
          <w:sz w:val="24"/>
          <w:szCs w:val="24"/>
        </w:rPr>
        <w:t>En la audiencia adelantada el 30</w:t>
      </w:r>
      <w:r w:rsidR="00FB3F81" w:rsidRPr="008E121F">
        <w:rPr>
          <w:rFonts w:ascii="Arial" w:hAnsi="Arial" w:cs="Arial"/>
          <w:sz w:val="24"/>
          <w:szCs w:val="24"/>
        </w:rPr>
        <w:t xml:space="preserve"> de </w:t>
      </w:r>
      <w:r w:rsidRPr="008E121F">
        <w:rPr>
          <w:rFonts w:ascii="Arial" w:hAnsi="Arial" w:cs="Arial"/>
          <w:sz w:val="24"/>
          <w:szCs w:val="24"/>
        </w:rPr>
        <w:t>julio de 2018</w:t>
      </w:r>
      <w:r w:rsidR="00FB3F81" w:rsidRPr="008E121F">
        <w:rPr>
          <w:rFonts w:ascii="Arial" w:hAnsi="Arial" w:cs="Arial"/>
          <w:sz w:val="24"/>
          <w:szCs w:val="24"/>
        </w:rPr>
        <w:t>, se presentaron</w:t>
      </w:r>
      <w:r w:rsidR="00172B6C" w:rsidRPr="008E121F">
        <w:rPr>
          <w:rFonts w:ascii="Arial" w:hAnsi="Arial" w:cs="Arial"/>
          <w:sz w:val="24"/>
          <w:szCs w:val="24"/>
        </w:rPr>
        <w:t xml:space="preserve"> las </w:t>
      </w:r>
      <w:r w:rsidR="00724277" w:rsidRPr="008E121F">
        <w:rPr>
          <w:rFonts w:ascii="Arial" w:hAnsi="Arial" w:cs="Arial"/>
          <w:sz w:val="24"/>
          <w:szCs w:val="24"/>
        </w:rPr>
        <w:t>siguientes intervenciones:</w:t>
      </w:r>
    </w:p>
    <w:p w:rsidR="009A560E" w:rsidRPr="008E121F" w:rsidRDefault="009A560E" w:rsidP="008138CD">
      <w:pPr>
        <w:pStyle w:val="Sinespaciado"/>
        <w:spacing w:line="360" w:lineRule="auto"/>
        <w:jc w:val="both"/>
        <w:rPr>
          <w:rFonts w:ascii="Arial" w:hAnsi="Arial" w:cs="Arial"/>
          <w:sz w:val="24"/>
          <w:szCs w:val="24"/>
        </w:rPr>
      </w:pPr>
    </w:p>
    <w:p w:rsidR="000D5EA1" w:rsidRPr="008E121F" w:rsidRDefault="000D5EA1" w:rsidP="008138CD">
      <w:pPr>
        <w:pStyle w:val="Sinespaciado"/>
        <w:spacing w:line="360" w:lineRule="auto"/>
        <w:jc w:val="both"/>
        <w:rPr>
          <w:rFonts w:ascii="Arial" w:hAnsi="Arial" w:cs="Arial"/>
          <w:sz w:val="24"/>
          <w:szCs w:val="24"/>
        </w:rPr>
      </w:pPr>
    </w:p>
    <w:p w:rsidR="00B82C61" w:rsidRPr="008E121F" w:rsidRDefault="004B1AE1" w:rsidP="00713A18">
      <w:pPr>
        <w:pStyle w:val="Sinespaciado"/>
        <w:numPr>
          <w:ilvl w:val="1"/>
          <w:numId w:val="17"/>
        </w:numPr>
        <w:spacing w:line="360" w:lineRule="auto"/>
        <w:ind w:left="720" w:hanging="709"/>
        <w:rPr>
          <w:rFonts w:ascii="Arial" w:hAnsi="Arial" w:cs="Arial"/>
          <w:sz w:val="24"/>
          <w:szCs w:val="24"/>
        </w:rPr>
      </w:pPr>
      <w:r w:rsidRPr="008E121F">
        <w:rPr>
          <w:rFonts w:ascii="Arial" w:hAnsi="Arial" w:cs="Arial"/>
          <w:sz w:val="24"/>
          <w:szCs w:val="24"/>
        </w:rPr>
        <w:lastRenderedPageBreak/>
        <w:t xml:space="preserve">APODERADA DEL </w:t>
      </w:r>
      <w:r w:rsidR="008138CD" w:rsidRPr="008E121F">
        <w:rPr>
          <w:rFonts w:ascii="Arial" w:hAnsi="Arial" w:cs="Arial"/>
          <w:sz w:val="24"/>
          <w:szCs w:val="24"/>
        </w:rPr>
        <w:t>PROCESADO (</w:t>
      </w:r>
      <w:r w:rsidR="00B82C61" w:rsidRPr="008E121F">
        <w:rPr>
          <w:rFonts w:ascii="Arial" w:hAnsi="Arial" w:cs="Arial"/>
          <w:sz w:val="24"/>
          <w:szCs w:val="24"/>
        </w:rPr>
        <w:t>Sinopsis)</w:t>
      </w:r>
    </w:p>
    <w:p w:rsidR="000D5EA1" w:rsidRPr="008E121F" w:rsidRDefault="000D5EA1" w:rsidP="000D5EA1">
      <w:pPr>
        <w:pStyle w:val="Sinespaciado"/>
        <w:spacing w:line="360" w:lineRule="auto"/>
        <w:ind w:left="11"/>
        <w:rPr>
          <w:rFonts w:ascii="Arial" w:hAnsi="Arial" w:cs="Arial"/>
          <w:sz w:val="24"/>
          <w:szCs w:val="24"/>
        </w:rPr>
      </w:pPr>
    </w:p>
    <w:p w:rsidR="009D7F0A" w:rsidRPr="008E121F" w:rsidRDefault="00B82C61" w:rsidP="008138CD">
      <w:pPr>
        <w:numPr>
          <w:ilvl w:val="0"/>
          <w:numId w:val="15"/>
        </w:numPr>
        <w:spacing w:line="360" w:lineRule="auto"/>
        <w:jc w:val="both"/>
        <w:rPr>
          <w:sz w:val="24"/>
          <w:szCs w:val="24"/>
        </w:rPr>
      </w:pPr>
      <w:r w:rsidRPr="008E121F">
        <w:rPr>
          <w:sz w:val="24"/>
          <w:szCs w:val="24"/>
        </w:rPr>
        <w:t xml:space="preserve">El </w:t>
      </w:r>
      <w:r w:rsidR="009D7F0A" w:rsidRPr="008E121F">
        <w:rPr>
          <w:sz w:val="24"/>
          <w:szCs w:val="24"/>
        </w:rPr>
        <w:t xml:space="preserve"> 15 de febrero de 2008 a las 12:15 horas en la carrera 28 entre calles 67 y 68 del barrio San Fernando de Cuba se presentó una balacera en donde perdieron la vida Juan Carlos Henao González y el menor de edad Rubén Sebastián Herrera Vélez, ade</w:t>
      </w:r>
      <w:r w:rsidR="00542F4B" w:rsidRPr="008E121F">
        <w:rPr>
          <w:sz w:val="24"/>
          <w:szCs w:val="24"/>
        </w:rPr>
        <w:t>más resultaron lesi</w:t>
      </w:r>
      <w:r w:rsidR="009D7F0A" w:rsidRPr="008E121F">
        <w:rPr>
          <w:sz w:val="24"/>
          <w:szCs w:val="24"/>
        </w:rPr>
        <w:t xml:space="preserve">onados </w:t>
      </w:r>
      <w:proofErr w:type="spellStart"/>
      <w:r w:rsidR="009D7F0A" w:rsidRPr="008E121F">
        <w:rPr>
          <w:sz w:val="24"/>
          <w:szCs w:val="24"/>
        </w:rPr>
        <w:t>Jorley</w:t>
      </w:r>
      <w:proofErr w:type="spellEnd"/>
      <w:r w:rsidR="009D7F0A" w:rsidRPr="008E121F">
        <w:rPr>
          <w:sz w:val="24"/>
          <w:szCs w:val="24"/>
        </w:rPr>
        <w:t xml:space="preserve"> Alejandro Guzmán Lazo, Giovanni Rincón Murillo, Elkin Andrés Gutiérrez Trejos, Yolanda Zuluaga Uribe y Cristian Humberto </w:t>
      </w:r>
      <w:proofErr w:type="spellStart"/>
      <w:r w:rsidR="009D7F0A" w:rsidRPr="008E121F">
        <w:rPr>
          <w:sz w:val="24"/>
          <w:szCs w:val="24"/>
        </w:rPr>
        <w:t>Jaraba</w:t>
      </w:r>
      <w:proofErr w:type="spellEnd"/>
      <w:r w:rsidR="009D7F0A" w:rsidRPr="008E121F">
        <w:rPr>
          <w:sz w:val="24"/>
          <w:szCs w:val="24"/>
        </w:rPr>
        <w:t xml:space="preserve"> Morales.</w:t>
      </w:r>
    </w:p>
    <w:p w:rsidR="009D7F0A" w:rsidRPr="008E121F" w:rsidRDefault="009D7F0A" w:rsidP="008138CD">
      <w:pPr>
        <w:spacing w:line="360" w:lineRule="auto"/>
        <w:ind w:left="720"/>
        <w:jc w:val="both"/>
        <w:rPr>
          <w:sz w:val="24"/>
          <w:szCs w:val="24"/>
        </w:rPr>
      </w:pPr>
    </w:p>
    <w:p w:rsidR="009D7F0A" w:rsidRPr="008E121F" w:rsidRDefault="00B82C61" w:rsidP="008138CD">
      <w:pPr>
        <w:numPr>
          <w:ilvl w:val="0"/>
          <w:numId w:val="15"/>
        </w:numPr>
        <w:spacing w:line="360" w:lineRule="auto"/>
        <w:jc w:val="both"/>
        <w:rPr>
          <w:sz w:val="24"/>
          <w:szCs w:val="24"/>
        </w:rPr>
      </w:pPr>
      <w:r w:rsidRPr="008E121F">
        <w:rPr>
          <w:sz w:val="24"/>
          <w:szCs w:val="24"/>
        </w:rPr>
        <w:t xml:space="preserve">El </w:t>
      </w:r>
      <w:r w:rsidR="009D7F0A" w:rsidRPr="008E121F">
        <w:rPr>
          <w:sz w:val="24"/>
          <w:szCs w:val="24"/>
        </w:rPr>
        <w:t xml:space="preserve">señor Hincapié Giraldo como los demás capturados, fueron presentados ante un juez penal municipal con </w:t>
      </w:r>
      <w:r w:rsidR="00542F4B" w:rsidRPr="008E121F">
        <w:rPr>
          <w:sz w:val="24"/>
          <w:szCs w:val="24"/>
        </w:rPr>
        <w:t>función de control de garantías</w:t>
      </w:r>
      <w:r w:rsidRPr="008E121F">
        <w:rPr>
          <w:sz w:val="24"/>
          <w:szCs w:val="24"/>
        </w:rPr>
        <w:t>. Se les formuló i</w:t>
      </w:r>
      <w:r w:rsidR="009D7F0A" w:rsidRPr="008E121F">
        <w:rPr>
          <w:sz w:val="24"/>
          <w:szCs w:val="24"/>
        </w:rPr>
        <w:t>mputación y los procesados no aceptaron los cargos.</w:t>
      </w:r>
    </w:p>
    <w:p w:rsidR="009D7F0A" w:rsidRPr="008E121F" w:rsidRDefault="009D7F0A" w:rsidP="008138CD">
      <w:pPr>
        <w:spacing w:line="360" w:lineRule="auto"/>
        <w:jc w:val="both"/>
        <w:rPr>
          <w:sz w:val="24"/>
          <w:szCs w:val="24"/>
        </w:rPr>
      </w:pPr>
    </w:p>
    <w:p w:rsidR="009D7F0A" w:rsidRPr="008E121F" w:rsidRDefault="00B82C61" w:rsidP="008138CD">
      <w:pPr>
        <w:numPr>
          <w:ilvl w:val="0"/>
          <w:numId w:val="15"/>
        </w:numPr>
        <w:spacing w:line="360" w:lineRule="auto"/>
        <w:jc w:val="both"/>
        <w:rPr>
          <w:sz w:val="24"/>
          <w:szCs w:val="24"/>
        </w:rPr>
      </w:pPr>
      <w:r w:rsidRPr="008E121F">
        <w:rPr>
          <w:sz w:val="24"/>
          <w:szCs w:val="24"/>
        </w:rPr>
        <w:t xml:space="preserve">Antes de la </w:t>
      </w:r>
      <w:r w:rsidR="009D7F0A" w:rsidRPr="008E121F">
        <w:rPr>
          <w:sz w:val="24"/>
          <w:szCs w:val="24"/>
        </w:rPr>
        <w:t xml:space="preserve"> audiencia preparatoria el señor Hincapié Giraldo </w:t>
      </w:r>
      <w:proofErr w:type="spellStart"/>
      <w:r w:rsidR="009D7F0A" w:rsidRPr="008E121F">
        <w:rPr>
          <w:sz w:val="24"/>
          <w:szCs w:val="24"/>
        </w:rPr>
        <w:t>preacordó</w:t>
      </w:r>
      <w:proofErr w:type="spellEnd"/>
      <w:r w:rsidR="009D7F0A" w:rsidRPr="008E121F">
        <w:rPr>
          <w:sz w:val="24"/>
          <w:szCs w:val="24"/>
        </w:rPr>
        <w:t xml:space="preserve"> con la</w:t>
      </w:r>
      <w:r w:rsidR="00B84374" w:rsidRPr="008E121F">
        <w:rPr>
          <w:sz w:val="24"/>
          <w:szCs w:val="24"/>
        </w:rPr>
        <w:t xml:space="preserve"> FGN</w:t>
      </w:r>
      <w:r w:rsidR="009D7F0A" w:rsidRPr="008E121F">
        <w:rPr>
          <w:sz w:val="24"/>
          <w:szCs w:val="24"/>
        </w:rPr>
        <w:t xml:space="preserve">, por lo cual aceptó los cargos y en consecuencia el día 14 de julio de 2008 el Juzgado Cuarto Penal del Circuito con función de conocimiento de Pereira (Risaralda) dictó sentencia condenándolo como autor responsable de los delitos de homicidio agravado (arts. 103 y 104 </w:t>
      </w:r>
      <w:proofErr w:type="spellStart"/>
      <w:r w:rsidR="009D7F0A" w:rsidRPr="008E121F">
        <w:rPr>
          <w:sz w:val="24"/>
          <w:szCs w:val="24"/>
        </w:rPr>
        <w:t>num</w:t>
      </w:r>
      <w:proofErr w:type="spellEnd"/>
      <w:r w:rsidR="009D7F0A" w:rsidRPr="008E121F">
        <w:rPr>
          <w:sz w:val="24"/>
          <w:szCs w:val="24"/>
        </w:rPr>
        <w:t xml:space="preserve">. 5 del C.P. en concordancia con el aumento del art. 14 de la Ley 890 de 2004), homicidio simple (art. 103 del C.P. con el aumento del art. 14 de la Ley 890 de 2004), tres tentativas de homicidio, tres lesiones personales dolosas (arts. 111 y 113 del C.P. con el aumento del art. 14 de la Ley 890 de 2004) y </w:t>
      </w:r>
      <w:r w:rsidR="00947D83" w:rsidRPr="008E121F">
        <w:rPr>
          <w:rFonts w:eastAsia="Adobe Gothic Std B"/>
          <w:sz w:val="24"/>
          <w:szCs w:val="24"/>
          <w:lang w:val="es-ES"/>
        </w:rPr>
        <w:t>fabricación, tráfico y porte de armas de fuego o municiones</w:t>
      </w:r>
      <w:r w:rsidR="00947D83" w:rsidRPr="008E121F">
        <w:rPr>
          <w:rFonts w:eastAsia="Adobe Gothic Std B"/>
          <w:sz w:val="24"/>
          <w:szCs w:val="24"/>
        </w:rPr>
        <w:t xml:space="preserve"> </w:t>
      </w:r>
      <w:r w:rsidR="009D7F0A" w:rsidRPr="008E121F">
        <w:rPr>
          <w:sz w:val="24"/>
          <w:szCs w:val="24"/>
        </w:rPr>
        <w:t>(art. 365 del C.P.).</w:t>
      </w:r>
      <w:r w:rsidR="00947D83" w:rsidRPr="008E121F">
        <w:rPr>
          <w:sz w:val="24"/>
          <w:szCs w:val="24"/>
        </w:rPr>
        <w:t xml:space="preserve"> </w:t>
      </w:r>
    </w:p>
    <w:p w:rsidR="009236EB" w:rsidRPr="008E121F" w:rsidRDefault="009236EB" w:rsidP="008138CD">
      <w:pPr>
        <w:pStyle w:val="Prrafodelista"/>
        <w:spacing w:line="360" w:lineRule="auto"/>
        <w:jc w:val="both"/>
        <w:rPr>
          <w:sz w:val="24"/>
          <w:szCs w:val="24"/>
        </w:rPr>
      </w:pPr>
    </w:p>
    <w:p w:rsidR="009D7F0A" w:rsidRPr="008E121F" w:rsidRDefault="00B82C61" w:rsidP="008138CD">
      <w:pPr>
        <w:numPr>
          <w:ilvl w:val="0"/>
          <w:numId w:val="15"/>
        </w:numPr>
        <w:spacing w:line="360" w:lineRule="auto"/>
        <w:jc w:val="both"/>
        <w:rPr>
          <w:sz w:val="24"/>
          <w:szCs w:val="24"/>
        </w:rPr>
      </w:pPr>
      <w:r w:rsidRPr="008E121F">
        <w:rPr>
          <w:sz w:val="24"/>
          <w:szCs w:val="24"/>
        </w:rPr>
        <w:t xml:space="preserve">El </w:t>
      </w:r>
      <w:r w:rsidR="009D7F0A" w:rsidRPr="008E121F">
        <w:rPr>
          <w:sz w:val="24"/>
          <w:szCs w:val="24"/>
        </w:rPr>
        <w:t>juez de primera instancia al aplicar las reglas de</w:t>
      </w:r>
      <w:r w:rsidRPr="008E121F">
        <w:rPr>
          <w:sz w:val="24"/>
          <w:szCs w:val="24"/>
        </w:rPr>
        <w:t xml:space="preserve"> fijación de pena en los casos de </w:t>
      </w:r>
      <w:r w:rsidR="009D7F0A" w:rsidRPr="008E121F">
        <w:rPr>
          <w:sz w:val="24"/>
          <w:szCs w:val="24"/>
        </w:rPr>
        <w:t xml:space="preserve"> concurso</w:t>
      </w:r>
      <w:r w:rsidR="002C5844" w:rsidRPr="008E121F">
        <w:rPr>
          <w:sz w:val="24"/>
          <w:szCs w:val="24"/>
        </w:rPr>
        <w:t xml:space="preserve"> de conductas punibles, </w:t>
      </w:r>
      <w:r w:rsidR="009D7F0A" w:rsidRPr="008E121F">
        <w:rPr>
          <w:sz w:val="24"/>
          <w:szCs w:val="24"/>
        </w:rPr>
        <w:t>estableció como delito base el</w:t>
      </w:r>
      <w:r w:rsidR="002C5844" w:rsidRPr="008E121F">
        <w:rPr>
          <w:sz w:val="24"/>
          <w:szCs w:val="24"/>
        </w:rPr>
        <w:t xml:space="preserve"> de </w:t>
      </w:r>
      <w:r w:rsidR="009D7F0A" w:rsidRPr="008E121F">
        <w:rPr>
          <w:sz w:val="24"/>
          <w:szCs w:val="24"/>
        </w:rPr>
        <w:t xml:space="preserve"> homicidio agravado</w:t>
      </w:r>
      <w:r w:rsidR="00C0062A" w:rsidRPr="008E121F">
        <w:rPr>
          <w:sz w:val="24"/>
          <w:szCs w:val="24"/>
        </w:rPr>
        <w:t xml:space="preserve"> </w:t>
      </w:r>
      <w:r w:rsidR="00C8595E" w:rsidRPr="008E121F">
        <w:rPr>
          <w:sz w:val="24"/>
          <w:szCs w:val="24"/>
        </w:rPr>
        <w:t>con el aumento de la</w:t>
      </w:r>
      <w:r w:rsidR="00C0062A" w:rsidRPr="008E121F">
        <w:rPr>
          <w:sz w:val="24"/>
          <w:szCs w:val="24"/>
        </w:rPr>
        <w:t xml:space="preserve"> Ley 890</w:t>
      </w:r>
      <w:r w:rsidR="00C8595E" w:rsidRPr="008E121F">
        <w:rPr>
          <w:sz w:val="24"/>
          <w:szCs w:val="24"/>
        </w:rPr>
        <w:t xml:space="preserve"> de</w:t>
      </w:r>
      <w:r w:rsidR="00BD0BE7" w:rsidRPr="008E121F">
        <w:rPr>
          <w:sz w:val="24"/>
          <w:szCs w:val="24"/>
        </w:rPr>
        <w:t xml:space="preserve"> 2004</w:t>
      </w:r>
      <w:r w:rsidR="008217FA" w:rsidRPr="008E121F">
        <w:rPr>
          <w:sz w:val="24"/>
          <w:szCs w:val="24"/>
        </w:rPr>
        <w:t xml:space="preserve"> y</w:t>
      </w:r>
      <w:r w:rsidR="002C5844" w:rsidRPr="008E121F">
        <w:rPr>
          <w:sz w:val="24"/>
          <w:szCs w:val="24"/>
        </w:rPr>
        <w:t xml:space="preserve"> partió de la pena de  </w:t>
      </w:r>
      <w:r w:rsidR="009D7F0A" w:rsidRPr="008E121F">
        <w:rPr>
          <w:sz w:val="24"/>
          <w:szCs w:val="24"/>
        </w:rPr>
        <w:t>33 años</w:t>
      </w:r>
      <w:r w:rsidR="00947D83" w:rsidRPr="008E121F">
        <w:rPr>
          <w:sz w:val="24"/>
          <w:szCs w:val="24"/>
        </w:rPr>
        <w:t xml:space="preserve"> y </w:t>
      </w:r>
      <w:r w:rsidR="00292E44" w:rsidRPr="008E121F">
        <w:rPr>
          <w:sz w:val="24"/>
          <w:szCs w:val="24"/>
        </w:rPr>
        <w:t>6</w:t>
      </w:r>
      <w:r w:rsidR="009D7F0A" w:rsidRPr="008E121F">
        <w:rPr>
          <w:sz w:val="24"/>
          <w:szCs w:val="24"/>
        </w:rPr>
        <w:t xml:space="preserve"> meses de prisión, a lo cual le incrementó 12 años por los demás delitos </w:t>
      </w:r>
      <w:r w:rsidR="002C5844" w:rsidRPr="008E121F">
        <w:rPr>
          <w:sz w:val="24"/>
          <w:szCs w:val="24"/>
        </w:rPr>
        <w:t xml:space="preserve">concurrentes, aduciendo que </w:t>
      </w:r>
      <w:r w:rsidR="009D7F0A" w:rsidRPr="008E121F">
        <w:rPr>
          <w:sz w:val="24"/>
          <w:szCs w:val="24"/>
        </w:rPr>
        <w:t>según el artículo 199 de la Ley</w:t>
      </w:r>
      <w:r w:rsidR="00AA1945" w:rsidRPr="008E121F">
        <w:rPr>
          <w:sz w:val="24"/>
          <w:szCs w:val="24"/>
        </w:rPr>
        <w:t xml:space="preserve"> 1098 de 2006</w:t>
      </w:r>
      <w:r w:rsidR="009D7F0A" w:rsidRPr="008E121F">
        <w:rPr>
          <w:sz w:val="24"/>
          <w:szCs w:val="24"/>
        </w:rPr>
        <w:t xml:space="preserve"> no procedían las rebajas de pena cuando se tratase </w:t>
      </w:r>
      <w:r w:rsidR="00292E44" w:rsidRPr="008E121F">
        <w:rPr>
          <w:sz w:val="24"/>
          <w:szCs w:val="24"/>
        </w:rPr>
        <w:t>entre otros de delitos de homicidio o lesiones bajo modalidad dolosa,</w:t>
      </w:r>
      <w:r w:rsidR="009D7F0A" w:rsidRPr="008E121F">
        <w:rPr>
          <w:sz w:val="24"/>
          <w:szCs w:val="24"/>
        </w:rPr>
        <w:t xml:space="preserve"> cometidos</w:t>
      </w:r>
      <w:r w:rsidR="00292E44" w:rsidRPr="008E121F">
        <w:rPr>
          <w:sz w:val="24"/>
          <w:szCs w:val="24"/>
        </w:rPr>
        <w:t xml:space="preserve"> </w:t>
      </w:r>
      <w:r w:rsidR="009D7F0A" w:rsidRPr="008E121F">
        <w:rPr>
          <w:sz w:val="24"/>
          <w:szCs w:val="24"/>
        </w:rPr>
        <w:t xml:space="preserve"> en contra de niños, niñas y adolescentes.</w:t>
      </w:r>
    </w:p>
    <w:p w:rsidR="009D7F0A" w:rsidRPr="008E121F" w:rsidRDefault="009D7F0A" w:rsidP="008138CD">
      <w:pPr>
        <w:pStyle w:val="Prrafodelista"/>
        <w:spacing w:line="360" w:lineRule="auto"/>
        <w:jc w:val="both"/>
        <w:rPr>
          <w:sz w:val="24"/>
          <w:szCs w:val="24"/>
        </w:rPr>
      </w:pPr>
    </w:p>
    <w:p w:rsidR="009D7F0A" w:rsidRPr="008E121F" w:rsidRDefault="002C5844" w:rsidP="008138CD">
      <w:pPr>
        <w:numPr>
          <w:ilvl w:val="0"/>
          <w:numId w:val="15"/>
        </w:numPr>
        <w:spacing w:line="360" w:lineRule="auto"/>
        <w:jc w:val="both"/>
        <w:rPr>
          <w:sz w:val="24"/>
          <w:szCs w:val="24"/>
        </w:rPr>
      </w:pPr>
      <w:r w:rsidRPr="008E121F">
        <w:rPr>
          <w:sz w:val="24"/>
          <w:szCs w:val="24"/>
        </w:rPr>
        <w:t>Por l</w:t>
      </w:r>
      <w:r w:rsidR="009D7F0A" w:rsidRPr="008E121F">
        <w:rPr>
          <w:sz w:val="24"/>
          <w:szCs w:val="24"/>
        </w:rPr>
        <w:t>o anterior, el fallador de primer grado le impuso a su representado la pena principal de 45 años, 6 meses de prisión, multa de 34.6 SMLMV y la accesoria de inhabilitación del ejercicio de funciones públicas por el lapso de 20 años.</w:t>
      </w:r>
    </w:p>
    <w:p w:rsidR="009D7F0A" w:rsidRPr="008E121F" w:rsidRDefault="009D7F0A" w:rsidP="008138CD">
      <w:pPr>
        <w:pStyle w:val="Prrafodelista"/>
        <w:spacing w:line="360" w:lineRule="auto"/>
        <w:jc w:val="both"/>
        <w:rPr>
          <w:sz w:val="24"/>
          <w:szCs w:val="24"/>
        </w:rPr>
      </w:pPr>
    </w:p>
    <w:p w:rsidR="009D7F0A" w:rsidRPr="008E121F" w:rsidRDefault="00506BBE" w:rsidP="008138CD">
      <w:pPr>
        <w:numPr>
          <w:ilvl w:val="0"/>
          <w:numId w:val="15"/>
        </w:numPr>
        <w:spacing w:line="360" w:lineRule="auto"/>
        <w:jc w:val="both"/>
        <w:rPr>
          <w:sz w:val="24"/>
          <w:szCs w:val="24"/>
        </w:rPr>
      </w:pPr>
      <w:r w:rsidRPr="008E121F">
        <w:rPr>
          <w:sz w:val="24"/>
          <w:szCs w:val="24"/>
        </w:rPr>
        <w:lastRenderedPageBreak/>
        <w:t>La</w:t>
      </w:r>
      <w:r w:rsidR="009D7F0A" w:rsidRPr="008E121F">
        <w:rPr>
          <w:sz w:val="24"/>
          <w:szCs w:val="24"/>
        </w:rPr>
        <w:t xml:space="preserve"> causal de revisión</w:t>
      </w:r>
      <w:r w:rsidRPr="008E121F">
        <w:rPr>
          <w:sz w:val="24"/>
          <w:szCs w:val="24"/>
        </w:rPr>
        <w:t xml:space="preserve"> prevista</w:t>
      </w:r>
      <w:r w:rsidR="009D7F0A" w:rsidRPr="008E121F">
        <w:rPr>
          <w:sz w:val="24"/>
          <w:szCs w:val="24"/>
        </w:rPr>
        <w:t xml:space="preserve"> en el num</w:t>
      </w:r>
      <w:r w:rsidRPr="008E121F">
        <w:rPr>
          <w:sz w:val="24"/>
          <w:szCs w:val="24"/>
        </w:rPr>
        <w:t>eral 7 del art. 192 del C.P.</w:t>
      </w:r>
      <w:r w:rsidR="009D7F0A" w:rsidRPr="008E121F">
        <w:rPr>
          <w:sz w:val="24"/>
          <w:szCs w:val="24"/>
        </w:rPr>
        <w:t xml:space="preserve"> consagra la factibilidad de revisar y eventualmente modificar la sentencia cuando la </w:t>
      </w:r>
      <w:r w:rsidR="00292E44" w:rsidRPr="008E121F">
        <w:rPr>
          <w:sz w:val="24"/>
          <w:szCs w:val="24"/>
        </w:rPr>
        <w:t xml:space="preserve">SP de la </w:t>
      </w:r>
      <w:r w:rsidR="009D7F0A" w:rsidRPr="008E121F">
        <w:rPr>
          <w:sz w:val="24"/>
          <w:szCs w:val="24"/>
        </w:rPr>
        <w:t>C</w:t>
      </w:r>
      <w:r w:rsidR="003B75C8" w:rsidRPr="008E121F">
        <w:rPr>
          <w:sz w:val="24"/>
          <w:szCs w:val="24"/>
        </w:rPr>
        <w:t>SJ</w:t>
      </w:r>
      <w:r w:rsidR="009D7F0A" w:rsidRPr="008E121F">
        <w:rPr>
          <w:sz w:val="24"/>
          <w:szCs w:val="24"/>
        </w:rPr>
        <w:t xml:space="preserve"> haya cambiado favorablemente el criterio jurídico que sirvió para susten</w:t>
      </w:r>
      <w:r w:rsidRPr="008E121F">
        <w:rPr>
          <w:sz w:val="24"/>
          <w:szCs w:val="24"/>
        </w:rPr>
        <w:t xml:space="preserve">tar </w:t>
      </w:r>
      <w:r w:rsidR="005E575D" w:rsidRPr="008E121F">
        <w:rPr>
          <w:sz w:val="24"/>
          <w:szCs w:val="24"/>
        </w:rPr>
        <w:t>el fallo condenatorio</w:t>
      </w:r>
      <w:r w:rsidRPr="008E121F">
        <w:rPr>
          <w:sz w:val="24"/>
          <w:szCs w:val="24"/>
        </w:rPr>
        <w:t xml:space="preserve">; en tal sentido </w:t>
      </w:r>
      <w:r w:rsidR="009D7F0A" w:rsidRPr="008E121F">
        <w:rPr>
          <w:sz w:val="24"/>
          <w:szCs w:val="24"/>
        </w:rPr>
        <w:t xml:space="preserve">la providencia 37671 del 04 de marzo de 2015 </w:t>
      </w:r>
      <w:r w:rsidR="008138CD" w:rsidRPr="008E121F">
        <w:rPr>
          <w:sz w:val="24"/>
          <w:szCs w:val="24"/>
        </w:rPr>
        <w:t>de esa c</w:t>
      </w:r>
      <w:r w:rsidRPr="008E121F">
        <w:rPr>
          <w:sz w:val="24"/>
          <w:szCs w:val="24"/>
        </w:rPr>
        <w:t xml:space="preserve">orporación </w:t>
      </w:r>
      <w:r w:rsidR="009D7F0A" w:rsidRPr="008E121F">
        <w:rPr>
          <w:sz w:val="24"/>
          <w:szCs w:val="24"/>
        </w:rPr>
        <w:t>determin</w:t>
      </w:r>
      <w:r w:rsidRPr="008E121F">
        <w:rPr>
          <w:sz w:val="24"/>
          <w:szCs w:val="24"/>
        </w:rPr>
        <w:t xml:space="preserve">ó </w:t>
      </w:r>
      <w:r w:rsidR="009D7F0A" w:rsidRPr="008E121F">
        <w:rPr>
          <w:sz w:val="24"/>
          <w:szCs w:val="24"/>
        </w:rPr>
        <w:t>que el aumento de pena previsto en el artículo 14 de la Ley 890 de 2004 no proced</w:t>
      </w:r>
      <w:r w:rsidR="009C0D10" w:rsidRPr="008E121F">
        <w:rPr>
          <w:sz w:val="24"/>
          <w:szCs w:val="24"/>
        </w:rPr>
        <w:t xml:space="preserve">ía frente </w:t>
      </w:r>
      <w:r w:rsidR="009D7F0A" w:rsidRPr="008E121F">
        <w:rPr>
          <w:sz w:val="24"/>
          <w:szCs w:val="24"/>
        </w:rPr>
        <w:t xml:space="preserve">al homicidio agravado de menores cuando el imputado se hubiese allanado a los cargos, criterio este que había sido sostenido en los radicados 33254, 41157 y 43629 del 27 de febrero de 2013, 30 de abril y 20 de agosto del 2014 y que además </w:t>
      </w:r>
      <w:r w:rsidR="009C0D10" w:rsidRPr="008E121F">
        <w:rPr>
          <w:sz w:val="24"/>
          <w:szCs w:val="24"/>
        </w:rPr>
        <w:t xml:space="preserve">fue </w:t>
      </w:r>
      <w:r w:rsidR="009D7F0A" w:rsidRPr="008E121F">
        <w:rPr>
          <w:sz w:val="24"/>
          <w:szCs w:val="24"/>
        </w:rPr>
        <w:t>reiterado en radicación 47143 del 22 de febrero de 2017.</w:t>
      </w:r>
    </w:p>
    <w:p w:rsidR="009D7F0A" w:rsidRPr="008E121F" w:rsidRDefault="009D7F0A" w:rsidP="008138CD">
      <w:pPr>
        <w:pStyle w:val="Prrafodelista"/>
        <w:spacing w:line="360" w:lineRule="auto"/>
        <w:jc w:val="both"/>
        <w:rPr>
          <w:sz w:val="24"/>
          <w:szCs w:val="24"/>
        </w:rPr>
      </w:pPr>
    </w:p>
    <w:p w:rsidR="009D7F0A" w:rsidRPr="008E121F" w:rsidRDefault="005E575D" w:rsidP="008138CD">
      <w:pPr>
        <w:numPr>
          <w:ilvl w:val="0"/>
          <w:numId w:val="15"/>
        </w:numPr>
        <w:spacing w:line="360" w:lineRule="auto"/>
        <w:jc w:val="both"/>
        <w:rPr>
          <w:sz w:val="24"/>
          <w:szCs w:val="24"/>
        </w:rPr>
      </w:pPr>
      <w:r w:rsidRPr="008E121F">
        <w:rPr>
          <w:sz w:val="24"/>
          <w:szCs w:val="24"/>
        </w:rPr>
        <w:t>El</w:t>
      </w:r>
      <w:r w:rsidR="009C0D10" w:rsidRPr="008E121F">
        <w:rPr>
          <w:sz w:val="24"/>
          <w:szCs w:val="24"/>
        </w:rPr>
        <w:t xml:space="preserve"> </w:t>
      </w:r>
      <w:r w:rsidR="009D7F0A" w:rsidRPr="008E121F">
        <w:rPr>
          <w:sz w:val="24"/>
          <w:szCs w:val="24"/>
        </w:rPr>
        <w:t>criterio jurisprudencial reseñado favorecía al accionante</w:t>
      </w:r>
      <w:r w:rsidR="009C0D10" w:rsidRPr="008E121F">
        <w:rPr>
          <w:sz w:val="24"/>
          <w:szCs w:val="24"/>
        </w:rPr>
        <w:t xml:space="preserve">, </w:t>
      </w:r>
      <w:r w:rsidR="009D7F0A" w:rsidRPr="008E121F">
        <w:rPr>
          <w:sz w:val="24"/>
          <w:szCs w:val="24"/>
        </w:rPr>
        <w:t>puesto que cuando no se concedían descuentos punitivos en virtud de las citadas prohibiciones</w:t>
      </w:r>
      <w:r w:rsidR="007951EC" w:rsidRPr="008E121F">
        <w:rPr>
          <w:sz w:val="24"/>
          <w:szCs w:val="24"/>
        </w:rPr>
        <w:t xml:space="preserve"> previstas en el artículo 199 del C.I.A.</w:t>
      </w:r>
      <w:r w:rsidR="009C0D10" w:rsidRPr="008E121F">
        <w:rPr>
          <w:sz w:val="24"/>
          <w:szCs w:val="24"/>
        </w:rPr>
        <w:t>,</w:t>
      </w:r>
      <w:r w:rsidR="009D7F0A" w:rsidRPr="008E121F">
        <w:rPr>
          <w:sz w:val="24"/>
          <w:szCs w:val="24"/>
        </w:rPr>
        <w:t xml:space="preserve"> </w:t>
      </w:r>
      <w:r w:rsidR="002C5844" w:rsidRPr="008E121F">
        <w:rPr>
          <w:sz w:val="24"/>
          <w:szCs w:val="24"/>
        </w:rPr>
        <w:t xml:space="preserve">tampoco </w:t>
      </w:r>
      <w:r w:rsidR="007951EC" w:rsidRPr="008E121F">
        <w:rPr>
          <w:sz w:val="24"/>
          <w:szCs w:val="24"/>
        </w:rPr>
        <w:t xml:space="preserve">era posible aplicar </w:t>
      </w:r>
      <w:r w:rsidR="009D7F0A" w:rsidRPr="008E121F">
        <w:rPr>
          <w:sz w:val="24"/>
          <w:szCs w:val="24"/>
        </w:rPr>
        <w:t>el incremento general de pena previsto en el artículo 14 de la Ley 890 de 2004.</w:t>
      </w:r>
    </w:p>
    <w:p w:rsidR="009D7F0A" w:rsidRPr="008E121F" w:rsidRDefault="009D7F0A" w:rsidP="008138CD">
      <w:pPr>
        <w:pStyle w:val="Prrafodelista"/>
        <w:spacing w:line="360" w:lineRule="auto"/>
        <w:jc w:val="both"/>
        <w:rPr>
          <w:sz w:val="24"/>
          <w:szCs w:val="24"/>
        </w:rPr>
      </w:pPr>
    </w:p>
    <w:p w:rsidR="009D7F0A" w:rsidRPr="008E121F" w:rsidRDefault="009D7F0A" w:rsidP="008138CD">
      <w:pPr>
        <w:numPr>
          <w:ilvl w:val="0"/>
          <w:numId w:val="15"/>
        </w:numPr>
        <w:spacing w:line="360" w:lineRule="auto"/>
        <w:jc w:val="both"/>
        <w:rPr>
          <w:sz w:val="24"/>
          <w:szCs w:val="24"/>
        </w:rPr>
      </w:pPr>
      <w:r w:rsidRPr="008E121F">
        <w:rPr>
          <w:sz w:val="24"/>
          <w:szCs w:val="24"/>
        </w:rPr>
        <w:t>En consecuencia, solicitó declarar fundada la acción de revisión objeto de estudio y por ende dejar sin efecto parcialmente la dosificación punitiva contenida en la sentencia condenatoria dictada contra Richard Hernando Hincapié Giraldo, con fundamento en la aplicación de la jurisprudencia favorable</w:t>
      </w:r>
      <w:r w:rsidR="004D01FF" w:rsidRPr="008E121F">
        <w:rPr>
          <w:sz w:val="24"/>
          <w:szCs w:val="24"/>
        </w:rPr>
        <w:t xml:space="preserve"> citada </w:t>
      </w:r>
      <w:r w:rsidRPr="008E121F">
        <w:rPr>
          <w:sz w:val="24"/>
          <w:szCs w:val="24"/>
        </w:rPr>
        <w:t xml:space="preserve"> y en su lugar emitir la providencia respectiva sin tener en cuenta los aumentos contemplados en el artículo 14 de la Ley 890 de 2004. </w:t>
      </w:r>
    </w:p>
    <w:p w:rsidR="00EC127F" w:rsidRPr="008E121F" w:rsidRDefault="00EC127F" w:rsidP="008138CD">
      <w:pPr>
        <w:pStyle w:val="Sinespaciado"/>
        <w:spacing w:line="360" w:lineRule="auto"/>
        <w:jc w:val="both"/>
        <w:rPr>
          <w:rFonts w:ascii="Arial" w:hAnsi="Arial" w:cs="Arial"/>
          <w:sz w:val="24"/>
          <w:szCs w:val="24"/>
        </w:rPr>
      </w:pPr>
    </w:p>
    <w:p w:rsidR="00837E39" w:rsidRPr="008E121F" w:rsidRDefault="000532EE" w:rsidP="008138CD">
      <w:pPr>
        <w:pStyle w:val="Sinespaciado"/>
        <w:numPr>
          <w:ilvl w:val="1"/>
          <w:numId w:val="17"/>
        </w:numPr>
        <w:spacing w:line="360" w:lineRule="auto"/>
        <w:ind w:left="709" w:hanging="709"/>
        <w:jc w:val="both"/>
        <w:rPr>
          <w:rFonts w:ascii="Arial" w:hAnsi="Arial" w:cs="Arial"/>
          <w:sz w:val="24"/>
          <w:szCs w:val="24"/>
        </w:rPr>
      </w:pPr>
      <w:r w:rsidRPr="008E121F">
        <w:rPr>
          <w:rFonts w:ascii="Arial" w:hAnsi="Arial" w:cs="Arial"/>
          <w:sz w:val="24"/>
          <w:szCs w:val="24"/>
        </w:rPr>
        <w:t xml:space="preserve">DELEGADO DE LA F.G.N </w:t>
      </w:r>
      <w:r w:rsidR="002C5844" w:rsidRPr="008E121F">
        <w:rPr>
          <w:rFonts w:ascii="Arial" w:hAnsi="Arial" w:cs="Arial"/>
          <w:sz w:val="24"/>
          <w:szCs w:val="24"/>
        </w:rPr>
        <w:t xml:space="preserve">( Sinopsis) </w:t>
      </w:r>
    </w:p>
    <w:p w:rsidR="007951EC" w:rsidRPr="008E121F" w:rsidRDefault="007951EC" w:rsidP="007951EC">
      <w:pPr>
        <w:pStyle w:val="Sinespaciado"/>
        <w:spacing w:line="360" w:lineRule="auto"/>
        <w:ind w:left="709"/>
        <w:jc w:val="both"/>
        <w:rPr>
          <w:rFonts w:ascii="Arial" w:hAnsi="Arial" w:cs="Arial"/>
          <w:sz w:val="24"/>
          <w:szCs w:val="24"/>
        </w:rPr>
      </w:pPr>
    </w:p>
    <w:p w:rsidR="00352C94" w:rsidRPr="008E121F" w:rsidRDefault="002C5844" w:rsidP="008138CD">
      <w:pPr>
        <w:pStyle w:val="Sinespaciado"/>
        <w:numPr>
          <w:ilvl w:val="0"/>
          <w:numId w:val="4"/>
        </w:numPr>
        <w:spacing w:line="360" w:lineRule="auto"/>
        <w:ind w:left="709" w:hanging="218"/>
        <w:jc w:val="both"/>
        <w:rPr>
          <w:rFonts w:ascii="Arial" w:hAnsi="Arial" w:cs="Arial"/>
          <w:sz w:val="24"/>
          <w:szCs w:val="24"/>
        </w:rPr>
      </w:pPr>
      <w:r w:rsidRPr="008E121F">
        <w:rPr>
          <w:rFonts w:ascii="Arial" w:hAnsi="Arial" w:cs="Arial"/>
          <w:sz w:val="24"/>
          <w:szCs w:val="24"/>
        </w:rPr>
        <w:t xml:space="preserve">La </w:t>
      </w:r>
      <w:r w:rsidR="001C15C9" w:rsidRPr="008E121F">
        <w:rPr>
          <w:rFonts w:ascii="Arial" w:hAnsi="Arial" w:cs="Arial"/>
          <w:sz w:val="24"/>
          <w:szCs w:val="24"/>
        </w:rPr>
        <w:t>sentencia en contra del procesado se profirió el 14 de ju</w:t>
      </w:r>
      <w:r w:rsidR="005E575D" w:rsidRPr="008E121F">
        <w:rPr>
          <w:rFonts w:ascii="Arial" w:hAnsi="Arial" w:cs="Arial"/>
          <w:sz w:val="24"/>
          <w:szCs w:val="24"/>
        </w:rPr>
        <w:t xml:space="preserve">lio de 2008 y </w:t>
      </w:r>
      <w:r w:rsidR="001C15C9" w:rsidRPr="008E121F">
        <w:rPr>
          <w:rFonts w:ascii="Arial" w:hAnsi="Arial" w:cs="Arial"/>
          <w:sz w:val="24"/>
          <w:szCs w:val="24"/>
        </w:rPr>
        <w:t>la petici</w:t>
      </w:r>
      <w:r w:rsidR="00E839D3" w:rsidRPr="008E121F">
        <w:rPr>
          <w:rFonts w:ascii="Arial" w:hAnsi="Arial" w:cs="Arial"/>
          <w:sz w:val="24"/>
          <w:szCs w:val="24"/>
        </w:rPr>
        <w:t xml:space="preserve">ón que realizaba </w:t>
      </w:r>
      <w:r w:rsidR="005E575D" w:rsidRPr="008E121F">
        <w:rPr>
          <w:rFonts w:ascii="Arial" w:hAnsi="Arial" w:cs="Arial"/>
          <w:sz w:val="24"/>
          <w:szCs w:val="24"/>
        </w:rPr>
        <w:t>su</w:t>
      </w:r>
      <w:r w:rsidR="001C15C9" w:rsidRPr="008E121F">
        <w:rPr>
          <w:rFonts w:ascii="Arial" w:hAnsi="Arial" w:cs="Arial"/>
          <w:sz w:val="24"/>
          <w:szCs w:val="24"/>
        </w:rPr>
        <w:t xml:space="preserve"> defensora</w:t>
      </w:r>
      <w:r w:rsidR="00E839D3" w:rsidRPr="008E121F">
        <w:rPr>
          <w:rFonts w:ascii="Arial" w:hAnsi="Arial" w:cs="Arial"/>
          <w:sz w:val="24"/>
          <w:szCs w:val="24"/>
        </w:rPr>
        <w:t xml:space="preserve"> encontraba</w:t>
      </w:r>
      <w:r w:rsidR="00AB7D22" w:rsidRPr="008E121F">
        <w:rPr>
          <w:rFonts w:ascii="Arial" w:hAnsi="Arial" w:cs="Arial"/>
          <w:sz w:val="24"/>
          <w:szCs w:val="24"/>
        </w:rPr>
        <w:t xml:space="preserve"> su fundamento en pronunciamientos</w:t>
      </w:r>
      <w:r w:rsidR="00E839D3" w:rsidRPr="008E121F">
        <w:rPr>
          <w:rFonts w:ascii="Arial" w:hAnsi="Arial" w:cs="Arial"/>
          <w:sz w:val="24"/>
          <w:szCs w:val="24"/>
        </w:rPr>
        <w:t xml:space="preserve"> de la Corte Suprema de Justicia</w:t>
      </w:r>
      <w:r w:rsidR="00AB7D22" w:rsidRPr="008E121F">
        <w:rPr>
          <w:rFonts w:ascii="Arial" w:hAnsi="Arial" w:cs="Arial"/>
          <w:sz w:val="24"/>
          <w:szCs w:val="24"/>
        </w:rPr>
        <w:t xml:space="preserve"> </w:t>
      </w:r>
      <w:r w:rsidR="00E839D3" w:rsidRPr="008E121F">
        <w:rPr>
          <w:rFonts w:ascii="Arial" w:hAnsi="Arial" w:cs="Arial"/>
          <w:sz w:val="24"/>
          <w:szCs w:val="24"/>
        </w:rPr>
        <w:t>posteriores a esa fecha</w:t>
      </w:r>
      <w:r w:rsidR="00240980" w:rsidRPr="008E121F">
        <w:rPr>
          <w:rFonts w:ascii="Arial" w:hAnsi="Arial" w:cs="Arial"/>
          <w:sz w:val="24"/>
          <w:szCs w:val="24"/>
        </w:rPr>
        <w:t>;</w:t>
      </w:r>
      <w:r w:rsidR="00AB7D22" w:rsidRPr="008E121F">
        <w:rPr>
          <w:rFonts w:ascii="Arial" w:hAnsi="Arial" w:cs="Arial"/>
          <w:sz w:val="24"/>
          <w:szCs w:val="24"/>
        </w:rPr>
        <w:t xml:space="preserve"> en los que se fija</w:t>
      </w:r>
      <w:r w:rsidR="00E839D3" w:rsidRPr="008E121F">
        <w:rPr>
          <w:rFonts w:ascii="Arial" w:hAnsi="Arial" w:cs="Arial"/>
          <w:sz w:val="24"/>
          <w:szCs w:val="24"/>
        </w:rPr>
        <w:t xml:space="preserve">ron </w:t>
      </w:r>
      <w:r w:rsidR="00AB7D22" w:rsidRPr="008E121F">
        <w:rPr>
          <w:rFonts w:ascii="Arial" w:hAnsi="Arial" w:cs="Arial"/>
          <w:sz w:val="24"/>
          <w:szCs w:val="24"/>
        </w:rPr>
        <w:t>parámetros</w:t>
      </w:r>
      <w:r w:rsidR="00AC7026" w:rsidRPr="008E121F">
        <w:rPr>
          <w:rFonts w:ascii="Arial" w:hAnsi="Arial" w:cs="Arial"/>
          <w:sz w:val="24"/>
          <w:szCs w:val="24"/>
        </w:rPr>
        <w:t xml:space="preserve"> en el sentido de que no se debían aplica</w:t>
      </w:r>
      <w:r w:rsidR="004D01FF" w:rsidRPr="008E121F">
        <w:rPr>
          <w:rFonts w:ascii="Arial" w:hAnsi="Arial" w:cs="Arial"/>
          <w:sz w:val="24"/>
          <w:szCs w:val="24"/>
        </w:rPr>
        <w:t xml:space="preserve">r </w:t>
      </w:r>
      <w:r w:rsidR="00AC7026" w:rsidRPr="008E121F">
        <w:rPr>
          <w:rFonts w:ascii="Arial" w:hAnsi="Arial" w:cs="Arial"/>
          <w:sz w:val="24"/>
          <w:szCs w:val="24"/>
        </w:rPr>
        <w:t xml:space="preserve"> los </w:t>
      </w:r>
      <w:r w:rsidR="000532EE" w:rsidRPr="008E121F">
        <w:rPr>
          <w:rFonts w:ascii="Arial" w:hAnsi="Arial" w:cs="Arial"/>
          <w:sz w:val="24"/>
          <w:szCs w:val="24"/>
        </w:rPr>
        <w:t>increme</w:t>
      </w:r>
      <w:r w:rsidR="001C2807" w:rsidRPr="008E121F">
        <w:rPr>
          <w:rFonts w:ascii="Arial" w:hAnsi="Arial" w:cs="Arial"/>
          <w:sz w:val="24"/>
          <w:szCs w:val="24"/>
        </w:rPr>
        <w:t xml:space="preserve">ntos </w:t>
      </w:r>
      <w:r w:rsidR="00823639" w:rsidRPr="008E121F">
        <w:rPr>
          <w:rFonts w:ascii="Arial" w:hAnsi="Arial" w:cs="Arial"/>
          <w:sz w:val="24"/>
          <w:szCs w:val="24"/>
        </w:rPr>
        <w:t xml:space="preserve">previstos en </w:t>
      </w:r>
      <w:r w:rsidR="004D01FF" w:rsidRPr="008E121F">
        <w:rPr>
          <w:rFonts w:ascii="Arial" w:hAnsi="Arial" w:cs="Arial"/>
          <w:sz w:val="24"/>
          <w:szCs w:val="24"/>
        </w:rPr>
        <w:t xml:space="preserve">el artículo 14 de </w:t>
      </w:r>
      <w:r w:rsidR="00823639" w:rsidRPr="008E121F">
        <w:rPr>
          <w:rFonts w:ascii="Arial" w:hAnsi="Arial" w:cs="Arial"/>
          <w:sz w:val="24"/>
          <w:szCs w:val="24"/>
        </w:rPr>
        <w:t>la</w:t>
      </w:r>
      <w:r w:rsidR="00AB7D22" w:rsidRPr="008E121F">
        <w:rPr>
          <w:rFonts w:ascii="Arial" w:hAnsi="Arial" w:cs="Arial"/>
          <w:sz w:val="24"/>
          <w:szCs w:val="24"/>
        </w:rPr>
        <w:t xml:space="preserve"> L</w:t>
      </w:r>
      <w:r w:rsidR="001C2807" w:rsidRPr="008E121F">
        <w:rPr>
          <w:rFonts w:ascii="Arial" w:hAnsi="Arial" w:cs="Arial"/>
          <w:sz w:val="24"/>
          <w:szCs w:val="24"/>
        </w:rPr>
        <w:t>ey 890</w:t>
      </w:r>
      <w:r w:rsidR="00823639" w:rsidRPr="008E121F">
        <w:rPr>
          <w:rFonts w:ascii="Arial" w:hAnsi="Arial" w:cs="Arial"/>
          <w:sz w:val="24"/>
          <w:szCs w:val="24"/>
        </w:rPr>
        <w:t xml:space="preserve"> de 2004, </w:t>
      </w:r>
      <w:r w:rsidR="001C2807" w:rsidRPr="008E121F">
        <w:rPr>
          <w:rFonts w:ascii="Arial" w:hAnsi="Arial" w:cs="Arial"/>
          <w:sz w:val="24"/>
          <w:szCs w:val="24"/>
        </w:rPr>
        <w:t xml:space="preserve">cuando </w:t>
      </w:r>
      <w:r w:rsidR="00AA4127" w:rsidRPr="008E121F">
        <w:rPr>
          <w:rFonts w:ascii="Arial" w:hAnsi="Arial" w:cs="Arial"/>
          <w:sz w:val="24"/>
          <w:szCs w:val="24"/>
        </w:rPr>
        <w:t>se presenta</w:t>
      </w:r>
      <w:r w:rsidR="00AC7026" w:rsidRPr="008E121F">
        <w:rPr>
          <w:rFonts w:ascii="Arial" w:hAnsi="Arial" w:cs="Arial"/>
          <w:sz w:val="24"/>
          <w:szCs w:val="24"/>
        </w:rPr>
        <w:t xml:space="preserve">ban </w:t>
      </w:r>
      <w:r w:rsidR="00AA4127" w:rsidRPr="008E121F">
        <w:rPr>
          <w:rFonts w:ascii="Arial" w:hAnsi="Arial" w:cs="Arial"/>
          <w:sz w:val="24"/>
          <w:szCs w:val="24"/>
        </w:rPr>
        <w:t>dos situaciones fundamentales: i) que no se haya hecho ningún tipo de rebaja al procesado</w:t>
      </w:r>
      <w:r w:rsidR="00823639" w:rsidRPr="008E121F">
        <w:rPr>
          <w:rFonts w:ascii="Arial" w:hAnsi="Arial" w:cs="Arial"/>
          <w:sz w:val="24"/>
          <w:szCs w:val="24"/>
        </w:rPr>
        <w:t xml:space="preserve"> y</w:t>
      </w:r>
      <w:r w:rsidR="00AA4127" w:rsidRPr="008E121F">
        <w:rPr>
          <w:rFonts w:ascii="Arial" w:hAnsi="Arial" w:cs="Arial"/>
          <w:sz w:val="24"/>
          <w:szCs w:val="24"/>
        </w:rPr>
        <w:t xml:space="preserve"> ii) que no se hubiera </w:t>
      </w:r>
      <w:r w:rsidR="001C2807" w:rsidRPr="008E121F">
        <w:rPr>
          <w:rFonts w:ascii="Arial" w:hAnsi="Arial" w:cs="Arial"/>
          <w:sz w:val="24"/>
          <w:szCs w:val="24"/>
        </w:rPr>
        <w:t>prese</w:t>
      </w:r>
      <w:r w:rsidR="00E839D3" w:rsidRPr="008E121F">
        <w:rPr>
          <w:rFonts w:ascii="Arial" w:hAnsi="Arial" w:cs="Arial"/>
          <w:sz w:val="24"/>
          <w:szCs w:val="24"/>
        </w:rPr>
        <w:t xml:space="preserve">ntado un preacuerdo del cual se derivara </w:t>
      </w:r>
      <w:r w:rsidR="001C2807" w:rsidRPr="008E121F">
        <w:rPr>
          <w:rFonts w:ascii="Arial" w:hAnsi="Arial" w:cs="Arial"/>
          <w:sz w:val="24"/>
          <w:szCs w:val="24"/>
        </w:rPr>
        <w:t>alguna situación f</w:t>
      </w:r>
      <w:r w:rsidR="005914C9" w:rsidRPr="008E121F">
        <w:rPr>
          <w:rFonts w:ascii="Arial" w:hAnsi="Arial" w:cs="Arial"/>
          <w:sz w:val="24"/>
          <w:szCs w:val="24"/>
        </w:rPr>
        <w:t>avorable</w:t>
      </w:r>
      <w:r w:rsidR="00352C94" w:rsidRPr="008E121F">
        <w:rPr>
          <w:rFonts w:ascii="Arial" w:hAnsi="Arial" w:cs="Arial"/>
          <w:sz w:val="24"/>
          <w:szCs w:val="24"/>
        </w:rPr>
        <w:t xml:space="preserve"> para el incriminado.</w:t>
      </w:r>
    </w:p>
    <w:p w:rsidR="00352C94" w:rsidRPr="008E121F" w:rsidRDefault="00352C94" w:rsidP="008138CD">
      <w:pPr>
        <w:pStyle w:val="Sinespaciado"/>
        <w:spacing w:line="360" w:lineRule="auto"/>
        <w:ind w:left="851"/>
        <w:jc w:val="both"/>
        <w:rPr>
          <w:rFonts w:ascii="Arial" w:hAnsi="Arial" w:cs="Arial"/>
          <w:sz w:val="24"/>
          <w:szCs w:val="24"/>
        </w:rPr>
      </w:pPr>
    </w:p>
    <w:p w:rsidR="00444F32" w:rsidRPr="008E121F" w:rsidRDefault="00AC7026" w:rsidP="008138CD">
      <w:pPr>
        <w:pStyle w:val="Sinespaciado"/>
        <w:numPr>
          <w:ilvl w:val="0"/>
          <w:numId w:val="4"/>
        </w:numPr>
        <w:spacing w:line="360" w:lineRule="auto"/>
        <w:ind w:left="709" w:hanging="218"/>
        <w:jc w:val="both"/>
        <w:rPr>
          <w:rFonts w:ascii="Arial" w:hAnsi="Arial" w:cs="Arial"/>
          <w:sz w:val="24"/>
          <w:szCs w:val="24"/>
        </w:rPr>
      </w:pPr>
      <w:r w:rsidRPr="008E121F">
        <w:rPr>
          <w:rFonts w:ascii="Arial" w:hAnsi="Arial" w:cs="Arial"/>
          <w:sz w:val="24"/>
          <w:szCs w:val="24"/>
        </w:rPr>
        <w:t xml:space="preserve">En el </w:t>
      </w:r>
      <w:r w:rsidR="0027471A" w:rsidRPr="008E121F">
        <w:rPr>
          <w:rFonts w:ascii="Arial" w:hAnsi="Arial" w:cs="Arial"/>
          <w:sz w:val="24"/>
          <w:szCs w:val="24"/>
        </w:rPr>
        <w:t>presente caso</w:t>
      </w:r>
      <w:r w:rsidR="00AB7D22" w:rsidRPr="008E121F">
        <w:rPr>
          <w:rFonts w:ascii="Arial" w:hAnsi="Arial" w:cs="Arial"/>
          <w:sz w:val="24"/>
          <w:szCs w:val="24"/>
        </w:rPr>
        <w:t xml:space="preserve"> </w:t>
      </w:r>
      <w:r w:rsidR="00EF04A4" w:rsidRPr="008E121F">
        <w:rPr>
          <w:rFonts w:ascii="Arial" w:hAnsi="Arial" w:cs="Arial"/>
          <w:sz w:val="24"/>
          <w:szCs w:val="24"/>
        </w:rPr>
        <w:t xml:space="preserve">al procesado no se le reconoció ninguna rebaja </w:t>
      </w:r>
      <w:r w:rsidRPr="008E121F">
        <w:rPr>
          <w:rFonts w:ascii="Arial" w:hAnsi="Arial" w:cs="Arial"/>
          <w:sz w:val="24"/>
          <w:szCs w:val="24"/>
        </w:rPr>
        <w:t xml:space="preserve">al acusado </w:t>
      </w:r>
      <w:r w:rsidR="00EF04A4" w:rsidRPr="008E121F">
        <w:rPr>
          <w:rFonts w:ascii="Arial" w:hAnsi="Arial" w:cs="Arial"/>
          <w:sz w:val="24"/>
          <w:szCs w:val="24"/>
        </w:rPr>
        <w:t>como consecuencia de su aceptación de cargos</w:t>
      </w:r>
      <w:r w:rsidR="001C2462" w:rsidRPr="008E121F">
        <w:rPr>
          <w:rFonts w:ascii="Arial" w:hAnsi="Arial" w:cs="Arial"/>
          <w:sz w:val="24"/>
          <w:szCs w:val="24"/>
        </w:rPr>
        <w:t xml:space="preserve"> </w:t>
      </w:r>
      <w:r w:rsidR="00444F32" w:rsidRPr="008E121F">
        <w:rPr>
          <w:rFonts w:ascii="Arial" w:hAnsi="Arial" w:cs="Arial"/>
          <w:sz w:val="24"/>
          <w:szCs w:val="24"/>
        </w:rPr>
        <w:t>y por el contrario se le aplicó el incr</w:t>
      </w:r>
      <w:r w:rsidR="00AB7D22" w:rsidRPr="008E121F">
        <w:rPr>
          <w:rFonts w:ascii="Arial" w:hAnsi="Arial" w:cs="Arial"/>
          <w:sz w:val="24"/>
          <w:szCs w:val="24"/>
        </w:rPr>
        <w:t>emento punitivo previsto en la L</w:t>
      </w:r>
      <w:r w:rsidR="00444F32" w:rsidRPr="008E121F">
        <w:rPr>
          <w:rFonts w:ascii="Arial" w:hAnsi="Arial" w:cs="Arial"/>
          <w:sz w:val="24"/>
          <w:szCs w:val="24"/>
        </w:rPr>
        <w:t xml:space="preserve">ey 890 de </w:t>
      </w:r>
      <w:r w:rsidR="000F3092" w:rsidRPr="008E121F">
        <w:rPr>
          <w:rFonts w:ascii="Arial" w:hAnsi="Arial" w:cs="Arial"/>
          <w:sz w:val="24"/>
          <w:szCs w:val="24"/>
        </w:rPr>
        <w:t>2004.</w:t>
      </w:r>
    </w:p>
    <w:p w:rsidR="00EC127F" w:rsidRPr="008E121F" w:rsidRDefault="000F27E2" w:rsidP="008138CD">
      <w:pPr>
        <w:pStyle w:val="Sinespaciado"/>
        <w:numPr>
          <w:ilvl w:val="0"/>
          <w:numId w:val="4"/>
        </w:numPr>
        <w:spacing w:line="360" w:lineRule="auto"/>
        <w:ind w:left="709"/>
        <w:jc w:val="both"/>
        <w:rPr>
          <w:rFonts w:ascii="Arial" w:hAnsi="Arial" w:cs="Arial"/>
          <w:sz w:val="24"/>
          <w:szCs w:val="24"/>
        </w:rPr>
      </w:pPr>
      <w:r w:rsidRPr="008E121F">
        <w:rPr>
          <w:rFonts w:ascii="Arial" w:hAnsi="Arial" w:cs="Arial"/>
          <w:sz w:val="24"/>
          <w:szCs w:val="24"/>
        </w:rPr>
        <w:lastRenderedPageBreak/>
        <w:t xml:space="preserve">Por lo </w:t>
      </w:r>
      <w:r w:rsidR="00AB7D22" w:rsidRPr="008E121F">
        <w:rPr>
          <w:rFonts w:ascii="Arial" w:hAnsi="Arial" w:cs="Arial"/>
          <w:sz w:val="24"/>
          <w:szCs w:val="24"/>
        </w:rPr>
        <w:t>anterior, consider</w:t>
      </w:r>
      <w:r w:rsidRPr="008E121F">
        <w:rPr>
          <w:rFonts w:ascii="Arial" w:hAnsi="Arial" w:cs="Arial"/>
          <w:sz w:val="24"/>
          <w:szCs w:val="24"/>
        </w:rPr>
        <w:t>ó</w:t>
      </w:r>
      <w:r w:rsidR="00AB7D22" w:rsidRPr="008E121F">
        <w:rPr>
          <w:rFonts w:ascii="Arial" w:hAnsi="Arial" w:cs="Arial"/>
          <w:sz w:val="24"/>
          <w:szCs w:val="24"/>
        </w:rPr>
        <w:t xml:space="preserve"> viable</w:t>
      </w:r>
      <w:r w:rsidR="00444F32" w:rsidRPr="008E121F">
        <w:rPr>
          <w:rFonts w:ascii="Arial" w:hAnsi="Arial" w:cs="Arial"/>
          <w:sz w:val="24"/>
          <w:szCs w:val="24"/>
        </w:rPr>
        <w:t xml:space="preserve"> acceder a la </w:t>
      </w:r>
      <w:proofErr w:type="spellStart"/>
      <w:r w:rsidR="00444F32" w:rsidRPr="008E121F">
        <w:rPr>
          <w:rFonts w:ascii="Arial" w:hAnsi="Arial" w:cs="Arial"/>
          <w:sz w:val="24"/>
          <w:szCs w:val="24"/>
        </w:rPr>
        <w:t>redosificación</w:t>
      </w:r>
      <w:proofErr w:type="spellEnd"/>
      <w:r w:rsidR="00444F32" w:rsidRPr="008E121F">
        <w:rPr>
          <w:rFonts w:ascii="Arial" w:hAnsi="Arial" w:cs="Arial"/>
          <w:sz w:val="24"/>
          <w:szCs w:val="24"/>
        </w:rPr>
        <w:t xml:space="preserve"> de la pena im</w:t>
      </w:r>
      <w:r w:rsidR="00E839D3" w:rsidRPr="008E121F">
        <w:rPr>
          <w:rFonts w:ascii="Arial" w:hAnsi="Arial" w:cs="Arial"/>
          <w:sz w:val="24"/>
          <w:szCs w:val="24"/>
        </w:rPr>
        <w:t>puesta al procesado, sin que fuera</w:t>
      </w:r>
      <w:r w:rsidR="00444F32" w:rsidRPr="008E121F">
        <w:rPr>
          <w:rFonts w:ascii="Arial" w:hAnsi="Arial" w:cs="Arial"/>
          <w:sz w:val="24"/>
          <w:szCs w:val="24"/>
        </w:rPr>
        <w:t xml:space="preserve"> posible la concesi</w:t>
      </w:r>
      <w:r w:rsidR="00EE6245" w:rsidRPr="008E121F">
        <w:rPr>
          <w:rFonts w:ascii="Arial" w:hAnsi="Arial" w:cs="Arial"/>
          <w:sz w:val="24"/>
          <w:szCs w:val="24"/>
        </w:rPr>
        <w:t>ón de subrogados penales ya que</w:t>
      </w:r>
      <w:r w:rsidR="00444F32" w:rsidRPr="008E121F">
        <w:rPr>
          <w:rFonts w:ascii="Arial" w:hAnsi="Arial" w:cs="Arial"/>
          <w:sz w:val="24"/>
          <w:szCs w:val="24"/>
        </w:rPr>
        <w:t xml:space="preserve"> se supera</w:t>
      </w:r>
      <w:r w:rsidR="00267CEE" w:rsidRPr="008E121F">
        <w:rPr>
          <w:rFonts w:ascii="Arial" w:hAnsi="Arial" w:cs="Arial"/>
          <w:sz w:val="24"/>
          <w:szCs w:val="24"/>
        </w:rPr>
        <w:t>ba</w:t>
      </w:r>
      <w:r w:rsidR="00444F32" w:rsidRPr="008E121F">
        <w:rPr>
          <w:rFonts w:ascii="Arial" w:hAnsi="Arial" w:cs="Arial"/>
          <w:sz w:val="24"/>
          <w:szCs w:val="24"/>
        </w:rPr>
        <w:t xml:space="preserve"> el factor objetivo previsto en el artículo 63 del </w:t>
      </w:r>
      <w:r w:rsidR="004A0285" w:rsidRPr="008E121F">
        <w:rPr>
          <w:rFonts w:ascii="Arial" w:hAnsi="Arial" w:cs="Arial"/>
          <w:sz w:val="24"/>
          <w:szCs w:val="24"/>
        </w:rPr>
        <w:t>C</w:t>
      </w:r>
      <w:r w:rsidR="00444F32" w:rsidRPr="008E121F">
        <w:rPr>
          <w:rFonts w:ascii="Arial" w:hAnsi="Arial" w:cs="Arial"/>
          <w:sz w:val="24"/>
          <w:szCs w:val="24"/>
        </w:rPr>
        <w:t>.P.</w:t>
      </w:r>
    </w:p>
    <w:p w:rsidR="00EC127F" w:rsidRPr="008E121F" w:rsidRDefault="00EC127F" w:rsidP="008138CD">
      <w:pPr>
        <w:pStyle w:val="Sinespaciado"/>
        <w:spacing w:line="360" w:lineRule="auto"/>
        <w:jc w:val="both"/>
        <w:rPr>
          <w:rFonts w:ascii="Arial" w:hAnsi="Arial" w:cs="Arial"/>
          <w:sz w:val="24"/>
          <w:szCs w:val="24"/>
        </w:rPr>
      </w:pPr>
    </w:p>
    <w:p w:rsidR="004A0285" w:rsidRPr="008E121F" w:rsidRDefault="002A6CA0" w:rsidP="008138CD">
      <w:pPr>
        <w:pStyle w:val="Sinespaciado"/>
        <w:numPr>
          <w:ilvl w:val="1"/>
          <w:numId w:val="17"/>
        </w:numPr>
        <w:spacing w:line="360" w:lineRule="auto"/>
        <w:ind w:left="709" w:hanging="709"/>
        <w:jc w:val="both"/>
        <w:rPr>
          <w:rFonts w:ascii="Arial" w:hAnsi="Arial" w:cs="Arial"/>
          <w:sz w:val="24"/>
          <w:szCs w:val="24"/>
        </w:rPr>
      </w:pPr>
      <w:r w:rsidRPr="008E121F">
        <w:rPr>
          <w:rFonts w:ascii="Arial" w:hAnsi="Arial" w:cs="Arial"/>
          <w:sz w:val="24"/>
          <w:szCs w:val="24"/>
        </w:rPr>
        <w:t>REPRESENTANTE DE VÍCTIMAS</w:t>
      </w:r>
      <w:r w:rsidR="000F27E2" w:rsidRPr="008E121F">
        <w:rPr>
          <w:rFonts w:ascii="Arial" w:hAnsi="Arial" w:cs="Arial"/>
          <w:sz w:val="24"/>
          <w:szCs w:val="24"/>
        </w:rPr>
        <w:t xml:space="preserve"> (Sinopsis</w:t>
      </w:r>
      <w:r w:rsidR="00AC7026" w:rsidRPr="008E121F">
        <w:rPr>
          <w:rFonts w:ascii="Arial" w:hAnsi="Arial" w:cs="Arial"/>
          <w:sz w:val="24"/>
          <w:szCs w:val="24"/>
        </w:rPr>
        <w:t xml:space="preserve">) </w:t>
      </w:r>
    </w:p>
    <w:p w:rsidR="005E454B" w:rsidRPr="008E121F" w:rsidRDefault="005E454B" w:rsidP="005E454B">
      <w:pPr>
        <w:pStyle w:val="Sinespaciado"/>
        <w:spacing w:line="360" w:lineRule="auto"/>
        <w:ind w:left="709"/>
        <w:jc w:val="both"/>
        <w:rPr>
          <w:rFonts w:ascii="Arial" w:hAnsi="Arial" w:cs="Arial"/>
          <w:sz w:val="24"/>
          <w:szCs w:val="24"/>
        </w:rPr>
      </w:pPr>
    </w:p>
    <w:p w:rsidR="004A0285" w:rsidRPr="008E121F" w:rsidRDefault="00AC7026" w:rsidP="008138CD">
      <w:pPr>
        <w:pStyle w:val="Sinespaciado"/>
        <w:numPr>
          <w:ilvl w:val="0"/>
          <w:numId w:val="10"/>
        </w:numPr>
        <w:spacing w:line="360" w:lineRule="auto"/>
        <w:ind w:hanging="294"/>
        <w:jc w:val="both"/>
        <w:rPr>
          <w:rFonts w:ascii="Arial" w:hAnsi="Arial" w:cs="Arial"/>
          <w:sz w:val="24"/>
          <w:szCs w:val="24"/>
        </w:rPr>
      </w:pPr>
      <w:r w:rsidRPr="008E121F">
        <w:rPr>
          <w:rFonts w:ascii="Arial" w:hAnsi="Arial" w:cs="Arial"/>
          <w:sz w:val="24"/>
          <w:szCs w:val="24"/>
        </w:rPr>
        <w:t xml:space="preserve">La </w:t>
      </w:r>
      <w:r w:rsidR="00C0167E" w:rsidRPr="008E121F">
        <w:rPr>
          <w:rFonts w:ascii="Arial" w:hAnsi="Arial" w:cs="Arial"/>
          <w:sz w:val="24"/>
          <w:szCs w:val="24"/>
        </w:rPr>
        <w:t>acción</w:t>
      </w:r>
      <w:r w:rsidR="004A0285" w:rsidRPr="008E121F">
        <w:rPr>
          <w:rFonts w:ascii="Arial" w:hAnsi="Arial" w:cs="Arial"/>
          <w:sz w:val="24"/>
          <w:szCs w:val="24"/>
        </w:rPr>
        <w:t xml:space="preserve"> de revisión</w:t>
      </w:r>
      <w:r w:rsidR="00D57ECD" w:rsidRPr="008E121F">
        <w:rPr>
          <w:rFonts w:ascii="Arial" w:hAnsi="Arial" w:cs="Arial"/>
          <w:sz w:val="24"/>
          <w:szCs w:val="24"/>
        </w:rPr>
        <w:t xml:space="preserve"> invocada deb</w:t>
      </w:r>
      <w:r w:rsidRPr="008E121F">
        <w:rPr>
          <w:rFonts w:ascii="Arial" w:hAnsi="Arial" w:cs="Arial"/>
          <w:sz w:val="24"/>
          <w:szCs w:val="24"/>
        </w:rPr>
        <w:t xml:space="preserve">e </w:t>
      </w:r>
      <w:r w:rsidR="00D57ECD" w:rsidRPr="008E121F">
        <w:rPr>
          <w:rFonts w:ascii="Arial" w:hAnsi="Arial" w:cs="Arial"/>
          <w:sz w:val="24"/>
          <w:szCs w:val="24"/>
        </w:rPr>
        <w:t>prosperar</w:t>
      </w:r>
      <w:r w:rsidR="001E1D67" w:rsidRPr="008E121F">
        <w:rPr>
          <w:rFonts w:ascii="Arial" w:hAnsi="Arial" w:cs="Arial"/>
          <w:sz w:val="24"/>
          <w:szCs w:val="24"/>
        </w:rPr>
        <w:t xml:space="preserve">, </w:t>
      </w:r>
      <w:r w:rsidR="00D57ECD" w:rsidRPr="008E121F">
        <w:rPr>
          <w:rFonts w:ascii="Arial" w:hAnsi="Arial" w:cs="Arial"/>
          <w:sz w:val="24"/>
          <w:szCs w:val="24"/>
        </w:rPr>
        <w:t>puesto que aplicar el incremento de</w:t>
      </w:r>
      <w:r w:rsidR="00DF66FB" w:rsidRPr="008E121F">
        <w:rPr>
          <w:rFonts w:ascii="Arial" w:hAnsi="Arial" w:cs="Arial"/>
          <w:sz w:val="24"/>
          <w:szCs w:val="24"/>
        </w:rPr>
        <w:t xml:space="preserve"> penas de la L</w:t>
      </w:r>
      <w:r w:rsidR="00D57ECD" w:rsidRPr="008E121F">
        <w:rPr>
          <w:rFonts w:ascii="Arial" w:hAnsi="Arial" w:cs="Arial"/>
          <w:sz w:val="24"/>
          <w:szCs w:val="24"/>
        </w:rPr>
        <w:t>ey 890</w:t>
      </w:r>
      <w:r w:rsidR="00DF66FB" w:rsidRPr="008E121F">
        <w:rPr>
          <w:rFonts w:ascii="Arial" w:hAnsi="Arial" w:cs="Arial"/>
          <w:sz w:val="24"/>
          <w:szCs w:val="24"/>
        </w:rPr>
        <w:t xml:space="preserve"> de 2004</w:t>
      </w:r>
      <w:r w:rsidR="00D57ECD" w:rsidRPr="008E121F">
        <w:rPr>
          <w:rFonts w:ascii="Arial" w:hAnsi="Arial" w:cs="Arial"/>
          <w:sz w:val="24"/>
          <w:szCs w:val="24"/>
        </w:rPr>
        <w:t xml:space="preserve"> en este asunto sería realizar una doble agravación</w:t>
      </w:r>
      <w:r w:rsidRPr="008E121F">
        <w:rPr>
          <w:rFonts w:ascii="Arial" w:hAnsi="Arial" w:cs="Arial"/>
          <w:sz w:val="24"/>
          <w:szCs w:val="24"/>
        </w:rPr>
        <w:t xml:space="preserve">, ya que la </w:t>
      </w:r>
      <w:r w:rsidR="00D57ECD" w:rsidRPr="008E121F">
        <w:rPr>
          <w:rFonts w:ascii="Arial" w:hAnsi="Arial" w:cs="Arial"/>
          <w:sz w:val="24"/>
          <w:szCs w:val="24"/>
        </w:rPr>
        <w:t xml:space="preserve">sanción aplicable al delito juzgado ya era gravosa </w:t>
      </w:r>
      <w:r w:rsidR="00BD6582" w:rsidRPr="008E121F">
        <w:rPr>
          <w:rFonts w:ascii="Arial" w:hAnsi="Arial" w:cs="Arial"/>
          <w:sz w:val="24"/>
          <w:szCs w:val="24"/>
        </w:rPr>
        <w:t>debido a</w:t>
      </w:r>
      <w:r w:rsidR="00D57ECD" w:rsidRPr="008E121F">
        <w:rPr>
          <w:rFonts w:ascii="Arial" w:hAnsi="Arial" w:cs="Arial"/>
          <w:sz w:val="24"/>
          <w:szCs w:val="24"/>
        </w:rPr>
        <w:t xml:space="preserve"> la prohibición de conceder beneficios </w:t>
      </w:r>
      <w:r w:rsidR="00BD6582" w:rsidRPr="008E121F">
        <w:rPr>
          <w:rFonts w:ascii="Arial" w:hAnsi="Arial" w:cs="Arial"/>
          <w:sz w:val="24"/>
          <w:szCs w:val="24"/>
        </w:rPr>
        <w:t>por tratarse de una</w:t>
      </w:r>
      <w:r w:rsidR="00D57ECD" w:rsidRPr="008E121F">
        <w:rPr>
          <w:rFonts w:ascii="Arial" w:hAnsi="Arial" w:cs="Arial"/>
          <w:sz w:val="24"/>
          <w:szCs w:val="24"/>
        </w:rPr>
        <w:t xml:space="preserve"> v</w:t>
      </w:r>
      <w:r w:rsidR="00BD6582" w:rsidRPr="008E121F">
        <w:rPr>
          <w:rFonts w:ascii="Arial" w:hAnsi="Arial" w:cs="Arial"/>
          <w:sz w:val="24"/>
          <w:szCs w:val="24"/>
        </w:rPr>
        <w:t>íctima</w:t>
      </w:r>
      <w:r w:rsidR="00D57ECD" w:rsidRPr="008E121F">
        <w:rPr>
          <w:rFonts w:ascii="Arial" w:hAnsi="Arial" w:cs="Arial"/>
          <w:sz w:val="24"/>
          <w:szCs w:val="24"/>
        </w:rPr>
        <w:t xml:space="preserve"> menor</w:t>
      </w:r>
      <w:r w:rsidR="00BD6582" w:rsidRPr="008E121F">
        <w:rPr>
          <w:rFonts w:ascii="Arial" w:hAnsi="Arial" w:cs="Arial"/>
          <w:sz w:val="24"/>
          <w:szCs w:val="24"/>
        </w:rPr>
        <w:t xml:space="preserve"> </w:t>
      </w:r>
      <w:r w:rsidR="00D57ECD" w:rsidRPr="008E121F">
        <w:rPr>
          <w:rFonts w:ascii="Arial" w:hAnsi="Arial" w:cs="Arial"/>
          <w:sz w:val="24"/>
          <w:szCs w:val="24"/>
        </w:rPr>
        <w:t>de edad.</w:t>
      </w:r>
    </w:p>
    <w:p w:rsidR="002A6CA0" w:rsidRPr="008E121F" w:rsidRDefault="002A6CA0" w:rsidP="008138CD">
      <w:pPr>
        <w:pStyle w:val="Sinespaciado"/>
        <w:spacing w:line="360" w:lineRule="auto"/>
        <w:ind w:left="720"/>
        <w:jc w:val="both"/>
        <w:rPr>
          <w:rFonts w:ascii="Arial" w:hAnsi="Arial" w:cs="Arial"/>
          <w:sz w:val="24"/>
          <w:szCs w:val="24"/>
        </w:rPr>
      </w:pPr>
    </w:p>
    <w:p w:rsidR="00AC7026" w:rsidRPr="008E121F" w:rsidRDefault="00AC7026" w:rsidP="005E454B">
      <w:pPr>
        <w:pStyle w:val="Sinespaciado"/>
        <w:numPr>
          <w:ilvl w:val="1"/>
          <w:numId w:val="17"/>
        </w:numPr>
        <w:spacing w:before="240" w:line="360" w:lineRule="auto"/>
        <w:ind w:left="709" w:hanging="709"/>
        <w:jc w:val="both"/>
        <w:rPr>
          <w:rFonts w:ascii="Arial" w:hAnsi="Arial" w:cs="Arial"/>
          <w:sz w:val="24"/>
          <w:szCs w:val="24"/>
        </w:rPr>
      </w:pPr>
      <w:r w:rsidRPr="008E121F">
        <w:rPr>
          <w:rFonts w:ascii="Arial" w:hAnsi="Arial" w:cs="Arial"/>
          <w:sz w:val="24"/>
          <w:szCs w:val="24"/>
        </w:rPr>
        <w:t xml:space="preserve">DELEGADO DEL </w:t>
      </w:r>
      <w:r w:rsidR="002A6CA0" w:rsidRPr="008E121F">
        <w:rPr>
          <w:rFonts w:ascii="Arial" w:hAnsi="Arial" w:cs="Arial"/>
          <w:sz w:val="24"/>
          <w:szCs w:val="24"/>
        </w:rPr>
        <w:t>MINISTERIO PÚBLICO</w:t>
      </w:r>
      <w:r w:rsidR="005E454B" w:rsidRPr="008E121F">
        <w:rPr>
          <w:rFonts w:ascii="Arial" w:hAnsi="Arial" w:cs="Arial"/>
          <w:sz w:val="24"/>
          <w:szCs w:val="24"/>
        </w:rPr>
        <w:t xml:space="preserve"> (</w:t>
      </w:r>
      <w:r w:rsidRPr="008E121F">
        <w:rPr>
          <w:rFonts w:ascii="Arial" w:hAnsi="Arial" w:cs="Arial"/>
          <w:sz w:val="24"/>
          <w:szCs w:val="24"/>
        </w:rPr>
        <w:t xml:space="preserve">Sinopsis ) </w:t>
      </w:r>
    </w:p>
    <w:p w:rsidR="00BD6582" w:rsidRPr="008E121F" w:rsidRDefault="00AC7026" w:rsidP="008138CD">
      <w:pPr>
        <w:pStyle w:val="Sinespaciado"/>
        <w:numPr>
          <w:ilvl w:val="0"/>
          <w:numId w:val="22"/>
        </w:numPr>
        <w:spacing w:before="240" w:after="240" w:line="360" w:lineRule="auto"/>
        <w:jc w:val="both"/>
        <w:rPr>
          <w:rFonts w:ascii="Arial" w:hAnsi="Arial" w:cs="Arial"/>
          <w:sz w:val="24"/>
          <w:szCs w:val="24"/>
        </w:rPr>
      </w:pPr>
      <w:r w:rsidRPr="008E121F">
        <w:rPr>
          <w:rFonts w:ascii="Arial" w:hAnsi="Arial" w:cs="Arial"/>
          <w:sz w:val="24"/>
          <w:szCs w:val="24"/>
        </w:rPr>
        <w:t xml:space="preserve">Debe </w:t>
      </w:r>
      <w:r w:rsidR="002A6CA0" w:rsidRPr="008E121F">
        <w:rPr>
          <w:rFonts w:ascii="Arial" w:hAnsi="Arial" w:cs="Arial"/>
          <w:sz w:val="24"/>
          <w:szCs w:val="24"/>
        </w:rPr>
        <w:t>declararse fundada la caus</w:t>
      </w:r>
      <w:r w:rsidR="000F27E2" w:rsidRPr="008E121F">
        <w:rPr>
          <w:rFonts w:ascii="Arial" w:hAnsi="Arial" w:cs="Arial"/>
          <w:sz w:val="24"/>
          <w:szCs w:val="24"/>
        </w:rPr>
        <w:t>al de revisión por cuanto se dan</w:t>
      </w:r>
      <w:r w:rsidR="002A6CA0" w:rsidRPr="008E121F">
        <w:rPr>
          <w:rFonts w:ascii="Arial" w:hAnsi="Arial" w:cs="Arial"/>
          <w:sz w:val="24"/>
          <w:szCs w:val="24"/>
        </w:rPr>
        <w:t xml:space="preserve"> los presupuestos para </w:t>
      </w:r>
      <w:r w:rsidR="000F27E2" w:rsidRPr="008E121F">
        <w:rPr>
          <w:rFonts w:ascii="Arial" w:hAnsi="Arial" w:cs="Arial"/>
          <w:sz w:val="24"/>
          <w:szCs w:val="24"/>
        </w:rPr>
        <w:t>su procedencia</w:t>
      </w:r>
      <w:r w:rsidR="002A6CA0" w:rsidRPr="008E121F">
        <w:rPr>
          <w:rFonts w:ascii="Arial" w:hAnsi="Arial" w:cs="Arial"/>
          <w:sz w:val="24"/>
          <w:szCs w:val="24"/>
        </w:rPr>
        <w:t xml:space="preserve"> conforme a la jurisprudencia </w:t>
      </w:r>
      <w:r w:rsidR="005F0D49" w:rsidRPr="008E121F">
        <w:rPr>
          <w:rFonts w:ascii="Arial" w:hAnsi="Arial" w:cs="Arial"/>
          <w:sz w:val="24"/>
          <w:szCs w:val="24"/>
        </w:rPr>
        <w:t>aludida</w:t>
      </w:r>
      <w:r w:rsidRPr="008E121F">
        <w:rPr>
          <w:rFonts w:ascii="Arial" w:hAnsi="Arial" w:cs="Arial"/>
          <w:sz w:val="24"/>
          <w:szCs w:val="24"/>
        </w:rPr>
        <w:t xml:space="preserve">, </w:t>
      </w:r>
      <w:r w:rsidR="002A6CA0" w:rsidRPr="008E121F">
        <w:rPr>
          <w:rFonts w:ascii="Arial" w:hAnsi="Arial" w:cs="Arial"/>
          <w:sz w:val="24"/>
          <w:szCs w:val="24"/>
        </w:rPr>
        <w:t xml:space="preserve"> </w:t>
      </w:r>
      <w:r w:rsidR="000F27E2" w:rsidRPr="008E121F">
        <w:rPr>
          <w:rFonts w:ascii="Arial" w:hAnsi="Arial" w:cs="Arial"/>
          <w:sz w:val="24"/>
          <w:szCs w:val="24"/>
        </w:rPr>
        <w:t>puesto que en la dosificación de la pena</w:t>
      </w:r>
      <w:r w:rsidR="005F0D49" w:rsidRPr="008E121F">
        <w:rPr>
          <w:rFonts w:ascii="Arial" w:hAnsi="Arial" w:cs="Arial"/>
          <w:sz w:val="24"/>
          <w:szCs w:val="24"/>
        </w:rPr>
        <w:t xml:space="preserve"> no era viabl</w:t>
      </w:r>
      <w:r w:rsidR="00DF66FB" w:rsidRPr="008E121F">
        <w:rPr>
          <w:rFonts w:ascii="Arial" w:hAnsi="Arial" w:cs="Arial"/>
          <w:sz w:val="24"/>
          <w:szCs w:val="24"/>
        </w:rPr>
        <w:t>e el incremento punitivo de la L</w:t>
      </w:r>
      <w:r w:rsidR="005F0D49" w:rsidRPr="008E121F">
        <w:rPr>
          <w:rFonts w:ascii="Arial" w:hAnsi="Arial" w:cs="Arial"/>
          <w:sz w:val="24"/>
          <w:szCs w:val="24"/>
        </w:rPr>
        <w:t>ey 890</w:t>
      </w:r>
      <w:r w:rsidR="00DF66FB" w:rsidRPr="008E121F">
        <w:rPr>
          <w:rFonts w:ascii="Arial" w:hAnsi="Arial" w:cs="Arial"/>
          <w:sz w:val="24"/>
          <w:szCs w:val="24"/>
        </w:rPr>
        <w:t xml:space="preserve"> de 2004</w:t>
      </w:r>
      <w:r w:rsidR="005F0D49" w:rsidRPr="008E121F">
        <w:rPr>
          <w:rFonts w:ascii="Arial" w:hAnsi="Arial" w:cs="Arial"/>
          <w:sz w:val="24"/>
          <w:szCs w:val="24"/>
        </w:rPr>
        <w:t xml:space="preserve"> por </w:t>
      </w:r>
      <w:r w:rsidR="00DF66FB" w:rsidRPr="008E121F">
        <w:rPr>
          <w:rFonts w:ascii="Arial" w:hAnsi="Arial" w:cs="Arial"/>
          <w:sz w:val="24"/>
          <w:szCs w:val="24"/>
        </w:rPr>
        <w:t>existir</w:t>
      </w:r>
      <w:r w:rsidR="005F0D49" w:rsidRPr="008E121F">
        <w:rPr>
          <w:rFonts w:ascii="Arial" w:hAnsi="Arial" w:cs="Arial"/>
          <w:sz w:val="24"/>
          <w:szCs w:val="24"/>
        </w:rPr>
        <w:t xml:space="preserve"> la prohibición </w:t>
      </w:r>
      <w:r w:rsidRPr="008E121F">
        <w:rPr>
          <w:rFonts w:ascii="Arial" w:hAnsi="Arial" w:cs="Arial"/>
          <w:sz w:val="24"/>
          <w:szCs w:val="24"/>
        </w:rPr>
        <w:t xml:space="preserve">prevista en la </w:t>
      </w:r>
      <w:r w:rsidR="00DF66FB" w:rsidRPr="008E121F">
        <w:rPr>
          <w:rFonts w:ascii="Arial" w:hAnsi="Arial" w:cs="Arial"/>
          <w:sz w:val="24"/>
          <w:szCs w:val="24"/>
        </w:rPr>
        <w:t xml:space="preserve"> L</w:t>
      </w:r>
      <w:r w:rsidR="005F0D49" w:rsidRPr="008E121F">
        <w:rPr>
          <w:rFonts w:ascii="Arial" w:hAnsi="Arial" w:cs="Arial"/>
          <w:sz w:val="24"/>
          <w:szCs w:val="24"/>
        </w:rPr>
        <w:t>ey 1098</w:t>
      </w:r>
      <w:r w:rsidR="00DF66FB" w:rsidRPr="008E121F">
        <w:rPr>
          <w:rFonts w:ascii="Arial" w:hAnsi="Arial" w:cs="Arial"/>
          <w:sz w:val="24"/>
          <w:szCs w:val="24"/>
        </w:rPr>
        <w:t xml:space="preserve"> de 2006.</w:t>
      </w:r>
    </w:p>
    <w:p w:rsidR="002A6CA0" w:rsidRPr="008E121F" w:rsidRDefault="00AC7026" w:rsidP="008138CD">
      <w:pPr>
        <w:pStyle w:val="Sinespaciado"/>
        <w:numPr>
          <w:ilvl w:val="0"/>
          <w:numId w:val="22"/>
        </w:numPr>
        <w:spacing w:after="240" w:line="360" w:lineRule="auto"/>
        <w:jc w:val="both"/>
        <w:rPr>
          <w:rFonts w:ascii="Arial" w:hAnsi="Arial" w:cs="Arial"/>
          <w:sz w:val="24"/>
          <w:szCs w:val="24"/>
        </w:rPr>
      </w:pPr>
      <w:r w:rsidRPr="008E121F">
        <w:rPr>
          <w:rFonts w:ascii="Arial" w:hAnsi="Arial" w:cs="Arial"/>
          <w:sz w:val="24"/>
          <w:szCs w:val="24"/>
        </w:rPr>
        <w:t xml:space="preserve">En </w:t>
      </w:r>
      <w:r w:rsidR="002A6CA0" w:rsidRPr="008E121F">
        <w:rPr>
          <w:rFonts w:ascii="Arial" w:hAnsi="Arial" w:cs="Arial"/>
          <w:sz w:val="24"/>
          <w:szCs w:val="24"/>
        </w:rPr>
        <w:t>caso de declararse fundada la causal, la decisión de</w:t>
      </w:r>
      <w:r w:rsidR="001876AA" w:rsidRPr="008E121F">
        <w:rPr>
          <w:rFonts w:ascii="Arial" w:hAnsi="Arial" w:cs="Arial"/>
          <w:sz w:val="24"/>
          <w:szCs w:val="24"/>
        </w:rPr>
        <w:t>be</w:t>
      </w:r>
      <w:r w:rsidR="002A6CA0" w:rsidRPr="008E121F">
        <w:rPr>
          <w:rFonts w:ascii="Arial" w:hAnsi="Arial" w:cs="Arial"/>
          <w:sz w:val="24"/>
          <w:szCs w:val="24"/>
        </w:rPr>
        <w:t xml:space="preserve"> extenderse al señor César Alberto Morales Gómez quien también fuera condenado mediante la providencia objeto de revisión</w:t>
      </w:r>
      <w:r w:rsidR="00240980" w:rsidRPr="008E121F">
        <w:rPr>
          <w:rFonts w:ascii="Arial" w:hAnsi="Arial" w:cs="Arial"/>
          <w:sz w:val="24"/>
          <w:szCs w:val="24"/>
        </w:rPr>
        <w:t>.</w:t>
      </w:r>
    </w:p>
    <w:p w:rsidR="00742D85" w:rsidRPr="008E121F" w:rsidRDefault="00742D85" w:rsidP="008138CD">
      <w:pPr>
        <w:pStyle w:val="Sinespaciado"/>
        <w:spacing w:line="360" w:lineRule="auto"/>
        <w:jc w:val="both"/>
        <w:rPr>
          <w:rFonts w:ascii="Arial" w:hAnsi="Arial" w:cs="Arial"/>
          <w:sz w:val="24"/>
          <w:szCs w:val="24"/>
        </w:rPr>
      </w:pPr>
    </w:p>
    <w:p w:rsidR="00B22C12" w:rsidRPr="008E121F" w:rsidRDefault="00240980" w:rsidP="008138CD">
      <w:pPr>
        <w:pStyle w:val="Prrafodelista"/>
        <w:numPr>
          <w:ilvl w:val="0"/>
          <w:numId w:val="17"/>
        </w:numPr>
        <w:spacing w:line="360" w:lineRule="auto"/>
        <w:jc w:val="center"/>
        <w:rPr>
          <w:sz w:val="24"/>
          <w:szCs w:val="24"/>
        </w:rPr>
      </w:pPr>
      <w:r w:rsidRPr="008E121F">
        <w:rPr>
          <w:sz w:val="24"/>
          <w:szCs w:val="24"/>
        </w:rPr>
        <w:t>CONSIDERACIONES LEGALES</w:t>
      </w:r>
    </w:p>
    <w:p w:rsidR="00502261" w:rsidRPr="008E121F" w:rsidRDefault="00502261" w:rsidP="008138CD">
      <w:pPr>
        <w:pStyle w:val="Prrafodelista"/>
        <w:spacing w:line="360" w:lineRule="auto"/>
        <w:rPr>
          <w:sz w:val="24"/>
          <w:szCs w:val="24"/>
        </w:rPr>
      </w:pPr>
    </w:p>
    <w:p w:rsidR="00916631" w:rsidRPr="008E121F" w:rsidRDefault="00B22C12" w:rsidP="008138CD">
      <w:pPr>
        <w:pStyle w:val="Prrafodelista"/>
        <w:numPr>
          <w:ilvl w:val="1"/>
          <w:numId w:val="17"/>
        </w:numPr>
        <w:tabs>
          <w:tab w:val="left" w:pos="0"/>
        </w:tabs>
        <w:spacing w:before="240" w:after="240" w:line="360" w:lineRule="auto"/>
        <w:ind w:left="0" w:firstLine="0"/>
        <w:jc w:val="both"/>
        <w:rPr>
          <w:rFonts w:eastAsia="Adobe Gothic Std B"/>
          <w:sz w:val="24"/>
          <w:szCs w:val="24"/>
        </w:rPr>
      </w:pPr>
      <w:r w:rsidRPr="008E121F">
        <w:rPr>
          <w:sz w:val="24"/>
          <w:szCs w:val="24"/>
        </w:rPr>
        <w:t xml:space="preserve">Esta Colegiatura es competente para decidir la presente </w:t>
      </w:r>
      <w:r w:rsidR="002F4234" w:rsidRPr="008E121F">
        <w:rPr>
          <w:sz w:val="24"/>
          <w:szCs w:val="24"/>
        </w:rPr>
        <w:t>acción,</w:t>
      </w:r>
      <w:r w:rsidR="00240980" w:rsidRPr="008E121F">
        <w:rPr>
          <w:sz w:val="24"/>
          <w:szCs w:val="24"/>
        </w:rPr>
        <w:t xml:space="preserve"> con base en </w:t>
      </w:r>
      <w:r w:rsidR="002F4234" w:rsidRPr="008E121F">
        <w:rPr>
          <w:sz w:val="24"/>
          <w:szCs w:val="24"/>
        </w:rPr>
        <w:t>lo dispuesto en el numeral 3</w:t>
      </w:r>
      <w:r w:rsidR="00236AC1" w:rsidRPr="008E121F">
        <w:rPr>
          <w:sz w:val="24"/>
          <w:szCs w:val="24"/>
        </w:rPr>
        <w:t xml:space="preserve"> </w:t>
      </w:r>
      <w:r w:rsidR="002F4234" w:rsidRPr="008E121F">
        <w:rPr>
          <w:rFonts w:eastAsia="Adobe Gothic Std B"/>
          <w:sz w:val="24"/>
          <w:szCs w:val="24"/>
        </w:rPr>
        <w:t>del artículo 34 del C.P.P.;</w:t>
      </w:r>
      <w:r w:rsidR="00236AC1" w:rsidRPr="008E121F">
        <w:rPr>
          <w:rFonts w:eastAsia="Adobe Gothic Std B"/>
          <w:sz w:val="24"/>
          <w:szCs w:val="24"/>
        </w:rPr>
        <w:t xml:space="preserve"> ya que la sentencia cuya revisión se solicita fue dictada por el Juzgado</w:t>
      </w:r>
      <w:r w:rsidR="002F4234" w:rsidRPr="008E121F">
        <w:rPr>
          <w:rFonts w:eastAsia="Adobe Gothic Std B"/>
          <w:sz w:val="24"/>
          <w:szCs w:val="24"/>
        </w:rPr>
        <w:t xml:space="preserve"> Cuarto</w:t>
      </w:r>
      <w:r w:rsidR="00236AC1" w:rsidRPr="008E121F">
        <w:rPr>
          <w:rFonts w:eastAsia="Adobe Gothic Std B"/>
          <w:sz w:val="24"/>
          <w:szCs w:val="24"/>
        </w:rPr>
        <w:t xml:space="preserve"> </w:t>
      </w:r>
      <w:r w:rsidR="001C4823" w:rsidRPr="008E121F">
        <w:rPr>
          <w:rFonts w:eastAsia="Adobe Gothic Std B"/>
          <w:sz w:val="24"/>
          <w:szCs w:val="24"/>
        </w:rPr>
        <w:t xml:space="preserve">Penal </w:t>
      </w:r>
      <w:r w:rsidR="002F4234" w:rsidRPr="008E121F">
        <w:rPr>
          <w:rFonts w:eastAsia="Adobe Gothic Std B"/>
          <w:sz w:val="24"/>
          <w:szCs w:val="24"/>
        </w:rPr>
        <w:t xml:space="preserve">del </w:t>
      </w:r>
      <w:r w:rsidR="00346A17" w:rsidRPr="008E121F">
        <w:rPr>
          <w:rFonts w:eastAsia="Adobe Gothic Std B"/>
          <w:sz w:val="24"/>
          <w:szCs w:val="24"/>
        </w:rPr>
        <w:t>Circuito de Pereira (Risaralda)</w:t>
      </w:r>
      <w:r w:rsidR="002F4234" w:rsidRPr="008E121F">
        <w:rPr>
          <w:rFonts w:eastAsia="Adobe Gothic Std B"/>
          <w:sz w:val="24"/>
          <w:szCs w:val="24"/>
        </w:rPr>
        <w:t xml:space="preserve"> el 14 de julio de 2008</w:t>
      </w:r>
      <w:r w:rsidR="00236AC1" w:rsidRPr="008E121F">
        <w:rPr>
          <w:rFonts w:eastAsia="Adobe Gothic Std B"/>
          <w:sz w:val="24"/>
          <w:szCs w:val="24"/>
        </w:rPr>
        <w:t>.</w:t>
      </w:r>
    </w:p>
    <w:p w:rsidR="00916631" w:rsidRPr="008E121F" w:rsidRDefault="00916631" w:rsidP="008138CD">
      <w:pPr>
        <w:pStyle w:val="Prrafodelista"/>
        <w:tabs>
          <w:tab w:val="left" w:pos="0"/>
        </w:tabs>
        <w:spacing w:before="240" w:after="240" w:line="360" w:lineRule="auto"/>
        <w:ind w:left="0"/>
        <w:jc w:val="both"/>
        <w:rPr>
          <w:rFonts w:eastAsia="Adobe Gothic Std B"/>
          <w:sz w:val="24"/>
          <w:szCs w:val="24"/>
        </w:rPr>
      </w:pPr>
    </w:p>
    <w:p w:rsidR="00916631" w:rsidRPr="008E121F" w:rsidRDefault="002F4234" w:rsidP="008138CD">
      <w:pPr>
        <w:pStyle w:val="Prrafodelista"/>
        <w:numPr>
          <w:ilvl w:val="1"/>
          <w:numId w:val="17"/>
        </w:numPr>
        <w:tabs>
          <w:tab w:val="left" w:pos="0"/>
        </w:tabs>
        <w:spacing w:before="240" w:after="240" w:line="360" w:lineRule="auto"/>
        <w:ind w:left="0" w:firstLine="0"/>
        <w:jc w:val="both"/>
        <w:rPr>
          <w:rFonts w:eastAsia="Adobe Gothic Std B"/>
          <w:sz w:val="24"/>
          <w:szCs w:val="24"/>
        </w:rPr>
      </w:pPr>
      <w:r w:rsidRPr="008E121F">
        <w:rPr>
          <w:rFonts w:eastAsia="Adobe Gothic Std B"/>
          <w:sz w:val="24"/>
          <w:szCs w:val="24"/>
        </w:rPr>
        <w:t>E</w:t>
      </w:r>
      <w:r w:rsidR="00236AC1" w:rsidRPr="008E121F">
        <w:rPr>
          <w:rFonts w:eastAsia="Adobe Gothic Std B"/>
          <w:sz w:val="24"/>
          <w:szCs w:val="24"/>
        </w:rPr>
        <w:t>n consecuencia</w:t>
      </w:r>
      <w:r w:rsidRPr="008E121F">
        <w:rPr>
          <w:rFonts w:eastAsia="Adobe Gothic Std B"/>
          <w:sz w:val="24"/>
          <w:szCs w:val="24"/>
        </w:rPr>
        <w:t>,</w:t>
      </w:r>
      <w:r w:rsidR="00236AC1" w:rsidRPr="008E121F">
        <w:rPr>
          <w:rFonts w:eastAsia="Adobe Gothic Std B"/>
          <w:sz w:val="24"/>
          <w:szCs w:val="24"/>
        </w:rPr>
        <w:t xml:space="preserve"> se debe decidir si en el caso </w:t>
      </w:r>
      <w:r w:rsidR="00236AC1" w:rsidRPr="008E121F">
        <w:rPr>
          <w:rFonts w:eastAsia="Adobe Gothic Std B"/>
          <w:i/>
          <w:sz w:val="24"/>
          <w:szCs w:val="24"/>
        </w:rPr>
        <w:t xml:space="preserve">sub lite </w:t>
      </w:r>
      <w:r w:rsidR="00236AC1" w:rsidRPr="008E121F">
        <w:rPr>
          <w:rFonts w:eastAsia="Adobe Gothic Std B"/>
          <w:sz w:val="24"/>
          <w:szCs w:val="24"/>
        </w:rPr>
        <w:t xml:space="preserve">resulta aplicable la causal establecida en el numeral </w:t>
      </w:r>
      <w:r w:rsidRPr="008E121F">
        <w:rPr>
          <w:rFonts w:eastAsia="Adobe Gothic Std B"/>
          <w:sz w:val="24"/>
          <w:szCs w:val="24"/>
          <w:lang w:val="es-ES"/>
        </w:rPr>
        <w:t>7</w:t>
      </w:r>
      <w:r w:rsidR="00ED28C7" w:rsidRPr="008E121F">
        <w:rPr>
          <w:rFonts w:eastAsia="Adobe Gothic Std B"/>
          <w:sz w:val="24"/>
          <w:szCs w:val="24"/>
          <w:lang w:val="es-ES"/>
        </w:rPr>
        <w:t xml:space="preserve"> del artículo 192 C.P.P.</w:t>
      </w:r>
      <w:r w:rsidRPr="008E121F">
        <w:rPr>
          <w:rFonts w:eastAsia="Adobe Gothic Std B"/>
          <w:sz w:val="24"/>
          <w:szCs w:val="24"/>
          <w:lang w:val="es-ES"/>
        </w:rPr>
        <w:t>,</w:t>
      </w:r>
      <w:r w:rsidR="00ED28C7" w:rsidRPr="008E121F">
        <w:rPr>
          <w:rFonts w:eastAsia="Adobe Gothic Std B"/>
          <w:sz w:val="24"/>
          <w:szCs w:val="24"/>
          <w:lang w:val="es-ES"/>
        </w:rPr>
        <w:t xml:space="preserve"> para la procedencia de la acción de revisión </w:t>
      </w:r>
      <w:r w:rsidR="00864522" w:rsidRPr="008E121F">
        <w:rPr>
          <w:rFonts w:eastAsia="Adobe Gothic Std B"/>
          <w:sz w:val="24"/>
          <w:szCs w:val="24"/>
          <w:lang w:val="es-ES"/>
        </w:rPr>
        <w:t xml:space="preserve">presentada </w:t>
      </w:r>
      <w:r w:rsidR="00ED28C7" w:rsidRPr="008E121F">
        <w:rPr>
          <w:rFonts w:eastAsia="Adobe Gothic Std B"/>
          <w:sz w:val="24"/>
          <w:szCs w:val="24"/>
          <w:lang w:val="es-ES"/>
        </w:rPr>
        <w:t xml:space="preserve">contra de la sentencia </w:t>
      </w:r>
      <w:r w:rsidR="00236AC1" w:rsidRPr="008E121F">
        <w:rPr>
          <w:rFonts w:eastAsia="Adobe Gothic Std B"/>
          <w:sz w:val="24"/>
          <w:szCs w:val="24"/>
          <w:lang w:val="es-ES"/>
        </w:rPr>
        <w:t>en mención</w:t>
      </w:r>
      <w:r w:rsidR="00864522" w:rsidRPr="008E121F">
        <w:rPr>
          <w:rFonts w:eastAsia="Adobe Gothic Std B"/>
          <w:sz w:val="24"/>
          <w:szCs w:val="24"/>
          <w:lang w:val="es-ES"/>
        </w:rPr>
        <w:t>.</w:t>
      </w:r>
    </w:p>
    <w:p w:rsidR="00916631" w:rsidRPr="008E121F" w:rsidRDefault="00916631" w:rsidP="008138CD">
      <w:pPr>
        <w:pStyle w:val="Prrafodelista"/>
        <w:tabs>
          <w:tab w:val="left" w:pos="0"/>
        </w:tabs>
        <w:spacing w:before="240" w:after="240" w:line="360" w:lineRule="auto"/>
        <w:ind w:left="0"/>
        <w:jc w:val="both"/>
        <w:rPr>
          <w:rFonts w:eastAsia="Adobe Gothic Std B"/>
          <w:sz w:val="24"/>
          <w:szCs w:val="24"/>
        </w:rPr>
      </w:pPr>
    </w:p>
    <w:p w:rsidR="00984719" w:rsidRPr="008E121F" w:rsidRDefault="00864522" w:rsidP="008138CD">
      <w:pPr>
        <w:pStyle w:val="Prrafodelista"/>
        <w:numPr>
          <w:ilvl w:val="1"/>
          <w:numId w:val="17"/>
        </w:numPr>
        <w:tabs>
          <w:tab w:val="left" w:pos="0"/>
        </w:tabs>
        <w:spacing w:line="360" w:lineRule="auto"/>
        <w:ind w:left="0" w:firstLine="0"/>
        <w:jc w:val="both"/>
        <w:rPr>
          <w:rFonts w:eastAsia="Adobe Gothic Std B"/>
          <w:sz w:val="24"/>
          <w:szCs w:val="24"/>
        </w:rPr>
      </w:pPr>
      <w:r w:rsidRPr="008E121F">
        <w:rPr>
          <w:rFonts w:eastAsia="Adobe Gothic Std B"/>
          <w:sz w:val="24"/>
          <w:szCs w:val="24"/>
          <w:lang w:val="es-ES"/>
        </w:rPr>
        <w:t xml:space="preserve">En el caso </w:t>
      </w:r>
      <w:r w:rsidRPr="008E121F">
        <w:rPr>
          <w:rFonts w:eastAsia="Adobe Gothic Std B"/>
          <w:i/>
          <w:sz w:val="24"/>
          <w:szCs w:val="24"/>
          <w:lang w:val="es-ES"/>
        </w:rPr>
        <w:t xml:space="preserve">sub examen, </w:t>
      </w:r>
      <w:r w:rsidR="00F853FB" w:rsidRPr="008E121F">
        <w:rPr>
          <w:rFonts w:eastAsia="Adobe Gothic Std B"/>
          <w:sz w:val="24"/>
          <w:szCs w:val="24"/>
          <w:lang w:val="es-ES"/>
        </w:rPr>
        <w:t>se parte de lo siguiente</w:t>
      </w:r>
      <w:r w:rsidRPr="008E121F">
        <w:rPr>
          <w:rFonts w:eastAsia="Adobe Gothic Std B"/>
          <w:sz w:val="24"/>
          <w:szCs w:val="24"/>
          <w:lang w:val="es-ES"/>
        </w:rPr>
        <w:t>:</w:t>
      </w:r>
    </w:p>
    <w:p w:rsidR="00984719" w:rsidRPr="008E121F" w:rsidRDefault="00F2305B" w:rsidP="008138CD">
      <w:pPr>
        <w:pStyle w:val="Prrafodelista"/>
        <w:numPr>
          <w:ilvl w:val="0"/>
          <w:numId w:val="24"/>
        </w:numPr>
        <w:tabs>
          <w:tab w:val="left" w:pos="284"/>
        </w:tabs>
        <w:spacing w:line="360" w:lineRule="auto"/>
        <w:ind w:left="284" w:hanging="284"/>
        <w:jc w:val="both"/>
        <w:rPr>
          <w:rFonts w:eastAsia="Adobe Gothic Std B"/>
          <w:sz w:val="24"/>
          <w:szCs w:val="24"/>
        </w:rPr>
      </w:pPr>
      <w:r w:rsidRPr="008E121F">
        <w:rPr>
          <w:rFonts w:eastAsia="Adobe Gothic Std B"/>
          <w:sz w:val="24"/>
          <w:szCs w:val="24"/>
          <w:lang w:val="es-ES"/>
        </w:rPr>
        <w:lastRenderedPageBreak/>
        <w:t xml:space="preserve">El señor Richard </w:t>
      </w:r>
      <w:r w:rsidR="00AC7026" w:rsidRPr="008E121F">
        <w:rPr>
          <w:rFonts w:eastAsia="Adobe Gothic Std B"/>
          <w:sz w:val="24"/>
          <w:szCs w:val="24"/>
          <w:lang w:val="es-ES"/>
        </w:rPr>
        <w:t xml:space="preserve">Hernando </w:t>
      </w:r>
      <w:r w:rsidR="00CC73CD" w:rsidRPr="008E121F">
        <w:rPr>
          <w:rFonts w:eastAsia="Adobe Gothic Std B"/>
          <w:sz w:val="24"/>
          <w:szCs w:val="24"/>
          <w:lang w:val="es-ES"/>
        </w:rPr>
        <w:t>Hincapié Girald</w:t>
      </w:r>
      <w:r w:rsidR="00984719" w:rsidRPr="008E121F">
        <w:rPr>
          <w:rFonts w:eastAsia="Adobe Gothic Std B"/>
          <w:sz w:val="24"/>
          <w:szCs w:val="24"/>
          <w:lang w:val="es-ES"/>
        </w:rPr>
        <w:t xml:space="preserve">o fue condenado por el Juzgado Cuarto Penal del Circuito </w:t>
      </w:r>
      <w:r w:rsidR="00323DC3" w:rsidRPr="008E121F">
        <w:rPr>
          <w:rFonts w:eastAsia="Adobe Gothic Std B"/>
          <w:sz w:val="24"/>
          <w:szCs w:val="24"/>
          <w:lang w:val="es-ES"/>
        </w:rPr>
        <w:t>de Pereira</w:t>
      </w:r>
      <w:r w:rsidR="00984719" w:rsidRPr="008E121F">
        <w:rPr>
          <w:rFonts w:eastAsia="Adobe Gothic Std B"/>
          <w:sz w:val="24"/>
          <w:szCs w:val="24"/>
          <w:lang w:val="es-ES"/>
        </w:rPr>
        <w:t xml:space="preserve"> (Risaralda)</w:t>
      </w:r>
      <w:r w:rsidR="004C6C7A" w:rsidRPr="008E121F">
        <w:rPr>
          <w:rFonts w:eastAsia="Adobe Gothic Std B"/>
          <w:sz w:val="24"/>
          <w:szCs w:val="24"/>
          <w:lang w:val="es-ES"/>
        </w:rPr>
        <w:t xml:space="preserve"> el </w:t>
      </w:r>
      <w:r w:rsidR="00984719" w:rsidRPr="008E121F">
        <w:rPr>
          <w:rFonts w:eastAsia="Adobe Gothic Std B"/>
          <w:sz w:val="24"/>
          <w:szCs w:val="24"/>
          <w:lang w:val="es-ES"/>
        </w:rPr>
        <w:t>14</w:t>
      </w:r>
      <w:r w:rsidR="004C6C7A" w:rsidRPr="008E121F">
        <w:rPr>
          <w:rFonts w:eastAsia="Adobe Gothic Std B"/>
          <w:sz w:val="24"/>
          <w:szCs w:val="24"/>
          <w:lang w:val="es-ES"/>
        </w:rPr>
        <w:t xml:space="preserve"> de </w:t>
      </w:r>
      <w:r w:rsidR="00984719" w:rsidRPr="008E121F">
        <w:rPr>
          <w:rFonts w:eastAsia="Adobe Gothic Std B"/>
          <w:sz w:val="24"/>
          <w:szCs w:val="24"/>
          <w:lang w:val="es-ES"/>
        </w:rPr>
        <w:t>julio de 2008,</w:t>
      </w:r>
      <w:r w:rsidR="004C6C7A" w:rsidRPr="008E121F">
        <w:rPr>
          <w:rFonts w:eastAsia="Adobe Gothic Std B"/>
          <w:sz w:val="24"/>
          <w:szCs w:val="24"/>
          <w:lang w:val="es-ES"/>
        </w:rPr>
        <w:t xml:space="preserve"> a la pena</w:t>
      </w:r>
      <w:r w:rsidR="00AA1945" w:rsidRPr="008E121F">
        <w:rPr>
          <w:rFonts w:eastAsia="Adobe Gothic Std B"/>
          <w:sz w:val="24"/>
          <w:szCs w:val="24"/>
          <w:lang w:val="es-ES"/>
        </w:rPr>
        <w:t xml:space="preserve"> principal</w:t>
      </w:r>
      <w:r w:rsidR="004C6C7A" w:rsidRPr="008E121F">
        <w:rPr>
          <w:rFonts w:eastAsia="Adobe Gothic Std B"/>
          <w:sz w:val="24"/>
          <w:szCs w:val="24"/>
          <w:lang w:val="es-ES"/>
        </w:rPr>
        <w:t xml:space="preserve"> </w:t>
      </w:r>
      <w:r w:rsidR="00A11398" w:rsidRPr="008E121F">
        <w:rPr>
          <w:rFonts w:eastAsia="Adobe Gothic Std B"/>
          <w:sz w:val="24"/>
          <w:szCs w:val="24"/>
          <w:lang w:val="es-ES"/>
        </w:rPr>
        <w:t>de</w:t>
      </w:r>
      <w:r w:rsidR="00AA1945" w:rsidRPr="008E121F">
        <w:rPr>
          <w:rFonts w:eastAsia="Adobe Gothic Std B"/>
          <w:sz w:val="24"/>
          <w:szCs w:val="24"/>
          <w:lang w:val="es-ES"/>
        </w:rPr>
        <w:t xml:space="preserve"> 45 años y</w:t>
      </w:r>
      <w:r w:rsidR="00984719" w:rsidRPr="008E121F">
        <w:rPr>
          <w:rFonts w:eastAsia="Adobe Gothic Std B"/>
          <w:sz w:val="24"/>
          <w:szCs w:val="24"/>
          <w:lang w:val="es-ES"/>
        </w:rPr>
        <w:t xml:space="preserve"> 6</w:t>
      </w:r>
      <w:r w:rsidR="00A11398" w:rsidRPr="008E121F">
        <w:rPr>
          <w:rFonts w:eastAsia="Adobe Gothic Std B"/>
          <w:sz w:val="24"/>
          <w:szCs w:val="24"/>
          <w:lang w:val="es-ES"/>
        </w:rPr>
        <w:t xml:space="preserve"> meses de prisión</w:t>
      </w:r>
      <w:r w:rsidR="00A11398" w:rsidRPr="008E121F">
        <w:rPr>
          <w:rStyle w:val="Refdenotaalpie"/>
          <w:rFonts w:eastAsia="Adobe Gothic Std B"/>
          <w:sz w:val="24"/>
          <w:szCs w:val="24"/>
          <w:lang w:val="es-ES"/>
        </w:rPr>
        <w:footnoteReference w:id="2"/>
      </w:r>
      <w:r w:rsidR="00F853FB" w:rsidRPr="008E121F">
        <w:rPr>
          <w:rFonts w:eastAsia="Adobe Gothic Std B"/>
          <w:sz w:val="24"/>
          <w:szCs w:val="24"/>
          <w:lang w:val="es-ES"/>
        </w:rPr>
        <w:t xml:space="preserve">; </w:t>
      </w:r>
      <w:r w:rsidR="00A0530B" w:rsidRPr="008E121F">
        <w:rPr>
          <w:rFonts w:eastAsia="Adobe Gothic Std B"/>
          <w:sz w:val="24"/>
          <w:szCs w:val="24"/>
          <w:lang w:val="es-ES"/>
        </w:rPr>
        <w:t>como responsable del concurso de condu</w:t>
      </w:r>
      <w:r w:rsidR="00025843" w:rsidRPr="008E121F">
        <w:rPr>
          <w:rFonts w:eastAsia="Adobe Gothic Std B"/>
          <w:sz w:val="24"/>
          <w:szCs w:val="24"/>
          <w:lang w:val="es-ES"/>
        </w:rPr>
        <w:t>ctas punibles antes mencionado.</w:t>
      </w:r>
    </w:p>
    <w:p w:rsidR="00F853FB" w:rsidRPr="008E121F" w:rsidRDefault="00F853FB" w:rsidP="008138CD">
      <w:pPr>
        <w:pStyle w:val="Prrafodelista"/>
        <w:tabs>
          <w:tab w:val="left" w:pos="284"/>
        </w:tabs>
        <w:spacing w:line="360" w:lineRule="auto"/>
        <w:ind w:left="284" w:hanging="284"/>
        <w:jc w:val="both"/>
        <w:rPr>
          <w:rFonts w:eastAsia="Adobe Gothic Std B"/>
          <w:sz w:val="24"/>
          <w:szCs w:val="24"/>
        </w:rPr>
      </w:pPr>
    </w:p>
    <w:p w:rsidR="00EE491C" w:rsidRPr="008E121F" w:rsidRDefault="00A11398" w:rsidP="008138CD">
      <w:pPr>
        <w:pStyle w:val="Prrafodelista"/>
        <w:numPr>
          <w:ilvl w:val="0"/>
          <w:numId w:val="24"/>
        </w:numPr>
        <w:tabs>
          <w:tab w:val="left" w:pos="284"/>
        </w:tabs>
        <w:spacing w:line="360" w:lineRule="auto"/>
        <w:ind w:left="284" w:hanging="284"/>
        <w:jc w:val="both"/>
        <w:rPr>
          <w:rFonts w:eastAsia="Adobe Gothic Std B"/>
          <w:sz w:val="24"/>
          <w:szCs w:val="24"/>
        </w:rPr>
      </w:pPr>
      <w:r w:rsidRPr="008E121F">
        <w:rPr>
          <w:rFonts w:eastAsia="Adobe Gothic Std B"/>
          <w:sz w:val="24"/>
          <w:szCs w:val="24"/>
          <w:lang w:val="es-ES"/>
        </w:rPr>
        <w:t xml:space="preserve">La sentencia en mención tuvo como fundamento el allanamiento a cargos del señor </w:t>
      </w:r>
      <w:r w:rsidR="00984719" w:rsidRPr="008E121F">
        <w:rPr>
          <w:rFonts w:eastAsia="Adobe Gothic Std B"/>
          <w:sz w:val="24"/>
          <w:szCs w:val="24"/>
          <w:lang w:val="es-ES"/>
        </w:rPr>
        <w:t>Hincapié Giraldo</w:t>
      </w:r>
      <w:r w:rsidRPr="008E121F">
        <w:rPr>
          <w:rFonts w:eastAsia="Adobe Gothic Std B"/>
          <w:sz w:val="24"/>
          <w:szCs w:val="24"/>
          <w:lang w:val="es-ES"/>
        </w:rPr>
        <w:t xml:space="preserve">, que </w:t>
      </w:r>
      <w:r w:rsidR="00EE491C" w:rsidRPr="008E121F">
        <w:rPr>
          <w:rFonts w:eastAsia="Adobe Gothic Std B"/>
          <w:sz w:val="24"/>
          <w:szCs w:val="24"/>
          <w:lang w:val="es-ES"/>
        </w:rPr>
        <w:t>fue presentado</w:t>
      </w:r>
      <w:r w:rsidRPr="008E121F">
        <w:rPr>
          <w:rFonts w:eastAsia="Adobe Gothic Std B"/>
          <w:sz w:val="24"/>
          <w:szCs w:val="24"/>
          <w:lang w:val="es-ES"/>
        </w:rPr>
        <w:t xml:space="preserve"> en la audiencia preparatoria </w:t>
      </w:r>
      <w:r w:rsidR="00984719" w:rsidRPr="008E121F">
        <w:rPr>
          <w:rFonts w:eastAsia="Adobe Gothic Std B"/>
          <w:sz w:val="24"/>
          <w:szCs w:val="24"/>
          <w:lang w:val="es-ES"/>
        </w:rPr>
        <w:t>llevada a cabo</w:t>
      </w:r>
      <w:r w:rsidR="00EE491C" w:rsidRPr="008E121F">
        <w:rPr>
          <w:rFonts w:eastAsia="Adobe Gothic Std B"/>
          <w:sz w:val="24"/>
          <w:szCs w:val="24"/>
          <w:lang w:val="es-ES"/>
        </w:rPr>
        <w:t xml:space="preserve"> el 24</w:t>
      </w:r>
      <w:r w:rsidR="00EF2A27" w:rsidRPr="008E121F">
        <w:rPr>
          <w:rFonts w:eastAsia="Adobe Gothic Std B"/>
          <w:sz w:val="24"/>
          <w:szCs w:val="24"/>
          <w:lang w:val="es-ES"/>
        </w:rPr>
        <w:t xml:space="preserve"> de </w:t>
      </w:r>
      <w:r w:rsidR="00EE491C" w:rsidRPr="008E121F">
        <w:rPr>
          <w:rFonts w:eastAsia="Adobe Gothic Std B"/>
          <w:sz w:val="24"/>
          <w:szCs w:val="24"/>
          <w:lang w:val="es-ES"/>
        </w:rPr>
        <w:t>junio</w:t>
      </w:r>
      <w:r w:rsidR="00EF2A27" w:rsidRPr="008E121F">
        <w:rPr>
          <w:rFonts w:eastAsia="Adobe Gothic Std B"/>
          <w:sz w:val="24"/>
          <w:szCs w:val="24"/>
          <w:lang w:val="es-ES"/>
        </w:rPr>
        <w:t xml:space="preserve"> de </w:t>
      </w:r>
      <w:r w:rsidR="00EE491C" w:rsidRPr="008E121F">
        <w:rPr>
          <w:rFonts w:eastAsia="Adobe Gothic Std B"/>
          <w:sz w:val="24"/>
          <w:szCs w:val="24"/>
          <w:lang w:val="es-ES"/>
        </w:rPr>
        <w:t>2008</w:t>
      </w:r>
      <w:r w:rsidRPr="008E121F">
        <w:rPr>
          <w:rStyle w:val="Refdenotaalpie"/>
          <w:rFonts w:eastAsia="Adobe Gothic Std B"/>
          <w:sz w:val="24"/>
          <w:szCs w:val="24"/>
          <w:lang w:val="es-ES"/>
        </w:rPr>
        <w:footnoteReference w:id="3"/>
      </w:r>
      <w:r w:rsidR="00EE491C" w:rsidRPr="008E121F">
        <w:rPr>
          <w:rFonts w:eastAsia="Adobe Gothic Std B"/>
          <w:sz w:val="24"/>
          <w:szCs w:val="24"/>
          <w:lang w:val="es-ES"/>
        </w:rPr>
        <w:t>.</w:t>
      </w:r>
    </w:p>
    <w:p w:rsidR="00F853FB" w:rsidRPr="008E121F" w:rsidRDefault="00F853FB" w:rsidP="008138CD">
      <w:pPr>
        <w:tabs>
          <w:tab w:val="left" w:pos="284"/>
        </w:tabs>
        <w:spacing w:line="360" w:lineRule="auto"/>
        <w:ind w:left="284" w:hanging="284"/>
        <w:jc w:val="both"/>
        <w:rPr>
          <w:rFonts w:eastAsia="Adobe Gothic Std B"/>
          <w:sz w:val="24"/>
          <w:szCs w:val="24"/>
        </w:rPr>
      </w:pPr>
    </w:p>
    <w:p w:rsidR="00F853FB" w:rsidRPr="008E121F" w:rsidRDefault="00A11398" w:rsidP="008138CD">
      <w:pPr>
        <w:pStyle w:val="Prrafodelista"/>
        <w:numPr>
          <w:ilvl w:val="0"/>
          <w:numId w:val="24"/>
        </w:numPr>
        <w:tabs>
          <w:tab w:val="left" w:pos="284"/>
        </w:tabs>
        <w:spacing w:line="360" w:lineRule="auto"/>
        <w:ind w:left="284" w:hanging="284"/>
        <w:jc w:val="both"/>
        <w:rPr>
          <w:rFonts w:eastAsia="Adobe Gothic Std B"/>
          <w:sz w:val="24"/>
          <w:szCs w:val="24"/>
        </w:rPr>
      </w:pPr>
      <w:r w:rsidRPr="008E121F">
        <w:rPr>
          <w:rFonts w:eastAsia="Adobe Gothic Std B"/>
          <w:sz w:val="24"/>
          <w:szCs w:val="24"/>
          <w:lang w:val="es-ES"/>
        </w:rPr>
        <w:t>Al hacer el ejercicio de dosimetría penal</w:t>
      </w:r>
      <w:r w:rsidR="00EE491C" w:rsidRPr="008E121F">
        <w:rPr>
          <w:rFonts w:eastAsia="Adobe Gothic Std B"/>
          <w:sz w:val="24"/>
          <w:szCs w:val="24"/>
          <w:lang w:val="es-ES"/>
        </w:rPr>
        <w:t xml:space="preserve"> para el concurso de conductas punibles</w:t>
      </w:r>
      <w:r w:rsidR="00D940F3" w:rsidRPr="008E121F">
        <w:rPr>
          <w:rFonts w:eastAsia="Adobe Gothic Std B"/>
          <w:sz w:val="24"/>
          <w:szCs w:val="24"/>
          <w:lang w:val="es-ES"/>
        </w:rPr>
        <w:t>, el fallador tuvo como base la pena</w:t>
      </w:r>
      <w:r w:rsidR="007D7E55" w:rsidRPr="008E121F">
        <w:rPr>
          <w:rFonts w:eastAsia="Adobe Gothic Std B"/>
          <w:sz w:val="24"/>
          <w:szCs w:val="24"/>
          <w:lang w:val="es-ES"/>
        </w:rPr>
        <w:t xml:space="preserve"> del homicidio agravado</w:t>
      </w:r>
      <w:r w:rsidR="00D940F3" w:rsidRPr="008E121F">
        <w:rPr>
          <w:rFonts w:eastAsia="Adobe Gothic Std B"/>
          <w:sz w:val="24"/>
          <w:szCs w:val="24"/>
          <w:lang w:val="es-ES"/>
        </w:rPr>
        <w:t xml:space="preserve"> estable</w:t>
      </w:r>
      <w:r w:rsidR="00025843" w:rsidRPr="008E121F">
        <w:rPr>
          <w:rFonts w:eastAsia="Adobe Gothic Std B"/>
          <w:sz w:val="24"/>
          <w:szCs w:val="24"/>
          <w:lang w:val="es-ES"/>
        </w:rPr>
        <w:t xml:space="preserve">cida en el artículo </w:t>
      </w:r>
      <w:r w:rsidR="00EE491C" w:rsidRPr="008E121F">
        <w:rPr>
          <w:rFonts w:eastAsia="Adobe Gothic Std B"/>
          <w:sz w:val="24"/>
          <w:szCs w:val="24"/>
          <w:lang w:val="es-ES"/>
        </w:rPr>
        <w:t>103 y 104.5</w:t>
      </w:r>
      <w:r w:rsidR="00025843" w:rsidRPr="008E121F">
        <w:rPr>
          <w:rFonts w:eastAsia="Adobe Gothic Std B"/>
          <w:sz w:val="24"/>
          <w:szCs w:val="24"/>
          <w:lang w:val="es-ES"/>
        </w:rPr>
        <w:t xml:space="preserve"> del C.P</w:t>
      </w:r>
      <w:r w:rsidR="00EE491C" w:rsidRPr="008E121F">
        <w:rPr>
          <w:rFonts w:eastAsia="Adobe Gothic Std B"/>
          <w:sz w:val="24"/>
          <w:szCs w:val="24"/>
          <w:lang w:val="es-ES"/>
        </w:rPr>
        <w:t xml:space="preserve">. con </w:t>
      </w:r>
      <w:r w:rsidR="00D940F3" w:rsidRPr="008E121F">
        <w:rPr>
          <w:rFonts w:eastAsia="Adobe Gothic Std B"/>
          <w:sz w:val="24"/>
          <w:szCs w:val="24"/>
          <w:lang w:val="es-ES"/>
        </w:rPr>
        <w:t xml:space="preserve">el </w:t>
      </w:r>
      <w:r w:rsidR="00D940F3" w:rsidRPr="008E121F">
        <w:rPr>
          <w:rFonts w:eastAsia="Adobe Gothic Std B"/>
          <w:i/>
          <w:sz w:val="24"/>
          <w:szCs w:val="24"/>
          <w:lang w:val="es-ES"/>
        </w:rPr>
        <w:t xml:space="preserve">plus </w:t>
      </w:r>
      <w:r w:rsidR="00D940F3" w:rsidRPr="008E121F">
        <w:rPr>
          <w:rFonts w:eastAsia="Adobe Gothic Std B"/>
          <w:sz w:val="24"/>
          <w:szCs w:val="24"/>
          <w:lang w:val="es-ES"/>
        </w:rPr>
        <w:t>punitivo establecid</w:t>
      </w:r>
      <w:r w:rsidR="00AA1945" w:rsidRPr="008E121F">
        <w:rPr>
          <w:rFonts w:eastAsia="Adobe Gothic Std B"/>
          <w:sz w:val="24"/>
          <w:szCs w:val="24"/>
          <w:lang w:val="es-ES"/>
        </w:rPr>
        <w:t xml:space="preserve">o </w:t>
      </w:r>
      <w:r w:rsidR="00D141E1" w:rsidRPr="008E121F">
        <w:rPr>
          <w:rFonts w:eastAsia="Adobe Gothic Std B"/>
          <w:sz w:val="24"/>
          <w:szCs w:val="24"/>
          <w:lang w:val="es-ES"/>
        </w:rPr>
        <w:t xml:space="preserve">en el artículo 14 de la </w:t>
      </w:r>
      <w:r w:rsidR="00AA1945" w:rsidRPr="008E121F">
        <w:rPr>
          <w:rFonts w:eastAsia="Adobe Gothic Std B"/>
          <w:sz w:val="24"/>
          <w:szCs w:val="24"/>
          <w:lang w:val="es-ES"/>
        </w:rPr>
        <w:t xml:space="preserve">Ley 890 de 2004, por lo cual </w:t>
      </w:r>
      <w:r w:rsidR="00D141E1" w:rsidRPr="008E121F">
        <w:rPr>
          <w:rFonts w:eastAsia="Adobe Gothic Std B"/>
          <w:sz w:val="24"/>
          <w:szCs w:val="24"/>
          <w:lang w:val="es-ES"/>
        </w:rPr>
        <w:t xml:space="preserve">estableció la pena del delito base en 33 años </w:t>
      </w:r>
      <w:r w:rsidR="00E04D01" w:rsidRPr="008E121F">
        <w:rPr>
          <w:rFonts w:eastAsia="Adobe Gothic Std B"/>
          <w:sz w:val="24"/>
          <w:szCs w:val="24"/>
          <w:lang w:val="es-ES"/>
        </w:rPr>
        <w:t xml:space="preserve">6 </w:t>
      </w:r>
      <w:r w:rsidR="00F853FB" w:rsidRPr="008E121F">
        <w:rPr>
          <w:rFonts w:eastAsia="Adobe Gothic Std B"/>
          <w:sz w:val="24"/>
          <w:szCs w:val="24"/>
          <w:lang w:val="es-ES"/>
        </w:rPr>
        <w:t xml:space="preserve">meses </w:t>
      </w:r>
      <w:r w:rsidR="007D3E10" w:rsidRPr="008E121F">
        <w:rPr>
          <w:rFonts w:eastAsia="Adobe Gothic Std B"/>
          <w:sz w:val="24"/>
          <w:szCs w:val="24"/>
          <w:lang w:val="es-ES"/>
        </w:rPr>
        <w:t>de  prisión</w:t>
      </w:r>
      <w:r w:rsidR="008217FA" w:rsidRPr="008E121F">
        <w:rPr>
          <w:rFonts w:eastAsia="Adobe Gothic Std B"/>
          <w:sz w:val="24"/>
          <w:szCs w:val="24"/>
          <w:lang w:val="es-ES"/>
        </w:rPr>
        <w:t xml:space="preserve"> (debiendo ser 33 años 4 meses de prisión)</w:t>
      </w:r>
      <w:r w:rsidR="007D3E10" w:rsidRPr="008E121F">
        <w:rPr>
          <w:rFonts w:eastAsia="Adobe Gothic Std B"/>
          <w:sz w:val="24"/>
          <w:szCs w:val="24"/>
          <w:lang w:val="es-ES"/>
        </w:rPr>
        <w:t xml:space="preserve"> y</w:t>
      </w:r>
      <w:r w:rsidR="00D141E1" w:rsidRPr="008E121F">
        <w:rPr>
          <w:rFonts w:eastAsia="Adobe Gothic Std B"/>
          <w:sz w:val="24"/>
          <w:szCs w:val="24"/>
          <w:lang w:val="es-ES"/>
        </w:rPr>
        <w:t xml:space="preserve"> </w:t>
      </w:r>
      <w:r w:rsidR="00F853FB" w:rsidRPr="008E121F">
        <w:rPr>
          <w:rFonts w:eastAsia="Adobe Gothic Std B"/>
          <w:sz w:val="24"/>
          <w:szCs w:val="24"/>
          <w:lang w:val="es-ES"/>
        </w:rPr>
        <w:t>aumentó</w:t>
      </w:r>
      <w:r w:rsidR="00D141E1" w:rsidRPr="008E121F">
        <w:rPr>
          <w:rFonts w:eastAsia="Adobe Gothic Std B"/>
          <w:sz w:val="24"/>
          <w:szCs w:val="24"/>
          <w:lang w:val="es-ES"/>
        </w:rPr>
        <w:t xml:space="preserve"> 12 años por los demás delitos </w:t>
      </w:r>
      <w:r w:rsidR="00E04D01" w:rsidRPr="008E121F">
        <w:rPr>
          <w:rFonts w:eastAsia="Adobe Gothic Std B"/>
          <w:sz w:val="24"/>
          <w:szCs w:val="24"/>
          <w:lang w:val="es-ES"/>
        </w:rPr>
        <w:t xml:space="preserve">concursantes, que eran </w:t>
      </w:r>
      <w:r w:rsidR="007D7E55" w:rsidRPr="008E121F">
        <w:rPr>
          <w:rFonts w:eastAsia="Adobe Gothic Std B"/>
          <w:sz w:val="24"/>
          <w:szCs w:val="24"/>
          <w:lang w:val="es-ES"/>
        </w:rPr>
        <w:t xml:space="preserve"> homicidio simple, concurso homogéneo de tentativa</w:t>
      </w:r>
      <w:r w:rsidR="003312B6" w:rsidRPr="008E121F">
        <w:rPr>
          <w:rFonts w:eastAsia="Adobe Gothic Std B"/>
          <w:sz w:val="24"/>
          <w:szCs w:val="24"/>
          <w:lang w:val="es-ES"/>
        </w:rPr>
        <w:t>s</w:t>
      </w:r>
      <w:r w:rsidR="007D7E55" w:rsidRPr="008E121F">
        <w:rPr>
          <w:rFonts w:eastAsia="Adobe Gothic Std B"/>
          <w:sz w:val="24"/>
          <w:szCs w:val="24"/>
          <w:lang w:val="es-ES"/>
        </w:rPr>
        <w:t xml:space="preserve"> de homicidio, concurso homogéneo de lesiones personales y </w:t>
      </w:r>
      <w:r w:rsidR="00AA1945" w:rsidRPr="008E121F">
        <w:rPr>
          <w:rFonts w:eastAsia="Adobe Gothic Std B"/>
          <w:sz w:val="24"/>
          <w:szCs w:val="24"/>
          <w:lang w:val="es-ES"/>
        </w:rPr>
        <w:t>fabricación, tráfico y porte de armas de fuego o municiones</w:t>
      </w:r>
      <w:r w:rsidR="00D141E1" w:rsidRPr="008E121F">
        <w:rPr>
          <w:rFonts w:eastAsia="Adobe Gothic Std B"/>
          <w:sz w:val="24"/>
          <w:szCs w:val="24"/>
          <w:lang w:val="es-ES"/>
        </w:rPr>
        <w:t>;</w:t>
      </w:r>
      <w:r w:rsidR="00D940F3" w:rsidRPr="008E121F">
        <w:rPr>
          <w:rFonts w:eastAsia="Adobe Gothic Std B"/>
          <w:sz w:val="24"/>
          <w:szCs w:val="24"/>
          <w:lang w:val="es-ES"/>
        </w:rPr>
        <w:t xml:space="preserve"> sin </w:t>
      </w:r>
      <w:r w:rsidR="00D141E1" w:rsidRPr="008E121F">
        <w:rPr>
          <w:rFonts w:eastAsia="Adobe Gothic Std B"/>
          <w:sz w:val="24"/>
          <w:szCs w:val="24"/>
          <w:lang w:val="es-ES"/>
        </w:rPr>
        <w:t>reconoc</w:t>
      </w:r>
      <w:r w:rsidR="00E04D01" w:rsidRPr="008E121F">
        <w:rPr>
          <w:rFonts w:eastAsia="Adobe Gothic Std B"/>
          <w:sz w:val="24"/>
          <w:szCs w:val="24"/>
          <w:lang w:val="es-ES"/>
        </w:rPr>
        <w:t xml:space="preserve">erle </w:t>
      </w:r>
      <w:r w:rsidR="00D940F3" w:rsidRPr="008E121F">
        <w:rPr>
          <w:rFonts w:eastAsia="Adobe Gothic Std B"/>
          <w:sz w:val="24"/>
          <w:szCs w:val="24"/>
          <w:lang w:val="es-ES"/>
        </w:rPr>
        <w:t xml:space="preserve">al procesado ningún descuento por </w:t>
      </w:r>
      <w:r w:rsidR="00AA1945" w:rsidRPr="008E121F">
        <w:rPr>
          <w:rFonts w:eastAsia="Adobe Gothic Std B"/>
          <w:sz w:val="24"/>
          <w:szCs w:val="24"/>
          <w:lang w:val="es-ES"/>
        </w:rPr>
        <w:t xml:space="preserve">el preacuerdo, </w:t>
      </w:r>
      <w:r w:rsidR="00D141E1" w:rsidRPr="008E121F">
        <w:rPr>
          <w:rFonts w:eastAsia="Adobe Gothic Std B"/>
          <w:sz w:val="24"/>
          <w:szCs w:val="24"/>
          <w:lang w:val="es-ES"/>
        </w:rPr>
        <w:t xml:space="preserve">debido a la prohibición contenida en el artículo 199 de la </w:t>
      </w:r>
      <w:r w:rsidR="00F853FB" w:rsidRPr="008E121F">
        <w:rPr>
          <w:rFonts w:eastAsia="Adobe Gothic Std B"/>
          <w:sz w:val="24"/>
          <w:szCs w:val="24"/>
          <w:lang w:val="es-ES"/>
        </w:rPr>
        <w:t>Ley 1098 de 2006.</w:t>
      </w:r>
    </w:p>
    <w:p w:rsidR="00F853FB" w:rsidRPr="008E121F" w:rsidRDefault="00F853FB" w:rsidP="008138CD">
      <w:pPr>
        <w:tabs>
          <w:tab w:val="left" w:pos="142"/>
        </w:tabs>
        <w:spacing w:line="360" w:lineRule="auto"/>
        <w:jc w:val="both"/>
        <w:rPr>
          <w:rFonts w:eastAsia="Adobe Gothic Std B"/>
          <w:sz w:val="24"/>
          <w:szCs w:val="24"/>
        </w:rPr>
      </w:pPr>
    </w:p>
    <w:p w:rsidR="00393C97" w:rsidRPr="008E121F" w:rsidRDefault="005D0CBF" w:rsidP="008138CD">
      <w:pPr>
        <w:pStyle w:val="Prrafodelista"/>
        <w:numPr>
          <w:ilvl w:val="1"/>
          <w:numId w:val="17"/>
        </w:numPr>
        <w:tabs>
          <w:tab w:val="left" w:pos="0"/>
        </w:tabs>
        <w:spacing w:line="360" w:lineRule="auto"/>
        <w:ind w:left="0" w:firstLine="0"/>
        <w:jc w:val="both"/>
        <w:rPr>
          <w:rFonts w:eastAsia="Adobe Gothic Std B"/>
          <w:sz w:val="24"/>
          <w:szCs w:val="24"/>
        </w:rPr>
      </w:pPr>
      <w:r w:rsidRPr="008E121F">
        <w:rPr>
          <w:rFonts w:eastAsia="Adobe Gothic Std B"/>
          <w:sz w:val="24"/>
          <w:szCs w:val="24"/>
          <w:lang w:val="es-ES"/>
        </w:rPr>
        <w:t xml:space="preserve">La causal de revisión por cambio de jurisprudencia </w:t>
      </w:r>
      <w:r w:rsidR="000F3092" w:rsidRPr="008E121F">
        <w:rPr>
          <w:rFonts w:eastAsia="Adobe Gothic Std B"/>
          <w:sz w:val="24"/>
          <w:szCs w:val="24"/>
          <w:lang w:val="es-ES"/>
        </w:rPr>
        <w:t>favorable, se</w:t>
      </w:r>
      <w:r w:rsidRPr="008E121F">
        <w:rPr>
          <w:rFonts w:eastAsia="Adobe Gothic Std B"/>
          <w:sz w:val="24"/>
          <w:szCs w:val="24"/>
          <w:lang w:val="es-ES"/>
        </w:rPr>
        <w:t xml:space="preserve"> encuen</w:t>
      </w:r>
      <w:r w:rsidR="00F853FB" w:rsidRPr="008E121F">
        <w:rPr>
          <w:rFonts w:eastAsia="Adobe Gothic Std B"/>
          <w:sz w:val="24"/>
          <w:szCs w:val="24"/>
          <w:lang w:val="es-ES"/>
        </w:rPr>
        <w:t>tra establecida en el numeral 7</w:t>
      </w:r>
      <w:r w:rsidRPr="008E121F">
        <w:rPr>
          <w:rFonts w:eastAsia="Adobe Gothic Std B"/>
          <w:sz w:val="24"/>
          <w:szCs w:val="24"/>
          <w:lang w:val="es-ES"/>
        </w:rPr>
        <w:t xml:space="preserve"> del </w:t>
      </w:r>
      <w:r w:rsidR="00ED28C7" w:rsidRPr="008E121F">
        <w:rPr>
          <w:rFonts w:eastAsia="Adobe Gothic Std B"/>
          <w:sz w:val="24"/>
          <w:szCs w:val="24"/>
        </w:rPr>
        <w:t>del artículo 192 C.P.P</w:t>
      </w:r>
      <w:r w:rsidR="003A46F9" w:rsidRPr="008E121F">
        <w:rPr>
          <w:rFonts w:eastAsia="Adobe Gothic Std B"/>
          <w:sz w:val="24"/>
          <w:szCs w:val="24"/>
        </w:rPr>
        <w:t>.</w:t>
      </w:r>
      <w:r w:rsidR="00F853FB" w:rsidRPr="008E121F">
        <w:rPr>
          <w:rFonts w:eastAsia="Adobe Gothic Std B"/>
          <w:sz w:val="24"/>
          <w:szCs w:val="24"/>
        </w:rPr>
        <w:t xml:space="preserve"> </w:t>
      </w:r>
      <w:r w:rsidR="00386628" w:rsidRPr="008E121F">
        <w:rPr>
          <w:rFonts w:eastAsia="Adobe Gothic Std B"/>
          <w:sz w:val="24"/>
          <w:szCs w:val="24"/>
        </w:rPr>
        <w:t>En providencia dentro del radicado 40093 de la</w:t>
      </w:r>
      <w:r w:rsidRPr="008E121F">
        <w:rPr>
          <w:rFonts w:eastAsia="Adobe Gothic Std B"/>
          <w:sz w:val="24"/>
          <w:szCs w:val="24"/>
        </w:rPr>
        <w:t xml:space="preserve"> C</w:t>
      </w:r>
      <w:r w:rsidR="00386628" w:rsidRPr="008E121F">
        <w:rPr>
          <w:rFonts w:eastAsia="Adobe Gothic Std B"/>
          <w:sz w:val="24"/>
          <w:szCs w:val="24"/>
        </w:rPr>
        <w:t>SJ SP del 15 de agosto de 2013, se establecieron los requisitos para su procedencia, así</w:t>
      </w:r>
      <w:r w:rsidR="00393C97" w:rsidRPr="008E121F">
        <w:rPr>
          <w:rFonts w:eastAsia="Adobe Gothic Std B"/>
          <w:sz w:val="24"/>
          <w:szCs w:val="24"/>
        </w:rPr>
        <w:t>:</w:t>
      </w:r>
    </w:p>
    <w:p w:rsidR="00BE06D5" w:rsidRPr="008E121F" w:rsidRDefault="00BE06D5" w:rsidP="008138CD">
      <w:pPr>
        <w:spacing w:line="360" w:lineRule="auto"/>
        <w:jc w:val="both"/>
        <w:rPr>
          <w:i/>
          <w:sz w:val="24"/>
          <w:szCs w:val="24"/>
          <w:lang w:val="es-ES"/>
        </w:rPr>
      </w:pPr>
    </w:p>
    <w:p w:rsidR="00BE06D5" w:rsidRPr="008E121F" w:rsidRDefault="00393C97" w:rsidP="008138CD">
      <w:pPr>
        <w:spacing w:line="360" w:lineRule="auto"/>
        <w:ind w:left="709" w:right="333" w:hanging="4"/>
        <w:jc w:val="both"/>
        <w:rPr>
          <w:i/>
          <w:sz w:val="22"/>
          <w:szCs w:val="22"/>
          <w:lang w:val="es-ES"/>
        </w:rPr>
      </w:pPr>
      <w:r w:rsidRPr="008E121F">
        <w:rPr>
          <w:i/>
          <w:sz w:val="22"/>
          <w:szCs w:val="22"/>
          <w:lang w:val="es-ES"/>
        </w:rPr>
        <w:t xml:space="preserve">“... </w:t>
      </w:r>
      <w:r w:rsidR="00BE06D5" w:rsidRPr="008E121F">
        <w:rPr>
          <w:i/>
          <w:sz w:val="22"/>
          <w:szCs w:val="22"/>
          <w:lang w:val="es-ES"/>
        </w:rPr>
        <w:t>La Sala ha determinado que la alegación de la causal 7ª del artículo 192 de la Ley 906 de 2004, según la cual la acción de revisión procede “</w:t>
      </w:r>
      <w:r w:rsidR="00BE06D5" w:rsidRPr="008E121F">
        <w:rPr>
          <w:i/>
          <w:iCs/>
          <w:sz w:val="22"/>
          <w:szCs w:val="22"/>
          <w:lang w:val="es-ES"/>
        </w:rPr>
        <w:t>cuando mediante pronunciamiento judicial, la Corte haya cambiado favorablemente el criterio jurídico que sirvió para sustentar la sentencia condenatoria, tanto respecto de la responsabilidad como de la punibilidad</w:t>
      </w:r>
      <w:r w:rsidR="00BE06D5" w:rsidRPr="008E121F">
        <w:rPr>
          <w:i/>
          <w:sz w:val="22"/>
          <w:szCs w:val="22"/>
          <w:lang w:val="es-ES"/>
        </w:rPr>
        <w:t>”, debe cumplir como mínimo los siguientes requisitos:</w:t>
      </w:r>
    </w:p>
    <w:p w:rsidR="00BE06D5" w:rsidRPr="008E121F" w:rsidRDefault="00BE06D5" w:rsidP="008138CD">
      <w:pPr>
        <w:numPr>
          <w:ilvl w:val="0"/>
          <w:numId w:val="11"/>
        </w:numPr>
        <w:spacing w:line="360" w:lineRule="auto"/>
        <w:ind w:left="709" w:right="333" w:hanging="4"/>
        <w:jc w:val="both"/>
        <w:rPr>
          <w:i/>
          <w:sz w:val="22"/>
          <w:szCs w:val="22"/>
          <w:lang w:val="es-ES"/>
        </w:rPr>
      </w:pPr>
      <w:r w:rsidRPr="008E121F">
        <w:rPr>
          <w:i/>
          <w:iCs/>
          <w:sz w:val="22"/>
          <w:szCs w:val="22"/>
          <w:lang w:val="es-ES"/>
        </w:rPr>
        <w:t>Que se dirija contra una sentencia ejecutoriada cuya condena se haya fundamentado en un criterio jurisprudencial específico de la Corte Suprema de Justicia, Sala de Casación Penal;</w:t>
      </w:r>
    </w:p>
    <w:p w:rsidR="00BE06D5" w:rsidRPr="008E121F" w:rsidRDefault="00BE06D5" w:rsidP="008138CD">
      <w:pPr>
        <w:numPr>
          <w:ilvl w:val="0"/>
          <w:numId w:val="12"/>
        </w:numPr>
        <w:spacing w:line="360" w:lineRule="auto"/>
        <w:ind w:left="709" w:right="333" w:hanging="4"/>
        <w:jc w:val="both"/>
        <w:rPr>
          <w:i/>
          <w:sz w:val="22"/>
          <w:szCs w:val="22"/>
          <w:lang w:val="es-ES"/>
        </w:rPr>
      </w:pPr>
      <w:r w:rsidRPr="008E121F">
        <w:rPr>
          <w:i/>
          <w:iCs/>
          <w:sz w:val="22"/>
          <w:szCs w:val="22"/>
          <w:lang w:val="es-ES"/>
        </w:rPr>
        <w:t>Que el referente jurisprudencial de la Sala Penal se cambie mediante un fallo proferido con posterioridad a la providencia que se revisa;</w:t>
      </w:r>
    </w:p>
    <w:p w:rsidR="00BE06D5" w:rsidRPr="008E121F" w:rsidRDefault="00BE06D5" w:rsidP="008138CD">
      <w:pPr>
        <w:numPr>
          <w:ilvl w:val="0"/>
          <w:numId w:val="13"/>
        </w:numPr>
        <w:spacing w:line="360" w:lineRule="auto"/>
        <w:ind w:left="709" w:right="333" w:hanging="4"/>
        <w:jc w:val="both"/>
        <w:rPr>
          <w:i/>
          <w:sz w:val="22"/>
          <w:szCs w:val="22"/>
          <w:lang w:val="es-ES"/>
        </w:rPr>
      </w:pPr>
      <w:r w:rsidRPr="008E121F">
        <w:rPr>
          <w:i/>
          <w:iCs/>
          <w:sz w:val="22"/>
          <w:szCs w:val="22"/>
          <w:lang w:val="es-ES"/>
        </w:rPr>
        <w:lastRenderedPageBreak/>
        <w:t>Que a través de un análisis comparativo se pueda demostrar que fundamentado en el nuevo razonamiento jurídico el proveído atacado habría sido más beneficioso para el demandante.</w:t>
      </w:r>
    </w:p>
    <w:p w:rsidR="008D6AC6" w:rsidRPr="008E121F" w:rsidRDefault="00BE06D5" w:rsidP="008138CD">
      <w:pPr>
        <w:spacing w:line="360" w:lineRule="auto"/>
        <w:ind w:left="709" w:right="333" w:hanging="4"/>
        <w:jc w:val="both"/>
        <w:rPr>
          <w:i/>
          <w:sz w:val="22"/>
          <w:szCs w:val="22"/>
          <w:lang w:val="es-ES"/>
        </w:rPr>
      </w:pPr>
      <w:r w:rsidRPr="008E121F">
        <w:rPr>
          <w:i/>
          <w:sz w:val="22"/>
          <w:szCs w:val="22"/>
          <w:lang w:val="es-ES"/>
        </w:rPr>
        <w:t>Sobre esta causal, en vigencia de la Ley 600 de 2000, que la consagraba en el numeral 6º del artículo 220, señaló la Sala que </w:t>
      </w:r>
      <w:r w:rsidRPr="008E121F">
        <w:rPr>
          <w:i/>
          <w:iCs/>
          <w:sz w:val="22"/>
          <w:szCs w:val="22"/>
          <w:lang w:val="es-ES"/>
        </w:rPr>
        <w:t>“es indispensable que el actor no solamente demuestre cómo el fundamento de la sentencia cuya remoción se persigue es entendido por la jurisprudencia de modo diferente, sino que, de mantenerse, comportaría una clara situación de injusticia, pues la nueva solución ofrecida por la doctrina de la Corte conduciría a la sustitución del fallo”, y que por tanto, “no resulta suficiente invocar abstractamente la existencia de un pronunciamiento del máximo tribunal de la jurisdicción ordinaria, o de señalar uno concreto pero desconectado de la solución del caso, sino que resulta indispensable, además, demostrar cómo de haberse conocido oportunamente por los juzgadores la nueva doctrina sobre el punto, el fallo cuya rescisión se persigue habría sido distinto”</w:t>
      </w:r>
      <w:hyperlink r:id="rId9" w:anchor="footnote1" w:history="1">
        <w:r w:rsidRPr="008E121F">
          <w:rPr>
            <w:i/>
            <w:sz w:val="22"/>
            <w:szCs w:val="22"/>
            <w:u w:val="single"/>
            <w:vertAlign w:val="superscript"/>
            <w:lang w:val="es-ES"/>
          </w:rPr>
          <w:t>2</w:t>
        </w:r>
      </w:hyperlink>
      <w:r w:rsidRPr="008E121F">
        <w:rPr>
          <w:i/>
          <w:iCs/>
          <w:sz w:val="22"/>
          <w:szCs w:val="22"/>
          <w:lang w:val="es-ES"/>
        </w:rPr>
        <w:t>, </w:t>
      </w:r>
      <w:r w:rsidRPr="008E121F">
        <w:rPr>
          <w:i/>
          <w:sz w:val="22"/>
          <w:szCs w:val="22"/>
          <w:lang w:val="es-ES"/>
        </w:rPr>
        <w:t>criterio que</w:t>
      </w:r>
      <w:r w:rsidRPr="008E121F">
        <w:rPr>
          <w:i/>
          <w:iCs/>
          <w:sz w:val="22"/>
          <w:szCs w:val="22"/>
          <w:lang w:val="es-ES"/>
        </w:rPr>
        <w:t> </w:t>
      </w:r>
      <w:r w:rsidRPr="008E121F">
        <w:rPr>
          <w:i/>
          <w:sz w:val="22"/>
          <w:szCs w:val="22"/>
          <w:lang w:val="es-ES"/>
        </w:rPr>
        <w:t>cabe reiterar frente al mismo supuesto establecido ahora en el numeral 7º del artículo 192 de la Ley 906 de 2004.</w:t>
      </w:r>
    </w:p>
    <w:p w:rsidR="008D6AC6" w:rsidRPr="008E121F" w:rsidRDefault="008D6AC6" w:rsidP="00CB5422">
      <w:pPr>
        <w:spacing w:line="360" w:lineRule="auto"/>
        <w:ind w:left="705" w:right="49"/>
        <w:jc w:val="both"/>
        <w:rPr>
          <w:i/>
          <w:sz w:val="24"/>
          <w:szCs w:val="24"/>
          <w:lang w:val="es-ES"/>
        </w:rPr>
      </w:pPr>
    </w:p>
    <w:p w:rsidR="00D655BF" w:rsidRPr="008E121F" w:rsidRDefault="00C17852" w:rsidP="00CB5422">
      <w:pPr>
        <w:pStyle w:val="Prrafodelista"/>
        <w:numPr>
          <w:ilvl w:val="1"/>
          <w:numId w:val="17"/>
        </w:numPr>
        <w:spacing w:line="360" w:lineRule="auto"/>
        <w:ind w:left="0" w:right="49" w:firstLine="0"/>
        <w:jc w:val="both"/>
        <w:rPr>
          <w:i/>
          <w:sz w:val="24"/>
          <w:szCs w:val="24"/>
          <w:lang w:val="es-ES"/>
        </w:rPr>
      </w:pPr>
      <w:r w:rsidRPr="008E121F">
        <w:rPr>
          <w:rFonts w:eastAsia="Adobe Gothic Std B"/>
          <w:sz w:val="24"/>
          <w:szCs w:val="24"/>
        </w:rPr>
        <w:t>Así las cosas,</w:t>
      </w:r>
      <w:r w:rsidR="008D6AC6" w:rsidRPr="008E121F">
        <w:rPr>
          <w:rFonts w:eastAsia="Adobe Gothic Std B"/>
          <w:sz w:val="24"/>
          <w:szCs w:val="24"/>
        </w:rPr>
        <w:t xml:space="preserve"> se observa</w:t>
      </w:r>
      <w:r w:rsidR="00ED28C7" w:rsidRPr="008E121F">
        <w:rPr>
          <w:rFonts w:eastAsia="Adobe Gothic Std B"/>
          <w:sz w:val="24"/>
          <w:szCs w:val="24"/>
        </w:rPr>
        <w:t xml:space="preserve"> que </w:t>
      </w:r>
      <w:r w:rsidRPr="008E121F">
        <w:rPr>
          <w:rFonts w:eastAsia="Adobe Gothic Std B"/>
          <w:sz w:val="24"/>
          <w:szCs w:val="24"/>
        </w:rPr>
        <w:t xml:space="preserve">en este asunto </w:t>
      </w:r>
      <w:r w:rsidR="00ED28C7" w:rsidRPr="008E121F">
        <w:rPr>
          <w:rFonts w:eastAsia="Adobe Gothic Std B"/>
          <w:sz w:val="24"/>
          <w:szCs w:val="24"/>
        </w:rPr>
        <w:t>se cumplen a cabalidad</w:t>
      </w:r>
      <w:r w:rsidRPr="008E121F">
        <w:rPr>
          <w:rFonts w:eastAsia="Adobe Gothic Std B"/>
          <w:sz w:val="24"/>
          <w:szCs w:val="24"/>
        </w:rPr>
        <w:t xml:space="preserve"> los anteriores</w:t>
      </w:r>
      <w:r w:rsidR="00E46B9A" w:rsidRPr="008E121F">
        <w:rPr>
          <w:rFonts w:eastAsia="Adobe Gothic Std B"/>
          <w:sz w:val="24"/>
          <w:szCs w:val="24"/>
        </w:rPr>
        <w:t xml:space="preserve"> r</w:t>
      </w:r>
      <w:r w:rsidR="00ED28C7" w:rsidRPr="008E121F">
        <w:rPr>
          <w:rFonts w:eastAsia="Adobe Gothic Std B"/>
          <w:sz w:val="24"/>
          <w:szCs w:val="24"/>
        </w:rPr>
        <w:t xml:space="preserve">equisitos, </w:t>
      </w:r>
      <w:r w:rsidR="008D6AC6" w:rsidRPr="008E121F">
        <w:rPr>
          <w:rFonts w:eastAsia="Adobe Gothic Std B"/>
          <w:sz w:val="24"/>
          <w:szCs w:val="24"/>
        </w:rPr>
        <w:t>en razón a que</w:t>
      </w:r>
      <w:r w:rsidR="00E46B9A" w:rsidRPr="008E121F">
        <w:rPr>
          <w:rFonts w:eastAsia="Adobe Gothic Std B"/>
          <w:sz w:val="24"/>
          <w:szCs w:val="24"/>
        </w:rPr>
        <w:t>: i)</w:t>
      </w:r>
      <w:r w:rsidRPr="008E121F">
        <w:rPr>
          <w:rFonts w:eastAsia="Adobe Gothic Std B"/>
          <w:sz w:val="24"/>
          <w:szCs w:val="24"/>
        </w:rPr>
        <w:t xml:space="preserve"> el procesado suscribió preacuerdo donde aceptó la responsabilidad por el delito de homicidio agravado</w:t>
      </w:r>
      <w:r w:rsidR="00E04D01" w:rsidRPr="008E121F">
        <w:rPr>
          <w:rFonts w:eastAsia="Adobe Gothic Std B"/>
          <w:sz w:val="24"/>
          <w:szCs w:val="24"/>
        </w:rPr>
        <w:t xml:space="preserve">, </w:t>
      </w:r>
      <w:r w:rsidRPr="008E121F">
        <w:rPr>
          <w:rFonts w:eastAsia="Adobe Gothic Std B"/>
          <w:sz w:val="24"/>
          <w:szCs w:val="24"/>
        </w:rPr>
        <w:t xml:space="preserve"> homicidio simple, </w:t>
      </w:r>
      <w:r w:rsidR="007D3E10" w:rsidRPr="008E121F">
        <w:rPr>
          <w:rFonts w:eastAsia="Adobe Gothic Std B"/>
          <w:sz w:val="24"/>
          <w:szCs w:val="24"/>
        </w:rPr>
        <w:t>tres (</w:t>
      </w:r>
      <w:r w:rsidR="00E04D01" w:rsidRPr="008E121F">
        <w:rPr>
          <w:rFonts w:eastAsia="Adobe Gothic Std B"/>
          <w:sz w:val="24"/>
          <w:szCs w:val="24"/>
        </w:rPr>
        <w:t>3) delitos de homicidio simple en grado de t</w:t>
      </w:r>
      <w:r w:rsidR="002C7BD3" w:rsidRPr="008E121F">
        <w:rPr>
          <w:rFonts w:eastAsia="Adobe Gothic Std B"/>
          <w:sz w:val="24"/>
          <w:szCs w:val="24"/>
        </w:rPr>
        <w:t xml:space="preserve">entativa de homicidio, </w:t>
      </w:r>
      <w:r w:rsidRPr="008E121F">
        <w:rPr>
          <w:rFonts w:eastAsia="Adobe Gothic Std B"/>
          <w:sz w:val="24"/>
          <w:szCs w:val="24"/>
        </w:rPr>
        <w:t xml:space="preserve"> lesiones personales </w:t>
      </w:r>
      <w:r w:rsidR="003312B6" w:rsidRPr="008E121F">
        <w:rPr>
          <w:rFonts w:eastAsia="Adobe Gothic Std B"/>
          <w:sz w:val="24"/>
          <w:szCs w:val="24"/>
        </w:rPr>
        <w:t>(</w:t>
      </w:r>
      <w:r w:rsidR="00E04D01" w:rsidRPr="008E121F">
        <w:rPr>
          <w:rFonts w:eastAsia="Adobe Gothic Std B"/>
          <w:sz w:val="24"/>
          <w:szCs w:val="24"/>
        </w:rPr>
        <w:t>frente a esta conducta no se e</w:t>
      </w:r>
      <w:r w:rsidR="003312B6" w:rsidRPr="008E121F">
        <w:rPr>
          <w:rFonts w:eastAsia="Adobe Gothic Std B"/>
          <w:sz w:val="24"/>
          <w:szCs w:val="24"/>
        </w:rPr>
        <w:t>stableció el tipo sancionatorio</w:t>
      </w:r>
      <w:r w:rsidR="00E04D01" w:rsidRPr="008E121F">
        <w:rPr>
          <w:rFonts w:eastAsia="Adobe Gothic Std B"/>
          <w:sz w:val="24"/>
          <w:szCs w:val="24"/>
        </w:rPr>
        <w:t xml:space="preserve">) y </w:t>
      </w:r>
      <w:r w:rsidRPr="008E121F">
        <w:rPr>
          <w:rFonts w:eastAsia="Adobe Gothic Std B"/>
          <w:sz w:val="24"/>
          <w:szCs w:val="24"/>
        </w:rPr>
        <w:t xml:space="preserve"> </w:t>
      </w:r>
      <w:r w:rsidR="00CC3681" w:rsidRPr="008E121F">
        <w:rPr>
          <w:rFonts w:eastAsia="Adobe Gothic Std B"/>
          <w:sz w:val="24"/>
          <w:szCs w:val="24"/>
        </w:rPr>
        <w:t>tráfico, fabricación y porte de armas de fuego y municiones</w:t>
      </w:r>
      <w:r w:rsidRPr="008E121F">
        <w:rPr>
          <w:rFonts w:eastAsia="Adobe Gothic Std B"/>
          <w:sz w:val="24"/>
          <w:szCs w:val="24"/>
        </w:rPr>
        <w:t>, ii)</w:t>
      </w:r>
      <w:r w:rsidR="00E46B9A" w:rsidRPr="008E121F">
        <w:rPr>
          <w:rFonts w:eastAsia="Adobe Gothic Std B"/>
          <w:sz w:val="24"/>
          <w:szCs w:val="24"/>
        </w:rPr>
        <w:t xml:space="preserve"> la sentencia contra </w:t>
      </w:r>
      <w:r w:rsidR="005A461A" w:rsidRPr="008E121F">
        <w:rPr>
          <w:rFonts w:eastAsia="Adobe Gothic Std B"/>
          <w:sz w:val="24"/>
          <w:szCs w:val="24"/>
        </w:rPr>
        <w:t>Richard Hernando Hincapié</w:t>
      </w:r>
      <w:r w:rsidR="00E46B9A" w:rsidRPr="008E121F">
        <w:rPr>
          <w:rFonts w:eastAsia="Adobe Gothic Std B"/>
          <w:sz w:val="24"/>
          <w:szCs w:val="24"/>
        </w:rPr>
        <w:t xml:space="preserve"> se dictó el </w:t>
      </w:r>
      <w:r w:rsidR="005A461A" w:rsidRPr="008E121F">
        <w:rPr>
          <w:rFonts w:eastAsia="Adobe Gothic Std B"/>
          <w:sz w:val="24"/>
          <w:szCs w:val="24"/>
        </w:rPr>
        <w:t>14</w:t>
      </w:r>
      <w:r w:rsidR="00E46B9A" w:rsidRPr="008E121F">
        <w:rPr>
          <w:rFonts w:eastAsia="Adobe Gothic Std B"/>
          <w:sz w:val="24"/>
          <w:szCs w:val="24"/>
        </w:rPr>
        <w:t xml:space="preserve"> de </w:t>
      </w:r>
      <w:r w:rsidR="005A461A" w:rsidRPr="008E121F">
        <w:rPr>
          <w:rFonts w:eastAsia="Adobe Gothic Std B"/>
          <w:sz w:val="24"/>
          <w:szCs w:val="24"/>
        </w:rPr>
        <w:t>julio de 2008</w:t>
      </w:r>
      <w:r w:rsidRPr="008E121F">
        <w:rPr>
          <w:rFonts w:eastAsia="Adobe Gothic Std B"/>
          <w:sz w:val="24"/>
          <w:szCs w:val="24"/>
        </w:rPr>
        <w:t xml:space="preserve"> y se encuentra en firme,</w:t>
      </w:r>
      <w:r w:rsidR="00E46B9A" w:rsidRPr="008E121F">
        <w:rPr>
          <w:rFonts w:eastAsia="Adobe Gothic Std B"/>
          <w:sz w:val="24"/>
          <w:szCs w:val="24"/>
        </w:rPr>
        <w:t xml:space="preserve"> iii) no se le hizo ninguna reducción de pena como consecuencia </w:t>
      </w:r>
      <w:r w:rsidR="000165B0" w:rsidRPr="008E121F">
        <w:rPr>
          <w:rFonts w:eastAsia="Adobe Gothic Std B"/>
          <w:sz w:val="24"/>
          <w:szCs w:val="24"/>
        </w:rPr>
        <w:t>tal preacuerdo</w:t>
      </w:r>
      <w:r w:rsidR="00E04D01" w:rsidRPr="008E121F">
        <w:rPr>
          <w:rFonts w:eastAsia="Adobe Gothic Std B"/>
          <w:sz w:val="24"/>
          <w:szCs w:val="24"/>
        </w:rPr>
        <w:t xml:space="preserve"> que celebró con la FGN </w:t>
      </w:r>
      <w:r w:rsidR="00E46B9A" w:rsidRPr="008E121F">
        <w:rPr>
          <w:rFonts w:eastAsia="Adobe Gothic Std B"/>
          <w:sz w:val="24"/>
          <w:szCs w:val="24"/>
        </w:rPr>
        <w:t xml:space="preserve"> y iv) con posterioridad la SP de la CSJ adoptó un criterio favorable en lo relativo a la inaplicación de los incrementos punitivos establ</w:t>
      </w:r>
      <w:r w:rsidR="00D655BF" w:rsidRPr="008E121F">
        <w:rPr>
          <w:rFonts w:eastAsia="Adobe Gothic Std B"/>
          <w:sz w:val="24"/>
          <w:szCs w:val="24"/>
        </w:rPr>
        <w:t>ecidos en el artículo 14 de la Ley 890 de 2004,</w:t>
      </w:r>
      <w:r w:rsidR="00E46B9A" w:rsidRPr="008E121F">
        <w:rPr>
          <w:rFonts w:eastAsia="Adobe Gothic Std B"/>
          <w:sz w:val="24"/>
          <w:szCs w:val="24"/>
        </w:rPr>
        <w:t xml:space="preserve"> para el caso de personas que </w:t>
      </w:r>
      <w:r w:rsidR="00D655BF" w:rsidRPr="008E121F">
        <w:rPr>
          <w:rFonts w:eastAsia="Adobe Gothic Std B"/>
          <w:sz w:val="24"/>
          <w:szCs w:val="24"/>
        </w:rPr>
        <w:t>tuvieran</w:t>
      </w:r>
      <w:r w:rsidR="00E46B9A" w:rsidRPr="008E121F">
        <w:rPr>
          <w:rFonts w:eastAsia="Adobe Gothic Std B"/>
          <w:sz w:val="24"/>
          <w:szCs w:val="24"/>
        </w:rPr>
        <w:t xml:space="preserve"> r</w:t>
      </w:r>
      <w:r w:rsidR="00D655BF" w:rsidRPr="008E121F">
        <w:rPr>
          <w:rFonts w:eastAsia="Adobe Gothic Std B"/>
          <w:sz w:val="24"/>
          <w:szCs w:val="24"/>
        </w:rPr>
        <w:t>estricción para la reducción de la pena.</w:t>
      </w:r>
    </w:p>
    <w:p w:rsidR="00C17852" w:rsidRPr="008E121F" w:rsidRDefault="00C17852" w:rsidP="008138CD">
      <w:pPr>
        <w:pStyle w:val="Prrafodelista"/>
        <w:spacing w:line="360" w:lineRule="auto"/>
        <w:ind w:left="142" w:right="333"/>
        <w:jc w:val="both"/>
        <w:rPr>
          <w:i/>
          <w:sz w:val="24"/>
          <w:szCs w:val="24"/>
          <w:lang w:val="es-ES"/>
        </w:rPr>
      </w:pPr>
    </w:p>
    <w:p w:rsidR="00C17852" w:rsidRPr="008E121F" w:rsidRDefault="00C17852" w:rsidP="008138CD">
      <w:pPr>
        <w:pStyle w:val="Prrafodelista"/>
        <w:numPr>
          <w:ilvl w:val="1"/>
          <w:numId w:val="17"/>
        </w:numPr>
        <w:spacing w:line="360" w:lineRule="auto"/>
        <w:ind w:left="0" w:right="49" w:firstLine="0"/>
        <w:jc w:val="both"/>
        <w:rPr>
          <w:i/>
          <w:sz w:val="24"/>
          <w:szCs w:val="24"/>
          <w:lang w:val="es-ES"/>
        </w:rPr>
      </w:pPr>
      <w:r w:rsidRPr="008E121F">
        <w:rPr>
          <w:rFonts w:eastAsia="Adobe Gothic Std B"/>
          <w:sz w:val="24"/>
          <w:szCs w:val="24"/>
        </w:rPr>
        <w:t>Sob</w:t>
      </w:r>
      <w:r w:rsidR="000B4C22" w:rsidRPr="008E121F">
        <w:rPr>
          <w:rFonts w:eastAsia="Adobe Gothic Std B"/>
          <w:sz w:val="24"/>
          <w:szCs w:val="24"/>
        </w:rPr>
        <w:t>re el tema,</w:t>
      </w:r>
      <w:r w:rsidRPr="008E121F">
        <w:rPr>
          <w:rFonts w:eastAsia="Adobe Gothic Std B"/>
          <w:sz w:val="24"/>
          <w:szCs w:val="24"/>
        </w:rPr>
        <w:t xml:space="preserve"> debe destacarse en primer lugar que el incremento punitivo realizado por medio de la Ley 890 de 2004 tiene su génesis en la implementación del esquema procesal penal</w:t>
      </w:r>
      <w:r w:rsidR="003A7BA6" w:rsidRPr="008E121F">
        <w:rPr>
          <w:rFonts w:eastAsia="Adobe Gothic Std B"/>
          <w:sz w:val="24"/>
          <w:szCs w:val="24"/>
        </w:rPr>
        <w:t xml:space="preserve"> introducido en virtud de la facultad otorgada</w:t>
      </w:r>
      <w:r w:rsidR="000B4C22" w:rsidRPr="008E121F">
        <w:rPr>
          <w:rFonts w:eastAsia="Adobe Gothic Std B"/>
          <w:sz w:val="24"/>
          <w:szCs w:val="24"/>
        </w:rPr>
        <w:t xml:space="preserve"> por el artículo 4 transitorio del Acto Legislativo 03 de 2002</w:t>
      </w:r>
      <w:r w:rsidR="003A7BA6" w:rsidRPr="008E121F">
        <w:rPr>
          <w:rFonts w:eastAsia="Adobe Gothic Std B"/>
          <w:sz w:val="24"/>
          <w:szCs w:val="24"/>
        </w:rPr>
        <w:t xml:space="preserve"> a la Comisión Constitucional Redactora</w:t>
      </w:r>
      <w:r w:rsidRPr="008E121F">
        <w:rPr>
          <w:rFonts w:eastAsia="Adobe Gothic Std B"/>
          <w:sz w:val="24"/>
          <w:szCs w:val="24"/>
        </w:rPr>
        <w:t xml:space="preserve">, </w:t>
      </w:r>
      <w:r w:rsidR="000B4C22" w:rsidRPr="008E121F">
        <w:rPr>
          <w:rFonts w:eastAsia="Adobe Gothic Std B"/>
          <w:sz w:val="24"/>
          <w:szCs w:val="24"/>
        </w:rPr>
        <w:t xml:space="preserve">conforme a lo cual </w:t>
      </w:r>
      <w:r w:rsidR="003A7BA6" w:rsidRPr="008E121F">
        <w:rPr>
          <w:rFonts w:eastAsia="Adobe Gothic Std B"/>
          <w:sz w:val="24"/>
          <w:szCs w:val="24"/>
        </w:rPr>
        <w:t xml:space="preserve">se implementó un sistema que </w:t>
      </w:r>
      <w:r w:rsidR="00CC4D23" w:rsidRPr="008E121F">
        <w:rPr>
          <w:rFonts w:eastAsia="Adobe Gothic Std B"/>
          <w:sz w:val="24"/>
          <w:szCs w:val="24"/>
        </w:rPr>
        <w:t>contemplaba</w:t>
      </w:r>
      <w:r w:rsidRPr="008E121F">
        <w:rPr>
          <w:rFonts w:eastAsia="Adobe Gothic Std B"/>
          <w:sz w:val="24"/>
          <w:szCs w:val="24"/>
        </w:rPr>
        <w:t xml:space="preserve"> mecanismos de negociación y preacuerdos</w:t>
      </w:r>
      <w:r w:rsidR="00CC4D23" w:rsidRPr="008E121F">
        <w:rPr>
          <w:rFonts w:eastAsia="Adobe Gothic Std B"/>
          <w:sz w:val="24"/>
          <w:szCs w:val="24"/>
        </w:rPr>
        <w:t xml:space="preserve"> y por tanto se tornaba necesario diseñar </w:t>
      </w:r>
      <w:r w:rsidR="000B4C22" w:rsidRPr="008E121F">
        <w:rPr>
          <w:rFonts w:eastAsia="Adobe Gothic Std B"/>
          <w:sz w:val="24"/>
          <w:szCs w:val="24"/>
        </w:rPr>
        <w:t>un marco normativo</w:t>
      </w:r>
      <w:r w:rsidR="00CC4D23" w:rsidRPr="008E121F">
        <w:rPr>
          <w:rFonts w:eastAsia="Adobe Gothic Std B"/>
          <w:sz w:val="24"/>
          <w:szCs w:val="24"/>
        </w:rPr>
        <w:t xml:space="preserve"> </w:t>
      </w:r>
      <w:r w:rsidR="00FD0959" w:rsidRPr="008E121F">
        <w:rPr>
          <w:rFonts w:eastAsia="Adobe Gothic Std B"/>
          <w:sz w:val="24"/>
          <w:szCs w:val="24"/>
        </w:rPr>
        <w:t>que permitiera</w:t>
      </w:r>
      <w:r w:rsidR="00CC4D23" w:rsidRPr="008E121F">
        <w:rPr>
          <w:rFonts w:eastAsia="Adobe Gothic Std B"/>
          <w:sz w:val="24"/>
          <w:szCs w:val="24"/>
        </w:rPr>
        <w:t xml:space="preserve"> </w:t>
      </w:r>
      <w:r w:rsidR="000B4C22" w:rsidRPr="008E121F">
        <w:rPr>
          <w:rFonts w:eastAsia="Adobe Gothic Std B"/>
          <w:sz w:val="24"/>
          <w:szCs w:val="24"/>
        </w:rPr>
        <w:t xml:space="preserve">un </w:t>
      </w:r>
      <w:r w:rsidR="00CC4D23" w:rsidRPr="008E121F">
        <w:rPr>
          <w:rFonts w:eastAsia="Adobe Gothic Std B"/>
          <w:sz w:val="24"/>
          <w:szCs w:val="24"/>
        </w:rPr>
        <w:t>margen de maniobra a la F</w:t>
      </w:r>
      <w:r w:rsidR="00E04D01" w:rsidRPr="008E121F">
        <w:rPr>
          <w:rFonts w:eastAsia="Adobe Gothic Std B"/>
          <w:sz w:val="24"/>
          <w:szCs w:val="24"/>
        </w:rPr>
        <w:t>GN,</w:t>
      </w:r>
      <w:r w:rsidR="00CC4D23" w:rsidRPr="008E121F">
        <w:rPr>
          <w:rFonts w:eastAsia="Adobe Gothic Std B"/>
          <w:sz w:val="24"/>
          <w:szCs w:val="24"/>
        </w:rPr>
        <w:t xml:space="preserve"> de modo que las sanciones que se impusieran finalmente guardaran proporción con la </w:t>
      </w:r>
      <w:r w:rsidR="00CC4D23" w:rsidRPr="008E121F">
        <w:rPr>
          <w:rFonts w:eastAsia="Adobe Gothic Std B"/>
          <w:sz w:val="24"/>
          <w:szCs w:val="24"/>
        </w:rPr>
        <w:lastRenderedPageBreak/>
        <w:t>gravedad de los hechos investigados</w:t>
      </w:r>
      <w:r w:rsidR="00E44CB0" w:rsidRPr="008E121F">
        <w:rPr>
          <w:rFonts w:eastAsia="Adobe Gothic Std B"/>
          <w:sz w:val="24"/>
          <w:szCs w:val="24"/>
        </w:rPr>
        <w:t>;</w:t>
      </w:r>
      <w:r w:rsidRPr="008E121F">
        <w:rPr>
          <w:rFonts w:eastAsia="Adobe Gothic Std B"/>
          <w:sz w:val="24"/>
          <w:szCs w:val="24"/>
        </w:rPr>
        <w:t xml:space="preserve"> así se explicó </w:t>
      </w:r>
      <w:r w:rsidR="00E44CB0" w:rsidRPr="008E121F">
        <w:rPr>
          <w:rFonts w:eastAsia="Adobe Gothic Std B"/>
          <w:sz w:val="24"/>
          <w:szCs w:val="24"/>
        </w:rPr>
        <w:t>-</w:t>
      </w:r>
      <w:r w:rsidRPr="008E121F">
        <w:rPr>
          <w:rFonts w:eastAsia="Adobe Gothic Std B"/>
          <w:sz w:val="24"/>
          <w:szCs w:val="24"/>
        </w:rPr>
        <w:t>por ejemplo</w:t>
      </w:r>
      <w:r w:rsidR="00E44CB0" w:rsidRPr="008E121F">
        <w:rPr>
          <w:rFonts w:eastAsia="Adobe Gothic Std B"/>
          <w:sz w:val="24"/>
          <w:szCs w:val="24"/>
        </w:rPr>
        <w:t>-</w:t>
      </w:r>
      <w:r w:rsidRPr="008E121F">
        <w:rPr>
          <w:rFonts w:eastAsia="Adobe Gothic Std B"/>
          <w:sz w:val="24"/>
          <w:szCs w:val="24"/>
        </w:rPr>
        <w:t xml:space="preserve"> en sentencia con radicación 33254 del 27 de febrero del 2013 de la SP CSJ:</w:t>
      </w:r>
    </w:p>
    <w:p w:rsidR="00C17852" w:rsidRPr="008E121F" w:rsidRDefault="00C17852" w:rsidP="008138CD">
      <w:pPr>
        <w:pStyle w:val="Prrafodelista"/>
        <w:spacing w:line="360" w:lineRule="auto"/>
        <w:jc w:val="both"/>
        <w:rPr>
          <w:i/>
          <w:sz w:val="24"/>
          <w:szCs w:val="24"/>
          <w:lang w:val="es-ES"/>
        </w:rPr>
      </w:pPr>
    </w:p>
    <w:p w:rsidR="00C17852" w:rsidRPr="008E121F" w:rsidRDefault="00C17852" w:rsidP="008138CD">
      <w:pPr>
        <w:pStyle w:val="Prrafodelista"/>
        <w:spacing w:line="360" w:lineRule="auto"/>
        <w:ind w:left="708" w:right="333"/>
        <w:jc w:val="both"/>
        <w:rPr>
          <w:i/>
          <w:sz w:val="22"/>
          <w:szCs w:val="22"/>
          <w:lang w:val="es-ES"/>
        </w:rPr>
      </w:pPr>
      <w:r w:rsidRPr="008E121F">
        <w:rPr>
          <w:i/>
          <w:sz w:val="22"/>
          <w:szCs w:val="22"/>
          <w:lang w:val="es-ES"/>
        </w:rPr>
        <w:t xml:space="preserve">“Bien se ve, con base en la anterior reseña, que el </w:t>
      </w:r>
      <w:proofErr w:type="spellStart"/>
      <w:r w:rsidRPr="008E121F">
        <w:rPr>
          <w:i/>
          <w:sz w:val="22"/>
          <w:szCs w:val="22"/>
          <w:lang w:val="es-ES"/>
        </w:rPr>
        <w:t>plurimencionado</w:t>
      </w:r>
      <w:proofErr w:type="spellEnd"/>
      <w:r w:rsidRPr="008E121F">
        <w:rPr>
          <w:i/>
          <w:sz w:val="22"/>
          <w:szCs w:val="22"/>
          <w:lang w:val="es-ES"/>
        </w:rPr>
        <w:t xml:space="preserve"> aumento de penas se justificó bajo un único supuesto: potencializar la aplicación de los acuerdos, negociaciones y allanamientos, a fin de mantener los márgenes de proporcionalidad estimados por el legislador al expedir el Código Penal.</w:t>
      </w:r>
    </w:p>
    <w:p w:rsidR="00C17852" w:rsidRPr="008E121F" w:rsidRDefault="00C17852" w:rsidP="008138CD">
      <w:pPr>
        <w:pStyle w:val="Prrafodelista"/>
        <w:spacing w:line="360" w:lineRule="auto"/>
        <w:ind w:left="708" w:right="333"/>
        <w:jc w:val="both"/>
        <w:rPr>
          <w:i/>
          <w:sz w:val="22"/>
          <w:szCs w:val="22"/>
          <w:lang w:val="es-ES"/>
        </w:rPr>
      </w:pPr>
    </w:p>
    <w:p w:rsidR="00C17852" w:rsidRPr="008E121F" w:rsidRDefault="00C17852" w:rsidP="008138CD">
      <w:pPr>
        <w:pStyle w:val="Prrafodelista"/>
        <w:spacing w:line="360" w:lineRule="auto"/>
        <w:ind w:left="708" w:right="333"/>
        <w:jc w:val="both"/>
        <w:rPr>
          <w:i/>
          <w:sz w:val="22"/>
          <w:szCs w:val="22"/>
          <w:lang w:val="es-ES"/>
        </w:rPr>
      </w:pPr>
      <w:r w:rsidRPr="008E121F">
        <w:rPr>
          <w:i/>
          <w:sz w:val="22"/>
          <w:szCs w:val="22"/>
          <w:lang w:val="es-ES"/>
        </w:rPr>
        <w:t xml:space="preserve">Así, el Estado le otorgó a la Fiscalía un margen de movilidad, en términos de rebajas punitivas, para ofrecer acuerdos y estimular las aceptaciones de cargos. Empero, a fin de mantener, o si se quiere, actualizar las valoraciones referentes a los límites punitivos implementados en el Código Penal, se incrementaron las penas con el propósito de preservar la proporcionalidad con la gravedad de los delitos y no incurrir, de esa forma, en eficacia procesal, pero con protección deficiente desde la óptica del derecho penal sustancial y las exigencias constitucionales. </w:t>
      </w:r>
    </w:p>
    <w:p w:rsidR="00C17852" w:rsidRPr="008E121F" w:rsidRDefault="00C17852" w:rsidP="008138CD">
      <w:pPr>
        <w:pStyle w:val="Prrafodelista"/>
        <w:spacing w:line="360" w:lineRule="auto"/>
        <w:ind w:left="708" w:right="333"/>
        <w:jc w:val="both"/>
        <w:rPr>
          <w:i/>
          <w:sz w:val="22"/>
          <w:szCs w:val="22"/>
          <w:lang w:val="es-ES"/>
        </w:rPr>
      </w:pPr>
    </w:p>
    <w:p w:rsidR="00C17852" w:rsidRPr="008E121F" w:rsidRDefault="00C17852" w:rsidP="008138CD">
      <w:pPr>
        <w:pStyle w:val="Prrafodelista"/>
        <w:spacing w:line="360" w:lineRule="auto"/>
        <w:ind w:left="708" w:right="333"/>
        <w:jc w:val="both"/>
        <w:rPr>
          <w:i/>
          <w:sz w:val="22"/>
          <w:szCs w:val="22"/>
          <w:lang w:val="es-ES"/>
        </w:rPr>
      </w:pPr>
      <w:r w:rsidRPr="008E121F">
        <w:rPr>
          <w:i/>
          <w:sz w:val="22"/>
          <w:szCs w:val="22"/>
          <w:lang w:val="es-ES"/>
        </w:rPr>
        <w:t xml:space="preserve">Esa comprensión, valga resaltar, ha sido acogida y ratificada por la Sala en varios pronunciamientos. Por ejemplo, en la sentencia del 1° de junio de 2006, dictada dentro del proceso radicado con el N° 24.890, esta Corporación puntualizó: </w:t>
      </w:r>
    </w:p>
    <w:p w:rsidR="00C17852" w:rsidRPr="008E121F" w:rsidRDefault="00C17852" w:rsidP="008138CD">
      <w:pPr>
        <w:pStyle w:val="Prrafodelista"/>
        <w:spacing w:line="360" w:lineRule="auto"/>
        <w:ind w:left="708" w:right="333"/>
        <w:jc w:val="both"/>
        <w:rPr>
          <w:i/>
          <w:sz w:val="22"/>
          <w:szCs w:val="22"/>
          <w:lang w:val="es-ES"/>
        </w:rPr>
      </w:pPr>
    </w:p>
    <w:p w:rsidR="00C17852" w:rsidRPr="008E121F" w:rsidRDefault="00C17852" w:rsidP="008138CD">
      <w:pPr>
        <w:pStyle w:val="Prrafodelista"/>
        <w:spacing w:line="360" w:lineRule="auto"/>
        <w:ind w:left="708" w:right="333"/>
        <w:jc w:val="both"/>
        <w:rPr>
          <w:i/>
          <w:sz w:val="22"/>
          <w:szCs w:val="22"/>
          <w:lang w:val="es-ES"/>
        </w:rPr>
      </w:pPr>
      <w:r w:rsidRPr="008E121F">
        <w:rPr>
          <w:i/>
          <w:sz w:val="22"/>
          <w:szCs w:val="22"/>
          <w:lang w:val="es-ES"/>
        </w:rPr>
        <w:t>Para llegar a tal conclusión, la Sala examinó el contenido de los debates que precedieron a la aprobación de la Ley 890 de 2004 al interior del Congreso de la República (Proyecto de Ley número 251 de 2004 en la Cámara y 01 de 2003 en el Senado), en donde se concluyó fundamentalmente que por virtud de los mecanismos de negociación y preacuerdos estipulados en el nuevo sistema, resultaba indispensable incrementar las penas establecidas en la Ley 599 de 2000 para permitir un “margen de maniobra a la Fiscalía” e imponer penas que “guarden proporción con la gravedad de los hechos”.</w:t>
      </w:r>
    </w:p>
    <w:p w:rsidR="00C17852" w:rsidRPr="008E121F" w:rsidRDefault="00C17852" w:rsidP="008138CD">
      <w:pPr>
        <w:pStyle w:val="Prrafodelista"/>
        <w:spacing w:line="360" w:lineRule="auto"/>
        <w:ind w:left="708" w:right="333"/>
        <w:jc w:val="both"/>
        <w:rPr>
          <w:i/>
          <w:sz w:val="22"/>
          <w:szCs w:val="22"/>
          <w:lang w:val="es-ES"/>
        </w:rPr>
      </w:pPr>
    </w:p>
    <w:p w:rsidR="00C17852" w:rsidRPr="008E121F" w:rsidRDefault="00C17852" w:rsidP="008138CD">
      <w:pPr>
        <w:pStyle w:val="Prrafodelista"/>
        <w:spacing w:line="360" w:lineRule="auto"/>
        <w:ind w:left="708" w:right="333"/>
        <w:jc w:val="both"/>
        <w:rPr>
          <w:i/>
          <w:sz w:val="22"/>
          <w:szCs w:val="22"/>
          <w:lang w:val="es-ES"/>
        </w:rPr>
      </w:pPr>
      <w:r w:rsidRPr="008E121F">
        <w:rPr>
          <w:i/>
          <w:sz w:val="22"/>
          <w:szCs w:val="22"/>
          <w:lang w:val="es-ES"/>
        </w:rPr>
        <w:t>En sentencia de 21 de marzo de 2007, proferi</w:t>
      </w:r>
      <w:r w:rsidR="00442185" w:rsidRPr="008E121F">
        <w:rPr>
          <w:i/>
          <w:sz w:val="22"/>
          <w:szCs w:val="22"/>
          <w:lang w:val="es-ES"/>
        </w:rPr>
        <w:t>da dentro del proceso N° 26.065</w:t>
      </w:r>
      <w:r w:rsidRPr="008E121F">
        <w:rPr>
          <w:i/>
          <w:sz w:val="22"/>
          <w:szCs w:val="22"/>
          <w:lang w:val="es-ES"/>
        </w:rPr>
        <w:t>, la Sala expuso que, “como la razón de ser del aumento general de penas previsto en el artículo 14 de la Ley 890 del 2004 fue habilitar los mecanismos de allanamientos y acuerdos que surgen de la implementación del denominado sistema penal acusatorio de la Ley 906 del mismo año, su aplicación queda supeditada a la vigencia gradual de éste”.</w:t>
      </w:r>
    </w:p>
    <w:p w:rsidR="000B4C22" w:rsidRPr="008E121F" w:rsidRDefault="000B4C22" w:rsidP="008138CD">
      <w:pPr>
        <w:pStyle w:val="Prrafodelista"/>
        <w:spacing w:line="360" w:lineRule="auto"/>
        <w:ind w:left="708" w:right="333"/>
        <w:jc w:val="both"/>
        <w:rPr>
          <w:i/>
          <w:sz w:val="24"/>
          <w:szCs w:val="24"/>
          <w:lang w:val="es-ES"/>
        </w:rPr>
      </w:pPr>
    </w:p>
    <w:p w:rsidR="000B4C22" w:rsidRPr="008E121F" w:rsidRDefault="00FD0959" w:rsidP="008138CD">
      <w:pPr>
        <w:pStyle w:val="Prrafodelista"/>
        <w:numPr>
          <w:ilvl w:val="1"/>
          <w:numId w:val="17"/>
        </w:numPr>
        <w:spacing w:line="360" w:lineRule="auto"/>
        <w:ind w:left="0" w:right="49" w:firstLine="0"/>
        <w:jc w:val="both"/>
        <w:rPr>
          <w:sz w:val="24"/>
          <w:szCs w:val="24"/>
          <w:lang w:val="es-ES"/>
        </w:rPr>
      </w:pPr>
      <w:r w:rsidRPr="008E121F">
        <w:rPr>
          <w:sz w:val="24"/>
          <w:szCs w:val="24"/>
          <w:lang w:val="es-ES"/>
        </w:rPr>
        <w:t>De esta manera, también</w:t>
      </w:r>
      <w:r w:rsidR="000B4C22" w:rsidRPr="008E121F">
        <w:rPr>
          <w:sz w:val="24"/>
          <w:szCs w:val="24"/>
          <w:lang w:val="es-ES"/>
        </w:rPr>
        <w:t xml:space="preserve"> fue referido por la SP CSJ dentro del radicado 41157</w:t>
      </w:r>
      <w:r w:rsidR="000A4169" w:rsidRPr="008E121F">
        <w:rPr>
          <w:sz w:val="24"/>
          <w:szCs w:val="24"/>
          <w:lang w:val="es-ES"/>
        </w:rPr>
        <w:t xml:space="preserve"> en </w:t>
      </w:r>
      <w:r w:rsidR="000B4C22" w:rsidRPr="008E121F">
        <w:rPr>
          <w:sz w:val="24"/>
          <w:szCs w:val="24"/>
          <w:lang w:val="es-ES"/>
        </w:rPr>
        <w:t>providencia</w:t>
      </w:r>
      <w:r w:rsidR="000A4169" w:rsidRPr="008E121F">
        <w:rPr>
          <w:sz w:val="24"/>
          <w:szCs w:val="24"/>
          <w:lang w:val="es-ES"/>
        </w:rPr>
        <w:t xml:space="preserve"> del 30 de abril del 2014,</w:t>
      </w:r>
      <w:r w:rsidR="000B4C22" w:rsidRPr="008E121F">
        <w:rPr>
          <w:sz w:val="24"/>
          <w:szCs w:val="24"/>
          <w:lang w:val="es-ES"/>
        </w:rPr>
        <w:t xml:space="preserve"> </w:t>
      </w:r>
      <w:r w:rsidR="000A4169" w:rsidRPr="008E121F">
        <w:rPr>
          <w:sz w:val="24"/>
          <w:szCs w:val="24"/>
          <w:lang w:val="es-ES"/>
        </w:rPr>
        <w:t>donde</w:t>
      </w:r>
      <w:r w:rsidR="000B4C22" w:rsidRPr="008E121F">
        <w:rPr>
          <w:sz w:val="24"/>
          <w:szCs w:val="24"/>
          <w:lang w:val="es-ES"/>
        </w:rPr>
        <w:t xml:space="preserve"> se dijo:</w:t>
      </w:r>
    </w:p>
    <w:p w:rsidR="000B4C22" w:rsidRPr="008E121F" w:rsidRDefault="000B4C22" w:rsidP="008138CD">
      <w:pPr>
        <w:spacing w:line="360" w:lineRule="auto"/>
        <w:ind w:left="-284" w:right="333"/>
        <w:jc w:val="both"/>
        <w:rPr>
          <w:sz w:val="24"/>
          <w:szCs w:val="24"/>
          <w:lang w:val="es-ES"/>
        </w:rPr>
      </w:pPr>
    </w:p>
    <w:p w:rsidR="000B4C22" w:rsidRPr="008E121F" w:rsidRDefault="000A4169" w:rsidP="008138CD">
      <w:pPr>
        <w:spacing w:line="360" w:lineRule="auto"/>
        <w:ind w:left="709" w:right="333"/>
        <w:jc w:val="both"/>
        <w:rPr>
          <w:i/>
          <w:sz w:val="22"/>
          <w:szCs w:val="22"/>
          <w:lang w:val="es-ES"/>
        </w:rPr>
      </w:pPr>
      <w:r w:rsidRPr="008E121F">
        <w:rPr>
          <w:i/>
          <w:sz w:val="22"/>
          <w:szCs w:val="22"/>
          <w:lang w:val="es-ES"/>
        </w:rPr>
        <w:lastRenderedPageBreak/>
        <w:t>“</w:t>
      </w:r>
      <w:r w:rsidR="000B4C22" w:rsidRPr="008E121F">
        <w:rPr>
          <w:i/>
          <w:sz w:val="22"/>
          <w:szCs w:val="22"/>
          <w:lang w:val="es-ES"/>
        </w:rPr>
        <w:t xml:space="preserve">Como se observa, fueron razones de política criminal las que llevaron a que el legislador estableciera un aumento de penas para todas las conductas delictivas, con el fin de evitar que por razón de las reducciones punitivas como consecuencia de la implementación de instrumentos de colaboración con la justicia los infractores se hicieran merecedores a sanciones muy bajas que a juicio del constituyente derivado, no se compadecían con la ofensa a los bienes jurídicos que tutelan los tipos penales.  </w:t>
      </w:r>
    </w:p>
    <w:p w:rsidR="000B4C22" w:rsidRPr="008E121F" w:rsidRDefault="000B4C22" w:rsidP="008138CD">
      <w:pPr>
        <w:spacing w:line="360" w:lineRule="auto"/>
        <w:ind w:left="709" w:right="333"/>
        <w:jc w:val="both"/>
        <w:rPr>
          <w:i/>
          <w:sz w:val="22"/>
          <w:szCs w:val="22"/>
          <w:lang w:val="es-ES"/>
        </w:rPr>
      </w:pPr>
    </w:p>
    <w:p w:rsidR="009712EF" w:rsidRPr="008E121F" w:rsidRDefault="000B4C22" w:rsidP="008138CD">
      <w:pPr>
        <w:spacing w:line="360" w:lineRule="auto"/>
        <w:ind w:left="709" w:right="333"/>
        <w:jc w:val="both"/>
        <w:rPr>
          <w:i/>
          <w:sz w:val="22"/>
          <w:szCs w:val="22"/>
          <w:lang w:val="es-ES"/>
        </w:rPr>
      </w:pPr>
      <w:r w:rsidRPr="008E121F">
        <w:rPr>
          <w:i/>
          <w:sz w:val="22"/>
          <w:szCs w:val="22"/>
          <w:lang w:val="es-ES"/>
        </w:rPr>
        <w:t xml:space="preserve">Fue siguiendo tal interpretación que la Sala de Casación Penal de la Corte Suprema de Justicia, en un pronunciamiento que recogió la línea interpretativa que se venía implementado hasta ese momento en torno a la aplicación en el tiempo del artículo 14 de la Ley 890 de 2004, para casos reglados por la Ley 600 de 2000 (CSJ, SP Enero 18 2012, Rad. 36784), «reafirmó el criterio de que la ley 890 de 2004 tiene una causa común y está ligada en su origen y discurrir con la ley 906 de 2004, por manera que el incremento punitivo de su artículo 14, sólo se justifica en cuanto se trate de un sistema procesal </w:t>
      </w:r>
      <w:proofErr w:type="spellStart"/>
      <w:r w:rsidRPr="008E121F">
        <w:rPr>
          <w:i/>
          <w:sz w:val="22"/>
          <w:szCs w:val="22"/>
          <w:lang w:val="es-ES"/>
        </w:rPr>
        <w:t>premial</w:t>
      </w:r>
      <w:proofErr w:type="spellEnd"/>
      <w:r w:rsidRPr="008E121F">
        <w:rPr>
          <w:i/>
          <w:sz w:val="22"/>
          <w:szCs w:val="22"/>
          <w:lang w:val="es-ES"/>
        </w:rPr>
        <w:t xml:space="preserve"> que prevé instituciones propias como el principio de oportunidad, negociaciones, preacuerdos y las reducciones de pen</w:t>
      </w:r>
      <w:r w:rsidR="009712EF" w:rsidRPr="008E121F">
        <w:rPr>
          <w:i/>
          <w:sz w:val="22"/>
          <w:szCs w:val="22"/>
          <w:lang w:val="es-ES"/>
        </w:rPr>
        <w:t>as por allanamiento a cargos ».</w:t>
      </w:r>
    </w:p>
    <w:p w:rsidR="009712EF" w:rsidRPr="008E121F" w:rsidRDefault="009712EF" w:rsidP="008138CD">
      <w:pPr>
        <w:spacing w:line="360" w:lineRule="auto"/>
        <w:ind w:right="333"/>
        <w:jc w:val="both"/>
        <w:rPr>
          <w:i/>
          <w:sz w:val="22"/>
          <w:szCs w:val="22"/>
          <w:lang w:val="es-ES"/>
        </w:rPr>
      </w:pPr>
    </w:p>
    <w:p w:rsidR="009712EF" w:rsidRPr="008E121F" w:rsidRDefault="009712EF" w:rsidP="008138CD">
      <w:pPr>
        <w:spacing w:line="360" w:lineRule="auto"/>
        <w:ind w:left="708" w:right="333"/>
        <w:jc w:val="both"/>
        <w:rPr>
          <w:i/>
          <w:sz w:val="22"/>
          <w:szCs w:val="22"/>
          <w:lang w:val="es-ES"/>
        </w:rPr>
      </w:pPr>
      <w:r w:rsidRPr="008E121F">
        <w:rPr>
          <w:i/>
          <w:sz w:val="22"/>
          <w:szCs w:val="22"/>
          <w:lang w:val="es-ES"/>
        </w:rPr>
        <w:t xml:space="preserve">Ese mismo criterio fue el acogido por la Corte Constitucional que en sede de tutela señaló «que el incremento generalizado de penas está vinculado al mecanismo de la negociación y de los preacuerdos, no así al de la aceptación unilateral de cargos, o allanamiento a los mismos». </w:t>
      </w:r>
      <w:r w:rsidRPr="008E121F">
        <w:rPr>
          <w:i/>
          <w:sz w:val="22"/>
          <w:szCs w:val="22"/>
          <w:lang w:val="en-US"/>
        </w:rPr>
        <w:t xml:space="preserve">(CC, ST 15 Feb 2007, Rad T-106; CC, ST 10 Feb 2006, Rad. T-091; CC, ST, 16 Nov. 2006, Rad. </w:t>
      </w:r>
      <w:r w:rsidRPr="008E121F">
        <w:rPr>
          <w:i/>
          <w:sz w:val="22"/>
          <w:szCs w:val="22"/>
          <w:lang w:val="es-ES"/>
        </w:rPr>
        <w:t>T-941)</w:t>
      </w:r>
    </w:p>
    <w:p w:rsidR="009712EF" w:rsidRPr="008E121F" w:rsidRDefault="009712EF" w:rsidP="008138CD">
      <w:pPr>
        <w:spacing w:line="360" w:lineRule="auto"/>
        <w:ind w:left="709" w:right="333"/>
        <w:jc w:val="both"/>
        <w:rPr>
          <w:i/>
          <w:sz w:val="22"/>
          <w:szCs w:val="22"/>
          <w:lang w:val="es-ES"/>
        </w:rPr>
      </w:pPr>
    </w:p>
    <w:p w:rsidR="00044812" w:rsidRPr="008E121F" w:rsidRDefault="009712EF" w:rsidP="008138CD">
      <w:pPr>
        <w:spacing w:line="360" w:lineRule="auto"/>
        <w:ind w:left="709" w:right="333"/>
        <w:jc w:val="both"/>
        <w:rPr>
          <w:i/>
          <w:sz w:val="22"/>
          <w:szCs w:val="22"/>
          <w:lang w:val="es-ES"/>
        </w:rPr>
      </w:pPr>
      <w:r w:rsidRPr="008E121F">
        <w:rPr>
          <w:i/>
          <w:sz w:val="22"/>
          <w:szCs w:val="22"/>
          <w:lang w:val="es-ES"/>
        </w:rPr>
        <w:t>De las motivaciones que tuvo el legislador para imponer una agravación general de las penas a partir de la Ley 890 de 2004, así como de la interpretación que sobre dicho precepto ha hecho la judicatura, es claro que tal incremento sólo es aplicable para casos reglados por la Ley 906 de 2004 y aquellos eventos sobre los que se permite la obtención de reducciones punitivas por vía de los preacuerdos, negociaciones con la Fiscalía General de la Nación y allanamiento a cargos.”.</w:t>
      </w:r>
    </w:p>
    <w:p w:rsidR="00044812" w:rsidRPr="008E121F" w:rsidRDefault="00044812" w:rsidP="008138CD">
      <w:pPr>
        <w:spacing w:line="360" w:lineRule="auto"/>
        <w:ind w:right="333"/>
        <w:jc w:val="both"/>
        <w:rPr>
          <w:sz w:val="24"/>
          <w:szCs w:val="24"/>
          <w:lang w:val="es-ES"/>
        </w:rPr>
      </w:pPr>
    </w:p>
    <w:p w:rsidR="00D3544D" w:rsidRPr="008E121F" w:rsidRDefault="00D3544D" w:rsidP="00CB5422">
      <w:pPr>
        <w:pStyle w:val="Prrafodelista"/>
        <w:numPr>
          <w:ilvl w:val="1"/>
          <w:numId w:val="17"/>
        </w:numPr>
        <w:tabs>
          <w:tab w:val="left" w:pos="709"/>
        </w:tabs>
        <w:spacing w:line="360" w:lineRule="auto"/>
        <w:ind w:left="0" w:right="49" w:firstLine="0"/>
        <w:jc w:val="both"/>
        <w:rPr>
          <w:sz w:val="24"/>
          <w:szCs w:val="24"/>
          <w:lang w:val="es-ES"/>
        </w:rPr>
      </w:pPr>
      <w:r w:rsidRPr="008E121F">
        <w:rPr>
          <w:sz w:val="24"/>
          <w:szCs w:val="24"/>
          <w:lang w:val="es-ES"/>
        </w:rPr>
        <w:t>Lo propio se reiteró en providencias del</w:t>
      </w:r>
      <w:r w:rsidR="00A461E1" w:rsidRPr="008E121F">
        <w:rPr>
          <w:sz w:val="24"/>
          <w:szCs w:val="24"/>
          <w:lang w:val="es-ES"/>
        </w:rPr>
        <w:t xml:space="preserve"> 04 de marzo de 2015 y del 22 de febrero de 2017:</w:t>
      </w:r>
    </w:p>
    <w:p w:rsidR="0015091B" w:rsidRPr="008E121F" w:rsidRDefault="0015091B" w:rsidP="008138CD">
      <w:pPr>
        <w:pStyle w:val="Prrafodelista"/>
        <w:tabs>
          <w:tab w:val="left" w:pos="709"/>
        </w:tabs>
        <w:spacing w:line="360" w:lineRule="auto"/>
        <w:ind w:left="0" w:right="333"/>
        <w:jc w:val="both"/>
        <w:rPr>
          <w:sz w:val="24"/>
          <w:szCs w:val="24"/>
          <w:lang w:val="es-ES"/>
        </w:rPr>
      </w:pPr>
    </w:p>
    <w:p w:rsidR="00D3544D" w:rsidRPr="008E121F" w:rsidRDefault="00D3544D" w:rsidP="008138CD">
      <w:pPr>
        <w:tabs>
          <w:tab w:val="left" w:pos="709"/>
        </w:tabs>
        <w:spacing w:line="360" w:lineRule="auto"/>
        <w:ind w:left="709" w:right="333"/>
        <w:jc w:val="both"/>
        <w:rPr>
          <w:i/>
          <w:sz w:val="22"/>
          <w:szCs w:val="22"/>
          <w:lang w:val="es-ES"/>
        </w:rPr>
      </w:pPr>
      <w:r w:rsidRPr="008E121F">
        <w:rPr>
          <w:i/>
          <w:sz w:val="22"/>
          <w:szCs w:val="22"/>
          <w:lang w:val="es-ES"/>
        </w:rPr>
        <w:t xml:space="preserve">“Por ello, de conformidad con el análisis anteriormente realizado, salta a la vista que en este caso, la aplicación del incremento punitivo de la Ley 890 de 2004 resulta improcedente, pues su finalidad no se halla justificada y constituye una intervención desproporcionada a su derecho fundamental a la libertad personal, como quiera que pese a la admisión de responsabilidad realizada por el </w:t>
      </w:r>
      <w:r w:rsidRPr="008E121F">
        <w:rPr>
          <w:i/>
          <w:sz w:val="22"/>
          <w:szCs w:val="22"/>
          <w:lang w:val="es-ES"/>
        </w:rPr>
        <w:lastRenderedPageBreak/>
        <w:t>procesado durante la audiencia de formulación de la imputación no se le disminuyó la pena, ni se le otorgó beneficio penal alguno, teniendo en cuenta la expresa prohibición del artículo 199 de la Ley 1098 de 2006, razón por la cual emerge como margen punitivo racionalmente aplicable el contenido en la Ley 599 de 2000 sin el agravante del artículo 14 de la Ley 890 de 2004.”</w:t>
      </w:r>
      <w:r w:rsidR="000C6928" w:rsidRPr="008E121F">
        <w:rPr>
          <w:rStyle w:val="Refdenotaalpie"/>
          <w:i/>
          <w:sz w:val="22"/>
          <w:szCs w:val="22"/>
          <w:lang w:val="es-ES"/>
        </w:rPr>
        <w:footnoteReference w:id="4"/>
      </w:r>
    </w:p>
    <w:p w:rsidR="00A461E1" w:rsidRPr="008E121F" w:rsidRDefault="00A461E1" w:rsidP="008138CD">
      <w:pPr>
        <w:tabs>
          <w:tab w:val="left" w:pos="709"/>
        </w:tabs>
        <w:spacing w:line="360" w:lineRule="auto"/>
        <w:ind w:left="709" w:right="333"/>
        <w:jc w:val="both"/>
        <w:rPr>
          <w:i/>
          <w:sz w:val="22"/>
          <w:szCs w:val="22"/>
          <w:lang w:val="es-ES"/>
        </w:rPr>
      </w:pPr>
      <w:r w:rsidRPr="008E121F">
        <w:rPr>
          <w:i/>
          <w:sz w:val="22"/>
          <w:szCs w:val="22"/>
          <w:lang w:val="es-ES"/>
        </w:rPr>
        <w:t>(…)</w:t>
      </w:r>
    </w:p>
    <w:p w:rsidR="00A461E1" w:rsidRPr="008E121F" w:rsidRDefault="00A461E1" w:rsidP="008138CD">
      <w:pPr>
        <w:tabs>
          <w:tab w:val="left" w:pos="709"/>
        </w:tabs>
        <w:spacing w:line="360" w:lineRule="auto"/>
        <w:ind w:left="709" w:right="333"/>
        <w:jc w:val="both"/>
        <w:rPr>
          <w:i/>
          <w:sz w:val="22"/>
          <w:szCs w:val="22"/>
          <w:lang w:val="es-ES"/>
        </w:rPr>
      </w:pPr>
      <w:r w:rsidRPr="008E121F">
        <w:rPr>
          <w:i/>
          <w:sz w:val="22"/>
          <w:szCs w:val="22"/>
          <w:lang w:val="es-ES"/>
        </w:rPr>
        <w:t xml:space="preserve">“Ahora, en relación con la prohibición expresa contenida en la Ley de Infancia y Adolescencia – artículo 199 Ley 1098 de 2006- la Sala se ha pronunciado en el siguiente sentido: </w:t>
      </w:r>
    </w:p>
    <w:p w:rsidR="00A461E1" w:rsidRPr="008E121F" w:rsidRDefault="00A461E1" w:rsidP="008138CD">
      <w:pPr>
        <w:tabs>
          <w:tab w:val="left" w:pos="709"/>
        </w:tabs>
        <w:spacing w:line="360" w:lineRule="auto"/>
        <w:ind w:left="709" w:right="333"/>
        <w:jc w:val="both"/>
        <w:rPr>
          <w:i/>
          <w:sz w:val="22"/>
          <w:szCs w:val="22"/>
          <w:lang w:val="es-ES"/>
        </w:rPr>
      </w:pPr>
      <w:r w:rsidRPr="008E121F">
        <w:rPr>
          <w:i/>
          <w:sz w:val="22"/>
          <w:szCs w:val="22"/>
          <w:lang w:val="es-ES"/>
        </w:rPr>
        <w:t>«Se dijo desde entonces y con carácter modificatorio de la posición que hasta el momento imperaba, que en los supuestos en los cuales el procesado se allanara a los cargos imputados o acordara sobre los mismos con la Fiscalía, no procedía el aumento de sanción que de manera general se previó en el artículo 14 de la Ley 890 de 2004, cuando a pesar de tales eventos no pudiera recibir ningún beneficio punitivo compensatorio por disposición expresa de la ley, como ocurre con lo estipulado en el artículo 26 de la Ley 1121 del 2006, según el cual no resulta viable rebaja punitiva derivada de la terminación anticipada del proceso cuando se tratare de delitos de terrorismo, financiación de terrorismo, secuestro extorsivo y extorsión, o en la veda prevista en el artículo 199.7 de la Ley 1098 de 2006 bajo cuyos términos no es admisible disminución de sanción con base en negociaciones y preacuerdos entre Fiscalía e imputado o acusado cuando el delito de secuestro, entre otros, sea cometido, en niño, niña o adolescente</w:t>
      </w:r>
    </w:p>
    <w:p w:rsidR="00A461E1" w:rsidRPr="008E121F" w:rsidRDefault="00A461E1" w:rsidP="008138CD">
      <w:pPr>
        <w:tabs>
          <w:tab w:val="left" w:pos="709"/>
        </w:tabs>
        <w:spacing w:line="360" w:lineRule="auto"/>
        <w:ind w:left="709" w:right="333"/>
        <w:jc w:val="both"/>
        <w:rPr>
          <w:i/>
          <w:sz w:val="22"/>
          <w:szCs w:val="22"/>
          <w:lang w:val="es-ES"/>
        </w:rPr>
      </w:pPr>
      <w:r w:rsidRPr="008E121F">
        <w:rPr>
          <w:i/>
          <w:sz w:val="22"/>
          <w:szCs w:val="22"/>
          <w:lang w:val="es-ES"/>
        </w:rPr>
        <w:t>[…]</w:t>
      </w:r>
    </w:p>
    <w:p w:rsidR="00A461E1" w:rsidRPr="008E121F" w:rsidRDefault="00A461E1" w:rsidP="008138CD">
      <w:pPr>
        <w:tabs>
          <w:tab w:val="left" w:pos="709"/>
        </w:tabs>
        <w:spacing w:line="360" w:lineRule="auto"/>
        <w:ind w:left="709" w:right="333"/>
        <w:jc w:val="both"/>
        <w:rPr>
          <w:i/>
          <w:sz w:val="22"/>
          <w:szCs w:val="22"/>
          <w:lang w:val="es-ES"/>
        </w:rPr>
      </w:pPr>
      <w:r w:rsidRPr="008E121F">
        <w:rPr>
          <w:i/>
          <w:sz w:val="22"/>
          <w:szCs w:val="22"/>
          <w:lang w:val="es-ES"/>
        </w:rPr>
        <w:t xml:space="preserve">Tal criterio, a modo complementario y como ya se anunció, también deviene aplicable a los casos en los que se procede por el delito de secuestro, entre otros, cometido contra niños, niñas o adolescentes y el procesado se allana a cargos o </w:t>
      </w:r>
      <w:proofErr w:type="spellStart"/>
      <w:r w:rsidRPr="008E121F">
        <w:rPr>
          <w:i/>
          <w:sz w:val="22"/>
          <w:szCs w:val="22"/>
          <w:lang w:val="es-ES"/>
        </w:rPr>
        <w:t>preacuerda</w:t>
      </w:r>
      <w:proofErr w:type="spellEnd"/>
      <w:r w:rsidRPr="008E121F">
        <w:rPr>
          <w:i/>
          <w:sz w:val="22"/>
          <w:szCs w:val="22"/>
          <w:lang w:val="es-ES"/>
        </w:rPr>
        <w:t xml:space="preserve"> con la fiscalía, sin recibir descuentos o beneficios, en virtud de la prohibición contenida en el artículo 199.7 del Código de la Infancia y la Adolescencia, tal como la Corte lo ha precisado en algunas decisiones como la CSJ SP5197-2014 del 30 de abril de 2014, radicación 41157; CSJ SP10994-2014 del 20 de agosto de 2014, radicación 43624; y CSJ SP17082-2015 del 10 de diciembre de 2015, radicación 45610.</w:t>
      </w:r>
    </w:p>
    <w:p w:rsidR="00A461E1" w:rsidRPr="008E121F" w:rsidRDefault="00A461E1" w:rsidP="008138CD">
      <w:pPr>
        <w:tabs>
          <w:tab w:val="left" w:pos="709"/>
        </w:tabs>
        <w:spacing w:line="360" w:lineRule="auto"/>
        <w:ind w:left="709" w:right="333"/>
        <w:jc w:val="both"/>
        <w:rPr>
          <w:i/>
          <w:sz w:val="22"/>
          <w:szCs w:val="22"/>
          <w:lang w:val="es-ES"/>
        </w:rPr>
      </w:pPr>
      <w:r w:rsidRPr="008E121F">
        <w:rPr>
          <w:i/>
          <w:sz w:val="22"/>
          <w:szCs w:val="22"/>
          <w:lang w:val="es-ES"/>
        </w:rPr>
        <w:t>[…]</w:t>
      </w:r>
    </w:p>
    <w:p w:rsidR="00A461E1" w:rsidRPr="008E121F" w:rsidRDefault="00A461E1" w:rsidP="008138CD">
      <w:pPr>
        <w:tabs>
          <w:tab w:val="left" w:pos="709"/>
        </w:tabs>
        <w:spacing w:line="360" w:lineRule="auto"/>
        <w:ind w:left="709" w:right="333"/>
        <w:jc w:val="both"/>
        <w:rPr>
          <w:i/>
          <w:sz w:val="24"/>
          <w:szCs w:val="24"/>
          <w:lang w:val="es-ES"/>
        </w:rPr>
      </w:pPr>
      <w:r w:rsidRPr="008E121F">
        <w:rPr>
          <w:i/>
          <w:sz w:val="22"/>
          <w:szCs w:val="22"/>
          <w:lang w:val="es-ES"/>
        </w:rPr>
        <w:t xml:space="preserve">En estas condiciones, por tanto, es patente que el criterio acogido por la Sala en los precedentes de 27 de febrero de 2013 y 30 de abril de 2014, antes reseñados, favorece al accionante, toda vez que reconoce que cuando no se conceden descuentos punitivos en virtud de las citadas prohibiciones, de un lado, no procede de otro, el incremento general de penas previsto en el artículo 14 de la Ley 890 de 2004, pues si tal incremento lo que procura es brindar a la Fiscalía </w:t>
      </w:r>
      <w:r w:rsidRPr="008E121F">
        <w:rPr>
          <w:i/>
          <w:sz w:val="22"/>
          <w:szCs w:val="22"/>
          <w:lang w:val="es-ES"/>
        </w:rPr>
        <w:lastRenderedPageBreak/>
        <w:t>un mayor campo de acción para lograr allanamientos o preacuerdos y ofrecer una disminución de la sanción, cuando tal beneficio no es procedente, como lo dijo la Corte, decae la justificación del aumento de la penalidad, luego en ese orden ha de concluirse concurrentes los supuestos fácticos de la causal invocada para de ese modo remover los efectos de la cosa juzgada que permitan ajustar la sentencia objeto de la acción a la nueva línea jurisprudencial</w:t>
      </w:r>
      <w:r w:rsidR="0015091B" w:rsidRPr="008E121F">
        <w:rPr>
          <w:rStyle w:val="Refdenotaalpie"/>
          <w:i/>
          <w:sz w:val="22"/>
          <w:szCs w:val="22"/>
          <w:lang w:val="es-ES"/>
        </w:rPr>
        <w:footnoteReference w:id="5"/>
      </w:r>
      <w:r w:rsidRPr="008E121F">
        <w:rPr>
          <w:i/>
          <w:sz w:val="22"/>
          <w:szCs w:val="22"/>
          <w:lang w:val="es-ES"/>
        </w:rPr>
        <w:t xml:space="preserve">» </w:t>
      </w:r>
      <w:r w:rsidRPr="008E121F">
        <w:rPr>
          <w:i/>
          <w:sz w:val="24"/>
          <w:szCs w:val="24"/>
          <w:lang w:val="es-ES"/>
        </w:rPr>
        <w:t>.</w:t>
      </w:r>
    </w:p>
    <w:p w:rsidR="00A461E1" w:rsidRPr="008E121F" w:rsidRDefault="00A461E1" w:rsidP="008138CD">
      <w:pPr>
        <w:tabs>
          <w:tab w:val="left" w:pos="709"/>
        </w:tabs>
        <w:spacing w:line="360" w:lineRule="auto"/>
        <w:ind w:left="709" w:right="333"/>
        <w:jc w:val="both"/>
        <w:rPr>
          <w:i/>
          <w:sz w:val="22"/>
          <w:szCs w:val="22"/>
          <w:lang w:val="es-ES"/>
        </w:rPr>
      </w:pPr>
      <w:r w:rsidRPr="008E121F">
        <w:rPr>
          <w:i/>
          <w:sz w:val="22"/>
          <w:szCs w:val="22"/>
          <w:lang w:val="es-ES"/>
        </w:rPr>
        <w:t>En el caso materia de análisis, YULI MILEIDY SERRANO PÉREZ aceptó los cargos que por el delito de secuestro simple agravado le imputó la Fiscalía, por cuya razón fue objeto de condena, sin que se le haya otorgado descuento punitivo por su decisión, pese a lo cual en la tasación de la pena el fallador le aplicó el incremento previsto en el artículo 14 de la Ley 890 de 2004, por lo que resulta innegable que concurren en este evento los presupuestos de la causal de revisión objeto de invocación, motivo por el cual se declarará fundada la misma.”</w:t>
      </w:r>
      <w:r w:rsidRPr="008E121F">
        <w:rPr>
          <w:rStyle w:val="Refdenotaalpie"/>
          <w:i/>
          <w:sz w:val="22"/>
          <w:szCs w:val="22"/>
          <w:lang w:val="es-ES"/>
        </w:rPr>
        <w:footnoteReference w:id="6"/>
      </w:r>
    </w:p>
    <w:p w:rsidR="00D3544D" w:rsidRPr="008E121F" w:rsidRDefault="00D3544D" w:rsidP="008138CD">
      <w:pPr>
        <w:tabs>
          <w:tab w:val="left" w:pos="709"/>
        </w:tabs>
        <w:spacing w:line="360" w:lineRule="auto"/>
        <w:ind w:right="333"/>
        <w:jc w:val="both"/>
        <w:rPr>
          <w:sz w:val="24"/>
          <w:szCs w:val="24"/>
          <w:lang w:val="es-ES"/>
        </w:rPr>
      </w:pPr>
    </w:p>
    <w:p w:rsidR="00FD0959" w:rsidRPr="008E121F" w:rsidRDefault="00FD0959" w:rsidP="008138CD">
      <w:pPr>
        <w:pStyle w:val="Prrafodelista"/>
        <w:numPr>
          <w:ilvl w:val="1"/>
          <w:numId w:val="17"/>
        </w:numPr>
        <w:tabs>
          <w:tab w:val="left" w:pos="709"/>
        </w:tabs>
        <w:spacing w:line="360" w:lineRule="auto"/>
        <w:ind w:left="0" w:right="49" w:firstLine="0"/>
        <w:jc w:val="both"/>
        <w:rPr>
          <w:sz w:val="24"/>
          <w:szCs w:val="24"/>
          <w:lang w:val="es-ES"/>
        </w:rPr>
      </w:pPr>
      <w:r w:rsidRPr="008E121F">
        <w:rPr>
          <w:sz w:val="24"/>
          <w:szCs w:val="24"/>
          <w:lang w:val="es-ES"/>
        </w:rPr>
        <w:t xml:space="preserve">Ahora bien, </w:t>
      </w:r>
      <w:r w:rsidR="00F36810" w:rsidRPr="008E121F">
        <w:rPr>
          <w:sz w:val="24"/>
          <w:szCs w:val="24"/>
          <w:lang w:val="es-ES"/>
        </w:rPr>
        <w:t>se tiene que</w:t>
      </w:r>
      <w:r w:rsidRPr="008E121F">
        <w:rPr>
          <w:sz w:val="24"/>
          <w:szCs w:val="24"/>
          <w:lang w:val="es-ES"/>
        </w:rPr>
        <w:t xml:space="preserve"> el fallador de primer grado dentro del presente caso </w:t>
      </w:r>
      <w:r w:rsidR="00F36810" w:rsidRPr="008E121F">
        <w:rPr>
          <w:sz w:val="24"/>
          <w:szCs w:val="24"/>
          <w:lang w:val="es-ES"/>
        </w:rPr>
        <w:t>aplicó los aumentos de pena estipulados en la Ley</w:t>
      </w:r>
      <w:r w:rsidR="00CC3681" w:rsidRPr="008E121F">
        <w:rPr>
          <w:sz w:val="24"/>
          <w:szCs w:val="24"/>
          <w:lang w:val="es-ES"/>
        </w:rPr>
        <w:t xml:space="preserve"> 890 de 2004, sin aplicar </w:t>
      </w:r>
      <w:r w:rsidRPr="008E121F">
        <w:rPr>
          <w:sz w:val="24"/>
          <w:szCs w:val="24"/>
          <w:lang w:val="es-ES"/>
        </w:rPr>
        <w:t>la rebaja de pena</w:t>
      </w:r>
      <w:r w:rsidR="00F36810" w:rsidRPr="008E121F">
        <w:rPr>
          <w:sz w:val="24"/>
          <w:szCs w:val="24"/>
          <w:lang w:val="es-ES"/>
        </w:rPr>
        <w:t xml:space="preserve"> debido a</w:t>
      </w:r>
      <w:r w:rsidRPr="008E121F">
        <w:rPr>
          <w:sz w:val="24"/>
          <w:szCs w:val="24"/>
          <w:lang w:val="es-ES"/>
        </w:rPr>
        <w:t xml:space="preserve"> la prohibición </w:t>
      </w:r>
      <w:r w:rsidR="007D7E55" w:rsidRPr="008E121F">
        <w:rPr>
          <w:sz w:val="24"/>
          <w:szCs w:val="24"/>
          <w:lang w:val="es-ES"/>
        </w:rPr>
        <w:t>consagrada</w:t>
      </w:r>
      <w:r w:rsidRPr="008E121F">
        <w:rPr>
          <w:sz w:val="24"/>
          <w:szCs w:val="24"/>
          <w:lang w:val="es-ES"/>
        </w:rPr>
        <w:t xml:space="preserve"> en el artículo 199 numeral 7 de la Ley 1098 de 2006, puesto que se juzgaba el homicidio de un menor de edad;</w:t>
      </w:r>
      <w:r w:rsidR="00CC3681" w:rsidRPr="008E121F">
        <w:rPr>
          <w:sz w:val="24"/>
          <w:szCs w:val="24"/>
          <w:u w:val="single"/>
          <w:lang w:val="es-ES"/>
        </w:rPr>
        <w:t xml:space="preserve"> pero </w:t>
      </w:r>
      <w:r w:rsidR="00F36810" w:rsidRPr="008E121F">
        <w:rPr>
          <w:sz w:val="24"/>
          <w:szCs w:val="24"/>
          <w:u w:val="single"/>
          <w:lang w:val="es-ES"/>
        </w:rPr>
        <w:t xml:space="preserve">posteriormente </w:t>
      </w:r>
      <w:r w:rsidRPr="008E121F">
        <w:rPr>
          <w:sz w:val="24"/>
          <w:szCs w:val="24"/>
          <w:u w:val="single"/>
          <w:lang w:val="es-ES"/>
        </w:rPr>
        <w:t>la jurisprudencia reseñada</w:t>
      </w:r>
      <w:r w:rsidR="00CC3681" w:rsidRPr="008E121F">
        <w:rPr>
          <w:sz w:val="24"/>
          <w:szCs w:val="24"/>
          <w:u w:val="single"/>
          <w:lang w:val="es-ES"/>
        </w:rPr>
        <w:t xml:space="preserve"> señaló que </w:t>
      </w:r>
      <w:r w:rsidRPr="008E121F">
        <w:rPr>
          <w:sz w:val="24"/>
          <w:szCs w:val="24"/>
          <w:u w:val="single"/>
          <w:lang w:val="es-ES"/>
        </w:rPr>
        <w:t>no proced</w:t>
      </w:r>
      <w:r w:rsidR="00E04D01" w:rsidRPr="008E121F">
        <w:rPr>
          <w:sz w:val="24"/>
          <w:szCs w:val="24"/>
          <w:u w:val="single"/>
          <w:lang w:val="es-ES"/>
        </w:rPr>
        <w:t xml:space="preserve">ía el </w:t>
      </w:r>
      <w:r w:rsidR="008868A5" w:rsidRPr="008E121F">
        <w:rPr>
          <w:sz w:val="24"/>
          <w:szCs w:val="24"/>
          <w:u w:val="single"/>
          <w:lang w:val="es-ES"/>
        </w:rPr>
        <w:t>incremento punitivo previsto en la Ley 890 de 2004 toda vez que hacerlo sería soslayar el fin de dicha norma</w:t>
      </w:r>
      <w:r w:rsidR="00DB72D6" w:rsidRPr="008E121F">
        <w:rPr>
          <w:sz w:val="24"/>
          <w:szCs w:val="24"/>
          <w:u w:val="single"/>
          <w:lang w:val="es-ES"/>
        </w:rPr>
        <w:t xml:space="preserve">; en tanto </w:t>
      </w:r>
      <w:r w:rsidR="00036073" w:rsidRPr="008E121F">
        <w:rPr>
          <w:sz w:val="24"/>
          <w:szCs w:val="24"/>
          <w:u w:val="single"/>
          <w:lang w:val="es-ES"/>
        </w:rPr>
        <w:t xml:space="preserve">que al no ser posible aplicar ninguna rebaja de pena, tampoco se justificaría el incremento de la misma. </w:t>
      </w:r>
      <w:r w:rsidR="00036073" w:rsidRPr="008E121F">
        <w:rPr>
          <w:sz w:val="24"/>
          <w:szCs w:val="24"/>
          <w:lang w:val="es-ES"/>
        </w:rPr>
        <w:t>Por ello, deberá realizarse una nueva dosificación de la pena impuesta al señor Richard Hernando Hincapié  Giraldo por medio de sentencia del 14 de julio de 2008.</w:t>
      </w:r>
    </w:p>
    <w:p w:rsidR="008868A5" w:rsidRPr="008E121F" w:rsidRDefault="008868A5" w:rsidP="008138CD">
      <w:pPr>
        <w:pStyle w:val="Prrafodelista"/>
        <w:spacing w:line="360" w:lineRule="auto"/>
        <w:ind w:left="405" w:right="333"/>
        <w:jc w:val="both"/>
        <w:rPr>
          <w:sz w:val="24"/>
          <w:szCs w:val="24"/>
          <w:lang w:val="es-ES"/>
        </w:rPr>
      </w:pPr>
    </w:p>
    <w:p w:rsidR="007A0A03" w:rsidRPr="008E121F" w:rsidRDefault="00036073" w:rsidP="008138CD">
      <w:pPr>
        <w:pStyle w:val="Prrafodelista"/>
        <w:numPr>
          <w:ilvl w:val="1"/>
          <w:numId w:val="17"/>
        </w:numPr>
        <w:tabs>
          <w:tab w:val="left" w:pos="709"/>
          <w:tab w:val="left" w:pos="851"/>
        </w:tabs>
        <w:spacing w:line="360" w:lineRule="auto"/>
        <w:ind w:left="0" w:right="49" w:firstLine="0"/>
        <w:jc w:val="both"/>
        <w:rPr>
          <w:sz w:val="24"/>
          <w:szCs w:val="24"/>
          <w:lang w:val="es-ES"/>
        </w:rPr>
      </w:pPr>
      <w:r w:rsidRPr="008E121F">
        <w:rPr>
          <w:sz w:val="24"/>
          <w:szCs w:val="24"/>
          <w:lang w:val="es-ES"/>
        </w:rPr>
        <w:t>En este orden de ideas</w:t>
      </w:r>
      <w:r w:rsidR="001C7239" w:rsidRPr="008E121F">
        <w:rPr>
          <w:sz w:val="24"/>
          <w:szCs w:val="24"/>
          <w:lang w:val="es-ES"/>
        </w:rPr>
        <w:t xml:space="preserve">, </w:t>
      </w:r>
      <w:r w:rsidR="008038FB" w:rsidRPr="008E121F">
        <w:rPr>
          <w:sz w:val="24"/>
          <w:szCs w:val="24"/>
          <w:lang w:val="es-ES"/>
        </w:rPr>
        <w:t>es viable revisar la decisión bajo el entendido que para el delito de homicidio agravado en menor de edad no procede el aumento de penas consagrado en la Ley 890 de 2004 por cuanto no es posible aplicar alguna rebaja para tal ilícito</w:t>
      </w:r>
      <w:r w:rsidR="007A0A03" w:rsidRPr="008E121F">
        <w:rPr>
          <w:sz w:val="24"/>
          <w:szCs w:val="24"/>
          <w:lang w:val="es-ES"/>
        </w:rPr>
        <w:t>.</w:t>
      </w:r>
    </w:p>
    <w:p w:rsidR="000D6A66" w:rsidRPr="008E121F" w:rsidRDefault="000D6A66" w:rsidP="000D6A66">
      <w:pPr>
        <w:pStyle w:val="Prrafodelista"/>
        <w:tabs>
          <w:tab w:val="left" w:pos="709"/>
          <w:tab w:val="left" w:pos="851"/>
        </w:tabs>
        <w:spacing w:line="360" w:lineRule="auto"/>
        <w:ind w:left="0" w:right="49"/>
        <w:jc w:val="both"/>
        <w:rPr>
          <w:sz w:val="24"/>
          <w:szCs w:val="24"/>
          <w:lang w:val="es-ES"/>
        </w:rPr>
      </w:pPr>
    </w:p>
    <w:p w:rsidR="007A0A03" w:rsidRPr="008E121F" w:rsidRDefault="007A0A03" w:rsidP="008138CD">
      <w:pPr>
        <w:pStyle w:val="Prrafodelista"/>
        <w:numPr>
          <w:ilvl w:val="1"/>
          <w:numId w:val="17"/>
        </w:numPr>
        <w:tabs>
          <w:tab w:val="left" w:pos="709"/>
          <w:tab w:val="left" w:pos="851"/>
        </w:tabs>
        <w:spacing w:line="360" w:lineRule="auto"/>
        <w:ind w:left="0" w:right="49" w:firstLine="0"/>
        <w:jc w:val="both"/>
        <w:rPr>
          <w:sz w:val="24"/>
          <w:szCs w:val="24"/>
          <w:lang w:val="es-ES"/>
        </w:rPr>
      </w:pPr>
      <w:r w:rsidRPr="008E121F">
        <w:rPr>
          <w:sz w:val="24"/>
          <w:szCs w:val="24"/>
          <w:lang w:val="es-ES"/>
        </w:rPr>
        <w:t xml:space="preserve"> No </w:t>
      </w:r>
      <w:r w:rsidR="008038FB" w:rsidRPr="008E121F">
        <w:rPr>
          <w:sz w:val="24"/>
          <w:szCs w:val="24"/>
          <w:lang w:val="es-ES"/>
        </w:rPr>
        <w:t xml:space="preserve"> obstante, se debe resaltar que para los demás delitos </w:t>
      </w:r>
      <w:r w:rsidRPr="008E121F">
        <w:rPr>
          <w:sz w:val="24"/>
          <w:szCs w:val="24"/>
          <w:lang w:val="es-ES"/>
        </w:rPr>
        <w:t xml:space="preserve">concursantes, </w:t>
      </w:r>
      <w:r w:rsidR="008038FB" w:rsidRPr="008E121F">
        <w:rPr>
          <w:sz w:val="24"/>
          <w:szCs w:val="24"/>
          <w:lang w:val="es-ES"/>
        </w:rPr>
        <w:t xml:space="preserve"> si sería viable aplicar el correspondiente aumento de penas, así como la rebaja por </w:t>
      </w:r>
      <w:r w:rsidR="0011041E" w:rsidRPr="008E121F">
        <w:rPr>
          <w:sz w:val="24"/>
          <w:szCs w:val="24"/>
          <w:lang w:val="es-ES"/>
        </w:rPr>
        <w:t>el preacuerdo</w:t>
      </w:r>
      <w:r w:rsidRPr="008E121F">
        <w:rPr>
          <w:sz w:val="24"/>
          <w:szCs w:val="24"/>
          <w:lang w:val="es-ES"/>
        </w:rPr>
        <w:t xml:space="preserve"> que el señor Hincapié celebró con el ente acusador.</w:t>
      </w:r>
    </w:p>
    <w:p w:rsidR="007A0A03" w:rsidRPr="008E121F" w:rsidRDefault="007A0A03" w:rsidP="008138CD">
      <w:pPr>
        <w:tabs>
          <w:tab w:val="left" w:pos="709"/>
          <w:tab w:val="left" w:pos="851"/>
        </w:tabs>
        <w:spacing w:line="360" w:lineRule="auto"/>
        <w:ind w:right="49"/>
        <w:jc w:val="both"/>
        <w:rPr>
          <w:sz w:val="24"/>
          <w:szCs w:val="24"/>
          <w:lang w:val="es-ES"/>
        </w:rPr>
      </w:pPr>
    </w:p>
    <w:p w:rsidR="002B64A4" w:rsidRPr="008E121F" w:rsidRDefault="0011041E" w:rsidP="008138CD">
      <w:pPr>
        <w:tabs>
          <w:tab w:val="left" w:pos="709"/>
          <w:tab w:val="left" w:pos="851"/>
        </w:tabs>
        <w:spacing w:line="360" w:lineRule="auto"/>
        <w:ind w:right="49"/>
        <w:jc w:val="both"/>
        <w:rPr>
          <w:sz w:val="24"/>
          <w:szCs w:val="24"/>
          <w:lang w:val="es-ES"/>
        </w:rPr>
      </w:pPr>
      <w:r w:rsidRPr="008E121F">
        <w:rPr>
          <w:sz w:val="24"/>
          <w:szCs w:val="24"/>
          <w:lang w:val="es-ES"/>
        </w:rPr>
        <w:lastRenderedPageBreak/>
        <w:t xml:space="preserve">Por </w:t>
      </w:r>
      <w:r w:rsidR="007A0A03" w:rsidRPr="008E121F">
        <w:rPr>
          <w:sz w:val="24"/>
          <w:szCs w:val="24"/>
          <w:lang w:val="es-ES"/>
        </w:rPr>
        <w:t xml:space="preserve">lo </w:t>
      </w:r>
      <w:r w:rsidRPr="008E121F">
        <w:rPr>
          <w:sz w:val="24"/>
          <w:szCs w:val="24"/>
          <w:lang w:val="es-ES"/>
        </w:rPr>
        <w:t xml:space="preserve">tanto, </w:t>
      </w:r>
      <w:r w:rsidR="009074B2" w:rsidRPr="008E121F">
        <w:rPr>
          <w:sz w:val="24"/>
          <w:szCs w:val="24"/>
          <w:lang w:val="es-ES"/>
        </w:rPr>
        <w:t>debería procederse</w:t>
      </w:r>
      <w:r w:rsidRPr="008E121F">
        <w:rPr>
          <w:sz w:val="24"/>
          <w:szCs w:val="24"/>
          <w:lang w:val="es-ES"/>
        </w:rPr>
        <w:t xml:space="preserve"> a realizar la correspondiente dosificación </w:t>
      </w:r>
      <w:r w:rsidR="009101CE" w:rsidRPr="008E121F">
        <w:rPr>
          <w:sz w:val="24"/>
          <w:szCs w:val="24"/>
          <w:lang w:val="es-ES"/>
        </w:rPr>
        <w:t xml:space="preserve">de </w:t>
      </w:r>
      <w:r w:rsidRPr="008E121F">
        <w:rPr>
          <w:sz w:val="24"/>
          <w:szCs w:val="24"/>
          <w:lang w:val="es-ES"/>
        </w:rPr>
        <w:t xml:space="preserve">cada uno de los delitos </w:t>
      </w:r>
      <w:r w:rsidR="00E37161" w:rsidRPr="008E121F">
        <w:rPr>
          <w:sz w:val="24"/>
          <w:szCs w:val="24"/>
          <w:lang w:val="es-ES"/>
        </w:rPr>
        <w:t xml:space="preserve">concursantes, </w:t>
      </w:r>
      <w:r w:rsidR="009074B2" w:rsidRPr="008E121F">
        <w:rPr>
          <w:sz w:val="24"/>
          <w:szCs w:val="24"/>
          <w:lang w:val="es-ES"/>
        </w:rPr>
        <w:t>así</w:t>
      </w:r>
      <w:r w:rsidR="00E37161" w:rsidRPr="008E121F">
        <w:rPr>
          <w:sz w:val="24"/>
          <w:szCs w:val="24"/>
          <w:lang w:val="es-ES"/>
        </w:rPr>
        <w:t xml:space="preserve"> </w:t>
      </w:r>
      <w:r w:rsidRPr="008E121F">
        <w:rPr>
          <w:sz w:val="24"/>
          <w:szCs w:val="24"/>
          <w:lang w:val="es-ES"/>
        </w:rPr>
        <w:t>determinar el delito base</w:t>
      </w:r>
      <w:r w:rsidR="00E37161" w:rsidRPr="008E121F">
        <w:rPr>
          <w:sz w:val="24"/>
          <w:szCs w:val="24"/>
          <w:lang w:val="es-ES"/>
        </w:rPr>
        <w:t xml:space="preserve"> y con ello </w:t>
      </w:r>
      <w:r w:rsidR="009101CE" w:rsidRPr="008E121F">
        <w:rPr>
          <w:sz w:val="24"/>
          <w:szCs w:val="24"/>
          <w:lang w:val="es-ES"/>
        </w:rPr>
        <w:t>establecer</w:t>
      </w:r>
      <w:r w:rsidR="00E37161" w:rsidRPr="008E121F">
        <w:rPr>
          <w:sz w:val="24"/>
          <w:szCs w:val="24"/>
          <w:lang w:val="es-ES"/>
        </w:rPr>
        <w:t xml:space="preserve"> el otro tanto que </w:t>
      </w:r>
      <w:r w:rsidR="009101CE" w:rsidRPr="008E121F">
        <w:rPr>
          <w:sz w:val="24"/>
          <w:szCs w:val="24"/>
          <w:lang w:val="es-ES"/>
        </w:rPr>
        <w:t>podrá aumentarse</w:t>
      </w:r>
      <w:r w:rsidR="00E37161" w:rsidRPr="008E121F">
        <w:rPr>
          <w:sz w:val="24"/>
          <w:szCs w:val="24"/>
          <w:lang w:val="es-ES"/>
        </w:rPr>
        <w:t xml:space="preserve"> por los demás delitos del concurso.</w:t>
      </w:r>
    </w:p>
    <w:p w:rsidR="002B64A4" w:rsidRPr="008E121F" w:rsidRDefault="002B64A4" w:rsidP="008138CD">
      <w:pPr>
        <w:tabs>
          <w:tab w:val="left" w:pos="709"/>
          <w:tab w:val="left" w:pos="851"/>
        </w:tabs>
        <w:spacing w:line="360" w:lineRule="auto"/>
        <w:ind w:right="49"/>
        <w:jc w:val="both"/>
        <w:rPr>
          <w:sz w:val="24"/>
          <w:szCs w:val="24"/>
          <w:lang w:val="es-ES"/>
        </w:rPr>
      </w:pPr>
    </w:p>
    <w:p w:rsidR="000D6A66" w:rsidRPr="008E121F" w:rsidRDefault="000D6A66" w:rsidP="002B64A4">
      <w:pPr>
        <w:pStyle w:val="Prrafodelista"/>
        <w:numPr>
          <w:ilvl w:val="1"/>
          <w:numId w:val="17"/>
        </w:numPr>
        <w:tabs>
          <w:tab w:val="left" w:pos="709"/>
          <w:tab w:val="left" w:pos="851"/>
        </w:tabs>
        <w:spacing w:line="360" w:lineRule="auto"/>
        <w:ind w:left="0" w:right="49" w:firstLine="0"/>
        <w:jc w:val="both"/>
        <w:rPr>
          <w:sz w:val="24"/>
          <w:szCs w:val="24"/>
          <w:lang w:val="es-ES"/>
        </w:rPr>
      </w:pPr>
      <w:r w:rsidRPr="008E121F">
        <w:rPr>
          <w:sz w:val="24"/>
          <w:szCs w:val="24"/>
          <w:lang w:val="es-ES"/>
        </w:rPr>
        <w:t>Para ello hay que tener en cuenta los siguientes supuestos  fácticos. Así, según el acta del preacuerdo celebrado con la FGN, la imputación se precisó de la siguiente manera:</w:t>
      </w:r>
    </w:p>
    <w:p w:rsidR="00CE02BA" w:rsidRPr="008E121F" w:rsidRDefault="003B7D6E" w:rsidP="008138CD">
      <w:pPr>
        <w:pStyle w:val="Prrafodelista"/>
        <w:numPr>
          <w:ilvl w:val="0"/>
          <w:numId w:val="10"/>
        </w:numPr>
        <w:tabs>
          <w:tab w:val="left" w:pos="8505"/>
        </w:tabs>
        <w:spacing w:line="360" w:lineRule="auto"/>
        <w:ind w:right="333"/>
        <w:jc w:val="both"/>
        <w:rPr>
          <w:sz w:val="24"/>
          <w:szCs w:val="24"/>
          <w:lang w:val="es-ES"/>
        </w:rPr>
      </w:pPr>
      <w:r w:rsidRPr="008E121F">
        <w:rPr>
          <w:sz w:val="24"/>
          <w:szCs w:val="24"/>
          <w:lang w:val="es-ES"/>
        </w:rPr>
        <w:t>Homicidio agravado en concurso con homicidio simple del cual fueron víctimas el adulto J</w:t>
      </w:r>
      <w:r w:rsidR="005B320F" w:rsidRPr="008E121F">
        <w:rPr>
          <w:sz w:val="24"/>
          <w:szCs w:val="24"/>
          <w:lang w:val="es-ES"/>
        </w:rPr>
        <w:t>uan Carlos Henao y un menor de edad que fue identificado como Rubén Sebastián Herrera Vélez, quien tenía 13 años para la fecha de su deceso.</w:t>
      </w:r>
      <w:r w:rsidR="000D6A66" w:rsidRPr="008E121F">
        <w:rPr>
          <w:sz w:val="24"/>
          <w:szCs w:val="24"/>
          <w:lang w:val="es-ES"/>
        </w:rPr>
        <w:t xml:space="preserve"> (No se precisó cuá</w:t>
      </w:r>
      <w:r w:rsidRPr="008E121F">
        <w:rPr>
          <w:sz w:val="24"/>
          <w:szCs w:val="24"/>
          <w:lang w:val="es-ES"/>
        </w:rPr>
        <w:t xml:space="preserve">l de esos homicidios comportaba la circunstancia de agravación prevista en el numeral 5º del artículo 104 del CP,  </w:t>
      </w:r>
      <w:r w:rsidRPr="008E121F">
        <w:rPr>
          <w:i/>
          <w:sz w:val="24"/>
          <w:szCs w:val="24"/>
          <w:lang w:val="es-ES"/>
        </w:rPr>
        <w:t xml:space="preserve">“valiéndose de la actividad de inimputable”, </w:t>
      </w:r>
      <w:r w:rsidRPr="008E121F">
        <w:rPr>
          <w:sz w:val="24"/>
          <w:szCs w:val="24"/>
          <w:lang w:val="es-ES"/>
        </w:rPr>
        <w:t>en razón de la participación en los hechos de un menor de edad</w:t>
      </w:r>
      <w:r w:rsidR="00AD6527" w:rsidRPr="008E121F">
        <w:rPr>
          <w:sz w:val="24"/>
          <w:szCs w:val="24"/>
          <w:lang w:val="es-ES"/>
        </w:rPr>
        <w:t xml:space="preserve">), </w:t>
      </w:r>
      <w:r w:rsidR="00AD6527" w:rsidRPr="008E121F">
        <w:rPr>
          <w:rStyle w:val="Refdenotaalpie"/>
          <w:sz w:val="24"/>
          <w:szCs w:val="24"/>
          <w:lang w:val="es-ES"/>
        </w:rPr>
        <w:footnoteReference w:id="7"/>
      </w:r>
      <w:r w:rsidR="00CE02BA" w:rsidRPr="008E121F">
        <w:rPr>
          <w:sz w:val="24"/>
          <w:szCs w:val="24"/>
          <w:lang w:val="es-ES"/>
        </w:rPr>
        <w:t>pero se dijo que en ese caso se aplicaba la restricción prevista en el artículo 199 de la Ley 1098 de 2006.</w:t>
      </w:r>
    </w:p>
    <w:p w:rsidR="00427A3F" w:rsidRPr="008E121F" w:rsidRDefault="00CE02BA" w:rsidP="008138CD">
      <w:pPr>
        <w:pStyle w:val="Prrafodelista"/>
        <w:numPr>
          <w:ilvl w:val="0"/>
          <w:numId w:val="10"/>
        </w:numPr>
        <w:tabs>
          <w:tab w:val="left" w:pos="8505"/>
        </w:tabs>
        <w:spacing w:line="360" w:lineRule="auto"/>
        <w:ind w:right="333"/>
        <w:jc w:val="both"/>
        <w:rPr>
          <w:sz w:val="24"/>
          <w:szCs w:val="24"/>
          <w:lang w:val="es-ES"/>
        </w:rPr>
      </w:pPr>
      <w:r w:rsidRPr="008E121F">
        <w:rPr>
          <w:sz w:val="24"/>
          <w:szCs w:val="24"/>
          <w:lang w:val="es-ES"/>
        </w:rPr>
        <w:t xml:space="preserve">Las conductas contra </w:t>
      </w:r>
      <w:proofErr w:type="spellStart"/>
      <w:r w:rsidRPr="008E121F">
        <w:rPr>
          <w:sz w:val="24"/>
          <w:szCs w:val="24"/>
          <w:lang w:val="es-ES"/>
        </w:rPr>
        <w:t>Yorley</w:t>
      </w:r>
      <w:proofErr w:type="spellEnd"/>
      <w:r w:rsidRPr="008E121F">
        <w:rPr>
          <w:sz w:val="24"/>
          <w:szCs w:val="24"/>
          <w:lang w:val="es-ES"/>
        </w:rPr>
        <w:t xml:space="preserve"> </w:t>
      </w:r>
      <w:r w:rsidR="005B320F" w:rsidRPr="008E121F">
        <w:rPr>
          <w:sz w:val="24"/>
          <w:szCs w:val="24"/>
          <w:lang w:val="es-ES"/>
        </w:rPr>
        <w:t xml:space="preserve">Alejandro </w:t>
      </w:r>
      <w:proofErr w:type="spellStart"/>
      <w:r w:rsidR="005B320F" w:rsidRPr="008E121F">
        <w:rPr>
          <w:sz w:val="24"/>
          <w:szCs w:val="24"/>
          <w:lang w:val="es-ES"/>
        </w:rPr>
        <w:t>Guzman</w:t>
      </w:r>
      <w:proofErr w:type="spellEnd"/>
      <w:r w:rsidR="005B320F" w:rsidRPr="008E121F">
        <w:rPr>
          <w:sz w:val="24"/>
          <w:szCs w:val="24"/>
          <w:lang w:val="es-ES"/>
        </w:rPr>
        <w:t xml:space="preserve">  Lasso, </w:t>
      </w:r>
      <w:proofErr w:type="spellStart"/>
      <w:r w:rsidR="005B320F" w:rsidRPr="008E121F">
        <w:rPr>
          <w:sz w:val="24"/>
          <w:szCs w:val="24"/>
          <w:lang w:val="es-ES"/>
        </w:rPr>
        <w:t>Gioanny</w:t>
      </w:r>
      <w:proofErr w:type="spellEnd"/>
      <w:r w:rsidR="005B320F" w:rsidRPr="008E121F">
        <w:rPr>
          <w:sz w:val="24"/>
          <w:szCs w:val="24"/>
          <w:lang w:val="es-ES"/>
        </w:rPr>
        <w:t xml:space="preserve"> Rincón  Murillo  y Elkin </w:t>
      </w:r>
      <w:proofErr w:type="spellStart"/>
      <w:r w:rsidR="005B320F" w:rsidRPr="008E121F">
        <w:rPr>
          <w:sz w:val="24"/>
          <w:szCs w:val="24"/>
          <w:lang w:val="es-ES"/>
        </w:rPr>
        <w:t>Andres</w:t>
      </w:r>
      <w:proofErr w:type="spellEnd"/>
      <w:r w:rsidR="005B320F" w:rsidRPr="008E121F">
        <w:rPr>
          <w:sz w:val="24"/>
          <w:szCs w:val="24"/>
          <w:lang w:val="es-ES"/>
        </w:rPr>
        <w:t xml:space="preserve"> </w:t>
      </w:r>
      <w:proofErr w:type="spellStart"/>
      <w:r w:rsidR="00427A3F" w:rsidRPr="008E121F">
        <w:rPr>
          <w:sz w:val="24"/>
          <w:szCs w:val="24"/>
          <w:lang w:val="es-ES"/>
        </w:rPr>
        <w:t>Gutierrez</w:t>
      </w:r>
      <w:proofErr w:type="spellEnd"/>
      <w:r w:rsidR="00427A3F" w:rsidRPr="008E121F">
        <w:rPr>
          <w:sz w:val="24"/>
          <w:szCs w:val="24"/>
          <w:lang w:val="es-ES"/>
        </w:rPr>
        <w:t xml:space="preserve"> fueron </w:t>
      </w:r>
      <w:r w:rsidRPr="008E121F">
        <w:rPr>
          <w:sz w:val="24"/>
          <w:szCs w:val="24"/>
          <w:lang w:val="es-ES"/>
        </w:rPr>
        <w:t>calificadas como homicidio en grado de tentativa.</w:t>
      </w:r>
    </w:p>
    <w:p w:rsidR="008C7E12" w:rsidRPr="008E121F" w:rsidRDefault="00CE02BA" w:rsidP="00B51F9D">
      <w:pPr>
        <w:pStyle w:val="Prrafodelista"/>
        <w:numPr>
          <w:ilvl w:val="0"/>
          <w:numId w:val="10"/>
        </w:numPr>
        <w:tabs>
          <w:tab w:val="left" w:pos="8505"/>
        </w:tabs>
        <w:spacing w:line="360" w:lineRule="auto"/>
        <w:ind w:right="333"/>
        <w:jc w:val="both"/>
        <w:rPr>
          <w:sz w:val="24"/>
          <w:szCs w:val="24"/>
          <w:lang w:val="es-ES"/>
        </w:rPr>
      </w:pPr>
      <w:r w:rsidRPr="008E121F">
        <w:rPr>
          <w:sz w:val="24"/>
          <w:szCs w:val="24"/>
          <w:lang w:val="es-ES"/>
        </w:rPr>
        <w:t xml:space="preserve">La afectación de la integridad personal de </w:t>
      </w:r>
      <w:r w:rsidR="00427A3F" w:rsidRPr="008E121F">
        <w:rPr>
          <w:sz w:val="24"/>
          <w:szCs w:val="24"/>
          <w:lang w:val="es-ES"/>
        </w:rPr>
        <w:t xml:space="preserve">Cristian Humberto </w:t>
      </w:r>
      <w:proofErr w:type="spellStart"/>
      <w:r w:rsidR="00427A3F" w:rsidRPr="008E121F">
        <w:rPr>
          <w:sz w:val="24"/>
          <w:szCs w:val="24"/>
          <w:lang w:val="es-ES"/>
        </w:rPr>
        <w:t>Jaraba</w:t>
      </w:r>
      <w:proofErr w:type="spellEnd"/>
      <w:r w:rsidR="00427A3F" w:rsidRPr="008E121F">
        <w:rPr>
          <w:sz w:val="24"/>
          <w:szCs w:val="24"/>
          <w:lang w:val="es-ES"/>
        </w:rPr>
        <w:t xml:space="preserve"> Morales, Yolanda Zuluaga y Luis Felipe Villa Gómez, </w:t>
      </w:r>
      <w:r w:rsidRPr="008E121F">
        <w:rPr>
          <w:sz w:val="24"/>
          <w:szCs w:val="24"/>
          <w:lang w:val="es-ES"/>
        </w:rPr>
        <w:t xml:space="preserve">fue calificada </w:t>
      </w:r>
      <w:r w:rsidR="008C7E12" w:rsidRPr="008E121F">
        <w:rPr>
          <w:sz w:val="24"/>
          <w:szCs w:val="24"/>
          <w:lang w:val="es-ES"/>
        </w:rPr>
        <w:t>genéricamente como</w:t>
      </w:r>
      <w:r w:rsidR="00B51F9D" w:rsidRPr="008E121F">
        <w:rPr>
          <w:sz w:val="24"/>
          <w:szCs w:val="24"/>
          <w:lang w:val="es-ES"/>
        </w:rPr>
        <w:t xml:space="preserve"> “</w:t>
      </w:r>
      <w:r w:rsidRPr="008E121F">
        <w:rPr>
          <w:sz w:val="24"/>
          <w:szCs w:val="24"/>
          <w:lang w:val="es-ES"/>
        </w:rPr>
        <w:t>lesiones personales”</w:t>
      </w:r>
      <w:r w:rsidR="008C7E12" w:rsidRPr="008E121F">
        <w:rPr>
          <w:sz w:val="24"/>
          <w:szCs w:val="24"/>
          <w:lang w:val="es-ES"/>
        </w:rPr>
        <w:t>, sin mencionar el  tipo sancionatorio.</w:t>
      </w:r>
    </w:p>
    <w:p w:rsidR="008C7E12" w:rsidRPr="008E121F" w:rsidRDefault="00CE02BA" w:rsidP="008138CD">
      <w:pPr>
        <w:pStyle w:val="Prrafodelista"/>
        <w:numPr>
          <w:ilvl w:val="0"/>
          <w:numId w:val="10"/>
        </w:numPr>
        <w:tabs>
          <w:tab w:val="left" w:pos="8505"/>
        </w:tabs>
        <w:spacing w:line="360" w:lineRule="auto"/>
        <w:ind w:right="333"/>
        <w:jc w:val="both"/>
        <w:rPr>
          <w:sz w:val="24"/>
          <w:szCs w:val="24"/>
          <w:lang w:val="es-ES"/>
        </w:rPr>
      </w:pPr>
      <w:r w:rsidRPr="008E121F">
        <w:rPr>
          <w:sz w:val="24"/>
          <w:szCs w:val="24"/>
          <w:lang w:val="es-ES"/>
        </w:rPr>
        <w:t>S</w:t>
      </w:r>
      <w:r w:rsidR="00B51F9D" w:rsidRPr="008E121F">
        <w:rPr>
          <w:sz w:val="24"/>
          <w:szCs w:val="24"/>
          <w:lang w:val="es-ES"/>
        </w:rPr>
        <w:t>e dijo que</w:t>
      </w:r>
      <w:r w:rsidRPr="008E121F">
        <w:rPr>
          <w:sz w:val="24"/>
          <w:szCs w:val="24"/>
          <w:lang w:val="es-ES"/>
        </w:rPr>
        <w:t xml:space="preserve">: </w:t>
      </w:r>
      <w:r w:rsidR="00B51F9D" w:rsidRPr="008E121F">
        <w:rPr>
          <w:i/>
          <w:sz w:val="24"/>
          <w:szCs w:val="24"/>
          <w:lang w:val="es-ES"/>
        </w:rPr>
        <w:t>“</w:t>
      </w:r>
      <w:r w:rsidRPr="008E121F">
        <w:rPr>
          <w:i/>
          <w:sz w:val="24"/>
          <w:szCs w:val="24"/>
          <w:lang w:val="es-ES"/>
        </w:rPr>
        <w:t xml:space="preserve">Igualmente se afectó la seguridad </w:t>
      </w:r>
      <w:r w:rsidR="009536CF" w:rsidRPr="008E121F">
        <w:rPr>
          <w:i/>
          <w:sz w:val="24"/>
          <w:szCs w:val="24"/>
          <w:lang w:val="es-ES"/>
        </w:rPr>
        <w:t>p</w:t>
      </w:r>
      <w:r w:rsidRPr="008E121F">
        <w:rPr>
          <w:i/>
          <w:sz w:val="24"/>
          <w:szCs w:val="24"/>
          <w:lang w:val="es-ES"/>
        </w:rPr>
        <w:t>ública</w:t>
      </w:r>
      <w:proofErr w:type="gramStart"/>
      <w:r w:rsidR="009536CF" w:rsidRPr="008E121F">
        <w:rPr>
          <w:i/>
          <w:sz w:val="24"/>
          <w:szCs w:val="24"/>
          <w:lang w:val="es-ES"/>
        </w:rPr>
        <w:t xml:space="preserve">” </w:t>
      </w:r>
      <w:r w:rsidR="008C7E12" w:rsidRPr="008E121F">
        <w:rPr>
          <w:i/>
          <w:sz w:val="24"/>
          <w:szCs w:val="24"/>
          <w:lang w:val="es-ES"/>
        </w:rPr>
        <w:t>,</w:t>
      </w:r>
      <w:proofErr w:type="gramEnd"/>
      <w:r w:rsidR="008C7E12" w:rsidRPr="008E121F">
        <w:rPr>
          <w:i/>
          <w:sz w:val="24"/>
          <w:szCs w:val="24"/>
          <w:lang w:val="es-ES"/>
        </w:rPr>
        <w:t xml:space="preserve"> </w:t>
      </w:r>
      <w:r w:rsidR="008C7E12" w:rsidRPr="008E121F">
        <w:rPr>
          <w:sz w:val="24"/>
          <w:szCs w:val="24"/>
          <w:lang w:val="es-ES"/>
        </w:rPr>
        <w:t>conducta que se subsumió en el artículo 365 del C.P.</w:t>
      </w:r>
    </w:p>
    <w:p w:rsidR="00BB1724" w:rsidRPr="008E121F" w:rsidRDefault="008C7E12" w:rsidP="008138CD">
      <w:pPr>
        <w:pStyle w:val="Prrafodelista"/>
        <w:numPr>
          <w:ilvl w:val="0"/>
          <w:numId w:val="10"/>
        </w:numPr>
        <w:tabs>
          <w:tab w:val="left" w:pos="8505"/>
        </w:tabs>
        <w:spacing w:line="360" w:lineRule="auto"/>
        <w:ind w:right="333"/>
        <w:jc w:val="both"/>
        <w:rPr>
          <w:sz w:val="24"/>
          <w:szCs w:val="24"/>
          <w:u w:val="single"/>
          <w:lang w:val="es-ES"/>
        </w:rPr>
      </w:pPr>
      <w:r w:rsidRPr="008E121F">
        <w:rPr>
          <w:sz w:val="24"/>
          <w:szCs w:val="24"/>
          <w:lang w:val="es-ES"/>
        </w:rPr>
        <w:t xml:space="preserve">Finalmente se expuso que </w:t>
      </w:r>
      <w:r w:rsidR="009536CF" w:rsidRPr="008E121F">
        <w:rPr>
          <w:sz w:val="24"/>
          <w:szCs w:val="24"/>
          <w:lang w:val="es-ES"/>
        </w:rPr>
        <w:t xml:space="preserve">los procesados Richard Hernando Hincapié Giraldo y Carlos Alberto Morales Gómez, aceptaban su responsabilidad, </w:t>
      </w:r>
      <w:r w:rsidR="00B51F9D" w:rsidRPr="008E121F">
        <w:rPr>
          <w:i/>
          <w:sz w:val="24"/>
          <w:szCs w:val="24"/>
          <w:lang w:val="es-ES"/>
        </w:rPr>
        <w:t>“</w:t>
      </w:r>
      <w:r w:rsidR="009536CF" w:rsidRPr="008E121F">
        <w:rPr>
          <w:i/>
          <w:sz w:val="24"/>
          <w:szCs w:val="24"/>
          <w:lang w:val="es-ES"/>
        </w:rPr>
        <w:t>conforme se ventiló la imputación en la audiencia de acusación</w:t>
      </w:r>
      <w:r w:rsidR="00BB1724" w:rsidRPr="008E121F">
        <w:rPr>
          <w:i/>
          <w:sz w:val="24"/>
          <w:szCs w:val="24"/>
          <w:lang w:val="es-ES"/>
        </w:rPr>
        <w:t xml:space="preserve">, en calidad de PREACUERDO” </w:t>
      </w:r>
      <w:r w:rsidR="00B51F9D" w:rsidRPr="008E121F">
        <w:rPr>
          <w:i/>
          <w:sz w:val="24"/>
          <w:szCs w:val="24"/>
          <w:u w:val="single"/>
          <w:lang w:val="es-ES"/>
        </w:rPr>
        <w:t>.</w:t>
      </w:r>
      <w:r w:rsidR="00BB1724" w:rsidRPr="008E121F">
        <w:rPr>
          <w:sz w:val="24"/>
          <w:szCs w:val="24"/>
          <w:u w:val="single"/>
          <w:lang w:val="es-ES"/>
        </w:rPr>
        <w:t xml:space="preserve">Igualmente se expuso que se les impondría la misma pena fijada a la procesada Johanna Andrea </w:t>
      </w:r>
      <w:proofErr w:type="spellStart"/>
      <w:r w:rsidR="00BB1724" w:rsidRPr="008E121F">
        <w:rPr>
          <w:sz w:val="24"/>
          <w:szCs w:val="24"/>
          <w:u w:val="single"/>
          <w:lang w:val="es-ES"/>
        </w:rPr>
        <w:t>Pulgarín</w:t>
      </w:r>
      <w:proofErr w:type="spellEnd"/>
      <w:r w:rsidR="00BB1724" w:rsidRPr="008E121F">
        <w:rPr>
          <w:sz w:val="24"/>
          <w:szCs w:val="24"/>
          <w:u w:val="single"/>
          <w:lang w:val="es-ES"/>
        </w:rPr>
        <w:t xml:space="preserve"> Rincón que fue fijada </w:t>
      </w:r>
      <w:r w:rsidR="00B51F9D" w:rsidRPr="008E121F">
        <w:rPr>
          <w:sz w:val="24"/>
          <w:szCs w:val="24"/>
          <w:u w:val="single"/>
          <w:lang w:val="es-ES"/>
        </w:rPr>
        <w:t>en 45 años y 6 meses de prisión</w:t>
      </w:r>
      <w:r w:rsidR="00BB1724" w:rsidRPr="008E121F">
        <w:rPr>
          <w:rStyle w:val="Refdenotaalpie"/>
          <w:sz w:val="24"/>
          <w:szCs w:val="24"/>
          <w:u w:val="single"/>
          <w:lang w:val="es-ES"/>
        </w:rPr>
        <w:footnoteReference w:id="8"/>
      </w:r>
      <w:r w:rsidR="00BB1724" w:rsidRPr="008E121F">
        <w:rPr>
          <w:sz w:val="24"/>
          <w:szCs w:val="24"/>
          <w:u w:val="single"/>
          <w:lang w:val="es-ES"/>
        </w:rPr>
        <w:t>,</w:t>
      </w:r>
    </w:p>
    <w:p w:rsidR="00BB1724" w:rsidRPr="008E121F" w:rsidRDefault="00BB1724" w:rsidP="008138CD">
      <w:pPr>
        <w:pStyle w:val="Prrafodelista"/>
        <w:spacing w:line="360" w:lineRule="auto"/>
        <w:rPr>
          <w:sz w:val="24"/>
          <w:szCs w:val="24"/>
          <w:lang w:val="es-ES"/>
        </w:rPr>
      </w:pPr>
    </w:p>
    <w:p w:rsidR="00F10BA8" w:rsidRPr="008E121F" w:rsidRDefault="00BB1724" w:rsidP="002B64A4">
      <w:pPr>
        <w:pStyle w:val="Prrafodelista"/>
        <w:numPr>
          <w:ilvl w:val="1"/>
          <w:numId w:val="17"/>
        </w:numPr>
        <w:spacing w:line="360" w:lineRule="auto"/>
        <w:ind w:left="0" w:right="49" w:firstLine="0"/>
        <w:jc w:val="both"/>
        <w:rPr>
          <w:i/>
          <w:sz w:val="24"/>
          <w:szCs w:val="24"/>
          <w:lang w:val="es-ES"/>
        </w:rPr>
      </w:pPr>
      <w:r w:rsidRPr="008E121F">
        <w:rPr>
          <w:sz w:val="24"/>
          <w:szCs w:val="24"/>
          <w:lang w:val="es-ES"/>
        </w:rPr>
        <w:t>En lo que atañe al tema puntual de la acción de revisión propuesta hay que manifest</w:t>
      </w:r>
      <w:r w:rsidR="00760760" w:rsidRPr="008E121F">
        <w:rPr>
          <w:sz w:val="24"/>
          <w:szCs w:val="24"/>
          <w:lang w:val="es-ES"/>
        </w:rPr>
        <w:t>ar que en la sen</w:t>
      </w:r>
      <w:r w:rsidR="00B51F9D" w:rsidRPr="008E121F">
        <w:rPr>
          <w:sz w:val="24"/>
          <w:szCs w:val="24"/>
          <w:lang w:val="es-ES"/>
        </w:rPr>
        <w:t>tencia de primer grado se dijo:</w:t>
      </w:r>
      <w:r w:rsidR="00B51F9D" w:rsidRPr="008E121F">
        <w:rPr>
          <w:i/>
          <w:sz w:val="24"/>
          <w:szCs w:val="24"/>
          <w:lang w:val="es-ES"/>
        </w:rPr>
        <w:t xml:space="preserve"> “</w:t>
      </w:r>
      <w:r w:rsidR="00760760" w:rsidRPr="008E121F">
        <w:rPr>
          <w:i/>
          <w:sz w:val="24"/>
          <w:szCs w:val="24"/>
          <w:lang w:val="es-ES"/>
        </w:rPr>
        <w:t xml:space="preserve">La Fiscalía acusó a los </w:t>
      </w:r>
      <w:r w:rsidR="00760760" w:rsidRPr="008E121F">
        <w:rPr>
          <w:i/>
          <w:sz w:val="24"/>
          <w:szCs w:val="24"/>
          <w:lang w:val="es-ES"/>
        </w:rPr>
        <w:lastRenderedPageBreak/>
        <w:t xml:space="preserve">partícipes de dichas acciones </w:t>
      </w:r>
      <w:r w:rsidR="00B51F9D" w:rsidRPr="008E121F">
        <w:rPr>
          <w:i/>
          <w:sz w:val="24"/>
          <w:szCs w:val="24"/>
          <w:lang w:val="es-ES"/>
        </w:rPr>
        <w:t>por las siguientes conductas: “</w:t>
      </w:r>
      <w:r w:rsidR="00760760" w:rsidRPr="008E121F">
        <w:rPr>
          <w:i/>
          <w:sz w:val="24"/>
          <w:szCs w:val="24"/>
          <w:lang w:val="es-ES"/>
        </w:rPr>
        <w:t>Homicidio agravado por ser la víctima un menor</w:t>
      </w:r>
      <w:r w:rsidR="00CB5422" w:rsidRPr="008E121F">
        <w:rPr>
          <w:i/>
          <w:sz w:val="24"/>
          <w:szCs w:val="24"/>
          <w:lang w:val="es-ES"/>
        </w:rPr>
        <w:t xml:space="preserve"> de edad, homicidio simple</w:t>
      </w:r>
      <w:r w:rsidR="0088022D" w:rsidRPr="008E121F">
        <w:rPr>
          <w:i/>
          <w:sz w:val="24"/>
          <w:szCs w:val="24"/>
          <w:lang w:val="es-ES"/>
        </w:rPr>
        <w:t>...”</w:t>
      </w:r>
      <w:r w:rsidR="00760760" w:rsidRPr="008E121F">
        <w:rPr>
          <w:rStyle w:val="Refdenotaalpie"/>
          <w:i/>
          <w:sz w:val="24"/>
          <w:szCs w:val="24"/>
          <w:lang w:val="es-ES"/>
        </w:rPr>
        <w:footnoteReference w:id="9"/>
      </w:r>
      <w:r w:rsidR="0088022D" w:rsidRPr="008E121F">
        <w:rPr>
          <w:i/>
          <w:sz w:val="24"/>
          <w:szCs w:val="24"/>
          <w:lang w:val="es-ES"/>
        </w:rPr>
        <w:t>.</w:t>
      </w:r>
      <w:r w:rsidR="00760760" w:rsidRPr="008E121F">
        <w:rPr>
          <w:i/>
          <w:sz w:val="24"/>
          <w:szCs w:val="24"/>
          <w:lang w:val="es-ES"/>
        </w:rPr>
        <w:t xml:space="preserve"> </w:t>
      </w:r>
    </w:p>
    <w:p w:rsidR="00F10BA8" w:rsidRPr="008E121F" w:rsidRDefault="00F10BA8" w:rsidP="008138CD">
      <w:pPr>
        <w:tabs>
          <w:tab w:val="left" w:pos="8505"/>
        </w:tabs>
        <w:spacing w:line="360" w:lineRule="auto"/>
        <w:ind w:right="333"/>
        <w:jc w:val="both"/>
        <w:rPr>
          <w:sz w:val="24"/>
          <w:szCs w:val="24"/>
          <w:lang w:val="es-ES"/>
        </w:rPr>
      </w:pPr>
    </w:p>
    <w:p w:rsidR="00F10BA8" w:rsidRPr="008E121F" w:rsidRDefault="00760760" w:rsidP="00A76F7D">
      <w:pPr>
        <w:spacing w:line="360" w:lineRule="auto"/>
        <w:ind w:right="49"/>
        <w:jc w:val="both"/>
        <w:rPr>
          <w:sz w:val="24"/>
          <w:szCs w:val="24"/>
          <w:lang w:val="es-ES"/>
        </w:rPr>
      </w:pPr>
      <w:r w:rsidRPr="008E121F">
        <w:rPr>
          <w:sz w:val="24"/>
          <w:szCs w:val="24"/>
          <w:lang w:val="es-ES"/>
        </w:rPr>
        <w:t xml:space="preserve">Sobre esa consideración del fallo hay que manifestar que la minoría de edad de la víctima no es causal de agravación del delito de homicidio, y que la circunstancia referida por la FGN para tipificar el </w:t>
      </w:r>
      <w:proofErr w:type="spellStart"/>
      <w:r w:rsidR="00F10BA8" w:rsidRPr="008E121F">
        <w:rPr>
          <w:i/>
          <w:sz w:val="24"/>
          <w:szCs w:val="24"/>
          <w:lang w:val="es-ES"/>
        </w:rPr>
        <w:t>actus</w:t>
      </w:r>
      <w:proofErr w:type="spellEnd"/>
      <w:r w:rsidR="00F10BA8" w:rsidRPr="008E121F">
        <w:rPr>
          <w:i/>
          <w:sz w:val="24"/>
          <w:szCs w:val="24"/>
          <w:lang w:val="es-ES"/>
        </w:rPr>
        <w:t xml:space="preserve"> </w:t>
      </w:r>
      <w:proofErr w:type="spellStart"/>
      <w:r w:rsidR="00F10BA8" w:rsidRPr="008E121F">
        <w:rPr>
          <w:i/>
          <w:sz w:val="24"/>
          <w:szCs w:val="24"/>
          <w:lang w:val="es-ES"/>
        </w:rPr>
        <w:t>reus</w:t>
      </w:r>
      <w:proofErr w:type="spellEnd"/>
      <w:r w:rsidR="00F10BA8" w:rsidRPr="008E121F">
        <w:rPr>
          <w:i/>
          <w:sz w:val="24"/>
          <w:szCs w:val="24"/>
          <w:lang w:val="es-ES"/>
        </w:rPr>
        <w:t xml:space="preserve"> </w:t>
      </w:r>
      <w:r w:rsidR="00F10BA8" w:rsidRPr="008E121F">
        <w:rPr>
          <w:sz w:val="24"/>
          <w:szCs w:val="24"/>
          <w:lang w:val="es-ES"/>
        </w:rPr>
        <w:t>contra la vida en el caso de las víctimas Juan Carlos Henao y Rubén Sebastián Herrera Vélez, fue la intervención de un inimputable en los hechos, conforme a la caus</w:t>
      </w:r>
      <w:r w:rsidR="00930E45" w:rsidRPr="008E121F">
        <w:rPr>
          <w:sz w:val="24"/>
          <w:szCs w:val="24"/>
          <w:lang w:val="es-ES"/>
        </w:rPr>
        <w:t>al prevista en el artículo 104</w:t>
      </w:r>
      <w:r w:rsidR="00F10BA8" w:rsidRPr="008E121F">
        <w:rPr>
          <w:sz w:val="24"/>
          <w:szCs w:val="24"/>
          <w:lang w:val="es-ES"/>
        </w:rPr>
        <w:t>.5 del C</w:t>
      </w:r>
      <w:r w:rsidR="00930E45" w:rsidRPr="008E121F">
        <w:rPr>
          <w:sz w:val="24"/>
          <w:szCs w:val="24"/>
          <w:lang w:val="es-ES"/>
        </w:rPr>
        <w:t>.</w:t>
      </w:r>
      <w:r w:rsidR="00F10BA8" w:rsidRPr="008E121F">
        <w:rPr>
          <w:sz w:val="24"/>
          <w:szCs w:val="24"/>
          <w:lang w:val="es-ES"/>
        </w:rPr>
        <w:t>P.</w:t>
      </w:r>
    </w:p>
    <w:p w:rsidR="00F10BA8" w:rsidRPr="008E121F" w:rsidRDefault="00F10BA8" w:rsidP="008138CD">
      <w:pPr>
        <w:tabs>
          <w:tab w:val="left" w:pos="8505"/>
        </w:tabs>
        <w:spacing w:line="360" w:lineRule="auto"/>
        <w:ind w:right="333"/>
        <w:jc w:val="both"/>
        <w:rPr>
          <w:sz w:val="24"/>
          <w:szCs w:val="24"/>
          <w:lang w:val="es-ES"/>
        </w:rPr>
      </w:pPr>
    </w:p>
    <w:p w:rsidR="006F4F5E" w:rsidRPr="008E121F" w:rsidRDefault="00F10BA8" w:rsidP="002B64A4">
      <w:pPr>
        <w:pStyle w:val="Prrafodelista"/>
        <w:numPr>
          <w:ilvl w:val="1"/>
          <w:numId w:val="17"/>
        </w:numPr>
        <w:spacing w:line="360" w:lineRule="auto"/>
        <w:ind w:left="0" w:firstLine="0"/>
        <w:jc w:val="both"/>
        <w:rPr>
          <w:sz w:val="24"/>
          <w:szCs w:val="24"/>
        </w:rPr>
      </w:pPr>
      <w:r w:rsidRPr="008E121F">
        <w:rPr>
          <w:sz w:val="24"/>
          <w:szCs w:val="24"/>
        </w:rPr>
        <w:t>Sin embargo debe entenderse que en virtud de esa manifestación contenida en el fallo cuya revisión se solicita, e</w:t>
      </w:r>
      <w:r w:rsidR="00930E45" w:rsidRPr="008E121F">
        <w:rPr>
          <w:sz w:val="24"/>
          <w:szCs w:val="24"/>
        </w:rPr>
        <w:t>l juez de primer grado consideró</w:t>
      </w:r>
      <w:r w:rsidRPr="008E121F">
        <w:rPr>
          <w:sz w:val="24"/>
          <w:szCs w:val="24"/>
        </w:rPr>
        <w:t xml:space="preserve"> que el homicidio agravado correspondía al del menor Herrera Vélez</w:t>
      </w:r>
      <w:r w:rsidR="006F4F5E" w:rsidRPr="008E121F">
        <w:rPr>
          <w:sz w:val="24"/>
          <w:szCs w:val="24"/>
        </w:rPr>
        <w:t>, ya que hizo referencia a la prohibición de aplicar rebajas de pena por preacuerdos o negociaciones entre la FGN y el imputado o acusado, conforme a lo dispuesto en el artículo 199-7 del C.I.A.</w:t>
      </w:r>
      <w:r w:rsidR="006F4F5E" w:rsidRPr="008E121F">
        <w:footnoteReference w:id="10"/>
      </w:r>
      <w:r w:rsidR="00A76F7D" w:rsidRPr="008E121F">
        <w:rPr>
          <w:sz w:val="24"/>
          <w:szCs w:val="24"/>
        </w:rPr>
        <w:t>.</w:t>
      </w:r>
    </w:p>
    <w:p w:rsidR="006F4F5E" w:rsidRPr="008E121F" w:rsidRDefault="006F4F5E" w:rsidP="008138CD">
      <w:pPr>
        <w:tabs>
          <w:tab w:val="left" w:pos="8505"/>
        </w:tabs>
        <w:spacing w:line="360" w:lineRule="auto"/>
        <w:ind w:right="333"/>
        <w:jc w:val="both"/>
        <w:rPr>
          <w:sz w:val="24"/>
          <w:szCs w:val="24"/>
          <w:lang w:val="es-ES"/>
        </w:rPr>
      </w:pPr>
    </w:p>
    <w:p w:rsidR="00A57DCC" w:rsidRPr="008E121F" w:rsidRDefault="006F4F5E" w:rsidP="002B64A4">
      <w:pPr>
        <w:pStyle w:val="Prrafodelista"/>
        <w:numPr>
          <w:ilvl w:val="1"/>
          <w:numId w:val="17"/>
        </w:numPr>
        <w:spacing w:line="360" w:lineRule="auto"/>
        <w:ind w:left="0" w:right="49" w:firstLine="0"/>
        <w:jc w:val="both"/>
        <w:rPr>
          <w:sz w:val="24"/>
          <w:szCs w:val="24"/>
          <w:lang w:val="es-ES"/>
        </w:rPr>
      </w:pPr>
      <w:r w:rsidRPr="008E121F">
        <w:rPr>
          <w:sz w:val="24"/>
          <w:szCs w:val="24"/>
          <w:lang w:val="es-ES"/>
        </w:rPr>
        <w:t xml:space="preserve">Al haberse prefijado la pena en el preacuerdo, no se aplicó el sistema de cuartos en el fallo y en consecuencia </w:t>
      </w:r>
      <w:r w:rsidRPr="008E121F">
        <w:rPr>
          <w:sz w:val="24"/>
          <w:szCs w:val="24"/>
          <w:u w:val="single"/>
          <w:lang w:val="es-ES"/>
        </w:rPr>
        <w:t xml:space="preserve">se consideró que el delito de </w:t>
      </w:r>
      <w:proofErr w:type="spellStart"/>
      <w:r w:rsidRPr="008E121F">
        <w:rPr>
          <w:sz w:val="24"/>
          <w:szCs w:val="24"/>
          <w:u w:val="single"/>
          <w:lang w:val="es-ES"/>
        </w:rPr>
        <w:t>mas</w:t>
      </w:r>
      <w:proofErr w:type="spellEnd"/>
      <w:r w:rsidRPr="008E121F">
        <w:rPr>
          <w:sz w:val="24"/>
          <w:szCs w:val="24"/>
          <w:u w:val="single"/>
          <w:lang w:val="es-ES"/>
        </w:rPr>
        <w:t xml:space="preserve"> entidad </w:t>
      </w:r>
      <w:r w:rsidR="000C649D" w:rsidRPr="008E121F">
        <w:rPr>
          <w:sz w:val="24"/>
          <w:szCs w:val="24"/>
          <w:u w:val="single"/>
          <w:lang w:val="es-ES"/>
        </w:rPr>
        <w:t xml:space="preserve"> era el de homicidio agravado (</w:t>
      </w:r>
      <w:r w:rsidRPr="008E121F">
        <w:rPr>
          <w:sz w:val="24"/>
          <w:szCs w:val="24"/>
          <w:u w:val="single"/>
          <w:lang w:val="es-ES"/>
        </w:rPr>
        <w:t>que se entiende fue el del menor</w:t>
      </w:r>
      <w:r w:rsidR="000C649D" w:rsidRPr="008E121F">
        <w:rPr>
          <w:sz w:val="24"/>
          <w:szCs w:val="24"/>
          <w:u w:val="single"/>
          <w:lang w:val="es-ES"/>
        </w:rPr>
        <w:t xml:space="preserve"> Rubén Sebastián Herrera Vélez)</w:t>
      </w:r>
      <w:r w:rsidRPr="008E121F">
        <w:rPr>
          <w:sz w:val="24"/>
          <w:szCs w:val="24"/>
          <w:lang w:val="es-ES"/>
        </w:rPr>
        <w:t xml:space="preserve">, y se </w:t>
      </w:r>
      <w:r w:rsidR="000C649D" w:rsidRPr="008E121F">
        <w:rPr>
          <w:sz w:val="24"/>
          <w:szCs w:val="24"/>
          <w:lang w:val="es-ES"/>
        </w:rPr>
        <w:t>dijo lo siguiente</w:t>
      </w:r>
      <w:r w:rsidR="00A57DCC" w:rsidRPr="008E121F">
        <w:rPr>
          <w:sz w:val="24"/>
          <w:szCs w:val="24"/>
          <w:lang w:val="es-ES"/>
        </w:rPr>
        <w:t>:</w:t>
      </w:r>
    </w:p>
    <w:p w:rsidR="000D5EA1" w:rsidRPr="008E121F" w:rsidRDefault="000D5EA1" w:rsidP="000D5EA1">
      <w:pPr>
        <w:pStyle w:val="Prrafodelista"/>
        <w:rPr>
          <w:sz w:val="24"/>
          <w:szCs w:val="24"/>
          <w:lang w:val="es-ES"/>
        </w:rPr>
      </w:pPr>
    </w:p>
    <w:p w:rsidR="000D5EA1" w:rsidRPr="008E121F" w:rsidRDefault="000D5EA1" w:rsidP="000D5EA1">
      <w:pPr>
        <w:pStyle w:val="Prrafodelista"/>
        <w:spacing w:line="360" w:lineRule="auto"/>
        <w:ind w:left="0" w:right="49"/>
        <w:jc w:val="both"/>
        <w:rPr>
          <w:sz w:val="24"/>
          <w:szCs w:val="24"/>
          <w:lang w:val="es-ES"/>
        </w:rPr>
      </w:pPr>
    </w:p>
    <w:p w:rsidR="00CA71FF" w:rsidRPr="008E121F" w:rsidRDefault="00834144" w:rsidP="00A76F7D">
      <w:pPr>
        <w:tabs>
          <w:tab w:val="left" w:pos="8505"/>
        </w:tabs>
        <w:spacing w:line="360" w:lineRule="auto"/>
        <w:ind w:right="333"/>
        <w:jc w:val="both"/>
        <w:rPr>
          <w:i/>
          <w:sz w:val="24"/>
          <w:szCs w:val="24"/>
          <w:lang w:val="es-ES"/>
        </w:rPr>
      </w:pPr>
      <w:r w:rsidRPr="008E121F">
        <w:rPr>
          <w:i/>
          <w:sz w:val="24"/>
          <w:szCs w:val="24"/>
          <w:u w:val="single"/>
          <w:lang w:val="es-ES"/>
        </w:rPr>
        <w:t>“</w:t>
      </w:r>
      <w:r w:rsidR="00A57DCC" w:rsidRPr="008E121F">
        <w:rPr>
          <w:i/>
          <w:sz w:val="24"/>
          <w:szCs w:val="24"/>
          <w:u w:val="single"/>
          <w:lang w:val="es-ES"/>
        </w:rPr>
        <w:t xml:space="preserve">Se tiene entonces que la pena a imponer es de </w:t>
      </w:r>
      <w:r w:rsidR="00930E45" w:rsidRPr="008E121F">
        <w:rPr>
          <w:i/>
          <w:sz w:val="24"/>
          <w:szCs w:val="24"/>
          <w:u w:val="single"/>
          <w:lang w:val="es-ES"/>
        </w:rPr>
        <w:t>treinta y tres (33</w:t>
      </w:r>
      <w:r w:rsidR="002C0B23" w:rsidRPr="008E121F">
        <w:rPr>
          <w:i/>
          <w:sz w:val="24"/>
          <w:szCs w:val="24"/>
          <w:u w:val="single"/>
          <w:lang w:val="es-ES"/>
        </w:rPr>
        <w:t xml:space="preserve">) años </w:t>
      </w:r>
      <w:r w:rsidRPr="008E121F">
        <w:rPr>
          <w:i/>
          <w:sz w:val="24"/>
          <w:szCs w:val="24"/>
          <w:u w:val="single"/>
          <w:lang w:val="es-ES"/>
        </w:rPr>
        <w:t>seis</w:t>
      </w:r>
      <w:r w:rsidR="00432BF8" w:rsidRPr="008E121F">
        <w:rPr>
          <w:i/>
          <w:sz w:val="24"/>
          <w:szCs w:val="24"/>
          <w:u w:val="single"/>
          <w:lang w:val="es-ES"/>
        </w:rPr>
        <w:t xml:space="preserve"> </w:t>
      </w:r>
      <w:r w:rsidR="002C0B23" w:rsidRPr="008E121F">
        <w:rPr>
          <w:i/>
          <w:sz w:val="24"/>
          <w:szCs w:val="24"/>
          <w:u w:val="single"/>
          <w:lang w:val="es-ES"/>
        </w:rPr>
        <w:t>(</w:t>
      </w:r>
      <w:r w:rsidR="00930E45" w:rsidRPr="008E121F">
        <w:rPr>
          <w:i/>
          <w:sz w:val="24"/>
          <w:szCs w:val="24"/>
          <w:u w:val="single"/>
          <w:lang w:val="es-ES"/>
        </w:rPr>
        <w:t>6</w:t>
      </w:r>
      <w:r w:rsidR="002C0B23" w:rsidRPr="008E121F">
        <w:rPr>
          <w:i/>
          <w:sz w:val="24"/>
          <w:szCs w:val="24"/>
          <w:u w:val="single"/>
          <w:lang w:val="es-ES"/>
        </w:rPr>
        <w:t>) meses ...</w:t>
      </w:r>
      <w:r w:rsidR="00CD16F3" w:rsidRPr="008E121F">
        <w:rPr>
          <w:i/>
          <w:sz w:val="24"/>
          <w:szCs w:val="24"/>
          <w:u w:val="single"/>
          <w:lang w:val="es-ES"/>
        </w:rPr>
        <w:t xml:space="preserve"> de </w:t>
      </w:r>
      <w:r w:rsidRPr="008E121F">
        <w:rPr>
          <w:i/>
          <w:sz w:val="24"/>
          <w:szCs w:val="24"/>
          <w:u w:val="single"/>
          <w:lang w:val="es-ES"/>
        </w:rPr>
        <w:t>prisión</w:t>
      </w:r>
      <w:r w:rsidR="00930E45" w:rsidRPr="008E121F">
        <w:rPr>
          <w:i/>
          <w:sz w:val="24"/>
          <w:szCs w:val="24"/>
          <w:lang w:val="es-ES"/>
        </w:rPr>
        <w:t xml:space="preserve"> </w:t>
      </w:r>
      <w:r w:rsidR="00CD16F3" w:rsidRPr="008E121F">
        <w:rPr>
          <w:sz w:val="24"/>
          <w:szCs w:val="24"/>
          <w:lang w:val="es-ES"/>
        </w:rPr>
        <w:t>(lo cual debió ser 33 años y 4 meses, si se parte del mínimo de la pena a imponer con el aumento de la Ley 890</w:t>
      </w:r>
      <w:r w:rsidR="00CD16F3" w:rsidRPr="008E121F">
        <w:rPr>
          <w:i/>
          <w:sz w:val="24"/>
          <w:szCs w:val="24"/>
          <w:lang w:val="es-ES"/>
        </w:rPr>
        <w:t>)</w:t>
      </w:r>
      <w:r w:rsidRPr="008E121F">
        <w:rPr>
          <w:i/>
          <w:sz w:val="24"/>
          <w:szCs w:val="24"/>
          <w:lang w:val="es-ES"/>
        </w:rPr>
        <w:t>,</w:t>
      </w:r>
      <w:r w:rsidR="00CD16F3" w:rsidRPr="008E121F">
        <w:rPr>
          <w:i/>
          <w:sz w:val="24"/>
          <w:szCs w:val="24"/>
          <w:lang w:val="es-ES"/>
        </w:rPr>
        <w:t xml:space="preserve"> </w:t>
      </w:r>
      <w:r w:rsidR="00930E45" w:rsidRPr="008E121F">
        <w:rPr>
          <w:i/>
          <w:sz w:val="24"/>
          <w:szCs w:val="24"/>
          <w:lang w:val="es-ES"/>
        </w:rPr>
        <w:t>aumentada hasta en doce años má</w:t>
      </w:r>
      <w:r w:rsidR="00CA71FF" w:rsidRPr="008E121F">
        <w:rPr>
          <w:i/>
          <w:sz w:val="24"/>
          <w:szCs w:val="24"/>
          <w:lang w:val="es-ES"/>
        </w:rPr>
        <w:t>s por el concurso con el homicidio simple, las tres tentativas de homicidio simple, l</w:t>
      </w:r>
      <w:r w:rsidRPr="008E121F">
        <w:rPr>
          <w:i/>
          <w:sz w:val="24"/>
          <w:szCs w:val="24"/>
          <w:lang w:val="es-ES"/>
        </w:rPr>
        <w:t xml:space="preserve">as lesiones personales dolosas </w:t>
      </w:r>
      <w:r w:rsidR="00CA71FF" w:rsidRPr="008E121F">
        <w:rPr>
          <w:i/>
          <w:sz w:val="24"/>
          <w:szCs w:val="24"/>
          <w:lang w:val="es-ES"/>
        </w:rPr>
        <w:t>y el</w:t>
      </w:r>
      <w:r w:rsidRPr="008E121F">
        <w:rPr>
          <w:i/>
          <w:sz w:val="24"/>
          <w:szCs w:val="24"/>
          <w:lang w:val="es-ES"/>
        </w:rPr>
        <w:t xml:space="preserve"> porte ilegal de armas de fuego;</w:t>
      </w:r>
      <w:r w:rsidR="00CA71FF" w:rsidRPr="008E121F">
        <w:rPr>
          <w:i/>
          <w:sz w:val="24"/>
          <w:szCs w:val="24"/>
          <w:lang w:val="es-ES"/>
        </w:rPr>
        <w:t xml:space="preserve"> dando como pena</w:t>
      </w:r>
      <w:r w:rsidR="00CD16F3" w:rsidRPr="008E121F">
        <w:rPr>
          <w:i/>
          <w:sz w:val="24"/>
          <w:szCs w:val="24"/>
          <w:lang w:val="es-ES"/>
        </w:rPr>
        <w:t xml:space="preserve"> definitiva  cuarenta y cinco (</w:t>
      </w:r>
      <w:r w:rsidRPr="008E121F">
        <w:rPr>
          <w:i/>
          <w:sz w:val="24"/>
          <w:szCs w:val="24"/>
          <w:lang w:val="es-ES"/>
        </w:rPr>
        <w:t>45) año</w:t>
      </w:r>
      <w:r w:rsidR="00CD16F3" w:rsidRPr="008E121F">
        <w:rPr>
          <w:i/>
          <w:sz w:val="24"/>
          <w:szCs w:val="24"/>
          <w:lang w:val="es-ES"/>
        </w:rPr>
        <w:t xml:space="preserve"> , seis (6</w:t>
      </w:r>
      <w:r w:rsidR="00CA71FF" w:rsidRPr="008E121F">
        <w:rPr>
          <w:i/>
          <w:sz w:val="24"/>
          <w:szCs w:val="24"/>
          <w:lang w:val="es-ES"/>
        </w:rPr>
        <w:t>) meses de prisión</w:t>
      </w:r>
      <w:r w:rsidR="00432BF8" w:rsidRPr="008E121F">
        <w:rPr>
          <w:i/>
          <w:sz w:val="24"/>
          <w:szCs w:val="24"/>
          <w:lang w:val="es-ES"/>
        </w:rPr>
        <w:t xml:space="preserve"> </w:t>
      </w:r>
      <w:r w:rsidRPr="008E121F">
        <w:rPr>
          <w:sz w:val="24"/>
          <w:szCs w:val="24"/>
          <w:lang w:val="es-ES"/>
        </w:rPr>
        <w:t xml:space="preserve">(lo cual debió ser </w:t>
      </w:r>
      <w:r w:rsidR="00432BF8" w:rsidRPr="008E121F">
        <w:rPr>
          <w:sz w:val="24"/>
          <w:szCs w:val="24"/>
          <w:lang w:val="es-ES"/>
        </w:rPr>
        <w:t>45 años</w:t>
      </w:r>
      <w:r w:rsidRPr="008E121F">
        <w:rPr>
          <w:sz w:val="24"/>
          <w:szCs w:val="24"/>
          <w:lang w:val="es-ES"/>
        </w:rPr>
        <w:t xml:space="preserve"> y </w:t>
      </w:r>
      <w:r w:rsidR="00432BF8" w:rsidRPr="008E121F">
        <w:rPr>
          <w:sz w:val="24"/>
          <w:szCs w:val="24"/>
          <w:lang w:val="es-ES"/>
        </w:rPr>
        <w:t xml:space="preserve">4 meses de prisión) </w:t>
      </w:r>
      <w:r w:rsidR="00CA71FF" w:rsidRPr="008E121F">
        <w:rPr>
          <w:i/>
          <w:sz w:val="24"/>
          <w:szCs w:val="24"/>
          <w:lang w:val="es-ES"/>
        </w:rPr>
        <w:t xml:space="preserve"> y multa en cuantía</w:t>
      </w:r>
      <w:r w:rsidR="00432BF8" w:rsidRPr="008E121F">
        <w:rPr>
          <w:i/>
          <w:sz w:val="24"/>
          <w:szCs w:val="24"/>
          <w:lang w:val="es-ES"/>
        </w:rPr>
        <w:t xml:space="preserve"> de </w:t>
      </w:r>
      <w:r w:rsidR="00CA71FF" w:rsidRPr="008E121F">
        <w:rPr>
          <w:i/>
          <w:sz w:val="24"/>
          <w:szCs w:val="24"/>
          <w:lang w:val="es-ES"/>
        </w:rPr>
        <w:t xml:space="preserve"> 34.6 SMLMV a favor del Consej</w:t>
      </w:r>
      <w:r w:rsidRPr="008E121F">
        <w:rPr>
          <w:i/>
          <w:sz w:val="24"/>
          <w:szCs w:val="24"/>
          <w:lang w:val="es-ES"/>
        </w:rPr>
        <w:t>o Superior de la Judicatura...”.</w:t>
      </w:r>
    </w:p>
    <w:p w:rsidR="00834144" w:rsidRPr="008E121F" w:rsidRDefault="00834144" w:rsidP="008138CD">
      <w:pPr>
        <w:tabs>
          <w:tab w:val="left" w:pos="8505"/>
        </w:tabs>
        <w:spacing w:line="360" w:lineRule="auto"/>
        <w:ind w:right="333"/>
        <w:jc w:val="both"/>
        <w:rPr>
          <w:i/>
          <w:sz w:val="24"/>
          <w:szCs w:val="24"/>
          <w:lang w:val="es-ES"/>
        </w:rPr>
      </w:pPr>
    </w:p>
    <w:p w:rsidR="002B64A4" w:rsidRPr="008E121F" w:rsidRDefault="00B542C9" w:rsidP="002B64A4">
      <w:pPr>
        <w:pStyle w:val="Prrafodelista"/>
        <w:numPr>
          <w:ilvl w:val="1"/>
          <w:numId w:val="17"/>
        </w:numPr>
        <w:spacing w:line="360" w:lineRule="auto"/>
        <w:ind w:left="0" w:firstLine="0"/>
        <w:jc w:val="both"/>
        <w:rPr>
          <w:sz w:val="24"/>
          <w:szCs w:val="24"/>
        </w:rPr>
      </w:pPr>
      <w:r w:rsidRPr="008E121F">
        <w:rPr>
          <w:sz w:val="24"/>
          <w:szCs w:val="24"/>
        </w:rPr>
        <w:t xml:space="preserve">En ese orden de ideas, con el </w:t>
      </w:r>
      <w:r w:rsidR="00DD317A" w:rsidRPr="008E121F">
        <w:rPr>
          <w:sz w:val="24"/>
          <w:szCs w:val="24"/>
        </w:rPr>
        <w:t>aumento punitivo ordenado por el artí</w:t>
      </w:r>
      <w:r w:rsidRPr="008E121F">
        <w:rPr>
          <w:sz w:val="24"/>
          <w:szCs w:val="24"/>
        </w:rPr>
        <w:t>culo 14 de la Ley 890 de 2004 se le fijó una pena al procesado de 40</w:t>
      </w:r>
      <w:r w:rsidR="00432BF8" w:rsidRPr="008E121F">
        <w:rPr>
          <w:sz w:val="24"/>
          <w:szCs w:val="24"/>
        </w:rPr>
        <w:t>0</w:t>
      </w:r>
      <w:r w:rsidRPr="008E121F">
        <w:rPr>
          <w:sz w:val="24"/>
          <w:szCs w:val="24"/>
        </w:rPr>
        <w:t xml:space="preserve"> meses de prisión por el delito de homicidio agravado, </w:t>
      </w:r>
      <w:r w:rsidR="00DD317A" w:rsidRPr="008E121F">
        <w:rPr>
          <w:sz w:val="24"/>
          <w:szCs w:val="24"/>
        </w:rPr>
        <w:t>debido a la</w:t>
      </w:r>
      <w:r w:rsidRPr="008E121F">
        <w:rPr>
          <w:sz w:val="24"/>
          <w:szCs w:val="24"/>
        </w:rPr>
        <w:t xml:space="preserve"> intervención de un inimputable </w:t>
      </w:r>
      <w:r w:rsidR="00DD317A" w:rsidRPr="008E121F">
        <w:rPr>
          <w:sz w:val="24"/>
          <w:szCs w:val="24"/>
        </w:rPr>
        <w:t xml:space="preserve">en la </w:t>
      </w:r>
      <w:r w:rsidR="00DD317A" w:rsidRPr="008E121F">
        <w:rPr>
          <w:sz w:val="24"/>
          <w:szCs w:val="24"/>
        </w:rPr>
        <w:lastRenderedPageBreak/>
        <w:t xml:space="preserve">conducta </w:t>
      </w:r>
      <w:r w:rsidRPr="008E121F">
        <w:rPr>
          <w:sz w:val="24"/>
          <w:szCs w:val="24"/>
        </w:rPr>
        <w:t>que se entiende</w:t>
      </w:r>
      <w:r w:rsidR="00DD317A" w:rsidRPr="008E121F">
        <w:rPr>
          <w:sz w:val="24"/>
          <w:szCs w:val="24"/>
        </w:rPr>
        <w:t xml:space="preserve"> que era aquella en la que</w:t>
      </w:r>
      <w:r w:rsidRPr="008E121F">
        <w:rPr>
          <w:sz w:val="24"/>
          <w:szCs w:val="24"/>
        </w:rPr>
        <w:t xml:space="preserve"> fue víctima el menor antes identificado.</w:t>
      </w:r>
    </w:p>
    <w:p w:rsidR="002B64A4" w:rsidRPr="008E121F" w:rsidRDefault="002B64A4" w:rsidP="002B64A4">
      <w:pPr>
        <w:pStyle w:val="Prrafodelista"/>
        <w:spacing w:line="360" w:lineRule="auto"/>
        <w:ind w:left="0"/>
        <w:jc w:val="both"/>
        <w:rPr>
          <w:sz w:val="24"/>
          <w:szCs w:val="24"/>
        </w:rPr>
      </w:pPr>
    </w:p>
    <w:p w:rsidR="002B64A4" w:rsidRPr="008E121F" w:rsidRDefault="00EE1019" w:rsidP="002B64A4">
      <w:pPr>
        <w:pStyle w:val="Prrafodelista"/>
        <w:numPr>
          <w:ilvl w:val="1"/>
          <w:numId w:val="17"/>
        </w:numPr>
        <w:spacing w:line="360" w:lineRule="auto"/>
        <w:ind w:left="0" w:firstLine="0"/>
        <w:jc w:val="both"/>
        <w:rPr>
          <w:sz w:val="24"/>
          <w:szCs w:val="24"/>
        </w:rPr>
      </w:pPr>
      <w:r w:rsidRPr="008E121F">
        <w:rPr>
          <w:sz w:val="24"/>
          <w:szCs w:val="24"/>
        </w:rPr>
        <w:t>Como el juez de primer grado partió de la pena mínima frente a este delito que iba de 400 a 600 meses de prisión</w:t>
      </w:r>
      <w:r w:rsidR="00432BF8" w:rsidRPr="008E121F">
        <w:rPr>
          <w:sz w:val="24"/>
          <w:szCs w:val="24"/>
        </w:rPr>
        <w:t>, s</w:t>
      </w:r>
      <w:r w:rsidRPr="008E121F">
        <w:rPr>
          <w:sz w:val="24"/>
          <w:szCs w:val="24"/>
        </w:rPr>
        <w:t>e considera que al prescindirse del incremento punitivo ordenado por el artículo 14 de la citada Ley 890 de 2004, conforme a los precedentes que determinaron su inaplicación en virtud de la restricción establecida por el artículo 199 del CIA, se debe tomar la pena original establecida para este delito que oscila entre 25 a 40 años de prisión</w:t>
      </w:r>
      <w:r w:rsidR="00F51ABF" w:rsidRPr="008E121F">
        <w:rPr>
          <w:sz w:val="24"/>
          <w:szCs w:val="24"/>
        </w:rPr>
        <w:t>.</w:t>
      </w:r>
    </w:p>
    <w:p w:rsidR="002B64A4" w:rsidRPr="008E121F" w:rsidRDefault="002B64A4" w:rsidP="002B64A4">
      <w:pPr>
        <w:pStyle w:val="Prrafodelista"/>
        <w:rPr>
          <w:sz w:val="22"/>
          <w:szCs w:val="22"/>
        </w:rPr>
      </w:pPr>
    </w:p>
    <w:p w:rsidR="00F51ABF" w:rsidRPr="008E121F" w:rsidRDefault="00F51ABF" w:rsidP="002B64A4">
      <w:pPr>
        <w:pStyle w:val="Prrafodelista"/>
        <w:numPr>
          <w:ilvl w:val="1"/>
          <w:numId w:val="17"/>
        </w:numPr>
        <w:spacing w:line="360" w:lineRule="auto"/>
        <w:ind w:left="0" w:firstLine="0"/>
        <w:jc w:val="both"/>
        <w:rPr>
          <w:sz w:val="22"/>
          <w:szCs w:val="22"/>
        </w:rPr>
      </w:pPr>
      <w:r w:rsidRPr="008E121F">
        <w:rPr>
          <w:sz w:val="22"/>
          <w:szCs w:val="22"/>
        </w:rPr>
        <w:t>Respetando el marco punitivo de</w:t>
      </w:r>
      <w:r w:rsidR="00AD6527" w:rsidRPr="008E121F">
        <w:rPr>
          <w:sz w:val="22"/>
          <w:szCs w:val="22"/>
        </w:rPr>
        <w:t>l</w:t>
      </w:r>
      <w:r w:rsidRPr="008E121F">
        <w:rPr>
          <w:sz w:val="22"/>
          <w:szCs w:val="22"/>
        </w:rPr>
        <w:t xml:space="preserve"> fallo de primer grado, se partirá entonces de 25 años </w:t>
      </w:r>
      <w:r w:rsidR="00D34DCE" w:rsidRPr="008E121F">
        <w:rPr>
          <w:sz w:val="22"/>
          <w:szCs w:val="22"/>
        </w:rPr>
        <w:t xml:space="preserve">equivalentes a </w:t>
      </w:r>
      <w:r w:rsidRPr="008E121F">
        <w:rPr>
          <w:sz w:val="22"/>
          <w:szCs w:val="22"/>
        </w:rPr>
        <w:t xml:space="preserve">300 meses de </w:t>
      </w:r>
      <w:r w:rsidR="00D34DCE" w:rsidRPr="008E121F">
        <w:rPr>
          <w:sz w:val="22"/>
          <w:szCs w:val="22"/>
        </w:rPr>
        <w:t xml:space="preserve">prisión. </w:t>
      </w:r>
      <w:r w:rsidR="00646A19" w:rsidRPr="008E121F">
        <w:rPr>
          <w:sz w:val="22"/>
          <w:szCs w:val="22"/>
        </w:rPr>
        <w:t xml:space="preserve"> </w:t>
      </w:r>
    </w:p>
    <w:p w:rsidR="00F51ABF" w:rsidRPr="008E121F" w:rsidRDefault="00F51ABF" w:rsidP="002B64A4">
      <w:pPr>
        <w:spacing w:line="360" w:lineRule="auto"/>
        <w:jc w:val="both"/>
        <w:rPr>
          <w:sz w:val="22"/>
          <w:szCs w:val="22"/>
        </w:rPr>
      </w:pPr>
    </w:p>
    <w:p w:rsidR="00646A19" w:rsidRPr="008E121F" w:rsidRDefault="00F51ABF" w:rsidP="002B64A4">
      <w:pPr>
        <w:spacing w:line="360" w:lineRule="auto"/>
        <w:jc w:val="both"/>
        <w:rPr>
          <w:sz w:val="22"/>
          <w:szCs w:val="22"/>
        </w:rPr>
      </w:pPr>
      <w:r w:rsidRPr="008E121F">
        <w:rPr>
          <w:sz w:val="22"/>
          <w:szCs w:val="22"/>
        </w:rPr>
        <w:t xml:space="preserve">A esa sanción se incrementarán </w:t>
      </w:r>
      <w:r w:rsidR="000F5070" w:rsidRPr="008E121F">
        <w:rPr>
          <w:sz w:val="22"/>
          <w:szCs w:val="22"/>
        </w:rPr>
        <w:t>los doce (12</w:t>
      </w:r>
      <w:r w:rsidR="00646A19" w:rsidRPr="008E121F">
        <w:rPr>
          <w:sz w:val="22"/>
          <w:szCs w:val="22"/>
        </w:rPr>
        <w:t xml:space="preserve">) años de prisión que se fijaron por </w:t>
      </w:r>
      <w:r w:rsidR="002E6655" w:rsidRPr="008E121F">
        <w:rPr>
          <w:sz w:val="22"/>
          <w:szCs w:val="22"/>
        </w:rPr>
        <w:t>los demás delitos concursantes,</w:t>
      </w:r>
      <w:r w:rsidR="00646A19" w:rsidRPr="008E121F">
        <w:rPr>
          <w:sz w:val="22"/>
          <w:szCs w:val="22"/>
        </w:rPr>
        <w:t xml:space="preserve"> </w:t>
      </w:r>
      <w:r w:rsidR="00646A19" w:rsidRPr="008E121F">
        <w:rPr>
          <w:sz w:val="22"/>
          <w:szCs w:val="22"/>
          <w:u w:val="single"/>
        </w:rPr>
        <w:t>para un tot</w:t>
      </w:r>
      <w:r w:rsidR="000F5070" w:rsidRPr="008E121F">
        <w:rPr>
          <w:sz w:val="22"/>
          <w:szCs w:val="22"/>
          <w:u w:val="single"/>
        </w:rPr>
        <w:t>al de pena de treinta y siete (</w:t>
      </w:r>
      <w:r w:rsidR="00646A19" w:rsidRPr="008E121F">
        <w:rPr>
          <w:sz w:val="22"/>
          <w:szCs w:val="22"/>
          <w:u w:val="single"/>
        </w:rPr>
        <w:t>37</w:t>
      </w:r>
      <w:r w:rsidR="002E6655" w:rsidRPr="008E121F">
        <w:rPr>
          <w:sz w:val="22"/>
          <w:szCs w:val="22"/>
          <w:u w:val="single"/>
        </w:rPr>
        <w:t xml:space="preserve">) años  de prisión, la cual </w:t>
      </w:r>
      <w:r w:rsidR="00646A19" w:rsidRPr="008E121F">
        <w:rPr>
          <w:sz w:val="22"/>
          <w:szCs w:val="22"/>
          <w:u w:val="single"/>
        </w:rPr>
        <w:t>resulta</w:t>
      </w:r>
      <w:r w:rsidR="002E6655" w:rsidRPr="008E121F">
        <w:rPr>
          <w:sz w:val="22"/>
          <w:szCs w:val="22"/>
          <w:u w:val="single"/>
        </w:rPr>
        <w:t xml:space="preserve"> menor a los cuarenta y cinco (45</w:t>
      </w:r>
      <w:r w:rsidR="00646A19" w:rsidRPr="008E121F">
        <w:rPr>
          <w:sz w:val="22"/>
          <w:szCs w:val="22"/>
          <w:u w:val="single"/>
        </w:rPr>
        <w:t>) años</w:t>
      </w:r>
      <w:r w:rsidR="00831FE6" w:rsidRPr="008E121F">
        <w:rPr>
          <w:sz w:val="22"/>
          <w:szCs w:val="22"/>
          <w:u w:val="single"/>
        </w:rPr>
        <w:t xml:space="preserve"> con </w:t>
      </w:r>
      <w:r w:rsidR="002E6655" w:rsidRPr="008E121F">
        <w:rPr>
          <w:sz w:val="22"/>
          <w:szCs w:val="22"/>
          <w:u w:val="single"/>
        </w:rPr>
        <w:t>seis (6</w:t>
      </w:r>
      <w:r w:rsidR="00831FE6" w:rsidRPr="008E121F">
        <w:rPr>
          <w:sz w:val="22"/>
          <w:szCs w:val="22"/>
          <w:u w:val="single"/>
        </w:rPr>
        <w:t xml:space="preserve">) </w:t>
      </w:r>
      <w:r w:rsidR="00646A19" w:rsidRPr="008E121F">
        <w:rPr>
          <w:sz w:val="22"/>
          <w:szCs w:val="22"/>
          <w:u w:val="single"/>
        </w:rPr>
        <w:t xml:space="preserve"> meses de prisión, fijados en el fallo inicial.</w:t>
      </w:r>
    </w:p>
    <w:p w:rsidR="002E6655" w:rsidRPr="008E121F" w:rsidRDefault="002E6655" w:rsidP="002B64A4">
      <w:pPr>
        <w:spacing w:line="360" w:lineRule="auto"/>
        <w:jc w:val="both"/>
        <w:rPr>
          <w:sz w:val="24"/>
          <w:szCs w:val="24"/>
        </w:rPr>
      </w:pPr>
    </w:p>
    <w:p w:rsidR="009074B2" w:rsidRPr="008E121F" w:rsidRDefault="001D0473" w:rsidP="002B64A4">
      <w:pPr>
        <w:spacing w:line="360" w:lineRule="auto"/>
        <w:jc w:val="both"/>
        <w:rPr>
          <w:sz w:val="22"/>
          <w:szCs w:val="22"/>
        </w:rPr>
      </w:pPr>
      <w:r w:rsidRPr="008E121F">
        <w:rPr>
          <w:sz w:val="22"/>
          <w:szCs w:val="22"/>
        </w:rPr>
        <w:t>En ese sentido se debe aclarar que no es posible hacer rebajas adicionales al procesado, con base en el artículo 352 del C</w:t>
      </w:r>
      <w:r w:rsidR="002E6655" w:rsidRPr="008E121F">
        <w:rPr>
          <w:sz w:val="22"/>
          <w:szCs w:val="22"/>
        </w:rPr>
        <w:t>.</w:t>
      </w:r>
      <w:r w:rsidRPr="008E121F">
        <w:rPr>
          <w:sz w:val="22"/>
          <w:szCs w:val="22"/>
        </w:rPr>
        <w:t>P</w:t>
      </w:r>
      <w:r w:rsidR="002E6655" w:rsidRPr="008E121F">
        <w:rPr>
          <w:sz w:val="22"/>
          <w:szCs w:val="22"/>
        </w:rPr>
        <w:t>.</w:t>
      </w:r>
      <w:r w:rsidRPr="008E121F">
        <w:rPr>
          <w:sz w:val="22"/>
          <w:szCs w:val="22"/>
        </w:rPr>
        <w:t>P</w:t>
      </w:r>
      <w:r w:rsidR="002E6655" w:rsidRPr="008E121F">
        <w:rPr>
          <w:sz w:val="22"/>
          <w:szCs w:val="22"/>
        </w:rPr>
        <w:t>.</w:t>
      </w:r>
      <w:r w:rsidRPr="008E121F">
        <w:rPr>
          <w:sz w:val="22"/>
          <w:szCs w:val="22"/>
        </w:rPr>
        <w:t>, por los delitos c</w:t>
      </w:r>
      <w:r w:rsidR="002E6655" w:rsidRPr="008E121F">
        <w:rPr>
          <w:sz w:val="22"/>
          <w:szCs w:val="22"/>
        </w:rPr>
        <w:t>oncursantes de homicidio simple</w:t>
      </w:r>
      <w:r w:rsidRPr="008E121F">
        <w:rPr>
          <w:sz w:val="22"/>
          <w:szCs w:val="22"/>
        </w:rPr>
        <w:t xml:space="preserve"> </w:t>
      </w:r>
      <w:r w:rsidR="002E6655" w:rsidRPr="008E121F">
        <w:rPr>
          <w:sz w:val="22"/>
          <w:szCs w:val="22"/>
        </w:rPr>
        <w:t>(</w:t>
      </w:r>
      <w:r w:rsidR="00831FE6" w:rsidRPr="008E121F">
        <w:rPr>
          <w:sz w:val="22"/>
          <w:szCs w:val="22"/>
        </w:rPr>
        <w:t xml:space="preserve">que igualmente se debió tipificar como homicidio agravado del señor Juan Carlos Henao,  </w:t>
      </w:r>
      <w:r w:rsidR="009971B2" w:rsidRPr="008E121F">
        <w:rPr>
          <w:sz w:val="22"/>
          <w:szCs w:val="22"/>
        </w:rPr>
        <w:t>al presentarse la cau</w:t>
      </w:r>
      <w:r w:rsidR="002E6655" w:rsidRPr="008E121F">
        <w:rPr>
          <w:sz w:val="22"/>
          <w:szCs w:val="22"/>
        </w:rPr>
        <w:t>sal prevista en el artículo 104.</w:t>
      </w:r>
      <w:r w:rsidR="009971B2" w:rsidRPr="008E121F">
        <w:rPr>
          <w:sz w:val="22"/>
          <w:szCs w:val="22"/>
        </w:rPr>
        <w:t>5 del C</w:t>
      </w:r>
      <w:r w:rsidR="002E6655" w:rsidRPr="008E121F">
        <w:rPr>
          <w:sz w:val="22"/>
          <w:szCs w:val="22"/>
        </w:rPr>
        <w:t>.</w:t>
      </w:r>
      <w:r w:rsidR="009971B2" w:rsidRPr="008E121F">
        <w:rPr>
          <w:sz w:val="22"/>
          <w:szCs w:val="22"/>
        </w:rPr>
        <w:t>P</w:t>
      </w:r>
      <w:r w:rsidR="002E6655" w:rsidRPr="008E121F">
        <w:rPr>
          <w:sz w:val="22"/>
          <w:szCs w:val="22"/>
        </w:rPr>
        <w:t>.</w:t>
      </w:r>
      <w:r w:rsidR="009971B2" w:rsidRPr="008E121F">
        <w:rPr>
          <w:sz w:val="22"/>
          <w:szCs w:val="22"/>
        </w:rPr>
        <w:t>)</w:t>
      </w:r>
      <w:r w:rsidR="002E6655" w:rsidRPr="008E121F">
        <w:rPr>
          <w:sz w:val="22"/>
          <w:szCs w:val="22"/>
        </w:rPr>
        <w:t>,</w:t>
      </w:r>
      <w:r w:rsidR="009971B2" w:rsidRPr="008E121F">
        <w:rPr>
          <w:sz w:val="22"/>
          <w:szCs w:val="22"/>
        </w:rPr>
        <w:t xml:space="preserve"> </w:t>
      </w:r>
      <w:r w:rsidRPr="008E121F">
        <w:rPr>
          <w:sz w:val="22"/>
          <w:szCs w:val="22"/>
        </w:rPr>
        <w:t>homicidio en grado de tentativa, lesiones per</w:t>
      </w:r>
      <w:r w:rsidR="002E6655" w:rsidRPr="008E121F">
        <w:rPr>
          <w:sz w:val="22"/>
          <w:szCs w:val="22"/>
        </w:rPr>
        <w:t>sonales y porte ilegal de armas;</w:t>
      </w:r>
      <w:r w:rsidR="009971B2" w:rsidRPr="008E121F">
        <w:rPr>
          <w:sz w:val="22"/>
          <w:szCs w:val="22"/>
        </w:rPr>
        <w:t xml:space="preserve"> pues </w:t>
      </w:r>
      <w:r w:rsidRPr="008E121F">
        <w:rPr>
          <w:sz w:val="22"/>
          <w:szCs w:val="22"/>
        </w:rPr>
        <w:t>se entiende que esa disminución punitiva ya fue reconocida en el preacuerdo aprobado por el juez de primera instancia</w:t>
      </w:r>
      <w:r w:rsidR="00D34DCE" w:rsidRPr="008E121F">
        <w:rPr>
          <w:sz w:val="22"/>
          <w:szCs w:val="22"/>
        </w:rPr>
        <w:t>, donde se pactó que la pena a imponer a</w:t>
      </w:r>
      <w:r w:rsidR="008C7E12" w:rsidRPr="008E121F">
        <w:rPr>
          <w:sz w:val="22"/>
          <w:szCs w:val="22"/>
        </w:rPr>
        <w:t xml:space="preserve"> los </w:t>
      </w:r>
      <w:r w:rsidR="00D34DCE" w:rsidRPr="008E121F">
        <w:rPr>
          <w:sz w:val="22"/>
          <w:szCs w:val="22"/>
        </w:rPr>
        <w:t>procesado</w:t>
      </w:r>
      <w:r w:rsidR="008C7E12" w:rsidRPr="008E121F">
        <w:rPr>
          <w:sz w:val="22"/>
          <w:szCs w:val="22"/>
        </w:rPr>
        <w:t>s</w:t>
      </w:r>
      <w:r w:rsidR="00D34DCE" w:rsidRPr="008E121F">
        <w:rPr>
          <w:sz w:val="22"/>
          <w:szCs w:val="22"/>
        </w:rPr>
        <w:t xml:space="preserve"> era de cu</w:t>
      </w:r>
      <w:r w:rsidR="002E6655" w:rsidRPr="008E121F">
        <w:rPr>
          <w:sz w:val="22"/>
          <w:szCs w:val="22"/>
        </w:rPr>
        <w:t>arenta y cinco (45) años y seis</w:t>
      </w:r>
      <w:r w:rsidR="00D34DCE" w:rsidRPr="008E121F">
        <w:rPr>
          <w:sz w:val="22"/>
          <w:szCs w:val="22"/>
        </w:rPr>
        <w:t>( 6) meses de prisión.</w:t>
      </w:r>
    </w:p>
    <w:p w:rsidR="009074B2" w:rsidRPr="008E121F" w:rsidRDefault="009074B2" w:rsidP="008138CD">
      <w:pPr>
        <w:spacing w:line="360" w:lineRule="auto"/>
        <w:ind w:right="333"/>
        <w:jc w:val="both"/>
        <w:rPr>
          <w:strike/>
          <w:sz w:val="22"/>
          <w:szCs w:val="22"/>
          <w:lang w:val="es-ES"/>
        </w:rPr>
      </w:pPr>
    </w:p>
    <w:p w:rsidR="006610F0" w:rsidRPr="008E121F" w:rsidRDefault="00FC5922" w:rsidP="008138CD">
      <w:pPr>
        <w:spacing w:line="360" w:lineRule="auto"/>
        <w:jc w:val="both"/>
        <w:rPr>
          <w:sz w:val="22"/>
          <w:szCs w:val="22"/>
          <w:lang w:val="es-ES"/>
        </w:rPr>
      </w:pPr>
      <w:r w:rsidRPr="008E121F">
        <w:rPr>
          <w:sz w:val="22"/>
          <w:szCs w:val="22"/>
          <w:lang w:val="es-ES"/>
        </w:rPr>
        <w:t xml:space="preserve">Con base en lo expuesto en precedencia, la </w:t>
      </w:r>
      <w:r w:rsidR="006610F0" w:rsidRPr="008E121F">
        <w:rPr>
          <w:sz w:val="22"/>
          <w:szCs w:val="22"/>
          <w:lang w:val="es-ES"/>
        </w:rPr>
        <w:t>Sala de Decisión Penal del T</w:t>
      </w:r>
      <w:r w:rsidR="00AE231E" w:rsidRPr="008E121F">
        <w:rPr>
          <w:sz w:val="22"/>
          <w:szCs w:val="22"/>
          <w:lang w:val="es-ES"/>
        </w:rPr>
        <w:t xml:space="preserve">ribunal </w:t>
      </w:r>
      <w:r w:rsidR="006610F0" w:rsidRPr="008E121F">
        <w:rPr>
          <w:sz w:val="22"/>
          <w:szCs w:val="22"/>
          <w:lang w:val="es-ES"/>
        </w:rPr>
        <w:t>S</w:t>
      </w:r>
      <w:r w:rsidR="00AE231E" w:rsidRPr="008E121F">
        <w:rPr>
          <w:sz w:val="22"/>
          <w:szCs w:val="22"/>
          <w:lang w:val="es-ES"/>
        </w:rPr>
        <w:t>uperior</w:t>
      </w:r>
      <w:r w:rsidR="006610F0" w:rsidRPr="008E121F">
        <w:rPr>
          <w:sz w:val="22"/>
          <w:szCs w:val="22"/>
          <w:lang w:val="es-ES"/>
        </w:rPr>
        <w:t xml:space="preserve"> del Distrito Judicial de Pereira, Administrando Justicia</w:t>
      </w:r>
      <w:r w:rsidR="00950447" w:rsidRPr="008E121F">
        <w:rPr>
          <w:sz w:val="22"/>
          <w:szCs w:val="22"/>
          <w:lang w:val="es-ES"/>
        </w:rPr>
        <w:t xml:space="preserve"> en nombre de la Repú</w:t>
      </w:r>
      <w:r w:rsidR="006610F0" w:rsidRPr="008E121F">
        <w:rPr>
          <w:sz w:val="22"/>
          <w:szCs w:val="22"/>
          <w:lang w:val="es-ES"/>
        </w:rPr>
        <w:t>blica y por Autoridad de la Ley,</w:t>
      </w:r>
    </w:p>
    <w:p w:rsidR="007D795E" w:rsidRPr="008E121F" w:rsidRDefault="007D795E" w:rsidP="002B64A4">
      <w:pPr>
        <w:spacing w:line="360" w:lineRule="auto"/>
        <w:jc w:val="center"/>
        <w:rPr>
          <w:sz w:val="22"/>
          <w:szCs w:val="22"/>
          <w:lang w:val="es-ES"/>
        </w:rPr>
      </w:pPr>
    </w:p>
    <w:p w:rsidR="006610F0" w:rsidRPr="008E121F" w:rsidRDefault="006610F0" w:rsidP="002B64A4">
      <w:pPr>
        <w:spacing w:line="360" w:lineRule="auto"/>
        <w:jc w:val="center"/>
        <w:rPr>
          <w:rFonts w:eastAsia="Adobe Gothic Std B"/>
          <w:sz w:val="24"/>
          <w:szCs w:val="24"/>
        </w:rPr>
      </w:pPr>
      <w:r w:rsidRPr="008E121F">
        <w:rPr>
          <w:rFonts w:eastAsia="Adobe Gothic Std B"/>
          <w:sz w:val="24"/>
          <w:szCs w:val="24"/>
        </w:rPr>
        <w:t>RESUELVE:</w:t>
      </w:r>
    </w:p>
    <w:p w:rsidR="006610F0" w:rsidRPr="008E121F" w:rsidRDefault="006610F0" w:rsidP="008138CD">
      <w:pPr>
        <w:spacing w:line="360" w:lineRule="auto"/>
        <w:jc w:val="both"/>
        <w:rPr>
          <w:rFonts w:eastAsia="Adobe Gothic Std B"/>
          <w:sz w:val="24"/>
          <w:szCs w:val="24"/>
        </w:rPr>
      </w:pPr>
    </w:p>
    <w:p w:rsidR="0060108C" w:rsidRPr="008E121F" w:rsidRDefault="002B64A4" w:rsidP="008138CD">
      <w:pPr>
        <w:spacing w:line="360" w:lineRule="auto"/>
        <w:jc w:val="both"/>
        <w:rPr>
          <w:sz w:val="24"/>
          <w:szCs w:val="24"/>
        </w:rPr>
      </w:pPr>
      <w:r w:rsidRPr="008E121F">
        <w:rPr>
          <w:rFonts w:eastAsia="Adobe Gothic Std B"/>
          <w:sz w:val="24"/>
          <w:szCs w:val="24"/>
        </w:rPr>
        <w:t>PRIMERO:</w:t>
      </w:r>
      <w:r w:rsidRPr="008E121F">
        <w:rPr>
          <w:rFonts w:eastAsia="Adobe Gothic Std B"/>
          <w:sz w:val="24"/>
          <w:szCs w:val="24"/>
        </w:rPr>
        <w:tab/>
      </w:r>
      <w:r w:rsidR="006610F0" w:rsidRPr="008E121F">
        <w:rPr>
          <w:sz w:val="24"/>
          <w:szCs w:val="24"/>
        </w:rPr>
        <w:t>DECLARAR fundada la causal de la acción de revisión impetrada por</w:t>
      </w:r>
      <w:r w:rsidR="007D795E" w:rsidRPr="008E121F">
        <w:rPr>
          <w:sz w:val="24"/>
          <w:szCs w:val="24"/>
        </w:rPr>
        <w:t xml:space="preserve"> el</w:t>
      </w:r>
      <w:r w:rsidR="006610F0" w:rsidRPr="008E121F">
        <w:rPr>
          <w:sz w:val="24"/>
          <w:szCs w:val="24"/>
        </w:rPr>
        <w:t xml:space="preserve"> accionante, con base en la causal 7ª del </w:t>
      </w:r>
      <w:r w:rsidR="00AE231E" w:rsidRPr="008E121F">
        <w:rPr>
          <w:sz w:val="24"/>
          <w:szCs w:val="24"/>
        </w:rPr>
        <w:t>artículo</w:t>
      </w:r>
      <w:r w:rsidR="006610F0" w:rsidRPr="008E121F">
        <w:rPr>
          <w:sz w:val="24"/>
          <w:szCs w:val="24"/>
        </w:rPr>
        <w:t xml:space="preserve"> 192 del </w:t>
      </w:r>
      <w:r w:rsidR="00027D3A" w:rsidRPr="008E121F">
        <w:rPr>
          <w:sz w:val="24"/>
          <w:szCs w:val="24"/>
        </w:rPr>
        <w:t>C</w:t>
      </w:r>
      <w:r w:rsidR="00A81623" w:rsidRPr="008E121F">
        <w:rPr>
          <w:sz w:val="24"/>
          <w:szCs w:val="24"/>
        </w:rPr>
        <w:t>.</w:t>
      </w:r>
      <w:r w:rsidR="00027D3A" w:rsidRPr="008E121F">
        <w:rPr>
          <w:sz w:val="24"/>
          <w:szCs w:val="24"/>
        </w:rPr>
        <w:t>P</w:t>
      </w:r>
      <w:r w:rsidR="00A81623" w:rsidRPr="008E121F">
        <w:rPr>
          <w:sz w:val="24"/>
          <w:szCs w:val="24"/>
        </w:rPr>
        <w:t>.</w:t>
      </w:r>
      <w:r w:rsidR="00027D3A" w:rsidRPr="008E121F">
        <w:rPr>
          <w:sz w:val="24"/>
          <w:szCs w:val="24"/>
        </w:rPr>
        <w:t>P.</w:t>
      </w:r>
      <w:r w:rsidR="0060108C" w:rsidRPr="008E121F">
        <w:rPr>
          <w:sz w:val="24"/>
          <w:szCs w:val="24"/>
        </w:rPr>
        <w:t xml:space="preserve"> </w:t>
      </w:r>
    </w:p>
    <w:p w:rsidR="0060108C" w:rsidRPr="008E121F" w:rsidRDefault="0060108C" w:rsidP="008138CD">
      <w:pPr>
        <w:spacing w:line="360" w:lineRule="auto"/>
        <w:jc w:val="both"/>
        <w:rPr>
          <w:sz w:val="24"/>
          <w:szCs w:val="24"/>
        </w:rPr>
      </w:pPr>
    </w:p>
    <w:p w:rsidR="00A81623" w:rsidRPr="008E121F" w:rsidRDefault="002B64A4" w:rsidP="008138CD">
      <w:pPr>
        <w:spacing w:line="360" w:lineRule="auto"/>
        <w:jc w:val="both"/>
        <w:rPr>
          <w:sz w:val="24"/>
          <w:szCs w:val="24"/>
        </w:rPr>
      </w:pPr>
      <w:r w:rsidRPr="008E121F">
        <w:rPr>
          <w:sz w:val="24"/>
          <w:szCs w:val="24"/>
        </w:rPr>
        <w:t>:</w:t>
      </w:r>
      <w:r w:rsidRPr="008E121F">
        <w:rPr>
          <w:sz w:val="24"/>
          <w:szCs w:val="24"/>
        </w:rPr>
        <w:tab/>
      </w:r>
      <w:r w:rsidR="000F3092" w:rsidRPr="008E121F">
        <w:rPr>
          <w:sz w:val="24"/>
          <w:szCs w:val="24"/>
        </w:rPr>
        <w:t>En</w:t>
      </w:r>
      <w:r w:rsidR="007D795E" w:rsidRPr="008E121F">
        <w:rPr>
          <w:sz w:val="24"/>
          <w:szCs w:val="24"/>
        </w:rPr>
        <w:t xml:space="preserve"> consecuencia se</w:t>
      </w:r>
      <w:r w:rsidR="0060108C" w:rsidRPr="008E121F">
        <w:rPr>
          <w:sz w:val="24"/>
          <w:szCs w:val="24"/>
        </w:rPr>
        <w:t xml:space="preserve"> modificará el numeral </w:t>
      </w:r>
      <w:r w:rsidR="00027D3A" w:rsidRPr="008E121F">
        <w:rPr>
          <w:sz w:val="24"/>
          <w:szCs w:val="24"/>
        </w:rPr>
        <w:t xml:space="preserve">PRIMERO de la sentencia dictada el </w:t>
      </w:r>
      <w:r w:rsidR="007D795E" w:rsidRPr="008E121F">
        <w:rPr>
          <w:sz w:val="24"/>
          <w:szCs w:val="24"/>
        </w:rPr>
        <w:t>14</w:t>
      </w:r>
      <w:r w:rsidR="00027D3A" w:rsidRPr="008E121F">
        <w:rPr>
          <w:sz w:val="24"/>
          <w:szCs w:val="24"/>
        </w:rPr>
        <w:t xml:space="preserve"> de </w:t>
      </w:r>
      <w:r w:rsidR="007D795E" w:rsidRPr="008E121F">
        <w:rPr>
          <w:sz w:val="24"/>
          <w:szCs w:val="24"/>
        </w:rPr>
        <w:t>julio de 2008</w:t>
      </w:r>
      <w:r w:rsidR="00027D3A" w:rsidRPr="008E121F">
        <w:rPr>
          <w:sz w:val="24"/>
          <w:szCs w:val="24"/>
        </w:rPr>
        <w:t xml:space="preserve">, por el Juzgado </w:t>
      </w:r>
      <w:r w:rsidR="007D795E" w:rsidRPr="008E121F">
        <w:rPr>
          <w:sz w:val="24"/>
          <w:szCs w:val="24"/>
        </w:rPr>
        <w:t>Cuarto</w:t>
      </w:r>
      <w:r w:rsidR="00027D3A" w:rsidRPr="008E121F">
        <w:rPr>
          <w:sz w:val="24"/>
          <w:szCs w:val="24"/>
        </w:rPr>
        <w:t xml:space="preserve"> Penal </w:t>
      </w:r>
      <w:r w:rsidR="007D795E" w:rsidRPr="008E121F">
        <w:rPr>
          <w:sz w:val="24"/>
          <w:szCs w:val="24"/>
        </w:rPr>
        <w:t>del Circuito de Pereira (Risaralda)</w:t>
      </w:r>
      <w:r w:rsidR="0060108C" w:rsidRPr="008E121F">
        <w:rPr>
          <w:sz w:val="24"/>
          <w:szCs w:val="24"/>
        </w:rPr>
        <w:t xml:space="preserve">, en el sentido de que la pena definitiva que </w:t>
      </w:r>
      <w:r w:rsidR="00027D3A" w:rsidRPr="008E121F">
        <w:rPr>
          <w:sz w:val="24"/>
          <w:szCs w:val="24"/>
        </w:rPr>
        <w:t xml:space="preserve">debe descontar el procesado </w:t>
      </w:r>
      <w:r w:rsidR="007D795E" w:rsidRPr="008E121F">
        <w:rPr>
          <w:sz w:val="24"/>
          <w:szCs w:val="24"/>
        </w:rPr>
        <w:t>Richard Hernando Hincapié Giraldo</w:t>
      </w:r>
      <w:r w:rsidR="00AE231E" w:rsidRPr="008E121F">
        <w:rPr>
          <w:sz w:val="24"/>
          <w:szCs w:val="24"/>
        </w:rPr>
        <w:t xml:space="preserve"> </w:t>
      </w:r>
      <w:r w:rsidR="007D795E" w:rsidRPr="008E121F">
        <w:rPr>
          <w:sz w:val="24"/>
          <w:szCs w:val="24"/>
        </w:rPr>
        <w:t>por</w:t>
      </w:r>
      <w:r w:rsidR="00B95E8B" w:rsidRPr="008E121F">
        <w:rPr>
          <w:sz w:val="24"/>
          <w:szCs w:val="24"/>
        </w:rPr>
        <w:t xml:space="preserve"> el</w:t>
      </w:r>
      <w:r w:rsidR="007D795E" w:rsidRPr="008E121F">
        <w:rPr>
          <w:sz w:val="24"/>
          <w:szCs w:val="24"/>
        </w:rPr>
        <w:t xml:space="preserve"> </w:t>
      </w:r>
      <w:r w:rsidR="00B95E8B" w:rsidRPr="008E121F">
        <w:rPr>
          <w:rFonts w:eastAsia="Adobe Gothic Std B"/>
          <w:sz w:val="24"/>
          <w:szCs w:val="24"/>
        </w:rPr>
        <w:t>concurso</w:t>
      </w:r>
      <w:r w:rsidR="0060108C" w:rsidRPr="008E121F">
        <w:rPr>
          <w:rFonts w:eastAsia="Adobe Gothic Std B"/>
          <w:sz w:val="24"/>
          <w:szCs w:val="24"/>
        </w:rPr>
        <w:t xml:space="preserve"> de conductas </w:t>
      </w:r>
      <w:r w:rsidR="00B95E8B" w:rsidRPr="008E121F">
        <w:rPr>
          <w:rFonts w:eastAsia="Adobe Gothic Std B"/>
          <w:sz w:val="24"/>
          <w:szCs w:val="24"/>
        </w:rPr>
        <w:t>punible</w:t>
      </w:r>
      <w:r w:rsidR="0060108C" w:rsidRPr="008E121F">
        <w:rPr>
          <w:rFonts w:eastAsia="Adobe Gothic Std B"/>
          <w:sz w:val="24"/>
          <w:szCs w:val="24"/>
        </w:rPr>
        <w:t>s</w:t>
      </w:r>
      <w:r w:rsidR="00B95E8B" w:rsidRPr="008E121F">
        <w:rPr>
          <w:rFonts w:eastAsia="Adobe Gothic Std B"/>
          <w:sz w:val="24"/>
          <w:szCs w:val="24"/>
        </w:rPr>
        <w:t xml:space="preserve"> de </w:t>
      </w:r>
      <w:r w:rsidR="00A81623" w:rsidRPr="008E121F">
        <w:rPr>
          <w:rFonts w:eastAsia="Adobe Gothic Std B"/>
          <w:sz w:val="24"/>
          <w:szCs w:val="24"/>
        </w:rPr>
        <w:lastRenderedPageBreak/>
        <w:t>‘</w:t>
      </w:r>
      <w:r w:rsidR="00B95E8B" w:rsidRPr="008E121F">
        <w:rPr>
          <w:rFonts w:eastAsia="Adobe Gothic Std B"/>
          <w:sz w:val="24"/>
          <w:szCs w:val="24"/>
        </w:rPr>
        <w:t xml:space="preserve">homicidio agravado, homicidio simple, tres tentativas de homicidio simple, tres lesiones personales dolosas y </w:t>
      </w:r>
      <w:r w:rsidR="00B95E8B" w:rsidRPr="008E121F">
        <w:rPr>
          <w:rFonts w:eastAsia="Adobe Gothic Std B"/>
          <w:sz w:val="24"/>
          <w:szCs w:val="24"/>
          <w:lang w:val="es-ES"/>
        </w:rPr>
        <w:t>fabricación, tráfico y porte de armas de fuego o municiones</w:t>
      </w:r>
      <w:r w:rsidR="00A81623" w:rsidRPr="008E121F">
        <w:rPr>
          <w:rFonts w:eastAsia="Adobe Gothic Std B"/>
          <w:sz w:val="24"/>
          <w:szCs w:val="24"/>
        </w:rPr>
        <w:t>’</w:t>
      </w:r>
      <w:r w:rsidR="007D795E" w:rsidRPr="008E121F">
        <w:rPr>
          <w:sz w:val="24"/>
          <w:szCs w:val="24"/>
        </w:rPr>
        <w:t xml:space="preserve">, </w:t>
      </w:r>
      <w:r w:rsidR="00F2305B" w:rsidRPr="008E121F">
        <w:rPr>
          <w:sz w:val="24"/>
          <w:szCs w:val="24"/>
        </w:rPr>
        <w:t>será de TREINTA Y SIETE (</w:t>
      </w:r>
      <w:r w:rsidR="0060108C" w:rsidRPr="008E121F">
        <w:rPr>
          <w:sz w:val="24"/>
          <w:szCs w:val="24"/>
        </w:rPr>
        <w:t xml:space="preserve">37) AÑOS </w:t>
      </w:r>
      <w:r w:rsidR="00A81623" w:rsidRPr="008E121F">
        <w:rPr>
          <w:sz w:val="24"/>
          <w:szCs w:val="24"/>
        </w:rPr>
        <w:t xml:space="preserve">y </w:t>
      </w:r>
      <w:r w:rsidR="0060108C" w:rsidRPr="008E121F">
        <w:rPr>
          <w:sz w:val="24"/>
          <w:szCs w:val="24"/>
        </w:rPr>
        <w:t xml:space="preserve">multa equivalente a </w:t>
      </w:r>
      <w:r w:rsidR="00A81623" w:rsidRPr="008E121F">
        <w:rPr>
          <w:sz w:val="24"/>
          <w:szCs w:val="24"/>
        </w:rPr>
        <w:t xml:space="preserve">34.6 </w:t>
      </w:r>
      <w:r w:rsidR="0060108C" w:rsidRPr="008E121F">
        <w:rPr>
          <w:sz w:val="24"/>
          <w:szCs w:val="24"/>
        </w:rPr>
        <w:t>SMLMV para el año 2008.</w:t>
      </w:r>
    </w:p>
    <w:p w:rsidR="00027D3A" w:rsidRPr="008E121F" w:rsidRDefault="0060108C" w:rsidP="008138CD">
      <w:pPr>
        <w:spacing w:line="360" w:lineRule="auto"/>
        <w:jc w:val="both"/>
        <w:rPr>
          <w:sz w:val="24"/>
          <w:szCs w:val="24"/>
        </w:rPr>
      </w:pPr>
      <w:r w:rsidRPr="008E121F">
        <w:rPr>
          <w:sz w:val="24"/>
          <w:szCs w:val="24"/>
        </w:rPr>
        <w:t xml:space="preserve"> </w:t>
      </w:r>
    </w:p>
    <w:p w:rsidR="00734387" w:rsidRPr="008E121F" w:rsidRDefault="0060108C" w:rsidP="008138CD">
      <w:pPr>
        <w:spacing w:line="360" w:lineRule="auto"/>
        <w:jc w:val="both"/>
        <w:rPr>
          <w:sz w:val="24"/>
          <w:szCs w:val="24"/>
        </w:rPr>
      </w:pPr>
      <w:r w:rsidRPr="008E121F">
        <w:rPr>
          <w:sz w:val="24"/>
          <w:szCs w:val="24"/>
        </w:rPr>
        <w:t xml:space="preserve">TERCERO </w:t>
      </w:r>
      <w:r w:rsidR="002B64A4" w:rsidRPr="008E121F">
        <w:rPr>
          <w:sz w:val="24"/>
          <w:szCs w:val="24"/>
        </w:rPr>
        <w:t>:</w:t>
      </w:r>
      <w:r w:rsidR="002B64A4" w:rsidRPr="008E121F">
        <w:rPr>
          <w:sz w:val="24"/>
          <w:szCs w:val="24"/>
        </w:rPr>
        <w:tab/>
      </w:r>
      <w:r w:rsidR="00A81A0A" w:rsidRPr="008E121F">
        <w:rPr>
          <w:sz w:val="24"/>
          <w:szCs w:val="24"/>
        </w:rPr>
        <w:t xml:space="preserve">Con base en lo dispuesto en el </w:t>
      </w:r>
      <w:r w:rsidR="00AE231E" w:rsidRPr="008E121F">
        <w:rPr>
          <w:sz w:val="24"/>
          <w:szCs w:val="24"/>
        </w:rPr>
        <w:t>artículo</w:t>
      </w:r>
      <w:r w:rsidR="00A81A0A" w:rsidRPr="008E121F">
        <w:rPr>
          <w:sz w:val="24"/>
          <w:szCs w:val="24"/>
        </w:rPr>
        <w:t xml:space="preserve"> 198 del C</w:t>
      </w:r>
      <w:r w:rsidR="007A718A" w:rsidRPr="008E121F">
        <w:rPr>
          <w:sz w:val="24"/>
          <w:szCs w:val="24"/>
        </w:rPr>
        <w:t>.</w:t>
      </w:r>
      <w:r w:rsidR="00A81A0A" w:rsidRPr="008E121F">
        <w:rPr>
          <w:sz w:val="24"/>
          <w:szCs w:val="24"/>
        </w:rPr>
        <w:t>P</w:t>
      </w:r>
      <w:r w:rsidR="007A718A" w:rsidRPr="008E121F">
        <w:rPr>
          <w:sz w:val="24"/>
          <w:szCs w:val="24"/>
        </w:rPr>
        <w:t>.</w:t>
      </w:r>
      <w:r w:rsidR="00A81A0A" w:rsidRPr="008E121F">
        <w:rPr>
          <w:sz w:val="24"/>
          <w:szCs w:val="24"/>
        </w:rPr>
        <w:t>P</w:t>
      </w:r>
      <w:r w:rsidR="007A718A" w:rsidRPr="008E121F">
        <w:rPr>
          <w:sz w:val="24"/>
          <w:szCs w:val="24"/>
        </w:rPr>
        <w:t>.</w:t>
      </w:r>
      <w:r w:rsidR="00A81A0A" w:rsidRPr="008E121F">
        <w:rPr>
          <w:sz w:val="24"/>
          <w:szCs w:val="24"/>
        </w:rPr>
        <w:t xml:space="preserve">, los efectos de esta decisión se extienden al </w:t>
      </w:r>
      <w:proofErr w:type="spellStart"/>
      <w:r w:rsidR="00A81A0A" w:rsidRPr="008E121F">
        <w:rPr>
          <w:sz w:val="24"/>
          <w:szCs w:val="24"/>
        </w:rPr>
        <w:t>coprocesado</w:t>
      </w:r>
      <w:proofErr w:type="spellEnd"/>
      <w:r w:rsidR="00A81A0A" w:rsidRPr="008E121F">
        <w:rPr>
          <w:sz w:val="24"/>
          <w:szCs w:val="24"/>
        </w:rPr>
        <w:t xml:space="preserve"> </w:t>
      </w:r>
      <w:r w:rsidR="007A718A" w:rsidRPr="008E121F">
        <w:rPr>
          <w:sz w:val="24"/>
          <w:szCs w:val="24"/>
        </w:rPr>
        <w:t>César Alberto Morales Gómez;</w:t>
      </w:r>
      <w:r w:rsidR="00A81A0A" w:rsidRPr="008E121F">
        <w:rPr>
          <w:sz w:val="24"/>
          <w:szCs w:val="24"/>
        </w:rPr>
        <w:t xml:space="preserve"> quien fue condenado conjuntamente con el señor </w:t>
      </w:r>
      <w:r w:rsidR="007A718A" w:rsidRPr="008E121F">
        <w:rPr>
          <w:sz w:val="24"/>
          <w:szCs w:val="24"/>
        </w:rPr>
        <w:t>Hincapié Giraldo</w:t>
      </w:r>
      <w:r w:rsidR="00A81A0A" w:rsidRPr="008E121F">
        <w:rPr>
          <w:sz w:val="24"/>
          <w:szCs w:val="24"/>
        </w:rPr>
        <w:t xml:space="preserve">, por las mismas conductas punibles. Se informara lo pertinente al </w:t>
      </w:r>
      <w:r w:rsidR="007A718A" w:rsidRPr="008E121F">
        <w:rPr>
          <w:sz w:val="24"/>
          <w:szCs w:val="24"/>
        </w:rPr>
        <w:t xml:space="preserve">Juzgado </w:t>
      </w:r>
      <w:r w:rsidR="00A81A0A" w:rsidRPr="008E121F">
        <w:rPr>
          <w:sz w:val="24"/>
          <w:szCs w:val="24"/>
        </w:rPr>
        <w:t>de EPMS que cono</w:t>
      </w:r>
      <w:r w:rsidR="00AE231E" w:rsidRPr="008E121F">
        <w:rPr>
          <w:sz w:val="24"/>
          <w:szCs w:val="24"/>
        </w:rPr>
        <w:t>ce</w:t>
      </w:r>
      <w:r w:rsidR="00A81A0A" w:rsidRPr="008E121F">
        <w:rPr>
          <w:sz w:val="24"/>
          <w:szCs w:val="24"/>
        </w:rPr>
        <w:t xml:space="preserve"> </w:t>
      </w:r>
      <w:r w:rsidR="007A718A" w:rsidRPr="008E121F">
        <w:rPr>
          <w:sz w:val="24"/>
          <w:szCs w:val="24"/>
        </w:rPr>
        <w:t>de ambos casos.</w:t>
      </w:r>
    </w:p>
    <w:p w:rsidR="00734387" w:rsidRPr="008E121F" w:rsidRDefault="00734387" w:rsidP="008138CD">
      <w:pPr>
        <w:spacing w:line="360" w:lineRule="auto"/>
        <w:jc w:val="both"/>
        <w:rPr>
          <w:sz w:val="24"/>
          <w:szCs w:val="24"/>
        </w:rPr>
      </w:pPr>
    </w:p>
    <w:p w:rsidR="006610F0" w:rsidRPr="008E121F" w:rsidRDefault="0060108C" w:rsidP="008138CD">
      <w:pPr>
        <w:spacing w:line="360" w:lineRule="auto"/>
        <w:jc w:val="both"/>
        <w:rPr>
          <w:rFonts w:eastAsia="Adobe Gothic Std B"/>
          <w:sz w:val="24"/>
          <w:szCs w:val="24"/>
        </w:rPr>
      </w:pPr>
      <w:r w:rsidRPr="008E121F">
        <w:rPr>
          <w:sz w:val="24"/>
          <w:szCs w:val="24"/>
        </w:rPr>
        <w:t>CUARTO</w:t>
      </w:r>
      <w:r w:rsidR="00FC7F49" w:rsidRPr="008E121F">
        <w:rPr>
          <w:sz w:val="24"/>
          <w:szCs w:val="24"/>
        </w:rPr>
        <w:t>:</w:t>
      </w:r>
      <w:r w:rsidR="00FC7F49" w:rsidRPr="008E121F">
        <w:rPr>
          <w:sz w:val="24"/>
          <w:szCs w:val="24"/>
        </w:rPr>
        <w:tab/>
      </w:r>
      <w:r w:rsidR="006610F0" w:rsidRPr="008E121F">
        <w:rPr>
          <w:rFonts w:eastAsia="Adobe Gothic Std B"/>
          <w:sz w:val="24"/>
          <w:szCs w:val="24"/>
        </w:rPr>
        <w:t>Contra la presente de</w:t>
      </w:r>
      <w:r w:rsidRPr="008E121F">
        <w:rPr>
          <w:rFonts w:eastAsia="Adobe Gothic Std B"/>
          <w:sz w:val="24"/>
          <w:szCs w:val="24"/>
        </w:rPr>
        <w:t>terminación no  procede ningún recurso,  por tratarse de una decisión de única instancia.</w:t>
      </w:r>
    </w:p>
    <w:p w:rsidR="006610F0" w:rsidRPr="008E121F" w:rsidRDefault="006610F0" w:rsidP="008138CD">
      <w:pPr>
        <w:spacing w:line="360" w:lineRule="auto"/>
        <w:jc w:val="both"/>
        <w:rPr>
          <w:rFonts w:eastAsia="Adobe Gothic Std B"/>
          <w:sz w:val="24"/>
          <w:szCs w:val="24"/>
        </w:rPr>
      </w:pPr>
    </w:p>
    <w:p w:rsidR="002B64A4" w:rsidRPr="008E121F" w:rsidRDefault="002B64A4" w:rsidP="008138CD">
      <w:pPr>
        <w:spacing w:line="360" w:lineRule="auto"/>
        <w:jc w:val="both"/>
        <w:rPr>
          <w:rFonts w:eastAsia="Adobe Gothic Std B"/>
          <w:sz w:val="24"/>
          <w:szCs w:val="24"/>
        </w:rPr>
      </w:pPr>
    </w:p>
    <w:p w:rsidR="006610F0" w:rsidRPr="008E121F" w:rsidRDefault="00A81623" w:rsidP="00A81623">
      <w:pPr>
        <w:spacing w:line="360" w:lineRule="auto"/>
        <w:jc w:val="center"/>
        <w:rPr>
          <w:rFonts w:eastAsia="Adobe Gothic Std B"/>
          <w:sz w:val="24"/>
          <w:szCs w:val="24"/>
        </w:rPr>
      </w:pPr>
      <w:r w:rsidRPr="008E121F">
        <w:rPr>
          <w:rFonts w:eastAsia="Adobe Gothic Std B"/>
          <w:sz w:val="24"/>
          <w:szCs w:val="24"/>
        </w:rPr>
        <w:t>NOTIFÍQUESE Y CÚMPLASE</w:t>
      </w:r>
    </w:p>
    <w:p w:rsidR="00A81623" w:rsidRPr="008E121F" w:rsidRDefault="00A81623" w:rsidP="00A81623">
      <w:pPr>
        <w:spacing w:line="360" w:lineRule="auto"/>
        <w:jc w:val="center"/>
        <w:rPr>
          <w:rFonts w:eastAsia="Adobe Gothic Std B"/>
          <w:sz w:val="24"/>
          <w:szCs w:val="24"/>
        </w:rPr>
      </w:pPr>
    </w:p>
    <w:p w:rsidR="00A81623" w:rsidRPr="008E121F" w:rsidRDefault="00A81623" w:rsidP="00A81623">
      <w:pPr>
        <w:spacing w:line="360" w:lineRule="auto"/>
        <w:jc w:val="center"/>
        <w:rPr>
          <w:rFonts w:eastAsia="Adobe Gothic Std B"/>
          <w:sz w:val="24"/>
          <w:szCs w:val="24"/>
        </w:rPr>
      </w:pPr>
    </w:p>
    <w:p w:rsidR="0088022D" w:rsidRPr="008E121F" w:rsidRDefault="0088022D" w:rsidP="00A81623">
      <w:pPr>
        <w:spacing w:line="360" w:lineRule="auto"/>
        <w:jc w:val="center"/>
        <w:rPr>
          <w:rFonts w:eastAsia="Adobe Gothic Std B"/>
          <w:sz w:val="24"/>
          <w:szCs w:val="24"/>
        </w:rPr>
      </w:pPr>
    </w:p>
    <w:p w:rsidR="00734387" w:rsidRPr="008E121F" w:rsidRDefault="00734387" w:rsidP="00A81623">
      <w:pPr>
        <w:spacing w:line="360" w:lineRule="auto"/>
        <w:jc w:val="center"/>
        <w:rPr>
          <w:rFonts w:eastAsia="Adobe Gothic Std B"/>
          <w:sz w:val="24"/>
          <w:szCs w:val="24"/>
          <w:lang w:val="es-ES"/>
        </w:rPr>
      </w:pPr>
      <w:r w:rsidRPr="008E121F">
        <w:rPr>
          <w:rFonts w:eastAsia="Adobe Gothic Std B"/>
          <w:sz w:val="24"/>
          <w:szCs w:val="24"/>
          <w:lang w:val="es-ES"/>
        </w:rPr>
        <w:t>JAIRO ERNESTO ESCO</w:t>
      </w:r>
      <w:r w:rsidR="000F3092" w:rsidRPr="008E121F">
        <w:rPr>
          <w:rFonts w:eastAsia="Adobe Gothic Std B"/>
          <w:sz w:val="24"/>
          <w:szCs w:val="24"/>
          <w:lang w:val="es-ES"/>
        </w:rPr>
        <w:t>BAR SANZ</w:t>
      </w:r>
    </w:p>
    <w:p w:rsidR="00734387" w:rsidRPr="008E121F" w:rsidRDefault="000F3092" w:rsidP="00A81623">
      <w:pPr>
        <w:spacing w:line="360" w:lineRule="auto"/>
        <w:jc w:val="center"/>
        <w:rPr>
          <w:rFonts w:eastAsia="Adobe Gothic Std B"/>
          <w:sz w:val="24"/>
          <w:szCs w:val="24"/>
          <w:lang w:val="es-ES"/>
        </w:rPr>
      </w:pPr>
      <w:r w:rsidRPr="008E121F">
        <w:rPr>
          <w:rFonts w:eastAsia="Adobe Gothic Std B"/>
          <w:sz w:val="24"/>
          <w:szCs w:val="24"/>
          <w:lang w:val="es-ES"/>
        </w:rPr>
        <w:t>Magistrado</w:t>
      </w:r>
    </w:p>
    <w:p w:rsidR="000F3092" w:rsidRPr="008E121F" w:rsidRDefault="000F3092" w:rsidP="00A81623">
      <w:pPr>
        <w:spacing w:line="360" w:lineRule="auto"/>
        <w:jc w:val="center"/>
        <w:rPr>
          <w:rFonts w:eastAsia="Adobe Gothic Std B"/>
          <w:sz w:val="24"/>
          <w:szCs w:val="24"/>
          <w:lang w:val="es-ES"/>
        </w:rPr>
      </w:pPr>
    </w:p>
    <w:p w:rsidR="00030498" w:rsidRPr="008E121F" w:rsidRDefault="00030498" w:rsidP="00A81623">
      <w:pPr>
        <w:spacing w:line="360" w:lineRule="auto"/>
        <w:jc w:val="center"/>
        <w:rPr>
          <w:rFonts w:eastAsia="Adobe Gothic Std B"/>
          <w:sz w:val="24"/>
          <w:szCs w:val="24"/>
          <w:lang w:val="es-ES"/>
        </w:rPr>
      </w:pPr>
    </w:p>
    <w:p w:rsidR="0088022D" w:rsidRPr="008E121F" w:rsidRDefault="0088022D" w:rsidP="00A81623">
      <w:pPr>
        <w:spacing w:line="360" w:lineRule="auto"/>
        <w:jc w:val="center"/>
        <w:rPr>
          <w:rFonts w:eastAsia="Adobe Gothic Std B"/>
          <w:sz w:val="24"/>
          <w:szCs w:val="24"/>
          <w:lang w:val="es-ES"/>
        </w:rPr>
      </w:pPr>
    </w:p>
    <w:p w:rsidR="006610F0" w:rsidRPr="008E121F" w:rsidRDefault="006610F0" w:rsidP="00A81623">
      <w:pPr>
        <w:spacing w:line="360" w:lineRule="auto"/>
        <w:jc w:val="center"/>
        <w:rPr>
          <w:rFonts w:eastAsia="Adobe Gothic Std B"/>
          <w:sz w:val="24"/>
          <w:szCs w:val="24"/>
          <w:lang w:val="es-ES"/>
        </w:rPr>
      </w:pPr>
      <w:r w:rsidRPr="008E121F">
        <w:rPr>
          <w:rFonts w:eastAsia="Adobe Gothic Std B"/>
          <w:sz w:val="24"/>
          <w:szCs w:val="24"/>
          <w:lang w:val="es-ES"/>
        </w:rPr>
        <w:t>MANUEL YARZAGARAY BANDERA</w:t>
      </w:r>
    </w:p>
    <w:p w:rsidR="000F3092" w:rsidRPr="008E121F" w:rsidRDefault="006610F0" w:rsidP="00A81623">
      <w:pPr>
        <w:spacing w:line="360" w:lineRule="auto"/>
        <w:jc w:val="center"/>
        <w:rPr>
          <w:rFonts w:eastAsia="Adobe Gothic Std B"/>
          <w:sz w:val="24"/>
          <w:szCs w:val="24"/>
          <w:lang w:val="es-ES"/>
        </w:rPr>
      </w:pPr>
      <w:r w:rsidRPr="008E121F">
        <w:rPr>
          <w:rFonts w:eastAsia="Adobe Gothic Std B"/>
          <w:sz w:val="24"/>
          <w:szCs w:val="24"/>
          <w:lang w:val="es-ES"/>
        </w:rPr>
        <w:t>Magistrado</w:t>
      </w:r>
    </w:p>
    <w:p w:rsidR="000F3092" w:rsidRPr="008E121F" w:rsidRDefault="000F3092" w:rsidP="00A81623">
      <w:pPr>
        <w:spacing w:line="360" w:lineRule="auto"/>
        <w:jc w:val="center"/>
        <w:rPr>
          <w:rFonts w:eastAsia="Adobe Gothic Std B"/>
          <w:sz w:val="24"/>
          <w:szCs w:val="24"/>
          <w:lang w:val="es-ES"/>
        </w:rPr>
      </w:pPr>
    </w:p>
    <w:p w:rsidR="0088022D" w:rsidRPr="008E121F" w:rsidRDefault="0088022D" w:rsidP="00A81623">
      <w:pPr>
        <w:spacing w:line="360" w:lineRule="auto"/>
        <w:jc w:val="center"/>
        <w:rPr>
          <w:rFonts w:eastAsia="Adobe Gothic Std B"/>
          <w:sz w:val="24"/>
          <w:szCs w:val="24"/>
          <w:lang w:val="es-ES"/>
        </w:rPr>
      </w:pPr>
    </w:p>
    <w:p w:rsidR="00030498" w:rsidRPr="008E121F" w:rsidRDefault="00030498" w:rsidP="00A81623">
      <w:pPr>
        <w:spacing w:line="360" w:lineRule="auto"/>
        <w:jc w:val="center"/>
        <w:rPr>
          <w:rFonts w:eastAsia="Adobe Gothic Std B"/>
          <w:sz w:val="24"/>
          <w:szCs w:val="24"/>
          <w:lang w:val="es-ES"/>
        </w:rPr>
      </w:pPr>
    </w:p>
    <w:p w:rsidR="006610F0" w:rsidRPr="008E121F" w:rsidRDefault="006610F0" w:rsidP="00A81623">
      <w:pPr>
        <w:spacing w:line="360" w:lineRule="auto"/>
        <w:jc w:val="center"/>
        <w:rPr>
          <w:rFonts w:eastAsia="Adobe Gothic Std B"/>
          <w:sz w:val="24"/>
          <w:szCs w:val="24"/>
          <w:lang w:val="es-ES"/>
        </w:rPr>
      </w:pPr>
      <w:r w:rsidRPr="008E121F">
        <w:rPr>
          <w:rFonts w:eastAsia="Adobe Gothic Std B"/>
          <w:sz w:val="24"/>
          <w:szCs w:val="24"/>
          <w:lang w:val="es-ES"/>
        </w:rPr>
        <w:t>JORGE ARTURO CASTAÑO DUQUE</w:t>
      </w:r>
    </w:p>
    <w:p w:rsidR="006610F0" w:rsidRPr="00171D93" w:rsidRDefault="006610F0" w:rsidP="00A81623">
      <w:pPr>
        <w:spacing w:line="360" w:lineRule="auto"/>
        <w:jc w:val="center"/>
        <w:rPr>
          <w:rFonts w:eastAsia="Adobe Gothic Std B"/>
          <w:sz w:val="24"/>
          <w:szCs w:val="24"/>
          <w:lang w:val="es-ES"/>
        </w:rPr>
      </w:pPr>
      <w:r w:rsidRPr="008E121F">
        <w:rPr>
          <w:rFonts w:eastAsia="Adobe Gothic Std B"/>
          <w:sz w:val="24"/>
          <w:szCs w:val="24"/>
          <w:lang w:val="es-ES"/>
        </w:rPr>
        <w:t>Magistrado</w:t>
      </w:r>
    </w:p>
    <w:p w:rsidR="006610F0" w:rsidRPr="00171D93" w:rsidRDefault="006610F0" w:rsidP="008138CD">
      <w:pPr>
        <w:spacing w:line="360" w:lineRule="auto"/>
        <w:jc w:val="both"/>
        <w:rPr>
          <w:rFonts w:eastAsia="Adobe Gothic Std B"/>
          <w:sz w:val="24"/>
          <w:szCs w:val="24"/>
          <w:lang w:val="es-ES"/>
        </w:rPr>
      </w:pPr>
    </w:p>
    <w:p w:rsidR="006610F0" w:rsidRPr="00171D93" w:rsidRDefault="006610F0" w:rsidP="008138CD">
      <w:pPr>
        <w:spacing w:line="360" w:lineRule="auto"/>
        <w:jc w:val="both"/>
        <w:rPr>
          <w:rFonts w:eastAsia="Adobe Gothic Std B"/>
          <w:sz w:val="24"/>
          <w:szCs w:val="24"/>
          <w:lang w:val="es-ES"/>
        </w:rPr>
      </w:pPr>
    </w:p>
    <w:sectPr w:rsidR="006610F0" w:rsidRPr="00171D93" w:rsidSect="00724277">
      <w:headerReference w:type="default" r:id="rId10"/>
      <w:footerReference w:type="default" r:id="rId11"/>
      <w:pgSz w:w="12240" w:h="18720" w:code="14"/>
      <w:pgMar w:top="1417" w:right="1701" w:bottom="141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082" w:rsidRDefault="00500082" w:rsidP="00047C58">
      <w:r>
        <w:separator/>
      </w:r>
    </w:p>
  </w:endnote>
  <w:endnote w:type="continuationSeparator" w:id="0">
    <w:p w:rsidR="00500082" w:rsidRDefault="00500082"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1023014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760760" w:rsidRPr="00030498" w:rsidRDefault="00760760">
            <w:pPr>
              <w:pStyle w:val="Piedepgina"/>
              <w:rPr>
                <w:sz w:val="20"/>
                <w:szCs w:val="20"/>
              </w:rPr>
            </w:pPr>
            <w:r w:rsidRPr="00030498">
              <w:rPr>
                <w:sz w:val="20"/>
                <w:szCs w:val="20"/>
                <w:lang w:val="es-ES"/>
              </w:rPr>
              <w:t xml:space="preserve">Página </w:t>
            </w:r>
            <w:r w:rsidRPr="00030498">
              <w:rPr>
                <w:b/>
                <w:bCs/>
                <w:sz w:val="20"/>
                <w:szCs w:val="20"/>
              </w:rPr>
              <w:fldChar w:fldCharType="begin"/>
            </w:r>
            <w:r w:rsidRPr="00030498">
              <w:rPr>
                <w:b/>
                <w:bCs/>
                <w:sz w:val="20"/>
                <w:szCs w:val="20"/>
              </w:rPr>
              <w:instrText>PAGE</w:instrText>
            </w:r>
            <w:r w:rsidRPr="00030498">
              <w:rPr>
                <w:b/>
                <w:bCs/>
                <w:sz w:val="20"/>
                <w:szCs w:val="20"/>
              </w:rPr>
              <w:fldChar w:fldCharType="separate"/>
            </w:r>
            <w:r w:rsidR="00BF4312">
              <w:rPr>
                <w:b/>
                <w:bCs/>
                <w:noProof/>
                <w:sz w:val="20"/>
                <w:szCs w:val="20"/>
              </w:rPr>
              <w:t>15</w:t>
            </w:r>
            <w:r w:rsidRPr="00030498">
              <w:rPr>
                <w:b/>
                <w:bCs/>
                <w:sz w:val="20"/>
                <w:szCs w:val="20"/>
              </w:rPr>
              <w:fldChar w:fldCharType="end"/>
            </w:r>
            <w:r w:rsidRPr="00030498">
              <w:rPr>
                <w:sz w:val="20"/>
                <w:szCs w:val="20"/>
                <w:lang w:val="es-ES"/>
              </w:rPr>
              <w:t xml:space="preserve"> de </w:t>
            </w:r>
            <w:r w:rsidRPr="00030498">
              <w:rPr>
                <w:b/>
                <w:bCs/>
                <w:sz w:val="20"/>
                <w:szCs w:val="20"/>
              </w:rPr>
              <w:fldChar w:fldCharType="begin"/>
            </w:r>
            <w:r w:rsidRPr="00030498">
              <w:rPr>
                <w:b/>
                <w:bCs/>
                <w:sz w:val="20"/>
                <w:szCs w:val="20"/>
              </w:rPr>
              <w:instrText>NUMPAGES</w:instrText>
            </w:r>
            <w:r w:rsidRPr="00030498">
              <w:rPr>
                <w:b/>
                <w:bCs/>
                <w:sz w:val="20"/>
                <w:szCs w:val="20"/>
              </w:rPr>
              <w:fldChar w:fldCharType="separate"/>
            </w:r>
            <w:r w:rsidR="00BF4312">
              <w:rPr>
                <w:b/>
                <w:bCs/>
                <w:noProof/>
                <w:sz w:val="20"/>
                <w:szCs w:val="20"/>
              </w:rPr>
              <w:t>15</w:t>
            </w:r>
            <w:r w:rsidRPr="00030498">
              <w:rPr>
                <w:b/>
                <w:bCs/>
                <w:sz w:val="20"/>
                <w:szCs w:val="20"/>
              </w:rPr>
              <w:fldChar w:fldCharType="end"/>
            </w:r>
          </w:p>
        </w:sdtContent>
      </w:sdt>
    </w:sdtContent>
  </w:sdt>
  <w:p w:rsidR="00760760" w:rsidRDefault="00760760">
    <w:pPr>
      <w:pStyle w:val="Style2"/>
      <w:widowControl/>
      <w:ind w:right="58"/>
      <w:jc w:val="right"/>
      <w:rPr>
        <w:rStyle w:val="FontStyle12"/>
        <w:lang w:val="es-ES_tradnl" w:eastAsia="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082" w:rsidRDefault="00500082" w:rsidP="00047C58">
      <w:r>
        <w:separator/>
      </w:r>
    </w:p>
  </w:footnote>
  <w:footnote w:type="continuationSeparator" w:id="0">
    <w:p w:rsidR="00500082" w:rsidRDefault="00500082" w:rsidP="00047C58">
      <w:r>
        <w:continuationSeparator/>
      </w:r>
    </w:p>
  </w:footnote>
  <w:footnote w:id="1">
    <w:p w:rsidR="00A0480C" w:rsidRPr="000C649D" w:rsidRDefault="00A0480C" w:rsidP="00A0480C">
      <w:pPr>
        <w:pStyle w:val="Textonotapie"/>
        <w:jc w:val="both"/>
        <w:rPr>
          <w:rFonts w:ascii="Arial" w:hAnsi="Arial" w:cs="Arial"/>
          <w:sz w:val="18"/>
          <w:szCs w:val="18"/>
        </w:rPr>
      </w:pPr>
      <w:r w:rsidRPr="000C649D">
        <w:rPr>
          <w:rStyle w:val="Refdenotaalpie"/>
          <w:rFonts w:ascii="Arial" w:hAnsi="Arial" w:cs="Arial"/>
          <w:sz w:val="18"/>
          <w:szCs w:val="18"/>
        </w:rPr>
        <w:footnoteRef/>
      </w:r>
      <w:r w:rsidRPr="000C649D">
        <w:rPr>
          <w:rFonts w:ascii="Arial" w:hAnsi="Arial" w:cs="Arial"/>
          <w:sz w:val="18"/>
          <w:szCs w:val="18"/>
        </w:rPr>
        <w:t xml:space="preserve"> C. Principal Folio 47 </w:t>
      </w:r>
    </w:p>
  </w:footnote>
  <w:footnote w:id="2">
    <w:p w:rsidR="00760760" w:rsidRPr="00984719" w:rsidRDefault="00760760">
      <w:pPr>
        <w:pStyle w:val="Textonotapie"/>
        <w:rPr>
          <w:rFonts w:ascii="Arial" w:hAnsi="Arial" w:cs="Arial"/>
          <w:sz w:val="18"/>
          <w:szCs w:val="18"/>
        </w:rPr>
      </w:pPr>
      <w:r w:rsidRPr="00984719">
        <w:rPr>
          <w:rStyle w:val="Refdenotaalpie"/>
          <w:rFonts w:ascii="Arial" w:hAnsi="Arial" w:cs="Arial"/>
          <w:sz w:val="18"/>
          <w:szCs w:val="18"/>
        </w:rPr>
        <w:footnoteRef/>
      </w:r>
      <w:r>
        <w:rPr>
          <w:rFonts w:ascii="Arial" w:hAnsi="Arial" w:cs="Arial"/>
          <w:sz w:val="18"/>
          <w:szCs w:val="18"/>
        </w:rPr>
        <w:t xml:space="preserve"> Folio 51 del cuaderno de conocimiento.</w:t>
      </w:r>
    </w:p>
  </w:footnote>
  <w:footnote w:id="3">
    <w:p w:rsidR="00760760" w:rsidRPr="00030498" w:rsidRDefault="00760760">
      <w:pPr>
        <w:pStyle w:val="Textonotapie"/>
        <w:rPr>
          <w:rFonts w:ascii="Arial" w:hAnsi="Arial" w:cs="Arial"/>
          <w:sz w:val="16"/>
          <w:szCs w:val="16"/>
        </w:rPr>
      </w:pPr>
      <w:r w:rsidRPr="00030498">
        <w:rPr>
          <w:rStyle w:val="Refdenotaalpie"/>
          <w:rFonts w:ascii="Arial" w:hAnsi="Arial" w:cs="Arial"/>
          <w:sz w:val="16"/>
          <w:szCs w:val="16"/>
        </w:rPr>
        <w:footnoteRef/>
      </w:r>
      <w:r w:rsidRPr="00030498">
        <w:rPr>
          <w:rFonts w:ascii="Arial" w:hAnsi="Arial" w:cs="Arial"/>
          <w:sz w:val="16"/>
          <w:szCs w:val="16"/>
        </w:rPr>
        <w:t xml:space="preserve"> </w:t>
      </w:r>
      <w:r>
        <w:rPr>
          <w:rFonts w:ascii="Arial" w:hAnsi="Arial" w:cs="Arial"/>
          <w:sz w:val="18"/>
          <w:szCs w:val="18"/>
        </w:rPr>
        <w:t>Folio 46 del cuaderno de conocimiento.</w:t>
      </w:r>
    </w:p>
  </w:footnote>
  <w:footnote w:id="4">
    <w:p w:rsidR="00760760" w:rsidRPr="000C6928" w:rsidRDefault="00760760" w:rsidP="000C6928">
      <w:pPr>
        <w:pStyle w:val="Textonotapie"/>
        <w:rPr>
          <w:rFonts w:ascii="Arial" w:hAnsi="Arial" w:cs="Arial"/>
          <w:sz w:val="18"/>
          <w:szCs w:val="18"/>
        </w:rPr>
      </w:pPr>
      <w:r w:rsidRPr="000C6928">
        <w:rPr>
          <w:rStyle w:val="Refdenotaalpie"/>
          <w:rFonts w:ascii="Arial" w:hAnsi="Arial" w:cs="Arial"/>
          <w:sz w:val="18"/>
          <w:szCs w:val="18"/>
        </w:rPr>
        <w:footnoteRef/>
      </w:r>
      <w:r w:rsidRPr="000C6928">
        <w:rPr>
          <w:rFonts w:ascii="Arial" w:hAnsi="Arial" w:cs="Arial"/>
          <w:sz w:val="18"/>
          <w:szCs w:val="18"/>
        </w:rPr>
        <w:t xml:space="preserve"> Sala de Casación Penal, Corte Suprema de Justicia. Rad. 37671. SP2196-2015 del 04 de marzo de 2015.</w:t>
      </w:r>
    </w:p>
  </w:footnote>
  <w:footnote w:id="5">
    <w:p w:rsidR="00760760" w:rsidRDefault="00760760">
      <w:pPr>
        <w:pStyle w:val="Textonotapie"/>
      </w:pPr>
      <w:r>
        <w:rPr>
          <w:rStyle w:val="Refdenotaalpie"/>
        </w:rPr>
        <w:footnoteRef/>
      </w:r>
      <w:r>
        <w:t xml:space="preserve"> </w:t>
      </w:r>
      <w:r w:rsidRPr="00A461E1">
        <w:rPr>
          <w:rFonts w:ascii="Arial" w:hAnsi="Arial" w:cs="Arial"/>
          <w:sz w:val="18"/>
          <w:szCs w:val="18"/>
        </w:rPr>
        <w:t xml:space="preserve">Sala de Casación Penal, Corte Suprema de Justicia. Rad. </w:t>
      </w:r>
      <w:r>
        <w:rPr>
          <w:rFonts w:ascii="Arial" w:hAnsi="Arial" w:cs="Arial"/>
          <w:sz w:val="18"/>
          <w:szCs w:val="18"/>
        </w:rPr>
        <w:t>47032</w:t>
      </w:r>
      <w:r w:rsidRPr="00A461E1">
        <w:rPr>
          <w:rFonts w:ascii="Arial" w:hAnsi="Arial" w:cs="Arial"/>
          <w:sz w:val="18"/>
          <w:szCs w:val="18"/>
        </w:rPr>
        <w:t>. SP</w:t>
      </w:r>
      <w:r>
        <w:rPr>
          <w:rFonts w:ascii="Arial" w:hAnsi="Arial" w:cs="Arial"/>
          <w:sz w:val="18"/>
          <w:szCs w:val="18"/>
        </w:rPr>
        <w:t>6558-2016</w:t>
      </w:r>
      <w:r w:rsidRPr="00A461E1">
        <w:rPr>
          <w:rFonts w:ascii="Arial" w:hAnsi="Arial" w:cs="Arial"/>
          <w:sz w:val="18"/>
          <w:szCs w:val="18"/>
        </w:rPr>
        <w:t xml:space="preserve"> del </w:t>
      </w:r>
      <w:r>
        <w:rPr>
          <w:rFonts w:ascii="Arial" w:hAnsi="Arial" w:cs="Arial"/>
          <w:sz w:val="18"/>
          <w:szCs w:val="18"/>
        </w:rPr>
        <w:t>18</w:t>
      </w:r>
      <w:r w:rsidRPr="00A461E1">
        <w:rPr>
          <w:rFonts w:ascii="Arial" w:hAnsi="Arial" w:cs="Arial"/>
          <w:sz w:val="18"/>
          <w:szCs w:val="18"/>
        </w:rPr>
        <w:t xml:space="preserve"> de </w:t>
      </w:r>
      <w:r>
        <w:rPr>
          <w:rFonts w:ascii="Arial" w:hAnsi="Arial" w:cs="Arial"/>
          <w:sz w:val="18"/>
          <w:szCs w:val="18"/>
        </w:rPr>
        <w:t>mayo de 2016</w:t>
      </w:r>
      <w:r w:rsidRPr="00A461E1">
        <w:rPr>
          <w:rFonts w:ascii="Arial" w:hAnsi="Arial" w:cs="Arial"/>
          <w:sz w:val="18"/>
          <w:szCs w:val="18"/>
        </w:rPr>
        <w:t>.</w:t>
      </w:r>
    </w:p>
  </w:footnote>
  <w:footnote w:id="6">
    <w:p w:rsidR="00760760" w:rsidRPr="00A461E1" w:rsidRDefault="00760760">
      <w:pPr>
        <w:pStyle w:val="Textonotapie"/>
        <w:rPr>
          <w:rFonts w:ascii="Arial" w:hAnsi="Arial" w:cs="Arial"/>
          <w:sz w:val="18"/>
          <w:szCs w:val="18"/>
        </w:rPr>
      </w:pPr>
      <w:r w:rsidRPr="00A461E1">
        <w:rPr>
          <w:rStyle w:val="Refdenotaalpie"/>
          <w:rFonts w:ascii="Arial" w:hAnsi="Arial" w:cs="Arial"/>
          <w:sz w:val="18"/>
          <w:szCs w:val="18"/>
        </w:rPr>
        <w:footnoteRef/>
      </w:r>
      <w:r w:rsidRPr="00A461E1">
        <w:rPr>
          <w:rFonts w:ascii="Arial" w:hAnsi="Arial" w:cs="Arial"/>
          <w:sz w:val="18"/>
          <w:szCs w:val="18"/>
        </w:rPr>
        <w:t xml:space="preserve"> Sala de Casación Penal, Corte Suprema de Justicia. Rad. 47143. SP2395-2017 del 22 de febrero de 2017.</w:t>
      </w:r>
    </w:p>
  </w:footnote>
  <w:footnote w:id="7">
    <w:p w:rsidR="00AD6527" w:rsidRPr="001E5B3F" w:rsidRDefault="00AD6527">
      <w:pPr>
        <w:pStyle w:val="Textonotapie"/>
        <w:rPr>
          <w:rFonts w:ascii="Arial" w:hAnsi="Arial" w:cs="Arial"/>
          <w:sz w:val="18"/>
          <w:szCs w:val="18"/>
        </w:rPr>
      </w:pPr>
      <w:r w:rsidRPr="001E5B3F">
        <w:rPr>
          <w:rStyle w:val="Refdenotaalpie"/>
          <w:rFonts w:ascii="Arial" w:hAnsi="Arial" w:cs="Arial"/>
          <w:sz w:val="18"/>
          <w:szCs w:val="18"/>
        </w:rPr>
        <w:footnoteRef/>
      </w:r>
      <w:r w:rsidRPr="001E5B3F">
        <w:rPr>
          <w:rFonts w:ascii="Arial" w:hAnsi="Arial" w:cs="Arial"/>
          <w:sz w:val="18"/>
          <w:szCs w:val="18"/>
        </w:rPr>
        <w:t xml:space="preserve"> Se advierte que en el escrito de acusación se había hecho referencia a la </w:t>
      </w:r>
      <w:r w:rsidR="0070320D">
        <w:rPr>
          <w:rFonts w:ascii="Arial" w:hAnsi="Arial" w:cs="Arial"/>
          <w:sz w:val="18"/>
          <w:szCs w:val="18"/>
        </w:rPr>
        <w:t>causal de agravación 3 del artículo 104 del C.P., esto es, valiéndose de actividad de inimputable.</w:t>
      </w:r>
    </w:p>
  </w:footnote>
  <w:footnote w:id="8">
    <w:p w:rsidR="00760760" w:rsidRPr="000C649D" w:rsidRDefault="00760760" w:rsidP="000C649D">
      <w:pPr>
        <w:pStyle w:val="Textonotapie"/>
        <w:jc w:val="both"/>
        <w:rPr>
          <w:rFonts w:ascii="Arial" w:hAnsi="Arial" w:cs="Arial"/>
          <w:sz w:val="18"/>
          <w:szCs w:val="18"/>
        </w:rPr>
      </w:pPr>
      <w:r w:rsidRPr="000C649D">
        <w:rPr>
          <w:rStyle w:val="Refdenotaalpie"/>
          <w:rFonts w:ascii="Arial" w:hAnsi="Arial" w:cs="Arial"/>
          <w:sz w:val="18"/>
          <w:szCs w:val="18"/>
        </w:rPr>
        <w:footnoteRef/>
      </w:r>
      <w:r w:rsidRPr="000C649D">
        <w:rPr>
          <w:rFonts w:ascii="Arial" w:hAnsi="Arial" w:cs="Arial"/>
          <w:sz w:val="18"/>
          <w:szCs w:val="18"/>
        </w:rPr>
        <w:t xml:space="preserve"> C. Principal Folios 37 a 44</w:t>
      </w:r>
    </w:p>
  </w:footnote>
  <w:footnote w:id="9">
    <w:p w:rsidR="00760760" w:rsidRPr="000C649D" w:rsidRDefault="00760760" w:rsidP="000C649D">
      <w:pPr>
        <w:pStyle w:val="Textonotapie"/>
        <w:jc w:val="both"/>
        <w:rPr>
          <w:rFonts w:ascii="Arial" w:hAnsi="Arial" w:cs="Arial"/>
          <w:sz w:val="18"/>
          <w:szCs w:val="18"/>
        </w:rPr>
      </w:pPr>
      <w:r w:rsidRPr="000C649D">
        <w:rPr>
          <w:rStyle w:val="Refdenotaalpie"/>
          <w:rFonts w:ascii="Arial" w:hAnsi="Arial" w:cs="Arial"/>
          <w:sz w:val="18"/>
          <w:szCs w:val="18"/>
        </w:rPr>
        <w:footnoteRef/>
      </w:r>
      <w:r w:rsidRPr="000C649D">
        <w:rPr>
          <w:rFonts w:ascii="Arial" w:hAnsi="Arial" w:cs="Arial"/>
          <w:sz w:val="18"/>
          <w:szCs w:val="18"/>
        </w:rPr>
        <w:t xml:space="preserve"> C. Principal Folio 47 </w:t>
      </w:r>
    </w:p>
  </w:footnote>
  <w:footnote w:id="10">
    <w:p w:rsidR="006F4F5E" w:rsidRDefault="006F4F5E" w:rsidP="000C649D">
      <w:pPr>
        <w:pStyle w:val="Textonotapie"/>
        <w:jc w:val="both"/>
      </w:pPr>
      <w:r w:rsidRPr="000C649D">
        <w:rPr>
          <w:rStyle w:val="Refdenotaalpie"/>
          <w:rFonts w:ascii="Arial" w:hAnsi="Arial" w:cs="Arial"/>
          <w:sz w:val="18"/>
          <w:szCs w:val="18"/>
        </w:rPr>
        <w:footnoteRef/>
      </w:r>
      <w:r w:rsidRPr="000C649D">
        <w:rPr>
          <w:rFonts w:ascii="Arial" w:hAnsi="Arial" w:cs="Arial"/>
          <w:sz w:val="18"/>
          <w:szCs w:val="18"/>
        </w:rPr>
        <w:t xml:space="preserve"> C Principal Folio 50</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60" w:rsidRDefault="00760760" w:rsidP="00D2247B">
    <w:pPr>
      <w:pStyle w:val="Encabezado"/>
      <w:jc w:val="right"/>
      <w:rPr>
        <w:sz w:val="16"/>
        <w:szCs w:val="16"/>
      </w:rPr>
    </w:pPr>
    <w:r>
      <w:rPr>
        <w:sz w:val="16"/>
        <w:szCs w:val="16"/>
      </w:rPr>
      <w:t>Radicado</w:t>
    </w:r>
    <w:r w:rsidRPr="00D2247B">
      <w:rPr>
        <w:sz w:val="16"/>
        <w:szCs w:val="16"/>
      </w:rPr>
      <w:t>:</w:t>
    </w:r>
    <w:r>
      <w:rPr>
        <w:sz w:val="16"/>
        <w:szCs w:val="16"/>
      </w:rPr>
      <w:t xml:space="preserve"> 660012204000201800067</w:t>
    </w:r>
  </w:p>
  <w:p w:rsidR="00760760" w:rsidRDefault="00760760" w:rsidP="00D2247B">
    <w:pPr>
      <w:pStyle w:val="Encabezado"/>
      <w:jc w:val="right"/>
      <w:rPr>
        <w:sz w:val="16"/>
        <w:szCs w:val="16"/>
      </w:rPr>
    </w:pPr>
    <w:r>
      <w:rPr>
        <w:sz w:val="16"/>
        <w:szCs w:val="16"/>
      </w:rPr>
      <w:t>Accionante: Richard Hernando Hincapié Giraldo</w:t>
    </w:r>
  </w:p>
  <w:p w:rsidR="00760760" w:rsidRDefault="00760760" w:rsidP="00D2247B">
    <w:pPr>
      <w:pStyle w:val="Encabezado"/>
      <w:jc w:val="right"/>
      <w:rPr>
        <w:sz w:val="16"/>
        <w:szCs w:val="16"/>
      </w:rPr>
    </w:pPr>
    <w:r>
      <w:rPr>
        <w:sz w:val="16"/>
        <w:szCs w:val="16"/>
      </w:rPr>
      <w:t>Accionado: Juzgado Cuarto Penal del Circuito de Pereira</w:t>
    </w:r>
  </w:p>
  <w:p w:rsidR="00760760" w:rsidRDefault="00760760" w:rsidP="00D2247B">
    <w:pPr>
      <w:pStyle w:val="Encabezado"/>
      <w:jc w:val="right"/>
      <w:rPr>
        <w:sz w:val="16"/>
        <w:szCs w:val="16"/>
      </w:rPr>
    </w:pPr>
    <w:r>
      <w:rPr>
        <w:sz w:val="16"/>
        <w:szCs w:val="16"/>
      </w:rPr>
      <w:t>Asunto: Declara fundada causal de revisión</w:t>
    </w:r>
  </w:p>
  <w:p w:rsidR="00760760" w:rsidRPr="00D2247B" w:rsidRDefault="00760760" w:rsidP="00D2247B">
    <w:pPr>
      <w:pStyle w:val="Encabezad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4F509F"/>
    <w:multiLevelType w:val="hybridMultilevel"/>
    <w:tmpl w:val="4644FD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B54278F"/>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7">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1">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3">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8232DE1"/>
    <w:multiLevelType w:val="hybridMultilevel"/>
    <w:tmpl w:val="9C7238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21"/>
  </w:num>
  <w:num w:numId="4">
    <w:abstractNumId w:val="14"/>
  </w:num>
  <w:num w:numId="5">
    <w:abstractNumId w:val="19"/>
  </w:num>
  <w:num w:numId="6">
    <w:abstractNumId w:val="9"/>
  </w:num>
  <w:num w:numId="7">
    <w:abstractNumId w:val="15"/>
  </w:num>
  <w:num w:numId="8">
    <w:abstractNumId w:val="4"/>
  </w:num>
  <w:num w:numId="9">
    <w:abstractNumId w:val="23"/>
  </w:num>
  <w:num w:numId="10">
    <w:abstractNumId w:val="2"/>
  </w:num>
  <w:num w:numId="11">
    <w:abstractNumId w:val="18"/>
    <w:lvlOverride w:ilvl="0">
      <w:startOverride w:val="1"/>
    </w:lvlOverride>
  </w:num>
  <w:num w:numId="12">
    <w:abstractNumId w:val="18"/>
    <w:lvlOverride w:ilvl="0">
      <w:startOverride w:val="2"/>
    </w:lvlOverride>
  </w:num>
  <w:num w:numId="13">
    <w:abstractNumId w:val="18"/>
    <w:lvlOverride w:ilvl="0">
      <w:startOverride w:val="3"/>
    </w:lvlOverride>
  </w:num>
  <w:num w:numId="14">
    <w:abstractNumId w:val="17"/>
  </w:num>
  <w:num w:numId="15">
    <w:abstractNumId w:val="0"/>
  </w:num>
  <w:num w:numId="16">
    <w:abstractNumId w:val="8"/>
  </w:num>
  <w:num w:numId="17">
    <w:abstractNumId w:val="5"/>
  </w:num>
  <w:num w:numId="18">
    <w:abstractNumId w:val="7"/>
  </w:num>
  <w:num w:numId="19">
    <w:abstractNumId w:val="12"/>
  </w:num>
  <w:num w:numId="20">
    <w:abstractNumId w:val="6"/>
  </w:num>
  <w:num w:numId="21">
    <w:abstractNumId w:val="22"/>
  </w:num>
  <w:num w:numId="22">
    <w:abstractNumId w:val="20"/>
  </w:num>
  <w:num w:numId="23">
    <w:abstractNumId w:val="11"/>
  </w:num>
  <w:num w:numId="24">
    <w:abstractNumId w:val="13"/>
  </w:num>
  <w:num w:numId="25">
    <w:abstractNumId w:val="16"/>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E1"/>
    <w:rsid w:val="00005078"/>
    <w:rsid w:val="00005266"/>
    <w:rsid w:val="00011167"/>
    <w:rsid w:val="000134A3"/>
    <w:rsid w:val="00014D8B"/>
    <w:rsid w:val="000165B0"/>
    <w:rsid w:val="000220AE"/>
    <w:rsid w:val="000236A0"/>
    <w:rsid w:val="0002576F"/>
    <w:rsid w:val="00025843"/>
    <w:rsid w:val="000261C3"/>
    <w:rsid w:val="00027D3A"/>
    <w:rsid w:val="00030498"/>
    <w:rsid w:val="000324C1"/>
    <w:rsid w:val="00033D2D"/>
    <w:rsid w:val="00036073"/>
    <w:rsid w:val="00044812"/>
    <w:rsid w:val="00045E53"/>
    <w:rsid w:val="000466AF"/>
    <w:rsid w:val="00047C58"/>
    <w:rsid w:val="000532EE"/>
    <w:rsid w:val="00056D81"/>
    <w:rsid w:val="00071ABF"/>
    <w:rsid w:val="00071C2B"/>
    <w:rsid w:val="0007281F"/>
    <w:rsid w:val="00083568"/>
    <w:rsid w:val="00084912"/>
    <w:rsid w:val="00086DCF"/>
    <w:rsid w:val="00086F2B"/>
    <w:rsid w:val="000911AD"/>
    <w:rsid w:val="000966FE"/>
    <w:rsid w:val="000A4094"/>
    <w:rsid w:val="000A4169"/>
    <w:rsid w:val="000B2B08"/>
    <w:rsid w:val="000B4C22"/>
    <w:rsid w:val="000C613C"/>
    <w:rsid w:val="000C649D"/>
    <w:rsid w:val="000C6928"/>
    <w:rsid w:val="000D08FF"/>
    <w:rsid w:val="000D3D94"/>
    <w:rsid w:val="000D5EA1"/>
    <w:rsid w:val="000D6A66"/>
    <w:rsid w:val="000E4389"/>
    <w:rsid w:val="000F27E2"/>
    <w:rsid w:val="000F3092"/>
    <w:rsid w:val="000F5070"/>
    <w:rsid w:val="00106811"/>
    <w:rsid w:val="00106FCA"/>
    <w:rsid w:val="00110179"/>
    <w:rsid w:val="0011041E"/>
    <w:rsid w:val="00120860"/>
    <w:rsid w:val="00122034"/>
    <w:rsid w:val="001232B3"/>
    <w:rsid w:val="00130A5F"/>
    <w:rsid w:val="00131C61"/>
    <w:rsid w:val="00142488"/>
    <w:rsid w:val="0015091B"/>
    <w:rsid w:val="00155FAA"/>
    <w:rsid w:val="00171D93"/>
    <w:rsid w:val="00172B6C"/>
    <w:rsid w:val="001776BB"/>
    <w:rsid w:val="001876AA"/>
    <w:rsid w:val="00195D11"/>
    <w:rsid w:val="001A7738"/>
    <w:rsid w:val="001B02A6"/>
    <w:rsid w:val="001B0AE6"/>
    <w:rsid w:val="001B56A6"/>
    <w:rsid w:val="001B5A41"/>
    <w:rsid w:val="001C15C9"/>
    <w:rsid w:val="001C2462"/>
    <w:rsid w:val="001C2807"/>
    <w:rsid w:val="001C2A57"/>
    <w:rsid w:val="001C4823"/>
    <w:rsid w:val="001C5342"/>
    <w:rsid w:val="001C7239"/>
    <w:rsid w:val="001D0473"/>
    <w:rsid w:val="001E1D67"/>
    <w:rsid w:val="001E20FD"/>
    <w:rsid w:val="001E29D5"/>
    <w:rsid w:val="001E2E43"/>
    <w:rsid w:val="001E41D9"/>
    <w:rsid w:val="001E5B3F"/>
    <w:rsid w:val="001F12B6"/>
    <w:rsid w:val="001F65A4"/>
    <w:rsid w:val="00211704"/>
    <w:rsid w:val="00212557"/>
    <w:rsid w:val="002128BD"/>
    <w:rsid w:val="00215741"/>
    <w:rsid w:val="00225974"/>
    <w:rsid w:val="00236AC1"/>
    <w:rsid w:val="00240855"/>
    <w:rsid w:val="00240980"/>
    <w:rsid w:val="002551AD"/>
    <w:rsid w:val="0026031D"/>
    <w:rsid w:val="00264BD6"/>
    <w:rsid w:val="00267CEE"/>
    <w:rsid w:val="00272218"/>
    <w:rsid w:val="00274680"/>
    <w:rsid w:val="0027471A"/>
    <w:rsid w:val="00277899"/>
    <w:rsid w:val="00292E44"/>
    <w:rsid w:val="00294DA4"/>
    <w:rsid w:val="00297057"/>
    <w:rsid w:val="002A6CA0"/>
    <w:rsid w:val="002B64A4"/>
    <w:rsid w:val="002C0B23"/>
    <w:rsid w:val="002C3671"/>
    <w:rsid w:val="002C5844"/>
    <w:rsid w:val="002C7BD3"/>
    <w:rsid w:val="002D0150"/>
    <w:rsid w:val="002D6F31"/>
    <w:rsid w:val="002E3C67"/>
    <w:rsid w:val="002E6655"/>
    <w:rsid w:val="002E698D"/>
    <w:rsid w:val="002F4234"/>
    <w:rsid w:val="003017A2"/>
    <w:rsid w:val="003105D6"/>
    <w:rsid w:val="00320DE5"/>
    <w:rsid w:val="00323DC3"/>
    <w:rsid w:val="00326BB3"/>
    <w:rsid w:val="003312B6"/>
    <w:rsid w:val="00346A17"/>
    <w:rsid w:val="003478B5"/>
    <w:rsid w:val="00352C94"/>
    <w:rsid w:val="00360A1F"/>
    <w:rsid w:val="00360AC5"/>
    <w:rsid w:val="00372690"/>
    <w:rsid w:val="00375439"/>
    <w:rsid w:val="00386628"/>
    <w:rsid w:val="003867F2"/>
    <w:rsid w:val="0038723D"/>
    <w:rsid w:val="00393C97"/>
    <w:rsid w:val="003961BB"/>
    <w:rsid w:val="003A36EF"/>
    <w:rsid w:val="003A46F9"/>
    <w:rsid w:val="003A7918"/>
    <w:rsid w:val="003A7BA6"/>
    <w:rsid w:val="003B41F2"/>
    <w:rsid w:val="003B5BA0"/>
    <w:rsid w:val="003B75C8"/>
    <w:rsid w:val="003B7D6E"/>
    <w:rsid w:val="003E06BF"/>
    <w:rsid w:val="003F271F"/>
    <w:rsid w:val="003F287F"/>
    <w:rsid w:val="003F4333"/>
    <w:rsid w:val="004051F4"/>
    <w:rsid w:val="0041558F"/>
    <w:rsid w:val="00422862"/>
    <w:rsid w:val="00427A3F"/>
    <w:rsid w:val="0043118F"/>
    <w:rsid w:val="004321CF"/>
    <w:rsid w:val="00432BF8"/>
    <w:rsid w:val="00435F7F"/>
    <w:rsid w:val="00442185"/>
    <w:rsid w:val="00444F32"/>
    <w:rsid w:val="00460B45"/>
    <w:rsid w:val="00461AAD"/>
    <w:rsid w:val="00496DC4"/>
    <w:rsid w:val="004971C7"/>
    <w:rsid w:val="004A0285"/>
    <w:rsid w:val="004A4D17"/>
    <w:rsid w:val="004B1AE1"/>
    <w:rsid w:val="004B544A"/>
    <w:rsid w:val="004C0709"/>
    <w:rsid w:val="004C6C7A"/>
    <w:rsid w:val="004D01FF"/>
    <w:rsid w:val="004D3F3B"/>
    <w:rsid w:val="004D6DE5"/>
    <w:rsid w:val="004F3564"/>
    <w:rsid w:val="00500082"/>
    <w:rsid w:val="00502261"/>
    <w:rsid w:val="005042DC"/>
    <w:rsid w:val="00506BBE"/>
    <w:rsid w:val="00542F4B"/>
    <w:rsid w:val="00551250"/>
    <w:rsid w:val="00567D50"/>
    <w:rsid w:val="00581C00"/>
    <w:rsid w:val="005914C9"/>
    <w:rsid w:val="005919DA"/>
    <w:rsid w:val="0059360F"/>
    <w:rsid w:val="00593BAD"/>
    <w:rsid w:val="005A461A"/>
    <w:rsid w:val="005B320F"/>
    <w:rsid w:val="005B3446"/>
    <w:rsid w:val="005C12CC"/>
    <w:rsid w:val="005C39BC"/>
    <w:rsid w:val="005C733B"/>
    <w:rsid w:val="005D0CBF"/>
    <w:rsid w:val="005E1C49"/>
    <w:rsid w:val="005E1DAF"/>
    <w:rsid w:val="005E30CE"/>
    <w:rsid w:val="005E4527"/>
    <w:rsid w:val="005E454B"/>
    <w:rsid w:val="005E575D"/>
    <w:rsid w:val="005E6B95"/>
    <w:rsid w:val="005E7D43"/>
    <w:rsid w:val="005F0D49"/>
    <w:rsid w:val="0060108C"/>
    <w:rsid w:val="00601139"/>
    <w:rsid w:val="0061376D"/>
    <w:rsid w:val="006158C1"/>
    <w:rsid w:val="00623C0A"/>
    <w:rsid w:val="00642064"/>
    <w:rsid w:val="00646A19"/>
    <w:rsid w:val="00646BCF"/>
    <w:rsid w:val="00656D4A"/>
    <w:rsid w:val="006610F0"/>
    <w:rsid w:val="0066236F"/>
    <w:rsid w:val="006635D6"/>
    <w:rsid w:val="00671048"/>
    <w:rsid w:val="00672360"/>
    <w:rsid w:val="00686E08"/>
    <w:rsid w:val="00695E4B"/>
    <w:rsid w:val="006B0635"/>
    <w:rsid w:val="006B7F55"/>
    <w:rsid w:val="006C0428"/>
    <w:rsid w:val="006D1062"/>
    <w:rsid w:val="006D244D"/>
    <w:rsid w:val="006E1D59"/>
    <w:rsid w:val="006E4EEB"/>
    <w:rsid w:val="006F1677"/>
    <w:rsid w:val="006F3269"/>
    <w:rsid w:val="006F3D25"/>
    <w:rsid w:val="006F4F5E"/>
    <w:rsid w:val="006F502F"/>
    <w:rsid w:val="0070075F"/>
    <w:rsid w:val="0070320D"/>
    <w:rsid w:val="00711B86"/>
    <w:rsid w:val="0072357E"/>
    <w:rsid w:val="00724277"/>
    <w:rsid w:val="00734387"/>
    <w:rsid w:val="00734684"/>
    <w:rsid w:val="00742D85"/>
    <w:rsid w:val="007470D3"/>
    <w:rsid w:val="00755FB9"/>
    <w:rsid w:val="00760760"/>
    <w:rsid w:val="00764156"/>
    <w:rsid w:val="007642E3"/>
    <w:rsid w:val="007805BC"/>
    <w:rsid w:val="00781177"/>
    <w:rsid w:val="00791EB6"/>
    <w:rsid w:val="007951EC"/>
    <w:rsid w:val="0079549B"/>
    <w:rsid w:val="007A0A03"/>
    <w:rsid w:val="007A718A"/>
    <w:rsid w:val="007C0B45"/>
    <w:rsid w:val="007D2016"/>
    <w:rsid w:val="007D358D"/>
    <w:rsid w:val="007D3E10"/>
    <w:rsid w:val="007D795E"/>
    <w:rsid w:val="007D7E55"/>
    <w:rsid w:val="007E3405"/>
    <w:rsid w:val="007E7A94"/>
    <w:rsid w:val="007F037B"/>
    <w:rsid w:val="008038FB"/>
    <w:rsid w:val="00804A9B"/>
    <w:rsid w:val="00811902"/>
    <w:rsid w:val="008119E7"/>
    <w:rsid w:val="008138CD"/>
    <w:rsid w:val="008217FA"/>
    <w:rsid w:val="0082237C"/>
    <w:rsid w:val="00823639"/>
    <w:rsid w:val="008300CB"/>
    <w:rsid w:val="00830EA5"/>
    <w:rsid w:val="00831FE6"/>
    <w:rsid w:val="00834144"/>
    <w:rsid w:val="00837E39"/>
    <w:rsid w:val="00855450"/>
    <w:rsid w:val="00856CA8"/>
    <w:rsid w:val="0086186E"/>
    <w:rsid w:val="00863AFF"/>
    <w:rsid w:val="00864522"/>
    <w:rsid w:val="0087249B"/>
    <w:rsid w:val="00872C82"/>
    <w:rsid w:val="0087711B"/>
    <w:rsid w:val="0088022D"/>
    <w:rsid w:val="008868A5"/>
    <w:rsid w:val="00893669"/>
    <w:rsid w:val="008A185C"/>
    <w:rsid w:val="008C7E12"/>
    <w:rsid w:val="008D0ADF"/>
    <w:rsid w:val="008D3505"/>
    <w:rsid w:val="008D6AC6"/>
    <w:rsid w:val="008E121F"/>
    <w:rsid w:val="0090231A"/>
    <w:rsid w:val="009074B2"/>
    <w:rsid w:val="009101CE"/>
    <w:rsid w:val="0091067D"/>
    <w:rsid w:val="00910850"/>
    <w:rsid w:val="00911D4D"/>
    <w:rsid w:val="00912AB4"/>
    <w:rsid w:val="00916631"/>
    <w:rsid w:val="00923644"/>
    <w:rsid w:val="009236EB"/>
    <w:rsid w:val="009239D6"/>
    <w:rsid w:val="00930E45"/>
    <w:rsid w:val="00935AB0"/>
    <w:rsid w:val="00947D83"/>
    <w:rsid w:val="00950447"/>
    <w:rsid w:val="009536CF"/>
    <w:rsid w:val="0095743D"/>
    <w:rsid w:val="009712EF"/>
    <w:rsid w:val="0098296F"/>
    <w:rsid w:val="00984719"/>
    <w:rsid w:val="009905FF"/>
    <w:rsid w:val="009933E6"/>
    <w:rsid w:val="009971B2"/>
    <w:rsid w:val="009A560E"/>
    <w:rsid w:val="009A5AF7"/>
    <w:rsid w:val="009A70DC"/>
    <w:rsid w:val="009B0BDD"/>
    <w:rsid w:val="009B14EE"/>
    <w:rsid w:val="009C0D10"/>
    <w:rsid w:val="009C25B9"/>
    <w:rsid w:val="009C7B3B"/>
    <w:rsid w:val="009D01FB"/>
    <w:rsid w:val="009D360C"/>
    <w:rsid w:val="009D7F0A"/>
    <w:rsid w:val="009F1714"/>
    <w:rsid w:val="00A017E6"/>
    <w:rsid w:val="00A0480C"/>
    <w:rsid w:val="00A0530B"/>
    <w:rsid w:val="00A07195"/>
    <w:rsid w:val="00A11398"/>
    <w:rsid w:val="00A26D5B"/>
    <w:rsid w:val="00A276B5"/>
    <w:rsid w:val="00A27E02"/>
    <w:rsid w:val="00A44475"/>
    <w:rsid w:val="00A461E1"/>
    <w:rsid w:val="00A5321A"/>
    <w:rsid w:val="00A54D73"/>
    <w:rsid w:val="00A57DCC"/>
    <w:rsid w:val="00A6539B"/>
    <w:rsid w:val="00A66542"/>
    <w:rsid w:val="00A7595C"/>
    <w:rsid w:val="00A761EA"/>
    <w:rsid w:val="00A76F7D"/>
    <w:rsid w:val="00A81623"/>
    <w:rsid w:val="00A81A0A"/>
    <w:rsid w:val="00A86055"/>
    <w:rsid w:val="00A96D18"/>
    <w:rsid w:val="00AA0CC2"/>
    <w:rsid w:val="00AA1945"/>
    <w:rsid w:val="00AA4127"/>
    <w:rsid w:val="00AA6411"/>
    <w:rsid w:val="00AB4098"/>
    <w:rsid w:val="00AB7BAA"/>
    <w:rsid w:val="00AB7D22"/>
    <w:rsid w:val="00AC0E0A"/>
    <w:rsid w:val="00AC25A6"/>
    <w:rsid w:val="00AC7026"/>
    <w:rsid w:val="00AD4ECC"/>
    <w:rsid w:val="00AD6527"/>
    <w:rsid w:val="00AE13F8"/>
    <w:rsid w:val="00AE231E"/>
    <w:rsid w:val="00AF5108"/>
    <w:rsid w:val="00B03ECD"/>
    <w:rsid w:val="00B0756E"/>
    <w:rsid w:val="00B22C12"/>
    <w:rsid w:val="00B51F9D"/>
    <w:rsid w:val="00B542C9"/>
    <w:rsid w:val="00B55B46"/>
    <w:rsid w:val="00B624CF"/>
    <w:rsid w:val="00B62DAA"/>
    <w:rsid w:val="00B7569C"/>
    <w:rsid w:val="00B764BC"/>
    <w:rsid w:val="00B82C61"/>
    <w:rsid w:val="00B84374"/>
    <w:rsid w:val="00B95E8B"/>
    <w:rsid w:val="00BA4A95"/>
    <w:rsid w:val="00BB1724"/>
    <w:rsid w:val="00BB1E67"/>
    <w:rsid w:val="00BB2CFC"/>
    <w:rsid w:val="00BB462D"/>
    <w:rsid w:val="00BC78EC"/>
    <w:rsid w:val="00BD0BE7"/>
    <w:rsid w:val="00BD3F17"/>
    <w:rsid w:val="00BD6582"/>
    <w:rsid w:val="00BE06D5"/>
    <w:rsid w:val="00BE49C2"/>
    <w:rsid w:val="00BF4312"/>
    <w:rsid w:val="00BF6BC3"/>
    <w:rsid w:val="00C0062A"/>
    <w:rsid w:val="00C0167E"/>
    <w:rsid w:val="00C04ECB"/>
    <w:rsid w:val="00C11B86"/>
    <w:rsid w:val="00C17852"/>
    <w:rsid w:val="00C504B6"/>
    <w:rsid w:val="00C65771"/>
    <w:rsid w:val="00C83E88"/>
    <w:rsid w:val="00C8595E"/>
    <w:rsid w:val="00C93100"/>
    <w:rsid w:val="00CA5979"/>
    <w:rsid w:val="00CA71FF"/>
    <w:rsid w:val="00CB5422"/>
    <w:rsid w:val="00CC04FA"/>
    <w:rsid w:val="00CC35B3"/>
    <w:rsid w:val="00CC3681"/>
    <w:rsid w:val="00CC446F"/>
    <w:rsid w:val="00CC4D23"/>
    <w:rsid w:val="00CC73CD"/>
    <w:rsid w:val="00CD16F3"/>
    <w:rsid w:val="00CE02BA"/>
    <w:rsid w:val="00CE0E46"/>
    <w:rsid w:val="00CE4A80"/>
    <w:rsid w:val="00D141E1"/>
    <w:rsid w:val="00D21E3D"/>
    <w:rsid w:val="00D2247B"/>
    <w:rsid w:val="00D27729"/>
    <w:rsid w:val="00D34DCE"/>
    <w:rsid w:val="00D34F27"/>
    <w:rsid w:val="00D3544D"/>
    <w:rsid w:val="00D36315"/>
    <w:rsid w:val="00D4438B"/>
    <w:rsid w:val="00D50FC4"/>
    <w:rsid w:val="00D57ECD"/>
    <w:rsid w:val="00D57FC3"/>
    <w:rsid w:val="00D61504"/>
    <w:rsid w:val="00D655BF"/>
    <w:rsid w:val="00D9175B"/>
    <w:rsid w:val="00D92AD8"/>
    <w:rsid w:val="00D94001"/>
    <w:rsid w:val="00D940F3"/>
    <w:rsid w:val="00D95BB6"/>
    <w:rsid w:val="00DA3409"/>
    <w:rsid w:val="00DA382B"/>
    <w:rsid w:val="00DA7567"/>
    <w:rsid w:val="00DB297D"/>
    <w:rsid w:val="00DB72D6"/>
    <w:rsid w:val="00DD317A"/>
    <w:rsid w:val="00DE3F93"/>
    <w:rsid w:val="00DF6512"/>
    <w:rsid w:val="00DF66FB"/>
    <w:rsid w:val="00E04D01"/>
    <w:rsid w:val="00E113D6"/>
    <w:rsid w:val="00E122F5"/>
    <w:rsid w:val="00E37161"/>
    <w:rsid w:val="00E44CB0"/>
    <w:rsid w:val="00E46B9A"/>
    <w:rsid w:val="00E50F25"/>
    <w:rsid w:val="00E57077"/>
    <w:rsid w:val="00E6432E"/>
    <w:rsid w:val="00E815D6"/>
    <w:rsid w:val="00E839D3"/>
    <w:rsid w:val="00E83A9D"/>
    <w:rsid w:val="00E85BB4"/>
    <w:rsid w:val="00E87EA1"/>
    <w:rsid w:val="00E9292C"/>
    <w:rsid w:val="00EA11A7"/>
    <w:rsid w:val="00EA26FC"/>
    <w:rsid w:val="00EA5EEF"/>
    <w:rsid w:val="00EC127F"/>
    <w:rsid w:val="00ED1F5D"/>
    <w:rsid w:val="00ED28C7"/>
    <w:rsid w:val="00EE1019"/>
    <w:rsid w:val="00EE491C"/>
    <w:rsid w:val="00EE6245"/>
    <w:rsid w:val="00EF04A4"/>
    <w:rsid w:val="00EF2A27"/>
    <w:rsid w:val="00EF47D0"/>
    <w:rsid w:val="00EF5636"/>
    <w:rsid w:val="00F10BA8"/>
    <w:rsid w:val="00F2305B"/>
    <w:rsid w:val="00F24A47"/>
    <w:rsid w:val="00F2518E"/>
    <w:rsid w:val="00F33C4D"/>
    <w:rsid w:val="00F36810"/>
    <w:rsid w:val="00F40BD2"/>
    <w:rsid w:val="00F51ABF"/>
    <w:rsid w:val="00F62347"/>
    <w:rsid w:val="00F624F6"/>
    <w:rsid w:val="00F62DC2"/>
    <w:rsid w:val="00F677D8"/>
    <w:rsid w:val="00F728BE"/>
    <w:rsid w:val="00F82B8B"/>
    <w:rsid w:val="00F853FB"/>
    <w:rsid w:val="00FA55F5"/>
    <w:rsid w:val="00FA65F6"/>
    <w:rsid w:val="00FB028F"/>
    <w:rsid w:val="00FB3F81"/>
    <w:rsid w:val="00FC58E7"/>
    <w:rsid w:val="00FC5922"/>
    <w:rsid w:val="00FC7F49"/>
    <w:rsid w:val="00FD0959"/>
    <w:rsid w:val="00FD70F2"/>
    <w:rsid w:val="00FF35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FE5EB-13BB-4D47-8DC0-812995F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nhideWhenUsed/>
    <w:rsid w:val="00D2247B"/>
    <w:pPr>
      <w:tabs>
        <w:tab w:val="center" w:pos="4252"/>
        <w:tab w:val="right" w:pos="8504"/>
      </w:tabs>
    </w:pPr>
  </w:style>
  <w:style w:type="character" w:customStyle="1" w:styleId="EncabezadoCar">
    <w:name w:val="Encabezado Car"/>
    <w:basedOn w:val="Fuentedeprrafopredeter"/>
    <w:link w:val="Encabezado"/>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JURISPRUDENCIA%20CSJ%201995-2014\2013\agosto\40093(15-08-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2764-9E6F-4119-A383-E2DECD64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5115</Words>
  <Characters>28133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walterpr palacios</cp:lastModifiedBy>
  <cp:revision>17</cp:revision>
  <cp:lastPrinted>2018-09-03T15:39:00Z</cp:lastPrinted>
  <dcterms:created xsi:type="dcterms:W3CDTF">2018-08-31T20:04:00Z</dcterms:created>
  <dcterms:modified xsi:type="dcterms:W3CDTF">2018-10-29T00:15:00Z</dcterms:modified>
</cp:coreProperties>
</file>