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281" w:rsidRPr="006F6460" w:rsidRDefault="00814281" w:rsidP="00814281">
      <w:pPr>
        <w:pBdr>
          <w:top w:val="single" w:sz="4" w:space="1" w:color="auto"/>
          <w:left w:val="single" w:sz="4" w:space="4" w:color="auto"/>
          <w:bottom w:val="single" w:sz="4" w:space="1" w:color="auto"/>
          <w:right w:val="single" w:sz="4" w:space="4" w:color="auto"/>
        </w:pBdr>
        <w:shd w:val="clear" w:color="auto" w:fill="FFFFFF"/>
        <w:jc w:val="center"/>
        <w:rPr>
          <w:color w:val="222222"/>
          <w:sz w:val="14"/>
          <w:szCs w:val="14"/>
          <w:lang w:eastAsia="fr-FR"/>
        </w:rPr>
      </w:pPr>
      <w:r w:rsidRPr="006F6460">
        <w:rPr>
          <w:color w:val="FF0000"/>
          <w:sz w:val="14"/>
          <w:szCs w:val="14"/>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6F6460">
        <w:rPr>
          <w:color w:val="222222"/>
          <w:sz w:val="14"/>
          <w:szCs w:val="14"/>
          <w:lang w:eastAsia="fr-FR"/>
        </w:rPr>
        <w:t> </w:t>
      </w:r>
    </w:p>
    <w:p w:rsidR="00814281" w:rsidRDefault="00814281" w:rsidP="00814281">
      <w:pPr>
        <w:shd w:val="clear" w:color="auto" w:fill="FFFFFF"/>
        <w:jc w:val="both"/>
        <w:rPr>
          <w:rFonts w:ascii="Calibri" w:hAnsi="Calibri"/>
          <w:sz w:val="18"/>
          <w:szCs w:val="18"/>
          <w:lang w:eastAsia="fr-FR"/>
        </w:rPr>
      </w:pPr>
    </w:p>
    <w:p w:rsidR="00814281" w:rsidRPr="005E34AB" w:rsidRDefault="00814281" w:rsidP="00814281">
      <w:pPr>
        <w:shd w:val="clear" w:color="auto" w:fill="FFFFFF"/>
        <w:jc w:val="both"/>
        <w:rPr>
          <w:rFonts w:ascii="Calibri" w:hAnsi="Calibri"/>
          <w:sz w:val="18"/>
          <w:szCs w:val="18"/>
          <w:lang w:eastAsia="fr-FR"/>
        </w:rPr>
      </w:pPr>
      <w:r w:rsidRPr="005E34AB">
        <w:rPr>
          <w:rFonts w:ascii="Calibri" w:hAnsi="Calibri"/>
          <w:sz w:val="18"/>
          <w:szCs w:val="18"/>
          <w:lang w:eastAsia="fr-FR"/>
        </w:rPr>
        <w:t>Provi</w:t>
      </w:r>
      <w:r>
        <w:rPr>
          <w:rFonts w:ascii="Calibri" w:hAnsi="Calibri"/>
          <w:sz w:val="18"/>
          <w:szCs w:val="18"/>
          <w:lang w:eastAsia="fr-FR"/>
        </w:rPr>
        <w:t>dencia:</w:t>
      </w:r>
      <w:r>
        <w:rPr>
          <w:rFonts w:ascii="Calibri" w:hAnsi="Calibri"/>
          <w:sz w:val="18"/>
          <w:szCs w:val="18"/>
          <w:lang w:eastAsia="fr-FR"/>
        </w:rPr>
        <w:tab/>
      </w:r>
      <w:r>
        <w:rPr>
          <w:rFonts w:ascii="Calibri" w:hAnsi="Calibri"/>
          <w:sz w:val="18"/>
          <w:szCs w:val="18"/>
          <w:lang w:eastAsia="fr-FR"/>
        </w:rPr>
        <w:tab/>
        <w:t>Sentencia – 2ª instancia</w:t>
      </w:r>
    </w:p>
    <w:p w:rsidR="00814281" w:rsidRPr="005E34AB" w:rsidRDefault="00814281" w:rsidP="00814281">
      <w:pPr>
        <w:shd w:val="clear" w:color="auto" w:fill="FFFFFF"/>
        <w:tabs>
          <w:tab w:val="left" w:pos="1418"/>
        </w:tabs>
        <w:jc w:val="both"/>
        <w:rPr>
          <w:rFonts w:ascii="Calibri" w:hAnsi="Calibri"/>
          <w:sz w:val="18"/>
          <w:szCs w:val="18"/>
          <w:lang w:eastAsia="fr-FR"/>
        </w:rPr>
      </w:pPr>
      <w:r w:rsidRPr="005E34AB">
        <w:rPr>
          <w:rFonts w:ascii="Calibri" w:hAnsi="Calibri"/>
          <w:sz w:val="18"/>
          <w:szCs w:val="18"/>
          <w:lang w:eastAsia="fr-FR"/>
        </w:rPr>
        <w:t>Proceso:</w:t>
      </w:r>
      <w:r>
        <w:rPr>
          <w:rFonts w:ascii="Calibri" w:hAnsi="Calibri"/>
          <w:sz w:val="18"/>
          <w:szCs w:val="18"/>
          <w:lang w:eastAsia="fr-FR"/>
        </w:rPr>
        <w:tab/>
      </w:r>
      <w:r w:rsidRPr="005E34AB">
        <w:rPr>
          <w:rFonts w:ascii="Calibri" w:hAnsi="Calibri"/>
          <w:sz w:val="18"/>
          <w:szCs w:val="18"/>
          <w:lang w:eastAsia="fr-FR"/>
        </w:rPr>
        <w:tab/>
        <w:t xml:space="preserve">Penal </w:t>
      </w:r>
      <w:r>
        <w:rPr>
          <w:rFonts w:ascii="Calibri" w:hAnsi="Calibri"/>
          <w:sz w:val="18"/>
          <w:szCs w:val="18"/>
          <w:lang w:eastAsia="fr-FR"/>
        </w:rPr>
        <w:t>–</w:t>
      </w:r>
      <w:r w:rsidRPr="005E34AB">
        <w:rPr>
          <w:rFonts w:ascii="Calibri" w:hAnsi="Calibri"/>
          <w:sz w:val="18"/>
          <w:szCs w:val="18"/>
          <w:lang w:eastAsia="fr-FR"/>
        </w:rPr>
        <w:t xml:space="preserve"> </w:t>
      </w:r>
      <w:r>
        <w:rPr>
          <w:rFonts w:ascii="Calibri" w:hAnsi="Calibri"/>
          <w:sz w:val="18"/>
          <w:szCs w:val="18"/>
          <w:lang w:eastAsia="fr-FR"/>
        </w:rPr>
        <w:t>SALVAMENTO</w:t>
      </w:r>
      <w:r w:rsidRPr="005E34AB">
        <w:rPr>
          <w:rFonts w:ascii="Calibri" w:hAnsi="Calibri"/>
          <w:spacing w:val="-20"/>
          <w:sz w:val="18"/>
          <w:szCs w:val="18"/>
          <w:lang w:eastAsia="fr-FR"/>
        </w:rPr>
        <w:t xml:space="preserve">  </w:t>
      </w:r>
    </w:p>
    <w:p w:rsidR="00814281" w:rsidRPr="005E34AB" w:rsidRDefault="00814281" w:rsidP="00814281">
      <w:pPr>
        <w:shd w:val="clear" w:color="auto" w:fill="FFFFFF"/>
        <w:tabs>
          <w:tab w:val="left" w:pos="1418"/>
        </w:tabs>
        <w:jc w:val="both"/>
        <w:rPr>
          <w:rFonts w:ascii="Calibri" w:hAnsi="Calibri"/>
          <w:bCs/>
          <w:iCs/>
          <w:sz w:val="18"/>
          <w:szCs w:val="18"/>
          <w:lang w:eastAsia="fr-FR"/>
        </w:rPr>
      </w:pPr>
      <w:r w:rsidRPr="005E34AB">
        <w:rPr>
          <w:rFonts w:ascii="Calibri" w:hAnsi="Calibri"/>
          <w:sz w:val="18"/>
          <w:szCs w:val="18"/>
          <w:lang w:eastAsia="fr-FR"/>
        </w:rPr>
        <w:t>Radicación Nro. :</w:t>
      </w:r>
      <w:r w:rsidRPr="005E34AB">
        <w:rPr>
          <w:rFonts w:ascii="Calibri" w:hAnsi="Calibri"/>
          <w:sz w:val="18"/>
          <w:szCs w:val="18"/>
          <w:lang w:eastAsia="fr-FR"/>
        </w:rPr>
        <w:tab/>
        <w:t xml:space="preserve">  </w:t>
      </w:r>
      <w:r w:rsidRPr="005E34AB">
        <w:rPr>
          <w:rFonts w:ascii="Calibri" w:hAnsi="Calibri"/>
          <w:sz w:val="18"/>
          <w:szCs w:val="18"/>
          <w:lang w:eastAsia="fr-FR"/>
        </w:rPr>
        <w:tab/>
      </w:r>
      <w:r w:rsidRPr="00814281">
        <w:rPr>
          <w:rFonts w:ascii="Calibri" w:hAnsi="Calibri"/>
          <w:bCs/>
          <w:iCs/>
          <w:sz w:val="18"/>
          <w:szCs w:val="18"/>
          <w:lang w:val="es-MX" w:eastAsia="fr-FR"/>
        </w:rPr>
        <w:t>660886000066201600158-01</w:t>
      </w:r>
    </w:p>
    <w:p w:rsidR="00814281" w:rsidRDefault="00814281" w:rsidP="00814281">
      <w:pPr>
        <w:shd w:val="clear" w:color="auto" w:fill="FFFFFF"/>
        <w:tabs>
          <w:tab w:val="left" w:pos="1418"/>
        </w:tabs>
        <w:jc w:val="both"/>
        <w:rPr>
          <w:rFonts w:ascii="Calibri" w:eastAsia="Batang" w:hAnsi="Calibri"/>
          <w:bCs/>
          <w:sz w:val="18"/>
          <w:szCs w:val="18"/>
          <w:lang w:eastAsia="es-ES"/>
        </w:rPr>
      </w:pPr>
      <w:r w:rsidRPr="005E34AB">
        <w:rPr>
          <w:rFonts w:ascii="Calibri" w:eastAsia="Batang" w:hAnsi="Calibri"/>
          <w:bCs/>
          <w:sz w:val="18"/>
          <w:szCs w:val="18"/>
          <w:lang w:eastAsia="es-ES"/>
        </w:rPr>
        <w:t xml:space="preserve">Procesado:   </w:t>
      </w:r>
      <w:r w:rsidRPr="005E34AB">
        <w:rPr>
          <w:rFonts w:ascii="Calibri" w:eastAsia="Batang" w:hAnsi="Calibri"/>
          <w:bCs/>
          <w:sz w:val="18"/>
          <w:szCs w:val="18"/>
          <w:lang w:eastAsia="es-ES"/>
        </w:rPr>
        <w:tab/>
      </w:r>
      <w:r w:rsidRPr="005E34AB">
        <w:rPr>
          <w:rFonts w:ascii="Calibri" w:eastAsia="Batang" w:hAnsi="Calibri"/>
          <w:bCs/>
          <w:sz w:val="18"/>
          <w:szCs w:val="18"/>
          <w:lang w:eastAsia="es-ES"/>
        </w:rPr>
        <w:tab/>
      </w:r>
      <w:r w:rsidRPr="00814281">
        <w:rPr>
          <w:rFonts w:ascii="Calibri" w:eastAsia="Batang" w:hAnsi="Calibri"/>
          <w:bCs/>
          <w:sz w:val="18"/>
          <w:szCs w:val="18"/>
          <w:lang w:eastAsia="es-ES"/>
        </w:rPr>
        <w:t>SERGIO DANIEL MUÑOZ</w:t>
      </w:r>
    </w:p>
    <w:p w:rsidR="00814281" w:rsidRPr="005E34AB" w:rsidRDefault="00814281" w:rsidP="00814281">
      <w:pPr>
        <w:shd w:val="clear" w:color="auto" w:fill="FFFFFF"/>
        <w:tabs>
          <w:tab w:val="left" w:pos="1418"/>
        </w:tabs>
        <w:jc w:val="both"/>
        <w:rPr>
          <w:rFonts w:ascii="Calibri" w:eastAsia="Batang" w:hAnsi="Calibri"/>
          <w:b/>
          <w:bCs/>
          <w:sz w:val="18"/>
          <w:szCs w:val="18"/>
          <w:lang w:eastAsia="es-ES"/>
        </w:rPr>
      </w:pPr>
      <w:r>
        <w:rPr>
          <w:rFonts w:ascii="Calibri" w:eastAsia="Batang" w:hAnsi="Calibri"/>
          <w:bCs/>
          <w:sz w:val="18"/>
          <w:szCs w:val="18"/>
          <w:lang w:eastAsia="es-ES"/>
        </w:rPr>
        <w:t>Delito:</w:t>
      </w:r>
      <w:r>
        <w:rPr>
          <w:rFonts w:ascii="Calibri" w:eastAsia="Batang" w:hAnsi="Calibri"/>
          <w:bCs/>
          <w:sz w:val="18"/>
          <w:szCs w:val="18"/>
          <w:lang w:eastAsia="es-ES"/>
        </w:rPr>
        <w:tab/>
      </w:r>
      <w:r>
        <w:rPr>
          <w:rFonts w:ascii="Calibri" w:eastAsia="Batang" w:hAnsi="Calibri"/>
          <w:bCs/>
          <w:sz w:val="18"/>
          <w:szCs w:val="18"/>
          <w:lang w:eastAsia="es-ES"/>
        </w:rPr>
        <w:tab/>
      </w:r>
      <w:r w:rsidRPr="00814281">
        <w:rPr>
          <w:rFonts w:ascii="Calibri" w:eastAsia="Batang" w:hAnsi="Calibri"/>
          <w:bCs/>
          <w:sz w:val="18"/>
          <w:szCs w:val="18"/>
          <w:lang w:eastAsia="es-ES"/>
        </w:rPr>
        <w:t>Tráfico de estupefacientes</w:t>
      </w:r>
    </w:p>
    <w:p w:rsidR="00814281" w:rsidRPr="005E34AB" w:rsidRDefault="00814281" w:rsidP="00814281">
      <w:pPr>
        <w:shd w:val="clear" w:color="auto" w:fill="FFFFFF"/>
        <w:tabs>
          <w:tab w:val="left" w:pos="1418"/>
        </w:tabs>
        <w:jc w:val="both"/>
        <w:rPr>
          <w:rFonts w:ascii="Calibri" w:hAnsi="Calibri"/>
          <w:bCs/>
          <w:iCs/>
          <w:sz w:val="18"/>
          <w:szCs w:val="18"/>
          <w:lang w:eastAsia="fr-FR"/>
        </w:rPr>
      </w:pPr>
      <w:r w:rsidRPr="005E34AB">
        <w:rPr>
          <w:rFonts w:ascii="Calibri" w:hAnsi="Calibri"/>
          <w:sz w:val="18"/>
          <w:szCs w:val="18"/>
          <w:lang w:eastAsia="fr-FR"/>
        </w:rPr>
        <w:t>Magistrado Ponente: </w:t>
      </w:r>
      <w:r w:rsidRPr="005E34AB">
        <w:rPr>
          <w:rFonts w:ascii="Calibri" w:hAnsi="Calibri"/>
          <w:sz w:val="18"/>
          <w:szCs w:val="18"/>
          <w:lang w:eastAsia="fr-FR"/>
        </w:rPr>
        <w:tab/>
        <w:t xml:space="preserve">MANUEL </w:t>
      </w:r>
      <w:proofErr w:type="spellStart"/>
      <w:r w:rsidRPr="005E34AB">
        <w:rPr>
          <w:rFonts w:ascii="Calibri" w:hAnsi="Calibri"/>
          <w:sz w:val="18"/>
          <w:szCs w:val="18"/>
          <w:lang w:eastAsia="fr-FR"/>
        </w:rPr>
        <w:t>YARZAGARAY</w:t>
      </w:r>
      <w:proofErr w:type="spellEnd"/>
      <w:r w:rsidRPr="005E34AB">
        <w:rPr>
          <w:rFonts w:ascii="Calibri" w:hAnsi="Calibri"/>
          <w:sz w:val="18"/>
          <w:szCs w:val="18"/>
          <w:lang w:eastAsia="fr-FR"/>
        </w:rPr>
        <w:t xml:space="preserve"> BANDERA</w:t>
      </w:r>
    </w:p>
    <w:p w:rsidR="00814281" w:rsidRPr="005E34AB" w:rsidRDefault="00814281" w:rsidP="00814281">
      <w:pPr>
        <w:shd w:val="clear" w:color="auto" w:fill="FFFFFF"/>
        <w:tabs>
          <w:tab w:val="left" w:pos="1418"/>
        </w:tabs>
        <w:jc w:val="both"/>
        <w:rPr>
          <w:rFonts w:ascii="Calibri" w:hAnsi="Calibri"/>
          <w:bCs/>
          <w:iCs/>
          <w:sz w:val="18"/>
          <w:szCs w:val="18"/>
          <w:lang w:eastAsia="fr-FR"/>
        </w:rPr>
      </w:pPr>
    </w:p>
    <w:p w:rsidR="00814281" w:rsidRPr="005E34AB" w:rsidRDefault="00814281" w:rsidP="00814281">
      <w:pPr>
        <w:shd w:val="clear" w:color="auto" w:fill="FFFFFF"/>
        <w:tabs>
          <w:tab w:val="left" w:pos="1418"/>
        </w:tabs>
        <w:jc w:val="both"/>
        <w:rPr>
          <w:rFonts w:ascii="Calibri" w:hAnsi="Calibri"/>
          <w:bCs/>
          <w:iCs/>
          <w:sz w:val="18"/>
          <w:szCs w:val="18"/>
          <w:lang w:eastAsia="fr-FR"/>
        </w:rPr>
      </w:pPr>
    </w:p>
    <w:p w:rsidR="00814281" w:rsidRPr="00814281" w:rsidRDefault="00814281" w:rsidP="00814281">
      <w:pPr>
        <w:jc w:val="both"/>
        <w:rPr>
          <w:rFonts w:ascii="Calibri" w:hAnsi="Calibri"/>
          <w:bCs/>
          <w:iCs/>
          <w:sz w:val="18"/>
          <w:szCs w:val="18"/>
          <w:lang w:eastAsia="fr-FR"/>
        </w:rPr>
      </w:pPr>
      <w:r>
        <w:rPr>
          <w:rFonts w:ascii="Calibri" w:hAnsi="Calibri"/>
          <w:b/>
          <w:bCs/>
          <w:iCs/>
          <w:sz w:val="18"/>
          <w:szCs w:val="18"/>
          <w:lang w:eastAsia="fr-FR"/>
        </w:rPr>
        <w:t>TEMA:</w:t>
      </w:r>
      <w:r>
        <w:rPr>
          <w:rFonts w:ascii="Calibri" w:hAnsi="Calibri"/>
          <w:b/>
          <w:bCs/>
          <w:iCs/>
          <w:sz w:val="18"/>
          <w:szCs w:val="18"/>
          <w:lang w:eastAsia="fr-FR"/>
        </w:rPr>
        <w:tab/>
      </w:r>
      <w:r>
        <w:rPr>
          <w:rFonts w:ascii="Calibri" w:hAnsi="Calibri"/>
          <w:b/>
          <w:bCs/>
          <w:iCs/>
          <w:sz w:val="18"/>
          <w:szCs w:val="18"/>
          <w:lang w:eastAsia="fr-FR"/>
        </w:rPr>
        <w:tab/>
      </w:r>
      <w:r>
        <w:rPr>
          <w:rFonts w:ascii="Calibri" w:hAnsi="Calibri"/>
          <w:b/>
          <w:bCs/>
          <w:iCs/>
          <w:sz w:val="18"/>
          <w:szCs w:val="18"/>
          <w:lang w:eastAsia="fr-FR"/>
        </w:rPr>
        <w:tab/>
      </w:r>
      <w:r w:rsidRPr="00814281">
        <w:rPr>
          <w:rFonts w:ascii="Calibri" w:hAnsi="Calibri"/>
          <w:b/>
          <w:bCs/>
          <w:iCs/>
          <w:sz w:val="18"/>
          <w:szCs w:val="18"/>
          <w:lang w:eastAsia="fr-FR"/>
        </w:rPr>
        <w:t xml:space="preserve">TRÁFICO DE ESTUPEFACIENTES </w:t>
      </w:r>
      <w:r>
        <w:rPr>
          <w:rFonts w:ascii="Calibri" w:hAnsi="Calibri"/>
          <w:b/>
          <w:bCs/>
          <w:iCs/>
          <w:sz w:val="18"/>
          <w:szCs w:val="18"/>
          <w:lang w:eastAsia="fr-FR"/>
        </w:rPr>
        <w:t xml:space="preserve">/ FAVORABILIDAD / FLAGRANCIA / LEY 1826 / APLICACIÓN DEL TEST DE IGUALDAD PAR DESCUENTOS PUNITIVOS -/ DEBIÓ ACCEDERSE - </w:t>
      </w:r>
      <w:r>
        <w:rPr>
          <w:rFonts w:ascii="Calibri" w:hAnsi="Calibri"/>
          <w:b/>
          <w:bCs/>
          <w:iCs/>
          <w:sz w:val="18"/>
          <w:szCs w:val="18"/>
          <w:lang w:eastAsia="fr-FR"/>
        </w:rPr>
        <w:t xml:space="preserve"> </w:t>
      </w:r>
      <w:bookmarkStart w:id="0" w:name="_GoBack"/>
      <w:bookmarkEnd w:id="0"/>
      <w:r w:rsidRPr="00814281">
        <w:rPr>
          <w:rFonts w:ascii="Calibri" w:hAnsi="Calibri"/>
          <w:bCs/>
          <w:iCs/>
          <w:sz w:val="18"/>
          <w:szCs w:val="18"/>
          <w:lang w:eastAsia="fr-FR"/>
        </w:rPr>
        <w:t>En suma, el suscrito es de la opinión que de haberse aplicado por parte de la Sala mayoritaria el test de la igualdad, se habría dado cuenta que:</w:t>
      </w:r>
    </w:p>
    <w:p w:rsidR="00814281" w:rsidRPr="00814281" w:rsidRDefault="00814281" w:rsidP="00814281">
      <w:pPr>
        <w:jc w:val="both"/>
        <w:rPr>
          <w:rFonts w:ascii="Calibri" w:hAnsi="Calibri"/>
          <w:bCs/>
          <w:iCs/>
          <w:sz w:val="18"/>
          <w:szCs w:val="18"/>
          <w:lang w:eastAsia="fr-FR"/>
        </w:rPr>
      </w:pPr>
    </w:p>
    <w:p w:rsidR="00814281" w:rsidRPr="00814281" w:rsidRDefault="00814281" w:rsidP="00814281">
      <w:pPr>
        <w:jc w:val="both"/>
        <w:rPr>
          <w:rFonts w:ascii="Calibri" w:hAnsi="Calibri"/>
          <w:bCs/>
          <w:iCs/>
          <w:sz w:val="18"/>
          <w:szCs w:val="18"/>
          <w:lang w:eastAsia="fr-FR"/>
        </w:rPr>
      </w:pPr>
      <w:r w:rsidRPr="00814281">
        <w:rPr>
          <w:rFonts w:ascii="Calibri" w:hAnsi="Calibri"/>
          <w:bCs/>
          <w:iCs/>
          <w:sz w:val="18"/>
          <w:szCs w:val="18"/>
          <w:lang w:eastAsia="fr-FR"/>
        </w:rPr>
        <w:t>•</w:t>
      </w:r>
      <w:r w:rsidRPr="00814281">
        <w:rPr>
          <w:rFonts w:ascii="Calibri" w:hAnsi="Calibri"/>
          <w:bCs/>
          <w:iCs/>
          <w:sz w:val="18"/>
          <w:szCs w:val="18"/>
          <w:lang w:eastAsia="fr-FR"/>
        </w:rPr>
        <w:tab/>
        <w:t xml:space="preserve">Ante la existencia de la mayor relevancia que generan las afinidades y los comunes denominadores habidos entre el procedimiento ordinario y el procedimiento especial abreviado, tal situación ameritaría para que en los eventos de descuentos punitivos por allanamiento a cargos en los casos de captura en flagrancia, se le deba dar un tratamiento paritario o igual a pesar de las sutiles diferencias habidas entre ambos procedimientos. </w:t>
      </w:r>
    </w:p>
    <w:p w:rsidR="00814281" w:rsidRPr="00814281" w:rsidRDefault="00814281" w:rsidP="00814281">
      <w:pPr>
        <w:jc w:val="both"/>
        <w:rPr>
          <w:rFonts w:ascii="Calibri" w:hAnsi="Calibri"/>
          <w:bCs/>
          <w:iCs/>
          <w:sz w:val="18"/>
          <w:szCs w:val="18"/>
          <w:lang w:eastAsia="fr-FR"/>
        </w:rPr>
      </w:pPr>
    </w:p>
    <w:p w:rsidR="00814281" w:rsidRPr="00814281" w:rsidRDefault="00814281" w:rsidP="00814281">
      <w:pPr>
        <w:jc w:val="both"/>
        <w:rPr>
          <w:rFonts w:ascii="Calibri" w:hAnsi="Calibri"/>
          <w:bCs/>
          <w:iCs/>
          <w:sz w:val="18"/>
          <w:szCs w:val="18"/>
          <w:lang w:eastAsia="fr-FR"/>
        </w:rPr>
      </w:pPr>
      <w:r w:rsidRPr="00814281">
        <w:rPr>
          <w:rFonts w:ascii="Calibri" w:hAnsi="Calibri"/>
          <w:bCs/>
          <w:iCs/>
          <w:sz w:val="18"/>
          <w:szCs w:val="18"/>
          <w:lang w:eastAsia="fr-FR"/>
        </w:rPr>
        <w:t>•</w:t>
      </w:r>
      <w:r w:rsidRPr="00814281">
        <w:rPr>
          <w:rFonts w:ascii="Calibri" w:hAnsi="Calibri"/>
          <w:bCs/>
          <w:iCs/>
          <w:sz w:val="18"/>
          <w:szCs w:val="18"/>
          <w:lang w:eastAsia="fr-FR"/>
        </w:rPr>
        <w:tab/>
        <w:t>Desde el ámbito constitucional no existe una razón que justifique o avale el tratamiento diversificado o diferencial dado por la ley # 1.826 de 2.017 en materia de descuentos punitivos para aquellas personas capturadas en flagrancia que se allanen a los cargos, respecto al mismo tratamiento dado en el procedimiento ordinario a las personas que en iguales hipótesis decida aceptar los cargos endilgados en su contra.</w:t>
      </w:r>
    </w:p>
    <w:p w:rsidR="00814281" w:rsidRPr="00814281" w:rsidRDefault="00814281" w:rsidP="00814281">
      <w:pPr>
        <w:jc w:val="both"/>
        <w:rPr>
          <w:rFonts w:ascii="Calibri" w:hAnsi="Calibri"/>
          <w:bCs/>
          <w:iCs/>
          <w:sz w:val="18"/>
          <w:szCs w:val="18"/>
          <w:lang w:eastAsia="fr-FR"/>
        </w:rPr>
      </w:pPr>
    </w:p>
    <w:p w:rsidR="00814281" w:rsidRPr="00814281" w:rsidRDefault="00814281" w:rsidP="00814281">
      <w:pPr>
        <w:jc w:val="both"/>
        <w:rPr>
          <w:rFonts w:ascii="Calibri" w:hAnsi="Calibri"/>
          <w:bCs/>
          <w:iCs/>
          <w:sz w:val="18"/>
          <w:szCs w:val="18"/>
          <w:lang w:eastAsia="fr-FR"/>
        </w:rPr>
      </w:pPr>
      <w:r w:rsidRPr="00814281">
        <w:rPr>
          <w:rFonts w:ascii="Calibri" w:hAnsi="Calibri"/>
          <w:bCs/>
          <w:iCs/>
          <w:sz w:val="18"/>
          <w:szCs w:val="18"/>
          <w:lang w:eastAsia="fr-FR"/>
        </w:rPr>
        <w:t>•</w:t>
      </w:r>
      <w:r w:rsidRPr="00814281">
        <w:rPr>
          <w:rFonts w:ascii="Calibri" w:hAnsi="Calibri"/>
          <w:bCs/>
          <w:iCs/>
          <w:sz w:val="18"/>
          <w:szCs w:val="18"/>
          <w:lang w:eastAsia="fr-FR"/>
        </w:rPr>
        <w:tab/>
        <w:t xml:space="preserve">Ante la existencia de un tratamiento diferencial dado a un grupo de personas que se encontraban en las mismas condiciones fácticas o jurídicas, ello implicaba, como consecuencia de la aplicación del principio de la igualdad, que desde un ámbito eminentemente hermenéutico se daba considerar que la ley # 1.826 de 2.017, en lo que tiene que ver con los descuentos punitivos concedidos a las personas que se allanen a los cargos en casos de captura en flagrancia, de una u otra forma modificaron la normatividad consagrada para tales eventos en el </w:t>
      </w:r>
      <w:proofErr w:type="spellStart"/>
      <w:r w:rsidRPr="00814281">
        <w:rPr>
          <w:rFonts w:ascii="Calibri" w:hAnsi="Calibri"/>
          <w:bCs/>
          <w:iCs/>
          <w:sz w:val="18"/>
          <w:szCs w:val="18"/>
          <w:lang w:eastAsia="fr-FR"/>
        </w:rPr>
        <w:t>C.P.P</w:t>
      </w:r>
      <w:proofErr w:type="spellEnd"/>
      <w:r w:rsidRPr="00814281">
        <w:rPr>
          <w:rFonts w:ascii="Calibri" w:hAnsi="Calibri"/>
          <w:bCs/>
          <w:iCs/>
          <w:sz w:val="18"/>
          <w:szCs w:val="18"/>
          <w:lang w:eastAsia="fr-FR"/>
        </w:rPr>
        <w:t xml:space="preserve">. respecto de los delitos no regulados por la ley de marras. Lo que a su vez implicaba que dicha ley por ser posterior y más benéfica a los intereses del procesado, deba ser aplicada al caso en estudio acorde con los postulados que orientan el principio de la favorabilidad. </w:t>
      </w:r>
    </w:p>
    <w:p w:rsidR="00814281" w:rsidRPr="00814281" w:rsidRDefault="00814281" w:rsidP="00814281">
      <w:pPr>
        <w:jc w:val="both"/>
        <w:rPr>
          <w:rFonts w:ascii="Calibri" w:hAnsi="Calibri"/>
          <w:bCs/>
          <w:iCs/>
          <w:sz w:val="18"/>
          <w:szCs w:val="18"/>
          <w:lang w:eastAsia="fr-FR"/>
        </w:rPr>
      </w:pPr>
    </w:p>
    <w:p w:rsidR="00814281" w:rsidRPr="00814281" w:rsidRDefault="00814281" w:rsidP="00814281">
      <w:pPr>
        <w:jc w:val="both"/>
        <w:rPr>
          <w:rFonts w:ascii="Calibri" w:hAnsi="Calibri"/>
          <w:bCs/>
          <w:iCs/>
          <w:sz w:val="18"/>
          <w:szCs w:val="18"/>
          <w:lang w:eastAsia="fr-FR"/>
        </w:rPr>
      </w:pPr>
      <w:r w:rsidRPr="00814281">
        <w:rPr>
          <w:rFonts w:ascii="Calibri" w:hAnsi="Calibri"/>
          <w:bCs/>
          <w:iCs/>
          <w:sz w:val="18"/>
          <w:szCs w:val="18"/>
          <w:lang w:eastAsia="fr-FR"/>
        </w:rPr>
        <w:t xml:space="preserve">Finalmente, se podría decir que con la posición asumida en el presente salvamento de voto, se estaría desconociendo lo que en el pasado, en un caso afín, la Colegiatura dijo, con ponencia del suscrito, en la providencia calendada 19 de febrero hogaño, proferida en el proceso Rad. # 660016000035201404202, que se surtió en contra del reo LUIS EDUARDO CASTAÑEDA, quien, se allanó a los cargos y en consecuencia fue declarado penalmente responsable por incurrir en los delitos de tráfico de armas de fuego y hurto calificado. En dicha providencia, como consecuencia del principio de favorabilidad, la Sala avaló el reconocimiento en favor del Procesado de otrora de los descuentos punitivos que por allanamientos a cargos para los casos de captura en flagrancia consagra la aludida ley # 1.826 de 2.017 para el delito de hurto, pero no se procedió en igual sentido en lo que tenía que ver con el reato de tráfico de armas de fuego. Pero, bien vale la pena anotar que tales reproches no serían de recibo debido a que la Colegiatura no abordó de fondo los reparos formulados por el apelante sobre la falta de aplicación del principio de favorabilidad en lo que tenía que ver con el delito de tráfico de armas de fuego, por la sencilla razón consistente en que el recurrente no sustentó en debida forma la alzada, la cual fue declarada desierta de manera parcial. Asimismo, en ese decisión se dijo que en el remoto de los eventos en el que le asistiera la razón al apelante, de todas manera no prosperarían sus reproches, debido a que no estaba acreditado que el reo hubiera indemnizado a sus víctimas como consecuencia de la comisión del delito de hurto, lo que acorde con la nueva línea jurisprudencial trazada por la Sala de Casación Penal de la Corte Suprema de Justicia, a partir de la sentencia 27 de septiembre de 2017. SP14496-2017. Rad. # 39831, se erigía como una especie de condición de </w:t>
      </w:r>
      <w:proofErr w:type="spellStart"/>
      <w:r w:rsidRPr="00814281">
        <w:rPr>
          <w:rFonts w:ascii="Calibri" w:hAnsi="Calibri"/>
          <w:bCs/>
          <w:iCs/>
          <w:sz w:val="18"/>
          <w:szCs w:val="18"/>
          <w:lang w:eastAsia="fr-FR"/>
        </w:rPr>
        <w:t>procedibilidad</w:t>
      </w:r>
      <w:proofErr w:type="spellEnd"/>
      <w:r w:rsidRPr="00814281">
        <w:rPr>
          <w:rFonts w:ascii="Calibri" w:hAnsi="Calibri"/>
          <w:bCs/>
          <w:iCs/>
          <w:sz w:val="18"/>
          <w:szCs w:val="18"/>
          <w:lang w:eastAsia="fr-FR"/>
        </w:rPr>
        <w:t xml:space="preserve"> para la procedencia de la aprobación del allanamiento a cargos.  </w:t>
      </w:r>
    </w:p>
    <w:p w:rsidR="00814281" w:rsidRDefault="00814281" w:rsidP="00814281">
      <w:pPr>
        <w:jc w:val="both"/>
        <w:rPr>
          <w:rFonts w:ascii="Calibri" w:hAnsi="Calibri"/>
          <w:bCs/>
          <w:iCs/>
          <w:sz w:val="18"/>
          <w:szCs w:val="18"/>
          <w:lang w:eastAsia="fr-FR"/>
        </w:rPr>
      </w:pPr>
    </w:p>
    <w:p w:rsidR="00814281" w:rsidRDefault="00814281" w:rsidP="00814281">
      <w:pPr>
        <w:jc w:val="both"/>
        <w:rPr>
          <w:rFonts w:ascii="Calibri" w:hAnsi="Calibri"/>
          <w:bCs/>
          <w:iCs/>
          <w:sz w:val="18"/>
          <w:szCs w:val="18"/>
          <w:lang w:eastAsia="fr-FR"/>
        </w:rPr>
      </w:pPr>
    </w:p>
    <w:p w:rsidR="00814281" w:rsidRPr="006F6460" w:rsidRDefault="00814281" w:rsidP="00814281">
      <w:pPr>
        <w:jc w:val="both"/>
        <w:rPr>
          <w:rFonts w:ascii="Calibri" w:hAnsi="Calibri"/>
          <w:bCs/>
          <w:iCs/>
          <w:sz w:val="18"/>
          <w:szCs w:val="18"/>
          <w:lang w:eastAsia="fr-FR"/>
        </w:rPr>
      </w:pPr>
    </w:p>
    <w:p w:rsidR="00814281" w:rsidRDefault="00814281" w:rsidP="00103661">
      <w:pPr>
        <w:spacing w:line="276" w:lineRule="auto"/>
        <w:jc w:val="center"/>
        <w:rPr>
          <w:rFonts w:eastAsia="Calibri" w:cs="Times New Roman"/>
          <w:b/>
          <w:sz w:val="24"/>
          <w:szCs w:val="24"/>
        </w:rPr>
      </w:pPr>
    </w:p>
    <w:p w:rsidR="00E731F9" w:rsidRPr="00103661" w:rsidRDefault="00E731F9" w:rsidP="00103661">
      <w:pPr>
        <w:spacing w:line="276" w:lineRule="auto"/>
        <w:jc w:val="center"/>
        <w:rPr>
          <w:rFonts w:eastAsia="Calibri" w:cs="Times New Roman"/>
          <w:b/>
          <w:sz w:val="24"/>
          <w:szCs w:val="24"/>
        </w:rPr>
      </w:pPr>
      <w:r w:rsidRPr="00103661">
        <w:rPr>
          <w:rFonts w:eastAsia="Calibri" w:cs="Times New Roman"/>
          <w:b/>
          <w:sz w:val="24"/>
          <w:szCs w:val="24"/>
        </w:rPr>
        <w:t>SALVAMENTO DE VOTO:</w:t>
      </w:r>
    </w:p>
    <w:p w:rsidR="00E731F9" w:rsidRPr="00103661" w:rsidRDefault="00E731F9" w:rsidP="00103661">
      <w:pPr>
        <w:spacing w:line="276" w:lineRule="auto"/>
        <w:jc w:val="center"/>
        <w:rPr>
          <w:rFonts w:eastAsia="Calibri" w:cs="Times New Roman"/>
          <w:b/>
          <w:sz w:val="24"/>
          <w:szCs w:val="24"/>
        </w:rPr>
      </w:pPr>
    </w:p>
    <w:p w:rsidR="00E731F9" w:rsidRPr="00103661" w:rsidRDefault="00E731F9" w:rsidP="00103661">
      <w:pPr>
        <w:spacing w:line="276" w:lineRule="auto"/>
        <w:jc w:val="both"/>
        <w:rPr>
          <w:rFonts w:cs="Times New Roman"/>
          <w:sz w:val="24"/>
          <w:szCs w:val="24"/>
        </w:rPr>
      </w:pPr>
      <w:r w:rsidRPr="00103661">
        <w:rPr>
          <w:rFonts w:eastAsia="Calibri" w:cs="Times New Roman"/>
          <w:sz w:val="24"/>
          <w:szCs w:val="24"/>
        </w:rPr>
        <w:t xml:space="preserve">A pesar del respeto que merecen las decisiones tomadas por las mayorías, en muchas ocasiones las mismas no están exentas de estar equivocadas, como bien aconteció en el presente asunto cuando la Sala mayoritaria, al desatar la alzada interpuesta por la Defensa, decidió no acceder a las pretensiones deprecadas por el recurrente y en consecuencia procedió a confirmar el contenido de la </w:t>
      </w:r>
      <w:r w:rsidRPr="00103661">
        <w:rPr>
          <w:rFonts w:cs="Times New Roman"/>
          <w:sz w:val="24"/>
          <w:szCs w:val="24"/>
        </w:rPr>
        <w:t xml:space="preserve">sentencia proferida en las calendas del 16 de febrero hogaño, por parte del Juzgado Único del Circuito de Belén de Umbría, en la cual se declaró la responsabilidad criminal del Procesado </w:t>
      </w:r>
      <w:r w:rsidRPr="00103661">
        <w:rPr>
          <w:rFonts w:cs="Times New Roman"/>
          <w:sz w:val="24"/>
          <w:szCs w:val="24"/>
        </w:rPr>
        <w:lastRenderedPageBreak/>
        <w:t xml:space="preserve">SERGIO DANIEL MUÑOZ, por incurrir en la comisión del reato de tráfico de estupefacientes. </w:t>
      </w:r>
    </w:p>
    <w:p w:rsidR="00E731F9" w:rsidRPr="00103661" w:rsidRDefault="00E731F9" w:rsidP="00103661">
      <w:pPr>
        <w:spacing w:line="276" w:lineRule="auto"/>
        <w:jc w:val="both"/>
        <w:rPr>
          <w:rFonts w:cs="Times New Roman"/>
          <w:sz w:val="24"/>
          <w:szCs w:val="24"/>
        </w:rPr>
      </w:pPr>
    </w:p>
    <w:p w:rsidR="00BA5615" w:rsidRPr="00103661" w:rsidRDefault="00E731F9" w:rsidP="00103661">
      <w:pPr>
        <w:spacing w:line="276" w:lineRule="auto"/>
        <w:jc w:val="both"/>
        <w:rPr>
          <w:rFonts w:cs="Times New Roman"/>
          <w:sz w:val="24"/>
          <w:szCs w:val="24"/>
        </w:rPr>
      </w:pPr>
      <w:r w:rsidRPr="00103661">
        <w:rPr>
          <w:rFonts w:cs="Times New Roman"/>
          <w:sz w:val="24"/>
          <w:szCs w:val="24"/>
        </w:rPr>
        <w:t xml:space="preserve">Las razones que me impulsaron </w:t>
      </w:r>
      <w:r w:rsidR="0061482D" w:rsidRPr="00103661">
        <w:rPr>
          <w:rFonts w:cs="Times New Roman"/>
          <w:sz w:val="24"/>
          <w:szCs w:val="24"/>
        </w:rPr>
        <w:t>p</w:t>
      </w:r>
      <w:r w:rsidRPr="00103661">
        <w:rPr>
          <w:rFonts w:cs="Times New Roman"/>
          <w:sz w:val="24"/>
          <w:szCs w:val="24"/>
        </w:rPr>
        <w:t>a</w:t>
      </w:r>
      <w:r w:rsidR="0061482D" w:rsidRPr="00103661">
        <w:rPr>
          <w:rFonts w:cs="Times New Roman"/>
          <w:sz w:val="24"/>
          <w:szCs w:val="24"/>
        </w:rPr>
        <w:t>ra</w:t>
      </w:r>
      <w:r w:rsidRPr="00103661">
        <w:rPr>
          <w:rFonts w:cs="Times New Roman"/>
          <w:sz w:val="24"/>
          <w:szCs w:val="24"/>
        </w:rPr>
        <w:t xml:space="preserve"> discrepar de lo resuelto y decidido en el presente asunto por parte de la Sala mayoritaria tiene</w:t>
      </w:r>
      <w:r w:rsidR="0061482D" w:rsidRPr="00103661">
        <w:rPr>
          <w:rFonts w:cs="Times New Roman"/>
          <w:sz w:val="24"/>
          <w:szCs w:val="24"/>
        </w:rPr>
        <w:t>n</w:t>
      </w:r>
      <w:r w:rsidRPr="00103661">
        <w:rPr>
          <w:rFonts w:cs="Times New Roman"/>
          <w:sz w:val="24"/>
          <w:szCs w:val="24"/>
        </w:rPr>
        <w:t xml:space="preserve"> que ver con la negativa de no </w:t>
      </w:r>
      <w:r w:rsidR="0061482D" w:rsidRPr="00103661">
        <w:rPr>
          <w:rFonts w:cs="Times New Roman"/>
          <w:sz w:val="24"/>
          <w:szCs w:val="24"/>
        </w:rPr>
        <w:t>aplicar</w:t>
      </w:r>
      <w:r w:rsidR="00C13BFB" w:rsidRPr="00103661">
        <w:rPr>
          <w:rFonts w:cs="Times New Roman"/>
          <w:sz w:val="24"/>
          <w:szCs w:val="24"/>
        </w:rPr>
        <w:t xml:space="preserve"> en beneficio del Procesado el principio de favorabilidad </w:t>
      </w:r>
      <w:r w:rsidR="00BA5615" w:rsidRPr="00103661">
        <w:rPr>
          <w:rFonts w:cs="Times New Roman"/>
          <w:sz w:val="24"/>
          <w:szCs w:val="24"/>
        </w:rPr>
        <w:t>para de esa forma</w:t>
      </w:r>
      <w:r w:rsidR="00C13BFB" w:rsidRPr="00103661">
        <w:rPr>
          <w:rFonts w:cs="Times New Roman"/>
          <w:sz w:val="24"/>
          <w:szCs w:val="24"/>
        </w:rPr>
        <w:t xml:space="preserve"> no </w:t>
      </w:r>
      <w:r w:rsidRPr="00103661">
        <w:rPr>
          <w:rFonts w:cs="Times New Roman"/>
          <w:sz w:val="24"/>
          <w:szCs w:val="24"/>
        </w:rPr>
        <w:t xml:space="preserve">concederle </w:t>
      </w:r>
      <w:r w:rsidR="00C13BFB" w:rsidRPr="00103661">
        <w:rPr>
          <w:rFonts w:cs="Times New Roman"/>
          <w:sz w:val="24"/>
          <w:szCs w:val="24"/>
        </w:rPr>
        <w:t xml:space="preserve">el mismo monto de </w:t>
      </w:r>
      <w:r w:rsidRPr="00103661">
        <w:rPr>
          <w:rFonts w:cs="Times New Roman"/>
          <w:sz w:val="24"/>
          <w:szCs w:val="24"/>
        </w:rPr>
        <w:t xml:space="preserve">los descuentos punitivos </w:t>
      </w:r>
      <w:r w:rsidR="0061482D" w:rsidRPr="00103661">
        <w:rPr>
          <w:rFonts w:cs="Times New Roman"/>
          <w:sz w:val="24"/>
          <w:szCs w:val="24"/>
        </w:rPr>
        <w:t xml:space="preserve">a los cuales se haría merecedor cualquier otro enjuiciado que </w:t>
      </w:r>
      <w:r w:rsidR="007F4521" w:rsidRPr="00103661">
        <w:rPr>
          <w:rFonts w:cs="Times New Roman"/>
          <w:sz w:val="24"/>
          <w:szCs w:val="24"/>
        </w:rPr>
        <w:t>en caso</w:t>
      </w:r>
      <w:r w:rsidR="007A18D0" w:rsidRPr="00103661">
        <w:rPr>
          <w:rFonts w:cs="Times New Roman"/>
          <w:sz w:val="24"/>
          <w:szCs w:val="24"/>
        </w:rPr>
        <w:t>s</w:t>
      </w:r>
      <w:r w:rsidR="007F4521" w:rsidRPr="00103661">
        <w:rPr>
          <w:rFonts w:cs="Times New Roman"/>
          <w:sz w:val="24"/>
          <w:szCs w:val="24"/>
        </w:rPr>
        <w:t xml:space="preserve"> de flagrancia </w:t>
      </w:r>
      <w:r w:rsidR="0061482D" w:rsidRPr="00103661">
        <w:rPr>
          <w:rFonts w:cs="Times New Roman"/>
          <w:sz w:val="24"/>
          <w:szCs w:val="24"/>
        </w:rPr>
        <w:t xml:space="preserve">se hubiera allanado a los cargos respecto de alguno de los delitos </w:t>
      </w:r>
      <w:r w:rsidR="00BA5615" w:rsidRPr="00103661">
        <w:rPr>
          <w:rFonts w:cs="Times New Roman"/>
          <w:sz w:val="24"/>
          <w:szCs w:val="24"/>
        </w:rPr>
        <w:t xml:space="preserve">que son </w:t>
      </w:r>
      <w:r w:rsidR="00686DD1" w:rsidRPr="00103661">
        <w:rPr>
          <w:rFonts w:cs="Times New Roman"/>
          <w:sz w:val="24"/>
          <w:szCs w:val="24"/>
        </w:rPr>
        <w:t>susceptibles del procedimiento especial abreviado</w:t>
      </w:r>
      <w:r w:rsidR="00BA5615" w:rsidRPr="00103661">
        <w:rPr>
          <w:rFonts w:cs="Times New Roman"/>
          <w:sz w:val="24"/>
          <w:szCs w:val="24"/>
        </w:rPr>
        <w:t xml:space="preserve">, a pesar de que el </w:t>
      </w:r>
      <w:r w:rsidR="0061482D" w:rsidRPr="00103661">
        <w:rPr>
          <w:rFonts w:cs="Times New Roman"/>
          <w:sz w:val="24"/>
          <w:szCs w:val="24"/>
        </w:rPr>
        <w:t xml:space="preserve">acriminado en el presente asunto </w:t>
      </w:r>
      <w:r w:rsidR="00BA5615" w:rsidRPr="00103661">
        <w:rPr>
          <w:rFonts w:cs="Times New Roman"/>
          <w:sz w:val="24"/>
          <w:szCs w:val="24"/>
        </w:rPr>
        <w:t xml:space="preserve">haya </w:t>
      </w:r>
      <w:r w:rsidR="0061482D" w:rsidRPr="00103661">
        <w:rPr>
          <w:rFonts w:cs="Times New Roman"/>
          <w:sz w:val="24"/>
          <w:szCs w:val="24"/>
        </w:rPr>
        <w:t xml:space="preserve">decidido someterse a la aludida modalidad de la </w:t>
      </w:r>
      <w:r w:rsidR="00BA5615" w:rsidRPr="00103661">
        <w:rPr>
          <w:rFonts w:cs="Times New Roman"/>
          <w:sz w:val="24"/>
          <w:szCs w:val="24"/>
        </w:rPr>
        <w:t xml:space="preserve"> </w:t>
      </w:r>
      <w:r w:rsidR="0061482D" w:rsidRPr="00103661">
        <w:rPr>
          <w:rFonts w:cs="Times New Roman"/>
          <w:sz w:val="24"/>
          <w:szCs w:val="24"/>
        </w:rPr>
        <w:t xml:space="preserve">terminación anticipada de los procesos </w:t>
      </w:r>
      <w:r w:rsidR="007F4521" w:rsidRPr="00103661">
        <w:rPr>
          <w:rFonts w:cs="Times New Roman"/>
          <w:sz w:val="24"/>
          <w:szCs w:val="24"/>
        </w:rPr>
        <w:t>respecto de</w:t>
      </w:r>
      <w:r w:rsidR="00BA5615" w:rsidRPr="00103661">
        <w:rPr>
          <w:rFonts w:cs="Times New Roman"/>
          <w:sz w:val="24"/>
          <w:szCs w:val="24"/>
        </w:rPr>
        <w:t xml:space="preserve"> </w:t>
      </w:r>
      <w:r w:rsidR="007A18D0" w:rsidRPr="00103661">
        <w:rPr>
          <w:rFonts w:cs="Times New Roman"/>
          <w:sz w:val="24"/>
          <w:szCs w:val="24"/>
        </w:rPr>
        <w:t xml:space="preserve">un </w:t>
      </w:r>
      <w:r w:rsidR="007F4521" w:rsidRPr="00103661">
        <w:rPr>
          <w:rFonts w:cs="Times New Roman"/>
          <w:sz w:val="24"/>
          <w:szCs w:val="24"/>
        </w:rPr>
        <w:t>reato</w:t>
      </w:r>
      <w:r w:rsidR="00BA5615" w:rsidRPr="00103661">
        <w:rPr>
          <w:rFonts w:cs="Times New Roman"/>
          <w:sz w:val="24"/>
          <w:szCs w:val="24"/>
        </w:rPr>
        <w:t xml:space="preserve"> diferente de aquellos que hacen parte del listado de </w:t>
      </w:r>
      <w:r w:rsidR="007F4521" w:rsidRPr="00103661">
        <w:rPr>
          <w:rFonts w:cs="Times New Roman"/>
          <w:sz w:val="24"/>
          <w:szCs w:val="24"/>
        </w:rPr>
        <w:t>punibles</w:t>
      </w:r>
      <w:r w:rsidR="00BA5615" w:rsidRPr="00103661">
        <w:rPr>
          <w:rFonts w:cs="Times New Roman"/>
          <w:sz w:val="24"/>
          <w:szCs w:val="24"/>
        </w:rPr>
        <w:t xml:space="preserve"> regulados en </w:t>
      </w:r>
      <w:r w:rsidR="0061482D" w:rsidRPr="00103661">
        <w:rPr>
          <w:rFonts w:cs="Times New Roman"/>
          <w:sz w:val="24"/>
          <w:szCs w:val="24"/>
        </w:rPr>
        <w:t xml:space="preserve">el artículo 10º de </w:t>
      </w:r>
      <w:r w:rsidR="00BA5615" w:rsidRPr="00103661">
        <w:rPr>
          <w:rFonts w:cs="Times New Roman"/>
          <w:sz w:val="24"/>
          <w:szCs w:val="24"/>
        </w:rPr>
        <w:t xml:space="preserve">la ley 1.826 de 2.016. </w:t>
      </w:r>
    </w:p>
    <w:p w:rsidR="00BA5615" w:rsidRPr="00103661" w:rsidRDefault="00BA5615" w:rsidP="00103661">
      <w:pPr>
        <w:spacing w:line="276" w:lineRule="auto"/>
        <w:jc w:val="both"/>
        <w:rPr>
          <w:rFonts w:cs="Times New Roman"/>
          <w:sz w:val="24"/>
          <w:szCs w:val="24"/>
        </w:rPr>
      </w:pPr>
    </w:p>
    <w:p w:rsidR="002A0AB7" w:rsidRPr="00103661" w:rsidRDefault="00BA5615" w:rsidP="00103661">
      <w:pPr>
        <w:spacing w:line="276" w:lineRule="auto"/>
        <w:jc w:val="both"/>
        <w:rPr>
          <w:sz w:val="24"/>
          <w:szCs w:val="24"/>
        </w:rPr>
      </w:pPr>
      <w:r w:rsidRPr="00103661">
        <w:rPr>
          <w:rFonts w:cs="Times New Roman"/>
          <w:sz w:val="24"/>
          <w:szCs w:val="24"/>
        </w:rPr>
        <w:t xml:space="preserve">Acorde con lo anterior, el suscrito es de la opinión que la decisión tomada </w:t>
      </w:r>
      <w:r w:rsidR="00E71C21" w:rsidRPr="00103661">
        <w:rPr>
          <w:rFonts w:cs="Times New Roman"/>
          <w:sz w:val="24"/>
          <w:szCs w:val="24"/>
        </w:rPr>
        <w:t xml:space="preserve">en el presente asunto </w:t>
      </w:r>
      <w:r w:rsidRPr="00103661">
        <w:rPr>
          <w:rFonts w:cs="Times New Roman"/>
          <w:sz w:val="24"/>
          <w:szCs w:val="24"/>
        </w:rPr>
        <w:t xml:space="preserve">por </w:t>
      </w:r>
      <w:r w:rsidR="00E71C21" w:rsidRPr="00103661">
        <w:rPr>
          <w:rFonts w:cs="Times New Roman"/>
          <w:sz w:val="24"/>
          <w:szCs w:val="24"/>
        </w:rPr>
        <w:t xml:space="preserve">parte de </w:t>
      </w:r>
      <w:r w:rsidRPr="00103661">
        <w:rPr>
          <w:rFonts w:cs="Times New Roman"/>
          <w:sz w:val="24"/>
          <w:szCs w:val="24"/>
        </w:rPr>
        <w:t xml:space="preserve">la Sala mayoritaria </w:t>
      </w:r>
      <w:r w:rsidR="00686DD1" w:rsidRPr="00103661">
        <w:rPr>
          <w:rFonts w:cs="Times New Roman"/>
          <w:sz w:val="24"/>
          <w:szCs w:val="24"/>
        </w:rPr>
        <w:t xml:space="preserve">riñe </w:t>
      </w:r>
      <w:r w:rsidR="007F4521" w:rsidRPr="00103661">
        <w:rPr>
          <w:rFonts w:cs="Times New Roman"/>
          <w:sz w:val="24"/>
          <w:szCs w:val="24"/>
        </w:rPr>
        <w:t>groseramente con l</w:t>
      </w:r>
      <w:r w:rsidR="00E71C21" w:rsidRPr="00103661">
        <w:rPr>
          <w:rFonts w:cs="Times New Roman"/>
          <w:sz w:val="24"/>
          <w:szCs w:val="24"/>
        </w:rPr>
        <w:t xml:space="preserve">os postulados que orientan el principio de la igualdad consagrado en el artículo 13 de la Carta y el artículo 4º C.P.P. el cual, por regla general, propende que las personas que se encuentren en una misma condición o situación jurídica deban recibir un tratamiento </w:t>
      </w:r>
      <w:r w:rsidR="007F4521" w:rsidRPr="00103661">
        <w:rPr>
          <w:rFonts w:cs="Times New Roman"/>
          <w:sz w:val="24"/>
          <w:szCs w:val="24"/>
        </w:rPr>
        <w:t>s</w:t>
      </w:r>
      <w:r w:rsidR="00E71C21" w:rsidRPr="00103661">
        <w:rPr>
          <w:rFonts w:cs="Times New Roman"/>
          <w:sz w:val="24"/>
          <w:szCs w:val="24"/>
        </w:rPr>
        <w:t xml:space="preserve">imilar o afín. </w:t>
      </w:r>
      <w:r w:rsidR="002A0AB7" w:rsidRPr="00103661">
        <w:rPr>
          <w:rFonts w:cs="Times New Roman"/>
          <w:sz w:val="24"/>
          <w:szCs w:val="24"/>
        </w:rPr>
        <w:t>Por ello se dice que l</w:t>
      </w:r>
      <w:r w:rsidR="002A0AB7" w:rsidRPr="00103661">
        <w:rPr>
          <w:sz w:val="24"/>
          <w:szCs w:val="24"/>
        </w:rPr>
        <w:t xml:space="preserve">a finalidad </w:t>
      </w:r>
      <w:r w:rsidR="00C576C9" w:rsidRPr="00103661">
        <w:rPr>
          <w:sz w:val="24"/>
          <w:szCs w:val="24"/>
        </w:rPr>
        <w:t xml:space="preserve">que persigue </w:t>
      </w:r>
      <w:r w:rsidR="002A0AB7" w:rsidRPr="00103661">
        <w:rPr>
          <w:sz w:val="24"/>
          <w:szCs w:val="24"/>
        </w:rPr>
        <w:t xml:space="preserve">el principio de la igualdad es la de </w:t>
      </w:r>
      <w:r w:rsidR="00C576C9" w:rsidRPr="00103661">
        <w:rPr>
          <w:sz w:val="24"/>
          <w:szCs w:val="24"/>
        </w:rPr>
        <w:t xml:space="preserve">procurar </w:t>
      </w:r>
      <w:r w:rsidR="002A0AB7" w:rsidRPr="00103661">
        <w:rPr>
          <w:i/>
          <w:sz w:val="24"/>
          <w:szCs w:val="24"/>
        </w:rPr>
        <w:t>la igualdad ante la ley y la igualdad en la ley</w:t>
      </w:r>
      <w:r w:rsidR="002A0AB7" w:rsidRPr="00103661">
        <w:rPr>
          <w:sz w:val="24"/>
          <w:szCs w:val="24"/>
        </w:rPr>
        <w:t>, a lo que se puede llegar mediante la aplicación de cuatro mandatos en los que se cimienta el principio de la igualdad, los cuales, según la doctrina, serían los siguientes:</w:t>
      </w:r>
    </w:p>
    <w:p w:rsidR="002A0AB7" w:rsidRPr="00103661" w:rsidRDefault="002A0AB7" w:rsidP="00103661">
      <w:pPr>
        <w:spacing w:line="276" w:lineRule="auto"/>
        <w:jc w:val="both"/>
        <w:rPr>
          <w:sz w:val="24"/>
          <w:szCs w:val="24"/>
        </w:rPr>
      </w:pPr>
    </w:p>
    <w:p w:rsidR="002A0AB7" w:rsidRPr="00103661" w:rsidRDefault="002A0AB7" w:rsidP="00103661">
      <w:pPr>
        <w:spacing w:line="276" w:lineRule="auto"/>
        <w:ind w:left="567" w:right="902"/>
        <w:jc w:val="both"/>
        <w:rPr>
          <w:sz w:val="20"/>
          <w:szCs w:val="20"/>
        </w:rPr>
      </w:pPr>
      <w:r w:rsidRPr="00103661">
        <w:rPr>
          <w:sz w:val="20"/>
          <w:szCs w:val="20"/>
        </w:rPr>
        <w:t>“1. Un mandato de trato idéntico a destinatarios que se encuentren en circunstancias idénticas; 2. Un mandato de trato enteramente diferenciado a destinatarios cuyas situaciones no compartan ningún elemento común; 3. Un mandato de trato paritario a destinatarios cuyas situaciones presentan similitudes y diferencias, pero las similitudes son más relevantes que las diferencias (trato igual a pesar de las diferencias), y 4. Un mandato de trato diferenciado a destinatarios que se encuentran también en una posición en parte en parte similar y en parte diversa, pero en cuyo caso las diferencias sean más relevantes que las similitudes (trato diferente a pesar de la similitud)……..”</w:t>
      </w:r>
      <w:r w:rsidRPr="00103661">
        <w:rPr>
          <w:rStyle w:val="Refdenotaalpie"/>
          <w:sz w:val="20"/>
          <w:szCs w:val="20"/>
        </w:rPr>
        <w:footnoteReference w:id="1"/>
      </w:r>
      <w:r w:rsidRPr="00103661">
        <w:rPr>
          <w:sz w:val="20"/>
          <w:szCs w:val="20"/>
        </w:rPr>
        <w:t xml:space="preserve">.  </w:t>
      </w:r>
    </w:p>
    <w:p w:rsidR="002A0AB7" w:rsidRPr="00103661" w:rsidRDefault="002A0AB7" w:rsidP="00103661">
      <w:pPr>
        <w:spacing w:line="276" w:lineRule="auto"/>
        <w:jc w:val="both"/>
        <w:rPr>
          <w:rFonts w:cs="Times New Roman"/>
          <w:sz w:val="24"/>
          <w:szCs w:val="24"/>
        </w:rPr>
      </w:pPr>
    </w:p>
    <w:p w:rsidR="00E731F9" w:rsidRPr="00103661" w:rsidRDefault="002A0AB7" w:rsidP="00103661">
      <w:pPr>
        <w:spacing w:line="276" w:lineRule="auto"/>
        <w:jc w:val="both"/>
        <w:rPr>
          <w:rFonts w:cs="Times New Roman"/>
          <w:sz w:val="24"/>
          <w:szCs w:val="24"/>
        </w:rPr>
      </w:pPr>
      <w:r w:rsidRPr="00103661">
        <w:rPr>
          <w:rFonts w:cs="Times New Roman"/>
          <w:sz w:val="24"/>
          <w:szCs w:val="24"/>
        </w:rPr>
        <w:t xml:space="preserve">Ahora bien, acorde con los antes enunciados cuatro mandatos, de igual forma </w:t>
      </w:r>
      <w:r w:rsidR="00C576C9" w:rsidRPr="00103661">
        <w:rPr>
          <w:rFonts w:cs="Times New Roman"/>
          <w:sz w:val="24"/>
          <w:szCs w:val="24"/>
        </w:rPr>
        <w:t xml:space="preserve">se tiene que </w:t>
      </w:r>
      <w:r w:rsidRPr="00103661">
        <w:rPr>
          <w:rFonts w:cs="Times New Roman"/>
          <w:sz w:val="24"/>
          <w:szCs w:val="24"/>
        </w:rPr>
        <w:t>para poder establecer</w:t>
      </w:r>
      <w:r w:rsidR="00E62160" w:rsidRPr="00103661">
        <w:rPr>
          <w:rFonts w:cs="Times New Roman"/>
          <w:sz w:val="24"/>
          <w:szCs w:val="24"/>
        </w:rPr>
        <w:t xml:space="preserve"> </w:t>
      </w:r>
      <w:r w:rsidRPr="00103661">
        <w:rPr>
          <w:rFonts w:cs="Times New Roman"/>
          <w:sz w:val="24"/>
          <w:szCs w:val="24"/>
        </w:rPr>
        <w:t xml:space="preserve">cuándo tiene o no ocurrencia </w:t>
      </w:r>
      <w:r w:rsidR="00E62160" w:rsidRPr="00103661">
        <w:rPr>
          <w:rFonts w:cs="Times New Roman"/>
          <w:sz w:val="24"/>
          <w:szCs w:val="24"/>
        </w:rPr>
        <w:t xml:space="preserve">una vulneración del principio a la igualdad </w:t>
      </w:r>
      <w:r w:rsidRPr="00103661">
        <w:rPr>
          <w:rFonts w:cs="Times New Roman"/>
          <w:sz w:val="24"/>
          <w:szCs w:val="24"/>
        </w:rPr>
        <w:t xml:space="preserve">en lo que atañe con </w:t>
      </w:r>
      <w:r w:rsidR="00E62160" w:rsidRPr="00103661">
        <w:rPr>
          <w:rFonts w:cs="Times New Roman"/>
          <w:sz w:val="24"/>
          <w:szCs w:val="24"/>
        </w:rPr>
        <w:t xml:space="preserve">el tratamiento diferencial </w:t>
      </w:r>
      <w:r w:rsidRPr="00103661">
        <w:rPr>
          <w:rFonts w:cs="Times New Roman"/>
          <w:sz w:val="24"/>
          <w:szCs w:val="24"/>
        </w:rPr>
        <w:t xml:space="preserve">que una medida legislativa le ha </w:t>
      </w:r>
      <w:r w:rsidR="00E62160" w:rsidRPr="00103661">
        <w:rPr>
          <w:rFonts w:cs="Times New Roman"/>
          <w:sz w:val="24"/>
          <w:szCs w:val="24"/>
        </w:rPr>
        <w:t>dado a unas personas que se encuentren en la misma situación o condición</w:t>
      </w:r>
      <w:r w:rsidRPr="00103661">
        <w:rPr>
          <w:rFonts w:cs="Times New Roman"/>
          <w:sz w:val="24"/>
          <w:szCs w:val="24"/>
        </w:rPr>
        <w:t xml:space="preserve"> de otras personas </w:t>
      </w:r>
      <w:r w:rsidR="00ED4F8A" w:rsidRPr="00103661">
        <w:rPr>
          <w:rFonts w:cs="Times New Roman"/>
          <w:sz w:val="24"/>
          <w:szCs w:val="24"/>
        </w:rPr>
        <w:t>que están bajo el amparo de una</w:t>
      </w:r>
      <w:r w:rsidRPr="00103661">
        <w:rPr>
          <w:rFonts w:cs="Times New Roman"/>
          <w:sz w:val="24"/>
          <w:szCs w:val="24"/>
        </w:rPr>
        <w:t xml:space="preserve"> la misma ley</w:t>
      </w:r>
      <w:r w:rsidR="00E62160" w:rsidRPr="00103661">
        <w:rPr>
          <w:rFonts w:cs="Times New Roman"/>
          <w:sz w:val="24"/>
          <w:szCs w:val="24"/>
        </w:rPr>
        <w:t xml:space="preserve">, se torna necesario acudir a lo que </w:t>
      </w:r>
      <w:r w:rsidR="00ED4F8A" w:rsidRPr="00103661">
        <w:rPr>
          <w:rFonts w:cs="Times New Roman"/>
          <w:sz w:val="24"/>
          <w:szCs w:val="24"/>
        </w:rPr>
        <w:t>la</w:t>
      </w:r>
      <w:r w:rsidR="00E62160" w:rsidRPr="00103661">
        <w:rPr>
          <w:rFonts w:cs="Times New Roman"/>
          <w:sz w:val="24"/>
          <w:szCs w:val="24"/>
        </w:rPr>
        <w:t xml:space="preserve"> jurisprudencia y la doctrina han denominado </w:t>
      </w:r>
      <w:r w:rsidR="00E62160" w:rsidRPr="00103661">
        <w:rPr>
          <w:rFonts w:cs="Times New Roman"/>
          <w:sz w:val="24"/>
          <w:szCs w:val="24"/>
        </w:rPr>
        <w:lastRenderedPageBreak/>
        <w:t xml:space="preserve">como </w:t>
      </w:r>
      <w:r w:rsidRPr="00103661">
        <w:rPr>
          <w:rFonts w:cs="Times New Roman"/>
          <w:sz w:val="24"/>
          <w:szCs w:val="24"/>
        </w:rPr>
        <w:t xml:space="preserve">el </w:t>
      </w:r>
      <w:r w:rsidR="00E62160" w:rsidRPr="00103661">
        <w:rPr>
          <w:rFonts w:cs="Times New Roman"/>
          <w:i/>
          <w:sz w:val="24"/>
          <w:szCs w:val="24"/>
        </w:rPr>
        <w:t xml:space="preserve">test de igualdad, </w:t>
      </w:r>
      <w:r w:rsidR="00E62160" w:rsidRPr="00103661">
        <w:rPr>
          <w:rFonts w:cs="Times New Roman"/>
          <w:sz w:val="24"/>
          <w:szCs w:val="24"/>
        </w:rPr>
        <w:t xml:space="preserve">en virtud del cual al interprete </w:t>
      </w:r>
      <w:r w:rsidR="00ED4F8A" w:rsidRPr="00103661">
        <w:rPr>
          <w:rFonts w:cs="Times New Roman"/>
          <w:sz w:val="24"/>
          <w:szCs w:val="24"/>
        </w:rPr>
        <w:t xml:space="preserve">o al operador judicial </w:t>
      </w:r>
      <w:r w:rsidR="00E62160" w:rsidRPr="00103661">
        <w:rPr>
          <w:rFonts w:cs="Times New Roman"/>
          <w:sz w:val="24"/>
          <w:szCs w:val="24"/>
        </w:rPr>
        <w:t xml:space="preserve">le asiste la obligación de verificar </w:t>
      </w:r>
      <w:r w:rsidR="007F4521" w:rsidRPr="00103661">
        <w:rPr>
          <w:rFonts w:cs="Times New Roman"/>
          <w:sz w:val="24"/>
          <w:szCs w:val="24"/>
        </w:rPr>
        <w:t xml:space="preserve">la ocurrencia de </w:t>
      </w:r>
      <w:r w:rsidR="00E62160" w:rsidRPr="00103661">
        <w:rPr>
          <w:rFonts w:cs="Times New Roman"/>
          <w:sz w:val="24"/>
          <w:szCs w:val="24"/>
        </w:rPr>
        <w:t xml:space="preserve">los siguientes elementos: </w:t>
      </w:r>
    </w:p>
    <w:p w:rsidR="00E62160" w:rsidRPr="00103661" w:rsidRDefault="00E62160" w:rsidP="00103661">
      <w:pPr>
        <w:spacing w:line="276" w:lineRule="auto"/>
        <w:jc w:val="both"/>
        <w:rPr>
          <w:rFonts w:cs="Times New Roman"/>
          <w:sz w:val="24"/>
          <w:szCs w:val="24"/>
        </w:rPr>
      </w:pPr>
    </w:p>
    <w:p w:rsidR="00E60F7C" w:rsidRPr="00103661" w:rsidRDefault="00E62160" w:rsidP="00103661">
      <w:pPr>
        <w:pStyle w:val="Prrafodelista"/>
        <w:numPr>
          <w:ilvl w:val="0"/>
          <w:numId w:val="4"/>
        </w:numPr>
        <w:spacing w:line="276" w:lineRule="auto"/>
        <w:ind w:left="360"/>
        <w:jc w:val="both"/>
        <w:rPr>
          <w:rFonts w:cs="Times New Roman"/>
          <w:sz w:val="24"/>
          <w:szCs w:val="24"/>
        </w:rPr>
      </w:pPr>
      <w:r w:rsidRPr="00103661">
        <w:rPr>
          <w:rFonts w:cs="Times New Roman"/>
          <w:sz w:val="24"/>
          <w:szCs w:val="24"/>
        </w:rPr>
        <w:t xml:space="preserve">Determinar si </w:t>
      </w:r>
      <w:r w:rsidR="00E60F7C" w:rsidRPr="00103661">
        <w:rPr>
          <w:rFonts w:cs="Times New Roman"/>
          <w:sz w:val="24"/>
          <w:szCs w:val="24"/>
        </w:rPr>
        <w:t xml:space="preserve">las personas </w:t>
      </w:r>
      <w:r w:rsidR="002A0AB7" w:rsidRPr="00103661">
        <w:rPr>
          <w:rFonts w:cs="Times New Roman"/>
          <w:sz w:val="24"/>
          <w:szCs w:val="24"/>
        </w:rPr>
        <w:t xml:space="preserve">se </w:t>
      </w:r>
      <w:r w:rsidR="00E60F7C" w:rsidRPr="00103661">
        <w:rPr>
          <w:rFonts w:cs="Times New Roman"/>
          <w:sz w:val="24"/>
          <w:szCs w:val="24"/>
        </w:rPr>
        <w:t>encuentran en un mismo plano de igualdad o de desigualdad</w:t>
      </w:r>
      <w:r w:rsidR="00556B01" w:rsidRPr="00103661">
        <w:rPr>
          <w:rFonts w:cs="Times New Roman"/>
          <w:sz w:val="24"/>
          <w:szCs w:val="24"/>
        </w:rPr>
        <w:t>,</w:t>
      </w:r>
      <w:r w:rsidR="00E60F7C" w:rsidRPr="00103661">
        <w:rPr>
          <w:rFonts w:cs="Times New Roman"/>
          <w:sz w:val="24"/>
          <w:szCs w:val="24"/>
        </w:rPr>
        <w:t xml:space="preserve"> </w:t>
      </w:r>
      <w:r w:rsidR="007F4521" w:rsidRPr="00103661">
        <w:rPr>
          <w:rFonts w:cs="Times New Roman"/>
          <w:sz w:val="24"/>
          <w:szCs w:val="24"/>
        </w:rPr>
        <w:t xml:space="preserve">para lo cual es necesario </w:t>
      </w:r>
      <w:r w:rsidR="00C576C9" w:rsidRPr="00103661">
        <w:rPr>
          <w:rFonts w:cs="Times New Roman"/>
          <w:sz w:val="24"/>
          <w:szCs w:val="24"/>
        </w:rPr>
        <w:t xml:space="preserve">acudir a lo que se denominado como </w:t>
      </w:r>
      <w:r w:rsidR="00C576C9" w:rsidRPr="00103661">
        <w:rPr>
          <w:rFonts w:cs="Times New Roman"/>
          <w:i/>
          <w:sz w:val="24"/>
          <w:szCs w:val="24"/>
        </w:rPr>
        <w:t xml:space="preserve">tertium comparationis, </w:t>
      </w:r>
      <w:r w:rsidR="00C576C9" w:rsidRPr="00103661">
        <w:rPr>
          <w:rFonts w:cs="Times New Roman"/>
          <w:sz w:val="24"/>
          <w:szCs w:val="24"/>
        </w:rPr>
        <w:t xml:space="preserve">lo que consiste en </w:t>
      </w:r>
      <w:r w:rsidR="007F4521" w:rsidRPr="00103661">
        <w:rPr>
          <w:rFonts w:cs="Times New Roman"/>
          <w:sz w:val="24"/>
          <w:szCs w:val="24"/>
        </w:rPr>
        <w:t xml:space="preserve">verificar </w:t>
      </w:r>
      <w:r w:rsidR="00556B01" w:rsidRPr="00103661">
        <w:rPr>
          <w:rFonts w:cs="Times New Roman"/>
          <w:sz w:val="24"/>
          <w:szCs w:val="24"/>
        </w:rPr>
        <w:t>si entre ellas existe la</w:t>
      </w:r>
      <w:r w:rsidR="00E60F7C" w:rsidRPr="00103661">
        <w:rPr>
          <w:rFonts w:cs="Times New Roman"/>
          <w:sz w:val="24"/>
          <w:szCs w:val="24"/>
        </w:rPr>
        <w:t xml:space="preserve"> presencia </w:t>
      </w:r>
      <w:r w:rsidR="002A0AB7" w:rsidRPr="00103661">
        <w:rPr>
          <w:rFonts w:cs="Times New Roman"/>
          <w:sz w:val="24"/>
          <w:szCs w:val="24"/>
        </w:rPr>
        <w:t xml:space="preserve">de </w:t>
      </w:r>
      <w:r w:rsidR="007F4521" w:rsidRPr="00103661">
        <w:rPr>
          <w:rFonts w:cs="Times New Roman"/>
          <w:sz w:val="24"/>
          <w:szCs w:val="24"/>
        </w:rPr>
        <w:t>algún tipo de común denominador</w:t>
      </w:r>
      <w:r w:rsidR="00556B01" w:rsidRPr="00103661">
        <w:rPr>
          <w:rFonts w:cs="Times New Roman"/>
          <w:sz w:val="24"/>
          <w:szCs w:val="24"/>
        </w:rPr>
        <w:t xml:space="preserve"> o </w:t>
      </w:r>
      <w:r w:rsidR="002A0AB7" w:rsidRPr="00103661">
        <w:rPr>
          <w:rFonts w:cs="Times New Roman"/>
          <w:sz w:val="24"/>
          <w:szCs w:val="24"/>
        </w:rPr>
        <w:t xml:space="preserve">de </w:t>
      </w:r>
      <w:r w:rsidR="00E60F7C" w:rsidRPr="00103661">
        <w:rPr>
          <w:rFonts w:cs="Times New Roman"/>
          <w:sz w:val="24"/>
          <w:szCs w:val="24"/>
        </w:rPr>
        <w:t xml:space="preserve">situaciones </w:t>
      </w:r>
      <w:r w:rsidR="00556B01" w:rsidRPr="00103661">
        <w:rPr>
          <w:rFonts w:cs="Times New Roman"/>
          <w:sz w:val="24"/>
          <w:szCs w:val="24"/>
        </w:rPr>
        <w:t xml:space="preserve">que le sean </w:t>
      </w:r>
      <w:r w:rsidR="00E60F7C" w:rsidRPr="00103661">
        <w:rPr>
          <w:rFonts w:cs="Times New Roman"/>
          <w:sz w:val="24"/>
          <w:szCs w:val="24"/>
        </w:rPr>
        <w:t>similares o afines</w:t>
      </w:r>
      <w:r w:rsidR="00E60F7C" w:rsidRPr="00103661">
        <w:rPr>
          <w:rFonts w:cs="Times New Roman"/>
          <w:i/>
          <w:sz w:val="24"/>
          <w:szCs w:val="24"/>
        </w:rPr>
        <w:t>.</w:t>
      </w:r>
    </w:p>
    <w:p w:rsidR="00E60F7C" w:rsidRPr="00103661" w:rsidRDefault="00E60F7C" w:rsidP="00103661">
      <w:pPr>
        <w:spacing w:line="276" w:lineRule="auto"/>
        <w:jc w:val="both"/>
        <w:rPr>
          <w:rFonts w:cs="Times New Roman"/>
          <w:sz w:val="24"/>
          <w:szCs w:val="24"/>
        </w:rPr>
      </w:pPr>
    </w:p>
    <w:p w:rsidR="00556B01" w:rsidRPr="00103661" w:rsidRDefault="00556B01" w:rsidP="00103661">
      <w:pPr>
        <w:pStyle w:val="Prrafodelista"/>
        <w:numPr>
          <w:ilvl w:val="0"/>
          <w:numId w:val="4"/>
        </w:numPr>
        <w:spacing w:line="276" w:lineRule="auto"/>
        <w:ind w:left="360"/>
        <w:jc w:val="both"/>
        <w:rPr>
          <w:rFonts w:cs="Times New Roman"/>
          <w:sz w:val="24"/>
          <w:szCs w:val="24"/>
        </w:rPr>
      </w:pPr>
      <w:r w:rsidRPr="00103661">
        <w:rPr>
          <w:rFonts w:cs="Times New Roman"/>
          <w:sz w:val="24"/>
          <w:szCs w:val="24"/>
        </w:rPr>
        <w:t>Precisar</w:t>
      </w:r>
      <w:r w:rsidR="00E60F7C" w:rsidRPr="00103661">
        <w:rPr>
          <w:rFonts w:cs="Times New Roman"/>
          <w:sz w:val="24"/>
          <w:szCs w:val="24"/>
        </w:rPr>
        <w:t xml:space="preserve"> si </w:t>
      </w:r>
      <w:r w:rsidR="00A50AF0" w:rsidRPr="00103661">
        <w:rPr>
          <w:rFonts w:cs="Times New Roman"/>
          <w:sz w:val="24"/>
          <w:szCs w:val="24"/>
        </w:rPr>
        <w:t xml:space="preserve">se le está dando un tratamiento legislativo diferente o diferenciado </w:t>
      </w:r>
      <w:r w:rsidR="007F4521" w:rsidRPr="00103661">
        <w:rPr>
          <w:rFonts w:cs="Times New Roman"/>
          <w:sz w:val="24"/>
          <w:szCs w:val="24"/>
        </w:rPr>
        <w:t xml:space="preserve">a alguna de las personas </w:t>
      </w:r>
      <w:r w:rsidR="00A50AF0" w:rsidRPr="00103661">
        <w:rPr>
          <w:rFonts w:cs="Times New Roman"/>
          <w:sz w:val="24"/>
          <w:szCs w:val="24"/>
        </w:rPr>
        <w:t xml:space="preserve">o a un grupo de ellas </w:t>
      </w:r>
      <w:r w:rsidR="007F4521" w:rsidRPr="00103661">
        <w:rPr>
          <w:rFonts w:cs="Times New Roman"/>
          <w:sz w:val="24"/>
          <w:szCs w:val="24"/>
        </w:rPr>
        <w:t xml:space="preserve">que se </w:t>
      </w:r>
      <w:r w:rsidR="00E60F7C" w:rsidRPr="00103661">
        <w:rPr>
          <w:rFonts w:cs="Times New Roman"/>
          <w:sz w:val="24"/>
          <w:szCs w:val="24"/>
        </w:rPr>
        <w:t>encuentr</w:t>
      </w:r>
      <w:r w:rsidR="005F0C24" w:rsidRPr="00103661">
        <w:rPr>
          <w:rFonts w:cs="Times New Roman"/>
          <w:sz w:val="24"/>
          <w:szCs w:val="24"/>
        </w:rPr>
        <w:t>a</w:t>
      </w:r>
      <w:r w:rsidR="00E60F7C" w:rsidRPr="00103661">
        <w:rPr>
          <w:rFonts w:cs="Times New Roman"/>
          <w:sz w:val="24"/>
          <w:szCs w:val="24"/>
        </w:rPr>
        <w:t xml:space="preserve">n </w:t>
      </w:r>
      <w:r w:rsidRPr="00103661">
        <w:rPr>
          <w:rFonts w:cs="Times New Roman"/>
          <w:sz w:val="24"/>
          <w:szCs w:val="24"/>
        </w:rPr>
        <w:t xml:space="preserve">bajo la egida de </w:t>
      </w:r>
      <w:r w:rsidR="00E60F7C" w:rsidRPr="00103661">
        <w:rPr>
          <w:rFonts w:cs="Times New Roman"/>
          <w:sz w:val="24"/>
          <w:szCs w:val="24"/>
        </w:rPr>
        <w:t>las mismas condiciones o situaciones fácticas</w:t>
      </w:r>
      <w:r w:rsidRPr="00103661">
        <w:rPr>
          <w:rFonts w:cs="Times New Roman"/>
          <w:sz w:val="24"/>
          <w:szCs w:val="24"/>
        </w:rPr>
        <w:t>, o que exista afin</w:t>
      </w:r>
      <w:r w:rsidR="00A50AF0" w:rsidRPr="00103661">
        <w:rPr>
          <w:rFonts w:cs="Times New Roman"/>
          <w:sz w:val="24"/>
          <w:szCs w:val="24"/>
        </w:rPr>
        <w:t>idad entre tales circunstancias</w:t>
      </w:r>
      <w:r w:rsidRPr="00103661">
        <w:rPr>
          <w:rFonts w:cs="Times New Roman"/>
          <w:sz w:val="24"/>
          <w:szCs w:val="24"/>
        </w:rPr>
        <w:t xml:space="preserve">. </w:t>
      </w:r>
    </w:p>
    <w:p w:rsidR="00556B01" w:rsidRPr="00103661" w:rsidRDefault="00556B01" w:rsidP="00103661">
      <w:pPr>
        <w:spacing w:line="276" w:lineRule="auto"/>
        <w:jc w:val="both"/>
        <w:rPr>
          <w:rFonts w:cs="Times New Roman"/>
          <w:sz w:val="24"/>
          <w:szCs w:val="24"/>
        </w:rPr>
      </w:pPr>
    </w:p>
    <w:p w:rsidR="00271764" w:rsidRPr="00103661" w:rsidRDefault="00556B01" w:rsidP="00103661">
      <w:pPr>
        <w:pStyle w:val="Prrafodelista"/>
        <w:numPr>
          <w:ilvl w:val="0"/>
          <w:numId w:val="4"/>
        </w:numPr>
        <w:spacing w:line="276" w:lineRule="auto"/>
        <w:ind w:left="360"/>
        <w:jc w:val="both"/>
        <w:rPr>
          <w:rFonts w:cs="Times New Roman"/>
          <w:sz w:val="24"/>
          <w:szCs w:val="24"/>
        </w:rPr>
      </w:pPr>
      <w:r w:rsidRPr="00103661">
        <w:rPr>
          <w:rFonts w:cs="Times New Roman"/>
          <w:sz w:val="24"/>
          <w:szCs w:val="24"/>
        </w:rPr>
        <w:t xml:space="preserve">Establecer </w:t>
      </w:r>
      <w:r w:rsidR="00271764" w:rsidRPr="00103661">
        <w:rPr>
          <w:rFonts w:cs="Times New Roman"/>
          <w:sz w:val="24"/>
          <w:szCs w:val="24"/>
        </w:rPr>
        <w:t xml:space="preserve">si existen razones o motivos que a nivel constitucional justifiquen o ameriten la diferencia </w:t>
      </w:r>
      <w:r w:rsidRPr="00103661">
        <w:rPr>
          <w:rFonts w:cs="Times New Roman"/>
          <w:sz w:val="24"/>
          <w:szCs w:val="24"/>
        </w:rPr>
        <w:t>de trato</w:t>
      </w:r>
      <w:r w:rsidR="00271764" w:rsidRPr="00103661">
        <w:rPr>
          <w:rFonts w:cs="Times New Roman"/>
          <w:sz w:val="24"/>
          <w:szCs w:val="24"/>
        </w:rPr>
        <w:t xml:space="preserve">, </w:t>
      </w:r>
      <w:r w:rsidR="00A50AF0" w:rsidRPr="00103661">
        <w:rPr>
          <w:rFonts w:cs="Times New Roman"/>
          <w:sz w:val="24"/>
          <w:szCs w:val="24"/>
        </w:rPr>
        <w:t>o si dicho tratamiento diferencial es avalado o prohibido por la Carta.</w:t>
      </w:r>
    </w:p>
    <w:p w:rsidR="00A50AF0" w:rsidRPr="00103661" w:rsidRDefault="00A50AF0" w:rsidP="00103661">
      <w:pPr>
        <w:pStyle w:val="Prrafodelista"/>
        <w:spacing w:line="276" w:lineRule="auto"/>
        <w:rPr>
          <w:rFonts w:cs="Times New Roman"/>
          <w:sz w:val="24"/>
          <w:szCs w:val="24"/>
        </w:rPr>
      </w:pPr>
    </w:p>
    <w:p w:rsidR="005F0C24" w:rsidRPr="00103661" w:rsidRDefault="00A50AF0" w:rsidP="00103661">
      <w:pPr>
        <w:spacing w:line="276" w:lineRule="auto"/>
        <w:jc w:val="both"/>
        <w:rPr>
          <w:rFonts w:cs="Times New Roman"/>
          <w:sz w:val="24"/>
          <w:szCs w:val="24"/>
        </w:rPr>
      </w:pPr>
      <w:r w:rsidRPr="00103661">
        <w:rPr>
          <w:rFonts w:cs="Times New Roman"/>
          <w:sz w:val="24"/>
          <w:szCs w:val="24"/>
        </w:rPr>
        <w:t xml:space="preserve">Acorde con lo anterior, el suscrito es de la humilde opinión consistente en que </w:t>
      </w:r>
      <w:r w:rsidR="00271764" w:rsidRPr="00103661">
        <w:rPr>
          <w:rFonts w:cs="Times New Roman"/>
          <w:sz w:val="24"/>
          <w:szCs w:val="24"/>
        </w:rPr>
        <w:t>si la Sala mayoritaria hubiera aplicado en el presente asunto el test de igualdad, se</w:t>
      </w:r>
      <w:r w:rsidR="00A92A5C" w:rsidRPr="00103661">
        <w:rPr>
          <w:rFonts w:cs="Times New Roman"/>
          <w:sz w:val="24"/>
          <w:szCs w:val="24"/>
        </w:rPr>
        <w:t>guramente que se</w:t>
      </w:r>
      <w:r w:rsidR="00271764" w:rsidRPr="00103661">
        <w:rPr>
          <w:rFonts w:cs="Times New Roman"/>
          <w:sz w:val="24"/>
          <w:szCs w:val="24"/>
        </w:rPr>
        <w:t xml:space="preserve"> habría dado cuenta de</w:t>
      </w:r>
      <w:r w:rsidRPr="00103661">
        <w:rPr>
          <w:rFonts w:cs="Times New Roman"/>
          <w:sz w:val="24"/>
          <w:szCs w:val="24"/>
        </w:rPr>
        <w:t xml:space="preserve"> que a pesar de las diferencias habidas entre el proceso ordinario y el proceso abreviado especial, de igual forma </w:t>
      </w:r>
      <w:r w:rsidR="00A92A5C" w:rsidRPr="00103661">
        <w:rPr>
          <w:rFonts w:cs="Times New Roman"/>
          <w:sz w:val="24"/>
          <w:szCs w:val="24"/>
        </w:rPr>
        <w:t xml:space="preserve">entre ambos </w:t>
      </w:r>
      <w:r w:rsidRPr="00103661">
        <w:rPr>
          <w:rFonts w:cs="Times New Roman"/>
          <w:sz w:val="24"/>
          <w:szCs w:val="24"/>
        </w:rPr>
        <w:t xml:space="preserve">existían </w:t>
      </w:r>
      <w:r w:rsidR="00E63D88" w:rsidRPr="00103661">
        <w:rPr>
          <w:rFonts w:cs="Times New Roman"/>
          <w:sz w:val="24"/>
          <w:szCs w:val="24"/>
        </w:rPr>
        <w:t>una serie de</w:t>
      </w:r>
      <w:r w:rsidRPr="00103661">
        <w:rPr>
          <w:rFonts w:cs="Times New Roman"/>
          <w:sz w:val="24"/>
          <w:szCs w:val="24"/>
        </w:rPr>
        <w:t xml:space="preserve"> similitudes </w:t>
      </w:r>
      <w:r w:rsidR="00A92A5C" w:rsidRPr="00103661">
        <w:rPr>
          <w:rFonts w:cs="Times New Roman"/>
          <w:sz w:val="24"/>
          <w:szCs w:val="24"/>
        </w:rPr>
        <w:t>que tendrían</w:t>
      </w:r>
      <w:r w:rsidR="00E63D88" w:rsidRPr="00103661">
        <w:rPr>
          <w:rFonts w:cs="Times New Roman"/>
          <w:sz w:val="24"/>
          <w:szCs w:val="24"/>
        </w:rPr>
        <w:t xml:space="preserve"> </w:t>
      </w:r>
      <w:r w:rsidR="00A92A5C" w:rsidRPr="00103661">
        <w:rPr>
          <w:rFonts w:cs="Times New Roman"/>
          <w:sz w:val="24"/>
          <w:szCs w:val="24"/>
        </w:rPr>
        <w:t xml:space="preserve">una </w:t>
      </w:r>
      <w:r w:rsidR="00E63D88" w:rsidRPr="00103661">
        <w:rPr>
          <w:rFonts w:cs="Times New Roman"/>
          <w:sz w:val="24"/>
          <w:szCs w:val="24"/>
        </w:rPr>
        <w:t>mayor relevancia que las diferencias</w:t>
      </w:r>
      <w:r w:rsidRPr="00103661">
        <w:rPr>
          <w:rFonts w:cs="Times New Roman"/>
          <w:sz w:val="24"/>
          <w:szCs w:val="24"/>
        </w:rPr>
        <w:t xml:space="preserve">, lo que </w:t>
      </w:r>
      <w:r w:rsidR="00A92A5C" w:rsidRPr="00103661">
        <w:rPr>
          <w:rFonts w:cs="Times New Roman"/>
          <w:sz w:val="24"/>
          <w:szCs w:val="24"/>
        </w:rPr>
        <w:t>ameritaría</w:t>
      </w:r>
      <w:r w:rsidRPr="00103661">
        <w:rPr>
          <w:rFonts w:cs="Times New Roman"/>
          <w:sz w:val="24"/>
          <w:szCs w:val="24"/>
        </w:rPr>
        <w:t xml:space="preserve"> </w:t>
      </w:r>
      <w:r w:rsidR="00E63D88" w:rsidRPr="00103661">
        <w:rPr>
          <w:rFonts w:cs="Times New Roman"/>
          <w:sz w:val="24"/>
          <w:szCs w:val="24"/>
        </w:rPr>
        <w:t xml:space="preserve">que sin importar las diferencias, a las personas involucradas en el proceso penal ordinario que decidan allanarse a los cargos en la audiencia de formulación de la acusación, </w:t>
      </w:r>
      <w:r w:rsidR="00A92A5C" w:rsidRPr="00103661">
        <w:rPr>
          <w:rFonts w:cs="Times New Roman"/>
          <w:sz w:val="24"/>
          <w:szCs w:val="24"/>
        </w:rPr>
        <w:t xml:space="preserve">en materia de descuentos punitivos en los eventos de allanamiento a cargos en casos de flagrancia, </w:t>
      </w:r>
      <w:r w:rsidR="00E63D88" w:rsidRPr="00103661">
        <w:rPr>
          <w:rFonts w:cs="Times New Roman"/>
          <w:sz w:val="24"/>
          <w:szCs w:val="24"/>
        </w:rPr>
        <w:t xml:space="preserve">se les debería dar un tratamiento </w:t>
      </w:r>
      <w:r w:rsidR="00A92A5C" w:rsidRPr="00103661">
        <w:rPr>
          <w:rFonts w:cs="Times New Roman"/>
          <w:sz w:val="24"/>
          <w:szCs w:val="24"/>
        </w:rPr>
        <w:t>similar</w:t>
      </w:r>
      <w:r w:rsidR="00E63D88" w:rsidRPr="00103661">
        <w:rPr>
          <w:rFonts w:cs="Times New Roman"/>
          <w:sz w:val="24"/>
          <w:szCs w:val="24"/>
        </w:rPr>
        <w:t xml:space="preserve"> o </w:t>
      </w:r>
      <w:r w:rsidRPr="00103661">
        <w:rPr>
          <w:rFonts w:cs="Times New Roman"/>
          <w:sz w:val="24"/>
          <w:szCs w:val="24"/>
        </w:rPr>
        <w:t xml:space="preserve">paritario </w:t>
      </w:r>
      <w:r w:rsidR="00E63D88" w:rsidRPr="00103661">
        <w:rPr>
          <w:rFonts w:cs="Times New Roman"/>
          <w:sz w:val="24"/>
          <w:szCs w:val="24"/>
        </w:rPr>
        <w:t xml:space="preserve">que el dado en esos mismos eventos en el proceso abreviado especial, </w:t>
      </w:r>
      <w:r w:rsidRPr="00103661">
        <w:rPr>
          <w:rFonts w:cs="Times New Roman"/>
          <w:sz w:val="24"/>
          <w:szCs w:val="24"/>
        </w:rPr>
        <w:t xml:space="preserve">si nos atenemos a </w:t>
      </w:r>
      <w:r w:rsidR="00271764" w:rsidRPr="00103661">
        <w:rPr>
          <w:rFonts w:cs="Times New Roman"/>
          <w:sz w:val="24"/>
          <w:szCs w:val="24"/>
        </w:rPr>
        <w:t xml:space="preserve">lo siguiente: </w:t>
      </w:r>
    </w:p>
    <w:p w:rsidR="005F0C24" w:rsidRPr="00103661" w:rsidRDefault="005F0C24" w:rsidP="00103661">
      <w:pPr>
        <w:spacing w:line="276" w:lineRule="auto"/>
        <w:jc w:val="both"/>
        <w:rPr>
          <w:rFonts w:cs="Times New Roman"/>
          <w:sz w:val="24"/>
          <w:szCs w:val="24"/>
        </w:rPr>
      </w:pPr>
    </w:p>
    <w:p w:rsidR="00271764" w:rsidRPr="00103661" w:rsidRDefault="005F0C24" w:rsidP="00103661">
      <w:pPr>
        <w:pStyle w:val="Prrafodelista"/>
        <w:numPr>
          <w:ilvl w:val="0"/>
          <w:numId w:val="7"/>
        </w:numPr>
        <w:spacing w:line="276" w:lineRule="auto"/>
        <w:ind w:left="360"/>
        <w:jc w:val="both"/>
        <w:rPr>
          <w:rFonts w:cs="Times New Roman"/>
          <w:sz w:val="24"/>
          <w:szCs w:val="24"/>
        </w:rPr>
      </w:pPr>
      <w:r w:rsidRPr="00103661">
        <w:rPr>
          <w:rFonts w:cs="Times New Roman"/>
          <w:sz w:val="24"/>
          <w:szCs w:val="24"/>
        </w:rPr>
        <w:t xml:space="preserve">Al hacer uso del </w:t>
      </w:r>
      <w:r w:rsidRPr="00103661">
        <w:rPr>
          <w:rFonts w:cs="Times New Roman"/>
          <w:i/>
          <w:sz w:val="24"/>
          <w:szCs w:val="24"/>
        </w:rPr>
        <w:t>tertium comparationis</w:t>
      </w:r>
      <w:r w:rsidR="0010076D" w:rsidRPr="00103661">
        <w:rPr>
          <w:rFonts w:cs="Times New Roman"/>
          <w:sz w:val="24"/>
          <w:szCs w:val="24"/>
        </w:rPr>
        <w:t xml:space="preserve">, vemos que </w:t>
      </w:r>
      <w:r w:rsidR="00BA45C0" w:rsidRPr="00103661">
        <w:rPr>
          <w:rFonts w:cs="Times New Roman"/>
          <w:sz w:val="24"/>
          <w:szCs w:val="24"/>
        </w:rPr>
        <w:t xml:space="preserve">no existe duda </w:t>
      </w:r>
      <w:r w:rsidR="00BA54C1" w:rsidRPr="00103661">
        <w:rPr>
          <w:rFonts w:cs="Times New Roman"/>
          <w:sz w:val="24"/>
          <w:szCs w:val="24"/>
        </w:rPr>
        <w:t xml:space="preserve">alguna </w:t>
      </w:r>
      <w:r w:rsidR="00BA45C0" w:rsidRPr="00103661">
        <w:rPr>
          <w:rFonts w:cs="Times New Roman"/>
          <w:sz w:val="24"/>
          <w:szCs w:val="24"/>
        </w:rPr>
        <w:t xml:space="preserve">sobre el común denominador </w:t>
      </w:r>
      <w:r w:rsidR="00E63D88" w:rsidRPr="00103661">
        <w:rPr>
          <w:rFonts w:cs="Times New Roman"/>
          <w:sz w:val="24"/>
          <w:szCs w:val="24"/>
        </w:rPr>
        <w:t>habido</w:t>
      </w:r>
      <w:r w:rsidR="00BA45C0" w:rsidRPr="00103661">
        <w:rPr>
          <w:rFonts w:cs="Times New Roman"/>
          <w:sz w:val="24"/>
          <w:szCs w:val="24"/>
        </w:rPr>
        <w:t xml:space="preserve"> </w:t>
      </w:r>
      <w:r w:rsidR="00A92A5C" w:rsidRPr="00103661">
        <w:rPr>
          <w:rFonts w:cs="Times New Roman"/>
          <w:sz w:val="24"/>
          <w:szCs w:val="24"/>
        </w:rPr>
        <w:t xml:space="preserve">en ambos procedimientos </w:t>
      </w:r>
      <w:r w:rsidR="00BA45C0" w:rsidRPr="00103661">
        <w:rPr>
          <w:rFonts w:cs="Times New Roman"/>
          <w:sz w:val="24"/>
          <w:szCs w:val="24"/>
        </w:rPr>
        <w:t xml:space="preserve">frente a la misma situación fáctica, ya que se está </w:t>
      </w:r>
      <w:r w:rsidR="0010076D" w:rsidRPr="00103661">
        <w:rPr>
          <w:rFonts w:cs="Times New Roman"/>
          <w:sz w:val="24"/>
          <w:szCs w:val="24"/>
        </w:rPr>
        <w:t xml:space="preserve">en presencia de la </w:t>
      </w:r>
      <w:r w:rsidR="00E63D88" w:rsidRPr="00103661">
        <w:rPr>
          <w:rFonts w:cs="Times New Roman"/>
          <w:sz w:val="24"/>
          <w:szCs w:val="24"/>
        </w:rPr>
        <w:t xml:space="preserve">misma </w:t>
      </w:r>
      <w:r w:rsidR="0010076D" w:rsidRPr="00103661">
        <w:rPr>
          <w:rFonts w:cs="Times New Roman"/>
          <w:sz w:val="24"/>
          <w:szCs w:val="24"/>
        </w:rPr>
        <w:t xml:space="preserve">modalidad de </w:t>
      </w:r>
      <w:r w:rsidR="00BA45C0" w:rsidRPr="00103661">
        <w:rPr>
          <w:rFonts w:cs="Times New Roman"/>
          <w:sz w:val="24"/>
          <w:szCs w:val="24"/>
        </w:rPr>
        <w:t xml:space="preserve">la </w:t>
      </w:r>
      <w:r w:rsidR="0010076D" w:rsidRPr="00103661">
        <w:rPr>
          <w:rFonts w:cs="Times New Roman"/>
          <w:sz w:val="24"/>
          <w:szCs w:val="24"/>
        </w:rPr>
        <w:t xml:space="preserve">terminación anticipada de los procesos </w:t>
      </w:r>
      <w:r w:rsidR="00E63D88" w:rsidRPr="00103661">
        <w:rPr>
          <w:rFonts w:cs="Times New Roman"/>
          <w:sz w:val="24"/>
          <w:szCs w:val="24"/>
        </w:rPr>
        <w:t xml:space="preserve">penales: </w:t>
      </w:r>
      <w:r w:rsidR="0010076D" w:rsidRPr="00103661">
        <w:rPr>
          <w:rFonts w:cs="Times New Roman"/>
          <w:sz w:val="24"/>
          <w:szCs w:val="24"/>
        </w:rPr>
        <w:t>el allanamiento a cargos</w:t>
      </w:r>
      <w:r w:rsidR="00E63D88" w:rsidRPr="00103661">
        <w:rPr>
          <w:rFonts w:cs="Times New Roman"/>
          <w:sz w:val="24"/>
          <w:szCs w:val="24"/>
        </w:rPr>
        <w:t>,</w:t>
      </w:r>
      <w:r w:rsidR="0010076D" w:rsidRPr="00103661">
        <w:rPr>
          <w:rFonts w:cs="Times New Roman"/>
          <w:sz w:val="24"/>
          <w:szCs w:val="24"/>
        </w:rPr>
        <w:t xml:space="preserve"> </w:t>
      </w:r>
      <w:r w:rsidR="00BA45C0" w:rsidRPr="00103661">
        <w:rPr>
          <w:rFonts w:cs="Times New Roman"/>
          <w:sz w:val="24"/>
          <w:szCs w:val="24"/>
        </w:rPr>
        <w:t xml:space="preserve">al cual acudió una persona </w:t>
      </w:r>
      <w:r w:rsidR="0010076D" w:rsidRPr="00103661">
        <w:rPr>
          <w:rFonts w:cs="Times New Roman"/>
          <w:sz w:val="24"/>
          <w:szCs w:val="24"/>
        </w:rPr>
        <w:t xml:space="preserve">capturada en flagrancia, y que ese allanamiento a cargos tuvo ocurrencia en la audiencia de formulación de la </w:t>
      </w:r>
      <w:r w:rsidR="00BA54C1" w:rsidRPr="00103661">
        <w:rPr>
          <w:rFonts w:cs="Times New Roman"/>
          <w:sz w:val="24"/>
          <w:szCs w:val="24"/>
        </w:rPr>
        <w:t>imputación</w:t>
      </w:r>
      <w:r w:rsidR="0010076D" w:rsidRPr="00103661">
        <w:rPr>
          <w:rFonts w:cs="Times New Roman"/>
          <w:sz w:val="24"/>
          <w:szCs w:val="24"/>
        </w:rPr>
        <w:t xml:space="preserve">. </w:t>
      </w:r>
    </w:p>
    <w:p w:rsidR="00BA54C1" w:rsidRPr="00103661" w:rsidRDefault="00BA54C1" w:rsidP="00103661">
      <w:pPr>
        <w:spacing w:line="276" w:lineRule="auto"/>
        <w:jc w:val="both"/>
        <w:rPr>
          <w:rFonts w:cs="Times New Roman"/>
          <w:sz w:val="24"/>
          <w:szCs w:val="24"/>
        </w:rPr>
      </w:pPr>
    </w:p>
    <w:p w:rsidR="00BA54C1" w:rsidRPr="00103661" w:rsidRDefault="00BA54C1" w:rsidP="00103661">
      <w:pPr>
        <w:pStyle w:val="Prrafodelista"/>
        <w:numPr>
          <w:ilvl w:val="0"/>
          <w:numId w:val="7"/>
        </w:numPr>
        <w:spacing w:line="276" w:lineRule="auto"/>
        <w:ind w:left="360"/>
        <w:jc w:val="both"/>
        <w:rPr>
          <w:rFonts w:cs="Times New Roman"/>
          <w:sz w:val="24"/>
          <w:szCs w:val="24"/>
        </w:rPr>
      </w:pPr>
      <w:r w:rsidRPr="00103661">
        <w:rPr>
          <w:rFonts w:cs="Times New Roman"/>
          <w:sz w:val="24"/>
          <w:szCs w:val="24"/>
        </w:rPr>
        <w:t>De igual forma se vislumbra el tratamiento diferenciado, porque según las voces del parágrafo único del artículo 301 C.P.P. la persona sometida al proceso penal ordinario que haya sido capturada en flagrancia y que decida allanarse a los cargos en la audiencia de formulación de la imputación, se hará merecedora de un descuento punitivo equivalente al 12,5% de la pena a imponer; mientras que la</w:t>
      </w:r>
      <w:r w:rsidR="00686DD1" w:rsidRPr="00103661">
        <w:rPr>
          <w:rFonts w:cs="Times New Roman"/>
          <w:sz w:val="24"/>
          <w:szCs w:val="24"/>
        </w:rPr>
        <w:t>s</w:t>
      </w:r>
      <w:r w:rsidRPr="00103661">
        <w:rPr>
          <w:rFonts w:cs="Times New Roman"/>
          <w:sz w:val="24"/>
          <w:szCs w:val="24"/>
        </w:rPr>
        <w:t xml:space="preserve"> </w:t>
      </w:r>
      <w:r w:rsidRPr="00103661">
        <w:rPr>
          <w:rFonts w:cs="Times New Roman"/>
          <w:sz w:val="24"/>
          <w:szCs w:val="24"/>
        </w:rPr>
        <w:lastRenderedPageBreak/>
        <w:t>persona</w:t>
      </w:r>
      <w:r w:rsidR="00686DD1" w:rsidRPr="00103661">
        <w:rPr>
          <w:rFonts w:cs="Times New Roman"/>
          <w:sz w:val="24"/>
          <w:szCs w:val="24"/>
        </w:rPr>
        <w:t>s</w:t>
      </w:r>
      <w:r w:rsidRPr="00103661">
        <w:rPr>
          <w:rFonts w:cs="Times New Roman"/>
          <w:sz w:val="24"/>
          <w:szCs w:val="24"/>
        </w:rPr>
        <w:t xml:space="preserve"> capturada</w:t>
      </w:r>
      <w:r w:rsidR="00686DD1" w:rsidRPr="00103661">
        <w:rPr>
          <w:rFonts w:cs="Times New Roman"/>
          <w:sz w:val="24"/>
          <w:szCs w:val="24"/>
        </w:rPr>
        <w:t>s</w:t>
      </w:r>
      <w:r w:rsidRPr="00103661">
        <w:rPr>
          <w:rFonts w:cs="Times New Roman"/>
          <w:sz w:val="24"/>
          <w:szCs w:val="24"/>
        </w:rPr>
        <w:t xml:space="preserve"> en flagrancia </w:t>
      </w:r>
      <w:r w:rsidR="00AF198D" w:rsidRPr="00103661">
        <w:rPr>
          <w:rFonts w:cs="Times New Roman"/>
          <w:sz w:val="24"/>
          <w:szCs w:val="24"/>
        </w:rPr>
        <w:t xml:space="preserve">que decidan allanarse a los cargos </w:t>
      </w:r>
      <w:r w:rsidRPr="00103661">
        <w:rPr>
          <w:rFonts w:cs="Times New Roman"/>
          <w:sz w:val="24"/>
          <w:szCs w:val="24"/>
        </w:rPr>
        <w:t xml:space="preserve">por alguno de los delitos susceptibles de ser tramitados por la senda del procedimiento especial abreviado, según lo regulado en el </w:t>
      </w:r>
      <w:r w:rsidR="00686DD1" w:rsidRPr="00103661">
        <w:rPr>
          <w:rFonts w:cs="Times New Roman"/>
          <w:sz w:val="24"/>
          <w:szCs w:val="24"/>
        </w:rPr>
        <w:t>artículo</w:t>
      </w:r>
      <w:r w:rsidRPr="00103661">
        <w:rPr>
          <w:rFonts w:cs="Times New Roman"/>
          <w:sz w:val="24"/>
          <w:szCs w:val="24"/>
        </w:rPr>
        <w:t xml:space="preserve"> 16 de la ley 1.826 de 2.016</w:t>
      </w:r>
      <w:r w:rsidR="00686DD1" w:rsidRPr="00103661">
        <w:rPr>
          <w:rStyle w:val="Refdenotaalpie"/>
          <w:rFonts w:cs="Times New Roman"/>
          <w:sz w:val="24"/>
          <w:szCs w:val="24"/>
        </w:rPr>
        <w:footnoteReference w:id="2"/>
      </w:r>
      <w:r w:rsidR="00686DD1" w:rsidRPr="00103661">
        <w:rPr>
          <w:rFonts w:cs="Times New Roman"/>
          <w:sz w:val="24"/>
          <w:szCs w:val="24"/>
        </w:rPr>
        <w:t xml:space="preserve">, se harían acreedores de un descuento punitivo de </w:t>
      </w:r>
      <w:r w:rsidR="00686DD1" w:rsidRPr="00103661">
        <w:rPr>
          <w:rFonts w:cs="Times New Roman"/>
          <w:i/>
          <w:sz w:val="24"/>
          <w:szCs w:val="24"/>
        </w:rPr>
        <w:t>hasta la mitad de la pena de la pena a imponer</w:t>
      </w:r>
      <w:r w:rsidR="00686DD1" w:rsidRPr="00103661">
        <w:rPr>
          <w:rFonts w:cs="Times New Roman"/>
          <w:sz w:val="24"/>
          <w:szCs w:val="24"/>
        </w:rPr>
        <w:t>.</w:t>
      </w:r>
    </w:p>
    <w:p w:rsidR="00686DD1" w:rsidRPr="00103661" w:rsidRDefault="00686DD1" w:rsidP="00103661">
      <w:pPr>
        <w:spacing w:line="276" w:lineRule="auto"/>
        <w:jc w:val="both"/>
        <w:rPr>
          <w:rFonts w:cs="Times New Roman"/>
          <w:sz w:val="24"/>
          <w:szCs w:val="24"/>
        </w:rPr>
      </w:pPr>
    </w:p>
    <w:p w:rsidR="00AF198D" w:rsidRPr="00103661" w:rsidRDefault="00686DD1" w:rsidP="00103661">
      <w:pPr>
        <w:pStyle w:val="Prrafodelista"/>
        <w:numPr>
          <w:ilvl w:val="0"/>
          <w:numId w:val="7"/>
        </w:numPr>
        <w:spacing w:line="276" w:lineRule="auto"/>
        <w:ind w:left="360"/>
        <w:jc w:val="both"/>
        <w:rPr>
          <w:rFonts w:cs="Times New Roman"/>
          <w:sz w:val="24"/>
          <w:szCs w:val="24"/>
        </w:rPr>
      </w:pPr>
      <w:r w:rsidRPr="00103661">
        <w:rPr>
          <w:rFonts w:cs="Times New Roman"/>
          <w:sz w:val="24"/>
          <w:szCs w:val="24"/>
        </w:rPr>
        <w:t>En lo que atañe con el requisito de la justificación del trato diferencial</w:t>
      </w:r>
      <w:r w:rsidR="00A92A5C" w:rsidRPr="00103661">
        <w:rPr>
          <w:rFonts w:cs="Times New Roman"/>
          <w:sz w:val="24"/>
          <w:szCs w:val="24"/>
        </w:rPr>
        <w:t xml:space="preserve"> o desigual</w:t>
      </w:r>
      <w:r w:rsidRPr="00103661">
        <w:rPr>
          <w:rFonts w:cs="Times New Roman"/>
          <w:sz w:val="24"/>
          <w:szCs w:val="24"/>
        </w:rPr>
        <w:t xml:space="preserve">, que </w:t>
      </w:r>
      <w:r w:rsidR="00874B58" w:rsidRPr="00103661">
        <w:rPr>
          <w:rFonts w:cs="Times New Roman"/>
          <w:sz w:val="24"/>
          <w:szCs w:val="24"/>
        </w:rPr>
        <w:t>avalaría</w:t>
      </w:r>
      <w:r w:rsidRPr="00103661">
        <w:rPr>
          <w:rFonts w:cs="Times New Roman"/>
          <w:sz w:val="24"/>
          <w:szCs w:val="24"/>
        </w:rPr>
        <w:t xml:space="preserve"> para que las personas capturadas en flagrancia </w:t>
      </w:r>
      <w:r w:rsidR="00AF198D" w:rsidRPr="00103661">
        <w:rPr>
          <w:rFonts w:cs="Times New Roman"/>
          <w:sz w:val="24"/>
          <w:szCs w:val="24"/>
        </w:rPr>
        <w:t>que en la audiencia de formulación de la imputación decidan allanarse a los cargos por incurrir en l</w:t>
      </w:r>
      <w:r w:rsidR="00874B58" w:rsidRPr="00103661">
        <w:rPr>
          <w:rFonts w:cs="Times New Roman"/>
          <w:sz w:val="24"/>
          <w:szCs w:val="24"/>
        </w:rPr>
        <w:t xml:space="preserve">a presunta comisión de alguno de </w:t>
      </w:r>
      <w:r w:rsidRPr="00103661">
        <w:rPr>
          <w:rFonts w:cs="Times New Roman"/>
          <w:sz w:val="24"/>
          <w:szCs w:val="24"/>
        </w:rPr>
        <w:t>los delitos susceptibles del procedimiento especial abreviado</w:t>
      </w:r>
      <w:r w:rsidR="00874B58" w:rsidRPr="00103661">
        <w:rPr>
          <w:rFonts w:cs="Times New Roman"/>
          <w:sz w:val="24"/>
          <w:szCs w:val="24"/>
        </w:rPr>
        <w:t>,</w:t>
      </w:r>
      <w:r w:rsidRPr="00103661">
        <w:rPr>
          <w:rFonts w:cs="Times New Roman"/>
          <w:sz w:val="24"/>
          <w:szCs w:val="24"/>
        </w:rPr>
        <w:t xml:space="preserve"> </w:t>
      </w:r>
      <w:r w:rsidR="00874B58" w:rsidRPr="00103661">
        <w:rPr>
          <w:rFonts w:cs="Times New Roman"/>
          <w:sz w:val="24"/>
          <w:szCs w:val="24"/>
        </w:rPr>
        <w:t xml:space="preserve">tengan un tratamiento punitivo más beneficioso que el dado a los encausados que en iguales condiciones se allanen a los cargos dentro del proceso penal ordinario, vemos que si hacemos un análisis de </w:t>
      </w:r>
      <w:r w:rsidR="00E570B8" w:rsidRPr="00103661">
        <w:rPr>
          <w:rFonts w:cs="Times New Roman"/>
          <w:sz w:val="24"/>
          <w:szCs w:val="24"/>
        </w:rPr>
        <w:t xml:space="preserve">la racionalidad de los </w:t>
      </w:r>
      <w:r w:rsidR="00874B58" w:rsidRPr="00103661">
        <w:rPr>
          <w:rFonts w:cs="Times New Roman"/>
          <w:sz w:val="24"/>
          <w:szCs w:val="24"/>
        </w:rPr>
        <w:t xml:space="preserve">propósitos </w:t>
      </w:r>
      <w:r w:rsidR="00E570B8" w:rsidRPr="00103661">
        <w:rPr>
          <w:rFonts w:cs="Times New Roman"/>
          <w:sz w:val="24"/>
          <w:szCs w:val="24"/>
        </w:rPr>
        <w:t xml:space="preserve">o las intenciones </w:t>
      </w:r>
      <w:r w:rsidR="00874B58" w:rsidRPr="00103661">
        <w:rPr>
          <w:rFonts w:cs="Times New Roman"/>
          <w:sz w:val="24"/>
          <w:szCs w:val="24"/>
        </w:rPr>
        <w:t xml:space="preserve">que impulsaron al legislador para crear </w:t>
      </w:r>
      <w:r w:rsidR="00A839A1" w:rsidRPr="00103661">
        <w:rPr>
          <w:rFonts w:cs="Times New Roman"/>
          <w:sz w:val="24"/>
          <w:szCs w:val="24"/>
        </w:rPr>
        <w:t>dichas medidas de trat</w:t>
      </w:r>
      <w:r w:rsidR="002B76E7" w:rsidRPr="00103661">
        <w:rPr>
          <w:rFonts w:cs="Times New Roman"/>
          <w:sz w:val="24"/>
          <w:szCs w:val="24"/>
        </w:rPr>
        <w:t>amiento diversificado</w:t>
      </w:r>
      <w:r w:rsidR="00874B58" w:rsidRPr="00103661">
        <w:rPr>
          <w:rFonts w:cs="Times New Roman"/>
          <w:sz w:val="24"/>
          <w:szCs w:val="24"/>
        </w:rPr>
        <w:t xml:space="preserve"> </w:t>
      </w:r>
      <w:r w:rsidR="00AF198D" w:rsidRPr="00103661">
        <w:rPr>
          <w:rFonts w:cs="Times New Roman"/>
          <w:sz w:val="24"/>
          <w:szCs w:val="24"/>
        </w:rPr>
        <w:t>que bien podrían ser consideradas como propias de un tratamiento</w:t>
      </w:r>
      <w:r w:rsidR="00A839A1" w:rsidRPr="00103661">
        <w:rPr>
          <w:rFonts w:cs="Times New Roman"/>
          <w:sz w:val="24"/>
          <w:szCs w:val="24"/>
        </w:rPr>
        <w:t xml:space="preserve"> discriminatorio</w:t>
      </w:r>
      <w:r w:rsidR="00874B58" w:rsidRPr="00103661">
        <w:rPr>
          <w:rFonts w:cs="Times New Roman"/>
          <w:sz w:val="24"/>
          <w:szCs w:val="24"/>
        </w:rPr>
        <w:t xml:space="preserve">, observamos que </w:t>
      </w:r>
      <w:r w:rsidR="00AF198D" w:rsidRPr="00103661">
        <w:rPr>
          <w:rFonts w:cs="Times New Roman"/>
          <w:sz w:val="24"/>
          <w:szCs w:val="24"/>
        </w:rPr>
        <w:t xml:space="preserve">la finalidad </w:t>
      </w:r>
      <w:r w:rsidR="002B76E7" w:rsidRPr="00103661">
        <w:rPr>
          <w:rFonts w:cs="Times New Roman"/>
          <w:sz w:val="24"/>
          <w:szCs w:val="24"/>
        </w:rPr>
        <w:t xml:space="preserve">perseguida con esa desigualdad </w:t>
      </w:r>
      <w:r w:rsidR="00874B58" w:rsidRPr="00103661">
        <w:rPr>
          <w:rFonts w:cs="Times New Roman"/>
          <w:sz w:val="24"/>
          <w:szCs w:val="24"/>
        </w:rPr>
        <w:t>no se tornaba ni idóne</w:t>
      </w:r>
      <w:r w:rsidR="002B76E7" w:rsidRPr="00103661">
        <w:rPr>
          <w:rFonts w:cs="Times New Roman"/>
          <w:sz w:val="24"/>
          <w:szCs w:val="24"/>
        </w:rPr>
        <w:t>a</w:t>
      </w:r>
      <w:r w:rsidR="00874B58" w:rsidRPr="00103661">
        <w:rPr>
          <w:rFonts w:cs="Times New Roman"/>
          <w:sz w:val="24"/>
          <w:szCs w:val="24"/>
        </w:rPr>
        <w:t xml:space="preserve"> ni necesari</w:t>
      </w:r>
      <w:r w:rsidR="002B76E7" w:rsidRPr="00103661">
        <w:rPr>
          <w:rFonts w:cs="Times New Roman"/>
          <w:sz w:val="24"/>
          <w:szCs w:val="24"/>
        </w:rPr>
        <w:t>a</w:t>
      </w:r>
      <w:r w:rsidR="00A839A1" w:rsidRPr="00103661">
        <w:rPr>
          <w:rFonts w:cs="Times New Roman"/>
          <w:sz w:val="24"/>
          <w:szCs w:val="24"/>
        </w:rPr>
        <w:t xml:space="preserve"> </w:t>
      </w:r>
      <w:r w:rsidR="00E570B8" w:rsidRPr="00103661">
        <w:rPr>
          <w:rFonts w:cs="Times New Roman"/>
          <w:sz w:val="24"/>
          <w:szCs w:val="24"/>
        </w:rPr>
        <w:t xml:space="preserve">para conseguir un fin constitucionalmente valido que </w:t>
      </w:r>
      <w:r w:rsidR="002B76E7" w:rsidRPr="00103661">
        <w:rPr>
          <w:rFonts w:cs="Times New Roman"/>
          <w:sz w:val="24"/>
          <w:szCs w:val="24"/>
        </w:rPr>
        <w:t>justificaría</w:t>
      </w:r>
      <w:r w:rsidR="00E570B8" w:rsidRPr="00103661">
        <w:rPr>
          <w:rFonts w:cs="Times New Roman"/>
          <w:sz w:val="24"/>
          <w:szCs w:val="24"/>
        </w:rPr>
        <w:t xml:space="preserve"> para que a</w:t>
      </w:r>
      <w:r w:rsidR="00A839A1" w:rsidRPr="00103661">
        <w:rPr>
          <w:rFonts w:cs="Times New Roman"/>
          <w:sz w:val="24"/>
          <w:szCs w:val="24"/>
        </w:rPr>
        <w:t xml:space="preserve"> un</w:t>
      </w:r>
      <w:r w:rsidR="00E570B8" w:rsidRPr="00103661">
        <w:rPr>
          <w:rFonts w:cs="Times New Roman"/>
          <w:sz w:val="24"/>
          <w:szCs w:val="24"/>
        </w:rPr>
        <w:t xml:space="preserve"> grupo de </w:t>
      </w:r>
      <w:r w:rsidR="00A839A1" w:rsidRPr="00103661">
        <w:rPr>
          <w:rFonts w:cs="Times New Roman"/>
          <w:sz w:val="24"/>
          <w:szCs w:val="24"/>
        </w:rPr>
        <w:t xml:space="preserve">procesados que se encontraban </w:t>
      </w:r>
      <w:r w:rsidR="002B76E7" w:rsidRPr="00103661">
        <w:rPr>
          <w:rFonts w:cs="Times New Roman"/>
          <w:sz w:val="24"/>
          <w:szCs w:val="24"/>
        </w:rPr>
        <w:t>las</w:t>
      </w:r>
      <w:r w:rsidR="00A839A1" w:rsidRPr="00103661">
        <w:rPr>
          <w:rFonts w:cs="Times New Roman"/>
          <w:sz w:val="24"/>
          <w:szCs w:val="24"/>
        </w:rPr>
        <w:t xml:space="preserve"> misma</w:t>
      </w:r>
      <w:r w:rsidR="002B76E7" w:rsidRPr="00103661">
        <w:rPr>
          <w:rFonts w:cs="Times New Roman"/>
          <w:sz w:val="24"/>
          <w:szCs w:val="24"/>
        </w:rPr>
        <w:t>s</w:t>
      </w:r>
      <w:r w:rsidR="00A839A1" w:rsidRPr="00103661">
        <w:rPr>
          <w:rFonts w:cs="Times New Roman"/>
          <w:sz w:val="24"/>
          <w:szCs w:val="24"/>
        </w:rPr>
        <w:t xml:space="preserve"> </w:t>
      </w:r>
      <w:r w:rsidR="002B76E7" w:rsidRPr="00103661">
        <w:rPr>
          <w:rFonts w:cs="Times New Roman"/>
          <w:sz w:val="24"/>
          <w:szCs w:val="24"/>
        </w:rPr>
        <w:t>situaciones</w:t>
      </w:r>
      <w:r w:rsidR="00A839A1" w:rsidRPr="00103661">
        <w:rPr>
          <w:rFonts w:cs="Times New Roman"/>
          <w:sz w:val="24"/>
          <w:szCs w:val="24"/>
        </w:rPr>
        <w:t xml:space="preserve"> o </w:t>
      </w:r>
      <w:r w:rsidR="002B76E7" w:rsidRPr="00103661">
        <w:rPr>
          <w:rFonts w:cs="Times New Roman"/>
          <w:sz w:val="24"/>
          <w:szCs w:val="24"/>
        </w:rPr>
        <w:t>condiciones</w:t>
      </w:r>
      <w:r w:rsidR="00A839A1" w:rsidRPr="00103661">
        <w:rPr>
          <w:rFonts w:cs="Times New Roman"/>
          <w:sz w:val="24"/>
          <w:szCs w:val="24"/>
        </w:rPr>
        <w:t xml:space="preserve"> fáctica</w:t>
      </w:r>
      <w:r w:rsidR="002B76E7" w:rsidRPr="00103661">
        <w:rPr>
          <w:rFonts w:cs="Times New Roman"/>
          <w:sz w:val="24"/>
          <w:szCs w:val="24"/>
        </w:rPr>
        <w:t>s</w:t>
      </w:r>
      <w:r w:rsidR="00E570B8" w:rsidRPr="00103661">
        <w:rPr>
          <w:rFonts w:cs="Times New Roman"/>
          <w:sz w:val="24"/>
          <w:szCs w:val="24"/>
        </w:rPr>
        <w:t xml:space="preserve"> y </w:t>
      </w:r>
      <w:r w:rsidR="00A839A1" w:rsidRPr="00103661">
        <w:rPr>
          <w:rFonts w:cs="Times New Roman"/>
          <w:sz w:val="24"/>
          <w:szCs w:val="24"/>
        </w:rPr>
        <w:t>jurídica</w:t>
      </w:r>
      <w:r w:rsidR="002B76E7" w:rsidRPr="00103661">
        <w:rPr>
          <w:rFonts w:cs="Times New Roman"/>
          <w:sz w:val="24"/>
          <w:szCs w:val="24"/>
        </w:rPr>
        <w:t>s</w:t>
      </w:r>
      <w:r w:rsidR="00E570B8" w:rsidRPr="00103661">
        <w:rPr>
          <w:rFonts w:cs="Times New Roman"/>
          <w:sz w:val="24"/>
          <w:szCs w:val="24"/>
        </w:rPr>
        <w:t xml:space="preserve">, a uno de ellos se les diera </w:t>
      </w:r>
      <w:r w:rsidR="00A839A1" w:rsidRPr="00103661">
        <w:rPr>
          <w:rFonts w:cs="Times New Roman"/>
          <w:sz w:val="24"/>
          <w:szCs w:val="24"/>
        </w:rPr>
        <w:t>un tratamiento punitivo diferencial</w:t>
      </w:r>
      <w:r w:rsidR="00AF198D" w:rsidRPr="00103661">
        <w:rPr>
          <w:rFonts w:cs="Times New Roman"/>
          <w:sz w:val="24"/>
          <w:szCs w:val="24"/>
        </w:rPr>
        <w:t xml:space="preserve"> respecto de los otros</w:t>
      </w:r>
      <w:r w:rsidR="00874B58" w:rsidRPr="00103661">
        <w:rPr>
          <w:rFonts w:cs="Times New Roman"/>
          <w:sz w:val="24"/>
          <w:szCs w:val="24"/>
        </w:rPr>
        <w:t xml:space="preserve">. </w:t>
      </w:r>
    </w:p>
    <w:p w:rsidR="00AF198D" w:rsidRPr="00103661" w:rsidRDefault="00AF198D" w:rsidP="00103661">
      <w:pPr>
        <w:pStyle w:val="Prrafodelista"/>
        <w:spacing w:line="276" w:lineRule="auto"/>
        <w:rPr>
          <w:rFonts w:cs="Times New Roman"/>
          <w:sz w:val="24"/>
          <w:szCs w:val="24"/>
        </w:rPr>
      </w:pPr>
    </w:p>
    <w:p w:rsidR="00E570B8" w:rsidRPr="00103661" w:rsidRDefault="00E570B8" w:rsidP="00103661">
      <w:pPr>
        <w:spacing w:line="276" w:lineRule="auto"/>
        <w:jc w:val="both"/>
        <w:rPr>
          <w:rFonts w:cs="Times New Roman"/>
          <w:sz w:val="24"/>
          <w:szCs w:val="24"/>
        </w:rPr>
      </w:pPr>
      <w:r w:rsidRPr="00103661">
        <w:rPr>
          <w:rFonts w:cs="Times New Roman"/>
          <w:sz w:val="24"/>
          <w:szCs w:val="24"/>
        </w:rPr>
        <w:t xml:space="preserve">Para demostrar </w:t>
      </w:r>
      <w:r w:rsidR="00AF198D" w:rsidRPr="00103661">
        <w:rPr>
          <w:rFonts w:cs="Times New Roman"/>
          <w:sz w:val="24"/>
          <w:szCs w:val="24"/>
        </w:rPr>
        <w:t xml:space="preserve">el por qué no existe a nivel constitucional una justificación del tratamiento diferencial, </w:t>
      </w:r>
      <w:r w:rsidRPr="00103661">
        <w:rPr>
          <w:rFonts w:cs="Times New Roman"/>
          <w:sz w:val="24"/>
          <w:szCs w:val="24"/>
        </w:rPr>
        <w:t>como punto de partida debemos acudir a la exposición de motivos que dio luz a la aludida</w:t>
      </w:r>
      <w:r w:rsidRPr="00103661">
        <w:rPr>
          <w:sz w:val="24"/>
          <w:szCs w:val="24"/>
        </w:rPr>
        <w:t xml:space="preserve"> </w:t>
      </w:r>
      <w:r w:rsidRPr="00103661">
        <w:rPr>
          <w:rFonts w:cs="Times New Roman"/>
          <w:sz w:val="24"/>
          <w:szCs w:val="24"/>
        </w:rPr>
        <w:t xml:space="preserve">ley </w:t>
      </w:r>
      <w:r w:rsidR="00AF198D" w:rsidRPr="00103661">
        <w:rPr>
          <w:rFonts w:cs="Times New Roman"/>
          <w:sz w:val="24"/>
          <w:szCs w:val="24"/>
        </w:rPr>
        <w:t xml:space="preserve"># </w:t>
      </w:r>
      <w:r w:rsidRPr="00103661">
        <w:rPr>
          <w:rFonts w:cs="Times New Roman"/>
          <w:sz w:val="24"/>
          <w:szCs w:val="24"/>
        </w:rPr>
        <w:t xml:space="preserve">1.826 de 2.016, la cual, básicamente, tuvo su razón de ser en los siguientes argumentos invocados en ese entonces por el Ministerio de Justicia y del Derecho: </w:t>
      </w:r>
    </w:p>
    <w:p w:rsidR="00E570B8" w:rsidRPr="00103661" w:rsidRDefault="00E570B8" w:rsidP="00103661">
      <w:pPr>
        <w:spacing w:line="276" w:lineRule="auto"/>
        <w:jc w:val="both"/>
        <w:rPr>
          <w:rFonts w:cs="Times New Roman"/>
          <w:sz w:val="24"/>
          <w:szCs w:val="24"/>
        </w:rPr>
      </w:pPr>
    </w:p>
    <w:p w:rsidR="00E570B8" w:rsidRPr="00103661" w:rsidRDefault="00E570B8" w:rsidP="00103661">
      <w:pPr>
        <w:spacing w:line="276" w:lineRule="auto"/>
        <w:ind w:left="567" w:right="902"/>
        <w:jc w:val="both"/>
        <w:rPr>
          <w:rFonts w:cs="Times New Roman"/>
          <w:sz w:val="20"/>
          <w:szCs w:val="20"/>
        </w:rPr>
      </w:pPr>
      <w:r w:rsidRPr="00103661">
        <w:rPr>
          <w:rFonts w:cs="Times New Roman"/>
          <w:sz w:val="20"/>
          <w:szCs w:val="20"/>
        </w:rPr>
        <w:t>“El tratamiento de las conductas punibles de menor lesividad para la sociedad colombiana, ha sido un tema recurrente en la discusión política y jurídica respecto del procedimiento penal. Muestra de ello son los más recientes intentos para consolidar un modelo procesal penal que permita un tratamiento ágil y eficaz para la investigación y juzgamiento de estas conductas, entre los cuales destaca el reciente Proyecto de Ley 224 de 2015 Cámara así como, antes, los Proyectos de Ley 047 de 2012, 209 de 2012 y, claro, la Ley 1153 de 2007.</w:t>
      </w:r>
    </w:p>
    <w:p w:rsidR="00E570B8" w:rsidRPr="00103661" w:rsidRDefault="00E570B8" w:rsidP="00103661">
      <w:pPr>
        <w:spacing w:line="276" w:lineRule="auto"/>
        <w:ind w:left="567" w:right="902"/>
        <w:jc w:val="both"/>
        <w:rPr>
          <w:rFonts w:cs="Times New Roman"/>
          <w:sz w:val="20"/>
          <w:szCs w:val="20"/>
        </w:rPr>
      </w:pPr>
    </w:p>
    <w:p w:rsidR="00E570B8" w:rsidRPr="00103661" w:rsidRDefault="00E570B8" w:rsidP="00103661">
      <w:pPr>
        <w:spacing w:line="276" w:lineRule="auto"/>
        <w:ind w:left="567" w:right="902"/>
        <w:jc w:val="both"/>
        <w:rPr>
          <w:rFonts w:cs="Times New Roman"/>
          <w:sz w:val="20"/>
          <w:szCs w:val="20"/>
        </w:rPr>
      </w:pPr>
      <w:r w:rsidRPr="00103661">
        <w:rPr>
          <w:rFonts w:cs="Times New Roman"/>
          <w:sz w:val="20"/>
          <w:szCs w:val="20"/>
        </w:rPr>
        <w:t>En general, las iniciativas tienen en común la filosofía de buscar un sistema que, garantizando el respeto a los derechos fundamentales de las partes involucradas, permita procesar de manera ágil y expedita a quienes toman parte en conductas delictivas de frecuente ocurrencia en la comunidad, que congestionan el sistema judicial de manera notoria.</w:t>
      </w:r>
    </w:p>
    <w:p w:rsidR="00E570B8" w:rsidRPr="00103661" w:rsidRDefault="00E570B8" w:rsidP="00103661">
      <w:pPr>
        <w:spacing w:line="276" w:lineRule="auto"/>
        <w:ind w:left="567" w:right="902"/>
        <w:jc w:val="both"/>
        <w:rPr>
          <w:rFonts w:cs="Times New Roman"/>
          <w:sz w:val="20"/>
          <w:szCs w:val="20"/>
        </w:rPr>
      </w:pPr>
    </w:p>
    <w:p w:rsidR="00E570B8" w:rsidRPr="00103661" w:rsidRDefault="00E570B8" w:rsidP="00103661">
      <w:pPr>
        <w:spacing w:line="276" w:lineRule="auto"/>
        <w:ind w:left="567" w:right="902"/>
        <w:jc w:val="both"/>
        <w:rPr>
          <w:rFonts w:cs="Times New Roman"/>
          <w:sz w:val="20"/>
          <w:szCs w:val="20"/>
        </w:rPr>
      </w:pPr>
      <w:r w:rsidRPr="00103661">
        <w:rPr>
          <w:rFonts w:cs="Times New Roman"/>
          <w:sz w:val="20"/>
          <w:szCs w:val="20"/>
        </w:rPr>
        <w:t xml:space="preserve">La justificación empírica del intento recurrente de descongestionar el sistema judicial a través de la creación de un proceso especial compuesto por mecanismos ágiles y desprovistos de mayores ritualidades, que </w:t>
      </w:r>
      <w:r w:rsidRPr="00103661">
        <w:rPr>
          <w:rFonts w:cs="Times New Roman"/>
          <w:sz w:val="20"/>
          <w:szCs w:val="20"/>
        </w:rPr>
        <w:lastRenderedPageBreak/>
        <w:t>permita ofrecer un trato diferenciado para conductas de menor lesividad, es a todas luces evidente. Según datos aportados por la Fiscalía General de la Nación1, hay un total de 273,987 procesos activos a 2015 por delitos querellables según inventario. Cabe notar que, solamente el año pasado (2014), ingresaron 234,765 noticias criminales por vía de querella. Comparativamente, los datos muestran que un 21% de todos los procesos penales que actualmente se encuentran activos se adelantan por delitos querellables.</w:t>
      </w:r>
    </w:p>
    <w:p w:rsidR="00E570B8" w:rsidRPr="00103661" w:rsidRDefault="00E570B8" w:rsidP="00103661">
      <w:pPr>
        <w:spacing w:line="276" w:lineRule="auto"/>
        <w:ind w:left="567" w:right="902"/>
        <w:jc w:val="both"/>
        <w:rPr>
          <w:rFonts w:cs="Times New Roman"/>
          <w:sz w:val="20"/>
          <w:szCs w:val="20"/>
        </w:rPr>
      </w:pPr>
    </w:p>
    <w:p w:rsidR="00E570B8" w:rsidRPr="00103661" w:rsidRDefault="00E570B8" w:rsidP="00103661">
      <w:pPr>
        <w:spacing w:line="276" w:lineRule="auto"/>
        <w:ind w:left="567" w:right="902"/>
        <w:jc w:val="both"/>
        <w:rPr>
          <w:rFonts w:cs="Times New Roman"/>
          <w:sz w:val="20"/>
          <w:szCs w:val="20"/>
        </w:rPr>
      </w:pPr>
      <w:r w:rsidRPr="00103661">
        <w:rPr>
          <w:rFonts w:cs="Times New Roman"/>
          <w:sz w:val="20"/>
          <w:szCs w:val="20"/>
        </w:rPr>
        <w:t>Frente a esta realidad, este proyecto busca descongestionar el sistema judicial a partir de la consagración de un procedimiento especial abreviado para aquellas conductas punibles de menor lesividad para la sociedad colombiana. Estas últimas conductas pueden ser delitos o contravenciones penales, categoría que se incorpora ahora a la parte especial del Código Penal colombiano, como desarrollo del artículo 19 de esa codificación; para ambas hipótesis, las contravenciones penales y algunos delitos que pese a generar un gran impacto en la sociedad suponen individualmente un grado reducido de afectación al bien jurídico, se diseña un procedimiento abreviado que haga más ágil su juzgamiento….”</w:t>
      </w:r>
      <w:r w:rsidRPr="00103661">
        <w:rPr>
          <w:rStyle w:val="Refdenotaalpie"/>
          <w:rFonts w:cs="Times New Roman"/>
          <w:sz w:val="20"/>
          <w:szCs w:val="20"/>
        </w:rPr>
        <w:footnoteReference w:id="3"/>
      </w:r>
      <w:r w:rsidRPr="00103661">
        <w:rPr>
          <w:rFonts w:cs="Times New Roman"/>
          <w:sz w:val="20"/>
          <w:szCs w:val="20"/>
        </w:rPr>
        <w:t>.</w:t>
      </w:r>
    </w:p>
    <w:p w:rsidR="00E570B8" w:rsidRPr="00103661" w:rsidRDefault="00E570B8" w:rsidP="00103661">
      <w:pPr>
        <w:spacing w:line="276" w:lineRule="auto"/>
        <w:jc w:val="both"/>
        <w:rPr>
          <w:rFonts w:cs="Times New Roman"/>
          <w:sz w:val="24"/>
          <w:szCs w:val="24"/>
        </w:rPr>
      </w:pPr>
    </w:p>
    <w:p w:rsidR="00271764" w:rsidRPr="00103661" w:rsidRDefault="00837DEA" w:rsidP="00103661">
      <w:pPr>
        <w:spacing w:line="276" w:lineRule="auto"/>
        <w:jc w:val="both"/>
        <w:rPr>
          <w:rFonts w:cs="Times New Roman"/>
          <w:sz w:val="24"/>
          <w:szCs w:val="24"/>
        </w:rPr>
      </w:pPr>
      <w:r w:rsidRPr="00103661">
        <w:rPr>
          <w:rFonts w:cs="Times New Roman"/>
          <w:sz w:val="24"/>
          <w:szCs w:val="24"/>
        </w:rPr>
        <w:t xml:space="preserve">De dicha exposición de motivos, se puede colegir que las razones tenidas en cuenta </w:t>
      </w:r>
      <w:r w:rsidR="00883ABC" w:rsidRPr="00103661">
        <w:rPr>
          <w:rFonts w:cs="Times New Roman"/>
          <w:sz w:val="24"/>
          <w:szCs w:val="24"/>
        </w:rPr>
        <w:t xml:space="preserve">por el Ministerio de Justicia y del Derecho </w:t>
      </w:r>
      <w:r w:rsidRPr="00103661">
        <w:rPr>
          <w:rFonts w:cs="Times New Roman"/>
          <w:sz w:val="24"/>
          <w:szCs w:val="24"/>
        </w:rPr>
        <w:t xml:space="preserve">para </w:t>
      </w:r>
      <w:r w:rsidR="002B76E7" w:rsidRPr="00103661">
        <w:rPr>
          <w:rFonts w:cs="Times New Roman"/>
          <w:sz w:val="24"/>
          <w:szCs w:val="24"/>
        </w:rPr>
        <w:t xml:space="preserve">justificar </w:t>
      </w:r>
      <w:r w:rsidR="00A109A7" w:rsidRPr="00103661">
        <w:rPr>
          <w:rFonts w:cs="Times New Roman"/>
          <w:sz w:val="24"/>
          <w:szCs w:val="24"/>
        </w:rPr>
        <w:t>que ciertos delitos se tramitaran por el procedimiento abreviado especial, fueron las siguientes:</w:t>
      </w:r>
    </w:p>
    <w:p w:rsidR="00A109A7" w:rsidRPr="00103661" w:rsidRDefault="00A109A7" w:rsidP="00103661">
      <w:pPr>
        <w:spacing w:line="276" w:lineRule="auto"/>
        <w:jc w:val="both"/>
        <w:rPr>
          <w:rFonts w:cs="Times New Roman"/>
          <w:sz w:val="24"/>
          <w:szCs w:val="24"/>
        </w:rPr>
      </w:pPr>
    </w:p>
    <w:p w:rsidR="00A109A7" w:rsidRPr="00103661" w:rsidRDefault="00A109A7" w:rsidP="00103661">
      <w:pPr>
        <w:pStyle w:val="Prrafodelista"/>
        <w:numPr>
          <w:ilvl w:val="0"/>
          <w:numId w:val="6"/>
        </w:numPr>
        <w:spacing w:line="276" w:lineRule="auto"/>
        <w:ind w:left="360"/>
        <w:jc w:val="both"/>
        <w:rPr>
          <w:rFonts w:cs="Times New Roman"/>
          <w:sz w:val="24"/>
          <w:szCs w:val="24"/>
        </w:rPr>
      </w:pPr>
      <w:r w:rsidRPr="00103661">
        <w:rPr>
          <w:rFonts w:cs="Times New Roman"/>
          <w:sz w:val="24"/>
          <w:szCs w:val="24"/>
        </w:rPr>
        <w:t>La existencia de ciertas conductas punibles de cotidiana ocurrencia que causaban una menor lesividad en la comunidad o que a pesar de su gravedad afectaban de manera reducida el interés jurídicamente protegido</w:t>
      </w:r>
      <w:r w:rsidRPr="00103661">
        <w:rPr>
          <w:rStyle w:val="Refdenotaalpie"/>
          <w:rFonts w:cs="Times New Roman"/>
          <w:sz w:val="24"/>
          <w:szCs w:val="24"/>
        </w:rPr>
        <w:footnoteReference w:id="4"/>
      </w:r>
      <w:r w:rsidRPr="00103661">
        <w:rPr>
          <w:rFonts w:cs="Times New Roman"/>
          <w:sz w:val="24"/>
          <w:szCs w:val="24"/>
        </w:rPr>
        <w:t>.</w:t>
      </w:r>
    </w:p>
    <w:p w:rsidR="008C6E64" w:rsidRPr="00103661" w:rsidRDefault="008C6E64" w:rsidP="00103661">
      <w:pPr>
        <w:spacing w:line="276" w:lineRule="auto"/>
        <w:jc w:val="both"/>
        <w:rPr>
          <w:rFonts w:cs="Times New Roman"/>
          <w:sz w:val="24"/>
          <w:szCs w:val="24"/>
        </w:rPr>
      </w:pPr>
    </w:p>
    <w:p w:rsidR="008C6E64" w:rsidRPr="00103661" w:rsidRDefault="008C6E64" w:rsidP="00103661">
      <w:pPr>
        <w:pStyle w:val="Prrafodelista"/>
        <w:numPr>
          <w:ilvl w:val="0"/>
          <w:numId w:val="6"/>
        </w:numPr>
        <w:spacing w:line="276" w:lineRule="auto"/>
        <w:ind w:left="360"/>
        <w:jc w:val="both"/>
        <w:rPr>
          <w:rFonts w:cs="Times New Roman"/>
          <w:sz w:val="24"/>
          <w:szCs w:val="24"/>
        </w:rPr>
      </w:pPr>
      <w:r w:rsidRPr="00103661">
        <w:rPr>
          <w:rFonts w:cs="Times New Roman"/>
          <w:sz w:val="24"/>
          <w:szCs w:val="24"/>
        </w:rPr>
        <w:t xml:space="preserve">El buscar un procedimiento </w:t>
      </w:r>
      <w:r w:rsidR="009B0319" w:rsidRPr="00103661">
        <w:rPr>
          <w:rFonts w:cs="Times New Roman"/>
          <w:sz w:val="24"/>
          <w:szCs w:val="24"/>
        </w:rPr>
        <w:t>ágil</w:t>
      </w:r>
      <w:r w:rsidRPr="00103661">
        <w:rPr>
          <w:rFonts w:cs="Times New Roman"/>
          <w:sz w:val="24"/>
          <w:szCs w:val="24"/>
        </w:rPr>
        <w:t xml:space="preserve"> y célere para tramitar dichas conductas punibles, las cuales ante su cotidiana ocurrencia estaban congestionando y atiborrando los despacho judiciales. </w:t>
      </w:r>
    </w:p>
    <w:p w:rsidR="008C6E64" w:rsidRPr="00103661" w:rsidRDefault="008C6E64" w:rsidP="00103661">
      <w:pPr>
        <w:spacing w:line="276" w:lineRule="auto"/>
        <w:jc w:val="both"/>
        <w:rPr>
          <w:rFonts w:cs="Times New Roman"/>
          <w:sz w:val="24"/>
          <w:szCs w:val="24"/>
        </w:rPr>
      </w:pPr>
    </w:p>
    <w:p w:rsidR="008C6E64" w:rsidRPr="00103661" w:rsidRDefault="008C6E64" w:rsidP="00103661">
      <w:pPr>
        <w:pStyle w:val="Prrafodelista"/>
        <w:numPr>
          <w:ilvl w:val="0"/>
          <w:numId w:val="6"/>
        </w:numPr>
        <w:spacing w:line="276" w:lineRule="auto"/>
        <w:ind w:left="360"/>
        <w:jc w:val="both"/>
        <w:rPr>
          <w:rFonts w:cs="Times New Roman"/>
          <w:sz w:val="24"/>
          <w:szCs w:val="24"/>
        </w:rPr>
      </w:pPr>
      <w:r w:rsidRPr="00103661">
        <w:rPr>
          <w:rFonts w:cs="Times New Roman"/>
          <w:sz w:val="24"/>
          <w:szCs w:val="24"/>
        </w:rPr>
        <w:t>Reglamentar por una ley las reformas que el Acto Legislativo # 6 de 2</w:t>
      </w:r>
      <w:r w:rsidR="00AF198D" w:rsidRPr="00103661">
        <w:rPr>
          <w:rFonts w:cs="Times New Roman"/>
          <w:sz w:val="24"/>
          <w:szCs w:val="24"/>
        </w:rPr>
        <w:t>.</w:t>
      </w:r>
      <w:r w:rsidRPr="00103661">
        <w:rPr>
          <w:rFonts w:cs="Times New Roman"/>
          <w:sz w:val="24"/>
          <w:szCs w:val="24"/>
        </w:rPr>
        <w:t>011, le introdujo al parágrafo 2</w:t>
      </w:r>
      <w:r w:rsidR="00883ABC" w:rsidRPr="00103661">
        <w:rPr>
          <w:rFonts w:cs="Times New Roman"/>
          <w:sz w:val="24"/>
          <w:szCs w:val="24"/>
        </w:rPr>
        <w:t xml:space="preserve">º </w:t>
      </w:r>
      <w:r w:rsidRPr="00103661">
        <w:rPr>
          <w:rFonts w:cs="Times New Roman"/>
          <w:sz w:val="24"/>
          <w:szCs w:val="24"/>
        </w:rPr>
        <w:t xml:space="preserve">del artículo 250 de la Carta, sobre la figura del acusador privado. </w:t>
      </w:r>
    </w:p>
    <w:p w:rsidR="008C6E64" w:rsidRPr="00103661" w:rsidRDefault="008C6E64" w:rsidP="00103661">
      <w:pPr>
        <w:spacing w:line="276" w:lineRule="auto"/>
        <w:jc w:val="both"/>
        <w:rPr>
          <w:rFonts w:cs="Times New Roman"/>
          <w:sz w:val="24"/>
          <w:szCs w:val="24"/>
        </w:rPr>
      </w:pPr>
    </w:p>
    <w:p w:rsidR="000967CF" w:rsidRPr="00103661" w:rsidRDefault="008C6E64" w:rsidP="00103661">
      <w:pPr>
        <w:spacing w:line="276" w:lineRule="auto"/>
        <w:jc w:val="both"/>
        <w:rPr>
          <w:rFonts w:cs="Times New Roman"/>
          <w:sz w:val="24"/>
          <w:szCs w:val="24"/>
        </w:rPr>
      </w:pPr>
      <w:r w:rsidRPr="00103661">
        <w:rPr>
          <w:rFonts w:cs="Times New Roman"/>
          <w:sz w:val="24"/>
          <w:szCs w:val="24"/>
        </w:rPr>
        <w:t>Pero es de anotar que en dicha exposición de motivo</w:t>
      </w:r>
      <w:r w:rsidR="009B0319" w:rsidRPr="00103661">
        <w:rPr>
          <w:rFonts w:cs="Times New Roman"/>
          <w:sz w:val="24"/>
          <w:szCs w:val="24"/>
        </w:rPr>
        <w:t>s</w:t>
      </w:r>
      <w:r w:rsidRPr="00103661">
        <w:rPr>
          <w:rFonts w:cs="Times New Roman"/>
          <w:sz w:val="24"/>
          <w:szCs w:val="24"/>
        </w:rPr>
        <w:t xml:space="preserve"> no se dijo nada que justificará el por qué a las personas capturadas en flagrancia que se allanen a los cargos por los delitos susceptibles del</w:t>
      </w:r>
      <w:r w:rsidRPr="00103661">
        <w:rPr>
          <w:sz w:val="24"/>
          <w:szCs w:val="24"/>
        </w:rPr>
        <w:t xml:space="preserve"> </w:t>
      </w:r>
      <w:r w:rsidRPr="00103661">
        <w:rPr>
          <w:rFonts w:cs="Times New Roman"/>
          <w:sz w:val="24"/>
          <w:szCs w:val="24"/>
        </w:rPr>
        <w:t>procedimiento abreviado especial se les deba dar un tratamiento mucho más generoso en los descuentos punitivos respecto de</w:t>
      </w:r>
      <w:r w:rsidR="009B0319" w:rsidRPr="00103661">
        <w:rPr>
          <w:rFonts w:cs="Times New Roman"/>
          <w:sz w:val="24"/>
          <w:szCs w:val="24"/>
        </w:rPr>
        <w:t xml:space="preserve"> aquel que se le</w:t>
      </w:r>
      <w:r w:rsidR="007C3423" w:rsidRPr="00103661">
        <w:rPr>
          <w:rFonts w:cs="Times New Roman"/>
          <w:sz w:val="24"/>
          <w:szCs w:val="24"/>
        </w:rPr>
        <w:t>s</w:t>
      </w:r>
      <w:r w:rsidR="009B0319" w:rsidRPr="00103661">
        <w:rPr>
          <w:rFonts w:cs="Times New Roman"/>
          <w:sz w:val="24"/>
          <w:szCs w:val="24"/>
        </w:rPr>
        <w:t xml:space="preserve"> </w:t>
      </w:r>
      <w:r w:rsidRPr="00103661">
        <w:rPr>
          <w:rFonts w:cs="Times New Roman"/>
          <w:sz w:val="24"/>
          <w:szCs w:val="24"/>
        </w:rPr>
        <w:t xml:space="preserve">da </w:t>
      </w:r>
      <w:r w:rsidR="000967CF" w:rsidRPr="00103661">
        <w:rPr>
          <w:rFonts w:cs="Times New Roman"/>
          <w:sz w:val="24"/>
          <w:szCs w:val="24"/>
        </w:rPr>
        <w:t xml:space="preserve">a los demás procesados </w:t>
      </w:r>
      <w:r w:rsidR="007C3423" w:rsidRPr="00103661">
        <w:rPr>
          <w:rFonts w:cs="Times New Roman"/>
          <w:sz w:val="24"/>
          <w:szCs w:val="24"/>
        </w:rPr>
        <w:t>en los mismos eventos en el proceso penal ordinario</w:t>
      </w:r>
      <w:r w:rsidR="009B0319" w:rsidRPr="00103661">
        <w:rPr>
          <w:rFonts w:cs="Times New Roman"/>
          <w:sz w:val="24"/>
          <w:szCs w:val="24"/>
        </w:rPr>
        <w:t xml:space="preserve">. </w:t>
      </w:r>
    </w:p>
    <w:p w:rsidR="000967CF" w:rsidRPr="00103661" w:rsidRDefault="000967CF" w:rsidP="00103661">
      <w:pPr>
        <w:spacing w:line="276" w:lineRule="auto"/>
        <w:jc w:val="both"/>
        <w:rPr>
          <w:rFonts w:cs="Times New Roman"/>
          <w:sz w:val="24"/>
          <w:szCs w:val="24"/>
        </w:rPr>
      </w:pPr>
    </w:p>
    <w:p w:rsidR="00FB6422" w:rsidRPr="00103661" w:rsidRDefault="00FB6422" w:rsidP="00103661">
      <w:pPr>
        <w:spacing w:line="276" w:lineRule="auto"/>
        <w:jc w:val="both"/>
        <w:rPr>
          <w:rFonts w:cs="Times New Roman"/>
          <w:sz w:val="24"/>
          <w:szCs w:val="24"/>
        </w:rPr>
      </w:pPr>
      <w:r w:rsidRPr="00103661">
        <w:rPr>
          <w:rFonts w:cs="Times New Roman"/>
          <w:sz w:val="24"/>
          <w:szCs w:val="24"/>
        </w:rPr>
        <w:t xml:space="preserve">Es más  existe algo más que sorprende, desconcierta y hasta mortifica, ya que si analizamos ambos procedimientos en lo que atañe con el tratamiento dado a los descuentos punitivos a los que se harían acreedoras las personas que se allanan a los cargos en aquellos eventos en los que se no se presenta la captura en flagrancia, </w:t>
      </w:r>
      <w:r w:rsidRPr="00103661">
        <w:rPr>
          <w:rFonts w:cs="Times New Roman"/>
          <w:sz w:val="24"/>
          <w:szCs w:val="24"/>
          <w:u w:val="single"/>
        </w:rPr>
        <w:t>se tiene que el tratamiento punitivo es el mismo o igual</w:t>
      </w:r>
      <w:r w:rsidRPr="00103661">
        <w:rPr>
          <w:rFonts w:cs="Times New Roman"/>
          <w:sz w:val="24"/>
          <w:szCs w:val="24"/>
        </w:rPr>
        <w:t>, porque tanto el artículo 351 C.P.P. como el inciso 2º del artículo 16 de la ley # 1.826 de 2.017</w:t>
      </w:r>
      <w:r w:rsidRPr="00103661">
        <w:rPr>
          <w:rStyle w:val="Refdenotaalpie"/>
          <w:rFonts w:cs="Times New Roman"/>
          <w:sz w:val="24"/>
          <w:szCs w:val="24"/>
        </w:rPr>
        <w:footnoteReference w:id="5"/>
      </w:r>
      <w:r w:rsidRPr="00103661">
        <w:rPr>
          <w:rFonts w:cs="Times New Roman"/>
          <w:sz w:val="24"/>
          <w:szCs w:val="24"/>
        </w:rPr>
        <w:t xml:space="preserve">, nos indican que dicha rebaja punitiva seria de hasta la mitad si el allanamiento a cargos se da antes de la formulación de la acusación; pero si esa aceptación de cargos ocurre en la acusación o después de la misma, pero hasta antes de la audiencia del juicio, según nos lo indican los artículos 356 C.P.P. # 6º, y el inciso 3º del artículo 16 de la ley # 1.826, dicho descuento punitivo correspondería hasta la tercera parte de la pena a imponer. </w:t>
      </w:r>
    </w:p>
    <w:p w:rsidR="00FB6422" w:rsidRPr="00103661" w:rsidRDefault="00FB6422" w:rsidP="00103661">
      <w:pPr>
        <w:spacing w:line="276" w:lineRule="auto"/>
        <w:jc w:val="both"/>
        <w:rPr>
          <w:rFonts w:cs="Times New Roman"/>
          <w:sz w:val="24"/>
          <w:szCs w:val="24"/>
        </w:rPr>
      </w:pPr>
    </w:p>
    <w:p w:rsidR="00874B58" w:rsidRPr="00103661" w:rsidRDefault="00FB6422" w:rsidP="00103661">
      <w:pPr>
        <w:spacing w:line="276" w:lineRule="auto"/>
        <w:jc w:val="both"/>
        <w:rPr>
          <w:rFonts w:cs="Times New Roman"/>
          <w:sz w:val="24"/>
          <w:szCs w:val="24"/>
        </w:rPr>
      </w:pPr>
      <w:r w:rsidRPr="00103661">
        <w:rPr>
          <w:rFonts w:cs="Times New Roman"/>
          <w:sz w:val="24"/>
          <w:szCs w:val="24"/>
        </w:rPr>
        <w:t>Lo antes expuesto, hace que surja el siguiente interrogante: ¿Existe alguna razón válida que justifique el por qué en las hipótesis que no tienen que ver con los eventos de captura en flagrancia, ambos procedimientos le d</w:t>
      </w:r>
      <w:r w:rsidR="000967CF" w:rsidRPr="00103661">
        <w:rPr>
          <w:rFonts w:cs="Times New Roman"/>
          <w:sz w:val="24"/>
          <w:szCs w:val="24"/>
        </w:rPr>
        <w:t>e</w:t>
      </w:r>
      <w:r w:rsidRPr="00103661">
        <w:rPr>
          <w:rFonts w:cs="Times New Roman"/>
          <w:sz w:val="24"/>
          <w:szCs w:val="24"/>
        </w:rPr>
        <w:t xml:space="preserve">n el mismo tratamiento en materia de descuentos punitivos a las personas que deciden allanarse a los cargos, mientras que ello no acontece en los casos de captura en flagrancia, en donde existe un tratamiento diferencial?   </w:t>
      </w:r>
    </w:p>
    <w:p w:rsidR="00FB6422" w:rsidRPr="00103661" w:rsidRDefault="00FB6422" w:rsidP="00103661">
      <w:pPr>
        <w:spacing w:line="276" w:lineRule="auto"/>
        <w:jc w:val="both"/>
        <w:rPr>
          <w:rFonts w:cs="Times New Roman"/>
          <w:sz w:val="24"/>
          <w:szCs w:val="24"/>
        </w:rPr>
      </w:pPr>
    </w:p>
    <w:p w:rsidR="00874B58" w:rsidRPr="00103661" w:rsidRDefault="00FB6422" w:rsidP="00103661">
      <w:pPr>
        <w:spacing w:line="276" w:lineRule="auto"/>
        <w:jc w:val="both"/>
        <w:rPr>
          <w:rFonts w:cs="Times New Roman"/>
          <w:sz w:val="24"/>
          <w:szCs w:val="24"/>
        </w:rPr>
      </w:pPr>
      <w:r w:rsidRPr="00103661">
        <w:rPr>
          <w:rFonts w:cs="Times New Roman"/>
          <w:sz w:val="24"/>
          <w:szCs w:val="24"/>
        </w:rPr>
        <w:t xml:space="preserve">Como quiera que </w:t>
      </w:r>
      <w:r w:rsidR="009B0319" w:rsidRPr="00103661">
        <w:rPr>
          <w:rFonts w:cs="Times New Roman"/>
          <w:sz w:val="24"/>
          <w:szCs w:val="24"/>
        </w:rPr>
        <w:t>el legislador no dijo nada que justifi</w:t>
      </w:r>
      <w:r w:rsidR="000967CF" w:rsidRPr="00103661">
        <w:rPr>
          <w:rFonts w:cs="Times New Roman"/>
          <w:sz w:val="24"/>
          <w:szCs w:val="24"/>
        </w:rPr>
        <w:t xml:space="preserve">que </w:t>
      </w:r>
      <w:r w:rsidR="009B0319" w:rsidRPr="00103661">
        <w:rPr>
          <w:rFonts w:cs="Times New Roman"/>
          <w:sz w:val="24"/>
          <w:szCs w:val="24"/>
        </w:rPr>
        <w:t>esa diferencia de tratamiento punitivo privilegiado</w:t>
      </w:r>
      <w:r w:rsidR="002B76E7" w:rsidRPr="00103661">
        <w:rPr>
          <w:rFonts w:cs="Times New Roman"/>
          <w:sz w:val="24"/>
          <w:szCs w:val="24"/>
        </w:rPr>
        <w:t xml:space="preserve"> frente a un </w:t>
      </w:r>
      <w:r w:rsidR="00C6148B" w:rsidRPr="00103661">
        <w:rPr>
          <w:rFonts w:cs="Times New Roman"/>
          <w:sz w:val="24"/>
          <w:szCs w:val="24"/>
        </w:rPr>
        <w:t xml:space="preserve">mismo </w:t>
      </w:r>
      <w:r w:rsidR="002B76E7" w:rsidRPr="00103661">
        <w:rPr>
          <w:rFonts w:cs="Times New Roman"/>
          <w:sz w:val="24"/>
          <w:szCs w:val="24"/>
        </w:rPr>
        <w:t>fenómeno afín o similar</w:t>
      </w:r>
      <w:r w:rsidR="009B0319" w:rsidRPr="00103661">
        <w:rPr>
          <w:rFonts w:cs="Times New Roman"/>
          <w:sz w:val="24"/>
          <w:szCs w:val="24"/>
        </w:rPr>
        <w:t xml:space="preserve">, </w:t>
      </w:r>
      <w:r w:rsidRPr="00103661">
        <w:rPr>
          <w:rFonts w:cs="Times New Roman"/>
          <w:sz w:val="24"/>
          <w:szCs w:val="24"/>
        </w:rPr>
        <w:t xml:space="preserve">como respuesta al anterior interrogante, </w:t>
      </w:r>
      <w:r w:rsidR="009B0319" w:rsidRPr="00103661">
        <w:rPr>
          <w:rFonts w:cs="Times New Roman"/>
          <w:sz w:val="24"/>
          <w:szCs w:val="24"/>
        </w:rPr>
        <w:t xml:space="preserve">se podría decir que </w:t>
      </w:r>
      <w:r w:rsidR="002B76E7" w:rsidRPr="00103661">
        <w:rPr>
          <w:rFonts w:cs="Times New Roman"/>
          <w:sz w:val="24"/>
          <w:szCs w:val="24"/>
        </w:rPr>
        <w:t xml:space="preserve">tal desigualdad se tornaba idónea y </w:t>
      </w:r>
      <w:r w:rsidR="009B0319" w:rsidRPr="00103661">
        <w:rPr>
          <w:rFonts w:cs="Times New Roman"/>
          <w:sz w:val="24"/>
          <w:szCs w:val="24"/>
        </w:rPr>
        <w:t xml:space="preserve">necesaria por lo siguiente: </w:t>
      </w:r>
    </w:p>
    <w:p w:rsidR="009B0319" w:rsidRPr="00103661" w:rsidRDefault="009B0319" w:rsidP="00103661">
      <w:pPr>
        <w:spacing w:line="276" w:lineRule="auto"/>
        <w:jc w:val="both"/>
        <w:rPr>
          <w:rFonts w:cs="Times New Roman"/>
          <w:sz w:val="24"/>
          <w:szCs w:val="24"/>
        </w:rPr>
      </w:pPr>
    </w:p>
    <w:p w:rsidR="009B0319" w:rsidRPr="00103661" w:rsidRDefault="009B0319" w:rsidP="00103661">
      <w:pPr>
        <w:pStyle w:val="Prrafodelista"/>
        <w:numPr>
          <w:ilvl w:val="0"/>
          <w:numId w:val="8"/>
        </w:numPr>
        <w:spacing w:line="276" w:lineRule="auto"/>
        <w:ind w:left="360"/>
        <w:jc w:val="both"/>
        <w:rPr>
          <w:rFonts w:cs="Times New Roman"/>
          <w:sz w:val="24"/>
          <w:szCs w:val="24"/>
        </w:rPr>
      </w:pPr>
      <w:r w:rsidRPr="00103661">
        <w:rPr>
          <w:rFonts w:cs="Times New Roman"/>
          <w:sz w:val="24"/>
          <w:szCs w:val="24"/>
        </w:rPr>
        <w:t>Es que se estaba en presencia de co</w:t>
      </w:r>
      <w:r w:rsidR="002B76E7" w:rsidRPr="00103661">
        <w:rPr>
          <w:rFonts w:cs="Times New Roman"/>
          <w:sz w:val="24"/>
          <w:szCs w:val="24"/>
        </w:rPr>
        <w:t>nductas</w:t>
      </w:r>
      <w:r w:rsidRPr="00103661">
        <w:rPr>
          <w:rFonts w:cs="Times New Roman"/>
          <w:sz w:val="24"/>
          <w:szCs w:val="24"/>
        </w:rPr>
        <w:t xml:space="preserve"> </w:t>
      </w:r>
      <w:r w:rsidR="002B76E7" w:rsidRPr="00103661">
        <w:rPr>
          <w:rFonts w:cs="Times New Roman"/>
          <w:sz w:val="24"/>
          <w:szCs w:val="24"/>
        </w:rPr>
        <w:t xml:space="preserve">punibles </w:t>
      </w:r>
      <w:r w:rsidRPr="00103661">
        <w:rPr>
          <w:rFonts w:cs="Times New Roman"/>
          <w:sz w:val="24"/>
          <w:szCs w:val="24"/>
        </w:rPr>
        <w:t xml:space="preserve">de escasa lesividad, lo que ameritaba </w:t>
      </w:r>
      <w:r w:rsidR="000967CF" w:rsidRPr="00103661">
        <w:rPr>
          <w:rFonts w:cs="Times New Roman"/>
          <w:sz w:val="24"/>
          <w:szCs w:val="24"/>
        </w:rPr>
        <w:t xml:space="preserve">que se le diera un </w:t>
      </w:r>
      <w:r w:rsidRPr="00103661">
        <w:rPr>
          <w:rFonts w:cs="Times New Roman"/>
          <w:sz w:val="24"/>
          <w:szCs w:val="24"/>
        </w:rPr>
        <w:t xml:space="preserve">trato diferencial </w:t>
      </w:r>
      <w:r w:rsidR="000967CF" w:rsidRPr="00103661">
        <w:rPr>
          <w:rFonts w:cs="Times New Roman"/>
          <w:sz w:val="24"/>
          <w:szCs w:val="24"/>
        </w:rPr>
        <w:t xml:space="preserve">que el </w:t>
      </w:r>
      <w:r w:rsidR="00C6148B" w:rsidRPr="00103661">
        <w:rPr>
          <w:rFonts w:cs="Times New Roman"/>
          <w:sz w:val="24"/>
          <w:szCs w:val="24"/>
        </w:rPr>
        <w:t xml:space="preserve">dado a </w:t>
      </w:r>
      <w:r w:rsidRPr="00103661">
        <w:rPr>
          <w:rFonts w:cs="Times New Roman"/>
          <w:sz w:val="24"/>
          <w:szCs w:val="24"/>
        </w:rPr>
        <w:t xml:space="preserve">los punibles que son objeto del proceso penal ordinario, los cuales lesionan con mayor gravedad el interés jurídicamente protegido. Frente a lo cual se </w:t>
      </w:r>
      <w:r w:rsidR="009D4478" w:rsidRPr="00103661">
        <w:rPr>
          <w:rFonts w:cs="Times New Roman"/>
          <w:sz w:val="24"/>
          <w:szCs w:val="24"/>
        </w:rPr>
        <w:t>dirá</w:t>
      </w:r>
      <w:r w:rsidRPr="00103661">
        <w:rPr>
          <w:rFonts w:cs="Times New Roman"/>
          <w:sz w:val="24"/>
          <w:szCs w:val="24"/>
        </w:rPr>
        <w:t xml:space="preserve"> que tal argumentación seria valida, siempre y cuando el Congreso de la Republica hubiera accedido a transformar en contravenciones especiales </w:t>
      </w:r>
      <w:r w:rsidR="008C7A32" w:rsidRPr="00103661">
        <w:rPr>
          <w:rFonts w:cs="Times New Roman"/>
          <w:sz w:val="24"/>
          <w:szCs w:val="24"/>
        </w:rPr>
        <w:t xml:space="preserve">dichas conductas, si se parte de la base </w:t>
      </w:r>
      <w:r w:rsidR="00C6148B" w:rsidRPr="00103661">
        <w:rPr>
          <w:rFonts w:cs="Times New Roman"/>
          <w:sz w:val="24"/>
          <w:szCs w:val="24"/>
        </w:rPr>
        <w:t xml:space="preserve">consistente en </w:t>
      </w:r>
      <w:r w:rsidR="008C7A32" w:rsidRPr="00103661">
        <w:rPr>
          <w:rFonts w:cs="Times New Roman"/>
          <w:sz w:val="24"/>
          <w:szCs w:val="24"/>
        </w:rPr>
        <w:t xml:space="preserve">que las contravenciones son conductas punibles </w:t>
      </w:r>
      <w:r w:rsidR="007C3423" w:rsidRPr="00103661">
        <w:rPr>
          <w:rFonts w:cs="Times New Roman"/>
          <w:sz w:val="24"/>
          <w:szCs w:val="24"/>
        </w:rPr>
        <w:t xml:space="preserve">que afectan con </w:t>
      </w:r>
      <w:r w:rsidR="008C7A32" w:rsidRPr="00103661">
        <w:rPr>
          <w:rFonts w:cs="Times New Roman"/>
          <w:sz w:val="24"/>
          <w:szCs w:val="24"/>
        </w:rPr>
        <w:t xml:space="preserve">menor </w:t>
      </w:r>
      <w:r w:rsidR="00C6148B" w:rsidRPr="00103661">
        <w:rPr>
          <w:rFonts w:cs="Times New Roman"/>
          <w:sz w:val="24"/>
          <w:szCs w:val="24"/>
        </w:rPr>
        <w:t>intensidad o gravedad</w:t>
      </w:r>
      <w:r w:rsidR="008C7A32" w:rsidRPr="00103661">
        <w:rPr>
          <w:rFonts w:cs="Times New Roman"/>
          <w:sz w:val="24"/>
          <w:szCs w:val="24"/>
        </w:rPr>
        <w:t xml:space="preserve"> el interés jurídicamente protegido, lo que obviamente </w:t>
      </w:r>
      <w:r w:rsidR="007C3423" w:rsidRPr="00103661">
        <w:rPr>
          <w:rFonts w:cs="Times New Roman"/>
          <w:sz w:val="24"/>
          <w:szCs w:val="24"/>
        </w:rPr>
        <w:t>ameritaría</w:t>
      </w:r>
      <w:r w:rsidR="008C7A32" w:rsidRPr="00103661">
        <w:rPr>
          <w:rFonts w:cs="Times New Roman"/>
          <w:sz w:val="24"/>
          <w:szCs w:val="24"/>
        </w:rPr>
        <w:t xml:space="preserve">, según los postulados que orientan </w:t>
      </w:r>
      <w:r w:rsidR="00C6148B" w:rsidRPr="00103661">
        <w:rPr>
          <w:rFonts w:cs="Times New Roman"/>
          <w:sz w:val="24"/>
          <w:szCs w:val="24"/>
        </w:rPr>
        <w:t>los</w:t>
      </w:r>
      <w:r w:rsidR="008C7A32" w:rsidRPr="00103661">
        <w:rPr>
          <w:rFonts w:cs="Times New Roman"/>
          <w:sz w:val="24"/>
          <w:szCs w:val="24"/>
        </w:rPr>
        <w:t xml:space="preserve"> principio</w:t>
      </w:r>
      <w:r w:rsidR="00C6148B" w:rsidRPr="00103661">
        <w:rPr>
          <w:rFonts w:cs="Times New Roman"/>
          <w:sz w:val="24"/>
          <w:szCs w:val="24"/>
        </w:rPr>
        <w:t>s</w:t>
      </w:r>
      <w:r w:rsidR="008C7A32" w:rsidRPr="00103661">
        <w:rPr>
          <w:rFonts w:cs="Times New Roman"/>
          <w:sz w:val="24"/>
          <w:szCs w:val="24"/>
        </w:rPr>
        <w:t xml:space="preserve"> de la proporcionalidad</w:t>
      </w:r>
      <w:r w:rsidR="00C6148B" w:rsidRPr="00103661">
        <w:rPr>
          <w:rFonts w:cs="Times New Roman"/>
          <w:sz w:val="24"/>
          <w:szCs w:val="24"/>
        </w:rPr>
        <w:t xml:space="preserve"> y la lesividad</w:t>
      </w:r>
      <w:r w:rsidR="008C7A32" w:rsidRPr="00103661">
        <w:rPr>
          <w:rFonts w:cs="Times New Roman"/>
          <w:sz w:val="24"/>
          <w:szCs w:val="24"/>
        </w:rPr>
        <w:t xml:space="preserve">, que </w:t>
      </w:r>
      <w:r w:rsidR="00C6148B" w:rsidRPr="00103661">
        <w:rPr>
          <w:rFonts w:cs="Times New Roman"/>
          <w:sz w:val="24"/>
          <w:szCs w:val="24"/>
        </w:rPr>
        <w:t xml:space="preserve">en materia punitiva </w:t>
      </w:r>
      <w:r w:rsidR="008C7A32" w:rsidRPr="00103661">
        <w:rPr>
          <w:rFonts w:cs="Times New Roman"/>
          <w:sz w:val="24"/>
          <w:szCs w:val="24"/>
        </w:rPr>
        <w:t xml:space="preserve">se les dé un tratamiento </w:t>
      </w:r>
      <w:r w:rsidR="00381672" w:rsidRPr="00103661">
        <w:rPr>
          <w:rFonts w:cs="Times New Roman"/>
          <w:sz w:val="24"/>
          <w:szCs w:val="24"/>
        </w:rPr>
        <w:t xml:space="preserve">diverso, </w:t>
      </w:r>
      <w:r w:rsidR="007C3423" w:rsidRPr="00103661">
        <w:rPr>
          <w:rFonts w:cs="Times New Roman"/>
          <w:sz w:val="24"/>
          <w:szCs w:val="24"/>
        </w:rPr>
        <w:t>distinto</w:t>
      </w:r>
      <w:r w:rsidR="00381672" w:rsidRPr="00103661">
        <w:rPr>
          <w:rFonts w:cs="Times New Roman"/>
          <w:sz w:val="24"/>
          <w:szCs w:val="24"/>
        </w:rPr>
        <w:t xml:space="preserve"> y mucho más generoso</w:t>
      </w:r>
      <w:r w:rsidR="008C7A32" w:rsidRPr="00103661">
        <w:rPr>
          <w:rFonts w:cs="Times New Roman"/>
          <w:sz w:val="24"/>
          <w:szCs w:val="24"/>
        </w:rPr>
        <w:t xml:space="preserve"> </w:t>
      </w:r>
      <w:r w:rsidR="00381672" w:rsidRPr="00103661">
        <w:rPr>
          <w:rFonts w:cs="Times New Roman"/>
          <w:sz w:val="24"/>
          <w:szCs w:val="24"/>
        </w:rPr>
        <w:t xml:space="preserve">que </w:t>
      </w:r>
      <w:r w:rsidR="008C7A32" w:rsidRPr="00103661">
        <w:rPr>
          <w:rFonts w:cs="Times New Roman"/>
          <w:sz w:val="24"/>
          <w:szCs w:val="24"/>
        </w:rPr>
        <w:t>aquel dado a los delitos</w:t>
      </w:r>
      <w:r w:rsidR="009D4478" w:rsidRPr="00103661">
        <w:rPr>
          <w:rFonts w:cs="Times New Roman"/>
          <w:sz w:val="24"/>
          <w:szCs w:val="24"/>
        </w:rPr>
        <w:t xml:space="preserve">; pero como ello no </w:t>
      </w:r>
      <w:r w:rsidR="00883ABC" w:rsidRPr="00103661">
        <w:rPr>
          <w:rFonts w:cs="Times New Roman"/>
          <w:sz w:val="24"/>
          <w:szCs w:val="24"/>
        </w:rPr>
        <w:t>ocurrió</w:t>
      </w:r>
      <w:r w:rsidR="009D4478" w:rsidRPr="00103661">
        <w:rPr>
          <w:rFonts w:cs="Times New Roman"/>
          <w:sz w:val="24"/>
          <w:szCs w:val="24"/>
        </w:rPr>
        <w:t xml:space="preserve"> y en consecuencia esas conductas, que a juicio de</w:t>
      </w:r>
      <w:r w:rsidR="00381672" w:rsidRPr="00103661">
        <w:rPr>
          <w:rFonts w:cs="Times New Roman"/>
          <w:sz w:val="24"/>
          <w:szCs w:val="24"/>
        </w:rPr>
        <w:t xml:space="preserve">l </w:t>
      </w:r>
      <w:r w:rsidR="00883ABC" w:rsidRPr="00103661">
        <w:rPr>
          <w:rFonts w:cs="Times New Roman"/>
          <w:sz w:val="24"/>
          <w:szCs w:val="24"/>
        </w:rPr>
        <w:t xml:space="preserve">Ministerio de Justicia y del Derecho no eran muy graves, </w:t>
      </w:r>
      <w:r w:rsidR="009D4478" w:rsidRPr="00103661">
        <w:rPr>
          <w:rFonts w:cs="Times New Roman"/>
          <w:sz w:val="24"/>
          <w:szCs w:val="24"/>
        </w:rPr>
        <w:t>siguieron siendo consideradas como delitos</w:t>
      </w:r>
      <w:r w:rsidR="00883ABC" w:rsidRPr="00103661">
        <w:rPr>
          <w:rFonts w:cs="Times New Roman"/>
          <w:sz w:val="24"/>
          <w:szCs w:val="24"/>
        </w:rPr>
        <w:t xml:space="preserve">, es obvio que en el escenario del </w:t>
      </w:r>
      <w:r w:rsidR="00883ABC" w:rsidRPr="00103661">
        <w:rPr>
          <w:rFonts w:cs="Times New Roman"/>
          <w:sz w:val="24"/>
          <w:szCs w:val="24"/>
        </w:rPr>
        <w:lastRenderedPageBreak/>
        <w:t xml:space="preserve">derecho premial </w:t>
      </w:r>
      <w:r w:rsidR="00381672" w:rsidRPr="00103661">
        <w:rPr>
          <w:rFonts w:cs="Times New Roman"/>
          <w:sz w:val="24"/>
          <w:szCs w:val="24"/>
        </w:rPr>
        <w:t xml:space="preserve">y del principio de la proporcionalidad </w:t>
      </w:r>
      <w:r w:rsidR="00883ABC" w:rsidRPr="00103661">
        <w:rPr>
          <w:rFonts w:cs="Times New Roman"/>
          <w:sz w:val="24"/>
          <w:szCs w:val="24"/>
        </w:rPr>
        <w:t>se le debe dar el mismo tratamiento que se le ha venido dando a los demás delitos</w:t>
      </w:r>
      <w:r w:rsidR="008C7A32" w:rsidRPr="00103661">
        <w:rPr>
          <w:rFonts w:cs="Times New Roman"/>
          <w:sz w:val="24"/>
          <w:szCs w:val="24"/>
        </w:rPr>
        <w:t xml:space="preserve">.  </w:t>
      </w:r>
    </w:p>
    <w:p w:rsidR="008C7A32" w:rsidRPr="00103661" w:rsidRDefault="008C7A32" w:rsidP="00103661">
      <w:pPr>
        <w:spacing w:line="276" w:lineRule="auto"/>
        <w:jc w:val="both"/>
        <w:rPr>
          <w:rFonts w:cs="Times New Roman"/>
          <w:sz w:val="24"/>
          <w:szCs w:val="24"/>
        </w:rPr>
      </w:pPr>
    </w:p>
    <w:p w:rsidR="008C7A32" w:rsidRPr="00103661" w:rsidRDefault="008C7A32" w:rsidP="00103661">
      <w:pPr>
        <w:pStyle w:val="Prrafodelista"/>
        <w:numPr>
          <w:ilvl w:val="0"/>
          <w:numId w:val="8"/>
        </w:numPr>
        <w:spacing w:line="276" w:lineRule="auto"/>
        <w:ind w:left="360"/>
        <w:jc w:val="both"/>
        <w:rPr>
          <w:rFonts w:cs="Times New Roman"/>
          <w:sz w:val="24"/>
          <w:szCs w:val="24"/>
        </w:rPr>
      </w:pPr>
      <w:r w:rsidRPr="00103661">
        <w:rPr>
          <w:rFonts w:cs="Times New Roman"/>
          <w:sz w:val="24"/>
          <w:szCs w:val="24"/>
        </w:rPr>
        <w:t xml:space="preserve">Que con el tratamiento diferencial se procuraba hacer gala de los principios de celeridad y eficacia </w:t>
      </w:r>
      <w:r w:rsidR="00C6148B" w:rsidRPr="00103661">
        <w:rPr>
          <w:rFonts w:cs="Times New Roman"/>
          <w:sz w:val="24"/>
          <w:szCs w:val="24"/>
        </w:rPr>
        <w:t xml:space="preserve">que rigen a </w:t>
      </w:r>
      <w:r w:rsidRPr="00103661">
        <w:rPr>
          <w:rFonts w:cs="Times New Roman"/>
          <w:sz w:val="24"/>
          <w:szCs w:val="24"/>
        </w:rPr>
        <w:t xml:space="preserve">la administración de justicia, lo cual es una falacia, debido a que según se desprende del contenido de la ley </w:t>
      </w:r>
      <w:r w:rsidR="007C3423" w:rsidRPr="00103661">
        <w:rPr>
          <w:rFonts w:cs="Times New Roman"/>
          <w:sz w:val="24"/>
          <w:szCs w:val="24"/>
        </w:rPr>
        <w:t xml:space="preserve"># </w:t>
      </w:r>
      <w:r w:rsidRPr="00103661">
        <w:rPr>
          <w:rFonts w:cs="Times New Roman"/>
          <w:sz w:val="24"/>
          <w:szCs w:val="24"/>
        </w:rPr>
        <w:t xml:space="preserve">270 de 1.996, dichos principios </w:t>
      </w:r>
      <w:r w:rsidR="00C6148B" w:rsidRPr="00103661">
        <w:rPr>
          <w:rFonts w:cs="Times New Roman"/>
          <w:sz w:val="24"/>
          <w:szCs w:val="24"/>
        </w:rPr>
        <w:t xml:space="preserve">son universales porque </w:t>
      </w:r>
      <w:r w:rsidR="007C3423" w:rsidRPr="00103661">
        <w:rPr>
          <w:rFonts w:cs="Times New Roman"/>
          <w:sz w:val="24"/>
          <w:szCs w:val="24"/>
        </w:rPr>
        <w:t xml:space="preserve">se </w:t>
      </w:r>
      <w:r w:rsidRPr="00103661">
        <w:rPr>
          <w:rFonts w:cs="Times New Roman"/>
          <w:sz w:val="24"/>
          <w:szCs w:val="24"/>
        </w:rPr>
        <w:t>pregonan de todos los procesos y procedimientos</w:t>
      </w:r>
      <w:r w:rsidRPr="00103661">
        <w:rPr>
          <w:rStyle w:val="Refdenotaalpie"/>
          <w:rFonts w:cs="Times New Roman"/>
          <w:sz w:val="24"/>
          <w:szCs w:val="24"/>
        </w:rPr>
        <w:footnoteReference w:id="6"/>
      </w:r>
      <w:r w:rsidRPr="00103661">
        <w:rPr>
          <w:rFonts w:cs="Times New Roman"/>
          <w:sz w:val="24"/>
          <w:szCs w:val="24"/>
        </w:rPr>
        <w:t>, sin distinguir que se esté en presencia de un proceso ordinario o de un proceso especial</w:t>
      </w:r>
      <w:r w:rsidR="00381672" w:rsidRPr="00103661">
        <w:rPr>
          <w:rFonts w:cs="Times New Roman"/>
          <w:sz w:val="24"/>
          <w:szCs w:val="24"/>
        </w:rPr>
        <w:t xml:space="preserve"> que sea una especie de modalidad del ordinario</w:t>
      </w:r>
      <w:r w:rsidRPr="00103661">
        <w:rPr>
          <w:rFonts w:cs="Times New Roman"/>
          <w:sz w:val="24"/>
          <w:szCs w:val="24"/>
        </w:rPr>
        <w:t>.</w:t>
      </w:r>
    </w:p>
    <w:p w:rsidR="00E371C8" w:rsidRPr="00103661" w:rsidRDefault="00E371C8" w:rsidP="00103661">
      <w:pPr>
        <w:spacing w:line="276" w:lineRule="auto"/>
        <w:jc w:val="both"/>
        <w:rPr>
          <w:rFonts w:cs="Times New Roman"/>
          <w:sz w:val="24"/>
          <w:szCs w:val="24"/>
        </w:rPr>
      </w:pPr>
    </w:p>
    <w:p w:rsidR="009D4478" w:rsidRPr="00103661" w:rsidRDefault="00C6148B" w:rsidP="00103661">
      <w:pPr>
        <w:pStyle w:val="Prrafodelista"/>
        <w:numPr>
          <w:ilvl w:val="0"/>
          <w:numId w:val="8"/>
        </w:numPr>
        <w:spacing w:line="276" w:lineRule="auto"/>
        <w:ind w:left="360"/>
        <w:jc w:val="both"/>
        <w:rPr>
          <w:rFonts w:cs="Times New Roman"/>
          <w:sz w:val="24"/>
          <w:szCs w:val="24"/>
        </w:rPr>
      </w:pPr>
      <w:r w:rsidRPr="00103661">
        <w:rPr>
          <w:rFonts w:cs="Times New Roman"/>
          <w:sz w:val="24"/>
          <w:szCs w:val="24"/>
        </w:rPr>
        <w:t xml:space="preserve">Supuestamente el </w:t>
      </w:r>
      <w:r w:rsidR="007C3423" w:rsidRPr="00103661">
        <w:rPr>
          <w:rFonts w:cs="Times New Roman"/>
          <w:sz w:val="24"/>
          <w:szCs w:val="24"/>
        </w:rPr>
        <w:t>tratamiento diferencial se justificaba p</w:t>
      </w:r>
      <w:r w:rsidR="00E371C8" w:rsidRPr="00103661">
        <w:rPr>
          <w:rFonts w:cs="Times New Roman"/>
          <w:sz w:val="24"/>
          <w:szCs w:val="24"/>
        </w:rPr>
        <w:t>or estarse en presencia de delitos que vienen ocurriendo de manera cotidiana</w:t>
      </w:r>
      <w:r w:rsidR="007C3423" w:rsidRPr="00103661">
        <w:rPr>
          <w:rFonts w:cs="Times New Roman"/>
          <w:sz w:val="24"/>
          <w:szCs w:val="24"/>
        </w:rPr>
        <w:t xml:space="preserve"> y causal, lo que ha </w:t>
      </w:r>
      <w:r w:rsidR="009D4478" w:rsidRPr="00103661">
        <w:rPr>
          <w:rFonts w:cs="Times New Roman"/>
          <w:sz w:val="24"/>
          <w:szCs w:val="24"/>
        </w:rPr>
        <w:t>congestionado los despachos judiciales hasta el extremo de llevar hacia el colapso a la Administración de Justicia;</w:t>
      </w:r>
      <w:r w:rsidR="00E371C8" w:rsidRPr="00103661">
        <w:rPr>
          <w:rFonts w:cs="Times New Roman"/>
          <w:sz w:val="24"/>
          <w:szCs w:val="24"/>
        </w:rPr>
        <w:t xml:space="preserve"> lo cual es</w:t>
      </w:r>
      <w:r w:rsidR="007C3423" w:rsidRPr="00103661">
        <w:rPr>
          <w:rFonts w:cs="Times New Roman"/>
          <w:sz w:val="24"/>
          <w:szCs w:val="24"/>
        </w:rPr>
        <w:t xml:space="preserve"> sofistico</w:t>
      </w:r>
      <w:r w:rsidR="00E371C8" w:rsidRPr="00103661">
        <w:rPr>
          <w:rFonts w:cs="Times New Roman"/>
          <w:sz w:val="24"/>
          <w:szCs w:val="24"/>
        </w:rPr>
        <w:t xml:space="preserve">, porque </w:t>
      </w:r>
      <w:r w:rsidR="007C3423" w:rsidRPr="00103661">
        <w:rPr>
          <w:rFonts w:cs="Times New Roman"/>
          <w:sz w:val="24"/>
          <w:szCs w:val="24"/>
        </w:rPr>
        <w:t xml:space="preserve">la realidad real nos enseña que </w:t>
      </w:r>
      <w:r w:rsidR="00E371C8" w:rsidRPr="00103661">
        <w:rPr>
          <w:rFonts w:cs="Times New Roman"/>
          <w:sz w:val="24"/>
          <w:szCs w:val="24"/>
        </w:rPr>
        <w:t xml:space="preserve">también </w:t>
      </w:r>
      <w:r w:rsidR="009D4478" w:rsidRPr="00103661">
        <w:rPr>
          <w:rFonts w:cs="Times New Roman"/>
          <w:sz w:val="24"/>
          <w:szCs w:val="24"/>
        </w:rPr>
        <w:t xml:space="preserve">existen otros delitos que, a modo de pan de cada día, </w:t>
      </w:r>
      <w:r w:rsidR="007C3423" w:rsidRPr="00103661">
        <w:rPr>
          <w:rFonts w:cs="Times New Roman"/>
          <w:sz w:val="24"/>
          <w:szCs w:val="24"/>
        </w:rPr>
        <w:t xml:space="preserve">de igual forma </w:t>
      </w:r>
      <w:r w:rsidR="00E371C8" w:rsidRPr="00103661">
        <w:rPr>
          <w:rFonts w:cs="Times New Roman"/>
          <w:sz w:val="24"/>
          <w:szCs w:val="24"/>
        </w:rPr>
        <w:t>ocurren de manera cotidiana y frecuente</w:t>
      </w:r>
      <w:r w:rsidR="009D4478" w:rsidRPr="00103661">
        <w:rPr>
          <w:rFonts w:cs="Times New Roman"/>
          <w:sz w:val="24"/>
          <w:szCs w:val="24"/>
        </w:rPr>
        <w:t>, y que también son fuentes de congestión judicial</w:t>
      </w:r>
      <w:r w:rsidR="00E371C8" w:rsidRPr="00103661">
        <w:rPr>
          <w:rFonts w:cs="Times New Roman"/>
          <w:sz w:val="24"/>
          <w:szCs w:val="24"/>
        </w:rPr>
        <w:t>, tales como</w:t>
      </w:r>
      <w:r w:rsidRPr="00103661">
        <w:rPr>
          <w:rFonts w:cs="Times New Roman"/>
          <w:sz w:val="24"/>
          <w:szCs w:val="24"/>
        </w:rPr>
        <w:t>:</w:t>
      </w:r>
      <w:r w:rsidR="00E371C8" w:rsidRPr="00103661">
        <w:rPr>
          <w:rFonts w:cs="Times New Roman"/>
          <w:sz w:val="24"/>
          <w:szCs w:val="24"/>
        </w:rPr>
        <w:t xml:space="preserve"> el </w:t>
      </w:r>
      <w:r w:rsidR="009D4478" w:rsidRPr="00103661">
        <w:rPr>
          <w:rFonts w:cs="Times New Roman"/>
          <w:sz w:val="24"/>
          <w:szCs w:val="24"/>
        </w:rPr>
        <w:t>tráfico</w:t>
      </w:r>
      <w:r w:rsidR="00E371C8" w:rsidRPr="00103661">
        <w:rPr>
          <w:rFonts w:cs="Times New Roman"/>
          <w:sz w:val="24"/>
          <w:szCs w:val="24"/>
        </w:rPr>
        <w:t xml:space="preserve"> de estupefacientes, el porte ilegal de armas de fuego, el acoso sexual, la violencia intraconyugal, etc…</w:t>
      </w:r>
      <w:r w:rsidR="009D4478" w:rsidRPr="00103661">
        <w:rPr>
          <w:rFonts w:cs="Times New Roman"/>
          <w:sz w:val="24"/>
          <w:szCs w:val="24"/>
        </w:rPr>
        <w:t xml:space="preserve"> </w:t>
      </w:r>
      <w:r w:rsidRPr="00103661">
        <w:rPr>
          <w:rFonts w:cs="Times New Roman"/>
          <w:sz w:val="24"/>
          <w:szCs w:val="24"/>
        </w:rPr>
        <w:t xml:space="preserve">los </w:t>
      </w:r>
      <w:r w:rsidR="009D4478" w:rsidRPr="00103661">
        <w:rPr>
          <w:rFonts w:cs="Times New Roman"/>
          <w:sz w:val="24"/>
          <w:szCs w:val="24"/>
        </w:rPr>
        <w:t>que de igual forma</w:t>
      </w:r>
      <w:r w:rsidRPr="00103661">
        <w:rPr>
          <w:rFonts w:cs="Times New Roman"/>
          <w:sz w:val="24"/>
          <w:szCs w:val="24"/>
        </w:rPr>
        <w:t xml:space="preserve"> ameritaban que se les diera un tratamiento punitivo diferente</w:t>
      </w:r>
      <w:r w:rsidR="009D4478" w:rsidRPr="00103661">
        <w:rPr>
          <w:rFonts w:cs="Times New Roman"/>
          <w:sz w:val="24"/>
          <w:szCs w:val="24"/>
        </w:rPr>
        <w:t xml:space="preserve"> </w:t>
      </w:r>
      <w:r w:rsidR="007C3423" w:rsidRPr="00103661">
        <w:rPr>
          <w:rFonts w:cs="Times New Roman"/>
          <w:sz w:val="24"/>
          <w:szCs w:val="24"/>
        </w:rPr>
        <w:t>respecto al escenario del allanamiento a cargos en c</w:t>
      </w:r>
      <w:r w:rsidRPr="00103661">
        <w:rPr>
          <w:rFonts w:cs="Times New Roman"/>
          <w:sz w:val="24"/>
          <w:szCs w:val="24"/>
        </w:rPr>
        <w:t>aso de la captura en flagrancia</w:t>
      </w:r>
      <w:r w:rsidR="00381672" w:rsidRPr="00103661">
        <w:rPr>
          <w:rFonts w:cs="Times New Roman"/>
          <w:sz w:val="24"/>
          <w:szCs w:val="24"/>
        </w:rPr>
        <w:t xml:space="preserve">, para </w:t>
      </w:r>
      <w:r w:rsidR="00862CE4" w:rsidRPr="00103661">
        <w:rPr>
          <w:rFonts w:cs="Times New Roman"/>
          <w:sz w:val="24"/>
          <w:szCs w:val="24"/>
        </w:rPr>
        <w:t>así</w:t>
      </w:r>
      <w:r w:rsidR="00381672" w:rsidRPr="00103661">
        <w:rPr>
          <w:rFonts w:cs="Times New Roman"/>
          <w:sz w:val="24"/>
          <w:szCs w:val="24"/>
        </w:rPr>
        <w:t xml:space="preserve"> evitar la hecatombe que genera la mora y la </w:t>
      </w:r>
      <w:r w:rsidR="00862CE4" w:rsidRPr="00103661">
        <w:rPr>
          <w:rFonts w:cs="Times New Roman"/>
          <w:sz w:val="24"/>
          <w:szCs w:val="24"/>
        </w:rPr>
        <w:t>congestión</w:t>
      </w:r>
      <w:r w:rsidR="009D4478" w:rsidRPr="00103661">
        <w:rPr>
          <w:rFonts w:cs="Times New Roman"/>
          <w:sz w:val="24"/>
          <w:szCs w:val="24"/>
        </w:rPr>
        <w:t xml:space="preserve">. </w:t>
      </w:r>
    </w:p>
    <w:p w:rsidR="007C3423" w:rsidRPr="00103661" w:rsidRDefault="007C3423" w:rsidP="00103661">
      <w:pPr>
        <w:spacing w:line="276" w:lineRule="auto"/>
        <w:jc w:val="both"/>
        <w:rPr>
          <w:rFonts w:cs="Times New Roman"/>
          <w:sz w:val="24"/>
          <w:szCs w:val="24"/>
        </w:rPr>
      </w:pPr>
    </w:p>
    <w:p w:rsidR="009D4478" w:rsidRPr="00103661" w:rsidRDefault="00883ABC" w:rsidP="00103661">
      <w:pPr>
        <w:pStyle w:val="Prrafodelista"/>
        <w:numPr>
          <w:ilvl w:val="0"/>
          <w:numId w:val="8"/>
        </w:numPr>
        <w:spacing w:line="276" w:lineRule="auto"/>
        <w:ind w:left="360"/>
        <w:jc w:val="both"/>
        <w:rPr>
          <w:rFonts w:cs="Times New Roman"/>
          <w:sz w:val="24"/>
          <w:szCs w:val="24"/>
        </w:rPr>
      </w:pPr>
      <w:r w:rsidRPr="00103661">
        <w:rPr>
          <w:rFonts w:cs="Times New Roman"/>
          <w:sz w:val="24"/>
          <w:szCs w:val="24"/>
        </w:rPr>
        <w:t xml:space="preserve">Con el monto de los descuentos punitivos </w:t>
      </w:r>
      <w:r w:rsidR="00C6148B" w:rsidRPr="00103661">
        <w:rPr>
          <w:rFonts w:cs="Times New Roman"/>
          <w:sz w:val="24"/>
          <w:szCs w:val="24"/>
        </w:rPr>
        <w:t xml:space="preserve">regulados </w:t>
      </w:r>
      <w:r w:rsidR="009C2F3C" w:rsidRPr="00103661">
        <w:rPr>
          <w:rFonts w:cs="Times New Roman"/>
          <w:sz w:val="24"/>
          <w:szCs w:val="24"/>
        </w:rPr>
        <w:t xml:space="preserve">para los delitos que se encuentran bajo la egida de </w:t>
      </w:r>
      <w:r w:rsidR="00C6148B" w:rsidRPr="00103661">
        <w:rPr>
          <w:rFonts w:cs="Times New Roman"/>
          <w:sz w:val="24"/>
          <w:szCs w:val="24"/>
        </w:rPr>
        <w:t>la ley # 1.826 de 2.017</w:t>
      </w:r>
      <w:r w:rsidR="009C2F3C" w:rsidRPr="00103661">
        <w:rPr>
          <w:rFonts w:cs="Times New Roman"/>
          <w:sz w:val="24"/>
          <w:szCs w:val="24"/>
        </w:rPr>
        <w:t xml:space="preserve">, a los que se </w:t>
      </w:r>
      <w:r w:rsidR="001C1893" w:rsidRPr="00103661">
        <w:rPr>
          <w:rFonts w:cs="Times New Roman"/>
          <w:sz w:val="24"/>
          <w:szCs w:val="24"/>
        </w:rPr>
        <w:t>harían</w:t>
      </w:r>
      <w:r w:rsidR="009C2F3C" w:rsidRPr="00103661">
        <w:rPr>
          <w:rFonts w:cs="Times New Roman"/>
          <w:sz w:val="24"/>
          <w:szCs w:val="24"/>
        </w:rPr>
        <w:t xml:space="preserve"> acreedores</w:t>
      </w:r>
      <w:r w:rsidR="00C6148B" w:rsidRPr="00103661">
        <w:rPr>
          <w:rFonts w:cs="Times New Roman"/>
          <w:sz w:val="24"/>
          <w:szCs w:val="24"/>
        </w:rPr>
        <w:t xml:space="preserve"> </w:t>
      </w:r>
      <w:r w:rsidR="009C2F3C" w:rsidRPr="00103661">
        <w:rPr>
          <w:rFonts w:cs="Times New Roman"/>
          <w:sz w:val="24"/>
          <w:szCs w:val="24"/>
        </w:rPr>
        <w:t>las personas que se allanen</w:t>
      </w:r>
      <w:r w:rsidRPr="00103661">
        <w:rPr>
          <w:rFonts w:cs="Times New Roman"/>
          <w:sz w:val="24"/>
          <w:szCs w:val="24"/>
        </w:rPr>
        <w:t xml:space="preserve"> a los cargos en </w:t>
      </w:r>
      <w:r w:rsidR="009C2F3C" w:rsidRPr="00103661">
        <w:rPr>
          <w:rFonts w:cs="Times New Roman"/>
          <w:sz w:val="24"/>
          <w:szCs w:val="24"/>
        </w:rPr>
        <w:t xml:space="preserve">los </w:t>
      </w:r>
      <w:r w:rsidRPr="00103661">
        <w:rPr>
          <w:rFonts w:cs="Times New Roman"/>
          <w:sz w:val="24"/>
          <w:szCs w:val="24"/>
        </w:rPr>
        <w:t>caso</w:t>
      </w:r>
      <w:r w:rsidR="009C2F3C" w:rsidRPr="00103661">
        <w:rPr>
          <w:rFonts w:cs="Times New Roman"/>
          <w:sz w:val="24"/>
          <w:szCs w:val="24"/>
        </w:rPr>
        <w:t>s</w:t>
      </w:r>
      <w:r w:rsidRPr="00103661">
        <w:rPr>
          <w:rFonts w:cs="Times New Roman"/>
          <w:sz w:val="24"/>
          <w:szCs w:val="24"/>
        </w:rPr>
        <w:t xml:space="preserve"> de haber sido capturados en flagrancia</w:t>
      </w:r>
      <w:r w:rsidR="00C6148B" w:rsidRPr="00103661">
        <w:rPr>
          <w:rFonts w:cs="Times New Roman"/>
          <w:sz w:val="24"/>
          <w:szCs w:val="24"/>
        </w:rPr>
        <w:t xml:space="preserve">, </w:t>
      </w:r>
      <w:r w:rsidR="009C2F3C" w:rsidRPr="00103661">
        <w:rPr>
          <w:rFonts w:cs="Times New Roman"/>
          <w:sz w:val="24"/>
          <w:szCs w:val="24"/>
        </w:rPr>
        <w:t>se busca</w:t>
      </w:r>
      <w:r w:rsidR="00381672" w:rsidRPr="00103661">
        <w:rPr>
          <w:rFonts w:cs="Times New Roman"/>
          <w:sz w:val="24"/>
          <w:szCs w:val="24"/>
        </w:rPr>
        <w:t>ba</w:t>
      </w:r>
      <w:r w:rsidR="009C2F3C" w:rsidRPr="00103661">
        <w:rPr>
          <w:rFonts w:cs="Times New Roman"/>
          <w:sz w:val="24"/>
          <w:szCs w:val="24"/>
        </w:rPr>
        <w:t xml:space="preserve"> darle aplicación a la postead que tienen los procesados, según las voces de los literales </w:t>
      </w:r>
      <w:r w:rsidR="009C2F3C" w:rsidRPr="00103661">
        <w:rPr>
          <w:rFonts w:cs="Times New Roman"/>
          <w:i/>
          <w:sz w:val="24"/>
          <w:szCs w:val="24"/>
        </w:rPr>
        <w:t>k</w:t>
      </w:r>
      <w:r w:rsidR="009C2F3C" w:rsidRPr="00103661">
        <w:rPr>
          <w:rFonts w:cs="Times New Roman"/>
          <w:sz w:val="24"/>
          <w:szCs w:val="24"/>
        </w:rPr>
        <w:t xml:space="preserve"> y </w:t>
      </w:r>
      <w:r w:rsidR="009C2F3C" w:rsidRPr="00103661">
        <w:rPr>
          <w:rFonts w:cs="Times New Roman"/>
          <w:i/>
          <w:sz w:val="24"/>
          <w:szCs w:val="24"/>
        </w:rPr>
        <w:t>l</w:t>
      </w:r>
      <w:r w:rsidR="009C2F3C" w:rsidRPr="00103661">
        <w:rPr>
          <w:rFonts w:cs="Times New Roman"/>
          <w:sz w:val="24"/>
          <w:szCs w:val="24"/>
        </w:rPr>
        <w:t xml:space="preserve"> del artículo 8º C.P.P. de renunciar al derecho a un juicio oral, contradictorio, concentrado e imparcial, a cambio de un generoso estímulo punitivo que se regirá por las premisas del derecho premial. </w:t>
      </w:r>
      <w:r w:rsidR="001C1893" w:rsidRPr="00103661">
        <w:rPr>
          <w:rFonts w:cs="Times New Roman"/>
          <w:sz w:val="24"/>
          <w:szCs w:val="24"/>
        </w:rPr>
        <w:t xml:space="preserve">Pero tal afirmación es otro sofisma con el que se patrocinaría </w:t>
      </w:r>
      <w:r w:rsidR="009C2F3C" w:rsidRPr="00103661">
        <w:rPr>
          <w:rFonts w:cs="Times New Roman"/>
          <w:sz w:val="24"/>
          <w:szCs w:val="24"/>
        </w:rPr>
        <w:t>un</w:t>
      </w:r>
      <w:r w:rsidR="001C1893" w:rsidRPr="00103661">
        <w:rPr>
          <w:rFonts w:cs="Times New Roman"/>
          <w:sz w:val="24"/>
          <w:szCs w:val="24"/>
        </w:rPr>
        <w:t>a especie de</w:t>
      </w:r>
      <w:r w:rsidR="009C2F3C" w:rsidRPr="00103661">
        <w:rPr>
          <w:rFonts w:cs="Times New Roman"/>
          <w:sz w:val="24"/>
          <w:szCs w:val="24"/>
        </w:rPr>
        <w:t xml:space="preserve"> tratamiento discriminatorio </w:t>
      </w:r>
      <w:r w:rsidR="00381672" w:rsidRPr="00103661">
        <w:rPr>
          <w:rFonts w:cs="Times New Roman"/>
          <w:sz w:val="24"/>
          <w:szCs w:val="24"/>
        </w:rPr>
        <w:t>en contra</w:t>
      </w:r>
      <w:r w:rsidR="009C2F3C" w:rsidRPr="00103661">
        <w:rPr>
          <w:rFonts w:cs="Times New Roman"/>
          <w:sz w:val="24"/>
          <w:szCs w:val="24"/>
        </w:rPr>
        <w:t xml:space="preserve"> de las personas</w:t>
      </w:r>
      <w:r w:rsidR="001C1893" w:rsidRPr="00103661">
        <w:rPr>
          <w:rFonts w:cs="Times New Roman"/>
          <w:sz w:val="24"/>
          <w:szCs w:val="24"/>
        </w:rPr>
        <w:t xml:space="preserve"> que </w:t>
      </w:r>
      <w:r w:rsidR="00381672" w:rsidRPr="00103661">
        <w:rPr>
          <w:rFonts w:cs="Times New Roman"/>
          <w:sz w:val="24"/>
          <w:szCs w:val="24"/>
        </w:rPr>
        <w:t xml:space="preserve">en </w:t>
      </w:r>
      <w:r w:rsidR="001C1893" w:rsidRPr="00103661">
        <w:rPr>
          <w:rFonts w:cs="Times New Roman"/>
          <w:sz w:val="24"/>
          <w:szCs w:val="24"/>
        </w:rPr>
        <w:t xml:space="preserve">iguales eventos </w:t>
      </w:r>
      <w:r w:rsidR="00862CE4" w:rsidRPr="00103661">
        <w:rPr>
          <w:rFonts w:cs="Times New Roman"/>
          <w:sz w:val="24"/>
          <w:szCs w:val="24"/>
        </w:rPr>
        <w:t>están</w:t>
      </w:r>
      <w:r w:rsidR="001C1893" w:rsidRPr="00103661">
        <w:rPr>
          <w:rFonts w:cs="Times New Roman"/>
          <w:sz w:val="24"/>
          <w:szCs w:val="24"/>
        </w:rPr>
        <w:t xml:space="preserve"> sometidas al proceso ordinario, quienes carecerían de un adecuado estímulo punitivo que los seduzca a renunciar a los aludidos derechos consagrados en el artículo 8º ibídem, para así exponerlos a las consecuencias punitivas que generaría una sentencia condenatoria proferidas dentro de un proceso penal en el que no operó ninguna de las modalidades que incidieran en su terminación abreviada.  </w:t>
      </w:r>
      <w:r w:rsidR="009C2F3C" w:rsidRPr="00103661">
        <w:rPr>
          <w:rFonts w:cs="Times New Roman"/>
          <w:sz w:val="24"/>
          <w:szCs w:val="24"/>
        </w:rPr>
        <w:t xml:space="preserve"> </w:t>
      </w:r>
    </w:p>
    <w:p w:rsidR="00FB6422" w:rsidRPr="00103661" w:rsidRDefault="00FB6422" w:rsidP="00103661">
      <w:pPr>
        <w:spacing w:line="276" w:lineRule="auto"/>
        <w:jc w:val="both"/>
        <w:rPr>
          <w:rFonts w:cs="Times New Roman"/>
          <w:sz w:val="24"/>
          <w:szCs w:val="24"/>
        </w:rPr>
      </w:pPr>
    </w:p>
    <w:p w:rsidR="003E4E8D" w:rsidRPr="00103661" w:rsidRDefault="00FB6422" w:rsidP="00103661">
      <w:pPr>
        <w:spacing w:line="276" w:lineRule="auto"/>
        <w:jc w:val="both"/>
        <w:rPr>
          <w:rFonts w:cs="Times New Roman"/>
          <w:sz w:val="24"/>
          <w:szCs w:val="24"/>
        </w:rPr>
      </w:pPr>
      <w:r w:rsidRPr="00103661">
        <w:rPr>
          <w:rFonts w:cs="Times New Roman"/>
          <w:sz w:val="24"/>
          <w:szCs w:val="24"/>
        </w:rPr>
        <w:t>En suma, el suscrito es de la opinión que de haberse aplicado por parte de la Sala mayoritaria el test de la igualdad, se habría dado cuenta que</w:t>
      </w:r>
      <w:r w:rsidR="003E4E8D" w:rsidRPr="00103661">
        <w:rPr>
          <w:rFonts w:cs="Times New Roman"/>
          <w:sz w:val="24"/>
          <w:szCs w:val="24"/>
        </w:rPr>
        <w:t>:</w:t>
      </w:r>
    </w:p>
    <w:p w:rsidR="003E4E8D" w:rsidRPr="00103661" w:rsidRDefault="003E4E8D" w:rsidP="00103661">
      <w:pPr>
        <w:spacing w:line="276" w:lineRule="auto"/>
        <w:jc w:val="both"/>
        <w:rPr>
          <w:rFonts w:cs="Times New Roman"/>
          <w:sz w:val="24"/>
          <w:szCs w:val="24"/>
        </w:rPr>
      </w:pPr>
    </w:p>
    <w:p w:rsidR="003E4E8D" w:rsidRPr="00103661" w:rsidRDefault="003E4E8D" w:rsidP="00103661">
      <w:pPr>
        <w:pStyle w:val="Prrafodelista"/>
        <w:numPr>
          <w:ilvl w:val="0"/>
          <w:numId w:val="9"/>
        </w:numPr>
        <w:spacing w:line="276" w:lineRule="auto"/>
        <w:ind w:left="360"/>
        <w:jc w:val="both"/>
        <w:rPr>
          <w:rFonts w:cs="Times New Roman"/>
          <w:sz w:val="24"/>
          <w:szCs w:val="24"/>
        </w:rPr>
      </w:pPr>
      <w:r w:rsidRPr="00103661">
        <w:rPr>
          <w:rFonts w:cs="Times New Roman"/>
          <w:sz w:val="24"/>
          <w:szCs w:val="24"/>
        </w:rPr>
        <w:t>Ante la existencia de la mayor relevancia que generan las afinidades y los comunes denominadores habidos entre el procedimiento ordinario y el procedimiento especial abreviado, tal situación ameritaría para que en los eventos de descuentos punitivos por allanamiento a cargos en los casos de captura en flagrancia</w:t>
      </w:r>
      <w:r w:rsidR="00381672" w:rsidRPr="00103661">
        <w:rPr>
          <w:rFonts w:cs="Times New Roman"/>
          <w:sz w:val="24"/>
          <w:szCs w:val="24"/>
        </w:rPr>
        <w:t>,</w:t>
      </w:r>
      <w:r w:rsidRPr="00103661">
        <w:rPr>
          <w:rFonts w:cs="Times New Roman"/>
          <w:sz w:val="24"/>
          <w:szCs w:val="24"/>
        </w:rPr>
        <w:t xml:space="preserve"> se le deba dar un tratamiento paritario o igual a pesar de las sutiles diferencias habidas entre ambos procedimientos. </w:t>
      </w:r>
    </w:p>
    <w:p w:rsidR="003E4E8D" w:rsidRPr="00103661" w:rsidRDefault="003E4E8D" w:rsidP="00103661">
      <w:pPr>
        <w:spacing w:line="276" w:lineRule="auto"/>
        <w:jc w:val="both"/>
        <w:rPr>
          <w:rFonts w:cs="Times New Roman"/>
          <w:sz w:val="24"/>
          <w:szCs w:val="24"/>
        </w:rPr>
      </w:pPr>
    </w:p>
    <w:p w:rsidR="003E4E8D" w:rsidRPr="00103661" w:rsidRDefault="003E4E8D" w:rsidP="00103661">
      <w:pPr>
        <w:pStyle w:val="Prrafodelista"/>
        <w:numPr>
          <w:ilvl w:val="0"/>
          <w:numId w:val="9"/>
        </w:numPr>
        <w:spacing w:line="276" w:lineRule="auto"/>
        <w:ind w:left="360"/>
        <w:jc w:val="both"/>
        <w:rPr>
          <w:rFonts w:cs="Times New Roman"/>
          <w:sz w:val="24"/>
          <w:szCs w:val="24"/>
        </w:rPr>
      </w:pPr>
      <w:r w:rsidRPr="00103661">
        <w:rPr>
          <w:rFonts w:cs="Times New Roman"/>
          <w:sz w:val="24"/>
          <w:szCs w:val="24"/>
        </w:rPr>
        <w:t xml:space="preserve">Desde el ámbito constitucional no existe una razón que justifique o avale el tratamiento diversificado o diferencial dado por la ley # 1.826 de 2.017 en materia de descuentos punitivos para aquellas personas capturadas en flagrancia que se allanen a los cargos, </w:t>
      </w:r>
      <w:r w:rsidR="001F4E7E" w:rsidRPr="00103661">
        <w:rPr>
          <w:rFonts w:cs="Times New Roman"/>
          <w:sz w:val="24"/>
          <w:szCs w:val="24"/>
        </w:rPr>
        <w:t xml:space="preserve">respecto al mismo tratamiento dado </w:t>
      </w:r>
      <w:r w:rsidR="00381672" w:rsidRPr="00103661">
        <w:rPr>
          <w:rFonts w:cs="Times New Roman"/>
          <w:sz w:val="24"/>
          <w:szCs w:val="24"/>
        </w:rPr>
        <w:t xml:space="preserve">en el procedimiento ordinario </w:t>
      </w:r>
      <w:r w:rsidR="001F4E7E" w:rsidRPr="00103661">
        <w:rPr>
          <w:rFonts w:cs="Times New Roman"/>
          <w:sz w:val="24"/>
          <w:szCs w:val="24"/>
        </w:rPr>
        <w:t>a las personas que en iguales hipótesis decida aceptar los cargos endilgados en su contra.</w:t>
      </w:r>
    </w:p>
    <w:p w:rsidR="001F4E7E" w:rsidRPr="00103661" w:rsidRDefault="001F4E7E" w:rsidP="00103661">
      <w:pPr>
        <w:spacing w:line="276" w:lineRule="auto"/>
        <w:jc w:val="both"/>
        <w:rPr>
          <w:rFonts w:cs="Times New Roman"/>
          <w:sz w:val="24"/>
          <w:szCs w:val="24"/>
        </w:rPr>
      </w:pPr>
    </w:p>
    <w:p w:rsidR="001F4E7E" w:rsidRPr="00103661" w:rsidRDefault="001F4E7E" w:rsidP="00103661">
      <w:pPr>
        <w:pStyle w:val="Prrafodelista"/>
        <w:numPr>
          <w:ilvl w:val="0"/>
          <w:numId w:val="9"/>
        </w:numPr>
        <w:spacing w:line="276" w:lineRule="auto"/>
        <w:ind w:left="360"/>
        <w:jc w:val="both"/>
        <w:rPr>
          <w:rFonts w:cs="Times New Roman"/>
          <w:sz w:val="24"/>
          <w:szCs w:val="24"/>
        </w:rPr>
      </w:pPr>
      <w:r w:rsidRPr="00103661">
        <w:rPr>
          <w:rFonts w:cs="Times New Roman"/>
          <w:sz w:val="24"/>
          <w:szCs w:val="24"/>
        </w:rPr>
        <w:t>Ante la existencia de un tratamiento diferencial dado a un grupo de personas que se encontraban en las mismas condiciones fácticas o jurídicas, ello implicaba, como consecuencia de la aplicación del principio de la igualdad, que desde un ámbito eminentemente hermenéutico se dab</w:t>
      </w:r>
      <w:r w:rsidR="00381672" w:rsidRPr="00103661">
        <w:rPr>
          <w:rFonts w:cs="Times New Roman"/>
          <w:sz w:val="24"/>
          <w:szCs w:val="24"/>
        </w:rPr>
        <w:t xml:space="preserve">a </w:t>
      </w:r>
      <w:r w:rsidRPr="00103661">
        <w:rPr>
          <w:rFonts w:cs="Times New Roman"/>
          <w:sz w:val="24"/>
          <w:szCs w:val="24"/>
        </w:rPr>
        <w:t xml:space="preserve">considerar que la ley # 1.826 de 2.017, en lo que tiene que ver con los descuentos punitivos </w:t>
      </w:r>
      <w:r w:rsidR="00381672" w:rsidRPr="00103661">
        <w:rPr>
          <w:rFonts w:cs="Times New Roman"/>
          <w:sz w:val="24"/>
          <w:szCs w:val="24"/>
        </w:rPr>
        <w:t>concedidos</w:t>
      </w:r>
      <w:r w:rsidRPr="00103661">
        <w:rPr>
          <w:rFonts w:cs="Times New Roman"/>
          <w:sz w:val="24"/>
          <w:szCs w:val="24"/>
        </w:rPr>
        <w:t xml:space="preserve"> a las personas que se allanen a los cargos en casos de captura en flagrancia, de una u otra forma modificaron la normatividad consagrada para tales eventos en el C.P.P. respecto de los delitos no regulados por la ley de marras.</w:t>
      </w:r>
      <w:r w:rsidR="003F433E" w:rsidRPr="00103661">
        <w:rPr>
          <w:rFonts w:cs="Times New Roman"/>
          <w:sz w:val="24"/>
          <w:szCs w:val="24"/>
        </w:rPr>
        <w:t xml:space="preserve"> Lo que a su vez implicaba que dicha ley por ser posterior y más benéfica </w:t>
      </w:r>
      <w:r w:rsidR="006B30EA" w:rsidRPr="00103661">
        <w:rPr>
          <w:rFonts w:cs="Times New Roman"/>
          <w:sz w:val="24"/>
          <w:szCs w:val="24"/>
        </w:rPr>
        <w:t>a los intereses</w:t>
      </w:r>
      <w:r w:rsidR="003F433E" w:rsidRPr="00103661">
        <w:rPr>
          <w:rFonts w:cs="Times New Roman"/>
          <w:sz w:val="24"/>
          <w:szCs w:val="24"/>
        </w:rPr>
        <w:t xml:space="preserve"> del procesado, deb</w:t>
      </w:r>
      <w:r w:rsidR="00381672" w:rsidRPr="00103661">
        <w:rPr>
          <w:rFonts w:cs="Times New Roman"/>
          <w:sz w:val="24"/>
          <w:szCs w:val="24"/>
        </w:rPr>
        <w:t xml:space="preserve">a </w:t>
      </w:r>
      <w:r w:rsidR="003F433E" w:rsidRPr="00103661">
        <w:rPr>
          <w:rFonts w:cs="Times New Roman"/>
          <w:sz w:val="24"/>
          <w:szCs w:val="24"/>
        </w:rPr>
        <w:t>ser aplicada al caso en estudio acorde con los postulados que orientan el principio de la favorabilidad.</w:t>
      </w:r>
      <w:r w:rsidRPr="00103661">
        <w:rPr>
          <w:rFonts w:cs="Times New Roman"/>
          <w:sz w:val="24"/>
          <w:szCs w:val="24"/>
        </w:rPr>
        <w:t xml:space="preserve"> </w:t>
      </w:r>
    </w:p>
    <w:p w:rsidR="001F4E7E" w:rsidRPr="00103661" w:rsidRDefault="001F4E7E" w:rsidP="00103661">
      <w:pPr>
        <w:spacing w:line="276" w:lineRule="auto"/>
        <w:jc w:val="both"/>
        <w:rPr>
          <w:rFonts w:cs="Times New Roman"/>
          <w:sz w:val="24"/>
          <w:szCs w:val="24"/>
        </w:rPr>
      </w:pPr>
    </w:p>
    <w:p w:rsidR="00166439" w:rsidRPr="00103661" w:rsidRDefault="001F4E7E" w:rsidP="00103661">
      <w:pPr>
        <w:spacing w:line="276" w:lineRule="auto"/>
        <w:jc w:val="both"/>
        <w:rPr>
          <w:rFonts w:cs="Times New Roman"/>
          <w:sz w:val="24"/>
          <w:szCs w:val="24"/>
        </w:rPr>
      </w:pPr>
      <w:r w:rsidRPr="00103661">
        <w:rPr>
          <w:rFonts w:cs="Times New Roman"/>
          <w:sz w:val="24"/>
          <w:szCs w:val="24"/>
        </w:rPr>
        <w:t>Finalmente, se podría decir que con la posición asumida en el presente salvamento de voto, se estaría desconociendo lo que en el pasado</w:t>
      </w:r>
      <w:r w:rsidR="00381672" w:rsidRPr="00103661">
        <w:rPr>
          <w:rFonts w:cs="Times New Roman"/>
          <w:sz w:val="24"/>
          <w:szCs w:val="24"/>
        </w:rPr>
        <w:t>,</w:t>
      </w:r>
      <w:r w:rsidRPr="00103661">
        <w:rPr>
          <w:rFonts w:cs="Times New Roman"/>
          <w:sz w:val="24"/>
          <w:szCs w:val="24"/>
        </w:rPr>
        <w:t xml:space="preserve"> </w:t>
      </w:r>
      <w:r w:rsidR="00381672" w:rsidRPr="00103661">
        <w:rPr>
          <w:rFonts w:cs="Times New Roman"/>
          <w:sz w:val="24"/>
          <w:szCs w:val="24"/>
        </w:rPr>
        <w:t xml:space="preserve">en un caso afín, </w:t>
      </w:r>
      <w:r w:rsidRPr="00103661">
        <w:rPr>
          <w:rFonts w:cs="Times New Roman"/>
          <w:sz w:val="24"/>
          <w:szCs w:val="24"/>
        </w:rPr>
        <w:t>la Colegiatura dijo, con ponencia del suscrito, en la providencia calenda</w:t>
      </w:r>
      <w:r w:rsidR="003F433E" w:rsidRPr="00103661">
        <w:rPr>
          <w:rFonts w:cs="Times New Roman"/>
          <w:sz w:val="24"/>
          <w:szCs w:val="24"/>
        </w:rPr>
        <w:t>da</w:t>
      </w:r>
      <w:r w:rsidRPr="00103661">
        <w:rPr>
          <w:rFonts w:cs="Times New Roman"/>
          <w:sz w:val="24"/>
          <w:szCs w:val="24"/>
        </w:rPr>
        <w:t xml:space="preserve"> 19 de febrero hogaño</w:t>
      </w:r>
      <w:r w:rsidR="003F433E" w:rsidRPr="00103661">
        <w:rPr>
          <w:rFonts w:cs="Times New Roman"/>
          <w:sz w:val="24"/>
          <w:szCs w:val="24"/>
        </w:rPr>
        <w:t>, proferida</w:t>
      </w:r>
      <w:r w:rsidRPr="00103661">
        <w:rPr>
          <w:rFonts w:cs="Times New Roman"/>
          <w:sz w:val="24"/>
          <w:szCs w:val="24"/>
        </w:rPr>
        <w:t xml:space="preserve"> en el proceso Rad. #</w:t>
      </w:r>
      <w:r w:rsidR="003F433E" w:rsidRPr="00103661">
        <w:rPr>
          <w:rFonts w:cs="Times New Roman"/>
          <w:sz w:val="24"/>
          <w:szCs w:val="24"/>
        </w:rPr>
        <w:t xml:space="preserve"> </w:t>
      </w:r>
      <w:r w:rsidRPr="00103661">
        <w:rPr>
          <w:rFonts w:cs="Times New Roman"/>
          <w:sz w:val="24"/>
          <w:szCs w:val="24"/>
        </w:rPr>
        <w:t>660016000035201404202, que se surtió en contra del reo LUIS EDUARDO CASTAÑEDA</w:t>
      </w:r>
      <w:r w:rsidR="003F433E" w:rsidRPr="00103661">
        <w:rPr>
          <w:rFonts w:cs="Times New Roman"/>
          <w:sz w:val="24"/>
          <w:szCs w:val="24"/>
        </w:rPr>
        <w:t>, quien</w:t>
      </w:r>
      <w:r w:rsidR="00381672" w:rsidRPr="00103661">
        <w:rPr>
          <w:rFonts w:cs="Times New Roman"/>
          <w:sz w:val="24"/>
          <w:szCs w:val="24"/>
        </w:rPr>
        <w:t>, se allanó a los cargos y en consecuencia</w:t>
      </w:r>
      <w:r w:rsidR="003F433E" w:rsidRPr="00103661">
        <w:rPr>
          <w:rFonts w:cs="Times New Roman"/>
          <w:sz w:val="24"/>
          <w:szCs w:val="24"/>
        </w:rPr>
        <w:t xml:space="preserve"> fue declarado penalmente responsable por incurrir en los delitos de tráfico de armas de fuego y hurto calificado</w:t>
      </w:r>
      <w:r w:rsidR="00381672" w:rsidRPr="00103661">
        <w:rPr>
          <w:rFonts w:cs="Times New Roman"/>
          <w:sz w:val="24"/>
          <w:szCs w:val="24"/>
        </w:rPr>
        <w:t xml:space="preserve">. En dicha providencia, </w:t>
      </w:r>
      <w:r w:rsidR="003F433E" w:rsidRPr="00103661">
        <w:rPr>
          <w:rFonts w:cs="Times New Roman"/>
          <w:sz w:val="24"/>
          <w:szCs w:val="24"/>
        </w:rPr>
        <w:t xml:space="preserve">como consecuencia del principio de favorabilidad, </w:t>
      </w:r>
      <w:r w:rsidR="00381672" w:rsidRPr="00103661">
        <w:rPr>
          <w:rFonts w:cs="Times New Roman"/>
          <w:sz w:val="24"/>
          <w:szCs w:val="24"/>
        </w:rPr>
        <w:t>la Sala avaló el</w:t>
      </w:r>
      <w:r w:rsidR="003F433E" w:rsidRPr="00103661">
        <w:rPr>
          <w:rFonts w:cs="Times New Roman"/>
          <w:sz w:val="24"/>
          <w:szCs w:val="24"/>
        </w:rPr>
        <w:t xml:space="preserve"> </w:t>
      </w:r>
      <w:r w:rsidR="00381672" w:rsidRPr="00103661">
        <w:rPr>
          <w:rFonts w:cs="Times New Roman"/>
          <w:sz w:val="24"/>
          <w:szCs w:val="24"/>
        </w:rPr>
        <w:t>reconocimiento</w:t>
      </w:r>
      <w:r w:rsidR="003F433E" w:rsidRPr="00103661">
        <w:rPr>
          <w:rFonts w:cs="Times New Roman"/>
          <w:sz w:val="24"/>
          <w:szCs w:val="24"/>
        </w:rPr>
        <w:t xml:space="preserve"> en favor del Procesado de otrora </w:t>
      </w:r>
      <w:r w:rsidR="00381672" w:rsidRPr="00103661">
        <w:rPr>
          <w:rFonts w:cs="Times New Roman"/>
          <w:sz w:val="24"/>
          <w:szCs w:val="24"/>
        </w:rPr>
        <w:t xml:space="preserve">de </w:t>
      </w:r>
      <w:r w:rsidR="003F433E" w:rsidRPr="00103661">
        <w:rPr>
          <w:rFonts w:cs="Times New Roman"/>
          <w:sz w:val="24"/>
          <w:szCs w:val="24"/>
        </w:rPr>
        <w:t>los descuentos punitivos que por allanamientos a cargos para los casos de captura en flagrancia consagra la aludida ley # 1.826 de 2.017 para el delito de hurto, pero no se procedió en igual sentido en lo que tenía que ver con el reato de tráfico de armas de fuego.</w:t>
      </w:r>
      <w:r w:rsidR="00166439" w:rsidRPr="00103661">
        <w:rPr>
          <w:rFonts w:cs="Times New Roman"/>
          <w:sz w:val="24"/>
          <w:szCs w:val="24"/>
        </w:rPr>
        <w:t xml:space="preserve"> Pero</w:t>
      </w:r>
      <w:r w:rsidR="00125942" w:rsidRPr="00103661">
        <w:rPr>
          <w:rFonts w:cs="Times New Roman"/>
          <w:sz w:val="24"/>
          <w:szCs w:val="24"/>
        </w:rPr>
        <w:t>, bien vale la pena anotar que</w:t>
      </w:r>
      <w:r w:rsidR="00166439" w:rsidRPr="00103661">
        <w:rPr>
          <w:rFonts w:cs="Times New Roman"/>
          <w:sz w:val="24"/>
          <w:szCs w:val="24"/>
        </w:rPr>
        <w:t xml:space="preserve"> tales reproches no serían de recibo debido a que </w:t>
      </w:r>
      <w:r w:rsidR="003F433E" w:rsidRPr="00103661">
        <w:rPr>
          <w:rFonts w:cs="Times New Roman"/>
          <w:sz w:val="24"/>
          <w:szCs w:val="24"/>
        </w:rPr>
        <w:t xml:space="preserve">la Colegiatura no abordó de fondo los </w:t>
      </w:r>
      <w:r w:rsidR="00125942" w:rsidRPr="00103661">
        <w:rPr>
          <w:rFonts w:cs="Times New Roman"/>
          <w:sz w:val="24"/>
          <w:szCs w:val="24"/>
        </w:rPr>
        <w:t xml:space="preserve">reparos </w:t>
      </w:r>
      <w:r w:rsidR="00166439" w:rsidRPr="00103661">
        <w:rPr>
          <w:rFonts w:cs="Times New Roman"/>
          <w:sz w:val="24"/>
          <w:szCs w:val="24"/>
        </w:rPr>
        <w:t xml:space="preserve">formulados por el apelante sobre la falta de </w:t>
      </w:r>
      <w:r w:rsidR="003F433E" w:rsidRPr="00103661">
        <w:rPr>
          <w:rFonts w:cs="Times New Roman"/>
          <w:sz w:val="24"/>
          <w:szCs w:val="24"/>
        </w:rPr>
        <w:lastRenderedPageBreak/>
        <w:t>aplicación del principio de favorabilidad en lo que tenía que ver con el delito de tráfico de armas de fuego</w:t>
      </w:r>
      <w:r w:rsidR="00166439" w:rsidRPr="00103661">
        <w:rPr>
          <w:rFonts w:cs="Times New Roman"/>
          <w:sz w:val="24"/>
          <w:szCs w:val="24"/>
        </w:rPr>
        <w:t xml:space="preserve">, por la sencilla razón consistente en que el recurrente no sustentó en debida forma la alzada, la cual fue declarada desierta de manera parcial. Asimismo, en ese decisión se dijo que en el remoto </w:t>
      </w:r>
      <w:r w:rsidR="00125942" w:rsidRPr="00103661">
        <w:rPr>
          <w:rFonts w:cs="Times New Roman"/>
          <w:sz w:val="24"/>
          <w:szCs w:val="24"/>
        </w:rPr>
        <w:t xml:space="preserve">de los </w:t>
      </w:r>
      <w:r w:rsidR="00166439" w:rsidRPr="00103661">
        <w:rPr>
          <w:rFonts w:cs="Times New Roman"/>
          <w:sz w:val="24"/>
          <w:szCs w:val="24"/>
        </w:rPr>
        <w:t>evento</w:t>
      </w:r>
      <w:r w:rsidR="00125942" w:rsidRPr="00103661">
        <w:rPr>
          <w:rFonts w:cs="Times New Roman"/>
          <w:sz w:val="24"/>
          <w:szCs w:val="24"/>
        </w:rPr>
        <w:t>s</w:t>
      </w:r>
      <w:r w:rsidR="00166439" w:rsidRPr="00103661">
        <w:rPr>
          <w:rFonts w:cs="Times New Roman"/>
          <w:sz w:val="24"/>
          <w:szCs w:val="24"/>
        </w:rPr>
        <w:t xml:space="preserve"> en el que le asistiera la razón al apelante, de todas manera no prosperarían sus reproches, debido a que no estaba acreditado que el reo hubiera indemnizado a sus </w:t>
      </w:r>
      <w:r w:rsidR="00125942" w:rsidRPr="00103661">
        <w:rPr>
          <w:rFonts w:cs="Times New Roman"/>
          <w:sz w:val="24"/>
          <w:szCs w:val="24"/>
        </w:rPr>
        <w:t>víctimas</w:t>
      </w:r>
      <w:r w:rsidR="00166439" w:rsidRPr="00103661">
        <w:rPr>
          <w:rFonts w:cs="Times New Roman"/>
          <w:sz w:val="24"/>
          <w:szCs w:val="24"/>
        </w:rPr>
        <w:t xml:space="preserve"> como consecuencia de la comisión del delito de hurto, lo que acorde con la nueva línea jurisprudencial trazada por la Sala de </w:t>
      </w:r>
      <w:r w:rsidR="00862CE4" w:rsidRPr="00103661">
        <w:rPr>
          <w:rFonts w:cs="Times New Roman"/>
          <w:sz w:val="24"/>
          <w:szCs w:val="24"/>
        </w:rPr>
        <w:t>Casación</w:t>
      </w:r>
      <w:r w:rsidR="00166439" w:rsidRPr="00103661">
        <w:rPr>
          <w:rFonts w:cs="Times New Roman"/>
          <w:sz w:val="24"/>
          <w:szCs w:val="24"/>
        </w:rPr>
        <w:t xml:space="preserve"> Penal de la Corte Suprema de Justicia, a partir de la sentencia 27 de septiembre de 2017. SP14496-2017. Rad. # 39831, se </w:t>
      </w:r>
      <w:r w:rsidR="00125942" w:rsidRPr="00103661">
        <w:rPr>
          <w:rFonts w:cs="Times New Roman"/>
          <w:sz w:val="24"/>
          <w:szCs w:val="24"/>
        </w:rPr>
        <w:t>erigía</w:t>
      </w:r>
      <w:r w:rsidR="00166439" w:rsidRPr="00103661">
        <w:rPr>
          <w:rFonts w:cs="Times New Roman"/>
          <w:sz w:val="24"/>
          <w:szCs w:val="24"/>
        </w:rPr>
        <w:t xml:space="preserve"> como una especie de condición de procedibilidad para la procedencia de la aprobación del allanamiento a cargos.  </w:t>
      </w:r>
    </w:p>
    <w:p w:rsidR="00166439" w:rsidRPr="00103661" w:rsidRDefault="00166439" w:rsidP="00103661">
      <w:pPr>
        <w:spacing w:line="276" w:lineRule="auto"/>
        <w:jc w:val="both"/>
        <w:rPr>
          <w:rFonts w:cs="Times New Roman"/>
          <w:sz w:val="24"/>
          <w:szCs w:val="24"/>
        </w:rPr>
      </w:pPr>
    </w:p>
    <w:p w:rsidR="00166439" w:rsidRPr="00103661" w:rsidRDefault="00166439" w:rsidP="00103661">
      <w:pPr>
        <w:spacing w:line="276" w:lineRule="auto"/>
        <w:jc w:val="both"/>
        <w:rPr>
          <w:rFonts w:cs="Times New Roman"/>
          <w:sz w:val="24"/>
          <w:szCs w:val="24"/>
        </w:rPr>
      </w:pPr>
      <w:r w:rsidRPr="00103661">
        <w:rPr>
          <w:rFonts w:cs="Times New Roman"/>
          <w:sz w:val="24"/>
          <w:szCs w:val="24"/>
        </w:rPr>
        <w:t xml:space="preserve">Para ofrecer una mejor ilustración y claridad de lo antes expuesto, considero </w:t>
      </w:r>
      <w:r w:rsidR="006B30EA" w:rsidRPr="00103661">
        <w:rPr>
          <w:rFonts w:cs="Times New Roman"/>
          <w:sz w:val="24"/>
          <w:szCs w:val="24"/>
        </w:rPr>
        <w:t xml:space="preserve">que es </w:t>
      </w:r>
      <w:r w:rsidRPr="00103661">
        <w:rPr>
          <w:rFonts w:cs="Times New Roman"/>
          <w:sz w:val="24"/>
          <w:szCs w:val="24"/>
        </w:rPr>
        <w:t xml:space="preserve">de utilidad traer a colación lo que la Sala dijo en esa oportunidad: </w:t>
      </w:r>
    </w:p>
    <w:p w:rsidR="006B30EA" w:rsidRPr="00103661" w:rsidRDefault="006B30EA" w:rsidP="00103661">
      <w:pPr>
        <w:spacing w:line="276" w:lineRule="auto"/>
        <w:jc w:val="both"/>
        <w:rPr>
          <w:rFonts w:cs="Times New Roman"/>
          <w:sz w:val="24"/>
          <w:szCs w:val="24"/>
        </w:rPr>
      </w:pPr>
    </w:p>
    <w:p w:rsidR="006B30EA" w:rsidRPr="00103661" w:rsidRDefault="006B30EA" w:rsidP="00103661">
      <w:pPr>
        <w:spacing w:line="276" w:lineRule="auto"/>
        <w:ind w:left="567" w:right="902"/>
        <w:jc w:val="both"/>
        <w:rPr>
          <w:rFonts w:cs="Times New Roman"/>
          <w:sz w:val="20"/>
          <w:szCs w:val="20"/>
        </w:rPr>
      </w:pPr>
      <w:r w:rsidRPr="00103661">
        <w:rPr>
          <w:rFonts w:cs="Times New Roman"/>
          <w:sz w:val="20"/>
          <w:szCs w:val="20"/>
        </w:rPr>
        <w:t>“De igual forma, observa la Colegiatura que el recurrente en las tesis de su discrepancia ha propuesto la consistente en que en materias de descuentos punitivos por allanamientos a cargos en casos de flagrancia, la ley # 1826 de 2.017 modificó el parágrafo del artículo 301 del C.P.P. pero, ante lo parco, abstracto y escueto de los argumentos esgrimidos por el apelante, quien solo se conformó con proponer esa hipótesis, sin hacer uso de las razones de hecho o de derecho que permitan su demostración, la Sala se inhibirá de pronunciarse debido a que nos encontramos en presencia de un indebida sustentación, lo cual implica, según las voces del artículo 179A C.P.P. la declaratoria de desierto del recurso de apelación en lo que tiene que ver con los reclamos formulados en tales términos por el recurrente.</w:t>
      </w:r>
    </w:p>
    <w:p w:rsidR="006B30EA" w:rsidRPr="00103661" w:rsidRDefault="006B30EA" w:rsidP="00103661">
      <w:pPr>
        <w:spacing w:line="276" w:lineRule="auto"/>
        <w:ind w:left="567" w:right="902"/>
        <w:jc w:val="both"/>
        <w:rPr>
          <w:rFonts w:cs="Times New Roman"/>
          <w:sz w:val="20"/>
          <w:szCs w:val="20"/>
        </w:rPr>
      </w:pPr>
    </w:p>
    <w:p w:rsidR="006B30EA" w:rsidRPr="00103661" w:rsidRDefault="006B30EA" w:rsidP="00103661">
      <w:pPr>
        <w:spacing w:line="276" w:lineRule="auto"/>
        <w:ind w:left="567" w:right="902"/>
        <w:jc w:val="both"/>
        <w:rPr>
          <w:rFonts w:cs="Times New Roman"/>
          <w:sz w:val="20"/>
          <w:szCs w:val="20"/>
        </w:rPr>
      </w:pPr>
      <w:r w:rsidRPr="00103661">
        <w:rPr>
          <w:rFonts w:cs="Times New Roman"/>
          <w:sz w:val="20"/>
          <w:szCs w:val="20"/>
        </w:rPr>
        <w:t xml:space="preserve">Finalmente, a modo de apunte de colofón, se precisa que se tenga en cuenta que al momento de reconocer la aplicación de los descuentos punitivos por allanamientos a cargos, como consecuencia de la variación de la línea de pensamiento que sobre ese tópico tenia de la Sala de Casación Penal de la Corte Suprema de Justicia , es importante aplicar el contenido del artículo 349 C.P.P. el cual se erige como una especie de condicionamiento para la procedencia de los descuentos punitivos en lo que atañe con dicha modalidad de terminación abreviada de los procesos. Lo cual quiere decir que en aquellos eventos en los que se esté en presencia de un delito respecto del cual el sujeto agente o el reo hubiese obtenido un incremento patrimonial como consecuencia de su perpetración, para que procedan tales descuentos punitivos, se torna necesario que se reintegre al menos el 50% del incremento percibido. </w:t>
      </w:r>
    </w:p>
    <w:p w:rsidR="006B30EA" w:rsidRPr="00103661" w:rsidRDefault="006B30EA" w:rsidP="00103661">
      <w:pPr>
        <w:spacing w:line="276" w:lineRule="auto"/>
        <w:ind w:left="567" w:right="902"/>
        <w:jc w:val="both"/>
        <w:rPr>
          <w:rFonts w:cs="Times New Roman"/>
          <w:sz w:val="20"/>
          <w:szCs w:val="20"/>
        </w:rPr>
      </w:pPr>
    </w:p>
    <w:p w:rsidR="006B30EA" w:rsidRPr="00103661" w:rsidRDefault="006B30EA" w:rsidP="00103661">
      <w:pPr>
        <w:spacing w:line="276" w:lineRule="auto"/>
        <w:ind w:left="567" w:right="902"/>
        <w:jc w:val="both"/>
        <w:rPr>
          <w:rFonts w:cs="Times New Roman"/>
          <w:sz w:val="24"/>
          <w:szCs w:val="24"/>
        </w:rPr>
      </w:pPr>
      <w:r w:rsidRPr="00103661">
        <w:rPr>
          <w:rFonts w:cs="Times New Roman"/>
          <w:sz w:val="20"/>
          <w:szCs w:val="20"/>
        </w:rPr>
        <w:t xml:space="preserve">Ello quiere decir que si en el caso en estudio no se estuviera en presencia de un delito de hurto tentado, sino de un reato consumado, de aplicarse la nueva doctrina jurisprudencial la Sala de Casación Penal de la Corte Suprema de Justicia, seguramente que el reo no se hubiera hecho merecedor de la aplicación, por favorabilidad, de los descuentos punitivos que por allanamientos a cargos consagra la aludida ley # 1826 de 2.017, </w:t>
      </w:r>
      <w:r w:rsidRPr="00103661">
        <w:rPr>
          <w:rFonts w:cs="Times New Roman"/>
          <w:sz w:val="20"/>
          <w:szCs w:val="20"/>
        </w:rPr>
        <w:lastRenderedPageBreak/>
        <w:t>salvo, claro está de que hubiere reintegrado por lo menos el 50% del fruto producto del delito…..”</w:t>
      </w:r>
      <w:r w:rsidRPr="00103661">
        <w:rPr>
          <w:rStyle w:val="Refdenotaalpie"/>
          <w:rFonts w:cs="Times New Roman"/>
          <w:sz w:val="20"/>
          <w:szCs w:val="20"/>
        </w:rPr>
        <w:footnoteReference w:id="7"/>
      </w:r>
      <w:r w:rsidRPr="00103661">
        <w:rPr>
          <w:rFonts w:cs="Times New Roman"/>
          <w:sz w:val="20"/>
          <w:szCs w:val="20"/>
        </w:rPr>
        <w:t>.</w:t>
      </w:r>
      <w:r w:rsidRPr="00103661">
        <w:rPr>
          <w:rFonts w:cs="Times New Roman"/>
          <w:sz w:val="24"/>
          <w:szCs w:val="24"/>
        </w:rPr>
        <w:t xml:space="preserve">   </w:t>
      </w:r>
    </w:p>
    <w:p w:rsidR="00166439" w:rsidRPr="00103661" w:rsidRDefault="00166439" w:rsidP="00103661">
      <w:pPr>
        <w:spacing w:line="276" w:lineRule="auto"/>
        <w:jc w:val="both"/>
        <w:rPr>
          <w:rFonts w:cs="Times New Roman"/>
          <w:sz w:val="24"/>
          <w:szCs w:val="24"/>
        </w:rPr>
      </w:pPr>
    </w:p>
    <w:p w:rsidR="003F12C2" w:rsidRPr="00103661" w:rsidRDefault="006B30EA" w:rsidP="00103661">
      <w:pPr>
        <w:spacing w:line="276" w:lineRule="auto"/>
        <w:jc w:val="both"/>
        <w:rPr>
          <w:rFonts w:cs="Times New Roman"/>
          <w:sz w:val="24"/>
          <w:szCs w:val="24"/>
        </w:rPr>
      </w:pPr>
      <w:r w:rsidRPr="00103661">
        <w:rPr>
          <w:rFonts w:cs="Times New Roman"/>
          <w:sz w:val="24"/>
          <w:szCs w:val="24"/>
        </w:rPr>
        <w:t xml:space="preserve">A modo de corolario, el suscrito es de la opinión que como consecuencia de los principio de igual y de favorabilidad el Procesado podía ser beneficiario del monto de los descuentos punitivos que para el allanamiento a cargos a los cuales serían susceptibles aquellos delitos que hacen parte del listado de punibles consagrados en el artículo 10º de la ley 1.826 de 2.016.   </w:t>
      </w:r>
    </w:p>
    <w:p w:rsidR="00874B58" w:rsidRPr="00103661" w:rsidRDefault="003F12C2" w:rsidP="00103661">
      <w:pPr>
        <w:spacing w:line="276" w:lineRule="auto"/>
        <w:jc w:val="both"/>
        <w:rPr>
          <w:rFonts w:cs="Times New Roman"/>
          <w:sz w:val="24"/>
          <w:szCs w:val="24"/>
        </w:rPr>
      </w:pPr>
      <w:r w:rsidRPr="00103661">
        <w:rPr>
          <w:rFonts w:cs="Times New Roman"/>
          <w:sz w:val="24"/>
          <w:szCs w:val="24"/>
        </w:rPr>
        <w:t xml:space="preserve"> </w:t>
      </w:r>
    </w:p>
    <w:p w:rsidR="00E731F9" w:rsidRPr="00103661" w:rsidRDefault="00E731F9" w:rsidP="00103661">
      <w:pPr>
        <w:spacing w:line="276" w:lineRule="auto"/>
        <w:jc w:val="both"/>
        <w:rPr>
          <w:rFonts w:cs="Times New Roman"/>
          <w:sz w:val="24"/>
          <w:szCs w:val="24"/>
        </w:rPr>
      </w:pPr>
      <w:r w:rsidRPr="00103661">
        <w:rPr>
          <w:rFonts w:cs="Times New Roman"/>
          <w:sz w:val="24"/>
          <w:szCs w:val="24"/>
        </w:rPr>
        <w:t xml:space="preserve">Lo anterior es suficiente como para dar por demostrado los yerros en los que incurrió la Sala mayoritaria en la decisión objeto de mi disidencia, y el porque me vi en la imperiosa necesidad de salvar mi voto.  </w:t>
      </w:r>
    </w:p>
    <w:p w:rsidR="00E731F9" w:rsidRPr="00103661" w:rsidRDefault="00E731F9" w:rsidP="00103661">
      <w:pPr>
        <w:spacing w:line="276" w:lineRule="auto"/>
        <w:jc w:val="both"/>
        <w:rPr>
          <w:rFonts w:cs="Times New Roman"/>
          <w:sz w:val="24"/>
          <w:szCs w:val="24"/>
        </w:rPr>
      </w:pPr>
    </w:p>
    <w:p w:rsidR="00E731F9" w:rsidRPr="00103661" w:rsidRDefault="00E731F9" w:rsidP="00103661">
      <w:pPr>
        <w:spacing w:line="276" w:lineRule="auto"/>
        <w:jc w:val="both"/>
        <w:rPr>
          <w:rFonts w:cs="Times New Roman"/>
          <w:sz w:val="24"/>
          <w:szCs w:val="24"/>
        </w:rPr>
      </w:pPr>
    </w:p>
    <w:p w:rsidR="00E731F9" w:rsidRPr="00103661" w:rsidRDefault="00E731F9" w:rsidP="00103661">
      <w:pPr>
        <w:spacing w:line="276" w:lineRule="auto"/>
        <w:jc w:val="both"/>
        <w:rPr>
          <w:rFonts w:cs="Times New Roman"/>
          <w:sz w:val="24"/>
          <w:szCs w:val="24"/>
        </w:rPr>
      </w:pPr>
    </w:p>
    <w:p w:rsidR="00E731F9" w:rsidRPr="00103661" w:rsidRDefault="00E731F9" w:rsidP="00103661">
      <w:pPr>
        <w:spacing w:line="276" w:lineRule="auto"/>
        <w:jc w:val="both"/>
        <w:rPr>
          <w:rFonts w:cs="Times New Roman"/>
          <w:sz w:val="24"/>
          <w:szCs w:val="24"/>
        </w:rPr>
      </w:pPr>
    </w:p>
    <w:p w:rsidR="00E731F9" w:rsidRPr="00103661" w:rsidRDefault="00E731F9" w:rsidP="00103661">
      <w:pPr>
        <w:spacing w:line="276" w:lineRule="auto"/>
        <w:jc w:val="both"/>
        <w:rPr>
          <w:rFonts w:cs="Times New Roman"/>
          <w:sz w:val="24"/>
          <w:szCs w:val="24"/>
        </w:rPr>
      </w:pPr>
    </w:p>
    <w:p w:rsidR="00E731F9" w:rsidRPr="00103661" w:rsidRDefault="00E731F9" w:rsidP="00103661">
      <w:pPr>
        <w:spacing w:line="276" w:lineRule="auto"/>
        <w:jc w:val="both"/>
        <w:rPr>
          <w:rFonts w:cs="Times New Roman"/>
          <w:sz w:val="24"/>
          <w:szCs w:val="24"/>
        </w:rPr>
      </w:pPr>
    </w:p>
    <w:p w:rsidR="00E731F9" w:rsidRPr="00103661" w:rsidRDefault="00E731F9" w:rsidP="00103661">
      <w:pPr>
        <w:spacing w:line="276" w:lineRule="auto"/>
        <w:jc w:val="both"/>
        <w:rPr>
          <w:rFonts w:cs="Times New Roman"/>
          <w:sz w:val="24"/>
          <w:szCs w:val="24"/>
        </w:rPr>
      </w:pPr>
    </w:p>
    <w:p w:rsidR="00E731F9" w:rsidRPr="00103661" w:rsidRDefault="00E731F9" w:rsidP="00103661">
      <w:pPr>
        <w:spacing w:line="276" w:lineRule="auto"/>
        <w:jc w:val="both"/>
        <w:rPr>
          <w:rFonts w:cs="Times New Roman"/>
          <w:sz w:val="24"/>
          <w:szCs w:val="24"/>
        </w:rPr>
      </w:pPr>
    </w:p>
    <w:p w:rsidR="00E731F9" w:rsidRPr="00103661" w:rsidRDefault="00E731F9" w:rsidP="00103661">
      <w:pPr>
        <w:spacing w:line="276" w:lineRule="auto"/>
        <w:jc w:val="both"/>
        <w:rPr>
          <w:rFonts w:cs="Times New Roman"/>
          <w:sz w:val="24"/>
          <w:szCs w:val="24"/>
        </w:rPr>
      </w:pPr>
      <w:r w:rsidRPr="00103661">
        <w:rPr>
          <w:rFonts w:cs="Times New Roman"/>
          <w:sz w:val="24"/>
          <w:szCs w:val="24"/>
        </w:rPr>
        <w:t>MANUEL YARZAGARAY BANDERA</w:t>
      </w:r>
    </w:p>
    <w:p w:rsidR="00E731F9" w:rsidRPr="00103661" w:rsidRDefault="00E731F9" w:rsidP="00103661">
      <w:pPr>
        <w:spacing w:line="276" w:lineRule="auto"/>
        <w:jc w:val="both"/>
        <w:rPr>
          <w:rFonts w:cs="Times New Roman"/>
          <w:sz w:val="24"/>
          <w:szCs w:val="24"/>
        </w:rPr>
      </w:pPr>
      <w:r w:rsidRPr="00103661">
        <w:rPr>
          <w:rFonts w:cs="Times New Roman"/>
          <w:sz w:val="24"/>
          <w:szCs w:val="24"/>
        </w:rPr>
        <w:t>Magistrado</w:t>
      </w:r>
    </w:p>
    <w:p w:rsidR="00E731F9" w:rsidRPr="00103661" w:rsidRDefault="00E731F9" w:rsidP="00103661">
      <w:pPr>
        <w:spacing w:line="276" w:lineRule="auto"/>
        <w:jc w:val="both"/>
        <w:rPr>
          <w:rFonts w:cs="Times New Roman"/>
          <w:sz w:val="24"/>
          <w:szCs w:val="24"/>
        </w:rPr>
      </w:pPr>
    </w:p>
    <w:p w:rsidR="00E731F9" w:rsidRPr="00103661" w:rsidRDefault="00E731F9" w:rsidP="00103661">
      <w:pPr>
        <w:spacing w:line="276" w:lineRule="auto"/>
        <w:jc w:val="both"/>
        <w:rPr>
          <w:rFonts w:cs="Times New Roman"/>
          <w:sz w:val="24"/>
          <w:szCs w:val="24"/>
        </w:rPr>
      </w:pPr>
    </w:p>
    <w:p w:rsidR="00E731F9" w:rsidRPr="00103661" w:rsidRDefault="00E731F9" w:rsidP="00103661">
      <w:pPr>
        <w:spacing w:line="276" w:lineRule="auto"/>
        <w:jc w:val="both"/>
        <w:rPr>
          <w:sz w:val="24"/>
          <w:szCs w:val="24"/>
        </w:rPr>
      </w:pPr>
      <w:r w:rsidRPr="00103661">
        <w:rPr>
          <w:rFonts w:cs="Times New Roman"/>
          <w:sz w:val="24"/>
          <w:szCs w:val="24"/>
        </w:rPr>
        <w:t xml:space="preserve">Fecha </w:t>
      </w:r>
      <w:r w:rsidRPr="00103661">
        <w:rPr>
          <w:rFonts w:cs="Times New Roman"/>
          <w:i/>
          <w:sz w:val="24"/>
          <w:szCs w:val="24"/>
        </w:rPr>
        <w:t>Et Supra.</w:t>
      </w:r>
      <w:r w:rsidRPr="00103661">
        <w:rPr>
          <w:rFonts w:cs="Times New Roman"/>
          <w:sz w:val="24"/>
          <w:szCs w:val="24"/>
        </w:rPr>
        <w:t xml:space="preserve"> </w:t>
      </w:r>
    </w:p>
    <w:p w:rsidR="00E731F9" w:rsidRPr="00103661" w:rsidRDefault="00E731F9" w:rsidP="00103661">
      <w:pPr>
        <w:spacing w:line="276" w:lineRule="auto"/>
        <w:rPr>
          <w:sz w:val="24"/>
          <w:szCs w:val="24"/>
        </w:rPr>
      </w:pPr>
    </w:p>
    <w:p w:rsidR="005A504F" w:rsidRPr="00103661" w:rsidRDefault="00271764" w:rsidP="00103661">
      <w:pPr>
        <w:spacing w:line="276" w:lineRule="auto"/>
        <w:rPr>
          <w:sz w:val="24"/>
          <w:szCs w:val="24"/>
        </w:rPr>
      </w:pPr>
      <w:r w:rsidRPr="00103661">
        <w:rPr>
          <w:sz w:val="24"/>
          <w:szCs w:val="24"/>
        </w:rPr>
        <w:t xml:space="preserve">  </w:t>
      </w:r>
    </w:p>
    <w:sectPr w:rsidR="005A504F" w:rsidRPr="00103661" w:rsidSect="00103661">
      <w:headerReference w:type="default" r:id="rId8"/>
      <w:footerReference w:type="default" r:id="rId9"/>
      <w:headerReference w:type="first" r:id="rId10"/>
      <w:pgSz w:w="12242" w:h="19442" w:code="268"/>
      <w:pgMar w:top="1701" w:right="1701" w:bottom="1701" w:left="1701" w:header="794" w:footer="79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00" w:rsidRDefault="00593500" w:rsidP="00E731F9">
      <w:r>
        <w:separator/>
      </w:r>
    </w:p>
  </w:endnote>
  <w:endnote w:type="continuationSeparator" w:id="0">
    <w:p w:rsidR="00593500" w:rsidRDefault="00593500" w:rsidP="00E7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altName w:val="Century Gothic"/>
    <w:panose1 w:val="020F0502020204030204"/>
    <w:charset w:val="00"/>
    <w:family w:val="swiss"/>
    <w:pitch w:val="variable"/>
    <w:sig w:usb0="E00002FF" w:usb1="4000ACFF" w:usb2="00000001" w:usb3="00000000" w:csb0="0000019F" w:csb1="00000000"/>
  </w:font>
  <w:font w:name="Batang">
    <w:altName w:val="¢®E¡ËcE¡Ë¢çEcE¡Ë¢çE¢®EcEcE¡Ë¢çE"/>
    <w:panose1 w:val="02030600000101010101"/>
    <w:charset w:val="81"/>
    <w:family w:val="roman"/>
    <w:pitch w:val="variable"/>
    <w:sig w:usb0="B00002AF" w:usb1="69D77CFB" w:usb2="00000030" w:usb3="00000000" w:csb0="0008009F" w:csb1="00000000"/>
  </w:font>
  <w:font w:name="Arial">
    <w:altName w:val=" Helvetica"/>
    <w:panose1 w:val="020B0604020202020204"/>
    <w:charset w:val="00"/>
    <w:family w:val="swiss"/>
    <w:pitch w:val="variable"/>
    <w:sig w:usb0="E0002AFF" w:usb1="C0007843" w:usb2="00000009" w:usb3="00000000" w:csb0="000001FF" w:csb1="00000000"/>
  </w:font>
  <w:font w:name="Yu Mincho Demibold">
    <w:panose1 w:val="02020600000000000000"/>
    <w:charset w:val="80"/>
    <w:family w:val="roman"/>
    <w:pitch w:val="variable"/>
    <w:sig w:usb0="800002E7" w:usb1="2AC7FCF0"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2"/>
        <w:szCs w:val="22"/>
      </w:rPr>
      <w:id w:val="1311835587"/>
      <w:docPartObj>
        <w:docPartGallery w:val="Page Numbers (Bottom of Page)"/>
        <w:docPartUnique/>
      </w:docPartObj>
    </w:sdtPr>
    <w:sdtEndPr/>
    <w:sdtContent>
      <w:sdt>
        <w:sdtPr>
          <w:rPr>
            <w:rFonts w:ascii="Palatino Linotype" w:hAnsi="Palatino Linotype"/>
            <w:b/>
            <w:sz w:val="22"/>
            <w:szCs w:val="22"/>
          </w:rPr>
          <w:id w:val="1115567535"/>
          <w:docPartObj>
            <w:docPartGallery w:val="Page Numbers (Top of Page)"/>
            <w:docPartUnique/>
          </w:docPartObj>
        </w:sdtPr>
        <w:sdtEndPr/>
        <w:sdtContent>
          <w:p w:rsidR="00D623B3" w:rsidRPr="00F5006C" w:rsidRDefault="00ED73DF">
            <w:pPr>
              <w:pStyle w:val="Piedepgina"/>
              <w:jc w:val="right"/>
              <w:rPr>
                <w:rFonts w:ascii="Palatino Linotype" w:hAnsi="Palatino Linotype"/>
                <w:b/>
                <w:sz w:val="22"/>
                <w:szCs w:val="22"/>
              </w:rPr>
            </w:pPr>
            <w:r w:rsidRPr="00F5006C">
              <w:rPr>
                <w:rFonts w:ascii="Palatino Linotype" w:hAnsi="Palatino Linotype"/>
                <w:b/>
                <w:sz w:val="22"/>
                <w:szCs w:val="22"/>
                <w:lang w:val="es-ES"/>
              </w:rPr>
              <w:t xml:space="preserve">Página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PAGE</w:instrText>
            </w:r>
            <w:r w:rsidRPr="00F5006C">
              <w:rPr>
                <w:rFonts w:ascii="Palatino Linotype" w:hAnsi="Palatino Linotype"/>
                <w:b/>
                <w:bCs/>
                <w:sz w:val="22"/>
                <w:szCs w:val="22"/>
              </w:rPr>
              <w:fldChar w:fldCharType="separate"/>
            </w:r>
            <w:r w:rsidR="00814281">
              <w:rPr>
                <w:rFonts w:ascii="Palatino Linotype" w:hAnsi="Palatino Linotype"/>
                <w:b/>
                <w:bCs/>
                <w:noProof/>
                <w:sz w:val="22"/>
                <w:szCs w:val="22"/>
              </w:rPr>
              <w:t>10</w:t>
            </w:r>
            <w:r w:rsidRPr="00F5006C">
              <w:rPr>
                <w:rFonts w:ascii="Palatino Linotype" w:hAnsi="Palatino Linotype"/>
                <w:b/>
                <w:bCs/>
                <w:sz w:val="22"/>
                <w:szCs w:val="22"/>
              </w:rPr>
              <w:fldChar w:fldCharType="end"/>
            </w:r>
            <w:r w:rsidRPr="00F5006C">
              <w:rPr>
                <w:rFonts w:ascii="Palatino Linotype" w:hAnsi="Palatino Linotype"/>
                <w:b/>
                <w:sz w:val="22"/>
                <w:szCs w:val="22"/>
                <w:lang w:val="es-ES"/>
              </w:rPr>
              <w:t xml:space="preserve"> de </w:t>
            </w:r>
            <w:r w:rsidRPr="00F5006C">
              <w:rPr>
                <w:rFonts w:ascii="Palatino Linotype" w:hAnsi="Palatino Linotype"/>
                <w:b/>
                <w:bCs/>
                <w:sz w:val="22"/>
                <w:szCs w:val="22"/>
              </w:rPr>
              <w:fldChar w:fldCharType="begin"/>
            </w:r>
            <w:r w:rsidRPr="00F5006C">
              <w:rPr>
                <w:rFonts w:ascii="Palatino Linotype" w:hAnsi="Palatino Linotype"/>
                <w:b/>
                <w:bCs/>
                <w:sz w:val="22"/>
                <w:szCs w:val="22"/>
              </w:rPr>
              <w:instrText>NUMPAGES</w:instrText>
            </w:r>
            <w:r w:rsidRPr="00F5006C">
              <w:rPr>
                <w:rFonts w:ascii="Palatino Linotype" w:hAnsi="Palatino Linotype"/>
                <w:b/>
                <w:bCs/>
                <w:sz w:val="22"/>
                <w:szCs w:val="22"/>
              </w:rPr>
              <w:fldChar w:fldCharType="separate"/>
            </w:r>
            <w:r w:rsidR="00814281">
              <w:rPr>
                <w:rFonts w:ascii="Palatino Linotype" w:hAnsi="Palatino Linotype"/>
                <w:b/>
                <w:bCs/>
                <w:noProof/>
                <w:sz w:val="22"/>
                <w:szCs w:val="22"/>
              </w:rPr>
              <w:t>10</w:t>
            </w:r>
            <w:r w:rsidRPr="00F5006C">
              <w:rPr>
                <w:rFonts w:ascii="Palatino Linotype" w:hAnsi="Palatino Linotype"/>
                <w:b/>
                <w:bCs/>
                <w:sz w:val="22"/>
                <w:szCs w:val="22"/>
              </w:rPr>
              <w:fldChar w:fldCharType="end"/>
            </w:r>
          </w:p>
        </w:sdtContent>
      </w:sdt>
    </w:sdtContent>
  </w:sdt>
  <w:p w:rsidR="00D623B3" w:rsidRPr="00F5006C" w:rsidRDefault="00593500">
    <w:pPr>
      <w:pStyle w:val="Piedepgina"/>
      <w:rPr>
        <w:rFonts w:ascii="Palatino Linotype" w:hAnsi="Palatino Linotype"/>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00" w:rsidRDefault="00593500" w:rsidP="00E731F9">
      <w:r>
        <w:separator/>
      </w:r>
    </w:p>
  </w:footnote>
  <w:footnote w:type="continuationSeparator" w:id="0">
    <w:p w:rsidR="00593500" w:rsidRDefault="00593500" w:rsidP="00E731F9">
      <w:r>
        <w:continuationSeparator/>
      </w:r>
    </w:p>
  </w:footnote>
  <w:footnote w:id="1">
    <w:p w:rsidR="002A0AB7" w:rsidRPr="00103661" w:rsidRDefault="002A0AB7" w:rsidP="006B30EA">
      <w:pPr>
        <w:pStyle w:val="Textonotapie"/>
        <w:jc w:val="both"/>
        <w:rPr>
          <w:rFonts w:asciiTheme="majorHAnsi" w:hAnsiTheme="majorHAnsi" w:cstheme="majorHAnsi"/>
        </w:rPr>
      </w:pPr>
      <w:r w:rsidRPr="00103661">
        <w:rPr>
          <w:rStyle w:val="Refdenotaalpie"/>
          <w:rFonts w:asciiTheme="majorHAnsi" w:hAnsiTheme="majorHAnsi" w:cstheme="majorHAnsi"/>
        </w:rPr>
        <w:footnoteRef/>
      </w:r>
      <w:r w:rsidRPr="00103661">
        <w:rPr>
          <w:rFonts w:asciiTheme="majorHAnsi" w:hAnsiTheme="majorHAnsi" w:cstheme="majorHAnsi"/>
        </w:rPr>
        <w:t xml:space="preserve"> Bernal Pulido, Camilo: El Derecho de los derechos, pagina # 257. Primera reimpresión a la 1ª Edición. 2.005. Ediciones Universidad Externado de Colombia.</w:t>
      </w:r>
    </w:p>
  </w:footnote>
  <w:footnote w:id="2">
    <w:p w:rsidR="00686DD1" w:rsidRPr="00103661" w:rsidRDefault="00686DD1" w:rsidP="006B30EA">
      <w:pPr>
        <w:pStyle w:val="Textonotapie"/>
        <w:jc w:val="both"/>
        <w:rPr>
          <w:rFonts w:asciiTheme="majorHAnsi" w:hAnsiTheme="majorHAnsi" w:cstheme="majorHAnsi"/>
        </w:rPr>
      </w:pPr>
      <w:r w:rsidRPr="00103661">
        <w:rPr>
          <w:rStyle w:val="Refdenotaalpie"/>
          <w:rFonts w:asciiTheme="majorHAnsi" w:hAnsiTheme="majorHAnsi" w:cstheme="majorHAnsi"/>
        </w:rPr>
        <w:footnoteRef/>
      </w:r>
      <w:r w:rsidRPr="00103661">
        <w:rPr>
          <w:rFonts w:asciiTheme="majorHAnsi" w:hAnsiTheme="majorHAnsi" w:cstheme="majorHAnsi"/>
        </w:rPr>
        <w:t xml:space="preserve"> Que equivaldría al artículo 539 C.P.P.</w:t>
      </w:r>
    </w:p>
  </w:footnote>
  <w:footnote w:id="3">
    <w:p w:rsidR="00E570B8" w:rsidRPr="00103661" w:rsidRDefault="00E570B8" w:rsidP="006B30EA">
      <w:pPr>
        <w:pStyle w:val="Textonotapie"/>
        <w:jc w:val="both"/>
        <w:rPr>
          <w:rFonts w:asciiTheme="majorHAnsi" w:hAnsiTheme="majorHAnsi" w:cstheme="majorHAnsi"/>
        </w:rPr>
      </w:pPr>
      <w:r w:rsidRPr="00103661">
        <w:rPr>
          <w:rStyle w:val="Refdenotaalpie"/>
          <w:rFonts w:asciiTheme="majorHAnsi" w:hAnsiTheme="majorHAnsi" w:cstheme="majorHAnsi"/>
        </w:rPr>
        <w:footnoteRef/>
      </w:r>
      <w:r w:rsidRPr="00103661">
        <w:rPr>
          <w:rFonts w:asciiTheme="majorHAnsi" w:hAnsiTheme="majorHAnsi" w:cstheme="majorHAnsi"/>
        </w:rPr>
        <w:t xml:space="preserve"> Paginas # 1 y 2 de la exposición de motivos presentada el 11 de agosto de 2015</w:t>
      </w:r>
      <w:r w:rsidR="00837DEA" w:rsidRPr="00103661">
        <w:rPr>
          <w:rFonts w:asciiTheme="majorHAnsi" w:hAnsiTheme="majorHAnsi" w:cstheme="majorHAnsi"/>
        </w:rPr>
        <w:t xml:space="preserve"> por el Ministerio de Justicia y del Derecho a la Secretaría General del Senado de la Republica.</w:t>
      </w:r>
    </w:p>
  </w:footnote>
  <w:footnote w:id="4">
    <w:p w:rsidR="00A109A7" w:rsidRPr="00103661" w:rsidRDefault="00A109A7" w:rsidP="006B30EA">
      <w:pPr>
        <w:pStyle w:val="Textonotapie"/>
        <w:jc w:val="both"/>
        <w:rPr>
          <w:rFonts w:asciiTheme="majorHAnsi" w:hAnsiTheme="majorHAnsi" w:cstheme="majorHAnsi"/>
        </w:rPr>
      </w:pPr>
      <w:r w:rsidRPr="00103661">
        <w:rPr>
          <w:rStyle w:val="Refdenotaalpie"/>
          <w:rFonts w:asciiTheme="majorHAnsi" w:hAnsiTheme="majorHAnsi" w:cstheme="majorHAnsi"/>
        </w:rPr>
        <w:footnoteRef/>
      </w:r>
      <w:r w:rsidRPr="00103661">
        <w:rPr>
          <w:rFonts w:asciiTheme="majorHAnsi" w:hAnsiTheme="majorHAnsi" w:cstheme="majorHAnsi"/>
        </w:rPr>
        <w:t xml:space="preserve"> Es de anotar que en el proyecto se buscaba que esa clase de conductas punibles dejara de ser consideradas como delitos para transformarse en </w:t>
      </w:r>
      <w:r w:rsidRPr="00103661">
        <w:rPr>
          <w:rFonts w:asciiTheme="majorHAnsi" w:hAnsiTheme="majorHAnsi" w:cstheme="majorHAnsi"/>
          <w:i/>
        </w:rPr>
        <w:t xml:space="preserve">contravenciones especiales, </w:t>
      </w:r>
      <w:r w:rsidRPr="00103661">
        <w:rPr>
          <w:rFonts w:asciiTheme="majorHAnsi" w:hAnsiTheme="majorHAnsi" w:cstheme="majorHAnsi"/>
        </w:rPr>
        <w:t>lo cual no obtuvo eco en el Congreso, ya que a ese tipo de comportamientos se les siguió dando el tratamiento de delitos.</w:t>
      </w:r>
    </w:p>
  </w:footnote>
  <w:footnote w:id="5">
    <w:p w:rsidR="00FB6422" w:rsidRPr="00103661" w:rsidRDefault="00FB6422" w:rsidP="006B30EA">
      <w:pPr>
        <w:pStyle w:val="Textonotapie"/>
        <w:jc w:val="both"/>
        <w:rPr>
          <w:rFonts w:asciiTheme="majorHAnsi" w:hAnsiTheme="majorHAnsi" w:cstheme="majorHAnsi"/>
        </w:rPr>
      </w:pPr>
      <w:r w:rsidRPr="00103661">
        <w:rPr>
          <w:rStyle w:val="Refdenotaalpie"/>
          <w:rFonts w:asciiTheme="majorHAnsi" w:hAnsiTheme="majorHAnsi" w:cstheme="majorHAnsi"/>
        </w:rPr>
        <w:footnoteRef/>
      </w:r>
      <w:r w:rsidRPr="00103661">
        <w:rPr>
          <w:rFonts w:asciiTheme="majorHAnsi" w:hAnsiTheme="majorHAnsi" w:cstheme="majorHAnsi"/>
        </w:rPr>
        <w:t xml:space="preserve"> Que acorde con la codificación de la ley # 906 de 2.004 correspondería al artículo 539 C.P.P.</w:t>
      </w:r>
    </w:p>
  </w:footnote>
  <w:footnote w:id="6">
    <w:p w:rsidR="008C7A32" w:rsidRPr="00103661" w:rsidRDefault="008C7A32" w:rsidP="006B30EA">
      <w:pPr>
        <w:pStyle w:val="Textonotapie"/>
        <w:jc w:val="both"/>
        <w:rPr>
          <w:rFonts w:asciiTheme="majorHAnsi" w:hAnsiTheme="majorHAnsi" w:cstheme="majorHAnsi"/>
        </w:rPr>
      </w:pPr>
      <w:r w:rsidRPr="00103661">
        <w:rPr>
          <w:rStyle w:val="Refdenotaalpie"/>
          <w:rFonts w:asciiTheme="majorHAnsi" w:hAnsiTheme="majorHAnsi" w:cstheme="majorHAnsi"/>
        </w:rPr>
        <w:footnoteRef/>
      </w:r>
      <w:r w:rsidRPr="00103661">
        <w:rPr>
          <w:rFonts w:asciiTheme="majorHAnsi" w:hAnsiTheme="majorHAnsi" w:cstheme="majorHAnsi"/>
        </w:rPr>
        <w:t xml:space="preserve"> </w:t>
      </w:r>
      <w:proofErr w:type="gramStart"/>
      <w:r w:rsidR="009D4478" w:rsidRPr="00103661">
        <w:rPr>
          <w:rFonts w:asciiTheme="majorHAnsi" w:hAnsiTheme="majorHAnsi" w:cstheme="majorHAnsi"/>
        </w:rPr>
        <w:t>Artículos</w:t>
      </w:r>
      <w:proofErr w:type="gramEnd"/>
      <w:r w:rsidRPr="00103661">
        <w:rPr>
          <w:rFonts w:asciiTheme="majorHAnsi" w:hAnsiTheme="majorHAnsi" w:cstheme="majorHAnsi"/>
        </w:rPr>
        <w:t xml:space="preserve"> 4º y 7º de la ley 270 de 1.996.</w:t>
      </w:r>
    </w:p>
  </w:footnote>
  <w:footnote w:id="7">
    <w:p w:rsidR="006B30EA" w:rsidRPr="00103661" w:rsidRDefault="006B30EA" w:rsidP="006B30EA">
      <w:pPr>
        <w:pStyle w:val="Textonotapie"/>
        <w:jc w:val="both"/>
        <w:rPr>
          <w:rFonts w:asciiTheme="majorHAnsi" w:hAnsiTheme="majorHAnsi" w:cstheme="majorHAnsi"/>
        </w:rPr>
      </w:pPr>
      <w:r w:rsidRPr="00103661">
        <w:rPr>
          <w:rStyle w:val="Refdenotaalpie"/>
          <w:rFonts w:asciiTheme="majorHAnsi" w:hAnsiTheme="majorHAnsi" w:cstheme="majorHAnsi"/>
        </w:rPr>
        <w:footnoteRef/>
      </w:r>
      <w:r w:rsidRPr="00103661">
        <w:rPr>
          <w:rFonts w:asciiTheme="majorHAnsi" w:hAnsiTheme="majorHAnsi" w:cstheme="majorHAnsi"/>
        </w:rPr>
        <w:t xml:space="preserve"> Tribunal Superior del Distrito Judicial de Pereira, Sala de Decisión Penal: </w:t>
      </w:r>
      <w:r w:rsidR="00125942" w:rsidRPr="00103661">
        <w:rPr>
          <w:rFonts w:asciiTheme="majorHAnsi" w:hAnsiTheme="majorHAnsi" w:cstheme="majorHAnsi"/>
        </w:rPr>
        <w:t xml:space="preserve">Providencia </w:t>
      </w:r>
      <w:r w:rsidRPr="00103661">
        <w:rPr>
          <w:rFonts w:asciiTheme="majorHAnsi" w:hAnsiTheme="majorHAnsi" w:cstheme="majorHAnsi"/>
        </w:rPr>
        <w:t>interlocutori</w:t>
      </w:r>
      <w:r w:rsidR="00125942" w:rsidRPr="00103661">
        <w:rPr>
          <w:rFonts w:asciiTheme="majorHAnsi" w:hAnsiTheme="majorHAnsi" w:cstheme="majorHAnsi"/>
        </w:rPr>
        <w:t>a</w:t>
      </w:r>
      <w:r w:rsidRPr="00103661">
        <w:rPr>
          <w:rFonts w:asciiTheme="majorHAnsi" w:hAnsiTheme="majorHAnsi" w:cstheme="majorHAnsi"/>
        </w:rPr>
        <w:t xml:space="preserve"> de 2ª instancia del 19 de febrero del 2.018. Rad. # 660016000035201404202. M.P. MANUEL YARZAGARAY BANDERA.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1F9" w:rsidRPr="00103661" w:rsidRDefault="00E731F9" w:rsidP="00E731F9">
    <w:pPr>
      <w:pStyle w:val="Encabezado"/>
      <w:ind w:left="3686"/>
      <w:jc w:val="both"/>
      <w:rPr>
        <w:rFonts w:asciiTheme="majorHAnsi" w:eastAsia="Yu Mincho Demibold" w:hAnsiTheme="majorHAnsi" w:cstheme="majorHAnsi"/>
        <w:b/>
        <w:sz w:val="18"/>
        <w:szCs w:val="18"/>
      </w:rPr>
    </w:pPr>
    <w:r w:rsidRPr="00103661">
      <w:rPr>
        <w:rFonts w:asciiTheme="majorHAnsi" w:eastAsia="Yu Mincho Demibold" w:hAnsiTheme="majorHAnsi" w:cstheme="majorHAnsi"/>
        <w:b/>
        <w:sz w:val="18"/>
        <w:szCs w:val="18"/>
      </w:rPr>
      <w:t xml:space="preserve">Procesado: SERGIO DANIEL MUÑOZ </w:t>
    </w:r>
  </w:p>
  <w:p w:rsidR="00E731F9" w:rsidRPr="00103661" w:rsidRDefault="00E731F9" w:rsidP="00E731F9">
    <w:pPr>
      <w:pStyle w:val="Encabezado"/>
      <w:ind w:left="3686"/>
      <w:jc w:val="both"/>
      <w:rPr>
        <w:rFonts w:asciiTheme="majorHAnsi" w:eastAsia="Yu Mincho Demibold" w:hAnsiTheme="majorHAnsi" w:cstheme="majorHAnsi"/>
        <w:b/>
        <w:sz w:val="18"/>
        <w:szCs w:val="18"/>
      </w:rPr>
    </w:pPr>
    <w:r w:rsidRPr="00103661">
      <w:rPr>
        <w:rFonts w:asciiTheme="majorHAnsi" w:eastAsia="Yu Mincho Demibold" w:hAnsiTheme="majorHAnsi" w:cstheme="majorHAnsi"/>
        <w:b/>
        <w:sz w:val="18"/>
        <w:szCs w:val="18"/>
      </w:rPr>
      <w:t>Delito: Tráfico de estupefacientes</w:t>
    </w:r>
  </w:p>
  <w:p w:rsidR="00E731F9" w:rsidRPr="00103661" w:rsidRDefault="00E731F9" w:rsidP="00E731F9">
    <w:pPr>
      <w:pStyle w:val="Encabezado"/>
      <w:ind w:left="3686"/>
      <w:jc w:val="both"/>
      <w:rPr>
        <w:rFonts w:asciiTheme="majorHAnsi" w:eastAsia="Yu Mincho Demibold" w:hAnsiTheme="majorHAnsi" w:cstheme="majorHAnsi"/>
        <w:b/>
        <w:sz w:val="18"/>
        <w:szCs w:val="18"/>
      </w:rPr>
    </w:pPr>
    <w:r w:rsidRPr="00103661">
      <w:rPr>
        <w:rFonts w:asciiTheme="majorHAnsi" w:eastAsia="Yu Mincho Demibold" w:hAnsiTheme="majorHAnsi" w:cstheme="majorHAnsi"/>
        <w:b/>
        <w:sz w:val="18"/>
        <w:szCs w:val="18"/>
      </w:rPr>
      <w:t>Radicación # 660886000066201600158-01</w:t>
    </w:r>
  </w:p>
  <w:p w:rsidR="00D623B3" w:rsidRPr="00103661" w:rsidRDefault="00E731F9" w:rsidP="00E731F9">
    <w:pPr>
      <w:pStyle w:val="Encabezado"/>
      <w:ind w:left="3686"/>
      <w:jc w:val="both"/>
      <w:rPr>
        <w:rFonts w:asciiTheme="majorHAnsi" w:hAnsiTheme="majorHAnsi" w:cstheme="majorHAnsi"/>
        <w:b/>
        <w:sz w:val="18"/>
        <w:szCs w:val="18"/>
      </w:rPr>
    </w:pPr>
    <w:r w:rsidRPr="00103661">
      <w:rPr>
        <w:rFonts w:asciiTheme="majorHAnsi" w:eastAsia="Yu Mincho Demibold" w:hAnsiTheme="majorHAnsi" w:cstheme="majorHAnsi"/>
        <w:b/>
        <w:sz w:val="18"/>
        <w:szCs w:val="18"/>
      </w:rPr>
      <w:t>Asunto: Salvamento de voto.</w:t>
    </w:r>
    <w:r w:rsidR="00ED73DF" w:rsidRPr="00103661">
      <w:rPr>
        <w:rFonts w:asciiTheme="majorHAnsi" w:eastAsia="Yu Mincho Demibold" w:hAnsiTheme="majorHAnsi" w:cstheme="majorHAnsi"/>
        <w:b/>
        <w:sz w:val="18"/>
        <w:szCs w:val="18"/>
      </w:rPr>
      <w:tab/>
    </w:r>
    <w:r w:rsidR="00ED73DF" w:rsidRPr="00103661">
      <w:rPr>
        <w:rFonts w:asciiTheme="majorHAnsi" w:eastAsia="Yu Mincho Demibold" w:hAnsiTheme="majorHAnsi" w:cstheme="majorHAnsi"/>
        <w:b/>
        <w:sz w:val="18"/>
        <w:szCs w:val="18"/>
      </w:rPr>
      <w:tab/>
    </w:r>
    <w:r w:rsidR="00ED73DF" w:rsidRPr="00103661">
      <w:rPr>
        <w:rFonts w:asciiTheme="majorHAnsi" w:hAnsiTheme="majorHAnsi" w:cstheme="majorHAnsi"/>
        <w:b/>
        <w:sz w:val="18"/>
        <w:szCs w:val="18"/>
      </w:rPr>
      <w:tab/>
      <w:t xml:space="preserve"> </w:t>
    </w:r>
  </w:p>
  <w:p w:rsidR="00D623B3" w:rsidRPr="00103661" w:rsidRDefault="00593500" w:rsidP="004F6FAA">
    <w:pPr>
      <w:pStyle w:val="Encabezado"/>
      <w:jc w:val="both"/>
      <w:rPr>
        <w:rFonts w:asciiTheme="majorHAnsi" w:hAnsiTheme="majorHAnsi" w:cstheme="majorHAnsi"/>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0FB" w:rsidRPr="004F6FAA" w:rsidRDefault="00ED73DF" w:rsidP="004630FB">
    <w:pPr>
      <w:pStyle w:val="Encabezado"/>
      <w:ind w:left="4678"/>
      <w:jc w:val="both"/>
      <w:rPr>
        <w:rFonts w:ascii="Arial Rounded MT Bold" w:eastAsia="Yu Mincho Demibold" w:hAnsi="Arial Rounded MT Bold"/>
        <w:sz w:val="18"/>
        <w:szCs w:val="18"/>
      </w:rPr>
    </w:pPr>
    <w:r w:rsidRPr="004F6FAA">
      <w:rPr>
        <w:rFonts w:ascii="Arial Rounded MT Bold" w:eastAsia="Yu Mincho Demibold" w:hAnsi="Arial Rounded MT Bold"/>
        <w:sz w:val="18"/>
        <w:szCs w:val="18"/>
      </w:rPr>
      <w:t xml:space="preserve">Procesado: </w:t>
    </w:r>
    <w:r w:rsidR="00E731F9">
      <w:rPr>
        <w:rFonts w:ascii="Arial Rounded MT Bold" w:eastAsia="Yu Mincho Demibold" w:hAnsi="Arial Rounded MT Bold"/>
        <w:sz w:val="18"/>
        <w:szCs w:val="18"/>
      </w:rPr>
      <w:t>SERGIO DANIEL MUÑOZ</w:t>
    </w:r>
    <w:r w:rsidR="00E731F9" w:rsidRPr="004F6FAA">
      <w:rPr>
        <w:rFonts w:ascii="Arial Rounded MT Bold" w:eastAsia="Yu Mincho Demibold" w:hAnsi="Arial Rounded MT Bold"/>
        <w:sz w:val="18"/>
        <w:szCs w:val="18"/>
      </w:rPr>
      <w:t xml:space="preserve"> </w:t>
    </w:r>
  </w:p>
  <w:p w:rsidR="004630FB" w:rsidRPr="004F6FAA" w:rsidRDefault="00ED73DF" w:rsidP="004630FB">
    <w:pPr>
      <w:pStyle w:val="Encabezado"/>
      <w:ind w:left="4678"/>
      <w:jc w:val="both"/>
      <w:rPr>
        <w:rFonts w:ascii="Arial Rounded MT Bold" w:eastAsia="Yu Mincho Demibold" w:hAnsi="Arial Rounded MT Bold"/>
        <w:sz w:val="18"/>
        <w:szCs w:val="18"/>
      </w:rPr>
    </w:pPr>
    <w:r w:rsidRPr="004F6FAA">
      <w:rPr>
        <w:rFonts w:ascii="Arial Rounded MT Bold" w:eastAsia="Yu Mincho Demibold" w:hAnsi="Arial Rounded MT Bold"/>
        <w:sz w:val="18"/>
        <w:szCs w:val="18"/>
      </w:rPr>
      <w:t xml:space="preserve">Delito: </w:t>
    </w:r>
    <w:r w:rsidR="00E731F9">
      <w:rPr>
        <w:rFonts w:ascii="Arial Rounded MT Bold" w:eastAsia="Yu Mincho Demibold" w:hAnsi="Arial Rounded MT Bold"/>
        <w:sz w:val="18"/>
        <w:szCs w:val="18"/>
      </w:rPr>
      <w:t>Tráfico de estupefacientes</w:t>
    </w:r>
  </w:p>
  <w:p w:rsidR="00E731F9" w:rsidRDefault="00ED73DF" w:rsidP="004630FB">
    <w:pPr>
      <w:pStyle w:val="Encabezado"/>
      <w:ind w:left="4678"/>
      <w:jc w:val="both"/>
      <w:rPr>
        <w:rFonts w:ascii="Arial Rounded MT Bold" w:eastAsia="Yu Mincho Demibold" w:hAnsi="Arial Rounded MT Bold"/>
        <w:sz w:val="18"/>
        <w:szCs w:val="18"/>
      </w:rPr>
    </w:pPr>
    <w:r w:rsidRPr="004F6FAA">
      <w:rPr>
        <w:rFonts w:ascii="Arial Rounded MT Bold" w:eastAsia="Yu Mincho Demibold" w:hAnsi="Arial Rounded MT Bold"/>
        <w:sz w:val="18"/>
        <w:szCs w:val="18"/>
      </w:rPr>
      <w:t xml:space="preserve">Radicación # </w:t>
    </w:r>
    <w:r w:rsidR="00E731F9">
      <w:rPr>
        <w:rFonts w:ascii="Arial Rounded MT Bold" w:eastAsia="Yu Mincho Demibold" w:hAnsi="Arial Rounded MT Bold"/>
        <w:sz w:val="18"/>
        <w:szCs w:val="18"/>
      </w:rPr>
      <w:t>660886000066201600158-01</w:t>
    </w:r>
  </w:p>
  <w:p w:rsidR="004630FB" w:rsidRPr="004F6FAA" w:rsidRDefault="00ED73DF" w:rsidP="004630FB">
    <w:pPr>
      <w:pStyle w:val="Encabezado"/>
      <w:ind w:left="4678"/>
      <w:jc w:val="both"/>
      <w:rPr>
        <w:rFonts w:ascii="Arial Rounded MT Bold" w:eastAsia="Yu Mincho Demibold" w:hAnsi="Arial Rounded MT Bold"/>
        <w:sz w:val="18"/>
        <w:szCs w:val="18"/>
      </w:rPr>
    </w:pPr>
    <w:r w:rsidRPr="004F6FAA">
      <w:rPr>
        <w:rFonts w:ascii="Arial Rounded MT Bold" w:eastAsia="Yu Mincho Demibold" w:hAnsi="Arial Rounded MT Bold"/>
        <w:sz w:val="18"/>
        <w:szCs w:val="18"/>
      </w:rPr>
      <w:t>Asunto:</w:t>
    </w:r>
    <w:r>
      <w:rPr>
        <w:rFonts w:ascii="Arial Rounded MT Bold" w:eastAsia="Yu Mincho Demibold" w:hAnsi="Arial Rounded MT Bold"/>
        <w:sz w:val="18"/>
        <w:szCs w:val="18"/>
      </w:rPr>
      <w:t xml:space="preserve"> Salvamento de voto.</w:t>
    </w:r>
  </w:p>
  <w:p w:rsidR="004630FB" w:rsidRDefault="005935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4037F"/>
    <w:multiLevelType w:val="hybridMultilevel"/>
    <w:tmpl w:val="515247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2A9C580B"/>
    <w:multiLevelType w:val="hybridMultilevel"/>
    <w:tmpl w:val="EEEEE0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E7625A2"/>
    <w:multiLevelType w:val="hybridMultilevel"/>
    <w:tmpl w:val="A76092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3562C61"/>
    <w:multiLevelType w:val="hybridMultilevel"/>
    <w:tmpl w:val="71E030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C220269"/>
    <w:multiLevelType w:val="hybridMultilevel"/>
    <w:tmpl w:val="3FECBC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6BC4304"/>
    <w:multiLevelType w:val="hybridMultilevel"/>
    <w:tmpl w:val="719260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62465AC9"/>
    <w:multiLevelType w:val="hybridMultilevel"/>
    <w:tmpl w:val="34B683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CC801A5"/>
    <w:multiLevelType w:val="hybridMultilevel"/>
    <w:tmpl w:val="976C89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5A6279E"/>
    <w:multiLevelType w:val="hybridMultilevel"/>
    <w:tmpl w:val="101AF8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6"/>
  </w:num>
  <w:num w:numId="5">
    <w:abstractNumId w:val="0"/>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F9"/>
    <w:rsid w:val="000967CF"/>
    <w:rsid w:val="0010076D"/>
    <w:rsid w:val="00103661"/>
    <w:rsid w:val="00125942"/>
    <w:rsid w:val="00166439"/>
    <w:rsid w:val="001C1893"/>
    <w:rsid w:val="001F4E7E"/>
    <w:rsid w:val="00271764"/>
    <w:rsid w:val="002A0AB7"/>
    <w:rsid w:val="002B76E7"/>
    <w:rsid w:val="0031531A"/>
    <w:rsid w:val="00381672"/>
    <w:rsid w:val="003E4E8D"/>
    <w:rsid w:val="003F12C2"/>
    <w:rsid w:val="003F433E"/>
    <w:rsid w:val="004641F5"/>
    <w:rsid w:val="0047609E"/>
    <w:rsid w:val="0049598C"/>
    <w:rsid w:val="00556B01"/>
    <w:rsid w:val="00593500"/>
    <w:rsid w:val="005A504F"/>
    <w:rsid w:val="005F0C24"/>
    <w:rsid w:val="0061482D"/>
    <w:rsid w:val="00686DD1"/>
    <w:rsid w:val="006B30EA"/>
    <w:rsid w:val="0070292B"/>
    <w:rsid w:val="007A18D0"/>
    <w:rsid w:val="007C3423"/>
    <w:rsid w:val="007F4521"/>
    <w:rsid w:val="00814281"/>
    <w:rsid w:val="00837DEA"/>
    <w:rsid w:val="00862CE4"/>
    <w:rsid w:val="00874B58"/>
    <w:rsid w:val="00883ABC"/>
    <w:rsid w:val="008C6E64"/>
    <w:rsid w:val="008C7A32"/>
    <w:rsid w:val="009051C8"/>
    <w:rsid w:val="00927524"/>
    <w:rsid w:val="009B0319"/>
    <w:rsid w:val="009C2F3C"/>
    <w:rsid w:val="009D4478"/>
    <w:rsid w:val="00A109A7"/>
    <w:rsid w:val="00A45087"/>
    <w:rsid w:val="00A50AF0"/>
    <w:rsid w:val="00A60C2A"/>
    <w:rsid w:val="00A839A1"/>
    <w:rsid w:val="00A92A5C"/>
    <w:rsid w:val="00AF198D"/>
    <w:rsid w:val="00BA45C0"/>
    <w:rsid w:val="00BA54C1"/>
    <w:rsid w:val="00BA5615"/>
    <w:rsid w:val="00C13BFB"/>
    <w:rsid w:val="00C576C9"/>
    <w:rsid w:val="00C6148B"/>
    <w:rsid w:val="00C82869"/>
    <w:rsid w:val="00CC0378"/>
    <w:rsid w:val="00D503F6"/>
    <w:rsid w:val="00D67D91"/>
    <w:rsid w:val="00E371C8"/>
    <w:rsid w:val="00E44497"/>
    <w:rsid w:val="00E570B8"/>
    <w:rsid w:val="00E60F7C"/>
    <w:rsid w:val="00E62160"/>
    <w:rsid w:val="00E63D88"/>
    <w:rsid w:val="00E71C21"/>
    <w:rsid w:val="00E731F9"/>
    <w:rsid w:val="00ED4F8A"/>
    <w:rsid w:val="00ED73DF"/>
    <w:rsid w:val="00F01E0F"/>
    <w:rsid w:val="00FB64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5C56E1-3777-4AC3-9CB1-72DBE7D47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F9"/>
    <w:pPr>
      <w:spacing w:after="0" w:line="240" w:lineRule="auto"/>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A504F"/>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5A504F"/>
    <w:rPr>
      <w:vertAlign w:val="superscript"/>
    </w:rPr>
  </w:style>
  <w:style w:type="paragraph" w:styleId="Prrafodelista">
    <w:name w:val="List Paragraph"/>
    <w:basedOn w:val="Normal"/>
    <w:uiPriority w:val="34"/>
    <w:qFormat/>
    <w:rsid w:val="005A504F"/>
    <w:pPr>
      <w:ind w:left="720"/>
      <w:contextualSpacing/>
    </w:pPr>
  </w:style>
  <w:style w:type="paragraph" w:styleId="Encabezado">
    <w:name w:val="header"/>
    <w:basedOn w:val="Normal"/>
    <w:link w:val="EncabezadoCar"/>
    <w:uiPriority w:val="99"/>
    <w:unhideWhenUsed/>
    <w:rsid w:val="00E731F9"/>
    <w:pPr>
      <w:tabs>
        <w:tab w:val="center" w:pos="4419"/>
        <w:tab w:val="right" w:pos="8838"/>
      </w:tabs>
    </w:pPr>
  </w:style>
  <w:style w:type="character" w:customStyle="1" w:styleId="EncabezadoCar">
    <w:name w:val="Encabezado Car"/>
    <w:basedOn w:val="Fuentedeprrafopredeter"/>
    <w:link w:val="Encabezado"/>
    <w:uiPriority w:val="99"/>
    <w:rsid w:val="00E731F9"/>
    <w:rPr>
      <w:sz w:val="28"/>
      <w:szCs w:val="28"/>
    </w:rPr>
  </w:style>
  <w:style w:type="paragraph" w:styleId="Piedepgina">
    <w:name w:val="footer"/>
    <w:basedOn w:val="Normal"/>
    <w:link w:val="PiedepginaCar"/>
    <w:uiPriority w:val="99"/>
    <w:unhideWhenUsed/>
    <w:rsid w:val="00E731F9"/>
    <w:pPr>
      <w:tabs>
        <w:tab w:val="center" w:pos="4419"/>
        <w:tab w:val="right" w:pos="8838"/>
      </w:tabs>
    </w:pPr>
  </w:style>
  <w:style w:type="character" w:customStyle="1" w:styleId="PiedepginaCar">
    <w:name w:val="Pie de página Car"/>
    <w:basedOn w:val="Fuentedeprrafopredeter"/>
    <w:link w:val="Piedepgina"/>
    <w:uiPriority w:val="99"/>
    <w:rsid w:val="00E731F9"/>
    <w:rPr>
      <w:sz w:val="28"/>
      <w:szCs w:val="28"/>
    </w:rPr>
  </w:style>
  <w:style w:type="paragraph" w:styleId="Textonotapie">
    <w:name w:val="footnote text"/>
    <w:basedOn w:val="Normal"/>
    <w:link w:val="TextonotapieCar"/>
    <w:semiHidden/>
    <w:unhideWhenUsed/>
    <w:rsid w:val="00E731F9"/>
    <w:rPr>
      <w:sz w:val="20"/>
      <w:szCs w:val="20"/>
    </w:rPr>
  </w:style>
  <w:style w:type="character" w:customStyle="1" w:styleId="TextonotapieCar">
    <w:name w:val="Texto nota pie Car"/>
    <w:basedOn w:val="Fuentedeprrafopredeter"/>
    <w:link w:val="Textonotapie"/>
    <w:semiHidden/>
    <w:rsid w:val="00E731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Aria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42F0FB-BE30-4A05-AAC1-576517509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4318</Words>
  <Characters>23751</Characters>
  <Application>Microsoft Office Word</Application>
  <DocSecurity>0</DocSecurity>
  <Lines>197</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9</cp:revision>
  <dcterms:created xsi:type="dcterms:W3CDTF">2018-05-09T13:18:00Z</dcterms:created>
  <dcterms:modified xsi:type="dcterms:W3CDTF">2018-06-22T16:29:00Z</dcterms:modified>
</cp:coreProperties>
</file>