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1C" w:rsidRPr="0069141C" w:rsidRDefault="0069141C" w:rsidP="0069141C">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olor w:val="FF0000"/>
          <w:spacing w:val="-8"/>
          <w:sz w:val="16"/>
          <w:szCs w:val="16"/>
          <w:lang w:eastAsia="fr-FR"/>
        </w:rPr>
      </w:pPr>
      <w:r w:rsidRPr="0069141C">
        <w:rPr>
          <w:rFonts w:eastAsia="Courier New"/>
          <w:color w:val="FF0000"/>
          <w:spacing w:val="-8"/>
          <w:sz w:val="16"/>
          <w:szCs w:val="16"/>
          <w:lang w:eastAsia="fr-FR"/>
        </w:rPr>
        <w:t xml:space="preserve">El siguiente es el documento presentado por el Magistrado Ponente que sirvió de base para proferir la providencia dentro del presente proceso. </w:t>
      </w:r>
      <w:r w:rsidRPr="0069141C">
        <w:rPr>
          <w:rFonts w:eastAsia="Courier New"/>
          <w:color w:val="FF0000"/>
          <w:sz w:val="16"/>
          <w:szCs w:val="16"/>
          <w:lang w:eastAsia="fr-FR"/>
        </w:rPr>
        <w:t>El contenido total y fiel de la decisión debe ser verificado en la Secretaría de esta Sala.</w:t>
      </w:r>
    </w:p>
    <w:p w:rsidR="0069141C" w:rsidRPr="0069141C" w:rsidRDefault="0069141C" w:rsidP="0069141C">
      <w:pPr>
        <w:pStyle w:val="Sinespaciado"/>
        <w:jc w:val="both"/>
        <w:rPr>
          <w:rFonts w:ascii="Calibri" w:hAnsi="Calibri"/>
          <w:sz w:val="18"/>
          <w:szCs w:val="18"/>
          <w:lang w:eastAsia="fr-FR"/>
        </w:rPr>
      </w:pPr>
    </w:p>
    <w:p w:rsidR="0069141C" w:rsidRPr="0069141C" w:rsidRDefault="0069141C" w:rsidP="0069141C">
      <w:pPr>
        <w:pStyle w:val="Sinespaciado"/>
        <w:jc w:val="both"/>
        <w:rPr>
          <w:rFonts w:ascii="Calibri" w:hAnsi="Calibri"/>
          <w:sz w:val="18"/>
          <w:szCs w:val="18"/>
          <w:lang w:eastAsia="fr-FR"/>
        </w:rPr>
      </w:pPr>
      <w:r w:rsidRPr="0069141C">
        <w:rPr>
          <w:rFonts w:ascii="Calibri" w:hAnsi="Calibri"/>
          <w:sz w:val="18"/>
          <w:szCs w:val="18"/>
          <w:lang w:eastAsia="fr-FR"/>
        </w:rPr>
        <w:t>Providencia:</w:t>
      </w:r>
      <w:r w:rsidRPr="0069141C">
        <w:rPr>
          <w:rFonts w:ascii="Calibri" w:hAnsi="Calibri"/>
          <w:sz w:val="18"/>
          <w:szCs w:val="18"/>
          <w:lang w:eastAsia="fr-FR"/>
        </w:rPr>
        <w:tab/>
      </w:r>
      <w:r w:rsidRPr="0069141C">
        <w:rPr>
          <w:rFonts w:ascii="Calibri" w:hAnsi="Calibri"/>
          <w:sz w:val="18"/>
          <w:szCs w:val="18"/>
          <w:lang w:eastAsia="fr-FR"/>
        </w:rPr>
        <w:tab/>
        <w:t xml:space="preserve">Sentencia </w:t>
      </w:r>
      <w:r>
        <w:rPr>
          <w:rFonts w:ascii="Calibri" w:hAnsi="Calibri"/>
          <w:sz w:val="18"/>
          <w:szCs w:val="18"/>
          <w:lang w:eastAsia="fr-FR"/>
        </w:rPr>
        <w:t>– 2ª Instancia – 10</w:t>
      </w:r>
      <w:r w:rsidRPr="0069141C">
        <w:rPr>
          <w:rFonts w:ascii="Calibri" w:hAnsi="Calibri"/>
          <w:sz w:val="18"/>
          <w:szCs w:val="18"/>
          <w:lang w:eastAsia="fr-FR"/>
        </w:rPr>
        <w:t xml:space="preserve"> de mayo de 2018</w:t>
      </w:r>
    </w:p>
    <w:p w:rsidR="0069141C" w:rsidRPr="0069141C" w:rsidRDefault="0069141C" w:rsidP="0069141C">
      <w:pPr>
        <w:pStyle w:val="Sinespaciado"/>
        <w:jc w:val="both"/>
        <w:rPr>
          <w:rFonts w:ascii="Calibri" w:hAnsi="Calibri"/>
          <w:sz w:val="18"/>
          <w:szCs w:val="18"/>
          <w:lang w:eastAsia="fr-FR"/>
        </w:rPr>
      </w:pPr>
      <w:r w:rsidRPr="0069141C">
        <w:rPr>
          <w:rFonts w:ascii="Calibri" w:hAnsi="Calibri"/>
          <w:sz w:val="18"/>
          <w:szCs w:val="18"/>
          <w:lang w:eastAsia="fr-FR"/>
        </w:rPr>
        <w:t>Proceso:</w:t>
      </w:r>
      <w:r w:rsidRPr="0069141C">
        <w:rPr>
          <w:rFonts w:ascii="Calibri" w:hAnsi="Calibri"/>
          <w:sz w:val="18"/>
          <w:szCs w:val="18"/>
          <w:lang w:eastAsia="fr-FR"/>
        </w:rPr>
        <w:tab/>
      </w:r>
      <w:r w:rsidRPr="0069141C">
        <w:rPr>
          <w:rFonts w:ascii="Calibri" w:hAnsi="Calibri"/>
          <w:sz w:val="18"/>
          <w:szCs w:val="18"/>
          <w:lang w:eastAsia="fr-FR"/>
        </w:rPr>
        <w:tab/>
      </w:r>
      <w:r w:rsidRPr="0069141C">
        <w:rPr>
          <w:rFonts w:ascii="Calibri" w:hAnsi="Calibri"/>
          <w:sz w:val="18"/>
          <w:szCs w:val="18"/>
          <w:lang w:eastAsia="fr-FR"/>
        </w:rPr>
        <w:tab/>
        <w:t xml:space="preserve">Penal – </w:t>
      </w:r>
      <w:r>
        <w:rPr>
          <w:rFonts w:ascii="Calibri" w:hAnsi="Calibri"/>
          <w:sz w:val="18"/>
          <w:szCs w:val="18"/>
          <w:lang w:eastAsia="fr-FR"/>
        </w:rPr>
        <w:t>Condena y confirma</w:t>
      </w:r>
    </w:p>
    <w:p w:rsidR="0069141C" w:rsidRPr="0069141C" w:rsidRDefault="0069141C" w:rsidP="0069141C">
      <w:pPr>
        <w:pStyle w:val="Sinespaciado"/>
        <w:jc w:val="both"/>
        <w:rPr>
          <w:rFonts w:ascii="Calibri" w:hAnsi="Calibri"/>
          <w:bCs/>
          <w:iCs/>
          <w:sz w:val="18"/>
          <w:szCs w:val="18"/>
          <w:lang w:eastAsia="fr-FR"/>
        </w:rPr>
      </w:pPr>
      <w:r w:rsidRPr="0069141C">
        <w:rPr>
          <w:rFonts w:ascii="Calibri" w:hAnsi="Calibri"/>
          <w:sz w:val="18"/>
          <w:szCs w:val="18"/>
          <w:lang w:eastAsia="fr-FR"/>
        </w:rPr>
        <w:t>Radicación Nro.:</w:t>
      </w:r>
      <w:r w:rsidRPr="0069141C">
        <w:rPr>
          <w:rFonts w:ascii="Calibri" w:hAnsi="Calibri"/>
          <w:sz w:val="18"/>
          <w:szCs w:val="18"/>
          <w:lang w:eastAsia="fr-FR"/>
        </w:rPr>
        <w:tab/>
        <w:t xml:space="preserve">  </w:t>
      </w:r>
      <w:r w:rsidRPr="0069141C">
        <w:rPr>
          <w:rFonts w:ascii="Calibri" w:hAnsi="Calibri"/>
          <w:sz w:val="18"/>
          <w:szCs w:val="18"/>
          <w:lang w:eastAsia="fr-FR"/>
        </w:rPr>
        <w:tab/>
        <w:t>6617060000662011011297-01</w:t>
      </w:r>
    </w:p>
    <w:p w:rsidR="0069141C" w:rsidRPr="0069141C" w:rsidRDefault="0069141C" w:rsidP="0069141C">
      <w:pPr>
        <w:pStyle w:val="Sinespaciado"/>
        <w:jc w:val="both"/>
        <w:rPr>
          <w:rFonts w:ascii="Calibri" w:eastAsia="Batang" w:hAnsi="Calibri"/>
          <w:bCs/>
          <w:sz w:val="18"/>
          <w:szCs w:val="18"/>
        </w:rPr>
      </w:pPr>
      <w:r w:rsidRPr="0069141C">
        <w:rPr>
          <w:rFonts w:ascii="Calibri" w:eastAsia="Batang" w:hAnsi="Calibri"/>
          <w:bCs/>
          <w:sz w:val="18"/>
          <w:szCs w:val="18"/>
        </w:rPr>
        <w:t xml:space="preserve">Procesado:   </w:t>
      </w:r>
      <w:r w:rsidRPr="0069141C">
        <w:rPr>
          <w:rFonts w:ascii="Calibri" w:eastAsia="Batang" w:hAnsi="Calibri"/>
          <w:bCs/>
          <w:sz w:val="18"/>
          <w:szCs w:val="18"/>
        </w:rPr>
        <w:tab/>
      </w:r>
      <w:r w:rsidRPr="0069141C">
        <w:rPr>
          <w:rFonts w:ascii="Calibri" w:eastAsia="Batang" w:hAnsi="Calibri"/>
          <w:bCs/>
          <w:sz w:val="18"/>
          <w:szCs w:val="18"/>
        </w:rPr>
        <w:tab/>
        <w:t>DIANA MILENA HENAO MORALES</w:t>
      </w:r>
    </w:p>
    <w:p w:rsidR="0069141C" w:rsidRPr="0069141C" w:rsidRDefault="0069141C" w:rsidP="0069141C">
      <w:pPr>
        <w:pStyle w:val="Sinespaciado"/>
        <w:jc w:val="both"/>
        <w:rPr>
          <w:rFonts w:ascii="Calibri" w:eastAsia="Batang" w:hAnsi="Calibri"/>
          <w:b/>
          <w:bCs/>
          <w:sz w:val="18"/>
          <w:szCs w:val="18"/>
        </w:rPr>
      </w:pPr>
      <w:r w:rsidRPr="0069141C">
        <w:rPr>
          <w:rFonts w:ascii="Calibri" w:eastAsia="Batang" w:hAnsi="Calibri"/>
          <w:bCs/>
          <w:sz w:val="18"/>
          <w:szCs w:val="18"/>
        </w:rPr>
        <w:t>Delito:</w:t>
      </w:r>
      <w:r w:rsidRPr="0069141C">
        <w:rPr>
          <w:rFonts w:ascii="Calibri" w:eastAsia="Batang" w:hAnsi="Calibri"/>
          <w:bCs/>
          <w:sz w:val="18"/>
          <w:szCs w:val="18"/>
        </w:rPr>
        <w:tab/>
      </w:r>
      <w:r w:rsidRPr="0069141C">
        <w:rPr>
          <w:rFonts w:ascii="Calibri" w:eastAsia="Batang" w:hAnsi="Calibri"/>
          <w:bCs/>
          <w:sz w:val="18"/>
          <w:szCs w:val="18"/>
        </w:rPr>
        <w:tab/>
      </w:r>
      <w:r w:rsidRPr="0069141C">
        <w:rPr>
          <w:rFonts w:ascii="Calibri" w:eastAsia="Batang" w:hAnsi="Calibri"/>
          <w:bCs/>
          <w:sz w:val="18"/>
          <w:szCs w:val="18"/>
        </w:rPr>
        <w:tab/>
        <w:t>Omisión de agente retenedor o recaudador</w:t>
      </w:r>
    </w:p>
    <w:p w:rsidR="0069141C" w:rsidRPr="0069141C" w:rsidRDefault="0069141C" w:rsidP="0069141C">
      <w:pPr>
        <w:pStyle w:val="Sinespaciado"/>
        <w:jc w:val="both"/>
        <w:rPr>
          <w:rFonts w:ascii="Calibri" w:hAnsi="Calibri"/>
          <w:sz w:val="18"/>
          <w:szCs w:val="18"/>
          <w:lang w:eastAsia="fr-FR"/>
        </w:rPr>
      </w:pPr>
      <w:r w:rsidRPr="0069141C">
        <w:rPr>
          <w:rFonts w:ascii="Calibri" w:hAnsi="Calibri"/>
          <w:sz w:val="18"/>
          <w:szCs w:val="18"/>
          <w:lang w:eastAsia="fr-FR"/>
        </w:rPr>
        <w:t>Magistrado Ponente: </w:t>
      </w:r>
      <w:r w:rsidRPr="0069141C">
        <w:rPr>
          <w:rFonts w:ascii="Calibri" w:hAnsi="Calibri"/>
          <w:sz w:val="18"/>
          <w:szCs w:val="18"/>
          <w:lang w:eastAsia="fr-FR"/>
        </w:rPr>
        <w:tab/>
      </w:r>
      <w:r w:rsidR="009C5BB3" w:rsidRPr="009C5BB3">
        <w:rPr>
          <w:rFonts w:ascii="Calibri" w:hAnsi="Calibri"/>
          <w:sz w:val="18"/>
          <w:szCs w:val="18"/>
          <w:lang w:eastAsia="fr-FR"/>
        </w:rPr>
        <w:t xml:space="preserve">MANUEL </w:t>
      </w:r>
      <w:proofErr w:type="spellStart"/>
      <w:r w:rsidR="009C5BB3" w:rsidRPr="009C5BB3">
        <w:rPr>
          <w:rFonts w:ascii="Calibri" w:hAnsi="Calibri"/>
          <w:sz w:val="18"/>
          <w:szCs w:val="18"/>
          <w:lang w:eastAsia="fr-FR"/>
        </w:rPr>
        <w:t>YARZAGARAY</w:t>
      </w:r>
      <w:proofErr w:type="spellEnd"/>
      <w:r w:rsidR="009C5BB3" w:rsidRPr="009C5BB3">
        <w:rPr>
          <w:rFonts w:ascii="Calibri" w:hAnsi="Calibri"/>
          <w:sz w:val="18"/>
          <w:szCs w:val="18"/>
          <w:lang w:eastAsia="fr-FR"/>
        </w:rPr>
        <w:t xml:space="preserve"> BANDERA</w:t>
      </w:r>
      <w:bookmarkStart w:id="0" w:name="_GoBack"/>
      <w:bookmarkEnd w:id="0"/>
    </w:p>
    <w:p w:rsidR="0069141C" w:rsidRPr="0069141C" w:rsidRDefault="0069141C" w:rsidP="0069141C">
      <w:pPr>
        <w:pStyle w:val="Sinespaciado"/>
        <w:jc w:val="both"/>
        <w:rPr>
          <w:rFonts w:ascii="Calibri" w:hAnsi="Calibri"/>
          <w:sz w:val="18"/>
          <w:szCs w:val="18"/>
          <w:lang w:eastAsia="fr-FR"/>
        </w:rPr>
      </w:pPr>
    </w:p>
    <w:p w:rsidR="0069141C" w:rsidRPr="0069141C" w:rsidRDefault="0069141C" w:rsidP="0069141C">
      <w:pPr>
        <w:pStyle w:val="Sinespaciado"/>
        <w:spacing w:line="276" w:lineRule="auto"/>
        <w:jc w:val="both"/>
        <w:rPr>
          <w:rFonts w:ascii="Calibri" w:hAnsi="Calibri"/>
          <w:bCs/>
          <w:iCs/>
          <w:sz w:val="18"/>
          <w:szCs w:val="18"/>
          <w:lang w:eastAsia="fr-FR"/>
        </w:rPr>
      </w:pPr>
      <w:r w:rsidRPr="0069141C">
        <w:rPr>
          <w:rFonts w:ascii="Calibri" w:hAnsi="Calibri"/>
          <w:b/>
          <w:bCs/>
          <w:iCs/>
          <w:sz w:val="18"/>
          <w:szCs w:val="18"/>
          <w:lang w:eastAsia="fr-FR"/>
        </w:rPr>
        <w:t>TEMA:</w:t>
      </w:r>
      <w:r w:rsidRPr="0069141C">
        <w:rPr>
          <w:rFonts w:ascii="Calibri" w:hAnsi="Calibri"/>
          <w:b/>
          <w:bCs/>
          <w:iCs/>
          <w:sz w:val="18"/>
          <w:szCs w:val="18"/>
          <w:lang w:eastAsia="fr-FR"/>
        </w:rPr>
        <w:tab/>
      </w:r>
      <w:r w:rsidRPr="0069141C">
        <w:rPr>
          <w:rFonts w:ascii="Calibri" w:hAnsi="Calibri"/>
          <w:b/>
          <w:bCs/>
          <w:iCs/>
          <w:sz w:val="18"/>
          <w:szCs w:val="18"/>
          <w:lang w:eastAsia="fr-FR"/>
        </w:rPr>
        <w:tab/>
      </w:r>
      <w:r w:rsidRPr="0069141C">
        <w:rPr>
          <w:rFonts w:ascii="Calibri" w:hAnsi="Calibri"/>
          <w:b/>
          <w:bCs/>
          <w:iCs/>
          <w:sz w:val="18"/>
          <w:szCs w:val="18"/>
          <w:lang w:eastAsia="fr-FR"/>
        </w:rPr>
        <w:tab/>
      </w:r>
      <w:r w:rsidR="00F96BE7" w:rsidRPr="0069141C">
        <w:rPr>
          <w:rFonts w:ascii="Calibri" w:hAnsi="Calibri"/>
          <w:b/>
          <w:bCs/>
          <w:iCs/>
          <w:sz w:val="18"/>
          <w:szCs w:val="18"/>
          <w:lang w:eastAsia="fr-FR"/>
        </w:rPr>
        <w:t xml:space="preserve">OMISIÓN DE AGENTE RETENEDOR O RECAUDADOR / </w:t>
      </w:r>
      <w:r w:rsidR="00F96BE7">
        <w:rPr>
          <w:rFonts w:ascii="Calibri" w:hAnsi="Calibri"/>
          <w:b/>
          <w:bCs/>
          <w:iCs/>
          <w:sz w:val="18"/>
          <w:szCs w:val="18"/>
          <w:lang w:eastAsia="fr-FR"/>
        </w:rPr>
        <w:t>SERVIDOR PÚBLICO / DOCUMENTOS PÚBLICOS</w:t>
      </w:r>
      <w:r w:rsidR="00F96BE7" w:rsidRPr="0069141C">
        <w:rPr>
          <w:rFonts w:ascii="Calibri" w:hAnsi="Calibri"/>
          <w:b/>
          <w:bCs/>
          <w:iCs/>
          <w:sz w:val="18"/>
          <w:szCs w:val="18"/>
          <w:lang w:eastAsia="fr-FR"/>
        </w:rPr>
        <w:t xml:space="preserve"> / </w:t>
      </w:r>
      <w:r w:rsidR="00F96BE7">
        <w:rPr>
          <w:rFonts w:ascii="Calibri" w:hAnsi="Calibri"/>
          <w:b/>
          <w:bCs/>
          <w:iCs/>
          <w:sz w:val="18"/>
          <w:szCs w:val="18"/>
          <w:lang w:eastAsia="fr-FR"/>
        </w:rPr>
        <w:t>NOTIFICACIÓN / CONFIRMA CONDENA</w:t>
      </w:r>
      <w:r w:rsidR="00F96BE7" w:rsidRPr="0069141C">
        <w:rPr>
          <w:rFonts w:ascii="Calibri" w:hAnsi="Calibri"/>
          <w:b/>
          <w:bCs/>
          <w:iCs/>
          <w:sz w:val="18"/>
          <w:szCs w:val="18"/>
          <w:lang w:eastAsia="fr-FR"/>
        </w:rPr>
        <w:t xml:space="preserve">  </w:t>
      </w:r>
      <w:r w:rsidR="00F96BE7" w:rsidRPr="0069141C">
        <w:rPr>
          <w:rFonts w:ascii="Calibri" w:hAnsi="Calibri"/>
          <w:bCs/>
          <w:iCs/>
          <w:sz w:val="18"/>
          <w:szCs w:val="18"/>
          <w:lang w:eastAsia="fr-FR"/>
        </w:rPr>
        <w:t xml:space="preserve">- </w:t>
      </w:r>
      <w:r w:rsidRPr="0069141C">
        <w:rPr>
          <w:rFonts w:ascii="Calibri" w:hAnsi="Calibri"/>
          <w:bCs/>
          <w:iCs/>
          <w:sz w:val="18"/>
          <w:szCs w:val="18"/>
          <w:lang w:eastAsia="fr-FR"/>
        </w:rPr>
        <w:t xml:space="preserve">Por lo tanto, al ser un hecho cierto, indubitable e incuestionable el consistente en que el sujeto activo del delito de omisión de agente retenedor debe ser considerado como servidor público, ello implica que los documentos signados por esas personas como consecuencia del ejercicio o el cumplimiento de dichas funciones públicas transitorias, entre los cuales se encuentran las declaraciones tributarias que se deben presentar de manera periódica al gobierno nacional por el recaudo del IVA, deben ser considerados como documentos públicos; lo que a su vez ocasiona que dichos documentos, por su condición de públicos, se encuentren bajo el amparo de la égida de la presunción de autenticidad, como bien se desprende de lo reglado por los artículos 425 </w:t>
      </w:r>
      <w:proofErr w:type="spellStart"/>
      <w:r w:rsidRPr="0069141C">
        <w:rPr>
          <w:rFonts w:ascii="Calibri" w:hAnsi="Calibri"/>
          <w:bCs/>
          <w:iCs/>
          <w:sz w:val="18"/>
          <w:szCs w:val="18"/>
          <w:lang w:eastAsia="fr-FR"/>
        </w:rPr>
        <w:t>C.P.P</w:t>
      </w:r>
      <w:proofErr w:type="spellEnd"/>
      <w:r w:rsidRPr="0069141C">
        <w:rPr>
          <w:rFonts w:ascii="Calibri" w:hAnsi="Calibri"/>
          <w:bCs/>
          <w:iCs/>
          <w:sz w:val="18"/>
          <w:szCs w:val="18"/>
          <w:lang w:eastAsia="fr-FR"/>
        </w:rPr>
        <w:t xml:space="preserve">. y 243 </w:t>
      </w:r>
      <w:proofErr w:type="spellStart"/>
      <w:r w:rsidRPr="0069141C">
        <w:rPr>
          <w:rFonts w:ascii="Calibri" w:hAnsi="Calibri"/>
          <w:bCs/>
          <w:iCs/>
          <w:sz w:val="18"/>
          <w:szCs w:val="18"/>
          <w:lang w:eastAsia="fr-FR"/>
        </w:rPr>
        <w:t>C.G.P</w:t>
      </w:r>
      <w:proofErr w:type="spellEnd"/>
      <w:r w:rsidRPr="0069141C">
        <w:rPr>
          <w:rFonts w:ascii="Calibri" w:hAnsi="Calibri"/>
          <w:bCs/>
          <w:iCs/>
          <w:sz w:val="18"/>
          <w:szCs w:val="18"/>
          <w:lang w:eastAsia="fr-FR"/>
        </w:rPr>
        <w:t xml:space="preserve">. por lo que es obvio que la persona que quiera cuestionar dicha presunción le asiste la carga de aportar los elementos de juicio que considera que sean necesarios para desvirtuarla. </w:t>
      </w:r>
    </w:p>
    <w:p w:rsidR="0069141C" w:rsidRPr="0069141C" w:rsidRDefault="0069141C" w:rsidP="0069141C">
      <w:pPr>
        <w:pStyle w:val="Sinespaciado"/>
        <w:spacing w:line="276" w:lineRule="auto"/>
        <w:jc w:val="both"/>
        <w:rPr>
          <w:rFonts w:ascii="Calibri" w:hAnsi="Calibri"/>
          <w:bCs/>
          <w:iCs/>
          <w:sz w:val="18"/>
          <w:szCs w:val="18"/>
          <w:lang w:eastAsia="fr-FR"/>
        </w:rPr>
      </w:pPr>
    </w:p>
    <w:p w:rsidR="0069141C" w:rsidRPr="0069141C" w:rsidRDefault="0069141C" w:rsidP="0069141C">
      <w:pPr>
        <w:pStyle w:val="Sinespaciado"/>
        <w:spacing w:line="276" w:lineRule="auto"/>
        <w:jc w:val="both"/>
        <w:rPr>
          <w:rFonts w:ascii="Calibri" w:hAnsi="Calibri"/>
          <w:bCs/>
          <w:iCs/>
          <w:sz w:val="18"/>
          <w:szCs w:val="18"/>
          <w:lang w:eastAsia="fr-FR"/>
        </w:rPr>
      </w:pPr>
      <w:r w:rsidRPr="0069141C">
        <w:rPr>
          <w:rFonts w:ascii="Calibri" w:hAnsi="Calibri"/>
          <w:bCs/>
          <w:iCs/>
          <w:sz w:val="18"/>
          <w:szCs w:val="18"/>
          <w:lang w:eastAsia="fr-FR"/>
        </w:rPr>
        <w:t xml:space="preserve">Al aplicar lo anterior al caso en estudio vemos que si la Defensa pretendía cuestionar la autenticidad de las declaraciones tributarias aportadas por la Fiscalía al proceso con base en el argumento consistente en que las grafías que aparecían consignadas en las mismas no podían corresponder a las de la Procesada, acorde con lo preceptuado por el aludido principio de la incumbencia probatoria, era obvio que le asistía la carga de demostrar, mediante el empleo de los medios de conocimientos pertinentes, que las signaturas fueron hechas por alguna otra persona diferente a la acusada. Pero vemos que la realidad probatoria nos demuestra que la Defensa no cumplió con dicha carga, razón por la que se puede concluir que todo lo dicho, en tales términos, por los apelantes para cuestionar la autenticidad de los documentos de marras son  unas simples y meras especulaciones que en nada afectan la presunción de autenticidad que amparan a las enunciadas declaraciones tributarias.  </w:t>
      </w:r>
    </w:p>
    <w:p w:rsidR="0069141C" w:rsidRPr="0069141C" w:rsidRDefault="0069141C" w:rsidP="0069141C">
      <w:pPr>
        <w:pStyle w:val="Sinespaciado"/>
        <w:spacing w:line="276" w:lineRule="auto"/>
        <w:jc w:val="both"/>
        <w:rPr>
          <w:rFonts w:ascii="Calibri" w:hAnsi="Calibri"/>
          <w:bCs/>
          <w:iCs/>
          <w:sz w:val="18"/>
          <w:szCs w:val="18"/>
          <w:lang w:eastAsia="fr-FR"/>
        </w:rPr>
      </w:pPr>
    </w:p>
    <w:p w:rsidR="0069141C" w:rsidRPr="0069141C" w:rsidRDefault="0069141C" w:rsidP="0069141C">
      <w:pPr>
        <w:pStyle w:val="Sinespaciado"/>
        <w:spacing w:line="276" w:lineRule="auto"/>
        <w:jc w:val="both"/>
        <w:rPr>
          <w:rFonts w:ascii="Calibri" w:hAnsi="Calibri"/>
          <w:bCs/>
          <w:iCs/>
          <w:sz w:val="18"/>
          <w:szCs w:val="18"/>
          <w:lang w:eastAsia="fr-FR"/>
        </w:rPr>
      </w:pPr>
      <w:r w:rsidRPr="0069141C">
        <w:rPr>
          <w:rFonts w:ascii="Calibri" w:hAnsi="Calibri"/>
          <w:bCs/>
          <w:iCs/>
          <w:sz w:val="18"/>
          <w:szCs w:val="18"/>
          <w:lang w:eastAsia="fr-FR"/>
        </w:rPr>
        <w:t xml:space="preserve">Por otra parte, se dice por los apelantes que en el presente asunto no se demostró el comportamiento doloso del delito endilgado en contra de la acusada, debido a que Ella desconocía la existencia de la obligación tributaria cuyo pago le era exigido por la DIAN, lo cual para la Sala no puede ser de recibo en atención a que tales aseveraciones no se corresponden con la realidad probatoria. Así tenemos que si nos atenemos al testimonio rendido por </w:t>
      </w:r>
      <w:proofErr w:type="spellStart"/>
      <w:r w:rsidRPr="0069141C">
        <w:rPr>
          <w:rFonts w:ascii="Calibri" w:hAnsi="Calibri"/>
          <w:bCs/>
          <w:iCs/>
          <w:sz w:val="18"/>
          <w:szCs w:val="18"/>
          <w:lang w:eastAsia="fr-FR"/>
        </w:rPr>
        <w:t>N</w:t>
      </w:r>
      <w:r>
        <w:rPr>
          <w:rFonts w:ascii="Calibri" w:hAnsi="Calibri"/>
          <w:bCs/>
          <w:iCs/>
          <w:sz w:val="18"/>
          <w:szCs w:val="18"/>
          <w:lang w:eastAsia="fr-FR"/>
        </w:rPr>
        <w:t>AG</w:t>
      </w:r>
      <w:proofErr w:type="spellEnd"/>
      <w:r w:rsidRPr="0069141C">
        <w:rPr>
          <w:rFonts w:ascii="Calibri" w:hAnsi="Calibri"/>
          <w:bCs/>
          <w:iCs/>
          <w:sz w:val="18"/>
          <w:szCs w:val="18"/>
          <w:lang w:eastAsia="fr-FR"/>
        </w:rPr>
        <w:t xml:space="preserve">, se demuestra todo lo contrario a lo argüido por los apelantes, ya que de los dichos de ese testigo se desprende que la DIAN sí hizo todo lo que estuvo a su alcance para enterar a la Sra. </w:t>
      </w:r>
      <w:proofErr w:type="spellStart"/>
      <w:r w:rsidRPr="0069141C">
        <w:rPr>
          <w:rFonts w:ascii="Calibri" w:hAnsi="Calibri"/>
          <w:bCs/>
          <w:iCs/>
          <w:sz w:val="18"/>
          <w:szCs w:val="18"/>
          <w:lang w:eastAsia="fr-FR"/>
        </w:rPr>
        <w:t>D</w:t>
      </w:r>
      <w:r>
        <w:rPr>
          <w:rFonts w:ascii="Calibri" w:hAnsi="Calibri"/>
          <w:bCs/>
          <w:iCs/>
          <w:sz w:val="18"/>
          <w:szCs w:val="18"/>
          <w:lang w:eastAsia="fr-FR"/>
        </w:rPr>
        <w:t>MH</w:t>
      </w:r>
      <w:proofErr w:type="spellEnd"/>
      <w:r>
        <w:rPr>
          <w:rFonts w:ascii="Calibri" w:hAnsi="Calibri"/>
          <w:bCs/>
          <w:iCs/>
          <w:sz w:val="18"/>
          <w:szCs w:val="18"/>
          <w:lang w:eastAsia="fr-FR"/>
        </w:rPr>
        <w:t xml:space="preserve"> </w:t>
      </w:r>
      <w:r w:rsidRPr="0069141C">
        <w:rPr>
          <w:rFonts w:ascii="Calibri" w:hAnsi="Calibri"/>
          <w:bCs/>
          <w:iCs/>
          <w:sz w:val="18"/>
          <w:szCs w:val="18"/>
          <w:lang w:eastAsia="fr-FR"/>
        </w:rPr>
        <w:t xml:space="preserve">del contenido de lo consignado en el oficio persuasivo # 20115056000197 del 2 de febrero del 2.011, en el cual se le pretendía notificar del incumplimiento de sus obligaciones tributarias respecto al no pago de los dineros recaudados por concepto de IVA en los periodos establecidos en el proceso. </w:t>
      </w:r>
    </w:p>
    <w:p w:rsidR="0069141C" w:rsidRPr="0069141C" w:rsidRDefault="0069141C" w:rsidP="0069141C">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w:t>
      </w:r>
    </w:p>
    <w:p w:rsidR="0069141C" w:rsidRPr="0069141C" w:rsidRDefault="0069141C" w:rsidP="0069141C">
      <w:pPr>
        <w:pStyle w:val="Sinespaciado"/>
        <w:spacing w:line="276" w:lineRule="auto"/>
        <w:jc w:val="both"/>
        <w:rPr>
          <w:rFonts w:ascii="Calibri" w:hAnsi="Calibri"/>
          <w:bCs/>
          <w:iCs/>
          <w:sz w:val="18"/>
          <w:szCs w:val="18"/>
          <w:lang w:eastAsia="fr-FR"/>
        </w:rPr>
      </w:pPr>
    </w:p>
    <w:p w:rsidR="0069141C" w:rsidRPr="0069141C" w:rsidRDefault="0069141C" w:rsidP="0069141C">
      <w:pPr>
        <w:pStyle w:val="Sinespaciado"/>
        <w:spacing w:line="276" w:lineRule="auto"/>
        <w:jc w:val="both"/>
        <w:rPr>
          <w:rFonts w:ascii="Calibri" w:hAnsi="Calibri"/>
          <w:bCs/>
          <w:iCs/>
          <w:sz w:val="18"/>
          <w:szCs w:val="18"/>
          <w:lang w:eastAsia="fr-FR"/>
        </w:rPr>
      </w:pPr>
      <w:r>
        <w:rPr>
          <w:rFonts w:ascii="Calibri" w:hAnsi="Calibri"/>
          <w:bCs/>
          <w:iCs/>
          <w:sz w:val="18"/>
          <w:szCs w:val="18"/>
          <w:lang w:eastAsia="fr-FR"/>
        </w:rPr>
        <w:t xml:space="preserve">En suma, si la Procesada </w:t>
      </w:r>
      <w:proofErr w:type="spellStart"/>
      <w:r>
        <w:rPr>
          <w:rFonts w:ascii="Calibri" w:hAnsi="Calibri"/>
          <w:bCs/>
          <w:iCs/>
          <w:sz w:val="18"/>
          <w:szCs w:val="18"/>
          <w:lang w:eastAsia="fr-FR"/>
        </w:rPr>
        <w:t>DMH</w:t>
      </w:r>
      <w:proofErr w:type="spellEnd"/>
      <w:r w:rsidRPr="0069141C">
        <w:rPr>
          <w:rFonts w:ascii="Calibri" w:hAnsi="Calibri"/>
          <w:bCs/>
          <w:iCs/>
          <w:sz w:val="18"/>
          <w:szCs w:val="18"/>
          <w:lang w:eastAsia="fr-FR"/>
        </w:rPr>
        <w:t xml:space="preserve"> no fue </w:t>
      </w:r>
      <w:proofErr w:type="spellStart"/>
      <w:r w:rsidRPr="0069141C">
        <w:rPr>
          <w:rFonts w:ascii="Calibri" w:hAnsi="Calibri"/>
          <w:bCs/>
          <w:iCs/>
          <w:sz w:val="18"/>
          <w:szCs w:val="18"/>
          <w:lang w:eastAsia="fr-FR"/>
        </w:rPr>
        <w:t>enterada</w:t>
      </w:r>
      <w:proofErr w:type="spellEnd"/>
      <w:r w:rsidRPr="0069141C">
        <w:rPr>
          <w:rFonts w:ascii="Calibri" w:hAnsi="Calibri"/>
          <w:bCs/>
          <w:iCs/>
          <w:sz w:val="18"/>
          <w:szCs w:val="18"/>
          <w:lang w:eastAsia="fr-FR"/>
        </w:rPr>
        <w:t xml:space="preserve"> personalmente de los requerimientos efectuados por la DIAN para que cancelara los dineros que había recaudado por concepto del IVA, ello no se debió a culpa de la administración de impuestos, sino de la misma Procesada quien no pudo ser ubicada en el domicilio que había registrado como sede de sus actividades mercantiles, ni le informó a la DIAN que había fijado un domicilio comercial en otra ciudad. </w:t>
      </w:r>
    </w:p>
    <w:p w:rsidR="0069141C" w:rsidRPr="0069141C" w:rsidRDefault="0069141C" w:rsidP="0069141C">
      <w:pPr>
        <w:pStyle w:val="Sinespaciado"/>
        <w:spacing w:line="276" w:lineRule="auto"/>
        <w:jc w:val="both"/>
        <w:rPr>
          <w:rFonts w:ascii="Calibri" w:hAnsi="Calibri"/>
          <w:bCs/>
          <w:iCs/>
          <w:sz w:val="18"/>
          <w:szCs w:val="18"/>
          <w:lang w:eastAsia="fr-FR"/>
        </w:rPr>
      </w:pPr>
    </w:p>
    <w:p w:rsidR="0069141C" w:rsidRDefault="0069141C" w:rsidP="0069141C">
      <w:pPr>
        <w:pStyle w:val="Sinespaciado"/>
        <w:spacing w:line="276" w:lineRule="auto"/>
        <w:jc w:val="both"/>
        <w:rPr>
          <w:rFonts w:ascii="Calibri" w:hAnsi="Calibri"/>
          <w:bCs/>
          <w:iCs/>
          <w:sz w:val="18"/>
          <w:szCs w:val="18"/>
          <w:lang w:eastAsia="fr-FR"/>
        </w:rPr>
      </w:pPr>
      <w:r w:rsidRPr="0069141C">
        <w:rPr>
          <w:rFonts w:ascii="Calibri" w:hAnsi="Calibri"/>
          <w:bCs/>
          <w:iCs/>
          <w:sz w:val="18"/>
          <w:szCs w:val="18"/>
          <w:lang w:eastAsia="fr-FR"/>
        </w:rPr>
        <w:t xml:space="preserve">Lo dicho hasta el momento es suficiente para concluir que no le asiste la razón a los reproches formulados por los apelantes en contra del fallo opugnado, ya que las pruebas aducidas al proceso si cumplían con los requisitos exigidos por parte del articulo 381 </w:t>
      </w:r>
      <w:proofErr w:type="spellStart"/>
      <w:r w:rsidRPr="0069141C">
        <w:rPr>
          <w:rFonts w:ascii="Calibri" w:hAnsi="Calibri"/>
          <w:bCs/>
          <w:iCs/>
          <w:sz w:val="18"/>
          <w:szCs w:val="18"/>
          <w:lang w:eastAsia="fr-FR"/>
        </w:rPr>
        <w:t>C.P.P</w:t>
      </w:r>
      <w:proofErr w:type="spellEnd"/>
      <w:r w:rsidRPr="0069141C">
        <w:rPr>
          <w:rFonts w:ascii="Calibri" w:hAnsi="Calibri"/>
          <w:bCs/>
          <w:iCs/>
          <w:sz w:val="18"/>
          <w:szCs w:val="18"/>
          <w:lang w:eastAsia="fr-FR"/>
        </w:rPr>
        <w:t xml:space="preserve">. para poder proferir en contra de la Procesada </w:t>
      </w:r>
      <w:proofErr w:type="spellStart"/>
      <w:r w:rsidRPr="0069141C">
        <w:rPr>
          <w:rFonts w:ascii="Calibri" w:hAnsi="Calibri"/>
          <w:bCs/>
          <w:iCs/>
          <w:sz w:val="18"/>
          <w:szCs w:val="18"/>
          <w:lang w:eastAsia="fr-FR"/>
        </w:rPr>
        <w:t>D</w:t>
      </w:r>
      <w:r>
        <w:rPr>
          <w:rFonts w:ascii="Calibri" w:hAnsi="Calibri"/>
          <w:bCs/>
          <w:iCs/>
          <w:sz w:val="18"/>
          <w:szCs w:val="18"/>
          <w:lang w:eastAsia="fr-FR"/>
        </w:rPr>
        <w:t>MHM</w:t>
      </w:r>
      <w:proofErr w:type="spellEnd"/>
      <w:r w:rsidRPr="0069141C">
        <w:rPr>
          <w:rFonts w:ascii="Calibri" w:hAnsi="Calibri"/>
          <w:bCs/>
          <w:iCs/>
          <w:sz w:val="18"/>
          <w:szCs w:val="18"/>
          <w:lang w:eastAsia="fr-FR"/>
        </w:rPr>
        <w:t xml:space="preserve"> un fallo de responsabilidad criminal, acorde con los cargos relacionados con la comisión del delito de omisión de agente retenedor.  </w:t>
      </w:r>
    </w:p>
    <w:p w:rsidR="0069141C" w:rsidRPr="0069141C" w:rsidRDefault="0069141C" w:rsidP="0069141C">
      <w:pPr>
        <w:pStyle w:val="Sinespaciado"/>
        <w:spacing w:line="276" w:lineRule="auto"/>
        <w:jc w:val="both"/>
        <w:rPr>
          <w:rFonts w:ascii="Calibri" w:hAnsi="Calibri"/>
          <w:bCs/>
          <w:iCs/>
          <w:sz w:val="18"/>
          <w:szCs w:val="18"/>
          <w:lang w:eastAsia="fr-FR"/>
        </w:rPr>
      </w:pPr>
    </w:p>
    <w:p w:rsidR="0069141C" w:rsidRPr="0069141C" w:rsidRDefault="0069141C" w:rsidP="0069141C">
      <w:pPr>
        <w:pStyle w:val="Sinespaciado"/>
        <w:spacing w:line="276" w:lineRule="auto"/>
        <w:jc w:val="both"/>
        <w:rPr>
          <w:rFonts w:ascii="Calibri" w:hAnsi="Calibri"/>
          <w:bCs/>
          <w:iCs/>
          <w:sz w:val="18"/>
          <w:szCs w:val="18"/>
          <w:lang w:eastAsia="fr-FR"/>
        </w:rPr>
      </w:pPr>
    </w:p>
    <w:p w:rsidR="00F0409E" w:rsidRPr="00F0409E" w:rsidRDefault="00F0409E" w:rsidP="000246E4">
      <w:pPr>
        <w:spacing w:line="288" w:lineRule="auto"/>
        <w:jc w:val="center"/>
        <w:rPr>
          <w:rFonts w:ascii="Verdana" w:eastAsia="Calibri" w:hAnsi="Verdana" w:cs="Arial"/>
          <w:b/>
        </w:rPr>
      </w:pPr>
      <w:r w:rsidRPr="00F0409E">
        <w:rPr>
          <w:rFonts w:ascii="Verdana" w:eastAsia="Calibri" w:hAnsi="Verdana" w:cs="Arial"/>
          <w:b/>
        </w:rPr>
        <w:t>REPÚBLICA DE COLOMBIA</w:t>
      </w:r>
    </w:p>
    <w:p w:rsidR="00F0409E" w:rsidRPr="00F0409E" w:rsidRDefault="00F0409E" w:rsidP="000246E4">
      <w:pPr>
        <w:spacing w:line="288" w:lineRule="auto"/>
        <w:jc w:val="center"/>
        <w:rPr>
          <w:rFonts w:ascii="Verdana" w:eastAsia="Calibri" w:hAnsi="Verdana" w:cs="Arial"/>
          <w:b/>
        </w:rPr>
      </w:pPr>
      <w:r w:rsidRPr="00F0409E">
        <w:rPr>
          <w:rFonts w:ascii="Verdana" w:eastAsia="Calibri" w:hAnsi="Verdana" w:cs="Arial"/>
          <w:b/>
        </w:rPr>
        <w:t>RAMA JUDICIAL DEL PODER PÚBLICO</w:t>
      </w:r>
    </w:p>
    <w:p w:rsidR="00F0409E" w:rsidRPr="00F0409E" w:rsidRDefault="00F0409E" w:rsidP="000246E4">
      <w:pPr>
        <w:spacing w:line="288" w:lineRule="auto"/>
        <w:jc w:val="center"/>
        <w:rPr>
          <w:rFonts w:ascii="Verdana" w:eastAsia="Calibri" w:hAnsi="Verdana" w:cs="Arial"/>
          <w:b/>
        </w:rPr>
      </w:pPr>
      <w:r w:rsidRPr="00F0409E">
        <w:rPr>
          <w:rFonts w:ascii="Verdana" w:eastAsia="Calibri" w:hAnsi="Verdana" w:cs="Arial"/>
          <w:b/>
          <w:noProof/>
          <w:lang w:val="es-ES" w:eastAsia="es-ES"/>
        </w:rPr>
        <w:drawing>
          <wp:inline distT="0" distB="0" distL="0" distR="0" wp14:anchorId="448F4E50" wp14:editId="48BC28B5">
            <wp:extent cx="650875" cy="7092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F0409E" w:rsidRPr="00F0409E" w:rsidRDefault="00F0409E" w:rsidP="000246E4">
      <w:pPr>
        <w:spacing w:line="288" w:lineRule="auto"/>
        <w:jc w:val="center"/>
        <w:rPr>
          <w:rFonts w:ascii="Verdana" w:eastAsia="Calibri" w:hAnsi="Verdana" w:cs="Arial"/>
          <w:b/>
        </w:rPr>
      </w:pPr>
      <w:r w:rsidRPr="00F0409E">
        <w:rPr>
          <w:rFonts w:ascii="Verdana" w:eastAsia="Calibri" w:hAnsi="Verdana" w:cs="Arial"/>
          <w:b/>
        </w:rPr>
        <w:t>TRIBUNAL SUPERIOR DEL DISTRITO JUDICIAL DE PEREIRA</w:t>
      </w:r>
    </w:p>
    <w:p w:rsidR="00F0409E" w:rsidRPr="00F0409E" w:rsidRDefault="00F0409E" w:rsidP="000246E4">
      <w:pPr>
        <w:spacing w:line="288" w:lineRule="auto"/>
        <w:jc w:val="center"/>
        <w:rPr>
          <w:rFonts w:ascii="Verdana" w:eastAsia="Calibri" w:hAnsi="Verdana" w:cs="Arial"/>
          <w:b/>
        </w:rPr>
      </w:pPr>
      <w:r w:rsidRPr="00F0409E">
        <w:rPr>
          <w:rFonts w:ascii="Verdana" w:eastAsia="Calibri" w:hAnsi="Verdana" w:cs="Arial"/>
          <w:b/>
        </w:rPr>
        <w:t>SALA DE DECISIÓN PENAL</w:t>
      </w:r>
    </w:p>
    <w:p w:rsidR="00F0409E" w:rsidRPr="00F0409E" w:rsidRDefault="00F0409E" w:rsidP="000246E4">
      <w:pPr>
        <w:spacing w:line="360" w:lineRule="auto"/>
        <w:jc w:val="center"/>
        <w:rPr>
          <w:rFonts w:ascii="Verdana" w:eastAsia="Calibri" w:hAnsi="Verdana" w:cs="Arial"/>
          <w:b/>
        </w:rPr>
      </w:pPr>
    </w:p>
    <w:p w:rsidR="00F0409E" w:rsidRPr="00F0409E" w:rsidRDefault="00F0409E" w:rsidP="00272509">
      <w:pPr>
        <w:spacing w:line="276" w:lineRule="auto"/>
        <w:jc w:val="center"/>
        <w:rPr>
          <w:rFonts w:ascii="Verdana" w:eastAsia="Calibri" w:hAnsi="Verdana" w:cs="Arial"/>
          <w:b/>
        </w:rPr>
      </w:pPr>
      <w:r w:rsidRPr="00F0409E">
        <w:rPr>
          <w:rFonts w:ascii="Verdana" w:eastAsia="Calibri" w:hAnsi="Verdana" w:cs="Arial"/>
          <w:b/>
        </w:rPr>
        <w:t>M.P. MANUEL YARZAGARAY BANDERA</w:t>
      </w:r>
    </w:p>
    <w:p w:rsidR="00F0409E" w:rsidRPr="00F0409E" w:rsidRDefault="00F0409E" w:rsidP="000246E4">
      <w:pPr>
        <w:spacing w:line="360" w:lineRule="auto"/>
        <w:jc w:val="center"/>
        <w:rPr>
          <w:rFonts w:ascii="Verdana" w:eastAsia="Times New Roman" w:hAnsi="Verdana" w:cs="Arial"/>
        </w:rPr>
      </w:pPr>
    </w:p>
    <w:p w:rsidR="00F0409E" w:rsidRPr="00F0409E" w:rsidRDefault="00F0409E" w:rsidP="00272509">
      <w:pPr>
        <w:spacing w:line="276" w:lineRule="auto"/>
        <w:jc w:val="center"/>
        <w:rPr>
          <w:rFonts w:ascii="Verdana" w:eastAsia="Times New Roman" w:hAnsi="Verdana" w:cs="Arial"/>
          <w:b/>
        </w:rPr>
      </w:pPr>
      <w:r w:rsidRPr="00F0409E">
        <w:rPr>
          <w:rFonts w:ascii="Verdana" w:eastAsia="Times New Roman" w:hAnsi="Verdana" w:cs="Arial"/>
          <w:b/>
        </w:rPr>
        <w:t>SENTENCIA DE 2ª INSTANCIA</w:t>
      </w:r>
    </w:p>
    <w:p w:rsidR="00F0409E" w:rsidRPr="00F0409E" w:rsidRDefault="00F0409E" w:rsidP="000246E4">
      <w:pPr>
        <w:spacing w:line="360" w:lineRule="auto"/>
        <w:jc w:val="center"/>
        <w:rPr>
          <w:rFonts w:ascii="Verdana" w:eastAsia="Times New Roman" w:hAnsi="Verdana" w:cs="Arial"/>
        </w:rPr>
      </w:pPr>
    </w:p>
    <w:p w:rsidR="00F0409E" w:rsidRPr="00A03BE9" w:rsidRDefault="00F0409E" w:rsidP="00272509">
      <w:pPr>
        <w:spacing w:line="276" w:lineRule="auto"/>
        <w:jc w:val="center"/>
        <w:rPr>
          <w:rFonts w:ascii="Verdana" w:eastAsia="Times New Roman" w:hAnsi="Verdana" w:cs="Arial"/>
          <w:sz w:val="24"/>
        </w:rPr>
      </w:pPr>
      <w:r w:rsidRPr="00A03BE9">
        <w:rPr>
          <w:rFonts w:ascii="Verdana" w:eastAsia="Times New Roman" w:hAnsi="Verdana" w:cs="Arial"/>
          <w:sz w:val="24"/>
        </w:rPr>
        <w:t xml:space="preserve">Aprobado por Acta # </w:t>
      </w:r>
      <w:r w:rsidR="00A03BE9">
        <w:rPr>
          <w:rFonts w:ascii="Verdana" w:eastAsia="Times New Roman" w:hAnsi="Verdana" w:cs="Arial"/>
          <w:sz w:val="24"/>
        </w:rPr>
        <w:t>410 del 10 de mayo de 2018. H: 3:00  p.m.</w:t>
      </w:r>
    </w:p>
    <w:p w:rsidR="00F0409E" w:rsidRPr="00F0409E" w:rsidRDefault="00F0409E" w:rsidP="000246E4">
      <w:pPr>
        <w:spacing w:line="360" w:lineRule="auto"/>
        <w:jc w:val="both"/>
        <w:rPr>
          <w:rFonts w:ascii="Verdana" w:eastAsia="Times New Roman" w:hAnsi="Verdana" w:cs="Arial"/>
        </w:rPr>
      </w:pPr>
    </w:p>
    <w:p w:rsidR="00F0409E" w:rsidRPr="00F0409E" w:rsidRDefault="00F0409E" w:rsidP="00272509">
      <w:pPr>
        <w:spacing w:line="276" w:lineRule="auto"/>
        <w:jc w:val="both"/>
        <w:rPr>
          <w:rFonts w:ascii="Verdana" w:eastAsia="Times New Roman" w:hAnsi="Verdana" w:cs="Arial"/>
        </w:rPr>
      </w:pPr>
      <w:r w:rsidRPr="00F0409E">
        <w:rPr>
          <w:rFonts w:ascii="Verdana" w:eastAsia="Times New Roman" w:hAnsi="Verdana" w:cs="Arial"/>
        </w:rPr>
        <w:t>Pereira,</w:t>
      </w:r>
      <w:r w:rsidR="00A03BE9">
        <w:rPr>
          <w:rFonts w:ascii="Verdana" w:eastAsia="Times New Roman" w:hAnsi="Verdana" w:cs="Arial"/>
        </w:rPr>
        <w:t xml:space="preserve"> once (11) </w:t>
      </w:r>
      <w:r w:rsidRPr="00F0409E">
        <w:rPr>
          <w:rFonts w:ascii="Verdana" w:eastAsia="Times New Roman" w:hAnsi="Verdana" w:cs="Arial"/>
        </w:rPr>
        <w:t xml:space="preserve">de </w:t>
      </w:r>
      <w:r w:rsidR="00A03BE9">
        <w:rPr>
          <w:rFonts w:ascii="Verdana" w:eastAsia="Times New Roman" w:hAnsi="Verdana" w:cs="Arial"/>
        </w:rPr>
        <w:t>m</w:t>
      </w:r>
      <w:r>
        <w:rPr>
          <w:rFonts w:ascii="Verdana" w:eastAsia="Times New Roman" w:hAnsi="Verdana" w:cs="Arial"/>
        </w:rPr>
        <w:t xml:space="preserve">ayo </w:t>
      </w:r>
      <w:r w:rsidRPr="00F0409E">
        <w:rPr>
          <w:rFonts w:ascii="Verdana" w:eastAsia="Times New Roman" w:hAnsi="Verdana" w:cs="Arial"/>
        </w:rPr>
        <w:t>de dos mil dieci</w:t>
      </w:r>
      <w:r>
        <w:rPr>
          <w:rFonts w:ascii="Verdana" w:eastAsia="Times New Roman" w:hAnsi="Verdana" w:cs="Arial"/>
        </w:rPr>
        <w:t>ocho</w:t>
      </w:r>
      <w:r w:rsidRPr="00F0409E">
        <w:rPr>
          <w:rFonts w:ascii="Verdana" w:eastAsia="Times New Roman" w:hAnsi="Verdana" w:cs="Arial"/>
        </w:rPr>
        <w:t xml:space="preserve"> (201</w:t>
      </w:r>
      <w:r>
        <w:rPr>
          <w:rFonts w:ascii="Verdana" w:eastAsia="Times New Roman" w:hAnsi="Verdana" w:cs="Arial"/>
        </w:rPr>
        <w:t>8</w:t>
      </w:r>
      <w:r w:rsidRPr="00F0409E">
        <w:rPr>
          <w:rFonts w:ascii="Verdana" w:eastAsia="Times New Roman" w:hAnsi="Verdana" w:cs="Arial"/>
        </w:rPr>
        <w:t>)</w:t>
      </w:r>
    </w:p>
    <w:p w:rsidR="00F0409E" w:rsidRPr="00F0409E" w:rsidRDefault="00F0409E" w:rsidP="00272509">
      <w:pPr>
        <w:spacing w:line="276" w:lineRule="auto"/>
        <w:jc w:val="both"/>
        <w:rPr>
          <w:rFonts w:ascii="Verdana" w:eastAsia="Times New Roman" w:hAnsi="Verdana" w:cs="Arial"/>
        </w:rPr>
      </w:pPr>
      <w:r w:rsidRPr="00F0409E">
        <w:rPr>
          <w:rFonts w:ascii="Verdana" w:eastAsia="Times New Roman" w:hAnsi="Verdana" w:cs="Arial"/>
        </w:rPr>
        <w:t xml:space="preserve">Hora: </w:t>
      </w:r>
      <w:r w:rsidR="00A03BE9">
        <w:rPr>
          <w:rFonts w:ascii="Verdana" w:eastAsia="Times New Roman" w:hAnsi="Verdana" w:cs="Arial"/>
        </w:rPr>
        <w:t xml:space="preserve">8:07 a.m. </w:t>
      </w:r>
    </w:p>
    <w:p w:rsidR="00F0409E" w:rsidRPr="00F0409E" w:rsidRDefault="00F0409E" w:rsidP="00272509">
      <w:pPr>
        <w:spacing w:line="276" w:lineRule="auto"/>
        <w:jc w:val="both"/>
        <w:rPr>
          <w:rFonts w:ascii="Verdana" w:eastAsia="Times New Roman" w:hAnsi="Verdana" w:cs="Arial"/>
          <w:spacing w:val="-3"/>
        </w:rPr>
      </w:pPr>
    </w:p>
    <w:p w:rsidR="00F0409E" w:rsidRPr="00A03BE9" w:rsidRDefault="00F0409E" w:rsidP="007129A7">
      <w:pPr>
        <w:pBdr>
          <w:top w:val="single" w:sz="4" w:space="1" w:color="auto"/>
          <w:left w:val="single" w:sz="4" w:space="4" w:color="auto"/>
          <w:bottom w:val="single" w:sz="4" w:space="1" w:color="auto"/>
          <w:right w:val="single" w:sz="4" w:space="4" w:color="auto"/>
        </w:pBdr>
        <w:jc w:val="both"/>
        <w:rPr>
          <w:rFonts w:ascii="Verdana" w:eastAsia="Adobe Gothic Std B" w:hAnsi="Verdana" w:cs="Arial"/>
          <w:sz w:val="22"/>
        </w:rPr>
      </w:pPr>
      <w:r w:rsidRPr="00A03BE9">
        <w:rPr>
          <w:rFonts w:ascii="Verdana" w:eastAsia="Adobe Gothic Std B" w:hAnsi="Verdana" w:cs="Arial"/>
          <w:sz w:val="22"/>
        </w:rPr>
        <w:t>Procesad</w:t>
      </w:r>
      <w:r w:rsidR="00206526" w:rsidRPr="00A03BE9">
        <w:rPr>
          <w:rFonts w:ascii="Verdana" w:eastAsia="Adobe Gothic Std B" w:hAnsi="Verdana" w:cs="Arial"/>
          <w:sz w:val="22"/>
        </w:rPr>
        <w:t>a</w:t>
      </w:r>
      <w:r w:rsidRPr="00A03BE9">
        <w:rPr>
          <w:rFonts w:ascii="Verdana" w:eastAsia="Adobe Gothic Std B" w:hAnsi="Verdana" w:cs="Arial"/>
          <w:sz w:val="22"/>
        </w:rPr>
        <w:t xml:space="preserve">: </w:t>
      </w:r>
      <w:r w:rsidR="00206526" w:rsidRPr="00A03BE9">
        <w:rPr>
          <w:rFonts w:ascii="Verdana" w:eastAsia="Adobe Gothic Std B" w:hAnsi="Verdana" w:cs="Arial"/>
          <w:sz w:val="22"/>
        </w:rPr>
        <w:t xml:space="preserve">DIANA MILENA HENAO MORALES </w:t>
      </w:r>
    </w:p>
    <w:p w:rsidR="00F0409E" w:rsidRPr="00A03BE9" w:rsidRDefault="00F0409E" w:rsidP="007129A7">
      <w:pPr>
        <w:pBdr>
          <w:top w:val="single" w:sz="4" w:space="1" w:color="auto"/>
          <w:left w:val="single" w:sz="4" w:space="4" w:color="auto"/>
          <w:bottom w:val="single" w:sz="4" w:space="1" w:color="auto"/>
          <w:right w:val="single" w:sz="4" w:space="4" w:color="auto"/>
        </w:pBdr>
        <w:jc w:val="both"/>
        <w:rPr>
          <w:rFonts w:ascii="Verdana" w:eastAsia="Adobe Gothic Std B" w:hAnsi="Verdana" w:cs="Arial"/>
          <w:sz w:val="22"/>
        </w:rPr>
      </w:pPr>
      <w:r w:rsidRPr="00A03BE9">
        <w:rPr>
          <w:rFonts w:ascii="Verdana" w:eastAsia="Adobe Gothic Std B" w:hAnsi="Verdana" w:cs="Arial"/>
          <w:sz w:val="22"/>
        </w:rPr>
        <w:t xml:space="preserve">Delito: </w:t>
      </w:r>
      <w:r w:rsidRPr="00A03BE9">
        <w:rPr>
          <w:rFonts w:ascii="Verdana" w:eastAsia="Times New Roman" w:hAnsi="Verdana" w:cs="Arial"/>
          <w:bCs/>
          <w:sz w:val="22"/>
          <w:lang w:eastAsia="es-ES"/>
        </w:rPr>
        <w:t>Omisión de agente retenedor o recaudador</w:t>
      </w:r>
    </w:p>
    <w:p w:rsidR="00F0409E" w:rsidRPr="00A03BE9" w:rsidRDefault="00F0409E" w:rsidP="007129A7">
      <w:pPr>
        <w:pBdr>
          <w:top w:val="single" w:sz="4" w:space="1" w:color="auto"/>
          <w:left w:val="single" w:sz="4" w:space="4" w:color="auto"/>
          <w:bottom w:val="single" w:sz="4" w:space="1" w:color="auto"/>
          <w:right w:val="single" w:sz="4" w:space="4" w:color="auto"/>
        </w:pBdr>
        <w:jc w:val="both"/>
        <w:rPr>
          <w:rFonts w:ascii="Verdana" w:eastAsia="Adobe Gothic Std B" w:hAnsi="Verdana" w:cs="Arial"/>
          <w:sz w:val="22"/>
        </w:rPr>
      </w:pPr>
      <w:r w:rsidRPr="00A03BE9">
        <w:rPr>
          <w:rFonts w:ascii="Verdana" w:eastAsia="Adobe Gothic Std B" w:hAnsi="Verdana" w:cs="Arial"/>
          <w:sz w:val="22"/>
        </w:rPr>
        <w:t xml:space="preserve">Rad. # </w:t>
      </w:r>
      <w:r w:rsidR="00206526" w:rsidRPr="00A03BE9">
        <w:rPr>
          <w:rFonts w:ascii="Verdana" w:eastAsia="Adobe Gothic Std B" w:hAnsi="Verdana" w:cs="Arial"/>
          <w:sz w:val="22"/>
        </w:rPr>
        <w:t>6617060000662011011297</w:t>
      </w:r>
      <w:r w:rsidRPr="00A03BE9">
        <w:rPr>
          <w:rFonts w:ascii="Verdana" w:eastAsia="Adobe Gothic Std B" w:hAnsi="Verdana" w:cs="Arial"/>
          <w:sz w:val="22"/>
        </w:rPr>
        <w:t>-01</w:t>
      </w:r>
    </w:p>
    <w:p w:rsidR="00F0409E" w:rsidRPr="00A03BE9" w:rsidRDefault="00F0409E" w:rsidP="007129A7">
      <w:pPr>
        <w:pBdr>
          <w:top w:val="single" w:sz="4" w:space="1" w:color="auto"/>
          <w:left w:val="single" w:sz="4" w:space="4" w:color="auto"/>
          <w:bottom w:val="single" w:sz="4" w:space="1" w:color="auto"/>
          <w:right w:val="single" w:sz="4" w:space="4" w:color="auto"/>
        </w:pBdr>
        <w:jc w:val="both"/>
        <w:rPr>
          <w:rFonts w:ascii="Verdana" w:eastAsia="Adobe Gothic Std B" w:hAnsi="Verdana" w:cs="Arial"/>
          <w:sz w:val="22"/>
        </w:rPr>
      </w:pPr>
      <w:r w:rsidRPr="00A03BE9">
        <w:rPr>
          <w:rFonts w:ascii="Verdana" w:eastAsia="Adobe Gothic Std B" w:hAnsi="Verdana" w:cs="Arial"/>
          <w:sz w:val="22"/>
        </w:rPr>
        <w:t>Asunto: Resuelve recurso de apelación interpuesto por la Defensa en contra de fallo condenatorio</w:t>
      </w:r>
    </w:p>
    <w:p w:rsidR="00F0409E" w:rsidRPr="00A03BE9" w:rsidRDefault="00F0409E" w:rsidP="007129A7">
      <w:pPr>
        <w:pBdr>
          <w:top w:val="single" w:sz="4" w:space="1" w:color="auto"/>
          <w:left w:val="single" w:sz="4" w:space="4" w:color="auto"/>
          <w:bottom w:val="single" w:sz="4" w:space="1" w:color="auto"/>
          <w:right w:val="single" w:sz="4" w:space="4" w:color="auto"/>
        </w:pBdr>
        <w:jc w:val="both"/>
        <w:rPr>
          <w:rFonts w:ascii="Verdana" w:eastAsia="Adobe Gothic Std B" w:hAnsi="Verdana" w:cs="Arial"/>
          <w:sz w:val="22"/>
        </w:rPr>
      </w:pPr>
      <w:r w:rsidRPr="00A03BE9">
        <w:rPr>
          <w:rFonts w:ascii="Verdana" w:eastAsia="Adobe Gothic Std B" w:hAnsi="Verdana" w:cs="Arial"/>
          <w:sz w:val="22"/>
        </w:rPr>
        <w:t>Decisión: Confirma fallo opugnado</w:t>
      </w:r>
    </w:p>
    <w:p w:rsidR="00F0409E" w:rsidRPr="00F0409E" w:rsidRDefault="00F0409E" w:rsidP="000246E4">
      <w:pPr>
        <w:spacing w:line="360" w:lineRule="auto"/>
        <w:jc w:val="both"/>
        <w:rPr>
          <w:rFonts w:ascii="Verdana" w:eastAsia="Adobe Gothic Std B" w:hAnsi="Verdana" w:cs="Arial"/>
        </w:rPr>
      </w:pPr>
    </w:p>
    <w:p w:rsidR="00F0409E" w:rsidRPr="00F0409E" w:rsidRDefault="00F0409E" w:rsidP="00A03BE9">
      <w:pPr>
        <w:jc w:val="center"/>
        <w:rPr>
          <w:rFonts w:ascii="Verdana" w:eastAsia="Times New Roman" w:hAnsi="Verdana" w:cs="Arial"/>
          <w:b/>
        </w:rPr>
      </w:pPr>
      <w:r w:rsidRPr="00F0409E">
        <w:rPr>
          <w:rFonts w:ascii="Verdana" w:eastAsia="Times New Roman" w:hAnsi="Verdana" w:cs="Arial"/>
          <w:b/>
        </w:rPr>
        <w:t>VISTOS:</w:t>
      </w:r>
    </w:p>
    <w:p w:rsidR="00F0409E" w:rsidRPr="00F0409E" w:rsidRDefault="00F0409E" w:rsidP="00A03BE9">
      <w:pPr>
        <w:jc w:val="center"/>
        <w:rPr>
          <w:rFonts w:ascii="Verdana" w:eastAsia="Times New Roman" w:hAnsi="Verdana" w:cs="Arial"/>
          <w:b/>
        </w:rPr>
      </w:pPr>
    </w:p>
    <w:p w:rsidR="00F0409E" w:rsidRPr="00F0409E" w:rsidRDefault="00F0409E" w:rsidP="00272509">
      <w:pPr>
        <w:spacing w:line="276" w:lineRule="auto"/>
        <w:jc w:val="both"/>
        <w:rPr>
          <w:rFonts w:eastAsia="Times New Roman" w:cs="Arial"/>
        </w:rPr>
      </w:pPr>
      <w:r w:rsidRPr="00F0409E">
        <w:rPr>
          <w:rFonts w:eastAsia="Times New Roman" w:cs="Arial"/>
        </w:rPr>
        <w:t xml:space="preserve">Procede la Sala Penal de Decisión del Tribunal Superior de este Distrito Judicial a resolver </w:t>
      </w:r>
      <w:r w:rsidR="00206526" w:rsidRPr="00206526">
        <w:rPr>
          <w:rFonts w:eastAsia="Times New Roman" w:cs="Arial"/>
        </w:rPr>
        <w:t xml:space="preserve">los sendos </w:t>
      </w:r>
      <w:r w:rsidRPr="00F0409E">
        <w:rPr>
          <w:rFonts w:eastAsia="Times New Roman" w:cs="Arial"/>
        </w:rPr>
        <w:t>recurso</w:t>
      </w:r>
      <w:r w:rsidR="00206526" w:rsidRPr="00206526">
        <w:rPr>
          <w:rFonts w:eastAsia="Times New Roman" w:cs="Arial"/>
        </w:rPr>
        <w:t>s</w:t>
      </w:r>
      <w:r w:rsidRPr="00F0409E">
        <w:rPr>
          <w:rFonts w:eastAsia="Times New Roman" w:cs="Arial"/>
        </w:rPr>
        <w:t xml:space="preserve"> de </w:t>
      </w:r>
      <w:r w:rsidR="00206526" w:rsidRPr="00206526">
        <w:rPr>
          <w:rFonts w:eastAsia="Times New Roman" w:cs="Arial"/>
        </w:rPr>
        <w:t xml:space="preserve">alzada </w:t>
      </w:r>
      <w:r w:rsidRPr="00F0409E">
        <w:rPr>
          <w:rFonts w:eastAsia="Times New Roman" w:cs="Arial"/>
        </w:rPr>
        <w:t>interpuesto</w:t>
      </w:r>
      <w:r w:rsidR="0085691E">
        <w:rPr>
          <w:rFonts w:eastAsia="Times New Roman" w:cs="Arial"/>
        </w:rPr>
        <w:t>s</w:t>
      </w:r>
      <w:r w:rsidRPr="00F0409E">
        <w:rPr>
          <w:rFonts w:eastAsia="Times New Roman" w:cs="Arial"/>
        </w:rPr>
        <w:t xml:space="preserve"> </w:t>
      </w:r>
      <w:r w:rsidR="00206526" w:rsidRPr="00206526">
        <w:rPr>
          <w:rFonts w:eastAsia="Times New Roman" w:cs="Arial"/>
        </w:rPr>
        <w:t xml:space="preserve">por el representante del Ministerio Publico y </w:t>
      </w:r>
      <w:r w:rsidRPr="00F0409E">
        <w:rPr>
          <w:rFonts w:eastAsia="Times New Roman" w:cs="Arial"/>
        </w:rPr>
        <w:t>la Defensa en cont</w:t>
      </w:r>
      <w:r w:rsidR="00206526" w:rsidRPr="00206526">
        <w:rPr>
          <w:rFonts w:eastAsia="Times New Roman" w:cs="Arial"/>
        </w:rPr>
        <w:t xml:space="preserve">ra de la sentencia proferida el treinta (30) de abril del 2.015 </w:t>
      </w:r>
      <w:r w:rsidRPr="00F0409E">
        <w:rPr>
          <w:rFonts w:eastAsia="Times New Roman" w:cs="Arial"/>
        </w:rPr>
        <w:t xml:space="preserve">por parte del </w:t>
      </w:r>
      <w:r w:rsidR="00206526" w:rsidRPr="00206526">
        <w:rPr>
          <w:rFonts w:eastAsia="Times New Roman" w:cs="Arial"/>
        </w:rPr>
        <w:t xml:space="preserve">entonces </w:t>
      </w:r>
      <w:r w:rsidRPr="00F0409E">
        <w:rPr>
          <w:rFonts w:eastAsia="Times New Roman" w:cs="Arial"/>
        </w:rPr>
        <w:t xml:space="preserve">Juzgado </w:t>
      </w:r>
      <w:r w:rsidR="00206526" w:rsidRPr="00206526">
        <w:rPr>
          <w:rFonts w:eastAsia="Times New Roman" w:cs="Arial"/>
        </w:rPr>
        <w:t xml:space="preserve">Único </w:t>
      </w:r>
      <w:r w:rsidRPr="00F0409E">
        <w:rPr>
          <w:rFonts w:eastAsia="Times New Roman" w:cs="Arial"/>
        </w:rPr>
        <w:t xml:space="preserve">Penal del Circuito de </w:t>
      </w:r>
      <w:r w:rsidR="00206526" w:rsidRPr="00206526">
        <w:rPr>
          <w:rFonts w:eastAsia="Times New Roman" w:cs="Arial"/>
        </w:rPr>
        <w:t>Descongestión de Dosquebradas</w:t>
      </w:r>
      <w:r w:rsidR="00206526" w:rsidRPr="00206526">
        <w:rPr>
          <w:rStyle w:val="Refdenotaalpie"/>
          <w:rFonts w:eastAsia="Times New Roman" w:cs="Arial"/>
        </w:rPr>
        <w:footnoteReference w:id="1"/>
      </w:r>
      <w:r w:rsidR="00206526" w:rsidRPr="00206526">
        <w:rPr>
          <w:rFonts w:eastAsia="Times New Roman" w:cs="Arial"/>
        </w:rPr>
        <w:t xml:space="preserve">, </w:t>
      </w:r>
      <w:r w:rsidRPr="00F0409E">
        <w:rPr>
          <w:rFonts w:eastAsia="Times New Roman" w:cs="Arial"/>
        </w:rPr>
        <w:t xml:space="preserve">en la cual se declaró la responsabilidad penal de la </w:t>
      </w:r>
      <w:r w:rsidRPr="00A03BE9">
        <w:rPr>
          <w:rFonts w:eastAsia="Times New Roman" w:cs="Arial"/>
          <w:b/>
        </w:rPr>
        <w:t xml:space="preserve">acusada </w:t>
      </w:r>
      <w:r w:rsidR="00206526" w:rsidRPr="00A03BE9">
        <w:rPr>
          <w:rFonts w:ascii="Verdana" w:eastAsia="Adobe Gothic Std B" w:hAnsi="Verdana" w:cs="Arial"/>
          <w:b/>
        </w:rPr>
        <w:t>DIANA MILENA HENAO MORALES</w:t>
      </w:r>
      <w:r w:rsidR="00206526" w:rsidRPr="00F0409E">
        <w:rPr>
          <w:rFonts w:ascii="Verdana" w:eastAsia="Adobe Gothic Std B" w:hAnsi="Verdana" w:cs="Arial"/>
        </w:rPr>
        <w:t xml:space="preserve"> </w:t>
      </w:r>
      <w:r w:rsidRPr="00F0409E">
        <w:rPr>
          <w:rFonts w:eastAsia="Times New Roman" w:cs="Arial"/>
        </w:rPr>
        <w:t xml:space="preserve">por incurrir en la comisión del delito de </w:t>
      </w:r>
      <w:r w:rsidRPr="00F0409E">
        <w:rPr>
          <w:rFonts w:eastAsia="Times New Roman" w:cs="Arial"/>
          <w:bCs/>
        </w:rPr>
        <w:t>Omisión de agente retenedor o recaudador</w:t>
      </w:r>
      <w:r w:rsidRPr="00F0409E">
        <w:rPr>
          <w:rFonts w:eastAsia="Times New Roman" w:cs="Arial"/>
        </w:rPr>
        <w:t xml:space="preserve">. </w:t>
      </w:r>
    </w:p>
    <w:p w:rsidR="00A03BE9" w:rsidRDefault="00A03BE9" w:rsidP="000246E4">
      <w:pPr>
        <w:spacing w:line="276" w:lineRule="auto"/>
        <w:rPr>
          <w:rFonts w:ascii="Verdana" w:eastAsia="Times New Roman" w:hAnsi="Verdana" w:cs="Arial"/>
          <w:b/>
        </w:rPr>
      </w:pPr>
    </w:p>
    <w:p w:rsidR="000246E4" w:rsidRDefault="000246E4" w:rsidP="000246E4">
      <w:pPr>
        <w:spacing w:line="276" w:lineRule="auto"/>
        <w:rPr>
          <w:rFonts w:ascii="Verdana" w:eastAsia="Times New Roman" w:hAnsi="Verdana" w:cs="Arial"/>
          <w:b/>
        </w:rPr>
      </w:pPr>
    </w:p>
    <w:p w:rsidR="000246E4" w:rsidRDefault="000246E4" w:rsidP="000246E4">
      <w:pPr>
        <w:spacing w:line="276" w:lineRule="auto"/>
        <w:rPr>
          <w:rFonts w:ascii="Verdana" w:eastAsia="Times New Roman" w:hAnsi="Verdana" w:cs="Arial"/>
          <w:b/>
        </w:rPr>
      </w:pPr>
    </w:p>
    <w:p w:rsidR="00F0409E" w:rsidRPr="00F0409E" w:rsidRDefault="00F0409E" w:rsidP="00A03BE9">
      <w:pPr>
        <w:jc w:val="center"/>
        <w:rPr>
          <w:rFonts w:ascii="Verdana" w:eastAsia="Times New Roman" w:hAnsi="Verdana" w:cs="Arial"/>
          <w:b/>
        </w:rPr>
      </w:pPr>
      <w:r w:rsidRPr="00F0409E">
        <w:rPr>
          <w:rFonts w:ascii="Verdana" w:eastAsia="Times New Roman" w:hAnsi="Verdana" w:cs="Arial"/>
          <w:b/>
        </w:rPr>
        <w:t>ANTECEDENTES:</w:t>
      </w:r>
    </w:p>
    <w:p w:rsidR="00F0409E" w:rsidRPr="00F0409E" w:rsidRDefault="00F0409E" w:rsidP="00A03BE9">
      <w:pPr>
        <w:jc w:val="center"/>
        <w:rPr>
          <w:rFonts w:ascii="Verdana" w:eastAsia="Times New Roman" w:hAnsi="Verdana" w:cs="Arial"/>
          <w:b/>
        </w:rPr>
      </w:pPr>
    </w:p>
    <w:p w:rsidR="00F0409E" w:rsidRDefault="00206526" w:rsidP="00272509">
      <w:pPr>
        <w:spacing w:line="276" w:lineRule="auto"/>
        <w:jc w:val="both"/>
        <w:rPr>
          <w:rFonts w:ascii="Verdana" w:eastAsia="Adobe Gothic Std B" w:hAnsi="Verdana" w:cs="Arial"/>
        </w:rPr>
      </w:pPr>
      <w:r>
        <w:rPr>
          <w:rFonts w:ascii="Verdana" w:eastAsia="Times New Roman" w:hAnsi="Verdana" w:cs="Arial"/>
        </w:rPr>
        <w:t xml:space="preserve">Acorde </w:t>
      </w:r>
      <w:r w:rsidR="00A03BE9">
        <w:rPr>
          <w:rFonts w:ascii="Verdana" w:eastAsia="Times New Roman" w:hAnsi="Verdana" w:cs="Arial"/>
        </w:rPr>
        <w:t>con</w:t>
      </w:r>
      <w:r>
        <w:rPr>
          <w:rFonts w:ascii="Verdana" w:eastAsia="Times New Roman" w:hAnsi="Verdana" w:cs="Arial"/>
        </w:rPr>
        <w:t xml:space="preserve"> los medios de conocimientos habidos en el proceso, se extrae que la Sra. </w:t>
      </w:r>
      <w:r w:rsidRPr="00206526">
        <w:rPr>
          <w:rFonts w:ascii="Verdana" w:eastAsia="Times New Roman" w:hAnsi="Verdana" w:cs="Arial"/>
        </w:rPr>
        <w:t>DIANA MILENA HENAO MORALES</w:t>
      </w:r>
      <w:r>
        <w:rPr>
          <w:rFonts w:ascii="Verdana" w:eastAsia="Times New Roman" w:hAnsi="Verdana" w:cs="Arial"/>
        </w:rPr>
        <w:t xml:space="preserve"> </w:t>
      </w:r>
      <w:r w:rsidR="00530BBB">
        <w:rPr>
          <w:rFonts w:ascii="Verdana" w:eastAsia="Times New Roman" w:hAnsi="Verdana" w:cs="Arial"/>
        </w:rPr>
        <w:t>aparecía</w:t>
      </w:r>
      <w:r>
        <w:rPr>
          <w:rFonts w:ascii="Verdana" w:eastAsia="Times New Roman" w:hAnsi="Verdana" w:cs="Arial"/>
        </w:rPr>
        <w:t xml:space="preserve"> registrada </w:t>
      </w:r>
      <w:r w:rsidR="00530BBB">
        <w:rPr>
          <w:rFonts w:ascii="Verdana" w:eastAsia="Times New Roman" w:hAnsi="Verdana" w:cs="Arial"/>
        </w:rPr>
        <w:t xml:space="preserve">como comerciante </w:t>
      </w:r>
      <w:r>
        <w:rPr>
          <w:rFonts w:ascii="Verdana" w:eastAsia="Times New Roman" w:hAnsi="Verdana" w:cs="Arial"/>
        </w:rPr>
        <w:t xml:space="preserve">en la </w:t>
      </w:r>
      <w:r w:rsidR="00530BBB">
        <w:rPr>
          <w:rFonts w:ascii="Verdana" w:eastAsia="Times New Roman" w:hAnsi="Verdana" w:cs="Arial"/>
        </w:rPr>
        <w:t>Cámara</w:t>
      </w:r>
      <w:r>
        <w:rPr>
          <w:rFonts w:ascii="Verdana" w:eastAsia="Times New Roman" w:hAnsi="Verdana" w:cs="Arial"/>
        </w:rPr>
        <w:t xml:space="preserve"> de Comercio de</w:t>
      </w:r>
      <w:r w:rsidR="00530BBB">
        <w:rPr>
          <w:rFonts w:ascii="Verdana" w:eastAsia="Times New Roman" w:hAnsi="Verdana" w:cs="Arial"/>
        </w:rPr>
        <w:t>l municipio de</w:t>
      </w:r>
      <w:r>
        <w:rPr>
          <w:rFonts w:ascii="Verdana" w:eastAsia="Times New Roman" w:hAnsi="Verdana" w:cs="Arial"/>
        </w:rPr>
        <w:t xml:space="preserve"> </w:t>
      </w:r>
      <w:r w:rsidR="00530BBB">
        <w:rPr>
          <w:rFonts w:ascii="Verdana" w:eastAsia="Times New Roman" w:hAnsi="Verdana" w:cs="Arial"/>
        </w:rPr>
        <w:t xml:space="preserve">Dosquebradas por figurar como propietaria del establecimiento de comercio denominado </w:t>
      </w:r>
      <w:r w:rsidR="00530BBB">
        <w:rPr>
          <w:rFonts w:ascii="Verdana" w:eastAsia="Times New Roman" w:hAnsi="Verdana" w:cs="Arial"/>
          <w:i/>
        </w:rPr>
        <w:t xml:space="preserve">Deposito de medicamentos y envasadora de drogas blanca «La Paz», y en </w:t>
      </w:r>
      <w:r w:rsidR="00530BBB">
        <w:rPr>
          <w:rFonts w:ascii="Verdana" w:eastAsia="Times New Roman" w:hAnsi="Verdana" w:cs="Arial"/>
        </w:rPr>
        <w:lastRenderedPageBreak/>
        <w:t xml:space="preserve">cumplimiento de tales funciones fungía como agente recaudador del </w:t>
      </w:r>
      <w:r w:rsidR="00530BBB" w:rsidRPr="00530BBB">
        <w:rPr>
          <w:rFonts w:ascii="Verdana" w:eastAsia="Times New Roman" w:hAnsi="Verdana" w:cs="Arial"/>
        </w:rPr>
        <w:t>impuesto sobre el valor agregado</w:t>
      </w:r>
      <w:r w:rsidR="00530BBB">
        <w:rPr>
          <w:rFonts w:ascii="Verdana" w:eastAsia="Times New Roman" w:hAnsi="Verdana" w:cs="Arial"/>
        </w:rPr>
        <w:t xml:space="preserve"> (IVA). De igual forma en el </w:t>
      </w:r>
      <w:r w:rsidR="0084096D">
        <w:rPr>
          <w:rFonts w:ascii="Verdana" w:eastAsia="Times New Roman" w:hAnsi="Verdana" w:cs="Arial"/>
        </w:rPr>
        <w:t xml:space="preserve">escrito de </w:t>
      </w:r>
      <w:r w:rsidR="0085691E">
        <w:rPr>
          <w:rFonts w:ascii="Verdana" w:eastAsia="Times New Roman" w:hAnsi="Verdana" w:cs="Arial"/>
        </w:rPr>
        <w:t>acusación</w:t>
      </w:r>
      <w:r w:rsidR="00530BBB">
        <w:rPr>
          <w:rFonts w:ascii="Verdana" w:eastAsia="Times New Roman" w:hAnsi="Verdana" w:cs="Arial"/>
        </w:rPr>
        <w:t xml:space="preserve"> se dice que la </w:t>
      </w:r>
      <w:r w:rsidR="006A6520">
        <w:rPr>
          <w:rFonts w:ascii="Verdana" w:eastAsia="Times New Roman" w:hAnsi="Verdana" w:cs="Arial"/>
        </w:rPr>
        <w:t xml:space="preserve">Sra. </w:t>
      </w:r>
      <w:r w:rsidR="00530BBB" w:rsidRPr="00530BBB">
        <w:rPr>
          <w:rFonts w:ascii="Verdana" w:eastAsia="Times New Roman" w:hAnsi="Verdana" w:cs="Arial"/>
        </w:rPr>
        <w:t xml:space="preserve">DIANA MILENA HENAO MORALES </w:t>
      </w:r>
      <w:r w:rsidR="00530BBB">
        <w:rPr>
          <w:rFonts w:ascii="Verdana" w:eastAsia="Times New Roman" w:hAnsi="Verdana" w:cs="Arial"/>
        </w:rPr>
        <w:t>no canceló</w:t>
      </w:r>
      <w:r w:rsidR="0085691E">
        <w:rPr>
          <w:rFonts w:ascii="Verdana" w:eastAsia="Times New Roman" w:hAnsi="Verdana" w:cs="Arial"/>
        </w:rPr>
        <w:t>,</w:t>
      </w:r>
      <w:r w:rsidR="00530BBB">
        <w:rPr>
          <w:rFonts w:ascii="Verdana" w:eastAsia="Times New Roman" w:hAnsi="Verdana" w:cs="Arial"/>
        </w:rPr>
        <w:t xml:space="preserve"> dentro de los plazos fijados por el gobierno nacional</w:t>
      </w:r>
      <w:r w:rsidR="0085691E">
        <w:rPr>
          <w:rFonts w:ascii="Verdana" w:eastAsia="Times New Roman" w:hAnsi="Verdana" w:cs="Arial"/>
        </w:rPr>
        <w:t>,</w:t>
      </w:r>
      <w:r w:rsidR="00530BBB">
        <w:rPr>
          <w:rFonts w:ascii="Verdana" w:eastAsia="Times New Roman" w:hAnsi="Verdana" w:cs="Arial"/>
        </w:rPr>
        <w:t xml:space="preserve"> las sumas de dinero recaudadas por concepto del IVA, y que </w:t>
      </w:r>
      <w:r w:rsidR="006A6520">
        <w:rPr>
          <w:rFonts w:ascii="Verdana" w:eastAsia="Times New Roman" w:hAnsi="Verdana" w:cs="Arial"/>
        </w:rPr>
        <w:t>desatendió</w:t>
      </w:r>
      <w:r w:rsidR="00530BBB">
        <w:rPr>
          <w:rFonts w:ascii="Verdana" w:eastAsia="Times New Roman" w:hAnsi="Verdana" w:cs="Arial"/>
        </w:rPr>
        <w:t xml:space="preserve"> los requerimientos que con fines persuasivos </w:t>
      </w:r>
      <w:r w:rsidR="006A6520">
        <w:rPr>
          <w:rFonts w:ascii="Verdana" w:eastAsia="Times New Roman" w:hAnsi="Verdana" w:cs="Arial"/>
        </w:rPr>
        <w:t xml:space="preserve">le fueron remitidos por parte de la </w:t>
      </w:r>
      <w:r w:rsidR="00F0409E" w:rsidRPr="00F0409E">
        <w:rPr>
          <w:rFonts w:ascii="Verdana" w:eastAsia="Adobe Gothic Std B" w:hAnsi="Verdana" w:cs="Arial"/>
          <w:color w:val="FF0000"/>
        </w:rPr>
        <w:t xml:space="preserve"> </w:t>
      </w:r>
      <w:r w:rsidR="006A6520" w:rsidRPr="006A6520">
        <w:rPr>
          <w:rFonts w:ascii="Verdana" w:eastAsia="Adobe Gothic Std B" w:hAnsi="Verdana" w:cs="Arial"/>
        </w:rPr>
        <w:t>Dirección de Impuestos y Aduanas Nacionales</w:t>
      </w:r>
      <w:r w:rsidR="006A6520">
        <w:rPr>
          <w:rFonts w:ascii="Verdana" w:eastAsia="Adobe Gothic Std B" w:hAnsi="Verdana" w:cs="Arial"/>
        </w:rPr>
        <w:t xml:space="preserve"> (DIAN).</w:t>
      </w:r>
    </w:p>
    <w:p w:rsidR="006A6520" w:rsidRDefault="006A6520" w:rsidP="00272509">
      <w:pPr>
        <w:spacing w:line="276" w:lineRule="auto"/>
        <w:jc w:val="both"/>
        <w:rPr>
          <w:rFonts w:ascii="Verdana" w:eastAsia="Adobe Gothic Std B" w:hAnsi="Verdana" w:cs="Arial"/>
        </w:rPr>
      </w:pPr>
    </w:p>
    <w:p w:rsidR="006A6520" w:rsidRDefault="006A6520" w:rsidP="00272509">
      <w:pPr>
        <w:spacing w:line="276" w:lineRule="auto"/>
        <w:jc w:val="both"/>
        <w:rPr>
          <w:rFonts w:ascii="Verdana" w:eastAsia="Adobe Gothic Std B" w:hAnsi="Verdana" w:cs="Arial"/>
        </w:rPr>
      </w:pPr>
      <w:r>
        <w:rPr>
          <w:rFonts w:ascii="Verdana" w:eastAsia="Adobe Gothic Std B" w:hAnsi="Verdana" w:cs="Arial"/>
        </w:rPr>
        <w:t>Finalmente</w:t>
      </w:r>
      <w:r w:rsidR="0084096D">
        <w:rPr>
          <w:rFonts w:ascii="Verdana" w:eastAsia="Adobe Gothic Std B" w:hAnsi="Verdana" w:cs="Arial"/>
        </w:rPr>
        <w:t>, acorde con lo consignado en el libelo acusatorio,</w:t>
      </w:r>
      <w:r>
        <w:rPr>
          <w:rFonts w:ascii="Verdana" w:eastAsia="Adobe Gothic Std B" w:hAnsi="Verdana" w:cs="Arial"/>
        </w:rPr>
        <w:t xml:space="preserve"> se tiene que </w:t>
      </w:r>
      <w:r w:rsidR="0084096D">
        <w:rPr>
          <w:rFonts w:ascii="Verdana" w:eastAsia="Adobe Gothic Std B" w:hAnsi="Verdana" w:cs="Arial"/>
        </w:rPr>
        <w:t>las sumas</w:t>
      </w:r>
      <w:r>
        <w:rPr>
          <w:rFonts w:ascii="Verdana" w:eastAsia="Adobe Gothic Std B" w:hAnsi="Verdana" w:cs="Arial"/>
        </w:rPr>
        <w:t xml:space="preserve"> no canceladas por la denunciada por concepto de los </w:t>
      </w:r>
      <w:r w:rsidR="0084096D">
        <w:rPr>
          <w:rFonts w:ascii="Verdana" w:eastAsia="Adobe Gothic Std B" w:hAnsi="Verdana" w:cs="Arial"/>
        </w:rPr>
        <w:t xml:space="preserve">dineros </w:t>
      </w:r>
      <w:r>
        <w:rPr>
          <w:rFonts w:ascii="Verdana" w:eastAsia="Adobe Gothic Std B" w:hAnsi="Verdana" w:cs="Arial"/>
        </w:rPr>
        <w:t>recaudado</w:t>
      </w:r>
      <w:r w:rsidR="0084096D">
        <w:rPr>
          <w:rFonts w:ascii="Verdana" w:eastAsia="Adobe Gothic Std B" w:hAnsi="Verdana" w:cs="Arial"/>
        </w:rPr>
        <w:t>s</w:t>
      </w:r>
      <w:r>
        <w:rPr>
          <w:rFonts w:ascii="Verdana" w:eastAsia="Adobe Gothic Std B" w:hAnsi="Verdana" w:cs="Arial"/>
        </w:rPr>
        <w:t xml:space="preserve"> </w:t>
      </w:r>
      <w:r w:rsidR="0084096D">
        <w:rPr>
          <w:rFonts w:ascii="Verdana" w:eastAsia="Adobe Gothic Std B" w:hAnsi="Verdana" w:cs="Arial"/>
        </w:rPr>
        <w:t xml:space="preserve">por el </w:t>
      </w:r>
      <w:r>
        <w:rPr>
          <w:rFonts w:ascii="Verdana" w:eastAsia="Adobe Gothic Std B" w:hAnsi="Verdana" w:cs="Arial"/>
        </w:rPr>
        <w:t>IVA a</w:t>
      </w:r>
      <w:r w:rsidR="0085691E">
        <w:rPr>
          <w:rFonts w:ascii="Verdana" w:eastAsia="Adobe Gothic Std B" w:hAnsi="Verdana" w:cs="Arial"/>
        </w:rPr>
        <w:t>scienden al monto de $1.152.000.</w:t>
      </w:r>
      <w:r>
        <w:rPr>
          <w:rFonts w:ascii="Verdana" w:eastAsia="Adobe Gothic Std B" w:hAnsi="Verdana" w:cs="Arial"/>
        </w:rPr>
        <w:t>oo discriminado</w:t>
      </w:r>
      <w:r w:rsidR="0084096D">
        <w:rPr>
          <w:rFonts w:ascii="Verdana" w:eastAsia="Adobe Gothic Std B" w:hAnsi="Verdana" w:cs="Arial"/>
        </w:rPr>
        <w:t>s</w:t>
      </w:r>
      <w:r>
        <w:rPr>
          <w:rFonts w:ascii="Verdana" w:eastAsia="Adobe Gothic Std B" w:hAnsi="Verdana" w:cs="Arial"/>
        </w:rPr>
        <w:t xml:space="preserve"> de la siguiente manera: </w:t>
      </w:r>
    </w:p>
    <w:tbl>
      <w:tblPr>
        <w:tblStyle w:val="Tablaconcuadrcula"/>
        <w:tblpPr w:leftFromText="141" w:rightFromText="141" w:vertAnchor="text" w:horzAnchor="margin" w:tblpXSpec="center" w:tblpY="319"/>
        <w:tblW w:w="0" w:type="auto"/>
        <w:tblLook w:val="04A0" w:firstRow="1" w:lastRow="0" w:firstColumn="1" w:lastColumn="0" w:noHBand="0" w:noVBand="1"/>
      </w:tblPr>
      <w:tblGrid>
        <w:gridCol w:w="1838"/>
        <w:gridCol w:w="2126"/>
        <w:gridCol w:w="2694"/>
      </w:tblGrid>
      <w:tr w:rsidR="00511681" w:rsidRPr="00852F39" w:rsidTr="00A03BE9">
        <w:trPr>
          <w:trHeight w:val="133"/>
        </w:trPr>
        <w:tc>
          <w:tcPr>
            <w:tcW w:w="1838"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AÑO</w:t>
            </w:r>
          </w:p>
        </w:tc>
        <w:tc>
          <w:tcPr>
            <w:tcW w:w="2126"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PERIODO</w:t>
            </w:r>
          </w:p>
        </w:tc>
        <w:tc>
          <w:tcPr>
            <w:tcW w:w="2694" w:type="dxa"/>
          </w:tcPr>
          <w:p w:rsidR="00511681" w:rsidRPr="00A03BE9" w:rsidRDefault="00511681" w:rsidP="00A03BE9">
            <w:pPr>
              <w:spacing w:line="276" w:lineRule="auto"/>
              <w:jc w:val="center"/>
              <w:rPr>
                <w:rFonts w:ascii="Verdana" w:eastAsia="Adobe Gothic Std B" w:hAnsi="Verdana" w:cs="Arial"/>
                <w:sz w:val="24"/>
                <w:szCs w:val="24"/>
              </w:rPr>
            </w:pPr>
            <w:r w:rsidRPr="00852F39">
              <w:rPr>
                <w:rFonts w:ascii="Verdana" w:eastAsia="Adobe Gothic Std B" w:hAnsi="Verdana" w:cs="Arial"/>
                <w:sz w:val="24"/>
                <w:szCs w:val="24"/>
              </w:rPr>
              <w:t>MONTO</w:t>
            </w:r>
          </w:p>
        </w:tc>
      </w:tr>
      <w:tr w:rsidR="00511681" w:rsidRPr="00852F39" w:rsidTr="00A03BE9">
        <w:tc>
          <w:tcPr>
            <w:tcW w:w="1838" w:type="dxa"/>
          </w:tcPr>
          <w:p w:rsidR="00511681" w:rsidRPr="00852F39" w:rsidRDefault="00511681" w:rsidP="00A03BE9">
            <w:pPr>
              <w:pStyle w:val="Sinespaciado"/>
              <w:spacing w:line="276" w:lineRule="auto"/>
              <w:jc w:val="center"/>
              <w:rPr>
                <w:sz w:val="24"/>
                <w:szCs w:val="24"/>
              </w:rPr>
            </w:pPr>
            <w:r w:rsidRPr="00852F39">
              <w:rPr>
                <w:sz w:val="24"/>
                <w:szCs w:val="24"/>
              </w:rPr>
              <w:t>2.007</w:t>
            </w:r>
          </w:p>
        </w:tc>
        <w:tc>
          <w:tcPr>
            <w:tcW w:w="2126"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04</w:t>
            </w:r>
          </w:p>
        </w:tc>
        <w:tc>
          <w:tcPr>
            <w:tcW w:w="2694" w:type="dxa"/>
          </w:tcPr>
          <w:p w:rsidR="00511681" w:rsidRPr="00A03BE9" w:rsidRDefault="00511681" w:rsidP="00A03BE9">
            <w:pPr>
              <w:spacing w:line="276" w:lineRule="auto"/>
              <w:jc w:val="center"/>
              <w:rPr>
                <w:rFonts w:ascii="Verdana" w:eastAsia="Adobe Gothic Std B" w:hAnsi="Verdana" w:cs="Arial"/>
                <w:sz w:val="24"/>
                <w:szCs w:val="24"/>
              </w:rPr>
            </w:pPr>
            <w:r w:rsidRPr="00852F39">
              <w:rPr>
                <w:rFonts w:ascii="Verdana" w:eastAsia="Adobe Gothic Std B" w:hAnsi="Verdana" w:cs="Arial"/>
                <w:sz w:val="24"/>
                <w:szCs w:val="24"/>
              </w:rPr>
              <w:t>$675.000,oo</w:t>
            </w:r>
          </w:p>
        </w:tc>
      </w:tr>
      <w:tr w:rsidR="00511681" w:rsidRPr="00852F39" w:rsidTr="00A03BE9">
        <w:trPr>
          <w:trHeight w:val="383"/>
        </w:trPr>
        <w:tc>
          <w:tcPr>
            <w:tcW w:w="1838" w:type="dxa"/>
          </w:tcPr>
          <w:p w:rsidR="00511681" w:rsidRPr="00852F39" w:rsidRDefault="00511681" w:rsidP="00A03BE9">
            <w:pPr>
              <w:pStyle w:val="Sinespaciado"/>
              <w:spacing w:line="276" w:lineRule="auto"/>
              <w:jc w:val="center"/>
              <w:rPr>
                <w:sz w:val="24"/>
                <w:szCs w:val="24"/>
              </w:rPr>
            </w:pPr>
            <w:r w:rsidRPr="00852F39">
              <w:rPr>
                <w:sz w:val="24"/>
                <w:szCs w:val="24"/>
              </w:rPr>
              <w:t>2.008</w:t>
            </w:r>
          </w:p>
        </w:tc>
        <w:tc>
          <w:tcPr>
            <w:tcW w:w="2126"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01</w:t>
            </w:r>
          </w:p>
        </w:tc>
        <w:tc>
          <w:tcPr>
            <w:tcW w:w="2694"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$417.000,oo</w:t>
            </w:r>
          </w:p>
        </w:tc>
      </w:tr>
      <w:tr w:rsidR="00511681" w:rsidRPr="00852F39" w:rsidTr="00A03BE9">
        <w:trPr>
          <w:trHeight w:val="391"/>
        </w:trPr>
        <w:tc>
          <w:tcPr>
            <w:tcW w:w="1838"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2.010</w:t>
            </w:r>
          </w:p>
        </w:tc>
        <w:tc>
          <w:tcPr>
            <w:tcW w:w="2126" w:type="dxa"/>
          </w:tcPr>
          <w:p w:rsidR="00511681" w:rsidRPr="00852F39" w:rsidRDefault="00511681" w:rsidP="00A03BE9">
            <w:pPr>
              <w:pStyle w:val="Sinespaciado"/>
              <w:spacing w:line="276" w:lineRule="auto"/>
              <w:jc w:val="center"/>
              <w:rPr>
                <w:sz w:val="24"/>
                <w:szCs w:val="24"/>
              </w:rPr>
            </w:pPr>
            <w:r w:rsidRPr="00852F39">
              <w:rPr>
                <w:rFonts w:ascii="Verdana" w:eastAsia="Adobe Gothic Std B" w:hAnsi="Verdana" w:cs="Arial"/>
                <w:sz w:val="24"/>
                <w:szCs w:val="24"/>
              </w:rPr>
              <w:t>03</w:t>
            </w:r>
          </w:p>
        </w:tc>
        <w:tc>
          <w:tcPr>
            <w:tcW w:w="2694" w:type="dxa"/>
          </w:tcPr>
          <w:p w:rsidR="00511681" w:rsidRPr="00A03BE9" w:rsidRDefault="00511681" w:rsidP="00A03BE9">
            <w:pPr>
              <w:spacing w:line="276" w:lineRule="auto"/>
              <w:jc w:val="center"/>
              <w:rPr>
                <w:rFonts w:ascii="Verdana" w:eastAsia="Adobe Gothic Std B" w:hAnsi="Verdana" w:cs="Arial"/>
                <w:color w:val="FF0000"/>
                <w:sz w:val="24"/>
                <w:szCs w:val="24"/>
              </w:rPr>
            </w:pPr>
            <w:r w:rsidRPr="00852F39">
              <w:rPr>
                <w:rFonts w:ascii="Verdana" w:eastAsia="Adobe Gothic Std B" w:hAnsi="Verdana" w:cs="Arial"/>
                <w:sz w:val="24"/>
                <w:szCs w:val="24"/>
              </w:rPr>
              <w:t>$60.000,oo</w:t>
            </w:r>
          </w:p>
        </w:tc>
      </w:tr>
      <w:tr w:rsidR="001C2CF7" w:rsidRPr="00852F39" w:rsidTr="00A03BE9">
        <w:tblPrEx>
          <w:tblCellMar>
            <w:left w:w="70" w:type="dxa"/>
            <w:right w:w="70" w:type="dxa"/>
          </w:tblCellMar>
          <w:tblLook w:val="0000" w:firstRow="0" w:lastRow="0" w:firstColumn="0" w:lastColumn="0" w:noHBand="0" w:noVBand="0"/>
        </w:tblPrEx>
        <w:trPr>
          <w:gridBefore w:val="2"/>
          <w:wBefore w:w="3964" w:type="dxa"/>
          <w:trHeight w:val="294"/>
        </w:trPr>
        <w:tc>
          <w:tcPr>
            <w:tcW w:w="2694" w:type="dxa"/>
          </w:tcPr>
          <w:p w:rsidR="001C2CF7" w:rsidRPr="00852F39" w:rsidRDefault="003D461E" w:rsidP="00A03BE9">
            <w:pPr>
              <w:spacing w:line="276" w:lineRule="auto"/>
              <w:jc w:val="center"/>
              <w:rPr>
                <w:rFonts w:ascii="Verdana" w:eastAsia="Adobe Gothic Std B" w:hAnsi="Verdana" w:cs="Arial"/>
                <w:color w:val="FF0000"/>
                <w:sz w:val="24"/>
                <w:szCs w:val="24"/>
              </w:rPr>
            </w:pPr>
            <w:r w:rsidRPr="00852F39">
              <w:rPr>
                <w:rFonts w:ascii="Verdana" w:eastAsia="Adobe Gothic Std B" w:hAnsi="Verdana" w:cs="Arial"/>
                <w:sz w:val="24"/>
                <w:szCs w:val="24"/>
              </w:rPr>
              <w:t>$1.152.000.oo</w:t>
            </w:r>
          </w:p>
        </w:tc>
      </w:tr>
    </w:tbl>
    <w:p w:rsidR="006A6520" w:rsidRDefault="006A6520" w:rsidP="00272509">
      <w:pPr>
        <w:spacing w:line="276" w:lineRule="auto"/>
        <w:jc w:val="both"/>
        <w:rPr>
          <w:rFonts w:ascii="Verdana" w:eastAsia="Adobe Gothic Std B" w:hAnsi="Verdana" w:cs="Arial"/>
          <w:color w:val="FF0000"/>
        </w:rPr>
      </w:pPr>
    </w:p>
    <w:p w:rsidR="00511681" w:rsidRPr="004C6248" w:rsidRDefault="00511681" w:rsidP="00272509">
      <w:pPr>
        <w:pStyle w:val="Sinespaciado"/>
        <w:spacing w:line="276" w:lineRule="auto"/>
        <w:jc w:val="center"/>
        <w:rPr>
          <w:sz w:val="28"/>
          <w:szCs w:val="28"/>
        </w:rPr>
      </w:pPr>
    </w:p>
    <w:p w:rsidR="00511681" w:rsidRPr="004C6248" w:rsidRDefault="00511681" w:rsidP="00272509">
      <w:pPr>
        <w:pStyle w:val="Sinespaciado"/>
        <w:spacing w:line="276" w:lineRule="auto"/>
        <w:jc w:val="center"/>
        <w:rPr>
          <w:sz w:val="28"/>
          <w:szCs w:val="28"/>
        </w:rPr>
      </w:pPr>
    </w:p>
    <w:p w:rsidR="00511681" w:rsidRPr="004C6248" w:rsidRDefault="00511681" w:rsidP="00272509">
      <w:pPr>
        <w:spacing w:line="276" w:lineRule="auto"/>
        <w:jc w:val="center"/>
        <w:rPr>
          <w:rFonts w:ascii="Verdana" w:eastAsia="Adobe Gothic Std B" w:hAnsi="Verdana" w:cs="Arial"/>
        </w:rPr>
      </w:pPr>
    </w:p>
    <w:p w:rsidR="00511681" w:rsidRDefault="00511681" w:rsidP="00272509">
      <w:pPr>
        <w:spacing w:line="276" w:lineRule="auto"/>
        <w:jc w:val="center"/>
        <w:rPr>
          <w:rFonts w:ascii="Verdana" w:eastAsia="Times New Roman" w:hAnsi="Verdana" w:cs="Arial"/>
          <w:b/>
        </w:rPr>
      </w:pPr>
    </w:p>
    <w:p w:rsidR="00511681" w:rsidRDefault="00511681" w:rsidP="00272509">
      <w:pPr>
        <w:spacing w:line="276" w:lineRule="auto"/>
        <w:jc w:val="center"/>
        <w:rPr>
          <w:rFonts w:ascii="Verdana" w:eastAsia="Times New Roman" w:hAnsi="Verdana" w:cs="Arial"/>
          <w:b/>
        </w:rPr>
      </w:pPr>
    </w:p>
    <w:p w:rsidR="003D461E" w:rsidRDefault="003D461E" w:rsidP="00A03BE9">
      <w:pPr>
        <w:spacing w:line="276" w:lineRule="auto"/>
        <w:rPr>
          <w:rFonts w:ascii="Verdana" w:eastAsia="Times New Roman" w:hAnsi="Verdana" w:cs="Arial"/>
          <w:b/>
        </w:rPr>
      </w:pPr>
    </w:p>
    <w:p w:rsidR="00F0409E" w:rsidRPr="00F0409E" w:rsidRDefault="00F0409E" w:rsidP="00A03BE9">
      <w:pPr>
        <w:jc w:val="center"/>
        <w:rPr>
          <w:rFonts w:ascii="Verdana" w:eastAsia="Times New Roman" w:hAnsi="Verdana" w:cs="Arial"/>
          <w:b/>
        </w:rPr>
      </w:pPr>
      <w:r w:rsidRPr="00F0409E">
        <w:rPr>
          <w:rFonts w:ascii="Verdana" w:eastAsia="Times New Roman" w:hAnsi="Verdana" w:cs="Arial"/>
          <w:b/>
        </w:rPr>
        <w:t>LA ACTUACIÓN PROCESAL:</w:t>
      </w:r>
    </w:p>
    <w:p w:rsidR="00F0409E" w:rsidRPr="00F0409E" w:rsidRDefault="00F0409E" w:rsidP="00A03BE9">
      <w:pPr>
        <w:jc w:val="center"/>
        <w:rPr>
          <w:rFonts w:ascii="Verdana" w:eastAsia="Times New Roman" w:hAnsi="Verdana" w:cs="Arial"/>
          <w:b/>
        </w:rPr>
      </w:pPr>
    </w:p>
    <w:p w:rsidR="00F0409E" w:rsidRPr="0084096D" w:rsidRDefault="00F0409E" w:rsidP="00272509">
      <w:pPr>
        <w:pStyle w:val="Prrafodelista"/>
        <w:numPr>
          <w:ilvl w:val="0"/>
          <w:numId w:val="3"/>
        </w:numPr>
        <w:spacing w:line="276" w:lineRule="auto"/>
        <w:ind w:left="360"/>
        <w:jc w:val="both"/>
        <w:rPr>
          <w:rFonts w:ascii="Verdana" w:eastAsia="Calibri" w:hAnsi="Verdana" w:cs="Arial"/>
        </w:rPr>
      </w:pPr>
      <w:r w:rsidRPr="0084096D">
        <w:rPr>
          <w:rFonts w:ascii="Verdana" w:eastAsia="Times New Roman" w:hAnsi="Verdana" w:cs="Arial"/>
        </w:rPr>
        <w:t>La Fiscalía</w:t>
      </w:r>
      <w:r w:rsidR="00511681" w:rsidRPr="0084096D">
        <w:rPr>
          <w:rFonts w:ascii="Verdana" w:eastAsia="Times New Roman" w:hAnsi="Verdana" w:cs="Arial"/>
        </w:rPr>
        <w:t>,</w:t>
      </w:r>
      <w:r w:rsidRPr="0084096D">
        <w:rPr>
          <w:rFonts w:ascii="Verdana" w:eastAsia="Times New Roman" w:hAnsi="Verdana" w:cs="Arial"/>
        </w:rPr>
        <w:t xml:space="preserve"> en las calendas del </w:t>
      </w:r>
      <w:r w:rsidR="00511681" w:rsidRPr="0084096D">
        <w:rPr>
          <w:rFonts w:ascii="Verdana" w:eastAsia="Times New Roman" w:hAnsi="Verdana" w:cs="Arial"/>
        </w:rPr>
        <w:t xml:space="preserve">9 de mayo del </w:t>
      </w:r>
      <w:r w:rsidRPr="0084096D">
        <w:rPr>
          <w:rFonts w:ascii="Verdana" w:eastAsia="Times New Roman" w:hAnsi="Verdana" w:cs="Arial"/>
        </w:rPr>
        <w:t>201</w:t>
      </w:r>
      <w:r w:rsidR="00511681" w:rsidRPr="0084096D">
        <w:rPr>
          <w:rFonts w:ascii="Verdana" w:eastAsia="Times New Roman" w:hAnsi="Verdana" w:cs="Arial"/>
        </w:rPr>
        <w:t>4,</w:t>
      </w:r>
      <w:r w:rsidRPr="0084096D">
        <w:rPr>
          <w:rFonts w:ascii="Verdana" w:eastAsia="Times New Roman" w:hAnsi="Verdana" w:cs="Arial"/>
        </w:rPr>
        <w:t xml:space="preserve"> ante el Juzgado </w:t>
      </w:r>
      <w:r w:rsidR="00511681" w:rsidRPr="0084096D">
        <w:rPr>
          <w:rFonts w:ascii="Verdana" w:eastAsia="Times New Roman" w:hAnsi="Verdana" w:cs="Arial"/>
        </w:rPr>
        <w:t xml:space="preserve">2º </w:t>
      </w:r>
      <w:r w:rsidRPr="0084096D">
        <w:rPr>
          <w:rFonts w:ascii="Verdana" w:eastAsia="Times New Roman" w:hAnsi="Verdana" w:cs="Arial"/>
        </w:rPr>
        <w:t>Penal Municipal</w:t>
      </w:r>
      <w:r w:rsidR="003D461E" w:rsidRPr="003D461E">
        <w:rPr>
          <w:rFonts w:ascii="Verdana" w:eastAsia="Times New Roman" w:hAnsi="Verdana" w:cs="Arial"/>
        </w:rPr>
        <w:t xml:space="preserve"> </w:t>
      </w:r>
      <w:r w:rsidR="003D461E" w:rsidRPr="0084096D">
        <w:rPr>
          <w:rFonts w:ascii="Verdana" w:eastAsia="Times New Roman" w:hAnsi="Verdana" w:cs="Arial"/>
        </w:rPr>
        <w:t>de Dosquebradas</w:t>
      </w:r>
      <w:r w:rsidR="00511681" w:rsidRPr="0084096D">
        <w:rPr>
          <w:rFonts w:ascii="Verdana" w:eastAsia="Times New Roman" w:hAnsi="Verdana" w:cs="Arial"/>
        </w:rPr>
        <w:t>,</w:t>
      </w:r>
      <w:r w:rsidRPr="0084096D">
        <w:rPr>
          <w:rFonts w:ascii="Verdana" w:eastAsia="Times New Roman" w:hAnsi="Verdana" w:cs="Arial"/>
        </w:rPr>
        <w:t xml:space="preserve"> con Funciones de Control de Garantías</w:t>
      </w:r>
      <w:r w:rsidR="00511681" w:rsidRPr="0084096D">
        <w:rPr>
          <w:rFonts w:ascii="Verdana" w:eastAsia="Times New Roman" w:hAnsi="Verdana" w:cs="Arial"/>
        </w:rPr>
        <w:t>,</w:t>
      </w:r>
      <w:r w:rsidRPr="0084096D">
        <w:rPr>
          <w:rFonts w:ascii="Verdana" w:eastAsia="Times New Roman" w:hAnsi="Verdana" w:cs="Arial"/>
        </w:rPr>
        <w:t xml:space="preserve"> </w:t>
      </w:r>
      <w:r w:rsidR="00511681" w:rsidRPr="0084096D">
        <w:rPr>
          <w:rFonts w:ascii="Verdana" w:eastAsia="Times New Roman" w:hAnsi="Verdana" w:cs="Arial"/>
        </w:rPr>
        <w:t xml:space="preserve">previo </w:t>
      </w:r>
      <w:r w:rsidRPr="0084096D">
        <w:rPr>
          <w:rFonts w:ascii="Verdana" w:eastAsia="Times New Roman" w:hAnsi="Verdana" w:cs="Arial"/>
        </w:rPr>
        <w:t xml:space="preserve">emplazamiento de la señora </w:t>
      </w:r>
      <w:r w:rsidR="00511681" w:rsidRPr="0084096D">
        <w:rPr>
          <w:rFonts w:ascii="Verdana" w:eastAsia="Times New Roman" w:hAnsi="Verdana" w:cs="Arial"/>
        </w:rPr>
        <w:t>DIANA MILENA HENAO MORALES</w:t>
      </w:r>
      <w:r w:rsidRPr="0084096D">
        <w:rPr>
          <w:rFonts w:ascii="Verdana" w:eastAsia="Times New Roman" w:hAnsi="Verdana" w:cs="Arial"/>
        </w:rPr>
        <w:t xml:space="preserve">, </w:t>
      </w:r>
      <w:r w:rsidR="00511681" w:rsidRPr="0084096D">
        <w:rPr>
          <w:rFonts w:ascii="Verdana" w:eastAsia="Times New Roman" w:hAnsi="Verdana" w:cs="Arial"/>
        </w:rPr>
        <w:t xml:space="preserve">solicitó su declaratoria de persona ausente. </w:t>
      </w:r>
      <w:r w:rsidR="00577A52" w:rsidRPr="0084096D">
        <w:rPr>
          <w:rFonts w:ascii="Verdana" w:eastAsia="Times New Roman" w:hAnsi="Verdana" w:cs="Arial"/>
        </w:rPr>
        <w:t>Posteriormente, el 20 de mayo de esa anualidad, ante el Juzgado 1º Penal Municipal</w:t>
      </w:r>
      <w:r w:rsidR="003D461E" w:rsidRPr="003D461E">
        <w:rPr>
          <w:rFonts w:ascii="Verdana" w:eastAsia="Times New Roman" w:hAnsi="Verdana" w:cs="Arial"/>
        </w:rPr>
        <w:t xml:space="preserve"> </w:t>
      </w:r>
      <w:r w:rsidR="003D461E" w:rsidRPr="0084096D">
        <w:rPr>
          <w:rFonts w:ascii="Verdana" w:eastAsia="Times New Roman" w:hAnsi="Verdana" w:cs="Arial"/>
        </w:rPr>
        <w:t>de Dosquebradas</w:t>
      </w:r>
      <w:r w:rsidR="00577A52" w:rsidRPr="0084096D">
        <w:rPr>
          <w:rFonts w:ascii="Verdana" w:eastAsia="Times New Roman" w:hAnsi="Verdana" w:cs="Arial"/>
        </w:rPr>
        <w:t>, con Fun</w:t>
      </w:r>
      <w:r w:rsidR="003D461E">
        <w:rPr>
          <w:rFonts w:ascii="Verdana" w:eastAsia="Times New Roman" w:hAnsi="Verdana" w:cs="Arial"/>
        </w:rPr>
        <w:t>ciones de Control de Garantías,</w:t>
      </w:r>
      <w:r w:rsidR="00577A52" w:rsidRPr="0084096D">
        <w:rPr>
          <w:rFonts w:ascii="Verdana" w:eastAsia="Times New Roman" w:hAnsi="Verdana" w:cs="Arial"/>
        </w:rPr>
        <w:t xml:space="preserve"> por intermedio de apoderado judicial, el Ente Acusador le enrostró cargos a la Sra. DIANA MILENA HENAO MORALES por incurrir en la presunta comisión del delito de omisión de agente retenedor. </w:t>
      </w:r>
    </w:p>
    <w:p w:rsidR="00F0409E" w:rsidRPr="00F0409E" w:rsidRDefault="00F0409E" w:rsidP="00272509">
      <w:pPr>
        <w:spacing w:line="276" w:lineRule="auto"/>
        <w:ind w:left="348"/>
        <w:rPr>
          <w:rFonts w:ascii="Verdana" w:eastAsia="Times New Roman" w:hAnsi="Verdana" w:cs="Arial"/>
          <w:lang w:eastAsia="es-ES"/>
        </w:rPr>
      </w:pPr>
    </w:p>
    <w:p w:rsidR="00577A52" w:rsidRPr="0084096D" w:rsidRDefault="00577A52" w:rsidP="00272509">
      <w:pPr>
        <w:pStyle w:val="Prrafodelista"/>
        <w:numPr>
          <w:ilvl w:val="0"/>
          <w:numId w:val="3"/>
        </w:numPr>
        <w:spacing w:line="276" w:lineRule="auto"/>
        <w:ind w:left="360"/>
        <w:jc w:val="both"/>
        <w:rPr>
          <w:rFonts w:ascii="Verdana" w:eastAsia="Times New Roman" w:hAnsi="Verdana" w:cs="Arial"/>
          <w:lang w:eastAsia="es-ES"/>
        </w:rPr>
      </w:pPr>
      <w:r w:rsidRPr="0084096D">
        <w:rPr>
          <w:rFonts w:ascii="Verdana" w:eastAsia="Times New Roman" w:hAnsi="Verdana" w:cs="Arial"/>
        </w:rPr>
        <w:t xml:space="preserve">El escrito de acusación data del 10 de julio del 2.014, cuyo conocimiento le fue asignado al entonces </w:t>
      </w:r>
      <w:r w:rsidRPr="0084096D">
        <w:rPr>
          <w:rFonts w:eastAsia="Times New Roman" w:cs="Arial"/>
        </w:rPr>
        <w:t xml:space="preserve">Juzgado Único Penal del Circuito de Descongestión de Dosquebradas, ante el cual el 30 de octubre del 2.014 se llevó a cabo la audiencia de formulación de la acusación, vista </w:t>
      </w:r>
      <w:r w:rsidR="003D461E" w:rsidRPr="0084096D">
        <w:rPr>
          <w:rFonts w:eastAsia="Times New Roman" w:cs="Arial"/>
        </w:rPr>
        <w:t>pública</w:t>
      </w:r>
      <w:r w:rsidRPr="0084096D">
        <w:rPr>
          <w:rFonts w:eastAsia="Times New Roman" w:cs="Arial"/>
        </w:rPr>
        <w:t xml:space="preserve"> en la que la </w:t>
      </w:r>
      <w:r w:rsidR="003D461E" w:rsidRPr="0084096D">
        <w:rPr>
          <w:rFonts w:eastAsia="Times New Roman" w:cs="Arial"/>
        </w:rPr>
        <w:t>Fiscalía</w:t>
      </w:r>
      <w:r w:rsidRPr="0084096D">
        <w:rPr>
          <w:rFonts w:eastAsia="Times New Roman" w:cs="Arial"/>
        </w:rPr>
        <w:t xml:space="preserve"> </w:t>
      </w:r>
      <w:r w:rsidR="00F0409E" w:rsidRPr="0084096D">
        <w:rPr>
          <w:rFonts w:ascii="Verdana" w:eastAsia="Times New Roman" w:hAnsi="Verdana" w:cs="Arial"/>
        </w:rPr>
        <w:t xml:space="preserve"> </w:t>
      </w:r>
      <w:r w:rsidRPr="0084096D">
        <w:rPr>
          <w:rFonts w:ascii="Verdana" w:eastAsia="Times New Roman" w:hAnsi="Verdana" w:cs="Arial"/>
        </w:rPr>
        <w:lastRenderedPageBreak/>
        <w:t>le endilgó cargos a la acusada en iguales términos a los establecidos en la audiencia de imputación.</w:t>
      </w:r>
    </w:p>
    <w:p w:rsidR="00577A52" w:rsidRPr="00F0409E" w:rsidRDefault="00577A52" w:rsidP="00272509">
      <w:pPr>
        <w:spacing w:line="276" w:lineRule="auto"/>
        <w:ind w:left="348"/>
        <w:jc w:val="both"/>
        <w:rPr>
          <w:rFonts w:ascii="Verdana" w:eastAsia="Times New Roman" w:hAnsi="Verdana" w:cs="Arial"/>
          <w:lang w:eastAsia="es-ES"/>
        </w:rPr>
      </w:pPr>
    </w:p>
    <w:p w:rsidR="00F0409E" w:rsidRPr="0084096D" w:rsidRDefault="00577A52" w:rsidP="00272509">
      <w:pPr>
        <w:pStyle w:val="Prrafodelista"/>
        <w:numPr>
          <w:ilvl w:val="0"/>
          <w:numId w:val="3"/>
        </w:numPr>
        <w:spacing w:line="276" w:lineRule="auto"/>
        <w:ind w:left="360"/>
        <w:jc w:val="both"/>
        <w:rPr>
          <w:rFonts w:ascii="Verdana" w:eastAsia="Times New Roman" w:hAnsi="Verdana" w:cs="Arial"/>
        </w:rPr>
      </w:pPr>
      <w:r w:rsidRPr="0084096D">
        <w:rPr>
          <w:rFonts w:ascii="Verdana" w:eastAsia="Times New Roman" w:hAnsi="Verdana" w:cs="Arial"/>
        </w:rPr>
        <w:t xml:space="preserve">La audiencia preparatoria se celebró el 16 de enero del 2.015, mientras que la audiencia de juicio oral se </w:t>
      </w:r>
      <w:r w:rsidR="003D461E" w:rsidRPr="0084096D">
        <w:rPr>
          <w:rFonts w:ascii="Verdana" w:eastAsia="Times New Roman" w:hAnsi="Verdana" w:cs="Arial"/>
        </w:rPr>
        <w:t>efectuó</w:t>
      </w:r>
      <w:r w:rsidRPr="0084096D">
        <w:rPr>
          <w:rFonts w:ascii="Verdana" w:eastAsia="Times New Roman" w:hAnsi="Verdana" w:cs="Arial"/>
        </w:rPr>
        <w:t xml:space="preserve"> el 7 de abril de esa anualidad. </w:t>
      </w:r>
      <w:r w:rsidR="00F0409E" w:rsidRPr="0084096D">
        <w:rPr>
          <w:rFonts w:ascii="Verdana" w:eastAsia="Times New Roman" w:hAnsi="Verdana" w:cs="Arial"/>
        </w:rPr>
        <w:t xml:space="preserve">Al finalizar </w:t>
      </w:r>
      <w:r w:rsidRPr="0084096D">
        <w:rPr>
          <w:rFonts w:ascii="Verdana" w:eastAsia="Times New Roman" w:hAnsi="Verdana" w:cs="Arial"/>
        </w:rPr>
        <w:t xml:space="preserve">dicha vista pública, el </w:t>
      </w:r>
      <w:r w:rsidRPr="0084096D">
        <w:rPr>
          <w:rFonts w:ascii="Verdana" w:eastAsia="Times New Roman" w:hAnsi="Verdana" w:cs="Arial"/>
          <w:i/>
        </w:rPr>
        <w:t xml:space="preserve">A quo </w:t>
      </w:r>
      <w:r w:rsidRPr="0084096D">
        <w:rPr>
          <w:rFonts w:ascii="Verdana" w:eastAsia="Times New Roman" w:hAnsi="Verdana" w:cs="Arial"/>
        </w:rPr>
        <w:t>a</w:t>
      </w:r>
      <w:r w:rsidR="00F0409E" w:rsidRPr="0084096D">
        <w:rPr>
          <w:rFonts w:ascii="Verdana" w:eastAsia="Times New Roman" w:hAnsi="Verdana" w:cs="Arial"/>
        </w:rPr>
        <w:t>nunció el sentido del fallo</w:t>
      </w:r>
      <w:r w:rsidRPr="0084096D">
        <w:rPr>
          <w:rFonts w:ascii="Verdana" w:eastAsia="Times New Roman" w:hAnsi="Verdana" w:cs="Arial"/>
        </w:rPr>
        <w:t>, el cual resultó ser</w:t>
      </w:r>
      <w:r w:rsidR="00F0409E" w:rsidRPr="0084096D">
        <w:rPr>
          <w:rFonts w:ascii="Verdana" w:eastAsia="Times New Roman" w:hAnsi="Verdana" w:cs="Arial"/>
        </w:rPr>
        <w:t xml:space="preserve"> de carácter condenatorio. </w:t>
      </w:r>
    </w:p>
    <w:p w:rsidR="00577A52" w:rsidRDefault="00577A52" w:rsidP="00272509">
      <w:pPr>
        <w:spacing w:line="276" w:lineRule="auto"/>
        <w:jc w:val="both"/>
        <w:rPr>
          <w:rFonts w:ascii="Verdana" w:eastAsia="Times New Roman" w:hAnsi="Verdana" w:cs="Arial"/>
        </w:rPr>
      </w:pPr>
    </w:p>
    <w:p w:rsidR="00577A52" w:rsidRPr="0084096D" w:rsidRDefault="00577A52" w:rsidP="00272509">
      <w:pPr>
        <w:pStyle w:val="Prrafodelista"/>
        <w:numPr>
          <w:ilvl w:val="0"/>
          <w:numId w:val="3"/>
        </w:numPr>
        <w:spacing w:line="276" w:lineRule="auto"/>
        <w:ind w:left="360"/>
        <w:jc w:val="both"/>
        <w:rPr>
          <w:rFonts w:ascii="Verdana" w:eastAsia="Times New Roman" w:hAnsi="Verdana" w:cs="Arial"/>
        </w:rPr>
      </w:pPr>
      <w:r w:rsidRPr="0084096D">
        <w:rPr>
          <w:rFonts w:ascii="Verdana" w:eastAsia="Times New Roman" w:hAnsi="Verdana" w:cs="Arial"/>
        </w:rPr>
        <w:t>El 30 de abril del 2.015 se dictó la sentencia</w:t>
      </w:r>
      <w:r w:rsidR="003D461E">
        <w:rPr>
          <w:rFonts w:ascii="Verdana" w:eastAsia="Times New Roman" w:hAnsi="Verdana" w:cs="Arial"/>
        </w:rPr>
        <w:t xml:space="preserve"> en la que declaró el compromiso penal de la acusada</w:t>
      </w:r>
      <w:r w:rsidRPr="0084096D">
        <w:rPr>
          <w:rFonts w:ascii="Verdana" w:eastAsia="Times New Roman" w:hAnsi="Verdana" w:cs="Arial"/>
        </w:rPr>
        <w:t xml:space="preserve">, en contra de la cual </w:t>
      </w:r>
      <w:r w:rsidR="003D461E" w:rsidRPr="0084096D">
        <w:rPr>
          <w:rFonts w:ascii="Verdana" w:eastAsia="Times New Roman" w:hAnsi="Verdana" w:cs="Arial"/>
        </w:rPr>
        <w:t xml:space="preserve">interpusieron sendos recursos de apelación </w:t>
      </w:r>
      <w:r w:rsidR="0084096D" w:rsidRPr="0084096D">
        <w:rPr>
          <w:rFonts w:ascii="Verdana" w:eastAsia="Times New Roman" w:hAnsi="Verdana" w:cs="Arial"/>
        </w:rPr>
        <w:t>tanto el presentante del Ministerio Publico como la Defensa, los cuales fu</w:t>
      </w:r>
      <w:r w:rsidR="003D461E">
        <w:rPr>
          <w:rFonts w:ascii="Verdana" w:eastAsia="Times New Roman" w:hAnsi="Verdana" w:cs="Arial"/>
        </w:rPr>
        <w:t>eron sustentados de manera oral en ese mismo acto.</w:t>
      </w:r>
    </w:p>
    <w:p w:rsidR="00F0409E" w:rsidRPr="00F0409E" w:rsidRDefault="00F0409E" w:rsidP="00272509">
      <w:pPr>
        <w:spacing w:line="276" w:lineRule="auto"/>
        <w:rPr>
          <w:rFonts w:ascii="Verdana" w:eastAsia="Times New Roman" w:hAnsi="Verdana" w:cs="Arial"/>
          <w:lang w:eastAsia="es-ES"/>
        </w:rPr>
      </w:pPr>
    </w:p>
    <w:p w:rsidR="00F0409E" w:rsidRPr="00F0409E" w:rsidRDefault="00F0409E" w:rsidP="00A03BE9">
      <w:pPr>
        <w:jc w:val="center"/>
        <w:rPr>
          <w:rFonts w:ascii="Verdana" w:eastAsia="Times New Roman" w:hAnsi="Verdana" w:cs="Arial"/>
          <w:b/>
        </w:rPr>
      </w:pPr>
      <w:r w:rsidRPr="00F0409E">
        <w:rPr>
          <w:rFonts w:ascii="Verdana" w:eastAsia="Times New Roman" w:hAnsi="Verdana" w:cs="Arial"/>
          <w:b/>
        </w:rPr>
        <w:t>EL FALLO CONFUTADO:</w:t>
      </w:r>
    </w:p>
    <w:p w:rsidR="00F0409E" w:rsidRPr="00F0409E" w:rsidRDefault="00F0409E" w:rsidP="00A03BE9">
      <w:pPr>
        <w:jc w:val="center"/>
        <w:rPr>
          <w:rFonts w:ascii="Verdana" w:eastAsia="Times New Roman" w:hAnsi="Verdana" w:cs="Arial"/>
          <w:b/>
        </w:rPr>
      </w:pPr>
    </w:p>
    <w:p w:rsidR="00F0409E" w:rsidRDefault="00F0409E" w:rsidP="00272509">
      <w:pPr>
        <w:spacing w:line="276" w:lineRule="auto"/>
        <w:jc w:val="both"/>
        <w:rPr>
          <w:rFonts w:ascii="Verdana" w:eastAsia="Times New Roman" w:hAnsi="Verdana" w:cs="Arial"/>
        </w:rPr>
      </w:pPr>
      <w:r w:rsidRPr="00F0409E">
        <w:rPr>
          <w:rFonts w:ascii="Verdana" w:eastAsia="Times New Roman" w:hAnsi="Verdana" w:cs="Arial"/>
        </w:rPr>
        <w:t xml:space="preserve">Se trata de la sentencia proferida </w:t>
      </w:r>
      <w:r w:rsidR="0084096D" w:rsidRPr="0084096D">
        <w:rPr>
          <w:rFonts w:ascii="Verdana" w:eastAsia="Times New Roman" w:hAnsi="Verdana" w:cs="Arial"/>
        </w:rPr>
        <w:t>el treinta (30) de abril del 2.015 por parte del entonces Juzgado Único Penal del Circuito de Descongestión de Dosquebradas, en la cual se declaró la responsabilidad penal de la acusada DIANA MILENA HENAO MORALES por incurrir en la comisión del delito de Omisión de agente retenedor o recaudador.</w:t>
      </w:r>
    </w:p>
    <w:p w:rsidR="0084096D" w:rsidRPr="00F0409E" w:rsidRDefault="0084096D" w:rsidP="00272509">
      <w:pPr>
        <w:spacing w:line="276" w:lineRule="auto"/>
        <w:jc w:val="both"/>
        <w:rPr>
          <w:rFonts w:ascii="Verdana" w:eastAsia="Calibri" w:hAnsi="Verdana" w:cs="Arial"/>
        </w:rPr>
      </w:pPr>
    </w:p>
    <w:p w:rsidR="00F0409E" w:rsidRDefault="00F0409E" w:rsidP="00272509">
      <w:pPr>
        <w:spacing w:line="276" w:lineRule="auto"/>
        <w:jc w:val="both"/>
        <w:rPr>
          <w:rFonts w:ascii="Verdana" w:eastAsia="Calibri" w:hAnsi="Verdana" w:cs="Arial"/>
        </w:rPr>
      </w:pPr>
      <w:r w:rsidRPr="00F0409E">
        <w:rPr>
          <w:rFonts w:ascii="Verdana" w:eastAsia="Calibri" w:hAnsi="Verdana" w:cs="Arial"/>
        </w:rPr>
        <w:t>Como consecuencia de dicha declaratoria de responsabilidad criminal, l</w:t>
      </w:r>
      <w:r w:rsidR="0084096D">
        <w:rPr>
          <w:rFonts w:ascii="Verdana" w:eastAsia="Calibri" w:hAnsi="Verdana" w:cs="Arial"/>
        </w:rPr>
        <w:t xml:space="preserve">a Procesada </w:t>
      </w:r>
      <w:r w:rsidR="003D461E">
        <w:rPr>
          <w:rFonts w:ascii="Verdana" w:eastAsia="Calibri" w:hAnsi="Verdana" w:cs="Arial"/>
        </w:rPr>
        <w:t xml:space="preserve">de marras </w:t>
      </w:r>
      <w:r w:rsidRPr="00F0409E">
        <w:rPr>
          <w:rFonts w:ascii="Verdana" w:eastAsia="Calibri" w:hAnsi="Verdana" w:cs="Arial"/>
        </w:rPr>
        <w:t xml:space="preserve">fue condenada a </w:t>
      </w:r>
      <w:r w:rsidR="0084096D">
        <w:rPr>
          <w:rFonts w:ascii="Verdana" w:eastAsia="Calibri" w:hAnsi="Verdana" w:cs="Arial"/>
        </w:rPr>
        <w:t xml:space="preserve">purgar una </w:t>
      </w:r>
      <w:r w:rsidRPr="00F0409E">
        <w:rPr>
          <w:rFonts w:ascii="Verdana" w:eastAsia="Calibri" w:hAnsi="Verdana" w:cs="Arial"/>
        </w:rPr>
        <w:t>pena de 48 meses de prisión y a pagar una multa equivalente a $</w:t>
      </w:r>
      <w:r w:rsidR="0084096D">
        <w:rPr>
          <w:rFonts w:ascii="Verdana" w:eastAsia="Calibri" w:hAnsi="Verdana" w:cs="Arial"/>
        </w:rPr>
        <w:t>2.304.0</w:t>
      </w:r>
      <w:r w:rsidR="003D461E">
        <w:rPr>
          <w:rFonts w:ascii="Verdana" w:eastAsia="Calibri" w:hAnsi="Verdana" w:cs="Arial"/>
        </w:rPr>
        <w:t>00.</w:t>
      </w:r>
      <w:r w:rsidR="0084096D">
        <w:rPr>
          <w:rFonts w:ascii="Verdana" w:eastAsia="Calibri" w:hAnsi="Verdana" w:cs="Arial"/>
        </w:rPr>
        <w:t>oo</w:t>
      </w:r>
      <w:r w:rsidRPr="00F0409E">
        <w:rPr>
          <w:rFonts w:ascii="Verdana" w:eastAsia="Calibri" w:hAnsi="Verdana" w:cs="Arial"/>
        </w:rPr>
        <w:t>. Asimismo, en dicho fallo</w:t>
      </w:r>
      <w:r w:rsidR="0084096D">
        <w:rPr>
          <w:rFonts w:ascii="Verdana" w:eastAsia="Calibri" w:hAnsi="Verdana" w:cs="Arial"/>
        </w:rPr>
        <w:t xml:space="preserve">, por no cumplirse con los requisitos legales, se le </w:t>
      </w:r>
      <w:r w:rsidRPr="00F0409E">
        <w:rPr>
          <w:rFonts w:ascii="Verdana" w:eastAsia="Calibri" w:hAnsi="Verdana" w:cs="Arial"/>
        </w:rPr>
        <w:t xml:space="preserve">negó el </w:t>
      </w:r>
      <w:r w:rsidR="003D461E">
        <w:rPr>
          <w:rFonts w:ascii="Verdana" w:eastAsia="Calibri" w:hAnsi="Verdana" w:cs="Arial"/>
        </w:rPr>
        <w:t xml:space="preserve">disfrute del </w:t>
      </w:r>
      <w:r w:rsidRPr="00F0409E">
        <w:rPr>
          <w:rFonts w:ascii="Verdana" w:eastAsia="Calibri" w:hAnsi="Verdana" w:cs="Arial"/>
        </w:rPr>
        <w:t>subrogado penal de la suspensión condicional de la ejecución de la</w:t>
      </w:r>
      <w:r w:rsidR="003C6C19">
        <w:rPr>
          <w:rFonts w:ascii="Verdana" w:eastAsia="Calibri" w:hAnsi="Verdana" w:cs="Arial"/>
        </w:rPr>
        <w:t xml:space="preserve"> pena</w:t>
      </w:r>
      <w:r w:rsidR="0084096D">
        <w:rPr>
          <w:rFonts w:ascii="Verdana" w:eastAsia="Calibri" w:hAnsi="Verdana" w:cs="Arial"/>
        </w:rPr>
        <w:t>.</w:t>
      </w:r>
    </w:p>
    <w:p w:rsidR="0084096D" w:rsidRPr="00F0409E" w:rsidRDefault="0084096D" w:rsidP="00272509">
      <w:pPr>
        <w:spacing w:line="276" w:lineRule="auto"/>
        <w:jc w:val="both"/>
        <w:rPr>
          <w:rFonts w:ascii="Verdana" w:eastAsia="Calibri" w:hAnsi="Verdana" w:cs="Arial"/>
        </w:rPr>
      </w:pPr>
    </w:p>
    <w:p w:rsidR="0022121A" w:rsidRDefault="00F0409E" w:rsidP="00272509">
      <w:pPr>
        <w:spacing w:line="276" w:lineRule="auto"/>
        <w:jc w:val="both"/>
        <w:rPr>
          <w:rFonts w:ascii="Verdana" w:eastAsia="Calibri" w:hAnsi="Verdana" w:cs="Arial"/>
        </w:rPr>
      </w:pPr>
      <w:r w:rsidRPr="00F0409E">
        <w:rPr>
          <w:rFonts w:ascii="Verdana" w:eastAsia="Calibri" w:hAnsi="Verdana" w:cs="Arial"/>
        </w:rPr>
        <w:t xml:space="preserve">Los argumentos invocados por el </w:t>
      </w:r>
      <w:r w:rsidR="0084096D">
        <w:rPr>
          <w:rFonts w:ascii="Verdana" w:eastAsia="Calibri" w:hAnsi="Verdana" w:cs="Arial"/>
        </w:rPr>
        <w:t xml:space="preserve">Juzgado </w:t>
      </w:r>
      <w:r w:rsidRPr="00F0409E">
        <w:rPr>
          <w:rFonts w:ascii="Verdana" w:eastAsia="Calibri" w:hAnsi="Verdana" w:cs="Arial"/>
          <w:i/>
        </w:rPr>
        <w:t>A quo</w:t>
      </w:r>
      <w:r w:rsidRPr="00F0409E">
        <w:rPr>
          <w:rFonts w:ascii="Verdana" w:eastAsia="Calibri" w:hAnsi="Verdana" w:cs="Arial"/>
        </w:rPr>
        <w:t xml:space="preserve"> </w:t>
      </w:r>
      <w:r w:rsidR="0022121A">
        <w:rPr>
          <w:rFonts w:ascii="Verdana" w:eastAsia="Calibri" w:hAnsi="Verdana" w:cs="Arial"/>
        </w:rPr>
        <w:t>en la sentencia</w:t>
      </w:r>
      <w:r w:rsidRPr="00F0409E">
        <w:rPr>
          <w:rFonts w:ascii="Verdana" w:eastAsia="Calibri" w:hAnsi="Verdana" w:cs="Arial"/>
        </w:rPr>
        <w:t xml:space="preserve"> opugnad</w:t>
      </w:r>
      <w:r w:rsidR="0022121A">
        <w:rPr>
          <w:rFonts w:ascii="Verdana" w:eastAsia="Calibri" w:hAnsi="Verdana" w:cs="Arial"/>
        </w:rPr>
        <w:t>a</w:t>
      </w:r>
      <w:r w:rsidRPr="00F0409E">
        <w:rPr>
          <w:rFonts w:ascii="Verdana" w:eastAsia="Calibri" w:hAnsi="Verdana" w:cs="Arial"/>
        </w:rPr>
        <w:t xml:space="preserve">, se fundamentaron en </w:t>
      </w:r>
      <w:r w:rsidR="0022121A">
        <w:rPr>
          <w:rFonts w:ascii="Verdana" w:eastAsia="Calibri" w:hAnsi="Verdana" w:cs="Arial"/>
        </w:rPr>
        <w:t>aseverar que las pruebas habidas en el proceso cumplían con los requisitos exigidos por el artículo 381 C.P.P. para poder proferir un fallo de condena en contra de la acusada, por lo siguiente:</w:t>
      </w:r>
    </w:p>
    <w:p w:rsidR="0022121A" w:rsidRDefault="0022121A" w:rsidP="00272509">
      <w:pPr>
        <w:spacing w:line="276" w:lineRule="auto"/>
        <w:jc w:val="both"/>
        <w:rPr>
          <w:rFonts w:ascii="Verdana" w:eastAsia="Calibri" w:hAnsi="Verdana" w:cs="Arial"/>
        </w:rPr>
      </w:pPr>
    </w:p>
    <w:p w:rsidR="0022121A" w:rsidRPr="00703453" w:rsidRDefault="0022121A" w:rsidP="00272509">
      <w:pPr>
        <w:pStyle w:val="Prrafodelista"/>
        <w:numPr>
          <w:ilvl w:val="0"/>
          <w:numId w:val="4"/>
        </w:numPr>
        <w:spacing w:line="276" w:lineRule="auto"/>
        <w:ind w:left="360"/>
        <w:jc w:val="both"/>
        <w:rPr>
          <w:rFonts w:ascii="Verdana" w:eastAsia="Calibri" w:hAnsi="Verdana" w:cs="Arial"/>
        </w:rPr>
      </w:pPr>
      <w:r w:rsidRPr="00703453">
        <w:rPr>
          <w:rFonts w:ascii="Verdana" w:eastAsia="Calibri" w:hAnsi="Verdana" w:cs="Arial"/>
        </w:rPr>
        <w:t xml:space="preserve">Con las pruebas documentales se acreditaba la condición de comerciante de la acusada, y por ende fungía como agente retenedor ya que </w:t>
      </w:r>
      <w:r w:rsidR="003D461E" w:rsidRPr="00703453">
        <w:rPr>
          <w:rFonts w:ascii="Verdana" w:eastAsia="Calibri" w:hAnsi="Verdana" w:cs="Arial"/>
        </w:rPr>
        <w:t>tenía</w:t>
      </w:r>
      <w:r w:rsidRPr="00703453">
        <w:rPr>
          <w:rFonts w:ascii="Verdana" w:eastAsia="Calibri" w:hAnsi="Verdana" w:cs="Arial"/>
        </w:rPr>
        <w:t xml:space="preserve"> la obligación de consignar las sumas de </w:t>
      </w:r>
      <w:r w:rsidRPr="00703453">
        <w:rPr>
          <w:rFonts w:ascii="Verdana" w:eastAsia="Calibri" w:hAnsi="Verdana" w:cs="Arial"/>
        </w:rPr>
        <w:lastRenderedPageBreak/>
        <w:t>dinero recaudadas por concepto del IVA como consecuencia del ejercicio de su actividad mercantil.</w:t>
      </w:r>
    </w:p>
    <w:p w:rsidR="0022121A" w:rsidRDefault="0022121A" w:rsidP="00272509">
      <w:pPr>
        <w:spacing w:line="276" w:lineRule="auto"/>
        <w:jc w:val="both"/>
        <w:rPr>
          <w:rFonts w:ascii="Verdana" w:eastAsia="Calibri" w:hAnsi="Verdana" w:cs="Arial"/>
        </w:rPr>
      </w:pPr>
    </w:p>
    <w:p w:rsidR="00F0409E" w:rsidRPr="00703453" w:rsidRDefault="0022121A" w:rsidP="00272509">
      <w:pPr>
        <w:pStyle w:val="Prrafodelista"/>
        <w:numPr>
          <w:ilvl w:val="0"/>
          <w:numId w:val="4"/>
        </w:numPr>
        <w:spacing w:line="276" w:lineRule="auto"/>
        <w:ind w:left="360"/>
        <w:jc w:val="both"/>
        <w:rPr>
          <w:rFonts w:ascii="Verdana" w:eastAsia="Calibri" w:hAnsi="Verdana" w:cs="Arial"/>
        </w:rPr>
      </w:pPr>
      <w:r w:rsidRPr="00703453">
        <w:rPr>
          <w:rFonts w:ascii="Verdana" w:eastAsia="Calibri" w:hAnsi="Verdana" w:cs="Arial"/>
        </w:rPr>
        <w:t>Con los documentos aportados por el Letrado NAUDIN ANTONIO GÓMEZ, se demostró que la Procesada hizo tres declaraciones bimensuales del impuesto del IVA las cuales fueron presentadas en ceros antes el Banco Agrario</w:t>
      </w:r>
      <w:r w:rsidR="003D461E" w:rsidRPr="00703453">
        <w:rPr>
          <w:rFonts w:ascii="Verdana" w:eastAsia="Calibri" w:hAnsi="Verdana" w:cs="Arial"/>
        </w:rPr>
        <w:t xml:space="preserve"> en las siguientes calendas</w:t>
      </w:r>
      <w:r w:rsidRPr="00703453">
        <w:rPr>
          <w:rFonts w:ascii="Verdana" w:eastAsia="Calibri" w:hAnsi="Verdana" w:cs="Arial"/>
        </w:rPr>
        <w:t xml:space="preserve">: el 20 de septiembre del 2.007, periodo 4/07; </w:t>
      </w:r>
      <w:r w:rsidR="00EE5F73" w:rsidRPr="00703453">
        <w:rPr>
          <w:rFonts w:ascii="Verdana" w:eastAsia="Calibri" w:hAnsi="Verdana" w:cs="Arial"/>
        </w:rPr>
        <w:t xml:space="preserve">el 14 de marzo del 2.008, periodo 3/08, el 15 de julio de 2.010, periodo 3/10. </w:t>
      </w:r>
    </w:p>
    <w:p w:rsidR="00EE5F73" w:rsidRPr="00F0409E" w:rsidRDefault="00EE5F73" w:rsidP="00272509">
      <w:pPr>
        <w:spacing w:line="276" w:lineRule="auto"/>
        <w:jc w:val="both"/>
        <w:rPr>
          <w:rFonts w:ascii="Verdana" w:eastAsia="Calibri" w:hAnsi="Verdana" w:cs="Arial"/>
        </w:rPr>
      </w:pPr>
    </w:p>
    <w:p w:rsidR="00F0409E" w:rsidRDefault="003D461E" w:rsidP="00272509">
      <w:pPr>
        <w:pStyle w:val="Prrafodelista"/>
        <w:numPr>
          <w:ilvl w:val="0"/>
          <w:numId w:val="4"/>
        </w:numPr>
        <w:spacing w:line="276" w:lineRule="auto"/>
        <w:ind w:left="360"/>
        <w:jc w:val="both"/>
        <w:rPr>
          <w:rFonts w:ascii="Verdana" w:eastAsia="Calibri" w:hAnsi="Verdana" w:cs="Arial"/>
        </w:rPr>
      </w:pPr>
      <w:r w:rsidRPr="00703453">
        <w:rPr>
          <w:rFonts w:ascii="Verdana" w:eastAsia="Calibri" w:hAnsi="Verdana" w:cs="Arial"/>
        </w:rPr>
        <w:t xml:space="preserve">El testigo NAUDIN ANTONIO GÓMEZ introdujo al proceso los oficios persuasivos que </w:t>
      </w:r>
      <w:r w:rsidR="004A0618" w:rsidRPr="00703453">
        <w:rPr>
          <w:rFonts w:ascii="Verdana" w:eastAsia="Calibri" w:hAnsi="Verdana" w:cs="Arial"/>
        </w:rPr>
        <w:t xml:space="preserve">la DIAN le </w:t>
      </w:r>
      <w:r w:rsidR="00CF24BC" w:rsidRPr="00703453">
        <w:rPr>
          <w:rFonts w:ascii="Verdana" w:eastAsia="Calibri" w:hAnsi="Verdana" w:cs="Arial"/>
        </w:rPr>
        <w:t>remitió</w:t>
      </w:r>
      <w:r w:rsidR="004A0618" w:rsidRPr="00703453">
        <w:rPr>
          <w:rFonts w:ascii="Verdana" w:eastAsia="Calibri" w:hAnsi="Verdana" w:cs="Arial"/>
        </w:rPr>
        <w:t xml:space="preserve"> a la Procesada como la constancia emanada de la Jefatura de la </w:t>
      </w:r>
      <w:r w:rsidR="00CF24BC" w:rsidRPr="00703453">
        <w:rPr>
          <w:rFonts w:ascii="Verdana" w:eastAsia="Calibri" w:hAnsi="Verdana" w:cs="Arial"/>
        </w:rPr>
        <w:t>División</w:t>
      </w:r>
      <w:r w:rsidR="004A0618" w:rsidRPr="00703453">
        <w:rPr>
          <w:rFonts w:ascii="Verdana" w:eastAsia="Calibri" w:hAnsi="Verdana" w:cs="Arial"/>
        </w:rPr>
        <w:t xml:space="preserve"> de recaudos y cobranzas por valor de $1.152.000.oo </w:t>
      </w:r>
      <w:r w:rsidR="00703453" w:rsidRPr="00703453">
        <w:rPr>
          <w:rFonts w:ascii="Verdana" w:eastAsia="Calibri" w:hAnsi="Verdana" w:cs="Arial"/>
        </w:rPr>
        <w:t xml:space="preserve">con lo cual se demostraba que la acusada no </w:t>
      </w:r>
      <w:r w:rsidR="00CF24BC" w:rsidRPr="00703453">
        <w:rPr>
          <w:rFonts w:ascii="Verdana" w:eastAsia="Calibri" w:hAnsi="Verdana" w:cs="Arial"/>
        </w:rPr>
        <w:t>cumplió</w:t>
      </w:r>
      <w:r w:rsidR="00703453" w:rsidRPr="00703453">
        <w:rPr>
          <w:rFonts w:ascii="Verdana" w:eastAsia="Calibri" w:hAnsi="Verdana" w:cs="Arial"/>
        </w:rPr>
        <w:t xml:space="preserve"> con la obligación de consignar los dineros recaudados por concepto del IVA.</w:t>
      </w:r>
    </w:p>
    <w:p w:rsidR="00852F39" w:rsidRPr="00852F39" w:rsidRDefault="00852F39" w:rsidP="00852F39">
      <w:pPr>
        <w:spacing w:line="276" w:lineRule="auto"/>
        <w:jc w:val="both"/>
        <w:rPr>
          <w:rFonts w:ascii="Verdana" w:eastAsia="Calibri" w:hAnsi="Verdana" w:cs="Arial"/>
        </w:rPr>
      </w:pPr>
    </w:p>
    <w:p w:rsidR="00703453" w:rsidRPr="00703453" w:rsidRDefault="00703453" w:rsidP="00272509">
      <w:pPr>
        <w:pStyle w:val="Prrafodelista"/>
        <w:numPr>
          <w:ilvl w:val="0"/>
          <w:numId w:val="4"/>
        </w:numPr>
        <w:spacing w:line="276" w:lineRule="auto"/>
        <w:ind w:left="360"/>
        <w:jc w:val="both"/>
        <w:rPr>
          <w:rFonts w:ascii="Verdana" w:eastAsia="Calibri" w:hAnsi="Verdana" w:cs="Arial"/>
        </w:rPr>
      </w:pPr>
      <w:r w:rsidRPr="00703453">
        <w:rPr>
          <w:rFonts w:ascii="Verdana" w:eastAsia="Calibri" w:hAnsi="Verdana" w:cs="Arial"/>
        </w:rPr>
        <w:t xml:space="preserve">No </w:t>
      </w:r>
      <w:r w:rsidR="003C6C19">
        <w:rPr>
          <w:rFonts w:ascii="Verdana" w:eastAsia="Calibri" w:hAnsi="Verdana" w:cs="Arial"/>
        </w:rPr>
        <w:t>podía</w:t>
      </w:r>
      <w:r w:rsidRPr="00703453">
        <w:rPr>
          <w:rFonts w:ascii="Verdana" w:eastAsia="Calibri" w:hAnsi="Verdana" w:cs="Arial"/>
        </w:rPr>
        <w:t xml:space="preserve"> ser de recibo la tesis presentada por la Defensa y por el Ministerio Publico para cuestionar la autenticidad de las firmas que a nombre de la Procesada aparecían consignadas en las declaraciones tributarias, debido a que </w:t>
      </w:r>
      <w:r w:rsidR="003C6C19">
        <w:rPr>
          <w:rFonts w:ascii="Verdana" w:eastAsia="Calibri" w:hAnsi="Verdana" w:cs="Arial"/>
        </w:rPr>
        <w:t xml:space="preserve">era a </w:t>
      </w:r>
      <w:r w:rsidRPr="00703453">
        <w:rPr>
          <w:rFonts w:ascii="Verdana" w:eastAsia="Calibri" w:hAnsi="Verdana" w:cs="Arial"/>
        </w:rPr>
        <w:t xml:space="preserve">la Defensa a quien le competía demostrar que la acusada no signó eso documentos, los que se encontraban amparados por la presunción de autenticidad consagrada en el </w:t>
      </w:r>
      <w:r w:rsidR="00E6462E" w:rsidRPr="00703453">
        <w:rPr>
          <w:rFonts w:ascii="Verdana" w:eastAsia="Calibri" w:hAnsi="Verdana" w:cs="Arial"/>
        </w:rPr>
        <w:t>artículo</w:t>
      </w:r>
      <w:r w:rsidRPr="00703453">
        <w:rPr>
          <w:rFonts w:ascii="Verdana" w:eastAsia="Calibri" w:hAnsi="Verdana" w:cs="Arial"/>
        </w:rPr>
        <w:t xml:space="preserve"> 425 C.P.P. debido a que la declaración bimensual del IVA es un documento que ha sido aceptado como </w:t>
      </w:r>
      <w:r w:rsidR="00E6462E" w:rsidRPr="00703453">
        <w:rPr>
          <w:rFonts w:ascii="Verdana" w:eastAsia="Calibri" w:hAnsi="Verdana" w:cs="Arial"/>
        </w:rPr>
        <w:t>válido</w:t>
      </w:r>
      <w:r w:rsidRPr="00703453">
        <w:rPr>
          <w:rFonts w:ascii="Verdana" w:eastAsia="Calibri" w:hAnsi="Verdana" w:cs="Arial"/>
        </w:rPr>
        <w:t xml:space="preserve"> por la comunidad de los comerciantes. </w:t>
      </w:r>
    </w:p>
    <w:p w:rsidR="00F0409E" w:rsidRDefault="00F0409E" w:rsidP="00272509">
      <w:pPr>
        <w:spacing w:line="276" w:lineRule="auto"/>
        <w:jc w:val="both"/>
        <w:rPr>
          <w:rFonts w:ascii="Verdana" w:eastAsia="Calibri" w:hAnsi="Verdana" w:cs="Arial"/>
        </w:rPr>
      </w:pPr>
    </w:p>
    <w:p w:rsidR="000246E4" w:rsidRPr="00F0409E" w:rsidRDefault="000246E4" w:rsidP="00272509">
      <w:pPr>
        <w:spacing w:line="276" w:lineRule="auto"/>
        <w:jc w:val="both"/>
        <w:rPr>
          <w:rFonts w:ascii="Verdana" w:eastAsia="Calibri" w:hAnsi="Verdana" w:cs="Arial"/>
        </w:rPr>
      </w:pPr>
    </w:p>
    <w:p w:rsidR="00F0409E" w:rsidRPr="00F0409E" w:rsidRDefault="00703453" w:rsidP="00A03BE9">
      <w:pPr>
        <w:jc w:val="center"/>
        <w:rPr>
          <w:rFonts w:ascii="Verdana" w:eastAsia="Times New Roman" w:hAnsi="Verdana" w:cs="Arial"/>
          <w:b/>
        </w:rPr>
      </w:pPr>
      <w:r w:rsidRPr="00F0409E">
        <w:rPr>
          <w:rFonts w:ascii="Verdana" w:eastAsia="Times New Roman" w:hAnsi="Verdana" w:cs="Arial"/>
          <w:b/>
        </w:rPr>
        <w:t>LA</w:t>
      </w:r>
      <w:r>
        <w:rPr>
          <w:rFonts w:ascii="Verdana" w:eastAsia="Times New Roman" w:hAnsi="Verdana" w:cs="Arial"/>
          <w:b/>
        </w:rPr>
        <w:t>S ALZADAS:</w:t>
      </w:r>
    </w:p>
    <w:p w:rsidR="00F0409E" w:rsidRPr="00F0409E" w:rsidRDefault="00F0409E" w:rsidP="00A03BE9">
      <w:pPr>
        <w:jc w:val="center"/>
        <w:rPr>
          <w:rFonts w:ascii="Verdana" w:eastAsia="Times New Roman" w:hAnsi="Verdana" w:cs="Arial"/>
          <w:b/>
        </w:rPr>
      </w:pPr>
    </w:p>
    <w:p w:rsidR="00B8156B" w:rsidRDefault="00703453" w:rsidP="00272509">
      <w:pPr>
        <w:spacing w:line="276" w:lineRule="auto"/>
        <w:jc w:val="both"/>
        <w:rPr>
          <w:rFonts w:ascii="Verdana" w:eastAsia="Calibri" w:hAnsi="Verdana" w:cs="Arial"/>
        </w:rPr>
      </w:pPr>
      <w:r w:rsidRPr="00B8156B">
        <w:rPr>
          <w:rFonts w:ascii="Verdana" w:eastAsia="Calibri" w:hAnsi="Verdana" w:cs="Arial"/>
        </w:rPr>
        <w:t xml:space="preserve">Los apelantes en las tesis de las discrepancias propuestas en sus sendas alzadas son coincidentes en aseverar </w:t>
      </w:r>
      <w:r w:rsidR="00B8156B" w:rsidRPr="00B8156B">
        <w:rPr>
          <w:rFonts w:ascii="Verdana" w:eastAsia="Calibri" w:hAnsi="Verdana" w:cs="Arial"/>
        </w:rPr>
        <w:t xml:space="preserve">que en el presente asunto </w:t>
      </w:r>
      <w:r w:rsidR="003C6C19">
        <w:rPr>
          <w:rFonts w:ascii="Verdana" w:eastAsia="Calibri" w:hAnsi="Verdana" w:cs="Arial"/>
        </w:rPr>
        <w:t xml:space="preserve">las pruebas de la </w:t>
      </w:r>
      <w:r w:rsidR="00CF24BC">
        <w:rPr>
          <w:rFonts w:ascii="Verdana" w:eastAsia="Calibri" w:hAnsi="Verdana" w:cs="Arial"/>
        </w:rPr>
        <w:t>Fiscalía</w:t>
      </w:r>
      <w:r w:rsidR="003C6C19">
        <w:rPr>
          <w:rFonts w:ascii="Verdana" w:eastAsia="Calibri" w:hAnsi="Verdana" w:cs="Arial"/>
        </w:rPr>
        <w:t xml:space="preserve"> </w:t>
      </w:r>
      <w:r w:rsidR="00B8156B" w:rsidRPr="00B8156B">
        <w:rPr>
          <w:rFonts w:ascii="Verdana" w:eastAsia="Calibri" w:hAnsi="Verdana" w:cs="Arial"/>
        </w:rPr>
        <w:t xml:space="preserve">no cumplían con </w:t>
      </w:r>
      <w:r w:rsidR="00F0409E" w:rsidRPr="00B8156B">
        <w:rPr>
          <w:rFonts w:ascii="Verdana" w:eastAsia="Calibri" w:hAnsi="Verdana" w:cs="Arial"/>
        </w:rPr>
        <w:t xml:space="preserve">los requisitos </w:t>
      </w:r>
      <w:r w:rsidR="00B8156B" w:rsidRPr="00B8156B">
        <w:rPr>
          <w:rFonts w:ascii="Verdana" w:eastAsia="Calibri" w:hAnsi="Verdana" w:cs="Arial"/>
        </w:rPr>
        <w:t>exigidos por</w:t>
      </w:r>
      <w:r w:rsidR="00F0409E" w:rsidRPr="00B8156B">
        <w:rPr>
          <w:rFonts w:ascii="Verdana" w:eastAsia="Calibri" w:hAnsi="Verdana" w:cs="Arial"/>
        </w:rPr>
        <w:t xml:space="preserve"> el artículo 381 </w:t>
      </w:r>
      <w:r w:rsidR="00B8156B" w:rsidRPr="00B8156B">
        <w:rPr>
          <w:rFonts w:ascii="Verdana" w:eastAsia="Calibri" w:hAnsi="Verdana" w:cs="Arial"/>
        </w:rPr>
        <w:t>C.P.P.</w:t>
      </w:r>
      <w:r w:rsidR="00F0409E" w:rsidRPr="00B8156B">
        <w:rPr>
          <w:rFonts w:ascii="Verdana" w:eastAsia="Calibri" w:hAnsi="Verdana" w:cs="Arial"/>
        </w:rPr>
        <w:t xml:space="preserve"> para proferir un fallo de condena, en especial todo aquello que atañe con la </w:t>
      </w:r>
      <w:r w:rsidR="00B8156B" w:rsidRPr="00B8156B">
        <w:rPr>
          <w:rFonts w:ascii="Verdana" w:eastAsia="Calibri" w:hAnsi="Verdana" w:cs="Arial"/>
        </w:rPr>
        <w:t xml:space="preserve">plena </w:t>
      </w:r>
      <w:r w:rsidR="00F0409E" w:rsidRPr="00B8156B">
        <w:rPr>
          <w:rFonts w:ascii="Verdana" w:eastAsia="Calibri" w:hAnsi="Verdana" w:cs="Arial"/>
        </w:rPr>
        <w:t>acreditación de la responsabilidad criminal endilgada en contra</w:t>
      </w:r>
      <w:r w:rsidR="00B8156B" w:rsidRPr="00B8156B">
        <w:rPr>
          <w:rFonts w:ascii="Verdana" w:eastAsia="Calibri" w:hAnsi="Verdana" w:cs="Arial"/>
        </w:rPr>
        <w:t xml:space="preserve"> de la acusada</w:t>
      </w:r>
      <w:r w:rsidR="00F52AC7">
        <w:rPr>
          <w:rFonts w:ascii="Verdana" w:eastAsia="Calibri" w:hAnsi="Verdana" w:cs="Arial"/>
        </w:rPr>
        <w:t>. En consecuencia</w:t>
      </w:r>
      <w:r w:rsidR="003C6C19">
        <w:rPr>
          <w:rFonts w:ascii="Verdana" w:eastAsia="Calibri" w:hAnsi="Verdana" w:cs="Arial"/>
        </w:rPr>
        <w:t>,</w:t>
      </w:r>
      <w:r w:rsidR="00F52AC7">
        <w:rPr>
          <w:rFonts w:ascii="Verdana" w:eastAsia="Calibri" w:hAnsi="Verdana" w:cs="Arial"/>
        </w:rPr>
        <w:t xml:space="preserve"> los recurrentes solicita</w:t>
      </w:r>
      <w:r w:rsidR="003C6C19">
        <w:rPr>
          <w:rFonts w:ascii="Verdana" w:eastAsia="Calibri" w:hAnsi="Verdana" w:cs="Arial"/>
        </w:rPr>
        <w:t>ron</w:t>
      </w:r>
      <w:r w:rsidR="00F52AC7">
        <w:rPr>
          <w:rFonts w:ascii="Verdana" w:eastAsia="Calibri" w:hAnsi="Verdana" w:cs="Arial"/>
        </w:rPr>
        <w:t xml:space="preserve"> la revocatoria de la sentencia confutada y la subsecuente absolución </w:t>
      </w:r>
      <w:r w:rsidR="00F52AC7">
        <w:rPr>
          <w:rFonts w:ascii="Verdana" w:eastAsia="Calibri" w:hAnsi="Verdana" w:cs="Arial"/>
        </w:rPr>
        <w:lastRenderedPageBreak/>
        <w:t xml:space="preserve">de la Procesada </w:t>
      </w:r>
      <w:r w:rsidR="00F52AC7" w:rsidRPr="00F52AC7">
        <w:rPr>
          <w:rFonts w:ascii="Verdana" w:eastAsia="Calibri" w:hAnsi="Verdana" w:cs="Arial"/>
        </w:rPr>
        <w:t>DIANA MILENA HENAO</w:t>
      </w:r>
      <w:r w:rsidR="00F52AC7">
        <w:rPr>
          <w:rFonts w:ascii="Verdana" w:eastAsia="Calibri" w:hAnsi="Verdana" w:cs="Arial"/>
        </w:rPr>
        <w:t xml:space="preserve"> de los cargos por los cuales fue acusada.</w:t>
      </w:r>
    </w:p>
    <w:p w:rsidR="00B8156B" w:rsidRDefault="00B8156B" w:rsidP="00272509">
      <w:pPr>
        <w:spacing w:line="276" w:lineRule="auto"/>
        <w:jc w:val="both"/>
        <w:rPr>
          <w:rFonts w:ascii="Verdana" w:eastAsia="Calibri" w:hAnsi="Verdana" w:cs="Arial"/>
        </w:rPr>
      </w:pPr>
    </w:p>
    <w:p w:rsidR="00B8156B" w:rsidRDefault="00B8156B" w:rsidP="00272509">
      <w:pPr>
        <w:spacing w:line="276" w:lineRule="auto"/>
        <w:jc w:val="both"/>
        <w:rPr>
          <w:rFonts w:ascii="Verdana" w:eastAsia="Calibri" w:hAnsi="Verdana" w:cs="Arial"/>
        </w:rPr>
      </w:pPr>
      <w:r>
        <w:rPr>
          <w:rFonts w:ascii="Verdana" w:eastAsia="Calibri" w:hAnsi="Verdana" w:cs="Arial"/>
        </w:rPr>
        <w:t>Para demostrar sus sendas inconformidades con lo resuelto y decidido en el fallo opugnado, los recurrentes expusieron los siguientes argumentos:</w:t>
      </w:r>
    </w:p>
    <w:p w:rsidR="00B8156B" w:rsidRDefault="00B8156B" w:rsidP="00272509">
      <w:pPr>
        <w:spacing w:line="276" w:lineRule="auto"/>
        <w:jc w:val="both"/>
        <w:rPr>
          <w:rFonts w:ascii="Verdana" w:eastAsia="Calibri" w:hAnsi="Verdana" w:cs="Arial"/>
        </w:rPr>
      </w:pPr>
    </w:p>
    <w:p w:rsidR="00E6462E" w:rsidRPr="00F52AC7" w:rsidRDefault="00B8156B" w:rsidP="00272509">
      <w:pPr>
        <w:pStyle w:val="Prrafodelista"/>
        <w:numPr>
          <w:ilvl w:val="0"/>
          <w:numId w:val="5"/>
        </w:numPr>
        <w:spacing w:line="276" w:lineRule="auto"/>
        <w:ind w:left="360"/>
        <w:jc w:val="both"/>
        <w:rPr>
          <w:rFonts w:ascii="Verdana" w:eastAsia="Calibri" w:hAnsi="Verdana" w:cs="Arial"/>
        </w:rPr>
      </w:pPr>
      <w:r w:rsidRPr="00F52AC7">
        <w:rPr>
          <w:rFonts w:ascii="Verdana" w:eastAsia="Calibri" w:hAnsi="Verdana" w:cs="Arial"/>
        </w:rPr>
        <w:t>La investigación adelantada por la Fiscalía presentaba una serie de falencias debido a que no se percataron de algo tan evidente como era las incongruencias y disimilitudes habidas en las firmas que a nombre de la acusada figuraban estampadas en las declaraciones tributarias</w:t>
      </w:r>
      <w:r w:rsidR="00E6462E" w:rsidRPr="00F52AC7">
        <w:rPr>
          <w:rFonts w:ascii="Verdana" w:eastAsia="Calibri" w:hAnsi="Verdana" w:cs="Arial"/>
        </w:rPr>
        <w:t>, lo que a su vez ponía en tela de juicio la autenticidad de dicho</w:t>
      </w:r>
      <w:r w:rsidR="00F52AC7" w:rsidRPr="00F52AC7">
        <w:rPr>
          <w:rFonts w:ascii="Verdana" w:eastAsia="Calibri" w:hAnsi="Verdana" w:cs="Arial"/>
        </w:rPr>
        <w:t xml:space="preserve">s </w:t>
      </w:r>
      <w:r w:rsidR="00E6462E" w:rsidRPr="00F52AC7">
        <w:rPr>
          <w:rFonts w:ascii="Verdana" w:eastAsia="Calibri" w:hAnsi="Verdana" w:cs="Arial"/>
        </w:rPr>
        <w:t>documento</w:t>
      </w:r>
      <w:r w:rsidR="00F52AC7" w:rsidRPr="00F52AC7">
        <w:rPr>
          <w:rFonts w:ascii="Verdana" w:eastAsia="Calibri" w:hAnsi="Verdana" w:cs="Arial"/>
        </w:rPr>
        <w:t>s</w:t>
      </w:r>
      <w:r w:rsidRPr="00F52AC7">
        <w:rPr>
          <w:rFonts w:ascii="Verdana" w:eastAsia="Calibri" w:hAnsi="Verdana" w:cs="Arial"/>
        </w:rPr>
        <w:t>. Tal situación obligaba a la Fiscalía, como responsable de la carga probatoria</w:t>
      </w:r>
      <w:r w:rsidR="00272509">
        <w:rPr>
          <w:rFonts w:ascii="Verdana" w:eastAsia="Calibri" w:hAnsi="Verdana" w:cs="Arial"/>
        </w:rPr>
        <w:t>,</w:t>
      </w:r>
      <w:r w:rsidRPr="00F52AC7">
        <w:rPr>
          <w:rFonts w:ascii="Verdana" w:eastAsia="Calibri" w:hAnsi="Verdana" w:cs="Arial"/>
        </w:rPr>
        <w:t xml:space="preserve"> de demostrar los elementos del delito</w:t>
      </w:r>
      <w:r w:rsidR="00272509">
        <w:rPr>
          <w:rFonts w:ascii="Verdana" w:eastAsia="Calibri" w:hAnsi="Verdana" w:cs="Arial"/>
        </w:rPr>
        <w:t xml:space="preserve">, por lo que </w:t>
      </w:r>
      <w:r w:rsidR="00CF24BC">
        <w:rPr>
          <w:rFonts w:ascii="Verdana" w:eastAsia="Calibri" w:hAnsi="Verdana" w:cs="Arial"/>
        </w:rPr>
        <w:t>debió</w:t>
      </w:r>
      <w:r w:rsidR="00272509">
        <w:rPr>
          <w:rFonts w:ascii="Verdana" w:eastAsia="Calibri" w:hAnsi="Verdana" w:cs="Arial"/>
        </w:rPr>
        <w:t xml:space="preserve"> ejercer</w:t>
      </w:r>
      <w:r w:rsidRPr="00F52AC7">
        <w:rPr>
          <w:rFonts w:ascii="Verdana" w:eastAsia="Calibri" w:hAnsi="Verdana" w:cs="Arial"/>
        </w:rPr>
        <w:t xml:space="preserve"> todas las diligencias del caso a fin de verificar si las firmas que aparecían en esos documentos correspondían a la signatura de la acusada o si por el contrario tales documentos fueron firmados por otra persona</w:t>
      </w:r>
      <w:r w:rsidR="00E6462E" w:rsidRPr="00F52AC7">
        <w:rPr>
          <w:rFonts w:ascii="Verdana" w:eastAsia="Calibri" w:hAnsi="Verdana" w:cs="Arial"/>
        </w:rPr>
        <w:t xml:space="preserve">; y como quiera que la </w:t>
      </w:r>
      <w:r w:rsidR="00CF24BC" w:rsidRPr="00F52AC7">
        <w:rPr>
          <w:rFonts w:ascii="Verdana" w:eastAsia="Calibri" w:hAnsi="Verdana" w:cs="Arial"/>
        </w:rPr>
        <w:t>Fiscalía</w:t>
      </w:r>
      <w:r w:rsidR="00E6462E" w:rsidRPr="00F52AC7">
        <w:rPr>
          <w:rFonts w:ascii="Verdana" w:eastAsia="Calibri" w:hAnsi="Verdana" w:cs="Arial"/>
        </w:rPr>
        <w:t xml:space="preserve"> no cumplió con dicha carga probatoria, es obvio no podía salir avante con sus pretensiones punitivas</w:t>
      </w:r>
      <w:r w:rsidRPr="00F52AC7">
        <w:rPr>
          <w:rFonts w:ascii="Verdana" w:eastAsia="Calibri" w:hAnsi="Verdana" w:cs="Arial"/>
        </w:rPr>
        <w:t xml:space="preserve">. </w:t>
      </w:r>
    </w:p>
    <w:p w:rsidR="00E6462E" w:rsidRDefault="00E6462E" w:rsidP="00272509">
      <w:pPr>
        <w:spacing w:line="276" w:lineRule="auto"/>
        <w:jc w:val="both"/>
        <w:rPr>
          <w:rFonts w:ascii="Verdana" w:eastAsia="Calibri" w:hAnsi="Verdana" w:cs="Arial"/>
        </w:rPr>
      </w:pPr>
    </w:p>
    <w:p w:rsidR="00F0409E" w:rsidRPr="000246E4" w:rsidRDefault="00E6462E" w:rsidP="00272509">
      <w:pPr>
        <w:pStyle w:val="Prrafodelista"/>
        <w:numPr>
          <w:ilvl w:val="0"/>
          <w:numId w:val="5"/>
        </w:numPr>
        <w:spacing w:line="276" w:lineRule="auto"/>
        <w:ind w:left="360"/>
        <w:jc w:val="both"/>
        <w:rPr>
          <w:rFonts w:ascii="Verdana" w:eastAsia="Calibri" w:hAnsi="Verdana" w:cs="Arial"/>
        </w:rPr>
      </w:pPr>
      <w:r w:rsidRPr="00F52AC7">
        <w:rPr>
          <w:rFonts w:ascii="Verdana" w:eastAsia="Calibri" w:hAnsi="Verdana" w:cs="Arial"/>
        </w:rPr>
        <w:t>En el fallo se malinterpretó el  principio de confianza para de esa forma anclar la tesis relacionada con la presunción de autenticidad que dimanaba de las firmas que a nombre de la Procesada aparecían en las declaraciones tributarias, lo cual</w:t>
      </w:r>
      <w:r w:rsidR="00272509">
        <w:rPr>
          <w:rFonts w:ascii="Verdana" w:eastAsia="Calibri" w:hAnsi="Verdana" w:cs="Arial"/>
        </w:rPr>
        <w:t>,</w:t>
      </w:r>
      <w:r w:rsidRPr="00F52AC7">
        <w:rPr>
          <w:rFonts w:ascii="Verdana" w:eastAsia="Calibri" w:hAnsi="Verdana" w:cs="Arial"/>
        </w:rPr>
        <w:t xml:space="preserve"> </w:t>
      </w:r>
      <w:r w:rsidR="00272509" w:rsidRPr="00F52AC7">
        <w:rPr>
          <w:rFonts w:ascii="Verdana" w:eastAsia="Calibri" w:hAnsi="Verdana" w:cs="Arial"/>
        </w:rPr>
        <w:t>en sentir de los apelantes</w:t>
      </w:r>
      <w:r w:rsidR="00272509">
        <w:rPr>
          <w:rFonts w:ascii="Verdana" w:eastAsia="Calibri" w:hAnsi="Verdana" w:cs="Arial"/>
        </w:rPr>
        <w:t>,</w:t>
      </w:r>
      <w:r w:rsidR="00272509" w:rsidRPr="00F52AC7">
        <w:rPr>
          <w:rFonts w:ascii="Verdana" w:eastAsia="Calibri" w:hAnsi="Verdana" w:cs="Arial"/>
        </w:rPr>
        <w:t xml:space="preserve"> </w:t>
      </w:r>
      <w:r w:rsidRPr="00F52AC7">
        <w:rPr>
          <w:rFonts w:ascii="Verdana" w:eastAsia="Calibri" w:hAnsi="Verdana" w:cs="Arial"/>
        </w:rPr>
        <w:t xml:space="preserve">es erróneo debido a que el principio de confianza se utiliza dentro del escenario de la </w:t>
      </w:r>
      <w:r w:rsidR="00CF24BC" w:rsidRPr="00F52AC7">
        <w:rPr>
          <w:rFonts w:ascii="Verdana" w:eastAsia="Calibri" w:hAnsi="Verdana" w:cs="Arial"/>
        </w:rPr>
        <w:t>imputación</w:t>
      </w:r>
      <w:r w:rsidRPr="00F52AC7">
        <w:rPr>
          <w:rFonts w:ascii="Verdana" w:eastAsia="Calibri" w:hAnsi="Verdana" w:cs="Arial"/>
        </w:rPr>
        <w:t xml:space="preserve"> objetiva para verificar si una persona detenta o no la condición de garante.</w:t>
      </w:r>
    </w:p>
    <w:p w:rsidR="00F0409E" w:rsidRPr="00F52AC7" w:rsidRDefault="00E6462E" w:rsidP="00272509">
      <w:pPr>
        <w:pStyle w:val="Prrafodelista"/>
        <w:numPr>
          <w:ilvl w:val="0"/>
          <w:numId w:val="5"/>
        </w:numPr>
        <w:spacing w:line="276" w:lineRule="auto"/>
        <w:ind w:left="360"/>
        <w:jc w:val="both"/>
        <w:rPr>
          <w:rFonts w:ascii="Verdana" w:eastAsia="Calibri" w:hAnsi="Verdana" w:cs="Arial"/>
        </w:rPr>
      </w:pPr>
      <w:r w:rsidRPr="00F52AC7">
        <w:rPr>
          <w:rFonts w:ascii="Verdana" w:eastAsia="Calibri" w:hAnsi="Verdana" w:cs="Arial"/>
        </w:rPr>
        <w:t>Con las pruebas aportadas en el proceso</w:t>
      </w:r>
      <w:r w:rsidR="00F52AC7" w:rsidRPr="00F52AC7">
        <w:rPr>
          <w:rFonts w:ascii="Verdana" w:eastAsia="Calibri" w:hAnsi="Verdana" w:cs="Arial"/>
        </w:rPr>
        <w:t xml:space="preserve"> en </w:t>
      </w:r>
      <w:r w:rsidR="00CF24BC" w:rsidRPr="00F52AC7">
        <w:rPr>
          <w:rFonts w:ascii="Verdana" w:eastAsia="Calibri" w:hAnsi="Verdana" w:cs="Arial"/>
        </w:rPr>
        <w:t>ningún</w:t>
      </w:r>
      <w:r w:rsidR="00F52AC7" w:rsidRPr="00F52AC7">
        <w:rPr>
          <w:rFonts w:ascii="Verdana" w:eastAsia="Calibri" w:hAnsi="Verdana" w:cs="Arial"/>
        </w:rPr>
        <w:t xml:space="preserve"> momento se acreditó que la Procesad</w:t>
      </w:r>
      <w:r w:rsidR="00272509">
        <w:rPr>
          <w:rFonts w:ascii="Verdana" w:eastAsia="Calibri" w:hAnsi="Verdana" w:cs="Arial"/>
        </w:rPr>
        <w:t>a</w:t>
      </w:r>
      <w:r w:rsidR="00F52AC7" w:rsidRPr="00F52AC7">
        <w:rPr>
          <w:rFonts w:ascii="Verdana" w:eastAsia="Calibri" w:hAnsi="Verdana" w:cs="Arial"/>
        </w:rPr>
        <w:t xml:space="preserve"> conocía de la existencia de la obligación tributaria cuyo pago le era exigido por la DIAN, </w:t>
      </w:r>
      <w:r w:rsidR="00CF24BC" w:rsidRPr="00F52AC7">
        <w:rPr>
          <w:rFonts w:ascii="Verdana" w:eastAsia="Calibri" w:hAnsi="Verdana" w:cs="Arial"/>
        </w:rPr>
        <w:t>razón</w:t>
      </w:r>
      <w:r w:rsidR="00F52AC7" w:rsidRPr="00F52AC7">
        <w:rPr>
          <w:rFonts w:ascii="Verdana" w:eastAsia="Calibri" w:hAnsi="Verdana" w:cs="Arial"/>
        </w:rPr>
        <w:t xml:space="preserve"> por la que se puede decir que en el presente asunto no se demostró el comportamiento doloso de la conducta punible por el cual la acusada resultó llamada a juicio.  </w:t>
      </w:r>
    </w:p>
    <w:p w:rsidR="00F0409E" w:rsidRPr="00F0409E" w:rsidRDefault="00F0409E" w:rsidP="00A03BE9">
      <w:pPr>
        <w:spacing w:line="360" w:lineRule="auto"/>
        <w:jc w:val="both"/>
        <w:rPr>
          <w:rFonts w:ascii="Verdana" w:eastAsia="Calibri" w:hAnsi="Verdana" w:cs="Arial"/>
        </w:rPr>
      </w:pPr>
    </w:p>
    <w:p w:rsidR="00F0409E" w:rsidRPr="00F0409E" w:rsidRDefault="00F0409E" w:rsidP="00A03BE9">
      <w:pPr>
        <w:jc w:val="center"/>
        <w:rPr>
          <w:rFonts w:ascii="Verdana" w:eastAsia="Calibri" w:hAnsi="Verdana" w:cs="Arial"/>
          <w:b/>
        </w:rPr>
      </w:pPr>
      <w:r w:rsidRPr="00F0409E">
        <w:rPr>
          <w:rFonts w:ascii="Verdana" w:eastAsia="Calibri" w:hAnsi="Verdana" w:cs="Arial"/>
          <w:b/>
        </w:rPr>
        <w:t>LAS RÉPLICAS:</w:t>
      </w:r>
    </w:p>
    <w:p w:rsidR="00F0409E" w:rsidRPr="00F0409E" w:rsidRDefault="00F0409E" w:rsidP="00A03BE9">
      <w:pPr>
        <w:jc w:val="center"/>
        <w:rPr>
          <w:rFonts w:ascii="Verdana" w:eastAsia="Calibri" w:hAnsi="Verdana" w:cs="Arial"/>
          <w:b/>
        </w:rPr>
      </w:pPr>
    </w:p>
    <w:p w:rsidR="00F0409E" w:rsidRPr="00F0409E" w:rsidRDefault="00F0409E" w:rsidP="00272509">
      <w:pPr>
        <w:spacing w:line="276" w:lineRule="auto"/>
        <w:jc w:val="both"/>
        <w:rPr>
          <w:rFonts w:ascii="Verdana" w:eastAsia="Calibri" w:hAnsi="Verdana" w:cs="Arial"/>
        </w:rPr>
      </w:pPr>
      <w:r w:rsidRPr="00F0409E">
        <w:rPr>
          <w:rFonts w:ascii="Verdana" w:eastAsia="Calibri" w:hAnsi="Verdana" w:cs="Arial"/>
        </w:rPr>
        <w:lastRenderedPageBreak/>
        <w:t>Durante el traslado para alegar como no recurrente</w:t>
      </w:r>
      <w:r w:rsidR="00F52AC7">
        <w:rPr>
          <w:rFonts w:ascii="Verdana" w:eastAsia="Calibri" w:hAnsi="Verdana" w:cs="Arial"/>
        </w:rPr>
        <w:t>s</w:t>
      </w:r>
      <w:r w:rsidRPr="00F0409E">
        <w:rPr>
          <w:rFonts w:ascii="Verdana" w:eastAsia="Calibri" w:hAnsi="Verdana" w:cs="Arial"/>
        </w:rPr>
        <w:t xml:space="preserve">, </w:t>
      </w:r>
      <w:r w:rsidR="00F52AC7">
        <w:rPr>
          <w:rFonts w:ascii="Verdana" w:eastAsia="Calibri" w:hAnsi="Verdana" w:cs="Arial"/>
        </w:rPr>
        <w:t xml:space="preserve">tanto </w:t>
      </w:r>
      <w:r w:rsidRPr="00F0409E">
        <w:rPr>
          <w:rFonts w:ascii="Verdana" w:eastAsia="Calibri" w:hAnsi="Verdana" w:cs="Arial"/>
        </w:rPr>
        <w:t>la apoderada judicial de la</w:t>
      </w:r>
      <w:r w:rsidR="00F52AC7">
        <w:rPr>
          <w:rFonts w:ascii="Verdana" w:eastAsia="Calibri" w:hAnsi="Verdana" w:cs="Arial"/>
        </w:rPr>
        <w:t xml:space="preserve"> víctima como la </w:t>
      </w:r>
      <w:r w:rsidR="00CF24BC">
        <w:rPr>
          <w:rFonts w:ascii="Verdana" w:eastAsia="Calibri" w:hAnsi="Verdana" w:cs="Arial"/>
        </w:rPr>
        <w:t>Fiscalía</w:t>
      </w:r>
      <w:r w:rsidRPr="00F0409E">
        <w:rPr>
          <w:rFonts w:ascii="Verdana" w:eastAsia="Calibri" w:hAnsi="Verdana" w:cs="Arial"/>
        </w:rPr>
        <w:t xml:space="preserve"> </w:t>
      </w:r>
      <w:r w:rsidR="00F52AC7">
        <w:rPr>
          <w:rFonts w:ascii="Verdana" w:eastAsia="Calibri" w:hAnsi="Verdana" w:cs="Arial"/>
        </w:rPr>
        <w:t>se opusieron a las pretensiones de los apelantes y en consecuencia solicitaron que el fallo opugnado sea confirmado con base en los siguientes argumentos:</w:t>
      </w:r>
    </w:p>
    <w:p w:rsidR="00F0409E" w:rsidRPr="00F0409E" w:rsidRDefault="00F0409E" w:rsidP="00272509">
      <w:pPr>
        <w:spacing w:line="276" w:lineRule="auto"/>
        <w:jc w:val="both"/>
        <w:rPr>
          <w:rFonts w:ascii="Verdana" w:eastAsia="Calibri" w:hAnsi="Verdana" w:cs="Arial"/>
        </w:rPr>
      </w:pPr>
    </w:p>
    <w:p w:rsidR="00F562A4" w:rsidRDefault="00F52AC7" w:rsidP="00272509">
      <w:pPr>
        <w:pStyle w:val="Prrafodelista"/>
        <w:numPr>
          <w:ilvl w:val="0"/>
          <w:numId w:val="6"/>
        </w:numPr>
        <w:spacing w:line="276" w:lineRule="auto"/>
        <w:ind w:left="360"/>
        <w:jc w:val="both"/>
        <w:rPr>
          <w:rFonts w:ascii="Verdana" w:eastAsia="Calibri" w:hAnsi="Verdana" w:cs="Arial"/>
        </w:rPr>
      </w:pPr>
      <w:r w:rsidRPr="00F562A4">
        <w:rPr>
          <w:rFonts w:ascii="Verdana" w:eastAsia="Calibri" w:hAnsi="Verdana" w:cs="Arial"/>
        </w:rPr>
        <w:t xml:space="preserve">El Ministerio Publico con la aptitud asumida en el proceso se </w:t>
      </w:r>
      <w:r w:rsidR="00272509">
        <w:rPr>
          <w:rFonts w:ascii="Verdana" w:eastAsia="Calibri" w:hAnsi="Verdana" w:cs="Arial"/>
        </w:rPr>
        <w:t>extralimitó</w:t>
      </w:r>
      <w:r w:rsidRPr="00F562A4">
        <w:rPr>
          <w:rFonts w:ascii="Verdana" w:eastAsia="Calibri" w:hAnsi="Verdana" w:cs="Arial"/>
        </w:rPr>
        <w:t xml:space="preserve"> en el cumplimiento de su rol, debido a que </w:t>
      </w:r>
      <w:r w:rsidR="00272509">
        <w:rPr>
          <w:rFonts w:ascii="Verdana" w:eastAsia="Calibri" w:hAnsi="Verdana" w:cs="Arial"/>
        </w:rPr>
        <w:t>estaba</w:t>
      </w:r>
      <w:r w:rsidRPr="00F562A4">
        <w:rPr>
          <w:rFonts w:ascii="Verdana" w:eastAsia="Calibri" w:hAnsi="Verdana" w:cs="Arial"/>
        </w:rPr>
        <w:t xml:space="preserve"> actuando como si fuera una parte </w:t>
      </w:r>
      <w:r w:rsidR="00F562A4" w:rsidRPr="00F562A4">
        <w:rPr>
          <w:rFonts w:ascii="Verdana" w:eastAsia="Calibri" w:hAnsi="Verdana" w:cs="Arial"/>
        </w:rPr>
        <w:t xml:space="preserve">más, lo cual ha creado un desequilibrio que para nada </w:t>
      </w:r>
      <w:r w:rsidR="00272509">
        <w:rPr>
          <w:rFonts w:ascii="Verdana" w:eastAsia="Calibri" w:hAnsi="Verdana" w:cs="Arial"/>
        </w:rPr>
        <w:t>s</w:t>
      </w:r>
      <w:r w:rsidR="00F562A4" w:rsidRPr="00F562A4">
        <w:rPr>
          <w:rFonts w:ascii="Verdana" w:eastAsia="Calibri" w:hAnsi="Verdana" w:cs="Arial"/>
        </w:rPr>
        <w:t xml:space="preserve">e conduele con los preceptos del principio de igualdad de armas. </w:t>
      </w:r>
    </w:p>
    <w:p w:rsidR="00A03BE9" w:rsidRPr="00F562A4" w:rsidRDefault="00A03BE9" w:rsidP="00A03BE9">
      <w:pPr>
        <w:pStyle w:val="Prrafodelista"/>
        <w:spacing w:line="276" w:lineRule="auto"/>
        <w:ind w:left="360"/>
        <w:jc w:val="both"/>
        <w:rPr>
          <w:rFonts w:ascii="Verdana" w:eastAsia="Calibri" w:hAnsi="Verdana" w:cs="Arial"/>
        </w:rPr>
      </w:pPr>
    </w:p>
    <w:p w:rsidR="00F562A4" w:rsidRPr="00F562A4" w:rsidRDefault="00F562A4" w:rsidP="00272509">
      <w:pPr>
        <w:pStyle w:val="Prrafodelista"/>
        <w:numPr>
          <w:ilvl w:val="0"/>
          <w:numId w:val="6"/>
        </w:numPr>
        <w:spacing w:line="276" w:lineRule="auto"/>
        <w:ind w:left="360"/>
        <w:jc w:val="both"/>
        <w:rPr>
          <w:rFonts w:ascii="Verdana" w:eastAsia="Calibri" w:hAnsi="Verdana" w:cs="Arial"/>
        </w:rPr>
      </w:pPr>
      <w:r w:rsidRPr="00F562A4">
        <w:rPr>
          <w:rFonts w:ascii="Verdana" w:eastAsia="Calibri" w:hAnsi="Verdana" w:cs="Arial"/>
        </w:rPr>
        <w:t xml:space="preserve">A la </w:t>
      </w:r>
      <w:r w:rsidR="00CF24BC" w:rsidRPr="00F562A4">
        <w:rPr>
          <w:rFonts w:ascii="Verdana" w:eastAsia="Calibri" w:hAnsi="Verdana" w:cs="Arial"/>
        </w:rPr>
        <w:t>Fiscalía</w:t>
      </w:r>
      <w:r w:rsidRPr="00F562A4">
        <w:rPr>
          <w:rFonts w:ascii="Verdana" w:eastAsia="Calibri" w:hAnsi="Verdana" w:cs="Arial"/>
        </w:rPr>
        <w:t xml:space="preserve"> no le competía demostrar si habían sido o no adulteradas las firmas que a nombre de la acusada aparecían consignadas en las declaraciones tributarias, ya que el deber del Ente Acusador era el de acreditar el incumplimiento de las obligaciones tributarias por parte de la Procesada. </w:t>
      </w:r>
    </w:p>
    <w:p w:rsidR="00F562A4" w:rsidRDefault="00F562A4" w:rsidP="00272509">
      <w:pPr>
        <w:spacing w:line="276" w:lineRule="auto"/>
        <w:jc w:val="both"/>
        <w:rPr>
          <w:rFonts w:ascii="Verdana" w:eastAsia="Calibri" w:hAnsi="Verdana" w:cs="Arial"/>
        </w:rPr>
      </w:pPr>
    </w:p>
    <w:p w:rsidR="00F0409E" w:rsidRPr="00F562A4" w:rsidRDefault="00F562A4" w:rsidP="00272509">
      <w:pPr>
        <w:pStyle w:val="Prrafodelista"/>
        <w:numPr>
          <w:ilvl w:val="0"/>
          <w:numId w:val="6"/>
        </w:numPr>
        <w:spacing w:line="276" w:lineRule="auto"/>
        <w:ind w:left="360"/>
        <w:jc w:val="both"/>
        <w:rPr>
          <w:rFonts w:ascii="Verdana" w:eastAsia="Calibri" w:hAnsi="Verdana" w:cs="Arial"/>
        </w:rPr>
      </w:pPr>
      <w:r w:rsidRPr="00F562A4">
        <w:rPr>
          <w:rFonts w:ascii="Verdana" w:eastAsia="Calibri" w:hAnsi="Verdana" w:cs="Arial"/>
        </w:rPr>
        <w:t xml:space="preserve">La carga de demostrar que eran mendaces las firmas que aparecían signadas en las declaraciones tributarias le </w:t>
      </w:r>
      <w:r w:rsidR="00CF24BC" w:rsidRPr="00F562A4">
        <w:rPr>
          <w:rFonts w:ascii="Verdana" w:eastAsia="Calibri" w:hAnsi="Verdana" w:cs="Arial"/>
        </w:rPr>
        <w:t>correspondía</w:t>
      </w:r>
      <w:r w:rsidRPr="00F562A4">
        <w:rPr>
          <w:rFonts w:ascii="Verdana" w:eastAsia="Calibri" w:hAnsi="Verdana" w:cs="Arial"/>
        </w:rPr>
        <w:t xml:space="preserve"> a la Defensa, la cual en el devenir del proceso tuvo todas las oportunidades para tachar de falso esos documentos, pero que no hizo nada en tal sentido.</w:t>
      </w:r>
    </w:p>
    <w:p w:rsidR="00F562A4" w:rsidRDefault="00F562A4" w:rsidP="00272509">
      <w:pPr>
        <w:spacing w:line="276" w:lineRule="auto"/>
        <w:jc w:val="both"/>
        <w:rPr>
          <w:rFonts w:ascii="Verdana" w:eastAsia="Calibri" w:hAnsi="Verdana" w:cs="Arial"/>
        </w:rPr>
      </w:pPr>
    </w:p>
    <w:p w:rsidR="00F0409E" w:rsidRPr="000246E4" w:rsidRDefault="00F562A4" w:rsidP="000246E4">
      <w:pPr>
        <w:pStyle w:val="Prrafodelista"/>
        <w:numPr>
          <w:ilvl w:val="0"/>
          <w:numId w:val="6"/>
        </w:numPr>
        <w:spacing w:line="276" w:lineRule="auto"/>
        <w:ind w:left="360"/>
        <w:jc w:val="both"/>
        <w:rPr>
          <w:rFonts w:ascii="Verdana" w:eastAsia="Calibri" w:hAnsi="Verdana" w:cs="Arial"/>
        </w:rPr>
      </w:pPr>
      <w:r w:rsidRPr="00F562A4">
        <w:rPr>
          <w:rFonts w:ascii="Verdana" w:eastAsia="Calibri" w:hAnsi="Verdana" w:cs="Arial"/>
        </w:rPr>
        <w:t>Toda persona que se inscribe en el registro único tributario (RUT), como aconteció con la Procesada, es conocedora de cuáles son sus cargas tributarias</w:t>
      </w:r>
      <w:r w:rsidR="00272509">
        <w:rPr>
          <w:rFonts w:ascii="Verdana" w:eastAsia="Calibri" w:hAnsi="Verdana" w:cs="Arial"/>
        </w:rPr>
        <w:t>,</w:t>
      </w:r>
      <w:r w:rsidRPr="00F562A4">
        <w:rPr>
          <w:rFonts w:ascii="Verdana" w:eastAsia="Calibri" w:hAnsi="Verdana" w:cs="Arial"/>
        </w:rPr>
        <w:t xml:space="preserve"> como de los deberes adquiridos </w:t>
      </w:r>
      <w:r w:rsidR="00272509">
        <w:rPr>
          <w:rFonts w:ascii="Verdana" w:eastAsia="Calibri" w:hAnsi="Verdana" w:cs="Arial"/>
        </w:rPr>
        <w:t xml:space="preserve">en tal sentido </w:t>
      </w:r>
      <w:r w:rsidRPr="00F562A4">
        <w:rPr>
          <w:rFonts w:ascii="Verdana" w:eastAsia="Calibri" w:hAnsi="Verdana" w:cs="Arial"/>
        </w:rPr>
        <w:t>con el Estado y de las consecuencias que generaría el no pago de los dineros que haya recaudado en ejercicio de las funciones de agente retenedor.</w:t>
      </w:r>
    </w:p>
    <w:p w:rsidR="00F0409E" w:rsidRPr="00F0409E" w:rsidRDefault="00F0409E" w:rsidP="00A03BE9">
      <w:pPr>
        <w:jc w:val="center"/>
        <w:rPr>
          <w:rFonts w:ascii="Verdana" w:eastAsia="Times New Roman" w:hAnsi="Verdana" w:cs="Arial"/>
          <w:b/>
        </w:rPr>
      </w:pPr>
      <w:r w:rsidRPr="00F0409E">
        <w:rPr>
          <w:rFonts w:ascii="Verdana" w:eastAsia="Times New Roman" w:hAnsi="Verdana" w:cs="Arial"/>
          <w:b/>
        </w:rPr>
        <w:t>PARA RESOLVER SE CONSIDERA:</w:t>
      </w:r>
    </w:p>
    <w:p w:rsidR="00F0409E" w:rsidRPr="00F0409E" w:rsidRDefault="00F0409E" w:rsidP="00A03BE9">
      <w:pPr>
        <w:jc w:val="both"/>
        <w:rPr>
          <w:rFonts w:ascii="Verdana" w:eastAsia="Times New Roman" w:hAnsi="Verdana" w:cs="Arial"/>
          <w:b/>
        </w:rPr>
      </w:pPr>
    </w:p>
    <w:p w:rsidR="00F0409E" w:rsidRPr="00F0409E" w:rsidRDefault="00F0409E" w:rsidP="00A03BE9">
      <w:pPr>
        <w:jc w:val="both"/>
        <w:rPr>
          <w:rFonts w:ascii="Verdana" w:eastAsia="Times New Roman" w:hAnsi="Verdana" w:cs="Arial"/>
          <w:b/>
        </w:rPr>
      </w:pPr>
      <w:r w:rsidRPr="00F0409E">
        <w:rPr>
          <w:rFonts w:ascii="Verdana" w:eastAsia="Times New Roman" w:hAnsi="Verdana" w:cs="Arial"/>
          <w:b/>
        </w:rPr>
        <w:t>- Competencia:</w:t>
      </w:r>
    </w:p>
    <w:p w:rsidR="00F0409E" w:rsidRPr="00F0409E" w:rsidRDefault="00F0409E" w:rsidP="00A03BE9">
      <w:pPr>
        <w:jc w:val="both"/>
        <w:rPr>
          <w:rFonts w:ascii="Verdana" w:eastAsia="Times New Roman" w:hAnsi="Verdana" w:cs="Arial"/>
        </w:rPr>
      </w:pPr>
    </w:p>
    <w:p w:rsidR="00F0409E" w:rsidRPr="00F0409E" w:rsidRDefault="00F0409E" w:rsidP="00272509">
      <w:pPr>
        <w:spacing w:line="276" w:lineRule="auto"/>
        <w:jc w:val="both"/>
        <w:rPr>
          <w:rFonts w:ascii="Verdana" w:eastAsia="Times New Roman" w:hAnsi="Verdana" w:cs="Arial"/>
        </w:rPr>
      </w:pPr>
      <w:r w:rsidRPr="00F0409E">
        <w:rPr>
          <w:rFonts w:ascii="Verdana" w:eastAsia="Times New Roman" w:hAnsi="Verdana" w:cs="Arial"/>
        </w:rPr>
        <w:t xml:space="preserve">Como quiera que estamos en presencia de un recurso de apelación que fue interpuesto y sustentado de manera oportuna en contra de una Sentencia proferida por un Juzgado Penal Municipal que hace parte de uno de los Circuitos que integran este Distrito Judicial, esta Sala de Decisión Penal, según las voces del </w:t>
      </w:r>
      <w:r w:rsidRPr="00F0409E">
        <w:rPr>
          <w:rFonts w:ascii="Verdana" w:eastAsia="Times New Roman" w:hAnsi="Verdana" w:cs="Arial"/>
        </w:rPr>
        <w:lastRenderedPageBreak/>
        <w:t># 1º del artículo 34 C.P.P. sería la competente para resolver la presente Alzada.</w:t>
      </w:r>
    </w:p>
    <w:p w:rsidR="00F0409E" w:rsidRPr="00F0409E" w:rsidRDefault="00F0409E" w:rsidP="00272509">
      <w:pPr>
        <w:spacing w:line="276" w:lineRule="auto"/>
        <w:jc w:val="both"/>
        <w:rPr>
          <w:rFonts w:ascii="Verdana" w:eastAsia="Times New Roman" w:hAnsi="Verdana" w:cs="Arial"/>
        </w:rPr>
      </w:pPr>
    </w:p>
    <w:p w:rsidR="00F0409E" w:rsidRPr="00F0409E" w:rsidRDefault="00F0409E" w:rsidP="00272509">
      <w:pPr>
        <w:spacing w:line="276" w:lineRule="auto"/>
        <w:jc w:val="both"/>
        <w:rPr>
          <w:rFonts w:ascii="Verdana" w:eastAsia="Times New Roman" w:hAnsi="Verdana" w:cs="Arial"/>
        </w:rPr>
      </w:pPr>
      <w:r w:rsidRPr="00F0409E">
        <w:rPr>
          <w:rFonts w:ascii="Verdana" w:eastAsia="Times New Roman" w:hAnsi="Verdana" w:cs="Arial"/>
        </w:rPr>
        <w:t>De igual forma no se avizoran la ocurrencia de irregularidades que de una u otra forma puedan viciar de nulidad la actuación procesal.</w:t>
      </w:r>
    </w:p>
    <w:p w:rsidR="00F0409E" w:rsidRPr="00F0409E" w:rsidRDefault="00F0409E" w:rsidP="00272509">
      <w:pPr>
        <w:spacing w:line="276" w:lineRule="auto"/>
        <w:jc w:val="both"/>
        <w:rPr>
          <w:rFonts w:ascii="Verdana" w:eastAsia="Times New Roman" w:hAnsi="Verdana" w:cs="Arial"/>
        </w:rPr>
      </w:pPr>
    </w:p>
    <w:p w:rsidR="00F0409E" w:rsidRDefault="00F0409E" w:rsidP="00A03BE9">
      <w:pPr>
        <w:jc w:val="both"/>
        <w:rPr>
          <w:rFonts w:ascii="Verdana" w:eastAsia="Times New Roman" w:hAnsi="Verdana" w:cs="Arial"/>
          <w:b/>
        </w:rPr>
      </w:pPr>
      <w:r w:rsidRPr="00F0409E">
        <w:rPr>
          <w:rFonts w:ascii="Verdana" w:eastAsia="Times New Roman" w:hAnsi="Verdana" w:cs="Arial"/>
          <w:b/>
        </w:rPr>
        <w:t>- Problema jurídico:</w:t>
      </w:r>
    </w:p>
    <w:p w:rsidR="00A03BE9" w:rsidRPr="00F0409E" w:rsidRDefault="00A03BE9" w:rsidP="00A03BE9">
      <w:pPr>
        <w:jc w:val="both"/>
        <w:rPr>
          <w:rFonts w:ascii="Verdana" w:eastAsia="Times New Roman" w:hAnsi="Verdana" w:cs="Arial"/>
          <w:b/>
        </w:rPr>
      </w:pPr>
    </w:p>
    <w:p w:rsidR="001A6E92" w:rsidRDefault="00F0409E" w:rsidP="00272509">
      <w:pPr>
        <w:spacing w:line="276" w:lineRule="auto"/>
        <w:jc w:val="both"/>
        <w:rPr>
          <w:rFonts w:ascii="Verdana" w:eastAsia="Times New Roman" w:hAnsi="Verdana" w:cs="Arial"/>
        </w:rPr>
      </w:pPr>
      <w:r w:rsidRPr="00F0409E">
        <w:rPr>
          <w:rFonts w:ascii="Verdana" w:eastAsia="Times New Roman" w:hAnsi="Verdana" w:cs="Arial"/>
        </w:rPr>
        <w:t xml:space="preserve">Acorde con los argumentos del disenso esgrimidos por </w:t>
      </w:r>
      <w:r w:rsidR="001A6E92">
        <w:rPr>
          <w:rFonts w:ascii="Verdana" w:eastAsia="Times New Roman" w:hAnsi="Verdana" w:cs="Arial"/>
        </w:rPr>
        <w:t xml:space="preserve">los </w:t>
      </w:r>
      <w:r w:rsidRPr="00F0409E">
        <w:rPr>
          <w:rFonts w:ascii="Verdana" w:eastAsia="Times New Roman" w:hAnsi="Verdana" w:cs="Arial"/>
        </w:rPr>
        <w:t>recurrente</w:t>
      </w:r>
      <w:r w:rsidR="001A6E92">
        <w:rPr>
          <w:rFonts w:ascii="Verdana" w:eastAsia="Times New Roman" w:hAnsi="Verdana" w:cs="Arial"/>
        </w:rPr>
        <w:t>s</w:t>
      </w:r>
      <w:r w:rsidRPr="00F0409E">
        <w:rPr>
          <w:rFonts w:ascii="Verdana" w:eastAsia="Times New Roman" w:hAnsi="Verdana" w:cs="Arial"/>
        </w:rPr>
        <w:t xml:space="preserve"> y lo que a su vez </w:t>
      </w:r>
      <w:r w:rsidR="001A6E92">
        <w:rPr>
          <w:rFonts w:ascii="Verdana" w:eastAsia="Times New Roman" w:hAnsi="Verdana" w:cs="Arial"/>
        </w:rPr>
        <w:t xml:space="preserve">dijeron los </w:t>
      </w:r>
      <w:r w:rsidRPr="00F0409E">
        <w:rPr>
          <w:rFonts w:ascii="Verdana" w:eastAsia="Times New Roman" w:hAnsi="Verdana" w:cs="Arial"/>
        </w:rPr>
        <w:t xml:space="preserve">no apelantes, considera la Sala que </w:t>
      </w:r>
      <w:r w:rsidR="001A6E92">
        <w:rPr>
          <w:rFonts w:ascii="Verdana" w:eastAsia="Times New Roman" w:hAnsi="Verdana" w:cs="Arial"/>
        </w:rPr>
        <w:t>de los mismos se desprende el siguiente problema jurídico:</w:t>
      </w:r>
    </w:p>
    <w:p w:rsidR="001A6E92" w:rsidRDefault="001A6E92" w:rsidP="00272509">
      <w:pPr>
        <w:spacing w:line="276" w:lineRule="auto"/>
        <w:jc w:val="both"/>
        <w:rPr>
          <w:rFonts w:ascii="Verdana" w:eastAsia="Times New Roman" w:hAnsi="Verdana" w:cs="Arial"/>
        </w:rPr>
      </w:pPr>
    </w:p>
    <w:p w:rsidR="00F0409E" w:rsidRPr="00F0409E" w:rsidRDefault="001A6E92" w:rsidP="00272509">
      <w:pPr>
        <w:spacing w:line="276" w:lineRule="auto"/>
        <w:jc w:val="both"/>
        <w:rPr>
          <w:rFonts w:ascii="Verdana" w:eastAsia="Times New Roman" w:hAnsi="Verdana" w:cs="Arial"/>
        </w:rPr>
      </w:pPr>
      <w:r>
        <w:rPr>
          <w:rFonts w:ascii="Verdana" w:eastAsia="Times New Roman" w:hAnsi="Verdana" w:cs="Arial"/>
        </w:rPr>
        <w:t xml:space="preserve">¿Con las pruebas habidas en el proceso, se cumplían o no con los requisitos exigidos por el articulo 381 C.P.P. para poder proferir en contra de la Procesada </w:t>
      </w:r>
      <w:r w:rsidRPr="001A6E92">
        <w:rPr>
          <w:rFonts w:ascii="Verdana" w:eastAsia="Times New Roman" w:hAnsi="Verdana" w:cs="Arial"/>
        </w:rPr>
        <w:t xml:space="preserve">DIANA MILENA HENAO MORALES </w:t>
      </w:r>
      <w:r>
        <w:rPr>
          <w:rFonts w:ascii="Verdana" w:eastAsia="Times New Roman" w:hAnsi="Verdana" w:cs="Arial"/>
        </w:rPr>
        <w:t>un fallo de responsabilidad criminal, acorde con los cargos por los cuales fue llamada a juicio?</w:t>
      </w:r>
    </w:p>
    <w:p w:rsidR="00F0409E" w:rsidRPr="00F0409E" w:rsidRDefault="00F0409E" w:rsidP="00272509">
      <w:pPr>
        <w:spacing w:line="276" w:lineRule="auto"/>
        <w:jc w:val="both"/>
        <w:rPr>
          <w:rFonts w:ascii="Verdana" w:eastAsia="Times New Roman" w:hAnsi="Verdana" w:cs="Arial"/>
        </w:rPr>
      </w:pPr>
    </w:p>
    <w:p w:rsidR="00F0409E" w:rsidRPr="00F0409E" w:rsidRDefault="00F0409E" w:rsidP="00A03BE9">
      <w:pPr>
        <w:jc w:val="both"/>
        <w:rPr>
          <w:rFonts w:ascii="Verdana" w:eastAsia="Times New Roman" w:hAnsi="Verdana" w:cs="Arial"/>
          <w:b/>
        </w:rPr>
      </w:pPr>
      <w:r w:rsidRPr="00F0409E">
        <w:rPr>
          <w:rFonts w:ascii="Verdana" w:eastAsia="Times New Roman" w:hAnsi="Verdana" w:cs="Arial"/>
          <w:b/>
        </w:rPr>
        <w:t>- Solución:</w:t>
      </w:r>
    </w:p>
    <w:p w:rsidR="00F0409E" w:rsidRPr="00F0409E" w:rsidRDefault="00F0409E" w:rsidP="00A03BE9">
      <w:pPr>
        <w:jc w:val="both"/>
        <w:rPr>
          <w:rFonts w:ascii="Verdana" w:eastAsia="Times New Roman" w:hAnsi="Verdana" w:cs="Arial"/>
          <w:b/>
        </w:rPr>
      </w:pPr>
    </w:p>
    <w:p w:rsidR="00F0409E" w:rsidRDefault="00F0409E" w:rsidP="00272509">
      <w:pPr>
        <w:spacing w:line="276" w:lineRule="auto"/>
        <w:jc w:val="both"/>
        <w:rPr>
          <w:rFonts w:ascii="Verdana" w:eastAsia="Adobe Gothic Std B" w:hAnsi="Verdana" w:cs="Arial"/>
        </w:rPr>
      </w:pPr>
      <w:r w:rsidRPr="00F0409E">
        <w:rPr>
          <w:rFonts w:ascii="Verdana" w:eastAsia="Adobe Gothic Std B" w:hAnsi="Verdana" w:cs="Arial"/>
        </w:rPr>
        <w:t xml:space="preserve">Para resolver </w:t>
      </w:r>
      <w:r w:rsidR="001A6E92">
        <w:rPr>
          <w:rFonts w:ascii="Verdana" w:eastAsia="Adobe Gothic Std B" w:hAnsi="Verdana" w:cs="Arial"/>
        </w:rPr>
        <w:t xml:space="preserve">el anterior problema jurídico, observa la Sala que la hipótesis en la cual los recurrentes soportan las tesis de sus </w:t>
      </w:r>
      <w:r w:rsidR="005A31AF">
        <w:rPr>
          <w:rFonts w:ascii="Verdana" w:eastAsia="Adobe Gothic Std B" w:hAnsi="Verdana" w:cs="Arial"/>
        </w:rPr>
        <w:t xml:space="preserve">sendas </w:t>
      </w:r>
      <w:r w:rsidR="001A6E92">
        <w:rPr>
          <w:rFonts w:ascii="Verdana" w:eastAsia="Adobe Gothic Std B" w:hAnsi="Verdana" w:cs="Arial"/>
        </w:rPr>
        <w:t>discrepancias radica en cuestionar la autenticidad de las declaraciones tributarias a</w:t>
      </w:r>
      <w:r w:rsidR="005A31AF">
        <w:rPr>
          <w:rFonts w:ascii="Verdana" w:eastAsia="Adobe Gothic Std B" w:hAnsi="Verdana" w:cs="Arial"/>
        </w:rPr>
        <w:t xml:space="preserve">portada al proceso </w:t>
      </w:r>
      <w:r w:rsidR="001A6E92">
        <w:rPr>
          <w:rFonts w:ascii="Verdana" w:eastAsia="Adobe Gothic Std B" w:hAnsi="Verdana" w:cs="Arial"/>
        </w:rPr>
        <w:t>por la Fiscalía con base en el argumento consistente en que existían divergencias y disimilitudes en las firmas que a nombre de la Procesada aparecían signadas en esos documentos, lo que</w:t>
      </w:r>
      <w:r w:rsidR="005A31AF">
        <w:rPr>
          <w:rFonts w:ascii="Verdana" w:eastAsia="Adobe Gothic Std B" w:hAnsi="Verdana" w:cs="Arial"/>
        </w:rPr>
        <w:t>, en sentir de los apelantes,</w:t>
      </w:r>
      <w:r w:rsidR="001A6E92">
        <w:rPr>
          <w:rFonts w:ascii="Verdana" w:eastAsia="Adobe Gothic Std B" w:hAnsi="Verdana" w:cs="Arial"/>
        </w:rPr>
        <w:t xml:space="preserve"> generaba un manto de dudas respecto </w:t>
      </w:r>
      <w:r w:rsidR="00272509">
        <w:rPr>
          <w:rFonts w:ascii="Verdana" w:eastAsia="Adobe Gothic Std B" w:hAnsi="Verdana" w:cs="Arial"/>
        </w:rPr>
        <w:t>de</w:t>
      </w:r>
      <w:r w:rsidR="001A6E92">
        <w:rPr>
          <w:rFonts w:ascii="Verdana" w:eastAsia="Adobe Gothic Std B" w:hAnsi="Verdana" w:cs="Arial"/>
        </w:rPr>
        <w:t xml:space="preserve"> </w:t>
      </w:r>
      <w:r w:rsidR="005A31AF">
        <w:rPr>
          <w:rFonts w:ascii="Verdana" w:eastAsia="Adobe Gothic Std B" w:hAnsi="Verdana" w:cs="Arial"/>
        </w:rPr>
        <w:t xml:space="preserve">la posibilidad </w:t>
      </w:r>
      <w:r w:rsidR="00272509">
        <w:rPr>
          <w:rFonts w:ascii="Verdana" w:eastAsia="Adobe Gothic Std B" w:hAnsi="Verdana" w:cs="Arial"/>
        </w:rPr>
        <w:t xml:space="preserve">de </w:t>
      </w:r>
      <w:r w:rsidR="001A6E92">
        <w:rPr>
          <w:rFonts w:ascii="Verdana" w:eastAsia="Adobe Gothic Std B" w:hAnsi="Verdana" w:cs="Arial"/>
        </w:rPr>
        <w:t>que esos documentos no pudier</w:t>
      </w:r>
      <w:r w:rsidR="00272509">
        <w:rPr>
          <w:rFonts w:ascii="Verdana" w:eastAsia="Adobe Gothic Std B" w:hAnsi="Verdana" w:cs="Arial"/>
        </w:rPr>
        <w:t>a</w:t>
      </w:r>
      <w:r w:rsidR="001A6E92">
        <w:rPr>
          <w:rFonts w:ascii="Verdana" w:eastAsia="Adobe Gothic Std B" w:hAnsi="Verdana" w:cs="Arial"/>
        </w:rPr>
        <w:t>n haber sido suscritos por la acusada sino por alguna otra persona</w:t>
      </w:r>
      <w:r w:rsidR="005A31AF">
        <w:rPr>
          <w:rFonts w:ascii="Verdana" w:eastAsia="Adobe Gothic Std B" w:hAnsi="Verdana" w:cs="Arial"/>
        </w:rPr>
        <w:t xml:space="preserve"> diferente</w:t>
      </w:r>
      <w:r w:rsidR="001A6E92">
        <w:rPr>
          <w:rFonts w:ascii="Verdana" w:eastAsia="Adobe Gothic Std B" w:hAnsi="Verdana" w:cs="Arial"/>
        </w:rPr>
        <w:t xml:space="preserve">, y como quiera que la Fiscalía le </w:t>
      </w:r>
      <w:r w:rsidR="005A31AF">
        <w:rPr>
          <w:rFonts w:ascii="Verdana" w:eastAsia="Adobe Gothic Std B" w:hAnsi="Verdana" w:cs="Arial"/>
        </w:rPr>
        <w:t>asistía</w:t>
      </w:r>
      <w:r w:rsidR="001A6E92">
        <w:rPr>
          <w:rFonts w:ascii="Verdana" w:eastAsia="Adobe Gothic Std B" w:hAnsi="Verdana" w:cs="Arial"/>
        </w:rPr>
        <w:t xml:space="preserve"> la obligación de esclarecer dichas dudas</w:t>
      </w:r>
      <w:r w:rsidR="005A31AF">
        <w:rPr>
          <w:rFonts w:ascii="Verdana" w:eastAsia="Adobe Gothic Std B" w:hAnsi="Verdana" w:cs="Arial"/>
        </w:rPr>
        <w:t xml:space="preserve">, al no hacerlo no cumplió con los requisitos probatorios exigidos por el articulo 381 C.P.P. para poder proferir una sentencia condenatoria. </w:t>
      </w:r>
    </w:p>
    <w:p w:rsidR="005A31AF" w:rsidRDefault="005A31AF" w:rsidP="00272509">
      <w:pPr>
        <w:spacing w:line="276" w:lineRule="auto"/>
        <w:jc w:val="both"/>
        <w:rPr>
          <w:rFonts w:ascii="Verdana" w:eastAsia="Adobe Gothic Std B" w:hAnsi="Verdana" w:cs="Arial"/>
        </w:rPr>
      </w:pPr>
    </w:p>
    <w:p w:rsidR="00AB1656" w:rsidRPr="00AB1656" w:rsidRDefault="005A31AF" w:rsidP="00272509">
      <w:pPr>
        <w:spacing w:line="276" w:lineRule="auto"/>
        <w:jc w:val="both"/>
        <w:rPr>
          <w:rFonts w:cs="Microsoft Sans Serif"/>
          <w:bCs/>
        </w:rPr>
      </w:pPr>
      <w:r w:rsidRPr="008B0AF5">
        <w:rPr>
          <w:rFonts w:ascii="Verdana" w:eastAsia="Adobe Gothic Std B" w:hAnsi="Verdana" w:cs="Arial"/>
        </w:rPr>
        <w:t xml:space="preserve">Frente a lo anterior, la Sala </w:t>
      </w:r>
      <w:r w:rsidR="00AB1656">
        <w:rPr>
          <w:rFonts w:ascii="Verdana" w:eastAsia="Adobe Gothic Std B" w:hAnsi="Verdana" w:cs="Arial"/>
        </w:rPr>
        <w:t xml:space="preserve">inicialmente </w:t>
      </w:r>
      <w:r w:rsidRPr="008B0AF5">
        <w:rPr>
          <w:rFonts w:ascii="Verdana" w:eastAsia="Adobe Gothic Std B" w:hAnsi="Verdana" w:cs="Arial"/>
        </w:rPr>
        <w:t xml:space="preserve">dirá </w:t>
      </w:r>
      <w:r w:rsidR="00767441" w:rsidRPr="008B0AF5">
        <w:rPr>
          <w:rFonts w:ascii="Verdana" w:eastAsia="Adobe Gothic Std B" w:hAnsi="Verdana" w:cs="Arial"/>
        </w:rPr>
        <w:t xml:space="preserve">que </w:t>
      </w:r>
      <w:r w:rsidR="00AB1656">
        <w:rPr>
          <w:rFonts w:cs="Microsoft Sans Serif"/>
          <w:bCs/>
          <w:lang w:val="es-ES_tradnl"/>
        </w:rPr>
        <w:t xml:space="preserve">es </w:t>
      </w:r>
      <w:r w:rsidR="00AB1656" w:rsidRPr="00AB1656">
        <w:rPr>
          <w:rFonts w:cs="Microsoft Sans Serif"/>
          <w:bCs/>
          <w:lang w:val="es-ES_tradnl"/>
        </w:rPr>
        <w:t>cierto</w:t>
      </w:r>
      <w:r w:rsidR="00AB1656">
        <w:rPr>
          <w:rFonts w:cs="Microsoft Sans Serif"/>
          <w:bCs/>
          <w:lang w:val="es-ES_tradnl"/>
        </w:rPr>
        <w:t>, tal como lo argumentan los apelantes,</w:t>
      </w:r>
      <w:r w:rsidR="00AB1656" w:rsidRPr="00AB1656">
        <w:rPr>
          <w:rFonts w:cs="Microsoft Sans Serif"/>
          <w:bCs/>
          <w:lang w:val="es-ES_tradnl"/>
        </w:rPr>
        <w:t xml:space="preserve"> que </w:t>
      </w:r>
      <w:r w:rsidR="00AB1656" w:rsidRPr="00AB1656">
        <w:rPr>
          <w:rFonts w:cs="Microsoft Sans Serif"/>
          <w:bCs/>
        </w:rPr>
        <w:t xml:space="preserve">acorde con lo consignado en el inciso 4º del artículo 29 de la Carta y en el artículo 7º C.P.P. </w:t>
      </w:r>
      <w:r w:rsidR="00AB1656" w:rsidRPr="00AB1656">
        <w:rPr>
          <w:rFonts w:cs="Microsoft Sans Serif"/>
          <w:bCs/>
        </w:rPr>
        <w:lastRenderedPageBreak/>
        <w:t xml:space="preserve">como consecuencia del principio de la presunción de inocencia, se tiene que por regla general la carga de demostrar la responsabilidad penal del acusado le incumbe es al Estado por intermedio de su órgano persecutor, en este caso la Fiscalía General de la Nación. Asimismo es claro que dicha carga probatoria no se puede invertir, pero, </w:t>
      </w:r>
      <w:r w:rsidR="00272509">
        <w:rPr>
          <w:rFonts w:cs="Microsoft Sans Serif"/>
          <w:bCs/>
        </w:rPr>
        <w:t xml:space="preserve">a los apelantes se les olvida que </w:t>
      </w:r>
      <w:r w:rsidR="00AB1656" w:rsidRPr="00AB1656">
        <w:rPr>
          <w:rFonts w:cs="Microsoft Sans Serif"/>
          <w:bCs/>
        </w:rPr>
        <w:t>acorde con el esquema adversarial que es propio del sistema penal acusatorio que nos rige y según los postulados que orientan el denominado principio de «l</w:t>
      </w:r>
      <w:r w:rsidR="00AB1656" w:rsidRPr="00AB1656">
        <w:rPr>
          <w:rFonts w:cs="Microsoft Sans Serif"/>
          <w:bCs/>
          <w:i/>
        </w:rPr>
        <w:t>a incumbencia probatoria»</w:t>
      </w:r>
      <w:r w:rsidR="00AB1656" w:rsidRPr="00AB1656">
        <w:rPr>
          <w:vertAlign w:val="superscript"/>
        </w:rPr>
        <w:footnoteReference w:id="2"/>
      </w:r>
      <w:r w:rsidR="00AB1656" w:rsidRPr="00AB1656">
        <w:rPr>
          <w:rFonts w:cs="Microsoft Sans Serif"/>
          <w:bCs/>
          <w:i/>
        </w:rPr>
        <w:t xml:space="preserve">, </w:t>
      </w:r>
      <w:r w:rsidR="00AB1656" w:rsidRPr="00AB1656">
        <w:rPr>
          <w:rFonts w:cs="Microsoft Sans Serif"/>
          <w:bCs/>
        </w:rPr>
        <w:t>tal restricción no se tornaría en óbice alguno para que en aquellos eventos en los cuales la Defensa pretenda proponer una hipótesis tendiente a desvirtuar o a refutar la que ha sido propuesta por la Fiscalía, a fin de procurar el éxito de sus pretensiones es obvio que no se encuentra eximida de acreditar o de demostrar los supuestos de hecho en los que se fundamenta la tesis esgrimida en pro de sus intereses.</w:t>
      </w:r>
    </w:p>
    <w:p w:rsidR="00AB1656" w:rsidRPr="00AB1656" w:rsidRDefault="00AB1656" w:rsidP="00272509">
      <w:pPr>
        <w:spacing w:line="276" w:lineRule="auto"/>
        <w:jc w:val="both"/>
        <w:rPr>
          <w:rFonts w:cs="Microsoft Sans Serif"/>
          <w:bCs/>
        </w:rPr>
      </w:pPr>
    </w:p>
    <w:p w:rsidR="00AB1656" w:rsidRDefault="00AB1656" w:rsidP="00272509">
      <w:pPr>
        <w:spacing w:line="276" w:lineRule="auto"/>
        <w:jc w:val="both"/>
        <w:rPr>
          <w:rFonts w:cs="Microsoft Sans Serif"/>
          <w:bCs/>
        </w:rPr>
      </w:pPr>
      <w:r w:rsidRPr="00AB1656">
        <w:rPr>
          <w:rFonts w:cs="Microsoft Sans Serif"/>
          <w:bCs/>
        </w:rPr>
        <w:t xml:space="preserve">Lo antes expuesto quiere decir que a pesar de que la carga de la prueba la tiene la Fiscalía, de igual forma la Defensa en aquellos eventos en los cuales pretenda refutar la teoría del caso propuesta por el Ente Acusador, si quiere salir avante en sus pretensiones, no debe quedarse de brazos cruzados, y más por el contrario le asiste el deber de suministrar las pruebas con las cuales pueda demostrar la hipótesis propuesta. </w:t>
      </w:r>
    </w:p>
    <w:p w:rsidR="00AB1656" w:rsidRDefault="00AB1656" w:rsidP="00272509">
      <w:pPr>
        <w:spacing w:line="276" w:lineRule="auto"/>
        <w:jc w:val="both"/>
        <w:rPr>
          <w:rFonts w:cs="Microsoft Sans Serif"/>
          <w:bCs/>
        </w:rPr>
      </w:pPr>
    </w:p>
    <w:p w:rsidR="008B0AF5" w:rsidRDefault="00AB1656" w:rsidP="00272509">
      <w:pPr>
        <w:spacing w:line="276" w:lineRule="auto"/>
        <w:jc w:val="both"/>
        <w:rPr>
          <w:rFonts w:ascii="Verdana" w:eastAsia="Adobe Gothic Std B" w:hAnsi="Verdana" w:cs="Arial"/>
        </w:rPr>
      </w:pPr>
      <w:r>
        <w:rPr>
          <w:rFonts w:cs="Microsoft Sans Serif"/>
          <w:bCs/>
        </w:rPr>
        <w:t xml:space="preserve">De igual forma, se debe tener en cuenta que </w:t>
      </w:r>
      <w:r w:rsidR="00767441" w:rsidRPr="008B0AF5">
        <w:rPr>
          <w:rFonts w:ascii="Verdana" w:eastAsia="Adobe Gothic Std B" w:hAnsi="Verdana" w:cs="Arial"/>
        </w:rPr>
        <w:t>el delito de omisión de agente retenedor tipificado en el artículo 402 C.P. se caracteriza por presentar un sujeto activo calificado que vendría</w:t>
      </w:r>
      <w:r w:rsidR="008B0AF5" w:rsidRPr="008B0AF5">
        <w:rPr>
          <w:rFonts w:ascii="Verdana" w:eastAsia="Adobe Gothic Std B" w:hAnsi="Verdana" w:cs="Arial"/>
        </w:rPr>
        <w:t>n</w:t>
      </w:r>
      <w:r w:rsidR="00767441" w:rsidRPr="008B0AF5">
        <w:rPr>
          <w:rFonts w:ascii="Verdana" w:eastAsia="Adobe Gothic Std B" w:hAnsi="Verdana" w:cs="Arial"/>
        </w:rPr>
        <w:t xml:space="preserve"> siendo aquellas persona facultada</w:t>
      </w:r>
      <w:r w:rsidR="008B0AF5" w:rsidRPr="008B0AF5">
        <w:rPr>
          <w:rFonts w:ascii="Verdana" w:eastAsia="Adobe Gothic Std B" w:hAnsi="Verdana" w:cs="Arial"/>
        </w:rPr>
        <w:t>s</w:t>
      </w:r>
      <w:r w:rsidR="00767441" w:rsidRPr="008B0AF5">
        <w:rPr>
          <w:rFonts w:ascii="Verdana" w:eastAsia="Adobe Gothic Std B" w:hAnsi="Verdana" w:cs="Arial"/>
        </w:rPr>
        <w:t xml:space="preserve"> por la ley para fungir </w:t>
      </w:r>
      <w:r w:rsidR="008B0AF5">
        <w:rPr>
          <w:rFonts w:ascii="Verdana" w:eastAsia="Adobe Gothic Std B" w:hAnsi="Verdana" w:cs="Arial"/>
        </w:rPr>
        <w:t xml:space="preserve">en el rol de </w:t>
      </w:r>
      <w:r w:rsidR="00767441" w:rsidRPr="008B0AF5">
        <w:rPr>
          <w:rFonts w:ascii="Verdana" w:eastAsia="Adobe Gothic Std B" w:hAnsi="Verdana" w:cs="Arial"/>
        </w:rPr>
        <w:t xml:space="preserve">agente retenedor en el recaudo de </w:t>
      </w:r>
      <w:r w:rsidR="00B92650">
        <w:rPr>
          <w:rFonts w:ascii="Verdana" w:eastAsia="Adobe Gothic Std B" w:hAnsi="Verdana" w:cs="Arial"/>
        </w:rPr>
        <w:t xml:space="preserve">algunos impuestos, entre los cuales se encuentra el </w:t>
      </w:r>
      <w:r w:rsidR="00767441" w:rsidRPr="008B0AF5">
        <w:rPr>
          <w:rFonts w:ascii="Verdana" w:eastAsia="Adobe Gothic Std B" w:hAnsi="Verdana" w:cs="Arial"/>
        </w:rPr>
        <w:t>IVA</w:t>
      </w:r>
      <w:r w:rsidR="00113CBB" w:rsidRPr="008B0AF5">
        <w:rPr>
          <w:rStyle w:val="Refdenotaalpie"/>
          <w:rFonts w:ascii="Verdana" w:eastAsia="Adobe Gothic Std B" w:hAnsi="Verdana" w:cs="Arial"/>
        </w:rPr>
        <w:footnoteReference w:id="3"/>
      </w:r>
      <w:r w:rsidR="00767441" w:rsidRPr="008B0AF5">
        <w:rPr>
          <w:rFonts w:ascii="Verdana" w:eastAsia="Adobe Gothic Std B" w:hAnsi="Verdana" w:cs="Arial"/>
        </w:rPr>
        <w:t xml:space="preserve">, por </w:t>
      </w:r>
      <w:r w:rsidR="00113CBB" w:rsidRPr="008B0AF5">
        <w:rPr>
          <w:rFonts w:ascii="Verdana" w:eastAsia="Adobe Gothic Std B" w:hAnsi="Verdana" w:cs="Arial"/>
        </w:rPr>
        <w:t xml:space="preserve">lo que </w:t>
      </w:r>
      <w:r w:rsidR="00767441" w:rsidRPr="008B0AF5">
        <w:rPr>
          <w:rFonts w:ascii="Verdana" w:eastAsia="Adobe Gothic Std B" w:hAnsi="Verdana" w:cs="Arial"/>
        </w:rPr>
        <w:t xml:space="preserve">sería válido colegir que </w:t>
      </w:r>
      <w:r w:rsidR="008B0AF5">
        <w:rPr>
          <w:rFonts w:ascii="Verdana" w:eastAsia="Adobe Gothic Std B" w:hAnsi="Verdana" w:cs="Arial"/>
        </w:rPr>
        <w:t xml:space="preserve">para efectos penales, acorde con lo consignado en el </w:t>
      </w:r>
      <w:r>
        <w:rPr>
          <w:rFonts w:ascii="Verdana" w:eastAsia="Adobe Gothic Std B" w:hAnsi="Verdana" w:cs="Arial"/>
        </w:rPr>
        <w:t>artículo</w:t>
      </w:r>
      <w:r w:rsidR="008B0AF5">
        <w:rPr>
          <w:rFonts w:ascii="Verdana" w:eastAsia="Adobe Gothic Std B" w:hAnsi="Verdana" w:cs="Arial"/>
        </w:rPr>
        <w:t xml:space="preserve"> 20 C.P. </w:t>
      </w:r>
      <w:r w:rsidR="00767441" w:rsidRPr="008B0AF5">
        <w:rPr>
          <w:rFonts w:ascii="Verdana" w:eastAsia="Adobe Gothic Std B" w:hAnsi="Verdana" w:cs="Arial"/>
        </w:rPr>
        <w:t xml:space="preserve">el sujeto </w:t>
      </w:r>
      <w:r w:rsidR="008B0AF5">
        <w:rPr>
          <w:rFonts w:ascii="Verdana" w:eastAsia="Adobe Gothic Std B" w:hAnsi="Verdana" w:cs="Arial"/>
        </w:rPr>
        <w:t>activo</w:t>
      </w:r>
      <w:r w:rsidR="00767441" w:rsidRPr="008B0AF5">
        <w:rPr>
          <w:rFonts w:ascii="Verdana" w:eastAsia="Adobe Gothic Std B" w:hAnsi="Verdana" w:cs="Arial"/>
        </w:rPr>
        <w:t xml:space="preserve"> de la conducta punible de marras </w:t>
      </w:r>
      <w:r w:rsidR="008B0AF5">
        <w:rPr>
          <w:rFonts w:ascii="Verdana" w:eastAsia="Adobe Gothic Std B" w:hAnsi="Verdana" w:cs="Arial"/>
        </w:rPr>
        <w:t>debe ser considerado como servidor público por</w:t>
      </w:r>
      <w:r w:rsidR="00767441" w:rsidRPr="008B0AF5">
        <w:rPr>
          <w:rFonts w:ascii="Verdana" w:eastAsia="Adobe Gothic Std B" w:hAnsi="Verdana" w:cs="Arial"/>
        </w:rPr>
        <w:t xml:space="preserve"> </w:t>
      </w:r>
      <w:r w:rsidR="008B0AF5" w:rsidRPr="008B0AF5">
        <w:rPr>
          <w:rFonts w:ascii="Verdana" w:eastAsia="Adobe Gothic Std B" w:hAnsi="Verdana" w:cs="Arial"/>
        </w:rPr>
        <w:t>trata</w:t>
      </w:r>
      <w:r w:rsidR="008B0AF5">
        <w:rPr>
          <w:rFonts w:ascii="Verdana" w:eastAsia="Adobe Gothic Std B" w:hAnsi="Verdana" w:cs="Arial"/>
        </w:rPr>
        <w:t>rse</w:t>
      </w:r>
      <w:r w:rsidR="00767441" w:rsidRPr="008B0AF5">
        <w:rPr>
          <w:rFonts w:ascii="Verdana" w:eastAsia="Adobe Gothic Std B" w:hAnsi="Verdana" w:cs="Arial"/>
        </w:rPr>
        <w:t xml:space="preserve"> de un particular </w:t>
      </w:r>
      <w:r w:rsidR="00F0409E" w:rsidRPr="008B0AF5">
        <w:rPr>
          <w:rFonts w:ascii="Verdana" w:eastAsia="Adobe Gothic Std B" w:hAnsi="Verdana" w:cs="Arial"/>
        </w:rPr>
        <w:t xml:space="preserve">que cumple funciones públicas de manera transitoria al </w:t>
      </w:r>
      <w:r w:rsidR="00F0409E" w:rsidRPr="008B0AF5">
        <w:rPr>
          <w:rFonts w:ascii="Verdana" w:eastAsia="Adobe Gothic Std B" w:hAnsi="Verdana" w:cs="Arial"/>
        </w:rPr>
        <w:lastRenderedPageBreak/>
        <w:t>constituirse en una especie de tercero interm</w:t>
      </w:r>
      <w:r w:rsidR="008B0AF5">
        <w:rPr>
          <w:rFonts w:ascii="Verdana" w:eastAsia="Adobe Gothic Std B" w:hAnsi="Verdana" w:cs="Arial"/>
        </w:rPr>
        <w:t>ediario en la relación Gobierno</w:t>
      </w:r>
      <w:r w:rsidR="00F0409E" w:rsidRPr="008B0AF5">
        <w:rPr>
          <w:rFonts w:ascii="Verdana" w:eastAsia="Adobe Gothic Std B" w:hAnsi="Verdana" w:cs="Arial"/>
        </w:rPr>
        <w:t xml:space="preserve">, representado en este caso por la DIAN, y todos los habitantes del territorio </w:t>
      </w:r>
      <w:r w:rsidR="008B0AF5">
        <w:rPr>
          <w:rFonts w:ascii="Verdana" w:eastAsia="Adobe Gothic Std B" w:hAnsi="Verdana" w:cs="Arial"/>
        </w:rPr>
        <w:t xml:space="preserve">nacional </w:t>
      </w:r>
      <w:r w:rsidR="00F0409E" w:rsidRPr="008B0AF5">
        <w:rPr>
          <w:rFonts w:ascii="Verdana" w:eastAsia="Adobe Gothic Std B" w:hAnsi="Verdana" w:cs="Arial"/>
        </w:rPr>
        <w:t xml:space="preserve">que al adquirir un bien o un servicio les corresponde asumir </w:t>
      </w:r>
      <w:r w:rsidR="008B0AF5">
        <w:rPr>
          <w:rFonts w:ascii="Verdana" w:eastAsia="Adobe Gothic Std B" w:hAnsi="Verdana" w:cs="Arial"/>
        </w:rPr>
        <w:t>el pago d</w:t>
      </w:r>
      <w:r w:rsidR="00F0409E" w:rsidRPr="008B0AF5">
        <w:rPr>
          <w:rFonts w:ascii="Verdana" w:eastAsia="Adobe Gothic Std B" w:hAnsi="Verdana" w:cs="Arial"/>
        </w:rPr>
        <w:t>el impuesto a las ventas.</w:t>
      </w:r>
    </w:p>
    <w:p w:rsidR="008B0AF5" w:rsidRDefault="008B0AF5" w:rsidP="00272509">
      <w:pPr>
        <w:spacing w:line="276" w:lineRule="auto"/>
        <w:jc w:val="both"/>
        <w:rPr>
          <w:rFonts w:ascii="Verdana" w:eastAsia="Adobe Gothic Std B" w:hAnsi="Verdana" w:cs="Arial"/>
        </w:rPr>
      </w:pPr>
    </w:p>
    <w:p w:rsidR="008B0AF5" w:rsidRDefault="008B0AF5" w:rsidP="00272509">
      <w:pPr>
        <w:spacing w:line="276" w:lineRule="auto"/>
        <w:jc w:val="both"/>
        <w:rPr>
          <w:rFonts w:ascii="Verdana" w:eastAsia="Adobe Gothic Std B" w:hAnsi="Verdana" w:cs="Arial"/>
        </w:rPr>
      </w:pPr>
      <w:r>
        <w:rPr>
          <w:rFonts w:ascii="Verdana" w:eastAsia="Adobe Gothic Std B" w:hAnsi="Verdana" w:cs="Arial"/>
        </w:rPr>
        <w:t xml:space="preserve">Sobre las calidades especiales del sujeto activo, o sea la de ser un particular que cumple funciones públicas, bien vale la pena traer a colación lo que en los siguientes términos ha dicho la Corte: </w:t>
      </w:r>
    </w:p>
    <w:p w:rsidR="00BB0A00" w:rsidRDefault="00BB0A00" w:rsidP="00272509">
      <w:pPr>
        <w:spacing w:line="276" w:lineRule="auto"/>
        <w:jc w:val="both"/>
        <w:rPr>
          <w:rFonts w:ascii="Verdana" w:eastAsia="Adobe Gothic Std B" w:hAnsi="Verdana" w:cs="Arial"/>
        </w:rPr>
      </w:pPr>
    </w:p>
    <w:p w:rsidR="00BB0A00" w:rsidRPr="00BB0A00" w:rsidRDefault="00BB0A00" w:rsidP="00A03BE9">
      <w:pPr>
        <w:ind w:left="567" w:right="902"/>
        <w:jc w:val="both"/>
        <w:rPr>
          <w:rFonts w:ascii="Verdana" w:eastAsia="Adobe Gothic Std B" w:hAnsi="Verdana" w:cs="Arial"/>
          <w:sz w:val="24"/>
          <w:szCs w:val="24"/>
        </w:rPr>
      </w:pPr>
      <w:r w:rsidRPr="00BB0A00">
        <w:rPr>
          <w:rFonts w:ascii="Verdana" w:eastAsia="Adobe Gothic Std B" w:hAnsi="Verdana" w:cs="Arial"/>
          <w:sz w:val="24"/>
          <w:szCs w:val="24"/>
        </w:rPr>
        <w:t>“El sujeto activo es el agente retenedor, autorretenedor o recaudador, particular considerado como un servidor público por cuanto la ley le asignó de manera transitoria una función pública, lo cual conlleva una serie de consecuencias en aspectos civiles, penales y disciplinarios, incluyendo el aumento del término de prescripción en una tercera parte, conforme lo expresó la Corte en sentencia del 27 de julio de 2011 radicado 30170 , donde hizo un análisis del artículo 63 del Código Penal de 1980 actualmente 20 de la Ley 599 de 2000, en concordancia con  las sentencias C-1144 de 2000,</w:t>
      </w:r>
      <w:r w:rsidR="00A03BE9">
        <w:rPr>
          <w:rFonts w:ascii="Verdana" w:eastAsia="Adobe Gothic Std B" w:hAnsi="Verdana" w:cs="Arial"/>
          <w:sz w:val="24"/>
          <w:szCs w:val="24"/>
        </w:rPr>
        <w:t xml:space="preserve"> C-551 de 2001 y C-009 de 2003…</w:t>
      </w:r>
      <w:r w:rsidRPr="00BB0A00">
        <w:rPr>
          <w:rFonts w:ascii="Verdana" w:eastAsia="Adobe Gothic Std B" w:hAnsi="Verdana" w:cs="Arial"/>
          <w:sz w:val="24"/>
          <w:szCs w:val="24"/>
        </w:rPr>
        <w:t>”</w:t>
      </w:r>
      <w:r w:rsidRPr="00BB0A00">
        <w:rPr>
          <w:rStyle w:val="Refdenotaalpie"/>
          <w:rFonts w:ascii="Verdana" w:eastAsia="Adobe Gothic Std B" w:hAnsi="Verdana" w:cs="Arial"/>
          <w:sz w:val="24"/>
          <w:szCs w:val="24"/>
        </w:rPr>
        <w:footnoteReference w:id="4"/>
      </w:r>
      <w:r w:rsidRPr="00BB0A00">
        <w:rPr>
          <w:rFonts w:ascii="Verdana" w:eastAsia="Adobe Gothic Std B" w:hAnsi="Verdana" w:cs="Arial"/>
          <w:sz w:val="24"/>
          <w:szCs w:val="24"/>
        </w:rPr>
        <w:t>.</w:t>
      </w:r>
    </w:p>
    <w:p w:rsidR="00BB0A00" w:rsidRDefault="00BB0A00" w:rsidP="00272509">
      <w:pPr>
        <w:spacing w:line="276" w:lineRule="auto"/>
        <w:jc w:val="both"/>
        <w:rPr>
          <w:rFonts w:ascii="Verdana" w:eastAsia="Adobe Gothic Std B" w:hAnsi="Verdana" w:cs="Arial"/>
        </w:rPr>
      </w:pPr>
    </w:p>
    <w:p w:rsidR="00BB0A00" w:rsidRDefault="00BB0A00" w:rsidP="00272509">
      <w:pPr>
        <w:spacing w:line="276" w:lineRule="auto"/>
        <w:jc w:val="both"/>
        <w:rPr>
          <w:rFonts w:ascii="Verdana" w:eastAsia="Adobe Gothic Std B" w:hAnsi="Verdana" w:cs="Arial"/>
        </w:rPr>
      </w:pPr>
      <w:r>
        <w:rPr>
          <w:rFonts w:ascii="Verdana" w:eastAsia="Adobe Gothic Std B" w:hAnsi="Verdana" w:cs="Arial"/>
        </w:rPr>
        <w:t>Por lo tanto</w:t>
      </w:r>
      <w:r w:rsidR="00CD6D29">
        <w:rPr>
          <w:rFonts w:ascii="Verdana" w:eastAsia="Adobe Gothic Std B" w:hAnsi="Verdana" w:cs="Arial"/>
        </w:rPr>
        <w:t xml:space="preserve">, al ser </w:t>
      </w:r>
      <w:r>
        <w:rPr>
          <w:rFonts w:ascii="Verdana" w:eastAsia="Adobe Gothic Std B" w:hAnsi="Verdana" w:cs="Arial"/>
        </w:rPr>
        <w:t>un hecho cierto</w:t>
      </w:r>
      <w:r w:rsidR="00CD6D29">
        <w:rPr>
          <w:rFonts w:ascii="Verdana" w:eastAsia="Adobe Gothic Std B" w:hAnsi="Verdana" w:cs="Arial"/>
        </w:rPr>
        <w:t>,</w:t>
      </w:r>
      <w:r>
        <w:rPr>
          <w:rFonts w:ascii="Verdana" w:eastAsia="Adobe Gothic Std B" w:hAnsi="Verdana" w:cs="Arial"/>
        </w:rPr>
        <w:t xml:space="preserve"> indubitable </w:t>
      </w:r>
      <w:r w:rsidR="00CD6D29">
        <w:rPr>
          <w:rFonts w:ascii="Verdana" w:eastAsia="Adobe Gothic Std B" w:hAnsi="Verdana" w:cs="Arial"/>
        </w:rPr>
        <w:t xml:space="preserve">e incuestionable </w:t>
      </w:r>
      <w:r>
        <w:rPr>
          <w:rFonts w:ascii="Verdana" w:eastAsia="Adobe Gothic Std B" w:hAnsi="Verdana" w:cs="Arial"/>
        </w:rPr>
        <w:t xml:space="preserve">el consistente en que el sujeto activo del delito de omisión de agente retenedor debe ser considerado como servidor </w:t>
      </w:r>
      <w:r w:rsidR="00CD6D29">
        <w:rPr>
          <w:rFonts w:ascii="Verdana" w:eastAsia="Adobe Gothic Std B" w:hAnsi="Verdana" w:cs="Arial"/>
        </w:rPr>
        <w:t>público</w:t>
      </w:r>
      <w:r>
        <w:rPr>
          <w:rFonts w:ascii="Verdana" w:eastAsia="Adobe Gothic Std B" w:hAnsi="Verdana" w:cs="Arial"/>
        </w:rPr>
        <w:t xml:space="preserve">, ello implica que los documentos signados </w:t>
      </w:r>
      <w:r w:rsidR="00AB1656">
        <w:rPr>
          <w:rFonts w:ascii="Verdana" w:eastAsia="Adobe Gothic Std B" w:hAnsi="Verdana" w:cs="Arial"/>
        </w:rPr>
        <w:t xml:space="preserve">por </w:t>
      </w:r>
      <w:r w:rsidR="00272509">
        <w:rPr>
          <w:rFonts w:ascii="Verdana" w:eastAsia="Adobe Gothic Std B" w:hAnsi="Verdana" w:cs="Arial"/>
        </w:rPr>
        <w:t>esas</w:t>
      </w:r>
      <w:r w:rsidR="00AB1656">
        <w:rPr>
          <w:rFonts w:ascii="Verdana" w:eastAsia="Adobe Gothic Std B" w:hAnsi="Verdana" w:cs="Arial"/>
        </w:rPr>
        <w:t xml:space="preserve"> personas </w:t>
      </w:r>
      <w:r>
        <w:rPr>
          <w:rFonts w:ascii="Verdana" w:eastAsia="Adobe Gothic Std B" w:hAnsi="Verdana" w:cs="Arial"/>
        </w:rPr>
        <w:t xml:space="preserve">como consecuencia del ejercicio </w:t>
      </w:r>
      <w:r w:rsidR="00B92650">
        <w:rPr>
          <w:rFonts w:ascii="Verdana" w:eastAsia="Adobe Gothic Std B" w:hAnsi="Verdana" w:cs="Arial"/>
        </w:rPr>
        <w:t xml:space="preserve">o el cumplimiento </w:t>
      </w:r>
      <w:r>
        <w:rPr>
          <w:rFonts w:ascii="Verdana" w:eastAsia="Adobe Gothic Std B" w:hAnsi="Verdana" w:cs="Arial"/>
        </w:rPr>
        <w:t xml:space="preserve">de dichas funciones </w:t>
      </w:r>
      <w:r w:rsidR="00CD6D29">
        <w:rPr>
          <w:rFonts w:ascii="Verdana" w:eastAsia="Adobe Gothic Std B" w:hAnsi="Verdana" w:cs="Arial"/>
        </w:rPr>
        <w:t>públicas</w:t>
      </w:r>
      <w:r>
        <w:rPr>
          <w:rFonts w:ascii="Verdana" w:eastAsia="Adobe Gothic Std B" w:hAnsi="Verdana" w:cs="Arial"/>
        </w:rPr>
        <w:t xml:space="preserve"> </w:t>
      </w:r>
      <w:r w:rsidR="00CD6D29">
        <w:rPr>
          <w:rFonts w:ascii="Verdana" w:eastAsia="Adobe Gothic Std B" w:hAnsi="Verdana" w:cs="Arial"/>
        </w:rPr>
        <w:t>transitorias</w:t>
      </w:r>
      <w:r w:rsidR="00BF1E78">
        <w:rPr>
          <w:rFonts w:ascii="Verdana" w:eastAsia="Adobe Gothic Std B" w:hAnsi="Verdana" w:cs="Arial"/>
        </w:rPr>
        <w:t>, entre los cuales se encuentran las declaraciones tributarias que se deben presentar de manera periódica al gobierno nacional por el recaudo del IVA,</w:t>
      </w:r>
      <w:r>
        <w:rPr>
          <w:rFonts w:ascii="Verdana" w:eastAsia="Adobe Gothic Std B" w:hAnsi="Verdana" w:cs="Arial"/>
        </w:rPr>
        <w:t xml:space="preserve"> debe</w:t>
      </w:r>
      <w:r w:rsidR="00CD6D29">
        <w:rPr>
          <w:rFonts w:ascii="Verdana" w:eastAsia="Adobe Gothic Std B" w:hAnsi="Verdana" w:cs="Arial"/>
        </w:rPr>
        <w:t>n</w:t>
      </w:r>
      <w:r>
        <w:rPr>
          <w:rFonts w:ascii="Verdana" w:eastAsia="Adobe Gothic Std B" w:hAnsi="Verdana" w:cs="Arial"/>
        </w:rPr>
        <w:t xml:space="preserve"> ser considerado</w:t>
      </w:r>
      <w:r w:rsidR="00CD6D29">
        <w:rPr>
          <w:rFonts w:ascii="Verdana" w:eastAsia="Adobe Gothic Std B" w:hAnsi="Verdana" w:cs="Arial"/>
        </w:rPr>
        <w:t>s</w:t>
      </w:r>
      <w:r>
        <w:rPr>
          <w:rFonts w:ascii="Verdana" w:eastAsia="Adobe Gothic Std B" w:hAnsi="Verdana" w:cs="Arial"/>
        </w:rPr>
        <w:t xml:space="preserve"> como documento</w:t>
      </w:r>
      <w:r w:rsidR="00AB1656">
        <w:rPr>
          <w:rFonts w:ascii="Verdana" w:eastAsia="Adobe Gothic Std B" w:hAnsi="Verdana" w:cs="Arial"/>
        </w:rPr>
        <w:t>s</w:t>
      </w:r>
      <w:r>
        <w:rPr>
          <w:rFonts w:ascii="Verdana" w:eastAsia="Adobe Gothic Std B" w:hAnsi="Verdana" w:cs="Arial"/>
        </w:rPr>
        <w:t xml:space="preserve"> </w:t>
      </w:r>
      <w:r w:rsidR="00CD6D29">
        <w:rPr>
          <w:rFonts w:ascii="Verdana" w:eastAsia="Adobe Gothic Std B" w:hAnsi="Verdana" w:cs="Arial"/>
        </w:rPr>
        <w:t>público</w:t>
      </w:r>
      <w:r w:rsidR="00AB1656">
        <w:rPr>
          <w:rFonts w:ascii="Verdana" w:eastAsia="Adobe Gothic Std B" w:hAnsi="Verdana" w:cs="Arial"/>
        </w:rPr>
        <w:t>s</w:t>
      </w:r>
      <w:r w:rsidR="00BF1E78">
        <w:rPr>
          <w:rFonts w:ascii="Verdana" w:eastAsia="Adobe Gothic Std B" w:hAnsi="Verdana" w:cs="Arial"/>
        </w:rPr>
        <w:t>;</w:t>
      </w:r>
      <w:r>
        <w:rPr>
          <w:rFonts w:ascii="Verdana" w:eastAsia="Adobe Gothic Std B" w:hAnsi="Verdana" w:cs="Arial"/>
        </w:rPr>
        <w:t xml:space="preserve"> </w:t>
      </w:r>
      <w:r w:rsidR="00CD6D29">
        <w:rPr>
          <w:rFonts w:ascii="Verdana" w:eastAsia="Adobe Gothic Std B" w:hAnsi="Verdana" w:cs="Arial"/>
        </w:rPr>
        <w:t xml:space="preserve">lo </w:t>
      </w:r>
      <w:r w:rsidR="00AB1656">
        <w:rPr>
          <w:rFonts w:ascii="Verdana" w:eastAsia="Adobe Gothic Std B" w:hAnsi="Verdana" w:cs="Arial"/>
        </w:rPr>
        <w:t xml:space="preserve">que a su vez </w:t>
      </w:r>
      <w:r w:rsidR="00272509">
        <w:rPr>
          <w:rFonts w:ascii="Verdana" w:eastAsia="Adobe Gothic Std B" w:hAnsi="Verdana" w:cs="Arial"/>
        </w:rPr>
        <w:t>ocasiona</w:t>
      </w:r>
      <w:r w:rsidR="00AB1656">
        <w:rPr>
          <w:rFonts w:ascii="Verdana" w:eastAsia="Adobe Gothic Std B" w:hAnsi="Verdana" w:cs="Arial"/>
        </w:rPr>
        <w:t xml:space="preserve"> </w:t>
      </w:r>
      <w:r w:rsidR="00CD6D29">
        <w:rPr>
          <w:rFonts w:ascii="Verdana" w:eastAsia="Adobe Gothic Std B" w:hAnsi="Verdana" w:cs="Arial"/>
        </w:rPr>
        <w:t>que dichos documentos</w:t>
      </w:r>
      <w:r w:rsidR="00BF1E78">
        <w:rPr>
          <w:rFonts w:ascii="Verdana" w:eastAsia="Adobe Gothic Std B" w:hAnsi="Verdana" w:cs="Arial"/>
        </w:rPr>
        <w:t>, por su condición de públicos,</w:t>
      </w:r>
      <w:r w:rsidR="00CD6D29">
        <w:rPr>
          <w:rFonts w:ascii="Verdana" w:eastAsia="Adobe Gothic Std B" w:hAnsi="Verdana" w:cs="Arial"/>
        </w:rPr>
        <w:t xml:space="preserve"> </w:t>
      </w:r>
      <w:r w:rsidR="00AB1656">
        <w:rPr>
          <w:rFonts w:ascii="Verdana" w:eastAsia="Adobe Gothic Std B" w:hAnsi="Verdana" w:cs="Arial"/>
        </w:rPr>
        <w:t xml:space="preserve">se encuentren bajo el amparo de la </w:t>
      </w:r>
      <w:r w:rsidR="00A03BE9">
        <w:rPr>
          <w:rFonts w:ascii="Verdana" w:eastAsia="Adobe Gothic Std B" w:hAnsi="Verdana" w:cs="Arial"/>
        </w:rPr>
        <w:t>é</w:t>
      </w:r>
      <w:r w:rsidR="00527CC5">
        <w:rPr>
          <w:rFonts w:ascii="Verdana" w:eastAsia="Adobe Gothic Std B" w:hAnsi="Verdana" w:cs="Arial"/>
        </w:rPr>
        <w:t xml:space="preserve">gida de la </w:t>
      </w:r>
      <w:r w:rsidR="00AB1656">
        <w:rPr>
          <w:rFonts w:ascii="Verdana" w:eastAsia="Adobe Gothic Std B" w:hAnsi="Verdana" w:cs="Arial"/>
        </w:rPr>
        <w:t>presunción de autenticidad,</w:t>
      </w:r>
      <w:r>
        <w:rPr>
          <w:rFonts w:ascii="Verdana" w:eastAsia="Adobe Gothic Std B" w:hAnsi="Verdana" w:cs="Arial"/>
        </w:rPr>
        <w:t xml:space="preserve"> </w:t>
      </w:r>
      <w:r w:rsidR="00AB1656">
        <w:rPr>
          <w:rFonts w:ascii="Verdana" w:eastAsia="Adobe Gothic Std B" w:hAnsi="Verdana" w:cs="Arial"/>
        </w:rPr>
        <w:t xml:space="preserve">como bien se desprende de lo reglado por los artículos 425 C.P.P. y 243 C.G.P. por lo que es obvio que la persona que quiera cuestionar dicha presunción le asiste la carga de aportar los elementos de juicio </w:t>
      </w:r>
      <w:r w:rsidR="00B92650">
        <w:rPr>
          <w:rFonts w:ascii="Verdana" w:eastAsia="Adobe Gothic Std B" w:hAnsi="Verdana" w:cs="Arial"/>
        </w:rPr>
        <w:t xml:space="preserve">que considera que sean </w:t>
      </w:r>
      <w:r w:rsidR="00AB1656">
        <w:rPr>
          <w:rFonts w:ascii="Verdana" w:eastAsia="Adobe Gothic Std B" w:hAnsi="Verdana" w:cs="Arial"/>
        </w:rPr>
        <w:t xml:space="preserve">necesarios para desvirtuarla. </w:t>
      </w:r>
    </w:p>
    <w:p w:rsidR="00BF1E78" w:rsidRDefault="00BF1E78" w:rsidP="00272509">
      <w:pPr>
        <w:spacing w:line="276" w:lineRule="auto"/>
        <w:jc w:val="both"/>
        <w:rPr>
          <w:rFonts w:ascii="Verdana" w:eastAsia="Adobe Gothic Std B" w:hAnsi="Verdana" w:cs="Arial"/>
        </w:rPr>
      </w:pPr>
    </w:p>
    <w:p w:rsidR="00BF1E78" w:rsidRDefault="00BF1E78" w:rsidP="00272509">
      <w:pPr>
        <w:spacing w:line="276" w:lineRule="auto"/>
        <w:jc w:val="both"/>
        <w:rPr>
          <w:rFonts w:ascii="Verdana" w:eastAsia="Adobe Gothic Std B" w:hAnsi="Verdana" w:cs="Arial"/>
        </w:rPr>
      </w:pPr>
      <w:r>
        <w:rPr>
          <w:rFonts w:ascii="Verdana" w:eastAsia="Adobe Gothic Std B" w:hAnsi="Verdana" w:cs="Arial"/>
        </w:rPr>
        <w:t xml:space="preserve">Al aplicar lo anterior al caso en estudio vemos que si la Defensa pretendía cuestionar la autenticidad de las declaraciones </w:t>
      </w:r>
      <w:r>
        <w:rPr>
          <w:rFonts w:ascii="Verdana" w:eastAsia="Adobe Gothic Std B" w:hAnsi="Verdana" w:cs="Arial"/>
        </w:rPr>
        <w:lastRenderedPageBreak/>
        <w:t xml:space="preserve">tributarias aportadas por la Fiscalía al proceso con base en el argumento consistente en que las grafías que aparecían consignadas en las mismas no podían corresponder a las de la Procesada, acorde con lo preceptuado por el aludido principio de </w:t>
      </w:r>
      <w:r w:rsidRPr="004D023F">
        <w:rPr>
          <w:rFonts w:ascii="Verdana" w:eastAsia="Adobe Gothic Std B" w:hAnsi="Verdana" w:cs="Arial"/>
          <w:i/>
        </w:rPr>
        <w:t>la incumbencia probatoria</w:t>
      </w:r>
      <w:r>
        <w:rPr>
          <w:rFonts w:ascii="Verdana" w:eastAsia="Adobe Gothic Std B" w:hAnsi="Verdana" w:cs="Arial"/>
        </w:rPr>
        <w:t xml:space="preserve">, era obvio </w:t>
      </w:r>
      <w:r w:rsidR="004D023F">
        <w:rPr>
          <w:rFonts w:ascii="Verdana" w:eastAsia="Adobe Gothic Std B" w:hAnsi="Verdana" w:cs="Arial"/>
        </w:rPr>
        <w:t xml:space="preserve">que </w:t>
      </w:r>
      <w:r>
        <w:rPr>
          <w:rFonts w:ascii="Verdana" w:eastAsia="Adobe Gothic Std B" w:hAnsi="Verdana" w:cs="Arial"/>
        </w:rPr>
        <w:t>le asistía la carga de demostrar</w:t>
      </w:r>
      <w:r w:rsidR="004D023F">
        <w:rPr>
          <w:rFonts w:ascii="Verdana" w:eastAsia="Adobe Gothic Std B" w:hAnsi="Verdana" w:cs="Arial"/>
        </w:rPr>
        <w:t>,</w:t>
      </w:r>
      <w:r>
        <w:rPr>
          <w:rFonts w:ascii="Verdana" w:eastAsia="Adobe Gothic Std B" w:hAnsi="Verdana" w:cs="Arial"/>
        </w:rPr>
        <w:t xml:space="preserve"> mediante el empleo de los medios de conocimientos pertinentes</w:t>
      </w:r>
      <w:r w:rsidR="004D023F">
        <w:rPr>
          <w:rFonts w:ascii="Verdana" w:eastAsia="Adobe Gothic Std B" w:hAnsi="Verdana" w:cs="Arial"/>
        </w:rPr>
        <w:t>,</w:t>
      </w:r>
      <w:r>
        <w:rPr>
          <w:rFonts w:ascii="Verdana" w:eastAsia="Adobe Gothic Std B" w:hAnsi="Verdana" w:cs="Arial"/>
        </w:rPr>
        <w:t xml:space="preserve"> que las signaturas fueron hechas por alguna otra persona diferente a la acusada. Pero vemos que la realidad probatoria nos demuestra que la Defensa no </w:t>
      </w:r>
      <w:r w:rsidR="004D023F">
        <w:rPr>
          <w:rFonts w:ascii="Verdana" w:eastAsia="Adobe Gothic Std B" w:hAnsi="Verdana" w:cs="Arial"/>
        </w:rPr>
        <w:t>cumplió</w:t>
      </w:r>
      <w:r>
        <w:rPr>
          <w:rFonts w:ascii="Verdana" w:eastAsia="Adobe Gothic Std B" w:hAnsi="Verdana" w:cs="Arial"/>
        </w:rPr>
        <w:t xml:space="preserve"> con dicha carga, </w:t>
      </w:r>
      <w:r w:rsidR="004D023F">
        <w:rPr>
          <w:rFonts w:ascii="Verdana" w:eastAsia="Adobe Gothic Std B" w:hAnsi="Verdana" w:cs="Arial"/>
        </w:rPr>
        <w:t>razón por la que se puede</w:t>
      </w:r>
      <w:r>
        <w:rPr>
          <w:rFonts w:ascii="Verdana" w:eastAsia="Adobe Gothic Std B" w:hAnsi="Verdana" w:cs="Arial"/>
        </w:rPr>
        <w:t xml:space="preserve"> </w:t>
      </w:r>
      <w:r w:rsidR="00B92650">
        <w:rPr>
          <w:rFonts w:ascii="Verdana" w:eastAsia="Adobe Gothic Std B" w:hAnsi="Verdana" w:cs="Arial"/>
        </w:rPr>
        <w:t xml:space="preserve">concluir </w:t>
      </w:r>
      <w:r>
        <w:rPr>
          <w:rFonts w:ascii="Verdana" w:eastAsia="Adobe Gothic Std B" w:hAnsi="Verdana" w:cs="Arial"/>
        </w:rPr>
        <w:t>que todo lo dicho</w:t>
      </w:r>
      <w:r w:rsidR="00B92650">
        <w:rPr>
          <w:rFonts w:ascii="Verdana" w:eastAsia="Adobe Gothic Std B" w:hAnsi="Verdana" w:cs="Arial"/>
        </w:rPr>
        <w:t>,</w:t>
      </w:r>
      <w:r>
        <w:rPr>
          <w:rFonts w:ascii="Verdana" w:eastAsia="Adobe Gothic Std B" w:hAnsi="Verdana" w:cs="Arial"/>
        </w:rPr>
        <w:t xml:space="preserve"> </w:t>
      </w:r>
      <w:r w:rsidR="00B92650">
        <w:rPr>
          <w:rFonts w:ascii="Verdana" w:eastAsia="Adobe Gothic Std B" w:hAnsi="Verdana" w:cs="Arial"/>
        </w:rPr>
        <w:t xml:space="preserve">en tales términos, </w:t>
      </w:r>
      <w:r>
        <w:rPr>
          <w:rFonts w:ascii="Verdana" w:eastAsia="Adobe Gothic Std B" w:hAnsi="Verdana" w:cs="Arial"/>
        </w:rPr>
        <w:t xml:space="preserve">por los apelantes para cuestionar la autenticidad de los documentos de marras </w:t>
      </w:r>
      <w:r w:rsidR="004D023F">
        <w:rPr>
          <w:rFonts w:ascii="Verdana" w:eastAsia="Adobe Gothic Std B" w:hAnsi="Verdana" w:cs="Arial"/>
        </w:rPr>
        <w:t xml:space="preserve">son </w:t>
      </w:r>
      <w:r>
        <w:rPr>
          <w:rFonts w:ascii="Verdana" w:eastAsia="Adobe Gothic Std B" w:hAnsi="Verdana" w:cs="Arial"/>
        </w:rPr>
        <w:t xml:space="preserve"> unas simples y meras especulaciones que en nada afectan la presunción de autenticidad que amparan a </w:t>
      </w:r>
      <w:r w:rsidR="004D023F">
        <w:rPr>
          <w:rFonts w:ascii="Verdana" w:eastAsia="Adobe Gothic Std B" w:hAnsi="Verdana" w:cs="Arial"/>
        </w:rPr>
        <w:t xml:space="preserve">las enunciadas </w:t>
      </w:r>
      <w:r>
        <w:rPr>
          <w:rFonts w:ascii="Verdana" w:eastAsia="Adobe Gothic Std B" w:hAnsi="Verdana" w:cs="Arial"/>
        </w:rPr>
        <w:t xml:space="preserve">declaraciones tributarias.  </w:t>
      </w:r>
    </w:p>
    <w:p w:rsidR="004D023F" w:rsidRDefault="004D023F" w:rsidP="00272509">
      <w:pPr>
        <w:spacing w:line="276" w:lineRule="auto"/>
        <w:jc w:val="both"/>
        <w:rPr>
          <w:rFonts w:ascii="Verdana" w:eastAsia="Adobe Gothic Std B" w:hAnsi="Verdana" w:cs="Arial"/>
        </w:rPr>
      </w:pPr>
    </w:p>
    <w:p w:rsidR="001E49E0" w:rsidRDefault="004D023F" w:rsidP="00272509">
      <w:pPr>
        <w:spacing w:line="276" w:lineRule="auto"/>
        <w:jc w:val="both"/>
        <w:rPr>
          <w:rFonts w:ascii="Verdana" w:eastAsia="Adobe Gothic Std B" w:hAnsi="Verdana" w:cs="Arial"/>
        </w:rPr>
      </w:pPr>
      <w:r>
        <w:rPr>
          <w:rFonts w:ascii="Verdana" w:eastAsia="Adobe Gothic Std B" w:hAnsi="Verdana" w:cs="Arial"/>
        </w:rPr>
        <w:t>Por otra parte, se dice por los apelantes que en el presente asunto no se demostró el comportamiento doloso del delito endilgado en contra de la acusada, debido a que Ella des</w:t>
      </w:r>
      <w:r w:rsidR="00A03BE9">
        <w:rPr>
          <w:rFonts w:ascii="Verdana" w:eastAsia="Adobe Gothic Std B" w:hAnsi="Verdana" w:cs="Arial"/>
        </w:rPr>
        <w:t>conocía</w:t>
      </w:r>
      <w:r w:rsidRPr="004D023F">
        <w:rPr>
          <w:rFonts w:ascii="Verdana" w:eastAsia="Adobe Gothic Std B" w:hAnsi="Verdana" w:cs="Arial"/>
        </w:rPr>
        <w:t xml:space="preserve"> la existencia de la obligación tributaria cuyo pago le era exigido por la DIAN</w:t>
      </w:r>
      <w:r>
        <w:rPr>
          <w:rFonts w:ascii="Verdana" w:eastAsia="Adobe Gothic Std B" w:hAnsi="Verdana" w:cs="Arial"/>
        </w:rPr>
        <w:t xml:space="preserve">, lo cual para la Sala no puede ser de recibo en </w:t>
      </w:r>
      <w:r w:rsidR="001E49E0">
        <w:rPr>
          <w:rFonts w:ascii="Verdana" w:eastAsia="Adobe Gothic Std B" w:hAnsi="Verdana" w:cs="Arial"/>
        </w:rPr>
        <w:t>atención</w:t>
      </w:r>
      <w:r>
        <w:rPr>
          <w:rFonts w:ascii="Verdana" w:eastAsia="Adobe Gothic Std B" w:hAnsi="Verdana" w:cs="Arial"/>
        </w:rPr>
        <w:t xml:space="preserve"> a que </w:t>
      </w:r>
      <w:r w:rsidR="001E49E0">
        <w:rPr>
          <w:rFonts w:ascii="Verdana" w:eastAsia="Adobe Gothic Std B" w:hAnsi="Verdana" w:cs="Arial"/>
        </w:rPr>
        <w:t xml:space="preserve">tales aseveraciones no </w:t>
      </w:r>
      <w:r w:rsidR="00A03BE9">
        <w:rPr>
          <w:rFonts w:ascii="Verdana" w:eastAsia="Adobe Gothic Std B" w:hAnsi="Verdana" w:cs="Arial"/>
        </w:rPr>
        <w:t xml:space="preserve">se </w:t>
      </w:r>
      <w:r w:rsidR="001E49E0">
        <w:rPr>
          <w:rFonts w:ascii="Verdana" w:eastAsia="Adobe Gothic Std B" w:hAnsi="Verdana" w:cs="Arial"/>
        </w:rPr>
        <w:t>corresponde</w:t>
      </w:r>
      <w:r w:rsidR="00A03BE9">
        <w:rPr>
          <w:rFonts w:ascii="Verdana" w:eastAsia="Adobe Gothic Std B" w:hAnsi="Verdana" w:cs="Arial"/>
        </w:rPr>
        <w:t>n</w:t>
      </w:r>
      <w:r w:rsidR="001E49E0">
        <w:rPr>
          <w:rFonts w:ascii="Verdana" w:eastAsia="Adobe Gothic Std B" w:hAnsi="Verdana" w:cs="Arial"/>
        </w:rPr>
        <w:t xml:space="preserve"> con la realidad probatoria. Así</w:t>
      </w:r>
      <w:r>
        <w:rPr>
          <w:rFonts w:ascii="Verdana" w:eastAsia="Adobe Gothic Std B" w:hAnsi="Verdana" w:cs="Arial"/>
        </w:rPr>
        <w:t xml:space="preserve"> </w:t>
      </w:r>
      <w:r w:rsidR="001E49E0">
        <w:rPr>
          <w:rFonts w:ascii="Verdana" w:eastAsia="Adobe Gothic Std B" w:hAnsi="Verdana" w:cs="Arial"/>
        </w:rPr>
        <w:t xml:space="preserve">tenemos que si </w:t>
      </w:r>
      <w:r>
        <w:rPr>
          <w:rFonts w:ascii="Verdana" w:eastAsia="Adobe Gothic Std B" w:hAnsi="Verdana" w:cs="Arial"/>
        </w:rPr>
        <w:t xml:space="preserve">nos atenemos al testimonio rendido por </w:t>
      </w:r>
      <w:r w:rsidRPr="004D023F">
        <w:rPr>
          <w:rFonts w:ascii="Verdana" w:eastAsia="Adobe Gothic Std B" w:hAnsi="Verdana" w:cs="Arial"/>
        </w:rPr>
        <w:t>NAUDIN ANTONIO GÓMEZ</w:t>
      </w:r>
      <w:r>
        <w:rPr>
          <w:rFonts w:ascii="Verdana" w:eastAsia="Adobe Gothic Std B" w:hAnsi="Verdana" w:cs="Arial"/>
        </w:rPr>
        <w:t xml:space="preserve">, se </w:t>
      </w:r>
      <w:r w:rsidR="001E49E0">
        <w:rPr>
          <w:rFonts w:ascii="Verdana" w:eastAsia="Adobe Gothic Std B" w:hAnsi="Verdana" w:cs="Arial"/>
        </w:rPr>
        <w:t>demuestra todo lo contrario a lo argüido por los apelan</w:t>
      </w:r>
      <w:r w:rsidR="00B92650">
        <w:rPr>
          <w:rFonts w:ascii="Verdana" w:eastAsia="Adobe Gothic Std B" w:hAnsi="Verdana" w:cs="Arial"/>
        </w:rPr>
        <w:t>tes, ya que de los dichos de es</w:t>
      </w:r>
      <w:r w:rsidR="001E49E0">
        <w:rPr>
          <w:rFonts w:ascii="Verdana" w:eastAsia="Adobe Gothic Std B" w:hAnsi="Verdana" w:cs="Arial"/>
        </w:rPr>
        <w:t xml:space="preserve">e testigo </w:t>
      </w:r>
      <w:r w:rsidR="00B92650">
        <w:rPr>
          <w:rFonts w:ascii="Verdana" w:eastAsia="Adobe Gothic Std B" w:hAnsi="Verdana" w:cs="Arial"/>
        </w:rPr>
        <w:t xml:space="preserve">se </w:t>
      </w:r>
      <w:r>
        <w:rPr>
          <w:rFonts w:ascii="Verdana" w:eastAsia="Adobe Gothic Std B" w:hAnsi="Verdana" w:cs="Arial"/>
        </w:rPr>
        <w:t xml:space="preserve">desprende que la DIAN </w:t>
      </w:r>
      <w:r w:rsidR="00B92650">
        <w:rPr>
          <w:rFonts w:ascii="Verdana" w:eastAsia="Adobe Gothic Std B" w:hAnsi="Verdana" w:cs="Arial"/>
        </w:rPr>
        <w:t xml:space="preserve">sí </w:t>
      </w:r>
      <w:r>
        <w:rPr>
          <w:rFonts w:ascii="Verdana" w:eastAsia="Adobe Gothic Std B" w:hAnsi="Verdana" w:cs="Arial"/>
        </w:rPr>
        <w:t xml:space="preserve">hizo todo lo </w:t>
      </w:r>
      <w:r w:rsidR="001E49E0">
        <w:rPr>
          <w:rFonts w:ascii="Verdana" w:eastAsia="Adobe Gothic Std B" w:hAnsi="Verdana" w:cs="Arial"/>
        </w:rPr>
        <w:t xml:space="preserve">que </w:t>
      </w:r>
      <w:r>
        <w:rPr>
          <w:rFonts w:ascii="Verdana" w:eastAsia="Adobe Gothic Std B" w:hAnsi="Verdana" w:cs="Arial"/>
        </w:rPr>
        <w:t xml:space="preserve">estuvo a su alcance para enterar a la Sra. </w:t>
      </w:r>
      <w:r w:rsidRPr="004D023F">
        <w:rPr>
          <w:rFonts w:ascii="Verdana" w:eastAsia="Adobe Gothic Std B" w:hAnsi="Verdana" w:cs="Arial"/>
        </w:rPr>
        <w:t>DIANA MILENA HENAO</w:t>
      </w:r>
      <w:r>
        <w:rPr>
          <w:rFonts w:ascii="Verdana" w:eastAsia="Adobe Gothic Std B" w:hAnsi="Verdana" w:cs="Arial"/>
        </w:rPr>
        <w:t xml:space="preserve"> del contenido de lo consignado en el oficio persuasivo # </w:t>
      </w:r>
      <w:r w:rsidR="001E49E0">
        <w:rPr>
          <w:rFonts w:ascii="Verdana" w:eastAsia="Adobe Gothic Std B" w:hAnsi="Verdana" w:cs="Arial"/>
        </w:rPr>
        <w:t xml:space="preserve">20115056000197 del 2 de febrero del 2.011, en el cual se le pretendía notificar del </w:t>
      </w:r>
      <w:r>
        <w:rPr>
          <w:rFonts w:ascii="Verdana" w:eastAsia="Adobe Gothic Std B" w:hAnsi="Verdana" w:cs="Arial"/>
        </w:rPr>
        <w:t>incumplimiento</w:t>
      </w:r>
      <w:r w:rsidR="001E49E0">
        <w:rPr>
          <w:rFonts w:ascii="Verdana" w:eastAsia="Adobe Gothic Std B" w:hAnsi="Verdana" w:cs="Arial"/>
        </w:rPr>
        <w:t xml:space="preserve"> de sus obligaciones tributarias respecto al no pago de los dineros recaudados por concepto de IVA en los periodos establecidos en el proceso. </w:t>
      </w:r>
    </w:p>
    <w:p w:rsidR="001E49E0" w:rsidRDefault="001E49E0" w:rsidP="00272509">
      <w:pPr>
        <w:spacing w:line="276" w:lineRule="auto"/>
        <w:jc w:val="both"/>
        <w:rPr>
          <w:rFonts w:ascii="Verdana" w:eastAsia="Adobe Gothic Std B" w:hAnsi="Verdana" w:cs="Arial"/>
        </w:rPr>
      </w:pPr>
    </w:p>
    <w:p w:rsidR="00572255" w:rsidRDefault="00B92650" w:rsidP="00272509">
      <w:pPr>
        <w:spacing w:line="276" w:lineRule="auto"/>
        <w:jc w:val="both"/>
        <w:rPr>
          <w:rFonts w:ascii="Verdana" w:eastAsia="Adobe Gothic Std B" w:hAnsi="Verdana" w:cs="Arial"/>
        </w:rPr>
      </w:pPr>
      <w:r>
        <w:rPr>
          <w:rFonts w:ascii="Verdana" w:eastAsia="Adobe Gothic Std B" w:hAnsi="Verdana" w:cs="Arial"/>
        </w:rPr>
        <w:t>De igual forma, los apelantes desconocen que</w:t>
      </w:r>
      <w:r w:rsidR="001E49E0">
        <w:rPr>
          <w:rFonts w:ascii="Verdana" w:eastAsia="Adobe Gothic Std B" w:hAnsi="Verdana" w:cs="Arial"/>
        </w:rPr>
        <w:t xml:space="preserve"> los dichos del testigo </w:t>
      </w:r>
      <w:r w:rsidR="001E49E0" w:rsidRPr="001E49E0">
        <w:rPr>
          <w:rFonts w:ascii="Verdana" w:eastAsia="Adobe Gothic Std B" w:hAnsi="Verdana" w:cs="Arial"/>
        </w:rPr>
        <w:t>NAUDIN ANTONIO GÓMEZ</w:t>
      </w:r>
      <w:r w:rsidR="001E49E0">
        <w:rPr>
          <w:rFonts w:ascii="Verdana" w:eastAsia="Adobe Gothic Std B" w:hAnsi="Verdana" w:cs="Arial"/>
        </w:rPr>
        <w:t xml:space="preserve"> obtienen eco en los diferentes documentos aportados por la </w:t>
      </w:r>
      <w:r w:rsidR="00572255">
        <w:rPr>
          <w:rFonts w:ascii="Verdana" w:eastAsia="Adobe Gothic Std B" w:hAnsi="Verdana" w:cs="Arial"/>
        </w:rPr>
        <w:t>Fiscalía</w:t>
      </w:r>
      <w:r w:rsidR="001E49E0">
        <w:rPr>
          <w:rFonts w:ascii="Verdana" w:eastAsia="Adobe Gothic Std B" w:hAnsi="Verdana" w:cs="Arial"/>
        </w:rPr>
        <w:t xml:space="preserve"> </w:t>
      </w:r>
      <w:r>
        <w:rPr>
          <w:rFonts w:ascii="Verdana" w:eastAsia="Adobe Gothic Std B" w:hAnsi="Verdana" w:cs="Arial"/>
        </w:rPr>
        <w:t xml:space="preserve">al proceso, </w:t>
      </w:r>
      <w:r w:rsidR="001E49E0">
        <w:rPr>
          <w:rFonts w:ascii="Verdana" w:eastAsia="Adobe Gothic Std B" w:hAnsi="Verdana" w:cs="Arial"/>
        </w:rPr>
        <w:t>los cuales se demuestra</w:t>
      </w:r>
      <w:r w:rsidR="00572255">
        <w:rPr>
          <w:rFonts w:ascii="Verdana" w:eastAsia="Adobe Gothic Std B" w:hAnsi="Verdana" w:cs="Arial"/>
        </w:rPr>
        <w:t>n</w:t>
      </w:r>
      <w:r w:rsidR="001E49E0">
        <w:rPr>
          <w:rFonts w:ascii="Verdana" w:eastAsia="Adobe Gothic Std B" w:hAnsi="Verdana" w:cs="Arial"/>
        </w:rPr>
        <w:t xml:space="preserve"> </w:t>
      </w:r>
      <w:r w:rsidR="00572255">
        <w:rPr>
          <w:rFonts w:ascii="Verdana" w:eastAsia="Adobe Gothic Std B" w:hAnsi="Verdana" w:cs="Arial"/>
        </w:rPr>
        <w:t xml:space="preserve">todas </w:t>
      </w:r>
      <w:r w:rsidR="001E49E0">
        <w:rPr>
          <w:rFonts w:ascii="Verdana" w:eastAsia="Adobe Gothic Std B" w:hAnsi="Verdana" w:cs="Arial"/>
        </w:rPr>
        <w:t xml:space="preserve">las actividades que el Ente Acusador tuvo que adelantar con la finalidad de poder vincular a la ahora encausada </w:t>
      </w:r>
      <w:r w:rsidR="001E49E0" w:rsidRPr="001E49E0">
        <w:rPr>
          <w:rFonts w:ascii="Verdana" w:eastAsia="Adobe Gothic Std B" w:hAnsi="Verdana" w:cs="Arial"/>
        </w:rPr>
        <w:t>DIANA MILENA HENAO MORALES</w:t>
      </w:r>
      <w:r w:rsidR="001E49E0">
        <w:rPr>
          <w:rFonts w:ascii="Verdana" w:eastAsia="Adobe Gothic Std B" w:hAnsi="Verdana" w:cs="Arial"/>
        </w:rPr>
        <w:t xml:space="preserve"> al proceso, las </w:t>
      </w:r>
      <w:r w:rsidR="00572255">
        <w:rPr>
          <w:rFonts w:ascii="Verdana" w:eastAsia="Adobe Gothic Std B" w:hAnsi="Verdana" w:cs="Arial"/>
        </w:rPr>
        <w:t xml:space="preserve">que </w:t>
      </w:r>
      <w:r w:rsidR="001E49E0">
        <w:rPr>
          <w:rFonts w:ascii="Verdana" w:eastAsia="Adobe Gothic Std B" w:hAnsi="Verdana" w:cs="Arial"/>
        </w:rPr>
        <w:t>resultaron vanas e infructuosas, ya que dicha ciudadana no pudo ser ubicada</w:t>
      </w:r>
      <w:r w:rsidR="00572255">
        <w:rPr>
          <w:rFonts w:ascii="Verdana" w:eastAsia="Adobe Gothic Std B" w:hAnsi="Verdana" w:cs="Arial"/>
        </w:rPr>
        <w:t xml:space="preserve"> </w:t>
      </w:r>
      <w:r w:rsidR="00572255">
        <w:rPr>
          <w:rFonts w:ascii="Verdana" w:eastAsia="Adobe Gothic Std B" w:hAnsi="Verdana" w:cs="Arial"/>
        </w:rPr>
        <w:lastRenderedPageBreak/>
        <w:t>ni localizada</w:t>
      </w:r>
      <w:r w:rsidR="001E49E0">
        <w:rPr>
          <w:rFonts w:ascii="Verdana" w:eastAsia="Adobe Gothic Std B" w:hAnsi="Verdana" w:cs="Arial"/>
        </w:rPr>
        <w:t xml:space="preserve">, </w:t>
      </w:r>
      <w:r w:rsidR="00572255">
        <w:rPr>
          <w:rFonts w:ascii="Verdana" w:eastAsia="Adobe Gothic Std B" w:hAnsi="Verdana" w:cs="Arial"/>
        </w:rPr>
        <w:t>razón</w:t>
      </w:r>
      <w:r w:rsidR="001E49E0">
        <w:rPr>
          <w:rFonts w:ascii="Verdana" w:eastAsia="Adobe Gothic Std B" w:hAnsi="Verdana" w:cs="Arial"/>
        </w:rPr>
        <w:t xml:space="preserve"> por la que se tuvo que acudir al acto ficto de </w:t>
      </w:r>
      <w:r w:rsidR="00572255">
        <w:rPr>
          <w:rFonts w:ascii="Verdana" w:eastAsia="Adobe Gothic Std B" w:hAnsi="Verdana" w:cs="Arial"/>
        </w:rPr>
        <w:t xml:space="preserve">la </w:t>
      </w:r>
      <w:r w:rsidR="001E49E0">
        <w:rPr>
          <w:rFonts w:ascii="Verdana" w:eastAsia="Adobe Gothic Std B" w:hAnsi="Verdana" w:cs="Arial"/>
        </w:rPr>
        <w:t xml:space="preserve">declaratoria de persona ausente, para de esa forma poder conseguir su vinculación al proceso. </w:t>
      </w:r>
    </w:p>
    <w:p w:rsidR="00572255" w:rsidRDefault="00572255" w:rsidP="00272509">
      <w:pPr>
        <w:spacing w:line="276" w:lineRule="auto"/>
        <w:jc w:val="both"/>
        <w:rPr>
          <w:rFonts w:ascii="Verdana" w:eastAsia="Adobe Gothic Std B" w:hAnsi="Verdana" w:cs="Arial"/>
        </w:rPr>
      </w:pPr>
    </w:p>
    <w:p w:rsidR="00F0409E" w:rsidRPr="00F0409E" w:rsidRDefault="00572255" w:rsidP="00272509">
      <w:pPr>
        <w:spacing w:line="276" w:lineRule="auto"/>
        <w:jc w:val="both"/>
        <w:rPr>
          <w:rFonts w:ascii="Verdana" w:eastAsia="Adobe Gothic Std B" w:hAnsi="Verdana" w:cs="Arial"/>
        </w:rPr>
      </w:pPr>
      <w:r>
        <w:rPr>
          <w:rFonts w:ascii="Verdana" w:eastAsia="Adobe Gothic Std B" w:hAnsi="Verdana" w:cs="Arial"/>
        </w:rPr>
        <w:t xml:space="preserve">En suma, si la Procesada </w:t>
      </w:r>
      <w:r w:rsidRPr="00572255">
        <w:rPr>
          <w:rFonts w:ascii="Verdana" w:eastAsia="Adobe Gothic Std B" w:hAnsi="Verdana" w:cs="Arial"/>
        </w:rPr>
        <w:t xml:space="preserve">DIANA MILENA HENAO </w:t>
      </w:r>
      <w:r>
        <w:rPr>
          <w:rFonts w:ascii="Verdana" w:eastAsia="Adobe Gothic Std B" w:hAnsi="Verdana" w:cs="Arial"/>
        </w:rPr>
        <w:t xml:space="preserve">no fue enterada personalmente de los requerimientos efectuados por la DIAN para que cancelara los dineros que había recaudado por concepto del IVA, ello no se debió a culpa de la administración de impuestos, sino </w:t>
      </w:r>
      <w:r w:rsidR="00A03BE9">
        <w:rPr>
          <w:rFonts w:ascii="Verdana" w:eastAsia="Adobe Gothic Std B" w:hAnsi="Verdana" w:cs="Arial"/>
        </w:rPr>
        <w:t>de</w:t>
      </w:r>
      <w:r>
        <w:rPr>
          <w:rFonts w:ascii="Verdana" w:eastAsia="Adobe Gothic Std B" w:hAnsi="Verdana" w:cs="Arial"/>
        </w:rPr>
        <w:t xml:space="preserve"> la misma Procesada quien no pudo ser ubicada en el domicilio que </w:t>
      </w:r>
      <w:r w:rsidR="00CF24BC">
        <w:rPr>
          <w:rFonts w:ascii="Verdana" w:eastAsia="Adobe Gothic Std B" w:hAnsi="Verdana" w:cs="Arial"/>
        </w:rPr>
        <w:t>había</w:t>
      </w:r>
      <w:r>
        <w:rPr>
          <w:rFonts w:ascii="Verdana" w:eastAsia="Adobe Gothic Std B" w:hAnsi="Verdana" w:cs="Arial"/>
        </w:rPr>
        <w:t xml:space="preserve"> registrado como sede de sus actividades mercantiles, ni le infor</w:t>
      </w:r>
      <w:r w:rsidR="00A03BE9">
        <w:rPr>
          <w:rFonts w:ascii="Verdana" w:eastAsia="Adobe Gothic Std B" w:hAnsi="Verdana" w:cs="Arial"/>
        </w:rPr>
        <w:t>mó a la DIAN que había fijado un</w:t>
      </w:r>
      <w:r>
        <w:rPr>
          <w:rFonts w:ascii="Verdana" w:eastAsia="Adobe Gothic Std B" w:hAnsi="Verdana" w:cs="Arial"/>
        </w:rPr>
        <w:t xml:space="preserve"> domicilio </w:t>
      </w:r>
      <w:r w:rsidR="00A03BE9">
        <w:rPr>
          <w:rFonts w:ascii="Verdana" w:eastAsia="Adobe Gothic Std B" w:hAnsi="Verdana" w:cs="Arial"/>
        </w:rPr>
        <w:t xml:space="preserve">comercial </w:t>
      </w:r>
      <w:r>
        <w:rPr>
          <w:rFonts w:ascii="Verdana" w:eastAsia="Adobe Gothic Std B" w:hAnsi="Verdana" w:cs="Arial"/>
        </w:rPr>
        <w:t>en otra ciudad.</w:t>
      </w:r>
      <w:r w:rsidR="001E49E0">
        <w:rPr>
          <w:rFonts w:ascii="Verdana" w:eastAsia="Adobe Gothic Std B" w:hAnsi="Verdana" w:cs="Arial"/>
        </w:rPr>
        <w:t xml:space="preserve"> </w:t>
      </w:r>
    </w:p>
    <w:p w:rsidR="00F0409E" w:rsidRPr="00F0409E" w:rsidRDefault="00F0409E" w:rsidP="00272509">
      <w:pPr>
        <w:spacing w:line="276" w:lineRule="auto"/>
        <w:jc w:val="both"/>
        <w:rPr>
          <w:rFonts w:ascii="Verdana" w:eastAsia="Adobe Gothic Std B" w:hAnsi="Verdana" w:cs="Arial"/>
        </w:rPr>
      </w:pPr>
    </w:p>
    <w:p w:rsidR="00F0409E" w:rsidRDefault="00F0409E" w:rsidP="00272509">
      <w:pPr>
        <w:spacing w:line="276" w:lineRule="auto"/>
        <w:jc w:val="both"/>
        <w:rPr>
          <w:rFonts w:ascii="Verdana" w:eastAsia="Adobe Gothic Std B" w:hAnsi="Verdana" w:cs="Arial"/>
        </w:rPr>
      </w:pPr>
      <w:r w:rsidRPr="00F0409E">
        <w:rPr>
          <w:rFonts w:ascii="Verdana" w:eastAsia="Adobe Gothic Std B" w:hAnsi="Verdana" w:cs="Arial"/>
        </w:rPr>
        <w:t>Lo dicho hasta el momento</w:t>
      </w:r>
      <w:r w:rsidR="001E49E0">
        <w:rPr>
          <w:rFonts w:ascii="Verdana" w:eastAsia="Adobe Gothic Std B" w:hAnsi="Verdana" w:cs="Arial"/>
        </w:rPr>
        <w:t xml:space="preserve"> es suficiente para concluir que no le asiste la razón a los reproches formulados por los apelantes en contra del fallo opugnado</w:t>
      </w:r>
      <w:r w:rsidRPr="00F0409E">
        <w:rPr>
          <w:rFonts w:ascii="Verdana" w:eastAsia="Adobe Gothic Std B" w:hAnsi="Verdana" w:cs="Arial"/>
        </w:rPr>
        <w:t xml:space="preserve">, </w:t>
      </w:r>
      <w:r w:rsidR="003C6C19">
        <w:rPr>
          <w:rFonts w:ascii="Verdana" w:eastAsia="Adobe Gothic Std B" w:hAnsi="Verdana" w:cs="Arial"/>
        </w:rPr>
        <w:t>y</w:t>
      </w:r>
      <w:r w:rsidR="00572255">
        <w:rPr>
          <w:rFonts w:ascii="Verdana" w:eastAsia="Adobe Gothic Std B" w:hAnsi="Verdana" w:cs="Arial"/>
        </w:rPr>
        <w:t>a</w:t>
      </w:r>
      <w:r w:rsidR="003C6C19">
        <w:rPr>
          <w:rFonts w:ascii="Verdana" w:eastAsia="Adobe Gothic Std B" w:hAnsi="Verdana" w:cs="Arial"/>
        </w:rPr>
        <w:t xml:space="preserve"> que las p</w:t>
      </w:r>
      <w:r w:rsidR="00A03BE9">
        <w:rPr>
          <w:rFonts w:ascii="Verdana" w:eastAsia="Adobe Gothic Std B" w:hAnsi="Verdana" w:cs="Arial"/>
        </w:rPr>
        <w:t>ruebas aducidas al proceso si</w:t>
      </w:r>
      <w:r w:rsidR="003C6C19">
        <w:rPr>
          <w:rFonts w:ascii="Verdana" w:eastAsia="Adobe Gothic Std B" w:hAnsi="Verdana" w:cs="Arial"/>
        </w:rPr>
        <w:t xml:space="preserve"> cumplían con los requisitos exigidos por parte del articulo 381 C.P.P. </w:t>
      </w:r>
      <w:r w:rsidR="00A03BE9">
        <w:rPr>
          <w:rFonts w:ascii="Verdana" w:eastAsia="Adobe Gothic Std B" w:hAnsi="Verdana" w:cs="Arial"/>
        </w:rPr>
        <w:t xml:space="preserve">para </w:t>
      </w:r>
      <w:r w:rsidR="003C6C19" w:rsidRPr="003C6C19">
        <w:rPr>
          <w:rFonts w:ascii="Verdana" w:eastAsia="Adobe Gothic Std B" w:hAnsi="Verdana" w:cs="Arial"/>
        </w:rPr>
        <w:t>poder proferir en contra de la Procesada DIANA MILENA HENAO MORALES un fallo de responsabilidad criminal, acorde con los cargos</w:t>
      </w:r>
      <w:r w:rsidR="003C6C19">
        <w:rPr>
          <w:rFonts w:ascii="Verdana" w:eastAsia="Adobe Gothic Std B" w:hAnsi="Verdana" w:cs="Arial"/>
        </w:rPr>
        <w:t xml:space="preserve"> relacionados con la comisión del delito de o</w:t>
      </w:r>
      <w:r w:rsidRPr="00F0409E">
        <w:rPr>
          <w:rFonts w:ascii="Verdana" w:eastAsia="Adobe Gothic Std B" w:hAnsi="Verdana" w:cs="Arial"/>
        </w:rPr>
        <w:t>misión de agente retenedor</w:t>
      </w:r>
      <w:r w:rsidR="003C6C19">
        <w:rPr>
          <w:rFonts w:ascii="Verdana" w:eastAsia="Adobe Gothic Std B" w:hAnsi="Verdana" w:cs="Arial"/>
        </w:rPr>
        <w:t xml:space="preserve">. </w:t>
      </w:r>
      <w:r w:rsidRPr="00F0409E">
        <w:rPr>
          <w:rFonts w:ascii="Verdana" w:eastAsia="Adobe Gothic Std B" w:hAnsi="Verdana" w:cs="Arial"/>
        </w:rPr>
        <w:t xml:space="preserve"> </w:t>
      </w:r>
    </w:p>
    <w:p w:rsidR="003C6C19" w:rsidRDefault="003C6C19" w:rsidP="00272509">
      <w:pPr>
        <w:spacing w:line="276" w:lineRule="auto"/>
        <w:jc w:val="both"/>
        <w:rPr>
          <w:rFonts w:ascii="Verdana" w:eastAsia="Adobe Gothic Std B" w:hAnsi="Verdana" w:cs="Arial"/>
        </w:rPr>
      </w:pPr>
    </w:p>
    <w:p w:rsidR="000246E4" w:rsidRDefault="000246E4" w:rsidP="00272509">
      <w:pPr>
        <w:spacing w:line="276" w:lineRule="auto"/>
        <w:jc w:val="both"/>
        <w:rPr>
          <w:rFonts w:ascii="Verdana" w:eastAsia="Adobe Gothic Std B" w:hAnsi="Verdana" w:cs="Arial"/>
        </w:rPr>
      </w:pPr>
    </w:p>
    <w:p w:rsidR="003C6C19" w:rsidRDefault="003C6C19" w:rsidP="00272509">
      <w:pPr>
        <w:spacing w:line="276" w:lineRule="auto"/>
        <w:jc w:val="both"/>
        <w:rPr>
          <w:rFonts w:ascii="Verdana" w:eastAsia="Adobe Gothic Std B" w:hAnsi="Verdana" w:cs="Arial"/>
        </w:rPr>
      </w:pPr>
      <w:r>
        <w:rPr>
          <w:rFonts w:ascii="Verdana" w:eastAsia="Adobe Gothic Std B" w:hAnsi="Verdana" w:cs="Arial"/>
        </w:rPr>
        <w:t xml:space="preserve">Siendo </w:t>
      </w:r>
      <w:r w:rsidR="00CF24BC">
        <w:rPr>
          <w:rFonts w:ascii="Verdana" w:eastAsia="Adobe Gothic Std B" w:hAnsi="Verdana" w:cs="Arial"/>
        </w:rPr>
        <w:t>así</w:t>
      </w:r>
      <w:r>
        <w:rPr>
          <w:rFonts w:ascii="Verdana" w:eastAsia="Adobe Gothic Std B" w:hAnsi="Verdana" w:cs="Arial"/>
        </w:rPr>
        <w:t xml:space="preserve"> las </w:t>
      </w:r>
      <w:r w:rsidR="00A03BE9">
        <w:rPr>
          <w:rFonts w:ascii="Verdana" w:eastAsia="Adobe Gothic Std B" w:hAnsi="Verdana" w:cs="Arial"/>
        </w:rPr>
        <w:t>cosas, la Colegiatura confirmará</w:t>
      </w:r>
      <w:r>
        <w:rPr>
          <w:rFonts w:ascii="Verdana" w:eastAsia="Adobe Gothic Std B" w:hAnsi="Verdana" w:cs="Arial"/>
        </w:rPr>
        <w:t xml:space="preserve"> el fallo opugnado en todo aquello que fue objeto de la tesis de la discrepancia propuesta por los apelantes. </w:t>
      </w:r>
    </w:p>
    <w:p w:rsidR="003C6C19" w:rsidRDefault="003C6C19" w:rsidP="00272509">
      <w:pPr>
        <w:spacing w:line="276" w:lineRule="auto"/>
        <w:jc w:val="both"/>
        <w:rPr>
          <w:rFonts w:ascii="Verdana" w:eastAsia="Adobe Gothic Std B" w:hAnsi="Verdana" w:cs="Arial"/>
        </w:rPr>
      </w:pPr>
    </w:p>
    <w:p w:rsidR="000246E4" w:rsidRPr="00F0409E" w:rsidRDefault="000246E4" w:rsidP="00272509">
      <w:pPr>
        <w:spacing w:line="276" w:lineRule="auto"/>
        <w:jc w:val="both"/>
        <w:rPr>
          <w:rFonts w:ascii="Verdana" w:eastAsia="Adobe Gothic Std B" w:hAnsi="Verdana" w:cs="Arial"/>
        </w:rPr>
      </w:pPr>
    </w:p>
    <w:p w:rsidR="00F0409E" w:rsidRPr="00F0409E" w:rsidRDefault="00F0409E" w:rsidP="00272509">
      <w:pPr>
        <w:spacing w:line="276" w:lineRule="auto"/>
        <w:jc w:val="both"/>
        <w:rPr>
          <w:rFonts w:ascii="Verdana" w:eastAsia="Calibri" w:hAnsi="Verdana" w:cs="Arial"/>
        </w:rPr>
      </w:pPr>
      <w:r w:rsidRPr="00F0409E">
        <w:rPr>
          <w:rFonts w:ascii="Verdana" w:eastAsia="Calibri" w:hAnsi="Verdana" w:cs="Arial"/>
        </w:rPr>
        <w:t>Por el mérito de lo antes expuesto, la Sala Penal de Decisión del Tribunal Superior del Distrito Judicial del Pereira, administrando justicia en nombre de la República y por autoridad de la ley,</w:t>
      </w:r>
    </w:p>
    <w:p w:rsidR="000246E4" w:rsidRDefault="000246E4" w:rsidP="000246E4">
      <w:pPr>
        <w:spacing w:line="360" w:lineRule="auto"/>
        <w:jc w:val="center"/>
        <w:rPr>
          <w:rFonts w:ascii="Verdana" w:eastAsia="Calibri" w:hAnsi="Verdana" w:cs="Arial"/>
          <w:b/>
        </w:rPr>
      </w:pPr>
    </w:p>
    <w:p w:rsidR="00F0409E" w:rsidRPr="00F0409E" w:rsidRDefault="00F0409E" w:rsidP="000246E4">
      <w:pPr>
        <w:jc w:val="center"/>
        <w:rPr>
          <w:rFonts w:ascii="Verdana" w:eastAsia="Calibri" w:hAnsi="Verdana" w:cs="Arial"/>
          <w:b/>
        </w:rPr>
      </w:pPr>
      <w:r w:rsidRPr="00F0409E">
        <w:rPr>
          <w:rFonts w:ascii="Verdana" w:eastAsia="Calibri" w:hAnsi="Verdana" w:cs="Arial"/>
          <w:b/>
        </w:rPr>
        <w:t>RESUELVE:</w:t>
      </w:r>
    </w:p>
    <w:p w:rsidR="00F0409E" w:rsidRPr="00F0409E" w:rsidRDefault="00F0409E" w:rsidP="000246E4">
      <w:pPr>
        <w:jc w:val="both"/>
        <w:rPr>
          <w:rFonts w:ascii="Verdana" w:eastAsia="Calibri" w:hAnsi="Verdana" w:cs="Arial"/>
          <w:b/>
        </w:rPr>
      </w:pPr>
    </w:p>
    <w:p w:rsidR="003C6C19" w:rsidRDefault="00F0409E" w:rsidP="00272509">
      <w:pPr>
        <w:spacing w:line="276" w:lineRule="auto"/>
        <w:jc w:val="both"/>
        <w:rPr>
          <w:rFonts w:ascii="Verdana" w:eastAsia="Calibri" w:hAnsi="Verdana" w:cs="Arial"/>
        </w:rPr>
      </w:pPr>
      <w:r w:rsidRPr="00F0409E">
        <w:rPr>
          <w:rFonts w:ascii="Verdana" w:eastAsia="Calibri" w:hAnsi="Verdana" w:cs="Arial"/>
          <w:b/>
        </w:rPr>
        <w:t>PRIMERO:</w:t>
      </w:r>
      <w:r w:rsidRPr="00F0409E">
        <w:rPr>
          <w:rFonts w:ascii="Verdana" w:eastAsia="Calibri" w:hAnsi="Verdana" w:cs="Arial"/>
        </w:rPr>
        <w:t xml:space="preserve"> </w:t>
      </w:r>
      <w:r w:rsidRPr="00F0409E">
        <w:rPr>
          <w:rFonts w:ascii="Verdana" w:eastAsia="Calibri" w:hAnsi="Verdana" w:cs="Arial"/>
          <w:b/>
        </w:rPr>
        <w:t>CONFIRMAR</w:t>
      </w:r>
      <w:r w:rsidRPr="00F0409E">
        <w:rPr>
          <w:rFonts w:ascii="Verdana" w:eastAsia="Calibri" w:hAnsi="Verdana" w:cs="Arial"/>
        </w:rPr>
        <w:t xml:space="preserve"> </w:t>
      </w:r>
      <w:r w:rsidR="003C6C19" w:rsidRPr="003C6C19">
        <w:rPr>
          <w:rFonts w:ascii="Verdana" w:eastAsia="Calibri" w:hAnsi="Verdana" w:cs="Arial"/>
        </w:rPr>
        <w:t xml:space="preserve">la sentencia proferida el treinta (30) de abril del 2.015 por parte del entonces Juzgado Único Penal del Circuito de Descongestión de Dosquebradas, en la cual se declaró la responsabilidad penal de la acusada </w:t>
      </w:r>
      <w:r w:rsidR="003C6C19" w:rsidRPr="00A03BE9">
        <w:rPr>
          <w:rFonts w:ascii="Verdana" w:eastAsia="Calibri" w:hAnsi="Verdana" w:cs="Arial"/>
          <w:b/>
        </w:rPr>
        <w:t xml:space="preserve">DIANA MILENA HENAO </w:t>
      </w:r>
      <w:r w:rsidR="003C6C19" w:rsidRPr="00A03BE9">
        <w:rPr>
          <w:rFonts w:ascii="Verdana" w:eastAsia="Calibri" w:hAnsi="Verdana" w:cs="Arial"/>
          <w:b/>
        </w:rPr>
        <w:lastRenderedPageBreak/>
        <w:t>MORALES</w:t>
      </w:r>
      <w:r w:rsidR="003C6C19" w:rsidRPr="003C6C19">
        <w:rPr>
          <w:rFonts w:ascii="Verdana" w:eastAsia="Calibri" w:hAnsi="Verdana" w:cs="Arial"/>
        </w:rPr>
        <w:t xml:space="preserve"> por incurrir en la comisión del delito de Omisión de agente retenedor o recaudador.</w:t>
      </w:r>
    </w:p>
    <w:p w:rsidR="003C6C19" w:rsidRDefault="003C6C19" w:rsidP="00272509">
      <w:pPr>
        <w:spacing w:line="276" w:lineRule="auto"/>
        <w:jc w:val="both"/>
        <w:rPr>
          <w:rFonts w:ascii="Verdana" w:eastAsia="Calibri" w:hAnsi="Verdana" w:cs="Arial"/>
        </w:rPr>
      </w:pPr>
    </w:p>
    <w:p w:rsidR="00F0409E" w:rsidRPr="00F0409E" w:rsidRDefault="00F0409E" w:rsidP="00272509">
      <w:pPr>
        <w:spacing w:line="276" w:lineRule="auto"/>
        <w:jc w:val="both"/>
        <w:rPr>
          <w:rFonts w:ascii="Verdana" w:eastAsia="Calibri" w:hAnsi="Verdana" w:cs="Arial"/>
        </w:rPr>
      </w:pPr>
      <w:r w:rsidRPr="00F0409E">
        <w:rPr>
          <w:rFonts w:ascii="Verdana" w:eastAsia="Calibri" w:hAnsi="Verdana" w:cs="Arial"/>
          <w:b/>
        </w:rPr>
        <w:t>SEGUNDO</w:t>
      </w:r>
      <w:r w:rsidRPr="00F0409E">
        <w:rPr>
          <w:rFonts w:ascii="Verdana" w:eastAsia="Calibri" w:hAnsi="Verdana" w:cs="Arial"/>
        </w:rPr>
        <w:t xml:space="preserve">: Declarar que en contra de la presente sentencia de </w:t>
      </w:r>
      <w:r w:rsidR="003C6C19">
        <w:rPr>
          <w:rFonts w:ascii="Verdana" w:eastAsia="Calibri" w:hAnsi="Verdana" w:cs="Arial"/>
        </w:rPr>
        <w:t>2ª in</w:t>
      </w:r>
      <w:r w:rsidRPr="00F0409E">
        <w:rPr>
          <w:rFonts w:ascii="Verdana" w:eastAsia="Calibri" w:hAnsi="Verdana" w:cs="Arial"/>
        </w:rPr>
        <w:t>stancia procede el recurso de casación, el cual deberá ser interpuesto y sustentado dentro de las oportunidades de ley.</w:t>
      </w:r>
    </w:p>
    <w:p w:rsidR="00F0409E" w:rsidRPr="00F0409E" w:rsidRDefault="00F0409E" w:rsidP="00272509">
      <w:pPr>
        <w:spacing w:line="276" w:lineRule="auto"/>
        <w:jc w:val="both"/>
        <w:rPr>
          <w:rFonts w:ascii="Verdana" w:eastAsia="Calibri" w:hAnsi="Verdana" w:cs="Arial"/>
          <w:b/>
        </w:rPr>
      </w:pPr>
    </w:p>
    <w:p w:rsidR="00F0409E" w:rsidRPr="00F0409E" w:rsidRDefault="00F0409E" w:rsidP="00272509">
      <w:pPr>
        <w:spacing w:line="276" w:lineRule="auto"/>
        <w:jc w:val="center"/>
        <w:rPr>
          <w:rFonts w:ascii="Verdana" w:eastAsia="Calibri" w:hAnsi="Verdana" w:cs="Arial"/>
          <w:b/>
        </w:rPr>
      </w:pPr>
      <w:r w:rsidRPr="00F0409E">
        <w:rPr>
          <w:rFonts w:ascii="Verdana" w:eastAsia="Calibri" w:hAnsi="Verdana" w:cs="Arial"/>
          <w:b/>
        </w:rPr>
        <w:t>NOTIFÍQUESE Y CÚMPLASE:</w:t>
      </w:r>
    </w:p>
    <w:p w:rsidR="00F0409E" w:rsidRPr="00F0409E" w:rsidRDefault="00F0409E" w:rsidP="00272509">
      <w:pPr>
        <w:spacing w:line="276" w:lineRule="auto"/>
        <w:jc w:val="both"/>
        <w:rPr>
          <w:rFonts w:ascii="Verdana" w:eastAsia="Calibri" w:hAnsi="Verdana" w:cs="Arial"/>
        </w:rPr>
      </w:pPr>
    </w:p>
    <w:p w:rsidR="00F0409E" w:rsidRPr="00F0409E" w:rsidRDefault="00F0409E" w:rsidP="00272509">
      <w:pPr>
        <w:spacing w:line="276" w:lineRule="auto"/>
        <w:jc w:val="both"/>
        <w:rPr>
          <w:rFonts w:ascii="Verdana" w:eastAsia="Calibri" w:hAnsi="Verdana" w:cs="Arial"/>
        </w:rPr>
      </w:pPr>
    </w:p>
    <w:p w:rsidR="00F0409E" w:rsidRPr="00F0409E" w:rsidRDefault="00F0409E" w:rsidP="00572255">
      <w:pPr>
        <w:jc w:val="both"/>
        <w:rPr>
          <w:rFonts w:ascii="Verdana" w:eastAsia="Calibri" w:hAnsi="Verdana" w:cs="Arial"/>
        </w:rPr>
      </w:pPr>
    </w:p>
    <w:p w:rsidR="00F0409E" w:rsidRDefault="00F0409E" w:rsidP="00572255">
      <w:pPr>
        <w:jc w:val="both"/>
        <w:rPr>
          <w:rFonts w:ascii="Verdana" w:eastAsia="Calibri" w:hAnsi="Verdana" w:cs="Arial"/>
        </w:rPr>
      </w:pPr>
    </w:p>
    <w:p w:rsidR="000246E4" w:rsidRPr="00F0409E" w:rsidRDefault="000246E4" w:rsidP="00572255">
      <w:pPr>
        <w:jc w:val="both"/>
        <w:rPr>
          <w:rFonts w:ascii="Verdana" w:eastAsia="Calibri" w:hAnsi="Verdana" w:cs="Arial"/>
        </w:rPr>
      </w:pPr>
    </w:p>
    <w:p w:rsidR="00F0409E" w:rsidRPr="00F0409E" w:rsidRDefault="00F0409E" w:rsidP="00572255">
      <w:pPr>
        <w:jc w:val="both"/>
        <w:rPr>
          <w:rFonts w:ascii="Verdana" w:eastAsia="Calibri" w:hAnsi="Verdana" w:cs="Arial"/>
        </w:rPr>
      </w:pPr>
    </w:p>
    <w:p w:rsidR="00F0409E" w:rsidRPr="00F0409E" w:rsidRDefault="00F0409E" w:rsidP="00572255">
      <w:pPr>
        <w:jc w:val="center"/>
        <w:rPr>
          <w:rFonts w:ascii="Verdana" w:eastAsia="Calibri" w:hAnsi="Verdana" w:cs="Arial"/>
          <w:b/>
        </w:rPr>
      </w:pPr>
      <w:r w:rsidRPr="00F0409E">
        <w:rPr>
          <w:rFonts w:ascii="Verdana" w:eastAsia="Calibri" w:hAnsi="Verdana" w:cs="Arial"/>
          <w:b/>
        </w:rPr>
        <w:t>MANUEL YARZAGARAY BANDERA</w:t>
      </w:r>
    </w:p>
    <w:p w:rsidR="00F0409E" w:rsidRPr="00F0409E" w:rsidRDefault="00F0409E" w:rsidP="00572255">
      <w:pPr>
        <w:jc w:val="center"/>
        <w:rPr>
          <w:rFonts w:ascii="Verdana" w:eastAsia="Calibri" w:hAnsi="Verdana" w:cs="Arial"/>
        </w:rPr>
      </w:pPr>
      <w:r w:rsidRPr="00F0409E">
        <w:rPr>
          <w:rFonts w:ascii="Verdana" w:eastAsia="Calibri" w:hAnsi="Verdana" w:cs="Arial"/>
        </w:rPr>
        <w:t>Magistrado</w:t>
      </w:r>
    </w:p>
    <w:p w:rsidR="00F0409E" w:rsidRPr="00F0409E" w:rsidRDefault="00F0409E" w:rsidP="00572255">
      <w:pPr>
        <w:jc w:val="center"/>
        <w:rPr>
          <w:rFonts w:ascii="Verdana" w:eastAsia="Calibri" w:hAnsi="Verdana" w:cs="Arial"/>
        </w:rPr>
      </w:pPr>
    </w:p>
    <w:p w:rsidR="00F0409E" w:rsidRPr="00F0409E" w:rsidRDefault="00F0409E" w:rsidP="00572255">
      <w:pPr>
        <w:jc w:val="center"/>
        <w:rPr>
          <w:rFonts w:ascii="Verdana" w:eastAsia="Calibri" w:hAnsi="Verdana" w:cs="Arial"/>
        </w:rPr>
      </w:pPr>
    </w:p>
    <w:p w:rsidR="00F0409E" w:rsidRDefault="00F0409E" w:rsidP="00572255">
      <w:pPr>
        <w:jc w:val="center"/>
        <w:rPr>
          <w:rFonts w:ascii="Verdana" w:eastAsia="Calibri" w:hAnsi="Verdana" w:cs="Arial"/>
        </w:rPr>
      </w:pPr>
    </w:p>
    <w:p w:rsidR="000246E4" w:rsidRPr="00F0409E" w:rsidRDefault="000246E4" w:rsidP="00572255">
      <w:pPr>
        <w:jc w:val="center"/>
        <w:rPr>
          <w:rFonts w:ascii="Verdana" w:eastAsia="Calibri" w:hAnsi="Verdana" w:cs="Arial"/>
        </w:rPr>
      </w:pPr>
    </w:p>
    <w:p w:rsidR="00F0409E" w:rsidRDefault="00F0409E" w:rsidP="00572255">
      <w:pPr>
        <w:jc w:val="center"/>
        <w:rPr>
          <w:rFonts w:ascii="Verdana" w:eastAsia="Calibri" w:hAnsi="Verdana" w:cs="Arial"/>
        </w:rPr>
      </w:pPr>
    </w:p>
    <w:p w:rsidR="000246E4" w:rsidRPr="00F0409E" w:rsidRDefault="000246E4" w:rsidP="00572255">
      <w:pPr>
        <w:jc w:val="center"/>
        <w:rPr>
          <w:rFonts w:ascii="Verdana" w:eastAsia="Calibri" w:hAnsi="Verdana" w:cs="Arial"/>
        </w:rPr>
      </w:pPr>
    </w:p>
    <w:p w:rsidR="00F0409E" w:rsidRPr="00F0409E" w:rsidRDefault="00F0409E" w:rsidP="000246E4">
      <w:pPr>
        <w:rPr>
          <w:rFonts w:ascii="Verdana" w:eastAsia="Calibri" w:hAnsi="Verdana" w:cs="Arial"/>
          <w:b/>
        </w:rPr>
      </w:pPr>
      <w:r w:rsidRPr="00F0409E">
        <w:rPr>
          <w:rFonts w:ascii="Verdana" w:eastAsia="Calibri" w:hAnsi="Verdana" w:cs="Arial"/>
          <w:b/>
        </w:rPr>
        <w:t>JORGE ARTURO CASTAÑO DUQUE</w:t>
      </w:r>
    </w:p>
    <w:p w:rsidR="00F0409E" w:rsidRPr="00F0409E" w:rsidRDefault="00F0409E" w:rsidP="000246E4">
      <w:pPr>
        <w:rPr>
          <w:rFonts w:ascii="Verdana" w:eastAsia="Calibri" w:hAnsi="Verdana" w:cs="Arial"/>
        </w:rPr>
      </w:pPr>
      <w:r w:rsidRPr="00F0409E">
        <w:rPr>
          <w:rFonts w:ascii="Verdana" w:eastAsia="Calibri" w:hAnsi="Verdana" w:cs="Arial"/>
        </w:rPr>
        <w:t>Magistrado</w:t>
      </w:r>
    </w:p>
    <w:p w:rsidR="00F0409E" w:rsidRPr="00F0409E" w:rsidRDefault="00F0409E" w:rsidP="00572255">
      <w:pPr>
        <w:jc w:val="center"/>
        <w:rPr>
          <w:rFonts w:ascii="Verdana" w:eastAsia="Calibri" w:hAnsi="Verdana" w:cs="Arial"/>
        </w:rPr>
      </w:pPr>
    </w:p>
    <w:p w:rsidR="00F0409E" w:rsidRPr="00F0409E" w:rsidRDefault="00F0409E" w:rsidP="00572255">
      <w:pPr>
        <w:jc w:val="center"/>
        <w:rPr>
          <w:rFonts w:ascii="Verdana" w:eastAsia="Calibri" w:hAnsi="Verdana" w:cs="Arial"/>
        </w:rPr>
      </w:pPr>
    </w:p>
    <w:p w:rsidR="000246E4" w:rsidRDefault="000246E4" w:rsidP="00572255">
      <w:pPr>
        <w:jc w:val="both"/>
        <w:rPr>
          <w:rFonts w:ascii="Verdana" w:eastAsia="Calibri" w:hAnsi="Verdana" w:cs="Arial"/>
        </w:rPr>
      </w:pPr>
    </w:p>
    <w:p w:rsidR="000246E4" w:rsidRPr="00F0409E" w:rsidRDefault="000246E4" w:rsidP="00572255">
      <w:pPr>
        <w:jc w:val="both"/>
        <w:rPr>
          <w:rFonts w:ascii="Verdana" w:eastAsia="Calibri" w:hAnsi="Verdana" w:cs="Arial"/>
        </w:rPr>
      </w:pPr>
    </w:p>
    <w:p w:rsidR="00F0409E" w:rsidRPr="00F0409E" w:rsidRDefault="00F0409E" w:rsidP="00572255">
      <w:pPr>
        <w:jc w:val="center"/>
        <w:rPr>
          <w:rFonts w:ascii="Verdana" w:eastAsia="Calibri" w:hAnsi="Verdana" w:cs="Arial"/>
        </w:rPr>
      </w:pPr>
    </w:p>
    <w:p w:rsidR="00F0409E" w:rsidRPr="00F0409E" w:rsidRDefault="00F0409E" w:rsidP="00572255">
      <w:pPr>
        <w:jc w:val="right"/>
        <w:rPr>
          <w:rFonts w:ascii="Verdana" w:eastAsia="Calibri" w:hAnsi="Verdana" w:cs="Arial"/>
          <w:b/>
        </w:rPr>
      </w:pPr>
      <w:r w:rsidRPr="00F0409E">
        <w:rPr>
          <w:rFonts w:ascii="Verdana" w:eastAsia="Calibri" w:hAnsi="Verdana" w:cs="Arial"/>
          <w:b/>
        </w:rPr>
        <w:t>JAIRO ERNESTO ESCOBAR SÁNZ</w:t>
      </w:r>
    </w:p>
    <w:p w:rsidR="00572255" w:rsidRDefault="00F0409E">
      <w:pPr>
        <w:jc w:val="right"/>
      </w:pPr>
      <w:r w:rsidRPr="00F0409E">
        <w:rPr>
          <w:rFonts w:ascii="Verdana" w:eastAsia="Calibri" w:hAnsi="Verdana" w:cs="Arial"/>
        </w:rPr>
        <w:t>Magistrado</w:t>
      </w:r>
    </w:p>
    <w:sectPr w:rsidR="00572255" w:rsidSect="000246E4">
      <w:headerReference w:type="default" r:id="rId9"/>
      <w:footerReference w:type="default" r:id="rId10"/>
      <w:footerReference w:type="first" r:id="rId11"/>
      <w:pgSz w:w="12242" w:h="18722" w:code="14"/>
      <w:pgMar w:top="1361" w:right="1474" w:bottom="1361" w:left="158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3B" w:rsidRDefault="003D4E3B" w:rsidP="00F0409E">
      <w:r>
        <w:separator/>
      </w:r>
    </w:p>
  </w:endnote>
  <w:endnote w:type="continuationSeparator" w:id="0">
    <w:p w:rsidR="003D4E3B" w:rsidRDefault="003D4E3B" w:rsidP="00F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Batang">
    <w:altName w:val="¡Ë¢çE¢®EcE¢®E¡ËcEcE¢®E¡Ë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crosoft Sans Serif" w:hAnsi="Microsoft Sans Serif" w:cs="Microsoft Sans Serif"/>
        <w:sz w:val="20"/>
        <w:szCs w:val="20"/>
      </w:rPr>
      <w:id w:val="-1958558028"/>
      <w:docPartObj>
        <w:docPartGallery w:val="Page Numbers (Bottom of Page)"/>
        <w:docPartUnique/>
      </w:docPartObj>
    </w:sdtPr>
    <w:sdtEndPr/>
    <w:sdtContent>
      <w:sdt>
        <w:sdtPr>
          <w:rPr>
            <w:rFonts w:ascii="Microsoft Sans Serif" w:hAnsi="Microsoft Sans Serif" w:cs="Microsoft Sans Serif"/>
            <w:sz w:val="20"/>
            <w:szCs w:val="20"/>
          </w:rPr>
          <w:id w:val="-1232993148"/>
          <w:docPartObj>
            <w:docPartGallery w:val="Page Numbers (Top of Page)"/>
            <w:docPartUnique/>
          </w:docPartObj>
        </w:sdtPr>
        <w:sdtEndPr/>
        <w:sdtContent>
          <w:p w:rsidR="00272509" w:rsidRPr="003C6C19" w:rsidRDefault="00272509">
            <w:pPr>
              <w:pStyle w:val="Piedepgina"/>
              <w:jc w:val="right"/>
              <w:rPr>
                <w:rFonts w:ascii="Microsoft Sans Serif" w:hAnsi="Microsoft Sans Serif" w:cs="Microsoft Sans Serif"/>
                <w:sz w:val="20"/>
                <w:szCs w:val="20"/>
              </w:rPr>
            </w:pPr>
            <w:r w:rsidRPr="003C6C19">
              <w:rPr>
                <w:rFonts w:ascii="Microsoft Sans Serif" w:hAnsi="Microsoft Sans Serif" w:cs="Microsoft Sans Serif"/>
                <w:sz w:val="20"/>
                <w:szCs w:val="20"/>
                <w:lang w:val="es-ES"/>
              </w:rPr>
              <w:t xml:space="preserve">Página </w:t>
            </w:r>
            <w:r w:rsidRPr="003C6C19">
              <w:rPr>
                <w:rFonts w:ascii="Microsoft Sans Serif" w:hAnsi="Microsoft Sans Serif" w:cs="Microsoft Sans Serif"/>
                <w:b/>
                <w:bCs/>
                <w:sz w:val="20"/>
                <w:szCs w:val="20"/>
              </w:rPr>
              <w:fldChar w:fldCharType="begin"/>
            </w:r>
            <w:r w:rsidRPr="003C6C19">
              <w:rPr>
                <w:rFonts w:ascii="Microsoft Sans Serif" w:hAnsi="Microsoft Sans Serif" w:cs="Microsoft Sans Serif"/>
                <w:b/>
                <w:bCs/>
                <w:sz w:val="20"/>
                <w:szCs w:val="20"/>
              </w:rPr>
              <w:instrText>PAGE</w:instrText>
            </w:r>
            <w:r w:rsidRPr="003C6C19">
              <w:rPr>
                <w:rFonts w:ascii="Microsoft Sans Serif" w:hAnsi="Microsoft Sans Serif" w:cs="Microsoft Sans Serif"/>
                <w:b/>
                <w:bCs/>
                <w:sz w:val="20"/>
                <w:szCs w:val="20"/>
              </w:rPr>
              <w:fldChar w:fldCharType="separate"/>
            </w:r>
            <w:r w:rsidR="009C5BB3">
              <w:rPr>
                <w:rFonts w:ascii="Microsoft Sans Serif" w:hAnsi="Microsoft Sans Serif" w:cs="Microsoft Sans Serif"/>
                <w:b/>
                <w:bCs/>
                <w:noProof/>
                <w:sz w:val="20"/>
                <w:szCs w:val="20"/>
              </w:rPr>
              <w:t>8</w:t>
            </w:r>
            <w:r w:rsidRPr="003C6C19">
              <w:rPr>
                <w:rFonts w:ascii="Microsoft Sans Serif" w:hAnsi="Microsoft Sans Serif" w:cs="Microsoft Sans Serif"/>
                <w:b/>
                <w:bCs/>
                <w:sz w:val="20"/>
                <w:szCs w:val="20"/>
              </w:rPr>
              <w:fldChar w:fldCharType="end"/>
            </w:r>
            <w:r w:rsidRPr="003C6C19">
              <w:rPr>
                <w:rFonts w:ascii="Microsoft Sans Serif" w:hAnsi="Microsoft Sans Serif" w:cs="Microsoft Sans Serif"/>
                <w:sz w:val="20"/>
                <w:szCs w:val="20"/>
                <w:lang w:val="es-ES"/>
              </w:rPr>
              <w:t xml:space="preserve"> de </w:t>
            </w:r>
            <w:r w:rsidRPr="003C6C19">
              <w:rPr>
                <w:rFonts w:ascii="Microsoft Sans Serif" w:hAnsi="Microsoft Sans Serif" w:cs="Microsoft Sans Serif"/>
                <w:b/>
                <w:bCs/>
                <w:sz w:val="20"/>
                <w:szCs w:val="20"/>
              </w:rPr>
              <w:fldChar w:fldCharType="begin"/>
            </w:r>
            <w:r w:rsidRPr="003C6C19">
              <w:rPr>
                <w:rFonts w:ascii="Microsoft Sans Serif" w:hAnsi="Microsoft Sans Serif" w:cs="Microsoft Sans Serif"/>
                <w:b/>
                <w:bCs/>
                <w:sz w:val="20"/>
                <w:szCs w:val="20"/>
              </w:rPr>
              <w:instrText>NUMPAGES</w:instrText>
            </w:r>
            <w:r w:rsidRPr="003C6C19">
              <w:rPr>
                <w:rFonts w:ascii="Microsoft Sans Serif" w:hAnsi="Microsoft Sans Serif" w:cs="Microsoft Sans Serif"/>
                <w:b/>
                <w:bCs/>
                <w:sz w:val="20"/>
                <w:szCs w:val="20"/>
              </w:rPr>
              <w:fldChar w:fldCharType="separate"/>
            </w:r>
            <w:r w:rsidR="009C5BB3">
              <w:rPr>
                <w:rFonts w:ascii="Microsoft Sans Serif" w:hAnsi="Microsoft Sans Serif" w:cs="Microsoft Sans Serif"/>
                <w:b/>
                <w:bCs/>
                <w:noProof/>
                <w:sz w:val="20"/>
                <w:szCs w:val="20"/>
              </w:rPr>
              <w:t>13</w:t>
            </w:r>
            <w:r w:rsidRPr="003C6C19">
              <w:rPr>
                <w:rFonts w:ascii="Microsoft Sans Serif" w:hAnsi="Microsoft Sans Serif" w:cs="Microsoft Sans Serif"/>
                <w:b/>
                <w:bCs/>
                <w:sz w:val="20"/>
                <w:szCs w:val="20"/>
              </w:rPr>
              <w:fldChar w:fldCharType="end"/>
            </w:r>
          </w:p>
        </w:sdtContent>
      </w:sdt>
    </w:sdtContent>
  </w:sdt>
  <w:p w:rsidR="00272509" w:rsidRPr="003C6C19" w:rsidRDefault="00272509">
    <w:pPr>
      <w:pStyle w:val="Piedepgina"/>
      <w:rPr>
        <w:rFonts w:ascii="Microsoft Sans Serif" w:hAnsi="Microsoft Sans Serif" w:cs="Microsoft Sans Seri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2097852488"/>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rsidR="00272509" w:rsidRPr="00206526" w:rsidRDefault="00272509">
            <w:pPr>
              <w:pStyle w:val="Piedepgina"/>
              <w:jc w:val="right"/>
              <w:rPr>
                <w:rFonts w:ascii="Palatino Linotype" w:hAnsi="Palatino Linotype"/>
                <w:sz w:val="20"/>
                <w:szCs w:val="20"/>
              </w:rPr>
            </w:pPr>
            <w:r w:rsidRPr="00206526">
              <w:rPr>
                <w:rFonts w:ascii="Palatino Linotype" w:hAnsi="Palatino Linotype"/>
                <w:sz w:val="20"/>
                <w:szCs w:val="20"/>
                <w:lang w:val="es-ES"/>
              </w:rPr>
              <w:t xml:space="preserve">Página </w:t>
            </w:r>
            <w:r w:rsidRPr="00206526">
              <w:rPr>
                <w:rFonts w:ascii="Palatino Linotype" w:hAnsi="Palatino Linotype"/>
                <w:b/>
                <w:bCs/>
                <w:sz w:val="20"/>
                <w:szCs w:val="20"/>
              </w:rPr>
              <w:fldChar w:fldCharType="begin"/>
            </w:r>
            <w:r w:rsidRPr="00206526">
              <w:rPr>
                <w:rFonts w:ascii="Palatino Linotype" w:hAnsi="Palatino Linotype"/>
                <w:b/>
                <w:bCs/>
                <w:sz w:val="20"/>
                <w:szCs w:val="20"/>
              </w:rPr>
              <w:instrText>PAGE</w:instrText>
            </w:r>
            <w:r w:rsidRPr="00206526">
              <w:rPr>
                <w:rFonts w:ascii="Palatino Linotype" w:hAnsi="Palatino Linotype"/>
                <w:b/>
                <w:bCs/>
                <w:sz w:val="20"/>
                <w:szCs w:val="20"/>
              </w:rPr>
              <w:fldChar w:fldCharType="separate"/>
            </w:r>
            <w:r w:rsidR="009C5BB3">
              <w:rPr>
                <w:rFonts w:ascii="Palatino Linotype" w:hAnsi="Palatino Linotype"/>
                <w:b/>
                <w:bCs/>
                <w:noProof/>
                <w:sz w:val="20"/>
                <w:szCs w:val="20"/>
              </w:rPr>
              <w:t>1</w:t>
            </w:r>
            <w:r w:rsidRPr="00206526">
              <w:rPr>
                <w:rFonts w:ascii="Palatino Linotype" w:hAnsi="Palatino Linotype"/>
                <w:b/>
                <w:bCs/>
                <w:sz w:val="20"/>
                <w:szCs w:val="20"/>
              </w:rPr>
              <w:fldChar w:fldCharType="end"/>
            </w:r>
            <w:r w:rsidRPr="00206526">
              <w:rPr>
                <w:rFonts w:ascii="Palatino Linotype" w:hAnsi="Palatino Linotype"/>
                <w:sz w:val="20"/>
                <w:szCs w:val="20"/>
                <w:lang w:val="es-ES"/>
              </w:rPr>
              <w:t xml:space="preserve"> de </w:t>
            </w:r>
            <w:r w:rsidRPr="00206526">
              <w:rPr>
                <w:rFonts w:ascii="Palatino Linotype" w:hAnsi="Palatino Linotype"/>
                <w:b/>
                <w:bCs/>
                <w:sz w:val="20"/>
                <w:szCs w:val="20"/>
              </w:rPr>
              <w:fldChar w:fldCharType="begin"/>
            </w:r>
            <w:r w:rsidRPr="00206526">
              <w:rPr>
                <w:rFonts w:ascii="Palatino Linotype" w:hAnsi="Palatino Linotype"/>
                <w:b/>
                <w:bCs/>
                <w:sz w:val="20"/>
                <w:szCs w:val="20"/>
              </w:rPr>
              <w:instrText>NUMPAGES</w:instrText>
            </w:r>
            <w:r w:rsidRPr="00206526">
              <w:rPr>
                <w:rFonts w:ascii="Palatino Linotype" w:hAnsi="Palatino Linotype"/>
                <w:b/>
                <w:bCs/>
                <w:sz w:val="20"/>
                <w:szCs w:val="20"/>
              </w:rPr>
              <w:fldChar w:fldCharType="separate"/>
            </w:r>
            <w:r w:rsidR="009C5BB3">
              <w:rPr>
                <w:rFonts w:ascii="Palatino Linotype" w:hAnsi="Palatino Linotype"/>
                <w:b/>
                <w:bCs/>
                <w:noProof/>
                <w:sz w:val="20"/>
                <w:szCs w:val="20"/>
              </w:rPr>
              <w:t>13</w:t>
            </w:r>
            <w:r w:rsidRPr="00206526">
              <w:rPr>
                <w:rFonts w:ascii="Palatino Linotype" w:hAnsi="Palatino Linotype"/>
                <w:b/>
                <w:bCs/>
                <w:sz w:val="20"/>
                <w:szCs w:val="20"/>
              </w:rPr>
              <w:fldChar w:fldCharType="end"/>
            </w:r>
          </w:p>
        </w:sdtContent>
      </w:sdt>
    </w:sdtContent>
  </w:sdt>
  <w:p w:rsidR="00272509" w:rsidRPr="00206526" w:rsidRDefault="00272509">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3B" w:rsidRDefault="003D4E3B" w:rsidP="00F0409E">
      <w:r>
        <w:separator/>
      </w:r>
    </w:p>
  </w:footnote>
  <w:footnote w:type="continuationSeparator" w:id="0">
    <w:p w:rsidR="003D4E3B" w:rsidRDefault="003D4E3B" w:rsidP="00F0409E">
      <w:r>
        <w:continuationSeparator/>
      </w:r>
    </w:p>
  </w:footnote>
  <w:footnote w:id="1">
    <w:p w:rsidR="00272509" w:rsidRPr="00A03BE9" w:rsidRDefault="00272509" w:rsidP="00AB1656">
      <w:pPr>
        <w:pStyle w:val="Textonotapie"/>
        <w:jc w:val="both"/>
        <w:rPr>
          <w:rFonts w:ascii="Arial" w:hAnsi="Arial" w:cs="Arial"/>
          <w:szCs w:val="22"/>
        </w:rPr>
      </w:pPr>
      <w:r w:rsidRPr="00A03BE9">
        <w:rPr>
          <w:rStyle w:val="Refdenotaalpie"/>
          <w:rFonts w:ascii="Arial" w:hAnsi="Arial" w:cs="Arial"/>
          <w:szCs w:val="22"/>
        </w:rPr>
        <w:footnoteRef/>
      </w:r>
      <w:r w:rsidRPr="00A03BE9">
        <w:rPr>
          <w:rFonts w:ascii="Arial" w:hAnsi="Arial" w:cs="Arial"/>
          <w:szCs w:val="22"/>
        </w:rPr>
        <w:t xml:space="preserve"> En la actualidad Juzgado 2º Penal del Circuito de Dosquebradas.</w:t>
      </w:r>
    </w:p>
  </w:footnote>
  <w:footnote w:id="2">
    <w:p w:rsidR="00272509" w:rsidRPr="00A03BE9" w:rsidRDefault="00272509" w:rsidP="00AB1656">
      <w:pPr>
        <w:pStyle w:val="Sinespaciado"/>
        <w:spacing w:line="276" w:lineRule="auto"/>
        <w:jc w:val="both"/>
        <w:rPr>
          <w:rFonts w:ascii="Arial" w:hAnsi="Arial" w:cs="Arial"/>
          <w:sz w:val="20"/>
        </w:rPr>
      </w:pPr>
      <w:r w:rsidRPr="00A03BE9">
        <w:rPr>
          <w:rStyle w:val="Refdenotaalpie"/>
          <w:rFonts w:ascii="Arial" w:hAnsi="Arial" w:cs="Arial"/>
          <w:sz w:val="20"/>
        </w:rPr>
        <w:footnoteRef/>
      </w:r>
      <w:r w:rsidRPr="00A03BE9">
        <w:rPr>
          <w:rFonts w:ascii="Arial" w:hAnsi="Arial" w:cs="Arial"/>
          <w:sz w:val="20"/>
        </w:rPr>
        <w:t xml:space="preserve"> El cual según lo ha expuesto la Corte en la sentencia de 1ª instancia del 8 de septiembre de 2015. SP12772-2015. Rad. # 39419, en materia de la carga de la prueba </w:t>
      </w:r>
      <w:r w:rsidRPr="00A03BE9">
        <w:rPr>
          <w:rFonts w:ascii="Arial" w:hAnsi="Arial" w:cs="Arial"/>
          <w:i/>
          <w:sz w:val="20"/>
        </w:rPr>
        <w:t>«le corresponde al interesado probar el supuesto de hecho de las normas que establecen el efecto jurídico que persigue, sin que ello signifique trasladar la carga probatoria de responsabilidad o fijar cargas dinámicas en torno a ese tópico»</w:t>
      </w:r>
      <w:r w:rsidRPr="00A03BE9">
        <w:rPr>
          <w:rFonts w:ascii="Arial" w:hAnsi="Arial" w:cs="Arial"/>
          <w:sz w:val="20"/>
        </w:rPr>
        <w:t>.</w:t>
      </w:r>
    </w:p>
  </w:footnote>
  <w:footnote w:id="3">
    <w:p w:rsidR="00272509" w:rsidRPr="00A03BE9" w:rsidRDefault="00272509" w:rsidP="00AB1656">
      <w:pPr>
        <w:pStyle w:val="Textonotapie"/>
        <w:jc w:val="both"/>
        <w:rPr>
          <w:rFonts w:ascii="Arial" w:hAnsi="Arial" w:cs="Arial"/>
          <w:i/>
          <w:szCs w:val="22"/>
        </w:rPr>
      </w:pPr>
      <w:r w:rsidRPr="00A03BE9">
        <w:rPr>
          <w:rStyle w:val="Refdenotaalpie"/>
          <w:rFonts w:ascii="Arial" w:hAnsi="Arial" w:cs="Arial"/>
          <w:szCs w:val="22"/>
        </w:rPr>
        <w:footnoteRef/>
      </w:r>
      <w:r w:rsidRPr="00A03BE9">
        <w:rPr>
          <w:rFonts w:ascii="Arial" w:hAnsi="Arial" w:cs="Arial"/>
          <w:szCs w:val="22"/>
        </w:rPr>
        <w:t xml:space="preserve"> En el caso </w:t>
      </w:r>
      <w:r w:rsidRPr="00A03BE9">
        <w:rPr>
          <w:rFonts w:ascii="Arial" w:hAnsi="Arial" w:cs="Arial"/>
          <w:i/>
          <w:szCs w:val="22"/>
        </w:rPr>
        <w:t>subexamine</w:t>
      </w:r>
      <w:r w:rsidRPr="00A03BE9">
        <w:rPr>
          <w:rFonts w:ascii="Arial" w:hAnsi="Arial" w:cs="Arial"/>
          <w:szCs w:val="22"/>
        </w:rPr>
        <w:t xml:space="preserve"> la fuente de dicha autorización seria el artículo 368 de Estatuto Tributario.</w:t>
      </w:r>
      <w:r w:rsidRPr="00A03BE9">
        <w:rPr>
          <w:rFonts w:ascii="Arial" w:hAnsi="Arial" w:cs="Arial"/>
          <w:i/>
          <w:szCs w:val="22"/>
        </w:rPr>
        <w:t xml:space="preserve"> </w:t>
      </w:r>
    </w:p>
  </w:footnote>
  <w:footnote w:id="4">
    <w:p w:rsidR="00272509" w:rsidRPr="00A03BE9" w:rsidRDefault="00272509" w:rsidP="00AB1656">
      <w:pPr>
        <w:pStyle w:val="Textonotapie"/>
        <w:jc w:val="both"/>
        <w:rPr>
          <w:rFonts w:ascii="Arial" w:hAnsi="Arial" w:cs="Arial"/>
          <w:szCs w:val="22"/>
        </w:rPr>
      </w:pPr>
      <w:r w:rsidRPr="00A03BE9">
        <w:rPr>
          <w:rStyle w:val="Refdenotaalpie"/>
          <w:rFonts w:ascii="Arial" w:hAnsi="Arial" w:cs="Arial"/>
          <w:szCs w:val="22"/>
        </w:rPr>
        <w:footnoteRef/>
      </w:r>
      <w:r w:rsidRPr="00A03BE9">
        <w:rPr>
          <w:rFonts w:ascii="Arial" w:hAnsi="Arial" w:cs="Arial"/>
          <w:szCs w:val="22"/>
        </w:rPr>
        <w:t xml:space="preserve"> Corte Suprema de Justicia, Sala de Casación Penal: Sentencia del 11 de diciembre de 2.013. Rad. # 33468. M.P. EUGENIO FERNÁNDEZ CARLIER.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09" w:rsidRPr="000246E4" w:rsidRDefault="00272509" w:rsidP="000246E4">
    <w:pPr>
      <w:pStyle w:val="Encabezado"/>
      <w:ind w:left="4395"/>
      <w:jc w:val="both"/>
      <w:rPr>
        <w:rFonts w:ascii="Times New Roman" w:hAnsi="Times New Roman" w:cs="Times New Roman"/>
        <w:b/>
        <w:sz w:val="18"/>
        <w:szCs w:val="20"/>
      </w:rPr>
    </w:pPr>
    <w:r w:rsidRPr="000246E4">
      <w:rPr>
        <w:rFonts w:ascii="Times New Roman" w:hAnsi="Times New Roman" w:cs="Times New Roman"/>
        <w:b/>
        <w:sz w:val="18"/>
        <w:szCs w:val="20"/>
      </w:rPr>
      <w:t>Procesada: DIANA MILENA HENAO MORALES</w:t>
    </w:r>
  </w:p>
  <w:p w:rsidR="00272509" w:rsidRPr="000246E4" w:rsidRDefault="00272509" w:rsidP="000246E4">
    <w:pPr>
      <w:pStyle w:val="Encabezado"/>
      <w:ind w:left="4395"/>
      <w:jc w:val="both"/>
      <w:rPr>
        <w:rFonts w:ascii="Times New Roman" w:hAnsi="Times New Roman" w:cs="Times New Roman"/>
        <w:b/>
        <w:sz w:val="18"/>
        <w:szCs w:val="20"/>
      </w:rPr>
    </w:pPr>
    <w:r w:rsidRPr="000246E4">
      <w:rPr>
        <w:rFonts w:ascii="Times New Roman" w:hAnsi="Times New Roman" w:cs="Times New Roman"/>
        <w:b/>
        <w:sz w:val="18"/>
        <w:szCs w:val="20"/>
      </w:rPr>
      <w:t>Delito: Omisión de agente retenedor o recaudador</w:t>
    </w:r>
  </w:p>
  <w:p w:rsidR="00272509" w:rsidRPr="000246E4" w:rsidRDefault="00272509" w:rsidP="000246E4">
    <w:pPr>
      <w:pStyle w:val="Encabezado"/>
      <w:ind w:left="4395"/>
      <w:jc w:val="both"/>
      <w:rPr>
        <w:rFonts w:ascii="Times New Roman" w:hAnsi="Times New Roman" w:cs="Times New Roman"/>
        <w:b/>
        <w:sz w:val="18"/>
        <w:szCs w:val="20"/>
      </w:rPr>
    </w:pPr>
    <w:r w:rsidRPr="000246E4">
      <w:rPr>
        <w:rFonts w:ascii="Times New Roman" w:hAnsi="Times New Roman" w:cs="Times New Roman"/>
        <w:b/>
        <w:sz w:val="18"/>
        <w:szCs w:val="20"/>
      </w:rPr>
      <w:t>Rad. # 6617060000662011011297-01</w:t>
    </w:r>
  </w:p>
  <w:p w:rsidR="00272509" w:rsidRPr="000246E4" w:rsidRDefault="00272509" w:rsidP="000246E4">
    <w:pPr>
      <w:pStyle w:val="Encabezado"/>
      <w:ind w:left="4395"/>
      <w:jc w:val="both"/>
      <w:rPr>
        <w:rFonts w:ascii="Times New Roman" w:hAnsi="Times New Roman" w:cs="Times New Roman"/>
        <w:b/>
        <w:sz w:val="18"/>
        <w:szCs w:val="20"/>
      </w:rPr>
    </w:pPr>
    <w:r w:rsidRPr="000246E4">
      <w:rPr>
        <w:rFonts w:ascii="Times New Roman" w:hAnsi="Times New Roman" w:cs="Times New Roman"/>
        <w:b/>
        <w:sz w:val="18"/>
        <w:szCs w:val="20"/>
      </w:rPr>
      <w:t xml:space="preserve">Asunto: Resuelve recurso de apelación </w:t>
    </w:r>
    <w:r w:rsidR="000246E4">
      <w:rPr>
        <w:rFonts w:ascii="Times New Roman" w:hAnsi="Times New Roman" w:cs="Times New Roman"/>
        <w:b/>
        <w:sz w:val="18"/>
        <w:szCs w:val="20"/>
      </w:rPr>
      <w:t>sentencia</w:t>
    </w:r>
  </w:p>
  <w:p w:rsidR="00272509" w:rsidRPr="000246E4" w:rsidRDefault="00272509" w:rsidP="000246E4">
    <w:pPr>
      <w:pStyle w:val="Encabezado"/>
      <w:ind w:left="4395"/>
      <w:jc w:val="both"/>
      <w:rPr>
        <w:rFonts w:ascii="Times New Roman" w:hAnsi="Times New Roman" w:cs="Times New Roman"/>
        <w:b/>
        <w:sz w:val="18"/>
        <w:szCs w:val="20"/>
      </w:rPr>
    </w:pPr>
    <w:r w:rsidRPr="000246E4">
      <w:rPr>
        <w:rFonts w:ascii="Times New Roman" w:hAnsi="Times New Roman" w:cs="Times New Roman"/>
        <w:b/>
        <w:sz w:val="18"/>
        <w:szCs w:val="20"/>
      </w:rPr>
      <w:t>Decisión: Confirma fallo opugnado</w:t>
    </w:r>
  </w:p>
  <w:p w:rsidR="000246E4" w:rsidRPr="000246E4" w:rsidRDefault="000246E4" w:rsidP="00A03BE9">
    <w:pPr>
      <w:pStyle w:val="Encabezado"/>
      <w:ind w:left="4395"/>
      <w:jc w:val="both"/>
      <w:rPr>
        <w:rFonts w:ascii="Times New Roman" w:hAnsi="Times New Roman" w:cs="Times New Roman"/>
        <w:b/>
        <w:sz w:val="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BF0"/>
    <w:multiLevelType w:val="hybridMultilevel"/>
    <w:tmpl w:val="72F8E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041392"/>
    <w:multiLevelType w:val="hybridMultilevel"/>
    <w:tmpl w:val="0A303BB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F472944"/>
    <w:multiLevelType w:val="hybridMultilevel"/>
    <w:tmpl w:val="A5C4E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1F86C0A"/>
    <w:multiLevelType w:val="hybridMultilevel"/>
    <w:tmpl w:val="37A4E83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2FA197F"/>
    <w:multiLevelType w:val="hybridMultilevel"/>
    <w:tmpl w:val="7FD484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511387"/>
    <w:multiLevelType w:val="hybridMultilevel"/>
    <w:tmpl w:val="960A7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9E"/>
    <w:rsid w:val="000246E4"/>
    <w:rsid w:val="00113CBB"/>
    <w:rsid w:val="001A13DB"/>
    <w:rsid w:val="001A6E92"/>
    <w:rsid w:val="001C2CF7"/>
    <w:rsid w:val="001E49E0"/>
    <w:rsid w:val="001F69E7"/>
    <w:rsid w:val="00206526"/>
    <w:rsid w:val="0022121A"/>
    <w:rsid w:val="00272509"/>
    <w:rsid w:val="002B775E"/>
    <w:rsid w:val="00305D05"/>
    <w:rsid w:val="003316E4"/>
    <w:rsid w:val="003375CA"/>
    <w:rsid w:val="00351210"/>
    <w:rsid w:val="003C6C19"/>
    <w:rsid w:val="003D461E"/>
    <w:rsid w:val="003D4E3B"/>
    <w:rsid w:val="00460B6C"/>
    <w:rsid w:val="0049598C"/>
    <w:rsid w:val="004A0618"/>
    <w:rsid w:val="004D023F"/>
    <w:rsid w:val="00511681"/>
    <w:rsid w:val="00527CC5"/>
    <w:rsid w:val="00530BBB"/>
    <w:rsid w:val="00572255"/>
    <w:rsid w:val="00577A52"/>
    <w:rsid w:val="005A31AF"/>
    <w:rsid w:val="005A504F"/>
    <w:rsid w:val="0069141C"/>
    <w:rsid w:val="006A6520"/>
    <w:rsid w:val="00703453"/>
    <w:rsid w:val="007129A7"/>
    <w:rsid w:val="00767441"/>
    <w:rsid w:val="0084096D"/>
    <w:rsid w:val="00852F39"/>
    <w:rsid w:val="0085691E"/>
    <w:rsid w:val="008B0AF5"/>
    <w:rsid w:val="009051C8"/>
    <w:rsid w:val="00927524"/>
    <w:rsid w:val="009C5BB3"/>
    <w:rsid w:val="00A03BE9"/>
    <w:rsid w:val="00A74E48"/>
    <w:rsid w:val="00AB1656"/>
    <w:rsid w:val="00B8156B"/>
    <w:rsid w:val="00B92650"/>
    <w:rsid w:val="00BB0A00"/>
    <w:rsid w:val="00BF1E78"/>
    <w:rsid w:val="00CC0378"/>
    <w:rsid w:val="00CD6D29"/>
    <w:rsid w:val="00CF24BC"/>
    <w:rsid w:val="00E6462E"/>
    <w:rsid w:val="00EE5F73"/>
    <w:rsid w:val="00F01E0F"/>
    <w:rsid w:val="00F0409E"/>
    <w:rsid w:val="00F52AC7"/>
    <w:rsid w:val="00F562A4"/>
    <w:rsid w:val="00F96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8B701-0BAD-4425-913A-9B1C997E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9E"/>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iPriority w:val="99"/>
    <w:unhideWhenUsed/>
    <w:qFormat/>
    <w:rsid w:val="00F0409E"/>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uiPriority w:val="99"/>
    <w:rsid w:val="00F0409E"/>
    <w:rPr>
      <w:sz w:val="20"/>
      <w:szCs w:val="20"/>
    </w:rPr>
  </w:style>
  <w:style w:type="character" w:customStyle="1" w:styleId="SinespaciadoCar">
    <w:name w:val="Sin espaciado Car"/>
    <w:link w:val="Sinespaciado"/>
    <w:uiPriority w:val="99"/>
    <w:locked/>
    <w:rsid w:val="00F0409E"/>
  </w:style>
  <w:style w:type="paragraph" w:styleId="Encabezado">
    <w:name w:val="header"/>
    <w:basedOn w:val="Normal"/>
    <w:link w:val="EncabezadoCar"/>
    <w:uiPriority w:val="99"/>
    <w:unhideWhenUsed/>
    <w:rsid w:val="00206526"/>
    <w:pPr>
      <w:tabs>
        <w:tab w:val="center" w:pos="4419"/>
        <w:tab w:val="right" w:pos="8838"/>
      </w:tabs>
    </w:pPr>
  </w:style>
  <w:style w:type="character" w:customStyle="1" w:styleId="EncabezadoCar">
    <w:name w:val="Encabezado Car"/>
    <w:basedOn w:val="Fuentedeprrafopredeter"/>
    <w:link w:val="Encabezado"/>
    <w:uiPriority w:val="99"/>
    <w:rsid w:val="00206526"/>
    <w:rPr>
      <w:sz w:val="28"/>
      <w:szCs w:val="28"/>
    </w:rPr>
  </w:style>
  <w:style w:type="paragraph" w:styleId="Piedepgina">
    <w:name w:val="footer"/>
    <w:basedOn w:val="Normal"/>
    <w:link w:val="PiedepginaCar"/>
    <w:uiPriority w:val="99"/>
    <w:unhideWhenUsed/>
    <w:rsid w:val="00206526"/>
    <w:pPr>
      <w:tabs>
        <w:tab w:val="center" w:pos="4419"/>
        <w:tab w:val="right" w:pos="8838"/>
      </w:tabs>
    </w:pPr>
  </w:style>
  <w:style w:type="character" w:customStyle="1" w:styleId="PiedepginaCar">
    <w:name w:val="Pie de página Car"/>
    <w:basedOn w:val="Fuentedeprrafopredeter"/>
    <w:link w:val="Piedepgina"/>
    <w:uiPriority w:val="99"/>
    <w:rsid w:val="00206526"/>
    <w:rPr>
      <w:sz w:val="28"/>
      <w:szCs w:val="28"/>
    </w:rPr>
  </w:style>
  <w:style w:type="table" w:styleId="Tablaconcuadrcula">
    <w:name w:val="Table Grid"/>
    <w:basedOn w:val="Tablanormal"/>
    <w:uiPriority w:val="39"/>
    <w:rsid w:val="00511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4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AD89-BF19-41B9-8A2B-0813F0B8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3925</Words>
  <Characters>21592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15</cp:revision>
  <cp:lastPrinted>2018-05-15T13:34:00Z</cp:lastPrinted>
  <dcterms:created xsi:type="dcterms:W3CDTF">2018-05-03T12:39:00Z</dcterms:created>
  <dcterms:modified xsi:type="dcterms:W3CDTF">2018-06-22T19:46:00Z</dcterms:modified>
</cp:coreProperties>
</file>