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32" w:rsidRPr="00BA5032" w:rsidRDefault="00BA5032" w:rsidP="00BA5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FF0000"/>
          <w:sz w:val="18"/>
          <w:szCs w:val="18"/>
          <w:lang w:eastAsia="fr-FR"/>
        </w:rPr>
      </w:pPr>
      <w:r w:rsidRPr="00BA5032">
        <w:rPr>
          <w:rFonts w:ascii="Arial" w:hAnsi="Arial" w:cs="Arial"/>
          <w:color w:val="FF0000"/>
          <w:sz w:val="18"/>
          <w:szCs w:val="18"/>
          <w:lang w:eastAsia="fr-FR"/>
        </w:rPr>
        <w:t>El contenido total y fiel de la decisión debe ser verificado en la Secretaría de esta Sala. </w:t>
      </w:r>
    </w:p>
    <w:p w:rsidR="00BA5032" w:rsidRPr="00BA5032" w:rsidRDefault="00BA5032" w:rsidP="00BA5032">
      <w:pPr>
        <w:spacing w:after="0" w:line="240" w:lineRule="auto"/>
        <w:rPr>
          <w:rFonts w:ascii="Arial" w:hAnsi="Arial" w:cs="Arial"/>
          <w:sz w:val="18"/>
          <w:szCs w:val="18"/>
        </w:rPr>
      </w:pPr>
    </w:p>
    <w:p w:rsidR="00BA5032" w:rsidRPr="00BA5032" w:rsidRDefault="00BA5032" w:rsidP="00BA5032">
      <w:pPr>
        <w:shd w:val="clear" w:color="auto" w:fill="FFFFFF"/>
        <w:spacing w:after="0" w:line="240" w:lineRule="auto"/>
        <w:rPr>
          <w:rFonts w:ascii="Arial" w:hAnsi="Arial" w:cs="Arial"/>
          <w:sz w:val="18"/>
          <w:szCs w:val="18"/>
          <w:lang w:eastAsia="fr-FR"/>
        </w:rPr>
      </w:pPr>
      <w:r w:rsidRPr="00BA5032">
        <w:rPr>
          <w:rFonts w:ascii="Arial" w:hAnsi="Arial" w:cs="Arial"/>
          <w:sz w:val="18"/>
          <w:szCs w:val="18"/>
          <w:lang w:eastAsia="fr-FR"/>
        </w:rPr>
        <w:t>Providencia:</w:t>
      </w:r>
      <w:r w:rsidRPr="00BA5032">
        <w:rPr>
          <w:rFonts w:ascii="Arial" w:hAnsi="Arial" w:cs="Arial"/>
          <w:sz w:val="18"/>
          <w:szCs w:val="18"/>
          <w:lang w:eastAsia="fr-FR"/>
        </w:rPr>
        <w:tab/>
      </w:r>
      <w:r w:rsidRPr="00BA5032">
        <w:rPr>
          <w:rFonts w:ascii="Arial" w:hAnsi="Arial" w:cs="Arial"/>
          <w:sz w:val="18"/>
          <w:szCs w:val="18"/>
          <w:lang w:eastAsia="fr-FR"/>
        </w:rPr>
        <w:tab/>
      </w:r>
      <w:r w:rsidRPr="00E04C21">
        <w:rPr>
          <w:rFonts w:ascii="Arial" w:hAnsi="Arial" w:cs="Arial"/>
          <w:sz w:val="18"/>
          <w:szCs w:val="18"/>
          <w:lang w:eastAsia="fr-FR"/>
        </w:rPr>
        <w:t>Salvamento Parcial de Voto</w:t>
      </w:r>
    </w:p>
    <w:p w:rsidR="00BA5032" w:rsidRPr="00BA5032" w:rsidRDefault="00BA5032" w:rsidP="00BA5032">
      <w:pPr>
        <w:shd w:val="clear" w:color="auto" w:fill="FFFFFF"/>
        <w:tabs>
          <w:tab w:val="left" w:pos="1418"/>
        </w:tabs>
        <w:spacing w:after="0" w:line="240" w:lineRule="auto"/>
        <w:rPr>
          <w:rFonts w:ascii="Arial" w:hAnsi="Arial" w:cs="Arial"/>
          <w:sz w:val="18"/>
          <w:szCs w:val="18"/>
          <w:lang w:eastAsia="fr-FR"/>
        </w:rPr>
      </w:pPr>
      <w:r w:rsidRPr="00BA5032">
        <w:rPr>
          <w:rFonts w:ascii="Arial" w:hAnsi="Arial" w:cs="Arial"/>
          <w:sz w:val="18"/>
          <w:szCs w:val="18"/>
          <w:lang w:eastAsia="fr-FR"/>
        </w:rPr>
        <w:t>Proceso:                </w:t>
      </w:r>
      <w:r w:rsidRPr="00BA5032">
        <w:rPr>
          <w:rFonts w:ascii="Arial" w:hAnsi="Arial" w:cs="Arial"/>
          <w:sz w:val="18"/>
          <w:szCs w:val="18"/>
          <w:lang w:eastAsia="fr-FR"/>
        </w:rPr>
        <w:tab/>
        <w:t xml:space="preserve">Penal </w:t>
      </w:r>
    </w:p>
    <w:p w:rsidR="00BA5032" w:rsidRPr="00BA5032" w:rsidRDefault="00BA5032" w:rsidP="00BA5032">
      <w:pPr>
        <w:shd w:val="clear" w:color="auto" w:fill="FFFFFF"/>
        <w:tabs>
          <w:tab w:val="left" w:pos="1418"/>
        </w:tabs>
        <w:spacing w:after="0" w:line="240" w:lineRule="auto"/>
        <w:rPr>
          <w:rFonts w:ascii="Arial" w:hAnsi="Arial" w:cs="Arial"/>
          <w:bCs/>
          <w:iCs/>
          <w:sz w:val="18"/>
          <w:szCs w:val="18"/>
          <w:lang w:eastAsia="fr-FR"/>
        </w:rPr>
      </w:pPr>
      <w:r w:rsidRPr="00BA5032">
        <w:rPr>
          <w:rFonts w:ascii="Arial" w:hAnsi="Arial" w:cs="Arial"/>
          <w:sz w:val="18"/>
          <w:szCs w:val="18"/>
          <w:lang w:eastAsia="fr-FR"/>
        </w:rPr>
        <w:t>Radicación Nro. :</w:t>
      </w:r>
      <w:r w:rsidRPr="00BA5032">
        <w:rPr>
          <w:rFonts w:ascii="Arial" w:hAnsi="Arial" w:cs="Arial"/>
          <w:sz w:val="18"/>
          <w:szCs w:val="18"/>
          <w:lang w:eastAsia="fr-FR"/>
        </w:rPr>
        <w:tab/>
        <w:t xml:space="preserve">  </w:t>
      </w:r>
      <w:r w:rsidRPr="00BA5032">
        <w:rPr>
          <w:rFonts w:ascii="Arial" w:hAnsi="Arial" w:cs="Arial"/>
          <w:sz w:val="18"/>
          <w:szCs w:val="18"/>
          <w:lang w:eastAsia="fr-FR"/>
        </w:rPr>
        <w:tab/>
      </w:r>
      <w:r w:rsidRPr="00E04C21">
        <w:rPr>
          <w:rFonts w:ascii="Arial" w:hAnsi="Arial" w:cs="Arial"/>
          <w:bCs/>
          <w:iCs/>
          <w:sz w:val="18"/>
          <w:szCs w:val="18"/>
          <w:lang w:val="es-MX" w:eastAsia="fr-FR"/>
        </w:rPr>
        <w:t>6600160005820070344503</w:t>
      </w:r>
    </w:p>
    <w:p w:rsidR="00BA5032" w:rsidRPr="00BA5032" w:rsidRDefault="00BA5032" w:rsidP="00BA5032">
      <w:pPr>
        <w:shd w:val="clear" w:color="auto" w:fill="FFFFFF"/>
        <w:tabs>
          <w:tab w:val="left" w:pos="1418"/>
        </w:tabs>
        <w:spacing w:after="0" w:line="240" w:lineRule="auto"/>
        <w:rPr>
          <w:rFonts w:ascii="Arial" w:eastAsia="Batang" w:hAnsi="Arial" w:cs="Arial"/>
          <w:b/>
          <w:bCs/>
          <w:sz w:val="18"/>
          <w:szCs w:val="18"/>
          <w:lang w:eastAsia="es-ES"/>
        </w:rPr>
      </w:pPr>
      <w:r w:rsidRPr="00BA5032">
        <w:rPr>
          <w:rFonts w:ascii="Arial" w:eastAsia="Batang" w:hAnsi="Arial" w:cs="Arial"/>
          <w:bCs/>
          <w:sz w:val="18"/>
          <w:szCs w:val="18"/>
          <w:lang w:eastAsia="es-ES"/>
        </w:rPr>
        <w:t xml:space="preserve">Procesado:   </w:t>
      </w:r>
      <w:r w:rsidRPr="00BA5032">
        <w:rPr>
          <w:rFonts w:ascii="Arial" w:eastAsia="Batang" w:hAnsi="Arial" w:cs="Arial"/>
          <w:bCs/>
          <w:sz w:val="18"/>
          <w:szCs w:val="18"/>
          <w:lang w:eastAsia="es-ES"/>
        </w:rPr>
        <w:tab/>
      </w:r>
      <w:r w:rsidRPr="00BA5032">
        <w:rPr>
          <w:rFonts w:ascii="Arial" w:eastAsia="Batang" w:hAnsi="Arial" w:cs="Arial"/>
          <w:bCs/>
          <w:sz w:val="18"/>
          <w:szCs w:val="18"/>
          <w:lang w:eastAsia="es-ES"/>
        </w:rPr>
        <w:tab/>
      </w:r>
      <w:proofErr w:type="spellStart"/>
      <w:r w:rsidRPr="00E04C21">
        <w:rPr>
          <w:rFonts w:ascii="Arial" w:eastAsia="Batang" w:hAnsi="Arial" w:cs="Arial"/>
          <w:bCs/>
          <w:sz w:val="18"/>
          <w:szCs w:val="18"/>
          <w:lang w:eastAsia="es-ES"/>
        </w:rPr>
        <w:t>RUBEN</w:t>
      </w:r>
      <w:proofErr w:type="spellEnd"/>
      <w:r w:rsidRPr="00E04C21">
        <w:rPr>
          <w:rFonts w:ascii="Arial" w:eastAsia="Batang" w:hAnsi="Arial" w:cs="Arial"/>
          <w:bCs/>
          <w:sz w:val="18"/>
          <w:szCs w:val="18"/>
          <w:lang w:eastAsia="es-ES"/>
        </w:rPr>
        <w:t xml:space="preserve"> </w:t>
      </w:r>
      <w:proofErr w:type="spellStart"/>
      <w:r w:rsidRPr="00E04C21">
        <w:rPr>
          <w:rFonts w:ascii="Arial" w:eastAsia="Batang" w:hAnsi="Arial" w:cs="Arial"/>
          <w:bCs/>
          <w:sz w:val="18"/>
          <w:szCs w:val="18"/>
          <w:lang w:eastAsia="es-ES"/>
        </w:rPr>
        <w:t>DARIO</w:t>
      </w:r>
      <w:proofErr w:type="spellEnd"/>
      <w:r w:rsidRPr="00E04C21">
        <w:rPr>
          <w:rFonts w:ascii="Arial" w:eastAsia="Batang" w:hAnsi="Arial" w:cs="Arial"/>
          <w:bCs/>
          <w:sz w:val="18"/>
          <w:szCs w:val="18"/>
          <w:lang w:eastAsia="es-ES"/>
        </w:rPr>
        <w:t xml:space="preserve"> MONSALVE</w:t>
      </w:r>
    </w:p>
    <w:p w:rsidR="00BA5032" w:rsidRPr="00BA5032" w:rsidRDefault="00BA5032" w:rsidP="00BA5032">
      <w:pPr>
        <w:shd w:val="clear" w:color="auto" w:fill="FFFFFF"/>
        <w:tabs>
          <w:tab w:val="left" w:pos="1418"/>
        </w:tabs>
        <w:spacing w:after="0" w:line="240" w:lineRule="auto"/>
        <w:rPr>
          <w:rFonts w:ascii="Arial" w:hAnsi="Arial" w:cs="Arial"/>
          <w:bCs/>
          <w:iCs/>
          <w:sz w:val="18"/>
          <w:szCs w:val="18"/>
          <w:lang w:eastAsia="fr-FR"/>
        </w:rPr>
      </w:pPr>
      <w:bookmarkStart w:id="0" w:name="_GoBack"/>
      <w:bookmarkEnd w:id="0"/>
    </w:p>
    <w:p w:rsidR="00BA5032" w:rsidRPr="00BA5032" w:rsidRDefault="00BA5032" w:rsidP="00BA5032">
      <w:pPr>
        <w:shd w:val="clear" w:color="auto" w:fill="FFFFFF"/>
        <w:tabs>
          <w:tab w:val="left" w:pos="1418"/>
        </w:tabs>
        <w:spacing w:after="0" w:line="240" w:lineRule="auto"/>
        <w:rPr>
          <w:rFonts w:ascii="Arial" w:hAnsi="Arial" w:cs="Arial"/>
          <w:bCs/>
          <w:iCs/>
          <w:sz w:val="18"/>
          <w:szCs w:val="18"/>
          <w:lang w:eastAsia="fr-FR"/>
        </w:rPr>
      </w:pPr>
    </w:p>
    <w:p w:rsidR="00BA5032" w:rsidRPr="00BA5032" w:rsidRDefault="00BA5032" w:rsidP="00BA5032">
      <w:pPr>
        <w:spacing w:after="0" w:line="240" w:lineRule="auto"/>
        <w:jc w:val="both"/>
        <w:rPr>
          <w:rFonts w:ascii="Arial" w:hAnsi="Arial" w:cs="Arial"/>
          <w:bCs/>
          <w:iCs/>
          <w:sz w:val="18"/>
          <w:szCs w:val="18"/>
          <w:lang w:eastAsia="fr-FR"/>
        </w:rPr>
      </w:pPr>
      <w:r w:rsidRPr="00BA5032">
        <w:rPr>
          <w:rFonts w:ascii="Arial" w:hAnsi="Arial" w:cs="Arial"/>
          <w:b/>
          <w:bCs/>
          <w:iCs/>
          <w:sz w:val="18"/>
          <w:szCs w:val="18"/>
          <w:lang w:eastAsia="fr-FR"/>
        </w:rPr>
        <w:t xml:space="preserve">TEMA: </w:t>
      </w:r>
      <w:r w:rsidRPr="00BA5032">
        <w:rPr>
          <w:rFonts w:ascii="Arial" w:hAnsi="Arial" w:cs="Arial"/>
          <w:b/>
          <w:bCs/>
          <w:iCs/>
          <w:sz w:val="18"/>
          <w:szCs w:val="18"/>
          <w:lang w:eastAsia="fr-FR"/>
        </w:rPr>
        <w:tab/>
      </w:r>
      <w:r w:rsidRPr="00BA5032">
        <w:rPr>
          <w:rFonts w:ascii="Arial" w:hAnsi="Arial" w:cs="Arial"/>
          <w:b/>
          <w:bCs/>
          <w:iCs/>
          <w:sz w:val="18"/>
          <w:szCs w:val="18"/>
          <w:lang w:eastAsia="fr-FR"/>
        </w:rPr>
        <w:tab/>
      </w:r>
      <w:r w:rsidRPr="00BA5032">
        <w:rPr>
          <w:rFonts w:ascii="Arial" w:hAnsi="Arial" w:cs="Arial"/>
          <w:b/>
          <w:bCs/>
          <w:iCs/>
          <w:sz w:val="18"/>
          <w:szCs w:val="18"/>
          <w:lang w:eastAsia="fr-FR"/>
        </w:rPr>
        <w:tab/>
      </w:r>
      <w:r w:rsidRPr="00E04C21">
        <w:rPr>
          <w:rFonts w:ascii="Arial" w:hAnsi="Arial" w:cs="Arial"/>
          <w:b/>
          <w:bCs/>
          <w:iCs/>
          <w:sz w:val="18"/>
          <w:szCs w:val="18"/>
          <w:lang w:eastAsia="fr-FR"/>
        </w:rPr>
        <w:t>SALVAMENTO DE VOTO</w:t>
      </w:r>
      <w:r w:rsidRPr="00BA5032">
        <w:rPr>
          <w:rFonts w:ascii="Arial" w:hAnsi="Arial" w:cs="Arial"/>
          <w:b/>
          <w:bCs/>
          <w:iCs/>
          <w:sz w:val="18"/>
          <w:szCs w:val="18"/>
          <w:lang w:eastAsia="fr-FR"/>
        </w:rPr>
        <w:t xml:space="preserve"> / </w:t>
      </w:r>
      <w:r w:rsidRPr="00E04C21">
        <w:rPr>
          <w:rFonts w:ascii="Arial" w:hAnsi="Arial" w:cs="Arial"/>
          <w:b/>
          <w:bCs/>
          <w:iCs/>
          <w:sz w:val="18"/>
          <w:szCs w:val="18"/>
          <w:lang w:eastAsia="fr-FR"/>
        </w:rPr>
        <w:t>CONCUSIÓN</w:t>
      </w:r>
      <w:r w:rsidRPr="00BA5032">
        <w:rPr>
          <w:rFonts w:ascii="Arial" w:hAnsi="Arial" w:cs="Arial"/>
          <w:b/>
          <w:bCs/>
          <w:iCs/>
          <w:sz w:val="18"/>
          <w:szCs w:val="18"/>
          <w:lang w:eastAsia="fr-FR"/>
        </w:rPr>
        <w:t xml:space="preserve"> / </w:t>
      </w:r>
      <w:r w:rsidRPr="00E04C21">
        <w:rPr>
          <w:rFonts w:ascii="Arial" w:hAnsi="Arial" w:cs="Arial"/>
          <w:b/>
          <w:bCs/>
          <w:iCs/>
          <w:sz w:val="18"/>
          <w:szCs w:val="18"/>
          <w:lang w:eastAsia="fr-FR"/>
        </w:rPr>
        <w:t xml:space="preserve">PROCEDENCIA DE RECURSO DE APELACIÓN CUANDO EN 2ª INSTANCIA SE REVOCA FALLO ABSOLUTORIO / SENTENCIA DE CONSTITUCIONALIDAD / PRECEDENTE JURISPRUDENCIAL OBLIGATORIO / VENCIMIENTO DEL TÉRMINO OTORGADO AL CONGRESO PARA LEGISLAR SOBRE EL TEMA / </w:t>
      </w:r>
      <w:r w:rsidRPr="00E04C21">
        <w:rPr>
          <w:rFonts w:ascii="Arial" w:hAnsi="Arial" w:cs="Arial"/>
          <w:bCs/>
          <w:iCs/>
          <w:sz w:val="18"/>
          <w:szCs w:val="18"/>
          <w:lang w:eastAsia="fr-FR"/>
        </w:rPr>
        <w:t xml:space="preserve">El suscrito es de la opinión que en lo que tiene que ver con los eventuales recursos que procederían en contra de lo resuelto en el caso </w:t>
      </w:r>
      <w:proofErr w:type="spellStart"/>
      <w:r w:rsidRPr="00E04C21">
        <w:rPr>
          <w:rFonts w:ascii="Arial" w:hAnsi="Arial" w:cs="Arial"/>
          <w:bCs/>
          <w:iCs/>
          <w:sz w:val="18"/>
          <w:szCs w:val="18"/>
          <w:lang w:eastAsia="fr-FR"/>
        </w:rPr>
        <w:t>subexamine</w:t>
      </w:r>
      <w:proofErr w:type="spellEnd"/>
      <w:r w:rsidRPr="00E04C21">
        <w:rPr>
          <w:rFonts w:ascii="Arial" w:hAnsi="Arial" w:cs="Arial"/>
          <w:bCs/>
          <w:iCs/>
          <w:sz w:val="18"/>
          <w:szCs w:val="18"/>
          <w:lang w:eastAsia="fr-FR"/>
        </w:rPr>
        <w:t xml:space="preserve"> en sede de 2ª instancia, procedía el recurso de apelación, lo que vendría siendo una consecuencia de acatar lo decidido por la Corte Constitucional en tanto en la sentencia # C-792 de 2014, como en la SU-215 de 2016, en la cual se declaró la inconstitucionalidad con efectos diferidos de las expresiones demandadas contenidas en los artículos 20, 32, 161, 176, 179, 179B, 194 y 481 del </w:t>
      </w:r>
      <w:proofErr w:type="spellStart"/>
      <w:r w:rsidRPr="00E04C21">
        <w:rPr>
          <w:rFonts w:ascii="Arial" w:hAnsi="Arial" w:cs="Arial"/>
          <w:bCs/>
          <w:iCs/>
          <w:sz w:val="18"/>
          <w:szCs w:val="18"/>
          <w:lang w:eastAsia="fr-FR"/>
        </w:rPr>
        <w:t>C.P.P</w:t>
      </w:r>
      <w:proofErr w:type="spellEnd"/>
      <w:r w:rsidRPr="00E04C21">
        <w:rPr>
          <w:rFonts w:ascii="Arial" w:hAnsi="Arial" w:cs="Arial"/>
          <w:bCs/>
          <w:iCs/>
          <w:sz w:val="18"/>
          <w:szCs w:val="18"/>
          <w:lang w:eastAsia="fr-FR"/>
        </w:rPr>
        <w:t>.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BA5032" w:rsidRPr="00BA5032" w:rsidRDefault="00BA5032" w:rsidP="00BA5032">
      <w:pPr>
        <w:spacing w:after="0" w:line="240" w:lineRule="auto"/>
        <w:jc w:val="both"/>
        <w:rPr>
          <w:rFonts w:ascii="Arial" w:hAnsi="Arial" w:cs="Arial"/>
          <w:bCs/>
          <w:iCs/>
          <w:sz w:val="18"/>
          <w:szCs w:val="18"/>
          <w:lang w:eastAsia="fr-FR"/>
        </w:rPr>
      </w:pPr>
      <w:r w:rsidRPr="00BA5032">
        <w:rPr>
          <w:rFonts w:ascii="Arial" w:hAnsi="Arial" w:cs="Arial"/>
          <w:bCs/>
          <w:iCs/>
          <w:sz w:val="18"/>
          <w:szCs w:val="18"/>
          <w:lang w:eastAsia="fr-FR"/>
        </w:rPr>
        <w:t>(…)</w:t>
      </w:r>
    </w:p>
    <w:p w:rsidR="00BA5032" w:rsidRPr="00E04C21" w:rsidRDefault="00BA5032" w:rsidP="00BA5032">
      <w:pPr>
        <w:spacing w:after="0" w:line="276" w:lineRule="auto"/>
        <w:jc w:val="both"/>
        <w:rPr>
          <w:rFonts w:ascii="Arial" w:eastAsia="Times New Roman" w:hAnsi="Arial" w:cs="Arial"/>
          <w:bCs/>
          <w:iCs/>
          <w:sz w:val="18"/>
          <w:szCs w:val="18"/>
          <w:lang w:eastAsia="fr-FR"/>
        </w:rPr>
      </w:pPr>
      <w:r w:rsidRPr="00E04C21">
        <w:rPr>
          <w:rFonts w:ascii="Arial" w:eastAsia="Times New Roman" w:hAnsi="Arial" w:cs="Arial"/>
          <w:bCs/>
          <w:iCs/>
          <w:sz w:val="18"/>
          <w:szCs w:val="18"/>
          <w:lang w:eastAsia="fr-FR"/>
        </w:rPr>
        <w:t xml:space="preserve">Pero lo dicho por la Sala de Casación Penal de la Corte Suprema de Justicia es algo de dudoso obedecimiento o acatamiento, lo  que de tajo está desconociendo la obligatoriedad de lo fallado por la Corte Constitucional en las sentencias # C-792 de 2014 y SU-215 de 2016, en las cuales como consecuencia de la declaratoria de inconstitucionalidad con efectos diferidos de las expresiones demandadas contenidas en los artículos 20, 32, 161, 176, 179, 179B, 194 y 481 del </w:t>
      </w:r>
      <w:proofErr w:type="spellStart"/>
      <w:r w:rsidRPr="00E04C21">
        <w:rPr>
          <w:rFonts w:ascii="Arial" w:eastAsia="Times New Roman" w:hAnsi="Arial" w:cs="Arial"/>
          <w:bCs/>
          <w:iCs/>
          <w:sz w:val="18"/>
          <w:szCs w:val="18"/>
          <w:lang w:eastAsia="fr-FR"/>
        </w:rPr>
        <w:t>C.P.P</w:t>
      </w:r>
      <w:proofErr w:type="spellEnd"/>
      <w:r w:rsidRPr="00E04C21">
        <w:rPr>
          <w:rFonts w:ascii="Arial" w:eastAsia="Times New Roman" w:hAnsi="Arial" w:cs="Arial"/>
          <w:bCs/>
          <w:iCs/>
          <w:sz w:val="18"/>
          <w:szCs w:val="18"/>
          <w:lang w:eastAsia="fr-FR"/>
        </w:rPr>
        <w:t>. se reconoció el derecho que tienen los Procesados absueltos de apelar el fallo que revoca la absolución.</w:t>
      </w:r>
    </w:p>
    <w:p w:rsidR="00BA5032" w:rsidRPr="00E04C21" w:rsidRDefault="00BA5032" w:rsidP="00BA5032">
      <w:pPr>
        <w:spacing w:after="0" w:line="276" w:lineRule="auto"/>
        <w:jc w:val="both"/>
        <w:rPr>
          <w:rFonts w:ascii="Lucida Sans Typewriter" w:eastAsia="Arial Unicode MS" w:hAnsi="Lucida Sans Typewriter" w:cs="Arial"/>
          <w:b/>
          <w:sz w:val="28"/>
          <w:szCs w:val="28"/>
        </w:rPr>
      </w:pPr>
    </w:p>
    <w:p w:rsidR="00BA5032" w:rsidRPr="00E04C21" w:rsidRDefault="00BA5032" w:rsidP="004470C3">
      <w:pPr>
        <w:spacing w:after="0" w:line="276" w:lineRule="auto"/>
        <w:jc w:val="center"/>
        <w:rPr>
          <w:rFonts w:ascii="Lucida Sans Typewriter" w:eastAsia="Arial Unicode MS" w:hAnsi="Lucida Sans Typewriter" w:cs="Arial"/>
          <w:b/>
          <w:sz w:val="28"/>
          <w:szCs w:val="28"/>
        </w:rPr>
      </w:pPr>
    </w:p>
    <w:p w:rsidR="004470C3" w:rsidRPr="00E04C21" w:rsidRDefault="004470C3" w:rsidP="004470C3">
      <w:pPr>
        <w:spacing w:after="0" w:line="276" w:lineRule="auto"/>
        <w:jc w:val="center"/>
        <w:rPr>
          <w:rFonts w:ascii="Lucida Sans Typewriter" w:eastAsia="Arial Unicode MS" w:hAnsi="Lucida Sans Typewriter" w:cs="Arial"/>
          <w:b/>
          <w:sz w:val="28"/>
          <w:szCs w:val="28"/>
        </w:rPr>
      </w:pPr>
      <w:r w:rsidRPr="00E04C21">
        <w:rPr>
          <w:rFonts w:ascii="Lucida Sans Typewriter" w:eastAsia="Arial Unicode MS" w:hAnsi="Lucida Sans Typewriter" w:cs="Arial"/>
          <w:b/>
          <w:sz w:val="28"/>
          <w:szCs w:val="28"/>
        </w:rPr>
        <w:t>SALVAMENTO PARCIAL DE VOTO:</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Si bien es cierto que comparto en su esencia lo resuelto y decidido en el presente asunto, razón por la que decidí acompañar en su gran mayoría la propuesta de la ponencia, de igual manera considero que existen potísimas razones que me obligan a discrepar de manera parcial en lo que atañe con la decisión tomada por la Sala mayoritaria respecto al recurso del cual sería susceptible el fallo de 2ª instancia que desató la alzada.</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jc w:val="both"/>
        <w:rPr>
          <w:rFonts w:ascii="Lucida Sans Typewriter" w:eastAsia="Calibri" w:hAnsi="Lucida Sans Typewriter" w:cs="Microsoft Sans Serif"/>
          <w:sz w:val="28"/>
          <w:szCs w:val="28"/>
        </w:rPr>
      </w:pPr>
      <w:r w:rsidRPr="00E04C21">
        <w:rPr>
          <w:rFonts w:ascii="Lucida Sans Typewriter" w:eastAsia="Calibri" w:hAnsi="Lucida Sans Typewriter" w:cs="Microsoft Sans Serif"/>
          <w:bCs/>
          <w:sz w:val="28"/>
          <w:szCs w:val="28"/>
        </w:rPr>
        <w:t xml:space="preserve">El suscrito es de la opinión que en lo que tiene que ver con los eventuales recursos que procederían en contra de lo resuelto en el caso </w:t>
      </w:r>
      <w:proofErr w:type="spellStart"/>
      <w:r w:rsidRPr="00E04C21">
        <w:rPr>
          <w:rFonts w:ascii="Lucida Sans Typewriter" w:eastAsia="Calibri" w:hAnsi="Lucida Sans Typewriter" w:cs="Microsoft Sans Serif"/>
          <w:bCs/>
          <w:i/>
          <w:sz w:val="28"/>
          <w:szCs w:val="28"/>
        </w:rPr>
        <w:t>subexamine</w:t>
      </w:r>
      <w:proofErr w:type="spellEnd"/>
      <w:r w:rsidRPr="00E04C21">
        <w:rPr>
          <w:rFonts w:ascii="Lucida Sans Typewriter" w:eastAsia="Calibri" w:hAnsi="Lucida Sans Typewriter" w:cs="Microsoft Sans Serif"/>
          <w:bCs/>
          <w:i/>
          <w:sz w:val="28"/>
          <w:szCs w:val="28"/>
        </w:rPr>
        <w:t xml:space="preserve"> </w:t>
      </w:r>
      <w:r w:rsidRPr="00E04C21">
        <w:rPr>
          <w:rFonts w:ascii="Lucida Sans Typewriter" w:eastAsia="Calibri" w:hAnsi="Lucida Sans Typewriter" w:cs="Microsoft Sans Serif"/>
          <w:bCs/>
          <w:sz w:val="28"/>
          <w:szCs w:val="28"/>
        </w:rPr>
        <w:t xml:space="preserve">en sede de 2ª instancia, procedía el recurso de apelación, lo que vendría siendo una consecuencia de acatar lo decidido por la Corte Constitucional en tanto en la sentencia # C-792 de 2014, como en la </w:t>
      </w:r>
      <w:r w:rsidRPr="00E04C21">
        <w:rPr>
          <w:rFonts w:ascii="Lucida Sans Typewriter" w:eastAsia="Calibri" w:hAnsi="Lucida Sans Typewriter" w:cs="Arial"/>
          <w:sz w:val="28"/>
          <w:szCs w:val="28"/>
        </w:rPr>
        <w:t>SU-215 de 2016</w:t>
      </w:r>
      <w:r w:rsidRPr="00E04C21">
        <w:rPr>
          <w:rFonts w:ascii="Lucida Sans Typewriter" w:eastAsia="Calibri" w:hAnsi="Lucida Sans Typewriter" w:cs="Microsoft Sans Serif"/>
          <w:bCs/>
          <w:sz w:val="28"/>
          <w:szCs w:val="28"/>
        </w:rPr>
        <w:t xml:space="preserve">, en la cual se declaró la </w:t>
      </w:r>
      <w:r w:rsidRPr="00E04C21">
        <w:rPr>
          <w:rFonts w:ascii="Lucida Sans Typewriter" w:eastAsia="Calibri" w:hAnsi="Lucida Sans Typewriter" w:cs="Microsoft Sans Serif"/>
          <w:sz w:val="28"/>
          <w:szCs w:val="28"/>
        </w:rPr>
        <w:t>inconstitucionalidad con efectos diferidos</w:t>
      </w:r>
      <w:r w:rsidRPr="00E04C21">
        <w:rPr>
          <w:rFonts w:ascii="Lucida Sans Typewriter" w:eastAsia="Calibri" w:hAnsi="Lucida Sans Typewriter" w:cs="Microsoft Sans Serif"/>
          <w:b/>
          <w:sz w:val="28"/>
          <w:szCs w:val="28"/>
        </w:rPr>
        <w:t xml:space="preserve"> </w:t>
      </w:r>
      <w:r w:rsidRPr="00E04C21">
        <w:rPr>
          <w:rFonts w:ascii="Lucida Sans Typewriter" w:eastAsia="Calibri" w:hAnsi="Lucida Sans Typewriter" w:cs="Microsoft Sans Serif"/>
          <w:sz w:val="28"/>
          <w:szCs w:val="28"/>
        </w:rPr>
        <w:t xml:space="preserve">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w:t>
      </w:r>
      <w:r w:rsidRPr="00E04C21">
        <w:rPr>
          <w:rFonts w:ascii="Lucida Sans Typewriter" w:eastAsia="Calibri" w:hAnsi="Lucida Sans Typewriter" w:cs="Microsoft Sans Serif"/>
          <w:sz w:val="28"/>
          <w:szCs w:val="28"/>
        </w:rPr>
        <w:lastRenderedPageBreak/>
        <w:t>aludidas debe ser considerada como una 1ª sentencia condenatoria, procedería el recurso de apelación, el cual deberá ser interpuesto y sustentado dentro de las oportunidades de ley.</w:t>
      </w:r>
    </w:p>
    <w:p w:rsidR="004470C3" w:rsidRPr="00E04C21" w:rsidRDefault="004470C3" w:rsidP="004470C3">
      <w:pPr>
        <w:spacing w:after="0" w:line="276" w:lineRule="auto"/>
        <w:jc w:val="both"/>
        <w:rPr>
          <w:rFonts w:ascii="Lucida Sans Typewriter" w:eastAsia="Calibri" w:hAnsi="Lucida Sans Typewriter" w:cs="Microsoft Sans Serif"/>
          <w:sz w:val="28"/>
          <w:szCs w:val="28"/>
        </w:rPr>
      </w:pPr>
    </w:p>
    <w:p w:rsidR="004470C3" w:rsidRPr="00E04C21" w:rsidRDefault="004470C3" w:rsidP="004470C3">
      <w:pPr>
        <w:spacing w:after="0" w:line="276" w:lineRule="auto"/>
        <w:jc w:val="both"/>
        <w:rPr>
          <w:rFonts w:ascii="Lucida Sans Typewriter" w:eastAsia="Arial Unicode MS" w:hAnsi="Lucida Sans Typewriter" w:cs="Arial"/>
          <w:sz w:val="28"/>
          <w:szCs w:val="28"/>
        </w:rPr>
      </w:pPr>
      <w:r w:rsidRPr="00E04C21">
        <w:rPr>
          <w:rFonts w:ascii="Lucida Sans Typewriter" w:eastAsia="Calibri" w:hAnsi="Lucida Sans Typewriter" w:cs="Microsoft Sans Serif"/>
          <w:sz w:val="28"/>
          <w:szCs w:val="28"/>
        </w:rPr>
        <w:t xml:space="preserve">Ahora bien, no se desconoce la </w:t>
      </w:r>
      <w:r w:rsidRPr="00E04C21">
        <w:rPr>
          <w:rFonts w:ascii="Lucida Sans Typewriter" w:eastAsia="Calibri" w:hAnsi="Lucida Sans Typewriter" w:cs="Arial"/>
          <w:sz w:val="28"/>
          <w:szCs w:val="28"/>
        </w:rPr>
        <w:t xml:space="preserve">posición asumida por la Sala de Casación Penal de la Corte Suprema de Justicia </w:t>
      </w:r>
      <w:r w:rsidRPr="00E04C21">
        <w:rPr>
          <w:rFonts w:ascii="Lucida Sans Typewriter" w:eastAsia="Arial Unicode MS" w:hAnsi="Lucida Sans Typewriter" w:cs="Arial"/>
          <w:sz w:val="28"/>
          <w:szCs w:val="28"/>
        </w:rPr>
        <w:t xml:space="preserve">en la providencia del </w:t>
      </w:r>
      <w:r w:rsidRPr="00E04C21">
        <w:rPr>
          <w:rFonts w:ascii="Lucida Sans Typewriter" w:eastAsia="Calibri" w:hAnsi="Lucida Sans Typewriter" w:cs="Arial"/>
          <w:sz w:val="28"/>
          <w:szCs w:val="28"/>
        </w:rPr>
        <w:t>27 de julio 2016, Radicado # 48442, la cual, a fin de hacerle el esquince al derecho que le asiste a los Procesados para impugnar de manera excepcional el primer fallo de condena, expuso lo siguiente:</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 xml:space="preserve">Y si bien, como se anota en la justificación surtida por el Ad </w:t>
      </w:r>
      <w:proofErr w:type="spellStart"/>
      <w:r w:rsidRPr="00E04C21">
        <w:rPr>
          <w:rFonts w:ascii="Lucida Sans Typewriter" w:eastAsia="Calibri" w:hAnsi="Lucida Sans Typewriter" w:cs="Arial"/>
          <w:sz w:val="24"/>
          <w:szCs w:val="24"/>
        </w:rPr>
        <w:t>quem</w:t>
      </w:r>
      <w:proofErr w:type="spellEnd"/>
      <w:r w:rsidRPr="00E04C21">
        <w:rPr>
          <w:rFonts w:ascii="Lucida Sans Typewriter" w:eastAsia="Calibri" w:hAnsi="Lucida Sans Typewriter" w:cs="Arial"/>
          <w:sz w:val="24"/>
          <w:szCs w:val="24"/>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E04C21">
        <w:rPr>
          <w:rFonts w:ascii="Lucida Sans Typewriter" w:eastAsia="Calibri" w:hAnsi="Lucida Sans Typewriter" w:cs="Arial"/>
          <w:sz w:val="24"/>
          <w:szCs w:val="24"/>
        </w:rPr>
        <w:t>exequibilidad</w:t>
      </w:r>
      <w:proofErr w:type="spellEnd"/>
      <w:r w:rsidRPr="00E04C21">
        <w:rPr>
          <w:rFonts w:ascii="Lucida Sans Typewriter" w:eastAsia="Calibri" w:hAnsi="Lucida Sans Typewriter" w:cs="Arial"/>
          <w:sz w:val="24"/>
          <w:szCs w:val="24"/>
        </w:rPr>
        <w:t xml:space="preserve">, la Corte Constitucional signifique que procede la dicha impugnación incluso para el caso en que se desatendiera, como sucedió, su exhorto al legislativo. </w:t>
      </w: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w:t>
      </w: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rPr>
      </w:pPr>
      <w:r w:rsidRPr="00E04C21">
        <w:rPr>
          <w:rFonts w:ascii="Lucida Sans Typewriter" w:eastAsia="Calibri" w:hAnsi="Lucida Sans Typewriter" w:cs="Arial"/>
          <w:sz w:val="24"/>
          <w:szCs w:val="24"/>
        </w:rPr>
        <w:lastRenderedPageBreak/>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4470C3" w:rsidRPr="00E04C21" w:rsidRDefault="004470C3" w:rsidP="004470C3">
      <w:pPr>
        <w:spacing w:after="0" w:line="276" w:lineRule="auto"/>
        <w:ind w:left="567" w:right="902"/>
        <w:jc w:val="both"/>
        <w:rPr>
          <w:rFonts w:ascii="Lucida Sans Typewriter" w:eastAsia="Arial Unicode MS" w:hAnsi="Lucida Sans Typewriter" w:cs="Arial"/>
          <w:sz w:val="24"/>
          <w:szCs w:val="24"/>
        </w:rPr>
      </w:pPr>
    </w:p>
    <w:p w:rsidR="004470C3" w:rsidRPr="00E04C21" w:rsidRDefault="004470C3" w:rsidP="004470C3">
      <w:pPr>
        <w:spacing w:after="0" w:line="276" w:lineRule="auto"/>
        <w:ind w:left="567" w:right="902"/>
        <w:jc w:val="both"/>
        <w:rPr>
          <w:rFonts w:ascii="Lucida Sans Typewriter" w:eastAsia="Arial Unicode MS" w:hAnsi="Lucida Sans Typewriter" w:cs="Arial"/>
          <w:sz w:val="24"/>
          <w:szCs w:val="24"/>
        </w:rPr>
      </w:pPr>
      <w:r w:rsidRPr="00E04C21">
        <w:rPr>
          <w:rFonts w:ascii="Lucida Sans Typewriter" w:eastAsia="Arial Unicode MS" w:hAnsi="Lucida Sans Typewriter" w:cs="Arial"/>
          <w:sz w:val="24"/>
          <w:szCs w:val="24"/>
        </w:rPr>
        <w:t>Con base en lo anterior, dejo expresada las razones y motivos por las cuales me vi en la imperiosa necesidad de aclarar mi voto en el presente asunto…..”</w:t>
      </w:r>
      <w:r w:rsidRPr="00E04C21">
        <w:rPr>
          <w:rFonts w:ascii="Lucida Sans Typewriter" w:eastAsia="Arial Unicode MS" w:hAnsi="Lucida Sans Typewriter" w:cs="Arial"/>
          <w:sz w:val="24"/>
          <w:szCs w:val="24"/>
          <w:vertAlign w:val="superscript"/>
        </w:rPr>
        <w:footnoteReference w:id="1"/>
      </w:r>
      <w:r w:rsidRPr="00E04C21">
        <w:rPr>
          <w:rFonts w:ascii="Lucida Sans Typewriter" w:eastAsia="Arial Unicode MS" w:hAnsi="Lucida Sans Typewriter" w:cs="Arial"/>
          <w:sz w:val="24"/>
          <w:szCs w:val="24"/>
        </w:rPr>
        <w:t>.</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jc w:val="both"/>
        <w:rPr>
          <w:rFonts w:ascii="Lucida Sans Typewriter" w:eastAsia="Calibri" w:hAnsi="Lucida Sans Typewriter" w:cs="Arial"/>
          <w:sz w:val="28"/>
          <w:szCs w:val="28"/>
          <w:lang w:val="es-ES"/>
        </w:rPr>
      </w:pPr>
      <w:r w:rsidRPr="00E04C21">
        <w:rPr>
          <w:rFonts w:ascii="Lucida Sans Typewriter" w:eastAsia="Arial Unicode MS" w:hAnsi="Lucida Sans Typewriter" w:cs="Arial"/>
          <w:sz w:val="28"/>
          <w:szCs w:val="28"/>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E04C21">
        <w:rPr>
          <w:rFonts w:ascii="Lucida Sans Typewriter" w:eastAsia="Calibri" w:hAnsi="Lucida Sans Typewriter" w:cs="Arial"/>
          <w:sz w:val="28"/>
          <w:szCs w:val="28"/>
        </w:rPr>
        <w:t xml:space="preserve">C-792 de 2014 y SU-215 de 2016, en las cuales como consecuencia de la declaratoria de </w:t>
      </w:r>
      <w:r w:rsidRPr="00E04C21">
        <w:rPr>
          <w:rFonts w:ascii="Lucida Sans Typewriter" w:eastAsia="Calibri" w:hAnsi="Lucida Sans Typewriter" w:cs="Arial"/>
          <w:sz w:val="28"/>
          <w:szCs w:val="28"/>
          <w:lang w:val="es-ES"/>
        </w:rPr>
        <w:t>inconstitucionalidad con efectos diferidos</w:t>
      </w:r>
      <w:r w:rsidRPr="00E04C21">
        <w:rPr>
          <w:rFonts w:ascii="Lucida Sans Typewriter" w:eastAsia="Calibri" w:hAnsi="Lucida Sans Typewriter" w:cs="Arial"/>
          <w:b/>
          <w:sz w:val="28"/>
          <w:szCs w:val="28"/>
          <w:lang w:val="es-ES"/>
        </w:rPr>
        <w:t xml:space="preserve"> </w:t>
      </w:r>
      <w:r w:rsidRPr="00E04C21">
        <w:rPr>
          <w:rFonts w:ascii="Lucida Sans Typewriter" w:eastAsia="Calibri" w:hAnsi="Lucida Sans Typewriter" w:cs="Arial"/>
          <w:sz w:val="28"/>
          <w:szCs w:val="28"/>
          <w:lang w:val="es-ES"/>
        </w:rPr>
        <w:t>de las expresiones demandadas contenidas en los artículos 20, 32, 161, 176, 179, 179B, 194 y 481 del C.P.P. se reconoció el derecho que tienen los Procesados absueltos de apelar el fallo que revoca la absolución.</w:t>
      </w:r>
    </w:p>
    <w:p w:rsidR="004470C3" w:rsidRPr="00E04C21" w:rsidRDefault="004470C3" w:rsidP="004470C3">
      <w:pPr>
        <w:spacing w:after="0" w:line="276" w:lineRule="auto"/>
        <w:jc w:val="both"/>
        <w:rPr>
          <w:rFonts w:ascii="Lucida Sans Typewriter" w:eastAsia="Calibri" w:hAnsi="Lucida Sans Typewriter" w:cs="Arial"/>
          <w:sz w:val="28"/>
          <w:szCs w:val="28"/>
          <w:lang w:val="es-ES"/>
        </w:rPr>
      </w:pPr>
    </w:p>
    <w:p w:rsidR="004470C3" w:rsidRPr="00E04C21" w:rsidRDefault="004470C3" w:rsidP="004470C3">
      <w:pPr>
        <w:spacing w:after="0" w:line="276" w:lineRule="auto"/>
        <w:jc w:val="both"/>
        <w:rPr>
          <w:rFonts w:ascii="Lucida Sans Typewriter" w:eastAsia="Calibri" w:hAnsi="Lucida Sans Typewriter" w:cs="Arial"/>
          <w:sz w:val="28"/>
          <w:szCs w:val="28"/>
          <w:lang w:val="es-ES"/>
        </w:rPr>
      </w:pPr>
      <w:r w:rsidRPr="00E04C21">
        <w:rPr>
          <w:rFonts w:ascii="Lucida Sans Typewriter" w:eastAsia="Calibri" w:hAnsi="Lucida Sans Typewriter" w:cs="Arial"/>
          <w:sz w:val="28"/>
          <w:szCs w:val="28"/>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4470C3" w:rsidRPr="00E04C21" w:rsidRDefault="004470C3" w:rsidP="004470C3">
      <w:pPr>
        <w:spacing w:after="0" w:line="276" w:lineRule="auto"/>
        <w:jc w:val="both"/>
        <w:rPr>
          <w:rFonts w:ascii="Lucida Sans Typewriter" w:eastAsia="Calibri" w:hAnsi="Lucida Sans Typewriter" w:cs="Arial"/>
          <w:sz w:val="28"/>
          <w:szCs w:val="28"/>
          <w:lang w:val="es-ES"/>
        </w:rPr>
      </w:pPr>
    </w:p>
    <w:p w:rsidR="004470C3" w:rsidRPr="00E04C21" w:rsidRDefault="00A15C77" w:rsidP="004470C3">
      <w:pPr>
        <w:spacing w:after="0" w:line="276" w:lineRule="auto"/>
        <w:ind w:left="567" w:right="902"/>
        <w:jc w:val="both"/>
        <w:rPr>
          <w:rFonts w:ascii="Lucida Sans Typewriter" w:eastAsia="Times New Roman" w:hAnsi="Lucida Sans Typewriter" w:cs="Arial"/>
          <w:b/>
          <w:i/>
          <w:sz w:val="24"/>
          <w:szCs w:val="24"/>
          <w:lang w:eastAsia="es-ES"/>
        </w:rPr>
      </w:pPr>
      <w:r w:rsidRPr="00E04C21">
        <w:rPr>
          <w:rFonts w:ascii="Lucida Sans Typewriter" w:eastAsia="Times New Roman" w:hAnsi="Lucida Sans Typewriter" w:cs="Arial"/>
          <w:sz w:val="24"/>
          <w:szCs w:val="24"/>
          <w:lang w:eastAsia="es-ES"/>
        </w:rPr>
        <w:t>“</w:t>
      </w:r>
      <w:r w:rsidR="004470C3" w:rsidRPr="00E04C21">
        <w:rPr>
          <w:rFonts w:ascii="Lucida Sans Typewriter" w:eastAsia="Times New Roman" w:hAnsi="Lucida Sans Typewriter" w:cs="Arial"/>
          <w:sz w:val="24"/>
          <w:szCs w:val="24"/>
          <w:lang w:eastAsia="es-ES"/>
        </w:rPr>
        <w:t xml:space="preserve">De acuerdo con este planteamiento, la Corte concluye que el legislador tiene el deber constitucional de diseñar e implementar un recurso que materialice el derecho a </w:t>
      </w:r>
      <w:r w:rsidR="004470C3" w:rsidRPr="00E04C21">
        <w:rPr>
          <w:rFonts w:ascii="Lucida Sans Typewriter" w:eastAsia="Times New Roman" w:hAnsi="Lucida Sans Typewriter" w:cs="Arial"/>
          <w:sz w:val="24"/>
          <w:szCs w:val="24"/>
          <w:lang w:eastAsia="es-ES"/>
        </w:rPr>
        <w:lastRenderedPageBreak/>
        <w:t xml:space="preserve">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4470C3" w:rsidRPr="00E04C21" w:rsidRDefault="004470C3" w:rsidP="004470C3">
      <w:pPr>
        <w:spacing w:after="0" w:line="276" w:lineRule="auto"/>
        <w:ind w:left="567" w:right="567"/>
        <w:jc w:val="both"/>
        <w:rPr>
          <w:rFonts w:ascii="Lucida Sans Typewriter" w:eastAsia="Times New Roman" w:hAnsi="Lucida Sans Typewriter" w:cs="Arial"/>
          <w:b/>
          <w:i/>
          <w:sz w:val="24"/>
          <w:szCs w:val="24"/>
          <w:lang w:eastAsia="es-ES"/>
        </w:rPr>
      </w:pPr>
    </w:p>
    <w:p w:rsidR="004470C3" w:rsidRPr="00E04C21" w:rsidRDefault="004470C3" w:rsidP="004470C3">
      <w:pPr>
        <w:spacing w:after="0" w:line="276" w:lineRule="auto"/>
        <w:ind w:left="567" w:right="567"/>
        <w:jc w:val="both"/>
        <w:rPr>
          <w:rFonts w:ascii="Lucida Sans Typewriter" w:eastAsia="Times New Roman" w:hAnsi="Lucida Sans Typewriter" w:cs="Arial"/>
          <w:sz w:val="24"/>
          <w:szCs w:val="24"/>
          <w:lang w:eastAsia="es-ES"/>
        </w:rPr>
      </w:pPr>
      <w:r w:rsidRPr="00E04C21">
        <w:rPr>
          <w:rFonts w:ascii="Lucida Sans Typewriter" w:eastAsia="Times New Roman" w:hAnsi="Lucida Sans Typewriter" w:cs="Arial"/>
          <w:sz w:val="24"/>
          <w:szCs w:val="24"/>
          <w:lang w:eastAsia="es-ES"/>
        </w:rPr>
        <w:t>(:::)</w:t>
      </w:r>
    </w:p>
    <w:p w:rsidR="004470C3" w:rsidRPr="00E04C21" w:rsidRDefault="004470C3" w:rsidP="004470C3">
      <w:pPr>
        <w:spacing w:after="0" w:line="276" w:lineRule="auto"/>
        <w:ind w:left="567" w:right="567"/>
        <w:jc w:val="both"/>
        <w:rPr>
          <w:rFonts w:ascii="Lucida Sans Typewriter" w:eastAsia="Times New Roman" w:hAnsi="Lucida Sans Typewriter" w:cs="Arial"/>
          <w:b/>
          <w:i/>
          <w:sz w:val="24"/>
          <w:szCs w:val="24"/>
          <w:lang w:eastAsia="es-ES"/>
        </w:rPr>
      </w:pPr>
    </w:p>
    <w:p w:rsidR="004470C3" w:rsidRPr="00E04C21" w:rsidRDefault="004470C3" w:rsidP="004470C3">
      <w:pPr>
        <w:tabs>
          <w:tab w:val="left" w:pos="7938"/>
        </w:tabs>
        <w:spacing w:after="0" w:line="276" w:lineRule="auto"/>
        <w:ind w:left="567" w:right="902"/>
        <w:jc w:val="both"/>
        <w:rPr>
          <w:rFonts w:ascii="Lucida Sans Typewriter" w:eastAsia="Times New Roman" w:hAnsi="Lucida Sans Typewriter" w:cs="Arial"/>
          <w:sz w:val="28"/>
          <w:szCs w:val="28"/>
          <w:lang w:eastAsia="es-ES"/>
        </w:rPr>
      </w:pPr>
      <w:r w:rsidRPr="00E04C21">
        <w:rPr>
          <w:rFonts w:ascii="Lucida Sans Typewriter" w:eastAsia="Times New Roman" w:hAnsi="Lucida Sans Typewriter" w:cs="Arial"/>
          <w:sz w:val="24"/>
          <w:szCs w:val="24"/>
          <w:lang w:eastAsia="es-ES"/>
        </w:rPr>
        <w:t xml:space="preserve">Por esta circunstancia, el mecanismo idóneo para subsanar el déficit normativo no es un fallo de </w:t>
      </w:r>
      <w:proofErr w:type="spellStart"/>
      <w:r w:rsidRPr="00E04C21">
        <w:rPr>
          <w:rFonts w:ascii="Lucida Sans Typewriter" w:eastAsia="Times New Roman" w:hAnsi="Lucida Sans Typewriter" w:cs="Arial"/>
          <w:sz w:val="24"/>
          <w:szCs w:val="24"/>
          <w:lang w:eastAsia="es-ES"/>
        </w:rPr>
        <w:t>exequibilidad</w:t>
      </w:r>
      <w:proofErr w:type="spellEnd"/>
      <w:r w:rsidRPr="00E04C21">
        <w:rPr>
          <w:rFonts w:ascii="Lucida Sans Typewriter" w:eastAsia="Times New Roman" w:hAnsi="Lucida Sans Typewriter" w:cs="Arial"/>
          <w:sz w:val="24"/>
          <w:szCs w:val="24"/>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E04C21">
        <w:rPr>
          <w:rFonts w:ascii="Lucida Sans Typewriter" w:eastAsia="Times New Roman" w:hAnsi="Lucida Sans Typewriter" w:cs="Arial"/>
          <w:sz w:val="24"/>
          <w:szCs w:val="24"/>
          <w:lang w:eastAsia="es-ES"/>
        </w:rPr>
        <w:t>exequibilidad</w:t>
      </w:r>
      <w:proofErr w:type="spellEnd"/>
      <w:r w:rsidRPr="00E04C21">
        <w:rPr>
          <w:rFonts w:ascii="Lucida Sans Typewriter" w:eastAsia="Times New Roman" w:hAnsi="Lucida Sans Typewriter" w:cs="Arial"/>
          <w:sz w:val="24"/>
          <w:szCs w:val="24"/>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E04C21">
        <w:rPr>
          <w:rFonts w:ascii="Lucida Sans Typewriter" w:eastAsia="Times New Roman" w:hAnsi="Lucida Sans Typewriter" w:cs="Arial"/>
          <w:b/>
          <w:sz w:val="24"/>
          <w:szCs w:val="24"/>
          <w:lang w:eastAsia="es-ES"/>
        </w:rPr>
        <w:t>(v) se dispondrá que en caso de que el legislador incumpla el deber anterior, se entenderá que procede la impugnación de los referidos fallos ante el superior jerárquico o funcional de quien impuso la condena……</w:t>
      </w:r>
      <w:r w:rsidRPr="00E04C21">
        <w:rPr>
          <w:rFonts w:ascii="Lucida Sans Typewriter" w:eastAsia="Times New Roman" w:hAnsi="Lucida Sans Typewriter" w:cs="Arial"/>
          <w:sz w:val="24"/>
          <w:szCs w:val="24"/>
          <w:lang w:eastAsia="es-ES"/>
        </w:rPr>
        <w:t>”</w:t>
      </w:r>
      <w:r w:rsidRPr="00E04C21">
        <w:rPr>
          <w:rFonts w:ascii="Lucida Sans Typewriter" w:eastAsia="Times New Roman" w:hAnsi="Lucida Sans Typewriter" w:cs="Arial"/>
          <w:sz w:val="24"/>
          <w:szCs w:val="24"/>
          <w:vertAlign w:val="superscript"/>
          <w:lang w:eastAsia="es-ES"/>
        </w:rPr>
        <w:footnoteReference w:id="2"/>
      </w:r>
      <w:r w:rsidRPr="00E04C21">
        <w:rPr>
          <w:rFonts w:ascii="Lucida Sans Typewriter" w:eastAsia="Times New Roman" w:hAnsi="Lucida Sans Typewriter" w:cs="Arial"/>
          <w:sz w:val="24"/>
          <w:szCs w:val="24"/>
          <w:lang w:eastAsia="es-ES"/>
        </w:rPr>
        <w:t xml:space="preserve">.  </w:t>
      </w:r>
    </w:p>
    <w:p w:rsidR="004470C3" w:rsidRPr="00E04C21" w:rsidRDefault="004470C3" w:rsidP="004470C3">
      <w:pPr>
        <w:spacing w:after="0" w:line="276" w:lineRule="auto"/>
        <w:jc w:val="both"/>
        <w:rPr>
          <w:rFonts w:ascii="Lucida Sans Typewriter" w:eastAsia="Times New Roman" w:hAnsi="Lucida Sans Typewriter" w:cs="Arial"/>
          <w:sz w:val="28"/>
          <w:szCs w:val="28"/>
          <w:lang w:val="es-ES" w:eastAsia="es-ES"/>
        </w:rPr>
      </w:pPr>
    </w:p>
    <w:p w:rsidR="004470C3" w:rsidRPr="00E04C21" w:rsidRDefault="004470C3" w:rsidP="004470C3">
      <w:pPr>
        <w:spacing w:after="0" w:line="276" w:lineRule="auto"/>
        <w:jc w:val="both"/>
        <w:rPr>
          <w:rFonts w:ascii="Lucida Sans Typewriter" w:eastAsia="Times New Roman" w:hAnsi="Lucida Sans Typewriter" w:cs="Arial"/>
          <w:sz w:val="28"/>
          <w:szCs w:val="28"/>
          <w:lang w:val="es-ES" w:eastAsia="es-ES"/>
        </w:rPr>
      </w:pPr>
      <w:r w:rsidRPr="00E04C21">
        <w:rPr>
          <w:rFonts w:ascii="Lucida Sans Typewriter" w:eastAsia="Times New Roman" w:hAnsi="Lucida Sans Typewriter" w:cs="Arial"/>
          <w:sz w:val="28"/>
          <w:szCs w:val="28"/>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4470C3" w:rsidRPr="00E04C21" w:rsidRDefault="004470C3" w:rsidP="004470C3">
      <w:pPr>
        <w:spacing w:after="0" w:line="276" w:lineRule="auto"/>
        <w:jc w:val="both"/>
        <w:rPr>
          <w:rFonts w:ascii="Lucida Sans Typewriter" w:eastAsia="Times New Roman" w:hAnsi="Lucida Sans Typewriter" w:cs="Arial"/>
          <w:sz w:val="28"/>
          <w:szCs w:val="28"/>
          <w:lang w:val="es-ES" w:eastAsia="es-ES"/>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lang w:eastAsia="es-CO"/>
        </w:rPr>
      </w:pPr>
      <w:r w:rsidRPr="00E04C21">
        <w:rPr>
          <w:rFonts w:ascii="Lucida Sans Typewriter" w:eastAsia="Calibri" w:hAnsi="Lucida Sans Typewriter" w:cs="Arial"/>
          <w:sz w:val="24"/>
          <w:szCs w:val="24"/>
          <w:lang w:eastAsia="es-CO"/>
        </w:rPr>
        <w:t>“Las sentencias proferidas en cumplimiento del control constitucional tienen el siguiente efecto:</w:t>
      </w: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lang w:eastAsia="es-CO"/>
        </w:rPr>
      </w:pPr>
    </w:p>
    <w:p w:rsidR="004470C3" w:rsidRPr="00E04C21" w:rsidRDefault="004470C3" w:rsidP="004470C3">
      <w:pPr>
        <w:spacing w:after="0" w:line="276" w:lineRule="auto"/>
        <w:ind w:left="567" w:right="902"/>
        <w:jc w:val="both"/>
        <w:rPr>
          <w:rFonts w:ascii="Lucida Sans Typewriter" w:eastAsia="Calibri" w:hAnsi="Lucida Sans Typewriter" w:cs="Arial"/>
          <w:sz w:val="24"/>
          <w:szCs w:val="24"/>
          <w:lang w:eastAsia="es-CO"/>
        </w:rPr>
      </w:pPr>
      <w:r w:rsidRPr="00E04C21">
        <w:rPr>
          <w:rFonts w:ascii="Lucida Sans Typewriter" w:eastAsia="Calibri" w:hAnsi="Lucida Sans Typewriter" w:cs="Arial"/>
          <w:sz w:val="24"/>
          <w:szCs w:val="24"/>
          <w:lang w:eastAsia="es-CO"/>
        </w:rPr>
        <w:t xml:space="preserve">1. Las de la Corte Constitucional dictadas como resultado del examen de las normas legales, ya sea por vía de acción, de revisión previa o con motivo del ejercicio del control automático de constitucionalidad, sólo serán de obligatorio </w:t>
      </w:r>
      <w:r w:rsidRPr="00E04C21">
        <w:rPr>
          <w:rFonts w:ascii="Lucida Sans Typewriter" w:eastAsia="Calibri" w:hAnsi="Lucida Sans Typewriter" w:cs="Arial"/>
          <w:sz w:val="24"/>
          <w:szCs w:val="24"/>
          <w:lang w:eastAsia="es-CO"/>
        </w:rPr>
        <w:lastRenderedPageBreak/>
        <w:t>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E04C21">
        <w:rPr>
          <w:rFonts w:ascii="Lucida Sans Typewriter" w:eastAsia="Calibri" w:hAnsi="Lucida Sans Typewriter" w:cs="Arial"/>
          <w:sz w:val="24"/>
          <w:szCs w:val="24"/>
          <w:vertAlign w:val="superscript"/>
          <w:lang w:eastAsia="es-CO"/>
        </w:rPr>
        <w:footnoteReference w:id="3"/>
      </w:r>
      <w:r w:rsidRPr="00E04C21">
        <w:rPr>
          <w:rFonts w:ascii="Lucida Sans Typewriter" w:eastAsia="Calibri" w:hAnsi="Lucida Sans Typewriter" w:cs="Arial"/>
          <w:sz w:val="24"/>
          <w:szCs w:val="24"/>
          <w:lang w:eastAsia="es-CO"/>
        </w:rPr>
        <w:t>.</w:t>
      </w:r>
    </w:p>
    <w:p w:rsidR="004470C3" w:rsidRPr="00E04C21" w:rsidRDefault="004470C3" w:rsidP="004470C3">
      <w:pPr>
        <w:spacing w:after="0" w:line="276" w:lineRule="auto"/>
        <w:jc w:val="both"/>
        <w:rPr>
          <w:rFonts w:ascii="Lucida Sans Typewriter" w:eastAsia="Calibri" w:hAnsi="Lucida Sans Typewriter" w:cs="Arial"/>
          <w:sz w:val="28"/>
          <w:szCs w:val="28"/>
          <w:lang w:eastAsia="es-CO"/>
        </w:rPr>
      </w:pPr>
    </w:p>
    <w:p w:rsidR="004470C3" w:rsidRPr="00E04C21" w:rsidRDefault="004470C3" w:rsidP="004470C3">
      <w:pPr>
        <w:spacing w:after="0" w:line="276" w:lineRule="auto"/>
        <w:jc w:val="both"/>
        <w:rPr>
          <w:rFonts w:ascii="Lucida Sans Typewriter" w:hAnsi="Lucida Sans Typewriter" w:cs="Arial"/>
          <w:sz w:val="28"/>
          <w:szCs w:val="28"/>
          <w:lang w:val="es-ES"/>
        </w:rPr>
      </w:pPr>
      <w:r w:rsidRPr="00E04C21">
        <w:rPr>
          <w:rFonts w:ascii="Lucida Sans Typewriter" w:hAnsi="Lucida Sans Typewriter" w:cs="Arial"/>
          <w:sz w:val="28"/>
          <w:szCs w:val="28"/>
        </w:rPr>
        <w:t>Con base en lo anteriores argumentos, dejo sentadas las razones y motivos por las cuales de manera parcial me vi forzado a salvar mi voto en el presente asunto.</w:t>
      </w:r>
    </w:p>
    <w:p w:rsidR="004470C3" w:rsidRPr="00E04C21" w:rsidRDefault="004470C3" w:rsidP="004470C3">
      <w:pPr>
        <w:spacing w:after="0" w:line="276" w:lineRule="auto"/>
        <w:jc w:val="both"/>
        <w:rPr>
          <w:rFonts w:ascii="Lucida Sans Typewriter" w:eastAsia="Calibri" w:hAnsi="Lucida Sans Typewriter" w:cs="Arial"/>
          <w:sz w:val="28"/>
          <w:szCs w:val="28"/>
          <w:lang w:val="es-ES"/>
        </w:rPr>
      </w:pP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4470C3" w:rsidRPr="00E04C21" w:rsidRDefault="004470C3" w:rsidP="004470C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MANUEL YARZAGARAY BANDERA</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r w:rsidRPr="00E04C21">
        <w:rPr>
          <w:rFonts w:ascii="Lucida Sans Typewriter" w:eastAsia="Arial Unicode MS" w:hAnsi="Lucida Sans Typewriter" w:cs="Arial"/>
          <w:sz w:val="28"/>
          <w:szCs w:val="28"/>
        </w:rPr>
        <w:t xml:space="preserve">Magistrado </w:t>
      </w:r>
    </w:p>
    <w:p w:rsidR="004470C3" w:rsidRPr="00E04C21" w:rsidRDefault="004470C3" w:rsidP="004470C3">
      <w:pPr>
        <w:spacing w:after="0" w:line="276" w:lineRule="auto"/>
        <w:jc w:val="both"/>
        <w:rPr>
          <w:rFonts w:ascii="Lucida Sans Typewriter" w:eastAsia="Arial Unicode MS" w:hAnsi="Lucida Sans Typewriter" w:cs="Arial"/>
          <w:sz w:val="28"/>
          <w:szCs w:val="28"/>
        </w:rPr>
      </w:pPr>
    </w:p>
    <w:p w:rsidR="00AC45AB" w:rsidRPr="00E04C21" w:rsidRDefault="004470C3" w:rsidP="00AC45AB">
      <w:pPr>
        <w:spacing w:after="0" w:line="276" w:lineRule="auto"/>
        <w:jc w:val="both"/>
        <w:rPr>
          <w:rFonts w:ascii="Lucida Sans Typewriter" w:hAnsi="Lucida Sans Typewriter"/>
          <w:sz w:val="28"/>
          <w:szCs w:val="28"/>
        </w:rPr>
      </w:pPr>
      <w:r w:rsidRPr="00E04C21">
        <w:rPr>
          <w:rFonts w:ascii="Lucida Sans Typewriter" w:eastAsia="Arial Unicode MS" w:hAnsi="Lucida Sans Typewriter" w:cs="Arial"/>
          <w:i/>
          <w:sz w:val="28"/>
          <w:szCs w:val="28"/>
        </w:rPr>
        <w:t>Fecha Et Supra</w:t>
      </w:r>
    </w:p>
    <w:sectPr w:rsidR="00AC45AB" w:rsidRPr="00E04C21" w:rsidSect="00A15C77">
      <w:headerReference w:type="default" r:id="rId6"/>
      <w:footerReference w:type="default" r:id="rId7"/>
      <w:headerReference w:type="first" r:id="rId8"/>
      <w:pgSz w:w="12242" w:h="19442" w:code="268"/>
      <w:pgMar w:top="1134" w:right="1134" w:bottom="1134"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91" w:rsidRDefault="00BB5991" w:rsidP="004470C3">
      <w:pPr>
        <w:spacing w:after="0" w:line="240" w:lineRule="auto"/>
      </w:pPr>
      <w:r>
        <w:separator/>
      </w:r>
    </w:p>
  </w:endnote>
  <w:endnote w:type="continuationSeparator" w:id="0">
    <w:p w:rsidR="00BB5991" w:rsidRDefault="00BB5991" w:rsidP="0044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 Arial"/>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Lucida Sans Typewriter">
    <w:panose1 w:val="020B0509030504030204"/>
    <w:charset w:val="00"/>
    <w:family w:val="modern"/>
    <w:pitch w:val="fixed"/>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altName w:val="Arial Rounded MT Bold"/>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404ADF">
            <w:pPr>
              <w:pStyle w:val="Piedepgina"/>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26129C">
              <w:rPr>
                <w:rFonts w:ascii="Lucida Sans Typewriter" w:hAnsi="Lucida Sans Typewriter"/>
                <w:b/>
                <w:bCs/>
                <w:noProof/>
                <w:sz w:val="18"/>
                <w:szCs w:val="18"/>
              </w:rPr>
              <w:t>5</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26129C">
              <w:rPr>
                <w:rFonts w:ascii="Lucida Sans Typewriter" w:hAnsi="Lucida Sans Typewriter"/>
                <w:b/>
                <w:bCs/>
                <w:noProof/>
                <w:sz w:val="18"/>
                <w:szCs w:val="18"/>
              </w:rPr>
              <w:t>5</w:t>
            </w:r>
            <w:r w:rsidRPr="001B6AE3">
              <w:rPr>
                <w:rFonts w:ascii="Lucida Sans Typewriter" w:hAnsi="Lucida Sans Typewriter"/>
                <w:b/>
                <w:bCs/>
                <w:sz w:val="18"/>
                <w:szCs w:val="18"/>
              </w:rPr>
              <w:fldChar w:fldCharType="end"/>
            </w:r>
          </w:p>
        </w:sdtContent>
      </w:sdt>
    </w:sdtContent>
  </w:sdt>
  <w:p w:rsidR="001B6AE3" w:rsidRPr="001B6AE3" w:rsidRDefault="00BB5991">
    <w:pPr>
      <w:pStyle w:val="Piedepgina"/>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91" w:rsidRDefault="00BB5991" w:rsidP="004470C3">
      <w:pPr>
        <w:spacing w:after="0" w:line="240" w:lineRule="auto"/>
      </w:pPr>
      <w:r>
        <w:separator/>
      </w:r>
    </w:p>
  </w:footnote>
  <w:footnote w:type="continuationSeparator" w:id="0">
    <w:p w:rsidR="00BB5991" w:rsidRDefault="00BB5991" w:rsidP="004470C3">
      <w:pPr>
        <w:spacing w:after="0" w:line="240" w:lineRule="auto"/>
      </w:pPr>
      <w:r>
        <w:continuationSeparator/>
      </w:r>
    </w:p>
  </w:footnote>
  <w:footnote w:id="1">
    <w:p w:rsidR="004470C3" w:rsidRPr="00AC45AB" w:rsidRDefault="004470C3" w:rsidP="004470C3">
      <w:pPr>
        <w:pStyle w:val="Sinespaciado"/>
        <w:jc w:val="both"/>
        <w:rPr>
          <w:rFonts w:ascii="Palatino Linotype" w:hAnsi="Palatino Linotype"/>
          <w:sz w:val="20"/>
          <w:szCs w:val="20"/>
        </w:rPr>
      </w:pPr>
      <w:r w:rsidRPr="00AC45AB">
        <w:rPr>
          <w:rStyle w:val="Refdenotaalpie"/>
          <w:rFonts w:ascii="Palatino Linotype" w:hAnsi="Palatino Linotype"/>
          <w:sz w:val="20"/>
          <w:szCs w:val="20"/>
        </w:rPr>
        <w:footnoteRef/>
      </w:r>
      <w:r w:rsidRPr="00AC45AB">
        <w:rPr>
          <w:rFonts w:ascii="Palatino Linotype" w:hAnsi="Palatino Linotype"/>
          <w:sz w:val="20"/>
          <w:szCs w:val="20"/>
        </w:rPr>
        <w:t xml:space="preserve"> Corte Suprema de Justicia, Sala de Casación Penal: Providencia del 27 julio de 2016.</w:t>
      </w:r>
      <w:r w:rsidRPr="00AC45AB">
        <w:rPr>
          <w:rFonts w:ascii="Palatino Linotype" w:hAnsi="Palatino Linotype" w:cs="Arial"/>
          <w:sz w:val="20"/>
          <w:szCs w:val="20"/>
        </w:rPr>
        <w:t xml:space="preserve"> AP4810-2016. Radicado # 48442. </w:t>
      </w:r>
    </w:p>
  </w:footnote>
  <w:footnote w:id="2">
    <w:p w:rsidR="004470C3" w:rsidRPr="00AC45AB" w:rsidRDefault="004470C3" w:rsidP="004470C3">
      <w:pPr>
        <w:pStyle w:val="Textonotapie"/>
        <w:rPr>
          <w:rFonts w:ascii="Palatino Linotype" w:hAnsi="Palatino Linotype" w:cs="Microsoft Sans Serif"/>
        </w:rPr>
      </w:pPr>
      <w:r w:rsidRPr="00AC45AB">
        <w:rPr>
          <w:rStyle w:val="Refdenotaalpie"/>
          <w:rFonts w:ascii="Palatino Linotype" w:eastAsiaTheme="majorEastAsia" w:hAnsi="Palatino Linotype" w:cs="Microsoft Sans Serif"/>
        </w:rPr>
        <w:footnoteRef/>
      </w:r>
      <w:r w:rsidRPr="00AC45AB">
        <w:rPr>
          <w:rFonts w:ascii="Palatino Linotype" w:hAnsi="Palatino Linotype" w:cs="Microsoft Sans Serif"/>
        </w:rPr>
        <w:t xml:space="preserve"> Corte Constitucional: Sentencia # C-792 del veintinueve (29) de octubre de 2014. M.P. LUIS GUILLERMO GUERRERO PÉREZ. {Negrillas fuera del texto}.</w:t>
      </w:r>
    </w:p>
  </w:footnote>
  <w:footnote w:id="3">
    <w:p w:rsidR="004470C3" w:rsidRPr="00AC45AB" w:rsidRDefault="004470C3" w:rsidP="004470C3">
      <w:pPr>
        <w:pStyle w:val="Textonotapie"/>
        <w:rPr>
          <w:rFonts w:ascii="Palatino Linotype" w:hAnsi="Palatino Linotype"/>
        </w:rPr>
      </w:pPr>
      <w:r w:rsidRPr="00AC45AB">
        <w:rPr>
          <w:rStyle w:val="Refdenotaalpie"/>
          <w:rFonts w:ascii="Palatino Linotype" w:hAnsi="Palatino Linotype"/>
        </w:rPr>
        <w:footnoteRef/>
      </w:r>
      <w:r w:rsidRPr="00AC45AB">
        <w:rPr>
          <w:rFonts w:ascii="Palatino Linotype" w:hAnsi="Palatino Linotype"/>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77" w:rsidRPr="00A15C77" w:rsidRDefault="00404ADF" w:rsidP="00A15C77">
    <w:pPr>
      <w:pStyle w:val="Encabezado"/>
      <w:ind w:left="3969"/>
      <w:jc w:val="both"/>
      <w:rPr>
        <w:rFonts w:ascii="Times New Roman" w:hAnsi="Times New Roman" w:cs="Times New Roman"/>
        <w:b/>
        <w:sz w:val="20"/>
        <w:szCs w:val="20"/>
      </w:rPr>
    </w:pPr>
    <w:r w:rsidRPr="00A15C77">
      <w:rPr>
        <w:rFonts w:ascii="Times New Roman" w:hAnsi="Times New Roman" w:cs="Times New Roman"/>
      </w:rPr>
      <w:tab/>
    </w:r>
    <w:r w:rsidR="00A15C77" w:rsidRPr="00A15C77">
      <w:rPr>
        <w:rFonts w:ascii="Times New Roman" w:hAnsi="Times New Roman" w:cs="Times New Roman"/>
        <w:b/>
        <w:sz w:val="20"/>
        <w:szCs w:val="20"/>
      </w:rPr>
      <w:t xml:space="preserve">Procesado: RUBÉN DARÍO MONSALVE </w:t>
    </w:r>
  </w:p>
  <w:p w:rsidR="00A15C77" w:rsidRPr="00A15C77" w:rsidRDefault="00A15C77" w:rsidP="00A15C77">
    <w:pPr>
      <w:pStyle w:val="Encabezado"/>
      <w:ind w:left="3969"/>
      <w:jc w:val="both"/>
      <w:rPr>
        <w:rFonts w:ascii="Times New Roman" w:hAnsi="Times New Roman" w:cs="Times New Roman"/>
        <w:b/>
        <w:sz w:val="20"/>
        <w:szCs w:val="20"/>
      </w:rPr>
    </w:pPr>
    <w:r w:rsidRPr="00A15C77">
      <w:rPr>
        <w:rFonts w:ascii="Times New Roman" w:hAnsi="Times New Roman" w:cs="Times New Roman"/>
        <w:b/>
        <w:sz w:val="20"/>
        <w:szCs w:val="20"/>
      </w:rPr>
      <w:t>Delito: CONCUSIÓN</w:t>
    </w:r>
  </w:p>
  <w:p w:rsidR="00A15C77" w:rsidRPr="00A15C77" w:rsidRDefault="00A15C77" w:rsidP="00A15C77">
    <w:pPr>
      <w:pStyle w:val="Encabezado"/>
      <w:ind w:left="3969"/>
      <w:jc w:val="both"/>
      <w:rPr>
        <w:rFonts w:ascii="Times New Roman" w:hAnsi="Times New Roman" w:cs="Times New Roman"/>
        <w:b/>
        <w:sz w:val="20"/>
        <w:szCs w:val="20"/>
      </w:rPr>
    </w:pPr>
    <w:r w:rsidRPr="00A15C77">
      <w:rPr>
        <w:rFonts w:ascii="Times New Roman" w:hAnsi="Times New Roman" w:cs="Times New Roman"/>
        <w:b/>
        <w:sz w:val="20"/>
        <w:szCs w:val="20"/>
      </w:rPr>
      <w:t>Rad. # 6600160005820070344503</w:t>
    </w:r>
  </w:p>
  <w:p w:rsidR="00647CA9" w:rsidRPr="00A15C77" w:rsidRDefault="00A15C77" w:rsidP="00A15C77">
    <w:pPr>
      <w:pStyle w:val="Encabezado"/>
      <w:ind w:left="3969"/>
      <w:jc w:val="both"/>
      <w:rPr>
        <w:rFonts w:ascii="Times New Roman" w:hAnsi="Times New Roman" w:cs="Times New Roman"/>
        <w:b/>
        <w:sz w:val="20"/>
        <w:szCs w:val="20"/>
      </w:rPr>
    </w:pPr>
    <w:r w:rsidRPr="00A15C77">
      <w:rPr>
        <w:rFonts w:ascii="Times New Roman" w:hAnsi="Times New Roman" w:cs="Times New Roman"/>
        <w:b/>
        <w:sz w:val="20"/>
        <w:szCs w:val="20"/>
      </w:rPr>
      <w:t>Asunto: Salvamento parcial de voto</w:t>
    </w:r>
  </w:p>
  <w:p w:rsidR="00A15C77" w:rsidRPr="00A15C77" w:rsidRDefault="00A15C77" w:rsidP="00A15C77">
    <w:pPr>
      <w:pStyle w:val="Encabezado"/>
      <w:ind w:left="3969"/>
      <w:jc w:val="both"/>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A9" w:rsidRPr="00A15C77" w:rsidRDefault="00404ADF" w:rsidP="009C1B76">
    <w:pPr>
      <w:pStyle w:val="Encabezado"/>
      <w:tabs>
        <w:tab w:val="clear" w:pos="4419"/>
      </w:tabs>
      <w:ind w:left="4253"/>
      <w:jc w:val="both"/>
      <w:rPr>
        <w:rFonts w:ascii="Times New Roman" w:hAnsi="Times New Roman" w:cs="Times New Roman"/>
        <w:b/>
        <w:sz w:val="20"/>
        <w:szCs w:val="20"/>
      </w:rPr>
    </w:pPr>
    <w:r w:rsidRPr="00A15C77">
      <w:rPr>
        <w:rFonts w:ascii="Times New Roman" w:hAnsi="Times New Roman" w:cs="Times New Roman"/>
        <w:b/>
        <w:sz w:val="20"/>
        <w:szCs w:val="20"/>
      </w:rPr>
      <w:t xml:space="preserve">Procesado: </w:t>
    </w:r>
    <w:r w:rsidR="00A15C77" w:rsidRPr="00A15C77">
      <w:rPr>
        <w:rFonts w:ascii="Times New Roman" w:hAnsi="Times New Roman" w:cs="Times New Roman"/>
        <w:b/>
        <w:sz w:val="20"/>
        <w:szCs w:val="20"/>
      </w:rPr>
      <w:t xml:space="preserve">RUBÉN DARÍO MONSALVE </w:t>
    </w:r>
  </w:p>
  <w:p w:rsidR="001A38EB" w:rsidRPr="00A15C77" w:rsidRDefault="00404ADF" w:rsidP="009C1B76">
    <w:pPr>
      <w:pStyle w:val="Encabezado"/>
      <w:tabs>
        <w:tab w:val="clear" w:pos="4419"/>
      </w:tabs>
      <w:ind w:left="4253"/>
      <w:jc w:val="both"/>
      <w:rPr>
        <w:rFonts w:ascii="Times New Roman" w:hAnsi="Times New Roman" w:cs="Times New Roman"/>
        <w:b/>
        <w:sz w:val="20"/>
        <w:szCs w:val="20"/>
      </w:rPr>
    </w:pPr>
    <w:r w:rsidRPr="00A15C77">
      <w:rPr>
        <w:rFonts w:ascii="Times New Roman" w:hAnsi="Times New Roman" w:cs="Times New Roman"/>
        <w:b/>
        <w:sz w:val="20"/>
        <w:szCs w:val="20"/>
      </w:rPr>
      <w:t xml:space="preserve">Delito: </w:t>
    </w:r>
    <w:r w:rsidR="00A15C77" w:rsidRPr="00A15C77">
      <w:rPr>
        <w:rFonts w:ascii="Times New Roman" w:hAnsi="Times New Roman" w:cs="Times New Roman"/>
        <w:b/>
        <w:sz w:val="20"/>
        <w:szCs w:val="20"/>
      </w:rPr>
      <w:t>CONCUSIÓN</w:t>
    </w:r>
  </w:p>
  <w:p w:rsidR="001A38EB" w:rsidRPr="00A15C77" w:rsidRDefault="00404ADF" w:rsidP="009C1B76">
    <w:pPr>
      <w:pStyle w:val="Encabezado"/>
      <w:tabs>
        <w:tab w:val="clear" w:pos="4419"/>
      </w:tabs>
      <w:ind w:left="4253"/>
      <w:jc w:val="both"/>
      <w:rPr>
        <w:rFonts w:ascii="Times New Roman" w:hAnsi="Times New Roman" w:cs="Times New Roman"/>
        <w:b/>
        <w:sz w:val="20"/>
        <w:szCs w:val="20"/>
      </w:rPr>
    </w:pPr>
    <w:r w:rsidRPr="00A15C77">
      <w:rPr>
        <w:rFonts w:ascii="Times New Roman" w:hAnsi="Times New Roman" w:cs="Times New Roman"/>
        <w:b/>
        <w:sz w:val="20"/>
        <w:szCs w:val="20"/>
      </w:rPr>
      <w:t xml:space="preserve">Rad. # </w:t>
    </w:r>
    <w:r w:rsidR="00A15C77" w:rsidRPr="00A15C77">
      <w:rPr>
        <w:rFonts w:ascii="Times New Roman" w:hAnsi="Times New Roman" w:cs="Times New Roman"/>
        <w:b/>
        <w:sz w:val="20"/>
        <w:szCs w:val="20"/>
      </w:rPr>
      <w:t>6600160005820070344503</w:t>
    </w:r>
  </w:p>
  <w:p w:rsidR="001A38EB" w:rsidRPr="00A15C77" w:rsidRDefault="00404ADF" w:rsidP="009C1B76">
    <w:pPr>
      <w:pStyle w:val="Encabezado"/>
      <w:tabs>
        <w:tab w:val="clear" w:pos="4419"/>
      </w:tabs>
      <w:ind w:left="4253"/>
      <w:jc w:val="both"/>
      <w:rPr>
        <w:rFonts w:ascii="Times New Roman" w:hAnsi="Times New Roman" w:cs="Times New Roman"/>
        <w:b/>
        <w:sz w:val="20"/>
        <w:szCs w:val="20"/>
      </w:rPr>
    </w:pPr>
    <w:r w:rsidRPr="00A15C77">
      <w:rPr>
        <w:rFonts w:ascii="Times New Roman" w:hAnsi="Times New Roman" w:cs="Times New Roman"/>
        <w:b/>
        <w:sz w:val="20"/>
        <w:szCs w:val="20"/>
      </w:rPr>
      <w:t>Asunto: Salvamento parcial de voto</w:t>
    </w:r>
  </w:p>
  <w:p w:rsidR="001A38EB" w:rsidRDefault="00404ADF" w:rsidP="00647CA9">
    <w:pPr>
      <w:pStyle w:val="Encabezado"/>
      <w:tabs>
        <w:tab w:val="clear" w:pos="4419"/>
        <w:tab w:val="clear" w:pos="8838"/>
        <w:tab w:val="left" w:pos="6975"/>
      </w:tabs>
      <w:jc w:val="both"/>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C3"/>
    <w:rsid w:val="0026129C"/>
    <w:rsid w:val="00404ADF"/>
    <w:rsid w:val="004470C3"/>
    <w:rsid w:val="0049598C"/>
    <w:rsid w:val="005A504F"/>
    <w:rsid w:val="009051C8"/>
    <w:rsid w:val="00927524"/>
    <w:rsid w:val="00A15C77"/>
    <w:rsid w:val="00AC45AB"/>
    <w:rsid w:val="00BA5032"/>
    <w:rsid w:val="00BB5991"/>
    <w:rsid w:val="00C84EE6"/>
    <w:rsid w:val="00CC0378"/>
    <w:rsid w:val="00E04C21"/>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C1972-0296-466C-84A1-7AB5AB40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4470C3"/>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4470C3"/>
    <w:rPr>
      <w:sz w:val="28"/>
      <w:szCs w:val="28"/>
    </w:rPr>
  </w:style>
  <w:style w:type="paragraph" w:styleId="Piedepgina">
    <w:name w:val="footer"/>
    <w:basedOn w:val="Normal"/>
    <w:link w:val="PiedepginaCar"/>
    <w:uiPriority w:val="99"/>
    <w:unhideWhenUsed/>
    <w:rsid w:val="004470C3"/>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4470C3"/>
    <w:rPr>
      <w:sz w:val="28"/>
      <w:szCs w:val="28"/>
    </w:rPr>
  </w:style>
  <w:style w:type="paragraph" w:styleId="Textonotapie">
    <w:name w:val="footnote text"/>
    <w:basedOn w:val="Normal"/>
    <w:link w:val="TextonotapieCar"/>
    <w:uiPriority w:val="99"/>
    <w:semiHidden/>
    <w:unhideWhenUsed/>
    <w:rsid w:val="00447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70C3"/>
    <w:rPr>
      <w:sz w:val="20"/>
      <w:szCs w:val="20"/>
    </w:rPr>
  </w:style>
  <w:style w:type="character" w:customStyle="1" w:styleId="SinespaciadoCar">
    <w:name w:val="Sin espaciado Car"/>
    <w:link w:val="Sinespaciado"/>
    <w:uiPriority w:val="1"/>
    <w:locked/>
    <w:rsid w:val="0044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1627</Words>
  <Characters>8952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cp:revision>
  <dcterms:created xsi:type="dcterms:W3CDTF">2018-06-06T13:00:00Z</dcterms:created>
  <dcterms:modified xsi:type="dcterms:W3CDTF">2018-07-30T19:37:00Z</dcterms:modified>
</cp:coreProperties>
</file>