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43" w:rsidRPr="00B30EFC" w:rsidRDefault="00CE7443" w:rsidP="00CE744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E722C" w:rsidRPr="00B30EFC" w:rsidRDefault="008E722C" w:rsidP="008E722C">
      <w:pPr>
        <w:jc w:val="both"/>
        <w:rPr>
          <w:rFonts w:ascii="Arial" w:hAnsi="Arial" w:cs="Arial"/>
          <w:sz w:val="20"/>
          <w:szCs w:val="20"/>
          <w:lang w:val="es-419"/>
        </w:rPr>
      </w:pPr>
    </w:p>
    <w:p w:rsidR="008E722C" w:rsidRPr="00B30EFC" w:rsidRDefault="008E722C" w:rsidP="008E722C">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D05C3A">
        <w:rPr>
          <w:rFonts w:ascii="Arial" w:hAnsi="Arial" w:cs="Arial"/>
          <w:b/>
          <w:bCs/>
          <w:iCs/>
          <w:sz w:val="20"/>
          <w:szCs w:val="20"/>
          <w:lang w:val="es-CO" w:eastAsia="fr-FR"/>
        </w:rPr>
        <w:t xml:space="preserve">PETICIÓN Y VIVIENDA DIGNA / </w:t>
      </w:r>
      <w:r w:rsidR="006A75E3">
        <w:rPr>
          <w:rFonts w:ascii="Arial" w:hAnsi="Arial" w:cs="Arial"/>
          <w:b/>
          <w:bCs/>
          <w:iCs/>
          <w:sz w:val="20"/>
          <w:szCs w:val="20"/>
          <w:lang w:val="es-CO" w:eastAsia="fr-FR"/>
        </w:rPr>
        <w:t>PRINCIPIOS DE SUBSIDIARIEDAD E INMEDIATEZ / PLAZO RAZONABLE PARA INTERPONER LA TUTELA.</w:t>
      </w:r>
    </w:p>
    <w:p w:rsidR="008E722C" w:rsidRPr="00B30EFC" w:rsidRDefault="008E722C" w:rsidP="008E722C">
      <w:pPr>
        <w:jc w:val="both"/>
        <w:rPr>
          <w:rFonts w:ascii="Arial" w:hAnsi="Arial" w:cs="Arial"/>
          <w:sz w:val="20"/>
          <w:szCs w:val="20"/>
          <w:lang w:val="es-419"/>
        </w:rPr>
      </w:pPr>
    </w:p>
    <w:p w:rsidR="00D05C3A" w:rsidRPr="00D05C3A" w:rsidRDefault="00D05C3A" w:rsidP="00D05C3A">
      <w:pPr>
        <w:jc w:val="both"/>
        <w:rPr>
          <w:rFonts w:ascii="Arial" w:hAnsi="Arial" w:cs="Arial"/>
          <w:sz w:val="20"/>
          <w:szCs w:val="20"/>
          <w:lang w:val="es-419"/>
        </w:rPr>
      </w:pPr>
      <w:r w:rsidRPr="00D05C3A">
        <w:rPr>
          <w:rFonts w:ascii="Arial" w:hAnsi="Arial" w:cs="Arial"/>
          <w:sz w:val="20"/>
          <w:szCs w:val="20"/>
          <w:lang w:val="es-419"/>
        </w:rPr>
        <w:t xml:space="preserve">Nuestra Corte Constitucional tiene establecido que (i) La subsidiariedad o residualidad, y (ii) La inmediatez, son exigencias generales de procedencia de la acción, condiciones indispensables para el conocimiento de fondo de las solicitudes de protección de derechos fundamentales. </w:t>
      </w:r>
    </w:p>
    <w:p w:rsidR="00D05C3A" w:rsidRPr="00D05C3A" w:rsidRDefault="00D05C3A" w:rsidP="00D05C3A">
      <w:pPr>
        <w:jc w:val="both"/>
        <w:rPr>
          <w:rFonts w:ascii="Arial" w:hAnsi="Arial" w:cs="Arial"/>
          <w:sz w:val="20"/>
          <w:szCs w:val="20"/>
          <w:lang w:val="es-419"/>
        </w:rPr>
      </w:pPr>
    </w:p>
    <w:p w:rsidR="00D05C3A" w:rsidRPr="00D05C3A" w:rsidRDefault="00D05C3A" w:rsidP="00D05C3A">
      <w:pPr>
        <w:jc w:val="both"/>
        <w:rPr>
          <w:rFonts w:ascii="Arial" w:hAnsi="Arial" w:cs="Arial"/>
          <w:sz w:val="20"/>
          <w:szCs w:val="20"/>
          <w:lang w:val="es-419"/>
        </w:rPr>
      </w:pPr>
      <w:r w:rsidRPr="00D05C3A">
        <w:rPr>
          <w:rFonts w:ascii="Arial" w:hAnsi="Arial" w:cs="Arial"/>
          <w:sz w:val="20"/>
          <w:szCs w:val="20"/>
          <w:lang w:val="es-419"/>
        </w:rPr>
        <w:t>En lo tocante a la inmediatez, según constante jurisprudencia de nuestro máximo Tribunal Constitucional, y también de la CSJ (Sala de Casación Civil), conlleva entender que el remedio judicial requiere aplicación urgente, por lo que quien actúa en ejercicio de la tutela, debe usarla en forma oportuna. Significa lo dicho que el juez no está obligado a atender una petición cuando el afectado injustificadamente, por desidia o desinterés, ha dejado pasar el tiempo para elevarla, la inmediatez es consustancial a la protección que brinda la mencionada acción como defensa efectiva de los derechos fundamentales.</w:t>
      </w:r>
    </w:p>
    <w:p w:rsidR="00D05C3A" w:rsidRPr="00D05C3A" w:rsidRDefault="00D05C3A" w:rsidP="00D05C3A">
      <w:pPr>
        <w:jc w:val="both"/>
        <w:rPr>
          <w:rFonts w:ascii="Arial" w:hAnsi="Arial" w:cs="Arial"/>
          <w:sz w:val="20"/>
          <w:szCs w:val="20"/>
          <w:lang w:val="es-419"/>
        </w:rPr>
      </w:pPr>
    </w:p>
    <w:p w:rsidR="00D05C3A" w:rsidRPr="00D05C3A" w:rsidRDefault="00D05C3A" w:rsidP="00D05C3A">
      <w:pPr>
        <w:jc w:val="both"/>
        <w:rPr>
          <w:rFonts w:ascii="Arial" w:hAnsi="Arial" w:cs="Arial"/>
          <w:sz w:val="20"/>
          <w:szCs w:val="20"/>
          <w:lang w:val="es-419"/>
        </w:rPr>
      </w:pPr>
      <w:r w:rsidRPr="00D05C3A">
        <w:rPr>
          <w:rFonts w:ascii="Arial" w:hAnsi="Arial" w:cs="Arial"/>
          <w:sz w:val="20"/>
          <w:szCs w:val="20"/>
          <w:lang w:val="es-419"/>
        </w:rPr>
        <w:t xml:space="preserve">El mencionado plazo no es absoluto, pues se entiende como razonable para la interposición de la acción, más allá de ese término, lo que en realidad lo determina es: (i) Si existió o no un motivo válido que justifique la inactividad; (ii) Si la inactividad injustificada vulnera el núcleo esencial de los derechos de terceros afectados con la decisión; y, (iii) Si existe un nexo causal entre el ejercicio oportuno de la acción y la vulneración de los derechos de los interesados. </w:t>
      </w:r>
    </w:p>
    <w:p w:rsidR="00D05C3A" w:rsidRDefault="00D05C3A" w:rsidP="00EE071F">
      <w:pPr>
        <w:jc w:val="both"/>
        <w:rPr>
          <w:rFonts w:ascii="Arial" w:hAnsi="Arial" w:cs="Arial"/>
          <w:sz w:val="20"/>
          <w:szCs w:val="20"/>
          <w:lang w:val="es-419"/>
        </w:rPr>
      </w:pPr>
    </w:p>
    <w:p w:rsidR="005761C8" w:rsidRPr="00B30EFC" w:rsidRDefault="005761C8" w:rsidP="009050FA">
      <w:pPr>
        <w:jc w:val="both"/>
        <w:rPr>
          <w:rFonts w:ascii="Arial" w:hAnsi="Arial" w:cs="Arial"/>
          <w:sz w:val="20"/>
          <w:szCs w:val="20"/>
          <w:lang w:val="es-419"/>
        </w:rPr>
      </w:pPr>
    </w:p>
    <w:p w:rsidR="009050FA" w:rsidRPr="00B30EFC" w:rsidRDefault="009050FA" w:rsidP="009050FA">
      <w:pPr>
        <w:jc w:val="both"/>
        <w:rPr>
          <w:rFonts w:ascii="Arial" w:hAnsi="Arial" w:cs="Arial"/>
          <w:sz w:val="20"/>
          <w:szCs w:val="20"/>
          <w:lang w:val="es-419"/>
        </w:rPr>
      </w:pPr>
    </w:p>
    <w:p w:rsidR="00261F3E" w:rsidRPr="00B30EFC" w:rsidRDefault="00261F3E" w:rsidP="009050FA">
      <w:pPr>
        <w:jc w:val="both"/>
        <w:rPr>
          <w:rFonts w:ascii="Arial" w:hAnsi="Arial" w:cs="Arial"/>
          <w:sz w:val="20"/>
          <w:szCs w:val="20"/>
          <w:lang w:val="es-419"/>
        </w:rPr>
      </w:pPr>
    </w:p>
    <w:p w:rsidR="00913EFC" w:rsidRPr="00B30EFC" w:rsidRDefault="00913EFC" w:rsidP="00913EFC">
      <w:pPr>
        <w:pStyle w:val="Sinespaciado"/>
        <w:spacing w:line="360" w:lineRule="auto"/>
        <w:rPr>
          <w:rFonts w:ascii="Georgia" w:hAnsi="Georgia" w:cs="Arial"/>
          <w:color w:val="FF0000"/>
          <w:w w:val="140"/>
          <w:lang w:val="es-419"/>
        </w:rPr>
      </w:pPr>
      <w:r w:rsidRPr="00B30EFC">
        <w:rPr>
          <w:rFonts w:ascii="Georgia" w:hAnsi="Georgia"/>
          <w:noProof/>
          <w:color w:val="FF0000"/>
        </w:rPr>
        <w:drawing>
          <wp:anchor distT="0" distB="0" distL="114300" distR="114300" simplePos="0" relativeHeight="251659264" behindDoc="0" locked="0" layoutInCell="1" allowOverlap="1" wp14:anchorId="4A38D75F" wp14:editId="01AB3EC4">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913EFC" w:rsidRPr="00B30EFC" w:rsidRDefault="00913EFC" w:rsidP="00913EFC">
      <w:pPr>
        <w:pStyle w:val="Sinespaciado"/>
        <w:spacing w:line="360" w:lineRule="auto"/>
        <w:rPr>
          <w:rFonts w:ascii="Georgia" w:hAnsi="Georgia" w:cs="Arial"/>
          <w:color w:val="FF0000"/>
          <w:w w:val="140"/>
          <w:sz w:val="14"/>
          <w:lang w:val="es-419"/>
        </w:rPr>
      </w:pPr>
    </w:p>
    <w:p w:rsidR="00913EFC" w:rsidRPr="00B30EFC" w:rsidRDefault="00913EFC" w:rsidP="00913EFC">
      <w:pPr>
        <w:pStyle w:val="Sinespaciado"/>
        <w:spacing w:line="360" w:lineRule="auto"/>
        <w:ind w:left="708" w:firstLine="708"/>
        <w:jc w:val="center"/>
        <w:rPr>
          <w:rFonts w:ascii="Georgia" w:hAnsi="Georgia" w:cs="Arial"/>
          <w:color w:val="FF0000"/>
          <w:w w:val="140"/>
          <w:sz w:val="14"/>
          <w:lang w:val="es-419"/>
        </w:rPr>
      </w:pPr>
    </w:p>
    <w:p w:rsidR="00913EFC" w:rsidRPr="00B30EFC" w:rsidRDefault="00913EFC" w:rsidP="00913EFC">
      <w:pPr>
        <w:pStyle w:val="Sinespaciado"/>
        <w:spacing w:line="360" w:lineRule="auto"/>
        <w:jc w:val="center"/>
        <w:rPr>
          <w:rFonts w:ascii="Georgia" w:hAnsi="Georgia" w:cs="Arial"/>
          <w:w w:val="140"/>
          <w:sz w:val="14"/>
          <w:lang w:val="es-419"/>
        </w:rPr>
      </w:pPr>
      <w:r w:rsidRPr="00B30EFC">
        <w:rPr>
          <w:rFonts w:ascii="Georgia" w:hAnsi="Georgia" w:cs="Arial"/>
          <w:w w:val="140"/>
          <w:sz w:val="14"/>
          <w:lang w:val="es-419"/>
        </w:rPr>
        <w:t>REPUBLICA DE COLOMBIA</w:t>
      </w:r>
    </w:p>
    <w:p w:rsidR="00913EFC" w:rsidRPr="00B30EFC" w:rsidRDefault="00913EFC" w:rsidP="00913EFC">
      <w:pPr>
        <w:pStyle w:val="Sinespaciado"/>
        <w:tabs>
          <w:tab w:val="center" w:pos="4987"/>
          <w:tab w:val="left" w:pos="8449"/>
        </w:tabs>
        <w:spacing w:line="360" w:lineRule="auto"/>
        <w:jc w:val="center"/>
        <w:rPr>
          <w:rFonts w:ascii="Georgia" w:hAnsi="Georgia" w:cs="Arial"/>
          <w:w w:val="140"/>
          <w:lang w:val="es-419"/>
        </w:rPr>
      </w:pPr>
      <w:r w:rsidRPr="00B30EFC">
        <w:rPr>
          <w:rFonts w:ascii="Georgia" w:hAnsi="Georgia" w:cs="Arial"/>
          <w:w w:val="140"/>
          <w:sz w:val="14"/>
          <w:lang w:val="es-419"/>
        </w:rPr>
        <w:t>RAMA JUDICIAL DEL PODER PÚBLICO</w:t>
      </w:r>
    </w:p>
    <w:p w:rsidR="00913EFC" w:rsidRPr="00B30EFC" w:rsidRDefault="00913EFC" w:rsidP="00913EFC">
      <w:pPr>
        <w:pStyle w:val="Sinespaciado"/>
        <w:spacing w:line="360" w:lineRule="auto"/>
        <w:jc w:val="center"/>
        <w:rPr>
          <w:rFonts w:ascii="Georgia" w:hAnsi="Georgia" w:cs="Arial"/>
          <w:smallCaps/>
          <w:w w:val="140"/>
          <w:sz w:val="18"/>
          <w:szCs w:val="18"/>
          <w:lang w:val="es-419"/>
        </w:rPr>
      </w:pPr>
      <w:r w:rsidRPr="00B30EFC">
        <w:rPr>
          <w:rFonts w:ascii="Georgia" w:hAnsi="Georgia" w:cs="Arial"/>
          <w:smallCaps/>
          <w:w w:val="140"/>
          <w:sz w:val="18"/>
          <w:szCs w:val="18"/>
          <w:lang w:val="es-419"/>
        </w:rPr>
        <w:t>tribunal superior del distrito judicial</w:t>
      </w:r>
    </w:p>
    <w:p w:rsidR="00913EFC" w:rsidRPr="00B30EFC" w:rsidRDefault="00913EFC" w:rsidP="00913EFC">
      <w:pPr>
        <w:pStyle w:val="Sinespaciado"/>
        <w:spacing w:line="360" w:lineRule="auto"/>
        <w:jc w:val="center"/>
        <w:rPr>
          <w:rFonts w:ascii="Georgia" w:hAnsi="Georgia" w:cs="Arial"/>
          <w:smallCaps/>
          <w:w w:val="140"/>
          <w:sz w:val="18"/>
          <w:szCs w:val="18"/>
          <w:lang w:val="es-419"/>
        </w:rPr>
      </w:pPr>
      <w:r w:rsidRPr="00B30EFC">
        <w:rPr>
          <w:rFonts w:ascii="Georgia" w:hAnsi="Georgia" w:cs="Arial"/>
          <w:smallCaps/>
          <w:w w:val="140"/>
          <w:sz w:val="18"/>
          <w:szCs w:val="18"/>
          <w:lang w:val="es-419"/>
        </w:rPr>
        <w:t xml:space="preserve">Sala de Decisión Civil - Familia  -Distrito de Pereira </w:t>
      </w:r>
    </w:p>
    <w:p w:rsidR="00913EFC" w:rsidRPr="00B30EFC" w:rsidRDefault="00913EFC" w:rsidP="00913EFC">
      <w:pPr>
        <w:pStyle w:val="Sinespaciado"/>
        <w:spacing w:line="360" w:lineRule="auto"/>
        <w:jc w:val="center"/>
        <w:rPr>
          <w:rFonts w:ascii="Georgia" w:hAnsi="Georgia" w:cs="Arial"/>
          <w:smallCaps/>
          <w:w w:val="140"/>
          <w:sz w:val="18"/>
          <w:szCs w:val="18"/>
          <w:lang w:val="es-419"/>
        </w:rPr>
      </w:pPr>
      <w:r w:rsidRPr="00B30EFC">
        <w:rPr>
          <w:rFonts w:ascii="Georgia" w:hAnsi="Georgia" w:cs="Arial"/>
          <w:smallCaps/>
          <w:w w:val="140"/>
          <w:sz w:val="18"/>
          <w:szCs w:val="18"/>
          <w:lang w:val="es-419"/>
        </w:rPr>
        <w:t>Departamento de Risaralda</w:t>
      </w:r>
    </w:p>
    <w:p w:rsidR="00913EFC" w:rsidRPr="00B30EFC" w:rsidRDefault="00913EFC" w:rsidP="00913EFC">
      <w:pPr>
        <w:spacing w:line="360" w:lineRule="auto"/>
        <w:jc w:val="center"/>
        <w:rPr>
          <w:rFonts w:ascii="Georgia" w:hAnsi="Georgia" w:cs="Arial"/>
          <w:b/>
          <w:bCs/>
          <w:sz w:val="14"/>
          <w:szCs w:val="26"/>
          <w:lang w:val="es-419"/>
        </w:rPr>
      </w:pPr>
    </w:p>
    <w:p w:rsidR="00913EFC" w:rsidRPr="00B30EFC" w:rsidRDefault="00913EFC" w:rsidP="00B30EFC">
      <w:pPr>
        <w:pStyle w:val="Textoindependiente"/>
        <w:spacing w:line="240" w:lineRule="auto"/>
        <w:rPr>
          <w:rFonts w:ascii="Georgia" w:hAnsi="Georgia"/>
          <w:sz w:val="22"/>
          <w:szCs w:val="22"/>
          <w:lang w:val="es-419"/>
        </w:rPr>
      </w:pPr>
      <w:r w:rsidRPr="00B30EFC">
        <w:rPr>
          <w:rFonts w:ascii="Georgia" w:hAnsi="Georgia"/>
          <w:sz w:val="22"/>
          <w:szCs w:val="22"/>
          <w:lang w:val="es-419"/>
        </w:rPr>
        <w:tab/>
      </w:r>
      <w:r w:rsidRPr="00B30EFC">
        <w:rPr>
          <w:rFonts w:ascii="Georgia" w:hAnsi="Georgia"/>
          <w:sz w:val="22"/>
          <w:szCs w:val="22"/>
          <w:lang w:val="es-419"/>
        </w:rPr>
        <w:tab/>
        <w:t>Asunto</w:t>
      </w:r>
      <w:r w:rsidRPr="00B30EFC">
        <w:rPr>
          <w:rFonts w:ascii="Georgia" w:hAnsi="Georgia"/>
          <w:sz w:val="22"/>
          <w:szCs w:val="22"/>
          <w:lang w:val="es-419"/>
        </w:rPr>
        <w:tab/>
      </w:r>
      <w:r w:rsidRPr="00B30EFC">
        <w:rPr>
          <w:rFonts w:ascii="Georgia" w:hAnsi="Georgia"/>
          <w:sz w:val="22"/>
          <w:szCs w:val="22"/>
          <w:lang w:val="es-419"/>
        </w:rPr>
        <w:tab/>
      </w:r>
      <w:r w:rsidRPr="00B30EFC">
        <w:rPr>
          <w:rFonts w:ascii="Georgia" w:hAnsi="Georgia"/>
          <w:sz w:val="22"/>
          <w:szCs w:val="22"/>
          <w:lang w:val="es-419"/>
        </w:rPr>
        <w:tab/>
        <w:t>: Sentencia de tutela en segunda instancia</w:t>
      </w:r>
    </w:p>
    <w:p w:rsidR="00913EFC" w:rsidRPr="00B30EFC" w:rsidRDefault="00913EFC" w:rsidP="00B30EFC">
      <w:pPr>
        <w:pStyle w:val="Textoindependiente"/>
        <w:spacing w:line="240" w:lineRule="auto"/>
        <w:rPr>
          <w:rFonts w:ascii="Georgia" w:hAnsi="Georgia"/>
          <w:sz w:val="22"/>
          <w:szCs w:val="22"/>
          <w:lang w:val="es-419"/>
        </w:rPr>
      </w:pPr>
      <w:r w:rsidRPr="00B30EFC">
        <w:rPr>
          <w:rFonts w:ascii="Georgia" w:hAnsi="Georgia"/>
          <w:sz w:val="22"/>
          <w:szCs w:val="22"/>
          <w:lang w:val="es-419"/>
        </w:rPr>
        <w:tab/>
      </w:r>
      <w:r w:rsidRPr="00B30EFC">
        <w:rPr>
          <w:rFonts w:ascii="Georgia" w:hAnsi="Georgia"/>
          <w:sz w:val="22"/>
          <w:szCs w:val="22"/>
          <w:lang w:val="es-419"/>
        </w:rPr>
        <w:tab/>
        <w:t>Accionante (s)</w:t>
      </w:r>
      <w:r w:rsidRPr="00B30EFC">
        <w:rPr>
          <w:rFonts w:ascii="Georgia" w:hAnsi="Georgia"/>
          <w:sz w:val="22"/>
          <w:szCs w:val="22"/>
          <w:lang w:val="es-419"/>
        </w:rPr>
        <w:tab/>
      </w:r>
      <w:r w:rsidRPr="00B30EFC">
        <w:rPr>
          <w:rFonts w:ascii="Georgia" w:hAnsi="Georgia"/>
          <w:sz w:val="22"/>
          <w:szCs w:val="22"/>
          <w:lang w:val="es-419"/>
        </w:rPr>
        <w:tab/>
        <w:t>: Luz Marina Villa Idárraga y otros</w:t>
      </w:r>
    </w:p>
    <w:p w:rsidR="00913EFC" w:rsidRPr="00B30EFC" w:rsidRDefault="00913EFC" w:rsidP="00B30EFC">
      <w:pPr>
        <w:pStyle w:val="Textoindependiente"/>
        <w:spacing w:line="240" w:lineRule="auto"/>
        <w:rPr>
          <w:rFonts w:ascii="Georgia" w:hAnsi="Georgia"/>
          <w:sz w:val="22"/>
          <w:szCs w:val="22"/>
          <w:lang w:val="es-419"/>
        </w:rPr>
      </w:pPr>
      <w:r w:rsidRPr="00B30EFC">
        <w:rPr>
          <w:rFonts w:ascii="Georgia" w:hAnsi="Georgia"/>
          <w:sz w:val="22"/>
          <w:szCs w:val="22"/>
          <w:lang w:val="es-419"/>
        </w:rPr>
        <w:tab/>
      </w:r>
      <w:r w:rsidRPr="00B30EFC">
        <w:rPr>
          <w:rFonts w:ascii="Georgia" w:hAnsi="Georgia"/>
          <w:sz w:val="22"/>
          <w:szCs w:val="22"/>
          <w:lang w:val="es-419"/>
        </w:rPr>
        <w:tab/>
        <w:t>Accionado (s)</w:t>
      </w:r>
      <w:r w:rsidRPr="00B30EFC">
        <w:rPr>
          <w:rFonts w:ascii="Georgia" w:hAnsi="Georgia"/>
          <w:sz w:val="22"/>
          <w:szCs w:val="22"/>
          <w:lang w:val="es-419"/>
        </w:rPr>
        <w:tab/>
      </w:r>
      <w:r w:rsidRPr="00B30EFC">
        <w:rPr>
          <w:rFonts w:ascii="Georgia" w:hAnsi="Georgia"/>
          <w:sz w:val="22"/>
          <w:szCs w:val="22"/>
          <w:lang w:val="es-419"/>
        </w:rPr>
        <w:tab/>
        <w:t xml:space="preserve">: Ministerio de Vivienda, Ciudad y Territorio y otros </w:t>
      </w:r>
    </w:p>
    <w:p w:rsidR="00913EFC" w:rsidRPr="00B30EFC" w:rsidRDefault="00913EFC" w:rsidP="00B30EFC">
      <w:pPr>
        <w:pStyle w:val="Textoindependiente"/>
        <w:spacing w:line="240" w:lineRule="auto"/>
        <w:rPr>
          <w:rFonts w:ascii="Georgia" w:hAnsi="Georgia"/>
          <w:sz w:val="22"/>
          <w:szCs w:val="22"/>
          <w:lang w:val="es-419"/>
        </w:rPr>
      </w:pPr>
      <w:r w:rsidRPr="00B30EFC">
        <w:rPr>
          <w:rFonts w:ascii="Georgia" w:hAnsi="Georgia"/>
          <w:sz w:val="22"/>
          <w:szCs w:val="22"/>
          <w:lang w:val="es-419"/>
        </w:rPr>
        <w:tab/>
      </w:r>
      <w:r w:rsidRPr="00B30EFC">
        <w:rPr>
          <w:rFonts w:ascii="Georgia" w:hAnsi="Georgia"/>
          <w:sz w:val="22"/>
          <w:szCs w:val="22"/>
          <w:lang w:val="es-419"/>
        </w:rPr>
        <w:tab/>
        <w:t>Vinculado (s)</w:t>
      </w:r>
      <w:r w:rsidRPr="00B30EFC">
        <w:rPr>
          <w:rFonts w:ascii="Georgia" w:hAnsi="Georgia"/>
          <w:sz w:val="22"/>
          <w:szCs w:val="22"/>
          <w:lang w:val="es-419"/>
        </w:rPr>
        <w:tab/>
      </w:r>
      <w:r w:rsidRPr="00B30EFC">
        <w:rPr>
          <w:rFonts w:ascii="Georgia" w:hAnsi="Georgia"/>
          <w:sz w:val="22"/>
          <w:szCs w:val="22"/>
          <w:lang w:val="es-419"/>
        </w:rPr>
        <w:tab/>
        <w:t>: IGAC y otros</w:t>
      </w:r>
    </w:p>
    <w:p w:rsidR="00913EFC" w:rsidRPr="00B30EFC" w:rsidRDefault="00913EFC" w:rsidP="00B30EFC">
      <w:pPr>
        <w:pStyle w:val="Textoindependiente"/>
        <w:spacing w:line="240" w:lineRule="auto"/>
        <w:ind w:left="708" w:hanging="708"/>
        <w:rPr>
          <w:rFonts w:ascii="Georgia" w:hAnsi="Georgia"/>
          <w:sz w:val="22"/>
          <w:szCs w:val="22"/>
          <w:lang w:val="es-419"/>
        </w:rPr>
      </w:pPr>
      <w:r w:rsidRPr="00B30EFC">
        <w:rPr>
          <w:rFonts w:ascii="Georgia" w:hAnsi="Georgia"/>
          <w:sz w:val="22"/>
          <w:szCs w:val="22"/>
          <w:lang w:val="es-419"/>
        </w:rPr>
        <w:tab/>
      </w:r>
      <w:r w:rsidRPr="00B30EFC">
        <w:rPr>
          <w:rFonts w:ascii="Georgia" w:hAnsi="Georgia"/>
          <w:sz w:val="22"/>
          <w:szCs w:val="22"/>
          <w:lang w:val="es-419"/>
        </w:rPr>
        <w:tab/>
        <w:t>Radicación</w:t>
      </w:r>
      <w:r w:rsidRPr="00B30EFC">
        <w:rPr>
          <w:rFonts w:ascii="Georgia" w:hAnsi="Georgia"/>
          <w:sz w:val="22"/>
          <w:szCs w:val="22"/>
          <w:lang w:val="es-419"/>
        </w:rPr>
        <w:tab/>
      </w:r>
      <w:r w:rsidRPr="00B30EFC">
        <w:rPr>
          <w:rFonts w:ascii="Georgia" w:hAnsi="Georgia"/>
          <w:sz w:val="22"/>
          <w:szCs w:val="22"/>
          <w:lang w:val="es-419"/>
        </w:rPr>
        <w:tab/>
        <w:t xml:space="preserve">: 66400-31-89-001-2018-00683-02; acumuladas las </w:t>
      </w:r>
    </w:p>
    <w:p w:rsidR="00913EFC" w:rsidRPr="00B30EFC" w:rsidRDefault="00913EFC" w:rsidP="00B30EFC">
      <w:pPr>
        <w:pStyle w:val="Textoindependiente"/>
        <w:spacing w:line="240" w:lineRule="auto"/>
        <w:ind w:left="2832" w:firstLine="708"/>
        <w:rPr>
          <w:rFonts w:ascii="Georgia" w:hAnsi="Georgia"/>
          <w:sz w:val="22"/>
          <w:szCs w:val="22"/>
          <w:lang w:val="es-419"/>
        </w:rPr>
      </w:pPr>
      <w:r w:rsidRPr="00B30EFC">
        <w:rPr>
          <w:rFonts w:ascii="Georgia" w:hAnsi="Georgia"/>
          <w:sz w:val="22"/>
          <w:szCs w:val="22"/>
          <w:lang w:val="es-419"/>
        </w:rPr>
        <w:t>tutelas: Nos.2018-00684, 2018-00685, 2018-00686 y</w:t>
      </w:r>
    </w:p>
    <w:p w:rsidR="00913EFC" w:rsidRPr="00B30EFC" w:rsidRDefault="00913EFC" w:rsidP="00B30EFC">
      <w:pPr>
        <w:pStyle w:val="Textoindependiente"/>
        <w:spacing w:line="240" w:lineRule="auto"/>
        <w:ind w:left="2832" w:firstLine="708"/>
        <w:rPr>
          <w:rFonts w:ascii="Georgia" w:hAnsi="Georgia"/>
          <w:sz w:val="22"/>
          <w:szCs w:val="22"/>
          <w:lang w:val="es-419"/>
        </w:rPr>
      </w:pPr>
      <w:r w:rsidRPr="00B30EFC">
        <w:rPr>
          <w:rFonts w:ascii="Georgia" w:hAnsi="Georgia"/>
          <w:sz w:val="22"/>
          <w:szCs w:val="22"/>
          <w:lang w:val="es-419"/>
        </w:rPr>
        <w:t xml:space="preserve">2018-00687 </w:t>
      </w:r>
    </w:p>
    <w:p w:rsidR="00913EFC" w:rsidRPr="00B30EFC" w:rsidRDefault="00913EFC" w:rsidP="00B30EFC">
      <w:pPr>
        <w:pStyle w:val="Textoindependiente"/>
        <w:spacing w:line="240" w:lineRule="auto"/>
        <w:rPr>
          <w:rFonts w:ascii="Georgia" w:hAnsi="Georgia"/>
          <w:sz w:val="22"/>
          <w:szCs w:val="22"/>
          <w:lang w:val="es-419"/>
        </w:rPr>
      </w:pPr>
      <w:r w:rsidRPr="00B30EFC">
        <w:rPr>
          <w:rFonts w:ascii="Georgia" w:hAnsi="Georgia"/>
          <w:sz w:val="22"/>
          <w:szCs w:val="22"/>
          <w:lang w:val="es-419"/>
        </w:rPr>
        <w:tab/>
      </w:r>
      <w:r w:rsidRPr="00B30EFC">
        <w:rPr>
          <w:rFonts w:ascii="Georgia" w:hAnsi="Georgia"/>
          <w:sz w:val="22"/>
          <w:szCs w:val="22"/>
          <w:lang w:val="es-419"/>
        </w:rPr>
        <w:tab/>
        <w:t>Despacho de origen</w:t>
      </w:r>
      <w:r w:rsidRPr="00B30EFC">
        <w:rPr>
          <w:rFonts w:ascii="Georgia" w:hAnsi="Georgia"/>
          <w:sz w:val="22"/>
          <w:szCs w:val="22"/>
          <w:lang w:val="es-419"/>
        </w:rPr>
        <w:tab/>
        <w:t xml:space="preserve">: Juzgado Promiscuo del Circuito de La Virginia </w:t>
      </w:r>
    </w:p>
    <w:p w:rsidR="00913EFC" w:rsidRPr="00B30EFC" w:rsidRDefault="00913EFC" w:rsidP="00B30EFC">
      <w:pPr>
        <w:ind w:left="708" w:firstLine="708"/>
        <w:rPr>
          <w:rFonts w:ascii="Georgia" w:hAnsi="Georgia" w:cs="Arial"/>
          <w:smallCaps/>
          <w:sz w:val="22"/>
          <w:szCs w:val="22"/>
          <w:lang w:val="es-419"/>
        </w:rPr>
      </w:pPr>
      <w:r w:rsidRPr="00B30EFC">
        <w:rPr>
          <w:rFonts w:ascii="Georgia" w:hAnsi="Georgia"/>
          <w:sz w:val="22"/>
          <w:szCs w:val="22"/>
          <w:lang w:val="es-419"/>
        </w:rPr>
        <w:t>Magistrado Ponente</w:t>
      </w:r>
      <w:r w:rsidRPr="00B30EFC">
        <w:rPr>
          <w:rFonts w:ascii="Georgia" w:hAnsi="Georgia"/>
          <w:sz w:val="22"/>
          <w:szCs w:val="22"/>
          <w:lang w:val="es-419"/>
        </w:rPr>
        <w:tab/>
        <w:t xml:space="preserve">: </w:t>
      </w:r>
      <w:r w:rsidRPr="00B30EFC">
        <w:rPr>
          <w:rFonts w:ascii="Georgia" w:hAnsi="Georgia" w:cs="Arial"/>
          <w:smallCaps/>
          <w:sz w:val="22"/>
          <w:szCs w:val="22"/>
          <w:lang w:val="es-419"/>
        </w:rPr>
        <w:t>Duberney Grisales Herrera</w:t>
      </w:r>
    </w:p>
    <w:p w:rsidR="00913EFC" w:rsidRPr="00B30EFC" w:rsidRDefault="00913EFC" w:rsidP="00B30EFC">
      <w:pPr>
        <w:ind w:left="708" w:firstLine="708"/>
        <w:rPr>
          <w:rFonts w:ascii="Georgia" w:hAnsi="Georgia" w:cs="Arial"/>
          <w:b/>
          <w:bCs/>
          <w:sz w:val="22"/>
          <w:szCs w:val="22"/>
          <w:lang w:val="es-419"/>
        </w:rPr>
      </w:pPr>
      <w:r w:rsidRPr="00B30EFC">
        <w:rPr>
          <w:rFonts w:ascii="Georgia" w:hAnsi="Georgia"/>
          <w:sz w:val="22"/>
          <w:szCs w:val="22"/>
          <w:lang w:val="es-419"/>
        </w:rPr>
        <w:t>Acta número</w:t>
      </w:r>
      <w:r w:rsidRPr="00B30EFC">
        <w:rPr>
          <w:rFonts w:ascii="Georgia" w:hAnsi="Georgia"/>
          <w:sz w:val="22"/>
          <w:szCs w:val="22"/>
          <w:lang w:val="es-419"/>
        </w:rPr>
        <w:tab/>
      </w:r>
      <w:r w:rsidRPr="00B30EFC">
        <w:rPr>
          <w:rFonts w:ascii="Georgia" w:hAnsi="Georgia"/>
          <w:sz w:val="22"/>
          <w:szCs w:val="22"/>
          <w:lang w:val="es-419"/>
        </w:rPr>
        <w:tab/>
        <w:t>: 9 de 22-01-2019</w:t>
      </w:r>
    </w:p>
    <w:p w:rsidR="00913EFC" w:rsidRPr="00B30EFC" w:rsidRDefault="00913EFC" w:rsidP="00913EFC">
      <w:pPr>
        <w:pBdr>
          <w:bottom w:val="double" w:sz="6" w:space="1" w:color="auto"/>
        </w:pBdr>
        <w:spacing w:line="360" w:lineRule="auto"/>
        <w:jc w:val="center"/>
        <w:rPr>
          <w:rFonts w:ascii="Georgia" w:hAnsi="Georgia" w:cs="Arial"/>
          <w:b/>
          <w:bCs/>
          <w:sz w:val="2"/>
          <w:szCs w:val="22"/>
          <w:lang w:val="es-419"/>
        </w:rPr>
      </w:pPr>
    </w:p>
    <w:p w:rsidR="00913EFC" w:rsidRPr="00B30EFC" w:rsidRDefault="00913EFC" w:rsidP="00913EFC">
      <w:pPr>
        <w:spacing w:line="360" w:lineRule="auto"/>
        <w:jc w:val="center"/>
        <w:rPr>
          <w:rFonts w:ascii="Georgia" w:hAnsi="Georgia" w:cs="Arial"/>
          <w:b/>
          <w:bCs/>
          <w:sz w:val="16"/>
          <w:szCs w:val="22"/>
          <w:lang w:val="es-419"/>
        </w:rPr>
      </w:pPr>
    </w:p>
    <w:p w:rsidR="00913EFC" w:rsidRPr="00B30EFC" w:rsidRDefault="00913EFC" w:rsidP="00B30EFC">
      <w:pPr>
        <w:spacing w:line="288" w:lineRule="auto"/>
        <w:jc w:val="center"/>
        <w:rPr>
          <w:rFonts w:ascii="Georgia" w:hAnsi="Georgia" w:cs="Arial"/>
          <w:iCs/>
          <w:lang w:val="es-419"/>
        </w:rPr>
      </w:pPr>
      <w:r w:rsidRPr="00B30EFC">
        <w:rPr>
          <w:rFonts w:ascii="Georgia" w:hAnsi="Georgia" w:cs="Arial"/>
          <w:iCs/>
          <w:smallCaps/>
          <w:lang w:val="es-419"/>
        </w:rPr>
        <w:t>Pereira, R., veintidós (22) de enero de dos mil diecinueve (2019)</w:t>
      </w:r>
      <w:r w:rsidRPr="00B30EFC">
        <w:rPr>
          <w:rFonts w:ascii="Georgia" w:hAnsi="Georgia" w:cs="Arial"/>
          <w:iCs/>
          <w:lang w:val="es-419"/>
        </w:rPr>
        <w:t>.</w:t>
      </w:r>
    </w:p>
    <w:p w:rsidR="00913EFC" w:rsidRPr="00B30EFC" w:rsidRDefault="00913EFC" w:rsidP="00B30EFC">
      <w:pPr>
        <w:pStyle w:val="Textoindependiente"/>
        <w:spacing w:line="288" w:lineRule="auto"/>
        <w:rPr>
          <w:rFonts w:ascii="Georgia" w:hAnsi="Georgia" w:cs="Arial"/>
          <w:sz w:val="24"/>
          <w:szCs w:val="24"/>
          <w:lang w:val="es-419"/>
        </w:rPr>
      </w:pPr>
    </w:p>
    <w:p w:rsidR="00913EFC" w:rsidRPr="00B30EFC" w:rsidRDefault="00913EFC" w:rsidP="00B30EFC">
      <w:pPr>
        <w:pStyle w:val="Textoindependiente"/>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mallCaps/>
          <w:sz w:val="24"/>
          <w:szCs w:val="24"/>
          <w:lang w:val="es-419"/>
        </w:rPr>
      </w:pPr>
      <w:r w:rsidRPr="00B30EFC">
        <w:rPr>
          <w:rFonts w:ascii="Georgia" w:hAnsi="Georgia" w:cs="Arial"/>
          <w:smallCaps/>
          <w:sz w:val="24"/>
          <w:szCs w:val="24"/>
          <w:lang w:val="es-419"/>
        </w:rPr>
        <w:t>El asunto a decidir</w:t>
      </w:r>
    </w:p>
    <w:p w:rsidR="00913EFC" w:rsidRPr="00B30EFC" w:rsidRDefault="00913EFC" w:rsidP="00B30EFC">
      <w:pPr>
        <w:pStyle w:val="Textoindependiente"/>
        <w:spacing w:line="288" w:lineRule="auto"/>
        <w:rPr>
          <w:rFonts w:ascii="Georgia" w:hAnsi="Georgia" w:cs="Arial"/>
          <w:sz w:val="24"/>
          <w:szCs w:val="24"/>
          <w:lang w:val="es-419"/>
        </w:rPr>
      </w:pPr>
    </w:p>
    <w:p w:rsidR="00913EFC" w:rsidRPr="00B30EFC" w:rsidRDefault="00913EFC" w:rsidP="00B30EFC">
      <w:pPr>
        <w:pStyle w:val="Textoindependiente"/>
        <w:spacing w:line="288" w:lineRule="auto"/>
        <w:rPr>
          <w:rFonts w:ascii="Georgia" w:hAnsi="Georgia"/>
          <w:sz w:val="24"/>
          <w:szCs w:val="24"/>
          <w:lang w:val="es-419"/>
        </w:rPr>
      </w:pPr>
      <w:r w:rsidRPr="00B30EFC">
        <w:rPr>
          <w:rFonts w:ascii="Georgia" w:hAnsi="Georgia"/>
          <w:sz w:val="24"/>
          <w:szCs w:val="24"/>
          <w:lang w:val="es-419"/>
        </w:rPr>
        <w:t>La impugnación suscitada en el trámite constitucional ya referido, una vez se ha cumplido la actuación de primera instancia.</w:t>
      </w:r>
    </w:p>
    <w:p w:rsidR="00913EFC" w:rsidRPr="00B30EFC" w:rsidRDefault="00913EFC" w:rsidP="00B30EFC">
      <w:pPr>
        <w:pStyle w:val="Textoindependiente"/>
        <w:spacing w:line="288" w:lineRule="auto"/>
        <w:rPr>
          <w:rFonts w:ascii="Georgia" w:hAnsi="Georgia" w:cs="Arial"/>
          <w:sz w:val="24"/>
          <w:szCs w:val="24"/>
          <w:lang w:val="es-419"/>
        </w:rPr>
      </w:pPr>
    </w:p>
    <w:p w:rsidR="00913EFC" w:rsidRPr="00B30EFC" w:rsidRDefault="00913EFC" w:rsidP="00B30EFC">
      <w:pPr>
        <w:pStyle w:val="Textoindependiente"/>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mallCaps/>
          <w:sz w:val="24"/>
          <w:szCs w:val="24"/>
          <w:lang w:val="es-419"/>
        </w:rPr>
      </w:pPr>
      <w:r w:rsidRPr="00B30EFC">
        <w:rPr>
          <w:rFonts w:ascii="Georgia" w:hAnsi="Georgia" w:cs="Arial"/>
          <w:smallCaps/>
          <w:sz w:val="24"/>
          <w:szCs w:val="24"/>
          <w:lang w:val="es-419"/>
        </w:rPr>
        <w:t xml:space="preserve">La síntesis fáctica </w:t>
      </w:r>
    </w:p>
    <w:p w:rsidR="00913EFC" w:rsidRPr="00B30EFC" w:rsidRDefault="00913EFC" w:rsidP="00B30EFC">
      <w:pPr>
        <w:pStyle w:val="Textoindependiente"/>
        <w:spacing w:line="288" w:lineRule="auto"/>
        <w:rPr>
          <w:rFonts w:ascii="Georgia" w:hAnsi="Georgia" w:cs="Arial"/>
          <w:sz w:val="24"/>
          <w:szCs w:val="24"/>
          <w:lang w:val="es-419"/>
        </w:rPr>
      </w:pPr>
    </w:p>
    <w:p w:rsidR="00913EFC" w:rsidRPr="00B30EFC" w:rsidRDefault="00913EFC" w:rsidP="00B30EFC">
      <w:pPr>
        <w:pStyle w:val="Textoindependiente"/>
        <w:spacing w:line="288" w:lineRule="auto"/>
        <w:rPr>
          <w:rFonts w:ascii="Georgia" w:hAnsi="Georgia"/>
          <w:sz w:val="24"/>
          <w:szCs w:val="24"/>
          <w:lang w:val="es-419"/>
        </w:rPr>
      </w:pPr>
      <w:r w:rsidRPr="00B30EFC">
        <w:rPr>
          <w:rFonts w:ascii="Georgia" w:hAnsi="Georgia"/>
          <w:sz w:val="24"/>
          <w:szCs w:val="24"/>
          <w:lang w:val="es-419"/>
        </w:rPr>
        <w:t xml:space="preserve">Indicaron los accionantes que fueron beneficiaros de subsidios de vivienda concedidos por el Ministerio de Vivienda, Ciudad y Territorio mediante la Resolución 563 del 11-08-2009, prorrogados en dos (2) oportunidades, como quiera que existieron </w:t>
      </w:r>
      <w:r w:rsidRPr="00B30EFC">
        <w:rPr>
          <w:rFonts w:ascii="Georgia" w:hAnsi="Georgia"/>
          <w:sz w:val="24"/>
          <w:szCs w:val="24"/>
          <w:lang w:val="es-419"/>
        </w:rPr>
        <w:lastRenderedPageBreak/>
        <w:t xml:space="preserve">dificultades con la ubicación del lote, empero que el trámite sobre asignación de fichas catastrales, requerido por el Fonade, como supervisor de la obra, aún no había culminado, el accionado se abstuvo de continuar su prórroga con la Resolución No.610 del 30-09-2014. Alegaron que la demora del IGAC no fue comunicada por el Fonade al Ministerio y ello repercutió en el vencimiento del subsidio. </w:t>
      </w:r>
    </w:p>
    <w:p w:rsidR="00913EFC" w:rsidRPr="00B30EFC" w:rsidRDefault="00913EFC" w:rsidP="00B30EFC">
      <w:pPr>
        <w:pStyle w:val="Textoindependiente"/>
        <w:spacing w:line="288" w:lineRule="auto"/>
        <w:rPr>
          <w:rFonts w:ascii="Georgia" w:hAnsi="Georgia"/>
          <w:sz w:val="24"/>
          <w:szCs w:val="24"/>
          <w:lang w:val="es-419"/>
        </w:rPr>
      </w:pPr>
    </w:p>
    <w:p w:rsidR="00913EFC" w:rsidRPr="00B30EFC" w:rsidRDefault="00913EFC" w:rsidP="00B30EFC">
      <w:pPr>
        <w:pStyle w:val="Textoindependiente"/>
        <w:spacing w:line="288" w:lineRule="auto"/>
        <w:rPr>
          <w:rFonts w:ascii="Georgia" w:hAnsi="Georgia"/>
          <w:sz w:val="24"/>
          <w:szCs w:val="24"/>
          <w:lang w:val="es-419"/>
        </w:rPr>
      </w:pPr>
      <w:r w:rsidRPr="00B30EFC">
        <w:rPr>
          <w:rFonts w:ascii="Georgia" w:hAnsi="Georgia"/>
          <w:sz w:val="24"/>
          <w:szCs w:val="24"/>
          <w:lang w:val="es-419"/>
        </w:rPr>
        <w:t>De otra parte, como quiera que el señor Mauricio de Jesús Copete González obtuvo el amparo de sus derechos en sentencia de tutela dictada el 20-09-2016 por el Tribunal Administrativo de Risaralda, confirmada con decisión del 09-07-2017 por el Consejo de Estado, en el sentido de que se prorrogara la Resolución 563 del 11-08-2009, el 27-05-2017 presentaron derecho de petición ante el accionado a efectos de que también fueran favorecidos con dicha prórroga, mas el 14-06-2016 recibieron una respuesta que omitió resolver sobre el pedimento de dar alcance a su favor de los mentados fallos de tutela (Folios 1 a 17, cuaderno 1, 2, 3, 4 y 5).</w:t>
      </w:r>
    </w:p>
    <w:p w:rsidR="00913EFC" w:rsidRPr="00B30EFC" w:rsidRDefault="00913EFC" w:rsidP="00B30EFC">
      <w:pPr>
        <w:pStyle w:val="Textoindependiente"/>
        <w:spacing w:line="288" w:lineRule="auto"/>
        <w:rPr>
          <w:rFonts w:ascii="Georgia" w:hAnsi="Georgia" w:cs="Arial"/>
          <w:sz w:val="24"/>
          <w:szCs w:val="24"/>
          <w:lang w:val="es-419"/>
        </w:rPr>
      </w:pPr>
    </w:p>
    <w:p w:rsidR="00913EFC" w:rsidRPr="00B30EFC" w:rsidRDefault="00913EFC" w:rsidP="00B30EFC">
      <w:pPr>
        <w:pStyle w:val="Textoindependiente"/>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smallCaps/>
          <w:sz w:val="24"/>
          <w:szCs w:val="24"/>
          <w:lang w:val="es-419"/>
        </w:rPr>
      </w:pPr>
      <w:r w:rsidRPr="00B30EFC">
        <w:rPr>
          <w:rFonts w:ascii="Georgia" w:hAnsi="Georgia"/>
          <w:smallCaps/>
          <w:sz w:val="24"/>
          <w:szCs w:val="24"/>
          <w:lang w:val="es-419"/>
        </w:rPr>
        <w:t>Los derechos presuntamente vulnerados</w:t>
      </w:r>
    </w:p>
    <w:p w:rsidR="00913EFC" w:rsidRPr="00B30EFC" w:rsidRDefault="00913EFC" w:rsidP="00B30EFC">
      <w:pPr>
        <w:pStyle w:val="Textoindependiente"/>
        <w:spacing w:line="288" w:lineRule="auto"/>
        <w:ind w:left="360"/>
        <w:rPr>
          <w:rFonts w:ascii="Georgia" w:hAnsi="Georgia"/>
          <w:sz w:val="24"/>
          <w:szCs w:val="24"/>
          <w:lang w:val="es-419"/>
        </w:rPr>
      </w:pPr>
    </w:p>
    <w:p w:rsidR="00913EFC" w:rsidRPr="00B30EFC" w:rsidRDefault="00913EFC" w:rsidP="00B30EFC">
      <w:pPr>
        <w:pStyle w:val="Textoindependiente"/>
        <w:widowControl w:val="0"/>
        <w:spacing w:line="288" w:lineRule="auto"/>
        <w:rPr>
          <w:rFonts w:ascii="Georgia" w:hAnsi="Georgia"/>
          <w:sz w:val="24"/>
          <w:szCs w:val="24"/>
          <w:lang w:val="es-419"/>
        </w:rPr>
      </w:pPr>
      <w:r w:rsidRPr="00B30EFC">
        <w:rPr>
          <w:rFonts w:ascii="Georgia" w:hAnsi="Georgia"/>
          <w:sz w:val="24"/>
          <w:szCs w:val="24"/>
          <w:lang w:val="es-419"/>
        </w:rPr>
        <w:t>Se invocaron los derechos de petición, igualdad y vivienda digna (Folios 1 a 17, cuadernos 1, 2, 3, 4 y 5).</w:t>
      </w:r>
    </w:p>
    <w:p w:rsidR="00913EFC" w:rsidRPr="00B30EFC" w:rsidRDefault="00913EFC" w:rsidP="00B30EFC">
      <w:pPr>
        <w:pStyle w:val="Textoindependiente"/>
        <w:widowControl w:val="0"/>
        <w:spacing w:line="288" w:lineRule="auto"/>
        <w:rPr>
          <w:rFonts w:ascii="Georgia" w:hAnsi="Georgia"/>
          <w:sz w:val="24"/>
          <w:szCs w:val="24"/>
          <w:lang w:val="es-419"/>
        </w:rPr>
      </w:pPr>
    </w:p>
    <w:p w:rsidR="00913EFC" w:rsidRPr="00B30EFC" w:rsidRDefault="00913EFC" w:rsidP="00B30EFC">
      <w:pPr>
        <w:pStyle w:val="Textoindependiente"/>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smallCaps/>
          <w:sz w:val="24"/>
          <w:szCs w:val="24"/>
          <w:lang w:val="es-419"/>
        </w:rPr>
      </w:pPr>
      <w:r w:rsidRPr="00B30EFC">
        <w:rPr>
          <w:rFonts w:ascii="Georgia" w:hAnsi="Georgia"/>
          <w:smallCaps/>
          <w:sz w:val="24"/>
          <w:szCs w:val="24"/>
          <w:lang w:val="es-419"/>
        </w:rPr>
        <w:t>La petición de protección</w:t>
      </w:r>
    </w:p>
    <w:p w:rsidR="00913EFC" w:rsidRPr="00B30EFC" w:rsidRDefault="00913EFC" w:rsidP="00B30EFC">
      <w:pPr>
        <w:pStyle w:val="Sinespaciado"/>
        <w:spacing w:line="288" w:lineRule="auto"/>
        <w:jc w:val="both"/>
        <w:rPr>
          <w:rFonts w:ascii="Georgia" w:hAnsi="Georgia" w:cs="Arial"/>
          <w:sz w:val="24"/>
          <w:szCs w:val="24"/>
          <w:lang w:val="es-419"/>
        </w:rPr>
      </w:pPr>
    </w:p>
    <w:p w:rsidR="00913EFC" w:rsidRPr="00B30EFC" w:rsidRDefault="00913EFC" w:rsidP="00B30EFC">
      <w:pPr>
        <w:pStyle w:val="Sinespaciado"/>
        <w:spacing w:line="288" w:lineRule="auto"/>
        <w:jc w:val="both"/>
        <w:rPr>
          <w:rFonts w:ascii="Georgia" w:hAnsi="Georgia" w:cs="Arial"/>
          <w:sz w:val="24"/>
          <w:szCs w:val="24"/>
          <w:lang w:val="es-419"/>
        </w:rPr>
      </w:pPr>
      <w:r w:rsidRPr="00B30EFC">
        <w:rPr>
          <w:rFonts w:ascii="Georgia" w:hAnsi="Georgia" w:cs="Arial"/>
          <w:sz w:val="24"/>
          <w:szCs w:val="24"/>
          <w:lang w:val="es-419"/>
        </w:rPr>
        <w:t xml:space="preserve">Se pretende el amparo de los derechos fundamentales, y en consecuencia, (i) Disponer la renovación del subsidio familiar de vivienda otorgado en la Resolución No.563 de 2009 por el término de un (1) año; (ii) Ordenar al FONADE efectuar la visita correspondiente para levantar el acta de recibo a satisfacción de las unidades de vivienda; (iii) Efectuar el desembolso; (iv) Actualizar el subsidio al valor actual asignado para vivienda VIP y que asciende a la suma de $23.437.260; (v) Gestionar la escrituración de los bienes inmuebles   </w:t>
      </w:r>
      <w:r w:rsidRPr="00B30EFC">
        <w:rPr>
          <w:rFonts w:ascii="Georgia" w:hAnsi="Georgia"/>
          <w:sz w:val="24"/>
          <w:szCs w:val="24"/>
          <w:lang w:val="es-419"/>
        </w:rPr>
        <w:t>(Folios 1 a 17, cuadernos 1, 2, 3, 4 y 5).</w:t>
      </w:r>
      <w:r w:rsidRPr="00B30EFC">
        <w:rPr>
          <w:rFonts w:ascii="Georgia" w:hAnsi="Georgia" w:cs="Arial"/>
          <w:sz w:val="24"/>
          <w:szCs w:val="24"/>
          <w:lang w:val="es-419"/>
        </w:rPr>
        <w:t xml:space="preserve"> </w:t>
      </w:r>
    </w:p>
    <w:p w:rsidR="00913EFC" w:rsidRPr="00B30EFC" w:rsidRDefault="00913EFC" w:rsidP="00B30EFC">
      <w:pPr>
        <w:pStyle w:val="Sinespaciado"/>
        <w:spacing w:line="288" w:lineRule="auto"/>
        <w:jc w:val="both"/>
        <w:rPr>
          <w:rFonts w:ascii="Georgia" w:hAnsi="Georgia" w:cs="Arial"/>
          <w:sz w:val="24"/>
          <w:szCs w:val="24"/>
          <w:lang w:val="es-419"/>
        </w:rPr>
      </w:pPr>
    </w:p>
    <w:p w:rsidR="00913EFC" w:rsidRPr="00B30EFC" w:rsidRDefault="00913EFC" w:rsidP="00B30EFC">
      <w:pPr>
        <w:pStyle w:val="Textoindependiente"/>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mallCaps/>
          <w:sz w:val="24"/>
          <w:szCs w:val="24"/>
          <w:lang w:val="es-419"/>
        </w:rPr>
      </w:pPr>
      <w:r w:rsidRPr="00B30EFC">
        <w:rPr>
          <w:rFonts w:ascii="Georgia" w:hAnsi="Georgia" w:cs="Arial"/>
          <w:smallCaps/>
          <w:sz w:val="24"/>
          <w:szCs w:val="24"/>
          <w:lang w:val="es-419"/>
        </w:rPr>
        <w:t>La sinopsis de la crónica procesal</w:t>
      </w:r>
    </w:p>
    <w:p w:rsidR="00913EFC" w:rsidRPr="00B30EFC" w:rsidRDefault="00913EFC" w:rsidP="00B30EFC">
      <w:pPr>
        <w:pStyle w:val="Textoindependiente"/>
        <w:spacing w:line="288" w:lineRule="auto"/>
        <w:rPr>
          <w:rFonts w:ascii="Georgia" w:hAnsi="Georgia" w:cs="Arial"/>
          <w:sz w:val="24"/>
          <w:szCs w:val="24"/>
          <w:lang w:val="es-419"/>
        </w:rPr>
      </w:pPr>
    </w:p>
    <w:p w:rsidR="00913EFC" w:rsidRPr="00B30EFC" w:rsidRDefault="00913EFC" w:rsidP="00B30EFC">
      <w:pPr>
        <w:pStyle w:val="Textoindependiente"/>
        <w:widowControl w:val="0"/>
        <w:spacing w:line="288" w:lineRule="auto"/>
        <w:rPr>
          <w:rFonts w:ascii="Georgia" w:hAnsi="Georgia"/>
          <w:sz w:val="24"/>
          <w:szCs w:val="24"/>
          <w:lang w:val="es-419"/>
        </w:rPr>
      </w:pPr>
      <w:r w:rsidRPr="00B30EFC">
        <w:rPr>
          <w:rFonts w:ascii="Georgia" w:hAnsi="Georgia"/>
          <w:sz w:val="24"/>
          <w:szCs w:val="24"/>
          <w:lang w:val="es-419"/>
        </w:rPr>
        <w:t>Los amparos correspondieron por reparto a varios despachos judiciales locales, mas con proveídos 24-07-2018, 23-07-2018, 24-07-2018, 27-07-2018 se declararon incompetentes y los remitieron al Juzgado Promiscuo del Circuito de La Virginia; el 27-07-2018 avocó su conocimiento, los acumuló y admitió, entre otras decisiones (Folios 153 y 154, cuaderno No.1); contestaron Fonvivienda (Folios 161 a 165, ibídem), el Ministerio de Vivienda, Ciudad y Territorio (Folios 180 a 186, ibídem), el municipio de La Celia, R., (Folios 200 a 201, ibídem) y el Fonade (Folios 204 a 205, ib.); el 03-08-2018 se profirió sentencia (Folios 206 a 2011, ib.); y, finalmente, con auto del 22-08-2018 se concedió la impugnación formulada por el accionado (Folio 229, ib.).</w:t>
      </w:r>
    </w:p>
    <w:p w:rsidR="00913EFC" w:rsidRPr="00B30EFC" w:rsidRDefault="00913EFC" w:rsidP="00B30EFC">
      <w:pPr>
        <w:pStyle w:val="Textoindependiente"/>
        <w:widowControl w:val="0"/>
        <w:spacing w:line="288" w:lineRule="auto"/>
        <w:rPr>
          <w:rFonts w:ascii="Georgia" w:hAnsi="Georgia"/>
          <w:sz w:val="24"/>
          <w:szCs w:val="24"/>
          <w:lang w:val="es-419"/>
        </w:rPr>
      </w:pPr>
    </w:p>
    <w:p w:rsidR="00913EFC" w:rsidRPr="00B30EFC" w:rsidRDefault="00913EFC" w:rsidP="00B30EFC">
      <w:pPr>
        <w:pStyle w:val="Textoindependiente"/>
        <w:widowControl w:val="0"/>
        <w:spacing w:line="288" w:lineRule="auto"/>
        <w:rPr>
          <w:rFonts w:ascii="Georgia" w:hAnsi="Georgia"/>
          <w:sz w:val="24"/>
          <w:szCs w:val="24"/>
          <w:lang w:val="es-419"/>
        </w:rPr>
      </w:pPr>
      <w:r w:rsidRPr="00B30EFC">
        <w:rPr>
          <w:rFonts w:ascii="Georgia" w:hAnsi="Georgia"/>
          <w:sz w:val="24"/>
          <w:szCs w:val="24"/>
          <w:lang w:val="es-419"/>
        </w:rPr>
        <w:t xml:space="preserve">Ya ante este Tribunal, con decisión del 24-09-2018 se declaró la nulidad de lo actuado, porque no se hizo la vinculación del oferente constructor del proyecto “Urbanización el Papelucho” y Comfamiliar (Folios 4 y 5, cuaderno No.2); retornado el asunto, el </w:t>
      </w:r>
      <w:r w:rsidRPr="00B30EFC">
        <w:rPr>
          <w:rFonts w:ascii="Georgia" w:hAnsi="Georgia"/>
          <w:i/>
          <w:sz w:val="24"/>
          <w:szCs w:val="24"/>
          <w:lang w:val="es-419"/>
        </w:rPr>
        <w:t>a quo</w:t>
      </w:r>
      <w:r w:rsidRPr="00B30EFC">
        <w:rPr>
          <w:rFonts w:ascii="Georgia" w:hAnsi="Georgia"/>
          <w:sz w:val="24"/>
          <w:szCs w:val="24"/>
          <w:lang w:val="es-419"/>
        </w:rPr>
        <w:t xml:space="preserve"> con auto del 28-09-2018 corrigió el yerro advertido (Folio 239, cuaderno No.1), contestó Comfamiliar (Folios 242 a 244, ibídem); el 08-10-2018 dictó nueva sentencia </w:t>
      </w:r>
      <w:r w:rsidRPr="00B30EFC">
        <w:rPr>
          <w:rFonts w:ascii="Georgia" w:hAnsi="Georgia"/>
          <w:sz w:val="24"/>
          <w:szCs w:val="24"/>
          <w:lang w:val="es-419"/>
        </w:rPr>
        <w:lastRenderedPageBreak/>
        <w:t xml:space="preserve">(Folios 245 a 250, ib.); y el 23-10-2018 concedió la impugnación presentada por el accionado (Folio 287, ib.).  </w:t>
      </w:r>
    </w:p>
    <w:p w:rsidR="00913EFC" w:rsidRPr="00B30EFC" w:rsidRDefault="00913EFC" w:rsidP="00B30EFC">
      <w:pPr>
        <w:pStyle w:val="Textoindependiente"/>
        <w:widowControl w:val="0"/>
        <w:spacing w:line="288" w:lineRule="auto"/>
        <w:rPr>
          <w:rFonts w:ascii="Georgia" w:hAnsi="Georgia"/>
          <w:sz w:val="24"/>
          <w:szCs w:val="24"/>
          <w:lang w:val="es-419"/>
        </w:rPr>
      </w:pPr>
    </w:p>
    <w:p w:rsidR="00913EFC" w:rsidRPr="00B30EFC" w:rsidRDefault="00913EFC" w:rsidP="00B30EFC">
      <w:pPr>
        <w:pStyle w:val="Textoindependiente"/>
        <w:widowControl w:val="0"/>
        <w:spacing w:line="288" w:lineRule="auto"/>
        <w:rPr>
          <w:rFonts w:ascii="Georgia" w:hAnsi="Georgia"/>
          <w:sz w:val="24"/>
          <w:szCs w:val="24"/>
          <w:lang w:val="es-419"/>
        </w:rPr>
      </w:pPr>
      <w:r w:rsidRPr="00B30EFC">
        <w:rPr>
          <w:rFonts w:ascii="Georgia" w:hAnsi="Georgia"/>
          <w:sz w:val="24"/>
          <w:szCs w:val="24"/>
          <w:lang w:val="es-419"/>
        </w:rPr>
        <w:t>El fallo opugnado concedió el amparo de los derechos invocados y ordenó a los accionados prorrogar el subsidio de vivienda. Para tomar esa determinación arguyó que los accionados desconocieron el derecho a la vivienda digna de los accionantes, puesto les trasladó la carga económica y temporal originada en las fallas administrativas en la ejecución del proyecto de vivienda, así como el principio de la confianza legítima, toda vez que unilateralmente prorrogó el subsidio en varias oportunidades (Folios 245 a 250, ib.).</w:t>
      </w:r>
    </w:p>
    <w:p w:rsidR="00913EFC" w:rsidRPr="00B30EFC" w:rsidRDefault="00913EFC" w:rsidP="00B30EFC">
      <w:pPr>
        <w:pStyle w:val="Textoindependiente"/>
        <w:widowControl w:val="0"/>
        <w:spacing w:line="288" w:lineRule="auto"/>
        <w:rPr>
          <w:rFonts w:ascii="Georgia" w:hAnsi="Georgia"/>
          <w:sz w:val="24"/>
          <w:szCs w:val="24"/>
          <w:lang w:val="es-419"/>
        </w:rPr>
      </w:pPr>
    </w:p>
    <w:p w:rsidR="00913EFC" w:rsidRPr="00B30EFC" w:rsidRDefault="00913EFC" w:rsidP="00B30EFC">
      <w:pPr>
        <w:pStyle w:val="Textoindependiente"/>
        <w:widowControl w:val="0"/>
        <w:spacing w:line="288" w:lineRule="auto"/>
        <w:rPr>
          <w:rFonts w:ascii="Georgia" w:hAnsi="Georgia" w:cs="Arial"/>
          <w:sz w:val="24"/>
          <w:szCs w:val="24"/>
          <w:lang w:val="es-419"/>
        </w:rPr>
      </w:pPr>
      <w:r w:rsidRPr="00B30EFC">
        <w:rPr>
          <w:rFonts w:ascii="Georgia" w:hAnsi="Georgia" w:cs="Arial"/>
          <w:sz w:val="24"/>
          <w:szCs w:val="24"/>
          <w:lang w:val="es-419"/>
        </w:rPr>
        <w:t xml:space="preserve">Impugnó Fonvivienda e insistió en que no ha vulnerado los derechos de la parte actora; dijo que ha cumplido a cabalidad con el ordenamiento legal que reglamenta sus competencias y no puede asignar nuevos turnos de asignación de vivienda a los actores, puesto que estaría trasgrediendo los derechos de hogares que se encuentran en idéntica situación. Agregó que los accionantes se encuentra en estado de no postulados con subsidio vencido porque dentro del término de vigencia no tramitaron su cobro. Pidió denegar el amparo en su contra (Folios 259 a 264, ib.). </w:t>
      </w:r>
    </w:p>
    <w:p w:rsidR="00913EFC" w:rsidRPr="00B30EFC" w:rsidRDefault="00913EFC" w:rsidP="00B30EFC">
      <w:pPr>
        <w:pStyle w:val="Textoindependiente"/>
        <w:spacing w:line="288" w:lineRule="auto"/>
        <w:rPr>
          <w:rFonts w:ascii="Georgia" w:hAnsi="Georgia" w:cs="Arial"/>
          <w:sz w:val="24"/>
          <w:szCs w:val="24"/>
          <w:lang w:val="es-419"/>
        </w:rPr>
      </w:pPr>
    </w:p>
    <w:p w:rsidR="00913EFC" w:rsidRPr="00B30EFC" w:rsidRDefault="00913EFC" w:rsidP="00B30EFC">
      <w:pPr>
        <w:pStyle w:val="Textoindependiente"/>
        <w:widowControl w:val="0"/>
        <w:numPr>
          <w:ilvl w:val="0"/>
          <w:numId w:val="8"/>
        </w:numPr>
        <w:tabs>
          <w:tab w:val="left" w:pos="0"/>
        </w:tabs>
        <w:suppressAutoHyphens/>
        <w:overflowPunct w:val="0"/>
        <w:autoSpaceDE w:val="0"/>
        <w:autoSpaceDN w:val="0"/>
        <w:adjustRightInd w:val="0"/>
        <w:spacing w:line="288" w:lineRule="auto"/>
        <w:ind w:left="708" w:hanging="708"/>
        <w:textAlignment w:val="baseline"/>
        <w:rPr>
          <w:rFonts w:ascii="Georgia" w:hAnsi="Georgia" w:cs="Arial"/>
          <w:smallCaps/>
          <w:sz w:val="24"/>
          <w:szCs w:val="24"/>
          <w:lang w:val="es-419"/>
        </w:rPr>
      </w:pPr>
      <w:r w:rsidRPr="00B30EFC">
        <w:rPr>
          <w:rFonts w:ascii="Georgia" w:hAnsi="Georgia" w:cs="Arial"/>
          <w:smallCaps/>
          <w:sz w:val="24"/>
          <w:szCs w:val="24"/>
          <w:lang w:val="es-419"/>
        </w:rPr>
        <w:t>La fundamentación jurídica para resolver</w:t>
      </w:r>
    </w:p>
    <w:p w:rsidR="00913EFC" w:rsidRPr="00B30EFC" w:rsidRDefault="00913EFC" w:rsidP="00B30EFC">
      <w:pPr>
        <w:pStyle w:val="Textoindependiente"/>
        <w:widowControl w:val="0"/>
        <w:spacing w:line="288" w:lineRule="auto"/>
        <w:ind w:left="708"/>
        <w:rPr>
          <w:rFonts w:ascii="Georgia" w:hAnsi="Georgia" w:cs="Arial"/>
          <w:smallCaps/>
          <w:sz w:val="24"/>
          <w:szCs w:val="24"/>
          <w:lang w:val="es-419"/>
        </w:rPr>
      </w:pPr>
    </w:p>
    <w:p w:rsidR="00913EFC" w:rsidRPr="00B30EFC" w:rsidRDefault="00913EFC" w:rsidP="00B30EFC">
      <w:pPr>
        <w:pStyle w:val="Textoindependiente"/>
        <w:widowControl w:val="0"/>
        <w:numPr>
          <w:ilvl w:val="1"/>
          <w:numId w:val="11"/>
        </w:numPr>
        <w:tabs>
          <w:tab w:val="left" w:pos="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B30EFC">
        <w:rPr>
          <w:rFonts w:ascii="Georgia" w:hAnsi="Georgia" w:cs="Arial"/>
          <w:smallCaps/>
          <w:sz w:val="24"/>
          <w:szCs w:val="24"/>
          <w:lang w:val="es-419"/>
        </w:rPr>
        <w:t xml:space="preserve">La competencia funcional: </w:t>
      </w:r>
      <w:r w:rsidRPr="00B30EFC">
        <w:rPr>
          <w:rFonts w:ascii="Georgia" w:hAnsi="Georgia" w:cs="Arial"/>
          <w:sz w:val="24"/>
          <w:szCs w:val="24"/>
          <w:lang w:val="es-419"/>
        </w:rPr>
        <w:t>Esta Sala especializada está facultada en forma legal para desatar la controversia puesta a su consideración, por ser la superiora jerárquica del Despacho que conoció en primera instancia (Artículo 32 del Decreto 2591 de 1991).</w:t>
      </w:r>
    </w:p>
    <w:p w:rsidR="00913EFC" w:rsidRPr="00B30EFC" w:rsidRDefault="00913EFC" w:rsidP="00B30EFC">
      <w:pPr>
        <w:pStyle w:val="Textoindependiente"/>
        <w:widowControl w:val="0"/>
        <w:spacing w:line="288" w:lineRule="auto"/>
        <w:ind w:left="720"/>
        <w:rPr>
          <w:rFonts w:ascii="Georgia" w:hAnsi="Georgia" w:cs="Arial"/>
          <w:sz w:val="24"/>
          <w:szCs w:val="24"/>
          <w:lang w:val="es-419"/>
        </w:rPr>
      </w:pPr>
    </w:p>
    <w:p w:rsidR="00913EFC" w:rsidRPr="00B30EFC" w:rsidRDefault="00913EFC" w:rsidP="00B30EFC">
      <w:pPr>
        <w:pStyle w:val="Textoindependiente"/>
        <w:widowControl w:val="0"/>
        <w:numPr>
          <w:ilvl w:val="1"/>
          <w:numId w:val="1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sz w:val="24"/>
          <w:szCs w:val="24"/>
          <w:lang w:val="es-419"/>
        </w:rPr>
      </w:pPr>
      <w:r w:rsidRPr="00B30EFC">
        <w:rPr>
          <w:rFonts w:ascii="Georgia" w:hAnsi="Georgia" w:cs="Arial"/>
          <w:smallCaps/>
          <w:sz w:val="24"/>
          <w:szCs w:val="24"/>
          <w:lang w:val="es-419"/>
        </w:rPr>
        <w:t xml:space="preserve">El problema jurídico a resolver: </w:t>
      </w:r>
      <w:r w:rsidRPr="00B30EFC">
        <w:rPr>
          <w:rFonts w:ascii="Georgia" w:hAnsi="Georgia" w:cs="Arial"/>
          <w:sz w:val="24"/>
          <w:szCs w:val="24"/>
          <w:lang w:val="es-419"/>
        </w:rPr>
        <w:t xml:space="preserve">¿Es procedente confirmar, modificar o revocar la sentencia  del  </w:t>
      </w:r>
      <w:r w:rsidRPr="00B30EFC">
        <w:rPr>
          <w:rFonts w:ascii="Georgia" w:hAnsi="Georgia"/>
          <w:sz w:val="24"/>
          <w:szCs w:val="24"/>
          <w:lang w:val="es-419"/>
        </w:rPr>
        <w:t>Juzgado Promiscuo del Circuito de La Virginia</w:t>
      </w:r>
      <w:r w:rsidRPr="00B30EFC">
        <w:rPr>
          <w:rFonts w:ascii="Georgia" w:hAnsi="Georgia" w:cs="Arial"/>
          <w:sz w:val="24"/>
          <w:szCs w:val="24"/>
          <w:lang w:val="es-419"/>
        </w:rPr>
        <w:t xml:space="preserve">, según la impugnación de la accionante? </w:t>
      </w:r>
    </w:p>
    <w:p w:rsidR="00913EFC" w:rsidRPr="00B30EFC" w:rsidRDefault="00913EFC" w:rsidP="00B30EFC">
      <w:pPr>
        <w:pStyle w:val="Textoindependiente"/>
        <w:widowControl w:val="0"/>
        <w:spacing w:line="288" w:lineRule="auto"/>
        <w:rPr>
          <w:rFonts w:ascii="Georgia" w:hAnsi="Georgia"/>
          <w:sz w:val="24"/>
          <w:szCs w:val="24"/>
          <w:lang w:val="es-419"/>
        </w:rPr>
      </w:pPr>
    </w:p>
    <w:p w:rsidR="00913EFC" w:rsidRPr="00B30EFC" w:rsidRDefault="00913EFC" w:rsidP="00B30EFC">
      <w:pPr>
        <w:pStyle w:val="Textoindependiente"/>
        <w:widowControl w:val="0"/>
        <w:numPr>
          <w:ilvl w:val="1"/>
          <w:numId w:val="1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sz w:val="24"/>
          <w:szCs w:val="24"/>
          <w:lang w:val="es-419"/>
        </w:rPr>
      </w:pPr>
      <w:r w:rsidRPr="00B30EFC">
        <w:rPr>
          <w:rFonts w:ascii="Georgia" w:hAnsi="Georgia" w:cs="Verdana"/>
          <w:smallCaps/>
          <w:sz w:val="24"/>
          <w:szCs w:val="24"/>
          <w:lang w:val="es-419"/>
        </w:rPr>
        <w:t>Los presupuestos generales de procedencia</w:t>
      </w:r>
    </w:p>
    <w:p w:rsidR="00913EFC" w:rsidRPr="00B30EFC" w:rsidRDefault="00913EFC" w:rsidP="00B30EFC">
      <w:pPr>
        <w:pStyle w:val="Textoindependiente"/>
        <w:widowControl w:val="0"/>
        <w:spacing w:line="288" w:lineRule="auto"/>
        <w:ind w:left="720"/>
        <w:rPr>
          <w:rFonts w:ascii="Georgia" w:hAnsi="Georgia" w:cs="Arial"/>
          <w:sz w:val="24"/>
          <w:szCs w:val="24"/>
          <w:lang w:val="es-419"/>
        </w:rPr>
      </w:pPr>
    </w:p>
    <w:p w:rsidR="00913EFC" w:rsidRPr="00B30EFC" w:rsidRDefault="00913EFC" w:rsidP="00B30EFC">
      <w:pPr>
        <w:pStyle w:val="Textoindependiente"/>
        <w:widowControl w:val="0"/>
        <w:numPr>
          <w:ilvl w:val="2"/>
          <w:numId w:val="11"/>
        </w:numPr>
        <w:tabs>
          <w:tab w:val="left" w:pos="0"/>
        </w:tabs>
        <w:suppressAutoHyphens/>
        <w:overflowPunct w:val="0"/>
        <w:autoSpaceDE w:val="0"/>
        <w:autoSpaceDN w:val="0"/>
        <w:adjustRightInd w:val="0"/>
        <w:spacing w:line="288" w:lineRule="auto"/>
        <w:textAlignment w:val="baseline"/>
        <w:rPr>
          <w:rFonts w:ascii="Georgia" w:hAnsi="Georgia" w:cs="Arial"/>
          <w:sz w:val="24"/>
          <w:szCs w:val="24"/>
          <w:lang w:val="es-419"/>
        </w:rPr>
      </w:pPr>
      <w:r w:rsidRPr="00B30EFC">
        <w:rPr>
          <w:rFonts w:ascii="Georgia" w:hAnsi="Georgia" w:cs="Arial"/>
          <w:smallCaps/>
          <w:sz w:val="24"/>
          <w:szCs w:val="24"/>
          <w:lang w:val="es-419"/>
        </w:rPr>
        <w:t>La legitimación en la causa</w:t>
      </w:r>
    </w:p>
    <w:p w:rsidR="00913EFC" w:rsidRPr="00B30EFC" w:rsidRDefault="00913EFC" w:rsidP="00B30EFC">
      <w:pPr>
        <w:pStyle w:val="Textoindependiente"/>
        <w:widowControl w:val="0"/>
        <w:spacing w:line="288" w:lineRule="auto"/>
        <w:rPr>
          <w:rFonts w:ascii="Georgia" w:hAnsi="Georgia" w:cs="Arial"/>
          <w:smallCaps/>
          <w:sz w:val="24"/>
          <w:szCs w:val="24"/>
          <w:lang w:val="es-419"/>
        </w:rPr>
      </w:pPr>
    </w:p>
    <w:p w:rsidR="00913EFC" w:rsidRPr="00B30EFC" w:rsidRDefault="00913EFC" w:rsidP="00B30EFC">
      <w:pPr>
        <w:pStyle w:val="Textoindependiente"/>
        <w:widowControl w:val="0"/>
        <w:spacing w:line="288" w:lineRule="auto"/>
        <w:rPr>
          <w:rFonts w:ascii="Georgia" w:hAnsi="Georgia" w:cs="Arial"/>
          <w:sz w:val="24"/>
          <w:szCs w:val="24"/>
          <w:lang w:val="es-419"/>
        </w:rPr>
      </w:pPr>
      <w:r w:rsidRPr="00B30EFC">
        <w:rPr>
          <w:rFonts w:ascii="Georgia" w:hAnsi="Georgia" w:cs="Arial"/>
          <w:sz w:val="24"/>
          <w:szCs w:val="24"/>
          <w:lang w:val="es-419"/>
        </w:rPr>
        <w:t xml:space="preserve">Se cumple por activa porque los accionantes fueron beneficiarios del subsidio de vivienda del que requieren su renovación. Fonvivienda por ser la autoridad encargada de asignar los subsidios de vivienda y el Ministerio de Vivienda, Ciudad y Territorio porque le corresponde decidir sobre su prórroga (Decretos 555 de 2003 y 2190 de 2009). </w:t>
      </w:r>
    </w:p>
    <w:p w:rsidR="00913EFC" w:rsidRPr="00B30EFC" w:rsidRDefault="00913EFC" w:rsidP="00B30EFC">
      <w:pPr>
        <w:pStyle w:val="Textoindependiente"/>
        <w:widowControl w:val="0"/>
        <w:spacing w:line="288" w:lineRule="auto"/>
        <w:rPr>
          <w:rFonts w:ascii="Georgia" w:hAnsi="Georgia" w:cs="Arial"/>
          <w:sz w:val="24"/>
          <w:szCs w:val="24"/>
          <w:lang w:val="es-419"/>
        </w:rPr>
      </w:pPr>
    </w:p>
    <w:p w:rsidR="00913EFC" w:rsidRPr="00B30EFC" w:rsidRDefault="00913EFC" w:rsidP="00B30EFC">
      <w:pPr>
        <w:pStyle w:val="Textoindependiente"/>
        <w:widowControl w:val="0"/>
        <w:spacing w:line="288" w:lineRule="auto"/>
        <w:rPr>
          <w:rFonts w:ascii="Georgia" w:hAnsi="Georgia" w:cs="Arial"/>
          <w:sz w:val="24"/>
          <w:szCs w:val="24"/>
          <w:lang w:val="es-419"/>
        </w:rPr>
      </w:pPr>
      <w:r w:rsidRPr="00B30EFC">
        <w:rPr>
          <w:rFonts w:ascii="Georgia" w:hAnsi="Georgia" w:cs="Arial"/>
          <w:sz w:val="24"/>
          <w:szCs w:val="24"/>
          <w:lang w:val="es-419"/>
        </w:rPr>
        <w:t xml:space="preserve">Las demás autoridades vinculas son incompetentes para decidir sobre asignaciones y prorrogas de subsidios de vivienda, por manera que se declarará improcedente el en su contra, por carecer de legitimación. </w:t>
      </w:r>
    </w:p>
    <w:p w:rsidR="00913EFC" w:rsidRPr="00B30EFC" w:rsidRDefault="00913EFC" w:rsidP="00B30EFC">
      <w:pPr>
        <w:pStyle w:val="Textoindependiente"/>
        <w:widowControl w:val="0"/>
        <w:spacing w:line="288" w:lineRule="auto"/>
        <w:rPr>
          <w:rFonts w:ascii="Georgia" w:hAnsi="Georgia" w:cs="Arial"/>
          <w:sz w:val="24"/>
          <w:szCs w:val="24"/>
          <w:lang w:val="es-419"/>
        </w:rPr>
      </w:pPr>
    </w:p>
    <w:p w:rsidR="00913EFC" w:rsidRPr="00B30EFC" w:rsidRDefault="00913EFC" w:rsidP="00B30EFC">
      <w:pPr>
        <w:pStyle w:val="Textoindependiente"/>
        <w:numPr>
          <w:ilvl w:val="2"/>
          <w:numId w:val="1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mallCaps/>
          <w:noProof/>
          <w:sz w:val="24"/>
          <w:szCs w:val="24"/>
          <w:lang w:val="es-419"/>
        </w:rPr>
      </w:pPr>
      <w:r w:rsidRPr="00B30EFC">
        <w:rPr>
          <w:rFonts w:ascii="Georgia" w:hAnsi="Georgia" w:cs="Arial"/>
          <w:smallCaps/>
          <w:sz w:val="24"/>
          <w:szCs w:val="24"/>
          <w:lang w:val="es-419"/>
        </w:rPr>
        <w:t xml:space="preserve">La inmediatez </w:t>
      </w:r>
    </w:p>
    <w:p w:rsidR="00913EFC" w:rsidRPr="00B30EFC" w:rsidRDefault="00913EFC" w:rsidP="00B30EFC">
      <w:pPr>
        <w:pStyle w:val="Textoindependiente"/>
        <w:spacing w:line="288" w:lineRule="auto"/>
        <w:rPr>
          <w:rFonts w:ascii="Georgia" w:hAnsi="Georgia"/>
          <w:sz w:val="24"/>
          <w:szCs w:val="24"/>
          <w:lang w:val="es-419"/>
        </w:rPr>
      </w:pPr>
    </w:p>
    <w:p w:rsidR="00913EFC" w:rsidRPr="00B30EFC" w:rsidRDefault="00913EFC" w:rsidP="00B30EFC">
      <w:pPr>
        <w:pStyle w:val="Sinespaciado"/>
        <w:spacing w:line="288" w:lineRule="auto"/>
        <w:jc w:val="both"/>
        <w:rPr>
          <w:rFonts w:ascii="Georgia" w:hAnsi="Georgia" w:cs="Arial"/>
          <w:sz w:val="24"/>
          <w:szCs w:val="24"/>
          <w:lang w:val="es-419"/>
        </w:rPr>
      </w:pPr>
      <w:r w:rsidRPr="00B30EFC">
        <w:rPr>
          <w:rFonts w:ascii="Georgia" w:hAnsi="Georgia" w:cs="Arial"/>
          <w:sz w:val="24"/>
          <w:szCs w:val="24"/>
          <w:lang w:val="es-419"/>
        </w:rPr>
        <w:lastRenderedPageBreak/>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B30EFC">
        <w:rPr>
          <w:rFonts w:ascii="Georgia" w:hAnsi="Georgia" w:cs="Arial"/>
          <w:i/>
          <w:sz w:val="24"/>
          <w:szCs w:val="24"/>
          <w:lang w:val="es-419"/>
        </w:rPr>
        <w:t>“(…) solo procederá cuando el afectado no disponga de otro medio de defensa judicial, salvo que aquella se utilice como mecanismo transitorio para evitar un perjuicio irremediable.”.</w:t>
      </w:r>
      <w:r w:rsidRPr="00B30EFC">
        <w:rPr>
          <w:rFonts w:ascii="Georgia" w:hAnsi="Georgia" w:cs="Arial"/>
          <w:sz w:val="24"/>
          <w:szCs w:val="24"/>
          <w:lang w:val="es-419"/>
        </w:rPr>
        <w:t xml:space="preserve"> </w:t>
      </w:r>
    </w:p>
    <w:p w:rsidR="00913EFC" w:rsidRPr="00B30EFC" w:rsidRDefault="00913EFC" w:rsidP="00B30EFC">
      <w:pPr>
        <w:pStyle w:val="Sinespaciado"/>
        <w:spacing w:line="288" w:lineRule="auto"/>
        <w:jc w:val="both"/>
        <w:rPr>
          <w:rFonts w:ascii="Georgia" w:hAnsi="Georgia" w:cs="Arial"/>
          <w:sz w:val="24"/>
          <w:szCs w:val="24"/>
          <w:lang w:val="es-419"/>
        </w:rPr>
      </w:pPr>
    </w:p>
    <w:p w:rsidR="00913EFC" w:rsidRPr="00B30EFC" w:rsidRDefault="00913EFC" w:rsidP="00B30EFC">
      <w:pPr>
        <w:pStyle w:val="Sinespaciado"/>
        <w:spacing w:line="288" w:lineRule="auto"/>
        <w:jc w:val="both"/>
        <w:rPr>
          <w:rFonts w:ascii="Georgia" w:hAnsi="Georgia" w:cs="Arial"/>
          <w:noProof/>
          <w:sz w:val="24"/>
          <w:szCs w:val="24"/>
          <w:lang w:val="es-419"/>
        </w:rPr>
      </w:pPr>
      <w:r w:rsidRPr="00B30EFC">
        <w:rPr>
          <w:rFonts w:ascii="Georgia" w:hAnsi="Georgia" w:cs="Arial"/>
          <w:noProof/>
          <w:sz w:val="24"/>
          <w:szCs w:val="24"/>
          <w:lang w:val="es-419"/>
        </w:rPr>
        <w:t xml:space="preserve">Nuestra Corte Constitucional tiene establecido que (i) La </w:t>
      </w:r>
      <w:r w:rsidRPr="00B30EFC">
        <w:rPr>
          <w:rFonts w:ascii="Georgia" w:hAnsi="Georgia" w:cs="Arial"/>
          <w:iCs/>
          <w:noProof/>
          <w:sz w:val="24"/>
          <w:szCs w:val="24"/>
          <w:lang w:val="es-419"/>
        </w:rPr>
        <w:t>subsidiariedad</w:t>
      </w:r>
      <w:r w:rsidRPr="00B30EFC">
        <w:rPr>
          <w:rFonts w:ascii="Georgia" w:hAnsi="Georgia" w:cs="Arial"/>
          <w:noProof/>
          <w:sz w:val="24"/>
          <w:szCs w:val="24"/>
          <w:lang w:val="es-419"/>
        </w:rPr>
        <w:t xml:space="preserve"> o residualidad, y (ii) La </w:t>
      </w:r>
      <w:r w:rsidRPr="00B30EFC">
        <w:rPr>
          <w:rFonts w:ascii="Georgia" w:hAnsi="Georgia" w:cs="Arial"/>
          <w:iCs/>
          <w:noProof/>
          <w:sz w:val="24"/>
          <w:szCs w:val="24"/>
          <w:lang w:val="es-419"/>
        </w:rPr>
        <w:t>inmediatez</w:t>
      </w:r>
      <w:r w:rsidRPr="00B30EFC">
        <w:rPr>
          <w:rFonts w:ascii="Georgia" w:hAnsi="Georgia" w:cs="Arial"/>
          <w:noProof/>
          <w:sz w:val="24"/>
          <w:szCs w:val="24"/>
          <w:lang w:val="es-419"/>
        </w:rPr>
        <w:t xml:space="preserve">, son exigencias generales de procedencia de la acción, condiciones indispensables para el conocimiento de fondo de las solicitudes de protección de derechos fundamentales. </w:t>
      </w:r>
    </w:p>
    <w:p w:rsidR="00913EFC" w:rsidRPr="00B30EFC" w:rsidRDefault="00913EFC" w:rsidP="00B30EFC">
      <w:pPr>
        <w:pStyle w:val="Sinespaciado"/>
        <w:spacing w:line="288" w:lineRule="auto"/>
        <w:jc w:val="both"/>
        <w:rPr>
          <w:rFonts w:ascii="Georgia" w:hAnsi="Georgia" w:cs="Arial"/>
          <w:noProof/>
          <w:sz w:val="24"/>
          <w:szCs w:val="24"/>
          <w:lang w:val="es-419"/>
        </w:rPr>
      </w:pPr>
    </w:p>
    <w:p w:rsidR="00913EFC" w:rsidRPr="00B30EFC" w:rsidRDefault="00913EFC" w:rsidP="00B30EFC">
      <w:pPr>
        <w:pStyle w:val="Sinespaciado"/>
        <w:spacing w:line="288" w:lineRule="auto"/>
        <w:jc w:val="both"/>
        <w:rPr>
          <w:rFonts w:ascii="Georgia" w:hAnsi="Georgia" w:cs="Arial"/>
          <w:sz w:val="24"/>
          <w:szCs w:val="24"/>
          <w:u w:val="single"/>
          <w:lang w:val="es-419"/>
        </w:rPr>
      </w:pPr>
      <w:r w:rsidRPr="00B30EFC">
        <w:rPr>
          <w:rFonts w:ascii="Georgia" w:hAnsi="Georgia" w:cs="Arial"/>
          <w:sz w:val="24"/>
          <w:szCs w:val="24"/>
          <w:lang w:val="es-419"/>
        </w:rPr>
        <w:t>En lo tocante a la inmediatez, según constante jurisprudencia de nuestro máximo Tribunal Constitucional</w:t>
      </w:r>
      <w:r w:rsidRPr="00B30EFC">
        <w:rPr>
          <w:rStyle w:val="Refdenotaalpie"/>
          <w:rFonts w:ascii="Georgia" w:hAnsi="Georgia"/>
          <w:sz w:val="24"/>
          <w:szCs w:val="24"/>
          <w:lang w:val="es-419"/>
        </w:rPr>
        <w:footnoteReference w:id="1"/>
      </w:r>
      <w:r w:rsidRPr="00B30EFC">
        <w:rPr>
          <w:rFonts w:ascii="Georgia" w:hAnsi="Georgia" w:cs="Arial"/>
          <w:sz w:val="24"/>
          <w:szCs w:val="24"/>
          <w:lang w:val="es-419"/>
        </w:rPr>
        <w:t>, y también de la CSJ</w:t>
      </w:r>
      <w:r w:rsidRPr="00B30EFC">
        <w:rPr>
          <w:rStyle w:val="Refdenotaalpie"/>
          <w:rFonts w:ascii="Georgia" w:hAnsi="Georgia" w:cs="Calibri"/>
          <w:sz w:val="24"/>
          <w:szCs w:val="24"/>
          <w:lang w:val="es-419"/>
        </w:rPr>
        <w:footnoteReference w:id="2"/>
      </w:r>
      <w:r w:rsidRPr="00B30EFC">
        <w:rPr>
          <w:rFonts w:ascii="Georgia" w:hAnsi="Georgia" w:cs="Calibri"/>
          <w:sz w:val="24"/>
          <w:szCs w:val="24"/>
          <w:lang w:val="es-419"/>
        </w:rPr>
        <w:t xml:space="preserve"> (</w:t>
      </w:r>
      <w:r w:rsidRPr="00B30EFC">
        <w:rPr>
          <w:rFonts w:ascii="Georgia" w:hAnsi="Georgia" w:cs="Arial"/>
          <w:sz w:val="24"/>
          <w:szCs w:val="24"/>
          <w:lang w:val="es-419"/>
        </w:rPr>
        <w:t xml:space="preserve">Sala de Casación Civil), conlleva entender que el remedio judicial requiere </w:t>
      </w:r>
      <w:r w:rsidRPr="00B30EFC">
        <w:rPr>
          <w:rFonts w:ascii="Georgia" w:hAnsi="Georgia" w:cs="Arial"/>
          <w:bCs/>
          <w:sz w:val="24"/>
          <w:szCs w:val="24"/>
          <w:u w:val="single"/>
          <w:lang w:val="es-419"/>
        </w:rPr>
        <w:t>aplicación urgente</w:t>
      </w:r>
      <w:r w:rsidRPr="00B30EFC">
        <w:rPr>
          <w:rFonts w:ascii="Georgia" w:hAnsi="Georgia" w:cs="Arial"/>
          <w:b/>
          <w:bCs/>
          <w:sz w:val="24"/>
          <w:szCs w:val="24"/>
          <w:lang w:val="es-419"/>
        </w:rPr>
        <w:t>,</w:t>
      </w:r>
      <w:r w:rsidRPr="00B30EFC">
        <w:rPr>
          <w:rFonts w:ascii="Georgia" w:hAnsi="Georgia" w:cs="Arial"/>
          <w:sz w:val="24"/>
          <w:szCs w:val="24"/>
          <w:lang w:val="es-419"/>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B30EFC">
        <w:rPr>
          <w:rFonts w:ascii="Georgia" w:hAnsi="Georgia" w:cs="Arial"/>
          <w:sz w:val="24"/>
          <w:szCs w:val="24"/>
          <w:u w:val="single"/>
          <w:lang w:val="es-419"/>
        </w:rPr>
        <w:t>la inmediatez es consustancial a la protección que brinda la mencionada acción como defensa efectiva de los derechos fundamentales.</w:t>
      </w:r>
    </w:p>
    <w:p w:rsidR="00913EFC" w:rsidRPr="00B30EFC" w:rsidRDefault="00913EFC" w:rsidP="00B30EFC">
      <w:pPr>
        <w:pStyle w:val="Sinespaciado"/>
        <w:spacing w:line="288" w:lineRule="auto"/>
        <w:jc w:val="both"/>
        <w:rPr>
          <w:rFonts w:ascii="Georgia" w:hAnsi="Georgia" w:cs="Arial"/>
          <w:sz w:val="24"/>
          <w:szCs w:val="24"/>
          <w:lang w:val="es-419"/>
        </w:rPr>
      </w:pPr>
    </w:p>
    <w:p w:rsidR="00913EFC" w:rsidRPr="00B30EFC" w:rsidRDefault="00913EFC" w:rsidP="00B30EFC">
      <w:pPr>
        <w:spacing w:line="288" w:lineRule="auto"/>
        <w:jc w:val="both"/>
        <w:rPr>
          <w:rFonts w:ascii="Georgia" w:hAnsi="Georgia" w:cs="Arial"/>
          <w:lang w:val="es-419"/>
        </w:rPr>
      </w:pPr>
      <w:r w:rsidRPr="00B30EFC">
        <w:rPr>
          <w:rFonts w:ascii="Georgia" w:hAnsi="Georgia" w:cs="Arial"/>
          <w:lang w:val="es-419"/>
        </w:rPr>
        <w:t xml:space="preserve">El mencionado plazo no es absoluto, pues se entiende como razonable para la interposición de la acción, más allá de ese término, lo que en realidad lo determina es: (i) Si existió o no un motivo válido que justifique la inactividad; (ii) Si la inactividad injustificada vulnera el núcleo esencial de los derechos de terceros afectados con la decisión; y, (iii) Si existe un nexo causal entre el ejercicio oportuno de la acción y la vulneración de los derechos de los interesados. </w:t>
      </w:r>
    </w:p>
    <w:p w:rsidR="00913EFC" w:rsidRPr="00B30EFC" w:rsidRDefault="00913EFC" w:rsidP="00B30EFC">
      <w:pPr>
        <w:spacing w:line="288" w:lineRule="auto"/>
        <w:jc w:val="both"/>
        <w:rPr>
          <w:rFonts w:ascii="Georgia" w:hAnsi="Georgia" w:cs="Arial"/>
          <w:lang w:val="es-419"/>
        </w:rPr>
      </w:pPr>
    </w:p>
    <w:p w:rsidR="00913EFC" w:rsidRPr="00B30EFC" w:rsidRDefault="00913EFC" w:rsidP="00B30EFC">
      <w:pPr>
        <w:spacing w:line="288" w:lineRule="auto"/>
        <w:jc w:val="both"/>
        <w:rPr>
          <w:rFonts w:ascii="Georgia" w:hAnsi="Georgia" w:cs="Arial"/>
          <w:lang w:val="es-419"/>
        </w:rPr>
      </w:pPr>
      <w:r w:rsidRPr="00B30EFC">
        <w:rPr>
          <w:rFonts w:ascii="Georgia" w:hAnsi="Georgia" w:cs="Arial"/>
          <w:lang w:val="es-419"/>
        </w:rPr>
        <w:t>La Sala observa que con respecto a los derechos fundamentales invocados no concurre el aludido requisito de procedencia de las acciones de tutela acumuladas, puesto que fueron  ejercitadas por fuera del plazo de los seis (6) meses fijado por la jurisprudencia constitucional</w:t>
      </w:r>
      <w:r w:rsidRPr="00B30EFC">
        <w:rPr>
          <w:rFonts w:ascii="Georgia" w:hAnsi="Georgia" w:cs="Arial"/>
          <w:vertAlign w:val="superscript"/>
          <w:lang w:val="es-419"/>
        </w:rPr>
        <w:footnoteReference w:id="3"/>
      </w:r>
      <w:r w:rsidRPr="00B30EFC">
        <w:rPr>
          <w:rFonts w:ascii="Georgia" w:hAnsi="Georgia" w:cs="Arial"/>
          <w:lang w:val="es-419"/>
        </w:rPr>
        <w:t xml:space="preserve">, sin que obre alegato, menos prueba de circunstancias especiales que flexibilicen su análisis. </w:t>
      </w:r>
    </w:p>
    <w:p w:rsidR="00913EFC" w:rsidRPr="00B30EFC" w:rsidRDefault="00913EFC" w:rsidP="00B30EFC">
      <w:pPr>
        <w:spacing w:line="288" w:lineRule="auto"/>
        <w:jc w:val="both"/>
        <w:rPr>
          <w:rFonts w:ascii="Georgia" w:hAnsi="Georgia" w:cs="Arial"/>
          <w:lang w:val="es-419"/>
        </w:rPr>
      </w:pPr>
      <w:r w:rsidRPr="00B30EFC">
        <w:rPr>
          <w:rFonts w:ascii="Georgia" w:hAnsi="Georgia" w:cs="Arial"/>
          <w:lang w:val="es-419"/>
        </w:rPr>
        <w:t xml:space="preserve"> </w:t>
      </w:r>
    </w:p>
    <w:p w:rsidR="00913EFC" w:rsidRPr="00B30EFC" w:rsidRDefault="00913EFC" w:rsidP="00B30EFC">
      <w:pPr>
        <w:spacing w:line="288" w:lineRule="auto"/>
        <w:jc w:val="both"/>
        <w:rPr>
          <w:rFonts w:ascii="Georgia" w:hAnsi="Georgia" w:cs="Arial"/>
          <w:lang w:val="es-419"/>
        </w:rPr>
      </w:pPr>
      <w:r w:rsidRPr="00B30EFC">
        <w:rPr>
          <w:rFonts w:ascii="Georgia" w:hAnsi="Georgia" w:cs="Arial"/>
          <w:lang w:val="es-419"/>
        </w:rPr>
        <w:t>Aquí los actores cuestionan la afectación de los derechos a la vivienda digna</w:t>
      </w:r>
      <w:r w:rsidRPr="00B30EFC">
        <w:rPr>
          <w:rStyle w:val="Refdenotaalpie"/>
          <w:rFonts w:ascii="Georgia" w:hAnsi="Georgia"/>
          <w:lang w:val="es-419"/>
        </w:rPr>
        <w:footnoteReference w:id="4"/>
      </w:r>
      <w:r w:rsidRPr="00B30EFC">
        <w:rPr>
          <w:rFonts w:ascii="Georgia" w:hAnsi="Georgia" w:cs="Arial"/>
          <w:lang w:val="es-419"/>
        </w:rPr>
        <w:t xml:space="preserve">, de petición e igualdad, con base en hechos inconexos. El primero de ellos, tiene origen en la abstención de las accionadas de prorrogar el subsidio de vivienda familiar sin tener de presente que la demora en la ejecución de las obras de construcción fue ajena a su voluntad; para el día de su vencimiento el IGAC todavía no había asignado las fichas catastrales necesarias para poder entregar los inmuebles, demora administrativa que </w:t>
      </w:r>
      <w:r w:rsidRPr="00B30EFC">
        <w:rPr>
          <w:rFonts w:ascii="Georgia" w:hAnsi="Georgia" w:cs="Arial"/>
          <w:lang w:val="es-419"/>
        </w:rPr>
        <w:lastRenderedPageBreak/>
        <w:t xml:space="preserve">se omitió tener en cuenta, pese a que era suficiente para justificar la prórroga adicional del subsidio. </w:t>
      </w:r>
    </w:p>
    <w:p w:rsidR="00913EFC" w:rsidRPr="00B30EFC" w:rsidRDefault="00913EFC" w:rsidP="00B30EFC">
      <w:pPr>
        <w:spacing w:line="288" w:lineRule="auto"/>
        <w:jc w:val="both"/>
        <w:rPr>
          <w:rFonts w:ascii="Georgia" w:hAnsi="Georgia" w:cs="Arial"/>
          <w:lang w:val="es-419"/>
        </w:rPr>
      </w:pPr>
    </w:p>
    <w:p w:rsidR="00913EFC" w:rsidRPr="00B30EFC" w:rsidRDefault="00913EFC" w:rsidP="00B30EFC">
      <w:pPr>
        <w:spacing w:line="288" w:lineRule="auto"/>
        <w:jc w:val="both"/>
        <w:rPr>
          <w:rFonts w:ascii="Georgia" w:hAnsi="Georgia" w:cs="Arial"/>
          <w:lang w:val="es-419"/>
        </w:rPr>
      </w:pPr>
      <w:r w:rsidRPr="00B30EFC">
        <w:rPr>
          <w:rFonts w:ascii="Georgia" w:hAnsi="Georgia" w:cs="Arial"/>
          <w:lang w:val="es-419"/>
        </w:rPr>
        <w:t xml:space="preserve">Según lo informan los accionantes, la última prórroga venció el 31-05-2013 (Folio 4, cuaderno No.1), lo que se traduce en que se demoraron más de cinco (5) años para ejercitar el amparo constitucional; sabían que el acto administrativo tenía vigencia hasta esa data, empero, dejaron pasar el tiempo, sin justificación alguna. </w:t>
      </w:r>
    </w:p>
    <w:p w:rsidR="00913EFC" w:rsidRPr="00B30EFC" w:rsidRDefault="00913EFC" w:rsidP="00B30EFC">
      <w:pPr>
        <w:spacing w:line="288" w:lineRule="auto"/>
        <w:jc w:val="both"/>
        <w:rPr>
          <w:rFonts w:ascii="Georgia" w:hAnsi="Georgia" w:cs="Arial"/>
          <w:lang w:val="es-419"/>
        </w:rPr>
      </w:pPr>
    </w:p>
    <w:p w:rsidR="00913EFC" w:rsidRPr="00B30EFC" w:rsidRDefault="00913EFC" w:rsidP="00B30EFC">
      <w:pPr>
        <w:spacing w:line="288" w:lineRule="auto"/>
        <w:jc w:val="both"/>
        <w:rPr>
          <w:rFonts w:ascii="Georgia" w:hAnsi="Georgia" w:cs="Arial"/>
          <w:lang w:val="es-419"/>
        </w:rPr>
      </w:pPr>
      <w:r w:rsidRPr="00B30EFC">
        <w:rPr>
          <w:rFonts w:ascii="Georgia" w:hAnsi="Georgia" w:cs="Arial"/>
          <w:lang w:val="es-419"/>
        </w:rPr>
        <w:t>Ahora, si se contabiliza a partir de la fecha en que se dictó la Resolución 0610 del 30-09-2014 que prorrogó otros subsidios de vivienda, ello en consideración a la afirmación de la parte actora en el sentido que el Ministerio informó al municipio de La Celia, R., que la renovación de los subsidios se incluiría en dicha actuación (Folio 4, ibídem), se advierte el incumplimiento del presupuesto de procedencia, puesto que han pasado casi cuatro (4) años.</w:t>
      </w:r>
    </w:p>
    <w:p w:rsidR="00913EFC" w:rsidRPr="00B30EFC" w:rsidRDefault="00913EFC" w:rsidP="00B30EFC">
      <w:pPr>
        <w:spacing w:line="288" w:lineRule="auto"/>
        <w:jc w:val="both"/>
        <w:rPr>
          <w:rFonts w:ascii="Georgia" w:hAnsi="Georgia" w:cs="Arial"/>
          <w:lang w:val="es-419"/>
        </w:rPr>
      </w:pPr>
    </w:p>
    <w:p w:rsidR="00913EFC" w:rsidRPr="00B30EFC" w:rsidRDefault="00913EFC" w:rsidP="00B30EFC">
      <w:pPr>
        <w:spacing w:line="288" w:lineRule="auto"/>
        <w:jc w:val="both"/>
        <w:rPr>
          <w:rFonts w:ascii="Georgia" w:hAnsi="Georgia"/>
          <w:lang w:val="es-419"/>
        </w:rPr>
      </w:pPr>
      <w:r w:rsidRPr="00B30EFC">
        <w:rPr>
          <w:rFonts w:ascii="Georgia" w:hAnsi="Georgia" w:cs="Arial"/>
          <w:lang w:val="es-419"/>
        </w:rPr>
        <w:t xml:space="preserve">Por último, en lo que toca con los derechos de petición e igualdad, también se verifica la desatención del requisito de la inmediatez, toda vez que la respuesta que se cuestiona de incongruente, pues, supuestamente, carece de pronunciamiento con relación </w:t>
      </w:r>
      <w:r w:rsidRPr="00B30EFC">
        <w:rPr>
          <w:rFonts w:ascii="Georgia" w:hAnsi="Georgia"/>
          <w:lang w:val="es-419"/>
        </w:rPr>
        <w:t xml:space="preserve">al pedimento de dar alcance a su favor, de los fallos de tutela dictados por el Tribunal Administrativo de Risaralda y el Consejo de Estado en la acción de tutela 66001-23-33-000-2016-00687-01, toda vez que fue recibida el 14-06-2016, según se indica en los libelos (Folio 6, ib.), esto es, un (1) año antes de la presentación de este mecanismo constitucional. </w:t>
      </w:r>
    </w:p>
    <w:p w:rsidR="00913EFC" w:rsidRPr="00B30EFC" w:rsidRDefault="00913EFC" w:rsidP="00B30EFC">
      <w:pPr>
        <w:pStyle w:val="Sinespaciado"/>
        <w:spacing w:line="288" w:lineRule="auto"/>
        <w:jc w:val="both"/>
        <w:rPr>
          <w:rFonts w:ascii="Georgia" w:hAnsi="Georgia"/>
          <w:sz w:val="24"/>
          <w:szCs w:val="24"/>
          <w:lang w:val="es-419"/>
        </w:rPr>
      </w:pPr>
    </w:p>
    <w:p w:rsidR="00913EFC" w:rsidRPr="00B30EFC" w:rsidRDefault="00913EFC" w:rsidP="00B30EFC">
      <w:pPr>
        <w:pStyle w:val="Sinespaciado"/>
        <w:spacing w:line="288" w:lineRule="auto"/>
        <w:jc w:val="both"/>
        <w:rPr>
          <w:rFonts w:ascii="Georgia" w:hAnsi="Georgia"/>
          <w:sz w:val="24"/>
          <w:szCs w:val="24"/>
          <w:lang w:val="es-419"/>
        </w:rPr>
      </w:pPr>
      <w:r w:rsidRPr="00B30EFC">
        <w:rPr>
          <w:rFonts w:ascii="Georgia" w:hAnsi="Georgia"/>
          <w:sz w:val="24"/>
          <w:szCs w:val="24"/>
          <w:lang w:val="es-419"/>
        </w:rPr>
        <w:t xml:space="preserve">Para la Magistratura es inviable flexibilizar este análisis, si en cuenta se tiene que varios de los accionantes no hacen parte de población alguna que amerite un trato diferenciado; únicamente lo son los menores de edad que integran los grupos familiares que eran beneficiarios de los subsidios, sin embargo, esa circunstancia por si sola es insuficiente. Tampoco hay alusión a incapacidad económica alguna o afecciones en salud de uno de sus miembros. </w:t>
      </w:r>
    </w:p>
    <w:p w:rsidR="00913EFC" w:rsidRPr="00B30EFC" w:rsidRDefault="00913EFC" w:rsidP="00B30EFC">
      <w:pPr>
        <w:pStyle w:val="Sinespaciado"/>
        <w:spacing w:line="288" w:lineRule="auto"/>
        <w:jc w:val="both"/>
        <w:rPr>
          <w:rFonts w:ascii="Georgia" w:hAnsi="Georgia"/>
          <w:sz w:val="24"/>
          <w:szCs w:val="24"/>
          <w:lang w:val="es-419"/>
        </w:rPr>
      </w:pPr>
    </w:p>
    <w:p w:rsidR="00913EFC" w:rsidRPr="00B30EFC" w:rsidRDefault="00913EFC" w:rsidP="00B30EFC">
      <w:pPr>
        <w:pStyle w:val="Sinespaciado"/>
        <w:spacing w:line="288" w:lineRule="auto"/>
        <w:jc w:val="both"/>
        <w:rPr>
          <w:rFonts w:ascii="Georgia" w:hAnsi="Georgia"/>
          <w:sz w:val="24"/>
          <w:szCs w:val="24"/>
          <w:lang w:val="es-419"/>
        </w:rPr>
      </w:pPr>
      <w:r w:rsidRPr="00B30EFC">
        <w:rPr>
          <w:rFonts w:ascii="Georgia" w:hAnsi="Georgia"/>
          <w:sz w:val="24"/>
          <w:szCs w:val="24"/>
          <w:lang w:val="es-419"/>
        </w:rPr>
        <w:t xml:space="preserve">En contraste, la demora injustificada en la presentación de las tutelas y la asistencia jurídica que han tenido desde el día en que presentaron el derecho de petición permite inferir que cuentan con los medios para procurarse las necesidades mínimas del hogar,  bien pueden esperar que se realice una nueva convocatoria, postularse y esperar el resultado del trámite administrativo. </w:t>
      </w:r>
    </w:p>
    <w:p w:rsidR="00913EFC" w:rsidRPr="00B30EFC" w:rsidRDefault="00913EFC" w:rsidP="00B30EFC">
      <w:pPr>
        <w:pStyle w:val="Sinespaciado"/>
        <w:spacing w:line="288" w:lineRule="auto"/>
        <w:jc w:val="both"/>
        <w:rPr>
          <w:rFonts w:ascii="Georgia" w:hAnsi="Georgia"/>
          <w:sz w:val="24"/>
          <w:szCs w:val="24"/>
          <w:lang w:val="es-419"/>
        </w:rPr>
      </w:pPr>
    </w:p>
    <w:p w:rsidR="00913EFC" w:rsidRPr="00B30EFC" w:rsidRDefault="00913EFC" w:rsidP="00B30EFC">
      <w:pPr>
        <w:pStyle w:val="Textoindependiente"/>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ind w:right="567"/>
        <w:textAlignment w:val="baseline"/>
        <w:rPr>
          <w:rFonts w:ascii="Georgia" w:hAnsi="Georgia" w:cs="Arial"/>
          <w:smallCaps/>
          <w:sz w:val="24"/>
          <w:szCs w:val="24"/>
          <w:lang w:val="es-419"/>
        </w:rPr>
      </w:pPr>
      <w:r w:rsidRPr="00B30EFC">
        <w:rPr>
          <w:rFonts w:ascii="Georgia" w:hAnsi="Georgia" w:cs="Arial"/>
          <w:smallCaps/>
          <w:sz w:val="24"/>
          <w:szCs w:val="24"/>
          <w:lang w:val="es-419"/>
        </w:rPr>
        <w:t xml:space="preserve">Las conclusiones </w:t>
      </w:r>
    </w:p>
    <w:p w:rsidR="00913EFC" w:rsidRPr="00B30EFC" w:rsidRDefault="00913EFC" w:rsidP="00B30EFC">
      <w:pPr>
        <w:pStyle w:val="Textoindependiente"/>
        <w:spacing w:line="288" w:lineRule="auto"/>
        <w:ind w:left="390" w:right="567"/>
        <w:rPr>
          <w:rFonts w:ascii="Georgia" w:hAnsi="Georgia" w:cs="Arial"/>
          <w:smallCaps/>
          <w:sz w:val="24"/>
          <w:szCs w:val="24"/>
          <w:lang w:val="es-419"/>
        </w:rPr>
      </w:pPr>
    </w:p>
    <w:p w:rsidR="00913EFC" w:rsidRPr="00B30EFC" w:rsidRDefault="00913EFC" w:rsidP="00B30EFC">
      <w:pPr>
        <w:pStyle w:val="Textoindependiente"/>
        <w:spacing w:line="288" w:lineRule="auto"/>
        <w:rPr>
          <w:rFonts w:ascii="Georgia" w:hAnsi="Georgia" w:cs="Arial"/>
          <w:sz w:val="24"/>
          <w:szCs w:val="24"/>
          <w:lang w:val="es-419"/>
        </w:rPr>
      </w:pPr>
      <w:r w:rsidRPr="00B30EFC">
        <w:rPr>
          <w:rFonts w:ascii="Georgia" w:hAnsi="Georgia"/>
          <w:sz w:val="24"/>
          <w:szCs w:val="24"/>
          <w:lang w:val="es-419"/>
        </w:rPr>
        <w:t xml:space="preserve">En armonía con lo discurrido, (i) Se revocará la sentencia de primera instancia, en su lugar, (ii) Se declararán improcedentes las acciones de tutela acumuladas, por carecer de inmediatez; y, (iii) Se adicionará para declararlas improcedentes en contra de los vinculados, por falta de legitimación por pasiva. </w:t>
      </w:r>
    </w:p>
    <w:p w:rsidR="00913EFC" w:rsidRPr="00B30EFC" w:rsidRDefault="00913EFC" w:rsidP="00B30EFC">
      <w:pPr>
        <w:pStyle w:val="Textoindependiente"/>
        <w:spacing w:line="288" w:lineRule="auto"/>
        <w:rPr>
          <w:rFonts w:ascii="Georgia" w:hAnsi="Georgia"/>
          <w:sz w:val="24"/>
          <w:szCs w:val="24"/>
          <w:lang w:val="es-419"/>
        </w:rPr>
      </w:pPr>
    </w:p>
    <w:p w:rsidR="00913EFC" w:rsidRPr="00B30EFC" w:rsidRDefault="00913EFC" w:rsidP="00B30EFC">
      <w:pPr>
        <w:spacing w:line="288" w:lineRule="auto"/>
        <w:jc w:val="both"/>
        <w:rPr>
          <w:rFonts w:ascii="Georgia" w:hAnsi="Georgia" w:cs="Arial"/>
          <w:lang w:val="es-419"/>
        </w:rPr>
      </w:pPr>
      <w:r w:rsidRPr="00B30EFC">
        <w:rPr>
          <w:rFonts w:ascii="Georgia" w:hAnsi="Georgia" w:cs="Arial"/>
          <w:lang w:val="es-419"/>
        </w:rPr>
        <w:t xml:space="preserve">En mérito de lo expuesto, el </w:t>
      </w:r>
      <w:r w:rsidRPr="00B30EFC">
        <w:rPr>
          <w:rFonts w:ascii="Georgia" w:hAnsi="Georgia" w:cs="Arial"/>
          <w:bCs/>
          <w:smallCaps/>
          <w:lang w:val="es-419"/>
        </w:rPr>
        <w:t>Tribunal Superior del Distrito Judicial de Pereira, Sala de Decisión Civil – Familia</w:t>
      </w:r>
      <w:r w:rsidRPr="00B30EFC">
        <w:rPr>
          <w:rFonts w:ascii="Georgia" w:hAnsi="Georgia" w:cs="Arial"/>
          <w:lang w:val="es-419"/>
        </w:rPr>
        <w:t>, administrando Justicia en nombre de la República de Colombia y por autoridad de la Ley,</w:t>
      </w:r>
    </w:p>
    <w:p w:rsidR="00913EFC" w:rsidRPr="00B30EFC" w:rsidRDefault="00913EFC" w:rsidP="00B30EFC">
      <w:pPr>
        <w:pStyle w:val="Textoindependiente"/>
        <w:spacing w:line="288" w:lineRule="auto"/>
        <w:jc w:val="center"/>
        <w:rPr>
          <w:rFonts w:ascii="Georgia" w:hAnsi="Georgia" w:cs="Arial"/>
          <w:bCs/>
          <w:smallCaps/>
          <w:sz w:val="24"/>
          <w:szCs w:val="24"/>
          <w:lang w:val="es-419"/>
        </w:rPr>
      </w:pPr>
    </w:p>
    <w:p w:rsidR="00913EFC" w:rsidRPr="00B30EFC" w:rsidRDefault="00913EFC" w:rsidP="00B30EFC">
      <w:pPr>
        <w:pStyle w:val="Textoindependiente"/>
        <w:spacing w:line="288" w:lineRule="auto"/>
        <w:jc w:val="center"/>
        <w:rPr>
          <w:rFonts w:ascii="Georgia" w:hAnsi="Georgia" w:cs="Arial"/>
          <w:bCs/>
          <w:smallCaps/>
          <w:sz w:val="24"/>
          <w:szCs w:val="24"/>
          <w:lang w:val="es-419"/>
        </w:rPr>
      </w:pPr>
      <w:r w:rsidRPr="00B30EFC">
        <w:rPr>
          <w:rFonts w:ascii="Georgia" w:hAnsi="Georgia" w:cs="Arial"/>
          <w:bCs/>
          <w:smallCaps/>
          <w:sz w:val="24"/>
          <w:szCs w:val="24"/>
          <w:lang w:val="es-419"/>
        </w:rPr>
        <w:t>F a l l a:</w:t>
      </w:r>
    </w:p>
    <w:p w:rsidR="00913EFC" w:rsidRPr="00B30EFC" w:rsidRDefault="00913EFC" w:rsidP="00B30EFC">
      <w:pPr>
        <w:pStyle w:val="Textoindependiente"/>
        <w:spacing w:line="288" w:lineRule="auto"/>
        <w:jc w:val="center"/>
        <w:rPr>
          <w:rFonts w:ascii="Georgia" w:hAnsi="Georgia" w:cs="Arial"/>
          <w:bCs/>
          <w:smallCaps/>
          <w:sz w:val="24"/>
          <w:szCs w:val="24"/>
          <w:lang w:val="es-419"/>
        </w:rPr>
      </w:pPr>
    </w:p>
    <w:p w:rsidR="00913EFC" w:rsidRPr="00B30EFC" w:rsidRDefault="00913EFC" w:rsidP="00B30EFC">
      <w:pPr>
        <w:pStyle w:val="Prrafodelista"/>
        <w:numPr>
          <w:ilvl w:val="0"/>
          <w:numId w:val="9"/>
        </w:numPr>
        <w:tabs>
          <w:tab w:val="left" w:pos="0"/>
          <w:tab w:val="left" w:pos="142"/>
          <w:tab w:val="left" w:pos="4956"/>
          <w:tab w:val="left" w:pos="5664"/>
          <w:tab w:val="left" w:pos="6372"/>
          <w:tab w:val="left" w:pos="7080"/>
          <w:tab w:val="left" w:pos="7788"/>
          <w:tab w:val="left" w:pos="7920"/>
        </w:tabs>
        <w:suppressAutoHyphens/>
        <w:overflowPunct w:val="0"/>
        <w:spacing w:line="288" w:lineRule="auto"/>
        <w:ind w:hanging="426"/>
        <w:contextualSpacing/>
        <w:jc w:val="both"/>
        <w:textAlignment w:val="baseline"/>
        <w:rPr>
          <w:rFonts w:ascii="Georgia" w:hAnsi="Georgia"/>
          <w:spacing w:val="-3"/>
          <w:szCs w:val="24"/>
          <w:lang w:val="es-419"/>
        </w:rPr>
      </w:pPr>
      <w:r w:rsidRPr="00B30EFC">
        <w:rPr>
          <w:rFonts w:ascii="Georgia" w:hAnsi="Georgia"/>
          <w:spacing w:val="-3"/>
          <w:szCs w:val="24"/>
          <w:lang w:val="es-419"/>
        </w:rPr>
        <w:t xml:space="preserve">REVOCAR </w:t>
      </w:r>
      <w:r w:rsidRPr="00B30EFC">
        <w:rPr>
          <w:rFonts w:ascii="Georgia" w:hAnsi="Georgia"/>
          <w:szCs w:val="24"/>
          <w:lang w:val="es-419"/>
        </w:rPr>
        <w:t>la sentencia proferida opugnada, para en su lugar, DECLARAR IMPROCEDENTES las acciones de tutela formuladas en contra del Ministerio de Vivienda, Ciudad y Territorio y FONVIVIENDA.</w:t>
      </w:r>
    </w:p>
    <w:p w:rsidR="00913EFC" w:rsidRPr="00B30EFC" w:rsidRDefault="00913EFC" w:rsidP="00B30EFC">
      <w:pPr>
        <w:pStyle w:val="Prrafodelista"/>
        <w:tabs>
          <w:tab w:val="left" w:pos="0"/>
          <w:tab w:val="left" w:pos="142"/>
          <w:tab w:val="left" w:pos="4956"/>
          <w:tab w:val="left" w:pos="5664"/>
          <w:tab w:val="left" w:pos="6372"/>
          <w:tab w:val="left" w:pos="7080"/>
          <w:tab w:val="left" w:pos="7788"/>
          <w:tab w:val="left" w:pos="7920"/>
        </w:tabs>
        <w:suppressAutoHyphens/>
        <w:overflowPunct w:val="0"/>
        <w:spacing w:line="288" w:lineRule="auto"/>
        <w:ind w:left="426"/>
        <w:jc w:val="both"/>
        <w:textAlignment w:val="baseline"/>
        <w:rPr>
          <w:rFonts w:ascii="Georgia" w:hAnsi="Georgia"/>
          <w:spacing w:val="-3"/>
          <w:szCs w:val="24"/>
          <w:lang w:val="es-419"/>
        </w:rPr>
      </w:pPr>
    </w:p>
    <w:p w:rsidR="00913EFC" w:rsidRPr="00B30EFC" w:rsidRDefault="00913EFC" w:rsidP="00B30EFC">
      <w:pPr>
        <w:pStyle w:val="Prrafodelista"/>
        <w:numPr>
          <w:ilvl w:val="0"/>
          <w:numId w:val="9"/>
        </w:numPr>
        <w:tabs>
          <w:tab w:val="left" w:pos="0"/>
          <w:tab w:val="left" w:pos="142"/>
          <w:tab w:val="num" w:pos="360"/>
          <w:tab w:val="left" w:pos="4956"/>
          <w:tab w:val="left" w:pos="5664"/>
          <w:tab w:val="left" w:pos="6372"/>
          <w:tab w:val="left" w:pos="7080"/>
          <w:tab w:val="left" w:pos="7788"/>
          <w:tab w:val="left" w:pos="7920"/>
        </w:tabs>
        <w:suppressAutoHyphens/>
        <w:overflowPunct w:val="0"/>
        <w:spacing w:line="288" w:lineRule="auto"/>
        <w:ind w:hanging="426"/>
        <w:contextualSpacing/>
        <w:jc w:val="both"/>
        <w:textAlignment w:val="baseline"/>
        <w:rPr>
          <w:rFonts w:ascii="Georgia" w:hAnsi="Georgia"/>
          <w:spacing w:val="-3"/>
          <w:szCs w:val="24"/>
          <w:lang w:val="es-419"/>
        </w:rPr>
      </w:pPr>
      <w:r w:rsidRPr="00B30EFC">
        <w:rPr>
          <w:rFonts w:ascii="Georgia" w:hAnsi="Georgia"/>
          <w:spacing w:val="-3"/>
          <w:szCs w:val="24"/>
          <w:lang w:val="es-419"/>
        </w:rPr>
        <w:t xml:space="preserve">ADICIONAR el mentado fallo en el sentido de DECLARAR IMPROCEDENTE los amparos en contra del FONADE, el IGAC, Confamiliar Risaralda y el señor Carlos Harold Lara Betancourt, como constructor oferente del proyecto </w:t>
      </w:r>
      <w:r w:rsidRPr="00B30EFC">
        <w:rPr>
          <w:rFonts w:ascii="Georgia" w:hAnsi="Georgia"/>
          <w:i/>
          <w:spacing w:val="-3"/>
          <w:szCs w:val="24"/>
          <w:lang w:val="es-419"/>
        </w:rPr>
        <w:t>“Urbanización el Papelucho”</w:t>
      </w:r>
      <w:r w:rsidRPr="00B30EFC">
        <w:rPr>
          <w:rFonts w:ascii="Georgia" w:hAnsi="Georgia"/>
          <w:spacing w:val="-3"/>
          <w:szCs w:val="24"/>
          <w:lang w:val="es-419"/>
        </w:rPr>
        <w:t>, por carecer de legitimación</w:t>
      </w:r>
    </w:p>
    <w:p w:rsidR="00913EFC" w:rsidRPr="00B30EFC" w:rsidRDefault="00913EFC" w:rsidP="00B30EFC">
      <w:pPr>
        <w:pStyle w:val="Prrafodelista"/>
        <w:tabs>
          <w:tab w:val="left" w:pos="0"/>
          <w:tab w:val="left" w:pos="142"/>
          <w:tab w:val="left" w:pos="4956"/>
          <w:tab w:val="left" w:pos="5664"/>
          <w:tab w:val="left" w:pos="6372"/>
          <w:tab w:val="left" w:pos="7080"/>
          <w:tab w:val="left" w:pos="7788"/>
          <w:tab w:val="left" w:pos="7920"/>
        </w:tabs>
        <w:suppressAutoHyphens/>
        <w:overflowPunct w:val="0"/>
        <w:spacing w:line="288" w:lineRule="auto"/>
        <w:ind w:left="426"/>
        <w:jc w:val="both"/>
        <w:textAlignment w:val="baseline"/>
        <w:rPr>
          <w:rFonts w:ascii="Georgia" w:hAnsi="Georgia"/>
          <w:spacing w:val="-3"/>
          <w:szCs w:val="24"/>
          <w:lang w:val="es-419"/>
        </w:rPr>
      </w:pPr>
    </w:p>
    <w:p w:rsidR="00913EFC" w:rsidRPr="00B30EFC" w:rsidRDefault="00913EFC" w:rsidP="00B30EFC">
      <w:pPr>
        <w:pStyle w:val="Prrafodelista"/>
        <w:numPr>
          <w:ilvl w:val="0"/>
          <w:numId w:val="9"/>
        </w:numPr>
        <w:tabs>
          <w:tab w:val="clear" w:pos="426"/>
          <w:tab w:val="num" w:pos="360"/>
        </w:tabs>
        <w:spacing w:line="288" w:lineRule="auto"/>
        <w:ind w:left="360" w:right="51"/>
        <w:contextualSpacing/>
        <w:jc w:val="both"/>
        <w:rPr>
          <w:rFonts w:ascii="Georgia" w:hAnsi="Georgia"/>
          <w:szCs w:val="24"/>
          <w:lang w:val="es-419"/>
        </w:rPr>
      </w:pPr>
      <w:r w:rsidRPr="00B30EFC">
        <w:rPr>
          <w:rFonts w:ascii="Georgia" w:hAnsi="Georgia" w:cs="Arial"/>
          <w:spacing w:val="-3"/>
          <w:szCs w:val="24"/>
          <w:lang w:val="es-419"/>
        </w:rPr>
        <w:t>NOTIFICAR esta decisión a todas las partes, por el medio más expedito y eficaz.</w:t>
      </w:r>
    </w:p>
    <w:p w:rsidR="00913EFC" w:rsidRPr="00B30EFC" w:rsidRDefault="00913EFC" w:rsidP="00B30EFC">
      <w:pPr>
        <w:pStyle w:val="Prrafodelista"/>
        <w:spacing w:line="288" w:lineRule="auto"/>
        <w:ind w:left="360" w:right="51"/>
        <w:jc w:val="both"/>
        <w:rPr>
          <w:rFonts w:ascii="Georgia" w:hAnsi="Georgia"/>
          <w:szCs w:val="24"/>
          <w:lang w:val="es-419"/>
        </w:rPr>
      </w:pPr>
    </w:p>
    <w:p w:rsidR="00913EFC" w:rsidRPr="00B30EFC" w:rsidRDefault="00913EFC" w:rsidP="00B30EFC">
      <w:pPr>
        <w:pStyle w:val="Prrafodelista"/>
        <w:numPr>
          <w:ilvl w:val="0"/>
          <w:numId w:val="9"/>
        </w:numPr>
        <w:tabs>
          <w:tab w:val="clear" w:pos="426"/>
          <w:tab w:val="num" w:pos="360"/>
        </w:tabs>
        <w:spacing w:line="288" w:lineRule="auto"/>
        <w:ind w:left="360" w:right="51"/>
        <w:contextualSpacing/>
        <w:jc w:val="both"/>
        <w:rPr>
          <w:rFonts w:ascii="Georgia" w:hAnsi="Georgia"/>
          <w:szCs w:val="24"/>
          <w:lang w:val="es-419"/>
        </w:rPr>
      </w:pPr>
      <w:r w:rsidRPr="00B30EFC">
        <w:rPr>
          <w:rFonts w:ascii="Georgia" w:hAnsi="Georgia" w:cs="Arial"/>
          <w:spacing w:val="-3"/>
          <w:szCs w:val="24"/>
          <w:lang w:val="es-419"/>
        </w:rPr>
        <w:t>REMITIR este expediente, a la CC para su eventual revisión.</w:t>
      </w:r>
    </w:p>
    <w:p w:rsidR="00913EFC" w:rsidRPr="00B30EFC" w:rsidRDefault="00913EFC" w:rsidP="00B30EFC">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88" w:lineRule="auto"/>
        <w:jc w:val="right"/>
        <w:textAlignment w:val="baseline"/>
        <w:rPr>
          <w:rFonts w:ascii="Georgia" w:hAnsi="Georgia" w:cs="Arial"/>
          <w:i/>
          <w:w w:val="150"/>
          <w:lang w:val="es-419"/>
        </w:rPr>
      </w:pPr>
    </w:p>
    <w:p w:rsidR="00913EFC" w:rsidRPr="00B30EFC" w:rsidRDefault="00B30EFC" w:rsidP="00B30EFC">
      <w:pPr>
        <w:pStyle w:val="Textoindependiente"/>
        <w:spacing w:line="288" w:lineRule="auto"/>
        <w:jc w:val="center"/>
        <w:rPr>
          <w:rFonts w:ascii="Georgia" w:hAnsi="Georgia" w:cs="Arial"/>
          <w:smallCaps/>
          <w:sz w:val="24"/>
          <w:szCs w:val="24"/>
          <w:lang w:val="es-419"/>
        </w:rPr>
      </w:pPr>
      <w:r>
        <w:rPr>
          <w:rFonts w:ascii="Georgia" w:hAnsi="Georgia" w:cs="Arial"/>
          <w:smallCaps/>
          <w:sz w:val="24"/>
          <w:szCs w:val="24"/>
          <w:lang w:val="es-419"/>
        </w:rPr>
        <w:t>Notifíquese</w:t>
      </w:r>
    </w:p>
    <w:p w:rsidR="00913EFC" w:rsidRPr="00B30EFC" w:rsidRDefault="00913EFC" w:rsidP="00B30E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smallCaps/>
          <w:spacing w:val="-3"/>
          <w:lang w:val="es-419"/>
        </w:rPr>
      </w:pPr>
    </w:p>
    <w:p w:rsidR="00913EFC" w:rsidRPr="00B30EFC" w:rsidRDefault="00913EFC" w:rsidP="00B30E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32"/>
          <w:szCs w:val="18"/>
          <w:lang w:val="es-419"/>
        </w:rPr>
      </w:pPr>
    </w:p>
    <w:p w:rsidR="00913EFC" w:rsidRPr="00B30EFC" w:rsidRDefault="00913EFC" w:rsidP="00B30E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B30EFC">
        <w:rPr>
          <w:rFonts w:ascii="Georgia" w:hAnsi="Georgia" w:cs="Arial"/>
          <w:i/>
          <w:spacing w:val="-3"/>
          <w:w w:val="150"/>
          <w:sz w:val="32"/>
          <w:szCs w:val="18"/>
          <w:lang w:val="es-419"/>
        </w:rPr>
        <w:t>D</w:t>
      </w:r>
      <w:r w:rsidRPr="00B30EFC">
        <w:rPr>
          <w:rFonts w:ascii="Georgia" w:hAnsi="Georgia" w:cs="Arial"/>
          <w:i/>
          <w:spacing w:val="-3"/>
          <w:w w:val="150"/>
          <w:sz w:val="18"/>
          <w:szCs w:val="18"/>
          <w:lang w:val="es-419"/>
        </w:rPr>
        <w:t xml:space="preserve">UBERNEY </w:t>
      </w:r>
      <w:r w:rsidRPr="00B30EFC">
        <w:rPr>
          <w:rFonts w:ascii="Georgia" w:hAnsi="Georgia" w:cs="Arial"/>
          <w:i/>
          <w:spacing w:val="-3"/>
          <w:w w:val="150"/>
          <w:sz w:val="28"/>
          <w:szCs w:val="18"/>
          <w:lang w:val="es-419"/>
        </w:rPr>
        <w:t>G</w:t>
      </w:r>
      <w:r w:rsidRPr="00B30EFC">
        <w:rPr>
          <w:rFonts w:ascii="Georgia" w:hAnsi="Georgia" w:cs="Arial"/>
          <w:i/>
          <w:spacing w:val="-3"/>
          <w:w w:val="150"/>
          <w:sz w:val="18"/>
          <w:szCs w:val="18"/>
          <w:lang w:val="es-419"/>
        </w:rPr>
        <w:t xml:space="preserve">RISALES </w:t>
      </w:r>
      <w:r w:rsidRPr="00B30EFC">
        <w:rPr>
          <w:rFonts w:ascii="Georgia" w:hAnsi="Georgia" w:cs="Arial"/>
          <w:i/>
          <w:spacing w:val="-3"/>
          <w:w w:val="150"/>
          <w:sz w:val="28"/>
          <w:szCs w:val="18"/>
          <w:lang w:val="es-419"/>
        </w:rPr>
        <w:t>H</w:t>
      </w:r>
      <w:r w:rsidRPr="00B30EFC">
        <w:rPr>
          <w:rFonts w:ascii="Georgia" w:hAnsi="Georgia" w:cs="Arial"/>
          <w:i/>
          <w:spacing w:val="-3"/>
          <w:w w:val="150"/>
          <w:sz w:val="18"/>
          <w:szCs w:val="18"/>
          <w:lang w:val="es-419"/>
        </w:rPr>
        <w:t>ERRERA</w:t>
      </w:r>
    </w:p>
    <w:p w:rsidR="00913EFC" w:rsidRPr="00B30EFC" w:rsidRDefault="00913EFC" w:rsidP="00B30E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6"/>
          <w:szCs w:val="20"/>
          <w:lang w:val="es-419"/>
        </w:rPr>
      </w:pPr>
      <w:r w:rsidRPr="00B30EFC">
        <w:rPr>
          <w:rFonts w:ascii="Georgia" w:hAnsi="Georgia" w:cs="Arial"/>
          <w:i/>
          <w:spacing w:val="-3"/>
          <w:w w:val="150"/>
          <w:sz w:val="32"/>
          <w:lang w:val="es-419"/>
        </w:rPr>
        <w:t>M</w:t>
      </w:r>
      <w:r w:rsidRPr="00B30EFC">
        <w:rPr>
          <w:rFonts w:ascii="Georgia" w:hAnsi="Georgia" w:cs="Arial"/>
          <w:i/>
          <w:spacing w:val="-3"/>
          <w:w w:val="150"/>
          <w:sz w:val="16"/>
          <w:lang w:val="es-419"/>
        </w:rPr>
        <w:t xml:space="preserve"> </w:t>
      </w:r>
      <w:r w:rsidRPr="00B30EFC">
        <w:rPr>
          <w:rFonts w:ascii="Georgia" w:hAnsi="Georgia" w:cs="Arial"/>
          <w:i/>
          <w:spacing w:val="-3"/>
          <w:w w:val="150"/>
          <w:sz w:val="18"/>
          <w:szCs w:val="20"/>
          <w:lang w:val="es-419"/>
        </w:rPr>
        <w:t>A G I S T R A D O</w:t>
      </w:r>
    </w:p>
    <w:p w:rsidR="00913EFC" w:rsidRPr="00B30EFC" w:rsidRDefault="00913EFC" w:rsidP="00B30E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2"/>
          <w:lang w:val="es-419"/>
        </w:rPr>
      </w:pPr>
    </w:p>
    <w:p w:rsidR="00913EFC" w:rsidRPr="00B30EFC" w:rsidRDefault="00913EFC" w:rsidP="00B30E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40"/>
          <w:szCs w:val="16"/>
          <w:lang w:val="es-419"/>
        </w:rPr>
      </w:pPr>
    </w:p>
    <w:p w:rsidR="00913EFC" w:rsidRPr="00B30EFC" w:rsidRDefault="00913EFC" w:rsidP="00B30E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B30EFC">
        <w:rPr>
          <w:rFonts w:ascii="Georgia" w:hAnsi="Georgia"/>
          <w:i/>
          <w:w w:val="150"/>
          <w:sz w:val="28"/>
          <w:szCs w:val="18"/>
          <w:lang w:val="es-419"/>
        </w:rPr>
        <w:t>E</w:t>
      </w:r>
      <w:r w:rsidRPr="00B30EFC">
        <w:rPr>
          <w:rFonts w:ascii="Georgia" w:hAnsi="Georgia"/>
          <w:i/>
          <w:w w:val="150"/>
          <w:sz w:val="18"/>
          <w:szCs w:val="18"/>
          <w:lang w:val="es-419"/>
        </w:rPr>
        <w:t>DDER</w:t>
      </w:r>
      <w:r w:rsidRPr="00B30EFC">
        <w:rPr>
          <w:rFonts w:ascii="Georgia" w:hAnsi="Georgia"/>
          <w:i/>
          <w:w w:val="150"/>
          <w:sz w:val="18"/>
          <w:lang w:val="es-419"/>
        </w:rPr>
        <w:t xml:space="preserve"> </w:t>
      </w:r>
      <w:r w:rsidRPr="00B30EFC">
        <w:rPr>
          <w:rFonts w:ascii="Georgia" w:hAnsi="Georgia"/>
          <w:i/>
          <w:w w:val="150"/>
          <w:sz w:val="28"/>
          <w:lang w:val="es-419"/>
        </w:rPr>
        <w:t>J</w:t>
      </w:r>
      <w:r w:rsidRPr="00B30EFC">
        <w:rPr>
          <w:rFonts w:ascii="Georgia" w:hAnsi="Georgia"/>
          <w:i/>
          <w:w w:val="150"/>
          <w:sz w:val="18"/>
          <w:szCs w:val="18"/>
          <w:lang w:val="es-419"/>
        </w:rPr>
        <w:t xml:space="preserve">IMMY </w:t>
      </w:r>
      <w:r w:rsidRPr="00B30EFC">
        <w:rPr>
          <w:rFonts w:ascii="Georgia" w:hAnsi="Georgia"/>
          <w:i/>
          <w:w w:val="150"/>
          <w:sz w:val="28"/>
          <w:lang w:val="es-419"/>
        </w:rPr>
        <w:t>S</w:t>
      </w:r>
      <w:r w:rsidRPr="00B30EFC">
        <w:rPr>
          <w:rFonts w:ascii="Georgia" w:hAnsi="Georgia"/>
          <w:i/>
          <w:w w:val="150"/>
          <w:sz w:val="18"/>
          <w:szCs w:val="18"/>
          <w:lang w:val="es-419"/>
        </w:rPr>
        <w:t xml:space="preserve">ÁNCHEZ </w:t>
      </w:r>
      <w:r w:rsidRPr="00B30EFC">
        <w:rPr>
          <w:rFonts w:ascii="Georgia" w:hAnsi="Georgia"/>
          <w:i/>
          <w:w w:val="150"/>
          <w:sz w:val="28"/>
          <w:szCs w:val="18"/>
          <w:lang w:val="es-419"/>
        </w:rPr>
        <w:t>C.</w:t>
      </w:r>
      <w:r w:rsidRPr="00B30EFC">
        <w:rPr>
          <w:rFonts w:ascii="Georgia" w:hAnsi="Georgia"/>
          <w:i/>
          <w:w w:val="150"/>
          <w:sz w:val="28"/>
          <w:szCs w:val="18"/>
          <w:lang w:val="es-419"/>
        </w:rPr>
        <w:tab/>
      </w:r>
      <w:r w:rsidRPr="00B30EFC">
        <w:rPr>
          <w:rFonts w:ascii="Georgia" w:hAnsi="Georgia"/>
          <w:i/>
          <w:w w:val="150"/>
          <w:sz w:val="28"/>
          <w:szCs w:val="18"/>
          <w:lang w:val="es-419"/>
        </w:rPr>
        <w:tab/>
      </w:r>
      <w:r w:rsidRPr="00B30EFC">
        <w:rPr>
          <w:rFonts w:ascii="Georgia" w:hAnsi="Georgia" w:cs="Arial"/>
          <w:i/>
          <w:spacing w:val="-3"/>
          <w:w w:val="150"/>
          <w:sz w:val="28"/>
          <w:szCs w:val="18"/>
          <w:lang w:val="es-419"/>
        </w:rPr>
        <w:t>J</w:t>
      </w:r>
      <w:r w:rsidRPr="00B30EFC">
        <w:rPr>
          <w:rFonts w:ascii="Georgia" w:hAnsi="Georgia" w:cs="Arial"/>
          <w:i/>
          <w:spacing w:val="-3"/>
          <w:w w:val="150"/>
          <w:sz w:val="18"/>
          <w:szCs w:val="18"/>
          <w:lang w:val="es-419"/>
        </w:rPr>
        <w:t xml:space="preserve">AIME </w:t>
      </w:r>
      <w:r w:rsidRPr="00B30EFC">
        <w:rPr>
          <w:rFonts w:ascii="Georgia" w:hAnsi="Georgia" w:cs="Arial"/>
          <w:i/>
          <w:spacing w:val="-3"/>
          <w:w w:val="150"/>
          <w:sz w:val="28"/>
          <w:szCs w:val="18"/>
          <w:lang w:val="es-419"/>
        </w:rPr>
        <w:t>A</w:t>
      </w:r>
      <w:r w:rsidRPr="00B30EFC">
        <w:rPr>
          <w:rFonts w:ascii="Georgia" w:hAnsi="Georgia"/>
          <w:i/>
          <w:w w:val="150"/>
          <w:sz w:val="18"/>
          <w:szCs w:val="18"/>
          <w:lang w:val="es-419"/>
        </w:rPr>
        <w:t xml:space="preserve">LBERTO </w:t>
      </w:r>
      <w:r w:rsidRPr="00B30EFC">
        <w:rPr>
          <w:rFonts w:ascii="Georgia" w:hAnsi="Georgia" w:cs="Arial"/>
          <w:i/>
          <w:spacing w:val="-3"/>
          <w:w w:val="150"/>
          <w:sz w:val="28"/>
          <w:szCs w:val="18"/>
          <w:lang w:val="es-419"/>
        </w:rPr>
        <w:t>S</w:t>
      </w:r>
      <w:r w:rsidRPr="00B30EFC">
        <w:rPr>
          <w:rFonts w:ascii="Georgia" w:hAnsi="Georgia" w:cs="Arial"/>
          <w:i/>
          <w:spacing w:val="-3"/>
          <w:w w:val="150"/>
          <w:sz w:val="18"/>
          <w:szCs w:val="16"/>
          <w:lang w:val="es-419"/>
        </w:rPr>
        <w:t xml:space="preserve">ARAZA </w:t>
      </w:r>
      <w:r w:rsidRPr="00B30EFC">
        <w:rPr>
          <w:rFonts w:ascii="Georgia" w:hAnsi="Georgia" w:cs="Arial"/>
          <w:i/>
          <w:spacing w:val="-3"/>
          <w:w w:val="150"/>
          <w:sz w:val="28"/>
          <w:szCs w:val="18"/>
          <w:lang w:val="es-419"/>
        </w:rPr>
        <w:t>N.</w:t>
      </w:r>
    </w:p>
    <w:p w:rsidR="009050FA" w:rsidRPr="00B30EFC" w:rsidRDefault="00913EFC" w:rsidP="00B30E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i/>
          <w:color w:val="FF0000"/>
          <w:w w:val="150"/>
          <w:sz w:val="8"/>
          <w:lang w:val="es-419"/>
        </w:rPr>
      </w:pPr>
      <w:r w:rsidRPr="00B30EFC">
        <w:rPr>
          <w:rFonts w:ascii="Georgia" w:hAnsi="Georgia" w:cs="Arial"/>
          <w:i/>
          <w:w w:val="150"/>
          <w:sz w:val="28"/>
          <w:lang w:val="es-419"/>
        </w:rPr>
        <w:tab/>
        <w:t>M</w:t>
      </w:r>
      <w:r w:rsidRPr="00B30EFC">
        <w:rPr>
          <w:rFonts w:ascii="Georgia" w:hAnsi="Georgia" w:cs="Arial"/>
          <w:i/>
          <w:w w:val="150"/>
          <w:sz w:val="18"/>
          <w:lang w:val="es-419"/>
        </w:rPr>
        <w:t xml:space="preserve"> A G I S T R A D O </w:t>
      </w:r>
      <w:r w:rsidRPr="00B30EFC">
        <w:rPr>
          <w:rFonts w:ascii="Georgia" w:hAnsi="Georgia" w:cs="Arial"/>
          <w:i/>
          <w:w w:val="150"/>
          <w:sz w:val="18"/>
          <w:lang w:val="es-419"/>
        </w:rPr>
        <w:tab/>
      </w:r>
      <w:r w:rsidRPr="00B30EFC">
        <w:rPr>
          <w:rFonts w:ascii="Georgia" w:hAnsi="Georgia" w:cs="Arial"/>
          <w:i/>
          <w:w w:val="150"/>
          <w:sz w:val="18"/>
          <w:lang w:val="es-419"/>
        </w:rPr>
        <w:tab/>
      </w:r>
      <w:r w:rsidRPr="00B30EFC">
        <w:rPr>
          <w:rFonts w:ascii="Georgia" w:hAnsi="Georgia" w:cs="Arial"/>
          <w:i/>
          <w:w w:val="150"/>
          <w:sz w:val="18"/>
          <w:lang w:val="es-419"/>
        </w:rPr>
        <w:tab/>
      </w:r>
      <w:r w:rsidRPr="00B30EFC">
        <w:rPr>
          <w:rFonts w:ascii="Georgia" w:hAnsi="Georgia" w:cs="Arial"/>
          <w:i/>
          <w:w w:val="150"/>
          <w:sz w:val="18"/>
          <w:lang w:val="es-419"/>
        </w:rPr>
        <w:tab/>
      </w:r>
      <w:r w:rsidRPr="00B30EFC">
        <w:rPr>
          <w:rFonts w:ascii="Georgia" w:hAnsi="Georgia" w:cs="Arial"/>
          <w:i/>
          <w:w w:val="150"/>
          <w:sz w:val="28"/>
          <w:lang w:val="es-419"/>
        </w:rPr>
        <w:t>M</w:t>
      </w:r>
      <w:r w:rsidRPr="00B30EFC">
        <w:rPr>
          <w:rFonts w:ascii="Georgia" w:hAnsi="Georgia" w:cs="Arial"/>
          <w:i/>
          <w:w w:val="150"/>
          <w:sz w:val="18"/>
          <w:lang w:val="es-419"/>
        </w:rPr>
        <w:t xml:space="preserve"> A G I S T R A D O</w:t>
      </w:r>
    </w:p>
    <w:sectPr w:rsidR="009050FA" w:rsidRPr="00B30EFC" w:rsidSect="00EE071F">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08" w:rsidRDefault="00CD2108" w:rsidP="005761C8">
      <w:r>
        <w:separator/>
      </w:r>
    </w:p>
  </w:endnote>
  <w:endnote w:type="continuationSeparator" w:id="0">
    <w:p w:rsidR="00CD2108" w:rsidRDefault="00CD2108"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altName w:val=" Arial"/>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6A75E3">
      <w:rPr>
        <w:rStyle w:val="Nmerodepgina"/>
        <w:rFonts w:ascii="Arial" w:hAnsi="Arial" w:cs="Arial"/>
        <w:noProof/>
        <w:sz w:val="20"/>
      </w:rPr>
      <w:t>6</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08" w:rsidRDefault="00CD2108" w:rsidP="005761C8">
      <w:r>
        <w:separator/>
      </w:r>
    </w:p>
  </w:footnote>
  <w:footnote w:type="continuationSeparator" w:id="0">
    <w:p w:rsidR="00CD2108" w:rsidRDefault="00CD2108" w:rsidP="005761C8">
      <w:r>
        <w:continuationSeparator/>
      </w:r>
    </w:p>
  </w:footnote>
  <w:footnote w:id="1">
    <w:p w:rsidR="00913EFC" w:rsidRPr="00D05C3A" w:rsidRDefault="00913EFC" w:rsidP="00913EFC">
      <w:pPr>
        <w:pStyle w:val="Textonotapie"/>
        <w:jc w:val="both"/>
        <w:rPr>
          <w:rFonts w:ascii="Arial" w:hAnsi="Arial" w:cs="Arial"/>
          <w:sz w:val="18"/>
          <w:szCs w:val="18"/>
        </w:rPr>
      </w:pPr>
      <w:r w:rsidRPr="00D05C3A">
        <w:rPr>
          <w:rStyle w:val="Refdenotaalpie"/>
          <w:rFonts w:ascii="Arial" w:hAnsi="Arial" w:cs="Arial"/>
          <w:sz w:val="18"/>
          <w:szCs w:val="18"/>
        </w:rPr>
        <w:footnoteRef/>
      </w:r>
      <w:r w:rsidRPr="00D05C3A">
        <w:rPr>
          <w:rFonts w:ascii="Arial" w:hAnsi="Arial" w:cs="Arial"/>
          <w:sz w:val="18"/>
          <w:szCs w:val="18"/>
        </w:rPr>
        <w:t xml:space="preserve"> CC. SU-961 de 1999, T-890 de 2006, T-548 de 2011, T-172 de 2013, T-202A de 2018 y T-207 de 2018, entre otras.</w:t>
      </w:r>
    </w:p>
  </w:footnote>
  <w:footnote w:id="2">
    <w:p w:rsidR="00913EFC" w:rsidRPr="00D05C3A" w:rsidRDefault="00913EFC" w:rsidP="00913EFC">
      <w:pPr>
        <w:pStyle w:val="Textonotapie"/>
        <w:jc w:val="both"/>
        <w:rPr>
          <w:rFonts w:ascii="Arial" w:hAnsi="Arial" w:cs="Arial"/>
          <w:sz w:val="18"/>
          <w:szCs w:val="18"/>
        </w:rPr>
      </w:pPr>
      <w:r w:rsidRPr="00D05C3A">
        <w:rPr>
          <w:rStyle w:val="Refdenotaalpie"/>
          <w:rFonts w:ascii="Arial" w:hAnsi="Arial" w:cs="Arial"/>
          <w:sz w:val="18"/>
          <w:szCs w:val="18"/>
        </w:rPr>
        <w:footnoteRef/>
      </w:r>
      <w:r w:rsidRPr="00D05C3A">
        <w:rPr>
          <w:rFonts w:ascii="Arial" w:hAnsi="Arial" w:cs="Arial"/>
          <w:sz w:val="18"/>
          <w:szCs w:val="18"/>
        </w:rPr>
        <w:t xml:space="preserve"> CSJ, Civil. Sentencia del 09-03-2011, </w:t>
      </w:r>
      <w:proofErr w:type="spellStart"/>
      <w:r w:rsidRPr="00D05C3A">
        <w:rPr>
          <w:rFonts w:ascii="Arial" w:hAnsi="Arial" w:cs="Arial"/>
          <w:sz w:val="18"/>
          <w:szCs w:val="18"/>
        </w:rPr>
        <w:t>MP</w:t>
      </w:r>
      <w:proofErr w:type="spellEnd"/>
      <w:r w:rsidRPr="00D05C3A">
        <w:rPr>
          <w:rFonts w:ascii="Arial" w:hAnsi="Arial" w:cs="Arial"/>
          <w:sz w:val="18"/>
          <w:szCs w:val="18"/>
        </w:rPr>
        <w:t xml:space="preserve">: Jaime A. </w:t>
      </w:r>
      <w:proofErr w:type="spellStart"/>
      <w:r w:rsidRPr="00D05C3A">
        <w:rPr>
          <w:rFonts w:ascii="Arial" w:hAnsi="Arial" w:cs="Arial"/>
          <w:sz w:val="18"/>
          <w:szCs w:val="18"/>
        </w:rPr>
        <w:t>Arrubla</w:t>
      </w:r>
      <w:proofErr w:type="spellEnd"/>
      <w:r w:rsidRPr="00D05C3A">
        <w:rPr>
          <w:rFonts w:ascii="Arial" w:hAnsi="Arial" w:cs="Arial"/>
          <w:sz w:val="18"/>
          <w:szCs w:val="18"/>
        </w:rPr>
        <w:t xml:space="preserve"> P., No.</w:t>
      </w:r>
      <w:r w:rsidRPr="00D05C3A">
        <w:rPr>
          <w:rFonts w:ascii="Arial" w:hAnsi="Arial" w:cs="Arial"/>
          <w:w w:val="110"/>
          <w:sz w:val="18"/>
          <w:szCs w:val="18"/>
        </w:rPr>
        <w:t>11001-02-03-000-2011-00373-00</w:t>
      </w:r>
      <w:r w:rsidRPr="00D05C3A">
        <w:rPr>
          <w:rFonts w:ascii="Arial" w:hAnsi="Arial" w:cs="Arial"/>
          <w:sz w:val="18"/>
          <w:szCs w:val="18"/>
        </w:rPr>
        <w:t>.</w:t>
      </w:r>
    </w:p>
  </w:footnote>
  <w:footnote w:id="3">
    <w:p w:rsidR="00913EFC" w:rsidRPr="00D05C3A" w:rsidRDefault="00913EFC" w:rsidP="00913EFC">
      <w:pPr>
        <w:pStyle w:val="Textonotapie"/>
        <w:rPr>
          <w:rFonts w:ascii="Arial" w:hAnsi="Arial" w:cs="Arial"/>
          <w:sz w:val="18"/>
          <w:szCs w:val="18"/>
          <w:lang w:val="es-CO"/>
        </w:rPr>
      </w:pPr>
      <w:r w:rsidRPr="00D05C3A">
        <w:rPr>
          <w:rStyle w:val="Refdenotaalpie"/>
          <w:rFonts w:ascii="Arial" w:hAnsi="Arial" w:cs="Arial"/>
          <w:sz w:val="18"/>
          <w:szCs w:val="18"/>
        </w:rPr>
        <w:footnoteRef/>
      </w:r>
      <w:r w:rsidRPr="00D05C3A">
        <w:rPr>
          <w:rFonts w:ascii="Arial" w:hAnsi="Arial" w:cs="Arial"/>
          <w:sz w:val="18"/>
          <w:szCs w:val="18"/>
        </w:rPr>
        <w:t xml:space="preserve"> CC</w:t>
      </w:r>
      <w:r w:rsidRPr="00D05C3A">
        <w:rPr>
          <w:rFonts w:ascii="Arial" w:hAnsi="Arial" w:cs="Arial"/>
          <w:sz w:val="18"/>
          <w:szCs w:val="18"/>
          <w:lang w:val="es-CO"/>
        </w:rPr>
        <w:t xml:space="preserve">. </w:t>
      </w:r>
      <w:hyperlink r:id="rId1" w:history="1">
        <w:r w:rsidRPr="00D05C3A">
          <w:rPr>
            <w:rFonts w:ascii="Arial" w:hAnsi="Arial" w:cs="Arial"/>
            <w:sz w:val="18"/>
            <w:szCs w:val="18"/>
            <w:lang w:val="es-CO"/>
          </w:rPr>
          <w:t>SU-499 de 2016</w:t>
        </w:r>
      </w:hyperlink>
      <w:r w:rsidRPr="00D05C3A">
        <w:rPr>
          <w:rFonts w:ascii="Arial" w:hAnsi="Arial" w:cs="Arial"/>
          <w:sz w:val="18"/>
          <w:szCs w:val="18"/>
          <w:lang w:val="es-CO"/>
        </w:rPr>
        <w:t>.</w:t>
      </w:r>
    </w:p>
  </w:footnote>
  <w:footnote w:id="4">
    <w:p w:rsidR="00913EFC" w:rsidRPr="00D05C3A" w:rsidRDefault="00913EFC" w:rsidP="00913EFC">
      <w:pPr>
        <w:pStyle w:val="Textonotapie"/>
        <w:jc w:val="both"/>
        <w:rPr>
          <w:lang w:val="es-CO"/>
        </w:rPr>
      </w:pPr>
      <w:r w:rsidRPr="00D05C3A">
        <w:rPr>
          <w:rStyle w:val="Refdenotaalpie"/>
          <w:rFonts w:ascii="Arial" w:hAnsi="Arial" w:cs="Arial"/>
          <w:sz w:val="18"/>
          <w:szCs w:val="18"/>
        </w:rPr>
        <w:footnoteRef/>
      </w:r>
      <w:r w:rsidRPr="00D05C3A">
        <w:rPr>
          <w:rFonts w:ascii="Arial" w:hAnsi="Arial" w:cs="Arial"/>
          <w:sz w:val="18"/>
          <w:szCs w:val="18"/>
        </w:rPr>
        <w:t xml:space="preserve"> </w:t>
      </w:r>
      <w:r w:rsidRPr="00D05C3A">
        <w:rPr>
          <w:rFonts w:ascii="Arial" w:hAnsi="Arial" w:cs="Arial"/>
          <w:sz w:val="18"/>
          <w:szCs w:val="18"/>
          <w:lang w:val="es-CO"/>
        </w:rPr>
        <w:t>CC. T-203A de 2018 aquí la Corte reitero que: “(…) no le es dable al juez constitucional basarse e</w:t>
      </w:r>
      <w:r w:rsidR="00D05C3A">
        <w:rPr>
          <w:rFonts w:ascii="Arial" w:hAnsi="Arial" w:cs="Arial"/>
          <w:sz w:val="18"/>
          <w:szCs w:val="18"/>
          <w:lang w:val="es-CO"/>
        </w:rPr>
        <w:t>n el carácter prestacional del </w:t>
      </w:r>
      <w:r w:rsidRPr="00D05C3A">
        <w:rPr>
          <w:rFonts w:ascii="Arial" w:hAnsi="Arial" w:cs="Arial"/>
          <w:sz w:val="18"/>
          <w:szCs w:val="18"/>
          <w:lang w:val="es-CO"/>
        </w:rPr>
        <w:t xml:space="preserve">derecho a la vivienda digna o remitirse a posturas antiguas que validaban la conexidad, para evaluar la procedibilidad de la tutela, menos aún, cuando quien lo requiere reviste la condición de sujeto de especial protección, supuesto frente al cual la consideración sobre la </w:t>
      </w:r>
      <w:proofErr w:type="spellStart"/>
      <w:r w:rsidRPr="00D05C3A">
        <w:rPr>
          <w:rFonts w:ascii="Arial" w:hAnsi="Arial" w:cs="Arial"/>
          <w:sz w:val="18"/>
          <w:szCs w:val="18"/>
          <w:lang w:val="es-CO"/>
        </w:rPr>
        <w:t>fundamentalidad</w:t>
      </w:r>
      <w:proofErr w:type="spellEnd"/>
      <w:r w:rsidRPr="00D05C3A">
        <w:rPr>
          <w:rFonts w:ascii="Arial" w:hAnsi="Arial" w:cs="Arial"/>
          <w:sz w:val="18"/>
          <w:szCs w:val="18"/>
          <w:lang w:val="es-CO"/>
        </w:rPr>
        <w:t xml:space="preserve"> del derecho se amplía (…)”. También puede consultar</w:t>
      </w:r>
      <w:r w:rsidR="00D05C3A" w:rsidRPr="00D05C3A">
        <w:rPr>
          <w:rFonts w:ascii="Arial" w:hAnsi="Arial" w:cs="Arial"/>
          <w:sz w:val="18"/>
          <w:szCs w:val="18"/>
          <w:lang w:val="es-CO"/>
        </w:rPr>
        <w:t>se la T-139 de 2017 que refiere</w:t>
      </w:r>
      <w:r w:rsidRPr="00D05C3A">
        <w:rPr>
          <w:rFonts w:ascii="Arial" w:hAnsi="Arial" w:cs="Arial"/>
          <w:sz w:val="18"/>
          <w:szCs w:val="18"/>
          <w:lang w:val="es-CO"/>
        </w:rPr>
        <w:t xml:space="preserve">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B90A27" w:rsidRDefault="005761C8" w:rsidP="00B90A27">
    <w:pPr>
      <w:pStyle w:val="Encabezado"/>
    </w:pPr>
    <w:r w:rsidRPr="00B90A2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3">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6">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7">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9">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0">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9"/>
  </w:num>
  <w:num w:numId="3">
    <w:abstractNumId w:val="0"/>
  </w:num>
  <w:num w:numId="4">
    <w:abstractNumId w:val="7"/>
  </w:num>
  <w:num w:numId="5">
    <w:abstractNumId w:val="4"/>
  </w:num>
  <w:num w:numId="6">
    <w:abstractNumId w:val="6"/>
  </w:num>
  <w:num w:numId="7">
    <w:abstractNumId w:val="8"/>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B268B"/>
    <w:rsid w:val="00261F3E"/>
    <w:rsid w:val="002F4251"/>
    <w:rsid w:val="00301F3A"/>
    <w:rsid w:val="0038676E"/>
    <w:rsid w:val="00410F0B"/>
    <w:rsid w:val="004A6988"/>
    <w:rsid w:val="004E7541"/>
    <w:rsid w:val="005416EE"/>
    <w:rsid w:val="005761C8"/>
    <w:rsid w:val="005D17F4"/>
    <w:rsid w:val="00652C24"/>
    <w:rsid w:val="006919CB"/>
    <w:rsid w:val="006A75E3"/>
    <w:rsid w:val="006F029D"/>
    <w:rsid w:val="00725591"/>
    <w:rsid w:val="00741E1F"/>
    <w:rsid w:val="00765ECF"/>
    <w:rsid w:val="00787A0F"/>
    <w:rsid w:val="007964DD"/>
    <w:rsid w:val="007B1774"/>
    <w:rsid w:val="008E722C"/>
    <w:rsid w:val="009050FA"/>
    <w:rsid w:val="00913EFC"/>
    <w:rsid w:val="00A2103B"/>
    <w:rsid w:val="00A505F5"/>
    <w:rsid w:val="00A566D4"/>
    <w:rsid w:val="00B30EFC"/>
    <w:rsid w:val="00B5632E"/>
    <w:rsid w:val="00B802DE"/>
    <w:rsid w:val="00B90A27"/>
    <w:rsid w:val="00BB4F78"/>
    <w:rsid w:val="00BF6143"/>
    <w:rsid w:val="00CD0B36"/>
    <w:rsid w:val="00CD2108"/>
    <w:rsid w:val="00CE7443"/>
    <w:rsid w:val="00CE76AC"/>
    <w:rsid w:val="00CF0B43"/>
    <w:rsid w:val="00D05C3A"/>
    <w:rsid w:val="00D14515"/>
    <w:rsid w:val="00D5407D"/>
    <w:rsid w:val="00DC5DC6"/>
    <w:rsid w:val="00E8301E"/>
    <w:rsid w:val="00EE071F"/>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CA8FB-148A-40B2-9A02-1A391A92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aliases w:val="Colorful List - Accent 11,Ha,List Paragraph1,lp1"/>
    <w:basedOn w:val="Normal"/>
    <w:link w:val="PrrafodelistaCar"/>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link w:val="Sangradetextonormal"/>
    <w:uiPriority w:val="99"/>
    <w:semiHidden/>
    <w:rsid w:val="00EE071F"/>
    <w:rPr>
      <w:rFonts w:ascii="Times New Roman" w:eastAsia="Times New Roman" w:hAnsi="Times New Roman"/>
      <w:sz w:val="24"/>
      <w:szCs w:val="24"/>
    </w:rPr>
  </w:style>
  <w:style w:type="character" w:customStyle="1" w:styleId="Ttulo3Car">
    <w:name w:val="Título 3 Car"/>
    <w:link w:val="Ttulo3"/>
    <w:rsid w:val="00EE071F"/>
    <w:rPr>
      <w:rFonts w:ascii="Arial" w:eastAsia="Times New Roman" w:hAnsi="Arial" w:cs="Arial"/>
      <w:b/>
      <w:bCs/>
      <w:sz w:val="26"/>
      <w:szCs w:val="26"/>
    </w:rPr>
  </w:style>
  <w:style w:type="character" w:customStyle="1" w:styleId="Ttulo4Car">
    <w:name w:val="Título 4 Car"/>
    <w:link w:val="Ttulo4"/>
    <w:rsid w:val="00EE071F"/>
    <w:rPr>
      <w:rFonts w:ascii="Times New Roman" w:eastAsia="Times New Roman" w:hAnsi="Times New Roman"/>
      <w:b/>
      <w:sz w:val="24"/>
    </w:rPr>
  </w:style>
  <w:style w:type="character" w:customStyle="1" w:styleId="Ttulo5Car">
    <w:name w:val="Título 5 Ca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paragraph" w:styleId="Textonotapie">
    <w:name w:val="footnote text"/>
    <w:aliases w:val="Ref. de nota al pie1,Texto de nota al pie,Footnote Text Char Char Char Char Char,Footnote Text Char Char Char Char,Ref. de nota al pie2,FA Fu,Footnote Text Char Char Char,Footnote Text Char,Ref. de nota al pie3,Ref. de nota al pie4"/>
    <w:basedOn w:val="Normal"/>
    <w:link w:val="TextonotapieCar"/>
    <w:uiPriority w:val="99"/>
    <w:qFormat/>
    <w:rsid w:val="00261F3E"/>
    <w:rPr>
      <w:sz w:val="20"/>
      <w:szCs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Footnote Text Char Char Char Car,Footnote Text Char Car"/>
    <w:basedOn w:val="Fuentedeprrafopredeter"/>
    <w:link w:val="Textonotapie"/>
    <w:uiPriority w:val="99"/>
    <w:rsid w:val="00261F3E"/>
    <w:rPr>
      <w:rFonts w:ascii="Times New Roman" w:eastAsia="Times New Roman" w:hAnsi="Times New Roman"/>
    </w:rPr>
  </w:style>
  <w:style w:type="character" w:styleId="Refdenotaalpie">
    <w:name w:val="footnote reference"/>
    <w:aliases w:val="referencia nota al pie,Ref,de nota al pie,Footnotes refss,Appel note de bas de page,Fago Fußnotenzeichen,Nota a pie,Ref. de nota al pie 2,Footnote symbol,Footnote,Char Car Car Car Ca,R,FC,f,Pie de Página,Texto de nota al pi,BVI fnr,4"/>
    <w:basedOn w:val="Fuentedeprrafopredeter"/>
    <w:uiPriority w:val="99"/>
    <w:qFormat/>
    <w:rsid w:val="00261F3E"/>
    <w:rPr>
      <w:rFonts w:cs="Times New Roman"/>
      <w:vertAlign w:val="superscript"/>
    </w:rPr>
  </w:style>
  <w:style w:type="paragraph" w:styleId="Subttulo">
    <w:name w:val="Subtitle"/>
    <w:basedOn w:val="Normal"/>
    <w:link w:val="SubttuloCar"/>
    <w:qFormat/>
    <w:rsid w:val="00261F3E"/>
    <w:pPr>
      <w:overflowPunct w:val="0"/>
      <w:autoSpaceDE w:val="0"/>
      <w:autoSpaceDN w:val="0"/>
      <w:adjustRightInd w:val="0"/>
      <w:spacing w:after="60"/>
      <w:jc w:val="center"/>
      <w:textAlignment w:val="baseline"/>
    </w:pPr>
    <w:rPr>
      <w:rFonts w:ascii="Arial" w:hAnsi="Arial"/>
      <w:szCs w:val="20"/>
      <w:lang w:val="es-ES_tradnl"/>
    </w:rPr>
  </w:style>
  <w:style w:type="character" w:customStyle="1" w:styleId="SubttuloCar">
    <w:name w:val="Subtítulo Car"/>
    <w:basedOn w:val="Fuentedeprrafopredeter"/>
    <w:link w:val="Subttulo"/>
    <w:rsid w:val="00261F3E"/>
    <w:rPr>
      <w:rFonts w:ascii="Arial" w:eastAsia="Times New Roman" w:hAnsi="Arial"/>
      <w:sz w:val="24"/>
      <w:lang w:val="es-ES_tradnl"/>
    </w:rPr>
  </w:style>
  <w:style w:type="character" w:styleId="Hipervnculo">
    <w:name w:val="Hyperlink"/>
    <w:basedOn w:val="Fuentedeprrafopredeter"/>
    <w:uiPriority w:val="99"/>
    <w:rsid w:val="00913EFC"/>
    <w:rPr>
      <w:rFonts w:cs="Times New Roman"/>
      <w:color w:val="0563C1"/>
      <w:u w:val="single"/>
    </w:rPr>
  </w:style>
  <w:style w:type="character" w:customStyle="1" w:styleId="PrrafodelistaCar">
    <w:name w:val="Párrafo de lista Car"/>
    <w:aliases w:val="Colorful List - Accent 11 Car,Ha Car,List Paragraph1 Car,lp1 Car"/>
    <w:link w:val="Prrafodelista"/>
    <w:uiPriority w:val="34"/>
    <w:locked/>
    <w:rsid w:val="00913EFC"/>
    <w:rPr>
      <w:rFonts w:ascii="Times New Roman" w:eastAsia="Times New Roman" w:hAnsi="Times New Roman"/>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2254</Words>
  <Characters>12398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2019-02-08T19:59:00Z</dcterms:created>
  <dcterms:modified xsi:type="dcterms:W3CDTF">2019-02-12T14:21:00Z</dcterms:modified>
</cp:coreProperties>
</file>