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2A0" w:rsidRPr="009162A0" w:rsidRDefault="009162A0" w:rsidP="009162A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9162A0">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162A0" w:rsidRPr="009162A0" w:rsidRDefault="009162A0" w:rsidP="009162A0">
      <w:pPr>
        <w:jc w:val="both"/>
        <w:rPr>
          <w:rFonts w:ascii="Arial" w:hAnsi="Arial" w:cs="Arial"/>
          <w:lang w:val="es-419"/>
        </w:rPr>
      </w:pPr>
    </w:p>
    <w:p w:rsidR="003A06F6" w:rsidRPr="00A4276D" w:rsidRDefault="009162A0" w:rsidP="003A06F6">
      <w:pPr>
        <w:jc w:val="both"/>
        <w:rPr>
          <w:rFonts w:ascii="Arial" w:hAnsi="Arial" w:cs="Arial"/>
          <w:b/>
          <w:bCs/>
          <w:iCs/>
          <w:lang w:val="es-419" w:eastAsia="fr-FR"/>
        </w:rPr>
      </w:pPr>
      <w:r w:rsidRPr="009162A0">
        <w:rPr>
          <w:rFonts w:ascii="Arial" w:hAnsi="Arial" w:cs="Arial"/>
          <w:b/>
          <w:bCs/>
          <w:iCs/>
          <w:lang w:val="es-419" w:eastAsia="fr-FR"/>
        </w:rPr>
        <w:t>TEMAS:</w:t>
      </w:r>
      <w:r w:rsidRPr="009162A0">
        <w:rPr>
          <w:rFonts w:ascii="Arial" w:hAnsi="Arial" w:cs="Arial"/>
          <w:b/>
          <w:bCs/>
          <w:iCs/>
          <w:lang w:val="es-419" w:eastAsia="fr-FR"/>
        </w:rPr>
        <w:tab/>
      </w:r>
      <w:r w:rsidR="003A06F6">
        <w:rPr>
          <w:rFonts w:ascii="Arial" w:hAnsi="Arial" w:cs="Arial"/>
          <w:b/>
          <w:bCs/>
          <w:iCs/>
          <w:lang w:val="es-CO" w:eastAsia="fr-FR"/>
        </w:rPr>
        <w:t>NULIDAD / ARTÍCULO 121 DEL CÓDIGO GENERAL DEL PROCESO / EL TÉRMINO PAR DICTAR SENTENCIA ES OBJETIVO Y LA NULIDAD OPERA DE PLENO DERECHO.</w:t>
      </w:r>
    </w:p>
    <w:p w:rsidR="003A06F6" w:rsidRPr="00A4276D" w:rsidRDefault="003A06F6" w:rsidP="003A06F6">
      <w:pPr>
        <w:jc w:val="both"/>
        <w:rPr>
          <w:rFonts w:ascii="Arial" w:hAnsi="Arial" w:cs="Arial"/>
          <w:lang w:val="es-419"/>
        </w:rPr>
      </w:pPr>
    </w:p>
    <w:p w:rsidR="003A06F6" w:rsidRDefault="003A06F6" w:rsidP="003A06F6">
      <w:pPr>
        <w:jc w:val="both"/>
        <w:rPr>
          <w:rFonts w:ascii="Arial" w:hAnsi="Arial" w:cs="Arial"/>
          <w:lang w:val="es-419"/>
        </w:rPr>
      </w:pPr>
      <w:r>
        <w:rPr>
          <w:rFonts w:ascii="Arial" w:hAnsi="Arial" w:cs="Arial"/>
          <w:lang w:val="es-CO"/>
        </w:rPr>
        <w:t xml:space="preserve">… </w:t>
      </w:r>
      <w:r w:rsidRPr="002D7DC7">
        <w:rPr>
          <w:rFonts w:ascii="Arial" w:hAnsi="Arial" w:cs="Arial"/>
          <w:lang w:val="es-419"/>
        </w:rPr>
        <w:t>frente a la nulidad que aquí se advierte, consagrada en el artículo 121, CGP, debe reseñarse, al tenor de tesis mayoritaria expuesta en reciente jurisprudencia de la CSJ  (Que recogió lo expuesto en la STC-21350-2017), que son inoperantes los artículos 134 y 136, CGP, esto es, que puede invocarse en cualquier momento y es insaneable por la intervención de las partes sin alegarla o por su expresa convalidación: “(…) porque esto contradice el querer del legislador, dirigido a imponer al estamento jurisdiccional la obligación de dictar sentencia en un lapso perentorio, al margen de las circunstancias que rodeen el litigio e, incluso, de las vicisitudes propias de la administración de justicia, desde su punto de vista institucional (…)”.</w:t>
      </w:r>
    </w:p>
    <w:p w:rsidR="003A06F6" w:rsidRDefault="003A06F6" w:rsidP="003A06F6">
      <w:pPr>
        <w:jc w:val="both"/>
        <w:rPr>
          <w:rFonts w:ascii="Arial" w:hAnsi="Arial" w:cs="Arial"/>
          <w:lang w:val="es-419"/>
        </w:rPr>
      </w:pPr>
    </w:p>
    <w:p w:rsidR="003A06F6" w:rsidRPr="002D7DC7" w:rsidRDefault="003A06F6" w:rsidP="003A06F6">
      <w:pPr>
        <w:jc w:val="both"/>
        <w:rPr>
          <w:rFonts w:ascii="Arial" w:hAnsi="Arial" w:cs="Arial"/>
          <w:lang w:val="es-CO"/>
        </w:rPr>
      </w:pPr>
      <w:r w:rsidRPr="002D7DC7">
        <w:rPr>
          <w:rFonts w:ascii="Arial" w:hAnsi="Arial" w:cs="Arial"/>
          <w:lang w:val="es-419"/>
        </w:rPr>
        <w:t>Al tenor del ya citado artículo 121, CGP, para dictar sentencia de primera o única instancia, se cuenta con el plazo de un (1) año, contado desde la notificación del auto admisorio de la demanda (Entiéndase también el que libra mandamiento de pago) a la parte demandada (Ejecutada), salvo que se hubiere interrumpido o suspendido el proceso por una causa legal. Ese término podrá prorrogarse, solo por una vez, hasta por seis (6) meses. Vencido este plazo, sin que se hubiere decidido de fondo, el funcionario perderá competencia.</w:t>
      </w:r>
      <w:r>
        <w:rPr>
          <w:rFonts w:ascii="Arial" w:hAnsi="Arial" w:cs="Arial"/>
          <w:lang w:val="es-CO"/>
        </w:rPr>
        <w:t xml:space="preserve"> (…)</w:t>
      </w:r>
    </w:p>
    <w:p w:rsidR="003A06F6" w:rsidRDefault="003A06F6" w:rsidP="003A06F6">
      <w:pPr>
        <w:jc w:val="both"/>
        <w:rPr>
          <w:rFonts w:ascii="Arial" w:hAnsi="Arial" w:cs="Arial"/>
          <w:lang w:val="es-419"/>
        </w:rPr>
      </w:pPr>
    </w:p>
    <w:p w:rsidR="003A06F6" w:rsidRDefault="003A06F6" w:rsidP="003A06F6">
      <w:pPr>
        <w:jc w:val="both"/>
        <w:rPr>
          <w:rFonts w:ascii="Arial" w:hAnsi="Arial" w:cs="Arial"/>
          <w:lang w:val="es-419"/>
        </w:rPr>
      </w:pPr>
      <w:r w:rsidRPr="00962AA7">
        <w:rPr>
          <w:rFonts w:ascii="Arial" w:hAnsi="Arial" w:cs="Arial"/>
          <w:lang w:val="es-419"/>
        </w:rPr>
        <w:t>La interpretación teleológica y literal de la norma hecha por la CSJ  ha señalado, reiteradamente, en sede de tutela (Criterio auxiliar) que: (i) El plazo para dictar la sentencia corre de forma objetiva, salvo interrupción o suspensión del litigio; y, (ii) La nulidad opera de pleno derecho, por manera que “(…)  SURTE EFECTOS SIN NECESIDAD DE RECONOCIMIENTO, de suerte que no puede recobrar fuerza, ni siquiera por el paso del tiempo o la inacción de las partes, DE ALLÍ QUE SE EXCLUYA LA APLICACIÓN DEL PRINCIPIO DE INVALIDACIÓN (Sic) (Debe entenderse convalidación) O SANEAMIENTO (…)”</w:t>
      </w:r>
    </w:p>
    <w:p w:rsidR="009162A0" w:rsidRPr="009162A0" w:rsidRDefault="009162A0" w:rsidP="009162A0">
      <w:pPr>
        <w:jc w:val="both"/>
        <w:rPr>
          <w:rFonts w:ascii="Arial" w:hAnsi="Arial" w:cs="Arial"/>
          <w:lang w:val="es-419"/>
        </w:rPr>
      </w:pPr>
    </w:p>
    <w:p w:rsidR="009162A0" w:rsidRPr="009162A0" w:rsidRDefault="009162A0" w:rsidP="009162A0">
      <w:pPr>
        <w:jc w:val="both"/>
        <w:rPr>
          <w:rFonts w:ascii="Arial" w:hAnsi="Arial" w:cs="Arial"/>
          <w:lang w:val="es-419"/>
        </w:rPr>
      </w:pPr>
    </w:p>
    <w:p w:rsidR="009162A0" w:rsidRPr="009162A0" w:rsidRDefault="009162A0" w:rsidP="009162A0">
      <w:pPr>
        <w:jc w:val="both"/>
        <w:rPr>
          <w:rFonts w:ascii="Arial" w:hAnsi="Arial" w:cs="Arial"/>
          <w:lang w:val="es-419"/>
        </w:rPr>
      </w:pPr>
    </w:p>
    <w:p w:rsidR="00DE1651" w:rsidRPr="00311068" w:rsidRDefault="00DE1651" w:rsidP="00DE1651">
      <w:pPr>
        <w:pStyle w:val="Sinespaciado1"/>
        <w:spacing w:line="360" w:lineRule="auto"/>
        <w:jc w:val="center"/>
        <w:rPr>
          <w:rFonts w:ascii="Georgia" w:hAnsi="Georgia" w:cs="Arial"/>
          <w:w w:val="140"/>
          <w:sz w:val="14"/>
          <w:szCs w:val="14"/>
          <w:lang w:val="es-419"/>
        </w:rPr>
      </w:pPr>
      <w:r w:rsidRPr="00311068">
        <w:rPr>
          <w:rFonts w:ascii="Georgia" w:hAnsi="Georgia"/>
          <w:noProof/>
        </w:rPr>
        <w:drawing>
          <wp:anchor distT="0" distB="0" distL="114300" distR="114300" simplePos="0" relativeHeight="251659264" behindDoc="0" locked="0" layoutInCell="1" allowOverlap="1" wp14:anchorId="5ABCD6FB" wp14:editId="19904536">
            <wp:simplePos x="0" y="0"/>
            <wp:positionH relativeFrom="column">
              <wp:posOffset>2813050</wp:posOffset>
            </wp:positionH>
            <wp:positionV relativeFrom="paragraph">
              <wp:posOffset>-78105</wp:posOffset>
            </wp:positionV>
            <wp:extent cx="363220" cy="3613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rsidR="00DE1651" w:rsidRPr="00311068" w:rsidRDefault="00DE1651" w:rsidP="00DE1651">
      <w:pPr>
        <w:pStyle w:val="Sinespaciado1"/>
        <w:spacing w:line="360" w:lineRule="auto"/>
        <w:jc w:val="center"/>
        <w:rPr>
          <w:rFonts w:ascii="Georgia" w:hAnsi="Georgia" w:cs="Arial"/>
          <w:w w:val="140"/>
          <w:sz w:val="14"/>
          <w:szCs w:val="14"/>
          <w:lang w:val="es-419"/>
        </w:rPr>
      </w:pPr>
    </w:p>
    <w:p w:rsidR="00DE1651" w:rsidRPr="00311068" w:rsidRDefault="00DE1651" w:rsidP="00DE1651">
      <w:pPr>
        <w:pStyle w:val="Sinespaciado1"/>
        <w:spacing w:line="360" w:lineRule="auto"/>
        <w:jc w:val="center"/>
        <w:rPr>
          <w:rFonts w:ascii="Georgia" w:hAnsi="Georgia" w:cs="Arial"/>
          <w:w w:val="140"/>
          <w:sz w:val="14"/>
          <w:szCs w:val="14"/>
          <w:lang w:val="es-419"/>
        </w:rPr>
      </w:pPr>
      <w:r w:rsidRPr="00311068">
        <w:rPr>
          <w:rFonts w:ascii="Georgia" w:hAnsi="Georgia" w:cs="Arial"/>
          <w:w w:val="140"/>
          <w:sz w:val="14"/>
          <w:szCs w:val="14"/>
          <w:lang w:val="es-419"/>
        </w:rPr>
        <w:t>REPUBLICA DE COLOMBIA</w:t>
      </w:r>
    </w:p>
    <w:p w:rsidR="00DE1651" w:rsidRPr="00311068" w:rsidRDefault="00DE1651" w:rsidP="00DE1651">
      <w:pPr>
        <w:pStyle w:val="Sinespaciado1"/>
        <w:tabs>
          <w:tab w:val="center" w:pos="4987"/>
          <w:tab w:val="left" w:pos="8449"/>
        </w:tabs>
        <w:spacing w:line="360" w:lineRule="auto"/>
        <w:jc w:val="center"/>
        <w:rPr>
          <w:rFonts w:ascii="Georgia" w:hAnsi="Georgia" w:cs="Arial"/>
          <w:w w:val="140"/>
          <w:lang w:val="es-419"/>
        </w:rPr>
      </w:pPr>
      <w:r w:rsidRPr="00311068">
        <w:rPr>
          <w:rFonts w:ascii="Georgia" w:hAnsi="Georgia" w:cs="Arial"/>
          <w:w w:val="140"/>
          <w:sz w:val="14"/>
          <w:szCs w:val="14"/>
          <w:lang w:val="es-419"/>
        </w:rPr>
        <w:t>RAMA JUDICIAL DEL PODER PÚBLICO</w:t>
      </w:r>
    </w:p>
    <w:p w:rsidR="00DE1651" w:rsidRPr="00311068" w:rsidRDefault="00DE1651" w:rsidP="00DE1651">
      <w:pPr>
        <w:pStyle w:val="Sinespaciado"/>
        <w:spacing w:line="360" w:lineRule="auto"/>
        <w:jc w:val="center"/>
        <w:rPr>
          <w:rFonts w:ascii="Georgia" w:hAnsi="Georgia" w:cs="Arial"/>
          <w:w w:val="140"/>
          <w:sz w:val="16"/>
          <w:szCs w:val="16"/>
          <w:lang w:val="es-419"/>
        </w:rPr>
      </w:pPr>
      <w:r w:rsidRPr="00311068">
        <w:rPr>
          <w:rFonts w:ascii="Georgia" w:hAnsi="Georgia" w:cs="Arial"/>
          <w:w w:val="140"/>
          <w:sz w:val="18"/>
          <w:szCs w:val="18"/>
          <w:lang w:val="es-419"/>
        </w:rPr>
        <w:t>T</w:t>
      </w:r>
      <w:r w:rsidRPr="00311068">
        <w:rPr>
          <w:rFonts w:ascii="Georgia" w:hAnsi="Georgia" w:cs="Arial"/>
          <w:w w:val="140"/>
          <w:sz w:val="16"/>
          <w:szCs w:val="16"/>
          <w:lang w:val="es-419"/>
        </w:rPr>
        <w:t>RIBUNAL</w:t>
      </w:r>
      <w:r w:rsidRPr="00311068">
        <w:rPr>
          <w:rFonts w:ascii="Georgia" w:hAnsi="Georgia" w:cs="Arial"/>
          <w:w w:val="140"/>
          <w:sz w:val="18"/>
          <w:szCs w:val="18"/>
          <w:lang w:val="es-419"/>
        </w:rPr>
        <w:t xml:space="preserve"> S</w:t>
      </w:r>
      <w:r w:rsidRPr="00311068">
        <w:rPr>
          <w:rFonts w:ascii="Georgia" w:hAnsi="Georgia" w:cs="Arial"/>
          <w:w w:val="140"/>
          <w:sz w:val="16"/>
          <w:szCs w:val="16"/>
          <w:lang w:val="es-419"/>
        </w:rPr>
        <w:t xml:space="preserve">UPERIOR DE </w:t>
      </w:r>
      <w:r w:rsidRPr="00311068">
        <w:rPr>
          <w:rFonts w:ascii="Georgia" w:hAnsi="Georgia" w:cs="Arial"/>
          <w:w w:val="140"/>
          <w:sz w:val="18"/>
          <w:szCs w:val="18"/>
          <w:lang w:val="es-419"/>
        </w:rPr>
        <w:t>D</w:t>
      </w:r>
      <w:r w:rsidRPr="00311068">
        <w:rPr>
          <w:rFonts w:ascii="Georgia" w:hAnsi="Georgia" w:cs="Arial"/>
          <w:w w:val="140"/>
          <w:sz w:val="16"/>
          <w:szCs w:val="16"/>
          <w:lang w:val="es-419"/>
        </w:rPr>
        <w:t>ISTRITO</w:t>
      </w:r>
      <w:r w:rsidRPr="00311068">
        <w:rPr>
          <w:rFonts w:ascii="Georgia" w:hAnsi="Georgia" w:cs="Arial"/>
          <w:w w:val="140"/>
          <w:sz w:val="18"/>
          <w:szCs w:val="18"/>
          <w:lang w:val="es-419"/>
        </w:rPr>
        <w:t xml:space="preserve"> J</w:t>
      </w:r>
      <w:r w:rsidRPr="00311068">
        <w:rPr>
          <w:rFonts w:ascii="Georgia" w:hAnsi="Georgia" w:cs="Arial"/>
          <w:w w:val="140"/>
          <w:sz w:val="16"/>
          <w:szCs w:val="16"/>
          <w:lang w:val="es-419"/>
        </w:rPr>
        <w:t>UDICIAL</w:t>
      </w:r>
    </w:p>
    <w:p w:rsidR="00DE1651" w:rsidRPr="00311068" w:rsidRDefault="00DE1651" w:rsidP="00DE1651">
      <w:pPr>
        <w:pStyle w:val="Sinespaciado"/>
        <w:spacing w:line="360" w:lineRule="auto"/>
        <w:jc w:val="center"/>
        <w:rPr>
          <w:rFonts w:ascii="Georgia" w:hAnsi="Georgia" w:cs="Arial"/>
          <w:w w:val="140"/>
          <w:sz w:val="16"/>
          <w:szCs w:val="16"/>
          <w:lang w:val="es-419"/>
        </w:rPr>
      </w:pPr>
      <w:r w:rsidRPr="00311068">
        <w:rPr>
          <w:rFonts w:ascii="Georgia" w:hAnsi="Georgia" w:cs="Arial"/>
          <w:w w:val="140"/>
          <w:sz w:val="18"/>
          <w:szCs w:val="16"/>
          <w:lang w:val="es-419"/>
        </w:rPr>
        <w:t>S</w:t>
      </w:r>
      <w:r w:rsidRPr="00311068">
        <w:rPr>
          <w:rFonts w:ascii="Georgia" w:hAnsi="Georgia" w:cs="Arial"/>
          <w:w w:val="140"/>
          <w:sz w:val="16"/>
          <w:szCs w:val="14"/>
          <w:lang w:val="es-419"/>
        </w:rPr>
        <w:t xml:space="preserve">ALA </w:t>
      </w:r>
      <w:r w:rsidRPr="00311068">
        <w:rPr>
          <w:rFonts w:ascii="Georgia" w:hAnsi="Georgia" w:cs="Arial"/>
          <w:w w:val="140"/>
          <w:sz w:val="18"/>
          <w:szCs w:val="18"/>
          <w:lang w:val="es-419"/>
        </w:rPr>
        <w:t>U</w:t>
      </w:r>
      <w:r w:rsidRPr="00311068">
        <w:rPr>
          <w:rFonts w:ascii="Georgia" w:hAnsi="Georgia" w:cs="Arial"/>
          <w:w w:val="140"/>
          <w:sz w:val="16"/>
          <w:szCs w:val="16"/>
          <w:lang w:val="es-419"/>
        </w:rPr>
        <w:t>NITARIA</w:t>
      </w:r>
      <w:r w:rsidRPr="00311068">
        <w:rPr>
          <w:rFonts w:ascii="Georgia" w:hAnsi="Georgia" w:cs="Arial"/>
          <w:w w:val="140"/>
          <w:sz w:val="14"/>
          <w:szCs w:val="14"/>
          <w:lang w:val="es-419"/>
        </w:rPr>
        <w:t xml:space="preserve"> </w:t>
      </w:r>
      <w:r w:rsidRPr="00311068">
        <w:rPr>
          <w:rFonts w:ascii="Georgia" w:hAnsi="Georgia" w:cs="Arial"/>
          <w:w w:val="140"/>
          <w:sz w:val="18"/>
          <w:szCs w:val="16"/>
          <w:lang w:val="es-419"/>
        </w:rPr>
        <w:t>C</w:t>
      </w:r>
      <w:r w:rsidRPr="00311068">
        <w:rPr>
          <w:rFonts w:ascii="Georgia" w:hAnsi="Georgia" w:cs="Arial"/>
          <w:w w:val="140"/>
          <w:sz w:val="16"/>
          <w:szCs w:val="16"/>
          <w:lang w:val="es-419"/>
        </w:rPr>
        <w:t xml:space="preserve">IVIL </w:t>
      </w:r>
      <w:r w:rsidRPr="00311068">
        <w:rPr>
          <w:rFonts w:ascii="Georgia" w:hAnsi="Georgia" w:cs="Arial"/>
          <w:w w:val="140"/>
          <w:sz w:val="14"/>
          <w:szCs w:val="14"/>
          <w:lang w:val="es-419"/>
        </w:rPr>
        <w:t xml:space="preserve">– </w:t>
      </w:r>
      <w:r w:rsidRPr="00311068">
        <w:rPr>
          <w:rFonts w:ascii="Georgia" w:hAnsi="Georgia" w:cs="Arial"/>
          <w:w w:val="140"/>
          <w:sz w:val="18"/>
          <w:szCs w:val="16"/>
          <w:lang w:val="es-419"/>
        </w:rPr>
        <w:t>F</w:t>
      </w:r>
      <w:r w:rsidRPr="00311068">
        <w:rPr>
          <w:rFonts w:ascii="Georgia" w:hAnsi="Georgia" w:cs="Arial"/>
          <w:w w:val="140"/>
          <w:sz w:val="16"/>
          <w:szCs w:val="16"/>
          <w:lang w:val="es-419"/>
        </w:rPr>
        <w:t xml:space="preserve">AMILIA – </w:t>
      </w:r>
      <w:r w:rsidRPr="00311068">
        <w:rPr>
          <w:rFonts w:ascii="Georgia" w:hAnsi="Georgia" w:cs="Arial"/>
          <w:w w:val="140"/>
          <w:sz w:val="18"/>
          <w:szCs w:val="16"/>
          <w:lang w:val="es-419"/>
        </w:rPr>
        <w:t>D</w:t>
      </w:r>
      <w:r w:rsidRPr="00311068">
        <w:rPr>
          <w:rFonts w:ascii="Georgia" w:hAnsi="Georgia" w:cs="Arial"/>
          <w:w w:val="140"/>
          <w:sz w:val="16"/>
          <w:szCs w:val="16"/>
          <w:lang w:val="es-419"/>
        </w:rPr>
        <w:t xml:space="preserve">ISTRITO DE </w:t>
      </w:r>
      <w:r w:rsidRPr="00311068">
        <w:rPr>
          <w:rFonts w:ascii="Georgia" w:hAnsi="Georgia" w:cs="Arial"/>
          <w:w w:val="140"/>
          <w:sz w:val="18"/>
          <w:szCs w:val="16"/>
          <w:lang w:val="es-419"/>
        </w:rPr>
        <w:t>P</w:t>
      </w:r>
      <w:r w:rsidRPr="00311068">
        <w:rPr>
          <w:rFonts w:ascii="Georgia" w:hAnsi="Georgia" w:cs="Arial"/>
          <w:w w:val="140"/>
          <w:sz w:val="16"/>
          <w:szCs w:val="16"/>
          <w:lang w:val="es-419"/>
        </w:rPr>
        <w:t>EREIRA</w:t>
      </w:r>
    </w:p>
    <w:p w:rsidR="00DE1651" w:rsidRPr="00311068" w:rsidRDefault="00DE1651" w:rsidP="00DE1651">
      <w:pPr>
        <w:pStyle w:val="Sinespaciado"/>
        <w:spacing w:line="360" w:lineRule="auto"/>
        <w:jc w:val="center"/>
        <w:rPr>
          <w:rFonts w:ascii="Georgia" w:hAnsi="Georgia" w:cs="Arial"/>
          <w:w w:val="140"/>
          <w:sz w:val="16"/>
          <w:szCs w:val="16"/>
          <w:lang w:val="es-419"/>
        </w:rPr>
      </w:pPr>
      <w:r w:rsidRPr="00311068">
        <w:rPr>
          <w:rFonts w:ascii="Georgia" w:hAnsi="Georgia" w:cs="Arial"/>
          <w:w w:val="140"/>
          <w:sz w:val="18"/>
          <w:szCs w:val="18"/>
          <w:lang w:val="es-419"/>
        </w:rPr>
        <w:t>D</w:t>
      </w:r>
      <w:r w:rsidRPr="00311068">
        <w:rPr>
          <w:rFonts w:ascii="Georgia" w:hAnsi="Georgia" w:cs="Arial"/>
          <w:w w:val="140"/>
          <w:sz w:val="16"/>
          <w:szCs w:val="16"/>
          <w:lang w:val="es-419"/>
        </w:rPr>
        <w:t>EPARTAMENTO DEL</w:t>
      </w:r>
      <w:r w:rsidRPr="00311068">
        <w:rPr>
          <w:rFonts w:ascii="Georgia" w:hAnsi="Georgia" w:cs="Arial"/>
          <w:w w:val="140"/>
          <w:sz w:val="14"/>
          <w:szCs w:val="14"/>
          <w:lang w:val="es-419"/>
        </w:rPr>
        <w:t xml:space="preserve"> </w:t>
      </w:r>
      <w:r w:rsidRPr="00311068">
        <w:rPr>
          <w:rFonts w:ascii="Georgia" w:hAnsi="Georgia" w:cs="Arial"/>
          <w:w w:val="140"/>
          <w:sz w:val="18"/>
          <w:szCs w:val="16"/>
          <w:lang w:val="es-419"/>
        </w:rPr>
        <w:t>R</w:t>
      </w:r>
      <w:r w:rsidRPr="00311068">
        <w:rPr>
          <w:rFonts w:ascii="Georgia" w:hAnsi="Georgia" w:cs="Arial"/>
          <w:w w:val="140"/>
          <w:sz w:val="16"/>
          <w:szCs w:val="16"/>
          <w:lang w:val="es-419"/>
        </w:rPr>
        <w:t xml:space="preserve">ISARALDA </w:t>
      </w:r>
    </w:p>
    <w:p w:rsidR="00DE1651" w:rsidRPr="00311068" w:rsidRDefault="00DE1651" w:rsidP="00DE1651">
      <w:pPr>
        <w:spacing w:line="360" w:lineRule="auto"/>
        <w:jc w:val="center"/>
        <w:rPr>
          <w:rFonts w:ascii="Georgia" w:hAnsi="Georgia" w:cs="Arial"/>
          <w:b/>
          <w:bCs/>
          <w:sz w:val="14"/>
          <w:szCs w:val="24"/>
          <w:lang w:val="es-419"/>
        </w:rPr>
      </w:pPr>
    </w:p>
    <w:p w:rsidR="00DE1651" w:rsidRPr="00311068" w:rsidRDefault="00DE1651" w:rsidP="009162A0">
      <w:pPr>
        <w:pStyle w:val="Textoindependiente"/>
        <w:tabs>
          <w:tab w:val="clear" w:pos="1416"/>
          <w:tab w:val="left" w:pos="1560"/>
        </w:tabs>
        <w:spacing w:line="240" w:lineRule="auto"/>
        <w:rPr>
          <w:rFonts w:ascii="Georgia" w:hAnsi="Georgia" w:cs="Arial"/>
          <w:sz w:val="22"/>
          <w:lang w:val="es-419"/>
        </w:rPr>
      </w:pPr>
      <w:r w:rsidRPr="00311068">
        <w:rPr>
          <w:rFonts w:ascii="Georgia" w:hAnsi="Georgia" w:cs="Arial"/>
          <w:sz w:val="22"/>
          <w:lang w:val="es-419"/>
        </w:rPr>
        <w:tab/>
      </w:r>
      <w:r w:rsidRPr="00311068">
        <w:rPr>
          <w:rFonts w:ascii="Georgia" w:hAnsi="Georgia" w:cs="Arial"/>
          <w:sz w:val="22"/>
          <w:lang w:val="es-419"/>
        </w:rPr>
        <w:tab/>
        <w:t>Asunto</w:t>
      </w:r>
      <w:r w:rsidRPr="00311068">
        <w:rPr>
          <w:rFonts w:ascii="Georgia" w:hAnsi="Georgia" w:cs="Arial"/>
          <w:sz w:val="22"/>
          <w:lang w:val="es-419"/>
        </w:rPr>
        <w:tab/>
      </w:r>
      <w:r w:rsidRPr="00311068">
        <w:rPr>
          <w:rFonts w:ascii="Georgia" w:hAnsi="Georgia" w:cs="Arial"/>
          <w:sz w:val="22"/>
          <w:lang w:val="es-419"/>
        </w:rPr>
        <w:tab/>
        <w:t>: Decide nulidad procesal</w:t>
      </w:r>
    </w:p>
    <w:p w:rsidR="00DE1651" w:rsidRPr="00311068" w:rsidRDefault="00DE1651" w:rsidP="009162A0">
      <w:pPr>
        <w:pStyle w:val="Textoindependiente"/>
        <w:tabs>
          <w:tab w:val="clear" w:pos="1416"/>
          <w:tab w:val="left" w:pos="1560"/>
        </w:tabs>
        <w:spacing w:line="240" w:lineRule="auto"/>
        <w:rPr>
          <w:rFonts w:ascii="Georgia" w:hAnsi="Georgia" w:cs="Arial"/>
          <w:sz w:val="22"/>
          <w:lang w:val="es-419"/>
        </w:rPr>
      </w:pPr>
      <w:r w:rsidRPr="00311068">
        <w:rPr>
          <w:rFonts w:ascii="Georgia" w:hAnsi="Georgia" w:cs="Arial"/>
          <w:sz w:val="22"/>
          <w:lang w:val="es-419"/>
        </w:rPr>
        <w:tab/>
      </w:r>
      <w:r w:rsidRPr="00311068">
        <w:rPr>
          <w:rFonts w:ascii="Georgia" w:hAnsi="Georgia" w:cs="Arial"/>
          <w:sz w:val="22"/>
          <w:lang w:val="es-419"/>
        </w:rPr>
        <w:tab/>
        <w:t>Tipo de proceso</w:t>
      </w:r>
      <w:r w:rsidRPr="00311068">
        <w:rPr>
          <w:rFonts w:ascii="Georgia" w:hAnsi="Georgia" w:cs="Arial"/>
          <w:sz w:val="22"/>
          <w:lang w:val="es-419"/>
        </w:rPr>
        <w:tab/>
        <w:t>: Divisorio</w:t>
      </w:r>
    </w:p>
    <w:p w:rsidR="00DE1651" w:rsidRPr="00311068" w:rsidRDefault="00DE1651" w:rsidP="009162A0">
      <w:pPr>
        <w:pStyle w:val="Textoindependiente"/>
        <w:tabs>
          <w:tab w:val="clear" w:pos="1416"/>
          <w:tab w:val="left" w:pos="1560"/>
        </w:tabs>
        <w:spacing w:line="240" w:lineRule="auto"/>
        <w:rPr>
          <w:rFonts w:ascii="Georgia" w:hAnsi="Georgia" w:cs="Arial"/>
          <w:sz w:val="22"/>
          <w:lang w:val="es-419"/>
        </w:rPr>
      </w:pPr>
      <w:r w:rsidRPr="00311068">
        <w:rPr>
          <w:rFonts w:ascii="Georgia" w:hAnsi="Georgia" w:cs="Arial"/>
          <w:sz w:val="22"/>
          <w:lang w:val="es-419"/>
        </w:rPr>
        <w:tab/>
      </w:r>
      <w:r w:rsidRPr="00311068">
        <w:rPr>
          <w:rFonts w:ascii="Georgia" w:hAnsi="Georgia" w:cs="Arial"/>
          <w:sz w:val="22"/>
          <w:lang w:val="es-419"/>
        </w:rPr>
        <w:tab/>
        <w:t>Demandante</w:t>
      </w:r>
      <w:r w:rsidRPr="00311068">
        <w:rPr>
          <w:rFonts w:ascii="Georgia" w:hAnsi="Georgia" w:cs="Arial"/>
          <w:sz w:val="22"/>
          <w:lang w:val="es-419"/>
        </w:rPr>
        <w:tab/>
      </w:r>
      <w:r w:rsidRPr="00311068">
        <w:rPr>
          <w:rFonts w:ascii="Georgia" w:hAnsi="Georgia" w:cs="Arial"/>
          <w:sz w:val="22"/>
          <w:lang w:val="es-419"/>
        </w:rPr>
        <w:tab/>
        <w:t>: Laura Victoria Rendón Castaño</w:t>
      </w:r>
    </w:p>
    <w:p w:rsidR="00DE1651" w:rsidRPr="00311068" w:rsidRDefault="00DE1651" w:rsidP="009162A0">
      <w:pPr>
        <w:pStyle w:val="Textoindependiente"/>
        <w:tabs>
          <w:tab w:val="clear" w:pos="1416"/>
          <w:tab w:val="left" w:pos="1560"/>
        </w:tabs>
        <w:spacing w:line="240" w:lineRule="auto"/>
        <w:rPr>
          <w:rFonts w:ascii="Georgia" w:hAnsi="Georgia" w:cs="Arial"/>
          <w:sz w:val="22"/>
          <w:lang w:val="es-419"/>
        </w:rPr>
      </w:pPr>
      <w:r w:rsidRPr="00311068">
        <w:rPr>
          <w:rFonts w:ascii="Georgia" w:hAnsi="Georgia" w:cs="Arial"/>
          <w:sz w:val="22"/>
          <w:lang w:val="es-419"/>
        </w:rPr>
        <w:tab/>
      </w:r>
      <w:r w:rsidRPr="00311068">
        <w:rPr>
          <w:rFonts w:ascii="Georgia" w:hAnsi="Georgia" w:cs="Arial"/>
          <w:sz w:val="22"/>
          <w:lang w:val="es-419"/>
        </w:rPr>
        <w:tab/>
        <w:t>Demandados</w:t>
      </w:r>
      <w:r w:rsidRPr="00311068">
        <w:rPr>
          <w:rFonts w:ascii="Georgia" w:hAnsi="Georgia" w:cs="Arial"/>
          <w:sz w:val="22"/>
          <w:lang w:val="es-419"/>
        </w:rPr>
        <w:tab/>
      </w:r>
      <w:r w:rsidRPr="00311068">
        <w:rPr>
          <w:rFonts w:ascii="Georgia" w:hAnsi="Georgia" w:cs="Arial"/>
          <w:sz w:val="22"/>
          <w:lang w:val="es-419"/>
        </w:rPr>
        <w:tab/>
        <w:t xml:space="preserve">: Luis Eduardo Arango Rendón y otros </w:t>
      </w:r>
    </w:p>
    <w:p w:rsidR="00DE1651" w:rsidRPr="00311068" w:rsidRDefault="00DE1651" w:rsidP="009162A0">
      <w:pPr>
        <w:pStyle w:val="Textoindependiente"/>
        <w:tabs>
          <w:tab w:val="clear" w:pos="1416"/>
          <w:tab w:val="left" w:pos="1560"/>
        </w:tabs>
        <w:spacing w:line="240" w:lineRule="auto"/>
        <w:rPr>
          <w:rFonts w:ascii="Georgia" w:hAnsi="Georgia" w:cs="Arial"/>
          <w:sz w:val="22"/>
          <w:lang w:val="es-419"/>
        </w:rPr>
      </w:pPr>
      <w:r w:rsidRPr="00311068">
        <w:rPr>
          <w:rFonts w:ascii="Georgia" w:hAnsi="Georgia" w:cs="Arial"/>
          <w:sz w:val="22"/>
          <w:lang w:val="es-419"/>
        </w:rPr>
        <w:tab/>
      </w:r>
      <w:r w:rsidRPr="00311068">
        <w:rPr>
          <w:rFonts w:ascii="Georgia" w:hAnsi="Georgia" w:cs="Arial"/>
          <w:sz w:val="22"/>
          <w:lang w:val="es-419"/>
        </w:rPr>
        <w:tab/>
        <w:t xml:space="preserve">Procedencia </w:t>
      </w:r>
      <w:r w:rsidRPr="00311068">
        <w:rPr>
          <w:rFonts w:ascii="Georgia" w:hAnsi="Georgia" w:cs="Arial"/>
          <w:sz w:val="22"/>
          <w:lang w:val="es-419"/>
        </w:rPr>
        <w:tab/>
      </w:r>
      <w:r w:rsidRPr="00311068">
        <w:rPr>
          <w:rFonts w:ascii="Georgia" w:hAnsi="Georgia" w:cs="Arial"/>
          <w:sz w:val="22"/>
          <w:lang w:val="es-419"/>
        </w:rPr>
        <w:tab/>
        <w:t>: Juzgado Civil del Circuito de Dosquebradas</w:t>
      </w:r>
    </w:p>
    <w:p w:rsidR="00DE1651" w:rsidRPr="00311068" w:rsidRDefault="00DE1651" w:rsidP="009162A0">
      <w:pPr>
        <w:pStyle w:val="Textoindependiente"/>
        <w:tabs>
          <w:tab w:val="clear" w:pos="1416"/>
          <w:tab w:val="left" w:pos="1560"/>
        </w:tabs>
        <w:spacing w:line="240" w:lineRule="auto"/>
        <w:rPr>
          <w:rFonts w:ascii="Georgia" w:hAnsi="Georgia" w:cs="Arial"/>
          <w:sz w:val="22"/>
          <w:lang w:val="es-419"/>
        </w:rPr>
      </w:pPr>
      <w:r w:rsidRPr="00311068">
        <w:rPr>
          <w:rFonts w:ascii="Georgia" w:hAnsi="Georgia" w:cs="Arial"/>
          <w:sz w:val="22"/>
          <w:lang w:val="es-419"/>
        </w:rPr>
        <w:tab/>
      </w:r>
      <w:r w:rsidRPr="00311068">
        <w:rPr>
          <w:rFonts w:ascii="Georgia" w:hAnsi="Georgia" w:cs="Arial"/>
          <w:sz w:val="22"/>
          <w:lang w:val="es-419"/>
        </w:rPr>
        <w:tab/>
        <w:t>Radicación</w:t>
      </w:r>
      <w:r w:rsidRPr="00311068">
        <w:rPr>
          <w:rFonts w:ascii="Georgia" w:hAnsi="Georgia" w:cs="Arial"/>
          <w:sz w:val="22"/>
          <w:lang w:val="es-419"/>
        </w:rPr>
        <w:tab/>
      </w:r>
      <w:r w:rsidRPr="00311068">
        <w:rPr>
          <w:rFonts w:ascii="Georgia" w:hAnsi="Georgia" w:cs="Arial"/>
          <w:sz w:val="22"/>
          <w:lang w:val="es-419"/>
        </w:rPr>
        <w:tab/>
        <w:t>: 66170-31-03-001-2015-00052-01</w:t>
      </w:r>
    </w:p>
    <w:p w:rsidR="00DE1651" w:rsidRPr="00311068" w:rsidRDefault="00DE1651" w:rsidP="009162A0">
      <w:pPr>
        <w:pStyle w:val="Textoindependiente"/>
        <w:tabs>
          <w:tab w:val="clear" w:pos="1416"/>
          <w:tab w:val="left" w:pos="1560"/>
        </w:tabs>
        <w:spacing w:line="240" w:lineRule="auto"/>
        <w:rPr>
          <w:rFonts w:ascii="Georgia" w:hAnsi="Georgia" w:cs="Arial"/>
          <w:sz w:val="22"/>
          <w:lang w:val="es-419"/>
        </w:rPr>
      </w:pPr>
      <w:r w:rsidRPr="00311068">
        <w:rPr>
          <w:rFonts w:ascii="Georgia" w:hAnsi="Georgia" w:cs="Arial"/>
          <w:sz w:val="22"/>
          <w:lang w:val="es-419"/>
        </w:rPr>
        <w:tab/>
      </w:r>
      <w:r w:rsidRPr="00311068">
        <w:rPr>
          <w:rFonts w:ascii="Georgia" w:hAnsi="Georgia" w:cs="Arial"/>
          <w:sz w:val="22"/>
          <w:lang w:val="es-419"/>
        </w:rPr>
        <w:tab/>
        <w:t>Tema</w:t>
      </w:r>
      <w:r w:rsidRPr="00311068">
        <w:rPr>
          <w:rFonts w:ascii="Georgia" w:hAnsi="Georgia" w:cs="Arial"/>
          <w:sz w:val="22"/>
          <w:lang w:val="es-419"/>
        </w:rPr>
        <w:tab/>
      </w:r>
      <w:r w:rsidRPr="00311068">
        <w:rPr>
          <w:rFonts w:ascii="Georgia" w:hAnsi="Georgia" w:cs="Arial"/>
          <w:sz w:val="22"/>
          <w:lang w:val="es-419"/>
        </w:rPr>
        <w:tab/>
      </w:r>
      <w:r w:rsidRPr="00311068">
        <w:rPr>
          <w:rFonts w:ascii="Georgia" w:hAnsi="Georgia" w:cs="Arial"/>
          <w:sz w:val="22"/>
          <w:lang w:val="es-419"/>
        </w:rPr>
        <w:tab/>
        <w:t>: Plazo para fallar – Artículo 121, CGP</w:t>
      </w:r>
    </w:p>
    <w:p w:rsidR="00DE1651" w:rsidRPr="00311068" w:rsidRDefault="00DE1651" w:rsidP="009162A0">
      <w:pPr>
        <w:pStyle w:val="Textoindependiente"/>
        <w:tabs>
          <w:tab w:val="clear" w:pos="1416"/>
          <w:tab w:val="left" w:pos="1560"/>
        </w:tabs>
        <w:spacing w:line="240" w:lineRule="auto"/>
        <w:ind w:left="1560"/>
        <w:rPr>
          <w:rFonts w:ascii="Georgia" w:hAnsi="Georgia" w:cs="Arial"/>
          <w:sz w:val="22"/>
          <w:lang w:val="es-419"/>
        </w:rPr>
      </w:pPr>
      <w:r w:rsidRPr="00311068">
        <w:rPr>
          <w:rFonts w:ascii="Georgia" w:hAnsi="Georgia" w:cs="Arial"/>
          <w:sz w:val="22"/>
          <w:lang w:val="es-419"/>
        </w:rPr>
        <w:t>Mag. Sustanciador</w:t>
      </w:r>
      <w:r w:rsidRPr="00311068">
        <w:rPr>
          <w:rFonts w:ascii="Georgia" w:hAnsi="Georgia" w:cs="Arial"/>
          <w:sz w:val="22"/>
          <w:lang w:val="es-419"/>
        </w:rPr>
        <w:tab/>
        <w:t xml:space="preserve">: </w:t>
      </w:r>
      <w:r w:rsidRPr="00311068">
        <w:rPr>
          <w:rFonts w:ascii="Georgia" w:hAnsi="Georgia" w:cs="Arial"/>
          <w:smallCaps/>
          <w:sz w:val="22"/>
          <w:lang w:val="es-419"/>
        </w:rPr>
        <w:t>Duberney Grisales Herrera</w:t>
      </w:r>
    </w:p>
    <w:p w:rsidR="00DE1651" w:rsidRPr="00311068" w:rsidRDefault="00DE1651" w:rsidP="00DE1651">
      <w:pPr>
        <w:pStyle w:val="Textoindependiente"/>
        <w:pBdr>
          <w:bottom w:val="double" w:sz="6" w:space="1" w:color="auto"/>
        </w:pBdr>
        <w:spacing w:line="276" w:lineRule="auto"/>
        <w:jc w:val="center"/>
        <w:rPr>
          <w:rFonts w:ascii="Georgia" w:hAnsi="Georgia" w:cs="Arial"/>
          <w:sz w:val="8"/>
          <w:szCs w:val="22"/>
          <w:lang w:val="es-419"/>
        </w:rPr>
      </w:pPr>
    </w:p>
    <w:p w:rsidR="00DE1651" w:rsidRPr="00311068" w:rsidRDefault="00DE1651" w:rsidP="00DE1651">
      <w:pPr>
        <w:pStyle w:val="Textoindependiente"/>
        <w:spacing w:line="276" w:lineRule="auto"/>
        <w:jc w:val="center"/>
        <w:rPr>
          <w:rFonts w:ascii="Georgia" w:hAnsi="Georgia" w:cs="Arial"/>
          <w:lang w:val="es-419"/>
        </w:rPr>
      </w:pPr>
    </w:p>
    <w:p w:rsidR="00DE1651" w:rsidRPr="00311068" w:rsidRDefault="00DE1651" w:rsidP="009162A0">
      <w:pPr>
        <w:spacing w:line="288" w:lineRule="auto"/>
        <w:jc w:val="center"/>
        <w:rPr>
          <w:rFonts w:ascii="Georgia" w:hAnsi="Georgia" w:cs="Arial"/>
          <w:smallCaps/>
          <w:sz w:val="24"/>
          <w:szCs w:val="24"/>
          <w:lang w:val="es-419"/>
        </w:rPr>
      </w:pPr>
      <w:r w:rsidRPr="00311068">
        <w:rPr>
          <w:rFonts w:ascii="Georgia" w:hAnsi="Georgia" w:cs="Arial"/>
          <w:smallCaps/>
          <w:sz w:val="24"/>
          <w:szCs w:val="24"/>
          <w:lang w:val="es-419"/>
        </w:rPr>
        <w:t>Veintiséis (26) de marzo de dos mil diecinueve (2019).</w:t>
      </w:r>
    </w:p>
    <w:p w:rsidR="00DE1651" w:rsidRPr="00311068" w:rsidRDefault="00DE1651" w:rsidP="009162A0">
      <w:pPr>
        <w:pStyle w:val="Puesto"/>
        <w:spacing w:line="288" w:lineRule="auto"/>
        <w:ind w:left="360"/>
        <w:jc w:val="left"/>
        <w:rPr>
          <w:rFonts w:ascii="Georgia" w:hAnsi="Georgia"/>
          <w:b w:val="0"/>
          <w:bCs w:val="0"/>
          <w:i w:val="0"/>
          <w:iCs w:val="0"/>
          <w:spacing w:val="-3"/>
          <w:lang w:val="es-419"/>
        </w:rPr>
      </w:pPr>
    </w:p>
    <w:p w:rsidR="00DE1651" w:rsidRPr="00311068" w:rsidRDefault="00DE1651" w:rsidP="009162A0">
      <w:pPr>
        <w:pStyle w:val="Puesto"/>
        <w:numPr>
          <w:ilvl w:val="0"/>
          <w:numId w:val="1"/>
        </w:numPr>
        <w:spacing w:line="288" w:lineRule="auto"/>
        <w:jc w:val="left"/>
        <w:rPr>
          <w:rFonts w:ascii="Georgia" w:hAnsi="Georgia"/>
          <w:b w:val="0"/>
          <w:bCs w:val="0"/>
          <w:i w:val="0"/>
          <w:iCs w:val="0"/>
          <w:spacing w:val="-3"/>
          <w:lang w:val="es-419"/>
        </w:rPr>
      </w:pPr>
      <w:r w:rsidRPr="00311068">
        <w:rPr>
          <w:rFonts w:ascii="Georgia" w:hAnsi="Georgia"/>
          <w:b w:val="0"/>
          <w:bCs w:val="0"/>
          <w:i w:val="0"/>
          <w:iCs w:val="0"/>
          <w:lang w:val="es-419"/>
        </w:rPr>
        <w:t>EL ASUNTO POR DECIDIR</w:t>
      </w:r>
    </w:p>
    <w:p w:rsidR="00DE1651" w:rsidRPr="00311068" w:rsidRDefault="00DE1651" w:rsidP="009162A0">
      <w:pPr>
        <w:pStyle w:val="Puesto"/>
        <w:spacing w:line="288" w:lineRule="auto"/>
        <w:jc w:val="left"/>
        <w:rPr>
          <w:rFonts w:ascii="Georgia" w:hAnsi="Georgia"/>
          <w:b w:val="0"/>
          <w:bCs w:val="0"/>
          <w:i w:val="0"/>
          <w:iCs w:val="0"/>
          <w:spacing w:val="-3"/>
          <w:lang w:val="es-419"/>
        </w:rPr>
      </w:pPr>
    </w:p>
    <w:p w:rsidR="00DE1651" w:rsidRPr="00311068" w:rsidRDefault="00DE1651" w:rsidP="009162A0">
      <w:pPr>
        <w:spacing w:line="288" w:lineRule="auto"/>
        <w:jc w:val="both"/>
        <w:rPr>
          <w:rFonts w:ascii="Georgia" w:hAnsi="Georgia" w:cs="Arial"/>
          <w:sz w:val="24"/>
          <w:szCs w:val="24"/>
          <w:lang w:val="es-419"/>
        </w:rPr>
      </w:pPr>
      <w:r w:rsidRPr="00311068">
        <w:rPr>
          <w:rFonts w:ascii="Georgia" w:hAnsi="Georgia" w:cs="Arial"/>
          <w:spacing w:val="-3"/>
          <w:sz w:val="24"/>
          <w:szCs w:val="24"/>
          <w:lang w:val="es-419"/>
        </w:rPr>
        <w:t>Previo a la decisión de fondo, debe resolverse sobre la nulidad que advierte esta Sala, en el curso del proceso de la referencia, al tenor de las consideraciones que siguen.</w:t>
      </w:r>
    </w:p>
    <w:p w:rsidR="00DE1651" w:rsidRPr="00311068" w:rsidRDefault="00DE1651" w:rsidP="009162A0">
      <w:pPr>
        <w:spacing w:line="288" w:lineRule="auto"/>
        <w:jc w:val="both"/>
        <w:rPr>
          <w:rFonts w:ascii="Georgia" w:hAnsi="Georgia" w:cs="Arial"/>
          <w:sz w:val="24"/>
          <w:szCs w:val="24"/>
          <w:lang w:val="es-419"/>
        </w:rPr>
      </w:pPr>
    </w:p>
    <w:p w:rsidR="00DE1651" w:rsidRPr="00311068" w:rsidRDefault="00DE1651" w:rsidP="009162A0">
      <w:pPr>
        <w:pStyle w:val="Prrafodelista"/>
        <w:numPr>
          <w:ilvl w:val="0"/>
          <w:numId w:val="1"/>
        </w:numPr>
        <w:tabs>
          <w:tab w:val="left" w:pos="-720"/>
        </w:tabs>
        <w:suppressAutoHyphens/>
        <w:spacing w:line="288" w:lineRule="auto"/>
        <w:jc w:val="both"/>
        <w:rPr>
          <w:rFonts w:ascii="Georgia" w:hAnsi="Georgia" w:cs="Arial"/>
          <w:spacing w:val="-3"/>
          <w:sz w:val="24"/>
          <w:szCs w:val="24"/>
          <w:lang w:val="es-419"/>
        </w:rPr>
      </w:pPr>
      <w:r w:rsidRPr="00311068">
        <w:rPr>
          <w:rFonts w:ascii="Georgia" w:hAnsi="Georgia" w:cs="Arial"/>
          <w:spacing w:val="-3"/>
          <w:sz w:val="24"/>
          <w:szCs w:val="24"/>
          <w:lang w:val="es-419"/>
        </w:rPr>
        <w:t>LAS ESTIMACIONES JURÍDICAS PARA DECIDIR</w:t>
      </w:r>
    </w:p>
    <w:p w:rsidR="00DE1651" w:rsidRPr="00311068" w:rsidRDefault="00DE1651" w:rsidP="009162A0">
      <w:pPr>
        <w:tabs>
          <w:tab w:val="left" w:pos="-720"/>
        </w:tabs>
        <w:suppressAutoHyphens/>
        <w:spacing w:line="288" w:lineRule="auto"/>
        <w:jc w:val="both"/>
        <w:rPr>
          <w:rFonts w:ascii="Georgia" w:hAnsi="Georgia" w:cs="Arial"/>
          <w:spacing w:val="-3"/>
          <w:sz w:val="24"/>
          <w:szCs w:val="24"/>
          <w:lang w:val="es-419"/>
        </w:rPr>
      </w:pPr>
    </w:p>
    <w:p w:rsidR="00DE1651" w:rsidRPr="00311068" w:rsidRDefault="00DE1651" w:rsidP="009162A0">
      <w:pPr>
        <w:pStyle w:val="Prrafodelista"/>
        <w:numPr>
          <w:ilvl w:val="1"/>
          <w:numId w:val="1"/>
        </w:numPr>
        <w:tabs>
          <w:tab w:val="left" w:pos="-720"/>
        </w:tabs>
        <w:suppressAutoHyphens/>
        <w:spacing w:line="288" w:lineRule="auto"/>
        <w:ind w:left="567" w:hanging="567"/>
        <w:jc w:val="both"/>
        <w:rPr>
          <w:rFonts w:ascii="Georgia" w:hAnsi="Georgia" w:cs="Arial"/>
          <w:smallCaps/>
          <w:spacing w:val="-3"/>
          <w:sz w:val="24"/>
          <w:szCs w:val="24"/>
          <w:lang w:val="es-419"/>
        </w:rPr>
      </w:pPr>
      <w:r w:rsidRPr="00311068">
        <w:rPr>
          <w:rFonts w:ascii="Georgia" w:hAnsi="Georgia" w:cs="Arial"/>
          <w:smallCaps/>
          <w:spacing w:val="-3"/>
          <w:sz w:val="24"/>
          <w:szCs w:val="24"/>
          <w:lang w:val="es-419"/>
        </w:rPr>
        <w:lastRenderedPageBreak/>
        <w:t>El régimen de las nulidades procesales</w:t>
      </w:r>
    </w:p>
    <w:p w:rsidR="00DE1651" w:rsidRPr="00311068" w:rsidRDefault="00DE1651" w:rsidP="009162A0">
      <w:pPr>
        <w:tabs>
          <w:tab w:val="left" w:pos="-720"/>
        </w:tabs>
        <w:suppressAutoHyphens/>
        <w:spacing w:line="288" w:lineRule="auto"/>
        <w:jc w:val="both"/>
        <w:rPr>
          <w:rFonts w:ascii="Georgia" w:hAnsi="Georgia" w:cs="Arial"/>
          <w:spacing w:val="-3"/>
          <w:sz w:val="24"/>
          <w:szCs w:val="24"/>
          <w:lang w:val="es-419"/>
        </w:rPr>
      </w:pPr>
    </w:p>
    <w:p w:rsidR="00DE1651" w:rsidRPr="00311068" w:rsidRDefault="00DE1651" w:rsidP="009162A0">
      <w:pPr>
        <w:tabs>
          <w:tab w:val="left" w:pos="-720"/>
        </w:tabs>
        <w:suppressAutoHyphens/>
        <w:spacing w:line="288" w:lineRule="auto"/>
        <w:jc w:val="both"/>
        <w:rPr>
          <w:rFonts w:ascii="Georgia" w:hAnsi="Georgia" w:cs="Arial"/>
          <w:sz w:val="24"/>
          <w:szCs w:val="24"/>
          <w:lang w:val="es-419"/>
        </w:rPr>
      </w:pPr>
      <w:r w:rsidRPr="00311068">
        <w:rPr>
          <w:rFonts w:ascii="Georgia" w:hAnsi="Georgia" w:cs="Arial"/>
          <w:sz w:val="24"/>
          <w:szCs w:val="24"/>
          <w:lang w:val="es-419"/>
        </w:rPr>
        <w:t>El ordenamiento legal, vigente en nuestro país, consagra como regla que la institución de las nulidades de tipo procedimental está estatuida con el propósito de salvaguardar el derecho constitucional del “debido proceso” y su derivado natural, el derecho de defensa (Artículo 29, CP).</w:t>
      </w:r>
    </w:p>
    <w:p w:rsidR="00DE1651" w:rsidRPr="00311068" w:rsidRDefault="00DE1651" w:rsidP="009162A0">
      <w:pPr>
        <w:tabs>
          <w:tab w:val="left" w:pos="-720"/>
        </w:tabs>
        <w:suppressAutoHyphens/>
        <w:spacing w:line="288" w:lineRule="auto"/>
        <w:jc w:val="both"/>
        <w:rPr>
          <w:rFonts w:ascii="Georgia" w:hAnsi="Georgia" w:cs="Arial"/>
          <w:sz w:val="24"/>
          <w:szCs w:val="24"/>
          <w:lang w:val="es-419"/>
        </w:rPr>
      </w:pPr>
    </w:p>
    <w:p w:rsidR="00DE1651" w:rsidRPr="00311068" w:rsidRDefault="00DE1651" w:rsidP="009162A0">
      <w:pPr>
        <w:spacing w:line="288" w:lineRule="auto"/>
        <w:jc w:val="both"/>
        <w:rPr>
          <w:rFonts w:ascii="Georgia" w:hAnsi="Georgia" w:cs="Arial"/>
          <w:i/>
          <w:sz w:val="24"/>
          <w:szCs w:val="24"/>
          <w:lang w:val="es-419"/>
        </w:rPr>
      </w:pPr>
      <w:r w:rsidRPr="00311068">
        <w:rPr>
          <w:rFonts w:ascii="Georgia" w:hAnsi="Georgia"/>
          <w:sz w:val="24"/>
          <w:szCs w:val="24"/>
          <w:lang w:val="es-419"/>
        </w:rPr>
        <w:t>Es preciso advertir que este instrumento, regulado por los artículos 133 y ss, CGP, no tuvo cambios sustanciales respecto a lo regulado en el CPC (</w:t>
      </w:r>
      <w:r w:rsidRPr="00311068">
        <w:rPr>
          <w:rFonts w:ascii="Georgia" w:hAnsi="Georgia"/>
          <w:sz w:val="22"/>
          <w:szCs w:val="24"/>
          <w:lang w:val="es-419"/>
        </w:rPr>
        <w:t>Artículos 140 y 141</w:t>
      </w:r>
      <w:r w:rsidRPr="00311068">
        <w:rPr>
          <w:rFonts w:ascii="Georgia" w:hAnsi="Georgia"/>
          <w:sz w:val="24"/>
          <w:szCs w:val="24"/>
          <w:lang w:val="es-419"/>
        </w:rPr>
        <w:t>), salvo que desapareció la causal del artículo 141-1º y se erigieron otras especiales (</w:t>
      </w:r>
      <w:r w:rsidRPr="00311068">
        <w:rPr>
          <w:rFonts w:ascii="Georgia" w:hAnsi="Georgia"/>
          <w:sz w:val="22"/>
          <w:szCs w:val="24"/>
          <w:lang w:val="es-419"/>
        </w:rPr>
        <w:t>Artículos 14, 36, 38, 107, 164 y 121, CGP</w:t>
      </w:r>
      <w:r w:rsidRPr="00311068">
        <w:rPr>
          <w:rFonts w:ascii="Georgia" w:hAnsi="Georgia"/>
          <w:sz w:val="24"/>
          <w:szCs w:val="24"/>
          <w:lang w:val="es-419"/>
        </w:rPr>
        <w:t>). De tal suerte que la jurisprudencia y doctrina que se han encargado de estudiar el tema con arreglo al CPC</w:t>
      </w:r>
      <w:r w:rsidRPr="00311068">
        <w:rPr>
          <w:rFonts w:ascii="Georgia" w:hAnsi="Georgia" w:cs="Arial"/>
          <w:sz w:val="24"/>
          <w:szCs w:val="24"/>
          <w:lang w:val="es-419"/>
        </w:rPr>
        <w:t>, son aplicables para el nuevo estatuto.</w:t>
      </w:r>
    </w:p>
    <w:p w:rsidR="00DE1651" w:rsidRPr="00311068" w:rsidRDefault="00DE1651" w:rsidP="009162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z w:val="24"/>
          <w:szCs w:val="22"/>
          <w:lang w:val="es-419"/>
        </w:rPr>
      </w:pPr>
    </w:p>
    <w:p w:rsidR="00DE1651" w:rsidRPr="00311068" w:rsidRDefault="00DE1651" w:rsidP="009162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z w:val="24"/>
          <w:lang w:val="es-419"/>
        </w:rPr>
      </w:pPr>
      <w:r w:rsidRPr="00311068">
        <w:rPr>
          <w:rFonts w:ascii="Georgia" w:hAnsi="Georgia" w:cs="Arial"/>
          <w:sz w:val="24"/>
          <w:szCs w:val="22"/>
          <w:lang w:val="es-419"/>
        </w:rPr>
        <w:t xml:space="preserve">El régimen de esta figura, está informado por el principio de la </w:t>
      </w:r>
      <w:r w:rsidRPr="00311068">
        <w:rPr>
          <w:rFonts w:ascii="Georgia" w:hAnsi="Georgia" w:cs="Arial"/>
          <w:sz w:val="24"/>
          <w:szCs w:val="22"/>
          <w:u w:val="single"/>
          <w:lang w:val="es-419"/>
        </w:rPr>
        <w:t>taxatividad o especificidad</w:t>
      </w:r>
      <w:r w:rsidRPr="00311068">
        <w:rPr>
          <w:rFonts w:ascii="Georgia" w:hAnsi="Georgia" w:cs="Arial"/>
          <w:sz w:val="24"/>
          <w:szCs w:val="22"/>
          <w:lang w:val="es-419"/>
        </w:rPr>
        <w:t xml:space="preserve">, que puede </w:t>
      </w:r>
      <w:r w:rsidRPr="00311068">
        <w:rPr>
          <w:rFonts w:ascii="Georgia" w:hAnsi="Georgia" w:cs="Arial"/>
          <w:sz w:val="24"/>
          <w:szCs w:val="24"/>
          <w:lang w:val="es-419"/>
        </w:rPr>
        <w:t>consultarse en la doctrina, pacífica,</w:t>
      </w:r>
      <w:r w:rsidRPr="00311068">
        <w:rPr>
          <w:rFonts w:ascii="Georgia" w:hAnsi="Georgia" w:cs="Arial"/>
          <w:sz w:val="24"/>
          <w:lang w:val="es-419"/>
        </w:rPr>
        <w:t xml:space="preserve"> de los profesores Canosa T.</w:t>
      </w:r>
      <w:r w:rsidRPr="00311068">
        <w:rPr>
          <w:rStyle w:val="Refdenotaalpie"/>
          <w:rFonts w:ascii="Georgia" w:hAnsi="Georgia" w:cs="Arial"/>
          <w:sz w:val="24"/>
          <w:lang w:val="es-419"/>
        </w:rPr>
        <w:footnoteReference w:id="1"/>
      </w:r>
      <w:r w:rsidRPr="00311068">
        <w:rPr>
          <w:rFonts w:ascii="Georgia" w:hAnsi="Georgia" w:cs="Arial"/>
          <w:sz w:val="24"/>
          <w:lang w:val="es-419"/>
        </w:rPr>
        <w:t>, López B.</w:t>
      </w:r>
      <w:r w:rsidRPr="00311068">
        <w:rPr>
          <w:rStyle w:val="Refdenotaalpie"/>
          <w:rFonts w:ascii="Georgia" w:hAnsi="Georgia" w:cs="Arial"/>
          <w:sz w:val="24"/>
          <w:lang w:val="es-419"/>
        </w:rPr>
        <w:footnoteReference w:id="2"/>
      </w:r>
      <w:r w:rsidRPr="00311068">
        <w:rPr>
          <w:rFonts w:ascii="Georgia" w:hAnsi="Georgia" w:cs="Arial"/>
          <w:sz w:val="24"/>
          <w:lang w:val="es-419"/>
        </w:rPr>
        <w:t>, Azula C.</w:t>
      </w:r>
      <w:r w:rsidRPr="00311068">
        <w:rPr>
          <w:rStyle w:val="Refdenotaalpie"/>
          <w:rFonts w:ascii="Georgia" w:hAnsi="Georgia" w:cs="Arial"/>
          <w:sz w:val="24"/>
          <w:lang w:val="es-419"/>
        </w:rPr>
        <w:footnoteReference w:id="3"/>
      </w:r>
      <w:r w:rsidRPr="00311068">
        <w:rPr>
          <w:rFonts w:ascii="Georgia" w:hAnsi="Georgia" w:cs="Arial"/>
          <w:sz w:val="24"/>
          <w:lang w:val="es-419"/>
        </w:rPr>
        <w:t>, Rojas G.</w:t>
      </w:r>
      <w:r w:rsidRPr="00311068">
        <w:rPr>
          <w:rStyle w:val="Refdenotaalpie"/>
          <w:rFonts w:ascii="Georgia" w:hAnsi="Georgia" w:cs="Arial"/>
          <w:sz w:val="24"/>
          <w:lang w:val="es-419"/>
        </w:rPr>
        <w:footnoteReference w:id="4"/>
      </w:r>
      <w:r w:rsidRPr="00311068">
        <w:rPr>
          <w:rFonts w:ascii="Georgia" w:hAnsi="Georgia" w:cs="Arial"/>
          <w:sz w:val="24"/>
          <w:lang w:val="es-419"/>
        </w:rPr>
        <w:t xml:space="preserve"> y Sanabria S.</w:t>
      </w:r>
      <w:r w:rsidRPr="00311068">
        <w:rPr>
          <w:rStyle w:val="Refdenotaalpie"/>
          <w:rFonts w:ascii="Georgia" w:hAnsi="Georgia" w:cs="Arial"/>
          <w:sz w:val="24"/>
          <w:lang w:val="es-419"/>
        </w:rPr>
        <w:footnoteReference w:id="5"/>
      </w:r>
      <w:r w:rsidRPr="00311068">
        <w:rPr>
          <w:rFonts w:ascii="Georgia" w:hAnsi="Georgia" w:cs="Arial"/>
          <w:sz w:val="24"/>
          <w:lang w:val="es-419"/>
        </w:rPr>
        <w:t xml:space="preserve">. </w:t>
      </w:r>
      <w:r w:rsidRPr="00311068">
        <w:rPr>
          <w:rFonts w:ascii="Georgia" w:hAnsi="Georgia" w:cs="Arial"/>
          <w:sz w:val="24"/>
          <w:szCs w:val="22"/>
          <w:lang w:val="es-419"/>
        </w:rPr>
        <w:t>Otros principios</w:t>
      </w:r>
      <w:r w:rsidRPr="00311068">
        <w:rPr>
          <w:rStyle w:val="Refdenotaalpie"/>
          <w:rFonts w:ascii="Georgia" w:hAnsi="Georgia" w:cs="Arial"/>
          <w:sz w:val="24"/>
          <w:szCs w:val="22"/>
          <w:lang w:val="es-419"/>
        </w:rPr>
        <w:footnoteReference w:id="6"/>
      </w:r>
      <w:r w:rsidRPr="00311068">
        <w:rPr>
          <w:rFonts w:ascii="Georgia" w:hAnsi="Georgia" w:cs="Arial"/>
          <w:sz w:val="24"/>
          <w:szCs w:val="22"/>
          <w:lang w:val="es-419"/>
        </w:rPr>
        <w:t xml:space="preserve"> de igual entidad, que permean la herramienta en comento, </w:t>
      </w:r>
      <w:r w:rsidRPr="00311068">
        <w:rPr>
          <w:rFonts w:ascii="Georgia" w:hAnsi="Georgia" w:cs="Arial"/>
          <w:sz w:val="24"/>
          <w:lang w:val="es-419"/>
        </w:rPr>
        <w:t>son el de preclusión, protección, convalidación y trascendencia, reconocidos por la jurisprudencia de la CSJ</w:t>
      </w:r>
      <w:r w:rsidRPr="00311068">
        <w:rPr>
          <w:rStyle w:val="Refdenotaalpie"/>
          <w:rFonts w:ascii="Georgia" w:hAnsi="Georgia"/>
          <w:sz w:val="24"/>
          <w:lang w:val="es-419"/>
        </w:rPr>
        <w:footnoteReference w:id="7"/>
      </w:r>
      <w:r w:rsidRPr="00311068">
        <w:rPr>
          <w:rFonts w:ascii="Georgia" w:hAnsi="Georgia" w:cs="Arial"/>
          <w:sz w:val="24"/>
          <w:lang w:val="es-419"/>
        </w:rPr>
        <w:t>.</w:t>
      </w:r>
    </w:p>
    <w:p w:rsidR="00DE1651" w:rsidRPr="00311068" w:rsidRDefault="00DE1651" w:rsidP="009162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lang w:val="es-419"/>
        </w:rPr>
      </w:pPr>
    </w:p>
    <w:p w:rsidR="00DE1651" w:rsidRPr="00311068" w:rsidRDefault="00DE1651" w:rsidP="009162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lang w:val="es-419"/>
        </w:rPr>
      </w:pPr>
      <w:r w:rsidRPr="00311068">
        <w:rPr>
          <w:rFonts w:ascii="Georgia" w:hAnsi="Georgia" w:cs="Arial"/>
          <w:sz w:val="24"/>
          <w:lang w:val="es-419"/>
        </w:rPr>
        <w:t>Las sentencias C-491 de 1995 y C-217 de 1996, agregaron otra causal, en los siguientes términos:</w:t>
      </w:r>
      <w:r w:rsidRPr="00311068">
        <w:rPr>
          <w:rFonts w:ascii="Georgia" w:hAnsi="Georgia" w:cs="Arial"/>
          <w:lang w:val="es-419"/>
        </w:rPr>
        <w:t xml:space="preserve"> </w:t>
      </w:r>
      <w:r w:rsidRPr="00311068">
        <w:rPr>
          <w:rFonts w:ascii="Georgia" w:hAnsi="Georgia" w:cs="Arial"/>
          <w:i/>
          <w:sz w:val="22"/>
          <w:lang w:val="es-419"/>
        </w:rPr>
        <w:t>“Además de dichas causales legales de nulidad es viable y puede ser invocada la consagrada en el artículo 29 de la Constitución, según el cual es nula, de pleno derecho, la prueba obtenida con violación del debido proceso, (...)”.</w:t>
      </w:r>
      <w:r w:rsidRPr="00311068">
        <w:rPr>
          <w:rFonts w:ascii="Georgia" w:hAnsi="Georgia" w:cs="Arial"/>
          <w:sz w:val="22"/>
          <w:lang w:val="es-419"/>
        </w:rPr>
        <w:t xml:space="preserve"> </w:t>
      </w:r>
      <w:r w:rsidRPr="00311068">
        <w:rPr>
          <w:rFonts w:ascii="Georgia" w:hAnsi="Georgia" w:cs="Arial"/>
          <w:sz w:val="24"/>
          <w:szCs w:val="24"/>
          <w:lang w:val="es-419"/>
        </w:rPr>
        <w:t>Hoy reconocidas en el CGP (</w:t>
      </w:r>
      <w:r w:rsidRPr="00311068">
        <w:rPr>
          <w:rFonts w:ascii="Georgia" w:hAnsi="Georgia" w:cs="Arial"/>
          <w:sz w:val="22"/>
          <w:szCs w:val="24"/>
          <w:lang w:val="es-419"/>
        </w:rPr>
        <w:t>Artículos 14, 164 y 168</w:t>
      </w:r>
      <w:r w:rsidRPr="00311068">
        <w:rPr>
          <w:rFonts w:ascii="Georgia" w:hAnsi="Georgia" w:cs="Arial"/>
          <w:sz w:val="24"/>
          <w:szCs w:val="24"/>
          <w:lang w:val="es-419"/>
        </w:rPr>
        <w:t>)</w:t>
      </w:r>
      <w:r w:rsidRPr="00311068">
        <w:rPr>
          <w:rFonts w:ascii="Georgia" w:hAnsi="Georgia" w:cs="Arial"/>
          <w:sz w:val="24"/>
          <w:lang w:val="es-419"/>
        </w:rPr>
        <w:t>; y, revalidada para el CGP con la C-537 de 2016, que declaró exequible, entre otros, al mentado artículo 133, y que es distinta de la prevista en su numeral 5º.</w:t>
      </w:r>
    </w:p>
    <w:p w:rsidR="00DE1651" w:rsidRPr="00311068" w:rsidRDefault="00DE1651" w:rsidP="009162A0">
      <w:pPr>
        <w:tabs>
          <w:tab w:val="left" w:pos="-720"/>
        </w:tabs>
        <w:suppressAutoHyphens/>
        <w:spacing w:line="288" w:lineRule="auto"/>
        <w:jc w:val="both"/>
        <w:rPr>
          <w:rFonts w:ascii="Georgia" w:hAnsi="Georgia" w:cs="Arial"/>
          <w:spacing w:val="-3"/>
          <w:sz w:val="24"/>
          <w:szCs w:val="24"/>
          <w:lang w:val="es-419"/>
        </w:rPr>
      </w:pPr>
    </w:p>
    <w:p w:rsidR="00DE1651" w:rsidRPr="00311068" w:rsidRDefault="00DE1651" w:rsidP="009162A0">
      <w:pPr>
        <w:numPr>
          <w:ilvl w:val="1"/>
          <w:numId w:val="1"/>
        </w:numPr>
        <w:tabs>
          <w:tab w:val="left" w:pos="-720"/>
        </w:tabs>
        <w:suppressAutoHyphens/>
        <w:spacing w:line="288" w:lineRule="auto"/>
        <w:jc w:val="both"/>
        <w:rPr>
          <w:rFonts w:ascii="Georgia" w:hAnsi="Georgia" w:cs="Arial"/>
          <w:smallCaps/>
          <w:spacing w:val="-3"/>
          <w:sz w:val="24"/>
          <w:szCs w:val="24"/>
          <w:lang w:val="es-419"/>
        </w:rPr>
      </w:pPr>
      <w:r w:rsidRPr="00311068">
        <w:rPr>
          <w:rFonts w:ascii="Georgia" w:hAnsi="Georgia" w:cs="Arial"/>
          <w:smallCaps/>
          <w:spacing w:val="-3"/>
          <w:sz w:val="24"/>
          <w:szCs w:val="24"/>
          <w:lang w:val="es-419"/>
        </w:rPr>
        <w:t>Los presupuestos de las nulidades procesales</w:t>
      </w:r>
    </w:p>
    <w:p w:rsidR="00DE1651" w:rsidRPr="00311068" w:rsidRDefault="00DE1651" w:rsidP="009162A0">
      <w:pPr>
        <w:tabs>
          <w:tab w:val="left" w:pos="-720"/>
        </w:tabs>
        <w:suppressAutoHyphens/>
        <w:spacing w:line="288" w:lineRule="auto"/>
        <w:jc w:val="both"/>
        <w:rPr>
          <w:rFonts w:ascii="Georgia" w:hAnsi="Georgia" w:cs="Arial"/>
          <w:spacing w:val="-3"/>
          <w:sz w:val="24"/>
          <w:szCs w:val="24"/>
          <w:lang w:val="es-419"/>
        </w:rPr>
      </w:pPr>
    </w:p>
    <w:p w:rsidR="00DE1651" w:rsidRPr="00311068" w:rsidRDefault="00DE1651" w:rsidP="009162A0">
      <w:pPr>
        <w:tabs>
          <w:tab w:val="left" w:pos="-720"/>
        </w:tabs>
        <w:suppressAutoHyphens/>
        <w:spacing w:line="288" w:lineRule="auto"/>
        <w:jc w:val="both"/>
        <w:rPr>
          <w:rFonts w:ascii="Georgia" w:hAnsi="Georgia" w:cs="Arial"/>
          <w:spacing w:val="-3"/>
          <w:sz w:val="24"/>
          <w:szCs w:val="24"/>
          <w:lang w:val="es-419"/>
        </w:rPr>
      </w:pPr>
      <w:r w:rsidRPr="00311068">
        <w:rPr>
          <w:rFonts w:ascii="Georgia" w:hAnsi="Georgia" w:cs="Arial"/>
          <w:spacing w:val="-3"/>
          <w:sz w:val="24"/>
          <w:szCs w:val="24"/>
          <w:lang w:val="es-419"/>
        </w:rPr>
        <w:t>Consisten en la concurrencia de legitimación, falta de saneamiento y oportunidad para proponerlas (</w:t>
      </w:r>
      <w:r w:rsidRPr="00311068">
        <w:rPr>
          <w:rFonts w:ascii="Georgia" w:hAnsi="Georgia" w:cs="Arial"/>
          <w:spacing w:val="-3"/>
          <w:sz w:val="22"/>
          <w:szCs w:val="24"/>
          <w:lang w:val="es-419"/>
        </w:rPr>
        <w:t>Artículos 134, 135 y 136 del CGP</w:t>
      </w:r>
      <w:r w:rsidRPr="00311068">
        <w:rPr>
          <w:rFonts w:ascii="Georgia" w:hAnsi="Georgia" w:cs="Arial"/>
          <w:spacing w:val="-3"/>
          <w:sz w:val="24"/>
          <w:szCs w:val="24"/>
          <w:lang w:val="es-419"/>
        </w:rPr>
        <w:t>); verificado el cumplimiento de tales requisitos se abre paso el análisis de la respectiva causal.</w:t>
      </w:r>
    </w:p>
    <w:p w:rsidR="00DE1651" w:rsidRPr="00311068" w:rsidRDefault="00DE1651" w:rsidP="009162A0">
      <w:pPr>
        <w:tabs>
          <w:tab w:val="left" w:pos="-720"/>
        </w:tabs>
        <w:suppressAutoHyphens/>
        <w:spacing w:line="288" w:lineRule="auto"/>
        <w:jc w:val="both"/>
        <w:rPr>
          <w:rFonts w:ascii="Georgia" w:hAnsi="Georgia" w:cs="Arial"/>
          <w:spacing w:val="-3"/>
          <w:sz w:val="24"/>
          <w:szCs w:val="24"/>
          <w:lang w:val="es-419"/>
        </w:rPr>
      </w:pPr>
    </w:p>
    <w:p w:rsidR="00DE1651" w:rsidRPr="00311068" w:rsidRDefault="00DE1651" w:rsidP="009162A0">
      <w:pPr>
        <w:tabs>
          <w:tab w:val="left" w:pos="-720"/>
        </w:tabs>
        <w:suppressAutoHyphens/>
        <w:spacing w:line="288" w:lineRule="auto"/>
        <w:jc w:val="both"/>
        <w:rPr>
          <w:rFonts w:ascii="Georgia" w:hAnsi="Georgia"/>
          <w:i/>
          <w:sz w:val="24"/>
          <w:szCs w:val="24"/>
          <w:lang w:val="es-419"/>
        </w:rPr>
      </w:pPr>
      <w:r w:rsidRPr="00311068">
        <w:rPr>
          <w:rFonts w:ascii="Georgia" w:hAnsi="Georgia" w:cs="Arial"/>
          <w:spacing w:val="-3"/>
          <w:sz w:val="24"/>
          <w:szCs w:val="24"/>
          <w:lang w:val="es-419"/>
        </w:rPr>
        <w:t>Empero, frente a la nulidad que aquí se advierte, consagrada en el artículo 121, CGP, debe reseñarse, al tenor de tesis mayoritaria expuesta en reciente jurisprudencia de la CSJ</w:t>
      </w:r>
      <w:r w:rsidRPr="00311068">
        <w:rPr>
          <w:rStyle w:val="Refdenotaalpie"/>
          <w:rFonts w:ascii="Georgia" w:hAnsi="Georgia"/>
          <w:spacing w:val="-3"/>
          <w:sz w:val="24"/>
          <w:szCs w:val="24"/>
          <w:lang w:val="es-419"/>
        </w:rPr>
        <w:footnoteReference w:id="8"/>
      </w:r>
      <w:r w:rsidRPr="00311068">
        <w:rPr>
          <w:rFonts w:ascii="Georgia" w:hAnsi="Georgia" w:cs="Arial"/>
          <w:spacing w:val="-3"/>
          <w:sz w:val="24"/>
          <w:szCs w:val="24"/>
          <w:lang w:val="es-419"/>
        </w:rPr>
        <w:t xml:space="preserve"> (</w:t>
      </w:r>
      <w:r w:rsidRPr="00311068">
        <w:rPr>
          <w:rFonts w:ascii="Georgia" w:hAnsi="Georgia" w:cs="Arial"/>
          <w:spacing w:val="-3"/>
          <w:sz w:val="22"/>
          <w:szCs w:val="24"/>
          <w:lang w:val="es-419"/>
        </w:rPr>
        <w:t>Que recogió lo expuesto en la STC-21350-2017</w:t>
      </w:r>
      <w:r w:rsidRPr="00311068">
        <w:rPr>
          <w:rFonts w:ascii="Georgia" w:hAnsi="Georgia" w:cs="Arial"/>
          <w:spacing w:val="-3"/>
          <w:sz w:val="24"/>
          <w:szCs w:val="24"/>
          <w:lang w:val="es-419"/>
        </w:rPr>
        <w:t xml:space="preserve">), que son inoperantes los artículos 134 y 136, CGP, esto es, que puede invocarse en cualquier momento y es insaneable por </w:t>
      </w:r>
      <w:r w:rsidRPr="00311068">
        <w:rPr>
          <w:rFonts w:ascii="Georgia" w:hAnsi="Georgia" w:cs="Arial"/>
          <w:spacing w:val="-3"/>
          <w:sz w:val="24"/>
          <w:szCs w:val="24"/>
          <w:lang w:val="es-419"/>
        </w:rPr>
        <w:lastRenderedPageBreak/>
        <w:t xml:space="preserve">la intervención de las partes sin alegarla o por su expresa convalidación: </w:t>
      </w:r>
      <w:r w:rsidRPr="00311068">
        <w:rPr>
          <w:rFonts w:ascii="Georgia" w:hAnsi="Georgia" w:cs="Arial"/>
          <w:i/>
          <w:spacing w:val="-3"/>
          <w:sz w:val="22"/>
          <w:szCs w:val="22"/>
          <w:lang w:val="es-419"/>
        </w:rPr>
        <w:t xml:space="preserve">“(…) porque esto contradice </w:t>
      </w:r>
      <w:r w:rsidRPr="00311068">
        <w:rPr>
          <w:rFonts w:ascii="Georgia" w:hAnsi="Georgia"/>
          <w:i/>
          <w:sz w:val="22"/>
          <w:szCs w:val="22"/>
          <w:lang w:val="es-419"/>
        </w:rPr>
        <w:t>el querer del legislador, dirigido a imponer al estamento jurisdiccional la obligación de dictar sentencia en un lapso perentorio, al margen de las circunstancias que rodeen el litigio e, incluso, de las vicisitudes propias de la administración de justicia, desde su punto de vista institucional (…)”</w:t>
      </w:r>
      <w:r w:rsidRPr="00311068">
        <w:rPr>
          <w:rFonts w:ascii="Georgia" w:hAnsi="Georgia"/>
          <w:i/>
          <w:sz w:val="24"/>
          <w:szCs w:val="24"/>
          <w:lang w:val="es-419"/>
        </w:rPr>
        <w:t>.</w:t>
      </w:r>
    </w:p>
    <w:p w:rsidR="00DE1651" w:rsidRPr="00311068" w:rsidRDefault="00DE1651" w:rsidP="009162A0">
      <w:pPr>
        <w:tabs>
          <w:tab w:val="left" w:pos="-720"/>
        </w:tabs>
        <w:suppressAutoHyphens/>
        <w:spacing w:line="288" w:lineRule="auto"/>
        <w:jc w:val="both"/>
        <w:rPr>
          <w:rFonts w:ascii="Georgia" w:hAnsi="Georgia" w:cs="Arial"/>
          <w:spacing w:val="-3"/>
          <w:sz w:val="24"/>
          <w:szCs w:val="24"/>
          <w:lang w:val="es-419"/>
        </w:rPr>
      </w:pPr>
    </w:p>
    <w:p w:rsidR="00DE1651" w:rsidRPr="00311068" w:rsidRDefault="00DE1651" w:rsidP="009162A0">
      <w:pPr>
        <w:pStyle w:val="Prrafodelista"/>
        <w:numPr>
          <w:ilvl w:val="1"/>
          <w:numId w:val="1"/>
        </w:numPr>
        <w:tabs>
          <w:tab w:val="left" w:pos="-720"/>
        </w:tabs>
        <w:suppressAutoHyphens/>
        <w:spacing w:line="288" w:lineRule="auto"/>
        <w:jc w:val="both"/>
        <w:rPr>
          <w:rFonts w:ascii="Georgia" w:hAnsi="Georgia" w:cs="Arial"/>
          <w:smallCaps/>
          <w:spacing w:val="-3"/>
          <w:sz w:val="24"/>
          <w:szCs w:val="24"/>
          <w:lang w:val="es-419"/>
        </w:rPr>
      </w:pPr>
      <w:r w:rsidRPr="00311068">
        <w:rPr>
          <w:rFonts w:ascii="Georgia" w:hAnsi="Georgia" w:cs="Arial"/>
          <w:smallCaps/>
          <w:spacing w:val="-3"/>
          <w:sz w:val="24"/>
          <w:szCs w:val="24"/>
          <w:lang w:val="es-419"/>
        </w:rPr>
        <w:t>El plazo para fallar</w:t>
      </w:r>
    </w:p>
    <w:p w:rsidR="00DE1651" w:rsidRPr="00311068" w:rsidRDefault="00DE1651" w:rsidP="009162A0">
      <w:pPr>
        <w:tabs>
          <w:tab w:val="left" w:pos="-720"/>
        </w:tabs>
        <w:suppressAutoHyphens/>
        <w:spacing w:line="288" w:lineRule="auto"/>
        <w:jc w:val="both"/>
        <w:rPr>
          <w:rFonts w:ascii="Georgia" w:hAnsi="Georgia" w:cs="Arial"/>
          <w:spacing w:val="-3"/>
          <w:sz w:val="24"/>
          <w:szCs w:val="24"/>
          <w:lang w:val="es-419"/>
        </w:rPr>
      </w:pPr>
    </w:p>
    <w:p w:rsidR="00DE1651" w:rsidRPr="00311068" w:rsidRDefault="00DE1651" w:rsidP="009162A0">
      <w:pPr>
        <w:tabs>
          <w:tab w:val="left" w:pos="-720"/>
        </w:tabs>
        <w:suppressAutoHyphens/>
        <w:spacing w:line="288" w:lineRule="auto"/>
        <w:jc w:val="both"/>
        <w:rPr>
          <w:rFonts w:ascii="Georgia" w:hAnsi="Georgia" w:cs="Arial"/>
          <w:spacing w:val="-3"/>
          <w:sz w:val="24"/>
          <w:szCs w:val="24"/>
          <w:lang w:val="es-419"/>
        </w:rPr>
      </w:pPr>
      <w:r w:rsidRPr="00311068">
        <w:rPr>
          <w:rFonts w:ascii="Georgia" w:hAnsi="Georgia" w:cs="Arial"/>
          <w:sz w:val="24"/>
          <w:szCs w:val="24"/>
          <w:lang w:val="es-419"/>
        </w:rPr>
        <w:t xml:space="preserve">Al tenor del ya citado artículo 121, CGP, para dictar sentencia de primera o única instancia, se cuenta con el plazo de un (1) año, contado desde la notificación del auto admisorio de la demanda </w:t>
      </w:r>
      <w:r w:rsidRPr="00311068">
        <w:rPr>
          <w:rFonts w:ascii="Georgia" w:hAnsi="Georgia" w:cs="Arial"/>
          <w:spacing w:val="-3"/>
          <w:sz w:val="24"/>
          <w:szCs w:val="22"/>
          <w:lang w:val="es-419"/>
        </w:rPr>
        <w:t>(</w:t>
      </w:r>
      <w:r w:rsidRPr="00311068">
        <w:rPr>
          <w:rFonts w:ascii="Georgia" w:hAnsi="Georgia" w:cs="Arial"/>
          <w:spacing w:val="-3"/>
          <w:sz w:val="22"/>
          <w:szCs w:val="22"/>
          <w:lang w:val="es-419"/>
        </w:rPr>
        <w:t>Entiéndase también el que libra mandamiento de pago</w:t>
      </w:r>
      <w:r w:rsidRPr="00311068">
        <w:rPr>
          <w:rFonts w:ascii="Georgia" w:hAnsi="Georgia" w:cs="Arial"/>
          <w:spacing w:val="-3"/>
          <w:sz w:val="24"/>
          <w:szCs w:val="22"/>
          <w:lang w:val="es-419"/>
        </w:rPr>
        <w:t>) a la parte demandada (</w:t>
      </w:r>
      <w:r w:rsidRPr="00311068">
        <w:rPr>
          <w:rFonts w:ascii="Georgia" w:hAnsi="Georgia" w:cs="Arial"/>
          <w:spacing w:val="-3"/>
          <w:sz w:val="22"/>
          <w:szCs w:val="22"/>
          <w:lang w:val="es-419"/>
        </w:rPr>
        <w:t>Ejecutada</w:t>
      </w:r>
      <w:r w:rsidRPr="00311068">
        <w:rPr>
          <w:rFonts w:ascii="Georgia" w:hAnsi="Georgia" w:cs="Arial"/>
          <w:spacing w:val="-3"/>
          <w:sz w:val="24"/>
          <w:szCs w:val="22"/>
          <w:lang w:val="es-419"/>
        </w:rPr>
        <w:t xml:space="preserve">), salvo que se hubiere interrumpido o suspendido el proceso por una causa legal. Ese término podrá prorrogarse, solo por una vez, hasta por seis (6) meses. Vencido este plazo, sin que se hubiere decidido de fondo, el funcionario perderá competencia. Así razona el </w:t>
      </w:r>
      <w:r w:rsidRPr="00311068">
        <w:rPr>
          <w:rFonts w:ascii="Georgia" w:hAnsi="Georgia" w:cs="Arial"/>
          <w:spacing w:val="-3"/>
          <w:sz w:val="24"/>
          <w:szCs w:val="24"/>
          <w:lang w:val="es-419"/>
        </w:rPr>
        <w:t>órgano de cierre de la especialidad (CSJ)</w:t>
      </w:r>
      <w:r w:rsidRPr="00311068">
        <w:rPr>
          <w:rStyle w:val="Refdenotaalpie"/>
          <w:rFonts w:ascii="Georgia" w:hAnsi="Georgia"/>
          <w:spacing w:val="-3"/>
          <w:sz w:val="24"/>
          <w:szCs w:val="24"/>
          <w:lang w:val="es-419"/>
        </w:rPr>
        <w:footnoteReference w:id="9"/>
      </w:r>
      <w:r w:rsidRPr="00311068">
        <w:rPr>
          <w:rFonts w:ascii="Georgia" w:hAnsi="Georgia" w:cs="Arial"/>
          <w:spacing w:val="-3"/>
          <w:sz w:val="24"/>
          <w:szCs w:val="24"/>
          <w:lang w:val="es-419"/>
        </w:rPr>
        <w:t xml:space="preserve">: </w:t>
      </w:r>
      <w:r w:rsidRPr="00311068">
        <w:rPr>
          <w:rFonts w:ascii="Georgia" w:hAnsi="Georgia" w:cs="Arial"/>
          <w:i/>
          <w:spacing w:val="-3"/>
          <w:sz w:val="24"/>
          <w:szCs w:val="24"/>
          <w:lang w:val="es-419"/>
        </w:rPr>
        <w:t>“</w:t>
      </w:r>
      <w:r w:rsidRPr="00311068">
        <w:rPr>
          <w:rFonts w:ascii="Georgia" w:hAnsi="Georgia" w:cs="Arial"/>
          <w:i/>
          <w:spacing w:val="-3"/>
          <w:sz w:val="22"/>
          <w:szCs w:val="24"/>
          <w:lang w:val="es-419"/>
        </w:rPr>
        <w:t xml:space="preserve">(…) </w:t>
      </w:r>
      <w:r w:rsidRPr="00311068">
        <w:rPr>
          <w:rFonts w:ascii="Georgia" w:hAnsi="Georgia"/>
          <w:i/>
          <w:sz w:val="22"/>
          <w:szCs w:val="24"/>
          <w:lang w:val="es-419"/>
        </w:rPr>
        <w:t>Del contenido literal de la disposición en cita, se concluye, que el legislador instituyó una causal de pérdida de competencia, fundada en el trascurso del tiempo para decidir de fondo, es decir, que se le otorga al juzgador un plazo máximo para resolver la instancia so pena de que el asunto deba ser asumido por un nuevo funcionario judicial, como garantía de un acceso a la administración de justicia en condiciones de razonabilidad (…)</w:t>
      </w:r>
      <w:r w:rsidRPr="00311068">
        <w:rPr>
          <w:rFonts w:ascii="Georgia" w:hAnsi="Georgia"/>
          <w:i/>
          <w:sz w:val="24"/>
          <w:szCs w:val="24"/>
          <w:lang w:val="es-419"/>
        </w:rPr>
        <w:t xml:space="preserve">”. </w:t>
      </w:r>
      <w:r w:rsidRPr="00311068">
        <w:rPr>
          <w:rFonts w:ascii="Georgia" w:hAnsi="Georgia" w:cs="Arial"/>
          <w:spacing w:val="-3"/>
          <w:sz w:val="24"/>
          <w:szCs w:val="24"/>
          <w:lang w:val="es-419"/>
        </w:rPr>
        <w:t xml:space="preserve"> </w:t>
      </w:r>
    </w:p>
    <w:p w:rsidR="00DE1651" w:rsidRPr="00311068" w:rsidRDefault="00DE1651" w:rsidP="009162A0">
      <w:pPr>
        <w:tabs>
          <w:tab w:val="left" w:pos="-720"/>
        </w:tabs>
        <w:suppressAutoHyphens/>
        <w:spacing w:line="288" w:lineRule="auto"/>
        <w:jc w:val="both"/>
        <w:rPr>
          <w:rFonts w:ascii="Georgia" w:hAnsi="Georgia" w:cs="Arial"/>
          <w:spacing w:val="-3"/>
          <w:sz w:val="24"/>
          <w:szCs w:val="24"/>
          <w:lang w:val="es-419"/>
        </w:rPr>
      </w:pPr>
    </w:p>
    <w:p w:rsidR="00DE1651" w:rsidRPr="00311068" w:rsidRDefault="00DE1651" w:rsidP="009162A0">
      <w:pPr>
        <w:tabs>
          <w:tab w:val="left" w:pos="-720"/>
        </w:tabs>
        <w:suppressAutoHyphens/>
        <w:spacing w:line="288" w:lineRule="auto"/>
        <w:jc w:val="both"/>
        <w:rPr>
          <w:rFonts w:ascii="Georgia" w:hAnsi="Georgia" w:cs="Arial"/>
          <w:spacing w:val="-3"/>
          <w:sz w:val="24"/>
          <w:szCs w:val="22"/>
          <w:lang w:val="es-419"/>
        </w:rPr>
      </w:pPr>
      <w:r w:rsidRPr="00311068">
        <w:rPr>
          <w:rFonts w:ascii="Georgia" w:hAnsi="Georgia" w:cs="Arial"/>
          <w:spacing w:val="-3"/>
          <w:sz w:val="24"/>
          <w:szCs w:val="24"/>
          <w:lang w:val="es-419"/>
        </w:rPr>
        <w:t>La interpretación teleológica y literal de la norma hecha por la CSJ</w:t>
      </w:r>
      <w:r w:rsidRPr="00311068">
        <w:rPr>
          <w:rStyle w:val="Refdenotaalpie"/>
          <w:rFonts w:ascii="Georgia" w:hAnsi="Georgia"/>
          <w:i/>
          <w:sz w:val="22"/>
          <w:szCs w:val="22"/>
          <w:lang w:val="es-419"/>
        </w:rPr>
        <w:footnoteReference w:id="10"/>
      </w:r>
      <w:r w:rsidRPr="00311068">
        <w:rPr>
          <w:rFonts w:ascii="Georgia" w:hAnsi="Georgia" w:cs="Arial"/>
          <w:spacing w:val="-3"/>
          <w:sz w:val="24"/>
          <w:szCs w:val="24"/>
          <w:lang w:val="es-419"/>
        </w:rPr>
        <w:t xml:space="preserve"> ha señalado, reiteradamente, en sede de tutela (</w:t>
      </w:r>
      <w:r w:rsidRPr="00311068">
        <w:rPr>
          <w:rFonts w:ascii="Georgia" w:hAnsi="Georgia" w:cs="Arial"/>
          <w:spacing w:val="-3"/>
          <w:sz w:val="22"/>
          <w:szCs w:val="24"/>
          <w:lang w:val="es-419"/>
        </w:rPr>
        <w:t>Criterio auxiliar</w:t>
      </w:r>
      <w:r w:rsidRPr="00311068">
        <w:rPr>
          <w:rFonts w:ascii="Georgia" w:hAnsi="Georgia" w:cs="Arial"/>
          <w:spacing w:val="-3"/>
          <w:sz w:val="24"/>
          <w:szCs w:val="24"/>
          <w:lang w:val="es-419"/>
        </w:rPr>
        <w:t>) que: (i) El plazo para dictar la sentencia corre de forma objetiva, salvo interrupción o suspensión del litigio; y, (ii) La nulidad opera de pleno derecho, por manera que</w:t>
      </w:r>
      <w:r w:rsidRPr="00311068">
        <w:rPr>
          <w:rFonts w:ascii="Bookman Old Style" w:hAnsi="Bookman Old Style"/>
          <w:spacing w:val="-20"/>
          <w:szCs w:val="24"/>
          <w:lang w:val="es-419"/>
        </w:rPr>
        <w:t xml:space="preserve"> </w:t>
      </w:r>
      <w:r w:rsidRPr="00311068">
        <w:rPr>
          <w:rFonts w:ascii="Georgia" w:hAnsi="Georgia"/>
          <w:i/>
          <w:spacing w:val="-20"/>
          <w:sz w:val="22"/>
          <w:szCs w:val="22"/>
          <w:lang w:val="es-419"/>
        </w:rPr>
        <w:t xml:space="preserve">“(…)  </w:t>
      </w:r>
      <w:r w:rsidRPr="00311068">
        <w:rPr>
          <w:rFonts w:ascii="Georgia" w:hAnsi="Georgia" w:cs="Arial"/>
          <w:i/>
          <w:smallCaps/>
          <w:spacing w:val="-3"/>
          <w:sz w:val="22"/>
          <w:szCs w:val="22"/>
          <w:lang w:val="es-419"/>
        </w:rPr>
        <w:t>surte efectos sin necesidad de reconocimiento</w:t>
      </w:r>
      <w:r w:rsidRPr="00311068">
        <w:rPr>
          <w:rFonts w:ascii="Georgia" w:hAnsi="Georgia" w:cs="Arial"/>
          <w:i/>
          <w:spacing w:val="-3"/>
          <w:sz w:val="22"/>
          <w:szCs w:val="22"/>
          <w:lang w:val="es-419"/>
        </w:rPr>
        <w:t xml:space="preserve">, de suerte que no puede recobrar fuerza, ni siquiera por el paso del tiempo o la inacción de las partes, </w:t>
      </w:r>
      <w:r w:rsidRPr="00311068">
        <w:rPr>
          <w:rFonts w:ascii="Georgia" w:hAnsi="Georgia" w:cs="Arial"/>
          <w:i/>
          <w:smallCaps/>
          <w:spacing w:val="-3"/>
          <w:sz w:val="22"/>
          <w:szCs w:val="22"/>
          <w:lang w:val="es-419"/>
        </w:rPr>
        <w:t>de allí que se excluya la aplicación del principio de invalidación (</w:t>
      </w:r>
      <w:r w:rsidRPr="00311068">
        <w:rPr>
          <w:rFonts w:ascii="Georgia" w:hAnsi="Georgia" w:cs="Arial"/>
          <w:i/>
          <w:spacing w:val="-3"/>
          <w:sz w:val="22"/>
          <w:szCs w:val="22"/>
          <w:lang w:val="es-419"/>
        </w:rPr>
        <w:t>Sic</w:t>
      </w:r>
      <w:r w:rsidRPr="00311068">
        <w:rPr>
          <w:rFonts w:ascii="Georgia" w:hAnsi="Georgia" w:cs="Arial"/>
          <w:i/>
          <w:smallCaps/>
          <w:spacing w:val="-3"/>
          <w:sz w:val="22"/>
          <w:szCs w:val="22"/>
          <w:lang w:val="es-419"/>
        </w:rPr>
        <w:t xml:space="preserve">) </w:t>
      </w:r>
      <w:r w:rsidRPr="00311068">
        <w:rPr>
          <w:rFonts w:ascii="Georgia" w:hAnsi="Georgia" w:cs="Arial"/>
          <w:i/>
          <w:smallCaps/>
          <w:spacing w:val="-3"/>
          <w:szCs w:val="22"/>
          <w:lang w:val="es-419"/>
        </w:rPr>
        <w:t>(</w:t>
      </w:r>
      <w:r w:rsidRPr="00311068">
        <w:rPr>
          <w:rFonts w:ascii="Georgia" w:hAnsi="Georgia" w:cs="Arial"/>
          <w:i/>
          <w:spacing w:val="-3"/>
          <w:szCs w:val="22"/>
          <w:lang w:val="es-419"/>
        </w:rPr>
        <w:t>Debe entenderse convalidación)</w:t>
      </w:r>
      <w:r w:rsidRPr="00311068">
        <w:rPr>
          <w:rFonts w:ascii="Georgia" w:hAnsi="Georgia" w:cs="Arial"/>
          <w:i/>
          <w:smallCaps/>
          <w:spacing w:val="-3"/>
          <w:sz w:val="22"/>
          <w:szCs w:val="22"/>
          <w:lang w:val="es-419"/>
        </w:rPr>
        <w:t xml:space="preserve"> o saneamiento </w:t>
      </w:r>
      <w:r w:rsidRPr="00311068">
        <w:rPr>
          <w:rFonts w:ascii="Georgia" w:hAnsi="Georgia" w:cs="Arial"/>
          <w:i/>
          <w:spacing w:val="-3"/>
          <w:sz w:val="22"/>
          <w:szCs w:val="22"/>
          <w:lang w:val="es-419"/>
        </w:rPr>
        <w:t xml:space="preserve">(…)” </w:t>
      </w:r>
      <w:r w:rsidRPr="00311068">
        <w:rPr>
          <w:rFonts w:ascii="Georgia" w:hAnsi="Georgia" w:cs="Arial"/>
          <w:spacing w:val="-3"/>
          <w:sz w:val="24"/>
          <w:szCs w:val="22"/>
          <w:lang w:val="es-419"/>
        </w:rPr>
        <w:t xml:space="preserve">(Versalitas fuera del texto). </w:t>
      </w:r>
    </w:p>
    <w:p w:rsidR="00DE1651" w:rsidRPr="00311068" w:rsidRDefault="00DE1651" w:rsidP="009162A0">
      <w:pPr>
        <w:tabs>
          <w:tab w:val="left" w:pos="-720"/>
        </w:tabs>
        <w:suppressAutoHyphens/>
        <w:spacing w:line="288" w:lineRule="auto"/>
        <w:jc w:val="both"/>
        <w:rPr>
          <w:rFonts w:ascii="Georgia" w:hAnsi="Georgia" w:cs="Arial"/>
          <w:spacing w:val="-3"/>
          <w:sz w:val="24"/>
          <w:szCs w:val="22"/>
          <w:lang w:val="es-419"/>
        </w:rPr>
      </w:pPr>
    </w:p>
    <w:p w:rsidR="00DE1651" w:rsidRPr="00311068" w:rsidRDefault="00DE1651" w:rsidP="009162A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4"/>
          <w:lang w:val="es-419" w:eastAsia="es-CO"/>
        </w:rPr>
      </w:pPr>
      <w:r w:rsidRPr="00311068">
        <w:rPr>
          <w:rFonts w:ascii="Georgia" w:hAnsi="Georgia" w:cs="Arial"/>
          <w:spacing w:val="-3"/>
          <w:sz w:val="24"/>
          <w:szCs w:val="22"/>
          <w:lang w:val="es-419"/>
        </w:rPr>
        <w:t xml:space="preserve">Sin embargo, </w:t>
      </w:r>
      <w:r w:rsidRPr="00311068">
        <w:rPr>
          <w:rFonts w:ascii="Georgia" w:hAnsi="Georgia" w:cs="Arial"/>
          <w:spacing w:val="-3"/>
          <w:sz w:val="24"/>
          <w:lang w:val="es-419" w:eastAsia="es-CO"/>
        </w:rPr>
        <w:t>esta Sala Unitaria</w:t>
      </w:r>
      <w:r w:rsidRPr="00311068">
        <w:rPr>
          <w:rFonts w:ascii="Georgia" w:hAnsi="Georgia" w:cs="Arial"/>
          <w:spacing w:val="-3"/>
          <w:sz w:val="24"/>
          <w:szCs w:val="22"/>
          <w:lang w:val="es-419"/>
        </w:rPr>
        <w:t xml:space="preserve">, se aparta parcialmente de esa doctrina judicial porque no se trata de jurisprudencia con efectos vinculantes por expedirse por una autoridad ajena al órgano de cierre de la especialidad </w:t>
      </w:r>
      <w:r w:rsidRPr="00311068">
        <w:rPr>
          <w:rFonts w:ascii="Georgia" w:hAnsi="Georgia" w:cs="Arial"/>
          <w:spacing w:val="-3"/>
          <w:sz w:val="24"/>
          <w:szCs w:val="22"/>
          <w:u w:val="single"/>
          <w:lang w:val="es-419"/>
        </w:rPr>
        <w:t>constitucional</w:t>
      </w:r>
      <w:r w:rsidRPr="00311068">
        <w:rPr>
          <w:rFonts w:ascii="Georgia" w:hAnsi="Georgia" w:cs="Arial"/>
          <w:spacing w:val="-3"/>
          <w:sz w:val="24"/>
          <w:szCs w:val="22"/>
          <w:lang w:val="es-419"/>
        </w:rPr>
        <w:t>, es un típico criterio auxiliar</w:t>
      </w:r>
      <w:r w:rsidRPr="00311068">
        <w:rPr>
          <w:rStyle w:val="Refdenotaalpie"/>
          <w:rFonts w:ascii="Georgia" w:hAnsi="Georgia"/>
          <w:spacing w:val="-3"/>
          <w:sz w:val="24"/>
          <w:szCs w:val="22"/>
          <w:lang w:val="es-419"/>
        </w:rPr>
        <w:footnoteReference w:id="11"/>
      </w:r>
      <w:r w:rsidRPr="00311068">
        <w:rPr>
          <w:rFonts w:ascii="Georgia" w:hAnsi="Georgia" w:cs="Arial"/>
          <w:spacing w:val="-3"/>
          <w:sz w:val="24"/>
          <w:szCs w:val="22"/>
          <w:lang w:val="es-419"/>
        </w:rPr>
        <w:t xml:space="preserve">, según establece el Alto Tribunal Constitucional: </w:t>
      </w:r>
      <w:r w:rsidRPr="00311068">
        <w:rPr>
          <w:rFonts w:ascii="Georgia" w:hAnsi="Georgia" w:cs="Arial"/>
          <w:i/>
          <w:spacing w:val="-3"/>
          <w:sz w:val="22"/>
          <w:lang w:val="es-419" w:eastAsia="es-CO"/>
        </w:rPr>
        <w:t xml:space="preserve">“ (…) para la mayoría de asuntos, el precedente vertical que deben seguir los funcionarios judiciales es determinado por la Corte Suprema de Justicia o por el Consejo de Estado, </w:t>
      </w:r>
      <w:r w:rsidRPr="00311068">
        <w:rPr>
          <w:rFonts w:ascii="Georgia" w:hAnsi="Georgia" w:cs="Arial"/>
          <w:i/>
          <w:spacing w:val="-3"/>
          <w:sz w:val="22"/>
          <w:u w:val="single"/>
          <w:lang w:val="es-419" w:eastAsia="es-CO"/>
        </w:rPr>
        <w:t>como órganos de cierre dentro de su respectiva jurisdicción</w:t>
      </w:r>
      <w:r w:rsidRPr="00311068">
        <w:rPr>
          <w:rFonts w:ascii="Georgia" w:hAnsi="Georgia" w:cs="Arial"/>
          <w:i/>
          <w:spacing w:val="-3"/>
          <w:sz w:val="22"/>
          <w:vertAlign w:val="superscript"/>
          <w:lang w:val="es-419" w:eastAsia="es-CO"/>
        </w:rPr>
        <w:footnoteReference w:id="12"/>
      </w:r>
      <w:r w:rsidRPr="00311068">
        <w:rPr>
          <w:rFonts w:ascii="Georgia" w:hAnsi="Georgia" w:cs="Arial"/>
          <w:i/>
          <w:spacing w:val="-3"/>
          <w:sz w:val="22"/>
          <w:lang w:val="es-419" w:eastAsia="es-CO"/>
        </w:rPr>
        <w:t>. En los casos en los que no son susceptibles de ser revisados por las autoridades mencionadas, son los tribunales los encargados de establecer criterios hermenéuticos para los operadores judiciales inferiores (…)”</w:t>
      </w:r>
      <w:r w:rsidRPr="00311068">
        <w:rPr>
          <w:rFonts w:ascii="Georgia" w:hAnsi="Georgia" w:cs="Arial"/>
          <w:i/>
          <w:spacing w:val="-3"/>
          <w:vertAlign w:val="superscript"/>
          <w:lang w:val="es-419" w:eastAsia="es-CO"/>
        </w:rPr>
        <w:footnoteReference w:id="13"/>
      </w:r>
      <w:r w:rsidRPr="00311068">
        <w:rPr>
          <w:rFonts w:ascii="Georgia" w:hAnsi="Georgia" w:cs="Arial"/>
          <w:i/>
          <w:spacing w:val="-3"/>
          <w:sz w:val="22"/>
          <w:lang w:val="es-419" w:eastAsia="es-CO"/>
        </w:rPr>
        <w:t xml:space="preserve"> </w:t>
      </w:r>
      <w:r w:rsidRPr="00311068">
        <w:rPr>
          <w:rFonts w:ascii="Georgia" w:hAnsi="Georgia" w:cs="Arial"/>
          <w:spacing w:val="-3"/>
          <w:sz w:val="22"/>
          <w:lang w:val="es-419" w:eastAsia="es-CO"/>
        </w:rPr>
        <w:t>(Destacado extratextual)</w:t>
      </w:r>
      <w:r w:rsidRPr="00311068">
        <w:rPr>
          <w:rFonts w:ascii="Georgia" w:hAnsi="Georgia" w:cs="Arial"/>
          <w:i/>
          <w:spacing w:val="-3"/>
          <w:lang w:val="es-419" w:eastAsia="es-CO"/>
        </w:rPr>
        <w:t>.</w:t>
      </w:r>
      <w:r w:rsidRPr="00311068">
        <w:rPr>
          <w:rFonts w:ascii="Georgia" w:hAnsi="Georgia" w:cs="Arial"/>
          <w:spacing w:val="-3"/>
          <w:sz w:val="24"/>
          <w:lang w:val="es-419" w:eastAsia="es-CO"/>
        </w:rPr>
        <w:t xml:space="preserve">  Nuestra CSJ unifica la jurisprudencia en materias civiles, de familia, comercial y agraria, en ejercicio de tal función profiere precedentes verticales (</w:t>
      </w:r>
      <w:r w:rsidRPr="00311068">
        <w:rPr>
          <w:rFonts w:ascii="Georgia" w:hAnsi="Georgia" w:cs="Arial"/>
          <w:spacing w:val="-3"/>
          <w:sz w:val="22"/>
          <w:lang w:val="es-419" w:eastAsia="es-CO"/>
        </w:rPr>
        <w:t>T-460 de 2016</w:t>
      </w:r>
      <w:r w:rsidRPr="00311068">
        <w:rPr>
          <w:rFonts w:ascii="Georgia" w:hAnsi="Georgia" w:cs="Arial"/>
          <w:spacing w:val="-3"/>
          <w:sz w:val="24"/>
          <w:lang w:val="es-419" w:eastAsia="es-CO"/>
        </w:rPr>
        <w:t>), y doctrina probable</w:t>
      </w:r>
      <w:r w:rsidRPr="00311068">
        <w:rPr>
          <w:rStyle w:val="Refdenotaalpie"/>
          <w:rFonts w:ascii="Georgia" w:hAnsi="Georgia"/>
          <w:spacing w:val="-3"/>
          <w:sz w:val="24"/>
          <w:lang w:val="es-419" w:eastAsia="es-CO"/>
        </w:rPr>
        <w:footnoteReference w:id="14"/>
      </w:r>
      <w:r w:rsidRPr="00311068">
        <w:rPr>
          <w:rFonts w:ascii="Georgia" w:hAnsi="Georgia" w:cs="Arial"/>
          <w:spacing w:val="-3"/>
          <w:sz w:val="24"/>
          <w:lang w:val="es-419" w:eastAsia="es-CO"/>
        </w:rPr>
        <w:t>.</w:t>
      </w:r>
    </w:p>
    <w:p w:rsidR="00DE1651" w:rsidRPr="00311068" w:rsidRDefault="00DE1651" w:rsidP="009162A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eastAsia="es-CO"/>
        </w:rPr>
      </w:pPr>
    </w:p>
    <w:p w:rsidR="00DE1651" w:rsidRDefault="00DE1651" w:rsidP="009162A0">
      <w:pPr>
        <w:spacing w:line="288" w:lineRule="auto"/>
        <w:jc w:val="both"/>
        <w:rPr>
          <w:rFonts w:ascii="Georgia" w:hAnsi="Georgia"/>
          <w:sz w:val="24"/>
          <w:szCs w:val="24"/>
          <w:lang w:val="es-419" w:eastAsia="en-US"/>
        </w:rPr>
      </w:pPr>
      <w:r w:rsidRPr="00311068">
        <w:rPr>
          <w:rFonts w:ascii="Georgia" w:hAnsi="Georgia" w:cs="Arial"/>
          <w:spacing w:val="-3"/>
          <w:sz w:val="24"/>
          <w:szCs w:val="24"/>
          <w:lang w:val="es-419" w:eastAsia="es-CO"/>
        </w:rPr>
        <w:t>Por lo dicho, para discrepar de la citada tesis de la CSJ es innecesario cumplir las subreglas para apartarse del precedente, consistentes de acuerdo con la CC</w:t>
      </w:r>
      <w:r w:rsidRPr="00311068">
        <w:rPr>
          <w:rStyle w:val="Refdenotaalpie"/>
          <w:rFonts w:ascii="Georgia" w:hAnsi="Georgia"/>
          <w:spacing w:val="-3"/>
          <w:sz w:val="24"/>
          <w:szCs w:val="24"/>
          <w:lang w:val="es-419" w:eastAsia="es-CO"/>
        </w:rPr>
        <w:footnoteReference w:id="15"/>
      </w:r>
      <w:r w:rsidRPr="00311068">
        <w:rPr>
          <w:rFonts w:ascii="Georgia" w:hAnsi="Georgia" w:cs="Arial"/>
          <w:spacing w:val="-3"/>
          <w:sz w:val="24"/>
          <w:szCs w:val="24"/>
          <w:lang w:val="es-419" w:eastAsia="es-CO"/>
        </w:rPr>
        <w:t xml:space="preserve"> en: </w:t>
      </w:r>
      <w:r w:rsidRPr="00311068">
        <w:rPr>
          <w:rFonts w:ascii="Georgia" w:hAnsi="Georgia"/>
          <w:sz w:val="24"/>
          <w:szCs w:val="24"/>
          <w:lang w:val="es-419" w:eastAsia="en-US"/>
        </w:rPr>
        <w:t xml:space="preserve">(i) Hacer referencia al precedente que abandona; y (ii) Ofrecer una carga argumentativa que explique de manera suficiente y razonada los motivos para discentir. </w:t>
      </w:r>
    </w:p>
    <w:p w:rsidR="00311068" w:rsidRPr="00311068" w:rsidRDefault="00311068" w:rsidP="009162A0">
      <w:pPr>
        <w:spacing w:line="288" w:lineRule="auto"/>
        <w:jc w:val="both"/>
        <w:rPr>
          <w:rFonts w:ascii="Georgia" w:hAnsi="Georgia"/>
          <w:sz w:val="24"/>
          <w:szCs w:val="24"/>
          <w:lang w:val="es-419" w:eastAsia="en-US"/>
        </w:rPr>
      </w:pPr>
    </w:p>
    <w:p w:rsidR="00DE1651" w:rsidRPr="00311068" w:rsidRDefault="00DE1651" w:rsidP="009162A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4"/>
          <w:szCs w:val="22"/>
          <w:lang w:val="es-419"/>
        </w:rPr>
      </w:pPr>
      <w:r w:rsidRPr="00311068">
        <w:rPr>
          <w:rFonts w:ascii="Georgia" w:hAnsi="Georgia" w:cs="Arial"/>
          <w:spacing w:val="-3"/>
          <w:sz w:val="24"/>
          <w:lang w:val="es-419" w:eastAsia="es-CO"/>
        </w:rPr>
        <w:t>Estima esta Sala plausibles las motivaciones de los salvamentos de voto</w:t>
      </w:r>
      <w:r w:rsidRPr="00311068">
        <w:rPr>
          <w:rFonts w:ascii="Georgia" w:hAnsi="Georgia" w:cs="Arial"/>
          <w:spacing w:val="-3"/>
          <w:sz w:val="24"/>
          <w:szCs w:val="22"/>
          <w:lang w:val="es-419"/>
        </w:rPr>
        <w:t xml:space="preserve"> de los Magistrados Luis A. Rico P. y Ariel Salazar R., a las precitadas decisiones y en la línea de pensamiento de la CC</w:t>
      </w:r>
      <w:r w:rsidRPr="00311068">
        <w:rPr>
          <w:rStyle w:val="Refdenotaalpie"/>
          <w:rFonts w:ascii="Georgia" w:hAnsi="Georgia"/>
          <w:spacing w:val="-3"/>
          <w:sz w:val="24"/>
          <w:szCs w:val="22"/>
          <w:lang w:val="es-419"/>
        </w:rPr>
        <w:footnoteReference w:id="16"/>
      </w:r>
      <w:r w:rsidRPr="00311068">
        <w:rPr>
          <w:rFonts w:ascii="Georgia" w:hAnsi="Georgia" w:cs="Arial"/>
          <w:spacing w:val="-3"/>
          <w:sz w:val="24"/>
          <w:szCs w:val="22"/>
          <w:lang w:val="es-419"/>
        </w:rPr>
        <w:t>; en cuanto aprecian que existen diferentes vicisitudes que examinadas con una “hermenéutica jurídica sistemática” del estatuto procesal vigente, hacen que el plazo se cuente desde un hito diferente (</w:t>
      </w:r>
      <w:r w:rsidRPr="00311068">
        <w:rPr>
          <w:rFonts w:ascii="Georgia" w:hAnsi="Georgia" w:cs="Arial"/>
          <w:spacing w:val="-3"/>
          <w:sz w:val="22"/>
          <w:szCs w:val="22"/>
          <w:lang w:val="es-419"/>
        </w:rPr>
        <w:t>No es objetivo</w:t>
      </w:r>
      <w:r w:rsidRPr="00311068">
        <w:rPr>
          <w:rFonts w:ascii="Georgia" w:hAnsi="Georgia" w:cs="Arial"/>
          <w:spacing w:val="-3"/>
          <w:sz w:val="24"/>
          <w:szCs w:val="22"/>
          <w:lang w:val="es-419"/>
        </w:rPr>
        <w:t>). Sobre el punto señaló el doctor Salazar R.:</w:t>
      </w:r>
    </w:p>
    <w:p w:rsidR="00DE1651" w:rsidRPr="00311068" w:rsidRDefault="00DE1651" w:rsidP="009162A0">
      <w:pPr>
        <w:tabs>
          <w:tab w:val="left" w:pos="-720"/>
        </w:tabs>
        <w:suppressAutoHyphens/>
        <w:spacing w:line="288" w:lineRule="auto"/>
        <w:jc w:val="both"/>
        <w:rPr>
          <w:rFonts w:ascii="Georgia" w:hAnsi="Georgia" w:cs="Arial"/>
          <w:spacing w:val="-3"/>
          <w:sz w:val="24"/>
          <w:szCs w:val="22"/>
          <w:lang w:val="es-419"/>
        </w:rPr>
      </w:pPr>
    </w:p>
    <w:p w:rsidR="00DE1651" w:rsidRPr="00311068" w:rsidRDefault="00DE1651" w:rsidP="009162A0">
      <w:pPr>
        <w:widowControl w:val="0"/>
        <w:ind w:left="426" w:right="420"/>
        <w:jc w:val="both"/>
        <w:rPr>
          <w:rFonts w:ascii="Georgia" w:hAnsi="Georgia" w:cs="Arial"/>
          <w:sz w:val="22"/>
          <w:szCs w:val="27"/>
          <w:lang w:val="es-419"/>
        </w:rPr>
      </w:pPr>
      <w:r w:rsidRPr="00311068">
        <w:rPr>
          <w:rFonts w:ascii="Georgia" w:hAnsi="Georgia" w:cs="Arial"/>
          <w:sz w:val="22"/>
          <w:szCs w:val="27"/>
          <w:lang w:val="es-419"/>
        </w:rPr>
        <w:t>En todo caso, es preciso tomar en consideración las circunstancias que rodean el litigio, tales como las suspensiones e interrupciones del proceso por causa legal; la conducta dilatoria de las partes, bien sea por negligencia, por mala fe, o por razones ajenas a su voluntad; la complejidad de la controversia jurídica; las dificultades en la recaudación del acervo probatorio; la necesidad de aplazar o extender las actuaciones para garantizar el derecho de defensa y contradicción; y un sinnúmero de circunstancias previsibles o impredecibles que pueden surgir en el desarrollo de las actuaciones, diligencias y etapas procesales.</w:t>
      </w:r>
    </w:p>
    <w:p w:rsidR="00DE1651" w:rsidRPr="00311068" w:rsidRDefault="00DE1651" w:rsidP="009162A0">
      <w:pPr>
        <w:widowControl w:val="0"/>
        <w:ind w:left="426" w:right="420"/>
        <w:jc w:val="both"/>
        <w:rPr>
          <w:rFonts w:ascii="Georgia" w:hAnsi="Georgia" w:cs="Arial"/>
          <w:sz w:val="22"/>
          <w:szCs w:val="27"/>
          <w:lang w:val="es-419"/>
        </w:rPr>
      </w:pPr>
    </w:p>
    <w:p w:rsidR="00DE1651" w:rsidRPr="00311068" w:rsidRDefault="00DE1651" w:rsidP="009162A0">
      <w:pPr>
        <w:widowControl w:val="0"/>
        <w:ind w:left="426" w:right="420"/>
        <w:jc w:val="both"/>
        <w:rPr>
          <w:rFonts w:ascii="Bookman Old Style" w:hAnsi="Bookman Old Style" w:cs="Arial"/>
          <w:sz w:val="24"/>
          <w:szCs w:val="27"/>
          <w:lang w:val="es-419"/>
        </w:rPr>
      </w:pPr>
      <w:r w:rsidRPr="00311068">
        <w:rPr>
          <w:rFonts w:ascii="Georgia" w:hAnsi="Georgia" w:cs="Arial"/>
          <w:sz w:val="22"/>
          <w:szCs w:val="27"/>
          <w:lang w:val="es-419"/>
        </w:rPr>
        <w:t>La objetividad, llevada al extremo de lo absoluto, no es un valor del proceso, sino una excusa que puede prestarse para patrocinar situaciones de mala fe o deslealtad procesal (en contravía de lo estipulado en el artículo 78, num. 1, del C.G.P.), tal como ocurre cuando una de las partes despliega una conducta procesal dilatoria, pide aplazamiento injustificado de las audiencias y diligencias, abusa de la facultad para interponer recursos, o guarda silencio frente a la nulidad del artículo 121 para, posteriormente, prevalida de la extensión de los tiempos a los que ella misma dio lugar, alegar la nulidad por vencimiento del término para fallar.</w:t>
      </w:r>
    </w:p>
    <w:p w:rsidR="00DE1651" w:rsidRPr="00311068" w:rsidRDefault="00DE1651" w:rsidP="009162A0">
      <w:pPr>
        <w:tabs>
          <w:tab w:val="left" w:pos="-720"/>
        </w:tabs>
        <w:suppressAutoHyphens/>
        <w:spacing w:line="288" w:lineRule="auto"/>
        <w:jc w:val="both"/>
        <w:rPr>
          <w:rFonts w:ascii="Georgia" w:hAnsi="Georgia" w:cs="Arial"/>
          <w:spacing w:val="-3"/>
          <w:sz w:val="24"/>
          <w:szCs w:val="22"/>
          <w:lang w:val="es-419"/>
        </w:rPr>
      </w:pPr>
    </w:p>
    <w:p w:rsidR="00DE1651" w:rsidRPr="00311068" w:rsidRDefault="00DE1651" w:rsidP="009162A0">
      <w:pPr>
        <w:tabs>
          <w:tab w:val="left" w:pos="-720"/>
        </w:tabs>
        <w:suppressAutoHyphens/>
        <w:spacing w:line="288" w:lineRule="auto"/>
        <w:jc w:val="both"/>
        <w:rPr>
          <w:rFonts w:ascii="Georgia" w:hAnsi="Georgia"/>
          <w:i/>
          <w:smallCaps/>
          <w:sz w:val="22"/>
          <w:szCs w:val="22"/>
          <w:lang w:val="es-419"/>
        </w:rPr>
      </w:pPr>
      <w:r w:rsidRPr="00311068">
        <w:rPr>
          <w:rFonts w:ascii="Georgia" w:hAnsi="Georgia" w:cs="Arial"/>
          <w:spacing w:val="-3"/>
          <w:sz w:val="24"/>
          <w:szCs w:val="22"/>
          <w:lang w:val="es-419"/>
        </w:rPr>
        <w:t>Por su parte, el Alto Tribunal Constitucional</w:t>
      </w:r>
      <w:r w:rsidRPr="00311068">
        <w:rPr>
          <w:rStyle w:val="Refdenotaalpie"/>
          <w:rFonts w:ascii="Georgia" w:hAnsi="Georgia"/>
          <w:spacing w:val="-3"/>
          <w:sz w:val="24"/>
          <w:szCs w:val="22"/>
          <w:lang w:val="es-419"/>
        </w:rPr>
        <w:footnoteReference w:id="17"/>
      </w:r>
      <w:r w:rsidRPr="00311068">
        <w:rPr>
          <w:rFonts w:ascii="Georgia" w:hAnsi="Georgia" w:cs="Arial"/>
          <w:spacing w:val="-3"/>
          <w:sz w:val="24"/>
          <w:szCs w:val="22"/>
          <w:lang w:val="es-419"/>
        </w:rPr>
        <w:t xml:space="preserve"> en acápite considerativo (</w:t>
      </w:r>
      <w:r w:rsidRPr="00311068">
        <w:rPr>
          <w:rFonts w:ascii="Georgia" w:hAnsi="Georgia" w:cs="Arial"/>
          <w:i/>
          <w:spacing w:val="-3"/>
          <w:sz w:val="22"/>
          <w:szCs w:val="22"/>
          <w:lang w:val="es-419"/>
        </w:rPr>
        <w:t>Que es un obiter dicta</w:t>
      </w:r>
      <w:r w:rsidRPr="00311068">
        <w:rPr>
          <w:rFonts w:ascii="Georgia" w:hAnsi="Georgia" w:cs="Arial"/>
          <w:spacing w:val="-3"/>
          <w:sz w:val="24"/>
          <w:szCs w:val="22"/>
          <w:lang w:val="es-419"/>
        </w:rPr>
        <w:t xml:space="preserve">) indicó: </w:t>
      </w:r>
      <w:r w:rsidRPr="00311068">
        <w:rPr>
          <w:rFonts w:ascii="Georgia" w:hAnsi="Georgia" w:cs="Arial"/>
          <w:i/>
          <w:spacing w:val="-3"/>
          <w:sz w:val="22"/>
          <w:szCs w:val="22"/>
          <w:lang w:val="es-419"/>
        </w:rPr>
        <w:t xml:space="preserve">“(…) </w:t>
      </w:r>
      <w:r w:rsidRPr="00311068">
        <w:rPr>
          <w:rFonts w:ascii="Georgia" w:hAnsi="Georgia"/>
          <w:i/>
          <w:color w:val="000000"/>
          <w:sz w:val="22"/>
          <w:szCs w:val="22"/>
          <w:lang w:val="es-419"/>
        </w:rPr>
        <w:t>87.</w:t>
      </w:r>
      <w:r w:rsidRPr="00311068">
        <w:rPr>
          <w:rFonts w:ascii="Georgia" w:hAnsi="Georgia"/>
          <w:i/>
          <w:sz w:val="22"/>
          <w:szCs w:val="22"/>
          <w:lang w:val="es-419"/>
        </w:rPr>
        <w:t>Sin embargo, la idea del derecho al debido proceso sin dilaciones injustificadas y de la prestación del servicio público a la administración de justicia con la observancia diligente de los términos procesales, so pena de sancionar su incumplimiento, ha determinado la construcción de una línea jurisprudencial, nacional</w:t>
      </w:r>
      <w:bookmarkStart w:id="1" w:name="_ftnref65"/>
      <w:r w:rsidRPr="00311068">
        <w:rPr>
          <w:rStyle w:val="Refdenotaalpie"/>
          <w:rFonts w:ascii="Georgia" w:hAnsi="Georgia"/>
          <w:i/>
          <w:sz w:val="22"/>
          <w:szCs w:val="22"/>
          <w:lang w:val="es-419"/>
        </w:rPr>
        <w:footnoteReference w:id="18"/>
      </w:r>
      <w:bookmarkEnd w:id="1"/>
      <w:r w:rsidRPr="00311068">
        <w:rPr>
          <w:rFonts w:ascii="Georgia" w:hAnsi="Georgia"/>
          <w:i/>
          <w:sz w:val="22"/>
          <w:szCs w:val="22"/>
          <w:lang w:val="es-419"/>
        </w:rPr>
        <w:t xml:space="preserve"> e interamericana</w:t>
      </w:r>
      <w:bookmarkStart w:id="2" w:name="_ftnref66"/>
      <w:r w:rsidRPr="00311068">
        <w:rPr>
          <w:rStyle w:val="Refdenotaalpie"/>
          <w:rFonts w:ascii="Georgia" w:hAnsi="Georgia"/>
          <w:i/>
          <w:sz w:val="22"/>
          <w:szCs w:val="22"/>
          <w:lang w:val="es-419"/>
        </w:rPr>
        <w:footnoteReference w:id="19"/>
      </w:r>
      <w:bookmarkEnd w:id="2"/>
      <w:r w:rsidRPr="00311068">
        <w:rPr>
          <w:rFonts w:ascii="Georgia" w:hAnsi="Georgia"/>
          <w:i/>
          <w:sz w:val="22"/>
          <w:szCs w:val="22"/>
          <w:lang w:val="es-419"/>
        </w:rPr>
        <w:t xml:space="preserve">, sobre la mora judicial, </w:t>
      </w:r>
      <w:r w:rsidRPr="00311068">
        <w:rPr>
          <w:rFonts w:ascii="Georgia" w:hAnsi="Georgia"/>
          <w:i/>
          <w:sz w:val="22"/>
          <w:szCs w:val="22"/>
          <w:u w:val="single"/>
          <w:lang w:val="es-419"/>
        </w:rPr>
        <w:t xml:space="preserve">que parte del supuesto de que no todo incumplimiento de los términos procesales lesiona los derechos fundamentales, pues  para que ello ocurra se requiere verificar la superación del plazo razonable y </w:t>
      </w:r>
      <w:r w:rsidRPr="00311068">
        <w:rPr>
          <w:rFonts w:ascii="Georgia" w:hAnsi="Georgia"/>
          <w:i/>
          <w:smallCaps/>
          <w:sz w:val="22"/>
          <w:szCs w:val="22"/>
          <w:u w:val="single"/>
          <w:lang w:val="es-419"/>
        </w:rPr>
        <w:t>la inexistencia de un motivo válido que lo justifique</w:t>
      </w:r>
      <w:r w:rsidRPr="00311068">
        <w:rPr>
          <w:rFonts w:ascii="Georgia" w:hAnsi="Georgia"/>
          <w:i/>
          <w:smallCaps/>
          <w:sz w:val="22"/>
          <w:szCs w:val="22"/>
          <w:lang w:val="es-419"/>
        </w:rPr>
        <w:t xml:space="preserve">(…)” </w:t>
      </w:r>
      <w:r w:rsidRPr="00311068">
        <w:rPr>
          <w:rFonts w:ascii="Georgia" w:hAnsi="Georgia"/>
          <w:sz w:val="24"/>
          <w:szCs w:val="22"/>
          <w:lang w:val="es-419"/>
        </w:rPr>
        <w:t>(</w:t>
      </w:r>
      <w:r w:rsidRPr="00311068">
        <w:rPr>
          <w:rFonts w:ascii="Georgia" w:hAnsi="Georgia"/>
          <w:sz w:val="22"/>
          <w:szCs w:val="22"/>
          <w:lang w:val="es-419"/>
        </w:rPr>
        <w:t>Resaltado y versalitas, fuera de texto</w:t>
      </w:r>
      <w:r w:rsidRPr="00311068">
        <w:rPr>
          <w:rFonts w:ascii="Georgia" w:hAnsi="Georgia"/>
          <w:sz w:val="24"/>
          <w:szCs w:val="22"/>
          <w:lang w:val="es-419"/>
        </w:rPr>
        <w:t>).</w:t>
      </w:r>
    </w:p>
    <w:p w:rsidR="00DE1651" w:rsidRPr="00311068" w:rsidRDefault="00DE1651" w:rsidP="009162A0">
      <w:pPr>
        <w:tabs>
          <w:tab w:val="left" w:pos="-720"/>
        </w:tabs>
        <w:suppressAutoHyphens/>
        <w:spacing w:line="288" w:lineRule="auto"/>
        <w:jc w:val="both"/>
        <w:rPr>
          <w:rFonts w:ascii="Georgia" w:hAnsi="Georgia"/>
          <w:i/>
          <w:smallCaps/>
          <w:sz w:val="22"/>
          <w:szCs w:val="22"/>
          <w:lang w:val="es-419"/>
        </w:rPr>
      </w:pPr>
    </w:p>
    <w:p w:rsidR="00DE1651" w:rsidRPr="00311068" w:rsidRDefault="00DE1651" w:rsidP="009162A0">
      <w:pPr>
        <w:tabs>
          <w:tab w:val="left" w:pos="-720"/>
        </w:tabs>
        <w:suppressAutoHyphens/>
        <w:spacing w:line="288" w:lineRule="auto"/>
        <w:jc w:val="both"/>
        <w:rPr>
          <w:lang w:val="es-419"/>
        </w:rPr>
      </w:pPr>
      <w:r w:rsidRPr="00311068">
        <w:rPr>
          <w:rFonts w:ascii="Georgia" w:hAnsi="Georgia"/>
          <w:sz w:val="24"/>
          <w:szCs w:val="22"/>
          <w:lang w:val="es-419"/>
        </w:rPr>
        <w:t>Y luego precisó:</w:t>
      </w:r>
      <w:r w:rsidRPr="00311068">
        <w:rPr>
          <w:rFonts w:ascii="Georgia" w:hAnsi="Georgia"/>
          <w:sz w:val="22"/>
          <w:szCs w:val="22"/>
          <w:lang w:val="es-419"/>
        </w:rPr>
        <w:t xml:space="preserve"> </w:t>
      </w:r>
      <w:r w:rsidRPr="00311068">
        <w:rPr>
          <w:rFonts w:ascii="Georgia" w:hAnsi="Georgia"/>
          <w:i/>
          <w:sz w:val="22"/>
          <w:szCs w:val="22"/>
          <w:lang w:val="es-419"/>
        </w:rPr>
        <w:t>“(…) Este análisis se adelanta teniendo en cuenta (i) la complejidad del caso, (ii) la conducta procesal de las partes, (iii) la valoración global del procedimiento y (iv) los intereses que se debaten en el trámite</w:t>
      </w:r>
      <w:bookmarkStart w:id="3" w:name="_ftnref67"/>
      <w:r w:rsidRPr="00311068">
        <w:rPr>
          <w:rStyle w:val="Refdenotaalpie"/>
          <w:rFonts w:ascii="Georgia" w:hAnsi="Georgia"/>
          <w:i/>
          <w:sz w:val="22"/>
          <w:szCs w:val="22"/>
          <w:lang w:val="es-419"/>
        </w:rPr>
        <w:footnoteReference w:id="20"/>
      </w:r>
      <w:bookmarkEnd w:id="3"/>
      <w:r w:rsidRPr="00311068">
        <w:rPr>
          <w:rFonts w:ascii="Georgia" w:hAnsi="Georgia"/>
          <w:i/>
          <w:sz w:val="22"/>
          <w:szCs w:val="22"/>
          <w:lang w:val="es-419"/>
        </w:rPr>
        <w:t>(…)”</w:t>
      </w:r>
      <w:r w:rsidRPr="00311068">
        <w:rPr>
          <w:rFonts w:ascii="Georgia" w:hAnsi="Georgia"/>
          <w:sz w:val="24"/>
          <w:szCs w:val="22"/>
          <w:lang w:val="es-419"/>
        </w:rPr>
        <w:t xml:space="preserve">. Este razonamiento tampoco es </w:t>
      </w:r>
      <w:r w:rsidRPr="00311068">
        <w:rPr>
          <w:rFonts w:ascii="Georgia" w:hAnsi="Georgia"/>
          <w:sz w:val="24"/>
          <w:szCs w:val="22"/>
          <w:lang w:val="es-419"/>
        </w:rPr>
        <w:lastRenderedPageBreak/>
        <w:t xml:space="preserve">constitutivo de precedente constitucional, pues no fue la </w:t>
      </w:r>
      <w:r w:rsidRPr="00311068">
        <w:rPr>
          <w:rFonts w:ascii="Georgia" w:hAnsi="Georgia"/>
          <w:i/>
          <w:sz w:val="22"/>
          <w:szCs w:val="22"/>
          <w:lang w:val="es-419"/>
        </w:rPr>
        <w:t xml:space="preserve">ratio decidendi, </w:t>
      </w:r>
      <w:r w:rsidRPr="00311068">
        <w:rPr>
          <w:rFonts w:ascii="Georgia" w:hAnsi="Georgia"/>
          <w:sz w:val="24"/>
          <w:szCs w:val="22"/>
          <w:lang w:val="es-419"/>
        </w:rPr>
        <w:t xml:space="preserve">por ende, sin fuerza obligatoria: </w:t>
      </w:r>
      <w:r w:rsidRPr="00311068">
        <w:rPr>
          <w:rFonts w:ascii="Georgia" w:hAnsi="Georgia"/>
          <w:i/>
          <w:sz w:val="22"/>
          <w:lang w:val="es-419" w:eastAsia="en-US"/>
        </w:rPr>
        <w:t xml:space="preserve">“(…) Desde sus primeros pronunciamientos, </w:t>
      </w:r>
      <w:r w:rsidRPr="00311068">
        <w:rPr>
          <w:rFonts w:ascii="Georgia" w:hAnsi="Georgia"/>
          <w:i/>
          <w:sz w:val="22"/>
          <w:lang w:val="es-419"/>
        </w:rPr>
        <w:t>la Corte Constitucional ha reconocido el valor del precedente judicial de la ratio decidendi de sus decisiones, tanto en materia de constitucionalidad como en materia de tutela</w:t>
      </w:r>
      <w:r w:rsidRPr="00311068">
        <w:rPr>
          <w:rStyle w:val="Refdenotaalpie"/>
          <w:rFonts w:ascii="Georgia" w:hAnsi="Georgia"/>
          <w:i/>
          <w:sz w:val="22"/>
          <w:lang w:val="es-419"/>
        </w:rPr>
        <w:footnoteReference w:id="21"/>
      </w:r>
      <w:r w:rsidRPr="00311068">
        <w:rPr>
          <w:rFonts w:ascii="Georgia" w:hAnsi="Georgia"/>
          <w:i/>
          <w:sz w:val="22"/>
          <w:lang w:val="es-419"/>
        </w:rPr>
        <w:t xml:space="preserve"> (…)”</w:t>
      </w:r>
      <w:r w:rsidRPr="00311068">
        <w:rPr>
          <w:rStyle w:val="Refdenotaalpie"/>
          <w:rFonts w:ascii="Georgia" w:hAnsi="Georgia"/>
          <w:i/>
          <w:sz w:val="22"/>
          <w:lang w:val="es-419"/>
        </w:rPr>
        <w:footnoteReference w:id="22"/>
      </w:r>
      <w:r w:rsidRPr="00311068">
        <w:rPr>
          <w:lang w:val="es-419"/>
        </w:rPr>
        <w:t>.</w:t>
      </w:r>
    </w:p>
    <w:p w:rsidR="00DE1651" w:rsidRPr="00311068" w:rsidRDefault="00DE1651" w:rsidP="009162A0">
      <w:pPr>
        <w:tabs>
          <w:tab w:val="left" w:pos="-720"/>
        </w:tabs>
        <w:suppressAutoHyphens/>
        <w:spacing w:line="288" w:lineRule="auto"/>
        <w:jc w:val="both"/>
        <w:rPr>
          <w:rFonts w:ascii="Georgia" w:hAnsi="Georgia" w:cs="Arial"/>
          <w:spacing w:val="-3"/>
          <w:sz w:val="24"/>
          <w:szCs w:val="22"/>
          <w:lang w:val="es-419"/>
        </w:rPr>
      </w:pPr>
    </w:p>
    <w:p w:rsidR="00DE1651" w:rsidRPr="00311068" w:rsidRDefault="00DE1651" w:rsidP="009162A0">
      <w:pPr>
        <w:tabs>
          <w:tab w:val="left" w:pos="-720"/>
        </w:tabs>
        <w:suppressAutoHyphens/>
        <w:spacing w:line="288" w:lineRule="auto"/>
        <w:jc w:val="both"/>
        <w:rPr>
          <w:rFonts w:ascii="Georgia" w:hAnsi="Georgia" w:cs="Arial"/>
          <w:spacing w:val="-3"/>
          <w:sz w:val="24"/>
          <w:szCs w:val="24"/>
          <w:lang w:val="es-419"/>
        </w:rPr>
      </w:pPr>
      <w:r w:rsidRPr="00311068">
        <w:rPr>
          <w:rFonts w:ascii="Georgia" w:hAnsi="Georgia" w:cs="Arial"/>
          <w:spacing w:val="-3"/>
          <w:sz w:val="24"/>
          <w:szCs w:val="22"/>
          <w:lang w:val="es-419"/>
        </w:rPr>
        <w:t>A este propósito, como circunstancias que deben valorarse para desestimar la objetividad del plazo establecido en el artículo 121, CGP, están: (i) La fecha en que el proceso hizo tránsito de legislación, si a ello hubo lugar, pues a partir de esa data habrá de contabilizarse (</w:t>
      </w:r>
      <w:r w:rsidRPr="00311068">
        <w:rPr>
          <w:rFonts w:ascii="Georgia" w:hAnsi="Georgia" w:cs="Arial"/>
          <w:spacing w:val="-3"/>
          <w:sz w:val="22"/>
          <w:szCs w:val="22"/>
          <w:lang w:val="es-419"/>
        </w:rPr>
        <w:t>Artículo 625, CGP</w:t>
      </w:r>
      <w:r w:rsidRPr="00311068">
        <w:rPr>
          <w:rFonts w:ascii="Georgia" w:hAnsi="Georgia" w:cs="Arial"/>
          <w:spacing w:val="-3"/>
          <w:sz w:val="24"/>
          <w:szCs w:val="22"/>
          <w:lang w:val="es-419"/>
        </w:rPr>
        <w:t>); (ii) Si el auto admisorio se notificó al demandante por fuera de los treinta (30) días siguientes a la presentación de la demanda, el lapso del año empezará a contar desde la radicación (</w:t>
      </w:r>
      <w:r w:rsidRPr="00311068">
        <w:rPr>
          <w:rFonts w:ascii="Georgia" w:hAnsi="Georgia" w:cs="Arial"/>
          <w:spacing w:val="-3"/>
          <w:sz w:val="22"/>
          <w:szCs w:val="22"/>
          <w:lang w:val="es-419"/>
        </w:rPr>
        <w:t>Artículo 90, inciso 6º, CGP</w:t>
      </w:r>
      <w:r w:rsidRPr="00311068">
        <w:rPr>
          <w:rFonts w:ascii="Georgia" w:hAnsi="Georgia" w:cs="Arial"/>
          <w:spacing w:val="-3"/>
          <w:sz w:val="24"/>
          <w:szCs w:val="22"/>
          <w:lang w:val="es-419"/>
        </w:rPr>
        <w:t xml:space="preserve">). </w:t>
      </w:r>
    </w:p>
    <w:p w:rsidR="00DE1651" w:rsidRPr="00311068" w:rsidRDefault="00DE1651" w:rsidP="009162A0">
      <w:pPr>
        <w:tabs>
          <w:tab w:val="left" w:pos="-720"/>
        </w:tabs>
        <w:suppressAutoHyphens/>
        <w:spacing w:line="288" w:lineRule="auto"/>
        <w:jc w:val="both"/>
        <w:rPr>
          <w:rFonts w:ascii="Georgia" w:hAnsi="Georgia" w:cs="Arial"/>
          <w:spacing w:val="-3"/>
          <w:sz w:val="24"/>
          <w:szCs w:val="24"/>
          <w:lang w:val="es-419"/>
        </w:rPr>
      </w:pPr>
    </w:p>
    <w:p w:rsidR="00DE1651" w:rsidRPr="00311068" w:rsidRDefault="00DE1651" w:rsidP="009162A0">
      <w:pPr>
        <w:tabs>
          <w:tab w:val="left" w:pos="-720"/>
        </w:tabs>
        <w:suppressAutoHyphens/>
        <w:spacing w:line="288" w:lineRule="auto"/>
        <w:jc w:val="both"/>
        <w:rPr>
          <w:rFonts w:ascii="Georgia" w:hAnsi="Georgia" w:cs="Arial"/>
          <w:spacing w:val="-3"/>
          <w:sz w:val="24"/>
          <w:szCs w:val="22"/>
          <w:lang w:val="es-419"/>
        </w:rPr>
      </w:pPr>
      <w:r w:rsidRPr="00311068">
        <w:rPr>
          <w:rFonts w:ascii="Georgia" w:hAnsi="Georgia" w:cs="Arial"/>
          <w:spacing w:val="-3"/>
          <w:sz w:val="24"/>
          <w:szCs w:val="22"/>
          <w:lang w:val="es-419"/>
        </w:rPr>
        <w:t>Adicionalmente, en caso de haberse formulado llamamientos en garantía, si bien el CGP (</w:t>
      </w:r>
      <w:r w:rsidRPr="00311068">
        <w:rPr>
          <w:rFonts w:ascii="Georgia" w:hAnsi="Georgia" w:cs="Arial"/>
          <w:spacing w:val="-3"/>
          <w:sz w:val="22"/>
          <w:szCs w:val="22"/>
          <w:lang w:val="es-419"/>
        </w:rPr>
        <w:t>Artículo 66</w:t>
      </w:r>
      <w:r w:rsidRPr="00311068">
        <w:rPr>
          <w:rFonts w:ascii="Georgia" w:hAnsi="Georgia" w:cs="Arial"/>
          <w:spacing w:val="-3"/>
          <w:sz w:val="24"/>
          <w:szCs w:val="22"/>
          <w:lang w:val="es-419"/>
        </w:rPr>
        <w:t>) no estableció, expresamente, la suspensión del proceso para su notificación (</w:t>
      </w:r>
      <w:r w:rsidRPr="00311068">
        <w:rPr>
          <w:rFonts w:ascii="Georgia" w:hAnsi="Georgia" w:cs="Arial"/>
          <w:spacing w:val="-3"/>
          <w:sz w:val="22"/>
          <w:szCs w:val="22"/>
          <w:lang w:val="es-419"/>
        </w:rPr>
        <w:t>Como si lo hacía el artículo 56, CPC</w:t>
      </w:r>
      <w:r w:rsidRPr="00311068">
        <w:rPr>
          <w:rFonts w:ascii="Georgia" w:hAnsi="Georgia" w:cs="Arial"/>
          <w:spacing w:val="-3"/>
          <w:sz w:val="24"/>
          <w:szCs w:val="22"/>
          <w:lang w:val="es-419"/>
        </w:rPr>
        <w:t>), si debe considerarse que hay un plazo de seis (6) para lograrlo (Artículo 66-1º, CGP) y  el asunto estará supeditado para su avance a que se cumpla ese enteramiento, así debe entenderse al tenor artículo 372-1º, CGP y razona el profesor Rojas G.</w:t>
      </w:r>
      <w:r w:rsidRPr="00311068">
        <w:rPr>
          <w:rStyle w:val="Refdenotaalpie"/>
          <w:rFonts w:ascii="Georgia" w:hAnsi="Georgia"/>
          <w:spacing w:val="-3"/>
          <w:sz w:val="24"/>
          <w:szCs w:val="22"/>
          <w:lang w:val="es-419"/>
        </w:rPr>
        <w:footnoteReference w:id="23"/>
      </w:r>
      <w:r w:rsidRPr="00311068">
        <w:rPr>
          <w:rFonts w:ascii="Georgia" w:hAnsi="Georgia" w:cs="Arial"/>
          <w:spacing w:val="-3"/>
          <w:sz w:val="24"/>
          <w:szCs w:val="22"/>
          <w:lang w:val="es-419"/>
        </w:rPr>
        <w:t>. Igual sucede con la vinculación de “otras partes”</w:t>
      </w:r>
      <w:r w:rsidRPr="00311068">
        <w:rPr>
          <w:rStyle w:val="Refdenotaalpie"/>
          <w:rFonts w:ascii="Georgia" w:hAnsi="Georgia"/>
          <w:sz w:val="28"/>
          <w:szCs w:val="26"/>
          <w:lang w:val="es-419"/>
        </w:rPr>
        <w:footnoteReference w:id="24"/>
      </w:r>
      <w:r w:rsidRPr="00311068">
        <w:rPr>
          <w:rFonts w:ascii="Georgia" w:hAnsi="Georgia" w:cs="Arial"/>
          <w:spacing w:val="-3"/>
          <w:sz w:val="24"/>
          <w:szCs w:val="22"/>
          <w:lang w:val="es-419"/>
        </w:rPr>
        <w:t xml:space="preserve"> y al admitir  la contrademanda (</w:t>
      </w:r>
      <w:r w:rsidRPr="00311068">
        <w:rPr>
          <w:rFonts w:ascii="Georgia" w:hAnsi="Georgia" w:cs="Arial"/>
          <w:spacing w:val="-3"/>
          <w:sz w:val="22"/>
          <w:szCs w:val="22"/>
          <w:lang w:val="es-419"/>
        </w:rPr>
        <w:t>Artículo 371, CGP</w:t>
      </w:r>
      <w:r w:rsidRPr="00311068">
        <w:rPr>
          <w:rFonts w:ascii="Georgia" w:hAnsi="Georgia" w:cs="Arial"/>
          <w:spacing w:val="-3"/>
          <w:sz w:val="24"/>
          <w:szCs w:val="22"/>
          <w:lang w:val="es-419"/>
        </w:rPr>
        <w:t>). En esas condiciones, (iii) El plazo que corre mientras se notifica al llamado, suspende el proceso, siempre que no se superen los citados seis (6) meses de la norma.</w:t>
      </w:r>
    </w:p>
    <w:p w:rsidR="00DE1651" w:rsidRPr="00311068" w:rsidRDefault="00DE1651" w:rsidP="009162A0">
      <w:pPr>
        <w:tabs>
          <w:tab w:val="left" w:pos="-720"/>
        </w:tabs>
        <w:suppressAutoHyphens/>
        <w:spacing w:line="288" w:lineRule="auto"/>
        <w:jc w:val="both"/>
        <w:rPr>
          <w:rFonts w:ascii="Georgia" w:hAnsi="Georgia" w:cs="Arial"/>
          <w:spacing w:val="-3"/>
          <w:sz w:val="24"/>
          <w:szCs w:val="24"/>
          <w:lang w:val="es-419"/>
        </w:rPr>
      </w:pPr>
    </w:p>
    <w:p w:rsidR="00DE1651" w:rsidRPr="00311068" w:rsidRDefault="00DE1651" w:rsidP="009162A0">
      <w:pPr>
        <w:pStyle w:val="Prrafodelista"/>
        <w:numPr>
          <w:ilvl w:val="1"/>
          <w:numId w:val="1"/>
        </w:numPr>
        <w:tabs>
          <w:tab w:val="left" w:pos="-720"/>
        </w:tabs>
        <w:suppressAutoHyphens/>
        <w:spacing w:line="288" w:lineRule="auto"/>
        <w:jc w:val="both"/>
        <w:rPr>
          <w:rFonts w:ascii="Georgia" w:hAnsi="Georgia" w:cs="Arial"/>
          <w:smallCaps/>
          <w:spacing w:val="-3"/>
          <w:sz w:val="24"/>
          <w:szCs w:val="24"/>
          <w:lang w:val="es-419"/>
        </w:rPr>
      </w:pPr>
      <w:r w:rsidRPr="00311068">
        <w:rPr>
          <w:rFonts w:ascii="Georgia" w:hAnsi="Georgia" w:cs="Arial"/>
          <w:smallCaps/>
          <w:spacing w:val="-3"/>
          <w:sz w:val="24"/>
          <w:szCs w:val="24"/>
          <w:lang w:val="es-419"/>
        </w:rPr>
        <w:t>El caso concreto que se analiza</w:t>
      </w:r>
    </w:p>
    <w:p w:rsidR="00DE1651" w:rsidRPr="00311068" w:rsidRDefault="00DE1651" w:rsidP="009162A0">
      <w:pPr>
        <w:tabs>
          <w:tab w:val="left" w:pos="-720"/>
        </w:tabs>
        <w:suppressAutoHyphens/>
        <w:spacing w:line="288" w:lineRule="auto"/>
        <w:jc w:val="both"/>
        <w:rPr>
          <w:rFonts w:ascii="Georgia" w:hAnsi="Georgia" w:cs="Arial"/>
          <w:spacing w:val="-3"/>
          <w:sz w:val="24"/>
          <w:szCs w:val="24"/>
          <w:lang w:val="es-419"/>
        </w:rPr>
      </w:pPr>
    </w:p>
    <w:p w:rsidR="00DE1651" w:rsidRPr="00311068" w:rsidRDefault="00DE1651" w:rsidP="009162A0">
      <w:pPr>
        <w:tabs>
          <w:tab w:val="left" w:pos="-720"/>
        </w:tabs>
        <w:suppressAutoHyphens/>
        <w:spacing w:line="288" w:lineRule="auto"/>
        <w:jc w:val="both"/>
        <w:rPr>
          <w:rFonts w:ascii="Georgia" w:hAnsi="Georgia" w:cs="Arial"/>
          <w:spacing w:val="-3"/>
          <w:sz w:val="24"/>
          <w:szCs w:val="24"/>
          <w:lang w:val="es-419"/>
        </w:rPr>
      </w:pPr>
      <w:r w:rsidRPr="00311068">
        <w:rPr>
          <w:rFonts w:ascii="Georgia" w:hAnsi="Georgia" w:cs="Arial"/>
          <w:sz w:val="24"/>
          <w:szCs w:val="24"/>
          <w:lang w:val="es-419"/>
        </w:rPr>
        <w:t xml:space="preserve">Efectuada la revisión en este caso, se aprecia </w:t>
      </w:r>
      <w:r w:rsidRPr="00311068">
        <w:rPr>
          <w:rFonts w:ascii="Georgia" w:hAnsi="Georgia" w:cs="Arial"/>
          <w:spacing w:val="-3"/>
          <w:sz w:val="24"/>
          <w:szCs w:val="24"/>
          <w:lang w:val="es-419"/>
        </w:rPr>
        <w:t xml:space="preserve">la trasgresión en primera instancia del factor temporal de competencia para dictar sentencia, tal como pasará a explicarse. </w:t>
      </w:r>
    </w:p>
    <w:p w:rsidR="00DE1651" w:rsidRPr="00311068" w:rsidRDefault="00DE1651" w:rsidP="009162A0">
      <w:pPr>
        <w:tabs>
          <w:tab w:val="left" w:pos="-720"/>
        </w:tabs>
        <w:suppressAutoHyphens/>
        <w:spacing w:line="288" w:lineRule="auto"/>
        <w:jc w:val="both"/>
        <w:rPr>
          <w:rFonts w:ascii="Georgia" w:hAnsi="Georgia" w:cs="Arial"/>
          <w:spacing w:val="-3"/>
          <w:sz w:val="24"/>
          <w:szCs w:val="24"/>
          <w:lang w:val="es-419"/>
        </w:rPr>
      </w:pPr>
    </w:p>
    <w:p w:rsidR="00DE1651" w:rsidRPr="00311068" w:rsidRDefault="00DE1651" w:rsidP="009162A0">
      <w:pPr>
        <w:tabs>
          <w:tab w:val="left" w:pos="-720"/>
        </w:tabs>
        <w:suppressAutoHyphens/>
        <w:spacing w:line="288" w:lineRule="auto"/>
        <w:jc w:val="both"/>
        <w:rPr>
          <w:rFonts w:ascii="Georgia" w:hAnsi="Georgia" w:cs="Arial"/>
          <w:spacing w:val="-3"/>
          <w:sz w:val="24"/>
          <w:szCs w:val="24"/>
          <w:lang w:val="es-419"/>
        </w:rPr>
      </w:pPr>
      <w:r w:rsidRPr="00311068">
        <w:rPr>
          <w:rFonts w:ascii="Georgia" w:hAnsi="Georgia" w:cs="Arial"/>
          <w:spacing w:val="-3"/>
          <w:sz w:val="24"/>
          <w:szCs w:val="24"/>
          <w:lang w:val="es-419"/>
        </w:rPr>
        <w:t>Es un asunto iniciado en vigencia del CPC (</w:t>
      </w:r>
      <w:r w:rsidRPr="00311068">
        <w:rPr>
          <w:rFonts w:ascii="Georgia" w:hAnsi="Georgia" w:cs="Arial"/>
          <w:spacing w:val="-3"/>
          <w:sz w:val="22"/>
          <w:szCs w:val="24"/>
          <w:lang w:val="es-419"/>
        </w:rPr>
        <w:t>03-07-2015</w:t>
      </w:r>
      <w:r w:rsidRPr="00311068">
        <w:rPr>
          <w:rFonts w:ascii="Georgia" w:hAnsi="Georgia" w:cs="Arial"/>
          <w:spacing w:val="-3"/>
          <w:sz w:val="24"/>
          <w:szCs w:val="24"/>
          <w:lang w:val="es-419"/>
        </w:rPr>
        <w:t>), en el que pese a desconocerse el momento procesal en el que se encontraba para la entrada en vigor del CGP en este Distrito (</w:t>
      </w:r>
      <w:r w:rsidRPr="00311068">
        <w:rPr>
          <w:rFonts w:ascii="Georgia" w:hAnsi="Georgia" w:cs="Arial"/>
          <w:spacing w:val="-3"/>
          <w:sz w:val="22"/>
          <w:szCs w:val="24"/>
          <w:lang w:val="es-419"/>
        </w:rPr>
        <w:t>01-01-2016</w:t>
      </w:r>
      <w:r w:rsidRPr="00311068">
        <w:rPr>
          <w:rFonts w:ascii="Georgia" w:hAnsi="Georgia" w:cs="Arial"/>
          <w:spacing w:val="-3"/>
          <w:sz w:val="24"/>
          <w:szCs w:val="24"/>
          <w:lang w:val="es-419"/>
        </w:rPr>
        <w:t>), según el tiempo transcurrido (</w:t>
      </w:r>
      <w:r w:rsidRPr="00311068">
        <w:rPr>
          <w:rFonts w:ascii="Georgia" w:hAnsi="Georgia" w:cs="Arial"/>
          <w:spacing w:val="-3"/>
          <w:sz w:val="22"/>
          <w:szCs w:val="24"/>
          <w:lang w:val="es-419"/>
        </w:rPr>
        <w:t>Poco más de 2 años</w:t>
      </w:r>
      <w:r w:rsidRPr="00311068">
        <w:rPr>
          <w:rFonts w:ascii="Georgia" w:hAnsi="Georgia" w:cs="Arial"/>
          <w:spacing w:val="-3"/>
          <w:sz w:val="24"/>
          <w:szCs w:val="24"/>
          <w:lang w:val="es-419"/>
        </w:rPr>
        <w:t xml:space="preserve">), </w:t>
      </w:r>
      <w:r w:rsidRPr="00311068">
        <w:rPr>
          <w:rFonts w:ascii="Georgia" w:hAnsi="Georgia" w:cs="Arial"/>
          <w:spacing w:val="-3"/>
          <w:sz w:val="24"/>
          <w:szCs w:val="24"/>
          <w:u w:val="single"/>
          <w:lang w:val="es-419"/>
        </w:rPr>
        <w:t>ya ha debido aplicarse el tránsito de legislación</w:t>
      </w:r>
      <w:r w:rsidRPr="00311068">
        <w:rPr>
          <w:rFonts w:ascii="Georgia" w:hAnsi="Georgia" w:cs="Arial"/>
          <w:spacing w:val="-3"/>
          <w:sz w:val="24"/>
          <w:szCs w:val="24"/>
          <w:lang w:val="es-419"/>
        </w:rPr>
        <w:t>, por tratarse de proceso divisorio que no está sujeto a ninguna regla especial (</w:t>
      </w:r>
      <w:r w:rsidRPr="00311068">
        <w:rPr>
          <w:rFonts w:ascii="Georgia" w:hAnsi="Georgia" w:cs="Arial"/>
          <w:spacing w:val="-3"/>
          <w:sz w:val="22"/>
          <w:szCs w:val="24"/>
          <w:lang w:val="es-419"/>
        </w:rPr>
        <w:t>Fijadas en el artículo 625, CGP</w:t>
      </w:r>
      <w:r w:rsidRPr="00311068">
        <w:rPr>
          <w:rFonts w:ascii="Georgia" w:hAnsi="Georgia" w:cs="Arial"/>
          <w:spacing w:val="-3"/>
          <w:sz w:val="24"/>
          <w:szCs w:val="24"/>
          <w:lang w:val="es-419"/>
        </w:rPr>
        <w:t>) y, por ende, solo debían surtirse con el anterior estatuto las actuaciones que ya habían iniciado (</w:t>
      </w:r>
      <w:r w:rsidRPr="00311068">
        <w:rPr>
          <w:rFonts w:ascii="Georgia" w:hAnsi="Georgia" w:cs="Tahoma"/>
          <w:bCs/>
          <w:sz w:val="22"/>
          <w:szCs w:val="22"/>
          <w:lang w:val="es-419"/>
        </w:rPr>
        <w:t>Los recursos interpuestos, la práctica de pruebas decretadas, las audiencias convocadas, las diligencias iniciadas, los términos que hubieren comenzado a correr, los incidentes en curso y las notificaciones que se estén surtiendo</w:t>
      </w:r>
      <w:r w:rsidRPr="00311068">
        <w:rPr>
          <w:rFonts w:ascii="Georgia" w:hAnsi="Georgia" w:cs="Arial"/>
          <w:spacing w:val="-3"/>
          <w:sz w:val="24"/>
          <w:szCs w:val="24"/>
          <w:lang w:val="es-419"/>
        </w:rPr>
        <w:t>) acorde con las pautas generales para la transición</w:t>
      </w:r>
      <w:r w:rsidRPr="00311068">
        <w:rPr>
          <w:rStyle w:val="Refdenotaalpie"/>
          <w:rFonts w:ascii="Georgia" w:hAnsi="Georgia"/>
          <w:spacing w:val="-3"/>
          <w:sz w:val="24"/>
          <w:szCs w:val="24"/>
          <w:lang w:val="es-419"/>
        </w:rPr>
        <w:footnoteReference w:id="25"/>
      </w:r>
      <w:r w:rsidRPr="00311068">
        <w:rPr>
          <w:rFonts w:ascii="Georgia" w:hAnsi="Georgia" w:cs="Arial"/>
          <w:spacing w:val="-3"/>
          <w:sz w:val="24"/>
          <w:szCs w:val="24"/>
          <w:lang w:val="es-419"/>
        </w:rPr>
        <w:t xml:space="preserve"> (</w:t>
      </w:r>
      <w:r w:rsidRPr="00311068">
        <w:rPr>
          <w:rFonts w:ascii="Georgia" w:hAnsi="Georgia" w:cs="Arial"/>
          <w:spacing w:val="-3"/>
          <w:sz w:val="22"/>
          <w:szCs w:val="24"/>
          <w:lang w:val="es-419"/>
        </w:rPr>
        <w:t>Artículo 625-5º y 6º, CGP</w:t>
      </w:r>
      <w:r w:rsidRPr="00311068">
        <w:rPr>
          <w:rFonts w:ascii="Georgia" w:hAnsi="Georgia" w:cs="Arial"/>
          <w:spacing w:val="-3"/>
          <w:sz w:val="24"/>
          <w:szCs w:val="24"/>
          <w:lang w:val="es-419"/>
        </w:rPr>
        <w:t>).</w:t>
      </w:r>
    </w:p>
    <w:p w:rsidR="00DE1651" w:rsidRPr="00311068" w:rsidRDefault="00DE1651" w:rsidP="009162A0">
      <w:pPr>
        <w:tabs>
          <w:tab w:val="left" w:pos="-720"/>
        </w:tabs>
        <w:suppressAutoHyphens/>
        <w:spacing w:line="288" w:lineRule="auto"/>
        <w:jc w:val="both"/>
        <w:rPr>
          <w:rFonts w:ascii="Georgia" w:hAnsi="Georgia" w:cs="Arial"/>
          <w:spacing w:val="-3"/>
          <w:sz w:val="24"/>
          <w:szCs w:val="24"/>
          <w:lang w:val="es-419"/>
        </w:rPr>
      </w:pPr>
    </w:p>
    <w:p w:rsidR="00DE1651" w:rsidRPr="00311068" w:rsidRDefault="00DE1651" w:rsidP="009162A0">
      <w:pPr>
        <w:tabs>
          <w:tab w:val="left" w:pos="-720"/>
        </w:tabs>
        <w:suppressAutoHyphens/>
        <w:spacing w:line="288" w:lineRule="auto"/>
        <w:jc w:val="both"/>
        <w:rPr>
          <w:rFonts w:ascii="Georgia" w:hAnsi="Georgia"/>
          <w:color w:val="000000" w:themeColor="text1"/>
          <w:sz w:val="24"/>
          <w:szCs w:val="24"/>
          <w:lang w:val="es-419"/>
        </w:rPr>
      </w:pPr>
      <w:r w:rsidRPr="00311068">
        <w:rPr>
          <w:rFonts w:ascii="Georgia" w:hAnsi="Georgia" w:cs="Arial"/>
          <w:spacing w:val="-3"/>
          <w:sz w:val="24"/>
          <w:szCs w:val="24"/>
          <w:lang w:val="es-419"/>
        </w:rPr>
        <w:t>Ahora, examinado el proveído emitido el 08-06-2017 (</w:t>
      </w:r>
      <w:r w:rsidRPr="00311068">
        <w:rPr>
          <w:rFonts w:ascii="Georgia" w:hAnsi="Georgia" w:cs="Arial"/>
          <w:spacing w:val="-3"/>
          <w:sz w:val="22"/>
          <w:szCs w:val="24"/>
          <w:lang w:val="es-419"/>
        </w:rPr>
        <w:t>Folio 8, este cuaderno</w:t>
      </w:r>
      <w:r w:rsidRPr="00311068">
        <w:rPr>
          <w:rFonts w:ascii="Georgia" w:hAnsi="Georgia" w:cs="Arial"/>
          <w:spacing w:val="-3"/>
          <w:sz w:val="24"/>
          <w:szCs w:val="24"/>
          <w:lang w:val="es-419"/>
        </w:rPr>
        <w:t xml:space="preserve">), es posible inferir que para ese momento se terminaron las diligencias que habían sido empezadas bajo los parámetros del CPC, por lo que allí ha debido aplicarse el tránsito de </w:t>
      </w:r>
      <w:r w:rsidRPr="00311068">
        <w:rPr>
          <w:rFonts w:ascii="Georgia" w:hAnsi="Georgia" w:cs="Arial"/>
          <w:spacing w:val="-3"/>
          <w:sz w:val="24"/>
          <w:szCs w:val="24"/>
          <w:lang w:val="es-419"/>
        </w:rPr>
        <w:lastRenderedPageBreak/>
        <w:t xml:space="preserve">legislación, y entonces, conforme </w:t>
      </w:r>
      <w:r w:rsidRPr="00311068">
        <w:rPr>
          <w:rFonts w:ascii="Georgia" w:hAnsi="Georgia"/>
          <w:color w:val="000000" w:themeColor="text1"/>
          <w:sz w:val="24"/>
          <w:szCs w:val="24"/>
          <w:lang w:val="es-419"/>
        </w:rPr>
        <w:t>las precitadas reglas, luce evidente que todas las actuaciones posteriores al 08-06-2018, son nulas de pleno derecho, no hay constancia de interrupción o suspensión del proceso. Es que ni aún con la prórroga (</w:t>
      </w:r>
      <w:r w:rsidRPr="00311068">
        <w:rPr>
          <w:rFonts w:ascii="Georgia" w:hAnsi="Georgia"/>
          <w:color w:val="000000" w:themeColor="text1"/>
          <w:sz w:val="22"/>
          <w:szCs w:val="24"/>
          <w:lang w:val="es-419"/>
        </w:rPr>
        <w:t>Que no se dio</w:t>
      </w:r>
      <w:r w:rsidRPr="00311068">
        <w:rPr>
          <w:rFonts w:ascii="Georgia" w:hAnsi="Georgia"/>
          <w:color w:val="000000" w:themeColor="text1"/>
          <w:sz w:val="24"/>
          <w:szCs w:val="24"/>
          <w:lang w:val="es-419"/>
        </w:rPr>
        <w:t>) a la fecha se ha emitido decisión de fondo.</w:t>
      </w:r>
    </w:p>
    <w:p w:rsidR="00DE1651" w:rsidRPr="00311068" w:rsidRDefault="00DE1651" w:rsidP="009162A0">
      <w:pPr>
        <w:tabs>
          <w:tab w:val="left" w:pos="-720"/>
        </w:tabs>
        <w:suppressAutoHyphens/>
        <w:spacing w:line="288" w:lineRule="auto"/>
        <w:jc w:val="both"/>
        <w:rPr>
          <w:rFonts w:ascii="Georgia" w:hAnsi="Georgia"/>
          <w:color w:val="000000" w:themeColor="text1"/>
          <w:sz w:val="24"/>
          <w:szCs w:val="24"/>
          <w:lang w:val="es-419"/>
        </w:rPr>
      </w:pPr>
    </w:p>
    <w:p w:rsidR="00DE1651" w:rsidRPr="00311068" w:rsidRDefault="00DE1651" w:rsidP="009162A0">
      <w:pPr>
        <w:tabs>
          <w:tab w:val="left" w:pos="-720"/>
        </w:tabs>
        <w:suppressAutoHyphens/>
        <w:spacing w:line="288" w:lineRule="auto"/>
        <w:jc w:val="both"/>
        <w:rPr>
          <w:rFonts w:ascii="Georgia" w:hAnsi="Georgia"/>
          <w:color w:val="000000" w:themeColor="text1"/>
          <w:sz w:val="24"/>
          <w:szCs w:val="24"/>
          <w:lang w:val="es-419"/>
        </w:rPr>
      </w:pPr>
      <w:r w:rsidRPr="00311068">
        <w:rPr>
          <w:rFonts w:ascii="Georgia" w:hAnsi="Georgia"/>
          <w:color w:val="000000" w:themeColor="text1"/>
          <w:sz w:val="24"/>
          <w:szCs w:val="24"/>
          <w:lang w:val="es-419"/>
        </w:rPr>
        <w:t>Mal haría esta Sala, en prohijar las razones expuestas por el estrado judicial de conocimiento, para señalar que le era inaplicable el nuevo estatuto y debía seguirse surtiendo por el procedimiento del CPC (</w:t>
      </w:r>
      <w:r w:rsidRPr="00311068">
        <w:rPr>
          <w:rFonts w:ascii="Georgia" w:hAnsi="Georgia"/>
          <w:color w:val="000000" w:themeColor="text1"/>
          <w:sz w:val="22"/>
          <w:szCs w:val="24"/>
          <w:lang w:val="es-419"/>
        </w:rPr>
        <w:t>Audiencia de 26-10-2017, cd folio 7 y acta en folio 9, este cuaderno</w:t>
      </w:r>
      <w:r w:rsidRPr="00311068">
        <w:rPr>
          <w:rFonts w:ascii="Georgia" w:hAnsi="Georgia"/>
          <w:color w:val="000000" w:themeColor="text1"/>
          <w:sz w:val="24"/>
          <w:szCs w:val="24"/>
          <w:lang w:val="es-419"/>
        </w:rPr>
        <w:t xml:space="preserve">); puesto que no debe olvidarse que “(…) </w:t>
      </w:r>
      <w:r w:rsidRPr="00311068">
        <w:rPr>
          <w:rFonts w:ascii="Georgia" w:hAnsi="Georgia" w:cs="Tahoma"/>
          <w:i/>
          <w:sz w:val="22"/>
          <w:szCs w:val="24"/>
          <w:lang w:val="es-419"/>
        </w:rPr>
        <w:t>las normas procesales son de orden público y, por consiguiente, de obligatorio cumplimiento, y en ningún caso podrán ser derogadas, modificadas o sustituidas por los funcionarios</w:t>
      </w:r>
      <w:r w:rsidRPr="00311068">
        <w:rPr>
          <w:rFonts w:ascii="Georgia" w:hAnsi="Georgia" w:cs="Tahoma"/>
          <w:i/>
          <w:sz w:val="24"/>
          <w:szCs w:val="24"/>
          <w:lang w:val="es-419"/>
        </w:rPr>
        <w:t xml:space="preserve"> (…) </w:t>
      </w:r>
      <w:r w:rsidRPr="00311068">
        <w:rPr>
          <w:rFonts w:ascii="Georgia" w:hAnsi="Georgia" w:cs="Tahoma"/>
          <w:sz w:val="28"/>
          <w:szCs w:val="24"/>
          <w:lang w:val="es-419"/>
        </w:rPr>
        <w:t>(</w:t>
      </w:r>
      <w:r w:rsidRPr="00311068">
        <w:rPr>
          <w:rFonts w:ascii="Georgia" w:hAnsi="Georgia" w:cs="Tahoma"/>
          <w:sz w:val="22"/>
          <w:szCs w:val="24"/>
          <w:lang w:val="es-419"/>
        </w:rPr>
        <w:t>Artículo 13, CGP tal como antes lo consagraba el artículo 6, CPC</w:t>
      </w:r>
      <w:r w:rsidRPr="00311068">
        <w:rPr>
          <w:rFonts w:ascii="Georgia" w:hAnsi="Georgia" w:cs="Tahoma"/>
          <w:sz w:val="28"/>
          <w:szCs w:val="24"/>
          <w:lang w:val="es-419"/>
        </w:rPr>
        <w:t>).</w:t>
      </w:r>
    </w:p>
    <w:p w:rsidR="00DE1651" w:rsidRPr="00311068" w:rsidRDefault="00DE1651" w:rsidP="009162A0">
      <w:pPr>
        <w:tabs>
          <w:tab w:val="left" w:pos="-720"/>
        </w:tabs>
        <w:suppressAutoHyphens/>
        <w:spacing w:line="288" w:lineRule="auto"/>
        <w:jc w:val="both"/>
        <w:rPr>
          <w:rFonts w:ascii="Georgia" w:hAnsi="Georgia"/>
          <w:color w:val="000000" w:themeColor="text1"/>
          <w:sz w:val="24"/>
          <w:szCs w:val="24"/>
          <w:lang w:val="es-419"/>
        </w:rPr>
      </w:pPr>
    </w:p>
    <w:p w:rsidR="00DE1651" w:rsidRPr="00311068" w:rsidRDefault="00DE1651" w:rsidP="009162A0">
      <w:pPr>
        <w:tabs>
          <w:tab w:val="left" w:pos="-720"/>
        </w:tabs>
        <w:suppressAutoHyphens/>
        <w:spacing w:line="288" w:lineRule="auto"/>
        <w:jc w:val="both"/>
        <w:rPr>
          <w:rFonts w:ascii="Georgia" w:hAnsi="Georgia"/>
          <w:color w:val="000000" w:themeColor="text1"/>
          <w:sz w:val="24"/>
          <w:szCs w:val="24"/>
          <w:lang w:val="es-419"/>
        </w:rPr>
      </w:pPr>
      <w:r w:rsidRPr="00311068">
        <w:rPr>
          <w:rFonts w:ascii="Georgia" w:hAnsi="Georgia"/>
          <w:color w:val="000000" w:themeColor="text1"/>
          <w:sz w:val="24"/>
          <w:szCs w:val="24"/>
          <w:lang w:val="es-419"/>
        </w:rPr>
        <w:t>Adicionalmente, si la necesidad de seguir con el anterior estatuto era para efectos de contar con el (los) dictamen(es) pericial, como puede colegirse de la motivación del funcionario; que determinará(n) el valor del bien, el tipo de división que fuere procedente, la partición si era del caso (</w:t>
      </w:r>
      <w:r w:rsidRPr="00311068">
        <w:rPr>
          <w:rFonts w:ascii="Georgia" w:hAnsi="Georgia"/>
          <w:color w:val="000000" w:themeColor="text1"/>
          <w:sz w:val="22"/>
          <w:szCs w:val="24"/>
          <w:lang w:val="es-419"/>
        </w:rPr>
        <w:t>Experticia que no era obligatoria presentar, por las partes, en vigencia del CPC</w:t>
      </w:r>
      <w:r w:rsidRPr="00311068">
        <w:rPr>
          <w:rFonts w:ascii="Georgia" w:hAnsi="Georgia"/>
          <w:color w:val="000000" w:themeColor="text1"/>
          <w:sz w:val="24"/>
          <w:szCs w:val="24"/>
          <w:lang w:val="es-419"/>
        </w:rPr>
        <w:t>), bien pudo optar por decretarlo de oficio (</w:t>
      </w:r>
      <w:r w:rsidRPr="00311068">
        <w:rPr>
          <w:rFonts w:ascii="Georgia" w:hAnsi="Georgia"/>
          <w:color w:val="000000" w:themeColor="text1"/>
          <w:sz w:val="22"/>
          <w:szCs w:val="24"/>
          <w:lang w:val="es-419"/>
        </w:rPr>
        <w:t>Artículos 230 y 231, CGP</w:t>
      </w:r>
      <w:r w:rsidRPr="00311068">
        <w:rPr>
          <w:rFonts w:ascii="Georgia" w:hAnsi="Georgia"/>
          <w:color w:val="000000" w:themeColor="text1"/>
          <w:sz w:val="24"/>
          <w:szCs w:val="24"/>
          <w:lang w:val="es-419"/>
        </w:rPr>
        <w:t>).</w:t>
      </w:r>
    </w:p>
    <w:p w:rsidR="00DE1651" w:rsidRPr="00311068" w:rsidRDefault="00DE1651" w:rsidP="009162A0">
      <w:pPr>
        <w:tabs>
          <w:tab w:val="left" w:pos="-720"/>
        </w:tabs>
        <w:suppressAutoHyphens/>
        <w:spacing w:line="288" w:lineRule="auto"/>
        <w:jc w:val="both"/>
        <w:rPr>
          <w:rFonts w:ascii="Georgia" w:hAnsi="Georgia" w:cs="Arial"/>
          <w:spacing w:val="-3"/>
          <w:sz w:val="24"/>
          <w:szCs w:val="24"/>
          <w:lang w:val="es-419"/>
        </w:rPr>
      </w:pPr>
    </w:p>
    <w:p w:rsidR="00DE1651" w:rsidRPr="00311068" w:rsidRDefault="00DE1651" w:rsidP="009162A0">
      <w:pPr>
        <w:spacing w:line="288" w:lineRule="auto"/>
        <w:jc w:val="both"/>
        <w:rPr>
          <w:rFonts w:ascii="Georgia" w:hAnsi="Georgia"/>
          <w:color w:val="000000" w:themeColor="text1"/>
          <w:sz w:val="24"/>
          <w:szCs w:val="24"/>
          <w:lang w:val="es-419"/>
        </w:rPr>
      </w:pPr>
      <w:r w:rsidRPr="00311068">
        <w:rPr>
          <w:rFonts w:ascii="Georgia" w:hAnsi="Georgia"/>
          <w:color w:val="000000" w:themeColor="text1"/>
          <w:sz w:val="24"/>
          <w:szCs w:val="24"/>
          <w:lang w:val="es-419"/>
        </w:rPr>
        <w:t>En ese orden de ideas, se declarará la nulidad de lo actuado a partir del 09-06-2018, se retornará el expediente al juzgado de origen, a efectos de que brinde el informe respectivo a la Sala Administrativa del Consejo Superior de la Judicatura, luego de lo cual hará pronta remisión del expediente a la Sala de Gobierno de esta Corporación, para que haga la respectiva asignación (</w:t>
      </w:r>
      <w:r w:rsidRPr="00311068">
        <w:rPr>
          <w:rFonts w:ascii="Georgia" w:hAnsi="Georgia"/>
          <w:color w:val="000000" w:themeColor="text1"/>
          <w:sz w:val="22"/>
          <w:szCs w:val="24"/>
          <w:lang w:val="es-419"/>
        </w:rPr>
        <w:t>Artículo 121, inciso 4º, CGP</w:t>
      </w:r>
      <w:r w:rsidRPr="00311068">
        <w:rPr>
          <w:rFonts w:ascii="Georgia" w:hAnsi="Georgia"/>
          <w:color w:val="000000" w:themeColor="text1"/>
          <w:sz w:val="24"/>
          <w:szCs w:val="24"/>
          <w:lang w:val="es-419"/>
        </w:rPr>
        <w:t>). Quedará exceptuado de la anulación, el material probatorio, que tendrá eficacia respecto de las partes que tuvieron la oportunidad de controvertirlo (</w:t>
      </w:r>
      <w:r w:rsidRPr="00311068">
        <w:rPr>
          <w:rFonts w:ascii="Georgia" w:hAnsi="Georgia"/>
          <w:color w:val="000000" w:themeColor="text1"/>
          <w:sz w:val="22"/>
          <w:szCs w:val="24"/>
          <w:lang w:val="es-419"/>
        </w:rPr>
        <w:t>Artículo 138, inciso 2º, ibídem</w:t>
      </w:r>
      <w:r w:rsidRPr="00311068">
        <w:rPr>
          <w:rFonts w:ascii="Georgia" w:hAnsi="Georgia"/>
          <w:color w:val="000000" w:themeColor="text1"/>
          <w:sz w:val="24"/>
          <w:szCs w:val="24"/>
          <w:lang w:val="es-419"/>
        </w:rPr>
        <w:t xml:space="preserve">). </w:t>
      </w:r>
    </w:p>
    <w:p w:rsidR="00DE1651" w:rsidRPr="00311068" w:rsidRDefault="00DE1651" w:rsidP="009162A0">
      <w:pPr>
        <w:spacing w:line="288" w:lineRule="auto"/>
        <w:jc w:val="both"/>
        <w:rPr>
          <w:rFonts w:ascii="Georgia" w:hAnsi="Georgia"/>
          <w:color w:val="000000" w:themeColor="text1"/>
          <w:sz w:val="24"/>
          <w:szCs w:val="24"/>
          <w:lang w:val="es-419"/>
        </w:rPr>
      </w:pPr>
    </w:p>
    <w:p w:rsidR="00DE1651" w:rsidRPr="00311068" w:rsidRDefault="00DE1651" w:rsidP="009162A0">
      <w:pPr>
        <w:pStyle w:val="Sinespaciado"/>
        <w:spacing w:line="288" w:lineRule="auto"/>
        <w:jc w:val="both"/>
        <w:rPr>
          <w:rFonts w:ascii="Georgia" w:hAnsi="Georgia" w:cs="Arial"/>
          <w:lang w:val="es-419"/>
        </w:rPr>
      </w:pPr>
      <w:r w:rsidRPr="00311068">
        <w:rPr>
          <w:rFonts w:ascii="Georgia" w:hAnsi="Georgia" w:cs="Arial"/>
          <w:lang w:val="es-419"/>
        </w:rPr>
        <w:t>Al margen de lo discernido, válido es anotar que si acaso la irregularidad pudiera superarse, se evidencia que la decisión recurrida, denegatoria de una excepción previa, no hace parte de las enlistadas como pasibles de apelación (</w:t>
      </w:r>
      <w:r w:rsidRPr="00311068">
        <w:rPr>
          <w:rFonts w:ascii="Georgia" w:hAnsi="Georgia" w:cs="Arial"/>
          <w:sz w:val="22"/>
          <w:lang w:val="es-419"/>
        </w:rPr>
        <w:t>Artículo 321, CGP</w:t>
      </w:r>
      <w:r w:rsidRPr="00311068">
        <w:rPr>
          <w:rFonts w:ascii="Georgia" w:hAnsi="Georgia" w:cs="Arial"/>
          <w:lang w:val="es-419"/>
        </w:rPr>
        <w:t>), tampoco se trata de la que resuelve un incidente (</w:t>
      </w:r>
      <w:r w:rsidRPr="00311068">
        <w:rPr>
          <w:rFonts w:ascii="Georgia" w:hAnsi="Georgia" w:cs="Arial"/>
          <w:sz w:val="22"/>
          <w:lang w:val="es-419"/>
        </w:rPr>
        <w:t xml:space="preserve">Artículo 321-5º, </w:t>
      </w:r>
      <w:r w:rsidRPr="00311068">
        <w:rPr>
          <w:rFonts w:ascii="Georgia" w:hAnsi="Georgia" w:cs="Arial"/>
          <w:i/>
          <w:sz w:val="22"/>
          <w:lang w:val="es-419"/>
        </w:rPr>
        <w:t>ídem</w:t>
      </w:r>
      <w:r w:rsidRPr="00311068">
        <w:rPr>
          <w:rFonts w:ascii="Georgia" w:hAnsi="Georgia" w:cs="Arial"/>
          <w:lang w:val="es-419"/>
        </w:rPr>
        <w:t>), pues son taxativos (</w:t>
      </w:r>
      <w:r w:rsidRPr="00311068">
        <w:rPr>
          <w:rFonts w:ascii="Georgia" w:hAnsi="Georgia" w:cs="Arial"/>
          <w:sz w:val="22"/>
          <w:lang w:val="es-419"/>
        </w:rPr>
        <w:t>Artículo 127, ib.</w:t>
      </w:r>
      <w:r w:rsidRPr="00311068">
        <w:rPr>
          <w:rFonts w:ascii="Georgia" w:hAnsi="Georgia" w:cs="Arial"/>
          <w:lang w:val="es-419"/>
        </w:rPr>
        <w:t>) y no hay regla alguna que así lo califique. Condiciones que harían inadmisible la impugnación, según criterio utilizado en oportunidad anterior por esta Sala</w:t>
      </w:r>
      <w:r w:rsidRPr="00311068">
        <w:rPr>
          <w:rStyle w:val="Refdenotaalpie"/>
          <w:rFonts w:ascii="Georgia" w:hAnsi="Georgia"/>
          <w:lang w:val="es-419"/>
        </w:rPr>
        <w:footnoteReference w:id="26"/>
      </w:r>
      <w:r w:rsidRPr="00311068">
        <w:rPr>
          <w:rFonts w:ascii="Georgia" w:hAnsi="Georgia" w:cs="Arial"/>
          <w:lang w:val="es-419"/>
        </w:rPr>
        <w:t>.  Diferente acaecía con en el CPC, donde si daba lugar a la alzada, pero en todo caso, como ya se ha dicho es un estatuto inaplicable a este asunto.</w:t>
      </w:r>
    </w:p>
    <w:p w:rsidR="00DE1651" w:rsidRPr="00311068" w:rsidRDefault="00DE1651" w:rsidP="009162A0">
      <w:pPr>
        <w:tabs>
          <w:tab w:val="left" w:pos="-720"/>
        </w:tabs>
        <w:suppressAutoHyphens/>
        <w:spacing w:line="288" w:lineRule="auto"/>
        <w:jc w:val="both"/>
        <w:rPr>
          <w:rFonts w:ascii="Georgia" w:hAnsi="Georgia" w:cs="Arial"/>
          <w:sz w:val="24"/>
          <w:szCs w:val="24"/>
          <w:lang w:val="es-419"/>
        </w:rPr>
      </w:pPr>
    </w:p>
    <w:p w:rsidR="00DE1651" w:rsidRPr="00311068" w:rsidRDefault="00DE1651" w:rsidP="009162A0">
      <w:pPr>
        <w:tabs>
          <w:tab w:val="left" w:pos="-720"/>
        </w:tabs>
        <w:suppressAutoHyphens/>
        <w:spacing w:line="288" w:lineRule="auto"/>
        <w:jc w:val="both"/>
        <w:rPr>
          <w:rFonts w:ascii="Georgia" w:hAnsi="Georgia" w:cs="Arial"/>
          <w:sz w:val="24"/>
          <w:szCs w:val="24"/>
          <w:lang w:val="es-419"/>
        </w:rPr>
      </w:pPr>
      <w:r w:rsidRPr="00311068">
        <w:rPr>
          <w:rFonts w:ascii="Georgia" w:hAnsi="Georgia" w:cs="Arial"/>
          <w:sz w:val="24"/>
          <w:szCs w:val="24"/>
          <w:lang w:val="es-419"/>
        </w:rPr>
        <w:t xml:space="preserve">En mérito de lo brevemente expuesto, el </w:t>
      </w:r>
      <w:r w:rsidRPr="00311068">
        <w:rPr>
          <w:rFonts w:ascii="Georgia" w:hAnsi="Georgia" w:cs="Arial"/>
          <w:smallCaps/>
          <w:sz w:val="24"/>
          <w:szCs w:val="24"/>
          <w:lang w:val="es-419"/>
        </w:rPr>
        <w:t>Tribunal Superior del Distrito Judicial de Pereira, Sala Unitaria de Decisión</w:t>
      </w:r>
      <w:r w:rsidRPr="00311068">
        <w:rPr>
          <w:rFonts w:ascii="Georgia" w:hAnsi="Georgia" w:cs="Arial"/>
          <w:sz w:val="24"/>
          <w:szCs w:val="24"/>
          <w:lang w:val="es-419"/>
        </w:rPr>
        <w:t>,</w:t>
      </w:r>
    </w:p>
    <w:p w:rsidR="00DE1651" w:rsidRPr="00311068" w:rsidRDefault="00DE1651" w:rsidP="009162A0">
      <w:pPr>
        <w:tabs>
          <w:tab w:val="left" w:pos="-720"/>
        </w:tabs>
        <w:suppressAutoHyphens/>
        <w:spacing w:line="288" w:lineRule="auto"/>
        <w:jc w:val="center"/>
        <w:rPr>
          <w:rFonts w:ascii="Georgia" w:hAnsi="Georgia" w:cs="Arial"/>
          <w:smallCaps/>
          <w:sz w:val="24"/>
          <w:szCs w:val="24"/>
          <w:lang w:val="es-419"/>
        </w:rPr>
      </w:pPr>
    </w:p>
    <w:p w:rsidR="00DE1651" w:rsidRPr="00311068" w:rsidRDefault="00DE1651" w:rsidP="009162A0">
      <w:pPr>
        <w:tabs>
          <w:tab w:val="left" w:pos="-720"/>
        </w:tabs>
        <w:suppressAutoHyphens/>
        <w:spacing w:line="288" w:lineRule="auto"/>
        <w:jc w:val="center"/>
        <w:rPr>
          <w:rFonts w:ascii="Georgia" w:hAnsi="Georgia" w:cs="Arial"/>
          <w:smallCaps/>
          <w:sz w:val="24"/>
          <w:szCs w:val="24"/>
          <w:lang w:val="es-419"/>
        </w:rPr>
      </w:pPr>
      <w:r w:rsidRPr="00311068">
        <w:rPr>
          <w:rFonts w:ascii="Georgia" w:hAnsi="Georgia" w:cs="Arial"/>
          <w:smallCaps/>
          <w:sz w:val="24"/>
          <w:szCs w:val="24"/>
          <w:lang w:val="es-419"/>
        </w:rPr>
        <w:t>R e s u e l v e,</w:t>
      </w:r>
    </w:p>
    <w:p w:rsidR="00DE1651" w:rsidRPr="00311068" w:rsidRDefault="00DE1651" w:rsidP="009162A0">
      <w:pPr>
        <w:tabs>
          <w:tab w:val="left" w:pos="-720"/>
        </w:tabs>
        <w:suppressAutoHyphens/>
        <w:spacing w:line="288" w:lineRule="auto"/>
        <w:jc w:val="center"/>
        <w:rPr>
          <w:rFonts w:ascii="Georgia" w:hAnsi="Georgia" w:cs="Arial"/>
          <w:smallCaps/>
          <w:sz w:val="24"/>
          <w:szCs w:val="24"/>
          <w:lang w:val="es-419"/>
        </w:rPr>
      </w:pPr>
    </w:p>
    <w:p w:rsidR="00DE1651" w:rsidRPr="00311068" w:rsidRDefault="00DE1651" w:rsidP="009162A0">
      <w:pPr>
        <w:pStyle w:val="Prrafodelista"/>
        <w:numPr>
          <w:ilvl w:val="0"/>
          <w:numId w:val="2"/>
        </w:numPr>
        <w:tabs>
          <w:tab w:val="clear" w:pos="720"/>
        </w:tabs>
        <w:spacing w:line="288" w:lineRule="auto"/>
        <w:ind w:left="426" w:hanging="426"/>
        <w:jc w:val="both"/>
        <w:rPr>
          <w:rFonts w:ascii="Georgia" w:hAnsi="Georgia"/>
          <w:color w:val="000000" w:themeColor="text1"/>
          <w:sz w:val="24"/>
          <w:szCs w:val="24"/>
          <w:lang w:val="es-419"/>
        </w:rPr>
      </w:pPr>
      <w:r w:rsidRPr="00311068">
        <w:rPr>
          <w:rFonts w:ascii="Georgia" w:hAnsi="Georgia" w:cs="Arial"/>
          <w:spacing w:val="-3"/>
          <w:sz w:val="24"/>
          <w:szCs w:val="24"/>
          <w:lang w:val="es-419"/>
        </w:rPr>
        <w:lastRenderedPageBreak/>
        <w:t>DECLARAR nulo todo lo actuado, en este asunto, con posterioridad al 09</w:t>
      </w:r>
      <w:r w:rsidRPr="00311068">
        <w:rPr>
          <w:rFonts w:ascii="Georgia" w:hAnsi="Georgia"/>
          <w:color w:val="000000" w:themeColor="text1"/>
          <w:sz w:val="24"/>
          <w:szCs w:val="24"/>
          <w:lang w:val="es-419"/>
        </w:rPr>
        <w:t>-06-2018</w:t>
      </w:r>
      <w:r w:rsidRPr="00311068">
        <w:rPr>
          <w:rFonts w:ascii="Georgia" w:hAnsi="Georgia" w:cs="Arial"/>
          <w:spacing w:val="-3"/>
          <w:sz w:val="24"/>
          <w:szCs w:val="24"/>
          <w:lang w:val="es-419"/>
        </w:rPr>
        <w:t>, salvo e</w:t>
      </w:r>
      <w:r w:rsidRPr="00311068">
        <w:rPr>
          <w:rFonts w:ascii="Georgia" w:hAnsi="Georgia"/>
          <w:color w:val="000000" w:themeColor="text1"/>
          <w:sz w:val="24"/>
          <w:szCs w:val="24"/>
          <w:lang w:val="es-419"/>
        </w:rPr>
        <w:t xml:space="preserve">l acervo probatorio que conserva validez respecto de las partes que tuvieron la oportunidad de controvertirlo. </w:t>
      </w:r>
    </w:p>
    <w:p w:rsidR="00DE1651" w:rsidRPr="00311068" w:rsidRDefault="00DE1651" w:rsidP="009162A0">
      <w:pPr>
        <w:tabs>
          <w:tab w:val="left" w:pos="-720"/>
        </w:tabs>
        <w:suppressAutoHyphens/>
        <w:spacing w:line="288" w:lineRule="auto"/>
        <w:ind w:left="426" w:hanging="426"/>
        <w:jc w:val="both"/>
        <w:rPr>
          <w:rFonts w:ascii="Georgia" w:hAnsi="Georgia" w:cs="Arial"/>
          <w:spacing w:val="-3"/>
          <w:sz w:val="24"/>
          <w:szCs w:val="24"/>
          <w:lang w:val="es-419"/>
        </w:rPr>
      </w:pPr>
    </w:p>
    <w:p w:rsidR="00DE1651" w:rsidRPr="00311068" w:rsidRDefault="00DE1651" w:rsidP="009162A0">
      <w:pPr>
        <w:numPr>
          <w:ilvl w:val="0"/>
          <w:numId w:val="2"/>
        </w:numPr>
        <w:tabs>
          <w:tab w:val="clear" w:pos="720"/>
          <w:tab w:val="left" w:pos="-720"/>
          <w:tab w:val="num" w:pos="360"/>
        </w:tabs>
        <w:suppressAutoHyphens/>
        <w:spacing w:line="288" w:lineRule="auto"/>
        <w:ind w:left="426" w:hanging="426"/>
        <w:jc w:val="both"/>
        <w:rPr>
          <w:rFonts w:ascii="Georgia" w:hAnsi="Georgia" w:cs="Arial"/>
          <w:sz w:val="24"/>
          <w:szCs w:val="24"/>
          <w:lang w:val="es-419"/>
        </w:rPr>
      </w:pPr>
      <w:r w:rsidRPr="00311068">
        <w:rPr>
          <w:rFonts w:ascii="Georgia" w:hAnsi="Georgia" w:cs="Arial"/>
          <w:spacing w:val="-3"/>
          <w:sz w:val="24"/>
          <w:szCs w:val="24"/>
          <w:lang w:val="es-419"/>
        </w:rPr>
        <w:t xml:space="preserve">DEVOLVER el expediente al Juzgado de origen, para que rinda </w:t>
      </w:r>
      <w:r w:rsidRPr="00311068">
        <w:rPr>
          <w:rFonts w:ascii="Georgia" w:hAnsi="Georgia"/>
          <w:color w:val="000000" w:themeColor="text1"/>
          <w:sz w:val="24"/>
          <w:szCs w:val="24"/>
          <w:lang w:val="es-419"/>
        </w:rPr>
        <w:t>el informe respectivo ante la Sala Administrativa del Consejo Superior de la Judicatura y lo remita a la Sala de Gobierno de esta Corporación para su asignación al nuevo fallador</w:t>
      </w:r>
      <w:r w:rsidRPr="00311068">
        <w:rPr>
          <w:rFonts w:ascii="Georgia" w:hAnsi="Georgia" w:cs="Arial"/>
          <w:spacing w:val="-3"/>
          <w:sz w:val="24"/>
          <w:szCs w:val="24"/>
          <w:lang w:val="es-419"/>
        </w:rPr>
        <w:t>.</w:t>
      </w:r>
    </w:p>
    <w:p w:rsidR="00DE1651" w:rsidRPr="00311068" w:rsidRDefault="00DE1651" w:rsidP="009162A0">
      <w:pPr>
        <w:pStyle w:val="Prrafodelista"/>
        <w:spacing w:line="288" w:lineRule="auto"/>
        <w:rPr>
          <w:rFonts w:ascii="Georgia" w:hAnsi="Georgia" w:cs="Arial"/>
          <w:sz w:val="24"/>
          <w:szCs w:val="24"/>
          <w:lang w:val="es-419"/>
        </w:rPr>
      </w:pPr>
    </w:p>
    <w:p w:rsidR="00DE1651" w:rsidRPr="00311068" w:rsidRDefault="00DE1651" w:rsidP="009162A0">
      <w:pPr>
        <w:tabs>
          <w:tab w:val="left" w:pos="-720"/>
        </w:tabs>
        <w:suppressAutoHyphens/>
        <w:spacing w:line="288" w:lineRule="auto"/>
        <w:jc w:val="center"/>
        <w:rPr>
          <w:rFonts w:ascii="Georgia" w:hAnsi="Georgia" w:cs="Arial"/>
          <w:spacing w:val="-3"/>
          <w:sz w:val="2"/>
          <w:szCs w:val="24"/>
          <w:lang w:val="es-419"/>
        </w:rPr>
      </w:pPr>
    </w:p>
    <w:p w:rsidR="00DE1651" w:rsidRPr="00311068" w:rsidRDefault="00DE1651" w:rsidP="009162A0">
      <w:pPr>
        <w:tabs>
          <w:tab w:val="left" w:pos="-720"/>
        </w:tabs>
        <w:suppressAutoHyphens/>
        <w:spacing w:line="288" w:lineRule="auto"/>
        <w:jc w:val="center"/>
        <w:rPr>
          <w:rFonts w:ascii="Georgia" w:hAnsi="Georgia" w:cs="Arial"/>
          <w:smallCaps/>
          <w:spacing w:val="-3"/>
          <w:sz w:val="24"/>
          <w:szCs w:val="24"/>
          <w:lang w:val="es-419"/>
        </w:rPr>
      </w:pPr>
      <w:r w:rsidRPr="00311068">
        <w:rPr>
          <w:rFonts w:ascii="Georgia" w:hAnsi="Georgia" w:cs="Arial"/>
          <w:smallCaps/>
          <w:spacing w:val="-3"/>
          <w:sz w:val="24"/>
          <w:szCs w:val="24"/>
          <w:lang w:val="es-419"/>
        </w:rPr>
        <w:t>Notifíquese,</w:t>
      </w:r>
    </w:p>
    <w:p w:rsidR="00DE1651" w:rsidRPr="00311068" w:rsidRDefault="00DE1651" w:rsidP="009162A0">
      <w:pPr>
        <w:tabs>
          <w:tab w:val="left" w:pos="-720"/>
        </w:tabs>
        <w:suppressAutoHyphens/>
        <w:spacing w:line="288" w:lineRule="auto"/>
        <w:jc w:val="center"/>
        <w:rPr>
          <w:rFonts w:ascii="Georgia" w:hAnsi="Georgia" w:cs="Arial"/>
          <w:smallCaps/>
          <w:spacing w:val="-3"/>
          <w:sz w:val="24"/>
          <w:szCs w:val="24"/>
          <w:lang w:val="es-419"/>
        </w:rPr>
      </w:pPr>
    </w:p>
    <w:p w:rsidR="00DE1651" w:rsidRPr="00311068" w:rsidRDefault="00DE1651" w:rsidP="009162A0">
      <w:pPr>
        <w:tabs>
          <w:tab w:val="left" w:pos="-720"/>
        </w:tabs>
        <w:suppressAutoHyphens/>
        <w:spacing w:line="288" w:lineRule="auto"/>
        <w:jc w:val="center"/>
        <w:rPr>
          <w:rFonts w:ascii="Georgia" w:hAnsi="Georgia" w:cs="Arial"/>
          <w:smallCaps/>
          <w:spacing w:val="-3"/>
          <w:sz w:val="24"/>
          <w:szCs w:val="24"/>
          <w:lang w:val="es-419"/>
        </w:rPr>
      </w:pPr>
    </w:p>
    <w:p w:rsidR="00DE1651" w:rsidRPr="00311068" w:rsidRDefault="00DE1651" w:rsidP="009162A0">
      <w:pPr>
        <w:spacing w:line="288" w:lineRule="auto"/>
        <w:rPr>
          <w:rFonts w:ascii="Georgia" w:hAnsi="Georgia" w:cs="Arial"/>
          <w:sz w:val="24"/>
          <w:szCs w:val="22"/>
          <w:lang w:val="es-419"/>
        </w:rPr>
      </w:pPr>
    </w:p>
    <w:p w:rsidR="00DE1651" w:rsidRPr="00311068" w:rsidRDefault="00DE1651" w:rsidP="009162A0">
      <w:pPr>
        <w:pStyle w:val="Textopredeterminado"/>
        <w:spacing w:line="288" w:lineRule="auto"/>
        <w:jc w:val="center"/>
        <w:rPr>
          <w:rFonts w:ascii="Georgia" w:hAnsi="Georgia" w:cs="Arial"/>
          <w:caps/>
          <w:spacing w:val="20"/>
          <w:w w:val="150"/>
          <w:sz w:val="20"/>
          <w:szCs w:val="20"/>
          <w:lang w:val="es-419"/>
        </w:rPr>
      </w:pPr>
      <w:r w:rsidRPr="00311068">
        <w:rPr>
          <w:rFonts w:ascii="Georgia" w:hAnsi="Georgia" w:cs="Arial"/>
          <w:caps/>
          <w:spacing w:val="20"/>
          <w:w w:val="150"/>
          <w:lang w:val="es-419"/>
        </w:rPr>
        <w:t>D</w:t>
      </w:r>
      <w:r w:rsidRPr="00311068">
        <w:rPr>
          <w:rFonts w:ascii="Georgia" w:hAnsi="Georgia" w:cs="Arial"/>
          <w:caps/>
          <w:spacing w:val="20"/>
          <w:w w:val="150"/>
          <w:sz w:val="16"/>
          <w:szCs w:val="16"/>
          <w:lang w:val="es-419"/>
        </w:rPr>
        <w:t>UBERNEY</w:t>
      </w:r>
      <w:r w:rsidRPr="00311068">
        <w:rPr>
          <w:rFonts w:ascii="Georgia" w:hAnsi="Georgia" w:cs="Arial"/>
          <w:caps/>
          <w:spacing w:val="20"/>
          <w:w w:val="150"/>
          <w:sz w:val="20"/>
          <w:szCs w:val="20"/>
          <w:lang w:val="es-419"/>
        </w:rPr>
        <w:t xml:space="preserve"> </w:t>
      </w:r>
      <w:r w:rsidRPr="00311068">
        <w:rPr>
          <w:rFonts w:ascii="Georgia" w:hAnsi="Georgia" w:cs="Arial"/>
          <w:caps/>
          <w:spacing w:val="20"/>
          <w:w w:val="150"/>
          <w:lang w:val="es-419"/>
        </w:rPr>
        <w:t>G</w:t>
      </w:r>
      <w:r w:rsidRPr="00311068">
        <w:rPr>
          <w:rFonts w:ascii="Georgia" w:hAnsi="Georgia" w:cs="Arial"/>
          <w:caps/>
          <w:spacing w:val="20"/>
          <w:w w:val="150"/>
          <w:sz w:val="16"/>
          <w:szCs w:val="16"/>
          <w:lang w:val="es-419"/>
        </w:rPr>
        <w:t>RISALES</w:t>
      </w:r>
      <w:r w:rsidRPr="00311068">
        <w:rPr>
          <w:rFonts w:ascii="Georgia" w:hAnsi="Georgia" w:cs="Arial"/>
          <w:caps/>
          <w:spacing w:val="20"/>
          <w:w w:val="150"/>
          <w:sz w:val="20"/>
          <w:szCs w:val="20"/>
          <w:lang w:val="es-419"/>
        </w:rPr>
        <w:t xml:space="preserve"> </w:t>
      </w:r>
      <w:r w:rsidRPr="00311068">
        <w:rPr>
          <w:rFonts w:ascii="Georgia" w:hAnsi="Georgia" w:cs="Arial"/>
          <w:caps/>
          <w:spacing w:val="20"/>
          <w:w w:val="150"/>
          <w:lang w:val="es-419"/>
        </w:rPr>
        <w:t>H</w:t>
      </w:r>
      <w:r w:rsidRPr="00311068">
        <w:rPr>
          <w:rFonts w:ascii="Georgia" w:hAnsi="Georgia" w:cs="Arial"/>
          <w:caps/>
          <w:spacing w:val="20"/>
          <w:w w:val="150"/>
          <w:sz w:val="16"/>
          <w:szCs w:val="16"/>
          <w:lang w:val="es-419"/>
        </w:rPr>
        <w:t>ERRERA</w:t>
      </w:r>
    </w:p>
    <w:p w:rsidR="000B268B" w:rsidRPr="00311068" w:rsidRDefault="00DE1651" w:rsidP="009162A0">
      <w:pPr>
        <w:pStyle w:val="Textoindependiente"/>
        <w:tabs>
          <w:tab w:val="center" w:pos="4703"/>
          <w:tab w:val="right" w:pos="9407"/>
        </w:tabs>
        <w:spacing w:line="288" w:lineRule="auto"/>
        <w:jc w:val="left"/>
        <w:rPr>
          <w:rFonts w:ascii="Georgia" w:hAnsi="Georgia" w:cs="Arial"/>
          <w:caps/>
          <w:spacing w:val="20"/>
          <w:w w:val="150"/>
          <w:sz w:val="16"/>
          <w:szCs w:val="16"/>
          <w:lang w:val="es-419"/>
        </w:rPr>
      </w:pPr>
      <w:r w:rsidRPr="00311068">
        <w:rPr>
          <w:rFonts w:ascii="Georgia" w:hAnsi="Georgia" w:cs="Arial"/>
          <w:caps/>
          <w:spacing w:val="20"/>
          <w:w w:val="150"/>
          <w:lang w:val="es-419"/>
        </w:rPr>
        <w:tab/>
      </w:r>
      <w:r w:rsidRPr="00311068">
        <w:rPr>
          <w:rFonts w:ascii="Georgia" w:hAnsi="Georgia" w:cs="Arial"/>
          <w:caps/>
          <w:spacing w:val="20"/>
          <w:w w:val="150"/>
          <w:lang w:val="es-419"/>
        </w:rPr>
        <w:tab/>
      </w:r>
      <w:r w:rsidRPr="00311068">
        <w:rPr>
          <w:rFonts w:ascii="Georgia" w:hAnsi="Georgia" w:cs="Arial"/>
          <w:caps/>
          <w:spacing w:val="20"/>
          <w:w w:val="150"/>
          <w:lang w:val="es-419"/>
        </w:rPr>
        <w:tab/>
      </w:r>
      <w:r w:rsidRPr="00311068">
        <w:rPr>
          <w:rFonts w:ascii="Georgia" w:hAnsi="Georgia" w:cs="Arial"/>
          <w:caps/>
          <w:spacing w:val="20"/>
          <w:w w:val="150"/>
          <w:lang w:val="es-419"/>
        </w:rPr>
        <w:tab/>
      </w:r>
      <w:r w:rsidRPr="00311068">
        <w:rPr>
          <w:rFonts w:ascii="Georgia" w:hAnsi="Georgia" w:cs="Arial"/>
          <w:caps/>
          <w:spacing w:val="20"/>
          <w:w w:val="150"/>
          <w:lang w:val="es-419"/>
        </w:rPr>
        <w:tab/>
        <w:t xml:space="preserve">M </w:t>
      </w:r>
      <w:r w:rsidRPr="00311068">
        <w:rPr>
          <w:rFonts w:ascii="Georgia" w:hAnsi="Georgia" w:cs="Arial"/>
          <w:caps/>
          <w:spacing w:val="20"/>
          <w:w w:val="150"/>
          <w:sz w:val="16"/>
          <w:szCs w:val="16"/>
          <w:lang w:val="es-419"/>
        </w:rPr>
        <w:t>A G I S T R A D O</w:t>
      </w:r>
    </w:p>
    <w:sectPr w:rsidR="000B268B" w:rsidRPr="00311068" w:rsidSect="003A06F6">
      <w:headerReference w:type="default" r:id="rId8"/>
      <w:footerReference w:type="default" r:id="rId9"/>
      <w:pgSz w:w="12242" w:h="18722" w:code="14"/>
      <w:pgMar w:top="1985" w:right="1418" w:bottom="1418" w:left="1985"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529" w:rsidRDefault="00C97529" w:rsidP="00DE1651">
      <w:r>
        <w:separator/>
      </w:r>
    </w:p>
  </w:endnote>
  <w:endnote w:type="continuationSeparator" w:id="0">
    <w:p w:rsidR="00C97529" w:rsidRDefault="00C97529" w:rsidP="00DE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79F" w:rsidRPr="00AC7D77" w:rsidRDefault="00C97529" w:rsidP="004C579F">
    <w:pPr>
      <w:pStyle w:val="Piedepgina"/>
      <w:pBdr>
        <w:bottom w:val="double" w:sz="6" w:space="1" w:color="auto"/>
      </w:pBdr>
      <w:spacing w:line="360" w:lineRule="auto"/>
      <w:ind w:firstLine="708"/>
      <w:rPr>
        <w:rFonts w:ascii="Georgia" w:hAnsi="Georgia" w:cs="Arial"/>
        <w:spacing w:val="20"/>
        <w:w w:val="200"/>
        <w:sz w:val="2"/>
        <w:szCs w:val="14"/>
      </w:rPr>
    </w:pPr>
  </w:p>
  <w:p w:rsidR="004C579F" w:rsidRPr="00A96505" w:rsidRDefault="00C97529" w:rsidP="004C579F">
    <w:pPr>
      <w:pStyle w:val="Piedepgina"/>
      <w:spacing w:line="360" w:lineRule="auto"/>
      <w:jc w:val="right"/>
      <w:rPr>
        <w:rFonts w:ascii="Georgia" w:hAnsi="Georgia" w:cs="Arial"/>
        <w:spacing w:val="20"/>
        <w:w w:val="200"/>
        <w:sz w:val="14"/>
        <w:szCs w:val="14"/>
      </w:rPr>
    </w:pPr>
  </w:p>
  <w:p w:rsidR="004C579F" w:rsidRPr="00A96505" w:rsidRDefault="00F7078A" w:rsidP="004C579F">
    <w:pPr>
      <w:pStyle w:val="Piedepgina"/>
      <w:spacing w:line="360" w:lineRule="auto"/>
      <w:jc w:val="right"/>
      <w:rPr>
        <w:rFonts w:ascii="Georgia" w:hAnsi="Georgia" w:cs="Arial"/>
        <w:spacing w:val="20"/>
        <w:w w:val="200"/>
        <w:sz w:val="10"/>
        <w:szCs w:val="10"/>
      </w:rPr>
    </w:pPr>
    <w:r w:rsidRPr="00A96505">
      <w:rPr>
        <w:rFonts w:ascii="Georgia" w:hAnsi="Georgia" w:cs="Arial"/>
        <w:spacing w:val="20"/>
        <w:w w:val="200"/>
        <w:sz w:val="14"/>
        <w:szCs w:val="14"/>
      </w:rPr>
      <w:t>T</w:t>
    </w:r>
    <w:r w:rsidRPr="00A96505">
      <w:rPr>
        <w:rFonts w:ascii="Georgia" w:hAnsi="Georgia" w:cs="Arial"/>
        <w:spacing w:val="20"/>
        <w:w w:val="200"/>
        <w:sz w:val="10"/>
        <w:szCs w:val="10"/>
      </w:rPr>
      <w:t xml:space="preserve">RIBUNAL </w:t>
    </w:r>
    <w:r w:rsidRPr="00A96505">
      <w:rPr>
        <w:rFonts w:ascii="Georgia" w:hAnsi="Georgia" w:cs="Arial"/>
        <w:spacing w:val="20"/>
        <w:w w:val="200"/>
        <w:sz w:val="14"/>
        <w:szCs w:val="14"/>
      </w:rPr>
      <w:t>S</w:t>
    </w:r>
    <w:r w:rsidRPr="00A96505">
      <w:rPr>
        <w:rFonts w:ascii="Georgia" w:hAnsi="Georgia" w:cs="Arial"/>
        <w:spacing w:val="20"/>
        <w:w w:val="200"/>
        <w:sz w:val="10"/>
        <w:szCs w:val="10"/>
      </w:rPr>
      <w:t xml:space="preserve">UPERIOR DE </w:t>
    </w:r>
    <w:r w:rsidRPr="00A96505">
      <w:rPr>
        <w:rFonts w:ascii="Georgia" w:hAnsi="Georgia" w:cs="Arial"/>
        <w:spacing w:val="20"/>
        <w:w w:val="200"/>
        <w:sz w:val="14"/>
        <w:szCs w:val="14"/>
      </w:rPr>
      <w:t>P</w:t>
    </w:r>
    <w:r w:rsidRPr="00A96505">
      <w:rPr>
        <w:rFonts w:ascii="Georgia" w:hAnsi="Georgia" w:cs="Arial"/>
        <w:spacing w:val="20"/>
        <w:w w:val="200"/>
        <w:sz w:val="10"/>
        <w:szCs w:val="10"/>
      </w:rPr>
      <w:t>EREIRA</w:t>
    </w:r>
  </w:p>
  <w:p w:rsidR="004C579F" w:rsidRPr="004C579F" w:rsidRDefault="00F7078A" w:rsidP="004C579F">
    <w:pPr>
      <w:pStyle w:val="Piedepgina"/>
      <w:jc w:val="right"/>
      <w:rPr>
        <w:rFonts w:ascii="Georgia" w:hAnsi="Georgia"/>
      </w:rPr>
    </w:pPr>
    <w:r w:rsidRPr="00A96505">
      <w:rPr>
        <w:rFonts w:ascii="Georgia" w:hAnsi="Georgia" w:cs="Arial"/>
        <w:spacing w:val="20"/>
        <w:w w:val="200"/>
        <w:sz w:val="10"/>
        <w:szCs w:val="10"/>
      </w:rPr>
      <w:t xml:space="preserve">MS </w:t>
    </w:r>
    <w:r w:rsidRPr="00A96505">
      <w:rPr>
        <w:rFonts w:ascii="Georgia" w:hAnsi="Georgia" w:cs="Arial"/>
        <w:spacing w:val="20"/>
        <w:w w:val="200"/>
        <w:sz w:val="12"/>
        <w:szCs w:val="12"/>
      </w:rPr>
      <w:t>D</w:t>
    </w:r>
    <w:r w:rsidRPr="00A96505">
      <w:rPr>
        <w:rFonts w:ascii="Georgia" w:hAnsi="Georgia" w:cs="Arial"/>
        <w:spacing w:val="20"/>
        <w:w w:val="200"/>
        <w:sz w:val="8"/>
        <w:szCs w:val="8"/>
      </w:rPr>
      <w:t xml:space="preserve">UBERNEY </w:t>
    </w:r>
    <w:r w:rsidRPr="00A96505">
      <w:rPr>
        <w:rFonts w:ascii="Georgia" w:hAnsi="Georgia" w:cs="Arial"/>
        <w:spacing w:val="20"/>
        <w:w w:val="200"/>
        <w:sz w:val="12"/>
        <w:szCs w:val="12"/>
      </w:rPr>
      <w:t>G</w:t>
    </w:r>
    <w:r w:rsidRPr="00A96505">
      <w:rPr>
        <w:rFonts w:ascii="Georgia" w:hAnsi="Georgia" w:cs="Arial"/>
        <w:spacing w:val="20"/>
        <w:w w:val="200"/>
        <w:sz w:val="8"/>
        <w:szCs w:val="8"/>
      </w:rPr>
      <w:t xml:space="preserve">RISALES </w:t>
    </w:r>
    <w:r w:rsidRPr="00A96505">
      <w:rPr>
        <w:rFonts w:ascii="Georgia" w:hAnsi="Georgia" w:cs="Arial"/>
        <w:spacing w:val="20"/>
        <w:w w:val="200"/>
        <w:sz w:val="12"/>
        <w:szCs w:val="12"/>
      </w:rPr>
      <w:t>H</w:t>
    </w:r>
    <w:r w:rsidRPr="00A96505">
      <w:rPr>
        <w:rFonts w:ascii="Georgia" w:hAnsi="Georgia" w:cs="Arial"/>
        <w:spacing w:val="20"/>
        <w:w w:val="200"/>
        <w:sz w:val="8"/>
        <w:szCs w:val="8"/>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529" w:rsidRDefault="00C97529" w:rsidP="00DE1651">
      <w:r>
        <w:separator/>
      </w:r>
    </w:p>
  </w:footnote>
  <w:footnote w:type="continuationSeparator" w:id="0">
    <w:p w:rsidR="00C97529" w:rsidRDefault="00C97529" w:rsidP="00DE1651">
      <w:r>
        <w:continuationSeparator/>
      </w:r>
    </w:p>
  </w:footnote>
  <w:footnote w:id="1">
    <w:p w:rsidR="00DE1651" w:rsidRPr="009162A0" w:rsidRDefault="00DE1651" w:rsidP="00DE1651">
      <w:pPr>
        <w:pStyle w:val="Textonotapie"/>
        <w:jc w:val="both"/>
        <w:rPr>
          <w:rFonts w:ascii="Arial" w:hAnsi="Arial" w:cs="Arial"/>
          <w:sz w:val="18"/>
        </w:rPr>
      </w:pPr>
      <w:r w:rsidRPr="009162A0">
        <w:rPr>
          <w:rStyle w:val="Refdenotaalpie"/>
          <w:rFonts w:ascii="Arial" w:hAnsi="Arial" w:cs="Arial"/>
          <w:sz w:val="18"/>
          <w:lang w:val="es-CO"/>
        </w:rPr>
        <w:footnoteRef/>
      </w:r>
      <w:r w:rsidRPr="009162A0">
        <w:rPr>
          <w:rFonts w:ascii="Arial" w:hAnsi="Arial" w:cs="Arial"/>
          <w:sz w:val="18"/>
          <w:lang w:val="es-CO"/>
        </w:rPr>
        <w:t xml:space="preserve"> CANOSA T., Fernando. Las nulidades en el Código General del Proceso, 7ª edición, Ediciones Doctrina y ley, 2017, p.17.</w:t>
      </w:r>
    </w:p>
  </w:footnote>
  <w:footnote w:id="2">
    <w:p w:rsidR="00DE1651" w:rsidRPr="009162A0" w:rsidRDefault="00DE1651" w:rsidP="00DE1651">
      <w:pPr>
        <w:pStyle w:val="Textonotapie"/>
        <w:jc w:val="both"/>
        <w:rPr>
          <w:rFonts w:ascii="Arial" w:hAnsi="Arial" w:cs="Arial"/>
          <w:sz w:val="18"/>
        </w:rPr>
      </w:pPr>
      <w:r w:rsidRPr="009162A0">
        <w:rPr>
          <w:rStyle w:val="Refdenotaalpie"/>
          <w:rFonts w:ascii="Arial" w:hAnsi="Arial" w:cs="Arial"/>
          <w:sz w:val="18"/>
          <w:lang w:val="es-CO"/>
        </w:rPr>
        <w:footnoteRef/>
      </w:r>
      <w:r w:rsidRPr="009162A0">
        <w:rPr>
          <w:rFonts w:ascii="Arial" w:hAnsi="Arial" w:cs="Arial"/>
          <w:sz w:val="18"/>
          <w:lang w:val="es-CO"/>
        </w:rPr>
        <w:t xml:space="preserve"> LÓPEZ B., Hernán F. Código General del Proceso, tomo I, parte general, Bogotá DC, </w:t>
      </w:r>
      <w:proofErr w:type="spellStart"/>
      <w:r w:rsidRPr="009162A0">
        <w:rPr>
          <w:rFonts w:ascii="Arial" w:hAnsi="Arial" w:cs="Arial"/>
          <w:sz w:val="18"/>
          <w:lang w:val="es-CO"/>
        </w:rPr>
        <w:t>Dupre</w:t>
      </w:r>
      <w:proofErr w:type="spellEnd"/>
      <w:r w:rsidRPr="009162A0">
        <w:rPr>
          <w:rFonts w:ascii="Arial" w:hAnsi="Arial" w:cs="Arial"/>
          <w:sz w:val="18"/>
          <w:lang w:val="es-CO"/>
        </w:rPr>
        <w:t xml:space="preserve"> editores, 2016, p.909 ss.</w:t>
      </w:r>
    </w:p>
  </w:footnote>
  <w:footnote w:id="3">
    <w:p w:rsidR="00DE1651" w:rsidRPr="009162A0" w:rsidRDefault="00DE1651" w:rsidP="00DE1651">
      <w:pPr>
        <w:pStyle w:val="Textonotapie"/>
        <w:jc w:val="both"/>
        <w:rPr>
          <w:rFonts w:ascii="Arial" w:hAnsi="Arial" w:cs="Arial"/>
          <w:sz w:val="18"/>
        </w:rPr>
      </w:pPr>
      <w:r w:rsidRPr="009162A0">
        <w:rPr>
          <w:rStyle w:val="Refdenotaalpie"/>
          <w:rFonts w:ascii="Arial" w:hAnsi="Arial" w:cs="Arial"/>
          <w:sz w:val="18"/>
          <w:lang w:val="es-CO"/>
        </w:rPr>
        <w:footnoteRef/>
      </w:r>
      <w:r w:rsidRPr="009162A0">
        <w:rPr>
          <w:rFonts w:ascii="Arial" w:hAnsi="Arial" w:cs="Arial"/>
          <w:sz w:val="18"/>
          <w:lang w:val="es-CO"/>
        </w:rPr>
        <w:t xml:space="preserve"> AZULA C., Jaime. Manual de derecho procesal civil, tomo II, 4ª edición, editorial Temis, Bogotá, 1994, p.303.</w:t>
      </w:r>
    </w:p>
  </w:footnote>
  <w:footnote w:id="4">
    <w:p w:rsidR="00DE1651" w:rsidRPr="009162A0" w:rsidRDefault="00DE1651" w:rsidP="00DE1651">
      <w:pPr>
        <w:pStyle w:val="Textonotapie"/>
        <w:jc w:val="both"/>
        <w:rPr>
          <w:rFonts w:ascii="Arial" w:hAnsi="Arial" w:cs="Arial"/>
          <w:sz w:val="18"/>
        </w:rPr>
      </w:pPr>
      <w:r w:rsidRPr="009162A0">
        <w:rPr>
          <w:rStyle w:val="Refdenotaalpie"/>
          <w:rFonts w:ascii="Arial" w:hAnsi="Arial" w:cs="Arial"/>
          <w:sz w:val="18"/>
          <w:lang w:val="es-CO"/>
        </w:rPr>
        <w:footnoteRef/>
      </w:r>
      <w:r w:rsidRPr="009162A0">
        <w:rPr>
          <w:rFonts w:ascii="Arial" w:hAnsi="Arial" w:cs="Arial"/>
          <w:sz w:val="18"/>
          <w:lang w:val="es-CO"/>
        </w:rPr>
        <w:t xml:space="preserve"> ROJAS G., Miguel E. Lecciones de derecho procesal, tomo II, Procedimiento Civil, 6ª Edición, </w:t>
      </w:r>
      <w:proofErr w:type="spellStart"/>
      <w:r w:rsidRPr="009162A0">
        <w:rPr>
          <w:rFonts w:ascii="Arial" w:hAnsi="Arial" w:cs="Arial"/>
          <w:sz w:val="18"/>
          <w:lang w:val="es-CO"/>
        </w:rPr>
        <w:t>Esaju</w:t>
      </w:r>
      <w:proofErr w:type="spellEnd"/>
      <w:r w:rsidRPr="009162A0">
        <w:rPr>
          <w:rFonts w:ascii="Arial" w:hAnsi="Arial" w:cs="Arial"/>
          <w:sz w:val="18"/>
          <w:lang w:val="es-CO"/>
        </w:rPr>
        <w:t>, 2017, Bogotá DC, p.600.</w:t>
      </w:r>
    </w:p>
  </w:footnote>
  <w:footnote w:id="5">
    <w:p w:rsidR="00DE1651" w:rsidRPr="009162A0" w:rsidRDefault="00DE1651" w:rsidP="00DE1651">
      <w:pPr>
        <w:pStyle w:val="Textonotapie"/>
        <w:jc w:val="both"/>
        <w:rPr>
          <w:rFonts w:ascii="Arial" w:hAnsi="Arial" w:cs="Arial"/>
          <w:sz w:val="18"/>
        </w:rPr>
      </w:pPr>
      <w:r w:rsidRPr="009162A0">
        <w:rPr>
          <w:rStyle w:val="Refdenotaalpie"/>
          <w:rFonts w:ascii="Arial" w:hAnsi="Arial" w:cs="Arial"/>
          <w:sz w:val="18"/>
        </w:rPr>
        <w:footnoteRef/>
      </w:r>
      <w:r w:rsidRPr="009162A0">
        <w:rPr>
          <w:rFonts w:ascii="Arial" w:hAnsi="Arial" w:cs="Arial"/>
          <w:sz w:val="18"/>
        </w:rPr>
        <w:t xml:space="preserve"> </w:t>
      </w:r>
      <w:r w:rsidRPr="009162A0">
        <w:rPr>
          <w:rFonts w:ascii="Arial" w:hAnsi="Arial" w:cs="Arial"/>
          <w:sz w:val="18"/>
          <w:lang w:val="es-CO"/>
        </w:rPr>
        <w:t>SANABRIA S., Henry. Nulidades en el proceso civil, Universidad Externado de Colombia, 2ª edición, Bogotá DC, 2011, p.124.</w:t>
      </w:r>
    </w:p>
  </w:footnote>
  <w:footnote w:id="6">
    <w:p w:rsidR="00DE1651" w:rsidRPr="009162A0" w:rsidRDefault="00DE1651" w:rsidP="00DE1651">
      <w:pPr>
        <w:pStyle w:val="Textonotapie"/>
        <w:jc w:val="both"/>
        <w:rPr>
          <w:rFonts w:ascii="Arial" w:hAnsi="Arial" w:cs="Arial"/>
          <w:sz w:val="18"/>
        </w:rPr>
      </w:pPr>
      <w:r w:rsidRPr="009162A0">
        <w:rPr>
          <w:rStyle w:val="Refdenotaalpie"/>
          <w:rFonts w:ascii="Arial" w:hAnsi="Arial" w:cs="Arial"/>
          <w:sz w:val="18"/>
          <w:lang w:val="es-CO"/>
        </w:rPr>
        <w:footnoteRef/>
      </w:r>
      <w:r w:rsidRPr="009162A0">
        <w:rPr>
          <w:rFonts w:ascii="Arial" w:hAnsi="Arial" w:cs="Arial"/>
          <w:sz w:val="18"/>
          <w:lang w:val="es-CO"/>
        </w:rPr>
        <w:t xml:space="preserve"> CANOSA T., Fernando. Ob. cit., p.19 y ss.</w:t>
      </w:r>
    </w:p>
  </w:footnote>
  <w:footnote w:id="7">
    <w:p w:rsidR="00DE1651" w:rsidRPr="009162A0" w:rsidRDefault="00DE1651" w:rsidP="00DE1651">
      <w:pPr>
        <w:pStyle w:val="Textonotapie"/>
        <w:jc w:val="both"/>
        <w:rPr>
          <w:rFonts w:ascii="Arial" w:hAnsi="Arial" w:cs="Arial"/>
          <w:sz w:val="18"/>
          <w:lang w:val="es-CO"/>
        </w:rPr>
      </w:pPr>
      <w:r w:rsidRPr="009162A0">
        <w:rPr>
          <w:rStyle w:val="Refdenotaalpie"/>
          <w:rFonts w:ascii="Arial" w:hAnsi="Arial" w:cs="Arial"/>
          <w:sz w:val="18"/>
        </w:rPr>
        <w:footnoteRef/>
      </w:r>
      <w:r w:rsidRPr="009162A0">
        <w:rPr>
          <w:rFonts w:ascii="Arial" w:hAnsi="Arial" w:cs="Arial"/>
          <w:sz w:val="18"/>
        </w:rPr>
        <w:t xml:space="preserve"> </w:t>
      </w:r>
      <w:r w:rsidRPr="009162A0">
        <w:rPr>
          <w:rFonts w:ascii="Arial" w:hAnsi="Arial" w:cs="Arial"/>
          <w:sz w:val="18"/>
          <w:lang w:val="es-CO"/>
        </w:rPr>
        <w:t xml:space="preserve">CSJ. SC15413-2014. </w:t>
      </w:r>
    </w:p>
  </w:footnote>
  <w:footnote w:id="8">
    <w:p w:rsidR="00DE1651" w:rsidRPr="009162A0" w:rsidRDefault="00DE1651" w:rsidP="00DE1651">
      <w:pPr>
        <w:pStyle w:val="Textonotapie"/>
        <w:jc w:val="both"/>
        <w:rPr>
          <w:rFonts w:ascii="Arial" w:hAnsi="Arial" w:cs="Arial"/>
          <w:sz w:val="18"/>
          <w:lang w:val="es-CO"/>
        </w:rPr>
      </w:pPr>
      <w:r w:rsidRPr="009162A0">
        <w:rPr>
          <w:rStyle w:val="Refdenotaalpie"/>
          <w:rFonts w:ascii="Arial" w:hAnsi="Arial" w:cs="Arial"/>
          <w:sz w:val="18"/>
        </w:rPr>
        <w:footnoteRef/>
      </w:r>
      <w:r w:rsidRPr="009162A0">
        <w:rPr>
          <w:rFonts w:ascii="Arial" w:hAnsi="Arial" w:cs="Arial"/>
          <w:sz w:val="18"/>
        </w:rPr>
        <w:t xml:space="preserve"> </w:t>
      </w:r>
      <w:r w:rsidRPr="009162A0">
        <w:rPr>
          <w:rFonts w:ascii="Arial" w:hAnsi="Arial" w:cs="Arial"/>
          <w:sz w:val="18"/>
          <w:lang w:val="es-ES_tradnl"/>
        </w:rPr>
        <w:t>CSJ. STC8849-2018, reiterada en las sentencias STC14822-2018, STC14918 de 2018</w:t>
      </w:r>
      <w:r w:rsidRPr="009162A0">
        <w:rPr>
          <w:rFonts w:ascii="Arial" w:hAnsi="Arial" w:cs="Arial"/>
          <w:sz w:val="18"/>
          <w:lang w:val="es-CO"/>
        </w:rPr>
        <w:t xml:space="preserve"> y STC1553-2019.</w:t>
      </w:r>
    </w:p>
  </w:footnote>
  <w:footnote w:id="9">
    <w:p w:rsidR="00DE1651" w:rsidRPr="009162A0" w:rsidRDefault="00DE1651" w:rsidP="00DE1651">
      <w:pPr>
        <w:pStyle w:val="Textonotapie"/>
        <w:jc w:val="both"/>
        <w:rPr>
          <w:rFonts w:ascii="Arial" w:hAnsi="Arial" w:cs="Arial"/>
          <w:sz w:val="18"/>
          <w:lang w:val="es-CO"/>
        </w:rPr>
      </w:pPr>
      <w:r w:rsidRPr="009162A0">
        <w:rPr>
          <w:rStyle w:val="Refdenotaalpie"/>
          <w:rFonts w:ascii="Arial" w:hAnsi="Arial" w:cs="Arial"/>
          <w:sz w:val="18"/>
        </w:rPr>
        <w:footnoteRef/>
      </w:r>
      <w:r w:rsidRPr="009162A0">
        <w:rPr>
          <w:rFonts w:ascii="Arial" w:hAnsi="Arial" w:cs="Arial"/>
          <w:sz w:val="18"/>
        </w:rPr>
        <w:t xml:space="preserve"> </w:t>
      </w:r>
      <w:r w:rsidRPr="009162A0">
        <w:rPr>
          <w:rFonts w:ascii="Arial" w:hAnsi="Arial" w:cs="Arial"/>
          <w:sz w:val="18"/>
          <w:lang w:val="es-CO"/>
        </w:rPr>
        <w:t>CSJ. Ob. cit.</w:t>
      </w:r>
    </w:p>
  </w:footnote>
  <w:footnote w:id="10">
    <w:p w:rsidR="00DE1651" w:rsidRPr="009162A0" w:rsidRDefault="00DE1651" w:rsidP="00DE1651">
      <w:pPr>
        <w:pStyle w:val="Textonotapie"/>
        <w:jc w:val="both"/>
        <w:rPr>
          <w:rFonts w:ascii="Arial" w:hAnsi="Arial" w:cs="Arial"/>
          <w:sz w:val="18"/>
          <w:lang w:val="es-CO"/>
        </w:rPr>
      </w:pPr>
      <w:r w:rsidRPr="009162A0">
        <w:rPr>
          <w:rStyle w:val="Refdenotaalpie"/>
          <w:rFonts w:ascii="Arial" w:hAnsi="Arial" w:cs="Arial"/>
          <w:sz w:val="18"/>
        </w:rPr>
        <w:footnoteRef/>
      </w:r>
      <w:r w:rsidRPr="009162A0">
        <w:rPr>
          <w:rFonts w:ascii="Arial" w:hAnsi="Arial" w:cs="Arial"/>
          <w:sz w:val="18"/>
        </w:rPr>
        <w:t xml:space="preserve"> </w:t>
      </w:r>
      <w:r w:rsidRPr="009162A0">
        <w:rPr>
          <w:rFonts w:ascii="Arial" w:hAnsi="Arial" w:cs="Arial"/>
          <w:sz w:val="18"/>
          <w:lang w:val="es-CO"/>
        </w:rPr>
        <w:t xml:space="preserve">Ídem. </w:t>
      </w:r>
    </w:p>
  </w:footnote>
  <w:footnote w:id="11">
    <w:p w:rsidR="00DE1651" w:rsidRPr="009162A0" w:rsidRDefault="00DE1651" w:rsidP="00DE1651">
      <w:pPr>
        <w:pStyle w:val="Textonotapie"/>
        <w:jc w:val="both"/>
        <w:rPr>
          <w:rFonts w:ascii="Arial" w:hAnsi="Arial" w:cs="Arial"/>
          <w:sz w:val="18"/>
          <w:lang w:val="es-CO"/>
        </w:rPr>
      </w:pPr>
      <w:r w:rsidRPr="009162A0">
        <w:rPr>
          <w:rStyle w:val="Refdenotaalpie"/>
          <w:rFonts w:ascii="Arial" w:hAnsi="Arial" w:cs="Arial"/>
          <w:sz w:val="18"/>
        </w:rPr>
        <w:footnoteRef/>
      </w:r>
      <w:r w:rsidRPr="009162A0">
        <w:rPr>
          <w:rFonts w:ascii="Arial" w:hAnsi="Arial" w:cs="Arial"/>
          <w:sz w:val="18"/>
        </w:rPr>
        <w:t xml:space="preserve"> </w:t>
      </w:r>
      <w:r w:rsidRPr="009162A0">
        <w:rPr>
          <w:rFonts w:ascii="Arial" w:hAnsi="Arial" w:cs="Arial"/>
          <w:sz w:val="18"/>
          <w:lang w:val="es-CO"/>
        </w:rPr>
        <w:t>QUINCHE R., Manuel F. Precedente judicial y sus reglas, Universidad del Rosario, Bogotá DC, 2014, p.18.</w:t>
      </w:r>
    </w:p>
  </w:footnote>
  <w:footnote w:id="12">
    <w:p w:rsidR="00DE1651" w:rsidRPr="009162A0" w:rsidRDefault="00DE1651" w:rsidP="00DE1651">
      <w:pPr>
        <w:pStyle w:val="Textonotapie"/>
        <w:jc w:val="both"/>
        <w:rPr>
          <w:rFonts w:ascii="Arial" w:hAnsi="Arial" w:cs="Arial"/>
          <w:sz w:val="18"/>
        </w:rPr>
      </w:pPr>
      <w:r w:rsidRPr="009162A0">
        <w:rPr>
          <w:rFonts w:ascii="Arial" w:hAnsi="Arial" w:cs="Arial"/>
          <w:sz w:val="18"/>
          <w:vertAlign w:val="superscript"/>
        </w:rPr>
        <w:footnoteRef/>
      </w:r>
      <w:r w:rsidRPr="009162A0">
        <w:rPr>
          <w:rFonts w:ascii="Arial" w:hAnsi="Arial" w:cs="Arial"/>
          <w:sz w:val="18"/>
        </w:rPr>
        <w:t xml:space="preserve"> </w:t>
      </w:r>
      <w:r w:rsidRPr="009162A0">
        <w:rPr>
          <w:rFonts w:ascii="Arial" w:hAnsi="Arial" w:cs="Arial"/>
          <w:sz w:val="18"/>
          <w:lang w:val="es-MX"/>
        </w:rPr>
        <w:t xml:space="preserve">CC. </w:t>
      </w:r>
      <w:r w:rsidRPr="009162A0">
        <w:rPr>
          <w:rFonts w:ascii="Arial" w:hAnsi="Arial" w:cs="Arial"/>
          <w:sz w:val="18"/>
        </w:rPr>
        <w:t>T-123 de 1995, T-766 de 2008 y T-794 de 2011</w:t>
      </w:r>
      <w:r w:rsidRPr="009162A0">
        <w:rPr>
          <w:rFonts w:ascii="Arial" w:hAnsi="Arial" w:cs="Arial"/>
          <w:sz w:val="18"/>
          <w:lang w:val="es-CO"/>
        </w:rPr>
        <w:t xml:space="preserve">. </w:t>
      </w:r>
    </w:p>
  </w:footnote>
  <w:footnote w:id="13">
    <w:p w:rsidR="00DE1651" w:rsidRPr="009162A0" w:rsidRDefault="00DE1651" w:rsidP="00DE1651">
      <w:pPr>
        <w:pStyle w:val="Textonotapie"/>
        <w:jc w:val="both"/>
        <w:rPr>
          <w:rFonts w:ascii="Arial" w:hAnsi="Arial" w:cs="Arial"/>
          <w:sz w:val="18"/>
        </w:rPr>
      </w:pPr>
      <w:r w:rsidRPr="009162A0">
        <w:rPr>
          <w:rFonts w:ascii="Arial" w:hAnsi="Arial" w:cs="Arial"/>
          <w:sz w:val="18"/>
          <w:vertAlign w:val="superscript"/>
        </w:rPr>
        <w:footnoteRef/>
      </w:r>
      <w:r w:rsidRPr="009162A0">
        <w:rPr>
          <w:rFonts w:ascii="Arial" w:hAnsi="Arial" w:cs="Arial"/>
          <w:sz w:val="18"/>
        </w:rPr>
        <w:t xml:space="preserve"> </w:t>
      </w:r>
      <w:r w:rsidRPr="009162A0">
        <w:rPr>
          <w:rFonts w:ascii="Arial" w:hAnsi="Arial" w:cs="Arial"/>
          <w:sz w:val="18"/>
          <w:lang w:val="es-MX"/>
        </w:rPr>
        <w:t xml:space="preserve">CC. </w:t>
      </w:r>
      <w:r w:rsidRPr="009162A0">
        <w:rPr>
          <w:rFonts w:ascii="Arial" w:hAnsi="Arial" w:cs="Arial"/>
          <w:sz w:val="18"/>
          <w:lang w:val="es-CO"/>
        </w:rPr>
        <w:t>T-211 de 2008, T-161 de 2010 y T-082 de 2011.</w:t>
      </w:r>
    </w:p>
  </w:footnote>
  <w:footnote w:id="14">
    <w:p w:rsidR="00DE1651" w:rsidRPr="009162A0" w:rsidRDefault="00DE1651" w:rsidP="00DE1651">
      <w:pPr>
        <w:pStyle w:val="Textonotapie"/>
        <w:rPr>
          <w:rFonts w:ascii="Arial" w:hAnsi="Arial" w:cs="Arial"/>
          <w:sz w:val="18"/>
          <w:lang w:val="es-CO"/>
        </w:rPr>
      </w:pPr>
      <w:r w:rsidRPr="009162A0">
        <w:rPr>
          <w:rStyle w:val="Refdenotaalpie"/>
          <w:rFonts w:ascii="Arial" w:hAnsi="Arial" w:cs="Arial"/>
          <w:sz w:val="18"/>
        </w:rPr>
        <w:footnoteRef/>
      </w:r>
      <w:r w:rsidRPr="009162A0">
        <w:rPr>
          <w:rFonts w:ascii="Arial" w:hAnsi="Arial" w:cs="Arial"/>
          <w:sz w:val="18"/>
        </w:rPr>
        <w:t xml:space="preserve"> CSJ. SC10304-2014</w:t>
      </w:r>
    </w:p>
  </w:footnote>
  <w:footnote w:id="15">
    <w:p w:rsidR="00DE1651" w:rsidRPr="009162A0" w:rsidRDefault="00DE1651" w:rsidP="00DE1651">
      <w:pPr>
        <w:pStyle w:val="Textonotapie"/>
        <w:jc w:val="both"/>
        <w:rPr>
          <w:rFonts w:ascii="Arial" w:hAnsi="Arial" w:cs="Arial"/>
          <w:sz w:val="18"/>
          <w:lang w:val="es-CO"/>
        </w:rPr>
      </w:pPr>
      <w:r w:rsidRPr="009162A0">
        <w:rPr>
          <w:rStyle w:val="Refdenotaalpie"/>
          <w:rFonts w:ascii="Arial" w:hAnsi="Arial" w:cs="Arial"/>
          <w:sz w:val="18"/>
        </w:rPr>
        <w:footnoteRef/>
      </w:r>
      <w:r w:rsidRPr="009162A0">
        <w:rPr>
          <w:rFonts w:ascii="Arial" w:hAnsi="Arial" w:cs="Arial"/>
          <w:sz w:val="18"/>
        </w:rPr>
        <w:t xml:space="preserve"> </w:t>
      </w:r>
      <w:r w:rsidRPr="009162A0">
        <w:rPr>
          <w:rFonts w:ascii="Arial" w:hAnsi="Arial" w:cs="Arial"/>
          <w:sz w:val="18"/>
          <w:lang w:val="es-CO"/>
        </w:rPr>
        <w:t>CC. SU-354  de 2017.</w:t>
      </w:r>
    </w:p>
  </w:footnote>
  <w:footnote w:id="16">
    <w:p w:rsidR="00DE1651" w:rsidRPr="009162A0" w:rsidRDefault="00DE1651" w:rsidP="00DE1651">
      <w:pPr>
        <w:pStyle w:val="Textonotapie"/>
        <w:jc w:val="both"/>
        <w:rPr>
          <w:rFonts w:ascii="Arial" w:hAnsi="Arial" w:cs="Arial"/>
          <w:sz w:val="18"/>
          <w:lang w:val="es-CO"/>
        </w:rPr>
      </w:pPr>
      <w:r w:rsidRPr="009162A0">
        <w:rPr>
          <w:rStyle w:val="Refdenotaalpie"/>
          <w:rFonts w:ascii="Arial" w:hAnsi="Arial" w:cs="Arial"/>
          <w:sz w:val="18"/>
        </w:rPr>
        <w:footnoteRef/>
      </w:r>
      <w:r w:rsidRPr="009162A0">
        <w:rPr>
          <w:rFonts w:ascii="Arial" w:hAnsi="Arial" w:cs="Arial"/>
          <w:sz w:val="18"/>
        </w:rPr>
        <w:t xml:space="preserve"> </w:t>
      </w:r>
      <w:r w:rsidRPr="009162A0">
        <w:rPr>
          <w:rFonts w:ascii="Arial" w:hAnsi="Arial" w:cs="Arial"/>
          <w:sz w:val="18"/>
          <w:lang w:val="es-CO"/>
        </w:rPr>
        <w:t>T-348 de 2018</w:t>
      </w:r>
    </w:p>
  </w:footnote>
  <w:footnote w:id="17">
    <w:p w:rsidR="00DE1651" w:rsidRPr="009162A0" w:rsidRDefault="00DE1651" w:rsidP="00DE1651">
      <w:pPr>
        <w:pStyle w:val="Textonotapie"/>
        <w:jc w:val="both"/>
        <w:rPr>
          <w:rFonts w:ascii="Arial" w:hAnsi="Arial" w:cs="Arial"/>
          <w:sz w:val="18"/>
          <w:lang w:val="es-CO"/>
        </w:rPr>
      </w:pPr>
      <w:r w:rsidRPr="009162A0">
        <w:rPr>
          <w:rStyle w:val="Refdenotaalpie"/>
          <w:rFonts w:ascii="Arial" w:hAnsi="Arial" w:cs="Arial"/>
          <w:sz w:val="18"/>
        </w:rPr>
        <w:footnoteRef/>
      </w:r>
      <w:r w:rsidRPr="009162A0">
        <w:rPr>
          <w:rFonts w:ascii="Arial" w:hAnsi="Arial" w:cs="Arial"/>
          <w:sz w:val="18"/>
        </w:rPr>
        <w:t xml:space="preserve"> </w:t>
      </w:r>
      <w:r w:rsidRPr="009162A0">
        <w:rPr>
          <w:rFonts w:ascii="Arial" w:hAnsi="Arial" w:cs="Arial"/>
          <w:sz w:val="18"/>
          <w:lang w:val="es-CO"/>
        </w:rPr>
        <w:t>CC. T-341 de 2018.</w:t>
      </w:r>
    </w:p>
  </w:footnote>
  <w:footnote w:id="18">
    <w:p w:rsidR="00DE1651" w:rsidRPr="009162A0" w:rsidRDefault="00DE1651" w:rsidP="00DE1651">
      <w:pPr>
        <w:pStyle w:val="Textonotapie"/>
        <w:jc w:val="both"/>
        <w:rPr>
          <w:rFonts w:ascii="Arial" w:hAnsi="Arial" w:cs="Arial"/>
          <w:sz w:val="18"/>
          <w:lang w:val="es-CO"/>
        </w:rPr>
      </w:pPr>
      <w:r w:rsidRPr="009162A0">
        <w:rPr>
          <w:rStyle w:val="Refdenotaalpie"/>
          <w:rFonts w:ascii="Arial" w:hAnsi="Arial" w:cs="Arial"/>
          <w:sz w:val="18"/>
        </w:rPr>
        <w:footnoteRef/>
      </w:r>
      <w:r w:rsidRPr="009162A0">
        <w:rPr>
          <w:rFonts w:ascii="Arial" w:hAnsi="Arial" w:cs="Arial"/>
          <w:sz w:val="18"/>
        </w:rPr>
        <w:t xml:space="preserve"> CC. </w:t>
      </w:r>
      <w:r w:rsidRPr="009162A0">
        <w:rPr>
          <w:rFonts w:ascii="Arial" w:hAnsi="Arial" w:cs="Arial"/>
          <w:sz w:val="18"/>
          <w:lang w:val="es-ES_tradnl"/>
        </w:rPr>
        <w:t xml:space="preserve">Entre otras, Sentencias T-612/03, T-1249/04, T-366/05, T-527/09, T-647/13, T-267/15, SU.394/16 y T-186/17. </w:t>
      </w:r>
    </w:p>
  </w:footnote>
  <w:footnote w:id="19">
    <w:p w:rsidR="00DE1651" w:rsidRPr="009162A0" w:rsidRDefault="00DE1651" w:rsidP="00DE1651">
      <w:pPr>
        <w:pStyle w:val="Textonotapie"/>
        <w:jc w:val="both"/>
        <w:rPr>
          <w:rFonts w:ascii="Arial" w:hAnsi="Arial" w:cs="Arial"/>
          <w:sz w:val="18"/>
          <w:lang w:val="es-CO"/>
        </w:rPr>
      </w:pPr>
      <w:r w:rsidRPr="009162A0">
        <w:rPr>
          <w:rStyle w:val="Refdenotaalpie"/>
          <w:rFonts w:ascii="Arial" w:hAnsi="Arial" w:cs="Arial"/>
          <w:sz w:val="18"/>
        </w:rPr>
        <w:footnoteRef/>
      </w:r>
      <w:r w:rsidRPr="009162A0">
        <w:rPr>
          <w:rFonts w:ascii="Arial" w:hAnsi="Arial" w:cs="Arial"/>
          <w:sz w:val="18"/>
        </w:rPr>
        <w:t xml:space="preserve"> </w:t>
      </w:r>
      <w:r w:rsidRPr="009162A0">
        <w:rPr>
          <w:rFonts w:ascii="Arial" w:hAnsi="Arial" w:cs="Arial"/>
          <w:sz w:val="18"/>
          <w:lang w:val="es-ES_tradnl"/>
        </w:rPr>
        <w:t xml:space="preserve">Corte Interamericana de Derechos Humanos, entre otros, caso Salvador </w:t>
      </w:r>
      <w:proofErr w:type="spellStart"/>
      <w:r w:rsidRPr="009162A0">
        <w:rPr>
          <w:rFonts w:ascii="Arial" w:hAnsi="Arial" w:cs="Arial"/>
          <w:sz w:val="18"/>
          <w:lang w:val="es-ES_tradnl"/>
        </w:rPr>
        <w:t>Chiriboga</w:t>
      </w:r>
      <w:proofErr w:type="spellEnd"/>
      <w:r w:rsidRPr="009162A0">
        <w:rPr>
          <w:rFonts w:ascii="Arial" w:hAnsi="Arial" w:cs="Arial"/>
          <w:sz w:val="18"/>
          <w:lang w:val="es-ES_tradnl"/>
        </w:rPr>
        <w:t xml:space="preserve"> Vs. Ecuador, caso Myrna </w:t>
      </w:r>
      <w:proofErr w:type="spellStart"/>
      <w:r w:rsidRPr="009162A0">
        <w:rPr>
          <w:rFonts w:ascii="Arial" w:hAnsi="Arial" w:cs="Arial"/>
          <w:sz w:val="18"/>
          <w:lang w:val="es-ES_tradnl"/>
        </w:rPr>
        <w:t>Mack</w:t>
      </w:r>
      <w:proofErr w:type="spellEnd"/>
      <w:r w:rsidRPr="009162A0">
        <w:rPr>
          <w:rFonts w:ascii="Arial" w:hAnsi="Arial" w:cs="Arial"/>
          <w:sz w:val="18"/>
          <w:lang w:val="es-ES_tradnl"/>
        </w:rPr>
        <w:t xml:space="preserve"> Chang Vs. Guatemala, caso </w:t>
      </w:r>
      <w:proofErr w:type="spellStart"/>
      <w:r w:rsidRPr="009162A0">
        <w:rPr>
          <w:rFonts w:ascii="Arial" w:hAnsi="Arial" w:cs="Arial"/>
          <w:sz w:val="18"/>
          <w:lang w:val="es-ES_tradnl"/>
        </w:rPr>
        <w:t>Genie</w:t>
      </w:r>
      <w:proofErr w:type="spellEnd"/>
      <w:r w:rsidRPr="009162A0">
        <w:rPr>
          <w:rFonts w:ascii="Arial" w:hAnsi="Arial" w:cs="Arial"/>
          <w:sz w:val="18"/>
          <w:lang w:val="es-ES_tradnl"/>
        </w:rPr>
        <w:t xml:space="preserve"> Lacayo Vs. Nicaragua, caso </w:t>
      </w:r>
      <w:proofErr w:type="spellStart"/>
      <w:r w:rsidRPr="009162A0">
        <w:rPr>
          <w:rFonts w:ascii="Arial" w:hAnsi="Arial" w:cs="Arial"/>
          <w:sz w:val="18"/>
          <w:lang w:val="es-ES_tradnl"/>
        </w:rPr>
        <w:t>Forneron</w:t>
      </w:r>
      <w:proofErr w:type="spellEnd"/>
      <w:r w:rsidRPr="009162A0">
        <w:rPr>
          <w:rFonts w:ascii="Arial" w:hAnsi="Arial" w:cs="Arial"/>
          <w:sz w:val="18"/>
          <w:lang w:val="es-ES_tradnl"/>
        </w:rPr>
        <w:t xml:space="preserve"> e Hija Vs. Argentina, caso González Medina y familiares Vs. República Dominicana, caso </w:t>
      </w:r>
      <w:proofErr w:type="spellStart"/>
      <w:r w:rsidRPr="009162A0">
        <w:rPr>
          <w:rFonts w:ascii="Arial" w:hAnsi="Arial" w:cs="Arial"/>
          <w:sz w:val="18"/>
          <w:lang w:val="es-ES_tradnl"/>
        </w:rPr>
        <w:t>Ibsen</w:t>
      </w:r>
      <w:proofErr w:type="spellEnd"/>
      <w:r w:rsidRPr="009162A0">
        <w:rPr>
          <w:rFonts w:ascii="Arial" w:hAnsi="Arial" w:cs="Arial"/>
          <w:sz w:val="18"/>
          <w:lang w:val="es-ES_tradnl"/>
        </w:rPr>
        <w:t xml:space="preserve"> Cárdenas e </w:t>
      </w:r>
      <w:proofErr w:type="spellStart"/>
      <w:r w:rsidRPr="009162A0">
        <w:rPr>
          <w:rFonts w:ascii="Arial" w:hAnsi="Arial" w:cs="Arial"/>
          <w:sz w:val="18"/>
          <w:lang w:val="es-ES_tradnl"/>
        </w:rPr>
        <w:t>Ibsen</w:t>
      </w:r>
      <w:proofErr w:type="spellEnd"/>
      <w:r w:rsidRPr="009162A0">
        <w:rPr>
          <w:rFonts w:ascii="Arial" w:hAnsi="Arial" w:cs="Arial"/>
          <w:sz w:val="18"/>
          <w:lang w:val="es-ES_tradnl"/>
        </w:rPr>
        <w:t xml:space="preserve"> Peña Vs. Bolivia, caso Vélez Loor Vs. Panamá, caso </w:t>
      </w:r>
      <w:proofErr w:type="spellStart"/>
      <w:r w:rsidRPr="009162A0">
        <w:rPr>
          <w:rFonts w:ascii="Arial" w:hAnsi="Arial" w:cs="Arial"/>
          <w:sz w:val="18"/>
          <w:lang w:val="es-ES_tradnl"/>
        </w:rPr>
        <w:t>Chitay</w:t>
      </w:r>
      <w:proofErr w:type="spellEnd"/>
      <w:r w:rsidRPr="009162A0">
        <w:rPr>
          <w:rFonts w:ascii="Arial" w:hAnsi="Arial" w:cs="Arial"/>
          <w:sz w:val="18"/>
          <w:lang w:val="es-ES_tradnl"/>
        </w:rPr>
        <w:t xml:space="preserve"> </w:t>
      </w:r>
      <w:proofErr w:type="spellStart"/>
      <w:r w:rsidRPr="009162A0">
        <w:rPr>
          <w:rFonts w:ascii="Arial" w:hAnsi="Arial" w:cs="Arial"/>
          <w:sz w:val="18"/>
          <w:lang w:val="es-ES_tradnl"/>
        </w:rPr>
        <w:t>Nech</w:t>
      </w:r>
      <w:proofErr w:type="spellEnd"/>
      <w:r w:rsidRPr="009162A0">
        <w:rPr>
          <w:rFonts w:ascii="Arial" w:hAnsi="Arial" w:cs="Arial"/>
          <w:sz w:val="18"/>
          <w:lang w:val="es-ES_tradnl"/>
        </w:rPr>
        <w:t xml:space="preserve"> y otros Vs. Guatemala, caso López Mendoza Vs. Venezuela, caso </w:t>
      </w:r>
      <w:proofErr w:type="spellStart"/>
      <w:r w:rsidRPr="009162A0">
        <w:rPr>
          <w:rFonts w:ascii="Arial" w:hAnsi="Arial" w:cs="Arial"/>
          <w:sz w:val="18"/>
          <w:lang w:val="es-ES_tradnl"/>
        </w:rPr>
        <w:t>Fleury</w:t>
      </w:r>
      <w:proofErr w:type="spellEnd"/>
      <w:r w:rsidRPr="009162A0">
        <w:rPr>
          <w:rFonts w:ascii="Arial" w:hAnsi="Arial" w:cs="Arial"/>
          <w:sz w:val="18"/>
          <w:lang w:val="es-ES_tradnl"/>
        </w:rPr>
        <w:t xml:space="preserve"> y otros Vs. Haití, caso </w:t>
      </w:r>
      <w:proofErr w:type="spellStart"/>
      <w:r w:rsidRPr="009162A0">
        <w:rPr>
          <w:rFonts w:ascii="Arial" w:hAnsi="Arial" w:cs="Arial"/>
          <w:sz w:val="18"/>
          <w:lang w:val="es-ES_tradnl"/>
        </w:rPr>
        <w:t>Atala</w:t>
      </w:r>
      <w:proofErr w:type="spellEnd"/>
      <w:r w:rsidRPr="009162A0">
        <w:rPr>
          <w:rFonts w:ascii="Arial" w:hAnsi="Arial" w:cs="Arial"/>
          <w:sz w:val="18"/>
          <w:lang w:val="es-ES_tradnl"/>
        </w:rPr>
        <w:t xml:space="preserve"> </w:t>
      </w:r>
      <w:proofErr w:type="spellStart"/>
      <w:r w:rsidRPr="009162A0">
        <w:rPr>
          <w:rFonts w:ascii="Arial" w:hAnsi="Arial" w:cs="Arial"/>
          <w:sz w:val="18"/>
          <w:lang w:val="es-ES_tradnl"/>
        </w:rPr>
        <w:t>Riffo</w:t>
      </w:r>
      <w:proofErr w:type="spellEnd"/>
      <w:r w:rsidRPr="009162A0">
        <w:rPr>
          <w:rFonts w:ascii="Arial" w:hAnsi="Arial" w:cs="Arial"/>
          <w:sz w:val="18"/>
          <w:lang w:val="es-ES_tradnl"/>
        </w:rPr>
        <w:t xml:space="preserve"> y Niñas Vs. Chile, caso Pacheco Teruel y otros Vs. Honduras.</w:t>
      </w:r>
    </w:p>
  </w:footnote>
  <w:footnote w:id="20">
    <w:p w:rsidR="00DE1651" w:rsidRPr="009162A0" w:rsidRDefault="00DE1651" w:rsidP="00DE1651">
      <w:pPr>
        <w:pStyle w:val="Textonotapie"/>
        <w:jc w:val="both"/>
        <w:rPr>
          <w:rFonts w:ascii="Arial" w:hAnsi="Arial" w:cs="Arial"/>
          <w:sz w:val="18"/>
          <w:lang w:val="es-CO"/>
        </w:rPr>
      </w:pPr>
      <w:r w:rsidRPr="009162A0">
        <w:rPr>
          <w:rStyle w:val="Refdenotaalpie"/>
          <w:rFonts w:ascii="Arial" w:hAnsi="Arial" w:cs="Arial"/>
          <w:sz w:val="18"/>
        </w:rPr>
        <w:footnoteRef/>
      </w:r>
      <w:r w:rsidRPr="009162A0">
        <w:rPr>
          <w:rFonts w:ascii="Arial" w:hAnsi="Arial" w:cs="Arial"/>
          <w:sz w:val="18"/>
        </w:rPr>
        <w:t xml:space="preserve"> CC. </w:t>
      </w:r>
      <w:r w:rsidRPr="009162A0">
        <w:rPr>
          <w:rFonts w:ascii="Arial" w:hAnsi="Arial" w:cs="Arial"/>
          <w:sz w:val="18"/>
          <w:shd w:val="clear" w:color="auto" w:fill="FFFFFF"/>
          <w:lang w:val="es-ES_tradnl"/>
        </w:rPr>
        <w:t>T-186 de 2017.</w:t>
      </w:r>
    </w:p>
  </w:footnote>
  <w:footnote w:id="21">
    <w:p w:rsidR="00DE1651" w:rsidRPr="009162A0" w:rsidRDefault="00DE1651" w:rsidP="00DE1651">
      <w:pPr>
        <w:pStyle w:val="Textonotapie"/>
        <w:jc w:val="both"/>
        <w:rPr>
          <w:rFonts w:ascii="Arial" w:hAnsi="Arial" w:cs="Arial"/>
          <w:sz w:val="18"/>
        </w:rPr>
      </w:pPr>
      <w:r w:rsidRPr="009162A0">
        <w:rPr>
          <w:rStyle w:val="Refdenotaalpie"/>
          <w:rFonts w:ascii="Arial" w:hAnsi="Arial" w:cs="Arial"/>
          <w:sz w:val="18"/>
        </w:rPr>
        <w:footnoteRef/>
      </w:r>
      <w:r w:rsidRPr="009162A0">
        <w:rPr>
          <w:rFonts w:ascii="Arial" w:hAnsi="Arial" w:cs="Arial"/>
          <w:sz w:val="18"/>
        </w:rPr>
        <w:t xml:space="preserve"> </w:t>
      </w:r>
      <w:r w:rsidRPr="009162A0">
        <w:rPr>
          <w:rFonts w:ascii="Arial" w:hAnsi="Arial" w:cs="Arial"/>
          <w:sz w:val="18"/>
          <w:lang w:val="es-CO"/>
        </w:rPr>
        <w:t xml:space="preserve">Las consideraciones generales sobre el precedente judicial obligatorio que se referenciarán en este aparte se sustentan en la base argumentativa y jurisprudencial de la sentencia C-621 de 2015. </w:t>
      </w:r>
    </w:p>
  </w:footnote>
  <w:footnote w:id="22">
    <w:p w:rsidR="00DE1651" w:rsidRPr="009162A0" w:rsidRDefault="00DE1651" w:rsidP="00DE1651">
      <w:pPr>
        <w:pStyle w:val="Textonotapie"/>
        <w:jc w:val="both"/>
        <w:rPr>
          <w:rFonts w:ascii="Arial" w:hAnsi="Arial" w:cs="Arial"/>
          <w:sz w:val="18"/>
          <w:lang w:val="es-CO"/>
        </w:rPr>
      </w:pPr>
      <w:r w:rsidRPr="009162A0">
        <w:rPr>
          <w:rStyle w:val="Refdenotaalpie"/>
          <w:rFonts w:ascii="Arial" w:hAnsi="Arial" w:cs="Arial"/>
          <w:sz w:val="18"/>
        </w:rPr>
        <w:footnoteRef/>
      </w:r>
      <w:r w:rsidRPr="009162A0">
        <w:rPr>
          <w:rFonts w:ascii="Arial" w:hAnsi="Arial" w:cs="Arial"/>
          <w:sz w:val="18"/>
        </w:rPr>
        <w:t xml:space="preserve"> </w:t>
      </w:r>
      <w:r w:rsidRPr="009162A0">
        <w:rPr>
          <w:rFonts w:ascii="Arial" w:hAnsi="Arial" w:cs="Arial"/>
          <w:sz w:val="18"/>
          <w:lang w:val="es-CO"/>
        </w:rPr>
        <w:t>CC. SU-354  de 2017.</w:t>
      </w:r>
    </w:p>
  </w:footnote>
  <w:footnote w:id="23">
    <w:p w:rsidR="00DE1651" w:rsidRPr="009162A0" w:rsidRDefault="00DE1651" w:rsidP="00DE1651">
      <w:pPr>
        <w:pStyle w:val="Textonotapie"/>
        <w:jc w:val="both"/>
        <w:rPr>
          <w:rFonts w:ascii="Arial" w:hAnsi="Arial" w:cs="Arial"/>
          <w:sz w:val="18"/>
          <w:lang w:val="es-CO"/>
        </w:rPr>
      </w:pPr>
      <w:r w:rsidRPr="009162A0">
        <w:rPr>
          <w:rStyle w:val="Refdenotaalpie"/>
          <w:rFonts w:ascii="Arial" w:hAnsi="Arial" w:cs="Arial"/>
          <w:sz w:val="18"/>
        </w:rPr>
        <w:footnoteRef/>
      </w:r>
      <w:r w:rsidRPr="009162A0">
        <w:rPr>
          <w:rFonts w:ascii="Arial" w:hAnsi="Arial" w:cs="Arial"/>
          <w:sz w:val="18"/>
        </w:rPr>
        <w:t xml:space="preserve"> </w:t>
      </w:r>
      <w:r w:rsidRPr="009162A0">
        <w:rPr>
          <w:rFonts w:ascii="Arial" w:hAnsi="Arial" w:cs="Arial"/>
          <w:sz w:val="18"/>
          <w:lang w:val="es-CO"/>
        </w:rPr>
        <w:t>ROJAS G., Miguel E. Ob. cit. p.111.</w:t>
      </w:r>
    </w:p>
  </w:footnote>
  <w:footnote w:id="24">
    <w:p w:rsidR="00DE1651" w:rsidRPr="009162A0" w:rsidRDefault="00DE1651" w:rsidP="00DE1651">
      <w:pPr>
        <w:shd w:val="clear" w:color="auto" w:fill="FFFFFF"/>
        <w:jc w:val="both"/>
        <w:rPr>
          <w:rFonts w:ascii="Arial" w:hAnsi="Arial" w:cs="Arial"/>
          <w:sz w:val="18"/>
        </w:rPr>
      </w:pPr>
      <w:r w:rsidRPr="009162A0">
        <w:rPr>
          <w:rStyle w:val="Refdenotaalpie"/>
          <w:rFonts w:ascii="Arial" w:hAnsi="Arial" w:cs="Arial"/>
          <w:sz w:val="18"/>
        </w:rPr>
        <w:footnoteRef/>
      </w:r>
      <w:r w:rsidRPr="009162A0">
        <w:rPr>
          <w:rFonts w:ascii="Arial" w:hAnsi="Arial" w:cs="Arial"/>
          <w:sz w:val="18"/>
        </w:rPr>
        <w:t xml:space="preserve"> ROJAS G., Miguel E. Los apoderados judiciales y la metamorfosis del concepto de tercero,  Colombia [En línea]. [Visitado el 2019-01-18]. Disponible en internet: </w:t>
      </w:r>
      <w:r w:rsidRPr="009162A0">
        <w:rPr>
          <w:rStyle w:val="CitaHTML"/>
          <w:rFonts w:ascii="Arial" w:hAnsi="Arial" w:cs="Arial"/>
          <w:i w:val="0"/>
          <w:iCs w:val="0"/>
          <w:sz w:val="18"/>
        </w:rPr>
        <w:fldChar w:fldCharType="begin"/>
      </w:r>
      <w:r w:rsidRPr="009162A0">
        <w:rPr>
          <w:rStyle w:val="CitaHTML"/>
          <w:rFonts w:ascii="Arial" w:hAnsi="Arial" w:cs="Arial"/>
          <w:sz w:val="18"/>
        </w:rPr>
        <w:instrText xml:space="preserve"> HYPERLINK "https://letrujil.files.wordpress.com/2013/09/04miguel-eriquerojas.pdf</w:instrText>
      </w:r>
    </w:p>
    <w:p w:rsidR="00DE1651" w:rsidRPr="009162A0" w:rsidRDefault="00DE1651" w:rsidP="00DE1651">
      <w:pPr>
        <w:shd w:val="clear" w:color="auto" w:fill="FFFFFF"/>
        <w:jc w:val="both"/>
        <w:rPr>
          <w:rFonts w:ascii="Arial" w:hAnsi="Arial" w:cs="Arial"/>
          <w:sz w:val="18"/>
        </w:rPr>
      </w:pPr>
      <w:r w:rsidRPr="009162A0">
        <w:rPr>
          <w:rStyle w:val="CitaHTML"/>
          <w:rFonts w:ascii="Arial" w:hAnsi="Arial" w:cs="Arial"/>
          <w:sz w:val="18"/>
        </w:rPr>
        <w:instrText xml:space="preserve">" </w:instrText>
      </w:r>
      <w:r w:rsidRPr="009162A0">
        <w:rPr>
          <w:rStyle w:val="CitaHTML"/>
          <w:rFonts w:ascii="Arial" w:hAnsi="Arial" w:cs="Arial"/>
          <w:i w:val="0"/>
          <w:iCs w:val="0"/>
          <w:sz w:val="18"/>
        </w:rPr>
        <w:fldChar w:fldCharType="separate"/>
      </w:r>
      <w:r w:rsidRPr="009162A0">
        <w:rPr>
          <w:rStyle w:val="Hipervnculo"/>
          <w:rFonts w:ascii="Arial" w:hAnsi="Arial" w:cs="Arial"/>
          <w:sz w:val="18"/>
        </w:rPr>
        <w:t>https://letrujil.files.wordpress.com/2013/09/04miguel-eriquerojas.pdf</w:t>
      </w:r>
      <w:r w:rsidRPr="009162A0">
        <w:rPr>
          <w:rStyle w:val="CitaHTML"/>
          <w:rFonts w:ascii="Arial" w:hAnsi="Arial" w:cs="Arial"/>
          <w:i w:val="0"/>
          <w:iCs w:val="0"/>
          <w:sz w:val="18"/>
        </w:rPr>
        <w:fldChar w:fldCharType="end"/>
      </w:r>
      <w:r w:rsidRPr="009162A0">
        <w:rPr>
          <w:rStyle w:val="CitaHTML"/>
          <w:rFonts w:ascii="Arial" w:hAnsi="Arial" w:cs="Arial"/>
          <w:sz w:val="18"/>
        </w:rPr>
        <w:t>.</w:t>
      </w:r>
    </w:p>
  </w:footnote>
  <w:footnote w:id="25">
    <w:p w:rsidR="00DE1651" w:rsidRPr="009162A0" w:rsidRDefault="00DE1651" w:rsidP="00DE1651">
      <w:pPr>
        <w:pStyle w:val="Textonotapie"/>
        <w:rPr>
          <w:rFonts w:ascii="Arial" w:hAnsi="Arial" w:cs="Arial"/>
          <w:sz w:val="18"/>
          <w:lang w:val="es-CO"/>
        </w:rPr>
      </w:pPr>
      <w:r w:rsidRPr="009162A0">
        <w:rPr>
          <w:rStyle w:val="Refdenotaalpie"/>
          <w:rFonts w:ascii="Arial" w:hAnsi="Arial" w:cs="Arial"/>
          <w:sz w:val="18"/>
        </w:rPr>
        <w:footnoteRef/>
      </w:r>
      <w:r w:rsidRPr="009162A0">
        <w:rPr>
          <w:rFonts w:ascii="Arial" w:hAnsi="Arial" w:cs="Arial"/>
          <w:sz w:val="18"/>
        </w:rPr>
        <w:t xml:space="preserve"> ROJAS G., Miguel E. Salto al Código General del Proceso, </w:t>
      </w:r>
      <w:proofErr w:type="spellStart"/>
      <w:r w:rsidRPr="009162A0">
        <w:rPr>
          <w:rFonts w:ascii="Arial" w:hAnsi="Arial" w:cs="Arial"/>
          <w:sz w:val="18"/>
        </w:rPr>
        <w:t>ESAJU</w:t>
      </w:r>
      <w:proofErr w:type="spellEnd"/>
      <w:r w:rsidRPr="009162A0">
        <w:rPr>
          <w:rFonts w:ascii="Arial" w:hAnsi="Arial" w:cs="Arial"/>
          <w:sz w:val="18"/>
        </w:rPr>
        <w:t>, Bogotá DC. 2016, p.75.</w:t>
      </w:r>
    </w:p>
  </w:footnote>
  <w:footnote w:id="26">
    <w:p w:rsidR="00DE1651" w:rsidRPr="007221EA" w:rsidRDefault="00DE1651" w:rsidP="00DE1651">
      <w:pPr>
        <w:pStyle w:val="Textonotapie"/>
        <w:rPr>
          <w:lang w:val="es-CO"/>
        </w:rPr>
      </w:pPr>
      <w:r w:rsidRPr="009162A0">
        <w:rPr>
          <w:rStyle w:val="Refdenotaalpie"/>
          <w:rFonts w:ascii="Arial" w:hAnsi="Arial" w:cs="Arial"/>
          <w:sz w:val="18"/>
        </w:rPr>
        <w:footnoteRef/>
      </w:r>
      <w:r w:rsidRPr="009162A0">
        <w:rPr>
          <w:rFonts w:ascii="Arial" w:hAnsi="Arial" w:cs="Arial"/>
          <w:sz w:val="18"/>
        </w:rPr>
        <w:t xml:space="preserve"> </w:t>
      </w:r>
      <w:proofErr w:type="spellStart"/>
      <w:r w:rsidRPr="009162A0">
        <w:rPr>
          <w:rFonts w:ascii="Arial" w:hAnsi="Arial" w:cs="Arial"/>
          <w:sz w:val="18"/>
        </w:rPr>
        <w:t>TSP</w:t>
      </w:r>
      <w:proofErr w:type="spellEnd"/>
      <w:r w:rsidRPr="009162A0">
        <w:rPr>
          <w:rFonts w:ascii="Arial" w:hAnsi="Arial" w:cs="Arial"/>
          <w:sz w:val="18"/>
        </w:rPr>
        <w:t xml:space="preserve">, Civil-Familia. </w:t>
      </w:r>
      <w:r w:rsidRPr="009162A0">
        <w:rPr>
          <w:rFonts w:ascii="Arial" w:hAnsi="Arial" w:cs="Arial"/>
          <w:sz w:val="18"/>
          <w:lang w:val="es-CO"/>
        </w:rPr>
        <w:t>Proveído de 28-01-2019</w:t>
      </w:r>
      <w:r w:rsidRPr="009162A0">
        <w:rPr>
          <w:rFonts w:ascii="Arial" w:hAnsi="Arial" w:cs="Arial"/>
          <w:sz w:val="18"/>
        </w:rPr>
        <w:t xml:space="preserve">; MS: Grisales H., No.2017-00271-01 reafirmado en súplica fechada 25-02-2019, </w:t>
      </w:r>
      <w:proofErr w:type="spellStart"/>
      <w:r w:rsidRPr="009162A0">
        <w:rPr>
          <w:rFonts w:ascii="Arial" w:hAnsi="Arial" w:cs="Arial"/>
          <w:sz w:val="18"/>
        </w:rPr>
        <w:t>MP</w:t>
      </w:r>
      <w:proofErr w:type="spellEnd"/>
      <w:r w:rsidRPr="009162A0">
        <w:rPr>
          <w:rFonts w:ascii="Arial" w:hAnsi="Arial" w:cs="Arial"/>
          <w:sz w:val="18"/>
        </w:rPr>
        <w:t>: Sánchez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858" w:rsidRPr="008F2BC0" w:rsidRDefault="00F7078A" w:rsidP="000820BC">
    <w:pPr>
      <w:pStyle w:val="Encabezado"/>
      <w:pBdr>
        <w:bottom w:val="single" w:sz="4" w:space="1" w:color="D9D9D9"/>
      </w:pBdr>
      <w:jc w:val="right"/>
      <w:rPr>
        <w:rFonts w:ascii="Georgia" w:hAnsi="Georgia"/>
        <w:sz w:val="18"/>
        <w:szCs w:val="18"/>
      </w:rPr>
    </w:pPr>
    <w:r w:rsidRPr="008F2BC0">
      <w:rPr>
        <w:rFonts w:ascii="Georgia" w:hAnsi="Georgia"/>
        <w:color w:val="808080"/>
        <w:spacing w:val="60"/>
        <w:sz w:val="18"/>
        <w:szCs w:val="18"/>
      </w:rPr>
      <w:t>Página</w:t>
    </w:r>
    <w:r w:rsidRPr="008F2BC0">
      <w:rPr>
        <w:rFonts w:ascii="Georgia" w:hAnsi="Georgia"/>
        <w:sz w:val="18"/>
        <w:szCs w:val="18"/>
      </w:rPr>
      <w:t xml:space="preserve"> | </w:t>
    </w:r>
    <w:r w:rsidRPr="008F2BC0">
      <w:rPr>
        <w:rFonts w:ascii="Georgia" w:hAnsi="Georgia"/>
        <w:sz w:val="18"/>
        <w:szCs w:val="18"/>
      </w:rPr>
      <w:fldChar w:fldCharType="begin"/>
    </w:r>
    <w:r w:rsidRPr="008F2BC0">
      <w:rPr>
        <w:rFonts w:ascii="Georgia" w:hAnsi="Georgia"/>
        <w:sz w:val="18"/>
        <w:szCs w:val="18"/>
      </w:rPr>
      <w:instrText>PAGE   \* MERGEFORMAT</w:instrText>
    </w:r>
    <w:r w:rsidRPr="008F2BC0">
      <w:rPr>
        <w:rFonts w:ascii="Georgia" w:hAnsi="Georgia"/>
        <w:sz w:val="18"/>
        <w:szCs w:val="18"/>
      </w:rPr>
      <w:fldChar w:fldCharType="separate"/>
    </w:r>
    <w:r w:rsidR="003A06F6">
      <w:rPr>
        <w:rFonts w:ascii="Georgia" w:hAnsi="Georgia"/>
        <w:noProof/>
        <w:sz w:val="18"/>
        <w:szCs w:val="18"/>
      </w:rPr>
      <w:t>2</w:t>
    </w:r>
    <w:r w:rsidRPr="008F2BC0">
      <w:rPr>
        <w:rFonts w:ascii="Georgia" w:hAnsi="Georgia"/>
        <w:sz w:val="18"/>
        <w:szCs w:val="18"/>
      </w:rPr>
      <w:fldChar w:fldCharType="end"/>
    </w:r>
  </w:p>
  <w:p w:rsidR="00C27858" w:rsidRPr="008F2BC0" w:rsidRDefault="00F7078A" w:rsidP="008D321B">
    <w:pPr>
      <w:pStyle w:val="Encabezado"/>
      <w:ind w:right="360"/>
      <w:jc w:val="both"/>
      <w:rPr>
        <w:rFonts w:ascii="Georgia" w:eastAsia="Batang" w:hAnsi="Georgia"/>
        <w:i/>
        <w:iCs/>
        <w:sz w:val="22"/>
      </w:rPr>
    </w:pPr>
    <w:r w:rsidRPr="008F2BC0">
      <w:rPr>
        <w:rFonts w:ascii="Georgia" w:eastAsia="Batang" w:hAnsi="Georgia" w:cs="Batang"/>
        <w:i/>
        <w:iCs/>
        <w:sz w:val="22"/>
      </w:rPr>
      <w:t>E</w:t>
    </w:r>
    <w:r w:rsidRPr="008F2BC0">
      <w:rPr>
        <w:rFonts w:ascii="Georgia" w:eastAsia="Batang" w:hAnsi="Georgia" w:cs="Batang"/>
        <w:i/>
        <w:iCs/>
        <w:sz w:val="18"/>
        <w:szCs w:val="16"/>
      </w:rPr>
      <w:t>XPEDIENTE No.</w:t>
    </w:r>
    <w:r>
      <w:rPr>
        <w:rFonts w:ascii="Georgia" w:eastAsia="Batang" w:hAnsi="Georgia" w:cs="Batang"/>
        <w:i/>
        <w:iCs/>
        <w:sz w:val="18"/>
        <w:szCs w:val="16"/>
      </w:rPr>
      <w:t>2015-00052-01</w:t>
    </w:r>
    <w:r w:rsidRPr="008F2BC0">
      <w:rPr>
        <w:rFonts w:ascii="Georgia" w:eastAsia="Batang" w:hAnsi="Georgia" w:cs="Batang"/>
        <w:i/>
        <w:iCs/>
        <w:sz w:val="18"/>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51"/>
    <w:rsid w:val="000B268B"/>
    <w:rsid w:val="00311068"/>
    <w:rsid w:val="003A06F6"/>
    <w:rsid w:val="004E7541"/>
    <w:rsid w:val="009162A0"/>
    <w:rsid w:val="00C97529"/>
    <w:rsid w:val="00DE1651"/>
    <w:rsid w:val="00F707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6C78C-2143-4EE2-AF35-086FD983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65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E1651"/>
    <w:pPr>
      <w:tabs>
        <w:tab w:val="center" w:pos="4419"/>
        <w:tab w:val="right" w:pos="8838"/>
      </w:tabs>
    </w:pPr>
  </w:style>
  <w:style w:type="character" w:customStyle="1" w:styleId="EncabezadoCar">
    <w:name w:val="Encabezado Car"/>
    <w:basedOn w:val="Fuentedeprrafopredeter"/>
    <w:link w:val="Encabezado"/>
    <w:uiPriority w:val="99"/>
    <w:rsid w:val="00DE1651"/>
    <w:rPr>
      <w:rFonts w:ascii="Times New Roman" w:eastAsia="Times New Roman" w:hAnsi="Times New Roman" w:cs="Times New Roman"/>
      <w:sz w:val="20"/>
      <w:szCs w:val="20"/>
      <w:lang w:eastAsia="es-ES"/>
    </w:rPr>
  </w:style>
  <w:style w:type="paragraph" w:styleId="Puesto">
    <w:name w:val="Title"/>
    <w:basedOn w:val="Normal"/>
    <w:link w:val="PuestoCar"/>
    <w:uiPriority w:val="99"/>
    <w:qFormat/>
    <w:rsid w:val="00DE1651"/>
    <w:pPr>
      <w:jc w:val="center"/>
    </w:pPr>
    <w:rPr>
      <w:rFonts w:ascii="Arial" w:hAnsi="Arial" w:cs="Arial"/>
      <w:b/>
      <w:bCs/>
      <w:i/>
      <w:iCs/>
      <w:sz w:val="24"/>
      <w:szCs w:val="24"/>
    </w:rPr>
  </w:style>
  <w:style w:type="character" w:customStyle="1" w:styleId="PuestoCar">
    <w:name w:val="Puesto Car"/>
    <w:basedOn w:val="Fuentedeprrafopredeter"/>
    <w:link w:val="Puesto"/>
    <w:uiPriority w:val="99"/>
    <w:rsid w:val="00DE1651"/>
    <w:rPr>
      <w:rFonts w:ascii="Arial" w:eastAsia="Times New Roman" w:hAnsi="Arial" w:cs="Arial"/>
      <w:b/>
      <w:bCs/>
      <w:i/>
      <w:iCs/>
      <w:sz w:val="24"/>
      <w:szCs w:val="24"/>
      <w:lang w:eastAsia="es-ES"/>
    </w:rPr>
  </w:style>
  <w:style w:type="paragraph" w:styleId="Textoindependiente">
    <w:name w:val="Body Text"/>
    <w:basedOn w:val="Normal"/>
    <w:link w:val="TextoindependienteCar"/>
    <w:uiPriority w:val="99"/>
    <w:rsid w:val="00DE16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rsid w:val="00DE1651"/>
    <w:rPr>
      <w:rFonts w:ascii="Verdana" w:eastAsia="Times New Roman" w:hAnsi="Verdana" w:cs="Verdana"/>
      <w:spacing w:val="-3"/>
      <w:sz w:val="24"/>
      <w:szCs w:val="24"/>
      <w:lang w:val="es-ES_tradnl" w:eastAsia="es-ES"/>
    </w:rPr>
  </w:style>
  <w:style w:type="paragraph" w:styleId="Sinespaciado">
    <w:name w:val="No Spacing"/>
    <w:link w:val="SinespaciadoCar"/>
    <w:uiPriority w:val="1"/>
    <w:qFormat/>
    <w:rsid w:val="00DE1651"/>
    <w:pPr>
      <w:widowControl w:val="0"/>
      <w:autoSpaceDE w:val="0"/>
      <w:autoSpaceDN w:val="0"/>
      <w:adjustRightInd w:val="0"/>
      <w:spacing w:after="0" w:line="240" w:lineRule="auto"/>
    </w:pPr>
    <w:rPr>
      <w:rFonts w:ascii="Courier New" w:eastAsia="Times New Roman" w:hAnsi="Courier New" w:cs="Courier New"/>
      <w:sz w:val="24"/>
      <w:szCs w:val="24"/>
      <w:lang w:eastAsia="es-ES"/>
    </w:rPr>
  </w:style>
  <w:style w:type="paragraph" w:styleId="Prrafodelista">
    <w:name w:val="List Paragraph"/>
    <w:basedOn w:val="Normal"/>
    <w:link w:val="PrrafodelistaCar"/>
    <w:uiPriority w:val="34"/>
    <w:qFormat/>
    <w:rsid w:val="00DE1651"/>
    <w:pPr>
      <w:ind w:left="708"/>
    </w:pPr>
  </w:style>
  <w:style w:type="paragraph" w:styleId="Piedepgina">
    <w:name w:val="footer"/>
    <w:aliases w:val="Pie de página Car Car"/>
    <w:basedOn w:val="Normal"/>
    <w:link w:val="PiedepginaCar"/>
    <w:uiPriority w:val="99"/>
    <w:rsid w:val="00DE1651"/>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rsid w:val="00DE1651"/>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qFormat/>
    <w:rsid w:val="00DE1651"/>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DE1651"/>
    <w:rPr>
      <w:rFonts w:ascii="Times New Roman" w:eastAsia="Times New Roman" w:hAnsi="Times New Roman" w:cs="Times New Roman"/>
      <w:sz w:val="20"/>
      <w:szCs w:val="20"/>
      <w:lang w:eastAsia="es-ES"/>
    </w:rPr>
  </w:style>
  <w:style w:type="paragraph" w:customStyle="1" w:styleId="Textopredeterminado">
    <w:name w:val="Texto predeterminado"/>
    <w:basedOn w:val="Normal"/>
    <w:rsid w:val="00DE1651"/>
    <w:pPr>
      <w:overflowPunct w:val="0"/>
      <w:autoSpaceDE w:val="0"/>
      <w:autoSpaceDN w:val="0"/>
      <w:adjustRightInd w:val="0"/>
    </w:pPr>
    <w:rPr>
      <w:color w:val="000000"/>
      <w:sz w:val="24"/>
      <w:szCs w:val="24"/>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DE1651"/>
    <w:rPr>
      <w:rFonts w:cs="Times New Roman"/>
      <w:vertAlign w:val="superscript"/>
    </w:rPr>
  </w:style>
  <w:style w:type="character" w:customStyle="1" w:styleId="SinespaciadoCar">
    <w:name w:val="Sin espaciado Car"/>
    <w:link w:val="Sinespaciado"/>
    <w:uiPriority w:val="1"/>
    <w:locked/>
    <w:rsid w:val="00DE1651"/>
    <w:rPr>
      <w:rFonts w:ascii="Courier New" w:eastAsia="Times New Roman" w:hAnsi="Courier New" w:cs="Courier New"/>
      <w:sz w:val="24"/>
      <w:szCs w:val="24"/>
      <w:lang w:eastAsia="es-ES"/>
    </w:rPr>
  </w:style>
  <w:style w:type="character" w:styleId="Hipervnculo">
    <w:name w:val="Hyperlink"/>
    <w:basedOn w:val="Fuentedeprrafopredeter"/>
    <w:uiPriority w:val="99"/>
    <w:rsid w:val="00DE1651"/>
    <w:rPr>
      <w:rFonts w:cs="Times New Roman"/>
      <w:color w:val="0000FF"/>
      <w:u w:val="single"/>
    </w:rPr>
  </w:style>
  <w:style w:type="paragraph" w:customStyle="1" w:styleId="Sinespaciado1">
    <w:name w:val="Sin espaciado1"/>
    <w:uiPriority w:val="99"/>
    <w:rsid w:val="00DE1651"/>
    <w:pPr>
      <w:widowControl w:val="0"/>
      <w:autoSpaceDE w:val="0"/>
      <w:autoSpaceDN w:val="0"/>
      <w:adjustRightInd w:val="0"/>
      <w:spacing w:after="0" w:line="240" w:lineRule="auto"/>
    </w:pPr>
    <w:rPr>
      <w:rFonts w:ascii="Courier New" w:eastAsia="Times New Roman" w:hAnsi="Courier New" w:cs="Courier New"/>
      <w:lang w:eastAsia="es-ES"/>
    </w:rPr>
  </w:style>
  <w:style w:type="character" w:styleId="CitaHTML">
    <w:name w:val="HTML Cite"/>
    <w:basedOn w:val="Fuentedeprrafopredeter"/>
    <w:uiPriority w:val="99"/>
    <w:semiHidden/>
    <w:unhideWhenUsed/>
    <w:rsid w:val="00DE1651"/>
    <w:rPr>
      <w:rFonts w:cs="Times New Roman"/>
      <w:i/>
      <w:iCs/>
    </w:rPr>
  </w:style>
  <w:style w:type="character" w:customStyle="1" w:styleId="PrrafodelistaCar">
    <w:name w:val="Párrafo de lista Car"/>
    <w:link w:val="Prrafodelista"/>
    <w:uiPriority w:val="34"/>
    <w:locked/>
    <w:rsid w:val="00DE1651"/>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2728</Words>
  <Characters>15010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3</cp:revision>
  <dcterms:created xsi:type="dcterms:W3CDTF">2019-04-05T19:00:00Z</dcterms:created>
  <dcterms:modified xsi:type="dcterms:W3CDTF">2019-04-05T19:40:00Z</dcterms:modified>
</cp:coreProperties>
</file>