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9D" w:rsidRPr="00EA7023" w:rsidRDefault="0008479D" w:rsidP="000847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A702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8479D" w:rsidRPr="00EA7023" w:rsidRDefault="0008479D" w:rsidP="0008479D">
      <w:pPr>
        <w:jc w:val="both"/>
        <w:rPr>
          <w:rFonts w:ascii="Arial" w:hAnsi="Arial" w:cs="Arial"/>
          <w:sz w:val="20"/>
          <w:szCs w:val="20"/>
          <w:lang w:val="es-419"/>
        </w:rPr>
      </w:pPr>
    </w:p>
    <w:p w:rsidR="0008479D" w:rsidRPr="00EA7023" w:rsidRDefault="0008479D" w:rsidP="0008479D">
      <w:pPr>
        <w:pStyle w:val="Sinespaciado"/>
        <w:jc w:val="both"/>
        <w:rPr>
          <w:rFonts w:ascii="Arial" w:hAnsi="Arial" w:cs="Arial"/>
          <w:b/>
          <w:bCs/>
          <w:iCs/>
          <w:sz w:val="20"/>
          <w:szCs w:val="20"/>
          <w:lang w:val="es-419" w:eastAsia="fr-FR"/>
        </w:rPr>
      </w:pPr>
      <w:r w:rsidRPr="00EA7023">
        <w:rPr>
          <w:rFonts w:ascii="Arial" w:hAnsi="Arial" w:cs="Arial"/>
          <w:b/>
          <w:bCs/>
          <w:iCs/>
          <w:sz w:val="20"/>
          <w:szCs w:val="20"/>
          <w:lang w:val="es-419" w:eastAsia="fr-FR"/>
        </w:rPr>
        <w:t>TEMAS:</w:t>
      </w:r>
      <w:r w:rsidR="00FA0173" w:rsidRPr="00EA7023">
        <w:rPr>
          <w:rFonts w:ascii="Arial" w:hAnsi="Arial" w:cs="Arial"/>
          <w:b/>
          <w:bCs/>
          <w:iCs/>
          <w:sz w:val="20"/>
          <w:szCs w:val="20"/>
          <w:lang w:val="es-419" w:eastAsia="fr-FR"/>
        </w:rPr>
        <w:tab/>
        <w:t xml:space="preserve">RECURSO DE SÚPLICA / PRESUPUESTOS DE VIABILIDAD DE LOS RECURSOS / </w:t>
      </w:r>
      <w:r w:rsidR="00D47C57" w:rsidRPr="00EA7023">
        <w:rPr>
          <w:rFonts w:ascii="Arial" w:hAnsi="Arial" w:cs="Arial"/>
          <w:b/>
          <w:bCs/>
          <w:iCs/>
          <w:sz w:val="20"/>
          <w:szCs w:val="20"/>
          <w:lang w:val="es-419" w:eastAsia="fr-FR"/>
        </w:rPr>
        <w:t xml:space="preserve">CORRECCIÓN DE DEMANDA INADMITIDA / REQUISITOS / </w:t>
      </w:r>
      <w:r w:rsidR="003B3C38" w:rsidRPr="00EA7023">
        <w:rPr>
          <w:rFonts w:ascii="Arial" w:hAnsi="Arial" w:cs="Arial"/>
          <w:b/>
          <w:bCs/>
          <w:iCs/>
          <w:sz w:val="20"/>
          <w:szCs w:val="20"/>
          <w:lang w:val="es-419" w:eastAsia="fr-FR"/>
        </w:rPr>
        <w:t xml:space="preserve">PREVALENCIA DEL DERECHO SUSTANCIAL SOBRE EL FORMAL / NO ES ABSOLUTA / </w:t>
      </w:r>
      <w:r w:rsidR="001518E7" w:rsidRPr="00EA7023">
        <w:rPr>
          <w:rFonts w:ascii="Arial" w:hAnsi="Arial" w:cs="Arial"/>
          <w:b/>
          <w:bCs/>
          <w:iCs/>
          <w:sz w:val="20"/>
          <w:szCs w:val="20"/>
          <w:lang w:val="es-419" w:eastAsia="fr-FR"/>
        </w:rPr>
        <w:t xml:space="preserve">SUSTENTACIÓN DEL RECURSO DE REVISIÓN / ES CUALIFICADO / </w:t>
      </w:r>
      <w:r w:rsidR="00EA7023" w:rsidRPr="00EA7023">
        <w:rPr>
          <w:rFonts w:ascii="Arial" w:hAnsi="Arial" w:cs="Arial"/>
          <w:b/>
          <w:bCs/>
          <w:iCs/>
          <w:sz w:val="20"/>
          <w:szCs w:val="20"/>
          <w:lang w:val="es-419" w:eastAsia="fr-FR"/>
        </w:rPr>
        <w:t>SISTEMA DE GESTIÓN JUDICIAL / LA INFORMACIÓN BRINDADA NO SUPLE LOS MEDIOS DE NOTIFICACIÓN JUDICIAL NI RELEVA A LOS APODERADOS DE LA REVISIÓN PERSONAL DEL EXPEDIENTE.</w:t>
      </w:r>
    </w:p>
    <w:p w:rsidR="0008479D" w:rsidRPr="00EA7023" w:rsidRDefault="0008479D" w:rsidP="0008479D">
      <w:pPr>
        <w:jc w:val="both"/>
        <w:rPr>
          <w:rFonts w:ascii="Arial" w:hAnsi="Arial" w:cs="Arial"/>
          <w:sz w:val="20"/>
          <w:szCs w:val="20"/>
          <w:lang w:val="es-419"/>
        </w:rPr>
      </w:pPr>
    </w:p>
    <w:p w:rsidR="0008479D" w:rsidRPr="00EA7023" w:rsidRDefault="00FA0173" w:rsidP="0008479D">
      <w:pPr>
        <w:jc w:val="both"/>
        <w:rPr>
          <w:rFonts w:ascii="Arial" w:hAnsi="Arial" w:cs="Arial"/>
          <w:sz w:val="20"/>
          <w:szCs w:val="20"/>
          <w:lang w:val="es-419"/>
        </w:rPr>
      </w:pPr>
      <w:r w:rsidRPr="00EA7023">
        <w:rPr>
          <w:rFonts w:ascii="Arial" w:hAnsi="Arial" w:cs="Arial"/>
          <w:sz w:val="20"/>
          <w:szCs w:val="20"/>
          <w:lang w:val="es-419"/>
        </w:rPr>
        <w:t>Desde la óptica procesal, en presencia de los recursos, deben siempre concurrir los llamados presupuestos de viabilidad o trámite o condiciones para tener la posibilidad de recurrir… Los mencionados requisitos son concurrentes y necesarios, ausente uno se malogra el estudio de la impugnación…Esos supuestos son legitimación, oportunidad, procedencia y cargas procesales (Sustentación, expedición de copias, etc), es necesario precisar desde ya que, los tres primeros implican la inadmisibilidad del recurso mientras que el cuarto, provoca su deserción. (…)</w:t>
      </w:r>
    </w:p>
    <w:p w:rsidR="00FA0173" w:rsidRPr="00EA7023" w:rsidRDefault="00FA0173" w:rsidP="0008479D">
      <w:pPr>
        <w:jc w:val="both"/>
        <w:rPr>
          <w:rFonts w:ascii="Arial" w:hAnsi="Arial" w:cs="Arial"/>
          <w:sz w:val="20"/>
          <w:szCs w:val="20"/>
          <w:lang w:val="es-419"/>
        </w:rPr>
      </w:pPr>
    </w:p>
    <w:p w:rsidR="00D47C57" w:rsidRPr="00EA7023" w:rsidRDefault="00D47C57" w:rsidP="00D47C57">
      <w:pPr>
        <w:jc w:val="both"/>
        <w:rPr>
          <w:rFonts w:ascii="Arial" w:hAnsi="Arial" w:cs="Arial"/>
          <w:sz w:val="20"/>
          <w:szCs w:val="20"/>
          <w:lang w:val="es-419"/>
        </w:rPr>
      </w:pPr>
      <w:r w:rsidRPr="00EA7023">
        <w:rPr>
          <w:rFonts w:ascii="Arial" w:hAnsi="Arial" w:cs="Arial"/>
          <w:sz w:val="20"/>
          <w:szCs w:val="20"/>
          <w:lang w:val="es-419"/>
        </w:rPr>
        <w:t xml:space="preserve">Revisada la decisión inadmisoria, se estima que las causales aducidas, responden al examen de los requisitos formales de la demanda para el recurso de revisión, sin que, la parte recurrente, en esa oportunidad las controvirtiera o cuestionara que el análisis era desacertado, luego frente al rechazo si lo hizo. </w:t>
      </w:r>
    </w:p>
    <w:p w:rsidR="00D47C57" w:rsidRPr="00EA7023" w:rsidRDefault="00D47C57" w:rsidP="00D47C57">
      <w:pPr>
        <w:jc w:val="both"/>
        <w:rPr>
          <w:rFonts w:ascii="Arial" w:hAnsi="Arial" w:cs="Arial"/>
          <w:sz w:val="20"/>
          <w:szCs w:val="20"/>
          <w:lang w:val="es-419"/>
        </w:rPr>
      </w:pPr>
    </w:p>
    <w:p w:rsidR="00FA0173" w:rsidRPr="00EA7023" w:rsidRDefault="00D47C57" w:rsidP="00D47C57">
      <w:pPr>
        <w:jc w:val="both"/>
        <w:rPr>
          <w:rFonts w:ascii="Arial" w:hAnsi="Arial" w:cs="Arial"/>
          <w:sz w:val="20"/>
          <w:szCs w:val="20"/>
          <w:lang w:val="es-419"/>
        </w:rPr>
      </w:pPr>
      <w:r w:rsidRPr="00EA7023">
        <w:rPr>
          <w:rFonts w:ascii="Arial" w:hAnsi="Arial" w:cs="Arial"/>
          <w:sz w:val="20"/>
          <w:szCs w:val="20"/>
          <w:lang w:val="es-419"/>
        </w:rPr>
        <w:t>Cada trámite procesal está previamente definido en la ley y las exigencias para la admisión, hacen parte de los requisitos previstos para el ejercicio de determinada acción, por eso no puede eximirse su cumplimiento o esperar que el estudio se haga en forma retrospectiva.</w:t>
      </w:r>
      <w:r w:rsidRPr="00EA7023">
        <w:rPr>
          <w:rFonts w:ascii="Arial" w:hAnsi="Arial" w:cs="Arial"/>
          <w:sz w:val="20"/>
          <w:szCs w:val="20"/>
          <w:lang w:val="es-419"/>
        </w:rPr>
        <w:t xml:space="preserve"> (…)</w:t>
      </w:r>
    </w:p>
    <w:p w:rsidR="0008479D" w:rsidRPr="00EA7023" w:rsidRDefault="0008479D" w:rsidP="0008479D">
      <w:pPr>
        <w:jc w:val="both"/>
        <w:rPr>
          <w:rFonts w:ascii="Arial" w:hAnsi="Arial" w:cs="Arial"/>
          <w:sz w:val="20"/>
          <w:szCs w:val="20"/>
          <w:lang w:val="es-419"/>
        </w:rPr>
      </w:pPr>
    </w:p>
    <w:p w:rsidR="003B3C38" w:rsidRPr="00EA7023" w:rsidRDefault="003B3C38" w:rsidP="0008479D">
      <w:pPr>
        <w:jc w:val="both"/>
        <w:rPr>
          <w:rFonts w:ascii="Arial" w:hAnsi="Arial" w:cs="Arial"/>
          <w:sz w:val="20"/>
          <w:szCs w:val="20"/>
          <w:lang w:val="es-419"/>
        </w:rPr>
      </w:pPr>
      <w:r w:rsidRPr="00EA7023">
        <w:rPr>
          <w:rFonts w:ascii="Arial" w:hAnsi="Arial" w:cs="Arial"/>
          <w:sz w:val="20"/>
          <w:szCs w:val="20"/>
          <w:lang w:val="es-419"/>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 (…)</w:t>
      </w:r>
    </w:p>
    <w:p w:rsidR="003B3C38" w:rsidRPr="00EA7023" w:rsidRDefault="003B3C38" w:rsidP="0008479D">
      <w:pPr>
        <w:jc w:val="both"/>
        <w:rPr>
          <w:rFonts w:ascii="Arial" w:hAnsi="Arial" w:cs="Arial"/>
          <w:sz w:val="20"/>
          <w:szCs w:val="20"/>
          <w:lang w:val="es-419"/>
        </w:rPr>
      </w:pPr>
    </w:p>
    <w:p w:rsidR="003B3C38" w:rsidRPr="00EA7023" w:rsidRDefault="003B3C38" w:rsidP="003B3C38">
      <w:pPr>
        <w:jc w:val="both"/>
        <w:rPr>
          <w:rFonts w:ascii="Arial" w:hAnsi="Arial" w:cs="Arial"/>
          <w:sz w:val="20"/>
          <w:szCs w:val="20"/>
          <w:lang w:val="es-419"/>
        </w:rPr>
      </w:pPr>
      <w:r w:rsidRPr="00EA7023">
        <w:rPr>
          <w:rFonts w:ascii="Arial" w:hAnsi="Arial" w:cs="Arial"/>
          <w:sz w:val="20"/>
          <w:szCs w:val="20"/>
          <w:lang w:val="es-419"/>
        </w:rPr>
        <w:t xml:space="preserve">Ahora, en refuerzo de lo explicitado en lo atinente a la exigencia del numeral 4º, del artículo 357, motivo central de la inadmisión y de la impugnación formulada, el órgano de cierre de la especialidad (CSJ), recientemente (2018), recordó: </w:t>
      </w:r>
    </w:p>
    <w:p w:rsidR="003B3C38" w:rsidRPr="00EA7023" w:rsidRDefault="003B3C38" w:rsidP="003B3C38">
      <w:pPr>
        <w:jc w:val="both"/>
        <w:rPr>
          <w:rFonts w:ascii="Arial" w:hAnsi="Arial" w:cs="Arial"/>
          <w:sz w:val="20"/>
          <w:szCs w:val="20"/>
          <w:lang w:val="es-419"/>
        </w:rPr>
      </w:pPr>
    </w:p>
    <w:p w:rsidR="003B3C38" w:rsidRPr="00EA7023" w:rsidRDefault="003B3C38" w:rsidP="003B3C38">
      <w:pPr>
        <w:jc w:val="both"/>
        <w:rPr>
          <w:rFonts w:ascii="Arial" w:hAnsi="Arial" w:cs="Arial"/>
          <w:sz w:val="20"/>
          <w:szCs w:val="20"/>
          <w:lang w:val="es-419"/>
        </w:rPr>
      </w:pPr>
      <w:r w:rsidRPr="00EA7023">
        <w:rPr>
          <w:rFonts w:ascii="Arial" w:hAnsi="Arial" w:cs="Arial"/>
          <w:sz w:val="20"/>
          <w:szCs w:val="20"/>
          <w:lang w:val="es-419"/>
        </w:rPr>
        <w:t>“.</w:t>
      </w:r>
      <w:r w:rsidRPr="00EA7023">
        <w:rPr>
          <w:rFonts w:ascii="Arial" w:hAnsi="Arial" w:cs="Arial"/>
          <w:sz w:val="20"/>
          <w:szCs w:val="20"/>
          <w:lang w:val="es-419"/>
        </w:rPr>
        <w:t>..desde un comienzo debe el recurrente justificar por qué considera fundada la causal de revisión que alega. Desde luego que, en ese contexto, el recurrente tiene ‘una carga argumentativa cualificada, consistente en formular una acusación precisa con base en enunciados fácticos que guarden completa simetría con la causal de revisión que se invoca, al punto que pueda entenderse que la demostración de esos supuestos, en principio, haría venturoso el ataque.</w:t>
      </w:r>
      <w:r w:rsidRPr="00EA7023">
        <w:rPr>
          <w:rFonts w:ascii="Arial" w:hAnsi="Arial" w:cs="Arial"/>
          <w:sz w:val="20"/>
          <w:szCs w:val="20"/>
          <w:lang w:val="es-419"/>
        </w:rPr>
        <w:t>” (…)</w:t>
      </w:r>
    </w:p>
    <w:p w:rsidR="001518E7" w:rsidRPr="00EA7023" w:rsidRDefault="001518E7" w:rsidP="003B3C38">
      <w:pPr>
        <w:jc w:val="both"/>
        <w:rPr>
          <w:rFonts w:ascii="Arial" w:hAnsi="Arial" w:cs="Arial"/>
          <w:sz w:val="20"/>
          <w:szCs w:val="20"/>
          <w:lang w:val="es-419"/>
        </w:rPr>
      </w:pPr>
    </w:p>
    <w:p w:rsidR="001518E7" w:rsidRPr="00EA7023" w:rsidRDefault="001518E7" w:rsidP="003B3C38">
      <w:pPr>
        <w:jc w:val="both"/>
        <w:rPr>
          <w:rFonts w:ascii="Arial" w:hAnsi="Arial" w:cs="Arial"/>
          <w:sz w:val="20"/>
          <w:szCs w:val="20"/>
          <w:lang w:val="es-419"/>
        </w:rPr>
      </w:pPr>
      <w:r w:rsidRPr="00EA7023">
        <w:rPr>
          <w:rFonts w:ascii="Arial" w:hAnsi="Arial" w:cs="Arial"/>
          <w:sz w:val="20"/>
          <w:szCs w:val="20"/>
          <w:lang w:val="es-419"/>
        </w:rPr>
        <w:t>«El sistema de gestión constituye una herramienta que facilita a la administración de justicia el cumplimiento efectivo de sus cometidos, en particular, otorgar publicidad a las actuaciones judiciales, a la vez que permite a los ciudadanos el acceso a la administración de justicia. Sin embargo, la información que se da conocer en los computadores de los juzgados son «meros actos de comunicación procesal» y no medios de notificación, POR LO MISMO LOS APODERADOS NO QUEDAN EXONERADOS DE LA VIGILANCIA NECESARIA SOBRE LOS EXPEDIENTES...”.</w:t>
      </w:r>
    </w:p>
    <w:p w:rsidR="001518E7" w:rsidRPr="00EA7023" w:rsidRDefault="001518E7" w:rsidP="003B3C38">
      <w:pPr>
        <w:jc w:val="both"/>
        <w:rPr>
          <w:rFonts w:ascii="Arial" w:hAnsi="Arial" w:cs="Arial"/>
          <w:sz w:val="20"/>
          <w:szCs w:val="20"/>
          <w:lang w:val="es-419"/>
        </w:rPr>
      </w:pPr>
    </w:p>
    <w:p w:rsidR="0008479D" w:rsidRPr="00EA7023" w:rsidRDefault="0008479D" w:rsidP="0008479D">
      <w:pPr>
        <w:jc w:val="both"/>
        <w:rPr>
          <w:rFonts w:ascii="Arial" w:hAnsi="Arial" w:cs="Arial"/>
          <w:sz w:val="20"/>
          <w:szCs w:val="20"/>
          <w:lang w:val="es-419"/>
        </w:rPr>
      </w:pPr>
    </w:p>
    <w:p w:rsidR="0008479D" w:rsidRPr="00EA7023" w:rsidRDefault="0008479D" w:rsidP="0008479D">
      <w:pPr>
        <w:rPr>
          <w:rFonts w:ascii="Arial" w:hAnsi="Arial" w:cs="Arial"/>
          <w:sz w:val="20"/>
          <w:szCs w:val="20"/>
          <w:lang w:val="es-419"/>
        </w:rPr>
      </w:pPr>
    </w:p>
    <w:p w:rsidR="00AC5058" w:rsidRPr="00EA7023" w:rsidRDefault="00AC5058" w:rsidP="00AF5080">
      <w:pPr>
        <w:pStyle w:val="Encabezado"/>
        <w:widowControl w:val="0"/>
        <w:autoSpaceDE w:val="0"/>
        <w:autoSpaceDN w:val="0"/>
        <w:adjustRightInd w:val="0"/>
        <w:ind w:right="360"/>
        <w:jc w:val="center"/>
        <w:rPr>
          <w:rFonts w:ascii="Georgia" w:hAnsi="Georgia" w:cs="Calibri"/>
          <w:i/>
          <w:sz w:val="20"/>
          <w:szCs w:val="20"/>
          <w:lang w:val="es-419"/>
        </w:rPr>
      </w:pPr>
      <w:r w:rsidRPr="00EA7023">
        <w:rPr>
          <w:rFonts w:ascii="Georgia" w:hAnsi="Georgia" w:cs="Calibri"/>
          <w:i/>
          <w:noProof/>
          <w:sz w:val="20"/>
          <w:szCs w:val="20"/>
          <w:lang w:val="es-419"/>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EA7023" w:rsidRDefault="00AC5058" w:rsidP="00AC5058">
      <w:pPr>
        <w:pStyle w:val="Sinespaciado"/>
        <w:spacing w:line="360" w:lineRule="auto"/>
        <w:jc w:val="center"/>
        <w:rPr>
          <w:rFonts w:ascii="Georgia" w:hAnsi="Georgia" w:cs="Arial"/>
          <w:w w:val="140"/>
          <w:sz w:val="14"/>
          <w:szCs w:val="14"/>
          <w:lang w:val="es-419"/>
        </w:rPr>
      </w:pPr>
      <w:r w:rsidRPr="00EA7023">
        <w:rPr>
          <w:rFonts w:ascii="Georgia" w:hAnsi="Georgia" w:cs="Arial"/>
          <w:w w:val="140"/>
          <w:sz w:val="14"/>
          <w:szCs w:val="14"/>
          <w:lang w:val="es-419"/>
        </w:rPr>
        <w:t>REPUBLICA DE COLOMBIA</w:t>
      </w:r>
    </w:p>
    <w:p w:rsidR="00AC5058" w:rsidRPr="00EA7023" w:rsidRDefault="00AC5058" w:rsidP="00AC5058">
      <w:pPr>
        <w:pStyle w:val="Sinespaciado"/>
        <w:tabs>
          <w:tab w:val="center" w:pos="4987"/>
          <w:tab w:val="left" w:pos="8449"/>
        </w:tabs>
        <w:spacing w:line="360" w:lineRule="auto"/>
        <w:jc w:val="center"/>
        <w:rPr>
          <w:rFonts w:ascii="Georgia" w:hAnsi="Georgia" w:cs="Arial"/>
          <w:w w:val="140"/>
          <w:lang w:val="es-419"/>
        </w:rPr>
      </w:pPr>
      <w:r w:rsidRPr="00EA7023">
        <w:rPr>
          <w:rFonts w:ascii="Georgia" w:hAnsi="Georgia" w:cs="Arial"/>
          <w:w w:val="140"/>
          <w:sz w:val="14"/>
          <w:szCs w:val="14"/>
          <w:lang w:val="es-419"/>
        </w:rPr>
        <w:t>RAMA JUDICIAL DEL PODER PÚBLICO</w:t>
      </w:r>
    </w:p>
    <w:p w:rsidR="00AC5058" w:rsidRPr="00EA7023" w:rsidRDefault="00AC5058" w:rsidP="00AC5058">
      <w:pPr>
        <w:pStyle w:val="Sinespaciado"/>
        <w:spacing w:line="360" w:lineRule="auto"/>
        <w:jc w:val="center"/>
        <w:rPr>
          <w:rFonts w:ascii="Georgia" w:hAnsi="Georgia" w:cs="Arial"/>
          <w:w w:val="140"/>
          <w:sz w:val="16"/>
          <w:szCs w:val="16"/>
          <w:lang w:val="es-419"/>
        </w:rPr>
      </w:pPr>
      <w:r w:rsidRPr="00EA7023">
        <w:rPr>
          <w:rFonts w:ascii="Georgia" w:hAnsi="Georgia" w:cs="Arial"/>
          <w:w w:val="140"/>
          <w:sz w:val="18"/>
          <w:szCs w:val="18"/>
          <w:lang w:val="es-419"/>
        </w:rPr>
        <w:t>T</w:t>
      </w:r>
      <w:r w:rsidRPr="00EA7023">
        <w:rPr>
          <w:rFonts w:ascii="Georgia" w:hAnsi="Georgia" w:cs="Arial"/>
          <w:w w:val="140"/>
          <w:sz w:val="16"/>
          <w:szCs w:val="16"/>
          <w:lang w:val="es-419"/>
        </w:rPr>
        <w:t>RIBUNAL</w:t>
      </w:r>
      <w:r w:rsidRPr="00EA7023">
        <w:rPr>
          <w:rFonts w:ascii="Georgia" w:hAnsi="Georgia" w:cs="Arial"/>
          <w:w w:val="140"/>
          <w:sz w:val="18"/>
          <w:szCs w:val="18"/>
          <w:lang w:val="es-419"/>
        </w:rPr>
        <w:t xml:space="preserve"> S</w:t>
      </w:r>
      <w:r w:rsidRPr="00EA7023">
        <w:rPr>
          <w:rFonts w:ascii="Georgia" w:hAnsi="Georgia" w:cs="Arial"/>
          <w:w w:val="140"/>
          <w:sz w:val="16"/>
          <w:szCs w:val="16"/>
          <w:lang w:val="es-419"/>
        </w:rPr>
        <w:t xml:space="preserve">UPERIOR DE </w:t>
      </w:r>
      <w:r w:rsidRPr="00EA7023">
        <w:rPr>
          <w:rFonts w:ascii="Georgia" w:hAnsi="Georgia" w:cs="Arial"/>
          <w:w w:val="140"/>
          <w:sz w:val="18"/>
          <w:szCs w:val="18"/>
          <w:lang w:val="es-419"/>
        </w:rPr>
        <w:t>D</w:t>
      </w:r>
      <w:r w:rsidRPr="00EA7023">
        <w:rPr>
          <w:rFonts w:ascii="Georgia" w:hAnsi="Georgia" w:cs="Arial"/>
          <w:w w:val="140"/>
          <w:sz w:val="16"/>
          <w:szCs w:val="16"/>
          <w:lang w:val="es-419"/>
        </w:rPr>
        <w:t>ISTRITO</w:t>
      </w:r>
      <w:r w:rsidRPr="00EA7023">
        <w:rPr>
          <w:rFonts w:ascii="Georgia" w:hAnsi="Georgia" w:cs="Arial"/>
          <w:w w:val="140"/>
          <w:sz w:val="18"/>
          <w:szCs w:val="18"/>
          <w:lang w:val="es-419"/>
        </w:rPr>
        <w:t xml:space="preserve"> J</w:t>
      </w:r>
      <w:r w:rsidRPr="00EA7023">
        <w:rPr>
          <w:rFonts w:ascii="Georgia" w:hAnsi="Georgia" w:cs="Arial"/>
          <w:w w:val="140"/>
          <w:sz w:val="16"/>
          <w:szCs w:val="16"/>
          <w:lang w:val="es-419"/>
        </w:rPr>
        <w:t>UDICIAL</w:t>
      </w:r>
    </w:p>
    <w:p w:rsidR="00CB6098" w:rsidRPr="00EA7023" w:rsidRDefault="00CB6098" w:rsidP="00CB6098">
      <w:pPr>
        <w:pStyle w:val="Sinespaciado"/>
        <w:spacing w:line="360" w:lineRule="auto"/>
        <w:jc w:val="center"/>
        <w:rPr>
          <w:rFonts w:ascii="Georgia" w:hAnsi="Georgia" w:cs="Arial"/>
          <w:smallCaps/>
          <w:w w:val="140"/>
          <w:sz w:val="20"/>
          <w:szCs w:val="18"/>
          <w:lang w:val="es-419"/>
        </w:rPr>
      </w:pPr>
      <w:r w:rsidRPr="00EA7023">
        <w:rPr>
          <w:rFonts w:ascii="Georgia" w:hAnsi="Georgia" w:cs="Arial"/>
          <w:smallCaps/>
          <w:w w:val="140"/>
          <w:sz w:val="20"/>
          <w:szCs w:val="18"/>
          <w:lang w:val="es-419"/>
        </w:rPr>
        <w:t>Sala Dual Civil– Familia – Distrito de Pereira</w:t>
      </w:r>
    </w:p>
    <w:p w:rsidR="00AC5058" w:rsidRPr="00EA7023" w:rsidRDefault="00AC5058" w:rsidP="00AC5058">
      <w:pPr>
        <w:pStyle w:val="Sinespaciado"/>
        <w:spacing w:line="360" w:lineRule="auto"/>
        <w:jc w:val="center"/>
        <w:rPr>
          <w:rFonts w:ascii="Georgia" w:hAnsi="Georgia" w:cs="Arial"/>
          <w:w w:val="140"/>
          <w:sz w:val="16"/>
          <w:szCs w:val="16"/>
          <w:lang w:val="es-419"/>
        </w:rPr>
      </w:pPr>
      <w:r w:rsidRPr="00EA7023">
        <w:rPr>
          <w:rFonts w:ascii="Georgia" w:hAnsi="Georgia" w:cs="Arial"/>
          <w:w w:val="140"/>
          <w:sz w:val="16"/>
          <w:szCs w:val="18"/>
          <w:lang w:val="es-419"/>
        </w:rPr>
        <w:t>D</w:t>
      </w:r>
      <w:r w:rsidR="008327BD" w:rsidRPr="00EA7023">
        <w:rPr>
          <w:rFonts w:ascii="Georgia" w:hAnsi="Georgia" w:cs="Arial"/>
          <w:w w:val="140"/>
          <w:sz w:val="16"/>
          <w:szCs w:val="18"/>
          <w:lang w:val="es-419"/>
        </w:rPr>
        <w:t xml:space="preserve"> </w:t>
      </w:r>
      <w:r w:rsidRPr="00EA7023">
        <w:rPr>
          <w:rFonts w:ascii="Georgia" w:hAnsi="Georgia" w:cs="Arial"/>
          <w:w w:val="140"/>
          <w:sz w:val="14"/>
          <w:szCs w:val="16"/>
          <w:lang w:val="es-419"/>
        </w:rPr>
        <w:t>E</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P</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A</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R</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T</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A</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M</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E</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N</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T</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 xml:space="preserve">O </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D</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E</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L</w:t>
      </w:r>
      <w:r w:rsidRPr="00EA7023">
        <w:rPr>
          <w:rFonts w:ascii="Georgia" w:hAnsi="Georgia" w:cs="Arial"/>
          <w:w w:val="140"/>
          <w:sz w:val="12"/>
          <w:szCs w:val="14"/>
          <w:lang w:val="es-419"/>
        </w:rPr>
        <w:t xml:space="preserve"> </w:t>
      </w:r>
      <w:r w:rsidR="008327BD" w:rsidRPr="00EA7023">
        <w:rPr>
          <w:rFonts w:ascii="Georgia" w:hAnsi="Georgia" w:cs="Arial"/>
          <w:w w:val="140"/>
          <w:sz w:val="12"/>
          <w:szCs w:val="14"/>
          <w:lang w:val="es-419"/>
        </w:rPr>
        <w:t xml:space="preserve">  </w:t>
      </w:r>
      <w:r w:rsidRPr="00EA7023">
        <w:rPr>
          <w:rFonts w:ascii="Georgia" w:hAnsi="Georgia" w:cs="Arial"/>
          <w:w w:val="140"/>
          <w:sz w:val="16"/>
          <w:szCs w:val="16"/>
          <w:lang w:val="es-419"/>
        </w:rPr>
        <w:t>R</w:t>
      </w:r>
      <w:r w:rsidR="008327BD" w:rsidRPr="00EA7023">
        <w:rPr>
          <w:rFonts w:ascii="Georgia" w:hAnsi="Georgia" w:cs="Arial"/>
          <w:w w:val="140"/>
          <w:sz w:val="16"/>
          <w:szCs w:val="16"/>
          <w:lang w:val="es-419"/>
        </w:rPr>
        <w:t xml:space="preserve"> </w:t>
      </w:r>
      <w:r w:rsidRPr="00EA7023">
        <w:rPr>
          <w:rFonts w:ascii="Georgia" w:hAnsi="Georgia" w:cs="Arial"/>
          <w:w w:val="140"/>
          <w:sz w:val="14"/>
          <w:szCs w:val="16"/>
          <w:lang w:val="es-419"/>
        </w:rPr>
        <w:t>I</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S</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A</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R</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A</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L</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D</w:t>
      </w:r>
      <w:r w:rsidR="008327BD" w:rsidRPr="00EA7023">
        <w:rPr>
          <w:rFonts w:ascii="Georgia" w:hAnsi="Georgia" w:cs="Arial"/>
          <w:w w:val="140"/>
          <w:sz w:val="14"/>
          <w:szCs w:val="16"/>
          <w:lang w:val="es-419"/>
        </w:rPr>
        <w:t xml:space="preserve"> </w:t>
      </w:r>
      <w:r w:rsidRPr="00EA7023">
        <w:rPr>
          <w:rFonts w:ascii="Georgia" w:hAnsi="Georgia" w:cs="Arial"/>
          <w:w w:val="140"/>
          <w:sz w:val="14"/>
          <w:szCs w:val="16"/>
          <w:lang w:val="es-419"/>
        </w:rPr>
        <w:t>A</w:t>
      </w:r>
    </w:p>
    <w:p w:rsidR="00AC5058" w:rsidRPr="00EA7023" w:rsidRDefault="00AC5058" w:rsidP="00AC5058">
      <w:pPr>
        <w:spacing w:line="360" w:lineRule="auto"/>
        <w:jc w:val="center"/>
        <w:rPr>
          <w:rFonts w:ascii="Georgia" w:hAnsi="Georgia" w:cs="Arial"/>
          <w:b/>
          <w:bCs/>
          <w:sz w:val="16"/>
          <w:szCs w:val="22"/>
          <w:lang w:val="es-419"/>
        </w:rPr>
      </w:pPr>
    </w:p>
    <w:p w:rsidR="00683A39" w:rsidRPr="00EA7023" w:rsidRDefault="00AC5058" w:rsidP="00703414">
      <w:pPr>
        <w:pStyle w:val="Textoindependiente"/>
        <w:ind w:left="1701"/>
        <w:rPr>
          <w:rFonts w:ascii="Georgia" w:hAnsi="Georgia" w:cs="Arial"/>
          <w:szCs w:val="22"/>
          <w:lang w:val="es-419"/>
        </w:rPr>
      </w:pPr>
      <w:r w:rsidRPr="00EA7023">
        <w:rPr>
          <w:rFonts w:ascii="Georgia" w:hAnsi="Georgia" w:cs="Arial"/>
          <w:szCs w:val="22"/>
          <w:lang w:val="es-419"/>
        </w:rPr>
        <w:t>Asunto</w:t>
      </w:r>
      <w:r w:rsidRPr="00EA7023">
        <w:rPr>
          <w:rFonts w:ascii="Georgia" w:hAnsi="Georgia" w:cs="Arial"/>
          <w:szCs w:val="22"/>
          <w:lang w:val="es-419"/>
        </w:rPr>
        <w:tab/>
      </w:r>
      <w:r w:rsidR="00AF5080" w:rsidRPr="00EA7023">
        <w:rPr>
          <w:rFonts w:ascii="Georgia" w:hAnsi="Georgia" w:cs="Arial"/>
          <w:szCs w:val="22"/>
          <w:lang w:val="es-419"/>
        </w:rPr>
        <w:tab/>
      </w:r>
      <w:r w:rsidRPr="00EA7023">
        <w:rPr>
          <w:rFonts w:ascii="Georgia" w:hAnsi="Georgia" w:cs="Arial"/>
          <w:szCs w:val="22"/>
          <w:lang w:val="es-419"/>
        </w:rPr>
        <w:tab/>
        <w:t xml:space="preserve">: Decide </w:t>
      </w:r>
      <w:r w:rsidR="00683A39" w:rsidRPr="00EA7023">
        <w:rPr>
          <w:rFonts w:ascii="Georgia" w:hAnsi="Georgia" w:cs="Arial"/>
          <w:szCs w:val="22"/>
          <w:lang w:val="es-419"/>
        </w:rPr>
        <w:t>recurso de súplica</w:t>
      </w:r>
      <w:r w:rsidR="00AF5080" w:rsidRPr="00EA7023">
        <w:rPr>
          <w:rFonts w:ascii="Georgia" w:hAnsi="Georgia" w:cs="Arial"/>
          <w:szCs w:val="22"/>
          <w:lang w:val="es-419"/>
        </w:rPr>
        <w:tab/>
      </w:r>
    </w:p>
    <w:p w:rsidR="00683A39" w:rsidRPr="00EA7023" w:rsidRDefault="00AF5080" w:rsidP="00703414">
      <w:pPr>
        <w:pStyle w:val="Textoindependiente"/>
        <w:ind w:left="1701"/>
        <w:rPr>
          <w:rFonts w:ascii="Georgia" w:hAnsi="Georgia" w:cs="Arial"/>
          <w:szCs w:val="22"/>
          <w:lang w:val="es-419"/>
        </w:rPr>
      </w:pPr>
      <w:r w:rsidRPr="00EA7023">
        <w:rPr>
          <w:rFonts w:ascii="Georgia" w:hAnsi="Georgia" w:cs="Arial"/>
          <w:szCs w:val="22"/>
          <w:lang w:val="es-419"/>
        </w:rPr>
        <w:t xml:space="preserve">Tipo de </w:t>
      </w:r>
      <w:r w:rsidR="00683A39" w:rsidRPr="00EA7023">
        <w:rPr>
          <w:rFonts w:ascii="Georgia" w:hAnsi="Georgia" w:cs="Arial"/>
          <w:szCs w:val="22"/>
          <w:lang w:val="es-419"/>
        </w:rPr>
        <w:t>asunto</w:t>
      </w:r>
      <w:r w:rsidRPr="00EA7023">
        <w:rPr>
          <w:rFonts w:ascii="Georgia" w:hAnsi="Georgia" w:cs="Arial"/>
          <w:szCs w:val="22"/>
          <w:lang w:val="es-419"/>
        </w:rPr>
        <w:tab/>
      </w:r>
      <w:r w:rsidR="00703414" w:rsidRPr="00EA7023">
        <w:rPr>
          <w:rFonts w:ascii="Georgia" w:hAnsi="Georgia" w:cs="Arial"/>
          <w:szCs w:val="22"/>
          <w:lang w:val="es-419"/>
        </w:rPr>
        <w:tab/>
      </w:r>
      <w:r w:rsidRPr="00EA7023">
        <w:rPr>
          <w:rFonts w:ascii="Georgia" w:hAnsi="Georgia" w:cs="Arial"/>
          <w:szCs w:val="22"/>
          <w:lang w:val="es-419"/>
        </w:rPr>
        <w:t xml:space="preserve">: </w:t>
      </w:r>
      <w:r w:rsidR="00C60863" w:rsidRPr="00EA7023">
        <w:rPr>
          <w:rFonts w:ascii="Georgia" w:hAnsi="Georgia" w:cs="Arial"/>
          <w:szCs w:val="22"/>
          <w:lang w:val="es-419"/>
        </w:rPr>
        <w:t>Recurso extraordinario de revisión</w:t>
      </w:r>
    </w:p>
    <w:p w:rsidR="00F56F28" w:rsidRPr="00EA7023" w:rsidRDefault="00C60863" w:rsidP="00703414">
      <w:pPr>
        <w:pStyle w:val="Textoindependiente"/>
        <w:ind w:left="1701"/>
        <w:rPr>
          <w:rFonts w:ascii="Georgia" w:hAnsi="Georgia"/>
          <w:szCs w:val="22"/>
          <w:lang w:val="es-419"/>
        </w:rPr>
      </w:pPr>
      <w:r w:rsidRPr="00EA7023">
        <w:rPr>
          <w:rFonts w:ascii="Georgia" w:hAnsi="Georgia"/>
          <w:szCs w:val="22"/>
          <w:lang w:val="es-419"/>
        </w:rPr>
        <w:t>Recurrente</w:t>
      </w:r>
      <w:r w:rsidR="00683A39" w:rsidRPr="00EA7023">
        <w:rPr>
          <w:rFonts w:ascii="Georgia" w:hAnsi="Georgia"/>
          <w:szCs w:val="22"/>
          <w:lang w:val="es-419"/>
        </w:rPr>
        <w:tab/>
      </w:r>
      <w:r w:rsidR="00683A39" w:rsidRPr="00EA7023">
        <w:rPr>
          <w:rFonts w:ascii="Georgia" w:hAnsi="Georgia"/>
          <w:szCs w:val="22"/>
          <w:lang w:val="es-419"/>
        </w:rPr>
        <w:tab/>
      </w:r>
      <w:r w:rsidR="00703414" w:rsidRPr="00EA7023">
        <w:rPr>
          <w:rFonts w:ascii="Georgia" w:hAnsi="Georgia"/>
          <w:szCs w:val="22"/>
          <w:lang w:val="es-419"/>
        </w:rPr>
        <w:tab/>
      </w:r>
      <w:r w:rsidR="00683A39" w:rsidRPr="00EA7023">
        <w:rPr>
          <w:rFonts w:ascii="Georgia" w:hAnsi="Georgia"/>
          <w:szCs w:val="22"/>
          <w:lang w:val="es-419"/>
        </w:rPr>
        <w:t xml:space="preserve">: </w:t>
      </w:r>
      <w:r w:rsidRPr="00EA7023">
        <w:rPr>
          <w:rFonts w:ascii="Georgia" w:hAnsi="Georgia"/>
          <w:szCs w:val="22"/>
          <w:lang w:val="es-419"/>
        </w:rPr>
        <w:t>Carlos Luis Lema Villegas</w:t>
      </w:r>
      <w:r w:rsidR="00554858" w:rsidRPr="00EA7023">
        <w:rPr>
          <w:rFonts w:ascii="Georgia" w:hAnsi="Georgia"/>
          <w:szCs w:val="22"/>
          <w:lang w:val="es-419"/>
        </w:rPr>
        <w:t xml:space="preserve"> </w:t>
      </w:r>
    </w:p>
    <w:p w:rsidR="00683A39" w:rsidRPr="00EA7023" w:rsidRDefault="00683A39" w:rsidP="00703414">
      <w:pPr>
        <w:pStyle w:val="Textoindependiente"/>
        <w:ind w:left="1701"/>
        <w:rPr>
          <w:rFonts w:ascii="Georgia" w:hAnsi="Georgia" w:cs="Arial"/>
          <w:szCs w:val="22"/>
          <w:lang w:val="es-419"/>
        </w:rPr>
      </w:pPr>
      <w:r w:rsidRPr="00EA7023">
        <w:rPr>
          <w:rFonts w:ascii="Georgia" w:hAnsi="Georgia" w:cs="Arial"/>
          <w:szCs w:val="22"/>
          <w:lang w:val="es-419"/>
        </w:rPr>
        <w:t>Radicación</w:t>
      </w:r>
      <w:r w:rsidRPr="00EA7023">
        <w:rPr>
          <w:rFonts w:ascii="Georgia" w:hAnsi="Georgia" w:cs="Arial"/>
          <w:szCs w:val="22"/>
          <w:lang w:val="es-419"/>
        </w:rPr>
        <w:tab/>
      </w:r>
      <w:r w:rsidRPr="00EA7023">
        <w:rPr>
          <w:rFonts w:ascii="Georgia" w:hAnsi="Georgia" w:cs="Arial"/>
          <w:szCs w:val="22"/>
          <w:lang w:val="es-419"/>
        </w:rPr>
        <w:tab/>
      </w:r>
      <w:r w:rsidR="00703414" w:rsidRPr="00EA7023">
        <w:rPr>
          <w:rFonts w:ascii="Georgia" w:hAnsi="Georgia" w:cs="Arial"/>
          <w:szCs w:val="22"/>
          <w:lang w:val="es-419"/>
        </w:rPr>
        <w:tab/>
      </w:r>
      <w:r w:rsidRPr="00EA7023">
        <w:rPr>
          <w:rFonts w:ascii="Georgia" w:hAnsi="Georgia" w:cs="Arial"/>
          <w:szCs w:val="22"/>
          <w:lang w:val="es-419"/>
        </w:rPr>
        <w:t xml:space="preserve">: </w:t>
      </w:r>
      <w:r w:rsidR="0093507B" w:rsidRPr="00EA7023">
        <w:rPr>
          <w:rFonts w:ascii="Georgia" w:hAnsi="Georgia" w:cs="Arial"/>
          <w:szCs w:val="22"/>
          <w:lang w:val="es-419"/>
        </w:rPr>
        <w:t>66001-</w:t>
      </w:r>
      <w:r w:rsidR="00C60863" w:rsidRPr="00EA7023">
        <w:rPr>
          <w:rFonts w:ascii="Georgia" w:hAnsi="Georgia" w:cs="Arial"/>
          <w:szCs w:val="22"/>
          <w:lang w:val="es-419"/>
        </w:rPr>
        <w:t>22</w:t>
      </w:r>
      <w:r w:rsidR="0093507B" w:rsidRPr="00EA7023">
        <w:rPr>
          <w:rFonts w:ascii="Georgia" w:hAnsi="Georgia" w:cs="Arial"/>
          <w:szCs w:val="22"/>
          <w:lang w:val="es-419"/>
        </w:rPr>
        <w:t>-</w:t>
      </w:r>
      <w:r w:rsidR="00C60863" w:rsidRPr="00EA7023">
        <w:rPr>
          <w:rFonts w:ascii="Georgia" w:hAnsi="Georgia" w:cs="Arial"/>
          <w:szCs w:val="22"/>
          <w:lang w:val="es-419"/>
        </w:rPr>
        <w:t>1</w:t>
      </w:r>
      <w:r w:rsidR="0093507B" w:rsidRPr="00EA7023">
        <w:rPr>
          <w:rFonts w:ascii="Georgia" w:hAnsi="Georgia" w:cs="Arial"/>
          <w:szCs w:val="22"/>
          <w:lang w:val="es-419"/>
        </w:rPr>
        <w:t>3-</w:t>
      </w:r>
      <w:r w:rsidR="00C60863" w:rsidRPr="00EA7023">
        <w:rPr>
          <w:rFonts w:ascii="Georgia" w:hAnsi="Georgia" w:cs="Arial"/>
          <w:szCs w:val="22"/>
          <w:lang w:val="es-419"/>
        </w:rPr>
        <w:t>000</w:t>
      </w:r>
      <w:r w:rsidR="0093507B" w:rsidRPr="00EA7023">
        <w:rPr>
          <w:rFonts w:ascii="Georgia" w:hAnsi="Georgia" w:cs="Arial"/>
          <w:szCs w:val="22"/>
          <w:lang w:val="es-419"/>
        </w:rPr>
        <w:t>-201</w:t>
      </w:r>
      <w:r w:rsidR="00C60863" w:rsidRPr="00EA7023">
        <w:rPr>
          <w:rFonts w:ascii="Georgia" w:hAnsi="Georgia" w:cs="Arial"/>
          <w:szCs w:val="22"/>
          <w:lang w:val="es-419"/>
        </w:rPr>
        <w:t>8</w:t>
      </w:r>
      <w:r w:rsidR="0093507B" w:rsidRPr="00EA7023">
        <w:rPr>
          <w:rFonts w:ascii="Georgia" w:hAnsi="Georgia" w:cs="Arial"/>
          <w:szCs w:val="22"/>
          <w:lang w:val="es-419"/>
        </w:rPr>
        <w:t>-0</w:t>
      </w:r>
      <w:r w:rsidR="00C60863" w:rsidRPr="00EA7023">
        <w:rPr>
          <w:rFonts w:ascii="Georgia" w:hAnsi="Georgia" w:cs="Arial"/>
          <w:szCs w:val="22"/>
          <w:lang w:val="es-419"/>
        </w:rPr>
        <w:t>1051-00</w:t>
      </w:r>
    </w:p>
    <w:p w:rsidR="00F4188D" w:rsidRPr="00EA7023" w:rsidRDefault="00683A39" w:rsidP="00703414">
      <w:pPr>
        <w:ind w:left="4248" w:hanging="2547"/>
        <w:jc w:val="both"/>
        <w:rPr>
          <w:rFonts w:ascii="Georgia" w:hAnsi="Georgia" w:cs="Arial"/>
          <w:sz w:val="22"/>
          <w:szCs w:val="22"/>
          <w:lang w:val="es-419"/>
        </w:rPr>
      </w:pPr>
      <w:r w:rsidRPr="00EA7023">
        <w:rPr>
          <w:rFonts w:ascii="Georgia" w:hAnsi="Georgia" w:cs="Arial"/>
          <w:sz w:val="22"/>
          <w:szCs w:val="22"/>
          <w:lang w:val="es-419"/>
        </w:rPr>
        <w:t>Temas</w:t>
      </w:r>
      <w:r w:rsidRPr="00EA7023">
        <w:rPr>
          <w:rFonts w:ascii="Georgia" w:hAnsi="Georgia" w:cs="Arial"/>
          <w:sz w:val="22"/>
          <w:szCs w:val="22"/>
          <w:lang w:val="es-419"/>
        </w:rPr>
        <w:tab/>
        <w:t>:</w:t>
      </w:r>
      <w:r w:rsidR="006D1F76" w:rsidRPr="00EA7023">
        <w:rPr>
          <w:rFonts w:ascii="Georgia" w:hAnsi="Georgia" w:cs="Arial"/>
          <w:sz w:val="22"/>
          <w:szCs w:val="22"/>
          <w:lang w:val="es-419"/>
        </w:rPr>
        <w:t xml:space="preserve"> </w:t>
      </w:r>
      <w:r w:rsidR="00F4188D" w:rsidRPr="00EA7023">
        <w:rPr>
          <w:rFonts w:ascii="Georgia" w:hAnsi="Georgia" w:cs="Arial"/>
          <w:sz w:val="22"/>
          <w:szCs w:val="22"/>
          <w:lang w:val="es-419"/>
        </w:rPr>
        <w:t>Causales de inadmisión – Sistema de gestión judicial</w:t>
      </w:r>
    </w:p>
    <w:p w:rsidR="00683A39" w:rsidRPr="00EA7023" w:rsidRDefault="00683A39" w:rsidP="00703414">
      <w:pPr>
        <w:ind w:left="1701"/>
        <w:rPr>
          <w:rFonts w:ascii="Georgia" w:hAnsi="Georgia"/>
          <w:sz w:val="22"/>
          <w:lang w:val="es-419"/>
        </w:rPr>
      </w:pPr>
      <w:r w:rsidRPr="00EA7023">
        <w:rPr>
          <w:rFonts w:ascii="Georgia" w:hAnsi="Georgia" w:cs="Arial"/>
          <w:sz w:val="22"/>
          <w:szCs w:val="22"/>
          <w:lang w:val="es-419"/>
        </w:rPr>
        <w:lastRenderedPageBreak/>
        <w:t>Magistrado Ponente</w:t>
      </w:r>
      <w:r w:rsidRPr="00EA7023">
        <w:rPr>
          <w:rFonts w:ascii="Georgia" w:hAnsi="Georgia" w:cs="Arial"/>
          <w:sz w:val="22"/>
          <w:szCs w:val="22"/>
          <w:lang w:val="es-419"/>
        </w:rPr>
        <w:tab/>
        <w:t xml:space="preserve">: </w:t>
      </w:r>
      <w:r w:rsidRPr="00EA7023">
        <w:rPr>
          <w:rFonts w:ascii="Georgia" w:hAnsi="Georgia"/>
          <w:smallCaps/>
          <w:sz w:val="22"/>
          <w:lang w:val="es-419"/>
        </w:rPr>
        <w:t>Duberney Grisales Herrera</w:t>
      </w:r>
    </w:p>
    <w:p w:rsidR="004B2E16" w:rsidRPr="00EA7023" w:rsidRDefault="004B2E16" w:rsidP="00703414">
      <w:pPr>
        <w:ind w:left="993" w:firstLine="708"/>
        <w:rPr>
          <w:rFonts w:ascii="Georgia" w:hAnsi="Georgia"/>
          <w:sz w:val="22"/>
          <w:lang w:val="es-419"/>
        </w:rPr>
      </w:pPr>
      <w:r w:rsidRPr="00EA7023">
        <w:rPr>
          <w:rFonts w:ascii="Georgia" w:hAnsi="Georgia"/>
          <w:sz w:val="22"/>
          <w:szCs w:val="22"/>
          <w:lang w:val="es-419"/>
        </w:rPr>
        <w:t>Acta número</w:t>
      </w:r>
      <w:r w:rsidRPr="00EA7023">
        <w:rPr>
          <w:rFonts w:ascii="Georgia" w:hAnsi="Georgia"/>
          <w:sz w:val="22"/>
          <w:szCs w:val="22"/>
          <w:lang w:val="es-419"/>
        </w:rPr>
        <w:tab/>
      </w:r>
      <w:r w:rsidRPr="00EA7023">
        <w:rPr>
          <w:rFonts w:ascii="Georgia" w:hAnsi="Georgia"/>
          <w:sz w:val="22"/>
          <w:szCs w:val="22"/>
          <w:lang w:val="es-419"/>
        </w:rPr>
        <w:tab/>
        <w:t xml:space="preserve">: </w:t>
      </w:r>
      <w:r w:rsidR="00E00EC0" w:rsidRPr="00EA7023">
        <w:rPr>
          <w:rFonts w:ascii="Georgia" w:hAnsi="Georgia"/>
          <w:sz w:val="22"/>
          <w:szCs w:val="22"/>
          <w:lang w:val="es-419"/>
        </w:rPr>
        <w:t>107</w:t>
      </w:r>
      <w:r w:rsidR="0000009F" w:rsidRPr="00EA7023">
        <w:rPr>
          <w:rFonts w:ascii="Georgia" w:hAnsi="Georgia"/>
          <w:sz w:val="22"/>
          <w:szCs w:val="22"/>
          <w:lang w:val="es-419"/>
        </w:rPr>
        <w:t xml:space="preserve"> de </w:t>
      </w:r>
      <w:r w:rsidR="00E00EC0" w:rsidRPr="00EA7023">
        <w:rPr>
          <w:rFonts w:ascii="Georgia" w:hAnsi="Georgia"/>
          <w:sz w:val="22"/>
          <w:szCs w:val="22"/>
          <w:lang w:val="es-419"/>
        </w:rPr>
        <w:t>26</w:t>
      </w:r>
      <w:r w:rsidR="0000009F" w:rsidRPr="00EA7023">
        <w:rPr>
          <w:rFonts w:ascii="Georgia" w:hAnsi="Georgia"/>
          <w:sz w:val="22"/>
          <w:szCs w:val="22"/>
          <w:lang w:val="es-419"/>
        </w:rPr>
        <w:t>-0</w:t>
      </w:r>
      <w:r w:rsidR="00C60863" w:rsidRPr="00EA7023">
        <w:rPr>
          <w:rFonts w:ascii="Georgia" w:hAnsi="Georgia"/>
          <w:sz w:val="22"/>
          <w:szCs w:val="22"/>
          <w:lang w:val="es-419"/>
        </w:rPr>
        <w:t>3-2019</w:t>
      </w:r>
    </w:p>
    <w:p w:rsidR="004B2E16" w:rsidRPr="00EA7023" w:rsidRDefault="004B2E16" w:rsidP="004B2E16">
      <w:pPr>
        <w:pStyle w:val="Puesto"/>
        <w:pBdr>
          <w:bottom w:val="double" w:sz="6" w:space="1" w:color="auto"/>
        </w:pBdr>
        <w:spacing w:line="360" w:lineRule="auto"/>
        <w:rPr>
          <w:rFonts w:ascii="Georgia" w:hAnsi="Georgia"/>
          <w:b w:val="0"/>
          <w:bCs w:val="0"/>
          <w:i w:val="0"/>
          <w:iCs w:val="0"/>
          <w:spacing w:val="-3"/>
          <w:sz w:val="16"/>
          <w:lang w:val="es-419"/>
        </w:rPr>
      </w:pPr>
    </w:p>
    <w:p w:rsidR="004B2E16" w:rsidRPr="00EA7023" w:rsidRDefault="004B2E16" w:rsidP="004B2E16">
      <w:pPr>
        <w:pStyle w:val="Puesto"/>
        <w:spacing w:line="360" w:lineRule="auto"/>
        <w:rPr>
          <w:rFonts w:ascii="Georgia" w:hAnsi="Georgia"/>
          <w:b w:val="0"/>
          <w:bCs w:val="0"/>
          <w:i w:val="0"/>
          <w:iCs w:val="0"/>
          <w:spacing w:val="-3"/>
          <w:sz w:val="16"/>
          <w:lang w:val="es-419"/>
        </w:rPr>
      </w:pPr>
    </w:p>
    <w:p w:rsidR="004B2E16" w:rsidRPr="00EA7023" w:rsidRDefault="004B2E16" w:rsidP="0008479D">
      <w:pPr>
        <w:pStyle w:val="Puesto"/>
        <w:spacing w:line="288" w:lineRule="auto"/>
        <w:rPr>
          <w:rFonts w:ascii="Georgia" w:hAnsi="Georgia"/>
          <w:b w:val="0"/>
          <w:bCs w:val="0"/>
          <w:i w:val="0"/>
          <w:spacing w:val="-3"/>
          <w:sz w:val="22"/>
          <w:lang w:val="es-419"/>
        </w:rPr>
      </w:pPr>
      <w:r w:rsidRPr="00EA7023">
        <w:rPr>
          <w:rFonts w:ascii="Georgia" w:hAnsi="Georgia"/>
          <w:b w:val="0"/>
          <w:bCs w:val="0"/>
          <w:i w:val="0"/>
          <w:smallCaps/>
          <w:spacing w:val="-3"/>
          <w:lang w:val="es-419"/>
        </w:rPr>
        <w:t xml:space="preserve">Pereira, R., </w:t>
      </w:r>
      <w:r w:rsidR="00E00EC0" w:rsidRPr="00EA7023">
        <w:rPr>
          <w:rFonts w:ascii="Georgia" w:hAnsi="Georgia"/>
          <w:b w:val="0"/>
          <w:bCs w:val="0"/>
          <w:i w:val="0"/>
          <w:smallCaps/>
          <w:spacing w:val="-3"/>
          <w:lang w:val="es-419"/>
        </w:rPr>
        <w:t xml:space="preserve">veintiséis </w:t>
      </w:r>
      <w:r w:rsidRPr="00EA7023">
        <w:rPr>
          <w:rFonts w:ascii="Georgia" w:hAnsi="Georgia"/>
          <w:b w:val="0"/>
          <w:bCs w:val="0"/>
          <w:i w:val="0"/>
          <w:smallCaps/>
          <w:spacing w:val="-3"/>
          <w:lang w:val="es-419"/>
        </w:rPr>
        <w:t>(</w:t>
      </w:r>
      <w:r w:rsidR="00E00EC0" w:rsidRPr="00EA7023">
        <w:rPr>
          <w:rFonts w:ascii="Georgia" w:hAnsi="Georgia"/>
          <w:b w:val="0"/>
          <w:bCs w:val="0"/>
          <w:i w:val="0"/>
          <w:smallCaps/>
          <w:spacing w:val="-3"/>
          <w:lang w:val="es-419"/>
        </w:rPr>
        <w:t>26</w:t>
      </w:r>
      <w:r w:rsidRPr="00EA7023">
        <w:rPr>
          <w:rFonts w:ascii="Georgia" w:hAnsi="Georgia"/>
          <w:b w:val="0"/>
          <w:bCs w:val="0"/>
          <w:i w:val="0"/>
          <w:smallCaps/>
          <w:spacing w:val="-3"/>
          <w:lang w:val="es-419"/>
        </w:rPr>
        <w:t xml:space="preserve">) de </w:t>
      </w:r>
      <w:r w:rsidR="00C60863" w:rsidRPr="00EA7023">
        <w:rPr>
          <w:rFonts w:ascii="Georgia" w:hAnsi="Georgia"/>
          <w:b w:val="0"/>
          <w:bCs w:val="0"/>
          <w:i w:val="0"/>
          <w:smallCaps/>
          <w:spacing w:val="-3"/>
          <w:lang w:val="es-419"/>
        </w:rPr>
        <w:t xml:space="preserve">marzo </w:t>
      </w:r>
      <w:r w:rsidRPr="00EA7023">
        <w:rPr>
          <w:rFonts w:ascii="Georgia" w:hAnsi="Georgia"/>
          <w:b w:val="0"/>
          <w:bCs w:val="0"/>
          <w:i w:val="0"/>
          <w:smallCaps/>
          <w:spacing w:val="-3"/>
          <w:lang w:val="es-419"/>
        </w:rPr>
        <w:t xml:space="preserve">de dos mil </w:t>
      </w:r>
      <w:r w:rsidR="00BD1170" w:rsidRPr="00EA7023">
        <w:rPr>
          <w:rFonts w:ascii="Georgia" w:hAnsi="Georgia"/>
          <w:b w:val="0"/>
          <w:bCs w:val="0"/>
          <w:i w:val="0"/>
          <w:smallCaps/>
          <w:spacing w:val="-3"/>
          <w:lang w:val="es-419"/>
        </w:rPr>
        <w:t>dieci</w:t>
      </w:r>
      <w:r w:rsidR="00C60863" w:rsidRPr="00EA7023">
        <w:rPr>
          <w:rFonts w:ascii="Georgia" w:hAnsi="Georgia"/>
          <w:b w:val="0"/>
          <w:bCs w:val="0"/>
          <w:i w:val="0"/>
          <w:smallCaps/>
          <w:spacing w:val="-3"/>
          <w:lang w:val="es-419"/>
        </w:rPr>
        <w:t xml:space="preserve">nueve </w:t>
      </w:r>
      <w:r w:rsidRPr="00EA7023">
        <w:rPr>
          <w:rFonts w:ascii="Georgia" w:hAnsi="Georgia"/>
          <w:b w:val="0"/>
          <w:bCs w:val="0"/>
          <w:i w:val="0"/>
          <w:smallCaps/>
          <w:spacing w:val="-3"/>
          <w:lang w:val="es-419"/>
        </w:rPr>
        <w:t>(201</w:t>
      </w:r>
      <w:r w:rsidR="00C60863" w:rsidRPr="00EA7023">
        <w:rPr>
          <w:rFonts w:ascii="Georgia" w:hAnsi="Georgia"/>
          <w:b w:val="0"/>
          <w:bCs w:val="0"/>
          <w:i w:val="0"/>
          <w:smallCaps/>
          <w:spacing w:val="-3"/>
          <w:lang w:val="es-419"/>
        </w:rPr>
        <w:t>9</w:t>
      </w:r>
      <w:r w:rsidRPr="00EA7023">
        <w:rPr>
          <w:rFonts w:ascii="Georgia" w:hAnsi="Georgia"/>
          <w:b w:val="0"/>
          <w:bCs w:val="0"/>
          <w:i w:val="0"/>
          <w:smallCaps/>
          <w:spacing w:val="-3"/>
          <w:lang w:val="es-419"/>
        </w:rPr>
        <w:t>)</w:t>
      </w:r>
      <w:r w:rsidRPr="00EA7023">
        <w:rPr>
          <w:rFonts w:ascii="Georgia" w:hAnsi="Georgia"/>
          <w:b w:val="0"/>
          <w:bCs w:val="0"/>
          <w:i w:val="0"/>
          <w:spacing w:val="-3"/>
          <w:lang w:val="es-419"/>
        </w:rPr>
        <w:t>.</w:t>
      </w:r>
    </w:p>
    <w:p w:rsidR="009C5D05" w:rsidRPr="00EA7023" w:rsidRDefault="009C5D05" w:rsidP="0008479D">
      <w:pPr>
        <w:pStyle w:val="Sinespaciado"/>
        <w:spacing w:line="288" w:lineRule="auto"/>
        <w:rPr>
          <w:rFonts w:ascii="Georgia" w:hAnsi="Georgia" w:cs="Arial"/>
          <w:sz w:val="24"/>
          <w:lang w:val="es-419"/>
        </w:rPr>
      </w:pPr>
    </w:p>
    <w:p w:rsidR="00356104" w:rsidRPr="00EA7023" w:rsidRDefault="00356104" w:rsidP="0008479D">
      <w:pPr>
        <w:pStyle w:val="Sinespaciado"/>
        <w:numPr>
          <w:ilvl w:val="0"/>
          <w:numId w:val="4"/>
        </w:numPr>
        <w:spacing w:line="288" w:lineRule="auto"/>
        <w:jc w:val="both"/>
        <w:rPr>
          <w:rFonts w:ascii="Georgia" w:hAnsi="Georgia" w:cs="Arial"/>
          <w:sz w:val="24"/>
          <w:lang w:val="es-419"/>
        </w:rPr>
      </w:pPr>
      <w:r w:rsidRPr="00EA7023">
        <w:rPr>
          <w:rFonts w:ascii="Georgia" w:hAnsi="Georgia" w:cs="Arial"/>
          <w:sz w:val="32"/>
          <w:lang w:val="es-419"/>
        </w:rPr>
        <w:t>E</w:t>
      </w:r>
      <w:r w:rsidRPr="00EA7023">
        <w:rPr>
          <w:rFonts w:ascii="Georgia" w:hAnsi="Georgia" w:cs="Arial"/>
          <w:sz w:val="24"/>
          <w:lang w:val="es-419"/>
        </w:rPr>
        <w:t>L ASUNTO POR DECIDIR</w:t>
      </w:r>
    </w:p>
    <w:p w:rsidR="00356104" w:rsidRPr="00EA7023" w:rsidRDefault="00356104" w:rsidP="0008479D">
      <w:pPr>
        <w:pStyle w:val="Sinespaciado"/>
        <w:spacing w:line="288" w:lineRule="auto"/>
        <w:jc w:val="both"/>
        <w:rPr>
          <w:rFonts w:ascii="Georgia" w:hAnsi="Georgia" w:cs="Arial"/>
          <w:sz w:val="24"/>
          <w:lang w:val="es-419"/>
        </w:rPr>
      </w:pPr>
    </w:p>
    <w:p w:rsidR="00356104" w:rsidRPr="00EA7023" w:rsidRDefault="00AF385C"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El </w:t>
      </w:r>
      <w:r w:rsidR="00356104" w:rsidRPr="00EA7023">
        <w:rPr>
          <w:rFonts w:ascii="Georgia" w:hAnsi="Georgia" w:cs="Arial"/>
          <w:sz w:val="24"/>
          <w:lang w:val="es-419"/>
        </w:rPr>
        <w:t xml:space="preserve">recurso </w:t>
      </w:r>
      <w:r w:rsidR="00A44108" w:rsidRPr="00EA7023">
        <w:rPr>
          <w:rFonts w:ascii="Georgia" w:hAnsi="Georgia" w:cs="Arial"/>
          <w:sz w:val="24"/>
          <w:lang w:val="es-419"/>
        </w:rPr>
        <w:t xml:space="preserve">propuesto </w:t>
      </w:r>
      <w:r w:rsidR="00356104" w:rsidRPr="00EA7023">
        <w:rPr>
          <w:rFonts w:ascii="Georgia" w:hAnsi="Georgia" w:cs="Arial"/>
          <w:sz w:val="24"/>
          <w:lang w:val="es-419"/>
        </w:rPr>
        <w:t xml:space="preserve">por </w:t>
      </w:r>
      <w:r w:rsidR="009064A2" w:rsidRPr="00EA7023">
        <w:rPr>
          <w:rFonts w:ascii="Georgia" w:hAnsi="Georgia" w:cs="Arial"/>
          <w:sz w:val="24"/>
          <w:lang w:val="es-419"/>
        </w:rPr>
        <w:t>l</w:t>
      </w:r>
      <w:r w:rsidR="00C60863" w:rsidRPr="00EA7023">
        <w:rPr>
          <w:rFonts w:ascii="Georgia" w:hAnsi="Georgia" w:cs="Arial"/>
          <w:sz w:val="24"/>
          <w:lang w:val="es-419"/>
        </w:rPr>
        <w:t>a</w:t>
      </w:r>
      <w:r w:rsidR="009064A2" w:rsidRPr="00EA7023">
        <w:rPr>
          <w:rFonts w:ascii="Georgia" w:hAnsi="Georgia" w:cs="Arial"/>
          <w:sz w:val="24"/>
          <w:lang w:val="es-419"/>
        </w:rPr>
        <w:t xml:space="preserve"> </w:t>
      </w:r>
      <w:r w:rsidR="005C45BB" w:rsidRPr="00EA7023">
        <w:rPr>
          <w:rFonts w:ascii="Georgia" w:hAnsi="Georgia" w:cs="Arial"/>
          <w:sz w:val="24"/>
          <w:lang w:val="es-419"/>
        </w:rPr>
        <w:t>mandatari</w:t>
      </w:r>
      <w:r w:rsidR="00C60863" w:rsidRPr="00EA7023">
        <w:rPr>
          <w:rFonts w:ascii="Georgia" w:hAnsi="Georgia" w:cs="Arial"/>
          <w:sz w:val="24"/>
          <w:lang w:val="es-419"/>
        </w:rPr>
        <w:t>a</w:t>
      </w:r>
      <w:r w:rsidR="005C45BB" w:rsidRPr="00EA7023">
        <w:rPr>
          <w:rFonts w:ascii="Georgia" w:hAnsi="Georgia" w:cs="Arial"/>
          <w:sz w:val="24"/>
          <w:lang w:val="es-419"/>
        </w:rPr>
        <w:t xml:space="preserve"> judicial de</w:t>
      </w:r>
      <w:r w:rsidR="00C60863" w:rsidRPr="00EA7023">
        <w:rPr>
          <w:rFonts w:ascii="Georgia" w:hAnsi="Georgia" w:cs="Arial"/>
          <w:sz w:val="24"/>
          <w:lang w:val="es-419"/>
        </w:rPr>
        <w:t xml:space="preserve"> la parte actora</w:t>
      </w:r>
      <w:r w:rsidR="002F07A3" w:rsidRPr="00EA7023">
        <w:rPr>
          <w:rFonts w:ascii="Georgia" w:hAnsi="Georgia" w:cs="Arial"/>
          <w:sz w:val="24"/>
          <w:lang w:val="es-419"/>
        </w:rPr>
        <w:t>,</w:t>
      </w:r>
      <w:r w:rsidR="008B706D" w:rsidRPr="00EA7023">
        <w:rPr>
          <w:rFonts w:ascii="Georgia" w:hAnsi="Georgia" w:cs="Arial"/>
          <w:sz w:val="24"/>
          <w:lang w:val="es-419"/>
        </w:rPr>
        <w:t xml:space="preserve"> </w:t>
      </w:r>
      <w:r w:rsidR="00356104" w:rsidRPr="00EA7023">
        <w:rPr>
          <w:rFonts w:ascii="Georgia" w:hAnsi="Georgia" w:cs="Arial"/>
          <w:sz w:val="24"/>
          <w:lang w:val="es-419"/>
        </w:rPr>
        <w:t xml:space="preserve">contra </w:t>
      </w:r>
      <w:r w:rsidR="00B21B22" w:rsidRPr="00EA7023">
        <w:rPr>
          <w:rFonts w:ascii="Georgia" w:hAnsi="Georgia" w:cs="Arial"/>
          <w:sz w:val="24"/>
          <w:lang w:val="es-419"/>
        </w:rPr>
        <w:t xml:space="preserve">el auto </w:t>
      </w:r>
      <w:r w:rsidR="00A5226B" w:rsidRPr="00EA7023">
        <w:rPr>
          <w:rFonts w:ascii="Georgia" w:hAnsi="Georgia" w:cs="Arial"/>
          <w:sz w:val="24"/>
          <w:lang w:val="es-419"/>
        </w:rPr>
        <w:t xml:space="preserve">que </w:t>
      </w:r>
      <w:r w:rsidR="00C60863" w:rsidRPr="00EA7023">
        <w:rPr>
          <w:rFonts w:ascii="Georgia" w:hAnsi="Georgia" w:cs="Arial"/>
          <w:sz w:val="24"/>
          <w:lang w:val="es-419"/>
        </w:rPr>
        <w:t>rechazó la demanda</w:t>
      </w:r>
      <w:r w:rsidR="005C45BB" w:rsidRPr="00EA7023">
        <w:rPr>
          <w:rFonts w:ascii="Georgia" w:hAnsi="Georgia" w:cs="Arial"/>
          <w:sz w:val="24"/>
          <w:lang w:val="es-419"/>
        </w:rPr>
        <w:t>,</w:t>
      </w:r>
      <w:r w:rsidR="002F07A3" w:rsidRPr="00EA7023">
        <w:rPr>
          <w:rFonts w:ascii="Georgia" w:hAnsi="Georgia" w:cs="Arial"/>
          <w:sz w:val="24"/>
          <w:lang w:val="es-419"/>
        </w:rPr>
        <w:t xml:space="preserve"> </w:t>
      </w:r>
      <w:r w:rsidR="00663F8B" w:rsidRPr="00EA7023">
        <w:rPr>
          <w:rFonts w:ascii="Georgia" w:hAnsi="Georgia" w:cs="Arial"/>
          <w:sz w:val="24"/>
          <w:lang w:val="es-419"/>
        </w:rPr>
        <w:t xml:space="preserve">según </w:t>
      </w:r>
      <w:r w:rsidR="00E020F1" w:rsidRPr="00EA7023">
        <w:rPr>
          <w:rFonts w:ascii="Georgia" w:hAnsi="Georgia" w:cs="Arial"/>
          <w:sz w:val="24"/>
          <w:lang w:val="es-419"/>
        </w:rPr>
        <w:t xml:space="preserve">las </w:t>
      </w:r>
      <w:r w:rsidR="00666744" w:rsidRPr="00EA7023">
        <w:rPr>
          <w:rFonts w:ascii="Georgia" w:hAnsi="Georgia" w:cs="Arial"/>
          <w:sz w:val="24"/>
          <w:lang w:val="es-419"/>
        </w:rPr>
        <w:t xml:space="preserve">consideraciones jurídicas que siguen. </w:t>
      </w:r>
    </w:p>
    <w:p w:rsidR="00E910D3" w:rsidRPr="00EA7023" w:rsidRDefault="00E910D3" w:rsidP="0008479D">
      <w:pPr>
        <w:pStyle w:val="Sinespaciado"/>
        <w:spacing w:line="288" w:lineRule="auto"/>
        <w:jc w:val="both"/>
        <w:rPr>
          <w:rFonts w:ascii="Georgia" w:hAnsi="Georgia" w:cs="Arial"/>
          <w:sz w:val="24"/>
          <w:lang w:val="es-419"/>
        </w:rPr>
      </w:pPr>
    </w:p>
    <w:p w:rsidR="00356104" w:rsidRPr="00EA7023" w:rsidRDefault="00356104" w:rsidP="0008479D">
      <w:pPr>
        <w:pStyle w:val="Sinespaciado"/>
        <w:numPr>
          <w:ilvl w:val="0"/>
          <w:numId w:val="4"/>
        </w:numPr>
        <w:spacing w:line="288" w:lineRule="auto"/>
        <w:jc w:val="both"/>
        <w:rPr>
          <w:rFonts w:ascii="Georgia" w:hAnsi="Georgia" w:cs="Arial"/>
          <w:sz w:val="24"/>
          <w:lang w:val="es-419"/>
        </w:rPr>
      </w:pPr>
      <w:r w:rsidRPr="00EA7023">
        <w:rPr>
          <w:rFonts w:ascii="Georgia" w:hAnsi="Georgia" w:cs="Arial"/>
          <w:sz w:val="32"/>
          <w:lang w:val="es-419"/>
        </w:rPr>
        <w:t>L</w:t>
      </w:r>
      <w:r w:rsidRPr="00EA7023">
        <w:rPr>
          <w:rFonts w:ascii="Georgia" w:hAnsi="Georgia" w:cs="Arial"/>
          <w:sz w:val="24"/>
          <w:lang w:val="es-419"/>
        </w:rPr>
        <w:t>A PROVIDENCIA RECURRIDA</w:t>
      </w:r>
    </w:p>
    <w:p w:rsidR="00356104" w:rsidRPr="00EA7023" w:rsidRDefault="00356104" w:rsidP="0008479D">
      <w:pPr>
        <w:pStyle w:val="Sinespaciado"/>
        <w:spacing w:line="288" w:lineRule="auto"/>
        <w:jc w:val="both"/>
        <w:rPr>
          <w:rFonts w:ascii="Georgia" w:hAnsi="Georgia" w:cs="Arial"/>
          <w:sz w:val="24"/>
          <w:lang w:val="es-419"/>
        </w:rPr>
      </w:pPr>
    </w:p>
    <w:p w:rsidR="00847809" w:rsidRPr="00EA7023" w:rsidRDefault="00C60863" w:rsidP="0008479D">
      <w:pPr>
        <w:spacing w:line="288" w:lineRule="auto"/>
        <w:jc w:val="both"/>
        <w:rPr>
          <w:rFonts w:ascii="Georgia" w:hAnsi="Georgia" w:cs="Arial"/>
          <w:szCs w:val="22"/>
          <w:lang w:val="es-419"/>
        </w:rPr>
      </w:pPr>
      <w:r w:rsidRPr="00EA7023">
        <w:rPr>
          <w:rFonts w:ascii="Georgia" w:hAnsi="Georgia" w:cs="Arial"/>
          <w:szCs w:val="22"/>
          <w:lang w:val="es-419"/>
        </w:rPr>
        <w:t>Data del 28-02-2019 y sostuvo que las irregular</w:t>
      </w:r>
      <w:r w:rsidR="00146D10" w:rsidRPr="00EA7023">
        <w:rPr>
          <w:rFonts w:ascii="Georgia" w:hAnsi="Georgia" w:cs="Arial"/>
          <w:szCs w:val="22"/>
          <w:lang w:val="es-419"/>
        </w:rPr>
        <w:t xml:space="preserve">idades </w:t>
      </w:r>
      <w:r w:rsidRPr="00EA7023">
        <w:rPr>
          <w:rFonts w:ascii="Georgia" w:hAnsi="Georgia" w:cs="Arial"/>
          <w:szCs w:val="22"/>
          <w:lang w:val="es-419"/>
        </w:rPr>
        <w:t xml:space="preserve">de la demanda no se subsanaron, se allegaron las copias para el traslado, echadas de menos, pero nada se dijo frente al otro aspecto </w:t>
      </w:r>
      <w:r w:rsidR="001F690E" w:rsidRPr="00EA7023">
        <w:rPr>
          <w:rFonts w:ascii="Georgia" w:hAnsi="Georgia" w:cs="Arial"/>
          <w:szCs w:val="22"/>
          <w:lang w:val="es-419"/>
        </w:rPr>
        <w:t>motivo</w:t>
      </w:r>
      <w:r w:rsidRPr="00EA7023">
        <w:rPr>
          <w:rFonts w:ascii="Georgia" w:hAnsi="Georgia" w:cs="Arial"/>
          <w:szCs w:val="22"/>
          <w:lang w:val="es-419"/>
        </w:rPr>
        <w:t xml:space="preserve"> de inadmisión, como lo era</w:t>
      </w:r>
      <w:r w:rsidR="00146D10" w:rsidRPr="00EA7023">
        <w:rPr>
          <w:rFonts w:ascii="Georgia" w:hAnsi="Georgia" w:cs="Arial"/>
          <w:szCs w:val="22"/>
          <w:lang w:val="es-419"/>
        </w:rPr>
        <w:t>,</w:t>
      </w:r>
      <w:r w:rsidRPr="00EA7023">
        <w:rPr>
          <w:rFonts w:ascii="Georgia" w:hAnsi="Georgia" w:cs="Arial"/>
          <w:szCs w:val="22"/>
          <w:lang w:val="es-419"/>
        </w:rPr>
        <w:t xml:space="preserve"> la concreción de los hechos que sirven de fundamento para las causales de revisión invocadas</w:t>
      </w:r>
      <w:r w:rsidR="00BA0CCB" w:rsidRPr="00EA7023">
        <w:rPr>
          <w:rFonts w:ascii="Georgia" w:hAnsi="Georgia" w:cs="Arial"/>
          <w:szCs w:val="22"/>
          <w:lang w:val="es-419"/>
        </w:rPr>
        <w:t xml:space="preserve"> </w:t>
      </w:r>
      <w:r w:rsidR="00C36263" w:rsidRPr="00EA7023">
        <w:rPr>
          <w:rFonts w:ascii="Georgia" w:hAnsi="Georgia" w:cs="Arial"/>
          <w:szCs w:val="22"/>
          <w:lang w:val="es-419"/>
        </w:rPr>
        <w:t>(</w:t>
      </w:r>
      <w:r w:rsidR="00C36263" w:rsidRPr="00EA7023">
        <w:rPr>
          <w:rFonts w:ascii="Georgia" w:hAnsi="Georgia" w:cs="Arial"/>
          <w:sz w:val="22"/>
          <w:szCs w:val="22"/>
          <w:lang w:val="es-419"/>
        </w:rPr>
        <w:t xml:space="preserve">Folio </w:t>
      </w:r>
      <w:r w:rsidRPr="00EA7023">
        <w:rPr>
          <w:rFonts w:ascii="Georgia" w:hAnsi="Georgia" w:cs="Arial"/>
          <w:sz w:val="22"/>
          <w:szCs w:val="22"/>
          <w:lang w:val="es-419"/>
        </w:rPr>
        <w:t>10</w:t>
      </w:r>
      <w:r w:rsidR="00C36263" w:rsidRPr="00EA7023">
        <w:rPr>
          <w:rFonts w:ascii="Georgia" w:hAnsi="Georgia" w:cs="Arial"/>
          <w:sz w:val="22"/>
          <w:szCs w:val="22"/>
          <w:lang w:val="es-419"/>
        </w:rPr>
        <w:t xml:space="preserve">, </w:t>
      </w:r>
      <w:r w:rsidR="003E3A75" w:rsidRPr="00EA7023">
        <w:rPr>
          <w:rFonts w:ascii="Georgia" w:hAnsi="Georgia" w:cs="Arial"/>
          <w:sz w:val="22"/>
          <w:szCs w:val="22"/>
          <w:lang w:val="es-419"/>
        </w:rPr>
        <w:t xml:space="preserve">este </w:t>
      </w:r>
      <w:r w:rsidR="00C36263" w:rsidRPr="00EA7023">
        <w:rPr>
          <w:rFonts w:ascii="Georgia" w:hAnsi="Georgia" w:cs="Arial"/>
          <w:sz w:val="22"/>
          <w:szCs w:val="22"/>
          <w:lang w:val="es-419"/>
        </w:rPr>
        <w:t>cuaderno</w:t>
      </w:r>
      <w:r w:rsidR="00C36263" w:rsidRPr="00EA7023">
        <w:rPr>
          <w:rFonts w:ascii="Georgia" w:hAnsi="Georgia" w:cs="Arial"/>
          <w:szCs w:val="22"/>
          <w:lang w:val="es-419"/>
        </w:rPr>
        <w:t>).</w:t>
      </w:r>
    </w:p>
    <w:p w:rsidR="00195B8C" w:rsidRPr="00EA7023" w:rsidRDefault="00195B8C" w:rsidP="0008479D">
      <w:pPr>
        <w:spacing w:line="288" w:lineRule="auto"/>
        <w:jc w:val="both"/>
        <w:rPr>
          <w:rFonts w:ascii="Georgia" w:hAnsi="Georgia" w:cs="Arial"/>
          <w:szCs w:val="22"/>
          <w:lang w:val="es-419"/>
        </w:rPr>
      </w:pPr>
    </w:p>
    <w:p w:rsidR="00356104" w:rsidRPr="00EA7023" w:rsidRDefault="00356104" w:rsidP="0008479D">
      <w:pPr>
        <w:pStyle w:val="Sinespaciado"/>
        <w:numPr>
          <w:ilvl w:val="0"/>
          <w:numId w:val="4"/>
        </w:numPr>
        <w:spacing w:line="288" w:lineRule="auto"/>
        <w:jc w:val="both"/>
        <w:rPr>
          <w:rFonts w:ascii="Georgia" w:hAnsi="Georgia" w:cs="Arial"/>
          <w:sz w:val="24"/>
          <w:lang w:val="es-419"/>
        </w:rPr>
      </w:pPr>
      <w:r w:rsidRPr="00EA7023">
        <w:rPr>
          <w:rFonts w:ascii="Georgia" w:hAnsi="Georgia" w:cs="Arial"/>
          <w:sz w:val="32"/>
          <w:lang w:val="es-419"/>
        </w:rPr>
        <w:t>L</w:t>
      </w:r>
      <w:r w:rsidRPr="00EA7023">
        <w:rPr>
          <w:rFonts w:ascii="Georgia" w:hAnsi="Georgia" w:cs="Arial"/>
          <w:sz w:val="24"/>
          <w:lang w:val="es-419"/>
        </w:rPr>
        <w:t xml:space="preserve">A SÍNTESIS DE LA </w:t>
      </w:r>
      <w:r w:rsidR="0050654D" w:rsidRPr="00EA7023">
        <w:rPr>
          <w:rFonts w:ascii="Georgia" w:hAnsi="Georgia" w:cs="Arial"/>
          <w:sz w:val="24"/>
          <w:lang w:val="es-419"/>
        </w:rPr>
        <w:t>SÚPLICA</w:t>
      </w:r>
    </w:p>
    <w:p w:rsidR="009B2D89" w:rsidRPr="00EA7023" w:rsidRDefault="009B2D89" w:rsidP="0008479D">
      <w:pPr>
        <w:pStyle w:val="Sinespaciado"/>
        <w:spacing w:line="288" w:lineRule="auto"/>
        <w:ind w:left="360"/>
        <w:jc w:val="both"/>
        <w:rPr>
          <w:rFonts w:ascii="Georgia" w:hAnsi="Georgia" w:cs="Arial"/>
          <w:sz w:val="24"/>
          <w:lang w:val="es-419"/>
        </w:rPr>
      </w:pPr>
    </w:p>
    <w:p w:rsidR="00AE51EA" w:rsidRPr="00EA7023" w:rsidRDefault="00AE51EA"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De un lado </w:t>
      </w:r>
      <w:r w:rsidR="00BB0121" w:rsidRPr="00EA7023">
        <w:rPr>
          <w:rFonts w:ascii="Georgia" w:hAnsi="Georgia" w:cs="Arial"/>
          <w:sz w:val="24"/>
          <w:lang w:val="es-419"/>
        </w:rPr>
        <w:t xml:space="preserve">estima </w:t>
      </w:r>
      <w:r w:rsidRPr="00EA7023">
        <w:rPr>
          <w:rFonts w:ascii="Georgia" w:hAnsi="Georgia" w:cs="Arial"/>
          <w:sz w:val="24"/>
          <w:lang w:val="es-419"/>
        </w:rPr>
        <w:t xml:space="preserve">que, </w:t>
      </w:r>
      <w:r w:rsidR="003D0B7A" w:rsidRPr="00EA7023">
        <w:rPr>
          <w:rFonts w:ascii="Georgia" w:hAnsi="Georgia" w:cs="Arial"/>
          <w:sz w:val="24"/>
          <w:lang w:val="es-419"/>
        </w:rPr>
        <w:t>la “notificación electrónica”</w:t>
      </w:r>
      <w:r w:rsidR="00981A12" w:rsidRPr="00EA7023">
        <w:rPr>
          <w:rFonts w:ascii="Georgia" w:hAnsi="Georgia" w:cs="Arial"/>
          <w:sz w:val="24"/>
          <w:lang w:val="es-419"/>
        </w:rPr>
        <w:t xml:space="preserve"> del auto inadmisorio, </w:t>
      </w:r>
      <w:r w:rsidR="003D0B7A" w:rsidRPr="00EA7023">
        <w:rPr>
          <w:rFonts w:ascii="Georgia" w:hAnsi="Georgia" w:cs="Arial"/>
          <w:sz w:val="24"/>
          <w:lang w:val="es-419"/>
        </w:rPr>
        <w:t xml:space="preserve">hecha por la Secretaría de esta Corporación, </w:t>
      </w:r>
      <w:r w:rsidRPr="00EA7023">
        <w:rPr>
          <w:rFonts w:ascii="Georgia" w:hAnsi="Georgia" w:cs="Arial"/>
          <w:sz w:val="24"/>
          <w:lang w:val="es-419"/>
        </w:rPr>
        <w:t xml:space="preserve">que </w:t>
      </w:r>
      <w:r w:rsidR="003D0B7A" w:rsidRPr="00EA7023">
        <w:rPr>
          <w:rFonts w:ascii="Georgia" w:hAnsi="Georgia" w:cs="Arial"/>
          <w:sz w:val="24"/>
          <w:lang w:val="es-419"/>
        </w:rPr>
        <w:t>solo inform</w:t>
      </w:r>
      <w:r w:rsidRPr="00EA7023">
        <w:rPr>
          <w:rFonts w:ascii="Georgia" w:hAnsi="Georgia" w:cs="Arial"/>
          <w:sz w:val="24"/>
          <w:lang w:val="es-419"/>
        </w:rPr>
        <w:t xml:space="preserve">aba sobre </w:t>
      </w:r>
      <w:r w:rsidR="003D0B7A" w:rsidRPr="00EA7023">
        <w:rPr>
          <w:rFonts w:ascii="Georgia" w:hAnsi="Georgia" w:cs="Arial"/>
          <w:sz w:val="24"/>
          <w:lang w:val="es-419"/>
        </w:rPr>
        <w:t xml:space="preserve">la falta de copias para los traslados para las personas indeterminadas, </w:t>
      </w:r>
      <w:r w:rsidRPr="00EA7023">
        <w:rPr>
          <w:rFonts w:ascii="Georgia" w:hAnsi="Georgia" w:cs="Arial"/>
          <w:sz w:val="24"/>
          <w:lang w:val="es-419"/>
        </w:rPr>
        <w:t xml:space="preserve">fue lo que llevó a errar en la subsanación de la demanda, dado que bajo los principios de buena fe y lealtad procesal, </w:t>
      </w:r>
      <w:r w:rsidR="0045231C" w:rsidRPr="00EA7023">
        <w:rPr>
          <w:rFonts w:ascii="Georgia" w:hAnsi="Georgia" w:cs="Arial"/>
          <w:sz w:val="24"/>
          <w:lang w:val="es-419"/>
        </w:rPr>
        <w:t xml:space="preserve">confió en </w:t>
      </w:r>
      <w:r w:rsidRPr="00EA7023">
        <w:rPr>
          <w:rFonts w:ascii="Georgia" w:hAnsi="Georgia" w:cs="Arial"/>
          <w:sz w:val="24"/>
          <w:lang w:val="es-419"/>
        </w:rPr>
        <w:t>lo allí registrado</w:t>
      </w:r>
      <w:r w:rsidR="00E53BF3" w:rsidRPr="00EA7023">
        <w:rPr>
          <w:rFonts w:ascii="Georgia" w:hAnsi="Georgia" w:cs="Arial"/>
          <w:sz w:val="24"/>
          <w:lang w:val="es-419"/>
        </w:rPr>
        <w:t xml:space="preserve">, </w:t>
      </w:r>
      <w:r w:rsidRPr="00EA7023">
        <w:rPr>
          <w:rFonts w:ascii="Georgia" w:hAnsi="Georgia" w:cs="Arial"/>
          <w:sz w:val="24"/>
          <w:lang w:val="es-419"/>
        </w:rPr>
        <w:t>eso corrigió.</w:t>
      </w:r>
    </w:p>
    <w:p w:rsidR="00AE51EA" w:rsidRPr="00EA7023" w:rsidRDefault="00AE51EA" w:rsidP="0008479D">
      <w:pPr>
        <w:pStyle w:val="Sinespaciado"/>
        <w:spacing w:line="288" w:lineRule="auto"/>
        <w:jc w:val="both"/>
        <w:rPr>
          <w:rFonts w:ascii="Georgia" w:hAnsi="Georgia" w:cs="Arial"/>
          <w:sz w:val="24"/>
          <w:lang w:val="es-419"/>
        </w:rPr>
      </w:pPr>
    </w:p>
    <w:p w:rsidR="00ED4E46" w:rsidRPr="00EA7023" w:rsidRDefault="00AE51EA"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Por otro </w:t>
      </w:r>
      <w:r w:rsidR="00BB0121" w:rsidRPr="00EA7023">
        <w:rPr>
          <w:rFonts w:ascii="Georgia" w:hAnsi="Georgia" w:cs="Arial"/>
          <w:sz w:val="24"/>
          <w:lang w:val="es-419"/>
        </w:rPr>
        <w:t>lado, considera que los argumentos plasmados en la demanda, son suficientes para fundamentar las causales invocadas para la revisión, por lo que</w:t>
      </w:r>
      <w:r w:rsidR="00605EEB" w:rsidRPr="00EA7023">
        <w:rPr>
          <w:rFonts w:ascii="Georgia" w:hAnsi="Georgia" w:cs="Arial"/>
          <w:sz w:val="24"/>
          <w:lang w:val="es-419"/>
        </w:rPr>
        <w:t xml:space="preserve"> expone su </w:t>
      </w:r>
      <w:r w:rsidR="00BB0121" w:rsidRPr="00EA7023">
        <w:rPr>
          <w:rFonts w:ascii="Georgia" w:hAnsi="Georgia" w:cs="Arial"/>
          <w:sz w:val="24"/>
          <w:lang w:val="es-419"/>
        </w:rPr>
        <w:t xml:space="preserve">desacuerdo </w:t>
      </w:r>
      <w:r w:rsidR="006A3CF8" w:rsidRPr="00EA7023">
        <w:rPr>
          <w:rFonts w:ascii="Georgia" w:hAnsi="Georgia" w:cs="Arial"/>
          <w:sz w:val="24"/>
          <w:lang w:val="es-419"/>
        </w:rPr>
        <w:t>y reclama que sean examinados de nuevo, específicamente, los hechos octavo, inciso segundo, y noveno</w:t>
      </w:r>
      <w:r w:rsidR="00866E1F" w:rsidRPr="00EA7023">
        <w:rPr>
          <w:rFonts w:ascii="Georgia" w:hAnsi="Georgia" w:cs="Arial"/>
          <w:sz w:val="24"/>
          <w:lang w:val="es-419"/>
        </w:rPr>
        <w:t>, ya que de no hacerlo sería privilegiar reglas procedimentales, cuando por encima de ellas está el derecho sustancial</w:t>
      </w:r>
      <w:r w:rsidR="009B2D89" w:rsidRPr="00EA7023">
        <w:rPr>
          <w:rFonts w:ascii="Georgia" w:hAnsi="Georgia" w:cs="Arial"/>
          <w:sz w:val="24"/>
          <w:lang w:val="es-419"/>
        </w:rPr>
        <w:t xml:space="preserve"> </w:t>
      </w:r>
      <w:r w:rsidR="00ED4E46" w:rsidRPr="00EA7023">
        <w:rPr>
          <w:rFonts w:ascii="Georgia" w:hAnsi="Georgia" w:cs="Arial"/>
          <w:sz w:val="24"/>
          <w:lang w:val="es-419"/>
        </w:rPr>
        <w:t>(Folio</w:t>
      </w:r>
      <w:r w:rsidR="00EC4AA1" w:rsidRPr="00EA7023">
        <w:rPr>
          <w:rFonts w:ascii="Georgia" w:hAnsi="Georgia" w:cs="Arial"/>
          <w:sz w:val="24"/>
          <w:lang w:val="es-419"/>
        </w:rPr>
        <w:t>s</w:t>
      </w:r>
      <w:r w:rsidR="00ED4E46" w:rsidRPr="00EA7023">
        <w:rPr>
          <w:rFonts w:ascii="Georgia" w:hAnsi="Georgia" w:cs="Arial"/>
          <w:sz w:val="24"/>
          <w:lang w:val="es-419"/>
        </w:rPr>
        <w:t xml:space="preserve"> </w:t>
      </w:r>
      <w:r w:rsidR="00F27DDE" w:rsidRPr="00EA7023">
        <w:rPr>
          <w:rFonts w:ascii="Georgia" w:hAnsi="Georgia" w:cs="Arial"/>
          <w:sz w:val="24"/>
          <w:lang w:val="es-419"/>
        </w:rPr>
        <w:t>17-21</w:t>
      </w:r>
      <w:r w:rsidR="00ED4E46" w:rsidRPr="00EA7023">
        <w:rPr>
          <w:rFonts w:ascii="Georgia" w:hAnsi="Georgia" w:cs="Arial"/>
          <w:sz w:val="24"/>
          <w:lang w:val="es-419"/>
        </w:rPr>
        <w:t>, este cuaderno).</w:t>
      </w:r>
    </w:p>
    <w:p w:rsidR="00C60863" w:rsidRPr="00EA7023" w:rsidRDefault="00C60863" w:rsidP="0008479D">
      <w:pPr>
        <w:pStyle w:val="Sinespaciado"/>
        <w:spacing w:line="288" w:lineRule="auto"/>
        <w:jc w:val="both"/>
        <w:rPr>
          <w:rFonts w:ascii="Georgia" w:hAnsi="Georgia" w:cs="Arial"/>
          <w:sz w:val="24"/>
          <w:lang w:val="es-419"/>
        </w:rPr>
      </w:pPr>
    </w:p>
    <w:p w:rsidR="00356104" w:rsidRPr="00EA7023" w:rsidRDefault="00356104" w:rsidP="0008479D">
      <w:pPr>
        <w:numPr>
          <w:ilvl w:val="0"/>
          <w:numId w:val="4"/>
        </w:numPr>
        <w:spacing w:line="288" w:lineRule="auto"/>
        <w:jc w:val="both"/>
        <w:rPr>
          <w:rFonts w:ascii="Georgia" w:hAnsi="Georgia" w:cs="Arial"/>
          <w:lang w:val="es-419"/>
        </w:rPr>
      </w:pPr>
      <w:r w:rsidRPr="00EA7023">
        <w:rPr>
          <w:rFonts w:ascii="Georgia" w:hAnsi="Georgia" w:cs="Arial"/>
          <w:sz w:val="32"/>
          <w:lang w:val="es-419"/>
        </w:rPr>
        <w:t>L</w:t>
      </w:r>
      <w:r w:rsidRPr="00EA7023">
        <w:rPr>
          <w:rFonts w:ascii="Georgia" w:hAnsi="Georgia" w:cs="Arial"/>
          <w:lang w:val="es-419"/>
        </w:rPr>
        <w:t>AS ESTIMACIONES JURÍDICAS PARA DECIDIR</w:t>
      </w:r>
    </w:p>
    <w:p w:rsidR="0082191A" w:rsidRPr="00EA7023" w:rsidRDefault="0082191A" w:rsidP="0008479D">
      <w:pPr>
        <w:spacing w:line="288" w:lineRule="auto"/>
        <w:ind w:left="360"/>
        <w:jc w:val="both"/>
        <w:rPr>
          <w:rFonts w:ascii="Georgia" w:hAnsi="Georgia" w:cs="Arial"/>
          <w:lang w:val="es-419"/>
        </w:rPr>
      </w:pPr>
    </w:p>
    <w:p w:rsidR="00451F09" w:rsidRPr="00EA7023" w:rsidRDefault="00451F09" w:rsidP="0008479D">
      <w:pPr>
        <w:pStyle w:val="Prrafodelista"/>
        <w:numPr>
          <w:ilvl w:val="1"/>
          <w:numId w:val="4"/>
        </w:numPr>
        <w:autoSpaceDE w:val="0"/>
        <w:autoSpaceDN w:val="0"/>
        <w:spacing w:line="288" w:lineRule="auto"/>
        <w:jc w:val="both"/>
        <w:rPr>
          <w:rFonts w:ascii="Georgia" w:hAnsi="Georgia" w:cs="Arial"/>
          <w:iCs/>
          <w:sz w:val="22"/>
          <w:szCs w:val="22"/>
          <w:lang w:val="es-419"/>
        </w:rPr>
      </w:pPr>
      <w:r w:rsidRPr="00EA7023">
        <w:rPr>
          <w:rFonts w:ascii="Georgia" w:hAnsi="Georgia" w:cs="Arial"/>
          <w:iCs/>
          <w:smallCaps/>
          <w:sz w:val="26"/>
          <w:szCs w:val="26"/>
          <w:lang w:val="es-419"/>
        </w:rPr>
        <w:t>La competencia</w:t>
      </w:r>
      <w:r w:rsidR="00942D1E" w:rsidRPr="00EA7023">
        <w:rPr>
          <w:rFonts w:ascii="Georgia" w:hAnsi="Georgia" w:cs="Arial"/>
          <w:iCs/>
          <w:smallCaps/>
          <w:sz w:val="26"/>
          <w:szCs w:val="26"/>
          <w:lang w:val="es-419"/>
        </w:rPr>
        <w:t xml:space="preserve">. </w:t>
      </w:r>
      <w:r w:rsidR="00A062A8" w:rsidRPr="00EA7023">
        <w:rPr>
          <w:rFonts w:ascii="Georgia" w:hAnsi="Georgia" w:cs="Arial"/>
          <w:szCs w:val="22"/>
          <w:lang w:val="es-419"/>
        </w:rPr>
        <w:t>Est</w:t>
      </w:r>
      <w:r w:rsidR="0050777A" w:rsidRPr="00EA7023">
        <w:rPr>
          <w:rFonts w:ascii="Georgia" w:hAnsi="Georgia" w:cs="Arial"/>
          <w:szCs w:val="22"/>
          <w:lang w:val="es-419"/>
        </w:rPr>
        <w:t>a Sala Dual</w:t>
      </w:r>
      <w:r w:rsidR="00A062A8" w:rsidRPr="00EA7023">
        <w:rPr>
          <w:rFonts w:ascii="Georgia" w:hAnsi="Georgia" w:cs="Arial"/>
          <w:szCs w:val="22"/>
          <w:lang w:val="es-419"/>
        </w:rPr>
        <w:t xml:space="preserve"> está asistid</w:t>
      </w:r>
      <w:r w:rsidR="0050777A" w:rsidRPr="00EA7023">
        <w:rPr>
          <w:rFonts w:ascii="Georgia" w:hAnsi="Georgia" w:cs="Arial"/>
          <w:szCs w:val="22"/>
          <w:lang w:val="es-419"/>
        </w:rPr>
        <w:t>a</w:t>
      </w:r>
      <w:r w:rsidR="00A062A8" w:rsidRPr="00EA7023">
        <w:rPr>
          <w:rFonts w:ascii="Georgia" w:hAnsi="Georgia" w:cs="Arial"/>
          <w:szCs w:val="22"/>
          <w:lang w:val="es-419"/>
        </w:rPr>
        <w:t xml:space="preserve"> de </w:t>
      </w:r>
      <w:r w:rsidRPr="00EA7023">
        <w:rPr>
          <w:rFonts w:ascii="Georgia" w:hAnsi="Georgia" w:cs="Arial"/>
          <w:szCs w:val="22"/>
          <w:lang w:val="es-419"/>
        </w:rPr>
        <w:t xml:space="preserve">facultad legal para </w:t>
      </w:r>
      <w:r w:rsidR="00A062A8" w:rsidRPr="00EA7023">
        <w:rPr>
          <w:rFonts w:ascii="Georgia" w:hAnsi="Georgia" w:cs="Arial"/>
          <w:szCs w:val="22"/>
          <w:lang w:val="es-419"/>
        </w:rPr>
        <w:t>decidir la súplica, en consideración a la expresa disposición del</w:t>
      </w:r>
      <w:r w:rsidR="00A67FAC" w:rsidRPr="00EA7023">
        <w:rPr>
          <w:rFonts w:ascii="Georgia" w:hAnsi="Georgia" w:cs="Arial"/>
          <w:szCs w:val="22"/>
          <w:lang w:val="es-419"/>
        </w:rPr>
        <w:t xml:space="preserve"> </w:t>
      </w:r>
      <w:r w:rsidR="00A062A8" w:rsidRPr="00EA7023">
        <w:rPr>
          <w:rFonts w:ascii="Georgia" w:hAnsi="Georgia" w:cs="Arial"/>
          <w:szCs w:val="22"/>
          <w:lang w:val="es-419"/>
        </w:rPr>
        <w:t>artículo</w:t>
      </w:r>
      <w:r w:rsidR="00A67FAC" w:rsidRPr="00EA7023">
        <w:rPr>
          <w:rFonts w:ascii="Georgia" w:hAnsi="Georgia" w:cs="Arial"/>
          <w:szCs w:val="22"/>
          <w:lang w:val="es-419"/>
        </w:rPr>
        <w:t xml:space="preserve"> </w:t>
      </w:r>
      <w:r w:rsidR="002A767A" w:rsidRPr="00EA7023">
        <w:rPr>
          <w:rFonts w:ascii="Georgia" w:hAnsi="Georgia" w:cs="Arial"/>
          <w:szCs w:val="22"/>
          <w:lang w:val="es-419"/>
        </w:rPr>
        <w:t>332</w:t>
      </w:r>
      <w:r w:rsidR="00253C17" w:rsidRPr="00EA7023">
        <w:rPr>
          <w:rFonts w:ascii="Georgia" w:hAnsi="Georgia" w:cs="Arial"/>
          <w:szCs w:val="22"/>
          <w:lang w:val="es-419"/>
        </w:rPr>
        <w:t xml:space="preserve"> del </w:t>
      </w:r>
      <w:r w:rsidRPr="00EA7023">
        <w:rPr>
          <w:rFonts w:ascii="Georgia" w:hAnsi="Georgia" w:cs="Arial"/>
          <w:szCs w:val="22"/>
          <w:lang w:val="es-419"/>
        </w:rPr>
        <w:t>C</w:t>
      </w:r>
      <w:r w:rsidR="002A767A" w:rsidRPr="00EA7023">
        <w:rPr>
          <w:rFonts w:ascii="Georgia" w:hAnsi="Georgia" w:cs="Arial"/>
          <w:szCs w:val="22"/>
          <w:lang w:val="es-419"/>
        </w:rPr>
        <w:t>GP</w:t>
      </w:r>
      <w:r w:rsidR="00A062A8" w:rsidRPr="00EA7023">
        <w:rPr>
          <w:rFonts w:ascii="Georgia" w:hAnsi="Georgia" w:cs="Arial"/>
          <w:szCs w:val="22"/>
          <w:lang w:val="es-419"/>
        </w:rPr>
        <w:t>.</w:t>
      </w:r>
    </w:p>
    <w:p w:rsidR="00451F09" w:rsidRPr="00EA7023" w:rsidRDefault="00451F09" w:rsidP="0008479D">
      <w:pPr>
        <w:spacing w:line="288" w:lineRule="auto"/>
        <w:jc w:val="both"/>
        <w:rPr>
          <w:rFonts w:ascii="Georgia" w:hAnsi="Georgia" w:cs="Arial"/>
          <w:sz w:val="22"/>
          <w:szCs w:val="22"/>
          <w:lang w:val="es-419"/>
        </w:rPr>
      </w:pPr>
    </w:p>
    <w:p w:rsidR="00E00D17" w:rsidRPr="00EA7023" w:rsidRDefault="00451F09" w:rsidP="0008479D">
      <w:pPr>
        <w:pStyle w:val="Prrafodelista"/>
        <w:widowControl w:val="0"/>
        <w:numPr>
          <w:ilvl w:val="1"/>
          <w:numId w:val="4"/>
        </w:numPr>
        <w:autoSpaceDE w:val="0"/>
        <w:autoSpaceDN w:val="0"/>
        <w:adjustRightInd w:val="0"/>
        <w:spacing w:line="288" w:lineRule="auto"/>
        <w:jc w:val="both"/>
        <w:rPr>
          <w:rFonts w:ascii="Georgia" w:hAnsi="Georgia" w:cs="Arial"/>
          <w:lang w:val="es-419"/>
        </w:rPr>
      </w:pPr>
      <w:r w:rsidRPr="00EA7023">
        <w:rPr>
          <w:rFonts w:ascii="Georgia" w:hAnsi="Georgia" w:cs="Arial"/>
          <w:smallCaps/>
          <w:sz w:val="26"/>
          <w:szCs w:val="26"/>
          <w:lang w:val="es-419"/>
        </w:rPr>
        <w:t>El problema jurídico a resolver</w:t>
      </w:r>
      <w:r w:rsidR="00942D1E" w:rsidRPr="00EA7023">
        <w:rPr>
          <w:rFonts w:ascii="Georgia" w:hAnsi="Georgia" w:cs="Arial"/>
          <w:smallCaps/>
          <w:sz w:val="26"/>
          <w:szCs w:val="26"/>
          <w:lang w:val="es-419"/>
        </w:rPr>
        <w:t xml:space="preserve">. </w:t>
      </w:r>
      <w:r w:rsidR="00E00D17" w:rsidRPr="00EA7023">
        <w:rPr>
          <w:rFonts w:ascii="Georgia" w:hAnsi="Georgia"/>
          <w:lang w:val="es-419"/>
        </w:rPr>
        <w:t xml:space="preserve">¿Es procedente modificar, confirmar o revocar </w:t>
      </w:r>
      <w:r w:rsidR="00215E7B" w:rsidRPr="00EA7023">
        <w:rPr>
          <w:rFonts w:ascii="Georgia" w:hAnsi="Georgia"/>
          <w:lang w:val="es-419"/>
        </w:rPr>
        <w:t xml:space="preserve">el </w:t>
      </w:r>
      <w:r w:rsidR="007B1C44" w:rsidRPr="00EA7023">
        <w:rPr>
          <w:rFonts w:ascii="Georgia" w:hAnsi="Georgia"/>
          <w:lang w:val="es-419"/>
        </w:rPr>
        <w:t xml:space="preserve">proveído mediante el cual se </w:t>
      </w:r>
      <w:r w:rsidR="00F27DDE" w:rsidRPr="00EA7023">
        <w:rPr>
          <w:rFonts w:ascii="Georgia" w:hAnsi="Georgia"/>
          <w:lang w:val="es-419"/>
        </w:rPr>
        <w:t>rechazó el recurso de revisión</w:t>
      </w:r>
      <w:r w:rsidR="00EC4AA1" w:rsidRPr="00EA7023">
        <w:rPr>
          <w:rFonts w:ascii="Georgia" w:hAnsi="Georgia"/>
          <w:lang w:val="es-419"/>
        </w:rPr>
        <w:t xml:space="preserve"> </w:t>
      </w:r>
      <w:r w:rsidR="007B1C44" w:rsidRPr="00EA7023">
        <w:rPr>
          <w:rFonts w:ascii="Georgia" w:hAnsi="Georgia"/>
          <w:lang w:val="es-419"/>
        </w:rPr>
        <w:t xml:space="preserve">y que fuera expedido </w:t>
      </w:r>
      <w:r w:rsidR="00E00D17" w:rsidRPr="00EA7023">
        <w:rPr>
          <w:rFonts w:ascii="Georgia" w:hAnsi="Georgia"/>
          <w:lang w:val="es-419"/>
        </w:rPr>
        <w:t xml:space="preserve">por el Despacho de la Magistrada Claudia María Arcila Ríos, de </w:t>
      </w:r>
      <w:r w:rsidR="00215E7B" w:rsidRPr="00EA7023">
        <w:rPr>
          <w:rFonts w:ascii="Georgia" w:hAnsi="Georgia"/>
          <w:lang w:val="es-419"/>
        </w:rPr>
        <w:t xml:space="preserve">esta </w:t>
      </w:r>
      <w:r w:rsidR="00E00D17" w:rsidRPr="00EA7023">
        <w:rPr>
          <w:rFonts w:ascii="Georgia" w:hAnsi="Georgia"/>
          <w:lang w:val="es-419"/>
        </w:rPr>
        <w:t>Sala Civil Familia?</w:t>
      </w:r>
    </w:p>
    <w:p w:rsidR="00E9429A" w:rsidRPr="00EA7023" w:rsidRDefault="00E9429A" w:rsidP="0008479D">
      <w:pPr>
        <w:widowControl w:val="0"/>
        <w:overflowPunct w:val="0"/>
        <w:autoSpaceDE w:val="0"/>
        <w:autoSpaceDN w:val="0"/>
        <w:adjustRightInd w:val="0"/>
        <w:spacing w:line="288" w:lineRule="auto"/>
        <w:jc w:val="both"/>
        <w:rPr>
          <w:rFonts w:ascii="Georgia" w:hAnsi="Georgia" w:cs="Arial"/>
          <w:smallCaps/>
          <w:sz w:val="22"/>
          <w:lang w:val="es-419"/>
        </w:rPr>
      </w:pPr>
    </w:p>
    <w:p w:rsidR="00451F09" w:rsidRPr="00EA7023" w:rsidRDefault="00451F09" w:rsidP="0008479D">
      <w:pPr>
        <w:widowControl w:val="0"/>
        <w:numPr>
          <w:ilvl w:val="1"/>
          <w:numId w:val="4"/>
        </w:numPr>
        <w:overflowPunct w:val="0"/>
        <w:autoSpaceDE w:val="0"/>
        <w:autoSpaceDN w:val="0"/>
        <w:adjustRightInd w:val="0"/>
        <w:spacing w:line="288" w:lineRule="auto"/>
        <w:jc w:val="both"/>
        <w:rPr>
          <w:rFonts w:ascii="Georgia" w:hAnsi="Georgia" w:cs="Arial"/>
          <w:smallCaps/>
          <w:sz w:val="26"/>
          <w:szCs w:val="26"/>
          <w:lang w:val="es-419"/>
        </w:rPr>
      </w:pPr>
      <w:r w:rsidRPr="00EA7023">
        <w:rPr>
          <w:rFonts w:ascii="Georgia" w:hAnsi="Georgia" w:cs="Arial"/>
          <w:smallCaps/>
          <w:sz w:val="26"/>
          <w:szCs w:val="26"/>
          <w:lang w:val="es-419"/>
        </w:rPr>
        <w:t>La resolución del problema jurídico</w:t>
      </w:r>
    </w:p>
    <w:p w:rsidR="00451F09" w:rsidRPr="00EA7023" w:rsidRDefault="00451F09" w:rsidP="0008479D">
      <w:pPr>
        <w:spacing w:line="288" w:lineRule="auto"/>
        <w:jc w:val="both"/>
        <w:rPr>
          <w:rFonts w:ascii="Georgia" w:hAnsi="Georgia" w:cs="Arial"/>
          <w:sz w:val="22"/>
          <w:szCs w:val="22"/>
          <w:lang w:val="es-419"/>
        </w:rPr>
      </w:pPr>
    </w:p>
    <w:p w:rsidR="00697179" w:rsidRPr="00EA7023" w:rsidRDefault="007B5D06" w:rsidP="0008479D">
      <w:pPr>
        <w:pStyle w:val="Sinespaciado"/>
        <w:numPr>
          <w:ilvl w:val="2"/>
          <w:numId w:val="4"/>
        </w:numPr>
        <w:spacing w:line="288" w:lineRule="auto"/>
        <w:jc w:val="both"/>
        <w:rPr>
          <w:rFonts w:ascii="Georgia" w:hAnsi="Georgia" w:cs="Arial"/>
          <w:sz w:val="24"/>
          <w:lang w:val="es-419"/>
        </w:rPr>
      </w:pPr>
      <w:r w:rsidRPr="00EA7023">
        <w:rPr>
          <w:rFonts w:ascii="Georgia" w:hAnsi="Georgia" w:cs="Arial"/>
          <w:smallCaps/>
          <w:sz w:val="24"/>
          <w:szCs w:val="24"/>
          <w:lang w:val="es-419"/>
        </w:rPr>
        <w:lastRenderedPageBreak/>
        <w:t>Los presupuestos de viabilidad</w:t>
      </w:r>
      <w:r w:rsidR="00942D1E" w:rsidRPr="00EA7023">
        <w:rPr>
          <w:rFonts w:ascii="Georgia" w:hAnsi="Georgia" w:cs="Arial"/>
          <w:sz w:val="24"/>
          <w:szCs w:val="24"/>
          <w:lang w:val="es-419"/>
        </w:rPr>
        <w:t xml:space="preserve">. </w:t>
      </w:r>
      <w:r w:rsidR="00697179" w:rsidRPr="00EA7023">
        <w:rPr>
          <w:rFonts w:ascii="Georgia" w:hAnsi="Georgia" w:cs="Arial"/>
          <w:sz w:val="24"/>
          <w:szCs w:val="24"/>
          <w:lang w:val="es-419"/>
        </w:rPr>
        <w:t>Desde la óptica procesal, en presencia de los recursos, deben siempre concurrir los llamados presupuestos de viabilidad o trámite o</w:t>
      </w:r>
      <w:r w:rsidR="00697179" w:rsidRPr="00EA7023">
        <w:rPr>
          <w:rFonts w:ascii="Georgia" w:hAnsi="Georgia" w:cs="Arial"/>
          <w:lang w:val="es-419"/>
        </w:rPr>
        <w:t xml:space="preserve"> </w:t>
      </w:r>
      <w:r w:rsidR="00697179" w:rsidRPr="00EA7023">
        <w:rPr>
          <w:rFonts w:ascii="Georgia" w:hAnsi="Georgia" w:cs="Arial"/>
          <w:i/>
          <w:lang w:val="es-419"/>
        </w:rPr>
        <w:t>condiciones para tener la posibilidad de recurrir</w:t>
      </w:r>
      <w:r w:rsidR="00697179" w:rsidRPr="00EA7023">
        <w:rPr>
          <w:rStyle w:val="Refdenotaalpie"/>
          <w:rFonts w:ascii="Georgia" w:hAnsi="Georgia"/>
          <w:i/>
          <w:lang w:val="es-419"/>
        </w:rPr>
        <w:footnoteReference w:id="1"/>
      </w:r>
      <w:r w:rsidR="00697179" w:rsidRPr="00EA7023">
        <w:rPr>
          <w:rFonts w:ascii="Georgia" w:hAnsi="Georgia" w:cs="Arial"/>
          <w:lang w:val="es-419"/>
        </w:rPr>
        <w:t xml:space="preserve">, </w:t>
      </w:r>
      <w:r w:rsidR="00697179" w:rsidRPr="00EA7023">
        <w:rPr>
          <w:rFonts w:ascii="Georgia" w:hAnsi="Georgia" w:cs="Arial"/>
          <w:sz w:val="24"/>
          <w:lang w:val="es-419"/>
        </w:rPr>
        <w:t>al decir de la doctrina procesal nacional</w:t>
      </w:r>
      <w:r w:rsidR="00697179" w:rsidRPr="00EA7023">
        <w:rPr>
          <w:rFonts w:ascii="Georgia" w:hAnsi="Georgia" w:cs="Arial"/>
          <w:sz w:val="24"/>
          <w:vertAlign w:val="superscript"/>
          <w:lang w:val="es-419"/>
        </w:rPr>
        <w:footnoteReference w:id="2"/>
      </w:r>
      <w:r w:rsidR="00697179" w:rsidRPr="00EA7023">
        <w:rPr>
          <w:rFonts w:ascii="Georgia" w:hAnsi="Georgia" w:cs="Arial"/>
          <w:sz w:val="24"/>
          <w:vertAlign w:val="superscript"/>
          <w:lang w:val="es-419"/>
        </w:rPr>
        <w:t>-</w:t>
      </w:r>
      <w:r w:rsidR="00697179" w:rsidRPr="00EA7023">
        <w:rPr>
          <w:rFonts w:ascii="Georgia" w:hAnsi="Georgia" w:cs="Arial"/>
          <w:sz w:val="24"/>
          <w:vertAlign w:val="superscript"/>
          <w:lang w:val="es-419"/>
        </w:rPr>
        <w:footnoteReference w:id="3"/>
      </w:r>
      <w:r w:rsidR="00697179" w:rsidRPr="00EA7023">
        <w:rPr>
          <w:rFonts w:ascii="Georgia" w:hAnsi="Georgia" w:cs="Arial"/>
          <w:sz w:val="24"/>
          <w:lang w:val="es-419"/>
        </w:rPr>
        <w:t>, a efectos de examinar el tema de apelación.</w:t>
      </w:r>
    </w:p>
    <w:p w:rsidR="00697179" w:rsidRPr="00EA7023" w:rsidRDefault="00697179" w:rsidP="0008479D">
      <w:pPr>
        <w:pStyle w:val="Sinespaciado"/>
        <w:spacing w:line="288" w:lineRule="auto"/>
        <w:jc w:val="both"/>
        <w:rPr>
          <w:rFonts w:ascii="Georgia" w:hAnsi="Georgia" w:cs="Arial"/>
          <w:lang w:val="es-419"/>
        </w:rPr>
      </w:pPr>
    </w:p>
    <w:p w:rsidR="00697179" w:rsidRPr="00EA7023" w:rsidRDefault="00697179" w:rsidP="0008479D">
      <w:pPr>
        <w:pStyle w:val="Sinespaciado"/>
        <w:spacing w:line="288" w:lineRule="auto"/>
        <w:ind w:left="708"/>
        <w:jc w:val="both"/>
        <w:rPr>
          <w:rFonts w:ascii="Georgia" w:hAnsi="Georgia" w:cs="Arial"/>
          <w:lang w:val="es-419"/>
        </w:rPr>
      </w:pPr>
      <w:r w:rsidRPr="00EA7023">
        <w:rPr>
          <w:rFonts w:ascii="Georgia" w:hAnsi="Georgia" w:cs="Arial"/>
          <w:sz w:val="24"/>
          <w:lang w:val="es-419"/>
        </w:rPr>
        <w:t>Se dice que los aludidos presupuestos son una serie de exigencias normativas formales que permiten su trámite y aseguran su decisión.  Así lo anota el profesor López B:</w:t>
      </w:r>
      <w:r w:rsidRPr="00EA7023">
        <w:rPr>
          <w:rFonts w:ascii="Georgia" w:hAnsi="Georgia" w:cs="Arial"/>
          <w:lang w:val="es-419"/>
        </w:rPr>
        <w:t xml:space="preserve"> “</w:t>
      </w:r>
      <w:r w:rsidRPr="00EA7023">
        <w:rPr>
          <w:rFonts w:ascii="Georgia" w:hAnsi="Georgia" w:cs="Arial"/>
          <w:i/>
          <w:lang w:val="es-419"/>
        </w:rPr>
        <w:t>En todo caso sin estar reunidos los requisitos de viabilidad del recurso jamás se podrá tener éxito en el mismo por constituir un precedente necesario para decidirlo.</w:t>
      </w:r>
      <w:r w:rsidRPr="00EA7023">
        <w:rPr>
          <w:rFonts w:ascii="Georgia" w:hAnsi="Georgia" w:cs="Arial"/>
          <w:lang w:val="es-419"/>
        </w:rPr>
        <w:t>”</w:t>
      </w:r>
      <w:r w:rsidRPr="00EA7023">
        <w:rPr>
          <w:rFonts w:ascii="Georgia" w:hAnsi="Georgia" w:cs="Arial"/>
          <w:vertAlign w:val="superscript"/>
          <w:lang w:val="es-419"/>
        </w:rPr>
        <w:footnoteReference w:id="4"/>
      </w:r>
      <w:r w:rsidRPr="00EA7023">
        <w:rPr>
          <w:rFonts w:ascii="Georgia" w:hAnsi="Georgia" w:cs="Arial"/>
          <w:lang w:val="es-419"/>
        </w:rPr>
        <w:t xml:space="preserve">.  </w:t>
      </w:r>
      <w:r w:rsidRPr="00EA7023">
        <w:rPr>
          <w:rFonts w:ascii="Georgia" w:hAnsi="Georgia" w:cs="Arial"/>
          <w:sz w:val="24"/>
          <w:lang w:val="es-419"/>
        </w:rPr>
        <w:t>Y lo explica el profesor Rojas G. en su obra:</w:t>
      </w:r>
      <w:r w:rsidRPr="00EA7023">
        <w:rPr>
          <w:rFonts w:ascii="Georgia" w:hAnsi="Georgia" w:cs="Arial"/>
          <w:lang w:val="es-419"/>
        </w:rPr>
        <w:t xml:space="preserve"> “</w:t>
      </w:r>
      <w:r w:rsidRPr="00EA7023">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EA7023">
        <w:rPr>
          <w:rFonts w:ascii="Georgia" w:hAnsi="Georgia" w:cs="Arial"/>
          <w:lang w:val="es-419"/>
        </w:rPr>
        <w:t>”</w:t>
      </w:r>
      <w:r w:rsidRPr="00EA7023">
        <w:rPr>
          <w:rStyle w:val="Refdenotaalpie"/>
          <w:rFonts w:ascii="Georgia" w:hAnsi="Georgia" w:cs="Arial"/>
          <w:lang w:val="es-419"/>
        </w:rPr>
        <w:t xml:space="preserve"> </w:t>
      </w:r>
      <w:r w:rsidRPr="00EA7023">
        <w:rPr>
          <w:rStyle w:val="Refdenotaalpie"/>
          <w:rFonts w:ascii="Georgia" w:hAnsi="Georgia" w:cs="Arial"/>
          <w:lang w:val="es-419"/>
        </w:rPr>
        <w:footnoteReference w:id="5"/>
      </w:r>
      <w:r w:rsidRPr="00EA7023">
        <w:rPr>
          <w:rFonts w:ascii="Georgia" w:hAnsi="Georgia" w:cs="Arial"/>
          <w:lang w:val="es-419"/>
        </w:rPr>
        <w:t>.</w:t>
      </w:r>
    </w:p>
    <w:p w:rsidR="00697179" w:rsidRPr="00EA7023" w:rsidRDefault="00697179" w:rsidP="0008479D">
      <w:pPr>
        <w:pStyle w:val="Sinespaciado"/>
        <w:spacing w:line="288" w:lineRule="auto"/>
        <w:ind w:left="708"/>
        <w:jc w:val="both"/>
        <w:rPr>
          <w:rFonts w:ascii="Georgia" w:hAnsi="Georgia" w:cs="Arial"/>
          <w:lang w:val="es-419"/>
        </w:rPr>
      </w:pPr>
    </w:p>
    <w:p w:rsidR="00697179" w:rsidRPr="00EA7023" w:rsidRDefault="00697179" w:rsidP="0008479D">
      <w:pPr>
        <w:pStyle w:val="Sinespaciado"/>
        <w:spacing w:line="288" w:lineRule="auto"/>
        <w:ind w:left="708"/>
        <w:jc w:val="both"/>
        <w:rPr>
          <w:rFonts w:ascii="Georgia" w:hAnsi="Georgia" w:cs="Arial"/>
          <w:i/>
          <w:color w:val="2D2D2D"/>
          <w:shd w:val="clear" w:color="auto" w:fill="FFFFFF"/>
          <w:lang w:val="es-419"/>
        </w:rPr>
      </w:pPr>
      <w:r w:rsidRPr="00EA7023">
        <w:rPr>
          <w:rFonts w:ascii="Georgia" w:hAnsi="Georgia" w:cs="Arial"/>
          <w:sz w:val="24"/>
          <w:lang w:val="es-419"/>
        </w:rPr>
        <w:t>Los mencionados requisitos son concurrentes y necesarios, ausente uno se malogra el estudio de la impugnación. La misma CSJ así lo ha enseñado:</w:t>
      </w:r>
      <w:r w:rsidRPr="00EA7023">
        <w:rPr>
          <w:rFonts w:ascii="Georgia" w:hAnsi="Georgia" w:cs="Arial"/>
          <w:lang w:val="es-419"/>
        </w:rPr>
        <w:t xml:space="preserve"> “</w:t>
      </w:r>
      <w:r w:rsidRPr="00EA7023">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EA7023">
        <w:rPr>
          <w:rFonts w:ascii="Georgia" w:hAnsi="Georgia" w:cs="Arial"/>
          <w:lang w:val="es-419"/>
        </w:rPr>
        <w:t>”</w:t>
      </w:r>
      <w:r w:rsidRPr="00EA7023">
        <w:rPr>
          <w:rStyle w:val="Refdenotaalpie"/>
          <w:rFonts w:ascii="Georgia" w:hAnsi="Georgia"/>
          <w:lang w:val="es-419"/>
        </w:rPr>
        <w:footnoteReference w:id="6"/>
      </w:r>
      <w:r w:rsidRPr="00EA7023">
        <w:rPr>
          <w:rFonts w:ascii="Georgia" w:hAnsi="Georgia" w:cs="Arial"/>
          <w:lang w:val="es-419"/>
        </w:rPr>
        <w:t xml:space="preserve">. </w:t>
      </w:r>
      <w:r w:rsidRPr="00EA7023">
        <w:rPr>
          <w:rFonts w:ascii="Georgia" w:hAnsi="Georgia" w:cs="Arial"/>
          <w:sz w:val="24"/>
          <w:lang w:val="es-419"/>
        </w:rPr>
        <w:t>Y en decisión más próxima (</w:t>
      </w:r>
      <w:r w:rsidRPr="00EA7023">
        <w:rPr>
          <w:rFonts w:ascii="Georgia" w:hAnsi="Georgia" w:cs="Arial"/>
          <w:lang w:val="es-419"/>
        </w:rPr>
        <w:t>2016</w:t>
      </w:r>
      <w:r w:rsidRPr="00EA7023">
        <w:rPr>
          <w:rFonts w:ascii="Georgia" w:hAnsi="Georgia" w:cs="Arial"/>
          <w:sz w:val="24"/>
          <w:lang w:val="es-419"/>
        </w:rPr>
        <w:t>)</w:t>
      </w:r>
      <w:r w:rsidRPr="00EA7023">
        <w:rPr>
          <w:rStyle w:val="Refdenotaalpie"/>
          <w:rFonts w:ascii="Georgia" w:hAnsi="Georgia"/>
          <w:sz w:val="24"/>
          <w:lang w:val="es-419"/>
        </w:rPr>
        <w:footnoteReference w:id="7"/>
      </w:r>
      <w:r w:rsidRPr="00EA7023">
        <w:rPr>
          <w:rFonts w:ascii="Georgia" w:hAnsi="Georgia" w:cs="Arial"/>
          <w:sz w:val="24"/>
          <w:lang w:val="es-419"/>
        </w:rPr>
        <w:t xml:space="preserve"> recordó:</w:t>
      </w:r>
      <w:r w:rsidRPr="00EA7023">
        <w:rPr>
          <w:rFonts w:ascii="Georgia" w:hAnsi="Georgia" w:cs="Arial"/>
          <w:lang w:val="es-419"/>
        </w:rPr>
        <w:t xml:space="preserve"> “(…) </w:t>
      </w:r>
      <w:r w:rsidRPr="00EA7023">
        <w:rPr>
          <w:rFonts w:ascii="Georgia" w:hAnsi="Georgia" w:cs="Arial"/>
          <w:i/>
          <w:color w:val="2D2D2D"/>
          <w:shd w:val="clear" w:color="auto" w:fill="FFFFFF"/>
          <w:lang w:val="es-419"/>
        </w:rPr>
        <w:t>al examen preliminar de admisibilidad de la apelación que hace el juez de segunda instancia previo a avocar conocimiento y de dar trámite al recurso de apelación (…)”.</w:t>
      </w:r>
    </w:p>
    <w:p w:rsidR="0082191A" w:rsidRPr="00EA7023" w:rsidRDefault="0082191A" w:rsidP="0008479D">
      <w:pPr>
        <w:pStyle w:val="Sinespaciado"/>
        <w:spacing w:line="288" w:lineRule="auto"/>
        <w:jc w:val="both"/>
        <w:rPr>
          <w:rFonts w:ascii="Georgia" w:hAnsi="Georgia"/>
          <w:i/>
          <w:color w:val="2D2D2D"/>
          <w:szCs w:val="24"/>
          <w:shd w:val="clear" w:color="auto" w:fill="FFFFFF"/>
          <w:lang w:val="es-419"/>
        </w:rPr>
      </w:pPr>
    </w:p>
    <w:p w:rsidR="00697179" w:rsidRPr="00EA7023" w:rsidRDefault="00697179" w:rsidP="0008479D">
      <w:pPr>
        <w:pStyle w:val="Sinespaciado"/>
        <w:spacing w:line="288" w:lineRule="auto"/>
        <w:ind w:left="708"/>
        <w:jc w:val="both"/>
        <w:rPr>
          <w:rFonts w:ascii="Georgia" w:hAnsi="Georgia" w:cs="Arial"/>
          <w:sz w:val="24"/>
          <w:lang w:val="es-419"/>
        </w:rPr>
      </w:pPr>
      <w:r w:rsidRPr="00EA7023">
        <w:rPr>
          <w:rFonts w:ascii="Georgia" w:hAnsi="Georgia" w:cs="Arial"/>
          <w:sz w:val="24"/>
          <w:lang w:val="es-419"/>
        </w:rPr>
        <w:t>Esos supuestos son legitimación, oportunidad, procedencia y cargas procesales (</w:t>
      </w:r>
      <w:r w:rsidRPr="00EA7023">
        <w:rPr>
          <w:rFonts w:ascii="Georgia" w:hAnsi="Georgia" w:cs="Arial"/>
          <w:lang w:val="es-419"/>
        </w:rPr>
        <w:t>Sustentación, expedición de copias, etc</w:t>
      </w:r>
      <w:r w:rsidRPr="00EA7023">
        <w:rPr>
          <w:rFonts w:ascii="Georgia" w:hAnsi="Georgia" w:cs="Arial"/>
          <w:sz w:val="24"/>
          <w:lang w:val="es-419"/>
        </w:rPr>
        <w:t xml:space="preserve">), es necesario precisar desde ya que, los tres primeros implican la inadmisibilidad del recurso mientras que el cuarto, provoca </w:t>
      </w:r>
      <w:r w:rsidR="00504088" w:rsidRPr="00EA7023">
        <w:rPr>
          <w:rFonts w:ascii="Georgia" w:hAnsi="Georgia" w:cs="Arial"/>
          <w:sz w:val="24"/>
          <w:lang w:val="es-419"/>
        </w:rPr>
        <w:t xml:space="preserve">su </w:t>
      </w:r>
      <w:r w:rsidRPr="00EA7023">
        <w:rPr>
          <w:rFonts w:ascii="Georgia" w:hAnsi="Georgia" w:cs="Arial"/>
          <w:sz w:val="24"/>
          <w:lang w:val="es-419"/>
        </w:rPr>
        <w:t>deserción, tal como acota la doctrina patria</w:t>
      </w:r>
      <w:r w:rsidRPr="00EA7023">
        <w:rPr>
          <w:rStyle w:val="Refdenotaalpie"/>
          <w:rFonts w:ascii="Georgia" w:hAnsi="Georgia"/>
          <w:sz w:val="24"/>
          <w:lang w:val="es-419"/>
        </w:rPr>
        <w:footnoteReference w:id="8"/>
      </w:r>
      <w:r w:rsidRPr="00EA7023">
        <w:rPr>
          <w:rFonts w:ascii="Georgia" w:hAnsi="Georgia" w:cs="Arial"/>
          <w:sz w:val="24"/>
          <w:vertAlign w:val="superscript"/>
          <w:lang w:val="es-419"/>
        </w:rPr>
        <w:t>-</w:t>
      </w:r>
      <w:r w:rsidRPr="00EA7023">
        <w:rPr>
          <w:rStyle w:val="Refdenotaalpie"/>
          <w:rFonts w:ascii="Georgia" w:hAnsi="Georgia"/>
          <w:sz w:val="24"/>
          <w:lang w:val="es-419"/>
        </w:rPr>
        <w:footnoteReference w:id="9"/>
      </w:r>
      <w:r w:rsidRPr="00EA7023">
        <w:rPr>
          <w:rFonts w:ascii="Georgia" w:hAnsi="Georgia" w:cs="Arial"/>
          <w:sz w:val="24"/>
          <w:lang w:val="es-419"/>
        </w:rPr>
        <w:t xml:space="preserve">.  </w:t>
      </w:r>
    </w:p>
    <w:p w:rsidR="00697179" w:rsidRPr="00EA7023" w:rsidRDefault="00697179" w:rsidP="0008479D">
      <w:pPr>
        <w:pStyle w:val="Sinespaciado"/>
        <w:spacing w:line="288" w:lineRule="auto"/>
        <w:ind w:left="708"/>
        <w:jc w:val="both"/>
        <w:rPr>
          <w:rFonts w:ascii="Georgia" w:hAnsi="Georgia" w:cs="Arial"/>
          <w:lang w:val="es-419"/>
        </w:rPr>
      </w:pPr>
    </w:p>
    <w:p w:rsidR="0060450D" w:rsidRPr="00EA7023" w:rsidRDefault="0060450D" w:rsidP="0008479D">
      <w:pPr>
        <w:spacing w:line="288" w:lineRule="auto"/>
        <w:ind w:left="708"/>
        <w:jc w:val="both"/>
        <w:rPr>
          <w:rFonts w:ascii="Georgia" w:hAnsi="Georgia" w:cs="Arial"/>
          <w:lang w:val="es-419"/>
        </w:rPr>
      </w:pPr>
      <w:r w:rsidRPr="00EA7023">
        <w:rPr>
          <w:rFonts w:ascii="Georgia" w:hAnsi="Georgia" w:cs="Arial"/>
          <w:lang w:val="es-419"/>
        </w:rPr>
        <w:t>Para este caso se encuentran cumplidos, hay legitimación en la parte que recurre porque hay mengua de sus intereses con la decisión atacada, el recurso es tempestivo, la aludida providencia es susceptible de súplica</w:t>
      </w:r>
      <w:r w:rsidR="00284480" w:rsidRPr="00EA7023">
        <w:rPr>
          <w:rFonts w:ascii="Georgia" w:hAnsi="Georgia" w:cs="Arial"/>
          <w:lang w:val="es-419"/>
        </w:rPr>
        <w:t xml:space="preserve">, por ser una decisión emitida en el trámite de un recurso </w:t>
      </w:r>
      <w:r w:rsidR="003415F8" w:rsidRPr="00EA7023">
        <w:rPr>
          <w:rFonts w:ascii="Georgia" w:hAnsi="Georgia" w:cs="Arial"/>
          <w:lang w:val="es-419"/>
        </w:rPr>
        <w:t xml:space="preserve">extraordinario </w:t>
      </w:r>
      <w:r w:rsidR="00284480" w:rsidRPr="00EA7023">
        <w:rPr>
          <w:rFonts w:ascii="Georgia" w:hAnsi="Georgia" w:cs="Arial"/>
          <w:lang w:val="es-419"/>
        </w:rPr>
        <w:t>de revisión</w:t>
      </w:r>
      <w:r w:rsidRPr="00EA7023">
        <w:rPr>
          <w:rFonts w:ascii="Georgia" w:hAnsi="Georgia" w:cs="Arial"/>
          <w:lang w:val="es-419"/>
        </w:rPr>
        <w:t xml:space="preserve"> (</w:t>
      </w:r>
      <w:r w:rsidRPr="00EA7023">
        <w:rPr>
          <w:rFonts w:ascii="Georgia" w:hAnsi="Georgia" w:cs="Arial"/>
          <w:sz w:val="22"/>
          <w:lang w:val="es-419"/>
        </w:rPr>
        <w:t>Artículo 331, CGP</w:t>
      </w:r>
      <w:r w:rsidRPr="00EA7023">
        <w:rPr>
          <w:rFonts w:ascii="Georgia" w:hAnsi="Georgia" w:cs="Arial"/>
          <w:lang w:val="es-419"/>
        </w:rPr>
        <w:t>) y está cumplida la carga procesal de la sustentación (</w:t>
      </w:r>
      <w:r w:rsidRPr="00EA7023">
        <w:rPr>
          <w:rFonts w:ascii="Georgia" w:hAnsi="Georgia" w:cs="Arial"/>
          <w:sz w:val="20"/>
          <w:lang w:val="es-419"/>
        </w:rPr>
        <w:t>Artículo 322-3º, CGP</w:t>
      </w:r>
      <w:r w:rsidRPr="00EA7023">
        <w:rPr>
          <w:rFonts w:ascii="Georgia" w:hAnsi="Georgia" w:cs="Arial"/>
          <w:lang w:val="es-419"/>
        </w:rPr>
        <w:t>).</w:t>
      </w:r>
    </w:p>
    <w:p w:rsidR="0060450D" w:rsidRPr="00EA7023" w:rsidRDefault="0060450D" w:rsidP="0008479D">
      <w:pPr>
        <w:pStyle w:val="Sinespaciado"/>
        <w:spacing w:line="288" w:lineRule="auto"/>
        <w:jc w:val="both"/>
        <w:rPr>
          <w:rFonts w:ascii="Georgia" w:hAnsi="Georgia" w:cs="Arial"/>
          <w:lang w:val="es-419"/>
        </w:rPr>
      </w:pPr>
    </w:p>
    <w:p w:rsidR="00117DD5" w:rsidRPr="00EA7023" w:rsidRDefault="00117DD5" w:rsidP="0008479D">
      <w:pPr>
        <w:pStyle w:val="Prrafodelista"/>
        <w:widowControl w:val="0"/>
        <w:numPr>
          <w:ilvl w:val="0"/>
          <w:numId w:val="4"/>
        </w:numPr>
        <w:overflowPunct w:val="0"/>
        <w:autoSpaceDE w:val="0"/>
        <w:autoSpaceDN w:val="0"/>
        <w:adjustRightInd w:val="0"/>
        <w:spacing w:line="288" w:lineRule="auto"/>
        <w:jc w:val="both"/>
        <w:rPr>
          <w:rFonts w:ascii="Georgia" w:hAnsi="Georgia" w:cs="Arial"/>
          <w:lang w:val="es-419"/>
        </w:rPr>
      </w:pPr>
      <w:r w:rsidRPr="00EA7023">
        <w:rPr>
          <w:rFonts w:ascii="Georgia" w:hAnsi="Georgia" w:cs="Arial"/>
          <w:smallCaps/>
          <w:sz w:val="26"/>
          <w:szCs w:val="26"/>
          <w:lang w:val="es-419"/>
        </w:rPr>
        <w:t xml:space="preserve">La resolución del problema jurídico planteado. </w:t>
      </w:r>
    </w:p>
    <w:p w:rsidR="00117DD5" w:rsidRPr="00EA7023" w:rsidRDefault="00117DD5" w:rsidP="0008479D">
      <w:pPr>
        <w:pStyle w:val="Sinespaciado"/>
        <w:spacing w:line="288" w:lineRule="auto"/>
        <w:jc w:val="both"/>
        <w:rPr>
          <w:rFonts w:ascii="Georgia" w:hAnsi="Georgia" w:cs="Arial"/>
          <w:lang w:val="es-419"/>
        </w:rPr>
      </w:pPr>
    </w:p>
    <w:p w:rsidR="003415F8" w:rsidRPr="00EA7023" w:rsidRDefault="003415F8" w:rsidP="0008479D">
      <w:pPr>
        <w:pStyle w:val="Sinespaciado"/>
        <w:spacing w:line="288" w:lineRule="auto"/>
        <w:jc w:val="both"/>
        <w:rPr>
          <w:rFonts w:ascii="Georgia" w:eastAsia="Tahoma" w:hAnsi="Georgia" w:cs="Arial"/>
          <w:color w:val="000000"/>
          <w:sz w:val="24"/>
          <w:szCs w:val="24"/>
          <w:lang w:val="es-419"/>
        </w:rPr>
      </w:pPr>
      <w:r w:rsidRPr="00EA7023">
        <w:rPr>
          <w:rFonts w:ascii="Georgia" w:eastAsia="Tahoma" w:hAnsi="Georgia" w:cs="Arial"/>
          <w:color w:val="000000"/>
          <w:sz w:val="24"/>
          <w:szCs w:val="24"/>
          <w:lang w:val="es-419"/>
        </w:rPr>
        <w:lastRenderedPageBreak/>
        <w:t>Circunscritos al marco argumental formulado en el recurso, se examinará el asunto litigioso.</w:t>
      </w:r>
    </w:p>
    <w:p w:rsidR="003415F8" w:rsidRPr="00EA7023" w:rsidRDefault="003415F8" w:rsidP="0008479D">
      <w:pPr>
        <w:pStyle w:val="Sinespaciado"/>
        <w:spacing w:line="288" w:lineRule="auto"/>
        <w:jc w:val="both"/>
        <w:rPr>
          <w:rFonts w:ascii="Georgia" w:hAnsi="Georgia" w:cs="Arial"/>
          <w:lang w:val="es-419"/>
        </w:rPr>
      </w:pPr>
    </w:p>
    <w:p w:rsidR="00117DD5" w:rsidRPr="00EA7023" w:rsidRDefault="00117DD5" w:rsidP="0008479D">
      <w:pPr>
        <w:pStyle w:val="Textopredeterminado"/>
        <w:numPr>
          <w:ilvl w:val="1"/>
          <w:numId w:val="4"/>
        </w:numPr>
        <w:spacing w:line="288" w:lineRule="auto"/>
        <w:jc w:val="both"/>
        <w:textAlignment w:val="auto"/>
        <w:rPr>
          <w:rFonts w:ascii="Georgia" w:hAnsi="Georgia" w:cs="Arial"/>
          <w:smallCaps/>
          <w:lang w:val="es-419"/>
        </w:rPr>
      </w:pPr>
      <w:r w:rsidRPr="00EA7023">
        <w:rPr>
          <w:rFonts w:ascii="Georgia" w:hAnsi="Georgia" w:cs="Arial"/>
          <w:smallCaps/>
          <w:lang w:val="es-419"/>
        </w:rPr>
        <w:t>El rechazo de la demanda previa inadmisión</w:t>
      </w:r>
    </w:p>
    <w:p w:rsidR="00117DD5" w:rsidRPr="00EA7023" w:rsidRDefault="00117DD5" w:rsidP="0008479D">
      <w:pPr>
        <w:pStyle w:val="Sinespaciado"/>
        <w:spacing w:line="288" w:lineRule="auto"/>
        <w:jc w:val="both"/>
        <w:rPr>
          <w:rFonts w:ascii="Georgia" w:hAnsi="Georgia" w:cs="Arial"/>
          <w:sz w:val="24"/>
          <w:szCs w:val="24"/>
          <w:lang w:val="es-419"/>
        </w:rPr>
      </w:pPr>
    </w:p>
    <w:p w:rsidR="00117DD5" w:rsidRPr="00EA7023" w:rsidRDefault="00117DD5" w:rsidP="0008479D">
      <w:pPr>
        <w:pStyle w:val="Cuerpodeltexto0"/>
        <w:shd w:val="clear" w:color="auto" w:fill="auto"/>
        <w:spacing w:after="0" w:line="288" w:lineRule="auto"/>
        <w:ind w:right="23"/>
        <w:rPr>
          <w:rFonts w:ascii="Georgia" w:hAnsi="Georgia" w:cs="Arial"/>
          <w:color w:val="000000"/>
          <w:sz w:val="24"/>
          <w:szCs w:val="24"/>
          <w:lang w:val="es-419"/>
        </w:rPr>
      </w:pPr>
      <w:r w:rsidRPr="00EA7023">
        <w:rPr>
          <w:rFonts w:ascii="Georgia" w:hAnsi="Georgia" w:cs="Arial"/>
          <w:color w:val="000000"/>
          <w:sz w:val="24"/>
          <w:szCs w:val="24"/>
          <w:lang w:val="es-419"/>
        </w:rPr>
        <w:t xml:space="preserve">La demanda con que se inicia todo proceso, debe ajustarse a determinados requisitos consagrados de manera general en el artículo 82, </w:t>
      </w:r>
      <w:r w:rsidRPr="00EA7023">
        <w:rPr>
          <w:rFonts w:ascii="Georgia" w:hAnsi="Georgia" w:cs="Arial"/>
          <w:i/>
          <w:color w:val="000000"/>
          <w:sz w:val="22"/>
          <w:szCs w:val="24"/>
          <w:lang w:val="es-419"/>
        </w:rPr>
        <w:t>ibídem</w:t>
      </w:r>
      <w:r w:rsidRPr="00EA7023">
        <w:rPr>
          <w:rFonts w:ascii="Georgia" w:hAnsi="Georgia" w:cs="Arial"/>
          <w:color w:val="000000"/>
          <w:sz w:val="24"/>
          <w:szCs w:val="24"/>
          <w:lang w:val="es-419"/>
        </w:rPr>
        <w:t>, en algunos casos hay que acatar el artículo 83 del mismo estatuto procedimental o</w:t>
      </w:r>
      <w:r w:rsidR="00E00EC0" w:rsidRPr="00EA7023">
        <w:rPr>
          <w:rFonts w:ascii="Georgia" w:hAnsi="Georgia" w:cs="Arial"/>
          <w:color w:val="000000"/>
          <w:sz w:val="24"/>
          <w:szCs w:val="24"/>
          <w:lang w:val="es-419"/>
        </w:rPr>
        <w:t>,</w:t>
      </w:r>
      <w:r w:rsidRPr="00EA7023">
        <w:rPr>
          <w:rFonts w:ascii="Georgia" w:hAnsi="Georgia" w:cs="Arial"/>
          <w:color w:val="000000"/>
          <w:sz w:val="24"/>
          <w:szCs w:val="24"/>
          <w:lang w:val="es-419"/>
        </w:rPr>
        <w:t xml:space="preserve"> en veces</w:t>
      </w:r>
      <w:r w:rsidR="00E00EC0" w:rsidRPr="00EA7023">
        <w:rPr>
          <w:rFonts w:ascii="Georgia" w:hAnsi="Georgia" w:cs="Arial"/>
          <w:color w:val="000000"/>
          <w:sz w:val="24"/>
          <w:szCs w:val="24"/>
          <w:lang w:val="es-419"/>
        </w:rPr>
        <w:t>,</w:t>
      </w:r>
      <w:r w:rsidRPr="00EA7023">
        <w:rPr>
          <w:rFonts w:ascii="Georgia" w:hAnsi="Georgia" w:cs="Arial"/>
          <w:color w:val="000000"/>
          <w:sz w:val="24"/>
          <w:szCs w:val="24"/>
          <w:lang w:val="es-419"/>
        </w:rPr>
        <w:t xml:space="preserve"> acompañar los anexos del artículo 84, ib., </w:t>
      </w:r>
      <w:r w:rsidR="003415F8" w:rsidRPr="00EA7023">
        <w:rPr>
          <w:rFonts w:ascii="Georgia" w:hAnsi="Georgia" w:cs="Arial"/>
          <w:color w:val="000000"/>
          <w:sz w:val="24"/>
          <w:szCs w:val="24"/>
          <w:lang w:val="es-419"/>
        </w:rPr>
        <w:t>y otros</w:t>
      </w:r>
      <w:r w:rsidRPr="00EA7023">
        <w:rPr>
          <w:rFonts w:ascii="Georgia" w:hAnsi="Georgia" w:cs="Arial"/>
          <w:color w:val="000000"/>
          <w:sz w:val="24"/>
          <w:szCs w:val="24"/>
          <w:lang w:val="es-419"/>
        </w:rPr>
        <w:t xml:space="preserve"> prescritos en </w:t>
      </w:r>
      <w:r w:rsidR="00E00EC0" w:rsidRPr="00EA7023">
        <w:rPr>
          <w:rFonts w:ascii="Georgia" w:hAnsi="Georgia" w:cs="Arial"/>
          <w:color w:val="000000"/>
          <w:sz w:val="24"/>
          <w:szCs w:val="24"/>
          <w:lang w:val="es-419"/>
        </w:rPr>
        <w:t>una</w:t>
      </w:r>
      <w:r w:rsidRPr="00EA7023">
        <w:rPr>
          <w:rFonts w:ascii="Georgia" w:hAnsi="Georgia" w:cs="Arial"/>
          <w:color w:val="000000"/>
          <w:sz w:val="24"/>
          <w:szCs w:val="24"/>
          <w:lang w:val="es-419"/>
        </w:rPr>
        <w:t xml:space="preserve"> norma particular (</w:t>
      </w:r>
      <w:r w:rsidRPr="00EA7023">
        <w:rPr>
          <w:rFonts w:ascii="Georgia" w:hAnsi="Georgia" w:cs="Arial"/>
          <w:color w:val="000000"/>
          <w:sz w:val="22"/>
          <w:szCs w:val="24"/>
          <w:lang w:val="es-419"/>
        </w:rPr>
        <w:t>Por ejemplo en los artículos 375-5º, 384-1º, 422, ib.</w:t>
      </w:r>
      <w:r w:rsidRPr="00EA7023">
        <w:rPr>
          <w:rFonts w:ascii="Georgia" w:hAnsi="Georgia" w:cs="Arial"/>
          <w:color w:val="000000"/>
          <w:sz w:val="24"/>
          <w:szCs w:val="24"/>
          <w:lang w:val="es-419"/>
        </w:rPr>
        <w:t>). Esa exigencia, por lo general, pretende precaver nulidades procesales.</w:t>
      </w:r>
    </w:p>
    <w:p w:rsidR="00117DD5" w:rsidRPr="00EA7023" w:rsidRDefault="00117DD5" w:rsidP="0008479D">
      <w:pPr>
        <w:pStyle w:val="Sinespaciado"/>
        <w:spacing w:line="288" w:lineRule="auto"/>
        <w:jc w:val="both"/>
        <w:rPr>
          <w:rFonts w:ascii="Georgia" w:hAnsi="Georgia" w:cs="Arial"/>
          <w:lang w:val="es-419"/>
        </w:rPr>
      </w:pPr>
    </w:p>
    <w:p w:rsidR="00DC4A03" w:rsidRPr="00EA7023" w:rsidRDefault="00866E1F"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El </w:t>
      </w:r>
      <w:r w:rsidR="001465DC" w:rsidRPr="00EA7023">
        <w:rPr>
          <w:rFonts w:ascii="Georgia" w:hAnsi="Georgia" w:cs="Arial"/>
          <w:sz w:val="24"/>
          <w:lang w:val="es-419"/>
        </w:rPr>
        <w:t>artículo 357, ib., estatuye aquellos presupuestos a que debe allanarse, específicamente, el líbelo introductor para el recurso extraordinario de revisión, y la norma subsiguiente (</w:t>
      </w:r>
      <w:r w:rsidR="001465DC" w:rsidRPr="00EA7023">
        <w:rPr>
          <w:rFonts w:ascii="Georgia" w:hAnsi="Georgia" w:cs="Arial"/>
          <w:lang w:val="es-419"/>
        </w:rPr>
        <w:t>Inciso 2º, art</w:t>
      </w:r>
      <w:r w:rsidR="00E57101" w:rsidRPr="00EA7023">
        <w:rPr>
          <w:rFonts w:ascii="Georgia" w:hAnsi="Georgia" w:cs="Arial"/>
          <w:lang w:val="es-419"/>
        </w:rPr>
        <w:t>ículo 358, ib</w:t>
      </w:r>
      <w:r w:rsidR="001465DC" w:rsidRPr="00EA7023">
        <w:rPr>
          <w:rFonts w:ascii="Georgia" w:hAnsi="Georgia" w:cs="Arial"/>
          <w:lang w:val="es-419"/>
        </w:rPr>
        <w:t>.</w:t>
      </w:r>
      <w:r w:rsidR="001465DC" w:rsidRPr="00EA7023">
        <w:rPr>
          <w:rFonts w:ascii="Georgia" w:hAnsi="Georgia" w:cs="Arial"/>
          <w:sz w:val="24"/>
          <w:lang w:val="es-419"/>
        </w:rPr>
        <w:t>), autoriza que en caso de incumplimiento, podrá concederse cinco (</w:t>
      </w:r>
      <w:r w:rsidR="001465DC" w:rsidRPr="00EA7023">
        <w:rPr>
          <w:rFonts w:ascii="Georgia" w:hAnsi="Georgia" w:cs="Arial"/>
          <w:lang w:val="es-419"/>
        </w:rPr>
        <w:t>5</w:t>
      </w:r>
      <w:r w:rsidR="001465DC" w:rsidRPr="00EA7023">
        <w:rPr>
          <w:rFonts w:ascii="Georgia" w:hAnsi="Georgia" w:cs="Arial"/>
          <w:sz w:val="24"/>
          <w:lang w:val="es-419"/>
        </w:rPr>
        <w:t xml:space="preserve">) días, para su saneamiento, so pena de rechazo. </w:t>
      </w:r>
    </w:p>
    <w:p w:rsidR="00DC4A03" w:rsidRPr="00EA7023" w:rsidRDefault="00DC4A03" w:rsidP="0008479D">
      <w:pPr>
        <w:pStyle w:val="Sinespaciado"/>
        <w:spacing w:line="288" w:lineRule="auto"/>
        <w:jc w:val="both"/>
        <w:rPr>
          <w:rFonts w:ascii="Georgia" w:hAnsi="Georgia" w:cs="Arial"/>
          <w:sz w:val="24"/>
          <w:lang w:val="es-419"/>
        </w:rPr>
      </w:pPr>
    </w:p>
    <w:p w:rsidR="00E53BF3" w:rsidRPr="00EA7023" w:rsidRDefault="00F41CE3"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Revisada la decisión inadmisoria, </w:t>
      </w:r>
      <w:r w:rsidR="00D62770" w:rsidRPr="00EA7023">
        <w:rPr>
          <w:rFonts w:ascii="Georgia" w:hAnsi="Georgia" w:cs="Arial"/>
          <w:sz w:val="24"/>
          <w:lang w:val="es-419"/>
        </w:rPr>
        <w:t xml:space="preserve">se estima que las causales </w:t>
      </w:r>
      <w:r w:rsidR="00E53BF3" w:rsidRPr="00EA7023">
        <w:rPr>
          <w:rFonts w:ascii="Georgia" w:hAnsi="Georgia" w:cs="Arial"/>
          <w:sz w:val="24"/>
          <w:lang w:val="es-419"/>
        </w:rPr>
        <w:t>aducidas</w:t>
      </w:r>
      <w:r w:rsidR="00D62770" w:rsidRPr="00EA7023">
        <w:rPr>
          <w:rFonts w:ascii="Georgia" w:hAnsi="Georgia" w:cs="Arial"/>
          <w:sz w:val="24"/>
          <w:lang w:val="es-419"/>
        </w:rPr>
        <w:t>, responden al examen de los requisitos formales de la demanda para el recurso de revisión, sin que</w:t>
      </w:r>
      <w:r w:rsidR="00866E1F" w:rsidRPr="00EA7023">
        <w:rPr>
          <w:rFonts w:ascii="Georgia" w:hAnsi="Georgia" w:cs="Arial"/>
          <w:sz w:val="24"/>
          <w:lang w:val="es-419"/>
        </w:rPr>
        <w:t>,</w:t>
      </w:r>
      <w:r w:rsidR="00D62770" w:rsidRPr="00EA7023">
        <w:rPr>
          <w:rFonts w:ascii="Georgia" w:hAnsi="Georgia" w:cs="Arial"/>
          <w:sz w:val="24"/>
          <w:lang w:val="es-419"/>
        </w:rPr>
        <w:t xml:space="preserve"> la parte recurrente</w:t>
      </w:r>
      <w:r w:rsidR="00866E1F" w:rsidRPr="00EA7023">
        <w:rPr>
          <w:rFonts w:ascii="Georgia" w:hAnsi="Georgia" w:cs="Arial"/>
          <w:sz w:val="24"/>
          <w:lang w:val="es-419"/>
        </w:rPr>
        <w:t>,</w:t>
      </w:r>
      <w:r w:rsidR="00D62770" w:rsidRPr="00EA7023">
        <w:rPr>
          <w:rFonts w:ascii="Georgia" w:hAnsi="Georgia" w:cs="Arial"/>
          <w:sz w:val="24"/>
          <w:lang w:val="es-419"/>
        </w:rPr>
        <w:t xml:space="preserve"> en esa oportunidad </w:t>
      </w:r>
      <w:r w:rsidR="00E53BF3" w:rsidRPr="00EA7023">
        <w:rPr>
          <w:rFonts w:ascii="Georgia" w:hAnsi="Georgia" w:cs="Arial"/>
          <w:sz w:val="24"/>
          <w:lang w:val="es-419"/>
        </w:rPr>
        <w:t>las c</w:t>
      </w:r>
      <w:r w:rsidR="00D62770" w:rsidRPr="00EA7023">
        <w:rPr>
          <w:rFonts w:ascii="Georgia" w:hAnsi="Georgia" w:cs="Arial"/>
          <w:sz w:val="24"/>
          <w:lang w:val="es-419"/>
        </w:rPr>
        <w:t xml:space="preserve">ontrovirtiera o </w:t>
      </w:r>
      <w:r w:rsidR="001F690E" w:rsidRPr="00EA7023">
        <w:rPr>
          <w:rFonts w:ascii="Georgia" w:hAnsi="Georgia" w:cs="Arial"/>
          <w:sz w:val="24"/>
          <w:lang w:val="es-419"/>
        </w:rPr>
        <w:t>cuestionara qu</w:t>
      </w:r>
      <w:r w:rsidR="00D62770" w:rsidRPr="00EA7023">
        <w:rPr>
          <w:rFonts w:ascii="Georgia" w:hAnsi="Georgia" w:cs="Arial"/>
          <w:sz w:val="24"/>
          <w:lang w:val="es-419"/>
        </w:rPr>
        <w:t xml:space="preserve">e </w:t>
      </w:r>
      <w:r w:rsidR="00E53BF3" w:rsidRPr="00EA7023">
        <w:rPr>
          <w:rFonts w:ascii="Georgia" w:hAnsi="Georgia" w:cs="Arial"/>
          <w:sz w:val="24"/>
          <w:lang w:val="es-419"/>
        </w:rPr>
        <w:t>el</w:t>
      </w:r>
      <w:r w:rsidR="00D62770" w:rsidRPr="00EA7023">
        <w:rPr>
          <w:rFonts w:ascii="Georgia" w:hAnsi="Georgia" w:cs="Arial"/>
          <w:sz w:val="24"/>
          <w:lang w:val="es-419"/>
        </w:rPr>
        <w:t xml:space="preserve"> análisis </w:t>
      </w:r>
      <w:r w:rsidR="00E53BF3" w:rsidRPr="00EA7023">
        <w:rPr>
          <w:rFonts w:ascii="Georgia" w:hAnsi="Georgia" w:cs="Arial"/>
          <w:sz w:val="24"/>
          <w:lang w:val="es-419"/>
        </w:rPr>
        <w:t xml:space="preserve">era </w:t>
      </w:r>
      <w:r w:rsidR="00D62770" w:rsidRPr="00EA7023">
        <w:rPr>
          <w:rFonts w:ascii="Georgia" w:hAnsi="Georgia" w:cs="Arial"/>
          <w:sz w:val="24"/>
          <w:lang w:val="es-419"/>
        </w:rPr>
        <w:t>desacertado</w:t>
      </w:r>
      <w:r w:rsidR="00E53BF3" w:rsidRPr="00EA7023">
        <w:rPr>
          <w:rFonts w:ascii="Georgia" w:hAnsi="Georgia" w:cs="Arial"/>
          <w:sz w:val="24"/>
          <w:lang w:val="es-419"/>
        </w:rPr>
        <w:t xml:space="preserve">, luego </w:t>
      </w:r>
      <w:r w:rsidR="00D62770" w:rsidRPr="00EA7023">
        <w:rPr>
          <w:rFonts w:ascii="Georgia" w:hAnsi="Georgia" w:cs="Arial"/>
          <w:sz w:val="24"/>
          <w:lang w:val="es-419"/>
        </w:rPr>
        <w:t>frente al rechazo si lo hizo</w:t>
      </w:r>
      <w:r w:rsidR="00E53BF3" w:rsidRPr="00EA7023">
        <w:rPr>
          <w:rFonts w:ascii="Georgia" w:hAnsi="Georgia" w:cs="Arial"/>
          <w:sz w:val="24"/>
          <w:lang w:val="es-419"/>
        </w:rPr>
        <w:t xml:space="preserve">. </w:t>
      </w:r>
    </w:p>
    <w:p w:rsidR="00E53BF3" w:rsidRPr="00EA7023" w:rsidRDefault="00E53BF3" w:rsidP="0008479D">
      <w:pPr>
        <w:pStyle w:val="Sinespaciado"/>
        <w:spacing w:line="288" w:lineRule="auto"/>
        <w:jc w:val="both"/>
        <w:rPr>
          <w:rFonts w:ascii="Georgia" w:hAnsi="Georgia" w:cs="Arial"/>
          <w:sz w:val="24"/>
          <w:lang w:val="es-419"/>
        </w:rPr>
      </w:pPr>
    </w:p>
    <w:p w:rsidR="00D62770" w:rsidRPr="00EA7023" w:rsidRDefault="00E53BF3"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Cada </w:t>
      </w:r>
      <w:r w:rsidR="00D62770" w:rsidRPr="00EA7023">
        <w:rPr>
          <w:rFonts w:ascii="Georgia" w:hAnsi="Georgia" w:cs="Arial"/>
          <w:sz w:val="24"/>
          <w:lang w:val="es-419"/>
        </w:rPr>
        <w:t>trámite procesal est</w:t>
      </w:r>
      <w:r w:rsidRPr="00EA7023">
        <w:rPr>
          <w:rFonts w:ascii="Georgia" w:hAnsi="Georgia" w:cs="Arial"/>
          <w:sz w:val="24"/>
          <w:lang w:val="es-419"/>
        </w:rPr>
        <w:t>á</w:t>
      </w:r>
      <w:r w:rsidR="00D62770" w:rsidRPr="00EA7023">
        <w:rPr>
          <w:rFonts w:ascii="Georgia" w:hAnsi="Georgia" w:cs="Arial"/>
          <w:sz w:val="24"/>
          <w:lang w:val="es-419"/>
        </w:rPr>
        <w:t xml:space="preserve"> previamente definido en la ley y l</w:t>
      </w:r>
      <w:r w:rsidRPr="00EA7023">
        <w:rPr>
          <w:rFonts w:ascii="Georgia" w:hAnsi="Georgia" w:cs="Arial"/>
          <w:sz w:val="24"/>
          <w:lang w:val="es-419"/>
        </w:rPr>
        <w:t xml:space="preserve">as exigencias para la </w:t>
      </w:r>
      <w:r w:rsidR="00D62770" w:rsidRPr="00EA7023">
        <w:rPr>
          <w:rFonts w:ascii="Georgia" w:hAnsi="Georgia" w:cs="Arial"/>
          <w:sz w:val="24"/>
          <w:lang w:val="es-419"/>
        </w:rPr>
        <w:t>admisión, hace</w:t>
      </w:r>
      <w:r w:rsidRPr="00EA7023">
        <w:rPr>
          <w:rFonts w:ascii="Georgia" w:hAnsi="Georgia" w:cs="Arial"/>
          <w:sz w:val="24"/>
          <w:lang w:val="es-419"/>
        </w:rPr>
        <w:t>n</w:t>
      </w:r>
      <w:r w:rsidR="00D62770" w:rsidRPr="00EA7023">
        <w:rPr>
          <w:rFonts w:ascii="Georgia" w:hAnsi="Georgia" w:cs="Arial"/>
          <w:sz w:val="24"/>
          <w:lang w:val="es-419"/>
        </w:rPr>
        <w:t xml:space="preserve"> parte de los requisitos previstos para el ejercicio de determinada acción, </w:t>
      </w:r>
      <w:r w:rsidRPr="00EA7023">
        <w:rPr>
          <w:rFonts w:ascii="Georgia" w:hAnsi="Georgia" w:cs="Arial"/>
          <w:sz w:val="24"/>
          <w:lang w:val="es-419"/>
        </w:rPr>
        <w:t xml:space="preserve">por eso </w:t>
      </w:r>
      <w:r w:rsidR="00D62770" w:rsidRPr="00EA7023">
        <w:rPr>
          <w:rFonts w:ascii="Georgia" w:hAnsi="Georgia" w:cs="Arial"/>
          <w:sz w:val="24"/>
          <w:lang w:val="es-419"/>
        </w:rPr>
        <w:t xml:space="preserve">no puede eximirse su cumplimiento </w:t>
      </w:r>
      <w:r w:rsidR="00FD758D" w:rsidRPr="00EA7023">
        <w:rPr>
          <w:rFonts w:ascii="Georgia" w:hAnsi="Georgia" w:cs="Arial"/>
          <w:sz w:val="24"/>
          <w:lang w:val="es-419"/>
        </w:rPr>
        <w:t xml:space="preserve">o </w:t>
      </w:r>
      <w:r w:rsidR="00D62770" w:rsidRPr="00EA7023">
        <w:rPr>
          <w:rFonts w:ascii="Georgia" w:hAnsi="Georgia" w:cs="Arial"/>
          <w:sz w:val="24"/>
          <w:lang w:val="es-419"/>
        </w:rPr>
        <w:t xml:space="preserve">esperar que el </w:t>
      </w:r>
      <w:r w:rsidR="00BB3C5B" w:rsidRPr="00EA7023">
        <w:rPr>
          <w:rFonts w:ascii="Georgia" w:hAnsi="Georgia" w:cs="Arial"/>
          <w:sz w:val="24"/>
          <w:lang w:val="es-419"/>
        </w:rPr>
        <w:t>estudio</w:t>
      </w:r>
      <w:r w:rsidR="00D62770" w:rsidRPr="00EA7023">
        <w:rPr>
          <w:rFonts w:ascii="Georgia" w:hAnsi="Georgia" w:cs="Arial"/>
          <w:sz w:val="24"/>
          <w:lang w:val="es-419"/>
        </w:rPr>
        <w:t xml:space="preserve"> </w:t>
      </w:r>
      <w:r w:rsidR="00866E1F" w:rsidRPr="00EA7023">
        <w:rPr>
          <w:rFonts w:ascii="Georgia" w:hAnsi="Georgia" w:cs="Arial"/>
          <w:sz w:val="24"/>
          <w:lang w:val="es-419"/>
        </w:rPr>
        <w:t xml:space="preserve">se </w:t>
      </w:r>
      <w:r w:rsidRPr="00EA7023">
        <w:rPr>
          <w:rFonts w:ascii="Georgia" w:hAnsi="Georgia" w:cs="Arial"/>
          <w:sz w:val="24"/>
          <w:lang w:val="es-419"/>
        </w:rPr>
        <w:t>haga en forma retrospectiva</w:t>
      </w:r>
      <w:r w:rsidR="00866E1F" w:rsidRPr="00EA7023">
        <w:rPr>
          <w:rFonts w:ascii="Georgia" w:hAnsi="Georgia" w:cs="Arial"/>
          <w:sz w:val="24"/>
          <w:lang w:val="es-419"/>
        </w:rPr>
        <w:t xml:space="preserve">. </w:t>
      </w:r>
    </w:p>
    <w:p w:rsidR="00D62770" w:rsidRPr="00EA7023" w:rsidRDefault="00D62770" w:rsidP="0008479D">
      <w:pPr>
        <w:pStyle w:val="Sinespaciado"/>
        <w:spacing w:line="288" w:lineRule="auto"/>
        <w:jc w:val="both"/>
        <w:rPr>
          <w:rFonts w:ascii="Georgia" w:hAnsi="Georgia" w:cs="Arial"/>
          <w:sz w:val="24"/>
          <w:lang w:val="es-419"/>
        </w:rPr>
      </w:pPr>
    </w:p>
    <w:p w:rsidR="00866E1F" w:rsidRPr="00EA7023" w:rsidRDefault="00866E1F" w:rsidP="0008479D">
      <w:pPr>
        <w:pStyle w:val="Cuerpodeltexto0"/>
        <w:shd w:val="clear" w:color="auto" w:fill="auto"/>
        <w:spacing w:after="0" w:line="288" w:lineRule="auto"/>
        <w:rPr>
          <w:rFonts w:ascii="Georgia" w:eastAsia="Times New Roman" w:hAnsi="Georgia" w:cs="Arial"/>
          <w:sz w:val="24"/>
          <w:szCs w:val="22"/>
          <w:lang w:val="es-419"/>
        </w:rPr>
      </w:pPr>
      <w:r w:rsidRPr="00EA7023">
        <w:rPr>
          <w:rFonts w:ascii="Georgia" w:eastAsia="Times New Roman" w:hAnsi="Georgia" w:cs="Arial"/>
          <w:sz w:val="24"/>
          <w:szCs w:val="22"/>
          <w:lang w:val="es-419"/>
        </w:rPr>
        <w:t>Por otra parte, es inadmisible argüir que es necesario privilegiar lo sustancial sobre las formalidades, ya que como lo ha señalado la jurisprudencia del órgano de cierre de la especialidad (CSJ)</w:t>
      </w:r>
      <w:r w:rsidRPr="00EA7023">
        <w:rPr>
          <w:rStyle w:val="Refdenotaalpie"/>
          <w:rFonts w:ascii="Georgia" w:eastAsia="Times New Roman" w:hAnsi="Georgia"/>
          <w:sz w:val="24"/>
          <w:szCs w:val="22"/>
          <w:lang w:val="es-419"/>
        </w:rPr>
        <w:footnoteReference w:id="10"/>
      </w:r>
      <w:r w:rsidRPr="00EA7023">
        <w:rPr>
          <w:rFonts w:ascii="Georgia" w:eastAsia="Times New Roman" w:hAnsi="Georgia" w:cs="Arial"/>
          <w:sz w:val="24"/>
          <w:szCs w:val="22"/>
          <w:lang w:val="es-419"/>
        </w:rPr>
        <w:t xml:space="preserve">: </w:t>
      </w:r>
      <w:r w:rsidRPr="00EA7023">
        <w:rPr>
          <w:rFonts w:ascii="Georgia" w:eastAsia="Times New Roman" w:hAnsi="Georgia" w:cs="Arial"/>
          <w:i/>
          <w:sz w:val="22"/>
          <w:szCs w:val="22"/>
          <w:lang w:val="es-419"/>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Pr="00EA7023">
        <w:rPr>
          <w:rFonts w:ascii="Georgia" w:eastAsia="Times New Roman" w:hAnsi="Georgia" w:cs="Arial"/>
          <w:sz w:val="24"/>
          <w:szCs w:val="22"/>
          <w:lang w:val="es-419"/>
        </w:rPr>
        <w:t xml:space="preserve">.   </w:t>
      </w:r>
    </w:p>
    <w:p w:rsidR="00866E1F" w:rsidRPr="00EA7023" w:rsidRDefault="00866E1F" w:rsidP="0008479D">
      <w:pPr>
        <w:pStyle w:val="Sinespaciado"/>
        <w:spacing w:line="288" w:lineRule="auto"/>
        <w:jc w:val="both"/>
        <w:rPr>
          <w:rFonts w:ascii="Georgia" w:hAnsi="Georgia" w:cs="Arial"/>
          <w:sz w:val="24"/>
          <w:lang w:val="es-419"/>
        </w:rPr>
      </w:pPr>
    </w:p>
    <w:p w:rsidR="00B25A6B" w:rsidRPr="00EA7023" w:rsidRDefault="00B25A6B" w:rsidP="0008479D">
      <w:pPr>
        <w:spacing w:line="288" w:lineRule="auto"/>
        <w:jc w:val="both"/>
        <w:rPr>
          <w:rFonts w:ascii="Georgia" w:hAnsi="Georgia" w:cs="Arial"/>
          <w:szCs w:val="22"/>
          <w:lang w:val="es-419"/>
        </w:rPr>
      </w:pPr>
      <w:r w:rsidRPr="00EA7023">
        <w:rPr>
          <w:rFonts w:ascii="Georgia" w:hAnsi="Georgia" w:cs="Arial"/>
          <w:szCs w:val="22"/>
          <w:lang w:val="es-419"/>
        </w:rPr>
        <w:t>En suma, la desatención del extremo recurrente en cuanto a la carga que le correspondía</w:t>
      </w:r>
      <w:r w:rsidR="00E53BF3" w:rsidRPr="00EA7023">
        <w:rPr>
          <w:rFonts w:ascii="Georgia" w:hAnsi="Georgia" w:cs="Arial"/>
          <w:szCs w:val="22"/>
          <w:lang w:val="es-419"/>
        </w:rPr>
        <w:t xml:space="preserve">, </w:t>
      </w:r>
      <w:r w:rsidRPr="00EA7023">
        <w:rPr>
          <w:rFonts w:ascii="Georgia" w:hAnsi="Georgia" w:cs="Arial"/>
          <w:szCs w:val="22"/>
          <w:lang w:val="es-419"/>
        </w:rPr>
        <w:t>atender lo ordenado en el proveído inadmi</w:t>
      </w:r>
      <w:r w:rsidR="00E53BF3" w:rsidRPr="00EA7023">
        <w:rPr>
          <w:rFonts w:ascii="Georgia" w:hAnsi="Georgia" w:cs="Arial"/>
          <w:szCs w:val="22"/>
          <w:lang w:val="es-419"/>
        </w:rPr>
        <w:t>sorio</w:t>
      </w:r>
      <w:r w:rsidRPr="00EA7023">
        <w:rPr>
          <w:rFonts w:ascii="Georgia" w:hAnsi="Georgia" w:cs="Arial"/>
          <w:szCs w:val="22"/>
          <w:lang w:val="es-419"/>
        </w:rPr>
        <w:t xml:space="preserve">, justifican su rechazo, </w:t>
      </w:r>
      <w:r w:rsidR="00E53BF3" w:rsidRPr="00EA7023">
        <w:rPr>
          <w:rFonts w:ascii="Georgia" w:hAnsi="Georgia" w:cs="Arial"/>
          <w:szCs w:val="22"/>
          <w:lang w:val="es-419"/>
        </w:rPr>
        <w:t xml:space="preserve">es el </w:t>
      </w:r>
      <w:r w:rsidRPr="00EA7023">
        <w:rPr>
          <w:rFonts w:ascii="Georgia" w:hAnsi="Georgia" w:cs="Arial"/>
          <w:szCs w:val="22"/>
          <w:lang w:val="es-419"/>
        </w:rPr>
        <w:t xml:space="preserve">efecto jurídico </w:t>
      </w:r>
      <w:r w:rsidR="000273B8" w:rsidRPr="00EA7023">
        <w:rPr>
          <w:rFonts w:ascii="Georgia" w:hAnsi="Georgia" w:cs="Arial"/>
          <w:szCs w:val="22"/>
          <w:lang w:val="es-419"/>
        </w:rPr>
        <w:t>prescrito</w:t>
      </w:r>
      <w:r w:rsidR="00E53BF3" w:rsidRPr="00EA7023">
        <w:rPr>
          <w:rFonts w:ascii="Georgia" w:hAnsi="Georgia" w:cs="Arial"/>
          <w:szCs w:val="22"/>
          <w:lang w:val="es-419"/>
        </w:rPr>
        <w:t xml:space="preserve"> por </w:t>
      </w:r>
      <w:r w:rsidRPr="00EA7023">
        <w:rPr>
          <w:rFonts w:ascii="Georgia" w:hAnsi="Georgia" w:cs="Arial"/>
          <w:szCs w:val="22"/>
          <w:lang w:val="es-419"/>
        </w:rPr>
        <w:t>el artículo 358-2º, CGP.</w:t>
      </w:r>
    </w:p>
    <w:p w:rsidR="00B25A6B" w:rsidRPr="00EA7023" w:rsidRDefault="00B25A6B" w:rsidP="0008479D">
      <w:pPr>
        <w:pStyle w:val="Sinespaciado"/>
        <w:spacing w:line="288" w:lineRule="auto"/>
        <w:jc w:val="both"/>
        <w:rPr>
          <w:rFonts w:ascii="Georgia" w:hAnsi="Georgia" w:cs="Arial"/>
          <w:sz w:val="24"/>
          <w:lang w:val="es-419"/>
        </w:rPr>
      </w:pPr>
    </w:p>
    <w:p w:rsidR="002209C1" w:rsidRPr="00EA7023" w:rsidRDefault="00866E1F" w:rsidP="0008479D">
      <w:pPr>
        <w:pStyle w:val="Sinespaciado"/>
        <w:spacing w:line="288" w:lineRule="auto"/>
        <w:jc w:val="both"/>
        <w:rPr>
          <w:rFonts w:ascii="Georgia" w:hAnsi="Georgia" w:cs="Arial"/>
          <w:sz w:val="24"/>
          <w:lang w:val="es-419"/>
        </w:rPr>
      </w:pPr>
      <w:r w:rsidRPr="00EA7023">
        <w:rPr>
          <w:rFonts w:ascii="Georgia" w:hAnsi="Georgia" w:cs="Arial"/>
          <w:sz w:val="24"/>
          <w:lang w:val="es-419"/>
        </w:rPr>
        <w:t xml:space="preserve">Ahora, </w:t>
      </w:r>
      <w:r w:rsidR="00E53BF3" w:rsidRPr="00EA7023">
        <w:rPr>
          <w:rFonts w:ascii="Georgia" w:hAnsi="Georgia" w:cs="Arial"/>
          <w:sz w:val="24"/>
          <w:lang w:val="es-419"/>
        </w:rPr>
        <w:t xml:space="preserve">en refuerzo de lo explicitado </w:t>
      </w:r>
      <w:r w:rsidRPr="00EA7023">
        <w:rPr>
          <w:rFonts w:ascii="Georgia" w:hAnsi="Georgia" w:cs="Arial"/>
          <w:sz w:val="24"/>
          <w:lang w:val="es-419"/>
        </w:rPr>
        <w:t>e</w:t>
      </w:r>
      <w:r w:rsidR="002209C1" w:rsidRPr="00EA7023">
        <w:rPr>
          <w:rFonts w:ascii="Georgia" w:hAnsi="Georgia" w:cs="Arial"/>
          <w:sz w:val="24"/>
          <w:lang w:val="es-419"/>
        </w:rPr>
        <w:t>n lo atinente a</w:t>
      </w:r>
      <w:r w:rsidR="00DC4A03" w:rsidRPr="00EA7023">
        <w:rPr>
          <w:rFonts w:ascii="Georgia" w:hAnsi="Georgia" w:cs="Arial"/>
          <w:sz w:val="24"/>
          <w:lang w:val="es-419"/>
        </w:rPr>
        <w:t xml:space="preserve"> la exigencia de</w:t>
      </w:r>
      <w:r w:rsidR="002209C1" w:rsidRPr="00EA7023">
        <w:rPr>
          <w:rFonts w:ascii="Georgia" w:hAnsi="Georgia" w:cs="Arial"/>
          <w:sz w:val="24"/>
          <w:lang w:val="es-419"/>
        </w:rPr>
        <w:t>l numeral 4º, del artículo 357, motivo central de la inadmisión y de la impugnación formulada, el órgano de cierre de la especialidad (CSJ), recientemente</w:t>
      </w:r>
      <w:r w:rsidR="00DC4A03" w:rsidRPr="00EA7023">
        <w:rPr>
          <w:rFonts w:ascii="Georgia" w:hAnsi="Georgia" w:cs="Arial"/>
          <w:sz w:val="24"/>
          <w:lang w:val="es-419"/>
        </w:rPr>
        <w:t xml:space="preserve"> (2018)</w:t>
      </w:r>
      <w:r w:rsidR="00DC4A03" w:rsidRPr="00EA7023">
        <w:rPr>
          <w:rStyle w:val="Refdenotaalpie"/>
          <w:rFonts w:ascii="Georgia" w:hAnsi="Georgia"/>
          <w:sz w:val="24"/>
          <w:lang w:val="es-419"/>
        </w:rPr>
        <w:footnoteReference w:id="11"/>
      </w:r>
      <w:r w:rsidR="00DC4A03" w:rsidRPr="00EA7023">
        <w:rPr>
          <w:rFonts w:ascii="Georgia" w:hAnsi="Georgia" w:cs="Arial"/>
          <w:sz w:val="24"/>
          <w:lang w:val="es-419"/>
        </w:rPr>
        <w:t>,</w:t>
      </w:r>
      <w:r w:rsidR="002209C1" w:rsidRPr="00EA7023">
        <w:rPr>
          <w:rFonts w:ascii="Georgia" w:hAnsi="Georgia" w:cs="Arial"/>
          <w:sz w:val="24"/>
          <w:lang w:val="es-419"/>
        </w:rPr>
        <w:t xml:space="preserve"> </w:t>
      </w:r>
      <w:r w:rsidR="00DC4A03" w:rsidRPr="00EA7023">
        <w:rPr>
          <w:rFonts w:ascii="Georgia" w:hAnsi="Georgia" w:cs="Arial"/>
          <w:sz w:val="24"/>
          <w:lang w:val="es-419"/>
        </w:rPr>
        <w:t xml:space="preserve">recordó: </w:t>
      </w:r>
    </w:p>
    <w:p w:rsidR="00DC4A03" w:rsidRPr="00EA7023" w:rsidRDefault="00DC4A03" w:rsidP="0008479D">
      <w:pPr>
        <w:pStyle w:val="Sinespaciado"/>
        <w:spacing w:line="288" w:lineRule="auto"/>
        <w:jc w:val="both"/>
        <w:rPr>
          <w:rFonts w:ascii="Georgia" w:hAnsi="Georgia" w:cs="Arial"/>
          <w:sz w:val="24"/>
          <w:lang w:val="es-419"/>
        </w:rPr>
      </w:pPr>
    </w:p>
    <w:p w:rsidR="00DC4A03" w:rsidRPr="00EA7023" w:rsidRDefault="00DC4A03" w:rsidP="0008479D">
      <w:pPr>
        <w:ind w:left="426" w:right="420"/>
        <w:jc w:val="both"/>
        <w:rPr>
          <w:rFonts w:ascii="Georgia" w:hAnsi="Georgia"/>
          <w:sz w:val="22"/>
          <w:lang w:val="es-419"/>
        </w:rPr>
      </w:pPr>
      <w:r w:rsidRPr="00EA7023">
        <w:rPr>
          <w:rFonts w:ascii="Georgia" w:hAnsi="Georgia"/>
          <w:sz w:val="22"/>
          <w:lang w:val="es-419"/>
        </w:rPr>
        <w:t>...</w:t>
      </w:r>
      <w:r w:rsidRPr="00EA7023">
        <w:rPr>
          <w:rFonts w:ascii="Georgia" w:hAnsi="Georgia"/>
          <w:i/>
          <w:spacing w:val="-3"/>
          <w:sz w:val="22"/>
          <w:lang w:val="es-419"/>
        </w:rPr>
        <w:t>desde un comienzo debe el recurrente justificar por qué considera fundada la causal de revisión que alega. Desde luego que, en ese contexto, el recurrente tiene ‘</w:t>
      </w:r>
      <w:r w:rsidRPr="00EA7023">
        <w:rPr>
          <w:rFonts w:ascii="Georgia" w:hAnsi="Georgia"/>
          <w:b/>
          <w:i/>
          <w:spacing w:val="-3"/>
          <w:sz w:val="22"/>
          <w:lang w:val="es-419"/>
        </w:rPr>
        <w:t xml:space="preserve">una carga </w:t>
      </w:r>
      <w:r w:rsidRPr="00EA7023">
        <w:rPr>
          <w:rFonts w:ascii="Georgia" w:hAnsi="Georgia"/>
          <w:b/>
          <w:i/>
          <w:spacing w:val="-3"/>
          <w:sz w:val="22"/>
          <w:lang w:val="es-419"/>
        </w:rPr>
        <w:lastRenderedPageBreak/>
        <w:t>argumentativa cualificada, consistente en formular una acusación precisa con base en enunciados fácticos que guarden completa simetría con la causal de revisión que se invoca, al punto que pueda entenderse que la demostración de esos supuestos, en principio, haría venturoso el ataque.</w:t>
      </w:r>
      <w:r w:rsidRPr="00EA7023">
        <w:rPr>
          <w:rFonts w:ascii="Georgia" w:hAnsi="Georgia"/>
          <w:i/>
          <w:spacing w:val="-3"/>
          <w:sz w:val="22"/>
          <w:lang w:val="es-419"/>
        </w:rPr>
        <w:t xml:space="preserve"> Dicho de otro modo, corresponde al recurrente explicar por qué considera que la sentencia debe revisarse y, para ello, ha de hacer una presentación que permita establecer, desde un comienzo, que existen </w:t>
      </w:r>
      <w:r w:rsidRPr="00EA7023">
        <w:rPr>
          <w:rFonts w:ascii="Georgia" w:hAnsi="Georgia"/>
          <w:b/>
          <w:i/>
          <w:spacing w:val="-3"/>
          <w:sz w:val="22"/>
          <w:lang w:val="es-419"/>
        </w:rPr>
        <w:t>motivos idóneos</w:t>
      </w:r>
      <w:r w:rsidRPr="00EA7023">
        <w:rPr>
          <w:rFonts w:ascii="Georgia" w:hAnsi="Georgia"/>
          <w:i/>
          <w:spacing w:val="-3"/>
          <w:sz w:val="22"/>
          <w:lang w:val="es-419"/>
        </w:rPr>
        <w:t xml:space="preserve"> que justifican el inicio de este trámite, destinado, como se sabe, a impedir la solidificación definitiva de la cosa juzgada. De ahí que si el recurrente no expresa la causal de revisión que pretende hacer valer, o no pone de presente los hechos que la configurarían, la demanda no puede servir de percutor para la actividad de la Corte; igual sucede, cuando se advierte que </w:t>
      </w:r>
      <w:r w:rsidRPr="00EA7023">
        <w:rPr>
          <w:rFonts w:ascii="Georgia" w:hAnsi="Georgia"/>
          <w:b/>
          <w:i/>
          <w:spacing w:val="-3"/>
          <w:sz w:val="22"/>
          <w:lang w:val="es-419"/>
        </w:rPr>
        <w:t>los hechos que expone el impugnador no tienen idoneidad para configurar la causal de revisión que se alega, caso en el cual la demanda tampoco tiene vocación para ser admitida, no sólo por el incumplimiento de un perentorio requisito legal, sino porque si en gracia de discusión se tolerara esa deficiencia, tendría que adelantarse una actuación judicial que, a buen seguro, ningún resultado arrojaría, máxime si se tiene en cuenta que por la dispositividad del recurso y por la importancia que para el ordenamiento tiene el principio de la seguridad jurídica, el juez de la revisión no puede hacer pronunciamientos oficiosos, ni salirse del preciso marco de referencia planteado por el censor</w:t>
      </w:r>
      <w:r w:rsidRPr="00EA7023">
        <w:rPr>
          <w:rFonts w:ascii="Georgia" w:hAnsi="Georgia"/>
          <w:b/>
          <w:spacing w:val="-3"/>
          <w:sz w:val="22"/>
          <w:lang w:val="es-419"/>
        </w:rPr>
        <w:t xml:space="preserve"> </w:t>
      </w:r>
      <w:r w:rsidRPr="00EA7023">
        <w:rPr>
          <w:rFonts w:ascii="Georgia" w:hAnsi="Georgia"/>
          <w:spacing w:val="-3"/>
          <w:sz w:val="22"/>
          <w:lang w:val="es-419"/>
        </w:rPr>
        <w:t>(se resaltó. CSJ AC, 2 dic. 2009, rad. 2009-01923; reiterado en AC, 27 ago. 2012, rad. 2012-01285-00).</w:t>
      </w:r>
      <w:r w:rsidR="002807B0" w:rsidRPr="00EA7023">
        <w:rPr>
          <w:rFonts w:ascii="Georgia" w:hAnsi="Georgia"/>
          <w:spacing w:val="-3"/>
          <w:sz w:val="22"/>
          <w:lang w:val="es-419"/>
        </w:rPr>
        <w:t xml:space="preserve"> Destacado propio del texto. </w:t>
      </w:r>
    </w:p>
    <w:p w:rsidR="00DC4A03" w:rsidRPr="00EA7023" w:rsidRDefault="00DC4A03" w:rsidP="0008479D">
      <w:pPr>
        <w:pStyle w:val="Sinespaciado"/>
        <w:spacing w:line="288" w:lineRule="auto"/>
        <w:jc w:val="both"/>
        <w:rPr>
          <w:rFonts w:ascii="Georgia" w:hAnsi="Georgia" w:cs="Arial"/>
          <w:sz w:val="24"/>
          <w:lang w:val="es-419"/>
        </w:rPr>
      </w:pPr>
    </w:p>
    <w:p w:rsidR="00250C6E" w:rsidRPr="00EA7023" w:rsidRDefault="002807B0" w:rsidP="0008479D">
      <w:pPr>
        <w:pStyle w:val="Sinespaciado"/>
        <w:spacing w:line="288" w:lineRule="auto"/>
        <w:jc w:val="both"/>
        <w:rPr>
          <w:rFonts w:ascii="Georgia" w:hAnsi="Georgia" w:cs="Arial"/>
          <w:sz w:val="24"/>
          <w:szCs w:val="24"/>
          <w:lang w:val="es-419"/>
        </w:rPr>
      </w:pPr>
      <w:r w:rsidRPr="00EA7023">
        <w:rPr>
          <w:rFonts w:ascii="Georgia" w:hAnsi="Georgia" w:cs="Arial"/>
          <w:sz w:val="24"/>
          <w:szCs w:val="24"/>
          <w:lang w:val="es-419"/>
        </w:rPr>
        <w:t>De manera</w:t>
      </w:r>
      <w:r w:rsidR="00866E1F" w:rsidRPr="00EA7023">
        <w:rPr>
          <w:rFonts w:ascii="Georgia" w:hAnsi="Georgia" w:cs="Arial"/>
          <w:sz w:val="24"/>
          <w:szCs w:val="24"/>
          <w:lang w:val="es-419"/>
        </w:rPr>
        <w:t xml:space="preserve"> que</w:t>
      </w:r>
      <w:r w:rsidRPr="00EA7023">
        <w:rPr>
          <w:rFonts w:ascii="Georgia" w:hAnsi="Georgia" w:cs="Arial"/>
          <w:sz w:val="24"/>
          <w:szCs w:val="24"/>
          <w:lang w:val="es-419"/>
        </w:rPr>
        <w:t>,</w:t>
      </w:r>
      <w:r w:rsidR="00866E1F" w:rsidRPr="00EA7023">
        <w:rPr>
          <w:rFonts w:ascii="Georgia" w:hAnsi="Georgia" w:cs="Arial"/>
          <w:sz w:val="24"/>
          <w:szCs w:val="24"/>
          <w:lang w:val="es-419"/>
        </w:rPr>
        <w:t xml:space="preserve"> por detallada que sea la exposición de los hechos o </w:t>
      </w:r>
      <w:r w:rsidR="00E53BF3" w:rsidRPr="00EA7023">
        <w:rPr>
          <w:rFonts w:ascii="Georgia" w:hAnsi="Georgia" w:cs="Arial"/>
          <w:sz w:val="24"/>
          <w:szCs w:val="24"/>
          <w:lang w:val="es-419"/>
        </w:rPr>
        <w:t>la</w:t>
      </w:r>
      <w:r w:rsidR="00866E1F" w:rsidRPr="00EA7023">
        <w:rPr>
          <w:rFonts w:ascii="Georgia" w:hAnsi="Georgia" w:cs="Arial"/>
          <w:sz w:val="24"/>
          <w:szCs w:val="24"/>
          <w:lang w:val="es-419"/>
        </w:rPr>
        <w:t xml:space="preserve"> citación expresa de la causal invocada, ello no implica </w:t>
      </w:r>
      <w:r w:rsidR="006A1A20" w:rsidRPr="00EA7023">
        <w:rPr>
          <w:rFonts w:ascii="Georgia" w:hAnsi="Georgia" w:cs="Arial"/>
          <w:sz w:val="24"/>
          <w:szCs w:val="24"/>
          <w:lang w:val="es-419"/>
        </w:rPr>
        <w:t xml:space="preserve">que se hayan relacionado las circunstancias que sirvieron de fundamento para </w:t>
      </w:r>
      <w:r w:rsidR="00E53BF3" w:rsidRPr="00EA7023">
        <w:rPr>
          <w:rFonts w:ascii="Georgia" w:hAnsi="Georgia" w:cs="Arial"/>
          <w:sz w:val="24"/>
          <w:szCs w:val="24"/>
          <w:lang w:val="es-419"/>
        </w:rPr>
        <w:t>incoar la revisión;</w:t>
      </w:r>
      <w:r w:rsidR="006A1A20" w:rsidRPr="00EA7023">
        <w:rPr>
          <w:rFonts w:ascii="Georgia" w:hAnsi="Georgia" w:cs="Arial"/>
          <w:sz w:val="24"/>
          <w:szCs w:val="24"/>
          <w:lang w:val="es-419"/>
        </w:rPr>
        <w:t xml:space="preserve"> </w:t>
      </w:r>
      <w:r w:rsidR="000835CD" w:rsidRPr="00EA7023">
        <w:rPr>
          <w:rFonts w:ascii="Georgia" w:hAnsi="Georgia" w:cs="Arial"/>
          <w:sz w:val="24"/>
          <w:szCs w:val="24"/>
          <w:lang w:val="es-419"/>
        </w:rPr>
        <w:t>reitér</w:t>
      </w:r>
      <w:r w:rsidR="00E53BF3" w:rsidRPr="00EA7023">
        <w:rPr>
          <w:rFonts w:ascii="Georgia" w:hAnsi="Georgia" w:cs="Arial"/>
          <w:sz w:val="24"/>
          <w:szCs w:val="24"/>
          <w:lang w:val="es-419"/>
        </w:rPr>
        <w:t>a</w:t>
      </w:r>
      <w:r w:rsidR="000835CD" w:rsidRPr="00EA7023">
        <w:rPr>
          <w:rFonts w:ascii="Georgia" w:hAnsi="Georgia" w:cs="Arial"/>
          <w:sz w:val="24"/>
          <w:szCs w:val="24"/>
          <w:lang w:val="es-419"/>
        </w:rPr>
        <w:t>se que se trata de una argumentación cualificada, y aquí brilla por su ausencia</w:t>
      </w:r>
      <w:r w:rsidR="00D4161A" w:rsidRPr="00EA7023">
        <w:rPr>
          <w:rFonts w:ascii="Georgia" w:hAnsi="Georgia" w:cs="Arial"/>
          <w:sz w:val="24"/>
          <w:szCs w:val="24"/>
          <w:lang w:val="es-419"/>
        </w:rPr>
        <w:t xml:space="preserve"> </w:t>
      </w:r>
      <w:r w:rsidR="000835CD" w:rsidRPr="00EA7023">
        <w:rPr>
          <w:rFonts w:ascii="Georgia" w:hAnsi="Georgia" w:cs="Arial"/>
          <w:sz w:val="24"/>
          <w:szCs w:val="24"/>
          <w:lang w:val="es-419"/>
        </w:rPr>
        <w:t xml:space="preserve">en lo relacionado </w:t>
      </w:r>
      <w:r w:rsidR="00EC656F" w:rsidRPr="00EA7023">
        <w:rPr>
          <w:rFonts w:ascii="Georgia" w:hAnsi="Georgia" w:cs="Arial"/>
          <w:sz w:val="24"/>
          <w:szCs w:val="24"/>
          <w:lang w:val="es-419"/>
        </w:rPr>
        <w:t>con</w:t>
      </w:r>
      <w:r w:rsidR="000835CD" w:rsidRPr="00EA7023">
        <w:rPr>
          <w:rFonts w:ascii="Georgia" w:hAnsi="Georgia" w:cs="Arial"/>
          <w:sz w:val="24"/>
          <w:szCs w:val="24"/>
          <w:lang w:val="es-419"/>
        </w:rPr>
        <w:t xml:space="preserve">: (i) Las situaciones </w:t>
      </w:r>
      <w:r w:rsidR="00EC656F" w:rsidRPr="00EA7023">
        <w:rPr>
          <w:rFonts w:ascii="Georgia" w:hAnsi="Georgia" w:cs="Arial"/>
          <w:sz w:val="24"/>
          <w:szCs w:val="24"/>
          <w:lang w:val="es-419"/>
        </w:rPr>
        <w:t>de fuerza mayor o caso fortuito que impidieron allegar</w:t>
      </w:r>
      <w:r w:rsidR="00E53BF3" w:rsidRPr="00EA7023">
        <w:rPr>
          <w:rFonts w:ascii="Georgia" w:hAnsi="Georgia" w:cs="Arial"/>
          <w:sz w:val="24"/>
          <w:szCs w:val="24"/>
          <w:lang w:val="es-419"/>
        </w:rPr>
        <w:t xml:space="preserve"> las pruebas documentales</w:t>
      </w:r>
      <w:r w:rsidR="00EC656F" w:rsidRPr="00EA7023">
        <w:rPr>
          <w:rFonts w:ascii="Georgia" w:hAnsi="Georgia" w:cs="Arial"/>
          <w:sz w:val="24"/>
          <w:szCs w:val="24"/>
          <w:lang w:val="es-419"/>
        </w:rPr>
        <w:t xml:space="preserve"> al proceso objeto del recurso extraordinario</w:t>
      </w:r>
      <w:r w:rsidR="000835CD" w:rsidRPr="00EA7023">
        <w:rPr>
          <w:rFonts w:ascii="Georgia" w:hAnsi="Georgia" w:cs="Arial"/>
          <w:sz w:val="24"/>
          <w:szCs w:val="24"/>
          <w:lang w:val="es-419"/>
        </w:rPr>
        <w:t xml:space="preserve">; y, (ii) La contextualización </w:t>
      </w:r>
      <w:r w:rsidR="00E53BF3" w:rsidRPr="00EA7023">
        <w:rPr>
          <w:rFonts w:ascii="Georgia" w:hAnsi="Georgia" w:cs="Arial"/>
          <w:sz w:val="24"/>
          <w:szCs w:val="24"/>
          <w:lang w:val="es-419"/>
        </w:rPr>
        <w:t xml:space="preserve">fáctica </w:t>
      </w:r>
      <w:r w:rsidR="000835CD" w:rsidRPr="00EA7023">
        <w:rPr>
          <w:rFonts w:ascii="Georgia" w:hAnsi="Georgia" w:cs="Arial"/>
          <w:sz w:val="24"/>
          <w:szCs w:val="24"/>
          <w:lang w:val="es-419"/>
        </w:rPr>
        <w:t>que muest</w:t>
      </w:r>
      <w:r w:rsidR="00E53BF3" w:rsidRPr="00EA7023">
        <w:rPr>
          <w:rFonts w:ascii="Georgia" w:hAnsi="Georgia" w:cs="Arial"/>
          <w:sz w:val="24"/>
          <w:szCs w:val="24"/>
          <w:lang w:val="es-419"/>
        </w:rPr>
        <w:t>re</w:t>
      </w:r>
      <w:r w:rsidR="000835CD" w:rsidRPr="00EA7023">
        <w:rPr>
          <w:rFonts w:ascii="Georgia" w:hAnsi="Georgia" w:cs="Arial"/>
          <w:sz w:val="24"/>
          <w:szCs w:val="24"/>
          <w:lang w:val="es-419"/>
        </w:rPr>
        <w:t xml:space="preserve"> la colusión o maniobra fraudulenta de las </w:t>
      </w:r>
      <w:r w:rsidR="000835CD" w:rsidRPr="00EA7023">
        <w:rPr>
          <w:rFonts w:ascii="Georgia" w:hAnsi="Georgia" w:cs="Arial"/>
          <w:sz w:val="24"/>
          <w:szCs w:val="24"/>
          <w:u w:val="single"/>
          <w:lang w:val="es-419"/>
        </w:rPr>
        <w:t>partes</w:t>
      </w:r>
      <w:r w:rsidR="000835CD" w:rsidRPr="00EA7023">
        <w:rPr>
          <w:rFonts w:ascii="Georgia" w:hAnsi="Georgia" w:cs="Tahoma"/>
          <w:sz w:val="24"/>
          <w:szCs w:val="24"/>
          <w:lang w:val="es-419"/>
        </w:rPr>
        <w:t xml:space="preserve">; </w:t>
      </w:r>
      <w:r w:rsidR="000835CD" w:rsidRPr="00EA7023">
        <w:rPr>
          <w:rFonts w:ascii="Georgia" w:hAnsi="Georgia" w:cs="Arial"/>
          <w:sz w:val="24"/>
          <w:szCs w:val="24"/>
          <w:lang w:val="es-419"/>
        </w:rPr>
        <w:t xml:space="preserve">tal como </w:t>
      </w:r>
      <w:r w:rsidR="00D70B0B" w:rsidRPr="00EA7023">
        <w:rPr>
          <w:rFonts w:ascii="Georgia" w:hAnsi="Georgia" w:cs="Arial"/>
          <w:sz w:val="24"/>
          <w:szCs w:val="24"/>
          <w:lang w:val="es-419"/>
        </w:rPr>
        <w:t>anotó l</w:t>
      </w:r>
      <w:r w:rsidR="000835CD" w:rsidRPr="00EA7023">
        <w:rPr>
          <w:rFonts w:ascii="Georgia" w:hAnsi="Georgia" w:cs="Arial"/>
          <w:sz w:val="24"/>
          <w:szCs w:val="24"/>
          <w:lang w:val="es-419"/>
        </w:rPr>
        <w:t>a Magistrada Sustanciadora en el proveído recurrido.</w:t>
      </w:r>
    </w:p>
    <w:p w:rsidR="00250C6E" w:rsidRPr="00EA7023" w:rsidRDefault="00250C6E" w:rsidP="0008479D">
      <w:pPr>
        <w:spacing w:line="288" w:lineRule="auto"/>
        <w:jc w:val="both"/>
        <w:rPr>
          <w:rFonts w:ascii="Georgia" w:hAnsi="Georgia" w:cs="Arial"/>
          <w:szCs w:val="22"/>
          <w:lang w:val="es-419"/>
        </w:rPr>
      </w:pPr>
    </w:p>
    <w:p w:rsidR="00B25A6B" w:rsidRPr="00EA7023" w:rsidRDefault="00B25A6B" w:rsidP="0008479D">
      <w:pPr>
        <w:pStyle w:val="Textopredeterminado"/>
        <w:numPr>
          <w:ilvl w:val="1"/>
          <w:numId w:val="4"/>
        </w:numPr>
        <w:spacing w:line="288" w:lineRule="auto"/>
        <w:jc w:val="both"/>
        <w:textAlignment w:val="auto"/>
        <w:rPr>
          <w:rFonts w:ascii="Georgia" w:hAnsi="Georgia" w:cs="Arial"/>
          <w:smallCaps/>
          <w:lang w:val="es-419"/>
        </w:rPr>
      </w:pPr>
      <w:r w:rsidRPr="00EA7023">
        <w:rPr>
          <w:rFonts w:ascii="Georgia" w:hAnsi="Georgia" w:cs="Arial"/>
          <w:smallCaps/>
          <w:lang w:val="es-419"/>
        </w:rPr>
        <w:t>El sistema de información judicial</w:t>
      </w:r>
    </w:p>
    <w:p w:rsidR="009059FE" w:rsidRPr="00EA7023" w:rsidRDefault="009059FE" w:rsidP="0008479D">
      <w:pPr>
        <w:spacing w:line="288" w:lineRule="auto"/>
        <w:jc w:val="both"/>
        <w:rPr>
          <w:rFonts w:ascii="Georgia" w:hAnsi="Georgia" w:cs="Arial"/>
          <w:szCs w:val="22"/>
          <w:lang w:val="es-419"/>
        </w:rPr>
      </w:pPr>
    </w:p>
    <w:p w:rsidR="00AF0FAE" w:rsidRPr="00EA7023" w:rsidRDefault="00AF0FAE" w:rsidP="0008479D">
      <w:pPr>
        <w:spacing w:line="288" w:lineRule="auto"/>
        <w:ind w:right="51"/>
        <w:jc w:val="both"/>
        <w:rPr>
          <w:rFonts w:ascii="Georgia" w:hAnsi="Georgia"/>
          <w:lang w:val="es-419"/>
        </w:rPr>
      </w:pPr>
      <w:r w:rsidRPr="00EA7023">
        <w:rPr>
          <w:rFonts w:ascii="Georgia" w:hAnsi="Georgia" w:cs="Arial"/>
          <w:lang w:val="es-419"/>
        </w:rPr>
        <w:t xml:space="preserve">El CSJ a través de los Acuerdos Nos.1591 de 2002 y PSAA06-3334 de 2006, regló la </w:t>
      </w:r>
      <w:r w:rsidRPr="00EA7023">
        <w:rPr>
          <w:rFonts w:ascii="Georgia" w:hAnsi="Georgia" w:cs="Arial"/>
          <w:color w:val="000000"/>
          <w:szCs w:val="23"/>
          <w:lang w:val="es-419"/>
        </w:rPr>
        <w:t>implementación y organización del sistema de información de gestión de proceso</w:t>
      </w:r>
      <w:r w:rsidR="00E53BF3" w:rsidRPr="00EA7023">
        <w:rPr>
          <w:rFonts w:ascii="Georgia" w:hAnsi="Georgia" w:cs="Arial"/>
          <w:color w:val="000000"/>
          <w:szCs w:val="23"/>
          <w:lang w:val="es-419"/>
        </w:rPr>
        <w:t>s</w:t>
      </w:r>
      <w:r w:rsidRPr="00EA7023">
        <w:rPr>
          <w:rFonts w:ascii="Georgia" w:hAnsi="Georgia" w:cs="Arial"/>
          <w:color w:val="000000"/>
          <w:szCs w:val="23"/>
          <w:lang w:val="es-419"/>
        </w:rPr>
        <w:t xml:space="preserve"> y manejo documental "Justicia XXI", como una herramienta útil para consignar el historial de los procesos de los juzgados, que se estiman "mensajes de datos" de carácter oficial, según tiene decantado la doctrina constitucional</w:t>
      </w:r>
      <w:r w:rsidRPr="00EA7023">
        <w:rPr>
          <w:rStyle w:val="Refdenotaalpie"/>
          <w:rFonts w:ascii="Georgia" w:hAnsi="Georgia"/>
          <w:color w:val="000000"/>
          <w:szCs w:val="23"/>
          <w:lang w:val="es-419"/>
        </w:rPr>
        <w:footnoteReference w:id="12"/>
      </w:r>
      <w:r w:rsidRPr="00EA7023">
        <w:rPr>
          <w:rFonts w:ascii="Georgia" w:hAnsi="Georgia" w:cs="Arial"/>
          <w:color w:val="000000"/>
          <w:szCs w:val="23"/>
          <w:lang w:val="es-419"/>
        </w:rPr>
        <w:t>.</w:t>
      </w:r>
    </w:p>
    <w:p w:rsidR="00AF0FAE" w:rsidRPr="00EA7023" w:rsidRDefault="00AF0FAE" w:rsidP="0008479D">
      <w:pPr>
        <w:spacing w:line="288" w:lineRule="auto"/>
        <w:ind w:right="51"/>
        <w:jc w:val="both"/>
        <w:rPr>
          <w:rFonts w:ascii="Georgia" w:hAnsi="Georgia"/>
          <w:lang w:val="es-419"/>
        </w:rPr>
      </w:pPr>
    </w:p>
    <w:p w:rsidR="00721C01" w:rsidRPr="00EA7023" w:rsidRDefault="00AF0FAE" w:rsidP="0008479D">
      <w:pPr>
        <w:spacing w:line="288" w:lineRule="auto"/>
        <w:jc w:val="both"/>
        <w:rPr>
          <w:rFonts w:ascii="Georgia" w:hAnsi="Georgia" w:cs="Arial"/>
          <w:szCs w:val="28"/>
          <w:lang w:val="es-419"/>
        </w:rPr>
      </w:pPr>
      <w:r w:rsidRPr="00EA7023">
        <w:rPr>
          <w:rFonts w:ascii="Georgia" w:hAnsi="Georgia" w:cs="Arial"/>
          <w:color w:val="000000"/>
          <w:szCs w:val="23"/>
          <w:lang w:val="es-419"/>
        </w:rPr>
        <w:t>Las actuaciones judiciales registradas en e</w:t>
      </w:r>
      <w:r w:rsidR="00721C01" w:rsidRPr="00EA7023">
        <w:rPr>
          <w:rFonts w:ascii="Georgia" w:hAnsi="Georgia" w:cs="Arial"/>
          <w:color w:val="000000"/>
          <w:szCs w:val="23"/>
          <w:lang w:val="es-419"/>
        </w:rPr>
        <w:t xml:space="preserve">se </w:t>
      </w:r>
      <w:r w:rsidRPr="00EA7023">
        <w:rPr>
          <w:rFonts w:ascii="Georgia" w:hAnsi="Georgia" w:cs="Arial"/>
          <w:color w:val="000000"/>
          <w:szCs w:val="23"/>
          <w:lang w:val="es-419"/>
        </w:rPr>
        <w:t xml:space="preserve">sistema, </w:t>
      </w:r>
      <w:r w:rsidRPr="00EA7023">
        <w:rPr>
          <w:rFonts w:ascii="Georgia" w:hAnsi="Georgia" w:cs="Arial"/>
          <w:color w:val="000000"/>
          <w:szCs w:val="23"/>
          <w:u w:val="single"/>
          <w:lang w:val="es-419"/>
        </w:rPr>
        <w:t>no son supletivas de los medios legales de notificación</w:t>
      </w:r>
      <w:r w:rsidRPr="00EA7023">
        <w:rPr>
          <w:rFonts w:ascii="Georgia" w:hAnsi="Georgia" w:cs="Arial"/>
          <w:color w:val="000000"/>
          <w:szCs w:val="23"/>
          <w:lang w:val="es-419"/>
        </w:rPr>
        <w:t xml:space="preserve">, </w:t>
      </w:r>
      <w:r w:rsidR="00721C01" w:rsidRPr="00EA7023">
        <w:rPr>
          <w:rFonts w:ascii="Georgia" w:hAnsi="Georgia" w:cs="Arial"/>
          <w:color w:val="000000"/>
          <w:szCs w:val="23"/>
          <w:lang w:val="es-419"/>
        </w:rPr>
        <w:t xml:space="preserve">en cambio sirven como </w:t>
      </w:r>
      <w:r w:rsidRPr="00EA7023">
        <w:rPr>
          <w:rFonts w:ascii="Georgia" w:hAnsi="Georgia" w:cs="Arial"/>
          <w:color w:val="000000"/>
          <w:szCs w:val="23"/>
          <w:lang w:val="es-419"/>
        </w:rPr>
        <w:t xml:space="preserve">mecanismo </w:t>
      </w:r>
      <w:r w:rsidRPr="00EA7023">
        <w:rPr>
          <w:rFonts w:ascii="Georgia" w:hAnsi="Georgia" w:cs="Arial"/>
          <w:b/>
          <w:color w:val="000000"/>
          <w:szCs w:val="23"/>
          <w:lang w:val="es-419"/>
        </w:rPr>
        <w:t>adicional</w:t>
      </w:r>
      <w:r w:rsidRPr="00EA7023">
        <w:rPr>
          <w:rFonts w:ascii="Georgia" w:hAnsi="Georgia" w:cs="Arial"/>
          <w:color w:val="000000"/>
          <w:szCs w:val="23"/>
          <w:lang w:val="es-419"/>
        </w:rPr>
        <w:t xml:space="preserve"> de publicidad, que </w:t>
      </w:r>
      <w:r w:rsidRPr="00EA7023">
        <w:rPr>
          <w:rFonts w:ascii="Georgia" w:hAnsi="Georgia" w:cs="Arial"/>
          <w:szCs w:val="28"/>
          <w:lang w:val="es-419"/>
        </w:rPr>
        <w:t>permite</w:t>
      </w:r>
      <w:r w:rsidR="00721C01" w:rsidRPr="00EA7023">
        <w:rPr>
          <w:rFonts w:ascii="Georgia" w:hAnsi="Georgia" w:cs="Arial"/>
          <w:szCs w:val="28"/>
          <w:lang w:val="es-419"/>
        </w:rPr>
        <w:t xml:space="preserve"> a </w:t>
      </w:r>
      <w:r w:rsidRPr="00EA7023">
        <w:rPr>
          <w:rFonts w:ascii="Georgia" w:hAnsi="Georgia" w:cs="Arial"/>
          <w:szCs w:val="28"/>
          <w:lang w:val="es-419"/>
        </w:rPr>
        <w:t xml:space="preserve">los </w:t>
      </w:r>
      <w:r w:rsidR="00721C01" w:rsidRPr="00EA7023">
        <w:rPr>
          <w:rFonts w:ascii="Georgia" w:hAnsi="Georgia" w:cs="Arial"/>
          <w:szCs w:val="28"/>
          <w:lang w:val="es-419"/>
        </w:rPr>
        <w:t xml:space="preserve">litigantes </w:t>
      </w:r>
      <w:r w:rsidR="00295415" w:rsidRPr="00EA7023">
        <w:rPr>
          <w:rFonts w:ascii="Georgia" w:hAnsi="Georgia" w:cs="Arial"/>
          <w:szCs w:val="28"/>
          <w:lang w:val="es-419"/>
        </w:rPr>
        <w:t xml:space="preserve">estar atentos a </w:t>
      </w:r>
      <w:r w:rsidRPr="00EA7023">
        <w:rPr>
          <w:rFonts w:ascii="Georgia" w:hAnsi="Georgia" w:cs="Arial"/>
          <w:szCs w:val="28"/>
          <w:lang w:val="es-419"/>
        </w:rPr>
        <w:t>l</w:t>
      </w:r>
      <w:r w:rsidR="00721C01" w:rsidRPr="00EA7023">
        <w:rPr>
          <w:rFonts w:ascii="Georgia" w:hAnsi="Georgia" w:cs="Arial"/>
          <w:szCs w:val="28"/>
          <w:lang w:val="es-419"/>
        </w:rPr>
        <w:t>os</w:t>
      </w:r>
      <w:r w:rsidRPr="00EA7023">
        <w:rPr>
          <w:rFonts w:ascii="Georgia" w:hAnsi="Georgia" w:cs="Arial"/>
          <w:szCs w:val="28"/>
          <w:lang w:val="es-419"/>
        </w:rPr>
        <w:t xml:space="preserve"> </w:t>
      </w:r>
      <w:r w:rsidR="00721C01" w:rsidRPr="00EA7023">
        <w:rPr>
          <w:rFonts w:ascii="Georgia" w:hAnsi="Georgia" w:cs="Arial"/>
          <w:szCs w:val="28"/>
          <w:lang w:val="es-419"/>
        </w:rPr>
        <w:t>procesos</w:t>
      </w:r>
      <w:r w:rsidR="00E53BF3" w:rsidRPr="00EA7023">
        <w:rPr>
          <w:rFonts w:ascii="Georgia" w:hAnsi="Georgia" w:cs="Arial"/>
          <w:szCs w:val="28"/>
          <w:lang w:val="es-419"/>
        </w:rPr>
        <w:t xml:space="preserve"> y obtener </w:t>
      </w:r>
      <w:r w:rsidRPr="00EA7023">
        <w:rPr>
          <w:rFonts w:ascii="Georgia" w:hAnsi="Georgia" w:cs="Arial"/>
          <w:szCs w:val="28"/>
          <w:lang w:val="es-419"/>
        </w:rPr>
        <w:t>información</w:t>
      </w:r>
      <w:r w:rsidR="00295415" w:rsidRPr="00EA7023">
        <w:rPr>
          <w:rFonts w:ascii="Georgia" w:hAnsi="Georgia" w:cs="Arial"/>
          <w:szCs w:val="28"/>
          <w:lang w:val="es-419"/>
        </w:rPr>
        <w:t xml:space="preserve"> cuando se </w:t>
      </w:r>
      <w:r w:rsidR="00E53BF3" w:rsidRPr="00EA7023">
        <w:rPr>
          <w:rFonts w:ascii="Georgia" w:hAnsi="Georgia" w:cs="Arial"/>
          <w:szCs w:val="28"/>
          <w:lang w:val="es-419"/>
        </w:rPr>
        <w:t xml:space="preserve">surta alguna </w:t>
      </w:r>
      <w:r w:rsidR="00295415" w:rsidRPr="00EA7023">
        <w:rPr>
          <w:rFonts w:ascii="Georgia" w:hAnsi="Georgia" w:cs="Arial"/>
          <w:szCs w:val="28"/>
          <w:lang w:val="es-419"/>
        </w:rPr>
        <w:t>actuación</w:t>
      </w:r>
      <w:r w:rsidR="00E53BF3" w:rsidRPr="00EA7023">
        <w:rPr>
          <w:rFonts w:ascii="Georgia" w:hAnsi="Georgia" w:cs="Arial"/>
          <w:szCs w:val="28"/>
          <w:lang w:val="es-419"/>
        </w:rPr>
        <w:t xml:space="preserve">, además facilitan su </w:t>
      </w:r>
      <w:r w:rsidRPr="00EA7023">
        <w:rPr>
          <w:rFonts w:ascii="Georgia" w:hAnsi="Georgia" w:cs="Arial"/>
          <w:szCs w:val="28"/>
          <w:lang w:val="es-419"/>
        </w:rPr>
        <w:t>consulta</w:t>
      </w:r>
      <w:r w:rsidR="00295415" w:rsidRPr="00EA7023">
        <w:rPr>
          <w:rFonts w:ascii="Georgia" w:hAnsi="Georgia" w:cs="Arial"/>
          <w:szCs w:val="28"/>
          <w:lang w:val="es-419"/>
        </w:rPr>
        <w:t xml:space="preserve"> e</w:t>
      </w:r>
      <w:r w:rsidRPr="00EA7023">
        <w:rPr>
          <w:rFonts w:ascii="Georgia" w:hAnsi="Georgia" w:cs="Arial"/>
          <w:szCs w:val="28"/>
          <w:lang w:val="es-419"/>
        </w:rPr>
        <w:t>n esa base</w:t>
      </w:r>
      <w:r w:rsidR="00721C01" w:rsidRPr="00EA7023">
        <w:rPr>
          <w:rFonts w:ascii="Georgia" w:hAnsi="Georgia" w:cs="Arial"/>
          <w:szCs w:val="28"/>
          <w:lang w:val="es-419"/>
        </w:rPr>
        <w:t xml:space="preserve">. </w:t>
      </w:r>
    </w:p>
    <w:p w:rsidR="00721C01" w:rsidRPr="00EA7023" w:rsidRDefault="00721C01" w:rsidP="0008479D">
      <w:pPr>
        <w:spacing w:line="288" w:lineRule="auto"/>
        <w:jc w:val="both"/>
        <w:rPr>
          <w:rFonts w:ascii="Georgia" w:hAnsi="Georgia" w:cs="Arial"/>
          <w:szCs w:val="28"/>
          <w:lang w:val="es-419"/>
        </w:rPr>
      </w:pPr>
    </w:p>
    <w:p w:rsidR="00AF0FAE" w:rsidRPr="00EA7023" w:rsidRDefault="00721C01" w:rsidP="0008479D">
      <w:pPr>
        <w:spacing w:line="288" w:lineRule="auto"/>
        <w:jc w:val="both"/>
        <w:rPr>
          <w:rFonts w:ascii="Georgia" w:hAnsi="Georgia"/>
          <w:lang w:val="es-419"/>
        </w:rPr>
      </w:pPr>
      <w:r w:rsidRPr="00EA7023">
        <w:rPr>
          <w:rFonts w:ascii="Georgia" w:hAnsi="Georgia" w:cs="Arial"/>
          <w:szCs w:val="28"/>
          <w:lang w:val="es-419"/>
        </w:rPr>
        <w:t xml:space="preserve">Al respecto la </w:t>
      </w:r>
      <w:r w:rsidR="00DF0F6A" w:rsidRPr="00EA7023">
        <w:rPr>
          <w:rFonts w:ascii="Georgia" w:hAnsi="Georgia" w:cs="Arial"/>
          <w:szCs w:val="28"/>
          <w:lang w:val="es-419"/>
        </w:rPr>
        <w:t xml:space="preserve">doctrina de la </w:t>
      </w:r>
      <w:r w:rsidRPr="00EA7023">
        <w:rPr>
          <w:rFonts w:ascii="Georgia" w:hAnsi="Georgia" w:cs="Arial"/>
          <w:szCs w:val="28"/>
          <w:lang w:val="es-419"/>
        </w:rPr>
        <w:t>CSJ</w:t>
      </w:r>
      <w:r w:rsidRPr="00EA7023">
        <w:rPr>
          <w:rStyle w:val="Refdenotaalpie"/>
          <w:rFonts w:ascii="Georgia" w:hAnsi="Georgia"/>
          <w:sz w:val="28"/>
          <w:lang w:val="es-419"/>
        </w:rPr>
        <w:footnoteReference w:id="13"/>
      </w:r>
      <w:r w:rsidRPr="00EA7023">
        <w:rPr>
          <w:rFonts w:ascii="Georgia" w:hAnsi="Georgia" w:cs="Arial"/>
          <w:szCs w:val="28"/>
          <w:lang w:val="es-419"/>
        </w:rPr>
        <w:t>, en síntesis</w:t>
      </w:r>
      <w:r w:rsidR="00DF0F6A" w:rsidRPr="00EA7023">
        <w:rPr>
          <w:rFonts w:ascii="Georgia" w:hAnsi="Georgia" w:cs="Arial"/>
          <w:szCs w:val="28"/>
          <w:lang w:val="es-419"/>
        </w:rPr>
        <w:t>,</w:t>
      </w:r>
      <w:r w:rsidRPr="00EA7023">
        <w:rPr>
          <w:rFonts w:ascii="Georgia" w:hAnsi="Georgia" w:cs="Arial"/>
          <w:szCs w:val="28"/>
          <w:lang w:val="es-419"/>
        </w:rPr>
        <w:t xml:space="preserve"> </w:t>
      </w:r>
      <w:r w:rsidRPr="00EA7023">
        <w:rPr>
          <w:rFonts w:ascii="Georgia" w:hAnsi="Georgia" w:cs="Arial"/>
          <w:color w:val="000000"/>
          <w:szCs w:val="23"/>
          <w:lang w:val="es-419"/>
        </w:rPr>
        <w:t>sostiene que esa herramienta tecnológica carece de autorización para reemplazar las formas de notificación de la normativa en vigor, por ende</w:t>
      </w:r>
      <w:r w:rsidR="00DF0F6A" w:rsidRPr="00EA7023">
        <w:rPr>
          <w:rFonts w:ascii="Georgia" w:hAnsi="Georgia" w:cs="Arial"/>
          <w:color w:val="000000"/>
          <w:szCs w:val="23"/>
          <w:lang w:val="es-419"/>
        </w:rPr>
        <w:t>,</w:t>
      </w:r>
      <w:r w:rsidRPr="00EA7023">
        <w:rPr>
          <w:rFonts w:ascii="Georgia" w:hAnsi="Georgia" w:cs="Arial"/>
          <w:color w:val="000000"/>
          <w:szCs w:val="23"/>
          <w:lang w:val="es-419"/>
        </w:rPr>
        <w:t xml:space="preserve"> </w:t>
      </w:r>
      <w:r w:rsidRPr="00EA7023">
        <w:rPr>
          <w:rFonts w:ascii="Georgia" w:hAnsi="Georgia" w:cs="Arial"/>
          <w:color w:val="000000"/>
          <w:szCs w:val="23"/>
          <w:u w:val="single"/>
          <w:lang w:val="es-419"/>
        </w:rPr>
        <w:t xml:space="preserve">los intervinientes procesales </w:t>
      </w:r>
      <w:r w:rsidR="00DF0F6A" w:rsidRPr="00EA7023">
        <w:rPr>
          <w:rFonts w:ascii="Georgia" w:hAnsi="Georgia" w:cs="Arial"/>
          <w:color w:val="000000"/>
          <w:szCs w:val="23"/>
          <w:u w:val="single"/>
          <w:lang w:val="es-419"/>
        </w:rPr>
        <w:t xml:space="preserve">no se relevan de </w:t>
      </w:r>
      <w:r w:rsidRPr="00EA7023">
        <w:rPr>
          <w:rFonts w:ascii="Georgia" w:hAnsi="Georgia" w:cs="Arial"/>
          <w:color w:val="000000"/>
          <w:szCs w:val="23"/>
          <w:u w:val="single"/>
          <w:lang w:val="es-419"/>
        </w:rPr>
        <w:t xml:space="preserve">la carga de </w:t>
      </w:r>
      <w:r w:rsidRPr="00EA7023">
        <w:rPr>
          <w:rFonts w:ascii="Georgia" w:hAnsi="Georgia" w:cs="Arial"/>
          <w:color w:val="000000"/>
          <w:szCs w:val="23"/>
          <w:u w:val="single"/>
          <w:lang w:val="es-419"/>
        </w:rPr>
        <w:lastRenderedPageBreak/>
        <w:t>examinar los expedientes de manera física en las oficinas de los juzgados</w:t>
      </w:r>
      <w:r w:rsidR="00312A03" w:rsidRPr="00EA7023">
        <w:rPr>
          <w:rFonts w:ascii="Georgia" w:hAnsi="Georgia" w:cs="Arial"/>
          <w:color w:val="000000"/>
          <w:szCs w:val="23"/>
          <w:lang w:val="es-419"/>
        </w:rPr>
        <w:t xml:space="preserve">, </w:t>
      </w:r>
      <w:r w:rsidR="00312A03" w:rsidRPr="00EA7023">
        <w:rPr>
          <w:rFonts w:ascii="Georgia" w:hAnsi="Georgia"/>
          <w:lang w:val="es-419"/>
        </w:rPr>
        <w:t>dice la Corporación</w:t>
      </w:r>
      <w:r w:rsidR="00DF0F6A" w:rsidRPr="00EA7023">
        <w:rPr>
          <w:rFonts w:ascii="Georgia" w:hAnsi="Georgia"/>
          <w:lang w:val="es-419"/>
        </w:rPr>
        <w:t xml:space="preserve"> (</w:t>
      </w:r>
      <w:r w:rsidR="00DF0F6A" w:rsidRPr="00EA7023">
        <w:rPr>
          <w:rFonts w:ascii="Georgia" w:hAnsi="Georgia" w:cs="Arial"/>
          <w:sz w:val="22"/>
          <w:lang w:val="es-419"/>
        </w:rPr>
        <w:t xml:space="preserve">Criterio </w:t>
      </w:r>
      <w:r w:rsidR="00312A03" w:rsidRPr="00EA7023">
        <w:rPr>
          <w:rFonts w:ascii="Georgia" w:hAnsi="Georgia" w:cs="Arial"/>
          <w:sz w:val="22"/>
          <w:lang w:val="es-419"/>
        </w:rPr>
        <w:t>auxiliar</w:t>
      </w:r>
      <w:r w:rsidR="00DF0F6A" w:rsidRPr="00EA7023">
        <w:rPr>
          <w:rFonts w:ascii="Georgia" w:hAnsi="Georgia" w:cs="Arial"/>
          <w:lang w:val="es-419"/>
        </w:rPr>
        <w:t>)</w:t>
      </w:r>
      <w:r w:rsidR="00312A03" w:rsidRPr="00EA7023">
        <w:rPr>
          <w:rStyle w:val="Refdenotaalpie"/>
          <w:rFonts w:ascii="Georgia" w:hAnsi="Georgia"/>
          <w:lang w:val="es-419"/>
        </w:rPr>
        <w:footnoteReference w:id="14"/>
      </w:r>
      <w:r w:rsidR="00312A03" w:rsidRPr="00EA7023">
        <w:rPr>
          <w:rFonts w:ascii="Georgia" w:hAnsi="Georgia"/>
          <w:lang w:val="es-419"/>
        </w:rPr>
        <w:t>:</w:t>
      </w:r>
    </w:p>
    <w:p w:rsidR="00312A03" w:rsidRPr="00EA7023" w:rsidRDefault="00312A03" w:rsidP="0008479D">
      <w:pPr>
        <w:spacing w:line="288" w:lineRule="auto"/>
        <w:jc w:val="both"/>
        <w:rPr>
          <w:rFonts w:ascii="Georgia" w:hAnsi="Georgia" w:cs="Arial"/>
          <w:szCs w:val="28"/>
          <w:u w:val="single"/>
          <w:lang w:val="es-419"/>
        </w:rPr>
      </w:pPr>
    </w:p>
    <w:p w:rsidR="00312A03" w:rsidRPr="00EA7023" w:rsidRDefault="00312A03" w:rsidP="0008479D">
      <w:pPr>
        <w:ind w:left="426" w:right="420"/>
        <w:jc w:val="both"/>
        <w:rPr>
          <w:rFonts w:ascii="Georgia" w:hAnsi="Georgia" w:cs="Arial"/>
          <w:i/>
          <w:color w:val="000000"/>
          <w:sz w:val="22"/>
          <w:lang w:val="es-419"/>
        </w:rPr>
      </w:pPr>
      <w:r w:rsidRPr="00EA7023">
        <w:rPr>
          <w:rFonts w:ascii="Georgia" w:hAnsi="Georgia" w:cs="Arial"/>
          <w:color w:val="000000"/>
          <w:sz w:val="22"/>
          <w:lang w:val="es-419"/>
        </w:rPr>
        <w:t>«</w:t>
      </w:r>
      <w:r w:rsidRPr="00EA7023">
        <w:rPr>
          <w:rFonts w:ascii="Georgia" w:hAnsi="Georgia" w:cs="Arial"/>
          <w:i/>
          <w:color w:val="000000"/>
          <w:sz w:val="22"/>
          <w:lang w:val="es-419"/>
        </w:rPr>
        <w:t xml:space="preserve">El sistema de gestión constituye una herramienta que facilita a la administración de justicia el cumplimiento efectivo de sus cometidos, en particular, otorgar publicidad a las actuaciones judiciales, a la vez que permite a los ciudadanos el acceso a la administración de justicia. Sin embargo, la información que se da conocer en los computadores de los juzgados son «meros actos de comunicación procesal» y no medios de notificación, </w:t>
      </w:r>
      <w:r w:rsidRPr="00EA7023">
        <w:rPr>
          <w:rFonts w:ascii="Georgia" w:hAnsi="Georgia" w:cs="Arial"/>
          <w:i/>
          <w:smallCaps/>
          <w:color w:val="000000"/>
          <w:sz w:val="22"/>
          <w:lang w:val="es-419"/>
        </w:rPr>
        <w:t>por lo mismo los apoderados no quedan exonerados de la vigilancia necesaria sobre los expedientes, más si se tiene cuenta que los datos allí contenidos apenas dan cuenta de la historia y evolución general de los procesos cuyo seguimiento interesa a las partes y no necesariamente informan de su contenido integral</w:t>
      </w:r>
      <w:r w:rsidRPr="00EA7023">
        <w:rPr>
          <w:rFonts w:ascii="Georgia" w:hAnsi="Georgia" w:cs="Arial"/>
          <w:i/>
          <w:color w:val="000000"/>
          <w:sz w:val="22"/>
          <w:lang w:val="es-419"/>
        </w:rPr>
        <w:t xml:space="preserve">. En suma, no hay error en la información, y </w:t>
      </w:r>
      <w:r w:rsidRPr="00EA7023">
        <w:rPr>
          <w:rFonts w:ascii="Georgia" w:hAnsi="Georgia" w:cs="Arial"/>
          <w:b/>
          <w:i/>
          <w:color w:val="000000"/>
          <w:sz w:val="22"/>
          <w:lang w:val="es-419"/>
        </w:rPr>
        <w:t>tomada como mera indicación, debió provocar la consulta del usuario quien en la omisión resulta ser presa de su propio error</w:t>
      </w:r>
      <w:r w:rsidRPr="00EA7023">
        <w:rPr>
          <w:rFonts w:ascii="Georgia" w:hAnsi="Georgia" w:cs="Arial"/>
          <w:i/>
          <w:color w:val="000000"/>
          <w:sz w:val="22"/>
          <w:lang w:val="es-419"/>
        </w:rPr>
        <w:t>.</w:t>
      </w:r>
    </w:p>
    <w:p w:rsidR="00312A03" w:rsidRPr="00EA7023" w:rsidRDefault="00312A03" w:rsidP="0008479D">
      <w:pPr>
        <w:ind w:left="426" w:right="420" w:firstLine="708"/>
        <w:jc w:val="both"/>
        <w:rPr>
          <w:rFonts w:ascii="Georgia" w:hAnsi="Georgia" w:cs="Arial"/>
          <w:i/>
          <w:color w:val="000000"/>
          <w:sz w:val="22"/>
          <w:lang w:val="es-419"/>
        </w:rPr>
      </w:pPr>
    </w:p>
    <w:p w:rsidR="00312A03" w:rsidRPr="00EA7023" w:rsidRDefault="00312A03" w:rsidP="0008479D">
      <w:pPr>
        <w:ind w:left="426" w:right="420"/>
        <w:jc w:val="both"/>
        <w:rPr>
          <w:rFonts w:ascii="Bookman Old Style" w:hAnsi="Bookman Old Style" w:cs="Arial"/>
          <w:color w:val="000000"/>
          <w:szCs w:val="28"/>
          <w:lang w:val="es-419"/>
        </w:rPr>
      </w:pPr>
      <w:r w:rsidRPr="00EA7023">
        <w:rPr>
          <w:rFonts w:ascii="Georgia" w:hAnsi="Georgia" w:cs="Arial"/>
          <w:i/>
          <w:color w:val="000000"/>
          <w:sz w:val="22"/>
          <w:lang w:val="es-419"/>
        </w:rPr>
        <w:t xml:space="preserve">En esa relación funcional entre información que arroja el sistema y el contenido materia! de la providencia, debe operar el deber de vigilancia como complemento de la actividad judicial, pues no basta la lectura que se hace en el sistema de gestión, sino que es necesaria la consulta del expediente. </w:t>
      </w:r>
      <w:r w:rsidRPr="00EA7023">
        <w:rPr>
          <w:rFonts w:ascii="Georgia" w:hAnsi="Georgia" w:cs="Arial"/>
          <w:i/>
          <w:smallCaps/>
          <w:color w:val="000000"/>
          <w:sz w:val="22"/>
          <w:lang w:val="es-419"/>
        </w:rPr>
        <w:t>Ello abonado al hecho de que no es loable ingresar a la base de datos el contenido integral de las providencias</w:t>
      </w:r>
      <w:r w:rsidRPr="00EA7023">
        <w:rPr>
          <w:rFonts w:ascii="Georgia" w:hAnsi="Georgia" w:cs="Arial"/>
          <w:smallCaps/>
          <w:color w:val="000000"/>
          <w:sz w:val="22"/>
          <w:lang w:val="es-419"/>
        </w:rPr>
        <w:t xml:space="preserve"> </w:t>
      </w:r>
      <w:r w:rsidRPr="00EA7023">
        <w:rPr>
          <w:rFonts w:ascii="Georgia" w:hAnsi="Georgia" w:cs="Arial"/>
          <w:color w:val="000000"/>
          <w:sz w:val="22"/>
          <w:lang w:val="es-419"/>
        </w:rPr>
        <w:t>(STC, 3 mar. 2009, rad. 00277-00, reiterada, entre otros, en fallos de 28 oct. 2009 y 9 mar. 2010, rads. 01820-00 y 00169-01). Versalitas</w:t>
      </w:r>
      <w:r w:rsidR="00DF0F6A" w:rsidRPr="00EA7023">
        <w:rPr>
          <w:rFonts w:ascii="Georgia" w:hAnsi="Georgia" w:cs="Arial"/>
          <w:color w:val="000000"/>
          <w:sz w:val="22"/>
          <w:lang w:val="es-419"/>
        </w:rPr>
        <w:t xml:space="preserve"> y subrayado, </w:t>
      </w:r>
      <w:r w:rsidRPr="00EA7023">
        <w:rPr>
          <w:rFonts w:ascii="Georgia" w:hAnsi="Georgia" w:cs="Arial"/>
          <w:color w:val="000000"/>
          <w:sz w:val="22"/>
          <w:lang w:val="es-419"/>
        </w:rPr>
        <w:t xml:space="preserve">fuera de texto. </w:t>
      </w:r>
    </w:p>
    <w:p w:rsidR="00312A03" w:rsidRPr="00EA7023" w:rsidRDefault="00312A03" w:rsidP="0008479D">
      <w:pPr>
        <w:spacing w:line="288" w:lineRule="auto"/>
        <w:jc w:val="both"/>
        <w:rPr>
          <w:rFonts w:ascii="Georgia" w:hAnsi="Georgia" w:cs="Arial"/>
          <w:szCs w:val="28"/>
          <w:u w:val="single"/>
          <w:lang w:val="es-419"/>
        </w:rPr>
      </w:pPr>
    </w:p>
    <w:p w:rsidR="00721C01" w:rsidRPr="00EA7023" w:rsidRDefault="00721C01" w:rsidP="0008479D">
      <w:pPr>
        <w:spacing w:line="288" w:lineRule="auto"/>
        <w:jc w:val="both"/>
        <w:rPr>
          <w:rFonts w:ascii="Georgia" w:hAnsi="Georgia" w:cs="Arial"/>
          <w:szCs w:val="28"/>
          <w:lang w:val="es-419"/>
        </w:rPr>
      </w:pPr>
      <w:r w:rsidRPr="00EA7023">
        <w:rPr>
          <w:rFonts w:ascii="Georgia" w:hAnsi="Georgia" w:cs="Arial"/>
          <w:szCs w:val="28"/>
          <w:lang w:val="es-419"/>
        </w:rPr>
        <w:t>En esas</w:t>
      </w:r>
      <w:r w:rsidR="00FD758D" w:rsidRPr="00EA7023">
        <w:rPr>
          <w:rFonts w:ascii="Georgia" w:hAnsi="Georgia" w:cs="Arial"/>
          <w:szCs w:val="28"/>
          <w:lang w:val="es-419"/>
        </w:rPr>
        <w:t xml:space="preserve"> condiciones, de ninguna manera</w:t>
      </w:r>
      <w:r w:rsidRPr="00EA7023">
        <w:rPr>
          <w:rFonts w:ascii="Georgia" w:hAnsi="Georgia" w:cs="Arial"/>
          <w:szCs w:val="28"/>
          <w:lang w:val="es-419"/>
        </w:rPr>
        <w:t xml:space="preserve"> puede </w:t>
      </w:r>
      <w:r w:rsidR="00312A03" w:rsidRPr="00EA7023">
        <w:rPr>
          <w:rFonts w:ascii="Georgia" w:hAnsi="Georgia" w:cs="Arial"/>
          <w:szCs w:val="28"/>
          <w:lang w:val="es-419"/>
        </w:rPr>
        <w:t>justi</w:t>
      </w:r>
      <w:r w:rsidR="00DF0F6A" w:rsidRPr="00EA7023">
        <w:rPr>
          <w:rFonts w:ascii="Georgia" w:hAnsi="Georgia" w:cs="Arial"/>
          <w:szCs w:val="28"/>
          <w:lang w:val="es-419"/>
        </w:rPr>
        <w:t>fi</w:t>
      </w:r>
      <w:r w:rsidR="00312A03" w:rsidRPr="00EA7023">
        <w:rPr>
          <w:rFonts w:ascii="Georgia" w:hAnsi="Georgia" w:cs="Arial"/>
          <w:szCs w:val="28"/>
          <w:lang w:val="es-419"/>
        </w:rPr>
        <w:t xml:space="preserve">carse la incuria de la recurrente, </w:t>
      </w:r>
      <w:r w:rsidR="00293D63" w:rsidRPr="00EA7023">
        <w:rPr>
          <w:rFonts w:ascii="Georgia" w:hAnsi="Georgia" w:cs="Arial"/>
          <w:szCs w:val="28"/>
          <w:lang w:val="es-419"/>
        </w:rPr>
        <w:t>dado que la anotación en el sistema de gestión judicial, únicamente, debió alertar sobre la inadmisión del recurso extraordinario y era su deber legal revisar el expediente, de forma que se enterara</w:t>
      </w:r>
      <w:r w:rsidR="008A0AEE" w:rsidRPr="00EA7023">
        <w:rPr>
          <w:rFonts w:ascii="Georgia" w:hAnsi="Georgia" w:cs="Arial"/>
          <w:szCs w:val="28"/>
          <w:lang w:val="es-419"/>
        </w:rPr>
        <w:t xml:space="preserve"> sobre los </w:t>
      </w:r>
      <w:r w:rsidR="00293D63" w:rsidRPr="00EA7023">
        <w:rPr>
          <w:rFonts w:ascii="Georgia" w:hAnsi="Georgia" w:cs="Arial"/>
          <w:szCs w:val="28"/>
          <w:lang w:val="es-419"/>
        </w:rPr>
        <w:t xml:space="preserve">aspectos </w:t>
      </w:r>
      <w:r w:rsidR="008A0AEE" w:rsidRPr="00EA7023">
        <w:rPr>
          <w:rFonts w:ascii="Georgia" w:hAnsi="Georgia" w:cs="Arial"/>
          <w:szCs w:val="28"/>
          <w:lang w:val="es-419"/>
        </w:rPr>
        <w:t xml:space="preserve">que </w:t>
      </w:r>
      <w:r w:rsidR="00293D63" w:rsidRPr="00EA7023">
        <w:rPr>
          <w:rFonts w:ascii="Georgia" w:hAnsi="Georgia" w:cs="Arial"/>
          <w:szCs w:val="28"/>
          <w:lang w:val="es-419"/>
        </w:rPr>
        <w:t xml:space="preserve">le incumbía corregir. </w:t>
      </w:r>
    </w:p>
    <w:p w:rsidR="00721C01" w:rsidRPr="00EA7023" w:rsidRDefault="00721C01" w:rsidP="0008479D">
      <w:pPr>
        <w:spacing w:line="288" w:lineRule="auto"/>
        <w:jc w:val="both"/>
        <w:rPr>
          <w:rFonts w:ascii="Georgia" w:hAnsi="Georgia" w:cs="Arial"/>
          <w:szCs w:val="28"/>
          <w:lang w:val="es-419"/>
        </w:rPr>
      </w:pPr>
    </w:p>
    <w:p w:rsidR="00AF0FAE" w:rsidRPr="00EA7023" w:rsidRDefault="00293D63" w:rsidP="0008479D">
      <w:pPr>
        <w:spacing w:line="288" w:lineRule="auto"/>
        <w:jc w:val="both"/>
        <w:rPr>
          <w:rFonts w:ascii="Georgia" w:hAnsi="Georgia" w:cs="Arial"/>
          <w:color w:val="000000"/>
          <w:szCs w:val="23"/>
          <w:lang w:val="es-419"/>
        </w:rPr>
      </w:pPr>
      <w:r w:rsidRPr="00EA7023">
        <w:rPr>
          <w:rFonts w:ascii="Georgia" w:hAnsi="Georgia" w:cs="Arial"/>
          <w:color w:val="000000"/>
          <w:szCs w:val="23"/>
          <w:lang w:val="es-419"/>
        </w:rPr>
        <w:t xml:space="preserve">Antes de finalizar, </w:t>
      </w:r>
      <w:r w:rsidR="008A0AEE" w:rsidRPr="00EA7023">
        <w:rPr>
          <w:rFonts w:ascii="Georgia" w:hAnsi="Georgia" w:cs="Arial"/>
          <w:color w:val="000000"/>
          <w:szCs w:val="23"/>
          <w:lang w:val="es-419"/>
        </w:rPr>
        <w:t xml:space="preserve">resulta importante </w:t>
      </w:r>
      <w:r w:rsidRPr="00EA7023">
        <w:rPr>
          <w:rFonts w:ascii="Georgia" w:hAnsi="Georgia" w:cs="Arial"/>
          <w:color w:val="000000"/>
          <w:szCs w:val="23"/>
          <w:lang w:val="es-419"/>
        </w:rPr>
        <w:t xml:space="preserve">precisar que en decisión previa de esta </w:t>
      </w:r>
      <w:r w:rsidR="009A7843" w:rsidRPr="00EA7023">
        <w:rPr>
          <w:rFonts w:ascii="Georgia" w:hAnsi="Georgia" w:cs="Arial"/>
          <w:color w:val="000000"/>
          <w:szCs w:val="23"/>
          <w:lang w:val="es-419"/>
        </w:rPr>
        <w:t>Corporación</w:t>
      </w:r>
      <w:r w:rsidRPr="00EA7023">
        <w:rPr>
          <w:rFonts w:ascii="Georgia" w:hAnsi="Georgia" w:cs="Arial"/>
          <w:color w:val="000000"/>
          <w:szCs w:val="23"/>
          <w:lang w:val="es-419"/>
        </w:rPr>
        <w:t>, con ponencia de quien también aquí lo hace</w:t>
      </w:r>
      <w:r w:rsidRPr="00EA7023">
        <w:rPr>
          <w:rStyle w:val="Refdenotaalpie"/>
          <w:rFonts w:ascii="Georgia" w:hAnsi="Georgia"/>
          <w:color w:val="000000"/>
          <w:szCs w:val="23"/>
          <w:lang w:val="es-419"/>
        </w:rPr>
        <w:footnoteReference w:id="15"/>
      </w:r>
      <w:r w:rsidR="008A0AEE" w:rsidRPr="00EA7023">
        <w:rPr>
          <w:rFonts w:ascii="Georgia" w:hAnsi="Georgia" w:cs="Arial"/>
          <w:color w:val="000000"/>
          <w:szCs w:val="23"/>
          <w:lang w:val="es-419"/>
        </w:rPr>
        <w:t xml:space="preserve">, </w:t>
      </w:r>
      <w:r w:rsidRPr="00EA7023">
        <w:rPr>
          <w:rFonts w:ascii="Georgia" w:hAnsi="Georgia" w:cs="Arial"/>
          <w:color w:val="000000"/>
          <w:szCs w:val="23"/>
          <w:lang w:val="es-419"/>
        </w:rPr>
        <w:t xml:space="preserve">acogida </w:t>
      </w:r>
      <w:r w:rsidR="009A7843" w:rsidRPr="00EA7023">
        <w:rPr>
          <w:rFonts w:ascii="Georgia" w:hAnsi="Georgia" w:cs="Arial"/>
          <w:color w:val="000000"/>
          <w:szCs w:val="23"/>
          <w:lang w:val="es-419"/>
        </w:rPr>
        <w:t>por otra Sala de la Especialidad</w:t>
      </w:r>
      <w:r w:rsidR="009A7843" w:rsidRPr="00EA7023">
        <w:rPr>
          <w:rStyle w:val="Refdenotaalpie"/>
          <w:rFonts w:ascii="Georgia" w:hAnsi="Georgia"/>
          <w:color w:val="000000"/>
          <w:szCs w:val="23"/>
          <w:lang w:val="es-419"/>
        </w:rPr>
        <w:footnoteReference w:id="16"/>
      </w:r>
      <w:r w:rsidR="009A7843" w:rsidRPr="00EA7023">
        <w:rPr>
          <w:rFonts w:ascii="Georgia" w:hAnsi="Georgia" w:cs="Arial"/>
          <w:color w:val="000000"/>
          <w:szCs w:val="23"/>
          <w:lang w:val="es-419"/>
        </w:rPr>
        <w:t xml:space="preserve">; </w:t>
      </w:r>
      <w:r w:rsidR="008A0AEE" w:rsidRPr="00EA7023">
        <w:rPr>
          <w:rFonts w:ascii="Georgia" w:hAnsi="Georgia" w:cs="Arial"/>
          <w:color w:val="000000"/>
          <w:szCs w:val="23"/>
          <w:lang w:val="es-419"/>
        </w:rPr>
        <w:t xml:space="preserve">se examinó la aplicabilidad del sistema </w:t>
      </w:r>
      <w:r w:rsidR="00BB3C5B" w:rsidRPr="00EA7023">
        <w:rPr>
          <w:rFonts w:ascii="Georgia" w:hAnsi="Georgia" w:cs="Arial"/>
          <w:color w:val="000000"/>
          <w:szCs w:val="23"/>
          <w:lang w:val="es-419"/>
        </w:rPr>
        <w:t xml:space="preserve">“Siglo </w:t>
      </w:r>
      <w:r w:rsidR="008A0AEE" w:rsidRPr="00EA7023">
        <w:rPr>
          <w:rFonts w:ascii="Georgia" w:hAnsi="Georgia" w:cs="Arial"/>
          <w:color w:val="000000"/>
          <w:szCs w:val="23"/>
          <w:lang w:val="es-419"/>
        </w:rPr>
        <w:t>XXI</w:t>
      </w:r>
      <w:r w:rsidR="00BB3C5B" w:rsidRPr="00EA7023">
        <w:rPr>
          <w:rFonts w:ascii="Georgia" w:hAnsi="Georgia" w:cs="Arial"/>
          <w:color w:val="000000"/>
          <w:szCs w:val="23"/>
          <w:lang w:val="es-419"/>
        </w:rPr>
        <w:t>”</w:t>
      </w:r>
      <w:r w:rsidR="008A0AEE" w:rsidRPr="00EA7023">
        <w:rPr>
          <w:rFonts w:ascii="Georgia" w:hAnsi="Georgia" w:cs="Arial"/>
          <w:color w:val="000000"/>
          <w:szCs w:val="23"/>
          <w:lang w:val="es-419"/>
        </w:rPr>
        <w:t xml:space="preserve"> pero </w:t>
      </w:r>
      <w:r w:rsidR="00D47C31" w:rsidRPr="00EA7023">
        <w:rPr>
          <w:rFonts w:ascii="Georgia" w:hAnsi="Georgia" w:cs="Arial"/>
          <w:color w:val="000000"/>
          <w:szCs w:val="23"/>
          <w:lang w:val="es-419"/>
        </w:rPr>
        <w:t>centrados en que los supuestos</w:t>
      </w:r>
      <w:r w:rsidR="008A0AEE" w:rsidRPr="00EA7023">
        <w:rPr>
          <w:rFonts w:ascii="Georgia" w:hAnsi="Georgia" w:cs="Arial"/>
          <w:color w:val="000000"/>
          <w:szCs w:val="23"/>
          <w:lang w:val="es-419"/>
        </w:rPr>
        <w:t xml:space="preserve"> fácticos </w:t>
      </w:r>
      <w:r w:rsidR="00FD758D" w:rsidRPr="00EA7023">
        <w:rPr>
          <w:rFonts w:ascii="Georgia" w:hAnsi="Georgia" w:cs="Arial"/>
          <w:color w:val="000000"/>
          <w:szCs w:val="23"/>
          <w:lang w:val="es-419"/>
        </w:rPr>
        <w:t>eran</w:t>
      </w:r>
      <w:r w:rsidR="008A0AEE" w:rsidRPr="00EA7023">
        <w:rPr>
          <w:rFonts w:ascii="Georgia" w:hAnsi="Georgia" w:cs="Arial"/>
          <w:color w:val="000000"/>
          <w:szCs w:val="23"/>
          <w:lang w:val="es-419"/>
        </w:rPr>
        <w:t xml:space="preserve"> la</w:t>
      </w:r>
      <w:r w:rsidR="009A7843" w:rsidRPr="00EA7023">
        <w:rPr>
          <w:rFonts w:ascii="Georgia" w:hAnsi="Georgia" w:cs="Arial"/>
          <w:color w:val="000000"/>
          <w:szCs w:val="23"/>
          <w:lang w:val="es-419"/>
        </w:rPr>
        <w:t xml:space="preserve"> ausencia total de información y no </w:t>
      </w:r>
      <w:r w:rsidR="008A0AEE" w:rsidRPr="00EA7023">
        <w:rPr>
          <w:rFonts w:ascii="Georgia" w:hAnsi="Georgia" w:cs="Arial"/>
          <w:color w:val="000000"/>
          <w:szCs w:val="23"/>
          <w:lang w:val="es-419"/>
        </w:rPr>
        <w:t xml:space="preserve">una </w:t>
      </w:r>
      <w:r w:rsidR="00146D10" w:rsidRPr="00EA7023">
        <w:rPr>
          <w:rFonts w:ascii="Georgia" w:hAnsi="Georgia" w:cs="Arial"/>
          <w:color w:val="000000"/>
          <w:szCs w:val="23"/>
          <w:lang w:val="es-419"/>
        </w:rPr>
        <w:t>anotación parcial, como aquí ocurre.</w:t>
      </w:r>
      <w:r w:rsidR="008A0AEE" w:rsidRPr="00EA7023">
        <w:rPr>
          <w:rFonts w:ascii="Georgia" w:hAnsi="Georgia" w:cs="Arial"/>
          <w:color w:val="000000"/>
          <w:szCs w:val="23"/>
          <w:lang w:val="es-419"/>
        </w:rPr>
        <w:t xml:space="preserve"> Así entonces, no constituyen precedente horizontal alguno </w:t>
      </w:r>
      <w:r w:rsidR="00FD758D" w:rsidRPr="00EA7023">
        <w:rPr>
          <w:rFonts w:ascii="Georgia" w:hAnsi="Georgia" w:cs="Arial"/>
          <w:color w:val="000000"/>
          <w:szCs w:val="23"/>
          <w:lang w:val="es-419"/>
        </w:rPr>
        <w:t>con entidad para vincular a est</w:t>
      </w:r>
      <w:r w:rsidR="008A0AEE" w:rsidRPr="00EA7023">
        <w:rPr>
          <w:rFonts w:ascii="Georgia" w:hAnsi="Georgia" w:cs="Arial"/>
          <w:color w:val="000000"/>
          <w:szCs w:val="23"/>
          <w:lang w:val="es-419"/>
        </w:rPr>
        <w:t xml:space="preserve">a Sala. </w:t>
      </w:r>
    </w:p>
    <w:p w:rsidR="00B25A6B" w:rsidRPr="00EA7023" w:rsidRDefault="00B25A6B" w:rsidP="0008479D">
      <w:pPr>
        <w:spacing w:line="288" w:lineRule="auto"/>
        <w:jc w:val="both"/>
        <w:rPr>
          <w:rFonts w:ascii="Georgia" w:hAnsi="Georgia" w:cs="Arial"/>
          <w:szCs w:val="22"/>
          <w:lang w:val="es-419"/>
        </w:rPr>
      </w:pPr>
    </w:p>
    <w:p w:rsidR="00117A8D" w:rsidRPr="00EA7023" w:rsidRDefault="00117A8D" w:rsidP="0008479D">
      <w:pPr>
        <w:pStyle w:val="Prrafodelista"/>
        <w:numPr>
          <w:ilvl w:val="0"/>
          <w:numId w:val="4"/>
        </w:numPr>
        <w:spacing w:line="288" w:lineRule="auto"/>
        <w:jc w:val="both"/>
        <w:rPr>
          <w:rFonts w:ascii="Georgia" w:hAnsi="Georgia" w:cs="Arial"/>
          <w:lang w:val="es-419"/>
        </w:rPr>
      </w:pPr>
      <w:r w:rsidRPr="00EA7023">
        <w:rPr>
          <w:rFonts w:ascii="Georgia" w:hAnsi="Georgia" w:cs="Arial"/>
          <w:lang w:val="es-419"/>
        </w:rPr>
        <w:t>LAS DECISIONES FINALES</w:t>
      </w:r>
    </w:p>
    <w:p w:rsidR="005509C4" w:rsidRPr="00EA7023" w:rsidRDefault="005509C4" w:rsidP="0008479D">
      <w:pPr>
        <w:spacing w:line="288" w:lineRule="auto"/>
        <w:jc w:val="both"/>
        <w:rPr>
          <w:rFonts w:ascii="Georgia" w:hAnsi="Georgia" w:cs="Arial"/>
          <w:sz w:val="18"/>
          <w:lang w:val="es-419"/>
        </w:rPr>
      </w:pPr>
    </w:p>
    <w:p w:rsidR="00117A8D" w:rsidRPr="00EA7023" w:rsidRDefault="00883E42" w:rsidP="0008479D">
      <w:pPr>
        <w:spacing w:line="288" w:lineRule="auto"/>
        <w:jc w:val="both"/>
        <w:rPr>
          <w:rFonts w:ascii="Georgia" w:hAnsi="Georgia" w:cs="Arial"/>
          <w:lang w:val="es-419"/>
        </w:rPr>
      </w:pPr>
      <w:r w:rsidRPr="00EA7023">
        <w:rPr>
          <w:rFonts w:ascii="Georgia" w:hAnsi="Georgia" w:cs="Arial"/>
          <w:lang w:val="es-419"/>
        </w:rPr>
        <w:t>Concordante</w:t>
      </w:r>
      <w:r w:rsidR="00994B74" w:rsidRPr="00EA7023">
        <w:rPr>
          <w:rFonts w:ascii="Georgia" w:hAnsi="Georgia" w:cs="Arial"/>
          <w:lang w:val="es-419"/>
        </w:rPr>
        <w:t xml:space="preserve"> con </w:t>
      </w:r>
      <w:r w:rsidRPr="00EA7023">
        <w:rPr>
          <w:rFonts w:ascii="Georgia" w:hAnsi="Georgia" w:cs="Arial"/>
          <w:lang w:val="es-419"/>
        </w:rPr>
        <w:t>lo acabado de exponer</w:t>
      </w:r>
      <w:r w:rsidR="00504088" w:rsidRPr="00EA7023">
        <w:rPr>
          <w:rFonts w:ascii="Georgia" w:hAnsi="Georgia" w:cs="Arial"/>
          <w:lang w:val="es-419"/>
        </w:rPr>
        <w:t>:</w:t>
      </w:r>
      <w:r w:rsidRPr="00EA7023">
        <w:rPr>
          <w:rFonts w:ascii="Georgia" w:hAnsi="Georgia" w:cs="Arial"/>
          <w:lang w:val="es-419"/>
        </w:rPr>
        <w:t xml:space="preserve"> </w:t>
      </w:r>
      <w:r w:rsidR="0024193C" w:rsidRPr="00EA7023">
        <w:rPr>
          <w:rFonts w:ascii="Georgia" w:hAnsi="Georgia" w:cs="Arial"/>
          <w:lang w:val="es-419"/>
        </w:rPr>
        <w:t xml:space="preserve">(i) Se confirmará </w:t>
      </w:r>
      <w:r w:rsidR="00994B74" w:rsidRPr="00EA7023">
        <w:rPr>
          <w:rFonts w:ascii="Georgia" w:hAnsi="Georgia" w:cs="Arial"/>
          <w:lang w:val="es-419"/>
        </w:rPr>
        <w:t xml:space="preserve">la decisión </w:t>
      </w:r>
      <w:r w:rsidRPr="00EA7023">
        <w:rPr>
          <w:rFonts w:ascii="Georgia" w:hAnsi="Georgia" w:cs="Arial"/>
          <w:lang w:val="es-419"/>
        </w:rPr>
        <w:t>suplicada</w:t>
      </w:r>
      <w:r w:rsidR="0024193C" w:rsidRPr="00EA7023">
        <w:rPr>
          <w:rFonts w:ascii="Georgia" w:hAnsi="Georgia" w:cs="Arial"/>
          <w:lang w:val="es-419"/>
        </w:rPr>
        <w:t>;</w:t>
      </w:r>
      <w:r w:rsidR="00994B74" w:rsidRPr="00EA7023">
        <w:rPr>
          <w:rFonts w:ascii="Georgia" w:hAnsi="Georgia" w:cs="Arial"/>
          <w:lang w:val="es-419"/>
        </w:rPr>
        <w:t xml:space="preserve"> </w:t>
      </w:r>
      <w:r w:rsidR="0024193C" w:rsidRPr="00EA7023">
        <w:rPr>
          <w:rFonts w:ascii="Georgia" w:hAnsi="Georgia" w:cs="Arial"/>
          <w:lang w:val="es-419"/>
        </w:rPr>
        <w:t>(ii) S</w:t>
      </w:r>
      <w:r w:rsidR="00117A8D" w:rsidRPr="00EA7023">
        <w:rPr>
          <w:rFonts w:ascii="Georgia" w:hAnsi="Georgia" w:cs="Arial"/>
          <w:lang w:val="es-419"/>
        </w:rPr>
        <w:t xml:space="preserve">e advertirá que esta decisión es </w:t>
      </w:r>
      <w:r w:rsidR="00A60E4A" w:rsidRPr="00EA7023">
        <w:rPr>
          <w:rFonts w:ascii="Georgia" w:hAnsi="Georgia" w:cs="Arial"/>
          <w:lang w:val="es-419"/>
        </w:rPr>
        <w:t>irrecurrible (</w:t>
      </w:r>
      <w:r w:rsidR="00A60E4A" w:rsidRPr="00EA7023">
        <w:rPr>
          <w:rFonts w:ascii="Georgia" w:hAnsi="Georgia" w:cs="Arial"/>
          <w:sz w:val="22"/>
          <w:lang w:val="es-419"/>
        </w:rPr>
        <w:t xml:space="preserve">Artículo </w:t>
      </w:r>
      <w:r w:rsidR="00E9429A" w:rsidRPr="00EA7023">
        <w:rPr>
          <w:rFonts w:ascii="Georgia" w:hAnsi="Georgia" w:cs="Arial"/>
          <w:sz w:val="22"/>
          <w:lang w:val="es-419"/>
        </w:rPr>
        <w:t>332</w:t>
      </w:r>
      <w:r w:rsidR="00A60E4A" w:rsidRPr="00EA7023">
        <w:rPr>
          <w:rFonts w:ascii="Georgia" w:hAnsi="Georgia" w:cs="Arial"/>
          <w:sz w:val="22"/>
          <w:lang w:val="es-419"/>
        </w:rPr>
        <w:t xml:space="preserve">, </w:t>
      </w:r>
      <w:r w:rsidR="00E9429A" w:rsidRPr="00EA7023">
        <w:rPr>
          <w:rFonts w:ascii="Georgia" w:hAnsi="Georgia" w:cs="Arial"/>
          <w:sz w:val="22"/>
          <w:lang w:val="es-419"/>
        </w:rPr>
        <w:t>CGP</w:t>
      </w:r>
      <w:r w:rsidR="00A60E4A" w:rsidRPr="00EA7023">
        <w:rPr>
          <w:rFonts w:ascii="Georgia" w:hAnsi="Georgia" w:cs="Arial"/>
          <w:lang w:val="es-419"/>
        </w:rPr>
        <w:t>)</w:t>
      </w:r>
      <w:r w:rsidR="0024193C" w:rsidRPr="00EA7023">
        <w:rPr>
          <w:rFonts w:ascii="Georgia" w:hAnsi="Georgia" w:cs="Arial"/>
          <w:lang w:val="es-419"/>
        </w:rPr>
        <w:t xml:space="preserve">; </w:t>
      </w:r>
      <w:r w:rsidR="00E9429A" w:rsidRPr="00EA7023">
        <w:rPr>
          <w:rFonts w:ascii="Georgia" w:hAnsi="Georgia" w:cs="Arial"/>
          <w:lang w:val="es-419"/>
        </w:rPr>
        <w:t xml:space="preserve">y, </w:t>
      </w:r>
      <w:r w:rsidR="0024193C" w:rsidRPr="00EA7023">
        <w:rPr>
          <w:rFonts w:ascii="Georgia" w:hAnsi="Georgia" w:cs="Arial"/>
          <w:lang w:val="es-419"/>
        </w:rPr>
        <w:t>(iii) S</w:t>
      </w:r>
      <w:r w:rsidR="00117A8D" w:rsidRPr="00EA7023">
        <w:rPr>
          <w:rFonts w:ascii="Georgia" w:hAnsi="Georgia" w:cs="Arial"/>
          <w:lang w:val="es-419"/>
        </w:rPr>
        <w:t xml:space="preserve">e ordenará devolver el expediente al </w:t>
      </w:r>
      <w:r w:rsidR="00965CD8" w:rsidRPr="00EA7023">
        <w:rPr>
          <w:rFonts w:ascii="Georgia" w:hAnsi="Georgia" w:cs="Arial"/>
          <w:lang w:val="es-419"/>
        </w:rPr>
        <w:t xml:space="preserve">Despacho </w:t>
      </w:r>
      <w:r w:rsidR="00117A8D" w:rsidRPr="00EA7023">
        <w:rPr>
          <w:rFonts w:ascii="Georgia" w:hAnsi="Georgia" w:cs="Arial"/>
          <w:lang w:val="es-419"/>
        </w:rPr>
        <w:t>de origen</w:t>
      </w:r>
      <w:r w:rsidR="004E0BF6" w:rsidRPr="00EA7023">
        <w:rPr>
          <w:rFonts w:ascii="Georgia" w:hAnsi="Georgia" w:cs="Arial"/>
          <w:lang w:val="es-419"/>
        </w:rPr>
        <w:t>.</w:t>
      </w:r>
    </w:p>
    <w:p w:rsidR="00FD758D" w:rsidRPr="00EA7023" w:rsidRDefault="00FD758D" w:rsidP="0008479D">
      <w:pPr>
        <w:spacing w:line="288" w:lineRule="auto"/>
        <w:jc w:val="both"/>
        <w:rPr>
          <w:rFonts w:ascii="Georgia" w:hAnsi="Georgia" w:cs="Arial"/>
          <w:lang w:val="es-419"/>
        </w:rPr>
      </w:pPr>
    </w:p>
    <w:p w:rsidR="00117A8D" w:rsidRPr="00EA7023" w:rsidRDefault="00117A8D" w:rsidP="0008479D">
      <w:pPr>
        <w:tabs>
          <w:tab w:val="left" w:pos="-720"/>
        </w:tabs>
        <w:suppressAutoHyphens/>
        <w:spacing w:line="288" w:lineRule="auto"/>
        <w:jc w:val="both"/>
        <w:rPr>
          <w:rFonts w:ascii="Georgia" w:hAnsi="Georgia" w:cs="Arial"/>
          <w:spacing w:val="-3"/>
          <w:lang w:val="es-419"/>
        </w:rPr>
      </w:pPr>
      <w:r w:rsidRPr="00EA7023">
        <w:rPr>
          <w:rFonts w:ascii="Georgia" w:hAnsi="Georgia" w:cs="Arial"/>
          <w:lang w:val="es-419"/>
        </w:rPr>
        <w:t xml:space="preserve">En mérito de lo discurrido en los acápites precedentes, el </w:t>
      </w:r>
      <w:r w:rsidRPr="00EA7023">
        <w:rPr>
          <w:rFonts w:ascii="Georgia" w:hAnsi="Georgia" w:cs="Arial"/>
          <w:smallCaps/>
          <w:lang w:val="es-419"/>
        </w:rPr>
        <w:t xml:space="preserve">Tribunal Superior del Distrito Judicial de Pereira, Sala </w:t>
      </w:r>
      <w:r w:rsidR="00426051" w:rsidRPr="00EA7023">
        <w:rPr>
          <w:rFonts w:ascii="Georgia" w:hAnsi="Georgia" w:cs="Arial"/>
          <w:smallCaps/>
          <w:lang w:val="es-419"/>
        </w:rPr>
        <w:t>Dual</w:t>
      </w:r>
      <w:r w:rsidRPr="00EA7023">
        <w:rPr>
          <w:rFonts w:ascii="Georgia" w:hAnsi="Georgia" w:cs="Arial"/>
          <w:smallCaps/>
          <w:lang w:val="es-419"/>
        </w:rPr>
        <w:t xml:space="preserve"> de Decisión</w:t>
      </w:r>
      <w:r w:rsidRPr="00EA7023">
        <w:rPr>
          <w:rFonts w:ascii="Georgia" w:hAnsi="Georgia" w:cs="Arial"/>
          <w:lang w:val="es-419"/>
        </w:rPr>
        <w:t>,</w:t>
      </w:r>
    </w:p>
    <w:p w:rsidR="0015779E" w:rsidRPr="00EA7023" w:rsidRDefault="0015779E" w:rsidP="0008479D">
      <w:pPr>
        <w:pStyle w:val="Sinespaciado"/>
        <w:spacing w:line="288" w:lineRule="auto"/>
        <w:jc w:val="center"/>
        <w:rPr>
          <w:rFonts w:ascii="Georgia" w:hAnsi="Georgia" w:cs="Arial"/>
          <w:sz w:val="18"/>
          <w:szCs w:val="24"/>
          <w:lang w:val="es-419"/>
        </w:rPr>
      </w:pPr>
    </w:p>
    <w:p w:rsidR="00117A8D" w:rsidRPr="00EA7023" w:rsidRDefault="00EA7023" w:rsidP="0008479D">
      <w:pPr>
        <w:pStyle w:val="Sinespaciado"/>
        <w:spacing w:line="288" w:lineRule="auto"/>
        <w:jc w:val="center"/>
        <w:rPr>
          <w:rFonts w:ascii="Georgia" w:hAnsi="Georgia" w:cs="Arial"/>
          <w:sz w:val="24"/>
          <w:szCs w:val="24"/>
          <w:lang w:val="es-419"/>
        </w:rPr>
      </w:pPr>
      <w:r>
        <w:rPr>
          <w:rFonts w:ascii="Georgia" w:hAnsi="Georgia" w:cs="Arial"/>
          <w:sz w:val="24"/>
          <w:szCs w:val="24"/>
          <w:lang w:val="es-419"/>
        </w:rPr>
        <w:t>R E S U E L V E</w:t>
      </w:r>
    </w:p>
    <w:p w:rsidR="00117A8D" w:rsidRPr="00EA7023" w:rsidRDefault="00117A8D" w:rsidP="0008479D">
      <w:pPr>
        <w:pStyle w:val="Sinespaciado"/>
        <w:spacing w:line="288" w:lineRule="auto"/>
        <w:jc w:val="center"/>
        <w:rPr>
          <w:rFonts w:ascii="Georgia" w:hAnsi="Georgia" w:cs="Arial"/>
          <w:sz w:val="24"/>
          <w:szCs w:val="24"/>
          <w:lang w:val="es-419"/>
        </w:rPr>
      </w:pPr>
    </w:p>
    <w:p w:rsidR="00117A8D" w:rsidRPr="00EA7023" w:rsidRDefault="000D1948" w:rsidP="0008479D">
      <w:pPr>
        <w:pStyle w:val="Textopredeterminado"/>
        <w:numPr>
          <w:ilvl w:val="0"/>
          <w:numId w:val="1"/>
        </w:numPr>
        <w:spacing w:line="288" w:lineRule="auto"/>
        <w:mirrorIndents/>
        <w:jc w:val="both"/>
        <w:rPr>
          <w:rFonts w:ascii="Georgia" w:hAnsi="Georgia" w:cs="Arial"/>
          <w:szCs w:val="24"/>
          <w:lang w:val="es-419"/>
        </w:rPr>
      </w:pPr>
      <w:r w:rsidRPr="00EA7023">
        <w:rPr>
          <w:rFonts w:ascii="Georgia" w:hAnsi="Georgia" w:cs="Arial"/>
          <w:szCs w:val="24"/>
          <w:lang w:val="es-419"/>
        </w:rPr>
        <w:lastRenderedPageBreak/>
        <w:t xml:space="preserve">CONFIRMAR </w:t>
      </w:r>
      <w:r w:rsidR="00117A8D" w:rsidRPr="00EA7023">
        <w:rPr>
          <w:rFonts w:ascii="Georgia" w:hAnsi="Georgia" w:cs="Arial"/>
          <w:szCs w:val="24"/>
          <w:lang w:val="es-419"/>
        </w:rPr>
        <w:t xml:space="preserve">el auto </w:t>
      </w:r>
      <w:r w:rsidRPr="00EA7023">
        <w:rPr>
          <w:rFonts w:ascii="Georgia" w:hAnsi="Georgia" w:cs="Arial"/>
          <w:szCs w:val="24"/>
          <w:lang w:val="es-419"/>
        </w:rPr>
        <w:t>d</w:t>
      </w:r>
      <w:r w:rsidR="005D79C8" w:rsidRPr="00EA7023">
        <w:rPr>
          <w:rFonts w:ascii="Georgia" w:hAnsi="Georgia" w:cs="Arial"/>
          <w:szCs w:val="24"/>
          <w:lang w:val="es-419"/>
        </w:rPr>
        <w:t>el día</w:t>
      </w:r>
      <w:r w:rsidR="008F4A6C" w:rsidRPr="00EA7023">
        <w:rPr>
          <w:rFonts w:ascii="Georgia" w:hAnsi="Georgia" w:cs="Arial"/>
          <w:szCs w:val="24"/>
          <w:lang w:val="es-419"/>
        </w:rPr>
        <w:t xml:space="preserve"> </w:t>
      </w:r>
      <w:r w:rsidR="00146D10" w:rsidRPr="00EA7023">
        <w:rPr>
          <w:rFonts w:ascii="Georgia" w:hAnsi="Georgia" w:cs="Arial"/>
          <w:szCs w:val="24"/>
          <w:lang w:val="es-419"/>
        </w:rPr>
        <w:t>28-02</w:t>
      </w:r>
      <w:r w:rsidR="008F4A6C" w:rsidRPr="00EA7023">
        <w:rPr>
          <w:rFonts w:ascii="Georgia" w:hAnsi="Georgia" w:cs="Arial"/>
          <w:szCs w:val="24"/>
          <w:lang w:val="es-419"/>
        </w:rPr>
        <w:t>-201</w:t>
      </w:r>
      <w:r w:rsidR="00146D10" w:rsidRPr="00EA7023">
        <w:rPr>
          <w:rFonts w:ascii="Georgia" w:hAnsi="Georgia" w:cs="Arial"/>
          <w:szCs w:val="24"/>
          <w:lang w:val="es-419"/>
        </w:rPr>
        <w:t>9</w:t>
      </w:r>
      <w:r w:rsidR="005D79C8" w:rsidRPr="00EA7023">
        <w:rPr>
          <w:rFonts w:ascii="Georgia" w:hAnsi="Georgia" w:cs="Arial"/>
          <w:szCs w:val="24"/>
          <w:lang w:val="es-419"/>
        </w:rPr>
        <w:t xml:space="preserve"> </w:t>
      </w:r>
      <w:r w:rsidR="00657E40" w:rsidRPr="00EA7023">
        <w:rPr>
          <w:rFonts w:ascii="Georgia" w:hAnsi="Georgia" w:cs="Arial"/>
          <w:szCs w:val="24"/>
          <w:lang w:val="es-419"/>
        </w:rPr>
        <w:t xml:space="preserve">proferido por el </w:t>
      </w:r>
      <w:r w:rsidR="002C6047" w:rsidRPr="00EA7023">
        <w:rPr>
          <w:rFonts w:ascii="Georgia" w:hAnsi="Georgia" w:cs="Arial"/>
          <w:szCs w:val="24"/>
          <w:lang w:val="es-419"/>
        </w:rPr>
        <w:t>Despacho de la Magistrada Claudia María Arcila Ríos</w:t>
      </w:r>
      <w:r w:rsidR="00117A8D" w:rsidRPr="00EA7023">
        <w:rPr>
          <w:rFonts w:ascii="Georgia" w:hAnsi="Georgia" w:cs="Arial"/>
          <w:szCs w:val="24"/>
          <w:lang w:val="es-419"/>
        </w:rPr>
        <w:t>.</w:t>
      </w:r>
    </w:p>
    <w:p w:rsidR="00CF53CA" w:rsidRPr="00EA7023" w:rsidRDefault="00CF53CA" w:rsidP="0008479D">
      <w:pPr>
        <w:pStyle w:val="Textopredeterminado"/>
        <w:spacing w:line="288" w:lineRule="auto"/>
        <w:ind w:left="360"/>
        <w:mirrorIndents/>
        <w:jc w:val="both"/>
        <w:rPr>
          <w:rFonts w:ascii="Georgia" w:hAnsi="Georgia" w:cs="Arial"/>
          <w:szCs w:val="24"/>
          <w:lang w:val="es-419"/>
        </w:rPr>
      </w:pPr>
    </w:p>
    <w:p w:rsidR="00117A8D" w:rsidRPr="00EA7023" w:rsidRDefault="00117A8D" w:rsidP="0008479D">
      <w:pPr>
        <w:pStyle w:val="Textopredeterminado"/>
        <w:numPr>
          <w:ilvl w:val="0"/>
          <w:numId w:val="1"/>
        </w:numPr>
        <w:spacing w:line="288" w:lineRule="auto"/>
        <w:mirrorIndents/>
        <w:jc w:val="both"/>
        <w:rPr>
          <w:rFonts w:ascii="Georgia" w:hAnsi="Georgia" w:cs="Arial"/>
          <w:szCs w:val="24"/>
          <w:lang w:val="es-419"/>
        </w:rPr>
      </w:pPr>
      <w:r w:rsidRPr="00EA7023">
        <w:rPr>
          <w:rFonts w:ascii="Georgia" w:hAnsi="Georgia" w:cs="Arial"/>
          <w:szCs w:val="24"/>
          <w:lang w:val="es-419"/>
        </w:rPr>
        <w:t>ADVERTIR que esta decisión es irrecurrible.</w:t>
      </w:r>
    </w:p>
    <w:p w:rsidR="007F7968" w:rsidRPr="00EA7023" w:rsidRDefault="007F7968" w:rsidP="0008479D">
      <w:pPr>
        <w:pStyle w:val="Prrafodelista"/>
        <w:spacing w:line="288" w:lineRule="auto"/>
        <w:contextualSpacing w:val="0"/>
        <w:mirrorIndents/>
        <w:rPr>
          <w:rFonts w:ascii="Georgia" w:hAnsi="Georgia" w:cs="Arial"/>
          <w:lang w:val="es-419"/>
        </w:rPr>
      </w:pPr>
    </w:p>
    <w:p w:rsidR="00117A8D" w:rsidRDefault="00117A8D" w:rsidP="0008479D">
      <w:pPr>
        <w:pStyle w:val="Textopredeterminado"/>
        <w:numPr>
          <w:ilvl w:val="0"/>
          <w:numId w:val="1"/>
        </w:numPr>
        <w:spacing w:line="288" w:lineRule="auto"/>
        <w:mirrorIndents/>
        <w:jc w:val="both"/>
        <w:rPr>
          <w:rFonts w:ascii="Georgia" w:hAnsi="Georgia" w:cs="Arial"/>
          <w:szCs w:val="24"/>
          <w:lang w:val="es-419"/>
        </w:rPr>
      </w:pPr>
      <w:r w:rsidRPr="00EA7023">
        <w:rPr>
          <w:rFonts w:ascii="Georgia" w:hAnsi="Georgia" w:cs="Arial"/>
          <w:szCs w:val="24"/>
          <w:lang w:val="es-419"/>
        </w:rPr>
        <w:t xml:space="preserve">DEVOLVER el expediente al </w:t>
      </w:r>
      <w:r w:rsidR="00657E40" w:rsidRPr="00EA7023">
        <w:rPr>
          <w:rFonts w:ascii="Georgia" w:hAnsi="Georgia" w:cs="Arial"/>
          <w:szCs w:val="24"/>
          <w:lang w:val="es-419"/>
        </w:rPr>
        <w:t>Despacho de origen</w:t>
      </w:r>
      <w:r w:rsidR="00C46C9B" w:rsidRPr="00EA7023">
        <w:rPr>
          <w:rFonts w:ascii="Georgia" w:hAnsi="Georgia" w:cs="Arial"/>
          <w:szCs w:val="24"/>
          <w:lang w:val="es-419"/>
        </w:rPr>
        <w:t>, por conducto de la Secretaría de esta Corporación.</w:t>
      </w:r>
    </w:p>
    <w:p w:rsidR="00EA7023" w:rsidRDefault="00EA7023" w:rsidP="00EA7023">
      <w:pPr>
        <w:pStyle w:val="Prrafodelista"/>
        <w:rPr>
          <w:rFonts w:ascii="Georgia" w:hAnsi="Georgia" w:cs="Arial"/>
          <w:lang w:val="es-419"/>
        </w:rPr>
      </w:pPr>
    </w:p>
    <w:p w:rsidR="00EA7023" w:rsidRPr="00EA7023" w:rsidRDefault="00EA7023" w:rsidP="00EA7023">
      <w:pPr>
        <w:pStyle w:val="Textopredeterminado"/>
        <w:spacing w:line="288" w:lineRule="auto"/>
        <w:ind w:left="360"/>
        <w:mirrorIndents/>
        <w:jc w:val="both"/>
        <w:rPr>
          <w:rFonts w:ascii="Georgia" w:hAnsi="Georgia" w:cs="Arial"/>
          <w:szCs w:val="24"/>
          <w:lang w:val="es-419"/>
        </w:rPr>
      </w:pPr>
    </w:p>
    <w:p w:rsidR="005F57E8" w:rsidRPr="00EA7023" w:rsidRDefault="00EA7023" w:rsidP="00EA7023">
      <w:pPr>
        <w:pStyle w:val="Sinespaciado"/>
        <w:spacing w:line="288" w:lineRule="auto"/>
        <w:jc w:val="center"/>
        <w:rPr>
          <w:rFonts w:ascii="Georgia" w:hAnsi="Georgia" w:cs="Arial"/>
          <w:smallCaps/>
          <w:spacing w:val="20"/>
          <w:w w:val="150"/>
          <w:sz w:val="28"/>
          <w:szCs w:val="24"/>
          <w:lang w:val="es-419"/>
        </w:rPr>
      </w:pPr>
      <w:r>
        <w:rPr>
          <w:rFonts w:ascii="Georgia" w:hAnsi="Georgia" w:cs="Arial"/>
          <w:smallCaps/>
          <w:sz w:val="28"/>
          <w:szCs w:val="24"/>
          <w:lang w:val="es-419"/>
        </w:rPr>
        <w:t>Notifíquese</w:t>
      </w:r>
    </w:p>
    <w:p w:rsidR="0015779E" w:rsidRPr="00EA7023" w:rsidRDefault="0015779E" w:rsidP="0008479D">
      <w:pPr>
        <w:pStyle w:val="Sinespaciado"/>
        <w:spacing w:line="288" w:lineRule="auto"/>
        <w:jc w:val="center"/>
        <w:rPr>
          <w:rFonts w:ascii="Georgia" w:hAnsi="Georgia" w:cs="Arial"/>
          <w:spacing w:val="20"/>
          <w:w w:val="150"/>
          <w:sz w:val="24"/>
          <w:szCs w:val="24"/>
          <w:lang w:val="es-419"/>
        </w:rPr>
      </w:pPr>
    </w:p>
    <w:p w:rsidR="004B2E16" w:rsidRPr="00EA7023" w:rsidRDefault="004B2E16" w:rsidP="0008479D">
      <w:pPr>
        <w:pStyle w:val="Sinespaciado"/>
        <w:spacing w:line="288" w:lineRule="auto"/>
        <w:jc w:val="center"/>
        <w:rPr>
          <w:rFonts w:ascii="Georgia" w:hAnsi="Georgia" w:cs="Arial"/>
          <w:spacing w:val="20"/>
          <w:w w:val="150"/>
          <w:sz w:val="24"/>
          <w:szCs w:val="24"/>
          <w:lang w:val="es-419"/>
        </w:rPr>
      </w:pPr>
    </w:p>
    <w:p w:rsidR="0015779E" w:rsidRPr="00EA7023" w:rsidRDefault="0015779E" w:rsidP="0008479D">
      <w:pPr>
        <w:pStyle w:val="Sinespaciado"/>
        <w:spacing w:line="288" w:lineRule="auto"/>
        <w:jc w:val="center"/>
        <w:rPr>
          <w:rFonts w:ascii="Georgia" w:hAnsi="Georgia" w:cs="Arial"/>
          <w:spacing w:val="20"/>
          <w:w w:val="150"/>
          <w:sz w:val="24"/>
          <w:szCs w:val="24"/>
          <w:lang w:val="es-419"/>
        </w:rPr>
      </w:pPr>
    </w:p>
    <w:p w:rsidR="00CF6C8E" w:rsidRPr="00EA7023" w:rsidRDefault="00CF6C8E" w:rsidP="0008479D">
      <w:pPr>
        <w:pStyle w:val="Sinespaciado"/>
        <w:spacing w:line="288" w:lineRule="auto"/>
        <w:jc w:val="center"/>
        <w:rPr>
          <w:rFonts w:ascii="Georgia" w:hAnsi="Georgia" w:cs="Arial"/>
          <w:spacing w:val="20"/>
          <w:w w:val="150"/>
          <w:sz w:val="24"/>
          <w:szCs w:val="24"/>
          <w:lang w:val="es-419"/>
        </w:rPr>
      </w:pPr>
    </w:p>
    <w:p w:rsidR="00CF6C8E" w:rsidRPr="00EA7023" w:rsidRDefault="00CF6C8E" w:rsidP="0008479D">
      <w:pPr>
        <w:pStyle w:val="Sinespaciado"/>
        <w:spacing w:line="288" w:lineRule="auto"/>
        <w:jc w:val="center"/>
        <w:rPr>
          <w:rFonts w:ascii="Georgia" w:hAnsi="Georgia" w:cs="Arial"/>
          <w:spacing w:val="20"/>
          <w:w w:val="150"/>
          <w:sz w:val="24"/>
          <w:szCs w:val="24"/>
          <w:lang w:val="es-419"/>
        </w:rPr>
      </w:pPr>
    </w:p>
    <w:p w:rsidR="0015779E" w:rsidRPr="00EA7023" w:rsidRDefault="0015779E" w:rsidP="00084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18"/>
          <w:lang w:val="es-419"/>
        </w:rPr>
      </w:pPr>
      <w:r w:rsidRPr="00EA7023">
        <w:rPr>
          <w:rFonts w:ascii="Georgia" w:hAnsi="Georgia"/>
          <w:w w:val="150"/>
          <w:lang w:val="es-419"/>
        </w:rPr>
        <w:t>D</w:t>
      </w:r>
      <w:r w:rsidRPr="00EA7023">
        <w:rPr>
          <w:rFonts w:ascii="Georgia" w:hAnsi="Georgia"/>
          <w:w w:val="150"/>
          <w:sz w:val="18"/>
          <w:szCs w:val="18"/>
          <w:lang w:val="es-419"/>
        </w:rPr>
        <w:t xml:space="preserve">UBERNEY </w:t>
      </w:r>
      <w:r w:rsidRPr="00EA7023">
        <w:rPr>
          <w:rFonts w:ascii="Georgia" w:hAnsi="Georgia"/>
          <w:w w:val="150"/>
          <w:lang w:val="es-419"/>
        </w:rPr>
        <w:t>G</w:t>
      </w:r>
      <w:r w:rsidRPr="00EA7023">
        <w:rPr>
          <w:rFonts w:ascii="Georgia" w:hAnsi="Georgia"/>
          <w:w w:val="150"/>
          <w:sz w:val="18"/>
          <w:szCs w:val="18"/>
          <w:lang w:val="es-419"/>
        </w:rPr>
        <w:t xml:space="preserve">RISALES </w:t>
      </w:r>
      <w:r w:rsidRPr="00EA7023">
        <w:rPr>
          <w:rFonts w:ascii="Georgia" w:hAnsi="Georgia"/>
          <w:w w:val="150"/>
          <w:lang w:val="es-419"/>
        </w:rPr>
        <w:t>H</w:t>
      </w:r>
      <w:r w:rsidRPr="00EA7023">
        <w:rPr>
          <w:rFonts w:ascii="Georgia" w:hAnsi="Georgia"/>
          <w:w w:val="150"/>
          <w:sz w:val="18"/>
          <w:szCs w:val="18"/>
          <w:lang w:val="es-419"/>
        </w:rPr>
        <w:t>ERRERA</w:t>
      </w:r>
      <w:r w:rsidRPr="00EA7023">
        <w:rPr>
          <w:rFonts w:ascii="Georgia" w:hAnsi="Georgia"/>
          <w:w w:val="150"/>
          <w:szCs w:val="18"/>
          <w:lang w:val="es-419"/>
        </w:rPr>
        <w:t xml:space="preserve"> </w:t>
      </w:r>
      <w:r w:rsidRPr="00EA7023">
        <w:rPr>
          <w:rFonts w:ascii="Georgia" w:hAnsi="Georgia"/>
          <w:w w:val="150"/>
          <w:szCs w:val="18"/>
          <w:lang w:val="es-419"/>
        </w:rPr>
        <w:tab/>
        <w:t>E</w:t>
      </w:r>
      <w:r w:rsidRPr="00EA7023">
        <w:rPr>
          <w:rFonts w:ascii="Georgia" w:hAnsi="Georgia"/>
          <w:w w:val="150"/>
          <w:sz w:val="18"/>
          <w:szCs w:val="18"/>
          <w:lang w:val="es-419"/>
        </w:rPr>
        <w:t>DDER</w:t>
      </w:r>
      <w:r w:rsidRPr="00EA7023">
        <w:rPr>
          <w:rFonts w:ascii="Georgia" w:hAnsi="Georgia"/>
          <w:w w:val="150"/>
          <w:sz w:val="16"/>
          <w:lang w:val="es-419"/>
        </w:rPr>
        <w:t xml:space="preserve"> </w:t>
      </w:r>
      <w:r w:rsidRPr="00EA7023">
        <w:rPr>
          <w:rFonts w:ascii="Georgia" w:hAnsi="Georgia"/>
          <w:w w:val="150"/>
          <w:lang w:val="es-419"/>
        </w:rPr>
        <w:t>J</w:t>
      </w:r>
      <w:r w:rsidRPr="00EA7023">
        <w:rPr>
          <w:rFonts w:ascii="Georgia" w:hAnsi="Georgia"/>
          <w:w w:val="150"/>
          <w:sz w:val="18"/>
          <w:szCs w:val="18"/>
          <w:lang w:val="es-419"/>
        </w:rPr>
        <w:t>IMMY</w:t>
      </w:r>
      <w:r w:rsidRPr="00EA7023">
        <w:rPr>
          <w:rFonts w:ascii="Georgia" w:hAnsi="Georgia"/>
          <w:w w:val="150"/>
          <w:sz w:val="16"/>
          <w:szCs w:val="18"/>
          <w:lang w:val="es-419"/>
        </w:rPr>
        <w:t xml:space="preserve"> </w:t>
      </w:r>
      <w:r w:rsidRPr="00EA7023">
        <w:rPr>
          <w:rFonts w:ascii="Georgia" w:hAnsi="Georgia"/>
          <w:w w:val="150"/>
          <w:lang w:val="es-419"/>
        </w:rPr>
        <w:t>S</w:t>
      </w:r>
      <w:r w:rsidRPr="00EA7023">
        <w:rPr>
          <w:rFonts w:ascii="Georgia" w:hAnsi="Georgia"/>
          <w:w w:val="150"/>
          <w:sz w:val="18"/>
          <w:szCs w:val="18"/>
          <w:lang w:val="es-419"/>
        </w:rPr>
        <w:t>ÁNCHEZ</w:t>
      </w:r>
      <w:r w:rsidRPr="00EA7023">
        <w:rPr>
          <w:rFonts w:ascii="Georgia" w:hAnsi="Georgia"/>
          <w:w w:val="150"/>
          <w:sz w:val="16"/>
          <w:szCs w:val="18"/>
          <w:lang w:val="es-419"/>
        </w:rPr>
        <w:t xml:space="preserve"> </w:t>
      </w:r>
      <w:r w:rsidRPr="00EA7023">
        <w:rPr>
          <w:rFonts w:ascii="Georgia" w:hAnsi="Georgia"/>
          <w:w w:val="150"/>
          <w:szCs w:val="18"/>
          <w:lang w:val="es-419"/>
        </w:rPr>
        <w:t>C.</w:t>
      </w:r>
    </w:p>
    <w:p w:rsidR="00646B1B" w:rsidRPr="00EA7023" w:rsidRDefault="0015779E" w:rsidP="0008479D">
      <w:pPr>
        <w:pStyle w:val="Textoindependiente"/>
        <w:spacing w:line="288" w:lineRule="auto"/>
        <w:rPr>
          <w:rFonts w:ascii="Georgia" w:hAnsi="Georgia"/>
          <w:i/>
          <w:w w:val="150"/>
          <w:sz w:val="10"/>
          <w:szCs w:val="12"/>
          <w:lang w:val="es-419"/>
        </w:rPr>
      </w:pPr>
      <w:r w:rsidRPr="00EA7023">
        <w:rPr>
          <w:rFonts w:ascii="Georgia" w:hAnsi="Georgia" w:cs="Arial"/>
          <w:w w:val="150"/>
          <w:sz w:val="24"/>
          <w:lang w:val="es-419"/>
        </w:rPr>
        <w:t>M</w:t>
      </w:r>
      <w:r w:rsidRPr="00EA7023">
        <w:rPr>
          <w:rFonts w:ascii="Georgia" w:hAnsi="Georgia" w:cs="Arial"/>
          <w:w w:val="150"/>
          <w:sz w:val="16"/>
          <w:lang w:val="es-419"/>
        </w:rPr>
        <w:t xml:space="preserve"> A G I S T R A D O</w:t>
      </w:r>
      <w:r w:rsidRPr="00EA7023">
        <w:rPr>
          <w:rFonts w:ascii="Georgia" w:hAnsi="Georgia" w:cs="Arial"/>
          <w:w w:val="150"/>
          <w:sz w:val="24"/>
          <w:lang w:val="es-419"/>
        </w:rPr>
        <w:t xml:space="preserve"> </w:t>
      </w:r>
      <w:r w:rsidRPr="00EA7023">
        <w:rPr>
          <w:rFonts w:ascii="Georgia" w:hAnsi="Georgia" w:cs="Arial"/>
          <w:w w:val="150"/>
          <w:sz w:val="24"/>
          <w:lang w:val="es-419"/>
        </w:rPr>
        <w:tab/>
      </w:r>
      <w:r w:rsidRPr="00EA7023">
        <w:rPr>
          <w:rFonts w:ascii="Georgia" w:hAnsi="Georgia" w:cs="Arial"/>
          <w:w w:val="150"/>
          <w:sz w:val="24"/>
          <w:lang w:val="es-419"/>
        </w:rPr>
        <w:tab/>
      </w:r>
      <w:r w:rsidRPr="00EA7023">
        <w:rPr>
          <w:rFonts w:ascii="Georgia" w:hAnsi="Georgia" w:cs="Arial"/>
          <w:w w:val="150"/>
          <w:sz w:val="24"/>
          <w:lang w:val="es-419"/>
        </w:rPr>
        <w:tab/>
      </w:r>
      <w:r w:rsidRPr="00EA7023">
        <w:rPr>
          <w:rFonts w:ascii="Georgia" w:hAnsi="Georgia" w:cs="Arial"/>
          <w:w w:val="150"/>
          <w:sz w:val="24"/>
          <w:lang w:val="es-419"/>
        </w:rPr>
        <w:tab/>
        <w:t>M</w:t>
      </w:r>
      <w:r w:rsidRPr="00EA7023">
        <w:rPr>
          <w:rFonts w:ascii="Georgia" w:hAnsi="Georgia" w:cs="Arial"/>
          <w:w w:val="150"/>
          <w:sz w:val="16"/>
          <w:lang w:val="es-419"/>
        </w:rPr>
        <w:t xml:space="preserve"> A G I S T R A D O</w:t>
      </w:r>
    </w:p>
    <w:sectPr w:rsidR="00646B1B" w:rsidRPr="00EA7023" w:rsidSect="00703414">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C4" w:rsidRDefault="00A16CC4" w:rsidP="004D2025">
      <w:r>
        <w:separator/>
      </w:r>
    </w:p>
  </w:endnote>
  <w:endnote w:type="continuationSeparator" w:id="0">
    <w:p w:rsidR="00A16CC4" w:rsidRDefault="00A16CC4"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C4" w:rsidRDefault="00A16CC4" w:rsidP="004D2025">
      <w:r>
        <w:separator/>
      </w:r>
    </w:p>
  </w:footnote>
  <w:footnote w:type="continuationSeparator" w:id="0">
    <w:p w:rsidR="00A16CC4" w:rsidRDefault="00A16CC4" w:rsidP="004D2025">
      <w:r>
        <w:continuationSeparator/>
      </w:r>
    </w:p>
  </w:footnote>
  <w:footnote w:id="1">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ESCOBAR V. Édgar G. Los recursos en el Código General del Proceso. Librería jurídica Sánchez R. Ltda. 2015, p.37.</w:t>
      </w:r>
    </w:p>
  </w:footnote>
  <w:footnote w:id="2">
    <w:p w:rsidR="00697179" w:rsidRPr="0008479D" w:rsidRDefault="00697179" w:rsidP="00F748E2">
      <w:pPr>
        <w:pStyle w:val="Textonotapie"/>
        <w:jc w:val="both"/>
        <w:rPr>
          <w:rFonts w:ascii="Arial" w:hAnsi="Arial" w:cs="Arial"/>
          <w:sz w:val="18"/>
        </w:rPr>
      </w:pPr>
      <w:r w:rsidRPr="0008479D">
        <w:rPr>
          <w:rFonts w:ascii="Arial" w:hAnsi="Arial" w:cs="Arial"/>
          <w:sz w:val="18"/>
          <w:vertAlign w:val="superscript"/>
        </w:rPr>
        <w:footnoteRef/>
      </w:r>
      <w:r w:rsidRPr="0008479D">
        <w:rPr>
          <w:rFonts w:ascii="Arial" w:hAnsi="Arial" w:cs="Arial"/>
          <w:sz w:val="18"/>
        </w:rPr>
        <w:t xml:space="preserve"> </w:t>
      </w:r>
      <w:r w:rsidRPr="0008479D">
        <w:rPr>
          <w:rFonts w:ascii="Arial" w:hAnsi="Arial" w:cs="Arial"/>
          <w:sz w:val="18"/>
          <w:lang w:val="es-CO"/>
        </w:rPr>
        <w:t xml:space="preserve">LÓPEZ B., Hernán F. Código General del Proceso, parte general, Bogotá DC, </w:t>
      </w:r>
      <w:proofErr w:type="spellStart"/>
      <w:r w:rsidRPr="0008479D">
        <w:rPr>
          <w:rFonts w:ascii="Arial" w:hAnsi="Arial" w:cs="Arial"/>
          <w:sz w:val="18"/>
          <w:lang w:val="es-CO"/>
        </w:rPr>
        <w:t>Dupre</w:t>
      </w:r>
      <w:proofErr w:type="spellEnd"/>
      <w:r w:rsidRPr="0008479D">
        <w:rPr>
          <w:rFonts w:ascii="Arial" w:hAnsi="Arial" w:cs="Arial"/>
          <w:sz w:val="18"/>
          <w:lang w:val="es-CO"/>
        </w:rPr>
        <w:t xml:space="preserve"> editores, 2016, p.769-776</w:t>
      </w:r>
      <w:r w:rsidRPr="0008479D">
        <w:rPr>
          <w:rFonts w:ascii="Arial" w:hAnsi="Arial" w:cs="Arial"/>
          <w:sz w:val="18"/>
        </w:rPr>
        <w:t>.</w:t>
      </w:r>
    </w:p>
  </w:footnote>
  <w:footnote w:id="3">
    <w:p w:rsidR="00697179" w:rsidRPr="0008479D" w:rsidRDefault="00697179" w:rsidP="00F748E2">
      <w:pPr>
        <w:pStyle w:val="Textonotapie"/>
        <w:jc w:val="both"/>
        <w:rPr>
          <w:rFonts w:ascii="Arial" w:hAnsi="Arial" w:cs="Arial"/>
          <w:sz w:val="18"/>
        </w:rPr>
      </w:pPr>
      <w:r w:rsidRPr="0008479D">
        <w:rPr>
          <w:rFonts w:ascii="Arial" w:hAnsi="Arial" w:cs="Arial"/>
          <w:sz w:val="18"/>
          <w:vertAlign w:val="superscript"/>
        </w:rPr>
        <w:footnoteRef/>
      </w:r>
      <w:r w:rsidRPr="0008479D">
        <w:rPr>
          <w:rFonts w:ascii="Arial" w:hAnsi="Arial" w:cs="Arial"/>
          <w:sz w:val="18"/>
        </w:rPr>
        <w:t xml:space="preserve"> PARRA Q., Jairo. Derecho procesal civil, tomo I, Santafé de Bogotá D.C., Temis, 1992, p.276.</w:t>
      </w:r>
    </w:p>
  </w:footnote>
  <w:footnote w:id="4">
    <w:p w:rsidR="00697179" w:rsidRPr="0008479D" w:rsidRDefault="00697179" w:rsidP="00F748E2">
      <w:pPr>
        <w:pStyle w:val="Sinespaciado"/>
        <w:jc w:val="both"/>
        <w:rPr>
          <w:rFonts w:ascii="Arial" w:hAnsi="Arial" w:cs="Arial"/>
          <w:sz w:val="18"/>
          <w:szCs w:val="20"/>
        </w:rPr>
      </w:pPr>
      <w:r w:rsidRPr="0008479D">
        <w:rPr>
          <w:rFonts w:ascii="Arial" w:hAnsi="Arial" w:cs="Arial"/>
          <w:sz w:val="18"/>
          <w:szCs w:val="20"/>
          <w:vertAlign w:val="superscript"/>
        </w:rPr>
        <w:footnoteRef/>
      </w:r>
      <w:r w:rsidRPr="0008479D">
        <w:rPr>
          <w:rFonts w:ascii="Arial" w:hAnsi="Arial" w:cs="Arial"/>
          <w:sz w:val="18"/>
          <w:szCs w:val="20"/>
        </w:rPr>
        <w:t xml:space="preserve"> </w:t>
      </w:r>
      <w:r w:rsidRPr="0008479D">
        <w:rPr>
          <w:rFonts w:ascii="Arial" w:hAnsi="Arial" w:cs="Arial"/>
          <w:sz w:val="18"/>
          <w:szCs w:val="20"/>
          <w:lang w:val="es-CO"/>
        </w:rPr>
        <w:t xml:space="preserve">LÓPEZ B., Hernán F. </w:t>
      </w:r>
      <w:r w:rsidRPr="0008479D">
        <w:rPr>
          <w:rFonts w:ascii="Arial" w:hAnsi="Arial" w:cs="Arial"/>
          <w:sz w:val="18"/>
          <w:szCs w:val="20"/>
        </w:rPr>
        <w:t>Ob. cit., p.769.</w:t>
      </w:r>
    </w:p>
  </w:footnote>
  <w:footnote w:id="5">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0082191A" w:rsidRPr="0008479D">
        <w:rPr>
          <w:rFonts w:ascii="Arial" w:hAnsi="Arial" w:cs="Arial"/>
          <w:sz w:val="18"/>
          <w:lang w:val="es-CO"/>
        </w:rPr>
        <w:t xml:space="preserve">ROJAS G., Miguel E. Lecciones de derecho procesal, procedimiento civil, tomo II, </w:t>
      </w:r>
      <w:proofErr w:type="spellStart"/>
      <w:r w:rsidR="0082191A" w:rsidRPr="0008479D">
        <w:rPr>
          <w:rFonts w:ascii="Arial" w:hAnsi="Arial" w:cs="Arial"/>
          <w:sz w:val="18"/>
          <w:lang w:val="es-CO"/>
        </w:rPr>
        <w:t>ESAJU</w:t>
      </w:r>
      <w:proofErr w:type="spellEnd"/>
      <w:r w:rsidR="0082191A" w:rsidRPr="0008479D">
        <w:rPr>
          <w:rFonts w:ascii="Arial" w:hAnsi="Arial" w:cs="Arial"/>
          <w:sz w:val="18"/>
          <w:lang w:val="es-CO"/>
        </w:rPr>
        <w:t>, 2017, 6ª edición, Bogotá DC, p.</w:t>
      </w:r>
      <w:r w:rsidR="00504088" w:rsidRPr="0008479D">
        <w:rPr>
          <w:rFonts w:ascii="Arial" w:hAnsi="Arial" w:cs="Arial"/>
          <w:sz w:val="18"/>
          <w:lang w:val="es-CO"/>
        </w:rPr>
        <w:t>429</w:t>
      </w:r>
      <w:r w:rsidRPr="0008479D">
        <w:rPr>
          <w:rFonts w:ascii="Arial" w:hAnsi="Arial" w:cs="Arial"/>
          <w:sz w:val="18"/>
          <w:lang w:val="es-CO"/>
        </w:rPr>
        <w:t>.</w:t>
      </w:r>
    </w:p>
  </w:footnote>
  <w:footnote w:id="6">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 xml:space="preserve">CSJ. Sala Civil. Sentencia del 17-09-1992; </w:t>
      </w:r>
      <w:proofErr w:type="spellStart"/>
      <w:r w:rsidRPr="0008479D">
        <w:rPr>
          <w:rFonts w:ascii="Arial" w:hAnsi="Arial" w:cs="Arial"/>
          <w:sz w:val="18"/>
          <w:lang w:val="es-CO"/>
        </w:rPr>
        <w:t>MP</w:t>
      </w:r>
      <w:proofErr w:type="spellEnd"/>
      <w:r w:rsidRPr="0008479D">
        <w:rPr>
          <w:rFonts w:ascii="Arial" w:hAnsi="Arial" w:cs="Arial"/>
          <w:sz w:val="18"/>
          <w:lang w:val="es-CO"/>
        </w:rPr>
        <w:t>: Ospina B.</w:t>
      </w:r>
    </w:p>
  </w:footnote>
  <w:footnote w:id="7">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CSJ. STC5273-2016.</w:t>
      </w:r>
    </w:p>
  </w:footnote>
  <w:footnote w:id="8">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00E00EC0" w:rsidRPr="0008479D">
        <w:rPr>
          <w:rFonts w:ascii="Arial" w:hAnsi="Arial" w:cs="Arial"/>
          <w:sz w:val="18"/>
          <w:lang w:val="es-CO"/>
        </w:rPr>
        <w:t xml:space="preserve">LÓPEZ B., Hernán F. </w:t>
      </w:r>
      <w:r w:rsidR="00E00EC0" w:rsidRPr="0008479D">
        <w:rPr>
          <w:rFonts w:ascii="Arial" w:hAnsi="Arial" w:cs="Arial"/>
          <w:sz w:val="18"/>
        </w:rPr>
        <w:t>Ob. cit., p.776</w:t>
      </w:r>
      <w:proofErr w:type="gramStart"/>
      <w:r w:rsidR="00E00EC0" w:rsidRPr="0008479D">
        <w:rPr>
          <w:rFonts w:ascii="Arial" w:hAnsi="Arial" w:cs="Arial"/>
          <w:sz w:val="18"/>
        </w:rPr>
        <w:t>.</w:t>
      </w:r>
      <w:r w:rsidR="00AE743F" w:rsidRPr="0008479D">
        <w:rPr>
          <w:rFonts w:ascii="Arial" w:hAnsi="Arial" w:cs="Arial"/>
          <w:sz w:val="18"/>
        </w:rPr>
        <w:t>.</w:t>
      </w:r>
      <w:proofErr w:type="gramEnd"/>
    </w:p>
  </w:footnote>
  <w:footnote w:id="9">
    <w:p w:rsidR="00697179" w:rsidRPr="0008479D" w:rsidRDefault="00697179"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 xml:space="preserve">ROJAS G., Miguel E. Código General del Proceso comentado, </w:t>
      </w:r>
      <w:proofErr w:type="spellStart"/>
      <w:r w:rsidRPr="0008479D">
        <w:rPr>
          <w:rFonts w:ascii="Arial" w:hAnsi="Arial" w:cs="Arial"/>
          <w:sz w:val="18"/>
          <w:lang w:val="es-CO"/>
        </w:rPr>
        <w:t>ESAJU</w:t>
      </w:r>
      <w:proofErr w:type="spellEnd"/>
      <w:r w:rsidRPr="0008479D">
        <w:rPr>
          <w:rFonts w:ascii="Arial" w:hAnsi="Arial" w:cs="Arial"/>
          <w:sz w:val="18"/>
          <w:lang w:val="es-CO"/>
        </w:rPr>
        <w:t>, 2017, Bogotá DC, p.511.</w:t>
      </w:r>
    </w:p>
  </w:footnote>
  <w:footnote w:id="10">
    <w:p w:rsidR="00866E1F" w:rsidRPr="0008479D" w:rsidRDefault="00866E1F"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 xml:space="preserve">CSJ. Sala Civil. </w:t>
      </w:r>
      <w:r w:rsidRPr="0008479D">
        <w:rPr>
          <w:rFonts w:ascii="Arial" w:hAnsi="Arial" w:cs="Arial"/>
          <w:sz w:val="18"/>
        </w:rPr>
        <w:t xml:space="preserve">Providencia del 16-01-2014, </w:t>
      </w:r>
      <w:proofErr w:type="spellStart"/>
      <w:r w:rsidRPr="0008479D">
        <w:rPr>
          <w:rFonts w:ascii="Arial" w:hAnsi="Arial" w:cs="Arial"/>
          <w:sz w:val="18"/>
        </w:rPr>
        <w:t>MP</w:t>
      </w:r>
      <w:proofErr w:type="spellEnd"/>
      <w:r w:rsidRPr="0008479D">
        <w:rPr>
          <w:rFonts w:ascii="Arial" w:hAnsi="Arial" w:cs="Arial"/>
          <w:sz w:val="18"/>
        </w:rPr>
        <w:t>: Salazar R., No.2005-00753-01.</w:t>
      </w:r>
    </w:p>
  </w:footnote>
  <w:footnote w:id="11">
    <w:p w:rsidR="00DC4A03" w:rsidRPr="0008479D" w:rsidRDefault="00DC4A03"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 xml:space="preserve">CSJ. Sala Civil. AC4982-2018 </w:t>
      </w:r>
      <w:r w:rsidR="00E53BF3" w:rsidRPr="0008479D">
        <w:rPr>
          <w:rFonts w:ascii="Arial" w:hAnsi="Arial" w:cs="Arial"/>
          <w:sz w:val="18"/>
          <w:lang w:val="es-CO"/>
        </w:rPr>
        <w:t xml:space="preserve">tesis </w:t>
      </w:r>
      <w:r w:rsidRPr="0008479D">
        <w:rPr>
          <w:rFonts w:ascii="Arial" w:hAnsi="Arial" w:cs="Arial"/>
          <w:sz w:val="18"/>
          <w:lang w:val="es-CO"/>
        </w:rPr>
        <w:t>reiterada en AC338-2019.</w:t>
      </w:r>
    </w:p>
  </w:footnote>
  <w:footnote w:id="12">
    <w:p w:rsidR="00AF0FAE" w:rsidRPr="0008479D" w:rsidRDefault="00AF0FAE" w:rsidP="00F748E2">
      <w:pPr>
        <w:pStyle w:val="Textonotapie"/>
        <w:jc w:val="both"/>
        <w:rPr>
          <w:rFonts w:ascii="Arial" w:hAnsi="Arial" w:cs="Arial"/>
          <w:sz w:val="18"/>
          <w:lang w:val="es-CO"/>
        </w:rPr>
      </w:pPr>
      <w:r w:rsidRPr="0008479D">
        <w:rPr>
          <w:rStyle w:val="Refdenotaalpie"/>
          <w:rFonts w:ascii="Arial" w:hAnsi="Arial" w:cs="Arial"/>
          <w:sz w:val="18"/>
          <w:lang w:val="es-CO"/>
        </w:rPr>
        <w:footnoteRef/>
      </w:r>
      <w:r w:rsidRPr="0008479D">
        <w:rPr>
          <w:rFonts w:ascii="Arial" w:hAnsi="Arial" w:cs="Arial"/>
          <w:sz w:val="18"/>
          <w:lang w:val="es-CO"/>
        </w:rPr>
        <w:t xml:space="preserve"> CC.  T-686 de 2007.</w:t>
      </w:r>
    </w:p>
  </w:footnote>
  <w:footnote w:id="13">
    <w:p w:rsidR="00721C01" w:rsidRPr="0008479D" w:rsidRDefault="00721C01"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Pr="0008479D">
        <w:rPr>
          <w:rFonts w:ascii="Arial" w:hAnsi="Arial" w:cs="Arial"/>
          <w:sz w:val="18"/>
          <w:lang w:val="es-CO"/>
        </w:rPr>
        <w:t>CSJ, Civil.</w:t>
      </w:r>
      <w:r w:rsidR="00295415" w:rsidRPr="0008479D">
        <w:rPr>
          <w:rFonts w:ascii="Arial" w:hAnsi="Arial" w:cs="Arial"/>
          <w:sz w:val="18"/>
          <w:lang w:val="es-CO"/>
        </w:rPr>
        <w:t xml:space="preserve"> STC</w:t>
      </w:r>
      <w:r w:rsidRPr="0008479D">
        <w:rPr>
          <w:rFonts w:ascii="Arial" w:hAnsi="Arial" w:cs="Arial"/>
          <w:sz w:val="18"/>
          <w:lang w:val="es-CO"/>
        </w:rPr>
        <w:t>3616-2018, STC12359-2017,</w:t>
      </w:r>
      <w:r w:rsidR="00295415" w:rsidRPr="0008479D">
        <w:rPr>
          <w:rFonts w:ascii="Arial" w:hAnsi="Arial" w:cs="Arial"/>
          <w:sz w:val="18"/>
          <w:lang w:val="es-CO"/>
        </w:rPr>
        <w:t xml:space="preserve"> STC15373-2016 y STC13141-2015, </w:t>
      </w:r>
      <w:r w:rsidRPr="0008479D">
        <w:rPr>
          <w:rFonts w:ascii="Arial" w:hAnsi="Arial" w:cs="Arial"/>
          <w:sz w:val="18"/>
          <w:lang w:val="es-CO"/>
        </w:rPr>
        <w:t xml:space="preserve">entre otras. </w:t>
      </w:r>
    </w:p>
  </w:footnote>
  <w:footnote w:id="14">
    <w:p w:rsidR="00312A03" w:rsidRPr="0008479D" w:rsidRDefault="00312A03"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r w:rsidR="00F748E2" w:rsidRPr="0008479D">
        <w:rPr>
          <w:rFonts w:ascii="Arial" w:hAnsi="Arial" w:cs="Arial"/>
          <w:sz w:val="18"/>
        </w:rPr>
        <w:t>STC7554-2018, que reitera lo dicho en</w:t>
      </w:r>
      <w:r w:rsidR="00F748E2" w:rsidRPr="0008479D">
        <w:rPr>
          <w:rFonts w:ascii="Arial" w:hAnsi="Arial" w:cs="Arial"/>
          <w:sz w:val="18"/>
          <w:lang w:val="es-CO"/>
        </w:rPr>
        <w:t xml:space="preserve"> STC13141-2015, </w:t>
      </w:r>
      <w:r w:rsidR="007B5F49" w:rsidRPr="0008479D">
        <w:rPr>
          <w:rFonts w:ascii="Arial" w:hAnsi="Arial" w:cs="Arial"/>
          <w:sz w:val="18"/>
          <w:lang w:val="es-CO"/>
        </w:rPr>
        <w:t>STC11442-2017 y STC12359-2017.</w:t>
      </w:r>
    </w:p>
  </w:footnote>
  <w:footnote w:id="15">
    <w:p w:rsidR="00293D63" w:rsidRPr="0008479D" w:rsidRDefault="00293D63" w:rsidP="00F748E2">
      <w:pPr>
        <w:pStyle w:val="Textonotapie"/>
        <w:jc w:val="both"/>
        <w:rPr>
          <w:rFonts w:ascii="Arial" w:hAnsi="Arial" w:cs="Arial"/>
          <w:sz w:val="18"/>
          <w:lang w:val="es-CO"/>
        </w:rPr>
      </w:pPr>
      <w:r w:rsidRPr="0008479D">
        <w:rPr>
          <w:rStyle w:val="Refdenotaalpie"/>
          <w:rFonts w:ascii="Arial" w:hAnsi="Arial" w:cs="Arial"/>
          <w:sz w:val="18"/>
        </w:rPr>
        <w:footnoteRef/>
      </w:r>
      <w:r w:rsidRPr="0008479D">
        <w:rPr>
          <w:rFonts w:ascii="Arial" w:hAnsi="Arial" w:cs="Arial"/>
          <w:sz w:val="18"/>
        </w:rPr>
        <w:t xml:space="preserve"> </w:t>
      </w:r>
      <w:proofErr w:type="spellStart"/>
      <w:r w:rsidRPr="0008479D">
        <w:rPr>
          <w:rFonts w:ascii="Arial" w:hAnsi="Arial" w:cs="Arial"/>
          <w:sz w:val="18"/>
        </w:rPr>
        <w:t>TSP</w:t>
      </w:r>
      <w:proofErr w:type="spellEnd"/>
      <w:r w:rsidRPr="0008479D">
        <w:rPr>
          <w:rFonts w:ascii="Arial" w:hAnsi="Arial" w:cs="Arial"/>
          <w:sz w:val="18"/>
        </w:rPr>
        <w:t xml:space="preserve">, Civil-Familia. </w:t>
      </w:r>
      <w:r w:rsidRPr="0008479D">
        <w:rPr>
          <w:rFonts w:ascii="Arial" w:hAnsi="Arial" w:cs="Arial"/>
          <w:sz w:val="18"/>
          <w:lang w:val="es-CO"/>
        </w:rPr>
        <w:t>Sentencia de</w:t>
      </w:r>
      <w:r w:rsidR="009A7843" w:rsidRPr="0008479D">
        <w:rPr>
          <w:rFonts w:ascii="Arial" w:hAnsi="Arial" w:cs="Arial"/>
          <w:sz w:val="18"/>
          <w:lang w:val="es-CO"/>
        </w:rPr>
        <w:t xml:space="preserve"> 09-12-2015</w:t>
      </w:r>
      <w:r w:rsidRPr="0008479D">
        <w:rPr>
          <w:rFonts w:ascii="Arial" w:hAnsi="Arial" w:cs="Arial"/>
          <w:sz w:val="18"/>
        </w:rPr>
        <w:t xml:space="preserve">; </w:t>
      </w:r>
      <w:proofErr w:type="spellStart"/>
      <w:r w:rsidRPr="0008479D">
        <w:rPr>
          <w:rFonts w:ascii="Arial" w:hAnsi="Arial" w:cs="Arial"/>
          <w:sz w:val="18"/>
        </w:rPr>
        <w:t>MP</w:t>
      </w:r>
      <w:proofErr w:type="spellEnd"/>
      <w:r w:rsidRPr="0008479D">
        <w:rPr>
          <w:rFonts w:ascii="Arial" w:hAnsi="Arial" w:cs="Arial"/>
          <w:sz w:val="18"/>
        </w:rPr>
        <w:t>: Grisales H., No.201</w:t>
      </w:r>
      <w:r w:rsidR="009A7843" w:rsidRPr="0008479D">
        <w:rPr>
          <w:rFonts w:ascii="Arial" w:hAnsi="Arial" w:cs="Arial"/>
          <w:sz w:val="18"/>
        </w:rPr>
        <w:t>5-00225-01</w:t>
      </w:r>
      <w:r w:rsidRPr="0008479D">
        <w:rPr>
          <w:rFonts w:ascii="Arial" w:hAnsi="Arial" w:cs="Arial"/>
          <w:sz w:val="18"/>
        </w:rPr>
        <w:t>.</w:t>
      </w:r>
    </w:p>
  </w:footnote>
  <w:footnote w:id="16">
    <w:p w:rsidR="009A7843" w:rsidRPr="009A7843" w:rsidRDefault="009A7843" w:rsidP="00F748E2">
      <w:pPr>
        <w:pStyle w:val="Textonotapie"/>
        <w:jc w:val="both"/>
        <w:rPr>
          <w:lang w:val="es-CO"/>
        </w:rPr>
      </w:pPr>
      <w:r w:rsidRPr="0008479D">
        <w:rPr>
          <w:rStyle w:val="Refdenotaalpie"/>
          <w:rFonts w:ascii="Arial" w:hAnsi="Arial" w:cs="Arial"/>
          <w:sz w:val="18"/>
        </w:rPr>
        <w:footnoteRef/>
      </w:r>
      <w:r w:rsidRPr="0008479D">
        <w:rPr>
          <w:rFonts w:ascii="Arial" w:hAnsi="Arial" w:cs="Arial"/>
          <w:sz w:val="18"/>
        </w:rPr>
        <w:t xml:space="preserve"> </w:t>
      </w:r>
      <w:proofErr w:type="spellStart"/>
      <w:r w:rsidRPr="0008479D">
        <w:rPr>
          <w:rFonts w:ascii="Arial" w:hAnsi="Arial" w:cs="Arial"/>
          <w:sz w:val="18"/>
        </w:rPr>
        <w:t>TSP</w:t>
      </w:r>
      <w:proofErr w:type="spellEnd"/>
      <w:r w:rsidRPr="0008479D">
        <w:rPr>
          <w:rFonts w:ascii="Arial" w:hAnsi="Arial" w:cs="Arial"/>
          <w:sz w:val="18"/>
        </w:rPr>
        <w:t xml:space="preserve">, Civil-Familia. Providencias de: (i) 19-09-2016, No.2016-00028-02; (ii) 21-09-2016, No.2012-00273-01; y (iii) 16-01-2019, No.2017-00380-02; </w:t>
      </w:r>
      <w:proofErr w:type="spellStart"/>
      <w:r w:rsidRPr="0008479D">
        <w:rPr>
          <w:rFonts w:ascii="Arial" w:hAnsi="Arial" w:cs="Arial"/>
          <w:sz w:val="18"/>
        </w:rPr>
        <w:t>MP</w:t>
      </w:r>
      <w:proofErr w:type="spellEnd"/>
      <w:r w:rsidRPr="0008479D">
        <w:rPr>
          <w:rFonts w:ascii="Arial" w:hAnsi="Arial" w:cs="Arial"/>
          <w:sz w:val="18"/>
        </w:rPr>
        <w:t>: Saraza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153602612"/>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EA7023" w:rsidRPr="00EA7023">
          <w:rPr>
            <w:rFonts w:asciiTheme="minorHAnsi" w:hAnsiTheme="minorHAnsi"/>
            <w:bCs/>
            <w:noProof/>
            <w:sz w:val="22"/>
          </w:rPr>
          <w:t>1</w:t>
        </w:r>
        <w:r w:rsidRPr="006D2A7F">
          <w:rPr>
            <w:rFonts w:asciiTheme="minorHAnsi" w:hAnsiTheme="minorHAnsi"/>
            <w:bCs/>
            <w:sz w:val="22"/>
          </w:rPr>
          <w:fldChar w:fldCharType="end"/>
        </w:r>
      </w:p>
    </w:sdtContent>
  </w:sdt>
  <w:p w:rsidR="00257B1F" w:rsidRDefault="006D2A7F" w:rsidP="0015779E">
    <w:pPr>
      <w:pStyle w:val="Encabezado"/>
      <w:widowControl w:val="0"/>
      <w:autoSpaceDE w:val="0"/>
      <w:autoSpaceDN w:val="0"/>
      <w:adjustRightInd w:val="0"/>
      <w:ind w:right="360"/>
      <w:jc w:val="both"/>
      <w:rPr>
        <w:rFonts w:ascii="Calibri" w:hAnsi="Calibri" w:cs="Calibri"/>
        <w:i/>
        <w:sz w:val="20"/>
        <w:szCs w:val="20"/>
        <w:lang w:val="es-CO"/>
      </w:rPr>
    </w:pPr>
    <w:r w:rsidRPr="00AF5080">
      <w:rPr>
        <w:rFonts w:ascii="Calibri" w:hAnsi="Calibri" w:cs="Calibri"/>
        <w:i/>
        <w:sz w:val="20"/>
        <w:szCs w:val="20"/>
        <w:lang w:val="es-CO"/>
      </w:rPr>
      <w:t>EXPEDIENTE N</w:t>
    </w:r>
    <w:r w:rsidR="00510CEA">
      <w:rPr>
        <w:rFonts w:ascii="Calibri" w:hAnsi="Calibri" w:cs="Calibri"/>
        <w:i/>
        <w:sz w:val="20"/>
        <w:szCs w:val="20"/>
        <w:lang w:val="es-CO"/>
      </w:rPr>
      <w:t>o</w:t>
    </w:r>
    <w:r w:rsidRPr="00AF5080">
      <w:rPr>
        <w:rFonts w:ascii="Calibri" w:hAnsi="Calibri" w:cs="Calibri"/>
        <w:i/>
        <w:sz w:val="20"/>
        <w:szCs w:val="20"/>
        <w:lang w:val="es-CO"/>
      </w:rPr>
      <w:t>.</w:t>
    </w:r>
    <w:r w:rsidR="00703414">
      <w:rPr>
        <w:rFonts w:ascii="Calibri" w:hAnsi="Calibri" w:cs="Calibri"/>
        <w:i/>
        <w:sz w:val="20"/>
        <w:szCs w:val="20"/>
        <w:lang w:val="es-CO"/>
      </w:rPr>
      <w:t xml:space="preserve"> </w:t>
    </w:r>
    <w:r w:rsidR="0015779E">
      <w:rPr>
        <w:rFonts w:ascii="Calibri" w:hAnsi="Calibri" w:cs="Calibri"/>
        <w:i/>
        <w:sz w:val="20"/>
        <w:szCs w:val="20"/>
        <w:lang w:val="es-CO"/>
      </w:rPr>
      <w:t>201</w:t>
    </w:r>
    <w:r w:rsidR="00C60863">
      <w:rPr>
        <w:rFonts w:ascii="Calibri" w:hAnsi="Calibri" w:cs="Calibri"/>
        <w:i/>
        <w:sz w:val="20"/>
        <w:szCs w:val="20"/>
        <w:lang w:val="es-CO"/>
      </w:rPr>
      <w:t>8</w:t>
    </w:r>
    <w:r w:rsidR="0015779E">
      <w:rPr>
        <w:rFonts w:ascii="Calibri" w:hAnsi="Calibri" w:cs="Calibri"/>
        <w:i/>
        <w:sz w:val="20"/>
        <w:szCs w:val="20"/>
        <w:lang w:val="es-CO"/>
      </w:rPr>
      <w:t>-0</w:t>
    </w:r>
    <w:r w:rsidR="00C60863">
      <w:rPr>
        <w:rFonts w:ascii="Calibri" w:hAnsi="Calibri" w:cs="Calibri"/>
        <w:i/>
        <w:sz w:val="20"/>
        <w:szCs w:val="20"/>
        <w:lang w:val="es-CO"/>
      </w:rPr>
      <w:t>1051</w:t>
    </w:r>
    <w:r w:rsidR="00BB3C5B">
      <w:rPr>
        <w:rFonts w:ascii="Calibri" w:hAnsi="Calibri" w:cs="Calibri"/>
        <w:i/>
        <w:sz w:val="20"/>
        <w:szCs w:val="20"/>
        <w:lang w:val="es-CO"/>
      </w:rPr>
      <w:t>-00</w:t>
    </w:r>
  </w:p>
  <w:p w:rsidR="0000009F" w:rsidRPr="006D2A7F" w:rsidRDefault="0000009F" w:rsidP="0015779E">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6"/>
  </w:num>
  <w:num w:numId="4">
    <w:abstractNumId w:val="11"/>
  </w:num>
  <w:num w:numId="5">
    <w:abstractNumId w:val="7"/>
  </w:num>
  <w:num w:numId="6">
    <w:abstractNumId w:val="1"/>
  </w:num>
  <w:num w:numId="7">
    <w:abstractNumId w:val="8"/>
  </w:num>
  <w:num w:numId="8">
    <w:abstractNumId w:val="4"/>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09F"/>
    <w:rsid w:val="00001EB9"/>
    <w:rsid w:val="00002677"/>
    <w:rsid w:val="000029D6"/>
    <w:rsid w:val="00003124"/>
    <w:rsid w:val="00003236"/>
    <w:rsid w:val="000033C5"/>
    <w:rsid w:val="00003584"/>
    <w:rsid w:val="000035F1"/>
    <w:rsid w:val="00003B70"/>
    <w:rsid w:val="00004AA0"/>
    <w:rsid w:val="00005004"/>
    <w:rsid w:val="000053E3"/>
    <w:rsid w:val="00005A80"/>
    <w:rsid w:val="00006F7D"/>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3B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4"/>
    <w:rsid w:val="00041DCD"/>
    <w:rsid w:val="00042FA4"/>
    <w:rsid w:val="000430A7"/>
    <w:rsid w:val="000432DB"/>
    <w:rsid w:val="000439BE"/>
    <w:rsid w:val="00043B5F"/>
    <w:rsid w:val="0004642E"/>
    <w:rsid w:val="00046997"/>
    <w:rsid w:val="00046C27"/>
    <w:rsid w:val="00046C64"/>
    <w:rsid w:val="00046D53"/>
    <w:rsid w:val="000474C6"/>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2A"/>
    <w:rsid w:val="00082340"/>
    <w:rsid w:val="000826EC"/>
    <w:rsid w:val="00082EF4"/>
    <w:rsid w:val="000835CD"/>
    <w:rsid w:val="000842F0"/>
    <w:rsid w:val="00084368"/>
    <w:rsid w:val="00084375"/>
    <w:rsid w:val="0008450C"/>
    <w:rsid w:val="000846ED"/>
    <w:rsid w:val="0008475F"/>
    <w:rsid w:val="0008479D"/>
    <w:rsid w:val="0008497D"/>
    <w:rsid w:val="00084B18"/>
    <w:rsid w:val="00084C17"/>
    <w:rsid w:val="00084FD5"/>
    <w:rsid w:val="000851EC"/>
    <w:rsid w:val="000853EC"/>
    <w:rsid w:val="0008540F"/>
    <w:rsid w:val="00085537"/>
    <w:rsid w:val="00085704"/>
    <w:rsid w:val="00085AEC"/>
    <w:rsid w:val="000869B2"/>
    <w:rsid w:val="00086C38"/>
    <w:rsid w:val="00086EBD"/>
    <w:rsid w:val="000904D1"/>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370"/>
    <w:rsid w:val="000B14C4"/>
    <w:rsid w:val="000B1802"/>
    <w:rsid w:val="000B19ED"/>
    <w:rsid w:val="000B1D4E"/>
    <w:rsid w:val="000B1DA6"/>
    <w:rsid w:val="000B1E68"/>
    <w:rsid w:val="000B273C"/>
    <w:rsid w:val="000B2E03"/>
    <w:rsid w:val="000B48DB"/>
    <w:rsid w:val="000B4F1F"/>
    <w:rsid w:val="000B59A8"/>
    <w:rsid w:val="000B59CD"/>
    <w:rsid w:val="000B601F"/>
    <w:rsid w:val="000B6119"/>
    <w:rsid w:val="000B6476"/>
    <w:rsid w:val="000B6542"/>
    <w:rsid w:val="000B687F"/>
    <w:rsid w:val="000B6922"/>
    <w:rsid w:val="000B6B97"/>
    <w:rsid w:val="000B6BDA"/>
    <w:rsid w:val="000B7A2B"/>
    <w:rsid w:val="000B7F21"/>
    <w:rsid w:val="000B7F46"/>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17DD5"/>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5DC"/>
    <w:rsid w:val="00146ACF"/>
    <w:rsid w:val="00146C5F"/>
    <w:rsid w:val="00146D10"/>
    <w:rsid w:val="00146F85"/>
    <w:rsid w:val="00147398"/>
    <w:rsid w:val="00150186"/>
    <w:rsid w:val="00150A42"/>
    <w:rsid w:val="00150E29"/>
    <w:rsid w:val="00150EE9"/>
    <w:rsid w:val="001518E7"/>
    <w:rsid w:val="00151953"/>
    <w:rsid w:val="00151AB4"/>
    <w:rsid w:val="00151D42"/>
    <w:rsid w:val="0015224A"/>
    <w:rsid w:val="00152344"/>
    <w:rsid w:val="00152539"/>
    <w:rsid w:val="00152FE7"/>
    <w:rsid w:val="00153450"/>
    <w:rsid w:val="001534D3"/>
    <w:rsid w:val="00153733"/>
    <w:rsid w:val="00153B59"/>
    <w:rsid w:val="00153F8F"/>
    <w:rsid w:val="001540EB"/>
    <w:rsid w:val="00154502"/>
    <w:rsid w:val="001545C0"/>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094F"/>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51E2"/>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0BE4"/>
    <w:rsid w:val="001C12F1"/>
    <w:rsid w:val="001C1B1E"/>
    <w:rsid w:val="001C1C57"/>
    <w:rsid w:val="001C2224"/>
    <w:rsid w:val="001C2348"/>
    <w:rsid w:val="001C2866"/>
    <w:rsid w:val="001C30B3"/>
    <w:rsid w:val="001C31C4"/>
    <w:rsid w:val="001C3426"/>
    <w:rsid w:val="001C3EEA"/>
    <w:rsid w:val="001C527C"/>
    <w:rsid w:val="001C55EF"/>
    <w:rsid w:val="001C6810"/>
    <w:rsid w:val="001C6B35"/>
    <w:rsid w:val="001C6E55"/>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6124"/>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690E"/>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E7B"/>
    <w:rsid w:val="00216337"/>
    <w:rsid w:val="0022046A"/>
    <w:rsid w:val="002209C1"/>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373"/>
    <w:rsid w:val="00232684"/>
    <w:rsid w:val="00232E74"/>
    <w:rsid w:val="0023347A"/>
    <w:rsid w:val="00233798"/>
    <w:rsid w:val="002337B2"/>
    <w:rsid w:val="00233F22"/>
    <w:rsid w:val="0023422E"/>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0C6E"/>
    <w:rsid w:val="002514BD"/>
    <w:rsid w:val="002516EC"/>
    <w:rsid w:val="002523DC"/>
    <w:rsid w:val="0025244C"/>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7B0"/>
    <w:rsid w:val="00280B1E"/>
    <w:rsid w:val="00280D01"/>
    <w:rsid w:val="00281009"/>
    <w:rsid w:val="00281216"/>
    <w:rsid w:val="00281C46"/>
    <w:rsid w:val="00281FD0"/>
    <w:rsid w:val="002824F6"/>
    <w:rsid w:val="00282C0C"/>
    <w:rsid w:val="00282FAD"/>
    <w:rsid w:val="002831AA"/>
    <w:rsid w:val="0028329B"/>
    <w:rsid w:val="002833E0"/>
    <w:rsid w:val="00283439"/>
    <w:rsid w:val="002834F7"/>
    <w:rsid w:val="00283886"/>
    <w:rsid w:val="00283FD6"/>
    <w:rsid w:val="00283FD9"/>
    <w:rsid w:val="00284480"/>
    <w:rsid w:val="00285425"/>
    <w:rsid w:val="002868B7"/>
    <w:rsid w:val="00286D52"/>
    <w:rsid w:val="00287674"/>
    <w:rsid w:val="002878EF"/>
    <w:rsid w:val="00287A82"/>
    <w:rsid w:val="00287F6A"/>
    <w:rsid w:val="00290791"/>
    <w:rsid w:val="00290BCC"/>
    <w:rsid w:val="0029167B"/>
    <w:rsid w:val="00291998"/>
    <w:rsid w:val="00291C1B"/>
    <w:rsid w:val="00291DDC"/>
    <w:rsid w:val="00292FDA"/>
    <w:rsid w:val="00293773"/>
    <w:rsid w:val="00293B19"/>
    <w:rsid w:val="00293D63"/>
    <w:rsid w:val="00294254"/>
    <w:rsid w:val="00295135"/>
    <w:rsid w:val="0029541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1C72"/>
    <w:rsid w:val="002B20E4"/>
    <w:rsid w:val="002B274C"/>
    <w:rsid w:val="002B2C90"/>
    <w:rsid w:val="002B2D5C"/>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34F"/>
    <w:rsid w:val="002E646C"/>
    <w:rsid w:val="002E6CDB"/>
    <w:rsid w:val="002E7265"/>
    <w:rsid w:val="002E7DA1"/>
    <w:rsid w:val="002E7F3D"/>
    <w:rsid w:val="002F0314"/>
    <w:rsid w:val="002F0687"/>
    <w:rsid w:val="002F07A3"/>
    <w:rsid w:val="002F0AAE"/>
    <w:rsid w:val="002F0F46"/>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880"/>
    <w:rsid w:val="00310C09"/>
    <w:rsid w:val="00311595"/>
    <w:rsid w:val="00311D1D"/>
    <w:rsid w:val="00312826"/>
    <w:rsid w:val="00312A03"/>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5F8"/>
    <w:rsid w:val="00341E10"/>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4E2B"/>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3B"/>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59B5"/>
    <w:rsid w:val="003865AF"/>
    <w:rsid w:val="0038775D"/>
    <w:rsid w:val="00387F7D"/>
    <w:rsid w:val="003900A5"/>
    <w:rsid w:val="00391C0B"/>
    <w:rsid w:val="00392082"/>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C38"/>
    <w:rsid w:val="003B3EF6"/>
    <w:rsid w:val="003B4FA2"/>
    <w:rsid w:val="003B534A"/>
    <w:rsid w:val="003B581A"/>
    <w:rsid w:val="003B59A2"/>
    <w:rsid w:val="003B5B9B"/>
    <w:rsid w:val="003B5D9F"/>
    <w:rsid w:val="003B61EC"/>
    <w:rsid w:val="003B6DA9"/>
    <w:rsid w:val="003B6E01"/>
    <w:rsid w:val="003B7080"/>
    <w:rsid w:val="003B7096"/>
    <w:rsid w:val="003B7119"/>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B7A"/>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707"/>
    <w:rsid w:val="00450AC6"/>
    <w:rsid w:val="00450B79"/>
    <w:rsid w:val="00450C37"/>
    <w:rsid w:val="00450CC2"/>
    <w:rsid w:val="00450F45"/>
    <w:rsid w:val="00451F09"/>
    <w:rsid w:val="0045231C"/>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2C46"/>
    <w:rsid w:val="00492D78"/>
    <w:rsid w:val="00493602"/>
    <w:rsid w:val="00493822"/>
    <w:rsid w:val="00494340"/>
    <w:rsid w:val="00494662"/>
    <w:rsid w:val="0049502A"/>
    <w:rsid w:val="00495677"/>
    <w:rsid w:val="004961C8"/>
    <w:rsid w:val="00496357"/>
    <w:rsid w:val="00496522"/>
    <w:rsid w:val="00496823"/>
    <w:rsid w:val="0049692C"/>
    <w:rsid w:val="0049697E"/>
    <w:rsid w:val="00497043"/>
    <w:rsid w:val="0049774A"/>
    <w:rsid w:val="00497B44"/>
    <w:rsid w:val="004A0223"/>
    <w:rsid w:val="004A16B9"/>
    <w:rsid w:val="004A1A99"/>
    <w:rsid w:val="004A1E74"/>
    <w:rsid w:val="004A2090"/>
    <w:rsid w:val="004A2292"/>
    <w:rsid w:val="004A3FA1"/>
    <w:rsid w:val="004A4EB2"/>
    <w:rsid w:val="004A508A"/>
    <w:rsid w:val="004A6A66"/>
    <w:rsid w:val="004A6D27"/>
    <w:rsid w:val="004A6DF6"/>
    <w:rsid w:val="004A7356"/>
    <w:rsid w:val="004A7911"/>
    <w:rsid w:val="004A795F"/>
    <w:rsid w:val="004B0129"/>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82"/>
    <w:rsid w:val="004C6293"/>
    <w:rsid w:val="004C6617"/>
    <w:rsid w:val="004C6F31"/>
    <w:rsid w:val="004C6F83"/>
    <w:rsid w:val="004C71E4"/>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088"/>
    <w:rsid w:val="00504421"/>
    <w:rsid w:val="005044D4"/>
    <w:rsid w:val="005049E0"/>
    <w:rsid w:val="00504F9E"/>
    <w:rsid w:val="00505486"/>
    <w:rsid w:val="00505539"/>
    <w:rsid w:val="00505AA2"/>
    <w:rsid w:val="0050654D"/>
    <w:rsid w:val="00506582"/>
    <w:rsid w:val="00506B77"/>
    <w:rsid w:val="00507063"/>
    <w:rsid w:val="0050706C"/>
    <w:rsid w:val="0050777A"/>
    <w:rsid w:val="00507986"/>
    <w:rsid w:val="00507F9A"/>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A27"/>
    <w:rsid w:val="00526A33"/>
    <w:rsid w:val="00527007"/>
    <w:rsid w:val="005275FC"/>
    <w:rsid w:val="0053063D"/>
    <w:rsid w:val="0053086A"/>
    <w:rsid w:val="00532A8F"/>
    <w:rsid w:val="005334F0"/>
    <w:rsid w:val="00534DF8"/>
    <w:rsid w:val="005355CE"/>
    <w:rsid w:val="00535DB2"/>
    <w:rsid w:val="00536564"/>
    <w:rsid w:val="005368B0"/>
    <w:rsid w:val="00536B21"/>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58"/>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01C"/>
    <w:rsid w:val="0056412E"/>
    <w:rsid w:val="005643D0"/>
    <w:rsid w:val="00564879"/>
    <w:rsid w:val="005650F1"/>
    <w:rsid w:val="00565A50"/>
    <w:rsid w:val="00565E05"/>
    <w:rsid w:val="00567270"/>
    <w:rsid w:val="005678F6"/>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835"/>
    <w:rsid w:val="00575EDF"/>
    <w:rsid w:val="0057685C"/>
    <w:rsid w:val="00576AC4"/>
    <w:rsid w:val="00577546"/>
    <w:rsid w:val="00580289"/>
    <w:rsid w:val="00580449"/>
    <w:rsid w:val="00580CF8"/>
    <w:rsid w:val="005811C4"/>
    <w:rsid w:val="00581B8F"/>
    <w:rsid w:val="00581DE3"/>
    <w:rsid w:val="0058241A"/>
    <w:rsid w:val="0058265A"/>
    <w:rsid w:val="00582CD2"/>
    <w:rsid w:val="00583A36"/>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0490"/>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29B5"/>
    <w:rsid w:val="005C3FA2"/>
    <w:rsid w:val="005C45BB"/>
    <w:rsid w:val="005C4AD2"/>
    <w:rsid w:val="005C4BFC"/>
    <w:rsid w:val="005C4D8D"/>
    <w:rsid w:val="005C52DC"/>
    <w:rsid w:val="005C5B79"/>
    <w:rsid w:val="005C63F1"/>
    <w:rsid w:val="005C66AF"/>
    <w:rsid w:val="005C6808"/>
    <w:rsid w:val="005C6AFA"/>
    <w:rsid w:val="005C725F"/>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8F1"/>
    <w:rsid w:val="005D7111"/>
    <w:rsid w:val="005D72C5"/>
    <w:rsid w:val="005D74BA"/>
    <w:rsid w:val="005D75D0"/>
    <w:rsid w:val="005D79C8"/>
    <w:rsid w:val="005D7EAD"/>
    <w:rsid w:val="005E028E"/>
    <w:rsid w:val="005E03BE"/>
    <w:rsid w:val="005E084B"/>
    <w:rsid w:val="005E096C"/>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5EEB"/>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49C"/>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956"/>
    <w:rsid w:val="00655AFF"/>
    <w:rsid w:val="00655B18"/>
    <w:rsid w:val="006563ED"/>
    <w:rsid w:val="00657889"/>
    <w:rsid w:val="00657901"/>
    <w:rsid w:val="00657B80"/>
    <w:rsid w:val="00657E40"/>
    <w:rsid w:val="0066019C"/>
    <w:rsid w:val="00661343"/>
    <w:rsid w:val="006614BB"/>
    <w:rsid w:val="00662AB3"/>
    <w:rsid w:val="0066366E"/>
    <w:rsid w:val="00663F87"/>
    <w:rsid w:val="00663F8B"/>
    <w:rsid w:val="006640E3"/>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36B"/>
    <w:rsid w:val="006908E9"/>
    <w:rsid w:val="00690C74"/>
    <w:rsid w:val="00691139"/>
    <w:rsid w:val="00691315"/>
    <w:rsid w:val="00693C1F"/>
    <w:rsid w:val="00693FC9"/>
    <w:rsid w:val="006966A1"/>
    <w:rsid w:val="00697179"/>
    <w:rsid w:val="00697380"/>
    <w:rsid w:val="0069792B"/>
    <w:rsid w:val="006A0529"/>
    <w:rsid w:val="006A0CFE"/>
    <w:rsid w:val="006A1102"/>
    <w:rsid w:val="006A1949"/>
    <w:rsid w:val="006A1A20"/>
    <w:rsid w:val="006A1A70"/>
    <w:rsid w:val="006A2463"/>
    <w:rsid w:val="006A259B"/>
    <w:rsid w:val="006A2ABA"/>
    <w:rsid w:val="006A2CBF"/>
    <w:rsid w:val="006A2F0E"/>
    <w:rsid w:val="006A33A5"/>
    <w:rsid w:val="006A37BE"/>
    <w:rsid w:val="006A3CF8"/>
    <w:rsid w:val="006A4079"/>
    <w:rsid w:val="006A416E"/>
    <w:rsid w:val="006A41E9"/>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B8A"/>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320"/>
    <w:rsid w:val="006F0189"/>
    <w:rsid w:val="006F02FC"/>
    <w:rsid w:val="006F0523"/>
    <w:rsid w:val="006F0B22"/>
    <w:rsid w:val="006F0D6F"/>
    <w:rsid w:val="006F17A2"/>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5CFF"/>
    <w:rsid w:val="006F6D8D"/>
    <w:rsid w:val="006F7128"/>
    <w:rsid w:val="006F7139"/>
    <w:rsid w:val="006F7467"/>
    <w:rsid w:val="00701EA4"/>
    <w:rsid w:val="00703414"/>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1C01"/>
    <w:rsid w:val="00722004"/>
    <w:rsid w:val="00722EE8"/>
    <w:rsid w:val="00724681"/>
    <w:rsid w:val="00724B9C"/>
    <w:rsid w:val="00724E50"/>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2B1"/>
    <w:rsid w:val="007453D3"/>
    <w:rsid w:val="00745DC5"/>
    <w:rsid w:val="00746852"/>
    <w:rsid w:val="00746D7C"/>
    <w:rsid w:val="00746DB7"/>
    <w:rsid w:val="0074745B"/>
    <w:rsid w:val="00747C74"/>
    <w:rsid w:val="00751059"/>
    <w:rsid w:val="00751161"/>
    <w:rsid w:val="00752501"/>
    <w:rsid w:val="00752547"/>
    <w:rsid w:val="007525C5"/>
    <w:rsid w:val="0075262D"/>
    <w:rsid w:val="0075373A"/>
    <w:rsid w:val="007543FD"/>
    <w:rsid w:val="0075452A"/>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19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C20"/>
    <w:rsid w:val="00782679"/>
    <w:rsid w:val="00782783"/>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4872"/>
    <w:rsid w:val="0079494E"/>
    <w:rsid w:val="00794E2C"/>
    <w:rsid w:val="007950C4"/>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4316"/>
    <w:rsid w:val="007B56B9"/>
    <w:rsid w:val="007B579F"/>
    <w:rsid w:val="007B59E7"/>
    <w:rsid w:val="007B5BC6"/>
    <w:rsid w:val="007B5CE9"/>
    <w:rsid w:val="007B5D06"/>
    <w:rsid w:val="007B5F49"/>
    <w:rsid w:val="007B7AB4"/>
    <w:rsid w:val="007B7D1B"/>
    <w:rsid w:val="007C0021"/>
    <w:rsid w:val="007C0AF0"/>
    <w:rsid w:val="007C0FC6"/>
    <w:rsid w:val="007C1447"/>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56C"/>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968"/>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1282"/>
    <w:rsid w:val="0082191A"/>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920"/>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3C92"/>
    <w:rsid w:val="0086405D"/>
    <w:rsid w:val="00864361"/>
    <w:rsid w:val="008647CD"/>
    <w:rsid w:val="00864A3C"/>
    <w:rsid w:val="00864FF6"/>
    <w:rsid w:val="00865F4D"/>
    <w:rsid w:val="00866E1F"/>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4F6"/>
    <w:rsid w:val="00885C9C"/>
    <w:rsid w:val="00886009"/>
    <w:rsid w:val="00886034"/>
    <w:rsid w:val="00886227"/>
    <w:rsid w:val="00886765"/>
    <w:rsid w:val="00890695"/>
    <w:rsid w:val="00890E12"/>
    <w:rsid w:val="008915AE"/>
    <w:rsid w:val="00891B22"/>
    <w:rsid w:val="00891ED0"/>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AEE"/>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424"/>
    <w:rsid w:val="008B26F0"/>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19E6"/>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4A6C"/>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9FE"/>
    <w:rsid w:val="00905C7D"/>
    <w:rsid w:val="009064A2"/>
    <w:rsid w:val="00906507"/>
    <w:rsid w:val="00906A87"/>
    <w:rsid w:val="00906E63"/>
    <w:rsid w:val="00907951"/>
    <w:rsid w:val="00907FE7"/>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D1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AEF"/>
    <w:rsid w:val="00945BE4"/>
    <w:rsid w:val="00946428"/>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2D4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A12"/>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A7843"/>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3FC9"/>
    <w:rsid w:val="009C4400"/>
    <w:rsid w:val="009C4AD0"/>
    <w:rsid w:val="009C55C9"/>
    <w:rsid w:val="009C5B5F"/>
    <w:rsid w:val="009C5D05"/>
    <w:rsid w:val="009C6278"/>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6CC4"/>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359"/>
    <w:rsid w:val="00A62A9E"/>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783"/>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2F"/>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2D93"/>
    <w:rsid w:val="00A93340"/>
    <w:rsid w:val="00A936B8"/>
    <w:rsid w:val="00A936DC"/>
    <w:rsid w:val="00A9527E"/>
    <w:rsid w:val="00A95CB8"/>
    <w:rsid w:val="00A95DFC"/>
    <w:rsid w:val="00A96B48"/>
    <w:rsid w:val="00A96E62"/>
    <w:rsid w:val="00A97B66"/>
    <w:rsid w:val="00A97BE6"/>
    <w:rsid w:val="00A97E28"/>
    <w:rsid w:val="00AA019D"/>
    <w:rsid w:val="00AA06A6"/>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3290"/>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24FF"/>
    <w:rsid w:val="00AE3172"/>
    <w:rsid w:val="00AE3846"/>
    <w:rsid w:val="00AE3CB1"/>
    <w:rsid w:val="00AE46DC"/>
    <w:rsid w:val="00AE487D"/>
    <w:rsid w:val="00AE499D"/>
    <w:rsid w:val="00AE4FB4"/>
    <w:rsid w:val="00AE504B"/>
    <w:rsid w:val="00AE5141"/>
    <w:rsid w:val="00AE51EA"/>
    <w:rsid w:val="00AE54B1"/>
    <w:rsid w:val="00AE6033"/>
    <w:rsid w:val="00AE611A"/>
    <w:rsid w:val="00AE61BC"/>
    <w:rsid w:val="00AE646B"/>
    <w:rsid w:val="00AE6958"/>
    <w:rsid w:val="00AE710F"/>
    <w:rsid w:val="00AE743F"/>
    <w:rsid w:val="00AE7821"/>
    <w:rsid w:val="00AE7A20"/>
    <w:rsid w:val="00AE7F70"/>
    <w:rsid w:val="00AF060A"/>
    <w:rsid w:val="00AF094F"/>
    <w:rsid w:val="00AF0AD7"/>
    <w:rsid w:val="00AF0C04"/>
    <w:rsid w:val="00AF0FAE"/>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A6B"/>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CC3"/>
    <w:rsid w:val="00B66F46"/>
    <w:rsid w:val="00B67359"/>
    <w:rsid w:val="00B6740F"/>
    <w:rsid w:val="00B679C4"/>
    <w:rsid w:val="00B70F77"/>
    <w:rsid w:val="00B714A0"/>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50B"/>
    <w:rsid w:val="00B87627"/>
    <w:rsid w:val="00B87ADC"/>
    <w:rsid w:val="00B9005E"/>
    <w:rsid w:val="00B90709"/>
    <w:rsid w:val="00B91498"/>
    <w:rsid w:val="00B91849"/>
    <w:rsid w:val="00B91B00"/>
    <w:rsid w:val="00B932A0"/>
    <w:rsid w:val="00B93FD7"/>
    <w:rsid w:val="00B94772"/>
    <w:rsid w:val="00B9623D"/>
    <w:rsid w:val="00B963F6"/>
    <w:rsid w:val="00B9646F"/>
    <w:rsid w:val="00B9703A"/>
    <w:rsid w:val="00B97766"/>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121"/>
    <w:rsid w:val="00BB0785"/>
    <w:rsid w:val="00BB0BDE"/>
    <w:rsid w:val="00BB0F24"/>
    <w:rsid w:val="00BB1DA1"/>
    <w:rsid w:val="00BB275E"/>
    <w:rsid w:val="00BB297B"/>
    <w:rsid w:val="00BB2A93"/>
    <w:rsid w:val="00BB2EBD"/>
    <w:rsid w:val="00BB33CB"/>
    <w:rsid w:val="00BB3BAA"/>
    <w:rsid w:val="00BB3C5B"/>
    <w:rsid w:val="00BB3D5F"/>
    <w:rsid w:val="00BB538B"/>
    <w:rsid w:val="00BB5C08"/>
    <w:rsid w:val="00BB6284"/>
    <w:rsid w:val="00BB6AE2"/>
    <w:rsid w:val="00BB7642"/>
    <w:rsid w:val="00BB78A9"/>
    <w:rsid w:val="00BC0666"/>
    <w:rsid w:val="00BC0857"/>
    <w:rsid w:val="00BC11D3"/>
    <w:rsid w:val="00BC141C"/>
    <w:rsid w:val="00BC1DCD"/>
    <w:rsid w:val="00BC2331"/>
    <w:rsid w:val="00BC2B2E"/>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170"/>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3C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C02"/>
    <w:rsid w:val="00C04197"/>
    <w:rsid w:val="00C0504F"/>
    <w:rsid w:val="00C05186"/>
    <w:rsid w:val="00C056C2"/>
    <w:rsid w:val="00C05DC4"/>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0CD8"/>
    <w:rsid w:val="00C518D9"/>
    <w:rsid w:val="00C527B6"/>
    <w:rsid w:val="00C52D19"/>
    <w:rsid w:val="00C53317"/>
    <w:rsid w:val="00C5370B"/>
    <w:rsid w:val="00C53DB5"/>
    <w:rsid w:val="00C55311"/>
    <w:rsid w:val="00C557BD"/>
    <w:rsid w:val="00C55B9B"/>
    <w:rsid w:val="00C5631C"/>
    <w:rsid w:val="00C563DB"/>
    <w:rsid w:val="00C56A5E"/>
    <w:rsid w:val="00C56C64"/>
    <w:rsid w:val="00C5772D"/>
    <w:rsid w:val="00C6039A"/>
    <w:rsid w:val="00C60863"/>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0FD8"/>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5412"/>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E95"/>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218"/>
    <w:rsid w:val="00CC73A5"/>
    <w:rsid w:val="00CC76B6"/>
    <w:rsid w:val="00CC7943"/>
    <w:rsid w:val="00CD02C8"/>
    <w:rsid w:val="00CD0640"/>
    <w:rsid w:val="00CD077D"/>
    <w:rsid w:val="00CD138A"/>
    <w:rsid w:val="00CD1450"/>
    <w:rsid w:val="00CD1702"/>
    <w:rsid w:val="00CD1AF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BD0"/>
    <w:rsid w:val="00CF4005"/>
    <w:rsid w:val="00CF4117"/>
    <w:rsid w:val="00CF5328"/>
    <w:rsid w:val="00CF5332"/>
    <w:rsid w:val="00CF53CA"/>
    <w:rsid w:val="00CF5F3C"/>
    <w:rsid w:val="00CF5FD0"/>
    <w:rsid w:val="00CF6908"/>
    <w:rsid w:val="00CF6C8E"/>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803"/>
    <w:rsid w:val="00D20F20"/>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61A"/>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3AB"/>
    <w:rsid w:val="00D4764B"/>
    <w:rsid w:val="00D478B5"/>
    <w:rsid w:val="00D478EE"/>
    <w:rsid w:val="00D47A2A"/>
    <w:rsid w:val="00D47C31"/>
    <w:rsid w:val="00D47C57"/>
    <w:rsid w:val="00D5022C"/>
    <w:rsid w:val="00D50E1C"/>
    <w:rsid w:val="00D513C6"/>
    <w:rsid w:val="00D51982"/>
    <w:rsid w:val="00D519FF"/>
    <w:rsid w:val="00D51F78"/>
    <w:rsid w:val="00D51F87"/>
    <w:rsid w:val="00D5275F"/>
    <w:rsid w:val="00D52D08"/>
    <w:rsid w:val="00D52D31"/>
    <w:rsid w:val="00D53024"/>
    <w:rsid w:val="00D5326F"/>
    <w:rsid w:val="00D53905"/>
    <w:rsid w:val="00D5395D"/>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770"/>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0B0B"/>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3A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5C2"/>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A7C09"/>
    <w:rsid w:val="00DB02E8"/>
    <w:rsid w:val="00DB095D"/>
    <w:rsid w:val="00DB12EC"/>
    <w:rsid w:val="00DB17DC"/>
    <w:rsid w:val="00DB22DA"/>
    <w:rsid w:val="00DB2553"/>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4A03"/>
    <w:rsid w:val="00DC5705"/>
    <w:rsid w:val="00DC58C0"/>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C9E"/>
    <w:rsid w:val="00DE601D"/>
    <w:rsid w:val="00DE71A0"/>
    <w:rsid w:val="00DE7CA6"/>
    <w:rsid w:val="00DF052B"/>
    <w:rsid w:val="00DF0F6A"/>
    <w:rsid w:val="00DF192F"/>
    <w:rsid w:val="00DF344D"/>
    <w:rsid w:val="00DF3C86"/>
    <w:rsid w:val="00DF43F3"/>
    <w:rsid w:val="00DF5B23"/>
    <w:rsid w:val="00DF6464"/>
    <w:rsid w:val="00DF669D"/>
    <w:rsid w:val="00DF6F01"/>
    <w:rsid w:val="00DF7396"/>
    <w:rsid w:val="00DF7591"/>
    <w:rsid w:val="00DF7C6A"/>
    <w:rsid w:val="00DF7F23"/>
    <w:rsid w:val="00E008DE"/>
    <w:rsid w:val="00E00B91"/>
    <w:rsid w:val="00E00D17"/>
    <w:rsid w:val="00E00EC0"/>
    <w:rsid w:val="00E00FDA"/>
    <w:rsid w:val="00E010DF"/>
    <w:rsid w:val="00E0181B"/>
    <w:rsid w:val="00E01BF0"/>
    <w:rsid w:val="00E020F1"/>
    <w:rsid w:val="00E02857"/>
    <w:rsid w:val="00E02A91"/>
    <w:rsid w:val="00E02B39"/>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C29"/>
    <w:rsid w:val="00E37FE2"/>
    <w:rsid w:val="00E401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11FE"/>
    <w:rsid w:val="00E51305"/>
    <w:rsid w:val="00E513CD"/>
    <w:rsid w:val="00E515FE"/>
    <w:rsid w:val="00E5291B"/>
    <w:rsid w:val="00E52953"/>
    <w:rsid w:val="00E53BF3"/>
    <w:rsid w:val="00E53C5B"/>
    <w:rsid w:val="00E544FD"/>
    <w:rsid w:val="00E55F0B"/>
    <w:rsid w:val="00E56A4B"/>
    <w:rsid w:val="00E57101"/>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07AF"/>
    <w:rsid w:val="00E910D3"/>
    <w:rsid w:val="00E9116E"/>
    <w:rsid w:val="00E9193C"/>
    <w:rsid w:val="00E91F62"/>
    <w:rsid w:val="00E928B7"/>
    <w:rsid w:val="00E9298C"/>
    <w:rsid w:val="00E92AF5"/>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023"/>
    <w:rsid w:val="00EA7D45"/>
    <w:rsid w:val="00EB0895"/>
    <w:rsid w:val="00EB1A75"/>
    <w:rsid w:val="00EB1E75"/>
    <w:rsid w:val="00EB2D8F"/>
    <w:rsid w:val="00EB50E6"/>
    <w:rsid w:val="00EB5B39"/>
    <w:rsid w:val="00EB5CB5"/>
    <w:rsid w:val="00EB5F11"/>
    <w:rsid w:val="00EB5F9B"/>
    <w:rsid w:val="00EB61D1"/>
    <w:rsid w:val="00EB61F9"/>
    <w:rsid w:val="00EB7341"/>
    <w:rsid w:val="00EB77C9"/>
    <w:rsid w:val="00EB7C95"/>
    <w:rsid w:val="00EB7D97"/>
    <w:rsid w:val="00EC0174"/>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29D"/>
    <w:rsid w:val="00EC5601"/>
    <w:rsid w:val="00EC5FE0"/>
    <w:rsid w:val="00EC656F"/>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4E46"/>
    <w:rsid w:val="00ED54BC"/>
    <w:rsid w:val="00ED54E8"/>
    <w:rsid w:val="00ED5634"/>
    <w:rsid w:val="00ED5832"/>
    <w:rsid w:val="00ED6451"/>
    <w:rsid w:val="00ED77C2"/>
    <w:rsid w:val="00ED7D89"/>
    <w:rsid w:val="00EE00C0"/>
    <w:rsid w:val="00EE0174"/>
    <w:rsid w:val="00EE045B"/>
    <w:rsid w:val="00EE0589"/>
    <w:rsid w:val="00EE171D"/>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27DDE"/>
    <w:rsid w:val="00F30001"/>
    <w:rsid w:val="00F3039D"/>
    <w:rsid w:val="00F30750"/>
    <w:rsid w:val="00F308B7"/>
    <w:rsid w:val="00F31B9F"/>
    <w:rsid w:val="00F3218F"/>
    <w:rsid w:val="00F322A7"/>
    <w:rsid w:val="00F324B2"/>
    <w:rsid w:val="00F325B9"/>
    <w:rsid w:val="00F3443E"/>
    <w:rsid w:val="00F347AF"/>
    <w:rsid w:val="00F34806"/>
    <w:rsid w:val="00F34C4E"/>
    <w:rsid w:val="00F35AFA"/>
    <w:rsid w:val="00F3610E"/>
    <w:rsid w:val="00F3673B"/>
    <w:rsid w:val="00F36741"/>
    <w:rsid w:val="00F3747F"/>
    <w:rsid w:val="00F37521"/>
    <w:rsid w:val="00F4126B"/>
    <w:rsid w:val="00F4188D"/>
    <w:rsid w:val="00F41C10"/>
    <w:rsid w:val="00F41CE3"/>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75A"/>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48E2"/>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66EB"/>
    <w:rsid w:val="00F967B7"/>
    <w:rsid w:val="00F96936"/>
    <w:rsid w:val="00F96C17"/>
    <w:rsid w:val="00F97AE8"/>
    <w:rsid w:val="00F97FB8"/>
    <w:rsid w:val="00FA0136"/>
    <w:rsid w:val="00FA0173"/>
    <w:rsid w:val="00FA0E61"/>
    <w:rsid w:val="00FA116F"/>
    <w:rsid w:val="00FA155A"/>
    <w:rsid w:val="00FA15B5"/>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170"/>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3C1E"/>
    <w:rsid w:val="00FC3F68"/>
    <w:rsid w:val="00FC41F3"/>
    <w:rsid w:val="00FC597A"/>
    <w:rsid w:val="00FC60CB"/>
    <w:rsid w:val="00FC69D9"/>
    <w:rsid w:val="00FC6CA6"/>
    <w:rsid w:val="00FC70C9"/>
    <w:rsid w:val="00FC78D4"/>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58D"/>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 w:type="character" w:customStyle="1" w:styleId="Cuerpodeltexto">
    <w:name w:val="Cuerpo del texto_"/>
    <w:basedOn w:val="Fuentedeprrafopredeter"/>
    <w:link w:val="Cuerpodeltexto0"/>
    <w:rsid w:val="00117DD5"/>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117DD5"/>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688482047">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9F15-6EED-43A2-8B97-0751CAAE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34</cp:revision>
  <cp:lastPrinted>2019-03-22T12:45:00Z</cp:lastPrinted>
  <dcterms:created xsi:type="dcterms:W3CDTF">2019-03-14T19:41:00Z</dcterms:created>
  <dcterms:modified xsi:type="dcterms:W3CDTF">2019-04-08T14:33:00Z</dcterms:modified>
</cp:coreProperties>
</file>