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01" w:rsidRPr="00B01E01" w:rsidRDefault="00B01E01" w:rsidP="00B01E01">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B01E0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01E01" w:rsidRPr="00B01E01" w:rsidRDefault="00B01E01" w:rsidP="00B01E01">
      <w:pPr>
        <w:widowControl/>
        <w:autoSpaceDE/>
        <w:autoSpaceDN/>
        <w:adjustRightInd/>
        <w:jc w:val="both"/>
        <w:rPr>
          <w:rFonts w:ascii="Arial" w:hAnsi="Arial" w:cs="Arial"/>
          <w:sz w:val="20"/>
          <w:szCs w:val="20"/>
          <w:lang w:val="es-419"/>
        </w:rPr>
      </w:pPr>
    </w:p>
    <w:p w:rsidR="00B01E01" w:rsidRPr="00B01E01" w:rsidRDefault="00B01E01" w:rsidP="00B01E01">
      <w:pPr>
        <w:widowControl/>
        <w:autoSpaceDE/>
        <w:autoSpaceDN/>
        <w:adjustRightInd/>
        <w:jc w:val="both"/>
        <w:rPr>
          <w:rFonts w:ascii="Arial" w:hAnsi="Arial" w:cs="Arial"/>
          <w:sz w:val="20"/>
          <w:szCs w:val="20"/>
          <w:lang w:val="es-419"/>
        </w:rPr>
      </w:pPr>
      <w:r w:rsidRPr="00B01E01">
        <w:rPr>
          <w:rFonts w:ascii="Arial" w:hAnsi="Arial" w:cs="Arial"/>
          <w:sz w:val="20"/>
          <w:szCs w:val="20"/>
          <w:lang w:val="es-419"/>
        </w:rPr>
        <w:t>Asunto</w:t>
      </w:r>
      <w:r w:rsidRPr="00B01E01">
        <w:rPr>
          <w:rFonts w:ascii="Arial" w:hAnsi="Arial" w:cs="Arial"/>
          <w:sz w:val="20"/>
          <w:szCs w:val="20"/>
          <w:lang w:val="es-419"/>
        </w:rPr>
        <w:tab/>
      </w:r>
      <w:r w:rsidRPr="00B01E01">
        <w:rPr>
          <w:rFonts w:ascii="Arial" w:hAnsi="Arial" w:cs="Arial"/>
          <w:sz w:val="20"/>
          <w:szCs w:val="20"/>
          <w:lang w:val="es-419"/>
        </w:rPr>
        <w:tab/>
      </w:r>
      <w:r w:rsidRPr="00B01E01">
        <w:rPr>
          <w:rFonts w:ascii="Arial" w:hAnsi="Arial" w:cs="Arial"/>
          <w:sz w:val="20"/>
          <w:szCs w:val="20"/>
          <w:lang w:val="es-419"/>
        </w:rPr>
        <w:tab/>
      </w:r>
      <w:r w:rsidRPr="00B01E01">
        <w:rPr>
          <w:rFonts w:ascii="Arial" w:hAnsi="Arial" w:cs="Arial"/>
          <w:sz w:val="20"/>
          <w:szCs w:val="20"/>
          <w:lang w:val="es-419"/>
        </w:rPr>
        <w:tab/>
        <w:t>: Sentencia de tutela en segunda instancia</w:t>
      </w:r>
    </w:p>
    <w:p w:rsidR="00B01E01" w:rsidRPr="00B01E01" w:rsidRDefault="00B01E01" w:rsidP="00B01E01">
      <w:pPr>
        <w:widowControl/>
        <w:autoSpaceDE/>
        <w:autoSpaceDN/>
        <w:adjustRightInd/>
        <w:jc w:val="both"/>
        <w:rPr>
          <w:rFonts w:ascii="Arial" w:hAnsi="Arial" w:cs="Arial"/>
          <w:sz w:val="20"/>
          <w:szCs w:val="20"/>
          <w:lang w:val="es-419"/>
        </w:rPr>
      </w:pPr>
      <w:r w:rsidRPr="00B01E01">
        <w:rPr>
          <w:rFonts w:ascii="Arial" w:hAnsi="Arial" w:cs="Arial"/>
          <w:sz w:val="20"/>
          <w:szCs w:val="20"/>
          <w:lang w:val="es-419"/>
        </w:rPr>
        <w:t>Accionante (s)</w:t>
      </w:r>
      <w:r w:rsidRPr="00B01E01">
        <w:rPr>
          <w:rFonts w:ascii="Arial" w:hAnsi="Arial" w:cs="Arial"/>
          <w:sz w:val="20"/>
          <w:szCs w:val="20"/>
          <w:lang w:val="es-419"/>
        </w:rPr>
        <w:tab/>
      </w:r>
      <w:r w:rsidRPr="00B01E01">
        <w:rPr>
          <w:rFonts w:ascii="Arial" w:hAnsi="Arial" w:cs="Arial"/>
          <w:sz w:val="20"/>
          <w:szCs w:val="20"/>
          <w:lang w:val="es-419"/>
        </w:rPr>
        <w:tab/>
      </w:r>
      <w:r w:rsidRPr="00B01E01">
        <w:rPr>
          <w:rFonts w:ascii="Arial" w:hAnsi="Arial" w:cs="Arial"/>
          <w:sz w:val="20"/>
          <w:szCs w:val="20"/>
          <w:lang w:val="es-419"/>
        </w:rPr>
        <w:tab/>
        <w:t>: Elvia Janeth Saldarriaga Duarte</w:t>
      </w:r>
    </w:p>
    <w:p w:rsidR="00B01E01" w:rsidRPr="00B01E01" w:rsidRDefault="00B01E01" w:rsidP="00B01E01">
      <w:pPr>
        <w:widowControl/>
        <w:autoSpaceDE/>
        <w:autoSpaceDN/>
        <w:adjustRightInd/>
        <w:jc w:val="both"/>
        <w:rPr>
          <w:rFonts w:ascii="Arial" w:hAnsi="Arial" w:cs="Arial"/>
          <w:sz w:val="20"/>
          <w:szCs w:val="20"/>
          <w:lang w:val="es-419"/>
        </w:rPr>
      </w:pPr>
      <w:r w:rsidRPr="00B01E01">
        <w:rPr>
          <w:rFonts w:ascii="Arial" w:hAnsi="Arial" w:cs="Arial"/>
          <w:sz w:val="20"/>
          <w:szCs w:val="20"/>
          <w:lang w:val="es-419"/>
        </w:rPr>
        <w:t>Accionado (s)</w:t>
      </w:r>
      <w:r w:rsidRPr="00B01E01">
        <w:rPr>
          <w:rFonts w:ascii="Arial" w:hAnsi="Arial" w:cs="Arial"/>
          <w:sz w:val="20"/>
          <w:szCs w:val="20"/>
          <w:lang w:val="es-419"/>
        </w:rPr>
        <w:tab/>
      </w:r>
      <w:r w:rsidRPr="00B01E01">
        <w:rPr>
          <w:rFonts w:ascii="Arial" w:hAnsi="Arial" w:cs="Arial"/>
          <w:sz w:val="20"/>
          <w:szCs w:val="20"/>
          <w:lang w:val="es-419"/>
        </w:rPr>
        <w:tab/>
      </w:r>
      <w:r w:rsidRPr="00B01E01">
        <w:rPr>
          <w:rFonts w:ascii="Arial" w:hAnsi="Arial" w:cs="Arial"/>
          <w:sz w:val="20"/>
          <w:szCs w:val="20"/>
          <w:lang w:val="es-419"/>
        </w:rPr>
        <w:tab/>
        <w:t xml:space="preserve">: Sociedad de Activos Especiales SAS </w:t>
      </w:r>
    </w:p>
    <w:p w:rsidR="00B01E01" w:rsidRPr="00B01E01" w:rsidRDefault="00B01E01" w:rsidP="00B01E01">
      <w:pPr>
        <w:widowControl/>
        <w:autoSpaceDE/>
        <w:autoSpaceDN/>
        <w:adjustRightInd/>
        <w:jc w:val="both"/>
        <w:rPr>
          <w:rFonts w:ascii="Arial" w:hAnsi="Arial" w:cs="Arial"/>
          <w:sz w:val="20"/>
          <w:szCs w:val="20"/>
          <w:lang w:val="es-419"/>
        </w:rPr>
      </w:pPr>
      <w:r w:rsidRPr="00B01E01">
        <w:rPr>
          <w:rFonts w:ascii="Arial" w:hAnsi="Arial" w:cs="Arial"/>
          <w:sz w:val="20"/>
          <w:szCs w:val="20"/>
          <w:lang w:val="es-419"/>
        </w:rPr>
        <w:t>Vinculado (s)</w:t>
      </w:r>
      <w:r w:rsidRPr="00B01E01">
        <w:rPr>
          <w:rFonts w:ascii="Arial" w:hAnsi="Arial" w:cs="Arial"/>
          <w:sz w:val="20"/>
          <w:szCs w:val="20"/>
          <w:lang w:val="es-419"/>
        </w:rPr>
        <w:tab/>
      </w:r>
      <w:r w:rsidRPr="00B01E01">
        <w:rPr>
          <w:rFonts w:ascii="Arial" w:hAnsi="Arial" w:cs="Arial"/>
          <w:sz w:val="20"/>
          <w:szCs w:val="20"/>
          <w:lang w:val="es-419"/>
        </w:rPr>
        <w:tab/>
      </w:r>
      <w:r w:rsidRPr="00B01E01">
        <w:rPr>
          <w:rFonts w:ascii="Arial" w:hAnsi="Arial" w:cs="Arial"/>
          <w:sz w:val="20"/>
          <w:szCs w:val="20"/>
          <w:lang w:val="es-419"/>
        </w:rPr>
        <w:tab/>
        <w:t>: Fiscalía 32 Especializada de la Unidad de Extinción de Dominio de</w:t>
      </w:r>
    </w:p>
    <w:p w:rsidR="00B01E01" w:rsidRPr="00B01E01" w:rsidRDefault="00B01E01" w:rsidP="00B01E01">
      <w:pPr>
        <w:widowControl/>
        <w:autoSpaceDE/>
        <w:autoSpaceDN/>
        <w:adjustRightInd/>
        <w:ind w:left="2124" w:firstLine="708"/>
        <w:jc w:val="both"/>
        <w:rPr>
          <w:rFonts w:ascii="Arial" w:hAnsi="Arial" w:cs="Arial"/>
          <w:sz w:val="20"/>
          <w:szCs w:val="20"/>
          <w:lang w:val="es-419"/>
        </w:rPr>
      </w:pPr>
      <w:r w:rsidRPr="00B01E01">
        <w:rPr>
          <w:rFonts w:ascii="Arial" w:hAnsi="Arial" w:cs="Arial"/>
          <w:sz w:val="20"/>
          <w:szCs w:val="20"/>
          <w:lang w:val="es-419"/>
        </w:rPr>
        <w:t xml:space="preserve">  Pereira y otra</w:t>
      </w:r>
    </w:p>
    <w:p w:rsidR="00B01E01" w:rsidRPr="00B01E01" w:rsidRDefault="00B01E01" w:rsidP="00B01E01">
      <w:pPr>
        <w:widowControl/>
        <w:autoSpaceDE/>
        <w:autoSpaceDN/>
        <w:adjustRightInd/>
        <w:jc w:val="both"/>
        <w:rPr>
          <w:rFonts w:ascii="Arial" w:hAnsi="Arial" w:cs="Arial"/>
          <w:sz w:val="20"/>
          <w:szCs w:val="20"/>
          <w:lang w:val="es-419"/>
        </w:rPr>
      </w:pPr>
      <w:r w:rsidRPr="00B01E01">
        <w:rPr>
          <w:rFonts w:ascii="Arial" w:hAnsi="Arial" w:cs="Arial"/>
          <w:sz w:val="20"/>
          <w:szCs w:val="20"/>
          <w:lang w:val="es-419"/>
        </w:rPr>
        <w:t>Radicación</w:t>
      </w:r>
      <w:r w:rsidRPr="00B01E01">
        <w:rPr>
          <w:rFonts w:ascii="Arial" w:hAnsi="Arial" w:cs="Arial"/>
          <w:sz w:val="20"/>
          <w:szCs w:val="20"/>
          <w:lang w:val="es-419"/>
        </w:rPr>
        <w:tab/>
      </w:r>
      <w:r w:rsidRPr="00B01E01">
        <w:rPr>
          <w:rFonts w:ascii="Arial" w:hAnsi="Arial" w:cs="Arial"/>
          <w:sz w:val="20"/>
          <w:szCs w:val="20"/>
          <w:lang w:val="es-419"/>
        </w:rPr>
        <w:tab/>
      </w:r>
      <w:r w:rsidRPr="00B01E01">
        <w:rPr>
          <w:rFonts w:ascii="Arial" w:hAnsi="Arial" w:cs="Arial"/>
          <w:sz w:val="20"/>
          <w:szCs w:val="20"/>
          <w:lang w:val="es-419"/>
        </w:rPr>
        <w:tab/>
        <w:t>: 66001-31-10-003-2019-00144-01</w:t>
      </w:r>
    </w:p>
    <w:p w:rsidR="00B01E01" w:rsidRPr="00B01E01" w:rsidRDefault="00B01E01" w:rsidP="00B01E01">
      <w:pPr>
        <w:widowControl/>
        <w:autoSpaceDE/>
        <w:autoSpaceDN/>
        <w:adjustRightInd/>
        <w:jc w:val="both"/>
        <w:rPr>
          <w:rFonts w:ascii="Arial" w:hAnsi="Arial" w:cs="Arial"/>
          <w:sz w:val="20"/>
          <w:szCs w:val="20"/>
          <w:lang w:val="es-419"/>
        </w:rPr>
      </w:pPr>
      <w:r w:rsidRPr="00B01E01">
        <w:rPr>
          <w:rFonts w:ascii="Arial" w:hAnsi="Arial" w:cs="Arial"/>
          <w:sz w:val="20"/>
          <w:szCs w:val="20"/>
          <w:lang w:val="es-419"/>
        </w:rPr>
        <w:t>Despacho de origen</w:t>
      </w:r>
      <w:r w:rsidRPr="00B01E01">
        <w:rPr>
          <w:rFonts w:ascii="Arial" w:hAnsi="Arial" w:cs="Arial"/>
          <w:sz w:val="20"/>
          <w:szCs w:val="20"/>
          <w:lang w:val="es-419"/>
        </w:rPr>
        <w:tab/>
        <w:t xml:space="preserve"> </w:t>
      </w:r>
      <w:r w:rsidRPr="00B01E01">
        <w:rPr>
          <w:rFonts w:ascii="Arial" w:hAnsi="Arial" w:cs="Arial"/>
          <w:sz w:val="20"/>
          <w:szCs w:val="20"/>
          <w:lang w:val="es-419"/>
        </w:rPr>
        <w:tab/>
        <w:t>: Juzgado Tercero de Familia de Pereira</w:t>
      </w:r>
    </w:p>
    <w:p w:rsidR="00B01E01" w:rsidRPr="00B01E01" w:rsidRDefault="00B01E01" w:rsidP="00B01E01">
      <w:pPr>
        <w:widowControl/>
        <w:autoSpaceDE/>
        <w:autoSpaceDN/>
        <w:adjustRightInd/>
        <w:jc w:val="both"/>
        <w:rPr>
          <w:rFonts w:ascii="Arial" w:hAnsi="Arial" w:cs="Arial"/>
          <w:sz w:val="20"/>
          <w:szCs w:val="20"/>
          <w:lang w:val="es-419"/>
        </w:rPr>
      </w:pPr>
      <w:r w:rsidRPr="00B01E01">
        <w:rPr>
          <w:rFonts w:ascii="Arial" w:hAnsi="Arial" w:cs="Arial"/>
          <w:sz w:val="20"/>
          <w:szCs w:val="20"/>
          <w:lang w:val="es-419"/>
        </w:rPr>
        <w:t>Magistrado Ponente</w:t>
      </w:r>
      <w:r w:rsidRPr="00B01E01">
        <w:rPr>
          <w:rFonts w:ascii="Arial" w:hAnsi="Arial" w:cs="Arial"/>
          <w:sz w:val="20"/>
          <w:szCs w:val="20"/>
          <w:lang w:val="es-419"/>
        </w:rPr>
        <w:tab/>
      </w:r>
      <w:r w:rsidRPr="00B01E01">
        <w:rPr>
          <w:rFonts w:ascii="Arial" w:hAnsi="Arial" w:cs="Arial"/>
          <w:sz w:val="20"/>
          <w:szCs w:val="20"/>
          <w:lang w:val="es-419"/>
        </w:rPr>
        <w:tab/>
        <w:t>: DUBERNEY GRISALES HERRERA</w:t>
      </w:r>
    </w:p>
    <w:p w:rsidR="00B01E01" w:rsidRPr="00B01E01" w:rsidRDefault="00B01E01" w:rsidP="00B01E01">
      <w:pPr>
        <w:widowControl/>
        <w:autoSpaceDE/>
        <w:autoSpaceDN/>
        <w:adjustRightInd/>
        <w:jc w:val="both"/>
        <w:rPr>
          <w:rFonts w:ascii="Arial" w:hAnsi="Arial" w:cs="Arial"/>
          <w:sz w:val="20"/>
          <w:szCs w:val="20"/>
          <w:lang w:val="es-419"/>
        </w:rPr>
      </w:pPr>
      <w:r w:rsidRPr="00B01E01">
        <w:rPr>
          <w:rFonts w:ascii="Arial" w:hAnsi="Arial" w:cs="Arial"/>
          <w:sz w:val="20"/>
          <w:szCs w:val="20"/>
          <w:lang w:val="es-419"/>
        </w:rPr>
        <w:t>Acta número</w:t>
      </w:r>
      <w:r w:rsidRPr="00B01E01">
        <w:rPr>
          <w:rFonts w:ascii="Arial" w:hAnsi="Arial" w:cs="Arial"/>
          <w:sz w:val="20"/>
          <w:szCs w:val="20"/>
          <w:lang w:val="es-419"/>
        </w:rPr>
        <w:tab/>
      </w:r>
      <w:r w:rsidRPr="00B01E01">
        <w:rPr>
          <w:rFonts w:ascii="Arial" w:hAnsi="Arial" w:cs="Arial"/>
          <w:sz w:val="20"/>
          <w:szCs w:val="20"/>
          <w:lang w:val="es-419"/>
        </w:rPr>
        <w:tab/>
      </w:r>
      <w:r w:rsidRPr="00B01E01">
        <w:rPr>
          <w:rFonts w:ascii="Arial" w:hAnsi="Arial" w:cs="Arial"/>
          <w:sz w:val="20"/>
          <w:szCs w:val="20"/>
          <w:lang w:val="es-419"/>
        </w:rPr>
        <w:tab/>
        <w:t>: 206 de 23-05-2019</w:t>
      </w:r>
    </w:p>
    <w:p w:rsidR="00B01E01" w:rsidRPr="00B01E01" w:rsidRDefault="00B01E01" w:rsidP="00B01E01">
      <w:pPr>
        <w:widowControl/>
        <w:autoSpaceDE/>
        <w:autoSpaceDN/>
        <w:adjustRightInd/>
        <w:jc w:val="both"/>
        <w:rPr>
          <w:rFonts w:ascii="Arial" w:hAnsi="Arial" w:cs="Arial"/>
          <w:sz w:val="20"/>
          <w:szCs w:val="20"/>
          <w:lang w:val="es-419"/>
        </w:rPr>
      </w:pPr>
    </w:p>
    <w:p w:rsidR="00B01E01" w:rsidRPr="00B01E01" w:rsidRDefault="00B01E01" w:rsidP="00B01E01">
      <w:pPr>
        <w:widowControl/>
        <w:autoSpaceDE/>
        <w:autoSpaceDN/>
        <w:adjustRightInd/>
        <w:jc w:val="both"/>
        <w:rPr>
          <w:rFonts w:ascii="Arial" w:hAnsi="Arial" w:cs="Arial"/>
          <w:b/>
          <w:bCs/>
          <w:iCs/>
          <w:sz w:val="20"/>
          <w:szCs w:val="20"/>
          <w:lang w:val="es-419" w:eastAsia="fr-FR"/>
        </w:rPr>
      </w:pPr>
      <w:r w:rsidRPr="00B01E01">
        <w:rPr>
          <w:rFonts w:ascii="Arial" w:hAnsi="Arial" w:cs="Arial"/>
          <w:b/>
          <w:bCs/>
          <w:iCs/>
          <w:sz w:val="20"/>
          <w:szCs w:val="20"/>
          <w:lang w:val="es-419" w:eastAsia="fr-FR"/>
        </w:rPr>
        <w:t>TEMAS:</w:t>
      </w:r>
      <w:r w:rsidRPr="00B01E01">
        <w:rPr>
          <w:rFonts w:ascii="Arial" w:hAnsi="Arial" w:cs="Arial"/>
          <w:b/>
          <w:bCs/>
          <w:iCs/>
          <w:sz w:val="20"/>
          <w:szCs w:val="20"/>
          <w:lang w:val="es-419" w:eastAsia="fr-FR"/>
        </w:rPr>
        <w:tab/>
      </w:r>
      <w:r w:rsidR="003F0EE1">
        <w:rPr>
          <w:rFonts w:ascii="Arial" w:hAnsi="Arial" w:cs="Arial"/>
          <w:b/>
          <w:bCs/>
          <w:iCs/>
          <w:sz w:val="20"/>
          <w:szCs w:val="20"/>
          <w:lang w:val="es-CO" w:eastAsia="fr-FR"/>
        </w:rPr>
        <w:t>DERECHO DE PETICIÓN DE INFORMACIÓN / RESPECTO DE DOCUMENTOS CALIFICADOS COMO RESERVADOS / TRÁMITE QUE DEBE SEGUIRSE / SUBSIDIARIEDAD DE LA TUTELA.</w:t>
      </w:r>
      <w:bookmarkStart w:id="0" w:name="_GoBack"/>
      <w:bookmarkEnd w:id="0"/>
    </w:p>
    <w:p w:rsidR="00B01E01" w:rsidRPr="00B01E01" w:rsidRDefault="00B01E01" w:rsidP="00B01E01">
      <w:pPr>
        <w:widowControl/>
        <w:autoSpaceDE/>
        <w:autoSpaceDN/>
        <w:adjustRightInd/>
        <w:jc w:val="both"/>
        <w:rPr>
          <w:rFonts w:ascii="Arial" w:hAnsi="Arial" w:cs="Arial"/>
          <w:sz w:val="20"/>
          <w:szCs w:val="20"/>
          <w:lang w:val="es-419"/>
        </w:rPr>
      </w:pPr>
    </w:p>
    <w:p w:rsidR="00B01E01" w:rsidRDefault="00DA45DF" w:rsidP="00B01E01">
      <w:pPr>
        <w:widowControl/>
        <w:autoSpaceDE/>
        <w:autoSpaceDN/>
        <w:adjustRightInd/>
        <w:jc w:val="both"/>
        <w:rPr>
          <w:rFonts w:ascii="Arial" w:hAnsi="Arial" w:cs="Arial"/>
          <w:sz w:val="20"/>
          <w:szCs w:val="20"/>
          <w:lang w:val="es-CO"/>
        </w:rPr>
      </w:pPr>
      <w:r w:rsidRPr="00DA45DF">
        <w:rPr>
          <w:rFonts w:ascii="Arial" w:hAnsi="Arial" w:cs="Arial"/>
          <w:sz w:val="20"/>
          <w:szCs w:val="20"/>
          <w:lang w:val="es-419"/>
        </w:rPr>
        <w:t>Nuestra CC tiene establecido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sz w:val="20"/>
          <w:szCs w:val="20"/>
          <w:lang w:val="es-CO"/>
        </w:rPr>
        <w:t>(…)</w:t>
      </w:r>
    </w:p>
    <w:p w:rsidR="00DA45DF" w:rsidRDefault="00DA45DF" w:rsidP="00B01E01">
      <w:pPr>
        <w:widowControl/>
        <w:autoSpaceDE/>
        <w:autoSpaceDN/>
        <w:adjustRightInd/>
        <w:jc w:val="both"/>
        <w:rPr>
          <w:rFonts w:ascii="Arial" w:hAnsi="Arial" w:cs="Arial"/>
          <w:sz w:val="20"/>
          <w:szCs w:val="20"/>
          <w:lang w:val="es-CO"/>
        </w:rPr>
      </w:pPr>
    </w:p>
    <w:p w:rsidR="00DA45DF" w:rsidRPr="00DA45DF" w:rsidRDefault="00DA45DF" w:rsidP="00DA45DF">
      <w:pPr>
        <w:widowControl/>
        <w:autoSpaceDE/>
        <w:autoSpaceDN/>
        <w:adjustRightInd/>
        <w:jc w:val="both"/>
        <w:rPr>
          <w:rFonts w:ascii="Arial" w:hAnsi="Arial" w:cs="Arial"/>
          <w:sz w:val="20"/>
          <w:szCs w:val="20"/>
          <w:lang w:val="es-CO"/>
        </w:rPr>
      </w:pPr>
      <w:r w:rsidRPr="00DA45DF">
        <w:rPr>
          <w:rFonts w:ascii="Arial" w:hAnsi="Arial" w:cs="Arial"/>
          <w:sz w:val="20"/>
          <w:szCs w:val="20"/>
          <w:lang w:val="es-CO"/>
        </w:rPr>
        <w:t>En cuanto a la subsidiariedad debe indicarse que la acción es viable siempre que el afectado carezca de otro medio de defensa judicial, de tal manera que no se sustituyan los mecanismos legales ordinarios. Esta regla tiene dos (2) excepciones que guardan en común la existencia del medio judicial ordinario  (i) la tutela transitoria para evitar un perjuicio irremediable; y (ii) La ineficacia de la acción ordinaria para salvaguardar los derechos fundamentales del accionante.</w:t>
      </w:r>
    </w:p>
    <w:p w:rsidR="00DA45DF" w:rsidRPr="00DA45DF" w:rsidRDefault="00DA45DF" w:rsidP="00DA45DF">
      <w:pPr>
        <w:widowControl/>
        <w:autoSpaceDE/>
        <w:autoSpaceDN/>
        <w:adjustRightInd/>
        <w:jc w:val="both"/>
        <w:rPr>
          <w:rFonts w:ascii="Arial" w:hAnsi="Arial" w:cs="Arial"/>
          <w:sz w:val="20"/>
          <w:szCs w:val="20"/>
          <w:lang w:val="es-CO"/>
        </w:rPr>
      </w:pPr>
    </w:p>
    <w:p w:rsidR="00DA45DF" w:rsidRDefault="00DA45DF" w:rsidP="00DA45DF">
      <w:pPr>
        <w:widowControl/>
        <w:autoSpaceDE/>
        <w:autoSpaceDN/>
        <w:adjustRightInd/>
        <w:jc w:val="both"/>
        <w:rPr>
          <w:rFonts w:ascii="Arial" w:hAnsi="Arial" w:cs="Arial"/>
          <w:sz w:val="20"/>
          <w:szCs w:val="20"/>
          <w:lang w:val="es-CO"/>
        </w:rPr>
      </w:pPr>
      <w:r w:rsidRPr="00DA45DF">
        <w:rPr>
          <w:rFonts w:ascii="Arial" w:hAnsi="Arial" w:cs="Arial"/>
          <w:sz w:val="20"/>
          <w:szCs w:val="20"/>
          <w:lang w:val="es-CO"/>
        </w:rPr>
        <w:t>Conforme a lo sostenido por la Corte, deben agotarse los recursos ordinarios de defensa, toda vez que la tutela no fue creada ni destinada a suplir los procedimientos ordinarios ni para enmendar los errores o descuidos de las partes en el proceso</w:t>
      </w:r>
      <w:r>
        <w:rPr>
          <w:rFonts w:ascii="Arial" w:hAnsi="Arial" w:cs="Arial"/>
          <w:sz w:val="20"/>
          <w:szCs w:val="20"/>
          <w:lang w:val="es-CO"/>
        </w:rPr>
        <w:t>…</w:t>
      </w:r>
    </w:p>
    <w:p w:rsidR="00DA45DF" w:rsidRDefault="00DA45DF" w:rsidP="00DA45DF">
      <w:pPr>
        <w:widowControl/>
        <w:autoSpaceDE/>
        <w:autoSpaceDN/>
        <w:adjustRightInd/>
        <w:jc w:val="both"/>
        <w:rPr>
          <w:rFonts w:ascii="Arial" w:hAnsi="Arial" w:cs="Arial"/>
          <w:sz w:val="20"/>
          <w:szCs w:val="20"/>
          <w:lang w:val="es-CO"/>
        </w:rPr>
      </w:pPr>
    </w:p>
    <w:p w:rsidR="00F8200A" w:rsidRPr="00F8200A" w:rsidRDefault="00F8200A" w:rsidP="00F8200A">
      <w:pPr>
        <w:widowControl/>
        <w:autoSpaceDE/>
        <w:autoSpaceDN/>
        <w:adjustRightInd/>
        <w:jc w:val="both"/>
        <w:rPr>
          <w:rFonts w:ascii="Arial" w:hAnsi="Arial" w:cs="Arial"/>
          <w:sz w:val="20"/>
          <w:szCs w:val="20"/>
          <w:lang w:val="es-CO"/>
        </w:rPr>
      </w:pPr>
      <w:r w:rsidRPr="00F8200A">
        <w:rPr>
          <w:rFonts w:ascii="Arial" w:hAnsi="Arial" w:cs="Arial"/>
          <w:sz w:val="20"/>
          <w:szCs w:val="20"/>
          <w:lang w:val="es-CO"/>
        </w:rPr>
        <w:t>En torno al derecho de</w:t>
      </w:r>
      <w:r>
        <w:rPr>
          <w:rFonts w:ascii="Arial" w:hAnsi="Arial" w:cs="Arial"/>
          <w:sz w:val="20"/>
          <w:szCs w:val="20"/>
          <w:lang w:val="es-CO"/>
        </w:rPr>
        <w:t xml:space="preserve"> petición de información, la CC</w:t>
      </w:r>
      <w:r w:rsidRPr="00F8200A">
        <w:rPr>
          <w:rFonts w:ascii="Arial" w:hAnsi="Arial" w:cs="Arial"/>
          <w:sz w:val="20"/>
          <w:szCs w:val="20"/>
          <w:lang w:val="es-CO"/>
        </w:rPr>
        <w:t xml:space="preserve">, con fundamento en los artículos 25 y 26 de la Ley 1755, determinó que: </w:t>
      </w:r>
    </w:p>
    <w:p w:rsidR="00F8200A" w:rsidRPr="00F8200A" w:rsidRDefault="00F8200A" w:rsidP="00F8200A">
      <w:pPr>
        <w:widowControl/>
        <w:autoSpaceDE/>
        <w:autoSpaceDN/>
        <w:adjustRightInd/>
        <w:jc w:val="both"/>
        <w:rPr>
          <w:rFonts w:ascii="Arial" w:hAnsi="Arial" w:cs="Arial"/>
          <w:sz w:val="20"/>
          <w:szCs w:val="20"/>
          <w:lang w:val="es-CO"/>
        </w:rPr>
      </w:pPr>
    </w:p>
    <w:p w:rsidR="00DA45DF" w:rsidRDefault="00F8200A" w:rsidP="00F8200A">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F8200A">
        <w:rPr>
          <w:rFonts w:ascii="Arial" w:hAnsi="Arial" w:cs="Arial"/>
          <w:sz w:val="20"/>
          <w:szCs w:val="20"/>
          <w:lang w:val="es-CO"/>
        </w:rPr>
        <w:t>… es cierto que antes del 2015 la jurisprudencia constitucional había sostenido que la acción de tutela era el mecanismo judicial idóneo para solicitar la protección del derecho fundamental de petición, ante la inexistencia de otro procedimiento ordinario. Sin embargo, hoy en día, es claro que con la expedición de la mencionada Ley Estatutaria los ciudadanos cuentan con un proceso destinado exclusivamente a que un funcionario judicial decida, de manera imparcial, si los documentos que una determinada autoridad pública ha clasificado como “reservados” deben o no ser entregados al solicitante, con lo cual la acción de amparo recobra su carácter subsidiario para efectos de proteger el derecho fundamental antedicho...</w:t>
      </w:r>
      <w:r>
        <w:rPr>
          <w:rFonts w:ascii="Arial" w:hAnsi="Arial" w:cs="Arial"/>
          <w:sz w:val="20"/>
          <w:szCs w:val="20"/>
          <w:lang w:val="es-CO"/>
        </w:rPr>
        <w:t>”. (…)</w:t>
      </w:r>
    </w:p>
    <w:p w:rsidR="00F8200A" w:rsidRDefault="00F8200A" w:rsidP="00F8200A">
      <w:pPr>
        <w:widowControl/>
        <w:autoSpaceDE/>
        <w:autoSpaceDN/>
        <w:adjustRightInd/>
        <w:jc w:val="both"/>
        <w:rPr>
          <w:rFonts w:ascii="Arial" w:hAnsi="Arial" w:cs="Arial"/>
          <w:sz w:val="20"/>
          <w:szCs w:val="20"/>
          <w:lang w:val="es-CO"/>
        </w:rPr>
      </w:pPr>
    </w:p>
    <w:p w:rsidR="00F8200A" w:rsidRPr="00DA45DF" w:rsidRDefault="00F8200A" w:rsidP="00F8200A">
      <w:pPr>
        <w:widowControl/>
        <w:autoSpaceDE/>
        <w:autoSpaceDN/>
        <w:adjustRightInd/>
        <w:jc w:val="both"/>
        <w:rPr>
          <w:rFonts w:ascii="Arial" w:hAnsi="Arial" w:cs="Arial"/>
          <w:sz w:val="20"/>
          <w:szCs w:val="20"/>
          <w:lang w:val="es-CO"/>
        </w:rPr>
      </w:pPr>
      <w:r w:rsidRPr="00F8200A">
        <w:rPr>
          <w:rFonts w:ascii="Arial" w:hAnsi="Arial" w:cs="Arial"/>
          <w:sz w:val="20"/>
          <w:szCs w:val="20"/>
          <w:lang w:val="es-CO"/>
        </w:rPr>
        <w:t>Ahora, como se trata de una Sociedad de Economía Mixta del orden nacional</w:t>
      </w:r>
      <w:r>
        <w:rPr>
          <w:rFonts w:ascii="Arial" w:hAnsi="Arial" w:cs="Arial"/>
          <w:sz w:val="20"/>
          <w:szCs w:val="20"/>
          <w:lang w:val="es-CO"/>
        </w:rPr>
        <w:t xml:space="preserve">… </w:t>
      </w:r>
      <w:r w:rsidRPr="00F8200A">
        <w:rPr>
          <w:rFonts w:ascii="Arial" w:hAnsi="Arial" w:cs="Arial"/>
          <w:sz w:val="20"/>
          <w:szCs w:val="20"/>
          <w:lang w:val="es-CO"/>
        </w:rPr>
        <w:t>e invocó la reserva de la información (Artículos 18, Ley 1712)</w:t>
      </w:r>
      <w:r>
        <w:rPr>
          <w:rFonts w:ascii="Arial" w:hAnsi="Arial" w:cs="Arial"/>
          <w:sz w:val="20"/>
          <w:szCs w:val="20"/>
          <w:lang w:val="es-CO"/>
        </w:rPr>
        <w:t>…</w:t>
      </w:r>
      <w:r w:rsidRPr="00F8200A">
        <w:rPr>
          <w:rFonts w:ascii="Arial" w:hAnsi="Arial" w:cs="Arial"/>
          <w:sz w:val="20"/>
          <w:szCs w:val="20"/>
          <w:lang w:val="es-CO"/>
        </w:rPr>
        <w:t>, debió entonces la parte actora insistir en su petición (Artículo 26, Ley 1755), cuando ese era el mecanismo ordinario y expedito que tenía para que un estrado judicial competente decidiera sobre su aceptación, en lugar de acudir a esta vía subsidiaria. Criterio ya muchas veces expuesto por esta Corporación.</w:t>
      </w:r>
    </w:p>
    <w:p w:rsidR="00B01E01" w:rsidRPr="00B01E01" w:rsidRDefault="00B01E01" w:rsidP="00B01E01">
      <w:pPr>
        <w:widowControl/>
        <w:autoSpaceDE/>
        <w:autoSpaceDN/>
        <w:adjustRightInd/>
        <w:jc w:val="both"/>
        <w:rPr>
          <w:rFonts w:ascii="Arial" w:hAnsi="Arial" w:cs="Arial"/>
          <w:sz w:val="20"/>
          <w:szCs w:val="20"/>
          <w:lang w:val="es-419"/>
        </w:rPr>
      </w:pPr>
    </w:p>
    <w:p w:rsidR="00B01E01" w:rsidRPr="00B01E01" w:rsidRDefault="00B01E01" w:rsidP="00B01E01">
      <w:pPr>
        <w:widowControl/>
        <w:autoSpaceDE/>
        <w:autoSpaceDN/>
        <w:adjustRightInd/>
        <w:jc w:val="both"/>
        <w:rPr>
          <w:rFonts w:ascii="Arial" w:hAnsi="Arial" w:cs="Arial"/>
          <w:sz w:val="20"/>
          <w:szCs w:val="20"/>
          <w:lang w:val="es-419"/>
        </w:rPr>
      </w:pPr>
    </w:p>
    <w:p w:rsidR="00B01E01" w:rsidRPr="00B01E01" w:rsidRDefault="00B01E01" w:rsidP="00B01E01">
      <w:pPr>
        <w:widowControl/>
        <w:autoSpaceDE/>
        <w:autoSpaceDN/>
        <w:adjustRightInd/>
        <w:jc w:val="both"/>
        <w:rPr>
          <w:rFonts w:ascii="Arial" w:hAnsi="Arial" w:cs="Arial"/>
          <w:sz w:val="20"/>
          <w:szCs w:val="20"/>
          <w:lang w:val="es-419"/>
        </w:rPr>
      </w:pPr>
    </w:p>
    <w:p w:rsidR="00927167" w:rsidRPr="00B01E01" w:rsidRDefault="000C32DE" w:rsidP="00927167">
      <w:pPr>
        <w:pStyle w:val="Sinespaciado"/>
        <w:tabs>
          <w:tab w:val="left" w:pos="3579"/>
        </w:tabs>
        <w:spacing w:line="360" w:lineRule="auto"/>
        <w:jc w:val="center"/>
        <w:rPr>
          <w:rFonts w:ascii="Georgia" w:hAnsi="Georgia" w:cs="Arial"/>
          <w:w w:val="140"/>
          <w:sz w:val="14"/>
          <w:lang w:val="es-419"/>
        </w:rPr>
      </w:pPr>
      <w:r w:rsidRPr="00B01E01">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B01E01">
        <w:rPr>
          <w:rFonts w:ascii="Georgia" w:hAnsi="Georgia" w:cs="Arial"/>
          <w:w w:val="140"/>
          <w:lang w:val="es-419"/>
        </w:rPr>
        <w:br w:type="textWrapping" w:clear="all"/>
      </w:r>
      <w:r w:rsidR="00927167" w:rsidRPr="00B01E01">
        <w:rPr>
          <w:rFonts w:ascii="Georgia" w:hAnsi="Georgia" w:cs="Arial"/>
          <w:w w:val="140"/>
          <w:sz w:val="14"/>
          <w:lang w:val="es-419"/>
        </w:rPr>
        <w:t>REPUBLICA DE COLOMBIA</w:t>
      </w:r>
    </w:p>
    <w:p w:rsidR="00927167" w:rsidRPr="00B01E01" w:rsidRDefault="00927167" w:rsidP="00927167">
      <w:pPr>
        <w:pStyle w:val="Sinespaciado"/>
        <w:tabs>
          <w:tab w:val="center" w:pos="4987"/>
          <w:tab w:val="left" w:pos="8449"/>
        </w:tabs>
        <w:spacing w:line="360" w:lineRule="auto"/>
        <w:jc w:val="center"/>
        <w:rPr>
          <w:rFonts w:ascii="Georgia" w:hAnsi="Georgia" w:cs="Arial"/>
          <w:w w:val="140"/>
          <w:lang w:val="es-419"/>
        </w:rPr>
      </w:pPr>
      <w:r w:rsidRPr="00B01E01">
        <w:rPr>
          <w:rFonts w:ascii="Georgia" w:hAnsi="Georgia" w:cs="Arial"/>
          <w:w w:val="140"/>
          <w:sz w:val="14"/>
          <w:lang w:val="es-419"/>
        </w:rPr>
        <w:t>RAMA JUDICIAL DEL PODER PÚBLICO</w:t>
      </w:r>
    </w:p>
    <w:p w:rsidR="00927167" w:rsidRPr="00B01E01" w:rsidRDefault="00927167" w:rsidP="00927167">
      <w:pPr>
        <w:pStyle w:val="Sinespaciado"/>
        <w:spacing w:line="360" w:lineRule="auto"/>
        <w:jc w:val="center"/>
        <w:rPr>
          <w:rFonts w:ascii="Georgia" w:hAnsi="Georgia" w:cs="Arial"/>
          <w:w w:val="140"/>
          <w:sz w:val="16"/>
          <w:lang w:val="es-419"/>
        </w:rPr>
      </w:pPr>
      <w:r w:rsidRPr="00B01E01">
        <w:rPr>
          <w:rFonts w:ascii="Georgia" w:hAnsi="Georgia" w:cs="Arial"/>
          <w:w w:val="140"/>
          <w:sz w:val="18"/>
          <w:lang w:val="es-419"/>
        </w:rPr>
        <w:t>T</w:t>
      </w:r>
      <w:r w:rsidRPr="00B01E01">
        <w:rPr>
          <w:rFonts w:ascii="Georgia" w:hAnsi="Georgia" w:cs="Arial"/>
          <w:w w:val="140"/>
          <w:sz w:val="16"/>
          <w:lang w:val="es-419"/>
        </w:rPr>
        <w:t>RIBUNAL</w:t>
      </w:r>
      <w:r w:rsidRPr="00B01E01">
        <w:rPr>
          <w:rFonts w:ascii="Georgia" w:hAnsi="Georgia" w:cs="Arial"/>
          <w:w w:val="140"/>
          <w:sz w:val="18"/>
          <w:lang w:val="es-419"/>
        </w:rPr>
        <w:t xml:space="preserve"> S</w:t>
      </w:r>
      <w:r w:rsidRPr="00B01E01">
        <w:rPr>
          <w:rFonts w:ascii="Georgia" w:hAnsi="Georgia" w:cs="Arial"/>
          <w:w w:val="140"/>
          <w:sz w:val="16"/>
          <w:lang w:val="es-419"/>
        </w:rPr>
        <w:t xml:space="preserve">UPERIOR DEL </w:t>
      </w:r>
      <w:r w:rsidRPr="00B01E01">
        <w:rPr>
          <w:rFonts w:ascii="Georgia" w:hAnsi="Georgia" w:cs="Arial"/>
          <w:w w:val="140"/>
          <w:sz w:val="18"/>
          <w:lang w:val="es-419"/>
        </w:rPr>
        <w:t>D</w:t>
      </w:r>
      <w:r w:rsidRPr="00B01E01">
        <w:rPr>
          <w:rFonts w:ascii="Georgia" w:hAnsi="Georgia" w:cs="Arial"/>
          <w:w w:val="140"/>
          <w:sz w:val="16"/>
          <w:lang w:val="es-419"/>
        </w:rPr>
        <w:t>ISTRITO</w:t>
      </w:r>
      <w:r w:rsidRPr="00B01E01">
        <w:rPr>
          <w:rFonts w:ascii="Georgia" w:hAnsi="Georgia" w:cs="Arial"/>
          <w:w w:val="140"/>
          <w:sz w:val="18"/>
          <w:lang w:val="es-419"/>
        </w:rPr>
        <w:t xml:space="preserve"> J</w:t>
      </w:r>
      <w:r w:rsidRPr="00B01E01">
        <w:rPr>
          <w:rFonts w:ascii="Georgia" w:hAnsi="Georgia" w:cs="Arial"/>
          <w:w w:val="140"/>
          <w:sz w:val="16"/>
          <w:lang w:val="es-419"/>
        </w:rPr>
        <w:t>UDICIAL</w:t>
      </w:r>
    </w:p>
    <w:p w:rsidR="00927167" w:rsidRPr="00B01E01" w:rsidRDefault="00927167" w:rsidP="00927167">
      <w:pPr>
        <w:pStyle w:val="Sinespaciado"/>
        <w:spacing w:line="360" w:lineRule="auto"/>
        <w:jc w:val="center"/>
        <w:rPr>
          <w:rFonts w:ascii="Georgia" w:hAnsi="Georgia" w:cs="Arial"/>
          <w:w w:val="140"/>
          <w:sz w:val="16"/>
          <w:szCs w:val="18"/>
          <w:lang w:val="es-419"/>
        </w:rPr>
      </w:pPr>
      <w:r w:rsidRPr="00B01E01">
        <w:rPr>
          <w:rFonts w:ascii="Georgia" w:hAnsi="Georgia" w:cs="Arial"/>
          <w:w w:val="140"/>
          <w:sz w:val="18"/>
          <w:szCs w:val="18"/>
          <w:lang w:val="es-419"/>
        </w:rPr>
        <w:t>S</w:t>
      </w:r>
      <w:r w:rsidRPr="00B01E01">
        <w:rPr>
          <w:rFonts w:ascii="Georgia" w:hAnsi="Georgia" w:cs="Arial"/>
          <w:w w:val="140"/>
          <w:sz w:val="16"/>
          <w:szCs w:val="18"/>
          <w:lang w:val="es-419"/>
        </w:rPr>
        <w:t>ALA</w:t>
      </w:r>
      <w:r w:rsidRPr="00B01E01">
        <w:rPr>
          <w:rFonts w:ascii="Georgia" w:hAnsi="Georgia" w:cs="Arial"/>
          <w:w w:val="140"/>
          <w:sz w:val="14"/>
          <w:szCs w:val="18"/>
          <w:lang w:val="es-419"/>
        </w:rPr>
        <w:t xml:space="preserve"> </w:t>
      </w:r>
      <w:r w:rsidRPr="00B01E01">
        <w:rPr>
          <w:rFonts w:ascii="Georgia" w:hAnsi="Georgia" w:cs="Arial"/>
          <w:w w:val="140"/>
          <w:sz w:val="16"/>
          <w:szCs w:val="18"/>
          <w:lang w:val="es-419"/>
        </w:rPr>
        <w:t xml:space="preserve">DE </w:t>
      </w:r>
      <w:r w:rsidRPr="00B01E01">
        <w:rPr>
          <w:rFonts w:ascii="Georgia" w:hAnsi="Georgia" w:cs="Arial"/>
          <w:w w:val="140"/>
          <w:sz w:val="18"/>
          <w:szCs w:val="18"/>
          <w:lang w:val="es-419"/>
        </w:rPr>
        <w:t>D</w:t>
      </w:r>
      <w:r w:rsidRPr="00B01E01">
        <w:rPr>
          <w:rFonts w:ascii="Georgia" w:hAnsi="Georgia" w:cs="Arial"/>
          <w:w w:val="140"/>
          <w:sz w:val="16"/>
          <w:szCs w:val="18"/>
          <w:lang w:val="es-419"/>
        </w:rPr>
        <w:t>ECISIÓN</w:t>
      </w:r>
      <w:r w:rsidRPr="00B01E01">
        <w:rPr>
          <w:rFonts w:ascii="Georgia" w:hAnsi="Georgia" w:cs="Arial"/>
          <w:w w:val="140"/>
          <w:sz w:val="18"/>
          <w:szCs w:val="18"/>
          <w:lang w:val="es-419"/>
        </w:rPr>
        <w:t xml:space="preserve"> C</w:t>
      </w:r>
      <w:r w:rsidRPr="00B01E01">
        <w:rPr>
          <w:rFonts w:ascii="Georgia" w:hAnsi="Georgia" w:cs="Arial"/>
          <w:w w:val="140"/>
          <w:sz w:val="16"/>
          <w:szCs w:val="18"/>
          <w:lang w:val="es-419"/>
        </w:rPr>
        <w:t>IVIL –</w:t>
      </w:r>
      <w:r w:rsidRPr="00B01E01">
        <w:rPr>
          <w:rFonts w:ascii="Georgia" w:hAnsi="Georgia" w:cs="Arial"/>
          <w:w w:val="140"/>
          <w:sz w:val="18"/>
          <w:szCs w:val="18"/>
          <w:lang w:val="es-419"/>
        </w:rPr>
        <w:t>F</w:t>
      </w:r>
      <w:r w:rsidRPr="00B01E01">
        <w:rPr>
          <w:rFonts w:ascii="Georgia" w:hAnsi="Georgia" w:cs="Arial"/>
          <w:w w:val="140"/>
          <w:sz w:val="16"/>
          <w:szCs w:val="18"/>
          <w:lang w:val="es-419"/>
        </w:rPr>
        <w:t xml:space="preserve">AMILIA – </w:t>
      </w:r>
      <w:r w:rsidRPr="00B01E01">
        <w:rPr>
          <w:rFonts w:ascii="Georgia" w:hAnsi="Georgia" w:cs="Arial"/>
          <w:w w:val="140"/>
          <w:sz w:val="18"/>
          <w:szCs w:val="18"/>
          <w:lang w:val="es-419"/>
        </w:rPr>
        <w:t>D</w:t>
      </w:r>
      <w:r w:rsidRPr="00B01E01">
        <w:rPr>
          <w:rFonts w:ascii="Georgia" w:hAnsi="Georgia" w:cs="Arial"/>
          <w:w w:val="140"/>
          <w:sz w:val="16"/>
          <w:szCs w:val="18"/>
          <w:lang w:val="es-419"/>
        </w:rPr>
        <w:t>ISTRITO</w:t>
      </w:r>
      <w:r w:rsidRPr="00B01E01">
        <w:rPr>
          <w:rFonts w:ascii="Georgia" w:hAnsi="Georgia" w:cs="Arial"/>
          <w:w w:val="140"/>
          <w:sz w:val="18"/>
          <w:szCs w:val="18"/>
          <w:lang w:val="es-419"/>
        </w:rPr>
        <w:t xml:space="preserve"> D</w:t>
      </w:r>
      <w:r w:rsidRPr="00B01E01">
        <w:rPr>
          <w:rFonts w:ascii="Georgia" w:hAnsi="Georgia" w:cs="Arial"/>
          <w:w w:val="140"/>
          <w:sz w:val="16"/>
          <w:szCs w:val="18"/>
          <w:lang w:val="es-419"/>
        </w:rPr>
        <w:t>E</w:t>
      </w:r>
      <w:r w:rsidRPr="00B01E01">
        <w:rPr>
          <w:rFonts w:ascii="Georgia" w:hAnsi="Georgia" w:cs="Arial"/>
          <w:w w:val="140"/>
          <w:sz w:val="18"/>
          <w:szCs w:val="18"/>
          <w:lang w:val="es-419"/>
        </w:rPr>
        <w:t xml:space="preserve"> P</w:t>
      </w:r>
      <w:r w:rsidRPr="00B01E01">
        <w:rPr>
          <w:rFonts w:ascii="Georgia" w:hAnsi="Georgia" w:cs="Arial"/>
          <w:w w:val="140"/>
          <w:sz w:val="16"/>
          <w:szCs w:val="18"/>
          <w:lang w:val="es-419"/>
        </w:rPr>
        <w:t>EREIRA</w:t>
      </w:r>
    </w:p>
    <w:p w:rsidR="00927167" w:rsidRPr="00B01E01" w:rsidRDefault="00927167" w:rsidP="00927167">
      <w:pPr>
        <w:pStyle w:val="Sinespaciado"/>
        <w:spacing w:line="360" w:lineRule="auto"/>
        <w:jc w:val="center"/>
        <w:rPr>
          <w:rFonts w:ascii="Georgia" w:hAnsi="Georgia" w:cs="Arial"/>
          <w:w w:val="140"/>
          <w:sz w:val="16"/>
          <w:szCs w:val="18"/>
          <w:lang w:val="es-419"/>
        </w:rPr>
      </w:pPr>
      <w:r w:rsidRPr="00B01E01">
        <w:rPr>
          <w:rFonts w:ascii="Georgia" w:hAnsi="Georgia" w:cs="Arial"/>
          <w:w w:val="140"/>
          <w:sz w:val="18"/>
          <w:szCs w:val="18"/>
          <w:lang w:val="es-419"/>
        </w:rPr>
        <w:t>D</w:t>
      </w:r>
      <w:r w:rsidRPr="00B01E01">
        <w:rPr>
          <w:rFonts w:ascii="Georgia" w:hAnsi="Georgia" w:cs="Arial"/>
          <w:w w:val="140"/>
          <w:sz w:val="16"/>
          <w:szCs w:val="18"/>
          <w:lang w:val="es-419"/>
        </w:rPr>
        <w:t xml:space="preserve">EPARTAMENTO </w:t>
      </w:r>
      <w:r w:rsidRPr="00B01E01">
        <w:rPr>
          <w:rFonts w:ascii="Georgia" w:hAnsi="Georgia" w:cs="Arial"/>
          <w:w w:val="140"/>
          <w:sz w:val="18"/>
          <w:szCs w:val="18"/>
          <w:lang w:val="es-419"/>
        </w:rPr>
        <w:t>D</w:t>
      </w:r>
      <w:r w:rsidRPr="00B01E01">
        <w:rPr>
          <w:rFonts w:ascii="Georgia" w:hAnsi="Georgia" w:cs="Arial"/>
          <w:w w:val="140"/>
          <w:sz w:val="16"/>
          <w:szCs w:val="18"/>
          <w:lang w:val="es-419"/>
        </w:rPr>
        <w:t xml:space="preserve">E </w:t>
      </w:r>
      <w:r w:rsidRPr="00B01E01">
        <w:rPr>
          <w:rFonts w:ascii="Georgia" w:hAnsi="Georgia" w:cs="Arial"/>
          <w:w w:val="140"/>
          <w:sz w:val="18"/>
          <w:szCs w:val="18"/>
          <w:lang w:val="es-419"/>
        </w:rPr>
        <w:t>R</w:t>
      </w:r>
      <w:r w:rsidRPr="00B01E01">
        <w:rPr>
          <w:rFonts w:ascii="Georgia" w:hAnsi="Georgia" w:cs="Arial"/>
          <w:w w:val="140"/>
          <w:sz w:val="16"/>
          <w:szCs w:val="18"/>
          <w:lang w:val="es-419"/>
        </w:rPr>
        <w:t>ISARALDA</w:t>
      </w:r>
    </w:p>
    <w:p w:rsidR="00927167" w:rsidRPr="00B01E01" w:rsidRDefault="00927167" w:rsidP="00927167">
      <w:pPr>
        <w:tabs>
          <w:tab w:val="left" w:pos="720"/>
        </w:tabs>
        <w:spacing w:line="360" w:lineRule="auto"/>
        <w:rPr>
          <w:rFonts w:ascii="Georgia" w:hAnsi="Georgia" w:cs="Arial"/>
          <w:w w:val="140"/>
          <w:szCs w:val="18"/>
          <w:lang w:val="es-419"/>
        </w:rPr>
      </w:pPr>
      <w:r w:rsidRPr="00B01E01">
        <w:rPr>
          <w:rFonts w:ascii="Georgia" w:hAnsi="Georgia" w:cs="Arial"/>
          <w:w w:val="140"/>
          <w:szCs w:val="18"/>
          <w:lang w:val="es-419"/>
        </w:rPr>
        <w:tab/>
      </w:r>
    </w:p>
    <w:p w:rsidR="00785FA3" w:rsidRPr="00B01E01" w:rsidRDefault="00785FA3" w:rsidP="00785FA3">
      <w:pPr>
        <w:pBdr>
          <w:bottom w:val="double" w:sz="6" w:space="1" w:color="auto"/>
        </w:pBdr>
        <w:spacing w:line="360" w:lineRule="auto"/>
        <w:jc w:val="center"/>
        <w:rPr>
          <w:rFonts w:ascii="Georgia" w:hAnsi="Georgia"/>
          <w:b/>
          <w:bCs/>
          <w:sz w:val="2"/>
          <w:szCs w:val="22"/>
          <w:lang w:val="es-419"/>
        </w:rPr>
      </w:pPr>
    </w:p>
    <w:p w:rsidR="00785FA3" w:rsidRPr="00B01E01" w:rsidRDefault="00785FA3" w:rsidP="00785FA3">
      <w:pPr>
        <w:spacing w:line="360" w:lineRule="auto"/>
        <w:jc w:val="center"/>
        <w:rPr>
          <w:rFonts w:ascii="Georgia" w:hAnsi="Georgia"/>
          <w:b/>
          <w:bCs/>
          <w:sz w:val="16"/>
          <w:szCs w:val="22"/>
          <w:lang w:val="es-419"/>
        </w:rPr>
      </w:pPr>
    </w:p>
    <w:p w:rsidR="00CF7F14" w:rsidRPr="00B01E01" w:rsidRDefault="00CF7F14" w:rsidP="00B01E01">
      <w:pPr>
        <w:spacing w:line="288" w:lineRule="auto"/>
        <w:jc w:val="center"/>
        <w:rPr>
          <w:rFonts w:ascii="Georgia" w:hAnsi="Georgia" w:cs="Arial"/>
          <w:iCs/>
          <w:sz w:val="28"/>
          <w:lang w:val="es-419"/>
        </w:rPr>
      </w:pPr>
      <w:r w:rsidRPr="00B01E01">
        <w:rPr>
          <w:rFonts w:ascii="Georgia" w:hAnsi="Georgia" w:cs="Arial"/>
          <w:iCs/>
          <w:smallCaps/>
          <w:sz w:val="28"/>
          <w:lang w:val="es-419"/>
        </w:rPr>
        <w:t xml:space="preserve">Pereira, R., </w:t>
      </w:r>
      <w:r w:rsidR="00710F84" w:rsidRPr="00B01E01">
        <w:rPr>
          <w:rFonts w:ascii="Georgia" w:hAnsi="Georgia" w:cs="Arial"/>
          <w:iCs/>
          <w:smallCaps/>
          <w:sz w:val="28"/>
          <w:lang w:val="es-419"/>
        </w:rPr>
        <w:t xml:space="preserve">veintitrés </w:t>
      </w:r>
      <w:r w:rsidRPr="00B01E01">
        <w:rPr>
          <w:rFonts w:ascii="Georgia" w:hAnsi="Georgia" w:cs="Arial"/>
          <w:iCs/>
          <w:smallCaps/>
          <w:sz w:val="28"/>
          <w:lang w:val="es-419"/>
        </w:rPr>
        <w:t>(</w:t>
      </w:r>
      <w:r w:rsidR="00710F84" w:rsidRPr="00B01E01">
        <w:rPr>
          <w:rFonts w:ascii="Georgia" w:hAnsi="Georgia" w:cs="Arial"/>
          <w:iCs/>
          <w:smallCaps/>
          <w:sz w:val="28"/>
          <w:lang w:val="es-419"/>
        </w:rPr>
        <w:t>23</w:t>
      </w:r>
      <w:r w:rsidRPr="00B01E01">
        <w:rPr>
          <w:rFonts w:ascii="Georgia" w:hAnsi="Georgia" w:cs="Arial"/>
          <w:iCs/>
          <w:smallCaps/>
          <w:sz w:val="28"/>
          <w:lang w:val="es-419"/>
        </w:rPr>
        <w:t xml:space="preserve">) de </w:t>
      </w:r>
      <w:r w:rsidR="005B3A81" w:rsidRPr="00B01E01">
        <w:rPr>
          <w:rFonts w:ascii="Georgia" w:hAnsi="Georgia" w:cs="Arial"/>
          <w:iCs/>
          <w:smallCaps/>
          <w:sz w:val="28"/>
          <w:lang w:val="es-419"/>
        </w:rPr>
        <w:t>mayo</w:t>
      </w:r>
      <w:r w:rsidRPr="00B01E01">
        <w:rPr>
          <w:rFonts w:ascii="Georgia" w:hAnsi="Georgia" w:cs="Arial"/>
          <w:iCs/>
          <w:smallCaps/>
          <w:sz w:val="28"/>
          <w:lang w:val="es-419"/>
        </w:rPr>
        <w:t xml:space="preserve"> de dos mil diecinueve (2019)</w:t>
      </w:r>
      <w:r w:rsidRPr="00B01E01">
        <w:rPr>
          <w:rFonts w:ascii="Georgia" w:hAnsi="Georgia" w:cs="Arial"/>
          <w:iCs/>
          <w:sz w:val="28"/>
          <w:lang w:val="es-419"/>
        </w:rPr>
        <w:t>.</w:t>
      </w:r>
    </w:p>
    <w:p w:rsidR="00785FA3" w:rsidRPr="00B01E01" w:rsidRDefault="00785FA3" w:rsidP="00B01E01">
      <w:pPr>
        <w:pStyle w:val="Textoindependiente"/>
        <w:spacing w:line="288" w:lineRule="auto"/>
        <w:rPr>
          <w:rFonts w:ascii="Georgia" w:hAnsi="Georgia"/>
          <w:szCs w:val="24"/>
          <w:lang w:val="es-419"/>
        </w:rPr>
      </w:pPr>
    </w:p>
    <w:p w:rsidR="00785FA3" w:rsidRPr="00B01E01" w:rsidRDefault="00785FA3" w:rsidP="00B01E01">
      <w:pPr>
        <w:pStyle w:val="Textoindependiente"/>
        <w:numPr>
          <w:ilvl w:val="0"/>
          <w:numId w:val="1"/>
        </w:numPr>
        <w:spacing w:line="288" w:lineRule="auto"/>
        <w:rPr>
          <w:rFonts w:ascii="Georgia" w:hAnsi="Georgia"/>
          <w:smallCaps/>
          <w:szCs w:val="24"/>
          <w:lang w:val="es-419"/>
        </w:rPr>
      </w:pPr>
      <w:r w:rsidRPr="00B01E01">
        <w:rPr>
          <w:rFonts w:ascii="Georgia" w:hAnsi="Georgia"/>
          <w:smallCaps/>
          <w:szCs w:val="24"/>
          <w:lang w:val="es-419"/>
        </w:rPr>
        <w:t>El asunto a decidir</w:t>
      </w:r>
    </w:p>
    <w:p w:rsidR="00785FA3" w:rsidRPr="00B01E01" w:rsidRDefault="00785FA3" w:rsidP="00B01E01">
      <w:pPr>
        <w:pStyle w:val="Textoindependiente"/>
        <w:spacing w:line="288" w:lineRule="auto"/>
        <w:rPr>
          <w:rFonts w:ascii="Georgia" w:hAnsi="Georgia"/>
          <w:szCs w:val="24"/>
          <w:lang w:val="es-419"/>
        </w:rPr>
      </w:pPr>
    </w:p>
    <w:p w:rsidR="00785FA3" w:rsidRPr="00B01E01" w:rsidRDefault="00785FA3" w:rsidP="00B01E01">
      <w:pPr>
        <w:pStyle w:val="Textoindependiente"/>
        <w:spacing w:line="288" w:lineRule="auto"/>
        <w:rPr>
          <w:rFonts w:ascii="Georgia" w:hAnsi="Georgia"/>
          <w:szCs w:val="24"/>
          <w:lang w:val="es-419"/>
        </w:rPr>
      </w:pPr>
      <w:r w:rsidRPr="00B01E01">
        <w:rPr>
          <w:rFonts w:ascii="Georgia" w:hAnsi="Georgia"/>
          <w:szCs w:val="24"/>
          <w:lang w:val="es-419"/>
        </w:rPr>
        <w:t>La impugnación suscitada en el trámite constitucional ya referido, una vez se ha cumplido la actuación de primera instancia.</w:t>
      </w:r>
    </w:p>
    <w:p w:rsidR="00785FA3" w:rsidRPr="00B01E01" w:rsidRDefault="00785FA3" w:rsidP="00B01E01">
      <w:pPr>
        <w:pStyle w:val="Textoindependiente"/>
        <w:spacing w:line="288" w:lineRule="auto"/>
        <w:rPr>
          <w:rFonts w:ascii="Georgia" w:hAnsi="Georgia"/>
          <w:szCs w:val="24"/>
          <w:lang w:val="es-419"/>
        </w:rPr>
      </w:pPr>
    </w:p>
    <w:p w:rsidR="00785FA3" w:rsidRPr="00B01E01" w:rsidRDefault="00785FA3" w:rsidP="00B01E01">
      <w:pPr>
        <w:pStyle w:val="Textoindependiente"/>
        <w:numPr>
          <w:ilvl w:val="0"/>
          <w:numId w:val="1"/>
        </w:numPr>
        <w:spacing w:line="288" w:lineRule="auto"/>
        <w:rPr>
          <w:rFonts w:ascii="Georgia" w:hAnsi="Georgia"/>
          <w:smallCaps/>
          <w:szCs w:val="24"/>
          <w:lang w:val="es-419"/>
        </w:rPr>
      </w:pPr>
      <w:r w:rsidRPr="00B01E01">
        <w:rPr>
          <w:rFonts w:ascii="Georgia" w:hAnsi="Georgia"/>
          <w:smallCaps/>
          <w:szCs w:val="24"/>
          <w:lang w:val="es-419"/>
        </w:rPr>
        <w:t xml:space="preserve">La síntesis fáctica </w:t>
      </w:r>
    </w:p>
    <w:p w:rsidR="00110898" w:rsidRPr="00B01E01" w:rsidRDefault="00110898" w:rsidP="00B01E01">
      <w:pPr>
        <w:pStyle w:val="Textoindependiente"/>
        <w:spacing w:line="288" w:lineRule="auto"/>
        <w:ind w:left="360"/>
        <w:rPr>
          <w:rFonts w:ascii="Georgia" w:hAnsi="Georgia"/>
          <w:szCs w:val="24"/>
          <w:lang w:val="es-419"/>
        </w:rPr>
      </w:pPr>
    </w:p>
    <w:p w:rsidR="00110898" w:rsidRPr="00B01E01" w:rsidRDefault="005B3A81" w:rsidP="00B01E01">
      <w:pPr>
        <w:pStyle w:val="Textoindependiente"/>
        <w:spacing w:line="288" w:lineRule="auto"/>
        <w:rPr>
          <w:rFonts w:ascii="Georgia" w:hAnsi="Georgia" w:cs="Arial"/>
          <w:color w:val="000000"/>
          <w:lang w:val="es-419"/>
        </w:rPr>
      </w:pPr>
      <w:r w:rsidRPr="00B01E01">
        <w:rPr>
          <w:rFonts w:ascii="Georgia" w:hAnsi="Georgia"/>
          <w:szCs w:val="24"/>
          <w:lang w:val="es-419"/>
        </w:rPr>
        <w:t>A</w:t>
      </w:r>
      <w:r w:rsidR="00AD57CA" w:rsidRPr="00B01E01">
        <w:rPr>
          <w:rFonts w:ascii="Georgia" w:hAnsi="Georgia"/>
          <w:szCs w:val="24"/>
          <w:lang w:val="es-419"/>
        </w:rPr>
        <w:t>dujo la</w:t>
      </w:r>
      <w:r w:rsidR="002150B8" w:rsidRPr="00B01E01">
        <w:rPr>
          <w:rFonts w:ascii="Georgia" w:hAnsi="Georgia"/>
          <w:szCs w:val="24"/>
          <w:lang w:val="es-419"/>
        </w:rPr>
        <w:t xml:space="preserve"> accionante</w:t>
      </w:r>
      <w:r w:rsidR="00110898" w:rsidRPr="00B01E01">
        <w:rPr>
          <w:rFonts w:ascii="Georgia" w:hAnsi="Georgia"/>
          <w:szCs w:val="24"/>
          <w:lang w:val="es-419"/>
        </w:rPr>
        <w:t xml:space="preserve"> que el </w:t>
      </w:r>
      <w:r w:rsidR="00C14914" w:rsidRPr="00B01E01">
        <w:rPr>
          <w:rFonts w:ascii="Georgia" w:hAnsi="Georgia"/>
          <w:szCs w:val="24"/>
          <w:lang w:val="es-419"/>
        </w:rPr>
        <w:t>2</w:t>
      </w:r>
      <w:r w:rsidR="002150B8" w:rsidRPr="00B01E01">
        <w:rPr>
          <w:rFonts w:ascii="Georgia" w:hAnsi="Georgia"/>
          <w:szCs w:val="24"/>
          <w:lang w:val="es-419"/>
        </w:rPr>
        <w:t>7</w:t>
      </w:r>
      <w:r w:rsidR="00110898" w:rsidRPr="00B01E01">
        <w:rPr>
          <w:rFonts w:ascii="Georgia" w:hAnsi="Georgia"/>
          <w:szCs w:val="24"/>
          <w:lang w:val="es-419"/>
        </w:rPr>
        <w:t>-0</w:t>
      </w:r>
      <w:r w:rsidR="002150B8" w:rsidRPr="00B01E01">
        <w:rPr>
          <w:rFonts w:ascii="Georgia" w:hAnsi="Georgia"/>
          <w:szCs w:val="24"/>
          <w:lang w:val="es-419"/>
        </w:rPr>
        <w:t>2-</w:t>
      </w:r>
      <w:r w:rsidR="00110898" w:rsidRPr="00B01E01">
        <w:rPr>
          <w:rFonts w:ascii="Georgia" w:hAnsi="Georgia"/>
          <w:szCs w:val="24"/>
          <w:lang w:val="es-419"/>
        </w:rPr>
        <w:t>201</w:t>
      </w:r>
      <w:r w:rsidR="002150B8" w:rsidRPr="00B01E01">
        <w:rPr>
          <w:rFonts w:ascii="Georgia" w:hAnsi="Georgia"/>
          <w:szCs w:val="24"/>
          <w:lang w:val="es-419"/>
        </w:rPr>
        <w:t>9</w:t>
      </w:r>
      <w:r w:rsidR="0030669B" w:rsidRPr="00B01E01">
        <w:rPr>
          <w:rFonts w:ascii="Georgia" w:hAnsi="Georgia"/>
          <w:szCs w:val="24"/>
          <w:lang w:val="es-419"/>
        </w:rPr>
        <w:t xml:space="preserve"> radicó </w:t>
      </w:r>
      <w:r w:rsidR="00110898" w:rsidRPr="00B01E01">
        <w:rPr>
          <w:rFonts w:ascii="Georgia" w:hAnsi="Georgia"/>
          <w:szCs w:val="24"/>
          <w:lang w:val="es-419"/>
        </w:rPr>
        <w:t xml:space="preserve">derecho de petición ante la </w:t>
      </w:r>
      <w:r w:rsidR="002150B8" w:rsidRPr="00B01E01">
        <w:rPr>
          <w:rFonts w:ascii="Georgia" w:hAnsi="Georgia"/>
          <w:szCs w:val="24"/>
          <w:lang w:val="es-419"/>
        </w:rPr>
        <w:t>Gerencia Regional de la Sociedad de Activos Especiales SAS EICE de Medellín</w:t>
      </w:r>
      <w:r w:rsidR="007B0166" w:rsidRPr="00B01E01">
        <w:rPr>
          <w:rFonts w:ascii="Georgia" w:hAnsi="Georgia"/>
          <w:szCs w:val="24"/>
          <w:lang w:val="es-419"/>
        </w:rPr>
        <w:t xml:space="preserve">, </w:t>
      </w:r>
      <w:r w:rsidR="00E77723" w:rsidRPr="00B01E01">
        <w:rPr>
          <w:rFonts w:ascii="Georgia" w:hAnsi="Georgia"/>
          <w:szCs w:val="24"/>
          <w:lang w:val="es-419"/>
        </w:rPr>
        <w:t xml:space="preserve">para acceder a la </w:t>
      </w:r>
      <w:r w:rsidR="008F4406" w:rsidRPr="00B01E01">
        <w:rPr>
          <w:rFonts w:ascii="Georgia" w:hAnsi="Georgia"/>
          <w:szCs w:val="24"/>
          <w:lang w:val="es-419"/>
        </w:rPr>
        <w:t>información</w:t>
      </w:r>
      <w:r w:rsidR="00CE60B2" w:rsidRPr="00B01E01">
        <w:rPr>
          <w:rFonts w:ascii="Georgia" w:hAnsi="Georgia"/>
          <w:szCs w:val="24"/>
          <w:lang w:val="es-419"/>
        </w:rPr>
        <w:t xml:space="preserve"> y documentos</w:t>
      </w:r>
      <w:r w:rsidR="008F4406" w:rsidRPr="00B01E01">
        <w:rPr>
          <w:rFonts w:ascii="Georgia" w:hAnsi="Georgia"/>
          <w:szCs w:val="24"/>
          <w:lang w:val="es-419"/>
        </w:rPr>
        <w:t xml:space="preserve"> </w:t>
      </w:r>
      <w:r w:rsidR="00FA2679" w:rsidRPr="00B01E01">
        <w:rPr>
          <w:rFonts w:ascii="Georgia" w:hAnsi="Georgia"/>
          <w:szCs w:val="24"/>
          <w:lang w:val="es-419"/>
        </w:rPr>
        <w:t>de</w:t>
      </w:r>
      <w:r w:rsidR="00CE60B2" w:rsidRPr="00B01E01">
        <w:rPr>
          <w:rFonts w:ascii="Georgia" w:hAnsi="Georgia"/>
          <w:szCs w:val="24"/>
          <w:lang w:val="es-419"/>
        </w:rPr>
        <w:t xml:space="preserve"> </w:t>
      </w:r>
      <w:r w:rsidR="00FA2679" w:rsidRPr="00B01E01">
        <w:rPr>
          <w:rFonts w:ascii="Georgia" w:hAnsi="Georgia"/>
          <w:szCs w:val="24"/>
          <w:lang w:val="es-419"/>
        </w:rPr>
        <w:t>un inmueble de su propiedad; siendo</w:t>
      </w:r>
      <w:r w:rsidR="005662F4" w:rsidRPr="00B01E01">
        <w:rPr>
          <w:rFonts w:ascii="Georgia" w:hAnsi="Georgia"/>
          <w:szCs w:val="24"/>
          <w:lang w:val="es-419"/>
        </w:rPr>
        <w:t xml:space="preserve"> </w:t>
      </w:r>
      <w:r w:rsidR="00580871" w:rsidRPr="00B01E01">
        <w:rPr>
          <w:rFonts w:ascii="Georgia" w:hAnsi="Georgia"/>
          <w:szCs w:val="24"/>
          <w:lang w:val="es-419"/>
        </w:rPr>
        <w:t>denegad</w:t>
      </w:r>
      <w:r w:rsidR="009E453A" w:rsidRPr="00B01E01">
        <w:rPr>
          <w:rFonts w:ascii="Georgia" w:hAnsi="Georgia"/>
          <w:szCs w:val="24"/>
          <w:lang w:val="es-419"/>
        </w:rPr>
        <w:t>a</w:t>
      </w:r>
      <w:r w:rsidR="00ED7367" w:rsidRPr="00B01E01">
        <w:rPr>
          <w:rFonts w:ascii="Georgia" w:hAnsi="Georgia"/>
          <w:szCs w:val="24"/>
          <w:lang w:val="es-419"/>
        </w:rPr>
        <w:t xml:space="preserve"> </w:t>
      </w:r>
      <w:r w:rsidR="007B0166" w:rsidRPr="00B01E01">
        <w:rPr>
          <w:rFonts w:ascii="Georgia" w:hAnsi="Georgia"/>
          <w:szCs w:val="24"/>
          <w:lang w:val="es-419"/>
        </w:rPr>
        <w:t xml:space="preserve">por </w:t>
      </w:r>
      <w:r w:rsidR="007B0166" w:rsidRPr="00B01E01">
        <w:rPr>
          <w:rFonts w:ascii="Georgia" w:hAnsi="Georgia"/>
          <w:i/>
          <w:sz w:val="22"/>
          <w:szCs w:val="22"/>
          <w:lang w:val="es-419"/>
        </w:rPr>
        <w:t xml:space="preserve">“(…) haber </w:t>
      </w:r>
      <w:r w:rsidR="0030669B" w:rsidRPr="00B01E01">
        <w:rPr>
          <w:rFonts w:ascii="Georgia" w:hAnsi="Georgia"/>
          <w:i/>
          <w:sz w:val="22"/>
          <w:szCs w:val="22"/>
          <w:lang w:val="es-419"/>
        </w:rPr>
        <w:t>perdido</w:t>
      </w:r>
      <w:r w:rsidR="007B0166" w:rsidRPr="00B01E01">
        <w:rPr>
          <w:rFonts w:ascii="Georgia" w:hAnsi="Georgia"/>
          <w:i/>
          <w:sz w:val="22"/>
          <w:szCs w:val="22"/>
          <w:lang w:val="es-419"/>
        </w:rPr>
        <w:t xml:space="preserve"> el poder di</w:t>
      </w:r>
      <w:r w:rsidR="00CE60B2" w:rsidRPr="00B01E01">
        <w:rPr>
          <w:rFonts w:ascii="Georgia" w:hAnsi="Georgia"/>
          <w:i/>
          <w:sz w:val="22"/>
          <w:szCs w:val="22"/>
          <w:lang w:val="es-419"/>
        </w:rPr>
        <w:t xml:space="preserve">spositivo sobre el </w:t>
      </w:r>
      <w:r w:rsidR="004E0D7D" w:rsidRPr="00B01E01">
        <w:rPr>
          <w:rFonts w:ascii="Georgia" w:hAnsi="Georgia"/>
          <w:i/>
          <w:sz w:val="22"/>
          <w:szCs w:val="22"/>
          <w:lang w:val="es-419"/>
        </w:rPr>
        <w:t>inmueble</w:t>
      </w:r>
      <w:r w:rsidR="00FA2679" w:rsidRPr="00B01E01">
        <w:rPr>
          <w:rFonts w:ascii="Georgia" w:hAnsi="Georgia"/>
          <w:i/>
          <w:sz w:val="22"/>
          <w:szCs w:val="22"/>
          <w:lang w:val="es-419"/>
        </w:rPr>
        <w:t xml:space="preserve"> (…)”, </w:t>
      </w:r>
      <w:r w:rsidR="00FA2679" w:rsidRPr="00B01E01">
        <w:rPr>
          <w:rFonts w:ascii="Georgia" w:hAnsi="Georgia"/>
          <w:szCs w:val="24"/>
          <w:lang w:val="es-419"/>
        </w:rPr>
        <w:t>con sustento en las Leyes</w:t>
      </w:r>
      <w:r w:rsidR="00CE60B2" w:rsidRPr="00B01E01">
        <w:rPr>
          <w:rFonts w:ascii="Georgia" w:hAnsi="Georgia"/>
          <w:i/>
          <w:szCs w:val="24"/>
          <w:lang w:val="es-419"/>
        </w:rPr>
        <w:t xml:space="preserve"> 1712 y 1474</w:t>
      </w:r>
      <w:r w:rsidR="00CE60B2" w:rsidRPr="00B01E01">
        <w:rPr>
          <w:rFonts w:ascii="Georgia" w:hAnsi="Georgia"/>
          <w:i/>
          <w:sz w:val="22"/>
          <w:szCs w:val="22"/>
          <w:lang w:val="es-419"/>
        </w:rPr>
        <w:t xml:space="preserve"> </w:t>
      </w:r>
      <w:r w:rsidR="00110898" w:rsidRPr="00B01E01">
        <w:rPr>
          <w:rFonts w:ascii="Georgia" w:hAnsi="Georgia" w:cs="Arial"/>
          <w:color w:val="000000"/>
          <w:lang w:val="es-419"/>
        </w:rPr>
        <w:t xml:space="preserve">(Folios </w:t>
      </w:r>
      <w:r w:rsidR="000D61A8" w:rsidRPr="00B01E01">
        <w:rPr>
          <w:rFonts w:ascii="Georgia" w:hAnsi="Georgia" w:cs="Arial"/>
          <w:color w:val="000000"/>
          <w:lang w:val="es-419"/>
        </w:rPr>
        <w:t xml:space="preserve">12 </w:t>
      </w:r>
      <w:r w:rsidR="00110898" w:rsidRPr="00B01E01">
        <w:rPr>
          <w:rFonts w:ascii="Georgia" w:hAnsi="Georgia" w:cs="Arial"/>
          <w:color w:val="000000"/>
          <w:lang w:val="es-419"/>
        </w:rPr>
        <w:t xml:space="preserve">a </w:t>
      </w:r>
      <w:r w:rsidR="000D61A8" w:rsidRPr="00B01E01">
        <w:rPr>
          <w:rFonts w:ascii="Georgia" w:hAnsi="Georgia" w:cs="Arial"/>
          <w:color w:val="000000"/>
          <w:lang w:val="es-419"/>
        </w:rPr>
        <w:t>18</w:t>
      </w:r>
      <w:r w:rsidR="00110898" w:rsidRPr="00B01E01">
        <w:rPr>
          <w:rFonts w:ascii="Georgia" w:hAnsi="Georgia" w:cs="Arial"/>
          <w:color w:val="000000"/>
          <w:lang w:val="es-419"/>
        </w:rPr>
        <w:t xml:space="preserve">, </w:t>
      </w:r>
      <w:r w:rsidR="00D31DA8" w:rsidRPr="00B01E01">
        <w:rPr>
          <w:rFonts w:ascii="Georgia" w:hAnsi="Georgia" w:cs="Arial"/>
          <w:color w:val="000000"/>
          <w:lang w:val="es-419"/>
        </w:rPr>
        <w:t>este cuaderno)</w:t>
      </w:r>
      <w:r w:rsidR="00110898" w:rsidRPr="00B01E01">
        <w:rPr>
          <w:rFonts w:ascii="Georgia" w:hAnsi="Georgia" w:cs="Arial"/>
          <w:color w:val="000000"/>
          <w:lang w:val="es-419"/>
        </w:rPr>
        <w:t>.</w:t>
      </w:r>
    </w:p>
    <w:p w:rsidR="00785FA3" w:rsidRPr="00B01E01" w:rsidRDefault="00785FA3" w:rsidP="00B01E01">
      <w:pPr>
        <w:pStyle w:val="Textoindependiente"/>
        <w:spacing w:line="288" w:lineRule="auto"/>
        <w:rPr>
          <w:rFonts w:ascii="Georgia" w:hAnsi="Georgia"/>
          <w:szCs w:val="24"/>
          <w:lang w:val="es-419"/>
        </w:rPr>
      </w:pPr>
    </w:p>
    <w:p w:rsidR="00785FA3" w:rsidRPr="00B01E01" w:rsidRDefault="00E77723" w:rsidP="00B01E01">
      <w:pPr>
        <w:pStyle w:val="Textoindependiente"/>
        <w:numPr>
          <w:ilvl w:val="0"/>
          <w:numId w:val="1"/>
        </w:numPr>
        <w:spacing w:line="288" w:lineRule="auto"/>
        <w:rPr>
          <w:rFonts w:ascii="Georgia" w:hAnsi="Georgia"/>
          <w:smallCaps/>
          <w:szCs w:val="24"/>
          <w:lang w:val="es-419"/>
        </w:rPr>
      </w:pPr>
      <w:r w:rsidRPr="00B01E01">
        <w:rPr>
          <w:rFonts w:ascii="Georgia" w:hAnsi="Georgia"/>
          <w:smallCaps/>
          <w:szCs w:val="24"/>
          <w:lang w:val="es-419"/>
        </w:rPr>
        <w:t xml:space="preserve">Los </w:t>
      </w:r>
      <w:r w:rsidR="00785FA3" w:rsidRPr="00B01E01">
        <w:rPr>
          <w:rFonts w:ascii="Georgia" w:hAnsi="Georgia"/>
          <w:smallCaps/>
          <w:szCs w:val="24"/>
          <w:lang w:val="es-419"/>
        </w:rPr>
        <w:t>derecho</w:t>
      </w:r>
      <w:r w:rsidRPr="00B01E01">
        <w:rPr>
          <w:rFonts w:ascii="Georgia" w:hAnsi="Georgia"/>
          <w:smallCaps/>
          <w:szCs w:val="24"/>
          <w:lang w:val="es-419"/>
        </w:rPr>
        <w:t>s</w:t>
      </w:r>
      <w:r w:rsidR="00785FA3" w:rsidRPr="00B01E01">
        <w:rPr>
          <w:rFonts w:ascii="Georgia" w:hAnsi="Georgia"/>
          <w:smallCaps/>
          <w:szCs w:val="24"/>
          <w:lang w:val="es-419"/>
        </w:rPr>
        <w:t xml:space="preserve"> presuntamente vulnerado</w:t>
      </w:r>
      <w:r w:rsidRPr="00B01E01">
        <w:rPr>
          <w:rFonts w:ascii="Georgia" w:hAnsi="Georgia"/>
          <w:smallCaps/>
          <w:szCs w:val="24"/>
          <w:lang w:val="es-419"/>
        </w:rPr>
        <w:t>s</w:t>
      </w:r>
    </w:p>
    <w:p w:rsidR="00785FA3" w:rsidRPr="00B01E01" w:rsidRDefault="00785FA3" w:rsidP="00B01E01">
      <w:pPr>
        <w:pStyle w:val="Textoindependiente"/>
        <w:spacing w:line="288" w:lineRule="auto"/>
        <w:ind w:left="360"/>
        <w:rPr>
          <w:rFonts w:ascii="Georgia" w:hAnsi="Georgia"/>
          <w:szCs w:val="24"/>
          <w:lang w:val="es-419"/>
        </w:rPr>
      </w:pPr>
    </w:p>
    <w:p w:rsidR="00785FA3" w:rsidRPr="00B01E01" w:rsidRDefault="00785FA3" w:rsidP="00B01E01">
      <w:pPr>
        <w:pStyle w:val="Textoindependiente"/>
        <w:widowControl w:val="0"/>
        <w:spacing w:line="288" w:lineRule="auto"/>
        <w:rPr>
          <w:rFonts w:ascii="Georgia" w:hAnsi="Georgia"/>
          <w:szCs w:val="24"/>
          <w:lang w:val="es-419"/>
        </w:rPr>
      </w:pPr>
      <w:r w:rsidRPr="00B01E01">
        <w:rPr>
          <w:rFonts w:ascii="Georgia" w:hAnsi="Georgia"/>
          <w:szCs w:val="24"/>
          <w:lang w:val="es-419"/>
        </w:rPr>
        <w:t>Se invoc</w:t>
      </w:r>
      <w:r w:rsidR="00E77723" w:rsidRPr="00B01E01">
        <w:rPr>
          <w:rFonts w:ascii="Georgia" w:hAnsi="Georgia"/>
          <w:szCs w:val="24"/>
          <w:lang w:val="es-419"/>
        </w:rPr>
        <w:t xml:space="preserve">aron </w:t>
      </w:r>
      <w:r w:rsidR="000D61A8" w:rsidRPr="00B01E01">
        <w:rPr>
          <w:rFonts w:ascii="Georgia" w:hAnsi="Georgia"/>
          <w:szCs w:val="24"/>
          <w:lang w:val="es-419"/>
        </w:rPr>
        <w:t>los derechos de petición y</w:t>
      </w:r>
      <w:r w:rsidR="00E77723" w:rsidRPr="00B01E01">
        <w:rPr>
          <w:rFonts w:ascii="Georgia" w:hAnsi="Georgia"/>
          <w:szCs w:val="24"/>
          <w:lang w:val="es-419"/>
        </w:rPr>
        <w:t xml:space="preserve"> acceso a la informaci</w:t>
      </w:r>
      <w:r w:rsidR="000D61A8" w:rsidRPr="00B01E01">
        <w:rPr>
          <w:rFonts w:ascii="Georgia" w:hAnsi="Georgia"/>
          <w:szCs w:val="24"/>
          <w:lang w:val="es-419"/>
        </w:rPr>
        <w:t>ón</w:t>
      </w:r>
      <w:r w:rsidR="00D31DA8" w:rsidRPr="00B01E01">
        <w:rPr>
          <w:rFonts w:ascii="Georgia" w:hAnsi="Georgia"/>
          <w:szCs w:val="24"/>
          <w:lang w:val="es-419"/>
        </w:rPr>
        <w:t xml:space="preserve"> </w:t>
      </w:r>
      <w:r w:rsidRPr="00B01E01">
        <w:rPr>
          <w:rFonts w:ascii="Georgia" w:hAnsi="Georgia"/>
          <w:szCs w:val="24"/>
          <w:lang w:val="es-419"/>
        </w:rPr>
        <w:t>(Folio</w:t>
      </w:r>
      <w:r w:rsidR="00CE2B5F" w:rsidRPr="00B01E01">
        <w:rPr>
          <w:rFonts w:ascii="Georgia" w:hAnsi="Georgia"/>
          <w:szCs w:val="24"/>
          <w:lang w:val="es-419"/>
        </w:rPr>
        <w:t xml:space="preserve"> </w:t>
      </w:r>
      <w:r w:rsidR="000D61A8" w:rsidRPr="00B01E01">
        <w:rPr>
          <w:rFonts w:ascii="Georgia" w:hAnsi="Georgia"/>
          <w:szCs w:val="24"/>
          <w:lang w:val="es-419"/>
        </w:rPr>
        <w:t>12</w:t>
      </w:r>
      <w:r w:rsidRPr="00B01E01">
        <w:rPr>
          <w:rFonts w:ascii="Georgia" w:hAnsi="Georgia"/>
          <w:szCs w:val="24"/>
          <w:lang w:val="es-419"/>
        </w:rPr>
        <w:t>, este cuaderno).</w:t>
      </w:r>
    </w:p>
    <w:p w:rsidR="00785FA3" w:rsidRPr="00B01E01" w:rsidRDefault="00785FA3" w:rsidP="00B01E01">
      <w:pPr>
        <w:pStyle w:val="Textoindependiente"/>
        <w:widowControl w:val="0"/>
        <w:spacing w:line="288" w:lineRule="auto"/>
        <w:rPr>
          <w:rFonts w:ascii="Georgia" w:hAnsi="Georgia"/>
          <w:szCs w:val="24"/>
          <w:lang w:val="es-419"/>
        </w:rPr>
      </w:pPr>
    </w:p>
    <w:p w:rsidR="00785FA3" w:rsidRPr="00B01E01" w:rsidRDefault="00785FA3" w:rsidP="00B01E01">
      <w:pPr>
        <w:pStyle w:val="Textoindependiente"/>
        <w:numPr>
          <w:ilvl w:val="0"/>
          <w:numId w:val="1"/>
        </w:numPr>
        <w:spacing w:line="288" w:lineRule="auto"/>
        <w:rPr>
          <w:rFonts w:ascii="Georgia" w:hAnsi="Georgia"/>
          <w:smallCaps/>
          <w:szCs w:val="24"/>
          <w:lang w:val="es-419"/>
        </w:rPr>
      </w:pPr>
      <w:r w:rsidRPr="00B01E01">
        <w:rPr>
          <w:rFonts w:ascii="Georgia" w:hAnsi="Georgia"/>
          <w:smallCaps/>
          <w:szCs w:val="24"/>
          <w:lang w:val="es-419"/>
        </w:rPr>
        <w:t>La petición de protección</w:t>
      </w:r>
    </w:p>
    <w:p w:rsidR="00785FA3" w:rsidRPr="00B01E01" w:rsidRDefault="00785FA3" w:rsidP="00B01E01">
      <w:pPr>
        <w:pStyle w:val="Sinespaciado"/>
        <w:spacing w:line="288" w:lineRule="auto"/>
        <w:jc w:val="both"/>
        <w:rPr>
          <w:rFonts w:ascii="Georgia" w:hAnsi="Georgia"/>
          <w:szCs w:val="24"/>
          <w:lang w:val="es-419"/>
        </w:rPr>
      </w:pPr>
    </w:p>
    <w:p w:rsidR="00785FA3" w:rsidRPr="00B01E01" w:rsidRDefault="00D31DA8" w:rsidP="00B01E01">
      <w:pPr>
        <w:pStyle w:val="Sinespaciado"/>
        <w:spacing w:line="288" w:lineRule="auto"/>
        <w:jc w:val="both"/>
        <w:rPr>
          <w:rFonts w:ascii="Georgia" w:hAnsi="Georgia"/>
          <w:szCs w:val="24"/>
          <w:lang w:val="es-419"/>
        </w:rPr>
      </w:pPr>
      <w:r w:rsidRPr="00B01E01">
        <w:rPr>
          <w:rFonts w:ascii="Georgia" w:hAnsi="Georgia" w:cs="Arial"/>
          <w:szCs w:val="24"/>
          <w:lang w:val="es-419"/>
        </w:rPr>
        <w:t>Se pretende el amparo de</w:t>
      </w:r>
      <w:r w:rsidR="000D61A8" w:rsidRPr="00B01E01">
        <w:rPr>
          <w:rFonts w:ascii="Georgia" w:hAnsi="Georgia" w:cs="Arial"/>
          <w:szCs w:val="24"/>
          <w:lang w:val="es-419"/>
        </w:rPr>
        <w:t xml:space="preserve"> los</w:t>
      </w:r>
      <w:r w:rsidRPr="00B01E01">
        <w:rPr>
          <w:rFonts w:ascii="Georgia" w:hAnsi="Georgia" w:cs="Arial"/>
          <w:szCs w:val="24"/>
          <w:lang w:val="es-419"/>
        </w:rPr>
        <w:t xml:space="preserve"> derecho</w:t>
      </w:r>
      <w:r w:rsidR="000D61A8" w:rsidRPr="00B01E01">
        <w:rPr>
          <w:rFonts w:ascii="Georgia" w:hAnsi="Georgia" w:cs="Arial"/>
          <w:szCs w:val="24"/>
          <w:lang w:val="es-419"/>
        </w:rPr>
        <w:t>s</w:t>
      </w:r>
      <w:r w:rsidRPr="00B01E01">
        <w:rPr>
          <w:rFonts w:ascii="Georgia" w:hAnsi="Georgia" w:cs="Arial"/>
          <w:szCs w:val="24"/>
          <w:lang w:val="es-419"/>
        </w:rPr>
        <w:t xml:space="preserve"> fundamental</w:t>
      </w:r>
      <w:r w:rsidR="000D61A8" w:rsidRPr="00B01E01">
        <w:rPr>
          <w:rFonts w:ascii="Georgia" w:hAnsi="Georgia" w:cs="Arial"/>
          <w:szCs w:val="24"/>
          <w:lang w:val="es-419"/>
        </w:rPr>
        <w:t>es</w:t>
      </w:r>
      <w:r w:rsidRPr="00B01E01">
        <w:rPr>
          <w:rFonts w:ascii="Georgia" w:hAnsi="Georgia" w:cs="Arial"/>
          <w:szCs w:val="24"/>
          <w:lang w:val="es-419"/>
        </w:rPr>
        <w:t xml:space="preserve">, y en consecuencia, </w:t>
      </w:r>
      <w:r w:rsidR="00EC6056" w:rsidRPr="00B01E01">
        <w:rPr>
          <w:rFonts w:ascii="Georgia" w:hAnsi="Georgia" w:cs="Arial"/>
          <w:szCs w:val="24"/>
          <w:lang w:val="es-419"/>
        </w:rPr>
        <w:t>se</w:t>
      </w:r>
      <w:r w:rsidRPr="00B01E01">
        <w:rPr>
          <w:rFonts w:ascii="Georgia" w:hAnsi="Georgia" w:cs="Arial"/>
          <w:szCs w:val="24"/>
          <w:lang w:val="es-419"/>
        </w:rPr>
        <w:t xml:space="preserve"> ordene a la </w:t>
      </w:r>
      <w:r w:rsidR="000D61A8" w:rsidRPr="00B01E01">
        <w:rPr>
          <w:rFonts w:ascii="Georgia" w:hAnsi="Georgia" w:cs="Arial"/>
          <w:szCs w:val="24"/>
          <w:lang w:val="es-419"/>
        </w:rPr>
        <w:t xml:space="preserve">entidad </w:t>
      </w:r>
      <w:r w:rsidRPr="00B01E01">
        <w:rPr>
          <w:rFonts w:ascii="Georgia" w:hAnsi="Georgia" w:cs="Arial"/>
          <w:szCs w:val="24"/>
          <w:lang w:val="es-419"/>
        </w:rPr>
        <w:t xml:space="preserve">accionada </w:t>
      </w:r>
      <w:r w:rsidR="00EC6056" w:rsidRPr="00B01E01">
        <w:rPr>
          <w:rFonts w:ascii="Georgia" w:hAnsi="Georgia" w:cs="Arial"/>
          <w:szCs w:val="24"/>
          <w:lang w:val="es-419"/>
        </w:rPr>
        <w:t>responda de f</w:t>
      </w:r>
      <w:r w:rsidR="00CE2B5F" w:rsidRPr="00B01E01">
        <w:rPr>
          <w:rFonts w:ascii="Georgia" w:hAnsi="Georgia" w:cs="Arial"/>
          <w:szCs w:val="24"/>
          <w:lang w:val="es-419"/>
        </w:rPr>
        <w:t>ondo</w:t>
      </w:r>
      <w:r w:rsidR="000D61A8" w:rsidRPr="00B01E01">
        <w:rPr>
          <w:rFonts w:ascii="Georgia" w:hAnsi="Georgia" w:cs="Arial"/>
          <w:szCs w:val="24"/>
          <w:lang w:val="es-419"/>
        </w:rPr>
        <w:t xml:space="preserve">, clara y completa </w:t>
      </w:r>
      <w:r w:rsidR="00CE2B5F" w:rsidRPr="00B01E01">
        <w:rPr>
          <w:rFonts w:ascii="Georgia" w:hAnsi="Georgia" w:cs="Arial"/>
          <w:szCs w:val="24"/>
          <w:lang w:val="es-419"/>
        </w:rPr>
        <w:t xml:space="preserve">la petición </w:t>
      </w:r>
      <w:r w:rsidR="000D61A8" w:rsidRPr="00B01E01">
        <w:rPr>
          <w:rFonts w:ascii="Georgia" w:hAnsi="Georgia" w:cs="Arial"/>
          <w:szCs w:val="24"/>
          <w:lang w:val="es-419"/>
        </w:rPr>
        <w:t xml:space="preserve">radicada </w:t>
      </w:r>
      <w:r w:rsidR="00CE2B5F" w:rsidRPr="00B01E01">
        <w:rPr>
          <w:rFonts w:ascii="Georgia" w:hAnsi="Georgia" w:cs="Arial"/>
          <w:szCs w:val="24"/>
          <w:lang w:val="es-419"/>
        </w:rPr>
        <w:t xml:space="preserve">el </w:t>
      </w:r>
      <w:r w:rsidR="000D61A8" w:rsidRPr="00B01E01">
        <w:rPr>
          <w:rFonts w:ascii="Georgia" w:hAnsi="Georgia" w:cs="Arial"/>
          <w:szCs w:val="24"/>
          <w:lang w:val="es-419"/>
        </w:rPr>
        <w:t>01</w:t>
      </w:r>
      <w:r w:rsidR="00CE2B5F" w:rsidRPr="00B01E01">
        <w:rPr>
          <w:rFonts w:ascii="Georgia" w:hAnsi="Georgia" w:cs="Arial"/>
          <w:szCs w:val="24"/>
          <w:lang w:val="es-419"/>
        </w:rPr>
        <w:t>-0</w:t>
      </w:r>
      <w:r w:rsidR="000D61A8" w:rsidRPr="00B01E01">
        <w:rPr>
          <w:rFonts w:ascii="Georgia" w:hAnsi="Georgia" w:cs="Arial"/>
          <w:szCs w:val="24"/>
          <w:lang w:val="es-419"/>
        </w:rPr>
        <w:t>3</w:t>
      </w:r>
      <w:r w:rsidR="00CE2B5F" w:rsidRPr="00B01E01">
        <w:rPr>
          <w:rFonts w:ascii="Georgia" w:hAnsi="Georgia" w:cs="Arial"/>
          <w:szCs w:val="24"/>
          <w:lang w:val="es-419"/>
        </w:rPr>
        <w:t>-201</w:t>
      </w:r>
      <w:r w:rsidR="000D61A8" w:rsidRPr="00B01E01">
        <w:rPr>
          <w:rFonts w:ascii="Georgia" w:hAnsi="Georgia" w:cs="Arial"/>
          <w:szCs w:val="24"/>
          <w:lang w:val="es-419"/>
        </w:rPr>
        <w:t>9</w:t>
      </w:r>
      <w:r w:rsidRPr="00B01E01">
        <w:rPr>
          <w:rFonts w:ascii="Georgia" w:hAnsi="Georgia"/>
          <w:szCs w:val="24"/>
          <w:lang w:val="es-419"/>
        </w:rPr>
        <w:t xml:space="preserve"> </w:t>
      </w:r>
      <w:r w:rsidR="00785FA3" w:rsidRPr="00B01E01">
        <w:rPr>
          <w:rFonts w:ascii="Georgia" w:hAnsi="Georgia"/>
          <w:szCs w:val="24"/>
          <w:lang w:val="es-419"/>
        </w:rPr>
        <w:t>(Folio</w:t>
      </w:r>
      <w:r w:rsidR="000D61A8" w:rsidRPr="00B01E01">
        <w:rPr>
          <w:rFonts w:ascii="Georgia" w:hAnsi="Georgia"/>
          <w:szCs w:val="24"/>
          <w:lang w:val="es-419"/>
        </w:rPr>
        <w:t>s 17 a 18</w:t>
      </w:r>
      <w:r w:rsidR="00785FA3" w:rsidRPr="00B01E01">
        <w:rPr>
          <w:rFonts w:ascii="Georgia" w:hAnsi="Georgia"/>
          <w:szCs w:val="24"/>
          <w:lang w:val="es-419"/>
        </w:rPr>
        <w:t>, este cuaderno).</w:t>
      </w:r>
    </w:p>
    <w:p w:rsidR="00E22A66" w:rsidRPr="00B01E01" w:rsidRDefault="00E22A66" w:rsidP="00B01E01">
      <w:pPr>
        <w:pStyle w:val="Sinespaciado"/>
        <w:spacing w:line="288" w:lineRule="auto"/>
        <w:jc w:val="both"/>
        <w:rPr>
          <w:rFonts w:ascii="Georgia" w:hAnsi="Georgia"/>
          <w:szCs w:val="24"/>
          <w:lang w:val="es-419"/>
        </w:rPr>
      </w:pPr>
    </w:p>
    <w:p w:rsidR="00785FA3" w:rsidRPr="00B01E01" w:rsidRDefault="00785FA3" w:rsidP="00B01E01">
      <w:pPr>
        <w:pStyle w:val="Textoindependiente"/>
        <w:widowControl w:val="0"/>
        <w:numPr>
          <w:ilvl w:val="0"/>
          <w:numId w:val="1"/>
        </w:numPr>
        <w:spacing w:line="288" w:lineRule="auto"/>
        <w:rPr>
          <w:rFonts w:ascii="Georgia" w:hAnsi="Georgia"/>
          <w:smallCaps/>
          <w:szCs w:val="24"/>
          <w:lang w:val="es-419"/>
        </w:rPr>
      </w:pPr>
      <w:r w:rsidRPr="00B01E01">
        <w:rPr>
          <w:rFonts w:ascii="Georgia" w:hAnsi="Georgia"/>
          <w:smallCaps/>
          <w:szCs w:val="24"/>
          <w:lang w:val="es-419"/>
        </w:rPr>
        <w:t>La sinopsis de la crónica procesal</w:t>
      </w:r>
    </w:p>
    <w:p w:rsidR="000A73D7" w:rsidRPr="00B01E01" w:rsidRDefault="000A73D7" w:rsidP="00B01E01">
      <w:pPr>
        <w:pStyle w:val="Textoindependiente"/>
        <w:widowControl w:val="0"/>
        <w:spacing w:line="288" w:lineRule="auto"/>
        <w:ind w:left="360"/>
        <w:rPr>
          <w:rFonts w:ascii="Georgia" w:hAnsi="Georgia"/>
          <w:smallCaps/>
          <w:szCs w:val="24"/>
          <w:lang w:val="es-419"/>
        </w:rPr>
      </w:pPr>
    </w:p>
    <w:p w:rsidR="00785FA3" w:rsidRPr="00B01E01" w:rsidRDefault="00785FA3" w:rsidP="00B01E01">
      <w:pPr>
        <w:pStyle w:val="Textoindependiente"/>
        <w:widowControl w:val="0"/>
        <w:spacing w:line="288" w:lineRule="auto"/>
        <w:rPr>
          <w:rFonts w:ascii="Georgia" w:hAnsi="Georgia"/>
          <w:szCs w:val="24"/>
          <w:lang w:val="es-419"/>
        </w:rPr>
      </w:pPr>
      <w:r w:rsidRPr="00B01E01">
        <w:rPr>
          <w:rFonts w:ascii="Georgia" w:hAnsi="Georgia"/>
          <w:szCs w:val="24"/>
          <w:lang w:val="es-419"/>
        </w:rPr>
        <w:t xml:space="preserve">Con providencia del </w:t>
      </w:r>
      <w:r w:rsidR="000D61A8" w:rsidRPr="00B01E01">
        <w:rPr>
          <w:rFonts w:ascii="Georgia" w:hAnsi="Georgia"/>
          <w:szCs w:val="24"/>
          <w:lang w:val="es-419"/>
        </w:rPr>
        <w:t>2</w:t>
      </w:r>
      <w:r w:rsidR="00CE2B5F" w:rsidRPr="00B01E01">
        <w:rPr>
          <w:rFonts w:ascii="Georgia" w:hAnsi="Georgia"/>
          <w:szCs w:val="24"/>
          <w:lang w:val="es-419"/>
        </w:rPr>
        <w:t>2</w:t>
      </w:r>
      <w:r w:rsidRPr="00B01E01">
        <w:rPr>
          <w:rFonts w:ascii="Georgia" w:hAnsi="Georgia"/>
          <w:szCs w:val="24"/>
          <w:lang w:val="es-419"/>
        </w:rPr>
        <w:t>-0</w:t>
      </w:r>
      <w:r w:rsidR="000D61A8" w:rsidRPr="00B01E01">
        <w:rPr>
          <w:rFonts w:ascii="Georgia" w:hAnsi="Georgia"/>
          <w:szCs w:val="24"/>
          <w:lang w:val="es-419"/>
        </w:rPr>
        <w:t>3</w:t>
      </w:r>
      <w:r w:rsidRPr="00B01E01">
        <w:rPr>
          <w:rFonts w:ascii="Georgia" w:hAnsi="Georgia"/>
          <w:szCs w:val="24"/>
          <w:lang w:val="es-419"/>
        </w:rPr>
        <w:t>-2019</w:t>
      </w:r>
      <w:r w:rsidR="000A73D7" w:rsidRPr="00B01E01">
        <w:rPr>
          <w:rFonts w:ascii="Georgia" w:hAnsi="Georgia"/>
          <w:szCs w:val="24"/>
          <w:lang w:val="es-419"/>
        </w:rPr>
        <w:t xml:space="preserve"> </w:t>
      </w:r>
      <w:r w:rsidRPr="00B01E01">
        <w:rPr>
          <w:rFonts w:ascii="Georgia" w:hAnsi="Georgia"/>
          <w:szCs w:val="24"/>
          <w:lang w:val="es-419"/>
        </w:rPr>
        <w:t xml:space="preserve">se admitió, </w:t>
      </w:r>
      <w:r w:rsidR="000D61A8" w:rsidRPr="00B01E01">
        <w:rPr>
          <w:rFonts w:ascii="Georgia" w:hAnsi="Georgia"/>
          <w:szCs w:val="24"/>
          <w:lang w:val="es-419"/>
        </w:rPr>
        <w:t xml:space="preserve">se vinculó a quienes consideró pertinentes </w:t>
      </w:r>
      <w:r w:rsidRPr="00B01E01">
        <w:rPr>
          <w:rFonts w:ascii="Georgia" w:hAnsi="Georgia"/>
          <w:szCs w:val="24"/>
          <w:lang w:val="es-419"/>
        </w:rPr>
        <w:t xml:space="preserve">y se dispuso notificar a las partes, entre otros ordenamientos (Folio </w:t>
      </w:r>
      <w:r w:rsidR="00E03621" w:rsidRPr="00B01E01">
        <w:rPr>
          <w:rFonts w:ascii="Georgia" w:hAnsi="Georgia"/>
          <w:szCs w:val="24"/>
          <w:lang w:val="es-419"/>
        </w:rPr>
        <w:t>1</w:t>
      </w:r>
      <w:r w:rsidR="000D61A8" w:rsidRPr="00B01E01">
        <w:rPr>
          <w:rFonts w:ascii="Georgia" w:hAnsi="Georgia"/>
          <w:szCs w:val="24"/>
          <w:lang w:val="es-419"/>
        </w:rPr>
        <w:t>9</w:t>
      </w:r>
      <w:r w:rsidRPr="00B01E01">
        <w:rPr>
          <w:rFonts w:ascii="Georgia" w:hAnsi="Georgia"/>
          <w:szCs w:val="24"/>
          <w:lang w:val="es-419"/>
        </w:rPr>
        <w:t xml:space="preserve">, ibídem). Fueron notificados los extremos de la acción (Folios </w:t>
      </w:r>
      <w:r w:rsidR="000D61A8" w:rsidRPr="00B01E01">
        <w:rPr>
          <w:rFonts w:ascii="Georgia" w:hAnsi="Georgia"/>
          <w:szCs w:val="24"/>
          <w:lang w:val="es-419"/>
        </w:rPr>
        <w:t>20 a 2</w:t>
      </w:r>
      <w:r w:rsidR="00CE2B5F" w:rsidRPr="00B01E01">
        <w:rPr>
          <w:rFonts w:ascii="Georgia" w:hAnsi="Georgia"/>
          <w:szCs w:val="24"/>
          <w:lang w:val="es-419"/>
        </w:rPr>
        <w:t>2</w:t>
      </w:r>
      <w:r w:rsidRPr="00B01E01">
        <w:rPr>
          <w:rFonts w:ascii="Georgia" w:hAnsi="Georgia"/>
          <w:szCs w:val="24"/>
          <w:lang w:val="es-419"/>
        </w:rPr>
        <w:t xml:space="preserve">, ibídem). El </w:t>
      </w:r>
      <w:r w:rsidR="00D94E1B" w:rsidRPr="00B01E01">
        <w:rPr>
          <w:rFonts w:ascii="Georgia" w:hAnsi="Georgia"/>
          <w:szCs w:val="24"/>
          <w:lang w:val="es-419"/>
        </w:rPr>
        <w:t>05</w:t>
      </w:r>
      <w:r w:rsidRPr="00B01E01">
        <w:rPr>
          <w:rFonts w:ascii="Georgia" w:hAnsi="Georgia"/>
          <w:szCs w:val="24"/>
          <w:lang w:val="es-419"/>
        </w:rPr>
        <w:t>-0</w:t>
      </w:r>
      <w:r w:rsidR="00CE2B5F" w:rsidRPr="00B01E01">
        <w:rPr>
          <w:rFonts w:ascii="Georgia" w:hAnsi="Georgia"/>
          <w:szCs w:val="24"/>
          <w:lang w:val="es-419"/>
        </w:rPr>
        <w:t>4</w:t>
      </w:r>
      <w:r w:rsidRPr="00B01E01">
        <w:rPr>
          <w:rFonts w:ascii="Georgia" w:hAnsi="Georgia"/>
          <w:szCs w:val="24"/>
          <w:lang w:val="es-419"/>
        </w:rPr>
        <w:t xml:space="preserve">-2019 se profirió sentencia (Folios </w:t>
      </w:r>
      <w:r w:rsidR="00D94E1B" w:rsidRPr="00B01E01">
        <w:rPr>
          <w:rFonts w:ascii="Georgia" w:hAnsi="Georgia"/>
          <w:szCs w:val="24"/>
          <w:lang w:val="es-419"/>
        </w:rPr>
        <w:t>35</w:t>
      </w:r>
      <w:r w:rsidRPr="00B01E01">
        <w:rPr>
          <w:rFonts w:ascii="Georgia" w:hAnsi="Georgia"/>
          <w:szCs w:val="24"/>
          <w:lang w:val="es-419"/>
        </w:rPr>
        <w:t xml:space="preserve"> a </w:t>
      </w:r>
      <w:r w:rsidR="00D94E1B" w:rsidRPr="00B01E01">
        <w:rPr>
          <w:rFonts w:ascii="Georgia" w:hAnsi="Georgia"/>
          <w:szCs w:val="24"/>
          <w:lang w:val="es-419"/>
        </w:rPr>
        <w:t>39</w:t>
      </w:r>
      <w:r w:rsidRPr="00B01E01">
        <w:rPr>
          <w:rFonts w:ascii="Georgia" w:hAnsi="Georgia"/>
          <w:szCs w:val="24"/>
          <w:lang w:val="es-419"/>
        </w:rPr>
        <w:t xml:space="preserve">, ibídem); y, </w:t>
      </w:r>
      <w:r w:rsidR="00E86365" w:rsidRPr="00B01E01">
        <w:rPr>
          <w:rFonts w:ascii="Georgia" w:hAnsi="Georgia"/>
          <w:szCs w:val="24"/>
          <w:lang w:val="es-419"/>
        </w:rPr>
        <w:t>finalmente</w:t>
      </w:r>
      <w:r w:rsidRPr="00B01E01">
        <w:rPr>
          <w:rFonts w:ascii="Georgia" w:hAnsi="Georgia"/>
          <w:szCs w:val="24"/>
          <w:lang w:val="es-419"/>
        </w:rPr>
        <w:t xml:space="preserve">, con auto del </w:t>
      </w:r>
      <w:r w:rsidR="00D94E1B" w:rsidRPr="00B01E01">
        <w:rPr>
          <w:rFonts w:ascii="Georgia" w:hAnsi="Georgia"/>
          <w:szCs w:val="24"/>
          <w:lang w:val="es-419"/>
        </w:rPr>
        <w:t>12</w:t>
      </w:r>
      <w:r w:rsidRPr="00B01E01">
        <w:rPr>
          <w:rFonts w:ascii="Georgia" w:hAnsi="Georgia"/>
          <w:szCs w:val="24"/>
          <w:lang w:val="es-419"/>
        </w:rPr>
        <w:t>-0</w:t>
      </w:r>
      <w:r w:rsidR="00B225FC" w:rsidRPr="00B01E01">
        <w:rPr>
          <w:rFonts w:ascii="Georgia" w:hAnsi="Georgia"/>
          <w:szCs w:val="24"/>
          <w:lang w:val="es-419"/>
        </w:rPr>
        <w:t>4</w:t>
      </w:r>
      <w:r w:rsidRPr="00B01E01">
        <w:rPr>
          <w:rFonts w:ascii="Georgia" w:hAnsi="Georgia"/>
          <w:szCs w:val="24"/>
          <w:lang w:val="es-419"/>
        </w:rPr>
        <w:t>-2019 se concedió la impugnación formulada por</w:t>
      </w:r>
      <w:r w:rsidR="005A6CD2" w:rsidRPr="00B01E01">
        <w:rPr>
          <w:rFonts w:ascii="Georgia" w:hAnsi="Georgia"/>
          <w:szCs w:val="24"/>
          <w:lang w:val="es-419"/>
        </w:rPr>
        <w:t xml:space="preserve"> </w:t>
      </w:r>
      <w:r w:rsidR="00B225FC" w:rsidRPr="00B01E01">
        <w:rPr>
          <w:rFonts w:ascii="Georgia" w:hAnsi="Georgia"/>
          <w:szCs w:val="24"/>
          <w:lang w:val="es-419"/>
        </w:rPr>
        <w:t xml:space="preserve">la </w:t>
      </w:r>
      <w:r w:rsidR="00D94E1B" w:rsidRPr="00B01E01">
        <w:rPr>
          <w:rFonts w:ascii="Georgia" w:hAnsi="Georgia"/>
          <w:szCs w:val="24"/>
          <w:lang w:val="es-419"/>
        </w:rPr>
        <w:t>parte ac</w:t>
      </w:r>
      <w:r w:rsidR="00343F35" w:rsidRPr="00B01E01">
        <w:rPr>
          <w:rFonts w:ascii="Georgia" w:hAnsi="Georgia"/>
          <w:szCs w:val="24"/>
          <w:lang w:val="es-419"/>
        </w:rPr>
        <w:t xml:space="preserve">cionada </w:t>
      </w:r>
      <w:r w:rsidR="00343F35" w:rsidRPr="00B01E01">
        <w:rPr>
          <w:rFonts w:ascii="Georgia" w:hAnsi="Georgia"/>
          <w:i/>
          <w:szCs w:val="24"/>
          <w:lang w:val="es-419"/>
        </w:rPr>
        <w:t>(sic)</w:t>
      </w:r>
      <w:r w:rsidRPr="00B01E01">
        <w:rPr>
          <w:rFonts w:ascii="Georgia" w:hAnsi="Georgia"/>
          <w:szCs w:val="24"/>
          <w:lang w:val="es-419"/>
        </w:rPr>
        <w:t xml:space="preserve"> (Folio </w:t>
      </w:r>
      <w:r w:rsidR="00D94E1B" w:rsidRPr="00B01E01">
        <w:rPr>
          <w:rFonts w:ascii="Georgia" w:hAnsi="Georgia"/>
          <w:szCs w:val="24"/>
          <w:lang w:val="es-419"/>
        </w:rPr>
        <w:t>45</w:t>
      </w:r>
      <w:r w:rsidRPr="00B01E01">
        <w:rPr>
          <w:rFonts w:ascii="Georgia" w:hAnsi="Georgia"/>
          <w:szCs w:val="24"/>
          <w:lang w:val="es-419"/>
        </w:rPr>
        <w:t>, ib.).</w:t>
      </w:r>
    </w:p>
    <w:p w:rsidR="00785FA3" w:rsidRPr="00B01E01" w:rsidRDefault="00785FA3" w:rsidP="00B01E01">
      <w:pPr>
        <w:pStyle w:val="Textoindependiente"/>
        <w:widowControl w:val="0"/>
        <w:spacing w:line="288" w:lineRule="auto"/>
        <w:rPr>
          <w:rFonts w:ascii="Georgia" w:hAnsi="Georgia"/>
          <w:szCs w:val="24"/>
          <w:lang w:val="es-419"/>
        </w:rPr>
      </w:pPr>
    </w:p>
    <w:p w:rsidR="00785FA3" w:rsidRPr="00B01E01" w:rsidRDefault="00785FA3" w:rsidP="00B01E01">
      <w:pPr>
        <w:pStyle w:val="Textoindependiente"/>
        <w:widowControl w:val="0"/>
        <w:spacing w:line="288" w:lineRule="auto"/>
        <w:rPr>
          <w:rFonts w:ascii="Georgia" w:hAnsi="Georgia"/>
          <w:szCs w:val="24"/>
          <w:lang w:val="es-419"/>
        </w:rPr>
      </w:pPr>
      <w:r w:rsidRPr="00B01E01">
        <w:rPr>
          <w:rFonts w:ascii="Georgia" w:hAnsi="Georgia"/>
          <w:szCs w:val="24"/>
          <w:lang w:val="es-419"/>
        </w:rPr>
        <w:t xml:space="preserve">El fallo opugnado </w:t>
      </w:r>
      <w:r w:rsidR="00D94E1B" w:rsidRPr="00B01E01">
        <w:rPr>
          <w:rFonts w:ascii="Georgia" w:hAnsi="Georgia"/>
          <w:szCs w:val="24"/>
          <w:lang w:val="es-419"/>
        </w:rPr>
        <w:t>negó el resguardo constitucional</w:t>
      </w:r>
      <w:r w:rsidR="00F930EE" w:rsidRPr="00B01E01">
        <w:rPr>
          <w:rFonts w:ascii="Georgia" w:hAnsi="Georgia"/>
          <w:szCs w:val="24"/>
          <w:lang w:val="es-419"/>
        </w:rPr>
        <w:t xml:space="preserve"> porque</w:t>
      </w:r>
      <w:r w:rsidR="00D94E1B" w:rsidRPr="00B01E01">
        <w:rPr>
          <w:rFonts w:ascii="Georgia" w:hAnsi="Georgia"/>
          <w:szCs w:val="24"/>
          <w:lang w:val="es-419"/>
        </w:rPr>
        <w:t xml:space="preserve"> </w:t>
      </w:r>
      <w:r w:rsidR="00E22A66" w:rsidRPr="00B01E01">
        <w:rPr>
          <w:rFonts w:ascii="Georgia" w:hAnsi="Georgia"/>
          <w:szCs w:val="24"/>
          <w:lang w:val="es-419"/>
        </w:rPr>
        <w:t xml:space="preserve">se </w:t>
      </w:r>
      <w:r w:rsidR="002153BD" w:rsidRPr="00B01E01">
        <w:rPr>
          <w:rFonts w:ascii="Georgia" w:hAnsi="Georgia"/>
          <w:szCs w:val="24"/>
          <w:lang w:val="es-419"/>
        </w:rPr>
        <w:t>consideró</w:t>
      </w:r>
      <w:r w:rsidR="00E4034C" w:rsidRPr="00B01E01">
        <w:rPr>
          <w:rFonts w:ascii="Georgia" w:hAnsi="Georgia"/>
          <w:szCs w:val="24"/>
          <w:lang w:val="es-419"/>
        </w:rPr>
        <w:t xml:space="preserve"> </w:t>
      </w:r>
      <w:r w:rsidR="001F12D4" w:rsidRPr="00B01E01">
        <w:rPr>
          <w:rFonts w:ascii="Georgia" w:hAnsi="Georgia"/>
          <w:szCs w:val="24"/>
          <w:lang w:val="es-419"/>
        </w:rPr>
        <w:t>inexistente la</w:t>
      </w:r>
      <w:r w:rsidR="00343F35" w:rsidRPr="00B01E01">
        <w:rPr>
          <w:rFonts w:ascii="Georgia" w:hAnsi="Georgia"/>
          <w:szCs w:val="24"/>
          <w:lang w:val="es-419"/>
        </w:rPr>
        <w:t xml:space="preserve"> </w:t>
      </w:r>
      <w:r w:rsidR="001F12D4" w:rsidRPr="00B01E01">
        <w:rPr>
          <w:rFonts w:ascii="Georgia" w:hAnsi="Georgia"/>
          <w:szCs w:val="24"/>
          <w:lang w:val="es-419"/>
        </w:rPr>
        <w:t xml:space="preserve">vulneración de </w:t>
      </w:r>
      <w:r w:rsidR="00343F35" w:rsidRPr="00B01E01">
        <w:rPr>
          <w:rFonts w:ascii="Georgia" w:hAnsi="Georgia"/>
          <w:szCs w:val="24"/>
          <w:lang w:val="es-419"/>
        </w:rPr>
        <w:t>derechos fundamentales</w:t>
      </w:r>
      <w:r w:rsidR="002C4D00" w:rsidRPr="00B01E01">
        <w:rPr>
          <w:rFonts w:ascii="Georgia" w:hAnsi="Georgia"/>
          <w:szCs w:val="24"/>
          <w:lang w:val="es-419"/>
        </w:rPr>
        <w:t xml:space="preserve">, </w:t>
      </w:r>
      <w:r w:rsidR="00F930EE" w:rsidRPr="00B01E01">
        <w:rPr>
          <w:rFonts w:ascii="Georgia" w:hAnsi="Georgia"/>
          <w:szCs w:val="24"/>
          <w:lang w:val="es-419"/>
        </w:rPr>
        <w:t xml:space="preserve">debido a </w:t>
      </w:r>
      <w:r w:rsidR="00343F35" w:rsidRPr="00B01E01">
        <w:rPr>
          <w:rFonts w:ascii="Georgia" w:hAnsi="Georgia"/>
          <w:szCs w:val="24"/>
          <w:lang w:val="es-419"/>
        </w:rPr>
        <w:t>que la respuesta</w:t>
      </w:r>
      <w:r w:rsidR="005F0EF6" w:rsidRPr="00B01E01">
        <w:rPr>
          <w:rFonts w:ascii="Georgia" w:hAnsi="Georgia"/>
          <w:szCs w:val="24"/>
          <w:lang w:val="es-419"/>
        </w:rPr>
        <w:t xml:space="preserve"> </w:t>
      </w:r>
      <w:r w:rsidR="002C4D00" w:rsidRPr="00B01E01">
        <w:rPr>
          <w:rFonts w:ascii="Georgia" w:hAnsi="Georgia"/>
          <w:szCs w:val="24"/>
          <w:lang w:val="es-419"/>
        </w:rPr>
        <w:t xml:space="preserve">emitida </w:t>
      </w:r>
      <w:r w:rsidR="005F0EF6" w:rsidRPr="00B01E01">
        <w:rPr>
          <w:rFonts w:ascii="Georgia" w:hAnsi="Georgia"/>
          <w:szCs w:val="24"/>
          <w:lang w:val="es-419"/>
        </w:rPr>
        <w:t>por</w:t>
      </w:r>
      <w:r w:rsidR="00343F35" w:rsidRPr="00B01E01">
        <w:rPr>
          <w:rFonts w:ascii="Georgia" w:hAnsi="Georgia"/>
          <w:szCs w:val="24"/>
          <w:lang w:val="es-419"/>
        </w:rPr>
        <w:t xml:space="preserve"> la Sociedad de Activos y Pasivos SAE SAS </w:t>
      </w:r>
      <w:r w:rsidR="005F0EF6" w:rsidRPr="00B01E01">
        <w:rPr>
          <w:rFonts w:ascii="Georgia" w:hAnsi="Georgia"/>
          <w:szCs w:val="24"/>
          <w:lang w:val="es-419"/>
        </w:rPr>
        <w:t xml:space="preserve">está </w:t>
      </w:r>
      <w:r w:rsidR="00F930EE" w:rsidRPr="00B01E01">
        <w:rPr>
          <w:rFonts w:ascii="Georgia" w:hAnsi="Georgia"/>
          <w:szCs w:val="24"/>
          <w:lang w:val="es-419"/>
        </w:rPr>
        <w:t>argumentada</w:t>
      </w:r>
      <w:r w:rsidR="00AD43FC" w:rsidRPr="00B01E01">
        <w:rPr>
          <w:rFonts w:ascii="Georgia" w:hAnsi="Georgia"/>
          <w:szCs w:val="24"/>
          <w:lang w:val="es-419"/>
        </w:rPr>
        <w:t xml:space="preserve"> </w:t>
      </w:r>
      <w:r w:rsidR="00343F35" w:rsidRPr="00B01E01">
        <w:rPr>
          <w:rFonts w:ascii="Georgia" w:hAnsi="Georgia"/>
          <w:szCs w:val="24"/>
          <w:lang w:val="es-419"/>
        </w:rPr>
        <w:t>en</w:t>
      </w:r>
      <w:r w:rsidR="00D16FBE" w:rsidRPr="00B01E01">
        <w:rPr>
          <w:rFonts w:ascii="Georgia" w:hAnsi="Georgia"/>
          <w:szCs w:val="24"/>
          <w:lang w:val="es-419"/>
        </w:rPr>
        <w:t xml:space="preserve"> la</w:t>
      </w:r>
      <w:r w:rsidR="00343F35" w:rsidRPr="00B01E01">
        <w:rPr>
          <w:rFonts w:ascii="Georgia" w:hAnsi="Georgia"/>
          <w:szCs w:val="24"/>
          <w:lang w:val="es-419"/>
        </w:rPr>
        <w:t xml:space="preserve"> normativa</w:t>
      </w:r>
      <w:r w:rsidR="00D16FBE" w:rsidRPr="00B01E01">
        <w:rPr>
          <w:rFonts w:ascii="Georgia" w:hAnsi="Georgia"/>
          <w:szCs w:val="24"/>
          <w:lang w:val="es-419"/>
        </w:rPr>
        <w:t xml:space="preserve"> </w:t>
      </w:r>
      <w:r w:rsidR="00AD43FC" w:rsidRPr="00B01E01">
        <w:rPr>
          <w:rFonts w:ascii="Georgia" w:hAnsi="Georgia"/>
          <w:szCs w:val="24"/>
          <w:lang w:val="es-419"/>
        </w:rPr>
        <w:t>legal</w:t>
      </w:r>
      <w:r w:rsidR="002C4D00" w:rsidRPr="00B01E01">
        <w:rPr>
          <w:rFonts w:ascii="Georgia" w:hAnsi="Georgia"/>
          <w:szCs w:val="24"/>
          <w:lang w:val="es-419"/>
        </w:rPr>
        <w:t xml:space="preserve"> vigente</w:t>
      </w:r>
      <w:r w:rsidR="00343F35" w:rsidRPr="00B01E01">
        <w:rPr>
          <w:rFonts w:ascii="Georgia" w:hAnsi="Georgia"/>
          <w:szCs w:val="24"/>
          <w:lang w:val="es-419"/>
        </w:rPr>
        <w:t xml:space="preserve">; además, </w:t>
      </w:r>
      <w:r w:rsidR="00D16FBE" w:rsidRPr="00B01E01">
        <w:rPr>
          <w:rFonts w:ascii="Georgia" w:hAnsi="Georgia"/>
          <w:szCs w:val="24"/>
          <w:lang w:val="es-419"/>
        </w:rPr>
        <w:t xml:space="preserve">por tratarse de una </w:t>
      </w:r>
      <w:r w:rsidR="00343F35" w:rsidRPr="00B01E01">
        <w:rPr>
          <w:rFonts w:ascii="Georgia" w:hAnsi="Georgia"/>
          <w:szCs w:val="24"/>
          <w:lang w:val="es-419"/>
        </w:rPr>
        <w:t>empresa industrial y comercia</w:t>
      </w:r>
      <w:r w:rsidR="00D16FBE" w:rsidRPr="00B01E01">
        <w:rPr>
          <w:rFonts w:ascii="Georgia" w:hAnsi="Georgia"/>
          <w:szCs w:val="24"/>
          <w:lang w:val="es-419"/>
        </w:rPr>
        <w:t>l</w:t>
      </w:r>
      <w:r w:rsidR="00343F35" w:rsidRPr="00B01E01">
        <w:rPr>
          <w:rFonts w:ascii="Georgia" w:hAnsi="Georgia"/>
          <w:szCs w:val="24"/>
          <w:lang w:val="es-419"/>
        </w:rPr>
        <w:t xml:space="preserve"> del Estado de economía mixta</w:t>
      </w:r>
      <w:r w:rsidR="00A55CED" w:rsidRPr="00B01E01">
        <w:rPr>
          <w:rFonts w:ascii="Georgia" w:hAnsi="Georgia"/>
          <w:szCs w:val="24"/>
          <w:lang w:val="es-419"/>
        </w:rPr>
        <w:t xml:space="preserve"> </w:t>
      </w:r>
      <w:r w:rsidR="00F930EE" w:rsidRPr="00B01E01">
        <w:rPr>
          <w:rFonts w:ascii="Georgia" w:hAnsi="Georgia"/>
          <w:szCs w:val="24"/>
          <w:lang w:val="es-419"/>
        </w:rPr>
        <w:t xml:space="preserve">no </w:t>
      </w:r>
      <w:r w:rsidR="005F0EF6" w:rsidRPr="00B01E01">
        <w:rPr>
          <w:rFonts w:ascii="Georgia" w:hAnsi="Georgia"/>
          <w:szCs w:val="24"/>
          <w:lang w:val="es-419"/>
        </w:rPr>
        <w:t>está</w:t>
      </w:r>
      <w:r w:rsidR="00F930EE" w:rsidRPr="00B01E01">
        <w:rPr>
          <w:rFonts w:ascii="Georgia" w:hAnsi="Georgia"/>
          <w:szCs w:val="24"/>
          <w:lang w:val="es-419"/>
        </w:rPr>
        <w:t xml:space="preserve"> obligada a</w:t>
      </w:r>
      <w:r w:rsidR="00343F35" w:rsidRPr="00B01E01">
        <w:rPr>
          <w:rFonts w:ascii="Georgia" w:hAnsi="Georgia"/>
          <w:szCs w:val="24"/>
          <w:lang w:val="es-419"/>
        </w:rPr>
        <w:t xml:space="preserve"> informa</w:t>
      </w:r>
      <w:r w:rsidR="001F12D4" w:rsidRPr="00B01E01">
        <w:rPr>
          <w:rFonts w:ascii="Georgia" w:hAnsi="Georgia"/>
          <w:szCs w:val="24"/>
          <w:lang w:val="es-419"/>
        </w:rPr>
        <w:t>r</w:t>
      </w:r>
      <w:r w:rsidR="00343F35" w:rsidRPr="00B01E01">
        <w:rPr>
          <w:rFonts w:ascii="Georgia" w:hAnsi="Georgia"/>
          <w:szCs w:val="24"/>
          <w:lang w:val="es-419"/>
        </w:rPr>
        <w:t xml:space="preserve"> </w:t>
      </w:r>
      <w:r w:rsidR="00F930EE" w:rsidRPr="00B01E01">
        <w:rPr>
          <w:rFonts w:ascii="Georgia" w:hAnsi="Georgia"/>
          <w:szCs w:val="24"/>
          <w:lang w:val="es-419"/>
        </w:rPr>
        <w:t>de</w:t>
      </w:r>
      <w:r w:rsidR="00343F35" w:rsidRPr="00B01E01">
        <w:rPr>
          <w:rFonts w:ascii="Georgia" w:hAnsi="Georgia"/>
          <w:szCs w:val="24"/>
          <w:lang w:val="es-419"/>
        </w:rPr>
        <w:t xml:space="preserve"> sus proyectos</w:t>
      </w:r>
      <w:r w:rsidR="00D16FBE" w:rsidRPr="00B01E01">
        <w:rPr>
          <w:rFonts w:ascii="Georgia" w:hAnsi="Georgia"/>
          <w:szCs w:val="24"/>
          <w:lang w:val="es-419"/>
        </w:rPr>
        <w:t xml:space="preserve">, </w:t>
      </w:r>
      <w:r w:rsidR="00343F35" w:rsidRPr="00B01E01">
        <w:rPr>
          <w:rFonts w:ascii="Georgia" w:hAnsi="Georgia"/>
          <w:szCs w:val="24"/>
          <w:lang w:val="es-419"/>
        </w:rPr>
        <w:t xml:space="preserve">y </w:t>
      </w:r>
      <w:r w:rsidR="00D16FBE" w:rsidRPr="00B01E01">
        <w:rPr>
          <w:rFonts w:ascii="Georgia" w:hAnsi="Georgia"/>
          <w:szCs w:val="24"/>
          <w:lang w:val="es-419"/>
        </w:rPr>
        <w:t>finalmente,</w:t>
      </w:r>
      <w:r w:rsidR="00A55CED" w:rsidRPr="00B01E01">
        <w:rPr>
          <w:rFonts w:ascii="Georgia" w:hAnsi="Georgia"/>
          <w:szCs w:val="24"/>
          <w:lang w:val="es-419"/>
        </w:rPr>
        <w:t xml:space="preserve"> la interesada </w:t>
      </w:r>
      <w:r w:rsidR="001F12D4" w:rsidRPr="00B01E01">
        <w:rPr>
          <w:rFonts w:ascii="Georgia" w:hAnsi="Georgia"/>
          <w:szCs w:val="24"/>
          <w:lang w:val="es-419"/>
        </w:rPr>
        <w:t xml:space="preserve">fue notificada </w:t>
      </w:r>
      <w:r w:rsidR="00A55CED" w:rsidRPr="00B01E01">
        <w:rPr>
          <w:rFonts w:ascii="Georgia" w:hAnsi="Georgia"/>
          <w:szCs w:val="24"/>
          <w:lang w:val="es-419"/>
        </w:rPr>
        <w:t>oportunamente</w:t>
      </w:r>
      <w:r w:rsidR="00343F35" w:rsidRPr="00B01E01">
        <w:rPr>
          <w:rFonts w:ascii="Georgia" w:hAnsi="Georgia"/>
          <w:szCs w:val="24"/>
          <w:lang w:val="es-419"/>
        </w:rPr>
        <w:t xml:space="preserve"> </w:t>
      </w:r>
      <w:r w:rsidRPr="00B01E01">
        <w:rPr>
          <w:rFonts w:ascii="Georgia" w:hAnsi="Georgia"/>
          <w:szCs w:val="24"/>
          <w:lang w:val="es-419"/>
        </w:rPr>
        <w:t xml:space="preserve">(Folios </w:t>
      </w:r>
      <w:r w:rsidR="00D16FBE" w:rsidRPr="00B01E01">
        <w:rPr>
          <w:rFonts w:ascii="Georgia" w:hAnsi="Georgia"/>
          <w:szCs w:val="24"/>
          <w:lang w:val="es-419"/>
        </w:rPr>
        <w:t>35</w:t>
      </w:r>
      <w:r w:rsidRPr="00B01E01">
        <w:rPr>
          <w:rFonts w:ascii="Georgia" w:hAnsi="Georgia"/>
          <w:szCs w:val="24"/>
          <w:lang w:val="es-419"/>
        </w:rPr>
        <w:t xml:space="preserve"> a </w:t>
      </w:r>
      <w:r w:rsidR="00D16FBE" w:rsidRPr="00B01E01">
        <w:rPr>
          <w:rFonts w:ascii="Georgia" w:hAnsi="Georgia"/>
          <w:szCs w:val="24"/>
          <w:lang w:val="es-419"/>
        </w:rPr>
        <w:t>39</w:t>
      </w:r>
      <w:r w:rsidR="00391C61" w:rsidRPr="00B01E01">
        <w:rPr>
          <w:rFonts w:ascii="Georgia" w:hAnsi="Georgia"/>
          <w:szCs w:val="24"/>
          <w:lang w:val="es-419"/>
        </w:rPr>
        <w:t>, ib.).</w:t>
      </w:r>
    </w:p>
    <w:p w:rsidR="00391C61" w:rsidRPr="00B01E01" w:rsidRDefault="00391C61" w:rsidP="00B01E01">
      <w:pPr>
        <w:pStyle w:val="Textoindependiente"/>
        <w:widowControl w:val="0"/>
        <w:spacing w:line="288" w:lineRule="auto"/>
        <w:rPr>
          <w:rFonts w:ascii="Georgia" w:hAnsi="Georgia"/>
          <w:szCs w:val="24"/>
          <w:lang w:val="es-419"/>
        </w:rPr>
      </w:pPr>
    </w:p>
    <w:p w:rsidR="00785FA3" w:rsidRPr="00B01E01" w:rsidRDefault="00BB3B8F" w:rsidP="00B01E01">
      <w:pPr>
        <w:pStyle w:val="Textoindependiente"/>
        <w:widowControl w:val="0"/>
        <w:spacing w:line="288" w:lineRule="auto"/>
        <w:rPr>
          <w:rFonts w:ascii="Georgia" w:hAnsi="Georgia"/>
          <w:szCs w:val="24"/>
          <w:lang w:val="es-419"/>
        </w:rPr>
      </w:pPr>
      <w:r w:rsidRPr="00B01E01">
        <w:rPr>
          <w:rFonts w:ascii="Georgia" w:hAnsi="Georgia"/>
          <w:szCs w:val="24"/>
          <w:lang w:val="es-419"/>
        </w:rPr>
        <w:t>La parte acciona</w:t>
      </w:r>
      <w:r w:rsidR="007C14E8" w:rsidRPr="00B01E01">
        <w:rPr>
          <w:rFonts w:ascii="Georgia" w:hAnsi="Georgia"/>
          <w:szCs w:val="24"/>
          <w:lang w:val="es-419"/>
        </w:rPr>
        <w:t>nte</w:t>
      </w:r>
      <w:r w:rsidRPr="00B01E01">
        <w:rPr>
          <w:rFonts w:ascii="Georgia" w:hAnsi="Georgia"/>
          <w:szCs w:val="24"/>
          <w:lang w:val="es-419"/>
        </w:rPr>
        <w:t xml:space="preserve"> impugn</w:t>
      </w:r>
      <w:r w:rsidR="003C59EF" w:rsidRPr="00B01E01">
        <w:rPr>
          <w:rFonts w:ascii="Georgia" w:hAnsi="Georgia"/>
          <w:szCs w:val="24"/>
          <w:lang w:val="es-419"/>
        </w:rPr>
        <w:t xml:space="preserve">ó, pues contrario a lo resuelto por el </w:t>
      </w:r>
      <w:r w:rsidR="003C59EF" w:rsidRPr="00B01E01">
        <w:rPr>
          <w:rFonts w:ascii="Georgia" w:hAnsi="Georgia"/>
          <w:i/>
          <w:szCs w:val="24"/>
          <w:lang w:val="es-419"/>
        </w:rPr>
        <w:t>a quo</w:t>
      </w:r>
      <w:r w:rsidR="003C59EF" w:rsidRPr="00B01E01">
        <w:rPr>
          <w:rFonts w:ascii="Georgia" w:hAnsi="Georgia"/>
          <w:szCs w:val="24"/>
          <w:lang w:val="es-419"/>
        </w:rPr>
        <w:t xml:space="preserve">, </w:t>
      </w:r>
      <w:r w:rsidR="00B82939" w:rsidRPr="00B01E01">
        <w:rPr>
          <w:rFonts w:ascii="Georgia" w:hAnsi="Georgia"/>
          <w:szCs w:val="24"/>
          <w:lang w:val="es-419"/>
        </w:rPr>
        <w:t>discurrió</w:t>
      </w:r>
      <w:r w:rsidR="003C59EF" w:rsidRPr="00B01E01">
        <w:rPr>
          <w:rFonts w:ascii="Georgia" w:hAnsi="Georgia"/>
          <w:szCs w:val="24"/>
          <w:lang w:val="es-419"/>
        </w:rPr>
        <w:t xml:space="preserve"> que</w:t>
      </w:r>
      <w:r w:rsidR="00492316" w:rsidRPr="00B01E01">
        <w:rPr>
          <w:rFonts w:ascii="Georgia" w:hAnsi="Georgia"/>
          <w:szCs w:val="24"/>
          <w:lang w:val="es-419"/>
        </w:rPr>
        <w:t xml:space="preserve"> </w:t>
      </w:r>
      <w:r w:rsidR="005F0EF6" w:rsidRPr="00B01E01">
        <w:rPr>
          <w:rFonts w:ascii="Georgia" w:hAnsi="Georgia"/>
          <w:szCs w:val="24"/>
          <w:lang w:val="es-419"/>
        </w:rPr>
        <w:t xml:space="preserve">el acceso a la información y documentos </w:t>
      </w:r>
      <w:r w:rsidR="002C4D00" w:rsidRPr="00B01E01">
        <w:rPr>
          <w:rFonts w:ascii="Georgia" w:hAnsi="Georgia"/>
          <w:szCs w:val="24"/>
          <w:lang w:val="es-419"/>
        </w:rPr>
        <w:t>públicos</w:t>
      </w:r>
      <w:r w:rsidR="001F12D4" w:rsidRPr="00B01E01">
        <w:rPr>
          <w:rFonts w:ascii="Georgia" w:hAnsi="Georgia"/>
          <w:szCs w:val="24"/>
          <w:lang w:val="es-419"/>
        </w:rPr>
        <w:t xml:space="preserve"> </w:t>
      </w:r>
      <w:r w:rsidR="00364AA6" w:rsidRPr="00B01E01">
        <w:rPr>
          <w:rFonts w:ascii="Georgia" w:hAnsi="Georgia"/>
          <w:szCs w:val="24"/>
          <w:lang w:val="es-419"/>
        </w:rPr>
        <w:t xml:space="preserve">no </w:t>
      </w:r>
      <w:r w:rsidR="00A1181D" w:rsidRPr="00B01E01">
        <w:rPr>
          <w:rFonts w:ascii="Georgia" w:hAnsi="Georgia"/>
          <w:szCs w:val="24"/>
          <w:lang w:val="es-419"/>
        </w:rPr>
        <w:t>tienen</w:t>
      </w:r>
      <w:r w:rsidR="001F12D4" w:rsidRPr="00B01E01">
        <w:rPr>
          <w:rFonts w:ascii="Georgia" w:hAnsi="Georgia"/>
          <w:szCs w:val="24"/>
          <w:lang w:val="es-419"/>
        </w:rPr>
        <w:t xml:space="preserve"> </w:t>
      </w:r>
      <w:r w:rsidR="00364AA6" w:rsidRPr="00B01E01">
        <w:rPr>
          <w:rFonts w:ascii="Georgia" w:hAnsi="Georgia"/>
          <w:szCs w:val="24"/>
          <w:lang w:val="es-419"/>
        </w:rPr>
        <w:t>reserva</w:t>
      </w:r>
      <w:r w:rsidR="00A1181D" w:rsidRPr="00B01E01">
        <w:rPr>
          <w:rFonts w:ascii="Georgia" w:hAnsi="Georgia"/>
          <w:szCs w:val="24"/>
          <w:lang w:val="es-419"/>
        </w:rPr>
        <w:t xml:space="preserve"> legal</w:t>
      </w:r>
      <w:r w:rsidR="002C4D00" w:rsidRPr="00B01E01">
        <w:rPr>
          <w:rFonts w:ascii="Georgia" w:hAnsi="Georgia"/>
          <w:szCs w:val="24"/>
          <w:lang w:val="es-419"/>
        </w:rPr>
        <w:t>;</w:t>
      </w:r>
      <w:r w:rsidR="005F0EF6" w:rsidRPr="00B01E01">
        <w:rPr>
          <w:rFonts w:ascii="Georgia" w:hAnsi="Georgia"/>
          <w:szCs w:val="24"/>
          <w:lang w:val="es-419"/>
        </w:rPr>
        <w:t xml:space="preserve"> </w:t>
      </w:r>
      <w:r w:rsidR="00A1181D" w:rsidRPr="00B01E01">
        <w:rPr>
          <w:rFonts w:ascii="Georgia" w:hAnsi="Georgia"/>
          <w:szCs w:val="24"/>
          <w:lang w:val="es-419"/>
        </w:rPr>
        <w:t>pues</w:t>
      </w:r>
      <w:r w:rsidR="00F930EE" w:rsidRPr="00B01E01">
        <w:rPr>
          <w:rFonts w:ascii="Georgia" w:hAnsi="Georgia"/>
          <w:szCs w:val="24"/>
          <w:lang w:val="es-419"/>
        </w:rPr>
        <w:t xml:space="preserve"> su pretensión está encaminada a conocer l</w:t>
      </w:r>
      <w:r w:rsidR="002C4D00" w:rsidRPr="00B01E01">
        <w:rPr>
          <w:rFonts w:ascii="Georgia" w:hAnsi="Georgia"/>
          <w:szCs w:val="24"/>
          <w:lang w:val="es-419"/>
        </w:rPr>
        <w:t>a destinación que SAE SAS</w:t>
      </w:r>
      <w:r w:rsidR="00A1181D" w:rsidRPr="00B01E01">
        <w:rPr>
          <w:rFonts w:ascii="Georgia" w:hAnsi="Georgia"/>
          <w:szCs w:val="24"/>
          <w:lang w:val="es-419"/>
        </w:rPr>
        <w:t xml:space="preserve"> </w:t>
      </w:r>
      <w:r w:rsidR="002C4D00" w:rsidRPr="00B01E01">
        <w:rPr>
          <w:rFonts w:ascii="Georgia" w:hAnsi="Georgia"/>
          <w:szCs w:val="24"/>
          <w:lang w:val="es-419"/>
        </w:rPr>
        <w:t xml:space="preserve">está </w:t>
      </w:r>
      <w:r w:rsidR="00066A30" w:rsidRPr="00B01E01">
        <w:rPr>
          <w:rFonts w:ascii="Georgia" w:hAnsi="Georgia"/>
          <w:szCs w:val="24"/>
          <w:lang w:val="es-419"/>
        </w:rPr>
        <w:t>adelantando respecto</w:t>
      </w:r>
      <w:r w:rsidR="00F930EE" w:rsidRPr="00B01E01">
        <w:rPr>
          <w:rFonts w:ascii="Georgia" w:hAnsi="Georgia"/>
          <w:szCs w:val="24"/>
          <w:lang w:val="es-419"/>
        </w:rPr>
        <w:t xml:space="preserve"> </w:t>
      </w:r>
      <w:r w:rsidR="002C4D00" w:rsidRPr="00B01E01">
        <w:rPr>
          <w:rFonts w:ascii="Georgia" w:hAnsi="Georgia"/>
          <w:szCs w:val="24"/>
          <w:lang w:val="es-419"/>
        </w:rPr>
        <w:t>al inmueble d</w:t>
      </w:r>
      <w:r w:rsidR="00A1181D" w:rsidRPr="00B01E01">
        <w:rPr>
          <w:rFonts w:ascii="Georgia" w:hAnsi="Georgia"/>
          <w:szCs w:val="24"/>
          <w:lang w:val="es-419"/>
        </w:rPr>
        <w:t xml:space="preserve">e su propiedad, y por su condición de </w:t>
      </w:r>
      <w:r w:rsidR="002C4D00" w:rsidRPr="00B01E01">
        <w:rPr>
          <w:rFonts w:ascii="Georgia" w:hAnsi="Georgia"/>
          <w:szCs w:val="24"/>
          <w:lang w:val="es-419"/>
        </w:rPr>
        <w:t xml:space="preserve">sujeto </w:t>
      </w:r>
      <w:r w:rsidR="00066A30" w:rsidRPr="00B01E01">
        <w:rPr>
          <w:rFonts w:ascii="Georgia" w:hAnsi="Georgia"/>
          <w:szCs w:val="24"/>
          <w:lang w:val="es-419"/>
        </w:rPr>
        <w:t xml:space="preserve">activo en proceso de extinción de dominio </w:t>
      </w:r>
      <w:r w:rsidR="00A1181D" w:rsidRPr="00B01E01">
        <w:rPr>
          <w:rFonts w:ascii="Georgia" w:hAnsi="Georgia"/>
          <w:szCs w:val="24"/>
          <w:lang w:val="es-419"/>
        </w:rPr>
        <w:t>está</w:t>
      </w:r>
      <w:r w:rsidR="002C4D00" w:rsidRPr="00B01E01">
        <w:rPr>
          <w:rFonts w:ascii="Georgia" w:hAnsi="Georgia"/>
          <w:szCs w:val="24"/>
          <w:lang w:val="es-419"/>
        </w:rPr>
        <w:t xml:space="preserve"> </w:t>
      </w:r>
      <w:r w:rsidR="00F930EE" w:rsidRPr="00B01E01">
        <w:rPr>
          <w:rFonts w:ascii="Georgia" w:hAnsi="Georgia"/>
          <w:szCs w:val="24"/>
          <w:lang w:val="es-419"/>
        </w:rPr>
        <w:t>legitimada</w:t>
      </w:r>
      <w:r w:rsidR="002C4D00" w:rsidRPr="00B01E01">
        <w:rPr>
          <w:rFonts w:ascii="Georgia" w:hAnsi="Georgia"/>
          <w:szCs w:val="24"/>
          <w:lang w:val="es-419"/>
        </w:rPr>
        <w:t xml:space="preserve"> para elevar este tipo de peticiones</w:t>
      </w:r>
      <w:r w:rsidR="00A1181D" w:rsidRPr="00B01E01">
        <w:rPr>
          <w:rFonts w:ascii="Georgia" w:hAnsi="Georgia"/>
          <w:szCs w:val="24"/>
          <w:lang w:val="es-419"/>
        </w:rPr>
        <w:t>; advierte, que</w:t>
      </w:r>
      <w:r w:rsidR="00066A30" w:rsidRPr="00B01E01">
        <w:rPr>
          <w:rFonts w:ascii="Georgia" w:hAnsi="Georgia"/>
          <w:szCs w:val="24"/>
          <w:lang w:val="es-419"/>
        </w:rPr>
        <w:t xml:space="preserve"> su intención</w:t>
      </w:r>
      <w:r w:rsidR="00E33E1E" w:rsidRPr="00B01E01">
        <w:rPr>
          <w:rFonts w:ascii="Georgia" w:hAnsi="Georgia"/>
          <w:szCs w:val="24"/>
          <w:lang w:val="es-419"/>
        </w:rPr>
        <w:t xml:space="preserve"> en ningún momento es tener conocimiento de</w:t>
      </w:r>
      <w:r w:rsidR="00066A30" w:rsidRPr="00B01E01">
        <w:rPr>
          <w:rFonts w:ascii="Georgia" w:hAnsi="Georgia"/>
          <w:szCs w:val="24"/>
          <w:lang w:val="es-419"/>
        </w:rPr>
        <w:t xml:space="preserve"> </w:t>
      </w:r>
      <w:r w:rsidR="00A1181D" w:rsidRPr="00B01E01">
        <w:rPr>
          <w:rFonts w:ascii="Georgia" w:hAnsi="Georgia"/>
          <w:szCs w:val="24"/>
          <w:lang w:val="es-419"/>
        </w:rPr>
        <w:t xml:space="preserve">los proyectos de </w:t>
      </w:r>
      <w:r w:rsidR="00036ED6" w:rsidRPr="00B01E01">
        <w:rPr>
          <w:rFonts w:ascii="Georgia" w:hAnsi="Georgia"/>
          <w:szCs w:val="24"/>
          <w:lang w:val="es-419"/>
        </w:rPr>
        <w:t>la Sociedad</w:t>
      </w:r>
      <w:r w:rsidR="00F930EE" w:rsidRPr="00B01E01">
        <w:rPr>
          <w:rFonts w:ascii="Georgia" w:hAnsi="Georgia"/>
          <w:szCs w:val="24"/>
          <w:lang w:val="es-419"/>
        </w:rPr>
        <w:t xml:space="preserve"> accionad</w:t>
      </w:r>
      <w:r w:rsidR="00066A30" w:rsidRPr="00B01E01">
        <w:rPr>
          <w:rFonts w:ascii="Georgia" w:hAnsi="Georgia"/>
          <w:szCs w:val="24"/>
          <w:lang w:val="es-419"/>
        </w:rPr>
        <w:t>a</w:t>
      </w:r>
      <w:r w:rsidR="00F930EE" w:rsidRPr="00B01E01">
        <w:rPr>
          <w:rFonts w:ascii="Georgia" w:hAnsi="Georgia"/>
          <w:szCs w:val="24"/>
          <w:lang w:val="es-419"/>
        </w:rPr>
        <w:t xml:space="preserve">, </w:t>
      </w:r>
      <w:r w:rsidR="00B82939" w:rsidRPr="00B01E01">
        <w:rPr>
          <w:rFonts w:ascii="Georgia" w:hAnsi="Georgia"/>
          <w:szCs w:val="24"/>
          <w:lang w:val="es-419"/>
        </w:rPr>
        <w:t xml:space="preserve">ni </w:t>
      </w:r>
      <w:r w:rsidR="00A1181D" w:rsidRPr="00B01E01">
        <w:rPr>
          <w:rFonts w:ascii="Georgia" w:hAnsi="Georgia"/>
          <w:szCs w:val="24"/>
          <w:lang w:val="es-419"/>
        </w:rPr>
        <w:t>que</w:t>
      </w:r>
      <w:r w:rsidR="00036ED6" w:rsidRPr="00B01E01">
        <w:rPr>
          <w:rFonts w:ascii="Georgia" w:hAnsi="Georgia"/>
          <w:szCs w:val="24"/>
          <w:lang w:val="es-419"/>
        </w:rPr>
        <w:t xml:space="preserve"> </w:t>
      </w:r>
      <w:r w:rsidR="00A1181D" w:rsidRPr="00B01E01">
        <w:rPr>
          <w:rFonts w:ascii="Georgia" w:hAnsi="Georgia"/>
          <w:szCs w:val="24"/>
          <w:lang w:val="es-419"/>
        </w:rPr>
        <w:t>exist</w:t>
      </w:r>
      <w:r w:rsidR="00066A30" w:rsidRPr="00B01E01">
        <w:rPr>
          <w:rFonts w:ascii="Georgia" w:hAnsi="Georgia"/>
          <w:szCs w:val="24"/>
          <w:lang w:val="es-419"/>
        </w:rPr>
        <w:t>a</w:t>
      </w:r>
      <w:r w:rsidR="00A1181D" w:rsidRPr="00B01E01">
        <w:rPr>
          <w:rFonts w:ascii="Georgia" w:hAnsi="Georgia"/>
          <w:szCs w:val="24"/>
          <w:lang w:val="es-419"/>
        </w:rPr>
        <w:t xml:space="preserve"> un arrendatario en el </w:t>
      </w:r>
      <w:r w:rsidR="00F930EE" w:rsidRPr="00B01E01">
        <w:rPr>
          <w:rFonts w:ascii="Georgia" w:hAnsi="Georgia"/>
          <w:szCs w:val="24"/>
          <w:lang w:val="es-419"/>
        </w:rPr>
        <w:t>bien como</w:t>
      </w:r>
      <w:r w:rsidR="00066A30" w:rsidRPr="00B01E01">
        <w:rPr>
          <w:rFonts w:ascii="Georgia" w:hAnsi="Georgia"/>
          <w:szCs w:val="24"/>
          <w:lang w:val="es-419"/>
        </w:rPr>
        <w:t xml:space="preserve"> erradamente </w:t>
      </w:r>
      <w:r w:rsidR="00E33E1E" w:rsidRPr="00B01E01">
        <w:rPr>
          <w:rFonts w:ascii="Georgia" w:hAnsi="Georgia"/>
          <w:szCs w:val="24"/>
          <w:lang w:val="es-419"/>
        </w:rPr>
        <w:t>lo</w:t>
      </w:r>
      <w:r w:rsidR="00F930EE" w:rsidRPr="00B01E01">
        <w:rPr>
          <w:rFonts w:ascii="Georgia" w:hAnsi="Georgia"/>
          <w:szCs w:val="24"/>
          <w:lang w:val="es-419"/>
        </w:rPr>
        <w:t xml:space="preserve"> afirma </w:t>
      </w:r>
      <w:r w:rsidR="00066A30" w:rsidRPr="00B01E01">
        <w:rPr>
          <w:rFonts w:ascii="Georgia" w:hAnsi="Georgia"/>
          <w:szCs w:val="24"/>
          <w:lang w:val="es-419"/>
        </w:rPr>
        <w:t>la decisión</w:t>
      </w:r>
      <w:r w:rsidR="003C59EF" w:rsidRPr="00B01E01">
        <w:rPr>
          <w:rFonts w:ascii="Georgia" w:hAnsi="Georgia"/>
          <w:szCs w:val="24"/>
          <w:lang w:val="es-419"/>
        </w:rPr>
        <w:t xml:space="preserve"> (Folios </w:t>
      </w:r>
      <w:r w:rsidR="00901B24" w:rsidRPr="00B01E01">
        <w:rPr>
          <w:rFonts w:ascii="Georgia" w:hAnsi="Georgia"/>
          <w:szCs w:val="24"/>
          <w:lang w:val="es-419"/>
        </w:rPr>
        <w:t>4</w:t>
      </w:r>
      <w:r w:rsidR="003C59EF" w:rsidRPr="00B01E01">
        <w:rPr>
          <w:rFonts w:ascii="Georgia" w:hAnsi="Georgia"/>
          <w:szCs w:val="24"/>
          <w:lang w:val="es-419"/>
        </w:rPr>
        <w:t>2</w:t>
      </w:r>
      <w:r w:rsidR="00036ED6" w:rsidRPr="00B01E01">
        <w:rPr>
          <w:rFonts w:ascii="Georgia" w:hAnsi="Georgia"/>
          <w:szCs w:val="24"/>
          <w:lang w:val="es-419"/>
        </w:rPr>
        <w:t xml:space="preserve"> a 44</w:t>
      </w:r>
      <w:r w:rsidR="003C59EF" w:rsidRPr="00B01E01">
        <w:rPr>
          <w:rFonts w:ascii="Georgia" w:hAnsi="Georgia"/>
          <w:szCs w:val="24"/>
          <w:lang w:val="es-419"/>
        </w:rPr>
        <w:t>, ib.).</w:t>
      </w:r>
    </w:p>
    <w:p w:rsidR="00543CA9" w:rsidRPr="00B01E01" w:rsidRDefault="00543CA9" w:rsidP="00B01E01">
      <w:pPr>
        <w:pStyle w:val="Textoindependiente"/>
        <w:widowControl w:val="0"/>
        <w:spacing w:line="288" w:lineRule="auto"/>
        <w:rPr>
          <w:rFonts w:ascii="Georgia" w:hAnsi="Georgia"/>
          <w:szCs w:val="24"/>
          <w:lang w:val="es-419"/>
        </w:rPr>
      </w:pPr>
    </w:p>
    <w:p w:rsidR="00785FA3" w:rsidRPr="00B01E01" w:rsidRDefault="00785FA3" w:rsidP="00B01E01">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B01E01">
        <w:rPr>
          <w:rFonts w:ascii="Georgia" w:hAnsi="Georgia"/>
          <w:smallCaps/>
          <w:szCs w:val="24"/>
          <w:lang w:val="es-419"/>
        </w:rPr>
        <w:t>La fundamentación jurídica para resolver</w:t>
      </w:r>
    </w:p>
    <w:p w:rsidR="00785FA3" w:rsidRPr="00B01E01" w:rsidRDefault="00785FA3" w:rsidP="00B01E01">
      <w:pPr>
        <w:pStyle w:val="Textoindependiente"/>
        <w:widowControl w:val="0"/>
        <w:spacing w:line="288" w:lineRule="auto"/>
        <w:ind w:left="708"/>
        <w:rPr>
          <w:rFonts w:ascii="Georgia" w:hAnsi="Georgia"/>
          <w:smallCaps/>
          <w:szCs w:val="24"/>
          <w:lang w:val="es-419"/>
        </w:rPr>
      </w:pPr>
    </w:p>
    <w:p w:rsidR="00785FA3" w:rsidRPr="00B01E01" w:rsidRDefault="00785FA3" w:rsidP="00B01E01">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B01E01">
        <w:rPr>
          <w:rFonts w:ascii="Georgia" w:hAnsi="Georgia"/>
          <w:smallCaps/>
          <w:szCs w:val="24"/>
          <w:lang w:val="es-419"/>
        </w:rPr>
        <w:t xml:space="preserve">La competencia funcional: </w:t>
      </w:r>
      <w:r w:rsidRPr="00B01E01">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785FA3" w:rsidRPr="00B01E01" w:rsidRDefault="00785FA3" w:rsidP="00B01E01">
      <w:pPr>
        <w:pStyle w:val="Textoindependiente"/>
        <w:widowControl w:val="0"/>
        <w:spacing w:line="288" w:lineRule="auto"/>
        <w:ind w:left="720"/>
        <w:rPr>
          <w:rFonts w:ascii="Georgia" w:hAnsi="Georgia"/>
          <w:szCs w:val="24"/>
          <w:lang w:val="es-419"/>
        </w:rPr>
      </w:pPr>
    </w:p>
    <w:p w:rsidR="00785FA3" w:rsidRPr="00B01E01" w:rsidRDefault="00785FA3" w:rsidP="00B01E01">
      <w:pPr>
        <w:pStyle w:val="Textoindependiente"/>
        <w:widowControl w:val="0"/>
        <w:numPr>
          <w:ilvl w:val="1"/>
          <w:numId w:val="41"/>
        </w:numPr>
        <w:tabs>
          <w:tab w:val="clear" w:pos="708"/>
        </w:tabs>
        <w:spacing w:line="288" w:lineRule="auto"/>
        <w:rPr>
          <w:rFonts w:ascii="Georgia" w:hAnsi="Georgia"/>
          <w:szCs w:val="24"/>
          <w:lang w:val="es-419"/>
        </w:rPr>
      </w:pPr>
      <w:r w:rsidRPr="00B01E01">
        <w:rPr>
          <w:rFonts w:ascii="Georgia" w:hAnsi="Georgia"/>
          <w:smallCaps/>
          <w:szCs w:val="24"/>
          <w:lang w:val="es-419"/>
        </w:rPr>
        <w:t xml:space="preserve">El problema jurídico a resolver: </w:t>
      </w:r>
      <w:r w:rsidRPr="00B01E01">
        <w:rPr>
          <w:rFonts w:ascii="Georgia" w:hAnsi="Georgia"/>
          <w:szCs w:val="24"/>
          <w:lang w:val="es-419"/>
        </w:rPr>
        <w:t>¿Es procedente confirmar, modifica</w:t>
      </w:r>
      <w:r w:rsidR="00B82862" w:rsidRPr="00B01E01">
        <w:rPr>
          <w:rFonts w:ascii="Georgia" w:hAnsi="Georgia"/>
          <w:szCs w:val="24"/>
          <w:lang w:val="es-419"/>
        </w:rPr>
        <w:t xml:space="preserve">r o revocar la sentencia  del Juzgado </w:t>
      </w:r>
      <w:r w:rsidR="00036ED6" w:rsidRPr="00B01E01">
        <w:rPr>
          <w:rFonts w:ascii="Georgia" w:hAnsi="Georgia"/>
          <w:szCs w:val="24"/>
          <w:lang w:val="es-419"/>
        </w:rPr>
        <w:t xml:space="preserve">Tercero de Familia </w:t>
      </w:r>
      <w:r w:rsidRPr="00B01E01">
        <w:rPr>
          <w:rFonts w:ascii="Georgia" w:hAnsi="Georgia"/>
          <w:szCs w:val="24"/>
          <w:lang w:val="es-419"/>
        </w:rPr>
        <w:t>de Pereira, según la impugnación de</w:t>
      </w:r>
      <w:r w:rsidR="0087132D" w:rsidRPr="00B01E01">
        <w:rPr>
          <w:rFonts w:ascii="Georgia" w:hAnsi="Georgia"/>
          <w:szCs w:val="24"/>
          <w:lang w:val="es-419"/>
        </w:rPr>
        <w:t xml:space="preserve"> la acciona</w:t>
      </w:r>
      <w:r w:rsidR="00036ED6" w:rsidRPr="00B01E01">
        <w:rPr>
          <w:rFonts w:ascii="Georgia" w:hAnsi="Georgia"/>
          <w:szCs w:val="24"/>
          <w:lang w:val="es-419"/>
        </w:rPr>
        <w:t>nte</w:t>
      </w:r>
      <w:r w:rsidRPr="00B01E01">
        <w:rPr>
          <w:rFonts w:ascii="Georgia" w:hAnsi="Georgia"/>
          <w:szCs w:val="24"/>
          <w:lang w:val="es-419"/>
        </w:rPr>
        <w:t xml:space="preserve">? </w:t>
      </w:r>
    </w:p>
    <w:p w:rsidR="00035569" w:rsidRPr="00B01E01" w:rsidRDefault="00035569" w:rsidP="00B01E01">
      <w:pPr>
        <w:pStyle w:val="Prrafodelista"/>
        <w:spacing w:line="288" w:lineRule="auto"/>
        <w:rPr>
          <w:rFonts w:ascii="Georgia" w:hAnsi="Georgia"/>
          <w:lang w:val="es-419"/>
        </w:rPr>
      </w:pPr>
    </w:p>
    <w:p w:rsidR="00785FA3" w:rsidRPr="00B01E01" w:rsidRDefault="00785FA3" w:rsidP="00B01E01">
      <w:pPr>
        <w:pStyle w:val="Textoindependiente"/>
        <w:widowControl w:val="0"/>
        <w:numPr>
          <w:ilvl w:val="1"/>
          <w:numId w:val="41"/>
        </w:numPr>
        <w:tabs>
          <w:tab w:val="clear" w:pos="708"/>
        </w:tabs>
        <w:spacing w:line="288" w:lineRule="auto"/>
        <w:rPr>
          <w:rFonts w:ascii="Georgia" w:hAnsi="Georgia"/>
          <w:szCs w:val="24"/>
          <w:lang w:val="es-419"/>
        </w:rPr>
      </w:pPr>
      <w:r w:rsidRPr="00B01E01">
        <w:rPr>
          <w:rFonts w:ascii="Georgia" w:hAnsi="Georgia"/>
          <w:smallCaps/>
          <w:szCs w:val="24"/>
          <w:lang w:val="es-419"/>
        </w:rPr>
        <w:t>Los presupuestos generales de procedencia</w:t>
      </w:r>
    </w:p>
    <w:p w:rsidR="00785FA3" w:rsidRPr="00B01E01" w:rsidRDefault="00785FA3" w:rsidP="00B01E01">
      <w:pPr>
        <w:pStyle w:val="Textoindependiente"/>
        <w:widowControl w:val="0"/>
        <w:spacing w:line="288" w:lineRule="auto"/>
        <w:ind w:left="720"/>
        <w:rPr>
          <w:rFonts w:ascii="Georgia" w:hAnsi="Georgia"/>
          <w:szCs w:val="24"/>
          <w:lang w:val="es-419"/>
        </w:rPr>
      </w:pPr>
    </w:p>
    <w:p w:rsidR="00B06F92" w:rsidRPr="00B01E01" w:rsidRDefault="00785FA3" w:rsidP="00B01E01">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B01E01">
        <w:rPr>
          <w:rFonts w:ascii="Georgia" w:hAnsi="Georgia"/>
          <w:smallCaps/>
          <w:szCs w:val="24"/>
          <w:lang w:val="es-419"/>
        </w:rPr>
        <w:t>La legitimación en la causa</w:t>
      </w:r>
      <w:r w:rsidR="00E22A66" w:rsidRPr="00B01E01">
        <w:rPr>
          <w:rFonts w:ascii="Georgia" w:hAnsi="Georgia"/>
          <w:szCs w:val="24"/>
          <w:lang w:val="es-419"/>
        </w:rPr>
        <w:t xml:space="preserve">. </w:t>
      </w:r>
      <w:r w:rsidR="00B06F92" w:rsidRPr="00B01E01">
        <w:rPr>
          <w:rFonts w:ascii="Georgia" w:hAnsi="Georgia"/>
          <w:szCs w:val="24"/>
          <w:lang w:val="es-419"/>
        </w:rPr>
        <w:t xml:space="preserve">Está legitimada por activa la parte actora porque formuló el derecho de petición (Folio </w:t>
      </w:r>
      <w:r w:rsidR="00176C72" w:rsidRPr="00B01E01">
        <w:rPr>
          <w:rFonts w:ascii="Georgia" w:hAnsi="Georgia"/>
          <w:szCs w:val="24"/>
          <w:lang w:val="es-419"/>
        </w:rPr>
        <w:t>3</w:t>
      </w:r>
      <w:r w:rsidR="00B06F92" w:rsidRPr="00B01E01">
        <w:rPr>
          <w:rFonts w:ascii="Georgia" w:hAnsi="Georgia"/>
          <w:szCs w:val="24"/>
          <w:lang w:val="es-419"/>
        </w:rPr>
        <w:t>, ib.). E</w:t>
      </w:r>
      <w:r w:rsidR="00B06F92" w:rsidRPr="00B01E01">
        <w:rPr>
          <w:rFonts w:ascii="Georgia" w:hAnsi="Georgia" w:cs="Arial"/>
          <w:szCs w:val="24"/>
          <w:lang w:val="es-419"/>
        </w:rPr>
        <w:t>n el extremo pasivo,</w:t>
      </w:r>
      <w:r w:rsidR="006D3CB8" w:rsidRPr="00B01E01">
        <w:rPr>
          <w:rFonts w:ascii="Georgia" w:hAnsi="Georgia" w:cs="Arial"/>
          <w:szCs w:val="24"/>
          <w:lang w:val="es-419"/>
        </w:rPr>
        <w:t xml:space="preserve"> la</w:t>
      </w:r>
      <w:r w:rsidR="00176C72" w:rsidRPr="00B01E01">
        <w:rPr>
          <w:rFonts w:ascii="Georgia" w:hAnsi="Georgia" w:cs="Arial"/>
          <w:szCs w:val="24"/>
          <w:lang w:val="es-419"/>
        </w:rPr>
        <w:t xml:space="preserve"> Sociedad de Activos Especiales  SAS - (SAE)</w:t>
      </w:r>
      <w:r w:rsidR="000631FD" w:rsidRPr="00B01E01">
        <w:rPr>
          <w:rFonts w:ascii="Georgia" w:hAnsi="Georgia" w:cs="Arial"/>
          <w:szCs w:val="24"/>
          <w:lang w:val="es-419"/>
        </w:rPr>
        <w:t>, en virtud a que fue la</w:t>
      </w:r>
      <w:r w:rsidR="00176C72" w:rsidRPr="00B01E01">
        <w:rPr>
          <w:rFonts w:ascii="Georgia" w:hAnsi="Georgia" w:cs="Arial"/>
          <w:szCs w:val="24"/>
          <w:lang w:val="es-419"/>
        </w:rPr>
        <w:t xml:space="preserve"> entidad encargada</w:t>
      </w:r>
      <w:r w:rsidR="000631FD" w:rsidRPr="00B01E01">
        <w:rPr>
          <w:rFonts w:ascii="Georgia" w:hAnsi="Georgia" w:cs="Arial"/>
          <w:szCs w:val="24"/>
          <w:lang w:val="es-419"/>
        </w:rPr>
        <w:t xml:space="preserve"> de responder el derecho de petición impetrado el </w:t>
      </w:r>
      <w:r w:rsidR="00176C72" w:rsidRPr="00B01E01">
        <w:rPr>
          <w:rFonts w:ascii="Georgia" w:hAnsi="Georgia" w:cs="Arial"/>
          <w:szCs w:val="24"/>
          <w:lang w:val="es-419"/>
        </w:rPr>
        <w:t>04</w:t>
      </w:r>
      <w:r w:rsidR="000631FD" w:rsidRPr="00B01E01">
        <w:rPr>
          <w:rFonts w:ascii="Georgia" w:hAnsi="Georgia" w:cs="Arial"/>
          <w:szCs w:val="24"/>
          <w:lang w:val="es-419"/>
        </w:rPr>
        <w:t>-0</w:t>
      </w:r>
      <w:r w:rsidR="00176C72" w:rsidRPr="00B01E01">
        <w:rPr>
          <w:rFonts w:ascii="Georgia" w:hAnsi="Georgia" w:cs="Arial"/>
          <w:szCs w:val="24"/>
          <w:lang w:val="es-419"/>
        </w:rPr>
        <w:t>3</w:t>
      </w:r>
      <w:r w:rsidR="000631FD" w:rsidRPr="00B01E01">
        <w:rPr>
          <w:rFonts w:ascii="Georgia" w:hAnsi="Georgia" w:cs="Arial"/>
          <w:szCs w:val="24"/>
          <w:lang w:val="es-419"/>
        </w:rPr>
        <w:t>-201</w:t>
      </w:r>
      <w:r w:rsidR="00176C72" w:rsidRPr="00B01E01">
        <w:rPr>
          <w:rFonts w:ascii="Georgia" w:hAnsi="Georgia" w:cs="Arial"/>
          <w:szCs w:val="24"/>
          <w:lang w:val="es-419"/>
        </w:rPr>
        <w:t>9</w:t>
      </w:r>
      <w:r w:rsidR="000631FD" w:rsidRPr="00B01E01">
        <w:rPr>
          <w:rFonts w:ascii="Georgia" w:hAnsi="Georgia" w:cs="Arial"/>
          <w:szCs w:val="24"/>
          <w:lang w:val="es-419"/>
        </w:rPr>
        <w:t xml:space="preserve">  </w:t>
      </w:r>
      <w:r w:rsidR="00B06F92" w:rsidRPr="00B01E01">
        <w:rPr>
          <w:rFonts w:ascii="Georgia" w:hAnsi="Georgia"/>
          <w:szCs w:val="24"/>
          <w:lang w:val="es-419"/>
        </w:rPr>
        <w:t xml:space="preserve"> (Folios </w:t>
      </w:r>
      <w:r w:rsidR="00176C72" w:rsidRPr="00B01E01">
        <w:rPr>
          <w:rFonts w:ascii="Georgia" w:hAnsi="Georgia"/>
          <w:szCs w:val="24"/>
          <w:lang w:val="es-419"/>
        </w:rPr>
        <w:t>4 a 5</w:t>
      </w:r>
      <w:r w:rsidR="00B06F92" w:rsidRPr="00B01E01">
        <w:rPr>
          <w:rFonts w:ascii="Georgia" w:hAnsi="Georgia"/>
          <w:szCs w:val="24"/>
          <w:lang w:val="es-419"/>
        </w:rPr>
        <w:t>, ib.).</w:t>
      </w:r>
    </w:p>
    <w:p w:rsidR="002E2835" w:rsidRPr="00B01E01" w:rsidRDefault="002E2835" w:rsidP="00B01E01">
      <w:pPr>
        <w:pStyle w:val="Sinespaciado"/>
        <w:spacing w:line="288" w:lineRule="auto"/>
        <w:jc w:val="both"/>
        <w:rPr>
          <w:rFonts w:ascii="Georgia" w:hAnsi="Georgia" w:cs="Arial"/>
          <w:spacing w:val="-3"/>
          <w:szCs w:val="24"/>
          <w:lang w:val="es-419"/>
        </w:rPr>
      </w:pPr>
    </w:p>
    <w:p w:rsidR="00752B0D" w:rsidRPr="00B01E01" w:rsidRDefault="00710F84" w:rsidP="00B01E01">
      <w:pPr>
        <w:pStyle w:val="Textoindependiente"/>
        <w:numPr>
          <w:ilvl w:val="2"/>
          <w:numId w:val="41"/>
        </w:numPr>
        <w:tabs>
          <w:tab w:val="clear" w:pos="0"/>
          <w:tab w:val="clear" w:pos="708"/>
          <w:tab w:val="left" w:pos="993"/>
        </w:tabs>
        <w:suppressAutoHyphens w:val="0"/>
        <w:overflowPunct/>
        <w:autoSpaceDE/>
        <w:adjustRightInd/>
        <w:spacing w:line="288" w:lineRule="auto"/>
        <w:textAlignment w:val="auto"/>
        <w:rPr>
          <w:rFonts w:ascii="Georgia" w:hAnsi="Georgia"/>
          <w:smallCaps/>
          <w:szCs w:val="24"/>
          <w:lang w:val="es-419"/>
        </w:rPr>
      </w:pPr>
      <w:r w:rsidRPr="00B01E01">
        <w:rPr>
          <w:rFonts w:ascii="Georgia" w:hAnsi="Georgia"/>
          <w:smallCaps/>
          <w:szCs w:val="24"/>
          <w:lang w:val="es-419"/>
        </w:rPr>
        <w:t xml:space="preserve">La </w:t>
      </w:r>
      <w:r w:rsidR="002E2835" w:rsidRPr="00B01E01">
        <w:rPr>
          <w:rFonts w:ascii="Georgia" w:hAnsi="Georgia"/>
          <w:smallCaps/>
          <w:szCs w:val="24"/>
          <w:lang w:val="es-419"/>
        </w:rPr>
        <w:t xml:space="preserve">subsidiariedad </w:t>
      </w:r>
      <w:r w:rsidRPr="00B01E01">
        <w:rPr>
          <w:rFonts w:ascii="Georgia" w:hAnsi="Georgia"/>
          <w:smallCaps/>
          <w:szCs w:val="24"/>
          <w:lang w:val="es-419"/>
        </w:rPr>
        <w:t xml:space="preserve">y </w:t>
      </w:r>
      <w:r w:rsidR="00752B0D" w:rsidRPr="00B01E01">
        <w:rPr>
          <w:rFonts w:ascii="Georgia" w:hAnsi="Georgia"/>
          <w:smallCaps/>
          <w:szCs w:val="24"/>
          <w:lang w:val="es-419"/>
        </w:rPr>
        <w:t>la protección del acceso a la información</w:t>
      </w:r>
      <w:r w:rsidR="00B82939" w:rsidRPr="00B01E01">
        <w:rPr>
          <w:rFonts w:ascii="Georgia" w:hAnsi="Georgia"/>
          <w:smallCaps/>
          <w:szCs w:val="24"/>
          <w:lang w:val="es-419"/>
        </w:rPr>
        <w:t xml:space="preserve"> y documentos públicos</w:t>
      </w:r>
    </w:p>
    <w:p w:rsidR="00752B0D" w:rsidRPr="00B01E01" w:rsidRDefault="00752B0D" w:rsidP="00B01E01">
      <w:pPr>
        <w:pStyle w:val="Textoindependiente"/>
        <w:tabs>
          <w:tab w:val="clear" w:pos="0"/>
        </w:tabs>
        <w:spacing w:line="288" w:lineRule="auto"/>
        <w:jc w:val="left"/>
        <w:rPr>
          <w:rFonts w:ascii="Georgia" w:hAnsi="Georgia" w:cs="Arial"/>
          <w:szCs w:val="24"/>
          <w:lang w:val="es-419"/>
        </w:rPr>
      </w:pPr>
    </w:p>
    <w:p w:rsidR="000350BA" w:rsidRPr="00B01E01" w:rsidRDefault="000350BA" w:rsidP="00B01E01">
      <w:pPr>
        <w:widowControl/>
        <w:spacing w:line="288" w:lineRule="auto"/>
        <w:jc w:val="both"/>
        <w:rPr>
          <w:rFonts w:ascii="Georgia" w:hAnsi="Georgia" w:cs="Arial"/>
          <w:i/>
          <w:sz w:val="22"/>
          <w:szCs w:val="22"/>
          <w:lang w:val="es-419"/>
        </w:rPr>
      </w:pPr>
      <w:r w:rsidRPr="00B01E01">
        <w:rPr>
          <w:rFonts w:ascii="Georgia" w:hAnsi="Georgia" w:cs="Arial"/>
          <w:spacing w:val="-3"/>
          <w:lang w:val="es-419"/>
        </w:rPr>
        <w:t>El artículo 86</w:t>
      </w:r>
      <w:r w:rsidR="00710F84" w:rsidRPr="00B01E01">
        <w:rPr>
          <w:rFonts w:ascii="Georgia" w:hAnsi="Georgia" w:cs="Arial"/>
          <w:spacing w:val="-3"/>
          <w:lang w:val="es-419"/>
        </w:rPr>
        <w:t xml:space="preserve">, </w:t>
      </w:r>
      <w:r w:rsidRPr="00B01E01">
        <w:rPr>
          <w:rFonts w:ascii="Georgia" w:hAnsi="Georgia" w:cs="Arial"/>
          <w:spacing w:val="-3"/>
          <w:lang w:val="es-419"/>
        </w:rPr>
        <w:t xml:space="preserve">de la </w:t>
      </w:r>
      <w:r w:rsidR="00710F84" w:rsidRPr="00B01E01">
        <w:rPr>
          <w:rFonts w:ascii="Georgia" w:hAnsi="Georgia" w:cs="Arial"/>
          <w:spacing w:val="-3"/>
          <w:lang w:val="es-419"/>
        </w:rPr>
        <w:t>CP</w:t>
      </w:r>
      <w:r w:rsidRPr="00B01E01">
        <w:rPr>
          <w:rFonts w:ascii="Georgia" w:hAnsi="Georgia" w:cs="Arial"/>
          <w:spacing w:val="-3"/>
          <w:lang w:val="es-419"/>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B01E01">
        <w:rPr>
          <w:rFonts w:ascii="Georgia" w:hAnsi="Georgia" w:cs="Arial"/>
          <w:i/>
          <w:spacing w:val="-3"/>
          <w:sz w:val="22"/>
          <w:szCs w:val="22"/>
          <w:lang w:val="es-419"/>
        </w:rPr>
        <w:t xml:space="preserve">"(...) solo procederá cuando el afectado no disponga de otro medio de defensa judicial, salvo que aquella se utilice como </w:t>
      </w:r>
      <w:r w:rsidRPr="00B01E01">
        <w:rPr>
          <w:rFonts w:ascii="Georgia" w:hAnsi="Georgia" w:cs="Arial"/>
          <w:i/>
          <w:sz w:val="22"/>
          <w:szCs w:val="22"/>
          <w:lang w:val="es-419"/>
        </w:rPr>
        <w:t>mecanismo transitorio para evitar un perjuicio irremediable.".</w:t>
      </w:r>
    </w:p>
    <w:p w:rsidR="00752B0D" w:rsidRPr="00B01E01" w:rsidRDefault="00752B0D" w:rsidP="00B01E01">
      <w:pPr>
        <w:pStyle w:val="Textoindependiente"/>
        <w:tabs>
          <w:tab w:val="clear" w:pos="0"/>
        </w:tabs>
        <w:spacing w:line="288" w:lineRule="auto"/>
        <w:rPr>
          <w:rFonts w:ascii="Georgia" w:hAnsi="Georgia" w:cs="Arial"/>
          <w:szCs w:val="22"/>
          <w:u w:val="single"/>
          <w:lang w:val="es-419"/>
        </w:rPr>
      </w:pPr>
    </w:p>
    <w:p w:rsidR="008D470D" w:rsidRPr="00B01E01" w:rsidRDefault="008D470D" w:rsidP="00B01E01">
      <w:pPr>
        <w:widowControl/>
        <w:spacing w:line="288" w:lineRule="auto"/>
        <w:jc w:val="both"/>
        <w:rPr>
          <w:rFonts w:ascii="Georgia" w:hAnsi="Georgia" w:cs="Arial"/>
          <w:lang w:val="es-419"/>
        </w:rPr>
      </w:pPr>
      <w:r w:rsidRPr="00B01E01">
        <w:rPr>
          <w:rFonts w:ascii="Georgia" w:hAnsi="Georgia" w:cs="Arial"/>
          <w:spacing w:val="-3"/>
          <w:lang w:val="es-419"/>
        </w:rPr>
        <w:t xml:space="preserve">Nuestra CC tiene establecido que: (i) La subsidiariedad o residualidad, y (ii) La inmediatez, son exigencias generales de procedencia de la acción, condiciones indispensables para el conocimiento de fondo de las solicitudes de protección de derechos </w:t>
      </w:r>
      <w:r w:rsidRPr="00B01E01">
        <w:rPr>
          <w:rFonts w:ascii="Georgia" w:hAnsi="Georgia" w:cs="Arial"/>
          <w:lang w:val="es-419"/>
        </w:rPr>
        <w:t>fundamentales</w:t>
      </w:r>
      <w:r w:rsidRPr="00B01E01">
        <w:rPr>
          <w:rStyle w:val="Refdenotaalpie"/>
          <w:rFonts w:ascii="Georgia" w:hAnsi="Georgia" w:cs="Arial"/>
          <w:i/>
          <w:sz w:val="22"/>
          <w:szCs w:val="22"/>
          <w:lang w:val="es-419"/>
        </w:rPr>
        <w:footnoteReference w:id="1"/>
      </w:r>
      <w:r w:rsidRPr="00B01E01">
        <w:rPr>
          <w:rFonts w:ascii="Georgia" w:hAnsi="Georgia" w:cs="Arial"/>
          <w:lang w:val="es-419"/>
        </w:rPr>
        <w:t>.</w:t>
      </w:r>
    </w:p>
    <w:p w:rsidR="008D470D" w:rsidRPr="00B01E01" w:rsidRDefault="008D470D" w:rsidP="00B01E01">
      <w:pPr>
        <w:widowControl/>
        <w:spacing w:line="288" w:lineRule="auto"/>
        <w:jc w:val="both"/>
        <w:rPr>
          <w:rFonts w:ascii="Georgia" w:hAnsi="Georgia" w:cs="Arial"/>
          <w:lang w:val="es-419"/>
        </w:rPr>
      </w:pPr>
    </w:p>
    <w:p w:rsidR="008D470D" w:rsidRPr="00B01E01" w:rsidRDefault="008D470D" w:rsidP="00B01E01">
      <w:pPr>
        <w:widowControl/>
        <w:spacing w:line="288" w:lineRule="auto"/>
        <w:jc w:val="both"/>
        <w:rPr>
          <w:rFonts w:ascii="Georgia" w:hAnsi="Georgia" w:cs="Arial"/>
          <w:spacing w:val="-3"/>
          <w:lang w:val="es-419"/>
        </w:rPr>
      </w:pPr>
      <w:r w:rsidRPr="00B01E01">
        <w:rPr>
          <w:rFonts w:ascii="Georgia" w:hAnsi="Georgia" w:cs="Arial"/>
          <w:spacing w:val="-3"/>
          <w:lang w:val="es-419"/>
        </w:rPr>
        <w:t xml:space="preserve">Este último </w:t>
      </w:r>
      <w:r w:rsidR="00B41523" w:rsidRPr="00B01E01">
        <w:rPr>
          <w:rFonts w:ascii="Georgia" w:hAnsi="Georgia" w:cs="Arial"/>
          <w:spacing w:val="-3"/>
          <w:lang w:val="es-419"/>
        </w:rPr>
        <w:t>presupuesto</w:t>
      </w:r>
      <w:r w:rsidRPr="00B01E01">
        <w:rPr>
          <w:rFonts w:ascii="Georgia" w:hAnsi="Georgia" w:cs="Arial"/>
          <w:spacing w:val="-3"/>
          <w:lang w:val="es-419"/>
        </w:rPr>
        <w:t xml:space="preserve"> no merece reparo, pues la acción se formuló dentro de los seis (6) meses siguientes a los hechos </w:t>
      </w:r>
      <w:r w:rsidR="0008537A" w:rsidRPr="00B01E01">
        <w:rPr>
          <w:rFonts w:ascii="Georgia" w:hAnsi="Georgia" w:cs="Arial"/>
          <w:spacing w:val="-3"/>
          <w:lang w:val="es-419"/>
        </w:rPr>
        <w:t>violatorios</w:t>
      </w:r>
      <w:r w:rsidRPr="00B01E01">
        <w:rPr>
          <w:rFonts w:ascii="Georgia" w:hAnsi="Georgia" w:cs="Arial"/>
          <w:spacing w:val="-3"/>
          <w:lang w:val="es-419"/>
        </w:rPr>
        <w:t>, que es el plazo general, fijado por la doctrina constitucional</w:t>
      </w:r>
      <w:r w:rsidRPr="00B01E01">
        <w:rPr>
          <w:rStyle w:val="Refdenotaalpie"/>
          <w:rFonts w:ascii="Georgia" w:hAnsi="Georgia" w:cs="Arial"/>
          <w:i/>
          <w:sz w:val="22"/>
          <w:szCs w:val="22"/>
          <w:lang w:val="es-419"/>
        </w:rPr>
        <w:footnoteReference w:id="2"/>
      </w:r>
      <w:r w:rsidRPr="00B01E01">
        <w:rPr>
          <w:rFonts w:ascii="Georgia" w:hAnsi="Georgia" w:cs="Arial"/>
          <w:spacing w:val="-3"/>
          <w:lang w:val="es-419"/>
        </w:rPr>
        <w:t>; nótese que el acto admini</w:t>
      </w:r>
      <w:r w:rsidR="0008537A" w:rsidRPr="00B01E01">
        <w:rPr>
          <w:rFonts w:ascii="Georgia" w:hAnsi="Georgia" w:cs="Arial"/>
          <w:spacing w:val="-3"/>
          <w:lang w:val="es-419"/>
        </w:rPr>
        <w:t>s</w:t>
      </w:r>
      <w:r w:rsidRPr="00B01E01">
        <w:rPr>
          <w:rFonts w:ascii="Georgia" w:hAnsi="Georgia" w:cs="Arial"/>
          <w:spacing w:val="-3"/>
          <w:lang w:val="es-419"/>
        </w:rPr>
        <w:t xml:space="preserve">trativo </w:t>
      </w:r>
      <w:r w:rsidR="00B41523" w:rsidRPr="00B01E01">
        <w:rPr>
          <w:rFonts w:ascii="Georgia" w:hAnsi="Georgia" w:cs="Arial"/>
          <w:spacing w:val="-3"/>
          <w:lang w:val="es-419"/>
        </w:rPr>
        <w:t xml:space="preserve">expedido el </w:t>
      </w:r>
      <w:r w:rsidR="0008537A" w:rsidRPr="00B01E01">
        <w:rPr>
          <w:rFonts w:ascii="Georgia" w:hAnsi="Georgia" w:cs="Arial"/>
          <w:spacing w:val="-3"/>
          <w:lang w:val="es-419"/>
        </w:rPr>
        <w:t xml:space="preserve">07-03-2019 </w:t>
      </w:r>
      <w:r w:rsidRPr="00B01E01">
        <w:rPr>
          <w:rFonts w:ascii="Georgia" w:hAnsi="Georgia" w:cs="Arial"/>
          <w:spacing w:val="-3"/>
          <w:lang w:val="es-419"/>
        </w:rPr>
        <w:t>fue notificado a</w:t>
      </w:r>
      <w:r w:rsidR="0008537A" w:rsidRPr="00B01E01">
        <w:rPr>
          <w:rFonts w:ascii="Georgia" w:hAnsi="Georgia" w:cs="Arial"/>
          <w:spacing w:val="-3"/>
          <w:lang w:val="es-419"/>
        </w:rPr>
        <w:t xml:space="preserve"> la accionante</w:t>
      </w:r>
      <w:r w:rsidRPr="00B01E01">
        <w:rPr>
          <w:rFonts w:ascii="Georgia" w:hAnsi="Georgia" w:cs="Arial"/>
          <w:spacing w:val="-3"/>
          <w:lang w:val="es-419"/>
        </w:rPr>
        <w:t xml:space="preserve"> el </w:t>
      </w:r>
      <w:r w:rsidR="0008537A" w:rsidRPr="00B01E01">
        <w:rPr>
          <w:rFonts w:ascii="Georgia" w:hAnsi="Georgia" w:cs="Arial"/>
          <w:spacing w:val="-3"/>
          <w:lang w:val="es-419"/>
        </w:rPr>
        <w:t>18-03-2019</w:t>
      </w:r>
      <w:r w:rsidRPr="00B01E01">
        <w:rPr>
          <w:rFonts w:ascii="Georgia" w:hAnsi="Georgia" w:cs="Arial"/>
          <w:spacing w:val="-3"/>
          <w:lang w:val="es-419"/>
        </w:rPr>
        <w:t xml:space="preserve"> (Folio</w:t>
      </w:r>
      <w:r w:rsidR="0008537A" w:rsidRPr="00B01E01">
        <w:rPr>
          <w:rFonts w:ascii="Georgia" w:hAnsi="Georgia" w:cs="Arial"/>
          <w:spacing w:val="-3"/>
          <w:lang w:val="es-419"/>
        </w:rPr>
        <w:t xml:space="preserve"> 12</w:t>
      </w:r>
      <w:r w:rsidRPr="00B01E01">
        <w:rPr>
          <w:rFonts w:ascii="Georgia" w:hAnsi="Georgia" w:cs="Arial"/>
          <w:spacing w:val="-3"/>
          <w:lang w:val="es-419"/>
        </w:rPr>
        <w:t>, cuaderno principal) mientras que el amparo</w:t>
      </w:r>
      <w:r w:rsidR="0008537A" w:rsidRPr="00B01E01">
        <w:rPr>
          <w:rFonts w:ascii="Georgia" w:hAnsi="Georgia" w:cs="Arial"/>
          <w:spacing w:val="-3"/>
          <w:lang w:val="es-419"/>
        </w:rPr>
        <w:t xml:space="preserve"> </w:t>
      </w:r>
      <w:r w:rsidRPr="00B01E01">
        <w:rPr>
          <w:rFonts w:ascii="Georgia" w:hAnsi="Georgia" w:cs="Arial"/>
          <w:spacing w:val="-3"/>
          <w:lang w:val="es-419"/>
        </w:rPr>
        <w:t xml:space="preserve">se presentó el </w:t>
      </w:r>
      <w:r w:rsidR="0008537A" w:rsidRPr="00B01E01">
        <w:rPr>
          <w:rFonts w:ascii="Georgia" w:hAnsi="Georgia" w:cs="Arial"/>
          <w:spacing w:val="-3"/>
          <w:lang w:val="es-419"/>
        </w:rPr>
        <w:t>21-</w:t>
      </w:r>
      <w:r w:rsidRPr="00B01E01">
        <w:rPr>
          <w:rFonts w:ascii="Georgia" w:hAnsi="Georgia" w:cs="Arial"/>
          <w:spacing w:val="-3"/>
          <w:lang w:val="es-419"/>
        </w:rPr>
        <w:t xml:space="preserve">03-2019 (Folio </w:t>
      </w:r>
      <w:r w:rsidR="0008537A" w:rsidRPr="00B01E01">
        <w:rPr>
          <w:rFonts w:ascii="Georgia" w:hAnsi="Georgia" w:cs="Arial"/>
          <w:spacing w:val="-3"/>
          <w:lang w:val="es-419"/>
        </w:rPr>
        <w:t>1</w:t>
      </w:r>
      <w:r w:rsidRPr="00B01E01">
        <w:rPr>
          <w:rFonts w:ascii="Georgia" w:hAnsi="Georgia" w:cs="Arial"/>
          <w:spacing w:val="-3"/>
          <w:lang w:val="es-419"/>
        </w:rPr>
        <w:t>, ibidem).</w:t>
      </w:r>
    </w:p>
    <w:p w:rsidR="008D470D" w:rsidRPr="00B01E01" w:rsidRDefault="008D470D" w:rsidP="00B01E01">
      <w:pPr>
        <w:widowControl/>
        <w:spacing w:line="288" w:lineRule="auto"/>
        <w:jc w:val="both"/>
        <w:rPr>
          <w:rFonts w:ascii="Georgia" w:hAnsi="Georgia" w:cs="Arial"/>
          <w:spacing w:val="-3"/>
          <w:lang w:val="es-419"/>
        </w:rPr>
      </w:pPr>
    </w:p>
    <w:p w:rsidR="002437B1" w:rsidRPr="00B01E01" w:rsidRDefault="002437B1" w:rsidP="00B01E01">
      <w:pPr>
        <w:widowControl/>
        <w:spacing w:line="288" w:lineRule="auto"/>
        <w:jc w:val="both"/>
        <w:rPr>
          <w:rFonts w:ascii="Georgia" w:hAnsi="Georgia" w:cs="Arial"/>
          <w:spacing w:val="-3"/>
          <w:lang w:val="es-419"/>
        </w:rPr>
      </w:pPr>
      <w:r w:rsidRPr="00B01E01">
        <w:rPr>
          <w:rFonts w:ascii="Georgia" w:hAnsi="Georgia" w:cs="Arial"/>
          <w:spacing w:val="-3"/>
          <w:lang w:val="es-419"/>
        </w:rPr>
        <w:t>En cuanto a la subsidiariedad debe indicarse que la acción es viable siempre que el afectado carezca de otro medio de defensa judicial, de tal manera que no se sustituyan los</w:t>
      </w:r>
      <w:r w:rsidR="00E33E1E" w:rsidRPr="00B01E01">
        <w:rPr>
          <w:rFonts w:ascii="Georgia" w:hAnsi="Georgia" w:cs="Arial"/>
          <w:spacing w:val="-3"/>
          <w:lang w:val="es-419"/>
        </w:rPr>
        <w:t xml:space="preserve"> </w:t>
      </w:r>
      <w:r w:rsidRPr="00B01E01">
        <w:rPr>
          <w:rFonts w:ascii="Georgia" w:hAnsi="Georgia" w:cs="Arial"/>
          <w:spacing w:val="-3"/>
          <w:lang w:val="es-419"/>
        </w:rPr>
        <w:t>mecanismos legales ordinarios</w:t>
      </w:r>
      <w:r w:rsidR="00E33E1E" w:rsidRPr="00B01E01">
        <w:rPr>
          <w:rStyle w:val="Refdenotaalpie"/>
          <w:rFonts w:ascii="Georgia" w:hAnsi="Georgia" w:cs="Arial"/>
          <w:i/>
          <w:sz w:val="22"/>
          <w:szCs w:val="22"/>
          <w:lang w:val="es-419"/>
        </w:rPr>
        <w:footnoteReference w:id="3"/>
      </w:r>
      <w:r w:rsidRPr="00B01E01">
        <w:rPr>
          <w:rFonts w:ascii="Georgia" w:hAnsi="Georgia" w:cs="Arial"/>
          <w:spacing w:val="-3"/>
          <w:lang w:val="es-419"/>
        </w:rPr>
        <w:t>. Esta regla tiene dos (2) excepciones que guardan en</w:t>
      </w:r>
      <w:r w:rsidR="00E33E1E" w:rsidRPr="00B01E01">
        <w:rPr>
          <w:rFonts w:ascii="Georgia" w:hAnsi="Georgia" w:cs="Arial"/>
          <w:spacing w:val="-3"/>
          <w:lang w:val="es-419"/>
        </w:rPr>
        <w:t xml:space="preserve"> </w:t>
      </w:r>
      <w:r w:rsidRPr="00B01E01">
        <w:rPr>
          <w:rFonts w:ascii="Georgia" w:hAnsi="Georgia" w:cs="Arial"/>
          <w:spacing w:val="-3"/>
          <w:lang w:val="es-419"/>
        </w:rPr>
        <w:t>común la existencia del medio judicial ordinario</w:t>
      </w:r>
      <w:r w:rsidR="00B77ABB" w:rsidRPr="00B01E01">
        <w:rPr>
          <w:rStyle w:val="Refdenotaalpie"/>
          <w:rFonts w:ascii="Georgia" w:hAnsi="Georgia" w:cs="Arial"/>
          <w:i/>
          <w:sz w:val="22"/>
          <w:szCs w:val="22"/>
          <w:lang w:val="es-419"/>
        </w:rPr>
        <w:footnoteReference w:id="4"/>
      </w:r>
      <w:r w:rsidRPr="00B01E01">
        <w:rPr>
          <w:rFonts w:ascii="Georgia" w:hAnsi="Georgia" w:cs="Arial"/>
          <w:spacing w:val="-3"/>
          <w:lang w:val="es-419"/>
        </w:rPr>
        <w:t xml:space="preserve"> (i) la tutela transitoria para evitar un</w:t>
      </w:r>
      <w:r w:rsidR="00E33E1E" w:rsidRPr="00B01E01">
        <w:rPr>
          <w:rFonts w:ascii="Georgia" w:hAnsi="Georgia" w:cs="Arial"/>
          <w:spacing w:val="-3"/>
          <w:lang w:val="es-419"/>
        </w:rPr>
        <w:t xml:space="preserve"> </w:t>
      </w:r>
      <w:r w:rsidRPr="00B01E01">
        <w:rPr>
          <w:rFonts w:ascii="Georgia" w:hAnsi="Georgia" w:cs="Arial"/>
          <w:spacing w:val="-3"/>
          <w:lang w:val="es-419"/>
        </w:rPr>
        <w:lastRenderedPageBreak/>
        <w:t>perjuicio irremediable; y</w:t>
      </w:r>
      <w:r w:rsidR="00E414A2" w:rsidRPr="00B01E01">
        <w:rPr>
          <w:rFonts w:ascii="Georgia" w:hAnsi="Georgia" w:cs="Arial"/>
          <w:spacing w:val="-3"/>
          <w:lang w:val="es-419"/>
        </w:rPr>
        <w:t xml:space="preserve"> </w:t>
      </w:r>
      <w:r w:rsidRPr="00B01E01">
        <w:rPr>
          <w:rFonts w:ascii="Georgia" w:hAnsi="Georgia" w:cs="Arial"/>
          <w:spacing w:val="-3"/>
          <w:lang w:val="es-419"/>
        </w:rPr>
        <w:t>(ii) La ineficacia de la acción ordinaria para salvaguardar los</w:t>
      </w:r>
      <w:r w:rsidR="00E33E1E" w:rsidRPr="00B01E01">
        <w:rPr>
          <w:rFonts w:ascii="Georgia" w:hAnsi="Georgia" w:cs="Arial"/>
          <w:spacing w:val="-3"/>
          <w:lang w:val="es-419"/>
        </w:rPr>
        <w:t xml:space="preserve"> </w:t>
      </w:r>
      <w:r w:rsidRPr="00B01E01">
        <w:rPr>
          <w:rFonts w:ascii="Georgia" w:hAnsi="Georgia" w:cs="Arial"/>
          <w:spacing w:val="-3"/>
          <w:lang w:val="es-419"/>
        </w:rPr>
        <w:t>derechos fundamentales del accionante.</w:t>
      </w:r>
    </w:p>
    <w:p w:rsidR="00696147" w:rsidRPr="00B01E01" w:rsidRDefault="00696147" w:rsidP="00B01E01">
      <w:pPr>
        <w:widowControl/>
        <w:spacing w:line="288" w:lineRule="auto"/>
        <w:jc w:val="both"/>
        <w:rPr>
          <w:rFonts w:ascii="Georgia" w:hAnsi="Georgia" w:cs="Arial"/>
          <w:spacing w:val="-3"/>
          <w:lang w:val="es-419"/>
        </w:rPr>
      </w:pPr>
    </w:p>
    <w:p w:rsidR="002437B1" w:rsidRPr="00B01E01" w:rsidRDefault="00702EF2" w:rsidP="00B01E01">
      <w:pPr>
        <w:widowControl/>
        <w:spacing w:line="288" w:lineRule="auto"/>
        <w:jc w:val="both"/>
        <w:rPr>
          <w:rFonts w:ascii="Georgia" w:hAnsi="Georgia" w:cs="Arial"/>
          <w:spacing w:val="-3"/>
          <w:lang w:val="es-419"/>
        </w:rPr>
      </w:pPr>
      <w:r w:rsidRPr="00B01E01">
        <w:rPr>
          <w:rFonts w:ascii="Georgia" w:hAnsi="Georgia" w:cs="Times New Roman"/>
          <w:lang w:val="es-419"/>
        </w:rPr>
        <w:t xml:space="preserve">Conforme a lo sostenido por la Corte, deben agotarse los recursos ordinarios de defensa, toda vez que la tutela no fue creada ni destinada a suplir los procedimientos ordinarios ni para enmendar los errores o descuidos de las partes en el proceso; dentro del mismo ámbito la </w:t>
      </w:r>
      <w:r w:rsidRPr="00B01E01">
        <w:rPr>
          <w:rFonts w:ascii="Georgia" w:hAnsi="Georgia" w:cs="Times New Roman"/>
          <w:iCs/>
          <w:lang w:val="es-419"/>
        </w:rPr>
        <w:t>doctrina constitucional</w:t>
      </w:r>
      <w:r w:rsidRPr="00B01E01">
        <w:rPr>
          <w:rFonts w:ascii="Georgia" w:hAnsi="Georgia" w:cs="Times New Roman"/>
          <w:i/>
          <w:iCs/>
          <w:lang w:val="es-419"/>
        </w:rPr>
        <w:t xml:space="preserve"> </w:t>
      </w:r>
      <w:r w:rsidRPr="00B01E01">
        <w:rPr>
          <w:rFonts w:ascii="Georgia" w:hAnsi="Georgia" w:cs="Times New Roman"/>
          <w:iCs/>
          <w:lang w:val="es-419"/>
        </w:rPr>
        <w:t>enseña</w:t>
      </w:r>
      <w:r w:rsidRPr="00B01E01">
        <w:rPr>
          <w:rFonts w:ascii="Georgia" w:hAnsi="Georgia" w:cs="Times New Roman"/>
          <w:i/>
          <w:iCs/>
          <w:lang w:val="es-419"/>
        </w:rPr>
        <w:t xml:space="preserve">: </w:t>
      </w:r>
      <w:r w:rsidRPr="00B01E01">
        <w:rPr>
          <w:rFonts w:ascii="Georgia" w:hAnsi="Georgia" w:cs="Times New Roman"/>
          <w:i/>
          <w:iCs/>
          <w:sz w:val="22"/>
          <w:szCs w:val="22"/>
          <w:lang w:val="es-419"/>
        </w:rPr>
        <w:t>“(.</w:t>
      </w:r>
      <w:r w:rsidRPr="00B01E01">
        <w:rPr>
          <w:rFonts w:ascii="Georgia" w:hAnsi="Georgia" w:cs="Times New Roman"/>
          <w:bCs/>
          <w:i/>
          <w:iCs/>
          <w:sz w:val="22"/>
          <w:szCs w:val="22"/>
          <w:lang w:val="es-419"/>
        </w:rPr>
        <w:t xml:space="preserve">..) la Corte ha sostenido, de manera reiterada, que la acción de tutela es improcedente cuando con ella se pretenden sustituir mecanismos ordinarios de defensa que, por negligencia, descuido o incuria de quien solicita el amparo constitucional, no fueron </w:t>
      </w:r>
      <w:r w:rsidRPr="00B01E01">
        <w:rPr>
          <w:rFonts w:ascii="Georgia" w:hAnsi="Georgia" w:cs="Times New Roman"/>
          <w:bCs/>
          <w:i/>
          <w:sz w:val="22"/>
          <w:szCs w:val="22"/>
          <w:lang w:val="es-419"/>
        </w:rPr>
        <w:t>utilizados a su debido tiempo”</w:t>
      </w:r>
      <w:r w:rsidRPr="00B01E01">
        <w:rPr>
          <w:rStyle w:val="Refdenotaalpie"/>
          <w:rFonts w:ascii="Georgia" w:hAnsi="Georgia" w:cs="Arial"/>
          <w:i/>
          <w:sz w:val="22"/>
          <w:szCs w:val="22"/>
          <w:lang w:val="es-419"/>
        </w:rPr>
        <w:t xml:space="preserve"> </w:t>
      </w:r>
      <w:r w:rsidRPr="00B01E01">
        <w:rPr>
          <w:rStyle w:val="Refdenotaalpie"/>
          <w:rFonts w:ascii="Georgia" w:hAnsi="Georgia" w:cs="Arial"/>
          <w:i/>
          <w:sz w:val="22"/>
          <w:szCs w:val="22"/>
          <w:lang w:val="es-419"/>
        </w:rPr>
        <w:footnoteReference w:id="5"/>
      </w:r>
      <w:r w:rsidRPr="00B01E01">
        <w:rPr>
          <w:rFonts w:ascii="Georgia" w:hAnsi="Georgia" w:cs="Arial"/>
          <w:sz w:val="22"/>
          <w:szCs w:val="22"/>
          <w:lang w:val="es-419"/>
        </w:rPr>
        <w:t>.</w:t>
      </w:r>
      <w:r w:rsidRPr="00B01E01">
        <w:rPr>
          <w:rFonts w:ascii="Georgia" w:hAnsi="Georgia" w:cs="Times New Roman"/>
          <w:bCs/>
          <w:lang w:val="es-419"/>
        </w:rPr>
        <w:t xml:space="preserve"> </w:t>
      </w:r>
      <w:r w:rsidRPr="00B01E01">
        <w:rPr>
          <w:rFonts w:ascii="Georgia" w:hAnsi="Georgia" w:cs="Times New Roman"/>
          <w:lang w:val="es-419"/>
        </w:rPr>
        <w:t>Criterio reiterado en su</w:t>
      </w:r>
      <w:r w:rsidR="004511F9" w:rsidRPr="00B01E01">
        <w:rPr>
          <w:rFonts w:ascii="Georgia" w:hAnsi="Georgia" w:cs="Times New Roman"/>
          <w:lang w:val="es-419"/>
        </w:rPr>
        <w:t xml:space="preserve"> </w:t>
      </w:r>
      <w:r w:rsidRPr="00B01E01">
        <w:rPr>
          <w:rFonts w:ascii="Georgia" w:hAnsi="Georgia" w:cs="Times New Roman"/>
          <w:lang w:val="es-419"/>
        </w:rPr>
        <w:t>abundante jurisprudencia</w:t>
      </w:r>
      <w:r w:rsidR="004511F9" w:rsidRPr="00B01E01">
        <w:rPr>
          <w:rStyle w:val="Refdenotaalpie"/>
          <w:rFonts w:ascii="Georgia" w:hAnsi="Georgia" w:cs="Arial"/>
          <w:i/>
          <w:sz w:val="22"/>
          <w:szCs w:val="22"/>
          <w:lang w:val="es-419"/>
        </w:rPr>
        <w:footnoteReference w:id="6"/>
      </w:r>
      <w:r w:rsidRPr="00B01E01">
        <w:rPr>
          <w:rFonts w:ascii="Georgia" w:hAnsi="Georgia" w:cs="Times New Roman"/>
          <w:lang w:val="es-419"/>
        </w:rPr>
        <w:t>. También la CSJ se ha referido al tema</w:t>
      </w:r>
      <w:r w:rsidR="004511F9" w:rsidRPr="00B01E01">
        <w:rPr>
          <w:rStyle w:val="Refdenotaalpie"/>
          <w:rFonts w:ascii="Georgia" w:hAnsi="Georgia" w:cs="Arial"/>
          <w:i/>
          <w:sz w:val="22"/>
          <w:szCs w:val="22"/>
          <w:lang w:val="es-419"/>
        </w:rPr>
        <w:footnoteReference w:id="7"/>
      </w:r>
      <w:r w:rsidR="004511F9" w:rsidRPr="00B01E01">
        <w:rPr>
          <w:rFonts w:ascii="Georgia" w:hAnsi="Georgia" w:cs="Times New Roman"/>
          <w:lang w:val="es-419"/>
        </w:rPr>
        <w:t>,</w:t>
      </w:r>
      <w:r w:rsidRPr="00B01E01">
        <w:rPr>
          <w:rFonts w:ascii="Georgia" w:hAnsi="Georgia" w:cs="Times New Roman"/>
          <w:lang w:val="es-419"/>
        </w:rPr>
        <w:t xml:space="preserve"> </w:t>
      </w:r>
      <w:r w:rsidR="004511F9" w:rsidRPr="00B01E01">
        <w:rPr>
          <w:rFonts w:ascii="Georgia" w:hAnsi="Georgia" w:cs="Times New Roman"/>
          <w:lang w:val="es-419"/>
        </w:rPr>
        <w:t>prohija</w:t>
      </w:r>
      <w:r w:rsidRPr="00B01E01">
        <w:rPr>
          <w:rFonts w:ascii="Georgia" w:hAnsi="Georgia" w:cs="Times New Roman"/>
          <w:lang w:val="es-419"/>
        </w:rPr>
        <w:t xml:space="preserve"> la improcedencia de la tutela por aplicación del principio de subsidiariedad.</w:t>
      </w:r>
    </w:p>
    <w:p w:rsidR="002437B1" w:rsidRPr="00B01E01" w:rsidRDefault="002437B1" w:rsidP="00B01E01">
      <w:pPr>
        <w:widowControl/>
        <w:spacing w:line="288" w:lineRule="auto"/>
        <w:jc w:val="both"/>
        <w:rPr>
          <w:rFonts w:ascii="Georgia" w:hAnsi="Georgia" w:cs="Arial"/>
          <w:spacing w:val="-3"/>
          <w:lang w:val="es-419"/>
        </w:rPr>
      </w:pPr>
    </w:p>
    <w:p w:rsidR="00752B0D" w:rsidRPr="00B01E01" w:rsidRDefault="00752B0D" w:rsidP="00B01E01">
      <w:pPr>
        <w:spacing w:line="288" w:lineRule="auto"/>
        <w:ind w:right="51"/>
        <w:jc w:val="both"/>
        <w:rPr>
          <w:rFonts w:ascii="Georgia" w:hAnsi="Georgia" w:cs="Arial"/>
          <w:lang w:val="es-419"/>
        </w:rPr>
      </w:pPr>
      <w:r w:rsidRPr="00B01E01">
        <w:rPr>
          <w:rFonts w:ascii="Georgia" w:hAnsi="Georgia" w:cs="Arial"/>
          <w:lang w:val="es-419"/>
        </w:rPr>
        <w:t>En torno al derecho de petición de información, la CC</w:t>
      </w:r>
      <w:r w:rsidRPr="00B01E01">
        <w:rPr>
          <w:rStyle w:val="Refdenotaalpie"/>
          <w:rFonts w:ascii="Georgia" w:hAnsi="Georgia"/>
          <w:lang w:val="es-419"/>
        </w:rPr>
        <w:footnoteReference w:id="8"/>
      </w:r>
      <w:r w:rsidRPr="00B01E01">
        <w:rPr>
          <w:rFonts w:ascii="Georgia" w:hAnsi="Georgia" w:cs="Arial"/>
          <w:lang w:val="es-419"/>
        </w:rPr>
        <w:t xml:space="preserve">, con fundamento en los artículos 25 y 26 de la Ley 1755, determinó que: </w:t>
      </w:r>
    </w:p>
    <w:p w:rsidR="00752B0D" w:rsidRPr="00B01E01" w:rsidRDefault="00752B0D" w:rsidP="00B01E01">
      <w:pPr>
        <w:spacing w:line="288" w:lineRule="auto"/>
        <w:ind w:right="51"/>
        <w:jc w:val="both"/>
        <w:rPr>
          <w:rFonts w:ascii="Georgia" w:hAnsi="Georgia" w:cs="Arial"/>
          <w:lang w:val="es-419"/>
        </w:rPr>
      </w:pPr>
    </w:p>
    <w:p w:rsidR="00752B0D" w:rsidRPr="00B01E01" w:rsidRDefault="00752B0D" w:rsidP="00B01E01">
      <w:pPr>
        <w:ind w:left="426" w:right="420"/>
        <w:jc w:val="both"/>
        <w:rPr>
          <w:rFonts w:ascii="Georgia" w:hAnsi="Georgia" w:cs="Arial"/>
          <w:sz w:val="22"/>
          <w:lang w:val="es-419"/>
        </w:rPr>
      </w:pPr>
      <w:r w:rsidRPr="00B01E01">
        <w:rPr>
          <w:rFonts w:ascii="Georgia" w:hAnsi="Georgia" w:cs="Arial"/>
          <w:sz w:val="22"/>
          <w:lang w:val="es-419"/>
        </w:rPr>
        <w:t xml:space="preserve">… es cierto que antes del 2015 la jurisprudencia constitucional había sostenido que la acción de tutela era el mecanismo judicial idóneo para solicitar la protección del derecho fundamental de petición, ante la inexistencia de otro procedimiento ordinario. </w:t>
      </w:r>
      <w:r w:rsidRPr="00B01E01">
        <w:rPr>
          <w:rFonts w:ascii="Georgia" w:hAnsi="Georgia" w:cs="Arial"/>
          <w:sz w:val="22"/>
          <w:u w:val="single"/>
          <w:lang w:val="es-419"/>
        </w:rPr>
        <w:t>Sin embargo, hoy en día, es claro que con la expedición de la mencionada Ley Estatutaria los ciudadanos cuentan con un proceso destinado exclusivamente a que un funcionario judicial decida, de manera imparcial, si los documentos que una determinada autoridad pública ha clasificado como “reservados” deben o no ser entregados al solicitante, con lo cual la acción de amparo recobra su carácter subsidiario para efectos de proteger el derecho fundamental antedicho</w:t>
      </w:r>
      <w:r w:rsidRPr="00B01E01">
        <w:rPr>
          <w:rFonts w:ascii="Georgia" w:hAnsi="Georgia" w:cs="Arial"/>
          <w:sz w:val="22"/>
          <w:lang w:val="es-419"/>
        </w:rPr>
        <w:t>... (Sublínea de la Sala).</w:t>
      </w:r>
    </w:p>
    <w:p w:rsidR="00752B0D" w:rsidRPr="00B01E01" w:rsidRDefault="00752B0D" w:rsidP="00B01E01">
      <w:pPr>
        <w:pStyle w:val="Prrafodelista"/>
        <w:spacing w:line="288" w:lineRule="auto"/>
        <w:ind w:left="400" w:right="51"/>
        <w:jc w:val="both"/>
        <w:rPr>
          <w:rFonts w:ascii="Georgia" w:hAnsi="Georgia"/>
          <w:smallCaps/>
          <w:lang w:val="es-419"/>
        </w:rPr>
      </w:pPr>
    </w:p>
    <w:p w:rsidR="00752B0D" w:rsidRPr="00B01E01" w:rsidRDefault="00752B0D" w:rsidP="00B01E01">
      <w:pPr>
        <w:pStyle w:val="Prrafodelista"/>
        <w:numPr>
          <w:ilvl w:val="0"/>
          <w:numId w:val="41"/>
        </w:numPr>
        <w:spacing w:line="288" w:lineRule="auto"/>
        <w:ind w:right="51"/>
        <w:jc w:val="both"/>
        <w:rPr>
          <w:rFonts w:ascii="Georgia" w:hAnsi="Georgia"/>
          <w:smallCaps/>
          <w:sz w:val="28"/>
          <w:lang w:val="es-419"/>
        </w:rPr>
      </w:pPr>
      <w:r w:rsidRPr="00B01E01">
        <w:rPr>
          <w:rFonts w:ascii="Georgia" w:hAnsi="Georgia"/>
          <w:smallCaps/>
          <w:sz w:val="28"/>
          <w:lang w:val="es-419"/>
        </w:rPr>
        <w:t>El análisis del caso en concreto</w:t>
      </w:r>
    </w:p>
    <w:p w:rsidR="00752B0D" w:rsidRPr="00B01E01" w:rsidRDefault="00752B0D" w:rsidP="00B01E01">
      <w:pPr>
        <w:pStyle w:val="Prrafodelista"/>
        <w:spacing w:line="288" w:lineRule="auto"/>
        <w:ind w:left="400" w:right="51"/>
        <w:jc w:val="both"/>
        <w:rPr>
          <w:rFonts w:ascii="Georgia" w:hAnsi="Georgia"/>
          <w:smallCaps/>
          <w:lang w:val="es-419"/>
        </w:rPr>
      </w:pPr>
    </w:p>
    <w:p w:rsidR="00752B0D" w:rsidRPr="00B01E01" w:rsidRDefault="00512C57" w:rsidP="00B01E01">
      <w:pPr>
        <w:spacing w:line="288" w:lineRule="auto"/>
        <w:ind w:right="51"/>
        <w:jc w:val="both"/>
        <w:rPr>
          <w:rFonts w:ascii="Georgia" w:hAnsi="Georgia" w:cs="Arial"/>
          <w:lang w:val="es-419"/>
        </w:rPr>
      </w:pPr>
      <w:r w:rsidRPr="00B01E01">
        <w:rPr>
          <w:rFonts w:ascii="Georgia" w:hAnsi="Georgia"/>
          <w:lang w:val="es-419"/>
        </w:rPr>
        <w:t xml:space="preserve">De acuerdo con las premisas jurídicas anotadas y teniendo en cuenta el petitorio junto con las pruebas arrimadas, </w:t>
      </w:r>
      <w:r w:rsidR="00E22A66" w:rsidRPr="00B01E01">
        <w:rPr>
          <w:rFonts w:ascii="Georgia" w:hAnsi="Georgia"/>
          <w:lang w:val="es-419"/>
        </w:rPr>
        <w:t xml:space="preserve">advierte la Sala </w:t>
      </w:r>
      <w:r w:rsidR="00124E9A" w:rsidRPr="00B01E01">
        <w:rPr>
          <w:rFonts w:ascii="Georgia" w:hAnsi="Georgia"/>
          <w:lang w:val="es-419"/>
        </w:rPr>
        <w:t xml:space="preserve">el </w:t>
      </w:r>
      <w:r w:rsidR="00E22A66" w:rsidRPr="00B01E01">
        <w:rPr>
          <w:rFonts w:ascii="Georgia" w:hAnsi="Georgia"/>
          <w:lang w:val="es-419"/>
        </w:rPr>
        <w:t>fracaso</w:t>
      </w:r>
      <w:r w:rsidR="00124E9A" w:rsidRPr="00B01E01">
        <w:rPr>
          <w:rFonts w:ascii="Georgia" w:hAnsi="Georgia"/>
          <w:lang w:val="es-419"/>
        </w:rPr>
        <w:t xml:space="preserve"> del amparo constitucional, habida cuenta de que se incumple el presupuesto de la subsidiariedad</w:t>
      </w:r>
      <w:r w:rsidR="00752B0D" w:rsidRPr="00B01E01">
        <w:rPr>
          <w:rFonts w:ascii="Georgia" w:hAnsi="Georgia" w:cs="Arial"/>
          <w:lang w:val="es-419"/>
        </w:rPr>
        <w:t xml:space="preserve">. </w:t>
      </w:r>
    </w:p>
    <w:p w:rsidR="004D36B1" w:rsidRPr="00B01E01" w:rsidRDefault="004D36B1" w:rsidP="00B01E01">
      <w:pPr>
        <w:pStyle w:val="Textoindependiente"/>
        <w:spacing w:line="288" w:lineRule="auto"/>
        <w:rPr>
          <w:lang w:val="es-419"/>
        </w:rPr>
      </w:pPr>
    </w:p>
    <w:p w:rsidR="00696147" w:rsidRPr="00B01E01" w:rsidRDefault="00E22A66" w:rsidP="00B01E01">
      <w:pPr>
        <w:pStyle w:val="Textoindependiente"/>
        <w:spacing w:line="288" w:lineRule="auto"/>
        <w:rPr>
          <w:rFonts w:ascii="Georgia" w:hAnsi="Georgia" w:cs="Arial"/>
          <w:szCs w:val="24"/>
          <w:lang w:val="es-419"/>
        </w:rPr>
      </w:pPr>
      <w:r w:rsidRPr="00B01E01">
        <w:rPr>
          <w:rFonts w:ascii="Georgia" w:hAnsi="Georgia" w:cs="Verdana"/>
          <w:spacing w:val="0"/>
          <w:szCs w:val="24"/>
          <w:lang w:val="es-419"/>
        </w:rPr>
        <w:t>L</w:t>
      </w:r>
      <w:r w:rsidR="00696147" w:rsidRPr="00B01E01">
        <w:rPr>
          <w:rFonts w:ascii="Georgia" w:hAnsi="Georgia" w:cs="Verdana"/>
          <w:spacing w:val="0"/>
          <w:szCs w:val="24"/>
          <w:lang w:val="es-419"/>
        </w:rPr>
        <w:t>a</w:t>
      </w:r>
      <w:r w:rsidRPr="00B01E01">
        <w:rPr>
          <w:rFonts w:ascii="Georgia" w:hAnsi="Georgia" w:cs="Verdana"/>
          <w:spacing w:val="0"/>
          <w:szCs w:val="24"/>
          <w:lang w:val="es-419"/>
        </w:rPr>
        <w:t xml:space="preserve"> accionante pretende</w:t>
      </w:r>
      <w:r w:rsidR="004D36B1" w:rsidRPr="00B01E01">
        <w:rPr>
          <w:rFonts w:ascii="Georgia" w:hAnsi="Georgia" w:cs="Verdana"/>
          <w:spacing w:val="0"/>
          <w:szCs w:val="24"/>
          <w:lang w:val="es-419"/>
        </w:rPr>
        <w:t xml:space="preserve"> </w:t>
      </w:r>
      <w:r w:rsidRPr="00B01E01">
        <w:rPr>
          <w:rFonts w:ascii="Georgia" w:hAnsi="Georgia" w:cs="Verdana"/>
          <w:spacing w:val="0"/>
          <w:szCs w:val="24"/>
          <w:lang w:val="es-419"/>
        </w:rPr>
        <w:t xml:space="preserve">obtener </w:t>
      </w:r>
      <w:r w:rsidR="00696147" w:rsidRPr="00B01E01">
        <w:rPr>
          <w:rFonts w:ascii="Georgia" w:hAnsi="Georgia" w:cs="Verdana"/>
          <w:spacing w:val="0"/>
          <w:szCs w:val="24"/>
          <w:lang w:val="es-419"/>
        </w:rPr>
        <w:t xml:space="preserve">información y </w:t>
      </w:r>
      <w:r w:rsidRPr="00B01E01">
        <w:rPr>
          <w:rFonts w:ascii="Georgia" w:hAnsi="Georgia" w:cs="Verdana"/>
          <w:spacing w:val="0"/>
          <w:szCs w:val="24"/>
          <w:lang w:val="es-419"/>
        </w:rPr>
        <w:t>documentos</w:t>
      </w:r>
      <w:r w:rsidR="00696147" w:rsidRPr="00B01E01">
        <w:rPr>
          <w:rFonts w:ascii="Georgia" w:hAnsi="Georgia" w:cs="Verdana"/>
          <w:spacing w:val="0"/>
          <w:szCs w:val="24"/>
          <w:lang w:val="es-419"/>
        </w:rPr>
        <w:t xml:space="preserve"> </w:t>
      </w:r>
      <w:r w:rsidRPr="00B01E01">
        <w:rPr>
          <w:rFonts w:ascii="Georgia" w:hAnsi="Georgia" w:cs="Verdana"/>
          <w:spacing w:val="0"/>
          <w:szCs w:val="24"/>
          <w:lang w:val="es-419"/>
        </w:rPr>
        <w:t xml:space="preserve">relacionados con un </w:t>
      </w:r>
      <w:r w:rsidR="00696147" w:rsidRPr="00B01E01">
        <w:rPr>
          <w:rFonts w:ascii="Georgia" w:hAnsi="Georgia" w:cs="Verdana"/>
          <w:spacing w:val="0"/>
          <w:szCs w:val="24"/>
          <w:lang w:val="es-419"/>
        </w:rPr>
        <w:t xml:space="preserve">predio </w:t>
      </w:r>
      <w:r w:rsidR="00890E3B" w:rsidRPr="00B01E01">
        <w:rPr>
          <w:rFonts w:ascii="Georgia" w:hAnsi="Georgia" w:cs="Verdana"/>
          <w:spacing w:val="0"/>
          <w:szCs w:val="24"/>
          <w:lang w:val="es-419"/>
        </w:rPr>
        <w:t xml:space="preserve">aprisionado </w:t>
      </w:r>
      <w:r w:rsidR="00696147" w:rsidRPr="00B01E01">
        <w:rPr>
          <w:rFonts w:ascii="Georgia" w:hAnsi="Georgia" w:cs="Verdana"/>
          <w:spacing w:val="0"/>
          <w:szCs w:val="24"/>
          <w:lang w:val="es-419"/>
        </w:rPr>
        <w:t xml:space="preserve">en el proceso de extinción de dominio </w:t>
      </w:r>
      <w:r w:rsidR="004E0D7D" w:rsidRPr="00B01E01">
        <w:rPr>
          <w:rFonts w:ascii="Georgia" w:hAnsi="Georgia" w:cs="Verdana"/>
          <w:spacing w:val="0"/>
          <w:szCs w:val="24"/>
          <w:lang w:val="es-419"/>
        </w:rPr>
        <w:t xml:space="preserve">radicado al </w:t>
      </w:r>
      <w:r w:rsidR="00696147" w:rsidRPr="00B01E01">
        <w:rPr>
          <w:rFonts w:ascii="Georgia" w:hAnsi="Georgia" w:cs="Verdana"/>
          <w:spacing w:val="0"/>
          <w:szCs w:val="24"/>
          <w:lang w:val="es-419"/>
        </w:rPr>
        <w:t>No.13382</w:t>
      </w:r>
      <w:r w:rsidR="00890E3B" w:rsidRPr="00B01E01">
        <w:rPr>
          <w:rFonts w:ascii="Georgia" w:hAnsi="Georgia" w:cs="Verdana"/>
          <w:spacing w:val="0"/>
          <w:szCs w:val="24"/>
          <w:lang w:val="es-419"/>
        </w:rPr>
        <w:t xml:space="preserve"> que tr</w:t>
      </w:r>
      <w:r w:rsidR="00FA2679" w:rsidRPr="00B01E01">
        <w:rPr>
          <w:rFonts w:ascii="Georgia" w:hAnsi="Georgia" w:cs="Verdana"/>
          <w:spacing w:val="0"/>
          <w:szCs w:val="24"/>
          <w:lang w:val="es-419"/>
        </w:rPr>
        <w:t xml:space="preserve">amita </w:t>
      </w:r>
      <w:r w:rsidR="004E0D7D" w:rsidRPr="00B01E01">
        <w:rPr>
          <w:rFonts w:ascii="Georgia" w:hAnsi="Georgia" w:cs="Verdana"/>
          <w:spacing w:val="0"/>
          <w:szCs w:val="24"/>
          <w:lang w:val="es-419"/>
        </w:rPr>
        <w:t xml:space="preserve">el Juzgado Primero del Circuito Especializado en Extinción de Dominio de Bogotá </w:t>
      </w:r>
      <w:r w:rsidR="00696147" w:rsidRPr="00B01E01">
        <w:rPr>
          <w:rFonts w:ascii="Georgia" w:hAnsi="Georgia" w:cs="Verdana"/>
          <w:spacing w:val="0"/>
          <w:szCs w:val="24"/>
          <w:lang w:val="es-419"/>
        </w:rPr>
        <w:t>(Folio</w:t>
      </w:r>
      <w:r w:rsidR="004E0D7D" w:rsidRPr="00B01E01">
        <w:rPr>
          <w:rFonts w:ascii="Georgia" w:hAnsi="Georgia" w:cs="Verdana"/>
          <w:spacing w:val="0"/>
          <w:szCs w:val="24"/>
          <w:lang w:val="es-419"/>
        </w:rPr>
        <w:t xml:space="preserve"> 28</w:t>
      </w:r>
      <w:r w:rsidR="00704DAF" w:rsidRPr="00B01E01">
        <w:rPr>
          <w:rFonts w:ascii="Georgia" w:hAnsi="Georgia" w:cs="Verdana"/>
          <w:spacing w:val="0"/>
          <w:szCs w:val="24"/>
          <w:lang w:val="es-419"/>
        </w:rPr>
        <w:t>, ib.)</w:t>
      </w:r>
      <w:r w:rsidRPr="00B01E01">
        <w:rPr>
          <w:rFonts w:ascii="Georgia" w:hAnsi="Georgia" w:cs="Verdana"/>
          <w:spacing w:val="0"/>
          <w:szCs w:val="24"/>
          <w:lang w:val="es-419"/>
        </w:rPr>
        <w:t xml:space="preserve"> y que actualmente administra la </w:t>
      </w:r>
      <w:r w:rsidRPr="00B01E01">
        <w:rPr>
          <w:rFonts w:ascii="Georgia" w:hAnsi="Georgia" w:cs="Arial"/>
          <w:lang w:val="es-419"/>
        </w:rPr>
        <w:t>SAE SA</w:t>
      </w:r>
      <w:r w:rsidR="00704DAF" w:rsidRPr="00B01E01">
        <w:rPr>
          <w:rFonts w:ascii="Georgia" w:hAnsi="Georgia" w:cs="Verdana"/>
          <w:spacing w:val="0"/>
          <w:szCs w:val="24"/>
          <w:lang w:val="es-419"/>
        </w:rPr>
        <w:t>.</w:t>
      </w:r>
      <w:r w:rsidR="00696147" w:rsidRPr="00B01E01">
        <w:rPr>
          <w:rFonts w:ascii="Georgia" w:hAnsi="Georgia" w:cs="Verdana"/>
          <w:spacing w:val="0"/>
          <w:szCs w:val="24"/>
          <w:lang w:val="es-419"/>
        </w:rPr>
        <w:t xml:space="preserve"> </w:t>
      </w:r>
    </w:p>
    <w:p w:rsidR="005662F4" w:rsidRPr="00B01E01" w:rsidRDefault="005662F4" w:rsidP="00B01E01">
      <w:pPr>
        <w:pStyle w:val="Textoindependiente"/>
        <w:spacing w:line="288" w:lineRule="auto"/>
        <w:rPr>
          <w:rFonts w:ascii="Georgia" w:hAnsi="Georgia" w:cs="Verdana"/>
          <w:spacing w:val="0"/>
          <w:szCs w:val="24"/>
          <w:lang w:val="es-419"/>
        </w:rPr>
      </w:pPr>
    </w:p>
    <w:p w:rsidR="00646C17" w:rsidRPr="00B01E01" w:rsidRDefault="00E22A66" w:rsidP="00B01E01">
      <w:pPr>
        <w:pStyle w:val="Textoindependiente"/>
        <w:spacing w:line="288" w:lineRule="auto"/>
        <w:ind w:right="56"/>
        <w:rPr>
          <w:rFonts w:ascii="Georgia" w:hAnsi="Georgia" w:cs="Arial"/>
          <w:lang w:val="es-419"/>
        </w:rPr>
      </w:pPr>
      <w:r w:rsidRPr="00B01E01">
        <w:rPr>
          <w:rFonts w:ascii="Georgia" w:hAnsi="Georgia" w:cs="Arial"/>
          <w:szCs w:val="24"/>
          <w:lang w:val="es-419"/>
        </w:rPr>
        <w:t>Ahora, como</w:t>
      </w:r>
      <w:r w:rsidR="00646C17" w:rsidRPr="00B01E01">
        <w:rPr>
          <w:rFonts w:ascii="Georgia" w:hAnsi="Georgia" w:cs="Arial"/>
          <w:szCs w:val="24"/>
          <w:lang w:val="es-419"/>
        </w:rPr>
        <w:t xml:space="preserve"> se trata de una </w:t>
      </w:r>
      <w:r w:rsidR="00646C17" w:rsidRPr="00B01E01">
        <w:rPr>
          <w:rFonts w:ascii="Georgia" w:hAnsi="Georgia" w:cs="Arial"/>
          <w:lang w:val="es-419"/>
        </w:rPr>
        <w:t xml:space="preserve">Sociedad de Economía Mixta del orden nacional (Acta No.012 del 23-04-2012 aprobada por la Asamblea General Extraordinaria celebrada el 23-04-2012), así lo refiere el Ministerio de Hacienda y Crédito Público (Folio 31, ib.) e </w:t>
      </w:r>
      <w:r w:rsidR="00646C17" w:rsidRPr="00B01E01">
        <w:rPr>
          <w:rFonts w:ascii="Georgia" w:hAnsi="Georgia" w:cs="Arial"/>
          <w:szCs w:val="24"/>
          <w:lang w:val="es-419"/>
        </w:rPr>
        <w:t xml:space="preserve">invocó la reserva </w:t>
      </w:r>
      <w:r w:rsidR="00124E9A" w:rsidRPr="00B01E01">
        <w:rPr>
          <w:rFonts w:ascii="Georgia" w:hAnsi="Georgia" w:cs="Arial"/>
          <w:szCs w:val="24"/>
          <w:lang w:val="es-419"/>
        </w:rPr>
        <w:t xml:space="preserve">de la información </w:t>
      </w:r>
      <w:r w:rsidR="00646C17" w:rsidRPr="00B01E01">
        <w:rPr>
          <w:rFonts w:ascii="Georgia" w:hAnsi="Georgia" w:cs="Arial"/>
          <w:szCs w:val="24"/>
          <w:lang w:val="es-419"/>
        </w:rPr>
        <w:t>(</w:t>
      </w:r>
      <w:r w:rsidR="00124E9A" w:rsidRPr="00B01E01">
        <w:rPr>
          <w:rFonts w:ascii="Georgia" w:hAnsi="Georgia" w:cs="Arial"/>
          <w:szCs w:val="24"/>
          <w:lang w:val="es-419"/>
        </w:rPr>
        <w:t xml:space="preserve">Artículos 18, </w:t>
      </w:r>
      <w:r w:rsidR="00646C17" w:rsidRPr="00B01E01">
        <w:rPr>
          <w:rFonts w:ascii="Georgia" w:hAnsi="Georgia" w:cs="Arial"/>
          <w:szCs w:val="24"/>
          <w:lang w:val="es-419"/>
        </w:rPr>
        <w:t xml:space="preserve">Ley 1712) (Folio 4, ib.), </w:t>
      </w:r>
      <w:r w:rsidR="00CA638D" w:rsidRPr="00B01E01">
        <w:rPr>
          <w:rFonts w:ascii="Georgia" w:hAnsi="Georgia" w:cs="Arial"/>
          <w:szCs w:val="24"/>
          <w:lang w:val="es-419"/>
        </w:rPr>
        <w:t>debió entonces la parte actora insistir en su petición (Artículo 26, Ley 1755)</w:t>
      </w:r>
      <w:r w:rsidR="00CA638D" w:rsidRPr="00B01E01">
        <w:rPr>
          <w:rFonts w:ascii="Georgia" w:hAnsi="Georgia" w:cs="Arial"/>
          <w:szCs w:val="24"/>
          <w:vertAlign w:val="superscript"/>
          <w:lang w:val="es-419"/>
        </w:rPr>
        <w:footnoteReference w:id="9"/>
      </w:r>
      <w:r w:rsidR="00CA638D" w:rsidRPr="00B01E01">
        <w:rPr>
          <w:rFonts w:ascii="Georgia" w:hAnsi="Georgia" w:cs="Arial"/>
          <w:szCs w:val="24"/>
          <w:lang w:val="es-419"/>
        </w:rPr>
        <w:t xml:space="preserve">, cuando ese era el </w:t>
      </w:r>
      <w:r w:rsidR="00CA638D" w:rsidRPr="00B01E01">
        <w:rPr>
          <w:rFonts w:ascii="Georgia" w:hAnsi="Georgia" w:cs="Arial"/>
          <w:szCs w:val="24"/>
          <w:lang w:val="es-419"/>
        </w:rPr>
        <w:lastRenderedPageBreak/>
        <w:t>mecanismo ordinario y expedito que tenía para que un estrado judicial competente decidiera sobre su aceptación</w:t>
      </w:r>
      <w:r w:rsidR="00646C17" w:rsidRPr="00B01E01">
        <w:rPr>
          <w:rStyle w:val="Refdenotaalpie"/>
          <w:rFonts w:ascii="Georgia" w:hAnsi="Georgia"/>
          <w:szCs w:val="24"/>
          <w:lang w:val="es-419"/>
        </w:rPr>
        <w:footnoteReference w:id="10"/>
      </w:r>
      <w:r w:rsidR="00CA638D" w:rsidRPr="00B01E01">
        <w:rPr>
          <w:rFonts w:ascii="Georgia" w:hAnsi="Georgia" w:cs="Arial"/>
          <w:szCs w:val="24"/>
          <w:lang w:val="es-419"/>
        </w:rPr>
        <w:t>, en lugar de acudir a esta vía subsidiaria</w:t>
      </w:r>
      <w:r w:rsidR="00124E9A" w:rsidRPr="00B01E01">
        <w:rPr>
          <w:rFonts w:ascii="Georgia" w:hAnsi="Georgia" w:cs="Arial"/>
          <w:szCs w:val="24"/>
          <w:lang w:val="es-419"/>
        </w:rPr>
        <w:t xml:space="preserve">. Criterio </w:t>
      </w:r>
      <w:r w:rsidR="00646C17" w:rsidRPr="00B01E01">
        <w:rPr>
          <w:rFonts w:ascii="Georgia" w:hAnsi="Georgia" w:cs="Arial"/>
          <w:szCs w:val="24"/>
          <w:lang w:val="es-419"/>
        </w:rPr>
        <w:t>ya muchas veces expuesto por esta Corporación</w:t>
      </w:r>
      <w:r w:rsidR="00646C17" w:rsidRPr="00B01E01">
        <w:rPr>
          <w:rStyle w:val="Refdenotaalpie"/>
          <w:rFonts w:ascii="Georgia" w:hAnsi="Georgia"/>
          <w:szCs w:val="24"/>
          <w:lang w:val="es-419"/>
        </w:rPr>
        <w:footnoteReference w:id="11"/>
      </w:r>
      <w:r w:rsidR="00646C17" w:rsidRPr="00B01E01">
        <w:rPr>
          <w:rFonts w:ascii="Georgia" w:hAnsi="Georgia" w:cs="Arial"/>
          <w:szCs w:val="24"/>
          <w:lang w:val="es-419"/>
        </w:rPr>
        <w:t xml:space="preserve">. </w:t>
      </w:r>
    </w:p>
    <w:p w:rsidR="00646C17" w:rsidRPr="00B01E01" w:rsidRDefault="00646C17" w:rsidP="00B01E01">
      <w:pPr>
        <w:pStyle w:val="Textoindependiente"/>
        <w:spacing w:line="288" w:lineRule="auto"/>
        <w:ind w:right="56"/>
        <w:rPr>
          <w:rFonts w:ascii="Georgia" w:hAnsi="Georgia" w:cs="Arial"/>
          <w:lang w:val="es-419"/>
        </w:rPr>
      </w:pPr>
    </w:p>
    <w:p w:rsidR="00752B0D" w:rsidRPr="00B01E01" w:rsidRDefault="00124E9A" w:rsidP="00B01E01">
      <w:pPr>
        <w:spacing w:line="288" w:lineRule="auto"/>
        <w:ind w:right="51"/>
        <w:jc w:val="both"/>
        <w:rPr>
          <w:rFonts w:ascii="Georgia" w:hAnsi="Georgia"/>
          <w:lang w:val="es-419"/>
        </w:rPr>
      </w:pPr>
      <w:r w:rsidRPr="00B01E01">
        <w:rPr>
          <w:rFonts w:ascii="Georgia" w:hAnsi="Georgia"/>
          <w:lang w:val="es-419"/>
        </w:rPr>
        <w:t xml:space="preserve">Es inviable flexibilizar este análisis porque </w:t>
      </w:r>
      <w:r w:rsidR="00752B0D" w:rsidRPr="00B01E01">
        <w:rPr>
          <w:rFonts w:ascii="Georgia" w:hAnsi="Georgia"/>
          <w:lang w:val="es-419"/>
        </w:rPr>
        <w:t xml:space="preserve">nada se arguyó y menos se acreditó, de forma que pudiera estimarse </w:t>
      </w:r>
      <w:r w:rsidR="00752B0D" w:rsidRPr="00B01E01">
        <w:rPr>
          <w:rFonts w:ascii="Georgia" w:hAnsi="Georgia" w:cs="Arial"/>
          <w:bCs/>
          <w:szCs w:val="22"/>
          <w:lang w:val="es-419"/>
        </w:rPr>
        <w:t xml:space="preserve">que </w:t>
      </w:r>
      <w:r w:rsidR="00FA2679" w:rsidRPr="00B01E01">
        <w:rPr>
          <w:rFonts w:ascii="Georgia" w:hAnsi="Georgia" w:cs="Arial"/>
          <w:bCs/>
          <w:szCs w:val="22"/>
          <w:lang w:val="es-419"/>
        </w:rPr>
        <w:t>la</w:t>
      </w:r>
      <w:r w:rsidR="00752B0D" w:rsidRPr="00B01E01">
        <w:rPr>
          <w:rFonts w:ascii="Georgia" w:hAnsi="Georgia" w:cs="Arial"/>
          <w:bCs/>
          <w:szCs w:val="22"/>
          <w:lang w:val="es-419"/>
        </w:rPr>
        <w:t xml:space="preserve"> accionante es una persona que requiere de protección reforzada</w:t>
      </w:r>
      <w:r w:rsidR="005A5B47" w:rsidRPr="00B01E01">
        <w:rPr>
          <w:rStyle w:val="Refdenotaalpie"/>
          <w:rFonts w:ascii="Georgia" w:hAnsi="Georgia"/>
          <w:lang w:val="es-419"/>
        </w:rPr>
        <w:footnoteReference w:id="12"/>
      </w:r>
      <w:r w:rsidR="005A5B47" w:rsidRPr="00B01E01">
        <w:rPr>
          <w:rFonts w:ascii="Georgia" w:hAnsi="Georgia"/>
          <w:vertAlign w:val="superscript"/>
          <w:lang w:val="es-419"/>
        </w:rPr>
        <w:t>;</w:t>
      </w:r>
      <w:r w:rsidR="00752B0D" w:rsidRPr="00B01E01">
        <w:rPr>
          <w:rFonts w:ascii="Georgia" w:hAnsi="Georgia" w:cs="Arial"/>
          <w:bCs/>
          <w:szCs w:val="22"/>
          <w:lang w:val="es-419"/>
        </w:rPr>
        <w:t xml:space="preserve"> o que estaba en una situación de imposibilidad para utilizar el aludido mecanismo</w:t>
      </w:r>
      <w:r w:rsidR="004A122D" w:rsidRPr="00B01E01">
        <w:rPr>
          <w:rFonts w:ascii="Georgia" w:hAnsi="Georgia"/>
          <w:vertAlign w:val="superscript"/>
          <w:lang w:val="es-419"/>
        </w:rPr>
        <w:footnoteReference w:id="13"/>
      </w:r>
      <w:r w:rsidR="00752B0D" w:rsidRPr="00B01E01">
        <w:rPr>
          <w:rFonts w:ascii="Georgia" w:hAnsi="Georgia" w:cs="Arial"/>
          <w:bCs/>
          <w:szCs w:val="22"/>
          <w:lang w:val="es-419"/>
        </w:rPr>
        <w:t xml:space="preserve">, </w:t>
      </w:r>
      <w:r w:rsidR="00752B0D" w:rsidRPr="00B01E01">
        <w:rPr>
          <w:rFonts w:ascii="Georgia" w:hAnsi="Georgia"/>
          <w:lang w:val="es-419"/>
        </w:rPr>
        <w:t xml:space="preserve">por ende solo </w:t>
      </w:r>
      <w:r w:rsidRPr="00B01E01">
        <w:rPr>
          <w:rFonts w:ascii="Georgia" w:hAnsi="Georgia"/>
          <w:lang w:val="es-419"/>
        </w:rPr>
        <w:t xml:space="preserve">a ella </w:t>
      </w:r>
      <w:r w:rsidR="00FA2679" w:rsidRPr="00B01E01">
        <w:rPr>
          <w:rFonts w:ascii="Georgia" w:hAnsi="Georgia"/>
          <w:lang w:val="es-419"/>
        </w:rPr>
        <w:t xml:space="preserve">le </w:t>
      </w:r>
      <w:r w:rsidR="00752B0D" w:rsidRPr="00B01E01">
        <w:rPr>
          <w:rFonts w:ascii="Georgia" w:hAnsi="Georgia"/>
          <w:lang w:val="es-419"/>
        </w:rPr>
        <w:t>es imputable tal descuido.</w:t>
      </w:r>
    </w:p>
    <w:p w:rsidR="00633BBD" w:rsidRPr="00B01E01" w:rsidRDefault="00633BBD" w:rsidP="00B01E01">
      <w:pPr>
        <w:spacing w:line="288" w:lineRule="auto"/>
        <w:ind w:right="51"/>
        <w:jc w:val="both"/>
        <w:rPr>
          <w:rFonts w:ascii="Georgia" w:hAnsi="Georgia" w:cs="Arial"/>
          <w:lang w:val="es-419"/>
        </w:rPr>
      </w:pPr>
    </w:p>
    <w:p w:rsidR="004A122D" w:rsidRDefault="004A122D" w:rsidP="00B01E01">
      <w:pPr>
        <w:spacing w:line="288" w:lineRule="auto"/>
        <w:jc w:val="both"/>
        <w:rPr>
          <w:rFonts w:ascii="Georgia" w:hAnsi="Georgia"/>
          <w:lang w:val="es-419"/>
        </w:rPr>
      </w:pPr>
      <w:r w:rsidRPr="00B01E01">
        <w:rPr>
          <w:rFonts w:ascii="Georgia" w:hAnsi="Georgia"/>
          <w:lang w:val="es-419"/>
        </w:rPr>
        <w:t xml:space="preserve">En mérito de lo expuesto, el </w:t>
      </w:r>
      <w:r w:rsidRPr="00B01E01">
        <w:rPr>
          <w:rFonts w:ascii="Georgia" w:hAnsi="Georgia"/>
          <w:bCs/>
          <w:smallCaps/>
          <w:lang w:val="es-419"/>
        </w:rPr>
        <w:t>Tribunal Superior del Distrito Judicial de Pereira, Sala de Decisión Civil – Familia</w:t>
      </w:r>
      <w:r w:rsidRPr="00B01E01">
        <w:rPr>
          <w:rFonts w:ascii="Georgia" w:hAnsi="Georgia"/>
          <w:lang w:val="es-419"/>
        </w:rPr>
        <w:t>, administrando Justicia en nombre de la República de Colombia y por autoridad de la Ley,</w:t>
      </w:r>
    </w:p>
    <w:p w:rsidR="00B01E01" w:rsidRPr="00B01E01" w:rsidRDefault="00B01E01" w:rsidP="00B01E01">
      <w:pPr>
        <w:spacing w:line="288" w:lineRule="auto"/>
        <w:jc w:val="both"/>
        <w:rPr>
          <w:rFonts w:ascii="Georgia" w:hAnsi="Georgia"/>
          <w:lang w:val="es-419"/>
        </w:rPr>
      </w:pPr>
    </w:p>
    <w:p w:rsidR="004A122D" w:rsidRPr="00B01E01" w:rsidRDefault="004A122D" w:rsidP="00B01E01">
      <w:pPr>
        <w:pStyle w:val="Textoindependiente"/>
        <w:spacing w:line="288" w:lineRule="auto"/>
        <w:jc w:val="center"/>
        <w:rPr>
          <w:rFonts w:ascii="Georgia" w:hAnsi="Georgia"/>
          <w:bCs/>
          <w:smallCaps/>
          <w:sz w:val="28"/>
          <w:szCs w:val="24"/>
          <w:lang w:val="es-419"/>
        </w:rPr>
      </w:pPr>
      <w:r w:rsidRPr="00B01E01">
        <w:rPr>
          <w:rFonts w:ascii="Georgia" w:hAnsi="Georgia"/>
          <w:bCs/>
          <w:smallCaps/>
          <w:sz w:val="28"/>
          <w:szCs w:val="24"/>
          <w:lang w:val="es-419"/>
        </w:rPr>
        <w:t>F a l l a:</w:t>
      </w:r>
    </w:p>
    <w:p w:rsidR="004A122D" w:rsidRPr="00B01E01" w:rsidRDefault="004A122D" w:rsidP="00B01E01">
      <w:pPr>
        <w:tabs>
          <w:tab w:val="left" w:pos="-720"/>
        </w:tabs>
        <w:suppressAutoHyphens/>
        <w:spacing w:line="288" w:lineRule="auto"/>
        <w:jc w:val="both"/>
        <w:rPr>
          <w:rFonts w:ascii="Georgia" w:hAnsi="Georgia" w:cs="Arial"/>
          <w:lang w:val="es-419"/>
        </w:rPr>
      </w:pPr>
    </w:p>
    <w:p w:rsidR="005B0623" w:rsidRPr="00B01E01" w:rsidRDefault="00124E9A" w:rsidP="00B01E01">
      <w:pPr>
        <w:pStyle w:val="Prrafodelista"/>
        <w:numPr>
          <w:ilvl w:val="0"/>
          <w:numId w:val="6"/>
        </w:numPr>
        <w:tabs>
          <w:tab w:val="clear" w:pos="720"/>
          <w:tab w:val="num" w:pos="284"/>
        </w:tabs>
        <w:spacing w:line="288" w:lineRule="auto"/>
        <w:ind w:left="284" w:right="51" w:hanging="284"/>
        <w:jc w:val="both"/>
        <w:rPr>
          <w:rFonts w:ascii="Georgia" w:hAnsi="Georgia"/>
          <w:spacing w:val="-3"/>
          <w:lang w:val="es-419"/>
        </w:rPr>
      </w:pPr>
      <w:r w:rsidRPr="00B01E01">
        <w:rPr>
          <w:rFonts w:ascii="Georgia" w:hAnsi="Georgia"/>
          <w:spacing w:val="-3"/>
          <w:lang w:val="es-419"/>
        </w:rPr>
        <w:t xml:space="preserve">REVOCAR </w:t>
      </w:r>
      <w:r w:rsidR="005B0623" w:rsidRPr="00B01E01">
        <w:rPr>
          <w:rFonts w:ascii="Georgia" w:hAnsi="Georgia"/>
          <w:spacing w:val="-3"/>
          <w:lang w:val="es-419"/>
        </w:rPr>
        <w:t xml:space="preserve">la sentencia proferida por el Juzgado Tercero de Familia de Pereira, </w:t>
      </w:r>
      <w:r w:rsidRPr="00B01E01">
        <w:rPr>
          <w:rFonts w:ascii="Georgia" w:hAnsi="Georgia"/>
          <w:spacing w:val="-3"/>
          <w:lang w:val="es-419"/>
        </w:rPr>
        <w:t xml:space="preserve">para en su lugar, DECLARAR IMPROCEDENTE el amparo constitucional, </w:t>
      </w:r>
      <w:r w:rsidR="005B0623" w:rsidRPr="00B01E01">
        <w:rPr>
          <w:rFonts w:ascii="Georgia" w:hAnsi="Georgia"/>
          <w:lang w:val="es-419"/>
        </w:rPr>
        <w:t>por falta de subsidiariedad.</w:t>
      </w:r>
    </w:p>
    <w:p w:rsidR="005B0623" w:rsidRPr="00B01E01" w:rsidRDefault="005B0623" w:rsidP="00B01E01">
      <w:pPr>
        <w:pStyle w:val="Prrafodelista"/>
        <w:spacing w:line="288" w:lineRule="auto"/>
        <w:ind w:left="284" w:right="51"/>
        <w:jc w:val="both"/>
        <w:rPr>
          <w:rFonts w:ascii="Georgia" w:hAnsi="Georgia"/>
          <w:spacing w:val="-3"/>
          <w:lang w:val="es-419"/>
        </w:rPr>
      </w:pPr>
    </w:p>
    <w:p w:rsidR="005463B1" w:rsidRPr="00B01E01" w:rsidRDefault="005463B1" w:rsidP="00B01E01">
      <w:pPr>
        <w:pStyle w:val="Prrafodelista"/>
        <w:widowControl/>
        <w:numPr>
          <w:ilvl w:val="0"/>
          <w:numId w:val="6"/>
        </w:numPr>
        <w:tabs>
          <w:tab w:val="clear" w:pos="720"/>
          <w:tab w:val="num" w:pos="284"/>
        </w:tabs>
        <w:autoSpaceDE/>
        <w:autoSpaceDN/>
        <w:adjustRightInd/>
        <w:spacing w:line="288" w:lineRule="auto"/>
        <w:ind w:left="284" w:right="51" w:hanging="284"/>
        <w:contextualSpacing/>
        <w:jc w:val="both"/>
        <w:rPr>
          <w:rFonts w:ascii="Georgia" w:hAnsi="Georgia"/>
          <w:lang w:val="es-419"/>
        </w:rPr>
      </w:pPr>
      <w:r w:rsidRPr="00B01E01">
        <w:rPr>
          <w:rFonts w:ascii="Georgia" w:hAnsi="Georgia"/>
          <w:spacing w:val="-3"/>
          <w:lang w:val="es-419"/>
        </w:rPr>
        <w:t>NOTIFICAR esta decisión a todas las partes, por el medio más expedito y eficaz.</w:t>
      </w:r>
    </w:p>
    <w:p w:rsidR="005463B1" w:rsidRPr="00B01E01" w:rsidRDefault="005463B1" w:rsidP="00B01E01">
      <w:pPr>
        <w:pStyle w:val="Prrafodelista"/>
        <w:spacing w:line="288" w:lineRule="auto"/>
        <w:ind w:left="360" w:right="51"/>
        <w:jc w:val="both"/>
        <w:rPr>
          <w:rFonts w:ascii="Georgia" w:hAnsi="Georgia"/>
          <w:lang w:val="es-419"/>
        </w:rPr>
      </w:pPr>
    </w:p>
    <w:p w:rsidR="005463B1" w:rsidRPr="00B01E01" w:rsidRDefault="005463B1" w:rsidP="00B01E01">
      <w:pPr>
        <w:pStyle w:val="Prrafodelista"/>
        <w:widowControl/>
        <w:numPr>
          <w:ilvl w:val="0"/>
          <w:numId w:val="48"/>
        </w:numPr>
        <w:tabs>
          <w:tab w:val="clear" w:pos="720"/>
          <w:tab w:val="num" w:pos="360"/>
          <w:tab w:val="num" w:pos="426"/>
        </w:tabs>
        <w:autoSpaceDE/>
        <w:autoSpaceDN/>
        <w:adjustRightInd/>
        <w:spacing w:line="288" w:lineRule="auto"/>
        <w:ind w:left="360" w:right="51"/>
        <w:contextualSpacing/>
        <w:jc w:val="both"/>
        <w:rPr>
          <w:rFonts w:ascii="Georgia" w:hAnsi="Georgia"/>
          <w:lang w:val="es-419"/>
        </w:rPr>
      </w:pPr>
      <w:r w:rsidRPr="00B01E01">
        <w:rPr>
          <w:rFonts w:ascii="Georgia" w:hAnsi="Georgia"/>
          <w:spacing w:val="-3"/>
          <w:lang w:val="es-419"/>
        </w:rPr>
        <w:t>REMITIR este expediente, a la CC para su eventual revisión.</w:t>
      </w:r>
    </w:p>
    <w:p w:rsidR="00497A22" w:rsidRPr="00B01E01" w:rsidRDefault="00497A22" w:rsidP="00B01E01">
      <w:pPr>
        <w:pStyle w:val="Textoindependiente"/>
        <w:spacing w:line="288" w:lineRule="auto"/>
        <w:rPr>
          <w:rFonts w:ascii="Georgia" w:hAnsi="Georgia"/>
          <w:szCs w:val="24"/>
          <w:lang w:val="es-419"/>
        </w:rPr>
      </w:pPr>
    </w:p>
    <w:p w:rsidR="00785FA3" w:rsidRPr="00B01E01" w:rsidRDefault="00785FA3" w:rsidP="00B01E01">
      <w:pPr>
        <w:pStyle w:val="Textoindependiente"/>
        <w:spacing w:line="288" w:lineRule="auto"/>
        <w:jc w:val="center"/>
        <w:rPr>
          <w:rFonts w:ascii="Georgia" w:hAnsi="Georgia"/>
          <w:smallCaps/>
          <w:sz w:val="28"/>
          <w:szCs w:val="24"/>
          <w:lang w:val="es-419"/>
        </w:rPr>
      </w:pPr>
      <w:r w:rsidRPr="00B01E01">
        <w:rPr>
          <w:rFonts w:ascii="Georgia" w:hAnsi="Georgia"/>
          <w:smallCaps/>
          <w:sz w:val="28"/>
          <w:szCs w:val="24"/>
          <w:lang w:val="es-419"/>
        </w:rPr>
        <w:t>Notifíquese</w:t>
      </w:r>
    </w:p>
    <w:p w:rsidR="00785FA3" w:rsidRPr="00B01E01" w:rsidRDefault="00785FA3" w:rsidP="00B01E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785FA3" w:rsidRPr="00B01E01" w:rsidRDefault="00785FA3" w:rsidP="00B01E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spacing w:val="-3"/>
          <w:w w:val="150"/>
          <w:sz w:val="72"/>
          <w:szCs w:val="18"/>
          <w:lang w:val="es-419"/>
        </w:rPr>
      </w:pPr>
    </w:p>
    <w:p w:rsidR="00785FA3" w:rsidRPr="00B01E01" w:rsidRDefault="00785FA3" w:rsidP="00B01E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B01E01">
        <w:rPr>
          <w:rFonts w:ascii="Georgia" w:hAnsi="Georgia"/>
          <w:i/>
          <w:spacing w:val="-3"/>
          <w:w w:val="150"/>
          <w:sz w:val="32"/>
          <w:szCs w:val="18"/>
          <w:lang w:val="es-419"/>
        </w:rPr>
        <w:t>D</w:t>
      </w:r>
      <w:r w:rsidRPr="00B01E01">
        <w:rPr>
          <w:rFonts w:ascii="Georgia" w:hAnsi="Georgia"/>
          <w:i/>
          <w:spacing w:val="-3"/>
          <w:w w:val="150"/>
          <w:sz w:val="18"/>
          <w:szCs w:val="18"/>
          <w:lang w:val="es-419"/>
        </w:rPr>
        <w:t xml:space="preserve">UBERNEY </w:t>
      </w:r>
      <w:r w:rsidRPr="00B01E01">
        <w:rPr>
          <w:rFonts w:ascii="Georgia" w:hAnsi="Georgia"/>
          <w:i/>
          <w:spacing w:val="-3"/>
          <w:w w:val="150"/>
          <w:sz w:val="28"/>
          <w:szCs w:val="18"/>
          <w:lang w:val="es-419"/>
        </w:rPr>
        <w:t>G</w:t>
      </w:r>
      <w:r w:rsidRPr="00B01E01">
        <w:rPr>
          <w:rFonts w:ascii="Georgia" w:hAnsi="Georgia"/>
          <w:i/>
          <w:spacing w:val="-3"/>
          <w:w w:val="150"/>
          <w:sz w:val="18"/>
          <w:szCs w:val="18"/>
          <w:lang w:val="es-419"/>
        </w:rPr>
        <w:t xml:space="preserve">RISALES </w:t>
      </w:r>
      <w:r w:rsidRPr="00B01E01">
        <w:rPr>
          <w:rFonts w:ascii="Georgia" w:hAnsi="Georgia"/>
          <w:i/>
          <w:spacing w:val="-3"/>
          <w:w w:val="150"/>
          <w:sz w:val="28"/>
          <w:szCs w:val="18"/>
          <w:lang w:val="es-419"/>
        </w:rPr>
        <w:t>H</w:t>
      </w:r>
      <w:r w:rsidRPr="00B01E01">
        <w:rPr>
          <w:rFonts w:ascii="Georgia" w:hAnsi="Georgia"/>
          <w:i/>
          <w:spacing w:val="-3"/>
          <w:w w:val="150"/>
          <w:sz w:val="18"/>
          <w:szCs w:val="18"/>
          <w:lang w:val="es-419"/>
        </w:rPr>
        <w:t>ERRERA</w:t>
      </w:r>
    </w:p>
    <w:p w:rsidR="00785FA3" w:rsidRPr="00B01E01" w:rsidRDefault="00785FA3" w:rsidP="00B01E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B01E01">
        <w:rPr>
          <w:rFonts w:ascii="Georgia" w:hAnsi="Georgia"/>
          <w:i/>
          <w:spacing w:val="-3"/>
          <w:w w:val="150"/>
          <w:sz w:val="32"/>
          <w:lang w:val="es-419"/>
        </w:rPr>
        <w:t>M</w:t>
      </w:r>
      <w:r w:rsidRPr="00B01E01">
        <w:rPr>
          <w:rFonts w:ascii="Georgia" w:hAnsi="Georgia"/>
          <w:i/>
          <w:spacing w:val="-3"/>
          <w:w w:val="150"/>
          <w:sz w:val="16"/>
          <w:lang w:val="es-419"/>
        </w:rPr>
        <w:t xml:space="preserve"> </w:t>
      </w:r>
      <w:r w:rsidRPr="00B01E01">
        <w:rPr>
          <w:rFonts w:ascii="Georgia" w:hAnsi="Georgia"/>
          <w:i/>
          <w:spacing w:val="-3"/>
          <w:w w:val="150"/>
          <w:sz w:val="18"/>
          <w:szCs w:val="20"/>
          <w:lang w:val="es-419"/>
        </w:rPr>
        <w:t>A G I S T R A D O</w:t>
      </w:r>
    </w:p>
    <w:p w:rsidR="00785FA3" w:rsidRPr="00B01E01" w:rsidRDefault="00785FA3" w:rsidP="00B01E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785FA3" w:rsidRPr="00B01E01" w:rsidRDefault="00785FA3" w:rsidP="00B01E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32"/>
          <w:szCs w:val="16"/>
          <w:lang w:val="es-419"/>
        </w:rPr>
      </w:pPr>
    </w:p>
    <w:p w:rsidR="00785FA3" w:rsidRPr="00B01E01" w:rsidRDefault="00785FA3" w:rsidP="00B01E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48"/>
          <w:szCs w:val="16"/>
          <w:lang w:val="es-419"/>
        </w:rPr>
      </w:pPr>
    </w:p>
    <w:p w:rsidR="00785FA3" w:rsidRPr="00B01E01" w:rsidRDefault="00785FA3" w:rsidP="00B01E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B01E01">
        <w:rPr>
          <w:rFonts w:ascii="Georgia" w:hAnsi="Georgia"/>
          <w:i/>
          <w:w w:val="150"/>
          <w:sz w:val="28"/>
          <w:szCs w:val="18"/>
          <w:lang w:val="es-419"/>
        </w:rPr>
        <w:t>E</w:t>
      </w:r>
      <w:r w:rsidRPr="00B01E01">
        <w:rPr>
          <w:rFonts w:ascii="Georgia" w:hAnsi="Georgia"/>
          <w:i/>
          <w:w w:val="150"/>
          <w:sz w:val="18"/>
          <w:szCs w:val="18"/>
          <w:lang w:val="es-419"/>
        </w:rPr>
        <w:t>DDER</w:t>
      </w:r>
      <w:r w:rsidRPr="00B01E01">
        <w:rPr>
          <w:rFonts w:ascii="Georgia" w:hAnsi="Georgia"/>
          <w:i/>
          <w:w w:val="150"/>
          <w:sz w:val="18"/>
          <w:lang w:val="es-419"/>
        </w:rPr>
        <w:t xml:space="preserve"> </w:t>
      </w:r>
      <w:r w:rsidRPr="00B01E01">
        <w:rPr>
          <w:rFonts w:ascii="Georgia" w:hAnsi="Georgia"/>
          <w:i/>
          <w:w w:val="150"/>
          <w:sz w:val="28"/>
          <w:lang w:val="es-419"/>
        </w:rPr>
        <w:t>J</w:t>
      </w:r>
      <w:r w:rsidRPr="00B01E01">
        <w:rPr>
          <w:rFonts w:ascii="Georgia" w:hAnsi="Georgia"/>
          <w:i/>
          <w:w w:val="150"/>
          <w:sz w:val="18"/>
          <w:szCs w:val="18"/>
          <w:lang w:val="es-419"/>
        </w:rPr>
        <w:t xml:space="preserve">IMMY </w:t>
      </w:r>
      <w:r w:rsidRPr="00B01E01">
        <w:rPr>
          <w:rFonts w:ascii="Georgia" w:hAnsi="Georgia"/>
          <w:i/>
          <w:w w:val="150"/>
          <w:sz w:val="28"/>
          <w:lang w:val="es-419"/>
        </w:rPr>
        <w:t>S</w:t>
      </w:r>
      <w:r w:rsidRPr="00B01E01">
        <w:rPr>
          <w:rFonts w:ascii="Georgia" w:hAnsi="Georgia"/>
          <w:i/>
          <w:w w:val="150"/>
          <w:sz w:val="18"/>
          <w:szCs w:val="18"/>
          <w:lang w:val="es-419"/>
        </w:rPr>
        <w:t xml:space="preserve">ÁNCHEZ </w:t>
      </w:r>
      <w:r w:rsidRPr="00B01E01">
        <w:rPr>
          <w:rFonts w:ascii="Georgia" w:hAnsi="Georgia"/>
          <w:i/>
          <w:w w:val="150"/>
          <w:sz w:val="28"/>
          <w:szCs w:val="18"/>
          <w:lang w:val="es-419"/>
        </w:rPr>
        <w:t>C.</w:t>
      </w:r>
      <w:r w:rsidRPr="00B01E01">
        <w:rPr>
          <w:rFonts w:ascii="Georgia" w:hAnsi="Georgia"/>
          <w:i/>
          <w:w w:val="150"/>
          <w:sz w:val="28"/>
          <w:szCs w:val="18"/>
          <w:lang w:val="es-419"/>
        </w:rPr>
        <w:tab/>
      </w:r>
      <w:r w:rsidRPr="00B01E01">
        <w:rPr>
          <w:rFonts w:ascii="Georgia" w:hAnsi="Georgia"/>
          <w:i/>
          <w:w w:val="150"/>
          <w:sz w:val="28"/>
          <w:szCs w:val="18"/>
          <w:lang w:val="es-419"/>
        </w:rPr>
        <w:tab/>
      </w:r>
      <w:r w:rsidRPr="00B01E01">
        <w:rPr>
          <w:rFonts w:ascii="Georgia" w:hAnsi="Georgia"/>
          <w:i/>
          <w:spacing w:val="-3"/>
          <w:w w:val="150"/>
          <w:sz w:val="28"/>
          <w:szCs w:val="18"/>
          <w:lang w:val="es-419"/>
        </w:rPr>
        <w:t>J</w:t>
      </w:r>
      <w:r w:rsidRPr="00B01E01">
        <w:rPr>
          <w:rFonts w:ascii="Georgia" w:hAnsi="Georgia"/>
          <w:i/>
          <w:spacing w:val="-3"/>
          <w:w w:val="150"/>
          <w:sz w:val="18"/>
          <w:szCs w:val="18"/>
          <w:lang w:val="es-419"/>
        </w:rPr>
        <w:t xml:space="preserve">AIME </w:t>
      </w:r>
      <w:r w:rsidRPr="00B01E01">
        <w:rPr>
          <w:rFonts w:ascii="Georgia" w:hAnsi="Georgia"/>
          <w:i/>
          <w:spacing w:val="-3"/>
          <w:w w:val="150"/>
          <w:sz w:val="28"/>
          <w:szCs w:val="18"/>
          <w:lang w:val="es-419"/>
        </w:rPr>
        <w:t>A</w:t>
      </w:r>
      <w:r w:rsidRPr="00B01E01">
        <w:rPr>
          <w:rFonts w:ascii="Georgia" w:hAnsi="Georgia"/>
          <w:i/>
          <w:w w:val="150"/>
          <w:sz w:val="18"/>
          <w:szCs w:val="18"/>
          <w:lang w:val="es-419"/>
        </w:rPr>
        <w:t xml:space="preserve">LBERTO </w:t>
      </w:r>
      <w:r w:rsidRPr="00B01E01">
        <w:rPr>
          <w:rFonts w:ascii="Georgia" w:hAnsi="Georgia"/>
          <w:i/>
          <w:spacing w:val="-3"/>
          <w:w w:val="150"/>
          <w:sz w:val="28"/>
          <w:szCs w:val="18"/>
          <w:lang w:val="es-419"/>
        </w:rPr>
        <w:t>S</w:t>
      </w:r>
      <w:r w:rsidRPr="00B01E01">
        <w:rPr>
          <w:rFonts w:ascii="Georgia" w:hAnsi="Georgia"/>
          <w:i/>
          <w:spacing w:val="-3"/>
          <w:w w:val="150"/>
          <w:sz w:val="18"/>
          <w:szCs w:val="16"/>
          <w:lang w:val="es-419"/>
        </w:rPr>
        <w:t xml:space="preserve">ARAZA </w:t>
      </w:r>
      <w:r w:rsidRPr="00B01E01">
        <w:rPr>
          <w:rFonts w:ascii="Georgia" w:hAnsi="Georgia"/>
          <w:i/>
          <w:spacing w:val="-3"/>
          <w:w w:val="150"/>
          <w:sz w:val="28"/>
          <w:szCs w:val="18"/>
          <w:lang w:val="es-419"/>
        </w:rPr>
        <w:t>N.</w:t>
      </w:r>
    </w:p>
    <w:p w:rsidR="00785FA3" w:rsidRPr="00B01E01" w:rsidRDefault="00785FA3" w:rsidP="00B01E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sz w:val="23"/>
          <w:szCs w:val="23"/>
          <w:lang w:val="es-419"/>
        </w:rPr>
      </w:pPr>
      <w:r w:rsidRPr="00B01E01">
        <w:rPr>
          <w:rFonts w:ascii="Georgia" w:hAnsi="Georgia"/>
          <w:i/>
          <w:w w:val="150"/>
          <w:sz w:val="28"/>
          <w:lang w:val="es-419"/>
        </w:rPr>
        <w:tab/>
        <w:t>M</w:t>
      </w:r>
      <w:r w:rsidRPr="00B01E01">
        <w:rPr>
          <w:rFonts w:ascii="Georgia" w:hAnsi="Georgia"/>
          <w:i/>
          <w:w w:val="150"/>
          <w:sz w:val="18"/>
          <w:lang w:val="es-419"/>
        </w:rPr>
        <w:t xml:space="preserve"> A G I S T R A D O </w:t>
      </w:r>
      <w:r w:rsidRPr="00B01E01">
        <w:rPr>
          <w:rFonts w:ascii="Georgia" w:hAnsi="Georgia"/>
          <w:i/>
          <w:w w:val="150"/>
          <w:sz w:val="18"/>
          <w:lang w:val="es-419"/>
        </w:rPr>
        <w:tab/>
      </w:r>
      <w:r w:rsidRPr="00B01E01">
        <w:rPr>
          <w:rFonts w:ascii="Georgia" w:hAnsi="Georgia"/>
          <w:i/>
          <w:w w:val="150"/>
          <w:sz w:val="18"/>
          <w:lang w:val="es-419"/>
        </w:rPr>
        <w:tab/>
      </w:r>
      <w:r w:rsidRPr="00B01E01">
        <w:rPr>
          <w:rFonts w:ascii="Georgia" w:hAnsi="Georgia"/>
          <w:i/>
          <w:w w:val="150"/>
          <w:sz w:val="18"/>
          <w:lang w:val="es-419"/>
        </w:rPr>
        <w:tab/>
      </w:r>
      <w:r w:rsidRPr="00B01E01">
        <w:rPr>
          <w:rFonts w:ascii="Georgia" w:hAnsi="Georgia"/>
          <w:i/>
          <w:w w:val="150"/>
          <w:sz w:val="18"/>
          <w:lang w:val="es-419"/>
        </w:rPr>
        <w:tab/>
      </w:r>
      <w:r w:rsidRPr="00B01E01">
        <w:rPr>
          <w:rFonts w:ascii="Georgia" w:hAnsi="Georgia"/>
          <w:i/>
          <w:w w:val="150"/>
          <w:sz w:val="28"/>
          <w:lang w:val="es-419"/>
        </w:rPr>
        <w:t>M</w:t>
      </w:r>
      <w:r w:rsidRPr="00B01E01">
        <w:rPr>
          <w:rFonts w:ascii="Georgia" w:hAnsi="Georgia"/>
          <w:i/>
          <w:w w:val="150"/>
          <w:sz w:val="18"/>
          <w:lang w:val="es-419"/>
        </w:rPr>
        <w:t xml:space="preserve"> A G I S T R A D O</w:t>
      </w:r>
    </w:p>
    <w:sectPr w:rsidR="00785FA3" w:rsidRPr="00B01E01" w:rsidSect="00B01E01">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17" w:rsidRDefault="00203C17" w:rsidP="0099045D">
      <w:r>
        <w:separator/>
      </w:r>
    </w:p>
  </w:endnote>
  <w:endnote w:type="continuationSeparator" w:id="0">
    <w:p w:rsidR="00203C17" w:rsidRDefault="00203C1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17" w:rsidRDefault="00203C17" w:rsidP="0099045D">
      <w:r>
        <w:separator/>
      </w:r>
    </w:p>
  </w:footnote>
  <w:footnote w:type="continuationSeparator" w:id="0">
    <w:p w:rsidR="00203C17" w:rsidRDefault="00203C17" w:rsidP="0099045D">
      <w:r>
        <w:continuationSeparator/>
      </w:r>
    </w:p>
  </w:footnote>
  <w:footnote w:id="1">
    <w:p w:rsidR="004608FC" w:rsidRPr="00B01E01" w:rsidRDefault="008D470D"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CC. T-324 de 1993. </w:t>
      </w:r>
    </w:p>
  </w:footnote>
  <w:footnote w:id="2">
    <w:p w:rsidR="004608FC" w:rsidRPr="00B01E01" w:rsidRDefault="008D470D"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CC. SU-499 de 2016. </w:t>
      </w:r>
    </w:p>
  </w:footnote>
  <w:footnote w:id="3">
    <w:p w:rsidR="004608FC" w:rsidRPr="00B01E01" w:rsidRDefault="00E33E1E"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CC. T-533 de 2016, SU-424 de 2012, T-480 de 2011, T-162 de 2010 y T-099 de 2008, entre otras. </w:t>
      </w:r>
    </w:p>
  </w:footnote>
  <w:footnote w:id="4">
    <w:p w:rsidR="004608FC" w:rsidRPr="00B01E01" w:rsidRDefault="00B77ABB"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CC. T-128 de 2016, T-623 de 2011, T-498 de 2011, T-162 de 2010, T-034 de 2010, T-180 de 2009, T-989 de 2008, T-972 de 2005, T-822 de 2002, T-626 de 200 y T-315 de 2000. </w:t>
      </w:r>
    </w:p>
  </w:footnote>
  <w:footnote w:id="5">
    <w:p w:rsidR="004608FC" w:rsidRPr="00B01E01" w:rsidRDefault="00702EF2"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CC. T-567 de 1998. </w:t>
      </w:r>
    </w:p>
  </w:footnote>
  <w:footnote w:id="6">
    <w:p w:rsidR="004608FC" w:rsidRPr="00B01E01" w:rsidRDefault="004511F9"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CC. T-662 de 2013, SU-712 de 2013, T-051 de 2016 y T-264 de 2018, entre otras. </w:t>
      </w:r>
    </w:p>
  </w:footnote>
  <w:footnote w:id="7">
    <w:p w:rsidR="004608FC" w:rsidRPr="00B01E01" w:rsidRDefault="004511F9"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CSJ, STC.1422-2019, STC6121 de 2015 y fallo del 02-09-2014, </w:t>
      </w:r>
      <w:proofErr w:type="spellStart"/>
      <w:r w:rsidRPr="00B01E01">
        <w:rPr>
          <w:rFonts w:ascii="Arial" w:hAnsi="Arial" w:cs="Arial"/>
          <w:sz w:val="18"/>
          <w:szCs w:val="18"/>
        </w:rPr>
        <w:t>MP</w:t>
      </w:r>
      <w:proofErr w:type="spellEnd"/>
      <w:r w:rsidRPr="00B01E01">
        <w:rPr>
          <w:rFonts w:ascii="Arial" w:hAnsi="Arial" w:cs="Arial"/>
          <w:sz w:val="18"/>
          <w:szCs w:val="18"/>
        </w:rPr>
        <w:t>: Cabello B.</w:t>
      </w:r>
      <w:r w:rsidR="00CA638D" w:rsidRPr="00B01E01">
        <w:rPr>
          <w:rFonts w:ascii="Arial" w:hAnsi="Arial" w:cs="Arial"/>
          <w:sz w:val="18"/>
          <w:szCs w:val="18"/>
        </w:rPr>
        <w:t>, exp.23001221400020140009701</w:t>
      </w:r>
      <w:r w:rsidRPr="00B01E01">
        <w:rPr>
          <w:rFonts w:ascii="Arial" w:hAnsi="Arial" w:cs="Arial"/>
          <w:sz w:val="18"/>
          <w:szCs w:val="18"/>
        </w:rPr>
        <w:t>.</w:t>
      </w:r>
    </w:p>
  </w:footnote>
  <w:footnote w:id="8">
    <w:p w:rsidR="004608FC" w:rsidRPr="00B01E01" w:rsidRDefault="00752B0D"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w:t>
      </w:r>
      <w:r w:rsidRPr="00B01E01">
        <w:rPr>
          <w:rFonts w:ascii="Arial" w:hAnsi="Arial" w:cs="Arial"/>
          <w:sz w:val="18"/>
          <w:szCs w:val="18"/>
          <w:lang w:val="es-CO"/>
        </w:rPr>
        <w:t xml:space="preserve">CC. T-119 de 2017. También puede consultarse la T-828 de 2014 en la que se analizó la legislación anterior a Ley 1755 respecto del mecanismo judicial idóneo para controvertir la negativa en la entrega de información. </w:t>
      </w:r>
    </w:p>
  </w:footnote>
  <w:footnote w:id="9">
    <w:p w:rsidR="004608FC" w:rsidRPr="00B01E01" w:rsidRDefault="00CA638D"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w:t>
      </w:r>
      <w:r w:rsidRPr="00B01E01">
        <w:rPr>
          <w:rFonts w:ascii="Arial" w:hAnsi="Arial" w:cs="Arial"/>
          <w:i/>
          <w:sz w:val="18"/>
          <w:szCs w:val="18"/>
        </w:rPr>
        <w:t>“(…)</w:t>
      </w:r>
      <w:r w:rsidRPr="00B01E01">
        <w:rPr>
          <w:rFonts w:ascii="Arial" w:hAnsi="Arial" w:cs="Arial"/>
          <w:b/>
          <w:bCs/>
          <w:i/>
          <w:iCs/>
          <w:sz w:val="18"/>
          <w:szCs w:val="18"/>
        </w:rPr>
        <w:t> </w:t>
      </w:r>
      <w:r w:rsidRPr="00B01E01">
        <w:rPr>
          <w:rFonts w:ascii="Arial" w:hAnsi="Arial" w:cs="Arial"/>
          <w:i/>
          <w:sz w:val="18"/>
          <w:szCs w:val="18"/>
        </w:rPr>
        <w:t>Si la persona interesada insistiere en su petición de información o de documentos ante la autoridad que invoca la reserva, corresponderá al Tribunal Administrativo con jurisdicción en el lugar donde se encuentren los documentos, si se trata de autoridades nacionales, departamentales o del Distrito Capital de Bogotá, o al juez administrativo si se trata de autoridades distritales y municipales decidir en única instancia si se niega o se acepta, total o parcialmente la petición formulada (…)”.</w:t>
      </w:r>
    </w:p>
  </w:footnote>
  <w:footnote w:id="10">
    <w:p w:rsidR="004608FC" w:rsidRPr="00B01E01" w:rsidRDefault="00646C17"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CC. T-487 de 2017.</w:t>
      </w:r>
    </w:p>
  </w:footnote>
  <w:footnote w:id="11">
    <w:p w:rsidR="004608FC" w:rsidRPr="00B01E01" w:rsidRDefault="00646C17"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w:t>
      </w:r>
      <w:proofErr w:type="spellStart"/>
      <w:r w:rsidRPr="00B01E01">
        <w:rPr>
          <w:rFonts w:ascii="Arial" w:hAnsi="Arial" w:cs="Arial"/>
          <w:sz w:val="18"/>
          <w:szCs w:val="18"/>
          <w:lang w:val="es-CO"/>
        </w:rPr>
        <w:t>TSP</w:t>
      </w:r>
      <w:proofErr w:type="spellEnd"/>
      <w:r w:rsidRPr="00B01E01">
        <w:rPr>
          <w:rFonts w:ascii="Arial" w:hAnsi="Arial" w:cs="Arial"/>
          <w:sz w:val="18"/>
          <w:szCs w:val="18"/>
          <w:lang w:val="es-CO"/>
        </w:rPr>
        <w:t>, Pereira, Civil-Familia</w:t>
      </w:r>
      <w:r w:rsidRPr="00B01E01">
        <w:rPr>
          <w:rFonts w:ascii="Arial" w:hAnsi="Arial" w:cs="Arial"/>
          <w:sz w:val="18"/>
          <w:szCs w:val="18"/>
        </w:rPr>
        <w:t>, Sentencias del 03-11-2016 y 23-11-2016</w:t>
      </w:r>
      <w:r w:rsidR="00CA638D" w:rsidRPr="00B01E01">
        <w:rPr>
          <w:rFonts w:ascii="Arial" w:hAnsi="Arial" w:cs="Arial"/>
          <w:sz w:val="18"/>
          <w:szCs w:val="18"/>
        </w:rPr>
        <w:t>,</w:t>
      </w:r>
      <w:r w:rsidRPr="00B01E01">
        <w:rPr>
          <w:rFonts w:ascii="Arial" w:hAnsi="Arial" w:cs="Arial"/>
          <w:sz w:val="18"/>
          <w:szCs w:val="18"/>
        </w:rPr>
        <w:t xml:space="preserve"> </w:t>
      </w:r>
      <w:proofErr w:type="spellStart"/>
      <w:r w:rsidRPr="00B01E01">
        <w:rPr>
          <w:rFonts w:ascii="Arial" w:hAnsi="Arial" w:cs="Arial"/>
          <w:sz w:val="18"/>
          <w:szCs w:val="18"/>
        </w:rPr>
        <w:t>MP</w:t>
      </w:r>
      <w:proofErr w:type="spellEnd"/>
      <w:r w:rsidRPr="00B01E01">
        <w:rPr>
          <w:rFonts w:ascii="Arial" w:hAnsi="Arial" w:cs="Arial"/>
          <w:sz w:val="18"/>
          <w:szCs w:val="18"/>
        </w:rPr>
        <w:t xml:space="preserve">: Arcila R., </w:t>
      </w:r>
      <w:r w:rsidR="00CA638D" w:rsidRPr="00B01E01">
        <w:rPr>
          <w:rFonts w:ascii="Arial" w:hAnsi="Arial" w:cs="Arial"/>
          <w:sz w:val="18"/>
          <w:szCs w:val="18"/>
        </w:rPr>
        <w:t>exp.</w:t>
      </w:r>
      <w:r w:rsidRPr="00B01E01">
        <w:rPr>
          <w:rFonts w:ascii="Arial" w:hAnsi="Arial" w:cs="Arial"/>
          <w:sz w:val="18"/>
          <w:szCs w:val="18"/>
        </w:rPr>
        <w:t>2016-00968-00 y 2015-00882-00;</w:t>
      </w:r>
      <w:r w:rsidR="00CA638D" w:rsidRPr="00B01E01">
        <w:rPr>
          <w:rFonts w:ascii="Arial" w:hAnsi="Arial" w:cs="Arial"/>
          <w:sz w:val="18"/>
          <w:szCs w:val="18"/>
        </w:rPr>
        <w:t xml:space="preserve"> del 13-12-2018, </w:t>
      </w:r>
      <w:proofErr w:type="spellStart"/>
      <w:r w:rsidR="00CA638D" w:rsidRPr="00B01E01">
        <w:rPr>
          <w:rFonts w:ascii="Arial" w:hAnsi="Arial" w:cs="Arial"/>
          <w:sz w:val="18"/>
          <w:szCs w:val="18"/>
        </w:rPr>
        <w:t>MP</w:t>
      </w:r>
      <w:proofErr w:type="spellEnd"/>
      <w:r w:rsidR="00CA638D" w:rsidRPr="00B01E01">
        <w:rPr>
          <w:rFonts w:ascii="Arial" w:hAnsi="Arial" w:cs="Arial"/>
          <w:sz w:val="18"/>
          <w:szCs w:val="18"/>
        </w:rPr>
        <w:t>: Sánchez C., exp.2018-00778-01; y, del 09-06-2017</w:t>
      </w:r>
      <w:r w:rsidR="00CA638D" w:rsidRPr="00B01E01">
        <w:rPr>
          <w:rFonts w:ascii="Arial" w:hAnsi="Arial" w:cs="Arial"/>
          <w:sz w:val="18"/>
          <w:szCs w:val="18"/>
          <w:lang w:val="es-CO"/>
        </w:rPr>
        <w:t xml:space="preserve">, </w:t>
      </w:r>
      <w:proofErr w:type="spellStart"/>
      <w:r w:rsidR="00CA638D" w:rsidRPr="00B01E01">
        <w:rPr>
          <w:rFonts w:ascii="Arial" w:hAnsi="Arial" w:cs="Arial"/>
          <w:sz w:val="18"/>
          <w:szCs w:val="18"/>
          <w:lang w:val="es-CO"/>
        </w:rPr>
        <w:t>MP</w:t>
      </w:r>
      <w:proofErr w:type="spellEnd"/>
      <w:r w:rsidR="00CA638D" w:rsidRPr="00B01E01">
        <w:rPr>
          <w:rFonts w:ascii="Arial" w:hAnsi="Arial" w:cs="Arial"/>
          <w:sz w:val="18"/>
          <w:szCs w:val="18"/>
          <w:lang w:val="es-CO"/>
        </w:rPr>
        <w:t>: Grisales H., exp.2017-00522-00,</w:t>
      </w:r>
      <w:r w:rsidRPr="00B01E01">
        <w:rPr>
          <w:rFonts w:ascii="Arial" w:hAnsi="Arial" w:cs="Arial"/>
          <w:sz w:val="18"/>
          <w:szCs w:val="18"/>
        </w:rPr>
        <w:t xml:space="preserve"> entre otras.</w:t>
      </w:r>
    </w:p>
  </w:footnote>
  <w:footnote w:id="12">
    <w:p w:rsidR="004608FC" w:rsidRPr="00B01E01" w:rsidRDefault="005A5B47"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w:t>
      </w:r>
      <w:r w:rsidRPr="00B01E01">
        <w:rPr>
          <w:rFonts w:ascii="Arial" w:hAnsi="Arial" w:cs="Arial"/>
          <w:sz w:val="18"/>
          <w:szCs w:val="18"/>
          <w:lang w:val="es-CO"/>
        </w:rPr>
        <w:t>CC. T-526 de 2005 y T-410 de 2013.</w:t>
      </w:r>
    </w:p>
  </w:footnote>
  <w:footnote w:id="13">
    <w:p w:rsidR="004608FC" w:rsidRPr="00B01E01" w:rsidRDefault="004A122D" w:rsidP="00B01E01">
      <w:pPr>
        <w:pStyle w:val="Textonotapie"/>
        <w:jc w:val="both"/>
        <w:rPr>
          <w:rFonts w:ascii="Arial" w:hAnsi="Arial" w:cs="Arial"/>
          <w:sz w:val="18"/>
          <w:szCs w:val="18"/>
        </w:rPr>
      </w:pPr>
      <w:r w:rsidRPr="00B01E01">
        <w:rPr>
          <w:rStyle w:val="Refdenotaalpie"/>
          <w:rFonts w:ascii="Arial" w:hAnsi="Arial" w:cs="Arial"/>
          <w:sz w:val="18"/>
          <w:szCs w:val="18"/>
        </w:rPr>
        <w:footnoteRef/>
      </w:r>
      <w:r w:rsidRPr="00B01E01">
        <w:rPr>
          <w:rFonts w:ascii="Arial" w:hAnsi="Arial" w:cs="Arial"/>
          <w:sz w:val="18"/>
          <w:szCs w:val="18"/>
        </w:rPr>
        <w:t xml:space="preserve"> CC.  T-089 de 2018, SU-210 de 2017 y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731307">
      <w:rPr>
        <w:rFonts w:ascii="Georgia" w:hAnsi="Georgia" w:cs="Calibri"/>
        <w:i/>
        <w:noProof/>
        <w:sz w:val="20"/>
      </w:rPr>
      <w:t>2</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E20909">
      <w:rPr>
        <w:rFonts w:ascii="Georgia" w:hAnsi="Georgia" w:cs="Calibri"/>
        <w:i/>
        <w:sz w:val="18"/>
        <w:szCs w:val="22"/>
      </w:rPr>
      <w:t>144</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9">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2">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1"/>
  </w:num>
  <w:num w:numId="2">
    <w:abstractNumId w:val="24"/>
  </w:num>
  <w:num w:numId="3">
    <w:abstractNumId w:val="21"/>
  </w:num>
  <w:num w:numId="4">
    <w:abstractNumId w:val="6"/>
  </w:num>
  <w:num w:numId="5">
    <w:abstractNumId w:val="38"/>
  </w:num>
  <w:num w:numId="6">
    <w:abstractNumId w:val="1"/>
  </w:num>
  <w:num w:numId="7">
    <w:abstractNumId w:val="31"/>
  </w:num>
  <w:num w:numId="8">
    <w:abstractNumId w:val="2"/>
  </w:num>
  <w:num w:numId="9">
    <w:abstractNumId w:val="39"/>
  </w:num>
  <w:num w:numId="10">
    <w:abstractNumId w:val="32"/>
  </w:num>
  <w:num w:numId="11">
    <w:abstractNumId w:val="27"/>
  </w:num>
  <w:num w:numId="12">
    <w:abstractNumId w:val="35"/>
  </w:num>
  <w:num w:numId="13">
    <w:abstractNumId w:val="15"/>
  </w:num>
  <w:num w:numId="14">
    <w:abstractNumId w:val="19"/>
  </w:num>
  <w:num w:numId="15">
    <w:abstractNumId w:val="25"/>
  </w:num>
  <w:num w:numId="16">
    <w:abstractNumId w:val="9"/>
  </w:num>
  <w:num w:numId="17">
    <w:abstractNumId w:val="26"/>
  </w:num>
  <w:num w:numId="18">
    <w:abstractNumId w:val="13"/>
  </w:num>
  <w:num w:numId="19">
    <w:abstractNumId w:val="10"/>
  </w:num>
  <w:num w:numId="20">
    <w:abstractNumId w:val="20"/>
  </w:num>
  <w:num w:numId="21">
    <w:abstractNumId w:val="29"/>
  </w:num>
  <w:num w:numId="22">
    <w:abstractNumId w:val="33"/>
  </w:num>
  <w:num w:numId="23">
    <w:abstractNumId w:val="12"/>
  </w:num>
  <w:num w:numId="24">
    <w:abstractNumId w:val="18"/>
  </w:num>
  <w:num w:numId="25">
    <w:abstractNumId w:val="13"/>
  </w:num>
  <w:num w:numId="26">
    <w:abstractNumId w:val="4"/>
  </w:num>
  <w:num w:numId="27">
    <w:abstractNumId w:val="40"/>
  </w:num>
  <w:num w:numId="28">
    <w:abstractNumId w:val="11"/>
  </w:num>
  <w:num w:numId="29">
    <w:abstractNumId w:val="36"/>
  </w:num>
  <w:num w:numId="30">
    <w:abstractNumId w:val="16"/>
  </w:num>
  <w:num w:numId="31">
    <w:abstractNumId w:val="22"/>
  </w:num>
  <w:num w:numId="32">
    <w:abstractNumId w:val="14"/>
  </w:num>
  <w:num w:numId="33">
    <w:abstractNumId w:val="30"/>
  </w:num>
  <w:num w:numId="34">
    <w:abstractNumId w:val="5"/>
  </w:num>
  <w:num w:numId="35">
    <w:abstractNumId w:val="37"/>
  </w:num>
  <w:num w:numId="36">
    <w:abstractNumId w:val="28"/>
  </w:num>
  <w:num w:numId="37">
    <w:abstractNumId w:val="23"/>
  </w:num>
  <w:num w:numId="38">
    <w:abstractNumId w:val="13"/>
  </w:num>
  <w:num w:numId="39">
    <w:abstractNumId w:val="8"/>
  </w:num>
  <w:num w:numId="40">
    <w:abstractNumId w:val="0"/>
  </w:num>
  <w:num w:numId="41">
    <w:abstractNumId w:val="3"/>
  </w:num>
  <w:num w:numId="42">
    <w:abstractNumId w:val="7"/>
  </w:num>
  <w:num w:numId="43">
    <w:abstractNumId w:val="17"/>
  </w:num>
  <w:num w:numId="44">
    <w:abstractNumId w:val="34"/>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1"/>
    <w:lvlOverride w:ilvl="0">
      <w:startOverride w:val="1"/>
    </w:lvlOverride>
    <w:lvlOverride w:ilvl="1"/>
    <w:lvlOverride w:ilvl="2"/>
    <w:lvlOverride w:ilvl="3"/>
    <w:lvlOverride w:ilvl="4"/>
    <w:lvlOverride w:ilvl="5"/>
    <w:lvlOverride w:ilvl="6"/>
    <w:lvlOverride w:ilvl="7"/>
    <w:lvlOverride w:ilvl="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5289"/>
    <w:rsid w:val="0000570F"/>
    <w:rsid w:val="0000571B"/>
    <w:rsid w:val="000059BC"/>
    <w:rsid w:val="00005A2F"/>
    <w:rsid w:val="00005BB7"/>
    <w:rsid w:val="000065EA"/>
    <w:rsid w:val="00006B94"/>
    <w:rsid w:val="00006CF5"/>
    <w:rsid w:val="00006D07"/>
    <w:rsid w:val="0000704D"/>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036"/>
    <w:rsid w:val="00016253"/>
    <w:rsid w:val="00017B6F"/>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86"/>
    <w:rsid w:val="000311D1"/>
    <w:rsid w:val="00032C42"/>
    <w:rsid w:val="00033A58"/>
    <w:rsid w:val="0003401F"/>
    <w:rsid w:val="000341E2"/>
    <w:rsid w:val="00034A23"/>
    <w:rsid w:val="000350BA"/>
    <w:rsid w:val="00035569"/>
    <w:rsid w:val="00035AC1"/>
    <w:rsid w:val="00035E46"/>
    <w:rsid w:val="00035F00"/>
    <w:rsid w:val="00036B5B"/>
    <w:rsid w:val="00036D33"/>
    <w:rsid w:val="00036ED6"/>
    <w:rsid w:val="00037093"/>
    <w:rsid w:val="0003761B"/>
    <w:rsid w:val="00040D5C"/>
    <w:rsid w:val="00040F01"/>
    <w:rsid w:val="0004100F"/>
    <w:rsid w:val="00041210"/>
    <w:rsid w:val="00042D53"/>
    <w:rsid w:val="00043741"/>
    <w:rsid w:val="00043ADF"/>
    <w:rsid w:val="00043BB5"/>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31FD"/>
    <w:rsid w:val="0006538C"/>
    <w:rsid w:val="0006557F"/>
    <w:rsid w:val="00065A60"/>
    <w:rsid w:val="00066166"/>
    <w:rsid w:val="00066A30"/>
    <w:rsid w:val="00066AAA"/>
    <w:rsid w:val="00066B97"/>
    <w:rsid w:val="00066E83"/>
    <w:rsid w:val="0006709B"/>
    <w:rsid w:val="00067566"/>
    <w:rsid w:val="00067715"/>
    <w:rsid w:val="00067A15"/>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DED"/>
    <w:rsid w:val="000812BB"/>
    <w:rsid w:val="000814F1"/>
    <w:rsid w:val="00081F32"/>
    <w:rsid w:val="00081FDD"/>
    <w:rsid w:val="000824BB"/>
    <w:rsid w:val="00082813"/>
    <w:rsid w:val="000833E9"/>
    <w:rsid w:val="000844E0"/>
    <w:rsid w:val="000848B7"/>
    <w:rsid w:val="00085162"/>
    <w:rsid w:val="00085345"/>
    <w:rsid w:val="00085349"/>
    <w:rsid w:val="0008537A"/>
    <w:rsid w:val="00085633"/>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4029"/>
    <w:rsid w:val="000B415F"/>
    <w:rsid w:val="000B4740"/>
    <w:rsid w:val="000B57FB"/>
    <w:rsid w:val="000B5E81"/>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27CE"/>
    <w:rsid w:val="000C32DE"/>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CB"/>
    <w:rsid w:val="000D485C"/>
    <w:rsid w:val="000D61A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A36"/>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2D75"/>
    <w:rsid w:val="0011319D"/>
    <w:rsid w:val="001144AE"/>
    <w:rsid w:val="001149F2"/>
    <w:rsid w:val="00114A7D"/>
    <w:rsid w:val="00114CED"/>
    <w:rsid w:val="00115830"/>
    <w:rsid w:val="00115FEA"/>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E9A"/>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072"/>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72"/>
    <w:rsid w:val="00176C9B"/>
    <w:rsid w:val="001778CF"/>
    <w:rsid w:val="00180B3C"/>
    <w:rsid w:val="00181213"/>
    <w:rsid w:val="00181C9F"/>
    <w:rsid w:val="00181ECC"/>
    <w:rsid w:val="00183208"/>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3E75"/>
    <w:rsid w:val="001A4D34"/>
    <w:rsid w:val="001A6A5E"/>
    <w:rsid w:val="001A6BD6"/>
    <w:rsid w:val="001A7270"/>
    <w:rsid w:val="001B024F"/>
    <w:rsid w:val="001B0329"/>
    <w:rsid w:val="001B0E0F"/>
    <w:rsid w:val="001B1B9D"/>
    <w:rsid w:val="001B20E8"/>
    <w:rsid w:val="001B2927"/>
    <w:rsid w:val="001B3C41"/>
    <w:rsid w:val="001B4781"/>
    <w:rsid w:val="001B5303"/>
    <w:rsid w:val="001B549A"/>
    <w:rsid w:val="001B5697"/>
    <w:rsid w:val="001B59F9"/>
    <w:rsid w:val="001B62E6"/>
    <w:rsid w:val="001B6EE3"/>
    <w:rsid w:val="001B7C59"/>
    <w:rsid w:val="001B7DA1"/>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544B"/>
    <w:rsid w:val="001C61F5"/>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F72"/>
    <w:rsid w:val="002037E2"/>
    <w:rsid w:val="00203C17"/>
    <w:rsid w:val="00203E29"/>
    <w:rsid w:val="002044E3"/>
    <w:rsid w:val="00204529"/>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7B1"/>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243"/>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4D00"/>
    <w:rsid w:val="002C5039"/>
    <w:rsid w:val="002C50BB"/>
    <w:rsid w:val="002C5523"/>
    <w:rsid w:val="002C5B41"/>
    <w:rsid w:val="002C5BB8"/>
    <w:rsid w:val="002C710C"/>
    <w:rsid w:val="002C771C"/>
    <w:rsid w:val="002C79F1"/>
    <w:rsid w:val="002D061F"/>
    <w:rsid w:val="002D065A"/>
    <w:rsid w:val="002D08EB"/>
    <w:rsid w:val="002D1B84"/>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669B"/>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1C1"/>
    <w:rsid w:val="00327614"/>
    <w:rsid w:val="00330025"/>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4AA6"/>
    <w:rsid w:val="00365254"/>
    <w:rsid w:val="003656BF"/>
    <w:rsid w:val="00365E29"/>
    <w:rsid w:val="0036612F"/>
    <w:rsid w:val="00367E7E"/>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26"/>
    <w:rsid w:val="00384DBF"/>
    <w:rsid w:val="00384EE7"/>
    <w:rsid w:val="00385383"/>
    <w:rsid w:val="003857BC"/>
    <w:rsid w:val="00385E43"/>
    <w:rsid w:val="003860A0"/>
    <w:rsid w:val="00386A62"/>
    <w:rsid w:val="0038712D"/>
    <w:rsid w:val="003903BD"/>
    <w:rsid w:val="00390E90"/>
    <w:rsid w:val="0039143D"/>
    <w:rsid w:val="00391560"/>
    <w:rsid w:val="00391B1A"/>
    <w:rsid w:val="00391C61"/>
    <w:rsid w:val="00391FA3"/>
    <w:rsid w:val="003928A7"/>
    <w:rsid w:val="00392B62"/>
    <w:rsid w:val="00392B8A"/>
    <w:rsid w:val="00392F23"/>
    <w:rsid w:val="003931C4"/>
    <w:rsid w:val="003931D4"/>
    <w:rsid w:val="0039383D"/>
    <w:rsid w:val="003938A6"/>
    <w:rsid w:val="00394BCF"/>
    <w:rsid w:val="00395005"/>
    <w:rsid w:val="00395650"/>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A61"/>
    <w:rsid w:val="003A4CB0"/>
    <w:rsid w:val="003A52DC"/>
    <w:rsid w:val="003A58B3"/>
    <w:rsid w:val="003A5B20"/>
    <w:rsid w:val="003A67E9"/>
    <w:rsid w:val="003B08F5"/>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8E3"/>
    <w:rsid w:val="003C1D50"/>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708"/>
    <w:rsid w:val="003D7DC8"/>
    <w:rsid w:val="003E0D08"/>
    <w:rsid w:val="003E0DA0"/>
    <w:rsid w:val="003E15C3"/>
    <w:rsid w:val="003E15EB"/>
    <w:rsid w:val="003E17E9"/>
    <w:rsid w:val="003E18D8"/>
    <w:rsid w:val="003E2887"/>
    <w:rsid w:val="003E288D"/>
    <w:rsid w:val="003E35E2"/>
    <w:rsid w:val="003E3CD6"/>
    <w:rsid w:val="003E3D98"/>
    <w:rsid w:val="003E44F9"/>
    <w:rsid w:val="003E4897"/>
    <w:rsid w:val="003E5253"/>
    <w:rsid w:val="003E66CE"/>
    <w:rsid w:val="003E73B6"/>
    <w:rsid w:val="003E7B3E"/>
    <w:rsid w:val="003F0054"/>
    <w:rsid w:val="003F01B3"/>
    <w:rsid w:val="003F0EE1"/>
    <w:rsid w:val="003F13A2"/>
    <w:rsid w:val="003F13B4"/>
    <w:rsid w:val="003F1BE8"/>
    <w:rsid w:val="003F1D5C"/>
    <w:rsid w:val="003F2ADA"/>
    <w:rsid w:val="003F2BE4"/>
    <w:rsid w:val="003F3057"/>
    <w:rsid w:val="003F3BCD"/>
    <w:rsid w:val="003F3E22"/>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61E8"/>
    <w:rsid w:val="004276F6"/>
    <w:rsid w:val="00430174"/>
    <w:rsid w:val="004302F8"/>
    <w:rsid w:val="0043043A"/>
    <w:rsid w:val="00431B5B"/>
    <w:rsid w:val="00432087"/>
    <w:rsid w:val="00432145"/>
    <w:rsid w:val="00432310"/>
    <w:rsid w:val="004326E3"/>
    <w:rsid w:val="00432E4F"/>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74"/>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1F9"/>
    <w:rsid w:val="004513F3"/>
    <w:rsid w:val="00451431"/>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8FC"/>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0BF3"/>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D58"/>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B5"/>
    <w:rsid w:val="0049027C"/>
    <w:rsid w:val="00491288"/>
    <w:rsid w:val="00491333"/>
    <w:rsid w:val="00491B8B"/>
    <w:rsid w:val="00491D39"/>
    <w:rsid w:val="00492316"/>
    <w:rsid w:val="004927CF"/>
    <w:rsid w:val="0049331E"/>
    <w:rsid w:val="004935DB"/>
    <w:rsid w:val="00493612"/>
    <w:rsid w:val="00493D0E"/>
    <w:rsid w:val="004940D6"/>
    <w:rsid w:val="004940DE"/>
    <w:rsid w:val="00494DFC"/>
    <w:rsid w:val="00494F4B"/>
    <w:rsid w:val="00495FB0"/>
    <w:rsid w:val="00496B85"/>
    <w:rsid w:val="004978F6"/>
    <w:rsid w:val="0049795A"/>
    <w:rsid w:val="00497A22"/>
    <w:rsid w:val="00497AE4"/>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734"/>
    <w:rsid w:val="004C4062"/>
    <w:rsid w:val="004C449D"/>
    <w:rsid w:val="004C48DC"/>
    <w:rsid w:val="004C4D15"/>
    <w:rsid w:val="004C5E38"/>
    <w:rsid w:val="004C5FBD"/>
    <w:rsid w:val="004C630D"/>
    <w:rsid w:val="004C66CC"/>
    <w:rsid w:val="004C6B7B"/>
    <w:rsid w:val="004C6D4E"/>
    <w:rsid w:val="004C6E9F"/>
    <w:rsid w:val="004C72C8"/>
    <w:rsid w:val="004C7364"/>
    <w:rsid w:val="004C76B5"/>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6B1"/>
    <w:rsid w:val="004D426C"/>
    <w:rsid w:val="004D49FA"/>
    <w:rsid w:val="004D4D7E"/>
    <w:rsid w:val="004D5EB0"/>
    <w:rsid w:val="004D5F0A"/>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AB9"/>
    <w:rsid w:val="004F1CFF"/>
    <w:rsid w:val="004F2631"/>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1EA"/>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746E"/>
    <w:rsid w:val="005075CB"/>
    <w:rsid w:val="0050776C"/>
    <w:rsid w:val="00507B34"/>
    <w:rsid w:val="00507EDE"/>
    <w:rsid w:val="0051016F"/>
    <w:rsid w:val="005109D6"/>
    <w:rsid w:val="00511336"/>
    <w:rsid w:val="005114B5"/>
    <w:rsid w:val="00511FE0"/>
    <w:rsid w:val="0051298F"/>
    <w:rsid w:val="00512C57"/>
    <w:rsid w:val="00513CE7"/>
    <w:rsid w:val="0051401C"/>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871"/>
    <w:rsid w:val="00580947"/>
    <w:rsid w:val="00582506"/>
    <w:rsid w:val="00582A15"/>
    <w:rsid w:val="005842CF"/>
    <w:rsid w:val="005843B1"/>
    <w:rsid w:val="00585845"/>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4B"/>
    <w:rsid w:val="005951B2"/>
    <w:rsid w:val="00595487"/>
    <w:rsid w:val="005955FF"/>
    <w:rsid w:val="00595F55"/>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D2"/>
    <w:rsid w:val="005B41F5"/>
    <w:rsid w:val="005B4A1B"/>
    <w:rsid w:val="005B7137"/>
    <w:rsid w:val="005B72A9"/>
    <w:rsid w:val="005B7B38"/>
    <w:rsid w:val="005C053C"/>
    <w:rsid w:val="005C09A0"/>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C89"/>
    <w:rsid w:val="005D0DA8"/>
    <w:rsid w:val="005D0EE4"/>
    <w:rsid w:val="005D125C"/>
    <w:rsid w:val="005D135A"/>
    <w:rsid w:val="005D1E61"/>
    <w:rsid w:val="005D1F60"/>
    <w:rsid w:val="005D2FDF"/>
    <w:rsid w:val="005D378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0EF6"/>
    <w:rsid w:val="005F10FF"/>
    <w:rsid w:val="005F16BD"/>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33B3"/>
    <w:rsid w:val="00633BBD"/>
    <w:rsid w:val="00633EB4"/>
    <w:rsid w:val="006343D5"/>
    <w:rsid w:val="00634C22"/>
    <w:rsid w:val="00634D43"/>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6C17"/>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2F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4DBF"/>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4C0"/>
    <w:rsid w:val="006959AC"/>
    <w:rsid w:val="00695CFA"/>
    <w:rsid w:val="00696147"/>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937"/>
    <w:rsid w:val="006D4BDA"/>
    <w:rsid w:val="006D508F"/>
    <w:rsid w:val="006D50CE"/>
    <w:rsid w:val="006D557E"/>
    <w:rsid w:val="006D5C87"/>
    <w:rsid w:val="006D6594"/>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F2"/>
    <w:rsid w:val="0070347D"/>
    <w:rsid w:val="00703FD2"/>
    <w:rsid w:val="007040EE"/>
    <w:rsid w:val="007049D2"/>
    <w:rsid w:val="00704A64"/>
    <w:rsid w:val="00704CBD"/>
    <w:rsid w:val="00704D44"/>
    <w:rsid w:val="00704DAF"/>
    <w:rsid w:val="00705F12"/>
    <w:rsid w:val="0070650E"/>
    <w:rsid w:val="007073D1"/>
    <w:rsid w:val="00707472"/>
    <w:rsid w:val="00707648"/>
    <w:rsid w:val="00707B0A"/>
    <w:rsid w:val="007106FD"/>
    <w:rsid w:val="00710928"/>
    <w:rsid w:val="00710A01"/>
    <w:rsid w:val="00710F84"/>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7574"/>
    <w:rsid w:val="00720F6E"/>
    <w:rsid w:val="007229B8"/>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30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2B0D"/>
    <w:rsid w:val="0075358D"/>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166"/>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4C9C"/>
    <w:rsid w:val="007D5761"/>
    <w:rsid w:val="007D5A2A"/>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3B3"/>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79F"/>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D5E"/>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9F0"/>
    <w:rsid w:val="00811A3A"/>
    <w:rsid w:val="00811CD1"/>
    <w:rsid w:val="00812556"/>
    <w:rsid w:val="0081322E"/>
    <w:rsid w:val="00813552"/>
    <w:rsid w:val="008139F4"/>
    <w:rsid w:val="00814493"/>
    <w:rsid w:val="00814AC7"/>
    <w:rsid w:val="00814E78"/>
    <w:rsid w:val="0081546B"/>
    <w:rsid w:val="008154F0"/>
    <w:rsid w:val="00815EE2"/>
    <w:rsid w:val="00815EF9"/>
    <w:rsid w:val="008163C1"/>
    <w:rsid w:val="00816781"/>
    <w:rsid w:val="00817549"/>
    <w:rsid w:val="008200A3"/>
    <w:rsid w:val="00820448"/>
    <w:rsid w:val="00820AFB"/>
    <w:rsid w:val="00820B3A"/>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50E"/>
    <w:rsid w:val="0085168A"/>
    <w:rsid w:val="00851CB4"/>
    <w:rsid w:val="00851DD9"/>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2643"/>
    <w:rsid w:val="00862AB2"/>
    <w:rsid w:val="008634F9"/>
    <w:rsid w:val="00863716"/>
    <w:rsid w:val="00863926"/>
    <w:rsid w:val="00864595"/>
    <w:rsid w:val="00864B50"/>
    <w:rsid w:val="00864C38"/>
    <w:rsid w:val="00865235"/>
    <w:rsid w:val="00865709"/>
    <w:rsid w:val="00865BF9"/>
    <w:rsid w:val="00866190"/>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0E3B"/>
    <w:rsid w:val="0089101F"/>
    <w:rsid w:val="00891194"/>
    <w:rsid w:val="008914F4"/>
    <w:rsid w:val="008915F8"/>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70D"/>
    <w:rsid w:val="008D49E9"/>
    <w:rsid w:val="008D53F1"/>
    <w:rsid w:val="008D7F5B"/>
    <w:rsid w:val="008E0188"/>
    <w:rsid w:val="008E1295"/>
    <w:rsid w:val="008E1F02"/>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780"/>
    <w:rsid w:val="00924A60"/>
    <w:rsid w:val="00925BFB"/>
    <w:rsid w:val="00925F41"/>
    <w:rsid w:val="009261AA"/>
    <w:rsid w:val="009263E6"/>
    <w:rsid w:val="009267DD"/>
    <w:rsid w:val="00926FF0"/>
    <w:rsid w:val="00927167"/>
    <w:rsid w:val="0092718C"/>
    <w:rsid w:val="0092747F"/>
    <w:rsid w:val="00927491"/>
    <w:rsid w:val="009274A6"/>
    <w:rsid w:val="00930478"/>
    <w:rsid w:val="00930751"/>
    <w:rsid w:val="00930A64"/>
    <w:rsid w:val="00930C82"/>
    <w:rsid w:val="00930CA4"/>
    <w:rsid w:val="00931392"/>
    <w:rsid w:val="00931E1D"/>
    <w:rsid w:val="00931FC9"/>
    <w:rsid w:val="009328E7"/>
    <w:rsid w:val="00932CAA"/>
    <w:rsid w:val="009345B8"/>
    <w:rsid w:val="00934829"/>
    <w:rsid w:val="0093486D"/>
    <w:rsid w:val="00934911"/>
    <w:rsid w:val="00935CCF"/>
    <w:rsid w:val="009363CF"/>
    <w:rsid w:val="0093690C"/>
    <w:rsid w:val="00936BEB"/>
    <w:rsid w:val="009371D8"/>
    <w:rsid w:val="0093726C"/>
    <w:rsid w:val="0093743B"/>
    <w:rsid w:val="00937777"/>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29E"/>
    <w:rsid w:val="0099680A"/>
    <w:rsid w:val="0099691C"/>
    <w:rsid w:val="00996AA9"/>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0361"/>
    <w:rsid w:val="009D13FF"/>
    <w:rsid w:val="009D1A36"/>
    <w:rsid w:val="009D1ACD"/>
    <w:rsid w:val="009D1B83"/>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53A"/>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68E"/>
    <w:rsid w:val="00A06890"/>
    <w:rsid w:val="00A06EB8"/>
    <w:rsid w:val="00A07309"/>
    <w:rsid w:val="00A07CF3"/>
    <w:rsid w:val="00A10B90"/>
    <w:rsid w:val="00A1129E"/>
    <w:rsid w:val="00A1181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3426"/>
    <w:rsid w:val="00A534B2"/>
    <w:rsid w:val="00A5356E"/>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CE6"/>
    <w:rsid w:val="00A621A8"/>
    <w:rsid w:val="00A62F8F"/>
    <w:rsid w:val="00A62FC0"/>
    <w:rsid w:val="00A63059"/>
    <w:rsid w:val="00A6319F"/>
    <w:rsid w:val="00A635CB"/>
    <w:rsid w:val="00A635E6"/>
    <w:rsid w:val="00A64948"/>
    <w:rsid w:val="00A65092"/>
    <w:rsid w:val="00A65604"/>
    <w:rsid w:val="00A66A78"/>
    <w:rsid w:val="00A66F31"/>
    <w:rsid w:val="00A67F54"/>
    <w:rsid w:val="00A7037C"/>
    <w:rsid w:val="00A7096D"/>
    <w:rsid w:val="00A7163A"/>
    <w:rsid w:val="00A71827"/>
    <w:rsid w:val="00A72360"/>
    <w:rsid w:val="00A72986"/>
    <w:rsid w:val="00A7349E"/>
    <w:rsid w:val="00A734D3"/>
    <w:rsid w:val="00A7386D"/>
    <w:rsid w:val="00A73A5D"/>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4222"/>
    <w:rsid w:val="00A8433A"/>
    <w:rsid w:val="00A847A8"/>
    <w:rsid w:val="00A847E6"/>
    <w:rsid w:val="00A8508D"/>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422D"/>
    <w:rsid w:val="00AA507B"/>
    <w:rsid w:val="00AA5815"/>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535"/>
    <w:rsid w:val="00AC175F"/>
    <w:rsid w:val="00AC1E77"/>
    <w:rsid w:val="00AC26D1"/>
    <w:rsid w:val="00AC3322"/>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3FC"/>
    <w:rsid w:val="00AD4EF8"/>
    <w:rsid w:val="00AD5139"/>
    <w:rsid w:val="00AD5147"/>
    <w:rsid w:val="00AD5463"/>
    <w:rsid w:val="00AD57CA"/>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01"/>
    <w:rsid w:val="00B01EBF"/>
    <w:rsid w:val="00B02716"/>
    <w:rsid w:val="00B02C05"/>
    <w:rsid w:val="00B03045"/>
    <w:rsid w:val="00B04848"/>
    <w:rsid w:val="00B05CA6"/>
    <w:rsid w:val="00B05F38"/>
    <w:rsid w:val="00B06A13"/>
    <w:rsid w:val="00B06BAF"/>
    <w:rsid w:val="00B06F9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1F5"/>
    <w:rsid w:val="00B41484"/>
    <w:rsid w:val="00B414A6"/>
    <w:rsid w:val="00B41523"/>
    <w:rsid w:val="00B41B34"/>
    <w:rsid w:val="00B41B99"/>
    <w:rsid w:val="00B41F3E"/>
    <w:rsid w:val="00B42816"/>
    <w:rsid w:val="00B431A9"/>
    <w:rsid w:val="00B43247"/>
    <w:rsid w:val="00B435AF"/>
    <w:rsid w:val="00B43B6B"/>
    <w:rsid w:val="00B44706"/>
    <w:rsid w:val="00B44B3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6F79"/>
    <w:rsid w:val="00B5760B"/>
    <w:rsid w:val="00B57911"/>
    <w:rsid w:val="00B57C24"/>
    <w:rsid w:val="00B57C98"/>
    <w:rsid w:val="00B60C39"/>
    <w:rsid w:val="00B60E09"/>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ABB"/>
    <w:rsid w:val="00B77C71"/>
    <w:rsid w:val="00B77CD2"/>
    <w:rsid w:val="00B80992"/>
    <w:rsid w:val="00B81D32"/>
    <w:rsid w:val="00B82862"/>
    <w:rsid w:val="00B82939"/>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191"/>
    <w:rsid w:val="00C15358"/>
    <w:rsid w:val="00C15C92"/>
    <w:rsid w:val="00C15D67"/>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5F4"/>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87367"/>
    <w:rsid w:val="00C901FD"/>
    <w:rsid w:val="00C91451"/>
    <w:rsid w:val="00C914BD"/>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38D"/>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378E"/>
    <w:rsid w:val="00CC3CAC"/>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617"/>
    <w:rsid w:val="00CD79DB"/>
    <w:rsid w:val="00CE0777"/>
    <w:rsid w:val="00CE0811"/>
    <w:rsid w:val="00CE0821"/>
    <w:rsid w:val="00CE09BA"/>
    <w:rsid w:val="00CE1507"/>
    <w:rsid w:val="00CE2627"/>
    <w:rsid w:val="00CE2B5F"/>
    <w:rsid w:val="00CE2C52"/>
    <w:rsid w:val="00CE389E"/>
    <w:rsid w:val="00CE3C27"/>
    <w:rsid w:val="00CE4092"/>
    <w:rsid w:val="00CE4233"/>
    <w:rsid w:val="00CE4238"/>
    <w:rsid w:val="00CE4281"/>
    <w:rsid w:val="00CE4D92"/>
    <w:rsid w:val="00CE4EA2"/>
    <w:rsid w:val="00CE5CDC"/>
    <w:rsid w:val="00CE5DE7"/>
    <w:rsid w:val="00CE5DFD"/>
    <w:rsid w:val="00CE5F0B"/>
    <w:rsid w:val="00CE5F41"/>
    <w:rsid w:val="00CE60B2"/>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6FBE"/>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5D8"/>
    <w:rsid w:val="00D33789"/>
    <w:rsid w:val="00D33C09"/>
    <w:rsid w:val="00D33E7B"/>
    <w:rsid w:val="00D34C8C"/>
    <w:rsid w:val="00D34E71"/>
    <w:rsid w:val="00D35304"/>
    <w:rsid w:val="00D3531C"/>
    <w:rsid w:val="00D3719C"/>
    <w:rsid w:val="00D37435"/>
    <w:rsid w:val="00D3750C"/>
    <w:rsid w:val="00D37AB2"/>
    <w:rsid w:val="00D37AB8"/>
    <w:rsid w:val="00D37E51"/>
    <w:rsid w:val="00D40128"/>
    <w:rsid w:val="00D40175"/>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B5E"/>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CF0"/>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3326"/>
    <w:rsid w:val="00DA37F5"/>
    <w:rsid w:val="00DA3DFC"/>
    <w:rsid w:val="00DA41A2"/>
    <w:rsid w:val="00DA45DF"/>
    <w:rsid w:val="00DA4AEC"/>
    <w:rsid w:val="00DA569C"/>
    <w:rsid w:val="00DA59FF"/>
    <w:rsid w:val="00DA5B56"/>
    <w:rsid w:val="00DA6B15"/>
    <w:rsid w:val="00DA6FAB"/>
    <w:rsid w:val="00DA72AF"/>
    <w:rsid w:val="00DA7790"/>
    <w:rsid w:val="00DA7AF6"/>
    <w:rsid w:val="00DB011A"/>
    <w:rsid w:val="00DB02C2"/>
    <w:rsid w:val="00DB0F88"/>
    <w:rsid w:val="00DB12FC"/>
    <w:rsid w:val="00DB22A9"/>
    <w:rsid w:val="00DB2458"/>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0F"/>
    <w:rsid w:val="00DC0D4C"/>
    <w:rsid w:val="00DC111B"/>
    <w:rsid w:val="00DC1B80"/>
    <w:rsid w:val="00DC2105"/>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D5F"/>
    <w:rsid w:val="00DF6E0D"/>
    <w:rsid w:val="00DF6E6E"/>
    <w:rsid w:val="00DF6F79"/>
    <w:rsid w:val="00DF725A"/>
    <w:rsid w:val="00DF74B6"/>
    <w:rsid w:val="00DF7973"/>
    <w:rsid w:val="00E0067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F65"/>
    <w:rsid w:val="00E1527D"/>
    <w:rsid w:val="00E155EA"/>
    <w:rsid w:val="00E163BC"/>
    <w:rsid w:val="00E1661F"/>
    <w:rsid w:val="00E17752"/>
    <w:rsid w:val="00E17904"/>
    <w:rsid w:val="00E17BD7"/>
    <w:rsid w:val="00E20093"/>
    <w:rsid w:val="00E207CE"/>
    <w:rsid w:val="00E20909"/>
    <w:rsid w:val="00E20F2E"/>
    <w:rsid w:val="00E216EB"/>
    <w:rsid w:val="00E217D2"/>
    <w:rsid w:val="00E22703"/>
    <w:rsid w:val="00E22A66"/>
    <w:rsid w:val="00E22AB2"/>
    <w:rsid w:val="00E22E13"/>
    <w:rsid w:val="00E236D5"/>
    <w:rsid w:val="00E2382A"/>
    <w:rsid w:val="00E242C4"/>
    <w:rsid w:val="00E244F4"/>
    <w:rsid w:val="00E2544B"/>
    <w:rsid w:val="00E25472"/>
    <w:rsid w:val="00E2573A"/>
    <w:rsid w:val="00E2638A"/>
    <w:rsid w:val="00E2684D"/>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08C"/>
    <w:rsid w:val="00E706C8"/>
    <w:rsid w:val="00E714B2"/>
    <w:rsid w:val="00E71604"/>
    <w:rsid w:val="00E71ABD"/>
    <w:rsid w:val="00E73692"/>
    <w:rsid w:val="00E736B7"/>
    <w:rsid w:val="00E73FD7"/>
    <w:rsid w:val="00E74199"/>
    <w:rsid w:val="00E74353"/>
    <w:rsid w:val="00E74E32"/>
    <w:rsid w:val="00E75CCB"/>
    <w:rsid w:val="00E75D20"/>
    <w:rsid w:val="00E76198"/>
    <w:rsid w:val="00E765C8"/>
    <w:rsid w:val="00E7661C"/>
    <w:rsid w:val="00E77445"/>
    <w:rsid w:val="00E77723"/>
    <w:rsid w:val="00E77F0C"/>
    <w:rsid w:val="00E80412"/>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0D8D"/>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6DC"/>
    <w:rsid w:val="00EB484B"/>
    <w:rsid w:val="00EB4C2C"/>
    <w:rsid w:val="00EB5036"/>
    <w:rsid w:val="00EB6A69"/>
    <w:rsid w:val="00EB7A71"/>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181"/>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7D1"/>
    <w:rsid w:val="00F330CE"/>
    <w:rsid w:val="00F332AF"/>
    <w:rsid w:val="00F332B5"/>
    <w:rsid w:val="00F33543"/>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A7"/>
    <w:rsid w:val="00F752BC"/>
    <w:rsid w:val="00F75751"/>
    <w:rsid w:val="00F75BA3"/>
    <w:rsid w:val="00F75E88"/>
    <w:rsid w:val="00F7783B"/>
    <w:rsid w:val="00F815CC"/>
    <w:rsid w:val="00F8200A"/>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0EE"/>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20DE"/>
    <w:rsid w:val="00FC27B2"/>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6A91"/>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4ED"/>
    <w:rsid w:val="00FF4A0D"/>
    <w:rsid w:val="00FF4DA2"/>
    <w:rsid w:val="00FF4FAB"/>
    <w:rsid w:val="00FF5082"/>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430452-0534-49CB-B4FC-8B662DE1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83392">
      <w:marLeft w:val="0"/>
      <w:marRight w:val="0"/>
      <w:marTop w:val="0"/>
      <w:marBottom w:val="0"/>
      <w:divBdr>
        <w:top w:val="none" w:sz="0" w:space="0" w:color="auto"/>
        <w:left w:val="none" w:sz="0" w:space="0" w:color="auto"/>
        <w:bottom w:val="none" w:sz="0" w:space="0" w:color="auto"/>
        <w:right w:val="none" w:sz="0" w:space="0" w:color="auto"/>
      </w:divBdr>
    </w:div>
    <w:div w:id="1418483393">
      <w:marLeft w:val="0"/>
      <w:marRight w:val="0"/>
      <w:marTop w:val="0"/>
      <w:marBottom w:val="0"/>
      <w:divBdr>
        <w:top w:val="none" w:sz="0" w:space="0" w:color="auto"/>
        <w:left w:val="none" w:sz="0" w:space="0" w:color="auto"/>
        <w:bottom w:val="none" w:sz="0" w:space="0" w:color="auto"/>
        <w:right w:val="none" w:sz="0" w:space="0" w:color="auto"/>
      </w:divBdr>
    </w:div>
    <w:div w:id="1418483394">
      <w:marLeft w:val="0"/>
      <w:marRight w:val="0"/>
      <w:marTop w:val="0"/>
      <w:marBottom w:val="0"/>
      <w:divBdr>
        <w:top w:val="none" w:sz="0" w:space="0" w:color="auto"/>
        <w:left w:val="none" w:sz="0" w:space="0" w:color="auto"/>
        <w:bottom w:val="none" w:sz="0" w:space="0" w:color="auto"/>
        <w:right w:val="none" w:sz="0" w:space="0" w:color="auto"/>
      </w:divBdr>
    </w:div>
    <w:div w:id="1418483395">
      <w:marLeft w:val="0"/>
      <w:marRight w:val="0"/>
      <w:marTop w:val="0"/>
      <w:marBottom w:val="0"/>
      <w:divBdr>
        <w:top w:val="none" w:sz="0" w:space="0" w:color="auto"/>
        <w:left w:val="none" w:sz="0" w:space="0" w:color="auto"/>
        <w:bottom w:val="none" w:sz="0" w:space="0" w:color="auto"/>
        <w:right w:val="none" w:sz="0" w:space="0" w:color="auto"/>
      </w:divBdr>
    </w:div>
    <w:div w:id="1418483396">
      <w:marLeft w:val="0"/>
      <w:marRight w:val="0"/>
      <w:marTop w:val="0"/>
      <w:marBottom w:val="0"/>
      <w:divBdr>
        <w:top w:val="none" w:sz="0" w:space="0" w:color="auto"/>
        <w:left w:val="none" w:sz="0" w:space="0" w:color="auto"/>
        <w:bottom w:val="none" w:sz="0" w:space="0" w:color="auto"/>
        <w:right w:val="none" w:sz="0" w:space="0" w:color="auto"/>
      </w:divBdr>
    </w:div>
    <w:div w:id="1418483397">
      <w:marLeft w:val="0"/>
      <w:marRight w:val="0"/>
      <w:marTop w:val="0"/>
      <w:marBottom w:val="0"/>
      <w:divBdr>
        <w:top w:val="none" w:sz="0" w:space="0" w:color="auto"/>
        <w:left w:val="none" w:sz="0" w:space="0" w:color="auto"/>
        <w:bottom w:val="none" w:sz="0" w:space="0" w:color="auto"/>
        <w:right w:val="none" w:sz="0" w:space="0" w:color="auto"/>
      </w:divBdr>
    </w:div>
    <w:div w:id="1418483398">
      <w:marLeft w:val="0"/>
      <w:marRight w:val="0"/>
      <w:marTop w:val="0"/>
      <w:marBottom w:val="0"/>
      <w:divBdr>
        <w:top w:val="none" w:sz="0" w:space="0" w:color="auto"/>
        <w:left w:val="none" w:sz="0" w:space="0" w:color="auto"/>
        <w:bottom w:val="none" w:sz="0" w:space="0" w:color="auto"/>
        <w:right w:val="none" w:sz="0" w:space="0" w:color="auto"/>
      </w:divBdr>
    </w:div>
    <w:div w:id="1418483399">
      <w:marLeft w:val="0"/>
      <w:marRight w:val="0"/>
      <w:marTop w:val="0"/>
      <w:marBottom w:val="0"/>
      <w:divBdr>
        <w:top w:val="none" w:sz="0" w:space="0" w:color="auto"/>
        <w:left w:val="none" w:sz="0" w:space="0" w:color="auto"/>
        <w:bottom w:val="none" w:sz="0" w:space="0" w:color="auto"/>
        <w:right w:val="none" w:sz="0" w:space="0" w:color="auto"/>
      </w:divBdr>
    </w:div>
    <w:div w:id="1418483400">
      <w:marLeft w:val="0"/>
      <w:marRight w:val="0"/>
      <w:marTop w:val="0"/>
      <w:marBottom w:val="0"/>
      <w:divBdr>
        <w:top w:val="none" w:sz="0" w:space="0" w:color="auto"/>
        <w:left w:val="none" w:sz="0" w:space="0" w:color="auto"/>
        <w:bottom w:val="none" w:sz="0" w:space="0" w:color="auto"/>
        <w:right w:val="none" w:sz="0" w:space="0" w:color="auto"/>
      </w:divBdr>
    </w:div>
    <w:div w:id="1418483401">
      <w:marLeft w:val="0"/>
      <w:marRight w:val="0"/>
      <w:marTop w:val="0"/>
      <w:marBottom w:val="0"/>
      <w:divBdr>
        <w:top w:val="none" w:sz="0" w:space="0" w:color="auto"/>
        <w:left w:val="none" w:sz="0" w:space="0" w:color="auto"/>
        <w:bottom w:val="none" w:sz="0" w:space="0" w:color="auto"/>
        <w:right w:val="none" w:sz="0" w:space="0" w:color="auto"/>
      </w:divBdr>
    </w:div>
    <w:div w:id="1418483402">
      <w:marLeft w:val="0"/>
      <w:marRight w:val="0"/>
      <w:marTop w:val="0"/>
      <w:marBottom w:val="0"/>
      <w:divBdr>
        <w:top w:val="none" w:sz="0" w:space="0" w:color="auto"/>
        <w:left w:val="none" w:sz="0" w:space="0" w:color="auto"/>
        <w:bottom w:val="none" w:sz="0" w:space="0" w:color="auto"/>
        <w:right w:val="none" w:sz="0" w:space="0" w:color="auto"/>
      </w:divBdr>
    </w:div>
    <w:div w:id="1418483403">
      <w:marLeft w:val="0"/>
      <w:marRight w:val="0"/>
      <w:marTop w:val="0"/>
      <w:marBottom w:val="0"/>
      <w:divBdr>
        <w:top w:val="none" w:sz="0" w:space="0" w:color="auto"/>
        <w:left w:val="none" w:sz="0" w:space="0" w:color="auto"/>
        <w:bottom w:val="none" w:sz="0" w:space="0" w:color="auto"/>
        <w:right w:val="none" w:sz="0" w:space="0" w:color="auto"/>
      </w:divBdr>
    </w:div>
    <w:div w:id="1418483404">
      <w:marLeft w:val="0"/>
      <w:marRight w:val="0"/>
      <w:marTop w:val="0"/>
      <w:marBottom w:val="0"/>
      <w:divBdr>
        <w:top w:val="none" w:sz="0" w:space="0" w:color="auto"/>
        <w:left w:val="none" w:sz="0" w:space="0" w:color="auto"/>
        <w:bottom w:val="none" w:sz="0" w:space="0" w:color="auto"/>
        <w:right w:val="none" w:sz="0" w:space="0" w:color="auto"/>
      </w:divBdr>
    </w:div>
    <w:div w:id="1418483405">
      <w:marLeft w:val="0"/>
      <w:marRight w:val="0"/>
      <w:marTop w:val="0"/>
      <w:marBottom w:val="0"/>
      <w:divBdr>
        <w:top w:val="none" w:sz="0" w:space="0" w:color="auto"/>
        <w:left w:val="none" w:sz="0" w:space="0" w:color="auto"/>
        <w:bottom w:val="none" w:sz="0" w:space="0" w:color="auto"/>
        <w:right w:val="none" w:sz="0" w:space="0" w:color="auto"/>
      </w:divBdr>
    </w:div>
    <w:div w:id="1418483408">
      <w:marLeft w:val="0"/>
      <w:marRight w:val="0"/>
      <w:marTop w:val="0"/>
      <w:marBottom w:val="0"/>
      <w:divBdr>
        <w:top w:val="none" w:sz="0" w:space="0" w:color="auto"/>
        <w:left w:val="none" w:sz="0" w:space="0" w:color="auto"/>
        <w:bottom w:val="none" w:sz="0" w:space="0" w:color="auto"/>
        <w:right w:val="none" w:sz="0" w:space="0" w:color="auto"/>
      </w:divBdr>
      <w:divsChild>
        <w:div w:id="1418483406">
          <w:marLeft w:val="0"/>
          <w:marRight w:val="0"/>
          <w:marTop w:val="0"/>
          <w:marBottom w:val="0"/>
          <w:divBdr>
            <w:top w:val="none" w:sz="0" w:space="0" w:color="auto"/>
            <w:left w:val="none" w:sz="0" w:space="0" w:color="auto"/>
            <w:bottom w:val="none" w:sz="0" w:space="0" w:color="auto"/>
            <w:right w:val="none" w:sz="0" w:space="0" w:color="auto"/>
          </w:divBdr>
        </w:div>
        <w:div w:id="1418483407">
          <w:marLeft w:val="0"/>
          <w:marRight w:val="0"/>
          <w:marTop w:val="0"/>
          <w:marBottom w:val="0"/>
          <w:divBdr>
            <w:top w:val="none" w:sz="0" w:space="0" w:color="auto"/>
            <w:left w:val="none" w:sz="0" w:space="0" w:color="auto"/>
            <w:bottom w:val="none" w:sz="0" w:space="0" w:color="auto"/>
            <w:right w:val="none" w:sz="0" w:space="0" w:color="auto"/>
          </w:divBdr>
        </w:div>
        <w:div w:id="14184834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418483411">
          <w:marLeft w:val="0"/>
          <w:marRight w:val="0"/>
          <w:marTop w:val="0"/>
          <w:marBottom w:val="0"/>
          <w:divBdr>
            <w:top w:val="none" w:sz="0" w:space="0" w:color="auto"/>
            <w:left w:val="none" w:sz="0" w:space="0" w:color="auto"/>
            <w:bottom w:val="none" w:sz="0" w:space="0" w:color="auto"/>
            <w:right w:val="none" w:sz="0" w:space="0" w:color="auto"/>
          </w:divBdr>
        </w:div>
        <w:div w:id="1418483412">
          <w:marLeft w:val="0"/>
          <w:marRight w:val="0"/>
          <w:marTop w:val="0"/>
          <w:marBottom w:val="0"/>
          <w:divBdr>
            <w:top w:val="none" w:sz="0" w:space="0" w:color="auto"/>
            <w:left w:val="none" w:sz="0" w:space="0" w:color="auto"/>
            <w:bottom w:val="none" w:sz="0" w:space="0" w:color="auto"/>
            <w:right w:val="none" w:sz="0" w:space="0" w:color="auto"/>
          </w:divBdr>
        </w:div>
        <w:div w:id="1418483415">
          <w:marLeft w:val="0"/>
          <w:marRight w:val="0"/>
          <w:marTop w:val="0"/>
          <w:marBottom w:val="0"/>
          <w:divBdr>
            <w:top w:val="none" w:sz="0" w:space="0" w:color="auto"/>
            <w:left w:val="none" w:sz="0" w:space="0" w:color="auto"/>
            <w:bottom w:val="none" w:sz="0" w:space="0" w:color="auto"/>
            <w:right w:val="none" w:sz="0" w:space="0" w:color="auto"/>
          </w:divBdr>
        </w:div>
        <w:div w:id="1418483417">
          <w:marLeft w:val="0"/>
          <w:marRight w:val="0"/>
          <w:marTop w:val="0"/>
          <w:marBottom w:val="0"/>
          <w:divBdr>
            <w:top w:val="none" w:sz="0" w:space="0" w:color="auto"/>
            <w:left w:val="none" w:sz="0" w:space="0" w:color="auto"/>
            <w:bottom w:val="none" w:sz="0" w:space="0" w:color="auto"/>
            <w:right w:val="none" w:sz="0" w:space="0" w:color="auto"/>
          </w:divBdr>
        </w:div>
        <w:div w:id="1418483418">
          <w:marLeft w:val="0"/>
          <w:marRight w:val="0"/>
          <w:marTop w:val="0"/>
          <w:marBottom w:val="0"/>
          <w:divBdr>
            <w:top w:val="none" w:sz="0" w:space="0" w:color="auto"/>
            <w:left w:val="none" w:sz="0" w:space="0" w:color="auto"/>
            <w:bottom w:val="none" w:sz="0" w:space="0" w:color="auto"/>
            <w:right w:val="none" w:sz="0" w:space="0" w:color="auto"/>
          </w:divBdr>
        </w:div>
        <w:div w:id="1418483419">
          <w:marLeft w:val="0"/>
          <w:marRight w:val="0"/>
          <w:marTop w:val="0"/>
          <w:marBottom w:val="0"/>
          <w:divBdr>
            <w:top w:val="none" w:sz="0" w:space="0" w:color="auto"/>
            <w:left w:val="none" w:sz="0" w:space="0" w:color="auto"/>
            <w:bottom w:val="none" w:sz="0" w:space="0" w:color="auto"/>
            <w:right w:val="none" w:sz="0" w:space="0" w:color="auto"/>
          </w:divBdr>
        </w:div>
        <w:div w:id="1418483420">
          <w:marLeft w:val="0"/>
          <w:marRight w:val="0"/>
          <w:marTop w:val="0"/>
          <w:marBottom w:val="0"/>
          <w:divBdr>
            <w:top w:val="none" w:sz="0" w:space="0" w:color="auto"/>
            <w:left w:val="none" w:sz="0" w:space="0" w:color="auto"/>
            <w:bottom w:val="none" w:sz="0" w:space="0" w:color="auto"/>
            <w:right w:val="none" w:sz="0" w:space="0" w:color="auto"/>
          </w:divBdr>
        </w:div>
        <w:div w:id="1418483421">
          <w:marLeft w:val="0"/>
          <w:marRight w:val="0"/>
          <w:marTop w:val="0"/>
          <w:marBottom w:val="0"/>
          <w:divBdr>
            <w:top w:val="none" w:sz="0" w:space="0" w:color="auto"/>
            <w:left w:val="none" w:sz="0" w:space="0" w:color="auto"/>
            <w:bottom w:val="none" w:sz="0" w:space="0" w:color="auto"/>
            <w:right w:val="none" w:sz="0" w:space="0" w:color="auto"/>
          </w:divBdr>
        </w:div>
        <w:div w:id="1418483422">
          <w:marLeft w:val="0"/>
          <w:marRight w:val="0"/>
          <w:marTop w:val="0"/>
          <w:marBottom w:val="0"/>
          <w:divBdr>
            <w:top w:val="none" w:sz="0" w:space="0" w:color="auto"/>
            <w:left w:val="none" w:sz="0" w:space="0" w:color="auto"/>
            <w:bottom w:val="none" w:sz="0" w:space="0" w:color="auto"/>
            <w:right w:val="none" w:sz="0" w:space="0" w:color="auto"/>
          </w:divBdr>
        </w:div>
        <w:div w:id="1418483423">
          <w:marLeft w:val="0"/>
          <w:marRight w:val="0"/>
          <w:marTop w:val="0"/>
          <w:marBottom w:val="0"/>
          <w:divBdr>
            <w:top w:val="none" w:sz="0" w:space="0" w:color="auto"/>
            <w:left w:val="none" w:sz="0" w:space="0" w:color="auto"/>
            <w:bottom w:val="none" w:sz="0" w:space="0" w:color="auto"/>
            <w:right w:val="none" w:sz="0" w:space="0" w:color="auto"/>
          </w:divBdr>
        </w:div>
        <w:div w:id="1418483424">
          <w:marLeft w:val="0"/>
          <w:marRight w:val="0"/>
          <w:marTop w:val="0"/>
          <w:marBottom w:val="0"/>
          <w:divBdr>
            <w:top w:val="none" w:sz="0" w:space="0" w:color="auto"/>
            <w:left w:val="none" w:sz="0" w:space="0" w:color="auto"/>
            <w:bottom w:val="none" w:sz="0" w:space="0" w:color="auto"/>
            <w:right w:val="none" w:sz="0" w:space="0" w:color="auto"/>
          </w:divBdr>
        </w:div>
        <w:div w:id="1418483425">
          <w:marLeft w:val="0"/>
          <w:marRight w:val="0"/>
          <w:marTop w:val="0"/>
          <w:marBottom w:val="0"/>
          <w:divBdr>
            <w:top w:val="none" w:sz="0" w:space="0" w:color="auto"/>
            <w:left w:val="none" w:sz="0" w:space="0" w:color="auto"/>
            <w:bottom w:val="none" w:sz="0" w:space="0" w:color="auto"/>
            <w:right w:val="none" w:sz="0" w:space="0" w:color="auto"/>
          </w:divBdr>
        </w:div>
        <w:div w:id="1418483426">
          <w:marLeft w:val="0"/>
          <w:marRight w:val="0"/>
          <w:marTop w:val="0"/>
          <w:marBottom w:val="0"/>
          <w:divBdr>
            <w:top w:val="none" w:sz="0" w:space="0" w:color="auto"/>
            <w:left w:val="none" w:sz="0" w:space="0" w:color="auto"/>
            <w:bottom w:val="none" w:sz="0" w:space="0" w:color="auto"/>
            <w:right w:val="none" w:sz="0" w:space="0" w:color="auto"/>
          </w:divBdr>
        </w:div>
        <w:div w:id="1418483427">
          <w:marLeft w:val="0"/>
          <w:marRight w:val="0"/>
          <w:marTop w:val="0"/>
          <w:marBottom w:val="0"/>
          <w:divBdr>
            <w:top w:val="none" w:sz="0" w:space="0" w:color="auto"/>
            <w:left w:val="none" w:sz="0" w:space="0" w:color="auto"/>
            <w:bottom w:val="none" w:sz="0" w:space="0" w:color="auto"/>
            <w:right w:val="none" w:sz="0" w:space="0" w:color="auto"/>
          </w:divBdr>
        </w:div>
        <w:div w:id="1418483428">
          <w:marLeft w:val="0"/>
          <w:marRight w:val="0"/>
          <w:marTop w:val="0"/>
          <w:marBottom w:val="0"/>
          <w:divBdr>
            <w:top w:val="none" w:sz="0" w:space="0" w:color="auto"/>
            <w:left w:val="none" w:sz="0" w:space="0" w:color="auto"/>
            <w:bottom w:val="none" w:sz="0" w:space="0" w:color="auto"/>
            <w:right w:val="none" w:sz="0" w:space="0" w:color="auto"/>
          </w:divBdr>
        </w:div>
        <w:div w:id="1418483430">
          <w:marLeft w:val="0"/>
          <w:marRight w:val="0"/>
          <w:marTop w:val="0"/>
          <w:marBottom w:val="0"/>
          <w:divBdr>
            <w:top w:val="none" w:sz="0" w:space="0" w:color="auto"/>
            <w:left w:val="none" w:sz="0" w:space="0" w:color="auto"/>
            <w:bottom w:val="none" w:sz="0" w:space="0" w:color="auto"/>
            <w:right w:val="none" w:sz="0" w:space="0" w:color="auto"/>
          </w:divBdr>
        </w:div>
        <w:div w:id="1418483431">
          <w:marLeft w:val="0"/>
          <w:marRight w:val="0"/>
          <w:marTop w:val="0"/>
          <w:marBottom w:val="0"/>
          <w:divBdr>
            <w:top w:val="none" w:sz="0" w:space="0" w:color="auto"/>
            <w:left w:val="none" w:sz="0" w:space="0" w:color="auto"/>
            <w:bottom w:val="none" w:sz="0" w:space="0" w:color="auto"/>
            <w:right w:val="none" w:sz="0" w:space="0" w:color="auto"/>
          </w:divBdr>
        </w:div>
        <w:div w:id="1418483432">
          <w:marLeft w:val="0"/>
          <w:marRight w:val="0"/>
          <w:marTop w:val="0"/>
          <w:marBottom w:val="0"/>
          <w:divBdr>
            <w:top w:val="none" w:sz="0" w:space="0" w:color="auto"/>
            <w:left w:val="none" w:sz="0" w:space="0" w:color="auto"/>
            <w:bottom w:val="none" w:sz="0" w:space="0" w:color="auto"/>
            <w:right w:val="none" w:sz="0" w:space="0" w:color="auto"/>
          </w:divBdr>
        </w:div>
        <w:div w:id="1418483433">
          <w:marLeft w:val="0"/>
          <w:marRight w:val="0"/>
          <w:marTop w:val="0"/>
          <w:marBottom w:val="0"/>
          <w:divBdr>
            <w:top w:val="none" w:sz="0" w:space="0" w:color="auto"/>
            <w:left w:val="none" w:sz="0" w:space="0" w:color="auto"/>
            <w:bottom w:val="none" w:sz="0" w:space="0" w:color="auto"/>
            <w:right w:val="none" w:sz="0" w:space="0" w:color="auto"/>
          </w:divBdr>
        </w:div>
        <w:div w:id="1418483434">
          <w:marLeft w:val="0"/>
          <w:marRight w:val="0"/>
          <w:marTop w:val="0"/>
          <w:marBottom w:val="0"/>
          <w:divBdr>
            <w:top w:val="none" w:sz="0" w:space="0" w:color="auto"/>
            <w:left w:val="none" w:sz="0" w:space="0" w:color="auto"/>
            <w:bottom w:val="none" w:sz="0" w:space="0" w:color="auto"/>
            <w:right w:val="none" w:sz="0" w:space="0" w:color="auto"/>
          </w:divBdr>
        </w:div>
        <w:div w:id="1418483435">
          <w:marLeft w:val="0"/>
          <w:marRight w:val="0"/>
          <w:marTop w:val="0"/>
          <w:marBottom w:val="0"/>
          <w:divBdr>
            <w:top w:val="none" w:sz="0" w:space="0" w:color="auto"/>
            <w:left w:val="none" w:sz="0" w:space="0" w:color="auto"/>
            <w:bottom w:val="none" w:sz="0" w:space="0" w:color="auto"/>
            <w:right w:val="none" w:sz="0" w:space="0" w:color="auto"/>
          </w:divBdr>
        </w:div>
      </w:divsChild>
    </w:div>
    <w:div w:id="1418483413">
      <w:marLeft w:val="0"/>
      <w:marRight w:val="0"/>
      <w:marTop w:val="0"/>
      <w:marBottom w:val="0"/>
      <w:divBdr>
        <w:top w:val="none" w:sz="0" w:space="0" w:color="auto"/>
        <w:left w:val="none" w:sz="0" w:space="0" w:color="auto"/>
        <w:bottom w:val="none" w:sz="0" w:space="0" w:color="auto"/>
        <w:right w:val="none" w:sz="0" w:space="0" w:color="auto"/>
      </w:divBdr>
    </w:div>
    <w:div w:id="1418483416">
      <w:marLeft w:val="0"/>
      <w:marRight w:val="0"/>
      <w:marTop w:val="0"/>
      <w:marBottom w:val="0"/>
      <w:divBdr>
        <w:top w:val="none" w:sz="0" w:space="0" w:color="auto"/>
        <w:left w:val="none" w:sz="0" w:space="0" w:color="auto"/>
        <w:bottom w:val="none" w:sz="0" w:space="0" w:color="auto"/>
        <w:right w:val="none" w:sz="0" w:space="0" w:color="auto"/>
      </w:divBdr>
      <w:divsChild>
        <w:div w:id="1418483414">
          <w:marLeft w:val="0"/>
          <w:marRight w:val="0"/>
          <w:marTop w:val="0"/>
          <w:marBottom w:val="0"/>
          <w:divBdr>
            <w:top w:val="none" w:sz="0" w:space="0" w:color="auto"/>
            <w:left w:val="none" w:sz="0" w:space="0" w:color="auto"/>
            <w:bottom w:val="none" w:sz="0" w:space="0" w:color="auto"/>
            <w:right w:val="none" w:sz="0" w:space="0" w:color="auto"/>
          </w:divBdr>
        </w:div>
        <w:div w:id="1418483429">
          <w:marLeft w:val="0"/>
          <w:marRight w:val="0"/>
          <w:marTop w:val="0"/>
          <w:marBottom w:val="0"/>
          <w:divBdr>
            <w:top w:val="none" w:sz="0" w:space="0" w:color="auto"/>
            <w:left w:val="none" w:sz="0" w:space="0" w:color="auto"/>
            <w:bottom w:val="none" w:sz="0" w:space="0" w:color="auto"/>
            <w:right w:val="none" w:sz="0" w:space="0" w:color="auto"/>
          </w:divBdr>
        </w:div>
      </w:divsChild>
    </w:div>
    <w:div w:id="1418483437">
      <w:marLeft w:val="0"/>
      <w:marRight w:val="0"/>
      <w:marTop w:val="0"/>
      <w:marBottom w:val="0"/>
      <w:divBdr>
        <w:top w:val="none" w:sz="0" w:space="0" w:color="auto"/>
        <w:left w:val="none" w:sz="0" w:space="0" w:color="auto"/>
        <w:bottom w:val="none" w:sz="0" w:space="0" w:color="auto"/>
        <w:right w:val="none" w:sz="0" w:space="0" w:color="auto"/>
      </w:divBdr>
    </w:div>
    <w:div w:id="1418483438">
      <w:marLeft w:val="0"/>
      <w:marRight w:val="0"/>
      <w:marTop w:val="0"/>
      <w:marBottom w:val="0"/>
      <w:divBdr>
        <w:top w:val="none" w:sz="0" w:space="0" w:color="auto"/>
        <w:left w:val="none" w:sz="0" w:space="0" w:color="auto"/>
        <w:bottom w:val="none" w:sz="0" w:space="0" w:color="auto"/>
        <w:right w:val="none" w:sz="0" w:space="0" w:color="auto"/>
      </w:divBdr>
      <w:divsChild>
        <w:div w:id="1418483439">
          <w:marLeft w:val="0"/>
          <w:marRight w:val="0"/>
          <w:marTop w:val="0"/>
          <w:marBottom w:val="0"/>
          <w:divBdr>
            <w:top w:val="none" w:sz="0" w:space="0" w:color="auto"/>
            <w:left w:val="none" w:sz="0" w:space="0" w:color="auto"/>
            <w:bottom w:val="none" w:sz="0" w:space="0" w:color="auto"/>
            <w:right w:val="none" w:sz="0" w:space="0" w:color="auto"/>
          </w:divBdr>
          <w:divsChild>
            <w:div w:id="14184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440">
      <w:marLeft w:val="0"/>
      <w:marRight w:val="0"/>
      <w:marTop w:val="0"/>
      <w:marBottom w:val="0"/>
      <w:divBdr>
        <w:top w:val="none" w:sz="0" w:space="0" w:color="auto"/>
        <w:left w:val="none" w:sz="0" w:space="0" w:color="auto"/>
        <w:bottom w:val="none" w:sz="0" w:space="0" w:color="auto"/>
        <w:right w:val="none" w:sz="0" w:space="0" w:color="auto"/>
      </w:divBdr>
    </w:div>
    <w:div w:id="1418483441">
      <w:marLeft w:val="0"/>
      <w:marRight w:val="0"/>
      <w:marTop w:val="0"/>
      <w:marBottom w:val="0"/>
      <w:divBdr>
        <w:top w:val="none" w:sz="0" w:space="0" w:color="auto"/>
        <w:left w:val="none" w:sz="0" w:space="0" w:color="auto"/>
        <w:bottom w:val="none" w:sz="0" w:space="0" w:color="auto"/>
        <w:right w:val="none" w:sz="0" w:space="0" w:color="auto"/>
      </w:divBdr>
    </w:div>
    <w:div w:id="1418483442">
      <w:marLeft w:val="0"/>
      <w:marRight w:val="0"/>
      <w:marTop w:val="0"/>
      <w:marBottom w:val="0"/>
      <w:divBdr>
        <w:top w:val="none" w:sz="0" w:space="0" w:color="auto"/>
        <w:left w:val="none" w:sz="0" w:space="0" w:color="auto"/>
        <w:bottom w:val="none" w:sz="0" w:space="0" w:color="auto"/>
        <w:right w:val="none" w:sz="0" w:space="0" w:color="auto"/>
      </w:divBdr>
    </w:div>
    <w:div w:id="1418483443">
      <w:marLeft w:val="0"/>
      <w:marRight w:val="0"/>
      <w:marTop w:val="0"/>
      <w:marBottom w:val="0"/>
      <w:divBdr>
        <w:top w:val="none" w:sz="0" w:space="0" w:color="auto"/>
        <w:left w:val="none" w:sz="0" w:space="0" w:color="auto"/>
        <w:bottom w:val="none" w:sz="0" w:space="0" w:color="auto"/>
        <w:right w:val="none" w:sz="0" w:space="0" w:color="auto"/>
      </w:divBdr>
    </w:div>
    <w:div w:id="1418483444">
      <w:marLeft w:val="0"/>
      <w:marRight w:val="0"/>
      <w:marTop w:val="0"/>
      <w:marBottom w:val="0"/>
      <w:divBdr>
        <w:top w:val="none" w:sz="0" w:space="0" w:color="auto"/>
        <w:left w:val="none" w:sz="0" w:space="0" w:color="auto"/>
        <w:bottom w:val="none" w:sz="0" w:space="0" w:color="auto"/>
        <w:right w:val="none" w:sz="0" w:space="0" w:color="auto"/>
      </w:divBdr>
    </w:div>
    <w:div w:id="1418483445">
      <w:marLeft w:val="0"/>
      <w:marRight w:val="0"/>
      <w:marTop w:val="0"/>
      <w:marBottom w:val="0"/>
      <w:divBdr>
        <w:top w:val="none" w:sz="0" w:space="0" w:color="auto"/>
        <w:left w:val="none" w:sz="0" w:space="0" w:color="auto"/>
        <w:bottom w:val="none" w:sz="0" w:space="0" w:color="auto"/>
        <w:right w:val="none" w:sz="0" w:space="0" w:color="auto"/>
      </w:divBdr>
    </w:div>
    <w:div w:id="1418483446">
      <w:marLeft w:val="0"/>
      <w:marRight w:val="0"/>
      <w:marTop w:val="0"/>
      <w:marBottom w:val="0"/>
      <w:divBdr>
        <w:top w:val="none" w:sz="0" w:space="0" w:color="auto"/>
        <w:left w:val="none" w:sz="0" w:space="0" w:color="auto"/>
        <w:bottom w:val="none" w:sz="0" w:space="0" w:color="auto"/>
        <w:right w:val="none" w:sz="0" w:space="0" w:color="auto"/>
      </w:divBdr>
    </w:div>
    <w:div w:id="1418483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FFBB-AF3A-4255-A4F4-0438C5CD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1893</Words>
  <Characters>10414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5</cp:revision>
  <cp:lastPrinted>2019-05-23T12:57:00Z</cp:lastPrinted>
  <dcterms:created xsi:type="dcterms:W3CDTF">2019-06-17T19:07:00Z</dcterms:created>
  <dcterms:modified xsi:type="dcterms:W3CDTF">2019-06-17T21:16:00Z</dcterms:modified>
</cp:coreProperties>
</file>