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9F5" w:rsidRPr="00EB39F5" w:rsidRDefault="00EB39F5" w:rsidP="00EB39F5">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8"/>
          <w:sz w:val="18"/>
          <w:szCs w:val="18"/>
          <w:lang w:val="es-419" w:eastAsia="fr-FR"/>
        </w:rPr>
      </w:pPr>
      <w:r w:rsidRPr="00EB39F5">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EB39F5" w:rsidRPr="00EB39F5" w:rsidRDefault="00EB39F5" w:rsidP="00EB39F5">
      <w:pPr>
        <w:widowControl/>
        <w:autoSpaceDE/>
        <w:autoSpaceDN/>
        <w:adjustRightInd/>
        <w:jc w:val="both"/>
        <w:rPr>
          <w:rFonts w:ascii="Arial" w:hAnsi="Arial" w:cs="Arial"/>
          <w:sz w:val="20"/>
          <w:szCs w:val="20"/>
          <w:lang w:val="es-419"/>
        </w:rPr>
      </w:pPr>
    </w:p>
    <w:p w:rsidR="00EB39F5" w:rsidRPr="00EB39F5" w:rsidRDefault="00EB39F5" w:rsidP="00EB39F5">
      <w:pPr>
        <w:widowControl/>
        <w:autoSpaceDE/>
        <w:autoSpaceDN/>
        <w:adjustRightInd/>
        <w:jc w:val="both"/>
        <w:rPr>
          <w:rFonts w:ascii="Arial" w:hAnsi="Arial" w:cs="Arial"/>
          <w:b/>
          <w:bCs/>
          <w:iCs/>
          <w:sz w:val="20"/>
          <w:szCs w:val="20"/>
          <w:lang w:val="es-419" w:eastAsia="fr-FR"/>
        </w:rPr>
      </w:pPr>
      <w:r w:rsidRPr="00EB39F5">
        <w:rPr>
          <w:rFonts w:ascii="Arial" w:hAnsi="Arial" w:cs="Arial"/>
          <w:b/>
          <w:bCs/>
          <w:iCs/>
          <w:sz w:val="20"/>
          <w:szCs w:val="20"/>
          <w:lang w:val="es-419" w:eastAsia="fr-FR"/>
        </w:rPr>
        <w:t>TEMAS:</w:t>
      </w:r>
      <w:r w:rsidRPr="00EB39F5">
        <w:rPr>
          <w:rFonts w:ascii="Arial" w:hAnsi="Arial" w:cs="Arial"/>
          <w:b/>
          <w:bCs/>
          <w:iCs/>
          <w:sz w:val="20"/>
          <w:szCs w:val="20"/>
          <w:lang w:val="es-419" w:eastAsia="fr-FR"/>
        </w:rPr>
        <w:tab/>
      </w:r>
      <w:r w:rsidR="008E7311">
        <w:rPr>
          <w:rFonts w:ascii="Arial" w:hAnsi="Arial" w:cs="Arial"/>
          <w:b/>
          <w:bCs/>
          <w:iCs/>
          <w:sz w:val="20"/>
          <w:szCs w:val="20"/>
          <w:lang w:val="es-CO" w:eastAsia="fr-FR"/>
        </w:rPr>
        <w:t xml:space="preserve">DEBIDO PROCESO </w:t>
      </w:r>
      <w:r w:rsidR="008E7311" w:rsidRPr="008E7311">
        <w:rPr>
          <w:rFonts w:ascii="Arial" w:hAnsi="Arial" w:cs="Arial"/>
          <w:b/>
          <w:sz w:val="20"/>
          <w:szCs w:val="20"/>
          <w:lang w:val="es-419"/>
        </w:rPr>
        <w:t>/ TUTELA CONTRA DECISIÓN JUDICIAL / REQUISITOS GENERALES Y ESPECÍFICOS DE PROCEDIBILIDAD /</w:t>
      </w:r>
      <w:r w:rsidR="008E7311">
        <w:rPr>
          <w:rFonts w:ascii="Arial" w:hAnsi="Arial" w:cs="Arial"/>
          <w:b/>
          <w:sz w:val="20"/>
          <w:szCs w:val="20"/>
          <w:lang w:val="es-CO"/>
        </w:rPr>
        <w:t xml:space="preserve"> DEFECTO PROCEDIMENTAL / ELEMENTOS / ANOTACIONES EN SIGLO XXI / </w:t>
      </w:r>
      <w:r w:rsidR="00F47864">
        <w:rPr>
          <w:rFonts w:ascii="Arial" w:hAnsi="Arial" w:cs="Arial"/>
          <w:b/>
          <w:sz w:val="20"/>
          <w:szCs w:val="20"/>
          <w:lang w:val="es-CO"/>
        </w:rPr>
        <w:t>NO SUSTITUYE</w:t>
      </w:r>
      <w:r w:rsidR="008A0F9E">
        <w:rPr>
          <w:rFonts w:ascii="Arial" w:hAnsi="Arial" w:cs="Arial"/>
          <w:b/>
          <w:sz w:val="20"/>
          <w:szCs w:val="20"/>
          <w:lang w:val="es-CO"/>
        </w:rPr>
        <w:t xml:space="preserve">N </w:t>
      </w:r>
      <w:r w:rsidR="00F47864">
        <w:rPr>
          <w:rFonts w:ascii="Arial" w:hAnsi="Arial" w:cs="Arial"/>
          <w:b/>
          <w:sz w:val="20"/>
          <w:szCs w:val="20"/>
          <w:lang w:val="es-CO"/>
        </w:rPr>
        <w:t>NI DESPLAZA</w:t>
      </w:r>
      <w:r w:rsidR="008A0F9E">
        <w:rPr>
          <w:rFonts w:ascii="Arial" w:hAnsi="Arial" w:cs="Arial"/>
          <w:b/>
          <w:sz w:val="20"/>
          <w:szCs w:val="20"/>
          <w:lang w:val="es-CO"/>
        </w:rPr>
        <w:t>N</w:t>
      </w:r>
      <w:bookmarkStart w:id="0" w:name="_GoBack"/>
      <w:bookmarkEnd w:id="0"/>
      <w:r w:rsidR="00F47864">
        <w:rPr>
          <w:rFonts w:ascii="Arial" w:hAnsi="Arial" w:cs="Arial"/>
          <w:b/>
          <w:sz w:val="20"/>
          <w:szCs w:val="20"/>
          <w:lang w:val="es-CO"/>
        </w:rPr>
        <w:t xml:space="preserve"> LOS MECANISMOS ORDINARIOS DE NOTIFICACIÓN.</w:t>
      </w:r>
    </w:p>
    <w:p w:rsidR="00EB39F5" w:rsidRPr="00EB39F5" w:rsidRDefault="00EB39F5" w:rsidP="00EB39F5">
      <w:pPr>
        <w:widowControl/>
        <w:autoSpaceDE/>
        <w:autoSpaceDN/>
        <w:adjustRightInd/>
        <w:jc w:val="both"/>
        <w:rPr>
          <w:rFonts w:ascii="Arial" w:hAnsi="Arial" w:cs="Arial"/>
          <w:sz w:val="20"/>
          <w:szCs w:val="20"/>
          <w:lang w:val="es-419"/>
        </w:rPr>
      </w:pPr>
    </w:p>
    <w:p w:rsidR="00A93EFA" w:rsidRPr="00A93EFA" w:rsidRDefault="00A93EFA" w:rsidP="00A93EFA">
      <w:pPr>
        <w:widowControl/>
        <w:autoSpaceDE/>
        <w:autoSpaceDN/>
        <w:adjustRightInd/>
        <w:jc w:val="both"/>
        <w:rPr>
          <w:rFonts w:ascii="Arial" w:hAnsi="Arial" w:cs="Arial"/>
          <w:sz w:val="20"/>
          <w:szCs w:val="20"/>
          <w:lang w:val="es-419"/>
        </w:rPr>
      </w:pPr>
      <w:r w:rsidRPr="00A93EFA">
        <w:rPr>
          <w:rFonts w:ascii="Arial" w:hAnsi="Arial" w:cs="Arial"/>
          <w:sz w:val="20"/>
          <w:szCs w:val="20"/>
          <w:lang w:val="es-419"/>
        </w:rPr>
        <w:t>Los requisitos generales de procedibilidad, explicados en amplitud en la sentencia C-590 de 2005 y reiterados en la consolidada línea jurisprudencial de la CC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p>
    <w:p w:rsidR="00A93EFA" w:rsidRPr="00A93EFA" w:rsidRDefault="00A93EFA" w:rsidP="00A93EFA">
      <w:pPr>
        <w:widowControl/>
        <w:autoSpaceDE/>
        <w:autoSpaceDN/>
        <w:adjustRightInd/>
        <w:jc w:val="both"/>
        <w:rPr>
          <w:rFonts w:ascii="Arial" w:hAnsi="Arial" w:cs="Arial"/>
          <w:sz w:val="20"/>
          <w:szCs w:val="20"/>
          <w:lang w:val="es-419"/>
        </w:rPr>
      </w:pPr>
    </w:p>
    <w:p w:rsidR="00EB39F5" w:rsidRPr="00EB39F5" w:rsidRDefault="00A93EFA" w:rsidP="00A93EFA">
      <w:pPr>
        <w:widowControl/>
        <w:autoSpaceDE/>
        <w:autoSpaceDN/>
        <w:adjustRightInd/>
        <w:jc w:val="both"/>
        <w:rPr>
          <w:rFonts w:ascii="Arial" w:hAnsi="Arial" w:cs="Arial"/>
          <w:sz w:val="20"/>
          <w:szCs w:val="20"/>
          <w:lang w:val="es-419"/>
        </w:rPr>
      </w:pPr>
      <w:r w:rsidRPr="00A93EFA">
        <w:rPr>
          <w:rFonts w:ascii="Arial" w:hAnsi="Arial" w:cs="Arial"/>
          <w:sz w:val="20"/>
          <w:szCs w:val="20"/>
          <w:lang w:val="es-419"/>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w:t>
      </w:r>
    </w:p>
    <w:p w:rsidR="00EB39F5" w:rsidRPr="00EB39F5" w:rsidRDefault="00EB39F5" w:rsidP="00EB39F5">
      <w:pPr>
        <w:widowControl/>
        <w:autoSpaceDE/>
        <w:autoSpaceDN/>
        <w:adjustRightInd/>
        <w:jc w:val="both"/>
        <w:rPr>
          <w:rFonts w:ascii="Arial" w:hAnsi="Arial" w:cs="Arial"/>
          <w:sz w:val="20"/>
          <w:szCs w:val="20"/>
          <w:lang w:val="es-419"/>
        </w:rPr>
      </w:pPr>
    </w:p>
    <w:p w:rsidR="00EB39F5" w:rsidRPr="006848D5" w:rsidRDefault="00A93EFA" w:rsidP="00A93EFA">
      <w:pPr>
        <w:widowControl/>
        <w:autoSpaceDE/>
        <w:autoSpaceDN/>
        <w:adjustRightInd/>
        <w:jc w:val="both"/>
        <w:rPr>
          <w:rFonts w:ascii="Arial" w:hAnsi="Arial" w:cs="Arial"/>
          <w:sz w:val="20"/>
          <w:szCs w:val="20"/>
          <w:lang w:val="es-CO"/>
        </w:rPr>
      </w:pPr>
      <w:r>
        <w:rPr>
          <w:rFonts w:ascii="Arial" w:hAnsi="Arial" w:cs="Arial"/>
          <w:sz w:val="20"/>
          <w:szCs w:val="20"/>
          <w:lang w:val="es-419"/>
        </w:rPr>
        <w:t xml:space="preserve">EL DEFECTO PROCEDIMENTAL. </w:t>
      </w:r>
      <w:r w:rsidRPr="00A93EFA">
        <w:rPr>
          <w:rFonts w:ascii="Arial" w:hAnsi="Arial" w:cs="Arial"/>
          <w:sz w:val="20"/>
          <w:szCs w:val="20"/>
          <w:lang w:val="es-419"/>
        </w:rPr>
        <w:t>Esta causal de procedibilidad especial se cimenta en el desarrollo de los derechos fundamentales al debido proceso y el acceso a la administración de justicia (Artículos 29 y 228, CP), puesto que conlleva el respeto por el procedimiento y las formas propias de cada juicio, y el reconocimiento de la prevalencia del derecho sustancial y la realización de la justicia material en la aplicación del derecho procesal</w:t>
      </w:r>
      <w:r w:rsidR="006848D5">
        <w:rPr>
          <w:rFonts w:ascii="Arial" w:hAnsi="Arial" w:cs="Arial"/>
          <w:sz w:val="20"/>
          <w:szCs w:val="20"/>
          <w:lang w:val="es-CO"/>
        </w:rPr>
        <w:t>. (…)</w:t>
      </w:r>
    </w:p>
    <w:p w:rsidR="00EB39F5" w:rsidRPr="00EB39F5" w:rsidRDefault="00EB39F5" w:rsidP="00EB39F5">
      <w:pPr>
        <w:widowControl/>
        <w:autoSpaceDE/>
        <w:autoSpaceDN/>
        <w:adjustRightInd/>
        <w:jc w:val="both"/>
        <w:rPr>
          <w:rFonts w:ascii="Arial" w:hAnsi="Arial" w:cs="Arial"/>
          <w:sz w:val="20"/>
          <w:szCs w:val="20"/>
        </w:rPr>
      </w:pPr>
    </w:p>
    <w:p w:rsidR="006848D5" w:rsidRPr="006848D5" w:rsidRDefault="006848D5" w:rsidP="006848D5">
      <w:pPr>
        <w:widowControl/>
        <w:autoSpaceDE/>
        <w:autoSpaceDN/>
        <w:adjustRightInd/>
        <w:jc w:val="both"/>
        <w:rPr>
          <w:rFonts w:ascii="Arial" w:hAnsi="Arial" w:cs="Arial"/>
          <w:sz w:val="20"/>
          <w:szCs w:val="20"/>
        </w:rPr>
      </w:pPr>
      <w:r w:rsidRPr="006848D5">
        <w:rPr>
          <w:rFonts w:ascii="Arial" w:hAnsi="Arial" w:cs="Arial"/>
          <w:sz w:val="20"/>
          <w:szCs w:val="20"/>
        </w:rPr>
        <w:t>Para verificar la consumación de es</w:t>
      </w:r>
      <w:r>
        <w:rPr>
          <w:rFonts w:ascii="Arial" w:hAnsi="Arial" w:cs="Arial"/>
          <w:sz w:val="20"/>
          <w:szCs w:val="20"/>
        </w:rPr>
        <w:t>te defecto la Alta Magistratura</w:t>
      </w:r>
      <w:r w:rsidRPr="006848D5">
        <w:rPr>
          <w:rFonts w:ascii="Arial" w:hAnsi="Arial" w:cs="Arial"/>
          <w:sz w:val="20"/>
          <w:szCs w:val="20"/>
        </w:rPr>
        <w:t xml:space="preserve"> exige la coexistencia de cuatro (4) elementos, a saber:</w:t>
      </w:r>
    </w:p>
    <w:p w:rsidR="006848D5" w:rsidRPr="006848D5" w:rsidRDefault="006848D5" w:rsidP="006848D5">
      <w:pPr>
        <w:widowControl/>
        <w:autoSpaceDE/>
        <w:autoSpaceDN/>
        <w:adjustRightInd/>
        <w:jc w:val="both"/>
        <w:rPr>
          <w:rFonts w:ascii="Arial" w:hAnsi="Arial" w:cs="Arial"/>
          <w:sz w:val="20"/>
          <w:szCs w:val="20"/>
        </w:rPr>
      </w:pPr>
    </w:p>
    <w:p w:rsidR="006848D5" w:rsidRPr="006848D5" w:rsidRDefault="006848D5" w:rsidP="006848D5">
      <w:pPr>
        <w:widowControl/>
        <w:autoSpaceDE/>
        <w:autoSpaceDN/>
        <w:adjustRightInd/>
        <w:jc w:val="both"/>
        <w:rPr>
          <w:rFonts w:ascii="Arial" w:hAnsi="Arial" w:cs="Arial"/>
          <w:sz w:val="20"/>
          <w:szCs w:val="20"/>
        </w:rPr>
      </w:pPr>
      <w:r w:rsidRPr="006848D5">
        <w:rPr>
          <w:rFonts w:ascii="Arial" w:hAnsi="Arial" w:cs="Arial"/>
          <w:sz w:val="20"/>
          <w:szCs w:val="20"/>
        </w:rPr>
        <w:t>(i)</w:t>
      </w:r>
      <w:r w:rsidRPr="006848D5">
        <w:rPr>
          <w:rFonts w:ascii="Arial" w:hAnsi="Arial" w:cs="Arial"/>
          <w:sz w:val="20"/>
          <w:szCs w:val="20"/>
        </w:rPr>
        <w:tab/>
        <w:t>Que no exista la posibilidad de corregir el error por ninguna otra vía</w:t>
      </w:r>
      <w:r>
        <w:rPr>
          <w:rFonts w:ascii="Arial" w:hAnsi="Arial" w:cs="Arial"/>
          <w:sz w:val="20"/>
          <w:szCs w:val="20"/>
        </w:rPr>
        <w:t>…</w:t>
      </w:r>
    </w:p>
    <w:p w:rsidR="006848D5" w:rsidRPr="006848D5" w:rsidRDefault="006848D5" w:rsidP="006848D5">
      <w:pPr>
        <w:widowControl/>
        <w:autoSpaceDE/>
        <w:autoSpaceDN/>
        <w:adjustRightInd/>
        <w:ind w:left="705" w:hanging="705"/>
        <w:jc w:val="both"/>
        <w:rPr>
          <w:rFonts w:ascii="Arial" w:hAnsi="Arial" w:cs="Arial"/>
          <w:sz w:val="20"/>
          <w:szCs w:val="20"/>
        </w:rPr>
      </w:pPr>
      <w:r w:rsidRPr="006848D5">
        <w:rPr>
          <w:rFonts w:ascii="Arial" w:hAnsi="Arial" w:cs="Arial"/>
          <w:sz w:val="20"/>
          <w:szCs w:val="20"/>
        </w:rPr>
        <w:t>(ii)</w:t>
      </w:r>
      <w:r w:rsidRPr="006848D5">
        <w:rPr>
          <w:rFonts w:ascii="Arial" w:hAnsi="Arial" w:cs="Arial"/>
          <w:sz w:val="20"/>
          <w:szCs w:val="20"/>
        </w:rPr>
        <w:tab/>
        <w:t>Que el defecto procesal tenga una incidencia directa en el fallo que se acusa de ser vulneratorio de los derechos fundamentales;</w:t>
      </w:r>
    </w:p>
    <w:p w:rsidR="006848D5" w:rsidRPr="006848D5" w:rsidRDefault="006848D5" w:rsidP="006848D5">
      <w:pPr>
        <w:widowControl/>
        <w:autoSpaceDE/>
        <w:autoSpaceDN/>
        <w:adjustRightInd/>
        <w:jc w:val="both"/>
        <w:rPr>
          <w:rFonts w:ascii="Arial" w:hAnsi="Arial" w:cs="Arial"/>
          <w:sz w:val="20"/>
          <w:szCs w:val="20"/>
        </w:rPr>
      </w:pPr>
      <w:r w:rsidRPr="006848D5">
        <w:rPr>
          <w:rFonts w:ascii="Arial" w:hAnsi="Arial" w:cs="Arial"/>
          <w:sz w:val="20"/>
          <w:szCs w:val="20"/>
        </w:rPr>
        <w:t>(iii)</w:t>
      </w:r>
      <w:r w:rsidRPr="006848D5">
        <w:rPr>
          <w:rFonts w:ascii="Arial" w:hAnsi="Arial" w:cs="Arial"/>
          <w:sz w:val="20"/>
          <w:szCs w:val="20"/>
        </w:rPr>
        <w:tab/>
        <w:t>Que   la   irregularidad   haya   sido   alegada   al   interior   del   proceso ordinario</w:t>
      </w:r>
      <w:r>
        <w:rPr>
          <w:rFonts w:ascii="Arial" w:hAnsi="Arial" w:cs="Arial"/>
          <w:sz w:val="20"/>
          <w:szCs w:val="20"/>
        </w:rPr>
        <w:t xml:space="preserve">… </w:t>
      </w:r>
      <w:r w:rsidRPr="006848D5">
        <w:rPr>
          <w:rFonts w:ascii="Arial" w:hAnsi="Arial" w:cs="Arial"/>
          <w:sz w:val="20"/>
          <w:szCs w:val="20"/>
        </w:rPr>
        <w:t>y</w:t>
      </w:r>
    </w:p>
    <w:p w:rsidR="00EB39F5" w:rsidRDefault="006848D5" w:rsidP="006848D5">
      <w:pPr>
        <w:widowControl/>
        <w:autoSpaceDE/>
        <w:autoSpaceDN/>
        <w:adjustRightInd/>
        <w:ind w:left="705" w:hanging="705"/>
        <w:jc w:val="both"/>
        <w:rPr>
          <w:rFonts w:ascii="Arial" w:hAnsi="Arial" w:cs="Arial"/>
          <w:sz w:val="20"/>
          <w:szCs w:val="20"/>
        </w:rPr>
      </w:pPr>
      <w:r w:rsidRPr="006848D5">
        <w:rPr>
          <w:rFonts w:ascii="Arial" w:hAnsi="Arial" w:cs="Arial"/>
          <w:sz w:val="20"/>
          <w:szCs w:val="20"/>
        </w:rPr>
        <w:t>(iv)</w:t>
      </w:r>
      <w:r w:rsidRPr="006848D5">
        <w:rPr>
          <w:rFonts w:ascii="Arial" w:hAnsi="Arial" w:cs="Arial"/>
          <w:sz w:val="20"/>
          <w:szCs w:val="20"/>
        </w:rPr>
        <w:tab/>
        <w:t>Que como consecuencia de lo anterior se presente una vulneración a los derechos fundamentales.</w:t>
      </w:r>
    </w:p>
    <w:p w:rsidR="008E7311" w:rsidRDefault="008E7311" w:rsidP="006848D5">
      <w:pPr>
        <w:widowControl/>
        <w:autoSpaceDE/>
        <w:autoSpaceDN/>
        <w:adjustRightInd/>
        <w:ind w:left="705" w:hanging="705"/>
        <w:jc w:val="both"/>
        <w:rPr>
          <w:rFonts w:ascii="Arial" w:hAnsi="Arial" w:cs="Arial"/>
          <w:sz w:val="20"/>
          <w:szCs w:val="20"/>
        </w:rPr>
      </w:pPr>
    </w:p>
    <w:p w:rsidR="008E7311" w:rsidRPr="008E7311" w:rsidRDefault="008E7311" w:rsidP="008E7311">
      <w:pPr>
        <w:widowControl/>
        <w:autoSpaceDE/>
        <w:autoSpaceDN/>
        <w:adjustRightInd/>
        <w:jc w:val="both"/>
        <w:rPr>
          <w:rFonts w:ascii="Arial" w:hAnsi="Arial" w:cs="Arial"/>
          <w:sz w:val="20"/>
          <w:szCs w:val="20"/>
        </w:rPr>
      </w:pPr>
      <w:r>
        <w:rPr>
          <w:rFonts w:ascii="Arial" w:hAnsi="Arial" w:cs="Arial"/>
          <w:sz w:val="20"/>
          <w:szCs w:val="20"/>
        </w:rPr>
        <w:t xml:space="preserve">… </w:t>
      </w:r>
      <w:r w:rsidRPr="008E7311">
        <w:rPr>
          <w:rFonts w:ascii="Arial" w:hAnsi="Arial" w:cs="Arial"/>
          <w:sz w:val="20"/>
          <w:szCs w:val="20"/>
        </w:rPr>
        <w:t>para esta Corporación luce palmaria la inexistencia de afectación o amenaza de los derechos porque el juzgador se ciñó a los parámetros procesales dispuestos por el legislador para surtir la notificación de las actuaciones rebatidas (Artículo 295, CGP), sin que pueda colegirse una actuación procesal arbitraria, menos desviada del procedimiento ante la falta de anotaciones en el tan enunciado sistema, por la potísima razón de que este mecanismo en manera alguna desplaza los ordinarios y principales de notificación (Artículos 289 y ss., CGP).</w:t>
      </w:r>
    </w:p>
    <w:p w:rsidR="008E7311" w:rsidRPr="008E7311" w:rsidRDefault="008E7311" w:rsidP="008E7311">
      <w:pPr>
        <w:widowControl/>
        <w:autoSpaceDE/>
        <w:autoSpaceDN/>
        <w:adjustRightInd/>
        <w:jc w:val="both"/>
        <w:rPr>
          <w:rFonts w:ascii="Arial" w:hAnsi="Arial" w:cs="Arial"/>
          <w:sz w:val="20"/>
          <w:szCs w:val="20"/>
        </w:rPr>
      </w:pPr>
    </w:p>
    <w:p w:rsidR="00EB39F5" w:rsidRPr="00EB39F5" w:rsidRDefault="00EB39F5" w:rsidP="00EB39F5">
      <w:pPr>
        <w:widowControl/>
        <w:autoSpaceDE/>
        <w:autoSpaceDN/>
        <w:adjustRightInd/>
        <w:jc w:val="both"/>
        <w:rPr>
          <w:rFonts w:ascii="Arial" w:hAnsi="Arial" w:cs="Arial"/>
          <w:sz w:val="20"/>
          <w:szCs w:val="20"/>
        </w:rPr>
      </w:pPr>
    </w:p>
    <w:p w:rsidR="00EB39F5" w:rsidRPr="00EB39F5" w:rsidRDefault="00EB39F5" w:rsidP="00EB39F5">
      <w:pPr>
        <w:widowControl/>
        <w:autoSpaceDE/>
        <w:autoSpaceDN/>
        <w:adjustRightInd/>
        <w:jc w:val="both"/>
        <w:rPr>
          <w:rFonts w:ascii="Arial" w:hAnsi="Arial" w:cs="Arial"/>
          <w:sz w:val="20"/>
          <w:szCs w:val="20"/>
        </w:rPr>
      </w:pPr>
    </w:p>
    <w:p w:rsidR="00954898" w:rsidRPr="00C60A4D" w:rsidRDefault="00952078" w:rsidP="00C60A4D">
      <w:pPr>
        <w:pStyle w:val="Sinespaciado"/>
        <w:tabs>
          <w:tab w:val="left" w:pos="3579"/>
        </w:tabs>
        <w:spacing w:line="288" w:lineRule="auto"/>
        <w:jc w:val="center"/>
        <w:rPr>
          <w:rFonts w:ascii="Georgia" w:hAnsi="Georgia" w:cs="Arial"/>
          <w:w w:val="140"/>
          <w:sz w:val="14"/>
          <w:lang w:val="es-419"/>
        </w:rPr>
      </w:pPr>
      <w:r>
        <w:rPr>
          <w:noProof/>
        </w:rPr>
        <w:drawing>
          <wp:anchor distT="0" distB="0" distL="114300" distR="114300" simplePos="0" relativeHeight="251659264"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4898" w:rsidRPr="00C60A4D">
        <w:rPr>
          <w:rFonts w:ascii="Georgia" w:hAnsi="Georgia" w:cs="Arial"/>
          <w:w w:val="140"/>
          <w:lang w:val="es-419"/>
        </w:rPr>
        <w:br w:type="textWrapping" w:clear="all"/>
      </w:r>
      <w:r w:rsidR="00954898" w:rsidRPr="00C60A4D">
        <w:rPr>
          <w:rFonts w:ascii="Georgia" w:hAnsi="Georgia" w:cs="Arial"/>
          <w:w w:val="140"/>
          <w:sz w:val="14"/>
          <w:lang w:val="es-419"/>
        </w:rPr>
        <w:t>REPUBLICA DE COLOMBIA</w:t>
      </w:r>
    </w:p>
    <w:p w:rsidR="00954898" w:rsidRPr="00C60A4D" w:rsidRDefault="00954898" w:rsidP="00C60A4D">
      <w:pPr>
        <w:pStyle w:val="Sinespaciado"/>
        <w:tabs>
          <w:tab w:val="center" w:pos="4987"/>
          <w:tab w:val="left" w:pos="8449"/>
        </w:tabs>
        <w:spacing w:line="288" w:lineRule="auto"/>
        <w:jc w:val="center"/>
        <w:rPr>
          <w:rFonts w:ascii="Georgia" w:hAnsi="Georgia" w:cs="Arial"/>
          <w:w w:val="140"/>
          <w:lang w:val="es-419"/>
        </w:rPr>
      </w:pPr>
      <w:r w:rsidRPr="00C60A4D">
        <w:rPr>
          <w:rFonts w:ascii="Georgia" w:hAnsi="Georgia" w:cs="Arial"/>
          <w:w w:val="140"/>
          <w:sz w:val="14"/>
          <w:lang w:val="es-419"/>
        </w:rPr>
        <w:t>RAMA JUDICIAL DEL PODER PÚBLICO</w:t>
      </w:r>
    </w:p>
    <w:p w:rsidR="00954898" w:rsidRPr="00C60A4D" w:rsidRDefault="00954898" w:rsidP="00C60A4D">
      <w:pPr>
        <w:pStyle w:val="Sinespaciado"/>
        <w:spacing w:line="288" w:lineRule="auto"/>
        <w:jc w:val="center"/>
        <w:rPr>
          <w:rFonts w:ascii="Georgia" w:hAnsi="Georgia" w:cs="Arial"/>
          <w:w w:val="140"/>
          <w:sz w:val="16"/>
          <w:lang w:val="es-419"/>
        </w:rPr>
      </w:pPr>
      <w:r w:rsidRPr="00C60A4D">
        <w:rPr>
          <w:rFonts w:ascii="Georgia" w:hAnsi="Georgia" w:cs="Arial"/>
          <w:w w:val="140"/>
          <w:sz w:val="18"/>
          <w:lang w:val="es-419"/>
        </w:rPr>
        <w:t>T</w:t>
      </w:r>
      <w:r w:rsidRPr="00C60A4D">
        <w:rPr>
          <w:rFonts w:ascii="Georgia" w:hAnsi="Georgia" w:cs="Arial"/>
          <w:w w:val="140"/>
          <w:sz w:val="16"/>
          <w:lang w:val="es-419"/>
        </w:rPr>
        <w:t>RIBUNAL</w:t>
      </w:r>
      <w:r w:rsidRPr="00C60A4D">
        <w:rPr>
          <w:rFonts w:ascii="Georgia" w:hAnsi="Georgia" w:cs="Arial"/>
          <w:w w:val="140"/>
          <w:sz w:val="18"/>
          <w:lang w:val="es-419"/>
        </w:rPr>
        <w:t xml:space="preserve"> S</w:t>
      </w:r>
      <w:r w:rsidRPr="00C60A4D">
        <w:rPr>
          <w:rFonts w:ascii="Georgia" w:hAnsi="Georgia" w:cs="Arial"/>
          <w:w w:val="140"/>
          <w:sz w:val="16"/>
          <w:lang w:val="es-419"/>
        </w:rPr>
        <w:t xml:space="preserve">UPERIOR DEL </w:t>
      </w:r>
      <w:r w:rsidRPr="00C60A4D">
        <w:rPr>
          <w:rFonts w:ascii="Georgia" w:hAnsi="Georgia" w:cs="Arial"/>
          <w:w w:val="140"/>
          <w:sz w:val="18"/>
          <w:lang w:val="es-419"/>
        </w:rPr>
        <w:t>D</w:t>
      </w:r>
      <w:r w:rsidRPr="00C60A4D">
        <w:rPr>
          <w:rFonts w:ascii="Georgia" w:hAnsi="Georgia" w:cs="Arial"/>
          <w:w w:val="140"/>
          <w:sz w:val="16"/>
          <w:lang w:val="es-419"/>
        </w:rPr>
        <w:t>ISTRITO</w:t>
      </w:r>
      <w:r w:rsidRPr="00C60A4D">
        <w:rPr>
          <w:rFonts w:ascii="Georgia" w:hAnsi="Georgia" w:cs="Arial"/>
          <w:w w:val="140"/>
          <w:sz w:val="18"/>
          <w:lang w:val="es-419"/>
        </w:rPr>
        <w:t xml:space="preserve"> J</w:t>
      </w:r>
      <w:r w:rsidRPr="00C60A4D">
        <w:rPr>
          <w:rFonts w:ascii="Georgia" w:hAnsi="Georgia" w:cs="Arial"/>
          <w:w w:val="140"/>
          <w:sz w:val="16"/>
          <w:lang w:val="es-419"/>
        </w:rPr>
        <w:t>UDICIAL</w:t>
      </w:r>
    </w:p>
    <w:p w:rsidR="00954898" w:rsidRPr="00C60A4D" w:rsidRDefault="00954898" w:rsidP="00C60A4D">
      <w:pPr>
        <w:pStyle w:val="Sinespaciado"/>
        <w:spacing w:line="288" w:lineRule="auto"/>
        <w:jc w:val="center"/>
        <w:rPr>
          <w:rFonts w:ascii="Georgia" w:hAnsi="Georgia" w:cs="Arial"/>
          <w:w w:val="140"/>
          <w:sz w:val="16"/>
          <w:szCs w:val="18"/>
          <w:lang w:val="es-419"/>
        </w:rPr>
      </w:pPr>
      <w:r w:rsidRPr="00C60A4D">
        <w:rPr>
          <w:rFonts w:ascii="Georgia" w:hAnsi="Georgia" w:cs="Arial"/>
          <w:w w:val="140"/>
          <w:sz w:val="18"/>
          <w:szCs w:val="18"/>
          <w:lang w:val="es-419"/>
        </w:rPr>
        <w:t>S</w:t>
      </w:r>
      <w:r w:rsidRPr="00C60A4D">
        <w:rPr>
          <w:rFonts w:ascii="Georgia" w:hAnsi="Georgia" w:cs="Arial"/>
          <w:w w:val="140"/>
          <w:sz w:val="16"/>
          <w:szCs w:val="18"/>
          <w:lang w:val="es-419"/>
        </w:rPr>
        <w:t>ALA</w:t>
      </w:r>
      <w:r w:rsidRPr="00C60A4D">
        <w:rPr>
          <w:rFonts w:ascii="Georgia" w:hAnsi="Georgia" w:cs="Arial"/>
          <w:w w:val="140"/>
          <w:sz w:val="14"/>
          <w:szCs w:val="18"/>
          <w:lang w:val="es-419"/>
        </w:rPr>
        <w:t xml:space="preserve"> </w:t>
      </w:r>
      <w:r w:rsidRPr="00C60A4D">
        <w:rPr>
          <w:rFonts w:ascii="Georgia" w:hAnsi="Georgia" w:cs="Arial"/>
          <w:w w:val="140"/>
          <w:sz w:val="16"/>
          <w:szCs w:val="18"/>
          <w:lang w:val="es-419"/>
        </w:rPr>
        <w:t xml:space="preserve">DE </w:t>
      </w:r>
      <w:r w:rsidRPr="00C60A4D">
        <w:rPr>
          <w:rFonts w:ascii="Georgia" w:hAnsi="Georgia" w:cs="Arial"/>
          <w:w w:val="140"/>
          <w:sz w:val="18"/>
          <w:szCs w:val="18"/>
          <w:lang w:val="es-419"/>
        </w:rPr>
        <w:t>D</w:t>
      </w:r>
      <w:r w:rsidRPr="00C60A4D">
        <w:rPr>
          <w:rFonts w:ascii="Georgia" w:hAnsi="Georgia" w:cs="Arial"/>
          <w:w w:val="140"/>
          <w:sz w:val="16"/>
          <w:szCs w:val="18"/>
          <w:lang w:val="es-419"/>
        </w:rPr>
        <w:t>ECISIÓN</w:t>
      </w:r>
      <w:r w:rsidRPr="00C60A4D">
        <w:rPr>
          <w:rFonts w:ascii="Georgia" w:hAnsi="Georgia" w:cs="Arial"/>
          <w:w w:val="140"/>
          <w:sz w:val="18"/>
          <w:szCs w:val="18"/>
          <w:lang w:val="es-419"/>
        </w:rPr>
        <w:t xml:space="preserve"> C</w:t>
      </w:r>
      <w:r w:rsidRPr="00C60A4D">
        <w:rPr>
          <w:rFonts w:ascii="Georgia" w:hAnsi="Georgia" w:cs="Arial"/>
          <w:w w:val="140"/>
          <w:sz w:val="16"/>
          <w:szCs w:val="18"/>
          <w:lang w:val="es-419"/>
        </w:rPr>
        <w:t>IVIL –</w:t>
      </w:r>
      <w:r w:rsidRPr="00C60A4D">
        <w:rPr>
          <w:rFonts w:ascii="Georgia" w:hAnsi="Georgia" w:cs="Arial"/>
          <w:w w:val="140"/>
          <w:sz w:val="18"/>
          <w:szCs w:val="18"/>
          <w:lang w:val="es-419"/>
        </w:rPr>
        <w:t>F</w:t>
      </w:r>
      <w:r w:rsidRPr="00C60A4D">
        <w:rPr>
          <w:rFonts w:ascii="Georgia" w:hAnsi="Georgia" w:cs="Arial"/>
          <w:w w:val="140"/>
          <w:sz w:val="16"/>
          <w:szCs w:val="18"/>
          <w:lang w:val="es-419"/>
        </w:rPr>
        <w:t xml:space="preserve">AMILIA – </w:t>
      </w:r>
      <w:r w:rsidRPr="00C60A4D">
        <w:rPr>
          <w:rFonts w:ascii="Georgia" w:hAnsi="Georgia" w:cs="Arial"/>
          <w:w w:val="140"/>
          <w:sz w:val="18"/>
          <w:szCs w:val="18"/>
          <w:lang w:val="es-419"/>
        </w:rPr>
        <w:t>D</w:t>
      </w:r>
      <w:r w:rsidRPr="00C60A4D">
        <w:rPr>
          <w:rFonts w:ascii="Georgia" w:hAnsi="Georgia" w:cs="Arial"/>
          <w:w w:val="140"/>
          <w:sz w:val="16"/>
          <w:szCs w:val="18"/>
          <w:lang w:val="es-419"/>
        </w:rPr>
        <w:t>ISTRITO</w:t>
      </w:r>
      <w:r w:rsidRPr="00C60A4D">
        <w:rPr>
          <w:rFonts w:ascii="Georgia" w:hAnsi="Georgia" w:cs="Arial"/>
          <w:w w:val="140"/>
          <w:sz w:val="18"/>
          <w:szCs w:val="18"/>
          <w:lang w:val="es-419"/>
        </w:rPr>
        <w:t xml:space="preserve"> D</w:t>
      </w:r>
      <w:r w:rsidRPr="00C60A4D">
        <w:rPr>
          <w:rFonts w:ascii="Georgia" w:hAnsi="Georgia" w:cs="Arial"/>
          <w:w w:val="140"/>
          <w:sz w:val="16"/>
          <w:szCs w:val="18"/>
          <w:lang w:val="es-419"/>
        </w:rPr>
        <w:t>E</w:t>
      </w:r>
      <w:r w:rsidRPr="00C60A4D">
        <w:rPr>
          <w:rFonts w:ascii="Georgia" w:hAnsi="Georgia" w:cs="Arial"/>
          <w:w w:val="140"/>
          <w:sz w:val="18"/>
          <w:szCs w:val="18"/>
          <w:lang w:val="es-419"/>
        </w:rPr>
        <w:t xml:space="preserve"> P</w:t>
      </w:r>
      <w:r w:rsidRPr="00C60A4D">
        <w:rPr>
          <w:rFonts w:ascii="Georgia" w:hAnsi="Georgia" w:cs="Arial"/>
          <w:w w:val="140"/>
          <w:sz w:val="16"/>
          <w:szCs w:val="18"/>
          <w:lang w:val="es-419"/>
        </w:rPr>
        <w:t>EREIRA</w:t>
      </w:r>
    </w:p>
    <w:p w:rsidR="00954898" w:rsidRPr="00C60A4D" w:rsidRDefault="00954898" w:rsidP="00C60A4D">
      <w:pPr>
        <w:pStyle w:val="Sinespaciado"/>
        <w:spacing w:line="288" w:lineRule="auto"/>
        <w:jc w:val="center"/>
        <w:rPr>
          <w:rFonts w:ascii="Georgia" w:hAnsi="Georgia" w:cs="Arial"/>
          <w:w w:val="140"/>
          <w:sz w:val="16"/>
          <w:szCs w:val="18"/>
          <w:lang w:val="es-419"/>
        </w:rPr>
      </w:pPr>
      <w:r w:rsidRPr="00C60A4D">
        <w:rPr>
          <w:rFonts w:ascii="Georgia" w:hAnsi="Georgia" w:cs="Arial"/>
          <w:w w:val="140"/>
          <w:sz w:val="18"/>
          <w:szCs w:val="18"/>
          <w:lang w:val="es-419"/>
        </w:rPr>
        <w:t>D</w:t>
      </w:r>
      <w:r w:rsidRPr="00C60A4D">
        <w:rPr>
          <w:rFonts w:ascii="Georgia" w:hAnsi="Georgia" w:cs="Arial"/>
          <w:w w:val="140"/>
          <w:sz w:val="16"/>
          <w:szCs w:val="18"/>
          <w:lang w:val="es-419"/>
        </w:rPr>
        <w:t xml:space="preserve">EPARTAMENTO </w:t>
      </w:r>
      <w:r w:rsidRPr="00C60A4D">
        <w:rPr>
          <w:rFonts w:ascii="Georgia" w:hAnsi="Georgia" w:cs="Arial"/>
          <w:w w:val="140"/>
          <w:sz w:val="18"/>
          <w:szCs w:val="18"/>
          <w:lang w:val="es-419"/>
        </w:rPr>
        <w:t>D</w:t>
      </w:r>
      <w:r w:rsidRPr="00C60A4D">
        <w:rPr>
          <w:rFonts w:ascii="Georgia" w:hAnsi="Georgia" w:cs="Arial"/>
          <w:w w:val="140"/>
          <w:sz w:val="16"/>
          <w:szCs w:val="18"/>
          <w:lang w:val="es-419"/>
        </w:rPr>
        <w:t xml:space="preserve">E </w:t>
      </w:r>
      <w:r w:rsidRPr="00C60A4D">
        <w:rPr>
          <w:rFonts w:ascii="Georgia" w:hAnsi="Georgia" w:cs="Arial"/>
          <w:w w:val="140"/>
          <w:sz w:val="18"/>
          <w:szCs w:val="18"/>
          <w:lang w:val="es-419"/>
        </w:rPr>
        <w:t>R</w:t>
      </w:r>
      <w:r w:rsidRPr="00C60A4D">
        <w:rPr>
          <w:rFonts w:ascii="Georgia" w:hAnsi="Georgia" w:cs="Arial"/>
          <w:w w:val="140"/>
          <w:sz w:val="16"/>
          <w:szCs w:val="18"/>
          <w:lang w:val="es-419"/>
        </w:rPr>
        <w:t>ISARALDA</w:t>
      </w:r>
    </w:p>
    <w:p w:rsidR="00954898" w:rsidRPr="00F47864" w:rsidRDefault="00954898" w:rsidP="00F47864">
      <w:pPr>
        <w:pStyle w:val="Sinespaciado"/>
        <w:spacing w:line="288" w:lineRule="auto"/>
        <w:rPr>
          <w:rFonts w:ascii="Georgia" w:hAnsi="Georgia" w:cs="Arial"/>
          <w:w w:val="140"/>
          <w:sz w:val="22"/>
          <w:szCs w:val="18"/>
          <w:lang w:val="es-419"/>
        </w:rPr>
      </w:pPr>
    </w:p>
    <w:p w:rsidR="00954898" w:rsidRPr="00C60A4D" w:rsidRDefault="00954898" w:rsidP="00C60A4D">
      <w:pPr>
        <w:pStyle w:val="Textoindependiente"/>
        <w:spacing w:line="288" w:lineRule="auto"/>
        <w:rPr>
          <w:rFonts w:ascii="Georgia" w:hAnsi="Georgia" w:cs="Arial"/>
          <w:szCs w:val="22"/>
          <w:lang w:val="es-419"/>
        </w:rPr>
      </w:pPr>
      <w:r w:rsidRPr="00C60A4D">
        <w:rPr>
          <w:rFonts w:ascii="Georgia" w:hAnsi="Georgia" w:cs="Arial"/>
          <w:sz w:val="22"/>
          <w:lang w:val="es-419"/>
        </w:rPr>
        <w:tab/>
      </w:r>
      <w:r w:rsidRPr="00C60A4D">
        <w:rPr>
          <w:rFonts w:ascii="Georgia" w:hAnsi="Georgia" w:cs="Arial"/>
          <w:sz w:val="22"/>
          <w:lang w:val="es-419"/>
        </w:rPr>
        <w:tab/>
      </w:r>
      <w:r w:rsidRPr="00C60A4D">
        <w:rPr>
          <w:rFonts w:ascii="Georgia" w:hAnsi="Georgia" w:cs="Arial"/>
          <w:szCs w:val="22"/>
          <w:lang w:val="es-419"/>
        </w:rPr>
        <w:t>Asunto</w:t>
      </w:r>
      <w:r w:rsidRPr="00C60A4D">
        <w:rPr>
          <w:rFonts w:ascii="Georgia" w:hAnsi="Georgia" w:cs="Arial"/>
          <w:szCs w:val="22"/>
          <w:lang w:val="es-419"/>
        </w:rPr>
        <w:tab/>
      </w:r>
      <w:r w:rsidRPr="00C60A4D">
        <w:rPr>
          <w:rFonts w:ascii="Georgia" w:hAnsi="Georgia" w:cs="Arial"/>
          <w:szCs w:val="22"/>
          <w:lang w:val="es-419"/>
        </w:rPr>
        <w:tab/>
      </w:r>
      <w:r w:rsidRPr="00C60A4D">
        <w:rPr>
          <w:rFonts w:ascii="Georgia" w:hAnsi="Georgia" w:cs="Arial"/>
          <w:szCs w:val="22"/>
          <w:lang w:val="es-419"/>
        </w:rPr>
        <w:tab/>
        <w:t>: Sentencia de tutela en segunda instancia</w:t>
      </w:r>
    </w:p>
    <w:p w:rsidR="00954898" w:rsidRPr="00C60A4D" w:rsidRDefault="00954898" w:rsidP="00C60A4D">
      <w:pPr>
        <w:pStyle w:val="Textoindependiente"/>
        <w:spacing w:line="288" w:lineRule="auto"/>
        <w:rPr>
          <w:rFonts w:ascii="Georgia" w:hAnsi="Georgia" w:cs="Arial"/>
          <w:lang w:val="es-419"/>
        </w:rPr>
      </w:pPr>
      <w:r w:rsidRPr="00C60A4D">
        <w:rPr>
          <w:rFonts w:ascii="Georgia" w:hAnsi="Georgia" w:cs="Arial"/>
          <w:lang w:val="es-419"/>
        </w:rPr>
        <w:tab/>
      </w:r>
      <w:r w:rsidRPr="00C60A4D">
        <w:rPr>
          <w:rFonts w:ascii="Georgia" w:hAnsi="Georgia" w:cs="Arial"/>
          <w:lang w:val="es-419"/>
        </w:rPr>
        <w:tab/>
        <w:t>Accionante (s)</w:t>
      </w:r>
      <w:r w:rsidRPr="00C60A4D">
        <w:rPr>
          <w:rFonts w:ascii="Georgia" w:hAnsi="Georgia" w:cs="Arial"/>
          <w:lang w:val="es-419"/>
        </w:rPr>
        <w:tab/>
      </w:r>
      <w:r w:rsidRPr="00C60A4D">
        <w:rPr>
          <w:rFonts w:ascii="Georgia" w:hAnsi="Georgia" w:cs="Arial"/>
          <w:lang w:val="es-419"/>
        </w:rPr>
        <w:tab/>
        <w:t>: Oveida Lucía Marín González y otros</w:t>
      </w:r>
    </w:p>
    <w:p w:rsidR="00954898" w:rsidRPr="00C60A4D" w:rsidRDefault="00954898" w:rsidP="00C60A4D">
      <w:pPr>
        <w:pStyle w:val="Textoindependiente"/>
        <w:spacing w:line="288" w:lineRule="auto"/>
        <w:ind w:left="1416"/>
        <w:rPr>
          <w:rFonts w:ascii="Georgia" w:hAnsi="Georgia" w:cs="Arial"/>
          <w:lang w:val="es-419"/>
        </w:rPr>
      </w:pPr>
      <w:r w:rsidRPr="00C60A4D">
        <w:rPr>
          <w:rFonts w:ascii="Georgia" w:hAnsi="Georgia" w:cs="Arial"/>
          <w:lang w:val="es-419"/>
        </w:rPr>
        <w:t>Accionado (s)</w:t>
      </w:r>
      <w:r w:rsidRPr="00C60A4D">
        <w:rPr>
          <w:rFonts w:ascii="Georgia" w:hAnsi="Georgia" w:cs="Arial"/>
          <w:lang w:val="es-419"/>
        </w:rPr>
        <w:tab/>
      </w:r>
      <w:r w:rsidRPr="00C60A4D">
        <w:rPr>
          <w:rFonts w:ascii="Georgia" w:hAnsi="Georgia" w:cs="Arial"/>
          <w:lang w:val="es-419"/>
        </w:rPr>
        <w:tab/>
      </w:r>
      <w:r w:rsidRPr="00C60A4D">
        <w:rPr>
          <w:rFonts w:ascii="Georgia" w:hAnsi="Georgia" w:cs="Arial"/>
          <w:lang w:val="es-419"/>
        </w:rPr>
        <w:tab/>
        <w:t>: Juzgado 6º Civil Municipal de Pereira</w:t>
      </w:r>
    </w:p>
    <w:p w:rsidR="00954898" w:rsidRPr="00C60A4D" w:rsidRDefault="00954898" w:rsidP="00C60A4D">
      <w:pPr>
        <w:pStyle w:val="Textoindependiente"/>
        <w:spacing w:line="288" w:lineRule="auto"/>
        <w:ind w:left="1416"/>
        <w:rPr>
          <w:rFonts w:ascii="Georgia" w:hAnsi="Georgia" w:cs="Arial"/>
          <w:lang w:val="es-419"/>
        </w:rPr>
      </w:pPr>
      <w:r w:rsidRPr="00C60A4D">
        <w:rPr>
          <w:rFonts w:ascii="Georgia" w:hAnsi="Georgia" w:cs="Arial"/>
          <w:lang w:val="es-419"/>
        </w:rPr>
        <w:t>Vinculado (s)</w:t>
      </w:r>
      <w:r w:rsidRPr="00C60A4D">
        <w:rPr>
          <w:rFonts w:ascii="Georgia" w:hAnsi="Georgia" w:cs="Arial"/>
          <w:lang w:val="es-419"/>
        </w:rPr>
        <w:tab/>
      </w:r>
      <w:r w:rsidRPr="00C60A4D">
        <w:rPr>
          <w:rFonts w:ascii="Georgia" w:hAnsi="Georgia" w:cs="Arial"/>
          <w:lang w:val="es-419"/>
        </w:rPr>
        <w:tab/>
      </w:r>
      <w:r w:rsidRPr="00C60A4D">
        <w:rPr>
          <w:rFonts w:ascii="Georgia" w:hAnsi="Georgia" w:cs="Arial"/>
          <w:lang w:val="es-419"/>
        </w:rPr>
        <w:tab/>
        <w:t>: María Eliany Marín González y otro</w:t>
      </w:r>
    </w:p>
    <w:p w:rsidR="00954898" w:rsidRPr="00C60A4D" w:rsidRDefault="00954898" w:rsidP="00C60A4D">
      <w:pPr>
        <w:pStyle w:val="Textoindependiente"/>
        <w:spacing w:line="288" w:lineRule="auto"/>
        <w:ind w:left="1416"/>
        <w:rPr>
          <w:rFonts w:ascii="Georgia" w:hAnsi="Georgia" w:cs="Arial"/>
          <w:lang w:val="es-419"/>
        </w:rPr>
      </w:pPr>
      <w:r w:rsidRPr="00C60A4D">
        <w:rPr>
          <w:rFonts w:ascii="Georgia" w:hAnsi="Georgia" w:cs="Arial"/>
          <w:lang w:val="es-419"/>
        </w:rPr>
        <w:t>Radicación</w:t>
      </w:r>
      <w:r w:rsidRPr="00C60A4D">
        <w:rPr>
          <w:rFonts w:ascii="Georgia" w:hAnsi="Georgia" w:cs="Arial"/>
          <w:lang w:val="es-419"/>
        </w:rPr>
        <w:tab/>
      </w:r>
      <w:r w:rsidRPr="00C60A4D">
        <w:rPr>
          <w:rFonts w:ascii="Georgia" w:hAnsi="Georgia" w:cs="Arial"/>
          <w:lang w:val="es-419"/>
        </w:rPr>
        <w:tab/>
      </w:r>
      <w:r w:rsidRPr="00C60A4D">
        <w:rPr>
          <w:rFonts w:ascii="Georgia" w:hAnsi="Georgia" w:cs="Arial"/>
          <w:lang w:val="es-419"/>
        </w:rPr>
        <w:tab/>
        <w:t>: 66001-31-03-004-2019-00062-01</w:t>
      </w:r>
    </w:p>
    <w:p w:rsidR="00954898" w:rsidRPr="00C60A4D" w:rsidRDefault="00954898" w:rsidP="00C60A4D">
      <w:pPr>
        <w:pStyle w:val="Textoindependiente"/>
        <w:tabs>
          <w:tab w:val="clear" w:pos="3540"/>
          <w:tab w:val="clear" w:pos="4248"/>
          <w:tab w:val="left" w:pos="3686"/>
          <w:tab w:val="left" w:pos="4395"/>
        </w:tabs>
        <w:spacing w:line="288" w:lineRule="auto"/>
        <w:ind w:left="4248" w:hanging="4245"/>
        <w:rPr>
          <w:rFonts w:ascii="Georgia" w:hAnsi="Georgia" w:cs="Arial"/>
          <w:szCs w:val="22"/>
          <w:lang w:val="es-419"/>
        </w:rPr>
      </w:pPr>
      <w:r w:rsidRPr="00C60A4D">
        <w:rPr>
          <w:rFonts w:ascii="Georgia" w:hAnsi="Georgia" w:cs="Arial"/>
          <w:szCs w:val="22"/>
          <w:lang w:val="es-419"/>
        </w:rPr>
        <w:tab/>
      </w:r>
      <w:r w:rsidRPr="00C60A4D">
        <w:rPr>
          <w:rFonts w:ascii="Georgia" w:hAnsi="Georgia" w:cs="Arial"/>
          <w:szCs w:val="22"/>
          <w:lang w:val="es-419"/>
        </w:rPr>
        <w:tab/>
        <w:t>Temas</w:t>
      </w:r>
      <w:r w:rsidRPr="00C60A4D">
        <w:rPr>
          <w:rFonts w:ascii="Georgia" w:hAnsi="Georgia" w:cs="Arial"/>
          <w:szCs w:val="22"/>
          <w:lang w:val="es-419"/>
        </w:rPr>
        <w:tab/>
      </w:r>
      <w:r w:rsidRPr="00C60A4D">
        <w:rPr>
          <w:rFonts w:ascii="Georgia" w:hAnsi="Georgia" w:cs="Arial"/>
          <w:szCs w:val="22"/>
          <w:lang w:val="es-419"/>
        </w:rPr>
        <w:tab/>
        <w:t xml:space="preserve">               </w:t>
      </w:r>
      <w:r w:rsidRPr="00C60A4D">
        <w:rPr>
          <w:rFonts w:ascii="Georgia" w:hAnsi="Georgia" w:cs="Arial"/>
          <w:szCs w:val="22"/>
          <w:lang w:val="es-419"/>
        </w:rPr>
        <w:tab/>
      </w:r>
      <w:r w:rsidRPr="00C60A4D">
        <w:rPr>
          <w:rFonts w:ascii="Georgia" w:hAnsi="Georgia" w:cs="Arial"/>
          <w:szCs w:val="22"/>
          <w:lang w:val="es-419"/>
        </w:rPr>
        <w:tab/>
        <w:t xml:space="preserve">: Debido proceso – Defecto procedimental </w:t>
      </w:r>
    </w:p>
    <w:p w:rsidR="00954898" w:rsidRPr="00C60A4D" w:rsidRDefault="00954898" w:rsidP="00C60A4D">
      <w:pPr>
        <w:pStyle w:val="Textoindependiente"/>
        <w:tabs>
          <w:tab w:val="clear" w:pos="3540"/>
          <w:tab w:val="clear" w:pos="4248"/>
          <w:tab w:val="left" w:pos="3686"/>
          <w:tab w:val="left" w:pos="4395"/>
        </w:tabs>
        <w:spacing w:line="288" w:lineRule="auto"/>
        <w:ind w:left="4248" w:hanging="4245"/>
        <w:rPr>
          <w:rFonts w:ascii="Georgia" w:hAnsi="Georgia" w:cs="Arial"/>
          <w:szCs w:val="22"/>
          <w:lang w:val="es-419"/>
        </w:rPr>
      </w:pPr>
      <w:r w:rsidRPr="00C60A4D">
        <w:rPr>
          <w:rFonts w:ascii="Georgia" w:hAnsi="Georgia" w:cs="Arial"/>
          <w:szCs w:val="22"/>
          <w:lang w:val="es-419"/>
        </w:rPr>
        <w:tab/>
      </w:r>
      <w:r w:rsidRPr="00C60A4D">
        <w:rPr>
          <w:rFonts w:ascii="Georgia" w:hAnsi="Georgia" w:cs="Arial"/>
          <w:szCs w:val="22"/>
          <w:lang w:val="es-419"/>
        </w:rPr>
        <w:tab/>
        <w:t>Despacho de origen</w:t>
      </w:r>
      <w:r w:rsidRPr="00C60A4D">
        <w:rPr>
          <w:rFonts w:ascii="Georgia" w:hAnsi="Georgia" w:cs="Arial"/>
          <w:szCs w:val="22"/>
          <w:lang w:val="es-419"/>
        </w:rPr>
        <w:tab/>
      </w:r>
      <w:r w:rsidRPr="00C60A4D">
        <w:rPr>
          <w:rFonts w:ascii="Georgia" w:hAnsi="Georgia" w:cs="Arial"/>
          <w:szCs w:val="22"/>
          <w:lang w:val="es-419"/>
        </w:rPr>
        <w:tab/>
        <w:t xml:space="preserve">: Juzgado 5º Civil del Circuito de Pereira </w:t>
      </w:r>
    </w:p>
    <w:p w:rsidR="00954898" w:rsidRPr="00C60A4D" w:rsidRDefault="00954898" w:rsidP="00C60A4D">
      <w:pPr>
        <w:pStyle w:val="Textoindependiente"/>
        <w:tabs>
          <w:tab w:val="clear" w:pos="3540"/>
          <w:tab w:val="left" w:pos="3686"/>
        </w:tabs>
        <w:spacing w:line="288" w:lineRule="auto"/>
        <w:ind w:left="3686" w:hanging="3686"/>
        <w:rPr>
          <w:rFonts w:ascii="Georgia" w:hAnsi="Georgia"/>
          <w:szCs w:val="22"/>
          <w:lang w:val="es-419"/>
        </w:rPr>
      </w:pPr>
      <w:r w:rsidRPr="00C60A4D">
        <w:rPr>
          <w:rFonts w:ascii="Georgia" w:hAnsi="Georgia" w:cs="Arial"/>
          <w:szCs w:val="22"/>
          <w:lang w:val="es-419"/>
        </w:rPr>
        <w:tab/>
      </w:r>
      <w:r w:rsidRPr="00C60A4D">
        <w:rPr>
          <w:rFonts w:ascii="Georgia" w:hAnsi="Georgia" w:cs="Arial"/>
          <w:szCs w:val="22"/>
          <w:lang w:val="es-419"/>
        </w:rPr>
        <w:tab/>
      </w:r>
      <w:r w:rsidRPr="00C60A4D">
        <w:rPr>
          <w:rFonts w:ascii="Georgia" w:hAnsi="Georgia"/>
          <w:szCs w:val="22"/>
          <w:lang w:val="es-419"/>
        </w:rPr>
        <w:t>Magistrado Ponente</w:t>
      </w:r>
      <w:r w:rsidRPr="00C60A4D">
        <w:rPr>
          <w:rFonts w:ascii="Georgia" w:hAnsi="Georgia"/>
          <w:szCs w:val="22"/>
          <w:lang w:val="es-419"/>
        </w:rPr>
        <w:tab/>
      </w:r>
      <w:r w:rsidRPr="00C60A4D">
        <w:rPr>
          <w:rFonts w:ascii="Georgia" w:hAnsi="Georgia"/>
          <w:szCs w:val="22"/>
          <w:lang w:val="es-419"/>
        </w:rPr>
        <w:tab/>
        <w:t xml:space="preserve">: </w:t>
      </w:r>
      <w:r w:rsidRPr="00C60A4D">
        <w:rPr>
          <w:rFonts w:ascii="Georgia" w:hAnsi="Georgia"/>
          <w:smallCaps/>
          <w:szCs w:val="22"/>
          <w:lang w:val="es-419"/>
        </w:rPr>
        <w:t>Duberney Grisales Herrera</w:t>
      </w:r>
    </w:p>
    <w:p w:rsidR="00D031A9" w:rsidRPr="00C60A4D" w:rsidRDefault="00D031A9" w:rsidP="00C60A4D">
      <w:pPr>
        <w:spacing w:line="288" w:lineRule="auto"/>
        <w:ind w:left="708" w:firstLine="708"/>
        <w:rPr>
          <w:rFonts w:ascii="Georgia" w:hAnsi="Georgia"/>
          <w:szCs w:val="22"/>
          <w:lang w:val="es-419"/>
        </w:rPr>
      </w:pPr>
      <w:r w:rsidRPr="00C60A4D">
        <w:rPr>
          <w:rFonts w:ascii="Georgia" w:hAnsi="Georgia"/>
          <w:szCs w:val="22"/>
          <w:lang w:val="es-419"/>
        </w:rPr>
        <w:t>Acta número</w:t>
      </w:r>
      <w:r w:rsidRPr="00C60A4D">
        <w:rPr>
          <w:rFonts w:ascii="Georgia" w:hAnsi="Georgia"/>
          <w:szCs w:val="22"/>
          <w:lang w:val="es-419"/>
        </w:rPr>
        <w:tab/>
      </w:r>
      <w:r w:rsidRPr="00C60A4D">
        <w:rPr>
          <w:rFonts w:ascii="Georgia" w:hAnsi="Georgia"/>
          <w:szCs w:val="22"/>
          <w:lang w:val="es-419"/>
        </w:rPr>
        <w:tab/>
      </w:r>
      <w:r w:rsidRPr="00C60A4D">
        <w:rPr>
          <w:rFonts w:ascii="Georgia" w:hAnsi="Georgia"/>
          <w:szCs w:val="22"/>
          <w:lang w:val="es-419"/>
        </w:rPr>
        <w:tab/>
        <w:t>: 231 de 06-06-2019</w:t>
      </w:r>
    </w:p>
    <w:p w:rsidR="009F64BD" w:rsidRDefault="009F64BD" w:rsidP="00C60A4D">
      <w:pPr>
        <w:spacing w:line="288" w:lineRule="auto"/>
        <w:jc w:val="center"/>
        <w:rPr>
          <w:rFonts w:ascii="Georgia" w:hAnsi="Georgia" w:cs="Arial"/>
          <w:iCs/>
          <w:smallCaps/>
          <w:sz w:val="28"/>
          <w:lang w:val="es-419"/>
        </w:rPr>
      </w:pPr>
    </w:p>
    <w:p w:rsidR="00D031A9" w:rsidRPr="00C60A4D" w:rsidRDefault="00D031A9" w:rsidP="00C60A4D">
      <w:pPr>
        <w:spacing w:line="288" w:lineRule="auto"/>
        <w:jc w:val="center"/>
        <w:rPr>
          <w:rFonts w:ascii="Georgia" w:hAnsi="Georgia" w:cs="Arial"/>
          <w:iCs/>
          <w:sz w:val="28"/>
          <w:lang w:val="es-419"/>
        </w:rPr>
      </w:pPr>
      <w:r w:rsidRPr="00C60A4D">
        <w:rPr>
          <w:rFonts w:ascii="Georgia" w:hAnsi="Georgia" w:cs="Arial"/>
          <w:iCs/>
          <w:smallCaps/>
          <w:sz w:val="28"/>
          <w:lang w:val="es-419"/>
        </w:rPr>
        <w:t>Pereira, R., seis (6) de junio de dos mil diecinueve (2019)</w:t>
      </w:r>
      <w:r w:rsidRPr="00C60A4D">
        <w:rPr>
          <w:rFonts w:ascii="Georgia" w:hAnsi="Georgia" w:cs="Arial"/>
          <w:iCs/>
          <w:sz w:val="28"/>
          <w:lang w:val="es-419"/>
        </w:rPr>
        <w:t>.</w:t>
      </w:r>
    </w:p>
    <w:p w:rsidR="00954898" w:rsidRPr="00F47864" w:rsidRDefault="00954898" w:rsidP="00F47864">
      <w:pPr>
        <w:pStyle w:val="Textoindependiente"/>
        <w:spacing w:line="288" w:lineRule="auto"/>
        <w:rPr>
          <w:rFonts w:ascii="Georgia" w:hAnsi="Georgia"/>
          <w:sz w:val="22"/>
          <w:szCs w:val="24"/>
          <w:lang w:val="es-419"/>
        </w:rPr>
      </w:pPr>
    </w:p>
    <w:p w:rsidR="00954898" w:rsidRPr="00C60A4D" w:rsidRDefault="00954898" w:rsidP="00C60A4D">
      <w:pPr>
        <w:pStyle w:val="Textoindependiente"/>
        <w:numPr>
          <w:ilvl w:val="0"/>
          <w:numId w:val="1"/>
        </w:numPr>
        <w:spacing w:line="288" w:lineRule="auto"/>
        <w:rPr>
          <w:rFonts w:ascii="Georgia" w:hAnsi="Georgia"/>
          <w:smallCaps/>
          <w:szCs w:val="24"/>
          <w:lang w:val="es-419"/>
        </w:rPr>
      </w:pPr>
      <w:r w:rsidRPr="00C60A4D">
        <w:rPr>
          <w:rFonts w:ascii="Georgia" w:hAnsi="Georgia"/>
          <w:smallCaps/>
          <w:szCs w:val="24"/>
          <w:lang w:val="es-419"/>
        </w:rPr>
        <w:t>El asunto a decidir</w:t>
      </w:r>
    </w:p>
    <w:p w:rsidR="00954898" w:rsidRPr="00F47864" w:rsidRDefault="00954898" w:rsidP="00F47864">
      <w:pPr>
        <w:pStyle w:val="Textoindependiente"/>
        <w:spacing w:line="288" w:lineRule="auto"/>
        <w:rPr>
          <w:rFonts w:ascii="Georgia" w:hAnsi="Georgia"/>
          <w:sz w:val="22"/>
          <w:szCs w:val="24"/>
          <w:lang w:val="es-419"/>
        </w:rPr>
      </w:pPr>
    </w:p>
    <w:p w:rsidR="00954898" w:rsidRPr="00C60A4D" w:rsidRDefault="00954898" w:rsidP="00C60A4D">
      <w:pPr>
        <w:pStyle w:val="Textoindependiente"/>
        <w:spacing w:line="288" w:lineRule="auto"/>
        <w:rPr>
          <w:rFonts w:ascii="Georgia" w:hAnsi="Georgia"/>
          <w:szCs w:val="24"/>
          <w:lang w:val="es-419"/>
        </w:rPr>
      </w:pPr>
      <w:r w:rsidRPr="00C60A4D">
        <w:rPr>
          <w:rFonts w:ascii="Georgia" w:hAnsi="Georgia"/>
          <w:szCs w:val="24"/>
          <w:lang w:val="es-419"/>
        </w:rPr>
        <w:t>La impugnación suscitada en el trámite constitucional ya referido, una vez se ha cumplido la actuación de primera instancia.</w:t>
      </w:r>
    </w:p>
    <w:p w:rsidR="00954898" w:rsidRPr="00F47864" w:rsidRDefault="00954898" w:rsidP="00F47864">
      <w:pPr>
        <w:pStyle w:val="Textoindependiente"/>
        <w:spacing w:line="288" w:lineRule="auto"/>
        <w:rPr>
          <w:rFonts w:ascii="Georgia" w:hAnsi="Georgia"/>
          <w:sz w:val="22"/>
          <w:szCs w:val="24"/>
          <w:lang w:val="es-419"/>
        </w:rPr>
      </w:pPr>
    </w:p>
    <w:p w:rsidR="00954898" w:rsidRPr="00C60A4D" w:rsidRDefault="00954898" w:rsidP="00C60A4D">
      <w:pPr>
        <w:pStyle w:val="Textoindependiente"/>
        <w:numPr>
          <w:ilvl w:val="0"/>
          <w:numId w:val="1"/>
        </w:numPr>
        <w:spacing w:line="288" w:lineRule="auto"/>
        <w:rPr>
          <w:rFonts w:ascii="Georgia" w:hAnsi="Georgia"/>
          <w:smallCaps/>
          <w:szCs w:val="24"/>
          <w:lang w:val="es-419"/>
        </w:rPr>
      </w:pPr>
      <w:r w:rsidRPr="00C60A4D">
        <w:rPr>
          <w:rFonts w:ascii="Georgia" w:hAnsi="Georgia"/>
          <w:smallCaps/>
          <w:szCs w:val="24"/>
          <w:lang w:val="es-419"/>
        </w:rPr>
        <w:t xml:space="preserve">La síntesis fáctica </w:t>
      </w:r>
    </w:p>
    <w:p w:rsidR="00954898" w:rsidRPr="00F47864" w:rsidRDefault="00954898" w:rsidP="00C60A4D">
      <w:pPr>
        <w:pStyle w:val="Textoindependiente"/>
        <w:spacing w:line="288" w:lineRule="auto"/>
        <w:rPr>
          <w:rFonts w:ascii="Georgia" w:hAnsi="Georgia"/>
          <w:sz w:val="22"/>
          <w:szCs w:val="24"/>
          <w:lang w:val="es-419"/>
        </w:rPr>
      </w:pPr>
    </w:p>
    <w:p w:rsidR="00954898" w:rsidRPr="00C60A4D" w:rsidRDefault="00954898" w:rsidP="00C60A4D">
      <w:pPr>
        <w:pStyle w:val="Textoindependiente"/>
        <w:spacing w:line="288" w:lineRule="auto"/>
        <w:rPr>
          <w:rFonts w:ascii="Georgia" w:hAnsi="Georgia"/>
          <w:sz w:val="22"/>
          <w:szCs w:val="22"/>
          <w:lang w:val="es-419"/>
        </w:rPr>
      </w:pPr>
      <w:r w:rsidRPr="00C60A4D">
        <w:rPr>
          <w:rFonts w:ascii="Georgia" w:hAnsi="Georgia"/>
          <w:szCs w:val="24"/>
          <w:lang w:val="es-419"/>
        </w:rPr>
        <w:t>Se informa que el juzgado accionado ha realizado un irregular manejo del sistema siglo XXI respecto de las actuaciones surtidas en el proceso No.</w:t>
      </w:r>
      <w:r w:rsidR="00C92D88">
        <w:rPr>
          <w:rFonts w:ascii="Georgia" w:hAnsi="Georgia"/>
          <w:szCs w:val="24"/>
          <w:lang w:val="es-CO"/>
        </w:rPr>
        <w:t xml:space="preserve"> </w:t>
      </w:r>
      <w:r w:rsidRPr="00C60A4D">
        <w:rPr>
          <w:rFonts w:ascii="Georgia" w:hAnsi="Georgia"/>
          <w:szCs w:val="24"/>
          <w:lang w:val="es-419"/>
        </w:rPr>
        <w:t>2013-00711-00. Son inexistentes algunas anotaciones y otras están incompletas. En efecto, el auto del 22-02-2018 que resolvió sobre la renuncia al mandato y el trámite de la excusa por la inasistencia a la audie</w:t>
      </w:r>
      <w:r w:rsidR="00166428" w:rsidRPr="00C60A4D">
        <w:rPr>
          <w:rFonts w:ascii="Georgia" w:hAnsi="Georgia"/>
          <w:szCs w:val="24"/>
          <w:lang w:val="es-419"/>
        </w:rPr>
        <w:t>ncia, no se encuentran inscritos</w:t>
      </w:r>
      <w:r w:rsidRPr="00C60A4D">
        <w:rPr>
          <w:rFonts w:ascii="Georgia" w:hAnsi="Georgia"/>
          <w:szCs w:val="24"/>
          <w:lang w:val="es-419"/>
        </w:rPr>
        <w:t xml:space="preserve"> y el registro del proveído del 07-11-2017 omite referir la fecha de la audiencia del artículo 392, CGP</w:t>
      </w:r>
      <w:r w:rsidR="00166428" w:rsidRPr="00C60A4D">
        <w:rPr>
          <w:rFonts w:ascii="Georgia" w:hAnsi="Georgia"/>
          <w:szCs w:val="24"/>
          <w:lang w:val="es-419"/>
        </w:rPr>
        <w:t>;</w:t>
      </w:r>
      <w:r w:rsidRPr="00C60A4D">
        <w:rPr>
          <w:rFonts w:ascii="Georgia" w:hAnsi="Georgia"/>
          <w:szCs w:val="24"/>
          <w:lang w:val="es-419"/>
        </w:rPr>
        <w:t xml:space="preserve"> </w:t>
      </w:r>
      <w:r w:rsidR="00166428" w:rsidRPr="00C60A4D">
        <w:rPr>
          <w:rFonts w:ascii="Georgia" w:hAnsi="Georgia"/>
          <w:szCs w:val="24"/>
          <w:lang w:val="es-419"/>
        </w:rPr>
        <w:t xml:space="preserve">además, </w:t>
      </w:r>
      <w:r w:rsidRPr="00C60A4D">
        <w:rPr>
          <w:rFonts w:ascii="Georgia" w:hAnsi="Georgia"/>
          <w:szCs w:val="24"/>
          <w:lang w:val="es-419"/>
        </w:rPr>
        <w:t xml:space="preserve">confunde cuando dice que no fue notificado por estado. Asimismo, se cuestiona que el encausado se rehusara a aceptar la excusa presentada por el apoderado por la inasistencia a la audiencia del 21-03-2018 </w:t>
      </w:r>
      <w:r w:rsidRPr="00C60A4D">
        <w:rPr>
          <w:rFonts w:ascii="Georgia" w:hAnsi="Georgia"/>
          <w:sz w:val="22"/>
          <w:szCs w:val="22"/>
          <w:lang w:val="es-419"/>
        </w:rPr>
        <w:t>(Folios 1-9, cuaderno principal).</w:t>
      </w:r>
    </w:p>
    <w:p w:rsidR="00954898" w:rsidRPr="00F47864" w:rsidRDefault="00954898" w:rsidP="00C60A4D">
      <w:pPr>
        <w:pStyle w:val="Textoindependiente"/>
        <w:spacing w:line="288" w:lineRule="auto"/>
        <w:rPr>
          <w:rFonts w:ascii="Georgia" w:hAnsi="Georgia"/>
          <w:sz w:val="22"/>
          <w:szCs w:val="24"/>
          <w:lang w:val="es-419"/>
        </w:rPr>
      </w:pPr>
    </w:p>
    <w:p w:rsidR="00954898" w:rsidRPr="00C60A4D" w:rsidRDefault="00954898" w:rsidP="00C60A4D">
      <w:pPr>
        <w:pStyle w:val="Textoindependiente"/>
        <w:numPr>
          <w:ilvl w:val="0"/>
          <w:numId w:val="1"/>
        </w:numPr>
        <w:spacing w:line="288" w:lineRule="auto"/>
        <w:rPr>
          <w:rFonts w:ascii="Georgia" w:hAnsi="Georgia"/>
          <w:smallCaps/>
          <w:szCs w:val="24"/>
          <w:lang w:val="es-419"/>
        </w:rPr>
      </w:pPr>
      <w:r w:rsidRPr="00C60A4D">
        <w:rPr>
          <w:rFonts w:ascii="Georgia" w:hAnsi="Georgia"/>
          <w:smallCaps/>
          <w:szCs w:val="24"/>
          <w:lang w:val="es-419"/>
        </w:rPr>
        <w:t>Los derechos presuntamente vulnerados</w:t>
      </w:r>
    </w:p>
    <w:p w:rsidR="00954898" w:rsidRPr="00F47864" w:rsidRDefault="00954898" w:rsidP="00F47864">
      <w:pPr>
        <w:pStyle w:val="Textoindependiente"/>
        <w:spacing w:line="288" w:lineRule="auto"/>
        <w:rPr>
          <w:rFonts w:ascii="Georgia" w:hAnsi="Georgia"/>
          <w:sz w:val="22"/>
          <w:szCs w:val="24"/>
          <w:lang w:val="es-419"/>
        </w:rPr>
      </w:pPr>
    </w:p>
    <w:p w:rsidR="00954898" w:rsidRPr="00C60A4D" w:rsidRDefault="00954898" w:rsidP="00C60A4D">
      <w:pPr>
        <w:pStyle w:val="Textoindependiente"/>
        <w:widowControl w:val="0"/>
        <w:spacing w:line="288" w:lineRule="auto"/>
        <w:rPr>
          <w:rFonts w:ascii="Georgia" w:hAnsi="Georgia"/>
          <w:szCs w:val="24"/>
          <w:lang w:val="es-419"/>
        </w:rPr>
      </w:pPr>
      <w:r w:rsidRPr="00C60A4D">
        <w:rPr>
          <w:rFonts w:ascii="Georgia" w:hAnsi="Georgia"/>
          <w:szCs w:val="24"/>
          <w:lang w:val="es-419"/>
        </w:rPr>
        <w:t xml:space="preserve">Debido proceso, defensa, buena fe y confianza legítima </w:t>
      </w:r>
      <w:r w:rsidRPr="00C60A4D">
        <w:rPr>
          <w:rFonts w:ascii="Georgia" w:hAnsi="Georgia"/>
          <w:sz w:val="22"/>
          <w:szCs w:val="24"/>
          <w:lang w:val="es-419"/>
        </w:rPr>
        <w:t>(Folio 3, cuaderno principal).</w:t>
      </w:r>
    </w:p>
    <w:p w:rsidR="00954898" w:rsidRPr="00F47864" w:rsidRDefault="00954898" w:rsidP="00F47864">
      <w:pPr>
        <w:pStyle w:val="Textoindependiente"/>
        <w:spacing w:line="288" w:lineRule="auto"/>
        <w:rPr>
          <w:rFonts w:ascii="Georgia" w:hAnsi="Georgia"/>
          <w:sz w:val="22"/>
          <w:szCs w:val="24"/>
          <w:lang w:val="es-419"/>
        </w:rPr>
      </w:pPr>
    </w:p>
    <w:p w:rsidR="00954898" w:rsidRPr="00C60A4D" w:rsidRDefault="00954898" w:rsidP="00C60A4D">
      <w:pPr>
        <w:pStyle w:val="Textoindependiente"/>
        <w:numPr>
          <w:ilvl w:val="0"/>
          <w:numId w:val="1"/>
        </w:numPr>
        <w:spacing w:line="288" w:lineRule="auto"/>
        <w:rPr>
          <w:rFonts w:ascii="Georgia" w:hAnsi="Georgia"/>
          <w:smallCaps/>
          <w:szCs w:val="24"/>
          <w:lang w:val="es-419"/>
        </w:rPr>
      </w:pPr>
      <w:r w:rsidRPr="00C60A4D">
        <w:rPr>
          <w:rFonts w:ascii="Georgia" w:hAnsi="Georgia"/>
          <w:smallCaps/>
          <w:szCs w:val="24"/>
          <w:lang w:val="es-419"/>
        </w:rPr>
        <w:t>La petición de protección</w:t>
      </w:r>
    </w:p>
    <w:p w:rsidR="002511FF" w:rsidRPr="00F47864" w:rsidRDefault="002511FF" w:rsidP="00F47864">
      <w:pPr>
        <w:pStyle w:val="Textoindependiente"/>
        <w:spacing w:line="288" w:lineRule="auto"/>
        <w:rPr>
          <w:rFonts w:ascii="Georgia" w:hAnsi="Georgia"/>
          <w:sz w:val="22"/>
          <w:szCs w:val="24"/>
          <w:lang w:val="es-419"/>
        </w:rPr>
      </w:pPr>
    </w:p>
    <w:p w:rsidR="00954898" w:rsidRPr="00C60A4D" w:rsidRDefault="00954898" w:rsidP="00C60A4D">
      <w:pPr>
        <w:pStyle w:val="Sinespaciado"/>
        <w:spacing w:line="288" w:lineRule="auto"/>
        <w:jc w:val="both"/>
        <w:rPr>
          <w:rFonts w:ascii="Georgia" w:hAnsi="Georgia"/>
          <w:szCs w:val="24"/>
          <w:lang w:val="es-419"/>
        </w:rPr>
      </w:pPr>
      <w:r w:rsidRPr="00C60A4D">
        <w:rPr>
          <w:rFonts w:ascii="Georgia" w:hAnsi="Georgia"/>
          <w:szCs w:val="24"/>
          <w:lang w:val="es-419"/>
        </w:rPr>
        <w:t xml:space="preserve">Se pretende el amparo de los derechos, y en consecuencia, declarar la nulidad de todo lo actuado en el proceso reivindicatoria hasta el 07-11-2017 </w:t>
      </w:r>
      <w:r w:rsidRPr="00C60A4D">
        <w:rPr>
          <w:rFonts w:ascii="Georgia" w:hAnsi="Georgia"/>
          <w:sz w:val="22"/>
          <w:szCs w:val="24"/>
          <w:lang w:val="es-419"/>
        </w:rPr>
        <w:t>(Folio 7, cuaderno principal).</w:t>
      </w:r>
    </w:p>
    <w:p w:rsidR="00954898" w:rsidRPr="00F47864" w:rsidRDefault="00954898" w:rsidP="00F47864">
      <w:pPr>
        <w:pStyle w:val="Textoindependiente"/>
        <w:spacing w:line="288" w:lineRule="auto"/>
        <w:rPr>
          <w:rFonts w:ascii="Georgia" w:hAnsi="Georgia"/>
          <w:sz w:val="22"/>
          <w:szCs w:val="24"/>
          <w:lang w:val="es-419"/>
        </w:rPr>
      </w:pPr>
    </w:p>
    <w:p w:rsidR="00954898" w:rsidRPr="00C60A4D" w:rsidRDefault="00954898" w:rsidP="00C60A4D">
      <w:pPr>
        <w:pStyle w:val="Textoindependiente"/>
        <w:widowControl w:val="0"/>
        <w:numPr>
          <w:ilvl w:val="0"/>
          <w:numId w:val="1"/>
        </w:numPr>
        <w:spacing w:line="288" w:lineRule="auto"/>
        <w:rPr>
          <w:rFonts w:ascii="Georgia" w:hAnsi="Georgia"/>
          <w:smallCaps/>
          <w:szCs w:val="24"/>
          <w:lang w:val="es-419"/>
        </w:rPr>
      </w:pPr>
      <w:r w:rsidRPr="00C60A4D">
        <w:rPr>
          <w:rFonts w:ascii="Georgia" w:hAnsi="Georgia"/>
          <w:smallCaps/>
          <w:szCs w:val="24"/>
          <w:lang w:val="es-419"/>
        </w:rPr>
        <w:t>La sinopsis de la crónica procesal</w:t>
      </w:r>
    </w:p>
    <w:p w:rsidR="00954898" w:rsidRPr="00F47864" w:rsidRDefault="00954898" w:rsidP="00F47864">
      <w:pPr>
        <w:pStyle w:val="Textoindependiente"/>
        <w:spacing w:line="288" w:lineRule="auto"/>
        <w:rPr>
          <w:rFonts w:ascii="Georgia" w:hAnsi="Georgia"/>
          <w:sz w:val="22"/>
          <w:szCs w:val="24"/>
          <w:lang w:val="es-419"/>
        </w:rPr>
      </w:pPr>
    </w:p>
    <w:p w:rsidR="00954898" w:rsidRPr="00C60A4D" w:rsidRDefault="00954898" w:rsidP="00C60A4D">
      <w:pPr>
        <w:pStyle w:val="Textoindependiente"/>
        <w:widowControl w:val="0"/>
        <w:spacing w:line="288" w:lineRule="auto"/>
        <w:rPr>
          <w:rFonts w:ascii="Georgia" w:hAnsi="Georgia"/>
          <w:sz w:val="22"/>
          <w:szCs w:val="24"/>
          <w:lang w:val="es-419"/>
        </w:rPr>
      </w:pPr>
      <w:r w:rsidRPr="00C60A4D">
        <w:rPr>
          <w:rFonts w:ascii="Georgia" w:hAnsi="Georgia"/>
          <w:szCs w:val="24"/>
          <w:lang w:val="es-419"/>
        </w:rPr>
        <w:t xml:space="preserve">Con providencia del 13-03-2019 se admitió, se vinculó a quienes se consideró pertinente y se dispuso notificar a las partes, entre otros ordenamientos </w:t>
      </w:r>
      <w:r w:rsidRPr="00C60A4D">
        <w:rPr>
          <w:rFonts w:ascii="Georgia" w:hAnsi="Georgia"/>
          <w:sz w:val="22"/>
          <w:szCs w:val="24"/>
          <w:lang w:val="es-419"/>
        </w:rPr>
        <w:t>(Folio 110, ibídem).</w:t>
      </w:r>
      <w:r w:rsidRPr="00C60A4D">
        <w:rPr>
          <w:rFonts w:ascii="Georgia" w:hAnsi="Georgia"/>
          <w:szCs w:val="24"/>
          <w:lang w:val="es-419"/>
        </w:rPr>
        <w:t xml:space="preserve"> El 15-03-2019 se practicó la inspección judicial </w:t>
      </w:r>
      <w:r w:rsidRPr="00C60A4D">
        <w:rPr>
          <w:rFonts w:ascii="Georgia" w:hAnsi="Georgia"/>
          <w:sz w:val="22"/>
          <w:szCs w:val="24"/>
          <w:lang w:val="es-419"/>
        </w:rPr>
        <w:t xml:space="preserve">(Folios 115, ibídem). </w:t>
      </w:r>
      <w:r w:rsidRPr="00C60A4D">
        <w:rPr>
          <w:rFonts w:ascii="Georgia" w:hAnsi="Georgia"/>
          <w:szCs w:val="24"/>
          <w:lang w:val="es-419"/>
        </w:rPr>
        <w:t xml:space="preserve">El 18-03-2019 se hizo una vinculación </w:t>
      </w:r>
      <w:r w:rsidRPr="00C60A4D">
        <w:rPr>
          <w:rFonts w:ascii="Georgia" w:hAnsi="Georgia"/>
          <w:sz w:val="22"/>
          <w:szCs w:val="24"/>
          <w:lang w:val="es-419"/>
        </w:rPr>
        <w:t>(Folio 116, ib.)</w:t>
      </w:r>
      <w:r w:rsidRPr="00C60A4D">
        <w:rPr>
          <w:rFonts w:ascii="Georgia" w:hAnsi="Georgia"/>
          <w:szCs w:val="24"/>
          <w:lang w:val="es-419"/>
        </w:rPr>
        <w:t xml:space="preserve">. El 27-03-2019 se profirió sentencia </w:t>
      </w:r>
      <w:r w:rsidRPr="00C60A4D">
        <w:rPr>
          <w:rFonts w:ascii="Georgia" w:hAnsi="Georgia"/>
          <w:sz w:val="22"/>
          <w:szCs w:val="24"/>
          <w:lang w:val="es-419"/>
        </w:rPr>
        <w:t>(Folios 124-129, ib.)</w:t>
      </w:r>
      <w:r w:rsidRPr="00C60A4D">
        <w:rPr>
          <w:rFonts w:ascii="Georgia" w:hAnsi="Georgia"/>
          <w:szCs w:val="24"/>
          <w:lang w:val="es-419"/>
        </w:rPr>
        <w:t xml:space="preserve">; y, por último, con auto del 08-04-2019 se concedió la impugnación formulada por la encausada </w:t>
      </w:r>
      <w:r w:rsidRPr="00C60A4D">
        <w:rPr>
          <w:rFonts w:ascii="Georgia" w:hAnsi="Georgia"/>
          <w:sz w:val="22"/>
          <w:szCs w:val="24"/>
          <w:lang w:val="es-419"/>
        </w:rPr>
        <w:t>(Folio 149, ib.).</w:t>
      </w:r>
    </w:p>
    <w:p w:rsidR="00954898" w:rsidRPr="00F47864" w:rsidRDefault="00954898" w:rsidP="00F47864">
      <w:pPr>
        <w:pStyle w:val="Textoindependiente"/>
        <w:spacing w:line="288" w:lineRule="auto"/>
        <w:rPr>
          <w:rFonts w:ascii="Georgia" w:hAnsi="Georgia"/>
          <w:sz w:val="22"/>
          <w:szCs w:val="24"/>
          <w:lang w:val="es-419"/>
        </w:rPr>
      </w:pPr>
    </w:p>
    <w:p w:rsidR="00954898" w:rsidRPr="00C60A4D" w:rsidRDefault="00954898" w:rsidP="00C60A4D">
      <w:pPr>
        <w:pStyle w:val="Textoindependiente"/>
        <w:widowControl w:val="0"/>
        <w:spacing w:line="288" w:lineRule="auto"/>
        <w:rPr>
          <w:rFonts w:ascii="Georgia" w:hAnsi="Georgia"/>
          <w:sz w:val="22"/>
          <w:szCs w:val="24"/>
          <w:lang w:val="es-419"/>
        </w:rPr>
      </w:pPr>
      <w:r w:rsidRPr="00C60A4D">
        <w:rPr>
          <w:rFonts w:ascii="Georgia" w:hAnsi="Georgia"/>
          <w:szCs w:val="24"/>
          <w:lang w:val="es-419"/>
        </w:rPr>
        <w:t xml:space="preserve">El fallo </w:t>
      </w:r>
      <w:r w:rsidR="00166428" w:rsidRPr="00C60A4D">
        <w:rPr>
          <w:rFonts w:ascii="Georgia" w:hAnsi="Georgia"/>
          <w:szCs w:val="24"/>
          <w:lang w:val="es-419"/>
        </w:rPr>
        <w:t>atacado</w:t>
      </w:r>
      <w:r w:rsidRPr="00C60A4D">
        <w:rPr>
          <w:rFonts w:ascii="Georgia" w:hAnsi="Georgia"/>
          <w:szCs w:val="24"/>
          <w:lang w:val="es-419"/>
        </w:rPr>
        <w:t xml:space="preserve"> denegó el amparo porque advirtió que en el trámite ordinario se respetaron las garantías procesales y sustanciales de los actores; la falta de aceptación del poder devino de que dejó de acreditar la comunicación a sus poderdantes y el sistema siglo XXI solo cumple una labor meramente informativa y no constituye un medio de notificación, </w:t>
      </w:r>
      <w:r w:rsidR="00166428" w:rsidRPr="00C60A4D">
        <w:rPr>
          <w:rFonts w:ascii="Georgia" w:hAnsi="Georgia"/>
          <w:szCs w:val="24"/>
          <w:lang w:val="es-419"/>
        </w:rPr>
        <w:t xml:space="preserve">entonces, </w:t>
      </w:r>
      <w:r w:rsidRPr="00C60A4D">
        <w:rPr>
          <w:rFonts w:ascii="Georgia" w:hAnsi="Georgia"/>
          <w:szCs w:val="24"/>
          <w:lang w:val="es-419"/>
        </w:rPr>
        <w:t xml:space="preserve">la falta de anotaciones </w:t>
      </w:r>
      <w:r w:rsidR="00166428" w:rsidRPr="00C60A4D">
        <w:rPr>
          <w:rFonts w:ascii="Georgia" w:hAnsi="Georgia"/>
          <w:szCs w:val="24"/>
          <w:lang w:val="es-419"/>
        </w:rPr>
        <w:t xml:space="preserve">de manera alguna </w:t>
      </w:r>
      <w:r w:rsidRPr="00C60A4D">
        <w:rPr>
          <w:rFonts w:ascii="Georgia" w:hAnsi="Georgia"/>
          <w:szCs w:val="24"/>
          <w:lang w:val="es-419"/>
        </w:rPr>
        <w:t>implica la trasgresión de derechos</w:t>
      </w:r>
      <w:r w:rsidR="00166428" w:rsidRPr="00C60A4D">
        <w:rPr>
          <w:rFonts w:ascii="Georgia" w:hAnsi="Georgia"/>
          <w:szCs w:val="24"/>
          <w:lang w:val="es-419"/>
        </w:rPr>
        <w:t>,</w:t>
      </w:r>
      <w:r w:rsidRPr="00C60A4D">
        <w:rPr>
          <w:rFonts w:ascii="Georgia" w:hAnsi="Georgia"/>
          <w:szCs w:val="24"/>
          <w:lang w:val="es-419"/>
        </w:rPr>
        <w:t xml:space="preserve"> puesto que su notificación se hizo por estado y es obligación de las partes consultarlo  </w:t>
      </w:r>
      <w:r w:rsidRPr="00C60A4D">
        <w:rPr>
          <w:rFonts w:ascii="Georgia" w:hAnsi="Georgia"/>
          <w:sz w:val="22"/>
          <w:szCs w:val="24"/>
          <w:lang w:val="es-419"/>
        </w:rPr>
        <w:t xml:space="preserve">(Folios 124-129, ib.). </w:t>
      </w:r>
    </w:p>
    <w:p w:rsidR="00954898" w:rsidRPr="00F47864" w:rsidRDefault="00954898" w:rsidP="00F47864">
      <w:pPr>
        <w:pStyle w:val="Textoindependiente"/>
        <w:spacing w:line="288" w:lineRule="auto"/>
        <w:rPr>
          <w:rFonts w:ascii="Georgia" w:hAnsi="Georgia"/>
          <w:sz w:val="22"/>
          <w:szCs w:val="24"/>
          <w:lang w:val="es-419"/>
        </w:rPr>
      </w:pPr>
    </w:p>
    <w:p w:rsidR="00954898" w:rsidRPr="00C60A4D" w:rsidRDefault="00954898" w:rsidP="00C60A4D">
      <w:pPr>
        <w:pStyle w:val="Textoindependiente"/>
        <w:widowControl w:val="0"/>
        <w:spacing w:line="288" w:lineRule="auto"/>
        <w:rPr>
          <w:rFonts w:ascii="Georgia" w:hAnsi="Georgia"/>
          <w:sz w:val="22"/>
          <w:szCs w:val="24"/>
          <w:lang w:val="es-419"/>
        </w:rPr>
      </w:pPr>
      <w:r w:rsidRPr="00C60A4D">
        <w:rPr>
          <w:rFonts w:ascii="Georgia" w:hAnsi="Georgia"/>
          <w:szCs w:val="24"/>
          <w:lang w:val="es-419"/>
        </w:rPr>
        <w:t>La parte actora impugnó y arguyó</w:t>
      </w:r>
      <w:r w:rsidR="00166428" w:rsidRPr="00C60A4D">
        <w:rPr>
          <w:rFonts w:ascii="Georgia" w:hAnsi="Georgia"/>
          <w:szCs w:val="24"/>
          <w:lang w:val="es-419"/>
        </w:rPr>
        <w:t>,</w:t>
      </w:r>
      <w:r w:rsidRPr="00C60A4D">
        <w:rPr>
          <w:rFonts w:ascii="Georgia" w:hAnsi="Georgia"/>
          <w:szCs w:val="24"/>
          <w:lang w:val="es-419"/>
        </w:rPr>
        <w:t xml:space="preserve"> en síntesis</w:t>
      </w:r>
      <w:r w:rsidR="00166428" w:rsidRPr="00C60A4D">
        <w:rPr>
          <w:rFonts w:ascii="Georgia" w:hAnsi="Georgia"/>
          <w:szCs w:val="24"/>
          <w:lang w:val="es-419"/>
        </w:rPr>
        <w:t>,</w:t>
      </w:r>
      <w:r w:rsidRPr="00C60A4D">
        <w:rPr>
          <w:rFonts w:ascii="Georgia" w:hAnsi="Georgia"/>
          <w:szCs w:val="24"/>
          <w:lang w:val="es-419"/>
        </w:rPr>
        <w:t xml:space="preserve"> que la anotación de actuaciones procesales en los sistemas de información es obligatoria y que su irregular manejo conlleva la </w:t>
      </w:r>
      <w:r w:rsidRPr="00C60A4D">
        <w:rPr>
          <w:rFonts w:ascii="Georgia" w:hAnsi="Georgia"/>
          <w:szCs w:val="24"/>
          <w:lang w:val="es-419"/>
        </w:rPr>
        <w:lastRenderedPageBreak/>
        <w:t xml:space="preserve">trasgresión de los derechos porque </w:t>
      </w:r>
      <w:r w:rsidR="00166428" w:rsidRPr="00C60A4D">
        <w:rPr>
          <w:rFonts w:ascii="Georgia" w:hAnsi="Georgia"/>
          <w:szCs w:val="24"/>
          <w:lang w:val="es-419"/>
        </w:rPr>
        <w:t xml:space="preserve">es imposible </w:t>
      </w:r>
      <w:r w:rsidRPr="00C60A4D">
        <w:rPr>
          <w:rFonts w:ascii="Georgia" w:hAnsi="Georgia"/>
          <w:szCs w:val="24"/>
          <w:lang w:val="es-419"/>
        </w:rPr>
        <w:t xml:space="preserve">verificar el estado actual del proceso. Es una herramienta que hace más fácil su vigilancia </w:t>
      </w:r>
      <w:r w:rsidR="00166428" w:rsidRPr="00C60A4D">
        <w:rPr>
          <w:rFonts w:ascii="Georgia" w:hAnsi="Georgia"/>
          <w:szCs w:val="24"/>
          <w:lang w:val="es-419"/>
        </w:rPr>
        <w:t xml:space="preserve">e innecesario </w:t>
      </w:r>
      <w:r w:rsidRPr="00C60A4D">
        <w:rPr>
          <w:rFonts w:ascii="Georgia" w:hAnsi="Georgia"/>
          <w:szCs w:val="24"/>
          <w:lang w:val="es-419"/>
        </w:rPr>
        <w:t>revisar físicamente el expediente</w:t>
      </w:r>
      <w:r w:rsidR="00166428" w:rsidRPr="00C60A4D">
        <w:rPr>
          <w:rFonts w:ascii="Georgia" w:hAnsi="Georgia"/>
          <w:szCs w:val="24"/>
          <w:lang w:val="es-419"/>
        </w:rPr>
        <w:t>,</w:t>
      </w:r>
      <w:r w:rsidRPr="00C60A4D">
        <w:rPr>
          <w:rFonts w:ascii="Georgia" w:hAnsi="Georgia"/>
          <w:szCs w:val="24"/>
          <w:lang w:val="es-419"/>
        </w:rPr>
        <w:t xml:space="preserve"> y el indebido manejo no se corrige con una notificación por estado. Asimismo itero los reparos expuestos en el libelo </w:t>
      </w:r>
      <w:r w:rsidRPr="00C60A4D">
        <w:rPr>
          <w:rFonts w:ascii="Georgia" w:hAnsi="Georgia"/>
          <w:sz w:val="22"/>
          <w:szCs w:val="24"/>
          <w:lang w:val="es-419"/>
        </w:rPr>
        <w:t xml:space="preserve">(Folios 137-144, ib.). </w:t>
      </w:r>
    </w:p>
    <w:p w:rsidR="00954898" w:rsidRPr="00F47864" w:rsidRDefault="00954898" w:rsidP="00C60A4D">
      <w:pPr>
        <w:pStyle w:val="Textoindependiente"/>
        <w:spacing w:line="288" w:lineRule="auto"/>
        <w:rPr>
          <w:rFonts w:ascii="Georgia" w:hAnsi="Georgia"/>
          <w:sz w:val="22"/>
          <w:szCs w:val="24"/>
          <w:lang w:val="es-419"/>
        </w:rPr>
      </w:pPr>
    </w:p>
    <w:p w:rsidR="00954898" w:rsidRPr="00C60A4D" w:rsidRDefault="00954898" w:rsidP="00C60A4D">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ind w:left="708" w:hanging="708"/>
        <w:rPr>
          <w:rFonts w:ascii="Georgia" w:hAnsi="Georgia"/>
          <w:smallCaps/>
          <w:szCs w:val="24"/>
          <w:lang w:val="es-419"/>
        </w:rPr>
      </w:pPr>
      <w:r w:rsidRPr="00C60A4D">
        <w:rPr>
          <w:rFonts w:ascii="Georgia" w:hAnsi="Georgia"/>
          <w:smallCaps/>
          <w:szCs w:val="24"/>
          <w:lang w:val="es-419"/>
        </w:rPr>
        <w:t>La fundamentación jurídica para resolver</w:t>
      </w:r>
    </w:p>
    <w:p w:rsidR="00954898" w:rsidRPr="00F47864" w:rsidRDefault="00954898" w:rsidP="00F47864">
      <w:pPr>
        <w:pStyle w:val="Textoindependiente"/>
        <w:spacing w:line="288" w:lineRule="auto"/>
        <w:rPr>
          <w:rFonts w:ascii="Georgia" w:hAnsi="Georgia"/>
          <w:sz w:val="22"/>
          <w:szCs w:val="24"/>
          <w:lang w:val="es-419"/>
        </w:rPr>
      </w:pPr>
    </w:p>
    <w:p w:rsidR="00954898" w:rsidRPr="00C60A4D" w:rsidRDefault="00954898" w:rsidP="00C60A4D">
      <w:pPr>
        <w:pStyle w:val="Textoindependiente"/>
        <w:widowControl w:val="0"/>
        <w:numPr>
          <w:ilvl w:val="1"/>
          <w:numId w:val="4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sz w:val="22"/>
          <w:szCs w:val="24"/>
          <w:lang w:val="es-419"/>
        </w:rPr>
      </w:pPr>
      <w:r w:rsidRPr="00C60A4D">
        <w:rPr>
          <w:rFonts w:ascii="Georgia" w:hAnsi="Georgia"/>
          <w:smallCaps/>
          <w:szCs w:val="24"/>
          <w:lang w:val="es-419"/>
        </w:rPr>
        <w:t xml:space="preserve">La competencia funcional: </w:t>
      </w:r>
      <w:r w:rsidRPr="00C60A4D">
        <w:rPr>
          <w:rFonts w:ascii="Georgia" w:hAnsi="Georgia"/>
          <w:szCs w:val="24"/>
          <w:lang w:val="es-419"/>
        </w:rPr>
        <w:t xml:space="preserve">Esta Sala especializada está facultada en forma legal para desatar la controversia puesta a su consideración, por ser la superiora jerárquica del Despacho que conoció en primera instancia </w:t>
      </w:r>
      <w:r w:rsidRPr="00C60A4D">
        <w:rPr>
          <w:rFonts w:ascii="Georgia" w:hAnsi="Georgia"/>
          <w:sz w:val="22"/>
          <w:szCs w:val="24"/>
          <w:lang w:val="es-419"/>
        </w:rPr>
        <w:t>(Artículo 32 del Decreto 2591 de 1991).</w:t>
      </w:r>
    </w:p>
    <w:p w:rsidR="00954898" w:rsidRPr="00F47864" w:rsidRDefault="00954898" w:rsidP="00F47864">
      <w:pPr>
        <w:pStyle w:val="Textoindependiente"/>
        <w:spacing w:line="288" w:lineRule="auto"/>
        <w:rPr>
          <w:rFonts w:ascii="Georgia" w:hAnsi="Georgia"/>
          <w:sz w:val="22"/>
          <w:szCs w:val="24"/>
          <w:lang w:val="es-419"/>
        </w:rPr>
      </w:pPr>
    </w:p>
    <w:p w:rsidR="00954898" w:rsidRPr="00C60A4D" w:rsidRDefault="00954898" w:rsidP="00C60A4D">
      <w:pPr>
        <w:pStyle w:val="Textoindependiente"/>
        <w:widowControl w:val="0"/>
        <w:numPr>
          <w:ilvl w:val="1"/>
          <w:numId w:val="41"/>
        </w:numPr>
        <w:tabs>
          <w:tab w:val="clear" w:pos="708"/>
        </w:tabs>
        <w:spacing w:line="288" w:lineRule="auto"/>
        <w:rPr>
          <w:rFonts w:ascii="Georgia" w:hAnsi="Georgia"/>
          <w:szCs w:val="24"/>
          <w:lang w:val="es-419"/>
        </w:rPr>
      </w:pPr>
      <w:r w:rsidRPr="00C60A4D">
        <w:rPr>
          <w:rFonts w:ascii="Georgia" w:hAnsi="Georgia"/>
          <w:smallCaps/>
          <w:szCs w:val="24"/>
          <w:lang w:val="es-419"/>
        </w:rPr>
        <w:t xml:space="preserve">El problema jurídico a resolver: </w:t>
      </w:r>
      <w:r w:rsidRPr="00C60A4D">
        <w:rPr>
          <w:rFonts w:ascii="Georgia" w:hAnsi="Georgia"/>
          <w:szCs w:val="24"/>
          <w:lang w:val="es-419"/>
        </w:rPr>
        <w:t xml:space="preserve">¿Es procedente confirmar, modificar o revocar la sentencia  del  Juzgado Quinto Civil del Circuito de Pereira, según la impugnación de la accionada? </w:t>
      </w:r>
    </w:p>
    <w:p w:rsidR="00954898" w:rsidRPr="00F47864" w:rsidRDefault="00954898" w:rsidP="00F47864">
      <w:pPr>
        <w:pStyle w:val="Textoindependiente"/>
        <w:spacing w:line="288" w:lineRule="auto"/>
        <w:rPr>
          <w:rFonts w:ascii="Georgia" w:hAnsi="Georgia"/>
          <w:sz w:val="22"/>
          <w:szCs w:val="24"/>
          <w:lang w:val="es-419"/>
        </w:rPr>
      </w:pPr>
    </w:p>
    <w:p w:rsidR="00954898" w:rsidRPr="00C60A4D" w:rsidRDefault="00954898" w:rsidP="00C60A4D">
      <w:pPr>
        <w:pStyle w:val="Textoindependiente"/>
        <w:widowControl w:val="0"/>
        <w:numPr>
          <w:ilvl w:val="1"/>
          <w:numId w:val="41"/>
        </w:numPr>
        <w:tabs>
          <w:tab w:val="clear" w:pos="708"/>
        </w:tabs>
        <w:spacing w:line="288" w:lineRule="auto"/>
        <w:rPr>
          <w:rFonts w:ascii="Georgia" w:hAnsi="Georgia"/>
          <w:szCs w:val="24"/>
          <w:lang w:val="es-419"/>
        </w:rPr>
      </w:pPr>
      <w:r w:rsidRPr="00C60A4D">
        <w:rPr>
          <w:rFonts w:ascii="Georgia" w:hAnsi="Georgia"/>
          <w:smallCaps/>
          <w:szCs w:val="24"/>
          <w:lang w:val="es-419"/>
        </w:rPr>
        <w:t>Los presupuestos generales de procedencia</w:t>
      </w:r>
    </w:p>
    <w:p w:rsidR="00954898" w:rsidRPr="00F47864" w:rsidRDefault="00954898" w:rsidP="00F47864">
      <w:pPr>
        <w:pStyle w:val="Textoindependiente"/>
        <w:spacing w:line="288" w:lineRule="auto"/>
        <w:rPr>
          <w:rFonts w:ascii="Georgia" w:hAnsi="Georgia"/>
          <w:sz w:val="22"/>
          <w:szCs w:val="24"/>
          <w:lang w:val="es-419"/>
        </w:rPr>
      </w:pPr>
    </w:p>
    <w:p w:rsidR="00954898" w:rsidRPr="00C60A4D" w:rsidRDefault="00954898" w:rsidP="00C60A4D">
      <w:pPr>
        <w:pStyle w:val="Textoindependiente"/>
        <w:widowControl w:val="0"/>
        <w:numPr>
          <w:ilvl w:val="2"/>
          <w:numId w:val="4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lang w:val="es-419"/>
        </w:rPr>
      </w:pPr>
      <w:r w:rsidRPr="00C60A4D">
        <w:rPr>
          <w:rFonts w:ascii="Georgia" w:hAnsi="Georgia"/>
          <w:smallCaps/>
          <w:szCs w:val="24"/>
          <w:lang w:val="es-419"/>
        </w:rPr>
        <w:t>La legitimación en la causa</w:t>
      </w:r>
    </w:p>
    <w:p w:rsidR="00954898" w:rsidRPr="00F47864" w:rsidRDefault="00954898" w:rsidP="00F47864">
      <w:pPr>
        <w:pStyle w:val="Textoindependiente"/>
        <w:spacing w:line="288" w:lineRule="auto"/>
        <w:rPr>
          <w:rFonts w:ascii="Georgia" w:hAnsi="Georgia"/>
          <w:sz w:val="22"/>
          <w:szCs w:val="24"/>
          <w:lang w:val="es-419"/>
        </w:rPr>
      </w:pPr>
    </w:p>
    <w:p w:rsidR="00954898" w:rsidRPr="00C60A4D" w:rsidRDefault="00954898" w:rsidP="00C60A4D">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lang w:val="es-419"/>
        </w:rPr>
      </w:pPr>
      <w:r w:rsidRPr="00C60A4D">
        <w:rPr>
          <w:rFonts w:ascii="Georgia" w:hAnsi="Georgia"/>
          <w:lang w:val="es-419"/>
        </w:rPr>
        <w:t xml:space="preserve">Se cumple por activa en razón a que los accionantes actúan como demandados en el proceso en el que se reprocha el agravio de los derechos. Y, por pasiva el Juzgado Sexto Civil Municipal local porque es la autoridad que conoce el asunto y profirió las decisiones rebatidas. </w:t>
      </w:r>
    </w:p>
    <w:p w:rsidR="00954898" w:rsidRPr="00F47864" w:rsidRDefault="00954898" w:rsidP="00F47864">
      <w:pPr>
        <w:pStyle w:val="Textoindependiente"/>
        <w:spacing w:line="288" w:lineRule="auto"/>
        <w:rPr>
          <w:rFonts w:ascii="Georgia" w:hAnsi="Georgia"/>
          <w:sz w:val="22"/>
          <w:szCs w:val="24"/>
          <w:lang w:val="es-419"/>
        </w:rPr>
      </w:pPr>
    </w:p>
    <w:p w:rsidR="00954898" w:rsidRPr="00C60A4D" w:rsidRDefault="00954898" w:rsidP="00C60A4D">
      <w:pPr>
        <w:pStyle w:val="Textoindependiente"/>
        <w:numPr>
          <w:ilvl w:val="2"/>
          <w:numId w:val="41"/>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288" w:lineRule="auto"/>
        <w:textAlignment w:val="auto"/>
        <w:rPr>
          <w:rFonts w:ascii="Georgia" w:hAnsi="Georgia" w:cs="Arial"/>
          <w:smallCaps/>
          <w:szCs w:val="24"/>
          <w:lang w:val="es-419"/>
        </w:rPr>
      </w:pPr>
      <w:r w:rsidRPr="00C60A4D">
        <w:rPr>
          <w:rFonts w:ascii="Georgia" w:hAnsi="Georgia" w:cs="Arial"/>
          <w:smallCaps/>
          <w:szCs w:val="24"/>
          <w:lang w:val="es-419"/>
        </w:rPr>
        <w:t>Las sub-reglas de análisis en la procedibilidad frente a decisiones judiciales</w:t>
      </w:r>
    </w:p>
    <w:p w:rsidR="00954898" w:rsidRPr="00F47864" w:rsidRDefault="00954898" w:rsidP="00C60A4D">
      <w:pPr>
        <w:pStyle w:val="Textoindependiente"/>
        <w:spacing w:line="288" w:lineRule="auto"/>
        <w:rPr>
          <w:rFonts w:ascii="Georgia" w:hAnsi="Georgia"/>
          <w:sz w:val="22"/>
          <w:szCs w:val="24"/>
          <w:lang w:val="es-419"/>
        </w:rPr>
      </w:pPr>
    </w:p>
    <w:p w:rsidR="00954898" w:rsidRPr="00C60A4D" w:rsidRDefault="00954898" w:rsidP="00C60A4D">
      <w:pPr>
        <w:pStyle w:val="Textoindependiente"/>
        <w:spacing w:line="288" w:lineRule="auto"/>
        <w:rPr>
          <w:rFonts w:ascii="Georgia" w:hAnsi="Georgia" w:cs="Arial"/>
          <w:szCs w:val="24"/>
          <w:lang w:val="es-419"/>
        </w:rPr>
      </w:pPr>
      <w:r w:rsidRPr="00C60A4D">
        <w:rPr>
          <w:rFonts w:ascii="Georgia" w:hAnsi="Georgia" w:cs="Arial"/>
          <w:szCs w:val="24"/>
          <w:lang w:val="es-419"/>
        </w:rPr>
        <w:t>Desde la sentencia C-543</w:t>
      </w:r>
      <w:r w:rsidRPr="00C60A4D">
        <w:rPr>
          <w:rFonts w:ascii="Georgia" w:hAnsi="Georgia"/>
          <w:szCs w:val="24"/>
          <w:lang w:val="es-419"/>
        </w:rPr>
        <w:t xml:space="preserve"> </w:t>
      </w:r>
      <w:r w:rsidRPr="00C60A4D">
        <w:rPr>
          <w:rFonts w:ascii="Georgia" w:hAnsi="Georgia" w:cs="Arial"/>
          <w:szCs w:val="24"/>
          <w:lang w:val="es-419"/>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C60A4D">
        <w:rPr>
          <w:rStyle w:val="Refdenotaalpie"/>
          <w:rFonts w:ascii="Georgia" w:hAnsi="Georgia" w:cs="Arial"/>
          <w:szCs w:val="24"/>
          <w:lang w:val="es-419"/>
        </w:rPr>
        <w:footnoteReference w:id="1"/>
      </w:r>
      <w:r w:rsidRPr="00C60A4D">
        <w:rPr>
          <w:rFonts w:ascii="Georgia" w:hAnsi="Georgia" w:cs="Arial"/>
          <w:szCs w:val="24"/>
          <w:lang w:val="es-419"/>
        </w:rPr>
        <w:t>, básicamente sustituyó la expresión “vías de hecho” por la de “causales genéricas de procedibilidad” y ensanchó las causales especiales, pasando de cuatro (4) a ocho (8).  En el mismo sentido Quiroga N.</w:t>
      </w:r>
      <w:r w:rsidRPr="00C60A4D">
        <w:rPr>
          <w:rStyle w:val="Refdenotaalpie"/>
          <w:rFonts w:ascii="Georgia" w:hAnsi="Georgia"/>
          <w:szCs w:val="24"/>
          <w:lang w:val="es-419"/>
        </w:rPr>
        <w:footnoteReference w:id="2"/>
      </w:r>
      <w:r w:rsidRPr="00C60A4D">
        <w:rPr>
          <w:rFonts w:ascii="Georgia" w:hAnsi="Georgia" w:cs="Arial"/>
          <w:szCs w:val="24"/>
          <w:lang w:val="es-419"/>
        </w:rPr>
        <w:t>.</w:t>
      </w:r>
    </w:p>
    <w:p w:rsidR="00954898" w:rsidRPr="00F47864" w:rsidRDefault="00954898" w:rsidP="00C60A4D">
      <w:pPr>
        <w:pStyle w:val="Textoindependiente"/>
        <w:spacing w:line="288" w:lineRule="auto"/>
        <w:rPr>
          <w:rFonts w:ascii="Georgia" w:hAnsi="Georgia"/>
          <w:sz w:val="22"/>
          <w:szCs w:val="24"/>
          <w:lang w:val="es-419"/>
        </w:rPr>
      </w:pPr>
    </w:p>
    <w:p w:rsidR="00954898" w:rsidRPr="00C60A4D" w:rsidRDefault="00954898" w:rsidP="00C60A4D">
      <w:pPr>
        <w:pStyle w:val="Textoindependiente"/>
        <w:spacing w:line="288" w:lineRule="auto"/>
        <w:rPr>
          <w:rFonts w:ascii="Georgia" w:hAnsi="Georgia" w:cs="Arial"/>
          <w:szCs w:val="24"/>
          <w:lang w:val="es-419"/>
        </w:rPr>
      </w:pPr>
      <w:r w:rsidRPr="00C60A4D">
        <w:rPr>
          <w:rFonts w:ascii="Georgia" w:hAnsi="Georgia" w:cs="Arial"/>
          <w:szCs w:val="24"/>
          <w:lang w:val="es-419"/>
        </w:rPr>
        <w:t xml:space="preserve">Ahora, en frente  del  examen que se reclama en sede constitucional, resulta de mayúscula trascendencia, precisar que </w:t>
      </w:r>
      <w:r w:rsidRPr="00C60A4D">
        <w:rPr>
          <w:rFonts w:ascii="Georgia" w:hAnsi="Georgia" w:cs="Arial"/>
          <w:szCs w:val="24"/>
          <w:u w:val="single"/>
          <w:lang w:val="es-419"/>
        </w:rPr>
        <w:t>se trata de un juicio de validez y no de corrección</w:t>
      </w:r>
      <w:r w:rsidRPr="00C60A4D">
        <w:rPr>
          <w:rFonts w:ascii="Georgia" w:hAnsi="Georgia" w:cs="Arial"/>
          <w:szCs w:val="24"/>
          <w:lang w:val="es-419"/>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C60A4D">
        <w:rPr>
          <w:rStyle w:val="Refdenotaalpie"/>
          <w:rFonts w:ascii="Georgia" w:hAnsi="Georgia" w:cs="Arial"/>
          <w:szCs w:val="24"/>
          <w:lang w:val="es-419"/>
        </w:rPr>
        <w:footnoteReference w:id="3"/>
      </w:r>
      <w:r w:rsidRPr="00C60A4D">
        <w:rPr>
          <w:rFonts w:ascii="Georgia" w:hAnsi="Georgia" w:cs="Arial"/>
          <w:szCs w:val="24"/>
          <w:lang w:val="es-419"/>
        </w:rPr>
        <w:t>.</w:t>
      </w:r>
    </w:p>
    <w:p w:rsidR="00954898" w:rsidRPr="00F47864" w:rsidRDefault="00954898" w:rsidP="00C60A4D">
      <w:pPr>
        <w:pStyle w:val="Textoindependiente"/>
        <w:spacing w:line="288" w:lineRule="auto"/>
        <w:rPr>
          <w:rFonts w:ascii="Georgia" w:hAnsi="Georgia"/>
          <w:sz w:val="22"/>
          <w:szCs w:val="24"/>
          <w:lang w:val="es-419"/>
        </w:rPr>
      </w:pPr>
    </w:p>
    <w:p w:rsidR="00954898" w:rsidRPr="00C60A4D" w:rsidRDefault="00954898" w:rsidP="00C60A4D">
      <w:pPr>
        <w:pStyle w:val="Textoindependiente"/>
        <w:spacing w:line="288" w:lineRule="auto"/>
        <w:rPr>
          <w:rFonts w:ascii="Georgia" w:hAnsi="Georgia" w:cs="Arial"/>
          <w:szCs w:val="24"/>
          <w:lang w:val="es-419"/>
        </w:rPr>
      </w:pPr>
      <w:r w:rsidRPr="00C60A4D">
        <w:rPr>
          <w:rFonts w:ascii="Georgia" w:hAnsi="Georgia" w:cs="Arial"/>
          <w:szCs w:val="24"/>
          <w:lang w:val="es-419"/>
        </w:rPr>
        <w:t>Los requisitos generales de procedibilidad, explicados en amplitud en la C-590 de 2005</w:t>
      </w:r>
      <w:r w:rsidRPr="00C60A4D">
        <w:rPr>
          <w:rStyle w:val="Refdenotaalpie"/>
          <w:rFonts w:ascii="Georgia" w:hAnsi="Georgia" w:cs="Arial"/>
          <w:szCs w:val="24"/>
          <w:lang w:val="es-419"/>
        </w:rPr>
        <w:footnoteReference w:id="4"/>
      </w:r>
      <w:r w:rsidRPr="00C60A4D">
        <w:rPr>
          <w:rFonts w:ascii="Georgia" w:hAnsi="Georgia" w:cs="Arial"/>
          <w:szCs w:val="24"/>
          <w:lang w:val="es-419"/>
        </w:rPr>
        <w:t xml:space="preserve"> y reiterados en la consolidada línea jurisprudencial de la </w:t>
      </w:r>
      <w:r w:rsidRPr="00C60A4D">
        <w:rPr>
          <w:rFonts w:ascii="Georgia" w:hAnsi="Georgia" w:cs="Arial"/>
          <w:lang w:val="es-419"/>
        </w:rPr>
        <w:t>CC</w:t>
      </w:r>
      <w:r w:rsidRPr="00C60A4D">
        <w:rPr>
          <w:rFonts w:ascii="Georgia" w:hAnsi="Georgia" w:cs="Arial"/>
          <w:vertAlign w:val="superscript"/>
          <w:lang w:val="es-419"/>
        </w:rPr>
        <w:footnoteReference w:id="5"/>
      </w:r>
      <w:r w:rsidRPr="00C60A4D">
        <w:rPr>
          <w:rFonts w:ascii="Georgia" w:hAnsi="Georgia" w:cs="Arial"/>
          <w:lang w:val="es-419"/>
        </w:rPr>
        <w:t xml:space="preserve"> </w:t>
      </w:r>
      <w:r w:rsidRPr="00C60A4D">
        <w:rPr>
          <w:rFonts w:ascii="Georgia" w:hAnsi="Georgia" w:cs="Arial"/>
          <w:szCs w:val="24"/>
          <w:lang w:val="es-419"/>
        </w:rPr>
        <w:t>son: (i)</w:t>
      </w:r>
      <w:r w:rsidRPr="00C60A4D">
        <w:rPr>
          <w:rStyle w:val="Refdenotaalpie"/>
          <w:rFonts w:ascii="Georgia" w:hAnsi="Georgia" w:cs="Arial"/>
          <w:szCs w:val="24"/>
          <w:lang w:val="es-419"/>
        </w:rPr>
        <w:t xml:space="preserve"> </w:t>
      </w:r>
      <w:r w:rsidRPr="00C60A4D">
        <w:rPr>
          <w:rFonts w:ascii="Georgia" w:hAnsi="Georgia" w:cs="Arial"/>
          <w:szCs w:val="24"/>
          <w:lang w:val="es-419"/>
        </w:rPr>
        <w:t xml:space="preserve">Que el asunto sea de </w:t>
      </w:r>
      <w:r w:rsidRPr="00C60A4D">
        <w:rPr>
          <w:rFonts w:ascii="Georgia" w:hAnsi="Georgia" w:cs="Arial"/>
          <w:szCs w:val="24"/>
          <w:lang w:val="es-419"/>
        </w:rPr>
        <w:lastRenderedPageBreak/>
        <w:t>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C60A4D">
        <w:rPr>
          <w:rStyle w:val="Refdenotaalpie"/>
          <w:rFonts w:ascii="Georgia" w:hAnsi="Georgia"/>
          <w:szCs w:val="24"/>
          <w:lang w:val="es-419"/>
        </w:rPr>
        <w:footnoteReference w:id="6"/>
      </w:r>
      <w:r w:rsidRPr="00C60A4D">
        <w:rPr>
          <w:rFonts w:ascii="Georgia" w:hAnsi="Georgia" w:cs="Arial"/>
          <w:szCs w:val="24"/>
          <w:lang w:val="es-419"/>
        </w:rPr>
        <w:t>.</w:t>
      </w:r>
    </w:p>
    <w:p w:rsidR="00954898" w:rsidRPr="00F47864" w:rsidRDefault="00954898" w:rsidP="00C60A4D">
      <w:pPr>
        <w:pStyle w:val="Textoindependiente"/>
        <w:spacing w:line="288" w:lineRule="auto"/>
        <w:rPr>
          <w:rFonts w:ascii="Georgia" w:hAnsi="Georgia"/>
          <w:sz w:val="22"/>
          <w:szCs w:val="24"/>
          <w:lang w:val="es-419"/>
        </w:rPr>
      </w:pPr>
    </w:p>
    <w:p w:rsidR="00954898" w:rsidRPr="00C60A4D" w:rsidRDefault="00954898" w:rsidP="00C60A4D">
      <w:pPr>
        <w:pStyle w:val="Textoindependiente"/>
        <w:spacing w:line="288" w:lineRule="auto"/>
        <w:rPr>
          <w:rFonts w:ascii="Georgia" w:hAnsi="Georgia" w:cs="Arial"/>
          <w:szCs w:val="24"/>
          <w:lang w:val="es-419"/>
        </w:rPr>
      </w:pPr>
      <w:r w:rsidRPr="00C60A4D">
        <w:rPr>
          <w:rFonts w:ascii="Georgia" w:hAnsi="Georgia" w:cs="Arial"/>
          <w:szCs w:val="24"/>
          <w:lang w:val="es-419"/>
        </w:rPr>
        <w:t>De otra parte,</w:t>
      </w:r>
      <w:r w:rsidR="002511FF" w:rsidRPr="00C60A4D">
        <w:rPr>
          <w:rFonts w:ascii="Georgia" w:hAnsi="Georgia" w:cs="Arial"/>
          <w:szCs w:val="24"/>
          <w:lang w:val="es-419"/>
        </w:rPr>
        <w:t xml:space="preserve"> </w:t>
      </w:r>
      <w:r w:rsidRPr="00C60A4D">
        <w:rPr>
          <w:rFonts w:ascii="Georgia" w:hAnsi="Georgia" w:cs="Arial"/>
          <w:szCs w:val="24"/>
          <w:lang w:val="es-419"/>
        </w:rPr>
        <w:t xml:space="preserve"> como requisitos o causales especiales de procedibilidad, </w:t>
      </w:r>
      <w:r w:rsidR="002511FF" w:rsidRPr="00C60A4D">
        <w:rPr>
          <w:rFonts w:ascii="Georgia" w:hAnsi="Georgia" w:cs="Arial"/>
          <w:szCs w:val="24"/>
          <w:lang w:val="es-419"/>
        </w:rPr>
        <w:t xml:space="preserve"> </w:t>
      </w:r>
      <w:r w:rsidRPr="00C60A4D">
        <w:rPr>
          <w:rFonts w:ascii="Georgia" w:hAnsi="Georgia" w:cs="Arial"/>
          <w:szCs w:val="24"/>
          <w:lang w:val="es-419"/>
        </w:rPr>
        <w:t>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w:t>
      </w:r>
      <w:r w:rsidRPr="00C60A4D">
        <w:rPr>
          <w:rFonts w:ascii="Georgia" w:hAnsi="Georgia" w:cs="Arial"/>
          <w:szCs w:val="24"/>
          <w:vertAlign w:val="superscript"/>
          <w:lang w:val="es-419"/>
        </w:rPr>
        <w:footnoteReference w:id="7"/>
      </w:r>
      <w:r w:rsidRPr="00C60A4D">
        <w:rPr>
          <w:rFonts w:ascii="Georgia" w:hAnsi="Georgia" w:cs="Arial"/>
          <w:szCs w:val="24"/>
          <w:lang w:val="es-419"/>
        </w:rPr>
        <w:t xml:space="preserve"> y Quinche R.</w:t>
      </w:r>
      <w:r w:rsidRPr="00C60A4D">
        <w:rPr>
          <w:rStyle w:val="Refdenotaalpie"/>
          <w:rFonts w:ascii="Georgia" w:hAnsi="Georgia" w:cs="Arial"/>
          <w:szCs w:val="24"/>
          <w:lang w:val="es-419"/>
        </w:rPr>
        <w:footnoteReference w:id="8"/>
      </w:r>
      <w:r w:rsidRPr="00C60A4D">
        <w:rPr>
          <w:rFonts w:ascii="Georgia" w:hAnsi="Georgia" w:cs="Arial"/>
          <w:szCs w:val="24"/>
          <w:lang w:val="es-419"/>
        </w:rPr>
        <w:t>.</w:t>
      </w:r>
    </w:p>
    <w:p w:rsidR="00954898" w:rsidRPr="00F47864" w:rsidRDefault="00954898" w:rsidP="00C60A4D">
      <w:pPr>
        <w:pStyle w:val="Textoindependiente"/>
        <w:spacing w:line="288" w:lineRule="auto"/>
        <w:rPr>
          <w:rFonts w:ascii="Georgia" w:hAnsi="Georgia"/>
          <w:sz w:val="22"/>
          <w:szCs w:val="24"/>
          <w:lang w:val="es-419"/>
        </w:rPr>
      </w:pPr>
    </w:p>
    <w:p w:rsidR="00954898" w:rsidRPr="00C60A4D" w:rsidRDefault="00954898" w:rsidP="00C60A4D">
      <w:pPr>
        <w:pStyle w:val="Textoindependiente"/>
        <w:numPr>
          <w:ilvl w:val="1"/>
          <w:numId w:val="41"/>
        </w:numPr>
        <w:spacing w:line="288" w:lineRule="auto"/>
        <w:rPr>
          <w:rFonts w:ascii="Georgia" w:hAnsi="Georgia" w:cs="Arial"/>
          <w:smallCaps/>
          <w:szCs w:val="24"/>
          <w:lang w:val="es-419"/>
        </w:rPr>
      </w:pPr>
      <w:r w:rsidRPr="00C60A4D">
        <w:rPr>
          <w:rFonts w:ascii="Georgia" w:hAnsi="Georgia" w:cs="Arial"/>
          <w:smallCaps/>
          <w:szCs w:val="24"/>
          <w:lang w:val="es-419"/>
        </w:rPr>
        <w:t xml:space="preserve">El defecto procedimental </w:t>
      </w:r>
    </w:p>
    <w:p w:rsidR="00954898" w:rsidRPr="00F47864" w:rsidRDefault="00954898" w:rsidP="00C60A4D">
      <w:pPr>
        <w:pStyle w:val="Textoindependiente"/>
        <w:spacing w:line="288" w:lineRule="auto"/>
        <w:rPr>
          <w:rFonts w:ascii="Georgia" w:hAnsi="Georgia"/>
          <w:sz w:val="22"/>
          <w:szCs w:val="24"/>
          <w:lang w:val="es-419"/>
        </w:rPr>
      </w:pPr>
    </w:p>
    <w:p w:rsidR="00954898" w:rsidRPr="00C60A4D" w:rsidRDefault="00954898" w:rsidP="00C60A4D">
      <w:pPr>
        <w:pStyle w:val="Textoindependiente"/>
        <w:spacing w:line="288" w:lineRule="auto"/>
        <w:rPr>
          <w:rFonts w:ascii="Georgia" w:hAnsi="Georgia" w:cs="Arial"/>
          <w:szCs w:val="24"/>
          <w:lang w:val="es-419"/>
        </w:rPr>
      </w:pPr>
      <w:r w:rsidRPr="00C60A4D">
        <w:rPr>
          <w:rFonts w:ascii="Georgia" w:hAnsi="Georgia"/>
          <w:szCs w:val="24"/>
          <w:shd w:val="clear" w:color="auto" w:fill="FFFFFF"/>
          <w:lang w:val="es-419"/>
        </w:rPr>
        <w:t>Esta causal de procedibilidad especial se cimenta en el desarrollo de los derechos fundamentales al debido proceso y el acceso a la administración de justicia (Artículos 29 y 228, CP), puesto que conlleva el respeto por el procedimiento y las formas propias de cada juicio, y el reconocimiento de la prevalencia del derecho sustancial y la realización de la justicia material en la aplicación del derecho procesal</w:t>
      </w:r>
      <w:r w:rsidRPr="00C60A4D">
        <w:rPr>
          <w:rStyle w:val="Refdenotaalpie"/>
          <w:rFonts w:ascii="Georgia" w:hAnsi="Georgia"/>
          <w:szCs w:val="24"/>
          <w:shd w:val="clear" w:color="auto" w:fill="FFFFFF"/>
          <w:lang w:val="es-419"/>
        </w:rPr>
        <w:footnoteReference w:id="9"/>
      </w:r>
      <w:r w:rsidRPr="00C60A4D">
        <w:rPr>
          <w:rFonts w:ascii="Georgia" w:hAnsi="Georgia"/>
          <w:szCs w:val="24"/>
          <w:shd w:val="clear" w:color="auto" w:fill="FFFFFF"/>
          <w:lang w:val="es-419"/>
        </w:rPr>
        <w:t>.</w:t>
      </w:r>
    </w:p>
    <w:p w:rsidR="00954898" w:rsidRPr="00F47864" w:rsidRDefault="00954898" w:rsidP="00C60A4D">
      <w:pPr>
        <w:pStyle w:val="Textoindependiente"/>
        <w:spacing w:line="288" w:lineRule="auto"/>
        <w:rPr>
          <w:rFonts w:ascii="Georgia" w:hAnsi="Georgia"/>
          <w:sz w:val="22"/>
          <w:szCs w:val="24"/>
          <w:lang w:val="es-419"/>
        </w:rPr>
      </w:pPr>
    </w:p>
    <w:p w:rsidR="00954898" w:rsidRPr="00C60A4D" w:rsidRDefault="00954898" w:rsidP="00C60A4D">
      <w:pPr>
        <w:pStyle w:val="Textoindependiente"/>
        <w:spacing w:line="288" w:lineRule="auto"/>
        <w:rPr>
          <w:rFonts w:ascii="Georgia" w:hAnsi="Georgia" w:cs="Arial"/>
          <w:szCs w:val="24"/>
          <w:lang w:val="es-419"/>
        </w:rPr>
      </w:pPr>
      <w:r w:rsidRPr="00C60A4D">
        <w:rPr>
          <w:rFonts w:ascii="Georgia" w:hAnsi="Georgia"/>
          <w:szCs w:val="24"/>
          <w:shd w:val="clear" w:color="auto" w:fill="FFFFFF"/>
          <w:lang w:val="es-419"/>
        </w:rPr>
        <w:t>La CC</w:t>
      </w:r>
      <w:r w:rsidRPr="00C60A4D">
        <w:rPr>
          <w:rStyle w:val="Refdenotaalpie"/>
          <w:rFonts w:ascii="Georgia" w:hAnsi="Georgia"/>
          <w:szCs w:val="24"/>
          <w:shd w:val="clear" w:color="auto" w:fill="FFFFFF"/>
          <w:lang w:val="es-419"/>
        </w:rPr>
        <w:footnoteReference w:id="10"/>
      </w:r>
      <w:r w:rsidRPr="00C60A4D">
        <w:rPr>
          <w:rFonts w:ascii="Georgia" w:hAnsi="Georgia"/>
          <w:szCs w:val="24"/>
          <w:shd w:val="clear" w:color="auto" w:fill="FFFFFF"/>
          <w:lang w:val="es-419"/>
        </w:rPr>
        <w:t xml:space="preserve"> ha establecido que este defecto se configura </w:t>
      </w:r>
      <w:r w:rsidRPr="00C60A4D">
        <w:rPr>
          <w:rFonts w:ascii="Georgia" w:hAnsi="Georgia"/>
          <w:i/>
          <w:sz w:val="22"/>
          <w:szCs w:val="24"/>
          <w:shd w:val="clear" w:color="auto" w:fill="FFFFFF"/>
          <w:lang w:val="es-419"/>
        </w:rPr>
        <w:t xml:space="preserve">“(…) cuando el juzgador viola derechos fundamentales al negar el derecho sustancial, ya sea por no aplicar la norma procesal acorde con el  procedimiento  de  que  se  trate,  </w:t>
      </w:r>
      <w:r w:rsidRPr="00C60A4D">
        <w:rPr>
          <w:rFonts w:ascii="Georgia" w:hAnsi="Georgia"/>
          <w:bCs/>
          <w:i/>
          <w:sz w:val="22"/>
          <w:szCs w:val="24"/>
          <w:bdr w:val="none" w:sz="0" w:space="0" w:color="auto" w:frame="1"/>
          <w:shd w:val="clear" w:color="auto" w:fill="FFFFFF"/>
          <w:lang w:val="es-419"/>
        </w:rPr>
        <w:t>o  cuando  excede  la  aplicación de formalidades procesales que hacen nugatorio un derecho (…)”</w:t>
      </w:r>
      <w:r w:rsidRPr="00C60A4D">
        <w:rPr>
          <w:rFonts w:ascii="Georgia" w:hAnsi="Georgia"/>
          <w:bCs/>
          <w:sz w:val="22"/>
          <w:szCs w:val="24"/>
          <w:bdr w:val="none" w:sz="0" w:space="0" w:color="auto" w:frame="1"/>
          <w:shd w:val="clear" w:color="auto" w:fill="FFFFFF"/>
          <w:lang w:val="es-419"/>
        </w:rPr>
        <w:t xml:space="preserve">. </w:t>
      </w:r>
      <w:r w:rsidRPr="00C60A4D">
        <w:rPr>
          <w:rFonts w:ascii="Georgia" w:hAnsi="Georgia" w:cs="Arial"/>
          <w:szCs w:val="24"/>
          <w:lang w:val="es-419"/>
        </w:rPr>
        <w:t>Puntualmente existen dos clases de defecto procedimental</w:t>
      </w:r>
      <w:r w:rsidRPr="00C60A4D">
        <w:rPr>
          <w:rStyle w:val="Refdenotaalpie"/>
          <w:rFonts w:ascii="Georgia" w:hAnsi="Georgia"/>
          <w:szCs w:val="24"/>
          <w:lang w:val="es-419"/>
        </w:rPr>
        <w:footnoteReference w:id="11"/>
      </w:r>
      <w:r w:rsidRPr="00C60A4D">
        <w:rPr>
          <w:rFonts w:ascii="Georgia" w:hAnsi="Georgia" w:cs="Arial"/>
          <w:szCs w:val="24"/>
          <w:lang w:val="es-419"/>
        </w:rPr>
        <w:t>: (i) El absoluto; y, (ii) Aquel que se configura por exceso ritual manifiesto.</w:t>
      </w:r>
    </w:p>
    <w:p w:rsidR="00954898" w:rsidRPr="00F47864" w:rsidRDefault="00954898" w:rsidP="00C60A4D">
      <w:pPr>
        <w:pStyle w:val="Textoindependiente"/>
        <w:spacing w:line="288" w:lineRule="auto"/>
        <w:rPr>
          <w:rFonts w:ascii="Georgia" w:hAnsi="Georgia"/>
          <w:sz w:val="22"/>
          <w:szCs w:val="24"/>
          <w:lang w:val="es-419"/>
        </w:rPr>
      </w:pPr>
    </w:p>
    <w:p w:rsidR="00954898" w:rsidRPr="00C60A4D" w:rsidRDefault="00954898" w:rsidP="00C60A4D">
      <w:pPr>
        <w:pStyle w:val="Textoindependiente"/>
        <w:spacing w:line="288" w:lineRule="auto"/>
        <w:rPr>
          <w:rFonts w:ascii="Georgia" w:hAnsi="Georgia" w:cs="Arial"/>
          <w:szCs w:val="24"/>
          <w:u w:val="single"/>
          <w:lang w:val="es-419"/>
        </w:rPr>
      </w:pPr>
      <w:r w:rsidRPr="00C60A4D">
        <w:rPr>
          <w:rFonts w:ascii="Georgia" w:hAnsi="Georgia" w:cs="Arial"/>
          <w:szCs w:val="24"/>
          <w:lang w:val="es-419"/>
        </w:rPr>
        <w:t>En tratándose del defecto procedimental absoluto, se tiene que ocurre cuando el juez desconoce completamente el procedimiento y termina produciendo una decisión arbitraria que vulnera los derechos fundamentales, en palabras de la CC</w:t>
      </w:r>
      <w:r w:rsidRPr="00C60A4D">
        <w:rPr>
          <w:rFonts w:ascii="Georgia" w:hAnsi="Georgia" w:cs="Arial"/>
          <w:szCs w:val="24"/>
          <w:vertAlign w:val="superscript"/>
          <w:lang w:val="es-419"/>
        </w:rPr>
        <w:footnoteReference w:id="12"/>
      </w:r>
      <w:r w:rsidRPr="00C60A4D">
        <w:rPr>
          <w:rFonts w:ascii="Georgia" w:hAnsi="Georgia" w:cs="Arial"/>
          <w:szCs w:val="24"/>
          <w:lang w:val="es-419"/>
        </w:rPr>
        <w:t xml:space="preserve">: </w:t>
      </w:r>
      <w:r w:rsidRPr="00C60A4D">
        <w:rPr>
          <w:rFonts w:ascii="Georgia" w:hAnsi="Georgia" w:cs="Arial"/>
          <w:sz w:val="22"/>
          <w:szCs w:val="24"/>
          <w:u w:val="single"/>
          <w:lang w:val="es-419"/>
        </w:rPr>
        <w:t>“</w:t>
      </w:r>
      <w:r w:rsidRPr="00C60A4D">
        <w:rPr>
          <w:rFonts w:ascii="Georgia" w:hAnsi="Georgia" w:cs="Arial"/>
          <w:i/>
          <w:sz w:val="22"/>
          <w:szCs w:val="24"/>
          <w:u w:val="single"/>
          <w:lang w:val="es-419"/>
        </w:rPr>
        <w:t>(…) cuando el juez se desvía por completo del procedimiento fijado por la ley para dar trámite a determinadas cuestiones, está “actuando en forma arbitraria y con fundamento en su voluntad</w:t>
      </w:r>
      <w:r w:rsidRPr="00C60A4D">
        <w:rPr>
          <w:rFonts w:ascii="Georgia" w:hAnsi="Georgia" w:cs="Arial"/>
          <w:sz w:val="22"/>
          <w:szCs w:val="24"/>
          <w:u w:val="single"/>
          <w:lang w:val="es-419"/>
        </w:rPr>
        <w:t>”</w:t>
      </w:r>
      <w:r w:rsidRPr="00C60A4D">
        <w:rPr>
          <w:rFonts w:ascii="Georgia" w:hAnsi="Georgia" w:cs="Arial"/>
          <w:sz w:val="22"/>
          <w:szCs w:val="24"/>
          <w:lang w:val="es-419"/>
        </w:rPr>
        <w:t xml:space="preserve"> </w:t>
      </w:r>
      <w:r w:rsidRPr="00C60A4D">
        <w:rPr>
          <w:rFonts w:ascii="Georgia" w:hAnsi="Georgia" w:cs="Arial"/>
          <w:szCs w:val="24"/>
          <w:lang w:val="es-419"/>
        </w:rPr>
        <w:t>Sublínea de esta Sala</w:t>
      </w:r>
      <w:r w:rsidRPr="00C60A4D">
        <w:rPr>
          <w:rFonts w:ascii="Georgia" w:hAnsi="Georgia" w:cs="Arial"/>
          <w:sz w:val="22"/>
          <w:szCs w:val="24"/>
          <w:u w:val="single"/>
          <w:lang w:val="es-419"/>
        </w:rPr>
        <w:t xml:space="preserve">. </w:t>
      </w:r>
    </w:p>
    <w:p w:rsidR="00954898" w:rsidRPr="00F47864" w:rsidRDefault="00954898" w:rsidP="00C60A4D">
      <w:pPr>
        <w:pStyle w:val="Textoindependiente"/>
        <w:spacing w:line="288" w:lineRule="auto"/>
        <w:rPr>
          <w:rFonts w:ascii="Georgia" w:hAnsi="Georgia"/>
          <w:sz w:val="22"/>
          <w:szCs w:val="24"/>
          <w:lang w:val="es-419"/>
        </w:rPr>
      </w:pPr>
    </w:p>
    <w:p w:rsidR="00954898" w:rsidRPr="00C60A4D" w:rsidRDefault="00954898" w:rsidP="00C60A4D">
      <w:pPr>
        <w:widowControl/>
        <w:shd w:val="clear" w:color="auto" w:fill="FFFFFF"/>
        <w:autoSpaceDE/>
        <w:autoSpaceDN/>
        <w:adjustRightInd/>
        <w:spacing w:line="288" w:lineRule="auto"/>
        <w:jc w:val="both"/>
        <w:textAlignment w:val="baseline"/>
        <w:rPr>
          <w:rFonts w:ascii="Georgia" w:hAnsi="Georgia" w:cs="Times New Roman"/>
          <w:bdr w:val="none" w:sz="0" w:space="0" w:color="auto" w:frame="1"/>
          <w:lang w:val="es-419"/>
        </w:rPr>
      </w:pPr>
      <w:r w:rsidRPr="00C60A4D">
        <w:rPr>
          <w:rFonts w:ascii="Georgia" w:hAnsi="Georgia" w:cs="Times New Roman"/>
          <w:bdr w:val="none" w:sz="0" w:space="0" w:color="auto" w:frame="1"/>
          <w:lang w:val="es-419"/>
        </w:rPr>
        <w:t>Para verificar la consumación de este defecto la Alta Magistratura</w:t>
      </w:r>
      <w:r w:rsidRPr="00C60A4D">
        <w:rPr>
          <w:rStyle w:val="Refdenotaalpie"/>
          <w:rFonts w:ascii="Georgia" w:hAnsi="Georgia"/>
          <w:bdr w:val="none" w:sz="0" w:space="0" w:color="auto" w:frame="1"/>
          <w:lang w:val="es-419"/>
        </w:rPr>
        <w:footnoteReference w:id="13"/>
      </w:r>
      <w:r w:rsidRPr="00C60A4D">
        <w:rPr>
          <w:rFonts w:ascii="Georgia" w:hAnsi="Georgia" w:cs="Times New Roman"/>
          <w:bdr w:val="none" w:sz="0" w:space="0" w:color="auto" w:frame="1"/>
          <w:lang w:val="es-419"/>
        </w:rPr>
        <w:t xml:space="preserve"> exige la coexistencia de cuatro (4) elementos, a saber:</w:t>
      </w:r>
    </w:p>
    <w:p w:rsidR="00954898" w:rsidRPr="00F47864" w:rsidRDefault="00954898" w:rsidP="00F47864">
      <w:pPr>
        <w:pStyle w:val="Textoindependiente"/>
        <w:spacing w:line="288" w:lineRule="auto"/>
        <w:rPr>
          <w:rFonts w:ascii="Georgia" w:hAnsi="Georgia"/>
          <w:sz w:val="22"/>
          <w:szCs w:val="24"/>
          <w:lang w:val="es-419"/>
        </w:rPr>
      </w:pPr>
    </w:p>
    <w:p w:rsidR="00954898" w:rsidRPr="00C60A4D" w:rsidRDefault="00954898" w:rsidP="00C60A4D">
      <w:pPr>
        <w:pStyle w:val="Prrafodelista"/>
        <w:widowControl/>
        <w:numPr>
          <w:ilvl w:val="0"/>
          <w:numId w:val="44"/>
        </w:numPr>
        <w:shd w:val="clear" w:color="auto" w:fill="FFFFFF"/>
        <w:autoSpaceDE/>
        <w:autoSpaceDN/>
        <w:adjustRightInd/>
        <w:spacing w:line="288" w:lineRule="auto"/>
        <w:ind w:left="1276" w:right="618" w:hanging="709"/>
        <w:jc w:val="both"/>
        <w:textAlignment w:val="baseline"/>
        <w:rPr>
          <w:rFonts w:ascii="Georgia" w:hAnsi="Georgia" w:cs="Times New Roman"/>
          <w:lang w:val="es-419"/>
        </w:rPr>
      </w:pPr>
      <w:r w:rsidRPr="00C60A4D">
        <w:rPr>
          <w:rFonts w:ascii="Georgia" w:hAnsi="Georgia" w:cs="Times New Roman"/>
          <w:bdr w:val="none" w:sz="0" w:space="0" w:color="auto" w:frame="1"/>
          <w:lang w:val="es-419"/>
        </w:rPr>
        <w:t>Que no exista la posibilidad de corregir el error por ninguna otra vía, de acuerdo con el carácter subsidiario de la acción de tutela;</w:t>
      </w:r>
    </w:p>
    <w:p w:rsidR="00954898" w:rsidRPr="009F64BD" w:rsidRDefault="00954898" w:rsidP="009F64BD">
      <w:pPr>
        <w:pStyle w:val="Textoindependiente"/>
        <w:spacing w:line="288" w:lineRule="auto"/>
        <w:rPr>
          <w:rFonts w:ascii="Georgia" w:hAnsi="Georgia"/>
          <w:sz w:val="22"/>
          <w:szCs w:val="24"/>
          <w:lang w:val="es-419"/>
        </w:rPr>
      </w:pPr>
    </w:p>
    <w:p w:rsidR="00954898" w:rsidRPr="00C60A4D" w:rsidRDefault="00954898" w:rsidP="00C60A4D">
      <w:pPr>
        <w:pStyle w:val="Prrafodelista"/>
        <w:widowControl/>
        <w:numPr>
          <w:ilvl w:val="0"/>
          <w:numId w:val="44"/>
        </w:numPr>
        <w:shd w:val="clear" w:color="auto" w:fill="FFFFFF"/>
        <w:autoSpaceDE/>
        <w:autoSpaceDN/>
        <w:adjustRightInd/>
        <w:spacing w:line="288" w:lineRule="auto"/>
        <w:ind w:left="1276" w:right="618" w:hanging="709"/>
        <w:jc w:val="both"/>
        <w:textAlignment w:val="baseline"/>
        <w:rPr>
          <w:rFonts w:ascii="Georgia" w:hAnsi="Georgia" w:cs="Times New Roman"/>
          <w:lang w:val="es-419"/>
        </w:rPr>
      </w:pPr>
      <w:r w:rsidRPr="00C60A4D">
        <w:rPr>
          <w:rFonts w:ascii="Georgia" w:hAnsi="Georgia" w:cs="Times New Roman"/>
          <w:bdr w:val="none" w:sz="0" w:space="0" w:color="auto" w:frame="1"/>
          <w:lang w:val="es-419"/>
        </w:rPr>
        <w:t>Que el defecto procesal tenga una incidencia directa en el fallo que se acusa de ser vulneratorio de los derechos fundamentales;</w:t>
      </w:r>
    </w:p>
    <w:p w:rsidR="00954898" w:rsidRPr="009F64BD" w:rsidRDefault="00954898" w:rsidP="009F64BD">
      <w:pPr>
        <w:pStyle w:val="Textoindependiente"/>
        <w:spacing w:line="288" w:lineRule="auto"/>
        <w:rPr>
          <w:rFonts w:ascii="Georgia" w:hAnsi="Georgia"/>
          <w:sz w:val="22"/>
          <w:szCs w:val="24"/>
          <w:lang w:val="es-419"/>
        </w:rPr>
      </w:pPr>
    </w:p>
    <w:p w:rsidR="002511FF" w:rsidRPr="00C60A4D" w:rsidRDefault="00954898" w:rsidP="00C60A4D">
      <w:pPr>
        <w:pStyle w:val="Prrafodelista"/>
        <w:widowControl/>
        <w:numPr>
          <w:ilvl w:val="0"/>
          <w:numId w:val="44"/>
        </w:numPr>
        <w:shd w:val="clear" w:color="auto" w:fill="FFFFFF"/>
        <w:autoSpaceDE/>
        <w:autoSpaceDN/>
        <w:adjustRightInd/>
        <w:spacing w:line="288" w:lineRule="auto"/>
        <w:ind w:left="1276" w:right="618" w:hanging="709"/>
        <w:jc w:val="both"/>
        <w:textAlignment w:val="baseline"/>
        <w:rPr>
          <w:rFonts w:ascii="Georgia" w:hAnsi="Georgia" w:cs="Times New Roman"/>
          <w:lang w:val="es-419"/>
        </w:rPr>
      </w:pPr>
      <w:r w:rsidRPr="00C60A4D">
        <w:rPr>
          <w:rFonts w:ascii="Georgia" w:hAnsi="Georgia" w:cs="Times New Roman"/>
          <w:bdr w:val="none" w:sz="0" w:space="0" w:color="auto" w:frame="1"/>
          <w:lang w:val="es-419"/>
        </w:rPr>
        <w:t>Que</w:t>
      </w:r>
      <w:r w:rsidR="002511FF" w:rsidRPr="00C60A4D">
        <w:rPr>
          <w:rFonts w:ascii="Georgia" w:hAnsi="Georgia" w:cs="Times New Roman"/>
          <w:bdr w:val="none" w:sz="0" w:space="0" w:color="auto" w:frame="1"/>
          <w:lang w:val="es-419"/>
        </w:rPr>
        <w:t xml:space="preserve"> </w:t>
      </w:r>
      <w:r w:rsidRPr="00C60A4D">
        <w:rPr>
          <w:rFonts w:ascii="Georgia" w:hAnsi="Georgia" w:cs="Times New Roman"/>
          <w:bdr w:val="none" w:sz="0" w:space="0" w:color="auto" w:frame="1"/>
          <w:lang w:val="es-419"/>
        </w:rPr>
        <w:t xml:space="preserve"> </w:t>
      </w:r>
      <w:r w:rsidR="002511FF" w:rsidRPr="00C60A4D">
        <w:rPr>
          <w:rFonts w:ascii="Georgia" w:hAnsi="Georgia" w:cs="Times New Roman"/>
          <w:bdr w:val="none" w:sz="0" w:space="0" w:color="auto" w:frame="1"/>
          <w:lang w:val="es-419"/>
        </w:rPr>
        <w:t xml:space="preserve"> </w:t>
      </w:r>
      <w:r w:rsidRPr="00C60A4D">
        <w:rPr>
          <w:rFonts w:ascii="Georgia" w:hAnsi="Georgia" w:cs="Times New Roman"/>
          <w:bdr w:val="none" w:sz="0" w:space="0" w:color="auto" w:frame="1"/>
          <w:lang w:val="es-419"/>
        </w:rPr>
        <w:t xml:space="preserve">la </w:t>
      </w:r>
      <w:r w:rsidR="002511FF" w:rsidRPr="00C60A4D">
        <w:rPr>
          <w:rFonts w:ascii="Georgia" w:hAnsi="Georgia" w:cs="Times New Roman"/>
          <w:bdr w:val="none" w:sz="0" w:space="0" w:color="auto" w:frame="1"/>
          <w:lang w:val="es-419"/>
        </w:rPr>
        <w:t xml:space="preserve">  </w:t>
      </w:r>
      <w:r w:rsidRPr="00C60A4D">
        <w:rPr>
          <w:rFonts w:ascii="Georgia" w:hAnsi="Georgia" w:cs="Times New Roman"/>
          <w:bdr w:val="none" w:sz="0" w:space="0" w:color="auto" w:frame="1"/>
          <w:lang w:val="es-419"/>
        </w:rPr>
        <w:t xml:space="preserve">irregularidad </w:t>
      </w:r>
      <w:r w:rsidR="002511FF" w:rsidRPr="00C60A4D">
        <w:rPr>
          <w:rFonts w:ascii="Georgia" w:hAnsi="Georgia" w:cs="Times New Roman"/>
          <w:bdr w:val="none" w:sz="0" w:space="0" w:color="auto" w:frame="1"/>
          <w:lang w:val="es-419"/>
        </w:rPr>
        <w:t xml:space="preserve">  </w:t>
      </w:r>
      <w:r w:rsidRPr="00C60A4D">
        <w:rPr>
          <w:rFonts w:ascii="Georgia" w:hAnsi="Georgia" w:cs="Times New Roman"/>
          <w:bdr w:val="none" w:sz="0" w:space="0" w:color="auto" w:frame="1"/>
          <w:lang w:val="es-419"/>
        </w:rPr>
        <w:t xml:space="preserve">haya </w:t>
      </w:r>
      <w:r w:rsidR="002511FF" w:rsidRPr="00C60A4D">
        <w:rPr>
          <w:rFonts w:ascii="Georgia" w:hAnsi="Georgia" w:cs="Times New Roman"/>
          <w:bdr w:val="none" w:sz="0" w:space="0" w:color="auto" w:frame="1"/>
          <w:lang w:val="es-419"/>
        </w:rPr>
        <w:t xml:space="preserve">  </w:t>
      </w:r>
      <w:r w:rsidRPr="00C60A4D">
        <w:rPr>
          <w:rFonts w:ascii="Georgia" w:hAnsi="Georgia" w:cs="Times New Roman"/>
          <w:bdr w:val="none" w:sz="0" w:space="0" w:color="auto" w:frame="1"/>
          <w:lang w:val="es-419"/>
        </w:rPr>
        <w:t xml:space="preserve">sido </w:t>
      </w:r>
      <w:r w:rsidR="002511FF" w:rsidRPr="00C60A4D">
        <w:rPr>
          <w:rFonts w:ascii="Georgia" w:hAnsi="Georgia" w:cs="Times New Roman"/>
          <w:bdr w:val="none" w:sz="0" w:space="0" w:color="auto" w:frame="1"/>
          <w:lang w:val="es-419"/>
        </w:rPr>
        <w:t xml:space="preserve">  </w:t>
      </w:r>
      <w:r w:rsidRPr="00C60A4D">
        <w:rPr>
          <w:rFonts w:ascii="Georgia" w:hAnsi="Georgia" w:cs="Times New Roman"/>
          <w:bdr w:val="none" w:sz="0" w:space="0" w:color="auto" w:frame="1"/>
          <w:lang w:val="es-419"/>
        </w:rPr>
        <w:t xml:space="preserve">alegada </w:t>
      </w:r>
      <w:r w:rsidR="002511FF" w:rsidRPr="00C60A4D">
        <w:rPr>
          <w:rFonts w:ascii="Georgia" w:hAnsi="Georgia" w:cs="Times New Roman"/>
          <w:bdr w:val="none" w:sz="0" w:space="0" w:color="auto" w:frame="1"/>
          <w:lang w:val="es-419"/>
        </w:rPr>
        <w:t xml:space="preserve">  </w:t>
      </w:r>
      <w:r w:rsidRPr="00C60A4D">
        <w:rPr>
          <w:rFonts w:ascii="Georgia" w:hAnsi="Georgia" w:cs="Times New Roman"/>
          <w:bdr w:val="none" w:sz="0" w:space="0" w:color="auto" w:frame="1"/>
          <w:lang w:val="es-419"/>
        </w:rPr>
        <w:t xml:space="preserve">al </w:t>
      </w:r>
      <w:r w:rsidR="002511FF" w:rsidRPr="00C60A4D">
        <w:rPr>
          <w:rFonts w:ascii="Georgia" w:hAnsi="Georgia" w:cs="Times New Roman"/>
          <w:bdr w:val="none" w:sz="0" w:space="0" w:color="auto" w:frame="1"/>
          <w:lang w:val="es-419"/>
        </w:rPr>
        <w:t xml:space="preserve">  </w:t>
      </w:r>
      <w:r w:rsidRPr="00C60A4D">
        <w:rPr>
          <w:rFonts w:ascii="Georgia" w:hAnsi="Georgia" w:cs="Times New Roman"/>
          <w:bdr w:val="none" w:sz="0" w:space="0" w:color="auto" w:frame="1"/>
          <w:lang w:val="es-419"/>
        </w:rPr>
        <w:t xml:space="preserve">interior </w:t>
      </w:r>
      <w:r w:rsidR="002511FF" w:rsidRPr="00C60A4D">
        <w:rPr>
          <w:rFonts w:ascii="Georgia" w:hAnsi="Georgia" w:cs="Times New Roman"/>
          <w:bdr w:val="none" w:sz="0" w:space="0" w:color="auto" w:frame="1"/>
          <w:lang w:val="es-419"/>
        </w:rPr>
        <w:t xml:space="preserve">  </w:t>
      </w:r>
      <w:r w:rsidRPr="00C60A4D">
        <w:rPr>
          <w:rFonts w:ascii="Georgia" w:hAnsi="Georgia" w:cs="Times New Roman"/>
          <w:bdr w:val="none" w:sz="0" w:space="0" w:color="auto" w:frame="1"/>
          <w:lang w:val="es-419"/>
        </w:rPr>
        <w:t xml:space="preserve">del </w:t>
      </w:r>
      <w:r w:rsidR="002511FF" w:rsidRPr="00C60A4D">
        <w:rPr>
          <w:rFonts w:ascii="Georgia" w:hAnsi="Georgia" w:cs="Times New Roman"/>
          <w:bdr w:val="none" w:sz="0" w:space="0" w:color="auto" w:frame="1"/>
          <w:lang w:val="es-419"/>
        </w:rPr>
        <w:t xml:space="preserve">  </w:t>
      </w:r>
      <w:r w:rsidRPr="00C60A4D">
        <w:rPr>
          <w:rFonts w:ascii="Georgia" w:hAnsi="Georgia" w:cs="Times New Roman"/>
          <w:bdr w:val="none" w:sz="0" w:space="0" w:color="auto" w:frame="1"/>
          <w:lang w:val="es-419"/>
        </w:rPr>
        <w:t xml:space="preserve">proceso </w:t>
      </w:r>
    </w:p>
    <w:p w:rsidR="00954898" w:rsidRPr="00C60A4D" w:rsidRDefault="00954898" w:rsidP="00C60A4D">
      <w:pPr>
        <w:pStyle w:val="Prrafodelista"/>
        <w:widowControl/>
        <w:shd w:val="clear" w:color="auto" w:fill="FFFFFF"/>
        <w:autoSpaceDE/>
        <w:autoSpaceDN/>
        <w:adjustRightInd/>
        <w:spacing w:line="288" w:lineRule="auto"/>
        <w:ind w:left="1276" w:right="618"/>
        <w:jc w:val="both"/>
        <w:textAlignment w:val="baseline"/>
        <w:rPr>
          <w:rFonts w:ascii="Georgia" w:hAnsi="Georgia" w:cs="Times New Roman"/>
          <w:lang w:val="es-419"/>
        </w:rPr>
      </w:pPr>
      <w:r w:rsidRPr="00C60A4D">
        <w:rPr>
          <w:rFonts w:ascii="Georgia" w:hAnsi="Georgia" w:cs="Times New Roman"/>
          <w:bdr w:val="none" w:sz="0" w:space="0" w:color="auto" w:frame="1"/>
          <w:lang w:val="es-419"/>
        </w:rPr>
        <w:t>ordinario,  salvo que ello hubiera sido imposible, de acuerdo con las circunstancias del caso específico; y</w:t>
      </w:r>
    </w:p>
    <w:p w:rsidR="00954898" w:rsidRPr="009F64BD" w:rsidRDefault="00954898" w:rsidP="009F64BD">
      <w:pPr>
        <w:pStyle w:val="Textoindependiente"/>
        <w:spacing w:line="288" w:lineRule="auto"/>
        <w:rPr>
          <w:rFonts w:ascii="Georgia" w:hAnsi="Georgia"/>
          <w:sz w:val="22"/>
          <w:szCs w:val="24"/>
          <w:lang w:val="es-419"/>
        </w:rPr>
      </w:pPr>
    </w:p>
    <w:p w:rsidR="00954898" w:rsidRPr="00C60A4D" w:rsidRDefault="00954898" w:rsidP="00C60A4D">
      <w:pPr>
        <w:pStyle w:val="Prrafodelista"/>
        <w:widowControl/>
        <w:numPr>
          <w:ilvl w:val="0"/>
          <w:numId w:val="44"/>
        </w:numPr>
        <w:shd w:val="clear" w:color="auto" w:fill="FFFFFF"/>
        <w:autoSpaceDE/>
        <w:autoSpaceDN/>
        <w:adjustRightInd/>
        <w:spacing w:line="288" w:lineRule="auto"/>
        <w:ind w:left="1276" w:right="618" w:hanging="709"/>
        <w:jc w:val="both"/>
        <w:textAlignment w:val="baseline"/>
        <w:rPr>
          <w:rFonts w:ascii="Georgia" w:hAnsi="Georgia" w:cs="Times New Roman"/>
          <w:lang w:val="es-419"/>
        </w:rPr>
      </w:pPr>
      <w:r w:rsidRPr="00C60A4D">
        <w:rPr>
          <w:rFonts w:ascii="Georgia" w:hAnsi="Georgia" w:cs="Times New Roman"/>
          <w:bdr w:val="none" w:sz="0" w:space="0" w:color="auto" w:frame="1"/>
          <w:lang w:val="es-419"/>
        </w:rPr>
        <w:t>Que como consecuencia de lo anterior se presente una vulneración a los derechos fundamentales.</w:t>
      </w:r>
    </w:p>
    <w:p w:rsidR="002511FF" w:rsidRPr="009F64BD" w:rsidRDefault="002511FF" w:rsidP="009F64BD">
      <w:pPr>
        <w:pStyle w:val="Textoindependiente"/>
        <w:spacing w:line="288" w:lineRule="auto"/>
        <w:rPr>
          <w:rFonts w:ascii="Georgia" w:hAnsi="Georgia"/>
          <w:sz w:val="22"/>
          <w:szCs w:val="24"/>
          <w:lang w:val="es-419"/>
        </w:rPr>
      </w:pPr>
    </w:p>
    <w:p w:rsidR="00954898" w:rsidRPr="00C60A4D" w:rsidRDefault="00954898" w:rsidP="00C60A4D">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ind w:left="708" w:hanging="708"/>
        <w:rPr>
          <w:rFonts w:ascii="Georgia" w:hAnsi="Georgia" w:cs="Arial"/>
          <w:szCs w:val="24"/>
          <w:lang w:val="es-419"/>
        </w:rPr>
      </w:pPr>
      <w:r w:rsidRPr="00C60A4D">
        <w:rPr>
          <w:rFonts w:ascii="Georgia" w:hAnsi="Georgia" w:cs="Arial"/>
          <w:szCs w:val="24"/>
          <w:lang w:val="es-419"/>
        </w:rPr>
        <w:t>EL CASO CONCRETO QUE SE ANALIZA</w:t>
      </w:r>
    </w:p>
    <w:p w:rsidR="00954898" w:rsidRPr="009F64BD" w:rsidRDefault="00954898" w:rsidP="009F64BD">
      <w:pPr>
        <w:pStyle w:val="Textoindependiente"/>
        <w:spacing w:line="288" w:lineRule="auto"/>
        <w:rPr>
          <w:rFonts w:ascii="Georgia" w:hAnsi="Georgia"/>
          <w:sz w:val="22"/>
          <w:szCs w:val="24"/>
          <w:lang w:val="es-419"/>
        </w:rPr>
      </w:pPr>
    </w:p>
    <w:p w:rsidR="00954898" w:rsidRPr="00C60A4D" w:rsidRDefault="00954898" w:rsidP="00C60A4D">
      <w:pPr>
        <w:pStyle w:val="Textoindependiente"/>
        <w:widowControl w:val="0"/>
        <w:spacing w:line="288" w:lineRule="auto"/>
        <w:rPr>
          <w:rFonts w:ascii="Georgia" w:hAnsi="Georgia" w:cs="Arial"/>
          <w:szCs w:val="24"/>
          <w:lang w:val="es-419"/>
        </w:rPr>
      </w:pPr>
      <w:r w:rsidRPr="00C60A4D">
        <w:rPr>
          <w:rFonts w:ascii="Georgia" w:hAnsi="Georgia" w:cs="Arial"/>
          <w:szCs w:val="24"/>
          <w:lang w:val="es-419"/>
        </w:rPr>
        <w:t xml:space="preserve">7.1. </w:t>
      </w:r>
      <w:r w:rsidRPr="00C60A4D">
        <w:rPr>
          <w:rFonts w:ascii="Georgia" w:hAnsi="Georgia" w:cs="Arial"/>
          <w:smallCaps/>
          <w:szCs w:val="24"/>
          <w:lang w:val="es-419"/>
        </w:rPr>
        <w:t>La inmediatez</w:t>
      </w:r>
    </w:p>
    <w:p w:rsidR="00954898" w:rsidRPr="009F64BD" w:rsidRDefault="00954898" w:rsidP="009F64BD">
      <w:pPr>
        <w:pStyle w:val="Textoindependiente"/>
        <w:spacing w:line="288" w:lineRule="auto"/>
        <w:rPr>
          <w:rFonts w:ascii="Georgia" w:hAnsi="Georgia"/>
          <w:sz w:val="22"/>
          <w:szCs w:val="24"/>
          <w:lang w:val="es-419"/>
        </w:rPr>
      </w:pPr>
    </w:p>
    <w:p w:rsidR="00954898" w:rsidRPr="00C60A4D" w:rsidRDefault="00954898" w:rsidP="00C60A4D">
      <w:pPr>
        <w:spacing w:line="288" w:lineRule="auto"/>
        <w:jc w:val="both"/>
        <w:rPr>
          <w:rFonts w:ascii="Georgia" w:hAnsi="Georgia" w:cs="Arial"/>
          <w:lang w:val="es-419"/>
        </w:rPr>
      </w:pPr>
      <w:r w:rsidRPr="00C60A4D">
        <w:rPr>
          <w:rFonts w:ascii="Georgia" w:hAnsi="Georgia" w:cs="Arial"/>
          <w:lang w:val="es-419"/>
        </w:rPr>
        <w:t>Dado que los requisitos generales de procedibilidad son concurrentes, esto es, incumplido uno, se torna inane el examen de los demás, menos podrían revisarse los supuestos especiales, el análisis que sigue se concentrará en la inmediatez en lo atinente a la quej</w:t>
      </w:r>
      <w:r w:rsidR="00166428" w:rsidRPr="00C60A4D">
        <w:rPr>
          <w:rFonts w:ascii="Georgia" w:hAnsi="Georgia" w:cs="Arial"/>
          <w:lang w:val="es-419"/>
        </w:rPr>
        <w:t>a fundada en el rechazo de la ex</w:t>
      </w:r>
      <w:r w:rsidRPr="00C60A4D">
        <w:rPr>
          <w:rFonts w:ascii="Georgia" w:hAnsi="Georgia" w:cs="Arial"/>
          <w:lang w:val="es-419"/>
        </w:rPr>
        <w:t xml:space="preserve">cusa por la inasistencia a la audiencia de instrucción y juzgamiento </w:t>
      </w:r>
      <w:r w:rsidRPr="00C60A4D">
        <w:rPr>
          <w:rFonts w:ascii="Georgia" w:hAnsi="Georgia" w:cs="Arial"/>
          <w:sz w:val="22"/>
          <w:lang w:val="es-419"/>
        </w:rPr>
        <w:t>(Folio 7, hecho 40 del libelo, este cuaderno)</w:t>
      </w:r>
      <w:r w:rsidRPr="00C60A4D">
        <w:rPr>
          <w:rFonts w:ascii="Georgia" w:hAnsi="Georgia" w:cs="Arial"/>
          <w:lang w:val="es-419"/>
        </w:rPr>
        <w:t>, en la medida que la acción de tutela debe interponerse dentro de un término razonable y cercano a la circunstancia que ha causado la amenaza o vulneración de los derechos fundamentales respecto de los cuales se reclama la protección constitucional</w:t>
      </w:r>
      <w:r w:rsidRPr="00C60A4D">
        <w:rPr>
          <w:rFonts w:ascii="Georgia" w:hAnsi="Georgia" w:cs="Arial"/>
          <w:vertAlign w:val="superscript"/>
          <w:lang w:val="es-419"/>
        </w:rPr>
        <w:footnoteReference w:id="14"/>
      </w:r>
      <w:r w:rsidRPr="00C60A4D">
        <w:rPr>
          <w:rFonts w:ascii="Georgia" w:hAnsi="Georgia" w:cs="Arial"/>
          <w:lang w:val="es-419"/>
        </w:rPr>
        <w:t>.</w:t>
      </w:r>
    </w:p>
    <w:p w:rsidR="00954898" w:rsidRPr="009F64BD" w:rsidRDefault="00954898" w:rsidP="009F64BD">
      <w:pPr>
        <w:pStyle w:val="Textoindependiente"/>
        <w:spacing w:line="288" w:lineRule="auto"/>
        <w:rPr>
          <w:rFonts w:ascii="Georgia" w:hAnsi="Georgia"/>
          <w:sz w:val="22"/>
          <w:szCs w:val="24"/>
          <w:lang w:val="es-419"/>
        </w:rPr>
      </w:pPr>
    </w:p>
    <w:p w:rsidR="006031C1" w:rsidRPr="00C60A4D" w:rsidRDefault="00954898" w:rsidP="00C60A4D">
      <w:pPr>
        <w:pStyle w:val="Textoindependiente"/>
        <w:spacing w:line="288" w:lineRule="auto"/>
        <w:rPr>
          <w:rFonts w:ascii="Georgia" w:hAnsi="Georgia"/>
          <w:sz w:val="22"/>
          <w:szCs w:val="24"/>
          <w:lang w:val="es-419"/>
        </w:rPr>
      </w:pPr>
      <w:r w:rsidRPr="00C60A4D">
        <w:rPr>
          <w:rFonts w:ascii="Georgia" w:hAnsi="Georgia"/>
          <w:szCs w:val="24"/>
          <w:lang w:val="es-419"/>
        </w:rPr>
        <w:t>Sin mayor análisis esta Corporación advierte incumplido dicho presupuesto porque la promoción del amparo desbordó el plazo de los seis (6) meses fijado por la jurisprudencia constitucional como razonable para ejercitar este mecanismo constitucional</w:t>
      </w:r>
      <w:r w:rsidRPr="00C60A4D">
        <w:rPr>
          <w:rStyle w:val="Refdenotaalpie"/>
          <w:rFonts w:ascii="Georgia" w:hAnsi="Georgia" w:cs="Calibri"/>
          <w:lang w:val="es-419"/>
        </w:rPr>
        <w:footnoteReference w:id="15"/>
      </w:r>
      <w:r w:rsidRPr="00C60A4D">
        <w:rPr>
          <w:rFonts w:ascii="Georgia" w:hAnsi="Georgia"/>
          <w:szCs w:val="24"/>
          <w:lang w:val="es-419"/>
        </w:rPr>
        <w:t xml:space="preserve">. En efecto, han pasado, aproximadamente, once (11) meses contados desde la fecha en que se radicó dicha petición </w:t>
      </w:r>
      <w:r w:rsidRPr="00C60A4D">
        <w:rPr>
          <w:rFonts w:ascii="Georgia" w:hAnsi="Georgia"/>
          <w:sz w:val="22"/>
          <w:szCs w:val="24"/>
          <w:lang w:val="es-419"/>
        </w:rPr>
        <w:t xml:space="preserve">(03-04-2018) (Folio 32, cuaderno principal digitalizado del disco visible a folio 7, vuelto, este cuaderno). </w:t>
      </w:r>
    </w:p>
    <w:p w:rsidR="006031C1" w:rsidRPr="00C60A4D" w:rsidRDefault="006031C1" w:rsidP="00C60A4D">
      <w:pPr>
        <w:pStyle w:val="Textoindependiente"/>
        <w:spacing w:line="288" w:lineRule="auto"/>
        <w:rPr>
          <w:rFonts w:ascii="Georgia" w:hAnsi="Georgia"/>
          <w:sz w:val="22"/>
          <w:szCs w:val="24"/>
          <w:lang w:val="es-419"/>
        </w:rPr>
      </w:pPr>
    </w:p>
    <w:p w:rsidR="006031C1" w:rsidRPr="00C60A4D" w:rsidRDefault="006031C1" w:rsidP="00C60A4D">
      <w:pPr>
        <w:pStyle w:val="Textoindependiente"/>
        <w:spacing w:line="288" w:lineRule="auto"/>
        <w:rPr>
          <w:rFonts w:ascii="Georgia" w:hAnsi="Georgia"/>
          <w:szCs w:val="22"/>
          <w:lang w:val="es-419"/>
        </w:rPr>
      </w:pPr>
      <w:r w:rsidRPr="00C60A4D">
        <w:rPr>
          <w:rFonts w:ascii="Georgia" w:hAnsi="Georgia"/>
          <w:lang w:val="es-419"/>
        </w:rPr>
        <w:t>Este examen debe ser más estricto y riguroso en torno a la tutela frente a providencias judiciales</w:t>
      </w:r>
      <w:r w:rsidRPr="00C60A4D">
        <w:rPr>
          <w:rStyle w:val="Refdenotaalpie"/>
          <w:rFonts w:ascii="Georgia" w:hAnsi="Georgia"/>
          <w:lang w:val="es-419"/>
        </w:rPr>
        <w:footnoteReference w:id="16"/>
      </w:r>
      <w:r w:rsidRPr="00C60A4D">
        <w:rPr>
          <w:rFonts w:ascii="Georgia" w:hAnsi="Georgia"/>
          <w:lang w:val="es-419"/>
        </w:rPr>
        <w:t xml:space="preserve">: </w:t>
      </w:r>
      <w:r w:rsidRPr="00C60A4D">
        <w:rPr>
          <w:rFonts w:ascii="Georgia" w:hAnsi="Georgia"/>
          <w:i/>
          <w:sz w:val="22"/>
          <w:szCs w:val="22"/>
          <w:lang w:val="es-419"/>
        </w:rPr>
        <w:t>(…) pues con una eventual orden de amparo se estarían comprometiendo el principio de seguridad jurídica, la garantía de la cosa juzgada, así como la presunción de acierto con la que están  revestidas  las  providencias  judiciales (…)”</w:t>
      </w:r>
      <w:r w:rsidRPr="00C60A4D">
        <w:rPr>
          <w:rFonts w:ascii="Georgia" w:hAnsi="Georgia"/>
          <w:sz w:val="22"/>
          <w:szCs w:val="28"/>
          <w:vertAlign w:val="superscript"/>
          <w:lang w:val="es-419"/>
        </w:rPr>
        <w:footnoteReference w:id="17"/>
      </w:r>
      <w:r w:rsidRPr="00C60A4D">
        <w:rPr>
          <w:rFonts w:ascii="Georgia" w:hAnsi="Georgia"/>
          <w:sz w:val="28"/>
          <w:szCs w:val="28"/>
          <w:lang w:val="es-419"/>
        </w:rPr>
        <w:t xml:space="preserve">;  </w:t>
      </w:r>
      <w:r w:rsidRPr="00C60A4D">
        <w:rPr>
          <w:rFonts w:ascii="Georgia" w:hAnsi="Georgia"/>
          <w:lang w:val="es-419"/>
        </w:rPr>
        <w:t>y  también  porque</w:t>
      </w:r>
      <w:r w:rsidRPr="00C60A4D">
        <w:rPr>
          <w:rFonts w:ascii="Georgia" w:hAnsi="Georgia"/>
          <w:sz w:val="28"/>
          <w:szCs w:val="28"/>
          <w:lang w:val="es-419"/>
        </w:rPr>
        <w:t xml:space="preserve">  </w:t>
      </w:r>
      <w:r w:rsidRPr="00C60A4D">
        <w:rPr>
          <w:rFonts w:ascii="Georgia" w:hAnsi="Georgia"/>
          <w:i/>
          <w:sz w:val="22"/>
          <w:szCs w:val="28"/>
          <w:lang w:val="es-419"/>
        </w:rPr>
        <w:t>“</w:t>
      </w:r>
      <w:r w:rsidRPr="00C60A4D">
        <w:rPr>
          <w:rFonts w:ascii="Georgia" w:hAnsi="Georgia"/>
          <w:i/>
          <w:sz w:val="22"/>
          <w:szCs w:val="22"/>
          <w:lang w:val="es-419"/>
        </w:rPr>
        <w:t>(…)  el  paso  del  tiempo reafirma la legitimidad de las decisiones judiciales y consolida los efectos de las sentencias (…)”</w:t>
      </w:r>
      <w:r w:rsidRPr="00C60A4D">
        <w:rPr>
          <w:rFonts w:ascii="Georgia" w:hAnsi="Georgia"/>
          <w:sz w:val="22"/>
          <w:szCs w:val="22"/>
          <w:vertAlign w:val="superscript"/>
          <w:lang w:val="es-419"/>
        </w:rPr>
        <w:footnoteReference w:id="18"/>
      </w:r>
      <w:r w:rsidRPr="00C60A4D">
        <w:rPr>
          <w:rFonts w:ascii="Georgia" w:hAnsi="Georgia"/>
          <w:i/>
          <w:sz w:val="22"/>
          <w:szCs w:val="22"/>
          <w:lang w:val="es-419"/>
        </w:rPr>
        <w:t xml:space="preserve">, </w:t>
      </w:r>
      <w:r w:rsidRPr="00C60A4D">
        <w:rPr>
          <w:rFonts w:ascii="Georgia" w:hAnsi="Georgia"/>
          <w:szCs w:val="22"/>
          <w:lang w:val="es-419"/>
        </w:rPr>
        <w:t>según reiterada y reciente doctrina constitucional (2019). Criterio acogido por esta Sala en variadas decisiones</w:t>
      </w:r>
      <w:r w:rsidRPr="00C60A4D">
        <w:rPr>
          <w:rStyle w:val="Refdenotaalpie"/>
          <w:rFonts w:ascii="Georgia" w:hAnsi="Georgia"/>
          <w:szCs w:val="22"/>
          <w:lang w:val="es-419"/>
        </w:rPr>
        <w:footnoteReference w:id="19"/>
      </w:r>
      <w:r w:rsidRPr="00C60A4D">
        <w:rPr>
          <w:rFonts w:ascii="Georgia" w:hAnsi="Georgia"/>
          <w:szCs w:val="22"/>
          <w:lang w:val="es-419"/>
        </w:rPr>
        <w:t xml:space="preserve">. </w:t>
      </w:r>
    </w:p>
    <w:p w:rsidR="006031C1" w:rsidRPr="009F64BD" w:rsidRDefault="006031C1" w:rsidP="00C60A4D">
      <w:pPr>
        <w:pStyle w:val="Textoindependiente"/>
        <w:spacing w:line="288" w:lineRule="auto"/>
        <w:rPr>
          <w:rFonts w:ascii="Georgia" w:hAnsi="Georgia"/>
          <w:sz w:val="22"/>
          <w:szCs w:val="24"/>
          <w:lang w:val="es-419"/>
        </w:rPr>
      </w:pPr>
    </w:p>
    <w:p w:rsidR="00954898" w:rsidRPr="00C60A4D" w:rsidRDefault="00954898" w:rsidP="00C60A4D">
      <w:pPr>
        <w:pStyle w:val="Textoindependiente"/>
        <w:spacing w:line="288" w:lineRule="auto"/>
        <w:rPr>
          <w:rFonts w:ascii="Georgia" w:hAnsi="Georgia"/>
          <w:szCs w:val="24"/>
          <w:lang w:val="es-419"/>
        </w:rPr>
      </w:pPr>
      <w:r w:rsidRPr="00C60A4D">
        <w:rPr>
          <w:rFonts w:ascii="Georgia" w:hAnsi="Georgia"/>
          <w:szCs w:val="24"/>
          <w:lang w:val="es-419"/>
        </w:rPr>
        <w:t>Se precisa advertir que la contabilización se hace a partir de ese día porque el proceso carece de actuación alguna que lo haya decidido, sin que sea dable efectuar el análisis de fondo por una posible mora judicial, atendida la evidente improcedencia del amparo.</w:t>
      </w:r>
    </w:p>
    <w:p w:rsidR="00954898" w:rsidRPr="00C60A4D" w:rsidRDefault="00954898" w:rsidP="00C60A4D">
      <w:pPr>
        <w:pStyle w:val="Textoindependiente"/>
        <w:widowControl w:val="0"/>
        <w:spacing w:line="288" w:lineRule="auto"/>
        <w:rPr>
          <w:rFonts w:ascii="Georgia" w:hAnsi="Georgia" w:cs="Arial"/>
          <w:szCs w:val="24"/>
          <w:lang w:val="es-419"/>
        </w:rPr>
      </w:pPr>
      <w:r w:rsidRPr="00C60A4D">
        <w:rPr>
          <w:rFonts w:ascii="Georgia" w:hAnsi="Georgia" w:cs="Arial"/>
          <w:szCs w:val="24"/>
          <w:lang w:val="es-419"/>
        </w:rPr>
        <w:t xml:space="preserve">7.2. </w:t>
      </w:r>
      <w:r w:rsidR="00D27F77" w:rsidRPr="00C60A4D">
        <w:rPr>
          <w:rFonts w:ascii="Georgia" w:hAnsi="Georgia" w:cs="Arial"/>
          <w:smallCaps/>
          <w:szCs w:val="24"/>
          <w:lang w:val="es-419"/>
        </w:rPr>
        <w:t>El sistema informativo siglo XXI</w:t>
      </w:r>
    </w:p>
    <w:p w:rsidR="00D27F77" w:rsidRPr="009F64BD" w:rsidRDefault="00D27F77" w:rsidP="009F64BD">
      <w:pPr>
        <w:pStyle w:val="Textoindependiente"/>
        <w:spacing w:line="288" w:lineRule="auto"/>
        <w:rPr>
          <w:rFonts w:ascii="Georgia" w:hAnsi="Georgia"/>
          <w:sz w:val="22"/>
          <w:szCs w:val="24"/>
          <w:lang w:val="es-419"/>
        </w:rPr>
      </w:pPr>
    </w:p>
    <w:p w:rsidR="00954898" w:rsidRPr="00C60A4D" w:rsidRDefault="00D27F77" w:rsidP="00C60A4D">
      <w:pPr>
        <w:pStyle w:val="Textoindependiente"/>
        <w:widowControl w:val="0"/>
        <w:spacing w:line="288" w:lineRule="auto"/>
        <w:rPr>
          <w:rFonts w:ascii="Georgia" w:hAnsi="Georgia" w:cs="Arial"/>
          <w:szCs w:val="24"/>
          <w:lang w:val="es-419"/>
        </w:rPr>
      </w:pPr>
      <w:r w:rsidRPr="00C60A4D">
        <w:rPr>
          <w:rFonts w:ascii="Georgia" w:hAnsi="Georgia" w:cs="Arial"/>
          <w:szCs w:val="24"/>
          <w:lang w:val="es-419"/>
        </w:rPr>
        <w:t>Diferente es con relación a la alegación centrada en la falta de anotaciones en sistema informativo judicial, pues la magistratura halla cumplidos los presupuestos reseñados</w:t>
      </w:r>
      <w:r w:rsidR="00954898" w:rsidRPr="00C60A4D">
        <w:rPr>
          <w:rFonts w:ascii="Georgia" w:hAnsi="Georgia" w:cs="Arial"/>
          <w:szCs w:val="24"/>
          <w:lang w:val="es-419"/>
        </w:rPr>
        <w:t>.</w:t>
      </w:r>
    </w:p>
    <w:p w:rsidR="00801246" w:rsidRPr="009F64BD" w:rsidRDefault="00801246" w:rsidP="009F64BD">
      <w:pPr>
        <w:pStyle w:val="Textoindependiente"/>
        <w:spacing w:line="288" w:lineRule="auto"/>
        <w:rPr>
          <w:rFonts w:ascii="Georgia" w:hAnsi="Georgia"/>
          <w:sz w:val="22"/>
          <w:szCs w:val="24"/>
          <w:lang w:val="es-419"/>
        </w:rPr>
      </w:pPr>
    </w:p>
    <w:p w:rsidR="00954898" w:rsidRPr="00C60A4D" w:rsidRDefault="00D27F77" w:rsidP="00C60A4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ind w:right="51"/>
        <w:jc w:val="both"/>
        <w:textAlignment w:val="baseline"/>
        <w:rPr>
          <w:rFonts w:ascii="Georgia" w:hAnsi="Georgia" w:cs="Arial"/>
          <w:spacing w:val="-3"/>
          <w:lang w:val="es-419"/>
        </w:rPr>
      </w:pPr>
      <w:r w:rsidRPr="00C60A4D">
        <w:rPr>
          <w:rFonts w:ascii="Georgia" w:hAnsi="Georgia"/>
          <w:szCs w:val="22"/>
          <w:lang w:val="es-419"/>
        </w:rPr>
        <w:t>E</w:t>
      </w:r>
      <w:r w:rsidR="00954898" w:rsidRPr="00C60A4D">
        <w:rPr>
          <w:rFonts w:ascii="Georgia" w:hAnsi="Georgia"/>
          <w:szCs w:val="22"/>
          <w:lang w:val="es-419"/>
        </w:rPr>
        <w:t xml:space="preserve">l asunto es de relevancia constitucional con ocasión del derecho </w:t>
      </w:r>
      <w:r w:rsidRPr="00C60A4D">
        <w:rPr>
          <w:rFonts w:ascii="Georgia" w:hAnsi="Georgia"/>
          <w:szCs w:val="22"/>
          <w:lang w:val="es-419"/>
        </w:rPr>
        <w:t>al debido proceso invocado</w:t>
      </w:r>
      <w:r w:rsidR="00954898" w:rsidRPr="00C60A4D">
        <w:rPr>
          <w:rFonts w:ascii="Georgia" w:hAnsi="Georgia"/>
          <w:szCs w:val="22"/>
          <w:lang w:val="es-419"/>
        </w:rPr>
        <w:t>;</w:t>
      </w:r>
      <w:r w:rsidR="00954898" w:rsidRPr="00C60A4D">
        <w:rPr>
          <w:rFonts w:ascii="Georgia" w:hAnsi="Georgia"/>
          <w:lang w:val="es-419"/>
        </w:rPr>
        <w:t xml:space="preserve"> la</w:t>
      </w:r>
      <w:r w:rsidRPr="00C60A4D">
        <w:rPr>
          <w:rFonts w:ascii="Georgia" w:hAnsi="Georgia"/>
          <w:lang w:val="es-419"/>
        </w:rPr>
        <w:t xml:space="preserve"> providencia cuestionada no es de tutela</w:t>
      </w:r>
      <w:r w:rsidR="00954898" w:rsidRPr="00C60A4D">
        <w:rPr>
          <w:rFonts w:ascii="Georgia" w:hAnsi="Georgia"/>
          <w:lang w:val="es-419"/>
        </w:rPr>
        <w:t>;</w:t>
      </w:r>
      <w:r w:rsidR="00954898" w:rsidRPr="00C60A4D">
        <w:rPr>
          <w:rFonts w:ascii="Georgia" w:hAnsi="Georgia"/>
          <w:szCs w:val="22"/>
          <w:lang w:val="es-419"/>
        </w:rPr>
        <w:t xml:space="preserve"> hay inmediate</w:t>
      </w:r>
      <w:r w:rsidR="00954898" w:rsidRPr="00C60A4D">
        <w:rPr>
          <w:rFonts w:ascii="Georgia" w:hAnsi="Georgia" w:cs="Times New Roman"/>
          <w:spacing w:val="-3"/>
          <w:lang w:val="es-419"/>
        </w:rPr>
        <w:t>z</w:t>
      </w:r>
      <w:r w:rsidR="00954898" w:rsidRPr="00C60A4D">
        <w:rPr>
          <w:rStyle w:val="Refdenotaalpie"/>
          <w:rFonts w:ascii="Georgia" w:hAnsi="Georgia" w:cs="Arial"/>
          <w:lang w:val="es-419"/>
        </w:rPr>
        <w:footnoteReference w:id="20"/>
      </w:r>
      <w:r w:rsidR="00954898" w:rsidRPr="00C60A4D">
        <w:rPr>
          <w:rFonts w:ascii="Georgia" w:hAnsi="Georgia" w:cs="Times New Roman"/>
          <w:spacing w:val="-3"/>
          <w:lang w:val="es-419"/>
        </w:rPr>
        <w:t>,</w:t>
      </w:r>
      <w:r w:rsidR="00954898" w:rsidRPr="00C60A4D">
        <w:rPr>
          <w:rFonts w:ascii="Georgia" w:hAnsi="Georgia"/>
          <w:szCs w:val="22"/>
          <w:lang w:val="es-419"/>
        </w:rPr>
        <w:t xml:space="preserve"> porque </w:t>
      </w:r>
      <w:r w:rsidRPr="00C60A4D">
        <w:rPr>
          <w:rFonts w:ascii="Georgia" w:hAnsi="Georgia"/>
          <w:szCs w:val="22"/>
          <w:lang w:val="es-419"/>
        </w:rPr>
        <w:t xml:space="preserve">el auto que desató la reposición formulada contra la </w:t>
      </w:r>
      <w:r w:rsidR="00044181" w:rsidRPr="00C60A4D">
        <w:rPr>
          <w:rFonts w:ascii="Georgia" w:hAnsi="Georgia"/>
          <w:szCs w:val="22"/>
          <w:lang w:val="es-419"/>
        </w:rPr>
        <w:t>decisión</w:t>
      </w:r>
      <w:r w:rsidRPr="00C60A4D">
        <w:rPr>
          <w:rFonts w:ascii="Georgia" w:hAnsi="Georgia"/>
          <w:szCs w:val="22"/>
          <w:lang w:val="es-419"/>
        </w:rPr>
        <w:t xml:space="preserve"> que desestimó las nulidades </w:t>
      </w:r>
      <w:r w:rsidR="00044181" w:rsidRPr="00C60A4D">
        <w:rPr>
          <w:rFonts w:ascii="Georgia" w:hAnsi="Georgia"/>
          <w:szCs w:val="22"/>
          <w:lang w:val="es-419"/>
        </w:rPr>
        <w:t>propuestas</w:t>
      </w:r>
      <w:r w:rsidRPr="00C60A4D">
        <w:rPr>
          <w:rFonts w:ascii="Georgia" w:hAnsi="Georgia"/>
          <w:szCs w:val="22"/>
          <w:lang w:val="es-419"/>
        </w:rPr>
        <w:t xml:space="preserve"> es del 15</w:t>
      </w:r>
      <w:r w:rsidR="00954898" w:rsidRPr="00C60A4D">
        <w:rPr>
          <w:rFonts w:ascii="Georgia" w:hAnsi="Georgia"/>
          <w:szCs w:val="22"/>
          <w:lang w:val="es-419"/>
        </w:rPr>
        <w:t xml:space="preserve">-01-2019 </w:t>
      </w:r>
      <w:r w:rsidR="00954898" w:rsidRPr="00C60A4D">
        <w:rPr>
          <w:rFonts w:ascii="Georgia" w:hAnsi="Georgia"/>
          <w:sz w:val="22"/>
          <w:szCs w:val="22"/>
          <w:lang w:val="es-419"/>
        </w:rPr>
        <w:t xml:space="preserve">(Folios </w:t>
      </w:r>
      <w:r w:rsidRPr="00C60A4D">
        <w:rPr>
          <w:rFonts w:ascii="Georgia" w:hAnsi="Georgia"/>
          <w:sz w:val="22"/>
          <w:szCs w:val="22"/>
          <w:lang w:val="es-419"/>
        </w:rPr>
        <w:t>43-45, cuaderno del incidente de nulidad digitalizado del disco compacto, ibídem</w:t>
      </w:r>
      <w:r w:rsidR="00954898" w:rsidRPr="00C60A4D">
        <w:rPr>
          <w:rFonts w:ascii="Georgia" w:hAnsi="Georgia"/>
          <w:sz w:val="22"/>
          <w:szCs w:val="22"/>
          <w:lang w:val="es-419"/>
        </w:rPr>
        <w:t>)</w:t>
      </w:r>
      <w:r w:rsidR="00954898" w:rsidRPr="00C60A4D">
        <w:rPr>
          <w:rFonts w:ascii="Georgia" w:hAnsi="Georgia"/>
          <w:szCs w:val="22"/>
          <w:lang w:val="es-419"/>
        </w:rPr>
        <w:t xml:space="preserve"> y la acción de tutela se interpuso el </w:t>
      </w:r>
      <w:r w:rsidRPr="00C60A4D">
        <w:rPr>
          <w:rFonts w:ascii="Georgia" w:hAnsi="Georgia"/>
          <w:szCs w:val="22"/>
          <w:lang w:val="es-419"/>
        </w:rPr>
        <w:t xml:space="preserve">12-03-2019 </w:t>
      </w:r>
      <w:r w:rsidR="00954898" w:rsidRPr="00C60A4D">
        <w:rPr>
          <w:rFonts w:ascii="Georgia" w:hAnsi="Georgia"/>
          <w:sz w:val="22"/>
          <w:szCs w:val="22"/>
          <w:lang w:val="es-419"/>
        </w:rPr>
        <w:t xml:space="preserve">(Folio </w:t>
      </w:r>
      <w:r w:rsidRPr="00C60A4D">
        <w:rPr>
          <w:rFonts w:ascii="Georgia" w:hAnsi="Georgia"/>
          <w:sz w:val="22"/>
          <w:szCs w:val="22"/>
          <w:lang w:val="es-419"/>
        </w:rPr>
        <w:t>9</w:t>
      </w:r>
      <w:r w:rsidR="00954898" w:rsidRPr="00C60A4D">
        <w:rPr>
          <w:rFonts w:ascii="Georgia" w:hAnsi="Georgia"/>
          <w:sz w:val="22"/>
          <w:szCs w:val="22"/>
          <w:lang w:val="es-419"/>
        </w:rPr>
        <w:t xml:space="preserve">, </w:t>
      </w:r>
      <w:r w:rsidRPr="00C60A4D">
        <w:rPr>
          <w:rFonts w:ascii="Georgia" w:hAnsi="Georgia"/>
          <w:sz w:val="22"/>
          <w:szCs w:val="22"/>
          <w:lang w:val="es-419"/>
        </w:rPr>
        <w:t>ib.</w:t>
      </w:r>
      <w:r w:rsidR="00954898" w:rsidRPr="00C60A4D">
        <w:rPr>
          <w:rFonts w:ascii="Georgia" w:hAnsi="Georgia"/>
          <w:sz w:val="22"/>
          <w:szCs w:val="22"/>
          <w:lang w:val="es-419"/>
        </w:rPr>
        <w:t>)</w:t>
      </w:r>
      <w:r w:rsidR="00954898" w:rsidRPr="00C60A4D">
        <w:rPr>
          <w:rFonts w:ascii="Georgia" w:hAnsi="Georgia"/>
          <w:szCs w:val="22"/>
          <w:lang w:val="es-419"/>
        </w:rPr>
        <w:t xml:space="preserve">; </w:t>
      </w:r>
      <w:r w:rsidRPr="00C60A4D">
        <w:rPr>
          <w:rFonts w:ascii="Georgia" w:hAnsi="Georgia"/>
          <w:szCs w:val="22"/>
          <w:lang w:val="es-419"/>
        </w:rPr>
        <w:t xml:space="preserve">se agotó el </w:t>
      </w:r>
      <w:r w:rsidR="00044181" w:rsidRPr="00C60A4D">
        <w:rPr>
          <w:rFonts w:ascii="Georgia" w:hAnsi="Georgia"/>
          <w:szCs w:val="22"/>
          <w:lang w:val="es-419"/>
        </w:rPr>
        <w:t xml:space="preserve">único </w:t>
      </w:r>
      <w:r w:rsidRPr="00C60A4D">
        <w:rPr>
          <w:rFonts w:ascii="Georgia" w:hAnsi="Georgia"/>
          <w:szCs w:val="22"/>
          <w:lang w:val="es-419"/>
        </w:rPr>
        <w:t>mecanismo ordinario procedente</w:t>
      </w:r>
      <w:r w:rsidR="009D59CE" w:rsidRPr="00C60A4D">
        <w:rPr>
          <w:rFonts w:ascii="Georgia" w:hAnsi="Georgia"/>
          <w:szCs w:val="22"/>
          <w:lang w:val="es-419"/>
        </w:rPr>
        <w:t xml:space="preserve"> (Artículo 138, CGP)</w:t>
      </w:r>
      <w:r w:rsidRPr="00C60A4D">
        <w:rPr>
          <w:rFonts w:ascii="Georgia" w:hAnsi="Georgia"/>
          <w:szCs w:val="22"/>
          <w:lang w:val="es-419"/>
        </w:rPr>
        <w:t xml:space="preserve">; </w:t>
      </w:r>
      <w:r w:rsidR="00954898" w:rsidRPr="00C60A4D">
        <w:rPr>
          <w:rFonts w:ascii="Georgia" w:hAnsi="Georgia"/>
          <w:szCs w:val="22"/>
          <w:lang w:val="es-419"/>
        </w:rPr>
        <w:t>la irregularidad realzada por la parte, resulta ser trascendente para el desarrollo de la ejecución</w:t>
      </w:r>
      <w:r w:rsidR="00954898" w:rsidRPr="00C60A4D">
        <w:rPr>
          <w:rFonts w:ascii="Georgia" w:hAnsi="Georgia" w:cs="Arial"/>
          <w:spacing w:val="-3"/>
          <w:lang w:val="es-419"/>
        </w:rPr>
        <w:t>; y se identificaron los hechos generadores de la vulneración.</w:t>
      </w:r>
    </w:p>
    <w:p w:rsidR="00954898" w:rsidRPr="009F64BD" w:rsidRDefault="00954898" w:rsidP="009F64BD">
      <w:pPr>
        <w:pStyle w:val="Textoindependiente"/>
        <w:spacing w:line="288" w:lineRule="auto"/>
        <w:rPr>
          <w:rFonts w:ascii="Georgia" w:hAnsi="Georgia"/>
          <w:sz w:val="22"/>
          <w:szCs w:val="24"/>
          <w:lang w:val="es-419"/>
        </w:rPr>
      </w:pPr>
    </w:p>
    <w:p w:rsidR="00000B01" w:rsidRPr="00C60A4D" w:rsidRDefault="00954898" w:rsidP="00C60A4D">
      <w:pPr>
        <w:widowControl/>
        <w:spacing w:line="288" w:lineRule="auto"/>
        <w:jc w:val="both"/>
        <w:rPr>
          <w:rFonts w:ascii="Georgia" w:hAnsi="Georgia" w:cs="Arial"/>
          <w:lang w:val="es-419"/>
        </w:rPr>
      </w:pPr>
      <w:r w:rsidRPr="00C60A4D">
        <w:rPr>
          <w:rFonts w:ascii="Georgia" w:hAnsi="Georgia" w:cs="Arial"/>
          <w:lang w:val="es-419"/>
        </w:rPr>
        <w:t xml:space="preserve">Ahora, incumbe proseguir con la revisión de las causales especiales y en el caso concreto se entiende que lo expuesto por </w:t>
      </w:r>
      <w:r w:rsidR="009D59CE" w:rsidRPr="00C60A4D">
        <w:rPr>
          <w:rFonts w:ascii="Georgia" w:hAnsi="Georgia" w:cs="Arial"/>
          <w:lang w:val="es-419"/>
        </w:rPr>
        <w:t>los</w:t>
      </w:r>
      <w:r w:rsidRPr="00C60A4D">
        <w:rPr>
          <w:rFonts w:ascii="Georgia" w:hAnsi="Georgia" w:cs="Arial"/>
          <w:lang w:val="es-419"/>
        </w:rPr>
        <w:t xml:space="preserve"> actor</w:t>
      </w:r>
      <w:r w:rsidR="009D59CE" w:rsidRPr="00C60A4D">
        <w:rPr>
          <w:rFonts w:ascii="Georgia" w:hAnsi="Georgia" w:cs="Arial"/>
          <w:lang w:val="es-419"/>
        </w:rPr>
        <w:t>es</w:t>
      </w:r>
      <w:r w:rsidRPr="00C60A4D">
        <w:rPr>
          <w:rFonts w:ascii="Georgia" w:hAnsi="Georgia" w:cs="Arial"/>
          <w:lang w:val="es-419"/>
        </w:rPr>
        <w:t xml:space="preserve"> alude </w:t>
      </w:r>
      <w:r w:rsidR="00D27F77" w:rsidRPr="00C60A4D">
        <w:rPr>
          <w:rFonts w:ascii="Georgia" w:hAnsi="Georgia" w:cs="Arial"/>
          <w:lang w:val="es-419"/>
        </w:rPr>
        <w:t xml:space="preserve">al </w:t>
      </w:r>
      <w:r w:rsidRPr="00C60A4D">
        <w:rPr>
          <w:rFonts w:ascii="Georgia" w:hAnsi="Georgia" w:cs="Arial"/>
          <w:lang w:val="es-419"/>
        </w:rPr>
        <w:t>defecto procedimental</w:t>
      </w:r>
      <w:r w:rsidR="00D27F77" w:rsidRPr="00C60A4D">
        <w:rPr>
          <w:rFonts w:ascii="Georgia" w:hAnsi="Georgia" w:cs="Arial"/>
          <w:lang w:val="es-419"/>
        </w:rPr>
        <w:t>, porque esgrime</w:t>
      </w:r>
      <w:r w:rsidR="009D59CE" w:rsidRPr="00C60A4D">
        <w:rPr>
          <w:rFonts w:ascii="Georgia" w:hAnsi="Georgia" w:cs="Arial"/>
          <w:lang w:val="es-419"/>
        </w:rPr>
        <w:t>n</w:t>
      </w:r>
      <w:r w:rsidR="00D27F77" w:rsidRPr="00C60A4D">
        <w:rPr>
          <w:rFonts w:ascii="Georgia" w:hAnsi="Georgia" w:cs="Arial"/>
          <w:lang w:val="es-419"/>
        </w:rPr>
        <w:t xml:space="preserve"> la </w:t>
      </w:r>
      <w:r w:rsidR="00166428" w:rsidRPr="00C60A4D">
        <w:rPr>
          <w:rFonts w:ascii="Georgia" w:hAnsi="Georgia" w:cs="Arial"/>
          <w:lang w:val="es-419"/>
        </w:rPr>
        <w:t>violación</w:t>
      </w:r>
      <w:r w:rsidR="00D27F77" w:rsidRPr="00C60A4D">
        <w:rPr>
          <w:rFonts w:ascii="Georgia" w:hAnsi="Georgia" w:cs="Arial"/>
          <w:lang w:val="es-419"/>
        </w:rPr>
        <w:t xml:space="preserve"> de</w:t>
      </w:r>
      <w:r w:rsidR="00000B01" w:rsidRPr="00C60A4D">
        <w:rPr>
          <w:rFonts w:ascii="Georgia" w:hAnsi="Georgia" w:cs="Arial"/>
          <w:lang w:val="es-419"/>
        </w:rPr>
        <w:t xml:space="preserve"> los</w:t>
      </w:r>
      <w:r w:rsidR="00D27F77" w:rsidRPr="00C60A4D">
        <w:rPr>
          <w:rFonts w:ascii="Georgia" w:hAnsi="Georgia" w:cs="Arial"/>
          <w:lang w:val="es-419"/>
        </w:rPr>
        <w:t xml:space="preserve"> derecho</w:t>
      </w:r>
      <w:r w:rsidR="00000B01" w:rsidRPr="00C60A4D">
        <w:rPr>
          <w:rFonts w:ascii="Georgia" w:hAnsi="Georgia" w:cs="Arial"/>
          <w:lang w:val="es-419"/>
        </w:rPr>
        <w:t>s</w:t>
      </w:r>
      <w:r w:rsidR="00D27F77" w:rsidRPr="00C60A4D">
        <w:rPr>
          <w:rFonts w:ascii="Georgia" w:hAnsi="Georgia" w:cs="Arial"/>
          <w:lang w:val="es-419"/>
        </w:rPr>
        <w:t xml:space="preserve"> por </w:t>
      </w:r>
      <w:r w:rsidR="009D59CE" w:rsidRPr="00C60A4D">
        <w:rPr>
          <w:rFonts w:ascii="Georgia" w:hAnsi="Georgia" w:cs="Arial"/>
          <w:lang w:val="es-419"/>
        </w:rPr>
        <w:t>una</w:t>
      </w:r>
      <w:r w:rsidR="00D27F77" w:rsidRPr="00C60A4D">
        <w:rPr>
          <w:rFonts w:ascii="Georgia" w:hAnsi="Georgia" w:cs="Arial"/>
          <w:lang w:val="es-419"/>
        </w:rPr>
        <w:t xml:space="preserve"> </w:t>
      </w:r>
      <w:r w:rsidR="00000B01" w:rsidRPr="00C60A4D">
        <w:rPr>
          <w:rFonts w:ascii="Georgia" w:hAnsi="Georgia" w:cs="Arial"/>
          <w:lang w:val="es-419"/>
        </w:rPr>
        <w:t>supuesta indebida notificación en la página web siglo XXI de las providencias</w:t>
      </w:r>
      <w:r w:rsidR="00166428" w:rsidRPr="00C60A4D">
        <w:rPr>
          <w:rFonts w:ascii="Georgia" w:hAnsi="Georgia" w:cs="Arial"/>
          <w:lang w:val="es-419"/>
        </w:rPr>
        <w:t>,</w:t>
      </w:r>
      <w:r w:rsidR="00000B01" w:rsidRPr="00C60A4D">
        <w:rPr>
          <w:rFonts w:ascii="Georgia" w:hAnsi="Georgia" w:cs="Arial"/>
          <w:lang w:val="es-419"/>
        </w:rPr>
        <w:t xml:space="preserve"> que en su orden</w:t>
      </w:r>
      <w:r w:rsidR="00166428" w:rsidRPr="00C60A4D">
        <w:rPr>
          <w:rFonts w:ascii="Georgia" w:hAnsi="Georgia" w:cs="Arial"/>
          <w:lang w:val="es-419"/>
        </w:rPr>
        <w:t>,</w:t>
      </w:r>
      <w:r w:rsidR="00000B01" w:rsidRPr="00C60A4D">
        <w:rPr>
          <w:rFonts w:ascii="Georgia" w:hAnsi="Georgia" w:cs="Arial"/>
          <w:lang w:val="es-419"/>
        </w:rPr>
        <w:t xml:space="preserve"> decidieron sobre la renuncia al poder y la programación de la fecha para llevar a cabo la audiencia del artículo 392, CGP. </w:t>
      </w:r>
    </w:p>
    <w:p w:rsidR="00000B01" w:rsidRPr="009F64BD" w:rsidRDefault="00000B01" w:rsidP="009F64BD">
      <w:pPr>
        <w:pStyle w:val="Textoindependiente"/>
        <w:spacing w:line="288" w:lineRule="auto"/>
        <w:rPr>
          <w:rFonts w:ascii="Georgia" w:hAnsi="Georgia"/>
          <w:sz w:val="22"/>
          <w:szCs w:val="24"/>
          <w:lang w:val="es-419"/>
        </w:rPr>
      </w:pPr>
    </w:p>
    <w:p w:rsidR="00601004" w:rsidRPr="00C60A4D" w:rsidRDefault="00000B01" w:rsidP="00C60A4D">
      <w:pPr>
        <w:widowControl/>
        <w:spacing w:line="288" w:lineRule="auto"/>
        <w:jc w:val="both"/>
        <w:rPr>
          <w:rFonts w:ascii="Georgia" w:hAnsi="Georgia" w:cs="Arial"/>
          <w:lang w:val="es-419"/>
        </w:rPr>
      </w:pPr>
      <w:r w:rsidRPr="00C60A4D">
        <w:rPr>
          <w:rFonts w:ascii="Georgia" w:hAnsi="Georgia" w:cs="Arial"/>
          <w:lang w:val="es-419"/>
        </w:rPr>
        <w:t>Los interesados formularon incidente para que se declarara la nulidad de los actuaciones habida cuenta que</w:t>
      </w:r>
      <w:r w:rsidR="00166428" w:rsidRPr="00C60A4D">
        <w:rPr>
          <w:rFonts w:ascii="Georgia" w:hAnsi="Georgia" w:cs="Arial"/>
          <w:lang w:val="es-419"/>
        </w:rPr>
        <w:t>,</w:t>
      </w:r>
      <w:r w:rsidRPr="00C60A4D">
        <w:rPr>
          <w:rFonts w:ascii="Georgia" w:hAnsi="Georgia" w:cs="Arial"/>
          <w:lang w:val="es-419"/>
        </w:rPr>
        <w:t xml:space="preserve"> en su parecer</w:t>
      </w:r>
      <w:r w:rsidR="00166428" w:rsidRPr="00C60A4D">
        <w:rPr>
          <w:rFonts w:ascii="Georgia" w:hAnsi="Georgia" w:cs="Arial"/>
          <w:lang w:val="es-419"/>
        </w:rPr>
        <w:t>,</w:t>
      </w:r>
      <w:r w:rsidRPr="00C60A4D">
        <w:rPr>
          <w:rFonts w:ascii="Georgia" w:hAnsi="Georgia" w:cs="Arial"/>
          <w:lang w:val="es-419"/>
        </w:rPr>
        <w:t xml:space="preserve"> había</w:t>
      </w:r>
      <w:r w:rsidR="00E312AA" w:rsidRPr="00C60A4D">
        <w:rPr>
          <w:rFonts w:ascii="Georgia" w:hAnsi="Georgia" w:cs="Arial"/>
          <w:lang w:val="es-419"/>
        </w:rPr>
        <w:t>n</w:t>
      </w:r>
      <w:r w:rsidRPr="00C60A4D">
        <w:rPr>
          <w:rFonts w:ascii="Georgia" w:hAnsi="Georgia" w:cs="Arial"/>
          <w:lang w:val="es-419"/>
        </w:rPr>
        <w:t xml:space="preserve"> acaecido las causales 5ª, 6ª y 8ª del artículo 133, CGP, todas fundadas en la ausencia de anotaciones antedicha (Folios 5-10, ibídem).  Con auto del 11-10-2018 el </w:t>
      </w:r>
      <w:r w:rsidRPr="00C60A4D">
        <w:rPr>
          <w:rFonts w:ascii="Georgia" w:hAnsi="Georgia" w:cs="Arial"/>
          <w:i/>
          <w:lang w:val="es-419"/>
        </w:rPr>
        <w:t>a quo</w:t>
      </w:r>
      <w:r w:rsidRPr="00C60A4D">
        <w:rPr>
          <w:rFonts w:ascii="Georgia" w:hAnsi="Georgia" w:cs="Arial"/>
          <w:lang w:val="es-419"/>
        </w:rPr>
        <w:t xml:space="preserve"> las desestimó porque sí se decretaron y practicaron las pruebas solicitadas, se corrió el traslado para alegar y todas las providencias fueron notificadas por estado. Agregó que el juzgado de descongestión que conoció el asunto carecía del </w:t>
      </w:r>
      <w:r w:rsidRPr="00C60A4D">
        <w:rPr>
          <w:rFonts w:ascii="Georgia" w:hAnsi="Georgia" w:cs="Arial"/>
          <w:i/>
          <w:lang w:val="es-419"/>
        </w:rPr>
        <w:t>“software”</w:t>
      </w:r>
      <w:r w:rsidRPr="00C60A4D">
        <w:rPr>
          <w:rFonts w:ascii="Georgia" w:hAnsi="Georgia" w:cs="Arial"/>
          <w:lang w:val="es-419"/>
        </w:rPr>
        <w:t xml:space="preserve"> siglo XXI (Folios 14-18, ib.)</w:t>
      </w:r>
      <w:r w:rsidR="00601004" w:rsidRPr="00C60A4D">
        <w:rPr>
          <w:rFonts w:ascii="Georgia" w:hAnsi="Georgia" w:cs="Arial"/>
          <w:lang w:val="es-419"/>
        </w:rPr>
        <w:t>.</w:t>
      </w:r>
    </w:p>
    <w:p w:rsidR="00601004" w:rsidRPr="009F64BD" w:rsidRDefault="00601004" w:rsidP="009F64BD">
      <w:pPr>
        <w:pStyle w:val="Textoindependiente"/>
        <w:spacing w:line="288" w:lineRule="auto"/>
        <w:rPr>
          <w:rFonts w:ascii="Georgia" w:hAnsi="Georgia"/>
          <w:sz w:val="22"/>
          <w:szCs w:val="24"/>
          <w:lang w:val="es-419"/>
        </w:rPr>
      </w:pPr>
    </w:p>
    <w:p w:rsidR="00601004" w:rsidRPr="00C60A4D" w:rsidRDefault="00601004" w:rsidP="00C60A4D">
      <w:pPr>
        <w:widowControl/>
        <w:spacing w:line="288" w:lineRule="auto"/>
        <w:jc w:val="both"/>
        <w:rPr>
          <w:rFonts w:ascii="Georgia" w:hAnsi="Georgia" w:cs="Arial"/>
          <w:lang w:val="es-419"/>
        </w:rPr>
      </w:pPr>
      <w:r w:rsidRPr="00C60A4D">
        <w:rPr>
          <w:rFonts w:ascii="Georgia" w:hAnsi="Georgia" w:cs="Arial"/>
          <w:lang w:val="es-419"/>
        </w:rPr>
        <w:t>R</w:t>
      </w:r>
      <w:r w:rsidR="00000B01" w:rsidRPr="00C60A4D">
        <w:rPr>
          <w:rFonts w:ascii="Georgia" w:hAnsi="Georgia" w:cs="Arial"/>
          <w:lang w:val="es-419"/>
        </w:rPr>
        <w:t>ecurrido en reposición</w:t>
      </w:r>
      <w:r w:rsidR="00166428" w:rsidRPr="00C60A4D">
        <w:rPr>
          <w:rFonts w:ascii="Georgia" w:hAnsi="Georgia" w:cs="Arial"/>
          <w:lang w:val="es-419"/>
        </w:rPr>
        <w:t>,</w:t>
      </w:r>
      <w:r w:rsidR="009D59CE" w:rsidRPr="00C60A4D">
        <w:rPr>
          <w:rFonts w:ascii="Georgia" w:hAnsi="Georgia" w:cs="Arial"/>
          <w:lang w:val="es-419"/>
        </w:rPr>
        <w:t xml:space="preserve"> </w:t>
      </w:r>
      <w:r w:rsidR="00166428" w:rsidRPr="00C60A4D">
        <w:rPr>
          <w:rFonts w:ascii="Georgia" w:hAnsi="Georgia" w:cs="Arial"/>
          <w:lang w:val="es-419"/>
        </w:rPr>
        <w:t xml:space="preserve">se </w:t>
      </w:r>
      <w:r w:rsidR="00000B01" w:rsidRPr="00C60A4D">
        <w:rPr>
          <w:rFonts w:ascii="Georgia" w:hAnsi="Georgia" w:cs="Arial"/>
          <w:lang w:val="es-419"/>
        </w:rPr>
        <w:t xml:space="preserve">mantuvo incólume </w:t>
      </w:r>
      <w:r w:rsidR="00E312AA" w:rsidRPr="00C60A4D">
        <w:rPr>
          <w:rFonts w:ascii="Georgia" w:hAnsi="Georgia" w:cs="Arial"/>
          <w:lang w:val="es-419"/>
        </w:rPr>
        <w:t xml:space="preserve">con fundamento en </w:t>
      </w:r>
      <w:r w:rsidRPr="00C60A4D">
        <w:rPr>
          <w:rFonts w:ascii="Georgia" w:hAnsi="Georgia" w:cs="Arial"/>
          <w:lang w:val="es-419"/>
        </w:rPr>
        <w:t xml:space="preserve">jurisprudencia </w:t>
      </w:r>
      <w:r w:rsidR="00E312AA" w:rsidRPr="00C60A4D">
        <w:rPr>
          <w:rFonts w:ascii="Georgia" w:hAnsi="Georgia" w:cs="Arial"/>
          <w:lang w:val="es-419"/>
        </w:rPr>
        <w:t xml:space="preserve">constitucional </w:t>
      </w:r>
      <w:r w:rsidRPr="00C60A4D">
        <w:rPr>
          <w:rFonts w:ascii="Georgia" w:hAnsi="Georgia" w:cs="Arial"/>
          <w:lang w:val="es-419"/>
        </w:rPr>
        <w:t>de la CSJ</w:t>
      </w:r>
      <w:r w:rsidR="00166428" w:rsidRPr="00C60A4D">
        <w:rPr>
          <w:rFonts w:ascii="Georgia" w:hAnsi="Georgia" w:cs="Arial"/>
          <w:lang w:val="es-419"/>
        </w:rPr>
        <w:t>,</w:t>
      </w:r>
      <w:r w:rsidRPr="00C60A4D">
        <w:rPr>
          <w:rFonts w:ascii="Georgia" w:hAnsi="Georgia" w:cs="Arial"/>
          <w:lang w:val="es-419"/>
        </w:rPr>
        <w:t xml:space="preserve"> </w:t>
      </w:r>
      <w:r w:rsidR="00166428" w:rsidRPr="00C60A4D">
        <w:rPr>
          <w:rFonts w:ascii="Georgia" w:hAnsi="Georgia" w:cs="Arial"/>
          <w:lang w:val="es-419"/>
        </w:rPr>
        <w:t xml:space="preserve">se </w:t>
      </w:r>
      <w:r w:rsidRPr="00C60A4D">
        <w:rPr>
          <w:rFonts w:ascii="Georgia" w:hAnsi="Georgia" w:cs="Arial"/>
          <w:lang w:val="es-419"/>
        </w:rPr>
        <w:t xml:space="preserve">explicó que la omisión de información en dicho sistema no </w:t>
      </w:r>
      <w:r w:rsidR="00166428" w:rsidRPr="00C60A4D">
        <w:rPr>
          <w:rFonts w:ascii="Georgia" w:hAnsi="Georgia" w:cs="Arial"/>
          <w:lang w:val="es-419"/>
        </w:rPr>
        <w:t xml:space="preserve">desconoce </w:t>
      </w:r>
      <w:r w:rsidRPr="00C60A4D">
        <w:rPr>
          <w:rFonts w:ascii="Georgia" w:hAnsi="Georgia" w:cs="Arial"/>
          <w:lang w:val="es-419"/>
        </w:rPr>
        <w:t>el debido proceso porque se trata de simples actos de comunicación que no exonera al apoderado del deber de vigilancia y cuidado del proceso (Folios 43-45, ib.).</w:t>
      </w:r>
    </w:p>
    <w:p w:rsidR="00601004" w:rsidRPr="009F64BD" w:rsidRDefault="00601004" w:rsidP="009F64BD">
      <w:pPr>
        <w:pStyle w:val="Textoindependiente"/>
        <w:spacing w:line="288" w:lineRule="auto"/>
        <w:rPr>
          <w:rFonts w:ascii="Georgia" w:hAnsi="Georgia"/>
          <w:sz w:val="22"/>
          <w:szCs w:val="24"/>
          <w:lang w:val="es-419"/>
        </w:rPr>
      </w:pPr>
    </w:p>
    <w:p w:rsidR="00601004" w:rsidRPr="00C60A4D" w:rsidRDefault="00601004" w:rsidP="00C60A4D">
      <w:pPr>
        <w:widowControl/>
        <w:spacing w:line="288" w:lineRule="auto"/>
        <w:jc w:val="both"/>
        <w:rPr>
          <w:rFonts w:ascii="Georgia" w:hAnsi="Georgia" w:cs="Arial"/>
          <w:lang w:val="es-419"/>
        </w:rPr>
      </w:pPr>
      <w:r w:rsidRPr="00C60A4D">
        <w:rPr>
          <w:rFonts w:ascii="Georgia" w:hAnsi="Georgia" w:cs="Arial"/>
          <w:lang w:val="es-419"/>
        </w:rPr>
        <w:t>De acuerdo con lo expuesto, para esta Corporación luce palmaria la inexistencia de afectación o amenaza de los derechos</w:t>
      </w:r>
      <w:r w:rsidR="00E312AA" w:rsidRPr="00C60A4D">
        <w:rPr>
          <w:rFonts w:ascii="Georgia" w:hAnsi="Georgia" w:cs="Arial"/>
          <w:lang w:val="es-419"/>
        </w:rPr>
        <w:t xml:space="preserve"> porque el </w:t>
      </w:r>
      <w:r w:rsidRPr="00C60A4D">
        <w:rPr>
          <w:rFonts w:ascii="Georgia" w:hAnsi="Georgia" w:cs="Arial"/>
          <w:lang w:val="es-419"/>
        </w:rPr>
        <w:t xml:space="preserve">juzgador se ciñó a los parámetros procesales dispuestos por el legislador para surtir la notificación de </w:t>
      </w:r>
      <w:r w:rsidR="009D59CE" w:rsidRPr="00C60A4D">
        <w:rPr>
          <w:rFonts w:ascii="Georgia" w:hAnsi="Georgia" w:cs="Arial"/>
          <w:lang w:val="es-419"/>
        </w:rPr>
        <w:t xml:space="preserve">las </w:t>
      </w:r>
      <w:r w:rsidRPr="00C60A4D">
        <w:rPr>
          <w:rFonts w:ascii="Georgia" w:hAnsi="Georgia" w:cs="Arial"/>
          <w:lang w:val="es-419"/>
        </w:rPr>
        <w:t xml:space="preserve">actuaciones </w:t>
      </w:r>
      <w:r w:rsidR="009D59CE" w:rsidRPr="00C60A4D">
        <w:rPr>
          <w:rFonts w:ascii="Georgia" w:hAnsi="Georgia" w:cs="Arial"/>
          <w:lang w:val="es-419"/>
        </w:rPr>
        <w:t xml:space="preserve">rebatidas </w:t>
      </w:r>
      <w:r w:rsidRPr="00C60A4D">
        <w:rPr>
          <w:rFonts w:ascii="Georgia" w:hAnsi="Georgia" w:cs="Arial"/>
          <w:lang w:val="es-419"/>
        </w:rPr>
        <w:t>(Artículo 295, CGP)</w:t>
      </w:r>
      <w:r w:rsidR="00E312AA" w:rsidRPr="00C60A4D">
        <w:rPr>
          <w:rFonts w:ascii="Georgia" w:hAnsi="Georgia" w:cs="Arial"/>
          <w:lang w:val="es-419"/>
        </w:rPr>
        <w:t xml:space="preserve">, sin que pueda colegirse una </w:t>
      </w:r>
      <w:r w:rsidR="00166428" w:rsidRPr="00C60A4D">
        <w:rPr>
          <w:rFonts w:ascii="Georgia" w:hAnsi="Georgia" w:cs="Arial"/>
          <w:lang w:val="es-419"/>
        </w:rPr>
        <w:t xml:space="preserve">actuación </w:t>
      </w:r>
      <w:r w:rsidR="00E312AA" w:rsidRPr="00C60A4D">
        <w:rPr>
          <w:rFonts w:ascii="Georgia" w:hAnsi="Georgia" w:cs="Arial"/>
          <w:lang w:val="es-419"/>
        </w:rPr>
        <w:t>procesal arbitraria</w:t>
      </w:r>
      <w:r w:rsidR="00166428" w:rsidRPr="00C60A4D">
        <w:rPr>
          <w:rFonts w:ascii="Georgia" w:hAnsi="Georgia" w:cs="Arial"/>
          <w:lang w:val="es-419"/>
        </w:rPr>
        <w:t>,</w:t>
      </w:r>
      <w:r w:rsidR="00E312AA" w:rsidRPr="00C60A4D">
        <w:rPr>
          <w:rFonts w:ascii="Georgia" w:hAnsi="Georgia" w:cs="Arial"/>
          <w:lang w:val="es-419"/>
        </w:rPr>
        <w:t xml:space="preserve"> menos desviada del </w:t>
      </w:r>
      <w:r w:rsidRPr="00C60A4D">
        <w:rPr>
          <w:rFonts w:ascii="Georgia" w:hAnsi="Georgia" w:cs="Arial"/>
          <w:lang w:val="es-419"/>
        </w:rPr>
        <w:t>procedimiento</w:t>
      </w:r>
      <w:r w:rsidR="00044181" w:rsidRPr="00C60A4D">
        <w:rPr>
          <w:rFonts w:ascii="Georgia" w:hAnsi="Georgia" w:cs="Arial"/>
          <w:lang w:val="es-419"/>
        </w:rPr>
        <w:t xml:space="preserve"> ante la </w:t>
      </w:r>
      <w:r w:rsidR="00E312AA" w:rsidRPr="00C60A4D">
        <w:rPr>
          <w:rFonts w:ascii="Georgia" w:hAnsi="Georgia" w:cs="Arial"/>
          <w:lang w:val="es-419"/>
        </w:rPr>
        <w:t xml:space="preserve">falta de anotaciones en el tan enunciado sistema, </w:t>
      </w:r>
      <w:r w:rsidR="00044181" w:rsidRPr="00C60A4D">
        <w:rPr>
          <w:rFonts w:ascii="Georgia" w:hAnsi="Georgia" w:cs="Arial"/>
          <w:lang w:val="es-419"/>
        </w:rPr>
        <w:t xml:space="preserve">por la potísima razón de que </w:t>
      </w:r>
      <w:r w:rsidR="00044181" w:rsidRPr="00C60A4D">
        <w:rPr>
          <w:rFonts w:ascii="Georgia" w:hAnsi="Georgia" w:cs="Arial"/>
          <w:u w:val="single"/>
          <w:lang w:val="es-419"/>
        </w:rPr>
        <w:t xml:space="preserve">este mecanismo </w:t>
      </w:r>
      <w:r w:rsidR="009D59CE" w:rsidRPr="00C60A4D">
        <w:rPr>
          <w:rFonts w:ascii="Georgia" w:hAnsi="Georgia" w:cs="Arial"/>
          <w:u w:val="single"/>
          <w:lang w:val="es-419"/>
        </w:rPr>
        <w:t xml:space="preserve">en manera alguna </w:t>
      </w:r>
      <w:r w:rsidR="00044181" w:rsidRPr="00C60A4D">
        <w:rPr>
          <w:rFonts w:ascii="Georgia" w:hAnsi="Georgia" w:cs="Arial"/>
          <w:u w:val="single"/>
          <w:lang w:val="es-419"/>
        </w:rPr>
        <w:t xml:space="preserve">desplaza </w:t>
      </w:r>
      <w:r w:rsidR="009D59CE" w:rsidRPr="00C60A4D">
        <w:rPr>
          <w:rFonts w:ascii="Georgia" w:hAnsi="Georgia" w:cs="Arial"/>
          <w:u w:val="single"/>
          <w:lang w:val="es-419"/>
        </w:rPr>
        <w:t xml:space="preserve">los </w:t>
      </w:r>
      <w:r w:rsidR="00044181" w:rsidRPr="00C60A4D">
        <w:rPr>
          <w:rFonts w:ascii="Georgia" w:hAnsi="Georgia" w:cs="Arial"/>
          <w:u w:val="single"/>
          <w:lang w:val="es-419"/>
        </w:rPr>
        <w:t>ordinario</w:t>
      </w:r>
      <w:r w:rsidR="009D59CE" w:rsidRPr="00C60A4D">
        <w:rPr>
          <w:rFonts w:ascii="Georgia" w:hAnsi="Georgia" w:cs="Arial"/>
          <w:u w:val="single"/>
          <w:lang w:val="es-419"/>
        </w:rPr>
        <w:t>s</w:t>
      </w:r>
      <w:r w:rsidR="00044181" w:rsidRPr="00C60A4D">
        <w:rPr>
          <w:rFonts w:ascii="Georgia" w:hAnsi="Georgia" w:cs="Arial"/>
          <w:u w:val="single"/>
          <w:lang w:val="es-419"/>
        </w:rPr>
        <w:t xml:space="preserve"> y principal</w:t>
      </w:r>
      <w:r w:rsidR="009D59CE" w:rsidRPr="00C60A4D">
        <w:rPr>
          <w:rFonts w:ascii="Georgia" w:hAnsi="Georgia" w:cs="Arial"/>
          <w:u w:val="single"/>
          <w:lang w:val="es-419"/>
        </w:rPr>
        <w:t>es</w:t>
      </w:r>
      <w:r w:rsidR="00044181" w:rsidRPr="00C60A4D">
        <w:rPr>
          <w:rFonts w:ascii="Georgia" w:hAnsi="Georgia" w:cs="Arial"/>
          <w:u w:val="single"/>
          <w:lang w:val="es-419"/>
        </w:rPr>
        <w:t xml:space="preserve"> de notificación</w:t>
      </w:r>
      <w:r w:rsidR="00044181" w:rsidRPr="00C60A4D">
        <w:rPr>
          <w:rFonts w:ascii="Georgia" w:hAnsi="Georgia" w:cs="Arial"/>
          <w:lang w:val="es-419"/>
        </w:rPr>
        <w:t xml:space="preserve"> (Artículos 289 y ss., CGP)</w:t>
      </w:r>
      <w:r w:rsidRPr="00C60A4D">
        <w:rPr>
          <w:rFonts w:ascii="Georgia" w:hAnsi="Georgia" w:cs="Arial"/>
          <w:lang w:val="es-419"/>
        </w:rPr>
        <w:t>.</w:t>
      </w:r>
    </w:p>
    <w:p w:rsidR="00601004" w:rsidRPr="009F64BD" w:rsidRDefault="00601004" w:rsidP="009F64BD">
      <w:pPr>
        <w:pStyle w:val="Textoindependiente"/>
        <w:spacing w:line="288" w:lineRule="auto"/>
        <w:rPr>
          <w:rFonts w:ascii="Georgia" w:hAnsi="Georgia"/>
          <w:sz w:val="22"/>
          <w:szCs w:val="24"/>
          <w:lang w:val="es-419"/>
        </w:rPr>
      </w:pPr>
    </w:p>
    <w:p w:rsidR="00044181" w:rsidRPr="00C60A4D" w:rsidRDefault="00601004" w:rsidP="00C60A4D">
      <w:pPr>
        <w:spacing w:line="288" w:lineRule="auto"/>
        <w:ind w:right="51"/>
        <w:jc w:val="both"/>
        <w:rPr>
          <w:rFonts w:ascii="Georgia" w:hAnsi="Georgia"/>
          <w:szCs w:val="22"/>
          <w:lang w:val="es-419"/>
        </w:rPr>
      </w:pPr>
      <w:r w:rsidRPr="00C60A4D">
        <w:rPr>
          <w:rFonts w:ascii="Georgia" w:hAnsi="Georgia"/>
          <w:szCs w:val="22"/>
          <w:lang w:val="es-419"/>
        </w:rPr>
        <w:t>Aunado a lo dicho, cabe resaltar que la CSJ ha sido diáfana y reiterativa en explicar que el sistema de información Siglo XXI de la Rama Judicial</w:t>
      </w:r>
      <w:r w:rsidR="00E312AA" w:rsidRPr="00C60A4D">
        <w:rPr>
          <w:rStyle w:val="Refdenotaalpie"/>
          <w:rFonts w:ascii="Georgia" w:hAnsi="Georgia"/>
          <w:szCs w:val="22"/>
          <w:lang w:val="es-419"/>
        </w:rPr>
        <w:footnoteReference w:id="21"/>
      </w:r>
      <w:r w:rsidR="00E312AA" w:rsidRPr="00C60A4D">
        <w:rPr>
          <w:rFonts w:ascii="Georgia" w:hAnsi="Georgia"/>
          <w:szCs w:val="22"/>
          <w:lang w:val="es-419"/>
        </w:rPr>
        <w:t xml:space="preserve">: </w:t>
      </w:r>
    </w:p>
    <w:p w:rsidR="00044181" w:rsidRPr="009F64BD" w:rsidRDefault="00044181" w:rsidP="009F64BD">
      <w:pPr>
        <w:pStyle w:val="Textoindependiente"/>
        <w:spacing w:line="288" w:lineRule="auto"/>
        <w:rPr>
          <w:rFonts w:ascii="Georgia" w:hAnsi="Georgia"/>
          <w:sz w:val="22"/>
          <w:szCs w:val="24"/>
          <w:lang w:val="es-419"/>
        </w:rPr>
      </w:pPr>
    </w:p>
    <w:p w:rsidR="00E312AA" w:rsidRPr="00C60A4D" w:rsidRDefault="00044181" w:rsidP="00C60A4D">
      <w:pPr>
        <w:ind w:left="426" w:right="420"/>
        <w:jc w:val="both"/>
        <w:rPr>
          <w:rFonts w:ascii="Georgia" w:hAnsi="Georgia"/>
          <w:sz w:val="22"/>
          <w:lang w:val="es-419"/>
        </w:rPr>
      </w:pPr>
      <w:r w:rsidRPr="00C60A4D">
        <w:rPr>
          <w:rFonts w:ascii="Georgia" w:hAnsi="Georgia" w:cs="Arial"/>
          <w:color w:val="000000"/>
          <w:sz w:val="22"/>
          <w:lang w:val="es-419"/>
        </w:rPr>
        <w:t xml:space="preserve">… no suple los diversos procedimientos tendientes a enterar a las partes de las distintas actuaciones judiciales, tal como lo ha puntualizado esta Corporación frente </w:t>
      </w:r>
      <w:r w:rsidRPr="00C60A4D">
        <w:rPr>
          <w:rFonts w:ascii="Georgia" w:hAnsi="Georgia" w:cs="Arial"/>
          <w:color w:val="000000"/>
          <w:sz w:val="22"/>
          <w:lang w:val="es-419"/>
        </w:rPr>
        <w:lastRenderedPageBreak/>
        <w:t>a situaciones similares, en cuanto son «</w:t>
      </w:r>
      <w:r w:rsidRPr="00C60A4D">
        <w:rPr>
          <w:rFonts w:ascii="Georgia" w:hAnsi="Georgia" w:cs="Arial"/>
          <w:i/>
          <w:color w:val="000000"/>
          <w:sz w:val="22"/>
          <w:lang w:val="es-419"/>
        </w:rPr>
        <w:t>meros actos de comunicación procesal y no medios de notificación</w:t>
      </w:r>
      <w:r w:rsidRPr="00C60A4D">
        <w:rPr>
          <w:rFonts w:ascii="Georgia" w:hAnsi="Georgia" w:cs="Arial"/>
          <w:color w:val="000000"/>
          <w:sz w:val="22"/>
          <w:lang w:val="es-419"/>
        </w:rPr>
        <w:t>», por lo mismo, «</w:t>
      </w:r>
      <w:r w:rsidRPr="00C60A4D">
        <w:rPr>
          <w:rFonts w:ascii="Georgia" w:hAnsi="Georgia" w:cs="Arial"/>
          <w:i/>
          <w:color w:val="000000"/>
          <w:sz w:val="22"/>
          <w:lang w:val="es-419"/>
        </w:rPr>
        <w:t>los sujetos procesales no quedan exonerados de la vigilancia necesaria sobre los expedientes</w:t>
      </w:r>
      <w:r w:rsidRPr="00C60A4D">
        <w:rPr>
          <w:rFonts w:ascii="Georgia" w:hAnsi="Georgia" w:cs="Arial"/>
          <w:color w:val="000000"/>
          <w:sz w:val="22"/>
          <w:lang w:val="es-419"/>
        </w:rPr>
        <w:t xml:space="preserve">», además que </w:t>
      </w:r>
      <w:r w:rsidRPr="00C60A4D">
        <w:rPr>
          <w:rFonts w:ascii="Georgia" w:hAnsi="Georgia" w:cs="Arial"/>
          <w:i/>
          <w:iCs/>
          <w:sz w:val="22"/>
          <w:lang w:val="es-419"/>
        </w:rPr>
        <w:t>«el estatuto procesal civil consagra la manera como deben notificarse las providencias judiciales, esto e</w:t>
      </w:r>
      <w:r w:rsidRPr="00C60A4D">
        <w:rPr>
          <w:rFonts w:ascii="Georgia" w:hAnsi="Georgia" w:cs="Arial"/>
          <w:i/>
          <w:sz w:val="22"/>
          <w:lang w:val="es-419"/>
        </w:rPr>
        <w:t xml:space="preserve">s, </w:t>
      </w:r>
      <w:r w:rsidRPr="00C60A4D">
        <w:rPr>
          <w:rFonts w:ascii="Georgia" w:hAnsi="Georgia" w:cs="Arial"/>
          <w:i/>
          <w:iCs/>
          <w:sz w:val="22"/>
          <w:lang w:val="es-419"/>
        </w:rPr>
        <w:t xml:space="preserve">personal, por estado y por edicto (…), sin que allí se hubiese incluido la inserción en la página web, pues esta es una herramienta adicional de información» </w:t>
      </w:r>
      <w:r w:rsidRPr="00C60A4D">
        <w:rPr>
          <w:rFonts w:ascii="Georgia" w:hAnsi="Georgia" w:cs="Arial"/>
          <w:iCs/>
          <w:sz w:val="22"/>
          <w:lang w:val="es-419"/>
        </w:rPr>
        <w:t>(</w:t>
      </w:r>
      <w:r w:rsidRPr="00C60A4D">
        <w:rPr>
          <w:rFonts w:ascii="Georgia" w:hAnsi="Georgia" w:cs="Arial"/>
          <w:sz w:val="22"/>
          <w:lang w:val="es-419"/>
        </w:rPr>
        <w:t>STC, 19 dic. 2012, rad. 01813-01 citada en la de 24 abr. 2013, rad. 00115-01)…</w:t>
      </w:r>
    </w:p>
    <w:p w:rsidR="00044181" w:rsidRPr="009F64BD" w:rsidRDefault="00044181" w:rsidP="009F64BD">
      <w:pPr>
        <w:pStyle w:val="Textoindependiente"/>
        <w:spacing w:line="288" w:lineRule="auto"/>
        <w:rPr>
          <w:rFonts w:ascii="Georgia" w:hAnsi="Georgia"/>
          <w:sz w:val="22"/>
          <w:szCs w:val="24"/>
          <w:lang w:val="es-419"/>
        </w:rPr>
      </w:pPr>
    </w:p>
    <w:p w:rsidR="00E312AA" w:rsidRPr="00C60A4D" w:rsidRDefault="00E312AA" w:rsidP="00C60A4D">
      <w:pPr>
        <w:spacing w:line="288" w:lineRule="auto"/>
        <w:ind w:right="51"/>
        <w:jc w:val="both"/>
        <w:rPr>
          <w:rFonts w:ascii="Georgia" w:hAnsi="Georgia"/>
          <w:szCs w:val="22"/>
          <w:lang w:val="es-419"/>
        </w:rPr>
      </w:pPr>
      <w:r w:rsidRPr="00C60A4D">
        <w:rPr>
          <w:rFonts w:ascii="Georgia" w:hAnsi="Georgia"/>
          <w:szCs w:val="22"/>
          <w:lang w:val="es-419"/>
        </w:rPr>
        <w:t>Corolario</w:t>
      </w:r>
      <w:r w:rsidR="00166428" w:rsidRPr="00C60A4D">
        <w:rPr>
          <w:rFonts w:ascii="Georgia" w:hAnsi="Georgia"/>
          <w:szCs w:val="22"/>
          <w:lang w:val="es-419"/>
        </w:rPr>
        <w:t>,</w:t>
      </w:r>
      <w:r w:rsidRPr="00C60A4D">
        <w:rPr>
          <w:rFonts w:ascii="Georgia" w:hAnsi="Georgia"/>
          <w:szCs w:val="22"/>
          <w:lang w:val="es-419"/>
        </w:rPr>
        <w:t xml:space="preserve"> son infundados lo reparos del opugnante y en consecuencia se confirmará la decisión confutada, pero con la adición respetiva en lo atinente a la improcedencia advertida por </w:t>
      </w:r>
      <w:r w:rsidR="009D59CE" w:rsidRPr="00C60A4D">
        <w:rPr>
          <w:rFonts w:ascii="Georgia" w:hAnsi="Georgia"/>
          <w:szCs w:val="22"/>
          <w:lang w:val="es-419"/>
        </w:rPr>
        <w:t xml:space="preserve">la falta </w:t>
      </w:r>
      <w:r w:rsidRPr="00C60A4D">
        <w:rPr>
          <w:rFonts w:ascii="Georgia" w:hAnsi="Georgia"/>
          <w:szCs w:val="22"/>
          <w:lang w:val="es-419"/>
        </w:rPr>
        <w:t xml:space="preserve">de inmediatez. </w:t>
      </w:r>
    </w:p>
    <w:p w:rsidR="00954898" w:rsidRPr="009F64BD" w:rsidRDefault="00954898" w:rsidP="009F64BD">
      <w:pPr>
        <w:pStyle w:val="Textoindependiente"/>
        <w:spacing w:line="288" w:lineRule="auto"/>
        <w:rPr>
          <w:rFonts w:ascii="Georgia" w:hAnsi="Georgia"/>
          <w:sz w:val="22"/>
          <w:szCs w:val="24"/>
          <w:lang w:val="es-419"/>
        </w:rPr>
      </w:pPr>
    </w:p>
    <w:p w:rsidR="00954898" w:rsidRDefault="00954898" w:rsidP="00C60A4D">
      <w:pPr>
        <w:spacing w:line="288" w:lineRule="auto"/>
        <w:jc w:val="both"/>
        <w:rPr>
          <w:rFonts w:ascii="Georgia" w:hAnsi="Georgia" w:cs="Arial"/>
          <w:lang w:val="es-419"/>
        </w:rPr>
      </w:pPr>
      <w:r w:rsidRPr="00C60A4D">
        <w:rPr>
          <w:rFonts w:ascii="Georgia" w:hAnsi="Georgia" w:cs="Arial"/>
          <w:lang w:val="es-419"/>
        </w:rPr>
        <w:t xml:space="preserve">En mérito de lo expuesto, el </w:t>
      </w:r>
      <w:r w:rsidRPr="00C60A4D">
        <w:rPr>
          <w:rFonts w:ascii="Georgia" w:hAnsi="Georgia" w:cs="Arial"/>
          <w:bCs/>
          <w:smallCaps/>
          <w:lang w:val="es-419"/>
        </w:rPr>
        <w:t>Tribunal Superior del Distrito Judicial de Pereira, Sala de Decisión Civil -Familia</w:t>
      </w:r>
      <w:r w:rsidRPr="00C60A4D">
        <w:rPr>
          <w:rFonts w:ascii="Georgia" w:hAnsi="Georgia" w:cs="Arial"/>
          <w:lang w:val="es-419"/>
        </w:rPr>
        <w:t>, administrando Justicia en nombre de la República de Colombia y por autoridad de la Ley,</w:t>
      </w:r>
    </w:p>
    <w:p w:rsidR="00C60A4D" w:rsidRPr="009F64BD" w:rsidRDefault="00C60A4D" w:rsidP="009F64BD">
      <w:pPr>
        <w:pStyle w:val="Textoindependiente"/>
        <w:spacing w:line="288" w:lineRule="auto"/>
        <w:rPr>
          <w:rFonts w:ascii="Georgia" w:hAnsi="Georgia"/>
          <w:sz w:val="22"/>
          <w:szCs w:val="24"/>
          <w:lang w:val="es-419"/>
        </w:rPr>
      </w:pPr>
    </w:p>
    <w:p w:rsidR="00954898" w:rsidRPr="00C60A4D" w:rsidRDefault="00954898" w:rsidP="00C60A4D">
      <w:pPr>
        <w:pStyle w:val="Textoindependiente"/>
        <w:tabs>
          <w:tab w:val="left" w:pos="3155"/>
          <w:tab w:val="center" w:pos="4703"/>
        </w:tabs>
        <w:spacing w:line="288" w:lineRule="auto"/>
        <w:jc w:val="center"/>
        <w:rPr>
          <w:rFonts w:ascii="Georgia" w:hAnsi="Georgia" w:cs="Arial"/>
          <w:bCs/>
          <w:smallCaps/>
          <w:szCs w:val="24"/>
          <w:lang w:val="es-419"/>
        </w:rPr>
      </w:pPr>
      <w:r w:rsidRPr="00C60A4D">
        <w:rPr>
          <w:rFonts w:ascii="Georgia" w:hAnsi="Georgia" w:cs="Arial"/>
          <w:bCs/>
          <w:smallCaps/>
          <w:szCs w:val="24"/>
          <w:lang w:val="es-419"/>
        </w:rPr>
        <w:t>F A L L A</w:t>
      </w:r>
    </w:p>
    <w:p w:rsidR="00954898" w:rsidRPr="009F64BD" w:rsidRDefault="00954898" w:rsidP="009F64BD">
      <w:pPr>
        <w:pStyle w:val="Textoindependiente"/>
        <w:spacing w:line="288" w:lineRule="auto"/>
        <w:rPr>
          <w:rFonts w:ascii="Georgia" w:hAnsi="Georgia"/>
          <w:sz w:val="22"/>
          <w:szCs w:val="24"/>
          <w:lang w:val="es-419"/>
        </w:rPr>
      </w:pPr>
    </w:p>
    <w:p w:rsidR="00954898" w:rsidRPr="00C60A4D" w:rsidRDefault="00954898" w:rsidP="00C60A4D">
      <w:pPr>
        <w:pStyle w:val="Textoindependiente"/>
        <w:numPr>
          <w:ilvl w:val="0"/>
          <w:numId w:val="6"/>
        </w:numPr>
        <w:tabs>
          <w:tab w:val="clear" w:pos="720"/>
        </w:tabs>
        <w:spacing w:line="288" w:lineRule="auto"/>
        <w:ind w:left="426" w:hanging="426"/>
        <w:rPr>
          <w:rFonts w:ascii="Georgia" w:hAnsi="Georgia" w:cs="Arial"/>
          <w:szCs w:val="24"/>
          <w:lang w:val="es-419"/>
        </w:rPr>
      </w:pPr>
      <w:r w:rsidRPr="00C60A4D">
        <w:rPr>
          <w:rFonts w:ascii="Georgia" w:hAnsi="Georgia" w:cs="Arial"/>
          <w:szCs w:val="24"/>
          <w:lang w:val="es-419"/>
        </w:rPr>
        <w:t xml:space="preserve">CONFIRMAR </w:t>
      </w:r>
      <w:r w:rsidR="00044181" w:rsidRPr="00C60A4D">
        <w:rPr>
          <w:rFonts w:ascii="Georgia" w:hAnsi="Georgia" w:cs="Arial"/>
          <w:szCs w:val="24"/>
          <w:lang w:val="es-419"/>
        </w:rPr>
        <w:t xml:space="preserve">la </w:t>
      </w:r>
      <w:r w:rsidRPr="00C60A4D">
        <w:rPr>
          <w:rFonts w:ascii="Georgia" w:hAnsi="Georgia" w:cs="Arial"/>
          <w:szCs w:val="24"/>
          <w:lang w:val="es-419"/>
        </w:rPr>
        <w:t xml:space="preserve">sentencia </w:t>
      </w:r>
      <w:r w:rsidR="00044181" w:rsidRPr="00C60A4D">
        <w:rPr>
          <w:rFonts w:ascii="Georgia" w:hAnsi="Georgia" w:cs="Arial"/>
          <w:szCs w:val="24"/>
          <w:lang w:val="es-419"/>
        </w:rPr>
        <w:t xml:space="preserve">dictada </w:t>
      </w:r>
      <w:r w:rsidRPr="00C60A4D">
        <w:rPr>
          <w:rFonts w:ascii="Georgia" w:hAnsi="Georgia" w:cs="Arial"/>
          <w:szCs w:val="24"/>
          <w:lang w:val="es-419"/>
        </w:rPr>
        <w:t xml:space="preserve">por el Juzgado </w:t>
      </w:r>
      <w:r w:rsidR="00044181" w:rsidRPr="00C60A4D">
        <w:rPr>
          <w:rFonts w:ascii="Georgia" w:hAnsi="Georgia" w:cs="Arial"/>
          <w:szCs w:val="24"/>
          <w:lang w:val="es-419"/>
        </w:rPr>
        <w:t xml:space="preserve">Quinto </w:t>
      </w:r>
      <w:r w:rsidRPr="00C60A4D">
        <w:rPr>
          <w:rFonts w:ascii="Georgia" w:hAnsi="Georgia" w:cs="Arial"/>
          <w:szCs w:val="24"/>
          <w:lang w:val="es-419"/>
        </w:rPr>
        <w:t xml:space="preserve">Civil del Circuito de Pereira. </w:t>
      </w:r>
    </w:p>
    <w:p w:rsidR="002511FF" w:rsidRPr="009F64BD" w:rsidRDefault="002511FF" w:rsidP="009F64BD">
      <w:pPr>
        <w:pStyle w:val="Textoindependiente"/>
        <w:spacing w:line="288" w:lineRule="auto"/>
        <w:rPr>
          <w:rFonts w:ascii="Georgia" w:hAnsi="Georgia"/>
          <w:sz w:val="22"/>
          <w:szCs w:val="24"/>
          <w:lang w:val="es-419"/>
        </w:rPr>
      </w:pPr>
    </w:p>
    <w:p w:rsidR="00954898" w:rsidRPr="00C60A4D" w:rsidRDefault="00044181" w:rsidP="00C60A4D">
      <w:pPr>
        <w:pStyle w:val="Textoindependiente"/>
        <w:numPr>
          <w:ilvl w:val="0"/>
          <w:numId w:val="6"/>
        </w:numPr>
        <w:tabs>
          <w:tab w:val="clear" w:pos="720"/>
        </w:tabs>
        <w:spacing w:line="288" w:lineRule="auto"/>
        <w:ind w:left="426" w:hanging="426"/>
        <w:rPr>
          <w:rFonts w:ascii="Georgia" w:hAnsi="Georgia" w:cs="Arial"/>
          <w:sz w:val="18"/>
          <w:szCs w:val="24"/>
          <w:lang w:val="es-419"/>
        </w:rPr>
      </w:pPr>
      <w:r w:rsidRPr="00C60A4D">
        <w:rPr>
          <w:rFonts w:ascii="Georgia" w:hAnsi="Georgia"/>
          <w:szCs w:val="24"/>
          <w:lang w:val="es-419"/>
        </w:rPr>
        <w:t>ADICIONAR el fallo para DECLARAR IMPROCEDENTE el amparo respecto de la resolución sobre la excusa por la inasistencia a la audiencia inicial, de instrucción y juzgamiento, por carecer de inmediatez</w:t>
      </w:r>
      <w:r w:rsidR="00954898" w:rsidRPr="00C60A4D">
        <w:rPr>
          <w:rFonts w:ascii="Georgia" w:hAnsi="Georgia"/>
          <w:lang w:val="es-419"/>
        </w:rPr>
        <w:t>.</w:t>
      </w:r>
    </w:p>
    <w:p w:rsidR="002511FF" w:rsidRPr="009F64BD" w:rsidRDefault="002511FF" w:rsidP="009F64BD">
      <w:pPr>
        <w:pStyle w:val="Textoindependiente"/>
        <w:spacing w:line="288" w:lineRule="auto"/>
        <w:rPr>
          <w:rFonts w:ascii="Georgia" w:hAnsi="Georgia"/>
          <w:sz w:val="22"/>
          <w:szCs w:val="24"/>
          <w:lang w:val="es-419"/>
        </w:rPr>
      </w:pPr>
    </w:p>
    <w:p w:rsidR="00954898" w:rsidRPr="00C60A4D" w:rsidRDefault="00044181" w:rsidP="00C60A4D">
      <w:pPr>
        <w:pStyle w:val="Textoindependiente"/>
        <w:numPr>
          <w:ilvl w:val="0"/>
          <w:numId w:val="6"/>
        </w:numPr>
        <w:tabs>
          <w:tab w:val="clear" w:pos="720"/>
        </w:tabs>
        <w:spacing w:line="288" w:lineRule="auto"/>
        <w:ind w:left="426" w:hanging="426"/>
        <w:rPr>
          <w:rFonts w:ascii="Georgia" w:hAnsi="Georgia" w:cs="Arial"/>
          <w:lang w:val="es-419"/>
        </w:rPr>
      </w:pPr>
      <w:r w:rsidRPr="00C60A4D">
        <w:rPr>
          <w:rFonts w:ascii="Georgia" w:hAnsi="Georgia"/>
          <w:lang w:val="es-419"/>
        </w:rPr>
        <w:t>LEVANTAR la medida provisional de decretada en esta instancia con decisión del 30-05-2019</w:t>
      </w:r>
      <w:r w:rsidR="00954898" w:rsidRPr="00C60A4D">
        <w:rPr>
          <w:rFonts w:ascii="Georgia" w:hAnsi="Georgia" w:cs="Arial"/>
          <w:color w:val="000000" w:themeColor="text1"/>
          <w:szCs w:val="24"/>
          <w:lang w:val="es-419"/>
        </w:rPr>
        <w:t>.</w:t>
      </w:r>
    </w:p>
    <w:p w:rsidR="002511FF" w:rsidRPr="009F64BD" w:rsidRDefault="002511FF" w:rsidP="009F64BD">
      <w:pPr>
        <w:pStyle w:val="Textoindependiente"/>
        <w:spacing w:line="288" w:lineRule="auto"/>
        <w:rPr>
          <w:rFonts w:ascii="Georgia" w:hAnsi="Georgia"/>
          <w:sz w:val="22"/>
          <w:szCs w:val="24"/>
          <w:lang w:val="es-419"/>
        </w:rPr>
      </w:pPr>
    </w:p>
    <w:p w:rsidR="00954898" w:rsidRPr="00C60A4D" w:rsidRDefault="00954898" w:rsidP="00C60A4D">
      <w:pPr>
        <w:pStyle w:val="Prrafodelista"/>
        <w:widowControl/>
        <w:numPr>
          <w:ilvl w:val="0"/>
          <w:numId w:val="6"/>
        </w:numPr>
        <w:tabs>
          <w:tab w:val="clear" w:pos="720"/>
          <w:tab w:val="num" w:pos="360"/>
        </w:tabs>
        <w:autoSpaceDE/>
        <w:autoSpaceDN/>
        <w:adjustRightInd/>
        <w:spacing w:line="288" w:lineRule="auto"/>
        <w:ind w:left="360" w:right="51"/>
        <w:contextualSpacing/>
        <w:jc w:val="both"/>
        <w:rPr>
          <w:rFonts w:ascii="Georgia" w:hAnsi="Georgia"/>
          <w:lang w:val="es-419"/>
        </w:rPr>
      </w:pPr>
      <w:r w:rsidRPr="00C60A4D">
        <w:rPr>
          <w:rFonts w:ascii="Georgia" w:hAnsi="Georgia"/>
          <w:spacing w:val="-3"/>
          <w:lang w:val="es-419"/>
        </w:rPr>
        <w:t>NOTIFICAR esta decisión a todas las partes, por el medio más expedito y eficaz.</w:t>
      </w:r>
    </w:p>
    <w:p w:rsidR="002511FF" w:rsidRPr="009F64BD" w:rsidRDefault="002511FF" w:rsidP="009F64BD">
      <w:pPr>
        <w:pStyle w:val="Textoindependiente"/>
        <w:spacing w:line="288" w:lineRule="auto"/>
        <w:rPr>
          <w:rFonts w:ascii="Georgia" w:hAnsi="Georgia"/>
          <w:sz w:val="22"/>
          <w:szCs w:val="24"/>
          <w:lang w:val="es-419"/>
        </w:rPr>
      </w:pPr>
    </w:p>
    <w:p w:rsidR="002511FF" w:rsidRPr="00C60A4D" w:rsidRDefault="00954898" w:rsidP="00C60A4D">
      <w:pPr>
        <w:pStyle w:val="Prrafodelista"/>
        <w:widowControl/>
        <w:numPr>
          <w:ilvl w:val="0"/>
          <w:numId w:val="6"/>
        </w:numPr>
        <w:tabs>
          <w:tab w:val="clear" w:pos="720"/>
          <w:tab w:val="num" w:pos="360"/>
        </w:tabs>
        <w:autoSpaceDE/>
        <w:autoSpaceDN/>
        <w:adjustRightInd/>
        <w:spacing w:line="288" w:lineRule="auto"/>
        <w:ind w:left="360" w:right="51"/>
        <w:contextualSpacing/>
        <w:jc w:val="both"/>
        <w:rPr>
          <w:rFonts w:ascii="Georgia" w:hAnsi="Georgia"/>
          <w:lang w:val="es-419"/>
        </w:rPr>
      </w:pPr>
      <w:r w:rsidRPr="00C60A4D">
        <w:rPr>
          <w:rFonts w:ascii="Georgia" w:hAnsi="Georgia"/>
          <w:spacing w:val="-3"/>
          <w:lang w:val="es-419"/>
        </w:rPr>
        <w:t>REMITIR este expediente, a la CC para su eventual revisión.</w:t>
      </w:r>
    </w:p>
    <w:p w:rsidR="002511FF" w:rsidRPr="009F64BD" w:rsidRDefault="002511FF" w:rsidP="009F64BD">
      <w:pPr>
        <w:pStyle w:val="Textoindependiente"/>
        <w:spacing w:line="288" w:lineRule="auto"/>
        <w:rPr>
          <w:rFonts w:ascii="Georgia" w:hAnsi="Georgia"/>
          <w:sz w:val="22"/>
          <w:szCs w:val="24"/>
          <w:lang w:val="es-419"/>
        </w:rPr>
      </w:pPr>
    </w:p>
    <w:p w:rsidR="00954898" w:rsidRPr="00C60A4D" w:rsidRDefault="00954898" w:rsidP="00C60A4D">
      <w:pPr>
        <w:pStyle w:val="Textoindependiente"/>
        <w:spacing w:line="288" w:lineRule="auto"/>
        <w:jc w:val="center"/>
        <w:rPr>
          <w:rFonts w:ascii="Georgia" w:hAnsi="Georgia"/>
          <w:smallCaps/>
          <w:szCs w:val="24"/>
          <w:lang w:val="es-419"/>
        </w:rPr>
      </w:pPr>
      <w:r w:rsidRPr="00C60A4D">
        <w:rPr>
          <w:rFonts w:ascii="Georgia" w:hAnsi="Georgia"/>
          <w:smallCaps/>
          <w:szCs w:val="24"/>
          <w:lang w:val="es-419"/>
        </w:rPr>
        <w:t>Notifíquese</w:t>
      </w:r>
    </w:p>
    <w:p w:rsidR="006031C1" w:rsidRPr="009F64BD" w:rsidRDefault="006031C1" w:rsidP="009F64BD">
      <w:pPr>
        <w:pStyle w:val="Textoindependiente"/>
        <w:spacing w:line="288" w:lineRule="auto"/>
        <w:rPr>
          <w:rFonts w:ascii="Georgia" w:hAnsi="Georgia"/>
          <w:sz w:val="22"/>
          <w:szCs w:val="24"/>
          <w:lang w:val="es-419"/>
        </w:rPr>
      </w:pPr>
    </w:p>
    <w:p w:rsidR="006031C1" w:rsidRPr="009F64BD" w:rsidRDefault="006031C1" w:rsidP="009F64BD">
      <w:pPr>
        <w:pStyle w:val="Textoindependiente"/>
        <w:spacing w:line="288" w:lineRule="auto"/>
        <w:rPr>
          <w:rFonts w:ascii="Georgia" w:hAnsi="Georgia"/>
          <w:sz w:val="22"/>
          <w:szCs w:val="24"/>
          <w:lang w:val="es-419"/>
        </w:rPr>
      </w:pPr>
    </w:p>
    <w:p w:rsidR="00C60A4D" w:rsidRPr="009F64BD" w:rsidRDefault="00C60A4D" w:rsidP="009F64BD">
      <w:pPr>
        <w:pStyle w:val="Textoindependiente"/>
        <w:spacing w:line="288" w:lineRule="auto"/>
        <w:rPr>
          <w:rFonts w:ascii="Georgia" w:hAnsi="Georgia"/>
          <w:sz w:val="22"/>
          <w:szCs w:val="24"/>
          <w:lang w:val="es-419"/>
        </w:rPr>
      </w:pPr>
    </w:p>
    <w:p w:rsidR="00954898" w:rsidRPr="00C60A4D" w:rsidRDefault="00954898" w:rsidP="00C60A4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i/>
          <w:spacing w:val="-3"/>
          <w:w w:val="150"/>
          <w:sz w:val="18"/>
          <w:szCs w:val="18"/>
          <w:lang w:val="es-419"/>
        </w:rPr>
      </w:pPr>
      <w:r w:rsidRPr="00C60A4D">
        <w:rPr>
          <w:rFonts w:ascii="Georgia" w:hAnsi="Georgia" w:cs="Arial"/>
          <w:i/>
          <w:spacing w:val="-3"/>
          <w:w w:val="150"/>
          <w:sz w:val="28"/>
          <w:szCs w:val="18"/>
          <w:lang w:val="es-419"/>
        </w:rPr>
        <w:t>D</w:t>
      </w:r>
      <w:r w:rsidRPr="00C60A4D">
        <w:rPr>
          <w:rFonts w:ascii="Georgia" w:hAnsi="Georgia" w:cs="Arial"/>
          <w:i/>
          <w:spacing w:val="-3"/>
          <w:w w:val="150"/>
          <w:sz w:val="18"/>
          <w:szCs w:val="18"/>
          <w:lang w:val="es-419"/>
        </w:rPr>
        <w:t xml:space="preserve">UBERNEY </w:t>
      </w:r>
      <w:r w:rsidRPr="00C60A4D">
        <w:rPr>
          <w:rFonts w:ascii="Georgia" w:hAnsi="Georgia" w:cs="Arial"/>
          <w:i/>
          <w:spacing w:val="-3"/>
          <w:w w:val="150"/>
          <w:szCs w:val="18"/>
          <w:lang w:val="es-419"/>
        </w:rPr>
        <w:t>G</w:t>
      </w:r>
      <w:r w:rsidRPr="00C60A4D">
        <w:rPr>
          <w:rFonts w:ascii="Georgia" w:hAnsi="Georgia" w:cs="Arial"/>
          <w:i/>
          <w:spacing w:val="-3"/>
          <w:w w:val="150"/>
          <w:sz w:val="18"/>
          <w:szCs w:val="18"/>
          <w:lang w:val="es-419"/>
        </w:rPr>
        <w:t xml:space="preserve">RISALES </w:t>
      </w:r>
      <w:r w:rsidRPr="00C60A4D">
        <w:rPr>
          <w:rFonts w:ascii="Georgia" w:hAnsi="Georgia" w:cs="Arial"/>
          <w:i/>
          <w:spacing w:val="-3"/>
          <w:w w:val="150"/>
          <w:sz w:val="28"/>
          <w:szCs w:val="18"/>
          <w:lang w:val="es-419"/>
        </w:rPr>
        <w:t>H</w:t>
      </w:r>
      <w:r w:rsidRPr="00C60A4D">
        <w:rPr>
          <w:rFonts w:ascii="Georgia" w:hAnsi="Georgia" w:cs="Arial"/>
          <w:i/>
          <w:spacing w:val="-3"/>
          <w:w w:val="150"/>
          <w:sz w:val="18"/>
          <w:szCs w:val="18"/>
          <w:lang w:val="es-419"/>
        </w:rPr>
        <w:t>ERRERA</w:t>
      </w:r>
    </w:p>
    <w:p w:rsidR="00954898" w:rsidRPr="00C60A4D" w:rsidRDefault="00954898" w:rsidP="00C60A4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i/>
          <w:spacing w:val="-3"/>
          <w:sz w:val="16"/>
          <w:szCs w:val="20"/>
          <w:lang w:val="es-419"/>
        </w:rPr>
      </w:pPr>
      <w:r w:rsidRPr="00C60A4D">
        <w:rPr>
          <w:rFonts w:ascii="Georgia" w:hAnsi="Georgia" w:cs="Arial"/>
          <w:i/>
          <w:spacing w:val="-3"/>
          <w:w w:val="150"/>
          <w:sz w:val="28"/>
          <w:lang w:val="es-419"/>
        </w:rPr>
        <w:t>M</w:t>
      </w:r>
      <w:r w:rsidRPr="00C60A4D">
        <w:rPr>
          <w:rFonts w:ascii="Georgia" w:hAnsi="Georgia" w:cs="Arial"/>
          <w:i/>
          <w:spacing w:val="-3"/>
          <w:w w:val="150"/>
          <w:sz w:val="16"/>
          <w:lang w:val="es-419"/>
        </w:rPr>
        <w:t xml:space="preserve"> </w:t>
      </w:r>
      <w:r w:rsidRPr="00C60A4D">
        <w:rPr>
          <w:rFonts w:ascii="Georgia" w:hAnsi="Georgia" w:cs="Arial"/>
          <w:i/>
          <w:spacing w:val="-3"/>
          <w:w w:val="150"/>
          <w:sz w:val="18"/>
          <w:szCs w:val="20"/>
          <w:lang w:val="es-419"/>
        </w:rPr>
        <w:t>A G I S T R A D O</w:t>
      </w:r>
    </w:p>
    <w:p w:rsidR="006031C1" w:rsidRPr="009F64BD" w:rsidRDefault="006031C1" w:rsidP="009F64BD">
      <w:pPr>
        <w:pStyle w:val="Textoindependiente"/>
        <w:spacing w:line="288" w:lineRule="auto"/>
        <w:rPr>
          <w:rFonts w:ascii="Georgia" w:hAnsi="Georgia"/>
          <w:sz w:val="22"/>
          <w:szCs w:val="24"/>
          <w:lang w:val="es-419"/>
        </w:rPr>
      </w:pPr>
    </w:p>
    <w:p w:rsidR="00C60A4D" w:rsidRPr="009F64BD" w:rsidRDefault="00C60A4D" w:rsidP="009F64BD">
      <w:pPr>
        <w:pStyle w:val="Textoindependiente"/>
        <w:spacing w:line="288" w:lineRule="auto"/>
        <w:rPr>
          <w:rFonts w:ascii="Georgia" w:hAnsi="Georgia"/>
          <w:sz w:val="22"/>
          <w:szCs w:val="24"/>
          <w:lang w:val="es-419"/>
        </w:rPr>
      </w:pPr>
    </w:p>
    <w:p w:rsidR="006031C1" w:rsidRPr="009F64BD" w:rsidRDefault="006031C1" w:rsidP="009F64BD">
      <w:pPr>
        <w:pStyle w:val="Textoindependiente"/>
        <w:spacing w:line="288" w:lineRule="auto"/>
        <w:rPr>
          <w:rFonts w:ascii="Georgia" w:hAnsi="Georgia"/>
          <w:sz w:val="22"/>
          <w:szCs w:val="24"/>
          <w:lang w:val="es-419"/>
        </w:rPr>
      </w:pPr>
    </w:p>
    <w:p w:rsidR="00954898" w:rsidRPr="00C60A4D" w:rsidRDefault="00954898" w:rsidP="00C60A4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i/>
          <w:w w:val="150"/>
          <w:sz w:val="20"/>
          <w:lang w:val="es-419"/>
        </w:rPr>
      </w:pPr>
      <w:r w:rsidRPr="00C60A4D">
        <w:rPr>
          <w:rFonts w:ascii="Georgia" w:hAnsi="Georgia"/>
          <w:i/>
          <w:w w:val="150"/>
          <w:sz w:val="28"/>
          <w:szCs w:val="18"/>
          <w:lang w:val="es-419"/>
        </w:rPr>
        <w:t>E</w:t>
      </w:r>
      <w:r w:rsidRPr="00C60A4D">
        <w:rPr>
          <w:rFonts w:ascii="Georgia" w:hAnsi="Georgia"/>
          <w:i/>
          <w:w w:val="150"/>
          <w:sz w:val="18"/>
          <w:szCs w:val="18"/>
          <w:lang w:val="es-419"/>
        </w:rPr>
        <w:t>DDER</w:t>
      </w:r>
      <w:r w:rsidRPr="00C60A4D">
        <w:rPr>
          <w:rFonts w:ascii="Georgia" w:hAnsi="Georgia"/>
          <w:i/>
          <w:w w:val="150"/>
          <w:sz w:val="18"/>
          <w:lang w:val="es-419"/>
        </w:rPr>
        <w:t xml:space="preserve"> </w:t>
      </w:r>
      <w:r w:rsidRPr="00C60A4D">
        <w:rPr>
          <w:rFonts w:ascii="Georgia" w:hAnsi="Georgia"/>
          <w:i/>
          <w:w w:val="150"/>
          <w:sz w:val="28"/>
          <w:lang w:val="es-419"/>
        </w:rPr>
        <w:t>J</w:t>
      </w:r>
      <w:r w:rsidRPr="00C60A4D">
        <w:rPr>
          <w:rFonts w:ascii="Georgia" w:hAnsi="Georgia"/>
          <w:i/>
          <w:w w:val="150"/>
          <w:sz w:val="18"/>
          <w:szCs w:val="18"/>
          <w:lang w:val="es-419"/>
        </w:rPr>
        <w:t xml:space="preserve">IMMY </w:t>
      </w:r>
      <w:r w:rsidRPr="00C60A4D">
        <w:rPr>
          <w:rFonts w:ascii="Georgia" w:hAnsi="Georgia"/>
          <w:i/>
          <w:w w:val="150"/>
          <w:sz w:val="28"/>
          <w:lang w:val="es-419"/>
        </w:rPr>
        <w:t>S</w:t>
      </w:r>
      <w:r w:rsidRPr="00C60A4D">
        <w:rPr>
          <w:rFonts w:ascii="Georgia" w:hAnsi="Georgia"/>
          <w:i/>
          <w:w w:val="150"/>
          <w:sz w:val="18"/>
          <w:szCs w:val="18"/>
          <w:lang w:val="es-419"/>
        </w:rPr>
        <w:t xml:space="preserve">ÁNCHEZ </w:t>
      </w:r>
      <w:r w:rsidRPr="00C60A4D">
        <w:rPr>
          <w:rFonts w:ascii="Georgia" w:hAnsi="Georgia"/>
          <w:i/>
          <w:w w:val="150"/>
          <w:sz w:val="28"/>
          <w:szCs w:val="18"/>
          <w:lang w:val="es-419"/>
        </w:rPr>
        <w:t>C.</w:t>
      </w:r>
      <w:r w:rsidRPr="00C60A4D">
        <w:rPr>
          <w:rFonts w:ascii="Georgia" w:hAnsi="Georgia"/>
          <w:i/>
          <w:w w:val="150"/>
          <w:sz w:val="28"/>
          <w:szCs w:val="18"/>
          <w:lang w:val="es-419"/>
        </w:rPr>
        <w:tab/>
      </w:r>
      <w:r w:rsidRPr="00C60A4D">
        <w:rPr>
          <w:rFonts w:ascii="Georgia" w:hAnsi="Georgia"/>
          <w:i/>
          <w:w w:val="150"/>
          <w:sz w:val="28"/>
          <w:szCs w:val="18"/>
          <w:lang w:val="es-419"/>
        </w:rPr>
        <w:tab/>
        <w:t xml:space="preserve"> </w:t>
      </w:r>
      <w:r w:rsidRPr="00C60A4D">
        <w:rPr>
          <w:rFonts w:ascii="Georgia" w:hAnsi="Georgia"/>
          <w:i/>
          <w:spacing w:val="-3"/>
          <w:w w:val="150"/>
          <w:sz w:val="28"/>
          <w:szCs w:val="18"/>
          <w:lang w:val="es-419"/>
        </w:rPr>
        <w:t>J</w:t>
      </w:r>
      <w:r w:rsidRPr="00C60A4D">
        <w:rPr>
          <w:rFonts w:ascii="Georgia" w:hAnsi="Georgia"/>
          <w:i/>
          <w:spacing w:val="-3"/>
          <w:w w:val="150"/>
          <w:sz w:val="18"/>
          <w:szCs w:val="18"/>
          <w:lang w:val="es-419"/>
        </w:rPr>
        <w:t xml:space="preserve">AIME </w:t>
      </w:r>
      <w:r w:rsidRPr="00C60A4D">
        <w:rPr>
          <w:rFonts w:ascii="Georgia" w:hAnsi="Georgia"/>
          <w:i/>
          <w:spacing w:val="-3"/>
          <w:w w:val="150"/>
          <w:sz w:val="28"/>
          <w:szCs w:val="18"/>
          <w:lang w:val="es-419"/>
        </w:rPr>
        <w:t>A</w:t>
      </w:r>
      <w:r w:rsidRPr="00C60A4D">
        <w:rPr>
          <w:rFonts w:ascii="Georgia" w:hAnsi="Georgia"/>
          <w:i/>
          <w:w w:val="150"/>
          <w:sz w:val="18"/>
          <w:szCs w:val="18"/>
          <w:lang w:val="es-419"/>
        </w:rPr>
        <w:t xml:space="preserve">LBERTO </w:t>
      </w:r>
      <w:r w:rsidRPr="00C60A4D">
        <w:rPr>
          <w:rFonts w:ascii="Georgia" w:hAnsi="Georgia"/>
          <w:i/>
          <w:spacing w:val="-3"/>
          <w:w w:val="150"/>
          <w:sz w:val="28"/>
          <w:szCs w:val="18"/>
          <w:lang w:val="es-419"/>
        </w:rPr>
        <w:t>S</w:t>
      </w:r>
      <w:r w:rsidRPr="00C60A4D">
        <w:rPr>
          <w:rFonts w:ascii="Georgia" w:hAnsi="Georgia"/>
          <w:i/>
          <w:spacing w:val="-3"/>
          <w:w w:val="150"/>
          <w:sz w:val="18"/>
          <w:szCs w:val="16"/>
          <w:lang w:val="es-419"/>
        </w:rPr>
        <w:t xml:space="preserve">ARAZA </w:t>
      </w:r>
      <w:r w:rsidRPr="00C60A4D">
        <w:rPr>
          <w:rFonts w:ascii="Georgia" w:hAnsi="Georgia"/>
          <w:i/>
          <w:spacing w:val="-3"/>
          <w:w w:val="150"/>
          <w:sz w:val="28"/>
          <w:szCs w:val="18"/>
          <w:lang w:val="es-419"/>
        </w:rPr>
        <w:t>N.</w:t>
      </w:r>
    </w:p>
    <w:p w:rsidR="00785FA3" w:rsidRPr="00F47864" w:rsidRDefault="00954898" w:rsidP="00F47864">
      <w:pPr>
        <w:pStyle w:val="Textoindependiente"/>
        <w:spacing w:line="288" w:lineRule="auto"/>
        <w:rPr>
          <w:rFonts w:ascii="Georgia" w:hAnsi="Georgia"/>
          <w:sz w:val="23"/>
          <w:szCs w:val="23"/>
          <w:lang w:val="es-419"/>
        </w:rPr>
      </w:pPr>
      <w:r w:rsidRPr="00C60A4D">
        <w:rPr>
          <w:rFonts w:ascii="Georgia" w:hAnsi="Georgia"/>
          <w:i/>
          <w:w w:val="150"/>
          <w:sz w:val="28"/>
          <w:lang w:val="es-419"/>
        </w:rPr>
        <w:tab/>
        <w:t>M</w:t>
      </w:r>
      <w:r w:rsidRPr="00C60A4D">
        <w:rPr>
          <w:rFonts w:ascii="Georgia" w:hAnsi="Georgia"/>
          <w:i/>
          <w:w w:val="150"/>
          <w:sz w:val="18"/>
          <w:lang w:val="es-419"/>
        </w:rPr>
        <w:t xml:space="preserve"> A G I S T R A D O </w:t>
      </w:r>
      <w:r w:rsidRPr="00C60A4D">
        <w:rPr>
          <w:rFonts w:ascii="Georgia" w:hAnsi="Georgia"/>
          <w:i/>
          <w:w w:val="150"/>
          <w:sz w:val="18"/>
          <w:lang w:val="es-419"/>
        </w:rPr>
        <w:tab/>
      </w:r>
      <w:r w:rsidRPr="00C60A4D">
        <w:rPr>
          <w:rFonts w:ascii="Georgia" w:hAnsi="Georgia"/>
          <w:i/>
          <w:w w:val="150"/>
          <w:sz w:val="18"/>
          <w:lang w:val="es-419"/>
        </w:rPr>
        <w:tab/>
      </w:r>
      <w:r w:rsidRPr="00C60A4D">
        <w:rPr>
          <w:rFonts w:ascii="Georgia" w:hAnsi="Georgia"/>
          <w:i/>
          <w:w w:val="150"/>
          <w:sz w:val="18"/>
          <w:lang w:val="es-419"/>
        </w:rPr>
        <w:tab/>
      </w:r>
      <w:r w:rsidRPr="00C60A4D">
        <w:rPr>
          <w:rFonts w:ascii="Georgia" w:hAnsi="Georgia"/>
          <w:i/>
          <w:w w:val="150"/>
          <w:sz w:val="18"/>
          <w:lang w:val="es-419"/>
        </w:rPr>
        <w:tab/>
        <w:t xml:space="preserve">     </w:t>
      </w:r>
      <w:r w:rsidRPr="00C60A4D">
        <w:rPr>
          <w:rFonts w:ascii="Georgia" w:hAnsi="Georgia"/>
          <w:i/>
          <w:w w:val="150"/>
          <w:sz w:val="28"/>
          <w:lang w:val="es-419"/>
        </w:rPr>
        <w:t>M</w:t>
      </w:r>
      <w:r w:rsidRPr="00C60A4D">
        <w:rPr>
          <w:rFonts w:ascii="Georgia" w:hAnsi="Georgia"/>
          <w:i/>
          <w:w w:val="150"/>
          <w:sz w:val="18"/>
          <w:lang w:val="es-419"/>
        </w:rPr>
        <w:t xml:space="preserve"> A G I S T R A D O</w:t>
      </w:r>
    </w:p>
    <w:sectPr w:rsidR="00785FA3" w:rsidRPr="00F47864" w:rsidSect="00C60A4D">
      <w:headerReference w:type="default" r:id="rId9"/>
      <w:footerReference w:type="default" r:id="rId10"/>
      <w:pgSz w:w="12242" w:h="18722"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161" w:rsidRDefault="00804161" w:rsidP="0099045D">
      <w:r>
        <w:separator/>
      </w:r>
    </w:p>
  </w:endnote>
  <w:endnote w:type="continuationSeparator" w:id="0">
    <w:p w:rsidR="00804161" w:rsidRDefault="00804161"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altName w:val="Book Antiqu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F12" w:rsidRPr="007C23E2" w:rsidRDefault="00204F12" w:rsidP="0013771A">
    <w:pPr>
      <w:pStyle w:val="Piedepgina"/>
      <w:pBdr>
        <w:bottom w:val="double" w:sz="6" w:space="1" w:color="auto"/>
      </w:pBdr>
      <w:spacing w:line="360" w:lineRule="auto"/>
      <w:jc w:val="right"/>
      <w:rPr>
        <w:rFonts w:ascii="Georgia" w:hAnsi="Georgia" w:cs="Arial"/>
        <w:spacing w:val="20"/>
        <w:w w:val="200"/>
        <w:sz w:val="2"/>
        <w:szCs w:val="10"/>
        <w:lang w:val="es-CO"/>
      </w:rPr>
    </w:pPr>
  </w:p>
  <w:p w:rsidR="00204F12" w:rsidRPr="007C23E2" w:rsidRDefault="00204F12" w:rsidP="0013771A">
    <w:pPr>
      <w:pStyle w:val="Piedepgina"/>
      <w:spacing w:line="360" w:lineRule="auto"/>
      <w:jc w:val="right"/>
      <w:rPr>
        <w:rFonts w:ascii="Georgia" w:hAnsi="Georgia" w:cs="Arial"/>
        <w:spacing w:val="20"/>
        <w:w w:val="200"/>
        <w:sz w:val="14"/>
        <w:szCs w:val="10"/>
        <w:lang w:val="es-CO"/>
      </w:rPr>
    </w:pPr>
  </w:p>
  <w:p w:rsidR="00204F12" w:rsidRPr="007C23E2" w:rsidRDefault="00204F12" w:rsidP="0013771A">
    <w:pPr>
      <w:pStyle w:val="Piedepgina"/>
      <w:spacing w:line="360" w:lineRule="auto"/>
      <w:jc w:val="right"/>
      <w:rPr>
        <w:rFonts w:ascii="Georgia" w:hAnsi="Georgia" w:cs="Arial"/>
        <w:spacing w:val="20"/>
        <w:w w:val="200"/>
        <w:sz w:val="10"/>
        <w:szCs w:val="10"/>
        <w:lang w:val="es-CO"/>
      </w:rPr>
    </w:pPr>
    <w:r w:rsidRPr="007C23E2">
      <w:rPr>
        <w:rFonts w:ascii="Georgia" w:hAnsi="Georgia" w:cs="Arial"/>
        <w:spacing w:val="20"/>
        <w:w w:val="200"/>
        <w:sz w:val="14"/>
        <w:szCs w:val="10"/>
        <w:lang w:val="es-CO"/>
      </w:rPr>
      <w:t>T</w:t>
    </w:r>
    <w:r w:rsidRPr="007C23E2">
      <w:rPr>
        <w:rFonts w:ascii="Georgia" w:hAnsi="Georgia" w:cs="Arial"/>
        <w:spacing w:val="20"/>
        <w:w w:val="200"/>
        <w:sz w:val="10"/>
        <w:szCs w:val="10"/>
        <w:lang w:val="es-CO"/>
      </w:rPr>
      <w:t xml:space="preserve">RIBUNAL </w:t>
    </w:r>
    <w:r w:rsidRPr="007C23E2">
      <w:rPr>
        <w:rFonts w:ascii="Georgia" w:hAnsi="Georgia" w:cs="Arial"/>
        <w:spacing w:val="20"/>
        <w:w w:val="200"/>
        <w:sz w:val="14"/>
        <w:szCs w:val="10"/>
        <w:lang w:val="es-CO"/>
      </w:rPr>
      <w:t>S</w:t>
    </w:r>
    <w:r w:rsidRPr="007C23E2">
      <w:rPr>
        <w:rFonts w:ascii="Georgia" w:hAnsi="Georgia" w:cs="Arial"/>
        <w:spacing w:val="20"/>
        <w:w w:val="200"/>
        <w:sz w:val="10"/>
        <w:szCs w:val="10"/>
        <w:lang w:val="es-CO"/>
      </w:rPr>
      <w:t xml:space="preserve">UPERIOR DE </w:t>
    </w:r>
    <w:r w:rsidRPr="007C23E2">
      <w:rPr>
        <w:rFonts w:ascii="Georgia" w:hAnsi="Georgia" w:cs="Arial"/>
        <w:spacing w:val="20"/>
        <w:w w:val="200"/>
        <w:sz w:val="14"/>
        <w:szCs w:val="10"/>
        <w:lang w:val="es-CO"/>
      </w:rPr>
      <w:t>P</w:t>
    </w:r>
    <w:r w:rsidRPr="007C23E2">
      <w:rPr>
        <w:rFonts w:ascii="Georgia" w:hAnsi="Georgia" w:cs="Arial"/>
        <w:spacing w:val="20"/>
        <w:w w:val="200"/>
        <w:sz w:val="10"/>
        <w:szCs w:val="10"/>
        <w:lang w:val="es-CO"/>
      </w:rPr>
      <w:t>EREIRA</w:t>
    </w:r>
  </w:p>
  <w:p w:rsidR="00204F12" w:rsidRPr="007C23E2" w:rsidRDefault="00204F12" w:rsidP="0013771A">
    <w:pPr>
      <w:pStyle w:val="Piedepgina"/>
      <w:jc w:val="right"/>
      <w:rPr>
        <w:rFonts w:ascii="Georgia" w:hAnsi="Georgia"/>
        <w:lang w:val="es-CO"/>
      </w:rPr>
    </w:pPr>
    <w:r w:rsidRPr="007C23E2">
      <w:rPr>
        <w:rFonts w:ascii="Georgia" w:hAnsi="Georgia" w:cs="Arial"/>
        <w:spacing w:val="20"/>
        <w:w w:val="200"/>
        <w:sz w:val="10"/>
        <w:szCs w:val="10"/>
        <w:lang w:val="es-CO"/>
      </w:rPr>
      <w:t xml:space="preserve">MP </w:t>
    </w:r>
    <w:r w:rsidRPr="007C23E2">
      <w:rPr>
        <w:rFonts w:ascii="Georgia" w:hAnsi="Georgia" w:cs="Arial"/>
        <w:spacing w:val="20"/>
        <w:w w:val="200"/>
        <w:sz w:val="12"/>
        <w:szCs w:val="10"/>
        <w:lang w:val="es-CO"/>
      </w:rPr>
      <w:t>D</w:t>
    </w:r>
    <w:r w:rsidRPr="007C23E2">
      <w:rPr>
        <w:rFonts w:ascii="Georgia" w:hAnsi="Georgia" w:cs="Arial"/>
        <w:spacing w:val="20"/>
        <w:w w:val="200"/>
        <w:sz w:val="8"/>
        <w:szCs w:val="10"/>
        <w:lang w:val="es-CO"/>
      </w:rPr>
      <w:t>UBERNEY</w:t>
    </w:r>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G</w:t>
    </w:r>
    <w:r w:rsidRPr="007C23E2">
      <w:rPr>
        <w:rFonts w:ascii="Georgia" w:hAnsi="Georgia" w:cs="Arial"/>
        <w:spacing w:val="20"/>
        <w:w w:val="200"/>
        <w:sz w:val="8"/>
        <w:szCs w:val="10"/>
        <w:lang w:val="es-CO"/>
      </w:rPr>
      <w:t>RISALES</w:t>
    </w:r>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H</w:t>
    </w:r>
    <w:r w:rsidRPr="007C23E2">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161" w:rsidRDefault="00804161" w:rsidP="0099045D">
      <w:r>
        <w:separator/>
      </w:r>
    </w:p>
  </w:footnote>
  <w:footnote w:type="continuationSeparator" w:id="0">
    <w:p w:rsidR="00804161" w:rsidRDefault="00804161" w:rsidP="0099045D">
      <w:r>
        <w:continuationSeparator/>
      </w:r>
    </w:p>
  </w:footnote>
  <w:footnote w:id="1">
    <w:p w:rsidR="001463B5" w:rsidRDefault="00954898" w:rsidP="00EB39F5">
      <w:pPr>
        <w:pStyle w:val="Textonotapie"/>
        <w:ind w:left="142" w:hanging="142"/>
        <w:jc w:val="both"/>
      </w:pPr>
      <w:r w:rsidRPr="00EB39F5">
        <w:rPr>
          <w:rStyle w:val="Refdenotaalpie"/>
          <w:rFonts w:ascii="Arial" w:hAnsi="Arial" w:cs="Arial"/>
          <w:sz w:val="18"/>
        </w:rPr>
        <w:footnoteRef/>
      </w:r>
      <w:r w:rsidRPr="00EB39F5">
        <w:rPr>
          <w:rFonts w:ascii="Arial" w:hAnsi="Arial" w:cs="Arial"/>
          <w:sz w:val="18"/>
        </w:rPr>
        <w:t xml:space="preserve"> QUINCHE R., Manuel F. Vías de hecho, acción de tutela contra providencias, Temis SA, Bogotá, 2013,    p.103.</w:t>
      </w:r>
    </w:p>
  </w:footnote>
  <w:footnote w:id="2">
    <w:p w:rsidR="001463B5" w:rsidRDefault="00954898" w:rsidP="00EB39F5">
      <w:pPr>
        <w:pStyle w:val="Textonotapie"/>
        <w:ind w:left="142" w:hanging="142"/>
        <w:jc w:val="both"/>
      </w:pPr>
      <w:r w:rsidRPr="00EB39F5">
        <w:rPr>
          <w:rStyle w:val="Refdenotaalpie"/>
          <w:rFonts w:ascii="Arial" w:hAnsi="Arial" w:cs="Arial"/>
          <w:sz w:val="18"/>
        </w:rPr>
        <w:footnoteRef/>
      </w:r>
      <w:r w:rsidRPr="00EB39F5">
        <w:rPr>
          <w:rFonts w:ascii="Arial" w:hAnsi="Arial" w:cs="Arial"/>
          <w:sz w:val="18"/>
        </w:rPr>
        <w:t xml:space="preserve"> QUIROGA N., Édgar A. Tutela contra decisiones judiciales, Universidad Santo Tomás y editorial Ibáñez, Bogotá  DC, 2014, p.83.</w:t>
      </w:r>
    </w:p>
  </w:footnote>
  <w:footnote w:id="3">
    <w:p w:rsidR="001463B5" w:rsidRDefault="00954898" w:rsidP="00EB39F5">
      <w:pPr>
        <w:pStyle w:val="Textonotapie"/>
        <w:jc w:val="both"/>
      </w:pPr>
      <w:r w:rsidRPr="00EB39F5">
        <w:rPr>
          <w:rStyle w:val="Refdenotaalpie"/>
          <w:rFonts w:ascii="Arial" w:hAnsi="Arial" w:cs="Arial"/>
          <w:sz w:val="18"/>
        </w:rPr>
        <w:footnoteRef/>
      </w:r>
      <w:r w:rsidRPr="00EB39F5">
        <w:rPr>
          <w:rFonts w:ascii="Arial" w:hAnsi="Arial" w:cs="Arial"/>
          <w:sz w:val="18"/>
        </w:rPr>
        <w:t xml:space="preserve"> </w:t>
      </w:r>
      <w:r w:rsidRPr="00EB39F5">
        <w:rPr>
          <w:rFonts w:ascii="Arial" w:hAnsi="Arial" w:cs="Arial"/>
          <w:sz w:val="18"/>
          <w:lang w:val="es-MX"/>
        </w:rPr>
        <w:t>CC. T-917 de 2011.</w:t>
      </w:r>
    </w:p>
  </w:footnote>
  <w:footnote w:id="4">
    <w:p w:rsidR="001463B5" w:rsidRDefault="00954898" w:rsidP="00EB39F5">
      <w:pPr>
        <w:pStyle w:val="Textonotapie"/>
        <w:jc w:val="both"/>
      </w:pPr>
      <w:r w:rsidRPr="00EB39F5">
        <w:rPr>
          <w:rStyle w:val="Refdenotaalpie"/>
          <w:rFonts w:ascii="Arial" w:hAnsi="Arial" w:cs="Arial"/>
          <w:sz w:val="18"/>
        </w:rPr>
        <w:footnoteRef/>
      </w:r>
      <w:r w:rsidRPr="00EB39F5">
        <w:rPr>
          <w:rFonts w:ascii="Arial" w:hAnsi="Arial" w:cs="Arial"/>
          <w:sz w:val="18"/>
          <w:lang w:val="es-MX"/>
        </w:rPr>
        <w:t xml:space="preserve"> CC. C-590 de 2005.</w:t>
      </w:r>
    </w:p>
  </w:footnote>
  <w:footnote w:id="5">
    <w:p w:rsidR="001463B5" w:rsidRDefault="00954898" w:rsidP="00EB39F5">
      <w:pPr>
        <w:pStyle w:val="Textonotapie"/>
        <w:jc w:val="both"/>
      </w:pPr>
      <w:r w:rsidRPr="00EB39F5">
        <w:rPr>
          <w:rStyle w:val="Refdenotaalpie"/>
          <w:rFonts w:ascii="Arial" w:hAnsi="Arial" w:cs="Arial"/>
          <w:sz w:val="18"/>
        </w:rPr>
        <w:footnoteRef/>
      </w:r>
      <w:r w:rsidRPr="00EB39F5">
        <w:rPr>
          <w:rFonts w:ascii="Arial" w:hAnsi="Arial" w:cs="Arial"/>
          <w:sz w:val="18"/>
          <w:lang w:val="es-MX"/>
        </w:rPr>
        <w:t xml:space="preserve"> CC. </w:t>
      </w:r>
      <w:r w:rsidRPr="00EB39F5">
        <w:rPr>
          <w:rFonts w:ascii="Arial" w:hAnsi="Arial" w:cs="Arial"/>
          <w:sz w:val="18"/>
        </w:rPr>
        <w:t xml:space="preserve">SU-037 de 2019, </w:t>
      </w:r>
      <w:r w:rsidRPr="00EB39F5">
        <w:rPr>
          <w:rFonts w:ascii="Arial" w:hAnsi="Arial" w:cs="Arial"/>
          <w:bCs/>
          <w:sz w:val="18"/>
        </w:rPr>
        <w:t>SU-056 de 2018</w:t>
      </w:r>
      <w:r w:rsidRPr="00EB39F5">
        <w:rPr>
          <w:rFonts w:ascii="Arial" w:hAnsi="Arial" w:cs="Arial"/>
          <w:sz w:val="18"/>
          <w:lang w:val="es-MX"/>
        </w:rPr>
        <w:t xml:space="preserve">, </w:t>
      </w:r>
      <w:hyperlink r:id="rId1" w:history="1">
        <w:r w:rsidRPr="00EB39F5">
          <w:rPr>
            <w:rStyle w:val="Hipervnculo"/>
            <w:rFonts w:ascii="Arial" w:hAnsi="Arial" w:cs="Arial"/>
            <w:bCs/>
            <w:color w:val="000000"/>
            <w:sz w:val="18"/>
            <w:u w:val="none"/>
          </w:rPr>
          <w:t>SU-336 de 2017</w:t>
        </w:r>
      </w:hyperlink>
      <w:r w:rsidRPr="00EB39F5">
        <w:rPr>
          <w:rFonts w:ascii="Arial" w:hAnsi="Arial" w:cs="Arial"/>
          <w:bCs/>
          <w:color w:val="000000"/>
          <w:sz w:val="18"/>
        </w:rPr>
        <w:t>, </w:t>
      </w:r>
      <w:hyperlink r:id="rId2" w:history="1">
        <w:r w:rsidRPr="00EB39F5">
          <w:rPr>
            <w:rStyle w:val="Hipervnculo"/>
            <w:rFonts w:ascii="Arial" w:hAnsi="Arial" w:cs="Arial"/>
            <w:bCs/>
            <w:color w:val="000000"/>
            <w:sz w:val="18"/>
            <w:u w:val="none"/>
          </w:rPr>
          <w:t>SU-354 de 2017</w:t>
        </w:r>
      </w:hyperlink>
      <w:r w:rsidRPr="00EB39F5">
        <w:rPr>
          <w:rFonts w:ascii="Arial" w:hAnsi="Arial" w:cs="Arial"/>
          <w:bCs/>
          <w:color w:val="000000"/>
          <w:sz w:val="18"/>
          <w:lang w:val="es-ES_tradnl"/>
        </w:rPr>
        <w:t xml:space="preserve">, </w:t>
      </w:r>
      <w:r w:rsidRPr="00EB39F5">
        <w:rPr>
          <w:rFonts w:ascii="Arial" w:hAnsi="Arial" w:cs="Arial"/>
          <w:bCs/>
          <w:sz w:val="18"/>
          <w:lang w:val="es-ES_tradnl"/>
        </w:rPr>
        <w:t xml:space="preserve">T-137 de 2017 y </w:t>
      </w:r>
      <w:r w:rsidRPr="00EB39F5">
        <w:rPr>
          <w:rFonts w:ascii="Arial" w:hAnsi="Arial" w:cs="Arial"/>
          <w:bCs/>
          <w:sz w:val="18"/>
        </w:rPr>
        <w:t>SU-222 de 2016</w:t>
      </w:r>
      <w:r w:rsidRPr="00EB39F5">
        <w:rPr>
          <w:rFonts w:ascii="Arial" w:hAnsi="Arial" w:cs="Arial"/>
          <w:sz w:val="18"/>
          <w:lang w:val="es-MX"/>
        </w:rPr>
        <w:t>.</w:t>
      </w:r>
    </w:p>
  </w:footnote>
  <w:footnote w:id="6">
    <w:p w:rsidR="001463B5" w:rsidRDefault="00954898" w:rsidP="00EB39F5">
      <w:pPr>
        <w:pStyle w:val="Textonotapie"/>
        <w:jc w:val="both"/>
      </w:pPr>
      <w:r w:rsidRPr="00EB39F5">
        <w:rPr>
          <w:rStyle w:val="Refdenotaalpie"/>
          <w:rFonts w:ascii="Arial" w:hAnsi="Arial" w:cs="Arial"/>
          <w:sz w:val="18"/>
        </w:rPr>
        <w:footnoteRef/>
      </w:r>
      <w:r w:rsidRPr="00EB39F5">
        <w:rPr>
          <w:rFonts w:ascii="Arial" w:hAnsi="Arial" w:cs="Arial"/>
          <w:sz w:val="18"/>
        </w:rPr>
        <w:t xml:space="preserve"> </w:t>
      </w:r>
      <w:r w:rsidRPr="00EB39F5">
        <w:rPr>
          <w:rFonts w:ascii="Arial" w:hAnsi="Arial" w:cs="Arial"/>
          <w:sz w:val="18"/>
          <w:lang w:val="es-MX"/>
        </w:rPr>
        <w:t>CC. SU-627 de 2015.</w:t>
      </w:r>
    </w:p>
  </w:footnote>
  <w:footnote w:id="7">
    <w:p w:rsidR="001463B5" w:rsidRDefault="00954898" w:rsidP="00EB39F5">
      <w:pPr>
        <w:pStyle w:val="Textonotapie"/>
        <w:ind w:left="142" w:hanging="142"/>
        <w:jc w:val="both"/>
      </w:pPr>
      <w:r w:rsidRPr="00EB39F5">
        <w:rPr>
          <w:rFonts w:ascii="Arial" w:hAnsi="Arial" w:cs="Arial"/>
          <w:sz w:val="18"/>
          <w:vertAlign w:val="superscript"/>
        </w:rPr>
        <w:footnoteRef/>
      </w:r>
      <w:r w:rsidRPr="00EB39F5">
        <w:rPr>
          <w:rFonts w:ascii="Arial" w:hAnsi="Arial" w:cs="Arial"/>
          <w:sz w:val="18"/>
        </w:rPr>
        <w:t xml:space="preserve"> ESCUELA JUDICIAL RODRIGO LARA BONILLA. La acción de tutela en el ordenamiento constitucional colombiano, Universidad Nacional de Colombia, Catalina Botero Marino, Ediprime Ltda., 2006, p.61-75.</w:t>
      </w:r>
    </w:p>
  </w:footnote>
  <w:footnote w:id="8">
    <w:p w:rsidR="001463B5" w:rsidRDefault="00954898" w:rsidP="00EB39F5">
      <w:pPr>
        <w:pStyle w:val="Textonotapie"/>
        <w:jc w:val="both"/>
      </w:pPr>
      <w:r w:rsidRPr="00EB39F5">
        <w:rPr>
          <w:rStyle w:val="Refdenotaalpie"/>
          <w:rFonts w:ascii="Arial" w:hAnsi="Arial" w:cs="Arial"/>
          <w:sz w:val="18"/>
          <w:lang w:val="es-CO"/>
        </w:rPr>
        <w:footnoteRef/>
      </w:r>
      <w:r w:rsidRPr="00EB39F5">
        <w:rPr>
          <w:rFonts w:ascii="Arial" w:hAnsi="Arial" w:cs="Arial"/>
          <w:sz w:val="18"/>
          <w:lang w:val="es-CO"/>
        </w:rPr>
        <w:t xml:space="preserve"> QUINCHE R., Manuel F. La acción de tutela, el amparo en Colombia, Bogotá DC, 2011, p.233-285.</w:t>
      </w:r>
    </w:p>
  </w:footnote>
  <w:footnote w:id="9">
    <w:p w:rsidR="001463B5" w:rsidRDefault="00954898" w:rsidP="00EB39F5">
      <w:pPr>
        <w:pStyle w:val="Textonotapie"/>
        <w:jc w:val="both"/>
      </w:pPr>
      <w:r w:rsidRPr="00EB39F5">
        <w:rPr>
          <w:rStyle w:val="Refdenotaalpie"/>
          <w:rFonts w:ascii="Arial" w:hAnsi="Arial" w:cs="Arial"/>
          <w:sz w:val="18"/>
        </w:rPr>
        <w:footnoteRef/>
      </w:r>
      <w:r w:rsidRPr="00EB39F5">
        <w:rPr>
          <w:rFonts w:ascii="Arial" w:hAnsi="Arial" w:cs="Arial"/>
          <w:sz w:val="18"/>
        </w:rPr>
        <w:t xml:space="preserve"> </w:t>
      </w:r>
      <w:r w:rsidRPr="00EB39F5">
        <w:rPr>
          <w:rFonts w:ascii="Arial" w:hAnsi="Arial" w:cs="Arial"/>
          <w:sz w:val="18"/>
          <w:lang w:val="es-CO"/>
        </w:rPr>
        <w:t>CC. T-024 de 2017.</w:t>
      </w:r>
    </w:p>
  </w:footnote>
  <w:footnote w:id="10">
    <w:p w:rsidR="001463B5" w:rsidRDefault="00954898" w:rsidP="00EB39F5">
      <w:pPr>
        <w:pStyle w:val="Textonotapie"/>
        <w:jc w:val="both"/>
      </w:pPr>
      <w:r w:rsidRPr="00EB39F5">
        <w:rPr>
          <w:rStyle w:val="Refdenotaalpie"/>
          <w:rFonts w:ascii="Arial" w:hAnsi="Arial" w:cs="Arial"/>
          <w:sz w:val="18"/>
        </w:rPr>
        <w:footnoteRef/>
      </w:r>
      <w:r w:rsidRPr="00EB39F5">
        <w:rPr>
          <w:rFonts w:ascii="Arial" w:hAnsi="Arial" w:cs="Arial"/>
          <w:sz w:val="18"/>
        </w:rPr>
        <w:t xml:space="preserve"> </w:t>
      </w:r>
      <w:r w:rsidRPr="00EB39F5">
        <w:rPr>
          <w:rFonts w:ascii="Arial" w:hAnsi="Arial" w:cs="Arial"/>
          <w:sz w:val="18"/>
          <w:lang w:val="es-CO"/>
        </w:rPr>
        <w:t>CC. T-034 de 2017.</w:t>
      </w:r>
    </w:p>
  </w:footnote>
  <w:footnote w:id="11">
    <w:p w:rsidR="001463B5" w:rsidRDefault="00954898" w:rsidP="00EB39F5">
      <w:pPr>
        <w:pStyle w:val="Textonotapie"/>
        <w:jc w:val="both"/>
      </w:pPr>
      <w:r w:rsidRPr="00EB39F5">
        <w:rPr>
          <w:rStyle w:val="Refdenotaalpie"/>
          <w:rFonts w:ascii="Arial" w:hAnsi="Arial" w:cs="Arial"/>
          <w:sz w:val="18"/>
        </w:rPr>
        <w:footnoteRef/>
      </w:r>
      <w:r w:rsidRPr="00EB39F5">
        <w:rPr>
          <w:rFonts w:ascii="Arial" w:hAnsi="Arial" w:cs="Arial"/>
          <w:sz w:val="18"/>
        </w:rPr>
        <w:t xml:space="preserve"> </w:t>
      </w:r>
      <w:r w:rsidRPr="00EB39F5">
        <w:rPr>
          <w:rFonts w:ascii="Arial" w:hAnsi="Arial" w:cs="Arial"/>
          <w:sz w:val="18"/>
          <w:lang w:val="es-CO"/>
        </w:rPr>
        <w:t xml:space="preserve">QUINCHE R., Manuel F. Vías de hecho. Acción de tutela contra providencias judiciales. Octava edición, Editorial Temis, Bogotá, 2013, p.128.   </w:t>
      </w:r>
    </w:p>
  </w:footnote>
  <w:footnote w:id="12">
    <w:p w:rsidR="001463B5" w:rsidRDefault="00954898" w:rsidP="00EB39F5">
      <w:pPr>
        <w:pStyle w:val="Textonotapie"/>
        <w:jc w:val="both"/>
      </w:pPr>
      <w:r w:rsidRPr="00EB39F5">
        <w:rPr>
          <w:rStyle w:val="Refdenotaalpie"/>
          <w:rFonts w:ascii="Arial" w:hAnsi="Arial" w:cs="Arial"/>
          <w:sz w:val="18"/>
        </w:rPr>
        <w:footnoteRef/>
      </w:r>
      <w:r w:rsidRPr="00EB39F5">
        <w:rPr>
          <w:rFonts w:ascii="Arial" w:hAnsi="Arial" w:cs="Arial"/>
          <w:sz w:val="18"/>
        </w:rPr>
        <w:t xml:space="preserve"> </w:t>
      </w:r>
      <w:r w:rsidRPr="00EB39F5">
        <w:rPr>
          <w:rFonts w:ascii="Arial" w:hAnsi="Arial" w:cs="Arial"/>
          <w:sz w:val="18"/>
          <w:lang w:val="es-MX"/>
        </w:rPr>
        <w:t xml:space="preserve">CC.  T-1180 de 2001, también las </w:t>
      </w:r>
      <w:r w:rsidRPr="00EB39F5">
        <w:rPr>
          <w:rFonts w:ascii="Arial" w:hAnsi="Arial" w:cs="Arial"/>
          <w:sz w:val="18"/>
        </w:rPr>
        <w:t>SU-159 de 2002, T-327 de 2011 y T-352 de 2012</w:t>
      </w:r>
      <w:r w:rsidRPr="00EB39F5">
        <w:rPr>
          <w:rFonts w:ascii="Arial" w:hAnsi="Arial" w:cs="Arial"/>
          <w:sz w:val="18"/>
          <w:lang w:val="es-MX"/>
        </w:rPr>
        <w:t>.</w:t>
      </w:r>
    </w:p>
  </w:footnote>
  <w:footnote w:id="13">
    <w:p w:rsidR="001463B5" w:rsidRDefault="00954898" w:rsidP="00EB39F5">
      <w:pPr>
        <w:pStyle w:val="Textonotapie"/>
        <w:jc w:val="both"/>
      </w:pPr>
      <w:r w:rsidRPr="00EB39F5">
        <w:rPr>
          <w:rStyle w:val="Refdenotaalpie"/>
          <w:rFonts w:ascii="Arial" w:hAnsi="Arial" w:cs="Arial"/>
          <w:sz w:val="18"/>
        </w:rPr>
        <w:footnoteRef/>
      </w:r>
      <w:r w:rsidRPr="00EB39F5">
        <w:rPr>
          <w:rFonts w:ascii="Arial" w:hAnsi="Arial" w:cs="Arial"/>
          <w:sz w:val="18"/>
        </w:rPr>
        <w:t xml:space="preserve"> </w:t>
      </w:r>
      <w:r w:rsidRPr="00EB39F5">
        <w:rPr>
          <w:rFonts w:ascii="Arial" w:hAnsi="Arial" w:cs="Arial"/>
          <w:sz w:val="18"/>
          <w:lang w:val="es-CO"/>
        </w:rPr>
        <w:t>CC. SU050-0218</w:t>
      </w:r>
    </w:p>
  </w:footnote>
  <w:footnote w:id="14">
    <w:p w:rsidR="001463B5" w:rsidRDefault="00954898" w:rsidP="00EB39F5">
      <w:pPr>
        <w:pStyle w:val="Textonotapie"/>
        <w:jc w:val="both"/>
      </w:pPr>
      <w:r w:rsidRPr="00EB39F5">
        <w:rPr>
          <w:rStyle w:val="Refdenotaalpie"/>
          <w:rFonts w:ascii="Arial" w:hAnsi="Arial" w:cs="Arial"/>
          <w:sz w:val="18"/>
        </w:rPr>
        <w:footnoteRef/>
      </w:r>
      <w:r w:rsidRPr="00EB39F5">
        <w:rPr>
          <w:rFonts w:ascii="Arial" w:hAnsi="Arial" w:cs="Arial"/>
          <w:sz w:val="18"/>
        </w:rPr>
        <w:t xml:space="preserve"> CC</w:t>
      </w:r>
      <w:r w:rsidR="00166428" w:rsidRPr="00EB39F5">
        <w:rPr>
          <w:rFonts w:ascii="Arial" w:hAnsi="Arial" w:cs="Arial"/>
          <w:sz w:val="18"/>
          <w:lang w:val="es-CO"/>
        </w:rPr>
        <w:t xml:space="preserve">. SU-499 de 2016, </w:t>
      </w:r>
      <w:r w:rsidRPr="00EB39F5">
        <w:rPr>
          <w:rFonts w:ascii="Arial" w:hAnsi="Arial" w:cs="Arial"/>
          <w:sz w:val="18"/>
        </w:rPr>
        <w:t>SU-108 de 2018</w:t>
      </w:r>
      <w:r w:rsidR="00166428" w:rsidRPr="00EB39F5">
        <w:rPr>
          <w:rFonts w:ascii="Arial" w:hAnsi="Arial" w:cs="Arial"/>
          <w:sz w:val="18"/>
        </w:rPr>
        <w:t xml:space="preserve"> y T-117 de 2019</w:t>
      </w:r>
      <w:r w:rsidRPr="00EB39F5">
        <w:rPr>
          <w:rFonts w:ascii="Arial" w:hAnsi="Arial" w:cs="Arial"/>
          <w:sz w:val="18"/>
          <w:lang w:val="es-CO"/>
        </w:rPr>
        <w:t xml:space="preserve">. </w:t>
      </w:r>
    </w:p>
  </w:footnote>
  <w:footnote w:id="15">
    <w:p w:rsidR="001463B5" w:rsidRDefault="00954898" w:rsidP="00EB39F5">
      <w:pPr>
        <w:pStyle w:val="Textonotapie"/>
        <w:jc w:val="both"/>
      </w:pPr>
      <w:r w:rsidRPr="00EB39F5">
        <w:rPr>
          <w:rStyle w:val="Refdenotaalpie"/>
          <w:rFonts w:ascii="Arial" w:hAnsi="Arial" w:cs="Arial"/>
          <w:sz w:val="18"/>
          <w:lang w:val="es-CO"/>
        </w:rPr>
        <w:footnoteRef/>
      </w:r>
      <w:r w:rsidRPr="00EB39F5">
        <w:rPr>
          <w:rFonts w:ascii="Arial" w:hAnsi="Arial" w:cs="Arial"/>
          <w:sz w:val="18"/>
          <w:lang w:val="es-CO"/>
        </w:rPr>
        <w:t xml:space="preserve"> </w:t>
      </w:r>
      <w:r w:rsidRPr="00EB39F5">
        <w:rPr>
          <w:rFonts w:ascii="Arial" w:hAnsi="Arial" w:cs="Arial"/>
          <w:sz w:val="18"/>
        </w:rPr>
        <w:t>CC</w:t>
      </w:r>
      <w:r w:rsidRPr="00EB39F5">
        <w:rPr>
          <w:rFonts w:ascii="Arial" w:hAnsi="Arial" w:cs="Arial"/>
          <w:sz w:val="18"/>
          <w:lang w:val="es-CO"/>
        </w:rPr>
        <w:t>. T-1079 de 2008 y T-079 de 2018.</w:t>
      </w:r>
    </w:p>
  </w:footnote>
  <w:footnote w:id="16">
    <w:p w:rsidR="001463B5" w:rsidRDefault="006031C1" w:rsidP="00EB39F5">
      <w:pPr>
        <w:pStyle w:val="Textonotapie"/>
        <w:jc w:val="both"/>
      </w:pPr>
      <w:r w:rsidRPr="00EB39F5">
        <w:rPr>
          <w:rStyle w:val="Refdenotaalpie"/>
          <w:rFonts w:ascii="Arial" w:hAnsi="Arial" w:cs="Arial"/>
          <w:sz w:val="18"/>
        </w:rPr>
        <w:footnoteRef/>
      </w:r>
      <w:r w:rsidRPr="00EB39F5">
        <w:rPr>
          <w:rFonts w:ascii="Arial" w:hAnsi="Arial" w:cs="Arial"/>
          <w:sz w:val="18"/>
        </w:rPr>
        <w:t xml:space="preserve"> CC. T-031 de 2016.</w:t>
      </w:r>
    </w:p>
  </w:footnote>
  <w:footnote w:id="17">
    <w:p w:rsidR="001463B5" w:rsidRDefault="006031C1" w:rsidP="00EB39F5">
      <w:pPr>
        <w:pStyle w:val="Textonotapie"/>
        <w:jc w:val="both"/>
      </w:pPr>
      <w:r w:rsidRPr="00EB39F5">
        <w:rPr>
          <w:rFonts w:ascii="Arial" w:hAnsi="Arial" w:cs="Arial"/>
          <w:sz w:val="18"/>
          <w:vertAlign w:val="superscript"/>
        </w:rPr>
        <w:footnoteRef/>
      </w:r>
      <w:r w:rsidRPr="00EB39F5">
        <w:rPr>
          <w:rFonts w:ascii="Arial" w:hAnsi="Arial" w:cs="Arial"/>
          <w:sz w:val="18"/>
        </w:rPr>
        <w:t xml:space="preserve"> CC. T-089 de 2008, T-983 de 2008 y T-491 de 2009.</w:t>
      </w:r>
    </w:p>
  </w:footnote>
  <w:footnote w:id="18">
    <w:p w:rsidR="001463B5" w:rsidRDefault="006031C1" w:rsidP="00EB39F5">
      <w:pPr>
        <w:pStyle w:val="Textonotapie"/>
        <w:jc w:val="both"/>
      </w:pPr>
      <w:r w:rsidRPr="00EB39F5">
        <w:rPr>
          <w:rFonts w:ascii="Arial" w:hAnsi="Arial" w:cs="Arial"/>
          <w:sz w:val="18"/>
          <w:vertAlign w:val="superscript"/>
        </w:rPr>
        <w:footnoteRef/>
      </w:r>
      <w:r w:rsidRPr="00EB39F5">
        <w:rPr>
          <w:rFonts w:ascii="Arial" w:hAnsi="Arial" w:cs="Arial"/>
          <w:sz w:val="18"/>
        </w:rPr>
        <w:t xml:space="preserve"> CC. T-189 de 2009, T-726 de 2010, T-581 de 2012, T-735 de 2013 y SU-037 de 2019.</w:t>
      </w:r>
    </w:p>
  </w:footnote>
  <w:footnote w:id="19">
    <w:p w:rsidR="001463B5" w:rsidRDefault="006031C1" w:rsidP="00EB39F5">
      <w:pPr>
        <w:pStyle w:val="Textonotapie"/>
        <w:jc w:val="both"/>
      </w:pPr>
      <w:r w:rsidRPr="00EB39F5">
        <w:rPr>
          <w:rStyle w:val="Refdenotaalpie"/>
          <w:rFonts w:ascii="Arial" w:hAnsi="Arial" w:cs="Arial"/>
          <w:sz w:val="18"/>
        </w:rPr>
        <w:footnoteRef/>
      </w:r>
      <w:r w:rsidRPr="00EB39F5">
        <w:rPr>
          <w:rFonts w:ascii="Arial" w:hAnsi="Arial" w:cs="Arial"/>
          <w:sz w:val="18"/>
        </w:rPr>
        <w:t xml:space="preserve"> TSP. Sentencia del 04-06-2019, MP: Grisales H., exp.66001-22-13-000-2019-00414-00, entre muchas otras.</w:t>
      </w:r>
    </w:p>
  </w:footnote>
  <w:footnote w:id="20">
    <w:p w:rsidR="001463B5" w:rsidRDefault="00954898" w:rsidP="00EB39F5">
      <w:pPr>
        <w:pStyle w:val="Textonotapie"/>
        <w:jc w:val="both"/>
      </w:pPr>
      <w:r w:rsidRPr="00EB39F5">
        <w:rPr>
          <w:rStyle w:val="Refdenotaalpie"/>
          <w:rFonts w:ascii="Arial" w:hAnsi="Arial" w:cs="Arial"/>
          <w:sz w:val="18"/>
        </w:rPr>
        <w:footnoteRef/>
      </w:r>
      <w:r w:rsidRPr="00EB39F5">
        <w:rPr>
          <w:rFonts w:ascii="Arial" w:hAnsi="Arial" w:cs="Arial"/>
          <w:sz w:val="18"/>
        </w:rPr>
        <w:t xml:space="preserve"> CC</w:t>
      </w:r>
      <w:r w:rsidRPr="00EB39F5">
        <w:rPr>
          <w:rFonts w:ascii="Arial" w:hAnsi="Arial" w:cs="Arial"/>
          <w:sz w:val="18"/>
          <w:lang w:val="es-CO"/>
        </w:rPr>
        <w:t>. SU 499 de 2016, T137 de 2017 y T-323 de 2017</w:t>
      </w:r>
      <w:r w:rsidRPr="00EB39F5">
        <w:rPr>
          <w:rFonts w:ascii="Arial" w:hAnsi="Arial" w:cs="Arial"/>
          <w:sz w:val="18"/>
        </w:rPr>
        <w:t xml:space="preserve">. </w:t>
      </w:r>
    </w:p>
  </w:footnote>
  <w:footnote w:id="21">
    <w:p w:rsidR="001463B5" w:rsidRDefault="00E312AA" w:rsidP="00EB39F5">
      <w:pPr>
        <w:pStyle w:val="Textonotapie"/>
        <w:jc w:val="both"/>
      </w:pPr>
      <w:r w:rsidRPr="00EB39F5">
        <w:rPr>
          <w:rStyle w:val="Refdenotaalpie"/>
          <w:rFonts w:ascii="Arial" w:hAnsi="Arial" w:cs="Arial"/>
          <w:sz w:val="18"/>
        </w:rPr>
        <w:footnoteRef/>
      </w:r>
      <w:r w:rsidRPr="00EB39F5">
        <w:rPr>
          <w:rFonts w:ascii="Arial" w:hAnsi="Arial" w:cs="Arial"/>
          <w:sz w:val="18"/>
        </w:rPr>
        <w:t xml:space="preserve"> </w:t>
      </w:r>
      <w:r w:rsidRPr="00EB39F5">
        <w:rPr>
          <w:rFonts w:ascii="Arial" w:hAnsi="Arial" w:cs="Arial"/>
          <w:sz w:val="18"/>
          <w:lang w:val="es-CO"/>
        </w:rPr>
        <w:t>CSJ. STC3310-2019, también pueden consultarse las STC3876-2019 y STC3505-2019.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F12" w:rsidRPr="007C23E2" w:rsidRDefault="00204F12">
    <w:pPr>
      <w:pStyle w:val="Encabezado"/>
      <w:pBdr>
        <w:bottom w:val="single" w:sz="4" w:space="1" w:color="D9D9D9"/>
      </w:pBdr>
      <w:jc w:val="right"/>
      <w:rPr>
        <w:rFonts w:ascii="Georgia" w:hAnsi="Georgia" w:cs="Calibri"/>
        <w:i/>
        <w:sz w:val="20"/>
      </w:rPr>
    </w:pPr>
    <w:r w:rsidRPr="007C23E2">
      <w:rPr>
        <w:rFonts w:ascii="Georgia" w:hAnsi="Georgia" w:cs="Calibri"/>
        <w:i/>
        <w:color w:val="7F7F7F"/>
        <w:spacing w:val="60"/>
        <w:sz w:val="20"/>
      </w:rPr>
      <w:t>Página</w:t>
    </w:r>
    <w:r w:rsidRPr="007C23E2">
      <w:rPr>
        <w:rFonts w:ascii="Georgia" w:hAnsi="Georgia" w:cs="Calibri"/>
        <w:i/>
        <w:sz w:val="20"/>
      </w:rPr>
      <w:t xml:space="preserve"> | </w:t>
    </w:r>
    <w:r w:rsidRPr="007C23E2">
      <w:rPr>
        <w:rFonts w:ascii="Georgia" w:hAnsi="Georgia" w:cs="Calibri"/>
        <w:i/>
        <w:sz w:val="20"/>
      </w:rPr>
      <w:fldChar w:fldCharType="begin"/>
    </w:r>
    <w:r w:rsidRPr="007C23E2">
      <w:rPr>
        <w:rFonts w:ascii="Georgia" w:hAnsi="Georgia" w:cs="Calibri"/>
        <w:i/>
        <w:sz w:val="20"/>
      </w:rPr>
      <w:instrText xml:space="preserve"> PAGE   \* MERGEFORMAT </w:instrText>
    </w:r>
    <w:r w:rsidRPr="007C23E2">
      <w:rPr>
        <w:rFonts w:ascii="Georgia" w:hAnsi="Georgia" w:cs="Calibri"/>
        <w:i/>
        <w:sz w:val="20"/>
      </w:rPr>
      <w:fldChar w:fldCharType="separate"/>
    </w:r>
    <w:r w:rsidR="008A0F9E">
      <w:rPr>
        <w:rFonts w:ascii="Georgia" w:hAnsi="Georgia" w:cs="Calibri"/>
        <w:i/>
        <w:noProof/>
        <w:sz w:val="20"/>
      </w:rPr>
      <w:t>7</w:t>
    </w:r>
    <w:r w:rsidRPr="007C23E2">
      <w:rPr>
        <w:rFonts w:ascii="Georgia" w:hAnsi="Georgia" w:cs="Calibri"/>
        <w:i/>
        <w:sz w:val="20"/>
      </w:rPr>
      <w:fldChar w:fldCharType="end"/>
    </w:r>
  </w:p>
  <w:p w:rsidR="00204F12" w:rsidRPr="003B0CC2" w:rsidRDefault="00204F12" w:rsidP="009C568C">
    <w:pPr>
      <w:pStyle w:val="Encabezado"/>
      <w:ind w:right="360"/>
      <w:jc w:val="both"/>
      <w:rPr>
        <w:rFonts w:ascii="Georgia" w:hAnsi="Georgia" w:cs="Calibri"/>
        <w:i/>
        <w:sz w:val="18"/>
        <w:szCs w:val="22"/>
      </w:rPr>
    </w:pPr>
    <w:r w:rsidRPr="003B0CC2">
      <w:rPr>
        <w:rFonts w:ascii="Georgia" w:hAnsi="Georgia" w:cs="Calibri"/>
        <w:i/>
        <w:sz w:val="18"/>
        <w:szCs w:val="22"/>
      </w:rPr>
      <w:t>EXPEDIENTE No.201</w:t>
    </w:r>
    <w:r>
      <w:rPr>
        <w:rFonts w:ascii="Georgia" w:hAnsi="Georgia" w:cs="Calibri"/>
        <w:i/>
        <w:sz w:val="18"/>
        <w:szCs w:val="22"/>
      </w:rPr>
      <w:t>9</w:t>
    </w:r>
    <w:r w:rsidRPr="003B0CC2">
      <w:rPr>
        <w:rFonts w:ascii="Georgia" w:hAnsi="Georgia" w:cs="Calibri"/>
        <w:i/>
        <w:sz w:val="18"/>
        <w:szCs w:val="22"/>
      </w:rPr>
      <w:t>-</w:t>
    </w:r>
    <w:r w:rsidR="00166428">
      <w:rPr>
        <w:rFonts w:ascii="Georgia" w:hAnsi="Georgia" w:cs="Calibri"/>
        <w:i/>
        <w:sz w:val="18"/>
        <w:szCs w:val="22"/>
      </w:rPr>
      <w:t>00062</w:t>
    </w:r>
    <w:r>
      <w:rPr>
        <w:rFonts w:ascii="Georgia" w:hAnsi="Georgia" w:cs="Calibri"/>
        <w:i/>
        <w:sz w:val="18"/>
        <w:szCs w:val="22"/>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B3DEC"/>
    <w:multiLevelType w:val="multilevel"/>
    <w:tmpl w:val="097C33BA"/>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A836A04"/>
    <w:multiLevelType w:val="hybridMultilevel"/>
    <w:tmpl w:val="6D0A8182"/>
    <w:lvl w:ilvl="0" w:tplc="BDC6C88C">
      <w:start w:val="1"/>
      <w:numFmt w:val="decimal"/>
      <w:lvlText w:val="%1."/>
      <w:lvlJc w:val="left"/>
      <w:pPr>
        <w:tabs>
          <w:tab w:val="num" w:pos="720"/>
        </w:tabs>
        <w:ind w:left="720" w:hanging="360"/>
      </w:pPr>
      <w:rPr>
        <w:rFonts w:cs="Times New Roman"/>
        <w:sz w:val="24"/>
        <w:szCs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06651A7"/>
    <w:multiLevelType w:val="multilevel"/>
    <w:tmpl w:val="8160DA8E"/>
    <w:lvl w:ilvl="0">
      <w:start w:val="6"/>
      <w:numFmt w:val="decimal"/>
      <w:lvlText w:val="%1."/>
      <w:lvlJc w:val="left"/>
      <w:pPr>
        <w:ind w:left="390" w:hanging="39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4">
    <w:nsid w:val="10CC1E1D"/>
    <w:multiLevelType w:val="multilevel"/>
    <w:tmpl w:val="F820AE90"/>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9742296"/>
    <w:multiLevelType w:val="multilevel"/>
    <w:tmpl w:val="C9FA1EEC"/>
    <w:lvl w:ilvl="0">
      <w:start w:val="7"/>
      <w:numFmt w:val="decimal"/>
      <w:lvlText w:val="%1."/>
      <w:lvlJc w:val="left"/>
      <w:pPr>
        <w:ind w:left="585" w:hanging="585"/>
      </w:pPr>
      <w:rPr>
        <w:rFonts w:cs="Times New Roman" w:hint="default"/>
      </w:rPr>
    </w:lvl>
    <w:lvl w:ilvl="1">
      <w:start w:val="3"/>
      <w:numFmt w:val="decimal"/>
      <w:lvlText w:val="%1.%2."/>
      <w:lvlJc w:val="left"/>
      <w:pPr>
        <w:ind w:left="720" w:hanging="720"/>
      </w:pPr>
      <w:rPr>
        <w:rFonts w:cs="Times New Roman" w:hint="default"/>
      </w:rPr>
    </w:lvl>
    <w:lvl w:ilvl="2">
      <w:start w:val="4"/>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nsid w:val="1B6519C6"/>
    <w:multiLevelType w:val="multilevel"/>
    <w:tmpl w:val="BBC8626C"/>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C081C89"/>
    <w:multiLevelType w:val="hybridMultilevel"/>
    <w:tmpl w:val="33E2B908"/>
    <w:lvl w:ilvl="0" w:tplc="F2C2B488">
      <w:start w:val="1"/>
      <w:numFmt w:val="decimal"/>
      <w:lvlText w:val="%1."/>
      <w:lvlJc w:val="left"/>
      <w:pPr>
        <w:ind w:left="363" w:hanging="360"/>
      </w:pPr>
      <w:rPr>
        <w:rFonts w:cs="Times New Roman" w:hint="default"/>
      </w:rPr>
    </w:lvl>
    <w:lvl w:ilvl="1" w:tplc="240A0019" w:tentative="1">
      <w:start w:val="1"/>
      <w:numFmt w:val="lowerLetter"/>
      <w:lvlText w:val="%2."/>
      <w:lvlJc w:val="left"/>
      <w:pPr>
        <w:ind w:left="1083" w:hanging="360"/>
      </w:pPr>
      <w:rPr>
        <w:rFonts w:cs="Times New Roman"/>
      </w:rPr>
    </w:lvl>
    <w:lvl w:ilvl="2" w:tplc="240A001B" w:tentative="1">
      <w:start w:val="1"/>
      <w:numFmt w:val="lowerRoman"/>
      <w:lvlText w:val="%3."/>
      <w:lvlJc w:val="right"/>
      <w:pPr>
        <w:ind w:left="1803" w:hanging="180"/>
      </w:pPr>
      <w:rPr>
        <w:rFonts w:cs="Times New Roman"/>
      </w:rPr>
    </w:lvl>
    <w:lvl w:ilvl="3" w:tplc="240A000F" w:tentative="1">
      <w:start w:val="1"/>
      <w:numFmt w:val="decimal"/>
      <w:lvlText w:val="%4."/>
      <w:lvlJc w:val="left"/>
      <w:pPr>
        <w:ind w:left="2523" w:hanging="360"/>
      </w:pPr>
      <w:rPr>
        <w:rFonts w:cs="Times New Roman"/>
      </w:rPr>
    </w:lvl>
    <w:lvl w:ilvl="4" w:tplc="240A0019" w:tentative="1">
      <w:start w:val="1"/>
      <w:numFmt w:val="lowerLetter"/>
      <w:lvlText w:val="%5."/>
      <w:lvlJc w:val="left"/>
      <w:pPr>
        <w:ind w:left="3243" w:hanging="360"/>
      </w:pPr>
      <w:rPr>
        <w:rFonts w:cs="Times New Roman"/>
      </w:rPr>
    </w:lvl>
    <w:lvl w:ilvl="5" w:tplc="240A001B" w:tentative="1">
      <w:start w:val="1"/>
      <w:numFmt w:val="lowerRoman"/>
      <w:lvlText w:val="%6."/>
      <w:lvlJc w:val="right"/>
      <w:pPr>
        <w:ind w:left="3963" w:hanging="180"/>
      </w:pPr>
      <w:rPr>
        <w:rFonts w:cs="Times New Roman"/>
      </w:rPr>
    </w:lvl>
    <w:lvl w:ilvl="6" w:tplc="240A000F" w:tentative="1">
      <w:start w:val="1"/>
      <w:numFmt w:val="decimal"/>
      <w:lvlText w:val="%7."/>
      <w:lvlJc w:val="left"/>
      <w:pPr>
        <w:ind w:left="4683" w:hanging="360"/>
      </w:pPr>
      <w:rPr>
        <w:rFonts w:cs="Times New Roman"/>
      </w:rPr>
    </w:lvl>
    <w:lvl w:ilvl="7" w:tplc="240A0019" w:tentative="1">
      <w:start w:val="1"/>
      <w:numFmt w:val="lowerLetter"/>
      <w:lvlText w:val="%8."/>
      <w:lvlJc w:val="left"/>
      <w:pPr>
        <w:ind w:left="5403" w:hanging="360"/>
      </w:pPr>
      <w:rPr>
        <w:rFonts w:cs="Times New Roman"/>
      </w:rPr>
    </w:lvl>
    <w:lvl w:ilvl="8" w:tplc="240A001B" w:tentative="1">
      <w:start w:val="1"/>
      <w:numFmt w:val="lowerRoman"/>
      <w:lvlText w:val="%9."/>
      <w:lvlJc w:val="right"/>
      <w:pPr>
        <w:ind w:left="6123" w:hanging="180"/>
      </w:pPr>
      <w:rPr>
        <w:rFonts w:cs="Times New Roman"/>
      </w:rPr>
    </w:lvl>
  </w:abstractNum>
  <w:abstractNum w:abstractNumId="9">
    <w:nsid w:val="1C830482"/>
    <w:multiLevelType w:val="multilevel"/>
    <w:tmpl w:val="26C242E6"/>
    <w:lvl w:ilvl="0">
      <w:start w:val="7"/>
      <w:numFmt w:val="decimal"/>
      <w:lvlText w:val="%1."/>
      <w:lvlJc w:val="left"/>
      <w:pPr>
        <w:ind w:left="360" w:hanging="360"/>
      </w:pPr>
      <w:rPr>
        <w:rFonts w:cs="Times New Roman" w:hint="default"/>
        <w:color w:val="auto"/>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10">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12">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13">
    <w:nsid w:val="27692C96"/>
    <w:multiLevelType w:val="multilevel"/>
    <w:tmpl w:val="45BA49C2"/>
    <w:lvl w:ilvl="0">
      <w:start w:val="7"/>
      <w:numFmt w:val="decimal"/>
      <w:lvlText w:val="%1."/>
      <w:lvlJc w:val="left"/>
      <w:pPr>
        <w:ind w:left="585" w:hanging="585"/>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284F2158"/>
    <w:multiLevelType w:val="multilevel"/>
    <w:tmpl w:val="F4A64F76"/>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2BF76823"/>
    <w:multiLevelType w:val="multilevel"/>
    <w:tmpl w:val="93E08B8C"/>
    <w:lvl w:ilvl="0">
      <w:start w:val="8"/>
      <w:numFmt w:val="decimal"/>
      <w:lvlText w:val="%1."/>
      <w:lvlJc w:val="left"/>
      <w:pPr>
        <w:ind w:left="390" w:hanging="39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6">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3451D7A"/>
    <w:multiLevelType w:val="multilevel"/>
    <w:tmpl w:val="2B48CABA"/>
    <w:lvl w:ilvl="0">
      <w:start w:val="8"/>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34FB3169"/>
    <w:multiLevelType w:val="multilevel"/>
    <w:tmpl w:val="86C0F3D4"/>
    <w:lvl w:ilvl="0">
      <w:start w:val="7"/>
      <w:numFmt w:val="decimal"/>
      <w:lvlText w:val="%1."/>
      <w:lvlJc w:val="left"/>
      <w:pPr>
        <w:ind w:left="390" w:hanging="390"/>
      </w:pPr>
      <w:rPr>
        <w:rFonts w:cs="Times New Roman" w:hint="default"/>
      </w:rPr>
    </w:lvl>
    <w:lvl w:ilvl="1">
      <w:start w:val="4"/>
      <w:numFmt w:val="decimal"/>
      <w:lvlText w:val="%1.%2."/>
      <w:lvlJc w:val="left"/>
      <w:pPr>
        <w:ind w:left="720" w:hanging="720"/>
      </w:pPr>
      <w:rPr>
        <w:rFonts w:cs="Times New Roman" w:hint="default"/>
      </w:rPr>
    </w:lvl>
    <w:lvl w:ilvl="2">
      <w:start w:val="1"/>
      <w:numFmt w:val="lowerLetter"/>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35ED096D"/>
    <w:multiLevelType w:val="hybridMultilevel"/>
    <w:tmpl w:val="A2A4F254"/>
    <w:lvl w:ilvl="0" w:tplc="240A000F">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1">
    <w:nsid w:val="36C30E45"/>
    <w:multiLevelType w:val="hybridMultilevel"/>
    <w:tmpl w:val="C5AE3F54"/>
    <w:lvl w:ilvl="0" w:tplc="B5C4CF2E">
      <w:start w:val="1"/>
      <w:numFmt w:val="lowerRoman"/>
      <w:lvlText w:val="(%1)"/>
      <w:lvlJc w:val="left"/>
      <w:pPr>
        <w:ind w:left="1080" w:hanging="720"/>
      </w:pPr>
      <w:rPr>
        <w:rFonts w:cs="Times New Roman" w:hint="default"/>
        <w:sz w:val="28"/>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3A946FF9"/>
    <w:multiLevelType w:val="multilevel"/>
    <w:tmpl w:val="D7FC672C"/>
    <w:lvl w:ilvl="0">
      <w:start w:val="8"/>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3CEA2151"/>
    <w:multiLevelType w:val="multilevel"/>
    <w:tmpl w:val="92D479F8"/>
    <w:lvl w:ilvl="0">
      <w:start w:val="7"/>
      <w:numFmt w:val="decimal"/>
      <w:lvlText w:val="%1."/>
      <w:lvlJc w:val="left"/>
      <w:pPr>
        <w:ind w:left="375" w:hanging="375"/>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856" w:hanging="144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5">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6">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475311EB"/>
    <w:multiLevelType w:val="multilevel"/>
    <w:tmpl w:val="175EC59C"/>
    <w:lvl w:ilvl="0">
      <w:start w:val="7"/>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nsid w:val="47C6382C"/>
    <w:multiLevelType w:val="hybridMultilevel"/>
    <w:tmpl w:val="96C80D0C"/>
    <w:lvl w:ilvl="0" w:tplc="F992FBE2">
      <w:start w:val="1"/>
      <w:numFmt w:val="decimal"/>
      <w:lvlText w:val="%1."/>
      <w:lvlJc w:val="left"/>
      <w:pPr>
        <w:ind w:left="360" w:hanging="360"/>
      </w:pPr>
      <w:rPr>
        <w:rFonts w:cs="Times New Roman"/>
        <w:sz w:val="24"/>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1">
    <w:nsid w:val="490E7326"/>
    <w:multiLevelType w:val="multilevel"/>
    <w:tmpl w:val="72F48A04"/>
    <w:lvl w:ilvl="0">
      <w:start w:val="8"/>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4">
    <w:nsid w:val="52CF0B2B"/>
    <w:multiLevelType w:val="multilevel"/>
    <w:tmpl w:val="286AF828"/>
    <w:lvl w:ilvl="0">
      <w:start w:val="7"/>
      <w:numFmt w:val="decimal"/>
      <w:lvlText w:val="%1."/>
      <w:lvlJc w:val="left"/>
      <w:pPr>
        <w:ind w:left="585" w:hanging="585"/>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6">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37">
    <w:nsid w:val="6A4A5A4C"/>
    <w:multiLevelType w:val="multilevel"/>
    <w:tmpl w:val="D8806736"/>
    <w:lvl w:ilvl="0">
      <w:start w:val="7"/>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42">
    <w:nsid w:val="7FD3069B"/>
    <w:multiLevelType w:val="hybridMultilevel"/>
    <w:tmpl w:val="1C381364"/>
    <w:lvl w:ilvl="0" w:tplc="65CCABF2">
      <w:start w:val="1"/>
      <w:numFmt w:val="decimal"/>
      <w:lvlText w:val="%1."/>
      <w:lvlJc w:val="left"/>
      <w:pPr>
        <w:ind w:left="780" w:hanging="42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41"/>
  </w:num>
  <w:num w:numId="2">
    <w:abstractNumId w:val="25"/>
  </w:num>
  <w:num w:numId="3">
    <w:abstractNumId w:val="22"/>
  </w:num>
  <w:num w:numId="4">
    <w:abstractNumId w:val="6"/>
  </w:num>
  <w:num w:numId="5">
    <w:abstractNumId w:val="38"/>
  </w:num>
  <w:num w:numId="6">
    <w:abstractNumId w:val="1"/>
  </w:num>
  <w:num w:numId="7">
    <w:abstractNumId w:val="32"/>
  </w:num>
  <w:num w:numId="8">
    <w:abstractNumId w:val="2"/>
  </w:num>
  <w:num w:numId="9">
    <w:abstractNumId w:val="39"/>
  </w:num>
  <w:num w:numId="10">
    <w:abstractNumId w:val="33"/>
  </w:num>
  <w:num w:numId="11">
    <w:abstractNumId w:val="28"/>
  </w:num>
  <w:num w:numId="12">
    <w:abstractNumId w:val="35"/>
  </w:num>
  <w:num w:numId="13">
    <w:abstractNumId w:val="16"/>
  </w:num>
  <w:num w:numId="14">
    <w:abstractNumId w:val="19"/>
  </w:num>
  <w:num w:numId="15">
    <w:abstractNumId w:val="26"/>
  </w:num>
  <w:num w:numId="16">
    <w:abstractNumId w:val="10"/>
  </w:num>
  <w:num w:numId="17">
    <w:abstractNumId w:val="27"/>
  </w:num>
  <w:num w:numId="18">
    <w:abstractNumId w:val="14"/>
  </w:num>
  <w:num w:numId="19">
    <w:abstractNumId w:val="11"/>
  </w:num>
  <w:num w:numId="20">
    <w:abstractNumId w:val="20"/>
  </w:num>
  <w:num w:numId="21">
    <w:abstractNumId w:val="30"/>
  </w:num>
  <w:num w:numId="22">
    <w:abstractNumId w:val="34"/>
  </w:num>
  <w:num w:numId="23">
    <w:abstractNumId w:val="13"/>
  </w:num>
  <w:num w:numId="24">
    <w:abstractNumId w:val="18"/>
  </w:num>
  <w:num w:numId="25">
    <w:abstractNumId w:val="14"/>
  </w:num>
  <w:num w:numId="26">
    <w:abstractNumId w:val="4"/>
  </w:num>
  <w:num w:numId="27">
    <w:abstractNumId w:val="40"/>
  </w:num>
  <w:num w:numId="28">
    <w:abstractNumId w:val="12"/>
  </w:num>
  <w:num w:numId="29">
    <w:abstractNumId w:val="36"/>
  </w:num>
  <w:num w:numId="30">
    <w:abstractNumId w:val="17"/>
  </w:num>
  <w:num w:numId="31">
    <w:abstractNumId w:val="23"/>
  </w:num>
  <w:num w:numId="32">
    <w:abstractNumId w:val="15"/>
  </w:num>
  <w:num w:numId="33">
    <w:abstractNumId w:val="31"/>
  </w:num>
  <w:num w:numId="34">
    <w:abstractNumId w:val="5"/>
  </w:num>
  <w:num w:numId="35">
    <w:abstractNumId w:val="37"/>
  </w:num>
  <w:num w:numId="36">
    <w:abstractNumId w:val="29"/>
  </w:num>
  <w:num w:numId="37">
    <w:abstractNumId w:val="24"/>
  </w:num>
  <w:num w:numId="38">
    <w:abstractNumId w:val="14"/>
  </w:num>
  <w:num w:numId="39">
    <w:abstractNumId w:val="9"/>
  </w:num>
  <w:num w:numId="40">
    <w:abstractNumId w:val="0"/>
  </w:num>
  <w:num w:numId="41">
    <w:abstractNumId w:val="3"/>
  </w:num>
  <w:num w:numId="42">
    <w:abstractNumId w:val="7"/>
  </w:num>
  <w:num w:numId="43">
    <w:abstractNumId w:val="8"/>
  </w:num>
  <w:num w:numId="44">
    <w:abstractNumId w:val="21"/>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0B01"/>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B94"/>
    <w:rsid w:val="00006CF5"/>
    <w:rsid w:val="00006D07"/>
    <w:rsid w:val="00007C0C"/>
    <w:rsid w:val="000103BF"/>
    <w:rsid w:val="00010589"/>
    <w:rsid w:val="00010828"/>
    <w:rsid w:val="00012205"/>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3AAF"/>
    <w:rsid w:val="00023C86"/>
    <w:rsid w:val="000240A4"/>
    <w:rsid w:val="00024136"/>
    <w:rsid w:val="000242CB"/>
    <w:rsid w:val="000243C4"/>
    <w:rsid w:val="00024442"/>
    <w:rsid w:val="000247B3"/>
    <w:rsid w:val="00024831"/>
    <w:rsid w:val="00024FF0"/>
    <w:rsid w:val="000256AC"/>
    <w:rsid w:val="00025EDE"/>
    <w:rsid w:val="00026116"/>
    <w:rsid w:val="00026255"/>
    <w:rsid w:val="000267D2"/>
    <w:rsid w:val="00026E86"/>
    <w:rsid w:val="000271AD"/>
    <w:rsid w:val="00027398"/>
    <w:rsid w:val="00027604"/>
    <w:rsid w:val="00027A6F"/>
    <w:rsid w:val="00030686"/>
    <w:rsid w:val="000311D1"/>
    <w:rsid w:val="00032C42"/>
    <w:rsid w:val="00033A58"/>
    <w:rsid w:val="0003401F"/>
    <w:rsid w:val="000341E2"/>
    <w:rsid w:val="00034A23"/>
    <w:rsid w:val="00035AC1"/>
    <w:rsid w:val="00035E46"/>
    <w:rsid w:val="00035F00"/>
    <w:rsid w:val="00036B5B"/>
    <w:rsid w:val="00036D33"/>
    <w:rsid w:val="00037093"/>
    <w:rsid w:val="0003761B"/>
    <w:rsid w:val="00040CFF"/>
    <w:rsid w:val="00040D5C"/>
    <w:rsid w:val="00040F01"/>
    <w:rsid w:val="0004100F"/>
    <w:rsid w:val="00041210"/>
    <w:rsid w:val="00042D53"/>
    <w:rsid w:val="00043741"/>
    <w:rsid w:val="00043ADF"/>
    <w:rsid w:val="00043BB5"/>
    <w:rsid w:val="00044181"/>
    <w:rsid w:val="000449B2"/>
    <w:rsid w:val="000454FB"/>
    <w:rsid w:val="00045578"/>
    <w:rsid w:val="000456B5"/>
    <w:rsid w:val="00045B1A"/>
    <w:rsid w:val="000466C3"/>
    <w:rsid w:val="00046FFB"/>
    <w:rsid w:val="000474A6"/>
    <w:rsid w:val="0004780D"/>
    <w:rsid w:val="00050177"/>
    <w:rsid w:val="000501A9"/>
    <w:rsid w:val="000503C6"/>
    <w:rsid w:val="00050733"/>
    <w:rsid w:val="00050EF2"/>
    <w:rsid w:val="00051418"/>
    <w:rsid w:val="0005233B"/>
    <w:rsid w:val="00052A79"/>
    <w:rsid w:val="00052EDD"/>
    <w:rsid w:val="00053152"/>
    <w:rsid w:val="00053F1D"/>
    <w:rsid w:val="0005410F"/>
    <w:rsid w:val="0005443E"/>
    <w:rsid w:val="00054679"/>
    <w:rsid w:val="000547E1"/>
    <w:rsid w:val="00055048"/>
    <w:rsid w:val="00055173"/>
    <w:rsid w:val="00055FDD"/>
    <w:rsid w:val="00057150"/>
    <w:rsid w:val="0006024F"/>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B97"/>
    <w:rsid w:val="00066E83"/>
    <w:rsid w:val="0006709B"/>
    <w:rsid w:val="00067566"/>
    <w:rsid w:val="00067715"/>
    <w:rsid w:val="00067A15"/>
    <w:rsid w:val="000708C1"/>
    <w:rsid w:val="00070DF7"/>
    <w:rsid w:val="000710BC"/>
    <w:rsid w:val="00071118"/>
    <w:rsid w:val="000717F8"/>
    <w:rsid w:val="000723F4"/>
    <w:rsid w:val="00072496"/>
    <w:rsid w:val="000727D7"/>
    <w:rsid w:val="00073248"/>
    <w:rsid w:val="000735CB"/>
    <w:rsid w:val="00073953"/>
    <w:rsid w:val="00073A0B"/>
    <w:rsid w:val="00074032"/>
    <w:rsid w:val="0007464B"/>
    <w:rsid w:val="000756CD"/>
    <w:rsid w:val="00075FCE"/>
    <w:rsid w:val="000769E5"/>
    <w:rsid w:val="000774AE"/>
    <w:rsid w:val="000803A5"/>
    <w:rsid w:val="00080DED"/>
    <w:rsid w:val="000812BB"/>
    <w:rsid w:val="00081F32"/>
    <w:rsid w:val="00081FDD"/>
    <w:rsid w:val="000824BB"/>
    <w:rsid w:val="00082813"/>
    <w:rsid w:val="000833E9"/>
    <w:rsid w:val="000844E0"/>
    <w:rsid w:val="00084796"/>
    <w:rsid w:val="000848B7"/>
    <w:rsid w:val="00085345"/>
    <w:rsid w:val="00085349"/>
    <w:rsid w:val="00085633"/>
    <w:rsid w:val="00085E66"/>
    <w:rsid w:val="00086468"/>
    <w:rsid w:val="000865B7"/>
    <w:rsid w:val="000865F3"/>
    <w:rsid w:val="000866B3"/>
    <w:rsid w:val="00086D9B"/>
    <w:rsid w:val="000878C7"/>
    <w:rsid w:val="000878F4"/>
    <w:rsid w:val="000879AA"/>
    <w:rsid w:val="00090BD7"/>
    <w:rsid w:val="00090D41"/>
    <w:rsid w:val="00091393"/>
    <w:rsid w:val="00091B3D"/>
    <w:rsid w:val="00091D44"/>
    <w:rsid w:val="0009208D"/>
    <w:rsid w:val="00092351"/>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4D0"/>
    <w:rsid w:val="000A2503"/>
    <w:rsid w:val="000A2572"/>
    <w:rsid w:val="000A2A13"/>
    <w:rsid w:val="000A3C40"/>
    <w:rsid w:val="000A40B6"/>
    <w:rsid w:val="000A537E"/>
    <w:rsid w:val="000A5381"/>
    <w:rsid w:val="000A59B5"/>
    <w:rsid w:val="000A5BE2"/>
    <w:rsid w:val="000A5D15"/>
    <w:rsid w:val="000A62DD"/>
    <w:rsid w:val="000A6331"/>
    <w:rsid w:val="000A6668"/>
    <w:rsid w:val="000A6800"/>
    <w:rsid w:val="000A6B64"/>
    <w:rsid w:val="000A73D7"/>
    <w:rsid w:val="000A7C26"/>
    <w:rsid w:val="000A7E6D"/>
    <w:rsid w:val="000B0256"/>
    <w:rsid w:val="000B133E"/>
    <w:rsid w:val="000B1650"/>
    <w:rsid w:val="000B19DE"/>
    <w:rsid w:val="000B1B8C"/>
    <w:rsid w:val="000B2347"/>
    <w:rsid w:val="000B245B"/>
    <w:rsid w:val="000B2478"/>
    <w:rsid w:val="000B2D52"/>
    <w:rsid w:val="000B329C"/>
    <w:rsid w:val="000B4029"/>
    <w:rsid w:val="000B415F"/>
    <w:rsid w:val="000B57FB"/>
    <w:rsid w:val="000B5E81"/>
    <w:rsid w:val="000B6E18"/>
    <w:rsid w:val="000B7061"/>
    <w:rsid w:val="000B7519"/>
    <w:rsid w:val="000B7527"/>
    <w:rsid w:val="000B7969"/>
    <w:rsid w:val="000B7B23"/>
    <w:rsid w:val="000B7C77"/>
    <w:rsid w:val="000B7F7C"/>
    <w:rsid w:val="000C0320"/>
    <w:rsid w:val="000C0986"/>
    <w:rsid w:val="000C09C4"/>
    <w:rsid w:val="000C0C0F"/>
    <w:rsid w:val="000C0E21"/>
    <w:rsid w:val="000C0E7A"/>
    <w:rsid w:val="000C134E"/>
    <w:rsid w:val="000C185C"/>
    <w:rsid w:val="000C1994"/>
    <w:rsid w:val="000C3702"/>
    <w:rsid w:val="000C3A32"/>
    <w:rsid w:val="000C401A"/>
    <w:rsid w:val="000C5052"/>
    <w:rsid w:val="000C585F"/>
    <w:rsid w:val="000C6119"/>
    <w:rsid w:val="000C69DD"/>
    <w:rsid w:val="000C71EA"/>
    <w:rsid w:val="000C727F"/>
    <w:rsid w:val="000C74DD"/>
    <w:rsid w:val="000C760A"/>
    <w:rsid w:val="000D152C"/>
    <w:rsid w:val="000D1769"/>
    <w:rsid w:val="000D2B3D"/>
    <w:rsid w:val="000D2D98"/>
    <w:rsid w:val="000D31B6"/>
    <w:rsid w:val="000D364C"/>
    <w:rsid w:val="000D3948"/>
    <w:rsid w:val="000D3F22"/>
    <w:rsid w:val="000D41CB"/>
    <w:rsid w:val="000D485C"/>
    <w:rsid w:val="000D6276"/>
    <w:rsid w:val="000D6D6E"/>
    <w:rsid w:val="000D6FEA"/>
    <w:rsid w:val="000D763A"/>
    <w:rsid w:val="000D78F8"/>
    <w:rsid w:val="000D7DD7"/>
    <w:rsid w:val="000E0370"/>
    <w:rsid w:val="000E042C"/>
    <w:rsid w:val="000E12BC"/>
    <w:rsid w:val="000E1D50"/>
    <w:rsid w:val="000E1F62"/>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47B"/>
    <w:rsid w:val="000E6695"/>
    <w:rsid w:val="000E69FE"/>
    <w:rsid w:val="000E6B90"/>
    <w:rsid w:val="000E6F57"/>
    <w:rsid w:val="000E7F9D"/>
    <w:rsid w:val="000F116A"/>
    <w:rsid w:val="000F195F"/>
    <w:rsid w:val="000F1AD0"/>
    <w:rsid w:val="000F1D48"/>
    <w:rsid w:val="000F1FDE"/>
    <w:rsid w:val="000F2939"/>
    <w:rsid w:val="000F33DC"/>
    <w:rsid w:val="000F3C5A"/>
    <w:rsid w:val="000F3CF5"/>
    <w:rsid w:val="000F4326"/>
    <w:rsid w:val="000F4709"/>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129"/>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6FD6"/>
    <w:rsid w:val="001178D1"/>
    <w:rsid w:val="00120C3E"/>
    <w:rsid w:val="0012140E"/>
    <w:rsid w:val="001214F8"/>
    <w:rsid w:val="00122552"/>
    <w:rsid w:val="001229BE"/>
    <w:rsid w:val="001229DE"/>
    <w:rsid w:val="00122B6C"/>
    <w:rsid w:val="0012348F"/>
    <w:rsid w:val="001235FF"/>
    <w:rsid w:val="00123A00"/>
    <w:rsid w:val="00123DA4"/>
    <w:rsid w:val="00124449"/>
    <w:rsid w:val="00124730"/>
    <w:rsid w:val="00124848"/>
    <w:rsid w:val="001248F2"/>
    <w:rsid w:val="00124FBD"/>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196"/>
    <w:rsid w:val="00134342"/>
    <w:rsid w:val="001345A4"/>
    <w:rsid w:val="001346F9"/>
    <w:rsid w:val="00134A69"/>
    <w:rsid w:val="00134A6A"/>
    <w:rsid w:val="00134ABA"/>
    <w:rsid w:val="00134F0A"/>
    <w:rsid w:val="001354B6"/>
    <w:rsid w:val="00135744"/>
    <w:rsid w:val="001358AF"/>
    <w:rsid w:val="0013596B"/>
    <w:rsid w:val="00135A59"/>
    <w:rsid w:val="00135B02"/>
    <w:rsid w:val="00135D4C"/>
    <w:rsid w:val="00136606"/>
    <w:rsid w:val="00136FE1"/>
    <w:rsid w:val="0013721C"/>
    <w:rsid w:val="0013771A"/>
    <w:rsid w:val="00137E97"/>
    <w:rsid w:val="0014012A"/>
    <w:rsid w:val="00141287"/>
    <w:rsid w:val="00141D52"/>
    <w:rsid w:val="001425BD"/>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6107"/>
    <w:rsid w:val="001463B5"/>
    <w:rsid w:val="00146C00"/>
    <w:rsid w:val="0014712D"/>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9E"/>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803"/>
    <w:rsid w:val="00164D6D"/>
    <w:rsid w:val="00164DB6"/>
    <w:rsid w:val="00165C60"/>
    <w:rsid w:val="00165F18"/>
    <w:rsid w:val="0016605C"/>
    <w:rsid w:val="00166428"/>
    <w:rsid w:val="00166D62"/>
    <w:rsid w:val="001677E3"/>
    <w:rsid w:val="001678A1"/>
    <w:rsid w:val="00167C8F"/>
    <w:rsid w:val="00170F1F"/>
    <w:rsid w:val="00171238"/>
    <w:rsid w:val="0017157E"/>
    <w:rsid w:val="001718F9"/>
    <w:rsid w:val="001721FB"/>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60"/>
    <w:rsid w:val="001850F3"/>
    <w:rsid w:val="00185571"/>
    <w:rsid w:val="0018632F"/>
    <w:rsid w:val="00186D6D"/>
    <w:rsid w:val="00187240"/>
    <w:rsid w:val="001877B0"/>
    <w:rsid w:val="0019006B"/>
    <w:rsid w:val="001902B8"/>
    <w:rsid w:val="00190BF7"/>
    <w:rsid w:val="001919A6"/>
    <w:rsid w:val="00192144"/>
    <w:rsid w:val="001929B6"/>
    <w:rsid w:val="0019341E"/>
    <w:rsid w:val="00193995"/>
    <w:rsid w:val="00193C99"/>
    <w:rsid w:val="00193D37"/>
    <w:rsid w:val="0019525B"/>
    <w:rsid w:val="00195D5E"/>
    <w:rsid w:val="0019739B"/>
    <w:rsid w:val="001A0527"/>
    <w:rsid w:val="001A07E8"/>
    <w:rsid w:val="001A0924"/>
    <w:rsid w:val="001A0973"/>
    <w:rsid w:val="001A0BC5"/>
    <w:rsid w:val="001A122A"/>
    <w:rsid w:val="001A143F"/>
    <w:rsid w:val="001A1A2B"/>
    <w:rsid w:val="001A1B54"/>
    <w:rsid w:val="001A1CE0"/>
    <w:rsid w:val="001A1EA0"/>
    <w:rsid w:val="001A1F48"/>
    <w:rsid w:val="001A23FB"/>
    <w:rsid w:val="001A2A8F"/>
    <w:rsid w:val="001A36BD"/>
    <w:rsid w:val="001A4D34"/>
    <w:rsid w:val="001A6A5E"/>
    <w:rsid w:val="001A6BD6"/>
    <w:rsid w:val="001A7270"/>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987"/>
    <w:rsid w:val="001C3B6F"/>
    <w:rsid w:val="001C3EE2"/>
    <w:rsid w:val="001C4208"/>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3E53"/>
    <w:rsid w:val="001D48C5"/>
    <w:rsid w:val="001D4BF9"/>
    <w:rsid w:val="001D51E9"/>
    <w:rsid w:val="001D5671"/>
    <w:rsid w:val="001D644E"/>
    <w:rsid w:val="001D6AA0"/>
    <w:rsid w:val="001D6F12"/>
    <w:rsid w:val="001D7253"/>
    <w:rsid w:val="001D7D12"/>
    <w:rsid w:val="001E0127"/>
    <w:rsid w:val="001E018D"/>
    <w:rsid w:val="001E04E1"/>
    <w:rsid w:val="001E0F78"/>
    <w:rsid w:val="001E115F"/>
    <w:rsid w:val="001E13C8"/>
    <w:rsid w:val="001E145B"/>
    <w:rsid w:val="001E15FE"/>
    <w:rsid w:val="001E18D3"/>
    <w:rsid w:val="001E2482"/>
    <w:rsid w:val="001E26CE"/>
    <w:rsid w:val="001E28E1"/>
    <w:rsid w:val="001E2C71"/>
    <w:rsid w:val="001E2CC7"/>
    <w:rsid w:val="001E2D07"/>
    <w:rsid w:val="001E2EB6"/>
    <w:rsid w:val="001E3291"/>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5EDC"/>
    <w:rsid w:val="001E66AE"/>
    <w:rsid w:val="001E672D"/>
    <w:rsid w:val="001E6E16"/>
    <w:rsid w:val="001E6F8F"/>
    <w:rsid w:val="001E72A0"/>
    <w:rsid w:val="001E7412"/>
    <w:rsid w:val="001E78FE"/>
    <w:rsid w:val="001E7A6A"/>
    <w:rsid w:val="001F083E"/>
    <w:rsid w:val="001F0A57"/>
    <w:rsid w:val="001F15C0"/>
    <w:rsid w:val="001F184A"/>
    <w:rsid w:val="001F1E16"/>
    <w:rsid w:val="001F25C3"/>
    <w:rsid w:val="001F347A"/>
    <w:rsid w:val="001F3588"/>
    <w:rsid w:val="001F36C2"/>
    <w:rsid w:val="001F39A6"/>
    <w:rsid w:val="001F4433"/>
    <w:rsid w:val="001F4532"/>
    <w:rsid w:val="001F464C"/>
    <w:rsid w:val="001F4656"/>
    <w:rsid w:val="001F4AEC"/>
    <w:rsid w:val="001F4D67"/>
    <w:rsid w:val="001F5358"/>
    <w:rsid w:val="001F574D"/>
    <w:rsid w:val="001F579E"/>
    <w:rsid w:val="001F5FAD"/>
    <w:rsid w:val="001F657C"/>
    <w:rsid w:val="001F6A2A"/>
    <w:rsid w:val="001F7109"/>
    <w:rsid w:val="001F71B3"/>
    <w:rsid w:val="001F7452"/>
    <w:rsid w:val="001F7A12"/>
    <w:rsid w:val="00200243"/>
    <w:rsid w:val="0020048B"/>
    <w:rsid w:val="00200C1A"/>
    <w:rsid w:val="00201038"/>
    <w:rsid w:val="002010AF"/>
    <w:rsid w:val="00201462"/>
    <w:rsid w:val="00201608"/>
    <w:rsid w:val="00202001"/>
    <w:rsid w:val="00202F72"/>
    <w:rsid w:val="002037E2"/>
    <w:rsid w:val="002044E3"/>
    <w:rsid w:val="00204529"/>
    <w:rsid w:val="00204EF6"/>
    <w:rsid w:val="00204F12"/>
    <w:rsid w:val="00204F71"/>
    <w:rsid w:val="00205278"/>
    <w:rsid w:val="002056C9"/>
    <w:rsid w:val="00205971"/>
    <w:rsid w:val="00205B17"/>
    <w:rsid w:val="00205B8C"/>
    <w:rsid w:val="00205CAA"/>
    <w:rsid w:val="00205F8A"/>
    <w:rsid w:val="002060F5"/>
    <w:rsid w:val="00206398"/>
    <w:rsid w:val="002064F4"/>
    <w:rsid w:val="00206857"/>
    <w:rsid w:val="0020765B"/>
    <w:rsid w:val="002078C7"/>
    <w:rsid w:val="00210558"/>
    <w:rsid w:val="00210A80"/>
    <w:rsid w:val="002117A8"/>
    <w:rsid w:val="00211BD4"/>
    <w:rsid w:val="00211DE4"/>
    <w:rsid w:val="00212487"/>
    <w:rsid w:val="002130F6"/>
    <w:rsid w:val="00213147"/>
    <w:rsid w:val="00213459"/>
    <w:rsid w:val="00213B31"/>
    <w:rsid w:val="00213B67"/>
    <w:rsid w:val="0021433F"/>
    <w:rsid w:val="00214D2E"/>
    <w:rsid w:val="00214E8E"/>
    <w:rsid w:val="0021559F"/>
    <w:rsid w:val="002156DA"/>
    <w:rsid w:val="002157EC"/>
    <w:rsid w:val="00215B86"/>
    <w:rsid w:val="00215B92"/>
    <w:rsid w:val="00215BFF"/>
    <w:rsid w:val="0021628B"/>
    <w:rsid w:val="00216DBE"/>
    <w:rsid w:val="0021708B"/>
    <w:rsid w:val="00217163"/>
    <w:rsid w:val="00217556"/>
    <w:rsid w:val="002175EB"/>
    <w:rsid w:val="00220029"/>
    <w:rsid w:val="00220254"/>
    <w:rsid w:val="00220B87"/>
    <w:rsid w:val="00220EE3"/>
    <w:rsid w:val="00220F6E"/>
    <w:rsid w:val="00221897"/>
    <w:rsid w:val="00222C3B"/>
    <w:rsid w:val="0022407E"/>
    <w:rsid w:val="002243D9"/>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D47"/>
    <w:rsid w:val="00232F91"/>
    <w:rsid w:val="0023348A"/>
    <w:rsid w:val="002337AB"/>
    <w:rsid w:val="0023398A"/>
    <w:rsid w:val="00233F38"/>
    <w:rsid w:val="002341A2"/>
    <w:rsid w:val="00235499"/>
    <w:rsid w:val="0023567F"/>
    <w:rsid w:val="00235C9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68E0"/>
    <w:rsid w:val="002470CC"/>
    <w:rsid w:val="00247994"/>
    <w:rsid w:val="00250539"/>
    <w:rsid w:val="00250CDA"/>
    <w:rsid w:val="00250DA7"/>
    <w:rsid w:val="00250EAE"/>
    <w:rsid w:val="002511FF"/>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67"/>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7FF"/>
    <w:rsid w:val="00265F36"/>
    <w:rsid w:val="00266971"/>
    <w:rsid w:val="00266F3B"/>
    <w:rsid w:val="002673D6"/>
    <w:rsid w:val="00267454"/>
    <w:rsid w:val="00270042"/>
    <w:rsid w:val="002708B8"/>
    <w:rsid w:val="00270A55"/>
    <w:rsid w:val="002711EA"/>
    <w:rsid w:val="0027130B"/>
    <w:rsid w:val="002713C4"/>
    <w:rsid w:val="00271459"/>
    <w:rsid w:val="002717D1"/>
    <w:rsid w:val="0027200A"/>
    <w:rsid w:val="0027235F"/>
    <w:rsid w:val="00272A4D"/>
    <w:rsid w:val="00272C95"/>
    <w:rsid w:val="00272D0C"/>
    <w:rsid w:val="00272DBA"/>
    <w:rsid w:val="00273364"/>
    <w:rsid w:val="00273E09"/>
    <w:rsid w:val="002740C5"/>
    <w:rsid w:val="00274A74"/>
    <w:rsid w:val="00274F41"/>
    <w:rsid w:val="002750C5"/>
    <w:rsid w:val="00275557"/>
    <w:rsid w:val="00275879"/>
    <w:rsid w:val="00275A26"/>
    <w:rsid w:val="00275A9C"/>
    <w:rsid w:val="00275C7C"/>
    <w:rsid w:val="002763DE"/>
    <w:rsid w:val="002766E6"/>
    <w:rsid w:val="002768B6"/>
    <w:rsid w:val="00277ACB"/>
    <w:rsid w:val="00277D77"/>
    <w:rsid w:val="00277FF1"/>
    <w:rsid w:val="002803AE"/>
    <w:rsid w:val="002804C6"/>
    <w:rsid w:val="00280657"/>
    <w:rsid w:val="002811E7"/>
    <w:rsid w:val="00281930"/>
    <w:rsid w:val="00281F39"/>
    <w:rsid w:val="002821C2"/>
    <w:rsid w:val="0028314C"/>
    <w:rsid w:val="002835B9"/>
    <w:rsid w:val="00283B13"/>
    <w:rsid w:val="00283CD0"/>
    <w:rsid w:val="00283DCB"/>
    <w:rsid w:val="00284181"/>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A65"/>
    <w:rsid w:val="00290DB8"/>
    <w:rsid w:val="0029164C"/>
    <w:rsid w:val="002916F2"/>
    <w:rsid w:val="00291730"/>
    <w:rsid w:val="00291B79"/>
    <w:rsid w:val="00291E5C"/>
    <w:rsid w:val="00292504"/>
    <w:rsid w:val="00292631"/>
    <w:rsid w:val="00292D61"/>
    <w:rsid w:val="0029330F"/>
    <w:rsid w:val="00293744"/>
    <w:rsid w:val="00293776"/>
    <w:rsid w:val="002939A0"/>
    <w:rsid w:val="0029423A"/>
    <w:rsid w:val="00294415"/>
    <w:rsid w:val="00295335"/>
    <w:rsid w:val="00295F3F"/>
    <w:rsid w:val="002962CC"/>
    <w:rsid w:val="002972E0"/>
    <w:rsid w:val="00297686"/>
    <w:rsid w:val="00297747"/>
    <w:rsid w:val="002978F7"/>
    <w:rsid w:val="00297C65"/>
    <w:rsid w:val="002A04ED"/>
    <w:rsid w:val="002A1105"/>
    <w:rsid w:val="002A15C7"/>
    <w:rsid w:val="002A23F3"/>
    <w:rsid w:val="002A26CA"/>
    <w:rsid w:val="002A283C"/>
    <w:rsid w:val="002A2E1A"/>
    <w:rsid w:val="002A427E"/>
    <w:rsid w:val="002A449C"/>
    <w:rsid w:val="002A4527"/>
    <w:rsid w:val="002A4660"/>
    <w:rsid w:val="002A4845"/>
    <w:rsid w:val="002A4B66"/>
    <w:rsid w:val="002A4D40"/>
    <w:rsid w:val="002A4D86"/>
    <w:rsid w:val="002A5224"/>
    <w:rsid w:val="002A5252"/>
    <w:rsid w:val="002A5CA9"/>
    <w:rsid w:val="002A5D8E"/>
    <w:rsid w:val="002A6014"/>
    <w:rsid w:val="002A6894"/>
    <w:rsid w:val="002A6A35"/>
    <w:rsid w:val="002A7D01"/>
    <w:rsid w:val="002A7FA0"/>
    <w:rsid w:val="002B0607"/>
    <w:rsid w:val="002B1301"/>
    <w:rsid w:val="002B1AFC"/>
    <w:rsid w:val="002B1D72"/>
    <w:rsid w:val="002B2263"/>
    <w:rsid w:val="002B24DA"/>
    <w:rsid w:val="002B3F7C"/>
    <w:rsid w:val="002B49BF"/>
    <w:rsid w:val="002B4AF2"/>
    <w:rsid w:val="002B551F"/>
    <w:rsid w:val="002B5533"/>
    <w:rsid w:val="002B57C0"/>
    <w:rsid w:val="002B5A72"/>
    <w:rsid w:val="002B5FD5"/>
    <w:rsid w:val="002B60F4"/>
    <w:rsid w:val="002B6E0B"/>
    <w:rsid w:val="002B7260"/>
    <w:rsid w:val="002B7288"/>
    <w:rsid w:val="002B7BAB"/>
    <w:rsid w:val="002C0121"/>
    <w:rsid w:val="002C0F8B"/>
    <w:rsid w:val="002C1091"/>
    <w:rsid w:val="002C2622"/>
    <w:rsid w:val="002C3B48"/>
    <w:rsid w:val="002C3E10"/>
    <w:rsid w:val="002C45F8"/>
    <w:rsid w:val="002C4684"/>
    <w:rsid w:val="002C4983"/>
    <w:rsid w:val="002C4AC0"/>
    <w:rsid w:val="002C4C30"/>
    <w:rsid w:val="002C5039"/>
    <w:rsid w:val="002C50BB"/>
    <w:rsid w:val="002C5523"/>
    <w:rsid w:val="002C5B41"/>
    <w:rsid w:val="002C5BB8"/>
    <w:rsid w:val="002C710C"/>
    <w:rsid w:val="002C771C"/>
    <w:rsid w:val="002C79F1"/>
    <w:rsid w:val="002D061F"/>
    <w:rsid w:val="002D065A"/>
    <w:rsid w:val="002D08EB"/>
    <w:rsid w:val="002D1B84"/>
    <w:rsid w:val="002D31B2"/>
    <w:rsid w:val="002D37CB"/>
    <w:rsid w:val="002D4132"/>
    <w:rsid w:val="002D4A2E"/>
    <w:rsid w:val="002D5C1A"/>
    <w:rsid w:val="002D62CE"/>
    <w:rsid w:val="002D6EEB"/>
    <w:rsid w:val="002D771B"/>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3E49"/>
    <w:rsid w:val="002E3F0D"/>
    <w:rsid w:val="002E44C0"/>
    <w:rsid w:val="002E4CD9"/>
    <w:rsid w:val="002E5AEF"/>
    <w:rsid w:val="002E5BE7"/>
    <w:rsid w:val="002E5C3E"/>
    <w:rsid w:val="002E6116"/>
    <w:rsid w:val="002E656F"/>
    <w:rsid w:val="002E6EB1"/>
    <w:rsid w:val="002E708B"/>
    <w:rsid w:val="002E7C89"/>
    <w:rsid w:val="002E7E3A"/>
    <w:rsid w:val="002F05F4"/>
    <w:rsid w:val="002F0909"/>
    <w:rsid w:val="002F11E7"/>
    <w:rsid w:val="002F1A51"/>
    <w:rsid w:val="002F24C2"/>
    <w:rsid w:val="002F2C09"/>
    <w:rsid w:val="002F377E"/>
    <w:rsid w:val="002F37F9"/>
    <w:rsid w:val="002F3875"/>
    <w:rsid w:val="002F3AAE"/>
    <w:rsid w:val="002F3E1D"/>
    <w:rsid w:val="002F413A"/>
    <w:rsid w:val="002F4C69"/>
    <w:rsid w:val="002F55D1"/>
    <w:rsid w:val="002F5CFC"/>
    <w:rsid w:val="002F6CFE"/>
    <w:rsid w:val="0030086F"/>
    <w:rsid w:val="00301345"/>
    <w:rsid w:val="00301699"/>
    <w:rsid w:val="00301CAF"/>
    <w:rsid w:val="00302001"/>
    <w:rsid w:val="00302228"/>
    <w:rsid w:val="003022D5"/>
    <w:rsid w:val="0030262F"/>
    <w:rsid w:val="00303DD9"/>
    <w:rsid w:val="00303E85"/>
    <w:rsid w:val="0030460A"/>
    <w:rsid w:val="00304C7E"/>
    <w:rsid w:val="003059FA"/>
    <w:rsid w:val="00305B90"/>
    <w:rsid w:val="003065E0"/>
    <w:rsid w:val="00307BEF"/>
    <w:rsid w:val="00307D28"/>
    <w:rsid w:val="00310057"/>
    <w:rsid w:val="003109EF"/>
    <w:rsid w:val="00310F89"/>
    <w:rsid w:val="0031156B"/>
    <w:rsid w:val="00311FEB"/>
    <w:rsid w:val="003120B9"/>
    <w:rsid w:val="00312A94"/>
    <w:rsid w:val="00312D17"/>
    <w:rsid w:val="00312FA4"/>
    <w:rsid w:val="0031379C"/>
    <w:rsid w:val="00313D5F"/>
    <w:rsid w:val="00313E08"/>
    <w:rsid w:val="0031408F"/>
    <w:rsid w:val="0031464A"/>
    <w:rsid w:val="00314889"/>
    <w:rsid w:val="00314B10"/>
    <w:rsid w:val="00314D8D"/>
    <w:rsid w:val="00316088"/>
    <w:rsid w:val="00316ABE"/>
    <w:rsid w:val="00316CAE"/>
    <w:rsid w:val="0031797D"/>
    <w:rsid w:val="0032018C"/>
    <w:rsid w:val="00320355"/>
    <w:rsid w:val="00320C23"/>
    <w:rsid w:val="00321495"/>
    <w:rsid w:val="003222EF"/>
    <w:rsid w:val="0032256F"/>
    <w:rsid w:val="00322B07"/>
    <w:rsid w:val="003232B0"/>
    <w:rsid w:val="00323F7B"/>
    <w:rsid w:val="003249F4"/>
    <w:rsid w:val="00325212"/>
    <w:rsid w:val="00325FDA"/>
    <w:rsid w:val="0032634B"/>
    <w:rsid w:val="003266C0"/>
    <w:rsid w:val="00326BCE"/>
    <w:rsid w:val="00326C60"/>
    <w:rsid w:val="00326CD4"/>
    <w:rsid w:val="003271C1"/>
    <w:rsid w:val="00327614"/>
    <w:rsid w:val="00330025"/>
    <w:rsid w:val="00330EF9"/>
    <w:rsid w:val="003327BC"/>
    <w:rsid w:val="0033370F"/>
    <w:rsid w:val="00333B52"/>
    <w:rsid w:val="00333FB6"/>
    <w:rsid w:val="00334539"/>
    <w:rsid w:val="00334A5D"/>
    <w:rsid w:val="00334C3A"/>
    <w:rsid w:val="00335D97"/>
    <w:rsid w:val="00335FCF"/>
    <w:rsid w:val="00336336"/>
    <w:rsid w:val="00336AC5"/>
    <w:rsid w:val="00337AED"/>
    <w:rsid w:val="00337F22"/>
    <w:rsid w:val="00340361"/>
    <w:rsid w:val="00340A36"/>
    <w:rsid w:val="00340F08"/>
    <w:rsid w:val="00341465"/>
    <w:rsid w:val="0034170A"/>
    <w:rsid w:val="00341EE9"/>
    <w:rsid w:val="00342323"/>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921"/>
    <w:rsid w:val="0035230A"/>
    <w:rsid w:val="00352556"/>
    <w:rsid w:val="003525B5"/>
    <w:rsid w:val="00352603"/>
    <w:rsid w:val="0035297D"/>
    <w:rsid w:val="003540DB"/>
    <w:rsid w:val="00354170"/>
    <w:rsid w:val="003543EA"/>
    <w:rsid w:val="00354C2E"/>
    <w:rsid w:val="0035568B"/>
    <w:rsid w:val="0035583A"/>
    <w:rsid w:val="00355D3C"/>
    <w:rsid w:val="003564DC"/>
    <w:rsid w:val="0035697E"/>
    <w:rsid w:val="00356C1E"/>
    <w:rsid w:val="00357240"/>
    <w:rsid w:val="0035784A"/>
    <w:rsid w:val="00357C99"/>
    <w:rsid w:val="00357D73"/>
    <w:rsid w:val="003603EC"/>
    <w:rsid w:val="0036055F"/>
    <w:rsid w:val="00360764"/>
    <w:rsid w:val="0036084B"/>
    <w:rsid w:val="00360BD4"/>
    <w:rsid w:val="00361290"/>
    <w:rsid w:val="00361A7A"/>
    <w:rsid w:val="003624F9"/>
    <w:rsid w:val="00362CB1"/>
    <w:rsid w:val="003632B0"/>
    <w:rsid w:val="003641DE"/>
    <w:rsid w:val="003648A3"/>
    <w:rsid w:val="00364989"/>
    <w:rsid w:val="00365254"/>
    <w:rsid w:val="003656BF"/>
    <w:rsid w:val="00365E29"/>
    <w:rsid w:val="0036612F"/>
    <w:rsid w:val="0036730A"/>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6F80"/>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383"/>
    <w:rsid w:val="003857BC"/>
    <w:rsid w:val="00385E43"/>
    <w:rsid w:val="003860A0"/>
    <w:rsid w:val="00386A62"/>
    <w:rsid w:val="0038712D"/>
    <w:rsid w:val="003903BD"/>
    <w:rsid w:val="00390E90"/>
    <w:rsid w:val="0039143D"/>
    <w:rsid w:val="00391560"/>
    <w:rsid w:val="00391B1A"/>
    <w:rsid w:val="00391FA3"/>
    <w:rsid w:val="003928A7"/>
    <w:rsid w:val="00392B62"/>
    <w:rsid w:val="00392B8A"/>
    <w:rsid w:val="00392F23"/>
    <w:rsid w:val="003931C4"/>
    <w:rsid w:val="003931D4"/>
    <w:rsid w:val="0039383D"/>
    <w:rsid w:val="003938A6"/>
    <w:rsid w:val="00395005"/>
    <w:rsid w:val="00395650"/>
    <w:rsid w:val="003968B3"/>
    <w:rsid w:val="00396F9B"/>
    <w:rsid w:val="00397153"/>
    <w:rsid w:val="00397174"/>
    <w:rsid w:val="00397548"/>
    <w:rsid w:val="003976E7"/>
    <w:rsid w:val="00397E40"/>
    <w:rsid w:val="003A04D5"/>
    <w:rsid w:val="003A0558"/>
    <w:rsid w:val="003A0BE6"/>
    <w:rsid w:val="003A0F78"/>
    <w:rsid w:val="003A1A7C"/>
    <w:rsid w:val="003A1BF0"/>
    <w:rsid w:val="003A1D51"/>
    <w:rsid w:val="003A1DC4"/>
    <w:rsid w:val="003A1E13"/>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CC2"/>
    <w:rsid w:val="003B0EE1"/>
    <w:rsid w:val="003B125D"/>
    <w:rsid w:val="003B12FB"/>
    <w:rsid w:val="003B1C6C"/>
    <w:rsid w:val="003B2EC7"/>
    <w:rsid w:val="003B3673"/>
    <w:rsid w:val="003B37F0"/>
    <w:rsid w:val="003B3C05"/>
    <w:rsid w:val="003B4005"/>
    <w:rsid w:val="003B4BAB"/>
    <w:rsid w:val="003B4FF8"/>
    <w:rsid w:val="003B50F3"/>
    <w:rsid w:val="003B5178"/>
    <w:rsid w:val="003B691D"/>
    <w:rsid w:val="003B6DD2"/>
    <w:rsid w:val="003B6E96"/>
    <w:rsid w:val="003B746D"/>
    <w:rsid w:val="003B7AD3"/>
    <w:rsid w:val="003C1886"/>
    <w:rsid w:val="003C1D50"/>
    <w:rsid w:val="003C2862"/>
    <w:rsid w:val="003C2EB2"/>
    <w:rsid w:val="003C3200"/>
    <w:rsid w:val="003C3727"/>
    <w:rsid w:val="003C3A12"/>
    <w:rsid w:val="003C4499"/>
    <w:rsid w:val="003C4B66"/>
    <w:rsid w:val="003C55A8"/>
    <w:rsid w:val="003C5640"/>
    <w:rsid w:val="003C5876"/>
    <w:rsid w:val="003C5B35"/>
    <w:rsid w:val="003C61F1"/>
    <w:rsid w:val="003C6555"/>
    <w:rsid w:val="003C6930"/>
    <w:rsid w:val="003C6DF0"/>
    <w:rsid w:val="003C6E39"/>
    <w:rsid w:val="003C7422"/>
    <w:rsid w:val="003C7EE5"/>
    <w:rsid w:val="003C7F07"/>
    <w:rsid w:val="003D0EEE"/>
    <w:rsid w:val="003D123A"/>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AAB"/>
    <w:rsid w:val="003D6BEE"/>
    <w:rsid w:val="003D7DC8"/>
    <w:rsid w:val="003E0D08"/>
    <w:rsid w:val="003E0DA0"/>
    <w:rsid w:val="003E15C3"/>
    <w:rsid w:val="003E15EB"/>
    <w:rsid w:val="003E17E9"/>
    <w:rsid w:val="003E18D8"/>
    <w:rsid w:val="003E2887"/>
    <w:rsid w:val="003E288D"/>
    <w:rsid w:val="003E35E2"/>
    <w:rsid w:val="003E3CD6"/>
    <w:rsid w:val="003E44F9"/>
    <w:rsid w:val="003E4897"/>
    <w:rsid w:val="003E5253"/>
    <w:rsid w:val="003E66CE"/>
    <w:rsid w:val="003E73B6"/>
    <w:rsid w:val="003F0054"/>
    <w:rsid w:val="003F01B3"/>
    <w:rsid w:val="003F13B4"/>
    <w:rsid w:val="003F1BE8"/>
    <w:rsid w:val="003F1D5C"/>
    <w:rsid w:val="003F2ADA"/>
    <w:rsid w:val="003F2BE4"/>
    <w:rsid w:val="003F3057"/>
    <w:rsid w:val="003F32D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48E"/>
    <w:rsid w:val="00405BFE"/>
    <w:rsid w:val="00405F51"/>
    <w:rsid w:val="00406A9E"/>
    <w:rsid w:val="00406FAB"/>
    <w:rsid w:val="004074D0"/>
    <w:rsid w:val="004075D1"/>
    <w:rsid w:val="004079E3"/>
    <w:rsid w:val="004104F0"/>
    <w:rsid w:val="004108FA"/>
    <w:rsid w:val="00410D9F"/>
    <w:rsid w:val="00411107"/>
    <w:rsid w:val="0041111B"/>
    <w:rsid w:val="00411435"/>
    <w:rsid w:val="00412707"/>
    <w:rsid w:val="00412781"/>
    <w:rsid w:val="004127DC"/>
    <w:rsid w:val="00413322"/>
    <w:rsid w:val="00413340"/>
    <w:rsid w:val="00414666"/>
    <w:rsid w:val="00414A51"/>
    <w:rsid w:val="00414CE6"/>
    <w:rsid w:val="00415E42"/>
    <w:rsid w:val="00416EC4"/>
    <w:rsid w:val="0041717F"/>
    <w:rsid w:val="00417DA5"/>
    <w:rsid w:val="004201F5"/>
    <w:rsid w:val="004207C6"/>
    <w:rsid w:val="00420BC3"/>
    <w:rsid w:val="00420CC5"/>
    <w:rsid w:val="00420E3F"/>
    <w:rsid w:val="00420E76"/>
    <w:rsid w:val="0042110C"/>
    <w:rsid w:val="00421150"/>
    <w:rsid w:val="00421AB7"/>
    <w:rsid w:val="00421D71"/>
    <w:rsid w:val="0042210D"/>
    <w:rsid w:val="00422745"/>
    <w:rsid w:val="00422D81"/>
    <w:rsid w:val="00422F85"/>
    <w:rsid w:val="004239AF"/>
    <w:rsid w:val="004239FA"/>
    <w:rsid w:val="00423D35"/>
    <w:rsid w:val="00424479"/>
    <w:rsid w:val="004244EE"/>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A87"/>
    <w:rsid w:val="00434CF1"/>
    <w:rsid w:val="00434F5B"/>
    <w:rsid w:val="00435CD3"/>
    <w:rsid w:val="004360F4"/>
    <w:rsid w:val="004361F0"/>
    <w:rsid w:val="00437116"/>
    <w:rsid w:val="00437198"/>
    <w:rsid w:val="00437C1F"/>
    <w:rsid w:val="00437D07"/>
    <w:rsid w:val="00440090"/>
    <w:rsid w:val="004412CA"/>
    <w:rsid w:val="00441EB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77D"/>
    <w:rsid w:val="00450A8F"/>
    <w:rsid w:val="00450F26"/>
    <w:rsid w:val="004513F3"/>
    <w:rsid w:val="00451431"/>
    <w:rsid w:val="00451F8A"/>
    <w:rsid w:val="0045270F"/>
    <w:rsid w:val="00453189"/>
    <w:rsid w:val="00453277"/>
    <w:rsid w:val="00453E95"/>
    <w:rsid w:val="004548B6"/>
    <w:rsid w:val="004549AD"/>
    <w:rsid w:val="00454F83"/>
    <w:rsid w:val="004557D6"/>
    <w:rsid w:val="00455F07"/>
    <w:rsid w:val="00456151"/>
    <w:rsid w:val="00457568"/>
    <w:rsid w:val="0045760F"/>
    <w:rsid w:val="00457916"/>
    <w:rsid w:val="00460CA9"/>
    <w:rsid w:val="0046126A"/>
    <w:rsid w:val="0046143A"/>
    <w:rsid w:val="0046196A"/>
    <w:rsid w:val="00461BB8"/>
    <w:rsid w:val="00461DD6"/>
    <w:rsid w:val="00461E46"/>
    <w:rsid w:val="00461E57"/>
    <w:rsid w:val="00461EBB"/>
    <w:rsid w:val="00462069"/>
    <w:rsid w:val="00462151"/>
    <w:rsid w:val="00462F25"/>
    <w:rsid w:val="0046344B"/>
    <w:rsid w:val="00463819"/>
    <w:rsid w:val="00463C79"/>
    <w:rsid w:val="00463DCC"/>
    <w:rsid w:val="0046413B"/>
    <w:rsid w:val="00464F84"/>
    <w:rsid w:val="00465137"/>
    <w:rsid w:val="00465173"/>
    <w:rsid w:val="00465C0B"/>
    <w:rsid w:val="00466234"/>
    <w:rsid w:val="0046657E"/>
    <w:rsid w:val="0046667A"/>
    <w:rsid w:val="00466EA1"/>
    <w:rsid w:val="0046731F"/>
    <w:rsid w:val="004673BB"/>
    <w:rsid w:val="00467960"/>
    <w:rsid w:val="0047000C"/>
    <w:rsid w:val="00471369"/>
    <w:rsid w:val="00471BFA"/>
    <w:rsid w:val="00471E93"/>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A74"/>
    <w:rsid w:val="004855F2"/>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D0E"/>
    <w:rsid w:val="004940D6"/>
    <w:rsid w:val="004940DE"/>
    <w:rsid w:val="00494F4B"/>
    <w:rsid w:val="00495FB0"/>
    <w:rsid w:val="00496B85"/>
    <w:rsid w:val="004978F6"/>
    <w:rsid w:val="0049795A"/>
    <w:rsid w:val="00497AE4"/>
    <w:rsid w:val="00497DE9"/>
    <w:rsid w:val="004A04BB"/>
    <w:rsid w:val="004A07D6"/>
    <w:rsid w:val="004A0C1E"/>
    <w:rsid w:val="004A0D37"/>
    <w:rsid w:val="004A0D74"/>
    <w:rsid w:val="004A0EE2"/>
    <w:rsid w:val="004A113B"/>
    <w:rsid w:val="004A20A1"/>
    <w:rsid w:val="004A2CBD"/>
    <w:rsid w:val="004A3125"/>
    <w:rsid w:val="004A41C8"/>
    <w:rsid w:val="004A486E"/>
    <w:rsid w:val="004A4C97"/>
    <w:rsid w:val="004A50E5"/>
    <w:rsid w:val="004A6046"/>
    <w:rsid w:val="004A6342"/>
    <w:rsid w:val="004A6376"/>
    <w:rsid w:val="004A6566"/>
    <w:rsid w:val="004B0159"/>
    <w:rsid w:val="004B019A"/>
    <w:rsid w:val="004B0B62"/>
    <w:rsid w:val="004B0DF8"/>
    <w:rsid w:val="004B0FC2"/>
    <w:rsid w:val="004B115F"/>
    <w:rsid w:val="004B1986"/>
    <w:rsid w:val="004B1BC3"/>
    <w:rsid w:val="004B1EB8"/>
    <w:rsid w:val="004B36EB"/>
    <w:rsid w:val="004B3732"/>
    <w:rsid w:val="004B3F03"/>
    <w:rsid w:val="004B3F1F"/>
    <w:rsid w:val="004B42FC"/>
    <w:rsid w:val="004B45E4"/>
    <w:rsid w:val="004B4FA9"/>
    <w:rsid w:val="004B7439"/>
    <w:rsid w:val="004B7598"/>
    <w:rsid w:val="004B779D"/>
    <w:rsid w:val="004B77EB"/>
    <w:rsid w:val="004C0EA4"/>
    <w:rsid w:val="004C112A"/>
    <w:rsid w:val="004C1276"/>
    <w:rsid w:val="004C13C2"/>
    <w:rsid w:val="004C1BA7"/>
    <w:rsid w:val="004C2241"/>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5FF"/>
    <w:rsid w:val="004D2734"/>
    <w:rsid w:val="004D2FAB"/>
    <w:rsid w:val="004D426C"/>
    <w:rsid w:val="004D49FA"/>
    <w:rsid w:val="004D4D7E"/>
    <w:rsid w:val="004D5EB0"/>
    <w:rsid w:val="004D6917"/>
    <w:rsid w:val="004D7268"/>
    <w:rsid w:val="004D732D"/>
    <w:rsid w:val="004D7886"/>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09C"/>
    <w:rsid w:val="004E5306"/>
    <w:rsid w:val="004E5D31"/>
    <w:rsid w:val="004E683C"/>
    <w:rsid w:val="004E68FB"/>
    <w:rsid w:val="004E6C03"/>
    <w:rsid w:val="004E6D93"/>
    <w:rsid w:val="004E6E4A"/>
    <w:rsid w:val="004E727B"/>
    <w:rsid w:val="004E7B1B"/>
    <w:rsid w:val="004F03F3"/>
    <w:rsid w:val="004F04E6"/>
    <w:rsid w:val="004F092F"/>
    <w:rsid w:val="004F0E54"/>
    <w:rsid w:val="004F1AB9"/>
    <w:rsid w:val="004F1CFF"/>
    <w:rsid w:val="004F2D5C"/>
    <w:rsid w:val="004F34AC"/>
    <w:rsid w:val="004F355E"/>
    <w:rsid w:val="004F3CCA"/>
    <w:rsid w:val="004F4022"/>
    <w:rsid w:val="004F478C"/>
    <w:rsid w:val="004F4806"/>
    <w:rsid w:val="004F481E"/>
    <w:rsid w:val="004F49D1"/>
    <w:rsid w:val="004F4D82"/>
    <w:rsid w:val="004F535A"/>
    <w:rsid w:val="004F53B1"/>
    <w:rsid w:val="004F637B"/>
    <w:rsid w:val="004F6979"/>
    <w:rsid w:val="004F6C7F"/>
    <w:rsid w:val="004F6FFF"/>
    <w:rsid w:val="004F7DEF"/>
    <w:rsid w:val="00500273"/>
    <w:rsid w:val="005009FD"/>
    <w:rsid w:val="0050145C"/>
    <w:rsid w:val="0050173F"/>
    <w:rsid w:val="00501997"/>
    <w:rsid w:val="005021C1"/>
    <w:rsid w:val="00502928"/>
    <w:rsid w:val="00502C45"/>
    <w:rsid w:val="00502D19"/>
    <w:rsid w:val="00502EC8"/>
    <w:rsid w:val="005037C7"/>
    <w:rsid w:val="00503C39"/>
    <w:rsid w:val="00505404"/>
    <w:rsid w:val="00505463"/>
    <w:rsid w:val="005062EF"/>
    <w:rsid w:val="00506822"/>
    <w:rsid w:val="0050746E"/>
    <w:rsid w:val="005075CB"/>
    <w:rsid w:val="00507B34"/>
    <w:rsid w:val="00507EC2"/>
    <w:rsid w:val="0051016F"/>
    <w:rsid w:val="005109D6"/>
    <w:rsid w:val="00510D72"/>
    <w:rsid w:val="00511336"/>
    <w:rsid w:val="005114B5"/>
    <w:rsid w:val="00511FE0"/>
    <w:rsid w:val="0051298F"/>
    <w:rsid w:val="00513CE7"/>
    <w:rsid w:val="00514033"/>
    <w:rsid w:val="0051508A"/>
    <w:rsid w:val="0051601E"/>
    <w:rsid w:val="0051621E"/>
    <w:rsid w:val="005162E8"/>
    <w:rsid w:val="00516EC7"/>
    <w:rsid w:val="00517626"/>
    <w:rsid w:val="0051793C"/>
    <w:rsid w:val="005179A1"/>
    <w:rsid w:val="00517A03"/>
    <w:rsid w:val="00517CB3"/>
    <w:rsid w:val="00517F75"/>
    <w:rsid w:val="005206C5"/>
    <w:rsid w:val="005208C0"/>
    <w:rsid w:val="00520ADF"/>
    <w:rsid w:val="00520E55"/>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09B"/>
    <w:rsid w:val="005304A8"/>
    <w:rsid w:val="005304D7"/>
    <w:rsid w:val="00530E49"/>
    <w:rsid w:val="00531979"/>
    <w:rsid w:val="005319C2"/>
    <w:rsid w:val="00532567"/>
    <w:rsid w:val="0053291C"/>
    <w:rsid w:val="00533725"/>
    <w:rsid w:val="00534064"/>
    <w:rsid w:val="005340A5"/>
    <w:rsid w:val="00534269"/>
    <w:rsid w:val="005342A8"/>
    <w:rsid w:val="00534744"/>
    <w:rsid w:val="0053537E"/>
    <w:rsid w:val="005358CE"/>
    <w:rsid w:val="005363AE"/>
    <w:rsid w:val="00536E5D"/>
    <w:rsid w:val="00537086"/>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9C5"/>
    <w:rsid w:val="00547CC0"/>
    <w:rsid w:val="00550E2F"/>
    <w:rsid w:val="00551BFA"/>
    <w:rsid w:val="00551FBB"/>
    <w:rsid w:val="0055282B"/>
    <w:rsid w:val="00553562"/>
    <w:rsid w:val="00553F9C"/>
    <w:rsid w:val="0055407B"/>
    <w:rsid w:val="0055419E"/>
    <w:rsid w:val="00554FD1"/>
    <w:rsid w:val="005556AD"/>
    <w:rsid w:val="00555BC2"/>
    <w:rsid w:val="005561DB"/>
    <w:rsid w:val="00556508"/>
    <w:rsid w:val="0055788B"/>
    <w:rsid w:val="0055798C"/>
    <w:rsid w:val="00557A1B"/>
    <w:rsid w:val="00557CDA"/>
    <w:rsid w:val="0056065A"/>
    <w:rsid w:val="00560D55"/>
    <w:rsid w:val="00561182"/>
    <w:rsid w:val="005619E2"/>
    <w:rsid w:val="00561C54"/>
    <w:rsid w:val="00561F4D"/>
    <w:rsid w:val="0056345F"/>
    <w:rsid w:val="005634DD"/>
    <w:rsid w:val="00564507"/>
    <w:rsid w:val="00564BF0"/>
    <w:rsid w:val="005652BE"/>
    <w:rsid w:val="00565F2A"/>
    <w:rsid w:val="00566506"/>
    <w:rsid w:val="005668FF"/>
    <w:rsid w:val="00566C2A"/>
    <w:rsid w:val="00566E18"/>
    <w:rsid w:val="00566FD2"/>
    <w:rsid w:val="00567185"/>
    <w:rsid w:val="00567722"/>
    <w:rsid w:val="0057016E"/>
    <w:rsid w:val="00570BB0"/>
    <w:rsid w:val="00571582"/>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EF8"/>
    <w:rsid w:val="00575F20"/>
    <w:rsid w:val="00576247"/>
    <w:rsid w:val="005764A9"/>
    <w:rsid w:val="00576899"/>
    <w:rsid w:val="005773D1"/>
    <w:rsid w:val="00577CC9"/>
    <w:rsid w:val="00577DAA"/>
    <w:rsid w:val="00580060"/>
    <w:rsid w:val="0058043E"/>
    <w:rsid w:val="005804C9"/>
    <w:rsid w:val="00580560"/>
    <w:rsid w:val="00580947"/>
    <w:rsid w:val="005819E7"/>
    <w:rsid w:val="00582A15"/>
    <w:rsid w:val="005842CF"/>
    <w:rsid w:val="005843B1"/>
    <w:rsid w:val="0058608C"/>
    <w:rsid w:val="005868FF"/>
    <w:rsid w:val="00586B40"/>
    <w:rsid w:val="00586D15"/>
    <w:rsid w:val="00587535"/>
    <w:rsid w:val="0058760B"/>
    <w:rsid w:val="005879EB"/>
    <w:rsid w:val="00587A58"/>
    <w:rsid w:val="00587E67"/>
    <w:rsid w:val="005900E8"/>
    <w:rsid w:val="00590AD2"/>
    <w:rsid w:val="005912EB"/>
    <w:rsid w:val="00591A2D"/>
    <w:rsid w:val="00591A34"/>
    <w:rsid w:val="00592D23"/>
    <w:rsid w:val="00594584"/>
    <w:rsid w:val="005946E0"/>
    <w:rsid w:val="00594F7E"/>
    <w:rsid w:val="00594FDC"/>
    <w:rsid w:val="0059514B"/>
    <w:rsid w:val="005951B2"/>
    <w:rsid w:val="00595487"/>
    <w:rsid w:val="005955FF"/>
    <w:rsid w:val="00596710"/>
    <w:rsid w:val="00596A3B"/>
    <w:rsid w:val="00596DB4"/>
    <w:rsid w:val="0059791D"/>
    <w:rsid w:val="005979AE"/>
    <w:rsid w:val="005A09B7"/>
    <w:rsid w:val="005A0B75"/>
    <w:rsid w:val="005A0DF6"/>
    <w:rsid w:val="005A28DF"/>
    <w:rsid w:val="005A2A11"/>
    <w:rsid w:val="005A2EBC"/>
    <w:rsid w:val="005A2F5B"/>
    <w:rsid w:val="005A340F"/>
    <w:rsid w:val="005A3516"/>
    <w:rsid w:val="005A406E"/>
    <w:rsid w:val="005A492B"/>
    <w:rsid w:val="005A4BD8"/>
    <w:rsid w:val="005A4EB0"/>
    <w:rsid w:val="005A4FEC"/>
    <w:rsid w:val="005A5084"/>
    <w:rsid w:val="005A571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1F5"/>
    <w:rsid w:val="005B4A1B"/>
    <w:rsid w:val="005B7137"/>
    <w:rsid w:val="005B72A9"/>
    <w:rsid w:val="005B7B38"/>
    <w:rsid w:val="005C053C"/>
    <w:rsid w:val="005C0A5A"/>
    <w:rsid w:val="005C0E70"/>
    <w:rsid w:val="005C14BE"/>
    <w:rsid w:val="005C1B37"/>
    <w:rsid w:val="005C1D46"/>
    <w:rsid w:val="005C20DF"/>
    <w:rsid w:val="005C274B"/>
    <w:rsid w:val="005C2D6E"/>
    <w:rsid w:val="005C2F15"/>
    <w:rsid w:val="005C3AA9"/>
    <w:rsid w:val="005C3B0E"/>
    <w:rsid w:val="005C50E4"/>
    <w:rsid w:val="005C5213"/>
    <w:rsid w:val="005C56E0"/>
    <w:rsid w:val="005C5879"/>
    <w:rsid w:val="005C59C2"/>
    <w:rsid w:val="005C65F4"/>
    <w:rsid w:val="005C6A5E"/>
    <w:rsid w:val="005C72B1"/>
    <w:rsid w:val="005D019C"/>
    <w:rsid w:val="005D0DA8"/>
    <w:rsid w:val="005D0EE4"/>
    <w:rsid w:val="005D125C"/>
    <w:rsid w:val="005D135A"/>
    <w:rsid w:val="005D1E61"/>
    <w:rsid w:val="005D1F60"/>
    <w:rsid w:val="005D2FDF"/>
    <w:rsid w:val="005D3A35"/>
    <w:rsid w:val="005D3B4D"/>
    <w:rsid w:val="005D3F12"/>
    <w:rsid w:val="005D42B9"/>
    <w:rsid w:val="005D44B4"/>
    <w:rsid w:val="005D4A88"/>
    <w:rsid w:val="005D4E7F"/>
    <w:rsid w:val="005D4F8D"/>
    <w:rsid w:val="005D510B"/>
    <w:rsid w:val="005D5193"/>
    <w:rsid w:val="005D51D7"/>
    <w:rsid w:val="005D5370"/>
    <w:rsid w:val="005D54B9"/>
    <w:rsid w:val="005D5959"/>
    <w:rsid w:val="005D6052"/>
    <w:rsid w:val="005D606E"/>
    <w:rsid w:val="005D63AC"/>
    <w:rsid w:val="005D63AE"/>
    <w:rsid w:val="005D7115"/>
    <w:rsid w:val="005D7450"/>
    <w:rsid w:val="005E006B"/>
    <w:rsid w:val="005E0DB6"/>
    <w:rsid w:val="005E1750"/>
    <w:rsid w:val="005E19F3"/>
    <w:rsid w:val="005E276A"/>
    <w:rsid w:val="005E2879"/>
    <w:rsid w:val="005E2BF7"/>
    <w:rsid w:val="005E2C13"/>
    <w:rsid w:val="005E3007"/>
    <w:rsid w:val="005E325C"/>
    <w:rsid w:val="005E3268"/>
    <w:rsid w:val="005E343B"/>
    <w:rsid w:val="005E3517"/>
    <w:rsid w:val="005E3C1B"/>
    <w:rsid w:val="005E3EA2"/>
    <w:rsid w:val="005E40B1"/>
    <w:rsid w:val="005E4A9E"/>
    <w:rsid w:val="005E4FAD"/>
    <w:rsid w:val="005E5111"/>
    <w:rsid w:val="005E5F41"/>
    <w:rsid w:val="005E6794"/>
    <w:rsid w:val="005E6A07"/>
    <w:rsid w:val="005E6DB2"/>
    <w:rsid w:val="005E73B9"/>
    <w:rsid w:val="005E7745"/>
    <w:rsid w:val="005F0692"/>
    <w:rsid w:val="005F0BA8"/>
    <w:rsid w:val="005F0C71"/>
    <w:rsid w:val="005F10FF"/>
    <w:rsid w:val="005F1D90"/>
    <w:rsid w:val="005F27EA"/>
    <w:rsid w:val="005F2D44"/>
    <w:rsid w:val="005F3125"/>
    <w:rsid w:val="005F3769"/>
    <w:rsid w:val="005F3951"/>
    <w:rsid w:val="005F3B66"/>
    <w:rsid w:val="005F3E08"/>
    <w:rsid w:val="005F474C"/>
    <w:rsid w:val="005F47CB"/>
    <w:rsid w:val="005F4905"/>
    <w:rsid w:val="005F4B0C"/>
    <w:rsid w:val="005F546E"/>
    <w:rsid w:val="005F555E"/>
    <w:rsid w:val="005F5A85"/>
    <w:rsid w:val="005F65BD"/>
    <w:rsid w:val="005F7D01"/>
    <w:rsid w:val="00600060"/>
    <w:rsid w:val="00600A68"/>
    <w:rsid w:val="00600B60"/>
    <w:rsid w:val="00601004"/>
    <w:rsid w:val="006011A0"/>
    <w:rsid w:val="006012A1"/>
    <w:rsid w:val="006012D2"/>
    <w:rsid w:val="00601CD6"/>
    <w:rsid w:val="00601F67"/>
    <w:rsid w:val="0060245E"/>
    <w:rsid w:val="0060249E"/>
    <w:rsid w:val="0060257D"/>
    <w:rsid w:val="00602AC2"/>
    <w:rsid w:val="00602ADE"/>
    <w:rsid w:val="00602E93"/>
    <w:rsid w:val="006031C1"/>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C8"/>
    <w:rsid w:val="006244D2"/>
    <w:rsid w:val="0062472B"/>
    <w:rsid w:val="00624817"/>
    <w:rsid w:val="00624AC1"/>
    <w:rsid w:val="00624D48"/>
    <w:rsid w:val="00625E13"/>
    <w:rsid w:val="006262D0"/>
    <w:rsid w:val="00626C89"/>
    <w:rsid w:val="006270BF"/>
    <w:rsid w:val="006277C7"/>
    <w:rsid w:val="006277EE"/>
    <w:rsid w:val="006278D9"/>
    <w:rsid w:val="00627A7C"/>
    <w:rsid w:val="00627C1B"/>
    <w:rsid w:val="006304B5"/>
    <w:rsid w:val="0063057B"/>
    <w:rsid w:val="00630872"/>
    <w:rsid w:val="00630CCB"/>
    <w:rsid w:val="00631011"/>
    <w:rsid w:val="00631466"/>
    <w:rsid w:val="006319BF"/>
    <w:rsid w:val="00631E09"/>
    <w:rsid w:val="00631F9A"/>
    <w:rsid w:val="006320EA"/>
    <w:rsid w:val="00633EB4"/>
    <w:rsid w:val="006343D5"/>
    <w:rsid w:val="00634C22"/>
    <w:rsid w:val="00634D43"/>
    <w:rsid w:val="00634FEE"/>
    <w:rsid w:val="006365A4"/>
    <w:rsid w:val="00636792"/>
    <w:rsid w:val="006369B3"/>
    <w:rsid w:val="00636C55"/>
    <w:rsid w:val="006372C3"/>
    <w:rsid w:val="006372ED"/>
    <w:rsid w:val="006377D0"/>
    <w:rsid w:val="00637FA1"/>
    <w:rsid w:val="0064084F"/>
    <w:rsid w:val="006413D0"/>
    <w:rsid w:val="006414E0"/>
    <w:rsid w:val="006414F7"/>
    <w:rsid w:val="00641577"/>
    <w:rsid w:val="00641BBB"/>
    <w:rsid w:val="006425C8"/>
    <w:rsid w:val="00642852"/>
    <w:rsid w:val="00642B14"/>
    <w:rsid w:val="00642F16"/>
    <w:rsid w:val="0064304B"/>
    <w:rsid w:val="0064346A"/>
    <w:rsid w:val="00643A51"/>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95A"/>
    <w:rsid w:val="00651F25"/>
    <w:rsid w:val="00651F3C"/>
    <w:rsid w:val="00652120"/>
    <w:rsid w:val="00652BE8"/>
    <w:rsid w:val="00652EB5"/>
    <w:rsid w:val="006532D1"/>
    <w:rsid w:val="00653540"/>
    <w:rsid w:val="00653C27"/>
    <w:rsid w:val="00653C29"/>
    <w:rsid w:val="006542CC"/>
    <w:rsid w:val="006546C4"/>
    <w:rsid w:val="00654D0B"/>
    <w:rsid w:val="00654DB6"/>
    <w:rsid w:val="006552F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0E4"/>
    <w:rsid w:val="006662A7"/>
    <w:rsid w:val="006669E9"/>
    <w:rsid w:val="00667682"/>
    <w:rsid w:val="00667844"/>
    <w:rsid w:val="00667E9D"/>
    <w:rsid w:val="00670818"/>
    <w:rsid w:val="00670D07"/>
    <w:rsid w:val="00671332"/>
    <w:rsid w:val="00671540"/>
    <w:rsid w:val="00671690"/>
    <w:rsid w:val="00671E37"/>
    <w:rsid w:val="006723E4"/>
    <w:rsid w:val="00672D56"/>
    <w:rsid w:val="00672E57"/>
    <w:rsid w:val="00673FCA"/>
    <w:rsid w:val="00674068"/>
    <w:rsid w:val="0067420C"/>
    <w:rsid w:val="0067472B"/>
    <w:rsid w:val="00674A79"/>
    <w:rsid w:val="0067589D"/>
    <w:rsid w:val="006758F9"/>
    <w:rsid w:val="00676248"/>
    <w:rsid w:val="00676E64"/>
    <w:rsid w:val="00677AA0"/>
    <w:rsid w:val="00677AB4"/>
    <w:rsid w:val="00677C1C"/>
    <w:rsid w:val="00681A85"/>
    <w:rsid w:val="00681DBE"/>
    <w:rsid w:val="006824C3"/>
    <w:rsid w:val="00682BD7"/>
    <w:rsid w:val="00683198"/>
    <w:rsid w:val="00683A69"/>
    <w:rsid w:val="00683DC4"/>
    <w:rsid w:val="00684255"/>
    <w:rsid w:val="006848D5"/>
    <w:rsid w:val="00684C8B"/>
    <w:rsid w:val="00684CBB"/>
    <w:rsid w:val="00685170"/>
    <w:rsid w:val="006857EF"/>
    <w:rsid w:val="0068603A"/>
    <w:rsid w:val="0068618F"/>
    <w:rsid w:val="006869C9"/>
    <w:rsid w:val="00686A03"/>
    <w:rsid w:val="006875A2"/>
    <w:rsid w:val="00687E4B"/>
    <w:rsid w:val="00690466"/>
    <w:rsid w:val="00690473"/>
    <w:rsid w:val="00690658"/>
    <w:rsid w:val="0069134C"/>
    <w:rsid w:val="00691C48"/>
    <w:rsid w:val="0069231C"/>
    <w:rsid w:val="00692A5A"/>
    <w:rsid w:val="00692D1E"/>
    <w:rsid w:val="00692F46"/>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3131"/>
    <w:rsid w:val="006A4829"/>
    <w:rsid w:val="006A50D9"/>
    <w:rsid w:val="006A522E"/>
    <w:rsid w:val="006A5A53"/>
    <w:rsid w:val="006A64CC"/>
    <w:rsid w:val="006A672F"/>
    <w:rsid w:val="006A6968"/>
    <w:rsid w:val="006A7A1D"/>
    <w:rsid w:val="006A7CCB"/>
    <w:rsid w:val="006B0120"/>
    <w:rsid w:val="006B0770"/>
    <w:rsid w:val="006B0A6C"/>
    <w:rsid w:val="006B0E46"/>
    <w:rsid w:val="006B1091"/>
    <w:rsid w:val="006B1931"/>
    <w:rsid w:val="006B24C2"/>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638"/>
    <w:rsid w:val="006C3C38"/>
    <w:rsid w:val="006C41DB"/>
    <w:rsid w:val="006C45EE"/>
    <w:rsid w:val="006C57E6"/>
    <w:rsid w:val="006C5A70"/>
    <w:rsid w:val="006C5B0C"/>
    <w:rsid w:val="006C5FEC"/>
    <w:rsid w:val="006C6DAD"/>
    <w:rsid w:val="006C743F"/>
    <w:rsid w:val="006C7450"/>
    <w:rsid w:val="006C74D5"/>
    <w:rsid w:val="006C7531"/>
    <w:rsid w:val="006C76EA"/>
    <w:rsid w:val="006C7B76"/>
    <w:rsid w:val="006C7BD5"/>
    <w:rsid w:val="006C7FAA"/>
    <w:rsid w:val="006D0A67"/>
    <w:rsid w:val="006D0B93"/>
    <w:rsid w:val="006D0DF4"/>
    <w:rsid w:val="006D1908"/>
    <w:rsid w:val="006D2039"/>
    <w:rsid w:val="006D2092"/>
    <w:rsid w:val="006D23C0"/>
    <w:rsid w:val="006D2877"/>
    <w:rsid w:val="006D30B9"/>
    <w:rsid w:val="006D360E"/>
    <w:rsid w:val="006D366C"/>
    <w:rsid w:val="006D3E24"/>
    <w:rsid w:val="006D420A"/>
    <w:rsid w:val="006D443A"/>
    <w:rsid w:val="006D44CA"/>
    <w:rsid w:val="006D4937"/>
    <w:rsid w:val="006D508F"/>
    <w:rsid w:val="006D50CE"/>
    <w:rsid w:val="006D557E"/>
    <w:rsid w:val="006D5C87"/>
    <w:rsid w:val="006D6594"/>
    <w:rsid w:val="006D6C1F"/>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70F"/>
    <w:rsid w:val="006E7847"/>
    <w:rsid w:val="006E7BBA"/>
    <w:rsid w:val="006E7CF0"/>
    <w:rsid w:val="006F0172"/>
    <w:rsid w:val="006F07D5"/>
    <w:rsid w:val="006F0C81"/>
    <w:rsid w:val="006F104D"/>
    <w:rsid w:val="006F1077"/>
    <w:rsid w:val="006F1601"/>
    <w:rsid w:val="006F21D4"/>
    <w:rsid w:val="006F2376"/>
    <w:rsid w:val="006F2D04"/>
    <w:rsid w:val="006F3195"/>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3FD2"/>
    <w:rsid w:val="00704666"/>
    <w:rsid w:val="007049D2"/>
    <w:rsid w:val="00704A64"/>
    <w:rsid w:val="00704CBD"/>
    <w:rsid w:val="00704D44"/>
    <w:rsid w:val="00705F12"/>
    <w:rsid w:val="0070650E"/>
    <w:rsid w:val="007073D1"/>
    <w:rsid w:val="00707472"/>
    <w:rsid w:val="00707648"/>
    <w:rsid w:val="00707B0A"/>
    <w:rsid w:val="007106FD"/>
    <w:rsid w:val="00710928"/>
    <w:rsid w:val="00710A01"/>
    <w:rsid w:val="0071180F"/>
    <w:rsid w:val="0071185F"/>
    <w:rsid w:val="007118F0"/>
    <w:rsid w:val="0071194E"/>
    <w:rsid w:val="00711C9A"/>
    <w:rsid w:val="00712527"/>
    <w:rsid w:val="00712D7D"/>
    <w:rsid w:val="00713119"/>
    <w:rsid w:val="00713A83"/>
    <w:rsid w:val="007149F4"/>
    <w:rsid w:val="0071543E"/>
    <w:rsid w:val="007154A5"/>
    <w:rsid w:val="007154F9"/>
    <w:rsid w:val="007161AC"/>
    <w:rsid w:val="00716797"/>
    <w:rsid w:val="00717574"/>
    <w:rsid w:val="00720F6E"/>
    <w:rsid w:val="007229B8"/>
    <w:rsid w:val="00722FB5"/>
    <w:rsid w:val="00723794"/>
    <w:rsid w:val="007238F7"/>
    <w:rsid w:val="0072424E"/>
    <w:rsid w:val="0072436C"/>
    <w:rsid w:val="00724BAB"/>
    <w:rsid w:val="00725242"/>
    <w:rsid w:val="0072524B"/>
    <w:rsid w:val="00725E62"/>
    <w:rsid w:val="007261EE"/>
    <w:rsid w:val="007263B2"/>
    <w:rsid w:val="007266D3"/>
    <w:rsid w:val="00726918"/>
    <w:rsid w:val="00727095"/>
    <w:rsid w:val="0073083F"/>
    <w:rsid w:val="00730CA7"/>
    <w:rsid w:val="00731783"/>
    <w:rsid w:val="00731BD2"/>
    <w:rsid w:val="00731DFD"/>
    <w:rsid w:val="0073215F"/>
    <w:rsid w:val="00732540"/>
    <w:rsid w:val="0073284C"/>
    <w:rsid w:val="00732D0C"/>
    <w:rsid w:val="007334BF"/>
    <w:rsid w:val="007336C1"/>
    <w:rsid w:val="007338EA"/>
    <w:rsid w:val="00733969"/>
    <w:rsid w:val="00733F1E"/>
    <w:rsid w:val="007346DF"/>
    <w:rsid w:val="00734D26"/>
    <w:rsid w:val="0073523B"/>
    <w:rsid w:val="007352E5"/>
    <w:rsid w:val="0073593B"/>
    <w:rsid w:val="0073683E"/>
    <w:rsid w:val="00736A93"/>
    <w:rsid w:val="00736D0F"/>
    <w:rsid w:val="007374A7"/>
    <w:rsid w:val="0073760C"/>
    <w:rsid w:val="00737D3F"/>
    <w:rsid w:val="007400D3"/>
    <w:rsid w:val="00740370"/>
    <w:rsid w:val="00740C9E"/>
    <w:rsid w:val="007418F2"/>
    <w:rsid w:val="007422B7"/>
    <w:rsid w:val="00742DAD"/>
    <w:rsid w:val="00742E38"/>
    <w:rsid w:val="00744984"/>
    <w:rsid w:val="00744FF6"/>
    <w:rsid w:val="00745434"/>
    <w:rsid w:val="00745751"/>
    <w:rsid w:val="00746514"/>
    <w:rsid w:val="00746707"/>
    <w:rsid w:val="00746775"/>
    <w:rsid w:val="00746A59"/>
    <w:rsid w:val="00746D51"/>
    <w:rsid w:val="007475F9"/>
    <w:rsid w:val="00747715"/>
    <w:rsid w:val="00747AA7"/>
    <w:rsid w:val="00747E14"/>
    <w:rsid w:val="00750723"/>
    <w:rsid w:val="007507D7"/>
    <w:rsid w:val="007508C9"/>
    <w:rsid w:val="00750900"/>
    <w:rsid w:val="00750E43"/>
    <w:rsid w:val="00750FB3"/>
    <w:rsid w:val="0075117C"/>
    <w:rsid w:val="00751A43"/>
    <w:rsid w:val="00751BDA"/>
    <w:rsid w:val="00751F95"/>
    <w:rsid w:val="0075358D"/>
    <w:rsid w:val="00754365"/>
    <w:rsid w:val="007547A7"/>
    <w:rsid w:val="00754C5E"/>
    <w:rsid w:val="00754D42"/>
    <w:rsid w:val="00755273"/>
    <w:rsid w:val="0075616D"/>
    <w:rsid w:val="007561FF"/>
    <w:rsid w:val="00756584"/>
    <w:rsid w:val="00756756"/>
    <w:rsid w:val="00757AEF"/>
    <w:rsid w:val="00757EF4"/>
    <w:rsid w:val="00760440"/>
    <w:rsid w:val="0076092D"/>
    <w:rsid w:val="00760ECB"/>
    <w:rsid w:val="0076120B"/>
    <w:rsid w:val="00761D99"/>
    <w:rsid w:val="0076212C"/>
    <w:rsid w:val="0076227A"/>
    <w:rsid w:val="007629EC"/>
    <w:rsid w:val="00762B3A"/>
    <w:rsid w:val="0076340A"/>
    <w:rsid w:val="0076379F"/>
    <w:rsid w:val="0076398E"/>
    <w:rsid w:val="00763A60"/>
    <w:rsid w:val="00763BE3"/>
    <w:rsid w:val="00763DE1"/>
    <w:rsid w:val="00764542"/>
    <w:rsid w:val="007645E0"/>
    <w:rsid w:val="00764C2F"/>
    <w:rsid w:val="00764D72"/>
    <w:rsid w:val="00766077"/>
    <w:rsid w:val="007669B9"/>
    <w:rsid w:val="007669CC"/>
    <w:rsid w:val="00766B56"/>
    <w:rsid w:val="00767780"/>
    <w:rsid w:val="00767C23"/>
    <w:rsid w:val="00767F12"/>
    <w:rsid w:val="00770620"/>
    <w:rsid w:val="007706FD"/>
    <w:rsid w:val="00770CF8"/>
    <w:rsid w:val="00770EE1"/>
    <w:rsid w:val="0077157D"/>
    <w:rsid w:val="00771A3C"/>
    <w:rsid w:val="00771BFD"/>
    <w:rsid w:val="00772D36"/>
    <w:rsid w:val="007731AE"/>
    <w:rsid w:val="00773AA3"/>
    <w:rsid w:val="00773F30"/>
    <w:rsid w:val="00773F6E"/>
    <w:rsid w:val="007744F2"/>
    <w:rsid w:val="007749D9"/>
    <w:rsid w:val="00774EAF"/>
    <w:rsid w:val="007750E0"/>
    <w:rsid w:val="00775262"/>
    <w:rsid w:val="00775707"/>
    <w:rsid w:val="00776662"/>
    <w:rsid w:val="00776A75"/>
    <w:rsid w:val="00776F8C"/>
    <w:rsid w:val="007776C1"/>
    <w:rsid w:val="00777898"/>
    <w:rsid w:val="00777DDF"/>
    <w:rsid w:val="00780B54"/>
    <w:rsid w:val="00780C46"/>
    <w:rsid w:val="00783061"/>
    <w:rsid w:val="00783425"/>
    <w:rsid w:val="00783C42"/>
    <w:rsid w:val="00784E9E"/>
    <w:rsid w:val="007852BE"/>
    <w:rsid w:val="007853DF"/>
    <w:rsid w:val="007854BD"/>
    <w:rsid w:val="007858AD"/>
    <w:rsid w:val="00785963"/>
    <w:rsid w:val="00785FA3"/>
    <w:rsid w:val="00786465"/>
    <w:rsid w:val="00786561"/>
    <w:rsid w:val="00786737"/>
    <w:rsid w:val="0078681D"/>
    <w:rsid w:val="007869C5"/>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BDC"/>
    <w:rsid w:val="00794E4D"/>
    <w:rsid w:val="00794F24"/>
    <w:rsid w:val="00795469"/>
    <w:rsid w:val="007965DD"/>
    <w:rsid w:val="00796B38"/>
    <w:rsid w:val="00796B79"/>
    <w:rsid w:val="00796C75"/>
    <w:rsid w:val="007975AC"/>
    <w:rsid w:val="00797A4E"/>
    <w:rsid w:val="00797D75"/>
    <w:rsid w:val="007A0C32"/>
    <w:rsid w:val="007A0E06"/>
    <w:rsid w:val="007A0F51"/>
    <w:rsid w:val="007A0FCB"/>
    <w:rsid w:val="007A1D65"/>
    <w:rsid w:val="007A206F"/>
    <w:rsid w:val="007A237B"/>
    <w:rsid w:val="007A3D83"/>
    <w:rsid w:val="007A3F1E"/>
    <w:rsid w:val="007A4650"/>
    <w:rsid w:val="007A4783"/>
    <w:rsid w:val="007A5013"/>
    <w:rsid w:val="007A5238"/>
    <w:rsid w:val="007A5265"/>
    <w:rsid w:val="007A5287"/>
    <w:rsid w:val="007A5508"/>
    <w:rsid w:val="007A5588"/>
    <w:rsid w:val="007A5997"/>
    <w:rsid w:val="007A5F6C"/>
    <w:rsid w:val="007A79E5"/>
    <w:rsid w:val="007A7B79"/>
    <w:rsid w:val="007A7F9C"/>
    <w:rsid w:val="007B05E1"/>
    <w:rsid w:val="007B06C8"/>
    <w:rsid w:val="007B100D"/>
    <w:rsid w:val="007B16D8"/>
    <w:rsid w:val="007B17E8"/>
    <w:rsid w:val="007B1CE6"/>
    <w:rsid w:val="007B255A"/>
    <w:rsid w:val="007B261E"/>
    <w:rsid w:val="007B276A"/>
    <w:rsid w:val="007B28E5"/>
    <w:rsid w:val="007B3A5B"/>
    <w:rsid w:val="007B43C4"/>
    <w:rsid w:val="007B4AC7"/>
    <w:rsid w:val="007B534D"/>
    <w:rsid w:val="007B5924"/>
    <w:rsid w:val="007B5BC5"/>
    <w:rsid w:val="007B5CAC"/>
    <w:rsid w:val="007B5DF3"/>
    <w:rsid w:val="007B62A6"/>
    <w:rsid w:val="007B6AC7"/>
    <w:rsid w:val="007B6BF8"/>
    <w:rsid w:val="007B7607"/>
    <w:rsid w:val="007B7AA0"/>
    <w:rsid w:val="007B7E65"/>
    <w:rsid w:val="007B7EE9"/>
    <w:rsid w:val="007B7F39"/>
    <w:rsid w:val="007C022B"/>
    <w:rsid w:val="007C0320"/>
    <w:rsid w:val="007C0A88"/>
    <w:rsid w:val="007C0DC9"/>
    <w:rsid w:val="007C11F8"/>
    <w:rsid w:val="007C1CC5"/>
    <w:rsid w:val="007C23E2"/>
    <w:rsid w:val="007C251C"/>
    <w:rsid w:val="007C2976"/>
    <w:rsid w:val="007C327C"/>
    <w:rsid w:val="007C3EEB"/>
    <w:rsid w:val="007C3F77"/>
    <w:rsid w:val="007C4EF3"/>
    <w:rsid w:val="007C5195"/>
    <w:rsid w:val="007C562D"/>
    <w:rsid w:val="007C583C"/>
    <w:rsid w:val="007C59D2"/>
    <w:rsid w:val="007C5D1B"/>
    <w:rsid w:val="007C60E9"/>
    <w:rsid w:val="007C6228"/>
    <w:rsid w:val="007C680F"/>
    <w:rsid w:val="007C6E0E"/>
    <w:rsid w:val="007C764F"/>
    <w:rsid w:val="007C7D97"/>
    <w:rsid w:val="007D066A"/>
    <w:rsid w:val="007D0B87"/>
    <w:rsid w:val="007D0ECC"/>
    <w:rsid w:val="007D14C9"/>
    <w:rsid w:val="007D2261"/>
    <w:rsid w:val="007D2580"/>
    <w:rsid w:val="007D273C"/>
    <w:rsid w:val="007D2F87"/>
    <w:rsid w:val="007D3087"/>
    <w:rsid w:val="007D3E78"/>
    <w:rsid w:val="007D4C9C"/>
    <w:rsid w:val="007D5761"/>
    <w:rsid w:val="007D5A2A"/>
    <w:rsid w:val="007D61B6"/>
    <w:rsid w:val="007D648B"/>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709"/>
    <w:rsid w:val="007E3F84"/>
    <w:rsid w:val="007E45CF"/>
    <w:rsid w:val="007E5573"/>
    <w:rsid w:val="007E611C"/>
    <w:rsid w:val="007E614B"/>
    <w:rsid w:val="007E61FB"/>
    <w:rsid w:val="007E63C7"/>
    <w:rsid w:val="007E7055"/>
    <w:rsid w:val="007E7CE6"/>
    <w:rsid w:val="007E7D23"/>
    <w:rsid w:val="007F0DEB"/>
    <w:rsid w:val="007F0E89"/>
    <w:rsid w:val="007F1139"/>
    <w:rsid w:val="007F13CB"/>
    <w:rsid w:val="007F17DA"/>
    <w:rsid w:val="007F1C10"/>
    <w:rsid w:val="007F1FB4"/>
    <w:rsid w:val="007F1FE8"/>
    <w:rsid w:val="007F2956"/>
    <w:rsid w:val="007F478C"/>
    <w:rsid w:val="007F4DCC"/>
    <w:rsid w:val="007F55A0"/>
    <w:rsid w:val="007F5B7E"/>
    <w:rsid w:val="007F6224"/>
    <w:rsid w:val="007F64FC"/>
    <w:rsid w:val="007F687A"/>
    <w:rsid w:val="007F6D57"/>
    <w:rsid w:val="007F7051"/>
    <w:rsid w:val="007F71EB"/>
    <w:rsid w:val="007F748A"/>
    <w:rsid w:val="007F7D49"/>
    <w:rsid w:val="007F7F2F"/>
    <w:rsid w:val="00800180"/>
    <w:rsid w:val="008008C8"/>
    <w:rsid w:val="008009A6"/>
    <w:rsid w:val="00800EF6"/>
    <w:rsid w:val="00801246"/>
    <w:rsid w:val="008017F5"/>
    <w:rsid w:val="00802D8F"/>
    <w:rsid w:val="00802EA3"/>
    <w:rsid w:val="008031C7"/>
    <w:rsid w:val="00803BB0"/>
    <w:rsid w:val="00803E05"/>
    <w:rsid w:val="00803EA2"/>
    <w:rsid w:val="00804161"/>
    <w:rsid w:val="00804242"/>
    <w:rsid w:val="00804404"/>
    <w:rsid w:val="008048A4"/>
    <w:rsid w:val="00804C9F"/>
    <w:rsid w:val="00804F27"/>
    <w:rsid w:val="008052E8"/>
    <w:rsid w:val="00805771"/>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7549"/>
    <w:rsid w:val="008200A3"/>
    <w:rsid w:val="00820448"/>
    <w:rsid w:val="00820AFB"/>
    <w:rsid w:val="00820BB8"/>
    <w:rsid w:val="008216F7"/>
    <w:rsid w:val="0082221D"/>
    <w:rsid w:val="00822D3B"/>
    <w:rsid w:val="008231D6"/>
    <w:rsid w:val="00823DDB"/>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7A6"/>
    <w:rsid w:val="00834BB8"/>
    <w:rsid w:val="00834BE6"/>
    <w:rsid w:val="00836284"/>
    <w:rsid w:val="00836314"/>
    <w:rsid w:val="00836458"/>
    <w:rsid w:val="00836EE1"/>
    <w:rsid w:val="008375BC"/>
    <w:rsid w:val="008379BB"/>
    <w:rsid w:val="00837C04"/>
    <w:rsid w:val="00837DF1"/>
    <w:rsid w:val="00840115"/>
    <w:rsid w:val="0084097C"/>
    <w:rsid w:val="00840E09"/>
    <w:rsid w:val="00841113"/>
    <w:rsid w:val="00841B16"/>
    <w:rsid w:val="00841BFC"/>
    <w:rsid w:val="00841F94"/>
    <w:rsid w:val="008420D6"/>
    <w:rsid w:val="00842BB2"/>
    <w:rsid w:val="00843758"/>
    <w:rsid w:val="00843A8E"/>
    <w:rsid w:val="00844007"/>
    <w:rsid w:val="008441D6"/>
    <w:rsid w:val="00844297"/>
    <w:rsid w:val="00844562"/>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430"/>
    <w:rsid w:val="00850510"/>
    <w:rsid w:val="008506D6"/>
    <w:rsid w:val="00850AEE"/>
    <w:rsid w:val="00850C02"/>
    <w:rsid w:val="008511EE"/>
    <w:rsid w:val="00851402"/>
    <w:rsid w:val="0085168A"/>
    <w:rsid w:val="00851CB4"/>
    <w:rsid w:val="00851DD9"/>
    <w:rsid w:val="008520C1"/>
    <w:rsid w:val="008522BF"/>
    <w:rsid w:val="008524DF"/>
    <w:rsid w:val="0085265A"/>
    <w:rsid w:val="00852887"/>
    <w:rsid w:val="008531F1"/>
    <w:rsid w:val="008536EF"/>
    <w:rsid w:val="00853956"/>
    <w:rsid w:val="00853A03"/>
    <w:rsid w:val="00853E40"/>
    <w:rsid w:val="0085406F"/>
    <w:rsid w:val="00854E1C"/>
    <w:rsid w:val="008552FE"/>
    <w:rsid w:val="008558CD"/>
    <w:rsid w:val="00855FDC"/>
    <w:rsid w:val="0085658A"/>
    <w:rsid w:val="00856D4D"/>
    <w:rsid w:val="00856DB1"/>
    <w:rsid w:val="00856E1C"/>
    <w:rsid w:val="0085746A"/>
    <w:rsid w:val="008600A6"/>
    <w:rsid w:val="0086077D"/>
    <w:rsid w:val="008608EB"/>
    <w:rsid w:val="008608FF"/>
    <w:rsid w:val="00860D38"/>
    <w:rsid w:val="0086177C"/>
    <w:rsid w:val="00861FF0"/>
    <w:rsid w:val="00862643"/>
    <w:rsid w:val="00862AB2"/>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68E"/>
    <w:rsid w:val="00872ABC"/>
    <w:rsid w:val="0087303E"/>
    <w:rsid w:val="00873EFE"/>
    <w:rsid w:val="00873FF8"/>
    <w:rsid w:val="00874143"/>
    <w:rsid w:val="008751E4"/>
    <w:rsid w:val="0087572D"/>
    <w:rsid w:val="0087586A"/>
    <w:rsid w:val="00875F9C"/>
    <w:rsid w:val="0087641B"/>
    <w:rsid w:val="008766B4"/>
    <w:rsid w:val="0087677D"/>
    <w:rsid w:val="008768AC"/>
    <w:rsid w:val="0087775C"/>
    <w:rsid w:val="00880E10"/>
    <w:rsid w:val="0088104A"/>
    <w:rsid w:val="008810AC"/>
    <w:rsid w:val="0088249B"/>
    <w:rsid w:val="00882634"/>
    <w:rsid w:val="0088282C"/>
    <w:rsid w:val="0088289A"/>
    <w:rsid w:val="00882DA6"/>
    <w:rsid w:val="008830CE"/>
    <w:rsid w:val="00883109"/>
    <w:rsid w:val="00883BF2"/>
    <w:rsid w:val="00885175"/>
    <w:rsid w:val="0088532E"/>
    <w:rsid w:val="008858F6"/>
    <w:rsid w:val="00885A62"/>
    <w:rsid w:val="008860B9"/>
    <w:rsid w:val="0088687D"/>
    <w:rsid w:val="00887F89"/>
    <w:rsid w:val="00887FBC"/>
    <w:rsid w:val="00890254"/>
    <w:rsid w:val="008904A3"/>
    <w:rsid w:val="008904C0"/>
    <w:rsid w:val="008907D4"/>
    <w:rsid w:val="00890C50"/>
    <w:rsid w:val="0089101F"/>
    <w:rsid w:val="008914F4"/>
    <w:rsid w:val="00891BA7"/>
    <w:rsid w:val="00891F42"/>
    <w:rsid w:val="00892529"/>
    <w:rsid w:val="0089260E"/>
    <w:rsid w:val="00892B26"/>
    <w:rsid w:val="00892EA7"/>
    <w:rsid w:val="00893A3F"/>
    <w:rsid w:val="00894554"/>
    <w:rsid w:val="0089483B"/>
    <w:rsid w:val="008950EF"/>
    <w:rsid w:val="008959DC"/>
    <w:rsid w:val="00895F34"/>
    <w:rsid w:val="00896574"/>
    <w:rsid w:val="0089662C"/>
    <w:rsid w:val="00896A8A"/>
    <w:rsid w:val="00897B89"/>
    <w:rsid w:val="008A0298"/>
    <w:rsid w:val="008A09D7"/>
    <w:rsid w:val="008A0C58"/>
    <w:rsid w:val="008A0F9E"/>
    <w:rsid w:val="008A119F"/>
    <w:rsid w:val="008A1472"/>
    <w:rsid w:val="008A2607"/>
    <w:rsid w:val="008A3363"/>
    <w:rsid w:val="008A3416"/>
    <w:rsid w:val="008A4F3D"/>
    <w:rsid w:val="008A59F2"/>
    <w:rsid w:val="008A616E"/>
    <w:rsid w:val="008A69A5"/>
    <w:rsid w:val="008A6C39"/>
    <w:rsid w:val="008A7371"/>
    <w:rsid w:val="008A7CE9"/>
    <w:rsid w:val="008A7F47"/>
    <w:rsid w:val="008B0267"/>
    <w:rsid w:val="008B0423"/>
    <w:rsid w:val="008B12B9"/>
    <w:rsid w:val="008B1570"/>
    <w:rsid w:val="008B2994"/>
    <w:rsid w:val="008B2EDF"/>
    <w:rsid w:val="008B30F2"/>
    <w:rsid w:val="008B315C"/>
    <w:rsid w:val="008B3259"/>
    <w:rsid w:val="008B33AD"/>
    <w:rsid w:val="008B388E"/>
    <w:rsid w:val="008B3A92"/>
    <w:rsid w:val="008B3DD9"/>
    <w:rsid w:val="008B3E0A"/>
    <w:rsid w:val="008B4A95"/>
    <w:rsid w:val="008B5070"/>
    <w:rsid w:val="008B50FE"/>
    <w:rsid w:val="008B5574"/>
    <w:rsid w:val="008B5601"/>
    <w:rsid w:val="008B578C"/>
    <w:rsid w:val="008B5977"/>
    <w:rsid w:val="008B5E17"/>
    <w:rsid w:val="008B5FAE"/>
    <w:rsid w:val="008B6600"/>
    <w:rsid w:val="008B6837"/>
    <w:rsid w:val="008B711B"/>
    <w:rsid w:val="008B72A2"/>
    <w:rsid w:val="008B7434"/>
    <w:rsid w:val="008B7596"/>
    <w:rsid w:val="008B77FC"/>
    <w:rsid w:val="008B7B2B"/>
    <w:rsid w:val="008C049F"/>
    <w:rsid w:val="008C192F"/>
    <w:rsid w:val="008C197B"/>
    <w:rsid w:val="008C25A0"/>
    <w:rsid w:val="008C2FCA"/>
    <w:rsid w:val="008C3547"/>
    <w:rsid w:val="008C3CB1"/>
    <w:rsid w:val="008C40D5"/>
    <w:rsid w:val="008C4C86"/>
    <w:rsid w:val="008C4E89"/>
    <w:rsid w:val="008C5895"/>
    <w:rsid w:val="008C5A78"/>
    <w:rsid w:val="008C66BD"/>
    <w:rsid w:val="008C6F1D"/>
    <w:rsid w:val="008C70B4"/>
    <w:rsid w:val="008C7644"/>
    <w:rsid w:val="008C7B37"/>
    <w:rsid w:val="008D0250"/>
    <w:rsid w:val="008D0254"/>
    <w:rsid w:val="008D1591"/>
    <w:rsid w:val="008D17C2"/>
    <w:rsid w:val="008D1CC2"/>
    <w:rsid w:val="008D232F"/>
    <w:rsid w:val="008D24B6"/>
    <w:rsid w:val="008D2DD4"/>
    <w:rsid w:val="008D2E0B"/>
    <w:rsid w:val="008D3791"/>
    <w:rsid w:val="008D381D"/>
    <w:rsid w:val="008D3FE5"/>
    <w:rsid w:val="008D43B4"/>
    <w:rsid w:val="008D49E9"/>
    <w:rsid w:val="008D53F1"/>
    <w:rsid w:val="008D7F5B"/>
    <w:rsid w:val="008E0188"/>
    <w:rsid w:val="008E1295"/>
    <w:rsid w:val="008E2633"/>
    <w:rsid w:val="008E2790"/>
    <w:rsid w:val="008E36DB"/>
    <w:rsid w:val="008E3A2C"/>
    <w:rsid w:val="008E412D"/>
    <w:rsid w:val="008E50E4"/>
    <w:rsid w:val="008E5334"/>
    <w:rsid w:val="008E5A62"/>
    <w:rsid w:val="008E638B"/>
    <w:rsid w:val="008E6592"/>
    <w:rsid w:val="008E7311"/>
    <w:rsid w:val="008E7427"/>
    <w:rsid w:val="008E742B"/>
    <w:rsid w:val="008E747D"/>
    <w:rsid w:val="008E75D4"/>
    <w:rsid w:val="008E7763"/>
    <w:rsid w:val="008E7D5F"/>
    <w:rsid w:val="008F0977"/>
    <w:rsid w:val="008F12F4"/>
    <w:rsid w:val="008F14F3"/>
    <w:rsid w:val="008F15C1"/>
    <w:rsid w:val="008F1840"/>
    <w:rsid w:val="008F187F"/>
    <w:rsid w:val="008F1E3E"/>
    <w:rsid w:val="008F23F5"/>
    <w:rsid w:val="008F25E8"/>
    <w:rsid w:val="008F29C0"/>
    <w:rsid w:val="008F2FB4"/>
    <w:rsid w:val="008F30BF"/>
    <w:rsid w:val="008F34B8"/>
    <w:rsid w:val="008F3A7B"/>
    <w:rsid w:val="008F4157"/>
    <w:rsid w:val="008F42D9"/>
    <w:rsid w:val="008F4477"/>
    <w:rsid w:val="008F59AB"/>
    <w:rsid w:val="008F5D8D"/>
    <w:rsid w:val="008F699B"/>
    <w:rsid w:val="008F6AC9"/>
    <w:rsid w:val="008F73B5"/>
    <w:rsid w:val="008F74E1"/>
    <w:rsid w:val="008F7558"/>
    <w:rsid w:val="008F7F4F"/>
    <w:rsid w:val="00900191"/>
    <w:rsid w:val="00901373"/>
    <w:rsid w:val="009013C6"/>
    <w:rsid w:val="00901693"/>
    <w:rsid w:val="00901702"/>
    <w:rsid w:val="009019C0"/>
    <w:rsid w:val="00901D27"/>
    <w:rsid w:val="0090228D"/>
    <w:rsid w:val="00902866"/>
    <w:rsid w:val="00902964"/>
    <w:rsid w:val="009033C4"/>
    <w:rsid w:val="009039C6"/>
    <w:rsid w:val="00903D0B"/>
    <w:rsid w:val="009040E6"/>
    <w:rsid w:val="00904343"/>
    <w:rsid w:val="0090483B"/>
    <w:rsid w:val="00905295"/>
    <w:rsid w:val="0090570E"/>
    <w:rsid w:val="009068F1"/>
    <w:rsid w:val="00906BF2"/>
    <w:rsid w:val="00910CA4"/>
    <w:rsid w:val="00910FE9"/>
    <w:rsid w:val="009114DB"/>
    <w:rsid w:val="0091190F"/>
    <w:rsid w:val="00911A66"/>
    <w:rsid w:val="00911A67"/>
    <w:rsid w:val="00911AF9"/>
    <w:rsid w:val="00911F87"/>
    <w:rsid w:val="009125CD"/>
    <w:rsid w:val="00912A45"/>
    <w:rsid w:val="00912C4B"/>
    <w:rsid w:val="009130E1"/>
    <w:rsid w:val="0091345B"/>
    <w:rsid w:val="00913695"/>
    <w:rsid w:val="009136B8"/>
    <w:rsid w:val="00914629"/>
    <w:rsid w:val="00914F54"/>
    <w:rsid w:val="00915072"/>
    <w:rsid w:val="009155CD"/>
    <w:rsid w:val="009161AF"/>
    <w:rsid w:val="00916382"/>
    <w:rsid w:val="009167F9"/>
    <w:rsid w:val="00920533"/>
    <w:rsid w:val="00920BD9"/>
    <w:rsid w:val="009217C1"/>
    <w:rsid w:val="00921EBD"/>
    <w:rsid w:val="00922BE1"/>
    <w:rsid w:val="00922CD5"/>
    <w:rsid w:val="0092303A"/>
    <w:rsid w:val="00923780"/>
    <w:rsid w:val="0092381F"/>
    <w:rsid w:val="00924A60"/>
    <w:rsid w:val="00925BFB"/>
    <w:rsid w:val="00925F41"/>
    <w:rsid w:val="009261AA"/>
    <w:rsid w:val="009263E6"/>
    <w:rsid w:val="009267DD"/>
    <w:rsid w:val="00926FF0"/>
    <w:rsid w:val="00927167"/>
    <w:rsid w:val="0092718C"/>
    <w:rsid w:val="00927491"/>
    <w:rsid w:val="009274A6"/>
    <w:rsid w:val="00930478"/>
    <w:rsid w:val="00930751"/>
    <w:rsid w:val="00930A64"/>
    <w:rsid w:val="00930C82"/>
    <w:rsid w:val="00930CA4"/>
    <w:rsid w:val="00931392"/>
    <w:rsid w:val="00931E1D"/>
    <w:rsid w:val="00931FC9"/>
    <w:rsid w:val="009328E7"/>
    <w:rsid w:val="00932CAA"/>
    <w:rsid w:val="009344D5"/>
    <w:rsid w:val="009345B8"/>
    <w:rsid w:val="00934829"/>
    <w:rsid w:val="0093486D"/>
    <w:rsid w:val="00934911"/>
    <w:rsid w:val="00935CCF"/>
    <w:rsid w:val="009363CF"/>
    <w:rsid w:val="0093690C"/>
    <w:rsid w:val="00936BEB"/>
    <w:rsid w:val="009371D8"/>
    <w:rsid w:val="0093726C"/>
    <w:rsid w:val="0093743B"/>
    <w:rsid w:val="009375D6"/>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5BDD"/>
    <w:rsid w:val="00946E93"/>
    <w:rsid w:val="00947005"/>
    <w:rsid w:val="00947147"/>
    <w:rsid w:val="00947524"/>
    <w:rsid w:val="0094756C"/>
    <w:rsid w:val="009476D4"/>
    <w:rsid w:val="00947F79"/>
    <w:rsid w:val="00950132"/>
    <w:rsid w:val="00951206"/>
    <w:rsid w:val="00951517"/>
    <w:rsid w:val="00951BD7"/>
    <w:rsid w:val="00951E5A"/>
    <w:rsid w:val="00951F1E"/>
    <w:rsid w:val="00952078"/>
    <w:rsid w:val="00952362"/>
    <w:rsid w:val="00952410"/>
    <w:rsid w:val="00952597"/>
    <w:rsid w:val="00952762"/>
    <w:rsid w:val="00952B71"/>
    <w:rsid w:val="009530AF"/>
    <w:rsid w:val="00953805"/>
    <w:rsid w:val="00953F2B"/>
    <w:rsid w:val="009541DB"/>
    <w:rsid w:val="009543FD"/>
    <w:rsid w:val="009546BD"/>
    <w:rsid w:val="00954898"/>
    <w:rsid w:val="00954F82"/>
    <w:rsid w:val="00954FB1"/>
    <w:rsid w:val="0095535B"/>
    <w:rsid w:val="00955A89"/>
    <w:rsid w:val="00955AF9"/>
    <w:rsid w:val="00955F29"/>
    <w:rsid w:val="00955F66"/>
    <w:rsid w:val="009560C1"/>
    <w:rsid w:val="009574E7"/>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60C"/>
    <w:rsid w:val="009659F8"/>
    <w:rsid w:val="00966951"/>
    <w:rsid w:val="009675E9"/>
    <w:rsid w:val="009676DE"/>
    <w:rsid w:val="00967AD7"/>
    <w:rsid w:val="00967DF9"/>
    <w:rsid w:val="0097017E"/>
    <w:rsid w:val="009707C8"/>
    <w:rsid w:val="00970930"/>
    <w:rsid w:val="00971166"/>
    <w:rsid w:val="00971696"/>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3F0"/>
    <w:rsid w:val="00984682"/>
    <w:rsid w:val="00984EE4"/>
    <w:rsid w:val="009859A1"/>
    <w:rsid w:val="00985B93"/>
    <w:rsid w:val="00985C7E"/>
    <w:rsid w:val="00985DF2"/>
    <w:rsid w:val="00986516"/>
    <w:rsid w:val="009865D0"/>
    <w:rsid w:val="0098667E"/>
    <w:rsid w:val="00987CEF"/>
    <w:rsid w:val="0099045D"/>
    <w:rsid w:val="0099058A"/>
    <w:rsid w:val="00990666"/>
    <w:rsid w:val="00990AE0"/>
    <w:rsid w:val="00990F1D"/>
    <w:rsid w:val="00991074"/>
    <w:rsid w:val="0099187E"/>
    <w:rsid w:val="00992012"/>
    <w:rsid w:val="00992104"/>
    <w:rsid w:val="00992468"/>
    <w:rsid w:val="00992EF5"/>
    <w:rsid w:val="00992F8C"/>
    <w:rsid w:val="0099380F"/>
    <w:rsid w:val="009943CD"/>
    <w:rsid w:val="00994C90"/>
    <w:rsid w:val="00994FFA"/>
    <w:rsid w:val="009954DF"/>
    <w:rsid w:val="00995955"/>
    <w:rsid w:val="00995E86"/>
    <w:rsid w:val="0099680A"/>
    <w:rsid w:val="0099691C"/>
    <w:rsid w:val="00996AA9"/>
    <w:rsid w:val="00997B4B"/>
    <w:rsid w:val="00997D1A"/>
    <w:rsid w:val="009A0276"/>
    <w:rsid w:val="009A028C"/>
    <w:rsid w:val="009A0898"/>
    <w:rsid w:val="009A0995"/>
    <w:rsid w:val="009A0FB7"/>
    <w:rsid w:val="009A1026"/>
    <w:rsid w:val="009A1877"/>
    <w:rsid w:val="009A1F93"/>
    <w:rsid w:val="009A2836"/>
    <w:rsid w:val="009A36CF"/>
    <w:rsid w:val="009A40B4"/>
    <w:rsid w:val="009A4B90"/>
    <w:rsid w:val="009A5DCE"/>
    <w:rsid w:val="009A5FAF"/>
    <w:rsid w:val="009A6314"/>
    <w:rsid w:val="009A67A6"/>
    <w:rsid w:val="009A6D55"/>
    <w:rsid w:val="009A7706"/>
    <w:rsid w:val="009A79E8"/>
    <w:rsid w:val="009B030E"/>
    <w:rsid w:val="009B0F6D"/>
    <w:rsid w:val="009B1375"/>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6A91"/>
    <w:rsid w:val="009B7690"/>
    <w:rsid w:val="009B7DAB"/>
    <w:rsid w:val="009C04CF"/>
    <w:rsid w:val="009C0B8C"/>
    <w:rsid w:val="009C0D66"/>
    <w:rsid w:val="009C254F"/>
    <w:rsid w:val="009C28F2"/>
    <w:rsid w:val="009C2DCA"/>
    <w:rsid w:val="009C2E56"/>
    <w:rsid w:val="009C3246"/>
    <w:rsid w:val="009C3B9F"/>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9CE"/>
    <w:rsid w:val="009D5A25"/>
    <w:rsid w:val="009D5CFB"/>
    <w:rsid w:val="009D6634"/>
    <w:rsid w:val="009D6E82"/>
    <w:rsid w:val="009D776B"/>
    <w:rsid w:val="009E0652"/>
    <w:rsid w:val="009E0807"/>
    <w:rsid w:val="009E0C05"/>
    <w:rsid w:val="009E0C6A"/>
    <w:rsid w:val="009E0CA9"/>
    <w:rsid w:val="009E142C"/>
    <w:rsid w:val="009E1812"/>
    <w:rsid w:val="009E1E30"/>
    <w:rsid w:val="009E1F62"/>
    <w:rsid w:val="009E20CD"/>
    <w:rsid w:val="009E250D"/>
    <w:rsid w:val="009E25C9"/>
    <w:rsid w:val="009E2673"/>
    <w:rsid w:val="009E34FA"/>
    <w:rsid w:val="009E3E89"/>
    <w:rsid w:val="009E44DE"/>
    <w:rsid w:val="009E4BE7"/>
    <w:rsid w:val="009E5315"/>
    <w:rsid w:val="009E531A"/>
    <w:rsid w:val="009E54F4"/>
    <w:rsid w:val="009E5931"/>
    <w:rsid w:val="009E6023"/>
    <w:rsid w:val="009E6598"/>
    <w:rsid w:val="009E6840"/>
    <w:rsid w:val="009E72FD"/>
    <w:rsid w:val="009E7479"/>
    <w:rsid w:val="009E7A2F"/>
    <w:rsid w:val="009E7C59"/>
    <w:rsid w:val="009F01B2"/>
    <w:rsid w:val="009F0B08"/>
    <w:rsid w:val="009F1946"/>
    <w:rsid w:val="009F19AA"/>
    <w:rsid w:val="009F1ECF"/>
    <w:rsid w:val="009F20B5"/>
    <w:rsid w:val="009F23B2"/>
    <w:rsid w:val="009F2902"/>
    <w:rsid w:val="009F3277"/>
    <w:rsid w:val="009F42D3"/>
    <w:rsid w:val="009F4A8A"/>
    <w:rsid w:val="009F4B3C"/>
    <w:rsid w:val="009F4D7D"/>
    <w:rsid w:val="009F507B"/>
    <w:rsid w:val="009F53B7"/>
    <w:rsid w:val="009F5BEA"/>
    <w:rsid w:val="009F6457"/>
    <w:rsid w:val="009F64BD"/>
    <w:rsid w:val="009F6828"/>
    <w:rsid w:val="009F6B03"/>
    <w:rsid w:val="009F6B77"/>
    <w:rsid w:val="009F6F83"/>
    <w:rsid w:val="009F7376"/>
    <w:rsid w:val="009F7377"/>
    <w:rsid w:val="009F74FC"/>
    <w:rsid w:val="009F7756"/>
    <w:rsid w:val="009F78EE"/>
    <w:rsid w:val="009F7BAC"/>
    <w:rsid w:val="009F7E05"/>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5DC5"/>
    <w:rsid w:val="00A06239"/>
    <w:rsid w:val="00A0668E"/>
    <w:rsid w:val="00A06890"/>
    <w:rsid w:val="00A06EB8"/>
    <w:rsid w:val="00A07309"/>
    <w:rsid w:val="00A07CF3"/>
    <w:rsid w:val="00A10B90"/>
    <w:rsid w:val="00A1129E"/>
    <w:rsid w:val="00A12D3F"/>
    <w:rsid w:val="00A131C0"/>
    <w:rsid w:val="00A1320F"/>
    <w:rsid w:val="00A132ED"/>
    <w:rsid w:val="00A13483"/>
    <w:rsid w:val="00A13E15"/>
    <w:rsid w:val="00A14098"/>
    <w:rsid w:val="00A140C4"/>
    <w:rsid w:val="00A147D3"/>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2C3F"/>
    <w:rsid w:val="00A3306A"/>
    <w:rsid w:val="00A33447"/>
    <w:rsid w:val="00A33758"/>
    <w:rsid w:val="00A355C9"/>
    <w:rsid w:val="00A35AFF"/>
    <w:rsid w:val="00A35E06"/>
    <w:rsid w:val="00A35E6F"/>
    <w:rsid w:val="00A35EE2"/>
    <w:rsid w:val="00A35FC0"/>
    <w:rsid w:val="00A36794"/>
    <w:rsid w:val="00A371B5"/>
    <w:rsid w:val="00A37426"/>
    <w:rsid w:val="00A37508"/>
    <w:rsid w:val="00A37BA7"/>
    <w:rsid w:val="00A40041"/>
    <w:rsid w:val="00A41013"/>
    <w:rsid w:val="00A414B0"/>
    <w:rsid w:val="00A41BB4"/>
    <w:rsid w:val="00A41F05"/>
    <w:rsid w:val="00A42067"/>
    <w:rsid w:val="00A426B4"/>
    <w:rsid w:val="00A42BA3"/>
    <w:rsid w:val="00A42EE4"/>
    <w:rsid w:val="00A4339D"/>
    <w:rsid w:val="00A43EF0"/>
    <w:rsid w:val="00A441B4"/>
    <w:rsid w:val="00A44328"/>
    <w:rsid w:val="00A44558"/>
    <w:rsid w:val="00A445E9"/>
    <w:rsid w:val="00A44B2A"/>
    <w:rsid w:val="00A44D8E"/>
    <w:rsid w:val="00A44E3C"/>
    <w:rsid w:val="00A453AE"/>
    <w:rsid w:val="00A459D4"/>
    <w:rsid w:val="00A45FD3"/>
    <w:rsid w:val="00A46497"/>
    <w:rsid w:val="00A46828"/>
    <w:rsid w:val="00A47403"/>
    <w:rsid w:val="00A479C0"/>
    <w:rsid w:val="00A50109"/>
    <w:rsid w:val="00A502CD"/>
    <w:rsid w:val="00A50667"/>
    <w:rsid w:val="00A50B34"/>
    <w:rsid w:val="00A51F23"/>
    <w:rsid w:val="00A53426"/>
    <w:rsid w:val="00A534B2"/>
    <w:rsid w:val="00A5356E"/>
    <w:rsid w:val="00A54054"/>
    <w:rsid w:val="00A545DC"/>
    <w:rsid w:val="00A54941"/>
    <w:rsid w:val="00A54A13"/>
    <w:rsid w:val="00A54A36"/>
    <w:rsid w:val="00A54D32"/>
    <w:rsid w:val="00A54DB7"/>
    <w:rsid w:val="00A5623D"/>
    <w:rsid w:val="00A56FFA"/>
    <w:rsid w:val="00A5710B"/>
    <w:rsid w:val="00A57670"/>
    <w:rsid w:val="00A607CC"/>
    <w:rsid w:val="00A60AFF"/>
    <w:rsid w:val="00A60EDA"/>
    <w:rsid w:val="00A61CE6"/>
    <w:rsid w:val="00A621A8"/>
    <w:rsid w:val="00A62F8F"/>
    <w:rsid w:val="00A62FC0"/>
    <w:rsid w:val="00A63059"/>
    <w:rsid w:val="00A6319F"/>
    <w:rsid w:val="00A635CB"/>
    <w:rsid w:val="00A635E6"/>
    <w:rsid w:val="00A64948"/>
    <w:rsid w:val="00A65092"/>
    <w:rsid w:val="00A66A78"/>
    <w:rsid w:val="00A66F31"/>
    <w:rsid w:val="00A67F54"/>
    <w:rsid w:val="00A7037C"/>
    <w:rsid w:val="00A7096D"/>
    <w:rsid w:val="00A7163A"/>
    <w:rsid w:val="00A71827"/>
    <w:rsid w:val="00A72360"/>
    <w:rsid w:val="00A72986"/>
    <w:rsid w:val="00A73154"/>
    <w:rsid w:val="00A7349E"/>
    <w:rsid w:val="00A734D3"/>
    <w:rsid w:val="00A7386D"/>
    <w:rsid w:val="00A746B0"/>
    <w:rsid w:val="00A749FC"/>
    <w:rsid w:val="00A74CF9"/>
    <w:rsid w:val="00A7507C"/>
    <w:rsid w:val="00A7584E"/>
    <w:rsid w:val="00A75969"/>
    <w:rsid w:val="00A75B1D"/>
    <w:rsid w:val="00A75B71"/>
    <w:rsid w:val="00A75D4E"/>
    <w:rsid w:val="00A760A5"/>
    <w:rsid w:val="00A76268"/>
    <w:rsid w:val="00A76A37"/>
    <w:rsid w:val="00A76F13"/>
    <w:rsid w:val="00A770E5"/>
    <w:rsid w:val="00A80BA0"/>
    <w:rsid w:val="00A80CAE"/>
    <w:rsid w:val="00A81679"/>
    <w:rsid w:val="00A81BC6"/>
    <w:rsid w:val="00A81C28"/>
    <w:rsid w:val="00A829CA"/>
    <w:rsid w:val="00A82D34"/>
    <w:rsid w:val="00A83765"/>
    <w:rsid w:val="00A8399B"/>
    <w:rsid w:val="00A83C51"/>
    <w:rsid w:val="00A84222"/>
    <w:rsid w:val="00A8433A"/>
    <w:rsid w:val="00A847A8"/>
    <w:rsid w:val="00A847E6"/>
    <w:rsid w:val="00A85E3E"/>
    <w:rsid w:val="00A8601B"/>
    <w:rsid w:val="00A86448"/>
    <w:rsid w:val="00A8648A"/>
    <w:rsid w:val="00A86ACC"/>
    <w:rsid w:val="00A86AD8"/>
    <w:rsid w:val="00A86D9B"/>
    <w:rsid w:val="00A872D1"/>
    <w:rsid w:val="00A87737"/>
    <w:rsid w:val="00A90334"/>
    <w:rsid w:val="00A913FC"/>
    <w:rsid w:val="00A917D3"/>
    <w:rsid w:val="00A91BAB"/>
    <w:rsid w:val="00A91CA9"/>
    <w:rsid w:val="00A92317"/>
    <w:rsid w:val="00A92AB1"/>
    <w:rsid w:val="00A92EC8"/>
    <w:rsid w:val="00A934BC"/>
    <w:rsid w:val="00A93951"/>
    <w:rsid w:val="00A93CD3"/>
    <w:rsid w:val="00A93DEA"/>
    <w:rsid w:val="00A93EFA"/>
    <w:rsid w:val="00A94908"/>
    <w:rsid w:val="00A95191"/>
    <w:rsid w:val="00A955B1"/>
    <w:rsid w:val="00A95CC6"/>
    <w:rsid w:val="00A96603"/>
    <w:rsid w:val="00A9698C"/>
    <w:rsid w:val="00A97B18"/>
    <w:rsid w:val="00A97C13"/>
    <w:rsid w:val="00AA08BE"/>
    <w:rsid w:val="00AA0CBE"/>
    <w:rsid w:val="00AA0E3C"/>
    <w:rsid w:val="00AA1A97"/>
    <w:rsid w:val="00AA1C66"/>
    <w:rsid w:val="00AA2028"/>
    <w:rsid w:val="00AA2F19"/>
    <w:rsid w:val="00AA507B"/>
    <w:rsid w:val="00AA63D8"/>
    <w:rsid w:val="00AA69DA"/>
    <w:rsid w:val="00AA6AB1"/>
    <w:rsid w:val="00AA6BE0"/>
    <w:rsid w:val="00AA6EFE"/>
    <w:rsid w:val="00AA73BC"/>
    <w:rsid w:val="00AA750F"/>
    <w:rsid w:val="00AA7A3B"/>
    <w:rsid w:val="00AA7D43"/>
    <w:rsid w:val="00AB0F54"/>
    <w:rsid w:val="00AB0FFE"/>
    <w:rsid w:val="00AB1280"/>
    <w:rsid w:val="00AB1614"/>
    <w:rsid w:val="00AB1642"/>
    <w:rsid w:val="00AB1E94"/>
    <w:rsid w:val="00AB2105"/>
    <w:rsid w:val="00AB2175"/>
    <w:rsid w:val="00AB22EB"/>
    <w:rsid w:val="00AB2841"/>
    <w:rsid w:val="00AB3602"/>
    <w:rsid w:val="00AB3E01"/>
    <w:rsid w:val="00AB4600"/>
    <w:rsid w:val="00AB48A7"/>
    <w:rsid w:val="00AB4DFE"/>
    <w:rsid w:val="00AB4F95"/>
    <w:rsid w:val="00AB506D"/>
    <w:rsid w:val="00AB53F3"/>
    <w:rsid w:val="00AB56EB"/>
    <w:rsid w:val="00AB5BDE"/>
    <w:rsid w:val="00AB5DE3"/>
    <w:rsid w:val="00AB631B"/>
    <w:rsid w:val="00AB69A6"/>
    <w:rsid w:val="00AB6A3A"/>
    <w:rsid w:val="00AB6D1A"/>
    <w:rsid w:val="00AB73AC"/>
    <w:rsid w:val="00AB797A"/>
    <w:rsid w:val="00AB7E4D"/>
    <w:rsid w:val="00AC034B"/>
    <w:rsid w:val="00AC175F"/>
    <w:rsid w:val="00AC1E77"/>
    <w:rsid w:val="00AC26D1"/>
    <w:rsid w:val="00AC3322"/>
    <w:rsid w:val="00AC3C01"/>
    <w:rsid w:val="00AC3E56"/>
    <w:rsid w:val="00AC44B5"/>
    <w:rsid w:val="00AC45E5"/>
    <w:rsid w:val="00AC4804"/>
    <w:rsid w:val="00AC5408"/>
    <w:rsid w:val="00AC54E3"/>
    <w:rsid w:val="00AC6430"/>
    <w:rsid w:val="00AC6BA9"/>
    <w:rsid w:val="00AC6F09"/>
    <w:rsid w:val="00AC73C5"/>
    <w:rsid w:val="00AC77C2"/>
    <w:rsid w:val="00AC7C27"/>
    <w:rsid w:val="00AC7CCE"/>
    <w:rsid w:val="00AC7D0E"/>
    <w:rsid w:val="00AC7DE6"/>
    <w:rsid w:val="00AC7EDA"/>
    <w:rsid w:val="00AD0A3A"/>
    <w:rsid w:val="00AD0FC0"/>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D7B0C"/>
    <w:rsid w:val="00AE05F7"/>
    <w:rsid w:val="00AE162F"/>
    <w:rsid w:val="00AE1E6D"/>
    <w:rsid w:val="00AE1F0F"/>
    <w:rsid w:val="00AE25B5"/>
    <w:rsid w:val="00AE25B7"/>
    <w:rsid w:val="00AE26BB"/>
    <w:rsid w:val="00AE2E26"/>
    <w:rsid w:val="00AE2EF8"/>
    <w:rsid w:val="00AE3911"/>
    <w:rsid w:val="00AE3AB4"/>
    <w:rsid w:val="00AE3C82"/>
    <w:rsid w:val="00AE3DA6"/>
    <w:rsid w:val="00AE45C0"/>
    <w:rsid w:val="00AE4C28"/>
    <w:rsid w:val="00AE4E5B"/>
    <w:rsid w:val="00AE545A"/>
    <w:rsid w:val="00AE549A"/>
    <w:rsid w:val="00AE5509"/>
    <w:rsid w:val="00AE5F7F"/>
    <w:rsid w:val="00AE621B"/>
    <w:rsid w:val="00AE6483"/>
    <w:rsid w:val="00AE65F5"/>
    <w:rsid w:val="00AE6C59"/>
    <w:rsid w:val="00AE7224"/>
    <w:rsid w:val="00AE7305"/>
    <w:rsid w:val="00AE7C9B"/>
    <w:rsid w:val="00AE7DDB"/>
    <w:rsid w:val="00AF046B"/>
    <w:rsid w:val="00AF0C6C"/>
    <w:rsid w:val="00AF14C3"/>
    <w:rsid w:val="00AF1872"/>
    <w:rsid w:val="00AF199A"/>
    <w:rsid w:val="00AF1DB4"/>
    <w:rsid w:val="00AF29DA"/>
    <w:rsid w:val="00AF2A20"/>
    <w:rsid w:val="00AF2DEF"/>
    <w:rsid w:val="00AF3D13"/>
    <w:rsid w:val="00AF4709"/>
    <w:rsid w:val="00AF4B63"/>
    <w:rsid w:val="00AF51E4"/>
    <w:rsid w:val="00AF5AF0"/>
    <w:rsid w:val="00AF5DA2"/>
    <w:rsid w:val="00AF5F92"/>
    <w:rsid w:val="00AF61E2"/>
    <w:rsid w:val="00AF6433"/>
    <w:rsid w:val="00AF65FD"/>
    <w:rsid w:val="00AF6EF9"/>
    <w:rsid w:val="00AF6F93"/>
    <w:rsid w:val="00AF753A"/>
    <w:rsid w:val="00AF783F"/>
    <w:rsid w:val="00AF78AE"/>
    <w:rsid w:val="00AF7F62"/>
    <w:rsid w:val="00B000D5"/>
    <w:rsid w:val="00B00555"/>
    <w:rsid w:val="00B0082D"/>
    <w:rsid w:val="00B010DF"/>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2FF8"/>
    <w:rsid w:val="00B1303A"/>
    <w:rsid w:val="00B1322D"/>
    <w:rsid w:val="00B133A7"/>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1D36"/>
    <w:rsid w:val="00B21FEE"/>
    <w:rsid w:val="00B22C13"/>
    <w:rsid w:val="00B22D06"/>
    <w:rsid w:val="00B22D1D"/>
    <w:rsid w:val="00B231F7"/>
    <w:rsid w:val="00B2369A"/>
    <w:rsid w:val="00B23AF4"/>
    <w:rsid w:val="00B23D95"/>
    <w:rsid w:val="00B23EE8"/>
    <w:rsid w:val="00B245E5"/>
    <w:rsid w:val="00B245FA"/>
    <w:rsid w:val="00B254B0"/>
    <w:rsid w:val="00B255EB"/>
    <w:rsid w:val="00B255F4"/>
    <w:rsid w:val="00B25F9F"/>
    <w:rsid w:val="00B25FDE"/>
    <w:rsid w:val="00B270C7"/>
    <w:rsid w:val="00B273D8"/>
    <w:rsid w:val="00B27547"/>
    <w:rsid w:val="00B30152"/>
    <w:rsid w:val="00B302BA"/>
    <w:rsid w:val="00B30BA1"/>
    <w:rsid w:val="00B30DF5"/>
    <w:rsid w:val="00B31041"/>
    <w:rsid w:val="00B311C6"/>
    <w:rsid w:val="00B313DA"/>
    <w:rsid w:val="00B32064"/>
    <w:rsid w:val="00B320F4"/>
    <w:rsid w:val="00B3248E"/>
    <w:rsid w:val="00B32DFA"/>
    <w:rsid w:val="00B33037"/>
    <w:rsid w:val="00B338A6"/>
    <w:rsid w:val="00B33A0F"/>
    <w:rsid w:val="00B33C85"/>
    <w:rsid w:val="00B33E9D"/>
    <w:rsid w:val="00B34747"/>
    <w:rsid w:val="00B34E78"/>
    <w:rsid w:val="00B35009"/>
    <w:rsid w:val="00B3584F"/>
    <w:rsid w:val="00B3607B"/>
    <w:rsid w:val="00B36D31"/>
    <w:rsid w:val="00B37846"/>
    <w:rsid w:val="00B37FE3"/>
    <w:rsid w:val="00B407A4"/>
    <w:rsid w:val="00B407A9"/>
    <w:rsid w:val="00B40B09"/>
    <w:rsid w:val="00B41484"/>
    <w:rsid w:val="00B414A6"/>
    <w:rsid w:val="00B41B34"/>
    <w:rsid w:val="00B41B99"/>
    <w:rsid w:val="00B41F3E"/>
    <w:rsid w:val="00B42816"/>
    <w:rsid w:val="00B431A9"/>
    <w:rsid w:val="00B43247"/>
    <w:rsid w:val="00B435AF"/>
    <w:rsid w:val="00B43B6B"/>
    <w:rsid w:val="00B44CD8"/>
    <w:rsid w:val="00B44EBF"/>
    <w:rsid w:val="00B45807"/>
    <w:rsid w:val="00B45BB4"/>
    <w:rsid w:val="00B4609A"/>
    <w:rsid w:val="00B460F0"/>
    <w:rsid w:val="00B46459"/>
    <w:rsid w:val="00B47051"/>
    <w:rsid w:val="00B47781"/>
    <w:rsid w:val="00B4781E"/>
    <w:rsid w:val="00B47A41"/>
    <w:rsid w:val="00B47E8B"/>
    <w:rsid w:val="00B500CB"/>
    <w:rsid w:val="00B50331"/>
    <w:rsid w:val="00B507D1"/>
    <w:rsid w:val="00B5097C"/>
    <w:rsid w:val="00B50F08"/>
    <w:rsid w:val="00B51675"/>
    <w:rsid w:val="00B51950"/>
    <w:rsid w:val="00B5195F"/>
    <w:rsid w:val="00B525D4"/>
    <w:rsid w:val="00B52BD1"/>
    <w:rsid w:val="00B53362"/>
    <w:rsid w:val="00B5361B"/>
    <w:rsid w:val="00B53AEB"/>
    <w:rsid w:val="00B53F86"/>
    <w:rsid w:val="00B5411C"/>
    <w:rsid w:val="00B541AC"/>
    <w:rsid w:val="00B5463A"/>
    <w:rsid w:val="00B54819"/>
    <w:rsid w:val="00B54AC7"/>
    <w:rsid w:val="00B54BCA"/>
    <w:rsid w:val="00B54E75"/>
    <w:rsid w:val="00B54EFC"/>
    <w:rsid w:val="00B54F2D"/>
    <w:rsid w:val="00B54FCA"/>
    <w:rsid w:val="00B55085"/>
    <w:rsid w:val="00B554F6"/>
    <w:rsid w:val="00B55C95"/>
    <w:rsid w:val="00B56A42"/>
    <w:rsid w:val="00B56BC8"/>
    <w:rsid w:val="00B5760B"/>
    <w:rsid w:val="00B57911"/>
    <w:rsid w:val="00B57C24"/>
    <w:rsid w:val="00B57C98"/>
    <w:rsid w:val="00B60169"/>
    <w:rsid w:val="00B60C39"/>
    <w:rsid w:val="00B60E09"/>
    <w:rsid w:val="00B614B9"/>
    <w:rsid w:val="00B62013"/>
    <w:rsid w:val="00B6275C"/>
    <w:rsid w:val="00B62BE0"/>
    <w:rsid w:val="00B630EA"/>
    <w:rsid w:val="00B63216"/>
    <w:rsid w:val="00B644E7"/>
    <w:rsid w:val="00B645D8"/>
    <w:rsid w:val="00B64C78"/>
    <w:rsid w:val="00B64E7A"/>
    <w:rsid w:val="00B65106"/>
    <w:rsid w:val="00B65119"/>
    <w:rsid w:val="00B65A5E"/>
    <w:rsid w:val="00B65AFA"/>
    <w:rsid w:val="00B65C15"/>
    <w:rsid w:val="00B6625D"/>
    <w:rsid w:val="00B669C7"/>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3BE1"/>
    <w:rsid w:val="00B74A2D"/>
    <w:rsid w:val="00B7574C"/>
    <w:rsid w:val="00B7596F"/>
    <w:rsid w:val="00B75FBF"/>
    <w:rsid w:val="00B767F1"/>
    <w:rsid w:val="00B77970"/>
    <w:rsid w:val="00B77C71"/>
    <w:rsid w:val="00B77CD2"/>
    <w:rsid w:val="00B80992"/>
    <w:rsid w:val="00B81D32"/>
    <w:rsid w:val="00B8416D"/>
    <w:rsid w:val="00B84891"/>
    <w:rsid w:val="00B8498B"/>
    <w:rsid w:val="00B84A6A"/>
    <w:rsid w:val="00B84E5C"/>
    <w:rsid w:val="00B84F9B"/>
    <w:rsid w:val="00B84FC1"/>
    <w:rsid w:val="00B850D9"/>
    <w:rsid w:val="00B8548E"/>
    <w:rsid w:val="00B85511"/>
    <w:rsid w:val="00B856AE"/>
    <w:rsid w:val="00B8613F"/>
    <w:rsid w:val="00B872FD"/>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5CF4"/>
    <w:rsid w:val="00BA6285"/>
    <w:rsid w:val="00BA69B4"/>
    <w:rsid w:val="00BA6C08"/>
    <w:rsid w:val="00BA7157"/>
    <w:rsid w:val="00BA7F81"/>
    <w:rsid w:val="00BB0030"/>
    <w:rsid w:val="00BB1333"/>
    <w:rsid w:val="00BB2BA3"/>
    <w:rsid w:val="00BB30AC"/>
    <w:rsid w:val="00BB338A"/>
    <w:rsid w:val="00BB4040"/>
    <w:rsid w:val="00BB43B1"/>
    <w:rsid w:val="00BB4676"/>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19"/>
    <w:rsid w:val="00BC264E"/>
    <w:rsid w:val="00BC2BDD"/>
    <w:rsid w:val="00BC2FC4"/>
    <w:rsid w:val="00BC3993"/>
    <w:rsid w:val="00BC3FAE"/>
    <w:rsid w:val="00BC4BF8"/>
    <w:rsid w:val="00BC4F1A"/>
    <w:rsid w:val="00BC531A"/>
    <w:rsid w:val="00BC579F"/>
    <w:rsid w:val="00BC5C6D"/>
    <w:rsid w:val="00BC5E51"/>
    <w:rsid w:val="00BC6976"/>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D6C"/>
    <w:rsid w:val="00BD5613"/>
    <w:rsid w:val="00BD6A54"/>
    <w:rsid w:val="00BD6C81"/>
    <w:rsid w:val="00BE129C"/>
    <w:rsid w:val="00BE1AD5"/>
    <w:rsid w:val="00BE20F9"/>
    <w:rsid w:val="00BE21C2"/>
    <w:rsid w:val="00BE2D5A"/>
    <w:rsid w:val="00BE3EA5"/>
    <w:rsid w:val="00BE3ED4"/>
    <w:rsid w:val="00BE3FFA"/>
    <w:rsid w:val="00BE4151"/>
    <w:rsid w:val="00BE4798"/>
    <w:rsid w:val="00BE4819"/>
    <w:rsid w:val="00BE4D6C"/>
    <w:rsid w:val="00BE4F29"/>
    <w:rsid w:val="00BE5793"/>
    <w:rsid w:val="00BE66E3"/>
    <w:rsid w:val="00BE678E"/>
    <w:rsid w:val="00BE6866"/>
    <w:rsid w:val="00BE6AE5"/>
    <w:rsid w:val="00BE6D53"/>
    <w:rsid w:val="00BE6FD6"/>
    <w:rsid w:val="00BE7046"/>
    <w:rsid w:val="00BE78B8"/>
    <w:rsid w:val="00BE78D1"/>
    <w:rsid w:val="00BE791D"/>
    <w:rsid w:val="00BE794C"/>
    <w:rsid w:val="00BE7C71"/>
    <w:rsid w:val="00BE7F71"/>
    <w:rsid w:val="00BF07B1"/>
    <w:rsid w:val="00BF0846"/>
    <w:rsid w:val="00BF09B8"/>
    <w:rsid w:val="00BF0F5B"/>
    <w:rsid w:val="00BF12EF"/>
    <w:rsid w:val="00BF14F2"/>
    <w:rsid w:val="00BF16E2"/>
    <w:rsid w:val="00BF180D"/>
    <w:rsid w:val="00BF1A03"/>
    <w:rsid w:val="00BF2425"/>
    <w:rsid w:val="00BF2596"/>
    <w:rsid w:val="00BF2A90"/>
    <w:rsid w:val="00BF2BAF"/>
    <w:rsid w:val="00BF3772"/>
    <w:rsid w:val="00BF451E"/>
    <w:rsid w:val="00BF485F"/>
    <w:rsid w:val="00BF4C74"/>
    <w:rsid w:val="00BF548B"/>
    <w:rsid w:val="00BF559A"/>
    <w:rsid w:val="00BF5608"/>
    <w:rsid w:val="00BF587D"/>
    <w:rsid w:val="00BF5F06"/>
    <w:rsid w:val="00BF5F82"/>
    <w:rsid w:val="00BF5FAB"/>
    <w:rsid w:val="00BF609E"/>
    <w:rsid w:val="00BF61F8"/>
    <w:rsid w:val="00BF622E"/>
    <w:rsid w:val="00BF63B8"/>
    <w:rsid w:val="00BF63C6"/>
    <w:rsid w:val="00BF6BA9"/>
    <w:rsid w:val="00BF6E4E"/>
    <w:rsid w:val="00C001BE"/>
    <w:rsid w:val="00C00A78"/>
    <w:rsid w:val="00C00B37"/>
    <w:rsid w:val="00C01A4D"/>
    <w:rsid w:val="00C02102"/>
    <w:rsid w:val="00C0250A"/>
    <w:rsid w:val="00C02644"/>
    <w:rsid w:val="00C02B16"/>
    <w:rsid w:val="00C02C57"/>
    <w:rsid w:val="00C02CAD"/>
    <w:rsid w:val="00C032D6"/>
    <w:rsid w:val="00C033B6"/>
    <w:rsid w:val="00C0358E"/>
    <w:rsid w:val="00C04085"/>
    <w:rsid w:val="00C047D3"/>
    <w:rsid w:val="00C04D31"/>
    <w:rsid w:val="00C04DB2"/>
    <w:rsid w:val="00C05AD6"/>
    <w:rsid w:val="00C06085"/>
    <w:rsid w:val="00C0637C"/>
    <w:rsid w:val="00C063C4"/>
    <w:rsid w:val="00C067F0"/>
    <w:rsid w:val="00C078A6"/>
    <w:rsid w:val="00C07B2B"/>
    <w:rsid w:val="00C10144"/>
    <w:rsid w:val="00C107EC"/>
    <w:rsid w:val="00C10B04"/>
    <w:rsid w:val="00C10CF9"/>
    <w:rsid w:val="00C10F53"/>
    <w:rsid w:val="00C11BD4"/>
    <w:rsid w:val="00C1224E"/>
    <w:rsid w:val="00C122AD"/>
    <w:rsid w:val="00C1282D"/>
    <w:rsid w:val="00C13560"/>
    <w:rsid w:val="00C136DB"/>
    <w:rsid w:val="00C137AC"/>
    <w:rsid w:val="00C138D8"/>
    <w:rsid w:val="00C13B74"/>
    <w:rsid w:val="00C13C0E"/>
    <w:rsid w:val="00C14507"/>
    <w:rsid w:val="00C15191"/>
    <w:rsid w:val="00C15358"/>
    <w:rsid w:val="00C15C92"/>
    <w:rsid w:val="00C15D67"/>
    <w:rsid w:val="00C1731E"/>
    <w:rsid w:val="00C17D60"/>
    <w:rsid w:val="00C17FA2"/>
    <w:rsid w:val="00C21F22"/>
    <w:rsid w:val="00C2226A"/>
    <w:rsid w:val="00C224E8"/>
    <w:rsid w:val="00C230A3"/>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3F1"/>
    <w:rsid w:val="00C3244D"/>
    <w:rsid w:val="00C32BD4"/>
    <w:rsid w:val="00C33E57"/>
    <w:rsid w:val="00C34CEC"/>
    <w:rsid w:val="00C35295"/>
    <w:rsid w:val="00C354B8"/>
    <w:rsid w:val="00C35C11"/>
    <w:rsid w:val="00C35C40"/>
    <w:rsid w:val="00C35E30"/>
    <w:rsid w:val="00C36001"/>
    <w:rsid w:val="00C36B35"/>
    <w:rsid w:val="00C36DC2"/>
    <w:rsid w:val="00C37681"/>
    <w:rsid w:val="00C3771D"/>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A37"/>
    <w:rsid w:val="00C45D1C"/>
    <w:rsid w:val="00C45F3C"/>
    <w:rsid w:val="00C47C36"/>
    <w:rsid w:val="00C47E58"/>
    <w:rsid w:val="00C50150"/>
    <w:rsid w:val="00C51210"/>
    <w:rsid w:val="00C51A42"/>
    <w:rsid w:val="00C51C81"/>
    <w:rsid w:val="00C5301B"/>
    <w:rsid w:val="00C531DB"/>
    <w:rsid w:val="00C538EC"/>
    <w:rsid w:val="00C53ACD"/>
    <w:rsid w:val="00C53B37"/>
    <w:rsid w:val="00C53EB4"/>
    <w:rsid w:val="00C544F1"/>
    <w:rsid w:val="00C547E0"/>
    <w:rsid w:val="00C54C7B"/>
    <w:rsid w:val="00C54C88"/>
    <w:rsid w:val="00C56710"/>
    <w:rsid w:val="00C57467"/>
    <w:rsid w:val="00C576F9"/>
    <w:rsid w:val="00C57C57"/>
    <w:rsid w:val="00C600AE"/>
    <w:rsid w:val="00C600C1"/>
    <w:rsid w:val="00C601A1"/>
    <w:rsid w:val="00C60A4D"/>
    <w:rsid w:val="00C610ED"/>
    <w:rsid w:val="00C612C6"/>
    <w:rsid w:val="00C61529"/>
    <w:rsid w:val="00C629F3"/>
    <w:rsid w:val="00C62B03"/>
    <w:rsid w:val="00C62BFF"/>
    <w:rsid w:val="00C62DB8"/>
    <w:rsid w:val="00C62FC5"/>
    <w:rsid w:val="00C6321D"/>
    <w:rsid w:val="00C634FD"/>
    <w:rsid w:val="00C641FE"/>
    <w:rsid w:val="00C6434C"/>
    <w:rsid w:val="00C647F7"/>
    <w:rsid w:val="00C64B2B"/>
    <w:rsid w:val="00C64CF4"/>
    <w:rsid w:val="00C6536F"/>
    <w:rsid w:val="00C659AE"/>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87B"/>
    <w:rsid w:val="00C7394E"/>
    <w:rsid w:val="00C74B30"/>
    <w:rsid w:val="00C754FB"/>
    <w:rsid w:val="00C7621A"/>
    <w:rsid w:val="00C765FC"/>
    <w:rsid w:val="00C76929"/>
    <w:rsid w:val="00C76A6F"/>
    <w:rsid w:val="00C76BCF"/>
    <w:rsid w:val="00C76C9F"/>
    <w:rsid w:val="00C77717"/>
    <w:rsid w:val="00C77956"/>
    <w:rsid w:val="00C77C0E"/>
    <w:rsid w:val="00C802CC"/>
    <w:rsid w:val="00C8035F"/>
    <w:rsid w:val="00C804CF"/>
    <w:rsid w:val="00C804DB"/>
    <w:rsid w:val="00C8077A"/>
    <w:rsid w:val="00C807F0"/>
    <w:rsid w:val="00C8175A"/>
    <w:rsid w:val="00C8268C"/>
    <w:rsid w:val="00C82900"/>
    <w:rsid w:val="00C82923"/>
    <w:rsid w:val="00C82BC4"/>
    <w:rsid w:val="00C8311A"/>
    <w:rsid w:val="00C8355D"/>
    <w:rsid w:val="00C83DDE"/>
    <w:rsid w:val="00C83E87"/>
    <w:rsid w:val="00C84138"/>
    <w:rsid w:val="00C843CF"/>
    <w:rsid w:val="00C847EA"/>
    <w:rsid w:val="00C864B7"/>
    <w:rsid w:val="00C86CC1"/>
    <w:rsid w:val="00C86DA6"/>
    <w:rsid w:val="00C8706D"/>
    <w:rsid w:val="00C87118"/>
    <w:rsid w:val="00C901FD"/>
    <w:rsid w:val="00C91451"/>
    <w:rsid w:val="00C914BD"/>
    <w:rsid w:val="00C92A0F"/>
    <w:rsid w:val="00C92D88"/>
    <w:rsid w:val="00C932B1"/>
    <w:rsid w:val="00C93766"/>
    <w:rsid w:val="00C944AF"/>
    <w:rsid w:val="00C94C61"/>
    <w:rsid w:val="00C94F63"/>
    <w:rsid w:val="00C95109"/>
    <w:rsid w:val="00C958A3"/>
    <w:rsid w:val="00C95941"/>
    <w:rsid w:val="00C968CD"/>
    <w:rsid w:val="00C96F91"/>
    <w:rsid w:val="00C975B0"/>
    <w:rsid w:val="00C9794A"/>
    <w:rsid w:val="00CA0077"/>
    <w:rsid w:val="00CA064A"/>
    <w:rsid w:val="00CA0EB7"/>
    <w:rsid w:val="00CA12AE"/>
    <w:rsid w:val="00CA14C5"/>
    <w:rsid w:val="00CA17C2"/>
    <w:rsid w:val="00CA2269"/>
    <w:rsid w:val="00CA25E4"/>
    <w:rsid w:val="00CA2650"/>
    <w:rsid w:val="00CA27F5"/>
    <w:rsid w:val="00CA35DB"/>
    <w:rsid w:val="00CA425A"/>
    <w:rsid w:val="00CA4280"/>
    <w:rsid w:val="00CA5882"/>
    <w:rsid w:val="00CA5ECF"/>
    <w:rsid w:val="00CA6027"/>
    <w:rsid w:val="00CA6269"/>
    <w:rsid w:val="00CA661D"/>
    <w:rsid w:val="00CA6847"/>
    <w:rsid w:val="00CA7D7D"/>
    <w:rsid w:val="00CB0834"/>
    <w:rsid w:val="00CB08B8"/>
    <w:rsid w:val="00CB0B9E"/>
    <w:rsid w:val="00CB0EBD"/>
    <w:rsid w:val="00CB16FB"/>
    <w:rsid w:val="00CB1AA6"/>
    <w:rsid w:val="00CB291D"/>
    <w:rsid w:val="00CB2FD7"/>
    <w:rsid w:val="00CB3126"/>
    <w:rsid w:val="00CB37FA"/>
    <w:rsid w:val="00CB3B98"/>
    <w:rsid w:val="00CB4807"/>
    <w:rsid w:val="00CB569A"/>
    <w:rsid w:val="00CB5BE1"/>
    <w:rsid w:val="00CB6B86"/>
    <w:rsid w:val="00CB6B9D"/>
    <w:rsid w:val="00CB707C"/>
    <w:rsid w:val="00CB759E"/>
    <w:rsid w:val="00CB7B5E"/>
    <w:rsid w:val="00CB7C08"/>
    <w:rsid w:val="00CC020C"/>
    <w:rsid w:val="00CC08F2"/>
    <w:rsid w:val="00CC18AC"/>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C17"/>
    <w:rsid w:val="00CC7F29"/>
    <w:rsid w:val="00CD03F8"/>
    <w:rsid w:val="00CD0DCE"/>
    <w:rsid w:val="00CD0ECE"/>
    <w:rsid w:val="00CD1059"/>
    <w:rsid w:val="00CD130D"/>
    <w:rsid w:val="00CD178A"/>
    <w:rsid w:val="00CD1E14"/>
    <w:rsid w:val="00CD264A"/>
    <w:rsid w:val="00CD26AA"/>
    <w:rsid w:val="00CD2869"/>
    <w:rsid w:val="00CD2F29"/>
    <w:rsid w:val="00CD3604"/>
    <w:rsid w:val="00CD38D3"/>
    <w:rsid w:val="00CD3C05"/>
    <w:rsid w:val="00CD3D69"/>
    <w:rsid w:val="00CD3EF7"/>
    <w:rsid w:val="00CD3F73"/>
    <w:rsid w:val="00CD4329"/>
    <w:rsid w:val="00CD569F"/>
    <w:rsid w:val="00CD6423"/>
    <w:rsid w:val="00CD71AA"/>
    <w:rsid w:val="00CD79DB"/>
    <w:rsid w:val="00CE0777"/>
    <w:rsid w:val="00CE0811"/>
    <w:rsid w:val="00CE0821"/>
    <w:rsid w:val="00CE1507"/>
    <w:rsid w:val="00CE210A"/>
    <w:rsid w:val="00CE2627"/>
    <w:rsid w:val="00CE2C52"/>
    <w:rsid w:val="00CE389E"/>
    <w:rsid w:val="00CE3C27"/>
    <w:rsid w:val="00CE4092"/>
    <w:rsid w:val="00CE4233"/>
    <w:rsid w:val="00CE4238"/>
    <w:rsid w:val="00CE4281"/>
    <w:rsid w:val="00CE4D92"/>
    <w:rsid w:val="00CE4EA2"/>
    <w:rsid w:val="00CE5CDC"/>
    <w:rsid w:val="00CE5DE7"/>
    <w:rsid w:val="00CE5F0B"/>
    <w:rsid w:val="00CE5F41"/>
    <w:rsid w:val="00CE6857"/>
    <w:rsid w:val="00CE69EB"/>
    <w:rsid w:val="00CE6CA7"/>
    <w:rsid w:val="00CE71D8"/>
    <w:rsid w:val="00CE7A9D"/>
    <w:rsid w:val="00CF010C"/>
    <w:rsid w:val="00CF0724"/>
    <w:rsid w:val="00CF0884"/>
    <w:rsid w:val="00CF0915"/>
    <w:rsid w:val="00CF113F"/>
    <w:rsid w:val="00CF1947"/>
    <w:rsid w:val="00CF2254"/>
    <w:rsid w:val="00CF2497"/>
    <w:rsid w:val="00CF27DE"/>
    <w:rsid w:val="00CF2FB2"/>
    <w:rsid w:val="00CF3081"/>
    <w:rsid w:val="00CF3206"/>
    <w:rsid w:val="00CF37FE"/>
    <w:rsid w:val="00CF39B9"/>
    <w:rsid w:val="00CF3B13"/>
    <w:rsid w:val="00CF3B75"/>
    <w:rsid w:val="00CF429F"/>
    <w:rsid w:val="00CF4B66"/>
    <w:rsid w:val="00CF78C7"/>
    <w:rsid w:val="00CF7C1A"/>
    <w:rsid w:val="00CF7D61"/>
    <w:rsid w:val="00CF7EEE"/>
    <w:rsid w:val="00D012A7"/>
    <w:rsid w:val="00D016C6"/>
    <w:rsid w:val="00D020D3"/>
    <w:rsid w:val="00D02184"/>
    <w:rsid w:val="00D02480"/>
    <w:rsid w:val="00D026C3"/>
    <w:rsid w:val="00D02D37"/>
    <w:rsid w:val="00D031A9"/>
    <w:rsid w:val="00D0377A"/>
    <w:rsid w:val="00D04389"/>
    <w:rsid w:val="00D04422"/>
    <w:rsid w:val="00D0509A"/>
    <w:rsid w:val="00D053F8"/>
    <w:rsid w:val="00D05AB2"/>
    <w:rsid w:val="00D065AB"/>
    <w:rsid w:val="00D069E3"/>
    <w:rsid w:val="00D07152"/>
    <w:rsid w:val="00D0751B"/>
    <w:rsid w:val="00D07692"/>
    <w:rsid w:val="00D076E5"/>
    <w:rsid w:val="00D07877"/>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ED1"/>
    <w:rsid w:val="00D23F5B"/>
    <w:rsid w:val="00D23FE2"/>
    <w:rsid w:val="00D25908"/>
    <w:rsid w:val="00D2625B"/>
    <w:rsid w:val="00D2632F"/>
    <w:rsid w:val="00D26D75"/>
    <w:rsid w:val="00D27466"/>
    <w:rsid w:val="00D276AE"/>
    <w:rsid w:val="00D27E97"/>
    <w:rsid w:val="00D27F77"/>
    <w:rsid w:val="00D31025"/>
    <w:rsid w:val="00D311F2"/>
    <w:rsid w:val="00D31463"/>
    <w:rsid w:val="00D32190"/>
    <w:rsid w:val="00D32275"/>
    <w:rsid w:val="00D322BB"/>
    <w:rsid w:val="00D325D8"/>
    <w:rsid w:val="00D33789"/>
    <w:rsid w:val="00D33C09"/>
    <w:rsid w:val="00D33CC1"/>
    <w:rsid w:val="00D33E7B"/>
    <w:rsid w:val="00D34C8C"/>
    <w:rsid w:val="00D3531C"/>
    <w:rsid w:val="00D3719C"/>
    <w:rsid w:val="00D37435"/>
    <w:rsid w:val="00D3750C"/>
    <w:rsid w:val="00D37AB2"/>
    <w:rsid w:val="00D37AB8"/>
    <w:rsid w:val="00D37E51"/>
    <w:rsid w:val="00D40128"/>
    <w:rsid w:val="00D40175"/>
    <w:rsid w:val="00D4072D"/>
    <w:rsid w:val="00D41030"/>
    <w:rsid w:val="00D4145B"/>
    <w:rsid w:val="00D41AAE"/>
    <w:rsid w:val="00D421AC"/>
    <w:rsid w:val="00D421B2"/>
    <w:rsid w:val="00D42F93"/>
    <w:rsid w:val="00D42FDC"/>
    <w:rsid w:val="00D43085"/>
    <w:rsid w:val="00D43C00"/>
    <w:rsid w:val="00D43D40"/>
    <w:rsid w:val="00D44255"/>
    <w:rsid w:val="00D446E3"/>
    <w:rsid w:val="00D45E7D"/>
    <w:rsid w:val="00D4647F"/>
    <w:rsid w:val="00D46B5E"/>
    <w:rsid w:val="00D477F7"/>
    <w:rsid w:val="00D50341"/>
    <w:rsid w:val="00D508B9"/>
    <w:rsid w:val="00D518EE"/>
    <w:rsid w:val="00D51A9A"/>
    <w:rsid w:val="00D51E9E"/>
    <w:rsid w:val="00D5260E"/>
    <w:rsid w:val="00D52AA8"/>
    <w:rsid w:val="00D52B5A"/>
    <w:rsid w:val="00D52BC3"/>
    <w:rsid w:val="00D53838"/>
    <w:rsid w:val="00D5409A"/>
    <w:rsid w:val="00D542B5"/>
    <w:rsid w:val="00D54D1A"/>
    <w:rsid w:val="00D55142"/>
    <w:rsid w:val="00D55187"/>
    <w:rsid w:val="00D5529A"/>
    <w:rsid w:val="00D5552A"/>
    <w:rsid w:val="00D55593"/>
    <w:rsid w:val="00D55A12"/>
    <w:rsid w:val="00D55C77"/>
    <w:rsid w:val="00D55DC7"/>
    <w:rsid w:val="00D55DE1"/>
    <w:rsid w:val="00D560D5"/>
    <w:rsid w:val="00D56844"/>
    <w:rsid w:val="00D6033D"/>
    <w:rsid w:val="00D608C9"/>
    <w:rsid w:val="00D61CBA"/>
    <w:rsid w:val="00D61D58"/>
    <w:rsid w:val="00D61EC2"/>
    <w:rsid w:val="00D62E59"/>
    <w:rsid w:val="00D6333D"/>
    <w:rsid w:val="00D633E5"/>
    <w:rsid w:val="00D63C40"/>
    <w:rsid w:val="00D6524E"/>
    <w:rsid w:val="00D65A53"/>
    <w:rsid w:val="00D65D95"/>
    <w:rsid w:val="00D65FBA"/>
    <w:rsid w:val="00D66276"/>
    <w:rsid w:val="00D669DC"/>
    <w:rsid w:val="00D67665"/>
    <w:rsid w:val="00D67902"/>
    <w:rsid w:val="00D67B7B"/>
    <w:rsid w:val="00D7070D"/>
    <w:rsid w:val="00D7080B"/>
    <w:rsid w:val="00D70A1B"/>
    <w:rsid w:val="00D71991"/>
    <w:rsid w:val="00D72754"/>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77E89"/>
    <w:rsid w:val="00D80454"/>
    <w:rsid w:val="00D80590"/>
    <w:rsid w:val="00D809D6"/>
    <w:rsid w:val="00D80A32"/>
    <w:rsid w:val="00D80A90"/>
    <w:rsid w:val="00D81364"/>
    <w:rsid w:val="00D814EB"/>
    <w:rsid w:val="00D815CD"/>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879A3"/>
    <w:rsid w:val="00D90100"/>
    <w:rsid w:val="00D9225F"/>
    <w:rsid w:val="00D93740"/>
    <w:rsid w:val="00D93E26"/>
    <w:rsid w:val="00D94140"/>
    <w:rsid w:val="00D941E8"/>
    <w:rsid w:val="00D94240"/>
    <w:rsid w:val="00D94343"/>
    <w:rsid w:val="00D94AFA"/>
    <w:rsid w:val="00D94DBA"/>
    <w:rsid w:val="00D95388"/>
    <w:rsid w:val="00D954F1"/>
    <w:rsid w:val="00D95A09"/>
    <w:rsid w:val="00D95B29"/>
    <w:rsid w:val="00D9642C"/>
    <w:rsid w:val="00D97026"/>
    <w:rsid w:val="00D97759"/>
    <w:rsid w:val="00D97BF7"/>
    <w:rsid w:val="00D97DB9"/>
    <w:rsid w:val="00DA0076"/>
    <w:rsid w:val="00DA0A98"/>
    <w:rsid w:val="00DA1514"/>
    <w:rsid w:val="00DA15C1"/>
    <w:rsid w:val="00DA22FB"/>
    <w:rsid w:val="00DA3326"/>
    <w:rsid w:val="00DA37F5"/>
    <w:rsid w:val="00DA3DFC"/>
    <w:rsid w:val="00DA4AEC"/>
    <w:rsid w:val="00DA569C"/>
    <w:rsid w:val="00DA59FF"/>
    <w:rsid w:val="00DA5B56"/>
    <w:rsid w:val="00DA6B15"/>
    <w:rsid w:val="00DA6FAB"/>
    <w:rsid w:val="00DA72AF"/>
    <w:rsid w:val="00DA7790"/>
    <w:rsid w:val="00DA7AF6"/>
    <w:rsid w:val="00DB02C2"/>
    <w:rsid w:val="00DB0F88"/>
    <w:rsid w:val="00DB12FC"/>
    <w:rsid w:val="00DB22A9"/>
    <w:rsid w:val="00DB2703"/>
    <w:rsid w:val="00DB2792"/>
    <w:rsid w:val="00DB2D38"/>
    <w:rsid w:val="00DB39AD"/>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0E51"/>
    <w:rsid w:val="00DC111B"/>
    <w:rsid w:val="00DC2105"/>
    <w:rsid w:val="00DC2991"/>
    <w:rsid w:val="00DC2E33"/>
    <w:rsid w:val="00DC33F6"/>
    <w:rsid w:val="00DC5092"/>
    <w:rsid w:val="00DC5645"/>
    <w:rsid w:val="00DC566D"/>
    <w:rsid w:val="00DC5CDA"/>
    <w:rsid w:val="00DC64A4"/>
    <w:rsid w:val="00DC6A78"/>
    <w:rsid w:val="00DC6BEA"/>
    <w:rsid w:val="00DC70AB"/>
    <w:rsid w:val="00DC70C1"/>
    <w:rsid w:val="00DC7F66"/>
    <w:rsid w:val="00DD0131"/>
    <w:rsid w:val="00DD0230"/>
    <w:rsid w:val="00DD02FB"/>
    <w:rsid w:val="00DD087F"/>
    <w:rsid w:val="00DD0C60"/>
    <w:rsid w:val="00DD1B0D"/>
    <w:rsid w:val="00DD2B83"/>
    <w:rsid w:val="00DD3DF7"/>
    <w:rsid w:val="00DD4A2B"/>
    <w:rsid w:val="00DD4A9B"/>
    <w:rsid w:val="00DD597F"/>
    <w:rsid w:val="00DD61D7"/>
    <w:rsid w:val="00DD651B"/>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08EA"/>
    <w:rsid w:val="00DF0F1C"/>
    <w:rsid w:val="00DF1804"/>
    <w:rsid w:val="00DF29E0"/>
    <w:rsid w:val="00DF29E9"/>
    <w:rsid w:val="00DF3218"/>
    <w:rsid w:val="00DF356D"/>
    <w:rsid w:val="00DF3616"/>
    <w:rsid w:val="00DF3DC3"/>
    <w:rsid w:val="00DF3E7C"/>
    <w:rsid w:val="00DF41D9"/>
    <w:rsid w:val="00DF43FF"/>
    <w:rsid w:val="00DF45A6"/>
    <w:rsid w:val="00DF4979"/>
    <w:rsid w:val="00DF4E14"/>
    <w:rsid w:val="00DF50EB"/>
    <w:rsid w:val="00DF5F5C"/>
    <w:rsid w:val="00DF6ABC"/>
    <w:rsid w:val="00DF6B58"/>
    <w:rsid w:val="00DF6D5F"/>
    <w:rsid w:val="00DF6E0D"/>
    <w:rsid w:val="00DF725A"/>
    <w:rsid w:val="00DF74B6"/>
    <w:rsid w:val="00DF7973"/>
    <w:rsid w:val="00E01DD2"/>
    <w:rsid w:val="00E01E3C"/>
    <w:rsid w:val="00E020CA"/>
    <w:rsid w:val="00E02488"/>
    <w:rsid w:val="00E02570"/>
    <w:rsid w:val="00E02F52"/>
    <w:rsid w:val="00E02F59"/>
    <w:rsid w:val="00E03332"/>
    <w:rsid w:val="00E03F76"/>
    <w:rsid w:val="00E04707"/>
    <w:rsid w:val="00E0484C"/>
    <w:rsid w:val="00E04C49"/>
    <w:rsid w:val="00E051C3"/>
    <w:rsid w:val="00E057EE"/>
    <w:rsid w:val="00E0685E"/>
    <w:rsid w:val="00E06D8C"/>
    <w:rsid w:val="00E07226"/>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11"/>
    <w:rsid w:val="00E13E7E"/>
    <w:rsid w:val="00E142C3"/>
    <w:rsid w:val="00E14368"/>
    <w:rsid w:val="00E145AC"/>
    <w:rsid w:val="00E14AFA"/>
    <w:rsid w:val="00E14F65"/>
    <w:rsid w:val="00E1527D"/>
    <w:rsid w:val="00E155EA"/>
    <w:rsid w:val="00E1661F"/>
    <w:rsid w:val="00E17752"/>
    <w:rsid w:val="00E17904"/>
    <w:rsid w:val="00E17BD7"/>
    <w:rsid w:val="00E20093"/>
    <w:rsid w:val="00E207CE"/>
    <w:rsid w:val="00E20F2E"/>
    <w:rsid w:val="00E216EB"/>
    <w:rsid w:val="00E217D2"/>
    <w:rsid w:val="00E22703"/>
    <w:rsid w:val="00E22AB2"/>
    <w:rsid w:val="00E22E13"/>
    <w:rsid w:val="00E236D5"/>
    <w:rsid w:val="00E2382A"/>
    <w:rsid w:val="00E242C4"/>
    <w:rsid w:val="00E244F4"/>
    <w:rsid w:val="00E2544B"/>
    <w:rsid w:val="00E25472"/>
    <w:rsid w:val="00E2573A"/>
    <w:rsid w:val="00E2638A"/>
    <w:rsid w:val="00E268B9"/>
    <w:rsid w:val="00E268BD"/>
    <w:rsid w:val="00E27102"/>
    <w:rsid w:val="00E27186"/>
    <w:rsid w:val="00E27305"/>
    <w:rsid w:val="00E27548"/>
    <w:rsid w:val="00E27D33"/>
    <w:rsid w:val="00E309D8"/>
    <w:rsid w:val="00E30AFF"/>
    <w:rsid w:val="00E30C38"/>
    <w:rsid w:val="00E312AA"/>
    <w:rsid w:val="00E313A6"/>
    <w:rsid w:val="00E31580"/>
    <w:rsid w:val="00E31941"/>
    <w:rsid w:val="00E3198D"/>
    <w:rsid w:val="00E324FA"/>
    <w:rsid w:val="00E32F08"/>
    <w:rsid w:val="00E331DA"/>
    <w:rsid w:val="00E33522"/>
    <w:rsid w:val="00E33D4F"/>
    <w:rsid w:val="00E34172"/>
    <w:rsid w:val="00E3437E"/>
    <w:rsid w:val="00E34558"/>
    <w:rsid w:val="00E34C34"/>
    <w:rsid w:val="00E358DA"/>
    <w:rsid w:val="00E35EFD"/>
    <w:rsid w:val="00E367AB"/>
    <w:rsid w:val="00E37063"/>
    <w:rsid w:val="00E370B2"/>
    <w:rsid w:val="00E37B30"/>
    <w:rsid w:val="00E4119C"/>
    <w:rsid w:val="00E41237"/>
    <w:rsid w:val="00E41583"/>
    <w:rsid w:val="00E415BC"/>
    <w:rsid w:val="00E419A7"/>
    <w:rsid w:val="00E419EE"/>
    <w:rsid w:val="00E42E97"/>
    <w:rsid w:val="00E43525"/>
    <w:rsid w:val="00E43D55"/>
    <w:rsid w:val="00E445DE"/>
    <w:rsid w:val="00E44A40"/>
    <w:rsid w:val="00E458C2"/>
    <w:rsid w:val="00E45DA2"/>
    <w:rsid w:val="00E46223"/>
    <w:rsid w:val="00E4662F"/>
    <w:rsid w:val="00E4687F"/>
    <w:rsid w:val="00E471E5"/>
    <w:rsid w:val="00E47BE0"/>
    <w:rsid w:val="00E47C1A"/>
    <w:rsid w:val="00E503E2"/>
    <w:rsid w:val="00E507B5"/>
    <w:rsid w:val="00E50CCF"/>
    <w:rsid w:val="00E50EE6"/>
    <w:rsid w:val="00E51143"/>
    <w:rsid w:val="00E511D6"/>
    <w:rsid w:val="00E5171F"/>
    <w:rsid w:val="00E5288F"/>
    <w:rsid w:val="00E52EDC"/>
    <w:rsid w:val="00E5353D"/>
    <w:rsid w:val="00E535C2"/>
    <w:rsid w:val="00E5393F"/>
    <w:rsid w:val="00E53BD4"/>
    <w:rsid w:val="00E545EA"/>
    <w:rsid w:val="00E54792"/>
    <w:rsid w:val="00E55F41"/>
    <w:rsid w:val="00E570CE"/>
    <w:rsid w:val="00E5716E"/>
    <w:rsid w:val="00E572C0"/>
    <w:rsid w:val="00E573F2"/>
    <w:rsid w:val="00E57557"/>
    <w:rsid w:val="00E57E43"/>
    <w:rsid w:val="00E606C4"/>
    <w:rsid w:val="00E6092C"/>
    <w:rsid w:val="00E60993"/>
    <w:rsid w:val="00E61C1E"/>
    <w:rsid w:val="00E62C1E"/>
    <w:rsid w:val="00E62F1F"/>
    <w:rsid w:val="00E63174"/>
    <w:rsid w:val="00E63652"/>
    <w:rsid w:val="00E64913"/>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A6F"/>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7B4"/>
    <w:rsid w:val="00E93A31"/>
    <w:rsid w:val="00E943D8"/>
    <w:rsid w:val="00E949B1"/>
    <w:rsid w:val="00E9500B"/>
    <w:rsid w:val="00E95510"/>
    <w:rsid w:val="00E9595E"/>
    <w:rsid w:val="00E95B14"/>
    <w:rsid w:val="00E96DBB"/>
    <w:rsid w:val="00E97990"/>
    <w:rsid w:val="00E97AF7"/>
    <w:rsid w:val="00E97D74"/>
    <w:rsid w:val="00E97FA2"/>
    <w:rsid w:val="00EA0622"/>
    <w:rsid w:val="00EA0802"/>
    <w:rsid w:val="00EA1371"/>
    <w:rsid w:val="00EA2512"/>
    <w:rsid w:val="00EA27AF"/>
    <w:rsid w:val="00EA2A6B"/>
    <w:rsid w:val="00EA2D96"/>
    <w:rsid w:val="00EA2DA3"/>
    <w:rsid w:val="00EA34C7"/>
    <w:rsid w:val="00EA458D"/>
    <w:rsid w:val="00EA4A23"/>
    <w:rsid w:val="00EA5069"/>
    <w:rsid w:val="00EA614B"/>
    <w:rsid w:val="00EA6363"/>
    <w:rsid w:val="00EA73E5"/>
    <w:rsid w:val="00EA756D"/>
    <w:rsid w:val="00EA7889"/>
    <w:rsid w:val="00EA7EBD"/>
    <w:rsid w:val="00EB04B0"/>
    <w:rsid w:val="00EB10C7"/>
    <w:rsid w:val="00EB1579"/>
    <w:rsid w:val="00EB165D"/>
    <w:rsid w:val="00EB1DC2"/>
    <w:rsid w:val="00EB2529"/>
    <w:rsid w:val="00EB2EF8"/>
    <w:rsid w:val="00EB39F5"/>
    <w:rsid w:val="00EB3D45"/>
    <w:rsid w:val="00EB3F66"/>
    <w:rsid w:val="00EB448D"/>
    <w:rsid w:val="00EB46DC"/>
    <w:rsid w:val="00EB4C2C"/>
    <w:rsid w:val="00EB5036"/>
    <w:rsid w:val="00EB6A69"/>
    <w:rsid w:val="00EB7A71"/>
    <w:rsid w:val="00EC01BC"/>
    <w:rsid w:val="00EC0288"/>
    <w:rsid w:val="00EC0CC5"/>
    <w:rsid w:val="00EC0F6E"/>
    <w:rsid w:val="00EC155F"/>
    <w:rsid w:val="00EC16BA"/>
    <w:rsid w:val="00EC18AD"/>
    <w:rsid w:val="00EC1BFF"/>
    <w:rsid w:val="00EC2205"/>
    <w:rsid w:val="00EC31C5"/>
    <w:rsid w:val="00EC36BD"/>
    <w:rsid w:val="00EC3A15"/>
    <w:rsid w:val="00EC3C8D"/>
    <w:rsid w:val="00EC3E0B"/>
    <w:rsid w:val="00EC4513"/>
    <w:rsid w:val="00EC49A8"/>
    <w:rsid w:val="00EC5032"/>
    <w:rsid w:val="00EC51AC"/>
    <w:rsid w:val="00EC5799"/>
    <w:rsid w:val="00EC57DE"/>
    <w:rsid w:val="00EC60A9"/>
    <w:rsid w:val="00EC6191"/>
    <w:rsid w:val="00EC67A6"/>
    <w:rsid w:val="00EC73B3"/>
    <w:rsid w:val="00EC7BF1"/>
    <w:rsid w:val="00ED03C4"/>
    <w:rsid w:val="00ED0BA4"/>
    <w:rsid w:val="00ED2337"/>
    <w:rsid w:val="00ED2E67"/>
    <w:rsid w:val="00ED2FEE"/>
    <w:rsid w:val="00ED3017"/>
    <w:rsid w:val="00ED3185"/>
    <w:rsid w:val="00ED31EF"/>
    <w:rsid w:val="00ED3317"/>
    <w:rsid w:val="00ED3D37"/>
    <w:rsid w:val="00ED3F97"/>
    <w:rsid w:val="00ED4333"/>
    <w:rsid w:val="00ED4790"/>
    <w:rsid w:val="00ED4826"/>
    <w:rsid w:val="00ED49A3"/>
    <w:rsid w:val="00ED4B67"/>
    <w:rsid w:val="00ED5117"/>
    <w:rsid w:val="00ED5606"/>
    <w:rsid w:val="00ED58CE"/>
    <w:rsid w:val="00ED594C"/>
    <w:rsid w:val="00ED60D0"/>
    <w:rsid w:val="00ED66DF"/>
    <w:rsid w:val="00ED6E3C"/>
    <w:rsid w:val="00ED7323"/>
    <w:rsid w:val="00ED73B0"/>
    <w:rsid w:val="00ED749D"/>
    <w:rsid w:val="00ED7F33"/>
    <w:rsid w:val="00EE056E"/>
    <w:rsid w:val="00EE0BFD"/>
    <w:rsid w:val="00EE1268"/>
    <w:rsid w:val="00EE1777"/>
    <w:rsid w:val="00EE1A0F"/>
    <w:rsid w:val="00EE1B71"/>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17E"/>
    <w:rsid w:val="00EF02FC"/>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1271"/>
    <w:rsid w:val="00F0165D"/>
    <w:rsid w:val="00F01E42"/>
    <w:rsid w:val="00F01EF9"/>
    <w:rsid w:val="00F021CB"/>
    <w:rsid w:val="00F025F5"/>
    <w:rsid w:val="00F029B2"/>
    <w:rsid w:val="00F02B99"/>
    <w:rsid w:val="00F030E3"/>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3F4A"/>
    <w:rsid w:val="00F14888"/>
    <w:rsid w:val="00F14A98"/>
    <w:rsid w:val="00F1560B"/>
    <w:rsid w:val="00F15C3D"/>
    <w:rsid w:val="00F16045"/>
    <w:rsid w:val="00F162B5"/>
    <w:rsid w:val="00F165AB"/>
    <w:rsid w:val="00F167C0"/>
    <w:rsid w:val="00F16809"/>
    <w:rsid w:val="00F17481"/>
    <w:rsid w:val="00F176F3"/>
    <w:rsid w:val="00F17874"/>
    <w:rsid w:val="00F17D22"/>
    <w:rsid w:val="00F17F69"/>
    <w:rsid w:val="00F20476"/>
    <w:rsid w:val="00F20A08"/>
    <w:rsid w:val="00F21319"/>
    <w:rsid w:val="00F215F7"/>
    <w:rsid w:val="00F21887"/>
    <w:rsid w:val="00F22E83"/>
    <w:rsid w:val="00F23591"/>
    <w:rsid w:val="00F23614"/>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0E5B"/>
    <w:rsid w:val="00F4148A"/>
    <w:rsid w:val="00F41DC1"/>
    <w:rsid w:val="00F41E9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47864"/>
    <w:rsid w:val="00F5025F"/>
    <w:rsid w:val="00F50AA8"/>
    <w:rsid w:val="00F51456"/>
    <w:rsid w:val="00F5194D"/>
    <w:rsid w:val="00F52923"/>
    <w:rsid w:val="00F534F2"/>
    <w:rsid w:val="00F54045"/>
    <w:rsid w:val="00F54B3B"/>
    <w:rsid w:val="00F55267"/>
    <w:rsid w:val="00F55591"/>
    <w:rsid w:val="00F560C3"/>
    <w:rsid w:val="00F561F5"/>
    <w:rsid w:val="00F574B8"/>
    <w:rsid w:val="00F5755C"/>
    <w:rsid w:val="00F57882"/>
    <w:rsid w:val="00F6017A"/>
    <w:rsid w:val="00F601CC"/>
    <w:rsid w:val="00F607B3"/>
    <w:rsid w:val="00F61AB6"/>
    <w:rsid w:val="00F61B0F"/>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7783B"/>
    <w:rsid w:val="00F815CC"/>
    <w:rsid w:val="00F82673"/>
    <w:rsid w:val="00F826AB"/>
    <w:rsid w:val="00F8363D"/>
    <w:rsid w:val="00F8470C"/>
    <w:rsid w:val="00F853E6"/>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2A0"/>
    <w:rsid w:val="00F95581"/>
    <w:rsid w:val="00F95681"/>
    <w:rsid w:val="00F95D36"/>
    <w:rsid w:val="00F968C2"/>
    <w:rsid w:val="00F97184"/>
    <w:rsid w:val="00F9725D"/>
    <w:rsid w:val="00F974FB"/>
    <w:rsid w:val="00F976CF"/>
    <w:rsid w:val="00F97738"/>
    <w:rsid w:val="00F97976"/>
    <w:rsid w:val="00F97B31"/>
    <w:rsid w:val="00F97B9C"/>
    <w:rsid w:val="00F97FAD"/>
    <w:rsid w:val="00FA0532"/>
    <w:rsid w:val="00FA1AA2"/>
    <w:rsid w:val="00FA1AF3"/>
    <w:rsid w:val="00FA27EC"/>
    <w:rsid w:val="00FA2901"/>
    <w:rsid w:val="00FA38B7"/>
    <w:rsid w:val="00FA4482"/>
    <w:rsid w:val="00FA59D4"/>
    <w:rsid w:val="00FA5BBF"/>
    <w:rsid w:val="00FA5F7F"/>
    <w:rsid w:val="00FA6651"/>
    <w:rsid w:val="00FA67CA"/>
    <w:rsid w:val="00FA6C8A"/>
    <w:rsid w:val="00FA6D29"/>
    <w:rsid w:val="00FA731F"/>
    <w:rsid w:val="00FA7F1F"/>
    <w:rsid w:val="00FB00D7"/>
    <w:rsid w:val="00FB0496"/>
    <w:rsid w:val="00FB0DBA"/>
    <w:rsid w:val="00FB0E63"/>
    <w:rsid w:val="00FB1171"/>
    <w:rsid w:val="00FB1492"/>
    <w:rsid w:val="00FB1BEF"/>
    <w:rsid w:val="00FB2CDB"/>
    <w:rsid w:val="00FB37B1"/>
    <w:rsid w:val="00FB3D8D"/>
    <w:rsid w:val="00FB4650"/>
    <w:rsid w:val="00FB4948"/>
    <w:rsid w:val="00FB4F27"/>
    <w:rsid w:val="00FB5E7E"/>
    <w:rsid w:val="00FB602A"/>
    <w:rsid w:val="00FB607D"/>
    <w:rsid w:val="00FB63BE"/>
    <w:rsid w:val="00FB656A"/>
    <w:rsid w:val="00FB6998"/>
    <w:rsid w:val="00FB6CFE"/>
    <w:rsid w:val="00FB715E"/>
    <w:rsid w:val="00FB72A5"/>
    <w:rsid w:val="00FC06A3"/>
    <w:rsid w:val="00FC0892"/>
    <w:rsid w:val="00FC3205"/>
    <w:rsid w:val="00FC3FC5"/>
    <w:rsid w:val="00FC4973"/>
    <w:rsid w:val="00FC4AA8"/>
    <w:rsid w:val="00FC5379"/>
    <w:rsid w:val="00FC566E"/>
    <w:rsid w:val="00FC5F6F"/>
    <w:rsid w:val="00FC6860"/>
    <w:rsid w:val="00FC73DF"/>
    <w:rsid w:val="00FC75B8"/>
    <w:rsid w:val="00FC7BCB"/>
    <w:rsid w:val="00FD0032"/>
    <w:rsid w:val="00FD024A"/>
    <w:rsid w:val="00FD0466"/>
    <w:rsid w:val="00FD0FC8"/>
    <w:rsid w:val="00FD1573"/>
    <w:rsid w:val="00FD1AB8"/>
    <w:rsid w:val="00FD1EB6"/>
    <w:rsid w:val="00FD2AD0"/>
    <w:rsid w:val="00FD3140"/>
    <w:rsid w:val="00FD31ED"/>
    <w:rsid w:val="00FD3A97"/>
    <w:rsid w:val="00FD40C8"/>
    <w:rsid w:val="00FD4999"/>
    <w:rsid w:val="00FD49FE"/>
    <w:rsid w:val="00FD58B1"/>
    <w:rsid w:val="00FD6A91"/>
    <w:rsid w:val="00FE043F"/>
    <w:rsid w:val="00FE0A9A"/>
    <w:rsid w:val="00FE0B3C"/>
    <w:rsid w:val="00FE0BA2"/>
    <w:rsid w:val="00FE0F1A"/>
    <w:rsid w:val="00FE143F"/>
    <w:rsid w:val="00FE1AB2"/>
    <w:rsid w:val="00FE2094"/>
    <w:rsid w:val="00FE2304"/>
    <w:rsid w:val="00FE278C"/>
    <w:rsid w:val="00FE29D5"/>
    <w:rsid w:val="00FE316D"/>
    <w:rsid w:val="00FE4A33"/>
    <w:rsid w:val="00FE4ABF"/>
    <w:rsid w:val="00FE50AC"/>
    <w:rsid w:val="00FE55BD"/>
    <w:rsid w:val="00FE5BB7"/>
    <w:rsid w:val="00FE5E8D"/>
    <w:rsid w:val="00FE6049"/>
    <w:rsid w:val="00FE6EF4"/>
    <w:rsid w:val="00FE723D"/>
    <w:rsid w:val="00FE7841"/>
    <w:rsid w:val="00FE7A74"/>
    <w:rsid w:val="00FE7F9C"/>
    <w:rsid w:val="00FF0ABA"/>
    <w:rsid w:val="00FF0B42"/>
    <w:rsid w:val="00FF1288"/>
    <w:rsid w:val="00FF1D67"/>
    <w:rsid w:val="00FF21E8"/>
    <w:rsid w:val="00FF2A49"/>
    <w:rsid w:val="00FF35BF"/>
    <w:rsid w:val="00FF36AF"/>
    <w:rsid w:val="00FF4278"/>
    <w:rsid w:val="00FF44ED"/>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95BC89A-D3CA-4CBB-9B3A-580C5042B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F047FB"/>
    <w:rPr>
      <w:rFonts w:ascii="Cambria" w:hAnsi="Cambria" w:cs="Times New Roman"/>
      <w:b/>
      <w:kern w:val="32"/>
      <w:sz w:val="32"/>
      <w:lang w:val="es-ES" w:eastAsia="es-ES"/>
    </w:rPr>
  </w:style>
  <w:style w:type="character" w:customStyle="1" w:styleId="Ttulo3Car">
    <w:name w:val="Título 3 Car"/>
    <w:basedOn w:val="Fuentedeprrafopredeter"/>
    <w:link w:val="Ttulo3"/>
    <w:uiPriority w:val="9"/>
    <w:semiHidden/>
    <w:locked/>
    <w:rsid w:val="005842CF"/>
    <w:rPr>
      <w:rFonts w:ascii="Cambria" w:hAnsi="Cambria" w:cs="Times New Roman"/>
      <w:b/>
      <w:sz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locked/>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basedOn w:val="Fuentedeprrafopredete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basedOn w:val="Fuentedeprrafopredete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basedOn w:val="Fuentedeprrafopredete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sz w:val="24"/>
      <w:lang w:val="es-ES" w:eastAsia="es-ES"/>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basedOn w:val="Fuentedeprrafopredete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basedOn w:val="Fuentedeprrafopredete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basedOn w:val="Fuentedeprrafopredete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basedOn w:val="Fuentedeprrafopredete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basedOn w:val="Fuentedeprrafopredete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basedOn w:val="Textoindependiente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basedOn w:val="Fuentedeprrafopredeter"/>
    <w:uiPriority w:val="99"/>
    <w:unhideWhenUsed/>
    <w:rsid w:val="00041210"/>
    <w:rPr>
      <w:rFonts w:cs="Times New Roman"/>
      <w:color w:val="0000FF"/>
      <w:u w:val="single"/>
    </w:rPr>
  </w:style>
  <w:style w:type="character" w:customStyle="1" w:styleId="a">
    <w:name w:val="a"/>
    <w:rsid w:val="00930751"/>
  </w:style>
  <w:style w:type="character" w:customStyle="1" w:styleId="l7">
    <w:name w:val="l7"/>
    <w:rsid w:val="00930751"/>
  </w:style>
  <w:style w:type="character" w:customStyle="1" w:styleId="l6">
    <w:name w:val="l6"/>
    <w:rsid w:val="00930751"/>
  </w:style>
  <w:style w:type="character" w:customStyle="1" w:styleId="l8">
    <w:name w:val="l8"/>
    <w:rsid w:val="00930751"/>
  </w:style>
  <w:style w:type="character" w:customStyle="1" w:styleId="l">
    <w:name w:val="l"/>
    <w:rsid w:val="00930751"/>
  </w:style>
  <w:style w:type="character" w:customStyle="1" w:styleId="l9">
    <w:name w:val="l9"/>
    <w:rsid w:val="00930751"/>
  </w:style>
  <w:style w:type="character" w:customStyle="1" w:styleId="l10">
    <w:name w:val="l10"/>
    <w:rsid w:val="00930751"/>
  </w:style>
  <w:style w:type="character" w:customStyle="1" w:styleId="l11">
    <w:name w:val="l11"/>
    <w:rsid w:val="00236188"/>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CB6B86"/>
    <w:rPr>
      <w:rFonts w:ascii="Courier New" w:hAnsi="Courier New" w:cs="Times New Roman"/>
      <w:sz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basedOn w:val="Fuentedeprrafopredeter"/>
    <w:link w:val="Textoindependiente3"/>
    <w:uiPriority w:val="99"/>
    <w:locked/>
    <w:rsid w:val="00750723"/>
    <w:rPr>
      <w:rFonts w:ascii="Arial" w:hAnsi="Arial" w:cs="Times New Roman"/>
      <w:sz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locked/>
    <w:rsid w:val="006A64CC"/>
    <w:rPr>
      <w:rFonts w:ascii="Arial" w:hAnsi="Arial" w:cs="Arial"/>
      <w:b/>
      <w:bCs/>
      <w:i/>
      <w:iCs/>
      <w:sz w:val="24"/>
      <w:szCs w:val="24"/>
    </w:rPr>
  </w:style>
  <w:style w:type="character" w:customStyle="1" w:styleId="PrrafodelistaCar">
    <w:name w:val="Párrafo de lista Car"/>
    <w:aliases w:val="Colorful List - Accent 11 Car,Ha Car,List Paragraph1 Car,lp1 Car"/>
    <w:link w:val="Prrafodelista"/>
    <w:uiPriority w:val="34"/>
    <w:locked/>
    <w:rsid w:val="00785FA3"/>
    <w:rPr>
      <w:rFonts w:ascii="Courier New" w:hAnsi="Courier New"/>
      <w:sz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B43247"/>
    <w:pPr>
      <w:widowControl/>
      <w:autoSpaceDE/>
      <w:autoSpaceDN/>
      <w:adjustRightInd/>
      <w:jc w:val="both"/>
    </w:pPr>
    <w:rPr>
      <w:rFonts w:ascii="Calibri" w:hAnsi="Calibri" w:cs="Times New Roman"/>
      <w:sz w:val="20"/>
      <w:szCs w:val="20"/>
      <w:vertAlign w:val="superscript"/>
    </w:rPr>
  </w:style>
  <w:style w:type="character" w:styleId="Refdecomentario">
    <w:name w:val="annotation reference"/>
    <w:basedOn w:val="Fuentedeprrafopredeter"/>
    <w:uiPriority w:val="99"/>
    <w:semiHidden/>
    <w:unhideWhenUsed/>
    <w:rsid w:val="00B34747"/>
    <w:rPr>
      <w:rFonts w:cs="Times New Roman"/>
      <w:sz w:val="16"/>
      <w:szCs w:val="16"/>
    </w:rPr>
  </w:style>
  <w:style w:type="paragraph" w:styleId="Textocomentario">
    <w:name w:val="annotation text"/>
    <w:basedOn w:val="Normal"/>
    <w:link w:val="TextocomentarioCar"/>
    <w:uiPriority w:val="99"/>
    <w:semiHidden/>
    <w:unhideWhenUsed/>
    <w:rsid w:val="00B34747"/>
    <w:rPr>
      <w:sz w:val="20"/>
      <w:szCs w:val="20"/>
    </w:rPr>
  </w:style>
  <w:style w:type="character" w:customStyle="1" w:styleId="TextocomentarioCar">
    <w:name w:val="Texto comentario Car"/>
    <w:basedOn w:val="Fuentedeprrafopredeter"/>
    <w:link w:val="Textocomentario"/>
    <w:uiPriority w:val="99"/>
    <w:semiHidden/>
    <w:locked/>
    <w:rsid w:val="00B34747"/>
    <w:rPr>
      <w:rFonts w:ascii="Courier New" w:hAnsi="Courier New" w:cs="Verdana"/>
    </w:rPr>
  </w:style>
  <w:style w:type="paragraph" w:styleId="Asuntodelcomentario">
    <w:name w:val="annotation subject"/>
    <w:basedOn w:val="Textocomentario"/>
    <w:next w:val="Textocomentario"/>
    <w:link w:val="AsuntodelcomentarioCar"/>
    <w:uiPriority w:val="99"/>
    <w:semiHidden/>
    <w:unhideWhenUsed/>
    <w:rsid w:val="00B34747"/>
    <w:rPr>
      <w:b/>
      <w:bCs/>
    </w:rPr>
  </w:style>
  <w:style w:type="character" w:customStyle="1" w:styleId="AsuntodelcomentarioCar">
    <w:name w:val="Asunto del comentario Car"/>
    <w:basedOn w:val="TextocomentarioCar"/>
    <w:link w:val="Asuntodelcomentario"/>
    <w:uiPriority w:val="99"/>
    <w:semiHidden/>
    <w:locked/>
    <w:rsid w:val="00B34747"/>
    <w:rPr>
      <w:rFonts w:ascii="Courier New" w:hAnsi="Courier New" w:cs="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299921">
      <w:marLeft w:val="0"/>
      <w:marRight w:val="0"/>
      <w:marTop w:val="0"/>
      <w:marBottom w:val="0"/>
      <w:divBdr>
        <w:top w:val="none" w:sz="0" w:space="0" w:color="auto"/>
        <w:left w:val="none" w:sz="0" w:space="0" w:color="auto"/>
        <w:bottom w:val="none" w:sz="0" w:space="0" w:color="auto"/>
        <w:right w:val="none" w:sz="0" w:space="0" w:color="auto"/>
      </w:divBdr>
    </w:div>
    <w:div w:id="1084299922">
      <w:marLeft w:val="0"/>
      <w:marRight w:val="0"/>
      <w:marTop w:val="0"/>
      <w:marBottom w:val="0"/>
      <w:divBdr>
        <w:top w:val="none" w:sz="0" w:space="0" w:color="auto"/>
        <w:left w:val="none" w:sz="0" w:space="0" w:color="auto"/>
        <w:bottom w:val="none" w:sz="0" w:space="0" w:color="auto"/>
        <w:right w:val="none" w:sz="0" w:space="0" w:color="auto"/>
      </w:divBdr>
    </w:div>
    <w:div w:id="1084299923">
      <w:marLeft w:val="0"/>
      <w:marRight w:val="0"/>
      <w:marTop w:val="0"/>
      <w:marBottom w:val="0"/>
      <w:divBdr>
        <w:top w:val="none" w:sz="0" w:space="0" w:color="auto"/>
        <w:left w:val="none" w:sz="0" w:space="0" w:color="auto"/>
        <w:bottom w:val="none" w:sz="0" w:space="0" w:color="auto"/>
        <w:right w:val="none" w:sz="0" w:space="0" w:color="auto"/>
      </w:divBdr>
    </w:div>
    <w:div w:id="1084299924">
      <w:marLeft w:val="0"/>
      <w:marRight w:val="0"/>
      <w:marTop w:val="0"/>
      <w:marBottom w:val="0"/>
      <w:divBdr>
        <w:top w:val="none" w:sz="0" w:space="0" w:color="auto"/>
        <w:left w:val="none" w:sz="0" w:space="0" w:color="auto"/>
        <w:bottom w:val="none" w:sz="0" w:space="0" w:color="auto"/>
        <w:right w:val="none" w:sz="0" w:space="0" w:color="auto"/>
      </w:divBdr>
    </w:div>
    <w:div w:id="1084299925">
      <w:marLeft w:val="0"/>
      <w:marRight w:val="0"/>
      <w:marTop w:val="0"/>
      <w:marBottom w:val="0"/>
      <w:divBdr>
        <w:top w:val="none" w:sz="0" w:space="0" w:color="auto"/>
        <w:left w:val="none" w:sz="0" w:space="0" w:color="auto"/>
        <w:bottom w:val="none" w:sz="0" w:space="0" w:color="auto"/>
        <w:right w:val="none" w:sz="0" w:space="0" w:color="auto"/>
      </w:divBdr>
    </w:div>
    <w:div w:id="1084299926">
      <w:marLeft w:val="0"/>
      <w:marRight w:val="0"/>
      <w:marTop w:val="0"/>
      <w:marBottom w:val="0"/>
      <w:divBdr>
        <w:top w:val="none" w:sz="0" w:space="0" w:color="auto"/>
        <w:left w:val="none" w:sz="0" w:space="0" w:color="auto"/>
        <w:bottom w:val="none" w:sz="0" w:space="0" w:color="auto"/>
        <w:right w:val="none" w:sz="0" w:space="0" w:color="auto"/>
      </w:divBdr>
    </w:div>
    <w:div w:id="1084299927">
      <w:marLeft w:val="0"/>
      <w:marRight w:val="0"/>
      <w:marTop w:val="0"/>
      <w:marBottom w:val="0"/>
      <w:divBdr>
        <w:top w:val="none" w:sz="0" w:space="0" w:color="auto"/>
        <w:left w:val="none" w:sz="0" w:space="0" w:color="auto"/>
        <w:bottom w:val="none" w:sz="0" w:space="0" w:color="auto"/>
        <w:right w:val="none" w:sz="0" w:space="0" w:color="auto"/>
      </w:divBdr>
    </w:div>
    <w:div w:id="1084299928">
      <w:marLeft w:val="0"/>
      <w:marRight w:val="0"/>
      <w:marTop w:val="0"/>
      <w:marBottom w:val="0"/>
      <w:divBdr>
        <w:top w:val="none" w:sz="0" w:space="0" w:color="auto"/>
        <w:left w:val="none" w:sz="0" w:space="0" w:color="auto"/>
        <w:bottom w:val="none" w:sz="0" w:space="0" w:color="auto"/>
        <w:right w:val="none" w:sz="0" w:space="0" w:color="auto"/>
      </w:divBdr>
    </w:div>
    <w:div w:id="1084299929">
      <w:marLeft w:val="0"/>
      <w:marRight w:val="0"/>
      <w:marTop w:val="0"/>
      <w:marBottom w:val="0"/>
      <w:divBdr>
        <w:top w:val="none" w:sz="0" w:space="0" w:color="auto"/>
        <w:left w:val="none" w:sz="0" w:space="0" w:color="auto"/>
        <w:bottom w:val="none" w:sz="0" w:space="0" w:color="auto"/>
        <w:right w:val="none" w:sz="0" w:space="0" w:color="auto"/>
      </w:divBdr>
    </w:div>
    <w:div w:id="1084299930">
      <w:marLeft w:val="0"/>
      <w:marRight w:val="0"/>
      <w:marTop w:val="0"/>
      <w:marBottom w:val="0"/>
      <w:divBdr>
        <w:top w:val="none" w:sz="0" w:space="0" w:color="auto"/>
        <w:left w:val="none" w:sz="0" w:space="0" w:color="auto"/>
        <w:bottom w:val="none" w:sz="0" w:space="0" w:color="auto"/>
        <w:right w:val="none" w:sz="0" w:space="0" w:color="auto"/>
      </w:divBdr>
    </w:div>
    <w:div w:id="1084299931">
      <w:marLeft w:val="0"/>
      <w:marRight w:val="0"/>
      <w:marTop w:val="0"/>
      <w:marBottom w:val="0"/>
      <w:divBdr>
        <w:top w:val="none" w:sz="0" w:space="0" w:color="auto"/>
        <w:left w:val="none" w:sz="0" w:space="0" w:color="auto"/>
        <w:bottom w:val="none" w:sz="0" w:space="0" w:color="auto"/>
        <w:right w:val="none" w:sz="0" w:space="0" w:color="auto"/>
      </w:divBdr>
    </w:div>
    <w:div w:id="1084299932">
      <w:marLeft w:val="0"/>
      <w:marRight w:val="0"/>
      <w:marTop w:val="0"/>
      <w:marBottom w:val="0"/>
      <w:divBdr>
        <w:top w:val="none" w:sz="0" w:space="0" w:color="auto"/>
        <w:left w:val="none" w:sz="0" w:space="0" w:color="auto"/>
        <w:bottom w:val="none" w:sz="0" w:space="0" w:color="auto"/>
        <w:right w:val="none" w:sz="0" w:space="0" w:color="auto"/>
      </w:divBdr>
    </w:div>
    <w:div w:id="1084299933">
      <w:marLeft w:val="0"/>
      <w:marRight w:val="0"/>
      <w:marTop w:val="0"/>
      <w:marBottom w:val="0"/>
      <w:divBdr>
        <w:top w:val="none" w:sz="0" w:space="0" w:color="auto"/>
        <w:left w:val="none" w:sz="0" w:space="0" w:color="auto"/>
        <w:bottom w:val="none" w:sz="0" w:space="0" w:color="auto"/>
        <w:right w:val="none" w:sz="0" w:space="0" w:color="auto"/>
      </w:divBdr>
    </w:div>
    <w:div w:id="1084299934">
      <w:marLeft w:val="0"/>
      <w:marRight w:val="0"/>
      <w:marTop w:val="0"/>
      <w:marBottom w:val="0"/>
      <w:divBdr>
        <w:top w:val="none" w:sz="0" w:space="0" w:color="auto"/>
        <w:left w:val="none" w:sz="0" w:space="0" w:color="auto"/>
        <w:bottom w:val="none" w:sz="0" w:space="0" w:color="auto"/>
        <w:right w:val="none" w:sz="0" w:space="0" w:color="auto"/>
      </w:divBdr>
    </w:div>
    <w:div w:id="1084299937">
      <w:marLeft w:val="0"/>
      <w:marRight w:val="0"/>
      <w:marTop w:val="0"/>
      <w:marBottom w:val="0"/>
      <w:divBdr>
        <w:top w:val="none" w:sz="0" w:space="0" w:color="auto"/>
        <w:left w:val="none" w:sz="0" w:space="0" w:color="auto"/>
        <w:bottom w:val="none" w:sz="0" w:space="0" w:color="auto"/>
        <w:right w:val="none" w:sz="0" w:space="0" w:color="auto"/>
      </w:divBdr>
      <w:divsChild>
        <w:div w:id="1084299935">
          <w:marLeft w:val="0"/>
          <w:marRight w:val="0"/>
          <w:marTop w:val="0"/>
          <w:marBottom w:val="0"/>
          <w:divBdr>
            <w:top w:val="none" w:sz="0" w:space="0" w:color="auto"/>
            <w:left w:val="none" w:sz="0" w:space="0" w:color="auto"/>
            <w:bottom w:val="none" w:sz="0" w:space="0" w:color="auto"/>
            <w:right w:val="none" w:sz="0" w:space="0" w:color="auto"/>
          </w:divBdr>
        </w:div>
        <w:div w:id="1084299936">
          <w:marLeft w:val="0"/>
          <w:marRight w:val="0"/>
          <w:marTop w:val="0"/>
          <w:marBottom w:val="0"/>
          <w:divBdr>
            <w:top w:val="none" w:sz="0" w:space="0" w:color="auto"/>
            <w:left w:val="none" w:sz="0" w:space="0" w:color="auto"/>
            <w:bottom w:val="none" w:sz="0" w:space="0" w:color="auto"/>
            <w:right w:val="none" w:sz="0" w:space="0" w:color="auto"/>
          </w:divBdr>
        </w:div>
        <w:div w:id="1084299938">
          <w:marLeft w:val="0"/>
          <w:marRight w:val="0"/>
          <w:marTop w:val="0"/>
          <w:marBottom w:val="0"/>
          <w:divBdr>
            <w:top w:val="none" w:sz="0" w:space="0" w:color="auto"/>
            <w:left w:val="none" w:sz="0" w:space="0" w:color="auto"/>
            <w:bottom w:val="none" w:sz="0" w:space="0" w:color="auto"/>
            <w:right w:val="none" w:sz="0" w:space="0" w:color="auto"/>
          </w:divBdr>
        </w:div>
        <w:div w:id="1084299939">
          <w:marLeft w:val="0"/>
          <w:marRight w:val="0"/>
          <w:marTop w:val="0"/>
          <w:marBottom w:val="0"/>
          <w:divBdr>
            <w:top w:val="none" w:sz="0" w:space="0" w:color="auto"/>
            <w:left w:val="none" w:sz="0" w:space="0" w:color="auto"/>
            <w:bottom w:val="none" w:sz="0" w:space="0" w:color="auto"/>
            <w:right w:val="none" w:sz="0" w:space="0" w:color="auto"/>
          </w:divBdr>
        </w:div>
        <w:div w:id="1084299940">
          <w:marLeft w:val="0"/>
          <w:marRight w:val="0"/>
          <w:marTop w:val="0"/>
          <w:marBottom w:val="0"/>
          <w:divBdr>
            <w:top w:val="none" w:sz="0" w:space="0" w:color="auto"/>
            <w:left w:val="none" w:sz="0" w:space="0" w:color="auto"/>
            <w:bottom w:val="none" w:sz="0" w:space="0" w:color="auto"/>
            <w:right w:val="none" w:sz="0" w:space="0" w:color="auto"/>
          </w:divBdr>
        </w:div>
        <w:div w:id="1084299941">
          <w:marLeft w:val="0"/>
          <w:marRight w:val="0"/>
          <w:marTop w:val="0"/>
          <w:marBottom w:val="0"/>
          <w:divBdr>
            <w:top w:val="none" w:sz="0" w:space="0" w:color="auto"/>
            <w:left w:val="none" w:sz="0" w:space="0" w:color="auto"/>
            <w:bottom w:val="none" w:sz="0" w:space="0" w:color="auto"/>
            <w:right w:val="none" w:sz="0" w:space="0" w:color="auto"/>
          </w:divBdr>
        </w:div>
        <w:div w:id="1084299944">
          <w:marLeft w:val="0"/>
          <w:marRight w:val="0"/>
          <w:marTop w:val="0"/>
          <w:marBottom w:val="0"/>
          <w:divBdr>
            <w:top w:val="none" w:sz="0" w:space="0" w:color="auto"/>
            <w:left w:val="none" w:sz="0" w:space="0" w:color="auto"/>
            <w:bottom w:val="none" w:sz="0" w:space="0" w:color="auto"/>
            <w:right w:val="none" w:sz="0" w:space="0" w:color="auto"/>
          </w:divBdr>
        </w:div>
        <w:div w:id="1084299946">
          <w:marLeft w:val="0"/>
          <w:marRight w:val="0"/>
          <w:marTop w:val="0"/>
          <w:marBottom w:val="0"/>
          <w:divBdr>
            <w:top w:val="none" w:sz="0" w:space="0" w:color="auto"/>
            <w:left w:val="none" w:sz="0" w:space="0" w:color="auto"/>
            <w:bottom w:val="none" w:sz="0" w:space="0" w:color="auto"/>
            <w:right w:val="none" w:sz="0" w:space="0" w:color="auto"/>
          </w:divBdr>
        </w:div>
        <w:div w:id="1084299947">
          <w:marLeft w:val="0"/>
          <w:marRight w:val="0"/>
          <w:marTop w:val="0"/>
          <w:marBottom w:val="0"/>
          <w:divBdr>
            <w:top w:val="none" w:sz="0" w:space="0" w:color="auto"/>
            <w:left w:val="none" w:sz="0" w:space="0" w:color="auto"/>
            <w:bottom w:val="none" w:sz="0" w:space="0" w:color="auto"/>
            <w:right w:val="none" w:sz="0" w:space="0" w:color="auto"/>
          </w:divBdr>
        </w:div>
        <w:div w:id="1084299948">
          <w:marLeft w:val="0"/>
          <w:marRight w:val="0"/>
          <w:marTop w:val="0"/>
          <w:marBottom w:val="0"/>
          <w:divBdr>
            <w:top w:val="none" w:sz="0" w:space="0" w:color="auto"/>
            <w:left w:val="none" w:sz="0" w:space="0" w:color="auto"/>
            <w:bottom w:val="none" w:sz="0" w:space="0" w:color="auto"/>
            <w:right w:val="none" w:sz="0" w:space="0" w:color="auto"/>
          </w:divBdr>
        </w:div>
        <w:div w:id="1084299949">
          <w:marLeft w:val="0"/>
          <w:marRight w:val="0"/>
          <w:marTop w:val="0"/>
          <w:marBottom w:val="0"/>
          <w:divBdr>
            <w:top w:val="none" w:sz="0" w:space="0" w:color="auto"/>
            <w:left w:val="none" w:sz="0" w:space="0" w:color="auto"/>
            <w:bottom w:val="none" w:sz="0" w:space="0" w:color="auto"/>
            <w:right w:val="none" w:sz="0" w:space="0" w:color="auto"/>
          </w:divBdr>
        </w:div>
        <w:div w:id="1084299950">
          <w:marLeft w:val="0"/>
          <w:marRight w:val="0"/>
          <w:marTop w:val="0"/>
          <w:marBottom w:val="0"/>
          <w:divBdr>
            <w:top w:val="none" w:sz="0" w:space="0" w:color="auto"/>
            <w:left w:val="none" w:sz="0" w:space="0" w:color="auto"/>
            <w:bottom w:val="none" w:sz="0" w:space="0" w:color="auto"/>
            <w:right w:val="none" w:sz="0" w:space="0" w:color="auto"/>
          </w:divBdr>
        </w:div>
        <w:div w:id="1084299951">
          <w:marLeft w:val="0"/>
          <w:marRight w:val="0"/>
          <w:marTop w:val="0"/>
          <w:marBottom w:val="0"/>
          <w:divBdr>
            <w:top w:val="none" w:sz="0" w:space="0" w:color="auto"/>
            <w:left w:val="none" w:sz="0" w:space="0" w:color="auto"/>
            <w:bottom w:val="none" w:sz="0" w:space="0" w:color="auto"/>
            <w:right w:val="none" w:sz="0" w:space="0" w:color="auto"/>
          </w:divBdr>
        </w:div>
        <w:div w:id="1084299952">
          <w:marLeft w:val="0"/>
          <w:marRight w:val="0"/>
          <w:marTop w:val="0"/>
          <w:marBottom w:val="0"/>
          <w:divBdr>
            <w:top w:val="none" w:sz="0" w:space="0" w:color="auto"/>
            <w:left w:val="none" w:sz="0" w:space="0" w:color="auto"/>
            <w:bottom w:val="none" w:sz="0" w:space="0" w:color="auto"/>
            <w:right w:val="none" w:sz="0" w:space="0" w:color="auto"/>
          </w:divBdr>
        </w:div>
        <w:div w:id="1084299953">
          <w:marLeft w:val="0"/>
          <w:marRight w:val="0"/>
          <w:marTop w:val="0"/>
          <w:marBottom w:val="0"/>
          <w:divBdr>
            <w:top w:val="none" w:sz="0" w:space="0" w:color="auto"/>
            <w:left w:val="none" w:sz="0" w:space="0" w:color="auto"/>
            <w:bottom w:val="none" w:sz="0" w:space="0" w:color="auto"/>
            <w:right w:val="none" w:sz="0" w:space="0" w:color="auto"/>
          </w:divBdr>
        </w:div>
        <w:div w:id="1084299954">
          <w:marLeft w:val="0"/>
          <w:marRight w:val="0"/>
          <w:marTop w:val="0"/>
          <w:marBottom w:val="0"/>
          <w:divBdr>
            <w:top w:val="none" w:sz="0" w:space="0" w:color="auto"/>
            <w:left w:val="none" w:sz="0" w:space="0" w:color="auto"/>
            <w:bottom w:val="none" w:sz="0" w:space="0" w:color="auto"/>
            <w:right w:val="none" w:sz="0" w:space="0" w:color="auto"/>
          </w:divBdr>
        </w:div>
        <w:div w:id="1084299955">
          <w:marLeft w:val="0"/>
          <w:marRight w:val="0"/>
          <w:marTop w:val="0"/>
          <w:marBottom w:val="0"/>
          <w:divBdr>
            <w:top w:val="none" w:sz="0" w:space="0" w:color="auto"/>
            <w:left w:val="none" w:sz="0" w:space="0" w:color="auto"/>
            <w:bottom w:val="none" w:sz="0" w:space="0" w:color="auto"/>
            <w:right w:val="none" w:sz="0" w:space="0" w:color="auto"/>
          </w:divBdr>
        </w:div>
        <w:div w:id="1084299956">
          <w:marLeft w:val="0"/>
          <w:marRight w:val="0"/>
          <w:marTop w:val="0"/>
          <w:marBottom w:val="0"/>
          <w:divBdr>
            <w:top w:val="none" w:sz="0" w:space="0" w:color="auto"/>
            <w:left w:val="none" w:sz="0" w:space="0" w:color="auto"/>
            <w:bottom w:val="none" w:sz="0" w:space="0" w:color="auto"/>
            <w:right w:val="none" w:sz="0" w:space="0" w:color="auto"/>
          </w:divBdr>
        </w:div>
        <w:div w:id="1084299957">
          <w:marLeft w:val="0"/>
          <w:marRight w:val="0"/>
          <w:marTop w:val="0"/>
          <w:marBottom w:val="0"/>
          <w:divBdr>
            <w:top w:val="none" w:sz="0" w:space="0" w:color="auto"/>
            <w:left w:val="none" w:sz="0" w:space="0" w:color="auto"/>
            <w:bottom w:val="none" w:sz="0" w:space="0" w:color="auto"/>
            <w:right w:val="none" w:sz="0" w:space="0" w:color="auto"/>
          </w:divBdr>
        </w:div>
        <w:div w:id="1084299959">
          <w:marLeft w:val="0"/>
          <w:marRight w:val="0"/>
          <w:marTop w:val="0"/>
          <w:marBottom w:val="0"/>
          <w:divBdr>
            <w:top w:val="none" w:sz="0" w:space="0" w:color="auto"/>
            <w:left w:val="none" w:sz="0" w:space="0" w:color="auto"/>
            <w:bottom w:val="none" w:sz="0" w:space="0" w:color="auto"/>
            <w:right w:val="none" w:sz="0" w:space="0" w:color="auto"/>
          </w:divBdr>
        </w:div>
        <w:div w:id="1084299960">
          <w:marLeft w:val="0"/>
          <w:marRight w:val="0"/>
          <w:marTop w:val="0"/>
          <w:marBottom w:val="0"/>
          <w:divBdr>
            <w:top w:val="none" w:sz="0" w:space="0" w:color="auto"/>
            <w:left w:val="none" w:sz="0" w:space="0" w:color="auto"/>
            <w:bottom w:val="none" w:sz="0" w:space="0" w:color="auto"/>
            <w:right w:val="none" w:sz="0" w:space="0" w:color="auto"/>
          </w:divBdr>
        </w:div>
        <w:div w:id="1084299961">
          <w:marLeft w:val="0"/>
          <w:marRight w:val="0"/>
          <w:marTop w:val="0"/>
          <w:marBottom w:val="0"/>
          <w:divBdr>
            <w:top w:val="none" w:sz="0" w:space="0" w:color="auto"/>
            <w:left w:val="none" w:sz="0" w:space="0" w:color="auto"/>
            <w:bottom w:val="none" w:sz="0" w:space="0" w:color="auto"/>
            <w:right w:val="none" w:sz="0" w:space="0" w:color="auto"/>
          </w:divBdr>
        </w:div>
        <w:div w:id="1084299962">
          <w:marLeft w:val="0"/>
          <w:marRight w:val="0"/>
          <w:marTop w:val="0"/>
          <w:marBottom w:val="0"/>
          <w:divBdr>
            <w:top w:val="none" w:sz="0" w:space="0" w:color="auto"/>
            <w:left w:val="none" w:sz="0" w:space="0" w:color="auto"/>
            <w:bottom w:val="none" w:sz="0" w:space="0" w:color="auto"/>
            <w:right w:val="none" w:sz="0" w:space="0" w:color="auto"/>
          </w:divBdr>
        </w:div>
        <w:div w:id="1084299963">
          <w:marLeft w:val="0"/>
          <w:marRight w:val="0"/>
          <w:marTop w:val="0"/>
          <w:marBottom w:val="0"/>
          <w:divBdr>
            <w:top w:val="none" w:sz="0" w:space="0" w:color="auto"/>
            <w:left w:val="none" w:sz="0" w:space="0" w:color="auto"/>
            <w:bottom w:val="none" w:sz="0" w:space="0" w:color="auto"/>
            <w:right w:val="none" w:sz="0" w:space="0" w:color="auto"/>
          </w:divBdr>
        </w:div>
        <w:div w:id="1084299964">
          <w:marLeft w:val="0"/>
          <w:marRight w:val="0"/>
          <w:marTop w:val="0"/>
          <w:marBottom w:val="0"/>
          <w:divBdr>
            <w:top w:val="none" w:sz="0" w:space="0" w:color="auto"/>
            <w:left w:val="none" w:sz="0" w:space="0" w:color="auto"/>
            <w:bottom w:val="none" w:sz="0" w:space="0" w:color="auto"/>
            <w:right w:val="none" w:sz="0" w:space="0" w:color="auto"/>
          </w:divBdr>
        </w:div>
      </w:divsChild>
    </w:div>
    <w:div w:id="1084299942">
      <w:marLeft w:val="0"/>
      <w:marRight w:val="0"/>
      <w:marTop w:val="0"/>
      <w:marBottom w:val="0"/>
      <w:divBdr>
        <w:top w:val="none" w:sz="0" w:space="0" w:color="auto"/>
        <w:left w:val="none" w:sz="0" w:space="0" w:color="auto"/>
        <w:bottom w:val="none" w:sz="0" w:space="0" w:color="auto"/>
        <w:right w:val="none" w:sz="0" w:space="0" w:color="auto"/>
      </w:divBdr>
    </w:div>
    <w:div w:id="1084299945">
      <w:marLeft w:val="0"/>
      <w:marRight w:val="0"/>
      <w:marTop w:val="0"/>
      <w:marBottom w:val="0"/>
      <w:divBdr>
        <w:top w:val="none" w:sz="0" w:space="0" w:color="auto"/>
        <w:left w:val="none" w:sz="0" w:space="0" w:color="auto"/>
        <w:bottom w:val="none" w:sz="0" w:space="0" w:color="auto"/>
        <w:right w:val="none" w:sz="0" w:space="0" w:color="auto"/>
      </w:divBdr>
      <w:divsChild>
        <w:div w:id="1084299943">
          <w:marLeft w:val="0"/>
          <w:marRight w:val="0"/>
          <w:marTop w:val="0"/>
          <w:marBottom w:val="0"/>
          <w:divBdr>
            <w:top w:val="none" w:sz="0" w:space="0" w:color="auto"/>
            <w:left w:val="none" w:sz="0" w:space="0" w:color="auto"/>
            <w:bottom w:val="none" w:sz="0" w:space="0" w:color="auto"/>
            <w:right w:val="none" w:sz="0" w:space="0" w:color="auto"/>
          </w:divBdr>
        </w:div>
        <w:div w:id="1084299958">
          <w:marLeft w:val="0"/>
          <w:marRight w:val="0"/>
          <w:marTop w:val="0"/>
          <w:marBottom w:val="0"/>
          <w:divBdr>
            <w:top w:val="none" w:sz="0" w:space="0" w:color="auto"/>
            <w:left w:val="none" w:sz="0" w:space="0" w:color="auto"/>
            <w:bottom w:val="none" w:sz="0" w:space="0" w:color="auto"/>
            <w:right w:val="none" w:sz="0" w:space="0" w:color="auto"/>
          </w:divBdr>
        </w:div>
      </w:divsChild>
    </w:div>
    <w:div w:id="1084299966">
      <w:marLeft w:val="0"/>
      <w:marRight w:val="0"/>
      <w:marTop w:val="0"/>
      <w:marBottom w:val="0"/>
      <w:divBdr>
        <w:top w:val="none" w:sz="0" w:space="0" w:color="auto"/>
        <w:left w:val="none" w:sz="0" w:space="0" w:color="auto"/>
        <w:bottom w:val="none" w:sz="0" w:space="0" w:color="auto"/>
        <w:right w:val="none" w:sz="0" w:space="0" w:color="auto"/>
      </w:divBdr>
    </w:div>
    <w:div w:id="1084299967">
      <w:marLeft w:val="0"/>
      <w:marRight w:val="0"/>
      <w:marTop w:val="0"/>
      <w:marBottom w:val="0"/>
      <w:divBdr>
        <w:top w:val="none" w:sz="0" w:space="0" w:color="auto"/>
        <w:left w:val="none" w:sz="0" w:space="0" w:color="auto"/>
        <w:bottom w:val="none" w:sz="0" w:space="0" w:color="auto"/>
        <w:right w:val="none" w:sz="0" w:space="0" w:color="auto"/>
      </w:divBdr>
      <w:divsChild>
        <w:div w:id="1084299968">
          <w:marLeft w:val="0"/>
          <w:marRight w:val="0"/>
          <w:marTop w:val="0"/>
          <w:marBottom w:val="0"/>
          <w:divBdr>
            <w:top w:val="none" w:sz="0" w:space="0" w:color="auto"/>
            <w:left w:val="none" w:sz="0" w:space="0" w:color="auto"/>
            <w:bottom w:val="none" w:sz="0" w:space="0" w:color="auto"/>
            <w:right w:val="none" w:sz="0" w:space="0" w:color="auto"/>
          </w:divBdr>
          <w:divsChild>
            <w:div w:id="10842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299969">
      <w:marLeft w:val="0"/>
      <w:marRight w:val="0"/>
      <w:marTop w:val="0"/>
      <w:marBottom w:val="0"/>
      <w:divBdr>
        <w:top w:val="none" w:sz="0" w:space="0" w:color="auto"/>
        <w:left w:val="none" w:sz="0" w:space="0" w:color="auto"/>
        <w:bottom w:val="none" w:sz="0" w:space="0" w:color="auto"/>
        <w:right w:val="none" w:sz="0" w:space="0" w:color="auto"/>
      </w:divBdr>
    </w:div>
    <w:div w:id="1084299970">
      <w:marLeft w:val="0"/>
      <w:marRight w:val="0"/>
      <w:marTop w:val="0"/>
      <w:marBottom w:val="0"/>
      <w:divBdr>
        <w:top w:val="none" w:sz="0" w:space="0" w:color="auto"/>
        <w:left w:val="none" w:sz="0" w:space="0" w:color="auto"/>
        <w:bottom w:val="none" w:sz="0" w:space="0" w:color="auto"/>
        <w:right w:val="none" w:sz="0" w:space="0" w:color="auto"/>
      </w:divBdr>
    </w:div>
    <w:div w:id="1084299971">
      <w:marLeft w:val="0"/>
      <w:marRight w:val="0"/>
      <w:marTop w:val="0"/>
      <w:marBottom w:val="0"/>
      <w:divBdr>
        <w:top w:val="none" w:sz="0" w:space="0" w:color="auto"/>
        <w:left w:val="none" w:sz="0" w:space="0" w:color="auto"/>
        <w:bottom w:val="none" w:sz="0" w:space="0" w:color="auto"/>
        <w:right w:val="none" w:sz="0" w:space="0" w:color="auto"/>
      </w:divBdr>
    </w:div>
    <w:div w:id="1084299972">
      <w:marLeft w:val="0"/>
      <w:marRight w:val="0"/>
      <w:marTop w:val="0"/>
      <w:marBottom w:val="0"/>
      <w:divBdr>
        <w:top w:val="none" w:sz="0" w:space="0" w:color="auto"/>
        <w:left w:val="none" w:sz="0" w:space="0" w:color="auto"/>
        <w:bottom w:val="none" w:sz="0" w:space="0" w:color="auto"/>
        <w:right w:val="none" w:sz="0" w:space="0" w:color="auto"/>
      </w:divBdr>
    </w:div>
    <w:div w:id="1084299973">
      <w:marLeft w:val="0"/>
      <w:marRight w:val="0"/>
      <w:marTop w:val="0"/>
      <w:marBottom w:val="0"/>
      <w:divBdr>
        <w:top w:val="none" w:sz="0" w:space="0" w:color="auto"/>
        <w:left w:val="none" w:sz="0" w:space="0" w:color="auto"/>
        <w:bottom w:val="none" w:sz="0" w:space="0" w:color="auto"/>
        <w:right w:val="none" w:sz="0" w:space="0" w:color="auto"/>
      </w:divBdr>
    </w:div>
    <w:div w:id="1084299974">
      <w:marLeft w:val="0"/>
      <w:marRight w:val="0"/>
      <w:marTop w:val="0"/>
      <w:marBottom w:val="0"/>
      <w:divBdr>
        <w:top w:val="none" w:sz="0" w:space="0" w:color="auto"/>
        <w:left w:val="none" w:sz="0" w:space="0" w:color="auto"/>
        <w:bottom w:val="none" w:sz="0" w:space="0" w:color="auto"/>
        <w:right w:val="none" w:sz="0" w:space="0" w:color="auto"/>
      </w:divBdr>
    </w:div>
    <w:div w:id="1084299975">
      <w:marLeft w:val="0"/>
      <w:marRight w:val="0"/>
      <w:marTop w:val="0"/>
      <w:marBottom w:val="0"/>
      <w:divBdr>
        <w:top w:val="none" w:sz="0" w:space="0" w:color="auto"/>
        <w:left w:val="none" w:sz="0" w:space="0" w:color="auto"/>
        <w:bottom w:val="none" w:sz="0" w:space="0" w:color="auto"/>
        <w:right w:val="none" w:sz="0" w:space="0" w:color="auto"/>
      </w:divBdr>
    </w:div>
    <w:div w:id="1084299976">
      <w:marLeft w:val="0"/>
      <w:marRight w:val="0"/>
      <w:marTop w:val="0"/>
      <w:marBottom w:val="0"/>
      <w:divBdr>
        <w:top w:val="none" w:sz="0" w:space="0" w:color="auto"/>
        <w:left w:val="none" w:sz="0" w:space="0" w:color="auto"/>
        <w:bottom w:val="none" w:sz="0" w:space="0" w:color="auto"/>
        <w:right w:val="none" w:sz="0" w:space="0" w:color="auto"/>
      </w:divBdr>
    </w:div>
    <w:div w:id="10842999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corteconstitucional.gov.co/relatoria/2017/SU354-17.htm" TargetMode="External"/><Relationship Id="rId1" Type="http://schemas.openxmlformats.org/officeDocument/2006/relationships/hyperlink" Target="http://www.corteconstitucional.gov.co/relatoria/2017/SU336-17.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59CD3-0252-44E8-9EDD-C4D355152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2867</Words>
  <Characters>15769</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18599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dc:description/>
  <cp:lastModifiedBy>Henry Lora Rodriguez</cp:lastModifiedBy>
  <cp:revision>4</cp:revision>
  <cp:lastPrinted>2019-06-06T14:37:00Z</cp:lastPrinted>
  <dcterms:created xsi:type="dcterms:W3CDTF">2019-08-05T15:27:00Z</dcterms:created>
  <dcterms:modified xsi:type="dcterms:W3CDTF">2019-08-05T16:59:00Z</dcterms:modified>
</cp:coreProperties>
</file>