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404" w:rsidRPr="00080404" w:rsidRDefault="00080404" w:rsidP="00080404">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pacing w:val="-4"/>
          <w:sz w:val="18"/>
          <w:szCs w:val="18"/>
          <w:lang w:val="es-419" w:eastAsia="fr-FR"/>
        </w:rPr>
      </w:pPr>
      <w:r w:rsidRPr="00080404">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080404" w:rsidRPr="00080404" w:rsidRDefault="00080404" w:rsidP="00080404">
      <w:pPr>
        <w:widowControl/>
        <w:autoSpaceDE/>
        <w:autoSpaceDN/>
        <w:adjustRightInd/>
        <w:jc w:val="both"/>
        <w:rPr>
          <w:rFonts w:ascii="Arial" w:hAnsi="Arial" w:cs="Arial"/>
          <w:sz w:val="20"/>
          <w:szCs w:val="20"/>
          <w:lang w:val="es-419"/>
        </w:rPr>
      </w:pPr>
    </w:p>
    <w:p w:rsidR="00080404" w:rsidRPr="00080404" w:rsidRDefault="00080404" w:rsidP="00080404">
      <w:pPr>
        <w:widowControl/>
        <w:autoSpaceDE/>
        <w:autoSpaceDN/>
        <w:adjustRightInd/>
        <w:jc w:val="both"/>
        <w:rPr>
          <w:rFonts w:ascii="Arial" w:hAnsi="Arial" w:cs="Arial"/>
          <w:sz w:val="20"/>
          <w:szCs w:val="20"/>
          <w:lang w:val="es-419"/>
        </w:rPr>
      </w:pPr>
      <w:r w:rsidRPr="00080404">
        <w:rPr>
          <w:rFonts w:ascii="Arial" w:hAnsi="Arial" w:cs="Arial"/>
          <w:sz w:val="20"/>
          <w:szCs w:val="20"/>
          <w:lang w:val="es-419"/>
        </w:rPr>
        <w:t>Asunto</w:t>
      </w:r>
      <w:r w:rsidRPr="00080404">
        <w:rPr>
          <w:rFonts w:ascii="Arial" w:hAnsi="Arial" w:cs="Arial"/>
          <w:sz w:val="20"/>
          <w:szCs w:val="20"/>
          <w:lang w:val="es-419"/>
        </w:rPr>
        <w:tab/>
      </w:r>
      <w:r w:rsidRPr="00080404">
        <w:rPr>
          <w:rFonts w:ascii="Arial" w:hAnsi="Arial" w:cs="Arial"/>
          <w:sz w:val="20"/>
          <w:szCs w:val="20"/>
          <w:lang w:val="es-419"/>
        </w:rPr>
        <w:tab/>
      </w:r>
      <w:r w:rsidRPr="00080404">
        <w:rPr>
          <w:rFonts w:ascii="Arial" w:hAnsi="Arial" w:cs="Arial"/>
          <w:sz w:val="20"/>
          <w:szCs w:val="20"/>
          <w:lang w:val="es-419"/>
        </w:rPr>
        <w:tab/>
        <w:t>: Sentencia de tutela en segunda instancia</w:t>
      </w:r>
    </w:p>
    <w:p w:rsidR="00080404" w:rsidRPr="00080404" w:rsidRDefault="00080404" w:rsidP="00080404">
      <w:pPr>
        <w:widowControl/>
        <w:autoSpaceDE/>
        <w:autoSpaceDN/>
        <w:adjustRightInd/>
        <w:jc w:val="both"/>
        <w:rPr>
          <w:rFonts w:ascii="Arial" w:hAnsi="Arial" w:cs="Arial"/>
          <w:sz w:val="20"/>
          <w:szCs w:val="20"/>
          <w:lang w:val="es-419"/>
        </w:rPr>
      </w:pPr>
      <w:r w:rsidRPr="00080404">
        <w:rPr>
          <w:rFonts w:ascii="Arial" w:hAnsi="Arial" w:cs="Arial"/>
          <w:sz w:val="20"/>
          <w:szCs w:val="20"/>
          <w:lang w:val="es-419"/>
        </w:rPr>
        <w:t>Accionante</w:t>
      </w:r>
      <w:r w:rsidRPr="00080404">
        <w:rPr>
          <w:rFonts w:ascii="Arial" w:hAnsi="Arial" w:cs="Arial"/>
          <w:sz w:val="20"/>
          <w:szCs w:val="20"/>
          <w:lang w:val="es-419"/>
        </w:rPr>
        <w:tab/>
      </w:r>
      <w:r w:rsidRPr="00080404">
        <w:rPr>
          <w:rFonts w:ascii="Arial" w:hAnsi="Arial" w:cs="Arial"/>
          <w:sz w:val="20"/>
          <w:szCs w:val="20"/>
          <w:lang w:val="es-419"/>
        </w:rPr>
        <w:tab/>
        <w:t>: Laura María Villegas Murillo</w:t>
      </w:r>
    </w:p>
    <w:p w:rsidR="00080404" w:rsidRPr="00080404" w:rsidRDefault="00080404" w:rsidP="00080404">
      <w:pPr>
        <w:widowControl/>
        <w:autoSpaceDE/>
        <w:autoSpaceDN/>
        <w:adjustRightInd/>
        <w:jc w:val="both"/>
        <w:rPr>
          <w:rFonts w:ascii="Arial" w:hAnsi="Arial" w:cs="Arial"/>
          <w:sz w:val="20"/>
          <w:szCs w:val="20"/>
          <w:lang w:val="es-419"/>
        </w:rPr>
      </w:pPr>
      <w:r w:rsidRPr="00080404">
        <w:rPr>
          <w:rFonts w:ascii="Arial" w:hAnsi="Arial" w:cs="Arial"/>
          <w:sz w:val="20"/>
          <w:szCs w:val="20"/>
          <w:lang w:val="es-419"/>
        </w:rPr>
        <w:t>Accionado</w:t>
      </w:r>
      <w:r w:rsidRPr="00080404">
        <w:rPr>
          <w:rFonts w:ascii="Arial" w:hAnsi="Arial" w:cs="Arial"/>
          <w:sz w:val="20"/>
          <w:szCs w:val="20"/>
          <w:lang w:val="es-419"/>
        </w:rPr>
        <w:tab/>
      </w:r>
      <w:r w:rsidRPr="00080404">
        <w:rPr>
          <w:rFonts w:ascii="Arial" w:hAnsi="Arial" w:cs="Arial"/>
          <w:sz w:val="20"/>
          <w:szCs w:val="20"/>
          <w:lang w:val="es-419"/>
        </w:rPr>
        <w:tab/>
        <w:t xml:space="preserve">: Juzgado Único Promiscuo Municipal de Marsella </w:t>
      </w:r>
    </w:p>
    <w:p w:rsidR="00080404" w:rsidRPr="00080404" w:rsidRDefault="00080404" w:rsidP="00080404">
      <w:pPr>
        <w:widowControl/>
        <w:autoSpaceDE/>
        <w:autoSpaceDN/>
        <w:adjustRightInd/>
        <w:jc w:val="both"/>
        <w:rPr>
          <w:rFonts w:ascii="Arial" w:hAnsi="Arial" w:cs="Arial"/>
          <w:sz w:val="20"/>
          <w:szCs w:val="20"/>
          <w:lang w:val="es-419"/>
        </w:rPr>
      </w:pPr>
      <w:r w:rsidRPr="00080404">
        <w:rPr>
          <w:rFonts w:ascii="Arial" w:hAnsi="Arial" w:cs="Arial"/>
          <w:sz w:val="20"/>
          <w:szCs w:val="20"/>
          <w:lang w:val="es-419"/>
        </w:rPr>
        <w:t>Vinculados</w:t>
      </w:r>
      <w:r w:rsidRPr="00080404">
        <w:rPr>
          <w:rFonts w:ascii="Arial" w:hAnsi="Arial" w:cs="Arial"/>
          <w:sz w:val="20"/>
          <w:szCs w:val="20"/>
          <w:lang w:val="es-419"/>
        </w:rPr>
        <w:tab/>
      </w:r>
      <w:r w:rsidRPr="00080404">
        <w:rPr>
          <w:rFonts w:ascii="Arial" w:hAnsi="Arial" w:cs="Arial"/>
          <w:sz w:val="20"/>
          <w:szCs w:val="20"/>
          <w:lang w:val="es-419"/>
        </w:rPr>
        <w:tab/>
        <w:t>: Carlos Alberto Villegas Cardona y otra</w:t>
      </w:r>
    </w:p>
    <w:p w:rsidR="00080404" w:rsidRPr="00080404" w:rsidRDefault="00080404" w:rsidP="00080404">
      <w:pPr>
        <w:widowControl/>
        <w:autoSpaceDE/>
        <w:autoSpaceDN/>
        <w:adjustRightInd/>
        <w:jc w:val="both"/>
        <w:rPr>
          <w:rFonts w:ascii="Arial" w:hAnsi="Arial" w:cs="Arial"/>
          <w:sz w:val="20"/>
          <w:szCs w:val="20"/>
          <w:lang w:val="es-419"/>
        </w:rPr>
      </w:pPr>
      <w:r w:rsidRPr="00080404">
        <w:rPr>
          <w:rFonts w:ascii="Arial" w:hAnsi="Arial" w:cs="Arial"/>
          <w:sz w:val="20"/>
          <w:szCs w:val="20"/>
          <w:lang w:val="es-419"/>
        </w:rPr>
        <w:t>Radicación</w:t>
      </w:r>
      <w:r w:rsidRPr="00080404">
        <w:rPr>
          <w:rFonts w:ascii="Arial" w:hAnsi="Arial" w:cs="Arial"/>
          <w:sz w:val="20"/>
          <w:szCs w:val="20"/>
          <w:lang w:val="es-419"/>
        </w:rPr>
        <w:tab/>
      </w:r>
      <w:r w:rsidRPr="00080404">
        <w:rPr>
          <w:rFonts w:ascii="Arial" w:hAnsi="Arial" w:cs="Arial"/>
          <w:sz w:val="20"/>
          <w:szCs w:val="20"/>
          <w:lang w:val="es-419"/>
        </w:rPr>
        <w:tab/>
        <w:t>: 66001-31-10-001-2019-00437-01</w:t>
      </w:r>
    </w:p>
    <w:p w:rsidR="00080404" w:rsidRPr="00080404" w:rsidRDefault="00080404" w:rsidP="00080404">
      <w:pPr>
        <w:widowControl/>
        <w:autoSpaceDE/>
        <w:autoSpaceDN/>
        <w:adjustRightInd/>
        <w:jc w:val="both"/>
        <w:rPr>
          <w:rFonts w:ascii="Arial" w:hAnsi="Arial" w:cs="Arial"/>
          <w:sz w:val="20"/>
          <w:szCs w:val="20"/>
          <w:lang w:val="es-419"/>
        </w:rPr>
      </w:pPr>
      <w:r w:rsidRPr="00080404">
        <w:rPr>
          <w:rFonts w:ascii="Arial" w:hAnsi="Arial" w:cs="Arial"/>
          <w:sz w:val="20"/>
          <w:szCs w:val="20"/>
          <w:lang w:val="es-419"/>
        </w:rPr>
        <w:t>Despacho de origen</w:t>
      </w:r>
      <w:r w:rsidRPr="00080404">
        <w:rPr>
          <w:rFonts w:ascii="Arial" w:hAnsi="Arial" w:cs="Arial"/>
          <w:sz w:val="20"/>
          <w:szCs w:val="20"/>
          <w:lang w:val="es-419"/>
        </w:rPr>
        <w:tab/>
        <w:t xml:space="preserve">: Juzgado Primero de Familia de Pereira </w:t>
      </w:r>
    </w:p>
    <w:p w:rsidR="00080404" w:rsidRPr="00080404" w:rsidRDefault="00080404" w:rsidP="00080404">
      <w:pPr>
        <w:widowControl/>
        <w:autoSpaceDE/>
        <w:autoSpaceDN/>
        <w:adjustRightInd/>
        <w:jc w:val="both"/>
        <w:rPr>
          <w:rFonts w:ascii="Arial" w:hAnsi="Arial" w:cs="Arial"/>
          <w:sz w:val="20"/>
          <w:szCs w:val="20"/>
          <w:lang w:val="es-419"/>
        </w:rPr>
      </w:pPr>
      <w:r w:rsidRPr="00080404">
        <w:rPr>
          <w:rFonts w:ascii="Arial" w:hAnsi="Arial" w:cs="Arial"/>
          <w:sz w:val="20"/>
          <w:szCs w:val="20"/>
          <w:lang w:val="es-419"/>
        </w:rPr>
        <w:t>Magistrado Ponente</w:t>
      </w:r>
      <w:r w:rsidRPr="00080404">
        <w:rPr>
          <w:rFonts w:ascii="Arial" w:hAnsi="Arial" w:cs="Arial"/>
          <w:sz w:val="20"/>
          <w:szCs w:val="20"/>
          <w:lang w:val="es-419"/>
        </w:rPr>
        <w:tab/>
        <w:t>: DUBERNEY GRISALES HERRERA</w:t>
      </w:r>
    </w:p>
    <w:p w:rsidR="00080404" w:rsidRPr="00080404" w:rsidRDefault="00080404" w:rsidP="00080404">
      <w:pPr>
        <w:widowControl/>
        <w:autoSpaceDE/>
        <w:autoSpaceDN/>
        <w:adjustRightInd/>
        <w:jc w:val="both"/>
        <w:rPr>
          <w:rFonts w:ascii="Arial" w:hAnsi="Arial" w:cs="Arial"/>
          <w:sz w:val="20"/>
          <w:szCs w:val="20"/>
          <w:lang w:val="es-419"/>
        </w:rPr>
      </w:pPr>
      <w:r w:rsidRPr="00080404">
        <w:rPr>
          <w:rFonts w:ascii="Arial" w:hAnsi="Arial" w:cs="Arial"/>
          <w:sz w:val="20"/>
          <w:szCs w:val="20"/>
          <w:lang w:val="es-419"/>
        </w:rPr>
        <w:t>Acta número</w:t>
      </w:r>
      <w:r w:rsidRPr="00080404">
        <w:rPr>
          <w:rFonts w:ascii="Arial" w:hAnsi="Arial" w:cs="Arial"/>
          <w:sz w:val="20"/>
          <w:szCs w:val="20"/>
          <w:lang w:val="es-419"/>
        </w:rPr>
        <w:tab/>
      </w:r>
      <w:r w:rsidRPr="00080404">
        <w:rPr>
          <w:rFonts w:ascii="Arial" w:hAnsi="Arial" w:cs="Arial"/>
          <w:sz w:val="20"/>
          <w:szCs w:val="20"/>
          <w:lang w:val="es-419"/>
        </w:rPr>
        <w:tab/>
        <w:t>: 528 de 24-10-2019</w:t>
      </w:r>
    </w:p>
    <w:p w:rsidR="00080404" w:rsidRPr="00080404" w:rsidRDefault="00080404" w:rsidP="00080404">
      <w:pPr>
        <w:widowControl/>
        <w:autoSpaceDE/>
        <w:autoSpaceDN/>
        <w:adjustRightInd/>
        <w:jc w:val="both"/>
        <w:rPr>
          <w:rFonts w:ascii="Arial" w:hAnsi="Arial" w:cs="Arial"/>
          <w:sz w:val="20"/>
          <w:szCs w:val="20"/>
          <w:lang w:val="es-419"/>
        </w:rPr>
      </w:pPr>
    </w:p>
    <w:p w:rsidR="00080404" w:rsidRPr="00080404" w:rsidRDefault="00080404" w:rsidP="00080404">
      <w:pPr>
        <w:widowControl/>
        <w:autoSpaceDE/>
        <w:autoSpaceDN/>
        <w:adjustRightInd/>
        <w:jc w:val="both"/>
        <w:rPr>
          <w:rFonts w:ascii="Arial" w:hAnsi="Arial" w:cs="Arial"/>
          <w:b/>
          <w:bCs/>
          <w:iCs/>
          <w:sz w:val="20"/>
          <w:szCs w:val="20"/>
          <w:lang w:val="es-419" w:eastAsia="fr-FR"/>
        </w:rPr>
      </w:pPr>
      <w:r w:rsidRPr="00080404">
        <w:rPr>
          <w:rFonts w:ascii="Arial" w:hAnsi="Arial" w:cs="Arial"/>
          <w:b/>
          <w:bCs/>
          <w:iCs/>
          <w:sz w:val="20"/>
          <w:szCs w:val="20"/>
          <w:u w:val="single"/>
          <w:lang w:val="es-419" w:eastAsia="fr-FR"/>
        </w:rPr>
        <w:t>TEMAS:</w:t>
      </w:r>
      <w:r w:rsidRPr="00080404">
        <w:rPr>
          <w:rFonts w:ascii="Arial" w:hAnsi="Arial" w:cs="Arial"/>
          <w:b/>
          <w:bCs/>
          <w:iCs/>
          <w:sz w:val="20"/>
          <w:szCs w:val="20"/>
          <w:lang w:val="es-419" w:eastAsia="fr-FR"/>
        </w:rPr>
        <w:tab/>
      </w:r>
      <w:r w:rsidR="008C0AAA">
        <w:rPr>
          <w:rFonts w:ascii="Arial" w:hAnsi="Arial" w:cs="Arial"/>
          <w:b/>
          <w:bCs/>
          <w:iCs/>
          <w:sz w:val="20"/>
          <w:szCs w:val="20"/>
          <w:lang w:val="es-CO" w:eastAsia="fr-FR"/>
        </w:rPr>
        <w:t xml:space="preserve">DEBIDO PROCESO / TUTELA CONTRA DECISIÓN JUDICIAL / REQUISITOS GENERALES Y ESPECÍFICOS DE PROCEDIBILIDAD / DEFECTO MATERIAL O SUSTANTIVO / EVENTOS EN QUE SE MATERIALIZA / </w:t>
      </w:r>
      <w:r w:rsidR="00EE2A6A">
        <w:rPr>
          <w:rFonts w:ascii="Arial" w:hAnsi="Arial" w:cs="Arial"/>
          <w:b/>
          <w:bCs/>
          <w:iCs/>
          <w:sz w:val="20"/>
          <w:szCs w:val="20"/>
          <w:lang w:val="es-CO" w:eastAsia="fr-FR"/>
        </w:rPr>
        <w:t>PROCESO DE ALIMENTOS / EMBARGOS / INTERPRETACIÓN DEL ARTÍCULO 465 DEL CÓDIGO GENERAL DEL PROCESO.</w:t>
      </w:r>
    </w:p>
    <w:p w:rsidR="00080404" w:rsidRPr="00080404" w:rsidRDefault="00080404" w:rsidP="00080404">
      <w:pPr>
        <w:widowControl/>
        <w:autoSpaceDE/>
        <w:autoSpaceDN/>
        <w:adjustRightInd/>
        <w:jc w:val="both"/>
        <w:rPr>
          <w:rFonts w:ascii="Arial" w:hAnsi="Arial" w:cs="Arial"/>
          <w:sz w:val="20"/>
          <w:szCs w:val="20"/>
          <w:lang w:val="es-419"/>
        </w:rPr>
      </w:pPr>
    </w:p>
    <w:p w:rsidR="00080404" w:rsidRPr="00935B12" w:rsidRDefault="00935B12" w:rsidP="00080404">
      <w:pPr>
        <w:widowControl/>
        <w:autoSpaceDE/>
        <w:autoSpaceDN/>
        <w:adjustRightInd/>
        <w:jc w:val="both"/>
        <w:rPr>
          <w:rFonts w:ascii="Arial" w:hAnsi="Arial" w:cs="Arial"/>
          <w:sz w:val="20"/>
          <w:szCs w:val="20"/>
          <w:lang w:val="es-CO"/>
        </w:rPr>
      </w:pPr>
      <w:r w:rsidRPr="00935B12">
        <w:rPr>
          <w:rFonts w:ascii="Arial" w:hAnsi="Arial" w:cs="Arial"/>
          <w:sz w:val="20"/>
          <w:szCs w:val="20"/>
          <w:lang w:val="es-419"/>
        </w:rPr>
        <w:t>Desde la sentencia C-543 de 1992, que examinó en constitucionalidad, los artículos 11, 12 y 40 del Decreto 2591 de 1991, declarados ajustados a la Carta, inicia la línea jurisprudencial en torno a la tutela contra providencias judiciales, que ha evolucionado hasta una re-definición dogmática entre 2003 y 2005, básicamente sustituyó la expresión “vías de hecho” por la de “causales genéricas de procedibilidad” y ensanchó las causales especiales, pas</w:t>
      </w:r>
      <w:r>
        <w:rPr>
          <w:rFonts w:ascii="Arial" w:hAnsi="Arial" w:cs="Arial"/>
          <w:sz w:val="20"/>
          <w:szCs w:val="20"/>
          <w:lang w:val="es-419"/>
        </w:rPr>
        <w:t>ando de cuatro (4) a ocho (8). (…</w:t>
      </w:r>
      <w:r>
        <w:rPr>
          <w:rFonts w:ascii="Arial" w:hAnsi="Arial" w:cs="Arial"/>
          <w:sz w:val="20"/>
          <w:szCs w:val="20"/>
          <w:lang w:val="es-CO"/>
        </w:rPr>
        <w:t>)</w:t>
      </w:r>
    </w:p>
    <w:p w:rsidR="00080404" w:rsidRPr="00080404" w:rsidRDefault="00080404" w:rsidP="00080404">
      <w:pPr>
        <w:widowControl/>
        <w:autoSpaceDE/>
        <w:autoSpaceDN/>
        <w:adjustRightInd/>
        <w:jc w:val="both"/>
        <w:rPr>
          <w:rFonts w:ascii="Arial" w:hAnsi="Arial" w:cs="Arial"/>
          <w:sz w:val="20"/>
          <w:szCs w:val="20"/>
          <w:lang w:val="es-419"/>
        </w:rPr>
      </w:pPr>
    </w:p>
    <w:p w:rsidR="00080404" w:rsidRPr="00935B12" w:rsidRDefault="00935B12" w:rsidP="00080404">
      <w:pPr>
        <w:widowControl/>
        <w:autoSpaceDE/>
        <w:autoSpaceDN/>
        <w:adjustRightInd/>
        <w:jc w:val="both"/>
        <w:rPr>
          <w:rFonts w:ascii="Arial" w:hAnsi="Arial" w:cs="Arial"/>
          <w:sz w:val="20"/>
          <w:szCs w:val="20"/>
          <w:lang w:val="es-CO"/>
        </w:rPr>
      </w:pPr>
      <w:r>
        <w:rPr>
          <w:rFonts w:ascii="Arial" w:hAnsi="Arial" w:cs="Arial"/>
          <w:sz w:val="20"/>
          <w:szCs w:val="20"/>
          <w:lang w:val="es-CO"/>
        </w:rPr>
        <w:t xml:space="preserve">… </w:t>
      </w:r>
      <w:r w:rsidRPr="00935B12">
        <w:rPr>
          <w:rFonts w:ascii="Arial" w:hAnsi="Arial" w:cs="Arial"/>
          <w:sz w:val="20"/>
          <w:szCs w:val="20"/>
          <w:lang w:val="es-419"/>
        </w:rPr>
        <w:t>como requisitos o causales especiales de procedibilidad, se han definido los siguientes: (i) Defecto orgánico, (ii) Defecto procedimental absoluto, (iii) Defecto fáctico, (iv) Error inducido, (v) Decisión sin motivación, (vi</w:t>
      </w:r>
      <w:r>
        <w:rPr>
          <w:rFonts w:ascii="Arial" w:hAnsi="Arial" w:cs="Arial"/>
          <w:sz w:val="20"/>
          <w:szCs w:val="20"/>
          <w:lang w:val="es-419"/>
        </w:rPr>
        <w:t>) Defecto material o sustantivo…</w:t>
      </w:r>
    </w:p>
    <w:p w:rsidR="00080404" w:rsidRDefault="00080404" w:rsidP="00080404">
      <w:pPr>
        <w:widowControl/>
        <w:autoSpaceDE/>
        <w:autoSpaceDN/>
        <w:adjustRightInd/>
        <w:jc w:val="both"/>
        <w:rPr>
          <w:rFonts w:ascii="Arial" w:hAnsi="Arial" w:cs="Arial"/>
          <w:sz w:val="20"/>
          <w:szCs w:val="20"/>
          <w:lang w:val="es-419"/>
        </w:rPr>
      </w:pPr>
    </w:p>
    <w:p w:rsidR="00935B12" w:rsidRDefault="00AA3F93" w:rsidP="00080404">
      <w:pPr>
        <w:widowControl/>
        <w:autoSpaceDE/>
        <w:autoSpaceDN/>
        <w:adjustRightInd/>
        <w:jc w:val="both"/>
        <w:rPr>
          <w:rFonts w:ascii="Arial" w:hAnsi="Arial" w:cs="Arial"/>
          <w:sz w:val="20"/>
          <w:szCs w:val="20"/>
          <w:lang w:val="es-CO"/>
        </w:rPr>
      </w:pPr>
      <w:r w:rsidRPr="00AA3F93">
        <w:rPr>
          <w:rFonts w:ascii="Arial" w:hAnsi="Arial" w:cs="Arial"/>
          <w:sz w:val="20"/>
          <w:szCs w:val="20"/>
          <w:lang w:val="es-419"/>
        </w:rPr>
        <w:t>La doctrina constitucional, a lo largo de su evolución, ha definido aquellos eventos en los cuales se comete tal anomalía, y ha dicho que consiste en una decisión fundada en normas indiscutiblemente inaplicables, luego en otra decisión añadió que surge cuando quiera que la autoridad judicial desatiende reglas legales o infralegales, que son aplicables para un determinado caso.  En desarrollo de esta teoría, se ha ido ampliando esa noción, para prodigar protección en varios eventos</w:t>
      </w:r>
      <w:r>
        <w:rPr>
          <w:rFonts w:ascii="Arial" w:hAnsi="Arial" w:cs="Arial"/>
          <w:sz w:val="20"/>
          <w:szCs w:val="20"/>
          <w:lang w:val="es-CO"/>
        </w:rPr>
        <w:t>…</w:t>
      </w:r>
    </w:p>
    <w:p w:rsidR="008C0AAA" w:rsidRDefault="008C0AAA" w:rsidP="00080404">
      <w:pPr>
        <w:widowControl/>
        <w:autoSpaceDE/>
        <w:autoSpaceDN/>
        <w:adjustRightInd/>
        <w:jc w:val="both"/>
        <w:rPr>
          <w:rFonts w:ascii="Arial" w:hAnsi="Arial" w:cs="Arial"/>
          <w:sz w:val="20"/>
          <w:szCs w:val="20"/>
          <w:lang w:val="es-CO"/>
        </w:rPr>
      </w:pPr>
    </w:p>
    <w:p w:rsidR="008C0AAA" w:rsidRPr="008C0AAA" w:rsidRDefault="008C0AAA" w:rsidP="008C0AAA">
      <w:pPr>
        <w:widowControl/>
        <w:autoSpaceDE/>
        <w:autoSpaceDN/>
        <w:adjustRightInd/>
        <w:jc w:val="both"/>
        <w:rPr>
          <w:rFonts w:ascii="Arial" w:hAnsi="Arial" w:cs="Arial"/>
          <w:sz w:val="20"/>
          <w:szCs w:val="20"/>
          <w:lang w:val="es-CO"/>
        </w:rPr>
      </w:pPr>
      <w:r w:rsidRPr="008C0AAA">
        <w:rPr>
          <w:rFonts w:ascii="Arial" w:hAnsi="Arial" w:cs="Arial"/>
          <w:sz w:val="20"/>
          <w:szCs w:val="20"/>
          <w:lang w:val="es-CO"/>
        </w:rPr>
        <w:t xml:space="preserve">En la providencia que negó la medida de embargo de los dineros retenidos en el proceso ejecutivo que adelanta la </w:t>
      </w:r>
      <w:proofErr w:type="spellStart"/>
      <w:r w:rsidRPr="008C0AAA">
        <w:rPr>
          <w:rFonts w:ascii="Arial" w:hAnsi="Arial" w:cs="Arial"/>
          <w:sz w:val="20"/>
          <w:szCs w:val="20"/>
          <w:lang w:val="es-CO"/>
        </w:rPr>
        <w:t>COOMPER</w:t>
      </w:r>
      <w:proofErr w:type="spellEnd"/>
      <w:r w:rsidRPr="008C0AAA">
        <w:rPr>
          <w:rFonts w:ascii="Arial" w:hAnsi="Arial" w:cs="Arial"/>
          <w:sz w:val="20"/>
          <w:szCs w:val="20"/>
          <w:lang w:val="es-CO"/>
        </w:rPr>
        <w:t xml:space="preserve"> contra el progenitor de la accionante, el funcionario explicó que no es procedente aplicar el artículo 465, ibídem, en razón a que en el proceso de alimentos ya se están recaudando los salarios del demandado</w:t>
      </w:r>
      <w:r>
        <w:rPr>
          <w:rFonts w:ascii="Arial" w:hAnsi="Arial" w:cs="Arial"/>
          <w:sz w:val="20"/>
          <w:szCs w:val="20"/>
          <w:lang w:val="es-CO"/>
        </w:rPr>
        <w:t>…</w:t>
      </w:r>
      <w:r w:rsidRPr="008C0AAA">
        <w:rPr>
          <w:rFonts w:ascii="Arial" w:hAnsi="Arial" w:cs="Arial"/>
          <w:sz w:val="20"/>
          <w:szCs w:val="20"/>
          <w:lang w:val="es-CO"/>
        </w:rPr>
        <w:t>; recurrido en reposición</w:t>
      </w:r>
      <w:r>
        <w:rPr>
          <w:rFonts w:ascii="Arial" w:hAnsi="Arial" w:cs="Arial"/>
          <w:sz w:val="20"/>
          <w:szCs w:val="20"/>
          <w:lang w:val="es-CO"/>
        </w:rPr>
        <w:t>…</w:t>
      </w:r>
      <w:r w:rsidRPr="008C0AAA">
        <w:rPr>
          <w:rFonts w:ascii="Arial" w:hAnsi="Arial" w:cs="Arial"/>
          <w:sz w:val="20"/>
          <w:szCs w:val="20"/>
          <w:lang w:val="es-CO"/>
        </w:rPr>
        <w:t>; se mantuvo incólume con base en el mismo argumento, adicionado en el sentido de que: “(...) se dio cumplimiento a la prelación de embargo por cuanto que una vez instaurado el proceso de alimentos pasaron los descuentos al mismo</w:t>
      </w:r>
      <w:r>
        <w:rPr>
          <w:rFonts w:ascii="Arial" w:hAnsi="Arial" w:cs="Arial"/>
          <w:sz w:val="20"/>
          <w:szCs w:val="20"/>
          <w:lang w:val="es-CO"/>
        </w:rPr>
        <w:t>…</w:t>
      </w:r>
    </w:p>
    <w:p w:rsidR="008C0AAA" w:rsidRPr="008C0AAA" w:rsidRDefault="008C0AAA" w:rsidP="008C0AAA">
      <w:pPr>
        <w:widowControl/>
        <w:autoSpaceDE/>
        <w:autoSpaceDN/>
        <w:adjustRightInd/>
        <w:jc w:val="both"/>
        <w:rPr>
          <w:rFonts w:ascii="Arial" w:hAnsi="Arial" w:cs="Arial"/>
          <w:sz w:val="20"/>
          <w:szCs w:val="20"/>
          <w:lang w:val="es-CO"/>
        </w:rPr>
      </w:pPr>
    </w:p>
    <w:p w:rsidR="008C0AAA" w:rsidRPr="00AA3F93" w:rsidRDefault="008C0AAA" w:rsidP="008C0AAA">
      <w:pPr>
        <w:widowControl/>
        <w:autoSpaceDE/>
        <w:autoSpaceDN/>
        <w:adjustRightInd/>
        <w:jc w:val="both"/>
        <w:rPr>
          <w:rFonts w:ascii="Arial" w:hAnsi="Arial" w:cs="Arial"/>
          <w:sz w:val="20"/>
          <w:szCs w:val="20"/>
          <w:lang w:val="es-CO"/>
        </w:rPr>
      </w:pPr>
      <w:r w:rsidRPr="008C0AAA">
        <w:rPr>
          <w:rFonts w:ascii="Arial" w:hAnsi="Arial" w:cs="Arial"/>
          <w:sz w:val="20"/>
          <w:szCs w:val="20"/>
          <w:lang w:val="es-CO"/>
        </w:rPr>
        <w:t>Comparta o no esta Corporación la hermenéutica empleada, lo cierto es que le asiste razón en cuanto a que ese mandato es inaplicable en asuntos declarativos, como bien lo anotó la jueza constitucional de primera instancia.</w:t>
      </w:r>
    </w:p>
    <w:p w:rsidR="00935B12" w:rsidRPr="00080404" w:rsidRDefault="00935B12" w:rsidP="00080404">
      <w:pPr>
        <w:widowControl/>
        <w:autoSpaceDE/>
        <w:autoSpaceDN/>
        <w:adjustRightInd/>
        <w:jc w:val="both"/>
        <w:rPr>
          <w:rFonts w:ascii="Arial" w:hAnsi="Arial" w:cs="Arial"/>
          <w:sz w:val="20"/>
          <w:szCs w:val="20"/>
          <w:lang w:val="es-419"/>
        </w:rPr>
      </w:pPr>
    </w:p>
    <w:p w:rsidR="00080404" w:rsidRPr="00080404" w:rsidRDefault="00080404" w:rsidP="00080404">
      <w:pPr>
        <w:widowControl/>
        <w:autoSpaceDE/>
        <w:autoSpaceDN/>
        <w:adjustRightInd/>
        <w:jc w:val="both"/>
        <w:rPr>
          <w:rFonts w:ascii="Arial" w:hAnsi="Arial" w:cs="Arial"/>
          <w:sz w:val="20"/>
          <w:szCs w:val="20"/>
          <w:lang w:val="es-419"/>
        </w:rPr>
      </w:pPr>
    </w:p>
    <w:p w:rsidR="00080404" w:rsidRPr="00080404" w:rsidRDefault="00080404" w:rsidP="00080404">
      <w:pPr>
        <w:widowControl/>
        <w:autoSpaceDE/>
        <w:autoSpaceDN/>
        <w:adjustRightInd/>
        <w:jc w:val="both"/>
        <w:rPr>
          <w:rFonts w:ascii="Arial" w:hAnsi="Arial" w:cs="Arial"/>
          <w:sz w:val="20"/>
          <w:szCs w:val="20"/>
          <w:lang w:val="es-419"/>
        </w:rPr>
      </w:pPr>
    </w:p>
    <w:p w:rsidR="0091345B" w:rsidRPr="00080404" w:rsidRDefault="00F36836" w:rsidP="0091345B">
      <w:pPr>
        <w:pStyle w:val="Sinespaciado"/>
        <w:tabs>
          <w:tab w:val="left" w:pos="3579"/>
        </w:tabs>
        <w:spacing w:line="360" w:lineRule="auto"/>
        <w:jc w:val="center"/>
        <w:rPr>
          <w:rFonts w:ascii="Georgia" w:hAnsi="Georgia" w:cs="Arial"/>
          <w:w w:val="140"/>
          <w:sz w:val="14"/>
          <w:lang w:val="es-419"/>
        </w:rPr>
      </w:pPr>
      <w:r w:rsidRPr="00080404">
        <w:rPr>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7167" w:rsidRPr="00080404">
        <w:rPr>
          <w:rFonts w:ascii="Georgia" w:hAnsi="Georgia" w:cs="Arial"/>
          <w:w w:val="140"/>
          <w:lang w:val="es-419"/>
        </w:rPr>
        <w:br w:type="textWrapping" w:clear="all"/>
      </w:r>
      <w:r w:rsidR="0091345B" w:rsidRPr="00080404">
        <w:rPr>
          <w:rFonts w:ascii="Georgia" w:hAnsi="Georgia" w:cs="Arial"/>
          <w:w w:val="140"/>
          <w:sz w:val="14"/>
          <w:lang w:val="es-419"/>
        </w:rPr>
        <w:t>REPUBLICA DE COLOMBIA</w:t>
      </w:r>
    </w:p>
    <w:p w:rsidR="0091345B" w:rsidRPr="00080404" w:rsidRDefault="0091345B" w:rsidP="0091345B">
      <w:pPr>
        <w:pStyle w:val="Sinespaciado"/>
        <w:tabs>
          <w:tab w:val="center" w:pos="4987"/>
          <w:tab w:val="left" w:pos="8449"/>
        </w:tabs>
        <w:spacing w:line="360" w:lineRule="auto"/>
        <w:jc w:val="center"/>
        <w:rPr>
          <w:rFonts w:ascii="Georgia" w:hAnsi="Georgia" w:cs="Arial"/>
          <w:w w:val="140"/>
          <w:lang w:val="es-419"/>
        </w:rPr>
      </w:pPr>
      <w:r w:rsidRPr="00080404">
        <w:rPr>
          <w:rFonts w:ascii="Georgia" w:hAnsi="Georgia" w:cs="Arial"/>
          <w:w w:val="140"/>
          <w:sz w:val="14"/>
          <w:lang w:val="es-419"/>
        </w:rPr>
        <w:t>RAMA JUDICIAL DEL PODER PÚBLICO</w:t>
      </w:r>
    </w:p>
    <w:p w:rsidR="0091345B" w:rsidRPr="00080404" w:rsidRDefault="0091345B" w:rsidP="0091345B">
      <w:pPr>
        <w:pStyle w:val="Sinespaciado"/>
        <w:spacing w:line="360" w:lineRule="auto"/>
        <w:jc w:val="center"/>
        <w:rPr>
          <w:rFonts w:ascii="Georgia" w:hAnsi="Georgia" w:cs="Arial"/>
          <w:w w:val="140"/>
          <w:sz w:val="16"/>
          <w:lang w:val="es-419"/>
        </w:rPr>
      </w:pPr>
      <w:r w:rsidRPr="00080404">
        <w:rPr>
          <w:rFonts w:ascii="Georgia" w:hAnsi="Georgia" w:cs="Arial"/>
          <w:w w:val="140"/>
          <w:sz w:val="18"/>
          <w:lang w:val="es-419"/>
        </w:rPr>
        <w:t>T</w:t>
      </w:r>
      <w:r w:rsidRPr="00080404">
        <w:rPr>
          <w:rFonts w:ascii="Georgia" w:hAnsi="Georgia" w:cs="Arial"/>
          <w:w w:val="140"/>
          <w:sz w:val="16"/>
          <w:lang w:val="es-419"/>
        </w:rPr>
        <w:t>RIBUNAL</w:t>
      </w:r>
      <w:r w:rsidRPr="00080404">
        <w:rPr>
          <w:rFonts w:ascii="Georgia" w:hAnsi="Georgia" w:cs="Arial"/>
          <w:w w:val="140"/>
          <w:sz w:val="18"/>
          <w:lang w:val="es-419"/>
        </w:rPr>
        <w:t xml:space="preserve"> S</w:t>
      </w:r>
      <w:r w:rsidRPr="00080404">
        <w:rPr>
          <w:rFonts w:ascii="Georgia" w:hAnsi="Georgia" w:cs="Arial"/>
          <w:w w:val="140"/>
          <w:sz w:val="16"/>
          <w:lang w:val="es-419"/>
        </w:rPr>
        <w:t xml:space="preserve">UPERIOR DEL </w:t>
      </w:r>
      <w:r w:rsidRPr="00080404">
        <w:rPr>
          <w:rFonts w:ascii="Georgia" w:hAnsi="Georgia" w:cs="Arial"/>
          <w:w w:val="140"/>
          <w:sz w:val="18"/>
          <w:lang w:val="es-419"/>
        </w:rPr>
        <w:t>D</w:t>
      </w:r>
      <w:r w:rsidRPr="00080404">
        <w:rPr>
          <w:rFonts w:ascii="Georgia" w:hAnsi="Georgia" w:cs="Arial"/>
          <w:w w:val="140"/>
          <w:sz w:val="16"/>
          <w:lang w:val="es-419"/>
        </w:rPr>
        <w:t>ISTRITO</w:t>
      </w:r>
      <w:r w:rsidRPr="00080404">
        <w:rPr>
          <w:rFonts w:ascii="Georgia" w:hAnsi="Georgia" w:cs="Arial"/>
          <w:w w:val="140"/>
          <w:sz w:val="18"/>
          <w:lang w:val="es-419"/>
        </w:rPr>
        <w:t xml:space="preserve"> J</w:t>
      </w:r>
      <w:r w:rsidRPr="00080404">
        <w:rPr>
          <w:rFonts w:ascii="Georgia" w:hAnsi="Georgia" w:cs="Arial"/>
          <w:w w:val="140"/>
          <w:sz w:val="16"/>
          <w:lang w:val="es-419"/>
        </w:rPr>
        <w:t>UDICIAL</w:t>
      </w:r>
    </w:p>
    <w:p w:rsidR="0091345B" w:rsidRPr="00080404" w:rsidRDefault="0091345B" w:rsidP="0091345B">
      <w:pPr>
        <w:pStyle w:val="Sinespaciado"/>
        <w:spacing w:line="360" w:lineRule="auto"/>
        <w:jc w:val="center"/>
        <w:rPr>
          <w:rFonts w:ascii="Georgia" w:hAnsi="Georgia" w:cs="Arial"/>
          <w:w w:val="140"/>
          <w:sz w:val="16"/>
          <w:szCs w:val="18"/>
          <w:lang w:val="es-419"/>
        </w:rPr>
      </w:pPr>
      <w:r w:rsidRPr="00080404">
        <w:rPr>
          <w:rFonts w:ascii="Georgia" w:hAnsi="Georgia" w:cs="Arial"/>
          <w:w w:val="140"/>
          <w:sz w:val="18"/>
          <w:szCs w:val="18"/>
          <w:lang w:val="es-419"/>
        </w:rPr>
        <w:t>S</w:t>
      </w:r>
      <w:r w:rsidRPr="00080404">
        <w:rPr>
          <w:rFonts w:ascii="Georgia" w:hAnsi="Georgia" w:cs="Arial"/>
          <w:w w:val="140"/>
          <w:sz w:val="16"/>
          <w:szCs w:val="18"/>
          <w:lang w:val="es-419"/>
        </w:rPr>
        <w:t>ALA</w:t>
      </w:r>
      <w:r w:rsidRPr="00080404">
        <w:rPr>
          <w:rFonts w:ascii="Georgia" w:hAnsi="Georgia" w:cs="Arial"/>
          <w:w w:val="140"/>
          <w:sz w:val="14"/>
          <w:szCs w:val="18"/>
          <w:lang w:val="es-419"/>
        </w:rPr>
        <w:t xml:space="preserve"> </w:t>
      </w:r>
      <w:r w:rsidRPr="00080404">
        <w:rPr>
          <w:rFonts w:ascii="Georgia" w:hAnsi="Georgia" w:cs="Arial"/>
          <w:w w:val="140"/>
          <w:sz w:val="16"/>
          <w:szCs w:val="18"/>
          <w:lang w:val="es-419"/>
        </w:rPr>
        <w:t xml:space="preserve">DE </w:t>
      </w:r>
      <w:r w:rsidRPr="00080404">
        <w:rPr>
          <w:rFonts w:ascii="Georgia" w:hAnsi="Georgia" w:cs="Arial"/>
          <w:w w:val="140"/>
          <w:sz w:val="18"/>
          <w:szCs w:val="18"/>
          <w:lang w:val="es-419"/>
        </w:rPr>
        <w:t>D</w:t>
      </w:r>
      <w:r w:rsidRPr="00080404">
        <w:rPr>
          <w:rFonts w:ascii="Georgia" w:hAnsi="Georgia" w:cs="Arial"/>
          <w:w w:val="140"/>
          <w:sz w:val="16"/>
          <w:szCs w:val="18"/>
          <w:lang w:val="es-419"/>
        </w:rPr>
        <w:t>ECISIÓN</w:t>
      </w:r>
      <w:r w:rsidRPr="00080404">
        <w:rPr>
          <w:rFonts w:ascii="Georgia" w:hAnsi="Georgia" w:cs="Arial"/>
          <w:w w:val="140"/>
          <w:sz w:val="18"/>
          <w:szCs w:val="18"/>
          <w:lang w:val="es-419"/>
        </w:rPr>
        <w:t xml:space="preserve"> C</w:t>
      </w:r>
      <w:r w:rsidRPr="00080404">
        <w:rPr>
          <w:rFonts w:ascii="Georgia" w:hAnsi="Georgia" w:cs="Arial"/>
          <w:w w:val="140"/>
          <w:sz w:val="16"/>
          <w:szCs w:val="18"/>
          <w:lang w:val="es-419"/>
        </w:rPr>
        <w:t>IVIL –</w:t>
      </w:r>
      <w:r w:rsidRPr="00080404">
        <w:rPr>
          <w:rFonts w:ascii="Georgia" w:hAnsi="Georgia" w:cs="Arial"/>
          <w:w w:val="140"/>
          <w:sz w:val="18"/>
          <w:szCs w:val="18"/>
          <w:lang w:val="es-419"/>
        </w:rPr>
        <w:t>F</w:t>
      </w:r>
      <w:r w:rsidRPr="00080404">
        <w:rPr>
          <w:rFonts w:ascii="Georgia" w:hAnsi="Georgia" w:cs="Arial"/>
          <w:w w:val="140"/>
          <w:sz w:val="16"/>
          <w:szCs w:val="18"/>
          <w:lang w:val="es-419"/>
        </w:rPr>
        <w:t xml:space="preserve">AMILIA – </w:t>
      </w:r>
      <w:r w:rsidRPr="00080404">
        <w:rPr>
          <w:rFonts w:ascii="Georgia" w:hAnsi="Georgia" w:cs="Arial"/>
          <w:w w:val="140"/>
          <w:sz w:val="18"/>
          <w:szCs w:val="18"/>
          <w:lang w:val="es-419"/>
        </w:rPr>
        <w:t>D</w:t>
      </w:r>
      <w:r w:rsidRPr="00080404">
        <w:rPr>
          <w:rFonts w:ascii="Georgia" w:hAnsi="Georgia" w:cs="Arial"/>
          <w:w w:val="140"/>
          <w:sz w:val="16"/>
          <w:szCs w:val="18"/>
          <w:lang w:val="es-419"/>
        </w:rPr>
        <w:t>ISTRITO</w:t>
      </w:r>
      <w:r w:rsidRPr="00080404">
        <w:rPr>
          <w:rFonts w:ascii="Georgia" w:hAnsi="Georgia" w:cs="Arial"/>
          <w:w w:val="140"/>
          <w:sz w:val="18"/>
          <w:szCs w:val="18"/>
          <w:lang w:val="es-419"/>
        </w:rPr>
        <w:t xml:space="preserve"> D</w:t>
      </w:r>
      <w:r w:rsidRPr="00080404">
        <w:rPr>
          <w:rFonts w:ascii="Georgia" w:hAnsi="Georgia" w:cs="Arial"/>
          <w:w w:val="140"/>
          <w:sz w:val="16"/>
          <w:szCs w:val="18"/>
          <w:lang w:val="es-419"/>
        </w:rPr>
        <w:t>E</w:t>
      </w:r>
      <w:r w:rsidRPr="00080404">
        <w:rPr>
          <w:rFonts w:ascii="Georgia" w:hAnsi="Georgia" w:cs="Arial"/>
          <w:w w:val="140"/>
          <w:sz w:val="18"/>
          <w:szCs w:val="18"/>
          <w:lang w:val="es-419"/>
        </w:rPr>
        <w:t xml:space="preserve"> P</w:t>
      </w:r>
      <w:r w:rsidRPr="00080404">
        <w:rPr>
          <w:rFonts w:ascii="Georgia" w:hAnsi="Georgia" w:cs="Arial"/>
          <w:w w:val="140"/>
          <w:sz w:val="16"/>
          <w:szCs w:val="18"/>
          <w:lang w:val="es-419"/>
        </w:rPr>
        <w:t>EREIRA</w:t>
      </w:r>
    </w:p>
    <w:p w:rsidR="0091345B" w:rsidRPr="00080404" w:rsidRDefault="0091345B" w:rsidP="0091345B">
      <w:pPr>
        <w:pStyle w:val="Sinespaciado"/>
        <w:spacing w:line="360" w:lineRule="auto"/>
        <w:jc w:val="center"/>
        <w:rPr>
          <w:rFonts w:ascii="Georgia" w:hAnsi="Georgia" w:cs="Arial"/>
          <w:w w:val="140"/>
          <w:sz w:val="16"/>
          <w:szCs w:val="18"/>
          <w:lang w:val="es-419"/>
        </w:rPr>
      </w:pPr>
      <w:r w:rsidRPr="00080404">
        <w:rPr>
          <w:rFonts w:ascii="Georgia" w:hAnsi="Georgia" w:cs="Arial"/>
          <w:w w:val="140"/>
          <w:sz w:val="18"/>
          <w:szCs w:val="18"/>
          <w:lang w:val="es-419"/>
        </w:rPr>
        <w:t>D</w:t>
      </w:r>
      <w:r w:rsidRPr="00080404">
        <w:rPr>
          <w:rFonts w:ascii="Georgia" w:hAnsi="Georgia" w:cs="Arial"/>
          <w:w w:val="140"/>
          <w:sz w:val="16"/>
          <w:szCs w:val="18"/>
          <w:lang w:val="es-419"/>
        </w:rPr>
        <w:t xml:space="preserve">EPARTAMENTO </w:t>
      </w:r>
      <w:r w:rsidRPr="00080404">
        <w:rPr>
          <w:rFonts w:ascii="Georgia" w:hAnsi="Georgia" w:cs="Arial"/>
          <w:w w:val="140"/>
          <w:sz w:val="18"/>
          <w:szCs w:val="18"/>
          <w:lang w:val="es-419"/>
        </w:rPr>
        <w:t>D</w:t>
      </w:r>
      <w:r w:rsidRPr="00080404">
        <w:rPr>
          <w:rFonts w:ascii="Georgia" w:hAnsi="Georgia" w:cs="Arial"/>
          <w:w w:val="140"/>
          <w:sz w:val="16"/>
          <w:szCs w:val="18"/>
          <w:lang w:val="es-419"/>
        </w:rPr>
        <w:t xml:space="preserve">E </w:t>
      </w:r>
      <w:r w:rsidRPr="00080404">
        <w:rPr>
          <w:rFonts w:ascii="Georgia" w:hAnsi="Georgia" w:cs="Arial"/>
          <w:w w:val="140"/>
          <w:sz w:val="18"/>
          <w:szCs w:val="18"/>
          <w:lang w:val="es-419"/>
        </w:rPr>
        <w:t>R</w:t>
      </w:r>
      <w:r w:rsidRPr="00080404">
        <w:rPr>
          <w:rFonts w:ascii="Georgia" w:hAnsi="Georgia" w:cs="Arial"/>
          <w:w w:val="140"/>
          <w:sz w:val="16"/>
          <w:szCs w:val="18"/>
          <w:lang w:val="es-419"/>
        </w:rPr>
        <w:t>ISARALDA</w:t>
      </w:r>
    </w:p>
    <w:p w:rsidR="00865224" w:rsidRPr="00080404" w:rsidRDefault="00865224" w:rsidP="00080404">
      <w:pPr>
        <w:pStyle w:val="Sinespaciado"/>
        <w:spacing w:line="360" w:lineRule="auto"/>
        <w:jc w:val="center"/>
        <w:rPr>
          <w:rFonts w:ascii="Georgia" w:hAnsi="Georgia" w:cs="Arial"/>
          <w:w w:val="140"/>
          <w:szCs w:val="18"/>
          <w:lang w:val="es-419"/>
        </w:rPr>
      </w:pPr>
    </w:p>
    <w:p w:rsidR="008558CD" w:rsidRPr="00080404" w:rsidRDefault="008558CD" w:rsidP="008558CD">
      <w:pPr>
        <w:spacing w:line="360" w:lineRule="auto"/>
        <w:ind w:left="708" w:firstLine="708"/>
        <w:rPr>
          <w:rFonts w:ascii="Georgia" w:hAnsi="Georgia" w:cs="Arial"/>
          <w:b/>
          <w:bCs/>
          <w:sz w:val="2"/>
          <w:szCs w:val="22"/>
          <w:lang w:val="es-419"/>
        </w:rPr>
      </w:pPr>
    </w:p>
    <w:p w:rsidR="008558CD" w:rsidRPr="00080404" w:rsidRDefault="008558CD" w:rsidP="008558CD">
      <w:pPr>
        <w:pBdr>
          <w:bottom w:val="double" w:sz="6" w:space="1" w:color="auto"/>
        </w:pBdr>
        <w:spacing w:line="360" w:lineRule="auto"/>
        <w:jc w:val="center"/>
        <w:rPr>
          <w:rFonts w:ascii="Georgia" w:hAnsi="Georgia"/>
          <w:b/>
          <w:bCs/>
          <w:sz w:val="2"/>
          <w:szCs w:val="22"/>
          <w:lang w:val="es-419"/>
        </w:rPr>
      </w:pPr>
    </w:p>
    <w:p w:rsidR="008558CD" w:rsidRPr="00080404" w:rsidRDefault="008558CD" w:rsidP="008558CD">
      <w:pPr>
        <w:spacing w:line="360" w:lineRule="auto"/>
        <w:jc w:val="center"/>
        <w:rPr>
          <w:rFonts w:ascii="Georgia" w:hAnsi="Georgia"/>
          <w:b/>
          <w:bCs/>
          <w:sz w:val="20"/>
          <w:szCs w:val="22"/>
          <w:lang w:val="es-419"/>
        </w:rPr>
      </w:pPr>
    </w:p>
    <w:p w:rsidR="008558CD" w:rsidRPr="00080404" w:rsidRDefault="008558CD" w:rsidP="00080404">
      <w:pPr>
        <w:spacing w:line="276" w:lineRule="auto"/>
        <w:jc w:val="center"/>
        <w:rPr>
          <w:rFonts w:ascii="Georgia" w:hAnsi="Georgia" w:cs="Arial"/>
          <w:iCs/>
          <w:sz w:val="28"/>
          <w:lang w:val="es-419"/>
        </w:rPr>
      </w:pPr>
      <w:r w:rsidRPr="00080404">
        <w:rPr>
          <w:rFonts w:ascii="Georgia" w:hAnsi="Georgia" w:cs="Arial"/>
          <w:iCs/>
          <w:smallCaps/>
          <w:sz w:val="28"/>
          <w:lang w:val="es-419"/>
        </w:rPr>
        <w:t xml:space="preserve">Pereira, R., </w:t>
      </w:r>
      <w:r w:rsidR="006F7CDA" w:rsidRPr="00080404">
        <w:rPr>
          <w:rFonts w:ascii="Georgia" w:hAnsi="Georgia" w:cs="Arial"/>
          <w:iCs/>
          <w:smallCaps/>
          <w:sz w:val="28"/>
          <w:lang w:val="es-419"/>
        </w:rPr>
        <w:t xml:space="preserve">veinticuatro </w:t>
      </w:r>
      <w:r w:rsidRPr="00080404">
        <w:rPr>
          <w:rFonts w:ascii="Georgia" w:hAnsi="Georgia" w:cs="Arial"/>
          <w:iCs/>
          <w:smallCaps/>
          <w:sz w:val="28"/>
          <w:lang w:val="es-419"/>
        </w:rPr>
        <w:t>(</w:t>
      </w:r>
      <w:r w:rsidR="006F7CDA" w:rsidRPr="00080404">
        <w:rPr>
          <w:rFonts w:ascii="Georgia" w:hAnsi="Georgia" w:cs="Arial"/>
          <w:iCs/>
          <w:smallCaps/>
          <w:sz w:val="28"/>
          <w:lang w:val="es-419"/>
        </w:rPr>
        <w:t>24</w:t>
      </w:r>
      <w:r w:rsidRPr="00080404">
        <w:rPr>
          <w:rFonts w:ascii="Georgia" w:hAnsi="Georgia" w:cs="Arial"/>
          <w:iCs/>
          <w:smallCaps/>
          <w:sz w:val="28"/>
          <w:lang w:val="es-419"/>
        </w:rPr>
        <w:t xml:space="preserve">) de </w:t>
      </w:r>
      <w:r w:rsidR="00743AF6" w:rsidRPr="00080404">
        <w:rPr>
          <w:rFonts w:ascii="Georgia" w:hAnsi="Georgia" w:cs="Arial"/>
          <w:iCs/>
          <w:smallCaps/>
          <w:sz w:val="28"/>
          <w:lang w:val="es-419"/>
        </w:rPr>
        <w:t xml:space="preserve">octubre </w:t>
      </w:r>
      <w:r w:rsidRPr="00080404">
        <w:rPr>
          <w:rFonts w:ascii="Georgia" w:hAnsi="Georgia" w:cs="Arial"/>
          <w:iCs/>
          <w:smallCaps/>
          <w:sz w:val="28"/>
          <w:lang w:val="es-419"/>
        </w:rPr>
        <w:t>de dos mil diecinueve (2019)</w:t>
      </w:r>
      <w:r w:rsidRPr="00080404">
        <w:rPr>
          <w:rFonts w:ascii="Georgia" w:hAnsi="Georgia" w:cs="Arial"/>
          <w:iCs/>
          <w:sz w:val="28"/>
          <w:lang w:val="es-419"/>
        </w:rPr>
        <w:t>.</w:t>
      </w:r>
    </w:p>
    <w:p w:rsidR="00785FA3" w:rsidRPr="00080404" w:rsidRDefault="00785FA3" w:rsidP="00080404">
      <w:pPr>
        <w:pStyle w:val="Textoindependiente"/>
        <w:spacing w:line="276" w:lineRule="auto"/>
        <w:rPr>
          <w:rFonts w:ascii="Georgia" w:hAnsi="Georgia"/>
          <w:szCs w:val="24"/>
          <w:lang w:val="es-419"/>
        </w:rPr>
      </w:pPr>
    </w:p>
    <w:p w:rsidR="00785FA3" w:rsidRPr="00080404" w:rsidRDefault="00785FA3" w:rsidP="00080404">
      <w:pPr>
        <w:pStyle w:val="Textoindependiente"/>
        <w:numPr>
          <w:ilvl w:val="0"/>
          <w:numId w:val="1"/>
        </w:numPr>
        <w:spacing w:line="276" w:lineRule="auto"/>
        <w:rPr>
          <w:rFonts w:ascii="Georgia" w:hAnsi="Georgia"/>
          <w:smallCaps/>
          <w:szCs w:val="24"/>
          <w:lang w:val="es-419"/>
        </w:rPr>
      </w:pPr>
      <w:r w:rsidRPr="00080404">
        <w:rPr>
          <w:rFonts w:ascii="Georgia" w:hAnsi="Georgia"/>
          <w:smallCaps/>
          <w:szCs w:val="24"/>
          <w:lang w:val="es-419"/>
        </w:rPr>
        <w:t>El asunto a decidir</w:t>
      </w:r>
    </w:p>
    <w:p w:rsidR="00785FA3" w:rsidRPr="00080404" w:rsidRDefault="00785FA3" w:rsidP="00080404">
      <w:pPr>
        <w:pStyle w:val="Textoindependiente"/>
        <w:spacing w:line="276" w:lineRule="auto"/>
        <w:rPr>
          <w:rFonts w:ascii="Georgia" w:hAnsi="Georgia"/>
          <w:szCs w:val="24"/>
          <w:lang w:val="es-419"/>
        </w:rPr>
      </w:pPr>
    </w:p>
    <w:p w:rsidR="00785FA3" w:rsidRPr="00080404" w:rsidRDefault="00785FA3" w:rsidP="00080404">
      <w:pPr>
        <w:pStyle w:val="Textoindependiente"/>
        <w:spacing w:line="276" w:lineRule="auto"/>
        <w:rPr>
          <w:rFonts w:ascii="Georgia" w:hAnsi="Georgia"/>
          <w:szCs w:val="24"/>
          <w:lang w:val="es-419"/>
        </w:rPr>
      </w:pPr>
      <w:r w:rsidRPr="00080404">
        <w:rPr>
          <w:rFonts w:ascii="Georgia" w:hAnsi="Georgia"/>
          <w:szCs w:val="24"/>
          <w:lang w:val="es-419"/>
        </w:rPr>
        <w:t>La impugnación suscitada en el trámite constitucional ya referido, una vez se ha cumplido la actuación de primera instancia.</w:t>
      </w:r>
    </w:p>
    <w:p w:rsidR="00785FA3" w:rsidRPr="00080404" w:rsidRDefault="00785FA3" w:rsidP="00080404">
      <w:pPr>
        <w:pStyle w:val="Textoindependiente"/>
        <w:spacing w:line="276" w:lineRule="auto"/>
        <w:rPr>
          <w:rFonts w:ascii="Georgia" w:hAnsi="Georgia"/>
          <w:szCs w:val="24"/>
          <w:lang w:val="es-419"/>
        </w:rPr>
      </w:pPr>
    </w:p>
    <w:p w:rsidR="00785FA3" w:rsidRPr="00080404" w:rsidRDefault="00785FA3" w:rsidP="00080404">
      <w:pPr>
        <w:pStyle w:val="Textoindependiente"/>
        <w:numPr>
          <w:ilvl w:val="0"/>
          <w:numId w:val="1"/>
        </w:numPr>
        <w:spacing w:line="276" w:lineRule="auto"/>
        <w:rPr>
          <w:rFonts w:ascii="Georgia" w:hAnsi="Georgia"/>
          <w:smallCaps/>
          <w:szCs w:val="24"/>
          <w:lang w:val="es-419"/>
        </w:rPr>
      </w:pPr>
      <w:r w:rsidRPr="00080404">
        <w:rPr>
          <w:rFonts w:ascii="Georgia" w:hAnsi="Georgia"/>
          <w:smallCaps/>
          <w:szCs w:val="24"/>
          <w:lang w:val="es-419"/>
        </w:rPr>
        <w:t xml:space="preserve">La síntesis fáctica </w:t>
      </w:r>
    </w:p>
    <w:p w:rsidR="00785FA3" w:rsidRPr="00080404" w:rsidRDefault="00785FA3" w:rsidP="00080404">
      <w:pPr>
        <w:pStyle w:val="Textoindependiente"/>
        <w:spacing w:line="276" w:lineRule="auto"/>
        <w:rPr>
          <w:rFonts w:ascii="Georgia" w:hAnsi="Georgia"/>
          <w:szCs w:val="24"/>
          <w:lang w:val="es-419"/>
        </w:rPr>
      </w:pPr>
    </w:p>
    <w:p w:rsidR="00785FA3" w:rsidRPr="00080404" w:rsidRDefault="00785FA3" w:rsidP="00080404">
      <w:pPr>
        <w:pStyle w:val="Textoindependiente"/>
        <w:spacing w:line="276" w:lineRule="auto"/>
        <w:rPr>
          <w:rFonts w:ascii="Georgia" w:hAnsi="Georgia"/>
          <w:sz w:val="23"/>
          <w:szCs w:val="23"/>
          <w:lang w:val="es-419"/>
        </w:rPr>
      </w:pPr>
      <w:r w:rsidRPr="00080404">
        <w:rPr>
          <w:rFonts w:ascii="Georgia" w:hAnsi="Georgia"/>
          <w:szCs w:val="24"/>
          <w:lang w:val="es-419"/>
        </w:rPr>
        <w:t>In</w:t>
      </w:r>
      <w:r w:rsidR="00385383" w:rsidRPr="00080404">
        <w:rPr>
          <w:rFonts w:ascii="Georgia" w:hAnsi="Georgia"/>
          <w:szCs w:val="24"/>
          <w:lang w:val="es-419"/>
        </w:rPr>
        <w:t xml:space="preserve">formó </w:t>
      </w:r>
      <w:r w:rsidR="00743AF6" w:rsidRPr="00080404">
        <w:rPr>
          <w:rFonts w:ascii="Georgia" w:hAnsi="Georgia"/>
          <w:szCs w:val="24"/>
          <w:lang w:val="es-419"/>
        </w:rPr>
        <w:t xml:space="preserve">la </w:t>
      </w:r>
      <w:r w:rsidRPr="00080404">
        <w:rPr>
          <w:rFonts w:ascii="Georgia" w:hAnsi="Georgia"/>
          <w:szCs w:val="24"/>
          <w:lang w:val="es-419"/>
        </w:rPr>
        <w:t>accionante que</w:t>
      </w:r>
      <w:r w:rsidR="00A502CD" w:rsidRPr="00080404">
        <w:rPr>
          <w:rFonts w:ascii="Georgia" w:hAnsi="Georgia"/>
          <w:szCs w:val="24"/>
          <w:lang w:val="es-419"/>
        </w:rPr>
        <w:t xml:space="preserve"> </w:t>
      </w:r>
      <w:r w:rsidR="00743AF6" w:rsidRPr="00080404">
        <w:rPr>
          <w:rFonts w:ascii="Georgia" w:hAnsi="Georgia"/>
          <w:szCs w:val="24"/>
          <w:lang w:val="es-419"/>
        </w:rPr>
        <w:t>en el proceso de alimentos que adelanta ante el juzgado encausado</w:t>
      </w:r>
      <w:r w:rsidR="00437D2E" w:rsidRPr="00080404">
        <w:rPr>
          <w:rFonts w:ascii="Georgia" w:hAnsi="Georgia"/>
          <w:szCs w:val="24"/>
          <w:lang w:val="es-419"/>
        </w:rPr>
        <w:t>,</w:t>
      </w:r>
      <w:r w:rsidR="00743AF6" w:rsidRPr="00080404">
        <w:rPr>
          <w:rFonts w:ascii="Georgia" w:hAnsi="Georgia"/>
          <w:szCs w:val="24"/>
          <w:lang w:val="es-419"/>
        </w:rPr>
        <w:t xml:space="preserve"> solicitó como medida cautelar la fijación de alimentos provisionales en cuantía del 35% del salario devengado por su progenitor y el embargo de los dineros retenidos en la ejecución </w:t>
      </w:r>
      <w:r w:rsidR="00437D2E" w:rsidRPr="00080404">
        <w:rPr>
          <w:rFonts w:ascii="Georgia" w:hAnsi="Georgia"/>
          <w:szCs w:val="24"/>
          <w:lang w:val="es-419"/>
        </w:rPr>
        <w:t>que</w:t>
      </w:r>
      <w:r w:rsidR="00743AF6" w:rsidRPr="00080404">
        <w:rPr>
          <w:rFonts w:ascii="Georgia" w:hAnsi="Georgia"/>
          <w:szCs w:val="24"/>
          <w:lang w:val="es-419"/>
        </w:rPr>
        <w:t xml:space="preserve"> adelanta en su contra la </w:t>
      </w:r>
      <w:r w:rsidR="00743AF6" w:rsidRPr="00080404">
        <w:rPr>
          <w:rFonts w:ascii="Georgia" w:hAnsi="Georgia"/>
          <w:sz w:val="22"/>
          <w:szCs w:val="24"/>
          <w:lang w:val="es-419"/>
        </w:rPr>
        <w:t xml:space="preserve">COOMPER, </w:t>
      </w:r>
      <w:r w:rsidR="00743AF6" w:rsidRPr="00080404">
        <w:rPr>
          <w:rFonts w:ascii="Georgia" w:hAnsi="Georgia"/>
          <w:szCs w:val="24"/>
          <w:lang w:val="es-419"/>
        </w:rPr>
        <w:t>según el artículo 465, CGP,</w:t>
      </w:r>
      <w:r w:rsidR="00437D2E" w:rsidRPr="00080404">
        <w:rPr>
          <w:rFonts w:ascii="Georgia" w:hAnsi="Georgia"/>
          <w:szCs w:val="24"/>
          <w:lang w:val="es-419"/>
        </w:rPr>
        <w:t xml:space="preserve"> esto, </w:t>
      </w:r>
      <w:r w:rsidR="00743AF6" w:rsidRPr="00080404">
        <w:rPr>
          <w:rFonts w:ascii="Georgia" w:hAnsi="Georgia"/>
          <w:szCs w:val="24"/>
          <w:lang w:val="es-419"/>
        </w:rPr>
        <w:t xml:space="preserve">a efectos de garantizar el pago del retroactivo perseguido con la demanda; empero, </w:t>
      </w:r>
      <w:r w:rsidR="00021281" w:rsidRPr="00080404">
        <w:rPr>
          <w:rFonts w:ascii="Georgia" w:hAnsi="Georgia"/>
          <w:szCs w:val="24"/>
          <w:lang w:val="es-419"/>
        </w:rPr>
        <w:t xml:space="preserve">solo </w:t>
      </w:r>
      <w:r w:rsidR="00437D2E" w:rsidRPr="00080404">
        <w:rPr>
          <w:rFonts w:ascii="Georgia" w:hAnsi="Georgia"/>
          <w:szCs w:val="24"/>
          <w:lang w:val="es-419"/>
        </w:rPr>
        <w:t xml:space="preserve">se </w:t>
      </w:r>
      <w:r w:rsidR="00021281" w:rsidRPr="00080404">
        <w:rPr>
          <w:rFonts w:ascii="Georgia" w:hAnsi="Georgia"/>
          <w:szCs w:val="24"/>
          <w:lang w:val="es-419"/>
        </w:rPr>
        <w:t xml:space="preserve">accedió a la primera medida </w:t>
      </w:r>
      <w:r w:rsidR="00437D2E" w:rsidRPr="00080404">
        <w:rPr>
          <w:rFonts w:ascii="Georgia" w:hAnsi="Georgia"/>
          <w:szCs w:val="24"/>
          <w:lang w:val="es-419"/>
        </w:rPr>
        <w:t xml:space="preserve">con base en que era </w:t>
      </w:r>
      <w:r w:rsidR="00021281" w:rsidRPr="00080404">
        <w:rPr>
          <w:rFonts w:ascii="Georgia" w:hAnsi="Georgia"/>
          <w:szCs w:val="24"/>
          <w:lang w:val="es-419"/>
        </w:rPr>
        <w:t xml:space="preserve">suficiente para pagar los alimentos provisionales reconocidos, sin tener en cuenta la </w:t>
      </w:r>
      <w:r w:rsidR="00437D2E" w:rsidRPr="00080404">
        <w:rPr>
          <w:rFonts w:ascii="Georgia" w:hAnsi="Georgia"/>
          <w:szCs w:val="24"/>
          <w:lang w:val="es-419"/>
        </w:rPr>
        <w:t xml:space="preserve">prelación que </w:t>
      </w:r>
      <w:r w:rsidR="00162462" w:rsidRPr="00080404">
        <w:rPr>
          <w:rFonts w:ascii="Georgia" w:hAnsi="Georgia"/>
          <w:szCs w:val="24"/>
          <w:lang w:val="es-419"/>
        </w:rPr>
        <w:t xml:space="preserve">establece dicha </w:t>
      </w:r>
      <w:r w:rsidR="00021281" w:rsidRPr="00080404">
        <w:rPr>
          <w:rFonts w:ascii="Georgia" w:hAnsi="Georgia"/>
          <w:szCs w:val="24"/>
          <w:lang w:val="es-419"/>
        </w:rPr>
        <w:t xml:space="preserve">norma </w:t>
      </w:r>
      <w:r w:rsidR="00162462" w:rsidRPr="00080404">
        <w:rPr>
          <w:rFonts w:ascii="Georgia" w:hAnsi="Georgia"/>
          <w:szCs w:val="24"/>
          <w:lang w:val="es-419"/>
        </w:rPr>
        <w:t xml:space="preserve">respecto </w:t>
      </w:r>
      <w:r w:rsidR="00437D2E" w:rsidRPr="00080404">
        <w:rPr>
          <w:rFonts w:ascii="Georgia" w:hAnsi="Georgia"/>
          <w:szCs w:val="24"/>
          <w:lang w:val="es-419"/>
        </w:rPr>
        <w:t xml:space="preserve">de procesos de </w:t>
      </w:r>
      <w:r w:rsidR="00021281" w:rsidRPr="00080404">
        <w:rPr>
          <w:rFonts w:ascii="Georgia" w:hAnsi="Georgia"/>
          <w:szCs w:val="24"/>
          <w:lang w:val="es-419"/>
        </w:rPr>
        <w:t>alimentos</w:t>
      </w:r>
      <w:r w:rsidR="008B578C" w:rsidRPr="00080404">
        <w:rPr>
          <w:rFonts w:ascii="Georgia" w:hAnsi="Georgia"/>
          <w:szCs w:val="24"/>
          <w:lang w:val="es-419"/>
        </w:rPr>
        <w:t xml:space="preserve"> </w:t>
      </w:r>
      <w:r w:rsidR="006C74D5" w:rsidRPr="00080404">
        <w:rPr>
          <w:rFonts w:ascii="Georgia" w:hAnsi="Georgia"/>
          <w:szCs w:val="24"/>
          <w:lang w:val="es-419"/>
        </w:rPr>
        <w:t>(Folio</w:t>
      </w:r>
      <w:r w:rsidR="00235499" w:rsidRPr="00080404">
        <w:rPr>
          <w:rFonts w:ascii="Georgia" w:hAnsi="Georgia"/>
          <w:szCs w:val="24"/>
          <w:lang w:val="es-419"/>
        </w:rPr>
        <w:t xml:space="preserve">s </w:t>
      </w:r>
      <w:r w:rsidR="00437D2E" w:rsidRPr="00080404">
        <w:rPr>
          <w:rFonts w:ascii="Georgia" w:hAnsi="Georgia"/>
          <w:szCs w:val="24"/>
          <w:lang w:val="es-419"/>
        </w:rPr>
        <w:t>22-29</w:t>
      </w:r>
      <w:r w:rsidRPr="00080404">
        <w:rPr>
          <w:rFonts w:ascii="Georgia" w:hAnsi="Georgia"/>
          <w:szCs w:val="24"/>
          <w:lang w:val="es-419"/>
        </w:rPr>
        <w:t>, cuaderno</w:t>
      </w:r>
      <w:r w:rsidR="00235499" w:rsidRPr="00080404">
        <w:rPr>
          <w:rFonts w:ascii="Georgia" w:hAnsi="Georgia"/>
          <w:szCs w:val="24"/>
          <w:lang w:val="es-419"/>
        </w:rPr>
        <w:t xml:space="preserve"> principal</w:t>
      </w:r>
      <w:r w:rsidRPr="00080404">
        <w:rPr>
          <w:rFonts w:ascii="Georgia" w:hAnsi="Georgia"/>
          <w:sz w:val="23"/>
          <w:szCs w:val="23"/>
          <w:lang w:val="es-419"/>
        </w:rPr>
        <w:t>).</w:t>
      </w:r>
    </w:p>
    <w:p w:rsidR="00785FA3" w:rsidRPr="00080404" w:rsidRDefault="00785FA3" w:rsidP="00080404">
      <w:pPr>
        <w:pStyle w:val="Textoindependiente"/>
        <w:spacing w:line="276" w:lineRule="auto"/>
        <w:rPr>
          <w:rFonts w:ascii="Georgia" w:hAnsi="Georgia"/>
          <w:szCs w:val="24"/>
          <w:lang w:val="es-419"/>
        </w:rPr>
      </w:pPr>
    </w:p>
    <w:p w:rsidR="00785FA3" w:rsidRPr="00080404" w:rsidRDefault="00785FA3" w:rsidP="00080404">
      <w:pPr>
        <w:pStyle w:val="Textoindependiente"/>
        <w:numPr>
          <w:ilvl w:val="0"/>
          <w:numId w:val="1"/>
        </w:numPr>
        <w:spacing w:line="276" w:lineRule="auto"/>
        <w:rPr>
          <w:rFonts w:ascii="Georgia" w:hAnsi="Georgia"/>
          <w:smallCaps/>
          <w:szCs w:val="24"/>
          <w:lang w:val="es-419"/>
        </w:rPr>
      </w:pPr>
      <w:r w:rsidRPr="00080404">
        <w:rPr>
          <w:rFonts w:ascii="Georgia" w:hAnsi="Georgia"/>
          <w:smallCaps/>
          <w:szCs w:val="24"/>
          <w:lang w:val="es-419"/>
        </w:rPr>
        <w:t>Los derechos presuntamente vulnerados</w:t>
      </w:r>
    </w:p>
    <w:p w:rsidR="00785FA3" w:rsidRPr="00080404" w:rsidRDefault="00785FA3" w:rsidP="00080404">
      <w:pPr>
        <w:pStyle w:val="Textoindependiente"/>
        <w:spacing w:line="276" w:lineRule="auto"/>
        <w:ind w:left="360"/>
        <w:rPr>
          <w:rFonts w:ascii="Georgia" w:hAnsi="Georgia"/>
          <w:szCs w:val="24"/>
          <w:lang w:val="es-419"/>
        </w:rPr>
      </w:pPr>
    </w:p>
    <w:p w:rsidR="00785FA3" w:rsidRPr="00080404" w:rsidRDefault="00437D2E" w:rsidP="00080404">
      <w:pPr>
        <w:pStyle w:val="Textoindependiente"/>
        <w:widowControl w:val="0"/>
        <w:spacing w:line="276" w:lineRule="auto"/>
        <w:rPr>
          <w:rFonts w:ascii="Georgia" w:hAnsi="Georgia"/>
          <w:szCs w:val="24"/>
          <w:lang w:val="es-419"/>
        </w:rPr>
      </w:pPr>
      <w:r w:rsidRPr="00080404">
        <w:rPr>
          <w:rFonts w:ascii="Georgia" w:hAnsi="Georgia"/>
          <w:szCs w:val="24"/>
          <w:lang w:val="es-419"/>
        </w:rPr>
        <w:t xml:space="preserve">Se invocan los derechos al debido proceso y a la igualdad </w:t>
      </w:r>
      <w:r w:rsidR="00785FA3" w:rsidRPr="00080404">
        <w:rPr>
          <w:rFonts w:ascii="Georgia" w:hAnsi="Georgia"/>
          <w:szCs w:val="24"/>
          <w:lang w:val="es-419"/>
        </w:rPr>
        <w:t xml:space="preserve">(Folio </w:t>
      </w:r>
      <w:r w:rsidRPr="00080404">
        <w:rPr>
          <w:rFonts w:ascii="Georgia" w:hAnsi="Georgia"/>
          <w:szCs w:val="24"/>
          <w:lang w:val="es-419"/>
        </w:rPr>
        <w:t>22</w:t>
      </w:r>
      <w:r w:rsidR="00785FA3" w:rsidRPr="00080404">
        <w:rPr>
          <w:rFonts w:ascii="Georgia" w:hAnsi="Georgia"/>
          <w:szCs w:val="24"/>
          <w:lang w:val="es-419"/>
        </w:rPr>
        <w:t>, cuaderno</w:t>
      </w:r>
      <w:r w:rsidR="00235499" w:rsidRPr="00080404">
        <w:rPr>
          <w:rFonts w:ascii="Georgia" w:hAnsi="Georgia"/>
          <w:szCs w:val="24"/>
          <w:lang w:val="es-419"/>
        </w:rPr>
        <w:t xml:space="preserve"> principal</w:t>
      </w:r>
      <w:r w:rsidR="00785FA3" w:rsidRPr="00080404">
        <w:rPr>
          <w:rFonts w:ascii="Georgia" w:hAnsi="Georgia"/>
          <w:szCs w:val="24"/>
          <w:lang w:val="es-419"/>
        </w:rPr>
        <w:t>).</w:t>
      </w:r>
    </w:p>
    <w:p w:rsidR="00785FA3" w:rsidRPr="00080404" w:rsidRDefault="00785FA3" w:rsidP="00080404">
      <w:pPr>
        <w:pStyle w:val="Textoindependiente"/>
        <w:widowControl w:val="0"/>
        <w:spacing w:line="276" w:lineRule="auto"/>
        <w:rPr>
          <w:rFonts w:ascii="Georgia" w:hAnsi="Georgia"/>
          <w:szCs w:val="24"/>
          <w:lang w:val="es-419"/>
        </w:rPr>
      </w:pPr>
    </w:p>
    <w:p w:rsidR="00785FA3" w:rsidRPr="00080404" w:rsidRDefault="00785FA3" w:rsidP="00080404">
      <w:pPr>
        <w:pStyle w:val="Textoindependiente"/>
        <w:numPr>
          <w:ilvl w:val="0"/>
          <w:numId w:val="1"/>
        </w:numPr>
        <w:spacing w:line="276" w:lineRule="auto"/>
        <w:rPr>
          <w:rFonts w:ascii="Georgia" w:hAnsi="Georgia"/>
          <w:smallCaps/>
          <w:szCs w:val="24"/>
          <w:lang w:val="es-419"/>
        </w:rPr>
      </w:pPr>
      <w:r w:rsidRPr="00080404">
        <w:rPr>
          <w:rFonts w:ascii="Georgia" w:hAnsi="Georgia"/>
          <w:smallCaps/>
          <w:szCs w:val="24"/>
          <w:lang w:val="es-419"/>
        </w:rPr>
        <w:t>La petición de protección</w:t>
      </w:r>
    </w:p>
    <w:p w:rsidR="00865224" w:rsidRPr="00080404" w:rsidRDefault="00865224" w:rsidP="00080404">
      <w:pPr>
        <w:pStyle w:val="Textoindependiente"/>
        <w:spacing w:line="276" w:lineRule="auto"/>
        <w:ind w:left="360"/>
        <w:rPr>
          <w:rFonts w:ascii="Georgia" w:hAnsi="Georgia"/>
          <w:smallCaps/>
          <w:szCs w:val="24"/>
          <w:lang w:val="es-419"/>
        </w:rPr>
      </w:pPr>
    </w:p>
    <w:p w:rsidR="00785FA3" w:rsidRPr="00080404" w:rsidRDefault="00785FA3" w:rsidP="00080404">
      <w:pPr>
        <w:pStyle w:val="Sinespaciado"/>
        <w:spacing w:line="276" w:lineRule="auto"/>
        <w:jc w:val="both"/>
        <w:rPr>
          <w:rFonts w:ascii="Georgia" w:hAnsi="Georgia"/>
          <w:szCs w:val="24"/>
          <w:lang w:val="es-419"/>
        </w:rPr>
      </w:pPr>
      <w:r w:rsidRPr="00080404">
        <w:rPr>
          <w:rFonts w:ascii="Georgia" w:hAnsi="Georgia"/>
          <w:szCs w:val="24"/>
          <w:lang w:val="es-419"/>
        </w:rPr>
        <w:t>Se pretende el amparo de los derechos</w:t>
      </w:r>
      <w:r w:rsidR="00437D2E" w:rsidRPr="00080404">
        <w:rPr>
          <w:rFonts w:ascii="Georgia" w:hAnsi="Georgia"/>
          <w:szCs w:val="24"/>
          <w:lang w:val="es-419"/>
        </w:rPr>
        <w:t xml:space="preserve">; </w:t>
      </w:r>
      <w:r w:rsidRPr="00080404">
        <w:rPr>
          <w:rFonts w:ascii="Georgia" w:hAnsi="Georgia"/>
          <w:szCs w:val="24"/>
          <w:lang w:val="es-419"/>
        </w:rPr>
        <w:t xml:space="preserve">en consecuencia, </w:t>
      </w:r>
      <w:r w:rsidR="00437D2E" w:rsidRPr="00080404">
        <w:rPr>
          <w:rFonts w:ascii="Georgia" w:hAnsi="Georgia"/>
          <w:szCs w:val="24"/>
          <w:lang w:val="es-419"/>
        </w:rPr>
        <w:t xml:space="preserve">dejar sin efectos los autos del 16-07-2019 y 13-08-2019 y ordenar al funcionario que emita </w:t>
      </w:r>
      <w:r w:rsidR="00162462" w:rsidRPr="00080404">
        <w:rPr>
          <w:rFonts w:ascii="Georgia" w:hAnsi="Georgia"/>
          <w:szCs w:val="24"/>
          <w:lang w:val="es-419"/>
        </w:rPr>
        <w:t xml:space="preserve">la </w:t>
      </w:r>
      <w:r w:rsidR="00437D2E" w:rsidRPr="00080404">
        <w:rPr>
          <w:rFonts w:ascii="Georgia" w:hAnsi="Georgia"/>
          <w:szCs w:val="24"/>
          <w:lang w:val="es-419"/>
        </w:rPr>
        <w:t xml:space="preserve">providencia que en derecho corresponda </w:t>
      </w:r>
      <w:r w:rsidRPr="00080404">
        <w:rPr>
          <w:rFonts w:ascii="Georgia" w:hAnsi="Georgia"/>
          <w:szCs w:val="24"/>
          <w:lang w:val="es-419"/>
        </w:rPr>
        <w:t>(Folio</w:t>
      </w:r>
      <w:r w:rsidR="00437D2E" w:rsidRPr="00080404">
        <w:rPr>
          <w:rFonts w:ascii="Georgia" w:hAnsi="Georgia"/>
          <w:szCs w:val="24"/>
          <w:lang w:val="es-419"/>
        </w:rPr>
        <w:t>s</w:t>
      </w:r>
      <w:r w:rsidR="00235499" w:rsidRPr="00080404">
        <w:rPr>
          <w:rFonts w:ascii="Georgia" w:hAnsi="Georgia"/>
          <w:szCs w:val="24"/>
          <w:lang w:val="es-419"/>
        </w:rPr>
        <w:t xml:space="preserve"> </w:t>
      </w:r>
      <w:r w:rsidR="00437D2E" w:rsidRPr="00080404">
        <w:rPr>
          <w:rFonts w:ascii="Georgia" w:hAnsi="Georgia"/>
          <w:szCs w:val="24"/>
          <w:lang w:val="es-419"/>
        </w:rPr>
        <w:t>27-28</w:t>
      </w:r>
      <w:r w:rsidRPr="00080404">
        <w:rPr>
          <w:rFonts w:ascii="Georgia" w:hAnsi="Georgia"/>
          <w:szCs w:val="24"/>
          <w:lang w:val="es-419"/>
        </w:rPr>
        <w:t>, cuaderno</w:t>
      </w:r>
      <w:r w:rsidR="00235499" w:rsidRPr="00080404">
        <w:rPr>
          <w:rFonts w:ascii="Georgia" w:hAnsi="Georgia"/>
          <w:szCs w:val="24"/>
          <w:lang w:val="es-419"/>
        </w:rPr>
        <w:t xml:space="preserve"> principal</w:t>
      </w:r>
      <w:r w:rsidRPr="00080404">
        <w:rPr>
          <w:rFonts w:ascii="Georgia" w:hAnsi="Georgia"/>
          <w:szCs w:val="24"/>
          <w:lang w:val="es-419"/>
        </w:rPr>
        <w:t>).</w:t>
      </w:r>
    </w:p>
    <w:p w:rsidR="00704666" w:rsidRPr="00080404" w:rsidRDefault="00704666" w:rsidP="00080404">
      <w:pPr>
        <w:pStyle w:val="Sinespaciado"/>
        <w:spacing w:line="276" w:lineRule="auto"/>
        <w:jc w:val="both"/>
        <w:rPr>
          <w:rFonts w:ascii="Georgia" w:hAnsi="Georgia"/>
          <w:szCs w:val="24"/>
          <w:lang w:val="es-419"/>
        </w:rPr>
      </w:pPr>
    </w:p>
    <w:p w:rsidR="00785FA3" w:rsidRPr="00080404" w:rsidRDefault="00785FA3" w:rsidP="00080404">
      <w:pPr>
        <w:pStyle w:val="Textoindependiente"/>
        <w:widowControl w:val="0"/>
        <w:numPr>
          <w:ilvl w:val="0"/>
          <w:numId w:val="1"/>
        </w:numPr>
        <w:spacing w:line="276" w:lineRule="auto"/>
        <w:rPr>
          <w:rFonts w:ascii="Georgia" w:hAnsi="Georgia"/>
          <w:smallCaps/>
          <w:szCs w:val="24"/>
          <w:lang w:val="es-419"/>
        </w:rPr>
      </w:pPr>
      <w:r w:rsidRPr="00080404">
        <w:rPr>
          <w:rFonts w:ascii="Georgia" w:hAnsi="Georgia"/>
          <w:smallCaps/>
          <w:szCs w:val="24"/>
          <w:lang w:val="es-419"/>
        </w:rPr>
        <w:t>La sinopsis de la crónica procesal</w:t>
      </w:r>
    </w:p>
    <w:p w:rsidR="000A73D7" w:rsidRPr="00080404" w:rsidRDefault="000A73D7" w:rsidP="00080404">
      <w:pPr>
        <w:pStyle w:val="Textoindependiente"/>
        <w:widowControl w:val="0"/>
        <w:spacing w:line="276" w:lineRule="auto"/>
        <w:ind w:left="360"/>
        <w:rPr>
          <w:rFonts w:ascii="Georgia" w:hAnsi="Georgia"/>
          <w:smallCaps/>
          <w:szCs w:val="24"/>
          <w:lang w:val="es-419"/>
        </w:rPr>
      </w:pPr>
    </w:p>
    <w:p w:rsidR="00785FA3" w:rsidRPr="00080404" w:rsidRDefault="00785FA3" w:rsidP="00080404">
      <w:pPr>
        <w:pStyle w:val="Textoindependiente"/>
        <w:widowControl w:val="0"/>
        <w:spacing w:line="276" w:lineRule="auto"/>
        <w:rPr>
          <w:rFonts w:ascii="Georgia" w:hAnsi="Georgia"/>
          <w:szCs w:val="24"/>
          <w:lang w:val="es-419"/>
        </w:rPr>
      </w:pPr>
      <w:r w:rsidRPr="00080404">
        <w:rPr>
          <w:rFonts w:ascii="Georgia" w:hAnsi="Georgia"/>
          <w:szCs w:val="24"/>
          <w:lang w:val="es-419"/>
        </w:rPr>
        <w:t xml:space="preserve">Con providencia del </w:t>
      </w:r>
      <w:r w:rsidR="00437D2E" w:rsidRPr="00080404">
        <w:rPr>
          <w:rFonts w:ascii="Georgia" w:hAnsi="Georgia"/>
          <w:szCs w:val="24"/>
          <w:lang w:val="es-419"/>
        </w:rPr>
        <w:t xml:space="preserve">02-09-2019 </w:t>
      </w:r>
      <w:r w:rsidRPr="00080404">
        <w:rPr>
          <w:rFonts w:ascii="Georgia" w:hAnsi="Georgia"/>
          <w:szCs w:val="24"/>
          <w:lang w:val="es-419"/>
        </w:rPr>
        <w:t xml:space="preserve">se admitió, </w:t>
      </w:r>
      <w:r w:rsidR="000A73D7" w:rsidRPr="00080404">
        <w:rPr>
          <w:rFonts w:ascii="Georgia" w:hAnsi="Georgia"/>
          <w:szCs w:val="24"/>
          <w:lang w:val="es-419"/>
        </w:rPr>
        <w:t xml:space="preserve">se vinculó a quienes se consideró </w:t>
      </w:r>
      <w:r w:rsidR="00F23614" w:rsidRPr="00080404">
        <w:rPr>
          <w:rFonts w:ascii="Georgia" w:hAnsi="Georgia"/>
          <w:szCs w:val="24"/>
          <w:lang w:val="es-419"/>
        </w:rPr>
        <w:t>pertinente</w:t>
      </w:r>
      <w:r w:rsidR="000A73D7" w:rsidRPr="00080404">
        <w:rPr>
          <w:rFonts w:ascii="Georgia" w:hAnsi="Georgia"/>
          <w:szCs w:val="24"/>
          <w:lang w:val="es-419"/>
        </w:rPr>
        <w:t xml:space="preserve"> </w:t>
      </w:r>
      <w:r w:rsidRPr="00080404">
        <w:rPr>
          <w:rFonts w:ascii="Georgia" w:hAnsi="Georgia"/>
          <w:szCs w:val="24"/>
          <w:lang w:val="es-419"/>
        </w:rPr>
        <w:t xml:space="preserve">y se dispuso notificar a las partes, entre otros ordenamientos (Folio </w:t>
      </w:r>
      <w:r w:rsidR="00437D2E" w:rsidRPr="00080404">
        <w:rPr>
          <w:rFonts w:ascii="Georgia" w:hAnsi="Georgia"/>
          <w:szCs w:val="24"/>
          <w:lang w:val="es-419"/>
        </w:rPr>
        <w:t>30</w:t>
      </w:r>
      <w:r w:rsidRPr="00080404">
        <w:rPr>
          <w:rFonts w:ascii="Georgia" w:hAnsi="Georgia"/>
          <w:szCs w:val="24"/>
          <w:lang w:val="es-419"/>
        </w:rPr>
        <w:t xml:space="preserve">, ibídem). Fueron notificados los extremos de la acción (Folios </w:t>
      </w:r>
      <w:r w:rsidR="00437D2E" w:rsidRPr="00080404">
        <w:rPr>
          <w:rFonts w:ascii="Georgia" w:hAnsi="Georgia"/>
          <w:szCs w:val="24"/>
          <w:lang w:val="es-419"/>
        </w:rPr>
        <w:t>31-32</w:t>
      </w:r>
      <w:r w:rsidRPr="00080404">
        <w:rPr>
          <w:rFonts w:ascii="Georgia" w:hAnsi="Georgia"/>
          <w:szCs w:val="24"/>
          <w:lang w:val="es-419"/>
        </w:rPr>
        <w:t xml:space="preserve">, ibídem). </w:t>
      </w:r>
      <w:r w:rsidR="00704666" w:rsidRPr="00080404">
        <w:rPr>
          <w:rFonts w:ascii="Georgia" w:hAnsi="Georgia"/>
          <w:szCs w:val="24"/>
          <w:lang w:val="es-419"/>
        </w:rPr>
        <w:t xml:space="preserve">El </w:t>
      </w:r>
      <w:r w:rsidR="00437D2E" w:rsidRPr="00080404">
        <w:rPr>
          <w:rFonts w:ascii="Georgia" w:hAnsi="Georgia"/>
          <w:szCs w:val="24"/>
          <w:lang w:val="es-419"/>
        </w:rPr>
        <w:t xml:space="preserve">13-09-2019 </w:t>
      </w:r>
      <w:r w:rsidRPr="00080404">
        <w:rPr>
          <w:rFonts w:ascii="Georgia" w:hAnsi="Georgia"/>
          <w:szCs w:val="24"/>
          <w:lang w:val="es-419"/>
        </w:rPr>
        <w:t xml:space="preserve">se profirió sentencia (Folios </w:t>
      </w:r>
      <w:r w:rsidR="00437D2E" w:rsidRPr="00080404">
        <w:rPr>
          <w:rFonts w:ascii="Georgia" w:hAnsi="Georgia"/>
          <w:szCs w:val="24"/>
          <w:lang w:val="es-419"/>
        </w:rPr>
        <w:t>54-58</w:t>
      </w:r>
      <w:r w:rsidRPr="00080404">
        <w:rPr>
          <w:rFonts w:ascii="Georgia" w:hAnsi="Georgia"/>
          <w:szCs w:val="24"/>
          <w:lang w:val="es-419"/>
        </w:rPr>
        <w:t xml:space="preserve">, </w:t>
      </w:r>
      <w:r w:rsidR="00704666" w:rsidRPr="00080404">
        <w:rPr>
          <w:rFonts w:ascii="Georgia" w:hAnsi="Georgia"/>
          <w:szCs w:val="24"/>
          <w:lang w:val="es-419"/>
        </w:rPr>
        <w:t>ib.</w:t>
      </w:r>
      <w:r w:rsidRPr="00080404">
        <w:rPr>
          <w:rFonts w:ascii="Georgia" w:hAnsi="Georgia"/>
          <w:szCs w:val="24"/>
          <w:lang w:val="es-419"/>
        </w:rPr>
        <w:t>)</w:t>
      </w:r>
      <w:r w:rsidR="00437D2E" w:rsidRPr="00080404">
        <w:rPr>
          <w:rFonts w:ascii="Georgia" w:hAnsi="Georgia"/>
          <w:szCs w:val="24"/>
          <w:lang w:val="es-419"/>
        </w:rPr>
        <w:t xml:space="preserve">. Y, el 20-09-2019 </w:t>
      </w:r>
      <w:r w:rsidRPr="00080404">
        <w:rPr>
          <w:rFonts w:ascii="Georgia" w:hAnsi="Georgia"/>
          <w:szCs w:val="24"/>
          <w:lang w:val="es-419"/>
        </w:rPr>
        <w:t>se concedió la impugnación formulada por</w:t>
      </w:r>
      <w:r w:rsidR="000A73D7" w:rsidRPr="00080404">
        <w:rPr>
          <w:rFonts w:ascii="Georgia" w:hAnsi="Georgia"/>
          <w:szCs w:val="24"/>
          <w:lang w:val="es-419"/>
        </w:rPr>
        <w:t xml:space="preserve"> </w:t>
      </w:r>
      <w:r w:rsidR="00FE143F" w:rsidRPr="00080404">
        <w:rPr>
          <w:rFonts w:ascii="Georgia" w:hAnsi="Georgia"/>
          <w:szCs w:val="24"/>
          <w:lang w:val="es-419"/>
        </w:rPr>
        <w:t xml:space="preserve">la </w:t>
      </w:r>
      <w:r w:rsidR="00437D2E" w:rsidRPr="00080404">
        <w:rPr>
          <w:rFonts w:ascii="Georgia" w:hAnsi="Georgia"/>
          <w:szCs w:val="24"/>
          <w:lang w:val="es-419"/>
        </w:rPr>
        <w:t xml:space="preserve">actora </w:t>
      </w:r>
      <w:r w:rsidRPr="00080404">
        <w:rPr>
          <w:rFonts w:ascii="Georgia" w:hAnsi="Georgia"/>
          <w:szCs w:val="24"/>
          <w:lang w:val="es-419"/>
        </w:rPr>
        <w:t xml:space="preserve">(Folio </w:t>
      </w:r>
      <w:r w:rsidR="00437D2E" w:rsidRPr="00080404">
        <w:rPr>
          <w:rFonts w:ascii="Georgia" w:hAnsi="Georgia"/>
          <w:szCs w:val="24"/>
          <w:lang w:val="es-419"/>
        </w:rPr>
        <w:t>64</w:t>
      </w:r>
      <w:r w:rsidRPr="00080404">
        <w:rPr>
          <w:rFonts w:ascii="Georgia" w:hAnsi="Georgia"/>
          <w:szCs w:val="24"/>
          <w:lang w:val="es-419"/>
        </w:rPr>
        <w:t>, ib.).</w:t>
      </w:r>
    </w:p>
    <w:p w:rsidR="00785FA3" w:rsidRPr="00080404" w:rsidRDefault="00785FA3" w:rsidP="00080404">
      <w:pPr>
        <w:pStyle w:val="Textoindependiente"/>
        <w:widowControl w:val="0"/>
        <w:spacing w:line="276" w:lineRule="auto"/>
        <w:rPr>
          <w:rFonts w:ascii="Georgia" w:hAnsi="Georgia"/>
          <w:szCs w:val="24"/>
          <w:lang w:val="es-419"/>
        </w:rPr>
      </w:pPr>
    </w:p>
    <w:p w:rsidR="001E018D" w:rsidRPr="00080404" w:rsidRDefault="00785FA3" w:rsidP="00080404">
      <w:pPr>
        <w:pStyle w:val="Textoindependiente"/>
        <w:widowControl w:val="0"/>
        <w:spacing w:line="276" w:lineRule="auto"/>
        <w:rPr>
          <w:rFonts w:ascii="Georgia" w:hAnsi="Georgia"/>
          <w:szCs w:val="24"/>
          <w:lang w:val="es-419"/>
        </w:rPr>
      </w:pPr>
      <w:r w:rsidRPr="00080404">
        <w:rPr>
          <w:rFonts w:ascii="Georgia" w:hAnsi="Georgia"/>
          <w:szCs w:val="24"/>
          <w:lang w:val="es-419"/>
        </w:rPr>
        <w:t xml:space="preserve">El fallo </w:t>
      </w:r>
      <w:r w:rsidR="003158A8" w:rsidRPr="00080404">
        <w:rPr>
          <w:rFonts w:ascii="Georgia" w:hAnsi="Georgia"/>
          <w:szCs w:val="24"/>
          <w:lang w:val="es-419"/>
        </w:rPr>
        <w:t xml:space="preserve">negó </w:t>
      </w:r>
      <w:r w:rsidR="00FE143F" w:rsidRPr="00080404">
        <w:rPr>
          <w:rFonts w:ascii="Georgia" w:hAnsi="Georgia"/>
          <w:szCs w:val="24"/>
          <w:lang w:val="es-419"/>
        </w:rPr>
        <w:t xml:space="preserve">el amparo porque advirtió </w:t>
      </w:r>
      <w:r w:rsidR="003158A8" w:rsidRPr="00080404">
        <w:rPr>
          <w:rFonts w:ascii="Georgia" w:hAnsi="Georgia"/>
          <w:szCs w:val="24"/>
          <w:lang w:val="es-419"/>
        </w:rPr>
        <w:t xml:space="preserve">que el artículo 465, CGP, solo aplica para procesos ejecutivos y la actora promovió un declarativo orientado a la fijación de cuota alimentaria, incluso, está recibiendo los alimentos provisionales </w:t>
      </w:r>
      <w:r w:rsidRPr="00080404">
        <w:rPr>
          <w:rFonts w:ascii="Georgia" w:hAnsi="Georgia"/>
          <w:szCs w:val="24"/>
          <w:lang w:val="es-419"/>
        </w:rPr>
        <w:t xml:space="preserve">(Folios </w:t>
      </w:r>
      <w:r w:rsidR="003158A8" w:rsidRPr="00080404">
        <w:rPr>
          <w:rFonts w:ascii="Georgia" w:hAnsi="Georgia"/>
          <w:szCs w:val="24"/>
          <w:lang w:val="es-419"/>
        </w:rPr>
        <w:t>54-58</w:t>
      </w:r>
      <w:r w:rsidRPr="00080404">
        <w:rPr>
          <w:rFonts w:ascii="Georgia" w:hAnsi="Georgia"/>
          <w:szCs w:val="24"/>
          <w:lang w:val="es-419"/>
        </w:rPr>
        <w:t>, ib.).</w:t>
      </w:r>
      <w:r w:rsidR="00FE143F" w:rsidRPr="00080404">
        <w:rPr>
          <w:rFonts w:ascii="Georgia" w:hAnsi="Georgia"/>
          <w:szCs w:val="24"/>
          <w:lang w:val="es-419"/>
        </w:rPr>
        <w:t xml:space="preserve"> </w:t>
      </w:r>
      <w:r w:rsidR="003158A8" w:rsidRPr="00080404">
        <w:rPr>
          <w:rFonts w:ascii="Georgia" w:hAnsi="Georgia"/>
          <w:szCs w:val="24"/>
          <w:lang w:val="es-419"/>
        </w:rPr>
        <w:t xml:space="preserve">La opugnante alega que la norma alude a procesos de alimentos por lo que es perfectamente aplicable </w:t>
      </w:r>
      <w:r w:rsidR="00162462" w:rsidRPr="00080404">
        <w:rPr>
          <w:rFonts w:ascii="Georgia" w:hAnsi="Georgia"/>
          <w:szCs w:val="24"/>
          <w:lang w:val="es-419"/>
        </w:rPr>
        <w:t>al</w:t>
      </w:r>
      <w:r w:rsidR="003158A8" w:rsidRPr="00080404">
        <w:rPr>
          <w:rFonts w:ascii="Georgia" w:hAnsi="Georgia"/>
          <w:szCs w:val="24"/>
          <w:lang w:val="es-419"/>
        </w:rPr>
        <w:t xml:space="preserve"> caso concreto. Deprecó el amparo de sus derechos (Folios 61-63, ib.)</w:t>
      </w:r>
      <w:r w:rsidR="002130F6" w:rsidRPr="00080404">
        <w:rPr>
          <w:rFonts w:ascii="Georgia" w:hAnsi="Georgia"/>
          <w:szCs w:val="24"/>
          <w:lang w:val="es-419"/>
        </w:rPr>
        <w:t xml:space="preserve">. </w:t>
      </w:r>
    </w:p>
    <w:p w:rsidR="00785FA3" w:rsidRPr="00080404" w:rsidRDefault="00785FA3" w:rsidP="00080404">
      <w:pPr>
        <w:pStyle w:val="Textoindependiente"/>
        <w:spacing w:line="276" w:lineRule="auto"/>
        <w:rPr>
          <w:rFonts w:ascii="Georgia" w:hAnsi="Georgia"/>
          <w:szCs w:val="24"/>
          <w:lang w:val="es-419"/>
        </w:rPr>
      </w:pPr>
    </w:p>
    <w:p w:rsidR="00785FA3" w:rsidRPr="00080404" w:rsidRDefault="00785FA3" w:rsidP="00080404">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708" w:hanging="708"/>
        <w:rPr>
          <w:rFonts w:ascii="Georgia" w:hAnsi="Georgia"/>
          <w:smallCaps/>
          <w:szCs w:val="24"/>
          <w:lang w:val="es-419"/>
        </w:rPr>
      </w:pPr>
      <w:r w:rsidRPr="00080404">
        <w:rPr>
          <w:rFonts w:ascii="Georgia" w:hAnsi="Georgia"/>
          <w:smallCaps/>
          <w:szCs w:val="24"/>
          <w:lang w:val="es-419"/>
        </w:rPr>
        <w:t>La fundamentación jurídica para resolver</w:t>
      </w:r>
    </w:p>
    <w:p w:rsidR="00785FA3" w:rsidRPr="00080404" w:rsidRDefault="00785FA3" w:rsidP="00080404">
      <w:pPr>
        <w:pStyle w:val="Textoindependiente"/>
        <w:widowControl w:val="0"/>
        <w:spacing w:line="276" w:lineRule="auto"/>
        <w:ind w:left="708"/>
        <w:rPr>
          <w:rFonts w:ascii="Georgia" w:hAnsi="Georgia"/>
          <w:smallCaps/>
          <w:szCs w:val="24"/>
          <w:lang w:val="es-419"/>
        </w:rPr>
      </w:pPr>
    </w:p>
    <w:p w:rsidR="00785FA3" w:rsidRPr="00080404" w:rsidRDefault="00785FA3" w:rsidP="00080404">
      <w:pPr>
        <w:pStyle w:val="Textoindependiente"/>
        <w:widowControl w:val="0"/>
        <w:numPr>
          <w:ilvl w:val="1"/>
          <w:numId w:val="4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szCs w:val="24"/>
          <w:lang w:val="es-419"/>
        </w:rPr>
      </w:pPr>
      <w:r w:rsidRPr="00080404">
        <w:rPr>
          <w:rFonts w:ascii="Georgia" w:hAnsi="Georgia"/>
          <w:smallCaps/>
          <w:szCs w:val="24"/>
          <w:lang w:val="es-419"/>
        </w:rPr>
        <w:t xml:space="preserve">La competencia funcional: </w:t>
      </w:r>
      <w:r w:rsidRPr="00080404">
        <w:rPr>
          <w:rFonts w:ascii="Georgia" w:hAnsi="Georgia"/>
          <w:szCs w:val="24"/>
          <w:lang w:val="es-419"/>
        </w:rPr>
        <w:t>Esta Sala especializada está facultada en forma legal para desatar la controversia puesta a su consideración, por ser la superiora jerárquica del Despacho que conoció en primera instancia (Artículo 32 del Decreto 2591 de 1991).</w:t>
      </w:r>
    </w:p>
    <w:p w:rsidR="005556AD" w:rsidRPr="00080404" w:rsidRDefault="005556AD" w:rsidP="00080404">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720"/>
        <w:rPr>
          <w:rFonts w:ascii="Georgia" w:hAnsi="Georgia"/>
          <w:szCs w:val="24"/>
          <w:lang w:val="es-419"/>
        </w:rPr>
      </w:pPr>
    </w:p>
    <w:p w:rsidR="00785FA3" w:rsidRPr="00080404" w:rsidRDefault="00785FA3" w:rsidP="00080404">
      <w:pPr>
        <w:pStyle w:val="Textoindependiente"/>
        <w:widowControl w:val="0"/>
        <w:numPr>
          <w:ilvl w:val="1"/>
          <w:numId w:val="41"/>
        </w:numPr>
        <w:tabs>
          <w:tab w:val="clear" w:pos="708"/>
        </w:tabs>
        <w:spacing w:line="276" w:lineRule="auto"/>
        <w:rPr>
          <w:rFonts w:ascii="Georgia" w:hAnsi="Georgia"/>
          <w:szCs w:val="24"/>
          <w:lang w:val="es-419"/>
        </w:rPr>
      </w:pPr>
      <w:r w:rsidRPr="00080404">
        <w:rPr>
          <w:rFonts w:ascii="Georgia" w:hAnsi="Georgia"/>
          <w:smallCaps/>
          <w:szCs w:val="24"/>
          <w:lang w:val="es-419"/>
        </w:rPr>
        <w:t xml:space="preserve">El problema jurídico a resolver: </w:t>
      </w:r>
      <w:r w:rsidRPr="00080404">
        <w:rPr>
          <w:rFonts w:ascii="Georgia" w:hAnsi="Georgia"/>
          <w:szCs w:val="24"/>
          <w:lang w:val="es-419"/>
        </w:rPr>
        <w:t xml:space="preserve">¿Es procedente confirmar, modificar o revocar la sentencia  del  Juzgado </w:t>
      </w:r>
      <w:r w:rsidR="003158A8" w:rsidRPr="00080404">
        <w:rPr>
          <w:rFonts w:ascii="Georgia" w:hAnsi="Georgia"/>
          <w:szCs w:val="24"/>
          <w:lang w:val="es-419"/>
        </w:rPr>
        <w:t>Primero de Familia de Pereira</w:t>
      </w:r>
      <w:r w:rsidRPr="00080404">
        <w:rPr>
          <w:rFonts w:ascii="Georgia" w:hAnsi="Georgia"/>
          <w:szCs w:val="24"/>
          <w:lang w:val="es-419"/>
        </w:rPr>
        <w:t xml:space="preserve">, según la impugnación </w:t>
      </w:r>
      <w:r w:rsidR="00AE5509" w:rsidRPr="00080404">
        <w:rPr>
          <w:rFonts w:ascii="Georgia" w:hAnsi="Georgia"/>
          <w:szCs w:val="24"/>
          <w:lang w:val="es-419"/>
        </w:rPr>
        <w:t>de la accionada</w:t>
      </w:r>
      <w:r w:rsidRPr="00080404">
        <w:rPr>
          <w:rFonts w:ascii="Georgia" w:hAnsi="Georgia"/>
          <w:szCs w:val="24"/>
          <w:lang w:val="es-419"/>
        </w:rPr>
        <w:t xml:space="preserve">? </w:t>
      </w:r>
    </w:p>
    <w:p w:rsidR="00785FA3" w:rsidRPr="00080404" w:rsidRDefault="00785FA3" w:rsidP="00080404">
      <w:pPr>
        <w:pStyle w:val="Textoindependiente"/>
        <w:widowControl w:val="0"/>
        <w:spacing w:line="276" w:lineRule="auto"/>
        <w:rPr>
          <w:rFonts w:ascii="Georgia" w:hAnsi="Georgia"/>
          <w:sz w:val="20"/>
          <w:szCs w:val="24"/>
          <w:lang w:val="es-419"/>
        </w:rPr>
      </w:pPr>
    </w:p>
    <w:p w:rsidR="00785FA3" w:rsidRPr="00080404" w:rsidRDefault="00785FA3" w:rsidP="00080404">
      <w:pPr>
        <w:pStyle w:val="Textoindependiente"/>
        <w:widowControl w:val="0"/>
        <w:numPr>
          <w:ilvl w:val="1"/>
          <w:numId w:val="41"/>
        </w:numPr>
        <w:tabs>
          <w:tab w:val="clear" w:pos="708"/>
        </w:tabs>
        <w:spacing w:line="276" w:lineRule="auto"/>
        <w:rPr>
          <w:rFonts w:ascii="Georgia" w:hAnsi="Georgia"/>
          <w:szCs w:val="24"/>
          <w:lang w:val="es-419"/>
        </w:rPr>
      </w:pPr>
      <w:r w:rsidRPr="00080404">
        <w:rPr>
          <w:rFonts w:ascii="Georgia" w:hAnsi="Georgia"/>
          <w:smallCaps/>
          <w:szCs w:val="24"/>
          <w:lang w:val="es-419"/>
        </w:rPr>
        <w:t>Los presupuestos generales de procedencia</w:t>
      </w:r>
    </w:p>
    <w:p w:rsidR="00785FA3" w:rsidRPr="00080404" w:rsidRDefault="00785FA3" w:rsidP="00080404">
      <w:pPr>
        <w:pStyle w:val="Textoindependiente"/>
        <w:widowControl w:val="0"/>
        <w:spacing w:line="276" w:lineRule="auto"/>
        <w:ind w:left="720"/>
        <w:rPr>
          <w:rFonts w:ascii="Georgia" w:hAnsi="Georgia"/>
          <w:sz w:val="20"/>
          <w:szCs w:val="24"/>
          <w:lang w:val="es-419"/>
        </w:rPr>
      </w:pPr>
    </w:p>
    <w:p w:rsidR="00763BE3" w:rsidRPr="00080404" w:rsidRDefault="00785FA3" w:rsidP="00080404">
      <w:pPr>
        <w:pStyle w:val="Textoindependiente"/>
        <w:widowControl w:val="0"/>
        <w:numPr>
          <w:ilvl w:val="2"/>
          <w:numId w:val="4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lang w:val="es-419"/>
        </w:rPr>
      </w:pPr>
      <w:r w:rsidRPr="00080404">
        <w:rPr>
          <w:rFonts w:ascii="Georgia" w:hAnsi="Georgia"/>
          <w:smallCaps/>
          <w:szCs w:val="24"/>
          <w:lang w:val="es-419"/>
        </w:rPr>
        <w:t>La legitimación en la causa</w:t>
      </w:r>
    </w:p>
    <w:p w:rsidR="00763BE3" w:rsidRPr="00080404" w:rsidRDefault="00763BE3" w:rsidP="00080404">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sz w:val="20"/>
          <w:lang w:val="es-419"/>
        </w:rPr>
      </w:pPr>
    </w:p>
    <w:p w:rsidR="00785FA3" w:rsidRPr="00080404" w:rsidRDefault="00A872D1" w:rsidP="00080404">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lang w:val="es-419"/>
        </w:rPr>
      </w:pPr>
      <w:r w:rsidRPr="00080404">
        <w:rPr>
          <w:rFonts w:ascii="Georgia" w:hAnsi="Georgia"/>
          <w:lang w:val="es-419"/>
        </w:rPr>
        <w:t xml:space="preserve">Se cumple por activa en razón a que </w:t>
      </w:r>
      <w:r w:rsidR="003158A8" w:rsidRPr="00080404">
        <w:rPr>
          <w:rFonts w:ascii="Georgia" w:hAnsi="Georgia"/>
          <w:lang w:val="es-419"/>
        </w:rPr>
        <w:t>la</w:t>
      </w:r>
      <w:r w:rsidRPr="00080404">
        <w:rPr>
          <w:rFonts w:ascii="Georgia" w:hAnsi="Georgia"/>
          <w:lang w:val="es-419"/>
        </w:rPr>
        <w:t xml:space="preserve"> accionante </w:t>
      </w:r>
      <w:r w:rsidR="003158A8" w:rsidRPr="00080404">
        <w:rPr>
          <w:rFonts w:ascii="Georgia" w:hAnsi="Georgia"/>
          <w:lang w:val="es-419"/>
        </w:rPr>
        <w:t xml:space="preserve">presentó la demanda de alimentos </w:t>
      </w:r>
      <w:r w:rsidR="00CB1AA6" w:rsidRPr="00080404">
        <w:rPr>
          <w:rFonts w:ascii="Georgia" w:hAnsi="Georgia"/>
          <w:lang w:val="es-419"/>
        </w:rPr>
        <w:t>en la que se reprocha el agravio de los derechos</w:t>
      </w:r>
      <w:r w:rsidR="005556AD" w:rsidRPr="00080404">
        <w:rPr>
          <w:rFonts w:ascii="Georgia" w:hAnsi="Georgia"/>
          <w:lang w:val="es-419"/>
        </w:rPr>
        <w:t>.</w:t>
      </w:r>
      <w:r w:rsidR="00763BE3" w:rsidRPr="00080404">
        <w:rPr>
          <w:rFonts w:ascii="Georgia" w:hAnsi="Georgia"/>
          <w:lang w:val="es-419"/>
        </w:rPr>
        <w:t xml:space="preserve"> Y, p</w:t>
      </w:r>
      <w:r w:rsidR="00785FA3" w:rsidRPr="00080404">
        <w:rPr>
          <w:rFonts w:ascii="Georgia" w:hAnsi="Georgia"/>
          <w:lang w:val="es-419"/>
        </w:rPr>
        <w:t xml:space="preserve">or pasiva </w:t>
      </w:r>
      <w:r w:rsidR="00763BE3" w:rsidRPr="00080404">
        <w:rPr>
          <w:rFonts w:ascii="Georgia" w:hAnsi="Georgia"/>
          <w:lang w:val="es-419"/>
        </w:rPr>
        <w:t xml:space="preserve">el Juzgado </w:t>
      </w:r>
      <w:r w:rsidR="003158A8" w:rsidRPr="00080404">
        <w:rPr>
          <w:rFonts w:ascii="Georgia" w:hAnsi="Georgia"/>
          <w:lang w:val="es-419"/>
        </w:rPr>
        <w:t xml:space="preserve">Único Promiscuo de Marsella </w:t>
      </w:r>
      <w:r w:rsidR="00785FA3" w:rsidRPr="00080404">
        <w:rPr>
          <w:rFonts w:ascii="Georgia" w:hAnsi="Georgia"/>
          <w:lang w:val="es-419"/>
        </w:rPr>
        <w:t xml:space="preserve">porque </w:t>
      </w:r>
      <w:r w:rsidR="00D879A3" w:rsidRPr="00080404">
        <w:rPr>
          <w:rFonts w:ascii="Georgia" w:hAnsi="Georgia"/>
          <w:lang w:val="es-419"/>
        </w:rPr>
        <w:t xml:space="preserve">es la autoridad que </w:t>
      </w:r>
      <w:r w:rsidR="00763BE3" w:rsidRPr="00080404">
        <w:rPr>
          <w:rFonts w:ascii="Georgia" w:hAnsi="Georgia"/>
          <w:lang w:val="es-419"/>
        </w:rPr>
        <w:t xml:space="preserve">conoce </w:t>
      </w:r>
      <w:r w:rsidR="00D879A3" w:rsidRPr="00080404">
        <w:rPr>
          <w:rFonts w:ascii="Georgia" w:hAnsi="Georgia"/>
          <w:lang w:val="es-419"/>
        </w:rPr>
        <w:t xml:space="preserve">el asunto </w:t>
      </w:r>
      <w:r w:rsidR="00763BE3" w:rsidRPr="00080404">
        <w:rPr>
          <w:rFonts w:ascii="Georgia" w:hAnsi="Georgia"/>
          <w:lang w:val="es-419"/>
        </w:rPr>
        <w:t>y profirió las decisiones rebatidas</w:t>
      </w:r>
      <w:r w:rsidR="00785FA3" w:rsidRPr="00080404">
        <w:rPr>
          <w:rFonts w:ascii="Georgia" w:hAnsi="Georgia"/>
          <w:lang w:val="es-419"/>
        </w:rPr>
        <w:t xml:space="preserve">. </w:t>
      </w:r>
    </w:p>
    <w:p w:rsidR="00B43247" w:rsidRPr="00080404" w:rsidRDefault="00B43247" w:rsidP="00080404">
      <w:pPr>
        <w:pStyle w:val="Textoindependiente"/>
        <w:tabs>
          <w:tab w:val="left" w:pos="142"/>
        </w:tabs>
        <w:spacing w:line="276" w:lineRule="auto"/>
        <w:rPr>
          <w:rFonts w:ascii="Georgia" w:hAnsi="Georgia"/>
          <w:sz w:val="20"/>
          <w:szCs w:val="24"/>
          <w:lang w:val="es-419"/>
        </w:rPr>
      </w:pPr>
    </w:p>
    <w:p w:rsidR="00B43247" w:rsidRPr="00080404" w:rsidRDefault="00B43247" w:rsidP="00080404">
      <w:pPr>
        <w:pStyle w:val="Textoindependiente"/>
        <w:numPr>
          <w:ilvl w:val="2"/>
          <w:numId w:val="41"/>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276" w:lineRule="auto"/>
        <w:textAlignment w:val="auto"/>
        <w:rPr>
          <w:rFonts w:ascii="Georgia" w:hAnsi="Georgia" w:cs="Arial"/>
          <w:smallCaps/>
          <w:szCs w:val="24"/>
          <w:lang w:val="es-419"/>
        </w:rPr>
      </w:pPr>
      <w:r w:rsidRPr="00080404">
        <w:rPr>
          <w:rFonts w:ascii="Georgia" w:hAnsi="Georgia" w:cs="Arial"/>
          <w:smallCaps/>
          <w:szCs w:val="24"/>
          <w:lang w:val="es-419"/>
        </w:rPr>
        <w:t>Las sub-reglas de análisis en la procedibilidad frente a decisiones judiciales</w:t>
      </w:r>
    </w:p>
    <w:p w:rsidR="00B43247" w:rsidRPr="00080404" w:rsidRDefault="00B43247" w:rsidP="00080404">
      <w:pPr>
        <w:pStyle w:val="Textoindependiente"/>
        <w:spacing w:line="276" w:lineRule="auto"/>
        <w:rPr>
          <w:rFonts w:ascii="Georgia" w:hAnsi="Georgia" w:cs="Arial"/>
          <w:sz w:val="20"/>
          <w:szCs w:val="24"/>
          <w:lang w:val="es-419"/>
        </w:rPr>
      </w:pPr>
    </w:p>
    <w:p w:rsidR="00B43247" w:rsidRPr="00080404" w:rsidRDefault="00B43247" w:rsidP="00080404">
      <w:pPr>
        <w:pStyle w:val="Textoindependiente"/>
        <w:spacing w:line="276" w:lineRule="auto"/>
        <w:rPr>
          <w:rFonts w:ascii="Georgia" w:hAnsi="Georgia" w:cs="Arial"/>
          <w:szCs w:val="24"/>
          <w:lang w:val="es-419"/>
        </w:rPr>
      </w:pPr>
      <w:r w:rsidRPr="00080404">
        <w:rPr>
          <w:rFonts w:ascii="Georgia" w:hAnsi="Georgia" w:cs="Arial"/>
          <w:szCs w:val="24"/>
          <w:lang w:val="es-419"/>
        </w:rPr>
        <w:t>Desde la sentencia C-543</w:t>
      </w:r>
      <w:r w:rsidRPr="00080404">
        <w:rPr>
          <w:rFonts w:ascii="Georgia" w:hAnsi="Georgia"/>
          <w:szCs w:val="24"/>
          <w:lang w:val="es-419"/>
        </w:rPr>
        <w:t xml:space="preserve"> </w:t>
      </w:r>
      <w:r w:rsidRPr="00080404">
        <w:rPr>
          <w:rFonts w:ascii="Georgia" w:hAnsi="Georgia" w:cs="Arial"/>
          <w:szCs w:val="24"/>
          <w:lang w:val="es-419"/>
        </w:rPr>
        <w:t>de 1992, que examinó en constitucionalidad, los artículos 11, 12 y 40 del Decreto 2591 de 1991, declarados ajustados a la Carta, inicia la línea jurisprudencial en torno a la tutela contra providencias judiciales, que ha evolucionado hasta una re-definición dogmática entre 2003 y 2005</w:t>
      </w:r>
      <w:r w:rsidRPr="00080404">
        <w:rPr>
          <w:rStyle w:val="Refdenotaalpie"/>
          <w:rFonts w:ascii="Georgia" w:hAnsi="Georgia" w:cs="Arial"/>
          <w:szCs w:val="24"/>
          <w:lang w:val="es-419"/>
        </w:rPr>
        <w:footnoteReference w:id="1"/>
      </w:r>
      <w:r w:rsidRPr="00080404">
        <w:rPr>
          <w:rFonts w:ascii="Georgia" w:hAnsi="Georgia" w:cs="Arial"/>
          <w:szCs w:val="24"/>
          <w:lang w:val="es-419"/>
        </w:rPr>
        <w:t>, básicamente sustituyó la expresión “vías de hecho” por la de “causales genéricas de procedibilidad” y ensanchó las causales especiales, pasando de cuatro (4) a ocho (8).  En el mismo sentido Quiroga N.</w:t>
      </w:r>
      <w:r w:rsidRPr="00080404">
        <w:rPr>
          <w:rStyle w:val="Refdenotaalpie"/>
          <w:rFonts w:ascii="Georgia" w:hAnsi="Georgia"/>
          <w:szCs w:val="24"/>
          <w:lang w:val="es-419"/>
        </w:rPr>
        <w:footnoteReference w:id="2"/>
      </w:r>
      <w:r w:rsidRPr="00080404">
        <w:rPr>
          <w:rFonts w:ascii="Georgia" w:hAnsi="Georgia" w:cs="Arial"/>
          <w:szCs w:val="24"/>
          <w:lang w:val="es-419"/>
        </w:rPr>
        <w:t>.</w:t>
      </w:r>
    </w:p>
    <w:p w:rsidR="00B43247" w:rsidRPr="00080404" w:rsidRDefault="00B43247" w:rsidP="00080404">
      <w:pPr>
        <w:pStyle w:val="Textoindependiente"/>
        <w:spacing w:line="276" w:lineRule="auto"/>
        <w:rPr>
          <w:rFonts w:ascii="Georgia" w:hAnsi="Georgia" w:cs="Arial"/>
          <w:sz w:val="20"/>
          <w:szCs w:val="24"/>
          <w:lang w:val="es-419"/>
        </w:rPr>
      </w:pPr>
    </w:p>
    <w:p w:rsidR="00B43247" w:rsidRPr="00080404" w:rsidRDefault="00B43247" w:rsidP="00080404">
      <w:pPr>
        <w:pStyle w:val="Textoindependiente"/>
        <w:spacing w:line="276" w:lineRule="auto"/>
        <w:rPr>
          <w:rFonts w:ascii="Georgia" w:hAnsi="Georgia" w:cs="Arial"/>
          <w:szCs w:val="24"/>
          <w:lang w:val="es-419"/>
        </w:rPr>
      </w:pPr>
      <w:r w:rsidRPr="00080404">
        <w:rPr>
          <w:rFonts w:ascii="Georgia" w:hAnsi="Georgia" w:cs="Arial"/>
          <w:szCs w:val="24"/>
          <w:lang w:val="es-419"/>
        </w:rPr>
        <w:t xml:space="preserve">Ahora, en frente  del  examen que se reclama en sede constitucional, resulta de mayúscula trascendencia, precisar que </w:t>
      </w:r>
      <w:r w:rsidRPr="00080404">
        <w:rPr>
          <w:rFonts w:ascii="Georgia" w:hAnsi="Georgia" w:cs="Arial"/>
          <w:szCs w:val="24"/>
          <w:u w:val="single"/>
          <w:lang w:val="es-419"/>
        </w:rPr>
        <w:t>se trata de un juicio de validez y no de corrección</w:t>
      </w:r>
      <w:r w:rsidRPr="00080404">
        <w:rPr>
          <w:rFonts w:ascii="Georgia" w:hAnsi="Georgia" w:cs="Arial"/>
          <w:szCs w:val="24"/>
          <w:lang w:val="es-419"/>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080404">
        <w:rPr>
          <w:rStyle w:val="Refdenotaalpie"/>
          <w:rFonts w:ascii="Georgia" w:hAnsi="Georgia" w:cs="Arial"/>
          <w:szCs w:val="24"/>
          <w:lang w:val="es-419"/>
        </w:rPr>
        <w:footnoteReference w:id="3"/>
      </w:r>
      <w:r w:rsidRPr="00080404">
        <w:rPr>
          <w:rFonts w:ascii="Georgia" w:hAnsi="Georgia" w:cs="Arial"/>
          <w:szCs w:val="24"/>
          <w:lang w:val="es-419"/>
        </w:rPr>
        <w:t>.</w:t>
      </w:r>
    </w:p>
    <w:p w:rsidR="00B43247" w:rsidRPr="00080404" w:rsidRDefault="00B43247" w:rsidP="00080404">
      <w:pPr>
        <w:pStyle w:val="Textoindependiente"/>
        <w:spacing w:line="276" w:lineRule="auto"/>
        <w:rPr>
          <w:rFonts w:ascii="Georgia" w:hAnsi="Georgia" w:cs="Arial"/>
          <w:sz w:val="20"/>
          <w:szCs w:val="24"/>
          <w:lang w:val="es-419"/>
        </w:rPr>
      </w:pPr>
    </w:p>
    <w:p w:rsidR="00B43247" w:rsidRPr="00080404" w:rsidRDefault="00B43247" w:rsidP="00080404">
      <w:pPr>
        <w:pStyle w:val="Textoindependiente"/>
        <w:spacing w:line="276" w:lineRule="auto"/>
        <w:rPr>
          <w:rFonts w:ascii="Georgia" w:hAnsi="Georgia" w:cs="Arial"/>
          <w:szCs w:val="24"/>
          <w:lang w:val="es-419"/>
        </w:rPr>
      </w:pPr>
      <w:r w:rsidRPr="00080404">
        <w:rPr>
          <w:rFonts w:ascii="Georgia" w:hAnsi="Georgia" w:cs="Arial"/>
          <w:szCs w:val="24"/>
          <w:lang w:val="es-419"/>
        </w:rPr>
        <w:t>Los requisitos generales de procedibilidad, explicados en amplitud en la C-590 de 2005</w:t>
      </w:r>
      <w:r w:rsidRPr="00080404">
        <w:rPr>
          <w:rStyle w:val="Refdenotaalpie"/>
          <w:rFonts w:ascii="Georgia" w:hAnsi="Georgia" w:cs="Arial"/>
          <w:szCs w:val="24"/>
          <w:lang w:val="es-419"/>
        </w:rPr>
        <w:footnoteReference w:id="4"/>
      </w:r>
      <w:r w:rsidRPr="00080404">
        <w:rPr>
          <w:rFonts w:ascii="Georgia" w:hAnsi="Georgia" w:cs="Arial"/>
          <w:szCs w:val="24"/>
          <w:lang w:val="es-419"/>
        </w:rPr>
        <w:t xml:space="preserve"> y reiterados en la consolidada línea jurisprudencial de la </w:t>
      </w:r>
      <w:r w:rsidR="00CB1AA6" w:rsidRPr="00080404">
        <w:rPr>
          <w:rFonts w:ascii="Georgia" w:hAnsi="Georgia" w:cs="Arial"/>
          <w:lang w:val="es-419"/>
        </w:rPr>
        <w:t>CC</w:t>
      </w:r>
      <w:r w:rsidR="00CB1AA6" w:rsidRPr="00080404">
        <w:rPr>
          <w:rFonts w:ascii="Georgia" w:hAnsi="Georgia" w:cs="Arial"/>
          <w:vertAlign w:val="superscript"/>
          <w:lang w:val="es-419"/>
        </w:rPr>
        <w:footnoteReference w:id="5"/>
      </w:r>
      <w:r w:rsidR="00CB1AA6" w:rsidRPr="00080404">
        <w:rPr>
          <w:rFonts w:ascii="Georgia" w:hAnsi="Georgia" w:cs="Arial"/>
          <w:lang w:val="es-419"/>
        </w:rPr>
        <w:t xml:space="preserve"> </w:t>
      </w:r>
      <w:r w:rsidRPr="00080404">
        <w:rPr>
          <w:rFonts w:ascii="Georgia" w:hAnsi="Georgia" w:cs="Arial"/>
          <w:szCs w:val="24"/>
          <w:lang w:val="es-419"/>
        </w:rPr>
        <w:t>son: (i)</w:t>
      </w:r>
      <w:r w:rsidRPr="00080404">
        <w:rPr>
          <w:rStyle w:val="Refdenotaalpie"/>
          <w:rFonts w:ascii="Georgia" w:hAnsi="Georgia" w:cs="Arial"/>
          <w:szCs w:val="24"/>
          <w:lang w:val="es-419"/>
        </w:rPr>
        <w:t xml:space="preserve"> </w:t>
      </w:r>
      <w:r w:rsidRPr="00080404">
        <w:rPr>
          <w:rFonts w:ascii="Georgia" w:hAnsi="Georgia" w:cs="Arial"/>
          <w:szCs w:val="24"/>
          <w:lang w:val="es-419"/>
        </w:rPr>
        <w:t>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080404">
        <w:rPr>
          <w:rStyle w:val="Refdenotaalpie"/>
          <w:rFonts w:ascii="Georgia" w:hAnsi="Georgia"/>
          <w:szCs w:val="24"/>
          <w:lang w:val="es-419"/>
        </w:rPr>
        <w:footnoteReference w:id="6"/>
      </w:r>
      <w:r w:rsidRPr="00080404">
        <w:rPr>
          <w:rFonts w:ascii="Georgia" w:hAnsi="Georgia" w:cs="Arial"/>
          <w:szCs w:val="24"/>
          <w:lang w:val="es-419"/>
        </w:rPr>
        <w:t>.</w:t>
      </w:r>
    </w:p>
    <w:p w:rsidR="00B43247" w:rsidRPr="00080404" w:rsidRDefault="00B43247" w:rsidP="00080404">
      <w:pPr>
        <w:pStyle w:val="Textoindependiente"/>
        <w:spacing w:line="276" w:lineRule="auto"/>
        <w:rPr>
          <w:rFonts w:ascii="Georgia" w:hAnsi="Georgia" w:cs="Arial"/>
          <w:sz w:val="20"/>
          <w:szCs w:val="24"/>
          <w:lang w:val="es-419"/>
        </w:rPr>
      </w:pPr>
    </w:p>
    <w:p w:rsidR="00B43247" w:rsidRPr="00080404" w:rsidRDefault="00B43247" w:rsidP="00080404">
      <w:pPr>
        <w:pStyle w:val="Textoindependiente"/>
        <w:spacing w:line="276" w:lineRule="auto"/>
        <w:rPr>
          <w:rFonts w:ascii="Georgia" w:hAnsi="Georgia" w:cs="Arial"/>
          <w:szCs w:val="24"/>
          <w:lang w:val="es-419"/>
        </w:rPr>
      </w:pPr>
      <w:r w:rsidRPr="00080404">
        <w:rPr>
          <w:rFonts w:ascii="Georgia" w:hAnsi="Georgia" w:cs="Arial"/>
          <w:szCs w:val="24"/>
          <w:lang w:val="es-419"/>
        </w:rPr>
        <w:t>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w:t>
      </w:r>
      <w:r w:rsidRPr="00080404">
        <w:rPr>
          <w:rFonts w:ascii="Georgia" w:hAnsi="Georgia" w:cs="Arial"/>
          <w:szCs w:val="24"/>
          <w:vertAlign w:val="superscript"/>
          <w:lang w:val="es-419"/>
        </w:rPr>
        <w:footnoteReference w:id="7"/>
      </w:r>
      <w:r w:rsidRPr="00080404">
        <w:rPr>
          <w:rFonts w:ascii="Georgia" w:hAnsi="Georgia" w:cs="Arial"/>
          <w:szCs w:val="24"/>
          <w:lang w:val="es-419"/>
        </w:rPr>
        <w:t xml:space="preserve"> y Quinche R.</w:t>
      </w:r>
      <w:r w:rsidRPr="00080404">
        <w:rPr>
          <w:rStyle w:val="Refdenotaalpie"/>
          <w:rFonts w:ascii="Georgia" w:hAnsi="Georgia" w:cs="Arial"/>
          <w:szCs w:val="24"/>
          <w:lang w:val="es-419"/>
        </w:rPr>
        <w:footnoteReference w:id="8"/>
      </w:r>
      <w:r w:rsidRPr="00080404">
        <w:rPr>
          <w:rFonts w:ascii="Georgia" w:hAnsi="Georgia" w:cs="Arial"/>
          <w:szCs w:val="24"/>
          <w:lang w:val="es-419"/>
        </w:rPr>
        <w:t>.</w:t>
      </w:r>
    </w:p>
    <w:p w:rsidR="00CB1AA6" w:rsidRPr="00080404" w:rsidRDefault="00CB1AA6" w:rsidP="00080404">
      <w:pPr>
        <w:pStyle w:val="Textoindependiente"/>
        <w:spacing w:line="276" w:lineRule="auto"/>
        <w:rPr>
          <w:rFonts w:ascii="Georgia" w:hAnsi="Georgia" w:cs="Arial"/>
          <w:szCs w:val="24"/>
          <w:lang w:val="es-419"/>
        </w:rPr>
      </w:pPr>
    </w:p>
    <w:p w:rsidR="006552F6" w:rsidRPr="00080404" w:rsidRDefault="006552F6" w:rsidP="00080404">
      <w:pPr>
        <w:pStyle w:val="Textoindependiente"/>
        <w:numPr>
          <w:ilvl w:val="1"/>
          <w:numId w:val="41"/>
        </w:numPr>
        <w:shd w:val="clear" w:color="auto" w:fill="FFFFFF" w:themeFill="background1"/>
        <w:spacing w:line="276" w:lineRule="auto"/>
        <w:rPr>
          <w:rFonts w:ascii="Georgia" w:hAnsi="Georgia" w:cs="Arial"/>
          <w:szCs w:val="24"/>
          <w:lang w:val="es-419"/>
        </w:rPr>
      </w:pPr>
      <w:r w:rsidRPr="00080404">
        <w:rPr>
          <w:rFonts w:ascii="Georgia" w:hAnsi="Georgia"/>
          <w:smallCaps/>
          <w:lang w:val="es-419"/>
        </w:rPr>
        <w:t>El defecto sustantivo o material</w:t>
      </w:r>
    </w:p>
    <w:p w:rsidR="006552F6" w:rsidRPr="00080404" w:rsidRDefault="006552F6" w:rsidP="00080404">
      <w:pPr>
        <w:spacing w:line="276" w:lineRule="auto"/>
        <w:ind w:right="22"/>
        <w:jc w:val="both"/>
        <w:rPr>
          <w:rFonts w:ascii="Georgia" w:hAnsi="Georgia" w:cs="Arial"/>
          <w:szCs w:val="22"/>
          <w:lang w:val="es-419"/>
        </w:rPr>
      </w:pPr>
    </w:p>
    <w:p w:rsidR="006552F6" w:rsidRPr="00080404" w:rsidRDefault="006552F6" w:rsidP="00080404">
      <w:pPr>
        <w:spacing w:line="276" w:lineRule="auto"/>
        <w:ind w:right="22"/>
        <w:jc w:val="both"/>
        <w:rPr>
          <w:rFonts w:ascii="Georgia" w:hAnsi="Georgia" w:cs="Arial"/>
          <w:szCs w:val="22"/>
          <w:lang w:val="es-419"/>
        </w:rPr>
      </w:pPr>
      <w:r w:rsidRPr="00080404">
        <w:rPr>
          <w:rFonts w:ascii="Georgia" w:hAnsi="Georgia" w:cs="Arial"/>
          <w:szCs w:val="22"/>
          <w:lang w:val="es-419"/>
        </w:rPr>
        <w:t xml:space="preserve">La doctrina constitucional, a lo largo de su evolución, ha definido aquellos eventos en los cuales se comete tal anomalía, y ha dicho que consiste en una decisión fundada en </w:t>
      </w:r>
      <w:r w:rsidRPr="00080404">
        <w:rPr>
          <w:rFonts w:ascii="Georgia" w:hAnsi="Georgia" w:cs="Arial"/>
          <w:szCs w:val="22"/>
          <w:lang w:val="es-419"/>
        </w:rPr>
        <w:lastRenderedPageBreak/>
        <w:t>normas indiscutiblemente inaplicables</w:t>
      </w:r>
      <w:r w:rsidRPr="00080404">
        <w:rPr>
          <w:rStyle w:val="Refdenotaalpie"/>
          <w:rFonts w:ascii="Georgia" w:hAnsi="Georgia"/>
          <w:szCs w:val="22"/>
          <w:lang w:val="es-419"/>
        </w:rPr>
        <w:footnoteReference w:id="9"/>
      </w:r>
      <w:r w:rsidRPr="00080404">
        <w:rPr>
          <w:rFonts w:ascii="Georgia" w:hAnsi="Georgia" w:cs="Arial"/>
          <w:szCs w:val="22"/>
          <w:lang w:val="es-419"/>
        </w:rPr>
        <w:t>, luego en otra decisión</w:t>
      </w:r>
      <w:r w:rsidRPr="00080404">
        <w:rPr>
          <w:rStyle w:val="Refdenotaalpie"/>
          <w:rFonts w:ascii="Georgia" w:hAnsi="Georgia"/>
          <w:szCs w:val="22"/>
          <w:lang w:val="es-419"/>
        </w:rPr>
        <w:footnoteReference w:id="10"/>
      </w:r>
      <w:r w:rsidRPr="00080404">
        <w:rPr>
          <w:rFonts w:ascii="Georgia" w:hAnsi="Georgia" w:cs="Arial"/>
          <w:szCs w:val="22"/>
          <w:lang w:val="es-419"/>
        </w:rPr>
        <w:t xml:space="preserve"> añadió que surge cuando quiera que </w:t>
      </w:r>
      <w:r w:rsidRPr="00080404">
        <w:rPr>
          <w:rFonts w:ascii="Georgia" w:hAnsi="Georgia" w:cs="Arial"/>
          <w:lang w:val="es-419"/>
        </w:rPr>
        <w:t>la autoridad judicial desatiende reglas legales o infralegales, que son aplicables para un determinado caso</w:t>
      </w:r>
      <w:r w:rsidRPr="00080404">
        <w:rPr>
          <w:rFonts w:ascii="Georgia" w:hAnsi="Georgia" w:cs="Arial"/>
          <w:szCs w:val="22"/>
          <w:lang w:val="es-419"/>
        </w:rPr>
        <w:t>.  En desarrollo de esta teoría, se ha ido ampliando esa noción, para prodigar protección en varios eventos</w:t>
      </w:r>
      <w:r w:rsidRPr="00080404">
        <w:rPr>
          <w:rStyle w:val="Refdenotaalpie"/>
          <w:rFonts w:ascii="Georgia" w:hAnsi="Georgia"/>
          <w:szCs w:val="22"/>
          <w:lang w:val="es-419"/>
        </w:rPr>
        <w:footnoteReference w:id="11"/>
      </w:r>
      <w:r w:rsidRPr="00080404">
        <w:rPr>
          <w:rFonts w:ascii="Georgia" w:hAnsi="Georgia" w:cs="Arial"/>
          <w:szCs w:val="22"/>
          <w:lang w:val="es-419"/>
        </w:rPr>
        <w:t>, al efecto tiene precisadas distintas variables:</w:t>
      </w:r>
    </w:p>
    <w:p w:rsidR="006552F6" w:rsidRPr="00080404" w:rsidRDefault="006552F6" w:rsidP="00080404">
      <w:pPr>
        <w:spacing w:line="276" w:lineRule="auto"/>
        <w:ind w:right="22"/>
        <w:jc w:val="both"/>
        <w:rPr>
          <w:rFonts w:ascii="Georgia" w:hAnsi="Georgia" w:cs="Arial"/>
          <w:sz w:val="18"/>
          <w:szCs w:val="22"/>
          <w:lang w:val="es-419"/>
        </w:rPr>
      </w:pPr>
    </w:p>
    <w:p w:rsidR="006552F6" w:rsidRPr="00073E20" w:rsidRDefault="006552F6" w:rsidP="00073E20">
      <w:pPr>
        <w:ind w:left="426" w:right="420"/>
        <w:jc w:val="both"/>
        <w:rPr>
          <w:rFonts w:ascii="Georgia" w:hAnsi="Georgia" w:cs="Arial"/>
          <w:iCs/>
          <w:vanish/>
          <w:sz w:val="22"/>
          <w:lang w:val="es-419"/>
          <w:specVanish/>
        </w:rPr>
      </w:pPr>
      <w:r w:rsidRPr="00073E20">
        <w:rPr>
          <w:rFonts w:ascii="Georgia" w:hAnsi="Georgia" w:cs="Arial"/>
          <w:sz w:val="22"/>
          <w:lang w:val="es-419"/>
        </w:rPr>
        <w:t>… una providencia judicial adolece de un defecto sustantivo (i) cuando la norma aplicable al caso es claramente inadvertida o no tenida en cuenta por el fallador</w:t>
      </w:r>
      <w:r w:rsidRPr="00073E20">
        <w:rPr>
          <w:rFonts w:ascii="Georgia" w:hAnsi="Georgia" w:cs="Arial"/>
          <w:sz w:val="22"/>
          <w:vertAlign w:val="superscript"/>
          <w:lang w:val="es-419"/>
        </w:rPr>
        <w:footnoteReference w:id="12"/>
      </w:r>
      <w:r w:rsidRPr="00073E20">
        <w:rPr>
          <w:rFonts w:ascii="Georgia" w:hAnsi="Georgia" w:cs="Arial"/>
          <w:sz w:val="22"/>
          <w:lang w:val="es-419"/>
        </w:rPr>
        <w:t>, (ii) cuando a pesar del amplio margen interpretativo que la Constitución le reconoce a las autoridades judiciales, la aplicación final de la regla es inaceptable por tratarse de una interpretación contraevidente</w:t>
      </w:r>
      <w:r w:rsidRPr="00073E20">
        <w:rPr>
          <w:rFonts w:ascii="Georgia" w:hAnsi="Georgia" w:cs="Arial"/>
          <w:sz w:val="22"/>
          <w:vertAlign w:val="superscript"/>
          <w:lang w:val="es-419"/>
        </w:rPr>
        <w:footnoteReference w:id="13"/>
      </w:r>
      <w:r w:rsidRPr="00073E20">
        <w:rPr>
          <w:rFonts w:ascii="Georgia" w:hAnsi="Georgia" w:cs="Arial"/>
          <w:sz w:val="22"/>
          <w:lang w:val="es-419"/>
        </w:rPr>
        <w:t xml:space="preserve"> (interpretación </w:t>
      </w:r>
      <w:r w:rsidRPr="00073E20">
        <w:rPr>
          <w:rFonts w:ascii="Georgia" w:hAnsi="Georgia" w:cs="Arial"/>
          <w:iCs/>
          <w:sz w:val="22"/>
          <w:lang w:val="es-419"/>
        </w:rPr>
        <w:t xml:space="preserve">contra </w:t>
      </w:r>
      <w:r w:rsidRPr="00073E20">
        <w:rPr>
          <w:rFonts w:ascii="Georgia" w:hAnsi="Georgia" w:cs="Arial"/>
          <w:i/>
          <w:iCs/>
          <w:sz w:val="22"/>
          <w:lang w:val="es-419"/>
        </w:rPr>
        <w:t>legem</w:t>
      </w:r>
      <w:r w:rsidRPr="00073E20">
        <w:rPr>
          <w:rFonts w:ascii="Georgia" w:hAnsi="Georgia" w:cs="Arial"/>
          <w:sz w:val="22"/>
          <w:lang w:val="es-419"/>
        </w:rPr>
        <w:t>) o claramente perjudicial para los intereses legítimos de una de las partes</w:t>
      </w:r>
      <w:r w:rsidRPr="00073E20">
        <w:rPr>
          <w:rFonts w:ascii="Georgia" w:hAnsi="Georgia" w:cs="Arial"/>
          <w:sz w:val="22"/>
          <w:vertAlign w:val="superscript"/>
          <w:lang w:val="es-419"/>
        </w:rPr>
        <w:footnoteReference w:id="14"/>
      </w:r>
      <w:r w:rsidRPr="00073E20">
        <w:rPr>
          <w:rFonts w:ascii="Georgia" w:hAnsi="Georgia" w:cs="Arial"/>
          <w:sz w:val="22"/>
          <w:lang w:val="es-419"/>
        </w:rPr>
        <w:t xml:space="preserve"> (irrazonable o desproporcionada), y finalmente (iii) cuando el fallador desconoce las sentencias con efectos </w:t>
      </w:r>
      <w:r w:rsidRPr="00073E20">
        <w:rPr>
          <w:rFonts w:ascii="Georgia" w:hAnsi="Georgia" w:cs="Arial"/>
          <w:iCs/>
          <w:sz w:val="22"/>
          <w:lang w:val="es-419"/>
        </w:rPr>
        <w:t xml:space="preserve">erga omnes </w:t>
      </w:r>
      <w:r w:rsidRPr="00073E20">
        <w:rPr>
          <w:rFonts w:ascii="Georgia" w:hAnsi="Georgia" w:cs="Arial"/>
          <w:sz w:val="22"/>
          <w:lang w:val="es-419"/>
        </w:rPr>
        <w:t>tanto de la jurisdicción constitucional como de la jurisdicción de lo contencioso administrativo, cuyos precedentes se ubican en el mismo rango de la norma sobre la que pesa la cosa juzgada respectiva</w:t>
      </w:r>
    </w:p>
    <w:p w:rsidR="006552F6" w:rsidRPr="00080404" w:rsidRDefault="006552F6" w:rsidP="00080404">
      <w:pPr>
        <w:spacing w:line="276" w:lineRule="auto"/>
        <w:ind w:left="567" w:right="567"/>
        <w:jc w:val="both"/>
        <w:rPr>
          <w:rFonts w:ascii="Georgia" w:hAnsi="Georgia" w:cs="Arial"/>
          <w:lang w:val="es-419"/>
        </w:rPr>
      </w:pPr>
      <w:r w:rsidRPr="00080404">
        <w:rPr>
          <w:rStyle w:val="Refdenotaalpie"/>
          <w:rFonts w:ascii="Georgia" w:hAnsi="Georgia"/>
          <w:iCs/>
          <w:lang w:val="es-419"/>
        </w:rPr>
        <w:footnoteReference w:id="15"/>
      </w:r>
      <w:r w:rsidRPr="00080404">
        <w:rPr>
          <w:rFonts w:ascii="Georgia" w:hAnsi="Georgia" w:cs="Arial"/>
          <w:iCs/>
          <w:lang w:val="es-419"/>
        </w:rPr>
        <w:t>.</w:t>
      </w:r>
    </w:p>
    <w:p w:rsidR="006552F6" w:rsidRPr="00080404" w:rsidRDefault="006552F6" w:rsidP="00080404">
      <w:pPr>
        <w:pStyle w:val="Textoindependiente"/>
        <w:spacing w:line="276" w:lineRule="auto"/>
        <w:rPr>
          <w:rFonts w:ascii="Georgia" w:hAnsi="Georgia" w:cs="Arial"/>
          <w:sz w:val="28"/>
          <w:lang w:val="es-419"/>
        </w:rPr>
      </w:pPr>
    </w:p>
    <w:p w:rsidR="006552F6" w:rsidRPr="00080404" w:rsidRDefault="006552F6" w:rsidP="00080404">
      <w:pPr>
        <w:pStyle w:val="Textoindependiente"/>
        <w:spacing w:line="276" w:lineRule="auto"/>
        <w:rPr>
          <w:rFonts w:ascii="Georgia" w:hAnsi="Georgia" w:cs="Arial"/>
          <w:szCs w:val="24"/>
          <w:lang w:val="es-419"/>
        </w:rPr>
      </w:pPr>
      <w:r w:rsidRPr="00080404">
        <w:rPr>
          <w:rFonts w:ascii="Georgia" w:hAnsi="Georgia" w:cs="Arial"/>
          <w:szCs w:val="24"/>
          <w:lang w:val="es-419"/>
        </w:rPr>
        <w:t>Así mismo el alto Tribunal Constitucional</w:t>
      </w:r>
      <w:r w:rsidRPr="00080404">
        <w:rPr>
          <w:rStyle w:val="Refdenotaalpie"/>
          <w:rFonts w:ascii="Georgia" w:hAnsi="Georgia"/>
          <w:szCs w:val="24"/>
          <w:lang w:val="es-419"/>
        </w:rPr>
        <w:footnoteReference w:id="16"/>
      </w:r>
      <w:r w:rsidRPr="00080404">
        <w:rPr>
          <w:rFonts w:ascii="Georgia" w:hAnsi="Georgia" w:cs="Arial"/>
          <w:szCs w:val="24"/>
          <w:lang w:val="es-419"/>
        </w:rPr>
        <w:t xml:space="preserve">, señaló: </w:t>
      </w:r>
    </w:p>
    <w:p w:rsidR="006552F6" w:rsidRPr="00073E20" w:rsidRDefault="006552F6" w:rsidP="00080404">
      <w:pPr>
        <w:spacing w:line="276" w:lineRule="auto"/>
        <w:ind w:left="567" w:right="567"/>
        <w:jc w:val="both"/>
        <w:rPr>
          <w:rFonts w:ascii="Georgia" w:hAnsi="Georgia" w:cs="Arial"/>
          <w:lang w:val="es-419"/>
        </w:rPr>
      </w:pPr>
    </w:p>
    <w:p w:rsidR="006552F6" w:rsidRPr="00073E20" w:rsidRDefault="006552F6" w:rsidP="00073E20">
      <w:pPr>
        <w:ind w:left="426" w:right="420"/>
        <w:jc w:val="both"/>
        <w:rPr>
          <w:rFonts w:ascii="Georgia" w:hAnsi="Georgia" w:cs="Arial"/>
          <w:sz w:val="22"/>
          <w:lang w:val="es-419"/>
        </w:rPr>
      </w:pPr>
      <w:r w:rsidRPr="00073E20">
        <w:rPr>
          <w:rFonts w:ascii="Georgia" w:hAnsi="Georgia" w:cs="Arial"/>
          <w:sz w:val="22"/>
          <w:lang w:val="es-419"/>
        </w:rPr>
        <w:t xml:space="preserve">Como ya fue planteado por la Sala, para que una providencia pueda ser acusada de tener un defecto sustantivo, es necesario que el funcionario judicial aplique una norma inexistente o absolutamente impertinente o profiera una decisión que carece de fundamento jurídico; aplique una norma abiertamente inconstitucional, </w:t>
      </w:r>
      <w:r w:rsidRPr="00073E20">
        <w:rPr>
          <w:rFonts w:ascii="Georgia" w:hAnsi="Georgia" w:cs="Arial"/>
          <w:sz w:val="22"/>
          <w:u w:val="single"/>
          <w:lang w:val="es-419"/>
        </w:rPr>
        <w:t xml:space="preserve">o </w:t>
      </w:r>
      <w:r w:rsidRPr="00073E20">
        <w:rPr>
          <w:rFonts w:ascii="Georgia" w:hAnsi="Georgia" w:cs="Arial"/>
          <w:i/>
          <w:sz w:val="22"/>
          <w:u w:val="single"/>
          <w:lang w:val="es-419"/>
        </w:rPr>
        <w:t>interprete en forma contraevidente, irrazonable o desproporcionada la norma aplicable</w:t>
      </w:r>
      <w:r w:rsidRPr="00073E20">
        <w:rPr>
          <w:rFonts w:ascii="Georgia" w:hAnsi="Georgia" w:cs="Arial"/>
          <w:i/>
          <w:sz w:val="22"/>
          <w:lang w:val="es-419"/>
        </w:rPr>
        <w:t>.</w:t>
      </w:r>
      <w:r w:rsidRPr="00073E20">
        <w:rPr>
          <w:rFonts w:ascii="Georgia" w:hAnsi="Georgia" w:cs="Arial"/>
          <w:sz w:val="22"/>
          <w:lang w:val="es-419"/>
        </w:rPr>
        <w:t xml:space="preserve">  </w:t>
      </w:r>
    </w:p>
    <w:p w:rsidR="006552F6" w:rsidRPr="00073E20" w:rsidRDefault="006552F6" w:rsidP="00073E20">
      <w:pPr>
        <w:pStyle w:val="Textoindependiente"/>
        <w:spacing w:line="240" w:lineRule="auto"/>
        <w:ind w:left="426" w:right="420"/>
        <w:rPr>
          <w:rFonts w:ascii="Georgia" w:hAnsi="Georgia" w:cs="Arial"/>
          <w:sz w:val="22"/>
          <w:szCs w:val="24"/>
          <w:lang w:val="es-419"/>
        </w:rPr>
      </w:pPr>
    </w:p>
    <w:p w:rsidR="006552F6" w:rsidRPr="00073E20" w:rsidRDefault="006552F6" w:rsidP="00073E20">
      <w:pPr>
        <w:pStyle w:val="Textoindependiente"/>
        <w:spacing w:line="240" w:lineRule="auto"/>
        <w:ind w:left="426" w:right="420"/>
        <w:rPr>
          <w:rFonts w:ascii="Georgia" w:hAnsi="Georgia" w:cs="Arial"/>
          <w:spacing w:val="0"/>
          <w:sz w:val="22"/>
          <w:szCs w:val="24"/>
          <w:lang w:val="es-419"/>
        </w:rPr>
      </w:pPr>
      <w:r w:rsidRPr="00073E20">
        <w:rPr>
          <w:rFonts w:ascii="Georgia" w:hAnsi="Georgia" w:cs="Arial"/>
          <w:spacing w:val="0"/>
          <w:sz w:val="22"/>
          <w:szCs w:val="24"/>
          <w:lang w:val="es-419"/>
        </w:rPr>
        <w:t>Así las cosas, constituye un defecto material o sustantivo la decisión judicial que se funda en una interpretación indebida de una disposición legal.  (Sublínea fuera de texto).</w:t>
      </w:r>
    </w:p>
    <w:p w:rsidR="006552F6" w:rsidRPr="00073E20" w:rsidRDefault="006552F6" w:rsidP="00073E20">
      <w:pPr>
        <w:spacing w:line="276" w:lineRule="auto"/>
        <w:ind w:left="567" w:right="567"/>
        <w:jc w:val="both"/>
        <w:rPr>
          <w:rFonts w:ascii="Georgia" w:hAnsi="Georgia" w:cs="Arial"/>
          <w:lang w:val="es-419"/>
        </w:rPr>
      </w:pPr>
    </w:p>
    <w:p w:rsidR="006552F6" w:rsidRPr="00080404" w:rsidRDefault="006552F6" w:rsidP="00080404">
      <w:pPr>
        <w:spacing w:line="276" w:lineRule="auto"/>
        <w:jc w:val="both"/>
        <w:rPr>
          <w:rFonts w:ascii="Georgia" w:hAnsi="Georgia" w:cs="Arial"/>
          <w:lang w:val="es-419"/>
        </w:rPr>
      </w:pPr>
      <w:r w:rsidRPr="00080404">
        <w:rPr>
          <w:rFonts w:ascii="Georgia" w:hAnsi="Georgia" w:cs="Arial"/>
          <w:lang w:val="es-419"/>
        </w:rPr>
        <w:t>El anterior criterio ha sido reiterado en varias y recientes decisiones</w:t>
      </w:r>
      <w:r w:rsidR="00A02C78" w:rsidRPr="00080404">
        <w:rPr>
          <w:rFonts w:ascii="Georgia" w:hAnsi="Georgia" w:cs="Arial"/>
          <w:lang w:val="es-419"/>
        </w:rPr>
        <w:t xml:space="preserve"> (2019)</w:t>
      </w:r>
      <w:r w:rsidRPr="00080404">
        <w:rPr>
          <w:rStyle w:val="Refdenotaalpie"/>
          <w:rFonts w:ascii="Georgia" w:hAnsi="Georgia"/>
          <w:lang w:val="es-419"/>
        </w:rPr>
        <w:footnoteReference w:id="17"/>
      </w:r>
      <w:r w:rsidRPr="00080404">
        <w:rPr>
          <w:rFonts w:ascii="Georgia" w:hAnsi="Georgia" w:cs="Arial"/>
          <w:lang w:val="es-419"/>
        </w:rPr>
        <w:t>, según el análisis de la línea decisional sobre el tema.</w:t>
      </w:r>
    </w:p>
    <w:p w:rsidR="006552F6" w:rsidRPr="00080404" w:rsidRDefault="006552F6" w:rsidP="00080404">
      <w:pPr>
        <w:pStyle w:val="Textoindependiente"/>
        <w:spacing w:line="276" w:lineRule="auto"/>
        <w:rPr>
          <w:rFonts w:ascii="Georgia" w:hAnsi="Georgia" w:cs="Arial"/>
          <w:szCs w:val="24"/>
          <w:lang w:val="es-419"/>
        </w:rPr>
      </w:pPr>
    </w:p>
    <w:p w:rsidR="0062472B" w:rsidRPr="00080404" w:rsidRDefault="0062472B" w:rsidP="00080404">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708" w:hanging="708"/>
        <w:rPr>
          <w:rFonts w:ascii="Georgia" w:hAnsi="Georgia" w:cs="Arial"/>
          <w:szCs w:val="24"/>
          <w:lang w:val="es-419"/>
        </w:rPr>
      </w:pPr>
      <w:r w:rsidRPr="00080404">
        <w:rPr>
          <w:rFonts w:ascii="Georgia" w:hAnsi="Georgia" w:cs="Arial"/>
          <w:szCs w:val="24"/>
          <w:lang w:val="es-419"/>
        </w:rPr>
        <w:t>EL CASO CONCRETO QUE SE ANALIZA</w:t>
      </w:r>
    </w:p>
    <w:p w:rsidR="0062472B" w:rsidRPr="00080404" w:rsidRDefault="0062472B" w:rsidP="00080404">
      <w:pPr>
        <w:pStyle w:val="Textoindependiente"/>
        <w:widowControl w:val="0"/>
        <w:spacing w:line="276" w:lineRule="auto"/>
        <w:rPr>
          <w:rFonts w:ascii="Georgia" w:hAnsi="Georgia" w:cs="Arial"/>
          <w:szCs w:val="24"/>
          <w:lang w:val="es-419"/>
        </w:rPr>
      </w:pPr>
    </w:p>
    <w:p w:rsidR="00162462" w:rsidRDefault="00162462" w:rsidP="0008040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ind w:right="51"/>
        <w:jc w:val="both"/>
        <w:textAlignment w:val="baseline"/>
        <w:rPr>
          <w:rFonts w:ascii="Georgia" w:hAnsi="Georgia"/>
          <w:szCs w:val="22"/>
          <w:lang w:val="es-419"/>
        </w:rPr>
      </w:pPr>
      <w:r w:rsidRPr="00080404">
        <w:rPr>
          <w:rFonts w:ascii="Georgia" w:hAnsi="Georgia"/>
          <w:szCs w:val="22"/>
          <w:lang w:val="es-419"/>
        </w:rPr>
        <w:t xml:space="preserve">En la metodología enseñada por la doctrina constitucional, el primer examen consiste en verificar los presupuestos generales de procedibilidad, y para el caso se hallan </w:t>
      </w:r>
      <w:r w:rsidR="00073E20">
        <w:rPr>
          <w:rFonts w:ascii="Georgia" w:hAnsi="Georgia"/>
          <w:szCs w:val="22"/>
          <w:lang w:val="es-419"/>
        </w:rPr>
        <w:t>debidamente cumplidos.</w:t>
      </w:r>
    </w:p>
    <w:p w:rsidR="00073E20" w:rsidRPr="00080404" w:rsidRDefault="00073E20" w:rsidP="0008040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ind w:right="51"/>
        <w:jc w:val="both"/>
        <w:textAlignment w:val="baseline"/>
        <w:rPr>
          <w:rFonts w:ascii="Georgia" w:hAnsi="Georgia"/>
          <w:szCs w:val="22"/>
          <w:lang w:val="es-419"/>
        </w:rPr>
      </w:pPr>
    </w:p>
    <w:p w:rsidR="00162462" w:rsidRPr="00080404" w:rsidRDefault="00162462" w:rsidP="0008040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ind w:right="51"/>
        <w:jc w:val="both"/>
        <w:textAlignment w:val="baseline"/>
        <w:rPr>
          <w:rFonts w:ascii="Georgia" w:hAnsi="Georgia" w:cs="Arial"/>
          <w:spacing w:val="-3"/>
          <w:lang w:val="es-419"/>
        </w:rPr>
      </w:pPr>
      <w:r w:rsidRPr="00080404">
        <w:rPr>
          <w:rFonts w:ascii="Georgia" w:hAnsi="Georgia"/>
          <w:szCs w:val="22"/>
          <w:lang w:val="es-419"/>
        </w:rPr>
        <w:t>El asunto es de relevancia constitucional porque se alega la trasgresión del derecho al debido proceso;</w:t>
      </w:r>
      <w:r w:rsidRPr="00080404">
        <w:rPr>
          <w:rFonts w:ascii="Georgia" w:hAnsi="Georgia"/>
          <w:lang w:val="es-419"/>
        </w:rPr>
        <w:t xml:space="preserve"> se agotó el medio ordinario, recurrió en reposición en auto que negó la medida, sin que sea procedente la apelación porque se trata un asunto de única instancia (Artículo 318 y 390-3º, CGP); la decisión reprochada no es de tutela;</w:t>
      </w:r>
      <w:r w:rsidRPr="00080404">
        <w:rPr>
          <w:rFonts w:ascii="Georgia" w:hAnsi="Georgia"/>
          <w:szCs w:val="22"/>
          <w:lang w:val="es-419"/>
        </w:rPr>
        <w:t xml:space="preserve"> hay inmediate</w:t>
      </w:r>
      <w:r w:rsidRPr="00080404">
        <w:rPr>
          <w:rFonts w:ascii="Georgia" w:hAnsi="Georgia" w:cs="Times New Roman"/>
          <w:spacing w:val="-3"/>
          <w:lang w:val="es-419"/>
        </w:rPr>
        <w:t>z</w:t>
      </w:r>
      <w:r w:rsidRPr="00080404">
        <w:rPr>
          <w:rStyle w:val="Refdenotaalpie"/>
          <w:rFonts w:ascii="Georgia" w:hAnsi="Georgia" w:cs="Arial"/>
          <w:lang w:val="es-419"/>
        </w:rPr>
        <w:footnoteReference w:id="18"/>
      </w:r>
      <w:r w:rsidRPr="00080404">
        <w:rPr>
          <w:rFonts w:ascii="Georgia" w:hAnsi="Georgia" w:cs="Times New Roman"/>
          <w:spacing w:val="-3"/>
          <w:lang w:val="es-419"/>
        </w:rPr>
        <w:t>,</w:t>
      </w:r>
      <w:r w:rsidRPr="00080404">
        <w:rPr>
          <w:rFonts w:ascii="Georgia" w:hAnsi="Georgia"/>
          <w:szCs w:val="22"/>
          <w:lang w:val="es-419"/>
        </w:rPr>
        <w:t xml:space="preserve"> porque la providencia que resolvió el recurso es del 13-08-2019 (Folios 40-42, cuaderno principal); la irregularidad realzada por la parte, resulta ser </w:t>
      </w:r>
      <w:r w:rsidRPr="00080404">
        <w:rPr>
          <w:rFonts w:ascii="Georgia" w:hAnsi="Georgia"/>
          <w:szCs w:val="22"/>
          <w:lang w:val="es-419"/>
        </w:rPr>
        <w:lastRenderedPageBreak/>
        <w:t>trascendente para el desarrollo de la litis</w:t>
      </w:r>
      <w:r w:rsidRPr="00080404">
        <w:rPr>
          <w:rFonts w:ascii="Georgia" w:hAnsi="Georgia" w:cs="Arial"/>
          <w:spacing w:val="-3"/>
          <w:lang w:val="es-419"/>
        </w:rPr>
        <w:t>; y se identificaron los hechos generadores de la vulneración.</w:t>
      </w:r>
    </w:p>
    <w:p w:rsidR="00162462" w:rsidRPr="00080404" w:rsidRDefault="00162462" w:rsidP="00080404">
      <w:pPr>
        <w:spacing w:line="276" w:lineRule="auto"/>
        <w:jc w:val="both"/>
        <w:rPr>
          <w:rFonts w:ascii="Georgia" w:hAnsi="Georgia" w:cs="Arial"/>
          <w:lang w:val="es-419"/>
        </w:rPr>
      </w:pPr>
    </w:p>
    <w:p w:rsidR="00162462" w:rsidRPr="00080404" w:rsidRDefault="00162462" w:rsidP="00080404">
      <w:pPr>
        <w:widowControl/>
        <w:spacing w:line="276" w:lineRule="auto"/>
        <w:jc w:val="both"/>
        <w:rPr>
          <w:rFonts w:ascii="Georgia" w:hAnsi="Georgia" w:cs="Arial"/>
          <w:lang w:val="es-419"/>
        </w:rPr>
      </w:pPr>
      <w:r w:rsidRPr="00080404">
        <w:rPr>
          <w:rFonts w:ascii="Georgia" w:hAnsi="Georgia" w:cs="Arial"/>
          <w:lang w:val="es-419"/>
        </w:rPr>
        <w:t xml:space="preserve">Ahora, incumbe proseguir con la revisión de las causales especiales y en el caso concreto se entiende que lo expuesto por </w:t>
      </w:r>
      <w:r w:rsidR="006F7CDA" w:rsidRPr="00080404">
        <w:rPr>
          <w:rFonts w:ascii="Georgia" w:hAnsi="Georgia" w:cs="Arial"/>
          <w:lang w:val="es-419"/>
        </w:rPr>
        <w:t>la</w:t>
      </w:r>
      <w:r w:rsidRPr="00080404">
        <w:rPr>
          <w:rFonts w:ascii="Georgia" w:hAnsi="Georgia" w:cs="Arial"/>
          <w:lang w:val="es-419"/>
        </w:rPr>
        <w:t xml:space="preserve"> actor</w:t>
      </w:r>
      <w:r w:rsidR="006F7CDA" w:rsidRPr="00080404">
        <w:rPr>
          <w:rFonts w:ascii="Georgia" w:hAnsi="Georgia" w:cs="Arial"/>
          <w:lang w:val="es-419"/>
        </w:rPr>
        <w:t>a</w:t>
      </w:r>
      <w:r w:rsidRPr="00080404">
        <w:rPr>
          <w:rFonts w:ascii="Georgia" w:hAnsi="Georgia" w:cs="Arial"/>
          <w:lang w:val="es-419"/>
        </w:rPr>
        <w:t xml:space="preserve"> alude al defecto sustantivo; aunque pretermitió señalarlo, lo cierto es que argumenta </w:t>
      </w:r>
      <w:r w:rsidRPr="00080404">
        <w:rPr>
          <w:rFonts w:ascii="Georgia" w:hAnsi="Georgia" w:cs="Arial"/>
          <w:color w:val="000000"/>
          <w:szCs w:val="23"/>
          <w:lang w:val="es-419"/>
        </w:rPr>
        <w:t xml:space="preserve">que </w:t>
      </w:r>
      <w:r w:rsidRPr="00080404">
        <w:rPr>
          <w:rFonts w:ascii="Georgia" w:hAnsi="Georgia" w:cs="Arial"/>
          <w:lang w:val="es-419"/>
        </w:rPr>
        <w:t xml:space="preserve">la </w:t>
      </w:r>
      <w:r w:rsidRPr="00080404">
        <w:rPr>
          <w:rFonts w:ascii="Georgia" w:hAnsi="Georgia" w:cs="Arial"/>
          <w:i/>
          <w:lang w:val="es-419"/>
        </w:rPr>
        <w:t>a quo</w:t>
      </w:r>
      <w:r w:rsidRPr="00080404">
        <w:rPr>
          <w:rFonts w:ascii="Georgia" w:hAnsi="Georgia" w:cs="Arial"/>
          <w:lang w:val="es-419"/>
        </w:rPr>
        <w:t xml:space="preserve"> interpretó inadecuadamente el artículo 465, CGP.</w:t>
      </w:r>
    </w:p>
    <w:p w:rsidR="007706FD" w:rsidRPr="00080404" w:rsidRDefault="007706FD" w:rsidP="00080404">
      <w:pPr>
        <w:spacing w:line="276" w:lineRule="auto"/>
        <w:ind w:right="51"/>
        <w:jc w:val="both"/>
        <w:rPr>
          <w:rFonts w:ascii="Georgia" w:hAnsi="Georgia"/>
          <w:szCs w:val="22"/>
          <w:lang w:val="es-419"/>
        </w:rPr>
      </w:pPr>
    </w:p>
    <w:p w:rsidR="00C02CAD" w:rsidRPr="00080404" w:rsidRDefault="009375D6" w:rsidP="00080404">
      <w:pPr>
        <w:spacing w:line="276" w:lineRule="auto"/>
        <w:ind w:right="51"/>
        <w:jc w:val="both"/>
        <w:rPr>
          <w:rFonts w:ascii="Georgia" w:hAnsi="Georgia" w:cs="Arial"/>
          <w:spacing w:val="-3"/>
          <w:lang w:val="es-419"/>
        </w:rPr>
      </w:pPr>
      <w:r w:rsidRPr="00080404">
        <w:rPr>
          <w:rFonts w:ascii="Georgia" w:hAnsi="Georgia"/>
          <w:szCs w:val="22"/>
          <w:lang w:val="es-419"/>
        </w:rPr>
        <w:t xml:space="preserve">Comprobados los presupuestos de procedibilidad, </w:t>
      </w:r>
      <w:r w:rsidR="006414E0" w:rsidRPr="00080404">
        <w:rPr>
          <w:rFonts w:ascii="Georgia" w:hAnsi="Georgia"/>
          <w:szCs w:val="22"/>
          <w:lang w:val="es-419"/>
        </w:rPr>
        <w:t xml:space="preserve">se prosigue con el análisis de fondo y </w:t>
      </w:r>
      <w:r w:rsidRPr="00080404">
        <w:rPr>
          <w:rFonts w:ascii="Georgia" w:hAnsi="Georgia"/>
          <w:szCs w:val="22"/>
          <w:lang w:val="es-419"/>
        </w:rPr>
        <w:t xml:space="preserve">desde ya advierte esta Colegiatura </w:t>
      </w:r>
      <w:r w:rsidR="0062472B" w:rsidRPr="00080404">
        <w:rPr>
          <w:rFonts w:ascii="Georgia" w:hAnsi="Georgia"/>
          <w:szCs w:val="22"/>
          <w:lang w:val="es-419"/>
        </w:rPr>
        <w:t xml:space="preserve">que </w:t>
      </w:r>
      <w:r w:rsidR="005F3951" w:rsidRPr="00080404">
        <w:rPr>
          <w:rFonts w:ascii="Georgia" w:hAnsi="Georgia"/>
          <w:szCs w:val="22"/>
          <w:lang w:val="es-419"/>
        </w:rPr>
        <w:t xml:space="preserve">se confirmará la sentencia </w:t>
      </w:r>
      <w:r w:rsidR="00162462" w:rsidRPr="00080404">
        <w:rPr>
          <w:rFonts w:ascii="Georgia" w:hAnsi="Georgia"/>
          <w:szCs w:val="22"/>
          <w:lang w:val="es-419"/>
        </w:rPr>
        <w:t>de primera instancia</w:t>
      </w:r>
      <w:r w:rsidR="00D95B29" w:rsidRPr="00080404">
        <w:rPr>
          <w:rFonts w:ascii="Georgia" w:hAnsi="Georgia" w:cs="Arial"/>
          <w:spacing w:val="-3"/>
          <w:lang w:val="es-419"/>
        </w:rPr>
        <w:t xml:space="preserve">, </w:t>
      </w:r>
      <w:r w:rsidR="005F3951" w:rsidRPr="00080404">
        <w:rPr>
          <w:rFonts w:ascii="Georgia" w:hAnsi="Georgia" w:cs="Arial"/>
          <w:spacing w:val="-3"/>
          <w:lang w:val="es-419"/>
        </w:rPr>
        <w:t xml:space="preserve">dado que </w:t>
      </w:r>
      <w:r w:rsidR="00162462" w:rsidRPr="00080404">
        <w:rPr>
          <w:rFonts w:ascii="Georgia" w:hAnsi="Georgia" w:cs="Arial"/>
          <w:spacing w:val="-3"/>
          <w:lang w:val="es-419"/>
        </w:rPr>
        <w:t xml:space="preserve">es evidente la inexistencia de vulneración o amenaza del </w:t>
      </w:r>
      <w:r w:rsidR="005F3951" w:rsidRPr="00080404">
        <w:rPr>
          <w:rFonts w:ascii="Georgia" w:hAnsi="Georgia" w:cs="Arial"/>
          <w:spacing w:val="-3"/>
          <w:lang w:val="es-419"/>
        </w:rPr>
        <w:t xml:space="preserve">derecho al debido proceso en lo que corresponde </w:t>
      </w:r>
      <w:r w:rsidR="00162462" w:rsidRPr="00080404">
        <w:rPr>
          <w:rFonts w:ascii="Georgia" w:hAnsi="Georgia" w:cs="Arial"/>
          <w:spacing w:val="-3"/>
          <w:lang w:val="es-419"/>
        </w:rPr>
        <w:t>a la aplicación del mentado canon</w:t>
      </w:r>
      <w:r w:rsidR="005F3951" w:rsidRPr="00080404">
        <w:rPr>
          <w:rFonts w:ascii="Georgia" w:hAnsi="Georgia" w:cs="Arial"/>
          <w:spacing w:val="-3"/>
          <w:lang w:val="es-419"/>
        </w:rPr>
        <w:t>.</w:t>
      </w:r>
      <w:r w:rsidRPr="00080404">
        <w:rPr>
          <w:rFonts w:ascii="Georgia" w:hAnsi="Georgia" w:cs="Arial"/>
          <w:spacing w:val="-3"/>
          <w:lang w:val="es-419"/>
        </w:rPr>
        <w:t xml:space="preserve"> </w:t>
      </w:r>
    </w:p>
    <w:p w:rsidR="00A92EC8" w:rsidRPr="00080404" w:rsidRDefault="00A92EC8" w:rsidP="00080404">
      <w:pPr>
        <w:pStyle w:val="Textoindependiente"/>
        <w:spacing w:line="276" w:lineRule="auto"/>
        <w:rPr>
          <w:rFonts w:ascii="Georgia" w:hAnsi="Georgia"/>
          <w:szCs w:val="24"/>
          <w:lang w:val="es-419"/>
        </w:rPr>
      </w:pPr>
    </w:p>
    <w:p w:rsidR="00C04085" w:rsidRPr="00080404" w:rsidRDefault="00A94908" w:rsidP="00080404">
      <w:pPr>
        <w:spacing w:line="276" w:lineRule="auto"/>
        <w:ind w:right="51"/>
        <w:jc w:val="both"/>
        <w:rPr>
          <w:rFonts w:ascii="Georgia" w:hAnsi="Georgia" w:cs="Arial"/>
          <w:lang w:val="es-419"/>
        </w:rPr>
      </w:pPr>
      <w:r w:rsidRPr="00080404">
        <w:rPr>
          <w:rFonts w:ascii="Georgia" w:hAnsi="Georgia" w:cs="Arial"/>
          <w:lang w:val="es-419"/>
        </w:rPr>
        <w:t xml:space="preserve">En la providencia </w:t>
      </w:r>
      <w:r w:rsidR="005F3951" w:rsidRPr="00080404">
        <w:rPr>
          <w:rFonts w:ascii="Georgia" w:hAnsi="Georgia" w:cs="Arial"/>
          <w:lang w:val="es-419"/>
        </w:rPr>
        <w:t xml:space="preserve">que negó </w:t>
      </w:r>
      <w:r w:rsidR="00162462" w:rsidRPr="00080404">
        <w:rPr>
          <w:rFonts w:ascii="Georgia" w:hAnsi="Georgia" w:cs="Arial"/>
          <w:lang w:val="es-419"/>
        </w:rPr>
        <w:t>la medida de embargo de los dineros retenidos</w:t>
      </w:r>
      <w:bookmarkStart w:id="0" w:name="_GoBack"/>
      <w:bookmarkEnd w:id="0"/>
      <w:r w:rsidR="00162462" w:rsidRPr="00080404">
        <w:rPr>
          <w:rFonts w:ascii="Georgia" w:hAnsi="Georgia" w:cs="Arial"/>
          <w:lang w:val="es-419"/>
        </w:rPr>
        <w:t xml:space="preserve"> en el proceso ejecutivo que adelanta la </w:t>
      </w:r>
      <w:r w:rsidR="00162462" w:rsidRPr="00080404">
        <w:rPr>
          <w:rFonts w:ascii="Georgia" w:hAnsi="Georgia" w:cs="Arial"/>
          <w:sz w:val="22"/>
          <w:lang w:val="es-419"/>
        </w:rPr>
        <w:t xml:space="preserve">COOMPER </w:t>
      </w:r>
      <w:r w:rsidR="00162462" w:rsidRPr="00080404">
        <w:rPr>
          <w:rFonts w:ascii="Georgia" w:hAnsi="Georgia" w:cs="Arial"/>
          <w:lang w:val="es-419"/>
        </w:rPr>
        <w:t>contra el progenitor de la accionante, el funcionario</w:t>
      </w:r>
      <w:r w:rsidR="00C04085" w:rsidRPr="00080404">
        <w:rPr>
          <w:rFonts w:ascii="Georgia" w:hAnsi="Georgia" w:cs="Arial"/>
          <w:lang w:val="es-419"/>
        </w:rPr>
        <w:t xml:space="preserve"> </w:t>
      </w:r>
      <w:r w:rsidR="00873D27" w:rsidRPr="00080404">
        <w:rPr>
          <w:rFonts w:ascii="Georgia" w:hAnsi="Georgia" w:cs="Arial"/>
          <w:lang w:val="es-419"/>
        </w:rPr>
        <w:t>explicó que no es procedente aplicar el artículo 465, ibídem, en razón a que en el proceso de alimentos ya se están recaudando los salarios del demandado (Folio 36, vuelto, ibídem); recurrido en reposición (Folios 37-39, ib.);</w:t>
      </w:r>
      <w:r w:rsidR="00EA4D82" w:rsidRPr="00080404">
        <w:rPr>
          <w:rFonts w:ascii="Georgia" w:hAnsi="Georgia" w:cs="Arial"/>
          <w:lang w:val="es-419"/>
        </w:rPr>
        <w:t xml:space="preserve"> </w:t>
      </w:r>
      <w:r w:rsidR="008A3FD0" w:rsidRPr="00080404">
        <w:rPr>
          <w:rFonts w:ascii="Georgia" w:hAnsi="Georgia" w:cs="Arial"/>
          <w:lang w:val="es-419"/>
        </w:rPr>
        <w:t>se</w:t>
      </w:r>
      <w:r w:rsidR="00873D27" w:rsidRPr="00080404">
        <w:rPr>
          <w:rFonts w:ascii="Georgia" w:hAnsi="Georgia" w:cs="Arial"/>
          <w:lang w:val="es-419"/>
        </w:rPr>
        <w:t xml:space="preserve"> mantuvo </w:t>
      </w:r>
      <w:r w:rsidR="00C04085" w:rsidRPr="00080404">
        <w:rPr>
          <w:rFonts w:ascii="Georgia" w:hAnsi="Georgia" w:cs="Arial"/>
          <w:lang w:val="es-419"/>
        </w:rPr>
        <w:t xml:space="preserve">incólume </w:t>
      </w:r>
      <w:r w:rsidR="00873D27" w:rsidRPr="00080404">
        <w:rPr>
          <w:rFonts w:ascii="Georgia" w:hAnsi="Georgia" w:cs="Arial"/>
          <w:lang w:val="es-419"/>
        </w:rPr>
        <w:t xml:space="preserve">con base en el mismo argumento, </w:t>
      </w:r>
      <w:r w:rsidR="008A3FD0" w:rsidRPr="00080404">
        <w:rPr>
          <w:rFonts w:ascii="Georgia" w:hAnsi="Georgia" w:cs="Arial"/>
          <w:lang w:val="es-419"/>
        </w:rPr>
        <w:t xml:space="preserve">adicionado </w:t>
      </w:r>
      <w:r w:rsidR="00873D27" w:rsidRPr="00080404">
        <w:rPr>
          <w:rFonts w:ascii="Georgia" w:hAnsi="Georgia" w:cs="Arial"/>
          <w:lang w:val="es-419"/>
        </w:rPr>
        <w:t xml:space="preserve">en el sentido </w:t>
      </w:r>
      <w:r w:rsidR="008A3FD0" w:rsidRPr="00080404">
        <w:rPr>
          <w:rFonts w:ascii="Georgia" w:hAnsi="Georgia" w:cs="Arial"/>
          <w:lang w:val="es-419"/>
        </w:rPr>
        <w:t xml:space="preserve">de </w:t>
      </w:r>
      <w:r w:rsidR="00873D27" w:rsidRPr="00080404">
        <w:rPr>
          <w:rFonts w:ascii="Georgia" w:hAnsi="Georgia" w:cs="Arial"/>
          <w:lang w:val="es-419"/>
        </w:rPr>
        <w:t xml:space="preserve">que: </w:t>
      </w:r>
      <w:r w:rsidR="00873D27" w:rsidRPr="00080404">
        <w:rPr>
          <w:rFonts w:ascii="Georgia" w:hAnsi="Georgia" w:cs="Arial"/>
          <w:i/>
          <w:sz w:val="22"/>
          <w:lang w:val="es-419"/>
        </w:rPr>
        <w:t>“</w:t>
      </w:r>
      <w:r w:rsidR="008A3FD0" w:rsidRPr="00080404">
        <w:rPr>
          <w:rFonts w:ascii="Georgia" w:hAnsi="Georgia" w:cs="Arial"/>
          <w:i/>
          <w:sz w:val="22"/>
          <w:lang w:val="es-419"/>
        </w:rPr>
        <w:t>(...) s</w:t>
      </w:r>
      <w:r w:rsidR="00873D27" w:rsidRPr="00080404">
        <w:rPr>
          <w:rFonts w:ascii="Georgia" w:hAnsi="Georgia" w:cs="Arial"/>
          <w:i/>
          <w:sz w:val="22"/>
          <w:lang w:val="es-419"/>
        </w:rPr>
        <w:t>e dio cumplimiento a la prelación de embargo por cuanto que una vez instaurado el proceso de alimentos pasaron los descuentos al mismo (…)”</w:t>
      </w:r>
      <w:r w:rsidR="00873D27" w:rsidRPr="00080404">
        <w:rPr>
          <w:rFonts w:ascii="Georgia" w:hAnsi="Georgia" w:cs="Arial"/>
          <w:lang w:val="es-419"/>
        </w:rPr>
        <w:t xml:space="preserve"> (Folios 40-42, ib.).</w:t>
      </w:r>
    </w:p>
    <w:p w:rsidR="00C04085" w:rsidRPr="00080404" w:rsidRDefault="00C04085" w:rsidP="00080404">
      <w:pPr>
        <w:spacing w:line="276" w:lineRule="auto"/>
        <w:ind w:right="51"/>
        <w:jc w:val="both"/>
        <w:rPr>
          <w:rFonts w:ascii="Georgia" w:hAnsi="Georgia" w:cs="Arial"/>
          <w:lang w:val="es-419"/>
        </w:rPr>
      </w:pPr>
    </w:p>
    <w:p w:rsidR="008A3FD0" w:rsidRPr="00080404" w:rsidRDefault="00873D27" w:rsidP="00080404">
      <w:pPr>
        <w:spacing w:line="276" w:lineRule="auto"/>
        <w:ind w:right="51"/>
        <w:jc w:val="both"/>
        <w:rPr>
          <w:rFonts w:ascii="Georgia" w:hAnsi="Georgia" w:cs="Arial"/>
          <w:lang w:val="es-419"/>
        </w:rPr>
      </w:pPr>
      <w:r w:rsidRPr="00080404">
        <w:rPr>
          <w:rFonts w:ascii="Georgia" w:hAnsi="Georgia" w:cs="Arial"/>
          <w:lang w:val="es-419"/>
        </w:rPr>
        <w:t xml:space="preserve">Comparta o no </w:t>
      </w:r>
      <w:r w:rsidR="00EA4D82" w:rsidRPr="00080404">
        <w:rPr>
          <w:rFonts w:ascii="Georgia" w:hAnsi="Georgia" w:cs="Arial"/>
          <w:lang w:val="es-419"/>
        </w:rPr>
        <w:t xml:space="preserve">esta </w:t>
      </w:r>
      <w:r w:rsidR="00C04085" w:rsidRPr="00080404">
        <w:rPr>
          <w:rFonts w:ascii="Georgia" w:hAnsi="Georgia" w:cs="Arial"/>
          <w:lang w:val="es-419"/>
        </w:rPr>
        <w:t xml:space="preserve">Corporación la hermenéutica </w:t>
      </w:r>
      <w:r w:rsidRPr="00080404">
        <w:rPr>
          <w:rFonts w:ascii="Georgia" w:hAnsi="Georgia" w:cs="Arial"/>
          <w:lang w:val="es-419"/>
        </w:rPr>
        <w:t xml:space="preserve">empleada, lo cierto es que le asiste razón en cuanto </w:t>
      </w:r>
      <w:r w:rsidR="007B77B1" w:rsidRPr="00080404">
        <w:rPr>
          <w:rFonts w:ascii="Georgia" w:hAnsi="Georgia" w:cs="Arial"/>
          <w:lang w:val="es-419"/>
        </w:rPr>
        <w:t xml:space="preserve">a </w:t>
      </w:r>
      <w:r w:rsidR="00E00821" w:rsidRPr="00080404">
        <w:rPr>
          <w:rFonts w:ascii="Georgia" w:hAnsi="Georgia" w:cs="Arial"/>
          <w:lang w:val="es-419"/>
        </w:rPr>
        <w:t xml:space="preserve">que </w:t>
      </w:r>
      <w:r w:rsidR="007B77B1" w:rsidRPr="00080404">
        <w:rPr>
          <w:rFonts w:ascii="Georgia" w:hAnsi="Georgia" w:cs="Arial"/>
          <w:lang w:val="es-419"/>
        </w:rPr>
        <w:t xml:space="preserve">ese mandato es inaplicable en asuntos declarativos, como bien lo anotó la jueza </w:t>
      </w:r>
      <w:r w:rsidR="00E00821" w:rsidRPr="00080404">
        <w:rPr>
          <w:rFonts w:ascii="Georgia" w:hAnsi="Georgia" w:cs="Arial"/>
          <w:lang w:val="es-419"/>
        </w:rPr>
        <w:t xml:space="preserve">constitucional </w:t>
      </w:r>
      <w:r w:rsidR="007B77B1" w:rsidRPr="00080404">
        <w:rPr>
          <w:rFonts w:ascii="Georgia" w:hAnsi="Georgia" w:cs="Arial"/>
          <w:lang w:val="es-419"/>
        </w:rPr>
        <w:t xml:space="preserve">de primera instancia. </w:t>
      </w:r>
    </w:p>
    <w:p w:rsidR="008A3FD0" w:rsidRPr="00080404" w:rsidRDefault="008A3FD0" w:rsidP="00080404">
      <w:pPr>
        <w:spacing w:line="276" w:lineRule="auto"/>
        <w:ind w:right="51"/>
        <w:jc w:val="both"/>
        <w:rPr>
          <w:rFonts w:ascii="Georgia" w:hAnsi="Georgia" w:cs="Arial"/>
          <w:lang w:val="es-419"/>
        </w:rPr>
      </w:pPr>
    </w:p>
    <w:p w:rsidR="00886F50" w:rsidRPr="00080404" w:rsidRDefault="00886F50" w:rsidP="00080404">
      <w:pPr>
        <w:spacing w:line="276" w:lineRule="auto"/>
        <w:ind w:right="51"/>
        <w:jc w:val="both"/>
        <w:rPr>
          <w:rFonts w:ascii="Georgia" w:hAnsi="Georgia" w:cs="Arial"/>
          <w:lang w:val="es-419"/>
        </w:rPr>
      </w:pPr>
      <w:r w:rsidRPr="00080404">
        <w:rPr>
          <w:rFonts w:ascii="Georgia" w:hAnsi="Georgia" w:cs="Arial"/>
          <w:lang w:val="es-419"/>
        </w:rPr>
        <w:t xml:space="preserve">Aquello </w:t>
      </w:r>
      <w:r w:rsidR="007B77B1" w:rsidRPr="00080404">
        <w:rPr>
          <w:rFonts w:ascii="Georgia" w:hAnsi="Georgia" w:cs="Arial"/>
          <w:lang w:val="es-419"/>
        </w:rPr>
        <w:t xml:space="preserve">por </w:t>
      </w:r>
      <w:r w:rsidRPr="00080404">
        <w:rPr>
          <w:rFonts w:ascii="Georgia" w:hAnsi="Georgia" w:cs="Arial"/>
          <w:lang w:val="es-419"/>
        </w:rPr>
        <w:t>dos (2</w:t>
      </w:r>
      <w:r w:rsidR="007B77B1" w:rsidRPr="00080404">
        <w:rPr>
          <w:rFonts w:ascii="Georgia" w:hAnsi="Georgia" w:cs="Arial"/>
          <w:lang w:val="es-419"/>
        </w:rPr>
        <w:t xml:space="preserve">) patentes razones que se </w:t>
      </w:r>
      <w:r w:rsidRPr="00080404">
        <w:rPr>
          <w:rFonts w:ascii="Georgia" w:hAnsi="Georgia" w:cs="Arial"/>
          <w:lang w:val="es-419"/>
        </w:rPr>
        <w:t xml:space="preserve">coligen de </w:t>
      </w:r>
      <w:r w:rsidR="007B77B1" w:rsidRPr="00080404">
        <w:rPr>
          <w:rFonts w:ascii="Georgia" w:hAnsi="Georgia" w:cs="Arial"/>
          <w:lang w:val="es-419"/>
        </w:rPr>
        <w:t>la codificación adjetiva general</w:t>
      </w:r>
      <w:r w:rsidR="008A3FD0" w:rsidRPr="00080404">
        <w:rPr>
          <w:rFonts w:ascii="Georgia" w:hAnsi="Georgia" w:cs="Arial"/>
          <w:lang w:val="es-419"/>
        </w:rPr>
        <w:t>: Lo primero</w:t>
      </w:r>
      <w:r w:rsidR="00521888" w:rsidRPr="00080404">
        <w:rPr>
          <w:rFonts w:ascii="Georgia" w:hAnsi="Georgia" w:cs="Arial"/>
          <w:lang w:val="es-419"/>
        </w:rPr>
        <w:t>,</w:t>
      </w:r>
      <w:r w:rsidR="008A3FD0" w:rsidRPr="00080404">
        <w:rPr>
          <w:rFonts w:ascii="Georgia" w:hAnsi="Georgia" w:cs="Arial"/>
          <w:lang w:val="es-419"/>
        </w:rPr>
        <w:t xml:space="preserve"> es que está ubicado </w:t>
      </w:r>
      <w:r w:rsidR="007B77B1" w:rsidRPr="00080404">
        <w:rPr>
          <w:rFonts w:ascii="Georgia" w:hAnsi="Georgia" w:cs="Arial"/>
          <w:lang w:val="es-419"/>
        </w:rPr>
        <w:t xml:space="preserve">en la sección segunda del CGP que regula el proceso ejecutivo; </w:t>
      </w:r>
      <w:r w:rsidRPr="00080404">
        <w:rPr>
          <w:rFonts w:ascii="Georgia" w:hAnsi="Georgia" w:cs="Arial"/>
          <w:lang w:val="es-419"/>
        </w:rPr>
        <w:t>y,</w:t>
      </w:r>
      <w:r w:rsidR="008A3FD0" w:rsidRPr="00080404">
        <w:rPr>
          <w:rFonts w:ascii="Georgia" w:hAnsi="Georgia" w:cs="Arial"/>
          <w:lang w:val="es-419"/>
        </w:rPr>
        <w:t xml:space="preserve"> lo segundo, es que, según el </w:t>
      </w:r>
      <w:r w:rsidR="00E00821" w:rsidRPr="00080404">
        <w:rPr>
          <w:rFonts w:ascii="Georgia" w:hAnsi="Georgia" w:cs="Arial"/>
          <w:lang w:val="es-419"/>
        </w:rPr>
        <w:t>precepto</w:t>
      </w:r>
      <w:r w:rsidRPr="00080404">
        <w:rPr>
          <w:rFonts w:ascii="Georgia" w:hAnsi="Georgia" w:cs="Arial"/>
          <w:lang w:val="es-419"/>
        </w:rPr>
        <w:t>:</w:t>
      </w:r>
      <w:r w:rsidR="007B77B1" w:rsidRPr="00080404">
        <w:rPr>
          <w:rFonts w:ascii="Georgia" w:hAnsi="Georgia" w:cs="Arial"/>
          <w:lang w:val="es-419"/>
        </w:rPr>
        <w:t xml:space="preserve"> </w:t>
      </w:r>
      <w:r w:rsidR="007B77B1" w:rsidRPr="00080404">
        <w:rPr>
          <w:rFonts w:ascii="Georgia" w:hAnsi="Georgia" w:cs="Arial"/>
          <w:i/>
          <w:sz w:val="22"/>
          <w:lang w:val="es-419"/>
        </w:rPr>
        <w:t>“(…)</w:t>
      </w:r>
      <w:r w:rsidR="00A02C78" w:rsidRPr="00080404">
        <w:rPr>
          <w:rFonts w:ascii="Georgia" w:hAnsi="Georgia" w:cs="Arial"/>
          <w:i/>
          <w:sz w:val="22"/>
          <w:lang w:val="es-419"/>
        </w:rPr>
        <w:t xml:space="preserve"> </w:t>
      </w:r>
      <w:r w:rsidR="00A02C78" w:rsidRPr="00080404">
        <w:rPr>
          <w:rFonts w:ascii="Georgia" w:hAnsi="Georgia" w:cs="Arial"/>
          <w:i/>
          <w:sz w:val="22"/>
          <w:u w:val="single"/>
          <w:lang w:val="es-419"/>
        </w:rPr>
        <w:t>El proceso civil se adelantará hasta el remate</w:t>
      </w:r>
      <w:r w:rsidR="00A02C78" w:rsidRPr="00080404">
        <w:rPr>
          <w:rFonts w:ascii="Georgia" w:hAnsi="Georgia" w:cs="Arial"/>
          <w:i/>
          <w:sz w:val="22"/>
          <w:lang w:val="es-419"/>
        </w:rPr>
        <w:t xml:space="preserve"> (…), pero antes de la entrega de su producto (…)</w:t>
      </w:r>
      <w:r w:rsidR="00F475A3" w:rsidRPr="00080404">
        <w:rPr>
          <w:rFonts w:ascii="Georgia" w:hAnsi="Georgia" w:cs="Arial"/>
          <w:i/>
          <w:sz w:val="22"/>
          <w:lang w:val="es-419"/>
        </w:rPr>
        <w:t xml:space="preserve"> </w:t>
      </w:r>
      <w:r w:rsidR="007B77B1" w:rsidRPr="00080404">
        <w:rPr>
          <w:rFonts w:ascii="Georgia" w:hAnsi="Georgia" w:cs="Arial"/>
          <w:i/>
          <w:sz w:val="22"/>
          <w:lang w:val="es-419"/>
        </w:rPr>
        <w:t xml:space="preserve">se solicitará al juez (…) de familia (…) </w:t>
      </w:r>
      <w:r w:rsidR="007B77B1" w:rsidRPr="00080404">
        <w:rPr>
          <w:rFonts w:ascii="Georgia" w:hAnsi="Georgia" w:cs="Arial"/>
          <w:i/>
          <w:sz w:val="22"/>
          <w:u w:val="single"/>
          <w:lang w:val="es-419"/>
        </w:rPr>
        <w:t>la liquidación definitiva y en firme, debidamente especificada, del crédito que ante él se cobra y de las costas</w:t>
      </w:r>
      <w:r w:rsidR="007B77B1" w:rsidRPr="00080404">
        <w:rPr>
          <w:rFonts w:ascii="Georgia" w:hAnsi="Georgia" w:cs="Arial"/>
          <w:i/>
          <w:sz w:val="22"/>
          <w:lang w:val="es-419"/>
        </w:rPr>
        <w:t xml:space="preserve"> (…)”</w:t>
      </w:r>
      <w:r w:rsidRPr="00080404">
        <w:rPr>
          <w:rFonts w:ascii="Georgia" w:hAnsi="Georgia" w:cs="Arial"/>
          <w:sz w:val="22"/>
          <w:lang w:val="es-419"/>
        </w:rPr>
        <w:t xml:space="preserve"> </w:t>
      </w:r>
      <w:r w:rsidRPr="00080404">
        <w:rPr>
          <w:rFonts w:ascii="Georgia" w:hAnsi="Georgia" w:cs="Arial"/>
          <w:lang w:val="es-419"/>
        </w:rPr>
        <w:t>(Resaltado a propósito)</w:t>
      </w:r>
      <w:r w:rsidR="002D7435" w:rsidRPr="00080404">
        <w:rPr>
          <w:rFonts w:ascii="Georgia" w:hAnsi="Georgia" w:cs="Arial"/>
          <w:lang w:val="es-419"/>
        </w:rPr>
        <w:t xml:space="preserve">, </w:t>
      </w:r>
      <w:r w:rsidR="00A02C78" w:rsidRPr="00080404">
        <w:rPr>
          <w:rFonts w:ascii="Georgia" w:hAnsi="Georgia" w:cs="Arial"/>
          <w:lang w:val="es-419"/>
        </w:rPr>
        <w:t xml:space="preserve">actos que son propios de </w:t>
      </w:r>
      <w:r w:rsidR="008A3FD0" w:rsidRPr="00080404">
        <w:rPr>
          <w:rFonts w:ascii="Georgia" w:hAnsi="Georgia" w:cs="Arial"/>
          <w:lang w:val="es-419"/>
        </w:rPr>
        <w:t>trámites</w:t>
      </w:r>
      <w:r w:rsidRPr="00080404">
        <w:rPr>
          <w:rFonts w:ascii="Georgia" w:hAnsi="Georgia" w:cs="Arial"/>
          <w:lang w:val="es-419"/>
        </w:rPr>
        <w:t xml:space="preserve"> ejecutivos (Artículo</w:t>
      </w:r>
      <w:r w:rsidR="00A02C78" w:rsidRPr="00080404">
        <w:rPr>
          <w:rFonts w:ascii="Georgia" w:hAnsi="Georgia" w:cs="Arial"/>
          <w:lang w:val="es-419"/>
        </w:rPr>
        <w:t>s</w:t>
      </w:r>
      <w:r w:rsidRPr="00080404">
        <w:rPr>
          <w:rFonts w:ascii="Georgia" w:hAnsi="Georgia" w:cs="Arial"/>
          <w:lang w:val="es-419"/>
        </w:rPr>
        <w:t xml:space="preserve"> 446</w:t>
      </w:r>
      <w:r w:rsidR="00A02C78" w:rsidRPr="00080404">
        <w:rPr>
          <w:rFonts w:ascii="Georgia" w:hAnsi="Georgia" w:cs="Arial"/>
          <w:lang w:val="es-419"/>
        </w:rPr>
        <w:t xml:space="preserve"> y ss</w:t>
      </w:r>
      <w:r w:rsidRPr="00080404">
        <w:rPr>
          <w:rFonts w:ascii="Georgia" w:hAnsi="Georgia" w:cs="Arial"/>
          <w:lang w:val="es-419"/>
        </w:rPr>
        <w:t>, CGP)</w:t>
      </w:r>
      <w:r w:rsidR="00F475A3" w:rsidRPr="00080404">
        <w:rPr>
          <w:rFonts w:ascii="Georgia" w:hAnsi="Georgia" w:cs="Arial"/>
          <w:lang w:val="es-419"/>
        </w:rPr>
        <w:t xml:space="preserve"> y solo operan una vez obre decisión de seguir adelante con la ejecución</w:t>
      </w:r>
      <w:r w:rsidR="00E00821" w:rsidRPr="00080404">
        <w:rPr>
          <w:rFonts w:ascii="Georgia" w:hAnsi="Georgia" w:cs="Arial"/>
          <w:lang w:val="es-419"/>
        </w:rPr>
        <w:t xml:space="preserve">. </w:t>
      </w:r>
    </w:p>
    <w:p w:rsidR="00886F50" w:rsidRPr="00080404" w:rsidRDefault="00886F50" w:rsidP="00080404">
      <w:pPr>
        <w:spacing w:line="276" w:lineRule="auto"/>
        <w:ind w:right="51"/>
        <w:jc w:val="both"/>
        <w:rPr>
          <w:rFonts w:ascii="Georgia" w:hAnsi="Georgia" w:cs="Arial"/>
          <w:lang w:val="es-419"/>
        </w:rPr>
      </w:pPr>
    </w:p>
    <w:p w:rsidR="00D91168" w:rsidRPr="00080404" w:rsidRDefault="00D91168" w:rsidP="00080404">
      <w:pPr>
        <w:pStyle w:val="NormalWeb"/>
        <w:spacing w:after="0"/>
        <w:jc w:val="both"/>
        <w:rPr>
          <w:rFonts w:ascii="Georgia" w:hAnsi="Georgia"/>
          <w:i/>
          <w:spacing w:val="-10"/>
          <w:lang w:val="es-419"/>
        </w:rPr>
      </w:pPr>
      <w:r w:rsidRPr="00080404">
        <w:rPr>
          <w:rFonts w:ascii="Georgia" w:hAnsi="Georgia" w:cs="Arial"/>
          <w:lang w:val="es-419"/>
        </w:rPr>
        <w:t xml:space="preserve">Aquel parecer se </w:t>
      </w:r>
      <w:r w:rsidR="008A3FD0" w:rsidRPr="00080404">
        <w:rPr>
          <w:rFonts w:ascii="Georgia" w:hAnsi="Georgia" w:cs="Arial"/>
          <w:lang w:val="es-419"/>
        </w:rPr>
        <w:t>cimenta</w:t>
      </w:r>
      <w:r w:rsidRPr="00080404">
        <w:rPr>
          <w:rFonts w:ascii="Georgia" w:hAnsi="Georgia" w:cs="Arial"/>
          <w:lang w:val="es-419"/>
        </w:rPr>
        <w:t xml:space="preserve"> en </w:t>
      </w:r>
      <w:r w:rsidR="00370635" w:rsidRPr="00080404">
        <w:rPr>
          <w:rFonts w:ascii="Georgia" w:hAnsi="Georgia" w:cs="Arial"/>
          <w:lang w:val="es-419"/>
        </w:rPr>
        <w:t xml:space="preserve">jurisprudencia añeja de </w:t>
      </w:r>
      <w:r w:rsidRPr="00080404">
        <w:rPr>
          <w:rFonts w:ascii="Georgia" w:hAnsi="Georgia" w:cs="Arial"/>
          <w:lang w:val="es-419"/>
        </w:rPr>
        <w:t>la CC, iterada por la CSJ</w:t>
      </w:r>
      <w:r w:rsidR="00370635" w:rsidRPr="00080404">
        <w:rPr>
          <w:rStyle w:val="Refdenotaalpie"/>
          <w:rFonts w:ascii="Georgia" w:hAnsi="Georgia"/>
          <w:lang w:val="es-419"/>
        </w:rPr>
        <w:footnoteReference w:id="19"/>
      </w:r>
      <w:r w:rsidRPr="00080404">
        <w:rPr>
          <w:rFonts w:ascii="Georgia" w:hAnsi="Georgia" w:cs="Arial"/>
          <w:lang w:val="es-419"/>
        </w:rPr>
        <w:t>, en sede de tutela</w:t>
      </w:r>
      <w:r w:rsidR="00370635" w:rsidRPr="00080404">
        <w:rPr>
          <w:rFonts w:ascii="Georgia" w:hAnsi="Georgia" w:cs="Arial"/>
          <w:lang w:val="es-419"/>
        </w:rPr>
        <w:t xml:space="preserve"> (2019)</w:t>
      </w:r>
      <w:r w:rsidRPr="00080404">
        <w:rPr>
          <w:rFonts w:ascii="Georgia" w:hAnsi="Georgia" w:cs="Arial"/>
          <w:lang w:val="es-419"/>
        </w:rPr>
        <w:t xml:space="preserve">, al decir que: </w:t>
      </w:r>
      <w:r w:rsidRPr="00080404">
        <w:rPr>
          <w:rFonts w:ascii="Georgia" w:hAnsi="Georgia" w:cs="Arial"/>
          <w:i/>
          <w:sz w:val="22"/>
          <w:szCs w:val="22"/>
          <w:lang w:val="es-419"/>
        </w:rPr>
        <w:t xml:space="preserve">“(…) </w:t>
      </w:r>
      <w:r w:rsidRPr="00080404">
        <w:rPr>
          <w:rFonts w:ascii="Georgia" w:hAnsi="Georgia"/>
          <w:i/>
          <w:spacing w:val="-10"/>
          <w:sz w:val="22"/>
          <w:szCs w:val="22"/>
          <w:u w:val="single"/>
          <w:lang w:val="es-419"/>
        </w:rPr>
        <w:t xml:space="preserve">el artículo 542 del C. de P. C., (hoy 465 del Código General del Proceso) es precisamente la disposición pertinente para hacer efectiva la prelación de créditos ante la concurrencia de </w:t>
      </w:r>
      <w:r w:rsidRPr="00080404">
        <w:rPr>
          <w:rFonts w:ascii="Georgia" w:hAnsi="Georgia"/>
          <w:i/>
          <w:smallCaps/>
          <w:spacing w:val="-10"/>
          <w:sz w:val="22"/>
          <w:szCs w:val="22"/>
          <w:u w:val="single"/>
          <w:lang w:val="es-419"/>
        </w:rPr>
        <w:t>procesos ejecutivos</w:t>
      </w:r>
      <w:r w:rsidRPr="00080404">
        <w:rPr>
          <w:rFonts w:ascii="Georgia" w:hAnsi="Georgia"/>
          <w:i/>
          <w:spacing w:val="-10"/>
          <w:sz w:val="22"/>
          <w:szCs w:val="22"/>
          <w:u w:val="single"/>
          <w:lang w:val="es-419"/>
        </w:rPr>
        <w:t xml:space="preserve"> adelantados por distintas jurisdicciones en los cuales a su vez se han dictado medidas cautelares sobre los mismos</w:t>
      </w:r>
      <w:r w:rsidRPr="00080404">
        <w:rPr>
          <w:rFonts w:ascii="Georgia" w:hAnsi="Georgia"/>
          <w:i/>
          <w:spacing w:val="-10"/>
          <w:sz w:val="22"/>
          <w:szCs w:val="22"/>
          <w:lang w:val="es-419"/>
        </w:rPr>
        <w:t xml:space="preserve"> bienes (…)”</w:t>
      </w:r>
      <w:r w:rsidRPr="00080404">
        <w:rPr>
          <w:rFonts w:ascii="Georgia" w:hAnsi="Georgia"/>
          <w:i/>
          <w:spacing w:val="-10"/>
          <w:lang w:val="es-419"/>
        </w:rPr>
        <w:t xml:space="preserve"> </w:t>
      </w:r>
      <w:r w:rsidR="00A02C78" w:rsidRPr="00080404">
        <w:rPr>
          <w:rFonts w:ascii="Georgia" w:hAnsi="Georgia"/>
          <w:spacing w:val="-10"/>
          <w:lang w:val="es-419"/>
        </w:rPr>
        <w:t>(Sul</w:t>
      </w:r>
      <w:r w:rsidRPr="00080404">
        <w:rPr>
          <w:rFonts w:ascii="Georgia" w:hAnsi="Georgia"/>
          <w:spacing w:val="-10"/>
          <w:lang w:val="es-419"/>
        </w:rPr>
        <w:t>ínea original y versalitas propias)</w:t>
      </w:r>
      <w:r w:rsidRPr="00080404">
        <w:rPr>
          <w:rFonts w:ascii="Georgia" w:hAnsi="Georgia"/>
          <w:i/>
          <w:spacing w:val="-10"/>
          <w:lang w:val="es-419"/>
        </w:rPr>
        <w:t>.</w:t>
      </w:r>
    </w:p>
    <w:p w:rsidR="00D91168" w:rsidRPr="00080404" w:rsidRDefault="00D91168" w:rsidP="00080404">
      <w:pPr>
        <w:spacing w:line="276" w:lineRule="auto"/>
        <w:ind w:right="51"/>
        <w:jc w:val="both"/>
        <w:rPr>
          <w:rFonts w:ascii="Georgia" w:hAnsi="Georgia" w:cs="Arial"/>
          <w:lang w:val="es-419"/>
        </w:rPr>
      </w:pPr>
    </w:p>
    <w:p w:rsidR="00886F50" w:rsidRPr="00080404" w:rsidRDefault="00886F50" w:rsidP="00080404">
      <w:pPr>
        <w:spacing w:line="276" w:lineRule="auto"/>
        <w:ind w:right="51"/>
        <w:jc w:val="both"/>
        <w:rPr>
          <w:rFonts w:ascii="Georgia" w:hAnsi="Georgia" w:cs="Arial"/>
          <w:lang w:val="es-419"/>
        </w:rPr>
      </w:pPr>
      <w:r w:rsidRPr="00080404">
        <w:rPr>
          <w:rFonts w:ascii="Georgia" w:hAnsi="Georgia" w:cs="Arial"/>
          <w:lang w:val="es-419"/>
        </w:rPr>
        <w:t xml:space="preserve">El proceso verbal </w:t>
      </w:r>
      <w:r w:rsidR="00A02C78" w:rsidRPr="00080404">
        <w:rPr>
          <w:rFonts w:ascii="Georgia" w:hAnsi="Georgia" w:cs="Arial"/>
          <w:lang w:val="es-419"/>
        </w:rPr>
        <w:t xml:space="preserve">que cursa ante el accionado es un declarativo </w:t>
      </w:r>
      <w:r w:rsidR="007626C1" w:rsidRPr="00080404">
        <w:rPr>
          <w:rFonts w:ascii="Georgia" w:hAnsi="Georgia" w:cs="Arial"/>
          <w:lang w:val="es-419"/>
        </w:rPr>
        <w:t xml:space="preserve">orientado a </w:t>
      </w:r>
      <w:r w:rsidR="00A02C78" w:rsidRPr="00080404">
        <w:rPr>
          <w:rFonts w:ascii="Georgia" w:hAnsi="Georgia" w:cs="Arial"/>
          <w:lang w:val="es-419"/>
        </w:rPr>
        <w:t xml:space="preserve">reconocer la obligación del </w:t>
      </w:r>
      <w:r w:rsidRPr="00080404">
        <w:rPr>
          <w:rFonts w:ascii="Georgia" w:hAnsi="Georgia" w:cs="Arial"/>
          <w:lang w:val="es-419"/>
        </w:rPr>
        <w:t xml:space="preserve">demandado de </w:t>
      </w:r>
      <w:r w:rsidR="008A3FD0" w:rsidRPr="00080404">
        <w:rPr>
          <w:rFonts w:ascii="Georgia" w:hAnsi="Georgia" w:cs="Arial"/>
          <w:lang w:val="es-419"/>
        </w:rPr>
        <w:t>suministrar alimentos</w:t>
      </w:r>
      <w:r w:rsidRPr="00080404">
        <w:rPr>
          <w:rFonts w:ascii="Georgia" w:hAnsi="Georgia" w:cs="Arial"/>
          <w:lang w:val="es-419"/>
        </w:rPr>
        <w:t xml:space="preserve"> y fijar </w:t>
      </w:r>
      <w:r w:rsidR="00A02C78" w:rsidRPr="00080404">
        <w:rPr>
          <w:rFonts w:ascii="Georgia" w:hAnsi="Georgia" w:cs="Arial"/>
          <w:lang w:val="es-419"/>
        </w:rPr>
        <w:t>su monto o cuantía</w:t>
      </w:r>
      <w:r w:rsidR="008A3FD0" w:rsidRPr="00080404">
        <w:rPr>
          <w:rFonts w:ascii="Georgia" w:hAnsi="Georgia" w:cs="Arial"/>
          <w:lang w:val="es-419"/>
        </w:rPr>
        <w:t>,</w:t>
      </w:r>
      <w:r w:rsidRPr="00080404">
        <w:rPr>
          <w:rFonts w:ascii="Georgia" w:hAnsi="Georgia" w:cs="Arial"/>
          <w:lang w:val="es-419"/>
        </w:rPr>
        <w:t xml:space="preserve"> por lo tanto, hasta que no haya sentencia en firme, es incierto que la </w:t>
      </w:r>
      <w:r w:rsidR="007626C1" w:rsidRPr="00080404">
        <w:rPr>
          <w:rFonts w:ascii="Georgia" w:hAnsi="Georgia" w:cs="Arial"/>
          <w:lang w:val="es-419"/>
        </w:rPr>
        <w:t>demandante</w:t>
      </w:r>
      <w:r w:rsidRPr="00080404">
        <w:rPr>
          <w:rFonts w:ascii="Georgia" w:hAnsi="Georgia" w:cs="Arial"/>
          <w:lang w:val="es-419"/>
        </w:rPr>
        <w:t xml:space="preserve"> sea una alimentaria que le asiste el derecho a reclamarlos</w:t>
      </w:r>
      <w:r w:rsidR="008A3FD0" w:rsidRPr="00080404">
        <w:rPr>
          <w:rFonts w:ascii="Georgia" w:hAnsi="Georgia" w:cs="Arial"/>
          <w:lang w:val="es-419"/>
        </w:rPr>
        <w:t xml:space="preserve">; es </w:t>
      </w:r>
      <w:r w:rsidR="00370635" w:rsidRPr="00080404">
        <w:rPr>
          <w:rFonts w:ascii="Georgia" w:hAnsi="Georgia" w:cs="Arial"/>
          <w:lang w:val="es-419"/>
        </w:rPr>
        <w:t>una mera expectativa</w:t>
      </w:r>
      <w:r w:rsidRPr="00080404">
        <w:rPr>
          <w:rFonts w:ascii="Georgia" w:hAnsi="Georgia" w:cs="Arial"/>
          <w:lang w:val="es-419"/>
        </w:rPr>
        <w:t>. En contraste</w:t>
      </w:r>
      <w:r w:rsidR="002D7435" w:rsidRPr="00080404">
        <w:rPr>
          <w:rFonts w:ascii="Georgia" w:hAnsi="Georgia" w:cs="Arial"/>
          <w:lang w:val="es-419"/>
        </w:rPr>
        <w:t>,</w:t>
      </w:r>
      <w:r w:rsidRPr="00080404">
        <w:rPr>
          <w:rFonts w:ascii="Georgia" w:hAnsi="Georgia" w:cs="Arial"/>
          <w:lang w:val="es-419"/>
        </w:rPr>
        <w:t xml:space="preserve"> la ejecución se erige </w:t>
      </w:r>
      <w:r w:rsidR="007626C1" w:rsidRPr="00080404">
        <w:rPr>
          <w:rFonts w:ascii="Georgia" w:hAnsi="Georgia" w:cs="Arial"/>
          <w:lang w:val="es-419"/>
        </w:rPr>
        <w:t>sobre</w:t>
      </w:r>
      <w:r w:rsidRPr="00080404">
        <w:rPr>
          <w:rFonts w:ascii="Georgia" w:hAnsi="Georgia" w:cs="Arial"/>
          <w:lang w:val="es-419"/>
        </w:rPr>
        <w:t xml:space="preserve"> la certeza de </w:t>
      </w:r>
      <w:r w:rsidR="00370635" w:rsidRPr="00080404">
        <w:rPr>
          <w:rFonts w:ascii="Georgia" w:hAnsi="Georgia" w:cs="Arial"/>
          <w:lang w:val="es-419"/>
        </w:rPr>
        <w:t xml:space="preserve">una </w:t>
      </w:r>
      <w:r w:rsidRPr="00080404">
        <w:rPr>
          <w:rFonts w:ascii="Georgia" w:hAnsi="Georgia" w:cs="Arial"/>
          <w:lang w:val="es-419"/>
        </w:rPr>
        <w:t>acreencia</w:t>
      </w:r>
      <w:r w:rsidR="00370635" w:rsidRPr="00080404">
        <w:rPr>
          <w:rFonts w:ascii="Georgia" w:hAnsi="Georgia" w:cs="Arial"/>
          <w:lang w:val="es-419"/>
        </w:rPr>
        <w:t xml:space="preserve"> que se adeuda</w:t>
      </w:r>
      <w:r w:rsidR="00E00821" w:rsidRPr="00080404">
        <w:rPr>
          <w:rFonts w:ascii="Georgia" w:hAnsi="Georgia" w:cs="Arial"/>
          <w:lang w:val="es-419"/>
        </w:rPr>
        <w:t xml:space="preserve">, </w:t>
      </w:r>
      <w:r w:rsidR="00A02C78" w:rsidRPr="00080404">
        <w:rPr>
          <w:rFonts w:ascii="Georgia" w:hAnsi="Georgia" w:cs="Arial"/>
          <w:lang w:val="es-419"/>
        </w:rPr>
        <w:t>es decir</w:t>
      </w:r>
      <w:r w:rsidR="00370635" w:rsidRPr="00080404">
        <w:rPr>
          <w:rFonts w:ascii="Georgia" w:hAnsi="Georgia" w:cs="Arial"/>
          <w:lang w:val="es-419"/>
        </w:rPr>
        <w:t>,</w:t>
      </w:r>
      <w:r w:rsidR="00E00821" w:rsidRPr="00080404">
        <w:rPr>
          <w:rFonts w:ascii="Georgia" w:hAnsi="Georgia" w:cs="Arial"/>
          <w:lang w:val="es-419"/>
        </w:rPr>
        <w:t xml:space="preserve"> </w:t>
      </w:r>
      <w:r w:rsidR="007626C1" w:rsidRPr="00080404">
        <w:rPr>
          <w:rFonts w:ascii="Georgia" w:hAnsi="Georgia" w:cs="Arial"/>
          <w:lang w:val="es-419"/>
        </w:rPr>
        <w:t xml:space="preserve">la existencia de un </w:t>
      </w:r>
      <w:r w:rsidR="00A02C78" w:rsidRPr="00080404">
        <w:rPr>
          <w:rFonts w:ascii="Georgia" w:hAnsi="Georgia" w:cs="Arial"/>
          <w:lang w:val="es-419"/>
        </w:rPr>
        <w:t>título ejecutivo</w:t>
      </w:r>
      <w:r w:rsidR="007626C1" w:rsidRPr="00080404">
        <w:rPr>
          <w:rFonts w:ascii="Georgia" w:hAnsi="Georgia" w:cs="Arial"/>
          <w:lang w:val="es-419"/>
        </w:rPr>
        <w:t xml:space="preserve"> contentivo de la obligación supuestamente dejada de pagar</w:t>
      </w:r>
      <w:r w:rsidR="00E00821" w:rsidRPr="00080404">
        <w:rPr>
          <w:rFonts w:ascii="Georgia" w:hAnsi="Georgia" w:cs="Arial"/>
          <w:lang w:val="es-419"/>
        </w:rPr>
        <w:t>.</w:t>
      </w:r>
      <w:r w:rsidRPr="00080404">
        <w:rPr>
          <w:rFonts w:ascii="Georgia" w:hAnsi="Georgia" w:cs="Arial"/>
          <w:lang w:val="es-419"/>
        </w:rPr>
        <w:t xml:space="preserve"> </w:t>
      </w:r>
    </w:p>
    <w:p w:rsidR="00886F50" w:rsidRPr="00080404" w:rsidRDefault="00886F50" w:rsidP="00080404">
      <w:pPr>
        <w:spacing w:line="276" w:lineRule="auto"/>
        <w:ind w:right="51"/>
        <w:jc w:val="both"/>
        <w:rPr>
          <w:rFonts w:ascii="Georgia" w:hAnsi="Georgia" w:cs="Arial"/>
          <w:lang w:val="es-419"/>
        </w:rPr>
      </w:pPr>
    </w:p>
    <w:p w:rsidR="00D91168" w:rsidRPr="00080404" w:rsidRDefault="00E00821" w:rsidP="00080404">
      <w:pPr>
        <w:pStyle w:val="NormalWeb"/>
        <w:spacing w:after="0"/>
        <w:jc w:val="both"/>
        <w:rPr>
          <w:rFonts w:ascii="Georgia" w:hAnsi="Georgia" w:cs="Arial"/>
          <w:lang w:val="es-419"/>
        </w:rPr>
      </w:pPr>
      <w:r w:rsidRPr="00080404">
        <w:rPr>
          <w:rFonts w:ascii="Georgia" w:hAnsi="Georgia" w:cs="Arial"/>
          <w:lang w:val="es-419"/>
        </w:rPr>
        <w:t>Importante relievar</w:t>
      </w:r>
      <w:r w:rsidR="00370635" w:rsidRPr="00080404">
        <w:rPr>
          <w:rFonts w:ascii="Georgia" w:hAnsi="Georgia" w:cs="Arial"/>
          <w:lang w:val="es-419"/>
        </w:rPr>
        <w:t>, además,</w:t>
      </w:r>
      <w:r w:rsidR="00177A7C" w:rsidRPr="00080404">
        <w:rPr>
          <w:rFonts w:ascii="Georgia" w:hAnsi="Georgia" w:cs="Arial"/>
          <w:lang w:val="es-419"/>
        </w:rPr>
        <w:t xml:space="preserve"> que el mentado artículo no prevé la </w:t>
      </w:r>
      <w:r w:rsidR="007626C1" w:rsidRPr="00080404">
        <w:rPr>
          <w:rFonts w:ascii="Georgia" w:hAnsi="Georgia" w:cs="Arial"/>
          <w:lang w:val="es-419"/>
        </w:rPr>
        <w:t>concurrencia</w:t>
      </w:r>
      <w:r w:rsidR="00177A7C" w:rsidRPr="00080404">
        <w:rPr>
          <w:rFonts w:ascii="Georgia" w:hAnsi="Georgia" w:cs="Arial"/>
          <w:lang w:val="es-419"/>
        </w:rPr>
        <w:t xml:space="preserve"> de embargos, sino la prelación de pagos</w:t>
      </w:r>
      <w:r w:rsidR="00D91168" w:rsidRPr="00080404">
        <w:rPr>
          <w:rFonts w:ascii="Georgia" w:hAnsi="Georgia" w:cs="Arial"/>
          <w:lang w:val="es-419"/>
        </w:rPr>
        <w:t>,</w:t>
      </w:r>
      <w:r w:rsidR="00177A7C" w:rsidRPr="00080404">
        <w:rPr>
          <w:rFonts w:ascii="Georgia" w:hAnsi="Georgia" w:cs="Arial"/>
          <w:lang w:val="es-419"/>
        </w:rPr>
        <w:t xml:space="preserve"> </w:t>
      </w:r>
      <w:r w:rsidR="00D91168" w:rsidRPr="00080404">
        <w:rPr>
          <w:rFonts w:ascii="Georgia" w:hAnsi="Georgia" w:cs="Arial"/>
          <w:lang w:val="es-419"/>
        </w:rPr>
        <w:t xml:space="preserve">de acuerdo con </w:t>
      </w:r>
      <w:r w:rsidR="00177A7C" w:rsidRPr="00080404">
        <w:rPr>
          <w:rFonts w:ascii="Georgia" w:hAnsi="Georgia" w:cs="Arial"/>
          <w:lang w:val="es-419"/>
        </w:rPr>
        <w:t xml:space="preserve">el sistema de preferencias </w:t>
      </w:r>
      <w:r w:rsidR="00D91168" w:rsidRPr="00080404">
        <w:rPr>
          <w:rFonts w:ascii="Georgia" w:hAnsi="Georgia" w:cs="Arial"/>
          <w:lang w:val="es-419"/>
        </w:rPr>
        <w:t xml:space="preserve">creado </w:t>
      </w:r>
      <w:r w:rsidR="00177A7C" w:rsidRPr="00080404">
        <w:rPr>
          <w:rFonts w:ascii="Georgia" w:hAnsi="Georgia" w:cs="Arial"/>
          <w:lang w:val="es-419"/>
        </w:rPr>
        <w:t xml:space="preserve">por el legislador </w:t>
      </w:r>
      <w:r w:rsidR="00D91168" w:rsidRPr="00080404">
        <w:rPr>
          <w:rFonts w:ascii="Georgia" w:hAnsi="Georgia" w:cs="Arial"/>
          <w:lang w:val="es-419"/>
        </w:rPr>
        <w:t xml:space="preserve">(Artículos 2494 y ss., CC), </w:t>
      </w:r>
      <w:r w:rsidR="00177A7C" w:rsidRPr="00080404">
        <w:rPr>
          <w:rFonts w:ascii="Georgia" w:hAnsi="Georgia" w:cs="Arial"/>
          <w:lang w:val="es-419"/>
        </w:rPr>
        <w:t xml:space="preserve">por </w:t>
      </w:r>
      <w:r w:rsidR="00D91168" w:rsidRPr="00080404">
        <w:rPr>
          <w:rFonts w:ascii="Georgia" w:hAnsi="Georgia" w:cs="Arial"/>
          <w:lang w:val="es-419"/>
        </w:rPr>
        <w:t xml:space="preserve">lo que resulta impropio el embargo de los dineros retenidos en una ejecución, como lo depreca la accionante; </w:t>
      </w:r>
      <w:r w:rsidR="008A3FD0" w:rsidRPr="00080404">
        <w:rPr>
          <w:rFonts w:ascii="Georgia" w:hAnsi="Georgia" w:cs="Arial"/>
          <w:lang w:val="es-419"/>
        </w:rPr>
        <w:t xml:space="preserve">la norma es clara en señalar que se </w:t>
      </w:r>
      <w:r w:rsidR="00D91168" w:rsidRPr="00080404">
        <w:rPr>
          <w:rFonts w:ascii="Georgia" w:hAnsi="Georgia" w:cs="Arial"/>
          <w:lang w:val="es-419"/>
        </w:rPr>
        <w:t xml:space="preserve">preserva la </w:t>
      </w:r>
      <w:r w:rsidR="008A3FD0" w:rsidRPr="00080404">
        <w:rPr>
          <w:rFonts w:ascii="Georgia" w:hAnsi="Georgia" w:cs="Arial"/>
          <w:lang w:val="es-419"/>
        </w:rPr>
        <w:t xml:space="preserve">medida </w:t>
      </w:r>
      <w:r w:rsidR="00D91168" w:rsidRPr="00080404">
        <w:rPr>
          <w:rFonts w:ascii="Georgia" w:hAnsi="Georgia" w:cs="Arial"/>
          <w:lang w:val="es-419"/>
        </w:rPr>
        <w:t xml:space="preserve">decretada en el proceso ejecutivo civil, pero con la salvedad de que los bienes retenidos deben garantizar el pago de los créditos según su jerarquía. </w:t>
      </w:r>
    </w:p>
    <w:p w:rsidR="00175DF8" w:rsidRPr="00080404" w:rsidRDefault="00175DF8" w:rsidP="00080404">
      <w:pPr>
        <w:pStyle w:val="NormalWeb"/>
        <w:spacing w:after="0"/>
        <w:jc w:val="both"/>
        <w:rPr>
          <w:rFonts w:ascii="Georgia" w:hAnsi="Georgia" w:cs="Arial"/>
          <w:lang w:val="es-419"/>
        </w:rPr>
      </w:pPr>
    </w:p>
    <w:p w:rsidR="00D91168" w:rsidRPr="00080404" w:rsidRDefault="008A3FD0" w:rsidP="00080404">
      <w:pPr>
        <w:pStyle w:val="NormalWeb"/>
        <w:spacing w:after="0"/>
        <w:jc w:val="both"/>
        <w:rPr>
          <w:rFonts w:ascii="Georgia" w:hAnsi="Georgia" w:cs="Arial"/>
          <w:lang w:val="es-419"/>
        </w:rPr>
      </w:pPr>
      <w:r w:rsidRPr="00080404">
        <w:rPr>
          <w:rFonts w:ascii="Georgia" w:hAnsi="Georgia" w:cs="Arial"/>
          <w:lang w:val="es-419"/>
        </w:rPr>
        <w:t xml:space="preserve">Por último, aun cuando no sea el </w:t>
      </w:r>
      <w:r w:rsidR="00175DF8" w:rsidRPr="00080404">
        <w:rPr>
          <w:rFonts w:ascii="Georgia" w:hAnsi="Georgia" w:cs="Arial"/>
          <w:lang w:val="es-419"/>
        </w:rPr>
        <w:t>objeto</w:t>
      </w:r>
      <w:r w:rsidRPr="00080404">
        <w:rPr>
          <w:rFonts w:ascii="Georgia" w:hAnsi="Georgia" w:cs="Arial"/>
          <w:lang w:val="es-419"/>
        </w:rPr>
        <w:t xml:space="preserve"> del amparo</w:t>
      </w:r>
      <w:r w:rsidR="00175DF8" w:rsidRPr="00080404">
        <w:rPr>
          <w:rFonts w:ascii="Georgia" w:hAnsi="Georgia" w:cs="Arial"/>
          <w:lang w:val="es-419"/>
        </w:rPr>
        <w:t xml:space="preserve">, se hace hincapié </w:t>
      </w:r>
      <w:r w:rsidR="007626C1" w:rsidRPr="00080404">
        <w:rPr>
          <w:rFonts w:ascii="Georgia" w:hAnsi="Georgia" w:cs="Arial"/>
          <w:lang w:val="es-419"/>
        </w:rPr>
        <w:t xml:space="preserve">en </w:t>
      </w:r>
      <w:r w:rsidR="00175DF8" w:rsidRPr="00080404">
        <w:rPr>
          <w:rFonts w:ascii="Georgia" w:hAnsi="Georgia" w:cs="Arial"/>
          <w:lang w:val="es-419"/>
        </w:rPr>
        <w:t xml:space="preserve">que en los procesos verbales de alimentos para mayores de edad, la medida aplicable </w:t>
      </w:r>
      <w:r w:rsidR="007626C1" w:rsidRPr="00080404">
        <w:rPr>
          <w:rFonts w:ascii="Georgia" w:hAnsi="Georgia" w:cs="Arial"/>
          <w:lang w:val="es-419"/>
        </w:rPr>
        <w:t xml:space="preserve">es </w:t>
      </w:r>
      <w:r w:rsidR="00175DF8" w:rsidRPr="00080404">
        <w:rPr>
          <w:rFonts w:ascii="Georgia" w:hAnsi="Georgia" w:cs="Arial"/>
          <w:lang w:val="es-419"/>
        </w:rPr>
        <w:t xml:space="preserve">la fijación de cuota provisional (Artículo 397-1º, CGP); y, solo en caso de que el demandado no la pague, el demandante podrá promover el proceso ejecutivo junto con la </w:t>
      </w:r>
      <w:r w:rsidR="007626C1" w:rsidRPr="00080404">
        <w:rPr>
          <w:rFonts w:ascii="Georgia" w:hAnsi="Georgia" w:cs="Arial"/>
          <w:lang w:val="es-419"/>
        </w:rPr>
        <w:t xml:space="preserve">cautela </w:t>
      </w:r>
      <w:r w:rsidR="00175DF8" w:rsidRPr="00080404">
        <w:rPr>
          <w:rFonts w:ascii="Georgia" w:hAnsi="Georgia" w:cs="Arial"/>
          <w:lang w:val="es-419"/>
        </w:rPr>
        <w:t xml:space="preserve">de embargo. Difiere del </w:t>
      </w:r>
      <w:r w:rsidR="007626C1" w:rsidRPr="00080404">
        <w:rPr>
          <w:rFonts w:ascii="Georgia" w:hAnsi="Georgia" w:cs="Arial"/>
          <w:lang w:val="es-419"/>
        </w:rPr>
        <w:t xml:space="preserve">regulado para </w:t>
      </w:r>
      <w:r w:rsidR="00175DF8" w:rsidRPr="00080404">
        <w:rPr>
          <w:rFonts w:ascii="Georgia" w:hAnsi="Georgia" w:cs="Arial"/>
          <w:lang w:val="es-419"/>
        </w:rPr>
        <w:t>menores</w:t>
      </w:r>
      <w:r w:rsidR="007626C1" w:rsidRPr="00080404">
        <w:rPr>
          <w:rFonts w:ascii="Georgia" w:hAnsi="Georgia" w:cs="Arial"/>
          <w:lang w:val="es-419"/>
        </w:rPr>
        <w:t>,</w:t>
      </w:r>
      <w:r w:rsidR="00175DF8" w:rsidRPr="00080404">
        <w:rPr>
          <w:rFonts w:ascii="Georgia" w:hAnsi="Georgia" w:cs="Arial"/>
          <w:lang w:val="es-419"/>
        </w:rPr>
        <w:t xml:space="preserve"> en cuanto que </w:t>
      </w:r>
      <w:r w:rsidR="002D7435" w:rsidRPr="00080404">
        <w:rPr>
          <w:rFonts w:ascii="Georgia" w:hAnsi="Georgia" w:cs="Arial"/>
          <w:lang w:val="es-419"/>
        </w:rPr>
        <w:t xml:space="preserve">para </w:t>
      </w:r>
      <w:r w:rsidR="003529E8" w:rsidRPr="00080404">
        <w:rPr>
          <w:rFonts w:ascii="Georgia" w:hAnsi="Georgia" w:cs="Arial"/>
          <w:lang w:val="es-419"/>
        </w:rPr>
        <w:t xml:space="preserve">el decreto de estas medidas </w:t>
      </w:r>
      <w:r w:rsidR="00175DF8" w:rsidRPr="00080404">
        <w:rPr>
          <w:rFonts w:ascii="Georgia" w:hAnsi="Georgia" w:cs="Arial"/>
          <w:lang w:val="es-419"/>
        </w:rPr>
        <w:t xml:space="preserve">no se exige la </w:t>
      </w:r>
      <w:r w:rsidR="002D7435" w:rsidRPr="00080404">
        <w:rPr>
          <w:rFonts w:ascii="Georgia" w:hAnsi="Georgia" w:cs="Arial"/>
          <w:lang w:val="es-419"/>
        </w:rPr>
        <w:t xml:space="preserve">previa </w:t>
      </w:r>
      <w:r w:rsidR="00175DF8" w:rsidRPr="00080404">
        <w:rPr>
          <w:rFonts w:ascii="Georgia" w:hAnsi="Georgia" w:cs="Arial"/>
          <w:lang w:val="es-419"/>
        </w:rPr>
        <w:t xml:space="preserve">promoción </w:t>
      </w:r>
      <w:r w:rsidR="002D7435" w:rsidRPr="00080404">
        <w:rPr>
          <w:rFonts w:ascii="Georgia" w:hAnsi="Georgia" w:cs="Arial"/>
          <w:lang w:val="es-419"/>
        </w:rPr>
        <w:t>d</w:t>
      </w:r>
      <w:r w:rsidR="003529E8" w:rsidRPr="00080404">
        <w:rPr>
          <w:rFonts w:ascii="Georgia" w:hAnsi="Georgia" w:cs="Arial"/>
          <w:lang w:val="es-419"/>
        </w:rPr>
        <w:t xml:space="preserve">el ejecutivo </w:t>
      </w:r>
      <w:r w:rsidR="00175DF8" w:rsidRPr="00080404">
        <w:rPr>
          <w:rFonts w:ascii="Georgia" w:hAnsi="Georgia" w:cs="Arial"/>
          <w:lang w:val="es-419"/>
        </w:rPr>
        <w:t xml:space="preserve">(Artículo 129-3º, Ley 1098). </w:t>
      </w:r>
      <w:r w:rsidR="003529E8" w:rsidRPr="00080404">
        <w:rPr>
          <w:rFonts w:ascii="Georgia" w:hAnsi="Georgia" w:cs="Arial"/>
          <w:lang w:val="es-419"/>
        </w:rPr>
        <w:t>Para mayor comprensión puede consultarse la doctrina nacional</w:t>
      </w:r>
      <w:r w:rsidR="003529E8" w:rsidRPr="00080404">
        <w:rPr>
          <w:rStyle w:val="Refdenotaalpie"/>
          <w:rFonts w:ascii="Georgia" w:hAnsi="Georgia"/>
          <w:lang w:val="es-419"/>
        </w:rPr>
        <w:footnoteReference w:id="20"/>
      </w:r>
      <w:r w:rsidR="003529E8" w:rsidRPr="00080404">
        <w:rPr>
          <w:rFonts w:ascii="Georgia" w:hAnsi="Georgia" w:cs="Arial"/>
          <w:vertAlign w:val="superscript"/>
          <w:lang w:val="es-419"/>
        </w:rPr>
        <w:t>-</w:t>
      </w:r>
      <w:r w:rsidR="003529E8" w:rsidRPr="00080404">
        <w:rPr>
          <w:rStyle w:val="Refdenotaalpie"/>
          <w:rFonts w:ascii="Georgia" w:hAnsi="Georgia"/>
          <w:lang w:val="es-419"/>
        </w:rPr>
        <w:footnoteReference w:id="21"/>
      </w:r>
      <w:r w:rsidR="003529E8" w:rsidRPr="00080404">
        <w:rPr>
          <w:rFonts w:ascii="Georgia" w:hAnsi="Georgia" w:cs="Arial"/>
          <w:lang w:val="es-419"/>
        </w:rPr>
        <w:t xml:space="preserve">. </w:t>
      </w:r>
    </w:p>
    <w:p w:rsidR="003529E8" w:rsidRPr="00080404" w:rsidRDefault="003529E8" w:rsidP="00080404">
      <w:pPr>
        <w:pStyle w:val="NormalWeb"/>
        <w:spacing w:after="0"/>
        <w:jc w:val="both"/>
        <w:rPr>
          <w:rFonts w:ascii="Georgia" w:hAnsi="Georgia" w:cs="Arial"/>
          <w:lang w:val="es-419"/>
        </w:rPr>
      </w:pPr>
    </w:p>
    <w:p w:rsidR="0091345B" w:rsidRDefault="0091345B" w:rsidP="00080404">
      <w:pPr>
        <w:spacing w:line="276" w:lineRule="auto"/>
        <w:jc w:val="both"/>
        <w:rPr>
          <w:rFonts w:ascii="Georgia" w:hAnsi="Georgia" w:cs="Arial"/>
          <w:lang w:val="es-419"/>
        </w:rPr>
      </w:pPr>
      <w:r w:rsidRPr="00080404">
        <w:rPr>
          <w:rFonts w:ascii="Georgia" w:hAnsi="Georgia" w:cs="Arial"/>
          <w:lang w:val="es-419"/>
        </w:rPr>
        <w:t xml:space="preserve">En mérito de lo expuesto, el </w:t>
      </w:r>
      <w:r w:rsidRPr="00080404">
        <w:rPr>
          <w:rFonts w:ascii="Georgia" w:hAnsi="Georgia" w:cs="Arial"/>
          <w:bCs/>
          <w:smallCaps/>
          <w:lang w:val="es-419"/>
        </w:rPr>
        <w:t>Tribunal Superior del Distrito Judicial de Pereira, Sala de Decisión Civil -Familia</w:t>
      </w:r>
      <w:r w:rsidRPr="00080404">
        <w:rPr>
          <w:rFonts w:ascii="Georgia" w:hAnsi="Georgia" w:cs="Arial"/>
          <w:lang w:val="es-419"/>
        </w:rPr>
        <w:t>, administrando Justicia en nombre de la República de Colombia y por autoridad de la Ley,</w:t>
      </w:r>
    </w:p>
    <w:p w:rsidR="00073E20" w:rsidRPr="00080404" w:rsidRDefault="00073E20" w:rsidP="00073E20">
      <w:pPr>
        <w:pStyle w:val="NormalWeb"/>
        <w:spacing w:after="0"/>
        <w:jc w:val="both"/>
        <w:rPr>
          <w:rFonts w:ascii="Georgia" w:hAnsi="Georgia" w:cs="Arial"/>
          <w:lang w:val="es-419"/>
        </w:rPr>
      </w:pPr>
    </w:p>
    <w:p w:rsidR="00853A03" w:rsidRPr="00080404" w:rsidRDefault="00853A03" w:rsidP="00080404">
      <w:pPr>
        <w:pStyle w:val="Textoindependiente"/>
        <w:tabs>
          <w:tab w:val="left" w:pos="3155"/>
          <w:tab w:val="center" w:pos="4703"/>
        </w:tabs>
        <w:spacing w:line="276" w:lineRule="auto"/>
        <w:jc w:val="center"/>
        <w:rPr>
          <w:rFonts w:ascii="Georgia" w:hAnsi="Georgia" w:cs="Arial"/>
          <w:bCs/>
          <w:smallCaps/>
          <w:szCs w:val="24"/>
          <w:lang w:val="es-419"/>
        </w:rPr>
      </w:pPr>
      <w:r w:rsidRPr="00080404">
        <w:rPr>
          <w:rFonts w:ascii="Georgia" w:hAnsi="Georgia" w:cs="Arial"/>
          <w:bCs/>
          <w:smallCaps/>
          <w:szCs w:val="24"/>
          <w:lang w:val="es-419"/>
        </w:rPr>
        <w:t>F A L L A</w:t>
      </w:r>
    </w:p>
    <w:p w:rsidR="00785FA3" w:rsidRPr="00073E20" w:rsidRDefault="00785FA3" w:rsidP="00073E20">
      <w:pPr>
        <w:pStyle w:val="NormalWeb"/>
        <w:spacing w:after="0"/>
        <w:jc w:val="both"/>
        <w:rPr>
          <w:rFonts w:ascii="Georgia" w:hAnsi="Georgia" w:cs="Arial"/>
          <w:lang w:val="es-419"/>
        </w:rPr>
      </w:pPr>
    </w:p>
    <w:p w:rsidR="003529E8" w:rsidRPr="00080404" w:rsidRDefault="00F030E3" w:rsidP="00080404">
      <w:pPr>
        <w:pStyle w:val="Textoindependiente"/>
        <w:numPr>
          <w:ilvl w:val="0"/>
          <w:numId w:val="6"/>
        </w:numPr>
        <w:tabs>
          <w:tab w:val="clear" w:pos="720"/>
        </w:tabs>
        <w:spacing w:line="276" w:lineRule="auto"/>
        <w:ind w:left="426" w:hanging="426"/>
        <w:rPr>
          <w:rFonts w:ascii="Georgia" w:hAnsi="Georgia" w:cs="Arial"/>
          <w:szCs w:val="24"/>
          <w:lang w:val="es-419"/>
        </w:rPr>
      </w:pPr>
      <w:r w:rsidRPr="00080404">
        <w:rPr>
          <w:rFonts w:ascii="Georgia" w:hAnsi="Georgia" w:cs="Arial"/>
          <w:szCs w:val="24"/>
          <w:lang w:val="es-419"/>
        </w:rPr>
        <w:t xml:space="preserve">CONFIRMAR </w:t>
      </w:r>
      <w:r w:rsidR="003529E8" w:rsidRPr="00080404">
        <w:rPr>
          <w:rFonts w:ascii="Georgia" w:hAnsi="Georgia" w:cs="Arial"/>
          <w:szCs w:val="24"/>
          <w:lang w:val="es-419"/>
        </w:rPr>
        <w:t xml:space="preserve">el fallo dictado por el </w:t>
      </w:r>
      <w:r w:rsidRPr="00080404">
        <w:rPr>
          <w:rFonts w:ascii="Georgia" w:hAnsi="Georgia" w:cs="Arial"/>
          <w:szCs w:val="24"/>
          <w:lang w:val="es-419"/>
        </w:rPr>
        <w:t xml:space="preserve">Juzgado </w:t>
      </w:r>
      <w:r w:rsidR="003529E8" w:rsidRPr="00080404">
        <w:rPr>
          <w:rFonts w:ascii="Georgia" w:hAnsi="Georgia" w:cs="Arial"/>
          <w:szCs w:val="24"/>
          <w:lang w:val="es-419"/>
        </w:rPr>
        <w:t xml:space="preserve">Primero de Familia de </w:t>
      </w:r>
      <w:r w:rsidRPr="00080404">
        <w:rPr>
          <w:rFonts w:ascii="Georgia" w:hAnsi="Georgia" w:cs="Arial"/>
          <w:szCs w:val="24"/>
          <w:lang w:val="es-419"/>
        </w:rPr>
        <w:t xml:space="preserve">Pereira. </w:t>
      </w:r>
    </w:p>
    <w:p w:rsidR="003529E8" w:rsidRPr="00080404" w:rsidRDefault="003529E8" w:rsidP="00073E20">
      <w:pPr>
        <w:pStyle w:val="NormalWeb"/>
        <w:spacing w:after="0"/>
        <w:jc w:val="both"/>
        <w:rPr>
          <w:rFonts w:ascii="Georgia" w:hAnsi="Georgia" w:cs="Arial"/>
          <w:lang w:val="es-419"/>
        </w:rPr>
      </w:pPr>
    </w:p>
    <w:p w:rsidR="00785FA3" w:rsidRPr="00080404" w:rsidRDefault="00785FA3" w:rsidP="00080404">
      <w:pPr>
        <w:pStyle w:val="Textoindependiente"/>
        <w:numPr>
          <w:ilvl w:val="0"/>
          <w:numId w:val="6"/>
        </w:numPr>
        <w:tabs>
          <w:tab w:val="clear" w:pos="720"/>
        </w:tabs>
        <w:spacing w:line="276" w:lineRule="auto"/>
        <w:ind w:left="426" w:hanging="426"/>
        <w:rPr>
          <w:rFonts w:ascii="Georgia" w:hAnsi="Georgia" w:cs="Arial"/>
          <w:szCs w:val="24"/>
          <w:lang w:val="es-419"/>
        </w:rPr>
      </w:pPr>
      <w:r w:rsidRPr="00080404">
        <w:rPr>
          <w:rFonts w:ascii="Georgia" w:hAnsi="Georgia"/>
          <w:lang w:val="es-419"/>
        </w:rPr>
        <w:t>REMITIR este expediente, a la CC para su eventual revisión.</w:t>
      </w:r>
    </w:p>
    <w:p w:rsidR="00785FA3" w:rsidRPr="00073E20" w:rsidRDefault="00785FA3" w:rsidP="00073E20">
      <w:pPr>
        <w:pStyle w:val="NormalWeb"/>
        <w:spacing w:after="0"/>
        <w:jc w:val="both"/>
        <w:rPr>
          <w:rFonts w:ascii="Georgia" w:hAnsi="Georgia" w:cs="Arial"/>
          <w:lang w:val="es-419"/>
        </w:rPr>
      </w:pPr>
    </w:p>
    <w:p w:rsidR="00785FA3" w:rsidRPr="00080404" w:rsidRDefault="00785FA3" w:rsidP="00080404">
      <w:pPr>
        <w:pStyle w:val="Textoindependiente"/>
        <w:spacing w:line="276" w:lineRule="auto"/>
        <w:jc w:val="center"/>
        <w:rPr>
          <w:rFonts w:ascii="Georgia" w:hAnsi="Georgia"/>
          <w:smallCaps/>
          <w:szCs w:val="24"/>
          <w:lang w:val="es-419"/>
        </w:rPr>
      </w:pPr>
      <w:r w:rsidRPr="00080404">
        <w:rPr>
          <w:rFonts w:ascii="Georgia" w:hAnsi="Georgia"/>
          <w:smallCaps/>
          <w:szCs w:val="24"/>
          <w:lang w:val="es-419"/>
        </w:rPr>
        <w:t>Notifíquese</w:t>
      </w:r>
    </w:p>
    <w:p w:rsidR="00785FA3" w:rsidRPr="00073E20" w:rsidRDefault="00785FA3" w:rsidP="00073E20">
      <w:pPr>
        <w:pStyle w:val="NormalWeb"/>
        <w:spacing w:after="0"/>
        <w:jc w:val="both"/>
        <w:rPr>
          <w:rFonts w:ascii="Georgia" w:hAnsi="Georgia" w:cs="Arial"/>
          <w:lang w:val="es-419"/>
        </w:rPr>
      </w:pPr>
    </w:p>
    <w:p w:rsidR="00785FA3" w:rsidRPr="00073E20" w:rsidRDefault="00785FA3" w:rsidP="00073E20">
      <w:pPr>
        <w:pStyle w:val="NormalWeb"/>
        <w:spacing w:after="0"/>
        <w:jc w:val="both"/>
        <w:rPr>
          <w:rFonts w:ascii="Georgia" w:hAnsi="Georgia" w:cs="Arial"/>
          <w:lang w:val="es-419"/>
        </w:rPr>
      </w:pPr>
    </w:p>
    <w:p w:rsidR="00785FA3" w:rsidRPr="00073E20" w:rsidRDefault="00785FA3" w:rsidP="00073E20">
      <w:pPr>
        <w:pStyle w:val="NormalWeb"/>
        <w:spacing w:after="0"/>
        <w:jc w:val="both"/>
        <w:rPr>
          <w:rFonts w:ascii="Georgia" w:hAnsi="Georgia" w:cs="Arial"/>
          <w:lang w:val="es-419"/>
        </w:rPr>
      </w:pPr>
    </w:p>
    <w:p w:rsidR="007D648B" w:rsidRPr="00080404" w:rsidRDefault="007D648B" w:rsidP="0008040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Georgia" w:hAnsi="Georgia" w:cs="Arial"/>
          <w:i/>
          <w:spacing w:val="-3"/>
          <w:w w:val="150"/>
          <w:sz w:val="18"/>
          <w:szCs w:val="18"/>
          <w:lang w:val="es-419"/>
        </w:rPr>
      </w:pPr>
      <w:r w:rsidRPr="00080404">
        <w:rPr>
          <w:rFonts w:ascii="Georgia" w:hAnsi="Georgia" w:cs="Arial"/>
          <w:i/>
          <w:spacing w:val="-3"/>
          <w:w w:val="150"/>
          <w:sz w:val="28"/>
          <w:szCs w:val="18"/>
          <w:lang w:val="es-419"/>
        </w:rPr>
        <w:t>D</w:t>
      </w:r>
      <w:r w:rsidRPr="00080404">
        <w:rPr>
          <w:rFonts w:ascii="Georgia" w:hAnsi="Georgia" w:cs="Arial"/>
          <w:i/>
          <w:spacing w:val="-3"/>
          <w:w w:val="150"/>
          <w:sz w:val="18"/>
          <w:szCs w:val="18"/>
          <w:lang w:val="es-419"/>
        </w:rPr>
        <w:t xml:space="preserve">UBERNEY </w:t>
      </w:r>
      <w:r w:rsidRPr="00080404">
        <w:rPr>
          <w:rFonts w:ascii="Georgia" w:hAnsi="Georgia" w:cs="Arial"/>
          <w:i/>
          <w:spacing w:val="-3"/>
          <w:w w:val="150"/>
          <w:szCs w:val="18"/>
          <w:lang w:val="es-419"/>
        </w:rPr>
        <w:t>G</w:t>
      </w:r>
      <w:r w:rsidRPr="00080404">
        <w:rPr>
          <w:rFonts w:ascii="Georgia" w:hAnsi="Georgia" w:cs="Arial"/>
          <w:i/>
          <w:spacing w:val="-3"/>
          <w:w w:val="150"/>
          <w:sz w:val="18"/>
          <w:szCs w:val="18"/>
          <w:lang w:val="es-419"/>
        </w:rPr>
        <w:t xml:space="preserve">RISALES </w:t>
      </w:r>
      <w:r w:rsidRPr="00080404">
        <w:rPr>
          <w:rFonts w:ascii="Georgia" w:hAnsi="Georgia" w:cs="Arial"/>
          <w:i/>
          <w:spacing w:val="-3"/>
          <w:w w:val="150"/>
          <w:sz w:val="28"/>
          <w:szCs w:val="18"/>
          <w:lang w:val="es-419"/>
        </w:rPr>
        <w:t>H</w:t>
      </w:r>
      <w:r w:rsidRPr="00080404">
        <w:rPr>
          <w:rFonts w:ascii="Georgia" w:hAnsi="Georgia" w:cs="Arial"/>
          <w:i/>
          <w:spacing w:val="-3"/>
          <w:w w:val="150"/>
          <w:sz w:val="18"/>
          <w:szCs w:val="18"/>
          <w:lang w:val="es-419"/>
        </w:rPr>
        <w:t>ERRERA</w:t>
      </w:r>
    </w:p>
    <w:p w:rsidR="007D648B" w:rsidRPr="00080404" w:rsidRDefault="007D648B" w:rsidP="0008040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Georgia" w:hAnsi="Georgia" w:cs="Arial"/>
          <w:i/>
          <w:spacing w:val="-3"/>
          <w:sz w:val="16"/>
          <w:szCs w:val="20"/>
          <w:lang w:val="es-419"/>
        </w:rPr>
      </w:pPr>
      <w:r w:rsidRPr="00080404">
        <w:rPr>
          <w:rFonts w:ascii="Georgia" w:hAnsi="Georgia" w:cs="Arial"/>
          <w:i/>
          <w:spacing w:val="-3"/>
          <w:w w:val="150"/>
          <w:sz w:val="28"/>
          <w:lang w:val="es-419"/>
        </w:rPr>
        <w:t>M</w:t>
      </w:r>
      <w:r w:rsidRPr="00080404">
        <w:rPr>
          <w:rFonts w:ascii="Georgia" w:hAnsi="Georgia" w:cs="Arial"/>
          <w:i/>
          <w:spacing w:val="-3"/>
          <w:w w:val="150"/>
          <w:sz w:val="16"/>
          <w:lang w:val="es-419"/>
        </w:rPr>
        <w:t xml:space="preserve"> </w:t>
      </w:r>
      <w:r w:rsidRPr="00080404">
        <w:rPr>
          <w:rFonts w:ascii="Georgia" w:hAnsi="Georgia" w:cs="Arial"/>
          <w:i/>
          <w:spacing w:val="-3"/>
          <w:w w:val="150"/>
          <w:sz w:val="18"/>
          <w:szCs w:val="20"/>
          <w:lang w:val="es-419"/>
        </w:rPr>
        <w:t>A G I S T R A D O</w:t>
      </w:r>
    </w:p>
    <w:p w:rsidR="007D648B" w:rsidRDefault="007D648B" w:rsidP="00073E20">
      <w:pPr>
        <w:pStyle w:val="NormalWeb"/>
        <w:spacing w:after="0"/>
        <w:jc w:val="both"/>
        <w:rPr>
          <w:rFonts w:ascii="Georgia" w:hAnsi="Georgia" w:cs="Arial"/>
          <w:lang w:val="es-419"/>
        </w:rPr>
      </w:pPr>
    </w:p>
    <w:p w:rsidR="00073E20" w:rsidRPr="00073E20" w:rsidRDefault="00073E20" w:rsidP="00073E20">
      <w:pPr>
        <w:pStyle w:val="NormalWeb"/>
        <w:spacing w:after="0"/>
        <w:jc w:val="both"/>
        <w:rPr>
          <w:rFonts w:ascii="Georgia" w:hAnsi="Georgia" w:cs="Arial"/>
          <w:lang w:val="es-419"/>
        </w:rPr>
      </w:pPr>
    </w:p>
    <w:p w:rsidR="007D648B" w:rsidRPr="00073E20" w:rsidRDefault="007D648B" w:rsidP="00073E20">
      <w:pPr>
        <w:pStyle w:val="NormalWeb"/>
        <w:spacing w:after="0"/>
        <w:jc w:val="both"/>
        <w:rPr>
          <w:rFonts w:ascii="Georgia" w:hAnsi="Georgia" w:cs="Arial"/>
          <w:lang w:val="es-419"/>
        </w:rPr>
      </w:pPr>
    </w:p>
    <w:p w:rsidR="0091345B" w:rsidRPr="00080404" w:rsidRDefault="0091345B" w:rsidP="00080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textAlignment w:val="baseline"/>
        <w:rPr>
          <w:rFonts w:ascii="Georgia" w:hAnsi="Georgia"/>
          <w:i/>
          <w:w w:val="150"/>
          <w:sz w:val="20"/>
          <w:lang w:val="es-419"/>
        </w:rPr>
      </w:pPr>
      <w:r w:rsidRPr="00080404">
        <w:rPr>
          <w:rFonts w:ascii="Georgia" w:hAnsi="Georgia"/>
          <w:i/>
          <w:w w:val="150"/>
          <w:sz w:val="28"/>
          <w:szCs w:val="18"/>
          <w:lang w:val="es-419"/>
        </w:rPr>
        <w:t>E</w:t>
      </w:r>
      <w:r w:rsidRPr="00080404">
        <w:rPr>
          <w:rFonts w:ascii="Georgia" w:hAnsi="Georgia"/>
          <w:i/>
          <w:w w:val="150"/>
          <w:sz w:val="18"/>
          <w:szCs w:val="18"/>
          <w:lang w:val="es-419"/>
        </w:rPr>
        <w:t>DDER</w:t>
      </w:r>
      <w:r w:rsidRPr="00080404">
        <w:rPr>
          <w:rFonts w:ascii="Georgia" w:hAnsi="Georgia"/>
          <w:i/>
          <w:w w:val="150"/>
          <w:sz w:val="18"/>
          <w:lang w:val="es-419"/>
        </w:rPr>
        <w:t xml:space="preserve"> </w:t>
      </w:r>
      <w:r w:rsidRPr="00080404">
        <w:rPr>
          <w:rFonts w:ascii="Georgia" w:hAnsi="Georgia"/>
          <w:i/>
          <w:w w:val="150"/>
          <w:sz w:val="28"/>
          <w:lang w:val="es-419"/>
        </w:rPr>
        <w:t>J</w:t>
      </w:r>
      <w:r w:rsidRPr="00080404">
        <w:rPr>
          <w:rFonts w:ascii="Georgia" w:hAnsi="Georgia"/>
          <w:i/>
          <w:w w:val="150"/>
          <w:sz w:val="18"/>
          <w:szCs w:val="18"/>
          <w:lang w:val="es-419"/>
        </w:rPr>
        <w:t xml:space="preserve">IMMY </w:t>
      </w:r>
      <w:r w:rsidRPr="00080404">
        <w:rPr>
          <w:rFonts w:ascii="Georgia" w:hAnsi="Georgia"/>
          <w:i/>
          <w:w w:val="150"/>
          <w:sz w:val="28"/>
          <w:lang w:val="es-419"/>
        </w:rPr>
        <w:t>S</w:t>
      </w:r>
      <w:r w:rsidRPr="00080404">
        <w:rPr>
          <w:rFonts w:ascii="Georgia" w:hAnsi="Georgia"/>
          <w:i/>
          <w:w w:val="150"/>
          <w:sz w:val="18"/>
          <w:szCs w:val="18"/>
          <w:lang w:val="es-419"/>
        </w:rPr>
        <w:t xml:space="preserve">ÁNCHEZ </w:t>
      </w:r>
      <w:r w:rsidRPr="00080404">
        <w:rPr>
          <w:rFonts w:ascii="Georgia" w:hAnsi="Georgia"/>
          <w:i/>
          <w:w w:val="150"/>
          <w:sz w:val="28"/>
          <w:szCs w:val="18"/>
          <w:lang w:val="es-419"/>
        </w:rPr>
        <w:t>C.</w:t>
      </w:r>
      <w:r w:rsidRPr="00080404">
        <w:rPr>
          <w:rFonts w:ascii="Georgia" w:hAnsi="Georgia"/>
          <w:i/>
          <w:w w:val="150"/>
          <w:sz w:val="28"/>
          <w:szCs w:val="18"/>
          <w:lang w:val="es-419"/>
        </w:rPr>
        <w:tab/>
      </w:r>
      <w:r w:rsidRPr="00080404">
        <w:rPr>
          <w:rFonts w:ascii="Georgia" w:hAnsi="Georgia"/>
          <w:i/>
          <w:w w:val="150"/>
          <w:sz w:val="28"/>
          <w:szCs w:val="18"/>
          <w:lang w:val="es-419"/>
        </w:rPr>
        <w:tab/>
        <w:t xml:space="preserve"> </w:t>
      </w:r>
      <w:r w:rsidRPr="00080404">
        <w:rPr>
          <w:rFonts w:ascii="Georgia" w:hAnsi="Georgia"/>
          <w:i/>
          <w:spacing w:val="-3"/>
          <w:w w:val="150"/>
          <w:sz w:val="28"/>
          <w:szCs w:val="18"/>
          <w:lang w:val="es-419"/>
        </w:rPr>
        <w:t>J</w:t>
      </w:r>
      <w:r w:rsidRPr="00080404">
        <w:rPr>
          <w:rFonts w:ascii="Georgia" w:hAnsi="Georgia"/>
          <w:i/>
          <w:spacing w:val="-3"/>
          <w:w w:val="150"/>
          <w:sz w:val="18"/>
          <w:szCs w:val="18"/>
          <w:lang w:val="es-419"/>
        </w:rPr>
        <w:t xml:space="preserve">AIME </w:t>
      </w:r>
      <w:r w:rsidRPr="00080404">
        <w:rPr>
          <w:rFonts w:ascii="Georgia" w:hAnsi="Georgia"/>
          <w:i/>
          <w:spacing w:val="-3"/>
          <w:w w:val="150"/>
          <w:sz w:val="28"/>
          <w:szCs w:val="18"/>
          <w:lang w:val="es-419"/>
        </w:rPr>
        <w:t>A</w:t>
      </w:r>
      <w:r w:rsidRPr="00080404">
        <w:rPr>
          <w:rFonts w:ascii="Georgia" w:hAnsi="Georgia"/>
          <w:i/>
          <w:w w:val="150"/>
          <w:sz w:val="18"/>
          <w:szCs w:val="18"/>
          <w:lang w:val="es-419"/>
        </w:rPr>
        <w:t xml:space="preserve">LBERTO </w:t>
      </w:r>
      <w:r w:rsidRPr="00080404">
        <w:rPr>
          <w:rFonts w:ascii="Georgia" w:hAnsi="Georgia"/>
          <w:i/>
          <w:spacing w:val="-3"/>
          <w:w w:val="150"/>
          <w:sz w:val="28"/>
          <w:szCs w:val="18"/>
          <w:lang w:val="es-419"/>
        </w:rPr>
        <w:t>S</w:t>
      </w:r>
      <w:r w:rsidRPr="00080404">
        <w:rPr>
          <w:rFonts w:ascii="Georgia" w:hAnsi="Georgia"/>
          <w:i/>
          <w:spacing w:val="-3"/>
          <w:w w:val="150"/>
          <w:sz w:val="18"/>
          <w:szCs w:val="16"/>
          <w:lang w:val="es-419"/>
        </w:rPr>
        <w:t xml:space="preserve">ARAZA </w:t>
      </w:r>
      <w:r w:rsidRPr="00080404">
        <w:rPr>
          <w:rFonts w:ascii="Georgia" w:hAnsi="Georgia"/>
          <w:i/>
          <w:spacing w:val="-3"/>
          <w:w w:val="150"/>
          <w:sz w:val="28"/>
          <w:szCs w:val="18"/>
          <w:lang w:val="es-419"/>
        </w:rPr>
        <w:t>N.</w:t>
      </w:r>
    </w:p>
    <w:p w:rsidR="00785FA3" w:rsidRPr="00080404" w:rsidRDefault="0091345B" w:rsidP="00080404">
      <w:pPr>
        <w:pStyle w:val="Textoindependiente"/>
        <w:spacing w:line="276" w:lineRule="auto"/>
        <w:rPr>
          <w:rFonts w:ascii="Georgia" w:hAnsi="Georgia"/>
          <w:sz w:val="23"/>
          <w:szCs w:val="23"/>
          <w:lang w:val="es-419"/>
        </w:rPr>
      </w:pPr>
      <w:r w:rsidRPr="00080404">
        <w:rPr>
          <w:rFonts w:ascii="Georgia" w:hAnsi="Georgia"/>
          <w:i/>
          <w:w w:val="150"/>
          <w:sz w:val="28"/>
          <w:lang w:val="es-419"/>
        </w:rPr>
        <w:tab/>
        <w:t>M</w:t>
      </w:r>
      <w:r w:rsidRPr="00080404">
        <w:rPr>
          <w:rFonts w:ascii="Georgia" w:hAnsi="Georgia"/>
          <w:i/>
          <w:w w:val="150"/>
          <w:sz w:val="18"/>
          <w:lang w:val="es-419"/>
        </w:rPr>
        <w:t xml:space="preserve"> A G I S T R A D O </w:t>
      </w:r>
      <w:r w:rsidRPr="00080404">
        <w:rPr>
          <w:rFonts w:ascii="Georgia" w:hAnsi="Georgia"/>
          <w:i/>
          <w:w w:val="150"/>
          <w:sz w:val="18"/>
          <w:lang w:val="es-419"/>
        </w:rPr>
        <w:tab/>
      </w:r>
      <w:r w:rsidRPr="00080404">
        <w:rPr>
          <w:rFonts w:ascii="Georgia" w:hAnsi="Georgia"/>
          <w:i/>
          <w:w w:val="150"/>
          <w:sz w:val="18"/>
          <w:lang w:val="es-419"/>
        </w:rPr>
        <w:tab/>
      </w:r>
      <w:r w:rsidRPr="00080404">
        <w:rPr>
          <w:rFonts w:ascii="Georgia" w:hAnsi="Georgia"/>
          <w:i/>
          <w:w w:val="150"/>
          <w:sz w:val="18"/>
          <w:lang w:val="es-419"/>
        </w:rPr>
        <w:tab/>
      </w:r>
      <w:r w:rsidRPr="00080404">
        <w:rPr>
          <w:rFonts w:ascii="Georgia" w:hAnsi="Georgia"/>
          <w:i/>
          <w:w w:val="150"/>
          <w:sz w:val="18"/>
          <w:lang w:val="es-419"/>
        </w:rPr>
        <w:tab/>
      </w:r>
      <w:r w:rsidR="00073E20">
        <w:rPr>
          <w:rFonts w:ascii="Georgia" w:hAnsi="Georgia"/>
          <w:i/>
          <w:w w:val="150"/>
          <w:sz w:val="18"/>
          <w:lang w:val="es-CO"/>
        </w:rPr>
        <w:t xml:space="preserve"> </w:t>
      </w:r>
      <w:r w:rsidRPr="00080404">
        <w:rPr>
          <w:rFonts w:ascii="Georgia" w:hAnsi="Georgia"/>
          <w:i/>
          <w:w w:val="150"/>
          <w:sz w:val="18"/>
          <w:lang w:val="es-419"/>
        </w:rPr>
        <w:t xml:space="preserve">  </w:t>
      </w:r>
      <w:r w:rsidRPr="00080404">
        <w:rPr>
          <w:rFonts w:ascii="Georgia" w:hAnsi="Georgia"/>
          <w:i/>
          <w:w w:val="150"/>
          <w:sz w:val="28"/>
          <w:lang w:val="es-419"/>
        </w:rPr>
        <w:t>M</w:t>
      </w:r>
      <w:r w:rsidRPr="00080404">
        <w:rPr>
          <w:rFonts w:ascii="Georgia" w:hAnsi="Georgia"/>
          <w:i/>
          <w:w w:val="150"/>
          <w:sz w:val="18"/>
          <w:lang w:val="es-419"/>
        </w:rPr>
        <w:t xml:space="preserve"> A G I S T R A D O</w:t>
      </w:r>
    </w:p>
    <w:sectPr w:rsidR="00785FA3" w:rsidRPr="00080404" w:rsidSect="00080404">
      <w:headerReference w:type="default" r:id="rId9"/>
      <w:footerReference w:type="default" r:id="rId10"/>
      <w:pgSz w:w="12242" w:h="18722" w:code="14"/>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98E" w:rsidRDefault="00E5198E" w:rsidP="0099045D">
      <w:r>
        <w:separator/>
      </w:r>
    </w:p>
  </w:endnote>
  <w:endnote w:type="continuationSeparator" w:id="0">
    <w:p w:rsidR="00E5198E" w:rsidRDefault="00E5198E"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altName w:val="Book Antiqu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F12" w:rsidRPr="007C23E2" w:rsidRDefault="00204F12" w:rsidP="0013771A">
    <w:pPr>
      <w:pStyle w:val="Piedepgina"/>
      <w:pBdr>
        <w:bottom w:val="double" w:sz="6" w:space="1" w:color="auto"/>
      </w:pBdr>
      <w:spacing w:line="360" w:lineRule="auto"/>
      <w:jc w:val="right"/>
      <w:rPr>
        <w:rFonts w:ascii="Georgia" w:hAnsi="Georgia" w:cs="Arial"/>
        <w:spacing w:val="20"/>
        <w:w w:val="200"/>
        <w:sz w:val="2"/>
        <w:szCs w:val="10"/>
        <w:lang w:val="es-CO"/>
      </w:rPr>
    </w:pPr>
  </w:p>
  <w:p w:rsidR="00204F12" w:rsidRPr="007C23E2" w:rsidRDefault="00204F12" w:rsidP="0013771A">
    <w:pPr>
      <w:pStyle w:val="Piedepgina"/>
      <w:spacing w:line="360" w:lineRule="auto"/>
      <w:jc w:val="right"/>
      <w:rPr>
        <w:rFonts w:ascii="Georgia" w:hAnsi="Georgia" w:cs="Arial"/>
        <w:spacing w:val="20"/>
        <w:w w:val="200"/>
        <w:sz w:val="14"/>
        <w:szCs w:val="10"/>
        <w:lang w:val="es-CO"/>
      </w:rPr>
    </w:pPr>
  </w:p>
  <w:p w:rsidR="00204F12" w:rsidRPr="007C23E2" w:rsidRDefault="00204F12" w:rsidP="0013771A">
    <w:pPr>
      <w:pStyle w:val="Piedepgina"/>
      <w:spacing w:line="360" w:lineRule="auto"/>
      <w:jc w:val="right"/>
      <w:rPr>
        <w:rFonts w:ascii="Georgia" w:hAnsi="Georgia" w:cs="Arial"/>
        <w:spacing w:val="20"/>
        <w:w w:val="200"/>
        <w:sz w:val="10"/>
        <w:szCs w:val="10"/>
        <w:lang w:val="es-CO"/>
      </w:rPr>
    </w:pPr>
    <w:r w:rsidRPr="007C23E2">
      <w:rPr>
        <w:rFonts w:ascii="Georgia" w:hAnsi="Georgia" w:cs="Arial"/>
        <w:spacing w:val="20"/>
        <w:w w:val="200"/>
        <w:sz w:val="14"/>
        <w:szCs w:val="10"/>
        <w:lang w:val="es-CO"/>
      </w:rPr>
      <w:t>T</w:t>
    </w:r>
    <w:r w:rsidRPr="007C23E2">
      <w:rPr>
        <w:rFonts w:ascii="Georgia" w:hAnsi="Georgia" w:cs="Arial"/>
        <w:spacing w:val="20"/>
        <w:w w:val="200"/>
        <w:sz w:val="10"/>
        <w:szCs w:val="10"/>
        <w:lang w:val="es-CO"/>
      </w:rPr>
      <w:t xml:space="preserve">RIBUNAL </w:t>
    </w:r>
    <w:r w:rsidRPr="007C23E2">
      <w:rPr>
        <w:rFonts w:ascii="Georgia" w:hAnsi="Georgia" w:cs="Arial"/>
        <w:spacing w:val="20"/>
        <w:w w:val="200"/>
        <w:sz w:val="14"/>
        <w:szCs w:val="10"/>
        <w:lang w:val="es-CO"/>
      </w:rPr>
      <w:t>S</w:t>
    </w:r>
    <w:r w:rsidRPr="007C23E2">
      <w:rPr>
        <w:rFonts w:ascii="Georgia" w:hAnsi="Georgia" w:cs="Arial"/>
        <w:spacing w:val="20"/>
        <w:w w:val="200"/>
        <w:sz w:val="10"/>
        <w:szCs w:val="10"/>
        <w:lang w:val="es-CO"/>
      </w:rPr>
      <w:t xml:space="preserve">UPERIOR DE </w:t>
    </w:r>
    <w:r w:rsidRPr="007C23E2">
      <w:rPr>
        <w:rFonts w:ascii="Georgia" w:hAnsi="Georgia" w:cs="Arial"/>
        <w:spacing w:val="20"/>
        <w:w w:val="200"/>
        <w:sz w:val="14"/>
        <w:szCs w:val="10"/>
        <w:lang w:val="es-CO"/>
      </w:rPr>
      <w:t>P</w:t>
    </w:r>
    <w:r w:rsidRPr="007C23E2">
      <w:rPr>
        <w:rFonts w:ascii="Georgia" w:hAnsi="Georgia" w:cs="Arial"/>
        <w:spacing w:val="20"/>
        <w:w w:val="200"/>
        <w:sz w:val="10"/>
        <w:szCs w:val="10"/>
        <w:lang w:val="es-CO"/>
      </w:rPr>
      <w:t>EREIRA</w:t>
    </w:r>
  </w:p>
  <w:p w:rsidR="00204F12" w:rsidRPr="007C23E2" w:rsidRDefault="00204F12" w:rsidP="0013771A">
    <w:pPr>
      <w:pStyle w:val="Piedepgina"/>
      <w:jc w:val="right"/>
      <w:rPr>
        <w:rFonts w:ascii="Georgia" w:hAnsi="Georgia"/>
        <w:lang w:val="es-CO"/>
      </w:rPr>
    </w:pPr>
    <w:proofErr w:type="spellStart"/>
    <w:r w:rsidRPr="007C23E2">
      <w:rPr>
        <w:rFonts w:ascii="Georgia" w:hAnsi="Georgia" w:cs="Arial"/>
        <w:spacing w:val="20"/>
        <w:w w:val="200"/>
        <w:sz w:val="10"/>
        <w:szCs w:val="10"/>
        <w:lang w:val="es-CO"/>
      </w:rPr>
      <w:t>MP</w:t>
    </w:r>
    <w:proofErr w:type="spellEnd"/>
    <w:r w:rsidRPr="007C23E2">
      <w:rPr>
        <w:rFonts w:ascii="Georgia" w:hAnsi="Georgia" w:cs="Arial"/>
        <w:spacing w:val="20"/>
        <w:w w:val="200"/>
        <w:sz w:val="10"/>
        <w:szCs w:val="10"/>
        <w:lang w:val="es-CO"/>
      </w:rPr>
      <w:t xml:space="preserve"> </w:t>
    </w:r>
    <w:r w:rsidRPr="007C23E2">
      <w:rPr>
        <w:rFonts w:ascii="Georgia" w:hAnsi="Georgia" w:cs="Arial"/>
        <w:spacing w:val="20"/>
        <w:w w:val="200"/>
        <w:sz w:val="12"/>
        <w:szCs w:val="10"/>
        <w:lang w:val="es-CO"/>
      </w:rPr>
      <w:t>D</w:t>
    </w:r>
    <w:r w:rsidRPr="007C23E2">
      <w:rPr>
        <w:rFonts w:ascii="Georgia" w:hAnsi="Georgia" w:cs="Arial"/>
        <w:spacing w:val="20"/>
        <w:w w:val="200"/>
        <w:sz w:val="8"/>
        <w:szCs w:val="10"/>
        <w:lang w:val="es-CO"/>
      </w:rPr>
      <w:t>UBERNEY</w:t>
    </w:r>
    <w:r w:rsidRPr="007C23E2">
      <w:rPr>
        <w:rFonts w:ascii="Georgia" w:hAnsi="Georgia" w:cs="Arial"/>
        <w:spacing w:val="20"/>
        <w:w w:val="200"/>
        <w:sz w:val="10"/>
        <w:szCs w:val="10"/>
        <w:lang w:val="es-CO"/>
      </w:rPr>
      <w:t xml:space="preserve"> </w:t>
    </w:r>
    <w:r w:rsidRPr="007C23E2">
      <w:rPr>
        <w:rFonts w:ascii="Georgia" w:hAnsi="Georgia" w:cs="Arial"/>
        <w:spacing w:val="20"/>
        <w:w w:val="200"/>
        <w:sz w:val="12"/>
        <w:szCs w:val="10"/>
        <w:lang w:val="es-CO"/>
      </w:rPr>
      <w:t>G</w:t>
    </w:r>
    <w:r w:rsidRPr="007C23E2">
      <w:rPr>
        <w:rFonts w:ascii="Georgia" w:hAnsi="Georgia" w:cs="Arial"/>
        <w:spacing w:val="20"/>
        <w:w w:val="200"/>
        <w:sz w:val="8"/>
        <w:szCs w:val="10"/>
        <w:lang w:val="es-CO"/>
      </w:rPr>
      <w:t>RISALES</w:t>
    </w:r>
    <w:r w:rsidRPr="007C23E2">
      <w:rPr>
        <w:rFonts w:ascii="Georgia" w:hAnsi="Georgia" w:cs="Arial"/>
        <w:spacing w:val="20"/>
        <w:w w:val="200"/>
        <w:sz w:val="10"/>
        <w:szCs w:val="10"/>
        <w:lang w:val="es-CO"/>
      </w:rPr>
      <w:t xml:space="preserve"> </w:t>
    </w:r>
    <w:r w:rsidRPr="007C23E2">
      <w:rPr>
        <w:rFonts w:ascii="Georgia" w:hAnsi="Georgia" w:cs="Arial"/>
        <w:spacing w:val="20"/>
        <w:w w:val="200"/>
        <w:sz w:val="12"/>
        <w:szCs w:val="10"/>
        <w:lang w:val="es-CO"/>
      </w:rPr>
      <w:t>H</w:t>
    </w:r>
    <w:r w:rsidRPr="007C23E2">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98E" w:rsidRDefault="00E5198E" w:rsidP="0099045D">
      <w:r>
        <w:separator/>
      </w:r>
    </w:p>
  </w:footnote>
  <w:footnote w:type="continuationSeparator" w:id="0">
    <w:p w:rsidR="00E5198E" w:rsidRDefault="00E5198E" w:rsidP="0099045D">
      <w:r>
        <w:continuationSeparator/>
      </w:r>
    </w:p>
  </w:footnote>
  <w:footnote w:id="1">
    <w:p w:rsidR="00D35CE0" w:rsidRPr="008C0AAA" w:rsidRDefault="00204F12" w:rsidP="00080404">
      <w:pPr>
        <w:pStyle w:val="Textonotapie"/>
        <w:ind w:left="142" w:hanging="142"/>
        <w:jc w:val="both"/>
        <w:rPr>
          <w:rFonts w:ascii="Century" w:hAnsi="Century"/>
          <w:sz w:val="18"/>
          <w:szCs w:val="18"/>
          <w:lang w:val="es-419"/>
        </w:rPr>
      </w:pPr>
      <w:r w:rsidRPr="008C0AAA">
        <w:rPr>
          <w:rStyle w:val="Refdenotaalpie"/>
          <w:rFonts w:ascii="Century" w:hAnsi="Century"/>
          <w:sz w:val="18"/>
          <w:szCs w:val="18"/>
          <w:lang w:val="es-419"/>
        </w:rPr>
        <w:footnoteRef/>
      </w:r>
      <w:r w:rsidRPr="008C0AAA">
        <w:rPr>
          <w:rFonts w:ascii="Century" w:hAnsi="Century"/>
          <w:sz w:val="18"/>
          <w:szCs w:val="18"/>
          <w:lang w:val="es-419"/>
        </w:rPr>
        <w:t xml:space="preserve"> QUINCHE R., Manuel F. Vías de hecho, acción de tutela contra providencias, Temis SA, Bogotá, 2013, p.103.</w:t>
      </w:r>
    </w:p>
  </w:footnote>
  <w:footnote w:id="2">
    <w:p w:rsidR="00D35CE0" w:rsidRPr="008C0AAA" w:rsidRDefault="00204F12" w:rsidP="00080404">
      <w:pPr>
        <w:pStyle w:val="Textonotapie"/>
        <w:ind w:left="142" w:hanging="142"/>
        <w:jc w:val="both"/>
        <w:rPr>
          <w:rFonts w:ascii="Century" w:hAnsi="Century"/>
          <w:sz w:val="18"/>
          <w:szCs w:val="18"/>
          <w:lang w:val="es-419"/>
        </w:rPr>
      </w:pPr>
      <w:r w:rsidRPr="008C0AAA">
        <w:rPr>
          <w:rStyle w:val="Refdenotaalpie"/>
          <w:rFonts w:ascii="Century" w:hAnsi="Century"/>
          <w:sz w:val="18"/>
          <w:szCs w:val="18"/>
          <w:lang w:val="es-419"/>
        </w:rPr>
        <w:footnoteRef/>
      </w:r>
      <w:r w:rsidRPr="008C0AAA">
        <w:rPr>
          <w:rFonts w:ascii="Century" w:hAnsi="Century"/>
          <w:sz w:val="18"/>
          <w:szCs w:val="18"/>
          <w:lang w:val="es-419"/>
        </w:rPr>
        <w:t xml:space="preserve"> </w:t>
      </w:r>
      <w:r w:rsidRPr="008C0AAA">
        <w:rPr>
          <w:rFonts w:ascii="Century" w:hAnsi="Century"/>
          <w:sz w:val="18"/>
          <w:szCs w:val="18"/>
          <w:lang w:val="es-419"/>
        </w:rPr>
        <w:t xml:space="preserve">QUIROGA </w:t>
      </w:r>
      <w:r w:rsidRPr="008C0AAA">
        <w:rPr>
          <w:rFonts w:ascii="Century" w:hAnsi="Century"/>
          <w:sz w:val="18"/>
          <w:szCs w:val="18"/>
          <w:lang w:val="es-419"/>
        </w:rPr>
        <w:t>N., Édgar A. Tutela contra decisiones judiciales, Universidad Santo Tomás y editorial Ibáñez, Bogotá, 2014, p.83.</w:t>
      </w:r>
    </w:p>
  </w:footnote>
  <w:footnote w:id="3">
    <w:p w:rsidR="00D35CE0" w:rsidRPr="008C0AAA" w:rsidRDefault="00204F12" w:rsidP="00080404">
      <w:pPr>
        <w:pStyle w:val="Textonotapie"/>
        <w:jc w:val="both"/>
        <w:rPr>
          <w:rFonts w:ascii="Century" w:hAnsi="Century"/>
          <w:sz w:val="18"/>
          <w:szCs w:val="18"/>
          <w:lang w:val="es-419"/>
        </w:rPr>
      </w:pPr>
      <w:r w:rsidRPr="008C0AAA">
        <w:rPr>
          <w:rStyle w:val="Refdenotaalpie"/>
          <w:rFonts w:ascii="Century" w:hAnsi="Century"/>
          <w:sz w:val="18"/>
          <w:szCs w:val="18"/>
          <w:lang w:val="es-419"/>
        </w:rPr>
        <w:footnoteRef/>
      </w:r>
      <w:r w:rsidRPr="008C0AAA">
        <w:rPr>
          <w:rFonts w:ascii="Century" w:hAnsi="Century"/>
          <w:sz w:val="18"/>
          <w:szCs w:val="18"/>
          <w:lang w:val="es-419"/>
        </w:rPr>
        <w:t xml:space="preserve"> </w:t>
      </w:r>
      <w:r w:rsidRPr="008C0AAA">
        <w:rPr>
          <w:rFonts w:ascii="Century" w:hAnsi="Century"/>
          <w:sz w:val="18"/>
          <w:szCs w:val="18"/>
          <w:lang w:val="es-419"/>
        </w:rPr>
        <w:t xml:space="preserve">CC. </w:t>
      </w:r>
      <w:r w:rsidRPr="008C0AAA">
        <w:rPr>
          <w:rFonts w:ascii="Century" w:hAnsi="Century"/>
          <w:sz w:val="18"/>
          <w:szCs w:val="18"/>
          <w:lang w:val="es-419"/>
        </w:rPr>
        <w:t>T-917 de 2011.</w:t>
      </w:r>
    </w:p>
  </w:footnote>
  <w:footnote w:id="4">
    <w:p w:rsidR="00D35CE0" w:rsidRPr="008C0AAA" w:rsidRDefault="00204F12" w:rsidP="00080404">
      <w:pPr>
        <w:pStyle w:val="Textonotapie"/>
        <w:jc w:val="both"/>
        <w:rPr>
          <w:rFonts w:ascii="Century" w:hAnsi="Century"/>
          <w:sz w:val="18"/>
          <w:szCs w:val="18"/>
          <w:lang w:val="es-419"/>
        </w:rPr>
      </w:pPr>
      <w:r w:rsidRPr="008C0AAA">
        <w:rPr>
          <w:rStyle w:val="Refdenotaalpie"/>
          <w:rFonts w:ascii="Century" w:hAnsi="Century"/>
          <w:sz w:val="18"/>
          <w:szCs w:val="18"/>
          <w:lang w:val="es-419"/>
        </w:rPr>
        <w:footnoteRef/>
      </w:r>
      <w:r w:rsidRPr="008C0AAA">
        <w:rPr>
          <w:rFonts w:ascii="Century" w:hAnsi="Century"/>
          <w:sz w:val="18"/>
          <w:szCs w:val="18"/>
          <w:lang w:val="es-419"/>
        </w:rPr>
        <w:t xml:space="preserve"> </w:t>
      </w:r>
      <w:r w:rsidRPr="008C0AAA">
        <w:rPr>
          <w:rFonts w:ascii="Century" w:hAnsi="Century"/>
          <w:sz w:val="18"/>
          <w:szCs w:val="18"/>
          <w:lang w:val="es-419"/>
        </w:rPr>
        <w:t xml:space="preserve">CC. </w:t>
      </w:r>
      <w:r w:rsidRPr="008C0AAA">
        <w:rPr>
          <w:rFonts w:ascii="Century" w:hAnsi="Century"/>
          <w:sz w:val="18"/>
          <w:szCs w:val="18"/>
          <w:lang w:val="es-419"/>
        </w:rPr>
        <w:t>C-590 de 2005.</w:t>
      </w:r>
    </w:p>
  </w:footnote>
  <w:footnote w:id="5">
    <w:p w:rsidR="00D35CE0" w:rsidRPr="008C0AAA" w:rsidRDefault="00204F12" w:rsidP="00080404">
      <w:pPr>
        <w:pStyle w:val="Textonotapie"/>
        <w:jc w:val="both"/>
        <w:rPr>
          <w:rFonts w:ascii="Century" w:hAnsi="Century"/>
          <w:sz w:val="18"/>
          <w:szCs w:val="18"/>
          <w:lang w:val="es-419"/>
        </w:rPr>
      </w:pPr>
      <w:r w:rsidRPr="008C0AAA">
        <w:rPr>
          <w:rStyle w:val="Refdenotaalpie"/>
          <w:rFonts w:ascii="Century" w:hAnsi="Century"/>
          <w:sz w:val="18"/>
          <w:szCs w:val="18"/>
          <w:lang w:val="es-419"/>
        </w:rPr>
        <w:footnoteRef/>
      </w:r>
      <w:r w:rsidRPr="008C0AAA">
        <w:rPr>
          <w:rFonts w:ascii="Century" w:hAnsi="Century"/>
          <w:sz w:val="18"/>
          <w:szCs w:val="18"/>
          <w:lang w:val="es-419"/>
        </w:rPr>
        <w:t xml:space="preserve"> </w:t>
      </w:r>
      <w:r w:rsidRPr="008C0AAA">
        <w:rPr>
          <w:rFonts w:ascii="Century" w:hAnsi="Century"/>
          <w:sz w:val="18"/>
          <w:szCs w:val="18"/>
          <w:lang w:val="es-419"/>
        </w:rPr>
        <w:t xml:space="preserve">CC. </w:t>
      </w:r>
      <w:r w:rsidRPr="008C0AAA">
        <w:rPr>
          <w:rFonts w:ascii="Century" w:hAnsi="Century"/>
          <w:sz w:val="18"/>
          <w:szCs w:val="18"/>
          <w:lang w:val="es-419"/>
        </w:rPr>
        <w:t xml:space="preserve">SU-037 de 2019, </w:t>
      </w:r>
      <w:r w:rsidRPr="008C0AAA">
        <w:rPr>
          <w:rFonts w:ascii="Century" w:hAnsi="Century"/>
          <w:bCs/>
          <w:sz w:val="18"/>
          <w:szCs w:val="18"/>
          <w:lang w:val="es-419"/>
        </w:rPr>
        <w:t>SU-056 de 2018</w:t>
      </w:r>
      <w:r w:rsidRPr="008C0AAA">
        <w:rPr>
          <w:rFonts w:ascii="Century" w:hAnsi="Century"/>
          <w:sz w:val="18"/>
          <w:szCs w:val="18"/>
          <w:lang w:val="es-419"/>
        </w:rPr>
        <w:t xml:space="preserve">, </w:t>
      </w:r>
      <w:hyperlink r:id="rId1" w:history="1">
        <w:r w:rsidRPr="008C0AAA">
          <w:rPr>
            <w:rStyle w:val="Hipervnculo"/>
            <w:rFonts w:ascii="Century" w:hAnsi="Century"/>
            <w:bCs/>
            <w:color w:val="000000"/>
            <w:sz w:val="18"/>
            <w:szCs w:val="18"/>
            <w:u w:val="none"/>
            <w:lang w:val="es-419"/>
          </w:rPr>
          <w:t>SU-336 de 2017</w:t>
        </w:r>
      </w:hyperlink>
      <w:r w:rsidRPr="008C0AAA">
        <w:rPr>
          <w:rFonts w:ascii="Century" w:hAnsi="Century"/>
          <w:bCs/>
          <w:color w:val="000000"/>
          <w:sz w:val="18"/>
          <w:szCs w:val="18"/>
          <w:lang w:val="es-419"/>
        </w:rPr>
        <w:t>, </w:t>
      </w:r>
      <w:hyperlink r:id="rId2" w:history="1">
        <w:r w:rsidRPr="008C0AAA">
          <w:rPr>
            <w:rStyle w:val="Hipervnculo"/>
            <w:rFonts w:ascii="Century" w:hAnsi="Century"/>
            <w:bCs/>
            <w:color w:val="000000"/>
            <w:sz w:val="18"/>
            <w:szCs w:val="18"/>
            <w:u w:val="none"/>
            <w:lang w:val="es-419"/>
          </w:rPr>
          <w:t>SU-354 de 2017</w:t>
        </w:r>
      </w:hyperlink>
      <w:r w:rsidRPr="008C0AAA">
        <w:rPr>
          <w:rFonts w:ascii="Century" w:hAnsi="Century"/>
          <w:bCs/>
          <w:color w:val="000000"/>
          <w:sz w:val="18"/>
          <w:szCs w:val="18"/>
          <w:lang w:val="es-419"/>
        </w:rPr>
        <w:t xml:space="preserve">, </w:t>
      </w:r>
      <w:r w:rsidRPr="008C0AAA">
        <w:rPr>
          <w:rFonts w:ascii="Century" w:hAnsi="Century"/>
          <w:bCs/>
          <w:sz w:val="18"/>
          <w:szCs w:val="18"/>
          <w:lang w:val="es-419"/>
        </w:rPr>
        <w:t>T-137 de 2017 y SU-222 de 2016</w:t>
      </w:r>
      <w:r w:rsidRPr="008C0AAA">
        <w:rPr>
          <w:rFonts w:ascii="Century" w:hAnsi="Century"/>
          <w:sz w:val="18"/>
          <w:szCs w:val="18"/>
          <w:lang w:val="es-419"/>
        </w:rPr>
        <w:t>.</w:t>
      </w:r>
    </w:p>
  </w:footnote>
  <w:footnote w:id="6">
    <w:p w:rsidR="00D35CE0" w:rsidRPr="008C0AAA" w:rsidRDefault="00204F12" w:rsidP="00080404">
      <w:pPr>
        <w:pStyle w:val="Textonotapie"/>
        <w:jc w:val="both"/>
        <w:rPr>
          <w:rFonts w:ascii="Century" w:hAnsi="Century"/>
          <w:sz w:val="18"/>
          <w:szCs w:val="18"/>
          <w:lang w:val="es-419"/>
        </w:rPr>
      </w:pPr>
      <w:r w:rsidRPr="008C0AAA">
        <w:rPr>
          <w:rStyle w:val="Refdenotaalpie"/>
          <w:rFonts w:ascii="Century" w:hAnsi="Century"/>
          <w:sz w:val="18"/>
          <w:szCs w:val="18"/>
          <w:lang w:val="es-419"/>
        </w:rPr>
        <w:footnoteRef/>
      </w:r>
      <w:r w:rsidRPr="008C0AAA">
        <w:rPr>
          <w:rFonts w:ascii="Century" w:hAnsi="Century"/>
          <w:sz w:val="18"/>
          <w:szCs w:val="18"/>
          <w:lang w:val="es-419"/>
        </w:rPr>
        <w:t xml:space="preserve"> </w:t>
      </w:r>
      <w:r w:rsidRPr="008C0AAA">
        <w:rPr>
          <w:rFonts w:ascii="Century" w:hAnsi="Century"/>
          <w:sz w:val="18"/>
          <w:szCs w:val="18"/>
          <w:lang w:val="es-419"/>
        </w:rPr>
        <w:t>CC. SU-627 de 2015.</w:t>
      </w:r>
    </w:p>
  </w:footnote>
  <w:footnote w:id="7">
    <w:p w:rsidR="00D35CE0" w:rsidRPr="008C0AAA" w:rsidRDefault="00204F12" w:rsidP="00080404">
      <w:pPr>
        <w:pStyle w:val="Textonotapie"/>
        <w:ind w:left="142" w:hanging="142"/>
        <w:jc w:val="both"/>
        <w:rPr>
          <w:rFonts w:ascii="Century" w:hAnsi="Century"/>
          <w:sz w:val="18"/>
          <w:szCs w:val="18"/>
          <w:lang w:val="es-419"/>
        </w:rPr>
      </w:pPr>
      <w:r w:rsidRPr="008C0AAA">
        <w:rPr>
          <w:rFonts w:ascii="Century" w:hAnsi="Century"/>
          <w:sz w:val="18"/>
          <w:szCs w:val="18"/>
          <w:vertAlign w:val="superscript"/>
          <w:lang w:val="es-419"/>
        </w:rPr>
        <w:footnoteRef/>
      </w:r>
      <w:r w:rsidRPr="008C0AAA">
        <w:rPr>
          <w:rFonts w:ascii="Century" w:hAnsi="Century"/>
          <w:sz w:val="18"/>
          <w:szCs w:val="18"/>
          <w:lang w:val="es-419"/>
        </w:rPr>
        <w:t xml:space="preserve"> </w:t>
      </w:r>
      <w:r w:rsidRPr="008C0AAA">
        <w:rPr>
          <w:rFonts w:ascii="Century" w:hAnsi="Century"/>
          <w:sz w:val="18"/>
          <w:szCs w:val="18"/>
          <w:lang w:val="es-419"/>
        </w:rPr>
        <w:t xml:space="preserve">ESCUELA </w:t>
      </w:r>
      <w:r w:rsidRPr="008C0AAA">
        <w:rPr>
          <w:rFonts w:ascii="Century" w:hAnsi="Century"/>
          <w:sz w:val="18"/>
          <w:szCs w:val="18"/>
          <w:lang w:val="es-419"/>
        </w:rPr>
        <w:t>JUDICIAL RODRIGO LARA BONILLA. La acción de tutela en el ordenamiento constitucional colombiano, Universidad Nacional de Colombia, Catalina Botero Marino, Ediprime Ltda., 2006, p.61-75.</w:t>
      </w:r>
    </w:p>
  </w:footnote>
  <w:footnote w:id="8">
    <w:p w:rsidR="00D35CE0" w:rsidRPr="008C0AAA" w:rsidRDefault="00204F12" w:rsidP="00080404">
      <w:pPr>
        <w:pStyle w:val="Textonotapie"/>
        <w:jc w:val="both"/>
        <w:rPr>
          <w:rFonts w:ascii="Century" w:hAnsi="Century"/>
          <w:sz w:val="18"/>
          <w:szCs w:val="18"/>
          <w:lang w:val="es-419"/>
        </w:rPr>
      </w:pPr>
      <w:r w:rsidRPr="008C0AAA">
        <w:rPr>
          <w:rStyle w:val="Refdenotaalpie"/>
          <w:rFonts w:ascii="Century" w:hAnsi="Century"/>
          <w:sz w:val="18"/>
          <w:szCs w:val="18"/>
          <w:lang w:val="es-419"/>
        </w:rPr>
        <w:footnoteRef/>
      </w:r>
      <w:r w:rsidRPr="008C0AAA">
        <w:rPr>
          <w:rFonts w:ascii="Century" w:hAnsi="Century"/>
          <w:sz w:val="18"/>
          <w:szCs w:val="18"/>
          <w:lang w:val="es-419"/>
        </w:rPr>
        <w:t xml:space="preserve"> </w:t>
      </w:r>
      <w:r w:rsidRPr="008C0AAA">
        <w:rPr>
          <w:rFonts w:ascii="Century" w:hAnsi="Century"/>
          <w:sz w:val="18"/>
          <w:szCs w:val="18"/>
          <w:lang w:val="es-419"/>
        </w:rPr>
        <w:t xml:space="preserve">QUINCHE </w:t>
      </w:r>
      <w:r w:rsidRPr="008C0AAA">
        <w:rPr>
          <w:rFonts w:ascii="Century" w:hAnsi="Century"/>
          <w:sz w:val="18"/>
          <w:szCs w:val="18"/>
          <w:lang w:val="es-419"/>
        </w:rPr>
        <w:t>R., Manuel F. La acción de tutela, el amparo en Colombia, Bogotá DC, 2011, p.233-285.</w:t>
      </w:r>
    </w:p>
  </w:footnote>
  <w:footnote w:id="9">
    <w:p w:rsidR="00D35CE0" w:rsidRPr="008C0AAA" w:rsidRDefault="00204F12" w:rsidP="00080404">
      <w:pPr>
        <w:pStyle w:val="Textonotapie"/>
        <w:jc w:val="both"/>
        <w:rPr>
          <w:rFonts w:ascii="Century" w:hAnsi="Century"/>
          <w:sz w:val="18"/>
          <w:szCs w:val="18"/>
          <w:lang w:val="es-419"/>
        </w:rPr>
      </w:pPr>
      <w:r w:rsidRPr="008C0AAA">
        <w:rPr>
          <w:rStyle w:val="Refdenotaalpie"/>
          <w:rFonts w:ascii="Century" w:hAnsi="Century"/>
          <w:sz w:val="18"/>
          <w:szCs w:val="18"/>
          <w:lang w:val="es-419"/>
        </w:rPr>
        <w:footnoteRef/>
      </w:r>
      <w:r w:rsidRPr="008C0AAA">
        <w:rPr>
          <w:rFonts w:ascii="Century" w:hAnsi="Century"/>
          <w:sz w:val="18"/>
          <w:szCs w:val="18"/>
          <w:lang w:val="es-419"/>
        </w:rPr>
        <w:t xml:space="preserve"> </w:t>
      </w:r>
      <w:r w:rsidRPr="008C0AAA">
        <w:rPr>
          <w:rFonts w:ascii="Century" w:hAnsi="Century"/>
          <w:sz w:val="18"/>
          <w:szCs w:val="18"/>
          <w:lang w:val="es-419"/>
        </w:rPr>
        <w:t xml:space="preserve">CC. </w:t>
      </w:r>
      <w:r w:rsidRPr="008C0AAA">
        <w:rPr>
          <w:rFonts w:ascii="Century" w:hAnsi="Century"/>
          <w:sz w:val="18"/>
          <w:szCs w:val="18"/>
          <w:lang w:val="es-419"/>
        </w:rPr>
        <w:t>T-231 de 1994.</w:t>
      </w:r>
    </w:p>
  </w:footnote>
  <w:footnote w:id="10">
    <w:p w:rsidR="00D35CE0" w:rsidRPr="008C0AAA" w:rsidRDefault="00204F12" w:rsidP="00080404">
      <w:pPr>
        <w:pStyle w:val="Textonotapie"/>
        <w:jc w:val="both"/>
        <w:rPr>
          <w:rFonts w:ascii="Century" w:hAnsi="Century"/>
          <w:sz w:val="18"/>
          <w:szCs w:val="18"/>
          <w:lang w:val="es-419"/>
        </w:rPr>
      </w:pPr>
      <w:r w:rsidRPr="008C0AAA">
        <w:rPr>
          <w:rStyle w:val="Refdenotaalpie"/>
          <w:rFonts w:ascii="Century" w:hAnsi="Century"/>
          <w:sz w:val="18"/>
          <w:szCs w:val="18"/>
          <w:lang w:val="es-419"/>
        </w:rPr>
        <w:footnoteRef/>
      </w:r>
      <w:r w:rsidRPr="008C0AAA">
        <w:rPr>
          <w:rFonts w:ascii="Century" w:hAnsi="Century"/>
          <w:sz w:val="18"/>
          <w:szCs w:val="18"/>
          <w:lang w:val="es-419"/>
        </w:rPr>
        <w:t xml:space="preserve"> </w:t>
      </w:r>
      <w:r w:rsidRPr="008C0AAA">
        <w:rPr>
          <w:rFonts w:ascii="Century" w:hAnsi="Century"/>
          <w:sz w:val="18"/>
          <w:szCs w:val="18"/>
          <w:lang w:val="es-419"/>
        </w:rPr>
        <w:t xml:space="preserve">CC. </w:t>
      </w:r>
      <w:r w:rsidRPr="008C0AAA">
        <w:rPr>
          <w:rFonts w:ascii="Century" w:hAnsi="Century"/>
          <w:sz w:val="18"/>
          <w:szCs w:val="18"/>
          <w:lang w:val="es-419"/>
        </w:rPr>
        <w:t>T-831 de 2012.</w:t>
      </w:r>
    </w:p>
  </w:footnote>
  <w:footnote w:id="11">
    <w:p w:rsidR="00D35CE0" w:rsidRPr="008C0AAA" w:rsidRDefault="00204F12" w:rsidP="00080404">
      <w:pPr>
        <w:pStyle w:val="Textonotapie"/>
        <w:jc w:val="both"/>
        <w:rPr>
          <w:rFonts w:ascii="Century" w:hAnsi="Century"/>
          <w:sz w:val="18"/>
          <w:szCs w:val="18"/>
          <w:lang w:val="es-419"/>
        </w:rPr>
      </w:pPr>
      <w:r w:rsidRPr="008C0AAA">
        <w:rPr>
          <w:rStyle w:val="Refdenotaalpie"/>
          <w:rFonts w:ascii="Century" w:hAnsi="Century"/>
          <w:sz w:val="18"/>
          <w:szCs w:val="18"/>
          <w:lang w:val="es-419"/>
        </w:rPr>
        <w:footnoteRef/>
      </w:r>
      <w:r w:rsidRPr="008C0AAA">
        <w:rPr>
          <w:rFonts w:ascii="Century" w:hAnsi="Century"/>
          <w:sz w:val="18"/>
          <w:szCs w:val="18"/>
          <w:lang w:val="es-419"/>
        </w:rPr>
        <w:t xml:space="preserve"> </w:t>
      </w:r>
      <w:r w:rsidRPr="008C0AAA">
        <w:rPr>
          <w:rFonts w:ascii="Century" w:hAnsi="Century"/>
          <w:sz w:val="18"/>
          <w:szCs w:val="18"/>
          <w:lang w:val="es-419"/>
        </w:rPr>
        <w:t xml:space="preserve">QUINCHE </w:t>
      </w:r>
      <w:r w:rsidRPr="008C0AAA">
        <w:rPr>
          <w:rFonts w:ascii="Century" w:hAnsi="Century"/>
          <w:sz w:val="18"/>
          <w:szCs w:val="18"/>
          <w:lang w:val="es-419"/>
        </w:rPr>
        <w:t>R., Manuel F. La acción de tutela, el amparo en Colombia, Bogotá DC, 2011, p.268.</w:t>
      </w:r>
    </w:p>
  </w:footnote>
  <w:footnote w:id="12">
    <w:p w:rsidR="00D35CE0" w:rsidRPr="008C0AAA" w:rsidRDefault="00204F12" w:rsidP="00080404">
      <w:pPr>
        <w:pStyle w:val="Textonotapie"/>
        <w:jc w:val="both"/>
        <w:rPr>
          <w:rFonts w:ascii="Century" w:hAnsi="Century"/>
          <w:sz w:val="18"/>
          <w:szCs w:val="18"/>
          <w:lang w:val="es-419"/>
        </w:rPr>
      </w:pPr>
      <w:r w:rsidRPr="008C0AAA">
        <w:rPr>
          <w:rFonts w:ascii="Century" w:hAnsi="Century"/>
          <w:sz w:val="18"/>
          <w:szCs w:val="18"/>
          <w:vertAlign w:val="superscript"/>
          <w:lang w:val="es-419"/>
        </w:rPr>
        <w:footnoteRef/>
      </w:r>
      <w:r w:rsidRPr="008C0AAA">
        <w:rPr>
          <w:rFonts w:ascii="Century" w:hAnsi="Century"/>
          <w:sz w:val="18"/>
          <w:szCs w:val="18"/>
          <w:lang w:val="es-419"/>
        </w:rPr>
        <w:t xml:space="preserve"> </w:t>
      </w:r>
      <w:r w:rsidRPr="008C0AAA">
        <w:rPr>
          <w:rFonts w:ascii="Century" w:hAnsi="Century"/>
          <w:sz w:val="18"/>
          <w:szCs w:val="18"/>
          <w:lang w:val="es-419"/>
        </w:rPr>
        <w:t xml:space="preserve">CC. </w:t>
      </w:r>
      <w:r w:rsidRPr="008C0AAA">
        <w:rPr>
          <w:rFonts w:ascii="Century" w:hAnsi="Century"/>
          <w:sz w:val="18"/>
          <w:szCs w:val="18"/>
          <w:lang w:val="es-419"/>
        </w:rPr>
        <w:t>T-573 de 1997.</w:t>
      </w:r>
    </w:p>
  </w:footnote>
  <w:footnote w:id="13">
    <w:p w:rsidR="00D35CE0" w:rsidRPr="008C0AAA" w:rsidRDefault="00204F12" w:rsidP="00080404">
      <w:pPr>
        <w:pStyle w:val="Textonotapie"/>
        <w:jc w:val="both"/>
        <w:rPr>
          <w:rFonts w:ascii="Century" w:hAnsi="Century"/>
          <w:sz w:val="18"/>
          <w:szCs w:val="18"/>
          <w:lang w:val="es-419"/>
        </w:rPr>
      </w:pPr>
      <w:r w:rsidRPr="008C0AAA">
        <w:rPr>
          <w:rFonts w:ascii="Century" w:hAnsi="Century"/>
          <w:sz w:val="18"/>
          <w:szCs w:val="18"/>
          <w:vertAlign w:val="superscript"/>
          <w:lang w:val="es-419"/>
        </w:rPr>
        <w:footnoteRef/>
      </w:r>
      <w:r w:rsidRPr="008C0AAA">
        <w:rPr>
          <w:rFonts w:ascii="Century" w:hAnsi="Century"/>
          <w:sz w:val="18"/>
          <w:szCs w:val="18"/>
          <w:lang w:val="es-419"/>
        </w:rPr>
        <w:t xml:space="preserve"> </w:t>
      </w:r>
      <w:r w:rsidRPr="008C0AAA">
        <w:rPr>
          <w:rFonts w:ascii="Century" w:hAnsi="Century"/>
          <w:sz w:val="18"/>
          <w:szCs w:val="18"/>
          <w:lang w:val="es-419"/>
        </w:rPr>
        <w:t xml:space="preserve">CC. </w:t>
      </w:r>
      <w:r w:rsidRPr="008C0AAA">
        <w:rPr>
          <w:rFonts w:ascii="Century" w:hAnsi="Century"/>
          <w:sz w:val="18"/>
          <w:szCs w:val="18"/>
          <w:lang w:val="es-419"/>
        </w:rPr>
        <w:t>T-567 de 1998.</w:t>
      </w:r>
    </w:p>
  </w:footnote>
  <w:footnote w:id="14">
    <w:p w:rsidR="00D35CE0" w:rsidRPr="008C0AAA" w:rsidRDefault="00204F12" w:rsidP="00080404">
      <w:pPr>
        <w:pStyle w:val="Textonotapie"/>
        <w:jc w:val="both"/>
        <w:rPr>
          <w:rFonts w:ascii="Century" w:hAnsi="Century"/>
          <w:sz w:val="18"/>
          <w:szCs w:val="18"/>
          <w:lang w:val="es-419"/>
        </w:rPr>
      </w:pPr>
      <w:r w:rsidRPr="008C0AAA">
        <w:rPr>
          <w:rFonts w:ascii="Century" w:hAnsi="Century"/>
          <w:sz w:val="18"/>
          <w:szCs w:val="18"/>
          <w:vertAlign w:val="superscript"/>
          <w:lang w:val="es-419"/>
        </w:rPr>
        <w:footnoteRef/>
      </w:r>
      <w:r w:rsidRPr="008C0AAA">
        <w:rPr>
          <w:rFonts w:ascii="Century" w:hAnsi="Century"/>
          <w:sz w:val="18"/>
          <w:szCs w:val="18"/>
          <w:lang w:val="es-419"/>
        </w:rPr>
        <w:t xml:space="preserve"> </w:t>
      </w:r>
      <w:r w:rsidRPr="008C0AAA">
        <w:rPr>
          <w:rFonts w:ascii="Century" w:hAnsi="Century"/>
          <w:sz w:val="18"/>
          <w:szCs w:val="18"/>
          <w:lang w:val="es-419"/>
        </w:rPr>
        <w:t xml:space="preserve">CC. </w:t>
      </w:r>
      <w:r w:rsidRPr="008C0AAA">
        <w:rPr>
          <w:rFonts w:ascii="Century" w:hAnsi="Century"/>
          <w:sz w:val="18"/>
          <w:szCs w:val="18"/>
          <w:lang w:val="es-419"/>
        </w:rPr>
        <w:t>T-001 de 1999.</w:t>
      </w:r>
    </w:p>
  </w:footnote>
  <w:footnote w:id="15">
    <w:p w:rsidR="00D35CE0" w:rsidRPr="008C0AAA" w:rsidRDefault="00204F12" w:rsidP="00080404">
      <w:pPr>
        <w:pStyle w:val="Textonotapie"/>
        <w:jc w:val="both"/>
        <w:rPr>
          <w:rFonts w:ascii="Century" w:hAnsi="Century"/>
          <w:sz w:val="18"/>
          <w:szCs w:val="18"/>
          <w:lang w:val="es-419"/>
        </w:rPr>
      </w:pPr>
      <w:r w:rsidRPr="008C0AAA">
        <w:rPr>
          <w:rStyle w:val="Refdenotaalpie"/>
          <w:rFonts w:ascii="Century" w:hAnsi="Century"/>
          <w:sz w:val="18"/>
          <w:szCs w:val="18"/>
          <w:lang w:val="es-419"/>
        </w:rPr>
        <w:footnoteRef/>
      </w:r>
      <w:r w:rsidRPr="008C0AAA">
        <w:rPr>
          <w:rFonts w:ascii="Century" w:hAnsi="Century"/>
          <w:sz w:val="18"/>
          <w:szCs w:val="18"/>
          <w:lang w:val="es-419"/>
        </w:rPr>
        <w:t xml:space="preserve"> </w:t>
      </w:r>
      <w:r w:rsidRPr="008C0AAA">
        <w:rPr>
          <w:rFonts w:ascii="Century" w:hAnsi="Century"/>
          <w:sz w:val="18"/>
          <w:szCs w:val="18"/>
          <w:lang w:val="es-419"/>
        </w:rPr>
        <w:t xml:space="preserve">CC. </w:t>
      </w:r>
      <w:r w:rsidRPr="008C0AAA">
        <w:rPr>
          <w:rFonts w:ascii="Century" w:hAnsi="Century"/>
          <w:sz w:val="18"/>
          <w:szCs w:val="18"/>
          <w:lang w:val="es-419"/>
        </w:rPr>
        <w:t>SU-949 de 2014 y T-192 de 2015.</w:t>
      </w:r>
    </w:p>
  </w:footnote>
  <w:footnote w:id="16">
    <w:p w:rsidR="00D35CE0" w:rsidRPr="008C0AAA" w:rsidRDefault="00204F12" w:rsidP="00080404">
      <w:pPr>
        <w:pStyle w:val="Textonotapie"/>
        <w:jc w:val="both"/>
        <w:rPr>
          <w:rFonts w:ascii="Century" w:hAnsi="Century"/>
          <w:sz w:val="18"/>
          <w:szCs w:val="18"/>
          <w:lang w:val="es-419"/>
        </w:rPr>
      </w:pPr>
      <w:r w:rsidRPr="008C0AAA">
        <w:rPr>
          <w:rStyle w:val="Refdenotaalpie"/>
          <w:rFonts w:ascii="Century" w:hAnsi="Century"/>
          <w:sz w:val="18"/>
          <w:szCs w:val="18"/>
          <w:lang w:val="es-419"/>
        </w:rPr>
        <w:footnoteRef/>
      </w:r>
      <w:r w:rsidRPr="008C0AAA">
        <w:rPr>
          <w:rFonts w:ascii="Century" w:hAnsi="Century"/>
          <w:sz w:val="18"/>
          <w:szCs w:val="18"/>
          <w:lang w:val="es-419"/>
        </w:rPr>
        <w:t xml:space="preserve"> </w:t>
      </w:r>
      <w:r w:rsidRPr="008C0AAA">
        <w:rPr>
          <w:rFonts w:ascii="Century" w:hAnsi="Century"/>
          <w:sz w:val="18"/>
          <w:szCs w:val="18"/>
          <w:lang w:val="es-419"/>
        </w:rPr>
        <w:t xml:space="preserve">CC. </w:t>
      </w:r>
      <w:r w:rsidRPr="008C0AAA">
        <w:rPr>
          <w:rFonts w:ascii="Century" w:hAnsi="Century"/>
          <w:sz w:val="18"/>
          <w:szCs w:val="18"/>
          <w:lang w:val="es-419"/>
        </w:rPr>
        <w:t xml:space="preserve">SU-949 de 2014. </w:t>
      </w:r>
    </w:p>
  </w:footnote>
  <w:footnote w:id="17">
    <w:p w:rsidR="00D35CE0" w:rsidRPr="008C0AAA" w:rsidRDefault="00204F12" w:rsidP="00080404">
      <w:pPr>
        <w:pStyle w:val="Textonotapie"/>
        <w:jc w:val="both"/>
        <w:rPr>
          <w:rFonts w:ascii="Century" w:hAnsi="Century"/>
          <w:sz w:val="18"/>
          <w:szCs w:val="18"/>
          <w:lang w:val="es-419"/>
        </w:rPr>
      </w:pPr>
      <w:r w:rsidRPr="008C0AAA">
        <w:rPr>
          <w:rStyle w:val="Refdenotaalpie"/>
          <w:rFonts w:ascii="Century" w:hAnsi="Century"/>
          <w:sz w:val="18"/>
          <w:szCs w:val="18"/>
          <w:lang w:val="es-419"/>
        </w:rPr>
        <w:footnoteRef/>
      </w:r>
      <w:r w:rsidRPr="008C0AAA">
        <w:rPr>
          <w:rFonts w:ascii="Century" w:hAnsi="Century"/>
          <w:sz w:val="18"/>
          <w:szCs w:val="18"/>
          <w:lang w:val="es-419"/>
        </w:rPr>
        <w:t xml:space="preserve"> </w:t>
      </w:r>
      <w:r w:rsidRPr="008C0AAA">
        <w:rPr>
          <w:rFonts w:ascii="Century" w:hAnsi="Century"/>
          <w:sz w:val="18"/>
          <w:szCs w:val="18"/>
          <w:lang w:val="es-419"/>
        </w:rPr>
        <w:t xml:space="preserve">CC. </w:t>
      </w:r>
      <w:r w:rsidRPr="008C0AAA">
        <w:rPr>
          <w:rFonts w:ascii="Century" w:hAnsi="Century"/>
          <w:bCs/>
          <w:sz w:val="18"/>
          <w:szCs w:val="18"/>
          <w:lang w:val="es-419"/>
        </w:rPr>
        <w:t>SU-050 de 2017, T-233 de 2017, T-235 de 2017</w:t>
      </w:r>
      <w:r w:rsidR="005A5240" w:rsidRPr="008C0AAA">
        <w:rPr>
          <w:rFonts w:ascii="Century" w:hAnsi="Century"/>
          <w:bCs/>
          <w:sz w:val="18"/>
          <w:szCs w:val="18"/>
          <w:lang w:val="es-419"/>
        </w:rPr>
        <w:t>,</w:t>
      </w:r>
      <w:r w:rsidRPr="008C0AAA">
        <w:rPr>
          <w:rFonts w:ascii="Century" w:hAnsi="Century"/>
          <w:bCs/>
          <w:sz w:val="18"/>
          <w:szCs w:val="18"/>
          <w:lang w:val="es-419"/>
        </w:rPr>
        <w:t xml:space="preserve"> T-002 de 2018</w:t>
      </w:r>
      <w:r w:rsidR="005A5240" w:rsidRPr="008C0AAA">
        <w:rPr>
          <w:rFonts w:ascii="Century" w:hAnsi="Century"/>
          <w:bCs/>
          <w:sz w:val="18"/>
          <w:szCs w:val="18"/>
          <w:lang w:val="es-419"/>
        </w:rPr>
        <w:t xml:space="preserve"> y T-078 de 2019</w:t>
      </w:r>
      <w:r w:rsidRPr="008C0AAA">
        <w:rPr>
          <w:rFonts w:ascii="Century" w:hAnsi="Century"/>
          <w:bCs/>
          <w:sz w:val="18"/>
          <w:szCs w:val="18"/>
          <w:lang w:val="es-419"/>
        </w:rPr>
        <w:t>.</w:t>
      </w:r>
    </w:p>
  </w:footnote>
  <w:footnote w:id="18">
    <w:p w:rsidR="00D35CE0" w:rsidRPr="008C0AAA" w:rsidRDefault="00162462" w:rsidP="00080404">
      <w:pPr>
        <w:pStyle w:val="Textonotapie"/>
        <w:jc w:val="both"/>
        <w:rPr>
          <w:rFonts w:ascii="Century" w:hAnsi="Century"/>
          <w:sz w:val="18"/>
          <w:szCs w:val="18"/>
          <w:lang w:val="es-419"/>
        </w:rPr>
      </w:pPr>
      <w:r w:rsidRPr="008C0AAA">
        <w:rPr>
          <w:rStyle w:val="Refdenotaalpie"/>
          <w:rFonts w:ascii="Century" w:hAnsi="Century"/>
          <w:sz w:val="18"/>
          <w:szCs w:val="18"/>
          <w:lang w:val="es-419"/>
        </w:rPr>
        <w:footnoteRef/>
      </w:r>
      <w:r w:rsidRPr="008C0AAA">
        <w:rPr>
          <w:rFonts w:ascii="Century" w:hAnsi="Century"/>
          <w:sz w:val="18"/>
          <w:szCs w:val="18"/>
          <w:lang w:val="es-419"/>
        </w:rPr>
        <w:t xml:space="preserve"> </w:t>
      </w:r>
      <w:r w:rsidRPr="008C0AAA">
        <w:rPr>
          <w:rFonts w:ascii="Century" w:hAnsi="Century"/>
          <w:sz w:val="18"/>
          <w:szCs w:val="18"/>
          <w:lang w:val="es-419"/>
        </w:rPr>
        <w:t xml:space="preserve">CC. SU 499 de 2016, T137 de 2017 y T-323 de 2017. </w:t>
      </w:r>
    </w:p>
  </w:footnote>
  <w:footnote w:id="19">
    <w:p w:rsidR="00D35CE0" w:rsidRPr="008C0AAA" w:rsidRDefault="00370635" w:rsidP="00080404">
      <w:pPr>
        <w:pStyle w:val="Textonotapie"/>
        <w:jc w:val="both"/>
        <w:rPr>
          <w:rFonts w:ascii="Century" w:hAnsi="Century"/>
          <w:sz w:val="18"/>
          <w:szCs w:val="18"/>
          <w:lang w:val="es-419"/>
        </w:rPr>
      </w:pPr>
      <w:r w:rsidRPr="008C0AAA">
        <w:rPr>
          <w:rStyle w:val="Refdenotaalpie"/>
          <w:rFonts w:ascii="Century" w:hAnsi="Century"/>
          <w:sz w:val="18"/>
          <w:szCs w:val="18"/>
          <w:lang w:val="es-419"/>
        </w:rPr>
        <w:footnoteRef/>
      </w:r>
      <w:r w:rsidRPr="008C0AAA">
        <w:rPr>
          <w:rFonts w:ascii="Century" w:hAnsi="Century"/>
          <w:sz w:val="18"/>
          <w:szCs w:val="18"/>
          <w:lang w:val="es-419"/>
        </w:rPr>
        <w:t xml:space="preserve"> </w:t>
      </w:r>
      <w:r w:rsidRPr="008C0AAA">
        <w:rPr>
          <w:rFonts w:ascii="Century" w:hAnsi="Century"/>
          <w:sz w:val="18"/>
          <w:szCs w:val="18"/>
          <w:lang w:val="es-419"/>
        </w:rPr>
        <w:t>CSJ. STC6794-2019.</w:t>
      </w:r>
    </w:p>
  </w:footnote>
  <w:footnote w:id="20">
    <w:p w:rsidR="00D35CE0" w:rsidRPr="008C0AAA" w:rsidRDefault="003529E8" w:rsidP="00080404">
      <w:pPr>
        <w:pStyle w:val="Textonotapie"/>
        <w:jc w:val="both"/>
        <w:rPr>
          <w:rFonts w:ascii="Century" w:hAnsi="Century"/>
          <w:sz w:val="18"/>
          <w:szCs w:val="18"/>
          <w:lang w:val="es-419"/>
        </w:rPr>
      </w:pPr>
      <w:r w:rsidRPr="008C0AAA">
        <w:rPr>
          <w:rStyle w:val="Refdenotaalpie"/>
          <w:rFonts w:ascii="Century" w:hAnsi="Century"/>
          <w:sz w:val="18"/>
          <w:szCs w:val="18"/>
          <w:lang w:val="es-419"/>
        </w:rPr>
        <w:footnoteRef/>
      </w:r>
      <w:r w:rsidRPr="008C0AAA">
        <w:rPr>
          <w:rFonts w:ascii="Century" w:hAnsi="Century"/>
          <w:sz w:val="18"/>
          <w:szCs w:val="18"/>
          <w:lang w:val="es-419"/>
        </w:rPr>
        <w:t xml:space="preserve"> </w:t>
      </w:r>
      <w:r w:rsidRPr="008C0AAA">
        <w:rPr>
          <w:rFonts w:ascii="Century" w:hAnsi="Century"/>
          <w:sz w:val="18"/>
          <w:szCs w:val="18"/>
          <w:lang w:val="es-419"/>
        </w:rPr>
        <w:t xml:space="preserve">ROJAS </w:t>
      </w:r>
      <w:r w:rsidRPr="008C0AAA">
        <w:rPr>
          <w:rFonts w:ascii="Century" w:hAnsi="Century"/>
          <w:sz w:val="18"/>
          <w:szCs w:val="18"/>
          <w:lang w:val="es-419"/>
        </w:rPr>
        <w:t xml:space="preserve">G., Miguel E. Lecciones de derecho procesal, tomo </w:t>
      </w:r>
      <w:r w:rsidR="007626C1" w:rsidRPr="008C0AAA">
        <w:rPr>
          <w:rFonts w:ascii="Century" w:hAnsi="Century"/>
          <w:sz w:val="18"/>
          <w:szCs w:val="18"/>
          <w:lang w:val="es-419"/>
        </w:rPr>
        <w:t>IV</w:t>
      </w:r>
      <w:r w:rsidRPr="008C0AAA">
        <w:rPr>
          <w:rFonts w:ascii="Century" w:hAnsi="Century"/>
          <w:sz w:val="18"/>
          <w:szCs w:val="18"/>
          <w:lang w:val="es-419"/>
        </w:rPr>
        <w:t xml:space="preserve">, procesos de conocimiento, </w:t>
      </w:r>
      <w:r w:rsidR="007626C1" w:rsidRPr="008C0AAA">
        <w:rPr>
          <w:rFonts w:ascii="Century" w:hAnsi="Century"/>
          <w:sz w:val="18"/>
          <w:szCs w:val="18"/>
          <w:lang w:val="es-419"/>
        </w:rPr>
        <w:t>E</w:t>
      </w:r>
      <w:r w:rsidRPr="008C0AAA">
        <w:rPr>
          <w:rFonts w:ascii="Century" w:hAnsi="Century"/>
          <w:sz w:val="18"/>
          <w:szCs w:val="18"/>
          <w:lang w:val="es-419"/>
        </w:rPr>
        <w:t>saju, Bogotá, 2016, p.420.</w:t>
      </w:r>
    </w:p>
  </w:footnote>
  <w:footnote w:id="21">
    <w:p w:rsidR="00D35CE0" w:rsidRPr="008C0AAA" w:rsidRDefault="003529E8" w:rsidP="00080404">
      <w:pPr>
        <w:pStyle w:val="Textonotapie"/>
        <w:jc w:val="both"/>
        <w:rPr>
          <w:lang w:val="es-419"/>
        </w:rPr>
      </w:pPr>
      <w:r w:rsidRPr="008C0AAA">
        <w:rPr>
          <w:rStyle w:val="Refdenotaalpie"/>
          <w:rFonts w:ascii="Century" w:hAnsi="Century"/>
          <w:sz w:val="18"/>
          <w:szCs w:val="18"/>
          <w:lang w:val="es-419"/>
        </w:rPr>
        <w:footnoteRef/>
      </w:r>
      <w:r w:rsidRPr="008C0AAA">
        <w:rPr>
          <w:rFonts w:ascii="Century" w:hAnsi="Century"/>
          <w:sz w:val="18"/>
          <w:szCs w:val="18"/>
          <w:lang w:val="es-419"/>
        </w:rPr>
        <w:t xml:space="preserve"> </w:t>
      </w:r>
      <w:r w:rsidRPr="008C0AAA">
        <w:rPr>
          <w:rFonts w:ascii="Century" w:hAnsi="Century"/>
          <w:sz w:val="18"/>
          <w:szCs w:val="18"/>
          <w:lang w:val="es-419"/>
        </w:rPr>
        <w:t xml:space="preserve">LÓPEZ </w:t>
      </w:r>
      <w:r w:rsidRPr="008C0AAA">
        <w:rPr>
          <w:rFonts w:ascii="Century" w:hAnsi="Century"/>
          <w:sz w:val="18"/>
          <w:szCs w:val="18"/>
          <w:lang w:val="es-419"/>
        </w:rPr>
        <w:t>B., Hernán F. Código general del proceso, parte especial, Dupre Editores, Bogotá, 2017, p.</w:t>
      </w:r>
      <w:r w:rsidR="002D7435" w:rsidRPr="008C0AAA">
        <w:rPr>
          <w:rFonts w:ascii="Century" w:hAnsi="Century"/>
          <w:sz w:val="18"/>
          <w:szCs w:val="18"/>
          <w:lang w:val="es-419"/>
        </w:rPr>
        <w:t>340-343.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F12" w:rsidRPr="007C23E2" w:rsidRDefault="00204F12">
    <w:pPr>
      <w:pStyle w:val="Encabezado"/>
      <w:pBdr>
        <w:bottom w:val="single" w:sz="4" w:space="1" w:color="D9D9D9"/>
      </w:pBdr>
      <w:jc w:val="right"/>
      <w:rPr>
        <w:rFonts w:ascii="Georgia" w:hAnsi="Georgia" w:cs="Calibri"/>
        <w:i/>
        <w:sz w:val="20"/>
      </w:rPr>
    </w:pPr>
    <w:r w:rsidRPr="007C23E2">
      <w:rPr>
        <w:rFonts w:ascii="Georgia" w:hAnsi="Georgia" w:cs="Calibri"/>
        <w:i/>
        <w:color w:val="7F7F7F"/>
        <w:spacing w:val="60"/>
        <w:sz w:val="20"/>
      </w:rPr>
      <w:t>Página</w:t>
    </w:r>
    <w:r w:rsidRPr="007C23E2">
      <w:rPr>
        <w:rFonts w:ascii="Georgia" w:hAnsi="Georgia" w:cs="Calibri"/>
        <w:i/>
        <w:sz w:val="20"/>
      </w:rPr>
      <w:t xml:space="preserve"> | </w:t>
    </w:r>
    <w:r w:rsidRPr="007C23E2">
      <w:rPr>
        <w:rFonts w:ascii="Georgia" w:hAnsi="Georgia" w:cs="Calibri"/>
        <w:i/>
        <w:sz w:val="20"/>
      </w:rPr>
      <w:fldChar w:fldCharType="begin"/>
    </w:r>
    <w:r w:rsidRPr="007C23E2">
      <w:rPr>
        <w:rFonts w:ascii="Georgia" w:hAnsi="Georgia" w:cs="Calibri"/>
        <w:i/>
        <w:sz w:val="20"/>
      </w:rPr>
      <w:instrText xml:space="preserve"> PAGE   \* MERGEFORMAT </w:instrText>
    </w:r>
    <w:r w:rsidRPr="007C23E2">
      <w:rPr>
        <w:rFonts w:ascii="Georgia" w:hAnsi="Georgia" w:cs="Calibri"/>
        <w:i/>
        <w:sz w:val="20"/>
      </w:rPr>
      <w:fldChar w:fldCharType="separate"/>
    </w:r>
    <w:r w:rsidR="00EE2A6A">
      <w:rPr>
        <w:rFonts w:ascii="Georgia" w:hAnsi="Georgia" w:cs="Calibri"/>
        <w:i/>
        <w:noProof/>
        <w:sz w:val="20"/>
      </w:rPr>
      <w:t>6</w:t>
    </w:r>
    <w:r w:rsidRPr="007C23E2">
      <w:rPr>
        <w:rFonts w:ascii="Georgia" w:hAnsi="Georgia" w:cs="Calibri"/>
        <w:i/>
        <w:sz w:val="20"/>
      </w:rPr>
      <w:fldChar w:fldCharType="end"/>
    </w:r>
  </w:p>
  <w:p w:rsidR="00204F12" w:rsidRPr="003B0CC2" w:rsidRDefault="00204F12" w:rsidP="009C568C">
    <w:pPr>
      <w:pStyle w:val="Encabezado"/>
      <w:ind w:right="360"/>
      <w:jc w:val="both"/>
      <w:rPr>
        <w:rFonts w:ascii="Georgia" w:hAnsi="Georgia" w:cs="Calibri"/>
        <w:i/>
        <w:sz w:val="18"/>
        <w:szCs w:val="22"/>
      </w:rPr>
    </w:pPr>
    <w:r w:rsidRPr="003B0CC2">
      <w:rPr>
        <w:rFonts w:ascii="Georgia" w:hAnsi="Georgia" w:cs="Calibri"/>
        <w:i/>
        <w:sz w:val="18"/>
        <w:szCs w:val="22"/>
      </w:rPr>
      <w:t>EXPEDIENTE No.201</w:t>
    </w:r>
    <w:r>
      <w:rPr>
        <w:rFonts w:ascii="Georgia" w:hAnsi="Georgia" w:cs="Calibri"/>
        <w:i/>
        <w:sz w:val="18"/>
        <w:szCs w:val="22"/>
      </w:rPr>
      <w:t>9</w:t>
    </w:r>
    <w:r w:rsidRPr="003B0CC2">
      <w:rPr>
        <w:rFonts w:ascii="Georgia" w:hAnsi="Georgia" w:cs="Calibri"/>
        <w:i/>
        <w:sz w:val="18"/>
        <w:szCs w:val="22"/>
      </w:rPr>
      <w:t>-</w:t>
    </w:r>
    <w:r w:rsidR="00743AF6">
      <w:rPr>
        <w:rFonts w:ascii="Georgia" w:hAnsi="Georgia" w:cs="Calibri"/>
        <w:i/>
        <w:sz w:val="18"/>
        <w:szCs w:val="22"/>
      </w:rPr>
      <w:t>00437-01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B3DEC"/>
    <w:multiLevelType w:val="multilevel"/>
    <w:tmpl w:val="097C33BA"/>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0A836A04"/>
    <w:multiLevelType w:val="hybridMultilevel"/>
    <w:tmpl w:val="6D0A8182"/>
    <w:lvl w:ilvl="0" w:tplc="BDC6C88C">
      <w:start w:val="1"/>
      <w:numFmt w:val="decimal"/>
      <w:lvlText w:val="%1."/>
      <w:lvlJc w:val="left"/>
      <w:pPr>
        <w:tabs>
          <w:tab w:val="num" w:pos="720"/>
        </w:tabs>
        <w:ind w:left="720" w:hanging="360"/>
      </w:pPr>
      <w:rPr>
        <w:rFonts w:cs="Times New Roman"/>
        <w:sz w:val="24"/>
        <w:szCs w:val="24"/>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106651A7"/>
    <w:multiLevelType w:val="multilevel"/>
    <w:tmpl w:val="8160DA8E"/>
    <w:lvl w:ilvl="0">
      <w:start w:val="6"/>
      <w:numFmt w:val="decimal"/>
      <w:lvlText w:val="%1."/>
      <w:lvlJc w:val="left"/>
      <w:pPr>
        <w:ind w:left="390" w:hanging="390"/>
      </w:pPr>
      <w:rPr>
        <w:rFonts w:cs="Times New Roman" w:hint="default"/>
        <w:sz w:val="24"/>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440" w:hanging="144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800" w:hanging="1800"/>
      </w:pPr>
      <w:rPr>
        <w:rFonts w:cs="Times New Roman" w:hint="default"/>
        <w:sz w:val="24"/>
      </w:rPr>
    </w:lvl>
    <w:lvl w:ilvl="7">
      <w:start w:val="1"/>
      <w:numFmt w:val="decimal"/>
      <w:lvlText w:val="%1.%2.%3.%4.%5.%6.%7.%8."/>
      <w:lvlJc w:val="left"/>
      <w:pPr>
        <w:ind w:left="2160" w:hanging="216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4">
    <w:nsid w:val="10CC1E1D"/>
    <w:multiLevelType w:val="multilevel"/>
    <w:tmpl w:val="F820AE90"/>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9742296"/>
    <w:multiLevelType w:val="multilevel"/>
    <w:tmpl w:val="C9FA1EEC"/>
    <w:lvl w:ilvl="0">
      <w:start w:val="7"/>
      <w:numFmt w:val="decimal"/>
      <w:lvlText w:val="%1."/>
      <w:lvlJc w:val="left"/>
      <w:pPr>
        <w:ind w:left="585" w:hanging="585"/>
      </w:pPr>
      <w:rPr>
        <w:rFonts w:cs="Times New Roman" w:hint="default"/>
      </w:rPr>
    </w:lvl>
    <w:lvl w:ilvl="1">
      <w:start w:val="3"/>
      <w:numFmt w:val="decimal"/>
      <w:lvlText w:val="%1.%2."/>
      <w:lvlJc w:val="left"/>
      <w:pPr>
        <w:ind w:left="720" w:hanging="720"/>
      </w:pPr>
      <w:rPr>
        <w:rFonts w:cs="Times New Roman" w:hint="default"/>
      </w:rPr>
    </w:lvl>
    <w:lvl w:ilvl="2">
      <w:start w:val="4"/>
      <w:numFmt w:val="decimal"/>
      <w:lvlText w:val="%1.%2.%3."/>
      <w:lvlJc w:val="left"/>
      <w:pPr>
        <w:ind w:left="720" w:hanging="720"/>
      </w:pPr>
      <w:rPr>
        <w:rFonts w:cs="Times New Roman" w:hint="default"/>
        <w:sz w:val="22"/>
        <w:szCs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7">
    <w:nsid w:val="1B6519C6"/>
    <w:multiLevelType w:val="multilevel"/>
    <w:tmpl w:val="BBC8626C"/>
    <w:lvl w:ilvl="0">
      <w:start w:val="6"/>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2"/>
        <w:szCs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1C081C89"/>
    <w:multiLevelType w:val="hybridMultilevel"/>
    <w:tmpl w:val="33E2B908"/>
    <w:lvl w:ilvl="0" w:tplc="F2C2B488">
      <w:start w:val="1"/>
      <w:numFmt w:val="decimal"/>
      <w:lvlText w:val="%1."/>
      <w:lvlJc w:val="left"/>
      <w:pPr>
        <w:ind w:left="363" w:hanging="360"/>
      </w:pPr>
      <w:rPr>
        <w:rFonts w:cs="Times New Roman" w:hint="default"/>
      </w:rPr>
    </w:lvl>
    <w:lvl w:ilvl="1" w:tplc="240A0019" w:tentative="1">
      <w:start w:val="1"/>
      <w:numFmt w:val="lowerLetter"/>
      <w:lvlText w:val="%2."/>
      <w:lvlJc w:val="left"/>
      <w:pPr>
        <w:ind w:left="1083" w:hanging="360"/>
      </w:pPr>
      <w:rPr>
        <w:rFonts w:cs="Times New Roman"/>
      </w:rPr>
    </w:lvl>
    <w:lvl w:ilvl="2" w:tplc="240A001B" w:tentative="1">
      <w:start w:val="1"/>
      <w:numFmt w:val="lowerRoman"/>
      <w:lvlText w:val="%3."/>
      <w:lvlJc w:val="right"/>
      <w:pPr>
        <w:ind w:left="1803" w:hanging="180"/>
      </w:pPr>
      <w:rPr>
        <w:rFonts w:cs="Times New Roman"/>
      </w:rPr>
    </w:lvl>
    <w:lvl w:ilvl="3" w:tplc="240A000F" w:tentative="1">
      <w:start w:val="1"/>
      <w:numFmt w:val="decimal"/>
      <w:lvlText w:val="%4."/>
      <w:lvlJc w:val="left"/>
      <w:pPr>
        <w:ind w:left="2523" w:hanging="360"/>
      </w:pPr>
      <w:rPr>
        <w:rFonts w:cs="Times New Roman"/>
      </w:rPr>
    </w:lvl>
    <w:lvl w:ilvl="4" w:tplc="240A0019" w:tentative="1">
      <w:start w:val="1"/>
      <w:numFmt w:val="lowerLetter"/>
      <w:lvlText w:val="%5."/>
      <w:lvlJc w:val="left"/>
      <w:pPr>
        <w:ind w:left="3243" w:hanging="360"/>
      </w:pPr>
      <w:rPr>
        <w:rFonts w:cs="Times New Roman"/>
      </w:rPr>
    </w:lvl>
    <w:lvl w:ilvl="5" w:tplc="240A001B" w:tentative="1">
      <w:start w:val="1"/>
      <w:numFmt w:val="lowerRoman"/>
      <w:lvlText w:val="%6."/>
      <w:lvlJc w:val="right"/>
      <w:pPr>
        <w:ind w:left="3963" w:hanging="180"/>
      </w:pPr>
      <w:rPr>
        <w:rFonts w:cs="Times New Roman"/>
      </w:rPr>
    </w:lvl>
    <w:lvl w:ilvl="6" w:tplc="240A000F" w:tentative="1">
      <w:start w:val="1"/>
      <w:numFmt w:val="decimal"/>
      <w:lvlText w:val="%7."/>
      <w:lvlJc w:val="left"/>
      <w:pPr>
        <w:ind w:left="4683" w:hanging="360"/>
      </w:pPr>
      <w:rPr>
        <w:rFonts w:cs="Times New Roman"/>
      </w:rPr>
    </w:lvl>
    <w:lvl w:ilvl="7" w:tplc="240A0019" w:tentative="1">
      <w:start w:val="1"/>
      <w:numFmt w:val="lowerLetter"/>
      <w:lvlText w:val="%8."/>
      <w:lvlJc w:val="left"/>
      <w:pPr>
        <w:ind w:left="5403" w:hanging="360"/>
      </w:pPr>
      <w:rPr>
        <w:rFonts w:cs="Times New Roman"/>
      </w:rPr>
    </w:lvl>
    <w:lvl w:ilvl="8" w:tplc="240A001B" w:tentative="1">
      <w:start w:val="1"/>
      <w:numFmt w:val="lowerRoman"/>
      <w:lvlText w:val="%9."/>
      <w:lvlJc w:val="right"/>
      <w:pPr>
        <w:ind w:left="6123" w:hanging="180"/>
      </w:pPr>
      <w:rPr>
        <w:rFonts w:cs="Times New Roman"/>
      </w:rPr>
    </w:lvl>
  </w:abstractNum>
  <w:abstractNum w:abstractNumId="9">
    <w:nsid w:val="1C830482"/>
    <w:multiLevelType w:val="multilevel"/>
    <w:tmpl w:val="26C242E6"/>
    <w:lvl w:ilvl="0">
      <w:start w:val="7"/>
      <w:numFmt w:val="decimal"/>
      <w:lvlText w:val="%1."/>
      <w:lvlJc w:val="left"/>
      <w:pPr>
        <w:ind w:left="360" w:hanging="360"/>
      </w:pPr>
      <w:rPr>
        <w:rFonts w:cs="Times New Roman" w:hint="default"/>
        <w:color w:val="auto"/>
      </w:rPr>
    </w:lvl>
    <w:lvl w:ilvl="1">
      <w:start w:val="1"/>
      <w:numFmt w:val="decimal"/>
      <w:lvlText w:val="%1.%2."/>
      <w:lvlJc w:val="left"/>
      <w:pPr>
        <w:ind w:left="720" w:hanging="72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10">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12">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13">
    <w:nsid w:val="27692C96"/>
    <w:multiLevelType w:val="multilevel"/>
    <w:tmpl w:val="45BA49C2"/>
    <w:lvl w:ilvl="0">
      <w:start w:val="7"/>
      <w:numFmt w:val="decimal"/>
      <w:lvlText w:val="%1."/>
      <w:lvlJc w:val="left"/>
      <w:pPr>
        <w:ind w:left="585" w:hanging="585"/>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284F2158"/>
    <w:multiLevelType w:val="multilevel"/>
    <w:tmpl w:val="F4A64F76"/>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2"/>
        <w:szCs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2BF76823"/>
    <w:multiLevelType w:val="multilevel"/>
    <w:tmpl w:val="93E08B8C"/>
    <w:lvl w:ilvl="0">
      <w:start w:val="8"/>
      <w:numFmt w:val="decimal"/>
      <w:lvlText w:val="%1."/>
      <w:lvlJc w:val="left"/>
      <w:pPr>
        <w:ind w:left="390" w:hanging="390"/>
      </w:pPr>
      <w:rPr>
        <w:rFonts w:cs="Times New Roman" w:hint="default"/>
      </w:rPr>
    </w:lvl>
    <w:lvl w:ilvl="1">
      <w:start w:val="2"/>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6">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33451D7A"/>
    <w:multiLevelType w:val="multilevel"/>
    <w:tmpl w:val="2B48CABA"/>
    <w:lvl w:ilvl="0">
      <w:start w:val="8"/>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34FB3169"/>
    <w:multiLevelType w:val="multilevel"/>
    <w:tmpl w:val="86C0F3D4"/>
    <w:lvl w:ilvl="0">
      <w:start w:val="7"/>
      <w:numFmt w:val="decimal"/>
      <w:lvlText w:val="%1."/>
      <w:lvlJc w:val="left"/>
      <w:pPr>
        <w:ind w:left="390" w:hanging="390"/>
      </w:pPr>
      <w:rPr>
        <w:rFonts w:cs="Times New Roman" w:hint="default"/>
      </w:rPr>
    </w:lvl>
    <w:lvl w:ilvl="1">
      <w:start w:val="4"/>
      <w:numFmt w:val="decimal"/>
      <w:lvlText w:val="%1.%2."/>
      <w:lvlJc w:val="left"/>
      <w:pPr>
        <w:ind w:left="720" w:hanging="720"/>
      </w:pPr>
      <w:rPr>
        <w:rFonts w:cs="Times New Roman" w:hint="default"/>
      </w:rPr>
    </w:lvl>
    <w:lvl w:ilvl="2">
      <w:start w:val="1"/>
      <w:numFmt w:val="lowerLetter"/>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35ED096D"/>
    <w:multiLevelType w:val="hybridMultilevel"/>
    <w:tmpl w:val="A2A4F254"/>
    <w:lvl w:ilvl="0" w:tplc="240A000F">
      <w:start w:val="1"/>
      <w:numFmt w:val="decimal"/>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1">
    <w:nsid w:val="36C30E45"/>
    <w:multiLevelType w:val="hybridMultilevel"/>
    <w:tmpl w:val="C5AE3F54"/>
    <w:lvl w:ilvl="0" w:tplc="B5C4CF2E">
      <w:start w:val="1"/>
      <w:numFmt w:val="lowerRoman"/>
      <w:lvlText w:val="(%1)"/>
      <w:lvlJc w:val="left"/>
      <w:pPr>
        <w:ind w:left="1080" w:hanging="720"/>
      </w:pPr>
      <w:rPr>
        <w:rFonts w:cs="Times New Roman" w:hint="default"/>
        <w:sz w:val="28"/>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2">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3A946FF9"/>
    <w:multiLevelType w:val="multilevel"/>
    <w:tmpl w:val="D7FC672C"/>
    <w:lvl w:ilvl="0">
      <w:start w:val="8"/>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4">
    <w:nsid w:val="3CEA2151"/>
    <w:multiLevelType w:val="multilevel"/>
    <w:tmpl w:val="92D479F8"/>
    <w:lvl w:ilvl="0">
      <w:start w:val="7"/>
      <w:numFmt w:val="decimal"/>
      <w:lvlText w:val="%1."/>
      <w:lvlJc w:val="left"/>
      <w:pPr>
        <w:ind w:left="375" w:hanging="375"/>
      </w:pPr>
      <w:rPr>
        <w:rFonts w:cs="Times New Roman" w:hint="default"/>
      </w:rPr>
    </w:lvl>
    <w:lvl w:ilvl="1">
      <w:start w:val="3"/>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856" w:hanging="144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5">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6">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8">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475311EB"/>
    <w:multiLevelType w:val="multilevel"/>
    <w:tmpl w:val="175EC59C"/>
    <w:lvl w:ilvl="0">
      <w:start w:val="7"/>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0">
    <w:nsid w:val="47C6382C"/>
    <w:multiLevelType w:val="hybridMultilevel"/>
    <w:tmpl w:val="96C80D0C"/>
    <w:lvl w:ilvl="0" w:tplc="F992FBE2">
      <w:start w:val="1"/>
      <w:numFmt w:val="decimal"/>
      <w:lvlText w:val="%1."/>
      <w:lvlJc w:val="left"/>
      <w:pPr>
        <w:ind w:left="360" w:hanging="360"/>
      </w:pPr>
      <w:rPr>
        <w:rFonts w:cs="Times New Roman"/>
        <w:sz w:val="24"/>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1">
    <w:nsid w:val="490E7326"/>
    <w:multiLevelType w:val="multilevel"/>
    <w:tmpl w:val="72F48A04"/>
    <w:lvl w:ilvl="0">
      <w:start w:val="8"/>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4">
    <w:nsid w:val="52CF0B2B"/>
    <w:multiLevelType w:val="multilevel"/>
    <w:tmpl w:val="286AF828"/>
    <w:lvl w:ilvl="0">
      <w:start w:val="7"/>
      <w:numFmt w:val="decimal"/>
      <w:lvlText w:val="%1."/>
      <w:lvlJc w:val="left"/>
      <w:pPr>
        <w:ind w:left="585" w:hanging="585"/>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nsid w:val="55490F26"/>
    <w:multiLevelType w:val="hybridMultilevel"/>
    <w:tmpl w:val="EF4E2102"/>
    <w:lvl w:ilvl="0" w:tplc="5DDAD37C">
      <w:start w:val="1"/>
      <w:numFmt w:val="low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6">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7">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38">
    <w:nsid w:val="6A4A5A4C"/>
    <w:multiLevelType w:val="multilevel"/>
    <w:tmpl w:val="D8806736"/>
    <w:lvl w:ilvl="0">
      <w:start w:val="7"/>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2">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43">
    <w:nsid w:val="7FD3069B"/>
    <w:multiLevelType w:val="hybridMultilevel"/>
    <w:tmpl w:val="1C381364"/>
    <w:lvl w:ilvl="0" w:tplc="65CCABF2">
      <w:start w:val="1"/>
      <w:numFmt w:val="decimal"/>
      <w:lvlText w:val="%1."/>
      <w:lvlJc w:val="left"/>
      <w:pPr>
        <w:ind w:left="780" w:hanging="42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num w:numId="1">
    <w:abstractNumId w:val="42"/>
  </w:num>
  <w:num w:numId="2">
    <w:abstractNumId w:val="25"/>
  </w:num>
  <w:num w:numId="3">
    <w:abstractNumId w:val="22"/>
  </w:num>
  <w:num w:numId="4">
    <w:abstractNumId w:val="6"/>
  </w:num>
  <w:num w:numId="5">
    <w:abstractNumId w:val="39"/>
  </w:num>
  <w:num w:numId="6">
    <w:abstractNumId w:val="1"/>
  </w:num>
  <w:num w:numId="7">
    <w:abstractNumId w:val="32"/>
  </w:num>
  <w:num w:numId="8">
    <w:abstractNumId w:val="2"/>
  </w:num>
  <w:num w:numId="9">
    <w:abstractNumId w:val="40"/>
  </w:num>
  <w:num w:numId="10">
    <w:abstractNumId w:val="33"/>
  </w:num>
  <w:num w:numId="11">
    <w:abstractNumId w:val="28"/>
  </w:num>
  <w:num w:numId="12">
    <w:abstractNumId w:val="36"/>
  </w:num>
  <w:num w:numId="13">
    <w:abstractNumId w:val="16"/>
  </w:num>
  <w:num w:numId="14">
    <w:abstractNumId w:val="19"/>
  </w:num>
  <w:num w:numId="15">
    <w:abstractNumId w:val="26"/>
  </w:num>
  <w:num w:numId="16">
    <w:abstractNumId w:val="10"/>
  </w:num>
  <w:num w:numId="17">
    <w:abstractNumId w:val="27"/>
  </w:num>
  <w:num w:numId="18">
    <w:abstractNumId w:val="14"/>
  </w:num>
  <w:num w:numId="19">
    <w:abstractNumId w:val="11"/>
  </w:num>
  <w:num w:numId="20">
    <w:abstractNumId w:val="20"/>
  </w:num>
  <w:num w:numId="21">
    <w:abstractNumId w:val="30"/>
  </w:num>
  <w:num w:numId="22">
    <w:abstractNumId w:val="34"/>
  </w:num>
  <w:num w:numId="23">
    <w:abstractNumId w:val="13"/>
  </w:num>
  <w:num w:numId="24">
    <w:abstractNumId w:val="18"/>
  </w:num>
  <w:num w:numId="25">
    <w:abstractNumId w:val="14"/>
  </w:num>
  <w:num w:numId="26">
    <w:abstractNumId w:val="4"/>
  </w:num>
  <w:num w:numId="27">
    <w:abstractNumId w:val="41"/>
  </w:num>
  <w:num w:numId="28">
    <w:abstractNumId w:val="12"/>
  </w:num>
  <w:num w:numId="29">
    <w:abstractNumId w:val="37"/>
  </w:num>
  <w:num w:numId="30">
    <w:abstractNumId w:val="17"/>
  </w:num>
  <w:num w:numId="31">
    <w:abstractNumId w:val="23"/>
  </w:num>
  <w:num w:numId="32">
    <w:abstractNumId w:val="15"/>
  </w:num>
  <w:num w:numId="33">
    <w:abstractNumId w:val="31"/>
  </w:num>
  <w:num w:numId="34">
    <w:abstractNumId w:val="5"/>
  </w:num>
  <w:num w:numId="35">
    <w:abstractNumId w:val="38"/>
  </w:num>
  <w:num w:numId="36">
    <w:abstractNumId w:val="29"/>
  </w:num>
  <w:num w:numId="37">
    <w:abstractNumId w:val="24"/>
  </w:num>
  <w:num w:numId="38">
    <w:abstractNumId w:val="14"/>
  </w:num>
  <w:num w:numId="39">
    <w:abstractNumId w:val="9"/>
  </w:num>
  <w:num w:numId="40">
    <w:abstractNumId w:val="0"/>
  </w:num>
  <w:num w:numId="41">
    <w:abstractNumId w:val="3"/>
  </w:num>
  <w:num w:numId="42">
    <w:abstractNumId w:val="7"/>
  </w:num>
  <w:num w:numId="43">
    <w:abstractNumId w:val="8"/>
  </w:num>
  <w:num w:numId="44">
    <w:abstractNumId w:val="21"/>
  </w:num>
  <w:num w:numId="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B94"/>
    <w:rsid w:val="00006CF5"/>
    <w:rsid w:val="00006D07"/>
    <w:rsid w:val="00007C0C"/>
    <w:rsid w:val="000103BF"/>
    <w:rsid w:val="00010589"/>
    <w:rsid w:val="00010828"/>
    <w:rsid w:val="00012205"/>
    <w:rsid w:val="00012688"/>
    <w:rsid w:val="000127B0"/>
    <w:rsid w:val="00013352"/>
    <w:rsid w:val="00013748"/>
    <w:rsid w:val="00013F3E"/>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281"/>
    <w:rsid w:val="00021333"/>
    <w:rsid w:val="00021844"/>
    <w:rsid w:val="00021E04"/>
    <w:rsid w:val="00022159"/>
    <w:rsid w:val="000224B4"/>
    <w:rsid w:val="00022708"/>
    <w:rsid w:val="00022765"/>
    <w:rsid w:val="00023536"/>
    <w:rsid w:val="00023AAF"/>
    <w:rsid w:val="00023C86"/>
    <w:rsid w:val="000240A4"/>
    <w:rsid w:val="00024136"/>
    <w:rsid w:val="000242CB"/>
    <w:rsid w:val="000243C4"/>
    <w:rsid w:val="00024442"/>
    <w:rsid w:val="000247B3"/>
    <w:rsid w:val="00024831"/>
    <w:rsid w:val="00024FF0"/>
    <w:rsid w:val="000256AC"/>
    <w:rsid w:val="00025EDE"/>
    <w:rsid w:val="00026116"/>
    <w:rsid w:val="00026255"/>
    <w:rsid w:val="000267D2"/>
    <w:rsid w:val="00026E86"/>
    <w:rsid w:val="000271AD"/>
    <w:rsid w:val="00027398"/>
    <w:rsid w:val="00027604"/>
    <w:rsid w:val="00027A6F"/>
    <w:rsid w:val="00030686"/>
    <w:rsid w:val="000311D1"/>
    <w:rsid w:val="00032C42"/>
    <w:rsid w:val="00033A58"/>
    <w:rsid w:val="0003401F"/>
    <w:rsid w:val="000341E2"/>
    <w:rsid w:val="00034A23"/>
    <w:rsid w:val="00035AC1"/>
    <w:rsid w:val="00035E46"/>
    <w:rsid w:val="00035F00"/>
    <w:rsid w:val="00036B5B"/>
    <w:rsid w:val="00036D33"/>
    <w:rsid w:val="00037093"/>
    <w:rsid w:val="0003761B"/>
    <w:rsid w:val="00040CFF"/>
    <w:rsid w:val="00040D5C"/>
    <w:rsid w:val="00040F01"/>
    <w:rsid w:val="0004100F"/>
    <w:rsid w:val="00041210"/>
    <w:rsid w:val="00042D53"/>
    <w:rsid w:val="00043741"/>
    <w:rsid w:val="00043ADF"/>
    <w:rsid w:val="00043BB5"/>
    <w:rsid w:val="000449B2"/>
    <w:rsid w:val="000454FB"/>
    <w:rsid w:val="00045578"/>
    <w:rsid w:val="000456B5"/>
    <w:rsid w:val="00045B1A"/>
    <w:rsid w:val="000466C3"/>
    <w:rsid w:val="00046FFB"/>
    <w:rsid w:val="000474A6"/>
    <w:rsid w:val="0004780D"/>
    <w:rsid w:val="00050177"/>
    <w:rsid w:val="000501A9"/>
    <w:rsid w:val="000503C6"/>
    <w:rsid w:val="00050733"/>
    <w:rsid w:val="00050EF2"/>
    <w:rsid w:val="00051418"/>
    <w:rsid w:val="0005233B"/>
    <w:rsid w:val="00052A79"/>
    <w:rsid w:val="00052EDD"/>
    <w:rsid w:val="00053152"/>
    <w:rsid w:val="00053F1D"/>
    <w:rsid w:val="0005410F"/>
    <w:rsid w:val="0005443E"/>
    <w:rsid w:val="00054679"/>
    <w:rsid w:val="000547E1"/>
    <w:rsid w:val="00055048"/>
    <w:rsid w:val="00055173"/>
    <w:rsid w:val="00055FDD"/>
    <w:rsid w:val="00057150"/>
    <w:rsid w:val="0006024F"/>
    <w:rsid w:val="00060303"/>
    <w:rsid w:val="000605AB"/>
    <w:rsid w:val="00060C31"/>
    <w:rsid w:val="00060CFD"/>
    <w:rsid w:val="00060ED4"/>
    <w:rsid w:val="000615A1"/>
    <w:rsid w:val="000616FF"/>
    <w:rsid w:val="00061774"/>
    <w:rsid w:val="00062560"/>
    <w:rsid w:val="00062806"/>
    <w:rsid w:val="00062885"/>
    <w:rsid w:val="0006538C"/>
    <w:rsid w:val="0006557F"/>
    <w:rsid w:val="00065A60"/>
    <w:rsid w:val="00066166"/>
    <w:rsid w:val="00066AAA"/>
    <w:rsid w:val="00066B97"/>
    <w:rsid w:val="00066E83"/>
    <w:rsid w:val="0006709B"/>
    <w:rsid w:val="00067566"/>
    <w:rsid w:val="00067715"/>
    <w:rsid w:val="00067A15"/>
    <w:rsid w:val="000708C1"/>
    <w:rsid w:val="00070DF7"/>
    <w:rsid w:val="000710BC"/>
    <w:rsid w:val="00071118"/>
    <w:rsid w:val="000717F8"/>
    <w:rsid w:val="000723F4"/>
    <w:rsid w:val="00072496"/>
    <w:rsid w:val="000727D7"/>
    <w:rsid w:val="00073248"/>
    <w:rsid w:val="000735CB"/>
    <w:rsid w:val="00073953"/>
    <w:rsid w:val="00073A0B"/>
    <w:rsid w:val="00073E20"/>
    <w:rsid w:val="00074032"/>
    <w:rsid w:val="0007464B"/>
    <w:rsid w:val="000756CD"/>
    <w:rsid w:val="00075FCE"/>
    <w:rsid w:val="000769E5"/>
    <w:rsid w:val="000774AE"/>
    <w:rsid w:val="000803A5"/>
    <w:rsid w:val="00080404"/>
    <w:rsid w:val="00080DED"/>
    <w:rsid w:val="000812BB"/>
    <w:rsid w:val="00081F32"/>
    <w:rsid w:val="00081FDD"/>
    <w:rsid w:val="000824BB"/>
    <w:rsid w:val="00082813"/>
    <w:rsid w:val="000833E9"/>
    <w:rsid w:val="000844E0"/>
    <w:rsid w:val="000848B7"/>
    <w:rsid w:val="00085345"/>
    <w:rsid w:val="00085349"/>
    <w:rsid w:val="00085633"/>
    <w:rsid w:val="00085E66"/>
    <w:rsid w:val="00086468"/>
    <w:rsid w:val="000865B7"/>
    <w:rsid w:val="000865F3"/>
    <w:rsid w:val="000866B3"/>
    <w:rsid w:val="00086D9B"/>
    <w:rsid w:val="000878C7"/>
    <w:rsid w:val="000878F4"/>
    <w:rsid w:val="000879AA"/>
    <w:rsid w:val="00090BD7"/>
    <w:rsid w:val="00090D41"/>
    <w:rsid w:val="00091393"/>
    <w:rsid w:val="00091B3D"/>
    <w:rsid w:val="00091D44"/>
    <w:rsid w:val="0009208D"/>
    <w:rsid w:val="00092351"/>
    <w:rsid w:val="00092B1F"/>
    <w:rsid w:val="0009333F"/>
    <w:rsid w:val="000938B9"/>
    <w:rsid w:val="00093C3D"/>
    <w:rsid w:val="00095798"/>
    <w:rsid w:val="00095EAB"/>
    <w:rsid w:val="000965B3"/>
    <w:rsid w:val="00096A82"/>
    <w:rsid w:val="000970D6"/>
    <w:rsid w:val="0009797E"/>
    <w:rsid w:val="00097C7C"/>
    <w:rsid w:val="000A0704"/>
    <w:rsid w:val="000A07E3"/>
    <w:rsid w:val="000A1196"/>
    <w:rsid w:val="000A131F"/>
    <w:rsid w:val="000A1902"/>
    <w:rsid w:val="000A1ACA"/>
    <w:rsid w:val="000A1D73"/>
    <w:rsid w:val="000A24D0"/>
    <w:rsid w:val="000A2503"/>
    <w:rsid w:val="000A2572"/>
    <w:rsid w:val="000A2A13"/>
    <w:rsid w:val="000A3C40"/>
    <w:rsid w:val="000A40B6"/>
    <w:rsid w:val="000A537E"/>
    <w:rsid w:val="000A5381"/>
    <w:rsid w:val="000A59B5"/>
    <w:rsid w:val="000A5BE2"/>
    <w:rsid w:val="000A5D15"/>
    <w:rsid w:val="000A62DD"/>
    <w:rsid w:val="000A6331"/>
    <w:rsid w:val="000A6668"/>
    <w:rsid w:val="000A6800"/>
    <w:rsid w:val="000A6B64"/>
    <w:rsid w:val="000A73D7"/>
    <w:rsid w:val="000A7C26"/>
    <w:rsid w:val="000A7E6D"/>
    <w:rsid w:val="000B0256"/>
    <w:rsid w:val="000B133E"/>
    <w:rsid w:val="000B1650"/>
    <w:rsid w:val="000B19DE"/>
    <w:rsid w:val="000B1B8C"/>
    <w:rsid w:val="000B2347"/>
    <w:rsid w:val="000B245B"/>
    <w:rsid w:val="000B2478"/>
    <w:rsid w:val="000B2D52"/>
    <w:rsid w:val="000B329C"/>
    <w:rsid w:val="000B4029"/>
    <w:rsid w:val="000B415F"/>
    <w:rsid w:val="000B57FB"/>
    <w:rsid w:val="000B5E81"/>
    <w:rsid w:val="000B6E18"/>
    <w:rsid w:val="000B7061"/>
    <w:rsid w:val="000B7519"/>
    <w:rsid w:val="000B7527"/>
    <w:rsid w:val="000B7969"/>
    <w:rsid w:val="000B7B23"/>
    <w:rsid w:val="000B7C77"/>
    <w:rsid w:val="000B7F7C"/>
    <w:rsid w:val="000C0320"/>
    <w:rsid w:val="000C0986"/>
    <w:rsid w:val="000C09C4"/>
    <w:rsid w:val="000C0E21"/>
    <w:rsid w:val="000C0E7A"/>
    <w:rsid w:val="000C134E"/>
    <w:rsid w:val="000C185C"/>
    <w:rsid w:val="000C1994"/>
    <w:rsid w:val="000C3702"/>
    <w:rsid w:val="000C3A32"/>
    <w:rsid w:val="000C401A"/>
    <w:rsid w:val="000C5052"/>
    <w:rsid w:val="000C585F"/>
    <w:rsid w:val="000C6119"/>
    <w:rsid w:val="000C69DD"/>
    <w:rsid w:val="000C71EA"/>
    <w:rsid w:val="000C727F"/>
    <w:rsid w:val="000C74DD"/>
    <w:rsid w:val="000C760A"/>
    <w:rsid w:val="000D152C"/>
    <w:rsid w:val="000D1769"/>
    <w:rsid w:val="000D2B3D"/>
    <w:rsid w:val="000D2D98"/>
    <w:rsid w:val="000D31B6"/>
    <w:rsid w:val="000D364C"/>
    <w:rsid w:val="000D3948"/>
    <w:rsid w:val="000D3F22"/>
    <w:rsid w:val="000D41CB"/>
    <w:rsid w:val="000D485C"/>
    <w:rsid w:val="000D6276"/>
    <w:rsid w:val="000D6D6E"/>
    <w:rsid w:val="000D6FEA"/>
    <w:rsid w:val="000D763A"/>
    <w:rsid w:val="000D78F8"/>
    <w:rsid w:val="000D7DD7"/>
    <w:rsid w:val="000E0370"/>
    <w:rsid w:val="000E042C"/>
    <w:rsid w:val="000E12BC"/>
    <w:rsid w:val="000E1D50"/>
    <w:rsid w:val="000E1F62"/>
    <w:rsid w:val="000E24A9"/>
    <w:rsid w:val="000E259B"/>
    <w:rsid w:val="000E29AA"/>
    <w:rsid w:val="000E2EA2"/>
    <w:rsid w:val="000E3170"/>
    <w:rsid w:val="000E3231"/>
    <w:rsid w:val="000E3403"/>
    <w:rsid w:val="000E34BB"/>
    <w:rsid w:val="000E34BD"/>
    <w:rsid w:val="000E34CA"/>
    <w:rsid w:val="000E37B6"/>
    <w:rsid w:val="000E3874"/>
    <w:rsid w:val="000E3E05"/>
    <w:rsid w:val="000E5788"/>
    <w:rsid w:val="000E60BB"/>
    <w:rsid w:val="000E647B"/>
    <w:rsid w:val="000E6695"/>
    <w:rsid w:val="000E69FE"/>
    <w:rsid w:val="000E6B90"/>
    <w:rsid w:val="000E6F57"/>
    <w:rsid w:val="000E7F9D"/>
    <w:rsid w:val="000F116A"/>
    <w:rsid w:val="000F195F"/>
    <w:rsid w:val="000F1AD0"/>
    <w:rsid w:val="000F1D48"/>
    <w:rsid w:val="000F1FDE"/>
    <w:rsid w:val="000F2939"/>
    <w:rsid w:val="000F33DC"/>
    <w:rsid w:val="000F3C5A"/>
    <w:rsid w:val="000F3CF5"/>
    <w:rsid w:val="000F4326"/>
    <w:rsid w:val="000F4709"/>
    <w:rsid w:val="000F6280"/>
    <w:rsid w:val="000F715E"/>
    <w:rsid w:val="000F7E6A"/>
    <w:rsid w:val="000F7FE2"/>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D27"/>
    <w:rsid w:val="00105FFB"/>
    <w:rsid w:val="00106129"/>
    <w:rsid w:val="00106DA0"/>
    <w:rsid w:val="0010701C"/>
    <w:rsid w:val="001072F0"/>
    <w:rsid w:val="00107310"/>
    <w:rsid w:val="0010744C"/>
    <w:rsid w:val="00107D7D"/>
    <w:rsid w:val="00110496"/>
    <w:rsid w:val="00110898"/>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6FD6"/>
    <w:rsid w:val="001178D1"/>
    <w:rsid w:val="00120C3E"/>
    <w:rsid w:val="0012140E"/>
    <w:rsid w:val="001214F8"/>
    <w:rsid w:val="00122552"/>
    <w:rsid w:val="001229BE"/>
    <w:rsid w:val="001229DE"/>
    <w:rsid w:val="00122B6C"/>
    <w:rsid w:val="0012348F"/>
    <w:rsid w:val="001235FF"/>
    <w:rsid w:val="00123A00"/>
    <w:rsid w:val="00123DA4"/>
    <w:rsid w:val="00124449"/>
    <w:rsid w:val="00124730"/>
    <w:rsid w:val="00124848"/>
    <w:rsid w:val="001248F2"/>
    <w:rsid w:val="00124FBD"/>
    <w:rsid w:val="00125056"/>
    <w:rsid w:val="00125094"/>
    <w:rsid w:val="00125154"/>
    <w:rsid w:val="00125AC0"/>
    <w:rsid w:val="00125C1E"/>
    <w:rsid w:val="00126266"/>
    <w:rsid w:val="00126472"/>
    <w:rsid w:val="001265F9"/>
    <w:rsid w:val="00126953"/>
    <w:rsid w:val="001273CB"/>
    <w:rsid w:val="00127568"/>
    <w:rsid w:val="00127F19"/>
    <w:rsid w:val="001300AF"/>
    <w:rsid w:val="0013082E"/>
    <w:rsid w:val="00130941"/>
    <w:rsid w:val="00130F14"/>
    <w:rsid w:val="0013192A"/>
    <w:rsid w:val="00131B57"/>
    <w:rsid w:val="001325E7"/>
    <w:rsid w:val="001329CB"/>
    <w:rsid w:val="00132C78"/>
    <w:rsid w:val="00132D85"/>
    <w:rsid w:val="00132DB8"/>
    <w:rsid w:val="00133374"/>
    <w:rsid w:val="00134196"/>
    <w:rsid w:val="00134342"/>
    <w:rsid w:val="001345A4"/>
    <w:rsid w:val="001346F9"/>
    <w:rsid w:val="00134A69"/>
    <w:rsid w:val="00134A6A"/>
    <w:rsid w:val="00134ABA"/>
    <w:rsid w:val="00134F0A"/>
    <w:rsid w:val="001354B6"/>
    <w:rsid w:val="00135744"/>
    <w:rsid w:val="001358AF"/>
    <w:rsid w:val="0013596B"/>
    <w:rsid w:val="00135A59"/>
    <w:rsid w:val="00135B02"/>
    <w:rsid w:val="00135D4C"/>
    <w:rsid w:val="00136606"/>
    <w:rsid w:val="00136FE1"/>
    <w:rsid w:val="0013721C"/>
    <w:rsid w:val="0013771A"/>
    <w:rsid w:val="00137E97"/>
    <w:rsid w:val="0014012A"/>
    <w:rsid w:val="00141287"/>
    <w:rsid w:val="00141D52"/>
    <w:rsid w:val="001425BD"/>
    <w:rsid w:val="00142676"/>
    <w:rsid w:val="0014281B"/>
    <w:rsid w:val="0014339C"/>
    <w:rsid w:val="00143C1E"/>
    <w:rsid w:val="0014408E"/>
    <w:rsid w:val="0014473F"/>
    <w:rsid w:val="001449A1"/>
    <w:rsid w:val="00145220"/>
    <w:rsid w:val="00145381"/>
    <w:rsid w:val="001456E0"/>
    <w:rsid w:val="0014590D"/>
    <w:rsid w:val="00145B7C"/>
    <w:rsid w:val="001460B2"/>
    <w:rsid w:val="001460F3"/>
    <w:rsid w:val="00146107"/>
    <w:rsid w:val="00146C00"/>
    <w:rsid w:val="0014712D"/>
    <w:rsid w:val="00147691"/>
    <w:rsid w:val="001479D9"/>
    <w:rsid w:val="00147AF1"/>
    <w:rsid w:val="0015081F"/>
    <w:rsid w:val="00150828"/>
    <w:rsid w:val="00150B83"/>
    <w:rsid w:val="00150C9D"/>
    <w:rsid w:val="0015100F"/>
    <w:rsid w:val="00151303"/>
    <w:rsid w:val="00151370"/>
    <w:rsid w:val="001528F3"/>
    <w:rsid w:val="00153377"/>
    <w:rsid w:val="001537AB"/>
    <w:rsid w:val="001537F8"/>
    <w:rsid w:val="001542B7"/>
    <w:rsid w:val="00155454"/>
    <w:rsid w:val="001556E9"/>
    <w:rsid w:val="00155AA8"/>
    <w:rsid w:val="001567C5"/>
    <w:rsid w:val="00156A18"/>
    <w:rsid w:val="00156B1A"/>
    <w:rsid w:val="00157109"/>
    <w:rsid w:val="00157336"/>
    <w:rsid w:val="0015776C"/>
    <w:rsid w:val="00157AC0"/>
    <w:rsid w:val="00157CDD"/>
    <w:rsid w:val="00157D2D"/>
    <w:rsid w:val="001604D9"/>
    <w:rsid w:val="001605B9"/>
    <w:rsid w:val="00160B52"/>
    <w:rsid w:val="00160B9E"/>
    <w:rsid w:val="00160BC3"/>
    <w:rsid w:val="00160CAD"/>
    <w:rsid w:val="00160DF5"/>
    <w:rsid w:val="0016115F"/>
    <w:rsid w:val="00161638"/>
    <w:rsid w:val="001617A2"/>
    <w:rsid w:val="0016193A"/>
    <w:rsid w:val="00161D08"/>
    <w:rsid w:val="00161DE4"/>
    <w:rsid w:val="00161F0F"/>
    <w:rsid w:val="00162462"/>
    <w:rsid w:val="00162F1A"/>
    <w:rsid w:val="00162FB1"/>
    <w:rsid w:val="00163299"/>
    <w:rsid w:val="00163385"/>
    <w:rsid w:val="001638EF"/>
    <w:rsid w:val="00163B5A"/>
    <w:rsid w:val="00163C03"/>
    <w:rsid w:val="00163E7B"/>
    <w:rsid w:val="0016466E"/>
    <w:rsid w:val="00164803"/>
    <w:rsid w:val="00164D6D"/>
    <w:rsid w:val="00164DB6"/>
    <w:rsid w:val="00165C60"/>
    <w:rsid w:val="00165F18"/>
    <w:rsid w:val="0016605C"/>
    <w:rsid w:val="00166D62"/>
    <w:rsid w:val="001677E3"/>
    <w:rsid w:val="001678A1"/>
    <w:rsid w:val="00167C8F"/>
    <w:rsid w:val="00170F1F"/>
    <w:rsid w:val="00171238"/>
    <w:rsid w:val="0017157E"/>
    <w:rsid w:val="001718F9"/>
    <w:rsid w:val="001721FB"/>
    <w:rsid w:val="00173831"/>
    <w:rsid w:val="001747C9"/>
    <w:rsid w:val="001753AB"/>
    <w:rsid w:val="00175C70"/>
    <w:rsid w:val="00175D2D"/>
    <w:rsid w:val="00175DF8"/>
    <w:rsid w:val="00176C9B"/>
    <w:rsid w:val="001778CF"/>
    <w:rsid w:val="00177A7C"/>
    <w:rsid w:val="00177B54"/>
    <w:rsid w:val="00180B3C"/>
    <w:rsid w:val="00181213"/>
    <w:rsid w:val="00181C9F"/>
    <w:rsid w:val="00181ECC"/>
    <w:rsid w:val="00183208"/>
    <w:rsid w:val="00183C2E"/>
    <w:rsid w:val="001844E9"/>
    <w:rsid w:val="001846DE"/>
    <w:rsid w:val="0018505B"/>
    <w:rsid w:val="00185060"/>
    <w:rsid w:val="001850F3"/>
    <w:rsid w:val="00185571"/>
    <w:rsid w:val="0018632F"/>
    <w:rsid w:val="00186D6D"/>
    <w:rsid w:val="00187240"/>
    <w:rsid w:val="001877B0"/>
    <w:rsid w:val="0019006B"/>
    <w:rsid w:val="001902B8"/>
    <w:rsid w:val="00190BF7"/>
    <w:rsid w:val="001919A6"/>
    <w:rsid w:val="00192144"/>
    <w:rsid w:val="001929B6"/>
    <w:rsid w:val="0019341E"/>
    <w:rsid w:val="00193995"/>
    <w:rsid w:val="00193C99"/>
    <w:rsid w:val="00193D37"/>
    <w:rsid w:val="0019525B"/>
    <w:rsid w:val="00195D5E"/>
    <w:rsid w:val="0019739B"/>
    <w:rsid w:val="001A0527"/>
    <w:rsid w:val="001A07E8"/>
    <w:rsid w:val="001A0924"/>
    <w:rsid w:val="001A0973"/>
    <w:rsid w:val="001A0BC5"/>
    <w:rsid w:val="001A122A"/>
    <w:rsid w:val="001A143F"/>
    <w:rsid w:val="001A1A2B"/>
    <w:rsid w:val="001A1B54"/>
    <w:rsid w:val="001A1CE0"/>
    <w:rsid w:val="001A1EA0"/>
    <w:rsid w:val="001A1F48"/>
    <w:rsid w:val="001A23FB"/>
    <w:rsid w:val="001A2A8F"/>
    <w:rsid w:val="001A36BD"/>
    <w:rsid w:val="001A4D34"/>
    <w:rsid w:val="001A6A5E"/>
    <w:rsid w:val="001A6BD6"/>
    <w:rsid w:val="001A7270"/>
    <w:rsid w:val="001B024F"/>
    <w:rsid w:val="001B0E0F"/>
    <w:rsid w:val="001B1B9D"/>
    <w:rsid w:val="001B20E8"/>
    <w:rsid w:val="001B2927"/>
    <w:rsid w:val="001B3C41"/>
    <w:rsid w:val="001B4781"/>
    <w:rsid w:val="001B5303"/>
    <w:rsid w:val="001B549A"/>
    <w:rsid w:val="001B5697"/>
    <w:rsid w:val="001B59F9"/>
    <w:rsid w:val="001B62E6"/>
    <w:rsid w:val="001B6EE3"/>
    <w:rsid w:val="001B7C59"/>
    <w:rsid w:val="001B7FDA"/>
    <w:rsid w:val="001C08BC"/>
    <w:rsid w:val="001C0981"/>
    <w:rsid w:val="001C1220"/>
    <w:rsid w:val="001C19B2"/>
    <w:rsid w:val="001C1CCF"/>
    <w:rsid w:val="001C26D2"/>
    <w:rsid w:val="001C30A0"/>
    <w:rsid w:val="001C3455"/>
    <w:rsid w:val="001C3481"/>
    <w:rsid w:val="001C3987"/>
    <w:rsid w:val="001C3B6F"/>
    <w:rsid w:val="001C3EE2"/>
    <w:rsid w:val="001C4208"/>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3E53"/>
    <w:rsid w:val="001D48C5"/>
    <w:rsid w:val="001D4BF9"/>
    <w:rsid w:val="001D51E9"/>
    <w:rsid w:val="001D5671"/>
    <w:rsid w:val="001D644E"/>
    <w:rsid w:val="001D6AA0"/>
    <w:rsid w:val="001D6F12"/>
    <w:rsid w:val="001D7253"/>
    <w:rsid w:val="001D7D12"/>
    <w:rsid w:val="001E0127"/>
    <w:rsid w:val="001E018D"/>
    <w:rsid w:val="001E04E1"/>
    <w:rsid w:val="001E0F78"/>
    <w:rsid w:val="001E115F"/>
    <w:rsid w:val="001E13C8"/>
    <w:rsid w:val="001E145B"/>
    <w:rsid w:val="001E15FE"/>
    <w:rsid w:val="001E18D3"/>
    <w:rsid w:val="001E2482"/>
    <w:rsid w:val="001E26CE"/>
    <w:rsid w:val="001E28E1"/>
    <w:rsid w:val="001E2C71"/>
    <w:rsid w:val="001E2CC7"/>
    <w:rsid w:val="001E2D07"/>
    <w:rsid w:val="001E2EB6"/>
    <w:rsid w:val="001E3291"/>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C6B"/>
    <w:rsid w:val="001E5EDC"/>
    <w:rsid w:val="001E66AE"/>
    <w:rsid w:val="001E672D"/>
    <w:rsid w:val="001E6E16"/>
    <w:rsid w:val="001E6F8F"/>
    <w:rsid w:val="001E72A0"/>
    <w:rsid w:val="001E7412"/>
    <w:rsid w:val="001E78FE"/>
    <w:rsid w:val="001E7A6A"/>
    <w:rsid w:val="001F083E"/>
    <w:rsid w:val="001F0A57"/>
    <w:rsid w:val="001F15C0"/>
    <w:rsid w:val="001F184A"/>
    <w:rsid w:val="001F1E16"/>
    <w:rsid w:val="001F25C3"/>
    <w:rsid w:val="001F347A"/>
    <w:rsid w:val="001F3588"/>
    <w:rsid w:val="001F36C2"/>
    <w:rsid w:val="001F39A6"/>
    <w:rsid w:val="001F4433"/>
    <w:rsid w:val="001F4532"/>
    <w:rsid w:val="001F464C"/>
    <w:rsid w:val="001F4656"/>
    <w:rsid w:val="001F4AEC"/>
    <w:rsid w:val="001F4D67"/>
    <w:rsid w:val="001F5358"/>
    <w:rsid w:val="001F574D"/>
    <w:rsid w:val="001F579E"/>
    <w:rsid w:val="001F5FAD"/>
    <w:rsid w:val="001F657C"/>
    <w:rsid w:val="001F6A2A"/>
    <w:rsid w:val="001F7109"/>
    <w:rsid w:val="001F71B3"/>
    <w:rsid w:val="001F7452"/>
    <w:rsid w:val="001F7A12"/>
    <w:rsid w:val="00200243"/>
    <w:rsid w:val="0020048B"/>
    <w:rsid w:val="00200C1A"/>
    <w:rsid w:val="00201038"/>
    <w:rsid w:val="002010AF"/>
    <w:rsid w:val="00201462"/>
    <w:rsid w:val="00201608"/>
    <w:rsid w:val="00202001"/>
    <w:rsid w:val="00202F72"/>
    <w:rsid w:val="002037E2"/>
    <w:rsid w:val="002044E3"/>
    <w:rsid w:val="00204529"/>
    <w:rsid w:val="00204EF6"/>
    <w:rsid w:val="00204F12"/>
    <w:rsid w:val="00204F71"/>
    <w:rsid w:val="00205278"/>
    <w:rsid w:val="002056C9"/>
    <w:rsid w:val="00205971"/>
    <w:rsid w:val="00205B17"/>
    <w:rsid w:val="00205B8C"/>
    <w:rsid w:val="00205CAA"/>
    <w:rsid w:val="00205F8A"/>
    <w:rsid w:val="002060F5"/>
    <w:rsid w:val="00206398"/>
    <w:rsid w:val="002064F4"/>
    <w:rsid w:val="00206857"/>
    <w:rsid w:val="0020765B"/>
    <w:rsid w:val="002078C7"/>
    <w:rsid w:val="00210558"/>
    <w:rsid w:val="00210A80"/>
    <w:rsid w:val="002117A8"/>
    <w:rsid w:val="00211BD4"/>
    <w:rsid w:val="00211DE4"/>
    <w:rsid w:val="00212487"/>
    <w:rsid w:val="002130F6"/>
    <w:rsid w:val="00213147"/>
    <w:rsid w:val="00213459"/>
    <w:rsid w:val="00213B31"/>
    <w:rsid w:val="00213B67"/>
    <w:rsid w:val="0021433F"/>
    <w:rsid w:val="00214D2E"/>
    <w:rsid w:val="00214E8E"/>
    <w:rsid w:val="0021559F"/>
    <w:rsid w:val="002156DA"/>
    <w:rsid w:val="002157EC"/>
    <w:rsid w:val="00215B86"/>
    <w:rsid w:val="00215B92"/>
    <w:rsid w:val="00215BFF"/>
    <w:rsid w:val="0021628B"/>
    <w:rsid w:val="00216DBE"/>
    <w:rsid w:val="0021708B"/>
    <w:rsid w:val="00217163"/>
    <w:rsid w:val="00217556"/>
    <w:rsid w:val="002175EB"/>
    <w:rsid w:val="00220029"/>
    <w:rsid w:val="00220254"/>
    <w:rsid w:val="00220B87"/>
    <w:rsid w:val="00220EE3"/>
    <w:rsid w:val="00220F6E"/>
    <w:rsid w:val="00221897"/>
    <w:rsid w:val="00222C3B"/>
    <w:rsid w:val="0022407E"/>
    <w:rsid w:val="002243D9"/>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96A"/>
    <w:rsid w:val="00232D47"/>
    <w:rsid w:val="00232F91"/>
    <w:rsid w:val="0023348A"/>
    <w:rsid w:val="002337AB"/>
    <w:rsid w:val="0023398A"/>
    <w:rsid w:val="00233F38"/>
    <w:rsid w:val="002341A2"/>
    <w:rsid w:val="00235499"/>
    <w:rsid w:val="0023567F"/>
    <w:rsid w:val="00236188"/>
    <w:rsid w:val="002365FF"/>
    <w:rsid w:val="00236A18"/>
    <w:rsid w:val="002376ED"/>
    <w:rsid w:val="00237783"/>
    <w:rsid w:val="002400D0"/>
    <w:rsid w:val="002403C8"/>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68E0"/>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67"/>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7FF"/>
    <w:rsid w:val="00265F36"/>
    <w:rsid w:val="00266971"/>
    <w:rsid w:val="00266F3B"/>
    <w:rsid w:val="002673D6"/>
    <w:rsid w:val="00267454"/>
    <w:rsid w:val="00270042"/>
    <w:rsid w:val="002708B8"/>
    <w:rsid w:val="00270A55"/>
    <w:rsid w:val="002711EA"/>
    <w:rsid w:val="0027130B"/>
    <w:rsid w:val="002713C4"/>
    <w:rsid w:val="00271459"/>
    <w:rsid w:val="002717D1"/>
    <w:rsid w:val="0027200A"/>
    <w:rsid w:val="0027235F"/>
    <w:rsid w:val="00272A4D"/>
    <w:rsid w:val="00272C95"/>
    <w:rsid w:val="00272D0C"/>
    <w:rsid w:val="00272DBA"/>
    <w:rsid w:val="00273364"/>
    <w:rsid w:val="00273E09"/>
    <w:rsid w:val="002740C5"/>
    <w:rsid w:val="00274A74"/>
    <w:rsid w:val="00274F41"/>
    <w:rsid w:val="002750C5"/>
    <w:rsid w:val="00275557"/>
    <w:rsid w:val="00275879"/>
    <w:rsid w:val="00275A26"/>
    <w:rsid w:val="00275A9C"/>
    <w:rsid w:val="00275C7C"/>
    <w:rsid w:val="002763DE"/>
    <w:rsid w:val="002766E6"/>
    <w:rsid w:val="002768B6"/>
    <w:rsid w:val="00277ACB"/>
    <w:rsid w:val="00277D77"/>
    <w:rsid w:val="00277FF1"/>
    <w:rsid w:val="002803AE"/>
    <w:rsid w:val="002804C6"/>
    <w:rsid w:val="00280657"/>
    <w:rsid w:val="002811E7"/>
    <w:rsid w:val="00281930"/>
    <w:rsid w:val="00281F39"/>
    <w:rsid w:val="002821C2"/>
    <w:rsid w:val="0028314C"/>
    <w:rsid w:val="002835B9"/>
    <w:rsid w:val="00283B13"/>
    <w:rsid w:val="00283CD0"/>
    <w:rsid w:val="00283DCB"/>
    <w:rsid w:val="00284181"/>
    <w:rsid w:val="0028437A"/>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A65"/>
    <w:rsid w:val="00290DB8"/>
    <w:rsid w:val="0029164C"/>
    <w:rsid w:val="002916F2"/>
    <w:rsid w:val="00291730"/>
    <w:rsid w:val="00291B79"/>
    <w:rsid w:val="00291E5C"/>
    <w:rsid w:val="00292504"/>
    <w:rsid w:val="00292631"/>
    <w:rsid w:val="00292D61"/>
    <w:rsid w:val="0029330F"/>
    <w:rsid w:val="00293744"/>
    <w:rsid w:val="00293776"/>
    <w:rsid w:val="002939A0"/>
    <w:rsid w:val="0029423A"/>
    <w:rsid w:val="00294415"/>
    <w:rsid w:val="00295335"/>
    <w:rsid w:val="00295F3F"/>
    <w:rsid w:val="002962CC"/>
    <w:rsid w:val="002972E0"/>
    <w:rsid w:val="00297686"/>
    <w:rsid w:val="00297747"/>
    <w:rsid w:val="002978F7"/>
    <w:rsid w:val="00297C65"/>
    <w:rsid w:val="002A04ED"/>
    <w:rsid w:val="002A1105"/>
    <w:rsid w:val="002A15C7"/>
    <w:rsid w:val="002A23F3"/>
    <w:rsid w:val="002A26CA"/>
    <w:rsid w:val="002A283C"/>
    <w:rsid w:val="002A2E1A"/>
    <w:rsid w:val="002A427E"/>
    <w:rsid w:val="002A449C"/>
    <w:rsid w:val="002A4527"/>
    <w:rsid w:val="002A4660"/>
    <w:rsid w:val="002A4845"/>
    <w:rsid w:val="002A4B66"/>
    <w:rsid w:val="002A4D40"/>
    <w:rsid w:val="002A4D86"/>
    <w:rsid w:val="002A5224"/>
    <w:rsid w:val="002A5252"/>
    <w:rsid w:val="002A5CA9"/>
    <w:rsid w:val="002A5D8E"/>
    <w:rsid w:val="002A6014"/>
    <w:rsid w:val="002A6894"/>
    <w:rsid w:val="002A6A35"/>
    <w:rsid w:val="002A7D01"/>
    <w:rsid w:val="002A7FA0"/>
    <w:rsid w:val="002B0607"/>
    <w:rsid w:val="002B1301"/>
    <w:rsid w:val="002B1AFC"/>
    <w:rsid w:val="002B1D72"/>
    <w:rsid w:val="002B2263"/>
    <w:rsid w:val="002B24DA"/>
    <w:rsid w:val="002B3F7C"/>
    <w:rsid w:val="002B49BF"/>
    <w:rsid w:val="002B4AF2"/>
    <w:rsid w:val="002B551F"/>
    <w:rsid w:val="002B5533"/>
    <w:rsid w:val="002B57C0"/>
    <w:rsid w:val="002B5A72"/>
    <w:rsid w:val="002B5FD5"/>
    <w:rsid w:val="002B60F4"/>
    <w:rsid w:val="002B6E0B"/>
    <w:rsid w:val="002B7260"/>
    <w:rsid w:val="002B7288"/>
    <w:rsid w:val="002B7BAB"/>
    <w:rsid w:val="002C0121"/>
    <w:rsid w:val="002C0F8B"/>
    <w:rsid w:val="002C1091"/>
    <w:rsid w:val="002C19FC"/>
    <w:rsid w:val="002C2622"/>
    <w:rsid w:val="002C3B48"/>
    <w:rsid w:val="002C3E10"/>
    <w:rsid w:val="002C45F8"/>
    <w:rsid w:val="002C4684"/>
    <w:rsid w:val="002C4983"/>
    <w:rsid w:val="002C4AC0"/>
    <w:rsid w:val="002C4C30"/>
    <w:rsid w:val="002C5039"/>
    <w:rsid w:val="002C50BB"/>
    <w:rsid w:val="002C5523"/>
    <w:rsid w:val="002C5591"/>
    <w:rsid w:val="002C5B41"/>
    <w:rsid w:val="002C5BB8"/>
    <w:rsid w:val="002C710C"/>
    <w:rsid w:val="002C771C"/>
    <w:rsid w:val="002C79F1"/>
    <w:rsid w:val="002D061F"/>
    <w:rsid w:val="002D065A"/>
    <w:rsid w:val="002D08EB"/>
    <w:rsid w:val="002D1B84"/>
    <w:rsid w:val="002D31B2"/>
    <w:rsid w:val="002D37CB"/>
    <w:rsid w:val="002D4132"/>
    <w:rsid w:val="002D4A2E"/>
    <w:rsid w:val="002D5C1A"/>
    <w:rsid w:val="002D62CE"/>
    <w:rsid w:val="002D6EEB"/>
    <w:rsid w:val="002D7435"/>
    <w:rsid w:val="002D771B"/>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3E49"/>
    <w:rsid w:val="002E3F0D"/>
    <w:rsid w:val="002E44C0"/>
    <w:rsid w:val="002E4CD9"/>
    <w:rsid w:val="002E5AEF"/>
    <w:rsid w:val="002E5BE7"/>
    <w:rsid w:val="002E5C3E"/>
    <w:rsid w:val="002E6116"/>
    <w:rsid w:val="002E656F"/>
    <w:rsid w:val="002E6EB1"/>
    <w:rsid w:val="002E708B"/>
    <w:rsid w:val="002E7C89"/>
    <w:rsid w:val="002E7E3A"/>
    <w:rsid w:val="002F05F4"/>
    <w:rsid w:val="002F0909"/>
    <w:rsid w:val="002F11E7"/>
    <w:rsid w:val="002F1A51"/>
    <w:rsid w:val="002F24C2"/>
    <w:rsid w:val="002F2C09"/>
    <w:rsid w:val="002F377E"/>
    <w:rsid w:val="002F37F9"/>
    <w:rsid w:val="002F3875"/>
    <w:rsid w:val="002F3AAE"/>
    <w:rsid w:val="002F3E1D"/>
    <w:rsid w:val="002F413A"/>
    <w:rsid w:val="002F4C69"/>
    <w:rsid w:val="002F55D1"/>
    <w:rsid w:val="002F5CFC"/>
    <w:rsid w:val="002F6CFE"/>
    <w:rsid w:val="0030086F"/>
    <w:rsid w:val="00301345"/>
    <w:rsid w:val="00301699"/>
    <w:rsid w:val="00301CAF"/>
    <w:rsid w:val="00302001"/>
    <w:rsid w:val="00302228"/>
    <w:rsid w:val="003022D5"/>
    <w:rsid w:val="0030262F"/>
    <w:rsid w:val="00303DD9"/>
    <w:rsid w:val="00303E85"/>
    <w:rsid w:val="0030460A"/>
    <w:rsid w:val="00304C7E"/>
    <w:rsid w:val="003059FA"/>
    <w:rsid w:val="00305B90"/>
    <w:rsid w:val="003065E0"/>
    <w:rsid w:val="00307BEF"/>
    <w:rsid w:val="00307D28"/>
    <w:rsid w:val="003109EF"/>
    <w:rsid w:val="00310F89"/>
    <w:rsid w:val="0031156B"/>
    <w:rsid w:val="00311FEB"/>
    <w:rsid w:val="003120B9"/>
    <w:rsid w:val="00312A94"/>
    <w:rsid w:val="00312D17"/>
    <w:rsid w:val="00312FA4"/>
    <w:rsid w:val="0031379C"/>
    <w:rsid w:val="00313D5F"/>
    <w:rsid w:val="00313E08"/>
    <w:rsid w:val="0031408F"/>
    <w:rsid w:val="0031464A"/>
    <w:rsid w:val="00314889"/>
    <w:rsid w:val="00314B10"/>
    <w:rsid w:val="00314D8D"/>
    <w:rsid w:val="003158A8"/>
    <w:rsid w:val="00316088"/>
    <w:rsid w:val="00316ABE"/>
    <w:rsid w:val="00316CAE"/>
    <w:rsid w:val="0031797D"/>
    <w:rsid w:val="0032018C"/>
    <w:rsid w:val="00320355"/>
    <w:rsid w:val="00320C23"/>
    <w:rsid w:val="00321190"/>
    <w:rsid w:val="00321495"/>
    <w:rsid w:val="003222EF"/>
    <w:rsid w:val="0032256F"/>
    <w:rsid w:val="00322B07"/>
    <w:rsid w:val="003232B0"/>
    <w:rsid w:val="00323F7B"/>
    <w:rsid w:val="003249F4"/>
    <w:rsid w:val="00325212"/>
    <w:rsid w:val="00325FDA"/>
    <w:rsid w:val="0032634B"/>
    <w:rsid w:val="003266C0"/>
    <w:rsid w:val="00326BCE"/>
    <w:rsid w:val="00326C60"/>
    <w:rsid w:val="00326CD4"/>
    <w:rsid w:val="003271C1"/>
    <w:rsid w:val="00327614"/>
    <w:rsid w:val="00330025"/>
    <w:rsid w:val="00330EF9"/>
    <w:rsid w:val="003327BC"/>
    <w:rsid w:val="0033370F"/>
    <w:rsid w:val="00333B52"/>
    <w:rsid w:val="00333FB6"/>
    <w:rsid w:val="00334539"/>
    <w:rsid w:val="00334A5D"/>
    <w:rsid w:val="00334C3A"/>
    <w:rsid w:val="00335D97"/>
    <w:rsid w:val="00335FCF"/>
    <w:rsid w:val="00336336"/>
    <w:rsid w:val="00336AC5"/>
    <w:rsid w:val="00337AED"/>
    <w:rsid w:val="00337F22"/>
    <w:rsid w:val="00340361"/>
    <w:rsid w:val="00340A36"/>
    <w:rsid w:val="00340F08"/>
    <w:rsid w:val="00341465"/>
    <w:rsid w:val="0034170A"/>
    <w:rsid w:val="00341EE9"/>
    <w:rsid w:val="00342323"/>
    <w:rsid w:val="003428A4"/>
    <w:rsid w:val="003434C5"/>
    <w:rsid w:val="003437ED"/>
    <w:rsid w:val="00343B48"/>
    <w:rsid w:val="003449E4"/>
    <w:rsid w:val="00344DAF"/>
    <w:rsid w:val="003451E1"/>
    <w:rsid w:val="00345352"/>
    <w:rsid w:val="0034557F"/>
    <w:rsid w:val="00345944"/>
    <w:rsid w:val="00345CC6"/>
    <w:rsid w:val="00345F28"/>
    <w:rsid w:val="00346FBC"/>
    <w:rsid w:val="00347373"/>
    <w:rsid w:val="00347381"/>
    <w:rsid w:val="003473C6"/>
    <w:rsid w:val="00350667"/>
    <w:rsid w:val="00350E31"/>
    <w:rsid w:val="00350F45"/>
    <w:rsid w:val="00350FC4"/>
    <w:rsid w:val="00351921"/>
    <w:rsid w:val="003520C7"/>
    <w:rsid w:val="00352556"/>
    <w:rsid w:val="003525B5"/>
    <w:rsid w:val="00352603"/>
    <w:rsid w:val="0035297D"/>
    <w:rsid w:val="003529E8"/>
    <w:rsid w:val="003540DB"/>
    <w:rsid w:val="00354170"/>
    <w:rsid w:val="003543EA"/>
    <w:rsid w:val="00354C2E"/>
    <w:rsid w:val="0035568B"/>
    <w:rsid w:val="0035583A"/>
    <w:rsid w:val="00355D3C"/>
    <w:rsid w:val="003564DC"/>
    <w:rsid w:val="0035697E"/>
    <w:rsid w:val="00356C1E"/>
    <w:rsid w:val="00357240"/>
    <w:rsid w:val="0035784A"/>
    <w:rsid w:val="00357C99"/>
    <w:rsid w:val="00357D73"/>
    <w:rsid w:val="003603EC"/>
    <w:rsid w:val="0036055F"/>
    <w:rsid w:val="00360764"/>
    <w:rsid w:val="0036084B"/>
    <w:rsid w:val="00360BD4"/>
    <w:rsid w:val="00361290"/>
    <w:rsid w:val="00361A7A"/>
    <w:rsid w:val="003624F9"/>
    <w:rsid w:val="00362CB1"/>
    <w:rsid w:val="003632B0"/>
    <w:rsid w:val="003641DE"/>
    <w:rsid w:val="003648A3"/>
    <w:rsid w:val="00364989"/>
    <w:rsid w:val="00365254"/>
    <w:rsid w:val="003656BF"/>
    <w:rsid w:val="00365E29"/>
    <w:rsid w:val="0036612F"/>
    <w:rsid w:val="0036730A"/>
    <w:rsid w:val="003705F3"/>
    <w:rsid w:val="00370635"/>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6F80"/>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D70"/>
    <w:rsid w:val="00383E2F"/>
    <w:rsid w:val="00383EAF"/>
    <w:rsid w:val="00384827"/>
    <w:rsid w:val="00384DBF"/>
    <w:rsid w:val="00384EE7"/>
    <w:rsid w:val="00385383"/>
    <w:rsid w:val="003857BC"/>
    <w:rsid w:val="00385E43"/>
    <w:rsid w:val="003860A0"/>
    <w:rsid w:val="00386A62"/>
    <w:rsid w:val="0038712D"/>
    <w:rsid w:val="003903BD"/>
    <w:rsid w:val="00390E90"/>
    <w:rsid w:val="0039143D"/>
    <w:rsid w:val="00391560"/>
    <w:rsid w:val="00391B1A"/>
    <w:rsid w:val="00391FA3"/>
    <w:rsid w:val="003928A7"/>
    <w:rsid w:val="00392B62"/>
    <w:rsid w:val="00392B8A"/>
    <w:rsid w:val="00392F23"/>
    <w:rsid w:val="003931C4"/>
    <w:rsid w:val="003931D4"/>
    <w:rsid w:val="0039383D"/>
    <w:rsid w:val="003938A6"/>
    <w:rsid w:val="00395005"/>
    <w:rsid w:val="00395650"/>
    <w:rsid w:val="003968B3"/>
    <w:rsid w:val="00396F9B"/>
    <w:rsid w:val="00397153"/>
    <w:rsid w:val="00397174"/>
    <w:rsid w:val="00397548"/>
    <w:rsid w:val="003976E7"/>
    <w:rsid w:val="00397E40"/>
    <w:rsid w:val="003A04D5"/>
    <w:rsid w:val="003A0558"/>
    <w:rsid w:val="003A0BE6"/>
    <w:rsid w:val="003A0F78"/>
    <w:rsid w:val="003A1A7C"/>
    <w:rsid w:val="003A1BF0"/>
    <w:rsid w:val="003A1D51"/>
    <w:rsid w:val="003A1DC4"/>
    <w:rsid w:val="003A1E13"/>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7E9"/>
    <w:rsid w:val="003B08F5"/>
    <w:rsid w:val="003B0B82"/>
    <w:rsid w:val="003B0CC2"/>
    <w:rsid w:val="003B0EE1"/>
    <w:rsid w:val="003B125D"/>
    <w:rsid w:val="003B12FB"/>
    <w:rsid w:val="003B1C6C"/>
    <w:rsid w:val="003B2EC7"/>
    <w:rsid w:val="003B3673"/>
    <w:rsid w:val="003B37F0"/>
    <w:rsid w:val="003B3C05"/>
    <w:rsid w:val="003B4005"/>
    <w:rsid w:val="003B4BAB"/>
    <w:rsid w:val="003B4FF8"/>
    <w:rsid w:val="003B50F3"/>
    <w:rsid w:val="003B5178"/>
    <w:rsid w:val="003B691D"/>
    <w:rsid w:val="003B6DD2"/>
    <w:rsid w:val="003B6E96"/>
    <w:rsid w:val="003B746D"/>
    <w:rsid w:val="003B7AD3"/>
    <w:rsid w:val="003C1886"/>
    <w:rsid w:val="003C1D50"/>
    <w:rsid w:val="003C2862"/>
    <w:rsid w:val="003C2EB2"/>
    <w:rsid w:val="003C3200"/>
    <w:rsid w:val="003C3727"/>
    <w:rsid w:val="003C3A12"/>
    <w:rsid w:val="003C4499"/>
    <w:rsid w:val="003C4B66"/>
    <w:rsid w:val="003C55A8"/>
    <w:rsid w:val="003C5640"/>
    <w:rsid w:val="003C5876"/>
    <w:rsid w:val="003C5B35"/>
    <w:rsid w:val="003C61F1"/>
    <w:rsid w:val="003C6555"/>
    <w:rsid w:val="003C6930"/>
    <w:rsid w:val="003C6DF0"/>
    <w:rsid w:val="003C6E39"/>
    <w:rsid w:val="003C7422"/>
    <w:rsid w:val="003C7EE5"/>
    <w:rsid w:val="003C7F07"/>
    <w:rsid w:val="003D0EEE"/>
    <w:rsid w:val="003D123A"/>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763"/>
    <w:rsid w:val="003D6AAB"/>
    <w:rsid w:val="003D6BEE"/>
    <w:rsid w:val="003D7DC8"/>
    <w:rsid w:val="003E0D08"/>
    <w:rsid w:val="003E0DA0"/>
    <w:rsid w:val="003E15C3"/>
    <w:rsid w:val="003E15EB"/>
    <w:rsid w:val="003E17E9"/>
    <w:rsid w:val="003E18D8"/>
    <w:rsid w:val="003E2887"/>
    <w:rsid w:val="003E288D"/>
    <w:rsid w:val="003E35E2"/>
    <w:rsid w:val="003E3CD6"/>
    <w:rsid w:val="003E44F9"/>
    <w:rsid w:val="003E4897"/>
    <w:rsid w:val="003E5253"/>
    <w:rsid w:val="003E66CE"/>
    <w:rsid w:val="003E73B6"/>
    <w:rsid w:val="003F0054"/>
    <w:rsid w:val="003F01B3"/>
    <w:rsid w:val="003F13B4"/>
    <w:rsid w:val="003F1BE8"/>
    <w:rsid w:val="003F1D5C"/>
    <w:rsid w:val="003F2ADA"/>
    <w:rsid w:val="003F2BE4"/>
    <w:rsid w:val="003F3057"/>
    <w:rsid w:val="003F32D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48E"/>
    <w:rsid w:val="00405BFE"/>
    <w:rsid w:val="00405F51"/>
    <w:rsid w:val="00406A9E"/>
    <w:rsid w:val="00406FAB"/>
    <w:rsid w:val="004074D0"/>
    <w:rsid w:val="004075D1"/>
    <w:rsid w:val="004079E3"/>
    <w:rsid w:val="004104F0"/>
    <w:rsid w:val="004108FA"/>
    <w:rsid w:val="00410D9F"/>
    <w:rsid w:val="00411107"/>
    <w:rsid w:val="0041111B"/>
    <w:rsid w:val="00411435"/>
    <w:rsid w:val="00412707"/>
    <w:rsid w:val="00412781"/>
    <w:rsid w:val="004127DC"/>
    <w:rsid w:val="00413322"/>
    <w:rsid w:val="00413340"/>
    <w:rsid w:val="00414666"/>
    <w:rsid w:val="00414A51"/>
    <w:rsid w:val="00414CE6"/>
    <w:rsid w:val="00415E42"/>
    <w:rsid w:val="00416EC4"/>
    <w:rsid w:val="0041717F"/>
    <w:rsid w:val="00417DA5"/>
    <w:rsid w:val="004201F5"/>
    <w:rsid w:val="004207C6"/>
    <w:rsid w:val="00420BC3"/>
    <w:rsid w:val="00420CC5"/>
    <w:rsid w:val="00420E3F"/>
    <w:rsid w:val="00420E76"/>
    <w:rsid w:val="0042110C"/>
    <w:rsid w:val="00421150"/>
    <w:rsid w:val="00421AB7"/>
    <w:rsid w:val="00421D71"/>
    <w:rsid w:val="0042210D"/>
    <w:rsid w:val="00422745"/>
    <w:rsid w:val="00422D81"/>
    <w:rsid w:val="00422F85"/>
    <w:rsid w:val="004239AF"/>
    <w:rsid w:val="004239FA"/>
    <w:rsid w:val="00423D35"/>
    <w:rsid w:val="00424479"/>
    <w:rsid w:val="004244EE"/>
    <w:rsid w:val="004246FA"/>
    <w:rsid w:val="004249A8"/>
    <w:rsid w:val="00424EC5"/>
    <w:rsid w:val="00424F08"/>
    <w:rsid w:val="00425AE6"/>
    <w:rsid w:val="00425EE4"/>
    <w:rsid w:val="004276F6"/>
    <w:rsid w:val="00430174"/>
    <w:rsid w:val="004302F8"/>
    <w:rsid w:val="0043043A"/>
    <w:rsid w:val="00431B5B"/>
    <w:rsid w:val="00432087"/>
    <w:rsid w:val="00432145"/>
    <w:rsid w:val="00432310"/>
    <w:rsid w:val="00432E4F"/>
    <w:rsid w:val="00433FCF"/>
    <w:rsid w:val="004347D4"/>
    <w:rsid w:val="00434A87"/>
    <w:rsid w:val="00434CF1"/>
    <w:rsid w:val="00434F5B"/>
    <w:rsid w:val="00435CD3"/>
    <w:rsid w:val="004360F4"/>
    <w:rsid w:val="004361F0"/>
    <w:rsid w:val="00437116"/>
    <w:rsid w:val="00437198"/>
    <w:rsid w:val="0043790A"/>
    <w:rsid w:val="00437C1F"/>
    <w:rsid w:val="00437D07"/>
    <w:rsid w:val="00437D2E"/>
    <w:rsid w:val="00440090"/>
    <w:rsid w:val="004412CA"/>
    <w:rsid w:val="00441EBA"/>
    <w:rsid w:val="0044213C"/>
    <w:rsid w:val="004426A2"/>
    <w:rsid w:val="00442C4C"/>
    <w:rsid w:val="00443184"/>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504D5"/>
    <w:rsid w:val="0045077D"/>
    <w:rsid w:val="00450A8F"/>
    <w:rsid w:val="00450F26"/>
    <w:rsid w:val="004513F3"/>
    <w:rsid w:val="00451431"/>
    <w:rsid w:val="00451F8A"/>
    <w:rsid w:val="0045270F"/>
    <w:rsid w:val="00453189"/>
    <w:rsid w:val="00453277"/>
    <w:rsid w:val="00453E95"/>
    <w:rsid w:val="004548B6"/>
    <w:rsid w:val="004549AD"/>
    <w:rsid w:val="00454F83"/>
    <w:rsid w:val="004557D6"/>
    <w:rsid w:val="00455F07"/>
    <w:rsid w:val="00456151"/>
    <w:rsid w:val="00457568"/>
    <w:rsid w:val="0045760F"/>
    <w:rsid w:val="00457916"/>
    <w:rsid w:val="00460CA9"/>
    <w:rsid w:val="0046126A"/>
    <w:rsid w:val="0046143A"/>
    <w:rsid w:val="0046196A"/>
    <w:rsid w:val="00461BB8"/>
    <w:rsid w:val="00461DD6"/>
    <w:rsid w:val="00461E46"/>
    <w:rsid w:val="00461EBB"/>
    <w:rsid w:val="00462069"/>
    <w:rsid w:val="00462151"/>
    <w:rsid w:val="00462F25"/>
    <w:rsid w:val="0046344B"/>
    <w:rsid w:val="00463819"/>
    <w:rsid w:val="00463C79"/>
    <w:rsid w:val="00463DCC"/>
    <w:rsid w:val="0046413B"/>
    <w:rsid w:val="00464F84"/>
    <w:rsid w:val="00465137"/>
    <w:rsid w:val="00465173"/>
    <w:rsid w:val="00465C0B"/>
    <w:rsid w:val="00466234"/>
    <w:rsid w:val="0046657E"/>
    <w:rsid w:val="0046667A"/>
    <w:rsid w:val="00466EA1"/>
    <w:rsid w:val="0046731F"/>
    <w:rsid w:val="004673BB"/>
    <w:rsid w:val="00467960"/>
    <w:rsid w:val="0047000C"/>
    <w:rsid w:val="00471369"/>
    <w:rsid w:val="00471BFA"/>
    <w:rsid w:val="00471E93"/>
    <w:rsid w:val="004724CC"/>
    <w:rsid w:val="004733B9"/>
    <w:rsid w:val="004736C3"/>
    <w:rsid w:val="00473A60"/>
    <w:rsid w:val="00474292"/>
    <w:rsid w:val="00474605"/>
    <w:rsid w:val="004747EC"/>
    <w:rsid w:val="00474F23"/>
    <w:rsid w:val="0047578A"/>
    <w:rsid w:val="00475902"/>
    <w:rsid w:val="004764BB"/>
    <w:rsid w:val="0047764E"/>
    <w:rsid w:val="004801CA"/>
    <w:rsid w:val="00480426"/>
    <w:rsid w:val="004808B0"/>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4A74"/>
    <w:rsid w:val="004855F2"/>
    <w:rsid w:val="00486062"/>
    <w:rsid w:val="00486355"/>
    <w:rsid w:val="0048666E"/>
    <w:rsid w:val="00486979"/>
    <w:rsid w:val="00486EDB"/>
    <w:rsid w:val="004877B5"/>
    <w:rsid w:val="0049027C"/>
    <w:rsid w:val="00491288"/>
    <w:rsid w:val="00491333"/>
    <w:rsid w:val="00491B8B"/>
    <w:rsid w:val="00491D39"/>
    <w:rsid w:val="004927CF"/>
    <w:rsid w:val="0049331E"/>
    <w:rsid w:val="004935DB"/>
    <w:rsid w:val="00493D0E"/>
    <w:rsid w:val="004940D6"/>
    <w:rsid w:val="004940DE"/>
    <w:rsid w:val="00494F4B"/>
    <w:rsid w:val="00495FB0"/>
    <w:rsid w:val="00496B85"/>
    <w:rsid w:val="004978F6"/>
    <w:rsid w:val="0049795A"/>
    <w:rsid w:val="00497AE4"/>
    <w:rsid w:val="00497DE9"/>
    <w:rsid w:val="004A04BB"/>
    <w:rsid w:val="004A07D6"/>
    <w:rsid w:val="004A0C1E"/>
    <w:rsid w:val="004A0D37"/>
    <w:rsid w:val="004A0D74"/>
    <w:rsid w:val="004A0EE2"/>
    <w:rsid w:val="004A113B"/>
    <w:rsid w:val="004A20A1"/>
    <w:rsid w:val="004A2CBD"/>
    <w:rsid w:val="004A3125"/>
    <w:rsid w:val="004A41C8"/>
    <w:rsid w:val="004A486E"/>
    <w:rsid w:val="004A4C97"/>
    <w:rsid w:val="004A50E5"/>
    <w:rsid w:val="004A6046"/>
    <w:rsid w:val="004A6342"/>
    <w:rsid w:val="004A6376"/>
    <w:rsid w:val="004A6566"/>
    <w:rsid w:val="004B0159"/>
    <w:rsid w:val="004B019A"/>
    <w:rsid w:val="004B0B62"/>
    <w:rsid w:val="004B0DF8"/>
    <w:rsid w:val="004B0FC2"/>
    <w:rsid w:val="004B115F"/>
    <w:rsid w:val="004B1986"/>
    <w:rsid w:val="004B1BC3"/>
    <w:rsid w:val="004B1EB8"/>
    <w:rsid w:val="004B36EB"/>
    <w:rsid w:val="004B3732"/>
    <w:rsid w:val="004B3F03"/>
    <w:rsid w:val="004B3F1F"/>
    <w:rsid w:val="004B42FC"/>
    <w:rsid w:val="004B45E4"/>
    <w:rsid w:val="004B4FA9"/>
    <w:rsid w:val="004B7439"/>
    <w:rsid w:val="004B7598"/>
    <w:rsid w:val="004B779D"/>
    <w:rsid w:val="004B77EB"/>
    <w:rsid w:val="004C0EA4"/>
    <w:rsid w:val="004C112A"/>
    <w:rsid w:val="004C1276"/>
    <w:rsid w:val="004C13C2"/>
    <w:rsid w:val="004C1BA7"/>
    <w:rsid w:val="004C2241"/>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0A8"/>
    <w:rsid w:val="004D21F8"/>
    <w:rsid w:val="004D221F"/>
    <w:rsid w:val="004D25FF"/>
    <w:rsid w:val="004D2734"/>
    <w:rsid w:val="004D2FAB"/>
    <w:rsid w:val="004D426C"/>
    <w:rsid w:val="004D49FA"/>
    <w:rsid w:val="004D4D7E"/>
    <w:rsid w:val="004D5EB0"/>
    <w:rsid w:val="004D6917"/>
    <w:rsid w:val="004D7268"/>
    <w:rsid w:val="004D732D"/>
    <w:rsid w:val="004D7886"/>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09C"/>
    <w:rsid w:val="004E5306"/>
    <w:rsid w:val="004E5CA7"/>
    <w:rsid w:val="004E5D31"/>
    <w:rsid w:val="004E683C"/>
    <w:rsid w:val="004E68FB"/>
    <w:rsid w:val="004E6C03"/>
    <w:rsid w:val="004E6D93"/>
    <w:rsid w:val="004E6E4A"/>
    <w:rsid w:val="004E727B"/>
    <w:rsid w:val="004E7B1B"/>
    <w:rsid w:val="004F03F3"/>
    <w:rsid w:val="004F04E6"/>
    <w:rsid w:val="004F092F"/>
    <w:rsid w:val="004F0E54"/>
    <w:rsid w:val="004F1AB9"/>
    <w:rsid w:val="004F1CFF"/>
    <w:rsid w:val="004F2D5C"/>
    <w:rsid w:val="004F34AC"/>
    <w:rsid w:val="004F355E"/>
    <w:rsid w:val="004F3CCA"/>
    <w:rsid w:val="004F4022"/>
    <w:rsid w:val="004F478C"/>
    <w:rsid w:val="004F4806"/>
    <w:rsid w:val="004F481E"/>
    <w:rsid w:val="004F49D1"/>
    <w:rsid w:val="004F4D82"/>
    <w:rsid w:val="004F535A"/>
    <w:rsid w:val="004F53B1"/>
    <w:rsid w:val="004F6979"/>
    <w:rsid w:val="004F6C7F"/>
    <w:rsid w:val="004F6FFF"/>
    <w:rsid w:val="004F7DEF"/>
    <w:rsid w:val="00500273"/>
    <w:rsid w:val="005009FD"/>
    <w:rsid w:val="0050145C"/>
    <w:rsid w:val="0050173F"/>
    <w:rsid w:val="00501997"/>
    <w:rsid w:val="005021C1"/>
    <w:rsid w:val="00502928"/>
    <w:rsid w:val="00502C45"/>
    <w:rsid w:val="00502D19"/>
    <w:rsid w:val="00502EC8"/>
    <w:rsid w:val="005037C7"/>
    <w:rsid w:val="00503C39"/>
    <w:rsid w:val="00505404"/>
    <w:rsid w:val="00505463"/>
    <w:rsid w:val="005062EF"/>
    <w:rsid w:val="00506822"/>
    <w:rsid w:val="0050746E"/>
    <w:rsid w:val="005075CB"/>
    <w:rsid w:val="00507B34"/>
    <w:rsid w:val="00507EC2"/>
    <w:rsid w:val="0051016F"/>
    <w:rsid w:val="005109D6"/>
    <w:rsid w:val="00510D72"/>
    <w:rsid w:val="005111AD"/>
    <w:rsid w:val="00511336"/>
    <w:rsid w:val="005114B5"/>
    <w:rsid w:val="00511FE0"/>
    <w:rsid w:val="0051298F"/>
    <w:rsid w:val="00513CE7"/>
    <w:rsid w:val="00514033"/>
    <w:rsid w:val="0051508A"/>
    <w:rsid w:val="0051601E"/>
    <w:rsid w:val="0051621E"/>
    <w:rsid w:val="005162E8"/>
    <w:rsid w:val="00516EC7"/>
    <w:rsid w:val="00517626"/>
    <w:rsid w:val="0051793C"/>
    <w:rsid w:val="005179A1"/>
    <w:rsid w:val="00517A03"/>
    <w:rsid w:val="00517CB3"/>
    <w:rsid w:val="00517F75"/>
    <w:rsid w:val="005204AF"/>
    <w:rsid w:val="005206C5"/>
    <w:rsid w:val="005208C0"/>
    <w:rsid w:val="00520ADF"/>
    <w:rsid w:val="00520E55"/>
    <w:rsid w:val="00520ECF"/>
    <w:rsid w:val="00521888"/>
    <w:rsid w:val="00522292"/>
    <w:rsid w:val="005235D5"/>
    <w:rsid w:val="005246A7"/>
    <w:rsid w:val="00524FB1"/>
    <w:rsid w:val="0052500D"/>
    <w:rsid w:val="0052570A"/>
    <w:rsid w:val="00525CF8"/>
    <w:rsid w:val="00525D07"/>
    <w:rsid w:val="00525F1A"/>
    <w:rsid w:val="005268D5"/>
    <w:rsid w:val="00526D7F"/>
    <w:rsid w:val="00527022"/>
    <w:rsid w:val="005274AC"/>
    <w:rsid w:val="0052786B"/>
    <w:rsid w:val="0053009B"/>
    <w:rsid w:val="005304A8"/>
    <w:rsid w:val="005304D7"/>
    <w:rsid w:val="00530E49"/>
    <w:rsid w:val="00531979"/>
    <w:rsid w:val="005319C2"/>
    <w:rsid w:val="00532567"/>
    <w:rsid w:val="0053291C"/>
    <w:rsid w:val="00533725"/>
    <w:rsid w:val="00534064"/>
    <w:rsid w:val="005340A5"/>
    <w:rsid w:val="00534269"/>
    <w:rsid w:val="005342A8"/>
    <w:rsid w:val="00534744"/>
    <w:rsid w:val="0053537E"/>
    <w:rsid w:val="005358CE"/>
    <w:rsid w:val="005363AE"/>
    <w:rsid w:val="00536E5D"/>
    <w:rsid w:val="00537086"/>
    <w:rsid w:val="00540688"/>
    <w:rsid w:val="00540A9E"/>
    <w:rsid w:val="005410B8"/>
    <w:rsid w:val="0054167E"/>
    <w:rsid w:val="005418ED"/>
    <w:rsid w:val="00541C9A"/>
    <w:rsid w:val="005420BB"/>
    <w:rsid w:val="005427D5"/>
    <w:rsid w:val="00543EE6"/>
    <w:rsid w:val="005440CF"/>
    <w:rsid w:val="00544859"/>
    <w:rsid w:val="00545409"/>
    <w:rsid w:val="00545914"/>
    <w:rsid w:val="00545F39"/>
    <w:rsid w:val="00546006"/>
    <w:rsid w:val="005463F5"/>
    <w:rsid w:val="00546AD5"/>
    <w:rsid w:val="0054725D"/>
    <w:rsid w:val="005479C5"/>
    <w:rsid w:val="00547CC0"/>
    <w:rsid w:val="00550E2F"/>
    <w:rsid w:val="00551BFA"/>
    <w:rsid w:val="00551FBB"/>
    <w:rsid w:val="0055282B"/>
    <w:rsid w:val="00553562"/>
    <w:rsid w:val="00553F9C"/>
    <w:rsid w:val="0055407B"/>
    <w:rsid w:val="0055419E"/>
    <w:rsid w:val="00554845"/>
    <w:rsid w:val="00554FD1"/>
    <w:rsid w:val="005556AD"/>
    <w:rsid w:val="00555BC2"/>
    <w:rsid w:val="005561DB"/>
    <w:rsid w:val="00556508"/>
    <w:rsid w:val="0055788B"/>
    <w:rsid w:val="0055798C"/>
    <w:rsid w:val="00557A1B"/>
    <w:rsid w:val="00557CDA"/>
    <w:rsid w:val="0056065A"/>
    <w:rsid w:val="00560D55"/>
    <w:rsid w:val="00561182"/>
    <w:rsid w:val="005619E2"/>
    <w:rsid w:val="00561C54"/>
    <w:rsid w:val="00561F4D"/>
    <w:rsid w:val="0056345F"/>
    <w:rsid w:val="005634DD"/>
    <w:rsid w:val="00564507"/>
    <w:rsid w:val="00564BF0"/>
    <w:rsid w:val="005652BE"/>
    <w:rsid w:val="00565F2A"/>
    <w:rsid w:val="00566506"/>
    <w:rsid w:val="005668FF"/>
    <w:rsid w:val="00566C2A"/>
    <w:rsid w:val="00566E18"/>
    <w:rsid w:val="00566FD2"/>
    <w:rsid w:val="00567185"/>
    <w:rsid w:val="00567722"/>
    <w:rsid w:val="0057016E"/>
    <w:rsid w:val="00570BB0"/>
    <w:rsid w:val="00571582"/>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EF8"/>
    <w:rsid w:val="00575F20"/>
    <w:rsid w:val="00576247"/>
    <w:rsid w:val="005764A9"/>
    <w:rsid w:val="00576899"/>
    <w:rsid w:val="005773D1"/>
    <w:rsid w:val="00577CC9"/>
    <w:rsid w:val="00577DAA"/>
    <w:rsid w:val="00580060"/>
    <w:rsid w:val="0058043E"/>
    <w:rsid w:val="005804C9"/>
    <w:rsid w:val="00580560"/>
    <w:rsid w:val="00580947"/>
    <w:rsid w:val="005819E7"/>
    <w:rsid w:val="00582A15"/>
    <w:rsid w:val="005842CF"/>
    <w:rsid w:val="005843B1"/>
    <w:rsid w:val="0058608C"/>
    <w:rsid w:val="005868FF"/>
    <w:rsid w:val="00586B40"/>
    <w:rsid w:val="00586D15"/>
    <w:rsid w:val="00587535"/>
    <w:rsid w:val="0058760B"/>
    <w:rsid w:val="005879EB"/>
    <w:rsid w:val="00587A58"/>
    <w:rsid w:val="00587E67"/>
    <w:rsid w:val="005900E8"/>
    <w:rsid w:val="00590AD2"/>
    <w:rsid w:val="005912EB"/>
    <w:rsid w:val="00591A2D"/>
    <w:rsid w:val="00591A34"/>
    <w:rsid w:val="00592D23"/>
    <w:rsid w:val="00594584"/>
    <w:rsid w:val="00594F7E"/>
    <w:rsid w:val="00594FDC"/>
    <w:rsid w:val="0059514B"/>
    <w:rsid w:val="005951B2"/>
    <w:rsid w:val="00595487"/>
    <w:rsid w:val="005955FF"/>
    <w:rsid w:val="00596710"/>
    <w:rsid w:val="00596A3B"/>
    <w:rsid w:val="00596DB4"/>
    <w:rsid w:val="0059791D"/>
    <w:rsid w:val="005979AE"/>
    <w:rsid w:val="005A09B7"/>
    <w:rsid w:val="005A0B75"/>
    <w:rsid w:val="005A0DF6"/>
    <w:rsid w:val="005A1B17"/>
    <w:rsid w:val="005A28DF"/>
    <w:rsid w:val="005A2A11"/>
    <w:rsid w:val="005A2EBC"/>
    <w:rsid w:val="005A2F5B"/>
    <w:rsid w:val="005A340F"/>
    <w:rsid w:val="005A3516"/>
    <w:rsid w:val="005A406E"/>
    <w:rsid w:val="005A492B"/>
    <w:rsid w:val="005A4BD8"/>
    <w:rsid w:val="005A4EB0"/>
    <w:rsid w:val="005A4FEC"/>
    <w:rsid w:val="005A5084"/>
    <w:rsid w:val="005A5240"/>
    <w:rsid w:val="005A571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41F5"/>
    <w:rsid w:val="005B4A1B"/>
    <w:rsid w:val="005B7137"/>
    <w:rsid w:val="005B72A9"/>
    <w:rsid w:val="005B7B38"/>
    <w:rsid w:val="005C053C"/>
    <w:rsid w:val="005C0A5A"/>
    <w:rsid w:val="005C0E70"/>
    <w:rsid w:val="005C14BE"/>
    <w:rsid w:val="005C1B37"/>
    <w:rsid w:val="005C1D46"/>
    <w:rsid w:val="005C20DF"/>
    <w:rsid w:val="005C274B"/>
    <w:rsid w:val="005C2D6E"/>
    <w:rsid w:val="005C2F15"/>
    <w:rsid w:val="005C3AA9"/>
    <w:rsid w:val="005C3B0E"/>
    <w:rsid w:val="005C50E4"/>
    <w:rsid w:val="005C5213"/>
    <w:rsid w:val="005C56E0"/>
    <w:rsid w:val="005C5879"/>
    <w:rsid w:val="005C59C2"/>
    <w:rsid w:val="005C65F4"/>
    <w:rsid w:val="005C6A5E"/>
    <w:rsid w:val="005C72B1"/>
    <w:rsid w:val="005D019C"/>
    <w:rsid w:val="005D0DA8"/>
    <w:rsid w:val="005D0EE4"/>
    <w:rsid w:val="005D125C"/>
    <w:rsid w:val="005D135A"/>
    <w:rsid w:val="005D1E61"/>
    <w:rsid w:val="005D1F60"/>
    <w:rsid w:val="005D2FDF"/>
    <w:rsid w:val="005D3A35"/>
    <w:rsid w:val="005D3B4D"/>
    <w:rsid w:val="005D3F12"/>
    <w:rsid w:val="005D42B9"/>
    <w:rsid w:val="005D44B4"/>
    <w:rsid w:val="005D4A88"/>
    <w:rsid w:val="005D4E7F"/>
    <w:rsid w:val="005D4F8D"/>
    <w:rsid w:val="005D510B"/>
    <w:rsid w:val="005D5193"/>
    <w:rsid w:val="005D51D7"/>
    <w:rsid w:val="005D5370"/>
    <w:rsid w:val="005D54B9"/>
    <w:rsid w:val="005D5959"/>
    <w:rsid w:val="005D6052"/>
    <w:rsid w:val="005D606E"/>
    <w:rsid w:val="005D6136"/>
    <w:rsid w:val="005D63AC"/>
    <w:rsid w:val="005D63AE"/>
    <w:rsid w:val="005D7115"/>
    <w:rsid w:val="005D7450"/>
    <w:rsid w:val="005E006B"/>
    <w:rsid w:val="005E0DB6"/>
    <w:rsid w:val="005E1750"/>
    <w:rsid w:val="005E19F3"/>
    <w:rsid w:val="005E276A"/>
    <w:rsid w:val="005E2879"/>
    <w:rsid w:val="005E2C13"/>
    <w:rsid w:val="005E3007"/>
    <w:rsid w:val="005E325C"/>
    <w:rsid w:val="005E3268"/>
    <w:rsid w:val="005E343B"/>
    <w:rsid w:val="005E3517"/>
    <w:rsid w:val="005E3C1B"/>
    <w:rsid w:val="005E3EA2"/>
    <w:rsid w:val="005E40B1"/>
    <w:rsid w:val="005E4A9E"/>
    <w:rsid w:val="005E4FAD"/>
    <w:rsid w:val="005E5111"/>
    <w:rsid w:val="005E5F41"/>
    <w:rsid w:val="005E6794"/>
    <w:rsid w:val="005E6A07"/>
    <w:rsid w:val="005E6DB2"/>
    <w:rsid w:val="005E73B9"/>
    <w:rsid w:val="005E7745"/>
    <w:rsid w:val="005F0692"/>
    <w:rsid w:val="005F0BA8"/>
    <w:rsid w:val="005F0C71"/>
    <w:rsid w:val="005F10FF"/>
    <w:rsid w:val="005F1D90"/>
    <w:rsid w:val="005F27EA"/>
    <w:rsid w:val="005F2D44"/>
    <w:rsid w:val="005F3125"/>
    <w:rsid w:val="005F3769"/>
    <w:rsid w:val="005F3951"/>
    <w:rsid w:val="005F3B66"/>
    <w:rsid w:val="005F3E08"/>
    <w:rsid w:val="005F474C"/>
    <w:rsid w:val="005F47CB"/>
    <w:rsid w:val="005F4905"/>
    <w:rsid w:val="005F4B0C"/>
    <w:rsid w:val="005F546E"/>
    <w:rsid w:val="005F555E"/>
    <w:rsid w:val="005F5A85"/>
    <w:rsid w:val="005F65BD"/>
    <w:rsid w:val="005F7D01"/>
    <w:rsid w:val="00600060"/>
    <w:rsid w:val="00600A68"/>
    <w:rsid w:val="00600B60"/>
    <w:rsid w:val="006011A0"/>
    <w:rsid w:val="006012A1"/>
    <w:rsid w:val="006012D2"/>
    <w:rsid w:val="00601CD6"/>
    <w:rsid w:val="00601F67"/>
    <w:rsid w:val="0060245E"/>
    <w:rsid w:val="0060249E"/>
    <w:rsid w:val="0060257D"/>
    <w:rsid w:val="00602AC2"/>
    <w:rsid w:val="00602ADE"/>
    <w:rsid w:val="00602E93"/>
    <w:rsid w:val="00603E5A"/>
    <w:rsid w:val="006040BE"/>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75"/>
    <w:rsid w:val="00612CE9"/>
    <w:rsid w:val="00612D07"/>
    <w:rsid w:val="00612DCE"/>
    <w:rsid w:val="006130B7"/>
    <w:rsid w:val="006134BA"/>
    <w:rsid w:val="00614816"/>
    <w:rsid w:val="00616471"/>
    <w:rsid w:val="00616887"/>
    <w:rsid w:val="00616D7D"/>
    <w:rsid w:val="006178DE"/>
    <w:rsid w:val="00617DA7"/>
    <w:rsid w:val="0062000C"/>
    <w:rsid w:val="00620B29"/>
    <w:rsid w:val="00621299"/>
    <w:rsid w:val="00621F30"/>
    <w:rsid w:val="0062273B"/>
    <w:rsid w:val="00622FFC"/>
    <w:rsid w:val="00623089"/>
    <w:rsid w:val="00623280"/>
    <w:rsid w:val="006232EF"/>
    <w:rsid w:val="006235A9"/>
    <w:rsid w:val="0062374E"/>
    <w:rsid w:val="006244C8"/>
    <w:rsid w:val="006244D2"/>
    <w:rsid w:val="0062472B"/>
    <w:rsid w:val="00624817"/>
    <w:rsid w:val="00624AC1"/>
    <w:rsid w:val="00624D48"/>
    <w:rsid w:val="00625E13"/>
    <w:rsid w:val="006262D0"/>
    <w:rsid w:val="00626C89"/>
    <w:rsid w:val="006270BF"/>
    <w:rsid w:val="006277C7"/>
    <w:rsid w:val="006277EE"/>
    <w:rsid w:val="006278D9"/>
    <w:rsid w:val="00627A7C"/>
    <w:rsid w:val="00627C1B"/>
    <w:rsid w:val="006304B5"/>
    <w:rsid w:val="0063057B"/>
    <w:rsid w:val="00630872"/>
    <w:rsid w:val="00630CCB"/>
    <w:rsid w:val="00631011"/>
    <w:rsid w:val="00631466"/>
    <w:rsid w:val="006319BF"/>
    <w:rsid w:val="00631E09"/>
    <w:rsid w:val="00631F9A"/>
    <w:rsid w:val="006320EA"/>
    <w:rsid w:val="00633EB4"/>
    <w:rsid w:val="006343D5"/>
    <w:rsid w:val="00634C22"/>
    <w:rsid w:val="00634D43"/>
    <w:rsid w:val="00634FEE"/>
    <w:rsid w:val="006365A4"/>
    <w:rsid w:val="00636792"/>
    <w:rsid w:val="006369B3"/>
    <w:rsid w:val="00636C55"/>
    <w:rsid w:val="006372C3"/>
    <w:rsid w:val="006372ED"/>
    <w:rsid w:val="006377D0"/>
    <w:rsid w:val="00637FA1"/>
    <w:rsid w:val="0064084F"/>
    <w:rsid w:val="006413D0"/>
    <w:rsid w:val="006414E0"/>
    <w:rsid w:val="006414F7"/>
    <w:rsid w:val="00641577"/>
    <w:rsid w:val="00641BBB"/>
    <w:rsid w:val="006425C8"/>
    <w:rsid w:val="00642852"/>
    <w:rsid w:val="00642B14"/>
    <w:rsid w:val="00642F16"/>
    <w:rsid w:val="0064304B"/>
    <w:rsid w:val="0064346A"/>
    <w:rsid w:val="00643A51"/>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95A"/>
    <w:rsid w:val="00651F25"/>
    <w:rsid w:val="00651F3C"/>
    <w:rsid w:val="00652120"/>
    <w:rsid w:val="00652BE8"/>
    <w:rsid w:val="00652EB5"/>
    <w:rsid w:val="006532D1"/>
    <w:rsid w:val="00653540"/>
    <w:rsid w:val="00653C27"/>
    <w:rsid w:val="00653C29"/>
    <w:rsid w:val="006542CC"/>
    <w:rsid w:val="006546C4"/>
    <w:rsid w:val="00654D0B"/>
    <w:rsid w:val="00654DB6"/>
    <w:rsid w:val="006552F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0E4"/>
    <w:rsid w:val="006662A7"/>
    <w:rsid w:val="006669E9"/>
    <w:rsid w:val="00667682"/>
    <w:rsid w:val="00667844"/>
    <w:rsid w:val="00667E9D"/>
    <w:rsid w:val="00670818"/>
    <w:rsid w:val="00670D07"/>
    <w:rsid w:val="00671332"/>
    <w:rsid w:val="00671540"/>
    <w:rsid w:val="00671690"/>
    <w:rsid w:val="00671E37"/>
    <w:rsid w:val="006723E4"/>
    <w:rsid w:val="00672D56"/>
    <w:rsid w:val="00672E57"/>
    <w:rsid w:val="00673FCA"/>
    <w:rsid w:val="00674068"/>
    <w:rsid w:val="0067420C"/>
    <w:rsid w:val="0067472B"/>
    <w:rsid w:val="00674A79"/>
    <w:rsid w:val="0067589D"/>
    <w:rsid w:val="006758F9"/>
    <w:rsid w:val="00676248"/>
    <w:rsid w:val="00676E64"/>
    <w:rsid w:val="00677AA0"/>
    <w:rsid w:val="00677AB4"/>
    <w:rsid w:val="00677C1C"/>
    <w:rsid w:val="00681A85"/>
    <w:rsid w:val="00681DBE"/>
    <w:rsid w:val="006824C3"/>
    <w:rsid w:val="00682BD7"/>
    <w:rsid w:val="00683198"/>
    <w:rsid w:val="00683A69"/>
    <w:rsid w:val="00683DC4"/>
    <w:rsid w:val="00684255"/>
    <w:rsid w:val="00684C8B"/>
    <w:rsid w:val="00684CBB"/>
    <w:rsid w:val="00685170"/>
    <w:rsid w:val="006857EF"/>
    <w:rsid w:val="0068603A"/>
    <w:rsid w:val="0068618F"/>
    <w:rsid w:val="006869C9"/>
    <w:rsid w:val="00686A03"/>
    <w:rsid w:val="006875A2"/>
    <w:rsid w:val="00687E4B"/>
    <w:rsid w:val="00690466"/>
    <w:rsid w:val="00690473"/>
    <w:rsid w:val="00690658"/>
    <w:rsid w:val="0069134C"/>
    <w:rsid w:val="00691C48"/>
    <w:rsid w:val="0069231C"/>
    <w:rsid w:val="00692A5A"/>
    <w:rsid w:val="00692D1E"/>
    <w:rsid w:val="00692F46"/>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1CF2"/>
    <w:rsid w:val="006A2212"/>
    <w:rsid w:val="006A2A73"/>
    <w:rsid w:val="006A3131"/>
    <w:rsid w:val="006A4829"/>
    <w:rsid w:val="006A50D9"/>
    <w:rsid w:val="006A522E"/>
    <w:rsid w:val="006A5A53"/>
    <w:rsid w:val="006A64CC"/>
    <w:rsid w:val="006A672F"/>
    <w:rsid w:val="006A6968"/>
    <w:rsid w:val="006A7A1D"/>
    <w:rsid w:val="006A7CCB"/>
    <w:rsid w:val="006B0120"/>
    <w:rsid w:val="006B0770"/>
    <w:rsid w:val="006B0A6C"/>
    <w:rsid w:val="006B0E46"/>
    <w:rsid w:val="006B1091"/>
    <w:rsid w:val="006B1931"/>
    <w:rsid w:val="006B24C2"/>
    <w:rsid w:val="006B2B98"/>
    <w:rsid w:val="006B3755"/>
    <w:rsid w:val="006B4491"/>
    <w:rsid w:val="006B470D"/>
    <w:rsid w:val="006B551F"/>
    <w:rsid w:val="006B5597"/>
    <w:rsid w:val="006B6112"/>
    <w:rsid w:val="006B6C79"/>
    <w:rsid w:val="006B77EA"/>
    <w:rsid w:val="006C02CE"/>
    <w:rsid w:val="006C0C23"/>
    <w:rsid w:val="006C0E6C"/>
    <w:rsid w:val="006C123B"/>
    <w:rsid w:val="006C1535"/>
    <w:rsid w:val="006C2BA9"/>
    <w:rsid w:val="006C2CDF"/>
    <w:rsid w:val="006C3638"/>
    <w:rsid w:val="006C3C38"/>
    <w:rsid w:val="006C41DB"/>
    <w:rsid w:val="006C45EE"/>
    <w:rsid w:val="006C57E6"/>
    <w:rsid w:val="006C5A70"/>
    <w:rsid w:val="006C5B0C"/>
    <w:rsid w:val="006C5FEC"/>
    <w:rsid w:val="006C6DAD"/>
    <w:rsid w:val="006C743F"/>
    <w:rsid w:val="006C7450"/>
    <w:rsid w:val="006C74D5"/>
    <w:rsid w:val="006C7531"/>
    <w:rsid w:val="006C76EA"/>
    <w:rsid w:val="006C7B76"/>
    <w:rsid w:val="006C7BD5"/>
    <w:rsid w:val="006C7FAA"/>
    <w:rsid w:val="006D0A67"/>
    <w:rsid w:val="006D0B93"/>
    <w:rsid w:val="006D0DF4"/>
    <w:rsid w:val="006D1908"/>
    <w:rsid w:val="006D2039"/>
    <w:rsid w:val="006D2092"/>
    <w:rsid w:val="006D23C0"/>
    <w:rsid w:val="006D2877"/>
    <w:rsid w:val="006D30B9"/>
    <w:rsid w:val="006D360E"/>
    <w:rsid w:val="006D366C"/>
    <w:rsid w:val="006D3E24"/>
    <w:rsid w:val="006D420A"/>
    <w:rsid w:val="006D443A"/>
    <w:rsid w:val="006D44CA"/>
    <w:rsid w:val="006D4937"/>
    <w:rsid w:val="006D508F"/>
    <w:rsid w:val="006D50CE"/>
    <w:rsid w:val="006D557E"/>
    <w:rsid w:val="006D5C87"/>
    <w:rsid w:val="006D6594"/>
    <w:rsid w:val="006D6C1F"/>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A22"/>
    <w:rsid w:val="006E5299"/>
    <w:rsid w:val="006E54DA"/>
    <w:rsid w:val="006E5F93"/>
    <w:rsid w:val="006E69BE"/>
    <w:rsid w:val="006E6BD7"/>
    <w:rsid w:val="006E6C8E"/>
    <w:rsid w:val="006E72C2"/>
    <w:rsid w:val="006E770F"/>
    <w:rsid w:val="006E7847"/>
    <w:rsid w:val="006E7BBA"/>
    <w:rsid w:val="006E7CF0"/>
    <w:rsid w:val="006F0172"/>
    <w:rsid w:val="006F07D5"/>
    <w:rsid w:val="006F0C81"/>
    <w:rsid w:val="006F104D"/>
    <w:rsid w:val="006F1077"/>
    <w:rsid w:val="006F1601"/>
    <w:rsid w:val="006F21D4"/>
    <w:rsid w:val="006F2376"/>
    <w:rsid w:val="006F2D04"/>
    <w:rsid w:val="006F3195"/>
    <w:rsid w:val="006F374B"/>
    <w:rsid w:val="006F37F9"/>
    <w:rsid w:val="006F398A"/>
    <w:rsid w:val="006F3D77"/>
    <w:rsid w:val="006F3DA8"/>
    <w:rsid w:val="006F4450"/>
    <w:rsid w:val="006F5223"/>
    <w:rsid w:val="006F565F"/>
    <w:rsid w:val="006F58CD"/>
    <w:rsid w:val="006F5952"/>
    <w:rsid w:val="006F5FBB"/>
    <w:rsid w:val="006F65FF"/>
    <w:rsid w:val="006F6A74"/>
    <w:rsid w:val="006F7CDA"/>
    <w:rsid w:val="00700343"/>
    <w:rsid w:val="007004A9"/>
    <w:rsid w:val="00700E2B"/>
    <w:rsid w:val="007016AF"/>
    <w:rsid w:val="00701C66"/>
    <w:rsid w:val="00701E3F"/>
    <w:rsid w:val="00701F8A"/>
    <w:rsid w:val="00701FD1"/>
    <w:rsid w:val="00702CDD"/>
    <w:rsid w:val="00702D00"/>
    <w:rsid w:val="0070347D"/>
    <w:rsid w:val="00703FD2"/>
    <w:rsid w:val="00704666"/>
    <w:rsid w:val="007049D2"/>
    <w:rsid w:val="00704A64"/>
    <w:rsid w:val="00704CBD"/>
    <w:rsid w:val="00704D44"/>
    <w:rsid w:val="00705F12"/>
    <w:rsid w:val="0070650E"/>
    <w:rsid w:val="007073D1"/>
    <w:rsid w:val="00707472"/>
    <w:rsid w:val="00707648"/>
    <w:rsid w:val="00707B0A"/>
    <w:rsid w:val="007106FD"/>
    <w:rsid w:val="00710928"/>
    <w:rsid w:val="00710A01"/>
    <w:rsid w:val="0071180F"/>
    <w:rsid w:val="0071185F"/>
    <w:rsid w:val="007118F0"/>
    <w:rsid w:val="0071194E"/>
    <w:rsid w:val="00711C9A"/>
    <w:rsid w:val="00712527"/>
    <w:rsid w:val="00712D7D"/>
    <w:rsid w:val="00713119"/>
    <w:rsid w:val="00713A83"/>
    <w:rsid w:val="007149F4"/>
    <w:rsid w:val="0071543E"/>
    <w:rsid w:val="007154A5"/>
    <w:rsid w:val="007154F9"/>
    <w:rsid w:val="007161AC"/>
    <w:rsid w:val="00716797"/>
    <w:rsid w:val="00717574"/>
    <w:rsid w:val="00720F6E"/>
    <w:rsid w:val="007229B8"/>
    <w:rsid w:val="00722FB5"/>
    <w:rsid w:val="00723794"/>
    <w:rsid w:val="007238F7"/>
    <w:rsid w:val="0072424E"/>
    <w:rsid w:val="0072436C"/>
    <w:rsid w:val="00724BAB"/>
    <w:rsid w:val="00725242"/>
    <w:rsid w:val="0072524B"/>
    <w:rsid w:val="00725E62"/>
    <w:rsid w:val="007261EE"/>
    <w:rsid w:val="007263B2"/>
    <w:rsid w:val="007266D3"/>
    <w:rsid w:val="00726918"/>
    <w:rsid w:val="00727095"/>
    <w:rsid w:val="0073083F"/>
    <w:rsid w:val="00730CA7"/>
    <w:rsid w:val="00731783"/>
    <w:rsid w:val="00731BD2"/>
    <w:rsid w:val="00731DFD"/>
    <w:rsid w:val="0073215F"/>
    <w:rsid w:val="00732540"/>
    <w:rsid w:val="0073284C"/>
    <w:rsid w:val="00732D0C"/>
    <w:rsid w:val="007334BF"/>
    <w:rsid w:val="007336C1"/>
    <w:rsid w:val="007338EA"/>
    <w:rsid w:val="00733969"/>
    <w:rsid w:val="00733F1E"/>
    <w:rsid w:val="007346DF"/>
    <w:rsid w:val="00734D26"/>
    <w:rsid w:val="0073523B"/>
    <w:rsid w:val="007352E5"/>
    <w:rsid w:val="0073593B"/>
    <w:rsid w:val="0073683E"/>
    <w:rsid w:val="00736A93"/>
    <w:rsid w:val="00736D0F"/>
    <w:rsid w:val="007374A7"/>
    <w:rsid w:val="0073760C"/>
    <w:rsid w:val="00737D3F"/>
    <w:rsid w:val="007400D3"/>
    <w:rsid w:val="00740370"/>
    <w:rsid w:val="00740C9E"/>
    <w:rsid w:val="007418F2"/>
    <w:rsid w:val="007422B7"/>
    <w:rsid w:val="00742DAD"/>
    <w:rsid w:val="00742E38"/>
    <w:rsid w:val="00743AF6"/>
    <w:rsid w:val="00744984"/>
    <w:rsid w:val="00744FF6"/>
    <w:rsid w:val="00745434"/>
    <w:rsid w:val="00745751"/>
    <w:rsid w:val="00746514"/>
    <w:rsid w:val="00746707"/>
    <w:rsid w:val="00746775"/>
    <w:rsid w:val="00746A59"/>
    <w:rsid w:val="00746D51"/>
    <w:rsid w:val="007475F9"/>
    <w:rsid w:val="00747715"/>
    <w:rsid w:val="00747AA7"/>
    <w:rsid w:val="00747B08"/>
    <w:rsid w:val="00747E14"/>
    <w:rsid w:val="00750723"/>
    <w:rsid w:val="007507D7"/>
    <w:rsid w:val="007508C9"/>
    <w:rsid w:val="00750900"/>
    <w:rsid w:val="00750E43"/>
    <w:rsid w:val="00750FB3"/>
    <w:rsid w:val="0075117C"/>
    <w:rsid w:val="00751A43"/>
    <w:rsid w:val="00751BDA"/>
    <w:rsid w:val="00751F95"/>
    <w:rsid w:val="0075358D"/>
    <w:rsid w:val="00754365"/>
    <w:rsid w:val="007547A7"/>
    <w:rsid w:val="00754C5E"/>
    <w:rsid w:val="00754D42"/>
    <w:rsid w:val="00755273"/>
    <w:rsid w:val="0075616D"/>
    <w:rsid w:val="007561FF"/>
    <w:rsid w:val="00756584"/>
    <w:rsid w:val="00756756"/>
    <w:rsid w:val="00757AEF"/>
    <w:rsid w:val="00757EF4"/>
    <w:rsid w:val="00760440"/>
    <w:rsid w:val="0076092D"/>
    <w:rsid w:val="00760ECB"/>
    <w:rsid w:val="0076120B"/>
    <w:rsid w:val="00761D99"/>
    <w:rsid w:val="0076212C"/>
    <w:rsid w:val="0076227A"/>
    <w:rsid w:val="007626C1"/>
    <w:rsid w:val="007629EC"/>
    <w:rsid w:val="00762B3A"/>
    <w:rsid w:val="0076340A"/>
    <w:rsid w:val="0076379F"/>
    <w:rsid w:val="0076398E"/>
    <w:rsid w:val="00763A60"/>
    <w:rsid w:val="00763BE3"/>
    <w:rsid w:val="00763DE1"/>
    <w:rsid w:val="00764542"/>
    <w:rsid w:val="007645E0"/>
    <w:rsid w:val="00764C2F"/>
    <w:rsid w:val="00764D72"/>
    <w:rsid w:val="00766077"/>
    <w:rsid w:val="007669B9"/>
    <w:rsid w:val="007669CC"/>
    <w:rsid w:val="00766B56"/>
    <w:rsid w:val="00767694"/>
    <w:rsid w:val="00767780"/>
    <w:rsid w:val="00767C23"/>
    <w:rsid w:val="00767F12"/>
    <w:rsid w:val="00770620"/>
    <w:rsid w:val="007706FD"/>
    <w:rsid w:val="00770CF8"/>
    <w:rsid w:val="00770EE1"/>
    <w:rsid w:val="0077157D"/>
    <w:rsid w:val="00771A3C"/>
    <w:rsid w:val="00771BFD"/>
    <w:rsid w:val="00772D36"/>
    <w:rsid w:val="007731AE"/>
    <w:rsid w:val="00773AA3"/>
    <w:rsid w:val="00773F30"/>
    <w:rsid w:val="00773F6E"/>
    <w:rsid w:val="007744F2"/>
    <w:rsid w:val="007749D9"/>
    <w:rsid w:val="00774EAF"/>
    <w:rsid w:val="007750E0"/>
    <w:rsid w:val="00775262"/>
    <w:rsid w:val="00775707"/>
    <w:rsid w:val="00776662"/>
    <w:rsid w:val="00776A75"/>
    <w:rsid w:val="00776F8C"/>
    <w:rsid w:val="007776C1"/>
    <w:rsid w:val="00777898"/>
    <w:rsid w:val="00777DDF"/>
    <w:rsid w:val="00780B54"/>
    <w:rsid w:val="00780C46"/>
    <w:rsid w:val="00783061"/>
    <w:rsid w:val="00783425"/>
    <w:rsid w:val="00783C42"/>
    <w:rsid w:val="00784E9E"/>
    <w:rsid w:val="007852BE"/>
    <w:rsid w:val="007853DF"/>
    <w:rsid w:val="007854BD"/>
    <w:rsid w:val="007858AD"/>
    <w:rsid w:val="00785963"/>
    <w:rsid w:val="00785FA3"/>
    <w:rsid w:val="00786465"/>
    <w:rsid w:val="00786561"/>
    <w:rsid w:val="00786737"/>
    <w:rsid w:val="0078681D"/>
    <w:rsid w:val="007869C5"/>
    <w:rsid w:val="007878D6"/>
    <w:rsid w:val="00787E11"/>
    <w:rsid w:val="00787E54"/>
    <w:rsid w:val="007904AB"/>
    <w:rsid w:val="007906B5"/>
    <w:rsid w:val="00790778"/>
    <w:rsid w:val="00790927"/>
    <w:rsid w:val="00790E90"/>
    <w:rsid w:val="00790F47"/>
    <w:rsid w:val="00790F66"/>
    <w:rsid w:val="007914D3"/>
    <w:rsid w:val="00791CDF"/>
    <w:rsid w:val="00792672"/>
    <w:rsid w:val="00792EF1"/>
    <w:rsid w:val="0079347A"/>
    <w:rsid w:val="0079385B"/>
    <w:rsid w:val="00793AEE"/>
    <w:rsid w:val="007942F5"/>
    <w:rsid w:val="00794BDC"/>
    <w:rsid w:val="00794E4D"/>
    <w:rsid w:val="00794F24"/>
    <w:rsid w:val="00795469"/>
    <w:rsid w:val="007965DD"/>
    <w:rsid w:val="00796B38"/>
    <w:rsid w:val="00796B79"/>
    <w:rsid w:val="00796C75"/>
    <w:rsid w:val="007975AC"/>
    <w:rsid w:val="00797A4E"/>
    <w:rsid w:val="00797D75"/>
    <w:rsid w:val="007A0C32"/>
    <w:rsid w:val="007A0E06"/>
    <w:rsid w:val="007A0F51"/>
    <w:rsid w:val="007A0FCB"/>
    <w:rsid w:val="007A1D65"/>
    <w:rsid w:val="007A206F"/>
    <w:rsid w:val="007A237B"/>
    <w:rsid w:val="007A3D83"/>
    <w:rsid w:val="007A3F1E"/>
    <w:rsid w:val="007A4650"/>
    <w:rsid w:val="007A4783"/>
    <w:rsid w:val="007A5013"/>
    <w:rsid w:val="007A5238"/>
    <w:rsid w:val="007A5265"/>
    <w:rsid w:val="007A5287"/>
    <w:rsid w:val="007A5508"/>
    <w:rsid w:val="007A5588"/>
    <w:rsid w:val="007A5997"/>
    <w:rsid w:val="007A5F6C"/>
    <w:rsid w:val="007A7117"/>
    <w:rsid w:val="007A79E5"/>
    <w:rsid w:val="007A7B79"/>
    <w:rsid w:val="007A7F9C"/>
    <w:rsid w:val="007B05E1"/>
    <w:rsid w:val="007B06C8"/>
    <w:rsid w:val="007B100D"/>
    <w:rsid w:val="007B16D8"/>
    <w:rsid w:val="007B17E8"/>
    <w:rsid w:val="007B1CE6"/>
    <w:rsid w:val="007B255A"/>
    <w:rsid w:val="007B261E"/>
    <w:rsid w:val="007B276A"/>
    <w:rsid w:val="007B28E5"/>
    <w:rsid w:val="007B3A5B"/>
    <w:rsid w:val="007B43C4"/>
    <w:rsid w:val="007B4AC7"/>
    <w:rsid w:val="007B534D"/>
    <w:rsid w:val="007B5924"/>
    <w:rsid w:val="007B5BC5"/>
    <w:rsid w:val="007B5CAC"/>
    <w:rsid w:val="007B5DF3"/>
    <w:rsid w:val="007B62A6"/>
    <w:rsid w:val="007B6AC7"/>
    <w:rsid w:val="007B6BF8"/>
    <w:rsid w:val="007B7607"/>
    <w:rsid w:val="007B77B1"/>
    <w:rsid w:val="007B7AA0"/>
    <w:rsid w:val="007B7E65"/>
    <w:rsid w:val="007B7EE9"/>
    <w:rsid w:val="007B7F39"/>
    <w:rsid w:val="007C022B"/>
    <w:rsid w:val="007C0320"/>
    <w:rsid w:val="007C0A88"/>
    <w:rsid w:val="007C0DC9"/>
    <w:rsid w:val="007C11F8"/>
    <w:rsid w:val="007C1CC5"/>
    <w:rsid w:val="007C23E2"/>
    <w:rsid w:val="007C251C"/>
    <w:rsid w:val="007C2976"/>
    <w:rsid w:val="007C327C"/>
    <w:rsid w:val="007C3EEB"/>
    <w:rsid w:val="007C3F77"/>
    <w:rsid w:val="007C4EF3"/>
    <w:rsid w:val="007C5195"/>
    <w:rsid w:val="007C562D"/>
    <w:rsid w:val="007C583C"/>
    <w:rsid w:val="007C59D2"/>
    <w:rsid w:val="007C5D1B"/>
    <w:rsid w:val="007C60E9"/>
    <w:rsid w:val="007C6228"/>
    <w:rsid w:val="007C680F"/>
    <w:rsid w:val="007C6E0E"/>
    <w:rsid w:val="007C764F"/>
    <w:rsid w:val="007C7D97"/>
    <w:rsid w:val="007D066A"/>
    <w:rsid w:val="007D0B87"/>
    <w:rsid w:val="007D0ECC"/>
    <w:rsid w:val="007D14C9"/>
    <w:rsid w:val="007D2261"/>
    <w:rsid w:val="007D2580"/>
    <w:rsid w:val="007D273C"/>
    <w:rsid w:val="007D2F87"/>
    <w:rsid w:val="007D3087"/>
    <w:rsid w:val="007D3E78"/>
    <w:rsid w:val="007D4C9C"/>
    <w:rsid w:val="007D5761"/>
    <w:rsid w:val="007D5A2A"/>
    <w:rsid w:val="007D61B6"/>
    <w:rsid w:val="007D648B"/>
    <w:rsid w:val="007D6C59"/>
    <w:rsid w:val="007D71DF"/>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709"/>
    <w:rsid w:val="007E3F84"/>
    <w:rsid w:val="007E45CF"/>
    <w:rsid w:val="007E5573"/>
    <w:rsid w:val="007E611C"/>
    <w:rsid w:val="007E614B"/>
    <w:rsid w:val="007E61FB"/>
    <w:rsid w:val="007E63C7"/>
    <w:rsid w:val="007E7055"/>
    <w:rsid w:val="007E7CE6"/>
    <w:rsid w:val="007E7D23"/>
    <w:rsid w:val="007F0DEB"/>
    <w:rsid w:val="007F0E89"/>
    <w:rsid w:val="007F1139"/>
    <w:rsid w:val="007F13CB"/>
    <w:rsid w:val="007F17DA"/>
    <w:rsid w:val="007F1C10"/>
    <w:rsid w:val="007F1FB4"/>
    <w:rsid w:val="007F1FE8"/>
    <w:rsid w:val="007F2956"/>
    <w:rsid w:val="007F478C"/>
    <w:rsid w:val="007F4DCC"/>
    <w:rsid w:val="007F55A0"/>
    <w:rsid w:val="007F5B7E"/>
    <w:rsid w:val="007F6224"/>
    <w:rsid w:val="007F64FC"/>
    <w:rsid w:val="007F687A"/>
    <w:rsid w:val="007F6D57"/>
    <w:rsid w:val="007F7051"/>
    <w:rsid w:val="007F71EB"/>
    <w:rsid w:val="007F748A"/>
    <w:rsid w:val="007F7D49"/>
    <w:rsid w:val="007F7F2F"/>
    <w:rsid w:val="00800180"/>
    <w:rsid w:val="008008C8"/>
    <w:rsid w:val="008009A6"/>
    <w:rsid w:val="00800EF6"/>
    <w:rsid w:val="008017F5"/>
    <w:rsid w:val="00802D8F"/>
    <w:rsid w:val="00802EA3"/>
    <w:rsid w:val="008031C7"/>
    <w:rsid w:val="00803BB0"/>
    <w:rsid w:val="00803E05"/>
    <w:rsid w:val="00803EA2"/>
    <w:rsid w:val="00804242"/>
    <w:rsid w:val="00804404"/>
    <w:rsid w:val="008048A4"/>
    <w:rsid w:val="00804C9F"/>
    <w:rsid w:val="00804F27"/>
    <w:rsid w:val="008052E8"/>
    <w:rsid w:val="00805771"/>
    <w:rsid w:val="008057B0"/>
    <w:rsid w:val="00806547"/>
    <w:rsid w:val="00806C68"/>
    <w:rsid w:val="00807080"/>
    <w:rsid w:val="008075EB"/>
    <w:rsid w:val="00807BA9"/>
    <w:rsid w:val="0081161B"/>
    <w:rsid w:val="008119F0"/>
    <w:rsid w:val="00811A3A"/>
    <w:rsid w:val="00811CD1"/>
    <w:rsid w:val="00812556"/>
    <w:rsid w:val="0081322E"/>
    <w:rsid w:val="00813552"/>
    <w:rsid w:val="008139F4"/>
    <w:rsid w:val="00814493"/>
    <w:rsid w:val="00814AC7"/>
    <w:rsid w:val="0081546B"/>
    <w:rsid w:val="008154F0"/>
    <w:rsid w:val="00815EF9"/>
    <w:rsid w:val="008163C1"/>
    <w:rsid w:val="00816781"/>
    <w:rsid w:val="00817549"/>
    <w:rsid w:val="008200A3"/>
    <w:rsid w:val="00820448"/>
    <w:rsid w:val="00820AFB"/>
    <w:rsid w:val="00820BB8"/>
    <w:rsid w:val="008216F7"/>
    <w:rsid w:val="0082221D"/>
    <w:rsid w:val="00822D3B"/>
    <w:rsid w:val="008231D6"/>
    <w:rsid w:val="00823DDB"/>
    <w:rsid w:val="00823F51"/>
    <w:rsid w:val="00824B03"/>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35F7"/>
    <w:rsid w:val="0083382D"/>
    <w:rsid w:val="008338A8"/>
    <w:rsid w:val="00833A49"/>
    <w:rsid w:val="008347A6"/>
    <w:rsid w:val="00834BB8"/>
    <w:rsid w:val="00834BE6"/>
    <w:rsid w:val="00836284"/>
    <w:rsid w:val="00836314"/>
    <w:rsid w:val="00836458"/>
    <w:rsid w:val="00836EE1"/>
    <w:rsid w:val="008375BC"/>
    <w:rsid w:val="008379BB"/>
    <w:rsid w:val="00837C04"/>
    <w:rsid w:val="00837DF1"/>
    <w:rsid w:val="00840115"/>
    <w:rsid w:val="0084097C"/>
    <w:rsid w:val="00840E09"/>
    <w:rsid w:val="00841113"/>
    <w:rsid w:val="00841BFC"/>
    <w:rsid w:val="00841F94"/>
    <w:rsid w:val="008420D6"/>
    <w:rsid w:val="00842BB2"/>
    <w:rsid w:val="00843758"/>
    <w:rsid w:val="00843A8E"/>
    <w:rsid w:val="00844007"/>
    <w:rsid w:val="008441D6"/>
    <w:rsid w:val="00844297"/>
    <w:rsid w:val="00844562"/>
    <w:rsid w:val="00844860"/>
    <w:rsid w:val="00844BA4"/>
    <w:rsid w:val="00844EB6"/>
    <w:rsid w:val="0084526F"/>
    <w:rsid w:val="00845DED"/>
    <w:rsid w:val="008460FB"/>
    <w:rsid w:val="008463EA"/>
    <w:rsid w:val="008464FB"/>
    <w:rsid w:val="0084695A"/>
    <w:rsid w:val="00846D64"/>
    <w:rsid w:val="00846FDC"/>
    <w:rsid w:val="008470A7"/>
    <w:rsid w:val="00847224"/>
    <w:rsid w:val="008475E7"/>
    <w:rsid w:val="0084786E"/>
    <w:rsid w:val="00847BDF"/>
    <w:rsid w:val="00850430"/>
    <w:rsid w:val="00850510"/>
    <w:rsid w:val="008506D6"/>
    <w:rsid w:val="00850AEE"/>
    <w:rsid w:val="00850C02"/>
    <w:rsid w:val="008511EE"/>
    <w:rsid w:val="00851402"/>
    <w:rsid w:val="0085168A"/>
    <w:rsid w:val="00851CB4"/>
    <w:rsid w:val="00851DD9"/>
    <w:rsid w:val="008520C1"/>
    <w:rsid w:val="008522BF"/>
    <w:rsid w:val="008524DF"/>
    <w:rsid w:val="0085265A"/>
    <w:rsid w:val="00852887"/>
    <w:rsid w:val="008531F1"/>
    <w:rsid w:val="008536EF"/>
    <w:rsid w:val="00853956"/>
    <w:rsid w:val="00853A03"/>
    <w:rsid w:val="00853E40"/>
    <w:rsid w:val="0085406F"/>
    <w:rsid w:val="00854E1C"/>
    <w:rsid w:val="008552FE"/>
    <w:rsid w:val="008558CD"/>
    <w:rsid w:val="00855FDC"/>
    <w:rsid w:val="0085658A"/>
    <w:rsid w:val="00856D4D"/>
    <w:rsid w:val="00856DB1"/>
    <w:rsid w:val="00856E1C"/>
    <w:rsid w:val="0085746A"/>
    <w:rsid w:val="008600A6"/>
    <w:rsid w:val="0086077D"/>
    <w:rsid w:val="008608EB"/>
    <w:rsid w:val="008608FF"/>
    <w:rsid w:val="00860D38"/>
    <w:rsid w:val="0086177C"/>
    <w:rsid w:val="00861FF0"/>
    <w:rsid w:val="00862643"/>
    <w:rsid w:val="00862AB2"/>
    <w:rsid w:val="008634F9"/>
    <w:rsid w:val="00863716"/>
    <w:rsid w:val="00863926"/>
    <w:rsid w:val="00864595"/>
    <w:rsid w:val="00864B50"/>
    <w:rsid w:val="00865224"/>
    <w:rsid w:val="00865235"/>
    <w:rsid w:val="00865709"/>
    <w:rsid w:val="00865BF9"/>
    <w:rsid w:val="00866190"/>
    <w:rsid w:val="00866E35"/>
    <w:rsid w:val="008672A9"/>
    <w:rsid w:val="00870B5E"/>
    <w:rsid w:val="0087164D"/>
    <w:rsid w:val="0087259B"/>
    <w:rsid w:val="0087268E"/>
    <w:rsid w:val="00872ABC"/>
    <w:rsid w:val="0087303E"/>
    <w:rsid w:val="00873D27"/>
    <w:rsid w:val="00873EFE"/>
    <w:rsid w:val="00873FF8"/>
    <w:rsid w:val="00874143"/>
    <w:rsid w:val="008751E4"/>
    <w:rsid w:val="0087572D"/>
    <w:rsid w:val="0087586A"/>
    <w:rsid w:val="00875F9C"/>
    <w:rsid w:val="0087641B"/>
    <w:rsid w:val="008766B4"/>
    <w:rsid w:val="0087677D"/>
    <w:rsid w:val="008768AC"/>
    <w:rsid w:val="0087775C"/>
    <w:rsid w:val="00880E10"/>
    <w:rsid w:val="0088104A"/>
    <w:rsid w:val="008810AC"/>
    <w:rsid w:val="0088249B"/>
    <w:rsid w:val="00882634"/>
    <w:rsid w:val="0088282C"/>
    <w:rsid w:val="0088289A"/>
    <w:rsid w:val="00882DA6"/>
    <w:rsid w:val="008830CE"/>
    <w:rsid w:val="00883109"/>
    <w:rsid w:val="00883BF2"/>
    <w:rsid w:val="00885175"/>
    <w:rsid w:val="0088532E"/>
    <w:rsid w:val="008858F6"/>
    <w:rsid w:val="00885A62"/>
    <w:rsid w:val="008860B9"/>
    <w:rsid w:val="0088687D"/>
    <w:rsid w:val="00886F50"/>
    <w:rsid w:val="00887F89"/>
    <w:rsid w:val="00887FBC"/>
    <w:rsid w:val="00890254"/>
    <w:rsid w:val="008904A3"/>
    <w:rsid w:val="008904C0"/>
    <w:rsid w:val="008907D4"/>
    <w:rsid w:val="00890C50"/>
    <w:rsid w:val="0089101F"/>
    <w:rsid w:val="008914F4"/>
    <w:rsid w:val="00891BA7"/>
    <w:rsid w:val="00891F42"/>
    <w:rsid w:val="00892529"/>
    <w:rsid w:val="0089260E"/>
    <w:rsid w:val="00892B26"/>
    <w:rsid w:val="00892EA7"/>
    <w:rsid w:val="00893A3F"/>
    <w:rsid w:val="00894554"/>
    <w:rsid w:val="0089483B"/>
    <w:rsid w:val="008950EF"/>
    <w:rsid w:val="008959DC"/>
    <w:rsid w:val="00895F34"/>
    <w:rsid w:val="00896574"/>
    <w:rsid w:val="0089662C"/>
    <w:rsid w:val="00896A8A"/>
    <w:rsid w:val="00897B89"/>
    <w:rsid w:val="008A0298"/>
    <w:rsid w:val="008A09D7"/>
    <w:rsid w:val="008A0C58"/>
    <w:rsid w:val="008A119F"/>
    <w:rsid w:val="008A1472"/>
    <w:rsid w:val="008A2607"/>
    <w:rsid w:val="008A3363"/>
    <w:rsid w:val="008A3416"/>
    <w:rsid w:val="008A3FD0"/>
    <w:rsid w:val="008A4F3D"/>
    <w:rsid w:val="008A59F2"/>
    <w:rsid w:val="008A616E"/>
    <w:rsid w:val="008A69A5"/>
    <w:rsid w:val="008A6C39"/>
    <w:rsid w:val="008A7371"/>
    <w:rsid w:val="008A7CE9"/>
    <w:rsid w:val="008A7F47"/>
    <w:rsid w:val="008B0267"/>
    <w:rsid w:val="008B0423"/>
    <w:rsid w:val="008B12B9"/>
    <w:rsid w:val="008B1570"/>
    <w:rsid w:val="008B2994"/>
    <w:rsid w:val="008B2EDF"/>
    <w:rsid w:val="008B30F2"/>
    <w:rsid w:val="008B315C"/>
    <w:rsid w:val="008B3259"/>
    <w:rsid w:val="008B33AD"/>
    <w:rsid w:val="008B388E"/>
    <w:rsid w:val="008B3A92"/>
    <w:rsid w:val="008B3DD9"/>
    <w:rsid w:val="008B3E0A"/>
    <w:rsid w:val="008B4A95"/>
    <w:rsid w:val="008B5070"/>
    <w:rsid w:val="008B50FE"/>
    <w:rsid w:val="008B5574"/>
    <w:rsid w:val="008B5601"/>
    <w:rsid w:val="008B578C"/>
    <w:rsid w:val="008B5977"/>
    <w:rsid w:val="008B5E17"/>
    <w:rsid w:val="008B5FAE"/>
    <w:rsid w:val="008B6600"/>
    <w:rsid w:val="008B6837"/>
    <w:rsid w:val="008B711B"/>
    <w:rsid w:val="008B72A2"/>
    <w:rsid w:val="008B7434"/>
    <w:rsid w:val="008B7596"/>
    <w:rsid w:val="008B77FC"/>
    <w:rsid w:val="008B7B2B"/>
    <w:rsid w:val="008C049F"/>
    <w:rsid w:val="008C0AAA"/>
    <w:rsid w:val="008C192F"/>
    <w:rsid w:val="008C197B"/>
    <w:rsid w:val="008C25A0"/>
    <w:rsid w:val="008C2FCA"/>
    <w:rsid w:val="008C3547"/>
    <w:rsid w:val="008C3CB1"/>
    <w:rsid w:val="008C40D5"/>
    <w:rsid w:val="008C4C86"/>
    <w:rsid w:val="008C4E89"/>
    <w:rsid w:val="008C5895"/>
    <w:rsid w:val="008C5A78"/>
    <w:rsid w:val="008C66BD"/>
    <w:rsid w:val="008C6F1D"/>
    <w:rsid w:val="008C70B4"/>
    <w:rsid w:val="008C7644"/>
    <w:rsid w:val="008C7B37"/>
    <w:rsid w:val="008D0250"/>
    <w:rsid w:val="008D0254"/>
    <w:rsid w:val="008D1591"/>
    <w:rsid w:val="008D17C2"/>
    <w:rsid w:val="008D1CC2"/>
    <w:rsid w:val="008D232F"/>
    <w:rsid w:val="008D24B6"/>
    <w:rsid w:val="008D2DD4"/>
    <w:rsid w:val="008D2E0B"/>
    <w:rsid w:val="008D3791"/>
    <w:rsid w:val="008D381D"/>
    <w:rsid w:val="008D3FE5"/>
    <w:rsid w:val="008D43B4"/>
    <w:rsid w:val="008D49E9"/>
    <w:rsid w:val="008D53F1"/>
    <w:rsid w:val="008D7F5B"/>
    <w:rsid w:val="008E0188"/>
    <w:rsid w:val="008E1295"/>
    <w:rsid w:val="008E2633"/>
    <w:rsid w:val="008E2790"/>
    <w:rsid w:val="008E36DB"/>
    <w:rsid w:val="008E3A2C"/>
    <w:rsid w:val="008E412D"/>
    <w:rsid w:val="008E50E4"/>
    <w:rsid w:val="008E5334"/>
    <w:rsid w:val="008E5A62"/>
    <w:rsid w:val="008E638B"/>
    <w:rsid w:val="008E6592"/>
    <w:rsid w:val="008E7427"/>
    <w:rsid w:val="008E742B"/>
    <w:rsid w:val="008E747D"/>
    <w:rsid w:val="008E75D4"/>
    <w:rsid w:val="008E7763"/>
    <w:rsid w:val="008E7D5F"/>
    <w:rsid w:val="008F0977"/>
    <w:rsid w:val="008F12F4"/>
    <w:rsid w:val="008F14F3"/>
    <w:rsid w:val="008F15C1"/>
    <w:rsid w:val="008F1840"/>
    <w:rsid w:val="008F187F"/>
    <w:rsid w:val="008F1E3E"/>
    <w:rsid w:val="008F23F5"/>
    <w:rsid w:val="008F25E8"/>
    <w:rsid w:val="008F29C0"/>
    <w:rsid w:val="008F2FB4"/>
    <w:rsid w:val="008F30BF"/>
    <w:rsid w:val="008F34B8"/>
    <w:rsid w:val="008F3A7B"/>
    <w:rsid w:val="008F4157"/>
    <w:rsid w:val="008F42D9"/>
    <w:rsid w:val="008F4477"/>
    <w:rsid w:val="008F461D"/>
    <w:rsid w:val="008F59AB"/>
    <w:rsid w:val="008F5D8D"/>
    <w:rsid w:val="008F699B"/>
    <w:rsid w:val="008F6AC9"/>
    <w:rsid w:val="008F73B5"/>
    <w:rsid w:val="008F74E1"/>
    <w:rsid w:val="008F7558"/>
    <w:rsid w:val="008F7F4F"/>
    <w:rsid w:val="00900191"/>
    <w:rsid w:val="00901373"/>
    <w:rsid w:val="009013C6"/>
    <w:rsid w:val="00901693"/>
    <w:rsid w:val="00901702"/>
    <w:rsid w:val="009019C0"/>
    <w:rsid w:val="00901D27"/>
    <w:rsid w:val="0090228D"/>
    <w:rsid w:val="00902866"/>
    <w:rsid w:val="00902964"/>
    <w:rsid w:val="009033C4"/>
    <w:rsid w:val="009039C6"/>
    <w:rsid w:val="00903D0B"/>
    <w:rsid w:val="009040E6"/>
    <w:rsid w:val="00904343"/>
    <w:rsid w:val="0090483B"/>
    <w:rsid w:val="00905295"/>
    <w:rsid w:val="0090570E"/>
    <w:rsid w:val="009068F1"/>
    <w:rsid w:val="00906BF2"/>
    <w:rsid w:val="00910CA4"/>
    <w:rsid w:val="00910FE9"/>
    <w:rsid w:val="009114DB"/>
    <w:rsid w:val="0091190F"/>
    <w:rsid w:val="00911A66"/>
    <w:rsid w:val="00911A67"/>
    <w:rsid w:val="00911AF9"/>
    <w:rsid w:val="00911F87"/>
    <w:rsid w:val="009125CD"/>
    <w:rsid w:val="00912A45"/>
    <w:rsid w:val="00912C4B"/>
    <w:rsid w:val="009130E1"/>
    <w:rsid w:val="0091345B"/>
    <w:rsid w:val="00913695"/>
    <w:rsid w:val="009136B8"/>
    <w:rsid w:val="00914629"/>
    <w:rsid w:val="00914F54"/>
    <w:rsid w:val="00915072"/>
    <w:rsid w:val="009155CD"/>
    <w:rsid w:val="009161AF"/>
    <w:rsid w:val="00916382"/>
    <w:rsid w:val="009167F9"/>
    <w:rsid w:val="00920533"/>
    <w:rsid w:val="00920BD9"/>
    <w:rsid w:val="009217C1"/>
    <w:rsid w:val="00921EBD"/>
    <w:rsid w:val="00922BE1"/>
    <w:rsid w:val="00922CD5"/>
    <w:rsid w:val="0092303A"/>
    <w:rsid w:val="00923602"/>
    <w:rsid w:val="00923780"/>
    <w:rsid w:val="0092381F"/>
    <w:rsid w:val="00924A60"/>
    <w:rsid w:val="00925BFB"/>
    <w:rsid w:val="00925F41"/>
    <w:rsid w:val="009261AA"/>
    <w:rsid w:val="009263E6"/>
    <w:rsid w:val="009267DD"/>
    <w:rsid w:val="00926FF0"/>
    <w:rsid w:val="00927167"/>
    <w:rsid w:val="0092718C"/>
    <w:rsid w:val="00927491"/>
    <w:rsid w:val="009274A6"/>
    <w:rsid w:val="00930478"/>
    <w:rsid w:val="00930751"/>
    <w:rsid w:val="00930A64"/>
    <w:rsid w:val="00930C82"/>
    <w:rsid w:val="00930CA4"/>
    <w:rsid w:val="00931392"/>
    <w:rsid w:val="00931E1D"/>
    <w:rsid w:val="00931FC9"/>
    <w:rsid w:val="009328E7"/>
    <w:rsid w:val="00932CAA"/>
    <w:rsid w:val="009344D5"/>
    <w:rsid w:val="009345B8"/>
    <w:rsid w:val="00934829"/>
    <w:rsid w:val="0093486D"/>
    <w:rsid w:val="00934911"/>
    <w:rsid w:val="00935B12"/>
    <w:rsid w:val="00935CCF"/>
    <w:rsid w:val="009363CF"/>
    <w:rsid w:val="0093690C"/>
    <w:rsid w:val="00936BEB"/>
    <w:rsid w:val="009371D8"/>
    <w:rsid w:val="0093726C"/>
    <w:rsid w:val="0093743B"/>
    <w:rsid w:val="009375D6"/>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5BDD"/>
    <w:rsid w:val="00946E93"/>
    <w:rsid w:val="00947005"/>
    <w:rsid w:val="00947147"/>
    <w:rsid w:val="00947524"/>
    <w:rsid w:val="0094756C"/>
    <w:rsid w:val="009476D4"/>
    <w:rsid w:val="00947F79"/>
    <w:rsid w:val="00950132"/>
    <w:rsid w:val="00951206"/>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4FB1"/>
    <w:rsid w:val="0095535B"/>
    <w:rsid w:val="00955A89"/>
    <w:rsid w:val="00955AF9"/>
    <w:rsid w:val="00955F29"/>
    <w:rsid w:val="00955F66"/>
    <w:rsid w:val="009560C1"/>
    <w:rsid w:val="009574E7"/>
    <w:rsid w:val="00957B29"/>
    <w:rsid w:val="00957DCC"/>
    <w:rsid w:val="0096024C"/>
    <w:rsid w:val="00960C2F"/>
    <w:rsid w:val="00961693"/>
    <w:rsid w:val="009619F8"/>
    <w:rsid w:val="009620CD"/>
    <w:rsid w:val="00962282"/>
    <w:rsid w:val="00962D89"/>
    <w:rsid w:val="009636BF"/>
    <w:rsid w:val="00963C96"/>
    <w:rsid w:val="00964494"/>
    <w:rsid w:val="009644EB"/>
    <w:rsid w:val="009646AA"/>
    <w:rsid w:val="009646C6"/>
    <w:rsid w:val="00964A80"/>
    <w:rsid w:val="0096560C"/>
    <w:rsid w:val="009659F8"/>
    <w:rsid w:val="00966951"/>
    <w:rsid w:val="009675E9"/>
    <w:rsid w:val="009676DE"/>
    <w:rsid w:val="00967AD7"/>
    <w:rsid w:val="00967DF9"/>
    <w:rsid w:val="0097017E"/>
    <w:rsid w:val="009707C8"/>
    <w:rsid w:val="00970930"/>
    <w:rsid w:val="00971166"/>
    <w:rsid w:val="00971696"/>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3F0"/>
    <w:rsid w:val="00984682"/>
    <w:rsid w:val="00984EE4"/>
    <w:rsid w:val="009859A1"/>
    <w:rsid w:val="00985B93"/>
    <w:rsid w:val="00985C7E"/>
    <w:rsid w:val="00985DF2"/>
    <w:rsid w:val="00986516"/>
    <w:rsid w:val="009865D0"/>
    <w:rsid w:val="0098667E"/>
    <w:rsid w:val="00987CEF"/>
    <w:rsid w:val="0099045D"/>
    <w:rsid w:val="0099058A"/>
    <w:rsid w:val="00990666"/>
    <w:rsid w:val="00990AE0"/>
    <w:rsid w:val="00990F1D"/>
    <w:rsid w:val="00991074"/>
    <w:rsid w:val="0099187E"/>
    <w:rsid w:val="00992012"/>
    <w:rsid w:val="00992104"/>
    <w:rsid w:val="00992468"/>
    <w:rsid w:val="00992EF5"/>
    <w:rsid w:val="00992F8C"/>
    <w:rsid w:val="0099380F"/>
    <w:rsid w:val="009943CD"/>
    <w:rsid w:val="00994C90"/>
    <w:rsid w:val="00994FFA"/>
    <w:rsid w:val="009954DF"/>
    <w:rsid w:val="00995955"/>
    <w:rsid w:val="00995E86"/>
    <w:rsid w:val="0099680A"/>
    <w:rsid w:val="0099691C"/>
    <w:rsid w:val="00996AA9"/>
    <w:rsid w:val="00997B4B"/>
    <w:rsid w:val="00997D1A"/>
    <w:rsid w:val="009A0276"/>
    <w:rsid w:val="009A028C"/>
    <w:rsid w:val="009A0898"/>
    <w:rsid w:val="009A0995"/>
    <w:rsid w:val="009A0FB7"/>
    <w:rsid w:val="009A1026"/>
    <w:rsid w:val="009A1877"/>
    <w:rsid w:val="009A1F93"/>
    <w:rsid w:val="009A2836"/>
    <w:rsid w:val="009A36CF"/>
    <w:rsid w:val="009A40B4"/>
    <w:rsid w:val="009A4B90"/>
    <w:rsid w:val="009A5DCE"/>
    <w:rsid w:val="009A5FAF"/>
    <w:rsid w:val="009A6314"/>
    <w:rsid w:val="009A67A6"/>
    <w:rsid w:val="009A6D55"/>
    <w:rsid w:val="009A7706"/>
    <w:rsid w:val="009A79E8"/>
    <w:rsid w:val="009B030E"/>
    <w:rsid w:val="009B0F6D"/>
    <w:rsid w:val="009B1375"/>
    <w:rsid w:val="009B179A"/>
    <w:rsid w:val="009B17AF"/>
    <w:rsid w:val="009B18EB"/>
    <w:rsid w:val="009B22F3"/>
    <w:rsid w:val="009B2D14"/>
    <w:rsid w:val="009B3A9E"/>
    <w:rsid w:val="009B3E01"/>
    <w:rsid w:val="009B430E"/>
    <w:rsid w:val="009B4391"/>
    <w:rsid w:val="009B47A9"/>
    <w:rsid w:val="009B4D24"/>
    <w:rsid w:val="009B5D04"/>
    <w:rsid w:val="009B6057"/>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246"/>
    <w:rsid w:val="009C3B9F"/>
    <w:rsid w:val="009C4833"/>
    <w:rsid w:val="009C4A9B"/>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53D"/>
    <w:rsid w:val="009D366A"/>
    <w:rsid w:val="009D37B7"/>
    <w:rsid w:val="009D37DE"/>
    <w:rsid w:val="009D5A25"/>
    <w:rsid w:val="009D5CFB"/>
    <w:rsid w:val="009D6634"/>
    <w:rsid w:val="009D6E82"/>
    <w:rsid w:val="009D776B"/>
    <w:rsid w:val="009E0652"/>
    <w:rsid w:val="009E0807"/>
    <w:rsid w:val="009E0C05"/>
    <w:rsid w:val="009E0C6A"/>
    <w:rsid w:val="009E0CA9"/>
    <w:rsid w:val="009E142C"/>
    <w:rsid w:val="009E1812"/>
    <w:rsid w:val="009E1E30"/>
    <w:rsid w:val="009E1F62"/>
    <w:rsid w:val="009E20CD"/>
    <w:rsid w:val="009E250D"/>
    <w:rsid w:val="009E25C9"/>
    <w:rsid w:val="009E2673"/>
    <w:rsid w:val="009E34FA"/>
    <w:rsid w:val="009E3E89"/>
    <w:rsid w:val="009E44DE"/>
    <w:rsid w:val="009E4BE7"/>
    <w:rsid w:val="009E5315"/>
    <w:rsid w:val="009E531A"/>
    <w:rsid w:val="009E54F4"/>
    <w:rsid w:val="009E5931"/>
    <w:rsid w:val="009E6023"/>
    <w:rsid w:val="009E6598"/>
    <w:rsid w:val="009E6840"/>
    <w:rsid w:val="009E72FD"/>
    <w:rsid w:val="009E7479"/>
    <w:rsid w:val="009E7A2F"/>
    <w:rsid w:val="009E7C59"/>
    <w:rsid w:val="009F01B2"/>
    <w:rsid w:val="009F0B08"/>
    <w:rsid w:val="009F1946"/>
    <w:rsid w:val="009F19AA"/>
    <w:rsid w:val="009F1ECF"/>
    <w:rsid w:val="009F20B5"/>
    <w:rsid w:val="009F23B2"/>
    <w:rsid w:val="009F2902"/>
    <w:rsid w:val="009F3277"/>
    <w:rsid w:val="009F42D3"/>
    <w:rsid w:val="009F4A8A"/>
    <w:rsid w:val="009F4B3C"/>
    <w:rsid w:val="009F4D7D"/>
    <w:rsid w:val="009F507B"/>
    <w:rsid w:val="009F53B7"/>
    <w:rsid w:val="009F5BEA"/>
    <w:rsid w:val="009F6457"/>
    <w:rsid w:val="009F67B1"/>
    <w:rsid w:val="009F6828"/>
    <w:rsid w:val="009F6B03"/>
    <w:rsid w:val="009F6B77"/>
    <w:rsid w:val="009F6F83"/>
    <w:rsid w:val="009F7376"/>
    <w:rsid w:val="009F7377"/>
    <w:rsid w:val="009F74FC"/>
    <w:rsid w:val="009F7756"/>
    <w:rsid w:val="009F78EE"/>
    <w:rsid w:val="009F7BAC"/>
    <w:rsid w:val="009F7E05"/>
    <w:rsid w:val="00A001AE"/>
    <w:rsid w:val="00A0021D"/>
    <w:rsid w:val="00A00766"/>
    <w:rsid w:val="00A008D7"/>
    <w:rsid w:val="00A01100"/>
    <w:rsid w:val="00A01492"/>
    <w:rsid w:val="00A015FA"/>
    <w:rsid w:val="00A01E43"/>
    <w:rsid w:val="00A022B2"/>
    <w:rsid w:val="00A029CC"/>
    <w:rsid w:val="00A02AE5"/>
    <w:rsid w:val="00A02C78"/>
    <w:rsid w:val="00A039B2"/>
    <w:rsid w:val="00A03A22"/>
    <w:rsid w:val="00A03C4A"/>
    <w:rsid w:val="00A03FD8"/>
    <w:rsid w:val="00A042BA"/>
    <w:rsid w:val="00A04E12"/>
    <w:rsid w:val="00A054D8"/>
    <w:rsid w:val="00A056E0"/>
    <w:rsid w:val="00A05AF6"/>
    <w:rsid w:val="00A05DC5"/>
    <w:rsid w:val="00A06239"/>
    <w:rsid w:val="00A0668E"/>
    <w:rsid w:val="00A06890"/>
    <w:rsid w:val="00A06EB8"/>
    <w:rsid w:val="00A07309"/>
    <w:rsid w:val="00A07CF3"/>
    <w:rsid w:val="00A10B90"/>
    <w:rsid w:val="00A1129E"/>
    <w:rsid w:val="00A12D3F"/>
    <w:rsid w:val="00A131C0"/>
    <w:rsid w:val="00A1320F"/>
    <w:rsid w:val="00A132ED"/>
    <w:rsid w:val="00A13483"/>
    <w:rsid w:val="00A13E15"/>
    <w:rsid w:val="00A14098"/>
    <w:rsid w:val="00A140C4"/>
    <w:rsid w:val="00A147D3"/>
    <w:rsid w:val="00A1487A"/>
    <w:rsid w:val="00A149AF"/>
    <w:rsid w:val="00A1553C"/>
    <w:rsid w:val="00A15670"/>
    <w:rsid w:val="00A1576D"/>
    <w:rsid w:val="00A158EF"/>
    <w:rsid w:val="00A16103"/>
    <w:rsid w:val="00A167FB"/>
    <w:rsid w:val="00A16AEE"/>
    <w:rsid w:val="00A16BD4"/>
    <w:rsid w:val="00A16D0F"/>
    <w:rsid w:val="00A16E89"/>
    <w:rsid w:val="00A1762F"/>
    <w:rsid w:val="00A17907"/>
    <w:rsid w:val="00A179E9"/>
    <w:rsid w:val="00A201E5"/>
    <w:rsid w:val="00A2021C"/>
    <w:rsid w:val="00A20436"/>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860"/>
    <w:rsid w:val="00A279FE"/>
    <w:rsid w:val="00A30E82"/>
    <w:rsid w:val="00A30FAB"/>
    <w:rsid w:val="00A319E9"/>
    <w:rsid w:val="00A31A03"/>
    <w:rsid w:val="00A31AA6"/>
    <w:rsid w:val="00A31C0E"/>
    <w:rsid w:val="00A31C6C"/>
    <w:rsid w:val="00A321AB"/>
    <w:rsid w:val="00A325F8"/>
    <w:rsid w:val="00A32772"/>
    <w:rsid w:val="00A32C3F"/>
    <w:rsid w:val="00A3306A"/>
    <w:rsid w:val="00A33447"/>
    <w:rsid w:val="00A33758"/>
    <w:rsid w:val="00A355C9"/>
    <w:rsid w:val="00A35AFF"/>
    <w:rsid w:val="00A35E06"/>
    <w:rsid w:val="00A35E6F"/>
    <w:rsid w:val="00A35EE2"/>
    <w:rsid w:val="00A35FC0"/>
    <w:rsid w:val="00A36794"/>
    <w:rsid w:val="00A371B5"/>
    <w:rsid w:val="00A37426"/>
    <w:rsid w:val="00A37508"/>
    <w:rsid w:val="00A37BA7"/>
    <w:rsid w:val="00A40041"/>
    <w:rsid w:val="00A41013"/>
    <w:rsid w:val="00A414B0"/>
    <w:rsid w:val="00A41BB4"/>
    <w:rsid w:val="00A41F05"/>
    <w:rsid w:val="00A42067"/>
    <w:rsid w:val="00A426B4"/>
    <w:rsid w:val="00A42BA3"/>
    <w:rsid w:val="00A42EE4"/>
    <w:rsid w:val="00A4339D"/>
    <w:rsid w:val="00A43EF0"/>
    <w:rsid w:val="00A441B4"/>
    <w:rsid w:val="00A44328"/>
    <w:rsid w:val="00A44558"/>
    <w:rsid w:val="00A445E9"/>
    <w:rsid w:val="00A44B2A"/>
    <w:rsid w:val="00A44D8E"/>
    <w:rsid w:val="00A44E3C"/>
    <w:rsid w:val="00A453AE"/>
    <w:rsid w:val="00A459D4"/>
    <w:rsid w:val="00A45FD3"/>
    <w:rsid w:val="00A46497"/>
    <w:rsid w:val="00A46828"/>
    <w:rsid w:val="00A47403"/>
    <w:rsid w:val="00A479C0"/>
    <w:rsid w:val="00A50109"/>
    <w:rsid w:val="00A502CD"/>
    <w:rsid w:val="00A50667"/>
    <w:rsid w:val="00A50B34"/>
    <w:rsid w:val="00A51F23"/>
    <w:rsid w:val="00A53426"/>
    <w:rsid w:val="00A534B2"/>
    <w:rsid w:val="00A5356E"/>
    <w:rsid w:val="00A54054"/>
    <w:rsid w:val="00A545DC"/>
    <w:rsid w:val="00A54941"/>
    <w:rsid w:val="00A54A13"/>
    <w:rsid w:val="00A54A36"/>
    <w:rsid w:val="00A54D32"/>
    <w:rsid w:val="00A54DB7"/>
    <w:rsid w:val="00A5623D"/>
    <w:rsid w:val="00A56FFA"/>
    <w:rsid w:val="00A5710B"/>
    <w:rsid w:val="00A57670"/>
    <w:rsid w:val="00A607CC"/>
    <w:rsid w:val="00A60AFF"/>
    <w:rsid w:val="00A60EDA"/>
    <w:rsid w:val="00A61CE6"/>
    <w:rsid w:val="00A621A8"/>
    <w:rsid w:val="00A62F8F"/>
    <w:rsid w:val="00A62FC0"/>
    <w:rsid w:val="00A63059"/>
    <w:rsid w:val="00A6319F"/>
    <w:rsid w:val="00A635CB"/>
    <w:rsid w:val="00A635E6"/>
    <w:rsid w:val="00A64948"/>
    <w:rsid w:val="00A65092"/>
    <w:rsid w:val="00A66A78"/>
    <w:rsid w:val="00A66F31"/>
    <w:rsid w:val="00A67F54"/>
    <w:rsid w:val="00A7037C"/>
    <w:rsid w:val="00A7096D"/>
    <w:rsid w:val="00A7163A"/>
    <w:rsid w:val="00A71827"/>
    <w:rsid w:val="00A72360"/>
    <w:rsid w:val="00A72986"/>
    <w:rsid w:val="00A73154"/>
    <w:rsid w:val="00A7349E"/>
    <w:rsid w:val="00A734D3"/>
    <w:rsid w:val="00A7386D"/>
    <w:rsid w:val="00A746B0"/>
    <w:rsid w:val="00A749FC"/>
    <w:rsid w:val="00A74CF9"/>
    <w:rsid w:val="00A7507C"/>
    <w:rsid w:val="00A7584E"/>
    <w:rsid w:val="00A75969"/>
    <w:rsid w:val="00A75B1D"/>
    <w:rsid w:val="00A75B71"/>
    <w:rsid w:val="00A75D4E"/>
    <w:rsid w:val="00A760A5"/>
    <w:rsid w:val="00A76268"/>
    <w:rsid w:val="00A76A37"/>
    <w:rsid w:val="00A76F13"/>
    <w:rsid w:val="00A770E5"/>
    <w:rsid w:val="00A80BA0"/>
    <w:rsid w:val="00A80CAE"/>
    <w:rsid w:val="00A81679"/>
    <w:rsid w:val="00A81BC6"/>
    <w:rsid w:val="00A81C28"/>
    <w:rsid w:val="00A829CA"/>
    <w:rsid w:val="00A82D34"/>
    <w:rsid w:val="00A83765"/>
    <w:rsid w:val="00A8399B"/>
    <w:rsid w:val="00A83C51"/>
    <w:rsid w:val="00A84222"/>
    <w:rsid w:val="00A8433A"/>
    <w:rsid w:val="00A847A8"/>
    <w:rsid w:val="00A847E6"/>
    <w:rsid w:val="00A85E3E"/>
    <w:rsid w:val="00A8601B"/>
    <w:rsid w:val="00A86448"/>
    <w:rsid w:val="00A8648A"/>
    <w:rsid w:val="00A86ACC"/>
    <w:rsid w:val="00A86AD8"/>
    <w:rsid w:val="00A86D9B"/>
    <w:rsid w:val="00A872D1"/>
    <w:rsid w:val="00A87737"/>
    <w:rsid w:val="00A90334"/>
    <w:rsid w:val="00A913FC"/>
    <w:rsid w:val="00A917D3"/>
    <w:rsid w:val="00A91BAB"/>
    <w:rsid w:val="00A91CA9"/>
    <w:rsid w:val="00A92317"/>
    <w:rsid w:val="00A92AB1"/>
    <w:rsid w:val="00A92EC8"/>
    <w:rsid w:val="00A934BC"/>
    <w:rsid w:val="00A93951"/>
    <w:rsid w:val="00A93CD3"/>
    <w:rsid w:val="00A93DEA"/>
    <w:rsid w:val="00A94908"/>
    <w:rsid w:val="00A95191"/>
    <w:rsid w:val="00A955B1"/>
    <w:rsid w:val="00A95CC6"/>
    <w:rsid w:val="00A96603"/>
    <w:rsid w:val="00A9698C"/>
    <w:rsid w:val="00A97B18"/>
    <w:rsid w:val="00A97C13"/>
    <w:rsid w:val="00AA08BE"/>
    <w:rsid w:val="00AA0CBE"/>
    <w:rsid w:val="00AA0E3C"/>
    <w:rsid w:val="00AA1A97"/>
    <w:rsid w:val="00AA1C66"/>
    <w:rsid w:val="00AA2028"/>
    <w:rsid w:val="00AA2F19"/>
    <w:rsid w:val="00AA3F93"/>
    <w:rsid w:val="00AA507B"/>
    <w:rsid w:val="00AA63D8"/>
    <w:rsid w:val="00AA69DA"/>
    <w:rsid w:val="00AA6AB1"/>
    <w:rsid w:val="00AA6BE0"/>
    <w:rsid w:val="00AA6EFE"/>
    <w:rsid w:val="00AA73BC"/>
    <w:rsid w:val="00AA750F"/>
    <w:rsid w:val="00AA7A3B"/>
    <w:rsid w:val="00AA7D43"/>
    <w:rsid w:val="00AB0E65"/>
    <w:rsid w:val="00AB0F54"/>
    <w:rsid w:val="00AB0FFE"/>
    <w:rsid w:val="00AB1280"/>
    <w:rsid w:val="00AB1614"/>
    <w:rsid w:val="00AB1642"/>
    <w:rsid w:val="00AB1E94"/>
    <w:rsid w:val="00AB2105"/>
    <w:rsid w:val="00AB2175"/>
    <w:rsid w:val="00AB22EB"/>
    <w:rsid w:val="00AB2841"/>
    <w:rsid w:val="00AB3602"/>
    <w:rsid w:val="00AB3E01"/>
    <w:rsid w:val="00AB4600"/>
    <w:rsid w:val="00AB48A7"/>
    <w:rsid w:val="00AB4DFE"/>
    <w:rsid w:val="00AB4F95"/>
    <w:rsid w:val="00AB506D"/>
    <w:rsid w:val="00AB53F3"/>
    <w:rsid w:val="00AB56EB"/>
    <w:rsid w:val="00AB5BDE"/>
    <w:rsid w:val="00AB5DE3"/>
    <w:rsid w:val="00AB631B"/>
    <w:rsid w:val="00AB69A6"/>
    <w:rsid w:val="00AB6A3A"/>
    <w:rsid w:val="00AB6D1A"/>
    <w:rsid w:val="00AB73AC"/>
    <w:rsid w:val="00AB797A"/>
    <w:rsid w:val="00AB7E4D"/>
    <w:rsid w:val="00AC034B"/>
    <w:rsid w:val="00AC175F"/>
    <w:rsid w:val="00AC1E77"/>
    <w:rsid w:val="00AC26D1"/>
    <w:rsid w:val="00AC3322"/>
    <w:rsid w:val="00AC3C01"/>
    <w:rsid w:val="00AC3E56"/>
    <w:rsid w:val="00AC44B5"/>
    <w:rsid w:val="00AC45E5"/>
    <w:rsid w:val="00AC4804"/>
    <w:rsid w:val="00AC5408"/>
    <w:rsid w:val="00AC54E3"/>
    <w:rsid w:val="00AC6430"/>
    <w:rsid w:val="00AC6BA9"/>
    <w:rsid w:val="00AC6F09"/>
    <w:rsid w:val="00AC73C5"/>
    <w:rsid w:val="00AC77C2"/>
    <w:rsid w:val="00AC7C27"/>
    <w:rsid w:val="00AC7CCE"/>
    <w:rsid w:val="00AC7D0E"/>
    <w:rsid w:val="00AC7DE6"/>
    <w:rsid w:val="00AC7EDA"/>
    <w:rsid w:val="00AD0A3A"/>
    <w:rsid w:val="00AD0FC0"/>
    <w:rsid w:val="00AD1B6C"/>
    <w:rsid w:val="00AD2BA8"/>
    <w:rsid w:val="00AD360D"/>
    <w:rsid w:val="00AD3B51"/>
    <w:rsid w:val="00AD3D09"/>
    <w:rsid w:val="00AD4EF8"/>
    <w:rsid w:val="00AD5139"/>
    <w:rsid w:val="00AD5147"/>
    <w:rsid w:val="00AD5463"/>
    <w:rsid w:val="00AD5D34"/>
    <w:rsid w:val="00AD6598"/>
    <w:rsid w:val="00AD705D"/>
    <w:rsid w:val="00AD71F5"/>
    <w:rsid w:val="00AD7767"/>
    <w:rsid w:val="00AD7A69"/>
    <w:rsid w:val="00AD7B0C"/>
    <w:rsid w:val="00AE05F7"/>
    <w:rsid w:val="00AE162F"/>
    <w:rsid w:val="00AE1E6D"/>
    <w:rsid w:val="00AE1F0F"/>
    <w:rsid w:val="00AE25B5"/>
    <w:rsid w:val="00AE25B7"/>
    <w:rsid w:val="00AE26BB"/>
    <w:rsid w:val="00AE2E26"/>
    <w:rsid w:val="00AE2EF8"/>
    <w:rsid w:val="00AE3911"/>
    <w:rsid w:val="00AE3AB4"/>
    <w:rsid w:val="00AE3C82"/>
    <w:rsid w:val="00AE3DA6"/>
    <w:rsid w:val="00AE45C0"/>
    <w:rsid w:val="00AE4C28"/>
    <w:rsid w:val="00AE4E5B"/>
    <w:rsid w:val="00AE545A"/>
    <w:rsid w:val="00AE549A"/>
    <w:rsid w:val="00AE5509"/>
    <w:rsid w:val="00AE5F7F"/>
    <w:rsid w:val="00AE621B"/>
    <w:rsid w:val="00AE6483"/>
    <w:rsid w:val="00AE65F5"/>
    <w:rsid w:val="00AE6C59"/>
    <w:rsid w:val="00AE7224"/>
    <w:rsid w:val="00AE7305"/>
    <w:rsid w:val="00AE7C9B"/>
    <w:rsid w:val="00AE7DDB"/>
    <w:rsid w:val="00AF046B"/>
    <w:rsid w:val="00AF0C6C"/>
    <w:rsid w:val="00AF14C3"/>
    <w:rsid w:val="00AF1872"/>
    <w:rsid w:val="00AF199A"/>
    <w:rsid w:val="00AF1DB4"/>
    <w:rsid w:val="00AF29DA"/>
    <w:rsid w:val="00AF2A20"/>
    <w:rsid w:val="00AF2DEF"/>
    <w:rsid w:val="00AF3D13"/>
    <w:rsid w:val="00AF4709"/>
    <w:rsid w:val="00AF4B63"/>
    <w:rsid w:val="00AF51E4"/>
    <w:rsid w:val="00AF5AF0"/>
    <w:rsid w:val="00AF5DA2"/>
    <w:rsid w:val="00AF5F92"/>
    <w:rsid w:val="00AF61E2"/>
    <w:rsid w:val="00AF6433"/>
    <w:rsid w:val="00AF65FD"/>
    <w:rsid w:val="00AF6EF9"/>
    <w:rsid w:val="00AF6F93"/>
    <w:rsid w:val="00AF753A"/>
    <w:rsid w:val="00AF783F"/>
    <w:rsid w:val="00AF78AE"/>
    <w:rsid w:val="00AF7F62"/>
    <w:rsid w:val="00B000D5"/>
    <w:rsid w:val="00B00555"/>
    <w:rsid w:val="00B0082D"/>
    <w:rsid w:val="00B010DF"/>
    <w:rsid w:val="00B013CA"/>
    <w:rsid w:val="00B01CA9"/>
    <w:rsid w:val="00B01EBF"/>
    <w:rsid w:val="00B02716"/>
    <w:rsid w:val="00B02C05"/>
    <w:rsid w:val="00B03045"/>
    <w:rsid w:val="00B04848"/>
    <w:rsid w:val="00B05CA6"/>
    <w:rsid w:val="00B05F38"/>
    <w:rsid w:val="00B06A13"/>
    <w:rsid w:val="00B06BAF"/>
    <w:rsid w:val="00B0777E"/>
    <w:rsid w:val="00B07948"/>
    <w:rsid w:val="00B07E5C"/>
    <w:rsid w:val="00B105E3"/>
    <w:rsid w:val="00B108D7"/>
    <w:rsid w:val="00B10D70"/>
    <w:rsid w:val="00B11DAB"/>
    <w:rsid w:val="00B1213C"/>
    <w:rsid w:val="00B12CE2"/>
    <w:rsid w:val="00B12FF8"/>
    <w:rsid w:val="00B1303A"/>
    <w:rsid w:val="00B1322D"/>
    <w:rsid w:val="00B133A7"/>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704"/>
    <w:rsid w:val="00B21AAA"/>
    <w:rsid w:val="00B21D36"/>
    <w:rsid w:val="00B21FEE"/>
    <w:rsid w:val="00B22C13"/>
    <w:rsid w:val="00B22D06"/>
    <w:rsid w:val="00B22D1D"/>
    <w:rsid w:val="00B231F7"/>
    <w:rsid w:val="00B2369A"/>
    <w:rsid w:val="00B23AF4"/>
    <w:rsid w:val="00B23D95"/>
    <w:rsid w:val="00B23EE8"/>
    <w:rsid w:val="00B245E5"/>
    <w:rsid w:val="00B245FA"/>
    <w:rsid w:val="00B254B0"/>
    <w:rsid w:val="00B255EB"/>
    <w:rsid w:val="00B255F4"/>
    <w:rsid w:val="00B25F9F"/>
    <w:rsid w:val="00B25FDE"/>
    <w:rsid w:val="00B270C7"/>
    <w:rsid w:val="00B273D8"/>
    <w:rsid w:val="00B27547"/>
    <w:rsid w:val="00B30152"/>
    <w:rsid w:val="00B302BA"/>
    <w:rsid w:val="00B30BA1"/>
    <w:rsid w:val="00B30DF5"/>
    <w:rsid w:val="00B31041"/>
    <w:rsid w:val="00B311C6"/>
    <w:rsid w:val="00B313DA"/>
    <w:rsid w:val="00B32064"/>
    <w:rsid w:val="00B320F4"/>
    <w:rsid w:val="00B3248E"/>
    <w:rsid w:val="00B32DFA"/>
    <w:rsid w:val="00B33037"/>
    <w:rsid w:val="00B338A6"/>
    <w:rsid w:val="00B33A0F"/>
    <w:rsid w:val="00B33C85"/>
    <w:rsid w:val="00B33E9D"/>
    <w:rsid w:val="00B34747"/>
    <w:rsid w:val="00B34E78"/>
    <w:rsid w:val="00B35009"/>
    <w:rsid w:val="00B3584F"/>
    <w:rsid w:val="00B3607B"/>
    <w:rsid w:val="00B36D31"/>
    <w:rsid w:val="00B37846"/>
    <w:rsid w:val="00B37FE3"/>
    <w:rsid w:val="00B407A4"/>
    <w:rsid w:val="00B407A9"/>
    <w:rsid w:val="00B40B09"/>
    <w:rsid w:val="00B41484"/>
    <w:rsid w:val="00B414A6"/>
    <w:rsid w:val="00B41B34"/>
    <w:rsid w:val="00B41B99"/>
    <w:rsid w:val="00B41F3E"/>
    <w:rsid w:val="00B42816"/>
    <w:rsid w:val="00B431A9"/>
    <w:rsid w:val="00B43247"/>
    <w:rsid w:val="00B435AF"/>
    <w:rsid w:val="00B43B6B"/>
    <w:rsid w:val="00B44CD8"/>
    <w:rsid w:val="00B44EBF"/>
    <w:rsid w:val="00B45807"/>
    <w:rsid w:val="00B45BB4"/>
    <w:rsid w:val="00B4609A"/>
    <w:rsid w:val="00B460F0"/>
    <w:rsid w:val="00B46459"/>
    <w:rsid w:val="00B47051"/>
    <w:rsid w:val="00B47781"/>
    <w:rsid w:val="00B4781E"/>
    <w:rsid w:val="00B47A41"/>
    <w:rsid w:val="00B47E8B"/>
    <w:rsid w:val="00B500CB"/>
    <w:rsid w:val="00B50331"/>
    <w:rsid w:val="00B507D1"/>
    <w:rsid w:val="00B5097C"/>
    <w:rsid w:val="00B50F08"/>
    <w:rsid w:val="00B51675"/>
    <w:rsid w:val="00B51950"/>
    <w:rsid w:val="00B5195F"/>
    <w:rsid w:val="00B525D4"/>
    <w:rsid w:val="00B52BD1"/>
    <w:rsid w:val="00B53362"/>
    <w:rsid w:val="00B5361B"/>
    <w:rsid w:val="00B53AEB"/>
    <w:rsid w:val="00B53F86"/>
    <w:rsid w:val="00B5411C"/>
    <w:rsid w:val="00B541AC"/>
    <w:rsid w:val="00B5463A"/>
    <w:rsid w:val="00B54819"/>
    <w:rsid w:val="00B54AC7"/>
    <w:rsid w:val="00B54BCA"/>
    <w:rsid w:val="00B54E75"/>
    <w:rsid w:val="00B54EFC"/>
    <w:rsid w:val="00B54F2D"/>
    <w:rsid w:val="00B54FCA"/>
    <w:rsid w:val="00B55085"/>
    <w:rsid w:val="00B554F6"/>
    <w:rsid w:val="00B55C95"/>
    <w:rsid w:val="00B56A42"/>
    <w:rsid w:val="00B56BC8"/>
    <w:rsid w:val="00B5760B"/>
    <w:rsid w:val="00B57911"/>
    <w:rsid w:val="00B57C24"/>
    <w:rsid w:val="00B57C98"/>
    <w:rsid w:val="00B60C39"/>
    <w:rsid w:val="00B60E09"/>
    <w:rsid w:val="00B614B9"/>
    <w:rsid w:val="00B62013"/>
    <w:rsid w:val="00B6275C"/>
    <w:rsid w:val="00B62BE0"/>
    <w:rsid w:val="00B630EA"/>
    <w:rsid w:val="00B63216"/>
    <w:rsid w:val="00B644E7"/>
    <w:rsid w:val="00B645D8"/>
    <w:rsid w:val="00B64C78"/>
    <w:rsid w:val="00B64E7A"/>
    <w:rsid w:val="00B65106"/>
    <w:rsid w:val="00B65119"/>
    <w:rsid w:val="00B65A5E"/>
    <w:rsid w:val="00B65AFA"/>
    <w:rsid w:val="00B65C15"/>
    <w:rsid w:val="00B6625D"/>
    <w:rsid w:val="00B669C7"/>
    <w:rsid w:val="00B66DE2"/>
    <w:rsid w:val="00B70051"/>
    <w:rsid w:val="00B70187"/>
    <w:rsid w:val="00B7030E"/>
    <w:rsid w:val="00B70407"/>
    <w:rsid w:val="00B70810"/>
    <w:rsid w:val="00B70925"/>
    <w:rsid w:val="00B714DE"/>
    <w:rsid w:val="00B71589"/>
    <w:rsid w:val="00B71A81"/>
    <w:rsid w:val="00B71AE7"/>
    <w:rsid w:val="00B71D5D"/>
    <w:rsid w:val="00B71DD4"/>
    <w:rsid w:val="00B724C6"/>
    <w:rsid w:val="00B72A08"/>
    <w:rsid w:val="00B73BE1"/>
    <w:rsid w:val="00B74A2D"/>
    <w:rsid w:val="00B7574C"/>
    <w:rsid w:val="00B7596F"/>
    <w:rsid w:val="00B75FBF"/>
    <w:rsid w:val="00B767F1"/>
    <w:rsid w:val="00B77970"/>
    <w:rsid w:val="00B77C71"/>
    <w:rsid w:val="00B77CD2"/>
    <w:rsid w:val="00B80992"/>
    <w:rsid w:val="00B81D32"/>
    <w:rsid w:val="00B8416D"/>
    <w:rsid w:val="00B84891"/>
    <w:rsid w:val="00B8498B"/>
    <w:rsid w:val="00B84A6A"/>
    <w:rsid w:val="00B84E5C"/>
    <w:rsid w:val="00B84F9B"/>
    <w:rsid w:val="00B84FC1"/>
    <w:rsid w:val="00B850D9"/>
    <w:rsid w:val="00B8548E"/>
    <w:rsid w:val="00B85511"/>
    <w:rsid w:val="00B856AE"/>
    <w:rsid w:val="00B8613F"/>
    <w:rsid w:val="00B872FD"/>
    <w:rsid w:val="00B87979"/>
    <w:rsid w:val="00B9094C"/>
    <w:rsid w:val="00B90A43"/>
    <w:rsid w:val="00B9124E"/>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5CF4"/>
    <w:rsid w:val="00BA6285"/>
    <w:rsid w:val="00BA69B4"/>
    <w:rsid w:val="00BA6C08"/>
    <w:rsid w:val="00BA7157"/>
    <w:rsid w:val="00BB0030"/>
    <w:rsid w:val="00BB1333"/>
    <w:rsid w:val="00BB2BA3"/>
    <w:rsid w:val="00BB30AC"/>
    <w:rsid w:val="00BB338A"/>
    <w:rsid w:val="00BB4040"/>
    <w:rsid w:val="00BB43B1"/>
    <w:rsid w:val="00BB4676"/>
    <w:rsid w:val="00BB4CEF"/>
    <w:rsid w:val="00BB52AC"/>
    <w:rsid w:val="00BB569F"/>
    <w:rsid w:val="00BB5BCF"/>
    <w:rsid w:val="00BB5FA4"/>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19"/>
    <w:rsid w:val="00BC264E"/>
    <w:rsid w:val="00BC2BDD"/>
    <w:rsid w:val="00BC2FC4"/>
    <w:rsid w:val="00BC3993"/>
    <w:rsid w:val="00BC3FAE"/>
    <w:rsid w:val="00BC4BF8"/>
    <w:rsid w:val="00BC4F1A"/>
    <w:rsid w:val="00BC531A"/>
    <w:rsid w:val="00BC579F"/>
    <w:rsid w:val="00BC5C6D"/>
    <w:rsid w:val="00BC5E51"/>
    <w:rsid w:val="00BC6976"/>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C4D"/>
    <w:rsid w:val="00BD4D6C"/>
    <w:rsid w:val="00BD5613"/>
    <w:rsid w:val="00BD6A54"/>
    <w:rsid w:val="00BD6C81"/>
    <w:rsid w:val="00BE129C"/>
    <w:rsid w:val="00BE1AD5"/>
    <w:rsid w:val="00BE20F9"/>
    <w:rsid w:val="00BE21C2"/>
    <w:rsid w:val="00BE2D5A"/>
    <w:rsid w:val="00BE3EA5"/>
    <w:rsid w:val="00BE3ED4"/>
    <w:rsid w:val="00BE3FFA"/>
    <w:rsid w:val="00BE4151"/>
    <w:rsid w:val="00BE4798"/>
    <w:rsid w:val="00BE4819"/>
    <w:rsid w:val="00BE4D6C"/>
    <w:rsid w:val="00BE4F29"/>
    <w:rsid w:val="00BE5793"/>
    <w:rsid w:val="00BE66E3"/>
    <w:rsid w:val="00BE678E"/>
    <w:rsid w:val="00BE6866"/>
    <w:rsid w:val="00BE6AE5"/>
    <w:rsid w:val="00BE6D53"/>
    <w:rsid w:val="00BE6FD6"/>
    <w:rsid w:val="00BE7046"/>
    <w:rsid w:val="00BE78B8"/>
    <w:rsid w:val="00BE78D1"/>
    <w:rsid w:val="00BE791D"/>
    <w:rsid w:val="00BE794C"/>
    <w:rsid w:val="00BE7C71"/>
    <w:rsid w:val="00BE7F71"/>
    <w:rsid w:val="00BF07B1"/>
    <w:rsid w:val="00BF0846"/>
    <w:rsid w:val="00BF09B8"/>
    <w:rsid w:val="00BF0F5B"/>
    <w:rsid w:val="00BF12EF"/>
    <w:rsid w:val="00BF14F2"/>
    <w:rsid w:val="00BF16E2"/>
    <w:rsid w:val="00BF180D"/>
    <w:rsid w:val="00BF1A03"/>
    <w:rsid w:val="00BF2425"/>
    <w:rsid w:val="00BF2596"/>
    <w:rsid w:val="00BF2A90"/>
    <w:rsid w:val="00BF2BAF"/>
    <w:rsid w:val="00BF3772"/>
    <w:rsid w:val="00BF451E"/>
    <w:rsid w:val="00BF485F"/>
    <w:rsid w:val="00BF4C74"/>
    <w:rsid w:val="00BF548B"/>
    <w:rsid w:val="00BF559A"/>
    <w:rsid w:val="00BF5608"/>
    <w:rsid w:val="00BF587D"/>
    <w:rsid w:val="00BF5F06"/>
    <w:rsid w:val="00BF5F82"/>
    <w:rsid w:val="00BF5FAB"/>
    <w:rsid w:val="00BF609E"/>
    <w:rsid w:val="00BF61F8"/>
    <w:rsid w:val="00BF622E"/>
    <w:rsid w:val="00BF63B8"/>
    <w:rsid w:val="00BF63C6"/>
    <w:rsid w:val="00BF6BA9"/>
    <w:rsid w:val="00BF6E4E"/>
    <w:rsid w:val="00C001BE"/>
    <w:rsid w:val="00C00A78"/>
    <w:rsid w:val="00C00B37"/>
    <w:rsid w:val="00C01A4D"/>
    <w:rsid w:val="00C02102"/>
    <w:rsid w:val="00C0250A"/>
    <w:rsid w:val="00C02644"/>
    <w:rsid w:val="00C02B16"/>
    <w:rsid w:val="00C02C57"/>
    <w:rsid w:val="00C02CAD"/>
    <w:rsid w:val="00C032D6"/>
    <w:rsid w:val="00C033B6"/>
    <w:rsid w:val="00C0358E"/>
    <w:rsid w:val="00C04085"/>
    <w:rsid w:val="00C047D3"/>
    <w:rsid w:val="00C04D31"/>
    <w:rsid w:val="00C04DB2"/>
    <w:rsid w:val="00C05AD6"/>
    <w:rsid w:val="00C06085"/>
    <w:rsid w:val="00C0637C"/>
    <w:rsid w:val="00C063C4"/>
    <w:rsid w:val="00C067F0"/>
    <w:rsid w:val="00C078A6"/>
    <w:rsid w:val="00C07B2B"/>
    <w:rsid w:val="00C10144"/>
    <w:rsid w:val="00C107EC"/>
    <w:rsid w:val="00C10B04"/>
    <w:rsid w:val="00C10CF9"/>
    <w:rsid w:val="00C10F53"/>
    <w:rsid w:val="00C11BD4"/>
    <w:rsid w:val="00C1224E"/>
    <w:rsid w:val="00C122AD"/>
    <w:rsid w:val="00C1282D"/>
    <w:rsid w:val="00C13560"/>
    <w:rsid w:val="00C136DB"/>
    <w:rsid w:val="00C137AC"/>
    <w:rsid w:val="00C138D8"/>
    <w:rsid w:val="00C13B74"/>
    <w:rsid w:val="00C13C0E"/>
    <w:rsid w:val="00C14507"/>
    <w:rsid w:val="00C15191"/>
    <w:rsid w:val="00C15358"/>
    <w:rsid w:val="00C15C92"/>
    <w:rsid w:val="00C15D67"/>
    <w:rsid w:val="00C1731E"/>
    <w:rsid w:val="00C17D60"/>
    <w:rsid w:val="00C17FA2"/>
    <w:rsid w:val="00C21F22"/>
    <w:rsid w:val="00C2226A"/>
    <w:rsid w:val="00C224E8"/>
    <w:rsid w:val="00C230A3"/>
    <w:rsid w:val="00C230C3"/>
    <w:rsid w:val="00C23520"/>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3F1"/>
    <w:rsid w:val="00C3244D"/>
    <w:rsid w:val="00C32BD4"/>
    <w:rsid w:val="00C33E57"/>
    <w:rsid w:val="00C34CEC"/>
    <w:rsid w:val="00C35295"/>
    <w:rsid w:val="00C354B8"/>
    <w:rsid w:val="00C35C11"/>
    <w:rsid w:val="00C35C40"/>
    <w:rsid w:val="00C35E30"/>
    <w:rsid w:val="00C36001"/>
    <w:rsid w:val="00C36B35"/>
    <w:rsid w:val="00C36DC2"/>
    <w:rsid w:val="00C37681"/>
    <w:rsid w:val="00C3771D"/>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A37"/>
    <w:rsid w:val="00C45D1C"/>
    <w:rsid w:val="00C45F3C"/>
    <w:rsid w:val="00C47C36"/>
    <w:rsid w:val="00C47E58"/>
    <w:rsid w:val="00C50150"/>
    <w:rsid w:val="00C51210"/>
    <w:rsid w:val="00C51A42"/>
    <w:rsid w:val="00C51C81"/>
    <w:rsid w:val="00C5301B"/>
    <w:rsid w:val="00C531DB"/>
    <w:rsid w:val="00C538EC"/>
    <w:rsid w:val="00C53ACD"/>
    <w:rsid w:val="00C53B37"/>
    <w:rsid w:val="00C53EB4"/>
    <w:rsid w:val="00C544F1"/>
    <w:rsid w:val="00C547E0"/>
    <w:rsid w:val="00C54C7B"/>
    <w:rsid w:val="00C54C88"/>
    <w:rsid w:val="00C56710"/>
    <w:rsid w:val="00C57467"/>
    <w:rsid w:val="00C576F9"/>
    <w:rsid w:val="00C57C57"/>
    <w:rsid w:val="00C600AE"/>
    <w:rsid w:val="00C600C1"/>
    <w:rsid w:val="00C610ED"/>
    <w:rsid w:val="00C612C6"/>
    <w:rsid w:val="00C61529"/>
    <w:rsid w:val="00C629F3"/>
    <w:rsid w:val="00C62B03"/>
    <w:rsid w:val="00C62BFF"/>
    <w:rsid w:val="00C62DB8"/>
    <w:rsid w:val="00C62FC5"/>
    <w:rsid w:val="00C6321D"/>
    <w:rsid w:val="00C634FD"/>
    <w:rsid w:val="00C641FE"/>
    <w:rsid w:val="00C6434C"/>
    <w:rsid w:val="00C647F7"/>
    <w:rsid w:val="00C64B2B"/>
    <w:rsid w:val="00C64CF4"/>
    <w:rsid w:val="00C6536F"/>
    <w:rsid w:val="00C659AE"/>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87B"/>
    <w:rsid w:val="00C7394E"/>
    <w:rsid w:val="00C74B30"/>
    <w:rsid w:val="00C754FB"/>
    <w:rsid w:val="00C7621A"/>
    <w:rsid w:val="00C765FC"/>
    <w:rsid w:val="00C76929"/>
    <w:rsid w:val="00C76A6F"/>
    <w:rsid w:val="00C76BCF"/>
    <w:rsid w:val="00C76C9F"/>
    <w:rsid w:val="00C77717"/>
    <w:rsid w:val="00C77956"/>
    <w:rsid w:val="00C77C0E"/>
    <w:rsid w:val="00C802CC"/>
    <w:rsid w:val="00C8035F"/>
    <w:rsid w:val="00C804CF"/>
    <w:rsid w:val="00C804DB"/>
    <w:rsid w:val="00C8077A"/>
    <w:rsid w:val="00C807F0"/>
    <w:rsid w:val="00C8175A"/>
    <w:rsid w:val="00C8268C"/>
    <w:rsid w:val="00C82900"/>
    <w:rsid w:val="00C82923"/>
    <w:rsid w:val="00C82BC4"/>
    <w:rsid w:val="00C8311A"/>
    <w:rsid w:val="00C8355D"/>
    <w:rsid w:val="00C83DDE"/>
    <w:rsid w:val="00C83E87"/>
    <w:rsid w:val="00C84138"/>
    <w:rsid w:val="00C843CF"/>
    <w:rsid w:val="00C847EA"/>
    <w:rsid w:val="00C864B7"/>
    <w:rsid w:val="00C86CC1"/>
    <w:rsid w:val="00C86DA6"/>
    <w:rsid w:val="00C8706D"/>
    <w:rsid w:val="00C87118"/>
    <w:rsid w:val="00C901FD"/>
    <w:rsid w:val="00C91451"/>
    <w:rsid w:val="00C914BD"/>
    <w:rsid w:val="00C92A0F"/>
    <w:rsid w:val="00C932B1"/>
    <w:rsid w:val="00C93766"/>
    <w:rsid w:val="00C944AF"/>
    <w:rsid w:val="00C94C61"/>
    <w:rsid w:val="00C94F63"/>
    <w:rsid w:val="00C95109"/>
    <w:rsid w:val="00C958A3"/>
    <w:rsid w:val="00C95941"/>
    <w:rsid w:val="00C968CD"/>
    <w:rsid w:val="00C96F91"/>
    <w:rsid w:val="00C975B0"/>
    <w:rsid w:val="00C9794A"/>
    <w:rsid w:val="00CA0077"/>
    <w:rsid w:val="00CA064A"/>
    <w:rsid w:val="00CA0EB7"/>
    <w:rsid w:val="00CA12AE"/>
    <w:rsid w:val="00CA14C5"/>
    <w:rsid w:val="00CA17C2"/>
    <w:rsid w:val="00CA2269"/>
    <w:rsid w:val="00CA25E4"/>
    <w:rsid w:val="00CA2650"/>
    <w:rsid w:val="00CA27F5"/>
    <w:rsid w:val="00CA35DB"/>
    <w:rsid w:val="00CA425A"/>
    <w:rsid w:val="00CA4280"/>
    <w:rsid w:val="00CA5882"/>
    <w:rsid w:val="00CA5ECF"/>
    <w:rsid w:val="00CA6027"/>
    <w:rsid w:val="00CA6269"/>
    <w:rsid w:val="00CA661D"/>
    <w:rsid w:val="00CA6847"/>
    <w:rsid w:val="00CA7D7D"/>
    <w:rsid w:val="00CB0834"/>
    <w:rsid w:val="00CB08B8"/>
    <w:rsid w:val="00CB0B9E"/>
    <w:rsid w:val="00CB0EBD"/>
    <w:rsid w:val="00CB16FB"/>
    <w:rsid w:val="00CB1AA6"/>
    <w:rsid w:val="00CB291D"/>
    <w:rsid w:val="00CB2FD7"/>
    <w:rsid w:val="00CB3126"/>
    <w:rsid w:val="00CB37FA"/>
    <w:rsid w:val="00CB3B98"/>
    <w:rsid w:val="00CB4807"/>
    <w:rsid w:val="00CB569A"/>
    <w:rsid w:val="00CB5BE1"/>
    <w:rsid w:val="00CB6B86"/>
    <w:rsid w:val="00CB6B9D"/>
    <w:rsid w:val="00CB707C"/>
    <w:rsid w:val="00CB759E"/>
    <w:rsid w:val="00CB7B5E"/>
    <w:rsid w:val="00CB7C08"/>
    <w:rsid w:val="00CC020C"/>
    <w:rsid w:val="00CC08F2"/>
    <w:rsid w:val="00CC18AC"/>
    <w:rsid w:val="00CC1A42"/>
    <w:rsid w:val="00CC2232"/>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C17"/>
    <w:rsid w:val="00CC7F29"/>
    <w:rsid w:val="00CD03F8"/>
    <w:rsid w:val="00CD0DCE"/>
    <w:rsid w:val="00CD0ECE"/>
    <w:rsid w:val="00CD1059"/>
    <w:rsid w:val="00CD130D"/>
    <w:rsid w:val="00CD178A"/>
    <w:rsid w:val="00CD1E14"/>
    <w:rsid w:val="00CD2554"/>
    <w:rsid w:val="00CD264A"/>
    <w:rsid w:val="00CD26AA"/>
    <w:rsid w:val="00CD2869"/>
    <w:rsid w:val="00CD2F29"/>
    <w:rsid w:val="00CD3604"/>
    <w:rsid w:val="00CD38D3"/>
    <w:rsid w:val="00CD3C05"/>
    <w:rsid w:val="00CD3D69"/>
    <w:rsid w:val="00CD3EF7"/>
    <w:rsid w:val="00CD3F73"/>
    <w:rsid w:val="00CD4329"/>
    <w:rsid w:val="00CD569F"/>
    <w:rsid w:val="00CD6423"/>
    <w:rsid w:val="00CD71AA"/>
    <w:rsid w:val="00CD79DB"/>
    <w:rsid w:val="00CE0777"/>
    <w:rsid w:val="00CE0811"/>
    <w:rsid w:val="00CE0821"/>
    <w:rsid w:val="00CE1507"/>
    <w:rsid w:val="00CE210A"/>
    <w:rsid w:val="00CE2627"/>
    <w:rsid w:val="00CE2C52"/>
    <w:rsid w:val="00CE389E"/>
    <w:rsid w:val="00CE3C27"/>
    <w:rsid w:val="00CE4092"/>
    <w:rsid w:val="00CE4233"/>
    <w:rsid w:val="00CE4238"/>
    <w:rsid w:val="00CE4281"/>
    <w:rsid w:val="00CE4D92"/>
    <w:rsid w:val="00CE4EA2"/>
    <w:rsid w:val="00CE5CDC"/>
    <w:rsid w:val="00CE5DE7"/>
    <w:rsid w:val="00CE5F0B"/>
    <w:rsid w:val="00CE5F41"/>
    <w:rsid w:val="00CE6857"/>
    <w:rsid w:val="00CE69EB"/>
    <w:rsid w:val="00CE6CA7"/>
    <w:rsid w:val="00CE71D8"/>
    <w:rsid w:val="00CE7A9D"/>
    <w:rsid w:val="00CF010C"/>
    <w:rsid w:val="00CF0724"/>
    <w:rsid w:val="00CF0884"/>
    <w:rsid w:val="00CF0915"/>
    <w:rsid w:val="00CF113F"/>
    <w:rsid w:val="00CF1947"/>
    <w:rsid w:val="00CF2497"/>
    <w:rsid w:val="00CF27DE"/>
    <w:rsid w:val="00CF2FB2"/>
    <w:rsid w:val="00CF3081"/>
    <w:rsid w:val="00CF3206"/>
    <w:rsid w:val="00CF37FE"/>
    <w:rsid w:val="00CF39B9"/>
    <w:rsid w:val="00CF3B13"/>
    <w:rsid w:val="00CF3B75"/>
    <w:rsid w:val="00CF429F"/>
    <w:rsid w:val="00CF4B66"/>
    <w:rsid w:val="00CF78C7"/>
    <w:rsid w:val="00CF7C1A"/>
    <w:rsid w:val="00CF7D61"/>
    <w:rsid w:val="00CF7EEE"/>
    <w:rsid w:val="00D012A7"/>
    <w:rsid w:val="00D016C6"/>
    <w:rsid w:val="00D020D3"/>
    <w:rsid w:val="00D02184"/>
    <w:rsid w:val="00D02480"/>
    <w:rsid w:val="00D026C3"/>
    <w:rsid w:val="00D02D37"/>
    <w:rsid w:val="00D0377A"/>
    <w:rsid w:val="00D04389"/>
    <w:rsid w:val="00D04422"/>
    <w:rsid w:val="00D0509A"/>
    <w:rsid w:val="00D053F8"/>
    <w:rsid w:val="00D05AB2"/>
    <w:rsid w:val="00D065AB"/>
    <w:rsid w:val="00D069E3"/>
    <w:rsid w:val="00D07152"/>
    <w:rsid w:val="00D0751B"/>
    <w:rsid w:val="00D07692"/>
    <w:rsid w:val="00D076E5"/>
    <w:rsid w:val="00D07877"/>
    <w:rsid w:val="00D10388"/>
    <w:rsid w:val="00D1070A"/>
    <w:rsid w:val="00D10AEC"/>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E88"/>
    <w:rsid w:val="00D22F4A"/>
    <w:rsid w:val="00D237A1"/>
    <w:rsid w:val="00D23ED1"/>
    <w:rsid w:val="00D23F5B"/>
    <w:rsid w:val="00D23FE2"/>
    <w:rsid w:val="00D25908"/>
    <w:rsid w:val="00D2625B"/>
    <w:rsid w:val="00D2632F"/>
    <w:rsid w:val="00D26D75"/>
    <w:rsid w:val="00D27466"/>
    <w:rsid w:val="00D276AE"/>
    <w:rsid w:val="00D27E97"/>
    <w:rsid w:val="00D31025"/>
    <w:rsid w:val="00D311F2"/>
    <w:rsid w:val="00D31463"/>
    <w:rsid w:val="00D32190"/>
    <w:rsid w:val="00D32275"/>
    <w:rsid w:val="00D322BB"/>
    <w:rsid w:val="00D325D8"/>
    <w:rsid w:val="00D33789"/>
    <w:rsid w:val="00D33C09"/>
    <w:rsid w:val="00D33CC1"/>
    <w:rsid w:val="00D33E7B"/>
    <w:rsid w:val="00D34C8C"/>
    <w:rsid w:val="00D3531C"/>
    <w:rsid w:val="00D35CE0"/>
    <w:rsid w:val="00D36179"/>
    <w:rsid w:val="00D3719C"/>
    <w:rsid w:val="00D37435"/>
    <w:rsid w:val="00D3750C"/>
    <w:rsid w:val="00D37AB2"/>
    <w:rsid w:val="00D37AB8"/>
    <w:rsid w:val="00D37E51"/>
    <w:rsid w:val="00D40128"/>
    <w:rsid w:val="00D40175"/>
    <w:rsid w:val="00D4072D"/>
    <w:rsid w:val="00D41030"/>
    <w:rsid w:val="00D4145B"/>
    <w:rsid w:val="00D41AAE"/>
    <w:rsid w:val="00D41F7F"/>
    <w:rsid w:val="00D421AC"/>
    <w:rsid w:val="00D421B2"/>
    <w:rsid w:val="00D42F93"/>
    <w:rsid w:val="00D42FDC"/>
    <w:rsid w:val="00D43085"/>
    <w:rsid w:val="00D43C00"/>
    <w:rsid w:val="00D43D40"/>
    <w:rsid w:val="00D44255"/>
    <w:rsid w:val="00D446E3"/>
    <w:rsid w:val="00D45E7D"/>
    <w:rsid w:val="00D4647F"/>
    <w:rsid w:val="00D46B5E"/>
    <w:rsid w:val="00D477F7"/>
    <w:rsid w:val="00D50341"/>
    <w:rsid w:val="00D508B9"/>
    <w:rsid w:val="00D518EE"/>
    <w:rsid w:val="00D51A9A"/>
    <w:rsid w:val="00D51E9E"/>
    <w:rsid w:val="00D5260E"/>
    <w:rsid w:val="00D52AA8"/>
    <w:rsid w:val="00D52B5A"/>
    <w:rsid w:val="00D52BC3"/>
    <w:rsid w:val="00D53838"/>
    <w:rsid w:val="00D5409A"/>
    <w:rsid w:val="00D542B5"/>
    <w:rsid w:val="00D54D1A"/>
    <w:rsid w:val="00D55142"/>
    <w:rsid w:val="00D55187"/>
    <w:rsid w:val="00D5529A"/>
    <w:rsid w:val="00D5552A"/>
    <w:rsid w:val="00D55593"/>
    <w:rsid w:val="00D55A12"/>
    <w:rsid w:val="00D55C77"/>
    <w:rsid w:val="00D55DC7"/>
    <w:rsid w:val="00D55DE1"/>
    <w:rsid w:val="00D560D5"/>
    <w:rsid w:val="00D56844"/>
    <w:rsid w:val="00D6033D"/>
    <w:rsid w:val="00D608C9"/>
    <w:rsid w:val="00D61CBA"/>
    <w:rsid w:val="00D61D58"/>
    <w:rsid w:val="00D61EC2"/>
    <w:rsid w:val="00D62D7C"/>
    <w:rsid w:val="00D62E59"/>
    <w:rsid w:val="00D6333D"/>
    <w:rsid w:val="00D633E5"/>
    <w:rsid w:val="00D63C40"/>
    <w:rsid w:val="00D6524E"/>
    <w:rsid w:val="00D65A53"/>
    <w:rsid w:val="00D65D95"/>
    <w:rsid w:val="00D65FBA"/>
    <w:rsid w:val="00D66276"/>
    <w:rsid w:val="00D669DC"/>
    <w:rsid w:val="00D67665"/>
    <w:rsid w:val="00D67902"/>
    <w:rsid w:val="00D67B7B"/>
    <w:rsid w:val="00D7070D"/>
    <w:rsid w:val="00D7080B"/>
    <w:rsid w:val="00D70A1B"/>
    <w:rsid w:val="00D71991"/>
    <w:rsid w:val="00D72754"/>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77E89"/>
    <w:rsid w:val="00D80454"/>
    <w:rsid w:val="00D80590"/>
    <w:rsid w:val="00D809D6"/>
    <w:rsid w:val="00D80A32"/>
    <w:rsid w:val="00D80A90"/>
    <w:rsid w:val="00D81364"/>
    <w:rsid w:val="00D814EB"/>
    <w:rsid w:val="00D815CD"/>
    <w:rsid w:val="00D8161D"/>
    <w:rsid w:val="00D81ABC"/>
    <w:rsid w:val="00D82503"/>
    <w:rsid w:val="00D825D4"/>
    <w:rsid w:val="00D8279D"/>
    <w:rsid w:val="00D829EF"/>
    <w:rsid w:val="00D831CB"/>
    <w:rsid w:val="00D834EE"/>
    <w:rsid w:val="00D8416E"/>
    <w:rsid w:val="00D844AE"/>
    <w:rsid w:val="00D84746"/>
    <w:rsid w:val="00D8523F"/>
    <w:rsid w:val="00D85E84"/>
    <w:rsid w:val="00D862DE"/>
    <w:rsid w:val="00D866D1"/>
    <w:rsid w:val="00D86842"/>
    <w:rsid w:val="00D879A3"/>
    <w:rsid w:val="00D90100"/>
    <w:rsid w:val="00D91168"/>
    <w:rsid w:val="00D9225F"/>
    <w:rsid w:val="00D93740"/>
    <w:rsid w:val="00D93E26"/>
    <w:rsid w:val="00D94140"/>
    <w:rsid w:val="00D941E8"/>
    <w:rsid w:val="00D94240"/>
    <w:rsid w:val="00D94343"/>
    <w:rsid w:val="00D94AFA"/>
    <w:rsid w:val="00D94DBA"/>
    <w:rsid w:val="00D95388"/>
    <w:rsid w:val="00D954F1"/>
    <w:rsid w:val="00D95A09"/>
    <w:rsid w:val="00D95B29"/>
    <w:rsid w:val="00D9642C"/>
    <w:rsid w:val="00D97026"/>
    <w:rsid w:val="00D97759"/>
    <w:rsid w:val="00D97BF7"/>
    <w:rsid w:val="00D97DB9"/>
    <w:rsid w:val="00DA0076"/>
    <w:rsid w:val="00DA0A98"/>
    <w:rsid w:val="00DA1514"/>
    <w:rsid w:val="00DA15C1"/>
    <w:rsid w:val="00DA22FB"/>
    <w:rsid w:val="00DA3326"/>
    <w:rsid w:val="00DA37F5"/>
    <w:rsid w:val="00DA3DFC"/>
    <w:rsid w:val="00DA4AEC"/>
    <w:rsid w:val="00DA569C"/>
    <w:rsid w:val="00DA59FF"/>
    <w:rsid w:val="00DA5B56"/>
    <w:rsid w:val="00DA6B15"/>
    <w:rsid w:val="00DA6FAB"/>
    <w:rsid w:val="00DA72AF"/>
    <w:rsid w:val="00DA7790"/>
    <w:rsid w:val="00DA7AF6"/>
    <w:rsid w:val="00DB02C2"/>
    <w:rsid w:val="00DB0F88"/>
    <w:rsid w:val="00DB12FC"/>
    <w:rsid w:val="00DB22A9"/>
    <w:rsid w:val="00DB2703"/>
    <w:rsid w:val="00DB2792"/>
    <w:rsid w:val="00DB2D38"/>
    <w:rsid w:val="00DB39AD"/>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0E51"/>
    <w:rsid w:val="00DC111B"/>
    <w:rsid w:val="00DC2105"/>
    <w:rsid w:val="00DC2991"/>
    <w:rsid w:val="00DC2E33"/>
    <w:rsid w:val="00DC33F6"/>
    <w:rsid w:val="00DC5092"/>
    <w:rsid w:val="00DC5645"/>
    <w:rsid w:val="00DC566D"/>
    <w:rsid w:val="00DC5CDA"/>
    <w:rsid w:val="00DC64A4"/>
    <w:rsid w:val="00DC6A78"/>
    <w:rsid w:val="00DC6BEA"/>
    <w:rsid w:val="00DC70AB"/>
    <w:rsid w:val="00DC70C1"/>
    <w:rsid w:val="00DC7F66"/>
    <w:rsid w:val="00DD0131"/>
    <w:rsid w:val="00DD0230"/>
    <w:rsid w:val="00DD02FB"/>
    <w:rsid w:val="00DD087F"/>
    <w:rsid w:val="00DD0C60"/>
    <w:rsid w:val="00DD1B0D"/>
    <w:rsid w:val="00DD2B83"/>
    <w:rsid w:val="00DD3DF7"/>
    <w:rsid w:val="00DD4A2B"/>
    <w:rsid w:val="00DD4A9B"/>
    <w:rsid w:val="00DD597F"/>
    <w:rsid w:val="00DD61D7"/>
    <w:rsid w:val="00DD651B"/>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08EA"/>
    <w:rsid w:val="00DF0F1C"/>
    <w:rsid w:val="00DF1804"/>
    <w:rsid w:val="00DF29E0"/>
    <w:rsid w:val="00DF29E9"/>
    <w:rsid w:val="00DF3218"/>
    <w:rsid w:val="00DF356D"/>
    <w:rsid w:val="00DF3616"/>
    <w:rsid w:val="00DF3DC3"/>
    <w:rsid w:val="00DF3E7C"/>
    <w:rsid w:val="00DF41D9"/>
    <w:rsid w:val="00DF43FF"/>
    <w:rsid w:val="00DF45A6"/>
    <w:rsid w:val="00DF4979"/>
    <w:rsid w:val="00DF4E14"/>
    <w:rsid w:val="00DF50EB"/>
    <w:rsid w:val="00DF5F5C"/>
    <w:rsid w:val="00DF6ABC"/>
    <w:rsid w:val="00DF6B58"/>
    <w:rsid w:val="00DF6D5F"/>
    <w:rsid w:val="00DF6E0D"/>
    <w:rsid w:val="00DF725A"/>
    <w:rsid w:val="00DF74B6"/>
    <w:rsid w:val="00DF7973"/>
    <w:rsid w:val="00E00821"/>
    <w:rsid w:val="00E01DD2"/>
    <w:rsid w:val="00E01E3C"/>
    <w:rsid w:val="00E020CA"/>
    <w:rsid w:val="00E02488"/>
    <w:rsid w:val="00E02570"/>
    <w:rsid w:val="00E02F52"/>
    <w:rsid w:val="00E02F59"/>
    <w:rsid w:val="00E03332"/>
    <w:rsid w:val="00E03F76"/>
    <w:rsid w:val="00E04707"/>
    <w:rsid w:val="00E0484C"/>
    <w:rsid w:val="00E04C49"/>
    <w:rsid w:val="00E051C3"/>
    <w:rsid w:val="00E057EE"/>
    <w:rsid w:val="00E0685E"/>
    <w:rsid w:val="00E06D8C"/>
    <w:rsid w:val="00E07226"/>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B00"/>
    <w:rsid w:val="00E13DD5"/>
    <w:rsid w:val="00E13E11"/>
    <w:rsid w:val="00E13E7E"/>
    <w:rsid w:val="00E142C3"/>
    <w:rsid w:val="00E14368"/>
    <w:rsid w:val="00E145AC"/>
    <w:rsid w:val="00E14AFA"/>
    <w:rsid w:val="00E14F65"/>
    <w:rsid w:val="00E1527D"/>
    <w:rsid w:val="00E155EA"/>
    <w:rsid w:val="00E1661F"/>
    <w:rsid w:val="00E17752"/>
    <w:rsid w:val="00E17904"/>
    <w:rsid w:val="00E17BD7"/>
    <w:rsid w:val="00E20093"/>
    <w:rsid w:val="00E207CE"/>
    <w:rsid w:val="00E20F2E"/>
    <w:rsid w:val="00E216EB"/>
    <w:rsid w:val="00E217D2"/>
    <w:rsid w:val="00E22703"/>
    <w:rsid w:val="00E22AB2"/>
    <w:rsid w:val="00E22E13"/>
    <w:rsid w:val="00E236D5"/>
    <w:rsid w:val="00E2382A"/>
    <w:rsid w:val="00E242C4"/>
    <w:rsid w:val="00E244F4"/>
    <w:rsid w:val="00E2544B"/>
    <w:rsid w:val="00E25472"/>
    <w:rsid w:val="00E2573A"/>
    <w:rsid w:val="00E2638A"/>
    <w:rsid w:val="00E268B9"/>
    <w:rsid w:val="00E268BD"/>
    <w:rsid w:val="00E27102"/>
    <w:rsid w:val="00E27186"/>
    <w:rsid w:val="00E27305"/>
    <w:rsid w:val="00E27548"/>
    <w:rsid w:val="00E27D33"/>
    <w:rsid w:val="00E309D8"/>
    <w:rsid w:val="00E30AFF"/>
    <w:rsid w:val="00E30C38"/>
    <w:rsid w:val="00E313A6"/>
    <w:rsid w:val="00E31580"/>
    <w:rsid w:val="00E31941"/>
    <w:rsid w:val="00E3198D"/>
    <w:rsid w:val="00E324FA"/>
    <w:rsid w:val="00E32F08"/>
    <w:rsid w:val="00E331DA"/>
    <w:rsid w:val="00E33522"/>
    <w:rsid w:val="00E33D4F"/>
    <w:rsid w:val="00E34172"/>
    <w:rsid w:val="00E3437E"/>
    <w:rsid w:val="00E34558"/>
    <w:rsid w:val="00E34C34"/>
    <w:rsid w:val="00E358DA"/>
    <w:rsid w:val="00E35EFD"/>
    <w:rsid w:val="00E367AB"/>
    <w:rsid w:val="00E37063"/>
    <w:rsid w:val="00E370B2"/>
    <w:rsid w:val="00E37B30"/>
    <w:rsid w:val="00E4119C"/>
    <w:rsid w:val="00E41237"/>
    <w:rsid w:val="00E41583"/>
    <w:rsid w:val="00E415BC"/>
    <w:rsid w:val="00E419A7"/>
    <w:rsid w:val="00E419EE"/>
    <w:rsid w:val="00E42E97"/>
    <w:rsid w:val="00E43525"/>
    <w:rsid w:val="00E43D55"/>
    <w:rsid w:val="00E445DE"/>
    <w:rsid w:val="00E44A40"/>
    <w:rsid w:val="00E458C2"/>
    <w:rsid w:val="00E45DA2"/>
    <w:rsid w:val="00E46223"/>
    <w:rsid w:val="00E4662F"/>
    <w:rsid w:val="00E4687F"/>
    <w:rsid w:val="00E471E5"/>
    <w:rsid w:val="00E47BE0"/>
    <w:rsid w:val="00E47C1A"/>
    <w:rsid w:val="00E503E2"/>
    <w:rsid w:val="00E507B5"/>
    <w:rsid w:val="00E50955"/>
    <w:rsid w:val="00E50CCF"/>
    <w:rsid w:val="00E50EE6"/>
    <w:rsid w:val="00E51143"/>
    <w:rsid w:val="00E511D6"/>
    <w:rsid w:val="00E5171F"/>
    <w:rsid w:val="00E5198E"/>
    <w:rsid w:val="00E5288F"/>
    <w:rsid w:val="00E52EDC"/>
    <w:rsid w:val="00E5353D"/>
    <w:rsid w:val="00E535C2"/>
    <w:rsid w:val="00E5393F"/>
    <w:rsid w:val="00E53BD4"/>
    <w:rsid w:val="00E545EA"/>
    <w:rsid w:val="00E54792"/>
    <w:rsid w:val="00E55F41"/>
    <w:rsid w:val="00E570CE"/>
    <w:rsid w:val="00E5716E"/>
    <w:rsid w:val="00E572C0"/>
    <w:rsid w:val="00E573F2"/>
    <w:rsid w:val="00E57557"/>
    <w:rsid w:val="00E57E43"/>
    <w:rsid w:val="00E606C4"/>
    <w:rsid w:val="00E6092C"/>
    <w:rsid w:val="00E60993"/>
    <w:rsid w:val="00E61C1E"/>
    <w:rsid w:val="00E62C1E"/>
    <w:rsid w:val="00E62F1F"/>
    <w:rsid w:val="00E63174"/>
    <w:rsid w:val="00E63652"/>
    <w:rsid w:val="00E64913"/>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5A6F"/>
    <w:rsid w:val="00E85E48"/>
    <w:rsid w:val="00E86E20"/>
    <w:rsid w:val="00E8727A"/>
    <w:rsid w:val="00E8743F"/>
    <w:rsid w:val="00E87A44"/>
    <w:rsid w:val="00E87D7D"/>
    <w:rsid w:val="00E87EE6"/>
    <w:rsid w:val="00E90196"/>
    <w:rsid w:val="00E90224"/>
    <w:rsid w:val="00E908E3"/>
    <w:rsid w:val="00E90FB5"/>
    <w:rsid w:val="00E913D2"/>
    <w:rsid w:val="00E91982"/>
    <w:rsid w:val="00E91D0E"/>
    <w:rsid w:val="00E92497"/>
    <w:rsid w:val="00E92878"/>
    <w:rsid w:val="00E933C6"/>
    <w:rsid w:val="00E935D8"/>
    <w:rsid w:val="00E937B4"/>
    <w:rsid w:val="00E93A31"/>
    <w:rsid w:val="00E943D8"/>
    <w:rsid w:val="00E949B1"/>
    <w:rsid w:val="00E9500B"/>
    <w:rsid w:val="00E95510"/>
    <w:rsid w:val="00E9595E"/>
    <w:rsid w:val="00E95B14"/>
    <w:rsid w:val="00E96DBB"/>
    <w:rsid w:val="00E97990"/>
    <w:rsid w:val="00E97AF7"/>
    <w:rsid w:val="00E97D74"/>
    <w:rsid w:val="00E97FA2"/>
    <w:rsid w:val="00EA0622"/>
    <w:rsid w:val="00EA0802"/>
    <w:rsid w:val="00EA1371"/>
    <w:rsid w:val="00EA2512"/>
    <w:rsid w:val="00EA27AF"/>
    <w:rsid w:val="00EA2A6B"/>
    <w:rsid w:val="00EA2D96"/>
    <w:rsid w:val="00EA2DA3"/>
    <w:rsid w:val="00EA34C7"/>
    <w:rsid w:val="00EA458D"/>
    <w:rsid w:val="00EA4A23"/>
    <w:rsid w:val="00EA4D82"/>
    <w:rsid w:val="00EA5069"/>
    <w:rsid w:val="00EA614B"/>
    <w:rsid w:val="00EA6363"/>
    <w:rsid w:val="00EA73E5"/>
    <w:rsid w:val="00EA756D"/>
    <w:rsid w:val="00EA7889"/>
    <w:rsid w:val="00EA7EBD"/>
    <w:rsid w:val="00EB04B0"/>
    <w:rsid w:val="00EB10C7"/>
    <w:rsid w:val="00EB1579"/>
    <w:rsid w:val="00EB165D"/>
    <w:rsid w:val="00EB1DC2"/>
    <w:rsid w:val="00EB2529"/>
    <w:rsid w:val="00EB2EF8"/>
    <w:rsid w:val="00EB3D45"/>
    <w:rsid w:val="00EB3F66"/>
    <w:rsid w:val="00EB448D"/>
    <w:rsid w:val="00EB46DC"/>
    <w:rsid w:val="00EB4C2C"/>
    <w:rsid w:val="00EB5036"/>
    <w:rsid w:val="00EB6A69"/>
    <w:rsid w:val="00EB7A71"/>
    <w:rsid w:val="00EC01BC"/>
    <w:rsid w:val="00EC0288"/>
    <w:rsid w:val="00EC0CC5"/>
    <w:rsid w:val="00EC0F6E"/>
    <w:rsid w:val="00EC155F"/>
    <w:rsid w:val="00EC16BA"/>
    <w:rsid w:val="00EC18AD"/>
    <w:rsid w:val="00EC1BFF"/>
    <w:rsid w:val="00EC2205"/>
    <w:rsid w:val="00EC31C5"/>
    <w:rsid w:val="00EC36BD"/>
    <w:rsid w:val="00EC3A15"/>
    <w:rsid w:val="00EC3C8D"/>
    <w:rsid w:val="00EC3E0B"/>
    <w:rsid w:val="00EC4513"/>
    <w:rsid w:val="00EC49A8"/>
    <w:rsid w:val="00EC5032"/>
    <w:rsid w:val="00EC51AC"/>
    <w:rsid w:val="00EC5799"/>
    <w:rsid w:val="00EC57DE"/>
    <w:rsid w:val="00EC60A9"/>
    <w:rsid w:val="00EC6191"/>
    <w:rsid w:val="00EC67A6"/>
    <w:rsid w:val="00EC73B3"/>
    <w:rsid w:val="00EC7BF1"/>
    <w:rsid w:val="00ED03C4"/>
    <w:rsid w:val="00ED0BA4"/>
    <w:rsid w:val="00ED2337"/>
    <w:rsid w:val="00ED2E67"/>
    <w:rsid w:val="00ED2FEE"/>
    <w:rsid w:val="00ED3017"/>
    <w:rsid w:val="00ED3185"/>
    <w:rsid w:val="00ED31EF"/>
    <w:rsid w:val="00ED3317"/>
    <w:rsid w:val="00ED3D37"/>
    <w:rsid w:val="00ED3F97"/>
    <w:rsid w:val="00ED4333"/>
    <w:rsid w:val="00ED4790"/>
    <w:rsid w:val="00ED4826"/>
    <w:rsid w:val="00ED49A3"/>
    <w:rsid w:val="00ED4B67"/>
    <w:rsid w:val="00ED5117"/>
    <w:rsid w:val="00ED5606"/>
    <w:rsid w:val="00ED58CE"/>
    <w:rsid w:val="00ED594C"/>
    <w:rsid w:val="00ED60D0"/>
    <w:rsid w:val="00ED66DF"/>
    <w:rsid w:val="00ED6E3C"/>
    <w:rsid w:val="00ED7323"/>
    <w:rsid w:val="00ED73B0"/>
    <w:rsid w:val="00ED749D"/>
    <w:rsid w:val="00ED7F33"/>
    <w:rsid w:val="00EE056E"/>
    <w:rsid w:val="00EE0BFD"/>
    <w:rsid w:val="00EE1268"/>
    <w:rsid w:val="00EE1777"/>
    <w:rsid w:val="00EE1A0F"/>
    <w:rsid w:val="00EE1B71"/>
    <w:rsid w:val="00EE1C51"/>
    <w:rsid w:val="00EE2420"/>
    <w:rsid w:val="00EE2673"/>
    <w:rsid w:val="00EE29B8"/>
    <w:rsid w:val="00EE2A6A"/>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17E"/>
    <w:rsid w:val="00EF02FC"/>
    <w:rsid w:val="00EF0DB1"/>
    <w:rsid w:val="00EF0E49"/>
    <w:rsid w:val="00EF2B37"/>
    <w:rsid w:val="00EF2BE2"/>
    <w:rsid w:val="00EF2C94"/>
    <w:rsid w:val="00EF2F32"/>
    <w:rsid w:val="00EF389B"/>
    <w:rsid w:val="00EF4A28"/>
    <w:rsid w:val="00EF519D"/>
    <w:rsid w:val="00EF51AA"/>
    <w:rsid w:val="00EF535D"/>
    <w:rsid w:val="00EF5562"/>
    <w:rsid w:val="00EF5892"/>
    <w:rsid w:val="00EF742E"/>
    <w:rsid w:val="00EF7E9E"/>
    <w:rsid w:val="00F0001C"/>
    <w:rsid w:val="00F00977"/>
    <w:rsid w:val="00F01271"/>
    <w:rsid w:val="00F0165D"/>
    <w:rsid w:val="00F01E42"/>
    <w:rsid w:val="00F01EF9"/>
    <w:rsid w:val="00F021CB"/>
    <w:rsid w:val="00F025F5"/>
    <w:rsid w:val="00F029B2"/>
    <w:rsid w:val="00F02B99"/>
    <w:rsid w:val="00F030E3"/>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41F"/>
    <w:rsid w:val="00F115F4"/>
    <w:rsid w:val="00F11858"/>
    <w:rsid w:val="00F11F63"/>
    <w:rsid w:val="00F12001"/>
    <w:rsid w:val="00F1213C"/>
    <w:rsid w:val="00F12278"/>
    <w:rsid w:val="00F1250C"/>
    <w:rsid w:val="00F129E5"/>
    <w:rsid w:val="00F12FAC"/>
    <w:rsid w:val="00F134D6"/>
    <w:rsid w:val="00F1395D"/>
    <w:rsid w:val="00F13F4A"/>
    <w:rsid w:val="00F14888"/>
    <w:rsid w:val="00F14A98"/>
    <w:rsid w:val="00F1560B"/>
    <w:rsid w:val="00F15C3D"/>
    <w:rsid w:val="00F16045"/>
    <w:rsid w:val="00F162B5"/>
    <w:rsid w:val="00F165AB"/>
    <w:rsid w:val="00F167C0"/>
    <w:rsid w:val="00F16809"/>
    <w:rsid w:val="00F17481"/>
    <w:rsid w:val="00F176F3"/>
    <w:rsid w:val="00F17874"/>
    <w:rsid w:val="00F17D22"/>
    <w:rsid w:val="00F17F69"/>
    <w:rsid w:val="00F20476"/>
    <w:rsid w:val="00F20A08"/>
    <w:rsid w:val="00F21319"/>
    <w:rsid w:val="00F215F7"/>
    <w:rsid w:val="00F21887"/>
    <w:rsid w:val="00F22E83"/>
    <w:rsid w:val="00F23591"/>
    <w:rsid w:val="00F23614"/>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30CE"/>
    <w:rsid w:val="00F332AF"/>
    <w:rsid w:val="00F332B5"/>
    <w:rsid w:val="00F336C8"/>
    <w:rsid w:val="00F336DF"/>
    <w:rsid w:val="00F33A29"/>
    <w:rsid w:val="00F348E7"/>
    <w:rsid w:val="00F34CA4"/>
    <w:rsid w:val="00F350A7"/>
    <w:rsid w:val="00F36008"/>
    <w:rsid w:val="00F36836"/>
    <w:rsid w:val="00F373C4"/>
    <w:rsid w:val="00F374CC"/>
    <w:rsid w:val="00F374EE"/>
    <w:rsid w:val="00F40059"/>
    <w:rsid w:val="00F4042C"/>
    <w:rsid w:val="00F40BC3"/>
    <w:rsid w:val="00F40E1A"/>
    <w:rsid w:val="00F40E5B"/>
    <w:rsid w:val="00F4148A"/>
    <w:rsid w:val="00F41DC1"/>
    <w:rsid w:val="00F41E9A"/>
    <w:rsid w:val="00F41FF0"/>
    <w:rsid w:val="00F427DE"/>
    <w:rsid w:val="00F43421"/>
    <w:rsid w:val="00F4370F"/>
    <w:rsid w:val="00F4386E"/>
    <w:rsid w:val="00F43B13"/>
    <w:rsid w:val="00F447C9"/>
    <w:rsid w:val="00F44D4A"/>
    <w:rsid w:val="00F45311"/>
    <w:rsid w:val="00F455DA"/>
    <w:rsid w:val="00F45680"/>
    <w:rsid w:val="00F460C1"/>
    <w:rsid w:val="00F46225"/>
    <w:rsid w:val="00F46816"/>
    <w:rsid w:val="00F46BEB"/>
    <w:rsid w:val="00F46D27"/>
    <w:rsid w:val="00F4746E"/>
    <w:rsid w:val="00F475A3"/>
    <w:rsid w:val="00F5025F"/>
    <w:rsid w:val="00F50AA8"/>
    <w:rsid w:val="00F51456"/>
    <w:rsid w:val="00F5194D"/>
    <w:rsid w:val="00F52923"/>
    <w:rsid w:val="00F534F2"/>
    <w:rsid w:val="00F54045"/>
    <w:rsid w:val="00F54B3B"/>
    <w:rsid w:val="00F55267"/>
    <w:rsid w:val="00F55591"/>
    <w:rsid w:val="00F560C3"/>
    <w:rsid w:val="00F561F5"/>
    <w:rsid w:val="00F574B8"/>
    <w:rsid w:val="00F5755C"/>
    <w:rsid w:val="00F57882"/>
    <w:rsid w:val="00F6017A"/>
    <w:rsid w:val="00F601CC"/>
    <w:rsid w:val="00F607B3"/>
    <w:rsid w:val="00F61AB6"/>
    <w:rsid w:val="00F61B0F"/>
    <w:rsid w:val="00F63435"/>
    <w:rsid w:val="00F636E6"/>
    <w:rsid w:val="00F63ABC"/>
    <w:rsid w:val="00F6473D"/>
    <w:rsid w:val="00F650F6"/>
    <w:rsid w:val="00F655AD"/>
    <w:rsid w:val="00F65E15"/>
    <w:rsid w:val="00F65E77"/>
    <w:rsid w:val="00F65FD9"/>
    <w:rsid w:val="00F6614C"/>
    <w:rsid w:val="00F66EF7"/>
    <w:rsid w:val="00F6746D"/>
    <w:rsid w:val="00F6760D"/>
    <w:rsid w:val="00F676B1"/>
    <w:rsid w:val="00F707B9"/>
    <w:rsid w:val="00F70AC0"/>
    <w:rsid w:val="00F71499"/>
    <w:rsid w:val="00F715F4"/>
    <w:rsid w:val="00F71722"/>
    <w:rsid w:val="00F718B0"/>
    <w:rsid w:val="00F71E1E"/>
    <w:rsid w:val="00F72213"/>
    <w:rsid w:val="00F7268E"/>
    <w:rsid w:val="00F7312B"/>
    <w:rsid w:val="00F731B0"/>
    <w:rsid w:val="00F731B6"/>
    <w:rsid w:val="00F738CC"/>
    <w:rsid w:val="00F73BA6"/>
    <w:rsid w:val="00F74127"/>
    <w:rsid w:val="00F74565"/>
    <w:rsid w:val="00F752BC"/>
    <w:rsid w:val="00F75751"/>
    <w:rsid w:val="00F75BA3"/>
    <w:rsid w:val="00F75E88"/>
    <w:rsid w:val="00F7783B"/>
    <w:rsid w:val="00F815CC"/>
    <w:rsid w:val="00F82673"/>
    <w:rsid w:val="00F826AB"/>
    <w:rsid w:val="00F8363D"/>
    <w:rsid w:val="00F8470C"/>
    <w:rsid w:val="00F853E6"/>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2A0"/>
    <w:rsid w:val="00F95581"/>
    <w:rsid w:val="00F95681"/>
    <w:rsid w:val="00F95D36"/>
    <w:rsid w:val="00F968C2"/>
    <w:rsid w:val="00F97184"/>
    <w:rsid w:val="00F9725D"/>
    <w:rsid w:val="00F974FB"/>
    <w:rsid w:val="00F976CF"/>
    <w:rsid w:val="00F97738"/>
    <w:rsid w:val="00F97976"/>
    <w:rsid w:val="00F97B31"/>
    <w:rsid w:val="00F97B9C"/>
    <w:rsid w:val="00F97FAD"/>
    <w:rsid w:val="00FA0532"/>
    <w:rsid w:val="00FA1AA2"/>
    <w:rsid w:val="00FA1AF3"/>
    <w:rsid w:val="00FA27EC"/>
    <w:rsid w:val="00FA2901"/>
    <w:rsid w:val="00FA38B7"/>
    <w:rsid w:val="00FA4482"/>
    <w:rsid w:val="00FA59D4"/>
    <w:rsid w:val="00FA5BBF"/>
    <w:rsid w:val="00FA5F7F"/>
    <w:rsid w:val="00FA6651"/>
    <w:rsid w:val="00FA67CA"/>
    <w:rsid w:val="00FA6C8A"/>
    <w:rsid w:val="00FA6D29"/>
    <w:rsid w:val="00FA731F"/>
    <w:rsid w:val="00FA7F1F"/>
    <w:rsid w:val="00FB00D7"/>
    <w:rsid w:val="00FB0496"/>
    <w:rsid w:val="00FB0DBA"/>
    <w:rsid w:val="00FB0E63"/>
    <w:rsid w:val="00FB1171"/>
    <w:rsid w:val="00FB1492"/>
    <w:rsid w:val="00FB1BEF"/>
    <w:rsid w:val="00FB2CDB"/>
    <w:rsid w:val="00FB37B1"/>
    <w:rsid w:val="00FB3D8D"/>
    <w:rsid w:val="00FB4650"/>
    <w:rsid w:val="00FB4948"/>
    <w:rsid w:val="00FB4F27"/>
    <w:rsid w:val="00FB5E7E"/>
    <w:rsid w:val="00FB602A"/>
    <w:rsid w:val="00FB607D"/>
    <w:rsid w:val="00FB63BE"/>
    <w:rsid w:val="00FB656A"/>
    <w:rsid w:val="00FB6998"/>
    <w:rsid w:val="00FB6CFE"/>
    <w:rsid w:val="00FB715E"/>
    <w:rsid w:val="00FB72A5"/>
    <w:rsid w:val="00FC06A3"/>
    <w:rsid w:val="00FC0892"/>
    <w:rsid w:val="00FC3205"/>
    <w:rsid w:val="00FC3FC5"/>
    <w:rsid w:val="00FC4973"/>
    <w:rsid w:val="00FC4AA8"/>
    <w:rsid w:val="00FC5379"/>
    <w:rsid w:val="00FC566E"/>
    <w:rsid w:val="00FC5F6F"/>
    <w:rsid w:val="00FC6860"/>
    <w:rsid w:val="00FC73DF"/>
    <w:rsid w:val="00FC75B8"/>
    <w:rsid w:val="00FC7BCB"/>
    <w:rsid w:val="00FD0032"/>
    <w:rsid w:val="00FD024A"/>
    <w:rsid w:val="00FD0466"/>
    <w:rsid w:val="00FD1573"/>
    <w:rsid w:val="00FD1AB8"/>
    <w:rsid w:val="00FD1EB6"/>
    <w:rsid w:val="00FD2AD0"/>
    <w:rsid w:val="00FD3140"/>
    <w:rsid w:val="00FD31ED"/>
    <w:rsid w:val="00FD3A97"/>
    <w:rsid w:val="00FD40C8"/>
    <w:rsid w:val="00FD4999"/>
    <w:rsid w:val="00FD49FE"/>
    <w:rsid w:val="00FD58B1"/>
    <w:rsid w:val="00FD6A91"/>
    <w:rsid w:val="00FE043F"/>
    <w:rsid w:val="00FE0A9A"/>
    <w:rsid w:val="00FE0B3C"/>
    <w:rsid w:val="00FE0BA2"/>
    <w:rsid w:val="00FE0F1A"/>
    <w:rsid w:val="00FE143F"/>
    <w:rsid w:val="00FE1AB2"/>
    <w:rsid w:val="00FE2094"/>
    <w:rsid w:val="00FE2304"/>
    <w:rsid w:val="00FE278C"/>
    <w:rsid w:val="00FE29D5"/>
    <w:rsid w:val="00FE316D"/>
    <w:rsid w:val="00FE4A33"/>
    <w:rsid w:val="00FE4ABF"/>
    <w:rsid w:val="00FE50AC"/>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4ED"/>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FCE81DA-0945-4EA7-ACEA-177CC96F9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F047FB"/>
    <w:rPr>
      <w:rFonts w:ascii="Cambria" w:hAnsi="Cambria" w:cs="Times New Roman"/>
      <w:b/>
      <w:kern w:val="32"/>
      <w:sz w:val="32"/>
      <w:lang w:val="es-ES" w:eastAsia="es-ES"/>
    </w:rPr>
  </w:style>
  <w:style w:type="character" w:customStyle="1" w:styleId="Ttulo3Car">
    <w:name w:val="Título 3 Car"/>
    <w:basedOn w:val="Fuentedeprrafopredeter"/>
    <w:link w:val="Ttulo3"/>
    <w:uiPriority w:val="9"/>
    <w:semiHidden/>
    <w:locked/>
    <w:rsid w:val="005842CF"/>
    <w:rPr>
      <w:rFonts w:ascii="Cambria" w:hAnsi="Cambria" w:cs="Times New Roman"/>
      <w:b/>
      <w:sz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link w:val="4GChar"/>
    <w:uiPriority w:val="99"/>
    <w:qFormat/>
    <w:locked/>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basedOn w:val="Fuentedeprrafopredete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99045D"/>
    <w:rPr>
      <w:rFonts w:ascii="Times New Roman" w:hAnsi="Times New Roman" w:cs="Times New Roman"/>
      <w:sz w:val="20"/>
      <w:lang w:val="es-ES" w:eastAsia="es-ES"/>
    </w:rPr>
  </w:style>
  <w:style w:type="paragraph" w:styleId="Prrafodelista">
    <w:name w:val="List Paragraph"/>
    <w:aliases w:val="Colorful List - Accent 11,Ha,List Paragraph1,lp1"/>
    <w:basedOn w:val="Normal"/>
    <w:link w:val="PrrafodelistaCar"/>
    <w:uiPriority w:val="34"/>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basedOn w:val="Fuentedeprrafopredete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basedOn w:val="Fuentedeprrafopredete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basedOn w:val="Fuentedeprrafopredete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sz w:val="24"/>
      <w:lang w:val="es-ES" w:eastAsia="es-ES"/>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basedOn w:val="Fuentedeprrafopredete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basedOn w:val="Fuentedeprrafopredete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basedOn w:val="Fuentedeprrafopredete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basedOn w:val="Fuentedeprrafopredete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basedOn w:val="Fuentedeprrafopredete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basedOn w:val="Textoindependiente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basedOn w:val="Fuentedeprrafopredeter"/>
    <w:uiPriority w:val="99"/>
    <w:unhideWhenUsed/>
    <w:rsid w:val="00041210"/>
    <w:rPr>
      <w:rFonts w:cs="Times New Roman"/>
      <w:color w:val="0000FF"/>
      <w:u w:val="single"/>
    </w:rPr>
  </w:style>
  <w:style w:type="character" w:customStyle="1" w:styleId="a">
    <w:name w:val="a"/>
    <w:rsid w:val="00930751"/>
  </w:style>
  <w:style w:type="character" w:customStyle="1" w:styleId="l7">
    <w:name w:val="l7"/>
    <w:rsid w:val="00930751"/>
  </w:style>
  <w:style w:type="character" w:customStyle="1" w:styleId="l6">
    <w:name w:val="l6"/>
    <w:rsid w:val="00930751"/>
  </w:style>
  <w:style w:type="character" w:customStyle="1" w:styleId="l8">
    <w:name w:val="l8"/>
    <w:rsid w:val="00930751"/>
  </w:style>
  <w:style w:type="character" w:customStyle="1" w:styleId="l">
    <w:name w:val="l"/>
    <w:rsid w:val="00930751"/>
  </w:style>
  <w:style w:type="character" w:customStyle="1" w:styleId="l9">
    <w:name w:val="l9"/>
    <w:rsid w:val="00930751"/>
  </w:style>
  <w:style w:type="character" w:customStyle="1" w:styleId="l10">
    <w:name w:val="l10"/>
    <w:rsid w:val="00930751"/>
  </w:style>
  <w:style w:type="character" w:customStyle="1" w:styleId="l11">
    <w:name w:val="l11"/>
    <w:rsid w:val="00236188"/>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CB6B86"/>
    <w:rPr>
      <w:rFonts w:ascii="Courier New" w:hAnsi="Courier New" w:cs="Times New Roman"/>
      <w:sz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basedOn w:val="Fuentedeprrafopredeter"/>
    <w:link w:val="Textoindependiente3"/>
    <w:uiPriority w:val="99"/>
    <w:locked/>
    <w:rsid w:val="00750723"/>
    <w:rPr>
      <w:rFonts w:ascii="Arial" w:hAnsi="Arial" w:cs="Times New Roman"/>
      <w:sz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locked/>
    <w:rsid w:val="006A64CC"/>
    <w:rPr>
      <w:rFonts w:ascii="Arial" w:hAnsi="Arial" w:cs="Arial"/>
      <w:b/>
      <w:bCs/>
      <w:i/>
      <w:iCs/>
      <w:sz w:val="24"/>
      <w:szCs w:val="24"/>
    </w:rPr>
  </w:style>
  <w:style w:type="character" w:customStyle="1" w:styleId="PrrafodelistaCar">
    <w:name w:val="Párrafo de lista Car"/>
    <w:aliases w:val="Colorful List - Accent 11 Car,Ha Car,List Paragraph1 Car,lp1 Car"/>
    <w:link w:val="Prrafodelista"/>
    <w:uiPriority w:val="34"/>
    <w:locked/>
    <w:rsid w:val="00785FA3"/>
    <w:rPr>
      <w:rFonts w:ascii="Courier New" w:hAnsi="Courier New"/>
      <w:sz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B43247"/>
    <w:pPr>
      <w:widowControl/>
      <w:autoSpaceDE/>
      <w:autoSpaceDN/>
      <w:adjustRightInd/>
      <w:jc w:val="both"/>
    </w:pPr>
    <w:rPr>
      <w:rFonts w:ascii="Calibri" w:hAnsi="Calibri" w:cs="Times New Roman"/>
      <w:sz w:val="20"/>
      <w:szCs w:val="20"/>
      <w:vertAlign w:val="superscript"/>
    </w:rPr>
  </w:style>
  <w:style w:type="character" w:styleId="Refdecomentario">
    <w:name w:val="annotation reference"/>
    <w:basedOn w:val="Fuentedeprrafopredeter"/>
    <w:uiPriority w:val="99"/>
    <w:semiHidden/>
    <w:unhideWhenUsed/>
    <w:rsid w:val="00B34747"/>
    <w:rPr>
      <w:rFonts w:cs="Times New Roman"/>
      <w:sz w:val="16"/>
      <w:szCs w:val="16"/>
    </w:rPr>
  </w:style>
  <w:style w:type="paragraph" w:styleId="Textocomentario">
    <w:name w:val="annotation text"/>
    <w:basedOn w:val="Normal"/>
    <w:link w:val="TextocomentarioCar"/>
    <w:uiPriority w:val="99"/>
    <w:semiHidden/>
    <w:unhideWhenUsed/>
    <w:rsid w:val="00B34747"/>
    <w:rPr>
      <w:sz w:val="20"/>
      <w:szCs w:val="20"/>
    </w:rPr>
  </w:style>
  <w:style w:type="character" w:customStyle="1" w:styleId="TextocomentarioCar">
    <w:name w:val="Texto comentario Car"/>
    <w:basedOn w:val="Fuentedeprrafopredeter"/>
    <w:link w:val="Textocomentario"/>
    <w:uiPriority w:val="99"/>
    <w:semiHidden/>
    <w:locked/>
    <w:rsid w:val="00B34747"/>
    <w:rPr>
      <w:rFonts w:ascii="Courier New" w:hAnsi="Courier New" w:cs="Verdana"/>
    </w:rPr>
  </w:style>
  <w:style w:type="paragraph" w:styleId="Asuntodelcomentario">
    <w:name w:val="annotation subject"/>
    <w:basedOn w:val="Textocomentario"/>
    <w:next w:val="Textocomentario"/>
    <w:link w:val="AsuntodelcomentarioCar"/>
    <w:uiPriority w:val="99"/>
    <w:semiHidden/>
    <w:unhideWhenUsed/>
    <w:rsid w:val="00B34747"/>
    <w:rPr>
      <w:b/>
      <w:bCs/>
    </w:rPr>
  </w:style>
  <w:style w:type="character" w:customStyle="1" w:styleId="AsuntodelcomentarioCar">
    <w:name w:val="Asunto del comentario Car"/>
    <w:basedOn w:val="TextocomentarioCar"/>
    <w:link w:val="Asuntodelcomentario"/>
    <w:uiPriority w:val="99"/>
    <w:semiHidden/>
    <w:locked/>
    <w:rsid w:val="00B34747"/>
    <w:rPr>
      <w:rFonts w:ascii="Courier New" w:hAnsi="Courier New" w:cs="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853944">
      <w:marLeft w:val="0"/>
      <w:marRight w:val="0"/>
      <w:marTop w:val="0"/>
      <w:marBottom w:val="0"/>
      <w:divBdr>
        <w:top w:val="none" w:sz="0" w:space="0" w:color="auto"/>
        <w:left w:val="none" w:sz="0" w:space="0" w:color="auto"/>
        <w:bottom w:val="none" w:sz="0" w:space="0" w:color="auto"/>
        <w:right w:val="none" w:sz="0" w:space="0" w:color="auto"/>
      </w:divBdr>
    </w:div>
    <w:div w:id="1573853945">
      <w:marLeft w:val="0"/>
      <w:marRight w:val="0"/>
      <w:marTop w:val="0"/>
      <w:marBottom w:val="0"/>
      <w:divBdr>
        <w:top w:val="none" w:sz="0" w:space="0" w:color="auto"/>
        <w:left w:val="none" w:sz="0" w:space="0" w:color="auto"/>
        <w:bottom w:val="none" w:sz="0" w:space="0" w:color="auto"/>
        <w:right w:val="none" w:sz="0" w:space="0" w:color="auto"/>
      </w:divBdr>
    </w:div>
    <w:div w:id="1573853946">
      <w:marLeft w:val="0"/>
      <w:marRight w:val="0"/>
      <w:marTop w:val="0"/>
      <w:marBottom w:val="0"/>
      <w:divBdr>
        <w:top w:val="none" w:sz="0" w:space="0" w:color="auto"/>
        <w:left w:val="none" w:sz="0" w:space="0" w:color="auto"/>
        <w:bottom w:val="none" w:sz="0" w:space="0" w:color="auto"/>
        <w:right w:val="none" w:sz="0" w:space="0" w:color="auto"/>
      </w:divBdr>
    </w:div>
    <w:div w:id="1573853947">
      <w:marLeft w:val="0"/>
      <w:marRight w:val="0"/>
      <w:marTop w:val="0"/>
      <w:marBottom w:val="0"/>
      <w:divBdr>
        <w:top w:val="none" w:sz="0" w:space="0" w:color="auto"/>
        <w:left w:val="none" w:sz="0" w:space="0" w:color="auto"/>
        <w:bottom w:val="none" w:sz="0" w:space="0" w:color="auto"/>
        <w:right w:val="none" w:sz="0" w:space="0" w:color="auto"/>
      </w:divBdr>
    </w:div>
    <w:div w:id="1573853948">
      <w:marLeft w:val="0"/>
      <w:marRight w:val="0"/>
      <w:marTop w:val="0"/>
      <w:marBottom w:val="0"/>
      <w:divBdr>
        <w:top w:val="none" w:sz="0" w:space="0" w:color="auto"/>
        <w:left w:val="none" w:sz="0" w:space="0" w:color="auto"/>
        <w:bottom w:val="none" w:sz="0" w:space="0" w:color="auto"/>
        <w:right w:val="none" w:sz="0" w:space="0" w:color="auto"/>
      </w:divBdr>
    </w:div>
    <w:div w:id="1573853949">
      <w:marLeft w:val="0"/>
      <w:marRight w:val="0"/>
      <w:marTop w:val="0"/>
      <w:marBottom w:val="0"/>
      <w:divBdr>
        <w:top w:val="none" w:sz="0" w:space="0" w:color="auto"/>
        <w:left w:val="none" w:sz="0" w:space="0" w:color="auto"/>
        <w:bottom w:val="none" w:sz="0" w:space="0" w:color="auto"/>
        <w:right w:val="none" w:sz="0" w:space="0" w:color="auto"/>
      </w:divBdr>
    </w:div>
    <w:div w:id="1573853950">
      <w:marLeft w:val="0"/>
      <w:marRight w:val="0"/>
      <w:marTop w:val="0"/>
      <w:marBottom w:val="0"/>
      <w:divBdr>
        <w:top w:val="none" w:sz="0" w:space="0" w:color="auto"/>
        <w:left w:val="none" w:sz="0" w:space="0" w:color="auto"/>
        <w:bottom w:val="none" w:sz="0" w:space="0" w:color="auto"/>
        <w:right w:val="none" w:sz="0" w:space="0" w:color="auto"/>
      </w:divBdr>
    </w:div>
    <w:div w:id="1573853951">
      <w:marLeft w:val="0"/>
      <w:marRight w:val="0"/>
      <w:marTop w:val="0"/>
      <w:marBottom w:val="0"/>
      <w:divBdr>
        <w:top w:val="none" w:sz="0" w:space="0" w:color="auto"/>
        <w:left w:val="none" w:sz="0" w:space="0" w:color="auto"/>
        <w:bottom w:val="none" w:sz="0" w:space="0" w:color="auto"/>
        <w:right w:val="none" w:sz="0" w:space="0" w:color="auto"/>
      </w:divBdr>
    </w:div>
    <w:div w:id="1573853952">
      <w:marLeft w:val="0"/>
      <w:marRight w:val="0"/>
      <w:marTop w:val="0"/>
      <w:marBottom w:val="0"/>
      <w:divBdr>
        <w:top w:val="none" w:sz="0" w:space="0" w:color="auto"/>
        <w:left w:val="none" w:sz="0" w:space="0" w:color="auto"/>
        <w:bottom w:val="none" w:sz="0" w:space="0" w:color="auto"/>
        <w:right w:val="none" w:sz="0" w:space="0" w:color="auto"/>
      </w:divBdr>
    </w:div>
    <w:div w:id="1573853953">
      <w:marLeft w:val="0"/>
      <w:marRight w:val="0"/>
      <w:marTop w:val="0"/>
      <w:marBottom w:val="0"/>
      <w:divBdr>
        <w:top w:val="none" w:sz="0" w:space="0" w:color="auto"/>
        <w:left w:val="none" w:sz="0" w:space="0" w:color="auto"/>
        <w:bottom w:val="none" w:sz="0" w:space="0" w:color="auto"/>
        <w:right w:val="none" w:sz="0" w:space="0" w:color="auto"/>
      </w:divBdr>
    </w:div>
    <w:div w:id="1573853954">
      <w:marLeft w:val="0"/>
      <w:marRight w:val="0"/>
      <w:marTop w:val="0"/>
      <w:marBottom w:val="0"/>
      <w:divBdr>
        <w:top w:val="none" w:sz="0" w:space="0" w:color="auto"/>
        <w:left w:val="none" w:sz="0" w:space="0" w:color="auto"/>
        <w:bottom w:val="none" w:sz="0" w:space="0" w:color="auto"/>
        <w:right w:val="none" w:sz="0" w:space="0" w:color="auto"/>
      </w:divBdr>
    </w:div>
    <w:div w:id="1573853955">
      <w:marLeft w:val="0"/>
      <w:marRight w:val="0"/>
      <w:marTop w:val="0"/>
      <w:marBottom w:val="0"/>
      <w:divBdr>
        <w:top w:val="none" w:sz="0" w:space="0" w:color="auto"/>
        <w:left w:val="none" w:sz="0" w:space="0" w:color="auto"/>
        <w:bottom w:val="none" w:sz="0" w:space="0" w:color="auto"/>
        <w:right w:val="none" w:sz="0" w:space="0" w:color="auto"/>
      </w:divBdr>
    </w:div>
    <w:div w:id="1573853956">
      <w:marLeft w:val="0"/>
      <w:marRight w:val="0"/>
      <w:marTop w:val="0"/>
      <w:marBottom w:val="0"/>
      <w:divBdr>
        <w:top w:val="none" w:sz="0" w:space="0" w:color="auto"/>
        <w:left w:val="none" w:sz="0" w:space="0" w:color="auto"/>
        <w:bottom w:val="none" w:sz="0" w:space="0" w:color="auto"/>
        <w:right w:val="none" w:sz="0" w:space="0" w:color="auto"/>
      </w:divBdr>
    </w:div>
    <w:div w:id="1573853957">
      <w:marLeft w:val="0"/>
      <w:marRight w:val="0"/>
      <w:marTop w:val="0"/>
      <w:marBottom w:val="0"/>
      <w:divBdr>
        <w:top w:val="none" w:sz="0" w:space="0" w:color="auto"/>
        <w:left w:val="none" w:sz="0" w:space="0" w:color="auto"/>
        <w:bottom w:val="none" w:sz="0" w:space="0" w:color="auto"/>
        <w:right w:val="none" w:sz="0" w:space="0" w:color="auto"/>
      </w:divBdr>
    </w:div>
    <w:div w:id="1573853960">
      <w:marLeft w:val="0"/>
      <w:marRight w:val="0"/>
      <w:marTop w:val="0"/>
      <w:marBottom w:val="0"/>
      <w:divBdr>
        <w:top w:val="none" w:sz="0" w:space="0" w:color="auto"/>
        <w:left w:val="none" w:sz="0" w:space="0" w:color="auto"/>
        <w:bottom w:val="none" w:sz="0" w:space="0" w:color="auto"/>
        <w:right w:val="none" w:sz="0" w:space="0" w:color="auto"/>
      </w:divBdr>
      <w:divsChild>
        <w:div w:id="1573853958">
          <w:marLeft w:val="0"/>
          <w:marRight w:val="0"/>
          <w:marTop w:val="0"/>
          <w:marBottom w:val="0"/>
          <w:divBdr>
            <w:top w:val="none" w:sz="0" w:space="0" w:color="auto"/>
            <w:left w:val="none" w:sz="0" w:space="0" w:color="auto"/>
            <w:bottom w:val="none" w:sz="0" w:space="0" w:color="auto"/>
            <w:right w:val="none" w:sz="0" w:space="0" w:color="auto"/>
          </w:divBdr>
        </w:div>
        <w:div w:id="1573853959">
          <w:marLeft w:val="0"/>
          <w:marRight w:val="0"/>
          <w:marTop w:val="0"/>
          <w:marBottom w:val="0"/>
          <w:divBdr>
            <w:top w:val="none" w:sz="0" w:space="0" w:color="auto"/>
            <w:left w:val="none" w:sz="0" w:space="0" w:color="auto"/>
            <w:bottom w:val="none" w:sz="0" w:space="0" w:color="auto"/>
            <w:right w:val="none" w:sz="0" w:space="0" w:color="auto"/>
          </w:divBdr>
        </w:div>
        <w:div w:id="1573853961">
          <w:marLeft w:val="0"/>
          <w:marRight w:val="0"/>
          <w:marTop w:val="0"/>
          <w:marBottom w:val="0"/>
          <w:divBdr>
            <w:top w:val="none" w:sz="0" w:space="0" w:color="auto"/>
            <w:left w:val="none" w:sz="0" w:space="0" w:color="auto"/>
            <w:bottom w:val="none" w:sz="0" w:space="0" w:color="auto"/>
            <w:right w:val="none" w:sz="0" w:space="0" w:color="auto"/>
          </w:divBdr>
        </w:div>
        <w:div w:id="1573853962">
          <w:marLeft w:val="0"/>
          <w:marRight w:val="0"/>
          <w:marTop w:val="0"/>
          <w:marBottom w:val="0"/>
          <w:divBdr>
            <w:top w:val="none" w:sz="0" w:space="0" w:color="auto"/>
            <w:left w:val="none" w:sz="0" w:space="0" w:color="auto"/>
            <w:bottom w:val="none" w:sz="0" w:space="0" w:color="auto"/>
            <w:right w:val="none" w:sz="0" w:space="0" w:color="auto"/>
          </w:divBdr>
        </w:div>
        <w:div w:id="1573853963">
          <w:marLeft w:val="0"/>
          <w:marRight w:val="0"/>
          <w:marTop w:val="0"/>
          <w:marBottom w:val="0"/>
          <w:divBdr>
            <w:top w:val="none" w:sz="0" w:space="0" w:color="auto"/>
            <w:left w:val="none" w:sz="0" w:space="0" w:color="auto"/>
            <w:bottom w:val="none" w:sz="0" w:space="0" w:color="auto"/>
            <w:right w:val="none" w:sz="0" w:space="0" w:color="auto"/>
          </w:divBdr>
        </w:div>
        <w:div w:id="1573853964">
          <w:marLeft w:val="0"/>
          <w:marRight w:val="0"/>
          <w:marTop w:val="0"/>
          <w:marBottom w:val="0"/>
          <w:divBdr>
            <w:top w:val="none" w:sz="0" w:space="0" w:color="auto"/>
            <w:left w:val="none" w:sz="0" w:space="0" w:color="auto"/>
            <w:bottom w:val="none" w:sz="0" w:space="0" w:color="auto"/>
            <w:right w:val="none" w:sz="0" w:space="0" w:color="auto"/>
          </w:divBdr>
        </w:div>
        <w:div w:id="1573853967">
          <w:marLeft w:val="0"/>
          <w:marRight w:val="0"/>
          <w:marTop w:val="0"/>
          <w:marBottom w:val="0"/>
          <w:divBdr>
            <w:top w:val="none" w:sz="0" w:space="0" w:color="auto"/>
            <w:left w:val="none" w:sz="0" w:space="0" w:color="auto"/>
            <w:bottom w:val="none" w:sz="0" w:space="0" w:color="auto"/>
            <w:right w:val="none" w:sz="0" w:space="0" w:color="auto"/>
          </w:divBdr>
        </w:div>
        <w:div w:id="1573853969">
          <w:marLeft w:val="0"/>
          <w:marRight w:val="0"/>
          <w:marTop w:val="0"/>
          <w:marBottom w:val="0"/>
          <w:divBdr>
            <w:top w:val="none" w:sz="0" w:space="0" w:color="auto"/>
            <w:left w:val="none" w:sz="0" w:space="0" w:color="auto"/>
            <w:bottom w:val="none" w:sz="0" w:space="0" w:color="auto"/>
            <w:right w:val="none" w:sz="0" w:space="0" w:color="auto"/>
          </w:divBdr>
        </w:div>
        <w:div w:id="1573853970">
          <w:marLeft w:val="0"/>
          <w:marRight w:val="0"/>
          <w:marTop w:val="0"/>
          <w:marBottom w:val="0"/>
          <w:divBdr>
            <w:top w:val="none" w:sz="0" w:space="0" w:color="auto"/>
            <w:left w:val="none" w:sz="0" w:space="0" w:color="auto"/>
            <w:bottom w:val="none" w:sz="0" w:space="0" w:color="auto"/>
            <w:right w:val="none" w:sz="0" w:space="0" w:color="auto"/>
          </w:divBdr>
        </w:div>
        <w:div w:id="1573853971">
          <w:marLeft w:val="0"/>
          <w:marRight w:val="0"/>
          <w:marTop w:val="0"/>
          <w:marBottom w:val="0"/>
          <w:divBdr>
            <w:top w:val="none" w:sz="0" w:space="0" w:color="auto"/>
            <w:left w:val="none" w:sz="0" w:space="0" w:color="auto"/>
            <w:bottom w:val="none" w:sz="0" w:space="0" w:color="auto"/>
            <w:right w:val="none" w:sz="0" w:space="0" w:color="auto"/>
          </w:divBdr>
        </w:div>
        <w:div w:id="1573853972">
          <w:marLeft w:val="0"/>
          <w:marRight w:val="0"/>
          <w:marTop w:val="0"/>
          <w:marBottom w:val="0"/>
          <w:divBdr>
            <w:top w:val="none" w:sz="0" w:space="0" w:color="auto"/>
            <w:left w:val="none" w:sz="0" w:space="0" w:color="auto"/>
            <w:bottom w:val="none" w:sz="0" w:space="0" w:color="auto"/>
            <w:right w:val="none" w:sz="0" w:space="0" w:color="auto"/>
          </w:divBdr>
        </w:div>
        <w:div w:id="1573853973">
          <w:marLeft w:val="0"/>
          <w:marRight w:val="0"/>
          <w:marTop w:val="0"/>
          <w:marBottom w:val="0"/>
          <w:divBdr>
            <w:top w:val="none" w:sz="0" w:space="0" w:color="auto"/>
            <w:left w:val="none" w:sz="0" w:space="0" w:color="auto"/>
            <w:bottom w:val="none" w:sz="0" w:space="0" w:color="auto"/>
            <w:right w:val="none" w:sz="0" w:space="0" w:color="auto"/>
          </w:divBdr>
        </w:div>
        <w:div w:id="1573853974">
          <w:marLeft w:val="0"/>
          <w:marRight w:val="0"/>
          <w:marTop w:val="0"/>
          <w:marBottom w:val="0"/>
          <w:divBdr>
            <w:top w:val="none" w:sz="0" w:space="0" w:color="auto"/>
            <w:left w:val="none" w:sz="0" w:space="0" w:color="auto"/>
            <w:bottom w:val="none" w:sz="0" w:space="0" w:color="auto"/>
            <w:right w:val="none" w:sz="0" w:space="0" w:color="auto"/>
          </w:divBdr>
        </w:div>
        <w:div w:id="1573853975">
          <w:marLeft w:val="0"/>
          <w:marRight w:val="0"/>
          <w:marTop w:val="0"/>
          <w:marBottom w:val="0"/>
          <w:divBdr>
            <w:top w:val="none" w:sz="0" w:space="0" w:color="auto"/>
            <w:left w:val="none" w:sz="0" w:space="0" w:color="auto"/>
            <w:bottom w:val="none" w:sz="0" w:space="0" w:color="auto"/>
            <w:right w:val="none" w:sz="0" w:space="0" w:color="auto"/>
          </w:divBdr>
        </w:div>
        <w:div w:id="1573853976">
          <w:marLeft w:val="0"/>
          <w:marRight w:val="0"/>
          <w:marTop w:val="0"/>
          <w:marBottom w:val="0"/>
          <w:divBdr>
            <w:top w:val="none" w:sz="0" w:space="0" w:color="auto"/>
            <w:left w:val="none" w:sz="0" w:space="0" w:color="auto"/>
            <w:bottom w:val="none" w:sz="0" w:space="0" w:color="auto"/>
            <w:right w:val="none" w:sz="0" w:space="0" w:color="auto"/>
          </w:divBdr>
        </w:div>
        <w:div w:id="1573853977">
          <w:marLeft w:val="0"/>
          <w:marRight w:val="0"/>
          <w:marTop w:val="0"/>
          <w:marBottom w:val="0"/>
          <w:divBdr>
            <w:top w:val="none" w:sz="0" w:space="0" w:color="auto"/>
            <w:left w:val="none" w:sz="0" w:space="0" w:color="auto"/>
            <w:bottom w:val="none" w:sz="0" w:space="0" w:color="auto"/>
            <w:right w:val="none" w:sz="0" w:space="0" w:color="auto"/>
          </w:divBdr>
        </w:div>
        <w:div w:id="1573853978">
          <w:marLeft w:val="0"/>
          <w:marRight w:val="0"/>
          <w:marTop w:val="0"/>
          <w:marBottom w:val="0"/>
          <w:divBdr>
            <w:top w:val="none" w:sz="0" w:space="0" w:color="auto"/>
            <w:left w:val="none" w:sz="0" w:space="0" w:color="auto"/>
            <w:bottom w:val="none" w:sz="0" w:space="0" w:color="auto"/>
            <w:right w:val="none" w:sz="0" w:space="0" w:color="auto"/>
          </w:divBdr>
        </w:div>
        <w:div w:id="1573853979">
          <w:marLeft w:val="0"/>
          <w:marRight w:val="0"/>
          <w:marTop w:val="0"/>
          <w:marBottom w:val="0"/>
          <w:divBdr>
            <w:top w:val="none" w:sz="0" w:space="0" w:color="auto"/>
            <w:left w:val="none" w:sz="0" w:space="0" w:color="auto"/>
            <w:bottom w:val="none" w:sz="0" w:space="0" w:color="auto"/>
            <w:right w:val="none" w:sz="0" w:space="0" w:color="auto"/>
          </w:divBdr>
        </w:div>
        <w:div w:id="1573853980">
          <w:marLeft w:val="0"/>
          <w:marRight w:val="0"/>
          <w:marTop w:val="0"/>
          <w:marBottom w:val="0"/>
          <w:divBdr>
            <w:top w:val="none" w:sz="0" w:space="0" w:color="auto"/>
            <w:left w:val="none" w:sz="0" w:space="0" w:color="auto"/>
            <w:bottom w:val="none" w:sz="0" w:space="0" w:color="auto"/>
            <w:right w:val="none" w:sz="0" w:space="0" w:color="auto"/>
          </w:divBdr>
        </w:div>
        <w:div w:id="1573853982">
          <w:marLeft w:val="0"/>
          <w:marRight w:val="0"/>
          <w:marTop w:val="0"/>
          <w:marBottom w:val="0"/>
          <w:divBdr>
            <w:top w:val="none" w:sz="0" w:space="0" w:color="auto"/>
            <w:left w:val="none" w:sz="0" w:space="0" w:color="auto"/>
            <w:bottom w:val="none" w:sz="0" w:space="0" w:color="auto"/>
            <w:right w:val="none" w:sz="0" w:space="0" w:color="auto"/>
          </w:divBdr>
        </w:div>
        <w:div w:id="1573853983">
          <w:marLeft w:val="0"/>
          <w:marRight w:val="0"/>
          <w:marTop w:val="0"/>
          <w:marBottom w:val="0"/>
          <w:divBdr>
            <w:top w:val="none" w:sz="0" w:space="0" w:color="auto"/>
            <w:left w:val="none" w:sz="0" w:space="0" w:color="auto"/>
            <w:bottom w:val="none" w:sz="0" w:space="0" w:color="auto"/>
            <w:right w:val="none" w:sz="0" w:space="0" w:color="auto"/>
          </w:divBdr>
        </w:div>
        <w:div w:id="1573853984">
          <w:marLeft w:val="0"/>
          <w:marRight w:val="0"/>
          <w:marTop w:val="0"/>
          <w:marBottom w:val="0"/>
          <w:divBdr>
            <w:top w:val="none" w:sz="0" w:space="0" w:color="auto"/>
            <w:left w:val="none" w:sz="0" w:space="0" w:color="auto"/>
            <w:bottom w:val="none" w:sz="0" w:space="0" w:color="auto"/>
            <w:right w:val="none" w:sz="0" w:space="0" w:color="auto"/>
          </w:divBdr>
        </w:div>
        <w:div w:id="1573853985">
          <w:marLeft w:val="0"/>
          <w:marRight w:val="0"/>
          <w:marTop w:val="0"/>
          <w:marBottom w:val="0"/>
          <w:divBdr>
            <w:top w:val="none" w:sz="0" w:space="0" w:color="auto"/>
            <w:left w:val="none" w:sz="0" w:space="0" w:color="auto"/>
            <w:bottom w:val="none" w:sz="0" w:space="0" w:color="auto"/>
            <w:right w:val="none" w:sz="0" w:space="0" w:color="auto"/>
          </w:divBdr>
        </w:div>
        <w:div w:id="1573853986">
          <w:marLeft w:val="0"/>
          <w:marRight w:val="0"/>
          <w:marTop w:val="0"/>
          <w:marBottom w:val="0"/>
          <w:divBdr>
            <w:top w:val="none" w:sz="0" w:space="0" w:color="auto"/>
            <w:left w:val="none" w:sz="0" w:space="0" w:color="auto"/>
            <w:bottom w:val="none" w:sz="0" w:space="0" w:color="auto"/>
            <w:right w:val="none" w:sz="0" w:space="0" w:color="auto"/>
          </w:divBdr>
        </w:div>
        <w:div w:id="1573853987">
          <w:marLeft w:val="0"/>
          <w:marRight w:val="0"/>
          <w:marTop w:val="0"/>
          <w:marBottom w:val="0"/>
          <w:divBdr>
            <w:top w:val="none" w:sz="0" w:space="0" w:color="auto"/>
            <w:left w:val="none" w:sz="0" w:space="0" w:color="auto"/>
            <w:bottom w:val="none" w:sz="0" w:space="0" w:color="auto"/>
            <w:right w:val="none" w:sz="0" w:space="0" w:color="auto"/>
          </w:divBdr>
        </w:div>
      </w:divsChild>
    </w:div>
    <w:div w:id="1573853965">
      <w:marLeft w:val="0"/>
      <w:marRight w:val="0"/>
      <w:marTop w:val="0"/>
      <w:marBottom w:val="0"/>
      <w:divBdr>
        <w:top w:val="none" w:sz="0" w:space="0" w:color="auto"/>
        <w:left w:val="none" w:sz="0" w:space="0" w:color="auto"/>
        <w:bottom w:val="none" w:sz="0" w:space="0" w:color="auto"/>
        <w:right w:val="none" w:sz="0" w:space="0" w:color="auto"/>
      </w:divBdr>
    </w:div>
    <w:div w:id="1573853968">
      <w:marLeft w:val="0"/>
      <w:marRight w:val="0"/>
      <w:marTop w:val="0"/>
      <w:marBottom w:val="0"/>
      <w:divBdr>
        <w:top w:val="none" w:sz="0" w:space="0" w:color="auto"/>
        <w:left w:val="none" w:sz="0" w:space="0" w:color="auto"/>
        <w:bottom w:val="none" w:sz="0" w:space="0" w:color="auto"/>
        <w:right w:val="none" w:sz="0" w:space="0" w:color="auto"/>
      </w:divBdr>
      <w:divsChild>
        <w:div w:id="1573853966">
          <w:marLeft w:val="0"/>
          <w:marRight w:val="0"/>
          <w:marTop w:val="0"/>
          <w:marBottom w:val="0"/>
          <w:divBdr>
            <w:top w:val="none" w:sz="0" w:space="0" w:color="auto"/>
            <w:left w:val="none" w:sz="0" w:space="0" w:color="auto"/>
            <w:bottom w:val="none" w:sz="0" w:space="0" w:color="auto"/>
            <w:right w:val="none" w:sz="0" w:space="0" w:color="auto"/>
          </w:divBdr>
        </w:div>
        <w:div w:id="1573853981">
          <w:marLeft w:val="0"/>
          <w:marRight w:val="0"/>
          <w:marTop w:val="0"/>
          <w:marBottom w:val="0"/>
          <w:divBdr>
            <w:top w:val="none" w:sz="0" w:space="0" w:color="auto"/>
            <w:left w:val="none" w:sz="0" w:space="0" w:color="auto"/>
            <w:bottom w:val="none" w:sz="0" w:space="0" w:color="auto"/>
            <w:right w:val="none" w:sz="0" w:space="0" w:color="auto"/>
          </w:divBdr>
        </w:div>
      </w:divsChild>
    </w:div>
    <w:div w:id="1573853989">
      <w:marLeft w:val="0"/>
      <w:marRight w:val="0"/>
      <w:marTop w:val="0"/>
      <w:marBottom w:val="0"/>
      <w:divBdr>
        <w:top w:val="none" w:sz="0" w:space="0" w:color="auto"/>
        <w:left w:val="none" w:sz="0" w:space="0" w:color="auto"/>
        <w:bottom w:val="none" w:sz="0" w:space="0" w:color="auto"/>
        <w:right w:val="none" w:sz="0" w:space="0" w:color="auto"/>
      </w:divBdr>
    </w:div>
    <w:div w:id="1573853990">
      <w:marLeft w:val="0"/>
      <w:marRight w:val="0"/>
      <w:marTop w:val="0"/>
      <w:marBottom w:val="0"/>
      <w:divBdr>
        <w:top w:val="none" w:sz="0" w:space="0" w:color="auto"/>
        <w:left w:val="none" w:sz="0" w:space="0" w:color="auto"/>
        <w:bottom w:val="none" w:sz="0" w:space="0" w:color="auto"/>
        <w:right w:val="none" w:sz="0" w:space="0" w:color="auto"/>
      </w:divBdr>
      <w:divsChild>
        <w:div w:id="1573853991">
          <w:marLeft w:val="0"/>
          <w:marRight w:val="0"/>
          <w:marTop w:val="0"/>
          <w:marBottom w:val="0"/>
          <w:divBdr>
            <w:top w:val="none" w:sz="0" w:space="0" w:color="auto"/>
            <w:left w:val="none" w:sz="0" w:space="0" w:color="auto"/>
            <w:bottom w:val="none" w:sz="0" w:space="0" w:color="auto"/>
            <w:right w:val="none" w:sz="0" w:space="0" w:color="auto"/>
          </w:divBdr>
          <w:divsChild>
            <w:div w:id="157385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3992">
      <w:marLeft w:val="0"/>
      <w:marRight w:val="0"/>
      <w:marTop w:val="0"/>
      <w:marBottom w:val="0"/>
      <w:divBdr>
        <w:top w:val="none" w:sz="0" w:space="0" w:color="auto"/>
        <w:left w:val="none" w:sz="0" w:space="0" w:color="auto"/>
        <w:bottom w:val="none" w:sz="0" w:space="0" w:color="auto"/>
        <w:right w:val="none" w:sz="0" w:space="0" w:color="auto"/>
      </w:divBdr>
    </w:div>
    <w:div w:id="1573853993">
      <w:marLeft w:val="0"/>
      <w:marRight w:val="0"/>
      <w:marTop w:val="0"/>
      <w:marBottom w:val="0"/>
      <w:divBdr>
        <w:top w:val="none" w:sz="0" w:space="0" w:color="auto"/>
        <w:left w:val="none" w:sz="0" w:space="0" w:color="auto"/>
        <w:bottom w:val="none" w:sz="0" w:space="0" w:color="auto"/>
        <w:right w:val="none" w:sz="0" w:space="0" w:color="auto"/>
      </w:divBdr>
    </w:div>
    <w:div w:id="1573853994">
      <w:marLeft w:val="0"/>
      <w:marRight w:val="0"/>
      <w:marTop w:val="0"/>
      <w:marBottom w:val="0"/>
      <w:divBdr>
        <w:top w:val="none" w:sz="0" w:space="0" w:color="auto"/>
        <w:left w:val="none" w:sz="0" w:space="0" w:color="auto"/>
        <w:bottom w:val="none" w:sz="0" w:space="0" w:color="auto"/>
        <w:right w:val="none" w:sz="0" w:space="0" w:color="auto"/>
      </w:divBdr>
    </w:div>
    <w:div w:id="1573853995">
      <w:marLeft w:val="0"/>
      <w:marRight w:val="0"/>
      <w:marTop w:val="0"/>
      <w:marBottom w:val="0"/>
      <w:divBdr>
        <w:top w:val="none" w:sz="0" w:space="0" w:color="auto"/>
        <w:left w:val="none" w:sz="0" w:space="0" w:color="auto"/>
        <w:bottom w:val="none" w:sz="0" w:space="0" w:color="auto"/>
        <w:right w:val="none" w:sz="0" w:space="0" w:color="auto"/>
      </w:divBdr>
    </w:div>
    <w:div w:id="1573853996">
      <w:marLeft w:val="0"/>
      <w:marRight w:val="0"/>
      <w:marTop w:val="0"/>
      <w:marBottom w:val="0"/>
      <w:divBdr>
        <w:top w:val="none" w:sz="0" w:space="0" w:color="auto"/>
        <w:left w:val="none" w:sz="0" w:space="0" w:color="auto"/>
        <w:bottom w:val="none" w:sz="0" w:space="0" w:color="auto"/>
        <w:right w:val="none" w:sz="0" w:space="0" w:color="auto"/>
      </w:divBdr>
    </w:div>
    <w:div w:id="1573853997">
      <w:marLeft w:val="0"/>
      <w:marRight w:val="0"/>
      <w:marTop w:val="0"/>
      <w:marBottom w:val="0"/>
      <w:divBdr>
        <w:top w:val="none" w:sz="0" w:space="0" w:color="auto"/>
        <w:left w:val="none" w:sz="0" w:space="0" w:color="auto"/>
        <w:bottom w:val="none" w:sz="0" w:space="0" w:color="auto"/>
        <w:right w:val="none" w:sz="0" w:space="0" w:color="auto"/>
      </w:divBdr>
    </w:div>
    <w:div w:id="15738539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corteconstitucional.gov.co/relatoria/2017/SU354-17.htm" TargetMode="External"/><Relationship Id="rId1" Type="http://schemas.openxmlformats.org/officeDocument/2006/relationships/hyperlink" Target="http://www.corteconstitucional.gov.co/relatoria/2017/SU336-17.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EFB13-04F5-408E-8BF6-70EEC6255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2487</Words>
  <Characters>13683</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16138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dc:description/>
  <cp:lastModifiedBy>Henry Lora Rodriguez</cp:lastModifiedBy>
  <cp:revision>5</cp:revision>
  <cp:lastPrinted>2019-10-24T20:08:00Z</cp:lastPrinted>
  <dcterms:created xsi:type="dcterms:W3CDTF">2019-11-06T16:42:00Z</dcterms:created>
  <dcterms:modified xsi:type="dcterms:W3CDTF">2019-11-07T13:38:00Z</dcterms:modified>
</cp:coreProperties>
</file>