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303" w:rsidRPr="00B30EFC" w:rsidRDefault="00C36303" w:rsidP="00C36303">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B30EFC">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C36303" w:rsidRPr="00B30EFC" w:rsidRDefault="00C36303" w:rsidP="00C36303">
      <w:pPr>
        <w:jc w:val="both"/>
        <w:rPr>
          <w:rFonts w:ascii="Arial" w:hAnsi="Arial" w:cs="Arial"/>
          <w:lang w:val="es-419"/>
        </w:rPr>
      </w:pPr>
    </w:p>
    <w:p w:rsidR="00C36303" w:rsidRPr="00B30EFC" w:rsidRDefault="00C36303" w:rsidP="00C36303">
      <w:pPr>
        <w:pStyle w:val="Sinespaciado"/>
        <w:jc w:val="both"/>
        <w:rPr>
          <w:rFonts w:ascii="Arial" w:hAnsi="Arial" w:cs="Arial"/>
          <w:b/>
          <w:bCs/>
          <w:iCs/>
          <w:sz w:val="20"/>
          <w:szCs w:val="20"/>
          <w:lang w:val="es-419" w:eastAsia="fr-FR"/>
        </w:rPr>
      </w:pPr>
      <w:r w:rsidRPr="00B30EFC">
        <w:rPr>
          <w:rFonts w:ascii="Arial" w:hAnsi="Arial" w:cs="Arial"/>
          <w:b/>
          <w:bCs/>
          <w:iCs/>
          <w:sz w:val="20"/>
          <w:szCs w:val="20"/>
          <w:lang w:val="es-419" w:eastAsia="fr-FR"/>
        </w:rPr>
        <w:t>TEMAS:</w:t>
      </w:r>
      <w:r w:rsidRPr="00B30EFC">
        <w:rPr>
          <w:rFonts w:ascii="Arial" w:hAnsi="Arial" w:cs="Arial"/>
          <w:b/>
          <w:bCs/>
          <w:iCs/>
          <w:sz w:val="20"/>
          <w:szCs w:val="20"/>
          <w:lang w:val="es-419" w:eastAsia="fr-FR"/>
        </w:rPr>
        <w:tab/>
      </w:r>
      <w:r w:rsidR="008315B8">
        <w:rPr>
          <w:rFonts w:ascii="Arial" w:hAnsi="Arial" w:cs="Arial"/>
          <w:b/>
          <w:bCs/>
          <w:iCs/>
          <w:sz w:val="20"/>
          <w:szCs w:val="20"/>
          <w:lang w:val="es-CO" w:eastAsia="fr-FR"/>
        </w:rPr>
        <w:t>CONFLICTO DE COMPETENCIA /</w:t>
      </w:r>
      <w:r w:rsidR="004D522A">
        <w:rPr>
          <w:rFonts w:ascii="Arial" w:hAnsi="Arial" w:cs="Arial"/>
          <w:b/>
          <w:bCs/>
          <w:iCs/>
          <w:sz w:val="20"/>
          <w:szCs w:val="20"/>
          <w:lang w:val="es-CO" w:eastAsia="fr-FR"/>
        </w:rPr>
        <w:t xml:space="preserve"> PROCESO EJECUTIVO / CONCURREN EL DOMICILIO DEL DEMANDADO Y EL LUGAR DE CUMPLIMIENTO DE LA OBLIGACIÓN.</w:t>
      </w:r>
      <w:bookmarkStart w:id="0" w:name="_GoBack"/>
      <w:bookmarkEnd w:id="0"/>
    </w:p>
    <w:p w:rsidR="00C36303" w:rsidRDefault="00C36303" w:rsidP="00C36303">
      <w:pPr>
        <w:jc w:val="both"/>
        <w:rPr>
          <w:rFonts w:ascii="Arial" w:hAnsi="Arial" w:cs="Arial"/>
          <w:lang w:val="es-419"/>
        </w:rPr>
      </w:pPr>
    </w:p>
    <w:p w:rsidR="004D522A" w:rsidRPr="004D522A" w:rsidRDefault="004D522A" w:rsidP="004D522A">
      <w:pPr>
        <w:jc w:val="both"/>
        <w:rPr>
          <w:rFonts w:ascii="Arial" w:hAnsi="Arial" w:cs="Arial"/>
          <w:lang w:val="es-419"/>
        </w:rPr>
      </w:pPr>
      <w:r w:rsidRPr="004D522A">
        <w:rPr>
          <w:rFonts w:ascii="Arial" w:hAnsi="Arial" w:cs="Arial"/>
          <w:lang w:val="es-419"/>
        </w:rPr>
        <w:t xml:space="preserve">… el </w:t>
      </w:r>
      <w:r w:rsidRPr="004D522A">
        <w:rPr>
          <w:rFonts w:ascii="Arial" w:hAnsi="Arial" w:cs="Arial"/>
          <w:lang w:val="es-419"/>
        </w:rPr>
        <w:t>numeral 1º del artículo 28 del Código General del Proceso, prevé:</w:t>
      </w:r>
    </w:p>
    <w:p w:rsidR="004D522A" w:rsidRPr="004D522A" w:rsidRDefault="004D522A" w:rsidP="004D522A">
      <w:pPr>
        <w:jc w:val="both"/>
        <w:rPr>
          <w:rFonts w:ascii="Arial" w:hAnsi="Arial" w:cs="Arial"/>
          <w:lang w:val="es-419"/>
        </w:rPr>
      </w:pPr>
    </w:p>
    <w:p w:rsidR="004D522A" w:rsidRPr="004D522A" w:rsidRDefault="004D522A" w:rsidP="004D522A">
      <w:pPr>
        <w:jc w:val="both"/>
        <w:rPr>
          <w:rFonts w:ascii="Arial" w:hAnsi="Arial" w:cs="Arial"/>
          <w:lang w:val="es-419"/>
        </w:rPr>
      </w:pPr>
      <w:r w:rsidRPr="004D522A">
        <w:rPr>
          <w:rFonts w:ascii="Arial" w:hAnsi="Arial" w:cs="Arial"/>
          <w:lang w:val="es-419"/>
        </w:rPr>
        <w:t>“En los procesos contenciosos, salvo disposición legal en contrario, es competente el juez del domicilio del demandado. Si son varios los demandados o el demandado tiene varios domicilios, el de cualquiera de ellos a elección del demandante</w:t>
      </w:r>
      <w:r w:rsidRPr="004D522A">
        <w:rPr>
          <w:rFonts w:ascii="Arial" w:hAnsi="Arial" w:cs="Arial"/>
          <w:lang w:val="es-419"/>
        </w:rPr>
        <w:t>…</w:t>
      </w:r>
    </w:p>
    <w:p w:rsidR="004D522A" w:rsidRDefault="004D522A" w:rsidP="004D522A">
      <w:pPr>
        <w:jc w:val="both"/>
        <w:rPr>
          <w:rFonts w:ascii="Arial" w:hAnsi="Arial" w:cs="Arial"/>
          <w:lang w:val="es-419"/>
        </w:rPr>
      </w:pPr>
    </w:p>
    <w:p w:rsidR="004D522A" w:rsidRPr="004D522A" w:rsidRDefault="004D522A" w:rsidP="004D522A">
      <w:pPr>
        <w:jc w:val="both"/>
        <w:rPr>
          <w:rFonts w:ascii="Arial" w:hAnsi="Arial" w:cs="Arial"/>
          <w:lang w:val="es-419"/>
        </w:rPr>
      </w:pPr>
      <w:r w:rsidRPr="004D522A">
        <w:rPr>
          <w:rFonts w:ascii="Arial" w:hAnsi="Arial" w:cs="Arial"/>
          <w:lang w:val="es-419"/>
        </w:rPr>
        <w:t xml:space="preserve">Y en la regla 3ª se estableció, que: </w:t>
      </w:r>
    </w:p>
    <w:p w:rsidR="004D522A" w:rsidRPr="004D522A" w:rsidRDefault="004D522A" w:rsidP="004D522A">
      <w:pPr>
        <w:jc w:val="both"/>
        <w:rPr>
          <w:rFonts w:ascii="Arial" w:hAnsi="Arial" w:cs="Arial"/>
          <w:lang w:val="es-419"/>
        </w:rPr>
      </w:pPr>
    </w:p>
    <w:p w:rsidR="004D522A" w:rsidRPr="004D522A" w:rsidRDefault="004D522A" w:rsidP="004D522A">
      <w:pPr>
        <w:jc w:val="both"/>
        <w:rPr>
          <w:rFonts w:ascii="Arial" w:hAnsi="Arial" w:cs="Arial"/>
          <w:lang w:val="es-419"/>
        </w:rPr>
      </w:pPr>
      <w:r w:rsidRPr="004D522A">
        <w:rPr>
          <w:rFonts w:ascii="Arial" w:hAnsi="Arial" w:cs="Arial"/>
          <w:lang w:val="es-419"/>
        </w:rPr>
        <w:t>“En los procesos originados en un negocio jurídico o que involucren títulos ejecutivos es también competente el juez del lugar de cumplimiento de cualquiera de las obligaciones…”.</w:t>
      </w:r>
    </w:p>
    <w:p w:rsidR="004D522A" w:rsidRPr="004D522A" w:rsidRDefault="004D522A" w:rsidP="004D522A">
      <w:pPr>
        <w:jc w:val="both"/>
        <w:rPr>
          <w:rFonts w:ascii="Arial" w:hAnsi="Arial" w:cs="Arial"/>
          <w:lang w:val="es-419"/>
        </w:rPr>
      </w:pPr>
    </w:p>
    <w:p w:rsidR="004D522A" w:rsidRPr="00B30EFC" w:rsidRDefault="004D522A" w:rsidP="004D522A">
      <w:pPr>
        <w:jc w:val="both"/>
        <w:rPr>
          <w:rFonts w:ascii="Arial" w:hAnsi="Arial" w:cs="Arial"/>
          <w:lang w:val="es-419"/>
        </w:rPr>
      </w:pPr>
      <w:r w:rsidRPr="004D522A">
        <w:rPr>
          <w:rFonts w:ascii="Arial" w:hAnsi="Arial" w:cs="Arial"/>
          <w:lang w:val="es-419"/>
        </w:rPr>
        <w:t>Disposición que como lo explica el profesor Sanabria Santos, extiende el fuero contractual a los procesos originados en títulos ejecutivos (denominación en la cual están incluidos los títulos valores), siendo claro que si el texto del título contiene el lugar del pago de la obligación, en ese lugar podrá formularse la correspondiente demanda, queriendo además significar que, en aplicación de esta regla, el fuero es concurrente, porque se puede demandar en el domicilio del demandado (personal), o en el del lugar pactado para el cumplimiento de la obligación (contractual), a elección del demandante</w:t>
      </w:r>
      <w:r w:rsidRPr="004D522A">
        <w:rPr>
          <w:rFonts w:ascii="Arial" w:hAnsi="Arial" w:cs="Arial"/>
          <w:lang w:val="es-419"/>
        </w:rPr>
        <w:t>.</w:t>
      </w:r>
    </w:p>
    <w:p w:rsidR="00C36303" w:rsidRDefault="00C36303" w:rsidP="00C36303">
      <w:pPr>
        <w:jc w:val="both"/>
        <w:rPr>
          <w:rFonts w:ascii="Arial" w:hAnsi="Arial" w:cs="Arial"/>
          <w:lang w:val="es-419"/>
        </w:rPr>
      </w:pPr>
    </w:p>
    <w:p w:rsidR="00C36303" w:rsidRDefault="00C36303" w:rsidP="00C36303">
      <w:pPr>
        <w:jc w:val="both"/>
        <w:rPr>
          <w:rFonts w:ascii="Arial" w:hAnsi="Arial" w:cs="Arial"/>
          <w:lang w:val="es-419"/>
        </w:rPr>
      </w:pPr>
    </w:p>
    <w:p w:rsidR="00C36303" w:rsidRDefault="00C36303" w:rsidP="00C36303">
      <w:pPr>
        <w:jc w:val="both"/>
        <w:rPr>
          <w:rFonts w:ascii="Arial" w:hAnsi="Arial" w:cs="Arial"/>
          <w:lang w:val="es-419"/>
        </w:rPr>
      </w:pPr>
    </w:p>
    <w:p w:rsidR="00205D2B" w:rsidRPr="00C36303" w:rsidRDefault="00205D2B" w:rsidP="00C36303">
      <w:pPr>
        <w:spacing w:line="288" w:lineRule="auto"/>
        <w:ind w:left="2552"/>
        <w:rPr>
          <w:rFonts w:ascii="Arial" w:hAnsi="Arial" w:cs="Arial"/>
          <w:b/>
          <w:bCs/>
          <w:sz w:val="24"/>
          <w:szCs w:val="24"/>
          <w:lang w:val="es-CO"/>
        </w:rPr>
      </w:pPr>
      <w:r w:rsidRPr="00C36303">
        <w:rPr>
          <w:rFonts w:ascii="Arial" w:hAnsi="Arial" w:cs="Arial"/>
          <w:b/>
          <w:bCs/>
          <w:sz w:val="24"/>
          <w:szCs w:val="24"/>
          <w:lang w:val="es-CO"/>
        </w:rPr>
        <w:t>TRIBUNAL SUPERIOR DE PEREIRA</w:t>
      </w:r>
    </w:p>
    <w:p w:rsidR="00205D2B" w:rsidRPr="00C36303" w:rsidRDefault="00205D2B" w:rsidP="00C36303">
      <w:pPr>
        <w:spacing w:line="288" w:lineRule="auto"/>
        <w:ind w:left="2552"/>
        <w:rPr>
          <w:rFonts w:ascii="Arial" w:hAnsi="Arial" w:cs="Arial"/>
          <w:b/>
          <w:bCs/>
          <w:sz w:val="24"/>
          <w:szCs w:val="24"/>
          <w:lang w:val="es-CO"/>
        </w:rPr>
      </w:pPr>
      <w:r w:rsidRPr="00C36303">
        <w:rPr>
          <w:rFonts w:ascii="Arial" w:hAnsi="Arial" w:cs="Arial"/>
          <w:b/>
          <w:bCs/>
          <w:sz w:val="24"/>
          <w:szCs w:val="24"/>
          <w:lang w:val="es-CO"/>
        </w:rPr>
        <w:t>Sala de Decisión Civil Familia</w:t>
      </w:r>
    </w:p>
    <w:p w:rsidR="00205D2B" w:rsidRPr="00C36303" w:rsidRDefault="00205D2B" w:rsidP="00C36303">
      <w:pPr>
        <w:spacing w:line="288" w:lineRule="auto"/>
        <w:ind w:left="2552"/>
        <w:rPr>
          <w:rFonts w:ascii="Arial" w:hAnsi="Arial" w:cs="Arial"/>
          <w:bCs/>
          <w:sz w:val="24"/>
          <w:szCs w:val="24"/>
          <w:lang w:val="es-CO"/>
        </w:rPr>
      </w:pPr>
    </w:p>
    <w:p w:rsidR="00205D2B" w:rsidRPr="00C36303" w:rsidRDefault="00205D2B" w:rsidP="00C36303">
      <w:pPr>
        <w:spacing w:line="288" w:lineRule="auto"/>
        <w:ind w:left="2552"/>
        <w:rPr>
          <w:rFonts w:ascii="Arial" w:hAnsi="Arial" w:cs="Arial"/>
          <w:bCs/>
          <w:sz w:val="24"/>
          <w:szCs w:val="24"/>
          <w:lang w:val="es-CO"/>
        </w:rPr>
      </w:pPr>
      <w:r w:rsidRPr="00C36303">
        <w:rPr>
          <w:rFonts w:ascii="Arial" w:hAnsi="Arial" w:cs="Arial"/>
          <w:bCs/>
          <w:sz w:val="24"/>
          <w:szCs w:val="24"/>
          <w:lang w:val="es-CO"/>
        </w:rPr>
        <w:t>Magistrado: EDDER JIMMY SÁNCHEZ CALAMBÁS</w:t>
      </w:r>
    </w:p>
    <w:p w:rsidR="00C8781F" w:rsidRPr="00C36303" w:rsidRDefault="00205D2B" w:rsidP="00C36303">
      <w:pPr>
        <w:spacing w:line="288" w:lineRule="auto"/>
        <w:ind w:left="2552"/>
        <w:rPr>
          <w:rFonts w:ascii="Arial" w:hAnsi="Arial" w:cs="Arial"/>
          <w:bCs/>
          <w:sz w:val="24"/>
          <w:szCs w:val="24"/>
          <w:lang w:val="es-CO"/>
        </w:rPr>
      </w:pPr>
      <w:r w:rsidRPr="00C36303">
        <w:rPr>
          <w:rFonts w:ascii="Arial" w:hAnsi="Arial" w:cs="Arial"/>
          <w:bCs/>
          <w:sz w:val="24"/>
          <w:szCs w:val="24"/>
          <w:lang w:val="es-CO"/>
        </w:rPr>
        <w:t>Pereira</w:t>
      </w:r>
      <w:r w:rsidR="008715A8" w:rsidRPr="00C36303">
        <w:rPr>
          <w:rFonts w:ascii="Arial" w:hAnsi="Arial" w:cs="Arial"/>
          <w:bCs/>
          <w:sz w:val="24"/>
          <w:szCs w:val="24"/>
          <w:lang w:val="es-CO"/>
        </w:rPr>
        <w:t>,</w:t>
      </w:r>
      <w:r w:rsidRPr="00C36303">
        <w:rPr>
          <w:rFonts w:ascii="Arial" w:hAnsi="Arial" w:cs="Arial"/>
          <w:bCs/>
          <w:sz w:val="24"/>
          <w:szCs w:val="24"/>
          <w:lang w:val="es-CO"/>
        </w:rPr>
        <w:t xml:space="preserve"> </w:t>
      </w:r>
      <w:r w:rsidR="00373F75" w:rsidRPr="00C36303">
        <w:rPr>
          <w:rFonts w:ascii="Arial" w:hAnsi="Arial" w:cs="Arial"/>
          <w:bCs/>
          <w:sz w:val="24"/>
          <w:szCs w:val="24"/>
          <w:lang w:val="es-CO"/>
        </w:rPr>
        <w:t>trece</w:t>
      </w:r>
      <w:r w:rsidRPr="00C36303">
        <w:rPr>
          <w:rFonts w:ascii="Arial" w:hAnsi="Arial" w:cs="Arial"/>
          <w:bCs/>
          <w:sz w:val="24"/>
          <w:szCs w:val="24"/>
          <w:lang w:val="es-CO"/>
        </w:rPr>
        <w:t xml:space="preserve"> de </w:t>
      </w:r>
      <w:r w:rsidR="004460B5" w:rsidRPr="00C36303">
        <w:rPr>
          <w:rFonts w:ascii="Arial" w:hAnsi="Arial" w:cs="Arial"/>
          <w:bCs/>
          <w:sz w:val="24"/>
          <w:szCs w:val="24"/>
          <w:lang w:val="es-CO"/>
        </w:rPr>
        <w:t>febrero</w:t>
      </w:r>
      <w:r w:rsidRPr="00C36303">
        <w:rPr>
          <w:rFonts w:ascii="Arial" w:hAnsi="Arial" w:cs="Arial"/>
          <w:bCs/>
          <w:sz w:val="24"/>
          <w:szCs w:val="24"/>
          <w:lang w:val="es-CO"/>
        </w:rPr>
        <w:t xml:space="preserve"> de dos mil dieci</w:t>
      </w:r>
      <w:r w:rsidR="004460B5" w:rsidRPr="00C36303">
        <w:rPr>
          <w:rFonts w:ascii="Arial" w:hAnsi="Arial" w:cs="Arial"/>
          <w:bCs/>
          <w:sz w:val="24"/>
          <w:szCs w:val="24"/>
          <w:lang w:val="es-CO"/>
        </w:rPr>
        <w:t>nueve</w:t>
      </w:r>
      <w:r w:rsidRPr="00C36303">
        <w:rPr>
          <w:rFonts w:ascii="Arial" w:hAnsi="Arial" w:cs="Arial"/>
          <w:bCs/>
          <w:sz w:val="24"/>
          <w:szCs w:val="24"/>
          <w:lang w:val="es-CO"/>
        </w:rPr>
        <w:t xml:space="preserve"> </w:t>
      </w:r>
    </w:p>
    <w:p w:rsidR="00205D2B" w:rsidRPr="00C36303" w:rsidRDefault="00205D2B" w:rsidP="00C36303">
      <w:pPr>
        <w:spacing w:line="288" w:lineRule="auto"/>
        <w:ind w:left="2552"/>
        <w:rPr>
          <w:rFonts w:ascii="Arial" w:hAnsi="Arial" w:cs="Arial"/>
          <w:sz w:val="24"/>
          <w:szCs w:val="24"/>
          <w:lang w:val="es-CO"/>
        </w:rPr>
      </w:pPr>
      <w:r w:rsidRPr="00C36303">
        <w:rPr>
          <w:rFonts w:ascii="Arial" w:hAnsi="Arial" w:cs="Arial"/>
          <w:sz w:val="24"/>
          <w:szCs w:val="24"/>
          <w:lang w:val="es-CO"/>
        </w:rPr>
        <w:t>Expediente 66</w:t>
      </w:r>
      <w:r w:rsidR="008D081F" w:rsidRPr="00C36303">
        <w:rPr>
          <w:rFonts w:ascii="Arial" w:hAnsi="Arial" w:cs="Arial"/>
          <w:sz w:val="24"/>
          <w:szCs w:val="24"/>
          <w:lang w:val="es-CO"/>
        </w:rPr>
        <w:t>682</w:t>
      </w:r>
      <w:r w:rsidRPr="00C36303">
        <w:rPr>
          <w:rFonts w:ascii="Arial" w:hAnsi="Arial" w:cs="Arial"/>
          <w:sz w:val="24"/>
          <w:szCs w:val="24"/>
          <w:lang w:val="es-CO"/>
        </w:rPr>
        <w:t>-</w:t>
      </w:r>
      <w:r w:rsidR="00101ED4" w:rsidRPr="00C36303">
        <w:rPr>
          <w:rFonts w:ascii="Arial" w:hAnsi="Arial" w:cs="Arial"/>
          <w:sz w:val="24"/>
          <w:szCs w:val="24"/>
          <w:lang w:val="es-CO"/>
        </w:rPr>
        <w:t>40</w:t>
      </w:r>
      <w:r w:rsidRPr="00C36303">
        <w:rPr>
          <w:rFonts w:ascii="Arial" w:hAnsi="Arial" w:cs="Arial"/>
          <w:sz w:val="24"/>
          <w:szCs w:val="24"/>
          <w:lang w:val="es-CO"/>
        </w:rPr>
        <w:t>-03-00</w:t>
      </w:r>
      <w:r w:rsidR="004460B5" w:rsidRPr="00C36303">
        <w:rPr>
          <w:rFonts w:ascii="Arial" w:hAnsi="Arial" w:cs="Arial"/>
          <w:sz w:val="24"/>
          <w:szCs w:val="24"/>
          <w:lang w:val="es-CO"/>
        </w:rPr>
        <w:t>2</w:t>
      </w:r>
      <w:r w:rsidRPr="00C36303">
        <w:rPr>
          <w:rFonts w:ascii="Arial" w:hAnsi="Arial" w:cs="Arial"/>
          <w:sz w:val="24"/>
          <w:szCs w:val="24"/>
          <w:lang w:val="es-CO"/>
        </w:rPr>
        <w:t>-201</w:t>
      </w:r>
      <w:r w:rsidR="004460B5" w:rsidRPr="00C36303">
        <w:rPr>
          <w:rFonts w:ascii="Arial" w:hAnsi="Arial" w:cs="Arial"/>
          <w:sz w:val="24"/>
          <w:szCs w:val="24"/>
          <w:lang w:val="es-CO"/>
        </w:rPr>
        <w:t>8</w:t>
      </w:r>
      <w:r w:rsidRPr="00C36303">
        <w:rPr>
          <w:rFonts w:ascii="Arial" w:hAnsi="Arial" w:cs="Arial"/>
          <w:sz w:val="24"/>
          <w:szCs w:val="24"/>
          <w:lang w:val="es-CO"/>
        </w:rPr>
        <w:t>-00</w:t>
      </w:r>
      <w:r w:rsidR="004460B5" w:rsidRPr="00C36303">
        <w:rPr>
          <w:rFonts w:ascii="Arial" w:hAnsi="Arial" w:cs="Arial"/>
          <w:sz w:val="24"/>
          <w:szCs w:val="24"/>
          <w:lang w:val="es-CO"/>
        </w:rPr>
        <w:t>682</w:t>
      </w:r>
      <w:r w:rsidRPr="00C36303">
        <w:rPr>
          <w:rFonts w:ascii="Arial" w:hAnsi="Arial" w:cs="Arial"/>
          <w:sz w:val="24"/>
          <w:szCs w:val="24"/>
          <w:lang w:val="es-CO"/>
        </w:rPr>
        <w:t>-01</w:t>
      </w:r>
    </w:p>
    <w:p w:rsidR="00205D2B" w:rsidRPr="00C36303" w:rsidRDefault="00205D2B" w:rsidP="00C36303">
      <w:pPr>
        <w:spacing w:line="288" w:lineRule="auto"/>
        <w:ind w:left="2552"/>
        <w:rPr>
          <w:rFonts w:ascii="Arial" w:hAnsi="Arial" w:cs="Arial"/>
          <w:sz w:val="24"/>
          <w:szCs w:val="24"/>
          <w:lang w:val="es-CO"/>
        </w:rPr>
      </w:pPr>
      <w:r w:rsidRPr="00C36303">
        <w:rPr>
          <w:rFonts w:ascii="Arial" w:hAnsi="Arial" w:cs="Arial"/>
          <w:sz w:val="24"/>
          <w:szCs w:val="24"/>
          <w:lang w:val="es-CO"/>
        </w:rPr>
        <w:t>Asunto: Dirime conflicto de competencia</w:t>
      </w:r>
    </w:p>
    <w:p w:rsidR="00205D2B" w:rsidRPr="00C36303" w:rsidRDefault="00205D2B" w:rsidP="00C36303">
      <w:pPr>
        <w:spacing w:line="288" w:lineRule="auto"/>
        <w:ind w:left="2552"/>
        <w:rPr>
          <w:rFonts w:ascii="Arial" w:hAnsi="Arial" w:cs="Arial"/>
          <w:bCs/>
          <w:sz w:val="24"/>
          <w:szCs w:val="24"/>
          <w:lang w:val="es-CO"/>
        </w:rPr>
      </w:pPr>
      <w:r w:rsidRPr="00C36303">
        <w:rPr>
          <w:rFonts w:ascii="Arial" w:hAnsi="Arial" w:cs="Arial"/>
          <w:sz w:val="24"/>
          <w:szCs w:val="24"/>
          <w:lang w:val="es-CO"/>
        </w:rPr>
        <w:t>_________________________________________</w:t>
      </w:r>
    </w:p>
    <w:p w:rsidR="004E3ED5" w:rsidRPr="00C36303" w:rsidRDefault="004E3ED5" w:rsidP="00C36303">
      <w:pPr>
        <w:spacing w:line="288" w:lineRule="auto"/>
        <w:ind w:left="2552"/>
        <w:jc w:val="center"/>
        <w:rPr>
          <w:rFonts w:ascii="Arial" w:hAnsi="Arial" w:cs="Arial"/>
          <w:b/>
          <w:bCs/>
          <w:sz w:val="24"/>
          <w:szCs w:val="24"/>
          <w:lang w:val="es-CO"/>
        </w:rPr>
      </w:pPr>
    </w:p>
    <w:p w:rsidR="004E3ED5" w:rsidRPr="00C36303" w:rsidRDefault="004E3ED5" w:rsidP="00C36303">
      <w:pPr>
        <w:pStyle w:val="Sinespaciado1"/>
        <w:spacing w:line="288" w:lineRule="auto"/>
        <w:rPr>
          <w:rFonts w:ascii="Arial" w:hAnsi="Arial" w:cs="Arial"/>
          <w:sz w:val="24"/>
          <w:szCs w:val="24"/>
          <w:lang w:eastAsia="es-ES"/>
        </w:rPr>
      </w:pPr>
    </w:p>
    <w:p w:rsidR="004E3ED5" w:rsidRPr="00C36303" w:rsidRDefault="004E3ED5" w:rsidP="00C36303">
      <w:pPr>
        <w:pStyle w:val="Sinespaciado1"/>
        <w:tabs>
          <w:tab w:val="left" w:pos="4635"/>
        </w:tabs>
        <w:spacing w:line="288" w:lineRule="auto"/>
        <w:ind w:firstLine="2520"/>
        <w:jc w:val="both"/>
        <w:rPr>
          <w:rFonts w:ascii="Arial" w:hAnsi="Arial" w:cs="Arial"/>
          <w:b/>
          <w:sz w:val="24"/>
          <w:szCs w:val="24"/>
          <w:lang w:eastAsia="es-ES"/>
        </w:rPr>
      </w:pPr>
      <w:r w:rsidRPr="00C36303">
        <w:rPr>
          <w:rFonts w:ascii="Arial" w:hAnsi="Arial" w:cs="Arial"/>
          <w:b/>
          <w:sz w:val="24"/>
          <w:szCs w:val="24"/>
          <w:lang w:eastAsia="es-ES"/>
        </w:rPr>
        <w:t>I. Asunto</w:t>
      </w:r>
    </w:p>
    <w:p w:rsidR="004E3ED5" w:rsidRPr="00C36303" w:rsidRDefault="004E3ED5" w:rsidP="00C36303">
      <w:pPr>
        <w:pStyle w:val="Sinespaciado1"/>
        <w:spacing w:line="288" w:lineRule="auto"/>
        <w:ind w:firstLine="2520"/>
        <w:jc w:val="both"/>
        <w:rPr>
          <w:rFonts w:ascii="Arial" w:hAnsi="Arial" w:cs="Arial"/>
          <w:bCs/>
          <w:sz w:val="24"/>
          <w:szCs w:val="24"/>
        </w:rPr>
      </w:pPr>
    </w:p>
    <w:p w:rsidR="004E3ED5" w:rsidRPr="00C36303" w:rsidRDefault="00320373" w:rsidP="00C36303">
      <w:pPr>
        <w:pStyle w:val="Sinespaciado1"/>
        <w:spacing w:line="288" w:lineRule="auto"/>
        <w:ind w:firstLine="2520"/>
        <w:jc w:val="both"/>
        <w:rPr>
          <w:rFonts w:ascii="Arial" w:hAnsi="Arial" w:cs="Arial"/>
          <w:bCs/>
          <w:sz w:val="24"/>
          <w:szCs w:val="24"/>
        </w:rPr>
      </w:pPr>
      <w:r w:rsidRPr="00C36303">
        <w:rPr>
          <w:rFonts w:ascii="Arial" w:hAnsi="Arial" w:cs="Arial"/>
          <w:bCs/>
          <w:sz w:val="24"/>
          <w:szCs w:val="24"/>
        </w:rPr>
        <w:t xml:space="preserve">Decídase el conflicto de competencia que surgió entre </w:t>
      </w:r>
      <w:r w:rsidR="00493E30" w:rsidRPr="00C36303">
        <w:rPr>
          <w:rFonts w:ascii="Arial" w:hAnsi="Arial" w:cs="Arial"/>
          <w:bCs/>
          <w:sz w:val="24"/>
          <w:szCs w:val="24"/>
        </w:rPr>
        <w:t xml:space="preserve">los </w:t>
      </w:r>
      <w:r w:rsidR="0080183D" w:rsidRPr="00C36303">
        <w:rPr>
          <w:rFonts w:ascii="Arial" w:hAnsi="Arial" w:cs="Arial"/>
          <w:bCs/>
          <w:sz w:val="24"/>
          <w:szCs w:val="24"/>
        </w:rPr>
        <w:t xml:space="preserve">JUZGADOS </w:t>
      </w:r>
      <w:r w:rsidR="008E4FC9" w:rsidRPr="00C36303">
        <w:rPr>
          <w:rFonts w:ascii="Arial" w:hAnsi="Arial" w:cs="Arial"/>
          <w:bCs/>
          <w:sz w:val="24"/>
          <w:szCs w:val="24"/>
        </w:rPr>
        <w:t>OCTAVO</w:t>
      </w:r>
      <w:r w:rsidR="003F7F3D" w:rsidRPr="00C36303">
        <w:rPr>
          <w:rFonts w:ascii="Arial" w:hAnsi="Arial" w:cs="Arial"/>
          <w:bCs/>
          <w:sz w:val="24"/>
          <w:szCs w:val="24"/>
        </w:rPr>
        <w:t xml:space="preserve"> </w:t>
      </w:r>
      <w:r w:rsidR="0080183D" w:rsidRPr="00C36303">
        <w:rPr>
          <w:rFonts w:ascii="Arial" w:hAnsi="Arial" w:cs="Arial"/>
          <w:bCs/>
          <w:sz w:val="24"/>
          <w:szCs w:val="24"/>
        </w:rPr>
        <w:t xml:space="preserve">CIVIL MUNICIPAL DE </w:t>
      </w:r>
      <w:r w:rsidR="004460B5" w:rsidRPr="00C36303">
        <w:rPr>
          <w:rFonts w:ascii="Arial" w:hAnsi="Arial" w:cs="Arial"/>
          <w:bCs/>
          <w:sz w:val="24"/>
          <w:szCs w:val="24"/>
        </w:rPr>
        <w:t>PEREIRA</w:t>
      </w:r>
      <w:r w:rsidR="0080183D" w:rsidRPr="00C36303">
        <w:rPr>
          <w:rFonts w:ascii="Arial" w:hAnsi="Arial" w:cs="Arial"/>
          <w:bCs/>
          <w:sz w:val="24"/>
          <w:szCs w:val="24"/>
        </w:rPr>
        <w:t xml:space="preserve"> </w:t>
      </w:r>
      <w:r w:rsidR="00493E30" w:rsidRPr="00C36303">
        <w:rPr>
          <w:rFonts w:ascii="Arial" w:hAnsi="Arial" w:cs="Arial"/>
          <w:bCs/>
          <w:sz w:val="24"/>
          <w:szCs w:val="24"/>
        </w:rPr>
        <w:t xml:space="preserve">y </w:t>
      </w:r>
      <w:r w:rsidR="004460B5" w:rsidRPr="00C36303">
        <w:rPr>
          <w:rFonts w:ascii="Arial" w:hAnsi="Arial" w:cs="Arial"/>
          <w:bCs/>
          <w:sz w:val="24"/>
          <w:szCs w:val="24"/>
        </w:rPr>
        <w:t>SEGUNDO</w:t>
      </w:r>
      <w:r w:rsidR="0080183D" w:rsidRPr="00C36303">
        <w:rPr>
          <w:rFonts w:ascii="Arial" w:hAnsi="Arial" w:cs="Arial"/>
          <w:bCs/>
          <w:sz w:val="24"/>
          <w:szCs w:val="24"/>
        </w:rPr>
        <w:t xml:space="preserve"> CIVIL MUNICIPAL DE </w:t>
      </w:r>
      <w:r w:rsidR="00603ACB" w:rsidRPr="00C36303">
        <w:rPr>
          <w:rFonts w:ascii="Arial" w:hAnsi="Arial" w:cs="Arial"/>
          <w:bCs/>
          <w:sz w:val="24"/>
          <w:szCs w:val="24"/>
        </w:rPr>
        <w:t>SANTA ROSA</w:t>
      </w:r>
      <w:r w:rsidRPr="00C36303">
        <w:rPr>
          <w:rFonts w:ascii="Arial" w:hAnsi="Arial" w:cs="Arial"/>
          <w:bCs/>
          <w:sz w:val="24"/>
          <w:szCs w:val="24"/>
        </w:rPr>
        <w:t xml:space="preserve">, atinente al conocimiento del </w:t>
      </w:r>
      <w:r w:rsidR="005D1DAA" w:rsidRPr="00C36303">
        <w:rPr>
          <w:rFonts w:ascii="Arial" w:hAnsi="Arial" w:cs="Arial"/>
          <w:bCs/>
          <w:sz w:val="24"/>
          <w:szCs w:val="24"/>
        </w:rPr>
        <w:t>e</w:t>
      </w:r>
      <w:r w:rsidRPr="00C36303">
        <w:rPr>
          <w:rFonts w:ascii="Arial" w:hAnsi="Arial" w:cs="Arial"/>
          <w:bCs/>
          <w:sz w:val="24"/>
          <w:szCs w:val="24"/>
        </w:rPr>
        <w:t>jecutivo</w:t>
      </w:r>
      <w:r w:rsidR="0080183D" w:rsidRPr="00C36303">
        <w:rPr>
          <w:rFonts w:ascii="Arial" w:hAnsi="Arial" w:cs="Arial"/>
          <w:bCs/>
          <w:sz w:val="24"/>
          <w:szCs w:val="24"/>
        </w:rPr>
        <w:t xml:space="preserve"> </w:t>
      </w:r>
      <w:r w:rsidR="005977D9" w:rsidRPr="00C36303">
        <w:rPr>
          <w:rFonts w:ascii="Arial" w:hAnsi="Arial" w:cs="Arial"/>
          <w:bCs/>
          <w:sz w:val="24"/>
          <w:szCs w:val="24"/>
        </w:rPr>
        <w:t>promovido</w:t>
      </w:r>
      <w:r w:rsidR="00493E30" w:rsidRPr="00C36303">
        <w:rPr>
          <w:rFonts w:ascii="Arial" w:hAnsi="Arial" w:cs="Arial"/>
          <w:bCs/>
          <w:sz w:val="24"/>
          <w:szCs w:val="24"/>
        </w:rPr>
        <w:t xml:space="preserve"> por</w:t>
      </w:r>
      <w:r w:rsidR="0080183D" w:rsidRPr="00C36303">
        <w:rPr>
          <w:rFonts w:ascii="Arial" w:hAnsi="Arial" w:cs="Arial"/>
          <w:bCs/>
          <w:sz w:val="24"/>
          <w:szCs w:val="24"/>
        </w:rPr>
        <w:t xml:space="preserve"> </w:t>
      </w:r>
      <w:r w:rsidR="004460B5" w:rsidRPr="00C36303">
        <w:rPr>
          <w:rFonts w:ascii="Arial" w:hAnsi="Arial" w:cs="Arial"/>
          <w:bCs/>
          <w:sz w:val="24"/>
          <w:szCs w:val="24"/>
        </w:rPr>
        <w:t>la Cooperativa Multiactiva del Pacífico COOP-PACIFICO</w:t>
      </w:r>
      <w:r w:rsidR="0080183D" w:rsidRPr="00C36303">
        <w:rPr>
          <w:rFonts w:ascii="Arial" w:hAnsi="Arial" w:cs="Arial"/>
          <w:bCs/>
          <w:sz w:val="24"/>
          <w:szCs w:val="24"/>
        </w:rPr>
        <w:t xml:space="preserve"> </w:t>
      </w:r>
      <w:r w:rsidR="00A117D1" w:rsidRPr="00C36303">
        <w:rPr>
          <w:rFonts w:ascii="Arial" w:hAnsi="Arial" w:cs="Arial"/>
          <w:bCs/>
          <w:sz w:val="24"/>
          <w:szCs w:val="24"/>
        </w:rPr>
        <w:t>frente a</w:t>
      </w:r>
      <w:r w:rsidR="0080183D" w:rsidRPr="00C36303">
        <w:rPr>
          <w:rFonts w:ascii="Arial" w:hAnsi="Arial" w:cs="Arial"/>
          <w:bCs/>
          <w:sz w:val="24"/>
          <w:szCs w:val="24"/>
        </w:rPr>
        <w:t xml:space="preserve"> </w:t>
      </w:r>
      <w:r w:rsidR="004460B5" w:rsidRPr="00C36303">
        <w:rPr>
          <w:rFonts w:ascii="Arial" w:hAnsi="Arial" w:cs="Arial"/>
          <w:bCs/>
          <w:sz w:val="24"/>
          <w:szCs w:val="24"/>
        </w:rPr>
        <w:t>Fabián Cifuentes Montoya</w:t>
      </w:r>
      <w:r w:rsidR="004E3ED5" w:rsidRPr="00C36303">
        <w:rPr>
          <w:rFonts w:ascii="Arial" w:hAnsi="Arial" w:cs="Arial"/>
          <w:bCs/>
          <w:sz w:val="24"/>
          <w:szCs w:val="24"/>
        </w:rPr>
        <w:t>.</w:t>
      </w:r>
    </w:p>
    <w:p w:rsidR="004E3ED5" w:rsidRPr="00C36303" w:rsidRDefault="004E3ED5" w:rsidP="00C36303">
      <w:pPr>
        <w:pStyle w:val="Sinespaciado1"/>
        <w:spacing w:line="288" w:lineRule="auto"/>
        <w:ind w:firstLine="2520"/>
        <w:jc w:val="both"/>
        <w:rPr>
          <w:rFonts w:ascii="Arial" w:hAnsi="Arial" w:cs="Arial"/>
          <w:b/>
          <w:sz w:val="24"/>
          <w:szCs w:val="24"/>
          <w:lang w:eastAsia="es-ES"/>
        </w:rPr>
      </w:pPr>
    </w:p>
    <w:p w:rsidR="004E3ED5" w:rsidRPr="00C36303" w:rsidRDefault="004E3ED5" w:rsidP="00C36303">
      <w:pPr>
        <w:pStyle w:val="Sinespaciado1"/>
        <w:spacing w:line="288" w:lineRule="auto"/>
        <w:ind w:firstLine="2520"/>
        <w:jc w:val="both"/>
        <w:rPr>
          <w:rFonts w:ascii="Arial" w:hAnsi="Arial" w:cs="Arial"/>
          <w:b/>
          <w:bCs/>
          <w:sz w:val="24"/>
          <w:szCs w:val="24"/>
          <w:lang w:eastAsia="es-ES"/>
        </w:rPr>
      </w:pPr>
      <w:r w:rsidRPr="00C36303">
        <w:rPr>
          <w:rFonts w:ascii="Arial" w:hAnsi="Arial" w:cs="Arial"/>
          <w:b/>
          <w:bCs/>
          <w:sz w:val="24"/>
          <w:szCs w:val="24"/>
          <w:lang w:eastAsia="es-ES"/>
        </w:rPr>
        <w:t>II. Antecedentes</w:t>
      </w:r>
    </w:p>
    <w:p w:rsidR="004E3ED5" w:rsidRPr="00C36303" w:rsidRDefault="004E3ED5" w:rsidP="00C36303">
      <w:pPr>
        <w:pStyle w:val="Sinespaciado1"/>
        <w:spacing w:line="288" w:lineRule="auto"/>
        <w:ind w:firstLine="2520"/>
        <w:jc w:val="both"/>
        <w:rPr>
          <w:rFonts w:ascii="Arial" w:hAnsi="Arial" w:cs="Arial"/>
          <w:b/>
          <w:bCs/>
          <w:sz w:val="24"/>
          <w:szCs w:val="24"/>
          <w:lang w:eastAsia="es-ES"/>
        </w:rPr>
      </w:pPr>
    </w:p>
    <w:p w:rsidR="00C253D4" w:rsidRPr="00C36303" w:rsidRDefault="004E3ED5" w:rsidP="00C36303">
      <w:pPr>
        <w:pStyle w:val="Sinespaciado1"/>
        <w:spacing w:line="288" w:lineRule="auto"/>
        <w:ind w:firstLine="2520"/>
        <w:jc w:val="both"/>
        <w:rPr>
          <w:rFonts w:ascii="Arial" w:hAnsi="Arial" w:cs="Arial"/>
          <w:sz w:val="24"/>
          <w:szCs w:val="24"/>
        </w:rPr>
      </w:pPr>
      <w:r w:rsidRPr="00C36303">
        <w:rPr>
          <w:rFonts w:ascii="Arial" w:hAnsi="Arial" w:cs="Arial"/>
          <w:sz w:val="24"/>
          <w:szCs w:val="24"/>
        </w:rPr>
        <w:t xml:space="preserve">1. </w:t>
      </w:r>
      <w:r w:rsidR="00483CA8" w:rsidRPr="00C36303">
        <w:rPr>
          <w:rFonts w:ascii="Arial" w:hAnsi="Arial" w:cs="Arial"/>
          <w:sz w:val="24"/>
          <w:szCs w:val="24"/>
        </w:rPr>
        <w:t>La demanda</w:t>
      </w:r>
      <w:r w:rsidR="005C5B3C" w:rsidRPr="00C36303">
        <w:rPr>
          <w:rFonts w:ascii="Arial" w:hAnsi="Arial" w:cs="Arial"/>
          <w:sz w:val="24"/>
          <w:szCs w:val="24"/>
        </w:rPr>
        <w:t xml:space="preserve"> </w:t>
      </w:r>
      <w:r w:rsidR="00C253D4" w:rsidRPr="00C36303">
        <w:rPr>
          <w:rFonts w:ascii="Arial" w:hAnsi="Arial" w:cs="Arial"/>
          <w:sz w:val="24"/>
          <w:szCs w:val="24"/>
        </w:rPr>
        <w:t xml:space="preserve">correspondió al Juzgado </w:t>
      </w:r>
      <w:r w:rsidR="002C73B8" w:rsidRPr="00C36303">
        <w:rPr>
          <w:rFonts w:ascii="Arial" w:hAnsi="Arial" w:cs="Arial"/>
          <w:sz w:val="24"/>
          <w:szCs w:val="24"/>
        </w:rPr>
        <w:t>Octavo</w:t>
      </w:r>
      <w:r w:rsidR="008E4FC9" w:rsidRPr="00C36303">
        <w:rPr>
          <w:rFonts w:ascii="Arial" w:hAnsi="Arial" w:cs="Arial"/>
          <w:sz w:val="24"/>
          <w:szCs w:val="24"/>
        </w:rPr>
        <w:t xml:space="preserve"> </w:t>
      </w:r>
      <w:r w:rsidR="00C253D4" w:rsidRPr="00C36303">
        <w:rPr>
          <w:rFonts w:ascii="Arial" w:hAnsi="Arial" w:cs="Arial"/>
          <w:sz w:val="24"/>
          <w:szCs w:val="24"/>
        </w:rPr>
        <w:t xml:space="preserve">Civil Municipal de </w:t>
      </w:r>
      <w:r w:rsidR="008E4FC9" w:rsidRPr="00C36303">
        <w:rPr>
          <w:rFonts w:ascii="Arial" w:hAnsi="Arial" w:cs="Arial"/>
          <w:sz w:val="24"/>
          <w:szCs w:val="24"/>
        </w:rPr>
        <w:t>Pereira</w:t>
      </w:r>
      <w:r w:rsidR="00411851" w:rsidRPr="00C36303">
        <w:rPr>
          <w:rFonts w:ascii="Arial" w:hAnsi="Arial" w:cs="Arial"/>
          <w:sz w:val="24"/>
          <w:szCs w:val="24"/>
        </w:rPr>
        <w:t>;</w:t>
      </w:r>
      <w:r w:rsidR="00C253D4" w:rsidRPr="00C36303">
        <w:rPr>
          <w:rFonts w:ascii="Arial" w:hAnsi="Arial" w:cs="Arial"/>
          <w:sz w:val="24"/>
          <w:szCs w:val="24"/>
        </w:rPr>
        <w:t xml:space="preserve"> por auto del </w:t>
      </w:r>
      <w:r w:rsidR="008E4FC9" w:rsidRPr="00C36303">
        <w:rPr>
          <w:rFonts w:ascii="Arial" w:hAnsi="Arial" w:cs="Arial"/>
          <w:sz w:val="24"/>
          <w:szCs w:val="24"/>
        </w:rPr>
        <w:t>23</w:t>
      </w:r>
      <w:r w:rsidR="00C253D4" w:rsidRPr="00C36303">
        <w:rPr>
          <w:rFonts w:ascii="Arial" w:hAnsi="Arial" w:cs="Arial"/>
          <w:sz w:val="24"/>
          <w:szCs w:val="24"/>
        </w:rPr>
        <w:t xml:space="preserve"> de </w:t>
      </w:r>
      <w:r w:rsidR="008E4FC9" w:rsidRPr="00C36303">
        <w:rPr>
          <w:rFonts w:ascii="Arial" w:hAnsi="Arial" w:cs="Arial"/>
          <w:sz w:val="24"/>
          <w:szCs w:val="24"/>
        </w:rPr>
        <w:t>noviembre de 2017,</w:t>
      </w:r>
      <w:r w:rsidR="00C253D4" w:rsidRPr="00C36303">
        <w:rPr>
          <w:rFonts w:ascii="Arial" w:hAnsi="Arial" w:cs="Arial"/>
          <w:sz w:val="24"/>
          <w:szCs w:val="24"/>
        </w:rPr>
        <w:t xml:space="preserve"> la rechaz</w:t>
      </w:r>
      <w:r w:rsidR="006661A5" w:rsidRPr="00C36303">
        <w:rPr>
          <w:rFonts w:ascii="Arial" w:hAnsi="Arial" w:cs="Arial"/>
          <w:sz w:val="24"/>
          <w:szCs w:val="24"/>
        </w:rPr>
        <w:t xml:space="preserve">ó por competencia, considerando lo era el juez del municipio de Santa Rosa de Cabal, por cuanto </w:t>
      </w:r>
      <w:r w:rsidR="006661A5" w:rsidRPr="00C36303">
        <w:rPr>
          <w:rFonts w:ascii="Arial" w:hAnsi="Arial" w:cs="Arial"/>
          <w:i/>
          <w:sz w:val="24"/>
          <w:szCs w:val="24"/>
        </w:rPr>
        <w:t>“nítidamente lo señala la demanda”</w:t>
      </w:r>
      <w:r w:rsidR="006661A5" w:rsidRPr="00C36303">
        <w:rPr>
          <w:rFonts w:ascii="Arial" w:hAnsi="Arial" w:cs="Arial"/>
          <w:sz w:val="24"/>
          <w:szCs w:val="24"/>
        </w:rPr>
        <w:t xml:space="preserve">, el demandado </w:t>
      </w:r>
      <w:r w:rsidR="006661A5" w:rsidRPr="00C36303">
        <w:rPr>
          <w:rFonts w:ascii="Arial" w:hAnsi="Arial" w:cs="Arial"/>
          <w:i/>
          <w:sz w:val="24"/>
          <w:szCs w:val="24"/>
        </w:rPr>
        <w:t>“se encuentra domiciliado en ese municipio. Así lo consagra la regla 1 del artículo 28 del Código General del Proceso (…)”</w:t>
      </w:r>
      <w:r w:rsidR="00ED0294" w:rsidRPr="00C36303">
        <w:rPr>
          <w:rFonts w:ascii="Arial" w:hAnsi="Arial" w:cs="Arial"/>
          <w:i/>
          <w:sz w:val="24"/>
          <w:szCs w:val="24"/>
        </w:rPr>
        <w:t xml:space="preserve"> </w:t>
      </w:r>
      <w:r w:rsidR="00ED0294" w:rsidRPr="00C36303">
        <w:rPr>
          <w:rFonts w:ascii="Arial" w:hAnsi="Arial" w:cs="Arial"/>
          <w:sz w:val="24"/>
          <w:szCs w:val="24"/>
        </w:rPr>
        <w:t xml:space="preserve">(Fl. </w:t>
      </w:r>
      <w:r w:rsidR="00570CAE" w:rsidRPr="00C36303">
        <w:rPr>
          <w:rFonts w:ascii="Arial" w:hAnsi="Arial" w:cs="Arial"/>
          <w:sz w:val="24"/>
          <w:szCs w:val="24"/>
        </w:rPr>
        <w:t>13</w:t>
      </w:r>
      <w:r w:rsidR="00ED0294" w:rsidRPr="00C36303">
        <w:rPr>
          <w:rFonts w:ascii="Arial" w:hAnsi="Arial" w:cs="Arial"/>
          <w:sz w:val="24"/>
          <w:szCs w:val="24"/>
        </w:rPr>
        <w:t xml:space="preserve"> Cd. Ppal)</w:t>
      </w:r>
      <w:r w:rsidR="00624F3C" w:rsidRPr="00C36303">
        <w:rPr>
          <w:rFonts w:ascii="Arial" w:hAnsi="Arial" w:cs="Arial"/>
          <w:sz w:val="24"/>
          <w:szCs w:val="24"/>
        </w:rPr>
        <w:t xml:space="preserve">.   </w:t>
      </w:r>
    </w:p>
    <w:p w:rsidR="00624F3C" w:rsidRPr="00C36303" w:rsidRDefault="00624F3C" w:rsidP="00C36303">
      <w:pPr>
        <w:pStyle w:val="Sinespaciado1"/>
        <w:spacing w:line="288" w:lineRule="auto"/>
        <w:ind w:firstLine="2520"/>
        <w:jc w:val="both"/>
        <w:rPr>
          <w:rFonts w:ascii="Arial" w:hAnsi="Arial" w:cs="Arial"/>
          <w:sz w:val="24"/>
          <w:szCs w:val="24"/>
        </w:rPr>
      </w:pPr>
    </w:p>
    <w:p w:rsidR="00B01029" w:rsidRPr="00C36303" w:rsidRDefault="00A15C84" w:rsidP="00C36303">
      <w:pPr>
        <w:pStyle w:val="Sinespaciado1"/>
        <w:spacing w:line="288" w:lineRule="auto"/>
        <w:ind w:firstLine="2520"/>
        <w:jc w:val="both"/>
        <w:rPr>
          <w:rFonts w:ascii="Arial" w:hAnsi="Arial" w:cs="Arial"/>
          <w:sz w:val="24"/>
          <w:szCs w:val="24"/>
        </w:rPr>
      </w:pPr>
      <w:r w:rsidRPr="00C36303">
        <w:rPr>
          <w:rFonts w:ascii="Arial" w:hAnsi="Arial" w:cs="Arial"/>
          <w:sz w:val="24"/>
          <w:szCs w:val="24"/>
        </w:rPr>
        <w:lastRenderedPageBreak/>
        <w:t xml:space="preserve">2. </w:t>
      </w:r>
      <w:r w:rsidR="005977D9" w:rsidRPr="00C36303">
        <w:rPr>
          <w:rFonts w:ascii="Arial" w:hAnsi="Arial" w:cs="Arial"/>
          <w:sz w:val="24"/>
          <w:szCs w:val="24"/>
        </w:rPr>
        <w:t xml:space="preserve">Cumplidos los trámites preceptivos, el expediente fue entregado </w:t>
      </w:r>
      <w:r w:rsidR="00624F3C" w:rsidRPr="00C36303">
        <w:rPr>
          <w:rFonts w:ascii="Arial" w:hAnsi="Arial" w:cs="Arial"/>
          <w:sz w:val="24"/>
          <w:szCs w:val="24"/>
        </w:rPr>
        <w:t xml:space="preserve">al Juzgado </w:t>
      </w:r>
      <w:r w:rsidR="00890693" w:rsidRPr="00C36303">
        <w:rPr>
          <w:rFonts w:ascii="Arial" w:hAnsi="Arial" w:cs="Arial"/>
          <w:sz w:val="24"/>
          <w:szCs w:val="24"/>
        </w:rPr>
        <w:t>Segundo</w:t>
      </w:r>
      <w:r w:rsidR="00624F3C" w:rsidRPr="00C36303">
        <w:rPr>
          <w:rFonts w:ascii="Arial" w:hAnsi="Arial" w:cs="Arial"/>
          <w:sz w:val="24"/>
          <w:szCs w:val="24"/>
        </w:rPr>
        <w:t xml:space="preserve"> Civil Municipal de</w:t>
      </w:r>
      <w:r w:rsidR="00BC7437" w:rsidRPr="00C36303">
        <w:rPr>
          <w:rFonts w:ascii="Arial" w:hAnsi="Arial" w:cs="Arial"/>
          <w:sz w:val="24"/>
          <w:szCs w:val="24"/>
        </w:rPr>
        <w:t xml:space="preserve"> Santa Rosa de Cabal</w:t>
      </w:r>
      <w:r w:rsidR="00624F3C" w:rsidRPr="00C36303">
        <w:rPr>
          <w:rFonts w:ascii="Arial" w:hAnsi="Arial" w:cs="Arial"/>
          <w:sz w:val="24"/>
          <w:szCs w:val="24"/>
        </w:rPr>
        <w:t xml:space="preserve">, no aceptó su conocimiento </w:t>
      </w:r>
      <w:r w:rsidR="00DA3EA5" w:rsidRPr="00C36303">
        <w:rPr>
          <w:rFonts w:ascii="Arial" w:hAnsi="Arial" w:cs="Arial"/>
          <w:sz w:val="24"/>
          <w:szCs w:val="24"/>
        </w:rPr>
        <w:t>–</w:t>
      </w:r>
      <w:r w:rsidR="00D46824" w:rsidRPr="00C36303">
        <w:rPr>
          <w:rFonts w:ascii="Arial" w:hAnsi="Arial" w:cs="Arial"/>
          <w:sz w:val="24"/>
          <w:szCs w:val="24"/>
        </w:rPr>
        <w:t xml:space="preserve">auto de </w:t>
      </w:r>
      <w:r w:rsidR="00890693" w:rsidRPr="00C36303">
        <w:rPr>
          <w:rFonts w:ascii="Arial" w:hAnsi="Arial" w:cs="Arial"/>
          <w:sz w:val="24"/>
          <w:szCs w:val="24"/>
        </w:rPr>
        <w:t>30</w:t>
      </w:r>
      <w:r w:rsidR="00D46824" w:rsidRPr="00C36303">
        <w:rPr>
          <w:rFonts w:ascii="Arial" w:hAnsi="Arial" w:cs="Arial"/>
          <w:sz w:val="24"/>
          <w:szCs w:val="24"/>
        </w:rPr>
        <w:t xml:space="preserve"> </w:t>
      </w:r>
      <w:r w:rsidR="00BC7437" w:rsidRPr="00C36303">
        <w:rPr>
          <w:rFonts w:ascii="Arial" w:hAnsi="Arial" w:cs="Arial"/>
          <w:sz w:val="24"/>
          <w:szCs w:val="24"/>
        </w:rPr>
        <w:t>enero</w:t>
      </w:r>
      <w:r w:rsidR="00890693" w:rsidRPr="00C36303">
        <w:rPr>
          <w:rFonts w:ascii="Arial" w:hAnsi="Arial" w:cs="Arial"/>
          <w:sz w:val="24"/>
          <w:szCs w:val="24"/>
        </w:rPr>
        <w:t xml:space="preserve"> 2019</w:t>
      </w:r>
      <w:r w:rsidR="00DA3EA5" w:rsidRPr="00C36303">
        <w:rPr>
          <w:rFonts w:ascii="Arial" w:hAnsi="Arial" w:cs="Arial"/>
          <w:sz w:val="24"/>
          <w:szCs w:val="24"/>
        </w:rPr>
        <w:t>-</w:t>
      </w:r>
      <w:r w:rsidR="003D0565" w:rsidRPr="00C36303">
        <w:rPr>
          <w:rFonts w:ascii="Arial" w:hAnsi="Arial" w:cs="Arial"/>
          <w:sz w:val="24"/>
          <w:szCs w:val="24"/>
        </w:rPr>
        <w:t>. Dijo</w:t>
      </w:r>
      <w:r w:rsidR="00BC7437" w:rsidRPr="00C36303">
        <w:rPr>
          <w:rFonts w:ascii="Arial" w:hAnsi="Arial" w:cs="Arial"/>
          <w:sz w:val="24"/>
          <w:szCs w:val="24"/>
        </w:rPr>
        <w:t xml:space="preserve">, </w:t>
      </w:r>
      <w:r w:rsidR="006208ED" w:rsidRPr="00C36303">
        <w:rPr>
          <w:rFonts w:ascii="Arial" w:hAnsi="Arial" w:cs="Arial"/>
          <w:i/>
          <w:sz w:val="24"/>
          <w:szCs w:val="24"/>
        </w:rPr>
        <w:t xml:space="preserve">“en el cuerpo del título valor, se exterioriza que el deudor se obligó a pagar el dinero prestado, en la ciudad y domicilio principal de COOP-PACIFICO” </w:t>
      </w:r>
      <w:r w:rsidR="006208ED" w:rsidRPr="00C36303">
        <w:rPr>
          <w:rFonts w:ascii="Arial" w:hAnsi="Arial" w:cs="Arial"/>
          <w:sz w:val="24"/>
          <w:szCs w:val="24"/>
        </w:rPr>
        <w:t>que según certificado de existencia y representación legal es en la ciudad de Pereira, por lo que es el juez de esta ciudad a quien corresponde conocer el asunto de conformidad con el numeral 3 del artículo 28 del CGP.</w:t>
      </w:r>
      <w:r w:rsidR="006C6EEF" w:rsidRPr="00C36303">
        <w:rPr>
          <w:rFonts w:ascii="Arial" w:hAnsi="Arial" w:cs="Arial"/>
          <w:sz w:val="24"/>
          <w:szCs w:val="24"/>
        </w:rPr>
        <w:t xml:space="preserve"> </w:t>
      </w:r>
      <w:r w:rsidR="00ED0294" w:rsidRPr="00C36303">
        <w:rPr>
          <w:rFonts w:ascii="Arial" w:hAnsi="Arial" w:cs="Arial"/>
          <w:sz w:val="24"/>
          <w:szCs w:val="24"/>
        </w:rPr>
        <w:t xml:space="preserve"> P</w:t>
      </w:r>
      <w:r w:rsidR="00D46824" w:rsidRPr="00C36303">
        <w:rPr>
          <w:rFonts w:ascii="Arial" w:hAnsi="Arial" w:cs="Arial"/>
          <w:sz w:val="24"/>
          <w:szCs w:val="24"/>
        </w:rPr>
        <w:t>rovocó con</w:t>
      </w:r>
      <w:r w:rsidR="00ED0294" w:rsidRPr="00C36303">
        <w:rPr>
          <w:rFonts w:ascii="Arial" w:hAnsi="Arial" w:cs="Arial"/>
          <w:sz w:val="24"/>
          <w:szCs w:val="24"/>
        </w:rPr>
        <w:t xml:space="preserve">flicto negativo de competencia </w:t>
      </w:r>
      <w:r w:rsidR="003357AC" w:rsidRPr="00C36303">
        <w:rPr>
          <w:rFonts w:ascii="Arial" w:hAnsi="Arial" w:cs="Arial"/>
          <w:sz w:val="24"/>
          <w:szCs w:val="24"/>
        </w:rPr>
        <w:t xml:space="preserve">(fl. </w:t>
      </w:r>
      <w:r w:rsidR="006208ED" w:rsidRPr="00C36303">
        <w:rPr>
          <w:rFonts w:ascii="Arial" w:hAnsi="Arial" w:cs="Arial"/>
          <w:sz w:val="24"/>
          <w:szCs w:val="24"/>
        </w:rPr>
        <w:t>17</w:t>
      </w:r>
      <w:r w:rsidR="003357AC" w:rsidRPr="00C36303">
        <w:rPr>
          <w:rFonts w:ascii="Arial" w:hAnsi="Arial" w:cs="Arial"/>
          <w:sz w:val="24"/>
          <w:szCs w:val="24"/>
        </w:rPr>
        <w:t xml:space="preserve"> íd.).</w:t>
      </w:r>
    </w:p>
    <w:p w:rsidR="00D5797A" w:rsidRPr="00C36303" w:rsidRDefault="00ED0294" w:rsidP="00C36303">
      <w:pPr>
        <w:pStyle w:val="Sinespaciado1"/>
        <w:tabs>
          <w:tab w:val="left" w:pos="2934"/>
        </w:tabs>
        <w:spacing w:line="288" w:lineRule="auto"/>
        <w:ind w:firstLine="2520"/>
        <w:jc w:val="both"/>
        <w:rPr>
          <w:rFonts w:ascii="Arial" w:hAnsi="Arial" w:cs="Arial"/>
          <w:sz w:val="24"/>
          <w:szCs w:val="24"/>
        </w:rPr>
      </w:pPr>
      <w:r w:rsidRPr="00C36303">
        <w:rPr>
          <w:rFonts w:ascii="Arial" w:hAnsi="Arial" w:cs="Arial"/>
          <w:sz w:val="24"/>
          <w:szCs w:val="24"/>
        </w:rPr>
        <w:tab/>
      </w:r>
    </w:p>
    <w:p w:rsidR="00D5797A" w:rsidRPr="00C36303" w:rsidRDefault="002B40B8" w:rsidP="00C36303">
      <w:pPr>
        <w:pStyle w:val="Sinespaciado1"/>
        <w:spacing w:line="288" w:lineRule="auto"/>
        <w:ind w:firstLine="2520"/>
        <w:jc w:val="both"/>
        <w:rPr>
          <w:rFonts w:ascii="Arial" w:hAnsi="Arial" w:cs="Arial"/>
          <w:sz w:val="24"/>
          <w:szCs w:val="24"/>
        </w:rPr>
      </w:pPr>
      <w:r w:rsidRPr="00C36303">
        <w:rPr>
          <w:rFonts w:ascii="Arial" w:hAnsi="Arial" w:cs="Arial"/>
          <w:sz w:val="24"/>
          <w:szCs w:val="24"/>
        </w:rPr>
        <w:t>3</w:t>
      </w:r>
      <w:r w:rsidR="00D5797A" w:rsidRPr="00C36303">
        <w:rPr>
          <w:rFonts w:ascii="Arial" w:hAnsi="Arial" w:cs="Arial"/>
          <w:sz w:val="24"/>
          <w:szCs w:val="24"/>
        </w:rPr>
        <w:t xml:space="preserve">. </w:t>
      </w:r>
      <w:r w:rsidR="00D5797A" w:rsidRPr="00C36303">
        <w:rPr>
          <w:rFonts w:ascii="Arial" w:hAnsi="Arial" w:cs="Arial"/>
          <w:bCs/>
          <w:iCs/>
          <w:sz w:val="24"/>
          <w:szCs w:val="24"/>
        </w:rPr>
        <w:t xml:space="preserve">Repartida la actuación a esta </w:t>
      </w:r>
      <w:r w:rsidR="004F096A" w:rsidRPr="00C36303">
        <w:rPr>
          <w:rFonts w:ascii="Arial" w:hAnsi="Arial" w:cs="Arial"/>
          <w:bCs/>
          <w:iCs/>
          <w:sz w:val="24"/>
          <w:szCs w:val="24"/>
        </w:rPr>
        <w:t>Corporación</w:t>
      </w:r>
      <w:r w:rsidR="00D5797A" w:rsidRPr="00C36303">
        <w:rPr>
          <w:rFonts w:ascii="Arial" w:hAnsi="Arial" w:cs="Arial"/>
          <w:bCs/>
          <w:iCs/>
          <w:sz w:val="24"/>
          <w:szCs w:val="24"/>
        </w:rPr>
        <w:t xml:space="preserve">, se procede a resolver, previas </w:t>
      </w:r>
      <w:r w:rsidR="004F096A" w:rsidRPr="00C36303">
        <w:rPr>
          <w:rFonts w:ascii="Arial" w:hAnsi="Arial" w:cs="Arial"/>
          <w:bCs/>
          <w:iCs/>
          <w:sz w:val="24"/>
          <w:szCs w:val="24"/>
        </w:rPr>
        <w:t>las siguientes</w:t>
      </w:r>
      <w:r w:rsidR="00D5797A" w:rsidRPr="00C36303">
        <w:rPr>
          <w:rFonts w:ascii="Arial" w:hAnsi="Arial" w:cs="Arial"/>
          <w:bCs/>
          <w:iCs/>
          <w:sz w:val="24"/>
          <w:szCs w:val="24"/>
        </w:rPr>
        <w:t>:</w:t>
      </w:r>
    </w:p>
    <w:p w:rsidR="004E3ED5" w:rsidRPr="00C36303" w:rsidRDefault="004E3ED5" w:rsidP="00C36303">
      <w:pPr>
        <w:pStyle w:val="Sinespaciado1"/>
        <w:spacing w:line="288" w:lineRule="auto"/>
        <w:ind w:firstLine="2520"/>
        <w:jc w:val="both"/>
        <w:rPr>
          <w:rFonts w:ascii="Arial" w:hAnsi="Arial" w:cs="Arial"/>
          <w:sz w:val="24"/>
          <w:szCs w:val="24"/>
        </w:rPr>
      </w:pPr>
    </w:p>
    <w:p w:rsidR="004E3ED5" w:rsidRPr="00C36303" w:rsidRDefault="004E3ED5" w:rsidP="00C36303">
      <w:pPr>
        <w:pStyle w:val="Sinespaciado1"/>
        <w:spacing w:line="288" w:lineRule="auto"/>
        <w:ind w:firstLine="2520"/>
        <w:jc w:val="both"/>
        <w:rPr>
          <w:rFonts w:ascii="Arial" w:hAnsi="Arial" w:cs="Arial"/>
          <w:sz w:val="24"/>
          <w:szCs w:val="24"/>
        </w:rPr>
      </w:pPr>
      <w:r w:rsidRPr="00C36303">
        <w:rPr>
          <w:rFonts w:ascii="Arial" w:hAnsi="Arial" w:cs="Arial"/>
          <w:b/>
          <w:sz w:val="24"/>
          <w:szCs w:val="24"/>
        </w:rPr>
        <w:t>III. Consideraciones</w:t>
      </w:r>
    </w:p>
    <w:p w:rsidR="004E3ED5" w:rsidRPr="00C36303" w:rsidRDefault="004E3ED5" w:rsidP="00C36303">
      <w:pPr>
        <w:pStyle w:val="Sinespaciado1"/>
        <w:spacing w:line="288" w:lineRule="auto"/>
        <w:ind w:firstLine="2520"/>
        <w:jc w:val="both"/>
        <w:rPr>
          <w:rFonts w:ascii="Arial" w:hAnsi="Arial" w:cs="Arial"/>
          <w:b/>
          <w:sz w:val="24"/>
          <w:szCs w:val="24"/>
        </w:rPr>
      </w:pPr>
    </w:p>
    <w:p w:rsidR="00D5797A" w:rsidRPr="00C36303" w:rsidRDefault="004E3ED5" w:rsidP="00C36303">
      <w:pPr>
        <w:pStyle w:val="Sinespaciado1"/>
        <w:spacing w:line="288" w:lineRule="auto"/>
        <w:ind w:firstLine="2520"/>
        <w:jc w:val="both"/>
        <w:rPr>
          <w:rFonts w:ascii="Arial" w:hAnsi="Arial" w:cs="Arial"/>
          <w:bCs/>
          <w:sz w:val="24"/>
          <w:szCs w:val="24"/>
        </w:rPr>
      </w:pPr>
      <w:r w:rsidRPr="00C36303">
        <w:rPr>
          <w:rFonts w:ascii="Arial" w:hAnsi="Arial" w:cs="Arial"/>
          <w:sz w:val="24"/>
          <w:szCs w:val="24"/>
        </w:rPr>
        <w:t xml:space="preserve">1. </w:t>
      </w:r>
      <w:r w:rsidR="001C2544" w:rsidRPr="00C36303">
        <w:rPr>
          <w:rFonts w:ascii="Arial" w:hAnsi="Arial" w:cs="Arial"/>
          <w:bCs/>
          <w:sz w:val="24"/>
          <w:szCs w:val="24"/>
        </w:rPr>
        <w:t xml:space="preserve">Esta Sala </w:t>
      </w:r>
      <w:r w:rsidR="00D5797A" w:rsidRPr="00C36303">
        <w:rPr>
          <w:rFonts w:ascii="Arial" w:hAnsi="Arial" w:cs="Arial"/>
          <w:bCs/>
          <w:sz w:val="24"/>
          <w:szCs w:val="24"/>
        </w:rPr>
        <w:t xml:space="preserve">Unitaria </w:t>
      </w:r>
      <w:r w:rsidR="001C2544" w:rsidRPr="00C36303">
        <w:rPr>
          <w:rFonts w:ascii="Arial" w:hAnsi="Arial" w:cs="Arial"/>
          <w:bCs/>
          <w:sz w:val="24"/>
          <w:szCs w:val="24"/>
        </w:rPr>
        <w:t xml:space="preserve">es competente para dirimir el </w:t>
      </w:r>
      <w:r w:rsidR="003E1FE3" w:rsidRPr="00C36303">
        <w:rPr>
          <w:rFonts w:ascii="Arial" w:hAnsi="Arial" w:cs="Arial"/>
          <w:bCs/>
          <w:sz w:val="24"/>
          <w:szCs w:val="24"/>
        </w:rPr>
        <w:t xml:space="preserve">presente </w:t>
      </w:r>
      <w:r w:rsidR="001C2544" w:rsidRPr="00C36303">
        <w:rPr>
          <w:rFonts w:ascii="Arial" w:hAnsi="Arial" w:cs="Arial"/>
          <w:bCs/>
          <w:sz w:val="24"/>
          <w:szCs w:val="24"/>
        </w:rPr>
        <w:t xml:space="preserve">conflicto negativo de competencia </w:t>
      </w:r>
      <w:r w:rsidR="00186D6E" w:rsidRPr="00C36303">
        <w:rPr>
          <w:rFonts w:ascii="Arial" w:hAnsi="Arial" w:cs="Arial"/>
          <w:color w:val="0C150C"/>
          <w:sz w:val="24"/>
          <w:szCs w:val="24"/>
          <w:lang w:val="es-MX"/>
        </w:rPr>
        <w:t xml:space="preserve">en los términos del </w:t>
      </w:r>
      <w:r w:rsidR="007E5824" w:rsidRPr="00C36303">
        <w:rPr>
          <w:rFonts w:ascii="Arial" w:hAnsi="Arial" w:cs="Arial"/>
          <w:color w:val="0C150C"/>
          <w:sz w:val="24"/>
          <w:szCs w:val="24"/>
          <w:lang w:val="es-MX"/>
        </w:rPr>
        <w:t>a</w:t>
      </w:r>
      <w:r w:rsidR="003E1FE3" w:rsidRPr="00C36303">
        <w:rPr>
          <w:rFonts w:ascii="Arial" w:hAnsi="Arial" w:cs="Arial"/>
          <w:color w:val="0C150C"/>
          <w:sz w:val="24"/>
          <w:szCs w:val="24"/>
          <w:lang w:val="es-MX"/>
        </w:rPr>
        <w:t>rtículo 139</w:t>
      </w:r>
      <w:r w:rsidR="007E5824" w:rsidRPr="00C36303">
        <w:rPr>
          <w:rFonts w:ascii="Arial" w:hAnsi="Arial" w:cs="Arial"/>
          <w:color w:val="0C150C"/>
          <w:sz w:val="24"/>
          <w:szCs w:val="24"/>
          <w:lang w:val="es-MX"/>
        </w:rPr>
        <w:t xml:space="preserve"> del Código General del Proceso</w:t>
      </w:r>
      <w:r w:rsidR="003E1FE3" w:rsidRPr="00C36303">
        <w:rPr>
          <w:rFonts w:ascii="Arial" w:hAnsi="Arial" w:cs="Arial"/>
          <w:color w:val="0C150C"/>
          <w:sz w:val="24"/>
          <w:szCs w:val="24"/>
          <w:lang w:val="es-MX"/>
        </w:rPr>
        <w:t>.</w:t>
      </w:r>
    </w:p>
    <w:p w:rsidR="00607DFB" w:rsidRPr="00C36303" w:rsidRDefault="00607DFB" w:rsidP="00C36303">
      <w:pPr>
        <w:pStyle w:val="Sinespaciado1"/>
        <w:spacing w:line="288" w:lineRule="auto"/>
        <w:ind w:firstLine="2520"/>
        <w:jc w:val="both"/>
        <w:rPr>
          <w:rFonts w:ascii="Arial" w:hAnsi="Arial" w:cs="Arial"/>
          <w:bCs/>
          <w:iCs/>
          <w:sz w:val="24"/>
          <w:szCs w:val="24"/>
        </w:rPr>
      </w:pPr>
    </w:p>
    <w:p w:rsidR="00CA4C0B" w:rsidRPr="00C36303" w:rsidRDefault="001C2544" w:rsidP="00C36303">
      <w:pPr>
        <w:pStyle w:val="Sinespaciado1"/>
        <w:spacing w:line="288" w:lineRule="auto"/>
        <w:ind w:firstLine="2520"/>
        <w:jc w:val="both"/>
        <w:rPr>
          <w:rFonts w:ascii="Arial" w:hAnsi="Arial" w:cs="Arial"/>
          <w:color w:val="000000"/>
          <w:sz w:val="24"/>
          <w:szCs w:val="24"/>
        </w:rPr>
      </w:pPr>
      <w:r w:rsidRPr="00C36303">
        <w:rPr>
          <w:rFonts w:ascii="Arial" w:hAnsi="Arial" w:cs="Arial"/>
          <w:bCs/>
          <w:iCs/>
          <w:sz w:val="24"/>
          <w:szCs w:val="24"/>
        </w:rPr>
        <w:t xml:space="preserve">2. </w:t>
      </w:r>
      <w:r w:rsidR="00D5797A" w:rsidRPr="00C36303">
        <w:rPr>
          <w:rFonts w:ascii="Arial" w:hAnsi="Arial" w:cs="Arial"/>
          <w:bCs/>
          <w:iCs/>
          <w:sz w:val="24"/>
          <w:szCs w:val="24"/>
        </w:rPr>
        <w:t xml:space="preserve"> </w:t>
      </w:r>
      <w:r w:rsidRPr="00C36303">
        <w:rPr>
          <w:rFonts w:ascii="Arial" w:hAnsi="Arial" w:cs="Arial"/>
          <w:bCs/>
          <w:iCs/>
          <w:sz w:val="24"/>
          <w:szCs w:val="24"/>
        </w:rPr>
        <w:t xml:space="preserve">Lo que corresponde definir en este caso es </w:t>
      </w:r>
      <w:r w:rsidR="006E4838" w:rsidRPr="00C36303">
        <w:rPr>
          <w:rFonts w:ascii="Arial" w:hAnsi="Arial" w:cs="Arial"/>
          <w:bCs/>
          <w:iCs/>
          <w:sz w:val="24"/>
          <w:szCs w:val="24"/>
        </w:rPr>
        <w:t xml:space="preserve">cuál de los dos juzgados en disputa </w:t>
      </w:r>
      <w:r w:rsidR="007A11A1" w:rsidRPr="00C36303">
        <w:rPr>
          <w:rFonts w:ascii="Arial" w:hAnsi="Arial" w:cs="Arial"/>
          <w:bCs/>
          <w:iCs/>
          <w:sz w:val="24"/>
          <w:szCs w:val="24"/>
        </w:rPr>
        <w:t>debe</w:t>
      </w:r>
      <w:r w:rsidR="00E66D50" w:rsidRPr="00C36303">
        <w:rPr>
          <w:rFonts w:ascii="Arial" w:hAnsi="Arial" w:cs="Arial"/>
          <w:bCs/>
          <w:iCs/>
          <w:sz w:val="24"/>
          <w:szCs w:val="24"/>
        </w:rPr>
        <w:t xml:space="preserve"> </w:t>
      </w:r>
      <w:r w:rsidR="0008257D" w:rsidRPr="00C36303">
        <w:rPr>
          <w:rFonts w:ascii="Arial" w:hAnsi="Arial" w:cs="Arial"/>
          <w:bCs/>
          <w:iCs/>
          <w:sz w:val="24"/>
          <w:szCs w:val="24"/>
        </w:rPr>
        <w:t xml:space="preserve">asumir </w:t>
      </w:r>
      <w:r w:rsidR="006E4838" w:rsidRPr="00C36303">
        <w:rPr>
          <w:rFonts w:ascii="Arial" w:hAnsi="Arial" w:cs="Arial"/>
          <w:bCs/>
          <w:iCs/>
          <w:sz w:val="24"/>
          <w:szCs w:val="24"/>
        </w:rPr>
        <w:t xml:space="preserve">el conocimiento del mencionado </w:t>
      </w:r>
      <w:r w:rsidR="004F096A" w:rsidRPr="00C36303">
        <w:rPr>
          <w:rFonts w:ascii="Arial" w:hAnsi="Arial" w:cs="Arial"/>
          <w:bCs/>
          <w:iCs/>
          <w:sz w:val="24"/>
          <w:szCs w:val="24"/>
        </w:rPr>
        <w:t>asunto</w:t>
      </w:r>
      <w:r w:rsidR="006E4838" w:rsidRPr="00C36303">
        <w:rPr>
          <w:rFonts w:ascii="Arial" w:hAnsi="Arial" w:cs="Arial"/>
          <w:bCs/>
          <w:iCs/>
          <w:sz w:val="24"/>
          <w:szCs w:val="24"/>
        </w:rPr>
        <w:t xml:space="preserve">, </w:t>
      </w:r>
      <w:r w:rsidR="005D27AB" w:rsidRPr="00C36303">
        <w:rPr>
          <w:rFonts w:ascii="Arial" w:hAnsi="Arial" w:cs="Arial"/>
          <w:bCs/>
          <w:iCs/>
          <w:sz w:val="24"/>
          <w:szCs w:val="24"/>
        </w:rPr>
        <w:t xml:space="preserve">en </w:t>
      </w:r>
      <w:r w:rsidR="00607DFB" w:rsidRPr="00C36303">
        <w:rPr>
          <w:rFonts w:ascii="Arial" w:hAnsi="Arial" w:cs="Arial"/>
          <w:bCs/>
          <w:iCs/>
          <w:sz w:val="24"/>
          <w:szCs w:val="24"/>
        </w:rPr>
        <w:t>razón del factor territorial</w:t>
      </w:r>
      <w:r w:rsidR="00AA267D" w:rsidRPr="00C36303">
        <w:rPr>
          <w:rFonts w:ascii="Arial" w:hAnsi="Arial" w:cs="Arial"/>
          <w:bCs/>
          <w:iCs/>
          <w:sz w:val="24"/>
          <w:szCs w:val="24"/>
        </w:rPr>
        <w:t>.</w:t>
      </w:r>
      <w:r w:rsidR="00607DFB" w:rsidRPr="00C36303">
        <w:rPr>
          <w:rFonts w:ascii="Arial" w:hAnsi="Arial" w:cs="Arial"/>
          <w:bCs/>
          <w:iCs/>
          <w:sz w:val="24"/>
          <w:szCs w:val="24"/>
        </w:rPr>
        <w:t xml:space="preserve"> </w:t>
      </w:r>
    </w:p>
    <w:p w:rsidR="006D2819" w:rsidRPr="00C36303" w:rsidRDefault="006D2819" w:rsidP="00C36303">
      <w:pPr>
        <w:pStyle w:val="Sinespaciado1"/>
        <w:spacing w:line="288" w:lineRule="auto"/>
        <w:ind w:firstLine="2520"/>
        <w:jc w:val="both"/>
        <w:rPr>
          <w:rFonts w:ascii="Arial" w:hAnsi="Arial" w:cs="Arial"/>
          <w:bCs/>
          <w:iCs/>
          <w:sz w:val="24"/>
          <w:szCs w:val="24"/>
        </w:rPr>
      </w:pPr>
    </w:p>
    <w:p w:rsidR="009D72CB" w:rsidRPr="00C36303" w:rsidRDefault="006D2819" w:rsidP="00C36303">
      <w:pPr>
        <w:pStyle w:val="Sinespaciado1"/>
        <w:spacing w:line="288" w:lineRule="auto"/>
        <w:ind w:firstLine="2520"/>
        <w:jc w:val="both"/>
        <w:rPr>
          <w:rFonts w:ascii="Arial" w:hAnsi="Arial" w:cs="Arial"/>
          <w:bCs/>
          <w:iCs/>
          <w:sz w:val="24"/>
          <w:szCs w:val="24"/>
        </w:rPr>
      </w:pPr>
      <w:r w:rsidRPr="00C36303">
        <w:rPr>
          <w:rFonts w:ascii="Arial" w:hAnsi="Arial" w:cs="Arial"/>
          <w:bCs/>
          <w:iCs/>
          <w:sz w:val="24"/>
          <w:szCs w:val="24"/>
        </w:rPr>
        <w:t xml:space="preserve">3. </w:t>
      </w:r>
      <w:r w:rsidR="009D72CB" w:rsidRPr="00C36303">
        <w:rPr>
          <w:rFonts w:ascii="Arial" w:hAnsi="Arial" w:cs="Arial"/>
          <w:bCs/>
          <w:iCs/>
          <w:sz w:val="24"/>
          <w:szCs w:val="24"/>
        </w:rPr>
        <w:t>A este propósito, la fijación de la competencia de la autoridad judicial para conocer de cada asunto, trámite o proceso, de tiempo atrás se efectúa según los foros, fueros, criterios, sistemas o factores establecidos en consideración a la naturaleza o materia (ratione materia) y cuantía (lex rubria) del proceso (factor objetivo), la calidad de las partes (ratione personae, factor subjetivo), naturaleza de la función (factor funcional), conexidad, economía o unicidad procesal (fuero de atracción, autos de 30 de septiembre de 1993 y 6 de octubre de 1994) y lugar (factor territorial).</w:t>
      </w:r>
    </w:p>
    <w:p w:rsidR="009D72CB" w:rsidRPr="00C36303" w:rsidRDefault="009D72CB" w:rsidP="00C36303">
      <w:pPr>
        <w:pStyle w:val="Sinespaciado1"/>
        <w:spacing w:line="288" w:lineRule="auto"/>
        <w:ind w:firstLine="2520"/>
        <w:jc w:val="both"/>
        <w:rPr>
          <w:rFonts w:ascii="Arial" w:hAnsi="Arial" w:cs="Arial"/>
          <w:bCs/>
          <w:iCs/>
          <w:sz w:val="24"/>
          <w:szCs w:val="24"/>
        </w:rPr>
      </w:pPr>
    </w:p>
    <w:p w:rsidR="00B216B6" w:rsidRPr="00C36303" w:rsidRDefault="004C50EC" w:rsidP="00C36303">
      <w:pPr>
        <w:pStyle w:val="Sinespaciado1"/>
        <w:spacing w:line="288" w:lineRule="auto"/>
        <w:ind w:firstLine="2520"/>
        <w:jc w:val="both"/>
        <w:rPr>
          <w:rFonts w:ascii="Arial" w:hAnsi="Arial" w:cs="Arial"/>
          <w:bCs/>
          <w:i/>
          <w:iCs/>
          <w:sz w:val="24"/>
          <w:szCs w:val="24"/>
        </w:rPr>
      </w:pPr>
      <w:r w:rsidRPr="00C36303">
        <w:rPr>
          <w:rFonts w:ascii="Arial" w:hAnsi="Arial" w:cs="Arial"/>
          <w:bCs/>
          <w:iCs/>
          <w:sz w:val="24"/>
          <w:szCs w:val="24"/>
        </w:rPr>
        <w:t xml:space="preserve">4. </w:t>
      </w:r>
      <w:r w:rsidR="00887086" w:rsidRPr="00C36303">
        <w:rPr>
          <w:rFonts w:ascii="Arial" w:hAnsi="Arial" w:cs="Arial"/>
          <w:bCs/>
          <w:iCs/>
          <w:sz w:val="24"/>
          <w:szCs w:val="24"/>
        </w:rPr>
        <w:t xml:space="preserve">En </w:t>
      </w:r>
      <w:r w:rsidR="009D72CB" w:rsidRPr="00C36303">
        <w:rPr>
          <w:rFonts w:ascii="Arial" w:hAnsi="Arial" w:cs="Arial"/>
          <w:bCs/>
          <w:iCs/>
          <w:sz w:val="24"/>
          <w:szCs w:val="24"/>
        </w:rPr>
        <w:t xml:space="preserve">cuanto al factor </w:t>
      </w:r>
      <w:r w:rsidRPr="00C36303">
        <w:rPr>
          <w:rFonts w:ascii="Arial" w:hAnsi="Arial" w:cs="Arial"/>
          <w:bCs/>
          <w:iCs/>
          <w:sz w:val="24"/>
          <w:szCs w:val="24"/>
        </w:rPr>
        <w:t>territorial</w:t>
      </w:r>
      <w:r w:rsidR="00B216B6" w:rsidRPr="00C36303">
        <w:rPr>
          <w:rFonts w:ascii="Arial" w:hAnsi="Arial" w:cs="Arial"/>
          <w:bCs/>
          <w:iCs/>
          <w:sz w:val="24"/>
          <w:szCs w:val="24"/>
        </w:rPr>
        <w:t xml:space="preserve"> </w:t>
      </w:r>
      <w:r w:rsidR="009D72CB" w:rsidRPr="00C36303">
        <w:rPr>
          <w:rFonts w:ascii="Arial" w:hAnsi="Arial" w:cs="Arial"/>
          <w:bCs/>
          <w:iCs/>
          <w:sz w:val="24"/>
          <w:szCs w:val="24"/>
        </w:rPr>
        <w:t xml:space="preserve">de tiempo atrás se ha dicho por la Corte Suprema de Justicia, </w:t>
      </w:r>
      <w:r w:rsidR="00B910CB" w:rsidRPr="00C36303">
        <w:rPr>
          <w:rFonts w:ascii="Arial" w:hAnsi="Arial" w:cs="Arial"/>
          <w:sz w:val="24"/>
          <w:szCs w:val="24"/>
        </w:rPr>
        <w:t xml:space="preserve">se determina conforme </w:t>
      </w:r>
      <w:r w:rsidR="00B910CB" w:rsidRPr="00C36303">
        <w:rPr>
          <w:rFonts w:ascii="Arial" w:hAnsi="Arial" w:cs="Arial"/>
          <w:i/>
          <w:sz w:val="24"/>
          <w:szCs w:val="24"/>
        </w:rPr>
        <w:t>“a los denominados fueros o foros: el personal, el real y el contractual. El primero atiende al lugar del domicilio o residencia de WNV. Exp. No. 11001-0203-000-2007-01958-00 4 las partes, empezando por la regla general del domicilio del demandado (art. 23 numeral 1º. del C. de P. C.), el segundo consulta el lugar de ubicación de los bienes o del suceso de los hechos (art. 23, numerales 8, 9 y 10, ibídem), y el contractual tiene en cuenta el lugar de cumplimiento del contrato, conforme al numeral 5º del artículo citado, fueros estos que al no ser exclusivos o privativos, sino concurrentes, su elección corresponde privativamente a la parte demandante” (CCLXI, 48).</w:t>
      </w:r>
      <w:r w:rsidR="00B910CB" w:rsidRPr="00C36303">
        <w:rPr>
          <w:rStyle w:val="Refdenotaalpie"/>
          <w:rFonts w:ascii="Arial" w:hAnsi="Arial" w:cs="Arial"/>
          <w:i/>
          <w:sz w:val="24"/>
          <w:szCs w:val="24"/>
        </w:rPr>
        <w:footnoteReference w:id="1"/>
      </w:r>
    </w:p>
    <w:p w:rsidR="008E17CF" w:rsidRPr="00C36303" w:rsidRDefault="008E17CF" w:rsidP="00C36303">
      <w:pPr>
        <w:pStyle w:val="Sinespaciado1"/>
        <w:spacing w:line="288" w:lineRule="auto"/>
        <w:ind w:firstLine="2520"/>
        <w:jc w:val="both"/>
        <w:rPr>
          <w:rFonts w:ascii="Arial" w:hAnsi="Arial" w:cs="Arial"/>
          <w:bCs/>
          <w:iCs/>
          <w:sz w:val="24"/>
          <w:szCs w:val="24"/>
        </w:rPr>
      </w:pPr>
    </w:p>
    <w:p w:rsidR="008E17CF" w:rsidRPr="00C36303" w:rsidRDefault="008E17CF" w:rsidP="00C36303">
      <w:pPr>
        <w:pStyle w:val="Sinespaciado1"/>
        <w:spacing w:line="288" w:lineRule="auto"/>
        <w:ind w:firstLine="2520"/>
        <w:jc w:val="both"/>
        <w:rPr>
          <w:rFonts w:ascii="Arial" w:hAnsi="Arial" w:cs="Arial"/>
          <w:bCs/>
          <w:iCs/>
          <w:sz w:val="24"/>
          <w:szCs w:val="24"/>
        </w:rPr>
      </w:pPr>
      <w:r w:rsidRPr="00C36303">
        <w:rPr>
          <w:rFonts w:ascii="Arial" w:hAnsi="Arial" w:cs="Arial"/>
          <w:bCs/>
          <w:iCs/>
          <w:sz w:val="24"/>
          <w:szCs w:val="24"/>
        </w:rPr>
        <w:lastRenderedPageBreak/>
        <w:t>Ciertamente, el numeral 1º del artículo 28 del Código General del Proceso, prevé:</w:t>
      </w:r>
    </w:p>
    <w:p w:rsidR="008E17CF" w:rsidRPr="00C36303" w:rsidRDefault="008E17CF" w:rsidP="00C36303">
      <w:pPr>
        <w:pStyle w:val="Sinespaciado1"/>
        <w:spacing w:line="288" w:lineRule="auto"/>
        <w:ind w:firstLine="2520"/>
        <w:jc w:val="both"/>
        <w:rPr>
          <w:rFonts w:ascii="Arial" w:hAnsi="Arial" w:cs="Arial"/>
          <w:bCs/>
          <w:iCs/>
          <w:sz w:val="24"/>
          <w:szCs w:val="24"/>
        </w:rPr>
      </w:pPr>
    </w:p>
    <w:p w:rsidR="008E17CF" w:rsidRPr="00C36303" w:rsidRDefault="008E17CF" w:rsidP="00C36303">
      <w:pPr>
        <w:pStyle w:val="Sinespaciado1"/>
        <w:spacing w:line="288" w:lineRule="auto"/>
        <w:ind w:left="851" w:right="618" w:firstLine="1666"/>
        <w:jc w:val="both"/>
        <w:rPr>
          <w:rFonts w:ascii="Arial" w:hAnsi="Arial" w:cs="Arial"/>
          <w:bCs/>
          <w:i/>
          <w:iCs/>
          <w:sz w:val="24"/>
          <w:szCs w:val="24"/>
        </w:rPr>
      </w:pPr>
      <w:r w:rsidRPr="00C36303">
        <w:rPr>
          <w:rFonts w:ascii="Arial" w:hAnsi="Arial" w:cs="Arial"/>
          <w:bCs/>
          <w:i/>
          <w:iCs/>
          <w:sz w:val="24"/>
          <w:szCs w:val="24"/>
        </w:rPr>
        <w:t>“En los procesos contenciosos, salvo disposición legal en contrario, es competente el juez del domicilio del demandado. Si son varios los demandados o el demandado tiene varios domicilios, el de cualquiera de ellos a elección del demandante. Cuando el demandado carezca de domicilio en el país, será competente el juez de su residencia. Cuando tampoco tenga residencia en el país o ésta se desconozca, será competente el juez del domicilio o de la residencia del demandante.”</w:t>
      </w:r>
    </w:p>
    <w:p w:rsidR="008E17CF" w:rsidRPr="00C36303" w:rsidRDefault="008E17CF" w:rsidP="00C36303">
      <w:pPr>
        <w:pStyle w:val="Sinespaciado1"/>
        <w:spacing w:line="288" w:lineRule="auto"/>
        <w:ind w:left="851" w:right="618" w:firstLine="1666"/>
        <w:jc w:val="both"/>
        <w:rPr>
          <w:rFonts w:ascii="Arial" w:hAnsi="Arial" w:cs="Arial"/>
          <w:bCs/>
          <w:i/>
          <w:iCs/>
          <w:sz w:val="24"/>
          <w:szCs w:val="24"/>
        </w:rPr>
      </w:pPr>
    </w:p>
    <w:p w:rsidR="008E17CF" w:rsidRPr="00C36303" w:rsidRDefault="002E2E96" w:rsidP="00C36303">
      <w:pPr>
        <w:pStyle w:val="Sinespaciado1"/>
        <w:spacing w:line="288" w:lineRule="auto"/>
        <w:ind w:firstLine="2520"/>
        <w:jc w:val="both"/>
        <w:rPr>
          <w:rFonts w:ascii="Arial" w:hAnsi="Arial" w:cs="Arial"/>
          <w:bCs/>
          <w:iCs/>
          <w:sz w:val="24"/>
          <w:szCs w:val="24"/>
        </w:rPr>
      </w:pPr>
      <w:r w:rsidRPr="00C36303">
        <w:rPr>
          <w:rFonts w:ascii="Arial" w:hAnsi="Arial" w:cs="Arial"/>
          <w:bCs/>
          <w:iCs/>
          <w:sz w:val="24"/>
          <w:szCs w:val="24"/>
        </w:rPr>
        <w:t xml:space="preserve">Y en la regla </w:t>
      </w:r>
      <w:r w:rsidR="008E17CF" w:rsidRPr="00C36303">
        <w:rPr>
          <w:rFonts w:ascii="Arial" w:hAnsi="Arial" w:cs="Arial"/>
          <w:bCs/>
          <w:iCs/>
          <w:sz w:val="24"/>
          <w:szCs w:val="24"/>
        </w:rPr>
        <w:t>3ª</w:t>
      </w:r>
      <w:r w:rsidRPr="00C36303">
        <w:rPr>
          <w:rFonts w:ascii="Arial" w:hAnsi="Arial" w:cs="Arial"/>
          <w:bCs/>
          <w:iCs/>
          <w:sz w:val="24"/>
          <w:szCs w:val="24"/>
        </w:rPr>
        <w:t xml:space="preserve"> se estableció,</w:t>
      </w:r>
      <w:r w:rsidR="008E17CF" w:rsidRPr="00C36303">
        <w:rPr>
          <w:rFonts w:ascii="Arial" w:hAnsi="Arial" w:cs="Arial"/>
          <w:bCs/>
          <w:iCs/>
          <w:sz w:val="24"/>
          <w:szCs w:val="24"/>
        </w:rPr>
        <w:t xml:space="preserve"> que: </w:t>
      </w:r>
    </w:p>
    <w:p w:rsidR="008E17CF" w:rsidRPr="00C36303" w:rsidRDefault="008E17CF" w:rsidP="00C36303">
      <w:pPr>
        <w:pStyle w:val="Sinespaciado1"/>
        <w:spacing w:line="288" w:lineRule="auto"/>
        <w:ind w:firstLine="2520"/>
        <w:jc w:val="both"/>
        <w:rPr>
          <w:rFonts w:ascii="Arial" w:hAnsi="Arial" w:cs="Arial"/>
          <w:bCs/>
          <w:iCs/>
          <w:sz w:val="24"/>
          <w:szCs w:val="24"/>
        </w:rPr>
      </w:pPr>
    </w:p>
    <w:p w:rsidR="008E17CF" w:rsidRPr="00C36303" w:rsidRDefault="008E17CF" w:rsidP="00C36303">
      <w:pPr>
        <w:pStyle w:val="Sinespaciado1"/>
        <w:spacing w:line="288" w:lineRule="auto"/>
        <w:ind w:left="851" w:right="618" w:firstLine="1667"/>
        <w:jc w:val="both"/>
        <w:rPr>
          <w:rFonts w:ascii="Arial" w:hAnsi="Arial" w:cs="Arial"/>
          <w:bCs/>
          <w:i/>
          <w:iCs/>
          <w:sz w:val="24"/>
          <w:szCs w:val="24"/>
        </w:rPr>
      </w:pPr>
      <w:r w:rsidRPr="00C36303">
        <w:rPr>
          <w:rFonts w:ascii="Arial" w:hAnsi="Arial" w:cs="Arial"/>
          <w:bCs/>
          <w:i/>
          <w:iCs/>
          <w:sz w:val="24"/>
          <w:szCs w:val="24"/>
        </w:rPr>
        <w:t>“En los procesos originados en un negocio jurídico o que involucren títulos ejecutivos es también competente el juez del lugar de cumplimiento de cualquiera de las obligaciones…”.</w:t>
      </w:r>
    </w:p>
    <w:p w:rsidR="008E17CF" w:rsidRPr="00C36303" w:rsidRDefault="008E17CF" w:rsidP="00C36303">
      <w:pPr>
        <w:pStyle w:val="Sinespaciado1"/>
        <w:spacing w:line="288" w:lineRule="auto"/>
        <w:ind w:firstLine="2520"/>
        <w:jc w:val="both"/>
        <w:rPr>
          <w:rFonts w:ascii="Arial" w:hAnsi="Arial" w:cs="Arial"/>
          <w:bCs/>
          <w:iCs/>
          <w:sz w:val="24"/>
          <w:szCs w:val="24"/>
        </w:rPr>
      </w:pPr>
    </w:p>
    <w:p w:rsidR="00044F4C" w:rsidRDefault="008E17CF" w:rsidP="00C36303">
      <w:pPr>
        <w:pStyle w:val="Sinespaciado1"/>
        <w:spacing w:line="288" w:lineRule="auto"/>
        <w:ind w:firstLine="2520"/>
        <w:jc w:val="both"/>
        <w:rPr>
          <w:rFonts w:ascii="Arial" w:hAnsi="Arial" w:cs="Arial"/>
          <w:bCs/>
          <w:iCs/>
          <w:sz w:val="24"/>
          <w:szCs w:val="24"/>
        </w:rPr>
      </w:pPr>
      <w:r w:rsidRPr="00C36303">
        <w:rPr>
          <w:rFonts w:ascii="Arial" w:hAnsi="Arial" w:cs="Arial"/>
          <w:bCs/>
          <w:iCs/>
          <w:sz w:val="24"/>
          <w:szCs w:val="24"/>
        </w:rPr>
        <w:t xml:space="preserve">Disposición que </w:t>
      </w:r>
      <w:r w:rsidR="009D559D" w:rsidRPr="00C36303">
        <w:rPr>
          <w:rFonts w:ascii="Arial" w:hAnsi="Arial" w:cs="Arial"/>
          <w:bCs/>
          <w:iCs/>
          <w:sz w:val="24"/>
          <w:szCs w:val="24"/>
        </w:rPr>
        <w:t xml:space="preserve">como lo explica el profesor Sanabria Santos, </w:t>
      </w:r>
      <w:r w:rsidRPr="00C36303">
        <w:rPr>
          <w:rFonts w:ascii="Arial" w:hAnsi="Arial" w:cs="Arial"/>
          <w:bCs/>
          <w:iCs/>
          <w:sz w:val="24"/>
          <w:szCs w:val="24"/>
        </w:rPr>
        <w:t xml:space="preserve">extiende el fuero contractual a los procesos originados en títulos ejecutivos (denominación en la cual están incluidos los títulos valores), </w:t>
      </w:r>
      <w:r w:rsidR="00E8203D" w:rsidRPr="00C36303">
        <w:rPr>
          <w:rFonts w:ascii="Arial" w:hAnsi="Arial" w:cs="Arial"/>
          <w:bCs/>
          <w:iCs/>
          <w:sz w:val="24"/>
          <w:szCs w:val="24"/>
        </w:rPr>
        <w:t xml:space="preserve">siendo claro </w:t>
      </w:r>
      <w:r w:rsidRPr="00C36303">
        <w:rPr>
          <w:rFonts w:ascii="Arial" w:hAnsi="Arial" w:cs="Arial"/>
          <w:bCs/>
          <w:iCs/>
          <w:sz w:val="24"/>
          <w:szCs w:val="24"/>
        </w:rPr>
        <w:t xml:space="preserve">que si el texto del título </w:t>
      </w:r>
      <w:r w:rsidR="009D617B" w:rsidRPr="00C36303">
        <w:rPr>
          <w:rFonts w:ascii="Arial" w:hAnsi="Arial" w:cs="Arial"/>
          <w:bCs/>
          <w:iCs/>
          <w:sz w:val="24"/>
          <w:szCs w:val="24"/>
        </w:rPr>
        <w:t>contiene</w:t>
      </w:r>
      <w:r w:rsidRPr="00C36303">
        <w:rPr>
          <w:rFonts w:ascii="Arial" w:hAnsi="Arial" w:cs="Arial"/>
          <w:bCs/>
          <w:iCs/>
          <w:sz w:val="24"/>
          <w:szCs w:val="24"/>
        </w:rPr>
        <w:t xml:space="preserve"> el lugar del pago de la obligación, en ese lugar podrá formularse la correspondiente demanda, queriendo además significar que, en aplicación de esta regla, el fuero es concurrente, porque se puede demandar en el domicilio del demandado (personal), o en el del lugar pactado para el cumplimiento de la obligación (contractual), a elección del demandante</w:t>
      </w:r>
      <w:r w:rsidRPr="00C36303">
        <w:rPr>
          <w:rStyle w:val="Refdenotaalpie"/>
          <w:rFonts w:ascii="Arial" w:hAnsi="Arial" w:cs="Arial"/>
          <w:bCs/>
          <w:iCs/>
          <w:sz w:val="24"/>
          <w:szCs w:val="24"/>
        </w:rPr>
        <w:footnoteReference w:id="2"/>
      </w:r>
      <w:r w:rsidR="008315B8">
        <w:rPr>
          <w:rFonts w:ascii="Arial" w:hAnsi="Arial" w:cs="Arial"/>
          <w:bCs/>
          <w:iCs/>
          <w:sz w:val="24"/>
          <w:szCs w:val="24"/>
        </w:rPr>
        <w:t>.</w:t>
      </w:r>
    </w:p>
    <w:p w:rsidR="008315B8" w:rsidRPr="00C36303" w:rsidRDefault="008315B8" w:rsidP="00C36303">
      <w:pPr>
        <w:pStyle w:val="Sinespaciado1"/>
        <w:spacing w:line="288" w:lineRule="auto"/>
        <w:ind w:firstLine="2520"/>
        <w:jc w:val="both"/>
        <w:rPr>
          <w:rFonts w:ascii="Arial" w:hAnsi="Arial" w:cs="Arial"/>
          <w:bCs/>
          <w:iCs/>
          <w:sz w:val="24"/>
          <w:szCs w:val="24"/>
        </w:rPr>
      </w:pPr>
    </w:p>
    <w:p w:rsidR="00B216B6" w:rsidRPr="00C36303" w:rsidRDefault="00044F4C" w:rsidP="00C36303">
      <w:pPr>
        <w:pStyle w:val="Sinespaciado1"/>
        <w:spacing w:line="288" w:lineRule="auto"/>
        <w:ind w:firstLine="2520"/>
        <w:jc w:val="both"/>
        <w:rPr>
          <w:rFonts w:ascii="Arial" w:hAnsi="Arial" w:cs="Arial"/>
          <w:bCs/>
          <w:iCs/>
          <w:sz w:val="24"/>
          <w:szCs w:val="24"/>
        </w:rPr>
      </w:pPr>
      <w:r w:rsidRPr="00C36303">
        <w:rPr>
          <w:rFonts w:ascii="Arial" w:hAnsi="Arial" w:cs="Arial"/>
          <w:bCs/>
          <w:iCs/>
          <w:sz w:val="24"/>
          <w:szCs w:val="24"/>
        </w:rPr>
        <w:t>Precisado lo anterior, se tiene que la competencia territorial para conocer del proceso ejecutivo que ocupa la atención de la sala es concurrente, de manera que para fijarla pueda optar el demandante por radicarla ante el Juez del domicilio del demandado o el del lugar pactado</w:t>
      </w:r>
      <w:r w:rsidR="00824F89" w:rsidRPr="00C36303">
        <w:rPr>
          <w:rFonts w:ascii="Arial" w:hAnsi="Arial" w:cs="Arial"/>
          <w:bCs/>
          <w:iCs/>
          <w:sz w:val="24"/>
          <w:szCs w:val="24"/>
        </w:rPr>
        <w:t xml:space="preserve"> para </w:t>
      </w:r>
      <w:r w:rsidRPr="00C36303">
        <w:rPr>
          <w:rFonts w:ascii="Arial" w:hAnsi="Arial" w:cs="Arial"/>
          <w:bCs/>
          <w:iCs/>
          <w:sz w:val="24"/>
          <w:szCs w:val="24"/>
        </w:rPr>
        <w:t>el cumplimiento de la obligación.</w:t>
      </w:r>
    </w:p>
    <w:p w:rsidR="00887086" w:rsidRPr="00C36303" w:rsidRDefault="00887086" w:rsidP="00C36303">
      <w:pPr>
        <w:pStyle w:val="Sinespaciado1"/>
        <w:spacing w:line="288" w:lineRule="auto"/>
        <w:ind w:firstLine="2520"/>
        <w:jc w:val="both"/>
        <w:rPr>
          <w:rFonts w:ascii="Arial" w:hAnsi="Arial" w:cs="Arial"/>
          <w:bCs/>
          <w:iCs/>
          <w:sz w:val="24"/>
          <w:szCs w:val="24"/>
        </w:rPr>
      </w:pPr>
    </w:p>
    <w:p w:rsidR="00EC1116" w:rsidRPr="00C36303" w:rsidRDefault="00D652C4" w:rsidP="00C36303">
      <w:pPr>
        <w:pStyle w:val="Sinespaciado1"/>
        <w:spacing w:line="288" w:lineRule="auto"/>
        <w:ind w:firstLine="2520"/>
        <w:jc w:val="both"/>
        <w:rPr>
          <w:rFonts w:ascii="Arial" w:hAnsi="Arial" w:cs="Arial"/>
          <w:bCs/>
          <w:iCs/>
          <w:sz w:val="24"/>
          <w:szCs w:val="24"/>
        </w:rPr>
      </w:pPr>
      <w:r w:rsidRPr="00C36303">
        <w:rPr>
          <w:rFonts w:ascii="Arial" w:hAnsi="Arial" w:cs="Arial"/>
          <w:bCs/>
          <w:iCs/>
          <w:sz w:val="24"/>
          <w:szCs w:val="24"/>
        </w:rPr>
        <w:t xml:space="preserve">5. </w:t>
      </w:r>
      <w:r w:rsidR="0081667F" w:rsidRPr="00C36303">
        <w:rPr>
          <w:rFonts w:ascii="Arial" w:hAnsi="Arial" w:cs="Arial"/>
          <w:bCs/>
          <w:iCs/>
          <w:sz w:val="24"/>
          <w:szCs w:val="24"/>
        </w:rPr>
        <w:t>B</w:t>
      </w:r>
      <w:r w:rsidRPr="00C36303">
        <w:rPr>
          <w:rFonts w:ascii="Arial" w:hAnsi="Arial" w:cs="Arial"/>
          <w:bCs/>
          <w:iCs/>
          <w:sz w:val="24"/>
          <w:szCs w:val="24"/>
        </w:rPr>
        <w:t xml:space="preserve">ien se ve que se trata de un proceso ejecutivo </w:t>
      </w:r>
      <w:r w:rsidR="00105829" w:rsidRPr="00C36303">
        <w:rPr>
          <w:rFonts w:ascii="Arial" w:hAnsi="Arial" w:cs="Arial"/>
          <w:bCs/>
          <w:iCs/>
          <w:sz w:val="24"/>
          <w:szCs w:val="24"/>
        </w:rPr>
        <w:t>en el que en el</w:t>
      </w:r>
      <w:r w:rsidR="00411851" w:rsidRPr="00C36303">
        <w:rPr>
          <w:rFonts w:ascii="Arial" w:hAnsi="Arial" w:cs="Arial"/>
          <w:bCs/>
          <w:iCs/>
          <w:sz w:val="24"/>
          <w:szCs w:val="24"/>
        </w:rPr>
        <w:t xml:space="preserve"> cuerpo del título </w:t>
      </w:r>
      <w:r w:rsidRPr="00C36303">
        <w:rPr>
          <w:rFonts w:ascii="Arial" w:hAnsi="Arial" w:cs="Arial"/>
          <w:bCs/>
          <w:iCs/>
          <w:sz w:val="24"/>
          <w:szCs w:val="24"/>
        </w:rPr>
        <w:t>(</w:t>
      </w:r>
      <w:r w:rsidR="00A274A5" w:rsidRPr="00C36303">
        <w:rPr>
          <w:rFonts w:ascii="Arial" w:hAnsi="Arial" w:cs="Arial"/>
          <w:bCs/>
          <w:iCs/>
          <w:sz w:val="24"/>
          <w:szCs w:val="24"/>
        </w:rPr>
        <w:t>pagaré</w:t>
      </w:r>
      <w:r w:rsidRPr="00C36303">
        <w:rPr>
          <w:rFonts w:ascii="Arial" w:hAnsi="Arial" w:cs="Arial"/>
          <w:bCs/>
          <w:iCs/>
          <w:sz w:val="24"/>
          <w:szCs w:val="24"/>
        </w:rPr>
        <w:t>),</w:t>
      </w:r>
      <w:r w:rsidR="00105829" w:rsidRPr="00C36303">
        <w:rPr>
          <w:rFonts w:ascii="Arial" w:hAnsi="Arial" w:cs="Arial"/>
          <w:bCs/>
          <w:iCs/>
          <w:sz w:val="24"/>
          <w:szCs w:val="24"/>
        </w:rPr>
        <w:t xml:space="preserve"> el señor Fabián Cifuentes Montoya, </w:t>
      </w:r>
      <w:r w:rsidR="00411851" w:rsidRPr="00C36303">
        <w:rPr>
          <w:rFonts w:ascii="Arial" w:hAnsi="Arial" w:cs="Arial"/>
          <w:bCs/>
          <w:iCs/>
          <w:sz w:val="24"/>
          <w:szCs w:val="24"/>
        </w:rPr>
        <w:t xml:space="preserve">se obligó a pagar la suma </w:t>
      </w:r>
      <w:r w:rsidR="00DF378D" w:rsidRPr="00C36303">
        <w:rPr>
          <w:rFonts w:ascii="Arial" w:hAnsi="Arial" w:cs="Arial"/>
          <w:bCs/>
          <w:iCs/>
          <w:sz w:val="24"/>
          <w:szCs w:val="24"/>
        </w:rPr>
        <w:t>de $2.300.000 a la hoy</w:t>
      </w:r>
      <w:r w:rsidR="00411851" w:rsidRPr="00C36303">
        <w:rPr>
          <w:rFonts w:ascii="Arial" w:hAnsi="Arial" w:cs="Arial"/>
          <w:bCs/>
          <w:iCs/>
          <w:sz w:val="24"/>
          <w:szCs w:val="24"/>
        </w:rPr>
        <w:t xml:space="preserve"> ejecutante, </w:t>
      </w:r>
      <w:r w:rsidR="00411851" w:rsidRPr="00C36303">
        <w:rPr>
          <w:rFonts w:ascii="Arial" w:hAnsi="Arial" w:cs="Arial"/>
          <w:bCs/>
          <w:i/>
          <w:iCs/>
          <w:sz w:val="24"/>
          <w:szCs w:val="24"/>
        </w:rPr>
        <w:t>“en la ciudad, y domicilio principal de COOP-PACÍFICO”</w:t>
      </w:r>
      <w:r w:rsidR="00DF378D" w:rsidRPr="00C36303">
        <w:rPr>
          <w:rFonts w:ascii="Arial" w:hAnsi="Arial" w:cs="Arial"/>
          <w:bCs/>
          <w:iCs/>
          <w:sz w:val="24"/>
          <w:szCs w:val="24"/>
        </w:rPr>
        <w:t xml:space="preserve"> y como bien se observa del Certificado de Existencia y Representación Legal de dicha cooperativa, su domicilio es la ciudad de Pereira </w:t>
      </w:r>
    </w:p>
    <w:p w:rsidR="00DF378D" w:rsidRPr="00C36303" w:rsidRDefault="00DF378D" w:rsidP="00C36303">
      <w:pPr>
        <w:pStyle w:val="Sinespaciado1"/>
        <w:spacing w:line="288" w:lineRule="auto"/>
        <w:ind w:firstLine="2520"/>
        <w:jc w:val="both"/>
        <w:rPr>
          <w:rFonts w:ascii="Arial" w:hAnsi="Arial" w:cs="Arial"/>
          <w:bCs/>
          <w:iCs/>
          <w:sz w:val="24"/>
          <w:szCs w:val="24"/>
        </w:rPr>
      </w:pPr>
    </w:p>
    <w:p w:rsidR="00EB79FB" w:rsidRPr="00C36303" w:rsidRDefault="00D652C4" w:rsidP="00C36303">
      <w:pPr>
        <w:pStyle w:val="Sinespaciado1"/>
        <w:spacing w:line="288" w:lineRule="auto"/>
        <w:ind w:firstLine="2520"/>
        <w:jc w:val="both"/>
        <w:rPr>
          <w:rFonts w:ascii="Arial" w:hAnsi="Arial" w:cs="Arial"/>
          <w:bCs/>
          <w:iCs/>
          <w:sz w:val="24"/>
          <w:szCs w:val="24"/>
        </w:rPr>
      </w:pPr>
      <w:r w:rsidRPr="00C36303">
        <w:rPr>
          <w:rFonts w:ascii="Arial" w:hAnsi="Arial" w:cs="Arial"/>
          <w:bCs/>
          <w:iCs/>
          <w:sz w:val="24"/>
          <w:szCs w:val="24"/>
        </w:rPr>
        <w:t xml:space="preserve">Esta circunstancia, daba competencia al juez de </w:t>
      </w:r>
      <w:r w:rsidR="00DF378D" w:rsidRPr="00C36303">
        <w:rPr>
          <w:rFonts w:ascii="Arial" w:hAnsi="Arial" w:cs="Arial"/>
          <w:bCs/>
          <w:iCs/>
          <w:sz w:val="24"/>
          <w:szCs w:val="24"/>
        </w:rPr>
        <w:t>esa</w:t>
      </w:r>
      <w:r w:rsidR="00824F89" w:rsidRPr="00C36303">
        <w:rPr>
          <w:rFonts w:ascii="Arial" w:hAnsi="Arial" w:cs="Arial"/>
          <w:bCs/>
          <w:iCs/>
          <w:sz w:val="24"/>
          <w:szCs w:val="24"/>
        </w:rPr>
        <w:t xml:space="preserve"> municip</w:t>
      </w:r>
      <w:r w:rsidR="00DF378D" w:rsidRPr="00C36303">
        <w:rPr>
          <w:rFonts w:ascii="Arial" w:hAnsi="Arial" w:cs="Arial"/>
          <w:bCs/>
          <w:iCs/>
          <w:sz w:val="24"/>
          <w:szCs w:val="24"/>
        </w:rPr>
        <w:t>alidad</w:t>
      </w:r>
      <w:r w:rsidRPr="00C36303">
        <w:rPr>
          <w:rFonts w:ascii="Arial" w:hAnsi="Arial" w:cs="Arial"/>
          <w:bCs/>
          <w:iCs/>
          <w:sz w:val="24"/>
          <w:szCs w:val="24"/>
        </w:rPr>
        <w:t xml:space="preserve"> para </w:t>
      </w:r>
      <w:r w:rsidR="00824F89" w:rsidRPr="00C36303">
        <w:rPr>
          <w:rFonts w:ascii="Arial" w:hAnsi="Arial" w:cs="Arial"/>
          <w:bCs/>
          <w:iCs/>
          <w:sz w:val="24"/>
          <w:szCs w:val="24"/>
        </w:rPr>
        <w:t xml:space="preserve">adelantar </w:t>
      </w:r>
      <w:r w:rsidRPr="00C36303">
        <w:rPr>
          <w:rFonts w:ascii="Arial" w:hAnsi="Arial" w:cs="Arial"/>
          <w:bCs/>
          <w:iCs/>
          <w:sz w:val="24"/>
          <w:szCs w:val="24"/>
        </w:rPr>
        <w:t xml:space="preserve">el asunto, </w:t>
      </w:r>
      <w:r w:rsidR="00463FD0" w:rsidRPr="00C36303">
        <w:rPr>
          <w:rFonts w:ascii="Arial" w:hAnsi="Arial" w:cs="Arial"/>
          <w:bCs/>
          <w:iCs/>
          <w:sz w:val="24"/>
          <w:szCs w:val="24"/>
        </w:rPr>
        <w:t>y aunque no se discute que el juzgador de Santa Rosa de Cabal también resulta competente para conocer de las pretensiones de la demanda</w:t>
      </w:r>
      <w:r w:rsidR="00824F89" w:rsidRPr="00C36303">
        <w:rPr>
          <w:rFonts w:ascii="Arial" w:hAnsi="Arial" w:cs="Arial"/>
          <w:bCs/>
          <w:iCs/>
          <w:sz w:val="24"/>
          <w:szCs w:val="24"/>
        </w:rPr>
        <w:t>,</w:t>
      </w:r>
      <w:r w:rsidR="00463FD0" w:rsidRPr="00C36303">
        <w:rPr>
          <w:rFonts w:ascii="Arial" w:hAnsi="Arial" w:cs="Arial"/>
          <w:bCs/>
          <w:iCs/>
          <w:sz w:val="24"/>
          <w:szCs w:val="24"/>
        </w:rPr>
        <w:t xml:space="preserve"> </w:t>
      </w:r>
      <w:r w:rsidR="00DF378D" w:rsidRPr="00C36303">
        <w:rPr>
          <w:rFonts w:ascii="Arial" w:hAnsi="Arial" w:cs="Arial"/>
          <w:bCs/>
          <w:iCs/>
          <w:sz w:val="24"/>
          <w:szCs w:val="24"/>
        </w:rPr>
        <w:t xml:space="preserve">bajo la regla general de competencia por el domicilio del demandado, </w:t>
      </w:r>
      <w:r w:rsidR="00463FD0" w:rsidRPr="00C36303">
        <w:rPr>
          <w:rFonts w:ascii="Arial" w:hAnsi="Arial" w:cs="Arial"/>
          <w:bCs/>
          <w:iCs/>
          <w:sz w:val="24"/>
          <w:szCs w:val="24"/>
        </w:rPr>
        <w:lastRenderedPageBreak/>
        <w:t>lo cierto es que</w:t>
      </w:r>
      <w:r w:rsidR="00276213" w:rsidRPr="00C36303">
        <w:rPr>
          <w:rFonts w:ascii="Arial" w:hAnsi="Arial" w:cs="Arial"/>
          <w:bCs/>
          <w:iCs/>
          <w:sz w:val="24"/>
          <w:szCs w:val="24"/>
        </w:rPr>
        <w:t>,</w:t>
      </w:r>
      <w:r w:rsidR="00463FD0" w:rsidRPr="00C36303">
        <w:rPr>
          <w:rFonts w:ascii="Arial" w:hAnsi="Arial" w:cs="Arial"/>
          <w:bCs/>
          <w:iCs/>
          <w:sz w:val="24"/>
          <w:szCs w:val="24"/>
        </w:rPr>
        <w:t xml:space="preserve"> esa no era la clara intención del ejecutante</w:t>
      </w:r>
      <w:r w:rsidR="0081667F" w:rsidRPr="00C36303">
        <w:rPr>
          <w:rFonts w:ascii="Arial" w:hAnsi="Arial" w:cs="Arial"/>
          <w:bCs/>
          <w:iCs/>
          <w:sz w:val="24"/>
          <w:szCs w:val="24"/>
        </w:rPr>
        <w:t xml:space="preserve">, quien dirigió y radicó su escrito de demanda al despacho judicial de </w:t>
      </w:r>
      <w:r w:rsidR="00DF378D" w:rsidRPr="00C36303">
        <w:rPr>
          <w:rFonts w:ascii="Arial" w:hAnsi="Arial" w:cs="Arial"/>
          <w:bCs/>
          <w:iCs/>
          <w:sz w:val="24"/>
          <w:szCs w:val="24"/>
        </w:rPr>
        <w:t>Pereira</w:t>
      </w:r>
      <w:r w:rsidR="0081667F" w:rsidRPr="00C36303">
        <w:rPr>
          <w:rFonts w:ascii="Arial" w:hAnsi="Arial" w:cs="Arial"/>
          <w:bCs/>
          <w:iCs/>
          <w:sz w:val="24"/>
          <w:szCs w:val="24"/>
        </w:rPr>
        <w:t>.</w:t>
      </w:r>
    </w:p>
    <w:p w:rsidR="00651472" w:rsidRPr="00C36303" w:rsidRDefault="00651472" w:rsidP="00C36303">
      <w:pPr>
        <w:pStyle w:val="Sinespaciado1"/>
        <w:spacing w:line="288" w:lineRule="auto"/>
        <w:ind w:firstLine="2520"/>
        <w:jc w:val="both"/>
        <w:rPr>
          <w:rFonts w:ascii="Arial" w:hAnsi="Arial" w:cs="Arial"/>
          <w:bCs/>
          <w:iCs/>
          <w:sz w:val="24"/>
          <w:szCs w:val="24"/>
        </w:rPr>
      </w:pPr>
    </w:p>
    <w:p w:rsidR="008D6A89" w:rsidRPr="00C36303" w:rsidRDefault="00824F89" w:rsidP="00C36303">
      <w:pPr>
        <w:pStyle w:val="Sinespaciado1"/>
        <w:spacing w:line="288" w:lineRule="auto"/>
        <w:ind w:firstLine="2520"/>
        <w:jc w:val="both"/>
        <w:rPr>
          <w:rFonts w:ascii="Arial" w:hAnsi="Arial" w:cs="Arial"/>
          <w:bCs/>
          <w:iCs/>
          <w:sz w:val="24"/>
          <w:szCs w:val="24"/>
        </w:rPr>
      </w:pPr>
      <w:r w:rsidRPr="00C36303">
        <w:rPr>
          <w:rFonts w:ascii="Arial" w:hAnsi="Arial" w:cs="Arial"/>
          <w:bCs/>
          <w:iCs/>
          <w:sz w:val="24"/>
          <w:szCs w:val="24"/>
        </w:rPr>
        <w:t>6</w:t>
      </w:r>
      <w:r w:rsidR="00443E3E" w:rsidRPr="00C36303">
        <w:rPr>
          <w:rFonts w:ascii="Arial" w:hAnsi="Arial" w:cs="Arial"/>
          <w:bCs/>
          <w:iCs/>
          <w:sz w:val="24"/>
          <w:szCs w:val="24"/>
        </w:rPr>
        <w:t xml:space="preserve">. </w:t>
      </w:r>
      <w:r w:rsidR="00DF5956" w:rsidRPr="00C36303">
        <w:rPr>
          <w:rFonts w:ascii="Arial" w:hAnsi="Arial" w:cs="Arial"/>
          <w:bCs/>
          <w:iCs/>
          <w:sz w:val="24"/>
          <w:szCs w:val="24"/>
        </w:rPr>
        <w:t>Entonces,</w:t>
      </w:r>
      <w:r w:rsidR="00443E3E" w:rsidRPr="00C36303">
        <w:rPr>
          <w:rFonts w:ascii="Arial" w:hAnsi="Arial" w:cs="Arial"/>
          <w:bCs/>
          <w:iCs/>
          <w:sz w:val="24"/>
          <w:szCs w:val="24"/>
        </w:rPr>
        <w:t xml:space="preserve"> en sana lógica</w:t>
      </w:r>
      <w:r w:rsidR="00651472" w:rsidRPr="00C36303">
        <w:rPr>
          <w:rFonts w:ascii="Arial" w:hAnsi="Arial" w:cs="Arial"/>
          <w:bCs/>
          <w:iCs/>
          <w:sz w:val="24"/>
          <w:szCs w:val="24"/>
        </w:rPr>
        <w:t xml:space="preserve">, se resolverá el conflicto en el sentido de que el competente para conocer del aludido asunto es el Juzgado </w:t>
      </w:r>
      <w:r w:rsidR="00E41C47" w:rsidRPr="00C36303">
        <w:rPr>
          <w:rFonts w:ascii="Arial" w:hAnsi="Arial" w:cs="Arial"/>
          <w:bCs/>
          <w:iCs/>
          <w:sz w:val="24"/>
          <w:szCs w:val="24"/>
        </w:rPr>
        <w:t xml:space="preserve">Octavo </w:t>
      </w:r>
      <w:r w:rsidR="00651472" w:rsidRPr="00C36303">
        <w:rPr>
          <w:rFonts w:ascii="Arial" w:hAnsi="Arial" w:cs="Arial"/>
          <w:bCs/>
          <w:iCs/>
          <w:sz w:val="24"/>
          <w:szCs w:val="24"/>
        </w:rPr>
        <w:t xml:space="preserve">Civil Municipal de </w:t>
      </w:r>
      <w:r w:rsidR="00E41C47" w:rsidRPr="00C36303">
        <w:rPr>
          <w:rFonts w:ascii="Arial" w:hAnsi="Arial" w:cs="Arial"/>
          <w:bCs/>
          <w:iCs/>
          <w:sz w:val="24"/>
          <w:szCs w:val="24"/>
        </w:rPr>
        <w:t>Pereira</w:t>
      </w:r>
      <w:r w:rsidR="00651472" w:rsidRPr="00C36303">
        <w:rPr>
          <w:rFonts w:ascii="Arial" w:hAnsi="Arial" w:cs="Arial"/>
          <w:bCs/>
          <w:iCs/>
          <w:sz w:val="24"/>
          <w:szCs w:val="24"/>
        </w:rPr>
        <w:t>.</w:t>
      </w:r>
    </w:p>
    <w:p w:rsidR="002C5C0A" w:rsidRPr="00C36303" w:rsidRDefault="002C5C0A" w:rsidP="00C36303">
      <w:pPr>
        <w:pStyle w:val="Sinespaciado1"/>
        <w:spacing w:line="288" w:lineRule="auto"/>
        <w:ind w:firstLine="2520"/>
        <w:jc w:val="both"/>
        <w:rPr>
          <w:rFonts w:ascii="Arial" w:hAnsi="Arial" w:cs="Arial"/>
          <w:bCs/>
          <w:iCs/>
          <w:sz w:val="24"/>
          <w:szCs w:val="24"/>
        </w:rPr>
      </w:pPr>
    </w:p>
    <w:p w:rsidR="002C5C0A" w:rsidRPr="00C36303" w:rsidRDefault="002C5C0A" w:rsidP="00C36303">
      <w:pPr>
        <w:pStyle w:val="Sinespaciado1"/>
        <w:spacing w:line="288" w:lineRule="auto"/>
        <w:ind w:firstLine="2520"/>
        <w:jc w:val="both"/>
        <w:rPr>
          <w:rFonts w:ascii="Arial" w:hAnsi="Arial" w:cs="Arial"/>
          <w:b/>
          <w:bCs/>
          <w:iCs/>
          <w:sz w:val="24"/>
          <w:szCs w:val="24"/>
        </w:rPr>
      </w:pPr>
      <w:r w:rsidRPr="00C36303">
        <w:rPr>
          <w:rFonts w:ascii="Arial" w:hAnsi="Arial" w:cs="Arial"/>
          <w:b/>
          <w:bCs/>
          <w:iCs/>
          <w:sz w:val="24"/>
          <w:szCs w:val="24"/>
        </w:rPr>
        <w:t xml:space="preserve">IV. Decisión </w:t>
      </w:r>
    </w:p>
    <w:p w:rsidR="001C2544" w:rsidRPr="00C36303" w:rsidRDefault="001C2544" w:rsidP="00C36303">
      <w:pPr>
        <w:pStyle w:val="Sinespaciado1"/>
        <w:spacing w:line="288" w:lineRule="auto"/>
        <w:jc w:val="both"/>
        <w:rPr>
          <w:rFonts w:ascii="Arial" w:hAnsi="Arial" w:cs="Arial"/>
          <w:bCs/>
          <w:iCs/>
          <w:sz w:val="24"/>
          <w:szCs w:val="24"/>
        </w:rPr>
      </w:pPr>
    </w:p>
    <w:p w:rsidR="00651472" w:rsidRPr="00C36303" w:rsidRDefault="001C2544" w:rsidP="00C36303">
      <w:pPr>
        <w:pStyle w:val="Sinespaciado1"/>
        <w:spacing w:line="288" w:lineRule="auto"/>
        <w:ind w:firstLine="2520"/>
        <w:jc w:val="both"/>
        <w:rPr>
          <w:rFonts w:ascii="Arial" w:hAnsi="Arial" w:cs="Arial"/>
          <w:b/>
          <w:bCs/>
          <w:iCs/>
          <w:sz w:val="24"/>
          <w:szCs w:val="24"/>
        </w:rPr>
      </w:pPr>
      <w:r w:rsidRPr="00C36303">
        <w:rPr>
          <w:rFonts w:ascii="Arial" w:hAnsi="Arial" w:cs="Arial"/>
          <w:bCs/>
          <w:iCs/>
          <w:sz w:val="24"/>
          <w:szCs w:val="24"/>
        </w:rPr>
        <w:t xml:space="preserve">En armonía con lo dicho, esta Sala Unitaria Civil Familia del Tribunal Superior de Pereira, </w:t>
      </w:r>
      <w:r w:rsidR="00585BC0" w:rsidRPr="00C36303">
        <w:rPr>
          <w:rFonts w:ascii="Arial" w:hAnsi="Arial" w:cs="Arial"/>
          <w:b/>
          <w:bCs/>
          <w:iCs/>
          <w:sz w:val="24"/>
          <w:szCs w:val="24"/>
        </w:rPr>
        <w:t xml:space="preserve">Resuelve: </w:t>
      </w:r>
    </w:p>
    <w:p w:rsidR="00651472" w:rsidRPr="00C36303" w:rsidRDefault="00651472" w:rsidP="00C36303">
      <w:pPr>
        <w:pStyle w:val="Sinespaciado1"/>
        <w:spacing w:line="288" w:lineRule="auto"/>
        <w:ind w:firstLine="2520"/>
        <w:jc w:val="both"/>
        <w:rPr>
          <w:rFonts w:ascii="Arial" w:hAnsi="Arial" w:cs="Arial"/>
          <w:b/>
          <w:bCs/>
          <w:iCs/>
          <w:sz w:val="24"/>
          <w:szCs w:val="24"/>
        </w:rPr>
      </w:pPr>
    </w:p>
    <w:p w:rsidR="00651472" w:rsidRDefault="00651472" w:rsidP="00C36303">
      <w:pPr>
        <w:pStyle w:val="Sinespaciado1"/>
        <w:spacing w:line="288" w:lineRule="auto"/>
        <w:ind w:firstLine="2520"/>
        <w:jc w:val="both"/>
        <w:rPr>
          <w:rFonts w:ascii="Arial" w:hAnsi="Arial" w:cs="Arial"/>
          <w:bCs/>
          <w:iCs/>
          <w:sz w:val="24"/>
          <w:szCs w:val="24"/>
        </w:rPr>
      </w:pPr>
      <w:r w:rsidRPr="00C36303">
        <w:rPr>
          <w:rFonts w:ascii="Arial" w:hAnsi="Arial" w:cs="Arial"/>
          <w:b/>
          <w:bCs/>
          <w:iCs/>
          <w:sz w:val="24"/>
          <w:szCs w:val="24"/>
        </w:rPr>
        <w:t xml:space="preserve">Primero: Declarar </w:t>
      </w:r>
      <w:r w:rsidRPr="00C36303">
        <w:rPr>
          <w:rFonts w:ascii="Arial" w:hAnsi="Arial" w:cs="Arial"/>
          <w:bCs/>
          <w:iCs/>
          <w:sz w:val="24"/>
          <w:szCs w:val="24"/>
        </w:rPr>
        <w:t xml:space="preserve">que el Juzgado </w:t>
      </w:r>
      <w:r w:rsidR="00E41C47" w:rsidRPr="00C36303">
        <w:rPr>
          <w:rFonts w:ascii="Arial" w:hAnsi="Arial" w:cs="Arial"/>
          <w:bCs/>
          <w:iCs/>
          <w:sz w:val="24"/>
          <w:szCs w:val="24"/>
        </w:rPr>
        <w:t>Octavo</w:t>
      </w:r>
      <w:r w:rsidRPr="00C36303">
        <w:rPr>
          <w:rFonts w:ascii="Arial" w:hAnsi="Arial" w:cs="Arial"/>
          <w:bCs/>
          <w:iCs/>
          <w:sz w:val="24"/>
          <w:szCs w:val="24"/>
        </w:rPr>
        <w:t xml:space="preserve"> Civil Municipal de </w:t>
      </w:r>
      <w:r w:rsidR="00E41C47" w:rsidRPr="00C36303">
        <w:rPr>
          <w:rFonts w:ascii="Arial" w:hAnsi="Arial" w:cs="Arial"/>
          <w:bCs/>
          <w:iCs/>
          <w:sz w:val="24"/>
          <w:szCs w:val="24"/>
        </w:rPr>
        <w:t>Pereira</w:t>
      </w:r>
      <w:r w:rsidRPr="00C36303">
        <w:rPr>
          <w:rFonts w:ascii="Arial" w:hAnsi="Arial" w:cs="Arial"/>
          <w:bCs/>
          <w:iCs/>
          <w:sz w:val="24"/>
          <w:szCs w:val="24"/>
        </w:rPr>
        <w:t xml:space="preserve"> es el competente para conocer del proceso ejecutivo en referencia.</w:t>
      </w:r>
    </w:p>
    <w:p w:rsidR="00C36303" w:rsidRPr="00C36303" w:rsidRDefault="00C36303" w:rsidP="00C36303">
      <w:pPr>
        <w:pStyle w:val="Sinespaciado1"/>
        <w:spacing w:line="288" w:lineRule="auto"/>
        <w:ind w:firstLine="2520"/>
        <w:jc w:val="both"/>
        <w:rPr>
          <w:rFonts w:ascii="Arial" w:hAnsi="Arial" w:cs="Arial"/>
          <w:bCs/>
          <w:iCs/>
          <w:sz w:val="24"/>
          <w:szCs w:val="24"/>
        </w:rPr>
      </w:pPr>
    </w:p>
    <w:p w:rsidR="00651472" w:rsidRPr="00C36303" w:rsidRDefault="00651472" w:rsidP="00C36303">
      <w:pPr>
        <w:pStyle w:val="Sinespaciado1"/>
        <w:spacing w:line="288" w:lineRule="auto"/>
        <w:ind w:firstLine="2520"/>
        <w:jc w:val="both"/>
        <w:rPr>
          <w:rFonts w:ascii="Arial" w:hAnsi="Arial" w:cs="Arial"/>
          <w:bCs/>
          <w:iCs/>
          <w:sz w:val="24"/>
          <w:szCs w:val="24"/>
        </w:rPr>
      </w:pPr>
      <w:r w:rsidRPr="00C36303">
        <w:rPr>
          <w:rFonts w:ascii="Arial" w:hAnsi="Arial" w:cs="Arial"/>
          <w:b/>
          <w:bCs/>
          <w:iCs/>
          <w:sz w:val="24"/>
          <w:szCs w:val="24"/>
        </w:rPr>
        <w:t xml:space="preserve">Segundo: </w:t>
      </w:r>
      <w:r w:rsidRPr="00C36303">
        <w:rPr>
          <w:rFonts w:ascii="Arial" w:hAnsi="Arial" w:cs="Arial"/>
          <w:bCs/>
          <w:iCs/>
          <w:sz w:val="24"/>
          <w:szCs w:val="24"/>
        </w:rPr>
        <w:t xml:space="preserve">Enviar el expediente al citado despacho judicial e informar lo decidido al Juzgado </w:t>
      </w:r>
      <w:r w:rsidR="00E41C47" w:rsidRPr="00C36303">
        <w:rPr>
          <w:rFonts w:ascii="Arial" w:hAnsi="Arial" w:cs="Arial"/>
          <w:bCs/>
          <w:iCs/>
          <w:sz w:val="24"/>
          <w:szCs w:val="24"/>
        </w:rPr>
        <w:t xml:space="preserve">Segundo </w:t>
      </w:r>
      <w:r w:rsidR="00AC0A4A" w:rsidRPr="00C36303">
        <w:rPr>
          <w:rFonts w:ascii="Arial" w:hAnsi="Arial" w:cs="Arial"/>
          <w:bCs/>
          <w:iCs/>
          <w:sz w:val="24"/>
          <w:szCs w:val="24"/>
        </w:rPr>
        <w:t xml:space="preserve">Civil Municipal de </w:t>
      </w:r>
      <w:r w:rsidR="00824F89" w:rsidRPr="00C36303">
        <w:rPr>
          <w:rFonts w:ascii="Arial" w:hAnsi="Arial" w:cs="Arial"/>
          <w:bCs/>
          <w:iCs/>
          <w:sz w:val="24"/>
          <w:szCs w:val="24"/>
        </w:rPr>
        <w:t>Santa Rosa de Cabal</w:t>
      </w:r>
      <w:r w:rsidR="00AC0A4A" w:rsidRPr="00C36303">
        <w:rPr>
          <w:rFonts w:ascii="Arial" w:hAnsi="Arial" w:cs="Arial"/>
          <w:bCs/>
          <w:iCs/>
          <w:sz w:val="24"/>
          <w:szCs w:val="24"/>
        </w:rPr>
        <w:t>.</w:t>
      </w:r>
    </w:p>
    <w:p w:rsidR="001C2544" w:rsidRPr="00C36303" w:rsidRDefault="001C2544" w:rsidP="00C36303">
      <w:pPr>
        <w:pStyle w:val="Sinespaciado1"/>
        <w:spacing w:line="288" w:lineRule="auto"/>
        <w:ind w:firstLine="2520"/>
        <w:jc w:val="both"/>
        <w:rPr>
          <w:rFonts w:ascii="Arial" w:hAnsi="Arial" w:cs="Arial"/>
          <w:bCs/>
          <w:iCs/>
          <w:sz w:val="24"/>
          <w:szCs w:val="24"/>
        </w:rPr>
      </w:pPr>
    </w:p>
    <w:p w:rsidR="001C2544" w:rsidRPr="00C36303" w:rsidRDefault="001C2544" w:rsidP="00C36303">
      <w:pPr>
        <w:pStyle w:val="Sinespaciado1"/>
        <w:spacing w:line="288" w:lineRule="auto"/>
        <w:ind w:firstLine="2520"/>
        <w:jc w:val="both"/>
        <w:rPr>
          <w:rFonts w:ascii="Arial" w:hAnsi="Arial" w:cs="Arial"/>
          <w:bCs/>
          <w:iCs/>
          <w:sz w:val="24"/>
          <w:szCs w:val="24"/>
        </w:rPr>
      </w:pPr>
      <w:r w:rsidRPr="00C36303">
        <w:rPr>
          <w:rFonts w:ascii="Arial" w:hAnsi="Arial" w:cs="Arial"/>
          <w:bCs/>
          <w:iCs/>
          <w:sz w:val="24"/>
          <w:szCs w:val="24"/>
        </w:rPr>
        <w:t>Notifíquese</w:t>
      </w:r>
    </w:p>
    <w:p w:rsidR="002C5C0A" w:rsidRPr="00C36303" w:rsidRDefault="002C5C0A" w:rsidP="00C36303">
      <w:pPr>
        <w:pStyle w:val="Sinespaciado1"/>
        <w:spacing w:line="288" w:lineRule="auto"/>
        <w:ind w:firstLine="2520"/>
        <w:jc w:val="both"/>
        <w:rPr>
          <w:rFonts w:ascii="Arial" w:hAnsi="Arial" w:cs="Arial"/>
          <w:bCs/>
          <w:iCs/>
          <w:sz w:val="24"/>
          <w:szCs w:val="24"/>
        </w:rPr>
      </w:pPr>
    </w:p>
    <w:p w:rsidR="002C5C0A" w:rsidRPr="00C36303" w:rsidRDefault="002C5C0A" w:rsidP="00C36303">
      <w:pPr>
        <w:pStyle w:val="Sinespaciado1"/>
        <w:spacing w:line="288" w:lineRule="auto"/>
        <w:ind w:firstLine="2520"/>
        <w:jc w:val="both"/>
        <w:rPr>
          <w:rFonts w:ascii="Arial" w:hAnsi="Arial" w:cs="Arial"/>
          <w:bCs/>
          <w:iCs/>
          <w:sz w:val="24"/>
          <w:szCs w:val="24"/>
        </w:rPr>
      </w:pPr>
    </w:p>
    <w:p w:rsidR="001F4667" w:rsidRPr="00C36303" w:rsidRDefault="001F4667" w:rsidP="00C36303">
      <w:pPr>
        <w:pStyle w:val="Sinespaciado1"/>
        <w:spacing w:line="288" w:lineRule="auto"/>
        <w:ind w:firstLine="2520"/>
        <w:jc w:val="both"/>
        <w:rPr>
          <w:rFonts w:ascii="Arial" w:hAnsi="Arial" w:cs="Arial"/>
          <w:bCs/>
          <w:iCs/>
          <w:sz w:val="24"/>
          <w:szCs w:val="24"/>
        </w:rPr>
      </w:pPr>
    </w:p>
    <w:p w:rsidR="002C5C0A" w:rsidRPr="00C36303" w:rsidRDefault="002C5C0A" w:rsidP="00C36303">
      <w:pPr>
        <w:pStyle w:val="Sinespaciado1"/>
        <w:spacing w:line="288" w:lineRule="auto"/>
        <w:ind w:firstLine="2520"/>
        <w:jc w:val="both"/>
        <w:rPr>
          <w:rFonts w:ascii="Arial" w:hAnsi="Arial" w:cs="Arial"/>
          <w:bCs/>
          <w:iCs/>
          <w:sz w:val="24"/>
          <w:szCs w:val="24"/>
        </w:rPr>
      </w:pPr>
    </w:p>
    <w:p w:rsidR="002C5C0A" w:rsidRPr="00C36303" w:rsidRDefault="002C5C0A" w:rsidP="00C36303">
      <w:pPr>
        <w:pStyle w:val="Sinespaciado1"/>
        <w:spacing w:line="288" w:lineRule="auto"/>
        <w:ind w:firstLine="2520"/>
        <w:jc w:val="both"/>
        <w:rPr>
          <w:rFonts w:ascii="Arial" w:hAnsi="Arial" w:cs="Arial"/>
          <w:b/>
          <w:bCs/>
          <w:iCs/>
          <w:sz w:val="24"/>
          <w:szCs w:val="24"/>
        </w:rPr>
      </w:pPr>
      <w:r w:rsidRPr="00C36303">
        <w:rPr>
          <w:rFonts w:ascii="Arial" w:hAnsi="Arial" w:cs="Arial"/>
          <w:b/>
          <w:bCs/>
          <w:iCs/>
          <w:sz w:val="24"/>
          <w:szCs w:val="24"/>
        </w:rPr>
        <w:t>EDDER JIMMY SÁNCHEZ CALAMBÁS</w:t>
      </w:r>
    </w:p>
    <w:p w:rsidR="002C5C0A" w:rsidRPr="00C36303" w:rsidRDefault="002C5C0A" w:rsidP="00C36303">
      <w:pPr>
        <w:pStyle w:val="Sinespaciado1"/>
        <w:spacing w:line="288" w:lineRule="auto"/>
        <w:ind w:firstLine="2520"/>
        <w:jc w:val="both"/>
        <w:rPr>
          <w:rFonts w:ascii="Arial" w:hAnsi="Arial" w:cs="Arial"/>
          <w:bCs/>
          <w:iCs/>
          <w:sz w:val="24"/>
          <w:szCs w:val="24"/>
        </w:rPr>
      </w:pPr>
      <w:r w:rsidRPr="00C36303">
        <w:rPr>
          <w:rFonts w:ascii="Arial" w:hAnsi="Arial" w:cs="Arial"/>
          <w:bCs/>
          <w:iCs/>
          <w:sz w:val="24"/>
          <w:szCs w:val="24"/>
        </w:rPr>
        <w:t>Magistrado</w:t>
      </w:r>
    </w:p>
    <w:sectPr w:rsidR="002C5C0A" w:rsidRPr="00C36303" w:rsidSect="00C36303">
      <w:headerReference w:type="default" r:id="rId7"/>
      <w:footerReference w:type="default" r:id="rId8"/>
      <w:pgSz w:w="12242" w:h="18722" w:code="14"/>
      <w:pgMar w:top="1871" w:right="1304" w:bottom="1304" w:left="187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6CE1" w:rsidRDefault="00E66CE1" w:rsidP="004E3ED5">
      <w:r>
        <w:separator/>
      </w:r>
    </w:p>
  </w:endnote>
  <w:endnote w:type="continuationSeparator" w:id="0">
    <w:p w:rsidR="00E66CE1" w:rsidRDefault="00E66CE1" w:rsidP="004E3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592" w:rsidRPr="00C36303" w:rsidRDefault="003E7592">
    <w:pPr>
      <w:pStyle w:val="Piedepgina"/>
      <w:jc w:val="right"/>
      <w:rPr>
        <w:rFonts w:ascii="Arial" w:hAnsi="Arial" w:cs="Arial"/>
        <w:sz w:val="18"/>
        <w:szCs w:val="22"/>
      </w:rPr>
    </w:pPr>
    <w:r w:rsidRPr="00C36303">
      <w:rPr>
        <w:rFonts w:ascii="Arial" w:hAnsi="Arial" w:cs="Arial"/>
        <w:sz w:val="18"/>
        <w:szCs w:val="22"/>
      </w:rPr>
      <w:fldChar w:fldCharType="begin"/>
    </w:r>
    <w:r w:rsidRPr="00C36303">
      <w:rPr>
        <w:rFonts w:ascii="Arial" w:hAnsi="Arial" w:cs="Arial"/>
        <w:sz w:val="18"/>
        <w:szCs w:val="22"/>
      </w:rPr>
      <w:instrText xml:space="preserve"> PAGE   \* MERGEFORMAT </w:instrText>
    </w:r>
    <w:r w:rsidRPr="00C36303">
      <w:rPr>
        <w:rFonts w:ascii="Arial" w:hAnsi="Arial" w:cs="Arial"/>
        <w:sz w:val="18"/>
        <w:szCs w:val="22"/>
      </w:rPr>
      <w:fldChar w:fldCharType="separate"/>
    </w:r>
    <w:r w:rsidR="004D522A">
      <w:rPr>
        <w:rFonts w:ascii="Arial" w:hAnsi="Arial" w:cs="Arial"/>
        <w:noProof/>
        <w:sz w:val="18"/>
        <w:szCs w:val="22"/>
      </w:rPr>
      <w:t>4</w:t>
    </w:r>
    <w:r w:rsidRPr="00C36303">
      <w:rPr>
        <w:rFonts w:ascii="Arial" w:hAnsi="Arial" w:cs="Arial"/>
        <w:sz w:val="18"/>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6CE1" w:rsidRDefault="00E66CE1" w:rsidP="004E3ED5">
      <w:r>
        <w:separator/>
      </w:r>
    </w:p>
  </w:footnote>
  <w:footnote w:type="continuationSeparator" w:id="0">
    <w:p w:rsidR="00E66CE1" w:rsidRDefault="00E66CE1" w:rsidP="004E3ED5">
      <w:r>
        <w:continuationSeparator/>
      </w:r>
    </w:p>
  </w:footnote>
  <w:footnote w:id="1">
    <w:p w:rsidR="00B910CB" w:rsidRPr="00C36303" w:rsidRDefault="00B910CB" w:rsidP="008315B8">
      <w:pPr>
        <w:pStyle w:val="Textonotapie"/>
        <w:jc w:val="both"/>
        <w:rPr>
          <w:rFonts w:ascii="Arial" w:hAnsi="Arial" w:cs="Arial"/>
          <w:sz w:val="18"/>
          <w:szCs w:val="18"/>
          <w:lang w:val="es-CO"/>
        </w:rPr>
      </w:pPr>
      <w:r w:rsidRPr="00C36303">
        <w:rPr>
          <w:rStyle w:val="Refdenotaalpie"/>
          <w:rFonts w:ascii="Arial" w:hAnsi="Arial" w:cs="Arial"/>
          <w:sz w:val="18"/>
          <w:szCs w:val="18"/>
        </w:rPr>
        <w:footnoteRef/>
      </w:r>
      <w:r w:rsidRPr="00C36303">
        <w:rPr>
          <w:rFonts w:ascii="Arial" w:hAnsi="Arial" w:cs="Arial"/>
          <w:sz w:val="18"/>
          <w:szCs w:val="18"/>
        </w:rPr>
        <w:t xml:space="preserve"> CSJ- Sala de Casación Civil; expediente No. 11001-0203-000-2007-01958-00, 12 marzo de 2008, M.P. William Namén Vargas.</w:t>
      </w:r>
    </w:p>
  </w:footnote>
  <w:footnote w:id="2">
    <w:p w:rsidR="009D559D" w:rsidRPr="00C36303" w:rsidRDefault="008E17CF" w:rsidP="008315B8">
      <w:pPr>
        <w:pStyle w:val="Textonotapie"/>
        <w:jc w:val="both"/>
        <w:rPr>
          <w:rFonts w:ascii="Arial" w:hAnsi="Arial" w:cs="Arial"/>
          <w:sz w:val="18"/>
          <w:szCs w:val="18"/>
        </w:rPr>
      </w:pPr>
      <w:r w:rsidRPr="00C36303">
        <w:rPr>
          <w:rStyle w:val="Refdenotaalpie"/>
          <w:rFonts w:ascii="Arial" w:hAnsi="Arial" w:cs="Arial"/>
          <w:sz w:val="18"/>
          <w:szCs w:val="18"/>
        </w:rPr>
        <w:footnoteRef/>
      </w:r>
      <w:r w:rsidRPr="00C36303">
        <w:rPr>
          <w:rFonts w:ascii="Arial" w:hAnsi="Arial" w:cs="Arial"/>
          <w:sz w:val="18"/>
          <w:szCs w:val="18"/>
        </w:rPr>
        <w:t xml:space="preserve"> Sanabria Santos, Henry, en </w:t>
      </w:r>
      <w:r w:rsidR="009D559D" w:rsidRPr="00C36303">
        <w:rPr>
          <w:rFonts w:ascii="Arial" w:hAnsi="Arial" w:cs="Arial"/>
          <w:sz w:val="18"/>
          <w:szCs w:val="18"/>
        </w:rPr>
        <w:t>Factores de atribución de la competencia de los jueces civiles en el Código General del Proceso</w:t>
      </w:r>
      <w:r w:rsidRPr="00C36303">
        <w:rPr>
          <w:rFonts w:ascii="Arial" w:hAnsi="Arial" w:cs="Arial"/>
          <w:sz w:val="18"/>
          <w:szCs w:val="18"/>
        </w:rPr>
        <w:t xml:space="preserve">, tomado de </w:t>
      </w:r>
      <w:r w:rsidR="009D559D" w:rsidRPr="00C36303">
        <w:rPr>
          <w:rFonts w:ascii="Arial" w:hAnsi="Arial" w:cs="Arial"/>
          <w:sz w:val="18"/>
          <w:szCs w:val="18"/>
        </w:rPr>
        <w:t>https://letrujil.files.wordpress.com/2013/09/01henry-sanabria.pdf.</w:t>
      </w:r>
    </w:p>
    <w:p w:rsidR="009D559D" w:rsidRPr="008E17CF" w:rsidRDefault="009D559D" w:rsidP="008315B8">
      <w:pPr>
        <w:pStyle w:val="Textonotapie"/>
        <w:jc w:val="both"/>
        <w:rPr>
          <w:lang w:val="es-CO"/>
        </w:rPr>
      </w:pPr>
      <w:r w:rsidRPr="00C36303">
        <w:rPr>
          <w:rFonts w:ascii="Arial" w:hAnsi="Arial" w:cs="Arial"/>
          <w:sz w:val="18"/>
          <w:szCs w:val="18"/>
        </w:rPr>
        <w:t>M.P. Margarita Cabello Blanco, exp. 11001020300020130025700.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D2B" w:rsidRDefault="0072659C" w:rsidP="00205D2B">
    <w:pPr>
      <w:pStyle w:val="NoSpacing1"/>
      <w:rPr>
        <w:rFonts w:ascii="Arial" w:hAnsi="Arial" w:cs="Arial"/>
        <w:sz w:val="16"/>
        <w:szCs w:val="16"/>
      </w:rPr>
    </w:pPr>
    <w:r>
      <w:rPr>
        <w:noProof/>
      </w:rPr>
      <w:drawing>
        <wp:anchor distT="0" distB="0" distL="114300" distR="114300" simplePos="0" relativeHeight="251659264" behindDoc="1" locked="0" layoutInCell="1" allowOverlap="1" wp14:anchorId="5AFA7B51" wp14:editId="5659B63B">
          <wp:simplePos x="0" y="0"/>
          <wp:positionH relativeFrom="column">
            <wp:posOffset>-135147</wp:posOffset>
          </wp:positionH>
          <wp:positionV relativeFrom="paragraph">
            <wp:posOffset>79878</wp:posOffset>
          </wp:positionV>
          <wp:extent cx="3057525" cy="1028700"/>
          <wp:effectExtent l="0" t="0" r="9525" b="0"/>
          <wp:wrapNone/>
          <wp:docPr id="5" name="Imagen 5" descr="C:\Users\ilondoñb\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ilondoñb\Deskto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3E7592">
      <w:rPr>
        <w:rFonts w:ascii="Arial" w:hAnsi="Arial" w:cs="Arial"/>
        <w:sz w:val="16"/>
        <w:szCs w:val="16"/>
      </w:rPr>
      <w:t xml:space="preserve">  </w:t>
    </w:r>
    <w:r w:rsidR="003E7592" w:rsidRPr="005643A9">
      <w:rPr>
        <w:rFonts w:ascii="Arial" w:hAnsi="Arial" w:cs="Arial"/>
        <w:sz w:val="16"/>
        <w:szCs w:val="16"/>
      </w:rPr>
      <w:t xml:space="preserve"> </w:t>
    </w:r>
    <w:r w:rsidR="00205D2B">
      <w:rPr>
        <w:rFonts w:ascii="Arial" w:hAnsi="Arial" w:cs="Arial"/>
        <w:sz w:val="16"/>
        <w:szCs w:val="16"/>
      </w:rPr>
      <w:t xml:space="preserve">       </w:t>
    </w:r>
  </w:p>
  <w:p w:rsidR="00205D2B" w:rsidRDefault="00205D2B" w:rsidP="00205D2B">
    <w:pPr>
      <w:pStyle w:val="NoSpacing1"/>
      <w:rPr>
        <w:rFonts w:ascii="Arial" w:hAnsi="Arial" w:cs="Arial"/>
        <w:sz w:val="16"/>
        <w:szCs w:val="16"/>
      </w:rPr>
    </w:pPr>
  </w:p>
  <w:p w:rsidR="00205D2B" w:rsidRDefault="00205D2B" w:rsidP="00205D2B">
    <w:pPr>
      <w:pStyle w:val="NoSpacing1"/>
      <w:rPr>
        <w:rFonts w:ascii="Arial" w:hAnsi="Arial" w:cs="Arial"/>
        <w:sz w:val="16"/>
        <w:szCs w:val="16"/>
      </w:rPr>
    </w:pPr>
  </w:p>
  <w:p w:rsidR="00205D2B" w:rsidRDefault="00205D2B" w:rsidP="00205D2B">
    <w:pPr>
      <w:pStyle w:val="NoSpacing1"/>
      <w:rPr>
        <w:rFonts w:ascii="Arial" w:hAnsi="Arial" w:cs="Arial"/>
        <w:sz w:val="16"/>
        <w:szCs w:val="16"/>
      </w:rPr>
    </w:pPr>
  </w:p>
  <w:p w:rsidR="00205D2B" w:rsidRDefault="00205D2B" w:rsidP="00205D2B">
    <w:pPr>
      <w:pStyle w:val="NoSpacing1"/>
      <w:rPr>
        <w:rFonts w:ascii="Arial" w:hAnsi="Arial" w:cs="Arial"/>
        <w:sz w:val="16"/>
        <w:szCs w:val="16"/>
      </w:rPr>
    </w:pPr>
  </w:p>
  <w:p w:rsidR="0072659C" w:rsidRDefault="00205D2B" w:rsidP="00205D2B">
    <w:pPr>
      <w:pStyle w:val="NoSpacing1"/>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p>
  <w:p w:rsidR="0072659C" w:rsidRDefault="0072659C" w:rsidP="00205D2B">
    <w:pPr>
      <w:pStyle w:val="NoSpacing1"/>
      <w:rPr>
        <w:rFonts w:ascii="Arial" w:hAnsi="Arial" w:cs="Arial"/>
        <w:sz w:val="16"/>
        <w:szCs w:val="16"/>
      </w:rPr>
    </w:pPr>
  </w:p>
  <w:p w:rsidR="00205D2B" w:rsidRPr="005643A9" w:rsidRDefault="00205D2B" w:rsidP="00205D2B">
    <w:pPr>
      <w:pStyle w:val="NoSpacing1"/>
      <w:rPr>
        <w:rFonts w:ascii="Arial" w:hAnsi="Arial" w:cs="Arial"/>
        <w:sz w:val="16"/>
        <w:szCs w:val="16"/>
      </w:rPr>
    </w:pPr>
    <w:r>
      <w:rPr>
        <w:rFonts w:ascii="Arial" w:hAnsi="Arial" w:cs="Arial"/>
        <w:sz w:val="16"/>
        <w:szCs w:val="16"/>
      </w:rPr>
      <w:t xml:space="preserve">                   </w:t>
    </w:r>
    <w:r w:rsidR="0072659C">
      <w:rPr>
        <w:rFonts w:ascii="Arial" w:hAnsi="Arial" w:cs="Arial"/>
        <w:sz w:val="16"/>
        <w:szCs w:val="16"/>
      </w:rPr>
      <w:t xml:space="preserve">                                                                               </w:t>
    </w:r>
    <w:r w:rsidR="00C36303">
      <w:rPr>
        <w:rFonts w:ascii="Arial" w:hAnsi="Arial" w:cs="Arial"/>
        <w:sz w:val="16"/>
        <w:szCs w:val="16"/>
      </w:rPr>
      <w:t xml:space="preserve">                       </w:t>
    </w:r>
    <w:r w:rsidRPr="00C36303">
      <w:rPr>
        <w:rFonts w:ascii="Arial" w:hAnsi="Arial" w:cs="Arial"/>
        <w:sz w:val="18"/>
        <w:szCs w:val="16"/>
      </w:rPr>
      <w:t>EXP. Conflicto de competencia</w:t>
    </w:r>
    <w:r w:rsidR="00C36303">
      <w:rPr>
        <w:rFonts w:ascii="Arial" w:hAnsi="Arial" w:cs="Arial"/>
        <w:sz w:val="18"/>
        <w:szCs w:val="16"/>
      </w:rPr>
      <w:t xml:space="preserve"> – 2018-00862</w:t>
    </w:r>
  </w:p>
  <w:p w:rsidR="00205D2B" w:rsidRDefault="00205D2B" w:rsidP="00205D2B">
    <w:pPr>
      <w:pStyle w:val="Encabezado"/>
      <w:rPr>
        <w:rFonts w:ascii="Arial" w:hAnsi="Arial" w:cs="Arial"/>
        <w:sz w:val="16"/>
        <w:szCs w:val="16"/>
      </w:rPr>
    </w:pPr>
  </w:p>
  <w:p w:rsidR="00205D2B" w:rsidRPr="005643A9" w:rsidRDefault="00205D2B" w:rsidP="00205D2B">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ED5"/>
    <w:rsid w:val="00044F4C"/>
    <w:rsid w:val="00076704"/>
    <w:rsid w:val="0008257D"/>
    <w:rsid w:val="000A33F0"/>
    <w:rsid w:val="000C5FB4"/>
    <w:rsid w:val="000E4ABB"/>
    <w:rsid w:val="00100AD3"/>
    <w:rsid w:val="00101ED4"/>
    <w:rsid w:val="00105829"/>
    <w:rsid w:val="00106E5C"/>
    <w:rsid w:val="00151CB6"/>
    <w:rsid w:val="00173204"/>
    <w:rsid w:val="0017488E"/>
    <w:rsid w:val="00186D6E"/>
    <w:rsid w:val="001C2544"/>
    <w:rsid w:val="001C360A"/>
    <w:rsid w:val="001F4667"/>
    <w:rsid w:val="00205D2B"/>
    <w:rsid w:val="00223C9D"/>
    <w:rsid w:val="00255E1D"/>
    <w:rsid w:val="00276213"/>
    <w:rsid w:val="002B40B8"/>
    <w:rsid w:val="002B609E"/>
    <w:rsid w:val="002C5C0A"/>
    <w:rsid w:val="002C73B8"/>
    <w:rsid w:val="002D5ECB"/>
    <w:rsid w:val="002D6A42"/>
    <w:rsid w:val="002E2E96"/>
    <w:rsid w:val="00316B25"/>
    <w:rsid w:val="00320373"/>
    <w:rsid w:val="003307CE"/>
    <w:rsid w:val="003357AC"/>
    <w:rsid w:val="00340F8B"/>
    <w:rsid w:val="00373F75"/>
    <w:rsid w:val="003751A5"/>
    <w:rsid w:val="003835FB"/>
    <w:rsid w:val="003B15CA"/>
    <w:rsid w:val="003B54C4"/>
    <w:rsid w:val="003C611D"/>
    <w:rsid w:val="003C71D9"/>
    <w:rsid w:val="003D0565"/>
    <w:rsid w:val="003E1FE3"/>
    <w:rsid w:val="003E3F4F"/>
    <w:rsid w:val="003E7592"/>
    <w:rsid w:val="003F05AF"/>
    <w:rsid w:val="003F7F3D"/>
    <w:rsid w:val="00411851"/>
    <w:rsid w:val="00443327"/>
    <w:rsid w:val="00443E3E"/>
    <w:rsid w:val="004460B5"/>
    <w:rsid w:val="0045083B"/>
    <w:rsid w:val="00462988"/>
    <w:rsid w:val="00463FD0"/>
    <w:rsid w:val="00483CA8"/>
    <w:rsid w:val="00486BC3"/>
    <w:rsid w:val="00493E30"/>
    <w:rsid w:val="004A12B2"/>
    <w:rsid w:val="004B2B9D"/>
    <w:rsid w:val="004C50EC"/>
    <w:rsid w:val="004D522A"/>
    <w:rsid w:val="004E3ED5"/>
    <w:rsid w:val="004F096A"/>
    <w:rsid w:val="0050709E"/>
    <w:rsid w:val="00514C5B"/>
    <w:rsid w:val="0052186A"/>
    <w:rsid w:val="0056153C"/>
    <w:rsid w:val="00567EB0"/>
    <w:rsid w:val="00570CAE"/>
    <w:rsid w:val="00574510"/>
    <w:rsid w:val="00585BC0"/>
    <w:rsid w:val="005974EA"/>
    <w:rsid w:val="005977D9"/>
    <w:rsid w:val="005B3D9D"/>
    <w:rsid w:val="005B3F19"/>
    <w:rsid w:val="005B42F0"/>
    <w:rsid w:val="005C5B3C"/>
    <w:rsid w:val="005D1DAA"/>
    <w:rsid w:val="005D27AB"/>
    <w:rsid w:val="005E3B03"/>
    <w:rsid w:val="00603ACB"/>
    <w:rsid w:val="00607DFB"/>
    <w:rsid w:val="00613672"/>
    <w:rsid w:val="006165EA"/>
    <w:rsid w:val="006208ED"/>
    <w:rsid w:val="00624F3C"/>
    <w:rsid w:val="00632158"/>
    <w:rsid w:val="00650BF1"/>
    <w:rsid w:val="00651472"/>
    <w:rsid w:val="006661A5"/>
    <w:rsid w:val="0069102A"/>
    <w:rsid w:val="00693D40"/>
    <w:rsid w:val="006B3663"/>
    <w:rsid w:val="006C0467"/>
    <w:rsid w:val="006C4404"/>
    <w:rsid w:val="006C5BF5"/>
    <w:rsid w:val="006C6EEF"/>
    <w:rsid w:val="006D2819"/>
    <w:rsid w:val="006E3E39"/>
    <w:rsid w:val="006E4838"/>
    <w:rsid w:val="00701132"/>
    <w:rsid w:val="00705FDA"/>
    <w:rsid w:val="0072659C"/>
    <w:rsid w:val="00730D7A"/>
    <w:rsid w:val="00731787"/>
    <w:rsid w:val="00761959"/>
    <w:rsid w:val="007644D1"/>
    <w:rsid w:val="00795167"/>
    <w:rsid w:val="007A11A1"/>
    <w:rsid w:val="007C619B"/>
    <w:rsid w:val="007D11F9"/>
    <w:rsid w:val="007E5824"/>
    <w:rsid w:val="007F2E6B"/>
    <w:rsid w:val="0080183D"/>
    <w:rsid w:val="008054DC"/>
    <w:rsid w:val="008132C0"/>
    <w:rsid w:val="0081667F"/>
    <w:rsid w:val="00824F89"/>
    <w:rsid w:val="008310CB"/>
    <w:rsid w:val="008315B8"/>
    <w:rsid w:val="00841F04"/>
    <w:rsid w:val="00854976"/>
    <w:rsid w:val="008579C9"/>
    <w:rsid w:val="008715A8"/>
    <w:rsid w:val="00887086"/>
    <w:rsid w:val="00890693"/>
    <w:rsid w:val="008D081F"/>
    <w:rsid w:val="008D6A89"/>
    <w:rsid w:val="008E17CF"/>
    <w:rsid w:val="008E4FC9"/>
    <w:rsid w:val="008F570E"/>
    <w:rsid w:val="00914A0A"/>
    <w:rsid w:val="00920BB3"/>
    <w:rsid w:val="00953966"/>
    <w:rsid w:val="00974804"/>
    <w:rsid w:val="0099274A"/>
    <w:rsid w:val="009C4A9D"/>
    <w:rsid w:val="009D48C4"/>
    <w:rsid w:val="009D559D"/>
    <w:rsid w:val="009D617B"/>
    <w:rsid w:val="009D72CB"/>
    <w:rsid w:val="009E5FA3"/>
    <w:rsid w:val="00A117D1"/>
    <w:rsid w:val="00A15C84"/>
    <w:rsid w:val="00A274A5"/>
    <w:rsid w:val="00A52F60"/>
    <w:rsid w:val="00AA267D"/>
    <w:rsid w:val="00AB11D8"/>
    <w:rsid w:val="00AC0A4A"/>
    <w:rsid w:val="00AC66EF"/>
    <w:rsid w:val="00AD1F1A"/>
    <w:rsid w:val="00AF14CF"/>
    <w:rsid w:val="00B01029"/>
    <w:rsid w:val="00B04FC7"/>
    <w:rsid w:val="00B216B6"/>
    <w:rsid w:val="00B40945"/>
    <w:rsid w:val="00B707CC"/>
    <w:rsid w:val="00B70CEA"/>
    <w:rsid w:val="00B713DB"/>
    <w:rsid w:val="00B910CB"/>
    <w:rsid w:val="00BB51C6"/>
    <w:rsid w:val="00BC2628"/>
    <w:rsid w:val="00BC7437"/>
    <w:rsid w:val="00C06B29"/>
    <w:rsid w:val="00C253D4"/>
    <w:rsid w:val="00C26DC3"/>
    <w:rsid w:val="00C32B9E"/>
    <w:rsid w:val="00C36303"/>
    <w:rsid w:val="00C37F7F"/>
    <w:rsid w:val="00C8049C"/>
    <w:rsid w:val="00C8781F"/>
    <w:rsid w:val="00CA4C0B"/>
    <w:rsid w:val="00CF1E78"/>
    <w:rsid w:val="00D1438D"/>
    <w:rsid w:val="00D23DA6"/>
    <w:rsid w:val="00D26757"/>
    <w:rsid w:val="00D42725"/>
    <w:rsid w:val="00D46824"/>
    <w:rsid w:val="00D5797A"/>
    <w:rsid w:val="00D652C4"/>
    <w:rsid w:val="00D817A7"/>
    <w:rsid w:val="00D92CD5"/>
    <w:rsid w:val="00D97612"/>
    <w:rsid w:val="00DA1C1E"/>
    <w:rsid w:val="00DA3EA5"/>
    <w:rsid w:val="00DB6866"/>
    <w:rsid w:val="00DF378D"/>
    <w:rsid w:val="00DF573B"/>
    <w:rsid w:val="00DF5956"/>
    <w:rsid w:val="00E11F14"/>
    <w:rsid w:val="00E15274"/>
    <w:rsid w:val="00E176DC"/>
    <w:rsid w:val="00E41C47"/>
    <w:rsid w:val="00E66CE1"/>
    <w:rsid w:val="00E66D50"/>
    <w:rsid w:val="00E75752"/>
    <w:rsid w:val="00E8203D"/>
    <w:rsid w:val="00E8320C"/>
    <w:rsid w:val="00E93280"/>
    <w:rsid w:val="00EA6F52"/>
    <w:rsid w:val="00EB35FD"/>
    <w:rsid w:val="00EB79FB"/>
    <w:rsid w:val="00EC1116"/>
    <w:rsid w:val="00EC2EAF"/>
    <w:rsid w:val="00ED0294"/>
    <w:rsid w:val="00ED094A"/>
    <w:rsid w:val="00F071B4"/>
    <w:rsid w:val="00F10C53"/>
    <w:rsid w:val="00F172E5"/>
    <w:rsid w:val="00F20178"/>
    <w:rsid w:val="00F4019F"/>
    <w:rsid w:val="00F4227D"/>
    <w:rsid w:val="00F62463"/>
    <w:rsid w:val="00F754DB"/>
    <w:rsid w:val="00F7646B"/>
    <w:rsid w:val="00FB7357"/>
    <w:rsid w:val="00FF01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E62FCF2-3F5F-4CDA-9D88-9C7458A1B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ED5"/>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inespaciado1">
    <w:name w:val="Sin espaciado1"/>
    <w:rsid w:val="004E3ED5"/>
    <w:pPr>
      <w:spacing w:after="0" w:line="240" w:lineRule="auto"/>
    </w:pPr>
    <w:rPr>
      <w:rFonts w:ascii="Calibri" w:eastAsia="Times New Roman" w:hAnsi="Calibri" w:cs="Times New Roman"/>
      <w:lang w:val="es-CO"/>
    </w:rPr>
  </w:style>
  <w:style w:type="paragraph" w:styleId="Encabezado">
    <w:name w:val="header"/>
    <w:basedOn w:val="Normal"/>
    <w:link w:val="EncabezadoCar"/>
    <w:rsid w:val="004E3ED5"/>
    <w:pPr>
      <w:tabs>
        <w:tab w:val="center" w:pos="4419"/>
        <w:tab w:val="right" w:pos="8838"/>
      </w:tabs>
    </w:pPr>
  </w:style>
  <w:style w:type="character" w:customStyle="1" w:styleId="EncabezadoCar">
    <w:name w:val="Encabezado Car"/>
    <w:basedOn w:val="Fuentedeprrafopredeter"/>
    <w:link w:val="Encabezado"/>
    <w:rsid w:val="004E3ED5"/>
    <w:rPr>
      <w:rFonts w:ascii="Times New Roman" w:eastAsia="Times New Roman" w:hAnsi="Times New Roman" w:cs="Times New Roman"/>
      <w:sz w:val="20"/>
      <w:szCs w:val="20"/>
      <w:lang w:eastAsia="es-ES"/>
    </w:rPr>
  </w:style>
  <w:style w:type="paragraph" w:styleId="Piedepgina">
    <w:name w:val="footer"/>
    <w:basedOn w:val="Normal"/>
    <w:link w:val="PiedepginaCar"/>
    <w:rsid w:val="004E3ED5"/>
    <w:pPr>
      <w:tabs>
        <w:tab w:val="center" w:pos="4419"/>
        <w:tab w:val="right" w:pos="8838"/>
      </w:tabs>
    </w:pPr>
  </w:style>
  <w:style w:type="character" w:customStyle="1" w:styleId="PiedepginaCar">
    <w:name w:val="Pie de página Car"/>
    <w:basedOn w:val="Fuentedeprrafopredeter"/>
    <w:link w:val="Piedepgina"/>
    <w:rsid w:val="004E3ED5"/>
    <w:rPr>
      <w:rFonts w:ascii="Times New Roman" w:eastAsia="Times New Roman" w:hAnsi="Times New Roman" w:cs="Times New Roman"/>
      <w:sz w:val="20"/>
      <w:szCs w:val="20"/>
      <w:lang w:eastAsia="es-ES"/>
    </w:rPr>
  </w:style>
  <w:style w:type="paragraph" w:customStyle="1" w:styleId="NoSpacing1">
    <w:name w:val="No Spacing1"/>
    <w:rsid w:val="004E3ED5"/>
    <w:pPr>
      <w:spacing w:after="0" w:line="240" w:lineRule="auto"/>
    </w:pPr>
    <w:rPr>
      <w:rFonts w:ascii="Times New Roman" w:eastAsia="Times New Roman" w:hAnsi="Times New Roman" w:cs="Times New Roman"/>
      <w:sz w:val="20"/>
      <w:szCs w:val="20"/>
      <w:lang w:eastAsia="es-ES"/>
    </w:rPr>
  </w:style>
  <w:style w:type="paragraph" w:styleId="Textonotapie">
    <w:name w:val="footnote text"/>
    <w:basedOn w:val="Normal"/>
    <w:link w:val="TextonotapieCar"/>
    <w:uiPriority w:val="99"/>
    <w:semiHidden/>
    <w:unhideWhenUsed/>
    <w:rsid w:val="004E3ED5"/>
  </w:style>
  <w:style w:type="character" w:customStyle="1" w:styleId="TextonotapieCar">
    <w:name w:val="Texto nota pie Car"/>
    <w:basedOn w:val="Fuentedeprrafopredeter"/>
    <w:link w:val="Textonotapie"/>
    <w:uiPriority w:val="99"/>
    <w:semiHidden/>
    <w:rsid w:val="004E3ED5"/>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4E3ED5"/>
    <w:rPr>
      <w:vertAlign w:val="superscript"/>
    </w:rPr>
  </w:style>
  <w:style w:type="paragraph" w:styleId="Textodeglobo">
    <w:name w:val="Balloon Text"/>
    <w:basedOn w:val="Normal"/>
    <w:link w:val="TextodegloboCar"/>
    <w:uiPriority w:val="99"/>
    <w:semiHidden/>
    <w:unhideWhenUsed/>
    <w:rsid w:val="0063215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32158"/>
    <w:rPr>
      <w:rFonts w:ascii="Segoe UI" w:eastAsia="Times New Roman" w:hAnsi="Segoe UI" w:cs="Segoe UI"/>
      <w:sz w:val="18"/>
      <w:szCs w:val="18"/>
      <w:lang w:eastAsia="es-ES"/>
    </w:rPr>
  </w:style>
  <w:style w:type="paragraph" w:styleId="Sinespaciado">
    <w:name w:val="No Spacing"/>
    <w:link w:val="SinespaciadoCar"/>
    <w:uiPriority w:val="1"/>
    <w:qFormat/>
    <w:rsid w:val="008579C9"/>
    <w:pPr>
      <w:spacing w:after="0" w:line="240" w:lineRule="auto"/>
    </w:pPr>
    <w:rPr>
      <w:rFonts w:ascii="Calibri" w:eastAsia="Times New Roman" w:hAnsi="Calibri" w:cs="Times New Roman"/>
      <w:lang w:eastAsia="es-ES"/>
    </w:rPr>
  </w:style>
  <w:style w:type="character" w:customStyle="1" w:styleId="SinespaciadoCar">
    <w:name w:val="Sin espaciado Car"/>
    <w:link w:val="Sinespaciado"/>
    <w:uiPriority w:val="1"/>
    <w:locked/>
    <w:rsid w:val="008579C9"/>
    <w:rPr>
      <w:rFonts w:ascii="Calibri" w:eastAsia="Times New Roman" w:hAnsi="Calibri" w:cs="Times New Roman"/>
      <w:lang w:eastAsia="es-ES"/>
    </w:rPr>
  </w:style>
  <w:style w:type="paragraph" w:styleId="NormalWeb">
    <w:name w:val="Normal (Web)"/>
    <w:basedOn w:val="Normal"/>
    <w:uiPriority w:val="99"/>
    <w:semiHidden/>
    <w:unhideWhenUsed/>
    <w:rsid w:val="00CA4C0B"/>
    <w:pPr>
      <w:spacing w:before="100" w:beforeAutospacing="1" w:after="100" w:afterAutospacing="1"/>
    </w:pPr>
    <w:rPr>
      <w:sz w:val="24"/>
      <w:szCs w:val="24"/>
    </w:rPr>
  </w:style>
  <w:style w:type="character" w:styleId="Hipervnculo">
    <w:name w:val="Hyperlink"/>
    <w:basedOn w:val="Fuentedeprrafopredeter"/>
    <w:uiPriority w:val="99"/>
    <w:unhideWhenUsed/>
    <w:rsid w:val="009D55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6651526">
      <w:bodyDiv w:val="1"/>
      <w:marLeft w:val="0"/>
      <w:marRight w:val="0"/>
      <w:marTop w:val="0"/>
      <w:marBottom w:val="0"/>
      <w:divBdr>
        <w:top w:val="none" w:sz="0" w:space="0" w:color="auto"/>
        <w:left w:val="none" w:sz="0" w:space="0" w:color="auto"/>
        <w:bottom w:val="none" w:sz="0" w:space="0" w:color="auto"/>
        <w:right w:val="none" w:sz="0" w:space="0" w:color="auto"/>
      </w:divBdr>
    </w:div>
    <w:div w:id="206544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2A43A-ED46-40EA-AB64-431510453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4</Pages>
  <Words>1248</Words>
  <Characters>6865</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Gonzalo Florez</dc:creator>
  <cp:keywords/>
  <dc:description/>
  <cp:lastModifiedBy>Henry Lora Rodriguez</cp:lastModifiedBy>
  <cp:revision>28</cp:revision>
  <cp:lastPrinted>2019-02-13T15:04:00Z</cp:lastPrinted>
  <dcterms:created xsi:type="dcterms:W3CDTF">2019-02-11T20:58:00Z</dcterms:created>
  <dcterms:modified xsi:type="dcterms:W3CDTF">2019-03-22T19:22:00Z</dcterms:modified>
</cp:coreProperties>
</file>