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DE5" w:rsidRPr="002F4DE5" w:rsidRDefault="002F4DE5" w:rsidP="002F4DE5">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8"/>
          <w:sz w:val="18"/>
          <w:szCs w:val="18"/>
          <w:lang w:val="es-419" w:eastAsia="fr-FR"/>
        </w:rPr>
      </w:pPr>
      <w:r w:rsidRPr="002F4DE5">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F4DE5" w:rsidRPr="002F4DE5" w:rsidRDefault="002F4DE5" w:rsidP="002F4DE5">
      <w:pPr>
        <w:overflowPunct/>
        <w:autoSpaceDE/>
        <w:autoSpaceDN/>
        <w:adjustRightInd/>
        <w:jc w:val="both"/>
        <w:textAlignment w:val="auto"/>
        <w:rPr>
          <w:rFonts w:ascii="Arial" w:hAnsi="Arial" w:cs="Arial"/>
          <w:lang w:val="es-419"/>
        </w:rPr>
      </w:pPr>
    </w:p>
    <w:p w:rsidR="002F4DE5" w:rsidRPr="002F4DE5" w:rsidRDefault="002F4DE5" w:rsidP="002F4DE5">
      <w:pPr>
        <w:overflowPunct/>
        <w:autoSpaceDE/>
        <w:autoSpaceDN/>
        <w:adjustRightInd/>
        <w:jc w:val="both"/>
        <w:textAlignment w:val="auto"/>
        <w:rPr>
          <w:rFonts w:ascii="Arial" w:hAnsi="Arial" w:cs="Arial"/>
          <w:b/>
          <w:bCs/>
          <w:iCs/>
          <w:lang w:val="es-419" w:eastAsia="fr-FR"/>
        </w:rPr>
      </w:pPr>
      <w:r w:rsidRPr="002F4DE5">
        <w:rPr>
          <w:rFonts w:ascii="Arial" w:hAnsi="Arial" w:cs="Arial"/>
          <w:b/>
          <w:bCs/>
          <w:iCs/>
          <w:lang w:val="es-419" w:eastAsia="fr-FR"/>
        </w:rPr>
        <w:t>TEMAS:</w:t>
      </w:r>
      <w:r w:rsidRPr="002F4DE5">
        <w:rPr>
          <w:rFonts w:ascii="Arial" w:hAnsi="Arial" w:cs="Arial"/>
          <w:b/>
          <w:bCs/>
          <w:iCs/>
          <w:lang w:val="es-419" w:eastAsia="fr-FR"/>
        </w:rPr>
        <w:tab/>
      </w:r>
      <w:r w:rsidR="00AC0B6C">
        <w:rPr>
          <w:rFonts w:ascii="Arial" w:hAnsi="Arial" w:cs="Arial"/>
          <w:b/>
          <w:bCs/>
          <w:iCs/>
          <w:lang w:val="es-CO" w:eastAsia="fr-FR"/>
        </w:rPr>
        <w:t xml:space="preserve">DEBIDO PROCESO / TUTELA CONTRA DECISIÓN JUDICIAL / REQUISITOS GENERALES Y ESPECÍFICOS DE PROCEDIBILIDAD / PRINCIPIO DE SUBSIDIARIEDAD / EXIGE AGOTAR </w:t>
      </w:r>
      <w:r w:rsidR="007E79F4">
        <w:rPr>
          <w:rFonts w:ascii="Arial" w:hAnsi="Arial" w:cs="Arial"/>
          <w:b/>
          <w:bCs/>
          <w:iCs/>
          <w:lang w:val="es-CO" w:eastAsia="fr-FR"/>
        </w:rPr>
        <w:t xml:space="preserve">PREVIAMENTE </w:t>
      </w:r>
      <w:r w:rsidR="00AC0B6C">
        <w:rPr>
          <w:rFonts w:ascii="Arial" w:hAnsi="Arial" w:cs="Arial"/>
          <w:b/>
          <w:bCs/>
          <w:iCs/>
          <w:lang w:val="es-CO" w:eastAsia="fr-FR"/>
        </w:rPr>
        <w:t xml:space="preserve">LOS </w:t>
      </w:r>
      <w:r w:rsidR="007E79F4">
        <w:rPr>
          <w:rFonts w:ascii="Arial" w:hAnsi="Arial" w:cs="Arial"/>
          <w:b/>
          <w:bCs/>
          <w:iCs/>
          <w:lang w:val="es-CO" w:eastAsia="fr-FR"/>
        </w:rPr>
        <w:t>MECANISMOS ORDINARIOS ANTE EL JUEZ ACCIONADO.</w:t>
      </w:r>
    </w:p>
    <w:p w:rsidR="002F4DE5" w:rsidRPr="002F4DE5" w:rsidRDefault="002F4DE5" w:rsidP="002F4DE5">
      <w:pPr>
        <w:overflowPunct/>
        <w:autoSpaceDE/>
        <w:autoSpaceDN/>
        <w:adjustRightInd/>
        <w:jc w:val="both"/>
        <w:textAlignment w:val="auto"/>
        <w:rPr>
          <w:rFonts w:ascii="Arial" w:hAnsi="Arial" w:cs="Arial"/>
          <w:lang w:val="es-419"/>
        </w:rPr>
      </w:pPr>
    </w:p>
    <w:p w:rsidR="002F4DE5" w:rsidRDefault="00AC0B6C" w:rsidP="002F4DE5">
      <w:pPr>
        <w:overflowPunct/>
        <w:autoSpaceDE/>
        <w:autoSpaceDN/>
        <w:adjustRightInd/>
        <w:jc w:val="both"/>
        <w:textAlignment w:val="auto"/>
        <w:rPr>
          <w:rFonts w:ascii="Arial" w:hAnsi="Arial" w:cs="Arial"/>
          <w:lang w:val="es-CO"/>
        </w:rPr>
      </w:pPr>
      <w:r w:rsidRPr="00AC0B6C">
        <w:rPr>
          <w:rFonts w:ascii="Arial" w:hAnsi="Arial" w:cs="Arial"/>
          <w:lang w:val="es-419"/>
        </w:rPr>
        <w:t>Reiteradamente se ha expuesto que a pesar de la inexequibilidad de las normas que en el Decreto 2591 de 1991 preveían la acción de tutela contra providencias judiciales,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 en múltiples ocasiones. Sobre ellas, recientemente, en las sentencias SU-222 de 2016, SU573 de 2017 y SU004 de 2018, reiteradas en las sentencias T-004-19, T-042-19, T-049-19 y T-075-19, aludiendo a la C-590 de 2005, recordó que las primeras obedecen a (i) que el asunto sometido a estudio del juez de tutela tenga relevancia constitucional; (ii) que el actor haya agotado los recursos judiciales ordinarios y extraordinarios antes de acudir al juez de tutela</w:t>
      </w:r>
      <w:r>
        <w:rPr>
          <w:rFonts w:ascii="Arial" w:hAnsi="Arial" w:cs="Arial"/>
          <w:lang w:val="es-CO"/>
        </w:rPr>
        <w:t>; (…)</w:t>
      </w:r>
    </w:p>
    <w:p w:rsidR="00AC0B6C" w:rsidRDefault="00AC0B6C" w:rsidP="002F4DE5">
      <w:pPr>
        <w:overflowPunct/>
        <w:autoSpaceDE/>
        <w:autoSpaceDN/>
        <w:adjustRightInd/>
        <w:jc w:val="both"/>
        <w:textAlignment w:val="auto"/>
        <w:rPr>
          <w:rFonts w:ascii="Arial" w:hAnsi="Arial" w:cs="Arial"/>
          <w:lang w:val="es-CO"/>
        </w:rPr>
      </w:pPr>
    </w:p>
    <w:p w:rsidR="00AC0B6C" w:rsidRPr="00AC0B6C" w:rsidRDefault="00AC0B6C" w:rsidP="00AC0B6C">
      <w:pPr>
        <w:overflowPunct/>
        <w:autoSpaceDE/>
        <w:autoSpaceDN/>
        <w:adjustRightInd/>
        <w:jc w:val="both"/>
        <w:textAlignment w:val="auto"/>
        <w:rPr>
          <w:rFonts w:ascii="Arial" w:hAnsi="Arial" w:cs="Arial"/>
          <w:lang w:val="es-CO"/>
        </w:rPr>
      </w:pPr>
      <w:r>
        <w:rPr>
          <w:rFonts w:ascii="Arial" w:hAnsi="Arial" w:cs="Arial"/>
          <w:lang w:val="es-CO"/>
        </w:rPr>
        <w:t xml:space="preserve">… </w:t>
      </w:r>
      <w:r w:rsidRPr="00AC0B6C">
        <w:rPr>
          <w:rFonts w:ascii="Arial" w:hAnsi="Arial" w:cs="Arial"/>
          <w:lang w:val="es-CO"/>
        </w:rPr>
        <w:t xml:space="preserve">dentro del trámite ejecutivo que se sigue en contra del señor Arias </w:t>
      </w:r>
      <w:proofErr w:type="spellStart"/>
      <w:r w:rsidRPr="00AC0B6C">
        <w:rPr>
          <w:rFonts w:ascii="Arial" w:hAnsi="Arial" w:cs="Arial"/>
          <w:lang w:val="es-CO"/>
        </w:rPr>
        <w:t>Idárraga</w:t>
      </w:r>
      <w:proofErr w:type="spellEnd"/>
      <w:r w:rsidRPr="00AC0B6C">
        <w:rPr>
          <w:rFonts w:ascii="Arial" w:hAnsi="Arial" w:cs="Arial"/>
          <w:lang w:val="es-CO"/>
        </w:rPr>
        <w:t>, omitió dos cosas: la primera, que de acuerdo con el artículo 372 del CGP, pudo haber justificado su inasistencia dentro de los tres días siguientes</w:t>
      </w:r>
      <w:r>
        <w:rPr>
          <w:rFonts w:ascii="Arial" w:hAnsi="Arial" w:cs="Arial"/>
          <w:lang w:val="es-CO"/>
        </w:rPr>
        <w:t>…</w:t>
      </w:r>
      <w:r w:rsidRPr="00AC0B6C">
        <w:rPr>
          <w:rFonts w:ascii="Arial" w:hAnsi="Arial" w:cs="Arial"/>
          <w:lang w:val="es-CO"/>
        </w:rPr>
        <w:t xml:space="preserve"> Y la segunda, que como lo que reclama es la nulidad por cuanto no fue debidamente notificado, o bien porque goza del beneficio de amparo de pobreza, es dentro del proceso mismo que debe promover una solicitud de esa naturaleza para que sea el juez de conocimiento el que pueda evaluar, de primera mano, si se incurrió en las irregularidades que quiere que se definan por esta especial vía constitucional. </w:t>
      </w:r>
    </w:p>
    <w:p w:rsidR="00AC0B6C" w:rsidRPr="00AC0B6C" w:rsidRDefault="00AC0B6C" w:rsidP="00AC0B6C">
      <w:pPr>
        <w:overflowPunct/>
        <w:autoSpaceDE/>
        <w:autoSpaceDN/>
        <w:adjustRightInd/>
        <w:jc w:val="both"/>
        <w:textAlignment w:val="auto"/>
        <w:rPr>
          <w:rFonts w:ascii="Arial" w:hAnsi="Arial" w:cs="Arial"/>
          <w:lang w:val="es-CO"/>
        </w:rPr>
      </w:pPr>
    </w:p>
    <w:p w:rsidR="00AC0B6C" w:rsidRDefault="00AC0B6C" w:rsidP="00AC0B6C">
      <w:pPr>
        <w:overflowPunct/>
        <w:autoSpaceDE/>
        <w:autoSpaceDN/>
        <w:adjustRightInd/>
        <w:jc w:val="both"/>
        <w:textAlignment w:val="auto"/>
        <w:rPr>
          <w:rFonts w:ascii="Arial" w:hAnsi="Arial" w:cs="Arial"/>
          <w:lang w:val="es-CO"/>
        </w:rPr>
      </w:pPr>
      <w:r w:rsidRPr="00AC0B6C">
        <w:rPr>
          <w:rFonts w:ascii="Arial" w:hAnsi="Arial" w:cs="Arial"/>
          <w:lang w:val="es-CO"/>
        </w:rPr>
        <w:t>Solo ante la respuesta que en tal sentido obtenga, podría asumirse el análisis de una eventual vulneración de derechos fundamentales, entendido como está que la acción de tutela no se erige como una instancia más, ni como un mecanismo tendiente a remediar la desidia de las partes en un proceso determinado.</w:t>
      </w:r>
    </w:p>
    <w:p w:rsidR="00AC0B6C" w:rsidRPr="00AC0B6C" w:rsidRDefault="00AC0B6C" w:rsidP="002F4DE5">
      <w:pPr>
        <w:overflowPunct/>
        <w:autoSpaceDE/>
        <w:autoSpaceDN/>
        <w:adjustRightInd/>
        <w:jc w:val="both"/>
        <w:textAlignment w:val="auto"/>
        <w:rPr>
          <w:rFonts w:ascii="Arial" w:hAnsi="Arial" w:cs="Arial"/>
          <w:lang w:val="es-CO"/>
        </w:rPr>
      </w:pPr>
    </w:p>
    <w:p w:rsidR="002F4DE5" w:rsidRPr="002F4DE5" w:rsidRDefault="002F4DE5" w:rsidP="002F4DE5">
      <w:pPr>
        <w:overflowPunct/>
        <w:autoSpaceDE/>
        <w:autoSpaceDN/>
        <w:adjustRightInd/>
        <w:jc w:val="both"/>
        <w:textAlignment w:val="auto"/>
        <w:rPr>
          <w:rFonts w:ascii="Arial" w:hAnsi="Arial" w:cs="Arial"/>
          <w:lang w:val="es-419"/>
        </w:rPr>
      </w:pPr>
    </w:p>
    <w:p w:rsidR="002F4DE5" w:rsidRPr="002F4DE5" w:rsidRDefault="002F4DE5" w:rsidP="002F4DE5">
      <w:pPr>
        <w:overflowPunct/>
        <w:autoSpaceDE/>
        <w:autoSpaceDN/>
        <w:adjustRightInd/>
        <w:jc w:val="both"/>
        <w:textAlignment w:val="auto"/>
        <w:rPr>
          <w:rFonts w:ascii="Arial" w:hAnsi="Arial" w:cs="Arial"/>
          <w:lang w:val="es-419"/>
        </w:rPr>
      </w:pPr>
    </w:p>
    <w:p w:rsidR="00CD73E5" w:rsidRPr="002F4DE5" w:rsidRDefault="00CD73E5" w:rsidP="00B700BB">
      <w:pPr>
        <w:spacing w:line="276" w:lineRule="auto"/>
        <w:ind w:firstLine="2835"/>
        <w:jc w:val="both"/>
        <w:rPr>
          <w:rFonts w:ascii="Gadugi" w:hAnsi="Gadugi"/>
          <w:b/>
          <w:sz w:val="24"/>
          <w:szCs w:val="26"/>
        </w:rPr>
      </w:pPr>
      <w:r w:rsidRPr="002F4DE5">
        <w:rPr>
          <w:rFonts w:ascii="Gadugi" w:hAnsi="Gadugi"/>
          <w:b/>
          <w:sz w:val="24"/>
          <w:szCs w:val="26"/>
        </w:rPr>
        <w:t xml:space="preserve">TRIBUNAL SUPERIOR DEL DISTRITO JUDICIAL </w:t>
      </w:r>
    </w:p>
    <w:p w:rsidR="00CD73E5" w:rsidRPr="002F4DE5" w:rsidRDefault="00CD73E5" w:rsidP="00B700BB">
      <w:pPr>
        <w:spacing w:line="276" w:lineRule="auto"/>
        <w:ind w:firstLine="2835"/>
        <w:jc w:val="both"/>
        <w:rPr>
          <w:rFonts w:ascii="Gadugi" w:hAnsi="Gadugi"/>
          <w:b/>
          <w:sz w:val="24"/>
          <w:szCs w:val="26"/>
        </w:rPr>
      </w:pPr>
      <w:r w:rsidRPr="002F4DE5">
        <w:rPr>
          <w:rFonts w:ascii="Gadugi" w:hAnsi="Gadugi"/>
          <w:b/>
          <w:sz w:val="24"/>
          <w:szCs w:val="26"/>
        </w:rPr>
        <w:t xml:space="preserve">          SALA DE DECISIÓN CIVIL FAMILIA </w:t>
      </w:r>
    </w:p>
    <w:p w:rsidR="00CD73E5" w:rsidRPr="002F4DE5" w:rsidRDefault="00CD73E5" w:rsidP="00B700BB">
      <w:pPr>
        <w:spacing w:line="276" w:lineRule="auto"/>
        <w:ind w:firstLine="2835"/>
        <w:jc w:val="both"/>
        <w:rPr>
          <w:rFonts w:ascii="Gadugi" w:hAnsi="Gadugi"/>
          <w:sz w:val="24"/>
          <w:szCs w:val="26"/>
        </w:rPr>
      </w:pPr>
    </w:p>
    <w:p w:rsidR="00CD73E5" w:rsidRPr="002F4DE5" w:rsidRDefault="00CD73E5" w:rsidP="00B700BB">
      <w:pPr>
        <w:spacing w:line="276" w:lineRule="auto"/>
        <w:ind w:firstLine="2835"/>
        <w:jc w:val="both"/>
        <w:rPr>
          <w:rFonts w:ascii="Gadugi" w:hAnsi="Gadugi"/>
          <w:sz w:val="24"/>
          <w:szCs w:val="26"/>
        </w:rPr>
      </w:pPr>
    </w:p>
    <w:p w:rsidR="00CD73E5" w:rsidRPr="002F4DE5" w:rsidRDefault="00CD73E5" w:rsidP="00B700BB">
      <w:pPr>
        <w:spacing w:line="276" w:lineRule="auto"/>
        <w:ind w:firstLine="2835"/>
        <w:jc w:val="both"/>
        <w:rPr>
          <w:rFonts w:ascii="Gadugi" w:hAnsi="Gadugi"/>
          <w:sz w:val="24"/>
          <w:szCs w:val="26"/>
        </w:rPr>
      </w:pPr>
      <w:r w:rsidRPr="002F4DE5">
        <w:rPr>
          <w:rFonts w:ascii="Gadugi" w:hAnsi="Gadugi"/>
          <w:sz w:val="24"/>
          <w:szCs w:val="26"/>
        </w:rPr>
        <w:t>Magistrado: Jaime Alberto Saraza Naranjo</w:t>
      </w:r>
    </w:p>
    <w:p w:rsidR="00CD73E5" w:rsidRPr="002F4DE5" w:rsidRDefault="00CD73E5" w:rsidP="00B700BB">
      <w:pPr>
        <w:spacing w:line="276" w:lineRule="auto"/>
        <w:ind w:firstLine="2835"/>
        <w:jc w:val="both"/>
        <w:rPr>
          <w:rFonts w:ascii="Gadugi" w:hAnsi="Gadugi"/>
          <w:sz w:val="24"/>
          <w:szCs w:val="26"/>
          <w:lang w:val="es-419"/>
        </w:rPr>
      </w:pPr>
      <w:r w:rsidRPr="002F4DE5">
        <w:rPr>
          <w:rFonts w:ascii="Gadugi" w:hAnsi="Gadugi"/>
          <w:sz w:val="24"/>
          <w:szCs w:val="26"/>
        </w:rPr>
        <w:t xml:space="preserve">Pereira, </w:t>
      </w:r>
      <w:r w:rsidR="00D34B32" w:rsidRPr="002F4DE5">
        <w:rPr>
          <w:rFonts w:ascii="Gadugi" w:hAnsi="Gadugi"/>
          <w:sz w:val="24"/>
          <w:szCs w:val="26"/>
        </w:rPr>
        <w:t>marzo veinte del dos mil diecinueve</w:t>
      </w:r>
    </w:p>
    <w:p w:rsidR="00CD73E5" w:rsidRPr="002F4DE5" w:rsidRDefault="00CD73E5" w:rsidP="00B700BB">
      <w:pPr>
        <w:spacing w:line="276" w:lineRule="auto"/>
        <w:ind w:firstLine="2835"/>
        <w:jc w:val="both"/>
        <w:rPr>
          <w:rFonts w:ascii="Gadugi" w:hAnsi="Gadugi"/>
          <w:sz w:val="24"/>
          <w:szCs w:val="26"/>
        </w:rPr>
      </w:pPr>
      <w:r w:rsidRPr="002F4DE5">
        <w:rPr>
          <w:rFonts w:ascii="Gadugi" w:hAnsi="Gadugi"/>
          <w:sz w:val="24"/>
          <w:szCs w:val="26"/>
        </w:rPr>
        <w:t>Expediente</w:t>
      </w:r>
      <w:r w:rsidR="00450754" w:rsidRPr="002F4DE5">
        <w:rPr>
          <w:rFonts w:ascii="Gadugi" w:hAnsi="Gadugi"/>
          <w:sz w:val="24"/>
          <w:szCs w:val="26"/>
        </w:rPr>
        <w:t>: 66001-22-13-000-2019-00</w:t>
      </w:r>
      <w:r w:rsidR="00B700BB" w:rsidRPr="002F4DE5">
        <w:rPr>
          <w:rFonts w:ascii="Gadugi" w:hAnsi="Gadugi"/>
          <w:sz w:val="24"/>
          <w:szCs w:val="26"/>
          <w:lang w:val="es-419"/>
        </w:rPr>
        <w:t>154</w:t>
      </w:r>
      <w:r w:rsidRPr="002F4DE5">
        <w:rPr>
          <w:rFonts w:ascii="Gadugi" w:hAnsi="Gadugi"/>
          <w:sz w:val="24"/>
          <w:szCs w:val="26"/>
        </w:rPr>
        <w:t>-00</w:t>
      </w:r>
      <w:r w:rsidRPr="002F4DE5">
        <w:rPr>
          <w:rFonts w:ascii="Gadugi" w:hAnsi="Gadugi"/>
          <w:sz w:val="24"/>
          <w:szCs w:val="26"/>
        </w:rPr>
        <w:tab/>
      </w:r>
      <w:r w:rsidRPr="002F4DE5">
        <w:rPr>
          <w:rFonts w:ascii="Gadugi" w:hAnsi="Gadugi"/>
          <w:sz w:val="24"/>
          <w:szCs w:val="26"/>
        </w:rPr>
        <w:tab/>
        <w:t xml:space="preserve">   </w:t>
      </w:r>
      <w:r w:rsidRPr="002F4DE5">
        <w:rPr>
          <w:rFonts w:ascii="Gadugi" w:hAnsi="Gadugi"/>
          <w:sz w:val="24"/>
          <w:szCs w:val="26"/>
        </w:rPr>
        <w:tab/>
      </w:r>
      <w:r w:rsidRPr="002F4DE5">
        <w:rPr>
          <w:rFonts w:ascii="Gadugi" w:hAnsi="Gadugi"/>
          <w:sz w:val="24"/>
          <w:szCs w:val="26"/>
        </w:rPr>
        <w:tab/>
      </w:r>
      <w:r w:rsidRPr="002F4DE5">
        <w:rPr>
          <w:rFonts w:ascii="Gadugi" w:hAnsi="Gadugi"/>
          <w:sz w:val="24"/>
          <w:szCs w:val="26"/>
        </w:rPr>
        <w:tab/>
      </w:r>
      <w:r w:rsidR="002F4DE5">
        <w:rPr>
          <w:rFonts w:ascii="Gadugi" w:hAnsi="Gadugi"/>
          <w:sz w:val="24"/>
          <w:szCs w:val="26"/>
        </w:rPr>
        <w:tab/>
      </w:r>
      <w:r w:rsidRPr="002F4DE5">
        <w:rPr>
          <w:rFonts w:ascii="Gadugi" w:hAnsi="Gadugi"/>
          <w:sz w:val="24"/>
          <w:szCs w:val="26"/>
        </w:rPr>
        <w:t>Acta N°</w:t>
      </w:r>
      <w:r w:rsidR="006A0A80" w:rsidRPr="002F4DE5">
        <w:rPr>
          <w:rFonts w:ascii="Gadugi" w:hAnsi="Gadugi"/>
          <w:sz w:val="24"/>
          <w:szCs w:val="26"/>
        </w:rPr>
        <w:t xml:space="preserve"> </w:t>
      </w:r>
      <w:r w:rsidR="00D34B32" w:rsidRPr="002F4DE5">
        <w:rPr>
          <w:rFonts w:ascii="Gadugi" w:hAnsi="Gadugi"/>
          <w:sz w:val="24"/>
          <w:szCs w:val="26"/>
        </w:rPr>
        <w:t>101 del 20 de marzo del 2019</w:t>
      </w:r>
    </w:p>
    <w:p w:rsidR="00B700BB" w:rsidRPr="002F4DE5" w:rsidRDefault="00B700BB" w:rsidP="00B700BB">
      <w:pPr>
        <w:spacing w:line="276" w:lineRule="auto"/>
        <w:ind w:firstLine="2835"/>
        <w:jc w:val="both"/>
        <w:rPr>
          <w:rFonts w:ascii="Gadugi" w:hAnsi="Gadugi"/>
          <w:sz w:val="24"/>
          <w:szCs w:val="26"/>
        </w:rPr>
      </w:pPr>
    </w:p>
    <w:p w:rsidR="00CD73E5" w:rsidRPr="002F4DE5" w:rsidRDefault="00CD73E5" w:rsidP="00B700BB">
      <w:pPr>
        <w:spacing w:line="276" w:lineRule="auto"/>
        <w:ind w:firstLine="2835"/>
        <w:jc w:val="both"/>
        <w:rPr>
          <w:rFonts w:ascii="Gadugi" w:hAnsi="Gadugi"/>
          <w:sz w:val="24"/>
          <w:szCs w:val="26"/>
        </w:rPr>
      </w:pPr>
    </w:p>
    <w:p w:rsidR="00DD7802" w:rsidRPr="002F4DE5" w:rsidRDefault="00CD73E5" w:rsidP="00B700BB">
      <w:pPr>
        <w:spacing w:line="276" w:lineRule="auto"/>
        <w:ind w:firstLine="2835"/>
        <w:jc w:val="both"/>
        <w:rPr>
          <w:rFonts w:ascii="Gadugi" w:hAnsi="Gadugi" w:cs="Century Gothic"/>
          <w:b/>
          <w:sz w:val="24"/>
          <w:szCs w:val="26"/>
        </w:rPr>
      </w:pPr>
      <w:r w:rsidRPr="002F4DE5">
        <w:rPr>
          <w:rFonts w:ascii="Gadugi" w:hAnsi="Gadugi" w:cs="Century Gothic"/>
          <w:sz w:val="24"/>
          <w:szCs w:val="26"/>
        </w:rPr>
        <w:t xml:space="preserve">Decide la Sala la acción de tutela promovida </w:t>
      </w:r>
      <w:r w:rsidR="005A7048" w:rsidRPr="002F4DE5">
        <w:rPr>
          <w:rFonts w:ascii="Gadugi" w:hAnsi="Gadugi" w:cs="Century Gothic"/>
          <w:b/>
          <w:sz w:val="24"/>
          <w:szCs w:val="26"/>
        </w:rPr>
        <w:t>Javier Elías Arias Idárraga</w:t>
      </w:r>
      <w:r w:rsidRPr="002F4DE5">
        <w:rPr>
          <w:rFonts w:ascii="Gadugi" w:hAnsi="Gadugi" w:cs="Century Gothic"/>
          <w:b/>
          <w:sz w:val="24"/>
          <w:szCs w:val="26"/>
        </w:rPr>
        <w:t xml:space="preserve"> </w:t>
      </w:r>
      <w:r w:rsidRPr="002F4DE5">
        <w:rPr>
          <w:rFonts w:ascii="Gadugi" w:hAnsi="Gadugi" w:cs="Century Gothic"/>
          <w:bCs/>
          <w:sz w:val="24"/>
          <w:szCs w:val="26"/>
        </w:rPr>
        <w:t>contra</w:t>
      </w:r>
      <w:r w:rsidRPr="002F4DE5">
        <w:rPr>
          <w:rFonts w:ascii="Gadugi" w:hAnsi="Gadugi" w:cs="Century Gothic"/>
          <w:sz w:val="24"/>
          <w:szCs w:val="26"/>
        </w:rPr>
        <w:t xml:space="preserve"> el </w:t>
      </w:r>
      <w:r w:rsidR="00AC7344" w:rsidRPr="002F4DE5">
        <w:rPr>
          <w:rFonts w:ascii="Gadugi" w:hAnsi="Gadugi" w:cs="Century Gothic"/>
          <w:b/>
          <w:sz w:val="24"/>
          <w:szCs w:val="26"/>
        </w:rPr>
        <w:t xml:space="preserve">Juzgado </w:t>
      </w:r>
      <w:r w:rsidR="00B700BB" w:rsidRPr="002F4DE5">
        <w:rPr>
          <w:rFonts w:ascii="Gadugi" w:hAnsi="Gadugi" w:cs="Century Gothic"/>
          <w:b/>
          <w:sz w:val="24"/>
          <w:szCs w:val="26"/>
          <w:lang w:val="es-419"/>
        </w:rPr>
        <w:t xml:space="preserve">Segundo </w:t>
      </w:r>
      <w:r w:rsidR="00450754" w:rsidRPr="002F4DE5">
        <w:rPr>
          <w:rFonts w:ascii="Gadugi" w:hAnsi="Gadugi" w:cs="Century Gothic"/>
          <w:b/>
          <w:sz w:val="24"/>
          <w:szCs w:val="26"/>
        </w:rPr>
        <w:t xml:space="preserve">Civil del Circuito de </w:t>
      </w:r>
      <w:r w:rsidR="00B700BB" w:rsidRPr="002F4DE5">
        <w:rPr>
          <w:rFonts w:ascii="Gadugi" w:hAnsi="Gadugi" w:cs="Century Gothic"/>
          <w:b/>
          <w:sz w:val="24"/>
          <w:szCs w:val="26"/>
          <w:lang w:val="es-419"/>
        </w:rPr>
        <w:t>Pereira</w:t>
      </w:r>
      <w:r w:rsidR="00F52C02" w:rsidRPr="002F4DE5">
        <w:rPr>
          <w:rFonts w:ascii="Gadugi" w:hAnsi="Gadugi" w:cs="Century Gothic"/>
          <w:sz w:val="24"/>
          <w:szCs w:val="26"/>
        </w:rPr>
        <w:t>,</w:t>
      </w:r>
      <w:r w:rsidR="00F52C02" w:rsidRPr="002F4DE5">
        <w:rPr>
          <w:rFonts w:ascii="Gadugi" w:hAnsi="Gadugi" w:cs="Century Gothic"/>
          <w:b/>
          <w:sz w:val="24"/>
          <w:szCs w:val="26"/>
        </w:rPr>
        <w:t xml:space="preserve"> </w:t>
      </w:r>
      <w:r w:rsidR="00F52C02" w:rsidRPr="002F4DE5">
        <w:rPr>
          <w:rFonts w:ascii="Gadugi" w:hAnsi="Gadugi" w:cs="Century Gothic"/>
          <w:sz w:val="24"/>
          <w:szCs w:val="26"/>
        </w:rPr>
        <w:t>a la que fue</w:t>
      </w:r>
      <w:r w:rsidR="00B700BB" w:rsidRPr="002F4DE5">
        <w:rPr>
          <w:rFonts w:ascii="Gadugi" w:hAnsi="Gadugi" w:cs="Century Gothic"/>
          <w:sz w:val="24"/>
          <w:szCs w:val="26"/>
          <w:lang w:val="es-419"/>
        </w:rPr>
        <w:t xml:space="preserve"> </w:t>
      </w:r>
      <w:r w:rsidR="00450754" w:rsidRPr="002F4DE5">
        <w:rPr>
          <w:rFonts w:ascii="Gadugi" w:hAnsi="Gadugi" w:cs="Century Gothic"/>
          <w:sz w:val="24"/>
          <w:szCs w:val="26"/>
        </w:rPr>
        <w:t>vinculada</w:t>
      </w:r>
      <w:r w:rsidR="00F52C02" w:rsidRPr="002F4DE5">
        <w:rPr>
          <w:rFonts w:ascii="Gadugi" w:hAnsi="Gadugi" w:cs="Century Gothic"/>
          <w:sz w:val="24"/>
          <w:szCs w:val="26"/>
        </w:rPr>
        <w:t xml:space="preserve"> la</w:t>
      </w:r>
      <w:r w:rsidR="00F52C02" w:rsidRPr="002F4DE5">
        <w:rPr>
          <w:rFonts w:ascii="Gadugi" w:hAnsi="Gadugi" w:cs="Century Gothic"/>
          <w:b/>
          <w:sz w:val="24"/>
          <w:szCs w:val="26"/>
        </w:rPr>
        <w:t xml:space="preserve"> Defensoría del </w:t>
      </w:r>
      <w:r w:rsidR="00450754" w:rsidRPr="002F4DE5">
        <w:rPr>
          <w:rFonts w:ascii="Gadugi" w:hAnsi="Gadugi" w:cs="Century Gothic"/>
          <w:b/>
          <w:sz w:val="24"/>
          <w:szCs w:val="26"/>
        </w:rPr>
        <w:t>P</w:t>
      </w:r>
      <w:r w:rsidR="00F52C02" w:rsidRPr="002F4DE5">
        <w:rPr>
          <w:rFonts w:ascii="Gadugi" w:hAnsi="Gadugi" w:cs="Century Gothic"/>
          <w:b/>
          <w:sz w:val="24"/>
          <w:szCs w:val="26"/>
        </w:rPr>
        <w:t>ueblo</w:t>
      </w:r>
      <w:r w:rsidR="00B700BB" w:rsidRPr="002F4DE5">
        <w:rPr>
          <w:rFonts w:ascii="Gadugi" w:hAnsi="Gadugi" w:cs="Century Gothic"/>
          <w:b/>
          <w:sz w:val="24"/>
          <w:szCs w:val="26"/>
          <w:lang w:val="es-419"/>
        </w:rPr>
        <w:t>.</w:t>
      </w:r>
      <w:r w:rsidR="00DD7802" w:rsidRPr="002F4DE5">
        <w:rPr>
          <w:rFonts w:ascii="Gadugi" w:hAnsi="Gadugi" w:cs="Century Gothic"/>
          <w:b/>
          <w:sz w:val="24"/>
          <w:szCs w:val="26"/>
        </w:rPr>
        <w:t xml:space="preserve"> </w:t>
      </w:r>
    </w:p>
    <w:p w:rsidR="00CD73E5" w:rsidRPr="002F4DE5" w:rsidRDefault="00CD73E5" w:rsidP="00B700BB">
      <w:pPr>
        <w:spacing w:line="276" w:lineRule="auto"/>
        <w:ind w:firstLine="2835"/>
        <w:jc w:val="both"/>
        <w:rPr>
          <w:rFonts w:ascii="Gadugi" w:hAnsi="Gadugi" w:cs="Century Gothic"/>
          <w:b/>
          <w:bCs/>
          <w:sz w:val="24"/>
          <w:szCs w:val="26"/>
          <w:lang w:val="es-CO"/>
        </w:rPr>
      </w:pPr>
    </w:p>
    <w:p w:rsidR="00CD73E5" w:rsidRPr="002F4DE5" w:rsidRDefault="00CD73E5" w:rsidP="00B700BB">
      <w:pPr>
        <w:pStyle w:val="Ttulo4"/>
        <w:spacing w:line="276" w:lineRule="auto"/>
        <w:rPr>
          <w:rFonts w:ascii="Gadugi" w:hAnsi="Gadugi"/>
          <w:b/>
          <w:sz w:val="24"/>
          <w:szCs w:val="26"/>
        </w:rPr>
      </w:pPr>
    </w:p>
    <w:p w:rsidR="00CD73E5" w:rsidRPr="002F4DE5" w:rsidRDefault="00CD73E5" w:rsidP="00B700BB">
      <w:pPr>
        <w:pStyle w:val="Ttulo4"/>
        <w:spacing w:line="276" w:lineRule="auto"/>
        <w:rPr>
          <w:rFonts w:ascii="Gadugi" w:hAnsi="Gadugi"/>
          <w:b/>
          <w:sz w:val="24"/>
          <w:szCs w:val="26"/>
        </w:rPr>
      </w:pPr>
      <w:r w:rsidRPr="002F4DE5">
        <w:rPr>
          <w:rFonts w:ascii="Gadugi" w:hAnsi="Gadugi"/>
          <w:b/>
          <w:sz w:val="24"/>
          <w:szCs w:val="26"/>
        </w:rPr>
        <w:t>ANTECEDENTES</w:t>
      </w:r>
    </w:p>
    <w:p w:rsidR="00CD73E5" w:rsidRPr="002F4DE5" w:rsidRDefault="00CD73E5" w:rsidP="00B700BB">
      <w:pPr>
        <w:tabs>
          <w:tab w:val="left" w:pos="7695"/>
        </w:tabs>
        <w:spacing w:line="276" w:lineRule="auto"/>
        <w:ind w:firstLine="2835"/>
        <w:jc w:val="both"/>
        <w:rPr>
          <w:rFonts w:ascii="Gadugi" w:hAnsi="Gadugi" w:cs="Century Gothic"/>
          <w:b/>
          <w:bCs/>
          <w:sz w:val="24"/>
          <w:szCs w:val="26"/>
        </w:rPr>
      </w:pPr>
      <w:r w:rsidRPr="002F4DE5">
        <w:rPr>
          <w:rFonts w:ascii="Gadugi" w:hAnsi="Gadugi" w:cs="Century Gothic"/>
          <w:b/>
          <w:bCs/>
          <w:sz w:val="24"/>
          <w:szCs w:val="26"/>
        </w:rPr>
        <w:tab/>
      </w:r>
    </w:p>
    <w:p w:rsidR="00CD73E5" w:rsidRPr="002F4DE5" w:rsidRDefault="00CD73E5" w:rsidP="00B700BB">
      <w:pPr>
        <w:spacing w:line="276" w:lineRule="auto"/>
        <w:ind w:firstLine="2835"/>
        <w:jc w:val="both"/>
        <w:rPr>
          <w:rFonts w:ascii="Gadugi" w:hAnsi="Gadugi" w:cs="Century Gothic"/>
          <w:sz w:val="24"/>
          <w:szCs w:val="26"/>
        </w:rPr>
      </w:pPr>
    </w:p>
    <w:p w:rsidR="00CD73E5" w:rsidRPr="002F4DE5" w:rsidRDefault="005A7048" w:rsidP="00B700BB">
      <w:pPr>
        <w:pStyle w:val="Textoindependiente21"/>
        <w:spacing w:line="276" w:lineRule="auto"/>
        <w:rPr>
          <w:rFonts w:ascii="Gadugi" w:hAnsi="Gadugi" w:cs="Century Gothic"/>
          <w:i/>
          <w:szCs w:val="26"/>
          <w:lang w:val="es-CO"/>
        </w:rPr>
      </w:pPr>
      <w:r w:rsidRPr="002F4DE5">
        <w:rPr>
          <w:rFonts w:ascii="Gadugi" w:hAnsi="Gadugi" w:cs="Century Gothic"/>
          <w:szCs w:val="26"/>
          <w:lang w:val="es-CO"/>
        </w:rPr>
        <w:t>Javier Elías Arias Idárraga</w:t>
      </w:r>
      <w:r w:rsidR="00CD73E5" w:rsidRPr="002F4DE5">
        <w:rPr>
          <w:rFonts w:ascii="Gadugi" w:hAnsi="Gadugi" w:cs="Century Gothic"/>
          <w:szCs w:val="26"/>
          <w:lang w:val="es-CO"/>
        </w:rPr>
        <w:t>, quien actúa en su propio nombre</w:t>
      </w:r>
      <w:r w:rsidR="00CD73E5" w:rsidRPr="002F4DE5">
        <w:rPr>
          <w:rFonts w:ascii="Gadugi" w:hAnsi="Gadugi" w:cs="Century Gothic"/>
          <w:szCs w:val="26"/>
        </w:rPr>
        <w:t xml:space="preserve">, presentó </w:t>
      </w:r>
      <w:r w:rsidR="00A5031D" w:rsidRPr="002F4DE5">
        <w:rPr>
          <w:rFonts w:ascii="Gadugi" w:hAnsi="Gadugi" w:cs="Century Gothic"/>
          <w:szCs w:val="26"/>
        </w:rPr>
        <w:t xml:space="preserve">esta </w:t>
      </w:r>
      <w:r w:rsidR="00CD73E5" w:rsidRPr="002F4DE5">
        <w:rPr>
          <w:rFonts w:ascii="Gadugi" w:hAnsi="Gadugi" w:cs="Century Gothic"/>
          <w:szCs w:val="26"/>
        </w:rPr>
        <w:t>acción de tutela contra</w:t>
      </w:r>
      <w:r w:rsidRPr="002F4DE5">
        <w:rPr>
          <w:rFonts w:ascii="Gadugi" w:hAnsi="Gadugi" w:cs="Century Gothic"/>
          <w:szCs w:val="26"/>
        </w:rPr>
        <w:t xml:space="preserve"> el</w:t>
      </w:r>
      <w:r w:rsidR="00CD73E5" w:rsidRPr="002F4DE5">
        <w:rPr>
          <w:rFonts w:ascii="Gadugi" w:hAnsi="Gadugi" w:cs="Century Gothic"/>
          <w:szCs w:val="26"/>
        </w:rPr>
        <w:t xml:space="preserve"> </w:t>
      </w:r>
      <w:r w:rsidR="00AC7344" w:rsidRPr="002F4DE5">
        <w:rPr>
          <w:rFonts w:ascii="Gadugi" w:hAnsi="Gadugi" w:cs="Century Gothic"/>
          <w:szCs w:val="26"/>
        </w:rPr>
        <w:t xml:space="preserve">Juzgado </w:t>
      </w:r>
      <w:r w:rsidR="00B700BB" w:rsidRPr="002F4DE5">
        <w:rPr>
          <w:rFonts w:ascii="Gadugi" w:hAnsi="Gadugi" w:cs="Century Gothic"/>
          <w:szCs w:val="26"/>
          <w:lang w:val="es-419"/>
        </w:rPr>
        <w:t xml:space="preserve">Segundo Civil </w:t>
      </w:r>
      <w:r w:rsidR="00A5031D" w:rsidRPr="002F4DE5">
        <w:rPr>
          <w:rFonts w:ascii="Gadugi" w:hAnsi="Gadugi" w:cs="Century Gothic"/>
          <w:szCs w:val="26"/>
        </w:rPr>
        <w:t xml:space="preserve">del Circuito de </w:t>
      </w:r>
      <w:r w:rsidR="00B700BB" w:rsidRPr="002F4DE5">
        <w:rPr>
          <w:rFonts w:ascii="Gadugi" w:hAnsi="Gadugi" w:cs="Century Gothic"/>
          <w:szCs w:val="26"/>
          <w:lang w:val="es-419"/>
        </w:rPr>
        <w:t xml:space="preserve">Pereira, </w:t>
      </w:r>
      <w:r w:rsidR="00CD73E5" w:rsidRPr="002F4DE5">
        <w:rPr>
          <w:rFonts w:ascii="Gadugi" w:hAnsi="Gadugi" w:cs="Century Gothic"/>
          <w:szCs w:val="26"/>
          <w:lang w:val="es-CO"/>
        </w:rPr>
        <w:t>en la que aduce la violación</w:t>
      </w:r>
      <w:r w:rsidR="00CD73E5" w:rsidRPr="002F4DE5">
        <w:rPr>
          <w:rFonts w:ascii="Gadugi" w:hAnsi="Gadugi" w:cs="Century Gothic"/>
          <w:szCs w:val="26"/>
        </w:rPr>
        <w:t xml:space="preserve"> </w:t>
      </w:r>
      <w:r w:rsidR="00B700BB" w:rsidRPr="002F4DE5">
        <w:rPr>
          <w:rFonts w:ascii="Gadugi" w:hAnsi="Gadugi" w:cs="Century Gothic"/>
          <w:szCs w:val="26"/>
          <w:lang w:val="es-419"/>
        </w:rPr>
        <w:t xml:space="preserve">del derecho al debido proceso. </w:t>
      </w:r>
    </w:p>
    <w:p w:rsidR="00CD73E5" w:rsidRPr="002F4DE5" w:rsidRDefault="00CD73E5" w:rsidP="00B700BB">
      <w:pPr>
        <w:spacing w:line="276" w:lineRule="auto"/>
        <w:jc w:val="both"/>
        <w:rPr>
          <w:rFonts w:ascii="Gadugi" w:hAnsi="Gadugi" w:cs="Century Gothic"/>
          <w:sz w:val="24"/>
          <w:szCs w:val="26"/>
          <w:lang w:val="es-CO"/>
        </w:rPr>
      </w:pPr>
      <w:r w:rsidRPr="002F4DE5">
        <w:rPr>
          <w:rFonts w:ascii="Gadugi" w:hAnsi="Gadugi" w:cs="Century Gothic"/>
          <w:sz w:val="24"/>
          <w:szCs w:val="26"/>
          <w:lang w:val="es-CO"/>
        </w:rPr>
        <w:lastRenderedPageBreak/>
        <w:t xml:space="preserve">   </w:t>
      </w:r>
      <w:r w:rsidRPr="002F4DE5">
        <w:rPr>
          <w:rFonts w:ascii="Gadugi" w:hAnsi="Gadugi" w:cs="Century Gothic"/>
          <w:sz w:val="24"/>
          <w:szCs w:val="26"/>
          <w:lang w:val="es-CO"/>
        </w:rPr>
        <w:tab/>
      </w:r>
      <w:r w:rsidRPr="002F4DE5">
        <w:rPr>
          <w:rFonts w:ascii="Gadugi" w:hAnsi="Gadugi" w:cs="Century Gothic"/>
          <w:sz w:val="24"/>
          <w:szCs w:val="26"/>
          <w:lang w:val="es-CO"/>
        </w:rPr>
        <w:tab/>
      </w:r>
      <w:r w:rsidRPr="002F4DE5">
        <w:rPr>
          <w:rFonts w:ascii="Gadugi" w:hAnsi="Gadugi" w:cs="Century Gothic"/>
          <w:sz w:val="24"/>
          <w:szCs w:val="26"/>
          <w:lang w:val="es-CO"/>
        </w:rPr>
        <w:tab/>
      </w:r>
      <w:r w:rsidRPr="002F4DE5">
        <w:rPr>
          <w:rFonts w:ascii="Gadugi" w:hAnsi="Gadugi" w:cs="Century Gothic"/>
          <w:sz w:val="24"/>
          <w:szCs w:val="26"/>
          <w:lang w:val="es-CO"/>
        </w:rPr>
        <w:tab/>
      </w:r>
    </w:p>
    <w:p w:rsidR="00B700BB" w:rsidRPr="002F4DE5" w:rsidRDefault="00CD73E5" w:rsidP="00B700BB">
      <w:pPr>
        <w:spacing w:line="276" w:lineRule="auto"/>
        <w:jc w:val="both"/>
        <w:rPr>
          <w:rFonts w:ascii="Gadugi" w:hAnsi="Gadugi" w:cs="Century Gothic"/>
          <w:sz w:val="24"/>
          <w:szCs w:val="26"/>
          <w:lang w:val="es-419"/>
        </w:rPr>
      </w:pPr>
      <w:r w:rsidRPr="002F4DE5">
        <w:rPr>
          <w:rFonts w:ascii="Gadugi" w:hAnsi="Gadugi" w:cs="Century Gothic"/>
          <w:sz w:val="24"/>
          <w:szCs w:val="26"/>
          <w:lang w:val="es-CO"/>
        </w:rPr>
        <w:t xml:space="preserve"> </w:t>
      </w:r>
      <w:r w:rsidRPr="002F4DE5">
        <w:rPr>
          <w:rFonts w:ascii="Gadugi" w:hAnsi="Gadugi" w:cs="Century Gothic"/>
          <w:sz w:val="24"/>
          <w:szCs w:val="26"/>
          <w:lang w:val="es-CO"/>
        </w:rPr>
        <w:tab/>
      </w:r>
      <w:r w:rsidRPr="002F4DE5">
        <w:rPr>
          <w:rFonts w:ascii="Gadugi" w:hAnsi="Gadugi" w:cs="Century Gothic"/>
          <w:sz w:val="24"/>
          <w:szCs w:val="26"/>
          <w:lang w:val="es-CO"/>
        </w:rPr>
        <w:tab/>
      </w:r>
      <w:r w:rsidRPr="002F4DE5">
        <w:rPr>
          <w:rFonts w:ascii="Gadugi" w:hAnsi="Gadugi" w:cs="Century Gothic"/>
          <w:sz w:val="24"/>
          <w:szCs w:val="26"/>
          <w:lang w:val="es-CO"/>
        </w:rPr>
        <w:tab/>
      </w:r>
      <w:r w:rsidRPr="002F4DE5">
        <w:rPr>
          <w:rFonts w:ascii="Gadugi" w:hAnsi="Gadugi" w:cs="Century Gothic"/>
          <w:sz w:val="24"/>
          <w:szCs w:val="26"/>
          <w:lang w:val="es-CO"/>
        </w:rPr>
        <w:tab/>
      </w:r>
      <w:proofErr w:type="spellStart"/>
      <w:r w:rsidR="00F1637D" w:rsidRPr="002F4DE5">
        <w:rPr>
          <w:rFonts w:ascii="Gadugi" w:hAnsi="Gadugi" w:cs="Century Gothic"/>
          <w:sz w:val="24"/>
          <w:szCs w:val="26"/>
        </w:rPr>
        <w:t>Narr</w:t>
      </w:r>
      <w:proofErr w:type="spellEnd"/>
      <w:r w:rsidR="00965768" w:rsidRPr="002F4DE5">
        <w:rPr>
          <w:rFonts w:ascii="Gadugi" w:hAnsi="Gadugi" w:cs="Century Gothic"/>
          <w:sz w:val="24"/>
          <w:szCs w:val="26"/>
          <w:lang w:val="es-419"/>
        </w:rPr>
        <w:t>a</w:t>
      </w:r>
      <w:r w:rsidRPr="002F4DE5">
        <w:rPr>
          <w:rFonts w:ascii="Gadugi" w:hAnsi="Gadugi" w:cs="Century Gothic"/>
          <w:sz w:val="24"/>
          <w:szCs w:val="26"/>
        </w:rPr>
        <w:t xml:space="preserve"> que </w:t>
      </w:r>
      <w:r w:rsidR="00B700BB" w:rsidRPr="002F4DE5">
        <w:rPr>
          <w:rFonts w:ascii="Gadugi" w:hAnsi="Gadugi" w:cs="Century Gothic"/>
          <w:sz w:val="24"/>
          <w:szCs w:val="26"/>
          <w:lang w:val="es-419"/>
        </w:rPr>
        <w:t xml:space="preserve">como demandado en el proceso ejecutivo con radicación 2017-00326 que se adelanta ante ese despacho judicial en su contra, se le impuso sanción de cinco salarios mínimos legales mensuales vigentes por inasistir a la audiencia conjunta de los artículos 372 y 373 del C.G.P., sin percatarse de que: (i) goza de amparo de pobreza; (ii) no le notificaron por ningún medio su comparecencia; y (iii) basta la presencia de su apoderado. </w:t>
      </w:r>
    </w:p>
    <w:p w:rsidR="00B700BB" w:rsidRPr="002F4DE5" w:rsidRDefault="00B700BB" w:rsidP="00B700BB">
      <w:pPr>
        <w:spacing w:line="276" w:lineRule="auto"/>
        <w:jc w:val="both"/>
        <w:rPr>
          <w:rFonts w:ascii="Gadugi" w:hAnsi="Gadugi" w:cs="Century Gothic"/>
          <w:sz w:val="24"/>
          <w:szCs w:val="26"/>
          <w:lang w:val="es-419"/>
        </w:rPr>
      </w:pPr>
    </w:p>
    <w:p w:rsidR="00B700BB" w:rsidRPr="002F4DE5" w:rsidRDefault="00B700BB" w:rsidP="00B700BB">
      <w:pPr>
        <w:spacing w:line="276" w:lineRule="auto"/>
        <w:jc w:val="both"/>
        <w:rPr>
          <w:rFonts w:ascii="Gadugi" w:hAnsi="Gadugi" w:cs="Century Gothic"/>
          <w:sz w:val="24"/>
          <w:szCs w:val="26"/>
          <w:lang w:val="es-CO"/>
        </w:rPr>
      </w:pPr>
      <w:r w:rsidRPr="002F4DE5">
        <w:rPr>
          <w:rFonts w:ascii="Gadugi" w:hAnsi="Gadugi" w:cs="Century Gothic"/>
          <w:sz w:val="24"/>
          <w:szCs w:val="26"/>
          <w:lang w:val="es-419"/>
        </w:rPr>
        <w:t xml:space="preserve">  </w:t>
      </w:r>
      <w:r w:rsidRPr="002F4DE5">
        <w:rPr>
          <w:rFonts w:ascii="Gadugi" w:hAnsi="Gadugi" w:cs="Century Gothic"/>
          <w:sz w:val="24"/>
          <w:szCs w:val="26"/>
          <w:lang w:val="es-419"/>
        </w:rPr>
        <w:tab/>
      </w:r>
      <w:r w:rsidRPr="002F4DE5">
        <w:rPr>
          <w:rFonts w:ascii="Gadugi" w:hAnsi="Gadugi" w:cs="Century Gothic"/>
          <w:sz w:val="24"/>
          <w:szCs w:val="26"/>
          <w:lang w:val="es-419"/>
        </w:rPr>
        <w:tab/>
      </w:r>
      <w:r w:rsidRPr="002F4DE5">
        <w:rPr>
          <w:rFonts w:ascii="Gadugi" w:hAnsi="Gadugi" w:cs="Century Gothic"/>
          <w:sz w:val="24"/>
          <w:szCs w:val="26"/>
          <w:lang w:val="es-419"/>
        </w:rPr>
        <w:tab/>
      </w:r>
      <w:r w:rsidRPr="002F4DE5">
        <w:rPr>
          <w:rFonts w:ascii="Gadugi" w:hAnsi="Gadugi" w:cs="Century Gothic"/>
          <w:sz w:val="24"/>
          <w:szCs w:val="26"/>
          <w:lang w:val="es-419"/>
        </w:rPr>
        <w:tab/>
        <w:t xml:space="preserve">Pide, en consecuencia, que se declare la nulidad del auto que le impuso la sanción y se demuestre cómo fue citado a la audiencia respectiva. </w:t>
      </w:r>
      <w:r w:rsidR="00450754" w:rsidRPr="002F4DE5">
        <w:rPr>
          <w:rFonts w:ascii="Gadugi" w:hAnsi="Gadugi" w:cs="Century Gothic"/>
          <w:sz w:val="24"/>
          <w:szCs w:val="26"/>
          <w:lang w:val="es-CO"/>
        </w:rPr>
        <w:tab/>
      </w:r>
      <w:r w:rsidR="00450754" w:rsidRPr="002F4DE5">
        <w:rPr>
          <w:rFonts w:ascii="Gadugi" w:hAnsi="Gadugi" w:cs="Century Gothic"/>
          <w:sz w:val="24"/>
          <w:szCs w:val="26"/>
          <w:lang w:val="es-CO"/>
        </w:rPr>
        <w:tab/>
      </w:r>
    </w:p>
    <w:p w:rsidR="00985998" w:rsidRPr="002F4DE5" w:rsidRDefault="00985998" w:rsidP="00B700BB">
      <w:pPr>
        <w:spacing w:line="276" w:lineRule="auto"/>
        <w:jc w:val="both"/>
        <w:rPr>
          <w:rFonts w:ascii="Gadugi" w:hAnsi="Gadugi" w:cs="Century Gothic"/>
          <w:sz w:val="24"/>
          <w:szCs w:val="26"/>
        </w:rPr>
      </w:pPr>
      <w:r w:rsidRPr="002F4DE5">
        <w:rPr>
          <w:rFonts w:ascii="Gadugi" w:hAnsi="Gadugi" w:cs="Century Gothic"/>
          <w:sz w:val="24"/>
          <w:szCs w:val="26"/>
          <w:lang w:val="es-CO"/>
        </w:rPr>
        <w:tab/>
      </w:r>
      <w:r w:rsidRPr="002F4DE5">
        <w:rPr>
          <w:rFonts w:ascii="Gadugi" w:hAnsi="Gadugi" w:cs="Century Gothic"/>
          <w:sz w:val="24"/>
          <w:szCs w:val="26"/>
          <w:lang w:val="es-CO"/>
        </w:rPr>
        <w:tab/>
      </w:r>
      <w:r w:rsidRPr="002F4DE5">
        <w:rPr>
          <w:rFonts w:ascii="Gadugi" w:hAnsi="Gadugi" w:cs="Century Gothic"/>
          <w:sz w:val="24"/>
          <w:szCs w:val="26"/>
          <w:lang w:val="es-CO"/>
        </w:rPr>
        <w:tab/>
      </w:r>
      <w:r w:rsidRPr="002F4DE5">
        <w:rPr>
          <w:rFonts w:ascii="Gadugi" w:hAnsi="Gadugi" w:cs="Century Gothic"/>
          <w:sz w:val="24"/>
          <w:szCs w:val="26"/>
          <w:lang w:val="es-CO"/>
        </w:rPr>
        <w:tab/>
      </w:r>
      <w:r w:rsidR="00B700BB" w:rsidRPr="002F4DE5">
        <w:rPr>
          <w:rFonts w:ascii="Gadugi" w:hAnsi="Gadugi" w:cs="Century Gothic"/>
          <w:sz w:val="24"/>
          <w:szCs w:val="26"/>
          <w:lang w:val="es-419"/>
        </w:rPr>
        <w:t>S</w:t>
      </w:r>
      <w:r w:rsidRPr="002F4DE5">
        <w:rPr>
          <w:rFonts w:ascii="Gadugi" w:hAnsi="Gadugi" w:cs="Century Gothic"/>
          <w:sz w:val="24"/>
          <w:szCs w:val="26"/>
          <w:lang w:val="es-CO"/>
        </w:rPr>
        <w:t>e</w:t>
      </w:r>
      <w:r w:rsidRPr="002F4DE5">
        <w:rPr>
          <w:rFonts w:ascii="Gadugi" w:hAnsi="Gadugi" w:cs="Century Gothic"/>
          <w:sz w:val="24"/>
          <w:szCs w:val="26"/>
        </w:rPr>
        <w:t xml:space="preserve"> dispuso el trámite respectivo</w:t>
      </w:r>
      <w:r w:rsidR="00B700BB" w:rsidRPr="002F4DE5">
        <w:rPr>
          <w:rFonts w:ascii="Gadugi" w:hAnsi="Gadugi" w:cs="Century Gothic"/>
          <w:sz w:val="24"/>
          <w:szCs w:val="26"/>
          <w:lang w:val="es-419"/>
        </w:rPr>
        <w:t xml:space="preserve">; del </w:t>
      </w:r>
      <w:r w:rsidRPr="002F4DE5">
        <w:rPr>
          <w:rFonts w:ascii="Gadugi" w:hAnsi="Gadugi" w:cs="Century Gothic"/>
          <w:sz w:val="24"/>
          <w:szCs w:val="26"/>
        </w:rPr>
        <w:t xml:space="preserve">juzgado se solicitó copia de las diligencias relacionadas en la demanda y se </w:t>
      </w:r>
      <w:r w:rsidRPr="002F4DE5">
        <w:rPr>
          <w:rFonts w:ascii="Gadugi" w:hAnsi="Gadugi" w:cs="Century Gothic"/>
          <w:sz w:val="24"/>
          <w:szCs w:val="26"/>
          <w:lang w:val="es-419"/>
        </w:rPr>
        <w:t>orden</w:t>
      </w:r>
      <w:r w:rsidR="00B700BB" w:rsidRPr="002F4DE5">
        <w:rPr>
          <w:rFonts w:ascii="Gadugi" w:hAnsi="Gadugi" w:cs="Century Gothic"/>
          <w:sz w:val="24"/>
          <w:szCs w:val="26"/>
          <w:lang w:val="es-419"/>
        </w:rPr>
        <w:t xml:space="preserve">ó la citada </w:t>
      </w:r>
      <w:proofErr w:type="spellStart"/>
      <w:r w:rsidRPr="002F4DE5">
        <w:rPr>
          <w:rFonts w:ascii="Gadugi" w:hAnsi="Gadugi" w:cs="Century Gothic"/>
          <w:sz w:val="24"/>
          <w:szCs w:val="26"/>
        </w:rPr>
        <w:t>vinculaci</w:t>
      </w:r>
      <w:proofErr w:type="spellEnd"/>
      <w:r w:rsidR="00B700BB" w:rsidRPr="002F4DE5">
        <w:rPr>
          <w:rFonts w:ascii="Gadugi" w:hAnsi="Gadugi" w:cs="Century Gothic"/>
          <w:sz w:val="24"/>
          <w:szCs w:val="26"/>
          <w:lang w:val="es-419"/>
        </w:rPr>
        <w:t>ón</w:t>
      </w:r>
      <w:r w:rsidRPr="002F4DE5">
        <w:rPr>
          <w:rFonts w:ascii="Gadugi" w:hAnsi="Gadugi" w:cs="Century Gothic"/>
          <w:sz w:val="24"/>
          <w:szCs w:val="26"/>
          <w:lang w:val="es-419"/>
        </w:rPr>
        <w:t>.</w:t>
      </w:r>
      <w:r w:rsidRPr="002F4DE5">
        <w:rPr>
          <w:rFonts w:ascii="Gadugi" w:hAnsi="Gadugi" w:cs="Century Gothic"/>
          <w:sz w:val="24"/>
          <w:szCs w:val="26"/>
        </w:rPr>
        <w:t xml:space="preserve"> </w:t>
      </w:r>
    </w:p>
    <w:p w:rsidR="002010BC" w:rsidRPr="002F4DE5" w:rsidRDefault="002010BC" w:rsidP="00B700BB">
      <w:pPr>
        <w:spacing w:line="276" w:lineRule="auto"/>
        <w:jc w:val="both"/>
        <w:rPr>
          <w:rFonts w:ascii="Gadugi" w:hAnsi="Gadugi" w:cs="Century Gothic"/>
          <w:sz w:val="24"/>
          <w:szCs w:val="26"/>
        </w:rPr>
      </w:pPr>
    </w:p>
    <w:p w:rsidR="002010BC" w:rsidRPr="002F4DE5" w:rsidRDefault="002010BC" w:rsidP="00B700BB">
      <w:pPr>
        <w:spacing w:line="276" w:lineRule="auto"/>
        <w:jc w:val="both"/>
        <w:rPr>
          <w:rFonts w:ascii="Gadugi" w:hAnsi="Gadugi" w:cs="Century Gothic"/>
          <w:sz w:val="24"/>
          <w:szCs w:val="26"/>
        </w:rPr>
      </w:pPr>
      <w:r w:rsidRPr="002F4DE5">
        <w:rPr>
          <w:rFonts w:ascii="Gadugi" w:hAnsi="Gadugi" w:cs="Century Gothic"/>
          <w:sz w:val="24"/>
          <w:szCs w:val="26"/>
        </w:rPr>
        <w:tab/>
      </w:r>
      <w:r w:rsidRPr="002F4DE5">
        <w:rPr>
          <w:rFonts w:ascii="Gadugi" w:hAnsi="Gadugi" w:cs="Century Gothic"/>
          <w:sz w:val="24"/>
          <w:szCs w:val="26"/>
        </w:rPr>
        <w:tab/>
      </w:r>
      <w:r w:rsidRPr="002F4DE5">
        <w:rPr>
          <w:rFonts w:ascii="Gadugi" w:hAnsi="Gadugi" w:cs="Century Gothic"/>
          <w:sz w:val="24"/>
          <w:szCs w:val="26"/>
        </w:rPr>
        <w:tab/>
      </w:r>
      <w:r w:rsidRPr="002F4DE5">
        <w:rPr>
          <w:rFonts w:ascii="Gadugi" w:hAnsi="Gadugi" w:cs="Century Gothic"/>
          <w:sz w:val="24"/>
          <w:szCs w:val="26"/>
        </w:rPr>
        <w:tab/>
        <w:t>El juzgado remiti</w:t>
      </w:r>
      <w:r w:rsidR="00086157" w:rsidRPr="002F4DE5">
        <w:rPr>
          <w:rFonts w:ascii="Gadugi" w:hAnsi="Gadugi" w:cs="Century Gothic"/>
          <w:sz w:val="24"/>
          <w:szCs w:val="26"/>
        </w:rPr>
        <w:t>ó copias de lo pertinente.</w:t>
      </w:r>
    </w:p>
    <w:p w:rsidR="007227F4" w:rsidRPr="002F4DE5" w:rsidRDefault="007227F4" w:rsidP="00B700BB">
      <w:pPr>
        <w:pStyle w:val="Textoindependiente21"/>
        <w:spacing w:line="276" w:lineRule="auto"/>
        <w:rPr>
          <w:rFonts w:ascii="Gadugi" w:hAnsi="Gadugi" w:cs="Century Gothic"/>
          <w:szCs w:val="26"/>
        </w:rPr>
      </w:pPr>
    </w:p>
    <w:p w:rsidR="006A0A80" w:rsidRPr="002F4DE5" w:rsidRDefault="006A0A80" w:rsidP="00B700BB">
      <w:pPr>
        <w:pStyle w:val="Textoindependiente21"/>
        <w:spacing w:line="276" w:lineRule="auto"/>
        <w:rPr>
          <w:rFonts w:ascii="Gadugi" w:hAnsi="Gadugi" w:cs="Century Gothic"/>
          <w:szCs w:val="26"/>
        </w:rPr>
      </w:pPr>
    </w:p>
    <w:p w:rsidR="00CD73E5" w:rsidRPr="002F4DE5" w:rsidRDefault="00CD73E5" w:rsidP="00B700BB">
      <w:pPr>
        <w:spacing w:line="276" w:lineRule="auto"/>
        <w:ind w:firstLine="2835"/>
        <w:jc w:val="both"/>
        <w:rPr>
          <w:rFonts w:ascii="Gadugi" w:hAnsi="Gadugi" w:cs="Arial"/>
          <w:b/>
          <w:sz w:val="24"/>
          <w:szCs w:val="26"/>
        </w:rPr>
      </w:pPr>
      <w:r w:rsidRPr="002F4DE5">
        <w:rPr>
          <w:rFonts w:ascii="Gadugi" w:hAnsi="Gadugi" w:cs="Arial"/>
          <w:b/>
          <w:sz w:val="24"/>
          <w:szCs w:val="26"/>
        </w:rPr>
        <w:t>CONSIDERACIONES</w:t>
      </w:r>
    </w:p>
    <w:p w:rsidR="00CD73E5" w:rsidRPr="002F4DE5" w:rsidRDefault="00CD73E5" w:rsidP="00B700BB">
      <w:pPr>
        <w:spacing w:line="276" w:lineRule="auto"/>
        <w:ind w:firstLine="2835"/>
        <w:jc w:val="both"/>
        <w:rPr>
          <w:rFonts w:ascii="Gadugi" w:hAnsi="Gadugi" w:cs="Arial"/>
          <w:sz w:val="24"/>
          <w:szCs w:val="26"/>
          <w:u w:val="single"/>
        </w:rPr>
      </w:pPr>
    </w:p>
    <w:p w:rsidR="003127B8" w:rsidRPr="002F4DE5" w:rsidRDefault="003127B8" w:rsidP="00B700BB">
      <w:pPr>
        <w:spacing w:line="276" w:lineRule="auto"/>
        <w:ind w:firstLine="2835"/>
        <w:jc w:val="both"/>
        <w:rPr>
          <w:rFonts w:ascii="Gadugi" w:hAnsi="Gadugi" w:cs="Arial"/>
          <w:sz w:val="24"/>
          <w:szCs w:val="26"/>
          <w:u w:val="single"/>
        </w:rPr>
      </w:pPr>
    </w:p>
    <w:p w:rsidR="00CD73E5" w:rsidRPr="002F4DE5" w:rsidRDefault="009E0FD8" w:rsidP="00B700BB">
      <w:pPr>
        <w:pStyle w:val="Textoindependiente21"/>
        <w:spacing w:line="276" w:lineRule="auto"/>
        <w:rPr>
          <w:rFonts w:ascii="Gadugi" w:hAnsi="Gadugi"/>
          <w:szCs w:val="26"/>
        </w:rPr>
      </w:pPr>
      <w:r w:rsidRPr="002F4DE5">
        <w:rPr>
          <w:rFonts w:ascii="Gadugi" w:hAnsi="Gadugi"/>
          <w:szCs w:val="26"/>
        </w:rPr>
        <w:t>L</w:t>
      </w:r>
      <w:r w:rsidR="00F66464" w:rsidRPr="002F4DE5">
        <w:rPr>
          <w:rFonts w:ascii="Gadugi" w:hAnsi="Gadugi"/>
          <w:szCs w:val="26"/>
        </w:rPr>
        <w:t>a acción de</w:t>
      </w:r>
      <w:r w:rsidR="00CD73E5" w:rsidRPr="002F4DE5">
        <w:rPr>
          <w:rFonts w:ascii="Gadugi" w:hAnsi="Gadugi"/>
          <w:szCs w:val="26"/>
        </w:rPr>
        <w:t xml:space="preserv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CD73E5" w:rsidRPr="002F4DE5" w:rsidRDefault="00CD73E5" w:rsidP="00B700BB">
      <w:pPr>
        <w:spacing w:line="276" w:lineRule="auto"/>
        <w:ind w:firstLine="2835"/>
        <w:jc w:val="both"/>
        <w:rPr>
          <w:rFonts w:ascii="Gadugi" w:hAnsi="Gadugi"/>
          <w:sz w:val="24"/>
          <w:szCs w:val="26"/>
        </w:rPr>
      </w:pPr>
      <w:r w:rsidRPr="002F4DE5">
        <w:rPr>
          <w:rFonts w:ascii="Gadugi" w:hAnsi="Gadugi"/>
          <w:sz w:val="24"/>
          <w:szCs w:val="26"/>
        </w:rPr>
        <w:t xml:space="preserve">  </w:t>
      </w:r>
      <w:r w:rsidRPr="002F4DE5">
        <w:rPr>
          <w:rFonts w:ascii="Gadugi" w:hAnsi="Gadugi"/>
          <w:sz w:val="24"/>
          <w:szCs w:val="26"/>
        </w:rPr>
        <w:tab/>
      </w:r>
      <w:r w:rsidRPr="002F4DE5">
        <w:rPr>
          <w:rFonts w:ascii="Gadugi" w:hAnsi="Gadugi"/>
          <w:sz w:val="24"/>
          <w:szCs w:val="26"/>
        </w:rPr>
        <w:tab/>
      </w:r>
      <w:r w:rsidRPr="002F4DE5">
        <w:rPr>
          <w:rFonts w:ascii="Gadugi" w:hAnsi="Gadugi"/>
          <w:sz w:val="24"/>
          <w:szCs w:val="26"/>
        </w:rPr>
        <w:tab/>
      </w:r>
      <w:r w:rsidRPr="002F4DE5">
        <w:rPr>
          <w:rFonts w:ascii="Gadugi" w:hAnsi="Gadugi"/>
          <w:sz w:val="24"/>
          <w:szCs w:val="26"/>
        </w:rPr>
        <w:tab/>
      </w:r>
    </w:p>
    <w:p w:rsidR="00ED2984" w:rsidRPr="002F4DE5" w:rsidRDefault="009022F5" w:rsidP="00B700BB">
      <w:pPr>
        <w:spacing w:line="276" w:lineRule="auto"/>
        <w:ind w:firstLine="2835"/>
        <w:jc w:val="both"/>
        <w:rPr>
          <w:rFonts w:ascii="Gadugi" w:hAnsi="Gadugi" w:cs="Arial"/>
          <w:sz w:val="24"/>
          <w:szCs w:val="26"/>
        </w:rPr>
      </w:pPr>
      <w:r w:rsidRPr="002F4DE5">
        <w:rPr>
          <w:rFonts w:ascii="Gadugi" w:hAnsi="Gadugi"/>
          <w:sz w:val="24"/>
          <w:szCs w:val="26"/>
        </w:rPr>
        <w:t>Acude el accionante</w:t>
      </w:r>
      <w:r w:rsidR="00CD73E5" w:rsidRPr="002F4DE5">
        <w:rPr>
          <w:rFonts w:ascii="Gadugi" w:hAnsi="Gadugi"/>
          <w:sz w:val="24"/>
          <w:szCs w:val="26"/>
        </w:rPr>
        <w:t xml:space="preserve"> </w:t>
      </w:r>
      <w:r w:rsidR="00CD73E5" w:rsidRPr="002F4DE5">
        <w:rPr>
          <w:rFonts w:ascii="Gadugi" w:hAnsi="Gadugi" w:cs="Arial"/>
          <w:sz w:val="24"/>
          <w:szCs w:val="26"/>
        </w:rPr>
        <w:t>en procura de la protección de</w:t>
      </w:r>
      <w:r w:rsidR="00B700BB" w:rsidRPr="002F4DE5">
        <w:rPr>
          <w:rFonts w:ascii="Gadugi" w:hAnsi="Gadugi" w:cs="Arial"/>
          <w:sz w:val="24"/>
          <w:szCs w:val="26"/>
          <w:lang w:val="es-419"/>
        </w:rPr>
        <w:t xml:space="preserve">l derecho </w:t>
      </w:r>
      <w:r w:rsidR="00CD73E5" w:rsidRPr="002F4DE5">
        <w:rPr>
          <w:rFonts w:ascii="Gadugi" w:hAnsi="Gadugi" w:cs="Arial"/>
          <w:sz w:val="24"/>
          <w:szCs w:val="26"/>
        </w:rPr>
        <w:t>fundamental</w:t>
      </w:r>
      <w:r w:rsidR="009878F9" w:rsidRPr="002F4DE5">
        <w:rPr>
          <w:rFonts w:ascii="Gadugi" w:hAnsi="Gadugi" w:cs="Arial"/>
          <w:sz w:val="24"/>
          <w:szCs w:val="26"/>
        </w:rPr>
        <w:t xml:space="preserve"> </w:t>
      </w:r>
      <w:r w:rsidR="00227E21" w:rsidRPr="002F4DE5">
        <w:rPr>
          <w:rFonts w:ascii="Gadugi" w:hAnsi="Gadugi" w:cs="Arial"/>
          <w:sz w:val="24"/>
          <w:szCs w:val="26"/>
        </w:rPr>
        <w:t>arriba señalado,</w:t>
      </w:r>
      <w:r w:rsidR="00CD73E5" w:rsidRPr="002F4DE5">
        <w:rPr>
          <w:rFonts w:ascii="Gadugi" w:hAnsi="Gadugi" w:cs="Arial"/>
          <w:sz w:val="24"/>
          <w:szCs w:val="26"/>
        </w:rPr>
        <w:t xml:space="preserve"> </w:t>
      </w:r>
      <w:r w:rsidR="001A6E73" w:rsidRPr="002F4DE5">
        <w:rPr>
          <w:rFonts w:ascii="Gadugi" w:hAnsi="Gadugi" w:cs="Arial"/>
          <w:sz w:val="24"/>
          <w:szCs w:val="26"/>
        </w:rPr>
        <w:t xml:space="preserve">para que </w:t>
      </w:r>
      <w:r w:rsidR="00A42D85" w:rsidRPr="002F4DE5">
        <w:rPr>
          <w:rFonts w:ascii="Gadugi" w:hAnsi="Gadugi" w:cs="Arial"/>
          <w:sz w:val="24"/>
          <w:szCs w:val="26"/>
        </w:rPr>
        <w:t xml:space="preserve">se </w:t>
      </w:r>
      <w:r w:rsidR="00B700BB" w:rsidRPr="002F4DE5">
        <w:rPr>
          <w:rFonts w:ascii="Gadugi" w:hAnsi="Gadugi" w:cs="Arial"/>
          <w:sz w:val="24"/>
          <w:szCs w:val="26"/>
          <w:lang w:val="es-419"/>
        </w:rPr>
        <w:t xml:space="preserve">declare la nulidad de la providencia que le impuso una sanción por no comparecer a la audiencia conjunta en el proceso ejecutivo que en su contra sigue la Defensoría del Pueblo. </w:t>
      </w:r>
    </w:p>
    <w:p w:rsidR="00042088" w:rsidRPr="002F4DE5" w:rsidRDefault="00042088" w:rsidP="00B700BB">
      <w:pPr>
        <w:shd w:val="clear" w:color="auto" w:fill="FFFFFF"/>
        <w:spacing w:line="276" w:lineRule="auto"/>
        <w:jc w:val="both"/>
        <w:rPr>
          <w:rFonts w:ascii="Gadugi" w:hAnsi="Gadugi" w:cs="Arial"/>
          <w:sz w:val="24"/>
          <w:szCs w:val="26"/>
        </w:rPr>
      </w:pPr>
    </w:p>
    <w:p w:rsidR="00042088" w:rsidRPr="002F4DE5" w:rsidRDefault="00042088" w:rsidP="00B700BB">
      <w:pPr>
        <w:shd w:val="clear" w:color="auto" w:fill="FFFFFF"/>
        <w:spacing w:line="276" w:lineRule="auto"/>
        <w:jc w:val="both"/>
        <w:rPr>
          <w:rFonts w:ascii="Gadugi" w:hAnsi="Gadugi"/>
          <w:sz w:val="24"/>
          <w:szCs w:val="26"/>
        </w:rPr>
      </w:pPr>
      <w:r w:rsidRPr="002F4DE5">
        <w:rPr>
          <w:rFonts w:ascii="Gadugi" w:hAnsi="Gadugi" w:cs="Arial"/>
          <w:sz w:val="24"/>
          <w:szCs w:val="26"/>
        </w:rPr>
        <w:tab/>
      </w:r>
      <w:r w:rsidRPr="002F4DE5">
        <w:rPr>
          <w:rFonts w:ascii="Gadugi" w:hAnsi="Gadugi" w:cs="Arial"/>
          <w:sz w:val="24"/>
          <w:szCs w:val="26"/>
        </w:rPr>
        <w:tab/>
      </w:r>
      <w:r w:rsidRPr="002F4DE5">
        <w:rPr>
          <w:rFonts w:ascii="Gadugi" w:hAnsi="Gadugi" w:cs="Arial"/>
          <w:sz w:val="24"/>
          <w:szCs w:val="26"/>
        </w:rPr>
        <w:tab/>
      </w:r>
      <w:r w:rsidRPr="002F4DE5">
        <w:rPr>
          <w:rFonts w:ascii="Gadugi" w:hAnsi="Gadugi" w:cs="Arial"/>
          <w:sz w:val="24"/>
          <w:szCs w:val="26"/>
        </w:rPr>
        <w:tab/>
        <w:t xml:space="preserve">Reiteradamente se ha expuesto que </w:t>
      </w:r>
      <w:r w:rsidRPr="002F4DE5">
        <w:rPr>
          <w:rFonts w:ascii="Gadugi" w:hAnsi="Gadugi"/>
          <w:sz w:val="24"/>
          <w:szCs w:val="26"/>
        </w:rPr>
        <w:t>a pesar de la inexequibilidad de las normas que en el Decreto 2591 de 1991 preveían la acción de tutela contra providencias judiciales</w:t>
      </w:r>
      <w:r w:rsidRPr="002F4DE5">
        <w:rPr>
          <w:rStyle w:val="Refdenotaalpie"/>
          <w:rFonts w:ascii="Gadugi" w:hAnsi="Gadugi"/>
          <w:sz w:val="24"/>
          <w:szCs w:val="26"/>
        </w:rPr>
        <w:footnoteReference w:id="1"/>
      </w:r>
      <w:r w:rsidRPr="002F4DE5">
        <w:rPr>
          <w:rFonts w:ascii="Gadugi" w:hAnsi="Gadugi"/>
          <w:sz w:val="24"/>
          <w:szCs w:val="26"/>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Pr="002F4DE5">
        <w:rPr>
          <w:rFonts w:ascii="Gadugi" w:hAnsi="Gadugi" w:cs="Arial"/>
          <w:sz w:val="24"/>
          <w:szCs w:val="26"/>
        </w:rPr>
        <w:t xml:space="preserve"> en múltiples ocasiones. Sobre ellas, recientemente, en las sentencias SU-222 de 2016, SU573 de 2017 y SU004 de 2018, </w:t>
      </w:r>
      <w:r w:rsidR="00BE2B67" w:rsidRPr="002F4DE5">
        <w:rPr>
          <w:rFonts w:ascii="Gadugi" w:hAnsi="Gadugi" w:cs="Arial"/>
          <w:sz w:val="24"/>
          <w:szCs w:val="26"/>
          <w:lang w:val="es-419"/>
        </w:rPr>
        <w:t xml:space="preserve">reiteradas en las sentencias T-004-19, T-042-19, T-049-19 y T-075-19, </w:t>
      </w:r>
      <w:r w:rsidRPr="002F4DE5">
        <w:rPr>
          <w:rFonts w:ascii="Gadugi" w:hAnsi="Gadugi" w:cs="Arial"/>
          <w:sz w:val="24"/>
          <w:szCs w:val="26"/>
        </w:rPr>
        <w:t xml:space="preserve">aludiendo a la C-590 de 2005, recordó que las primeras obedecen a </w:t>
      </w:r>
      <w:r w:rsidRPr="002F4DE5">
        <w:rPr>
          <w:rFonts w:ascii="Gadugi" w:hAnsi="Gadugi"/>
          <w:sz w:val="24"/>
          <w:szCs w:val="26"/>
          <w:bdr w:val="none" w:sz="0" w:space="0" w:color="auto" w:frame="1"/>
          <w:lang w:val="es-CO"/>
        </w:rPr>
        <w:t xml:space="preserve">(i) que el asunto </w:t>
      </w:r>
      <w:r w:rsidRPr="002F4DE5">
        <w:rPr>
          <w:rFonts w:ascii="Gadugi" w:hAnsi="Gadugi"/>
          <w:sz w:val="24"/>
          <w:szCs w:val="26"/>
          <w:bdr w:val="none" w:sz="0" w:space="0" w:color="auto" w:frame="1"/>
          <w:lang w:val="es-CO"/>
        </w:rPr>
        <w:lastRenderedPageBreak/>
        <w:t>sometido a estudio del juez de tutela tenga relevancia constitucional; (ii)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sidRPr="002F4DE5">
        <w:rPr>
          <w:rFonts w:ascii="Gadugi" w:hAnsi="Gadugi"/>
          <w:sz w:val="24"/>
          <w:szCs w:val="26"/>
        </w:rPr>
        <w:t xml:space="preserve"> </w:t>
      </w:r>
      <w:r w:rsidRPr="002F4DE5">
        <w:rPr>
          <w:rFonts w:ascii="Gadugi" w:hAnsi="Gadugi" w:cs="Arial"/>
          <w:sz w:val="24"/>
          <w:szCs w:val="26"/>
        </w:rPr>
        <w:t>Y en cuanto a las segundas, es decir, las causales específicas, se compendian en los defectos</w:t>
      </w:r>
      <w:r w:rsidRPr="002F4DE5">
        <w:rPr>
          <w:rFonts w:ascii="Gadugi" w:hAnsi="Gadugi"/>
          <w:sz w:val="24"/>
          <w:szCs w:val="26"/>
          <w:bdr w:val="none" w:sz="0" w:space="0" w:color="auto" w:frame="1"/>
          <w:lang w:val="es-CO"/>
        </w:rPr>
        <w:t xml:space="preserve"> (i) orgánico, (ii) sustantivo, (iii) procedimental</w:t>
      </w:r>
      <w:bookmarkStart w:id="0" w:name="_ftnref82"/>
      <w:bookmarkEnd w:id="0"/>
      <w:r w:rsidRPr="002F4DE5">
        <w:rPr>
          <w:rFonts w:ascii="Gadugi" w:hAnsi="Gadugi"/>
          <w:sz w:val="24"/>
          <w:szCs w:val="26"/>
          <w:bdr w:val="none" w:sz="0" w:space="0" w:color="auto" w:frame="1"/>
          <w:lang w:val="es-CO"/>
        </w:rPr>
        <w:t> o fáctico; (iv) error inducido; (v) decisión sin motivación; (vi) desconocimiento del precedente constitucional;</w:t>
      </w:r>
      <w:bookmarkStart w:id="1" w:name="_ftnref86"/>
      <w:bookmarkEnd w:id="1"/>
      <w:r w:rsidRPr="002F4DE5">
        <w:rPr>
          <w:rFonts w:ascii="Gadugi" w:hAnsi="Gadugi"/>
          <w:sz w:val="24"/>
          <w:szCs w:val="26"/>
          <w:bdr w:val="none" w:sz="0" w:space="0" w:color="auto" w:frame="1"/>
          <w:lang w:val="es-CO"/>
        </w:rPr>
        <w:t> y (vii) violación directa a la constitución.</w:t>
      </w:r>
      <w:r w:rsidRPr="002F4DE5">
        <w:rPr>
          <w:rFonts w:ascii="Gadugi" w:hAnsi="Gadugi"/>
          <w:sz w:val="24"/>
          <w:szCs w:val="26"/>
        </w:rPr>
        <w:t xml:space="preserve"> </w:t>
      </w:r>
    </w:p>
    <w:p w:rsidR="001247B9" w:rsidRPr="002F4DE5" w:rsidRDefault="00042088" w:rsidP="00B700BB">
      <w:pPr>
        <w:shd w:val="clear" w:color="auto" w:fill="FFFFFF"/>
        <w:spacing w:line="276" w:lineRule="auto"/>
        <w:jc w:val="both"/>
        <w:rPr>
          <w:rFonts w:ascii="Gadugi" w:hAnsi="Gadugi"/>
          <w:sz w:val="24"/>
          <w:szCs w:val="26"/>
          <w:lang w:val="es-419"/>
        </w:rPr>
      </w:pPr>
      <w:r w:rsidRPr="002F4DE5">
        <w:rPr>
          <w:rFonts w:ascii="Gadugi" w:hAnsi="Gadugi"/>
          <w:sz w:val="24"/>
          <w:szCs w:val="26"/>
        </w:rPr>
        <w:tab/>
      </w:r>
      <w:r w:rsidRPr="002F4DE5">
        <w:rPr>
          <w:rFonts w:ascii="Gadugi" w:hAnsi="Gadugi"/>
          <w:sz w:val="24"/>
          <w:szCs w:val="26"/>
        </w:rPr>
        <w:tab/>
      </w:r>
      <w:r w:rsidRPr="002F4DE5">
        <w:rPr>
          <w:rFonts w:ascii="Gadugi" w:hAnsi="Gadugi"/>
          <w:sz w:val="24"/>
          <w:szCs w:val="26"/>
        </w:rPr>
        <w:tab/>
      </w:r>
      <w:r w:rsidRPr="002F4DE5">
        <w:rPr>
          <w:rFonts w:ascii="Gadugi" w:hAnsi="Gadugi"/>
          <w:sz w:val="24"/>
          <w:szCs w:val="26"/>
        </w:rPr>
        <w:tab/>
      </w:r>
    </w:p>
    <w:p w:rsidR="00042088" w:rsidRPr="002F4DE5" w:rsidRDefault="009022F5" w:rsidP="00B700BB">
      <w:pPr>
        <w:pStyle w:val="Sinespaciado4"/>
        <w:spacing w:line="276" w:lineRule="auto"/>
        <w:ind w:right="51" w:firstLine="2835"/>
        <w:jc w:val="both"/>
        <w:rPr>
          <w:rFonts w:ascii="Gadugi" w:hAnsi="Gadugi"/>
          <w:i/>
          <w:szCs w:val="26"/>
        </w:rPr>
      </w:pPr>
      <w:r w:rsidRPr="002F4DE5">
        <w:rPr>
          <w:rFonts w:ascii="Gadugi" w:hAnsi="Gadugi"/>
          <w:szCs w:val="26"/>
        </w:rPr>
        <w:t>De frente a ese derrotero, p</w:t>
      </w:r>
      <w:r w:rsidR="00042088" w:rsidRPr="002F4DE5">
        <w:rPr>
          <w:rFonts w:ascii="Gadugi" w:hAnsi="Gadugi"/>
          <w:szCs w:val="26"/>
        </w:rPr>
        <w:t xml:space="preserve">ara la Sala, dígase de una vez, la acción de tutela propuesta se torna improcedente; ello de conformidad con </w:t>
      </w:r>
      <w:r w:rsidR="00042088" w:rsidRPr="002F4DE5">
        <w:rPr>
          <w:rFonts w:ascii="Gadugi" w:hAnsi="Gadugi" w:cs="Arial"/>
          <w:szCs w:val="26"/>
          <w:lang w:val="es-CO"/>
        </w:rPr>
        <w:t>el numeral 1º del artículo 6º del Decreto 2591 de 1991, por medio del cual se reglamenta la acción de tutela,</w:t>
      </w:r>
      <w:r w:rsidR="001924A5" w:rsidRPr="002F4DE5">
        <w:rPr>
          <w:rFonts w:ascii="Gadugi" w:hAnsi="Gadugi" w:cs="Arial"/>
          <w:szCs w:val="26"/>
          <w:lang w:val="es-CO"/>
        </w:rPr>
        <w:t xml:space="preserve"> que</w:t>
      </w:r>
      <w:r w:rsidR="00042088" w:rsidRPr="002F4DE5">
        <w:rPr>
          <w:rFonts w:ascii="Gadugi" w:hAnsi="Gadugi" w:cs="Arial"/>
          <w:szCs w:val="26"/>
          <w:lang w:val="es-CO"/>
        </w:rPr>
        <w:t xml:space="preserve"> dispone </w:t>
      </w:r>
      <w:r w:rsidR="001924A5" w:rsidRPr="002F4DE5">
        <w:rPr>
          <w:rFonts w:ascii="Gadugi" w:hAnsi="Gadugi" w:cs="Arial"/>
          <w:szCs w:val="26"/>
          <w:lang w:val="es-CO"/>
        </w:rPr>
        <w:t>que el amparo</w:t>
      </w:r>
      <w:r w:rsidR="00042088" w:rsidRPr="002F4DE5">
        <w:rPr>
          <w:rFonts w:ascii="Gadugi" w:hAnsi="Gadugi" w:cs="Arial"/>
          <w:szCs w:val="26"/>
          <w:lang w:val="es-CO"/>
        </w:rPr>
        <w:t xml:space="preserve"> no puede abrirse paso </w:t>
      </w:r>
      <w:r w:rsidR="00042088" w:rsidRPr="002F4DE5">
        <w:rPr>
          <w:rFonts w:ascii="Gadugi" w:hAnsi="Gadugi" w:cs="Arial"/>
          <w:i/>
          <w:szCs w:val="26"/>
          <w:shd w:val="clear" w:color="auto" w:fill="FFFFFF"/>
        </w:rPr>
        <w:t>“</w:t>
      </w:r>
      <w:r w:rsidR="00042088" w:rsidRPr="002F4DE5">
        <w:rPr>
          <w:rFonts w:ascii="Gadugi" w:hAnsi="Gadugi" w:cs="Arial"/>
          <w:i/>
          <w:sz w:val="22"/>
          <w:szCs w:val="26"/>
          <w:shd w:val="clear" w:color="auto" w:fill="FFFFFF"/>
        </w:rPr>
        <w:t>Cuando existan otros recursos o medios de defensa judiciales, salvo que aquélla se utilice como mecanismo transitorio para evitar un perjuicio irremediable. La existencia de dichos medios será apreciada en concreto, en cuanto a su eficacia, atendiendo las circunstancias en que se encuentre el solicitante.</w:t>
      </w:r>
      <w:r w:rsidR="00042088" w:rsidRPr="002F4DE5">
        <w:rPr>
          <w:rFonts w:ascii="Gadugi" w:hAnsi="Gadugi" w:cs="Arial"/>
          <w:i/>
          <w:szCs w:val="26"/>
          <w:shd w:val="clear" w:color="auto" w:fill="FFFFFF"/>
        </w:rPr>
        <w:t>”</w:t>
      </w:r>
    </w:p>
    <w:p w:rsidR="00042088" w:rsidRPr="002F4DE5" w:rsidRDefault="00042088" w:rsidP="00B700BB">
      <w:pPr>
        <w:shd w:val="clear" w:color="auto" w:fill="FFFFFF"/>
        <w:spacing w:line="276" w:lineRule="auto"/>
        <w:jc w:val="both"/>
        <w:rPr>
          <w:rFonts w:ascii="Gadugi" w:hAnsi="Gadugi"/>
          <w:sz w:val="24"/>
          <w:szCs w:val="26"/>
        </w:rPr>
      </w:pPr>
      <w:r w:rsidRPr="002F4DE5">
        <w:rPr>
          <w:rFonts w:ascii="Gadugi" w:hAnsi="Gadugi"/>
          <w:sz w:val="24"/>
          <w:szCs w:val="26"/>
        </w:rPr>
        <w:tab/>
      </w:r>
      <w:r w:rsidRPr="002F4DE5">
        <w:rPr>
          <w:rFonts w:ascii="Gadugi" w:hAnsi="Gadugi"/>
          <w:sz w:val="24"/>
          <w:szCs w:val="26"/>
        </w:rPr>
        <w:tab/>
      </w:r>
      <w:r w:rsidRPr="002F4DE5">
        <w:rPr>
          <w:rFonts w:ascii="Gadugi" w:hAnsi="Gadugi"/>
          <w:sz w:val="24"/>
          <w:szCs w:val="26"/>
        </w:rPr>
        <w:tab/>
      </w:r>
      <w:r w:rsidRPr="002F4DE5">
        <w:rPr>
          <w:rFonts w:ascii="Gadugi" w:hAnsi="Gadugi"/>
          <w:sz w:val="24"/>
          <w:szCs w:val="26"/>
        </w:rPr>
        <w:tab/>
      </w:r>
    </w:p>
    <w:p w:rsidR="00BE2B67" w:rsidRPr="002F4DE5" w:rsidRDefault="00042088" w:rsidP="00B700BB">
      <w:pPr>
        <w:pStyle w:val="Sinespaciado4"/>
        <w:spacing w:line="276" w:lineRule="auto"/>
        <w:ind w:right="51" w:firstLine="2835"/>
        <w:jc w:val="both"/>
        <w:rPr>
          <w:rFonts w:ascii="Gadugi" w:hAnsi="Gadugi"/>
          <w:szCs w:val="26"/>
          <w:lang w:val="es-419"/>
        </w:rPr>
      </w:pPr>
      <w:r w:rsidRPr="002F4DE5">
        <w:rPr>
          <w:rFonts w:ascii="Gadugi" w:hAnsi="Gadugi"/>
          <w:szCs w:val="26"/>
        </w:rPr>
        <w:t>Y es que</w:t>
      </w:r>
      <w:r w:rsidR="00BE2B67" w:rsidRPr="002F4DE5">
        <w:rPr>
          <w:rFonts w:ascii="Gadugi" w:hAnsi="Gadugi"/>
          <w:szCs w:val="26"/>
          <w:lang w:val="es-419"/>
        </w:rPr>
        <w:t xml:space="preserve">, dentro del trámite ejecutivo que se sigue en contra del señor Arias Idárraga, omitió dos cosas: la primera, que de acuerdo con el artículo 372 del CGP, pudo haber justificado su inasistencia dentro de los tres días siguientes, con fundamento en una fuerza mayor o un caso fortuito, con el propósito de que se le exonerara de la sanción. Y la segunda, que como lo que reclama es la nulidad por cuanto no fue debidamente notificado, o bien porque goza del beneficio de amparo de pobreza, es dentro del proceso mismo que debe promover una solicitud de esa naturaleza para que sea el juez de conocimiento el que pueda evaluar, de primera mano, si se incurrió en las irregularidades que quiere que se definan por esta especial vía constitucional. </w:t>
      </w:r>
    </w:p>
    <w:p w:rsidR="00BE2B67" w:rsidRPr="002F4DE5" w:rsidRDefault="00BE2B67" w:rsidP="00B700BB">
      <w:pPr>
        <w:pStyle w:val="Sinespaciado4"/>
        <w:spacing w:line="276" w:lineRule="auto"/>
        <w:ind w:right="51" w:firstLine="2835"/>
        <w:jc w:val="both"/>
        <w:rPr>
          <w:rFonts w:ascii="Gadugi" w:hAnsi="Gadugi"/>
          <w:szCs w:val="26"/>
          <w:lang w:val="es-419"/>
        </w:rPr>
      </w:pPr>
    </w:p>
    <w:p w:rsidR="00042088" w:rsidRPr="002F4DE5" w:rsidRDefault="00BE2B67" w:rsidP="00B700BB">
      <w:pPr>
        <w:pStyle w:val="Sinespaciado4"/>
        <w:spacing w:line="276" w:lineRule="auto"/>
        <w:ind w:right="51" w:firstLine="2835"/>
        <w:jc w:val="both"/>
        <w:rPr>
          <w:rFonts w:ascii="Gadugi" w:hAnsi="Gadugi"/>
          <w:szCs w:val="26"/>
          <w:lang w:val="es-419"/>
        </w:rPr>
      </w:pPr>
      <w:r w:rsidRPr="002F4DE5">
        <w:rPr>
          <w:rFonts w:ascii="Gadugi" w:hAnsi="Gadugi"/>
          <w:szCs w:val="26"/>
          <w:lang w:val="es-419"/>
        </w:rPr>
        <w:t xml:space="preserve">Solo ante la respuesta que en tal sentido obtenga, podría asumirse el análisis de una eventual vulneración de derechos fundamentales, entendido como está que la acción de tutela no se erige como una instancia más, ni como un mecanismo tendiente a remediar la desidia de las partes en un proceso determinado. </w:t>
      </w:r>
    </w:p>
    <w:p w:rsidR="00BE2B67" w:rsidRPr="002F4DE5" w:rsidRDefault="00BE2B67" w:rsidP="00B700BB">
      <w:pPr>
        <w:pStyle w:val="Sinespaciado4"/>
        <w:spacing w:line="276" w:lineRule="auto"/>
        <w:ind w:right="51" w:firstLine="2835"/>
        <w:jc w:val="both"/>
        <w:rPr>
          <w:rFonts w:ascii="Gadugi" w:hAnsi="Gadugi"/>
          <w:szCs w:val="26"/>
        </w:rPr>
      </w:pPr>
    </w:p>
    <w:p w:rsidR="00436A51" w:rsidRPr="002F4DE5" w:rsidRDefault="00B40BCA" w:rsidP="00B700BB">
      <w:pPr>
        <w:tabs>
          <w:tab w:val="left" w:pos="2835"/>
          <w:tab w:val="left" w:pos="5910"/>
        </w:tabs>
        <w:spacing w:line="276" w:lineRule="auto"/>
        <w:ind w:right="-57"/>
        <w:jc w:val="both"/>
        <w:rPr>
          <w:rFonts w:ascii="Gadugi" w:hAnsi="Gadugi"/>
          <w:sz w:val="24"/>
          <w:szCs w:val="26"/>
          <w:lang w:val="es-419"/>
        </w:rPr>
      </w:pPr>
      <w:r w:rsidRPr="002F4DE5">
        <w:rPr>
          <w:rFonts w:ascii="Gadugi" w:hAnsi="Gadugi"/>
          <w:sz w:val="24"/>
          <w:szCs w:val="26"/>
          <w:lang w:val="es-419"/>
        </w:rPr>
        <w:t xml:space="preserve">  </w:t>
      </w:r>
      <w:r w:rsidRPr="002F4DE5">
        <w:rPr>
          <w:rFonts w:ascii="Gadugi" w:hAnsi="Gadugi"/>
          <w:sz w:val="24"/>
          <w:szCs w:val="26"/>
          <w:lang w:val="es-419"/>
        </w:rPr>
        <w:tab/>
      </w:r>
      <w:r w:rsidR="00850350" w:rsidRPr="002F4DE5">
        <w:rPr>
          <w:rFonts w:ascii="Gadugi" w:hAnsi="Gadugi"/>
          <w:sz w:val="24"/>
          <w:szCs w:val="26"/>
          <w:lang w:val="es-419"/>
        </w:rPr>
        <w:t>Suficientes razones</w:t>
      </w:r>
      <w:r w:rsidR="00AF4AD3" w:rsidRPr="002F4DE5">
        <w:rPr>
          <w:rFonts w:ascii="Gadugi" w:hAnsi="Gadugi"/>
          <w:sz w:val="24"/>
          <w:szCs w:val="26"/>
          <w:lang w:val="es-419"/>
        </w:rPr>
        <w:t xml:space="preserve"> para declarar la improceden</w:t>
      </w:r>
      <w:r w:rsidR="00850350" w:rsidRPr="002F4DE5">
        <w:rPr>
          <w:rFonts w:ascii="Gadugi" w:hAnsi="Gadugi"/>
          <w:sz w:val="24"/>
          <w:szCs w:val="26"/>
          <w:lang w:val="es-419"/>
        </w:rPr>
        <w:t>cia del amparo</w:t>
      </w:r>
      <w:r w:rsidR="00BE2B67" w:rsidRPr="002F4DE5">
        <w:rPr>
          <w:rFonts w:ascii="Gadugi" w:hAnsi="Gadugi"/>
          <w:sz w:val="24"/>
          <w:szCs w:val="26"/>
          <w:lang w:val="es-419"/>
        </w:rPr>
        <w:t>.</w:t>
      </w:r>
    </w:p>
    <w:p w:rsidR="00436A51" w:rsidRPr="002F4DE5" w:rsidRDefault="008718AA" w:rsidP="00B700BB">
      <w:pPr>
        <w:tabs>
          <w:tab w:val="left" w:pos="2835"/>
        </w:tabs>
        <w:spacing w:line="276" w:lineRule="auto"/>
        <w:ind w:right="-57"/>
        <w:jc w:val="both"/>
        <w:rPr>
          <w:rFonts w:ascii="Gadugi" w:hAnsi="Gadugi"/>
          <w:sz w:val="24"/>
          <w:szCs w:val="26"/>
          <w:lang w:val="es-419"/>
        </w:rPr>
      </w:pPr>
      <w:r w:rsidRPr="002F4DE5">
        <w:rPr>
          <w:rFonts w:ascii="Gadugi" w:hAnsi="Gadugi"/>
          <w:sz w:val="24"/>
          <w:szCs w:val="26"/>
          <w:lang w:val="es-419"/>
        </w:rPr>
        <w:tab/>
      </w:r>
    </w:p>
    <w:p w:rsidR="00436A51" w:rsidRPr="002F4DE5" w:rsidRDefault="00436A51" w:rsidP="00B700BB">
      <w:pPr>
        <w:tabs>
          <w:tab w:val="left" w:pos="2835"/>
          <w:tab w:val="left" w:pos="5910"/>
        </w:tabs>
        <w:spacing w:line="276" w:lineRule="auto"/>
        <w:ind w:right="-57"/>
        <w:jc w:val="both"/>
        <w:rPr>
          <w:rFonts w:ascii="Gadugi" w:hAnsi="Gadugi"/>
          <w:sz w:val="24"/>
          <w:szCs w:val="26"/>
        </w:rPr>
      </w:pPr>
      <w:r w:rsidRPr="002F4DE5">
        <w:rPr>
          <w:rFonts w:ascii="Gadugi" w:hAnsi="Gadugi"/>
          <w:sz w:val="24"/>
          <w:szCs w:val="26"/>
          <w:lang w:val="es-419"/>
        </w:rPr>
        <w:lastRenderedPageBreak/>
        <w:tab/>
      </w:r>
      <w:r w:rsidRPr="002F4DE5">
        <w:rPr>
          <w:rFonts w:ascii="Gadugi" w:hAnsi="Gadugi"/>
          <w:sz w:val="24"/>
          <w:szCs w:val="26"/>
        </w:rPr>
        <w:t>Sobra decir</w:t>
      </w:r>
      <w:r w:rsidRPr="002F4DE5">
        <w:rPr>
          <w:rFonts w:ascii="Gadugi" w:hAnsi="Gadugi"/>
          <w:sz w:val="24"/>
          <w:szCs w:val="26"/>
          <w:lang w:val="es-CO"/>
        </w:rPr>
        <w:t xml:space="preserve">, </w:t>
      </w:r>
      <w:r w:rsidRPr="002F4DE5">
        <w:rPr>
          <w:rFonts w:ascii="Gadugi" w:hAnsi="Gadugi"/>
          <w:sz w:val="24"/>
          <w:szCs w:val="26"/>
        </w:rPr>
        <w:t>que ningún perjuicio irremediable se ha invocado, y menos se ha demostrado, que permita la intrusión de la Sala en aquella actuación</w:t>
      </w:r>
      <w:r w:rsidRPr="002F4DE5">
        <w:rPr>
          <w:rFonts w:ascii="Gadugi" w:hAnsi="Gadugi"/>
          <w:sz w:val="24"/>
          <w:szCs w:val="26"/>
          <w:lang w:val="es-CO"/>
        </w:rPr>
        <w:t>; ni una situación</w:t>
      </w:r>
      <w:r w:rsidRPr="002F4DE5">
        <w:rPr>
          <w:rFonts w:ascii="Gadugi" w:hAnsi="Gadugi"/>
          <w:sz w:val="24"/>
          <w:szCs w:val="26"/>
        </w:rPr>
        <w:t xml:space="preserve"> que lleve a flexibilizar tal exigencia.</w:t>
      </w:r>
    </w:p>
    <w:p w:rsidR="00436A51" w:rsidRPr="002F4DE5" w:rsidRDefault="00436A51" w:rsidP="00B700BB">
      <w:pPr>
        <w:tabs>
          <w:tab w:val="left" w:pos="2835"/>
          <w:tab w:val="left" w:pos="5910"/>
        </w:tabs>
        <w:spacing w:line="276" w:lineRule="auto"/>
        <w:ind w:right="-57"/>
        <w:jc w:val="both"/>
        <w:rPr>
          <w:rFonts w:ascii="Gadugi" w:hAnsi="Gadugi"/>
          <w:sz w:val="24"/>
          <w:szCs w:val="26"/>
          <w:lang w:val="es-419"/>
        </w:rPr>
      </w:pPr>
    </w:p>
    <w:p w:rsidR="00F111E5" w:rsidRPr="002F4DE5" w:rsidRDefault="00AF4AD3" w:rsidP="00BE2B67">
      <w:pPr>
        <w:pStyle w:val="Sinespaciado2"/>
        <w:spacing w:line="276" w:lineRule="auto"/>
        <w:ind w:right="51"/>
        <w:jc w:val="both"/>
        <w:rPr>
          <w:rFonts w:ascii="Gadugi" w:hAnsi="Gadugi"/>
          <w:szCs w:val="26"/>
        </w:rPr>
      </w:pPr>
      <w:r w:rsidRPr="002F4DE5">
        <w:rPr>
          <w:rFonts w:ascii="Gadugi" w:hAnsi="Gadugi"/>
          <w:szCs w:val="26"/>
          <w:lang w:val="es-CO"/>
        </w:rPr>
        <w:tab/>
      </w:r>
      <w:r w:rsidRPr="002F4DE5">
        <w:rPr>
          <w:rFonts w:ascii="Gadugi" w:hAnsi="Gadugi"/>
          <w:szCs w:val="26"/>
          <w:lang w:val="es-CO"/>
        </w:rPr>
        <w:tab/>
      </w:r>
      <w:r w:rsidRPr="002F4DE5">
        <w:rPr>
          <w:rFonts w:ascii="Gadugi" w:hAnsi="Gadugi"/>
          <w:szCs w:val="26"/>
          <w:lang w:val="es-CO"/>
        </w:rPr>
        <w:tab/>
      </w:r>
      <w:r w:rsidRPr="002F4DE5">
        <w:rPr>
          <w:rFonts w:ascii="Gadugi" w:hAnsi="Gadugi"/>
          <w:szCs w:val="26"/>
          <w:lang w:val="es-CO"/>
        </w:rPr>
        <w:tab/>
      </w:r>
      <w:r w:rsidR="007D0DB4" w:rsidRPr="002F4DE5">
        <w:rPr>
          <w:rFonts w:ascii="Gadugi" w:hAnsi="Gadugi"/>
          <w:szCs w:val="26"/>
          <w:lang w:val="es-CO"/>
        </w:rPr>
        <w:tab/>
      </w:r>
      <w:r w:rsidR="007D0DB4" w:rsidRPr="002F4DE5">
        <w:rPr>
          <w:rFonts w:ascii="Gadugi" w:hAnsi="Gadugi"/>
          <w:szCs w:val="26"/>
          <w:lang w:val="es-CO"/>
        </w:rPr>
        <w:tab/>
      </w:r>
      <w:r w:rsidR="007D0DB4" w:rsidRPr="002F4DE5">
        <w:rPr>
          <w:rFonts w:ascii="Gadugi" w:hAnsi="Gadugi"/>
          <w:szCs w:val="26"/>
          <w:lang w:val="es-CO"/>
        </w:rPr>
        <w:tab/>
      </w:r>
      <w:r w:rsidR="007D0DB4" w:rsidRPr="002F4DE5">
        <w:rPr>
          <w:rFonts w:ascii="Gadugi" w:hAnsi="Gadugi"/>
          <w:szCs w:val="26"/>
          <w:lang w:val="es-CO"/>
        </w:rPr>
        <w:tab/>
      </w:r>
      <w:r w:rsidR="001A6E73" w:rsidRPr="002F4DE5">
        <w:rPr>
          <w:rFonts w:ascii="Gadugi" w:hAnsi="Gadugi"/>
          <w:szCs w:val="26"/>
        </w:rPr>
        <w:tab/>
      </w:r>
    </w:p>
    <w:p w:rsidR="001A6E73" w:rsidRPr="002F4DE5" w:rsidRDefault="00F111E5" w:rsidP="00B700BB">
      <w:pPr>
        <w:spacing w:line="276" w:lineRule="auto"/>
        <w:jc w:val="both"/>
        <w:rPr>
          <w:rFonts w:ascii="Gadugi" w:hAnsi="Gadugi" w:cs="Arial"/>
          <w:b/>
          <w:sz w:val="24"/>
          <w:szCs w:val="26"/>
        </w:rPr>
      </w:pPr>
      <w:r w:rsidRPr="002F4DE5">
        <w:rPr>
          <w:rFonts w:ascii="Gadugi" w:hAnsi="Gadugi"/>
          <w:sz w:val="24"/>
          <w:szCs w:val="26"/>
        </w:rPr>
        <w:tab/>
      </w:r>
      <w:r w:rsidRPr="002F4DE5">
        <w:rPr>
          <w:rFonts w:ascii="Gadugi" w:hAnsi="Gadugi"/>
          <w:sz w:val="24"/>
          <w:szCs w:val="26"/>
        </w:rPr>
        <w:tab/>
      </w:r>
      <w:r w:rsidRPr="002F4DE5">
        <w:rPr>
          <w:rFonts w:ascii="Gadugi" w:hAnsi="Gadugi"/>
          <w:sz w:val="24"/>
          <w:szCs w:val="26"/>
        </w:rPr>
        <w:tab/>
      </w:r>
      <w:r w:rsidRPr="002F4DE5">
        <w:rPr>
          <w:rFonts w:ascii="Gadugi" w:hAnsi="Gadugi"/>
          <w:sz w:val="24"/>
          <w:szCs w:val="26"/>
        </w:rPr>
        <w:tab/>
      </w:r>
      <w:r w:rsidR="001A6E73" w:rsidRPr="002F4DE5">
        <w:rPr>
          <w:rFonts w:ascii="Gadugi" w:hAnsi="Gadugi" w:cs="Arial"/>
          <w:b/>
          <w:sz w:val="24"/>
          <w:szCs w:val="26"/>
        </w:rPr>
        <w:t>DECISIÓN</w:t>
      </w:r>
    </w:p>
    <w:p w:rsidR="001A6E73" w:rsidRPr="002F4DE5" w:rsidRDefault="001A6E73" w:rsidP="00B700BB">
      <w:pPr>
        <w:spacing w:line="276" w:lineRule="auto"/>
        <w:jc w:val="both"/>
        <w:rPr>
          <w:rFonts w:ascii="Gadugi" w:hAnsi="Gadugi"/>
          <w:sz w:val="24"/>
          <w:szCs w:val="26"/>
        </w:rPr>
      </w:pPr>
      <w:r w:rsidRPr="002F4DE5">
        <w:rPr>
          <w:rFonts w:ascii="Gadugi" w:hAnsi="Gadugi"/>
          <w:sz w:val="24"/>
          <w:szCs w:val="26"/>
        </w:rPr>
        <w:t xml:space="preserve">  </w:t>
      </w:r>
      <w:r w:rsidRPr="002F4DE5">
        <w:rPr>
          <w:rFonts w:ascii="Gadugi" w:hAnsi="Gadugi"/>
          <w:sz w:val="24"/>
          <w:szCs w:val="26"/>
        </w:rPr>
        <w:tab/>
      </w:r>
      <w:r w:rsidRPr="002F4DE5">
        <w:rPr>
          <w:rFonts w:ascii="Gadugi" w:hAnsi="Gadugi"/>
          <w:sz w:val="24"/>
          <w:szCs w:val="26"/>
        </w:rPr>
        <w:tab/>
      </w:r>
      <w:r w:rsidRPr="002F4DE5">
        <w:rPr>
          <w:rFonts w:ascii="Gadugi" w:hAnsi="Gadugi"/>
          <w:sz w:val="24"/>
          <w:szCs w:val="26"/>
        </w:rPr>
        <w:tab/>
      </w:r>
      <w:r w:rsidRPr="002F4DE5">
        <w:rPr>
          <w:rFonts w:ascii="Gadugi" w:hAnsi="Gadugi"/>
          <w:sz w:val="24"/>
          <w:szCs w:val="26"/>
        </w:rPr>
        <w:tab/>
      </w:r>
    </w:p>
    <w:p w:rsidR="001A6E73" w:rsidRPr="002F4DE5" w:rsidRDefault="001A6E73" w:rsidP="00B700BB">
      <w:pPr>
        <w:pStyle w:val="Textoindependiente21"/>
        <w:spacing w:line="276" w:lineRule="auto"/>
        <w:rPr>
          <w:rFonts w:ascii="Gadugi" w:hAnsi="Gadugi"/>
          <w:szCs w:val="26"/>
          <w:lang w:val="es-CO"/>
        </w:rPr>
      </w:pPr>
    </w:p>
    <w:p w:rsidR="009D4C7B" w:rsidRPr="002F4DE5" w:rsidRDefault="009D4C7B" w:rsidP="00B700BB">
      <w:pPr>
        <w:spacing w:line="276" w:lineRule="auto"/>
        <w:ind w:firstLine="2835"/>
        <w:jc w:val="both"/>
        <w:rPr>
          <w:rFonts w:ascii="Gadugi" w:hAnsi="Gadugi" w:cs="Century Gothic"/>
          <w:b/>
          <w:sz w:val="24"/>
          <w:szCs w:val="26"/>
        </w:rPr>
      </w:pPr>
      <w:r w:rsidRPr="002F4DE5">
        <w:rPr>
          <w:rFonts w:ascii="Gadugi" w:hAnsi="Gadugi" w:cs="Arial"/>
          <w:sz w:val="24"/>
          <w:szCs w:val="26"/>
        </w:rPr>
        <w:t xml:space="preserve">En armonía con lo dicho, la Sala Civil Familia del Tribunal Superior de Pereira, administrando justicia en nombre de la República y por autoridad de la Ley, </w:t>
      </w:r>
      <w:r w:rsidRPr="002F4DE5">
        <w:rPr>
          <w:rFonts w:ascii="Gadugi" w:hAnsi="Gadugi" w:cs="Arial"/>
          <w:b/>
          <w:sz w:val="24"/>
          <w:szCs w:val="26"/>
        </w:rPr>
        <w:t>DECLARA IMPROCEDENTE</w:t>
      </w:r>
      <w:r w:rsidRPr="002F4DE5">
        <w:rPr>
          <w:rFonts w:ascii="Gadugi" w:hAnsi="Gadugi" w:cs="Arial"/>
          <w:sz w:val="24"/>
          <w:szCs w:val="26"/>
        </w:rPr>
        <w:t xml:space="preserve"> el amparo impetrado por</w:t>
      </w:r>
      <w:r w:rsidRPr="002F4DE5">
        <w:rPr>
          <w:rFonts w:ascii="Gadugi" w:hAnsi="Gadugi" w:cs="Century Gothic"/>
          <w:b/>
          <w:sz w:val="24"/>
          <w:szCs w:val="26"/>
        </w:rPr>
        <w:t xml:space="preserve"> Javier Elías Arias Idárraga </w:t>
      </w:r>
      <w:r w:rsidRPr="002F4DE5">
        <w:rPr>
          <w:rFonts w:ascii="Gadugi" w:hAnsi="Gadugi" w:cs="Century Gothic"/>
          <w:bCs/>
          <w:sz w:val="24"/>
          <w:szCs w:val="26"/>
        </w:rPr>
        <w:t>contra</w:t>
      </w:r>
      <w:r w:rsidRPr="002F4DE5">
        <w:rPr>
          <w:rFonts w:ascii="Gadugi" w:hAnsi="Gadugi" w:cs="Century Gothic"/>
          <w:sz w:val="24"/>
          <w:szCs w:val="26"/>
        </w:rPr>
        <w:t xml:space="preserve"> el </w:t>
      </w:r>
      <w:r w:rsidR="00AC7344" w:rsidRPr="002F4DE5">
        <w:rPr>
          <w:rFonts w:ascii="Gadugi" w:hAnsi="Gadugi" w:cs="Century Gothic"/>
          <w:b/>
          <w:sz w:val="24"/>
          <w:szCs w:val="26"/>
        </w:rPr>
        <w:t xml:space="preserve">Juzgado </w:t>
      </w:r>
      <w:r w:rsidR="00BE2B67" w:rsidRPr="002F4DE5">
        <w:rPr>
          <w:rFonts w:ascii="Gadugi" w:hAnsi="Gadugi" w:cs="Century Gothic"/>
          <w:b/>
          <w:sz w:val="24"/>
          <w:szCs w:val="26"/>
          <w:lang w:val="es-419"/>
        </w:rPr>
        <w:t xml:space="preserve">Segundo </w:t>
      </w:r>
      <w:r w:rsidR="00450754" w:rsidRPr="002F4DE5">
        <w:rPr>
          <w:rFonts w:ascii="Gadugi" w:hAnsi="Gadugi" w:cs="Century Gothic"/>
          <w:b/>
          <w:sz w:val="24"/>
          <w:szCs w:val="26"/>
        </w:rPr>
        <w:t xml:space="preserve">Civil del Circuito de </w:t>
      </w:r>
      <w:r w:rsidR="00BE2B67" w:rsidRPr="002F4DE5">
        <w:rPr>
          <w:rFonts w:ascii="Gadugi" w:hAnsi="Gadugi" w:cs="Century Gothic"/>
          <w:b/>
          <w:sz w:val="24"/>
          <w:szCs w:val="26"/>
          <w:lang w:val="es-419"/>
        </w:rPr>
        <w:t>Pereira.</w:t>
      </w:r>
    </w:p>
    <w:p w:rsidR="006F7900" w:rsidRPr="002F4DE5" w:rsidRDefault="006F7900" w:rsidP="00B700BB">
      <w:pPr>
        <w:spacing w:line="276" w:lineRule="auto"/>
        <w:ind w:firstLine="2835"/>
        <w:jc w:val="both"/>
        <w:rPr>
          <w:rFonts w:ascii="Gadugi" w:hAnsi="Gadugi" w:cs="Century Gothic"/>
          <w:b/>
          <w:sz w:val="24"/>
          <w:szCs w:val="26"/>
        </w:rPr>
      </w:pPr>
    </w:p>
    <w:p w:rsidR="001A6E73" w:rsidRPr="002F4DE5" w:rsidRDefault="001A6E73" w:rsidP="00B700BB">
      <w:pPr>
        <w:spacing w:line="276" w:lineRule="auto"/>
        <w:ind w:firstLine="2835"/>
        <w:jc w:val="both"/>
        <w:rPr>
          <w:rFonts w:ascii="Gadugi" w:hAnsi="Gadugi" w:cs="Arial"/>
          <w:sz w:val="24"/>
          <w:szCs w:val="26"/>
          <w:lang w:val="es-CO"/>
        </w:rPr>
      </w:pPr>
      <w:r w:rsidRPr="002F4DE5">
        <w:rPr>
          <w:rFonts w:ascii="Gadugi" w:hAnsi="Gadugi" w:cs="Arial"/>
          <w:sz w:val="24"/>
          <w:szCs w:val="26"/>
        </w:rPr>
        <w:t>Notifíquese la decisión a las partes en la forma prevista en el artículo 5º del Decreto 306 de 1992, y si no es impugnada rem</w:t>
      </w:r>
      <w:r w:rsidRPr="002F4DE5">
        <w:rPr>
          <w:rFonts w:ascii="Gadugi" w:hAnsi="Gadugi" w:cs="Arial"/>
          <w:sz w:val="24"/>
          <w:szCs w:val="26"/>
          <w:lang w:val="es-CO"/>
        </w:rPr>
        <w:t>ítase a la Corte Constitucional para su eventual revisión.</w:t>
      </w:r>
    </w:p>
    <w:p w:rsidR="001A6E73" w:rsidRPr="002F4DE5" w:rsidRDefault="001A6E73" w:rsidP="00B700BB">
      <w:pPr>
        <w:spacing w:line="276" w:lineRule="auto"/>
        <w:ind w:firstLine="2835"/>
        <w:jc w:val="both"/>
        <w:rPr>
          <w:rFonts w:ascii="Gadugi" w:hAnsi="Gadugi" w:cs="Arial"/>
          <w:sz w:val="24"/>
          <w:szCs w:val="26"/>
          <w:lang w:val="es-CO"/>
        </w:rPr>
      </w:pPr>
    </w:p>
    <w:p w:rsidR="001A6E73" w:rsidRPr="002F4DE5" w:rsidRDefault="001A6E73" w:rsidP="00B700BB">
      <w:pPr>
        <w:spacing w:line="276" w:lineRule="auto"/>
        <w:ind w:firstLine="2835"/>
        <w:jc w:val="both"/>
        <w:rPr>
          <w:rFonts w:ascii="Gadugi" w:hAnsi="Gadugi" w:cs="Arial"/>
          <w:sz w:val="24"/>
          <w:szCs w:val="26"/>
          <w:lang w:val="es-CO"/>
        </w:rPr>
      </w:pPr>
      <w:r w:rsidRPr="002F4DE5">
        <w:rPr>
          <w:rFonts w:ascii="Gadugi" w:hAnsi="Gadugi" w:cs="Arial"/>
          <w:sz w:val="24"/>
          <w:szCs w:val="26"/>
          <w:lang w:val="es-CO"/>
        </w:rPr>
        <w:t>A su regreso, archívese el expediente</w:t>
      </w:r>
      <w:r w:rsidRPr="002F4DE5">
        <w:rPr>
          <w:rFonts w:ascii="Gadugi" w:hAnsi="Gadugi" w:cs="Arial"/>
          <w:sz w:val="24"/>
          <w:szCs w:val="26"/>
        </w:rPr>
        <w:t>.</w:t>
      </w:r>
      <w:r w:rsidRPr="002F4DE5">
        <w:rPr>
          <w:rFonts w:ascii="Gadugi" w:hAnsi="Gadugi" w:cs="Arial"/>
          <w:sz w:val="24"/>
          <w:szCs w:val="26"/>
          <w:lang w:val="es-CO"/>
        </w:rPr>
        <w:t xml:space="preserve"> </w:t>
      </w:r>
    </w:p>
    <w:p w:rsidR="001A6E73" w:rsidRPr="002F4DE5" w:rsidRDefault="001A6E73" w:rsidP="00B700BB">
      <w:pPr>
        <w:spacing w:line="276" w:lineRule="auto"/>
        <w:ind w:firstLine="2835"/>
        <w:jc w:val="both"/>
        <w:rPr>
          <w:rFonts w:ascii="Gadugi" w:hAnsi="Gadugi" w:cs="Arial"/>
          <w:sz w:val="24"/>
          <w:szCs w:val="26"/>
        </w:rPr>
      </w:pPr>
    </w:p>
    <w:p w:rsidR="001A6E73" w:rsidRPr="002F4DE5" w:rsidRDefault="001A6E73" w:rsidP="00B700BB">
      <w:pPr>
        <w:spacing w:line="276" w:lineRule="auto"/>
        <w:ind w:firstLine="2835"/>
        <w:jc w:val="both"/>
        <w:rPr>
          <w:rFonts w:ascii="Gadugi" w:hAnsi="Gadugi" w:cs="Arial"/>
          <w:bCs/>
          <w:sz w:val="24"/>
          <w:szCs w:val="26"/>
        </w:rPr>
      </w:pPr>
      <w:r w:rsidRPr="002F4DE5">
        <w:rPr>
          <w:rFonts w:ascii="Gadugi" w:hAnsi="Gadugi" w:cs="Arial"/>
          <w:bCs/>
          <w:sz w:val="24"/>
          <w:szCs w:val="26"/>
        </w:rPr>
        <w:t>Los Magistrados,</w:t>
      </w:r>
    </w:p>
    <w:p w:rsidR="001A6E73" w:rsidRPr="002F4DE5" w:rsidRDefault="001A6E73" w:rsidP="00B700BB">
      <w:pPr>
        <w:spacing w:line="276" w:lineRule="auto"/>
        <w:jc w:val="both"/>
        <w:rPr>
          <w:rFonts w:ascii="Gadugi" w:hAnsi="Gadugi" w:cs="Arial"/>
          <w:b/>
          <w:sz w:val="24"/>
          <w:szCs w:val="26"/>
        </w:rPr>
      </w:pPr>
    </w:p>
    <w:p w:rsidR="001A6E73" w:rsidRPr="002F4DE5" w:rsidRDefault="001A6E73" w:rsidP="00B700BB">
      <w:pPr>
        <w:spacing w:line="276" w:lineRule="auto"/>
        <w:ind w:firstLine="2835"/>
        <w:jc w:val="both"/>
        <w:rPr>
          <w:rFonts w:ascii="Gadugi" w:hAnsi="Gadugi" w:cs="Arial"/>
          <w:b/>
          <w:sz w:val="24"/>
          <w:szCs w:val="26"/>
        </w:rPr>
      </w:pPr>
    </w:p>
    <w:p w:rsidR="001A6E73" w:rsidRPr="002F4DE5" w:rsidRDefault="001A6E73" w:rsidP="00B700BB">
      <w:pPr>
        <w:spacing w:line="276" w:lineRule="auto"/>
        <w:ind w:firstLine="2835"/>
        <w:jc w:val="both"/>
        <w:rPr>
          <w:rFonts w:ascii="Gadugi" w:hAnsi="Gadugi" w:cs="Arial"/>
          <w:b/>
          <w:sz w:val="24"/>
          <w:szCs w:val="26"/>
        </w:rPr>
      </w:pPr>
    </w:p>
    <w:p w:rsidR="001A6E73" w:rsidRPr="002F4DE5" w:rsidRDefault="001A6E73" w:rsidP="00B700BB">
      <w:pPr>
        <w:spacing w:line="276" w:lineRule="auto"/>
        <w:ind w:firstLine="2835"/>
        <w:jc w:val="both"/>
        <w:rPr>
          <w:rFonts w:ascii="Gadugi" w:hAnsi="Gadugi" w:cs="Arial"/>
          <w:b/>
          <w:sz w:val="24"/>
          <w:szCs w:val="26"/>
        </w:rPr>
      </w:pPr>
      <w:r w:rsidRPr="002F4DE5">
        <w:rPr>
          <w:rFonts w:ascii="Gadugi" w:hAnsi="Gadugi" w:cs="Arial"/>
          <w:b/>
          <w:sz w:val="24"/>
          <w:szCs w:val="26"/>
        </w:rPr>
        <w:t>JAIME ALBERTO SARAZA NARANJO</w:t>
      </w:r>
    </w:p>
    <w:p w:rsidR="001A6E73" w:rsidRPr="002F4DE5" w:rsidRDefault="001A6E73" w:rsidP="00B700BB">
      <w:pPr>
        <w:spacing w:line="276" w:lineRule="auto"/>
        <w:jc w:val="both"/>
        <w:rPr>
          <w:rFonts w:ascii="Gadugi" w:hAnsi="Gadugi" w:cs="Arial"/>
          <w:b/>
          <w:sz w:val="24"/>
          <w:szCs w:val="26"/>
        </w:rPr>
      </w:pPr>
    </w:p>
    <w:p w:rsidR="001A6E73" w:rsidRPr="002F4DE5" w:rsidRDefault="001A6E73" w:rsidP="00B700BB">
      <w:pPr>
        <w:spacing w:line="276" w:lineRule="auto"/>
        <w:jc w:val="both"/>
        <w:rPr>
          <w:rFonts w:ascii="Gadugi" w:hAnsi="Gadugi" w:cs="Arial"/>
          <w:b/>
          <w:sz w:val="24"/>
          <w:szCs w:val="26"/>
          <w:lang w:val="es-CO"/>
        </w:rPr>
      </w:pPr>
    </w:p>
    <w:p w:rsidR="00C54BA0" w:rsidRPr="002F4DE5" w:rsidRDefault="00C54BA0" w:rsidP="00B700BB">
      <w:pPr>
        <w:spacing w:line="276" w:lineRule="auto"/>
        <w:jc w:val="both"/>
        <w:rPr>
          <w:rFonts w:ascii="Gadugi" w:hAnsi="Gadugi" w:cs="Arial"/>
          <w:b/>
          <w:sz w:val="24"/>
          <w:szCs w:val="26"/>
          <w:lang w:val="es-CO"/>
        </w:rPr>
      </w:pPr>
    </w:p>
    <w:p w:rsidR="001A6E73" w:rsidRPr="002F4DE5" w:rsidRDefault="001A6E73" w:rsidP="00B700BB">
      <w:pPr>
        <w:spacing w:line="276" w:lineRule="auto"/>
        <w:jc w:val="both"/>
        <w:rPr>
          <w:rFonts w:ascii="Gadugi" w:hAnsi="Gadugi" w:cs="Arial"/>
          <w:b/>
          <w:sz w:val="24"/>
          <w:szCs w:val="26"/>
          <w:lang w:val="es-ES_tradnl"/>
        </w:rPr>
      </w:pPr>
      <w:r w:rsidRPr="002F4DE5">
        <w:rPr>
          <w:rFonts w:ascii="Gadugi" w:hAnsi="Gadugi" w:cs="Arial"/>
          <w:b/>
          <w:sz w:val="24"/>
          <w:szCs w:val="26"/>
          <w:lang w:val="es-ES_tradnl"/>
        </w:rPr>
        <w:t>CLAUDIA MARÍA ARCILA RÍOS</w:t>
      </w:r>
      <w:r w:rsidR="002F4DE5">
        <w:rPr>
          <w:rFonts w:ascii="Gadugi" w:hAnsi="Gadugi" w:cs="Arial"/>
          <w:b/>
          <w:sz w:val="24"/>
          <w:szCs w:val="26"/>
          <w:lang w:val="es-ES_tradnl"/>
        </w:rPr>
        <w:tab/>
      </w:r>
      <w:r w:rsidR="002F4DE5">
        <w:rPr>
          <w:rFonts w:ascii="Gadugi" w:hAnsi="Gadugi" w:cs="Arial"/>
          <w:b/>
          <w:sz w:val="24"/>
          <w:szCs w:val="26"/>
          <w:lang w:val="es-ES_tradnl"/>
        </w:rPr>
        <w:tab/>
      </w:r>
      <w:r w:rsidRPr="002F4DE5">
        <w:rPr>
          <w:rFonts w:ascii="Gadugi" w:hAnsi="Gadugi" w:cs="Arial"/>
          <w:b/>
          <w:sz w:val="24"/>
          <w:szCs w:val="26"/>
          <w:lang w:val="es-ES_tradnl"/>
        </w:rPr>
        <w:tab/>
        <w:t xml:space="preserve"> </w:t>
      </w:r>
      <w:r w:rsidR="006A0A80" w:rsidRPr="002F4DE5">
        <w:rPr>
          <w:rFonts w:ascii="Gadugi" w:hAnsi="Gadugi" w:cs="Arial"/>
          <w:b/>
          <w:sz w:val="24"/>
          <w:szCs w:val="26"/>
          <w:lang w:val="es-ES_tradnl"/>
        </w:rPr>
        <w:t xml:space="preserve"> </w:t>
      </w:r>
      <w:r w:rsidRPr="002F4DE5">
        <w:rPr>
          <w:rFonts w:ascii="Gadugi" w:hAnsi="Gadugi" w:cs="Arial"/>
          <w:b/>
          <w:sz w:val="24"/>
          <w:szCs w:val="26"/>
        </w:rPr>
        <w:t xml:space="preserve"> </w:t>
      </w:r>
      <w:r w:rsidR="00E51593" w:rsidRPr="002F4DE5">
        <w:rPr>
          <w:rFonts w:ascii="Gadugi" w:hAnsi="Gadugi" w:cs="Arial"/>
          <w:b/>
          <w:sz w:val="24"/>
          <w:szCs w:val="26"/>
          <w:lang w:val="es-419"/>
        </w:rPr>
        <w:t xml:space="preserve">    </w:t>
      </w:r>
      <w:r w:rsidRPr="002F4DE5">
        <w:rPr>
          <w:rFonts w:ascii="Gadugi" w:hAnsi="Gadugi" w:cs="Arial"/>
          <w:b/>
          <w:sz w:val="24"/>
          <w:szCs w:val="26"/>
          <w:lang w:val="es-ES_tradnl"/>
        </w:rPr>
        <w:t xml:space="preserve">DUBERNEY GRISALES HERRERA </w:t>
      </w:r>
      <w:bookmarkStart w:id="2" w:name="_GoBack"/>
      <w:bookmarkEnd w:id="2"/>
    </w:p>
    <w:sectPr w:rsidR="001A6E73" w:rsidRPr="002F4DE5" w:rsidSect="002F4DE5">
      <w:headerReference w:type="default" r:id="rId7"/>
      <w:footerReference w:type="default" r:id="rId8"/>
      <w:pgSz w:w="12242" w:h="18722" w:code="14"/>
      <w:pgMar w:top="1871" w:right="1304" w:bottom="1304" w:left="187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645" w:rsidRDefault="00625645" w:rsidP="00CD73E5">
      <w:r>
        <w:separator/>
      </w:r>
    </w:p>
  </w:endnote>
  <w:endnote w:type="continuationSeparator" w:id="0">
    <w:p w:rsidR="00625645" w:rsidRDefault="00625645" w:rsidP="00CD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A51" w:rsidRPr="002F4DE5" w:rsidRDefault="00436A51">
    <w:pPr>
      <w:pStyle w:val="Piedepgina"/>
      <w:framePr w:wrap="auto" w:vAnchor="text" w:hAnchor="margin" w:xAlign="right" w:y="1"/>
      <w:rPr>
        <w:rStyle w:val="Nmerodepgina"/>
        <w:rFonts w:ascii="Arial" w:hAnsi="Arial" w:cs="Arial"/>
        <w:sz w:val="18"/>
      </w:rPr>
    </w:pPr>
    <w:r w:rsidRPr="002F4DE5">
      <w:rPr>
        <w:rStyle w:val="Nmerodepgina"/>
        <w:rFonts w:ascii="Arial" w:hAnsi="Arial" w:cs="Arial"/>
        <w:sz w:val="18"/>
      </w:rPr>
      <w:fldChar w:fldCharType="begin"/>
    </w:r>
    <w:r w:rsidRPr="002F4DE5">
      <w:rPr>
        <w:rStyle w:val="Nmerodepgina"/>
        <w:rFonts w:ascii="Arial" w:hAnsi="Arial" w:cs="Arial"/>
        <w:sz w:val="18"/>
      </w:rPr>
      <w:instrText xml:space="preserve">PAGE  </w:instrText>
    </w:r>
    <w:r w:rsidRPr="002F4DE5">
      <w:rPr>
        <w:rStyle w:val="Nmerodepgina"/>
        <w:rFonts w:ascii="Arial" w:hAnsi="Arial" w:cs="Arial"/>
        <w:sz w:val="18"/>
      </w:rPr>
      <w:fldChar w:fldCharType="separate"/>
    </w:r>
    <w:r w:rsidR="007E79F4">
      <w:rPr>
        <w:rStyle w:val="Nmerodepgina"/>
        <w:rFonts w:ascii="Arial" w:hAnsi="Arial" w:cs="Arial"/>
        <w:noProof/>
        <w:sz w:val="18"/>
      </w:rPr>
      <w:t>4</w:t>
    </w:r>
    <w:r w:rsidRPr="002F4DE5">
      <w:rPr>
        <w:rStyle w:val="Nmerodepgina"/>
        <w:rFonts w:ascii="Arial" w:hAnsi="Arial" w:cs="Arial"/>
        <w:sz w:val="18"/>
      </w:rPr>
      <w:fldChar w:fldCharType="end"/>
    </w:r>
  </w:p>
  <w:p w:rsidR="00436A51" w:rsidRDefault="00436A5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645" w:rsidRDefault="00625645" w:rsidP="00CD73E5">
      <w:r>
        <w:separator/>
      </w:r>
    </w:p>
  </w:footnote>
  <w:footnote w:type="continuationSeparator" w:id="0">
    <w:p w:rsidR="00625645" w:rsidRDefault="00625645" w:rsidP="00CD73E5">
      <w:r>
        <w:continuationSeparator/>
      </w:r>
    </w:p>
  </w:footnote>
  <w:footnote w:id="1">
    <w:p w:rsidR="00436A51" w:rsidRPr="002F4DE5" w:rsidRDefault="00436A51" w:rsidP="00042088">
      <w:pPr>
        <w:pStyle w:val="Textonotapie"/>
        <w:tabs>
          <w:tab w:val="left" w:pos="426"/>
        </w:tabs>
        <w:rPr>
          <w:rFonts w:ascii="Arial" w:hAnsi="Arial" w:cs="Arial"/>
          <w:sz w:val="18"/>
          <w:szCs w:val="24"/>
          <w:lang w:val="es-CO"/>
        </w:rPr>
      </w:pPr>
      <w:r w:rsidRPr="002F4DE5">
        <w:rPr>
          <w:rStyle w:val="Refdenotaalpie"/>
          <w:rFonts w:ascii="Arial" w:hAnsi="Arial" w:cs="Arial"/>
          <w:sz w:val="18"/>
          <w:szCs w:val="24"/>
        </w:rPr>
        <w:footnoteRef/>
      </w:r>
      <w:r w:rsidRPr="002F4DE5">
        <w:rPr>
          <w:rFonts w:ascii="Arial" w:hAnsi="Arial" w:cs="Arial"/>
          <w:sz w:val="18"/>
          <w:szCs w:val="24"/>
          <w:vertAlign w:val="superscript"/>
        </w:rPr>
        <w:t xml:space="preserve"> </w:t>
      </w:r>
      <w:r w:rsidRPr="002F4DE5">
        <w:rPr>
          <w:rFonts w:ascii="Arial" w:hAnsi="Arial" w:cs="Arial"/>
          <w:sz w:val="18"/>
          <w:szCs w:val="24"/>
        </w:rPr>
        <w:t>Sentencia C-543-92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A51" w:rsidRDefault="00436A51" w:rsidP="00A54986">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3E5"/>
    <w:rsid w:val="00042088"/>
    <w:rsid w:val="00086157"/>
    <w:rsid w:val="000F189F"/>
    <w:rsid w:val="0010676D"/>
    <w:rsid w:val="001145A4"/>
    <w:rsid w:val="00123442"/>
    <w:rsid w:val="001247B9"/>
    <w:rsid w:val="00126F7D"/>
    <w:rsid w:val="001355B9"/>
    <w:rsid w:val="00144607"/>
    <w:rsid w:val="0017750C"/>
    <w:rsid w:val="001920FD"/>
    <w:rsid w:val="001924A5"/>
    <w:rsid w:val="001A46A3"/>
    <w:rsid w:val="001A6E73"/>
    <w:rsid w:val="001C1144"/>
    <w:rsid w:val="001C401E"/>
    <w:rsid w:val="001C62C3"/>
    <w:rsid w:val="001E0739"/>
    <w:rsid w:val="002010BC"/>
    <w:rsid w:val="00227E21"/>
    <w:rsid w:val="00254CA3"/>
    <w:rsid w:val="00254ECB"/>
    <w:rsid w:val="002B7DAF"/>
    <w:rsid w:val="002C4C8A"/>
    <w:rsid w:val="002D2DB6"/>
    <w:rsid w:val="002E0E95"/>
    <w:rsid w:val="002F4DE5"/>
    <w:rsid w:val="00300E4C"/>
    <w:rsid w:val="0030149B"/>
    <w:rsid w:val="003049BB"/>
    <w:rsid w:val="003127B8"/>
    <w:rsid w:val="003969EA"/>
    <w:rsid w:val="003E5B22"/>
    <w:rsid w:val="00424BF8"/>
    <w:rsid w:val="00436A51"/>
    <w:rsid w:val="00450754"/>
    <w:rsid w:val="00456A21"/>
    <w:rsid w:val="004659D1"/>
    <w:rsid w:val="004A6EA8"/>
    <w:rsid w:val="004E35A9"/>
    <w:rsid w:val="00526F23"/>
    <w:rsid w:val="005A1133"/>
    <w:rsid w:val="005A7048"/>
    <w:rsid w:val="005B4AFA"/>
    <w:rsid w:val="005D6060"/>
    <w:rsid w:val="006039FA"/>
    <w:rsid w:val="00625645"/>
    <w:rsid w:val="006264E5"/>
    <w:rsid w:val="006A0A80"/>
    <w:rsid w:val="006A212D"/>
    <w:rsid w:val="006B16B9"/>
    <w:rsid w:val="006F7900"/>
    <w:rsid w:val="00713293"/>
    <w:rsid w:val="007227F4"/>
    <w:rsid w:val="00772119"/>
    <w:rsid w:val="0079179A"/>
    <w:rsid w:val="007D0DB4"/>
    <w:rsid w:val="007E79F4"/>
    <w:rsid w:val="00850350"/>
    <w:rsid w:val="00850B1A"/>
    <w:rsid w:val="00864C42"/>
    <w:rsid w:val="008718AA"/>
    <w:rsid w:val="008A0096"/>
    <w:rsid w:val="008C2D90"/>
    <w:rsid w:val="008C590D"/>
    <w:rsid w:val="009022F5"/>
    <w:rsid w:val="00965768"/>
    <w:rsid w:val="00966586"/>
    <w:rsid w:val="00985998"/>
    <w:rsid w:val="009878F9"/>
    <w:rsid w:val="009A2618"/>
    <w:rsid w:val="009D0F3B"/>
    <w:rsid w:val="009D4C7B"/>
    <w:rsid w:val="009E0FD8"/>
    <w:rsid w:val="009E4741"/>
    <w:rsid w:val="00A16252"/>
    <w:rsid w:val="00A27193"/>
    <w:rsid w:val="00A35114"/>
    <w:rsid w:val="00A37894"/>
    <w:rsid w:val="00A4037B"/>
    <w:rsid w:val="00A42D85"/>
    <w:rsid w:val="00A5031D"/>
    <w:rsid w:val="00A54986"/>
    <w:rsid w:val="00A80E46"/>
    <w:rsid w:val="00AC0B6C"/>
    <w:rsid w:val="00AC5562"/>
    <w:rsid w:val="00AC7344"/>
    <w:rsid w:val="00AD5A79"/>
    <w:rsid w:val="00AE6090"/>
    <w:rsid w:val="00AF4AD3"/>
    <w:rsid w:val="00B02BE9"/>
    <w:rsid w:val="00B34201"/>
    <w:rsid w:val="00B40BCA"/>
    <w:rsid w:val="00B700BB"/>
    <w:rsid w:val="00BE2B67"/>
    <w:rsid w:val="00BF426C"/>
    <w:rsid w:val="00C25A59"/>
    <w:rsid w:val="00C31A14"/>
    <w:rsid w:val="00C51BF5"/>
    <w:rsid w:val="00C54BA0"/>
    <w:rsid w:val="00C71F28"/>
    <w:rsid w:val="00C805F6"/>
    <w:rsid w:val="00CB7F71"/>
    <w:rsid w:val="00CC26F7"/>
    <w:rsid w:val="00CD34E9"/>
    <w:rsid w:val="00CD73E5"/>
    <w:rsid w:val="00D34B32"/>
    <w:rsid w:val="00D46456"/>
    <w:rsid w:val="00D8186A"/>
    <w:rsid w:val="00DA007F"/>
    <w:rsid w:val="00DB2B97"/>
    <w:rsid w:val="00DD7802"/>
    <w:rsid w:val="00E00E45"/>
    <w:rsid w:val="00E03443"/>
    <w:rsid w:val="00E040C3"/>
    <w:rsid w:val="00E31BED"/>
    <w:rsid w:val="00E51593"/>
    <w:rsid w:val="00E6002C"/>
    <w:rsid w:val="00ED2984"/>
    <w:rsid w:val="00EE4976"/>
    <w:rsid w:val="00F111E5"/>
    <w:rsid w:val="00F1637D"/>
    <w:rsid w:val="00F52C02"/>
    <w:rsid w:val="00F66464"/>
    <w:rsid w:val="00F90CD5"/>
    <w:rsid w:val="00FB7F2B"/>
    <w:rsid w:val="00FD6F14"/>
    <w:rsid w:val="00FF05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3CB789-857B-4B67-833B-DC3E59353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3E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paragraph" w:styleId="Ttulo4">
    <w:name w:val="heading 4"/>
    <w:basedOn w:val="Normal"/>
    <w:next w:val="Normal"/>
    <w:link w:val="Ttulo4Car"/>
    <w:qFormat/>
    <w:rsid w:val="00CD73E5"/>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D73E5"/>
    <w:rPr>
      <w:rFonts w:ascii="Perpetua" w:eastAsia="Times New Roman" w:hAnsi="Perpetua" w:cs="Times New Roman"/>
      <w:sz w:val="28"/>
      <w:szCs w:val="20"/>
      <w:lang w:eastAsia="es-ES"/>
    </w:rPr>
  </w:style>
  <w:style w:type="paragraph" w:styleId="Piedepgina">
    <w:name w:val="footer"/>
    <w:basedOn w:val="Normal"/>
    <w:link w:val="PiedepginaCar"/>
    <w:rsid w:val="00CD73E5"/>
    <w:pPr>
      <w:tabs>
        <w:tab w:val="center" w:pos="4419"/>
        <w:tab w:val="right" w:pos="8838"/>
      </w:tabs>
    </w:pPr>
  </w:style>
  <w:style w:type="character" w:customStyle="1" w:styleId="PiedepginaCar">
    <w:name w:val="Pie de página Car"/>
    <w:basedOn w:val="Fuentedeprrafopredeter"/>
    <w:link w:val="Piedepgina"/>
    <w:rsid w:val="00CD73E5"/>
    <w:rPr>
      <w:rFonts w:ascii="Times New Roman" w:eastAsia="Times New Roman" w:hAnsi="Times New Roman" w:cs="Times New Roman"/>
      <w:sz w:val="20"/>
      <w:szCs w:val="20"/>
      <w:lang w:val="es-ES" w:eastAsia="es-ES"/>
    </w:rPr>
  </w:style>
  <w:style w:type="character" w:styleId="Nmerodepgina">
    <w:name w:val="page number"/>
    <w:rsid w:val="00CD73E5"/>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CD73E5"/>
  </w:style>
  <w:style w:type="character" w:customStyle="1" w:styleId="TextonotapieCar">
    <w:name w:val="Texto nota pie Car"/>
    <w:aliases w:val="Footnote Text Char Char Char Char Char Car1,Footnote Text Char Char Char Char Car1,Footnote reference Car1,FA Fu Car1,Footnote Text Char Char Char Car1,Footnote Text Car1,texto de nota al pie Car1,Footnote Text Char Car1,f Car1"/>
    <w:basedOn w:val="Fuentedeprrafopredeter"/>
    <w:uiPriority w:val="99"/>
    <w:semiHidden/>
    <w:rsid w:val="00CD73E5"/>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uiPriority w:val="99"/>
    <w:qFormat/>
    <w:rsid w:val="00CD73E5"/>
    <w:rPr>
      <w:rFonts w:cs="Times New Roman"/>
      <w:vertAlign w:val="superscript"/>
    </w:rPr>
  </w:style>
  <w:style w:type="paragraph" w:customStyle="1" w:styleId="Textoindependiente21">
    <w:name w:val="Texto independiente 21"/>
    <w:basedOn w:val="Normal"/>
    <w:rsid w:val="00CD73E5"/>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CD73E5"/>
    <w:rPr>
      <w:rFonts w:ascii="Times New Roman" w:eastAsia="Times New Roman" w:hAnsi="Times New Roman" w:cs="Times New Roman"/>
      <w:sz w:val="20"/>
      <w:szCs w:val="20"/>
      <w:lang w:val="es-ES" w:eastAsia="es-ES"/>
    </w:rPr>
  </w:style>
  <w:style w:type="paragraph" w:customStyle="1" w:styleId="Sinespaciado1">
    <w:name w:val="Sin espaciado1"/>
    <w:rsid w:val="00CD73E5"/>
    <w:pPr>
      <w:spacing w:after="0" w:line="240" w:lineRule="auto"/>
    </w:pPr>
    <w:rPr>
      <w:rFonts w:ascii="Times New Roman" w:eastAsia="Times New Roman" w:hAnsi="Times New Roman" w:cs="Times New Roman"/>
      <w:sz w:val="24"/>
      <w:szCs w:val="24"/>
      <w:lang w:val="es-ES" w:eastAsia="es-ES"/>
    </w:rPr>
  </w:style>
  <w:style w:type="paragraph" w:customStyle="1" w:styleId="Sinespaciado2">
    <w:name w:val="Sin espaciado2"/>
    <w:rsid w:val="00CD73E5"/>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E0E9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0E95"/>
    <w:rPr>
      <w:rFonts w:ascii="Segoe UI" w:eastAsia="Times New Roman" w:hAnsi="Segoe UI" w:cs="Segoe UI"/>
      <w:sz w:val="18"/>
      <w:szCs w:val="18"/>
      <w:lang w:val="es-ES" w:eastAsia="es-ES"/>
    </w:rPr>
  </w:style>
  <w:style w:type="paragraph" w:customStyle="1" w:styleId="Sinespaciado3">
    <w:name w:val="Sin espaciado3"/>
    <w:rsid w:val="001A6E73"/>
    <w:pPr>
      <w:spacing w:after="0" w:line="240" w:lineRule="auto"/>
    </w:pPr>
    <w:rPr>
      <w:rFonts w:ascii="Times New Roman" w:eastAsia="Times New Roman" w:hAnsi="Times New Roman" w:cs="Times New Roman"/>
      <w:sz w:val="24"/>
      <w:szCs w:val="24"/>
      <w:lang w:val="es-ES" w:eastAsia="es-ES"/>
    </w:rPr>
  </w:style>
  <w:style w:type="paragraph" w:customStyle="1" w:styleId="Sinespaciado4">
    <w:name w:val="Sin espaciado4"/>
    <w:rsid w:val="00042088"/>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2F4DE5"/>
    <w:pPr>
      <w:tabs>
        <w:tab w:val="center" w:pos="4252"/>
        <w:tab w:val="right" w:pos="8504"/>
      </w:tabs>
    </w:pPr>
  </w:style>
  <w:style w:type="character" w:customStyle="1" w:styleId="EncabezadoCar">
    <w:name w:val="Encabezado Car"/>
    <w:basedOn w:val="Fuentedeprrafopredeter"/>
    <w:link w:val="Encabezado"/>
    <w:uiPriority w:val="99"/>
    <w:rsid w:val="002F4DE5"/>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454873">
      <w:bodyDiv w:val="1"/>
      <w:marLeft w:val="0"/>
      <w:marRight w:val="0"/>
      <w:marTop w:val="0"/>
      <w:marBottom w:val="0"/>
      <w:divBdr>
        <w:top w:val="none" w:sz="0" w:space="0" w:color="auto"/>
        <w:left w:val="none" w:sz="0" w:space="0" w:color="auto"/>
        <w:bottom w:val="none" w:sz="0" w:space="0" w:color="auto"/>
        <w:right w:val="none" w:sz="0" w:space="0" w:color="auto"/>
      </w:divBdr>
    </w:div>
    <w:div w:id="193543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E27B5-773D-47CA-845D-909C32D51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1372</Words>
  <Characters>7547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Barrera Hurtado</dc:creator>
  <cp:lastModifiedBy>Henry Lora Rodriguez</cp:lastModifiedBy>
  <cp:revision>6</cp:revision>
  <cp:lastPrinted>2019-03-20T17:20:00Z</cp:lastPrinted>
  <dcterms:created xsi:type="dcterms:W3CDTF">2019-03-19T21:25:00Z</dcterms:created>
  <dcterms:modified xsi:type="dcterms:W3CDTF">2019-04-11T15:59:00Z</dcterms:modified>
</cp:coreProperties>
</file>