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13" w:rsidRPr="00757313" w:rsidRDefault="00757313" w:rsidP="0075731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75731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57313" w:rsidRPr="00757313" w:rsidRDefault="00757313" w:rsidP="00757313">
      <w:pPr>
        <w:spacing w:after="0" w:line="240" w:lineRule="auto"/>
        <w:jc w:val="both"/>
        <w:rPr>
          <w:rFonts w:ascii="Arial" w:eastAsia="Times New Roman" w:hAnsi="Arial" w:cs="Arial"/>
          <w:sz w:val="20"/>
          <w:szCs w:val="20"/>
          <w:lang w:val="es-419" w:eastAsia="es-ES"/>
        </w:rPr>
      </w:pPr>
    </w:p>
    <w:p w:rsidR="00757313" w:rsidRPr="00757313" w:rsidRDefault="00757313" w:rsidP="00757313">
      <w:pPr>
        <w:spacing w:after="0" w:line="240" w:lineRule="auto"/>
        <w:jc w:val="both"/>
        <w:rPr>
          <w:rFonts w:ascii="Arial" w:eastAsia="Times New Roman" w:hAnsi="Arial" w:cs="Arial"/>
          <w:b/>
          <w:bCs/>
          <w:iCs/>
          <w:sz w:val="20"/>
          <w:szCs w:val="20"/>
          <w:lang w:val="es-419" w:eastAsia="fr-FR"/>
        </w:rPr>
      </w:pPr>
      <w:r w:rsidRPr="00757313">
        <w:rPr>
          <w:rFonts w:ascii="Arial" w:eastAsia="Times New Roman" w:hAnsi="Arial" w:cs="Arial"/>
          <w:b/>
          <w:bCs/>
          <w:iCs/>
          <w:sz w:val="20"/>
          <w:szCs w:val="20"/>
          <w:u w:val="single"/>
          <w:lang w:val="es-419" w:eastAsia="fr-FR"/>
        </w:rPr>
        <w:t>TEMAS:</w:t>
      </w:r>
      <w:r w:rsidRPr="00757313">
        <w:rPr>
          <w:rFonts w:ascii="Arial" w:eastAsia="Times New Roman" w:hAnsi="Arial" w:cs="Arial"/>
          <w:b/>
          <w:bCs/>
          <w:iCs/>
          <w:sz w:val="20"/>
          <w:szCs w:val="20"/>
          <w:lang w:val="es-419" w:eastAsia="fr-FR"/>
        </w:rPr>
        <w:tab/>
      </w:r>
      <w:r w:rsidR="006E6406">
        <w:rPr>
          <w:rFonts w:ascii="Arial" w:eastAsia="Times New Roman" w:hAnsi="Arial" w:cs="Arial"/>
          <w:b/>
          <w:bCs/>
          <w:iCs/>
          <w:sz w:val="20"/>
          <w:szCs w:val="20"/>
          <w:lang w:val="es-419" w:eastAsia="fr-FR"/>
        </w:rPr>
        <w:t>SEGURIDAD SOCIAL / RECONOCIMIENTO PENSIÓN DE INVALIDEZ / PRINCIPIO DE SUBSIDIARIEDAD / EXCEPCIONES / COMPATIBILIDAD ENTRE LA INDEMNIZACIÓN SUSTITUTIVA Y LA PENSIÒN DE INVALIDEZ.</w:t>
      </w:r>
    </w:p>
    <w:p w:rsidR="00757313" w:rsidRPr="00757313" w:rsidRDefault="00757313" w:rsidP="00757313">
      <w:pPr>
        <w:spacing w:after="0" w:line="240" w:lineRule="auto"/>
        <w:jc w:val="both"/>
        <w:rPr>
          <w:rFonts w:ascii="Arial" w:eastAsia="Times New Roman" w:hAnsi="Arial" w:cs="Arial"/>
          <w:sz w:val="20"/>
          <w:szCs w:val="20"/>
          <w:lang w:val="es-419" w:eastAsia="es-ES"/>
        </w:rPr>
      </w:pPr>
    </w:p>
    <w:p w:rsidR="00757313" w:rsidRPr="00757313" w:rsidRDefault="006E6406" w:rsidP="00757313">
      <w:pPr>
        <w:spacing w:after="0" w:line="240" w:lineRule="auto"/>
        <w:jc w:val="both"/>
        <w:rPr>
          <w:rFonts w:ascii="Arial" w:eastAsia="Times New Roman" w:hAnsi="Arial" w:cs="Arial"/>
          <w:sz w:val="20"/>
          <w:szCs w:val="20"/>
          <w:lang w:val="es-419" w:eastAsia="es-ES"/>
        </w:rPr>
      </w:pPr>
      <w:r w:rsidRPr="006E6406">
        <w:rPr>
          <w:rFonts w:ascii="Arial" w:eastAsia="Times New Roman" w:hAnsi="Arial" w:cs="Arial"/>
          <w:sz w:val="20"/>
          <w:szCs w:val="20"/>
          <w:lang w:val="es-419"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la Corte Constitucional</w:t>
      </w:r>
      <w:r>
        <w:rPr>
          <w:rFonts w:ascii="Arial" w:eastAsia="Times New Roman" w:hAnsi="Arial" w:cs="Arial"/>
          <w:sz w:val="20"/>
          <w:szCs w:val="20"/>
          <w:lang w:val="es-419" w:eastAsia="es-ES"/>
        </w:rPr>
        <w:t>…</w:t>
      </w:r>
    </w:p>
    <w:p w:rsidR="00757313" w:rsidRPr="00757313" w:rsidRDefault="00757313" w:rsidP="00757313">
      <w:pPr>
        <w:spacing w:after="0" w:line="240" w:lineRule="auto"/>
        <w:jc w:val="both"/>
        <w:rPr>
          <w:rFonts w:ascii="Arial" w:eastAsia="Times New Roman" w:hAnsi="Arial" w:cs="Arial"/>
          <w:sz w:val="20"/>
          <w:szCs w:val="20"/>
          <w:lang w:val="es-419" w:eastAsia="es-ES"/>
        </w:rPr>
      </w:pPr>
    </w:p>
    <w:p w:rsidR="00757313" w:rsidRPr="00757313" w:rsidRDefault="006E6406" w:rsidP="00757313">
      <w:pPr>
        <w:spacing w:after="0" w:line="240" w:lineRule="auto"/>
        <w:jc w:val="both"/>
        <w:rPr>
          <w:rFonts w:ascii="Arial" w:eastAsia="Times New Roman" w:hAnsi="Arial" w:cs="Arial"/>
          <w:sz w:val="20"/>
          <w:szCs w:val="20"/>
          <w:lang w:val="es-419" w:eastAsia="es-ES"/>
        </w:rPr>
      </w:pPr>
      <w:r w:rsidRPr="006E6406">
        <w:rPr>
          <w:rFonts w:ascii="Arial" w:eastAsia="Times New Roman" w:hAnsi="Arial" w:cs="Arial"/>
          <w:sz w:val="20"/>
          <w:szCs w:val="20"/>
          <w:lang w:val="es-419" w:eastAsia="es-ES"/>
        </w:rPr>
        <w:t>Requisitos que, ciertamente, se hallan cumplidos en la presente acción, si se tiene en cuenta que la accionante se reporta como una persona de especial protección constitucional, dada su condición de invalidez, si bien la pérdida de su capacidad laboral es del 53,25% (f. 19, c.1); además, lo que alega, precisamente, es la afectación de su derecho fundamental al mínimo vital, lo que no fue contrariado por la demandada</w:t>
      </w:r>
      <w:r>
        <w:rPr>
          <w:rFonts w:ascii="Arial" w:eastAsia="Times New Roman" w:hAnsi="Arial" w:cs="Arial"/>
          <w:sz w:val="20"/>
          <w:szCs w:val="20"/>
          <w:lang w:val="es-419" w:eastAsia="es-ES"/>
        </w:rPr>
        <w:t>…</w:t>
      </w:r>
    </w:p>
    <w:p w:rsidR="00757313" w:rsidRPr="00757313" w:rsidRDefault="00757313" w:rsidP="00757313">
      <w:pPr>
        <w:spacing w:after="0" w:line="240" w:lineRule="auto"/>
        <w:jc w:val="both"/>
        <w:rPr>
          <w:rFonts w:ascii="Arial" w:eastAsia="Times New Roman" w:hAnsi="Arial" w:cs="Arial"/>
          <w:sz w:val="20"/>
          <w:szCs w:val="20"/>
          <w:lang w:val="es-ES" w:eastAsia="es-ES"/>
        </w:rPr>
      </w:pPr>
    </w:p>
    <w:p w:rsidR="00757313" w:rsidRDefault="006E6406" w:rsidP="0075731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6E6406">
        <w:rPr>
          <w:rFonts w:ascii="Arial" w:eastAsia="Times New Roman" w:hAnsi="Arial" w:cs="Arial"/>
          <w:sz w:val="20"/>
          <w:szCs w:val="20"/>
          <w:lang w:val="es-ES" w:eastAsia="es-ES"/>
        </w:rPr>
        <w:t>en lo que atañe con la negativa de Colpensiones para conceder la prestación, derivada del el pago previo de una indemnización sustitutiva, ha decantado la Corte Constitucional que ninguna incompatibilidad existe entre esta y la pensión</w:t>
      </w:r>
      <w:r>
        <w:rPr>
          <w:rFonts w:ascii="Arial" w:eastAsia="Times New Roman" w:hAnsi="Arial" w:cs="Arial"/>
          <w:sz w:val="20"/>
          <w:szCs w:val="20"/>
          <w:lang w:val="es-ES" w:eastAsia="es-ES"/>
        </w:rPr>
        <w:t>…</w:t>
      </w:r>
    </w:p>
    <w:p w:rsidR="006E6406" w:rsidRDefault="006E6406" w:rsidP="00757313">
      <w:pPr>
        <w:spacing w:after="0" w:line="240" w:lineRule="auto"/>
        <w:jc w:val="both"/>
        <w:rPr>
          <w:rFonts w:ascii="Arial" w:eastAsia="Times New Roman" w:hAnsi="Arial" w:cs="Arial"/>
          <w:sz w:val="20"/>
          <w:szCs w:val="20"/>
          <w:lang w:val="es-ES" w:eastAsia="es-ES"/>
        </w:rPr>
      </w:pPr>
    </w:p>
    <w:p w:rsidR="006E6406" w:rsidRPr="00757313" w:rsidRDefault="006E6406" w:rsidP="00757313">
      <w:pPr>
        <w:spacing w:after="0" w:line="240" w:lineRule="auto"/>
        <w:jc w:val="both"/>
        <w:rPr>
          <w:rFonts w:ascii="Arial" w:eastAsia="Times New Roman" w:hAnsi="Arial" w:cs="Arial"/>
          <w:sz w:val="20"/>
          <w:szCs w:val="20"/>
          <w:lang w:val="es-ES" w:eastAsia="es-ES"/>
        </w:rPr>
      </w:pPr>
    </w:p>
    <w:p w:rsidR="00757313" w:rsidRPr="00757313" w:rsidRDefault="00757313" w:rsidP="00757313">
      <w:pPr>
        <w:spacing w:after="0" w:line="240" w:lineRule="auto"/>
        <w:jc w:val="both"/>
        <w:rPr>
          <w:rFonts w:ascii="Arial" w:eastAsia="Times New Roman" w:hAnsi="Arial" w:cs="Arial"/>
          <w:sz w:val="20"/>
          <w:szCs w:val="20"/>
          <w:lang w:val="es-ES" w:eastAsia="es-ES"/>
        </w:rPr>
      </w:pPr>
    </w:p>
    <w:p w:rsidR="00756044" w:rsidRPr="00757313" w:rsidRDefault="00756044" w:rsidP="00757313">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r w:rsidRPr="00757313">
        <w:rPr>
          <w:rFonts w:ascii="Gadugi" w:eastAsia="Times New Roman" w:hAnsi="Gadugi" w:cs="Times New Roman"/>
          <w:b/>
          <w:color w:val="000000"/>
          <w:sz w:val="24"/>
          <w:szCs w:val="24"/>
          <w:lang w:val="es-ES" w:eastAsia="es-ES"/>
        </w:rPr>
        <w:t xml:space="preserve">TRIBUNAL SUPERIOR DEL DISTRITO JUDICIAL            </w:t>
      </w:r>
      <w:r w:rsidRPr="00757313">
        <w:rPr>
          <w:rFonts w:ascii="Gadugi" w:eastAsia="Times New Roman" w:hAnsi="Gadugi" w:cs="Times New Roman"/>
          <w:b/>
          <w:color w:val="000000"/>
          <w:sz w:val="24"/>
          <w:szCs w:val="24"/>
          <w:lang w:val="es-419" w:eastAsia="es-ES"/>
        </w:rPr>
        <w:t xml:space="preserve">   </w:t>
      </w:r>
      <w:r w:rsidRPr="00757313">
        <w:rPr>
          <w:rFonts w:ascii="Gadugi" w:eastAsia="Times New Roman" w:hAnsi="Gadugi" w:cs="Times New Roman"/>
          <w:b/>
          <w:color w:val="000000"/>
          <w:sz w:val="24"/>
          <w:szCs w:val="24"/>
          <w:lang w:val="es-419" w:eastAsia="es-ES"/>
        </w:rPr>
        <w:tab/>
      </w:r>
      <w:r w:rsidRPr="00757313">
        <w:rPr>
          <w:rFonts w:ascii="Gadugi" w:eastAsia="Times New Roman" w:hAnsi="Gadugi" w:cs="Times New Roman"/>
          <w:b/>
          <w:color w:val="000000"/>
          <w:sz w:val="24"/>
          <w:szCs w:val="24"/>
          <w:lang w:val="es-419" w:eastAsia="es-ES"/>
        </w:rPr>
        <w:tab/>
        <w:t xml:space="preserve">   </w:t>
      </w:r>
      <w:r w:rsidRPr="00757313">
        <w:rPr>
          <w:rFonts w:ascii="Gadugi" w:eastAsia="Times New Roman" w:hAnsi="Gadugi" w:cs="Times New Roman"/>
          <w:b/>
          <w:color w:val="000000"/>
          <w:sz w:val="24"/>
          <w:szCs w:val="24"/>
          <w:lang w:val="es-ES" w:eastAsia="es-ES"/>
        </w:rPr>
        <w:t xml:space="preserve">SALA </w:t>
      </w:r>
      <w:r w:rsidRPr="00757313">
        <w:rPr>
          <w:rFonts w:ascii="Gadugi" w:eastAsia="Times New Roman" w:hAnsi="Gadugi" w:cs="Times New Roman"/>
          <w:b/>
          <w:color w:val="000000"/>
          <w:sz w:val="24"/>
          <w:szCs w:val="24"/>
          <w:lang w:val="es-419" w:eastAsia="es-ES"/>
        </w:rPr>
        <w:t xml:space="preserve">DE DECISIÓN </w:t>
      </w:r>
      <w:r w:rsidRPr="00757313">
        <w:rPr>
          <w:rFonts w:ascii="Gadugi" w:eastAsia="Times New Roman" w:hAnsi="Gadugi" w:cs="Times New Roman"/>
          <w:b/>
          <w:color w:val="000000"/>
          <w:sz w:val="24"/>
          <w:szCs w:val="24"/>
          <w:lang w:val="es-ES" w:eastAsia="es-ES"/>
        </w:rPr>
        <w:t>CIVIL FAMILIA</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7313">
        <w:rPr>
          <w:rFonts w:ascii="Gadugi" w:eastAsia="Times New Roman" w:hAnsi="Gadugi" w:cs="Times New Roman"/>
          <w:b/>
          <w:color w:val="000000"/>
          <w:sz w:val="24"/>
          <w:szCs w:val="24"/>
          <w:lang w:val="es-ES" w:eastAsia="es-ES"/>
        </w:rPr>
        <w:t xml:space="preserve">     </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757313">
        <w:rPr>
          <w:rFonts w:ascii="Gadugi" w:eastAsia="Times New Roman" w:hAnsi="Gadugi" w:cs="Times New Roman"/>
          <w:color w:val="000000"/>
          <w:sz w:val="24"/>
          <w:szCs w:val="24"/>
          <w:lang w:val="es-ES" w:eastAsia="es-ES"/>
        </w:rPr>
        <w:t>Magistrado: Jaime Alberto Saraza Naranjo</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7313">
        <w:rPr>
          <w:rFonts w:ascii="Gadugi" w:eastAsia="Times New Roman" w:hAnsi="Gadugi" w:cs="Times New Roman"/>
          <w:color w:val="000000"/>
          <w:sz w:val="24"/>
          <w:szCs w:val="24"/>
          <w:lang w:val="es-ES" w:eastAsia="es-ES"/>
        </w:rPr>
        <w:t xml:space="preserve">Pereira, </w:t>
      </w:r>
      <w:r w:rsidR="000C05C0" w:rsidRPr="00757313">
        <w:rPr>
          <w:rFonts w:ascii="Gadugi" w:eastAsia="Times New Roman" w:hAnsi="Gadugi" w:cs="Times New Roman"/>
          <w:color w:val="000000"/>
          <w:sz w:val="24"/>
          <w:szCs w:val="24"/>
          <w:lang w:val="es-ES" w:eastAsia="es-ES"/>
        </w:rPr>
        <w:t>noviembre veinticinco del dos mil diecinueve</w:t>
      </w:r>
      <w:r w:rsidR="00E505C4" w:rsidRPr="00757313">
        <w:rPr>
          <w:rFonts w:ascii="Gadugi" w:eastAsia="Times New Roman" w:hAnsi="Gadugi" w:cs="Times New Roman"/>
          <w:color w:val="000000"/>
          <w:sz w:val="24"/>
          <w:szCs w:val="24"/>
          <w:lang w:val="es-419" w:eastAsia="es-ES"/>
        </w:rPr>
        <w:t xml:space="preserve"> </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757313">
        <w:rPr>
          <w:rFonts w:ascii="Gadugi" w:eastAsia="Times New Roman" w:hAnsi="Gadugi" w:cs="Times New Roman"/>
          <w:color w:val="000000"/>
          <w:sz w:val="24"/>
          <w:szCs w:val="24"/>
          <w:lang w:val="es-ES" w:eastAsia="es-ES"/>
        </w:rPr>
        <w:t>Expediente</w:t>
      </w:r>
      <w:r w:rsidRPr="00757313">
        <w:rPr>
          <w:rFonts w:ascii="Gadugi" w:eastAsia="Times New Roman" w:hAnsi="Gadugi" w:cs="Times New Roman"/>
          <w:color w:val="000000"/>
          <w:sz w:val="24"/>
          <w:szCs w:val="24"/>
          <w:lang w:val="es-419" w:eastAsia="es-ES"/>
        </w:rPr>
        <w:t>s:</w:t>
      </w:r>
      <w:r w:rsidR="002B111A" w:rsidRPr="00757313">
        <w:rPr>
          <w:rFonts w:ascii="Gadugi" w:eastAsia="Times New Roman" w:hAnsi="Gadugi" w:cs="Times New Roman"/>
          <w:color w:val="000000"/>
          <w:sz w:val="24"/>
          <w:szCs w:val="24"/>
          <w:lang w:val="es-ES" w:eastAsia="es-ES"/>
        </w:rPr>
        <w:t xml:space="preserve"> 66001-31-03</w:t>
      </w:r>
      <w:r w:rsidR="0051087B" w:rsidRPr="00757313">
        <w:rPr>
          <w:rFonts w:ascii="Gadugi" w:eastAsia="Times New Roman" w:hAnsi="Gadugi" w:cs="Times New Roman"/>
          <w:color w:val="000000"/>
          <w:sz w:val="24"/>
          <w:szCs w:val="24"/>
          <w:lang w:val="es-ES" w:eastAsia="es-ES"/>
        </w:rPr>
        <w:t>-002-2019</w:t>
      </w:r>
      <w:r w:rsidRPr="00757313">
        <w:rPr>
          <w:rFonts w:ascii="Gadugi" w:eastAsia="Times New Roman" w:hAnsi="Gadugi" w:cs="Times New Roman"/>
          <w:color w:val="000000"/>
          <w:sz w:val="24"/>
          <w:szCs w:val="24"/>
          <w:lang w:val="es-ES" w:eastAsia="es-ES"/>
        </w:rPr>
        <w:t>-00</w:t>
      </w:r>
      <w:r w:rsidR="0051087B" w:rsidRPr="00757313">
        <w:rPr>
          <w:rFonts w:ascii="Gadugi" w:eastAsia="Times New Roman" w:hAnsi="Gadugi" w:cs="Times New Roman"/>
          <w:color w:val="000000"/>
          <w:sz w:val="24"/>
          <w:szCs w:val="24"/>
          <w:lang w:val="es-419" w:eastAsia="es-ES"/>
        </w:rPr>
        <w:t>271</w:t>
      </w:r>
      <w:r w:rsidRPr="00757313">
        <w:rPr>
          <w:rFonts w:ascii="Gadugi" w:eastAsia="Times New Roman" w:hAnsi="Gadugi" w:cs="Times New Roman"/>
          <w:color w:val="000000"/>
          <w:sz w:val="24"/>
          <w:szCs w:val="24"/>
          <w:lang w:val="es-ES" w:eastAsia="es-ES"/>
        </w:rPr>
        <w:t>-01</w:t>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000C05C0" w:rsidRPr="00757313">
        <w:rPr>
          <w:rFonts w:ascii="Gadugi" w:eastAsia="Times New Roman" w:hAnsi="Gadugi" w:cs="Times New Roman"/>
          <w:color w:val="000000"/>
          <w:sz w:val="24"/>
          <w:szCs w:val="24"/>
          <w:lang w:val="es-ES" w:eastAsia="es-ES"/>
        </w:rPr>
        <w:tab/>
      </w:r>
      <w:r w:rsidR="000C05C0" w:rsidRPr="00757313">
        <w:rPr>
          <w:rFonts w:ascii="Gadugi" w:eastAsia="Times New Roman" w:hAnsi="Gadugi" w:cs="Times New Roman"/>
          <w:color w:val="000000"/>
          <w:sz w:val="24"/>
          <w:szCs w:val="24"/>
          <w:lang w:val="es-ES" w:eastAsia="es-ES"/>
        </w:rPr>
        <w:tab/>
      </w:r>
      <w:r w:rsidR="000C05C0" w:rsidRPr="00757313">
        <w:rPr>
          <w:rFonts w:ascii="Gadugi" w:eastAsia="Times New Roman" w:hAnsi="Gadugi" w:cs="Times New Roman"/>
          <w:color w:val="000000"/>
          <w:sz w:val="24"/>
          <w:szCs w:val="24"/>
          <w:lang w:val="es-ES" w:eastAsia="es-ES"/>
        </w:rPr>
        <w:tab/>
      </w:r>
      <w:r w:rsid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Acta N°</w:t>
      </w:r>
      <w:r w:rsidRPr="00757313">
        <w:rPr>
          <w:rFonts w:ascii="Gadugi" w:eastAsia="Times New Roman" w:hAnsi="Gadugi" w:cs="Times New Roman"/>
          <w:color w:val="000000"/>
          <w:sz w:val="24"/>
          <w:szCs w:val="24"/>
          <w:lang w:val="es-419" w:eastAsia="es-ES"/>
        </w:rPr>
        <w:t xml:space="preserve"> </w:t>
      </w:r>
      <w:r w:rsidR="000C05C0" w:rsidRPr="00757313">
        <w:rPr>
          <w:rFonts w:ascii="Gadugi" w:eastAsia="Times New Roman" w:hAnsi="Gadugi" w:cs="Times New Roman"/>
          <w:color w:val="000000"/>
          <w:sz w:val="24"/>
          <w:szCs w:val="24"/>
          <w:lang w:val="es-419" w:eastAsia="es-ES"/>
        </w:rPr>
        <w:t>595 del 25 de noviembre del 2019</w:t>
      </w:r>
      <w:r w:rsidR="00E505C4" w:rsidRPr="00757313">
        <w:rPr>
          <w:rFonts w:ascii="Gadugi" w:eastAsia="Times New Roman" w:hAnsi="Gadugi" w:cs="Times New Roman"/>
          <w:color w:val="000000"/>
          <w:sz w:val="24"/>
          <w:szCs w:val="24"/>
          <w:lang w:val="es-419" w:eastAsia="es-ES"/>
        </w:rPr>
        <w:t xml:space="preserve"> </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757313">
        <w:rPr>
          <w:rFonts w:ascii="Gadugi" w:eastAsia="Times New Roman" w:hAnsi="Gadugi" w:cs="Arial"/>
          <w:color w:val="000000"/>
          <w:sz w:val="24"/>
          <w:szCs w:val="24"/>
          <w:lang w:val="es-ES" w:eastAsia="es-ES"/>
        </w:rPr>
        <w:t xml:space="preserve">  </w:t>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t xml:space="preserve">Procede la Sala a decidir la </w:t>
      </w:r>
      <w:r w:rsidRPr="00757313">
        <w:rPr>
          <w:rFonts w:ascii="Gadugi" w:eastAsia="Times New Roman" w:hAnsi="Gadugi" w:cs="Arial"/>
          <w:color w:val="000000"/>
          <w:sz w:val="24"/>
          <w:szCs w:val="24"/>
          <w:lang w:val="es-419" w:eastAsia="es-ES"/>
        </w:rPr>
        <w:t xml:space="preserve">impugnación propuesta por </w:t>
      </w:r>
      <w:r w:rsidR="00E505C4" w:rsidRPr="00757313">
        <w:rPr>
          <w:rFonts w:ascii="Gadugi" w:eastAsia="Times New Roman" w:hAnsi="Gadugi" w:cs="Arial"/>
          <w:b/>
          <w:color w:val="000000"/>
          <w:sz w:val="24"/>
          <w:szCs w:val="24"/>
          <w:lang w:val="es-419" w:eastAsia="es-ES"/>
        </w:rPr>
        <w:t>Colpensiones</w:t>
      </w:r>
      <w:r w:rsidRPr="00757313">
        <w:rPr>
          <w:rFonts w:ascii="Gadugi" w:eastAsia="Times New Roman" w:hAnsi="Gadugi" w:cs="Arial"/>
          <w:color w:val="000000"/>
          <w:sz w:val="24"/>
          <w:szCs w:val="24"/>
          <w:lang w:val="es-419" w:eastAsia="es-ES"/>
        </w:rPr>
        <w:t xml:space="preserve"> contra la sentencia del </w:t>
      </w:r>
      <w:r w:rsidR="00E505C4" w:rsidRPr="00757313">
        <w:rPr>
          <w:rFonts w:ascii="Gadugi" w:eastAsia="Times New Roman" w:hAnsi="Gadugi" w:cs="Arial"/>
          <w:color w:val="000000"/>
          <w:sz w:val="24"/>
          <w:szCs w:val="24"/>
          <w:lang w:val="es-419" w:eastAsia="es-ES"/>
        </w:rPr>
        <w:t>10</w:t>
      </w:r>
      <w:r w:rsidRPr="00757313">
        <w:rPr>
          <w:rFonts w:ascii="Gadugi" w:eastAsia="Times New Roman" w:hAnsi="Gadugi" w:cs="Arial"/>
          <w:color w:val="000000"/>
          <w:sz w:val="24"/>
          <w:szCs w:val="24"/>
          <w:lang w:val="es-CO" w:eastAsia="es-ES"/>
        </w:rPr>
        <w:t xml:space="preserve"> de </w:t>
      </w:r>
      <w:r w:rsidR="00E505C4" w:rsidRPr="00757313">
        <w:rPr>
          <w:rFonts w:ascii="Gadugi" w:eastAsia="Times New Roman" w:hAnsi="Gadugi" w:cs="Arial"/>
          <w:color w:val="000000"/>
          <w:sz w:val="24"/>
          <w:szCs w:val="24"/>
          <w:lang w:val="es-CO" w:eastAsia="es-ES"/>
        </w:rPr>
        <w:t>octubre</w:t>
      </w:r>
      <w:r w:rsidRPr="00757313">
        <w:rPr>
          <w:rFonts w:ascii="Gadugi" w:eastAsia="Times New Roman" w:hAnsi="Gadugi" w:cs="Arial"/>
          <w:color w:val="000000"/>
          <w:sz w:val="24"/>
          <w:szCs w:val="24"/>
          <w:lang w:val="es-CO" w:eastAsia="es-ES"/>
        </w:rPr>
        <w:t xml:space="preserve"> último,</w:t>
      </w:r>
      <w:r w:rsidRPr="00757313">
        <w:rPr>
          <w:rFonts w:ascii="Gadugi" w:eastAsia="Times New Roman" w:hAnsi="Gadugi" w:cs="Arial"/>
          <w:color w:val="000000"/>
          <w:sz w:val="24"/>
          <w:szCs w:val="24"/>
          <w:lang w:val="es-419" w:eastAsia="es-ES"/>
        </w:rPr>
        <w:t xml:space="preserve"> proferida por el </w:t>
      </w:r>
      <w:r w:rsidR="000E068E" w:rsidRPr="00757313">
        <w:rPr>
          <w:rFonts w:ascii="Gadugi" w:eastAsia="Times New Roman" w:hAnsi="Gadugi" w:cs="Arial"/>
          <w:color w:val="000000"/>
          <w:sz w:val="24"/>
          <w:szCs w:val="24"/>
          <w:lang w:val="es-419" w:eastAsia="es-ES"/>
        </w:rPr>
        <w:t xml:space="preserve">Juzgado </w:t>
      </w:r>
      <w:r w:rsidR="00E505C4" w:rsidRPr="00757313">
        <w:rPr>
          <w:rFonts w:ascii="Gadugi" w:eastAsia="Times New Roman" w:hAnsi="Gadugi" w:cs="Arial"/>
          <w:color w:val="000000"/>
          <w:sz w:val="24"/>
          <w:szCs w:val="24"/>
          <w:lang w:val="es-419" w:eastAsia="es-ES"/>
        </w:rPr>
        <w:t>Segundo</w:t>
      </w:r>
      <w:r w:rsidR="000E068E" w:rsidRPr="00757313">
        <w:rPr>
          <w:rFonts w:ascii="Gadugi" w:eastAsia="Times New Roman" w:hAnsi="Gadugi" w:cs="Arial"/>
          <w:color w:val="000000"/>
          <w:sz w:val="24"/>
          <w:szCs w:val="24"/>
          <w:lang w:val="es-419" w:eastAsia="es-ES"/>
        </w:rPr>
        <w:t xml:space="preserve"> Civil del Circuito</w:t>
      </w:r>
      <w:r w:rsidRPr="00757313">
        <w:rPr>
          <w:rFonts w:ascii="Gadugi" w:eastAsia="Times New Roman" w:hAnsi="Gadugi" w:cs="Arial"/>
          <w:color w:val="000000"/>
          <w:sz w:val="24"/>
          <w:szCs w:val="24"/>
          <w:lang w:val="es-CO" w:eastAsia="es-ES"/>
        </w:rPr>
        <w:t xml:space="preserve"> local</w:t>
      </w:r>
      <w:r w:rsidRPr="00757313">
        <w:rPr>
          <w:rFonts w:ascii="Gadugi" w:eastAsia="Times New Roman" w:hAnsi="Gadugi" w:cs="Arial"/>
          <w:color w:val="000000"/>
          <w:sz w:val="24"/>
          <w:szCs w:val="24"/>
          <w:lang w:val="es-419" w:eastAsia="es-ES"/>
        </w:rPr>
        <w:t xml:space="preserve">, en esta </w:t>
      </w:r>
      <w:r w:rsidRPr="00757313">
        <w:rPr>
          <w:rFonts w:ascii="Gadugi" w:eastAsia="Times New Roman" w:hAnsi="Gadugi" w:cs="Arial"/>
          <w:color w:val="000000"/>
          <w:sz w:val="24"/>
          <w:szCs w:val="24"/>
          <w:lang w:val="es-ES" w:eastAsia="es-ES"/>
        </w:rPr>
        <w:t xml:space="preserve">acción de tutela que </w:t>
      </w:r>
      <w:r w:rsidR="00E505C4" w:rsidRPr="00757313">
        <w:rPr>
          <w:rFonts w:ascii="Gadugi" w:eastAsia="Times New Roman" w:hAnsi="Gadugi" w:cs="Arial"/>
          <w:b/>
          <w:color w:val="000000"/>
          <w:sz w:val="24"/>
          <w:szCs w:val="24"/>
          <w:lang w:val="es-ES" w:eastAsia="es-ES"/>
        </w:rPr>
        <w:t>Amanda Rodríguez Zapata</w:t>
      </w:r>
      <w:r w:rsidRPr="00757313">
        <w:rPr>
          <w:rFonts w:ascii="Gadugi" w:eastAsia="Times New Roman" w:hAnsi="Gadugi" w:cs="Arial"/>
          <w:b/>
          <w:color w:val="000000"/>
          <w:sz w:val="24"/>
          <w:szCs w:val="24"/>
          <w:lang w:val="es-ES" w:eastAsia="es-ES"/>
        </w:rPr>
        <w:t xml:space="preserve"> </w:t>
      </w:r>
      <w:r w:rsidRPr="00757313">
        <w:rPr>
          <w:rFonts w:ascii="Gadugi" w:eastAsia="Times New Roman" w:hAnsi="Gadugi" w:cs="Arial"/>
          <w:color w:val="000000"/>
          <w:sz w:val="24"/>
          <w:szCs w:val="24"/>
          <w:lang w:val="es-ES" w:eastAsia="es-ES"/>
        </w:rPr>
        <w:t xml:space="preserve">promovió </w:t>
      </w:r>
      <w:r w:rsidRPr="00757313">
        <w:rPr>
          <w:rFonts w:ascii="Gadugi" w:eastAsia="Times New Roman" w:hAnsi="Gadugi" w:cs="Arial"/>
          <w:color w:val="000000"/>
          <w:sz w:val="24"/>
          <w:szCs w:val="24"/>
          <w:lang w:val="es-419" w:eastAsia="es-ES"/>
        </w:rPr>
        <w:t xml:space="preserve">frente </w:t>
      </w:r>
      <w:r w:rsidR="00E505C4" w:rsidRPr="00757313">
        <w:rPr>
          <w:rFonts w:ascii="Gadugi" w:eastAsia="Times New Roman" w:hAnsi="Gadugi" w:cs="Arial"/>
          <w:color w:val="000000"/>
          <w:sz w:val="24"/>
          <w:szCs w:val="24"/>
          <w:lang w:val="es-419" w:eastAsia="es-ES"/>
        </w:rPr>
        <w:t xml:space="preserve">a la impugnante. </w:t>
      </w:r>
    </w:p>
    <w:p w:rsidR="00756044" w:rsidRPr="00757313" w:rsidRDefault="00BB3142"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p>
    <w:p w:rsidR="00756044" w:rsidRPr="00757313" w:rsidRDefault="00756044" w:rsidP="00757313">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757313">
        <w:rPr>
          <w:rFonts w:ascii="Gadugi" w:eastAsia="Times New Roman" w:hAnsi="Gadugi" w:cs="Arial"/>
          <w:b/>
          <w:bCs/>
          <w:color w:val="000000"/>
          <w:sz w:val="24"/>
          <w:szCs w:val="24"/>
          <w:lang w:val="es-ES" w:eastAsia="es-ES"/>
        </w:rPr>
        <w:t xml:space="preserve">  </w:t>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r>
    </w:p>
    <w:p w:rsidR="00756044" w:rsidRPr="00757313" w:rsidRDefault="00756044" w:rsidP="00757313">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7313">
        <w:rPr>
          <w:rFonts w:ascii="Gadugi" w:eastAsia="Times New Roman" w:hAnsi="Gadugi" w:cs="Arial"/>
          <w:b/>
          <w:bCs/>
          <w:color w:val="000000"/>
          <w:sz w:val="24"/>
          <w:szCs w:val="24"/>
          <w:lang w:val="es-ES" w:eastAsia="es-ES"/>
        </w:rPr>
        <w:t xml:space="preserve">  </w:t>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r>
      <w:r w:rsidRPr="00757313">
        <w:rPr>
          <w:rFonts w:ascii="Gadugi" w:eastAsia="Times New Roman" w:hAnsi="Gadugi" w:cs="Arial"/>
          <w:b/>
          <w:bCs/>
          <w:color w:val="000000"/>
          <w:sz w:val="24"/>
          <w:szCs w:val="24"/>
          <w:lang w:val="es-ES" w:eastAsia="es-ES"/>
        </w:rPr>
        <w:tab/>
        <w:t>ANTECEDENTES</w:t>
      </w:r>
    </w:p>
    <w:p w:rsidR="00756044" w:rsidRPr="00757313" w:rsidRDefault="00BB3142" w:rsidP="00757313">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p>
    <w:p w:rsidR="00756044"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BB3142"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 xml:space="preserve">  </w:t>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419" w:eastAsia="es-ES"/>
        </w:rPr>
        <w:t xml:space="preserve">Acudió </w:t>
      </w:r>
      <w:r w:rsidR="004F119E" w:rsidRPr="00757313">
        <w:rPr>
          <w:rFonts w:ascii="Gadugi" w:eastAsia="Times New Roman" w:hAnsi="Gadugi" w:cs="Arial"/>
          <w:color w:val="000000"/>
          <w:sz w:val="24"/>
          <w:szCs w:val="24"/>
          <w:lang w:val="es-419" w:eastAsia="es-ES"/>
        </w:rPr>
        <w:t>Amanda Rodrí</w:t>
      </w:r>
      <w:r w:rsidR="0051087B" w:rsidRPr="00757313">
        <w:rPr>
          <w:rFonts w:ascii="Gadugi" w:eastAsia="Times New Roman" w:hAnsi="Gadugi" w:cs="Arial"/>
          <w:color w:val="000000"/>
          <w:sz w:val="24"/>
          <w:szCs w:val="24"/>
          <w:lang w:val="es-419" w:eastAsia="es-ES"/>
        </w:rPr>
        <w:t>guez Zapat</w:t>
      </w:r>
      <w:r w:rsidR="00BB3142" w:rsidRPr="00757313">
        <w:rPr>
          <w:rFonts w:ascii="Gadugi" w:eastAsia="Times New Roman" w:hAnsi="Gadugi" w:cs="Arial"/>
          <w:color w:val="000000"/>
          <w:sz w:val="24"/>
          <w:szCs w:val="24"/>
          <w:lang w:val="es-419" w:eastAsia="es-ES"/>
        </w:rPr>
        <w:t>a</w:t>
      </w:r>
      <w:r w:rsidRPr="00757313">
        <w:rPr>
          <w:rFonts w:ascii="Gadugi" w:eastAsia="Times New Roman" w:hAnsi="Gadugi" w:cs="Arial"/>
          <w:color w:val="000000"/>
          <w:sz w:val="24"/>
          <w:szCs w:val="24"/>
          <w:lang w:val="es-ES" w:eastAsia="es-ES"/>
        </w:rPr>
        <w:t xml:space="preserve"> en procura de la protección de sus derechos fundamentales</w:t>
      </w:r>
      <w:r w:rsidR="00BB3142" w:rsidRPr="00757313">
        <w:rPr>
          <w:rFonts w:ascii="Gadugi" w:eastAsia="Times New Roman" w:hAnsi="Gadugi" w:cs="Arial"/>
          <w:color w:val="000000"/>
          <w:sz w:val="24"/>
          <w:szCs w:val="24"/>
          <w:lang w:val="es-ES" w:eastAsia="es-ES"/>
        </w:rPr>
        <w:t xml:space="preserve"> a la vida digna, seguridad social, igualdad y al mínimo vital que estima vulnerados por la entidad accionada. </w:t>
      </w:r>
    </w:p>
    <w:p w:rsidR="00756044"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51087B"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ES" w:eastAsia="es-ES"/>
        </w:rPr>
        <w:lastRenderedPageBreak/>
        <w:t xml:space="preserve">  </w:t>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00BB3142" w:rsidRPr="00757313">
        <w:rPr>
          <w:rFonts w:ascii="Gadugi" w:eastAsia="Times New Roman" w:hAnsi="Gadugi" w:cs="Arial"/>
          <w:color w:val="000000"/>
          <w:sz w:val="24"/>
          <w:szCs w:val="24"/>
          <w:lang w:val="es-419" w:eastAsia="es-ES"/>
        </w:rPr>
        <w:t xml:space="preserve">Narró, en síntesis, </w:t>
      </w:r>
      <w:r w:rsidR="0051087B" w:rsidRPr="00757313">
        <w:rPr>
          <w:rFonts w:ascii="Gadugi" w:eastAsia="Times New Roman" w:hAnsi="Gadugi" w:cs="Arial"/>
          <w:color w:val="000000"/>
          <w:sz w:val="24"/>
          <w:szCs w:val="24"/>
          <w:lang w:val="es-419" w:eastAsia="es-ES"/>
        </w:rPr>
        <w:t>que en el año 2001, le solicitó a Colpensiones la indemnización sustitutiva, la cual le fue reconocida por valor de $508.781.oo</w:t>
      </w:r>
      <w:r w:rsidR="004F119E" w:rsidRPr="00757313">
        <w:rPr>
          <w:rFonts w:ascii="Gadugi" w:eastAsia="Times New Roman" w:hAnsi="Gadugi" w:cs="Arial"/>
          <w:color w:val="000000"/>
          <w:sz w:val="24"/>
          <w:szCs w:val="24"/>
          <w:lang w:val="es-419" w:eastAsia="es-ES"/>
        </w:rPr>
        <w:t>: en</w:t>
      </w:r>
      <w:r w:rsidR="0051087B" w:rsidRPr="00757313">
        <w:rPr>
          <w:rFonts w:ascii="Gadugi" w:eastAsia="Times New Roman" w:hAnsi="Gadugi" w:cs="Arial"/>
          <w:color w:val="000000"/>
          <w:sz w:val="24"/>
          <w:szCs w:val="24"/>
          <w:lang w:val="es-419" w:eastAsia="es-ES"/>
        </w:rPr>
        <w:t xml:space="preserve"> la actualidad</w:t>
      </w:r>
      <w:r w:rsidR="00BB3142" w:rsidRPr="00757313">
        <w:rPr>
          <w:rFonts w:ascii="Gadugi" w:eastAsia="Times New Roman" w:hAnsi="Gadugi" w:cs="Arial"/>
          <w:color w:val="000000"/>
          <w:sz w:val="24"/>
          <w:szCs w:val="24"/>
          <w:lang w:val="es-419" w:eastAsia="es-ES"/>
        </w:rPr>
        <w:t xml:space="preserve"> cuenta con 74 años y hace varios viene padeciendo algunas pa</w:t>
      </w:r>
      <w:r w:rsidR="0051087B" w:rsidRPr="00757313">
        <w:rPr>
          <w:rFonts w:ascii="Gadugi" w:eastAsia="Times New Roman" w:hAnsi="Gadugi" w:cs="Arial"/>
          <w:color w:val="000000"/>
          <w:sz w:val="24"/>
          <w:szCs w:val="24"/>
          <w:lang w:val="es-419" w:eastAsia="es-ES"/>
        </w:rPr>
        <w:t>tol</w:t>
      </w:r>
      <w:r w:rsidR="004F119E" w:rsidRPr="00757313">
        <w:rPr>
          <w:rFonts w:ascii="Gadugi" w:eastAsia="Times New Roman" w:hAnsi="Gadugi" w:cs="Arial"/>
          <w:color w:val="000000"/>
          <w:sz w:val="24"/>
          <w:szCs w:val="24"/>
          <w:lang w:val="es-419" w:eastAsia="es-ES"/>
        </w:rPr>
        <w:t>o</w:t>
      </w:r>
      <w:r w:rsidR="0051087B" w:rsidRPr="00757313">
        <w:rPr>
          <w:rFonts w:ascii="Gadugi" w:eastAsia="Times New Roman" w:hAnsi="Gadugi" w:cs="Arial"/>
          <w:color w:val="000000"/>
          <w:sz w:val="24"/>
          <w:szCs w:val="24"/>
          <w:lang w:val="es-419" w:eastAsia="es-ES"/>
        </w:rPr>
        <w:t>g</w:t>
      </w:r>
      <w:r w:rsidR="004F119E" w:rsidRPr="00757313">
        <w:rPr>
          <w:rFonts w:ascii="Gadugi" w:eastAsia="Times New Roman" w:hAnsi="Gadugi" w:cs="Arial"/>
          <w:color w:val="000000"/>
          <w:sz w:val="24"/>
          <w:szCs w:val="24"/>
          <w:lang w:val="es-419" w:eastAsia="es-ES"/>
        </w:rPr>
        <w:t>í</w:t>
      </w:r>
      <w:r w:rsidR="0051087B" w:rsidRPr="00757313">
        <w:rPr>
          <w:rFonts w:ascii="Gadugi" w:eastAsia="Times New Roman" w:hAnsi="Gadugi" w:cs="Arial"/>
          <w:color w:val="000000"/>
          <w:sz w:val="24"/>
          <w:szCs w:val="24"/>
          <w:lang w:val="es-419" w:eastAsia="es-ES"/>
        </w:rPr>
        <w:t xml:space="preserve">as que le impiden laborar. </w:t>
      </w:r>
    </w:p>
    <w:p w:rsidR="005B6A3A" w:rsidRPr="00757313" w:rsidRDefault="005B6A3A"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5B6A3A" w:rsidRPr="00757313" w:rsidRDefault="005B6A3A"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t>Pese a que recibió esa subvención, siguió cotizando al fondo pensional sin que Colpensiones le hubiera objetado nunca su calidad de asegurada</w:t>
      </w:r>
      <w:r w:rsidR="000209D4" w:rsidRPr="00757313">
        <w:rPr>
          <w:rFonts w:ascii="Gadugi" w:eastAsia="Times New Roman" w:hAnsi="Gadugi" w:cs="Arial"/>
          <w:color w:val="000000"/>
          <w:sz w:val="24"/>
          <w:szCs w:val="24"/>
          <w:lang w:val="es-419" w:eastAsia="es-ES"/>
        </w:rPr>
        <w:t>; tanto así que en primera opo</w:t>
      </w:r>
      <w:r w:rsidR="004F119E" w:rsidRPr="00757313">
        <w:rPr>
          <w:rFonts w:ascii="Gadugi" w:eastAsia="Times New Roman" w:hAnsi="Gadugi" w:cs="Arial"/>
          <w:color w:val="000000"/>
          <w:sz w:val="24"/>
          <w:szCs w:val="24"/>
          <w:lang w:val="es-419" w:eastAsia="es-ES"/>
        </w:rPr>
        <w:t>r</w:t>
      </w:r>
      <w:r w:rsidR="000209D4" w:rsidRPr="00757313">
        <w:rPr>
          <w:rFonts w:ascii="Gadugi" w:eastAsia="Times New Roman" w:hAnsi="Gadugi" w:cs="Arial"/>
          <w:color w:val="000000"/>
          <w:sz w:val="24"/>
          <w:szCs w:val="24"/>
          <w:lang w:val="es-419" w:eastAsia="es-ES"/>
        </w:rPr>
        <w:t xml:space="preserve">tunidad fue el fondo pensional quien calificó su </w:t>
      </w:r>
      <w:r w:rsidR="001F2B5B" w:rsidRPr="00757313">
        <w:rPr>
          <w:rFonts w:ascii="Gadugi" w:eastAsia="Times New Roman" w:hAnsi="Gadugi" w:cs="Arial"/>
          <w:color w:val="000000"/>
          <w:sz w:val="24"/>
          <w:szCs w:val="24"/>
          <w:lang w:val="es-419" w:eastAsia="es-ES"/>
        </w:rPr>
        <w:t>pérdida de capacidad laboral</w:t>
      </w:r>
      <w:r w:rsidR="000209D4" w:rsidRPr="00757313">
        <w:rPr>
          <w:rFonts w:ascii="Gadugi" w:eastAsia="Times New Roman" w:hAnsi="Gadugi" w:cs="Arial"/>
          <w:color w:val="000000"/>
          <w:sz w:val="24"/>
          <w:szCs w:val="24"/>
          <w:lang w:val="es-419" w:eastAsia="es-ES"/>
        </w:rPr>
        <w:t>, el que finalmente fue determinado</w:t>
      </w:r>
      <w:r w:rsidR="001F2B5B" w:rsidRPr="00757313">
        <w:rPr>
          <w:rFonts w:ascii="Gadugi" w:eastAsia="Times New Roman" w:hAnsi="Gadugi" w:cs="Arial"/>
          <w:color w:val="000000"/>
          <w:sz w:val="24"/>
          <w:szCs w:val="24"/>
          <w:lang w:val="es-419" w:eastAsia="es-ES"/>
        </w:rPr>
        <w:t xml:space="preserve"> en 58.66% por la Junta Regional de Invalidez de Risaralda, mediante el dictamen No. 29380724-791 del 8 de agosto del 2018, en el que se estableció también, que la fecha de estructuración era del 14 de septiembre del 2017. </w:t>
      </w:r>
    </w:p>
    <w:p w:rsidR="001F2B5B" w:rsidRPr="00757313" w:rsidRDefault="001F2B5B"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D0191E" w:rsidRPr="00757313" w:rsidRDefault="001F2B5B"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t>Así las cosas, y en el entendido de que aportó 231,43 semanas para los ciclos comprendidos entre el 1° de febrero del 2014 hasta el 31 julio del 2018, le solicitó a Colpensiones el reconocimiento y pago de su pensión de invalidez, la que fue negada mediante la resolución No.</w:t>
      </w:r>
      <w:r w:rsidR="00CC78A7" w:rsidRPr="00757313">
        <w:rPr>
          <w:rFonts w:ascii="Gadugi" w:eastAsia="Times New Roman" w:hAnsi="Gadugi" w:cs="Arial"/>
          <w:color w:val="000000"/>
          <w:sz w:val="24"/>
          <w:szCs w:val="24"/>
          <w:lang w:val="es-419" w:eastAsia="es-ES"/>
        </w:rPr>
        <w:t xml:space="preserve"> SUB</w:t>
      </w:r>
      <w:r w:rsidRPr="00757313">
        <w:rPr>
          <w:rFonts w:ascii="Gadugi" w:eastAsia="Times New Roman" w:hAnsi="Gadugi" w:cs="Arial"/>
          <w:color w:val="000000"/>
          <w:sz w:val="24"/>
          <w:szCs w:val="24"/>
          <w:lang w:val="es-419" w:eastAsia="es-ES"/>
        </w:rPr>
        <w:t xml:space="preserve"> </w:t>
      </w:r>
      <w:r w:rsidR="00296F35" w:rsidRPr="00757313">
        <w:rPr>
          <w:rFonts w:ascii="Gadugi" w:eastAsia="Times New Roman" w:hAnsi="Gadugi" w:cs="Arial"/>
          <w:color w:val="000000"/>
          <w:sz w:val="24"/>
          <w:szCs w:val="24"/>
          <w:lang w:val="es-419" w:eastAsia="es-ES"/>
        </w:rPr>
        <w:t xml:space="preserve">326557 del 18 de diciembre del </w:t>
      </w:r>
      <w:r w:rsidR="00CC78A7" w:rsidRPr="00757313">
        <w:rPr>
          <w:rFonts w:ascii="Gadugi" w:eastAsia="Times New Roman" w:hAnsi="Gadugi" w:cs="Arial"/>
          <w:color w:val="000000"/>
          <w:sz w:val="24"/>
          <w:szCs w:val="24"/>
          <w:lang w:val="es-419" w:eastAsia="es-ES"/>
        </w:rPr>
        <w:t>2018, confirmada por la resolución No. DIR 1327 del 4 de febrero del 2019</w:t>
      </w:r>
      <w:r w:rsidR="00D0191E" w:rsidRPr="00757313">
        <w:rPr>
          <w:rFonts w:ascii="Gadugi" w:eastAsia="Times New Roman" w:hAnsi="Gadugi" w:cs="Arial"/>
          <w:color w:val="000000"/>
          <w:sz w:val="24"/>
          <w:szCs w:val="24"/>
          <w:lang w:val="es-419" w:eastAsia="es-ES"/>
        </w:rPr>
        <w:t xml:space="preserve">, ya que la prestación que pidió </w:t>
      </w:r>
      <w:r w:rsidR="004F119E" w:rsidRPr="00757313">
        <w:rPr>
          <w:rFonts w:ascii="Gadugi" w:eastAsia="Times New Roman" w:hAnsi="Gadugi" w:cs="Arial"/>
          <w:color w:val="000000"/>
          <w:sz w:val="24"/>
          <w:szCs w:val="24"/>
          <w:lang w:val="es-419" w:eastAsia="es-ES"/>
        </w:rPr>
        <w:t>es in</w:t>
      </w:r>
      <w:r w:rsidR="00D0191E" w:rsidRPr="00757313">
        <w:rPr>
          <w:rFonts w:ascii="Gadugi" w:eastAsia="Times New Roman" w:hAnsi="Gadugi" w:cs="Arial"/>
          <w:color w:val="000000"/>
          <w:sz w:val="24"/>
          <w:szCs w:val="24"/>
          <w:lang w:val="es-419" w:eastAsia="es-ES"/>
        </w:rPr>
        <w:t>compatible con la indemnización sustitutiva de vejez. Finalmente, mediante la resolución SUB 83874 del 6 de abril del 2019, se negó una solictud de recovatoria que incoó contra la DIR 1327.</w:t>
      </w:r>
    </w:p>
    <w:p w:rsidR="00D0191E" w:rsidRPr="00757313" w:rsidRDefault="00D0191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1F2B5B" w:rsidRPr="00757313" w:rsidRDefault="00D0191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t xml:space="preserve">Por lo expuesto pidió, la protección de sus derechos fundamentales, y entonces que se le ordene a Colpensiones reconocer y pagar la pensión de invalidez que reclama. </w:t>
      </w:r>
    </w:p>
    <w:p w:rsidR="00D0191E" w:rsidRPr="00757313" w:rsidRDefault="00D0191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D0191E" w:rsidRPr="00757313" w:rsidRDefault="00D0191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t>En primera instancia se corrió traslado a varias dependencias de Colpensiones</w:t>
      </w:r>
      <w:r w:rsidR="00A870DE" w:rsidRPr="00757313">
        <w:rPr>
          <w:rFonts w:ascii="Gadugi" w:eastAsia="Times New Roman" w:hAnsi="Gadugi" w:cs="Arial"/>
          <w:color w:val="000000"/>
          <w:sz w:val="24"/>
          <w:szCs w:val="24"/>
          <w:lang w:val="es-419" w:eastAsia="es-ES"/>
        </w:rPr>
        <w:t>,</w:t>
      </w:r>
      <w:r w:rsidRPr="00757313">
        <w:rPr>
          <w:rFonts w:ascii="Gadugi" w:eastAsia="Times New Roman" w:hAnsi="Gadugi" w:cs="Arial"/>
          <w:color w:val="000000"/>
          <w:sz w:val="24"/>
          <w:szCs w:val="24"/>
          <w:lang w:val="es-419" w:eastAsia="es-ES"/>
        </w:rPr>
        <w:t xml:space="preserve"> entre ellas</w:t>
      </w:r>
      <w:r w:rsidR="00A870DE" w:rsidRPr="00757313">
        <w:rPr>
          <w:rFonts w:ascii="Gadugi" w:eastAsia="Times New Roman" w:hAnsi="Gadugi" w:cs="Arial"/>
          <w:color w:val="000000"/>
          <w:sz w:val="24"/>
          <w:szCs w:val="24"/>
          <w:lang w:val="es-419" w:eastAsia="es-ES"/>
        </w:rPr>
        <w:t>, a la Su</w:t>
      </w:r>
      <w:r w:rsidR="004F119E" w:rsidRPr="00757313">
        <w:rPr>
          <w:rFonts w:ascii="Gadugi" w:eastAsia="Times New Roman" w:hAnsi="Gadugi" w:cs="Arial"/>
          <w:color w:val="000000"/>
          <w:sz w:val="24"/>
          <w:szCs w:val="24"/>
          <w:lang w:val="es-419" w:eastAsia="es-ES"/>
        </w:rPr>
        <w:t>b</w:t>
      </w:r>
      <w:r w:rsidR="00A870DE" w:rsidRPr="00757313">
        <w:rPr>
          <w:rFonts w:ascii="Gadugi" w:eastAsia="Times New Roman" w:hAnsi="Gadugi" w:cs="Arial"/>
          <w:color w:val="000000"/>
          <w:sz w:val="24"/>
          <w:szCs w:val="24"/>
          <w:lang w:val="es-419" w:eastAsia="es-ES"/>
        </w:rPr>
        <w:t>dirección de Determinaciones IV, y a la Dirección de Prestaciones Económicas, que fueron las encargadas de proferir los actos administrativos que aquí se reprochan (f. 58, c. 1).</w:t>
      </w:r>
      <w:r w:rsidRPr="00757313">
        <w:rPr>
          <w:rFonts w:ascii="Gadugi" w:eastAsia="Times New Roman" w:hAnsi="Gadugi" w:cs="Arial"/>
          <w:color w:val="000000"/>
          <w:sz w:val="24"/>
          <w:szCs w:val="24"/>
          <w:lang w:val="es-419" w:eastAsia="es-ES"/>
        </w:rPr>
        <w:t xml:space="preserve"> </w:t>
      </w:r>
    </w:p>
    <w:p w:rsidR="00772BEE" w:rsidRPr="00757313" w:rsidRDefault="001F2B5B"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p>
    <w:p w:rsidR="00A870DE" w:rsidRPr="00757313" w:rsidRDefault="00772BE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419" w:eastAsia="es-ES"/>
        </w:rPr>
        <w:t xml:space="preserve">  </w:t>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00756044" w:rsidRPr="00757313">
        <w:rPr>
          <w:rFonts w:ascii="Gadugi" w:eastAsia="Times New Roman" w:hAnsi="Gadugi" w:cs="Arial"/>
          <w:color w:val="000000"/>
          <w:sz w:val="24"/>
          <w:szCs w:val="24"/>
          <w:lang w:val="es-ES" w:eastAsia="es-ES"/>
        </w:rPr>
        <w:t xml:space="preserve">Intervino </w:t>
      </w:r>
      <w:r w:rsidR="00A870DE" w:rsidRPr="00757313">
        <w:rPr>
          <w:rFonts w:ascii="Gadugi" w:eastAsia="Times New Roman" w:hAnsi="Gadugi" w:cs="Arial"/>
          <w:color w:val="000000"/>
          <w:sz w:val="24"/>
          <w:szCs w:val="24"/>
          <w:lang w:val="es-ES" w:eastAsia="es-ES"/>
        </w:rPr>
        <w:t>la Dirección de Acciones Constitucionales de la entidad para hacer valer el carácter subsidiario de la acción de tutela y la obligación que tiene la judicatura de defender el patrimonio público de Colpensiones. Pidió declarar improcedente la protección y anexó las tres resoluciones de las que habló el actor</w:t>
      </w:r>
      <w:r w:rsidR="0051087B" w:rsidRPr="00757313">
        <w:rPr>
          <w:rFonts w:ascii="Gadugi" w:eastAsia="Times New Roman" w:hAnsi="Gadugi" w:cs="Arial"/>
          <w:color w:val="000000"/>
          <w:sz w:val="24"/>
          <w:szCs w:val="24"/>
          <w:lang w:val="es-ES" w:eastAsia="es-ES"/>
        </w:rPr>
        <w:t xml:space="preserve"> (f. 61, c. 1)</w:t>
      </w:r>
      <w:r w:rsidR="00A870DE" w:rsidRPr="00757313">
        <w:rPr>
          <w:rFonts w:ascii="Gadugi" w:eastAsia="Times New Roman" w:hAnsi="Gadugi" w:cs="Arial"/>
          <w:color w:val="000000"/>
          <w:sz w:val="24"/>
          <w:szCs w:val="24"/>
          <w:lang w:val="es-ES" w:eastAsia="es-ES"/>
        </w:rPr>
        <w:t xml:space="preserve">. </w:t>
      </w:r>
    </w:p>
    <w:p w:rsidR="00756044"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 xml:space="preserve"> </w:t>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p>
    <w:p w:rsidR="0028089C"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t xml:space="preserve">Sobrevino el fallo de primer grado que </w:t>
      </w:r>
      <w:r w:rsidR="00A870DE" w:rsidRPr="00757313">
        <w:rPr>
          <w:rFonts w:ascii="Gadugi" w:eastAsia="Times New Roman" w:hAnsi="Gadugi" w:cs="Arial"/>
          <w:color w:val="000000"/>
          <w:sz w:val="24"/>
          <w:szCs w:val="24"/>
          <w:lang w:val="es-ES" w:eastAsia="es-ES"/>
        </w:rPr>
        <w:t xml:space="preserve">concedió la protección, </w:t>
      </w:r>
      <w:r w:rsidR="004F119E" w:rsidRPr="00757313">
        <w:rPr>
          <w:rFonts w:ascii="Gadugi" w:eastAsia="Times New Roman" w:hAnsi="Gadugi" w:cs="Arial"/>
          <w:color w:val="000000"/>
          <w:sz w:val="24"/>
          <w:szCs w:val="24"/>
          <w:lang w:val="es-419" w:eastAsia="es-ES"/>
        </w:rPr>
        <w:t>por cuanto</w:t>
      </w:r>
      <w:r w:rsidR="00A870DE" w:rsidRPr="00757313">
        <w:rPr>
          <w:rFonts w:ascii="Gadugi" w:eastAsia="Times New Roman" w:hAnsi="Gadugi" w:cs="Arial"/>
          <w:color w:val="000000"/>
          <w:sz w:val="24"/>
          <w:szCs w:val="24"/>
          <w:lang w:val="es-ES" w:eastAsia="es-ES"/>
        </w:rPr>
        <w:t>, según jurisprudencia que citó, el hecho de que se haya reconocido con anterioridad la indemnización sustitutiva de la</w:t>
      </w:r>
      <w:r w:rsidR="0028089C" w:rsidRPr="00757313">
        <w:rPr>
          <w:rFonts w:ascii="Gadugi" w:eastAsia="Times New Roman" w:hAnsi="Gadugi" w:cs="Arial"/>
          <w:color w:val="000000"/>
          <w:sz w:val="24"/>
          <w:szCs w:val="24"/>
          <w:lang w:val="es-ES" w:eastAsia="es-ES"/>
        </w:rPr>
        <w:t xml:space="preserve"> pensión de vejez al accionante</w:t>
      </w:r>
      <w:r w:rsidR="00A870DE" w:rsidRPr="00757313">
        <w:rPr>
          <w:rFonts w:ascii="Gadugi" w:eastAsia="Times New Roman" w:hAnsi="Gadugi" w:cs="Arial"/>
          <w:color w:val="000000"/>
          <w:sz w:val="24"/>
          <w:szCs w:val="24"/>
          <w:lang w:val="es-ES" w:eastAsia="es-ES"/>
        </w:rPr>
        <w:t>,</w:t>
      </w:r>
      <w:r w:rsidR="0028089C" w:rsidRPr="00757313">
        <w:rPr>
          <w:rFonts w:ascii="Gadugi" w:eastAsia="Times New Roman" w:hAnsi="Gadugi" w:cs="Arial"/>
          <w:color w:val="000000"/>
          <w:sz w:val="24"/>
          <w:szCs w:val="24"/>
          <w:lang w:val="es-ES" w:eastAsia="es-ES"/>
        </w:rPr>
        <w:t xml:space="preserve"> no es óbice para que se pueda estudiar nuevamente la posibilidad de acceder a una pensión de invalidez</w:t>
      </w:r>
      <w:r w:rsidR="0051087B" w:rsidRPr="00757313">
        <w:rPr>
          <w:rFonts w:ascii="Gadugi" w:eastAsia="Times New Roman" w:hAnsi="Gadugi" w:cs="Arial"/>
          <w:color w:val="000000"/>
          <w:sz w:val="24"/>
          <w:szCs w:val="24"/>
          <w:lang w:val="es-ES" w:eastAsia="es-ES"/>
        </w:rPr>
        <w:t xml:space="preserve"> (f. 73, c. 1)</w:t>
      </w:r>
      <w:r w:rsidR="0028089C" w:rsidRPr="00757313">
        <w:rPr>
          <w:rFonts w:ascii="Gadugi" w:eastAsia="Times New Roman" w:hAnsi="Gadugi" w:cs="Arial"/>
          <w:color w:val="000000"/>
          <w:sz w:val="24"/>
          <w:szCs w:val="24"/>
          <w:lang w:val="es-ES" w:eastAsia="es-ES"/>
        </w:rPr>
        <w:t xml:space="preserve">. </w:t>
      </w:r>
    </w:p>
    <w:p w:rsidR="0028089C" w:rsidRPr="00757313" w:rsidRDefault="0028089C"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A870DE" w:rsidRPr="00757313" w:rsidRDefault="0028089C"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t xml:space="preserve">Impugnó la encartada para recalcar los mismos argumentos que esgrimió en la contestación de la demanda, solo agregó que </w:t>
      </w:r>
      <w:r w:rsidRPr="00757313">
        <w:rPr>
          <w:rFonts w:ascii="Gadugi" w:eastAsia="Times New Roman" w:hAnsi="Gadugi" w:cs="Arial"/>
          <w:i/>
          <w:color w:val="000000"/>
          <w:sz w:val="24"/>
          <w:szCs w:val="24"/>
          <w:lang w:val="es-ES" w:eastAsia="es-ES"/>
        </w:rPr>
        <w:t>“</w:t>
      </w:r>
      <w:r w:rsidRPr="00757313">
        <w:rPr>
          <w:rFonts w:ascii="Gadugi" w:eastAsia="Times New Roman" w:hAnsi="Gadugi" w:cs="Arial"/>
          <w:i/>
          <w:color w:val="000000"/>
          <w:szCs w:val="24"/>
          <w:lang w:val="es-ES" w:eastAsia="es-ES"/>
        </w:rPr>
        <w:t>El artículo 6 del Decreto 1730 de 2001, establece en cuanto a la incompatibilidad de la presente prestación que “salvo lo previsto en el artículo 53 del Decreto 1295 de 1994, las indemnizaciones sustitutivas de vejez y de invalidez, son incompatibles con las pensiones de vejez y de invalidez. Las cotizaciones consideradas en el cálculo de la indemnización sustitutiva no podrán volver a ser tenidas en cuenta para ningún otro efecto</w:t>
      </w:r>
      <w:r w:rsidRPr="00757313">
        <w:rPr>
          <w:rFonts w:ascii="Gadugi" w:eastAsia="Times New Roman" w:hAnsi="Gadugi" w:cs="Arial"/>
          <w:i/>
          <w:color w:val="000000"/>
          <w:sz w:val="24"/>
          <w:szCs w:val="24"/>
          <w:lang w:val="es-ES" w:eastAsia="es-ES"/>
        </w:rPr>
        <w:t xml:space="preserve">” </w:t>
      </w:r>
      <w:r w:rsidRPr="00757313">
        <w:rPr>
          <w:rFonts w:ascii="Gadugi" w:eastAsia="Times New Roman" w:hAnsi="Gadugi" w:cs="Arial"/>
          <w:color w:val="000000"/>
          <w:sz w:val="24"/>
          <w:szCs w:val="24"/>
          <w:lang w:val="es-ES" w:eastAsia="es-ES"/>
        </w:rPr>
        <w:t>(f. 84v, c. 1).</w:t>
      </w:r>
    </w:p>
    <w:p w:rsidR="00A870DE" w:rsidRPr="00757313" w:rsidRDefault="00A870DE" w:rsidP="00757313">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28089C" w:rsidRPr="00757313" w:rsidRDefault="0028089C" w:rsidP="00757313">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757313" w:rsidRDefault="00756044" w:rsidP="00757313">
      <w:pPr>
        <w:tabs>
          <w:tab w:val="left" w:pos="2835"/>
        </w:tabs>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757313">
        <w:rPr>
          <w:rFonts w:ascii="Gadugi" w:eastAsia="Times New Roman" w:hAnsi="Gadugi" w:cs="Arial"/>
          <w:b/>
          <w:color w:val="000000"/>
          <w:sz w:val="24"/>
          <w:szCs w:val="24"/>
          <w:lang w:val="es-ES" w:eastAsia="es-ES"/>
        </w:rPr>
        <w:t>CONSIDERACIONES</w:t>
      </w:r>
    </w:p>
    <w:p w:rsidR="00756044" w:rsidRPr="00757313" w:rsidRDefault="00756044" w:rsidP="00757313">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ES" w:eastAsia="es-ES"/>
        </w:rPr>
        <w:t xml:space="preserve">  </w:t>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r w:rsidRPr="00757313">
        <w:rPr>
          <w:rFonts w:ascii="Gadugi" w:eastAsia="Times New Roman" w:hAnsi="Gadugi" w:cs="Arial"/>
          <w:color w:val="000000"/>
          <w:sz w:val="24"/>
          <w:szCs w:val="24"/>
          <w:lang w:val="es-ES" w:eastAsia="es-ES"/>
        </w:rPr>
        <w:tab/>
      </w:r>
    </w:p>
    <w:p w:rsidR="00756044" w:rsidRPr="00757313" w:rsidRDefault="00756044" w:rsidP="00757313">
      <w:pPr>
        <w:autoSpaceDE w:val="0"/>
        <w:autoSpaceDN w:val="0"/>
        <w:adjustRightInd w:val="0"/>
        <w:spacing w:after="0" w:line="276" w:lineRule="auto"/>
        <w:jc w:val="both"/>
        <w:rPr>
          <w:rFonts w:ascii="Gadugi" w:eastAsia="Times New Roman" w:hAnsi="Gadugi" w:cs="Arial"/>
          <w:color w:val="000000"/>
          <w:sz w:val="24"/>
          <w:szCs w:val="24"/>
          <w:lang w:val="es-ES" w:eastAsia="es-ES"/>
        </w:rPr>
      </w:pPr>
    </w:p>
    <w:p w:rsidR="00756044" w:rsidRPr="00757313" w:rsidRDefault="00756044" w:rsidP="00757313">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757313">
        <w:rPr>
          <w:rFonts w:ascii="Gadugi" w:eastAsia="Times New Roman" w:hAnsi="Gadugi" w:cs="Arial"/>
          <w:color w:val="000000"/>
          <w:sz w:val="24"/>
          <w:szCs w:val="24"/>
          <w:lang w:val="es-419" w:eastAsia="es-ES"/>
        </w:rPr>
        <w:t xml:space="preserve">  </w:t>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419" w:eastAsia="es-ES"/>
        </w:rPr>
        <w:tab/>
      </w:r>
      <w:r w:rsidRPr="00757313">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757313">
        <w:rPr>
          <w:rFonts w:ascii="Gadugi" w:eastAsia="Times New Roman" w:hAnsi="Gadugi" w:cs="Times New Roman"/>
          <w:color w:val="000000"/>
          <w:sz w:val="24"/>
          <w:szCs w:val="24"/>
          <w:lang w:val="es-ES" w:eastAsia="es-ES"/>
        </w:rPr>
        <w:t xml:space="preserve">  </w:t>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t xml:space="preserve">En el caso concreto, </w:t>
      </w:r>
      <w:r w:rsidR="00E505C4" w:rsidRPr="00757313">
        <w:rPr>
          <w:rFonts w:ascii="Gadugi" w:eastAsia="Times New Roman" w:hAnsi="Gadugi" w:cs="Times New Roman"/>
          <w:color w:val="000000"/>
          <w:sz w:val="24"/>
          <w:szCs w:val="24"/>
          <w:lang w:val="es-ES" w:eastAsia="es-ES"/>
        </w:rPr>
        <w:t>Amanda Rodríguez Zapata</w:t>
      </w:r>
      <w:r w:rsidR="003069A3" w:rsidRPr="00757313">
        <w:rPr>
          <w:rFonts w:ascii="Gadugi" w:eastAsia="Times New Roman" w:hAnsi="Gadugi" w:cs="Times New Roman"/>
          <w:color w:val="000000"/>
          <w:sz w:val="24"/>
          <w:szCs w:val="24"/>
          <w:lang w:val="es-419" w:eastAsia="es-ES"/>
        </w:rPr>
        <w:t xml:space="preserve"> </w:t>
      </w:r>
      <w:r w:rsidRPr="00757313">
        <w:rPr>
          <w:rFonts w:ascii="Gadugi" w:eastAsia="Times New Roman" w:hAnsi="Gadugi" w:cs="Times New Roman"/>
          <w:color w:val="000000"/>
          <w:sz w:val="24"/>
          <w:szCs w:val="24"/>
          <w:lang w:val="es-ES" w:eastAsia="es-ES"/>
        </w:rPr>
        <w:t xml:space="preserve">dirigió su reclamo contra </w:t>
      </w:r>
      <w:r w:rsidR="00A71547" w:rsidRPr="00757313">
        <w:rPr>
          <w:rFonts w:ascii="Gadugi" w:eastAsia="Times New Roman" w:hAnsi="Gadugi" w:cs="Times New Roman"/>
          <w:color w:val="000000"/>
          <w:sz w:val="24"/>
          <w:szCs w:val="24"/>
          <w:lang w:val="es-ES" w:eastAsia="es-ES"/>
        </w:rPr>
        <w:t>Colpensiones</w:t>
      </w:r>
      <w:r w:rsidRPr="00757313">
        <w:rPr>
          <w:rFonts w:ascii="Gadugi" w:eastAsia="Times New Roman" w:hAnsi="Gadugi" w:cs="Times New Roman"/>
          <w:color w:val="000000"/>
          <w:sz w:val="24"/>
          <w:szCs w:val="24"/>
          <w:lang w:val="es-ES" w:eastAsia="es-ES"/>
        </w:rPr>
        <w:t xml:space="preserve"> con el fin de que se resuelva</w:t>
      </w:r>
      <w:r w:rsidRPr="00757313">
        <w:rPr>
          <w:rFonts w:ascii="Gadugi" w:eastAsia="Times New Roman" w:hAnsi="Gadugi" w:cs="Times New Roman"/>
          <w:color w:val="000000"/>
          <w:sz w:val="24"/>
          <w:szCs w:val="24"/>
          <w:lang w:val="es-419" w:eastAsia="es-ES"/>
        </w:rPr>
        <w:t xml:space="preserve"> </w:t>
      </w:r>
      <w:r w:rsidRPr="00757313">
        <w:rPr>
          <w:rFonts w:ascii="Gadugi" w:eastAsia="Times New Roman" w:hAnsi="Gadugi" w:cs="Times New Roman"/>
          <w:color w:val="000000"/>
          <w:sz w:val="24"/>
          <w:szCs w:val="24"/>
          <w:lang w:val="es-ES" w:eastAsia="es-ES"/>
        </w:rPr>
        <w:t xml:space="preserve">favorablemente su petición de reconocimiento y pago de </w:t>
      </w:r>
      <w:r w:rsidRPr="00757313">
        <w:rPr>
          <w:rFonts w:ascii="Gadugi" w:eastAsia="Times New Roman" w:hAnsi="Gadugi" w:cs="Times New Roman"/>
          <w:color w:val="000000"/>
          <w:sz w:val="24"/>
          <w:szCs w:val="24"/>
          <w:lang w:val="es-419" w:eastAsia="es-ES"/>
        </w:rPr>
        <w:t xml:space="preserve">la </w:t>
      </w:r>
      <w:r w:rsidRPr="00757313">
        <w:rPr>
          <w:rFonts w:ascii="Gadugi" w:eastAsia="Times New Roman" w:hAnsi="Gadugi" w:cs="Times New Roman"/>
          <w:color w:val="000000"/>
          <w:sz w:val="24"/>
          <w:szCs w:val="24"/>
          <w:lang w:val="es-ES" w:eastAsia="es-ES"/>
        </w:rPr>
        <w:t xml:space="preserve">pensión de </w:t>
      </w:r>
      <w:r w:rsidR="006D7F5E" w:rsidRPr="00757313">
        <w:rPr>
          <w:rFonts w:ascii="Gadugi" w:eastAsia="Times New Roman" w:hAnsi="Gadugi" w:cs="Times New Roman"/>
          <w:color w:val="000000"/>
          <w:sz w:val="24"/>
          <w:szCs w:val="24"/>
          <w:lang w:val="es-ES" w:eastAsia="es-ES"/>
        </w:rPr>
        <w:t>invalidez</w:t>
      </w:r>
      <w:r w:rsidRPr="00757313">
        <w:rPr>
          <w:rFonts w:ascii="Gadugi" w:eastAsia="Times New Roman" w:hAnsi="Gadugi" w:cs="Times New Roman"/>
          <w:color w:val="000000"/>
          <w:sz w:val="24"/>
          <w:szCs w:val="24"/>
          <w:lang w:val="es-ES" w:eastAsia="es-ES"/>
        </w:rPr>
        <w:t xml:space="preserve">, desechada por cuanto </w:t>
      </w:r>
      <w:r w:rsidR="00772BEE" w:rsidRPr="00757313">
        <w:rPr>
          <w:rFonts w:ascii="Gadugi" w:eastAsia="Times New Roman" w:hAnsi="Gadugi" w:cs="Times New Roman"/>
          <w:color w:val="000000"/>
          <w:sz w:val="24"/>
          <w:szCs w:val="24"/>
          <w:lang w:val="es-419" w:eastAsia="es-ES"/>
        </w:rPr>
        <w:t>a</w:t>
      </w:r>
      <w:r w:rsidR="006D7F5E" w:rsidRPr="00757313">
        <w:rPr>
          <w:rFonts w:ascii="Gadugi" w:eastAsia="Times New Roman" w:hAnsi="Gadugi" w:cs="Times New Roman"/>
          <w:color w:val="000000"/>
          <w:sz w:val="24"/>
          <w:szCs w:val="24"/>
          <w:lang w:val="es-ES" w:eastAsia="es-ES"/>
        </w:rPr>
        <w:t>ntaño</w:t>
      </w:r>
      <w:r w:rsidRPr="00757313">
        <w:rPr>
          <w:rFonts w:ascii="Gadugi" w:eastAsia="Times New Roman" w:hAnsi="Gadugi" w:cs="Times New Roman"/>
          <w:color w:val="000000"/>
          <w:sz w:val="24"/>
          <w:szCs w:val="24"/>
          <w:lang w:val="es-ES" w:eastAsia="es-ES"/>
        </w:rPr>
        <w:t xml:space="preserve"> reclamó la indemnización sustitutiva. </w:t>
      </w:r>
    </w:p>
    <w:p w:rsidR="0028089C" w:rsidRPr="00757313" w:rsidRDefault="0028089C"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56044" w:rsidRPr="00757313" w:rsidRDefault="00570DA5" w:rsidP="00757313">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Pr="00757313">
        <w:rPr>
          <w:rFonts w:ascii="Gadugi" w:eastAsia="Times New Roman" w:hAnsi="Gadugi" w:cs="Times New Roman"/>
          <w:color w:val="000000"/>
          <w:sz w:val="24"/>
          <w:szCs w:val="24"/>
          <w:lang w:val="es-ES" w:eastAsia="es-ES"/>
        </w:rPr>
        <w:tab/>
      </w:r>
      <w:r w:rsidRPr="00757313">
        <w:rPr>
          <w:rFonts w:ascii="Gadugi" w:eastAsia="Times New Roman" w:hAnsi="Gadugi" w:cs="Arial"/>
          <w:sz w:val="24"/>
          <w:szCs w:val="24"/>
          <w:lang w:val="es-CO" w:eastAsia="es-ES"/>
        </w:rPr>
        <w:t xml:space="preserve">El Juzgado de instancia, se dijo, </w:t>
      </w:r>
      <w:r w:rsidR="00A71547" w:rsidRPr="00757313">
        <w:rPr>
          <w:rFonts w:ascii="Gadugi" w:eastAsia="Times New Roman" w:hAnsi="Gadugi" w:cs="Arial"/>
          <w:sz w:val="24"/>
          <w:szCs w:val="24"/>
          <w:lang w:val="es-CO" w:eastAsia="es-ES"/>
        </w:rPr>
        <w:t xml:space="preserve">amparó las prerrogativas fundamentales de la actora </w:t>
      </w:r>
      <w:r w:rsidR="00931950" w:rsidRPr="00757313">
        <w:rPr>
          <w:rFonts w:ascii="Gadugi" w:eastAsia="Times New Roman" w:hAnsi="Gadugi" w:cs="Arial"/>
          <w:sz w:val="24"/>
          <w:szCs w:val="24"/>
          <w:lang w:val="es-CO" w:eastAsia="es-ES"/>
        </w:rPr>
        <w:t>al considerar que se encontraba en un estado de debilidad manifiesta, y entonces, procedente el amparo por ese motivo, encontró que el hecho de que se haya reconocido con anterioridad la indemnización sustitutiva de la pensión de vejez a la accionante, no impide que se pueda estudiar nuevamente la posibilidad de acceder a una pensión de invalidez.</w:t>
      </w:r>
    </w:p>
    <w:p w:rsidR="00931950" w:rsidRPr="00757313" w:rsidRDefault="00931950" w:rsidP="00757313">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p>
    <w:p w:rsidR="00931950" w:rsidRPr="00757313" w:rsidRDefault="00931950" w:rsidP="00757313">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t xml:space="preserve">Y con ese razonamiento, por los motivos que a continuación se expondrán, coincide la Sala. </w:t>
      </w:r>
    </w:p>
    <w:p w:rsidR="00570DA5" w:rsidRPr="00757313" w:rsidRDefault="00570DA5"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Pr="00757313" w:rsidRDefault="00756044" w:rsidP="00757313">
      <w:pPr>
        <w:autoSpaceDE w:val="0"/>
        <w:autoSpaceDN w:val="0"/>
        <w:adjustRightInd w:val="0"/>
        <w:spacing w:after="0" w:line="276" w:lineRule="auto"/>
        <w:jc w:val="both"/>
        <w:rPr>
          <w:rFonts w:ascii="Gadugi" w:eastAsia="Times New Roman" w:hAnsi="Gadugi" w:cs="Arial"/>
          <w:sz w:val="24"/>
          <w:szCs w:val="24"/>
          <w:lang w:val="es-419" w:eastAsia="es-ES"/>
        </w:rPr>
      </w:pPr>
      <w:r w:rsidRPr="00757313">
        <w:rPr>
          <w:rFonts w:ascii="Gadugi" w:eastAsia="Times New Roman" w:hAnsi="Gadugi" w:cs="Times New Roman"/>
          <w:color w:val="000000"/>
          <w:sz w:val="24"/>
          <w:szCs w:val="24"/>
          <w:lang w:val="es-419" w:eastAsia="es-ES"/>
        </w:rPr>
        <w:t xml:space="preserve">  </w:t>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Arial"/>
          <w:sz w:val="24"/>
          <w:szCs w:val="24"/>
          <w:lang w:val="es-419" w:eastAsia="es-ES"/>
        </w:rPr>
        <w:t xml:space="preserve">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w:t>
      </w:r>
      <w:r w:rsidR="007D29D6" w:rsidRPr="00757313">
        <w:rPr>
          <w:rFonts w:ascii="Gadugi" w:eastAsia="Times New Roman" w:hAnsi="Gadugi" w:cs="Arial"/>
          <w:sz w:val="24"/>
          <w:szCs w:val="24"/>
          <w:lang w:val="es-419" w:eastAsia="es-ES"/>
        </w:rPr>
        <w:t xml:space="preserve">También se ha hecho énfasis en que, por regla </w:t>
      </w:r>
      <w:r w:rsidR="007D29D6" w:rsidRPr="00757313">
        <w:rPr>
          <w:rFonts w:ascii="Gadugi" w:eastAsia="Times New Roman" w:hAnsi="Gadugi" w:cs="Arial"/>
          <w:sz w:val="24"/>
          <w:szCs w:val="24"/>
          <w:lang w:val="es-419" w:eastAsia="es-ES"/>
        </w:rPr>
        <w:lastRenderedPageBreak/>
        <w:t xml:space="preserve">general, este amparo es improcedente para el reconocimiento de derechos de raigambre laboral, a menos que se den unas condiciones fijadas por la Corte Constitucional que ha dicho que: </w:t>
      </w:r>
    </w:p>
    <w:p w:rsidR="000C05C0" w:rsidRPr="00757313" w:rsidRDefault="000C05C0" w:rsidP="00757313">
      <w:pPr>
        <w:autoSpaceDE w:val="0"/>
        <w:autoSpaceDN w:val="0"/>
        <w:adjustRightInd w:val="0"/>
        <w:spacing w:after="0" w:line="276" w:lineRule="auto"/>
        <w:jc w:val="both"/>
        <w:rPr>
          <w:rFonts w:ascii="Gadugi" w:eastAsia="Times New Roman" w:hAnsi="Gadugi" w:cs="Arial"/>
          <w:sz w:val="24"/>
          <w:szCs w:val="24"/>
          <w:lang w:val="es-419" w:eastAsia="es-ES"/>
        </w:rPr>
      </w:pPr>
    </w:p>
    <w:p w:rsidR="00756044" w:rsidRPr="00757313" w:rsidRDefault="00756044" w:rsidP="00757313">
      <w:pPr>
        <w:autoSpaceDE w:val="0"/>
        <w:autoSpaceDN w:val="0"/>
        <w:adjustRightInd w:val="0"/>
        <w:spacing w:after="0" w:line="240" w:lineRule="auto"/>
        <w:ind w:left="426" w:right="420" w:firstLine="1984"/>
        <w:jc w:val="both"/>
        <w:rPr>
          <w:rFonts w:ascii="Gadugi" w:eastAsia="Times New Roman" w:hAnsi="Gadugi" w:cs="Arial"/>
          <w:szCs w:val="24"/>
          <w:lang w:val="es-419" w:eastAsia="es-ES"/>
        </w:rPr>
      </w:pPr>
      <w:r w:rsidRPr="00757313">
        <w:rPr>
          <w:rFonts w:ascii="Gadugi" w:eastAsia="Times New Roman" w:hAnsi="Gadugi" w:cs="Arial"/>
          <w:szCs w:val="24"/>
          <w:lang w:val="es-419" w:eastAsia="es-ES"/>
        </w:rPr>
        <w:t>“En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w:t>
      </w:r>
      <w:r w:rsidR="00714B45" w:rsidRPr="00757313">
        <w:rPr>
          <w:rFonts w:ascii="Gadugi" w:eastAsia="Times New Roman" w:hAnsi="Gadugi" w:cs="Arial"/>
          <w:szCs w:val="24"/>
          <w:lang w:val="es-419" w:eastAsia="es-ES"/>
        </w:rPr>
        <w:t xml:space="preserve"> </w:t>
      </w:r>
      <w:r w:rsidRPr="00757313">
        <w:rPr>
          <w:rFonts w:ascii="Gadugi" w:eastAsia="Times New Roman" w:hAnsi="Gadugi" w:cs="Arial"/>
          <w:szCs w:val="24"/>
          <w:lang w:val="es-419" w:eastAsia="es-ES"/>
        </w:rPr>
        <w:t>d. Que se acredite siquiera sumariamente, las razones por las cuales el medio judicial ordinario es ineficaz para lograr la protección inmediata de los derechos fundamentales presuntamente afectados.</w:t>
      </w:r>
      <w:r w:rsidR="00570DA5" w:rsidRPr="00757313">
        <w:rPr>
          <w:rFonts w:ascii="Gadugi" w:eastAsia="Times New Roman" w:hAnsi="Gadugi" w:cs="Arial"/>
          <w:szCs w:val="24"/>
          <w:lang w:val="es-419" w:eastAsia="es-ES"/>
        </w:rPr>
        <w:t>”</w:t>
      </w:r>
      <w:r w:rsidR="00570DA5" w:rsidRPr="00757313">
        <w:rPr>
          <w:rStyle w:val="Refdenotaalpie"/>
          <w:rFonts w:ascii="Gadugi" w:eastAsia="Times New Roman" w:hAnsi="Gadugi"/>
          <w:szCs w:val="24"/>
          <w:lang w:val="es-419" w:eastAsia="es-ES"/>
        </w:rPr>
        <w:footnoteReference w:id="1"/>
      </w:r>
    </w:p>
    <w:p w:rsidR="000C05C0" w:rsidRPr="00757313" w:rsidRDefault="000C05C0" w:rsidP="00757313">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Pr="00757313" w:rsidRDefault="00570DA5" w:rsidP="00757313">
      <w:pPr>
        <w:autoSpaceDE w:val="0"/>
        <w:autoSpaceDN w:val="0"/>
        <w:adjustRightInd w:val="0"/>
        <w:spacing w:after="0" w:line="276" w:lineRule="auto"/>
        <w:jc w:val="both"/>
        <w:rPr>
          <w:rFonts w:ascii="Gadugi" w:eastAsia="Times New Roman" w:hAnsi="Gadugi" w:cs="Arial"/>
          <w:sz w:val="24"/>
          <w:szCs w:val="24"/>
          <w:lang w:val="es-CO"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t>Requisitos que</w:t>
      </w:r>
      <w:r w:rsidR="007D29D6" w:rsidRPr="00757313">
        <w:rPr>
          <w:rFonts w:ascii="Gadugi" w:eastAsia="Times New Roman" w:hAnsi="Gadugi" w:cs="Arial"/>
          <w:sz w:val="24"/>
          <w:szCs w:val="24"/>
          <w:lang w:val="es-419" w:eastAsia="es-ES"/>
        </w:rPr>
        <w:t>,</w:t>
      </w:r>
      <w:r w:rsidRPr="00757313">
        <w:rPr>
          <w:rFonts w:ascii="Gadugi" w:eastAsia="Times New Roman" w:hAnsi="Gadugi" w:cs="Arial"/>
          <w:sz w:val="24"/>
          <w:szCs w:val="24"/>
          <w:lang w:val="es-CO" w:eastAsia="es-ES"/>
        </w:rPr>
        <w:t xml:space="preserve"> ciertamente</w:t>
      </w:r>
      <w:r w:rsidR="007D29D6" w:rsidRPr="00757313">
        <w:rPr>
          <w:rFonts w:ascii="Gadugi" w:eastAsia="Times New Roman" w:hAnsi="Gadugi" w:cs="Arial"/>
          <w:sz w:val="24"/>
          <w:szCs w:val="24"/>
          <w:lang w:val="es-419" w:eastAsia="es-ES"/>
        </w:rPr>
        <w:t>,</w:t>
      </w:r>
      <w:r w:rsidRPr="00757313">
        <w:rPr>
          <w:rFonts w:ascii="Gadugi" w:eastAsia="Times New Roman" w:hAnsi="Gadugi" w:cs="Arial"/>
          <w:sz w:val="24"/>
          <w:szCs w:val="24"/>
          <w:lang w:val="es-CO" w:eastAsia="es-ES"/>
        </w:rPr>
        <w:t xml:space="preserve"> se ha</w:t>
      </w:r>
      <w:r w:rsidR="007D29D6" w:rsidRPr="00757313">
        <w:rPr>
          <w:rFonts w:ascii="Gadugi" w:eastAsia="Times New Roman" w:hAnsi="Gadugi" w:cs="Arial"/>
          <w:sz w:val="24"/>
          <w:szCs w:val="24"/>
          <w:lang w:val="es-419" w:eastAsia="es-ES"/>
        </w:rPr>
        <w:t>ll</w:t>
      </w:r>
      <w:r w:rsidRPr="00757313">
        <w:rPr>
          <w:rFonts w:ascii="Gadugi" w:eastAsia="Times New Roman" w:hAnsi="Gadugi" w:cs="Arial"/>
          <w:sz w:val="24"/>
          <w:szCs w:val="24"/>
          <w:lang w:val="es-CO" w:eastAsia="es-ES"/>
        </w:rPr>
        <w:t>an cumplidos en la presente acci</w:t>
      </w:r>
      <w:r w:rsidR="00773FF5" w:rsidRPr="00757313">
        <w:rPr>
          <w:rFonts w:ascii="Gadugi" w:eastAsia="Times New Roman" w:hAnsi="Gadugi" w:cs="Arial"/>
          <w:sz w:val="24"/>
          <w:szCs w:val="24"/>
          <w:lang w:val="es-CO" w:eastAsia="es-ES"/>
        </w:rPr>
        <w:t>ón, si se tiene en cuenta que la</w:t>
      </w:r>
      <w:r w:rsidRPr="00757313">
        <w:rPr>
          <w:rFonts w:ascii="Gadugi" w:eastAsia="Times New Roman" w:hAnsi="Gadugi" w:cs="Arial"/>
          <w:sz w:val="24"/>
          <w:szCs w:val="24"/>
          <w:lang w:val="es-CO" w:eastAsia="es-ES"/>
        </w:rPr>
        <w:t xml:space="preserve"> accionante se reporta como </w:t>
      </w:r>
      <w:r w:rsidR="009C7A12" w:rsidRPr="00757313">
        <w:rPr>
          <w:rFonts w:ascii="Gadugi" w:eastAsia="Times New Roman" w:hAnsi="Gadugi" w:cs="Arial"/>
          <w:sz w:val="24"/>
          <w:szCs w:val="24"/>
          <w:lang w:val="es-CO" w:eastAsia="es-ES"/>
        </w:rPr>
        <w:t>una persona</w:t>
      </w:r>
      <w:r w:rsidRPr="00757313">
        <w:rPr>
          <w:rFonts w:ascii="Gadugi" w:eastAsia="Times New Roman" w:hAnsi="Gadugi" w:cs="Arial"/>
          <w:sz w:val="24"/>
          <w:szCs w:val="24"/>
          <w:lang w:val="es-CO" w:eastAsia="es-ES"/>
        </w:rPr>
        <w:t xml:space="preserve"> de especial protección constitucional</w:t>
      </w:r>
      <w:r w:rsidR="007D29D6" w:rsidRPr="00757313">
        <w:rPr>
          <w:rFonts w:ascii="Gadugi" w:eastAsia="Times New Roman" w:hAnsi="Gadugi" w:cs="Arial"/>
          <w:sz w:val="24"/>
          <w:szCs w:val="24"/>
          <w:lang w:val="es-419" w:eastAsia="es-ES"/>
        </w:rPr>
        <w:t>,</w:t>
      </w:r>
      <w:r w:rsidR="006D7F5E" w:rsidRPr="00757313">
        <w:rPr>
          <w:rFonts w:ascii="Gadugi" w:eastAsia="Times New Roman" w:hAnsi="Gadugi" w:cs="Arial"/>
          <w:sz w:val="24"/>
          <w:szCs w:val="24"/>
          <w:lang w:val="es-419" w:eastAsia="es-ES"/>
        </w:rPr>
        <w:t xml:space="preserve"> dada su condición de invalidez</w:t>
      </w:r>
      <w:r w:rsidR="00772BEE" w:rsidRPr="00757313">
        <w:rPr>
          <w:rFonts w:ascii="Gadugi" w:eastAsia="Times New Roman" w:hAnsi="Gadugi" w:cs="Arial"/>
          <w:sz w:val="24"/>
          <w:szCs w:val="24"/>
          <w:lang w:val="es-419" w:eastAsia="es-ES"/>
        </w:rPr>
        <w:t>,</w:t>
      </w:r>
      <w:r w:rsidR="006D7F5E" w:rsidRPr="00757313">
        <w:rPr>
          <w:rFonts w:ascii="Gadugi" w:eastAsia="Times New Roman" w:hAnsi="Gadugi" w:cs="Arial"/>
          <w:sz w:val="24"/>
          <w:szCs w:val="24"/>
          <w:lang w:val="es-419" w:eastAsia="es-ES"/>
        </w:rPr>
        <w:t xml:space="preserve"> </w:t>
      </w:r>
      <w:r w:rsidR="00772BEE" w:rsidRPr="00757313">
        <w:rPr>
          <w:rFonts w:ascii="Gadugi" w:eastAsia="Times New Roman" w:hAnsi="Gadugi" w:cs="Arial"/>
          <w:sz w:val="24"/>
          <w:szCs w:val="24"/>
          <w:lang w:val="es-419" w:eastAsia="es-ES"/>
        </w:rPr>
        <w:t xml:space="preserve">si bien la pérdida de su capacidad laboral es del </w:t>
      </w:r>
      <w:r w:rsidR="006D7F5E" w:rsidRPr="00757313">
        <w:rPr>
          <w:rFonts w:ascii="Gadugi" w:eastAsia="Times New Roman" w:hAnsi="Gadugi" w:cs="Arial"/>
          <w:sz w:val="24"/>
          <w:szCs w:val="24"/>
          <w:lang w:val="es-419" w:eastAsia="es-ES"/>
        </w:rPr>
        <w:t>53</w:t>
      </w:r>
      <w:r w:rsidR="00772BEE" w:rsidRPr="00757313">
        <w:rPr>
          <w:rFonts w:ascii="Gadugi" w:eastAsia="Times New Roman" w:hAnsi="Gadugi" w:cs="Arial"/>
          <w:sz w:val="24"/>
          <w:szCs w:val="24"/>
          <w:lang w:val="es-419" w:eastAsia="es-ES"/>
        </w:rPr>
        <w:t>,</w:t>
      </w:r>
      <w:r w:rsidR="006D7F5E" w:rsidRPr="00757313">
        <w:rPr>
          <w:rFonts w:ascii="Gadugi" w:eastAsia="Times New Roman" w:hAnsi="Gadugi" w:cs="Arial"/>
          <w:sz w:val="24"/>
          <w:szCs w:val="24"/>
          <w:lang w:val="es-419" w:eastAsia="es-ES"/>
        </w:rPr>
        <w:t>25</w:t>
      </w:r>
      <w:r w:rsidR="00772BEE" w:rsidRPr="00757313">
        <w:rPr>
          <w:rFonts w:ascii="Gadugi" w:eastAsia="Times New Roman" w:hAnsi="Gadugi" w:cs="Arial"/>
          <w:sz w:val="24"/>
          <w:szCs w:val="24"/>
          <w:lang w:val="es-419" w:eastAsia="es-ES"/>
        </w:rPr>
        <w:t>%</w:t>
      </w:r>
      <w:r w:rsidR="00773FF5" w:rsidRPr="00757313">
        <w:rPr>
          <w:rFonts w:ascii="Gadugi" w:eastAsia="Times New Roman" w:hAnsi="Gadugi" w:cs="Arial"/>
          <w:sz w:val="24"/>
          <w:szCs w:val="24"/>
          <w:lang w:val="es-419" w:eastAsia="es-ES"/>
        </w:rPr>
        <w:t xml:space="preserve"> (f. 19</w:t>
      </w:r>
      <w:r w:rsidR="006D7F5E" w:rsidRPr="00757313">
        <w:rPr>
          <w:rFonts w:ascii="Gadugi" w:eastAsia="Times New Roman" w:hAnsi="Gadugi" w:cs="Arial"/>
          <w:sz w:val="24"/>
          <w:szCs w:val="24"/>
          <w:lang w:val="es-419" w:eastAsia="es-ES"/>
        </w:rPr>
        <w:t>, c.1)</w:t>
      </w:r>
      <w:r w:rsidR="00772BEE" w:rsidRPr="00757313">
        <w:rPr>
          <w:rFonts w:ascii="Gadugi" w:eastAsia="Times New Roman" w:hAnsi="Gadugi" w:cs="Arial"/>
          <w:sz w:val="24"/>
          <w:szCs w:val="24"/>
          <w:lang w:val="es-419" w:eastAsia="es-ES"/>
        </w:rPr>
        <w:t xml:space="preserve">; además, </w:t>
      </w:r>
      <w:r w:rsidRPr="00757313">
        <w:rPr>
          <w:rFonts w:ascii="Gadugi" w:eastAsia="Times New Roman" w:hAnsi="Gadugi" w:cs="Arial"/>
          <w:sz w:val="24"/>
          <w:szCs w:val="24"/>
          <w:lang w:val="es-CO" w:eastAsia="es-ES"/>
        </w:rPr>
        <w:t>lo que alega</w:t>
      </w:r>
      <w:r w:rsidR="007D29D6" w:rsidRPr="00757313">
        <w:rPr>
          <w:rFonts w:ascii="Gadugi" w:eastAsia="Times New Roman" w:hAnsi="Gadugi" w:cs="Arial"/>
          <w:sz w:val="24"/>
          <w:szCs w:val="24"/>
          <w:lang w:val="es-419" w:eastAsia="es-ES"/>
        </w:rPr>
        <w:t>,</w:t>
      </w:r>
      <w:r w:rsidRPr="00757313">
        <w:rPr>
          <w:rFonts w:ascii="Gadugi" w:eastAsia="Times New Roman" w:hAnsi="Gadugi" w:cs="Arial"/>
          <w:sz w:val="24"/>
          <w:szCs w:val="24"/>
          <w:lang w:val="es-CO" w:eastAsia="es-ES"/>
        </w:rPr>
        <w:t xml:space="preserve"> precisamente</w:t>
      </w:r>
      <w:r w:rsidR="007D29D6" w:rsidRPr="00757313">
        <w:rPr>
          <w:rFonts w:ascii="Gadugi" w:eastAsia="Times New Roman" w:hAnsi="Gadugi" w:cs="Arial"/>
          <w:sz w:val="24"/>
          <w:szCs w:val="24"/>
          <w:lang w:val="es-419" w:eastAsia="es-ES"/>
        </w:rPr>
        <w:t>,</w:t>
      </w:r>
      <w:r w:rsidRPr="00757313">
        <w:rPr>
          <w:rFonts w:ascii="Gadugi" w:eastAsia="Times New Roman" w:hAnsi="Gadugi" w:cs="Arial"/>
          <w:sz w:val="24"/>
          <w:szCs w:val="24"/>
          <w:lang w:val="es-CO" w:eastAsia="es-ES"/>
        </w:rPr>
        <w:t xml:space="preserve"> es la afectación </w:t>
      </w:r>
      <w:r w:rsidR="007D29D6" w:rsidRPr="00757313">
        <w:rPr>
          <w:rFonts w:ascii="Gadugi" w:eastAsia="Times New Roman" w:hAnsi="Gadugi" w:cs="Arial"/>
          <w:sz w:val="24"/>
          <w:szCs w:val="24"/>
          <w:lang w:val="es-419" w:eastAsia="es-ES"/>
        </w:rPr>
        <w:t>de</w:t>
      </w:r>
      <w:r w:rsidRPr="00757313">
        <w:rPr>
          <w:rFonts w:ascii="Gadugi" w:eastAsia="Times New Roman" w:hAnsi="Gadugi" w:cs="Arial"/>
          <w:sz w:val="24"/>
          <w:szCs w:val="24"/>
          <w:lang w:val="es-CO" w:eastAsia="es-ES"/>
        </w:rPr>
        <w:t xml:space="preserve"> su derecho fundamental al mínimo vital, lo que no fue contrariado por la demandada</w:t>
      </w:r>
      <w:r w:rsidR="00CE05C3" w:rsidRPr="00757313">
        <w:rPr>
          <w:rFonts w:ascii="Gadugi" w:eastAsia="Times New Roman" w:hAnsi="Gadugi" w:cs="Arial"/>
          <w:sz w:val="24"/>
          <w:szCs w:val="24"/>
          <w:lang w:val="es-419" w:eastAsia="es-ES"/>
        </w:rPr>
        <w:t>, fuera de que está claro que cotizaba sobre la base del salario mínimo legal</w:t>
      </w:r>
      <w:r w:rsidR="009C7A12" w:rsidRPr="00757313">
        <w:rPr>
          <w:rFonts w:ascii="Gadugi" w:eastAsia="Times New Roman" w:hAnsi="Gadugi" w:cs="Arial"/>
          <w:sz w:val="24"/>
          <w:szCs w:val="24"/>
          <w:lang w:val="es-419" w:eastAsia="es-ES"/>
        </w:rPr>
        <w:t xml:space="preserve"> (f. 11, c. 1)</w:t>
      </w:r>
      <w:r w:rsidR="00CE05C3" w:rsidRPr="00757313">
        <w:rPr>
          <w:rStyle w:val="Refdenotaalpie"/>
          <w:rFonts w:ascii="Gadugi" w:eastAsia="Times New Roman" w:hAnsi="Gadugi"/>
          <w:sz w:val="24"/>
          <w:szCs w:val="24"/>
          <w:lang w:val="es-419" w:eastAsia="es-ES"/>
        </w:rPr>
        <w:footnoteReference w:id="2"/>
      </w:r>
      <w:r w:rsidR="007D29D6" w:rsidRPr="00757313">
        <w:rPr>
          <w:rFonts w:ascii="Gadugi" w:eastAsia="Times New Roman" w:hAnsi="Gadugi" w:cs="Arial"/>
          <w:sz w:val="24"/>
          <w:szCs w:val="24"/>
          <w:lang w:val="es-419" w:eastAsia="es-ES"/>
        </w:rPr>
        <w:t xml:space="preserve">; </w:t>
      </w:r>
      <w:r w:rsidRPr="00757313">
        <w:rPr>
          <w:rFonts w:ascii="Gadugi" w:eastAsia="Times New Roman" w:hAnsi="Gadugi" w:cs="Arial"/>
          <w:sz w:val="24"/>
          <w:szCs w:val="24"/>
          <w:lang w:val="es-CO" w:eastAsia="es-ES"/>
        </w:rPr>
        <w:t>ha intentado</w:t>
      </w:r>
      <w:r w:rsidR="007D29D6" w:rsidRPr="00757313">
        <w:rPr>
          <w:rFonts w:ascii="Gadugi" w:eastAsia="Times New Roman" w:hAnsi="Gadugi" w:cs="Arial"/>
          <w:sz w:val="24"/>
          <w:szCs w:val="24"/>
          <w:lang w:val="es-419" w:eastAsia="es-ES"/>
        </w:rPr>
        <w:t xml:space="preserve"> infructuosamente </w:t>
      </w:r>
      <w:r w:rsidRPr="00757313">
        <w:rPr>
          <w:rFonts w:ascii="Gadugi" w:eastAsia="Times New Roman" w:hAnsi="Gadugi" w:cs="Arial"/>
          <w:sz w:val="24"/>
          <w:szCs w:val="24"/>
          <w:lang w:val="es-CO" w:eastAsia="es-ES"/>
        </w:rPr>
        <w:t>obtener la prestación deprecada y</w:t>
      </w:r>
      <w:r w:rsidR="007D29D6" w:rsidRPr="00757313">
        <w:rPr>
          <w:rFonts w:ascii="Gadugi" w:eastAsia="Times New Roman" w:hAnsi="Gadugi" w:cs="Arial"/>
          <w:sz w:val="24"/>
          <w:szCs w:val="24"/>
          <w:lang w:val="es-419" w:eastAsia="es-ES"/>
        </w:rPr>
        <w:t xml:space="preserve">, es claro que </w:t>
      </w:r>
      <w:r w:rsidRPr="00757313">
        <w:rPr>
          <w:rFonts w:ascii="Gadugi" w:eastAsia="Times New Roman" w:hAnsi="Gadugi" w:cs="Arial"/>
          <w:sz w:val="24"/>
          <w:szCs w:val="24"/>
          <w:lang w:val="es-CO" w:eastAsia="es-ES"/>
        </w:rPr>
        <w:t>debido a su edad</w:t>
      </w:r>
      <w:r w:rsidR="00773FF5" w:rsidRPr="00757313">
        <w:rPr>
          <w:rFonts w:ascii="Gadugi" w:eastAsia="Times New Roman" w:hAnsi="Gadugi" w:cs="Arial"/>
          <w:sz w:val="24"/>
          <w:szCs w:val="24"/>
          <w:lang w:val="es-CO" w:eastAsia="es-ES"/>
        </w:rPr>
        <w:t xml:space="preserve"> (74 años)</w:t>
      </w:r>
      <w:r w:rsidRPr="00757313">
        <w:rPr>
          <w:rFonts w:ascii="Gadugi" w:eastAsia="Times New Roman" w:hAnsi="Gadugi" w:cs="Arial"/>
          <w:sz w:val="24"/>
          <w:szCs w:val="24"/>
          <w:lang w:val="es-CO" w:eastAsia="es-ES"/>
        </w:rPr>
        <w:t xml:space="preserve"> y su expectativa de vida</w:t>
      </w:r>
      <w:r w:rsidR="00773FF5" w:rsidRPr="00757313">
        <w:rPr>
          <w:rFonts w:ascii="Gadugi" w:eastAsia="Times New Roman" w:hAnsi="Gadugi" w:cs="Arial"/>
          <w:sz w:val="24"/>
          <w:szCs w:val="24"/>
          <w:lang w:val="es-CO" w:eastAsia="es-ES"/>
        </w:rPr>
        <w:t>,</w:t>
      </w:r>
      <w:r w:rsidRPr="00757313">
        <w:rPr>
          <w:rFonts w:ascii="Gadugi" w:eastAsia="Times New Roman" w:hAnsi="Gadugi" w:cs="Arial"/>
          <w:sz w:val="24"/>
          <w:szCs w:val="24"/>
          <w:lang w:val="es-CO" w:eastAsia="es-ES"/>
        </w:rPr>
        <w:t xml:space="preserve"> el proceso judicial no resultaba idóneo para la efectiva protección de sus derechos.</w:t>
      </w:r>
    </w:p>
    <w:p w:rsidR="000C05C0" w:rsidRPr="00757313" w:rsidRDefault="000C05C0" w:rsidP="00757313">
      <w:pPr>
        <w:autoSpaceDE w:val="0"/>
        <w:autoSpaceDN w:val="0"/>
        <w:adjustRightInd w:val="0"/>
        <w:spacing w:after="0" w:line="276" w:lineRule="auto"/>
        <w:jc w:val="both"/>
        <w:rPr>
          <w:rFonts w:ascii="Gadugi" w:eastAsia="Times New Roman" w:hAnsi="Gadugi" w:cs="Arial"/>
          <w:sz w:val="24"/>
          <w:szCs w:val="24"/>
          <w:lang w:val="es-CO" w:eastAsia="es-ES"/>
        </w:rPr>
      </w:pPr>
    </w:p>
    <w:p w:rsidR="006D7F5E" w:rsidRPr="00757313" w:rsidRDefault="006D7F5E" w:rsidP="00757313">
      <w:pPr>
        <w:autoSpaceDE w:val="0"/>
        <w:autoSpaceDN w:val="0"/>
        <w:adjustRightInd w:val="0"/>
        <w:spacing w:after="0" w:line="276" w:lineRule="auto"/>
        <w:jc w:val="both"/>
        <w:rPr>
          <w:rFonts w:ascii="Gadugi" w:eastAsia="Times New Roman" w:hAnsi="Gadugi" w:cs="Arial"/>
          <w:sz w:val="24"/>
          <w:szCs w:val="24"/>
          <w:lang w:val="es-CO"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t>Absuelto lo que toca con la procedibilidad del trámite, observa la Sala</w:t>
      </w:r>
      <w:r w:rsidR="006F5C2C" w:rsidRPr="00757313">
        <w:rPr>
          <w:rFonts w:ascii="Gadugi" w:eastAsia="Times New Roman" w:hAnsi="Gadugi" w:cs="Arial"/>
          <w:sz w:val="24"/>
          <w:szCs w:val="24"/>
          <w:lang w:val="es-CO" w:eastAsia="es-ES"/>
        </w:rPr>
        <w:t>,</w:t>
      </w:r>
      <w:r w:rsidRPr="00757313">
        <w:rPr>
          <w:rFonts w:ascii="Gadugi" w:eastAsia="Times New Roman" w:hAnsi="Gadugi" w:cs="Arial"/>
          <w:sz w:val="24"/>
          <w:szCs w:val="24"/>
          <w:lang w:val="es-CO" w:eastAsia="es-ES"/>
        </w:rPr>
        <w:t xml:space="preserve"> sin mayor dificultad, que en cabeza </w:t>
      </w:r>
      <w:r w:rsidR="00773FF5" w:rsidRPr="00757313">
        <w:rPr>
          <w:rFonts w:ascii="Gadugi" w:eastAsia="Times New Roman" w:hAnsi="Gadugi" w:cs="Arial"/>
          <w:sz w:val="24"/>
          <w:szCs w:val="24"/>
          <w:lang w:val="es-CO" w:eastAsia="es-ES"/>
        </w:rPr>
        <w:t>de la señora Rodríguez Zapata</w:t>
      </w:r>
      <w:r w:rsidRPr="00757313">
        <w:rPr>
          <w:rFonts w:ascii="Gadugi" w:eastAsia="Times New Roman" w:hAnsi="Gadugi" w:cs="Arial"/>
          <w:sz w:val="24"/>
          <w:szCs w:val="24"/>
          <w:lang w:val="es-CO" w:eastAsia="es-ES"/>
        </w:rPr>
        <w:t xml:space="preserve"> se encuentran acreditados los requisitos normativos para acceder a la prestación que depreca</w:t>
      </w:r>
      <w:r w:rsidR="006F5C2C" w:rsidRPr="00757313">
        <w:rPr>
          <w:rFonts w:ascii="Gadugi" w:eastAsia="Times New Roman" w:hAnsi="Gadugi" w:cs="Arial"/>
          <w:sz w:val="24"/>
          <w:szCs w:val="24"/>
          <w:lang w:val="es-CO" w:eastAsia="es-ES"/>
        </w:rPr>
        <w:t>.</w:t>
      </w:r>
    </w:p>
    <w:p w:rsidR="006F5C2C" w:rsidRPr="00757313" w:rsidRDefault="006F5C2C" w:rsidP="00757313">
      <w:pPr>
        <w:autoSpaceDE w:val="0"/>
        <w:autoSpaceDN w:val="0"/>
        <w:adjustRightInd w:val="0"/>
        <w:spacing w:after="0" w:line="276" w:lineRule="auto"/>
        <w:jc w:val="both"/>
        <w:rPr>
          <w:rFonts w:ascii="Gadugi" w:eastAsia="Times New Roman" w:hAnsi="Gadugi" w:cs="Arial"/>
          <w:sz w:val="24"/>
          <w:szCs w:val="24"/>
          <w:lang w:val="es-CO" w:eastAsia="es-ES"/>
        </w:rPr>
      </w:pPr>
    </w:p>
    <w:p w:rsidR="007F461D" w:rsidRPr="00757313" w:rsidRDefault="006F5C2C" w:rsidP="00757313">
      <w:pPr>
        <w:autoSpaceDE w:val="0"/>
        <w:autoSpaceDN w:val="0"/>
        <w:adjustRightInd w:val="0"/>
        <w:spacing w:after="0" w:line="276" w:lineRule="auto"/>
        <w:jc w:val="both"/>
        <w:rPr>
          <w:rFonts w:ascii="Gadugi" w:eastAsia="Times New Roman" w:hAnsi="Gadugi" w:cs="Arial"/>
          <w:sz w:val="24"/>
          <w:szCs w:val="24"/>
          <w:lang w:val="es-419"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t>Para el efecto</w:t>
      </w:r>
      <w:r w:rsidR="007F461D" w:rsidRPr="00757313">
        <w:rPr>
          <w:rFonts w:ascii="Gadugi" w:eastAsia="Times New Roman" w:hAnsi="Gadugi" w:cs="Arial"/>
          <w:sz w:val="24"/>
          <w:szCs w:val="24"/>
          <w:lang w:val="es-CO" w:eastAsia="es-ES"/>
        </w:rPr>
        <w:t>,</w:t>
      </w:r>
      <w:r w:rsidRPr="00757313">
        <w:rPr>
          <w:rFonts w:ascii="Gadugi" w:eastAsia="Times New Roman" w:hAnsi="Gadugi" w:cs="Arial"/>
          <w:sz w:val="24"/>
          <w:szCs w:val="24"/>
          <w:lang w:val="es-CO" w:eastAsia="es-ES"/>
        </w:rPr>
        <w:t xml:space="preserve"> recuérdese que el artículo 1° de la ley 860 de 2003 dispone que para acceder a la pensión de invalidez se requiere haber cotizado 50 semanas en los </w:t>
      </w:r>
      <w:r w:rsidR="00742586" w:rsidRPr="00757313">
        <w:rPr>
          <w:rFonts w:ascii="Gadugi" w:eastAsia="Times New Roman" w:hAnsi="Gadugi" w:cs="Arial"/>
          <w:sz w:val="24"/>
          <w:szCs w:val="24"/>
          <w:lang w:val="es-CO" w:eastAsia="es-ES"/>
        </w:rPr>
        <w:t>últimos 3 años anteriores a la fecha de estructuración</w:t>
      </w:r>
      <w:r w:rsidR="006230BC" w:rsidRPr="00757313">
        <w:rPr>
          <w:rFonts w:ascii="Gadugi" w:eastAsia="Times New Roman" w:hAnsi="Gadugi" w:cs="Arial"/>
          <w:sz w:val="24"/>
          <w:szCs w:val="24"/>
          <w:lang w:val="es-419" w:eastAsia="es-ES"/>
        </w:rPr>
        <w:t>; y sucede que</w:t>
      </w:r>
      <w:r w:rsidR="00773FF5" w:rsidRPr="00757313">
        <w:rPr>
          <w:rFonts w:ascii="Gadugi" w:eastAsia="Times New Roman" w:hAnsi="Gadugi" w:cs="Arial"/>
          <w:sz w:val="24"/>
          <w:szCs w:val="24"/>
          <w:lang w:val="es-CO" w:eastAsia="es-ES"/>
        </w:rPr>
        <w:t xml:space="preserve"> en ese plazo anterior al 14</w:t>
      </w:r>
      <w:r w:rsidR="0089363A" w:rsidRPr="00757313">
        <w:rPr>
          <w:rFonts w:ascii="Gadugi" w:eastAsia="Times New Roman" w:hAnsi="Gadugi" w:cs="Arial"/>
          <w:sz w:val="24"/>
          <w:szCs w:val="24"/>
          <w:lang w:val="es-CO" w:eastAsia="es-ES"/>
        </w:rPr>
        <w:t xml:space="preserve"> de </w:t>
      </w:r>
      <w:r w:rsidR="00773FF5" w:rsidRPr="00757313">
        <w:rPr>
          <w:rFonts w:ascii="Gadugi" w:eastAsia="Times New Roman" w:hAnsi="Gadugi" w:cs="Arial"/>
          <w:sz w:val="24"/>
          <w:szCs w:val="24"/>
          <w:lang w:val="es-CO" w:eastAsia="es-ES"/>
        </w:rPr>
        <w:t>septiembre</w:t>
      </w:r>
      <w:r w:rsidR="0089363A" w:rsidRPr="00757313">
        <w:rPr>
          <w:rFonts w:ascii="Gadugi" w:eastAsia="Times New Roman" w:hAnsi="Gadugi" w:cs="Arial"/>
          <w:sz w:val="24"/>
          <w:szCs w:val="24"/>
          <w:lang w:val="es-CO" w:eastAsia="es-ES"/>
        </w:rPr>
        <w:t xml:space="preserve"> de 2017, </w:t>
      </w:r>
      <w:r w:rsidR="006230BC" w:rsidRPr="00757313">
        <w:rPr>
          <w:rFonts w:ascii="Gadugi" w:eastAsia="Times New Roman" w:hAnsi="Gadugi" w:cs="Arial"/>
          <w:sz w:val="24"/>
          <w:szCs w:val="24"/>
          <w:lang w:val="es-419" w:eastAsia="es-ES"/>
        </w:rPr>
        <w:t xml:space="preserve">cuando se estructuró la invalidez, </w:t>
      </w:r>
      <w:r w:rsidR="00773FF5" w:rsidRPr="00757313">
        <w:rPr>
          <w:rFonts w:ascii="Gadugi" w:eastAsia="Times New Roman" w:hAnsi="Gadugi" w:cs="Arial"/>
          <w:sz w:val="24"/>
          <w:szCs w:val="24"/>
          <w:lang w:val="es-CO" w:eastAsia="es-ES"/>
        </w:rPr>
        <w:t>la</w:t>
      </w:r>
      <w:r w:rsidR="0089363A" w:rsidRPr="00757313">
        <w:rPr>
          <w:rFonts w:ascii="Gadugi" w:eastAsia="Times New Roman" w:hAnsi="Gadugi" w:cs="Arial"/>
          <w:sz w:val="24"/>
          <w:szCs w:val="24"/>
          <w:lang w:val="es-CO" w:eastAsia="es-ES"/>
        </w:rPr>
        <w:t xml:space="preserve"> actor</w:t>
      </w:r>
      <w:r w:rsidR="00773FF5" w:rsidRPr="00757313">
        <w:rPr>
          <w:rFonts w:ascii="Gadugi" w:eastAsia="Times New Roman" w:hAnsi="Gadugi" w:cs="Arial"/>
          <w:sz w:val="24"/>
          <w:szCs w:val="24"/>
          <w:lang w:val="es-CO" w:eastAsia="es-ES"/>
        </w:rPr>
        <w:t>a</w:t>
      </w:r>
      <w:r w:rsidR="0089363A" w:rsidRPr="00757313">
        <w:rPr>
          <w:rFonts w:ascii="Gadugi" w:eastAsia="Times New Roman" w:hAnsi="Gadugi" w:cs="Arial"/>
          <w:sz w:val="24"/>
          <w:szCs w:val="24"/>
          <w:lang w:val="es-CO" w:eastAsia="es-ES"/>
        </w:rPr>
        <w:t xml:space="preserve"> reúne de sobra las semanas requeridas</w:t>
      </w:r>
      <w:r w:rsidR="006230BC" w:rsidRPr="00757313">
        <w:rPr>
          <w:rFonts w:ascii="Gadugi" w:eastAsia="Times New Roman" w:hAnsi="Gadugi" w:cs="Arial"/>
          <w:sz w:val="24"/>
          <w:szCs w:val="24"/>
          <w:lang w:val="es-419" w:eastAsia="es-ES"/>
        </w:rPr>
        <w:t>;</w:t>
      </w:r>
      <w:r w:rsidR="007F461D" w:rsidRPr="00757313">
        <w:rPr>
          <w:rFonts w:ascii="Gadugi" w:eastAsia="Times New Roman" w:hAnsi="Gadugi" w:cs="Arial"/>
          <w:sz w:val="24"/>
          <w:szCs w:val="24"/>
          <w:lang w:val="es-419" w:eastAsia="es-ES"/>
        </w:rPr>
        <w:t xml:space="preserve"> para el efecto solo bastaría contar</w:t>
      </w:r>
      <w:r w:rsidR="004F119E" w:rsidRPr="00757313">
        <w:rPr>
          <w:rFonts w:ascii="Gadugi" w:eastAsia="Times New Roman" w:hAnsi="Gadugi" w:cs="Arial"/>
          <w:sz w:val="24"/>
          <w:szCs w:val="24"/>
          <w:lang w:val="es-419" w:eastAsia="es-ES"/>
        </w:rPr>
        <w:t>, aunque cierta</w:t>
      </w:r>
      <w:r w:rsidR="009C7A12" w:rsidRPr="00757313">
        <w:rPr>
          <w:rFonts w:ascii="Gadugi" w:eastAsia="Times New Roman" w:hAnsi="Gadugi" w:cs="Arial"/>
          <w:sz w:val="24"/>
          <w:szCs w:val="24"/>
          <w:lang w:val="es-419" w:eastAsia="es-ES"/>
        </w:rPr>
        <w:t xml:space="preserve">mente cuenta con más, </w:t>
      </w:r>
      <w:r w:rsidR="007F461D" w:rsidRPr="00757313">
        <w:rPr>
          <w:rFonts w:ascii="Gadugi" w:eastAsia="Times New Roman" w:hAnsi="Gadugi" w:cs="Arial"/>
          <w:sz w:val="24"/>
          <w:szCs w:val="24"/>
          <w:lang w:val="es-419" w:eastAsia="es-ES"/>
        </w:rPr>
        <w:t>que desde el 1° de enero del 2015, hasta el 28 de febrero del 2017 acumuló un total de 111,43 semanas</w:t>
      </w:r>
      <w:r w:rsidR="0051087B" w:rsidRPr="00757313">
        <w:rPr>
          <w:rFonts w:ascii="Gadugi" w:eastAsia="Times New Roman" w:hAnsi="Gadugi" w:cs="Arial"/>
          <w:sz w:val="24"/>
          <w:szCs w:val="24"/>
          <w:lang w:val="es-419" w:eastAsia="es-ES"/>
        </w:rPr>
        <w:t xml:space="preserve"> (f. 7, c. 1)</w:t>
      </w:r>
      <w:r w:rsidR="007F461D" w:rsidRPr="00757313">
        <w:rPr>
          <w:rFonts w:ascii="Gadugi" w:eastAsia="Times New Roman" w:hAnsi="Gadugi" w:cs="Arial"/>
          <w:sz w:val="24"/>
          <w:szCs w:val="24"/>
          <w:lang w:val="es-419" w:eastAsia="es-ES"/>
        </w:rPr>
        <w:t>.</w:t>
      </w:r>
    </w:p>
    <w:p w:rsidR="006F5C2C" w:rsidRPr="00757313" w:rsidRDefault="006F5C2C" w:rsidP="00757313">
      <w:pPr>
        <w:autoSpaceDE w:val="0"/>
        <w:autoSpaceDN w:val="0"/>
        <w:adjustRightInd w:val="0"/>
        <w:spacing w:after="0" w:line="276" w:lineRule="auto"/>
        <w:jc w:val="both"/>
        <w:rPr>
          <w:rFonts w:ascii="Gadugi" w:eastAsia="Times New Roman" w:hAnsi="Gadugi" w:cs="Arial"/>
          <w:sz w:val="24"/>
          <w:szCs w:val="24"/>
          <w:lang w:val="es-CO"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t xml:space="preserve"> </w:t>
      </w:r>
    </w:p>
    <w:p w:rsidR="00905D58" w:rsidRPr="00757313" w:rsidRDefault="006D7F5E" w:rsidP="00757313">
      <w:pPr>
        <w:autoSpaceDE w:val="0"/>
        <w:autoSpaceDN w:val="0"/>
        <w:adjustRightInd w:val="0"/>
        <w:spacing w:after="0" w:line="276" w:lineRule="auto"/>
        <w:jc w:val="both"/>
        <w:rPr>
          <w:rFonts w:ascii="Gadugi" w:eastAsia="Times New Roman" w:hAnsi="Gadugi" w:cs="Times New Roman"/>
          <w:color w:val="000000"/>
          <w:sz w:val="24"/>
          <w:szCs w:val="24"/>
          <w:lang w:val="es-419" w:eastAsia="es-ES"/>
        </w:rPr>
      </w:pP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Pr="00757313">
        <w:rPr>
          <w:rFonts w:ascii="Gadugi" w:eastAsia="Times New Roman" w:hAnsi="Gadugi" w:cs="Arial"/>
          <w:sz w:val="24"/>
          <w:szCs w:val="24"/>
          <w:lang w:val="es-CO" w:eastAsia="es-ES"/>
        </w:rPr>
        <w:tab/>
      </w:r>
      <w:r w:rsidR="006F5C2C" w:rsidRPr="00757313">
        <w:rPr>
          <w:rFonts w:ascii="Gadugi" w:eastAsia="Times New Roman" w:hAnsi="Gadugi" w:cs="Century Gothic"/>
          <w:color w:val="000000"/>
          <w:sz w:val="24"/>
          <w:szCs w:val="24"/>
          <w:lang w:val="es-419" w:eastAsia="es-ES"/>
        </w:rPr>
        <w:t>Ahora bien</w:t>
      </w:r>
      <w:r w:rsidR="00905D58" w:rsidRPr="00757313">
        <w:rPr>
          <w:rFonts w:ascii="Gadugi" w:eastAsia="Times New Roman" w:hAnsi="Gadugi" w:cs="Century Gothic"/>
          <w:color w:val="000000"/>
          <w:sz w:val="24"/>
          <w:szCs w:val="24"/>
          <w:lang w:val="es-419" w:eastAsia="es-ES"/>
        </w:rPr>
        <w:t>,</w:t>
      </w:r>
      <w:r w:rsidR="00055409" w:rsidRPr="00757313">
        <w:rPr>
          <w:rFonts w:ascii="Gadugi" w:eastAsia="Times New Roman" w:hAnsi="Gadugi" w:cs="Century Gothic"/>
          <w:color w:val="000000"/>
          <w:sz w:val="24"/>
          <w:szCs w:val="24"/>
          <w:lang w:val="es-419" w:eastAsia="es-ES"/>
        </w:rPr>
        <w:t xml:space="preserve"> en </w:t>
      </w:r>
      <w:r w:rsidR="00756044" w:rsidRPr="00757313">
        <w:rPr>
          <w:rFonts w:ascii="Gadugi" w:eastAsia="Times New Roman" w:hAnsi="Gadugi" w:cs="Times New Roman"/>
          <w:color w:val="000000"/>
          <w:sz w:val="24"/>
          <w:szCs w:val="24"/>
          <w:lang w:val="es-419" w:eastAsia="es-ES"/>
        </w:rPr>
        <w:t xml:space="preserve">lo que </w:t>
      </w:r>
      <w:r w:rsidR="006F5C2C" w:rsidRPr="00757313">
        <w:rPr>
          <w:rFonts w:ascii="Gadugi" w:eastAsia="Times New Roman" w:hAnsi="Gadugi" w:cs="Times New Roman"/>
          <w:color w:val="000000"/>
          <w:sz w:val="24"/>
          <w:szCs w:val="24"/>
          <w:lang w:val="es-419" w:eastAsia="es-ES"/>
        </w:rPr>
        <w:t>atañe</w:t>
      </w:r>
      <w:r w:rsidR="00756044" w:rsidRPr="00757313">
        <w:rPr>
          <w:rFonts w:ascii="Gadugi" w:eastAsia="Times New Roman" w:hAnsi="Gadugi" w:cs="Times New Roman"/>
          <w:color w:val="000000"/>
          <w:sz w:val="24"/>
          <w:szCs w:val="24"/>
          <w:lang w:val="es-419" w:eastAsia="es-ES"/>
        </w:rPr>
        <w:t xml:space="preserve"> con </w:t>
      </w:r>
      <w:r w:rsidR="00B92F45" w:rsidRPr="00757313">
        <w:rPr>
          <w:rFonts w:ascii="Gadugi" w:eastAsia="Times New Roman" w:hAnsi="Gadugi" w:cs="Times New Roman"/>
          <w:color w:val="000000"/>
          <w:sz w:val="24"/>
          <w:szCs w:val="24"/>
          <w:lang w:val="es-419" w:eastAsia="es-ES"/>
        </w:rPr>
        <w:t>la negativa de C</w:t>
      </w:r>
      <w:r w:rsidR="007F461D" w:rsidRPr="00757313">
        <w:rPr>
          <w:rFonts w:ascii="Gadugi" w:eastAsia="Times New Roman" w:hAnsi="Gadugi" w:cs="Times New Roman"/>
          <w:color w:val="000000"/>
          <w:sz w:val="24"/>
          <w:szCs w:val="24"/>
          <w:lang w:val="es-419" w:eastAsia="es-ES"/>
        </w:rPr>
        <w:t>olpensiones</w:t>
      </w:r>
      <w:r w:rsidR="00B92F45" w:rsidRPr="00757313">
        <w:rPr>
          <w:rFonts w:ascii="Gadugi" w:eastAsia="Times New Roman" w:hAnsi="Gadugi" w:cs="Times New Roman"/>
          <w:color w:val="000000"/>
          <w:sz w:val="24"/>
          <w:szCs w:val="24"/>
          <w:lang w:val="es-419" w:eastAsia="es-ES"/>
        </w:rPr>
        <w:t xml:space="preserve"> para conceder la prestación, derivada</w:t>
      </w:r>
      <w:r w:rsidR="00003BCD" w:rsidRPr="00757313">
        <w:rPr>
          <w:rFonts w:ascii="Gadugi" w:eastAsia="Times New Roman" w:hAnsi="Gadugi" w:cs="Times New Roman"/>
          <w:color w:val="000000"/>
          <w:sz w:val="24"/>
          <w:szCs w:val="24"/>
          <w:lang w:val="es-419" w:eastAsia="es-ES"/>
        </w:rPr>
        <w:t xml:space="preserve"> </w:t>
      </w:r>
      <w:r w:rsidR="00905D58" w:rsidRPr="00757313">
        <w:rPr>
          <w:rFonts w:ascii="Gadugi" w:eastAsia="Times New Roman" w:hAnsi="Gadugi" w:cs="Times New Roman"/>
          <w:color w:val="000000"/>
          <w:sz w:val="24"/>
          <w:szCs w:val="24"/>
          <w:lang w:val="es-419" w:eastAsia="es-ES"/>
        </w:rPr>
        <w:t>del</w:t>
      </w:r>
      <w:r w:rsidR="00E87CCB" w:rsidRPr="00757313">
        <w:rPr>
          <w:rFonts w:ascii="Gadugi" w:eastAsia="Times New Roman" w:hAnsi="Gadugi" w:cs="Times New Roman"/>
          <w:color w:val="000000"/>
          <w:sz w:val="24"/>
          <w:szCs w:val="24"/>
          <w:lang w:val="es-419" w:eastAsia="es-ES"/>
        </w:rPr>
        <w:t xml:space="preserve"> el pago previo de </w:t>
      </w:r>
      <w:r w:rsidR="00756044" w:rsidRPr="00757313">
        <w:rPr>
          <w:rFonts w:ascii="Gadugi" w:eastAsia="Times New Roman" w:hAnsi="Gadugi" w:cs="Times New Roman"/>
          <w:color w:val="000000"/>
          <w:sz w:val="24"/>
          <w:szCs w:val="24"/>
          <w:lang w:val="es-419" w:eastAsia="es-ES"/>
        </w:rPr>
        <w:t xml:space="preserve">una </w:t>
      </w:r>
      <w:bookmarkStart w:id="0" w:name="_GoBack"/>
      <w:bookmarkEnd w:id="0"/>
      <w:r w:rsidR="00756044" w:rsidRPr="00757313">
        <w:rPr>
          <w:rFonts w:ascii="Gadugi" w:eastAsia="Times New Roman" w:hAnsi="Gadugi" w:cs="Times New Roman"/>
          <w:color w:val="000000"/>
          <w:sz w:val="24"/>
          <w:szCs w:val="24"/>
          <w:lang w:val="es-419" w:eastAsia="es-ES"/>
        </w:rPr>
        <w:lastRenderedPageBreak/>
        <w:t>indemnización sustitutiva</w:t>
      </w:r>
      <w:r w:rsidR="00E87CCB" w:rsidRPr="00757313">
        <w:rPr>
          <w:rFonts w:ascii="Gadugi" w:eastAsia="Times New Roman" w:hAnsi="Gadugi" w:cs="Times New Roman"/>
          <w:color w:val="000000"/>
          <w:sz w:val="24"/>
          <w:szCs w:val="24"/>
          <w:lang w:val="es-419" w:eastAsia="es-ES"/>
        </w:rPr>
        <w:t xml:space="preserve">, </w:t>
      </w:r>
      <w:r w:rsidR="00905D58" w:rsidRPr="00757313">
        <w:rPr>
          <w:rFonts w:ascii="Gadugi" w:eastAsia="Times New Roman" w:hAnsi="Gadugi" w:cs="Times New Roman"/>
          <w:color w:val="000000"/>
          <w:sz w:val="24"/>
          <w:szCs w:val="24"/>
          <w:lang w:val="es-419" w:eastAsia="es-ES"/>
        </w:rPr>
        <w:t>ha decantado la Corte Constitucional que ninguna incompatibilidad existe entre esta y la pensión de vejez</w:t>
      </w:r>
      <w:r w:rsidR="00905D58" w:rsidRPr="00757313">
        <w:rPr>
          <w:rStyle w:val="Refdenotaalpie"/>
          <w:rFonts w:ascii="Gadugi" w:eastAsia="Times New Roman" w:hAnsi="Gadugi"/>
          <w:color w:val="000000"/>
          <w:sz w:val="24"/>
          <w:szCs w:val="24"/>
          <w:lang w:val="es-419" w:eastAsia="es-ES"/>
        </w:rPr>
        <w:footnoteReference w:id="3"/>
      </w:r>
      <w:r w:rsidR="00905D58" w:rsidRPr="00757313">
        <w:rPr>
          <w:rFonts w:ascii="Gadugi" w:eastAsia="Times New Roman" w:hAnsi="Gadugi" w:cs="Times New Roman"/>
          <w:color w:val="000000"/>
          <w:sz w:val="24"/>
          <w:szCs w:val="24"/>
          <w:lang w:val="es-419" w:eastAsia="es-ES"/>
        </w:rPr>
        <w:t xml:space="preserve">. Incluso, </w:t>
      </w:r>
      <w:r w:rsidR="00E87CCB" w:rsidRPr="00757313">
        <w:rPr>
          <w:rFonts w:ascii="Gadugi" w:eastAsia="Times New Roman" w:hAnsi="Gadugi" w:cs="Times New Roman"/>
          <w:color w:val="000000"/>
          <w:sz w:val="24"/>
          <w:szCs w:val="24"/>
          <w:lang w:val="es-419" w:eastAsia="es-ES"/>
        </w:rPr>
        <w:t xml:space="preserve">en la reciente </w:t>
      </w:r>
      <w:r w:rsidR="00905D58" w:rsidRPr="00757313">
        <w:rPr>
          <w:rFonts w:ascii="Gadugi" w:eastAsia="Times New Roman" w:hAnsi="Gadugi" w:cs="Times New Roman"/>
          <w:color w:val="000000"/>
          <w:sz w:val="24"/>
          <w:szCs w:val="24"/>
          <w:lang w:val="es-419" w:eastAsia="es-ES"/>
        </w:rPr>
        <w:t>s</w:t>
      </w:r>
      <w:r w:rsidR="00784E3A" w:rsidRPr="00757313">
        <w:rPr>
          <w:rFonts w:ascii="Gadugi" w:eastAsia="Times New Roman" w:hAnsi="Gadugi" w:cs="Times New Roman"/>
          <w:color w:val="000000"/>
          <w:sz w:val="24"/>
          <w:szCs w:val="24"/>
          <w:lang w:val="es-419" w:eastAsia="es-ES"/>
        </w:rPr>
        <w:t>entencia</w:t>
      </w:r>
      <w:r w:rsidR="00905D58" w:rsidRPr="00757313">
        <w:rPr>
          <w:rFonts w:ascii="Gadugi" w:eastAsia="Times New Roman" w:hAnsi="Gadugi" w:cs="Times New Roman"/>
          <w:color w:val="000000"/>
          <w:sz w:val="24"/>
          <w:szCs w:val="24"/>
          <w:lang w:val="es-419" w:eastAsia="es-ES"/>
        </w:rPr>
        <w:t xml:space="preserve"> T-434-19, del 24 de septiembre del presente año, recalcó: </w:t>
      </w:r>
      <w:r w:rsidR="00784E3A" w:rsidRPr="00757313">
        <w:rPr>
          <w:rFonts w:ascii="Gadugi" w:eastAsia="Times New Roman" w:hAnsi="Gadugi" w:cs="Times New Roman"/>
          <w:color w:val="000000"/>
          <w:sz w:val="24"/>
          <w:szCs w:val="24"/>
          <w:lang w:val="es-419" w:eastAsia="es-ES"/>
        </w:rPr>
        <w:t xml:space="preserve"> </w:t>
      </w:r>
    </w:p>
    <w:p w:rsidR="00905D58" w:rsidRPr="00757313" w:rsidRDefault="00905D58" w:rsidP="00757313">
      <w:pPr>
        <w:autoSpaceDE w:val="0"/>
        <w:autoSpaceDN w:val="0"/>
        <w:adjustRightInd w:val="0"/>
        <w:spacing w:after="0" w:line="276" w:lineRule="auto"/>
        <w:jc w:val="both"/>
        <w:rPr>
          <w:rFonts w:ascii="Gadugi" w:eastAsia="Times New Roman" w:hAnsi="Gadugi" w:cs="Times New Roman"/>
          <w:color w:val="000000"/>
          <w:sz w:val="24"/>
          <w:szCs w:val="24"/>
          <w:lang w:val="es-419" w:eastAsia="es-ES"/>
        </w:rPr>
      </w:pPr>
    </w:p>
    <w:p w:rsidR="00905D58" w:rsidRPr="00757313" w:rsidRDefault="00905D58" w:rsidP="00757313">
      <w:pPr>
        <w:spacing w:after="0" w:line="240" w:lineRule="auto"/>
        <w:ind w:left="426" w:right="420" w:firstLine="2268"/>
        <w:jc w:val="both"/>
        <w:rPr>
          <w:rFonts w:ascii="Gadugi" w:hAnsi="Gadugi"/>
          <w:bCs/>
          <w:color w:val="0D0D0D" w:themeColor="text1" w:themeTint="F2"/>
          <w:szCs w:val="24"/>
          <w:lang w:val="es-ES"/>
        </w:rPr>
      </w:pPr>
      <w:r w:rsidRPr="00757313">
        <w:rPr>
          <w:rFonts w:ascii="Gadugi" w:hAnsi="Gadugi"/>
          <w:bCs/>
          <w:color w:val="0D0D0D" w:themeColor="text1" w:themeTint="F2"/>
          <w:szCs w:val="24"/>
        </w:rPr>
        <w:t xml:space="preserve">La Corte Constitucional ha establecido que una persona que ha recibido la </w:t>
      </w:r>
      <w:r w:rsidRPr="00757313">
        <w:rPr>
          <w:rFonts w:ascii="Gadugi" w:hAnsi="Gadugi"/>
          <w:bCs/>
          <w:i/>
          <w:color w:val="0D0D0D" w:themeColor="text1" w:themeTint="F2"/>
          <w:szCs w:val="24"/>
        </w:rPr>
        <w:t>indemnización sustitutiva de la pensión de vejez</w:t>
      </w:r>
      <w:r w:rsidRPr="00757313">
        <w:rPr>
          <w:rFonts w:ascii="Gadugi" w:hAnsi="Gadugi"/>
          <w:bCs/>
          <w:color w:val="0D0D0D" w:themeColor="text1" w:themeTint="F2"/>
          <w:szCs w:val="24"/>
        </w:rPr>
        <w:t xml:space="preserve">, puede </w:t>
      </w:r>
      <w:r w:rsidRPr="00757313">
        <w:rPr>
          <w:rFonts w:ascii="Gadugi" w:hAnsi="Gadugi"/>
          <w:bCs/>
          <w:color w:val="0D0D0D" w:themeColor="text1" w:themeTint="F2"/>
          <w:szCs w:val="24"/>
          <w:lang w:val="es-ES"/>
        </w:rPr>
        <w:t>continuar cotizando al Sistema de Seguridad Social en Pensiones, para efectos</w:t>
      </w:r>
      <w:r w:rsidR="000C05C0" w:rsidRPr="00757313">
        <w:rPr>
          <w:rFonts w:ascii="Gadugi" w:hAnsi="Gadugi"/>
          <w:bCs/>
          <w:color w:val="0D0D0D" w:themeColor="text1" w:themeTint="F2"/>
          <w:szCs w:val="24"/>
          <w:lang w:val="es-ES"/>
        </w:rPr>
        <w:t xml:space="preserve"> </w:t>
      </w:r>
      <w:r w:rsidRPr="00757313">
        <w:rPr>
          <w:rFonts w:ascii="Gadugi" w:hAnsi="Gadugi"/>
          <w:bCs/>
          <w:color w:val="0D0D0D" w:themeColor="text1" w:themeTint="F2"/>
          <w:szCs w:val="24"/>
          <w:lang w:val="es-ES"/>
        </w:rPr>
        <w:t>de pensionarse por un riesgo distinto a aquel por el cual se le reconoció la indemnización sustitutiva</w:t>
      </w:r>
      <w:r w:rsidRPr="00757313">
        <w:rPr>
          <w:rStyle w:val="Refdenotaalpie"/>
          <w:rFonts w:ascii="Gadugi" w:hAnsi="Gadugi"/>
          <w:bCs/>
          <w:color w:val="0D0D0D" w:themeColor="text1" w:themeTint="F2"/>
          <w:szCs w:val="24"/>
        </w:rPr>
        <w:footnoteReference w:id="4"/>
      </w:r>
      <w:r w:rsidRPr="00757313">
        <w:rPr>
          <w:rFonts w:ascii="Gadugi" w:hAnsi="Gadugi"/>
          <w:bCs/>
          <w:color w:val="0D0D0D" w:themeColor="text1" w:themeTint="F2"/>
          <w:szCs w:val="24"/>
          <w:lang w:val="es-ES"/>
        </w:rPr>
        <w:t>.</w:t>
      </w:r>
      <w:r w:rsidRPr="00757313">
        <w:rPr>
          <w:rStyle w:val="Refdenotaalpie"/>
          <w:rFonts w:ascii="Gadugi" w:hAnsi="Gadugi"/>
          <w:bCs/>
          <w:color w:val="0D0D0D" w:themeColor="text1" w:themeTint="F2"/>
          <w:szCs w:val="24"/>
          <w:lang w:val="es-ES"/>
        </w:rPr>
        <w:footnoteReference w:id="5"/>
      </w:r>
    </w:p>
    <w:p w:rsidR="000C05C0" w:rsidRPr="00757313" w:rsidRDefault="000C05C0" w:rsidP="00757313">
      <w:pPr>
        <w:spacing w:after="0" w:line="240" w:lineRule="auto"/>
        <w:ind w:left="426" w:right="420" w:firstLine="2268"/>
        <w:jc w:val="both"/>
        <w:rPr>
          <w:rFonts w:ascii="Gadugi" w:hAnsi="Gadugi"/>
          <w:bCs/>
          <w:color w:val="0D0D0D" w:themeColor="text1" w:themeTint="F2"/>
          <w:szCs w:val="24"/>
        </w:rPr>
      </w:pPr>
    </w:p>
    <w:p w:rsidR="00905D58" w:rsidRPr="00757313" w:rsidRDefault="00905D58" w:rsidP="00757313">
      <w:pPr>
        <w:spacing w:after="0" w:line="240" w:lineRule="auto"/>
        <w:ind w:left="426" w:right="420" w:firstLine="2268"/>
        <w:jc w:val="both"/>
        <w:rPr>
          <w:rFonts w:ascii="Gadugi" w:hAnsi="Gadugi"/>
          <w:bCs/>
          <w:color w:val="0D0D0D" w:themeColor="text1" w:themeTint="F2"/>
          <w:szCs w:val="24"/>
        </w:rPr>
      </w:pPr>
      <w:r w:rsidRPr="00757313">
        <w:rPr>
          <w:rFonts w:ascii="Gadugi" w:hAnsi="Gadugi"/>
          <w:bCs/>
          <w:color w:val="0D0D0D" w:themeColor="text1" w:themeTint="F2"/>
          <w:szCs w:val="24"/>
        </w:rPr>
        <w:t xml:space="preserve">Al resolver casos similares al </w:t>
      </w:r>
      <w:r w:rsidRPr="00757313">
        <w:rPr>
          <w:rFonts w:ascii="Gadugi" w:hAnsi="Gadugi"/>
          <w:bCs/>
          <w:i/>
          <w:color w:val="0D0D0D" w:themeColor="text1" w:themeTint="F2"/>
          <w:szCs w:val="24"/>
        </w:rPr>
        <w:t xml:space="preserve">sub examine </w:t>
      </w:r>
      <w:r w:rsidRPr="00757313">
        <w:rPr>
          <w:rFonts w:ascii="Gadugi" w:hAnsi="Gadugi"/>
          <w:bCs/>
          <w:color w:val="0D0D0D" w:themeColor="text1" w:themeTint="F2"/>
          <w:szCs w:val="24"/>
        </w:rPr>
        <w:t xml:space="preserve">(en los que los accionantes habían recibido una </w:t>
      </w:r>
      <w:r w:rsidRPr="00757313">
        <w:rPr>
          <w:rFonts w:ascii="Gadugi" w:hAnsi="Gadugi"/>
          <w:bCs/>
          <w:i/>
          <w:color w:val="0D0D0D" w:themeColor="text1" w:themeTint="F2"/>
          <w:szCs w:val="24"/>
        </w:rPr>
        <w:t>indemnización sustitutiva</w:t>
      </w:r>
      <w:r w:rsidRPr="00757313">
        <w:rPr>
          <w:rFonts w:ascii="Gadugi" w:hAnsi="Gadugi"/>
          <w:bCs/>
          <w:color w:val="0D0D0D" w:themeColor="text1" w:themeTint="F2"/>
          <w:szCs w:val="24"/>
        </w:rPr>
        <w:t xml:space="preserve"> </w:t>
      </w:r>
      <w:r w:rsidRPr="00757313">
        <w:rPr>
          <w:rFonts w:ascii="Gadugi" w:hAnsi="Gadugi"/>
          <w:bCs/>
          <w:i/>
          <w:color w:val="0D0D0D" w:themeColor="text1" w:themeTint="F2"/>
          <w:szCs w:val="24"/>
        </w:rPr>
        <w:t xml:space="preserve">de la pensión de vejez </w:t>
      </w:r>
      <w:r w:rsidRPr="00757313">
        <w:rPr>
          <w:rFonts w:ascii="Gadugi" w:hAnsi="Gadugi"/>
          <w:bCs/>
          <w:color w:val="0D0D0D" w:themeColor="text1" w:themeTint="F2"/>
          <w:szCs w:val="24"/>
        </w:rPr>
        <w:t>pero continuaron cotizando y luego se determinó su pérdida de capacidad laboral superior al 50% con una fecha de estructuración posterior al reconocimiento de la primera prestación), en las sentencias T-861 de 2014</w:t>
      </w:r>
      <w:r w:rsidRPr="00757313">
        <w:rPr>
          <w:rStyle w:val="Refdenotaalpie"/>
          <w:rFonts w:ascii="Gadugi" w:hAnsi="Gadugi"/>
          <w:bCs/>
          <w:color w:val="0D0D0D" w:themeColor="text1" w:themeTint="F2"/>
          <w:szCs w:val="24"/>
        </w:rPr>
        <w:footnoteReference w:id="6"/>
      </w:r>
      <w:r w:rsidRPr="00757313">
        <w:rPr>
          <w:rFonts w:ascii="Gadugi" w:hAnsi="Gadugi"/>
          <w:bCs/>
          <w:color w:val="0D0D0D" w:themeColor="text1" w:themeTint="F2"/>
          <w:szCs w:val="24"/>
        </w:rPr>
        <w:t>, T-596 de 2016</w:t>
      </w:r>
      <w:r w:rsidRPr="00757313">
        <w:rPr>
          <w:rStyle w:val="Refdenotaalpie"/>
          <w:rFonts w:ascii="Gadugi" w:hAnsi="Gadugi"/>
          <w:bCs/>
          <w:color w:val="0D0D0D" w:themeColor="text1" w:themeTint="F2"/>
          <w:szCs w:val="24"/>
        </w:rPr>
        <w:footnoteReference w:id="7"/>
      </w:r>
      <w:r w:rsidRPr="00757313">
        <w:rPr>
          <w:rFonts w:ascii="Gadugi" w:hAnsi="Gadugi"/>
          <w:bCs/>
          <w:color w:val="0D0D0D" w:themeColor="text1" w:themeTint="F2"/>
          <w:szCs w:val="24"/>
        </w:rPr>
        <w:t xml:space="preserve"> y T-656 de 2016</w:t>
      </w:r>
      <w:r w:rsidRPr="00757313">
        <w:rPr>
          <w:rStyle w:val="Refdenotaalpie"/>
          <w:rFonts w:ascii="Gadugi" w:hAnsi="Gadugi"/>
          <w:bCs/>
          <w:color w:val="0D0D0D" w:themeColor="text1" w:themeTint="F2"/>
          <w:szCs w:val="24"/>
        </w:rPr>
        <w:footnoteReference w:id="8"/>
      </w:r>
      <w:r w:rsidRPr="00757313">
        <w:rPr>
          <w:rFonts w:ascii="Gadugi" w:hAnsi="Gadugi"/>
          <w:bCs/>
          <w:color w:val="0D0D0D" w:themeColor="text1" w:themeTint="F2"/>
          <w:szCs w:val="24"/>
        </w:rPr>
        <w:t xml:space="preserve"> la Corte determinó que, en esos eventos, el previo reconocimiento de la referida </w:t>
      </w:r>
      <w:r w:rsidRPr="00757313">
        <w:rPr>
          <w:rFonts w:ascii="Gadugi" w:hAnsi="Gadugi"/>
          <w:bCs/>
          <w:i/>
          <w:color w:val="0D0D0D" w:themeColor="text1" w:themeTint="F2"/>
          <w:szCs w:val="24"/>
        </w:rPr>
        <w:t xml:space="preserve">indemnización </w:t>
      </w:r>
      <w:r w:rsidRPr="00757313">
        <w:rPr>
          <w:rFonts w:ascii="Gadugi" w:hAnsi="Gadugi"/>
          <w:bCs/>
          <w:color w:val="0D0D0D" w:themeColor="text1" w:themeTint="F2"/>
          <w:szCs w:val="24"/>
        </w:rPr>
        <w:t xml:space="preserve">no era un impedimento para acceder a la pensión de </w:t>
      </w:r>
      <w:r w:rsidRPr="00757313">
        <w:rPr>
          <w:rFonts w:ascii="Gadugi" w:hAnsi="Gadugi"/>
          <w:bCs/>
          <w:color w:val="0D0D0D" w:themeColor="text1" w:themeTint="F2"/>
          <w:szCs w:val="24"/>
        </w:rPr>
        <w:lastRenderedPageBreak/>
        <w:t>invalidez, en tanto “</w:t>
      </w:r>
      <w:r w:rsidRPr="00757313">
        <w:rPr>
          <w:rFonts w:ascii="Gadugi" w:hAnsi="Gadugi"/>
          <w:bCs/>
          <w:i/>
          <w:color w:val="0D0D0D" w:themeColor="text1" w:themeTint="F2"/>
          <w:szCs w:val="24"/>
        </w:rPr>
        <w:t>se trata de dos prestaciones completamente diferentes, que amparan diversos riesgos, y que contienen exigencias disímiles</w:t>
      </w:r>
      <w:r w:rsidRPr="00757313">
        <w:rPr>
          <w:rFonts w:ascii="Gadugi" w:hAnsi="Gadugi"/>
          <w:bCs/>
          <w:color w:val="0D0D0D" w:themeColor="text1" w:themeTint="F2"/>
          <w:szCs w:val="24"/>
        </w:rPr>
        <w:t>.”</w:t>
      </w:r>
      <w:r w:rsidRPr="00757313">
        <w:rPr>
          <w:rStyle w:val="Refdenotaalpie"/>
          <w:rFonts w:ascii="Gadugi" w:hAnsi="Gadugi"/>
          <w:bCs/>
          <w:color w:val="0D0D0D" w:themeColor="text1" w:themeTint="F2"/>
          <w:szCs w:val="24"/>
        </w:rPr>
        <w:footnoteReference w:id="9"/>
      </w:r>
    </w:p>
    <w:p w:rsidR="00905D58" w:rsidRPr="00757313" w:rsidRDefault="00905D58" w:rsidP="00757313">
      <w:pPr>
        <w:spacing w:after="0" w:line="240" w:lineRule="auto"/>
        <w:ind w:left="426" w:right="420" w:firstLine="2268"/>
        <w:jc w:val="both"/>
        <w:rPr>
          <w:rFonts w:ascii="Gadugi" w:hAnsi="Gadugi"/>
          <w:bCs/>
          <w:color w:val="0D0D0D" w:themeColor="text1" w:themeTint="F2"/>
          <w:szCs w:val="24"/>
        </w:rPr>
      </w:pPr>
    </w:p>
    <w:p w:rsidR="00905D58" w:rsidRPr="00757313" w:rsidRDefault="00905D58" w:rsidP="00757313">
      <w:pPr>
        <w:spacing w:after="0" w:line="240" w:lineRule="auto"/>
        <w:ind w:left="426" w:right="420" w:firstLine="2268"/>
        <w:jc w:val="both"/>
        <w:rPr>
          <w:rFonts w:ascii="Gadugi" w:hAnsi="Gadugi"/>
          <w:color w:val="0D0D0D" w:themeColor="text1" w:themeTint="F2"/>
          <w:szCs w:val="24"/>
        </w:rPr>
      </w:pPr>
      <w:r w:rsidRPr="00757313">
        <w:rPr>
          <w:rFonts w:ascii="Gadugi" w:hAnsi="Gadugi"/>
          <w:bCs/>
          <w:color w:val="0D0D0D" w:themeColor="text1" w:themeTint="F2"/>
          <w:szCs w:val="24"/>
        </w:rPr>
        <w:t xml:space="preserve">En el mismo sentido se ha pronunciado la Sala de Casación Laboral de la Corte Suprema de Justicia al resolver casos equivalentes, agregando que el reconocimiento de una indemnización sustitutiva </w:t>
      </w:r>
      <w:r w:rsidRPr="00757313">
        <w:rPr>
          <w:rFonts w:ascii="Gadugi" w:hAnsi="Gadugi"/>
          <w:color w:val="0D0D0D" w:themeColor="text1" w:themeTint="F2"/>
          <w:szCs w:val="24"/>
        </w:rPr>
        <w:t>no es un acto definitivo sino provisional que puede revisarse ante un mejor derecho.</w:t>
      </w:r>
      <w:r w:rsidRPr="00757313">
        <w:rPr>
          <w:rStyle w:val="Refdenotaalpie"/>
          <w:rFonts w:ascii="Gadugi" w:hAnsi="Gadugi"/>
          <w:color w:val="0D0D0D" w:themeColor="text1" w:themeTint="F2"/>
          <w:szCs w:val="24"/>
        </w:rPr>
        <w:footnoteReference w:id="10"/>
      </w:r>
    </w:p>
    <w:p w:rsidR="000C05C0" w:rsidRPr="00757313" w:rsidRDefault="000C05C0" w:rsidP="00757313">
      <w:pPr>
        <w:autoSpaceDE w:val="0"/>
        <w:autoSpaceDN w:val="0"/>
        <w:adjustRightInd w:val="0"/>
        <w:spacing w:after="0" w:line="276" w:lineRule="auto"/>
        <w:jc w:val="both"/>
        <w:rPr>
          <w:rFonts w:ascii="Gadugi" w:eastAsia="Times New Roman" w:hAnsi="Gadugi" w:cs="Times New Roman"/>
          <w:color w:val="000000"/>
          <w:sz w:val="24"/>
          <w:szCs w:val="24"/>
          <w:lang w:val="es-419" w:eastAsia="es-ES"/>
        </w:rPr>
      </w:pPr>
    </w:p>
    <w:p w:rsidR="009C7A12" w:rsidRPr="00757313" w:rsidRDefault="00E87CCB" w:rsidP="00757313">
      <w:pPr>
        <w:spacing w:line="276" w:lineRule="auto"/>
        <w:jc w:val="both"/>
        <w:rPr>
          <w:rFonts w:ascii="Gadugi" w:eastAsia="Times New Roman" w:hAnsi="Gadugi" w:cs="Times New Roman"/>
          <w:color w:val="000000"/>
          <w:sz w:val="24"/>
          <w:szCs w:val="24"/>
          <w:lang w:val="es-419" w:eastAsia="es-ES"/>
        </w:rPr>
      </w:pPr>
      <w:r w:rsidRPr="00757313">
        <w:rPr>
          <w:rFonts w:ascii="Gadugi" w:eastAsia="Times New Roman" w:hAnsi="Gadugi" w:cs="Times New Roman"/>
          <w:color w:val="000000"/>
          <w:sz w:val="24"/>
          <w:szCs w:val="24"/>
          <w:lang w:val="es-419" w:eastAsia="es-ES"/>
        </w:rPr>
        <w:t xml:space="preserve">  </w:t>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t xml:space="preserve">Con lo que queda claro que, a pesar </w:t>
      </w:r>
      <w:r w:rsidR="0051087B" w:rsidRPr="00757313">
        <w:rPr>
          <w:rFonts w:ascii="Gadugi" w:eastAsia="Times New Roman" w:hAnsi="Gadugi" w:cs="Times New Roman"/>
          <w:color w:val="000000"/>
          <w:sz w:val="24"/>
          <w:szCs w:val="24"/>
          <w:lang w:val="es-419" w:eastAsia="es-ES"/>
        </w:rPr>
        <w:t>de que medie un</w:t>
      </w:r>
      <w:r w:rsidRPr="00757313">
        <w:rPr>
          <w:rFonts w:ascii="Gadugi" w:eastAsia="Times New Roman" w:hAnsi="Gadugi" w:cs="Times New Roman"/>
          <w:color w:val="000000"/>
          <w:sz w:val="24"/>
          <w:szCs w:val="24"/>
          <w:lang w:val="es-419" w:eastAsia="es-ES"/>
        </w:rPr>
        <w:t xml:space="preserve"> pago </w:t>
      </w:r>
      <w:r w:rsidR="0051087B" w:rsidRPr="00757313">
        <w:rPr>
          <w:rFonts w:ascii="Gadugi" w:eastAsia="Times New Roman" w:hAnsi="Gadugi" w:cs="Times New Roman"/>
          <w:color w:val="000000"/>
          <w:sz w:val="24"/>
          <w:szCs w:val="24"/>
          <w:lang w:val="es-419" w:eastAsia="es-ES"/>
        </w:rPr>
        <w:t xml:space="preserve">previo </w:t>
      </w:r>
      <w:r w:rsidRPr="00757313">
        <w:rPr>
          <w:rFonts w:ascii="Gadugi" w:eastAsia="Times New Roman" w:hAnsi="Gadugi" w:cs="Times New Roman"/>
          <w:color w:val="000000"/>
          <w:sz w:val="24"/>
          <w:szCs w:val="24"/>
          <w:lang w:val="es-419" w:eastAsia="es-ES"/>
        </w:rPr>
        <w:t>d</w:t>
      </w:r>
      <w:r w:rsidR="0051087B" w:rsidRPr="00757313">
        <w:rPr>
          <w:rFonts w:ascii="Gadugi" w:eastAsia="Times New Roman" w:hAnsi="Gadugi" w:cs="Times New Roman"/>
          <w:color w:val="000000"/>
          <w:sz w:val="24"/>
          <w:szCs w:val="24"/>
          <w:lang w:val="es-419" w:eastAsia="es-ES"/>
        </w:rPr>
        <w:t>e la indemnización sustitutiva, e</w:t>
      </w:r>
      <w:r w:rsidRPr="00757313">
        <w:rPr>
          <w:rFonts w:ascii="Gadugi" w:eastAsia="Times New Roman" w:hAnsi="Gadugi" w:cs="Times New Roman"/>
          <w:color w:val="000000"/>
          <w:sz w:val="24"/>
          <w:szCs w:val="24"/>
          <w:lang w:val="es-419" w:eastAsia="es-ES"/>
        </w:rPr>
        <w:t>s viable el reconocimiento de la prestación deprecada</w:t>
      </w:r>
      <w:r w:rsidR="00D675F2" w:rsidRPr="00757313">
        <w:rPr>
          <w:rFonts w:ascii="Gadugi" w:hAnsi="Gadugi"/>
          <w:iCs/>
          <w:spacing w:val="2"/>
          <w:sz w:val="24"/>
          <w:szCs w:val="24"/>
          <w:vertAlign w:val="superscript"/>
          <w:lang w:val="es-CO"/>
        </w:rPr>
        <w:footnoteReference w:id="11"/>
      </w:r>
      <w:r w:rsidRPr="00757313">
        <w:rPr>
          <w:rFonts w:ascii="Gadugi" w:eastAsia="Times New Roman" w:hAnsi="Gadugi" w:cs="Times New Roman"/>
          <w:color w:val="000000"/>
          <w:sz w:val="24"/>
          <w:szCs w:val="24"/>
          <w:lang w:val="es-419" w:eastAsia="es-ES"/>
        </w:rPr>
        <w:t>, sin perjuicio de que se ord</w:t>
      </w:r>
      <w:r w:rsidR="00CB2992" w:rsidRPr="00757313">
        <w:rPr>
          <w:rFonts w:ascii="Gadugi" w:eastAsia="Times New Roman" w:hAnsi="Gadugi" w:cs="Times New Roman"/>
          <w:color w:val="000000"/>
          <w:sz w:val="24"/>
          <w:szCs w:val="24"/>
          <w:lang w:val="es-419" w:eastAsia="es-ES"/>
        </w:rPr>
        <w:t>ene la compensación respectiva;</w:t>
      </w:r>
      <w:r w:rsidR="00A271FF" w:rsidRPr="00757313">
        <w:rPr>
          <w:rFonts w:ascii="Gadugi" w:eastAsia="Times New Roman" w:hAnsi="Gadugi" w:cs="Times New Roman"/>
          <w:color w:val="000000"/>
          <w:sz w:val="24"/>
          <w:szCs w:val="24"/>
          <w:lang w:val="es-419" w:eastAsia="es-ES"/>
        </w:rPr>
        <w:t xml:space="preserve"> de lo cual se concluye que los actos administrativos que</w:t>
      </w:r>
      <w:r w:rsidR="0051087B" w:rsidRPr="00757313">
        <w:rPr>
          <w:rFonts w:ascii="Gadugi" w:eastAsia="Times New Roman" w:hAnsi="Gadugi" w:cs="Times New Roman"/>
          <w:color w:val="000000"/>
          <w:sz w:val="24"/>
          <w:szCs w:val="24"/>
          <w:lang w:val="es-419" w:eastAsia="es-ES"/>
        </w:rPr>
        <w:t xml:space="preserve"> con ese fundamento</w:t>
      </w:r>
      <w:r w:rsidR="00A271FF" w:rsidRPr="00757313">
        <w:rPr>
          <w:rFonts w:ascii="Gadugi" w:eastAsia="Times New Roman" w:hAnsi="Gadugi" w:cs="Times New Roman"/>
          <w:color w:val="000000"/>
          <w:sz w:val="24"/>
          <w:szCs w:val="24"/>
          <w:lang w:val="es-419" w:eastAsia="es-ES"/>
        </w:rPr>
        <w:t xml:space="preserve"> negaron la prestación, es decir, el SUB 326557 del 19 de diciembre del 2018 y el DIR 1327 del 4 de febrero de este año, violentan las prerrogativas fundamentales </w:t>
      </w:r>
      <w:r w:rsidR="00350051" w:rsidRPr="00757313">
        <w:rPr>
          <w:rFonts w:ascii="Gadugi" w:eastAsia="Times New Roman" w:hAnsi="Gadugi" w:cs="Times New Roman"/>
          <w:color w:val="000000"/>
          <w:sz w:val="24"/>
          <w:szCs w:val="24"/>
          <w:lang w:val="es-419" w:eastAsia="es-ES"/>
        </w:rPr>
        <w:t xml:space="preserve">invocadas por </w:t>
      </w:r>
      <w:r w:rsidR="00CB2992" w:rsidRPr="00757313">
        <w:rPr>
          <w:rFonts w:ascii="Gadugi" w:eastAsia="Times New Roman" w:hAnsi="Gadugi" w:cs="Times New Roman"/>
          <w:color w:val="000000"/>
          <w:sz w:val="24"/>
          <w:szCs w:val="24"/>
          <w:lang w:val="es-419" w:eastAsia="es-ES"/>
        </w:rPr>
        <w:t>la accionante, tal como se razonó en primera instancia.</w:t>
      </w:r>
    </w:p>
    <w:p w:rsidR="009C7A12" w:rsidRPr="00757313" w:rsidRDefault="009C7A12"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E87CCB" w:rsidRPr="00757313" w:rsidRDefault="009C7A12"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t>Ahora bien, como en este caso hay certeza de que</w:t>
      </w:r>
      <w:r w:rsidR="00A271FF" w:rsidRPr="00757313">
        <w:rPr>
          <w:rFonts w:ascii="Gadugi" w:eastAsia="Times New Roman" w:hAnsi="Gadugi" w:cs="Times New Roman"/>
          <w:color w:val="000000"/>
          <w:sz w:val="24"/>
          <w:szCs w:val="24"/>
          <w:lang w:val="es-419" w:eastAsia="es-ES"/>
        </w:rPr>
        <w:t xml:space="preserve"> la señora Rodríguez Zapata </w:t>
      </w:r>
      <w:r w:rsidR="00905D58" w:rsidRPr="00757313">
        <w:rPr>
          <w:rFonts w:ascii="Gadugi" w:eastAsia="Times New Roman" w:hAnsi="Gadugi" w:cs="Times New Roman"/>
          <w:color w:val="000000"/>
          <w:sz w:val="24"/>
          <w:szCs w:val="24"/>
          <w:lang w:val="es-419" w:eastAsia="es-ES"/>
        </w:rPr>
        <w:t xml:space="preserve">cumple </w:t>
      </w:r>
      <w:r w:rsidRPr="00757313">
        <w:rPr>
          <w:rFonts w:ascii="Gadugi" w:eastAsia="Times New Roman" w:hAnsi="Gadugi" w:cs="Times New Roman"/>
          <w:color w:val="000000"/>
          <w:sz w:val="24"/>
          <w:szCs w:val="24"/>
          <w:lang w:val="es-419" w:eastAsia="es-ES"/>
        </w:rPr>
        <w:t xml:space="preserve">los requisitos para obtener la pensión de invalidez que ruega, y </w:t>
      </w:r>
      <w:r w:rsidR="00905D58" w:rsidRPr="00757313">
        <w:rPr>
          <w:rFonts w:ascii="Gadugi" w:eastAsia="Times New Roman" w:hAnsi="Gadugi" w:cs="Times New Roman"/>
          <w:color w:val="000000"/>
          <w:sz w:val="24"/>
          <w:szCs w:val="24"/>
          <w:lang w:val="es-419" w:eastAsia="es-ES"/>
        </w:rPr>
        <w:t xml:space="preserve">de </w:t>
      </w:r>
      <w:r w:rsidRPr="00757313">
        <w:rPr>
          <w:rFonts w:ascii="Gadugi" w:eastAsia="Times New Roman" w:hAnsi="Gadugi" w:cs="Times New Roman"/>
          <w:color w:val="000000"/>
          <w:sz w:val="24"/>
          <w:szCs w:val="24"/>
          <w:lang w:val="es-419" w:eastAsia="es-ES"/>
        </w:rPr>
        <w:t>que sus pa</w:t>
      </w:r>
      <w:r w:rsidR="00905D58" w:rsidRPr="00757313">
        <w:rPr>
          <w:rFonts w:ascii="Gadugi" w:eastAsia="Times New Roman" w:hAnsi="Gadugi" w:cs="Times New Roman"/>
          <w:color w:val="000000"/>
          <w:sz w:val="24"/>
          <w:szCs w:val="24"/>
          <w:lang w:val="es-419" w:eastAsia="es-ES"/>
        </w:rPr>
        <w:t>r</w:t>
      </w:r>
      <w:r w:rsidRPr="00757313">
        <w:rPr>
          <w:rFonts w:ascii="Gadugi" w:eastAsia="Times New Roman" w:hAnsi="Gadugi" w:cs="Times New Roman"/>
          <w:color w:val="000000"/>
          <w:sz w:val="24"/>
          <w:szCs w:val="24"/>
          <w:lang w:val="es-419" w:eastAsia="es-ES"/>
        </w:rPr>
        <w:t xml:space="preserve">ticulares condiciones personales, como su salud y su edad, </w:t>
      </w:r>
      <w:r w:rsidR="00905D58" w:rsidRPr="00757313">
        <w:rPr>
          <w:rFonts w:ascii="Gadugi" w:eastAsia="Times New Roman" w:hAnsi="Gadugi" w:cs="Times New Roman"/>
          <w:color w:val="000000"/>
          <w:sz w:val="24"/>
          <w:szCs w:val="24"/>
          <w:lang w:val="es-419" w:eastAsia="es-ES"/>
        </w:rPr>
        <w:t xml:space="preserve">la tornan </w:t>
      </w:r>
      <w:r w:rsidRPr="00757313">
        <w:rPr>
          <w:rFonts w:ascii="Gadugi" w:eastAsia="Times New Roman" w:hAnsi="Gadugi" w:cs="Times New Roman"/>
          <w:color w:val="000000"/>
          <w:sz w:val="24"/>
          <w:szCs w:val="24"/>
          <w:lang w:val="es-419" w:eastAsia="es-ES"/>
        </w:rPr>
        <w:t>apremiante, la Sala como en otras oportunidades ordenará el reconocimiento y pago de la subvención</w:t>
      </w:r>
      <w:r w:rsidR="00350051" w:rsidRPr="00757313">
        <w:rPr>
          <w:rStyle w:val="Refdenotaalpie"/>
          <w:rFonts w:ascii="Gadugi" w:eastAsia="Times New Roman" w:hAnsi="Gadugi"/>
          <w:color w:val="000000"/>
          <w:sz w:val="24"/>
          <w:szCs w:val="24"/>
          <w:lang w:val="es-419" w:eastAsia="es-ES"/>
        </w:rPr>
        <w:footnoteReference w:id="12"/>
      </w:r>
      <w:r w:rsidR="00350051" w:rsidRPr="00757313">
        <w:rPr>
          <w:rFonts w:ascii="Gadugi" w:eastAsia="Times New Roman" w:hAnsi="Gadugi" w:cs="Times New Roman"/>
          <w:color w:val="000000"/>
          <w:sz w:val="24"/>
          <w:szCs w:val="24"/>
          <w:vertAlign w:val="superscript"/>
          <w:lang w:val="es-419" w:eastAsia="es-ES"/>
        </w:rPr>
        <w:t>-</w:t>
      </w:r>
      <w:r w:rsidR="00350051" w:rsidRPr="00757313">
        <w:rPr>
          <w:rStyle w:val="Refdenotaalpie"/>
          <w:rFonts w:ascii="Gadugi" w:eastAsia="Times New Roman" w:hAnsi="Gadugi"/>
          <w:color w:val="000000"/>
          <w:sz w:val="24"/>
          <w:szCs w:val="24"/>
          <w:lang w:val="es-419" w:eastAsia="es-ES"/>
        </w:rPr>
        <w:footnoteReference w:id="13"/>
      </w:r>
      <w:r w:rsidRPr="00757313">
        <w:rPr>
          <w:rFonts w:ascii="Gadugi" w:eastAsia="Times New Roman" w:hAnsi="Gadugi" w:cs="Times New Roman"/>
          <w:color w:val="000000"/>
          <w:sz w:val="24"/>
          <w:szCs w:val="24"/>
          <w:lang w:val="es-419" w:eastAsia="es-ES"/>
        </w:rPr>
        <w:t xml:space="preserve">, que no </w:t>
      </w:r>
      <w:r w:rsidR="009F2253" w:rsidRPr="00757313">
        <w:rPr>
          <w:rFonts w:ascii="Gadugi" w:eastAsia="Times New Roman" w:hAnsi="Gadugi" w:cs="Times New Roman"/>
          <w:color w:val="000000"/>
          <w:sz w:val="24"/>
          <w:szCs w:val="24"/>
          <w:lang w:val="es-419" w:eastAsia="es-ES"/>
        </w:rPr>
        <w:t>solo disponer un nuevo estudio de la misma por parte de Colpensiones</w:t>
      </w:r>
      <w:r w:rsidR="00DC47C5" w:rsidRPr="00757313">
        <w:rPr>
          <w:rFonts w:ascii="Gadugi" w:eastAsia="Times New Roman" w:hAnsi="Gadugi" w:cs="Times New Roman"/>
          <w:color w:val="000000"/>
          <w:sz w:val="24"/>
          <w:szCs w:val="24"/>
          <w:lang w:val="es-419" w:eastAsia="es-ES"/>
        </w:rPr>
        <w:t>, como se hizo en primer grado</w:t>
      </w:r>
      <w:r w:rsidR="00D675F2" w:rsidRPr="00757313">
        <w:rPr>
          <w:rFonts w:ascii="Gadugi" w:eastAsia="Times New Roman" w:hAnsi="Gadugi" w:cs="Times New Roman"/>
          <w:color w:val="000000"/>
          <w:sz w:val="24"/>
          <w:szCs w:val="24"/>
          <w:lang w:val="es-419" w:eastAsia="es-ES"/>
        </w:rPr>
        <w:t>.</w:t>
      </w:r>
      <w:r w:rsidR="00DC47C5" w:rsidRPr="00757313">
        <w:rPr>
          <w:rFonts w:ascii="Gadugi" w:eastAsia="Times New Roman" w:hAnsi="Gadugi" w:cs="Times New Roman"/>
          <w:color w:val="000000"/>
          <w:sz w:val="24"/>
          <w:szCs w:val="24"/>
          <w:lang w:val="es-419" w:eastAsia="es-ES"/>
        </w:rPr>
        <w:t xml:space="preserve"> </w:t>
      </w:r>
    </w:p>
    <w:p w:rsidR="009F2253" w:rsidRPr="00757313" w:rsidRDefault="009F2253"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9F2253" w:rsidRPr="00757313" w:rsidRDefault="009F2253"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r>
      <w:r w:rsidRPr="00757313">
        <w:rPr>
          <w:rFonts w:ascii="Gadugi" w:eastAsia="Times New Roman" w:hAnsi="Gadugi" w:cs="Times New Roman"/>
          <w:color w:val="000000"/>
          <w:sz w:val="24"/>
          <w:szCs w:val="24"/>
          <w:lang w:val="es-419" w:eastAsia="es-ES"/>
        </w:rPr>
        <w:tab/>
        <w:t xml:space="preserve">En ese entendido se modificará la sentencia de primera instancia, además para dirigir la orden, no contra la Subdirección de Determinaciones IV, sino a la Dirección de </w:t>
      </w:r>
      <w:r w:rsidR="00D675F2" w:rsidRPr="00757313">
        <w:rPr>
          <w:rFonts w:ascii="Gadugi" w:eastAsia="Times New Roman" w:hAnsi="Gadugi" w:cs="Times New Roman"/>
          <w:color w:val="000000"/>
          <w:sz w:val="24"/>
          <w:szCs w:val="24"/>
          <w:lang w:val="es-419" w:eastAsia="es-ES"/>
        </w:rPr>
        <w:t>Prestaciones Económicas</w:t>
      </w:r>
      <w:r w:rsidRPr="00757313">
        <w:rPr>
          <w:rFonts w:ascii="Gadugi" w:eastAsia="Times New Roman" w:hAnsi="Gadugi" w:cs="Times New Roman"/>
          <w:color w:val="000000"/>
          <w:sz w:val="24"/>
          <w:szCs w:val="24"/>
          <w:lang w:val="es-419" w:eastAsia="es-ES"/>
        </w:rPr>
        <w:t xml:space="preserve"> que fue la dependencia que resolvió la petición pensional en segunda instancia</w:t>
      </w:r>
      <w:r w:rsidR="00350051" w:rsidRPr="00757313">
        <w:rPr>
          <w:rFonts w:ascii="Gadugi" w:eastAsia="Times New Roman" w:hAnsi="Gadugi" w:cs="Times New Roman"/>
          <w:color w:val="000000"/>
          <w:sz w:val="24"/>
          <w:szCs w:val="24"/>
          <w:lang w:val="es-419" w:eastAsia="es-ES"/>
        </w:rPr>
        <w:t xml:space="preserve">, como también ha sido </w:t>
      </w:r>
      <w:r w:rsidR="00F7483E" w:rsidRPr="00757313">
        <w:rPr>
          <w:rFonts w:ascii="Gadugi" w:eastAsia="Times New Roman" w:hAnsi="Gadugi" w:cs="Times New Roman"/>
          <w:color w:val="000000"/>
          <w:sz w:val="24"/>
          <w:szCs w:val="24"/>
          <w:lang w:val="es-419" w:eastAsia="es-ES"/>
        </w:rPr>
        <w:t xml:space="preserve">dispuesto por </w:t>
      </w:r>
      <w:r w:rsidR="00350051" w:rsidRPr="00757313">
        <w:rPr>
          <w:rFonts w:ascii="Gadugi" w:eastAsia="Times New Roman" w:hAnsi="Gadugi" w:cs="Times New Roman"/>
          <w:color w:val="000000"/>
          <w:sz w:val="24"/>
          <w:szCs w:val="24"/>
          <w:lang w:val="es-419" w:eastAsia="es-ES"/>
        </w:rPr>
        <w:t>la Sala en otras oportunidades</w:t>
      </w:r>
      <w:r w:rsidR="00D675F2" w:rsidRPr="00757313">
        <w:rPr>
          <w:rFonts w:ascii="Gadugi" w:eastAsia="Times New Roman" w:hAnsi="Gadugi" w:cs="Times New Roman"/>
          <w:color w:val="000000"/>
          <w:sz w:val="24"/>
          <w:szCs w:val="24"/>
          <w:lang w:val="es-419" w:eastAsia="es-ES"/>
        </w:rPr>
        <w:t>; máxime que</w:t>
      </w:r>
      <w:r w:rsidR="00F7483E" w:rsidRPr="00757313">
        <w:rPr>
          <w:rFonts w:ascii="Gadugi" w:eastAsia="Times New Roman" w:hAnsi="Gadugi" w:cs="Times New Roman"/>
          <w:color w:val="000000"/>
          <w:sz w:val="24"/>
          <w:szCs w:val="24"/>
          <w:lang w:val="es-419" w:eastAsia="es-ES"/>
        </w:rPr>
        <w:t>,</w:t>
      </w:r>
      <w:r w:rsidR="00D675F2" w:rsidRPr="00757313">
        <w:rPr>
          <w:rFonts w:ascii="Gadugi" w:eastAsia="Times New Roman" w:hAnsi="Gadugi" w:cs="Times New Roman"/>
          <w:color w:val="000000"/>
          <w:sz w:val="24"/>
          <w:szCs w:val="24"/>
          <w:lang w:val="es-419" w:eastAsia="es-ES"/>
        </w:rPr>
        <w:t xml:space="preserve"> como se explicó, la Resolución SUB 83874 del 6 de abril del 2019 se emitió en virtud </w:t>
      </w:r>
      <w:r w:rsidR="00F7483E" w:rsidRPr="00757313">
        <w:rPr>
          <w:rFonts w:ascii="Gadugi" w:eastAsia="Times New Roman" w:hAnsi="Gadugi" w:cs="Times New Roman"/>
          <w:color w:val="000000"/>
          <w:sz w:val="24"/>
          <w:szCs w:val="24"/>
          <w:lang w:val="es-419" w:eastAsia="es-ES"/>
        </w:rPr>
        <w:t>de</w:t>
      </w:r>
      <w:r w:rsidR="00D675F2" w:rsidRPr="00757313">
        <w:rPr>
          <w:rFonts w:ascii="Gadugi" w:eastAsia="Times New Roman" w:hAnsi="Gadugi" w:cs="Times New Roman"/>
          <w:color w:val="000000"/>
          <w:sz w:val="24"/>
          <w:szCs w:val="24"/>
          <w:lang w:val="es-419" w:eastAsia="es-ES"/>
        </w:rPr>
        <w:t xml:space="preserve"> una solicitud de revocatoria, y sucedió al margen del trámite derivado de la primigenia petición incoada por la actora. </w:t>
      </w:r>
    </w:p>
    <w:p w:rsidR="00E87CCB" w:rsidRPr="00757313" w:rsidRDefault="00E87CCB"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419" w:eastAsia="es-ES"/>
        </w:rPr>
      </w:pPr>
    </w:p>
    <w:p w:rsidR="00756044" w:rsidRPr="00757313" w:rsidRDefault="00E87CCB"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r w:rsidRPr="00757313">
        <w:rPr>
          <w:rFonts w:ascii="Gadugi" w:eastAsia="Times New Roman" w:hAnsi="Gadugi" w:cs="Times New Roman"/>
          <w:color w:val="000000"/>
          <w:sz w:val="24"/>
          <w:szCs w:val="24"/>
          <w:bdr w:val="none" w:sz="0" w:space="0" w:color="auto" w:frame="1"/>
          <w:lang w:val="es-419" w:eastAsia="es-ES"/>
        </w:rPr>
        <w:t xml:space="preserve">  </w:t>
      </w:r>
      <w:r w:rsidRPr="00757313">
        <w:rPr>
          <w:rFonts w:ascii="Gadugi" w:eastAsia="Times New Roman" w:hAnsi="Gadugi" w:cs="Times New Roman"/>
          <w:color w:val="000000"/>
          <w:sz w:val="24"/>
          <w:szCs w:val="24"/>
          <w:bdr w:val="none" w:sz="0" w:space="0" w:color="auto" w:frame="1"/>
          <w:lang w:val="es-419" w:eastAsia="es-ES"/>
        </w:rPr>
        <w:tab/>
      </w:r>
      <w:r w:rsidRPr="00757313">
        <w:rPr>
          <w:rFonts w:ascii="Gadugi" w:eastAsia="Times New Roman" w:hAnsi="Gadugi" w:cs="Times New Roman"/>
          <w:color w:val="000000"/>
          <w:sz w:val="24"/>
          <w:szCs w:val="24"/>
          <w:bdr w:val="none" w:sz="0" w:space="0" w:color="auto" w:frame="1"/>
          <w:lang w:val="es-419" w:eastAsia="es-ES"/>
        </w:rPr>
        <w:tab/>
      </w:r>
      <w:r w:rsidRPr="00757313">
        <w:rPr>
          <w:rFonts w:ascii="Gadugi" w:eastAsia="Times New Roman" w:hAnsi="Gadugi" w:cs="Times New Roman"/>
          <w:color w:val="000000"/>
          <w:sz w:val="24"/>
          <w:szCs w:val="24"/>
          <w:bdr w:val="none" w:sz="0" w:space="0" w:color="auto" w:frame="1"/>
          <w:lang w:val="es-419" w:eastAsia="es-ES"/>
        </w:rPr>
        <w:tab/>
      </w:r>
      <w:r w:rsidRPr="00757313">
        <w:rPr>
          <w:rFonts w:ascii="Gadugi" w:eastAsia="Times New Roman" w:hAnsi="Gadugi" w:cs="Times New Roman"/>
          <w:color w:val="000000"/>
          <w:sz w:val="24"/>
          <w:szCs w:val="24"/>
          <w:bdr w:val="none" w:sz="0" w:space="0" w:color="auto" w:frame="1"/>
          <w:lang w:val="es-419" w:eastAsia="es-ES"/>
        </w:rPr>
        <w:tab/>
      </w:r>
      <w:r w:rsidR="00756044" w:rsidRPr="00757313">
        <w:rPr>
          <w:rFonts w:ascii="Gadugi" w:eastAsia="Times New Roman" w:hAnsi="Gadugi" w:cs="Times New Roman"/>
          <w:color w:val="000000"/>
          <w:sz w:val="24"/>
          <w:szCs w:val="24"/>
          <w:bdr w:val="none" w:sz="0" w:space="0" w:color="auto" w:frame="1"/>
          <w:lang w:val="es-419" w:eastAsia="es-ES"/>
        </w:rPr>
        <w:t xml:space="preserve">Por </w:t>
      </w:r>
      <w:r w:rsidR="00003BCD" w:rsidRPr="00757313">
        <w:rPr>
          <w:rFonts w:ascii="Gadugi" w:eastAsia="Times New Roman" w:hAnsi="Gadugi" w:cs="Times New Roman"/>
          <w:color w:val="000000"/>
          <w:sz w:val="24"/>
          <w:szCs w:val="24"/>
          <w:bdr w:val="none" w:sz="0" w:space="0" w:color="auto" w:frame="1"/>
          <w:lang w:val="es-419" w:eastAsia="es-ES"/>
        </w:rPr>
        <w:t>lo expuesto</w:t>
      </w:r>
      <w:r w:rsidR="00756044" w:rsidRPr="00757313">
        <w:rPr>
          <w:rFonts w:ascii="Gadugi" w:eastAsia="Times New Roman" w:hAnsi="Gadugi" w:cs="Times New Roman"/>
          <w:color w:val="000000"/>
          <w:sz w:val="24"/>
          <w:szCs w:val="24"/>
          <w:bdr w:val="none" w:sz="0" w:space="0" w:color="auto" w:frame="1"/>
          <w:lang w:val="es-419" w:eastAsia="es-ES"/>
        </w:rPr>
        <w:t xml:space="preserve">, </w:t>
      </w:r>
      <w:r w:rsidR="00756044" w:rsidRPr="00757313">
        <w:rPr>
          <w:rFonts w:ascii="Gadugi" w:eastAsia="Times New Roman" w:hAnsi="Gadugi" w:cs="Times New Roman"/>
          <w:color w:val="000000"/>
          <w:sz w:val="24"/>
          <w:szCs w:val="24"/>
          <w:bdr w:val="none" w:sz="0" w:space="0" w:color="auto" w:frame="1"/>
          <w:lang w:val="es-ES_tradnl" w:eastAsia="es-ES"/>
        </w:rPr>
        <w:t xml:space="preserve">sin </w:t>
      </w:r>
      <w:r w:rsidR="00756044" w:rsidRPr="00757313">
        <w:rPr>
          <w:rFonts w:ascii="Gadugi" w:eastAsia="Times New Roman" w:hAnsi="Gadugi" w:cs="Times New Roman"/>
          <w:color w:val="000000"/>
          <w:sz w:val="24"/>
          <w:szCs w:val="24"/>
          <w:bdr w:val="none" w:sz="0" w:space="0" w:color="auto" w:frame="1"/>
          <w:lang w:val="es-419" w:eastAsia="es-ES"/>
        </w:rPr>
        <w:t xml:space="preserve">que </w:t>
      </w:r>
      <w:r w:rsidR="00756044" w:rsidRPr="00757313">
        <w:rPr>
          <w:rFonts w:ascii="Gadugi" w:eastAsia="Times New Roman" w:hAnsi="Gadugi" w:cs="Times New Roman"/>
          <w:color w:val="000000"/>
          <w:sz w:val="24"/>
          <w:szCs w:val="24"/>
          <w:bdr w:val="none" w:sz="0" w:space="0" w:color="auto" w:frame="1"/>
          <w:lang w:val="es-ES_tradnl" w:eastAsia="es-ES"/>
        </w:rPr>
        <w:t xml:space="preserve">haya lugar a otras estimaciones, </w:t>
      </w:r>
      <w:r w:rsidR="0051087B" w:rsidRPr="00757313">
        <w:rPr>
          <w:rFonts w:ascii="Gadugi" w:eastAsia="Times New Roman" w:hAnsi="Gadugi" w:cs="Times New Roman"/>
          <w:color w:val="000000"/>
          <w:sz w:val="24"/>
          <w:szCs w:val="24"/>
          <w:bdr w:val="none" w:sz="0" w:space="0" w:color="auto" w:frame="1"/>
          <w:lang w:val="es-ES_tradnl" w:eastAsia="es-ES"/>
        </w:rPr>
        <w:t>se confirmará el numeral primero de la sentencia impugnada</w:t>
      </w:r>
      <w:r w:rsidR="00A108A7" w:rsidRPr="00757313">
        <w:rPr>
          <w:rFonts w:ascii="Gadugi" w:eastAsia="Times New Roman" w:hAnsi="Gadugi" w:cs="Times New Roman"/>
          <w:color w:val="000000"/>
          <w:sz w:val="24"/>
          <w:szCs w:val="24"/>
          <w:bdr w:val="none" w:sz="0" w:space="0" w:color="auto" w:frame="1"/>
          <w:lang w:val="es-ES_tradnl" w:eastAsia="es-ES"/>
        </w:rPr>
        <w:t>,</w:t>
      </w:r>
      <w:r w:rsidR="0051087B" w:rsidRPr="00757313">
        <w:rPr>
          <w:rFonts w:ascii="Gadugi" w:eastAsia="Times New Roman" w:hAnsi="Gadugi" w:cs="Times New Roman"/>
          <w:color w:val="000000"/>
          <w:sz w:val="24"/>
          <w:szCs w:val="24"/>
          <w:bdr w:val="none" w:sz="0" w:space="0" w:color="auto" w:frame="1"/>
          <w:lang w:val="es-ES_tradnl" w:eastAsia="es-ES"/>
        </w:rPr>
        <w:t xml:space="preserve"> que con atino dispuso </w:t>
      </w:r>
      <w:r w:rsidR="0051087B" w:rsidRPr="00757313">
        <w:rPr>
          <w:rFonts w:ascii="Gadugi" w:eastAsia="Times New Roman" w:hAnsi="Gadugi" w:cs="Times New Roman"/>
          <w:color w:val="000000"/>
          <w:sz w:val="24"/>
          <w:szCs w:val="24"/>
          <w:bdr w:val="none" w:sz="0" w:space="0" w:color="auto" w:frame="1"/>
          <w:lang w:val="es-ES_tradnl" w:eastAsia="es-ES"/>
        </w:rPr>
        <w:lastRenderedPageBreak/>
        <w:t xml:space="preserve">la protección de los derechos fundamentales invocados por la accionante; por otra parte se modificará el numeral segundo, </w:t>
      </w:r>
      <w:r w:rsidR="00A108A7" w:rsidRPr="00757313">
        <w:rPr>
          <w:rFonts w:ascii="Gadugi" w:eastAsia="Times New Roman" w:hAnsi="Gadugi" w:cs="Times New Roman"/>
          <w:color w:val="000000"/>
          <w:sz w:val="24"/>
          <w:szCs w:val="24"/>
          <w:bdr w:val="none" w:sz="0" w:space="0" w:color="auto" w:frame="1"/>
          <w:lang w:val="es-ES_tradnl" w:eastAsia="es-ES"/>
        </w:rPr>
        <w:t xml:space="preserve">al tenor de las explicaciones que acaban de </w:t>
      </w:r>
      <w:r w:rsidR="004C58DB" w:rsidRPr="00757313">
        <w:rPr>
          <w:rFonts w:ascii="Gadugi" w:eastAsia="Times New Roman" w:hAnsi="Gadugi" w:cs="Times New Roman"/>
          <w:color w:val="000000"/>
          <w:sz w:val="24"/>
          <w:szCs w:val="24"/>
          <w:bdr w:val="none" w:sz="0" w:space="0" w:color="auto" w:frame="1"/>
          <w:lang w:val="es-ES_tradnl" w:eastAsia="es-ES"/>
        </w:rPr>
        <w:t>plantearse</w:t>
      </w:r>
      <w:r w:rsidR="00A108A7" w:rsidRPr="00757313">
        <w:rPr>
          <w:rFonts w:ascii="Gadugi" w:eastAsia="Times New Roman" w:hAnsi="Gadugi" w:cs="Times New Roman"/>
          <w:color w:val="000000"/>
          <w:sz w:val="24"/>
          <w:szCs w:val="24"/>
          <w:bdr w:val="none" w:sz="0" w:space="0" w:color="auto" w:frame="1"/>
          <w:lang w:val="es-ES_tradnl" w:eastAsia="es-ES"/>
        </w:rPr>
        <w:t xml:space="preserve">. </w:t>
      </w:r>
    </w:p>
    <w:p w:rsidR="000C05C0" w:rsidRPr="00757313" w:rsidRDefault="000C05C0" w:rsidP="00757313">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0C05C0" w:rsidRPr="00757313" w:rsidRDefault="000C05C0" w:rsidP="00757313">
      <w:pPr>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color w:val="000000"/>
          <w:sz w:val="24"/>
          <w:szCs w:val="24"/>
          <w:lang w:val="es-ES" w:eastAsia="es-ES"/>
        </w:rPr>
      </w:pPr>
      <w:r w:rsidRPr="00757313">
        <w:rPr>
          <w:rFonts w:ascii="Gadugi" w:eastAsia="Times New Roman" w:hAnsi="Gadugi" w:cs="Times New Roman"/>
          <w:b/>
          <w:bCs/>
          <w:color w:val="000000"/>
          <w:sz w:val="24"/>
          <w:szCs w:val="24"/>
          <w:lang w:val="es-ES" w:eastAsia="es-ES"/>
        </w:rPr>
        <w:t>DECISIÓN</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4E4A9F" w:rsidP="00757313">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Times New Roman"/>
          <w:color w:val="000000"/>
          <w:sz w:val="24"/>
          <w:szCs w:val="24"/>
          <w:lang w:val="es-419" w:eastAsia="es-ES"/>
        </w:rPr>
        <w:t xml:space="preserve">En armonía con lo dicho, </w:t>
      </w:r>
      <w:r w:rsidR="00756044" w:rsidRPr="00757313">
        <w:rPr>
          <w:rFonts w:ascii="Gadugi" w:eastAsia="Times New Roman" w:hAnsi="Gadugi" w:cs="Times New Roman"/>
          <w:color w:val="000000"/>
          <w:sz w:val="24"/>
          <w:szCs w:val="24"/>
          <w:lang w:val="es-ES" w:eastAsia="es-ES"/>
        </w:rPr>
        <w:t xml:space="preserve">el </w:t>
      </w:r>
      <w:r w:rsidR="00756044" w:rsidRPr="00757313">
        <w:rPr>
          <w:rFonts w:ascii="Gadugi" w:eastAsia="Times New Roman" w:hAnsi="Gadugi" w:cs="Times New Roman"/>
          <w:b/>
          <w:bCs/>
          <w:color w:val="000000"/>
          <w:sz w:val="24"/>
          <w:szCs w:val="24"/>
          <w:lang w:val="es-ES" w:eastAsia="es-ES"/>
        </w:rPr>
        <w:t>Tribunal Superior del Distrito Judicial de Pereira</w:t>
      </w:r>
      <w:r w:rsidR="00756044" w:rsidRPr="00757313">
        <w:rPr>
          <w:rFonts w:ascii="Gadugi" w:eastAsia="Times New Roman" w:hAnsi="Gadugi" w:cs="Times New Roman"/>
          <w:color w:val="000000"/>
          <w:sz w:val="24"/>
          <w:szCs w:val="24"/>
          <w:lang w:val="es-ES" w:eastAsia="es-ES"/>
        </w:rPr>
        <w:t xml:space="preserve">, </w:t>
      </w:r>
      <w:r w:rsidR="00756044" w:rsidRPr="00757313">
        <w:rPr>
          <w:rFonts w:ascii="Gadugi" w:eastAsia="Times New Roman" w:hAnsi="Gadugi" w:cs="Times New Roman"/>
          <w:b/>
          <w:bCs/>
          <w:color w:val="000000"/>
          <w:sz w:val="24"/>
          <w:szCs w:val="24"/>
          <w:lang w:val="es-ES" w:eastAsia="es-ES"/>
        </w:rPr>
        <w:t>Sala de Decisión Civil Familia</w:t>
      </w:r>
      <w:r w:rsidR="00756044" w:rsidRPr="00757313">
        <w:rPr>
          <w:rFonts w:ascii="Gadugi" w:eastAsia="Times New Roman" w:hAnsi="Gadugi" w:cs="Times New Roman"/>
          <w:color w:val="000000"/>
          <w:sz w:val="24"/>
          <w:szCs w:val="24"/>
          <w:lang w:val="es-ES" w:eastAsia="es-ES"/>
        </w:rPr>
        <w:t>, administrando justicia en nombre de la República y por autoridad de la ley, </w:t>
      </w:r>
      <w:r w:rsidR="0051087B" w:rsidRPr="00757313">
        <w:rPr>
          <w:rFonts w:ascii="Gadugi" w:eastAsia="Times New Roman" w:hAnsi="Gadugi" w:cs="Times New Roman"/>
          <w:b/>
          <w:bCs/>
          <w:color w:val="000000"/>
          <w:sz w:val="24"/>
          <w:szCs w:val="24"/>
          <w:lang w:val="es-ES" w:eastAsia="es-ES"/>
        </w:rPr>
        <w:t xml:space="preserve">CONFIRMA </w:t>
      </w:r>
      <w:r w:rsidR="00A108A7" w:rsidRPr="00757313">
        <w:rPr>
          <w:rFonts w:ascii="Gadugi" w:eastAsia="Times New Roman" w:hAnsi="Gadugi" w:cs="Times New Roman"/>
          <w:bCs/>
          <w:color w:val="000000"/>
          <w:sz w:val="24"/>
          <w:szCs w:val="24"/>
          <w:lang w:val="es-ES" w:eastAsia="es-ES"/>
        </w:rPr>
        <w:t>el numeral primero de</w:t>
      </w:r>
      <w:r w:rsidR="00756044" w:rsidRPr="00757313">
        <w:rPr>
          <w:rFonts w:ascii="Gadugi" w:eastAsia="Times New Roman" w:hAnsi="Gadugi" w:cs="Times New Roman"/>
          <w:color w:val="000000"/>
          <w:sz w:val="24"/>
          <w:szCs w:val="24"/>
          <w:lang w:val="es-ES" w:eastAsia="es-ES"/>
        </w:rPr>
        <w:t xml:space="preserve"> la sentencia dictada por el  </w:t>
      </w:r>
      <w:r w:rsidR="000E068E" w:rsidRPr="00757313">
        <w:rPr>
          <w:rFonts w:ascii="Gadugi" w:eastAsia="Times New Roman" w:hAnsi="Gadugi" w:cs="Times New Roman"/>
          <w:color w:val="000000"/>
          <w:sz w:val="24"/>
          <w:szCs w:val="24"/>
          <w:lang w:val="es-ES" w:eastAsia="es-ES"/>
        </w:rPr>
        <w:t xml:space="preserve">Juzgado </w:t>
      </w:r>
      <w:r w:rsidR="00E505C4" w:rsidRPr="00757313">
        <w:rPr>
          <w:rFonts w:ascii="Gadugi" w:eastAsia="Times New Roman" w:hAnsi="Gadugi" w:cs="Times New Roman"/>
          <w:color w:val="000000"/>
          <w:sz w:val="24"/>
          <w:szCs w:val="24"/>
          <w:lang w:val="es-ES" w:eastAsia="es-ES"/>
        </w:rPr>
        <w:t>Segundo</w:t>
      </w:r>
      <w:r w:rsidR="000E068E" w:rsidRPr="00757313">
        <w:rPr>
          <w:rFonts w:ascii="Gadugi" w:eastAsia="Times New Roman" w:hAnsi="Gadugi" w:cs="Times New Roman"/>
          <w:color w:val="000000"/>
          <w:sz w:val="24"/>
          <w:szCs w:val="24"/>
          <w:lang w:val="es-ES" w:eastAsia="es-ES"/>
        </w:rPr>
        <w:t xml:space="preserve"> Civil del Circuito</w:t>
      </w:r>
      <w:r w:rsidR="00756044" w:rsidRPr="00757313">
        <w:rPr>
          <w:rFonts w:ascii="Gadugi" w:eastAsia="Times New Roman" w:hAnsi="Gadugi" w:cs="Arial"/>
          <w:color w:val="000000"/>
          <w:sz w:val="24"/>
          <w:szCs w:val="24"/>
          <w:lang w:val="es-ES" w:eastAsia="es-ES"/>
        </w:rPr>
        <w:t xml:space="preserve"> local en esta acción de tutela que</w:t>
      </w:r>
      <w:r w:rsidR="00756044" w:rsidRPr="00757313">
        <w:rPr>
          <w:rFonts w:ascii="Gadugi" w:eastAsia="Times New Roman" w:hAnsi="Gadugi" w:cs="Arial"/>
          <w:b/>
          <w:color w:val="000000"/>
          <w:sz w:val="24"/>
          <w:szCs w:val="24"/>
          <w:lang w:val="es-ES" w:eastAsia="es-ES"/>
        </w:rPr>
        <w:t xml:space="preserve"> </w:t>
      </w:r>
      <w:r w:rsidR="00E505C4" w:rsidRPr="00757313">
        <w:rPr>
          <w:rFonts w:ascii="Gadugi" w:eastAsia="Times New Roman" w:hAnsi="Gadugi" w:cs="Arial"/>
          <w:b/>
          <w:color w:val="000000"/>
          <w:sz w:val="24"/>
          <w:szCs w:val="24"/>
          <w:lang w:val="es-ES" w:eastAsia="es-ES"/>
        </w:rPr>
        <w:t>Amanda Rodríguez Zapata</w:t>
      </w:r>
      <w:r w:rsidR="00756044" w:rsidRPr="00757313">
        <w:rPr>
          <w:rFonts w:ascii="Gadugi" w:eastAsia="Times New Roman" w:hAnsi="Gadugi" w:cs="Arial"/>
          <w:b/>
          <w:color w:val="000000"/>
          <w:sz w:val="24"/>
          <w:szCs w:val="24"/>
          <w:lang w:val="es-ES" w:eastAsia="es-ES"/>
        </w:rPr>
        <w:t xml:space="preserve"> </w:t>
      </w:r>
      <w:r w:rsidR="00756044" w:rsidRPr="00757313">
        <w:rPr>
          <w:rFonts w:ascii="Gadugi" w:eastAsia="Times New Roman" w:hAnsi="Gadugi" w:cs="Arial"/>
          <w:color w:val="000000"/>
          <w:sz w:val="24"/>
          <w:szCs w:val="24"/>
          <w:lang w:val="es-ES" w:eastAsia="es-ES"/>
        </w:rPr>
        <w:t xml:space="preserve">promovió frente </w:t>
      </w:r>
      <w:r w:rsidR="00A108A7" w:rsidRPr="00757313">
        <w:rPr>
          <w:rFonts w:ascii="Gadugi" w:eastAsia="Times New Roman" w:hAnsi="Gadugi" w:cs="Arial"/>
          <w:b/>
          <w:color w:val="000000"/>
          <w:sz w:val="24"/>
          <w:szCs w:val="24"/>
          <w:lang w:val="es-ES" w:eastAsia="es-ES"/>
        </w:rPr>
        <w:t>Colpensiones</w:t>
      </w:r>
      <w:r w:rsidR="00756044" w:rsidRPr="00757313">
        <w:rPr>
          <w:rFonts w:ascii="Gadugi" w:eastAsia="Times New Roman" w:hAnsi="Gadugi" w:cs="Arial"/>
          <w:color w:val="000000"/>
          <w:sz w:val="24"/>
          <w:szCs w:val="24"/>
          <w:lang w:val="es-ES" w:eastAsia="es-ES"/>
        </w:rPr>
        <w:t>.</w:t>
      </w:r>
      <w:r w:rsidRPr="00757313">
        <w:rPr>
          <w:rFonts w:ascii="Gadugi" w:eastAsia="Times New Roman" w:hAnsi="Gadugi" w:cs="Arial"/>
          <w:color w:val="000000"/>
          <w:sz w:val="24"/>
          <w:szCs w:val="24"/>
          <w:lang w:val="es-419" w:eastAsia="es-ES"/>
        </w:rPr>
        <w:t xml:space="preserve"> </w:t>
      </w:r>
    </w:p>
    <w:p w:rsidR="00A108A7" w:rsidRPr="00757313" w:rsidRDefault="00A108A7" w:rsidP="00757313">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419" w:eastAsia="es-ES"/>
        </w:rPr>
      </w:pPr>
    </w:p>
    <w:p w:rsidR="00A108A7" w:rsidRPr="00757313" w:rsidRDefault="00A108A7" w:rsidP="00757313">
      <w:pPr>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419" w:eastAsia="es-ES"/>
        </w:rPr>
      </w:pPr>
      <w:r w:rsidRPr="00757313">
        <w:rPr>
          <w:rFonts w:ascii="Gadugi" w:eastAsia="Times New Roman" w:hAnsi="Gadugi" w:cs="Arial"/>
          <w:color w:val="000000"/>
          <w:sz w:val="24"/>
          <w:szCs w:val="24"/>
          <w:lang w:val="es-419" w:eastAsia="es-ES"/>
        </w:rPr>
        <w:t>Se modifica el numeral segundo que quedará así:</w:t>
      </w:r>
    </w:p>
    <w:p w:rsidR="00D675F2" w:rsidRPr="00757313" w:rsidRDefault="00D675F2" w:rsidP="00757313">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p>
    <w:p w:rsidR="00D675F2" w:rsidRPr="00757313" w:rsidRDefault="00A108A7" w:rsidP="00757313">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color w:val="000000"/>
          <w:sz w:val="24"/>
          <w:szCs w:val="24"/>
          <w:lang w:val="es-CO" w:eastAsia="es-ES"/>
        </w:rPr>
      </w:pPr>
      <w:r w:rsidRPr="00757313">
        <w:rPr>
          <w:rFonts w:ascii="Gadugi" w:eastAsia="Times New Roman" w:hAnsi="Gadugi" w:cs="Arial"/>
          <w:color w:val="000000"/>
          <w:sz w:val="24"/>
          <w:szCs w:val="24"/>
          <w:lang w:val="es-CO" w:eastAsia="es-ES"/>
        </w:rPr>
        <w:t>S</w:t>
      </w:r>
      <w:r w:rsidR="00D675F2" w:rsidRPr="00757313">
        <w:rPr>
          <w:rFonts w:ascii="Gadugi" w:eastAsia="Times New Roman" w:hAnsi="Gadugi" w:cs="Arial"/>
          <w:color w:val="000000"/>
          <w:sz w:val="24"/>
          <w:szCs w:val="24"/>
          <w:lang w:val="es-CO" w:eastAsia="es-ES"/>
        </w:rPr>
        <w:t xml:space="preserve">e deja sin efectos la Resolución DIR 1327 del 4 de febrero del 2019 emitida por la </w:t>
      </w:r>
      <w:r w:rsidR="00D675F2" w:rsidRPr="00757313">
        <w:rPr>
          <w:rFonts w:ascii="Gadugi" w:eastAsia="Times New Roman" w:hAnsi="Gadugi" w:cs="Times New Roman"/>
          <w:color w:val="000000"/>
          <w:sz w:val="24"/>
          <w:szCs w:val="24"/>
          <w:lang w:val="es-419" w:eastAsia="es-ES"/>
        </w:rPr>
        <w:t xml:space="preserve">Dirección de Prestaciones Económicas, y en su lugar, se le ordena a esta dependencia, por medio de su funcionario a cargo, o quien haga sus veces, que en el término de quince días, </w:t>
      </w:r>
      <w:r w:rsidR="00F7483E" w:rsidRPr="00757313">
        <w:rPr>
          <w:rFonts w:ascii="Gadugi" w:eastAsia="Times New Roman" w:hAnsi="Gadugi" w:cs="Times New Roman"/>
          <w:color w:val="000000"/>
          <w:sz w:val="24"/>
          <w:szCs w:val="24"/>
          <w:lang w:val="es-419" w:eastAsia="es-ES"/>
        </w:rPr>
        <w:t xml:space="preserve">profiera un nuevo acto administrativo que </w:t>
      </w:r>
      <w:r w:rsidR="00D675F2" w:rsidRPr="00757313">
        <w:rPr>
          <w:rFonts w:ascii="Gadugi" w:eastAsia="Times New Roman" w:hAnsi="Gadugi" w:cs="Times New Roman"/>
          <w:color w:val="000000"/>
          <w:sz w:val="24"/>
          <w:szCs w:val="24"/>
          <w:lang w:val="es-419" w:eastAsia="es-ES"/>
        </w:rPr>
        <w:t xml:space="preserve">reconozca la pensión de invalidez a la señora Amanda Rodríguez Zapata, de conformidad con lo establecido en esta providencia.  </w:t>
      </w:r>
    </w:p>
    <w:p w:rsidR="00784E3A" w:rsidRPr="00757313" w:rsidRDefault="00784E3A" w:rsidP="00757313">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84E3A" w:rsidRPr="00757313" w:rsidRDefault="006230BC" w:rsidP="00757313">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Century Gothic"/>
          <w:color w:val="000000"/>
          <w:sz w:val="24"/>
          <w:szCs w:val="24"/>
          <w:lang w:val="es-ES" w:eastAsia="es-ES"/>
        </w:rPr>
      </w:pPr>
      <w:r w:rsidRPr="00757313">
        <w:rPr>
          <w:rFonts w:ascii="Gadugi" w:eastAsia="Times New Roman" w:hAnsi="Gadugi" w:cs="Times New Roman"/>
          <w:color w:val="000000"/>
          <w:sz w:val="24"/>
          <w:szCs w:val="24"/>
          <w:bdr w:val="none" w:sz="0" w:space="0" w:color="auto" w:frame="1"/>
          <w:lang w:val="es-ES_tradnl" w:eastAsia="es-ES"/>
        </w:rPr>
        <w:tab/>
      </w:r>
      <w:r w:rsidR="00D675F2" w:rsidRPr="00757313">
        <w:rPr>
          <w:rFonts w:ascii="Gadugi" w:eastAsia="Times New Roman" w:hAnsi="Gadugi" w:cs="Times New Roman"/>
          <w:color w:val="000000"/>
          <w:sz w:val="24"/>
          <w:szCs w:val="24"/>
          <w:bdr w:val="none" w:sz="0" w:space="0" w:color="auto" w:frame="1"/>
          <w:lang w:val="es-ES_tradnl" w:eastAsia="es-ES"/>
        </w:rPr>
        <w:t>El funcionario a cargo</w:t>
      </w:r>
      <w:r w:rsidR="00784E3A" w:rsidRPr="00757313">
        <w:rPr>
          <w:rFonts w:ascii="Gadugi" w:eastAsia="Times New Roman" w:hAnsi="Gadugi" w:cs="Times New Roman"/>
          <w:color w:val="000000"/>
          <w:sz w:val="24"/>
          <w:szCs w:val="24"/>
          <w:bdr w:val="none" w:sz="0" w:space="0" w:color="auto" w:frame="1"/>
          <w:lang w:val="es-ES_tradnl" w:eastAsia="es-ES"/>
        </w:rPr>
        <w:t xml:space="preserve"> deberá hacer el cálculo pertinente y descontar la indemnización sustitutiva reconocida en precedencia </w:t>
      </w:r>
      <w:r w:rsidR="00E434E7" w:rsidRPr="00757313">
        <w:rPr>
          <w:rFonts w:ascii="Gadugi" w:eastAsia="Times New Roman" w:hAnsi="Gadugi" w:cs="Times New Roman"/>
          <w:color w:val="000000"/>
          <w:sz w:val="24"/>
          <w:szCs w:val="24"/>
          <w:bdr w:val="none" w:sz="0" w:space="0" w:color="auto" w:frame="1"/>
          <w:lang w:val="es-ES_tradnl" w:eastAsia="es-ES"/>
        </w:rPr>
        <w:t>a</w:t>
      </w:r>
      <w:r w:rsidR="00D675F2" w:rsidRPr="00757313">
        <w:rPr>
          <w:rFonts w:ascii="Gadugi" w:eastAsia="Times New Roman" w:hAnsi="Gadugi" w:cs="Times New Roman"/>
          <w:color w:val="000000"/>
          <w:sz w:val="24"/>
          <w:szCs w:val="24"/>
          <w:bdr w:val="none" w:sz="0" w:space="0" w:color="auto" w:frame="1"/>
          <w:lang w:val="es-ES_tradnl" w:eastAsia="es-ES"/>
        </w:rPr>
        <w:t xml:space="preserve"> </w:t>
      </w:r>
      <w:r w:rsidR="00E434E7" w:rsidRPr="00757313">
        <w:rPr>
          <w:rFonts w:ascii="Gadugi" w:eastAsia="Times New Roman" w:hAnsi="Gadugi" w:cs="Times New Roman"/>
          <w:color w:val="000000"/>
          <w:sz w:val="24"/>
          <w:szCs w:val="24"/>
          <w:bdr w:val="none" w:sz="0" w:space="0" w:color="auto" w:frame="1"/>
          <w:lang w:val="es-ES_tradnl" w:eastAsia="es-ES"/>
        </w:rPr>
        <w:t>l</w:t>
      </w:r>
      <w:r w:rsidR="00D675F2" w:rsidRPr="00757313">
        <w:rPr>
          <w:rFonts w:ascii="Gadugi" w:eastAsia="Times New Roman" w:hAnsi="Gadugi" w:cs="Times New Roman"/>
          <w:color w:val="000000"/>
          <w:sz w:val="24"/>
          <w:szCs w:val="24"/>
          <w:bdr w:val="none" w:sz="0" w:space="0" w:color="auto" w:frame="1"/>
          <w:lang w:val="es-ES_tradnl" w:eastAsia="es-ES"/>
        </w:rPr>
        <w:t>a</w:t>
      </w:r>
      <w:r w:rsidR="00E434E7" w:rsidRPr="00757313">
        <w:rPr>
          <w:rFonts w:ascii="Gadugi" w:eastAsia="Times New Roman" w:hAnsi="Gadugi" w:cs="Times New Roman"/>
          <w:color w:val="000000"/>
          <w:sz w:val="24"/>
          <w:szCs w:val="24"/>
          <w:bdr w:val="none" w:sz="0" w:space="0" w:color="auto" w:frame="1"/>
          <w:lang w:val="es-ES_tradnl" w:eastAsia="es-ES"/>
        </w:rPr>
        <w:t xml:space="preserve"> accionante</w:t>
      </w:r>
      <w:r w:rsidR="00784E3A" w:rsidRPr="00757313">
        <w:rPr>
          <w:rFonts w:ascii="Gadugi" w:eastAsia="Times New Roman" w:hAnsi="Gadugi" w:cs="Times New Roman"/>
          <w:color w:val="000000"/>
          <w:sz w:val="24"/>
          <w:szCs w:val="24"/>
          <w:bdr w:val="none" w:sz="0" w:space="0" w:color="auto" w:frame="1"/>
          <w:lang w:val="es-ES_tradnl" w:eastAsia="es-ES"/>
        </w:rPr>
        <w:t xml:space="preserve"> de manera periódica</w:t>
      </w:r>
      <w:r w:rsidR="004E4A9F" w:rsidRPr="00757313">
        <w:rPr>
          <w:rFonts w:ascii="Gadugi" w:eastAsia="Times New Roman" w:hAnsi="Gadugi" w:cs="Times New Roman"/>
          <w:color w:val="000000"/>
          <w:sz w:val="24"/>
          <w:szCs w:val="24"/>
          <w:bdr w:val="none" w:sz="0" w:space="0" w:color="auto" w:frame="1"/>
          <w:lang w:val="es-419" w:eastAsia="es-ES"/>
        </w:rPr>
        <w:t xml:space="preserve">. </w:t>
      </w:r>
    </w:p>
    <w:p w:rsidR="00756044" w:rsidRPr="00757313" w:rsidRDefault="00756044" w:rsidP="00757313">
      <w:pPr>
        <w:shd w:val="clear" w:color="auto" w:fill="FFFFFF"/>
        <w:tabs>
          <w:tab w:val="left" w:pos="3119"/>
        </w:tabs>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bdr w:val="none" w:sz="0" w:space="0" w:color="auto" w:frame="1"/>
          <w:lang w:val="es-ES_tradnl" w:eastAsia="es-ES"/>
        </w:rPr>
      </w:pPr>
    </w:p>
    <w:p w:rsidR="00756044" w:rsidRPr="00757313" w:rsidRDefault="00756044" w:rsidP="00757313">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color w:val="000000"/>
          <w:sz w:val="24"/>
          <w:szCs w:val="24"/>
          <w:lang w:val="es-419" w:eastAsia="es-ES"/>
        </w:rPr>
      </w:pPr>
      <w:r w:rsidRPr="00757313">
        <w:rPr>
          <w:rFonts w:ascii="Gadugi" w:eastAsia="Times New Roman" w:hAnsi="Gadugi" w:cs="Times New Roman"/>
          <w:color w:val="000000"/>
          <w:sz w:val="24"/>
          <w:szCs w:val="24"/>
          <w:bdr w:val="none" w:sz="0" w:space="0" w:color="auto" w:frame="1"/>
          <w:lang w:val="es-ES_tradnl" w:eastAsia="es-ES"/>
        </w:rPr>
        <w:t xml:space="preserve">  </w:t>
      </w:r>
      <w:r w:rsidR="006230BC" w:rsidRPr="00757313">
        <w:rPr>
          <w:rFonts w:ascii="Gadugi" w:eastAsia="Times New Roman" w:hAnsi="Gadugi" w:cs="Times New Roman"/>
          <w:color w:val="000000"/>
          <w:sz w:val="24"/>
          <w:szCs w:val="24"/>
          <w:bdr w:val="none" w:sz="0" w:space="0" w:color="auto" w:frame="1"/>
          <w:lang w:val="es-419" w:eastAsia="es-ES"/>
        </w:rPr>
        <w:t xml:space="preserve">     </w:t>
      </w:r>
      <w:r w:rsidR="006230BC" w:rsidRPr="00757313">
        <w:rPr>
          <w:rFonts w:ascii="Gadugi" w:eastAsia="Times New Roman" w:hAnsi="Gadugi" w:cs="Times New Roman"/>
          <w:color w:val="000000"/>
          <w:sz w:val="24"/>
          <w:szCs w:val="24"/>
          <w:bdr w:val="none" w:sz="0" w:space="0" w:color="auto" w:frame="1"/>
          <w:lang w:val="es-419" w:eastAsia="es-ES"/>
        </w:rPr>
        <w:tab/>
      </w:r>
      <w:r w:rsidR="006230BC" w:rsidRPr="00757313">
        <w:rPr>
          <w:rFonts w:ascii="Gadugi" w:eastAsia="Times New Roman" w:hAnsi="Gadugi" w:cs="Times New Roman"/>
          <w:color w:val="000000"/>
          <w:sz w:val="24"/>
          <w:szCs w:val="24"/>
          <w:bdr w:val="none" w:sz="0" w:space="0" w:color="auto" w:frame="1"/>
          <w:lang w:val="es-419" w:eastAsia="es-ES"/>
        </w:rPr>
        <w:tab/>
      </w:r>
      <w:r w:rsidR="006230BC" w:rsidRPr="00757313">
        <w:rPr>
          <w:rFonts w:ascii="Gadugi" w:eastAsia="Times New Roman" w:hAnsi="Gadugi" w:cs="Times New Roman"/>
          <w:color w:val="000000"/>
          <w:sz w:val="24"/>
          <w:szCs w:val="24"/>
          <w:bdr w:val="none" w:sz="0" w:space="0" w:color="auto" w:frame="1"/>
          <w:lang w:val="es-419" w:eastAsia="es-ES"/>
        </w:rPr>
        <w:tab/>
      </w:r>
      <w:r w:rsidR="006230BC" w:rsidRPr="00757313">
        <w:rPr>
          <w:rFonts w:ascii="Gadugi" w:eastAsia="Times New Roman" w:hAnsi="Gadugi" w:cs="Times New Roman"/>
          <w:color w:val="000000"/>
          <w:sz w:val="24"/>
          <w:szCs w:val="24"/>
          <w:bdr w:val="none" w:sz="0" w:space="0" w:color="auto" w:frame="1"/>
          <w:lang w:val="es-419" w:eastAsia="es-ES"/>
        </w:rPr>
        <w:tab/>
      </w:r>
      <w:r w:rsidRPr="00757313">
        <w:rPr>
          <w:rFonts w:ascii="Gadugi" w:eastAsia="Times New Roman" w:hAnsi="Gadugi" w:cs="Times New Roman"/>
          <w:color w:val="000000"/>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757313">
        <w:rPr>
          <w:rFonts w:ascii="Gadugi" w:eastAsia="Times New Roman" w:hAnsi="Gadugi" w:cs="Times New Roman"/>
          <w:bCs/>
          <w:color w:val="000000"/>
          <w:sz w:val="24"/>
          <w:szCs w:val="24"/>
          <w:lang w:val="es-419" w:eastAsia="es-ES"/>
        </w:rPr>
        <w:t>A su regreso, archívese.</w:t>
      </w:r>
    </w:p>
    <w:p w:rsidR="000C05C0" w:rsidRPr="00757313" w:rsidRDefault="000C05C0"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419"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Cs/>
          <w:color w:val="000000"/>
          <w:sz w:val="24"/>
          <w:szCs w:val="24"/>
          <w:lang w:val="es-ES" w:eastAsia="es-ES"/>
        </w:rPr>
      </w:pPr>
      <w:r w:rsidRPr="00757313">
        <w:rPr>
          <w:rFonts w:ascii="Gadugi" w:eastAsia="Times New Roman" w:hAnsi="Gadugi" w:cs="Times New Roman"/>
          <w:bCs/>
          <w:color w:val="000000"/>
          <w:sz w:val="24"/>
          <w:szCs w:val="24"/>
          <w:lang w:val="es-ES" w:eastAsia="es-ES"/>
        </w:rPr>
        <w:t>Los Magistrados,</w:t>
      </w:r>
    </w:p>
    <w:p w:rsidR="00D675F2" w:rsidRPr="00757313" w:rsidRDefault="00D675F2"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0C05C0" w:rsidRPr="00757313" w:rsidRDefault="000C05C0"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0C05C0" w:rsidRPr="00757313" w:rsidRDefault="000C05C0"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r w:rsidRPr="00757313">
        <w:rPr>
          <w:rFonts w:ascii="Gadugi" w:eastAsia="Times New Roman" w:hAnsi="Gadugi" w:cs="Times New Roman"/>
          <w:b/>
          <w:color w:val="000000"/>
          <w:sz w:val="24"/>
          <w:szCs w:val="24"/>
          <w:lang w:val="es-ES" w:eastAsia="es-ES"/>
        </w:rPr>
        <w:t>JAIME ALBERTO SARAZA NARANJO</w:t>
      </w:r>
    </w:p>
    <w:p w:rsidR="00756044" w:rsidRPr="00757313" w:rsidRDefault="00756044"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0C05C0" w:rsidRPr="00757313" w:rsidRDefault="000C05C0"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F7483E" w:rsidRPr="00757313" w:rsidRDefault="00F7483E" w:rsidP="00757313">
      <w:pPr>
        <w:overflowPunct w:val="0"/>
        <w:autoSpaceDE w:val="0"/>
        <w:autoSpaceDN w:val="0"/>
        <w:adjustRightInd w:val="0"/>
        <w:spacing w:after="0" w:line="276" w:lineRule="auto"/>
        <w:ind w:firstLine="2835"/>
        <w:jc w:val="both"/>
        <w:textAlignment w:val="baseline"/>
        <w:rPr>
          <w:rFonts w:ascii="Gadugi" w:eastAsia="Times New Roman" w:hAnsi="Gadugi" w:cs="Times New Roman"/>
          <w:b/>
          <w:color w:val="000000"/>
          <w:sz w:val="24"/>
          <w:szCs w:val="24"/>
          <w:lang w:val="es-ES" w:eastAsia="es-ES"/>
        </w:rPr>
      </w:pPr>
    </w:p>
    <w:p w:rsidR="008D6547" w:rsidRPr="00757313" w:rsidRDefault="00756044" w:rsidP="00757313">
      <w:pPr>
        <w:overflowPunct w:val="0"/>
        <w:autoSpaceDE w:val="0"/>
        <w:autoSpaceDN w:val="0"/>
        <w:adjustRightInd w:val="0"/>
        <w:spacing w:after="0" w:line="276" w:lineRule="auto"/>
        <w:jc w:val="both"/>
        <w:textAlignment w:val="baseline"/>
        <w:rPr>
          <w:rFonts w:ascii="Gadugi" w:hAnsi="Gadugi"/>
          <w:sz w:val="24"/>
          <w:szCs w:val="24"/>
        </w:rPr>
      </w:pPr>
      <w:r w:rsidRPr="00757313">
        <w:rPr>
          <w:rFonts w:ascii="Gadugi" w:eastAsia="Times New Roman" w:hAnsi="Gadugi" w:cs="Times New Roman"/>
          <w:b/>
          <w:bCs/>
          <w:color w:val="000000"/>
          <w:sz w:val="24"/>
          <w:szCs w:val="24"/>
          <w:lang w:val="es-ES" w:eastAsia="es-ES"/>
        </w:rPr>
        <w:t>CLAUDIA MARÍA ARCILA RÍOS</w:t>
      </w:r>
      <w:r w:rsidR="00757313">
        <w:rPr>
          <w:rFonts w:ascii="Gadugi" w:eastAsia="Times New Roman" w:hAnsi="Gadugi" w:cs="Times New Roman"/>
          <w:b/>
          <w:bCs/>
          <w:color w:val="000000"/>
          <w:sz w:val="24"/>
          <w:szCs w:val="24"/>
          <w:lang w:val="es-ES" w:eastAsia="es-ES"/>
        </w:rPr>
        <w:tab/>
      </w:r>
      <w:r w:rsidR="00757313">
        <w:rPr>
          <w:rFonts w:ascii="Gadugi" w:eastAsia="Times New Roman" w:hAnsi="Gadugi" w:cs="Times New Roman"/>
          <w:b/>
          <w:bCs/>
          <w:color w:val="000000"/>
          <w:sz w:val="24"/>
          <w:szCs w:val="24"/>
          <w:lang w:val="es-ES" w:eastAsia="es-ES"/>
        </w:rPr>
        <w:tab/>
      </w:r>
      <w:r w:rsidR="00757313">
        <w:rPr>
          <w:rFonts w:ascii="Gadugi" w:eastAsia="Times New Roman" w:hAnsi="Gadugi" w:cs="Times New Roman"/>
          <w:b/>
          <w:bCs/>
          <w:color w:val="000000"/>
          <w:sz w:val="24"/>
          <w:szCs w:val="24"/>
          <w:lang w:val="es-ES" w:eastAsia="es-ES"/>
        </w:rPr>
        <w:tab/>
      </w:r>
      <w:r w:rsidRPr="00757313">
        <w:rPr>
          <w:rFonts w:ascii="Gadugi" w:eastAsia="Times New Roman" w:hAnsi="Gadugi" w:cs="Times New Roman"/>
          <w:b/>
          <w:bCs/>
          <w:color w:val="000000"/>
          <w:sz w:val="24"/>
          <w:szCs w:val="24"/>
          <w:lang w:val="es-ES" w:eastAsia="es-ES"/>
        </w:rPr>
        <w:t>DUBERNEY GRISALES HERRERA</w:t>
      </w:r>
    </w:p>
    <w:sectPr w:rsidR="008D6547" w:rsidRPr="00757313" w:rsidSect="00757313">
      <w:footerReference w:type="default" r:id="rId7"/>
      <w:pgSz w:w="12242" w:h="18654" w:code="1"/>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54B" w:rsidRDefault="004E654B" w:rsidP="00756044">
      <w:pPr>
        <w:spacing w:after="0" w:line="240" w:lineRule="auto"/>
      </w:pPr>
      <w:r>
        <w:separator/>
      </w:r>
    </w:p>
  </w:endnote>
  <w:endnote w:type="continuationSeparator" w:id="0">
    <w:p w:rsidR="004E654B" w:rsidRDefault="004E654B"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rPr>
        <w:rFonts w:ascii="Arial" w:hAnsi="Arial" w:cs="Arial"/>
        <w:sz w:val="18"/>
      </w:rPr>
    </w:sdtEndPr>
    <w:sdtContent>
      <w:p w:rsidR="00D675F2" w:rsidRPr="00757313" w:rsidRDefault="00D675F2">
        <w:pPr>
          <w:pStyle w:val="Piedepgina"/>
          <w:jc w:val="right"/>
          <w:rPr>
            <w:rFonts w:ascii="Arial" w:hAnsi="Arial" w:cs="Arial"/>
            <w:sz w:val="18"/>
          </w:rPr>
        </w:pPr>
        <w:r w:rsidRPr="00757313">
          <w:rPr>
            <w:rFonts w:ascii="Arial" w:hAnsi="Arial" w:cs="Arial"/>
            <w:sz w:val="18"/>
          </w:rPr>
          <w:fldChar w:fldCharType="begin"/>
        </w:r>
        <w:r w:rsidRPr="00757313">
          <w:rPr>
            <w:rFonts w:ascii="Arial" w:hAnsi="Arial" w:cs="Arial"/>
            <w:sz w:val="18"/>
          </w:rPr>
          <w:instrText>PAGE   \* MERGEFORMAT</w:instrText>
        </w:r>
        <w:r w:rsidRPr="00757313">
          <w:rPr>
            <w:rFonts w:ascii="Arial" w:hAnsi="Arial" w:cs="Arial"/>
            <w:sz w:val="18"/>
          </w:rPr>
          <w:fldChar w:fldCharType="separate"/>
        </w:r>
        <w:r w:rsidR="004243B2" w:rsidRPr="004243B2">
          <w:rPr>
            <w:rFonts w:ascii="Arial" w:hAnsi="Arial" w:cs="Arial"/>
            <w:noProof/>
            <w:sz w:val="18"/>
            <w:lang w:val="es-ES"/>
          </w:rPr>
          <w:t>7</w:t>
        </w:r>
        <w:r w:rsidRPr="00757313">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54B" w:rsidRDefault="004E654B" w:rsidP="00756044">
      <w:pPr>
        <w:spacing w:after="0" w:line="240" w:lineRule="auto"/>
      </w:pPr>
      <w:r>
        <w:separator/>
      </w:r>
    </w:p>
  </w:footnote>
  <w:footnote w:type="continuationSeparator" w:id="0">
    <w:p w:rsidR="004E654B" w:rsidRDefault="004E654B" w:rsidP="00756044">
      <w:pPr>
        <w:spacing w:after="0" w:line="240" w:lineRule="auto"/>
      </w:pPr>
      <w:r>
        <w:continuationSeparator/>
      </w:r>
    </w:p>
  </w:footnote>
  <w:footnote w:id="1">
    <w:p w:rsidR="00D675F2" w:rsidRPr="00757313" w:rsidRDefault="00D675F2" w:rsidP="00757313">
      <w:pPr>
        <w:pStyle w:val="Textonotapie"/>
        <w:jc w:val="both"/>
        <w:rPr>
          <w:rFonts w:ascii="Agency FB" w:hAnsi="Agency FB"/>
          <w:sz w:val="22"/>
          <w:szCs w:val="26"/>
          <w:lang w:val="es-MX"/>
        </w:rPr>
      </w:pPr>
      <w:r w:rsidRPr="00757313">
        <w:rPr>
          <w:rStyle w:val="Refdenotaalpie"/>
          <w:rFonts w:ascii="Agency FB" w:hAnsi="Agency FB"/>
          <w:sz w:val="22"/>
          <w:szCs w:val="26"/>
        </w:rPr>
        <w:footnoteRef/>
      </w:r>
      <w:r w:rsidRPr="00757313">
        <w:rPr>
          <w:rFonts w:ascii="Agency FB" w:hAnsi="Agency FB"/>
          <w:sz w:val="22"/>
          <w:szCs w:val="26"/>
        </w:rPr>
        <w:t xml:space="preserve"> Sentencia T-343 de 2014</w:t>
      </w:r>
    </w:p>
  </w:footnote>
  <w:footnote w:id="2">
    <w:p w:rsidR="00D675F2" w:rsidRPr="00757313" w:rsidRDefault="00D675F2" w:rsidP="00757313">
      <w:pPr>
        <w:pStyle w:val="Textonotapie"/>
        <w:jc w:val="both"/>
        <w:rPr>
          <w:rFonts w:ascii="Agency FB" w:hAnsi="Agency FB"/>
          <w:sz w:val="22"/>
          <w:szCs w:val="26"/>
          <w:lang w:val="es-419"/>
        </w:rPr>
      </w:pPr>
      <w:r w:rsidRPr="00757313">
        <w:rPr>
          <w:rStyle w:val="Refdenotaalpie"/>
          <w:rFonts w:ascii="Agency FB" w:hAnsi="Agency FB"/>
          <w:sz w:val="22"/>
          <w:szCs w:val="26"/>
        </w:rPr>
        <w:footnoteRef/>
      </w:r>
      <w:r w:rsidRPr="00757313">
        <w:rPr>
          <w:rFonts w:ascii="Agency FB" w:hAnsi="Agency FB"/>
          <w:sz w:val="22"/>
          <w:szCs w:val="26"/>
        </w:rPr>
        <w:t xml:space="preserve"> </w:t>
      </w:r>
      <w:r w:rsidRPr="00757313">
        <w:rPr>
          <w:rFonts w:ascii="Agency FB" w:hAnsi="Agency FB"/>
          <w:sz w:val="22"/>
          <w:szCs w:val="26"/>
          <w:lang w:val="es-419"/>
        </w:rPr>
        <w:t>Sentencia T-304 de 2015</w:t>
      </w:r>
    </w:p>
  </w:footnote>
  <w:footnote w:id="3">
    <w:p w:rsidR="00905D58" w:rsidRPr="00757313" w:rsidRDefault="00905D58" w:rsidP="00757313">
      <w:pPr>
        <w:pStyle w:val="Textonotapie"/>
        <w:jc w:val="both"/>
        <w:rPr>
          <w:rFonts w:ascii="Agency FB" w:hAnsi="Agency FB"/>
          <w:sz w:val="22"/>
          <w:szCs w:val="26"/>
          <w:lang w:val="es-419"/>
        </w:rPr>
      </w:pPr>
      <w:r w:rsidRPr="00757313">
        <w:rPr>
          <w:rStyle w:val="Refdenotaalpie"/>
          <w:rFonts w:ascii="Agency FB" w:hAnsi="Agency FB"/>
          <w:sz w:val="22"/>
          <w:szCs w:val="26"/>
        </w:rPr>
        <w:footnoteRef/>
      </w:r>
      <w:r w:rsidRPr="00757313">
        <w:rPr>
          <w:rFonts w:ascii="Agency FB" w:hAnsi="Agency FB"/>
          <w:sz w:val="22"/>
          <w:szCs w:val="26"/>
        </w:rPr>
        <w:t xml:space="preserve"> </w:t>
      </w:r>
      <w:r w:rsidRPr="00757313">
        <w:rPr>
          <w:rFonts w:ascii="Agency FB" w:hAnsi="Agency FB"/>
          <w:sz w:val="22"/>
          <w:szCs w:val="26"/>
          <w:lang w:val="es-419"/>
        </w:rPr>
        <w:t xml:space="preserve">Así lo recordó en la sentencia T-703-17, en la que, además, trajo a colación otras como las sentencias T-606 de 2014 y T-002 A de 2017. </w:t>
      </w:r>
    </w:p>
  </w:footnote>
  <w:footnote w:id="4">
    <w:p w:rsidR="00905D58" w:rsidRPr="00757313" w:rsidRDefault="00905D58" w:rsidP="00757313">
      <w:pPr>
        <w:pStyle w:val="Textonotapie"/>
        <w:jc w:val="both"/>
        <w:rPr>
          <w:rFonts w:ascii="Agency FB" w:hAnsi="Agency FB"/>
          <w:color w:val="0D0D0D" w:themeColor="text1" w:themeTint="F2"/>
          <w:sz w:val="22"/>
          <w:szCs w:val="26"/>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Sentencias T-861 de 2014. M.P. Luis Guillermo Guerrero Pérez, fundamento jurídico N° 6.6.4.; T-596 de 2016. M.P. </w:t>
      </w:r>
      <w:r w:rsidRPr="00757313">
        <w:rPr>
          <w:rFonts w:ascii="Agency FB" w:hAnsi="Agency FB"/>
          <w:color w:val="0D0D0D" w:themeColor="text1" w:themeTint="F2"/>
          <w:sz w:val="22"/>
          <w:szCs w:val="26"/>
          <w:lang w:val="es-CO"/>
        </w:rPr>
        <w:t>Gabriel Eduardo Mendoza Martelo, fundamento jurídico N° 6; y T-656 de 2016. M.P. Luis Ernesto Vargas Silva, fundamento jurídico “</w:t>
      </w:r>
      <w:r w:rsidRPr="00757313">
        <w:rPr>
          <w:rFonts w:ascii="Agency FB" w:hAnsi="Agency FB"/>
          <w:i/>
          <w:color w:val="0D0D0D" w:themeColor="text1" w:themeTint="F2"/>
          <w:sz w:val="22"/>
          <w:szCs w:val="26"/>
          <w:lang w:val="es-CO"/>
        </w:rPr>
        <w:t>Naturaleza jurídica de la indemnización sustitutiva de la pensión de vejez. Reiteración de jurisprudencia</w:t>
      </w:r>
      <w:r w:rsidRPr="00757313">
        <w:rPr>
          <w:rFonts w:ascii="Agency FB" w:hAnsi="Agency FB"/>
          <w:color w:val="0D0D0D" w:themeColor="text1" w:themeTint="F2"/>
          <w:sz w:val="22"/>
          <w:szCs w:val="26"/>
          <w:lang w:val="es-CO"/>
        </w:rPr>
        <w:t xml:space="preserve">”. </w:t>
      </w:r>
    </w:p>
  </w:footnote>
  <w:footnote w:id="5">
    <w:p w:rsidR="00905D58" w:rsidRPr="00757313" w:rsidRDefault="00905D58" w:rsidP="00757313">
      <w:pPr>
        <w:pStyle w:val="Textonotapie"/>
        <w:jc w:val="both"/>
        <w:rPr>
          <w:color w:val="0D0D0D" w:themeColor="text1" w:themeTint="F2"/>
          <w:sz w:val="22"/>
          <w:szCs w:val="26"/>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Incluso, la Corte Constitucional ha determinado que, en ciertas circunstancias, es posible acceder a una pensión a pesar de haberse reconocido una indemnización sustitutiva por la misma contingencia (v.gr. vejez-vejez, o invalidez-invalidez) (Ver -entre otras- las sentencias T-043 de 2007. M.P. Jaime Córdoba Triviño (expediente T-1.432.311); T-1030 de 2008. M.P. Mauricio González Cuervo; T-870 de 2009. M.P. Jorge Iván Palacio Palacio; T-482 de 2011. M.P. Luis Ernesto Vargas Silva; T-937 de 2013. M.P. Luis Guillermo Guerrero Pérez; T-606 de 2014. M.P. María Victoria Calle Correa; y T-240 de 2019. M.P. Alberto Rojas Ríos). Esto, en los eventos en los que desde el primer acto que resolvía la solicitud pensional podía predicarse que la persona interesada tenía el derecho a la pensión, pero el mismo no fue concedido -por ejemplo- por la exigencia de un requisito inconstitucional o la aplicación equivocada de una norma sustantiva.</w:t>
      </w:r>
    </w:p>
  </w:footnote>
  <w:footnote w:id="6">
    <w:p w:rsidR="00905D58" w:rsidRPr="00757313" w:rsidRDefault="00905D58" w:rsidP="00757313">
      <w:pPr>
        <w:pStyle w:val="Textonotapie"/>
        <w:jc w:val="both"/>
        <w:rPr>
          <w:rFonts w:ascii="Agency FB" w:hAnsi="Agency FB"/>
          <w:color w:val="0D0D0D" w:themeColor="text1" w:themeTint="F2"/>
          <w:sz w:val="22"/>
          <w:szCs w:val="26"/>
          <w:lang w:val="es-CO"/>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w:t>
      </w:r>
      <w:r w:rsidRPr="00757313">
        <w:rPr>
          <w:rFonts w:ascii="Agency FB" w:hAnsi="Agency FB"/>
          <w:color w:val="0D0D0D" w:themeColor="text1" w:themeTint="F2"/>
          <w:sz w:val="22"/>
          <w:szCs w:val="26"/>
          <w:lang w:val="es-CO"/>
        </w:rPr>
        <w:t xml:space="preserve">M.P. Luis Guillermo Guerrero Pérez. El caso versaba sobre una señora a la que Colpensiones reconoció en julio de 2009 la </w:t>
      </w:r>
      <w:r w:rsidRPr="00757313">
        <w:rPr>
          <w:rFonts w:ascii="Agency FB" w:hAnsi="Agency FB"/>
          <w:i/>
          <w:color w:val="0D0D0D" w:themeColor="text1" w:themeTint="F2"/>
          <w:sz w:val="22"/>
          <w:szCs w:val="26"/>
          <w:lang w:val="es-CO"/>
        </w:rPr>
        <w:t>indemnización sustitutiva de la pensión de vejez</w:t>
      </w:r>
      <w:r w:rsidRPr="00757313">
        <w:rPr>
          <w:rFonts w:ascii="Agency FB" w:hAnsi="Agency FB"/>
          <w:color w:val="0D0D0D" w:themeColor="text1" w:themeTint="F2"/>
          <w:sz w:val="22"/>
          <w:szCs w:val="26"/>
          <w:lang w:val="es-CO"/>
        </w:rPr>
        <w:t>, pero continuó realizando aportes al Sistema General de Seguridad Social en Pensiones (entre el 27 de septiembre de 2009 y el 27 de septiembre de 2012 cotizó 148 semanas). Posteriormente fue calificada con una pérdida de capacidad laboral de 59,14% con fecha de estructuración del 27 de septiembre de 2012 (cuando tenía 62 años y le diagnosticaron “</w:t>
      </w:r>
      <w:r w:rsidRPr="00757313">
        <w:rPr>
          <w:rFonts w:ascii="Agency FB" w:hAnsi="Agency FB"/>
          <w:i/>
          <w:color w:val="0D0D0D" w:themeColor="text1" w:themeTint="F2"/>
          <w:sz w:val="22"/>
          <w:szCs w:val="26"/>
          <w:lang w:val="es-CO"/>
        </w:rPr>
        <w:t>cáncer en los bronquios y/o pulmones</w:t>
      </w:r>
      <w:r w:rsidRPr="00757313">
        <w:rPr>
          <w:rFonts w:ascii="Agency FB" w:hAnsi="Agency FB"/>
          <w:color w:val="0D0D0D" w:themeColor="text1" w:themeTint="F2"/>
          <w:sz w:val="22"/>
          <w:szCs w:val="26"/>
          <w:lang w:val="es-CO"/>
        </w:rPr>
        <w:t>”. No obstante, Colpensiones negó el reconocimiento y pago de la pensión de invalidez por ser incompatible con la prestación ya reconocida.</w:t>
      </w:r>
    </w:p>
  </w:footnote>
  <w:footnote w:id="7">
    <w:p w:rsidR="00905D58" w:rsidRPr="00757313" w:rsidRDefault="00905D58" w:rsidP="00757313">
      <w:pPr>
        <w:pStyle w:val="Textonotapie"/>
        <w:jc w:val="both"/>
        <w:rPr>
          <w:rFonts w:ascii="Agency FB" w:hAnsi="Agency FB"/>
          <w:color w:val="0D0D0D" w:themeColor="text1" w:themeTint="F2"/>
          <w:sz w:val="22"/>
          <w:szCs w:val="26"/>
          <w:lang w:val="es-CO"/>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w:t>
      </w:r>
      <w:r w:rsidRPr="00757313">
        <w:rPr>
          <w:rFonts w:ascii="Agency FB" w:hAnsi="Agency FB"/>
          <w:color w:val="0D0D0D" w:themeColor="text1" w:themeTint="F2"/>
          <w:sz w:val="22"/>
          <w:szCs w:val="26"/>
          <w:lang w:val="es-CO"/>
        </w:rPr>
        <w:t xml:space="preserve">M.P. Gabriel Eduardo Mendoza Martelo. En esta Sentencia se resolvieron los expedientes acumulados T-5.605.497 y T-5.611.344. En el primero de ellos, un señor de 69 años de edad solicitó -el 1 de enero 2012- el reconocimiento de su pensión de vejez. No obstante, Colpensiones no accedió a ello en tanto no contaba con la densidad de semanas requeridas, razón por la que posteriormente reconoció la </w:t>
      </w:r>
      <w:r w:rsidRPr="00757313">
        <w:rPr>
          <w:rFonts w:ascii="Agency FB" w:hAnsi="Agency FB"/>
          <w:i/>
          <w:color w:val="0D0D0D" w:themeColor="text1" w:themeTint="F2"/>
          <w:sz w:val="22"/>
          <w:szCs w:val="26"/>
          <w:lang w:val="es-CO"/>
        </w:rPr>
        <w:t>indemnización sustitutiva de la pensión de vejez</w:t>
      </w:r>
      <w:r w:rsidRPr="00757313">
        <w:rPr>
          <w:rFonts w:ascii="Agency FB" w:hAnsi="Agency FB"/>
          <w:color w:val="0D0D0D" w:themeColor="text1" w:themeTint="F2"/>
          <w:sz w:val="22"/>
          <w:szCs w:val="26"/>
          <w:lang w:val="es-CO"/>
        </w:rPr>
        <w:t xml:space="preserve">. A pesar de lo anterior, continuó cotizando al Sistema. El 24 de noviembre de 2014 fue calificado con una pérdida de capacidad laboral del 51,14% por enfermedad de origen común, con fecha de estructuración 5 de agosto de 2014. Por ende, el 24 de marzo de 2015 solicitó a Colpensiones el reconocimiento y pago de la pensión de invalidez, solicitud que fue negada al advertir que ya se había reconocido la </w:t>
      </w:r>
      <w:r w:rsidRPr="00757313">
        <w:rPr>
          <w:rFonts w:ascii="Agency FB" w:hAnsi="Agency FB"/>
          <w:i/>
          <w:color w:val="0D0D0D" w:themeColor="text1" w:themeTint="F2"/>
          <w:sz w:val="22"/>
          <w:szCs w:val="26"/>
          <w:lang w:val="es-CO"/>
        </w:rPr>
        <w:t xml:space="preserve">indemnización sustitutiva de la pensión de vejez </w:t>
      </w:r>
      <w:r w:rsidRPr="00757313">
        <w:rPr>
          <w:rFonts w:ascii="Agency FB" w:hAnsi="Agency FB"/>
          <w:color w:val="0D0D0D" w:themeColor="text1" w:themeTint="F2"/>
          <w:sz w:val="22"/>
          <w:szCs w:val="26"/>
          <w:lang w:val="es-CO"/>
        </w:rPr>
        <w:t>y que dicha prestación económica es incompatible con la pensión de invalidez.</w:t>
      </w:r>
    </w:p>
  </w:footnote>
  <w:footnote w:id="8">
    <w:p w:rsidR="00905D58" w:rsidRPr="00757313" w:rsidRDefault="00905D58" w:rsidP="00757313">
      <w:pPr>
        <w:pStyle w:val="Textonotapie"/>
        <w:jc w:val="both"/>
        <w:rPr>
          <w:rFonts w:ascii="Agency FB" w:hAnsi="Agency FB"/>
          <w:color w:val="0D0D0D" w:themeColor="text1" w:themeTint="F2"/>
          <w:sz w:val="22"/>
          <w:szCs w:val="26"/>
          <w:lang w:val="es-CO"/>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w:t>
      </w:r>
      <w:r w:rsidRPr="00757313">
        <w:rPr>
          <w:rFonts w:ascii="Agency FB" w:hAnsi="Agency FB"/>
          <w:color w:val="0D0D0D" w:themeColor="text1" w:themeTint="F2"/>
          <w:sz w:val="22"/>
          <w:szCs w:val="26"/>
          <w:lang w:val="es-CO"/>
        </w:rPr>
        <w:t xml:space="preserve">M.P. Luis Ernesto Vargas Silva. En esa oportunidad, la Corte estudió la situación de una señora de 60 años a la que Colpensiones reconoció -el 15 de marzo de 2012- la </w:t>
      </w:r>
      <w:r w:rsidRPr="00757313">
        <w:rPr>
          <w:rFonts w:ascii="Agency FB" w:hAnsi="Agency FB"/>
          <w:i/>
          <w:color w:val="0D0D0D" w:themeColor="text1" w:themeTint="F2"/>
          <w:sz w:val="22"/>
          <w:szCs w:val="26"/>
          <w:lang w:val="es-CO"/>
        </w:rPr>
        <w:t>indemnización sustitutiva de la pensión de vejez</w:t>
      </w:r>
      <w:r w:rsidRPr="00757313">
        <w:rPr>
          <w:rFonts w:ascii="Agency FB" w:hAnsi="Agency FB"/>
          <w:color w:val="0D0D0D" w:themeColor="text1" w:themeTint="F2"/>
          <w:sz w:val="22"/>
          <w:szCs w:val="26"/>
          <w:lang w:val="es-CO"/>
        </w:rPr>
        <w:t>. No obstante, continuó afiliada al fondo de pensiones y siguió cotizando para los riesgos de invalidez, vejez y muerte. Posteriormente le fue determinada una pérdida de capacidad laboral de 52,35%, teniendo como fecha de estructuración el 8 de julio de 2015. Teniendo en cuenta lo anterior, presentó a Colpensiones una solicitud de reconocimiento y pago de la pensión de invalidez, la cual fue negada por la entidad argumentando que, al momento de recibir la indemnización sustitutiva, la beneficiaria había aceptado que, de seguir cotizando, estos nuevos aportes solo podrían ser objeto de devolución y que, en todo caso, ya había recibido la mencionada indemnización por lo que no podía ser beneficiaria de una nueva prestación de carácter pensional.</w:t>
      </w:r>
    </w:p>
  </w:footnote>
  <w:footnote w:id="9">
    <w:p w:rsidR="00905D58" w:rsidRPr="00757313" w:rsidRDefault="00905D58" w:rsidP="00757313">
      <w:pPr>
        <w:pStyle w:val="Textonotapie"/>
        <w:jc w:val="both"/>
        <w:rPr>
          <w:rFonts w:ascii="Agency FB" w:hAnsi="Agency FB"/>
          <w:color w:val="0D0D0D" w:themeColor="text1" w:themeTint="F2"/>
          <w:sz w:val="22"/>
          <w:szCs w:val="26"/>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Sentencia T-861 de 2014. M.P. Luis Guillermo Guerrero Pérez, fundamento jurídico N° 6.6.3.</w:t>
      </w:r>
    </w:p>
  </w:footnote>
  <w:footnote w:id="10">
    <w:p w:rsidR="00905D58" w:rsidRPr="00757313" w:rsidRDefault="00905D58" w:rsidP="00757313">
      <w:pPr>
        <w:pStyle w:val="Textonotapie"/>
        <w:jc w:val="both"/>
        <w:rPr>
          <w:rFonts w:ascii="Agency FB" w:hAnsi="Agency FB"/>
          <w:color w:val="0D0D0D" w:themeColor="text1" w:themeTint="F2"/>
          <w:sz w:val="22"/>
          <w:szCs w:val="26"/>
        </w:rPr>
      </w:pPr>
      <w:r w:rsidRPr="00757313">
        <w:rPr>
          <w:rStyle w:val="Refdenotaalpie"/>
          <w:rFonts w:ascii="Agency FB" w:hAnsi="Agency FB"/>
          <w:color w:val="0D0D0D" w:themeColor="text1" w:themeTint="F2"/>
          <w:sz w:val="22"/>
          <w:szCs w:val="26"/>
        </w:rPr>
        <w:footnoteRef/>
      </w:r>
      <w:r w:rsidRPr="00757313">
        <w:rPr>
          <w:rFonts w:ascii="Agency FB" w:hAnsi="Agency FB"/>
          <w:color w:val="0D0D0D" w:themeColor="text1" w:themeTint="F2"/>
          <w:sz w:val="22"/>
          <w:szCs w:val="26"/>
        </w:rPr>
        <w:t xml:space="preserve"> Son dos los casos con hechos similares: Corte Suprema de Justicia, Sala de Casación Laboral, sentencias de 20 de noviembre de 2007. M.P. Camilo Tarquino Gallego, radicación Nº 30.123; y de 19 de febrero de 2014. M.P. Carlos Ernesto Molina Monsalve, radicación Nº 46.194. La primera de esas providencias fue reiterada -entre otras- en las sentencias de 25 de marzo de 2009. M.P. Camilo Tarquino Gallego, radicación Nº 34.014; de 24 de mayo de 2011. M.P. Jorge Mauricio Burgos Ruiz, radicación Nº 39.504; y de 24 de abril de 2012. M.P. Luis Gabriel Miranda Buelvas, radicación Nº 37.902.</w:t>
      </w:r>
    </w:p>
  </w:footnote>
  <w:footnote w:id="11">
    <w:p w:rsidR="00D675F2" w:rsidRPr="00757313" w:rsidRDefault="00D675F2" w:rsidP="00757313">
      <w:pPr>
        <w:pStyle w:val="Textonotapie"/>
        <w:jc w:val="both"/>
        <w:rPr>
          <w:rFonts w:ascii="Agency FB" w:hAnsi="Agency FB"/>
          <w:sz w:val="22"/>
          <w:szCs w:val="26"/>
          <w:lang w:val="es-CO"/>
        </w:rPr>
      </w:pPr>
      <w:r w:rsidRPr="00757313">
        <w:rPr>
          <w:rStyle w:val="Refdenotaalpie"/>
          <w:rFonts w:ascii="Agency FB" w:hAnsi="Agency FB"/>
          <w:sz w:val="22"/>
          <w:szCs w:val="26"/>
        </w:rPr>
        <w:footnoteRef/>
      </w:r>
      <w:r w:rsidRPr="00757313">
        <w:rPr>
          <w:rFonts w:ascii="Agency FB" w:hAnsi="Agency FB"/>
          <w:sz w:val="22"/>
          <w:szCs w:val="26"/>
        </w:rPr>
        <w:t xml:space="preserve"> Ese mismo criterio lo prohíja la Corte Suprema de Justicia, </w:t>
      </w:r>
      <w:r w:rsidRPr="00757313">
        <w:rPr>
          <w:rFonts w:ascii="Agency FB" w:hAnsi="Agency FB"/>
          <w:sz w:val="22"/>
          <w:szCs w:val="26"/>
          <w:lang w:val="es-CO"/>
        </w:rPr>
        <w:t>sentencias del 20 de noviembre de 2007, expediente 30123, MP. Dr. Camilo Tarquino Gallego. Posición reiterada en sentencia SL11234-2015 del 26 de agosto de 2015, MP. Dr. Rigoberto Echeverri Bueno.</w:t>
      </w:r>
    </w:p>
  </w:footnote>
  <w:footnote w:id="12">
    <w:p w:rsidR="00D675F2" w:rsidRPr="00757313" w:rsidRDefault="00D675F2" w:rsidP="00757313">
      <w:pPr>
        <w:pStyle w:val="Textonotapie"/>
        <w:jc w:val="both"/>
        <w:rPr>
          <w:rFonts w:ascii="Agency FB" w:hAnsi="Agency FB"/>
          <w:sz w:val="22"/>
          <w:szCs w:val="26"/>
        </w:rPr>
      </w:pPr>
      <w:r w:rsidRPr="00757313">
        <w:rPr>
          <w:rStyle w:val="Refdenotaalpie"/>
          <w:rFonts w:ascii="Agency FB" w:hAnsi="Agency FB"/>
          <w:sz w:val="22"/>
          <w:szCs w:val="26"/>
        </w:rPr>
        <w:footnoteRef/>
      </w:r>
      <w:r w:rsidRPr="00757313">
        <w:rPr>
          <w:rFonts w:ascii="Agency FB" w:hAnsi="Agency FB"/>
          <w:sz w:val="22"/>
          <w:szCs w:val="26"/>
        </w:rPr>
        <w:t xml:space="preserve"> TSP, SCF. Sentencia del 28 de mayo del 2018, Rad. 2018-00046-01, M.P. Jaime Alberto Saraza Naranjo.</w:t>
      </w:r>
    </w:p>
  </w:footnote>
  <w:footnote w:id="13">
    <w:p w:rsidR="00D675F2" w:rsidRPr="000C05C0" w:rsidRDefault="00D675F2" w:rsidP="00757313">
      <w:pPr>
        <w:pStyle w:val="Textonotapie"/>
        <w:jc w:val="both"/>
        <w:rPr>
          <w:rFonts w:ascii="Agency FB" w:hAnsi="Agency FB"/>
          <w:sz w:val="26"/>
          <w:szCs w:val="26"/>
          <w:lang w:val="es-CO"/>
        </w:rPr>
      </w:pPr>
      <w:r w:rsidRPr="00757313">
        <w:rPr>
          <w:rStyle w:val="Refdenotaalpie"/>
          <w:rFonts w:ascii="Agency FB" w:hAnsi="Agency FB"/>
          <w:sz w:val="22"/>
          <w:szCs w:val="26"/>
        </w:rPr>
        <w:footnoteRef/>
      </w:r>
      <w:r w:rsidRPr="00757313">
        <w:rPr>
          <w:rFonts w:ascii="Agency FB" w:hAnsi="Agency FB"/>
          <w:sz w:val="22"/>
          <w:szCs w:val="26"/>
        </w:rPr>
        <w:t xml:space="preserve"> TSP, SCF. Sentencia del 26 de junio del 2019, Rad. 2019-00028-01, M.P. Claudia María Arcila Ríos.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44"/>
    <w:rsid w:val="00003BCD"/>
    <w:rsid w:val="000209D4"/>
    <w:rsid w:val="0003167E"/>
    <w:rsid w:val="00033FD2"/>
    <w:rsid w:val="00055409"/>
    <w:rsid w:val="00075417"/>
    <w:rsid w:val="000C05C0"/>
    <w:rsid w:val="000E068E"/>
    <w:rsid w:val="00170829"/>
    <w:rsid w:val="001E3579"/>
    <w:rsid w:val="001F2B5B"/>
    <w:rsid w:val="00271C50"/>
    <w:rsid w:val="0028089C"/>
    <w:rsid w:val="00296F35"/>
    <w:rsid w:val="002B111A"/>
    <w:rsid w:val="003069A3"/>
    <w:rsid w:val="00350051"/>
    <w:rsid w:val="003A3639"/>
    <w:rsid w:val="004243B2"/>
    <w:rsid w:val="00430A05"/>
    <w:rsid w:val="004C58DB"/>
    <w:rsid w:val="004E3C90"/>
    <w:rsid w:val="004E4A9F"/>
    <w:rsid w:val="004E654B"/>
    <w:rsid w:val="004F119E"/>
    <w:rsid w:val="0051087B"/>
    <w:rsid w:val="00570DA5"/>
    <w:rsid w:val="005B6A3A"/>
    <w:rsid w:val="005C000E"/>
    <w:rsid w:val="00613406"/>
    <w:rsid w:val="006230BC"/>
    <w:rsid w:val="0067794B"/>
    <w:rsid w:val="006D7F5E"/>
    <w:rsid w:val="006E6406"/>
    <w:rsid w:val="006F5C2C"/>
    <w:rsid w:val="007045BE"/>
    <w:rsid w:val="00712825"/>
    <w:rsid w:val="00714B45"/>
    <w:rsid w:val="00742586"/>
    <w:rsid w:val="00756044"/>
    <w:rsid w:val="00757313"/>
    <w:rsid w:val="00772BEE"/>
    <w:rsid w:val="00773FF5"/>
    <w:rsid w:val="00784E3A"/>
    <w:rsid w:val="00796976"/>
    <w:rsid w:val="007D29D6"/>
    <w:rsid w:val="007F461D"/>
    <w:rsid w:val="0089363A"/>
    <w:rsid w:val="008D6547"/>
    <w:rsid w:val="008F5463"/>
    <w:rsid w:val="00905D58"/>
    <w:rsid w:val="00923230"/>
    <w:rsid w:val="00931950"/>
    <w:rsid w:val="009C7A12"/>
    <w:rsid w:val="009F2253"/>
    <w:rsid w:val="00A0050F"/>
    <w:rsid w:val="00A108A7"/>
    <w:rsid w:val="00A22B0F"/>
    <w:rsid w:val="00A271FF"/>
    <w:rsid w:val="00A64ADF"/>
    <w:rsid w:val="00A71547"/>
    <w:rsid w:val="00A870DE"/>
    <w:rsid w:val="00AB0C0C"/>
    <w:rsid w:val="00B15E18"/>
    <w:rsid w:val="00B40FED"/>
    <w:rsid w:val="00B92F45"/>
    <w:rsid w:val="00BB3142"/>
    <w:rsid w:val="00BF3C77"/>
    <w:rsid w:val="00CB2992"/>
    <w:rsid w:val="00CC78A7"/>
    <w:rsid w:val="00CE05C3"/>
    <w:rsid w:val="00CE2242"/>
    <w:rsid w:val="00D0191E"/>
    <w:rsid w:val="00D33CE9"/>
    <w:rsid w:val="00D675F2"/>
    <w:rsid w:val="00DC47C5"/>
    <w:rsid w:val="00DE2030"/>
    <w:rsid w:val="00E434E7"/>
    <w:rsid w:val="00E505C4"/>
    <w:rsid w:val="00E87CCB"/>
    <w:rsid w:val="00F0648E"/>
    <w:rsid w:val="00F46E71"/>
    <w:rsid w:val="00F7483E"/>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763EA-6DA0-415C-A724-2B0BDAE8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0319">
      <w:bodyDiv w:val="1"/>
      <w:marLeft w:val="0"/>
      <w:marRight w:val="0"/>
      <w:marTop w:val="0"/>
      <w:marBottom w:val="0"/>
      <w:divBdr>
        <w:top w:val="none" w:sz="0" w:space="0" w:color="auto"/>
        <w:left w:val="none" w:sz="0" w:space="0" w:color="auto"/>
        <w:bottom w:val="none" w:sz="0" w:space="0" w:color="auto"/>
        <w:right w:val="none" w:sz="0" w:space="0" w:color="auto"/>
      </w:divBdr>
    </w:div>
    <w:div w:id="141369601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C47D-A149-4762-B215-4A524DC3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8</cp:revision>
  <cp:lastPrinted>2019-11-25T19:36:00Z</cp:lastPrinted>
  <dcterms:created xsi:type="dcterms:W3CDTF">2019-11-22T20:47:00Z</dcterms:created>
  <dcterms:modified xsi:type="dcterms:W3CDTF">2020-01-15T20:31:00Z</dcterms:modified>
</cp:coreProperties>
</file>