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6F" w:rsidRPr="00B30EFC" w:rsidRDefault="001E5D6F" w:rsidP="001E5D6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E5D6F" w:rsidRPr="00B30EFC" w:rsidRDefault="001E5D6F" w:rsidP="001E5D6F">
      <w:pPr>
        <w:jc w:val="both"/>
        <w:rPr>
          <w:rFonts w:ascii="Arial" w:hAnsi="Arial" w:cs="Arial"/>
          <w:lang w:val="es-419"/>
        </w:rPr>
      </w:pPr>
    </w:p>
    <w:p w:rsidR="001E5D6F" w:rsidRPr="00B30EFC" w:rsidRDefault="001E5D6F" w:rsidP="001E5D6F">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944BC8">
        <w:rPr>
          <w:rFonts w:ascii="Arial" w:hAnsi="Arial" w:cs="Arial"/>
          <w:b/>
          <w:bCs/>
          <w:iCs/>
          <w:sz w:val="20"/>
          <w:szCs w:val="20"/>
          <w:lang w:val="es-CO" w:eastAsia="fr-FR"/>
        </w:rPr>
        <w:t xml:space="preserve">NULIDAD / POR FALTA DE NOTIFICACIÓN A </w:t>
      </w:r>
      <w:r w:rsidR="00944BC8">
        <w:rPr>
          <w:rFonts w:ascii="Arial" w:hAnsi="Arial" w:cs="Arial"/>
          <w:b/>
          <w:bCs/>
          <w:iCs/>
          <w:sz w:val="20"/>
          <w:szCs w:val="20"/>
          <w:lang w:val="es-CO" w:eastAsia="fr-FR"/>
        </w:rPr>
        <w:t>TERCEROS CON INTERÉS EN E</w:t>
      </w:r>
      <w:r w:rsidR="00944BC8">
        <w:rPr>
          <w:rFonts w:ascii="Arial" w:hAnsi="Arial" w:cs="Arial"/>
          <w:b/>
          <w:bCs/>
          <w:iCs/>
          <w:sz w:val="20"/>
          <w:szCs w:val="20"/>
          <w:lang w:val="es-CO" w:eastAsia="fr-FR"/>
        </w:rPr>
        <w:t>L PROCESO / NO SE OPONE A ELLO EL PRINCIPIO DE INFORMALIDAD DE LA TUTELA.</w:t>
      </w:r>
      <w:r w:rsidRPr="00B30EFC">
        <w:rPr>
          <w:rFonts w:ascii="Arial" w:hAnsi="Arial" w:cs="Arial"/>
          <w:b/>
          <w:bCs/>
          <w:iCs/>
          <w:sz w:val="20"/>
          <w:szCs w:val="20"/>
          <w:lang w:val="es-419" w:eastAsia="fr-FR"/>
        </w:rPr>
        <w:t xml:space="preserve"> </w:t>
      </w:r>
    </w:p>
    <w:p w:rsidR="001E5D6F" w:rsidRDefault="001E5D6F" w:rsidP="001E5D6F">
      <w:pPr>
        <w:jc w:val="both"/>
        <w:rPr>
          <w:rFonts w:ascii="Arial" w:hAnsi="Arial" w:cs="Arial"/>
          <w:lang w:val="es-419"/>
        </w:rPr>
      </w:pPr>
    </w:p>
    <w:p w:rsidR="00944BC8" w:rsidRPr="00944BC8" w:rsidRDefault="00944BC8" w:rsidP="00944BC8">
      <w:pPr>
        <w:jc w:val="both"/>
        <w:rPr>
          <w:rFonts w:ascii="Arial" w:hAnsi="Arial" w:cs="Arial"/>
          <w:lang w:val="es-419"/>
        </w:rPr>
      </w:pPr>
      <w:r w:rsidRPr="00944BC8">
        <w:rPr>
          <w:rFonts w:ascii="Arial" w:hAnsi="Arial" w:cs="Arial"/>
          <w:lang w:val="es-419"/>
        </w:rPr>
        <w:t>En virtud de las garantías fundamentales que deben respetarse en todo procedimiento, se debe garantizar el derecho de defensa y contradicción a todos aquellos que puedan verse perjudicados con la sentencia o sean destinatarios directos de las órdenes constitucionales que lleguen a impartirse, siendo obligatorio notificarles la admisión de la rogativa, para que, si a bien lo tienen, se pronuncien sobre la misma.</w:t>
      </w:r>
    </w:p>
    <w:p w:rsidR="00944BC8" w:rsidRPr="00944BC8" w:rsidRDefault="00944BC8" w:rsidP="00944BC8">
      <w:pPr>
        <w:jc w:val="both"/>
        <w:rPr>
          <w:rFonts w:ascii="Arial" w:hAnsi="Arial" w:cs="Arial"/>
          <w:lang w:val="es-419"/>
        </w:rPr>
      </w:pPr>
    </w:p>
    <w:p w:rsidR="00944BC8" w:rsidRPr="00944BC8" w:rsidRDefault="00944BC8" w:rsidP="00944BC8">
      <w:pPr>
        <w:jc w:val="both"/>
        <w:rPr>
          <w:rFonts w:ascii="Arial" w:hAnsi="Arial" w:cs="Arial"/>
          <w:lang w:val="es-419"/>
        </w:rPr>
      </w:pPr>
      <w:r w:rsidRPr="00944BC8">
        <w:rPr>
          <w:rFonts w:ascii="Arial" w:hAnsi="Arial" w:cs="Arial"/>
          <w:lang w:val="es-419"/>
        </w:rPr>
        <w:t>De acuerdo con ello, cuando no se practica en legal forma la notificación del auto admisorio de la demanda a personas determinadas, se estructura la causal de nulidad establecida en el precepto 133 numeral 8° del CGP.</w:t>
      </w:r>
    </w:p>
    <w:p w:rsidR="00944BC8" w:rsidRDefault="00944BC8" w:rsidP="001E5D6F">
      <w:pPr>
        <w:jc w:val="both"/>
        <w:rPr>
          <w:rFonts w:ascii="Arial" w:hAnsi="Arial" w:cs="Arial"/>
          <w:lang w:val="es-419"/>
        </w:rPr>
      </w:pPr>
    </w:p>
    <w:p w:rsidR="00944BC8" w:rsidRPr="00B30EFC" w:rsidRDefault="00944BC8" w:rsidP="001E5D6F">
      <w:pPr>
        <w:jc w:val="both"/>
        <w:rPr>
          <w:rFonts w:ascii="Arial" w:hAnsi="Arial" w:cs="Arial"/>
          <w:lang w:val="es-419"/>
        </w:rPr>
      </w:pPr>
      <w:r w:rsidRPr="00944BC8">
        <w:rPr>
          <w:rFonts w:ascii="Arial" w:hAnsi="Arial" w:cs="Arial"/>
          <w:lang w:val="es-419"/>
        </w:rPr>
        <w:t>“Esta Corporación ha señalado antes que si bien en la acción tutela rige el principio de informalidad, éste no es absoluto y es necesario satisfacer ciertos presupuestos básicos para evitar una decisión que no proteja los derechos fundamentales, entre ellos la integración de la causa pasiva. Al respecto ha señalado “(…) el principio de informalidad adquiere marcada relevancia en los procedimientos de tutela y debe prestarse especial cuidado en la integración de la causa pasiva y del legítimo contradictorio toda vez que, en ciertos eventos, la demanda se formula en contra de quien no ha incurrido en la conducta imputada, o no se vincula a la totalidad de los sujetos procesales</w:t>
      </w:r>
      <w:r w:rsidRPr="00944BC8">
        <w:rPr>
          <w:rFonts w:ascii="Arial" w:hAnsi="Arial" w:cs="Arial"/>
          <w:lang w:val="es-419"/>
        </w:rPr>
        <w:t>…”</w:t>
      </w:r>
    </w:p>
    <w:p w:rsidR="001E5D6F" w:rsidRDefault="001E5D6F" w:rsidP="001E5D6F">
      <w:pPr>
        <w:jc w:val="both"/>
        <w:rPr>
          <w:rFonts w:ascii="Arial" w:hAnsi="Arial" w:cs="Arial"/>
          <w:lang w:val="es-419"/>
        </w:rPr>
      </w:pPr>
    </w:p>
    <w:p w:rsidR="001E5D6F" w:rsidRDefault="001E5D6F" w:rsidP="001E5D6F">
      <w:pPr>
        <w:jc w:val="both"/>
        <w:rPr>
          <w:rFonts w:ascii="Arial" w:hAnsi="Arial" w:cs="Arial"/>
          <w:lang w:val="es-419"/>
        </w:rPr>
      </w:pPr>
    </w:p>
    <w:p w:rsidR="001E5D6F" w:rsidRDefault="001E5D6F" w:rsidP="001E5D6F">
      <w:pPr>
        <w:jc w:val="both"/>
        <w:rPr>
          <w:rFonts w:ascii="Arial" w:hAnsi="Arial" w:cs="Arial"/>
          <w:lang w:val="es-419"/>
        </w:rPr>
      </w:pPr>
    </w:p>
    <w:p w:rsidR="00B22294" w:rsidRPr="001E5D6F" w:rsidRDefault="00B22294" w:rsidP="001E5D6F">
      <w:pPr>
        <w:spacing w:line="288" w:lineRule="auto"/>
        <w:ind w:firstLine="2835"/>
        <w:rPr>
          <w:rFonts w:ascii="Arial" w:hAnsi="Arial" w:cs="Arial"/>
          <w:b/>
          <w:bCs/>
          <w:sz w:val="24"/>
          <w:szCs w:val="24"/>
        </w:rPr>
      </w:pPr>
      <w:r w:rsidRPr="001E5D6F">
        <w:rPr>
          <w:rFonts w:ascii="Arial" w:hAnsi="Arial" w:cs="Arial"/>
          <w:b/>
          <w:bCs/>
          <w:sz w:val="24"/>
          <w:szCs w:val="24"/>
        </w:rPr>
        <w:t>TRIBUNAL SUPERIOR DE PEREIRA</w:t>
      </w:r>
    </w:p>
    <w:p w:rsidR="00B22294" w:rsidRPr="001E5D6F" w:rsidRDefault="00B22294" w:rsidP="001E5D6F">
      <w:pPr>
        <w:spacing w:line="288" w:lineRule="auto"/>
        <w:ind w:left="2832" w:firstLine="3"/>
        <w:rPr>
          <w:rFonts w:ascii="Arial" w:hAnsi="Arial" w:cs="Arial"/>
          <w:bCs/>
          <w:sz w:val="24"/>
          <w:szCs w:val="24"/>
        </w:rPr>
      </w:pPr>
      <w:r w:rsidRPr="001E5D6F">
        <w:rPr>
          <w:rFonts w:ascii="Arial" w:hAnsi="Arial" w:cs="Arial"/>
          <w:bCs/>
          <w:sz w:val="24"/>
          <w:szCs w:val="24"/>
        </w:rPr>
        <w:t xml:space="preserve">Sala </w:t>
      </w:r>
      <w:r w:rsidR="000D6533" w:rsidRPr="001E5D6F">
        <w:rPr>
          <w:rFonts w:ascii="Arial" w:hAnsi="Arial" w:cs="Arial"/>
          <w:bCs/>
          <w:sz w:val="24"/>
          <w:szCs w:val="24"/>
        </w:rPr>
        <w:t>Civil Familia</w:t>
      </w:r>
      <w:r w:rsidRPr="001E5D6F">
        <w:rPr>
          <w:rFonts w:ascii="Arial" w:hAnsi="Arial" w:cs="Arial"/>
          <w:bCs/>
          <w:sz w:val="24"/>
          <w:szCs w:val="24"/>
        </w:rPr>
        <w:t xml:space="preserve"> Unitaria</w:t>
      </w:r>
    </w:p>
    <w:p w:rsidR="00B22294" w:rsidRPr="001E5D6F" w:rsidRDefault="00B22294" w:rsidP="001E5D6F">
      <w:pPr>
        <w:spacing w:line="288" w:lineRule="auto"/>
        <w:ind w:firstLine="2835"/>
        <w:rPr>
          <w:rFonts w:ascii="Arial" w:hAnsi="Arial" w:cs="Arial"/>
          <w:bCs/>
          <w:sz w:val="24"/>
          <w:szCs w:val="24"/>
        </w:rPr>
      </w:pPr>
    </w:p>
    <w:p w:rsidR="00B22294" w:rsidRPr="001E5D6F" w:rsidRDefault="00B22294" w:rsidP="001E5D6F">
      <w:pPr>
        <w:spacing w:line="288" w:lineRule="auto"/>
        <w:ind w:firstLine="2835"/>
        <w:rPr>
          <w:rFonts w:ascii="Arial" w:hAnsi="Arial" w:cs="Arial"/>
          <w:bCs/>
          <w:sz w:val="24"/>
          <w:szCs w:val="24"/>
        </w:rPr>
      </w:pPr>
      <w:r w:rsidRPr="001E5D6F">
        <w:rPr>
          <w:rFonts w:ascii="Arial" w:hAnsi="Arial" w:cs="Arial"/>
          <w:bCs/>
          <w:sz w:val="24"/>
          <w:szCs w:val="24"/>
        </w:rPr>
        <w:t xml:space="preserve">Magistrado: </w:t>
      </w:r>
    </w:p>
    <w:p w:rsidR="00B22294" w:rsidRPr="001E5D6F" w:rsidRDefault="00B22294" w:rsidP="001E5D6F">
      <w:pPr>
        <w:spacing w:line="288" w:lineRule="auto"/>
        <w:ind w:firstLine="2835"/>
        <w:rPr>
          <w:rFonts w:ascii="Arial" w:hAnsi="Arial" w:cs="Arial"/>
          <w:b/>
          <w:bCs/>
          <w:sz w:val="24"/>
          <w:szCs w:val="24"/>
        </w:rPr>
      </w:pPr>
      <w:r w:rsidRPr="001E5D6F">
        <w:rPr>
          <w:rFonts w:ascii="Arial" w:hAnsi="Arial" w:cs="Arial"/>
          <w:b/>
          <w:bCs/>
          <w:sz w:val="24"/>
          <w:szCs w:val="24"/>
        </w:rPr>
        <w:t>EDDER JIMMY SÁNCHEZ CALAMBÁS</w:t>
      </w:r>
    </w:p>
    <w:p w:rsidR="00B22294" w:rsidRPr="001E5D6F" w:rsidRDefault="00B22294" w:rsidP="001E5D6F">
      <w:pPr>
        <w:spacing w:line="288" w:lineRule="auto"/>
        <w:ind w:firstLine="2835"/>
        <w:rPr>
          <w:rFonts w:ascii="Arial" w:hAnsi="Arial" w:cs="Arial"/>
          <w:bCs/>
          <w:sz w:val="24"/>
          <w:szCs w:val="24"/>
        </w:rPr>
      </w:pPr>
      <w:r w:rsidRPr="001E5D6F">
        <w:rPr>
          <w:rFonts w:ascii="Arial" w:hAnsi="Arial" w:cs="Arial"/>
          <w:bCs/>
          <w:sz w:val="24"/>
          <w:szCs w:val="24"/>
        </w:rPr>
        <w:t xml:space="preserve">Pereira, </w:t>
      </w:r>
      <w:r w:rsidR="006610CE" w:rsidRPr="001E5D6F">
        <w:rPr>
          <w:rFonts w:ascii="Arial" w:hAnsi="Arial" w:cs="Arial"/>
          <w:bCs/>
          <w:sz w:val="24"/>
          <w:szCs w:val="24"/>
        </w:rPr>
        <w:t>5</w:t>
      </w:r>
      <w:r w:rsidRPr="001E5D6F">
        <w:rPr>
          <w:rFonts w:ascii="Arial" w:hAnsi="Arial" w:cs="Arial"/>
          <w:bCs/>
          <w:sz w:val="24"/>
          <w:szCs w:val="24"/>
        </w:rPr>
        <w:t xml:space="preserve"> de </w:t>
      </w:r>
      <w:r w:rsidR="006610CE" w:rsidRPr="001E5D6F">
        <w:rPr>
          <w:rFonts w:ascii="Arial" w:hAnsi="Arial" w:cs="Arial"/>
          <w:bCs/>
          <w:sz w:val="24"/>
          <w:szCs w:val="24"/>
        </w:rPr>
        <w:t>febrero</w:t>
      </w:r>
      <w:r w:rsidR="000D6533" w:rsidRPr="001E5D6F">
        <w:rPr>
          <w:rFonts w:ascii="Arial" w:hAnsi="Arial" w:cs="Arial"/>
          <w:bCs/>
          <w:sz w:val="24"/>
          <w:szCs w:val="24"/>
        </w:rPr>
        <w:t xml:space="preserve"> </w:t>
      </w:r>
      <w:r w:rsidRPr="001E5D6F">
        <w:rPr>
          <w:rFonts w:ascii="Arial" w:hAnsi="Arial" w:cs="Arial"/>
          <w:bCs/>
          <w:sz w:val="24"/>
          <w:szCs w:val="24"/>
        </w:rPr>
        <w:t xml:space="preserve">de </w:t>
      </w:r>
      <w:r w:rsidR="006610CE" w:rsidRPr="001E5D6F">
        <w:rPr>
          <w:rFonts w:ascii="Arial" w:hAnsi="Arial" w:cs="Arial"/>
          <w:bCs/>
          <w:sz w:val="24"/>
          <w:szCs w:val="24"/>
        </w:rPr>
        <w:t>2019</w:t>
      </w:r>
    </w:p>
    <w:p w:rsidR="00B22294" w:rsidRPr="001E5D6F" w:rsidRDefault="00B22294" w:rsidP="001E5D6F">
      <w:pPr>
        <w:spacing w:line="288" w:lineRule="auto"/>
        <w:ind w:firstLine="2835"/>
        <w:rPr>
          <w:rFonts w:ascii="Arial" w:hAnsi="Arial" w:cs="Arial"/>
          <w:bCs/>
          <w:sz w:val="24"/>
          <w:szCs w:val="24"/>
        </w:rPr>
      </w:pPr>
      <w:r w:rsidRPr="001E5D6F">
        <w:rPr>
          <w:rFonts w:ascii="Arial" w:hAnsi="Arial" w:cs="Arial"/>
          <w:sz w:val="24"/>
          <w:szCs w:val="24"/>
        </w:rPr>
        <w:t xml:space="preserve">Referencia: </w:t>
      </w:r>
      <w:r w:rsidR="00A57196" w:rsidRPr="001E5D6F">
        <w:rPr>
          <w:rFonts w:ascii="Arial" w:hAnsi="Arial" w:cs="Arial"/>
          <w:sz w:val="24"/>
          <w:szCs w:val="24"/>
        </w:rPr>
        <w:t>66001</w:t>
      </w:r>
      <w:r w:rsidRPr="001E5D6F">
        <w:rPr>
          <w:rFonts w:ascii="Arial" w:hAnsi="Arial" w:cs="Arial"/>
          <w:sz w:val="24"/>
          <w:szCs w:val="24"/>
        </w:rPr>
        <w:t>-31-</w:t>
      </w:r>
      <w:r w:rsidR="000D6533" w:rsidRPr="001E5D6F">
        <w:rPr>
          <w:rFonts w:ascii="Arial" w:hAnsi="Arial" w:cs="Arial"/>
          <w:sz w:val="24"/>
          <w:szCs w:val="24"/>
        </w:rPr>
        <w:t>0</w:t>
      </w:r>
      <w:r w:rsidR="00EB1937" w:rsidRPr="001E5D6F">
        <w:rPr>
          <w:rFonts w:ascii="Arial" w:hAnsi="Arial" w:cs="Arial"/>
          <w:sz w:val="24"/>
          <w:szCs w:val="24"/>
        </w:rPr>
        <w:t>3</w:t>
      </w:r>
      <w:r w:rsidRPr="001E5D6F">
        <w:rPr>
          <w:rFonts w:ascii="Arial" w:hAnsi="Arial" w:cs="Arial"/>
          <w:sz w:val="24"/>
          <w:szCs w:val="24"/>
        </w:rPr>
        <w:t>-00</w:t>
      </w:r>
      <w:r w:rsidR="006610CE" w:rsidRPr="001E5D6F">
        <w:rPr>
          <w:rFonts w:ascii="Arial" w:hAnsi="Arial" w:cs="Arial"/>
          <w:sz w:val="24"/>
          <w:szCs w:val="24"/>
        </w:rPr>
        <w:t>3</w:t>
      </w:r>
      <w:r w:rsidRPr="001E5D6F">
        <w:rPr>
          <w:rFonts w:ascii="Arial" w:hAnsi="Arial" w:cs="Arial"/>
          <w:sz w:val="24"/>
          <w:szCs w:val="24"/>
        </w:rPr>
        <w:t>-</w:t>
      </w:r>
      <w:r w:rsidRPr="001E5D6F">
        <w:rPr>
          <w:rFonts w:ascii="Arial" w:hAnsi="Arial" w:cs="Arial"/>
          <w:b/>
          <w:sz w:val="24"/>
          <w:szCs w:val="24"/>
        </w:rPr>
        <w:t>201</w:t>
      </w:r>
      <w:r w:rsidR="00272C07" w:rsidRPr="001E5D6F">
        <w:rPr>
          <w:rFonts w:ascii="Arial" w:hAnsi="Arial" w:cs="Arial"/>
          <w:b/>
          <w:sz w:val="24"/>
          <w:szCs w:val="24"/>
        </w:rPr>
        <w:t>8</w:t>
      </w:r>
      <w:r w:rsidRPr="001E5D6F">
        <w:rPr>
          <w:rFonts w:ascii="Arial" w:hAnsi="Arial" w:cs="Arial"/>
          <w:b/>
          <w:sz w:val="24"/>
          <w:szCs w:val="24"/>
        </w:rPr>
        <w:t>-00</w:t>
      </w:r>
      <w:r w:rsidR="00F97CB8" w:rsidRPr="001E5D6F">
        <w:rPr>
          <w:rFonts w:ascii="Arial" w:hAnsi="Arial" w:cs="Arial"/>
          <w:b/>
          <w:sz w:val="24"/>
          <w:szCs w:val="24"/>
        </w:rPr>
        <w:t>497</w:t>
      </w:r>
      <w:r w:rsidRPr="001E5D6F">
        <w:rPr>
          <w:rFonts w:ascii="Arial" w:hAnsi="Arial" w:cs="Arial"/>
          <w:sz w:val="24"/>
          <w:szCs w:val="24"/>
        </w:rPr>
        <w:t>-01</w:t>
      </w:r>
    </w:p>
    <w:p w:rsidR="00B22294" w:rsidRPr="001E5D6F" w:rsidRDefault="00B22294" w:rsidP="001E5D6F">
      <w:pPr>
        <w:pStyle w:val="Sinespaciado1"/>
        <w:spacing w:line="288" w:lineRule="auto"/>
        <w:ind w:firstLine="2835"/>
        <w:rPr>
          <w:rFonts w:ascii="Arial" w:hAnsi="Arial" w:cs="Arial"/>
          <w:sz w:val="24"/>
          <w:szCs w:val="24"/>
          <w:lang w:val="es-ES" w:eastAsia="es-ES"/>
        </w:rPr>
      </w:pPr>
    </w:p>
    <w:p w:rsidR="00B22294" w:rsidRPr="001E5D6F" w:rsidRDefault="00B22294" w:rsidP="001E5D6F">
      <w:pPr>
        <w:pStyle w:val="Sinespaciado1"/>
        <w:spacing w:line="288" w:lineRule="auto"/>
        <w:ind w:firstLine="2835"/>
        <w:rPr>
          <w:rFonts w:ascii="Arial" w:hAnsi="Arial" w:cs="Arial"/>
          <w:sz w:val="24"/>
          <w:szCs w:val="24"/>
          <w:lang w:val="es-ES" w:eastAsia="es-ES"/>
        </w:rPr>
      </w:pPr>
    </w:p>
    <w:p w:rsidR="00B22294" w:rsidRPr="001E5D6F" w:rsidRDefault="00B22294" w:rsidP="001E5D6F">
      <w:pPr>
        <w:pStyle w:val="Sinespaciado1"/>
        <w:spacing w:line="288" w:lineRule="auto"/>
        <w:ind w:firstLine="2835"/>
        <w:rPr>
          <w:rFonts w:ascii="Arial" w:hAnsi="Arial" w:cs="Arial"/>
          <w:b/>
          <w:sz w:val="24"/>
          <w:szCs w:val="24"/>
          <w:lang w:val="es-ES" w:eastAsia="es-ES"/>
        </w:rPr>
      </w:pPr>
      <w:r w:rsidRPr="001E5D6F">
        <w:rPr>
          <w:rFonts w:ascii="Arial" w:hAnsi="Arial" w:cs="Arial"/>
          <w:b/>
          <w:sz w:val="24"/>
          <w:szCs w:val="24"/>
          <w:lang w:val="es-ES" w:eastAsia="es-ES"/>
        </w:rPr>
        <w:t>I. ASUNTO</w:t>
      </w:r>
    </w:p>
    <w:p w:rsidR="00B22294" w:rsidRPr="001E5D6F" w:rsidRDefault="00B22294" w:rsidP="001E5D6F">
      <w:pPr>
        <w:pStyle w:val="Sinespaciado1"/>
        <w:spacing w:line="288" w:lineRule="auto"/>
        <w:ind w:firstLine="2835"/>
        <w:rPr>
          <w:rFonts w:ascii="Arial" w:hAnsi="Arial" w:cs="Arial"/>
          <w:sz w:val="24"/>
          <w:szCs w:val="24"/>
          <w:lang w:val="es-ES" w:eastAsia="es-ES"/>
        </w:rPr>
      </w:pPr>
    </w:p>
    <w:p w:rsidR="00B22294" w:rsidRPr="001E5D6F" w:rsidRDefault="00B22294" w:rsidP="001E5D6F">
      <w:pPr>
        <w:suppressAutoHyphens/>
        <w:spacing w:line="288" w:lineRule="auto"/>
        <w:ind w:firstLine="2835"/>
        <w:jc w:val="both"/>
        <w:rPr>
          <w:rFonts w:ascii="Arial" w:hAnsi="Arial" w:cs="Arial"/>
          <w:sz w:val="24"/>
          <w:szCs w:val="24"/>
        </w:rPr>
      </w:pPr>
      <w:r w:rsidRPr="001E5D6F">
        <w:rPr>
          <w:rFonts w:ascii="Arial" w:hAnsi="Arial" w:cs="Arial"/>
          <w:sz w:val="24"/>
          <w:szCs w:val="24"/>
        </w:rPr>
        <w:t xml:space="preserve">Correspondería al Tribunal decidir la impugnación interpuesta frente al fallo proferido el </w:t>
      </w:r>
      <w:r w:rsidR="00EB1937" w:rsidRPr="001E5D6F">
        <w:rPr>
          <w:rFonts w:ascii="Arial" w:hAnsi="Arial" w:cs="Arial"/>
          <w:sz w:val="24"/>
          <w:szCs w:val="24"/>
        </w:rPr>
        <w:t>5</w:t>
      </w:r>
      <w:r w:rsidRPr="001E5D6F">
        <w:rPr>
          <w:rFonts w:ascii="Arial" w:hAnsi="Arial" w:cs="Arial"/>
          <w:sz w:val="24"/>
          <w:szCs w:val="24"/>
        </w:rPr>
        <w:t xml:space="preserve"> de </w:t>
      </w:r>
      <w:r w:rsidR="00F97CB8" w:rsidRPr="001E5D6F">
        <w:rPr>
          <w:rFonts w:ascii="Arial" w:hAnsi="Arial" w:cs="Arial"/>
          <w:sz w:val="24"/>
          <w:szCs w:val="24"/>
        </w:rPr>
        <w:t>diciembre</w:t>
      </w:r>
      <w:r w:rsidRPr="001E5D6F">
        <w:rPr>
          <w:rFonts w:ascii="Arial" w:hAnsi="Arial" w:cs="Arial"/>
          <w:sz w:val="24"/>
          <w:szCs w:val="24"/>
        </w:rPr>
        <w:t xml:space="preserve"> de 201</w:t>
      </w:r>
      <w:r w:rsidR="00272C07" w:rsidRPr="001E5D6F">
        <w:rPr>
          <w:rFonts w:ascii="Arial" w:hAnsi="Arial" w:cs="Arial"/>
          <w:sz w:val="24"/>
          <w:szCs w:val="24"/>
        </w:rPr>
        <w:t>8</w:t>
      </w:r>
      <w:r w:rsidRPr="001E5D6F">
        <w:rPr>
          <w:rFonts w:ascii="Arial" w:hAnsi="Arial" w:cs="Arial"/>
          <w:sz w:val="24"/>
          <w:szCs w:val="24"/>
        </w:rPr>
        <w:t xml:space="preserve"> por el Juzgado </w:t>
      </w:r>
      <w:r w:rsidR="00F97CB8" w:rsidRPr="001E5D6F">
        <w:rPr>
          <w:rFonts w:ascii="Arial" w:hAnsi="Arial" w:cs="Arial"/>
          <w:sz w:val="24"/>
          <w:szCs w:val="24"/>
        </w:rPr>
        <w:t>Tercer</w:t>
      </w:r>
      <w:r w:rsidR="00582576" w:rsidRPr="001E5D6F">
        <w:rPr>
          <w:rFonts w:ascii="Arial" w:hAnsi="Arial" w:cs="Arial"/>
          <w:sz w:val="24"/>
          <w:szCs w:val="24"/>
        </w:rPr>
        <w:t>o</w:t>
      </w:r>
      <w:r w:rsidR="00EB1937" w:rsidRPr="001E5D6F">
        <w:rPr>
          <w:rFonts w:ascii="Arial" w:hAnsi="Arial" w:cs="Arial"/>
          <w:sz w:val="24"/>
          <w:szCs w:val="24"/>
        </w:rPr>
        <w:t xml:space="preserve"> Civil del Circuito</w:t>
      </w:r>
      <w:r w:rsidR="00582576" w:rsidRPr="001E5D6F">
        <w:rPr>
          <w:rFonts w:ascii="Arial" w:hAnsi="Arial" w:cs="Arial"/>
          <w:sz w:val="24"/>
          <w:szCs w:val="24"/>
        </w:rPr>
        <w:t xml:space="preserve"> </w:t>
      </w:r>
      <w:r w:rsidRPr="001E5D6F">
        <w:rPr>
          <w:rFonts w:ascii="Arial" w:hAnsi="Arial" w:cs="Arial"/>
          <w:sz w:val="24"/>
          <w:szCs w:val="24"/>
        </w:rPr>
        <w:t xml:space="preserve">de </w:t>
      </w:r>
      <w:r w:rsidR="00A57196" w:rsidRPr="001E5D6F">
        <w:rPr>
          <w:rFonts w:ascii="Arial" w:hAnsi="Arial" w:cs="Arial"/>
          <w:sz w:val="24"/>
          <w:szCs w:val="24"/>
        </w:rPr>
        <w:t>esta ciudad</w:t>
      </w:r>
      <w:r w:rsidRPr="001E5D6F">
        <w:rPr>
          <w:rFonts w:ascii="Arial" w:hAnsi="Arial" w:cs="Arial"/>
          <w:sz w:val="24"/>
          <w:szCs w:val="24"/>
        </w:rPr>
        <w:t>, dentro de la acción de tutela promovida por</w:t>
      </w:r>
      <w:r w:rsidR="00F02F5C" w:rsidRPr="001E5D6F">
        <w:rPr>
          <w:rFonts w:ascii="Arial" w:hAnsi="Arial" w:cs="Arial"/>
          <w:sz w:val="24"/>
          <w:szCs w:val="24"/>
        </w:rPr>
        <w:t xml:space="preserve"> </w:t>
      </w:r>
      <w:r w:rsidR="00F97CB8" w:rsidRPr="001E5D6F">
        <w:rPr>
          <w:rFonts w:ascii="Arial" w:hAnsi="Arial" w:cs="Arial"/>
          <w:sz w:val="24"/>
          <w:szCs w:val="24"/>
        </w:rPr>
        <w:t>e</w:t>
      </w:r>
      <w:r w:rsidR="00A57196" w:rsidRPr="001E5D6F">
        <w:rPr>
          <w:rFonts w:ascii="Arial" w:hAnsi="Arial" w:cs="Arial"/>
          <w:sz w:val="24"/>
          <w:szCs w:val="24"/>
        </w:rPr>
        <w:t>l</w:t>
      </w:r>
      <w:r w:rsidR="00582576" w:rsidRPr="001E5D6F">
        <w:rPr>
          <w:rFonts w:ascii="Arial" w:hAnsi="Arial" w:cs="Arial"/>
          <w:sz w:val="24"/>
          <w:szCs w:val="24"/>
        </w:rPr>
        <w:t xml:space="preserve"> señor</w:t>
      </w:r>
      <w:r w:rsidR="00A57196" w:rsidRPr="001E5D6F">
        <w:rPr>
          <w:rFonts w:ascii="Arial" w:hAnsi="Arial" w:cs="Arial"/>
          <w:sz w:val="24"/>
          <w:szCs w:val="24"/>
        </w:rPr>
        <w:t xml:space="preserve"> </w:t>
      </w:r>
      <w:r w:rsidR="00F97CB8" w:rsidRPr="001E5D6F">
        <w:rPr>
          <w:rFonts w:ascii="Arial" w:hAnsi="Arial" w:cs="Arial"/>
          <w:sz w:val="24"/>
          <w:szCs w:val="24"/>
        </w:rPr>
        <w:t>Felipe Ospina Vega</w:t>
      </w:r>
      <w:r w:rsidRPr="001E5D6F">
        <w:rPr>
          <w:rFonts w:ascii="Arial" w:hAnsi="Arial" w:cs="Arial"/>
          <w:sz w:val="24"/>
          <w:szCs w:val="24"/>
        </w:rPr>
        <w:t>, contra</w:t>
      </w:r>
      <w:r w:rsidR="00F97CB8" w:rsidRPr="001E5D6F">
        <w:rPr>
          <w:rFonts w:ascii="Arial" w:hAnsi="Arial" w:cs="Arial"/>
          <w:sz w:val="24"/>
          <w:szCs w:val="24"/>
        </w:rPr>
        <w:t xml:space="preserve"> el Ministerio del Trabajo, a la que fueron vinculados el Presidente de la Comisión de Personal de la mentada cartera ministerial y </w:t>
      </w:r>
      <w:r w:rsidR="00582576" w:rsidRPr="001E5D6F">
        <w:rPr>
          <w:rFonts w:ascii="Arial" w:hAnsi="Arial" w:cs="Arial"/>
          <w:sz w:val="24"/>
          <w:szCs w:val="24"/>
        </w:rPr>
        <w:t xml:space="preserve">la </w:t>
      </w:r>
      <w:r w:rsidR="00272C07" w:rsidRPr="001E5D6F">
        <w:rPr>
          <w:rFonts w:ascii="Arial" w:hAnsi="Arial" w:cs="Arial"/>
          <w:sz w:val="24"/>
          <w:szCs w:val="24"/>
        </w:rPr>
        <w:t>Comisión Nacional del Servicio Civil</w:t>
      </w:r>
      <w:r w:rsidR="004852F8" w:rsidRPr="001E5D6F">
        <w:rPr>
          <w:rFonts w:ascii="Arial" w:hAnsi="Arial" w:cs="Arial"/>
          <w:sz w:val="24"/>
          <w:szCs w:val="24"/>
        </w:rPr>
        <w:t>,</w:t>
      </w:r>
      <w:r w:rsidR="00BB5F3B" w:rsidRPr="001E5D6F">
        <w:rPr>
          <w:rFonts w:ascii="Arial" w:hAnsi="Arial" w:cs="Arial"/>
          <w:sz w:val="24"/>
          <w:szCs w:val="24"/>
        </w:rPr>
        <w:t xml:space="preserve"> </w:t>
      </w:r>
      <w:r w:rsidRPr="001E5D6F">
        <w:rPr>
          <w:rFonts w:ascii="Arial" w:hAnsi="Arial" w:cs="Arial"/>
          <w:sz w:val="24"/>
          <w:szCs w:val="24"/>
        </w:rPr>
        <w:t xml:space="preserve">si no fuera porque en primera instancia se incurrió en la causal de nulidad prevista en el numeral 8 del artículo 133 del Código General del Proceso, que afecta la actuación cumplida hasta este momento, como pasa a </w:t>
      </w:r>
      <w:r w:rsidR="00F02F5C" w:rsidRPr="001E5D6F">
        <w:rPr>
          <w:rFonts w:ascii="Arial" w:hAnsi="Arial" w:cs="Arial"/>
          <w:sz w:val="24"/>
          <w:szCs w:val="24"/>
        </w:rPr>
        <w:t>explicar</w:t>
      </w:r>
      <w:r w:rsidRPr="001E5D6F">
        <w:rPr>
          <w:rFonts w:ascii="Arial" w:hAnsi="Arial" w:cs="Arial"/>
          <w:sz w:val="24"/>
          <w:szCs w:val="24"/>
        </w:rPr>
        <w:t>se:</w:t>
      </w:r>
    </w:p>
    <w:p w:rsidR="00B22294" w:rsidRPr="001E5D6F" w:rsidRDefault="00B22294" w:rsidP="001E5D6F">
      <w:pPr>
        <w:pStyle w:val="Sinespaciado1"/>
        <w:spacing w:line="288" w:lineRule="auto"/>
        <w:ind w:firstLine="2835"/>
        <w:rPr>
          <w:rFonts w:ascii="Arial" w:hAnsi="Arial" w:cs="Arial"/>
          <w:sz w:val="24"/>
          <w:szCs w:val="24"/>
          <w:lang w:val="es-ES" w:eastAsia="es-ES"/>
        </w:rPr>
      </w:pPr>
    </w:p>
    <w:p w:rsidR="00F02F5C" w:rsidRPr="001E5D6F" w:rsidRDefault="00F02F5C" w:rsidP="001E5D6F">
      <w:pPr>
        <w:suppressAutoHyphens/>
        <w:spacing w:line="288" w:lineRule="auto"/>
        <w:ind w:firstLine="2835"/>
        <w:jc w:val="both"/>
        <w:rPr>
          <w:rFonts w:ascii="Arial" w:hAnsi="Arial" w:cs="Arial"/>
          <w:bCs/>
          <w:sz w:val="24"/>
          <w:szCs w:val="24"/>
          <w:lang w:val="es-ES_tradnl"/>
        </w:rPr>
      </w:pPr>
      <w:r w:rsidRPr="001E5D6F">
        <w:rPr>
          <w:rFonts w:ascii="Arial" w:hAnsi="Arial" w:cs="Arial"/>
          <w:b/>
          <w:sz w:val="24"/>
          <w:szCs w:val="24"/>
        </w:rPr>
        <w:t>II. ANTECEDENTES</w:t>
      </w:r>
    </w:p>
    <w:p w:rsidR="00F02F5C" w:rsidRPr="001E5D6F" w:rsidRDefault="00F02F5C" w:rsidP="001E5D6F">
      <w:pPr>
        <w:pStyle w:val="Sinespaciado1"/>
        <w:spacing w:line="288" w:lineRule="auto"/>
        <w:ind w:firstLine="2835"/>
        <w:rPr>
          <w:rFonts w:ascii="Arial" w:hAnsi="Arial" w:cs="Arial"/>
          <w:sz w:val="24"/>
          <w:szCs w:val="24"/>
          <w:lang w:val="es-ES" w:eastAsia="es-ES"/>
        </w:rPr>
      </w:pPr>
    </w:p>
    <w:p w:rsidR="00BB5F3B" w:rsidRPr="001E5D6F" w:rsidRDefault="00B22294" w:rsidP="001E5D6F">
      <w:pPr>
        <w:pStyle w:val="Sinespaciado1"/>
        <w:spacing w:line="288" w:lineRule="auto"/>
        <w:ind w:firstLine="2835"/>
        <w:jc w:val="both"/>
        <w:rPr>
          <w:rFonts w:ascii="Arial" w:hAnsi="Arial" w:cs="Arial"/>
          <w:sz w:val="24"/>
          <w:szCs w:val="24"/>
        </w:rPr>
      </w:pPr>
      <w:r w:rsidRPr="001E5D6F">
        <w:rPr>
          <w:rFonts w:ascii="Arial" w:hAnsi="Arial" w:cs="Arial"/>
          <w:sz w:val="24"/>
          <w:szCs w:val="24"/>
        </w:rPr>
        <w:t xml:space="preserve">1. </w:t>
      </w:r>
      <w:r w:rsidR="00F97CB8" w:rsidRPr="001E5D6F">
        <w:rPr>
          <w:rFonts w:ascii="Arial" w:hAnsi="Arial" w:cs="Arial"/>
          <w:spacing w:val="-3"/>
          <w:sz w:val="24"/>
          <w:szCs w:val="24"/>
        </w:rPr>
        <w:t>El</w:t>
      </w:r>
      <w:r w:rsidR="000A4F22" w:rsidRPr="001E5D6F">
        <w:rPr>
          <w:rFonts w:ascii="Arial" w:hAnsi="Arial" w:cs="Arial"/>
          <w:spacing w:val="-3"/>
          <w:sz w:val="24"/>
          <w:szCs w:val="24"/>
        </w:rPr>
        <w:t xml:space="preserve"> </w:t>
      </w:r>
      <w:r w:rsidR="000A4F22" w:rsidRPr="001E5D6F">
        <w:rPr>
          <w:rFonts w:ascii="Arial" w:hAnsi="Arial" w:cs="Arial"/>
          <w:sz w:val="24"/>
          <w:szCs w:val="24"/>
        </w:rPr>
        <w:t xml:space="preserve">actor promovió acción de tutela contra </w:t>
      </w:r>
      <w:r w:rsidR="00F97CB8" w:rsidRPr="001E5D6F">
        <w:rPr>
          <w:rFonts w:ascii="Arial" w:hAnsi="Arial" w:cs="Arial"/>
          <w:sz w:val="24"/>
          <w:szCs w:val="24"/>
        </w:rPr>
        <w:t>el Ministerio del Trabajo</w:t>
      </w:r>
      <w:r w:rsidR="00EF6C24" w:rsidRPr="001E5D6F">
        <w:rPr>
          <w:rFonts w:ascii="Arial" w:hAnsi="Arial" w:cs="Arial"/>
          <w:sz w:val="24"/>
          <w:szCs w:val="24"/>
        </w:rPr>
        <w:t xml:space="preserve">, </w:t>
      </w:r>
      <w:r w:rsidR="000A4F22" w:rsidRPr="001E5D6F">
        <w:rPr>
          <w:rFonts w:ascii="Arial" w:hAnsi="Arial" w:cs="Arial"/>
          <w:sz w:val="24"/>
          <w:szCs w:val="24"/>
        </w:rPr>
        <w:t>por considerar que</w:t>
      </w:r>
      <w:r w:rsidR="00471FE9" w:rsidRPr="001E5D6F">
        <w:rPr>
          <w:rFonts w:ascii="Arial" w:hAnsi="Arial" w:cs="Arial"/>
          <w:sz w:val="24"/>
          <w:szCs w:val="24"/>
        </w:rPr>
        <w:t xml:space="preserve"> e</w:t>
      </w:r>
      <w:r w:rsidR="00F97CB8" w:rsidRPr="001E5D6F">
        <w:rPr>
          <w:rFonts w:ascii="Arial" w:hAnsi="Arial" w:cs="Arial"/>
          <w:sz w:val="24"/>
          <w:szCs w:val="24"/>
        </w:rPr>
        <w:t>ste</w:t>
      </w:r>
      <w:r w:rsidR="000A4F22" w:rsidRPr="001E5D6F">
        <w:rPr>
          <w:rFonts w:ascii="Arial" w:hAnsi="Arial" w:cs="Arial"/>
          <w:sz w:val="24"/>
          <w:szCs w:val="24"/>
        </w:rPr>
        <w:t xml:space="preserve"> vulnera su</w:t>
      </w:r>
      <w:r w:rsidR="00EF6C24" w:rsidRPr="001E5D6F">
        <w:rPr>
          <w:rFonts w:ascii="Arial" w:hAnsi="Arial" w:cs="Arial"/>
          <w:sz w:val="24"/>
          <w:szCs w:val="24"/>
        </w:rPr>
        <w:t>s</w:t>
      </w:r>
      <w:r w:rsidR="000A4F22" w:rsidRPr="001E5D6F">
        <w:rPr>
          <w:rFonts w:ascii="Arial" w:hAnsi="Arial" w:cs="Arial"/>
          <w:sz w:val="24"/>
          <w:szCs w:val="24"/>
        </w:rPr>
        <w:t xml:space="preserve"> derecho</w:t>
      </w:r>
      <w:r w:rsidR="00EF6C24" w:rsidRPr="001E5D6F">
        <w:rPr>
          <w:rFonts w:ascii="Arial" w:hAnsi="Arial" w:cs="Arial"/>
          <w:sz w:val="24"/>
          <w:szCs w:val="24"/>
        </w:rPr>
        <w:t>s</w:t>
      </w:r>
      <w:r w:rsidR="000A4F22" w:rsidRPr="001E5D6F">
        <w:rPr>
          <w:rFonts w:ascii="Arial" w:hAnsi="Arial" w:cs="Arial"/>
          <w:sz w:val="24"/>
          <w:szCs w:val="24"/>
        </w:rPr>
        <w:t xml:space="preserve"> fundamental</w:t>
      </w:r>
      <w:r w:rsidR="00EF6C24" w:rsidRPr="001E5D6F">
        <w:rPr>
          <w:rFonts w:ascii="Arial" w:hAnsi="Arial" w:cs="Arial"/>
          <w:sz w:val="24"/>
          <w:szCs w:val="24"/>
        </w:rPr>
        <w:t>es a</w:t>
      </w:r>
      <w:r w:rsidR="00F5321D" w:rsidRPr="001E5D6F">
        <w:rPr>
          <w:rFonts w:ascii="Arial" w:hAnsi="Arial" w:cs="Arial"/>
          <w:sz w:val="24"/>
          <w:szCs w:val="24"/>
        </w:rPr>
        <w:t xml:space="preserve"> </w:t>
      </w:r>
      <w:r w:rsidR="00EF6C24" w:rsidRPr="001E5D6F">
        <w:rPr>
          <w:rFonts w:ascii="Arial" w:hAnsi="Arial" w:cs="Arial"/>
          <w:sz w:val="24"/>
          <w:szCs w:val="24"/>
        </w:rPr>
        <w:t>l</w:t>
      </w:r>
      <w:r w:rsidR="00F5321D" w:rsidRPr="001E5D6F">
        <w:rPr>
          <w:rFonts w:ascii="Arial" w:hAnsi="Arial" w:cs="Arial"/>
          <w:sz w:val="24"/>
          <w:szCs w:val="24"/>
        </w:rPr>
        <w:t>a</w:t>
      </w:r>
      <w:r w:rsidR="00EF6C24" w:rsidRPr="001E5D6F">
        <w:rPr>
          <w:rFonts w:ascii="Arial" w:hAnsi="Arial" w:cs="Arial"/>
          <w:sz w:val="24"/>
          <w:szCs w:val="24"/>
        </w:rPr>
        <w:t xml:space="preserve"> igualdad</w:t>
      </w:r>
      <w:r w:rsidR="00F5321D" w:rsidRPr="001E5D6F">
        <w:rPr>
          <w:rFonts w:ascii="Arial" w:hAnsi="Arial" w:cs="Arial"/>
          <w:sz w:val="24"/>
          <w:szCs w:val="24"/>
        </w:rPr>
        <w:t xml:space="preserve">, confianza legítima </w:t>
      </w:r>
      <w:r w:rsidR="00EF6C24" w:rsidRPr="001E5D6F">
        <w:rPr>
          <w:rFonts w:ascii="Arial" w:hAnsi="Arial" w:cs="Arial"/>
          <w:sz w:val="24"/>
          <w:szCs w:val="24"/>
        </w:rPr>
        <w:t>y al trabajo,</w:t>
      </w:r>
      <w:r w:rsidR="000A4F22" w:rsidRPr="001E5D6F">
        <w:rPr>
          <w:rFonts w:ascii="Arial" w:hAnsi="Arial" w:cs="Arial"/>
          <w:sz w:val="24"/>
          <w:szCs w:val="24"/>
        </w:rPr>
        <w:t xml:space="preserve"> </w:t>
      </w:r>
      <w:r w:rsidR="00526232" w:rsidRPr="001E5D6F">
        <w:rPr>
          <w:rFonts w:ascii="Arial" w:hAnsi="Arial" w:cs="Arial"/>
          <w:sz w:val="24"/>
          <w:szCs w:val="24"/>
        </w:rPr>
        <w:t>al no</w:t>
      </w:r>
      <w:r w:rsidR="00F5321D" w:rsidRPr="001E5D6F">
        <w:rPr>
          <w:rFonts w:ascii="Arial" w:hAnsi="Arial" w:cs="Arial"/>
          <w:sz w:val="24"/>
          <w:szCs w:val="24"/>
        </w:rPr>
        <w:t xml:space="preserve"> nombrarlo en</w:t>
      </w:r>
      <w:r w:rsidR="00092CF6" w:rsidRPr="001E5D6F">
        <w:rPr>
          <w:rFonts w:ascii="Arial" w:hAnsi="Arial" w:cs="Arial"/>
          <w:sz w:val="24"/>
          <w:szCs w:val="24"/>
        </w:rPr>
        <w:t xml:space="preserve"> periodo de prueba en el cargo para el cual concursó, empleo de carrera identificado con la OPEC 34425 Inspector de Trabajo y Seguridad Social código 2003 grado 13 de la Dirección Territorial de Risaralda</w:t>
      </w:r>
      <w:r w:rsidR="00471FE9" w:rsidRPr="001E5D6F">
        <w:rPr>
          <w:rFonts w:ascii="Arial" w:hAnsi="Arial" w:cs="Arial"/>
          <w:sz w:val="24"/>
          <w:szCs w:val="24"/>
        </w:rPr>
        <w:t>.</w:t>
      </w:r>
    </w:p>
    <w:p w:rsidR="00B22294" w:rsidRPr="001E5D6F" w:rsidRDefault="00B22294" w:rsidP="001E5D6F">
      <w:pPr>
        <w:pStyle w:val="Sinespaciado1"/>
        <w:spacing w:line="288" w:lineRule="auto"/>
        <w:ind w:left="426"/>
        <w:jc w:val="both"/>
        <w:rPr>
          <w:rFonts w:ascii="Arial" w:hAnsi="Arial" w:cs="Arial"/>
          <w:sz w:val="24"/>
          <w:szCs w:val="24"/>
        </w:rPr>
      </w:pPr>
    </w:p>
    <w:p w:rsidR="004F5355" w:rsidRPr="001E5D6F" w:rsidRDefault="00B22294" w:rsidP="001E5D6F">
      <w:pPr>
        <w:pStyle w:val="Sinespaciado1"/>
        <w:spacing w:line="288" w:lineRule="auto"/>
        <w:ind w:firstLine="2835"/>
        <w:jc w:val="both"/>
        <w:rPr>
          <w:rFonts w:ascii="Arial" w:hAnsi="Arial" w:cs="Arial"/>
          <w:spacing w:val="-3"/>
          <w:sz w:val="24"/>
          <w:szCs w:val="24"/>
        </w:rPr>
      </w:pPr>
      <w:r w:rsidRPr="001E5D6F">
        <w:rPr>
          <w:rFonts w:ascii="Arial" w:hAnsi="Arial" w:cs="Arial"/>
          <w:sz w:val="24"/>
          <w:szCs w:val="24"/>
        </w:rPr>
        <w:t>2. Revisad</w:t>
      </w:r>
      <w:bookmarkStart w:id="0" w:name="_GoBack"/>
      <w:bookmarkEnd w:id="0"/>
      <w:r w:rsidRPr="001E5D6F">
        <w:rPr>
          <w:rFonts w:ascii="Arial" w:hAnsi="Arial" w:cs="Arial"/>
          <w:sz w:val="24"/>
          <w:szCs w:val="24"/>
        </w:rPr>
        <w:t>o el trámite de la primera instancia, así como los documentos obrantes en la</w:t>
      </w:r>
      <w:r w:rsidR="00092CF6" w:rsidRPr="001E5D6F">
        <w:rPr>
          <w:rFonts w:ascii="Arial" w:hAnsi="Arial" w:cs="Arial"/>
          <w:sz w:val="24"/>
          <w:szCs w:val="24"/>
        </w:rPr>
        <w:t>s</w:t>
      </w:r>
      <w:r w:rsidRPr="001E5D6F">
        <w:rPr>
          <w:rFonts w:ascii="Arial" w:hAnsi="Arial" w:cs="Arial"/>
          <w:sz w:val="24"/>
          <w:szCs w:val="24"/>
        </w:rPr>
        <w:t xml:space="preserve"> presente</w:t>
      </w:r>
      <w:r w:rsidR="00092CF6" w:rsidRPr="001E5D6F">
        <w:rPr>
          <w:rFonts w:ascii="Arial" w:hAnsi="Arial" w:cs="Arial"/>
          <w:sz w:val="24"/>
          <w:szCs w:val="24"/>
        </w:rPr>
        <w:t>s</w:t>
      </w:r>
      <w:r w:rsidRPr="001E5D6F">
        <w:rPr>
          <w:rFonts w:ascii="Arial" w:hAnsi="Arial" w:cs="Arial"/>
          <w:sz w:val="24"/>
          <w:szCs w:val="24"/>
        </w:rPr>
        <w:t xml:space="preserve"> diligencia</w:t>
      </w:r>
      <w:r w:rsidR="00092CF6" w:rsidRPr="001E5D6F">
        <w:rPr>
          <w:rFonts w:ascii="Arial" w:hAnsi="Arial" w:cs="Arial"/>
          <w:sz w:val="24"/>
          <w:szCs w:val="24"/>
        </w:rPr>
        <w:t>s</w:t>
      </w:r>
      <w:r w:rsidRPr="001E5D6F">
        <w:rPr>
          <w:rFonts w:ascii="Arial" w:hAnsi="Arial" w:cs="Arial"/>
          <w:sz w:val="24"/>
          <w:szCs w:val="24"/>
        </w:rPr>
        <w:t>, se observa que l</w:t>
      </w:r>
      <w:r w:rsidR="00A353B5" w:rsidRPr="001E5D6F">
        <w:rPr>
          <w:rFonts w:ascii="Arial" w:hAnsi="Arial" w:cs="Arial"/>
          <w:sz w:val="24"/>
          <w:szCs w:val="24"/>
        </w:rPr>
        <w:t>a</w:t>
      </w:r>
      <w:r w:rsidRPr="001E5D6F">
        <w:rPr>
          <w:rFonts w:ascii="Arial" w:hAnsi="Arial" w:cs="Arial"/>
          <w:sz w:val="24"/>
          <w:szCs w:val="24"/>
        </w:rPr>
        <w:t xml:space="preserve"> </w:t>
      </w:r>
      <w:r w:rsidRPr="001E5D6F">
        <w:rPr>
          <w:rFonts w:ascii="Arial" w:hAnsi="Arial" w:cs="Arial"/>
          <w:i/>
          <w:spacing w:val="-3"/>
          <w:sz w:val="24"/>
          <w:szCs w:val="24"/>
        </w:rPr>
        <w:t>a quo</w:t>
      </w:r>
      <w:r w:rsidRPr="001E5D6F">
        <w:rPr>
          <w:rFonts w:ascii="Arial" w:hAnsi="Arial" w:cs="Arial"/>
          <w:spacing w:val="-3"/>
          <w:sz w:val="24"/>
          <w:szCs w:val="24"/>
        </w:rPr>
        <w:t xml:space="preserve"> asumió el conocimiento del amparo</w:t>
      </w:r>
      <w:r w:rsidR="00F02F5C" w:rsidRPr="001E5D6F">
        <w:rPr>
          <w:rFonts w:ascii="Arial" w:hAnsi="Arial" w:cs="Arial"/>
          <w:spacing w:val="-3"/>
          <w:sz w:val="24"/>
          <w:szCs w:val="24"/>
        </w:rPr>
        <w:t xml:space="preserve"> el </w:t>
      </w:r>
      <w:r w:rsidR="00210FC1" w:rsidRPr="001E5D6F">
        <w:rPr>
          <w:rFonts w:ascii="Arial" w:hAnsi="Arial" w:cs="Arial"/>
          <w:spacing w:val="-3"/>
          <w:sz w:val="24"/>
          <w:szCs w:val="24"/>
        </w:rPr>
        <w:t>2</w:t>
      </w:r>
      <w:r w:rsidR="00092CF6" w:rsidRPr="001E5D6F">
        <w:rPr>
          <w:rFonts w:ascii="Arial" w:hAnsi="Arial" w:cs="Arial"/>
          <w:spacing w:val="-3"/>
          <w:sz w:val="24"/>
          <w:szCs w:val="24"/>
        </w:rPr>
        <w:t>1</w:t>
      </w:r>
      <w:r w:rsidR="004F5355" w:rsidRPr="001E5D6F">
        <w:rPr>
          <w:rFonts w:ascii="Arial" w:hAnsi="Arial" w:cs="Arial"/>
          <w:spacing w:val="-3"/>
          <w:sz w:val="24"/>
          <w:szCs w:val="24"/>
        </w:rPr>
        <w:t xml:space="preserve"> de </w:t>
      </w:r>
      <w:r w:rsidR="00092CF6" w:rsidRPr="001E5D6F">
        <w:rPr>
          <w:rFonts w:ascii="Arial" w:hAnsi="Arial" w:cs="Arial"/>
          <w:spacing w:val="-3"/>
          <w:sz w:val="24"/>
          <w:szCs w:val="24"/>
        </w:rPr>
        <w:t>noviembre</w:t>
      </w:r>
      <w:r w:rsidR="00F02F5C" w:rsidRPr="001E5D6F">
        <w:rPr>
          <w:rFonts w:ascii="Arial" w:hAnsi="Arial" w:cs="Arial"/>
          <w:spacing w:val="-3"/>
          <w:sz w:val="24"/>
          <w:szCs w:val="24"/>
        </w:rPr>
        <w:t xml:space="preserve"> de 201</w:t>
      </w:r>
      <w:r w:rsidR="00210FC1" w:rsidRPr="001E5D6F">
        <w:rPr>
          <w:rFonts w:ascii="Arial" w:hAnsi="Arial" w:cs="Arial"/>
          <w:spacing w:val="-3"/>
          <w:sz w:val="24"/>
          <w:szCs w:val="24"/>
        </w:rPr>
        <w:t>8</w:t>
      </w:r>
      <w:r w:rsidR="004F5355" w:rsidRPr="001E5D6F">
        <w:rPr>
          <w:rFonts w:ascii="Arial" w:hAnsi="Arial" w:cs="Arial"/>
          <w:spacing w:val="-3"/>
          <w:sz w:val="24"/>
          <w:szCs w:val="24"/>
        </w:rPr>
        <w:t xml:space="preserve">, contra </w:t>
      </w:r>
      <w:r w:rsidR="00F02F5C" w:rsidRPr="001E5D6F">
        <w:rPr>
          <w:rFonts w:ascii="Arial" w:hAnsi="Arial" w:cs="Arial"/>
          <w:sz w:val="24"/>
          <w:szCs w:val="24"/>
        </w:rPr>
        <w:t>la</w:t>
      </w:r>
      <w:r w:rsidR="00092CF6" w:rsidRPr="001E5D6F">
        <w:rPr>
          <w:rFonts w:ascii="Arial" w:hAnsi="Arial" w:cs="Arial"/>
          <w:sz w:val="24"/>
          <w:szCs w:val="24"/>
        </w:rPr>
        <w:t xml:space="preserve"> precitada</w:t>
      </w:r>
      <w:r w:rsidR="00471FE9" w:rsidRPr="001E5D6F">
        <w:rPr>
          <w:rFonts w:ascii="Arial" w:hAnsi="Arial" w:cs="Arial"/>
          <w:sz w:val="24"/>
          <w:szCs w:val="24"/>
        </w:rPr>
        <w:t xml:space="preserve"> entidad</w:t>
      </w:r>
      <w:r w:rsidR="004F5355" w:rsidRPr="001E5D6F">
        <w:rPr>
          <w:rFonts w:ascii="Arial" w:hAnsi="Arial" w:cs="Arial"/>
          <w:spacing w:val="-3"/>
          <w:sz w:val="24"/>
          <w:szCs w:val="24"/>
        </w:rPr>
        <w:t xml:space="preserve">, </w:t>
      </w:r>
      <w:r w:rsidR="00FD66F7" w:rsidRPr="001E5D6F">
        <w:rPr>
          <w:rFonts w:ascii="Arial" w:hAnsi="Arial" w:cs="Arial"/>
          <w:spacing w:val="-3"/>
          <w:sz w:val="24"/>
          <w:szCs w:val="24"/>
        </w:rPr>
        <w:t>ordenó la vinculación de</w:t>
      </w:r>
      <w:r w:rsidR="00440650" w:rsidRPr="001E5D6F">
        <w:rPr>
          <w:rFonts w:ascii="Arial" w:hAnsi="Arial" w:cs="Arial"/>
          <w:sz w:val="24"/>
          <w:szCs w:val="24"/>
        </w:rPr>
        <w:t>l Presidente de la Comisión de Personal del Ministerio del Trabajo y la Comisión Nacional del Servicio Civil</w:t>
      </w:r>
      <w:r w:rsidR="00752976" w:rsidRPr="001E5D6F">
        <w:rPr>
          <w:rFonts w:ascii="Arial" w:hAnsi="Arial" w:cs="Arial"/>
          <w:spacing w:val="-3"/>
          <w:sz w:val="24"/>
          <w:szCs w:val="24"/>
        </w:rPr>
        <w:t xml:space="preserve"> (fl. </w:t>
      </w:r>
      <w:r w:rsidR="00440650" w:rsidRPr="001E5D6F">
        <w:rPr>
          <w:rFonts w:ascii="Arial" w:hAnsi="Arial" w:cs="Arial"/>
          <w:spacing w:val="-3"/>
          <w:sz w:val="24"/>
          <w:szCs w:val="24"/>
        </w:rPr>
        <w:t>29</w:t>
      </w:r>
      <w:r w:rsidR="004F5355" w:rsidRPr="001E5D6F">
        <w:rPr>
          <w:rFonts w:ascii="Arial" w:hAnsi="Arial" w:cs="Arial"/>
          <w:spacing w:val="-3"/>
          <w:sz w:val="24"/>
          <w:szCs w:val="24"/>
        </w:rPr>
        <w:t xml:space="preserve"> Cd. de Tutela).</w:t>
      </w:r>
    </w:p>
    <w:p w:rsidR="00737219" w:rsidRPr="001E5D6F" w:rsidRDefault="00737219" w:rsidP="001E5D6F">
      <w:pPr>
        <w:pStyle w:val="Sinespaciado1"/>
        <w:spacing w:line="288" w:lineRule="auto"/>
        <w:ind w:firstLine="2835"/>
        <w:jc w:val="both"/>
        <w:rPr>
          <w:rFonts w:ascii="Arial" w:hAnsi="Arial" w:cs="Arial"/>
          <w:spacing w:val="-3"/>
          <w:sz w:val="24"/>
          <w:szCs w:val="24"/>
        </w:rPr>
      </w:pPr>
    </w:p>
    <w:p w:rsidR="00264688" w:rsidRPr="001E5D6F" w:rsidRDefault="00BC0952" w:rsidP="001E5D6F">
      <w:pPr>
        <w:pStyle w:val="Sinespaciado1"/>
        <w:spacing w:line="288" w:lineRule="auto"/>
        <w:ind w:firstLine="2835"/>
        <w:jc w:val="both"/>
        <w:rPr>
          <w:rFonts w:ascii="Arial" w:eastAsia="Batang" w:hAnsi="Arial" w:cs="Arial"/>
          <w:sz w:val="24"/>
          <w:szCs w:val="24"/>
        </w:rPr>
      </w:pPr>
      <w:r w:rsidRPr="001E5D6F">
        <w:rPr>
          <w:rFonts w:ascii="Arial" w:eastAsia="Batang" w:hAnsi="Arial" w:cs="Arial"/>
          <w:sz w:val="24"/>
          <w:szCs w:val="24"/>
        </w:rPr>
        <w:t xml:space="preserve">3. </w:t>
      </w:r>
      <w:r w:rsidR="00737219" w:rsidRPr="001E5D6F">
        <w:rPr>
          <w:rFonts w:ascii="Arial" w:eastAsia="Batang" w:hAnsi="Arial" w:cs="Arial"/>
          <w:sz w:val="24"/>
          <w:szCs w:val="24"/>
        </w:rPr>
        <w:t>El auxilio constitucional fue notificado</w:t>
      </w:r>
      <w:r w:rsidR="009A72E7" w:rsidRPr="001E5D6F">
        <w:rPr>
          <w:rFonts w:ascii="Arial" w:eastAsia="Batang" w:hAnsi="Arial" w:cs="Arial"/>
          <w:sz w:val="24"/>
          <w:szCs w:val="24"/>
        </w:rPr>
        <w:t xml:space="preserve"> al </w:t>
      </w:r>
      <w:r w:rsidR="009A72E7" w:rsidRPr="001E5D6F">
        <w:rPr>
          <w:rFonts w:ascii="Arial" w:hAnsi="Arial" w:cs="Arial"/>
          <w:sz w:val="24"/>
          <w:szCs w:val="24"/>
        </w:rPr>
        <w:t>Ministerio del Trabajo,</w:t>
      </w:r>
      <w:r w:rsidR="004F5355" w:rsidRPr="001E5D6F">
        <w:rPr>
          <w:rFonts w:ascii="Arial" w:eastAsia="Batang" w:hAnsi="Arial" w:cs="Arial"/>
          <w:sz w:val="24"/>
          <w:szCs w:val="24"/>
        </w:rPr>
        <w:t xml:space="preserve"> </w:t>
      </w:r>
      <w:r w:rsidR="009A72E7" w:rsidRPr="001E5D6F">
        <w:rPr>
          <w:rFonts w:ascii="Arial" w:eastAsia="Batang" w:hAnsi="Arial" w:cs="Arial"/>
          <w:sz w:val="24"/>
          <w:szCs w:val="24"/>
        </w:rPr>
        <w:t>a</w:t>
      </w:r>
      <w:r w:rsidR="009A72E7" w:rsidRPr="001E5D6F">
        <w:rPr>
          <w:rFonts w:ascii="Arial" w:hAnsi="Arial" w:cs="Arial"/>
          <w:sz w:val="24"/>
          <w:szCs w:val="24"/>
        </w:rPr>
        <w:t>l Presidente de la Comisión de Personal de dicha cartera ministerial y a la Comisión Nacional del Servicio Civil</w:t>
      </w:r>
      <w:r w:rsidR="00F504A8" w:rsidRPr="001E5D6F">
        <w:rPr>
          <w:rStyle w:val="Refdenotaalpie"/>
          <w:rFonts w:ascii="Arial" w:eastAsia="Batang" w:hAnsi="Arial" w:cs="Arial"/>
          <w:sz w:val="24"/>
          <w:szCs w:val="24"/>
        </w:rPr>
        <w:footnoteReference w:id="1"/>
      </w:r>
      <w:r w:rsidR="00A26A20" w:rsidRPr="001E5D6F">
        <w:rPr>
          <w:rFonts w:ascii="Arial" w:eastAsia="Batang" w:hAnsi="Arial" w:cs="Arial"/>
          <w:sz w:val="24"/>
          <w:szCs w:val="24"/>
        </w:rPr>
        <w:t>.</w:t>
      </w:r>
      <w:r w:rsidR="00F504A8" w:rsidRPr="001E5D6F">
        <w:rPr>
          <w:rFonts w:ascii="Arial" w:eastAsia="Batang" w:hAnsi="Arial" w:cs="Arial"/>
          <w:sz w:val="24"/>
          <w:szCs w:val="24"/>
        </w:rPr>
        <w:t xml:space="preserve"> </w:t>
      </w:r>
    </w:p>
    <w:p w:rsidR="00264688" w:rsidRPr="001E5D6F" w:rsidRDefault="00264688" w:rsidP="001E5D6F">
      <w:pPr>
        <w:pStyle w:val="Sinespaciado1"/>
        <w:spacing w:line="288" w:lineRule="auto"/>
        <w:ind w:firstLine="2835"/>
        <w:jc w:val="both"/>
        <w:rPr>
          <w:rFonts w:ascii="Arial" w:eastAsia="Batang" w:hAnsi="Arial" w:cs="Arial"/>
          <w:sz w:val="24"/>
          <w:szCs w:val="24"/>
        </w:rPr>
      </w:pPr>
    </w:p>
    <w:p w:rsidR="00BC0952" w:rsidRPr="001E5D6F" w:rsidRDefault="00DC3883" w:rsidP="001E5D6F">
      <w:pPr>
        <w:pStyle w:val="Sinespaciado1"/>
        <w:spacing w:line="288" w:lineRule="auto"/>
        <w:ind w:firstLine="2835"/>
        <w:jc w:val="both"/>
        <w:rPr>
          <w:rFonts w:ascii="Arial" w:hAnsi="Arial" w:cs="Arial"/>
          <w:spacing w:val="-3"/>
          <w:sz w:val="24"/>
          <w:szCs w:val="24"/>
        </w:rPr>
      </w:pPr>
      <w:r w:rsidRPr="001E5D6F">
        <w:rPr>
          <w:rFonts w:ascii="Arial" w:hAnsi="Arial" w:cs="Arial"/>
          <w:spacing w:val="-3"/>
          <w:sz w:val="24"/>
          <w:szCs w:val="24"/>
        </w:rPr>
        <w:t xml:space="preserve">4. </w:t>
      </w:r>
      <w:r w:rsidR="00264688" w:rsidRPr="001E5D6F">
        <w:rPr>
          <w:rFonts w:ascii="Arial" w:hAnsi="Arial" w:cs="Arial"/>
          <w:spacing w:val="-3"/>
          <w:sz w:val="24"/>
          <w:szCs w:val="24"/>
        </w:rPr>
        <w:t>C</w:t>
      </w:r>
      <w:r w:rsidR="00EB4D52" w:rsidRPr="001E5D6F">
        <w:rPr>
          <w:rFonts w:ascii="Arial" w:hAnsi="Arial" w:cs="Arial"/>
          <w:spacing w:val="-3"/>
          <w:sz w:val="24"/>
          <w:szCs w:val="24"/>
        </w:rPr>
        <w:t>on proveído de</w:t>
      </w:r>
      <w:r w:rsidR="009E11CB" w:rsidRPr="001E5D6F">
        <w:rPr>
          <w:rFonts w:ascii="Arial" w:hAnsi="Arial" w:cs="Arial"/>
          <w:spacing w:val="-3"/>
          <w:sz w:val="24"/>
          <w:szCs w:val="24"/>
        </w:rPr>
        <w:t xml:space="preserve">l </w:t>
      </w:r>
      <w:r w:rsidR="002F1407" w:rsidRPr="001E5D6F">
        <w:rPr>
          <w:rFonts w:ascii="Arial" w:hAnsi="Arial" w:cs="Arial"/>
          <w:spacing w:val="-3"/>
          <w:sz w:val="24"/>
          <w:szCs w:val="24"/>
        </w:rPr>
        <w:t>5</w:t>
      </w:r>
      <w:r w:rsidR="00264688" w:rsidRPr="001E5D6F">
        <w:rPr>
          <w:rFonts w:ascii="Arial" w:hAnsi="Arial" w:cs="Arial"/>
          <w:spacing w:val="-3"/>
          <w:sz w:val="24"/>
          <w:szCs w:val="24"/>
        </w:rPr>
        <w:t xml:space="preserve"> de </w:t>
      </w:r>
      <w:r w:rsidR="00A26A20" w:rsidRPr="001E5D6F">
        <w:rPr>
          <w:rFonts w:ascii="Arial" w:hAnsi="Arial" w:cs="Arial"/>
          <w:spacing w:val="-3"/>
          <w:sz w:val="24"/>
          <w:szCs w:val="24"/>
        </w:rPr>
        <w:t>diciembre</w:t>
      </w:r>
      <w:r w:rsidR="00264688" w:rsidRPr="001E5D6F">
        <w:rPr>
          <w:rFonts w:ascii="Arial" w:hAnsi="Arial" w:cs="Arial"/>
          <w:spacing w:val="-3"/>
          <w:sz w:val="24"/>
          <w:szCs w:val="24"/>
        </w:rPr>
        <w:t xml:space="preserve"> último</w:t>
      </w:r>
      <w:r w:rsidR="00BC0952" w:rsidRPr="001E5D6F">
        <w:rPr>
          <w:rFonts w:ascii="Arial" w:hAnsi="Arial" w:cs="Arial"/>
          <w:spacing w:val="-3"/>
          <w:sz w:val="24"/>
          <w:szCs w:val="24"/>
        </w:rPr>
        <w:t xml:space="preserve">, </w:t>
      </w:r>
      <w:r w:rsidR="00A353B5" w:rsidRPr="001E5D6F">
        <w:rPr>
          <w:rFonts w:ascii="Arial" w:hAnsi="Arial" w:cs="Arial"/>
          <w:spacing w:val="-3"/>
          <w:sz w:val="24"/>
          <w:szCs w:val="24"/>
        </w:rPr>
        <w:t xml:space="preserve">la Jueza de primera instancia </w:t>
      </w:r>
      <w:r w:rsidR="00764D1D" w:rsidRPr="001E5D6F">
        <w:rPr>
          <w:rFonts w:ascii="Arial" w:hAnsi="Arial" w:cs="Arial"/>
          <w:spacing w:val="-3"/>
          <w:sz w:val="24"/>
          <w:szCs w:val="24"/>
        </w:rPr>
        <w:t>“</w:t>
      </w:r>
      <w:r w:rsidR="00D139F4" w:rsidRPr="001E5D6F">
        <w:rPr>
          <w:rFonts w:ascii="Arial" w:hAnsi="Arial" w:cs="Arial"/>
          <w:spacing w:val="-3"/>
          <w:sz w:val="24"/>
          <w:szCs w:val="24"/>
        </w:rPr>
        <w:t>no tutel</w:t>
      </w:r>
      <w:r w:rsidR="00D84919" w:rsidRPr="001E5D6F">
        <w:rPr>
          <w:rFonts w:ascii="Arial" w:hAnsi="Arial" w:cs="Arial"/>
          <w:spacing w:val="-3"/>
          <w:sz w:val="24"/>
          <w:szCs w:val="24"/>
        </w:rPr>
        <w:t>ó</w:t>
      </w:r>
      <w:r w:rsidR="00764D1D" w:rsidRPr="001E5D6F">
        <w:rPr>
          <w:rFonts w:ascii="Arial" w:hAnsi="Arial" w:cs="Arial"/>
          <w:spacing w:val="-3"/>
          <w:sz w:val="24"/>
          <w:szCs w:val="24"/>
        </w:rPr>
        <w:t xml:space="preserve">” </w:t>
      </w:r>
      <w:r w:rsidR="00D139F4" w:rsidRPr="001E5D6F">
        <w:rPr>
          <w:rFonts w:ascii="Arial" w:hAnsi="Arial" w:cs="Arial"/>
          <w:spacing w:val="-3"/>
          <w:sz w:val="24"/>
          <w:szCs w:val="24"/>
        </w:rPr>
        <w:t xml:space="preserve">los derechos invocados por </w:t>
      </w:r>
      <w:r w:rsidR="00764D1D" w:rsidRPr="001E5D6F">
        <w:rPr>
          <w:rFonts w:ascii="Arial" w:hAnsi="Arial" w:cs="Arial"/>
          <w:spacing w:val="-3"/>
          <w:sz w:val="24"/>
          <w:szCs w:val="24"/>
        </w:rPr>
        <w:t>la</w:t>
      </w:r>
      <w:r w:rsidR="00D139F4" w:rsidRPr="001E5D6F">
        <w:rPr>
          <w:rFonts w:ascii="Arial" w:hAnsi="Arial" w:cs="Arial"/>
          <w:spacing w:val="-3"/>
          <w:sz w:val="24"/>
          <w:szCs w:val="24"/>
        </w:rPr>
        <w:t xml:space="preserve"> parte</w:t>
      </w:r>
      <w:r w:rsidR="002F1407" w:rsidRPr="001E5D6F">
        <w:rPr>
          <w:rFonts w:ascii="Arial" w:hAnsi="Arial" w:cs="Arial"/>
          <w:spacing w:val="-3"/>
          <w:sz w:val="24"/>
          <w:szCs w:val="24"/>
        </w:rPr>
        <w:t xml:space="preserve"> accionante</w:t>
      </w:r>
      <w:r w:rsidR="00BC0952" w:rsidRPr="001E5D6F">
        <w:rPr>
          <w:rFonts w:ascii="Arial" w:hAnsi="Arial" w:cs="Arial"/>
          <w:spacing w:val="-3"/>
          <w:sz w:val="24"/>
          <w:szCs w:val="24"/>
        </w:rPr>
        <w:t>.</w:t>
      </w:r>
      <w:r w:rsidR="008600EC" w:rsidRPr="001E5D6F">
        <w:rPr>
          <w:rFonts w:ascii="Arial" w:hAnsi="Arial" w:cs="Arial"/>
          <w:spacing w:val="-3"/>
          <w:sz w:val="24"/>
          <w:szCs w:val="24"/>
        </w:rPr>
        <w:t xml:space="preserve"> </w:t>
      </w:r>
      <w:r w:rsidR="00EE0930" w:rsidRPr="001E5D6F">
        <w:rPr>
          <w:rFonts w:ascii="Arial" w:hAnsi="Arial" w:cs="Arial"/>
          <w:spacing w:val="-3"/>
          <w:sz w:val="24"/>
          <w:szCs w:val="24"/>
        </w:rPr>
        <w:t xml:space="preserve">Decisión impugnada por </w:t>
      </w:r>
      <w:r w:rsidR="00D139F4" w:rsidRPr="001E5D6F">
        <w:rPr>
          <w:rFonts w:ascii="Arial" w:hAnsi="Arial" w:cs="Arial"/>
          <w:spacing w:val="-3"/>
          <w:sz w:val="24"/>
          <w:szCs w:val="24"/>
        </w:rPr>
        <w:t>e</w:t>
      </w:r>
      <w:r w:rsidR="00A07D6B" w:rsidRPr="001E5D6F">
        <w:rPr>
          <w:rFonts w:ascii="Arial" w:hAnsi="Arial" w:cs="Arial"/>
          <w:spacing w:val="-3"/>
          <w:sz w:val="24"/>
          <w:szCs w:val="24"/>
        </w:rPr>
        <w:t>l actor</w:t>
      </w:r>
      <w:r w:rsidR="00EE0930" w:rsidRPr="001E5D6F">
        <w:rPr>
          <w:rFonts w:ascii="Arial" w:hAnsi="Arial" w:cs="Arial"/>
          <w:spacing w:val="-3"/>
          <w:sz w:val="24"/>
          <w:szCs w:val="24"/>
        </w:rPr>
        <w:t xml:space="preserve"> para desatar la segunda instancia</w:t>
      </w:r>
      <w:r w:rsidR="00BC0952" w:rsidRPr="001E5D6F">
        <w:rPr>
          <w:rFonts w:ascii="Arial" w:hAnsi="Arial" w:cs="Arial"/>
          <w:spacing w:val="-3"/>
          <w:sz w:val="24"/>
          <w:szCs w:val="24"/>
        </w:rPr>
        <w:t>.</w:t>
      </w:r>
    </w:p>
    <w:p w:rsidR="00BC0952" w:rsidRPr="001E5D6F" w:rsidRDefault="00BC0952" w:rsidP="001E5D6F">
      <w:pPr>
        <w:suppressAutoHyphens/>
        <w:spacing w:line="288" w:lineRule="auto"/>
        <w:ind w:firstLine="2835"/>
        <w:jc w:val="both"/>
        <w:rPr>
          <w:rFonts w:ascii="Arial" w:hAnsi="Arial" w:cs="Arial"/>
          <w:spacing w:val="-3"/>
          <w:sz w:val="24"/>
          <w:szCs w:val="24"/>
          <w:highlight w:val="darkGray"/>
        </w:rPr>
      </w:pPr>
    </w:p>
    <w:p w:rsidR="00BC0952" w:rsidRPr="001E5D6F" w:rsidRDefault="00BC0952" w:rsidP="001E5D6F">
      <w:pPr>
        <w:suppressAutoHyphens/>
        <w:spacing w:line="288" w:lineRule="auto"/>
        <w:ind w:firstLine="2835"/>
        <w:jc w:val="both"/>
        <w:rPr>
          <w:rFonts w:ascii="Arial" w:hAnsi="Arial" w:cs="Arial"/>
          <w:b/>
          <w:sz w:val="24"/>
          <w:szCs w:val="24"/>
        </w:rPr>
      </w:pPr>
      <w:r w:rsidRPr="001E5D6F">
        <w:rPr>
          <w:rFonts w:ascii="Arial" w:hAnsi="Arial" w:cs="Arial"/>
          <w:b/>
          <w:sz w:val="24"/>
          <w:szCs w:val="24"/>
        </w:rPr>
        <w:t>III. Consideraciones</w:t>
      </w:r>
    </w:p>
    <w:p w:rsidR="00B22294" w:rsidRPr="001E5D6F" w:rsidRDefault="00B22294" w:rsidP="001E5D6F">
      <w:pPr>
        <w:pStyle w:val="Sinespaciado1"/>
        <w:spacing w:line="288" w:lineRule="auto"/>
        <w:ind w:firstLine="2835"/>
        <w:jc w:val="both"/>
        <w:rPr>
          <w:rFonts w:ascii="Arial" w:eastAsia="Batang" w:hAnsi="Arial" w:cs="Arial"/>
          <w:sz w:val="24"/>
          <w:szCs w:val="24"/>
        </w:rPr>
      </w:pPr>
    </w:p>
    <w:p w:rsidR="00EE0930" w:rsidRPr="001E5D6F" w:rsidRDefault="00EE0930" w:rsidP="001E5D6F">
      <w:pPr>
        <w:suppressAutoHyphens/>
        <w:spacing w:line="288" w:lineRule="auto"/>
        <w:ind w:firstLine="2835"/>
        <w:jc w:val="both"/>
        <w:rPr>
          <w:rFonts w:ascii="Arial" w:hAnsi="Arial" w:cs="Arial"/>
          <w:sz w:val="24"/>
          <w:szCs w:val="24"/>
        </w:rPr>
      </w:pPr>
      <w:r w:rsidRPr="001E5D6F">
        <w:rPr>
          <w:rFonts w:ascii="Arial" w:hAnsi="Arial" w:cs="Arial"/>
          <w:sz w:val="24"/>
          <w:szCs w:val="24"/>
        </w:rPr>
        <w:t>1. En virtud de las garantías fundamentales que deben respetarse en todo procedimiento, se debe garantizar el derecho de defensa y contradicción a todos aquellos que puedan verse perjudicados con la sentencia o sean destinatarios directos de las órdenes constitucionales que lleguen a impartirse, siendo obligatorio notificarles la admisión de la rogativa, para que, si a bien lo tienen, se pronuncien sobre la misma.</w:t>
      </w:r>
    </w:p>
    <w:p w:rsidR="00EE0930" w:rsidRPr="001E5D6F" w:rsidRDefault="00EE0930" w:rsidP="001E5D6F">
      <w:pPr>
        <w:suppressAutoHyphens/>
        <w:spacing w:line="288" w:lineRule="auto"/>
        <w:ind w:firstLine="2835"/>
        <w:jc w:val="both"/>
        <w:rPr>
          <w:rFonts w:ascii="Arial" w:hAnsi="Arial" w:cs="Arial"/>
          <w:sz w:val="24"/>
          <w:szCs w:val="24"/>
        </w:rPr>
      </w:pPr>
    </w:p>
    <w:p w:rsidR="00EE0930" w:rsidRPr="001E5D6F" w:rsidRDefault="00EE0930" w:rsidP="001E5D6F">
      <w:pPr>
        <w:suppressAutoHyphens/>
        <w:spacing w:line="288" w:lineRule="auto"/>
        <w:ind w:firstLine="2835"/>
        <w:jc w:val="both"/>
        <w:rPr>
          <w:rFonts w:ascii="Arial" w:hAnsi="Arial" w:cs="Arial"/>
          <w:sz w:val="24"/>
          <w:szCs w:val="24"/>
        </w:rPr>
      </w:pPr>
      <w:r w:rsidRPr="001E5D6F">
        <w:rPr>
          <w:rFonts w:ascii="Arial" w:hAnsi="Arial" w:cs="Arial"/>
          <w:sz w:val="24"/>
          <w:szCs w:val="24"/>
        </w:rPr>
        <w:t xml:space="preserve">De acuerdo con ello, cuando </w:t>
      </w:r>
      <w:r w:rsidRPr="001E5D6F">
        <w:rPr>
          <w:rFonts w:ascii="Arial" w:hAnsi="Arial" w:cs="Arial"/>
          <w:spacing w:val="-1"/>
          <w:sz w:val="24"/>
          <w:szCs w:val="24"/>
          <w:lang w:val="es-ES_tradnl"/>
        </w:rPr>
        <w:t>no se practica en legal forma la notificación del auto ad</w:t>
      </w:r>
      <w:r w:rsidRPr="001E5D6F">
        <w:rPr>
          <w:rFonts w:ascii="Arial" w:hAnsi="Arial" w:cs="Arial"/>
          <w:spacing w:val="-2"/>
          <w:sz w:val="24"/>
          <w:szCs w:val="24"/>
          <w:lang w:val="es-ES_tradnl"/>
        </w:rPr>
        <w:t xml:space="preserve">misorio de la demanda a personas determinadas, </w:t>
      </w:r>
      <w:r w:rsidRPr="001E5D6F">
        <w:rPr>
          <w:rFonts w:ascii="Arial" w:hAnsi="Arial" w:cs="Arial"/>
          <w:sz w:val="24"/>
          <w:szCs w:val="24"/>
        </w:rPr>
        <w:t>se estructura la causal de nulidad establecida en el precepto 133 numeral 8°</w:t>
      </w:r>
      <w:r w:rsidRPr="001E5D6F">
        <w:rPr>
          <w:rStyle w:val="Refdenotaalpie"/>
          <w:rFonts w:ascii="Arial" w:hAnsi="Arial" w:cs="Arial"/>
          <w:sz w:val="24"/>
          <w:szCs w:val="24"/>
        </w:rPr>
        <w:footnoteReference w:id="2"/>
      </w:r>
      <w:r w:rsidRPr="001E5D6F">
        <w:rPr>
          <w:rFonts w:ascii="Arial" w:hAnsi="Arial" w:cs="Arial"/>
          <w:sz w:val="24"/>
          <w:szCs w:val="24"/>
        </w:rPr>
        <w:t xml:space="preserve"> del CGP.</w:t>
      </w:r>
    </w:p>
    <w:p w:rsidR="00EE0930" w:rsidRPr="001E5D6F" w:rsidRDefault="00EE0930" w:rsidP="001E5D6F">
      <w:pPr>
        <w:pStyle w:val="Sinespaciado1"/>
        <w:spacing w:line="288" w:lineRule="auto"/>
        <w:ind w:firstLine="2835"/>
        <w:jc w:val="both"/>
        <w:rPr>
          <w:rFonts w:ascii="Arial" w:eastAsia="Batang" w:hAnsi="Arial" w:cs="Arial"/>
          <w:sz w:val="24"/>
          <w:szCs w:val="24"/>
        </w:rPr>
      </w:pPr>
    </w:p>
    <w:p w:rsidR="00B22294" w:rsidRPr="001E5D6F" w:rsidRDefault="00EE0930" w:rsidP="001E5D6F">
      <w:pPr>
        <w:suppressAutoHyphens/>
        <w:spacing w:line="288" w:lineRule="auto"/>
        <w:ind w:firstLine="2835"/>
        <w:jc w:val="both"/>
        <w:rPr>
          <w:rFonts w:ascii="Arial" w:hAnsi="Arial" w:cs="Arial"/>
          <w:sz w:val="24"/>
          <w:szCs w:val="24"/>
        </w:rPr>
      </w:pPr>
      <w:r w:rsidRPr="001E5D6F">
        <w:rPr>
          <w:rFonts w:ascii="Arial" w:hAnsi="Arial" w:cs="Arial"/>
          <w:sz w:val="24"/>
          <w:szCs w:val="24"/>
        </w:rPr>
        <w:t>2</w:t>
      </w:r>
      <w:r w:rsidR="00B22294" w:rsidRPr="001E5D6F">
        <w:rPr>
          <w:rFonts w:ascii="Arial" w:hAnsi="Arial" w:cs="Arial"/>
          <w:sz w:val="24"/>
          <w:szCs w:val="24"/>
        </w:rPr>
        <w:t>. Recientemente, la Sala de Casación Civil de la Corte Suprema de Justicia, en asunto similar decidido por esta Corporación declaró la nulidad, bajo el sustento que, el artículo 16 del Decreto 2591 de 1991 establece que las actuaciones que se surten dentro del rito constitucional deben ser notificadas “</w:t>
      </w:r>
      <w:r w:rsidR="00B22294" w:rsidRPr="001E5D6F">
        <w:rPr>
          <w:rFonts w:ascii="Arial" w:hAnsi="Arial" w:cs="Arial"/>
          <w:i/>
          <w:sz w:val="24"/>
          <w:szCs w:val="24"/>
        </w:rPr>
        <w:t xml:space="preserve">a las partes o intervinientes”, </w:t>
      </w:r>
      <w:r w:rsidR="00B22294" w:rsidRPr="001E5D6F">
        <w:rPr>
          <w:rFonts w:ascii="Arial" w:hAnsi="Arial" w:cs="Arial"/>
          <w:sz w:val="24"/>
          <w:szCs w:val="24"/>
        </w:rPr>
        <w:t>con lo que se garantiza la citación al trámite de los terceros determinados o determinables con interés legítimo en el mismo, con el fin de que puedan ejercer su defensa y, por ende, se dé cumplimiento al debido proceso, protegiendo sus intereses.</w:t>
      </w:r>
    </w:p>
    <w:p w:rsidR="00B22294" w:rsidRPr="001E5D6F" w:rsidRDefault="00B22294" w:rsidP="001E5D6F">
      <w:pPr>
        <w:suppressAutoHyphens/>
        <w:spacing w:line="288" w:lineRule="auto"/>
        <w:ind w:firstLine="2835"/>
        <w:jc w:val="both"/>
        <w:rPr>
          <w:rFonts w:ascii="Arial" w:hAnsi="Arial" w:cs="Arial"/>
          <w:sz w:val="24"/>
          <w:szCs w:val="24"/>
        </w:rPr>
      </w:pPr>
    </w:p>
    <w:p w:rsidR="006B4577" w:rsidRPr="001E5D6F" w:rsidRDefault="006B4577" w:rsidP="001E5D6F">
      <w:pPr>
        <w:suppressAutoHyphens/>
        <w:spacing w:line="288" w:lineRule="auto"/>
        <w:ind w:firstLine="2835"/>
        <w:jc w:val="both"/>
        <w:rPr>
          <w:rFonts w:ascii="Arial" w:hAnsi="Arial" w:cs="Arial"/>
          <w:sz w:val="24"/>
          <w:szCs w:val="24"/>
        </w:rPr>
      </w:pPr>
      <w:r w:rsidRPr="001E5D6F">
        <w:rPr>
          <w:rFonts w:ascii="Arial" w:hAnsi="Arial" w:cs="Arial"/>
          <w:sz w:val="24"/>
          <w:szCs w:val="24"/>
        </w:rPr>
        <w:t>3. En este caso, la demanda de amparo fue admitida frente</w:t>
      </w:r>
      <w:r w:rsidR="008770C1" w:rsidRPr="001E5D6F">
        <w:rPr>
          <w:rFonts w:ascii="Arial" w:hAnsi="Arial" w:cs="Arial"/>
          <w:sz w:val="24"/>
          <w:szCs w:val="24"/>
        </w:rPr>
        <w:t xml:space="preserve"> </w:t>
      </w:r>
      <w:r w:rsidR="00BA02FB" w:rsidRPr="001E5D6F">
        <w:rPr>
          <w:rFonts w:ascii="Arial" w:hAnsi="Arial" w:cs="Arial"/>
          <w:sz w:val="24"/>
          <w:szCs w:val="24"/>
        </w:rPr>
        <w:t>a</w:t>
      </w:r>
      <w:r w:rsidR="00D139F4" w:rsidRPr="001E5D6F">
        <w:rPr>
          <w:rFonts w:ascii="Arial" w:hAnsi="Arial" w:cs="Arial"/>
          <w:sz w:val="24"/>
          <w:szCs w:val="24"/>
        </w:rPr>
        <w:t>l</w:t>
      </w:r>
      <w:r w:rsidR="00724D42" w:rsidRPr="001E5D6F">
        <w:rPr>
          <w:rFonts w:ascii="Arial" w:hAnsi="Arial" w:cs="Arial"/>
          <w:sz w:val="24"/>
          <w:szCs w:val="24"/>
        </w:rPr>
        <w:t xml:space="preserve"> Ministerio de</w:t>
      </w:r>
      <w:r w:rsidR="00D139F4" w:rsidRPr="001E5D6F">
        <w:rPr>
          <w:rFonts w:ascii="Arial" w:hAnsi="Arial" w:cs="Arial"/>
          <w:sz w:val="24"/>
          <w:szCs w:val="24"/>
        </w:rPr>
        <w:t>l Trabajo</w:t>
      </w:r>
      <w:r w:rsidR="00724D42" w:rsidRPr="001E5D6F">
        <w:rPr>
          <w:rFonts w:ascii="Arial" w:hAnsi="Arial" w:cs="Arial"/>
          <w:sz w:val="24"/>
          <w:szCs w:val="24"/>
        </w:rPr>
        <w:t>, trámite al que se vinculó a</w:t>
      </w:r>
      <w:r w:rsidR="00D139F4" w:rsidRPr="001E5D6F">
        <w:rPr>
          <w:rFonts w:ascii="Arial" w:hAnsi="Arial" w:cs="Arial"/>
          <w:sz w:val="24"/>
          <w:szCs w:val="24"/>
        </w:rPr>
        <w:t>l Presidente de la Comisión de Personal de la mentada cartera ministerial y la Comisión Nacional del Servicio Civil;</w:t>
      </w:r>
      <w:r w:rsidR="00724D42" w:rsidRPr="001E5D6F">
        <w:rPr>
          <w:rFonts w:ascii="Arial" w:hAnsi="Arial" w:cs="Arial"/>
          <w:sz w:val="24"/>
          <w:szCs w:val="24"/>
        </w:rPr>
        <w:t xml:space="preserve"> </w:t>
      </w:r>
      <w:r w:rsidR="00A26A20" w:rsidRPr="001E5D6F">
        <w:rPr>
          <w:rFonts w:ascii="Arial" w:eastAsia="Batang" w:hAnsi="Arial" w:cs="Arial"/>
          <w:sz w:val="24"/>
          <w:szCs w:val="24"/>
        </w:rPr>
        <w:t xml:space="preserve">no así a quienes </w:t>
      </w:r>
      <w:r w:rsidR="00D139F4" w:rsidRPr="001E5D6F">
        <w:rPr>
          <w:rFonts w:ascii="Arial" w:eastAsia="Batang" w:hAnsi="Arial" w:cs="Arial"/>
          <w:sz w:val="24"/>
          <w:szCs w:val="24"/>
        </w:rPr>
        <w:t xml:space="preserve">conforman la lista de elegibles  para proveer las 21 vacantes del empleo de carrera denominado </w:t>
      </w:r>
      <w:r w:rsidR="00D139F4" w:rsidRPr="001E5D6F">
        <w:rPr>
          <w:rFonts w:ascii="Arial" w:hAnsi="Arial" w:cs="Arial"/>
          <w:sz w:val="24"/>
          <w:szCs w:val="24"/>
        </w:rPr>
        <w:t>Inspector de Trabajo y Seguridad Social,</w:t>
      </w:r>
      <w:r w:rsidR="00D139F4" w:rsidRPr="001E5D6F">
        <w:rPr>
          <w:rFonts w:ascii="Arial" w:eastAsia="Batang" w:hAnsi="Arial" w:cs="Arial"/>
          <w:sz w:val="24"/>
          <w:szCs w:val="24"/>
        </w:rPr>
        <w:t xml:space="preserve"> </w:t>
      </w:r>
      <w:r w:rsidR="00D139F4" w:rsidRPr="001E5D6F">
        <w:rPr>
          <w:rFonts w:ascii="Arial" w:hAnsi="Arial" w:cs="Arial"/>
          <w:sz w:val="24"/>
          <w:szCs w:val="24"/>
        </w:rPr>
        <w:t xml:space="preserve">código 2003, </w:t>
      </w:r>
      <w:r w:rsidR="00D139F4" w:rsidRPr="001E5D6F">
        <w:rPr>
          <w:rFonts w:ascii="Arial" w:hAnsi="Arial" w:cs="Arial"/>
          <w:sz w:val="24"/>
          <w:szCs w:val="24"/>
        </w:rPr>
        <w:lastRenderedPageBreak/>
        <w:t>grado 13, ofertado a través de la Convocatoria Nº 428 de 2016, bajo el código OPEC No. 34425</w:t>
      </w:r>
      <w:r w:rsidR="00FB3AF8" w:rsidRPr="001E5D6F">
        <w:rPr>
          <w:rFonts w:ascii="Arial" w:hAnsi="Arial" w:cs="Arial"/>
          <w:sz w:val="24"/>
          <w:szCs w:val="24"/>
        </w:rPr>
        <w:t xml:space="preserve"> (fls. 2-5 id.)</w:t>
      </w:r>
      <w:r w:rsidR="00650B26" w:rsidRPr="001E5D6F">
        <w:rPr>
          <w:rFonts w:ascii="Arial" w:hAnsi="Arial" w:cs="Arial"/>
          <w:sz w:val="24"/>
          <w:szCs w:val="24"/>
        </w:rPr>
        <w:t>, pese a que dos de ellos, en el trámite de la acción, solicitaron su vinculación (fls. 35 y 75 id.)</w:t>
      </w:r>
      <w:r w:rsidR="00D139F4" w:rsidRPr="001E5D6F">
        <w:rPr>
          <w:rFonts w:ascii="Arial" w:hAnsi="Arial" w:cs="Arial"/>
          <w:sz w:val="24"/>
          <w:szCs w:val="24"/>
        </w:rPr>
        <w:t>;</w:t>
      </w:r>
      <w:r w:rsidR="00A26A20" w:rsidRPr="001E5D6F">
        <w:rPr>
          <w:rFonts w:ascii="Arial" w:hAnsi="Arial" w:cs="Arial"/>
          <w:sz w:val="24"/>
          <w:szCs w:val="24"/>
        </w:rPr>
        <w:t xml:space="preserve"> tampoco</w:t>
      </w:r>
      <w:r w:rsidR="00650B26" w:rsidRPr="001E5D6F">
        <w:rPr>
          <w:rFonts w:ascii="Arial" w:hAnsi="Arial" w:cs="Arial"/>
          <w:sz w:val="24"/>
          <w:szCs w:val="24"/>
        </w:rPr>
        <w:t xml:space="preserve"> a los servidores públicos con nombramiento provisional que desempeñan el cargo de Inspector de Trabajo en la Dirección Territorial de Risaralda, correspondiente a la OPEC 34425, tal como lo solicitó el </w:t>
      </w:r>
      <w:r w:rsidR="006D7D86" w:rsidRPr="001E5D6F">
        <w:rPr>
          <w:rFonts w:ascii="Arial" w:hAnsi="Arial" w:cs="Arial"/>
          <w:sz w:val="24"/>
          <w:szCs w:val="24"/>
        </w:rPr>
        <w:t>Ministerio</w:t>
      </w:r>
      <w:r w:rsidR="00650B26" w:rsidRPr="001E5D6F">
        <w:rPr>
          <w:rFonts w:ascii="Arial" w:hAnsi="Arial" w:cs="Arial"/>
          <w:sz w:val="24"/>
          <w:szCs w:val="24"/>
        </w:rPr>
        <w:t xml:space="preserve"> del Trabajo en su escrito de respuesta a la tutela (fl. </w:t>
      </w:r>
      <w:r w:rsidR="006D7D86" w:rsidRPr="001E5D6F">
        <w:rPr>
          <w:rFonts w:ascii="Arial" w:hAnsi="Arial" w:cs="Arial"/>
          <w:sz w:val="24"/>
          <w:szCs w:val="24"/>
        </w:rPr>
        <w:t>60 id.)</w:t>
      </w:r>
      <w:r w:rsidR="00724D42" w:rsidRPr="001E5D6F">
        <w:rPr>
          <w:rFonts w:ascii="Arial" w:hAnsi="Arial" w:cs="Arial"/>
          <w:sz w:val="24"/>
          <w:szCs w:val="24"/>
        </w:rPr>
        <w:t>.</w:t>
      </w:r>
    </w:p>
    <w:p w:rsidR="006B4577" w:rsidRPr="001E5D6F" w:rsidRDefault="006B4577" w:rsidP="001E5D6F">
      <w:pPr>
        <w:suppressAutoHyphens/>
        <w:spacing w:line="288" w:lineRule="auto"/>
        <w:ind w:firstLine="2835"/>
        <w:jc w:val="both"/>
        <w:rPr>
          <w:rFonts w:ascii="Arial" w:hAnsi="Arial" w:cs="Arial"/>
          <w:spacing w:val="-3"/>
          <w:sz w:val="24"/>
          <w:szCs w:val="24"/>
        </w:rPr>
      </w:pPr>
    </w:p>
    <w:p w:rsidR="00B22294" w:rsidRPr="001E5D6F" w:rsidRDefault="00737219" w:rsidP="001E5D6F">
      <w:pPr>
        <w:suppressAutoHyphens/>
        <w:spacing w:line="288" w:lineRule="auto"/>
        <w:ind w:firstLine="2835"/>
        <w:jc w:val="both"/>
        <w:rPr>
          <w:rFonts w:ascii="Arial" w:hAnsi="Arial" w:cs="Arial"/>
          <w:sz w:val="24"/>
          <w:szCs w:val="24"/>
        </w:rPr>
      </w:pPr>
      <w:r w:rsidRPr="001E5D6F">
        <w:rPr>
          <w:rFonts w:ascii="Arial" w:hAnsi="Arial" w:cs="Arial"/>
          <w:sz w:val="24"/>
          <w:szCs w:val="24"/>
        </w:rPr>
        <w:t>4</w:t>
      </w:r>
      <w:r w:rsidR="00B22294" w:rsidRPr="001E5D6F">
        <w:rPr>
          <w:rFonts w:ascii="Arial" w:hAnsi="Arial" w:cs="Arial"/>
          <w:sz w:val="24"/>
          <w:szCs w:val="24"/>
        </w:rPr>
        <w:t xml:space="preserve">. Así las cosas, la circunstancia que viene de advertirse, como ya se dijo, genera la nulidad de todo lo actuado a partir </w:t>
      </w:r>
      <w:r w:rsidR="006F0029" w:rsidRPr="001E5D6F">
        <w:rPr>
          <w:rFonts w:ascii="Arial" w:hAnsi="Arial" w:cs="Arial"/>
          <w:sz w:val="24"/>
          <w:szCs w:val="24"/>
        </w:rPr>
        <w:t>del fallo que se revisa, inclusive, para que l</w:t>
      </w:r>
      <w:r w:rsidR="00395494" w:rsidRPr="001E5D6F">
        <w:rPr>
          <w:rFonts w:ascii="Arial" w:hAnsi="Arial" w:cs="Arial"/>
          <w:sz w:val="24"/>
          <w:szCs w:val="24"/>
        </w:rPr>
        <w:t>a</w:t>
      </w:r>
      <w:r w:rsidR="006F0029" w:rsidRPr="001E5D6F">
        <w:rPr>
          <w:rFonts w:ascii="Arial" w:hAnsi="Arial" w:cs="Arial"/>
          <w:sz w:val="24"/>
          <w:szCs w:val="24"/>
        </w:rPr>
        <w:t xml:space="preserve"> juez</w:t>
      </w:r>
      <w:r w:rsidR="00395494" w:rsidRPr="001E5D6F">
        <w:rPr>
          <w:rFonts w:ascii="Arial" w:hAnsi="Arial" w:cs="Arial"/>
          <w:sz w:val="24"/>
          <w:szCs w:val="24"/>
        </w:rPr>
        <w:t>a</w:t>
      </w:r>
      <w:r w:rsidR="006F0029" w:rsidRPr="001E5D6F">
        <w:rPr>
          <w:rFonts w:ascii="Arial" w:hAnsi="Arial" w:cs="Arial"/>
          <w:sz w:val="24"/>
          <w:szCs w:val="24"/>
        </w:rPr>
        <w:t xml:space="preserve"> de instancia proceda a efectuar en debida forma la notificación del auto admisorio de la demanda de tutela</w:t>
      </w:r>
      <w:r w:rsidR="00D16B29" w:rsidRPr="001E5D6F">
        <w:rPr>
          <w:rFonts w:ascii="Arial" w:hAnsi="Arial" w:cs="Arial"/>
          <w:sz w:val="24"/>
          <w:szCs w:val="24"/>
        </w:rPr>
        <w:t xml:space="preserve"> a los terceros con interés en</w:t>
      </w:r>
      <w:r w:rsidR="006D7D86" w:rsidRPr="001E5D6F">
        <w:rPr>
          <w:rFonts w:ascii="Arial" w:hAnsi="Arial" w:cs="Arial"/>
          <w:sz w:val="24"/>
          <w:szCs w:val="24"/>
        </w:rPr>
        <w:t xml:space="preserve"> intervenir</w:t>
      </w:r>
      <w:r w:rsidR="006E4A18" w:rsidRPr="001E5D6F">
        <w:rPr>
          <w:rFonts w:ascii="Arial" w:hAnsi="Arial" w:cs="Arial"/>
          <w:sz w:val="24"/>
          <w:szCs w:val="24"/>
        </w:rPr>
        <w:t xml:space="preserve">, esto es, </w:t>
      </w:r>
      <w:r w:rsidR="006E4A18" w:rsidRPr="001E5D6F">
        <w:rPr>
          <w:rFonts w:ascii="Arial" w:eastAsia="Batang" w:hAnsi="Arial" w:cs="Arial"/>
          <w:sz w:val="24"/>
          <w:szCs w:val="24"/>
        </w:rPr>
        <w:t xml:space="preserve">a quienes conforman la lista de elegibles  para proveer las 21 vacantes del empleo de carrera denominado </w:t>
      </w:r>
      <w:r w:rsidR="006E4A18" w:rsidRPr="001E5D6F">
        <w:rPr>
          <w:rFonts w:ascii="Arial" w:hAnsi="Arial" w:cs="Arial"/>
          <w:sz w:val="24"/>
          <w:szCs w:val="24"/>
        </w:rPr>
        <w:t>Inspector de Trabajo y Seguridad Social,</w:t>
      </w:r>
      <w:r w:rsidR="006E4A18" w:rsidRPr="001E5D6F">
        <w:rPr>
          <w:rFonts w:ascii="Arial" w:eastAsia="Batang" w:hAnsi="Arial" w:cs="Arial"/>
          <w:sz w:val="24"/>
          <w:szCs w:val="24"/>
        </w:rPr>
        <w:t xml:space="preserve"> </w:t>
      </w:r>
      <w:r w:rsidR="006E4A18" w:rsidRPr="001E5D6F">
        <w:rPr>
          <w:rFonts w:ascii="Arial" w:hAnsi="Arial" w:cs="Arial"/>
          <w:sz w:val="24"/>
          <w:szCs w:val="24"/>
        </w:rPr>
        <w:t>código 2003, grado 13, ofertado a través de la Convocatoria Nº 428 de 2016, bajo el código OPEC No. 34425 (fls. 2-5 id.); y, a los servidores públicos con nombramiento provisional que desempeñan el cargo de Inspector de Trabajo en la Dirección Territorial de Risaralda, correspondiente a la OPEC 34425 (fl. 60 id.)</w:t>
      </w:r>
      <w:r w:rsidR="0058563D" w:rsidRPr="001E5D6F">
        <w:rPr>
          <w:rFonts w:ascii="Arial" w:hAnsi="Arial" w:cs="Arial"/>
          <w:sz w:val="24"/>
          <w:szCs w:val="24"/>
        </w:rPr>
        <w:t xml:space="preserve">; lo anterior </w:t>
      </w:r>
      <w:r w:rsidR="006F0029" w:rsidRPr="001E5D6F">
        <w:rPr>
          <w:rFonts w:ascii="Arial" w:hAnsi="Arial" w:cs="Arial"/>
          <w:sz w:val="24"/>
          <w:szCs w:val="24"/>
        </w:rPr>
        <w:t>sin perjuicio de la validez de las pruebas recaudadas en los términos del</w:t>
      </w:r>
      <w:r w:rsidR="00482390" w:rsidRPr="001E5D6F">
        <w:rPr>
          <w:rFonts w:ascii="Arial" w:hAnsi="Arial" w:cs="Arial"/>
          <w:sz w:val="24"/>
          <w:szCs w:val="24"/>
        </w:rPr>
        <w:t xml:space="preserve"> inciso 2º del artículo 138</w:t>
      </w:r>
      <w:r w:rsidR="00B22294" w:rsidRPr="001E5D6F">
        <w:rPr>
          <w:rFonts w:ascii="Arial" w:hAnsi="Arial" w:cs="Arial"/>
          <w:sz w:val="24"/>
          <w:szCs w:val="24"/>
        </w:rPr>
        <w:t xml:space="preserve"> de la Ley de Enjuiciamiento Civil vigente, toda vez que se le</w:t>
      </w:r>
      <w:r w:rsidR="00A07D6B" w:rsidRPr="001E5D6F">
        <w:rPr>
          <w:rFonts w:ascii="Arial" w:hAnsi="Arial" w:cs="Arial"/>
          <w:sz w:val="24"/>
          <w:szCs w:val="24"/>
        </w:rPr>
        <w:t>s</w:t>
      </w:r>
      <w:r w:rsidR="00B22294" w:rsidRPr="001E5D6F">
        <w:rPr>
          <w:rFonts w:ascii="Arial" w:hAnsi="Arial" w:cs="Arial"/>
          <w:sz w:val="24"/>
          <w:szCs w:val="24"/>
        </w:rPr>
        <w:t xml:space="preserve"> impidió a</w:t>
      </w:r>
      <w:r w:rsidR="006B4577" w:rsidRPr="001E5D6F">
        <w:rPr>
          <w:rFonts w:ascii="Arial" w:hAnsi="Arial" w:cs="Arial"/>
          <w:sz w:val="24"/>
          <w:szCs w:val="24"/>
        </w:rPr>
        <w:t xml:space="preserve"> </w:t>
      </w:r>
      <w:r w:rsidR="006E4A18" w:rsidRPr="001E5D6F">
        <w:rPr>
          <w:rFonts w:ascii="Arial" w:hAnsi="Arial" w:cs="Arial"/>
          <w:sz w:val="24"/>
          <w:szCs w:val="24"/>
        </w:rPr>
        <w:t>esto</w:t>
      </w:r>
      <w:r w:rsidR="00A07D6B" w:rsidRPr="001E5D6F">
        <w:rPr>
          <w:rFonts w:ascii="Arial" w:hAnsi="Arial" w:cs="Arial"/>
          <w:sz w:val="24"/>
          <w:szCs w:val="24"/>
        </w:rPr>
        <w:t>s</w:t>
      </w:r>
      <w:r w:rsidR="00B22294" w:rsidRPr="001E5D6F">
        <w:rPr>
          <w:rFonts w:ascii="Arial" w:hAnsi="Arial" w:cs="Arial"/>
          <w:sz w:val="24"/>
          <w:szCs w:val="24"/>
        </w:rPr>
        <w:t>, como parte</w:t>
      </w:r>
      <w:r w:rsidR="00A07D6B" w:rsidRPr="001E5D6F">
        <w:rPr>
          <w:rFonts w:ascii="Arial" w:hAnsi="Arial" w:cs="Arial"/>
          <w:sz w:val="24"/>
          <w:szCs w:val="24"/>
        </w:rPr>
        <w:t>s</w:t>
      </w:r>
      <w:r w:rsidR="00B22294" w:rsidRPr="001E5D6F">
        <w:rPr>
          <w:rFonts w:ascii="Arial" w:hAnsi="Arial" w:cs="Arial"/>
          <w:sz w:val="24"/>
          <w:szCs w:val="24"/>
        </w:rPr>
        <w:t xml:space="preserve"> interesada</w:t>
      </w:r>
      <w:r w:rsidR="00A07D6B" w:rsidRPr="001E5D6F">
        <w:rPr>
          <w:rFonts w:ascii="Arial" w:hAnsi="Arial" w:cs="Arial"/>
          <w:sz w:val="24"/>
          <w:szCs w:val="24"/>
        </w:rPr>
        <w:t>s</w:t>
      </w:r>
      <w:r w:rsidR="00B22294" w:rsidRPr="001E5D6F">
        <w:rPr>
          <w:rFonts w:ascii="Arial" w:hAnsi="Arial" w:cs="Arial"/>
          <w:sz w:val="24"/>
          <w:szCs w:val="24"/>
        </w:rPr>
        <w:t>, intervenir en este particular escenario, exponer sus argumentos y, de ser el caso, aportar las pruebas que pretendiera</w:t>
      </w:r>
      <w:r w:rsidR="00A07D6B" w:rsidRPr="001E5D6F">
        <w:rPr>
          <w:rFonts w:ascii="Arial" w:hAnsi="Arial" w:cs="Arial"/>
          <w:sz w:val="24"/>
          <w:szCs w:val="24"/>
        </w:rPr>
        <w:t>n</w:t>
      </w:r>
      <w:r w:rsidR="00B22294" w:rsidRPr="001E5D6F">
        <w:rPr>
          <w:rFonts w:ascii="Arial" w:hAnsi="Arial" w:cs="Arial"/>
          <w:sz w:val="24"/>
          <w:szCs w:val="24"/>
        </w:rPr>
        <w:t xml:space="preserve"> hacer valer.</w:t>
      </w:r>
    </w:p>
    <w:p w:rsidR="00B22294" w:rsidRPr="001E5D6F" w:rsidRDefault="00B22294" w:rsidP="001E5D6F">
      <w:pPr>
        <w:suppressAutoHyphens/>
        <w:spacing w:line="288" w:lineRule="auto"/>
        <w:ind w:firstLine="2835"/>
        <w:jc w:val="both"/>
        <w:rPr>
          <w:rFonts w:ascii="Arial" w:hAnsi="Arial" w:cs="Arial"/>
          <w:sz w:val="24"/>
          <w:szCs w:val="24"/>
        </w:rPr>
      </w:pPr>
    </w:p>
    <w:p w:rsidR="00564C23" w:rsidRPr="001E5D6F" w:rsidRDefault="00173729" w:rsidP="001E5D6F">
      <w:pPr>
        <w:suppressAutoHyphens/>
        <w:spacing w:line="288" w:lineRule="auto"/>
        <w:ind w:firstLine="2835"/>
        <w:jc w:val="both"/>
        <w:rPr>
          <w:rFonts w:ascii="Arial" w:hAnsi="Arial" w:cs="Arial"/>
          <w:sz w:val="24"/>
          <w:szCs w:val="24"/>
        </w:rPr>
      </w:pPr>
      <w:r w:rsidRPr="001E5D6F">
        <w:rPr>
          <w:rFonts w:ascii="Arial" w:hAnsi="Arial" w:cs="Arial"/>
          <w:sz w:val="24"/>
          <w:szCs w:val="24"/>
        </w:rPr>
        <w:t>5</w:t>
      </w:r>
      <w:r w:rsidR="00B22294" w:rsidRPr="001E5D6F">
        <w:rPr>
          <w:rFonts w:ascii="Arial" w:hAnsi="Arial" w:cs="Arial"/>
          <w:sz w:val="24"/>
          <w:szCs w:val="24"/>
        </w:rPr>
        <w:t xml:space="preserve">. </w:t>
      </w:r>
      <w:r w:rsidR="00564C23" w:rsidRPr="001E5D6F">
        <w:rPr>
          <w:rFonts w:ascii="Arial" w:hAnsi="Arial" w:cs="Arial"/>
          <w:sz w:val="24"/>
          <w:szCs w:val="24"/>
        </w:rPr>
        <w:t>El anterior razonamiento guarda armonía con lo expuesto por la Corte Constitucional:</w:t>
      </w:r>
    </w:p>
    <w:p w:rsidR="00564C23" w:rsidRPr="001E5D6F" w:rsidRDefault="00564C23" w:rsidP="001E5D6F">
      <w:pPr>
        <w:pStyle w:val="Sinespaciado1"/>
        <w:spacing w:line="288" w:lineRule="auto"/>
        <w:jc w:val="both"/>
        <w:rPr>
          <w:rFonts w:ascii="Arial" w:hAnsi="Arial" w:cs="Arial"/>
          <w:sz w:val="24"/>
          <w:szCs w:val="24"/>
          <w:highlight w:val="darkGray"/>
          <w:lang w:val="es-ES" w:eastAsia="es-ES"/>
        </w:rPr>
      </w:pPr>
    </w:p>
    <w:p w:rsidR="00564C23" w:rsidRPr="001E5D6F" w:rsidRDefault="00564C23" w:rsidP="001E5D6F">
      <w:pPr>
        <w:pStyle w:val="Sinespaciado1"/>
        <w:ind w:left="426" w:right="418"/>
        <w:jc w:val="both"/>
        <w:rPr>
          <w:rFonts w:ascii="Arial" w:hAnsi="Arial" w:cs="Arial"/>
          <w:i/>
          <w:szCs w:val="24"/>
          <w:lang w:val="es-ES" w:eastAsia="es-ES"/>
        </w:rPr>
      </w:pPr>
      <w:r w:rsidRPr="001E5D6F">
        <w:rPr>
          <w:rFonts w:ascii="Arial" w:hAnsi="Arial" w:cs="Arial"/>
          <w:i/>
          <w:szCs w:val="24"/>
          <w:lang w:val="es-ES" w:eastAsia="es-ES"/>
        </w:rPr>
        <w:t>“Esta Corporación ha señalado antes que si bien en la acción tutela rige el principio de informalidad, éste no es absoluto y es necesario satisfacer ciertos presupuestos básicos para evitar una decisión que no proteja los derechos fundamentales, entre ellos la integración de la causa pasiva. Al respecto ha señalado “(…) el principio de informalidad adquiere marcada relevancia en los procedimientos de tutela y debe prestarse especial cuidado en la integración de la causa pasiva y del legítimo contradictorio toda vez que, en ciertos eventos, la demanda se formula en contra de quien no ha incurrido en la conducta imputada, o no se vincula a la totalidad de los sujetos procesales. Tal circunstancia se presenta, generalmente, porque el particular no conoce, ni puede exigírsele conocer, la complicada y variable estructura del Estado, ni de ciertas organizaciones privadas encargadas de la prestación de un servicio público. Pero el juez, que cuenta con la preparación y las herramientas jurídicas para suplir tal deficiencia, está en la obligación de conformar el legítimo contradictorio, no solo en virtud del principio de informalidad, sino también, atendiendo el principio de oficiosidad que orienta los procedimientos de tutela.”</w:t>
      </w:r>
      <w:r w:rsidRPr="001E5D6F">
        <w:rPr>
          <w:rStyle w:val="Refdenotaalpie"/>
          <w:rFonts w:ascii="Arial" w:hAnsi="Arial" w:cs="Arial"/>
          <w:i/>
          <w:szCs w:val="24"/>
          <w:lang w:val="es-ES" w:eastAsia="es-ES"/>
        </w:rPr>
        <w:footnoteReference w:id="3"/>
      </w:r>
    </w:p>
    <w:p w:rsidR="00564C23" w:rsidRPr="001E5D6F" w:rsidRDefault="00564C23" w:rsidP="001E5D6F">
      <w:pPr>
        <w:pStyle w:val="Sinespaciado1"/>
        <w:spacing w:line="288" w:lineRule="auto"/>
        <w:ind w:left="567" w:right="618"/>
        <w:jc w:val="both"/>
        <w:rPr>
          <w:rFonts w:ascii="Arial" w:hAnsi="Arial" w:cs="Arial"/>
          <w:i/>
          <w:sz w:val="24"/>
          <w:szCs w:val="24"/>
          <w:lang w:val="es-ES" w:eastAsia="es-ES"/>
        </w:rPr>
      </w:pPr>
    </w:p>
    <w:p w:rsidR="00173729" w:rsidRPr="001E5D6F" w:rsidRDefault="00A07D6B" w:rsidP="001E5D6F">
      <w:pPr>
        <w:suppressAutoHyphens/>
        <w:spacing w:line="288" w:lineRule="auto"/>
        <w:ind w:firstLine="2835"/>
        <w:jc w:val="both"/>
        <w:rPr>
          <w:rFonts w:ascii="Arial" w:hAnsi="Arial" w:cs="Arial"/>
          <w:sz w:val="24"/>
          <w:szCs w:val="24"/>
        </w:rPr>
      </w:pPr>
      <w:r w:rsidRPr="001E5D6F">
        <w:rPr>
          <w:rFonts w:ascii="Arial" w:hAnsi="Arial" w:cs="Arial"/>
          <w:sz w:val="24"/>
          <w:szCs w:val="24"/>
        </w:rPr>
        <w:t>6</w:t>
      </w:r>
      <w:r w:rsidR="00564C23" w:rsidRPr="001E5D6F">
        <w:rPr>
          <w:rFonts w:ascii="Arial" w:hAnsi="Arial" w:cs="Arial"/>
          <w:sz w:val="24"/>
          <w:szCs w:val="24"/>
        </w:rPr>
        <w:t xml:space="preserve">. </w:t>
      </w:r>
      <w:r w:rsidR="00173729" w:rsidRPr="001E5D6F">
        <w:rPr>
          <w:rFonts w:ascii="Arial" w:hAnsi="Arial" w:cs="Arial"/>
          <w:sz w:val="24"/>
          <w:szCs w:val="24"/>
        </w:rPr>
        <w:t>No se dará aplicación a lo previsto en el artículo 137 del CGP, por cuanto que contraría los principios de celeridad y eficacia de la acción de tutela, los cuales obligadamente, ya se encuentran comprometidos con la nulidad que aquí se decreta, conforme así lo ha resuelto la Corte Suprema de Justicia.</w:t>
      </w:r>
    </w:p>
    <w:p w:rsidR="00173729" w:rsidRPr="001E5D6F" w:rsidRDefault="00173729" w:rsidP="001E5D6F">
      <w:pPr>
        <w:suppressAutoHyphens/>
        <w:spacing w:line="288" w:lineRule="auto"/>
        <w:ind w:firstLine="2835"/>
        <w:jc w:val="both"/>
        <w:rPr>
          <w:rFonts w:ascii="Arial" w:hAnsi="Arial" w:cs="Arial"/>
          <w:sz w:val="24"/>
          <w:szCs w:val="24"/>
        </w:rPr>
      </w:pPr>
    </w:p>
    <w:p w:rsidR="00DD242B" w:rsidRPr="001E5D6F" w:rsidRDefault="00A07D6B" w:rsidP="001E5D6F">
      <w:pPr>
        <w:suppressAutoHyphens/>
        <w:spacing w:line="288" w:lineRule="auto"/>
        <w:ind w:firstLine="2835"/>
        <w:jc w:val="both"/>
        <w:rPr>
          <w:rFonts w:ascii="Arial" w:hAnsi="Arial" w:cs="Arial"/>
          <w:sz w:val="24"/>
          <w:szCs w:val="24"/>
        </w:rPr>
      </w:pPr>
      <w:r w:rsidRPr="001E5D6F">
        <w:rPr>
          <w:rFonts w:ascii="Arial" w:hAnsi="Arial" w:cs="Arial"/>
          <w:sz w:val="24"/>
          <w:szCs w:val="24"/>
        </w:rPr>
        <w:lastRenderedPageBreak/>
        <w:t>7</w:t>
      </w:r>
      <w:r w:rsidR="00173729" w:rsidRPr="001E5D6F">
        <w:rPr>
          <w:rFonts w:ascii="Arial" w:hAnsi="Arial" w:cs="Arial"/>
          <w:sz w:val="24"/>
          <w:szCs w:val="24"/>
        </w:rPr>
        <w:t xml:space="preserve">. </w:t>
      </w:r>
      <w:r w:rsidR="00B22294" w:rsidRPr="001E5D6F">
        <w:rPr>
          <w:rFonts w:ascii="Arial" w:hAnsi="Arial" w:cs="Arial"/>
          <w:sz w:val="24"/>
          <w:szCs w:val="24"/>
        </w:rPr>
        <w:t xml:space="preserve">En consecuencia, se ordenará devolver el expediente a la </w:t>
      </w:r>
      <w:r w:rsidR="0020091E" w:rsidRPr="001E5D6F">
        <w:rPr>
          <w:rFonts w:ascii="Arial" w:hAnsi="Arial" w:cs="Arial"/>
          <w:sz w:val="24"/>
          <w:szCs w:val="24"/>
        </w:rPr>
        <w:t xml:space="preserve">Juzgado </w:t>
      </w:r>
      <w:r w:rsidR="00440650" w:rsidRPr="001E5D6F">
        <w:rPr>
          <w:rFonts w:ascii="Arial" w:hAnsi="Arial" w:cs="Arial"/>
          <w:sz w:val="24"/>
          <w:szCs w:val="24"/>
        </w:rPr>
        <w:t>Tercer</w:t>
      </w:r>
      <w:r w:rsidR="006B7B67" w:rsidRPr="001E5D6F">
        <w:rPr>
          <w:rFonts w:ascii="Arial" w:hAnsi="Arial" w:cs="Arial"/>
          <w:sz w:val="24"/>
          <w:szCs w:val="24"/>
        </w:rPr>
        <w:t xml:space="preserve">o Civil del Circuito </w:t>
      </w:r>
      <w:r w:rsidR="00B22294" w:rsidRPr="001E5D6F">
        <w:rPr>
          <w:rFonts w:ascii="Arial" w:hAnsi="Arial" w:cs="Arial"/>
          <w:sz w:val="24"/>
          <w:szCs w:val="24"/>
        </w:rPr>
        <w:t xml:space="preserve">de </w:t>
      </w:r>
      <w:r w:rsidR="00601521" w:rsidRPr="001E5D6F">
        <w:rPr>
          <w:rFonts w:ascii="Arial" w:hAnsi="Arial" w:cs="Arial"/>
          <w:sz w:val="24"/>
          <w:szCs w:val="24"/>
        </w:rPr>
        <w:t>esta ciudad</w:t>
      </w:r>
      <w:r w:rsidR="00B22294" w:rsidRPr="001E5D6F">
        <w:rPr>
          <w:rFonts w:ascii="Arial" w:hAnsi="Arial" w:cs="Arial"/>
          <w:sz w:val="24"/>
          <w:szCs w:val="24"/>
        </w:rPr>
        <w:t>, para que adelante nuevamente la actuación que por esta vía se invalida.</w:t>
      </w:r>
    </w:p>
    <w:p w:rsidR="00DD242B" w:rsidRPr="001E5D6F" w:rsidRDefault="00DD242B" w:rsidP="001E5D6F">
      <w:pPr>
        <w:suppressAutoHyphens/>
        <w:spacing w:line="288" w:lineRule="auto"/>
        <w:ind w:firstLine="2835"/>
        <w:jc w:val="both"/>
        <w:rPr>
          <w:rFonts w:ascii="Arial" w:hAnsi="Arial" w:cs="Arial"/>
          <w:sz w:val="24"/>
          <w:szCs w:val="24"/>
        </w:rPr>
      </w:pPr>
    </w:p>
    <w:p w:rsidR="0058563D" w:rsidRPr="001E5D6F" w:rsidRDefault="0058563D" w:rsidP="001E5D6F">
      <w:pPr>
        <w:suppressAutoHyphens/>
        <w:spacing w:line="288" w:lineRule="auto"/>
        <w:ind w:firstLine="2835"/>
        <w:jc w:val="both"/>
        <w:rPr>
          <w:rFonts w:ascii="Arial" w:hAnsi="Arial" w:cs="Arial"/>
          <w:sz w:val="24"/>
          <w:szCs w:val="24"/>
        </w:rPr>
      </w:pPr>
    </w:p>
    <w:p w:rsidR="00B22294" w:rsidRPr="001E5D6F" w:rsidRDefault="001F1851" w:rsidP="001E5D6F">
      <w:pPr>
        <w:pStyle w:val="Sinespaciado1"/>
        <w:spacing w:line="288" w:lineRule="auto"/>
        <w:ind w:firstLine="2835"/>
        <w:jc w:val="both"/>
        <w:rPr>
          <w:rFonts w:ascii="Arial" w:hAnsi="Arial" w:cs="Arial"/>
          <w:b/>
          <w:bCs/>
          <w:sz w:val="24"/>
          <w:szCs w:val="24"/>
        </w:rPr>
      </w:pPr>
      <w:r w:rsidRPr="001E5D6F">
        <w:rPr>
          <w:rFonts w:ascii="Arial" w:hAnsi="Arial" w:cs="Arial"/>
          <w:b/>
          <w:bCs/>
          <w:sz w:val="24"/>
          <w:szCs w:val="24"/>
        </w:rPr>
        <w:t>IV</w:t>
      </w:r>
      <w:r w:rsidR="00B22294" w:rsidRPr="001E5D6F">
        <w:rPr>
          <w:rFonts w:ascii="Arial" w:hAnsi="Arial" w:cs="Arial"/>
          <w:b/>
          <w:bCs/>
          <w:sz w:val="24"/>
          <w:szCs w:val="24"/>
        </w:rPr>
        <w:t>. DECISIÓN</w:t>
      </w:r>
    </w:p>
    <w:p w:rsidR="00B22294" w:rsidRPr="001E5D6F" w:rsidRDefault="00B22294" w:rsidP="001E5D6F">
      <w:pPr>
        <w:pStyle w:val="Sinespaciado1"/>
        <w:spacing w:line="288" w:lineRule="auto"/>
        <w:ind w:firstLine="2835"/>
        <w:jc w:val="both"/>
        <w:rPr>
          <w:rFonts w:ascii="Arial" w:hAnsi="Arial" w:cs="Arial"/>
          <w:bCs/>
          <w:sz w:val="24"/>
          <w:szCs w:val="24"/>
        </w:rPr>
      </w:pPr>
    </w:p>
    <w:p w:rsidR="00B22294" w:rsidRPr="001E5D6F" w:rsidRDefault="00B22294" w:rsidP="001E5D6F">
      <w:pPr>
        <w:pStyle w:val="Sinespaciado1"/>
        <w:spacing w:line="288" w:lineRule="auto"/>
        <w:ind w:firstLine="2835"/>
        <w:jc w:val="both"/>
        <w:rPr>
          <w:rFonts w:ascii="Arial" w:hAnsi="Arial" w:cs="Arial"/>
          <w:sz w:val="24"/>
          <w:szCs w:val="24"/>
        </w:rPr>
      </w:pPr>
      <w:r w:rsidRPr="001E5D6F">
        <w:rPr>
          <w:rFonts w:ascii="Arial" w:hAnsi="Arial" w:cs="Arial"/>
          <w:sz w:val="24"/>
          <w:szCs w:val="24"/>
        </w:rPr>
        <w:t>En mérito de lo expuesto, la Sala</w:t>
      </w:r>
      <w:r w:rsidR="0009729D" w:rsidRPr="001E5D6F">
        <w:rPr>
          <w:rFonts w:ascii="Arial" w:hAnsi="Arial" w:cs="Arial"/>
          <w:sz w:val="24"/>
          <w:szCs w:val="24"/>
        </w:rPr>
        <w:t xml:space="preserve"> Civil Familia</w:t>
      </w:r>
      <w:r w:rsidR="00476302" w:rsidRPr="001E5D6F">
        <w:rPr>
          <w:rFonts w:ascii="Arial" w:hAnsi="Arial" w:cs="Arial"/>
          <w:bCs/>
          <w:sz w:val="24"/>
          <w:szCs w:val="24"/>
        </w:rPr>
        <w:t xml:space="preserve"> Unitaria</w:t>
      </w:r>
      <w:r w:rsidR="00476302" w:rsidRPr="001E5D6F">
        <w:rPr>
          <w:rFonts w:ascii="Arial" w:hAnsi="Arial" w:cs="Arial"/>
          <w:sz w:val="24"/>
          <w:szCs w:val="24"/>
        </w:rPr>
        <w:t xml:space="preserve"> </w:t>
      </w:r>
      <w:r w:rsidRPr="001E5D6F">
        <w:rPr>
          <w:rFonts w:ascii="Arial" w:hAnsi="Arial" w:cs="Arial"/>
          <w:sz w:val="24"/>
          <w:szCs w:val="24"/>
        </w:rPr>
        <w:t xml:space="preserve">del Tribunal Superior de Pereira,  </w:t>
      </w:r>
    </w:p>
    <w:p w:rsidR="00B22294" w:rsidRPr="001E5D6F" w:rsidRDefault="00B22294" w:rsidP="001E5D6F">
      <w:pPr>
        <w:pStyle w:val="Sinespaciado1"/>
        <w:spacing w:line="288" w:lineRule="auto"/>
        <w:ind w:firstLine="2835"/>
        <w:jc w:val="both"/>
        <w:rPr>
          <w:rFonts w:ascii="Arial" w:hAnsi="Arial" w:cs="Arial"/>
          <w:sz w:val="24"/>
          <w:szCs w:val="24"/>
        </w:rPr>
      </w:pPr>
    </w:p>
    <w:p w:rsidR="00B22294" w:rsidRPr="001E5D6F" w:rsidRDefault="00B22294" w:rsidP="001E5D6F">
      <w:pPr>
        <w:pStyle w:val="Sinespaciado1"/>
        <w:spacing w:line="288" w:lineRule="auto"/>
        <w:ind w:firstLine="2835"/>
        <w:jc w:val="both"/>
        <w:rPr>
          <w:rFonts w:ascii="Arial" w:hAnsi="Arial" w:cs="Arial"/>
          <w:spacing w:val="-3"/>
          <w:sz w:val="24"/>
          <w:szCs w:val="24"/>
        </w:rPr>
      </w:pPr>
      <w:r w:rsidRPr="001E5D6F">
        <w:rPr>
          <w:rFonts w:ascii="Arial" w:hAnsi="Arial" w:cs="Arial"/>
          <w:b/>
          <w:spacing w:val="-3"/>
          <w:sz w:val="24"/>
          <w:szCs w:val="24"/>
        </w:rPr>
        <w:t>RESUELVE</w:t>
      </w:r>
      <w:r w:rsidRPr="001E5D6F">
        <w:rPr>
          <w:rFonts w:ascii="Arial" w:hAnsi="Arial" w:cs="Arial"/>
          <w:spacing w:val="-3"/>
          <w:sz w:val="24"/>
          <w:szCs w:val="24"/>
        </w:rPr>
        <w:t>:</w:t>
      </w:r>
    </w:p>
    <w:p w:rsidR="00476302" w:rsidRPr="001E5D6F" w:rsidRDefault="00476302" w:rsidP="001E5D6F">
      <w:pPr>
        <w:pStyle w:val="Sinespaciado1"/>
        <w:spacing w:line="288" w:lineRule="auto"/>
        <w:ind w:firstLine="2835"/>
        <w:jc w:val="both"/>
        <w:rPr>
          <w:rFonts w:ascii="Arial" w:hAnsi="Arial" w:cs="Arial"/>
          <w:spacing w:val="-3"/>
          <w:sz w:val="24"/>
          <w:szCs w:val="24"/>
        </w:rPr>
      </w:pPr>
    </w:p>
    <w:p w:rsidR="00564C23" w:rsidRPr="001E5D6F" w:rsidRDefault="00B22294" w:rsidP="001E5D6F">
      <w:pPr>
        <w:pStyle w:val="Sinespaciado1"/>
        <w:spacing w:line="288" w:lineRule="auto"/>
        <w:ind w:firstLine="2835"/>
        <w:jc w:val="both"/>
        <w:rPr>
          <w:rFonts w:ascii="Arial" w:hAnsi="Arial" w:cs="Arial"/>
          <w:sz w:val="24"/>
          <w:szCs w:val="24"/>
        </w:rPr>
      </w:pPr>
      <w:r w:rsidRPr="001E5D6F">
        <w:rPr>
          <w:rFonts w:ascii="Arial" w:hAnsi="Arial" w:cs="Arial"/>
          <w:b/>
          <w:spacing w:val="-3"/>
          <w:sz w:val="24"/>
          <w:szCs w:val="24"/>
        </w:rPr>
        <w:t>Primero:</w:t>
      </w:r>
      <w:r w:rsidRPr="001E5D6F">
        <w:rPr>
          <w:rFonts w:ascii="Arial" w:hAnsi="Arial" w:cs="Arial"/>
          <w:spacing w:val="-3"/>
          <w:sz w:val="24"/>
          <w:szCs w:val="24"/>
        </w:rPr>
        <w:t xml:space="preserve"> DECLARAR la nulidad de todo lo actuado en el amparo arriba referido, </w:t>
      </w:r>
      <w:r w:rsidRPr="001E5D6F">
        <w:rPr>
          <w:rFonts w:ascii="Arial" w:hAnsi="Arial" w:cs="Arial"/>
          <w:sz w:val="24"/>
          <w:szCs w:val="24"/>
        </w:rPr>
        <w:t xml:space="preserve">a partir </w:t>
      </w:r>
      <w:r w:rsidR="006F0029" w:rsidRPr="001E5D6F">
        <w:rPr>
          <w:rFonts w:ascii="Arial" w:hAnsi="Arial" w:cs="Arial"/>
          <w:sz w:val="24"/>
          <w:szCs w:val="24"/>
        </w:rPr>
        <w:t xml:space="preserve">del </w:t>
      </w:r>
      <w:r w:rsidR="00564C23" w:rsidRPr="001E5D6F">
        <w:rPr>
          <w:rFonts w:ascii="Arial" w:hAnsi="Arial" w:cs="Arial"/>
          <w:sz w:val="24"/>
          <w:szCs w:val="24"/>
        </w:rPr>
        <w:t>fallo que se revisa, inclusive, conforme a lo expuesto.</w:t>
      </w:r>
    </w:p>
    <w:p w:rsidR="00B22294" w:rsidRPr="001E5D6F" w:rsidRDefault="00B22294" w:rsidP="001E5D6F">
      <w:pPr>
        <w:pStyle w:val="Sinespaciado1"/>
        <w:spacing w:line="288" w:lineRule="auto"/>
        <w:ind w:firstLine="2835"/>
        <w:jc w:val="both"/>
        <w:rPr>
          <w:rFonts w:ascii="Arial" w:hAnsi="Arial" w:cs="Arial"/>
          <w:sz w:val="24"/>
          <w:szCs w:val="24"/>
        </w:rPr>
      </w:pPr>
    </w:p>
    <w:p w:rsidR="00B22294" w:rsidRPr="001E5D6F" w:rsidRDefault="00B22294" w:rsidP="001E5D6F">
      <w:pPr>
        <w:pStyle w:val="Sinespaciado1"/>
        <w:spacing w:line="288" w:lineRule="auto"/>
        <w:ind w:firstLine="2835"/>
        <w:jc w:val="both"/>
        <w:rPr>
          <w:rFonts w:ascii="Arial" w:hAnsi="Arial" w:cs="Arial"/>
          <w:spacing w:val="-3"/>
          <w:sz w:val="24"/>
          <w:szCs w:val="24"/>
        </w:rPr>
      </w:pPr>
      <w:r w:rsidRPr="001E5D6F">
        <w:rPr>
          <w:rFonts w:ascii="Arial" w:hAnsi="Arial" w:cs="Arial"/>
          <w:b/>
          <w:spacing w:val="-3"/>
          <w:sz w:val="24"/>
          <w:szCs w:val="24"/>
        </w:rPr>
        <w:t>Segundo:</w:t>
      </w:r>
      <w:r w:rsidRPr="001E5D6F">
        <w:rPr>
          <w:rFonts w:ascii="Arial" w:hAnsi="Arial" w:cs="Arial"/>
          <w:spacing w:val="-3"/>
          <w:sz w:val="24"/>
          <w:szCs w:val="24"/>
        </w:rPr>
        <w:t xml:space="preserve"> Devuélvase el expediente al </w:t>
      </w:r>
      <w:r w:rsidR="0020091E" w:rsidRPr="001E5D6F">
        <w:rPr>
          <w:rFonts w:ascii="Arial" w:hAnsi="Arial" w:cs="Arial"/>
          <w:sz w:val="24"/>
          <w:szCs w:val="24"/>
        </w:rPr>
        <w:t xml:space="preserve">Juzgado </w:t>
      </w:r>
      <w:r w:rsidR="009A72E7" w:rsidRPr="001E5D6F">
        <w:rPr>
          <w:rFonts w:ascii="Arial" w:hAnsi="Arial" w:cs="Arial"/>
          <w:sz w:val="24"/>
          <w:szCs w:val="24"/>
        </w:rPr>
        <w:t>Tercer</w:t>
      </w:r>
      <w:r w:rsidR="006B7B67" w:rsidRPr="001E5D6F">
        <w:rPr>
          <w:rFonts w:ascii="Arial" w:hAnsi="Arial" w:cs="Arial"/>
          <w:sz w:val="24"/>
          <w:szCs w:val="24"/>
        </w:rPr>
        <w:t xml:space="preserve">o Civil del Circuito </w:t>
      </w:r>
      <w:r w:rsidRPr="001E5D6F">
        <w:rPr>
          <w:rFonts w:ascii="Arial" w:hAnsi="Arial" w:cs="Arial"/>
          <w:spacing w:val="-3"/>
          <w:sz w:val="24"/>
          <w:szCs w:val="24"/>
        </w:rPr>
        <w:t xml:space="preserve">de </w:t>
      </w:r>
      <w:r w:rsidR="00601521" w:rsidRPr="001E5D6F">
        <w:rPr>
          <w:rFonts w:ascii="Arial" w:hAnsi="Arial" w:cs="Arial"/>
          <w:spacing w:val="-3"/>
          <w:sz w:val="24"/>
          <w:szCs w:val="24"/>
        </w:rPr>
        <w:t>Pereira</w:t>
      </w:r>
      <w:r w:rsidRPr="001E5D6F">
        <w:rPr>
          <w:rFonts w:ascii="Arial" w:hAnsi="Arial" w:cs="Arial"/>
          <w:spacing w:val="-3"/>
          <w:sz w:val="24"/>
          <w:szCs w:val="24"/>
        </w:rPr>
        <w:t xml:space="preserve">, para que </w:t>
      </w:r>
      <w:r w:rsidR="00564C23" w:rsidRPr="001E5D6F">
        <w:rPr>
          <w:rFonts w:ascii="Arial" w:hAnsi="Arial" w:cs="Arial"/>
          <w:spacing w:val="-3"/>
          <w:sz w:val="24"/>
          <w:szCs w:val="24"/>
        </w:rPr>
        <w:t xml:space="preserve">reponga la actuación, según </w:t>
      </w:r>
      <w:r w:rsidRPr="001E5D6F">
        <w:rPr>
          <w:rFonts w:ascii="Arial" w:hAnsi="Arial" w:cs="Arial"/>
          <w:spacing w:val="-3"/>
          <w:sz w:val="24"/>
          <w:szCs w:val="24"/>
        </w:rPr>
        <w:t>lo anotado en la parte motiva de esta providencia.</w:t>
      </w:r>
    </w:p>
    <w:p w:rsidR="00B22294" w:rsidRPr="001E5D6F" w:rsidRDefault="00B22294" w:rsidP="001E5D6F">
      <w:pPr>
        <w:pStyle w:val="Sinespaciado1"/>
        <w:spacing w:line="288" w:lineRule="auto"/>
        <w:ind w:firstLine="2835"/>
        <w:jc w:val="both"/>
        <w:rPr>
          <w:rFonts w:ascii="Arial" w:hAnsi="Arial" w:cs="Arial"/>
          <w:spacing w:val="-3"/>
          <w:sz w:val="24"/>
          <w:szCs w:val="24"/>
        </w:rPr>
      </w:pPr>
    </w:p>
    <w:p w:rsidR="00B22294" w:rsidRPr="001E5D6F" w:rsidRDefault="00B22294" w:rsidP="001E5D6F">
      <w:pPr>
        <w:pStyle w:val="Sinespaciado1"/>
        <w:spacing w:line="288" w:lineRule="auto"/>
        <w:ind w:firstLine="2835"/>
        <w:jc w:val="both"/>
        <w:rPr>
          <w:rFonts w:ascii="Arial" w:hAnsi="Arial" w:cs="Arial"/>
          <w:sz w:val="24"/>
          <w:szCs w:val="24"/>
          <w:lang w:val="es-ES" w:eastAsia="es-ES"/>
        </w:rPr>
      </w:pPr>
      <w:r w:rsidRPr="001E5D6F">
        <w:rPr>
          <w:rFonts w:ascii="Arial" w:hAnsi="Arial" w:cs="Arial"/>
          <w:b/>
          <w:spacing w:val="-3"/>
          <w:sz w:val="24"/>
          <w:szCs w:val="24"/>
        </w:rPr>
        <w:t>Tercero:</w:t>
      </w:r>
      <w:r w:rsidRPr="001E5D6F">
        <w:rPr>
          <w:rFonts w:ascii="Arial" w:hAnsi="Arial" w:cs="Arial"/>
          <w:spacing w:val="-3"/>
          <w:sz w:val="24"/>
          <w:szCs w:val="24"/>
        </w:rPr>
        <w:t xml:space="preserve"> Notifíquese esta decisión a las partes por el medio más expedito posible (Art. 5o. del Decreto 306 de 1992). </w:t>
      </w:r>
    </w:p>
    <w:p w:rsidR="00B22294" w:rsidRPr="001E5D6F" w:rsidRDefault="00B22294" w:rsidP="001E5D6F">
      <w:pPr>
        <w:pStyle w:val="Sinespaciado1"/>
        <w:spacing w:line="288" w:lineRule="auto"/>
        <w:ind w:firstLine="2835"/>
        <w:jc w:val="both"/>
        <w:rPr>
          <w:rFonts w:ascii="Arial" w:hAnsi="Arial" w:cs="Arial"/>
          <w:spacing w:val="-3"/>
          <w:sz w:val="24"/>
          <w:szCs w:val="24"/>
        </w:rPr>
      </w:pPr>
    </w:p>
    <w:p w:rsidR="00B22294" w:rsidRPr="001E5D6F" w:rsidRDefault="00B22294" w:rsidP="001E5D6F">
      <w:pPr>
        <w:pStyle w:val="Sinespaciado1"/>
        <w:spacing w:line="288" w:lineRule="auto"/>
        <w:ind w:firstLine="2835"/>
        <w:jc w:val="both"/>
        <w:rPr>
          <w:rFonts w:ascii="Arial" w:hAnsi="Arial" w:cs="Arial"/>
          <w:spacing w:val="-3"/>
          <w:sz w:val="24"/>
          <w:szCs w:val="24"/>
        </w:rPr>
      </w:pPr>
      <w:r w:rsidRPr="001E5D6F">
        <w:rPr>
          <w:rFonts w:ascii="Arial" w:hAnsi="Arial" w:cs="Arial"/>
          <w:spacing w:val="-3"/>
          <w:sz w:val="24"/>
          <w:szCs w:val="24"/>
        </w:rPr>
        <w:t>Notifíquese y cúmplase</w:t>
      </w:r>
    </w:p>
    <w:p w:rsidR="00B22294" w:rsidRPr="001E5D6F" w:rsidRDefault="00B22294" w:rsidP="001E5D6F">
      <w:pPr>
        <w:pStyle w:val="Sinespaciado1"/>
        <w:spacing w:line="288" w:lineRule="auto"/>
        <w:ind w:firstLine="2835"/>
        <w:jc w:val="both"/>
        <w:rPr>
          <w:rFonts w:ascii="Arial" w:hAnsi="Arial" w:cs="Arial"/>
          <w:spacing w:val="-3"/>
          <w:sz w:val="24"/>
          <w:szCs w:val="24"/>
        </w:rPr>
      </w:pPr>
    </w:p>
    <w:p w:rsidR="00B22294" w:rsidRPr="001E5D6F" w:rsidRDefault="00B22294" w:rsidP="001E5D6F">
      <w:pPr>
        <w:pStyle w:val="Sinespaciado1"/>
        <w:spacing w:line="288" w:lineRule="auto"/>
        <w:ind w:firstLine="2835"/>
        <w:jc w:val="both"/>
        <w:rPr>
          <w:rFonts w:ascii="Arial" w:hAnsi="Arial" w:cs="Arial"/>
          <w:spacing w:val="-3"/>
          <w:sz w:val="24"/>
          <w:szCs w:val="24"/>
        </w:rPr>
      </w:pPr>
    </w:p>
    <w:p w:rsidR="00173729" w:rsidRPr="001E5D6F" w:rsidRDefault="00173729" w:rsidP="001E5D6F">
      <w:pPr>
        <w:pStyle w:val="Sinespaciado1"/>
        <w:spacing w:line="288" w:lineRule="auto"/>
        <w:ind w:firstLine="2835"/>
        <w:jc w:val="both"/>
        <w:rPr>
          <w:rFonts w:ascii="Arial" w:hAnsi="Arial" w:cs="Arial"/>
          <w:b/>
          <w:spacing w:val="-3"/>
          <w:sz w:val="24"/>
          <w:szCs w:val="24"/>
        </w:rPr>
      </w:pPr>
    </w:p>
    <w:p w:rsidR="00DD242B" w:rsidRPr="001E5D6F" w:rsidRDefault="00DD242B" w:rsidP="001E5D6F">
      <w:pPr>
        <w:pStyle w:val="Sinespaciado1"/>
        <w:spacing w:line="288" w:lineRule="auto"/>
        <w:ind w:firstLine="2835"/>
        <w:jc w:val="both"/>
        <w:rPr>
          <w:rFonts w:ascii="Arial" w:hAnsi="Arial" w:cs="Arial"/>
          <w:b/>
          <w:spacing w:val="-3"/>
          <w:sz w:val="24"/>
          <w:szCs w:val="24"/>
        </w:rPr>
      </w:pPr>
    </w:p>
    <w:p w:rsidR="00B22294" w:rsidRPr="001E5D6F" w:rsidRDefault="00B22294" w:rsidP="001E5D6F">
      <w:pPr>
        <w:pStyle w:val="Sinespaciado1"/>
        <w:spacing w:line="288" w:lineRule="auto"/>
        <w:ind w:firstLine="2835"/>
        <w:jc w:val="both"/>
        <w:rPr>
          <w:rFonts w:ascii="Arial" w:hAnsi="Arial" w:cs="Arial"/>
          <w:b/>
          <w:spacing w:val="-3"/>
          <w:sz w:val="24"/>
          <w:szCs w:val="24"/>
        </w:rPr>
      </w:pPr>
      <w:r w:rsidRPr="001E5D6F">
        <w:rPr>
          <w:rFonts w:ascii="Arial" w:hAnsi="Arial" w:cs="Arial"/>
          <w:b/>
          <w:spacing w:val="-3"/>
          <w:sz w:val="24"/>
          <w:szCs w:val="24"/>
        </w:rPr>
        <w:t>EDDER JIMMY SÁNCHEZ CALAMBÁS</w:t>
      </w:r>
    </w:p>
    <w:p w:rsidR="00173729" w:rsidRPr="001E5D6F" w:rsidRDefault="00B22294" w:rsidP="001E5D6F">
      <w:pPr>
        <w:pStyle w:val="Sinespaciado1"/>
        <w:spacing w:line="288" w:lineRule="auto"/>
        <w:ind w:firstLine="2835"/>
        <w:jc w:val="both"/>
        <w:rPr>
          <w:rFonts w:ascii="Arial" w:hAnsi="Arial" w:cs="Arial"/>
          <w:spacing w:val="-3"/>
          <w:sz w:val="24"/>
          <w:szCs w:val="24"/>
        </w:rPr>
      </w:pPr>
      <w:r w:rsidRPr="001E5D6F">
        <w:rPr>
          <w:rFonts w:ascii="Arial" w:hAnsi="Arial" w:cs="Arial"/>
          <w:spacing w:val="-3"/>
          <w:sz w:val="24"/>
          <w:szCs w:val="24"/>
        </w:rPr>
        <w:t>Magistrado</w:t>
      </w:r>
    </w:p>
    <w:sectPr w:rsidR="00173729" w:rsidRPr="001E5D6F" w:rsidSect="001E5D6F">
      <w:headerReference w:type="even" r:id="rId7"/>
      <w:headerReference w:type="default" r:id="rId8"/>
      <w:footerReference w:type="even" r:id="rId9"/>
      <w:footerReference w:type="default" r:id="rId10"/>
      <w:headerReference w:type="first" r:id="rId11"/>
      <w:footerReference w:type="first" r:id="rId12"/>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6B" w:rsidRDefault="006E5C6B" w:rsidP="00B22294">
      <w:r>
        <w:separator/>
      </w:r>
    </w:p>
  </w:endnote>
  <w:endnote w:type="continuationSeparator" w:id="0">
    <w:p w:rsidR="006E5C6B" w:rsidRDefault="006E5C6B" w:rsidP="00B2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73" w:rsidRDefault="00A278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51129"/>
      <w:docPartObj>
        <w:docPartGallery w:val="Page Numbers (Bottom of Page)"/>
        <w:docPartUnique/>
      </w:docPartObj>
    </w:sdtPr>
    <w:sdtEndPr>
      <w:rPr>
        <w:rFonts w:ascii="Arial" w:hAnsi="Arial" w:cs="Arial"/>
        <w:sz w:val="18"/>
      </w:rPr>
    </w:sdtEndPr>
    <w:sdtContent>
      <w:p w:rsidR="004F5355" w:rsidRPr="00A27873" w:rsidRDefault="004F5355">
        <w:pPr>
          <w:pStyle w:val="Piedepgina"/>
          <w:jc w:val="right"/>
          <w:rPr>
            <w:rFonts w:ascii="Arial" w:hAnsi="Arial" w:cs="Arial"/>
            <w:sz w:val="18"/>
          </w:rPr>
        </w:pPr>
        <w:r w:rsidRPr="00A27873">
          <w:rPr>
            <w:rFonts w:ascii="Arial" w:hAnsi="Arial" w:cs="Arial"/>
            <w:sz w:val="18"/>
          </w:rPr>
          <w:fldChar w:fldCharType="begin"/>
        </w:r>
        <w:r w:rsidRPr="00A27873">
          <w:rPr>
            <w:rFonts w:ascii="Arial" w:hAnsi="Arial" w:cs="Arial"/>
            <w:sz w:val="18"/>
          </w:rPr>
          <w:instrText>PAGE   \* MERGEFORMAT</w:instrText>
        </w:r>
        <w:r w:rsidRPr="00A27873">
          <w:rPr>
            <w:rFonts w:ascii="Arial" w:hAnsi="Arial" w:cs="Arial"/>
            <w:sz w:val="18"/>
          </w:rPr>
          <w:fldChar w:fldCharType="separate"/>
        </w:r>
        <w:r w:rsidR="00944BC8">
          <w:rPr>
            <w:rFonts w:ascii="Arial" w:hAnsi="Arial" w:cs="Arial"/>
            <w:noProof/>
            <w:sz w:val="18"/>
          </w:rPr>
          <w:t>4</w:t>
        </w:r>
        <w:r w:rsidRPr="00A27873">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73" w:rsidRDefault="00A278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6B" w:rsidRDefault="006E5C6B" w:rsidP="00B22294">
      <w:r>
        <w:separator/>
      </w:r>
    </w:p>
  </w:footnote>
  <w:footnote w:type="continuationSeparator" w:id="0">
    <w:p w:rsidR="006E5C6B" w:rsidRDefault="006E5C6B" w:rsidP="00B22294">
      <w:r>
        <w:continuationSeparator/>
      </w:r>
    </w:p>
  </w:footnote>
  <w:footnote w:id="1">
    <w:p w:rsidR="00F504A8" w:rsidRPr="001E5D6F" w:rsidRDefault="00F504A8">
      <w:pPr>
        <w:pStyle w:val="Textonotapie"/>
        <w:rPr>
          <w:rFonts w:ascii="Arial" w:hAnsi="Arial" w:cs="Arial"/>
          <w:sz w:val="18"/>
          <w:szCs w:val="18"/>
          <w:lang w:val="es-CO"/>
        </w:rPr>
      </w:pPr>
      <w:r w:rsidRPr="001E5D6F">
        <w:rPr>
          <w:rStyle w:val="Refdenotaalpie"/>
          <w:rFonts w:ascii="Arial" w:hAnsi="Arial" w:cs="Arial"/>
          <w:sz w:val="18"/>
          <w:szCs w:val="18"/>
        </w:rPr>
        <w:footnoteRef/>
      </w:r>
      <w:r w:rsidRPr="001E5D6F">
        <w:rPr>
          <w:rFonts w:ascii="Arial" w:hAnsi="Arial" w:cs="Arial"/>
          <w:sz w:val="18"/>
          <w:szCs w:val="18"/>
        </w:rPr>
        <w:t xml:space="preserve"> Folio</w:t>
      </w:r>
      <w:r w:rsidR="001D7319" w:rsidRPr="001E5D6F">
        <w:rPr>
          <w:rFonts w:ascii="Arial" w:hAnsi="Arial" w:cs="Arial"/>
          <w:sz w:val="18"/>
          <w:szCs w:val="18"/>
        </w:rPr>
        <w:t>s</w:t>
      </w:r>
      <w:r w:rsidRPr="001E5D6F">
        <w:rPr>
          <w:rFonts w:ascii="Arial" w:hAnsi="Arial" w:cs="Arial"/>
          <w:sz w:val="18"/>
          <w:szCs w:val="18"/>
        </w:rPr>
        <w:t xml:space="preserve"> </w:t>
      </w:r>
      <w:r w:rsidR="009A72E7" w:rsidRPr="001E5D6F">
        <w:rPr>
          <w:rFonts w:ascii="Arial" w:hAnsi="Arial" w:cs="Arial"/>
          <w:sz w:val="18"/>
          <w:szCs w:val="18"/>
        </w:rPr>
        <w:t>30</w:t>
      </w:r>
      <w:r w:rsidR="006A50F1" w:rsidRPr="001E5D6F">
        <w:rPr>
          <w:rFonts w:ascii="Arial" w:hAnsi="Arial" w:cs="Arial"/>
          <w:sz w:val="18"/>
          <w:szCs w:val="18"/>
        </w:rPr>
        <w:t>-</w:t>
      </w:r>
      <w:r w:rsidR="009A72E7" w:rsidRPr="001E5D6F">
        <w:rPr>
          <w:rFonts w:ascii="Arial" w:hAnsi="Arial" w:cs="Arial"/>
          <w:sz w:val="18"/>
          <w:szCs w:val="18"/>
        </w:rPr>
        <w:t>32</w:t>
      </w:r>
      <w:r w:rsidRPr="001E5D6F">
        <w:rPr>
          <w:rFonts w:ascii="Arial" w:hAnsi="Arial" w:cs="Arial"/>
          <w:sz w:val="18"/>
          <w:szCs w:val="18"/>
        </w:rPr>
        <w:t xml:space="preserve"> Cd. de Tutela</w:t>
      </w:r>
    </w:p>
  </w:footnote>
  <w:footnote w:id="2">
    <w:p w:rsidR="00EE0930" w:rsidRPr="001E5D6F" w:rsidRDefault="00EE0930" w:rsidP="001E5D6F">
      <w:pPr>
        <w:pStyle w:val="Textonotapie"/>
        <w:jc w:val="both"/>
        <w:rPr>
          <w:rFonts w:ascii="Arial" w:hAnsi="Arial" w:cs="Arial"/>
          <w:sz w:val="18"/>
          <w:szCs w:val="18"/>
          <w:lang w:val="es-CO"/>
        </w:rPr>
      </w:pPr>
      <w:r w:rsidRPr="001E5D6F">
        <w:rPr>
          <w:rStyle w:val="Refdenotaalpie"/>
          <w:rFonts w:ascii="Arial" w:hAnsi="Arial" w:cs="Arial"/>
          <w:sz w:val="18"/>
          <w:szCs w:val="18"/>
        </w:rPr>
        <w:footnoteRef/>
      </w:r>
      <w:r w:rsidRPr="001E5D6F">
        <w:rPr>
          <w:rFonts w:ascii="Arial" w:hAnsi="Arial" w:cs="Arial"/>
          <w:sz w:val="18"/>
          <w:szCs w:val="18"/>
          <w:lang w:val="es-CO"/>
        </w:rPr>
        <w:t xml:space="preserve">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footnote>
  <w:footnote w:id="3">
    <w:p w:rsidR="00564C23" w:rsidRPr="001E5D6F" w:rsidRDefault="00564C23" w:rsidP="00564C23">
      <w:pPr>
        <w:pStyle w:val="Textonotapie"/>
        <w:jc w:val="both"/>
        <w:rPr>
          <w:rFonts w:ascii="Arial" w:hAnsi="Arial" w:cs="Arial"/>
          <w:sz w:val="18"/>
          <w:szCs w:val="18"/>
          <w:lang w:val="es-CO"/>
        </w:rPr>
      </w:pPr>
      <w:r w:rsidRPr="001E5D6F">
        <w:rPr>
          <w:rStyle w:val="Refdenotaalpie"/>
          <w:rFonts w:ascii="Arial" w:hAnsi="Arial" w:cs="Arial"/>
          <w:sz w:val="18"/>
          <w:szCs w:val="18"/>
        </w:rPr>
        <w:footnoteRef/>
      </w:r>
      <w:r w:rsidRPr="001E5D6F">
        <w:rPr>
          <w:rFonts w:ascii="Arial" w:hAnsi="Arial" w:cs="Arial"/>
          <w:sz w:val="18"/>
          <w:szCs w:val="18"/>
        </w:rPr>
        <w:t xml:space="preserve"> </w:t>
      </w:r>
      <w:r w:rsidRPr="001E5D6F">
        <w:rPr>
          <w:rFonts w:ascii="Arial" w:hAnsi="Arial" w:cs="Arial"/>
          <w:sz w:val="18"/>
          <w:szCs w:val="18"/>
          <w:lang w:val="es-CO"/>
        </w:rPr>
        <w:t xml:space="preserve">Corte Constitucional. Auto 315 de 2006. MP. Clara Inés Vargas Hernández. </w:t>
      </w:r>
    </w:p>
    <w:p w:rsidR="00564C23" w:rsidRPr="000572D2" w:rsidRDefault="00564C23" w:rsidP="00564C23">
      <w:pPr>
        <w:pStyle w:val="Textonotapie"/>
        <w:jc w:val="both"/>
        <w:rPr>
          <w:lang w:val="es-CO"/>
        </w:rPr>
      </w:pPr>
      <w:r w:rsidRPr="001E5D6F">
        <w:rPr>
          <w:rFonts w:ascii="Arial" w:hAnsi="Arial" w:cs="Arial"/>
          <w:sz w:val="18"/>
          <w:szCs w:val="18"/>
          <w:lang w:val="es-CO"/>
        </w:rPr>
        <w:t>“Cuando, durante el proceso de tutela, en la primera y segunda instancia, la causa pasiva ha sido integrada incorrectamente o una parte con un interés legítimo no ha sido notificada, la Corte Constitucional ha encontrado que se configura una causal de nulidad del proceso de tutela y ha considerado que el procedimiento adecuado consiste en devolver el expediente al juez de instancia con la finalidad que subsane el vicio y se integre correctamente el contradictorio”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73" w:rsidRDefault="00A278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73" w:rsidRDefault="00A27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73" w:rsidRDefault="00A278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4"/>
    <w:rsid w:val="00010403"/>
    <w:rsid w:val="00010679"/>
    <w:rsid w:val="00092CF6"/>
    <w:rsid w:val="0009729D"/>
    <w:rsid w:val="000A4F22"/>
    <w:rsid w:val="000C1FAE"/>
    <w:rsid w:val="000D6533"/>
    <w:rsid w:val="000F2A34"/>
    <w:rsid w:val="00132619"/>
    <w:rsid w:val="00173729"/>
    <w:rsid w:val="00195906"/>
    <w:rsid w:val="001A4DB1"/>
    <w:rsid w:val="001D0E6F"/>
    <w:rsid w:val="001D7319"/>
    <w:rsid w:val="001E50C8"/>
    <w:rsid w:val="001E5D6F"/>
    <w:rsid w:val="001F1851"/>
    <w:rsid w:val="0020091E"/>
    <w:rsid w:val="00210FC1"/>
    <w:rsid w:val="00264688"/>
    <w:rsid w:val="002712F3"/>
    <w:rsid w:val="00272C07"/>
    <w:rsid w:val="00275718"/>
    <w:rsid w:val="002E65BA"/>
    <w:rsid w:val="002F1407"/>
    <w:rsid w:val="00307013"/>
    <w:rsid w:val="00333618"/>
    <w:rsid w:val="00391185"/>
    <w:rsid w:val="00395494"/>
    <w:rsid w:val="003E0143"/>
    <w:rsid w:val="00440650"/>
    <w:rsid w:val="00441AC6"/>
    <w:rsid w:val="00471FE9"/>
    <w:rsid w:val="004749C1"/>
    <w:rsid w:val="00476302"/>
    <w:rsid w:val="00482390"/>
    <w:rsid w:val="004852F8"/>
    <w:rsid w:val="004E4CB4"/>
    <w:rsid w:val="004F5355"/>
    <w:rsid w:val="00511F54"/>
    <w:rsid w:val="00526232"/>
    <w:rsid w:val="00564C23"/>
    <w:rsid w:val="00582576"/>
    <w:rsid w:val="0058563D"/>
    <w:rsid w:val="005C2B9F"/>
    <w:rsid w:val="005D07D8"/>
    <w:rsid w:val="00601521"/>
    <w:rsid w:val="0061190D"/>
    <w:rsid w:val="006323F1"/>
    <w:rsid w:val="00650B26"/>
    <w:rsid w:val="006610CE"/>
    <w:rsid w:val="006A50F1"/>
    <w:rsid w:val="006B4577"/>
    <w:rsid w:val="006B7B67"/>
    <w:rsid w:val="006D7D86"/>
    <w:rsid w:val="006E4A18"/>
    <w:rsid w:val="006E4BAB"/>
    <w:rsid w:val="006E5C6B"/>
    <w:rsid w:val="006F0029"/>
    <w:rsid w:val="00724D42"/>
    <w:rsid w:val="0073067A"/>
    <w:rsid w:val="0073299B"/>
    <w:rsid w:val="00737219"/>
    <w:rsid w:val="00746206"/>
    <w:rsid w:val="00747603"/>
    <w:rsid w:val="00752976"/>
    <w:rsid w:val="00764D1D"/>
    <w:rsid w:val="00770F85"/>
    <w:rsid w:val="007C7F60"/>
    <w:rsid w:val="007F13D0"/>
    <w:rsid w:val="008600EC"/>
    <w:rsid w:val="008770C1"/>
    <w:rsid w:val="00897F94"/>
    <w:rsid w:val="008A771D"/>
    <w:rsid w:val="00944BC8"/>
    <w:rsid w:val="00960B30"/>
    <w:rsid w:val="009A72E7"/>
    <w:rsid w:val="009E11CB"/>
    <w:rsid w:val="00A07D6B"/>
    <w:rsid w:val="00A26A20"/>
    <w:rsid w:val="00A27873"/>
    <w:rsid w:val="00A353B5"/>
    <w:rsid w:val="00A57196"/>
    <w:rsid w:val="00B22294"/>
    <w:rsid w:val="00BA02FB"/>
    <w:rsid w:val="00BB5F3B"/>
    <w:rsid w:val="00BC0952"/>
    <w:rsid w:val="00BC3C8D"/>
    <w:rsid w:val="00BE4616"/>
    <w:rsid w:val="00C0082D"/>
    <w:rsid w:val="00C7450C"/>
    <w:rsid w:val="00D139F4"/>
    <w:rsid w:val="00D16B29"/>
    <w:rsid w:val="00D60363"/>
    <w:rsid w:val="00D84919"/>
    <w:rsid w:val="00DA26FC"/>
    <w:rsid w:val="00DC3883"/>
    <w:rsid w:val="00DD242B"/>
    <w:rsid w:val="00E91E88"/>
    <w:rsid w:val="00EB1937"/>
    <w:rsid w:val="00EB4D52"/>
    <w:rsid w:val="00ED3CE6"/>
    <w:rsid w:val="00ED6FB3"/>
    <w:rsid w:val="00EE0930"/>
    <w:rsid w:val="00EF3F4B"/>
    <w:rsid w:val="00EF6C24"/>
    <w:rsid w:val="00F02F5C"/>
    <w:rsid w:val="00F504A8"/>
    <w:rsid w:val="00F5321D"/>
    <w:rsid w:val="00F62A1D"/>
    <w:rsid w:val="00F848AE"/>
    <w:rsid w:val="00F9360D"/>
    <w:rsid w:val="00F97CB8"/>
    <w:rsid w:val="00FB3AF8"/>
    <w:rsid w:val="00FD586B"/>
    <w:rsid w:val="00FD66F7"/>
    <w:rsid w:val="00FE04FC"/>
    <w:rsid w:val="00FE289A"/>
    <w:rsid w:val="00FE3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A6B9-37DE-40E9-91DF-1B06DCA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9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B22294"/>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B2229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B22294"/>
    <w:rPr>
      <w:vertAlign w:val="superscript"/>
    </w:rPr>
  </w:style>
  <w:style w:type="paragraph" w:customStyle="1" w:styleId="Sinespaciado1">
    <w:name w:val="Sin espaciado1"/>
    <w:link w:val="NoSpacingChar"/>
    <w:uiPriority w:val="99"/>
    <w:rsid w:val="00B2229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B22294"/>
    <w:rPr>
      <w:rFonts w:ascii="Calibri" w:eastAsia="Times New Roman" w:hAnsi="Calibri" w:cs="Times New Roman"/>
      <w:lang w:val="es-CO"/>
    </w:rPr>
  </w:style>
  <w:style w:type="paragraph" w:styleId="Piedepgina">
    <w:name w:val="footer"/>
    <w:basedOn w:val="Normal"/>
    <w:link w:val="PiedepginaCar"/>
    <w:uiPriority w:val="99"/>
    <w:unhideWhenUsed/>
    <w:rsid w:val="00B22294"/>
    <w:pPr>
      <w:tabs>
        <w:tab w:val="center" w:pos="4252"/>
        <w:tab w:val="right" w:pos="8504"/>
      </w:tabs>
    </w:pPr>
  </w:style>
  <w:style w:type="character" w:customStyle="1" w:styleId="PiedepginaCar">
    <w:name w:val="Pie de página Car"/>
    <w:basedOn w:val="Fuentedeprrafopredeter"/>
    <w:link w:val="Piedepgina"/>
    <w:uiPriority w:val="99"/>
    <w:rsid w:val="00B2229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603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363"/>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1D7319"/>
    <w:rPr>
      <w:color w:val="0563C1" w:themeColor="hyperlink"/>
      <w:u w:val="single"/>
    </w:rPr>
  </w:style>
  <w:style w:type="paragraph" w:styleId="Sinespaciado">
    <w:name w:val="No Spacing"/>
    <w:link w:val="SinespaciadoCar"/>
    <w:uiPriority w:val="1"/>
    <w:qFormat/>
    <w:rsid w:val="001E5D6F"/>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1E5D6F"/>
    <w:rPr>
      <w:rFonts w:ascii="Calibri" w:eastAsia="Times New Roman" w:hAnsi="Calibri" w:cs="Times New Roman"/>
      <w:lang w:eastAsia="es-ES"/>
    </w:rPr>
  </w:style>
  <w:style w:type="paragraph" w:styleId="Encabezado">
    <w:name w:val="header"/>
    <w:basedOn w:val="Normal"/>
    <w:link w:val="EncabezadoCar"/>
    <w:uiPriority w:val="99"/>
    <w:unhideWhenUsed/>
    <w:rsid w:val="00A27873"/>
    <w:pPr>
      <w:tabs>
        <w:tab w:val="center" w:pos="4252"/>
        <w:tab w:val="right" w:pos="8504"/>
      </w:tabs>
    </w:pPr>
  </w:style>
  <w:style w:type="character" w:customStyle="1" w:styleId="EncabezadoCar">
    <w:name w:val="Encabezado Car"/>
    <w:basedOn w:val="Fuentedeprrafopredeter"/>
    <w:link w:val="Encabezado"/>
    <w:uiPriority w:val="99"/>
    <w:rsid w:val="00A2787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8B45-3703-4956-9102-B6FE704B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6</cp:revision>
  <cp:lastPrinted>2019-02-05T20:25:00Z</cp:lastPrinted>
  <dcterms:created xsi:type="dcterms:W3CDTF">2019-02-05T18:32:00Z</dcterms:created>
  <dcterms:modified xsi:type="dcterms:W3CDTF">2019-03-05T20:36:00Z</dcterms:modified>
</cp:coreProperties>
</file>