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53B" w:rsidRPr="00A5053B" w:rsidRDefault="00A5053B" w:rsidP="00A5053B">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8"/>
          <w:sz w:val="18"/>
          <w:szCs w:val="18"/>
          <w:lang w:val="es-419" w:eastAsia="fr-FR"/>
        </w:rPr>
      </w:pPr>
      <w:r w:rsidRPr="00A5053B">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5053B" w:rsidRPr="00A5053B" w:rsidRDefault="00A5053B" w:rsidP="00A5053B">
      <w:pPr>
        <w:jc w:val="both"/>
        <w:rPr>
          <w:rFonts w:ascii="Arial" w:eastAsia="Times New Roman" w:hAnsi="Arial" w:cs="Arial"/>
          <w:lang w:val="es-419"/>
        </w:rPr>
      </w:pPr>
    </w:p>
    <w:p w:rsidR="00A5053B" w:rsidRPr="00A5053B" w:rsidRDefault="00A5053B" w:rsidP="00A5053B">
      <w:pPr>
        <w:jc w:val="both"/>
        <w:rPr>
          <w:rFonts w:ascii="Arial" w:eastAsia="Times New Roman" w:hAnsi="Arial" w:cs="Arial"/>
          <w:b/>
          <w:bCs/>
          <w:iCs/>
          <w:lang w:val="es-419" w:eastAsia="fr-FR"/>
        </w:rPr>
      </w:pPr>
      <w:r w:rsidRPr="00A5053B">
        <w:rPr>
          <w:rFonts w:ascii="Arial" w:eastAsia="Times New Roman" w:hAnsi="Arial" w:cs="Arial"/>
          <w:b/>
          <w:bCs/>
          <w:iCs/>
          <w:lang w:val="es-419" w:eastAsia="fr-FR"/>
        </w:rPr>
        <w:t>TEMAS:</w:t>
      </w:r>
      <w:r w:rsidRPr="00A5053B">
        <w:rPr>
          <w:rFonts w:ascii="Arial" w:eastAsia="Times New Roman" w:hAnsi="Arial" w:cs="Arial"/>
          <w:b/>
          <w:bCs/>
          <w:iCs/>
          <w:lang w:val="es-419" w:eastAsia="fr-FR"/>
        </w:rPr>
        <w:tab/>
      </w:r>
      <w:r w:rsidR="00053EF6">
        <w:rPr>
          <w:rFonts w:ascii="Arial" w:eastAsia="Times New Roman" w:hAnsi="Arial" w:cs="Arial"/>
          <w:b/>
          <w:bCs/>
          <w:iCs/>
          <w:lang w:val="es-CO" w:eastAsia="fr-FR"/>
        </w:rPr>
        <w:t xml:space="preserve">RECURSO DE SÚPLICA / </w:t>
      </w:r>
      <w:r w:rsidR="00053EF6">
        <w:rPr>
          <w:rFonts w:ascii="Arial" w:eastAsia="Times New Roman" w:hAnsi="Arial" w:cs="Arial"/>
          <w:b/>
          <w:bCs/>
          <w:iCs/>
          <w:lang w:val="es-419" w:eastAsia="fr-FR"/>
        </w:rPr>
        <w:t>NULIDAD / ARTÍCULO 121 DEL CÓDIGO GENERAL DEL PROCESO / EL TÉRMINO PARA DICTAR SENTENCIA ES OBJETIVO Y LA NULIDAD OPERA DE PLENO DERECHO</w:t>
      </w:r>
      <w:r w:rsidR="00053EF6" w:rsidRPr="001961E8">
        <w:rPr>
          <w:rFonts w:ascii="Arial" w:eastAsia="Times New Roman" w:hAnsi="Arial" w:cs="Arial"/>
          <w:b/>
          <w:bCs/>
          <w:iCs/>
          <w:lang w:val="es-CO" w:eastAsia="fr-FR"/>
        </w:rPr>
        <w:t>.</w:t>
      </w:r>
      <w:r w:rsidRPr="00A5053B">
        <w:rPr>
          <w:rFonts w:ascii="Arial" w:eastAsia="Times New Roman" w:hAnsi="Arial" w:cs="Arial"/>
          <w:b/>
          <w:bCs/>
          <w:iCs/>
          <w:lang w:val="es-419" w:eastAsia="fr-FR"/>
        </w:rPr>
        <w:t xml:space="preserve"> </w:t>
      </w:r>
    </w:p>
    <w:p w:rsidR="00A5053B" w:rsidRPr="00A5053B" w:rsidRDefault="00A5053B" w:rsidP="00A5053B">
      <w:pPr>
        <w:jc w:val="both"/>
        <w:rPr>
          <w:rFonts w:ascii="Arial" w:eastAsia="Times New Roman" w:hAnsi="Arial" w:cs="Arial"/>
          <w:lang w:val="es-419"/>
        </w:rPr>
      </w:pPr>
    </w:p>
    <w:p w:rsidR="003E61EF" w:rsidRPr="003E61EF" w:rsidRDefault="003E61EF" w:rsidP="003E61EF">
      <w:pPr>
        <w:jc w:val="both"/>
        <w:rPr>
          <w:rFonts w:ascii="Arial" w:eastAsia="Times New Roman" w:hAnsi="Arial" w:cs="Arial"/>
          <w:lang w:val="es-419"/>
        </w:rPr>
      </w:pPr>
      <w:r w:rsidRPr="003E61EF">
        <w:rPr>
          <w:rFonts w:ascii="Arial" w:eastAsia="Times New Roman" w:hAnsi="Arial" w:cs="Arial"/>
          <w:lang w:val="es-419"/>
        </w:rPr>
        <w:t>En el caso que se examina</w:t>
      </w:r>
      <w:r>
        <w:rPr>
          <w:rFonts w:ascii="Arial" w:eastAsia="Times New Roman" w:hAnsi="Arial" w:cs="Arial"/>
          <w:lang w:val="es-CO"/>
        </w:rPr>
        <w:t>…</w:t>
      </w:r>
      <w:r w:rsidRPr="003E61EF">
        <w:rPr>
          <w:rFonts w:ascii="Arial" w:eastAsia="Times New Roman" w:hAnsi="Arial" w:cs="Arial"/>
          <w:lang w:val="es-419"/>
        </w:rPr>
        <w:t xml:space="preserve"> la providencia que se recurre fue proferida por el magistrado ponente, y por su naturaleza la decisión resiste el recurso de apelación -artículo 321 # 6 CGP- de donde surge que el pronunciamiento objeto de la censura puede ser atacado por la vía procesal de la súplica.  Resta por establecer si en verdad procedía la declaratoria de nulidad adoptada en este asunto. </w:t>
      </w:r>
    </w:p>
    <w:p w:rsidR="003E61EF" w:rsidRPr="003E61EF" w:rsidRDefault="003E61EF" w:rsidP="003E61EF">
      <w:pPr>
        <w:jc w:val="both"/>
        <w:rPr>
          <w:rFonts w:ascii="Arial" w:eastAsia="Times New Roman" w:hAnsi="Arial" w:cs="Arial"/>
          <w:lang w:val="es-419"/>
        </w:rPr>
      </w:pPr>
    </w:p>
    <w:p w:rsidR="003E61EF" w:rsidRPr="003E61EF" w:rsidRDefault="003E61EF" w:rsidP="003E61EF">
      <w:pPr>
        <w:jc w:val="both"/>
        <w:rPr>
          <w:rFonts w:ascii="Arial" w:eastAsia="Times New Roman" w:hAnsi="Arial" w:cs="Arial"/>
          <w:lang w:val="es-419"/>
        </w:rPr>
      </w:pPr>
      <w:r w:rsidRPr="003E61EF">
        <w:rPr>
          <w:rFonts w:ascii="Arial" w:eastAsia="Times New Roman" w:hAnsi="Arial" w:cs="Arial"/>
          <w:lang w:val="es-419"/>
        </w:rPr>
        <w:t>A términos del artículo 121 del Código General del Proceso “Salvo interrupción o suspensión del proceso por causa legal, no podrá transcurrir un lapso superior a un (1) año para dictar sentencia de primera o única instancia, contado a partir de la notificación del auto admisorio de la demanda o mandamiento ejecutivo a la parte demandada o ejecutada. (…)</w:t>
      </w:r>
    </w:p>
    <w:p w:rsidR="003E61EF" w:rsidRPr="003E61EF" w:rsidRDefault="003E61EF" w:rsidP="003E61EF">
      <w:pPr>
        <w:jc w:val="both"/>
        <w:rPr>
          <w:rFonts w:ascii="Arial" w:eastAsia="Times New Roman" w:hAnsi="Arial" w:cs="Arial"/>
          <w:lang w:val="es-419"/>
        </w:rPr>
      </w:pPr>
    </w:p>
    <w:p w:rsidR="003E61EF" w:rsidRPr="003E61EF" w:rsidRDefault="003E61EF" w:rsidP="003E61EF">
      <w:pPr>
        <w:jc w:val="both"/>
        <w:rPr>
          <w:rFonts w:ascii="Arial" w:eastAsia="Times New Roman" w:hAnsi="Arial" w:cs="Arial"/>
          <w:lang w:val="es-419"/>
        </w:rPr>
      </w:pPr>
      <w:r w:rsidRPr="003E61EF">
        <w:rPr>
          <w:rFonts w:ascii="Arial" w:eastAsia="Times New Roman" w:hAnsi="Arial" w:cs="Arial"/>
          <w:lang w:val="es-419"/>
        </w:rPr>
        <w:t>Será nula de pleno derecho la actuación posterior que realice el juez que haya perdido competencia para emitir la respectiva providencia.”</w:t>
      </w:r>
    </w:p>
    <w:p w:rsidR="003E61EF" w:rsidRPr="003E61EF" w:rsidRDefault="003E61EF" w:rsidP="003E61EF">
      <w:pPr>
        <w:jc w:val="both"/>
        <w:rPr>
          <w:rFonts w:ascii="Arial" w:eastAsia="Times New Roman" w:hAnsi="Arial" w:cs="Arial"/>
          <w:lang w:val="es-419"/>
        </w:rPr>
      </w:pPr>
    </w:p>
    <w:p w:rsidR="003E61EF" w:rsidRPr="003E61EF" w:rsidRDefault="003E61EF" w:rsidP="003E61EF">
      <w:pPr>
        <w:jc w:val="both"/>
        <w:rPr>
          <w:rFonts w:ascii="Arial" w:eastAsia="Times New Roman" w:hAnsi="Arial" w:cs="Arial"/>
          <w:lang w:val="es-419"/>
        </w:rPr>
      </w:pPr>
      <w:r w:rsidRPr="003E61EF">
        <w:rPr>
          <w:rFonts w:ascii="Arial" w:eastAsia="Times New Roman" w:hAnsi="Arial" w:cs="Arial"/>
          <w:lang w:val="es-419"/>
        </w:rPr>
        <w:t xml:space="preserve">Ahora, es indiscutible que la aplicación de la nulidad que propone la mentada norma no ha sido pacífica, puesto que una parte de la doctrina opina que esta es saneable, porque así lo era bajo la vigencia de la Ley 1395 de 2010 (parágrafo del artículo 9º), ya que si bien contemplaba la pérdida automática de la competencia, no imponía la sanción de nulidad a las actuaciones que se adelantaran una vez fenecido el plazo conferido al fallador para dirimir el litigio, lo que permitía predicar su saneabilidad, como lo proponen los recurrentes, apuntalados en sentencia T-341 de 2018. </w:t>
      </w:r>
    </w:p>
    <w:p w:rsidR="003E61EF" w:rsidRPr="003E61EF" w:rsidRDefault="003E61EF" w:rsidP="003E61EF">
      <w:pPr>
        <w:jc w:val="both"/>
        <w:rPr>
          <w:rFonts w:ascii="Arial" w:eastAsia="Times New Roman" w:hAnsi="Arial" w:cs="Arial"/>
          <w:lang w:val="es-419"/>
        </w:rPr>
      </w:pPr>
    </w:p>
    <w:p w:rsidR="003E61EF" w:rsidRPr="003E61EF" w:rsidRDefault="003E61EF" w:rsidP="003E61EF">
      <w:pPr>
        <w:jc w:val="both"/>
        <w:rPr>
          <w:rFonts w:ascii="Arial" w:eastAsia="Times New Roman" w:hAnsi="Arial" w:cs="Arial"/>
          <w:lang w:val="es-419"/>
        </w:rPr>
      </w:pPr>
      <w:r w:rsidRPr="003E61EF">
        <w:rPr>
          <w:rFonts w:ascii="Arial" w:eastAsia="Times New Roman" w:hAnsi="Arial" w:cs="Arial"/>
          <w:lang w:val="es-419"/>
        </w:rPr>
        <w:t xml:space="preserve">Pero otra parte de aquel grupo, desde un punto de vista estricto, exegético, objetivo o literal, consideran que la nulidad derivada del incumplimiento de los términos legales para fallar es insubsanable, porque al operar de pleno derecho, surte efectos aun sin necesidad de reconocimiento, de suerte que las actuaciones que se adelanten con posterioridad al vencimiento del término otorgado al funcionario judicial para fallar no pueden recobrar fuerza y, además, no admite saneamiento ni siquiera por el paso del tiempo o la inacción de las partes, incluso debe ser declarada así no se reclame. </w:t>
      </w:r>
    </w:p>
    <w:p w:rsidR="003E61EF" w:rsidRPr="003E61EF" w:rsidRDefault="003E61EF" w:rsidP="003E61EF">
      <w:pPr>
        <w:jc w:val="both"/>
        <w:rPr>
          <w:rFonts w:ascii="Arial" w:eastAsia="Times New Roman" w:hAnsi="Arial" w:cs="Arial"/>
          <w:lang w:val="es-419"/>
        </w:rPr>
      </w:pPr>
    </w:p>
    <w:p w:rsidR="00A5053B" w:rsidRPr="00FE5518" w:rsidRDefault="003E61EF" w:rsidP="003E61EF">
      <w:pPr>
        <w:jc w:val="both"/>
        <w:rPr>
          <w:rFonts w:ascii="Arial" w:eastAsia="Times New Roman" w:hAnsi="Arial" w:cs="Arial"/>
          <w:lang w:val="es-CO"/>
        </w:rPr>
      </w:pPr>
      <w:r w:rsidRPr="003E61EF">
        <w:rPr>
          <w:rFonts w:ascii="Arial" w:eastAsia="Times New Roman" w:hAnsi="Arial" w:cs="Arial"/>
          <w:lang w:val="es-419"/>
        </w:rPr>
        <w:t>Este último, es el criterio actual de la Sala de Casación Civil de la Corte Suprema de Justicia, como lo ha dejado en claro en varios proveídos, partiendo de la sentencia STC8849-2018 (11 de julio)</w:t>
      </w:r>
      <w:r w:rsidR="00FE5518">
        <w:rPr>
          <w:rFonts w:ascii="Arial" w:eastAsia="Times New Roman" w:hAnsi="Arial" w:cs="Arial"/>
          <w:lang w:val="es-CO"/>
        </w:rPr>
        <w:t>…</w:t>
      </w:r>
    </w:p>
    <w:p w:rsidR="00A5053B" w:rsidRPr="00A5053B" w:rsidRDefault="00A5053B" w:rsidP="00A5053B">
      <w:pPr>
        <w:jc w:val="both"/>
        <w:rPr>
          <w:rFonts w:ascii="Arial" w:eastAsia="Times New Roman" w:hAnsi="Arial" w:cs="Arial"/>
          <w:lang w:val="es-419"/>
        </w:rPr>
      </w:pPr>
    </w:p>
    <w:p w:rsidR="00FE5518" w:rsidRPr="00FE5518" w:rsidRDefault="00FE5518" w:rsidP="00FE5518">
      <w:pPr>
        <w:jc w:val="both"/>
        <w:rPr>
          <w:rFonts w:ascii="Arial" w:eastAsia="Times New Roman" w:hAnsi="Arial" w:cs="Arial"/>
          <w:lang w:val="es-419"/>
        </w:rPr>
      </w:pPr>
      <w:r w:rsidRPr="00FE5518">
        <w:rPr>
          <w:rFonts w:ascii="Arial" w:eastAsia="Times New Roman" w:hAnsi="Arial" w:cs="Arial"/>
          <w:lang w:val="es-419"/>
        </w:rPr>
        <w:t>Igualmente, en otro muy reciente proveído, sentencia STC-1553-2019 (14 de febrero), insistió en la aplicación objetiva del artículo 121 del CGP. Allí categóricamente expuso que:</w:t>
      </w:r>
    </w:p>
    <w:p w:rsidR="00FE5518" w:rsidRPr="00FE5518" w:rsidRDefault="00FE5518" w:rsidP="00FE5518">
      <w:pPr>
        <w:jc w:val="both"/>
        <w:rPr>
          <w:rFonts w:ascii="Arial" w:eastAsia="Times New Roman" w:hAnsi="Arial" w:cs="Arial"/>
          <w:lang w:val="es-419"/>
        </w:rPr>
      </w:pPr>
    </w:p>
    <w:p w:rsidR="00A5053B" w:rsidRPr="00053EF6" w:rsidRDefault="00FE5518" w:rsidP="00FE5518">
      <w:pPr>
        <w:jc w:val="both"/>
        <w:rPr>
          <w:rFonts w:ascii="Arial" w:eastAsia="Times New Roman" w:hAnsi="Arial" w:cs="Arial"/>
          <w:lang w:val="es-CO"/>
        </w:rPr>
      </w:pPr>
      <w:r w:rsidRPr="00FE5518">
        <w:rPr>
          <w:rFonts w:ascii="Arial" w:eastAsia="Times New Roman" w:hAnsi="Arial" w:cs="Arial"/>
          <w:lang w:val="es-419"/>
        </w:rPr>
        <w:t>“Así, correcto es entender que la circunstancia de no dictarse el respecto fallo en la oportunidad fijada por el legislador, trae consigo la inmediata pérdida de la competencia del juez, quien, por ende, no puede, a partir de la extinción del plazo para ello, adelantar actividad procesal alguna, al punto de que si la realiza, esta es nula, de pleno derecho</w:t>
      </w:r>
      <w:r w:rsidR="00053EF6">
        <w:rPr>
          <w:rFonts w:ascii="Arial" w:eastAsia="Times New Roman" w:hAnsi="Arial" w:cs="Arial"/>
          <w:lang w:val="es-CO"/>
        </w:rPr>
        <w:t>”</w:t>
      </w:r>
      <w:r w:rsidRPr="00FE5518">
        <w:rPr>
          <w:rFonts w:ascii="Arial" w:eastAsia="Times New Roman" w:hAnsi="Arial" w:cs="Arial"/>
          <w:lang w:val="es-419"/>
        </w:rPr>
        <w:t>.</w:t>
      </w:r>
      <w:r w:rsidR="00053EF6">
        <w:rPr>
          <w:rFonts w:ascii="Arial" w:eastAsia="Times New Roman" w:hAnsi="Arial" w:cs="Arial"/>
          <w:lang w:val="es-CO"/>
        </w:rPr>
        <w:t xml:space="preserve"> (…)</w:t>
      </w:r>
    </w:p>
    <w:p w:rsidR="00A5053B" w:rsidRPr="00A5053B" w:rsidRDefault="00A5053B" w:rsidP="00A5053B">
      <w:pPr>
        <w:jc w:val="both"/>
        <w:rPr>
          <w:rFonts w:ascii="Arial" w:eastAsia="Times New Roman" w:hAnsi="Arial" w:cs="Arial"/>
          <w:lang w:val="es-419"/>
        </w:rPr>
      </w:pPr>
    </w:p>
    <w:p w:rsidR="00A5053B" w:rsidRPr="00A5053B" w:rsidRDefault="00A5053B" w:rsidP="00A5053B">
      <w:pPr>
        <w:jc w:val="both"/>
        <w:rPr>
          <w:rFonts w:ascii="Arial" w:eastAsia="Times New Roman" w:hAnsi="Arial" w:cs="Arial"/>
          <w:lang w:val="es-419"/>
        </w:rPr>
      </w:pPr>
    </w:p>
    <w:p w:rsidR="00A5053B" w:rsidRPr="00A5053B" w:rsidRDefault="00A5053B" w:rsidP="00A5053B">
      <w:pPr>
        <w:jc w:val="both"/>
        <w:rPr>
          <w:rFonts w:ascii="Arial" w:eastAsia="Times New Roman" w:hAnsi="Arial" w:cs="Arial"/>
          <w:lang w:val="es-419"/>
        </w:rPr>
      </w:pPr>
    </w:p>
    <w:p w:rsidR="00923A51" w:rsidRPr="00CD4F54" w:rsidRDefault="00923A51" w:rsidP="00CD4F54">
      <w:pPr>
        <w:spacing w:line="288" w:lineRule="auto"/>
        <w:ind w:left="2124" w:firstLine="708"/>
        <w:rPr>
          <w:rFonts w:ascii="Arial" w:hAnsi="Arial" w:cs="Arial"/>
          <w:b/>
          <w:bCs/>
          <w:sz w:val="24"/>
          <w:szCs w:val="24"/>
          <w:lang w:val="es-419"/>
        </w:rPr>
      </w:pPr>
      <w:r w:rsidRPr="00CD4F54">
        <w:rPr>
          <w:rFonts w:ascii="Arial" w:hAnsi="Arial" w:cs="Arial"/>
          <w:b/>
          <w:bCs/>
          <w:sz w:val="24"/>
          <w:szCs w:val="24"/>
          <w:lang w:val="es-419"/>
        </w:rPr>
        <w:t>TRIBUNAL SUPERIOR DE PEREIRA</w:t>
      </w:r>
    </w:p>
    <w:p w:rsidR="00923A51" w:rsidRPr="00CD4F54" w:rsidRDefault="00923A51" w:rsidP="00CD4F54">
      <w:pPr>
        <w:spacing w:line="288" w:lineRule="auto"/>
        <w:ind w:left="2124" w:firstLine="708"/>
        <w:rPr>
          <w:rFonts w:ascii="Arial" w:hAnsi="Arial" w:cs="Arial"/>
          <w:b/>
          <w:bCs/>
          <w:sz w:val="24"/>
          <w:szCs w:val="24"/>
          <w:lang w:val="es-419"/>
        </w:rPr>
      </w:pPr>
      <w:r w:rsidRPr="00CD4F54">
        <w:rPr>
          <w:rFonts w:ascii="Arial" w:hAnsi="Arial" w:cs="Arial"/>
          <w:b/>
          <w:bCs/>
          <w:sz w:val="24"/>
          <w:szCs w:val="24"/>
          <w:lang w:val="es-419"/>
        </w:rPr>
        <w:t>Sala de Decisión Civil Familia Dual</w:t>
      </w:r>
    </w:p>
    <w:p w:rsidR="00923A51" w:rsidRPr="00CD4F54" w:rsidRDefault="00923A51" w:rsidP="00CD4F54">
      <w:pPr>
        <w:spacing w:line="288" w:lineRule="auto"/>
        <w:rPr>
          <w:rFonts w:ascii="Arial" w:hAnsi="Arial" w:cs="Arial"/>
          <w:bCs/>
          <w:sz w:val="24"/>
          <w:szCs w:val="24"/>
          <w:lang w:val="es-419"/>
        </w:rPr>
      </w:pPr>
    </w:p>
    <w:p w:rsidR="00923A51" w:rsidRPr="00CD4F54" w:rsidRDefault="00923A51" w:rsidP="00CD4F54">
      <w:pPr>
        <w:pStyle w:val="Sinespaciado"/>
        <w:spacing w:line="288" w:lineRule="auto"/>
        <w:ind w:left="4239" w:hanging="1407"/>
        <w:rPr>
          <w:rFonts w:ascii="Arial" w:hAnsi="Arial" w:cs="Arial"/>
          <w:b/>
          <w:sz w:val="24"/>
          <w:szCs w:val="24"/>
          <w:lang w:val="es-419"/>
        </w:rPr>
      </w:pPr>
      <w:r w:rsidRPr="00CD4F54">
        <w:rPr>
          <w:rFonts w:ascii="Arial" w:hAnsi="Arial" w:cs="Arial"/>
          <w:sz w:val="24"/>
          <w:szCs w:val="24"/>
          <w:lang w:val="es-419"/>
        </w:rPr>
        <w:t>Magistrado:</w:t>
      </w:r>
      <w:r w:rsidRPr="00CD4F54">
        <w:rPr>
          <w:rFonts w:ascii="Arial" w:hAnsi="Arial" w:cs="Arial"/>
          <w:b/>
          <w:sz w:val="24"/>
          <w:szCs w:val="24"/>
          <w:lang w:val="es-419"/>
        </w:rPr>
        <w:tab/>
        <w:t xml:space="preserve">   EDDER JIMMY SÁNCHEZ CALAMBÁS</w:t>
      </w:r>
    </w:p>
    <w:p w:rsidR="00923A51" w:rsidRPr="00CD4F54" w:rsidRDefault="00923A51" w:rsidP="00CD4F54">
      <w:pPr>
        <w:pStyle w:val="Sinespaciado"/>
        <w:spacing w:line="288" w:lineRule="auto"/>
        <w:ind w:left="4239" w:hanging="1407"/>
        <w:rPr>
          <w:rFonts w:ascii="Arial" w:hAnsi="Arial" w:cs="Arial"/>
          <w:sz w:val="24"/>
          <w:szCs w:val="24"/>
          <w:lang w:val="es-419"/>
        </w:rPr>
      </w:pPr>
      <w:r w:rsidRPr="00CD4F54">
        <w:rPr>
          <w:rFonts w:ascii="Arial" w:hAnsi="Arial" w:cs="Arial"/>
          <w:sz w:val="24"/>
          <w:szCs w:val="24"/>
          <w:lang w:val="es-419"/>
        </w:rPr>
        <w:t>Fecha:</w:t>
      </w:r>
      <w:r w:rsidRPr="00CD4F54">
        <w:rPr>
          <w:rFonts w:ascii="Arial" w:hAnsi="Arial" w:cs="Arial"/>
          <w:sz w:val="24"/>
          <w:szCs w:val="24"/>
          <w:lang w:val="es-419"/>
        </w:rPr>
        <w:tab/>
        <w:t xml:space="preserve">   </w:t>
      </w:r>
      <w:r w:rsidR="007266E9" w:rsidRPr="00CD4F54">
        <w:rPr>
          <w:rFonts w:ascii="Arial" w:hAnsi="Arial" w:cs="Arial"/>
          <w:sz w:val="24"/>
          <w:szCs w:val="24"/>
          <w:lang w:val="es-419"/>
        </w:rPr>
        <w:t>doce</w:t>
      </w:r>
      <w:r w:rsidRPr="00CD4F54">
        <w:rPr>
          <w:rFonts w:ascii="Arial" w:hAnsi="Arial" w:cs="Arial"/>
          <w:sz w:val="24"/>
          <w:szCs w:val="24"/>
          <w:lang w:val="es-419"/>
        </w:rPr>
        <w:t xml:space="preserve"> de agosto dos mil diecinueve</w:t>
      </w:r>
    </w:p>
    <w:p w:rsidR="00923A51" w:rsidRPr="00CD4F54" w:rsidRDefault="00923A51" w:rsidP="00CD4F54">
      <w:pPr>
        <w:pStyle w:val="Sinespaciado"/>
        <w:spacing w:line="288" w:lineRule="auto"/>
        <w:ind w:left="4239" w:hanging="1407"/>
        <w:rPr>
          <w:rFonts w:ascii="Arial" w:hAnsi="Arial" w:cs="Arial"/>
          <w:sz w:val="24"/>
          <w:szCs w:val="24"/>
          <w:lang w:val="es-419"/>
        </w:rPr>
      </w:pPr>
    </w:p>
    <w:p w:rsidR="00923A51" w:rsidRPr="00CD4F54" w:rsidRDefault="00923A51" w:rsidP="00CD4F54">
      <w:pPr>
        <w:pStyle w:val="Sinespaciado"/>
        <w:spacing w:line="288" w:lineRule="auto"/>
        <w:ind w:left="4239" w:hanging="1407"/>
        <w:rPr>
          <w:rFonts w:ascii="Arial" w:hAnsi="Arial" w:cs="Arial"/>
          <w:sz w:val="24"/>
          <w:szCs w:val="24"/>
          <w:lang w:val="es-419"/>
        </w:rPr>
      </w:pPr>
      <w:r w:rsidRPr="00CD4F54">
        <w:rPr>
          <w:rFonts w:ascii="Arial" w:hAnsi="Arial" w:cs="Arial"/>
          <w:sz w:val="24"/>
          <w:szCs w:val="24"/>
          <w:lang w:val="es-419"/>
        </w:rPr>
        <w:t xml:space="preserve">Proceso: </w:t>
      </w:r>
      <w:r w:rsidRPr="00CD4F54">
        <w:rPr>
          <w:rFonts w:ascii="Arial" w:hAnsi="Arial" w:cs="Arial"/>
          <w:sz w:val="24"/>
          <w:szCs w:val="24"/>
          <w:lang w:val="es-419"/>
        </w:rPr>
        <w:tab/>
        <w:t xml:space="preserve">   Responsabilidad médica</w:t>
      </w:r>
    </w:p>
    <w:p w:rsidR="00923A51" w:rsidRPr="00CD4F54" w:rsidRDefault="00923A51" w:rsidP="00CD4F54">
      <w:pPr>
        <w:pStyle w:val="Sinespaciado"/>
        <w:spacing w:line="288" w:lineRule="auto"/>
        <w:ind w:left="2124" w:firstLine="708"/>
        <w:rPr>
          <w:rFonts w:ascii="Arial" w:hAnsi="Arial" w:cs="Arial"/>
          <w:sz w:val="24"/>
          <w:szCs w:val="24"/>
          <w:lang w:val="es-419"/>
        </w:rPr>
      </w:pPr>
      <w:r w:rsidRPr="00CD4F54">
        <w:rPr>
          <w:rFonts w:ascii="Arial" w:hAnsi="Arial" w:cs="Arial"/>
          <w:sz w:val="24"/>
          <w:szCs w:val="24"/>
          <w:lang w:val="es-419"/>
        </w:rPr>
        <w:t>Expediente:</w:t>
      </w:r>
      <w:r w:rsidRPr="00CD4F54">
        <w:rPr>
          <w:rFonts w:ascii="Arial" w:hAnsi="Arial" w:cs="Arial"/>
          <w:sz w:val="24"/>
          <w:szCs w:val="24"/>
          <w:lang w:val="es-419"/>
        </w:rPr>
        <w:tab/>
        <w:t xml:space="preserve">   66001-31-03-004-2016-00414-01</w:t>
      </w:r>
    </w:p>
    <w:p w:rsidR="00923A51" w:rsidRPr="00CD4F54" w:rsidRDefault="00923A51" w:rsidP="00CD4F54">
      <w:pPr>
        <w:pStyle w:val="Sinespaciado"/>
        <w:spacing w:line="288" w:lineRule="auto"/>
        <w:ind w:left="4239" w:hanging="1407"/>
        <w:rPr>
          <w:rFonts w:ascii="Arial" w:hAnsi="Arial" w:cs="Arial"/>
          <w:sz w:val="24"/>
          <w:szCs w:val="24"/>
          <w:lang w:val="es-419"/>
        </w:rPr>
      </w:pPr>
      <w:r w:rsidRPr="00CD4F54">
        <w:rPr>
          <w:rFonts w:ascii="Arial" w:hAnsi="Arial" w:cs="Arial"/>
          <w:sz w:val="24"/>
          <w:szCs w:val="24"/>
          <w:lang w:val="es-419"/>
        </w:rPr>
        <w:t>Demandantes: Gloria Elena Montoya Gutiérrez y otros</w:t>
      </w:r>
    </w:p>
    <w:p w:rsidR="00923A51" w:rsidRPr="00CD4F54" w:rsidRDefault="00923A51" w:rsidP="00CD4F54">
      <w:pPr>
        <w:pStyle w:val="Sinespaciado"/>
        <w:spacing w:line="288" w:lineRule="auto"/>
        <w:ind w:left="4239" w:hanging="1407"/>
        <w:rPr>
          <w:rFonts w:ascii="Arial" w:hAnsi="Arial" w:cs="Arial"/>
          <w:sz w:val="24"/>
          <w:szCs w:val="24"/>
          <w:lang w:val="es-419"/>
        </w:rPr>
      </w:pPr>
      <w:r w:rsidRPr="00CD4F54">
        <w:rPr>
          <w:rFonts w:ascii="Arial" w:hAnsi="Arial" w:cs="Arial"/>
          <w:sz w:val="24"/>
          <w:szCs w:val="24"/>
          <w:lang w:val="es-419"/>
        </w:rPr>
        <w:t>Demandados</w:t>
      </w:r>
      <w:r w:rsidR="0060324A" w:rsidRPr="00CD4F54">
        <w:rPr>
          <w:rFonts w:ascii="Arial" w:hAnsi="Arial" w:cs="Arial"/>
          <w:sz w:val="24"/>
          <w:szCs w:val="24"/>
          <w:lang w:val="es-419"/>
        </w:rPr>
        <w:t>: Clínica</w:t>
      </w:r>
      <w:r w:rsidRPr="00CD4F54">
        <w:rPr>
          <w:rFonts w:ascii="Arial" w:hAnsi="Arial" w:cs="Arial"/>
          <w:sz w:val="24"/>
          <w:szCs w:val="24"/>
          <w:lang w:val="es-419"/>
        </w:rPr>
        <w:t xml:space="preserve"> Los Rosales y otros</w:t>
      </w:r>
    </w:p>
    <w:p w:rsidR="00923A51" w:rsidRPr="00CD4F54" w:rsidRDefault="00923A51" w:rsidP="00CD4F54">
      <w:pPr>
        <w:pStyle w:val="Sinespaciado"/>
        <w:spacing w:line="288" w:lineRule="auto"/>
        <w:rPr>
          <w:rFonts w:ascii="Arial" w:hAnsi="Arial" w:cs="Arial"/>
          <w:b/>
          <w:sz w:val="24"/>
          <w:szCs w:val="24"/>
          <w:lang w:val="es-419"/>
        </w:rPr>
      </w:pPr>
    </w:p>
    <w:p w:rsidR="00923A51" w:rsidRPr="00CD4F54" w:rsidRDefault="00923A51" w:rsidP="00CD4F54">
      <w:pPr>
        <w:pStyle w:val="Sinespaciado"/>
        <w:spacing w:line="288" w:lineRule="auto"/>
        <w:rPr>
          <w:rFonts w:ascii="Arial" w:hAnsi="Arial" w:cs="Arial"/>
          <w:b/>
          <w:sz w:val="24"/>
          <w:szCs w:val="24"/>
          <w:lang w:val="es-419"/>
        </w:rPr>
      </w:pPr>
    </w:p>
    <w:p w:rsidR="00923A51" w:rsidRPr="00CD4F54" w:rsidRDefault="00923A51" w:rsidP="00CD4F54">
      <w:pPr>
        <w:pStyle w:val="Sinespaciado1"/>
        <w:tabs>
          <w:tab w:val="left" w:pos="2410"/>
        </w:tabs>
        <w:spacing w:line="288" w:lineRule="auto"/>
        <w:ind w:firstLine="2835"/>
        <w:jc w:val="both"/>
        <w:rPr>
          <w:rFonts w:ascii="Arial" w:hAnsi="Arial" w:cs="Arial"/>
          <w:b/>
          <w:bCs/>
          <w:sz w:val="24"/>
          <w:szCs w:val="24"/>
          <w:lang w:val="es-419"/>
        </w:rPr>
      </w:pPr>
      <w:r w:rsidRPr="00CD4F54">
        <w:rPr>
          <w:rFonts w:ascii="Arial" w:hAnsi="Arial" w:cs="Arial"/>
          <w:b/>
          <w:bCs/>
          <w:sz w:val="24"/>
          <w:szCs w:val="24"/>
          <w:lang w:val="es-419"/>
        </w:rPr>
        <w:lastRenderedPageBreak/>
        <w:t>I. ASUNTO</w:t>
      </w:r>
    </w:p>
    <w:p w:rsidR="00923A51" w:rsidRPr="00CD4F54" w:rsidRDefault="00923A51" w:rsidP="00CD4F54">
      <w:pPr>
        <w:pStyle w:val="Sinespaciado1"/>
        <w:tabs>
          <w:tab w:val="left" w:pos="2410"/>
        </w:tabs>
        <w:spacing w:line="288" w:lineRule="auto"/>
        <w:ind w:firstLine="2835"/>
        <w:jc w:val="both"/>
        <w:rPr>
          <w:rFonts w:ascii="Arial" w:hAnsi="Arial" w:cs="Arial"/>
          <w:bCs/>
          <w:sz w:val="24"/>
          <w:szCs w:val="24"/>
          <w:lang w:val="es-419"/>
        </w:rPr>
      </w:pPr>
    </w:p>
    <w:p w:rsidR="00923A51" w:rsidRPr="00CD4F54" w:rsidRDefault="00923A51" w:rsidP="00CD4F54">
      <w:pPr>
        <w:pStyle w:val="Sinespaciado1"/>
        <w:tabs>
          <w:tab w:val="left" w:pos="2410"/>
        </w:tabs>
        <w:spacing w:line="288" w:lineRule="auto"/>
        <w:ind w:firstLine="2835"/>
        <w:jc w:val="both"/>
        <w:rPr>
          <w:rFonts w:ascii="Arial" w:hAnsi="Arial" w:cs="Arial"/>
          <w:bCs/>
          <w:sz w:val="24"/>
          <w:szCs w:val="24"/>
          <w:lang w:val="es-419"/>
        </w:rPr>
      </w:pPr>
      <w:r w:rsidRPr="00CD4F54">
        <w:rPr>
          <w:rFonts w:ascii="Arial" w:hAnsi="Arial" w:cs="Arial"/>
          <w:bCs/>
          <w:sz w:val="24"/>
          <w:szCs w:val="24"/>
          <w:lang w:val="es-419"/>
        </w:rPr>
        <w:t xml:space="preserve">Se decide el recurso de súplica instaurado por los apoderados judiciales de la llamada en garantía </w:t>
      </w:r>
      <w:r w:rsidRPr="00CD4F54">
        <w:rPr>
          <w:rFonts w:ascii="Arial" w:hAnsi="Arial" w:cs="Arial"/>
          <w:b/>
          <w:bCs/>
          <w:sz w:val="24"/>
          <w:szCs w:val="24"/>
          <w:lang w:val="es-419"/>
        </w:rPr>
        <w:t xml:space="preserve">LIBERTY SEGUROS S.A. </w:t>
      </w:r>
      <w:r w:rsidRPr="00CD4F54">
        <w:rPr>
          <w:rFonts w:ascii="Arial" w:hAnsi="Arial" w:cs="Arial"/>
          <w:bCs/>
          <w:sz w:val="24"/>
          <w:szCs w:val="24"/>
          <w:lang w:val="es-419"/>
        </w:rPr>
        <w:t xml:space="preserve">y la demandada </w:t>
      </w:r>
      <w:r w:rsidRPr="00CD4F54">
        <w:rPr>
          <w:rFonts w:ascii="Arial" w:hAnsi="Arial" w:cs="Arial"/>
          <w:b/>
          <w:bCs/>
          <w:sz w:val="24"/>
          <w:szCs w:val="24"/>
          <w:lang w:val="es-419"/>
        </w:rPr>
        <w:t>NUEVA EPS</w:t>
      </w:r>
      <w:r w:rsidRPr="00CD4F54">
        <w:rPr>
          <w:rFonts w:ascii="Arial" w:hAnsi="Arial" w:cs="Arial"/>
          <w:bCs/>
          <w:sz w:val="24"/>
          <w:szCs w:val="24"/>
          <w:lang w:val="es-419"/>
        </w:rPr>
        <w:t>, contra el auto de fecha 17 de julio hogaño, proferido en Sala Unitaria.</w:t>
      </w:r>
    </w:p>
    <w:p w:rsidR="00923A51" w:rsidRPr="00CD4F54" w:rsidRDefault="00923A51" w:rsidP="00CD4F54">
      <w:pPr>
        <w:pStyle w:val="Sinespaciado1"/>
        <w:tabs>
          <w:tab w:val="left" w:pos="2410"/>
        </w:tabs>
        <w:spacing w:line="288" w:lineRule="auto"/>
        <w:ind w:firstLine="2835"/>
        <w:jc w:val="both"/>
        <w:rPr>
          <w:rFonts w:ascii="Arial" w:hAnsi="Arial" w:cs="Arial"/>
          <w:bCs/>
          <w:sz w:val="24"/>
          <w:szCs w:val="24"/>
          <w:lang w:val="es-419"/>
        </w:rPr>
      </w:pPr>
    </w:p>
    <w:p w:rsidR="00923A51" w:rsidRPr="00CD4F54" w:rsidRDefault="00923A51" w:rsidP="00CD4F54">
      <w:pPr>
        <w:pStyle w:val="Sinespaciado1"/>
        <w:spacing w:line="288" w:lineRule="auto"/>
        <w:ind w:firstLine="2880"/>
        <w:jc w:val="both"/>
        <w:rPr>
          <w:rFonts w:ascii="Arial" w:hAnsi="Arial" w:cs="Arial"/>
          <w:b/>
          <w:sz w:val="24"/>
          <w:szCs w:val="24"/>
          <w:lang w:val="es-419" w:eastAsia="es-ES"/>
        </w:rPr>
      </w:pPr>
      <w:r w:rsidRPr="00CD4F54">
        <w:rPr>
          <w:rFonts w:ascii="Arial" w:hAnsi="Arial" w:cs="Arial"/>
          <w:b/>
          <w:bCs/>
          <w:sz w:val="24"/>
          <w:szCs w:val="24"/>
          <w:lang w:val="es-419" w:eastAsia="es-ES"/>
        </w:rPr>
        <w:t>II. ANTECEDENTES</w:t>
      </w:r>
    </w:p>
    <w:p w:rsidR="00923A51" w:rsidRPr="00CD4F54" w:rsidRDefault="00923A51" w:rsidP="00CD4F54">
      <w:pPr>
        <w:pStyle w:val="Sinespaciado1"/>
        <w:spacing w:line="288" w:lineRule="auto"/>
        <w:ind w:firstLine="2880"/>
        <w:jc w:val="both"/>
        <w:rPr>
          <w:rFonts w:ascii="Arial" w:hAnsi="Arial" w:cs="Arial"/>
          <w:bCs/>
          <w:sz w:val="24"/>
          <w:szCs w:val="24"/>
          <w:lang w:val="es-419" w:eastAsia="es-ES"/>
        </w:rPr>
      </w:pPr>
    </w:p>
    <w:p w:rsidR="00923A51" w:rsidRPr="00CD4F54" w:rsidRDefault="00923A51" w:rsidP="00CD4F54">
      <w:pPr>
        <w:pStyle w:val="Sinespaciado1"/>
        <w:spacing w:line="288" w:lineRule="auto"/>
        <w:ind w:firstLine="2880"/>
        <w:jc w:val="both"/>
        <w:rPr>
          <w:rFonts w:ascii="Arial" w:hAnsi="Arial" w:cs="Arial"/>
          <w:sz w:val="24"/>
          <w:szCs w:val="24"/>
          <w:lang w:val="es-419"/>
        </w:rPr>
      </w:pPr>
      <w:r w:rsidRPr="00CD4F54">
        <w:rPr>
          <w:rFonts w:ascii="Arial" w:hAnsi="Arial" w:cs="Arial"/>
          <w:b/>
          <w:sz w:val="24"/>
          <w:szCs w:val="24"/>
          <w:lang w:val="es-419"/>
        </w:rPr>
        <w:t>1.</w:t>
      </w:r>
      <w:r w:rsidRPr="00CD4F54">
        <w:rPr>
          <w:rFonts w:ascii="Arial" w:hAnsi="Arial" w:cs="Arial"/>
          <w:sz w:val="24"/>
          <w:szCs w:val="24"/>
          <w:lang w:val="es-419"/>
        </w:rPr>
        <w:t xml:space="preserve"> Dan cuenta las diligencias que, mediante el auto recurrido, el magistrado a quien correspondió el conocimiento </w:t>
      </w:r>
      <w:r w:rsidR="005973D4" w:rsidRPr="00CD4F54">
        <w:rPr>
          <w:rFonts w:ascii="Arial" w:hAnsi="Arial" w:cs="Arial"/>
          <w:sz w:val="24"/>
          <w:szCs w:val="24"/>
          <w:lang w:val="es-419"/>
        </w:rPr>
        <w:t xml:space="preserve">en segunda instancia </w:t>
      </w:r>
      <w:r w:rsidRPr="00CD4F54">
        <w:rPr>
          <w:rFonts w:ascii="Arial" w:hAnsi="Arial" w:cs="Arial"/>
          <w:sz w:val="24"/>
          <w:szCs w:val="24"/>
          <w:lang w:val="es-419"/>
        </w:rPr>
        <w:t xml:space="preserve">del presente asunto, en observancia de lo dispuesto en el artículo </w:t>
      </w:r>
      <w:r w:rsidR="005973D4" w:rsidRPr="00CD4F54">
        <w:rPr>
          <w:rFonts w:ascii="Arial" w:hAnsi="Arial" w:cs="Arial"/>
          <w:sz w:val="24"/>
          <w:szCs w:val="24"/>
          <w:lang w:val="es-419"/>
        </w:rPr>
        <w:t>121</w:t>
      </w:r>
      <w:r w:rsidRPr="00CD4F54">
        <w:rPr>
          <w:rFonts w:ascii="Arial" w:hAnsi="Arial" w:cs="Arial"/>
          <w:sz w:val="24"/>
          <w:szCs w:val="24"/>
          <w:lang w:val="es-419"/>
        </w:rPr>
        <w:t xml:space="preserve"> del Código General del Proceso, declaró la nulidad de lo actuado a partir del 22 de abril de 2019, al considerar que tuvo lugar la nulidad de pleno derecho de que trata la mentada norma, </w:t>
      </w:r>
      <w:r w:rsidR="000B2FE9" w:rsidRPr="00CD4F54">
        <w:rPr>
          <w:rFonts w:ascii="Arial" w:hAnsi="Arial" w:cs="Arial"/>
          <w:sz w:val="24"/>
          <w:szCs w:val="24"/>
          <w:lang w:val="es-419"/>
        </w:rPr>
        <w:t>por</w:t>
      </w:r>
      <w:r w:rsidRPr="00CD4F54">
        <w:rPr>
          <w:rFonts w:ascii="Arial" w:hAnsi="Arial" w:cs="Arial"/>
          <w:sz w:val="24"/>
          <w:szCs w:val="24"/>
          <w:lang w:val="es-419"/>
        </w:rPr>
        <w:t xml:space="preserve"> haberse puesto fin a la instancia con posterioridad al año con qu</w:t>
      </w:r>
      <w:r w:rsidR="000B2FE9" w:rsidRPr="00CD4F54">
        <w:rPr>
          <w:rFonts w:ascii="Arial" w:hAnsi="Arial" w:cs="Arial"/>
          <w:sz w:val="24"/>
          <w:szCs w:val="24"/>
          <w:lang w:val="es-419"/>
        </w:rPr>
        <w:t>e se contaba para tal finalidad y dispuso devolver el expediente al juzgado de origen</w:t>
      </w:r>
      <w:r w:rsidR="00994AD5" w:rsidRPr="00CD4F54">
        <w:rPr>
          <w:rFonts w:ascii="Arial" w:hAnsi="Arial" w:cs="Arial"/>
          <w:sz w:val="24"/>
          <w:szCs w:val="24"/>
          <w:lang w:val="es-419"/>
        </w:rPr>
        <w:t>.</w:t>
      </w:r>
    </w:p>
    <w:p w:rsidR="00923A51" w:rsidRPr="00CD4F54" w:rsidRDefault="00923A51" w:rsidP="00CD4F54">
      <w:pPr>
        <w:pStyle w:val="Sinespaciado1"/>
        <w:spacing w:line="288" w:lineRule="auto"/>
        <w:ind w:firstLine="2880"/>
        <w:jc w:val="both"/>
        <w:rPr>
          <w:rFonts w:ascii="Arial" w:hAnsi="Arial" w:cs="Arial"/>
          <w:sz w:val="24"/>
          <w:szCs w:val="24"/>
          <w:lang w:val="es-419"/>
        </w:rPr>
      </w:pPr>
    </w:p>
    <w:p w:rsidR="00923A51" w:rsidRPr="00CD4F54" w:rsidRDefault="00923A51" w:rsidP="00CD4F54">
      <w:pPr>
        <w:pStyle w:val="Sinespaciado1"/>
        <w:spacing w:line="288" w:lineRule="auto"/>
        <w:ind w:firstLine="2880"/>
        <w:jc w:val="both"/>
        <w:rPr>
          <w:rFonts w:ascii="Arial" w:hAnsi="Arial" w:cs="Arial"/>
          <w:sz w:val="24"/>
          <w:szCs w:val="24"/>
          <w:lang w:val="es-419"/>
        </w:rPr>
      </w:pPr>
      <w:r w:rsidRPr="00CD4F54">
        <w:rPr>
          <w:rFonts w:ascii="Arial" w:hAnsi="Arial" w:cs="Arial"/>
          <w:sz w:val="24"/>
          <w:szCs w:val="24"/>
          <w:lang w:val="es-419"/>
        </w:rPr>
        <w:t xml:space="preserve">La llamada en garantía </w:t>
      </w:r>
      <w:r w:rsidRPr="00CD4F54">
        <w:rPr>
          <w:rFonts w:ascii="Arial" w:hAnsi="Arial" w:cs="Arial"/>
          <w:bCs/>
          <w:sz w:val="24"/>
          <w:szCs w:val="24"/>
          <w:lang w:val="es-419"/>
        </w:rPr>
        <w:t>garantía L</w:t>
      </w:r>
      <w:r w:rsidR="00E11270" w:rsidRPr="00CD4F54">
        <w:rPr>
          <w:rFonts w:ascii="Arial" w:hAnsi="Arial" w:cs="Arial"/>
          <w:bCs/>
          <w:sz w:val="24"/>
          <w:szCs w:val="24"/>
          <w:lang w:val="es-419"/>
        </w:rPr>
        <w:t>iberty Seguros</w:t>
      </w:r>
      <w:r w:rsidRPr="00CD4F54">
        <w:rPr>
          <w:rFonts w:ascii="Arial" w:hAnsi="Arial" w:cs="Arial"/>
          <w:bCs/>
          <w:sz w:val="24"/>
          <w:szCs w:val="24"/>
          <w:lang w:val="es-419"/>
        </w:rPr>
        <w:t xml:space="preserve"> S.A.</w:t>
      </w:r>
      <w:r w:rsidR="00117C84">
        <w:rPr>
          <w:rFonts w:ascii="Arial" w:hAnsi="Arial" w:cs="Arial"/>
          <w:bCs/>
          <w:sz w:val="24"/>
          <w:szCs w:val="24"/>
        </w:rPr>
        <w:t xml:space="preserve"> </w:t>
      </w:r>
      <w:r w:rsidRPr="00CD4F54">
        <w:rPr>
          <w:rFonts w:ascii="Arial" w:hAnsi="Arial" w:cs="Arial"/>
          <w:bCs/>
          <w:sz w:val="24"/>
          <w:szCs w:val="24"/>
          <w:lang w:val="es-419"/>
        </w:rPr>
        <w:t>y la codemandada N</w:t>
      </w:r>
      <w:r w:rsidR="00E11270" w:rsidRPr="00CD4F54">
        <w:rPr>
          <w:rFonts w:ascii="Arial" w:hAnsi="Arial" w:cs="Arial"/>
          <w:bCs/>
          <w:sz w:val="24"/>
          <w:szCs w:val="24"/>
          <w:lang w:val="es-419"/>
        </w:rPr>
        <w:t>ueve</w:t>
      </w:r>
      <w:r w:rsidRPr="00CD4F54">
        <w:rPr>
          <w:rFonts w:ascii="Arial" w:hAnsi="Arial" w:cs="Arial"/>
          <w:bCs/>
          <w:sz w:val="24"/>
          <w:szCs w:val="24"/>
          <w:lang w:val="es-419"/>
        </w:rPr>
        <w:t xml:space="preserve"> EPS,</w:t>
      </w:r>
      <w:r w:rsidRPr="00CD4F54">
        <w:rPr>
          <w:rFonts w:ascii="Arial" w:hAnsi="Arial" w:cs="Arial"/>
          <w:sz w:val="24"/>
          <w:szCs w:val="24"/>
          <w:lang w:val="es-419"/>
        </w:rPr>
        <w:t xml:space="preserve"> por la vía de la súplica pretenden se revoque dicho auto y en su lugar se dé trámite a</w:t>
      </w:r>
      <w:r w:rsidR="007C374F" w:rsidRPr="00CD4F54">
        <w:rPr>
          <w:rFonts w:ascii="Arial" w:hAnsi="Arial" w:cs="Arial"/>
          <w:sz w:val="24"/>
          <w:szCs w:val="24"/>
          <w:lang w:val="es-419"/>
        </w:rPr>
        <w:t xml:space="preserve"> la alzada</w:t>
      </w:r>
      <w:r w:rsidRPr="00CD4F54">
        <w:rPr>
          <w:rFonts w:ascii="Arial" w:hAnsi="Arial" w:cs="Arial"/>
          <w:sz w:val="24"/>
          <w:szCs w:val="24"/>
          <w:lang w:val="es-419"/>
        </w:rPr>
        <w:t xml:space="preserve">; en síntesis, por cuanto, no se observa que las partes hayan actuado vulnerando el principio de la lealtad y la buena fe procesal; la pérdida de competencia por mora judicial debe ser alegada por una parte, no es automática; el exceso ritual manifiesto vulnera los derechos fundamentales y los principios de la celeridad de la administración de justicia; y la decisión desconoce la legalidad del término otorgado por el artículo 66 del CGP, para los llamantes en garantía. </w:t>
      </w:r>
    </w:p>
    <w:p w:rsidR="00923A51" w:rsidRPr="00CD4F54" w:rsidRDefault="00923A51" w:rsidP="00CD4F54">
      <w:pPr>
        <w:pStyle w:val="Sinespaciado1"/>
        <w:spacing w:line="288" w:lineRule="auto"/>
        <w:ind w:firstLine="2880"/>
        <w:jc w:val="both"/>
        <w:rPr>
          <w:rFonts w:ascii="Arial" w:hAnsi="Arial" w:cs="Arial"/>
          <w:sz w:val="24"/>
          <w:szCs w:val="24"/>
          <w:lang w:val="es-419"/>
        </w:rPr>
      </w:pPr>
    </w:p>
    <w:p w:rsidR="00923A51" w:rsidRPr="00CD4F54" w:rsidRDefault="00923A51" w:rsidP="00CD4F54">
      <w:pPr>
        <w:pStyle w:val="Sinespaciado1"/>
        <w:spacing w:line="288" w:lineRule="auto"/>
        <w:ind w:firstLine="2880"/>
        <w:jc w:val="both"/>
        <w:rPr>
          <w:rFonts w:ascii="Arial" w:hAnsi="Arial" w:cs="Arial"/>
          <w:sz w:val="24"/>
          <w:szCs w:val="24"/>
          <w:lang w:val="es-419"/>
        </w:rPr>
      </w:pPr>
      <w:r w:rsidRPr="00CD4F54">
        <w:rPr>
          <w:rFonts w:ascii="Arial" w:hAnsi="Arial" w:cs="Arial"/>
          <w:b/>
          <w:sz w:val="24"/>
          <w:szCs w:val="24"/>
          <w:lang w:val="es-419"/>
        </w:rPr>
        <w:t>3.</w:t>
      </w:r>
      <w:r w:rsidRPr="00CD4F54">
        <w:rPr>
          <w:rFonts w:ascii="Arial" w:hAnsi="Arial" w:cs="Arial"/>
          <w:sz w:val="24"/>
          <w:szCs w:val="24"/>
          <w:lang w:val="es-419"/>
        </w:rPr>
        <w:t xml:space="preserve"> Corrido el traslado previsto en el artículo 332 del Código General del Proceso, los demás intervinientes en el proceso guardaron silencio.</w:t>
      </w:r>
    </w:p>
    <w:p w:rsidR="00923A51" w:rsidRPr="00CD4F54" w:rsidRDefault="00923A51" w:rsidP="00CD4F54">
      <w:pPr>
        <w:pStyle w:val="Sinespaciado1"/>
        <w:spacing w:line="288" w:lineRule="auto"/>
        <w:ind w:firstLine="2880"/>
        <w:jc w:val="both"/>
        <w:rPr>
          <w:rFonts w:ascii="Arial" w:hAnsi="Arial" w:cs="Arial"/>
          <w:sz w:val="24"/>
          <w:szCs w:val="24"/>
          <w:lang w:val="es-419"/>
        </w:rPr>
      </w:pPr>
    </w:p>
    <w:p w:rsidR="00923A51" w:rsidRPr="00CD4F54" w:rsidRDefault="00923A51" w:rsidP="00CD4F54">
      <w:pPr>
        <w:pStyle w:val="Sinespaciado1"/>
        <w:spacing w:line="288" w:lineRule="auto"/>
        <w:ind w:firstLine="2880"/>
        <w:jc w:val="both"/>
        <w:rPr>
          <w:rFonts w:ascii="Arial" w:hAnsi="Arial" w:cs="Arial"/>
          <w:b/>
          <w:sz w:val="24"/>
          <w:szCs w:val="24"/>
          <w:lang w:val="es-419"/>
        </w:rPr>
      </w:pPr>
      <w:r w:rsidRPr="00CD4F54">
        <w:rPr>
          <w:rFonts w:ascii="Arial" w:hAnsi="Arial" w:cs="Arial"/>
          <w:b/>
          <w:sz w:val="24"/>
          <w:szCs w:val="24"/>
          <w:lang w:val="es-419"/>
        </w:rPr>
        <w:t>III. CONSIDERACIONES</w:t>
      </w:r>
    </w:p>
    <w:p w:rsidR="00923A51" w:rsidRPr="00CD4F54" w:rsidRDefault="00923A51" w:rsidP="00CD4F54">
      <w:pPr>
        <w:pStyle w:val="Sinespaciado1"/>
        <w:spacing w:line="288" w:lineRule="auto"/>
        <w:ind w:firstLine="2880"/>
        <w:jc w:val="both"/>
        <w:rPr>
          <w:rFonts w:ascii="Arial" w:hAnsi="Arial" w:cs="Arial"/>
          <w:sz w:val="24"/>
          <w:szCs w:val="24"/>
          <w:lang w:val="es-419"/>
        </w:rPr>
      </w:pPr>
    </w:p>
    <w:p w:rsidR="00C029EE" w:rsidRPr="00CD4F54" w:rsidRDefault="00923A51" w:rsidP="00CD4F54">
      <w:pPr>
        <w:pStyle w:val="Sinespaciado1"/>
        <w:spacing w:line="288" w:lineRule="auto"/>
        <w:ind w:firstLine="2880"/>
        <w:jc w:val="both"/>
        <w:rPr>
          <w:rFonts w:ascii="Arial" w:hAnsi="Arial" w:cs="Arial"/>
          <w:sz w:val="24"/>
          <w:szCs w:val="24"/>
          <w:lang w:val="es-419"/>
        </w:rPr>
      </w:pPr>
      <w:r w:rsidRPr="00CD4F54">
        <w:rPr>
          <w:rFonts w:ascii="Arial" w:hAnsi="Arial" w:cs="Arial"/>
          <w:b/>
          <w:sz w:val="24"/>
          <w:szCs w:val="24"/>
          <w:lang w:val="es-419"/>
        </w:rPr>
        <w:t>1.</w:t>
      </w:r>
      <w:r w:rsidRPr="00CD4F54">
        <w:rPr>
          <w:rFonts w:ascii="Arial" w:hAnsi="Arial" w:cs="Arial"/>
          <w:sz w:val="24"/>
          <w:szCs w:val="24"/>
          <w:lang w:val="es-419"/>
        </w:rPr>
        <w:t xml:space="preserve"> </w:t>
      </w:r>
      <w:r w:rsidR="00C029EE" w:rsidRPr="00CD4F54">
        <w:rPr>
          <w:rFonts w:ascii="Arial" w:hAnsi="Arial" w:cs="Arial"/>
          <w:sz w:val="24"/>
          <w:szCs w:val="24"/>
          <w:lang w:val="es-419"/>
        </w:rPr>
        <w:t xml:space="preserve">Como es bien sabido, el recurso de súplica tiene como propósito que los restantes magistrados integrantes de la sala revisen la decisión tomada por el ponente y determinen si se ajustó a derecho la providencia materia de inconformidad. Por ello, el artículo 331 del estatuto general del proceso establece que </w:t>
      </w:r>
      <w:r w:rsidR="00C029EE" w:rsidRPr="00CD4F54">
        <w:rPr>
          <w:rFonts w:ascii="Arial" w:hAnsi="Arial" w:cs="Arial"/>
          <w:i/>
          <w:sz w:val="24"/>
          <w:szCs w:val="24"/>
          <w:lang w:val="es-419"/>
        </w:rPr>
        <w:t>“</w:t>
      </w:r>
      <w:r w:rsidR="00C029EE" w:rsidRPr="00CC7615">
        <w:rPr>
          <w:rFonts w:ascii="Arial" w:hAnsi="Arial" w:cs="Arial"/>
          <w:i/>
          <w:szCs w:val="24"/>
          <w:lang w:val="es-419"/>
        </w:rPr>
        <w:t>procede contra los autos que por su naturaleza serían apelables, dictados por el magistrado sustanciador en el curso de la segunda o única instancia, o durante el trámite de la apelación de un auto</w:t>
      </w:r>
      <w:r w:rsidR="00C029EE" w:rsidRPr="00CD4F54">
        <w:rPr>
          <w:rFonts w:ascii="Arial" w:hAnsi="Arial" w:cs="Arial"/>
          <w:i/>
          <w:sz w:val="24"/>
          <w:szCs w:val="24"/>
          <w:lang w:val="es-419"/>
        </w:rPr>
        <w:t>”</w:t>
      </w:r>
      <w:r w:rsidR="00C029EE" w:rsidRPr="00CD4F54">
        <w:rPr>
          <w:rFonts w:ascii="Arial" w:hAnsi="Arial" w:cs="Arial"/>
          <w:sz w:val="24"/>
          <w:szCs w:val="24"/>
          <w:lang w:val="es-419"/>
        </w:rPr>
        <w:t xml:space="preserve">. </w:t>
      </w:r>
    </w:p>
    <w:p w:rsidR="002A6ADB" w:rsidRPr="00CD4F54" w:rsidRDefault="002A6ADB" w:rsidP="00CD4F54">
      <w:pPr>
        <w:pStyle w:val="Sinespaciado1"/>
        <w:spacing w:line="288" w:lineRule="auto"/>
        <w:ind w:firstLine="2880"/>
        <w:jc w:val="both"/>
        <w:rPr>
          <w:rFonts w:ascii="Arial" w:hAnsi="Arial" w:cs="Arial"/>
          <w:sz w:val="24"/>
          <w:szCs w:val="24"/>
          <w:lang w:val="es-419"/>
        </w:rPr>
      </w:pPr>
    </w:p>
    <w:p w:rsidR="00923A51" w:rsidRPr="00CD4F54" w:rsidRDefault="00C029EE" w:rsidP="00CD4F54">
      <w:pPr>
        <w:pStyle w:val="Sinespaciado1"/>
        <w:spacing w:line="288" w:lineRule="auto"/>
        <w:ind w:firstLine="2880"/>
        <w:jc w:val="both"/>
        <w:rPr>
          <w:rFonts w:ascii="Arial" w:hAnsi="Arial" w:cs="Arial"/>
          <w:sz w:val="24"/>
          <w:szCs w:val="24"/>
          <w:lang w:val="es-419"/>
        </w:rPr>
      </w:pPr>
      <w:r w:rsidRPr="00CD4F54">
        <w:rPr>
          <w:rFonts w:ascii="Arial" w:hAnsi="Arial" w:cs="Arial"/>
          <w:sz w:val="24"/>
          <w:szCs w:val="24"/>
          <w:lang w:val="es-419"/>
        </w:rPr>
        <w:t>En el caso que se examina</w:t>
      </w:r>
      <w:r w:rsidR="00F976D3" w:rsidRPr="00CD4F54">
        <w:rPr>
          <w:rFonts w:ascii="Arial" w:hAnsi="Arial" w:cs="Arial"/>
          <w:sz w:val="24"/>
          <w:szCs w:val="24"/>
          <w:lang w:val="es-419"/>
        </w:rPr>
        <w:t>,</w:t>
      </w:r>
      <w:r w:rsidRPr="00CD4F54">
        <w:rPr>
          <w:rFonts w:ascii="Arial" w:hAnsi="Arial" w:cs="Arial"/>
          <w:sz w:val="24"/>
          <w:szCs w:val="24"/>
          <w:lang w:val="es-419"/>
        </w:rPr>
        <w:t xml:space="preserve"> se cumple l</w:t>
      </w:r>
      <w:r w:rsidR="00F976D3" w:rsidRPr="00CD4F54">
        <w:rPr>
          <w:rFonts w:ascii="Arial" w:hAnsi="Arial" w:cs="Arial"/>
          <w:sz w:val="24"/>
          <w:szCs w:val="24"/>
          <w:lang w:val="es-419"/>
        </w:rPr>
        <w:t xml:space="preserve">o establecido en la norma; </w:t>
      </w:r>
      <w:r w:rsidRPr="00CD4F54">
        <w:rPr>
          <w:rFonts w:ascii="Arial" w:hAnsi="Arial" w:cs="Arial"/>
          <w:sz w:val="24"/>
          <w:szCs w:val="24"/>
          <w:lang w:val="es-419"/>
        </w:rPr>
        <w:t xml:space="preserve">la providencia que se recurre fue proferida por el magistrado ponente, </w:t>
      </w:r>
      <w:r w:rsidR="002A6ADB" w:rsidRPr="00CD4F54">
        <w:rPr>
          <w:rFonts w:ascii="Arial" w:hAnsi="Arial" w:cs="Arial"/>
          <w:sz w:val="24"/>
          <w:szCs w:val="24"/>
          <w:lang w:val="es-419"/>
        </w:rPr>
        <w:t>y</w:t>
      </w:r>
      <w:r w:rsidR="00D721D1" w:rsidRPr="00CD4F54">
        <w:rPr>
          <w:rFonts w:ascii="Arial" w:hAnsi="Arial" w:cs="Arial"/>
          <w:sz w:val="24"/>
          <w:szCs w:val="24"/>
          <w:lang w:val="es-419"/>
        </w:rPr>
        <w:t xml:space="preserve"> por su naturaleza la decisión resiste el</w:t>
      </w:r>
      <w:r w:rsidR="00117C84">
        <w:rPr>
          <w:rFonts w:ascii="Arial" w:hAnsi="Arial" w:cs="Arial"/>
          <w:sz w:val="24"/>
          <w:szCs w:val="24"/>
        </w:rPr>
        <w:t xml:space="preserve"> </w:t>
      </w:r>
      <w:r w:rsidR="00D721D1" w:rsidRPr="00CD4F54">
        <w:rPr>
          <w:rFonts w:ascii="Arial" w:hAnsi="Arial" w:cs="Arial"/>
          <w:sz w:val="24"/>
          <w:szCs w:val="24"/>
          <w:lang w:val="es-419"/>
        </w:rPr>
        <w:t xml:space="preserve">recurso de apelación -artículo 321 # 6 CGP- de donde </w:t>
      </w:r>
      <w:r w:rsidR="001F02CB" w:rsidRPr="00CD4F54">
        <w:rPr>
          <w:rFonts w:ascii="Arial" w:hAnsi="Arial" w:cs="Arial"/>
          <w:sz w:val="24"/>
          <w:szCs w:val="24"/>
          <w:lang w:val="es-419"/>
        </w:rPr>
        <w:t>surge</w:t>
      </w:r>
      <w:r w:rsidR="00D721D1" w:rsidRPr="00CD4F54">
        <w:rPr>
          <w:rFonts w:ascii="Arial" w:hAnsi="Arial" w:cs="Arial"/>
          <w:sz w:val="24"/>
          <w:szCs w:val="24"/>
          <w:lang w:val="es-419"/>
        </w:rPr>
        <w:t xml:space="preserve"> que el pronunciamiento objeto de la censura puede ser atacado por la vía procesal de la súplica</w:t>
      </w:r>
      <w:r w:rsidR="001F02CB" w:rsidRPr="00CD4F54">
        <w:rPr>
          <w:rFonts w:ascii="Arial" w:hAnsi="Arial" w:cs="Arial"/>
          <w:sz w:val="24"/>
          <w:szCs w:val="24"/>
          <w:lang w:val="es-419"/>
        </w:rPr>
        <w:t>.</w:t>
      </w:r>
      <w:r w:rsidR="00117C84">
        <w:rPr>
          <w:rFonts w:ascii="Arial" w:hAnsi="Arial" w:cs="Arial"/>
          <w:sz w:val="24"/>
          <w:szCs w:val="24"/>
        </w:rPr>
        <w:t xml:space="preserve">  </w:t>
      </w:r>
      <w:r w:rsidR="00D721D1" w:rsidRPr="00CD4F54">
        <w:rPr>
          <w:rFonts w:ascii="Arial" w:hAnsi="Arial" w:cs="Arial"/>
          <w:sz w:val="24"/>
          <w:szCs w:val="24"/>
          <w:lang w:val="es-419"/>
        </w:rPr>
        <w:t>R</w:t>
      </w:r>
      <w:r w:rsidRPr="00CD4F54">
        <w:rPr>
          <w:rFonts w:ascii="Arial" w:hAnsi="Arial" w:cs="Arial"/>
          <w:sz w:val="24"/>
          <w:szCs w:val="24"/>
          <w:lang w:val="es-419"/>
        </w:rPr>
        <w:t xml:space="preserve">esta </w:t>
      </w:r>
      <w:r w:rsidR="00D721D1" w:rsidRPr="00CD4F54">
        <w:rPr>
          <w:rFonts w:ascii="Arial" w:hAnsi="Arial" w:cs="Arial"/>
          <w:sz w:val="24"/>
          <w:szCs w:val="24"/>
          <w:lang w:val="es-419"/>
        </w:rPr>
        <w:t xml:space="preserve">por </w:t>
      </w:r>
      <w:r w:rsidRPr="00CD4F54">
        <w:rPr>
          <w:rFonts w:ascii="Arial" w:hAnsi="Arial" w:cs="Arial"/>
          <w:sz w:val="24"/>
          <w:szCs w:val="24"/>
          <w:lang w:val="es-419"/>
        </w:rPr>
        <w:t xml:space="preserve">establecer si </w:t>
      </w:r>
      <w:r w:rsidR="001F02CB" w:rsidRPr="00CD4F54">
        <w:rPr>
          <w:rFonts w:ascii="Arial" w:hAnsi="Arial" w:cs="Arial"/>
          <w:sz w:val="24"/>
          <w:szCs w:val="24"/>
          <w:lang w:val="es-419"/>
        </w:rPr>
        <w:t xml:space="preserve">en verdad procedía la declaratoria de nulidad adoptada en este asunto. </w:t>
      </w:r>
    </w:p>
    <w:p w:rsidR="001F02CB" w:rsidRPr="00CD4F54" w:rsidRDefault="001F02CB" w:rsidP="00CD4F54">
      <w:pPr>
        <w:pStyle w:val="Sinespaciado1"/>
        <w:spacing w:line="288" w:lineRule="auto"/>
        <w:ind w:firstLine="2880"/>
        <w:jc w:val="both"/>
        <w:rPr>
          <w:rFonts w:ascii="Arial" w:hAnsi="Arial" w:cs="Arial"/>
          <w:sz w:val="24"/>
          <w:szCs w:val="24"/>
          <w:lang w:val="es-419"/>
        </w:rPr>
      </w:pPr>
    </w:p>
    <w:p w:rsidR="008E7F80" w:rsidRPr="00CC7615" w:rsidRDefault="00923A51" w:rsidP="00CD4F54">
      <w:pPr>
        <w:pStyle w:val="Sinespaciado1"/>
        <w:spacing w:line="288" w:lineRule="auto"/>
        <w:ind w:firstLine="2880"/>
        <w:jc w:val="both"/>
        <w:rPr>
          <w:rFonts w:ascii="Arial" w:hAnsi="Arial" w:cs="Arial"/>
          <w:i/>
          <w:szCs w:val="24"/>
          <w:lang w:val="es-419"/>
        </w:rPr>
      </w:pPr>
      <w:r w:rsidRPr="00CD4F54">
        <w:rPr>
          <w:rFonts w:ascii="Arial" w:hAnsi="Arial" w:cs="Arial"/>
          <w:b/>
          <w:sz w:val="24"/>
          <w:szCs w:val="24"/>
          <w:lang w:val="es-419"/>
        </w:rPr>
        <w:t>2.</w:t>
      </w:r>
      <w:r w:rsidRPr="00CD4F54">
        <w:rPr>
          <w:rFonts w:ascii="Arial" w:hAnsi="Arial" w:cs="Arial"/>
          <w:sz w:val="24"/>
          <w:szCs w:val="24"/>
          <w:lang w:val="es-419"/>
        </w:rPr>
        <w:t xml:space="preserve"> </w:t>
      </w:r>
      <w:r w:rsidR="00524304" w:rsidRPr="00CD4F54">
        <w:rPr>
          <w:rFonts w:ascii="Arial" w:hAnsi="Arial" w:cs="Arial"/>
          <w:sz w:val="24"/>
          <w:szCs w:val="24"/>
          <w:lang w:val="es-419"/>
        </w:rPr>
        <w:t xml:space="preserve">A términos del artículo 121 del Código General del Proceso </w:t>
      </w:r>
      <w:r w:rsidR="008E7F80" w:rsidRPr="00CD4F54">
        <w:rPr>
          <w:rFonts w:ascii="Arial" w:hAnsi="Arial" w:cs="Arial"/>
          <w:i/>
          <w:sz w:val="24"/>
          <w:szCs w:val="24"/>
          <w:lang w:val="es-419"/>
        </w:rPr>
        <w:t>“</w:t>
      </w:r>
      <w:r w:rsidR="008E7F80" w:rsidRPr="00CC7615">
        <w:rPr>
          <w:rFonts w:ascii="Arial" w:hAnsi="Arial" w:cs="Arial"/>
          <w:i/>
          <w:szCs w:val="24"/>
          <w:lang w:val="es-419"/>
        </w:rPr>
        <w:t>Salvo interrupción o suspensión del proceso por causa legal, no podrá transcurrir un lapso superior a un (1) año para dictar sentencia de primera o única instancia, contado a partir de la notificación del auto admisorio de la demanda o mandamiento ejecutivo a la parte demandada o ejecutada. (…)</w:t>
      </w:r>
    </w:p>
    <w:p w:rsidR="00CC7615" w:rsidRPr="00CC7615" w:rsidRDefault="00CC7615" w:rsidP="00CD4F54">
      <w:pPr>
        <w:pStyle w:val="Sinespaciado1"/>
        <w:spacing w:line="288" w:lineRule="auto"/>
        <w:ind w:firstLine="2880"/>
        <w:jc w:val="both"/>
        <w:rPr>
          <w:rFonts w:ascii="Arial" w:hAnsi="Arial" w:cs="Arial"/>
          <w:i/>
          <w:szCs w:val="24"/>
          <w:lang w:val="es-419"/>
        </w:rPr>
      </w:pPr>
    </w:p>
    <w:p w:rsidR="008E7F80" w:rsidRPr="00CC7615" w:rsidRDefault="008E7F80" w:rsidP="00CD4F54">
      <w:pPr>
        <w:pStyle w:val="Sinespaciado1"/>
        <w:spacing w:line="288" w:lineRule="auto"/>
        <w:ind w:firstLine="2880"/>
        <w:jc w:val="both"/>
        <w:rPr>
          <w:rFonts w:ascii="Arial" w:hAnsi="Arial" w:cs="Arial"/>
          <w:i/>
          <w:szCs w:val="24"/>
          <w:lang w:val="es-419"/>
        </w:rPr>
      </w:pPr>
      <w:r w:rsidRPr="00CC7615">
        <w:rPr>
          <w:rFonts w:ascii="Arial" w:hAnsi="Arial" w:cs="Arial"/>
          <w:i/>
          <w:szCs w:val="24"/>
          <w:lang w:val="es-419"/>
        </w:rPr>
        <w:t>Vencido el respectivo término previsto en el inciso anterior sin haberse dictado la providencia correspondiente, el funcionario perderá automáticamente competencia para conocer del proceso, por lo cual, al día siguiente, deberá informarlo a la Sala Administrativa del Consejo Superior de la Judicatura y remitir el expediente al juez o magistrado que le sigue en turno, quien asumirá competencia y proferirá la providencia dentro del término máximo de seis (6) meses. (…)</w:t>
      </w:r>
    </w:p>
    <w:p w:rsidR="008E7F80" w:rsidRPr="00CC7615" w:rsidRDefault="008E7F80" w:rsidP="00CD4F54">
      <w:pPr>
        <w:pStyle w:val="Sinespaciado1"/>
        <w:spacing w:line="288" w:lineRule="auto"/>
        <w:ind w:firstLine="2880"/>
        <w:jc w:val="both"/>
        <w:rPr>
          <w:rFonts w:ascii="Arial" w:hAnsi="Arial" w:cs="Arial"/>
          <w:i/>
          <w:szCs w:val="24"/>
          <w:lang w:val="es-419"/>
        </w:rPr>
      </w:pPr>
    </w:p>
    <w:p w:rsidR="008E7F80" w:rsidRPr="00CD4F54" w:rsidRDefault="008E7F80" w:rsidP="00CD4F54">
      <w:pPr>
        <w:pStyle w:val="Sinespaciado1"/>
        <w:spacing w:line="288" w:lineRule="auto"/>
        <w:ind w:firstLine="2880"/>
        <w:jc w:val="both"/>
        <w:rPr>
          <w:rFonts w:ascii="Arial" w:hAnsi="Arial" w:cs="Arial"/>
          <w:i/>
          <w:sz w:val="24"/>
          <w:szCs w:val="24"/>
          <w:lang w:val="es-419"/>
        </w:rPr>
      </w:pPr>
      <w:r w:rsidRPr="00CC7615">
        <w:rPr>
          <w:rFonts w:ascii="Arial" w:hAnsi="Arial" w:cs="Arial"/>
          <w:i/>
          <w:szCs w:val="24"/>
          <w:lang w:val="es-419"/>
        </w:rPr>
        <w:t>Será nula de pleno derecho la actuación posterior que realice el juez que haya perdido competencia para emitir la respectiva providencia</w:t>
      </w:r>
      <w:r w:rsidRPr="00CD4F54">
        <w:rPr>
          <w:rFonts w:ascii="Arial" w:hAnsi="Arial" w:cs="Arial"/>
          <w:i/>
          <w:sz w:val="24"/>
          <w:szCs w:val="24"/>
          <w:lang w:val="es-419"/>
        </w:rPr>
        <w:t>.”</w:t>
      </w:r>
    </w:p>
    <w:p w:rsidR="008E7F80" w:rsidRPr="00CD4F54" w:rsidRDefault="008E7F80" w:rsidP="00CD4F54">
      <w:pPr>
        <w:pStyle w:val="Sinespaciado1"/>
        <w:spacing w:line="288" w:lineRule="auto"/>
        <w:ind w:firstLine="2880"/>
        <w:jc w:val="both"/>
        <w:rPr>
          <w:rFonts w:ascii="Arial" w:hAnsi="Arial" w:cs="Arial"/>
          <w:sz w:val="24"/>
          <w:szCs w:val="24"/>
          <w:lang w:val="es-419"/>
        </w:rPr>
      </w:pPr>
    </w:p>
    <w:p w:rsidR="00DB5625" w:rsidRPr="00CD4F54" w:rsidRDefault="008E7F80" w:rsidP="00CD4F54">
      <w:pPr>
        <w:pStyle w:val="Sinespaciado1"/>
        <w:spacing w:line="288" w:lineRule="auto"/>
        <w:ind w:firstLine="2880"/>
        <w:jc w:val="both"/>
        <w:rPr>
          <w:rFonts w:ascii="Arial" w:hAnsi="Arial" w:cs="Arial"/>
          <w:sz w:val="24"/>
          <w:szCs w:val="24"/>
          <w:lang w:val="es-419"/>
        </w:rPr>
      </w:pPr>
      <w:r w:rsidRPr="00CD4F54">
        <w:rPr>
          <w:rFonts w:ascii="Arial" w:hAnsi="Arial" w:cs="Arial"/>
          <w:b/>
          <w:sz w:val="24"/>
          <w:szCs w:val="24"/>
          <w:lang w:val="es-419"/>
        </w:rPr>
        <w:t>3.</w:t>
      </w:r>
      <w:r w:rsidRPr="00CD4F54">
        <w:rPr>
          <w:rFonts w:ascii="Arial" w:hAnsi="Arial" w:cs="Arial"/>
          <w:sz w:val="24"/>
          <w:szCs w:val="24"/>
          <w:lang w:val="es-419"/>
        </w:rPr>
        <w:t xml:space="preserve"> </w:t>
      </w:r>
      <w:r w:rsidR="00DB5625" w:rsidRPr="00CD4F54">
        <w:rPr>
          <w:rFonts w:ascii="Arial" w:hAnsi="Arial" w:cs="Arial"/>
          <w:sz w:val="24"/>
          <w:szCs w:val="24"/>
          <w:lang w:val="es-419"/>
        </w:rPr>
        <w:t xml:space="preserve">Ahora, es indiscutible que la </w:t>
      </w:r>
      <w:r w:rsidR="00C81938" w:rsidRPr="00CD4F54">
        <w:rPr>
          <w:rFonts w:ascii="Arial" w:hAnsi="Arial" w:cs="Arial"/>
          <w:sz w:val="24"/>
          <w:szCs w:val="24"/>
          <w:lang w:val="es-419"/>
        </w:rPr>
        <w:t xml:space="preserve">aplicación de la </w:t>
      </w:r>
      <w:r w:rsidR="00DB5625" w:rsidRPr="00CD4F54">
        <w:rPr>
          <w:rFonts w:ascii="Arial" w:hAnsi="Arial" w:cs="Arial"/>
          <w:sz w:val="24"/>
          <w:szCs w:val="24"/>
          <w:lang w:val="es-419"/>
        </w:rPr>
        <w:t xml:space="preserve">nulidad que propone la mentada norma no ha sido </w:t>
      </w:r>
      <w:r w:rsidR="00C81938" w:rsidRPr="00CD4F54">
        <w:rPr>
          <w:rFonts w:ascii="Arial" w:hAnsi="Arial" w:cs="Arial"/>
          <w:sz w:val="24"/>
          <w:szCs w:val="24"/>
          <w:lang w:val="es-419"/>
        </w:rPr>
        <w:t>pacífica</w:t>
      </w:r>
      <w:r w:rsidR="00DB5625" w:rsidRPr="00CD4F54">
        <w:rPr>
          <w:rFonts w:ascii="Arial" w:hAnsi="Arial" w:cs="Arial"/>
          <w:sz w:val="24"/>
          <w:szCs w:val="24"/>
          <w:lang w:val="es-419"/>
        </w:rPr>
        <w:t>, puesto que una parte de la doctrina opina que esta es saneable, porque así lo era bajo la vigencia de la Ley 1395 de 2010 (parágrafo del artículo 9º), ya que si bien contemplaba la pérdida automática de la competencia, no imponía la sanción de nulidad a las actu</w:t>
      </w:r>
      <w:r w:rsidR="005C7D25" w:rsidRPr="00CD4F54">
        <w:rPr>
          <w:rFonts w:ascii="Arial" w:hAnsi="Arial" w:cs="Arial"/>
          <w:sz w:val="24"/>
          <w:szCs w:val="24"/>
          <w:lang w:val="es-419"/>
        </w:rPr>
        <w:t xml:space="preserve">aciones que se adelantaran una vez fenecido </w:t>
      </w:r>
      <w:r w:rsidR="00DB5625" w:rsidRPr="00CD4F54">
        <w:rPr>
          <w:rFonts w:ascii="Arial" w:hAnsi="Arial" w:cs="Arial"/>
          <w:sz w:val="24"/>
          <w:szCs w:val="24"/>
          <w:lang w:val="es-419"/>
        </w:rPr>
        <w:t>el plazo conferido al fallador para dirimir el litigio, lo que permitía predicar su saneabilidad, como lo proponen los recurrentes, apuntalados en sentencia</w:t>
      </w:r>
      <w:r w:rsidR="00C81938" w:rsidRPr="00CD4F54">
        <w:rPr>
          <w:rFonts w:ascii="Arial" w:hAnsi="Arial" w:cs="Arial"/>
          <w:sz w:val="24"/>
          <w:szCs w:val="24"/>
          <w:lang w:val="es-419"/>
        </w:rPr>
        <w:t xml:space="preserve"> </w:t>
      </w:r>
      <w:r w:rsidR="00DB5625" w:rsidRPr="00CD4F54">
        <w:rPr>
          <w:rFonts w:ascii="Arial" w:hAnsi="Arial" w:cs="Arial"/>
          <w:sz w:val="24"/>
          <w:szCs w:val="24"/>
          <w:lang w:val="es-419"/>
        </w:rPr>
        <w:t xml:space="preserve">T-341 de 2018. </w:t>
      </w:r>
    </w:p>
    <w:p w:rsidR="00DB5625" w:rsidRPr="00CD4F54" w:rsidRDefault="00DB5625" w:rsidP="00CD4F54">
      <w:pPr>
        <w:pStyle w:val="Sinespaciado1"/>
        <w:spacing w:line="288" w:lineRule="auto"/>
        <w:ind w:firstLine="2880"/>
        <w:jc w:val="both"/>
        <w:rPr>
          <w:rFonts w:ascii="Arial" w:hAnsi="Arial" w:cs="Arial"/>
          <w:sz w:val="24"/>
          <w:szCs w:val="24"/>
          <w:lang w:val="es-419"/>
        </w:rPr>
      </w:pPr>
    </w:p>
    <w:p w:rsidR="00C04D7F" w:rsidRPr="00CD4F54" w:rsidRDefault="00C04D7F" w:rsidP="00CD4F54">
      <w:pPr>
        <w:pStyle w:val="Sinespaciado1"/>
        <w:spacing w:line="288" w:lineRule="auto"/>
        <w:ind w:firstLine="2880"/>
        <w:jc w:val="both"/>
        <w:rPr>
          <w:rFonts w:ascii="Arial" w:hAnsi="Arial" w:cs="Arial"/>
          <w:sz w:val="24"/>
          <w:szCs w:val="24"/>
          <w:lang w:val="es-419"/>
        </w:rPr>
      </w:pPr>
      <w:r w:rsidRPr="00CD4F54">
        <w:rPr>
          <w:rFonts w:ascii="Arial" w:hAnsi="Arial" w:cs="Arial"/>
          <w:sz w:val="24"/>
          <w:szCs w:val="24"/>
          <w:lang w:val="es-419"/>
        </w:rPr>
        <w:t>Pero</w:t>
      </w:r>
      <w:r w:rsidR="00DB5625" w:rsidRPr="00CD4F54">
        <w:rPr>
          <w:rFonts w:ascii="Arial" w:hAnsi="Arial" w:cs="Arial"/>
          <w:sz w:val="24"/>
          <w:szCs w:val="24"/>
          <w:lang w:val="es-419"/>
        </w:rPr>
        <w:t xml:space="preserve"> otra parte de a</w:t>
      </w:r>
      <w:r w:rsidRPr="00CD4F54">
        <w:rPr>
          <w:rFonts w:ascii="Arial" w:hAnsi="Arial" w:cs="Arial"/>
          <w:sz w:val="24"/>
          <w:szCs w:val="24"/>
          <w:lang w:val="es-419"/>
        </w:rPr>
        <w:t xml:space="preserve">quel grupo, desde </w:t>
      </w:r>
      <w:r w:rsidR="00DB5625" w:rsidRPr="00CD4F54">
        <w:rPr>
          <w:rFonts w:ascii="Arial" w:hAnsi="Arial" w:cs="Arial"/>
          <w:sz w:val="24"/>
          <w:szCs w:val="24"/>
          <w:lang w:val="es-419"/>
        </w:rPr>
        <w:t xml:space="preserve">un punto de vista estricto, exegético, objetivo o literal, consideran que la nulidad derivada del incumplimiento de los términos legales para fallar es insubsanable, porque al operar de pleno derecho, surte efectos aun sin necesidad de reconocimiento, de suerte que las actuaciones que se adelanten con posterioridad al vencimiento del término </w:t>
      </w:r>
      <w:r w:rsidR="005C7D25" w:rsidRPr="00CD4F54">
        <w:rPr>
          <w:rFonts w:ascii="Arial" w:hAnsi="Arial" w:cs="Arial"/>
          <w:sz w:val="24"/>
          <w:szCs w:val="24"/>
          <w:lang w:val="es-419"/>
        </w:rPr>
        <w:t>otorgado</w:t>
      </w:r>
      <w:r w:rsidR="00DB5625" w:rsidRPr="00CD4F54">
        <w:rPr>
          <w:rFonts w:ascii="Arial" w:hAnsi="Arial" w:cs="Arial"/>
          <w:sz w:val="24"/>
          <w:szCs w:val="24"/>
          <w:lang w:val="es-419"/>
        </w:rPr>
        <w:t xml:space="preserve"> al funcionario judicial para fallar no pueden recobrar fuerza y, además, no admite saneamiento ni siquiera por el paso del tiempo o la inacción de las partes, incluso debe ser declarada así </w:t>
      </w:r>
      <w:r w:rsidRPr="00CD4F54">
        <w:rPr>
          <w:rFonts w:ascii="Arial" w:hAnsi="Arial" w:cs="Arial"/>
          <w:sz w:val="24"/>
          <w:szCs w:val="24"/>
          <w:lang w:val="es-419"/>
        </w:rPr>
        <w:t xml:space="preserve">no se </w:t>
      </w:r>
      <w:r w:rsidR="00DB5625" w:rsidRPr="00CD4F54">
        <w:rPr>
          <w:rFonts w:ascii="Arial" w:hAnsi="Arial" w:cs="Arial"/>
          <w:sz w:val="24"/>
          <w:szCs w:val="24"/>
          <w:lang w:val="es-419"/>
        </w:rPr>
        <w:t>reclame.</w:t>
      </w:r>
      <w:r w:rsidRPr="00CD4F54">
        <w:rPr>
          <w:rFonts w:ascii="Arial" w:hAnsi="Arial" w:cs="Arial"/>
          <w:sz w:val="24"/>
          <w:szCs w:val="24"/>
          <w:lang w:val="es-419"/>
        </w:rPr>
        <w:t xml:space="preserve"> </w:t>
      </w:r>
    </w:p>
    <w:p w:rsidR="00C04D7F" w:rsidRPr="00CD4F54" w:rsidRDefault="00C04D7F" w:rsidP="00CD4F54">
      <w:pPr>
        <w:pStyle w:val="Sinespaciado1"/>
        <w:spacing w:line="288" w:lineRule="auto"/>
        <w:ind w:firstLine="2880"/>
        <w:jc w:val="both"/>
        <w:rPr>
          <w:rFonts w:ascii="Arial" w:hAnsi="Arial" w:cs="Arial"/>
          <w:sz w:val="24"/>
          <w:szCs w:val="24"/>
          <w:lang w:val="es-419"/>
        </w:rPr>
      </w:pPr>
    </w:p>
    <w:p w:rsidR="00C04D7F" w:rsidRPr="00CD4F54" w:rsidRDefault="00C04D7F" w:rsidP="00CD4F54">
      <w:pPr>
        <w:pStyle w:val="Sinespaciado1"/>
        <w:spacing w:line="288" w:lineRule="auto"/>
        <w:ind w:firstLine="2880"/>
        <w:jc w:val="both"/>
        <w:rPr>
          <w:rFonts w:ascii="Arial" w:hAnsi="Arial" w:cs="Arial"/>
          <w:bCs/>
          <w:sz w:val="24"/>
          <w:szCs w:val="24"/>
          <w:lang w:val="es-419"/>
        </w:rPr>
      </w:pPr>
      <w:r w:rsidRPr="00CD4F54">
        <w:rPr>
          <w:rFonts w:ascii="Arial" w:hAnsi="Arial" w:cs="Arial"/>
          <w:sz w:val="24"/>
          <w:szCs w:val="24"/>
          <w:lang w:val="es-419"/>
        </w:rPr>
        <w:t>Este</w:t>
      </w:r>
      <w:r w:rsidR="00DB5625" w:rsidRPr="00CD4F54">
        <w:rPr>
          <w:rFonts w:ascii="Arial" w:hAnsi="Arial" w:cs="Arial"/>
          <w:sz w:val="24"/>
          <w:szCs w:val="24"/>
          <w:lang w:val="es-419"/>
        </w:rPr>
        <w:t xml:space="preserve"> </w:t>
      </w:r>
      <w:r w:rsidRPr="00CD4F54">
        <w:rPr>
          <w:rFonts w:ascii="Arial" w:hAnsi="Arial" w:cs="Arial"/>
          <w:sz w:val="24"/>
          <w:szCs w:val="24"/>
          <w:lang w:val="es-419"/>
        </w:rPr>
        <w:t xml:space="preserve">último, </w:t>
      </w:r>
      <w:r w:rsidR="00DB5625" w:rsidRPr="00CD4F54">
        <w:rPr>
          <w:rFonts w:ascii="Arial" w:hAnsi="Arial" w:cs="Arial"/>
          <w:sz w:val="24"/>
          <w:szCs w:val="24"/>
          <w:lang w:val="es-419"/>
        </w:rPr>
        <w:t xml:space="preserve">es el criterio actual de la Sala de Casación Civil de la Corte Suprema de Justicia, </w:t>
      </w:r>
      <w:r w:rsidRPr="00CD4F54">
        <w:rPr>
          <w:rFonts w:ascii="Arial" w:hAnsi="Arial" w:cs="Arial"/>
          <w:sz w:val="24"/>
          <w:szCs w:val="24"/>
          <w:lang w:val="es-419"/>
        </w:rPr>
        <w:t>como lo ha dejado en claro en varios proveídos, partiendo</w:t>
      </w:r>
      <w:r w:rsidRPr="00CD4F54">
        <w:rPr>
          <w:rFonts w:ascii="Arial" w:hAnsi="Arial" w:cs="Arial"/>
          <w:bCs/>
          <w:sz w:val="24"/>
          <w:szCs w:val="24"/>
          <w:lang w:val="es-419"/>
        </w:rPr>
        <w:t xml:space="preserve"> de</w:t>
      </w:r>
      <w:r w:rsidR="00117C84">
        <w:rPr>
          <w:rFonts w:ascii="Arial" w:hAnsi="Arial" w:cs="Arial"/>
          <w:bCs/>
          <w:sz w:val="24"/>
          <w:szCs w:val="24"/>
        </w:rPr>
        <w:t xml:space="preserve"> </w:t>
      </w:r>
      <w:r w:rsidRPr="00CD4F54">
        <w:rPr>
          <w:rFonts w:ascii="Arial" w:hAnsi="Arial" w:cs="Arial"/>
          <w:bCs/>
          <w:sz w:val="24"/>
          <w:szCs w:val="24"/>
          <w:lang w:val="es-419"/>
        </w:rPr>
        <w:t xml:space="preserve">la sentencia </w:t>
      </w:r>
      <w:r w:rsidRPr="00CD4F54">
        <w:rPr>
          <w:rFonts w:ascii="Arial" w:hAnsi="Arial" w:cs="Arial"/>
          <w:b/>
          <w:bCs/>
          <w:sz w:val="24"/>
          <w:szCs w:val="24"/>
          <w:lang w:val="es-419"/>
        </w:rPr>
        <w:t>STC8849-2018</w:t>
      </w:r>
      <w:r w:rsidRPr="00CD4F54">
        <w:rPr>
          <w:rFonts w:ascii="Arial" w:hAnsi="Arial" w:cs="Arial"/>
          <w:bCs/>
          <w:sz w:val="24"/>
          <w:szCs w:val="24"/>
          <w:lang w:val="es-419"/>
        </w:rPr>
        <w:t xml:space="preserve"> (11 de julio),</w:t>
      </w:r>
      <w:r w:rsidRPr="00CD4F54">
        <w:rPr>
          <w:rFonts w:ascii="Arial" w:hAnsi="Arial" w:cs="Arial"/>
          <w:sz w:val="24"/>
          <w:szCs w:val="24"/>
          <w:lang w:val="es-419"/>
        </w:rPr>
        <w:t xml:space="preserve"> en la que advierte, </w:t>
      </w:r>
      <w:r w:rsidRPr="00CD4F54">
        <w:rPr>
          <w:rFonts w:ascii="Arial" w:hAnsi="Arial" w:cs="Arial"/>
          <w:bCs/>
          <w:sz w:val="24"/>
          <w:szCs w:val="24"/>
          <w:lang w:val="es-419"/>
        </w:rPr>
        <w:t>recoge todos los precedentes en sentido contrario:</w:t>
      </w:r>
    </w:p>
    <w:p w:rsidR="00C04D7F" w:rsidRPr="00CD4F54" w:rsidRDefault="00C04D7F" w:rsidP="00CD4F54">
      <w:pPr>
        <w:pStyle w:val="Sinespaciado1"/>
        <w:tabs>
          <w:tab w:val="left" w:pos="2410"/>
        </w:tabs>
        <w:spacing w:line="288" w:lineRule="auto"/>
        <w:ind w:firstLine="2835"/>
        <w:jc w:val="both"/>
        <w:rPr>
          <w:rFonts w:ascii="Arial" w:hAnsi="Arial" w:cs="Arial"/>
          <w:sz w:val="24"/>
          <w:szCs w:val="24"/>
          <w:lang w:val="es-419"/>
        </w:rPr>
      </w:pPr>
    </w:p>
    <w:p w:rsidR="00C04D7F" w:rsidRPr="00CC7615" w:rsidRDefault="00C04D7F" w:rsidP="00CC7615">
      <w:pPr>
        <w:pStyle w:val="Sinespaciado1"/>
        <w:tabs>
          <w:tab w:val="left" w:pos="2410"/>
        </w:tabs>
        <w:ind w:left="426" w:right="420" w:firstLine="2127"/>
        <w:jc w:val="both"/>
        <w:rPr>
          <w:rFonts w:ascii="Arial" w:hAnsi="Arial" w:cs="Arial"/>
          <w:b/>
          <w:bCs/>
          <w:i/>
          <w:szCs w:val="24"/>
          <w:lang w:val="es-419"/>
        </w:rPr>
      </w:pPr>
      <w:r w:rsidRPr="00CC7615">
        <w:rPr>
          <w:rFonts w:ascii="Arial" w:hAnsi="Arial" w:cs="Arial"/>
          <w:b/>
          <w:bCs/>
          <w:i/>
          <w:szCs w:val="24"/>
          <w:lang w:val="es-419"/>
        </w:rPr>
        <w:t xml:space="preserve">“En otras palabras, una interpretación finalística de la codificación actual, de configurarse la eventualidad contemplada en el tantas veces mencionado artículo 121, lleva a concluir como inoperante el saneamiento regulado en el artículo 136 de la obra en cita, aun a pesar de que los intervinientes hubieran actuado con posterioridad al vicio, guardando soterrado silencio o lo hubiesen convalido expresamente, porque esto contradice el querer del legislador, dirigido a imponer al estamento jurisdiccional la obligación de dictar sentencia en un lapso perentorio, al </w:t>
      </w:r>
      <w:r w:rsidRPr="00CC7615">
        <w:rPr>
          <w:rFonts w:ascii="Arial" w:hAnsi="Arial" w:cs="Arial"/>
          <w:b/>
          <w:bCs/>
          <w:i/>
          <w:szCs w:val="24"/>
          <w:lang w:val="es-419"/>
        </w:rPr>
        <w:lastRenderedPageBreak/>
        <w:t>margen de las circunstancias que rodeen el litigio e, incluso, de las vicisitudes propias de la administración de justicia, desde su punto de vista institucional.</w:t>
      </w:r>
    </w:p>
    <w:p w:rsidR="00C04D7F" w:rsidRPr="00CC7615" w:rsidRDefault="00C04D7F" w:rsidP="00CC7615">
      <w:pPr>
        <w:pStyle w:val="Sinespaciado1"/>
        <w:tabs>
          <w:tab w:val="left" w:pos="2410"/>
        </w:tabs>
        <w:ind w:left="426" w:right="420" w:firstLine="2127"/>
        <w:jc w:val="both"/>
        <w:rPr>
          <w:rFonts w:ascii="Arial" w:hAnsi="Arial" w:cs="Arial"/>
          <w:b/>
          <w:bCs/>
          <w:i/>
          <w:szCs w:val="24"/>
          <w:lang w:val="es-419"/>
        </w:rPr>
      </w:pPr>
    </w:p>
    <w:p w:rsidR="00C04D7F" w:rsidRPr="00CC7615" w:rsidRDefault="00C04D7F" w:rsidP="00CC7615">
      <w:pPr>
        <w:pStyle w:val="Sinespaciado1"/>
        <w:tabs>
          <w:tab w:val="left" w:pos="2410"/>
        </w:tabs>
        <w:ind w:left="426" w:right="420" w:firstLine="2127"/>
        <w:jc w:val="both"/>
        <w:rPr>
          <w:rFonts w:ascii="Arial" w:hAnsi="Arial" w:cs="Arial"/>
          <w:b/>
          <w:bCs/>
          <w:i/>
          <w:szCs w:val="24"/>
          <w:lang w:val="es-419"/>
        </w:rPr>
      </w:pPr>
      <w:r w:rsidRPr="00CC7615">
        <w:rPr>
          <w:rFonts w:ascii="Arial" w:hAnsi="Arial" w:cs="Arial"/>
          <w:b/>
          <w:bCs/>
          <w:i/>
          <w:szCs w:val="24"/>
          <w:lang w:val="es-419"/>
        </w:rPr>
        <w:t>(…)</w:t>
      </w:r>
    </w:p>
    <w:p w:rsidR="00C04D7F" w:rsidRPr="00CC7615" w:rsidRDefault="00C04D7F" w:rsidP="00CC7615">
      <w:pPr>
        <w:pStyle w:val="Sinespaciado1"/>
        <w:tabs>
          <w:tab w:val="left" w:pos="2410"/>
        </w:tabs>
        <w:ind w:left="426" w:right="420" w:firstLine="2127"/>
        <w:jc w:val="both"/>
        <w:rPr>
          <w:rFonts w:ascii="Arial" w:hAnsi="Arial" w:cs="Arial"/>
          <w:b/>
          <w:bCs/>
          <w:i/>
          <w:szCs w:val="24"/>
          <w:lang w:val="es-419"/>
        </w:rPr>
      </w:pPr>
    </w:p>
    <w:p w:rsidR="00C04D7F" w:rsidRPr="00CC7615" w:rsidRDefault="00C04D7F" w:rsidP="00CC7615">
      <w:pPr>
        <w:pStyle w:val="Sinespaciado1"/>
        <w:tabs>
          <w:tab w:val="left" w:pos="2410"/>
        </w:tabs>
        <w:ind w:left="426" w:right="420" w:firstLine="2127"/>
        <w:jc w:val="both"/>
        <w:rPr>
          <w:rFonts w:ascii="Arial" w:hAnsi="Arial" w:cs="Arial"/>
          <w:b/>
          <w:bCs/>
          <w:i/>
          <w:szCs w:val="24"/>
          <w:lang w:val="es-419"/>
        </w:rPr>
      </w:pPr>
      <w:r w:rsidRPr="00CC7615">
        <w:rPr>
          <w:rFonts w:ascii="Arial" w:hAnsi="Arial" w:cs="Arial"/>
          <w:b/>
          <w:bCs/>
          <w:i/>
          <w:szCs w:val="24"/>
          <w:lang w:val="es-419"/>
        </w:rPr>
        <w:t>2.3. Cabe añadir que la estipulación de plazos perentorios para la resolución de los litigios, deriva de la necesidad de dar cumplimiento a los diferentes tratados internacionales que ha suscrito Colombia, entre ellos el Pacto de Derechos Civiles y Políticos del 16 de diciembre de 1966, ratificado con la ley 74 de 1968, que en su artículo 9° (numeral 3°), dispone que "[t]oda persona detenida o presa a causa de una infracción penal será llevada sin demora ante un juez u otro funcionario autorizado por la ley para ejercer funciones judiciales, y tendrá derecho a ser juzgada dentro de un plazo razonable o a ser puesta en libertad", mandato que por su relevancia no sólo debe restringirse a materia penal, sino también a asuntos de naturaleza civil.”</w:t>
      </w:r>
    </w:p>
    <w:p w:rsidR="00C04D7F" w:rsidRPr="00CD4F54" w:rsidRDefault="00C04D7F" w:rsidP="00CD4F54">
      <w:pPr>
        <w:pStyle w:val="Sinespaciado1"/>
        <w:spacing w:line="288" w:lineRule="auto"/>
        <w:ind w:firstLine="2880"/>
        <w:jc w:val="both"/>
        <w:rPr>
          <w:rFonts w:ascii="Arial" w:hAnsi="Arial" w:cs="Arial"/>
          <w:sz w:val="24"/>
          <w:szCs w:val="24"/>
          <w:lang w:val="es-419"/>
        </w:rPr>
      </w:pPr>
    </w:p>
    <w:p w:rsidR="00A22A12" w:rsidRPr="00CD4F54" w:rsidRDefault="00A22A12" w:rsidP="00CD4F54">
      <w:pPr>
        <w:pStyle w:val="Sinespaciado1"/>
        <w:tabs>
          <w:tab w:val="left" w:pos="2410"/>
        </w:tabs>
        <w:spacing w:line="288" w:lineRule="auto"/>
        <w:ind w:firstLine="2835"/>
        <w:jc w:val="both"/>
        <w:rPr>
          <w:rFonts w:ascii="Arial" w:hAnsi="Arial" w:cs="Arial"/>
          <w:bCs/>
          <w:sz w:val="24"/>
          <w:szCs w:val="24"/>
          <w:lang w:val="es-419"/>
        </w:rPr>
      </w:pPr>
      <w:r w:rsidRPr="00CD4F54">
        <w:rPr>
          <w:rFonts w:ascii="Arial" w:hAnsi="Arial" w:cs="Arial"/>
          <w:bCs/>
          <w:sz w:val="24"/>
          <w:szCs w:val="24"/>
          <w:lang w:val="es-419"/>
        </w:rPr>
        <w:t xml:space="preserve">Tal postura la ha venido sosteniendo, verificable en las sentencias </w:t>
      </w:r>
      <w:r w:rsidRPr="00CD4F54">
        <w:rPr>
          <w:rFonts w:ascii="Arial" w:hAnsi="Arial" w:cs="Arial"/>
          <w:b/>
          <w:bCs/>
          <w:sz w:val="24"/>
          <w:szCs w:val="24"/>
          <w:lang w:val="es-419"/>
        </w:rPr>
        <w:t>STC14822-2018</w:t>
      </w:r>
      <w:r w:rsidRPr="00CD4F54">
        <w:rPr>
          <w:rFonts w:ascii="Arial" w:hAnsi="Arial" w:cs="Arial"/>
          <w:bCs/>
          <w:sz w:val="24"/>
          <w:szCs w:val="24"/>
          <w:lang w:val="es-419"/>
        </w:rPr>
        <w:t xml:space="preserve"> y </w:t>
      </w:r>
      <w:r w:rsidRPr="00CD4F54">
        <w:rPr>
          <w:rFonts w:ascii="Arial" w:hAnsi="Arial" w:cs="Arial"/>
          <w:b/>
          <w:bCs/>
          <w:sz w:val="24"/>
          <w:szCs w:val="24"/>
          <w:lang w:val="es-419"/>
        </w:rPr>
        <w:t>STC14827-2018</w:t>
      </w:r>
      <w:r w:rsidRPr="00CD4F54">
        <w:rPr>
          <w:rFonts w:ascii="Arial" w:hAnsi="Arial" w:cs="Arial"/>
          <w:bCs/>
          <w:sz w:val="24"/>
          <w:szCs w:val="24"/>
          <w:lang w:val="es-419"/>
        </w:rPr>
        <w:t>, (ambas del 14 de noviembre), en las que señaló:</w:t>
      </w:r>
    </w:p>
    <w:p w:rsidR="00A22A12" w:rsidRPr="00CD4F54" w:rsidRDefault="00A22A12" w:rsidP="00CD4F54">
      <w:pPr>
        <w:pStyle w:val="Sinespaciado1"/>
        <w:tabs>
          <w:tab w:val="left" w:pos="2410"/>
        </w:tabs>
        <w:spacing w:line="288" w:lineRule="auto"/>
        <w:ind w:firstLine="2835"/>
        <w:jc w:val="both"/>
        <w:rPr>
          <w:rFonts w:ascii="Arial" w:hAnsi="Arial" w:cs="Arial"/>
          <w:bCs/>
          <w:sz w:val="24"/>
          <w:szCs w:val="24"/>
          <w:lang w:val="es-419"/>
        </w:rPr>
      </w:pPr>
    </w:p>
    <w:p w:rsidR="00A22A12" w:rsidRPr="00CC7615" w:rsidRDefault="00A22A12" w:rsidP="00CC7615">
      <w:pPr>
        <w:pStyle w:val="Sinespaciado1"/>
        <w:tabs>
          <w:tab w:val="left" w:pos="2410"/>
        </w:tabs>
        <w:ind w:left="426" w:right="420" w:firstLine="2127"/>
        <w:jc w:val="both"/>
        <w:rPr>
          <w:rFonts w:ascii="Arial" w:hAnsi="Arial" w:cs="Arial"/>
          <w:b/>
          <w:bCs/>
          <w:i/>
          <w:szCs w:val="24"/>
          <w:lang w:val="es-419"/>
        </w:rPr>
      </w:pPr>
      <w:r w:rsidRPr="00CC7615">
        <w:rPr>
          <w:rFonts w:ascii="Arial" w:hAnsi="Arial" w:cs="Arial"/>
          <w:b/>
          <w:bCs/>
          <w:i/>
          <w:szCs w:val="24"/>
          <w:lang w:val="es-419"/>
        </w:rPr>
        <w:t>“Entonces, la hermenéutica que en esta oportunidad reitera la Corte, la que inicialmente fue plasmada en la sentencia (STC 8849-2018), alude a que el anotado plazo para dictar sentencia corre de forma objetiva, salvo interrupción o suspensión del litigio, norma, por demás vigente y aplicable, desde que comenzó a regir el Código General del Proceso, sin que tal postura fuera cambiada por el precedente que en efecto, citó el Tribunal encausado en la providencia censurada (T-341/2018).”</w:t>
      </w:r>
    </w:p>
    <w:p w:rsidR="00A22A12" w:rsidRPr="00CD4F54" w:rsidRDefault="00A22A12" w:rsidP="00CD4F54">
      <w:pPr>
        <w:pStyle w:val="Sinespaciado1"/>
        <w:tabs>
          <w:tab w:val="left" w:pos="2410"/>
        </w:tabs>
        <w:spacing w:line="288" w:lineRule="auto"/>
        <w:ind w:firstLine="2835"/>
        <w:jc w:val="both"/>
        <w:rPr>
          <w:rFonts w:ascii="Arial" w:hAnsi="Arial" w:cs="Arial"/>
          <w:bCs/>
          <w:sz w:val="24"/>
          <w:szCs w:val="24"/>
          <w:lang w:val="es-419"/>
        </w:rPr>
      </w:pPr>
    </w:p>
    <w:p w:rsidR="00A22A12" w:rsidRPr="00CD4F54" w:rsidRDefault="00A22A12" w:rsidP="00CD4F54">
      <w:pPr>
        <w:pStyle w:val="Sinespaciado1"/>
        <w:tabs>
          <w:tab w:val="left" w:pos="2410"/>
        </w:tabs>
        <w:spacing w:line="288" w:lineRule="auto"/>
        <w:ind w:firstLine="2835"/>
        <w:jc w:val="both"/>
        <w:rPr>
          <w:rFonts w:ascii="Arial" w:hAnsi="Arial" w:cs="Arial"/>
          <w:bCs/>
          <w:sz w:val="24"/>
          <w:szCs w:val="24"/>
          <w:lang w:val="es-419"/>
        </w:rPr>
      </w:pPr>
      <w:r w:rsidRPr="00CD4F54">
        <w:rPr>
          <w:rFonts w:ascii="Arial" w:hAnsi="Arial" w:cs="Arial"/>
          <w:bCs/>
          <w:sz w:val="24"/>
          <w:szCs w:val="24"/>
          <w:lang w:val="es-419"/>
        </w:rPr>
        <w:t xml:space="preserve">Más adelante en la </w:t>
      </w:r>
      <w:r w:rsidRPr="00CD4F54">
        <w:rPr>
          <w:rFonts w:ascii="Arial" w:hAnsi="Arial" w:cs="Arial"/>
          <w:b/>
          <w:bCs/>
          <w:sz w:val="24"/>
          <w:szCs w:val="24"/>
          <w:lang w:val="es-419"/>
        </w:rPr>
        <w:t>STC427-2019</w:t>
      </w:r>
      <w:r w:rsidRPr="00CD4F54">
        <w:rPr>
          <w:rFonts w:ascii="Arial" w:hAnsi="Arial" w:cs="Arial"/>
          <w:sz w:val="24"/>
          <w:szCs w:val="24"/>
          <w:lang w:val="es-419"/>
        </w:rPr>
        <w:t xml:space="preserve"> </w:t>
      </w:r>
      <w:r w:rsidRPr="00CD4F54">
        <w:rPr>
          <w:rFonts w:ascii="Arial" w:hAnsi="Arial" w:cs="Arial"/>
          <w:bCs/>
          <w:sz w:val="24"/>
          <w:szCs w:val="24"/>
          <w:lang w:val="es-419"/>
        </w:rPr>
        <w:t>(24 de enero de 2019), oficiosamente realizó el control del término establecido en el artículo 121, para determinar que operó la pérdida de la competencia por superar el plazo de un año para dictar sentencia en primera instancia. En su parte pertinente, dice:</w:t>
      </w:r>
    </w:p>
    <w:p w:rsidR="00A22A12" w:rsidRPr="00CD4F54" w:rsidRDefault="00A22A12" w:rsidP="00CD4F54">
      <w:pPr>
        <w:pStyle w:val="Sinespaciado1"/>
        <w:tabs>
          <w:tab w:val="left" w:pos="2410"/>
        </w:tabs>
        <w:spacing w:line="288" w:lineRule="auto"/>
        <w:ind w:firstLine="2835"/>
        <w:jc w:val="both"/>
        <w:rPr>
          <w:rFonts w:ascii="Arial" w:hAnsi="Arial" w:cs="Arial"/>
          <w:bCs/>
          <w:sz w:val="24"/>
          <w:szCs w:val="24"/>
          <w:lang w:val="es-419"/>
        </w:rPr>
      </w:pPr>
    </w:p>
    <w:p w:rsidR="00A22A12" w:rsidRPr="00CC7615" w:rsidRDefault="00A22A12" w:rsidP="00CC7615">
      <w:pPr>
        <w:pStyle w:val="Sinespaciado1"/>
        <w:tabs>
          <w:tab w:val="left" w:pos="2410"/>
        </w:tabs>
        <w:ind w:left="426" w:right="420" w:firstLine="2127"/>
        <w:jc w:val="both"/>
        <w:rPr>
          <w:rFonts w:ascii="Arial" w:hAnsi="Arial" w:cs="Arial"/>
          <w:b/>
          <w:bCs/>
          <w:i/>
          <w:szCs w:val="24"/>
          <w:lang w:val="es-419"/>
        </w:rPr>
      </w:pPr>
      <w:r w:rsidRPr="00CC7615">
        <w:rPr>
          <w:rFonts w:ascii="Arial" w:hAnsi="Arial" w:cs="Arial"/>
          <w:b/>
          <w:bCs/>
          <w:i/>
          <w:szCs w:val="24"/>
          <w:lang w:val="es-419"/>
        </w:rPr>
        <w:t>“…</w:t>
      </w:r>
      <w:r w:rsidR="00CC7615" w:rsidRPr="00CC7615">
        <w:rPr>
          <w:rFonts w:ascii="Arial" w:hAnsi="Arial" w:cs="Arial"/>
          <w:b/>
          <w:bCs/>
          <w:i/>
          <w:szCs w:val="24"/>
          <w:lang w:val="es-419"/>
        </w:rPr>
        <w:t xml:space="preserve"> </w:t>
      </w:r>
      <w:r w:rsidRPr="00CC7615">
        <w:rPr>
          <w:rFonts w:ascii="Arial" w:hAnsi="Arial" w:cs="Arial"/>
          <w:b/>
          <w:bCs/>
          <w:i/>
          <w:szCs w:val="24"/>
          <w:lang w:val="es-419"/>
        </w:rPr>
        <w:t xml:space="preserve">en este orden de ideas, se advierte que en el caso sub-examine, el termino establecido en el artículo 121 de la nueva codificación procesal civil actualmente se encuentra más que superado, si en cuenta se tiene que la demandada fue notificada del juicio de liquidación de la sociedad conyugal en julio de 2017, además el trámite de este proceso no se interrumpió y tampoco se suspendió por alguna causa legal, </w:t>
      </w:r>
      <w:r w:rsidRPr="00CC7615">
        <w:rPr>
          <w:rFonts w:ascii="Arial" w:hAnsi="Arial" w:cs="Arial"/>
          <w:b/>
          <w:bCs/>
          <w:i/>
          <w:szCs w:val="24"/>
          <w:u w:val="single"/>
          <w:lang w:val="es-419"/>
        </w:rPr>
        <w:t>de manera que era deber del estrado judicial atacado declarar la perdida automática de la competencia a partir del día en que se cumplió el plazo de un año para dictar sentencia, contado desde la notificación de la parte demandada, circunstancia que conllevó a la vulneración de la garantía al debido proceso del actor</w:t>
      </w:r>
      <w:r w:rsidR="00CC7615">
        <w:rPr>
          <w:rFonts w:ascii="Arial" w:hAnsi="Arial" w:cs="Arial"/>
          <w:b/>
          <w:bCs/>
          <w:i/>
          <w:szCs w:val="24"/>
          <w:u w:val="single"/>
        </w:rPr>
        <w:t>”.</w:t>
      </w:r>
      <w:r w:rsidRPr="00CC7615">
        <w:rPr>
          <w:rFonts w:ascii="Arial" w:hAnsi="Arial" w:cs="Arial"/>
          <w:b/>
          <w:bCs/>
          <w:i/>
          <w:szCs w:val="24"/>
          <w:lang w:val="es-419"/>
        </w:rPr>
        <w:t xml:space="preserve"> </w:t>
      </w:r>
      <w:r w:rsidRPr="00CC7615">
        <w:rPr>
          <w:rFonts w:ascii="Arial" w:hAnsi="Arial" w:cs="Arial"/>
          <w:bCs/>
          <w:i/>
          <w:sz w:val="24"/>
          <w:szCs w:val="24"/>
          <w:lang w:val="es-419"/>
        </w:rPr>
        <w:t>(Se subraya)</w:t>
      </w:r>
    </w:p>
    <w:p w:rsidR="00A22A12" w:rsidRPr="00CD4F54" w:rsidRDefault="00A22A12" w:rsidP="00CD4F54">
      <w:pPr>
        <w:pStyle w:val="Sinespaciado1"/>
        <w:tabs>
          <w:tab w:val="left" w:pos="2410"/>
        </w:tabs>
        <w:spacing w:line="288" w:lineRule="auto"/>
        <w:ind w:firstLine="2835"/>
        <w:jc w:val="both"/>
        <w:rPr>
          <w:rFonts w:ascii="Arial" w:hAnsi="Arial" w:cs="Arial"/>
          <w:bCs/>
          <w:sz w:val="24"/>
          <w:szCs w:val="24"/>
          <w:lang w:val="es-419"/>
        </w:rPr>
      </w:pPr>
    </w:p>
    <w:p w:rsidR="00A22A12" w:rsidRPr="00CD4F54" w:rsidRDefault="00A22A12" w:rsidP="00CD4F54">
      <w:pPr>
        <w:pStyle w:val="Sinespaciado1"/>
        <w:tabs>
          <w:tab w:val="left" w:pos="2410"/>
        </w:tabs>
        <w:spacing w:line="288" w:lineRule="auto"/>
        <w:ind w:firstLine="2835"/>
        <w:jc w:val="both"/>
        <w:rPr>
          <w:rFonts w:ascii="Arial" w:hAnsi="Arial" w:cs="Arial"/>
          <w:bCs/>
          <w:sz w:val="24"/>
          <w:szCs w:val="24"/>
          <w:lang w:val="es-419"/>
        </w:rPr>
      </w:pPr>
    </w:p>
    <w:p w:rsidR="00A22A12" w:rsidRPr="00CD4F54" w:rsidRDefault="00A22A12" w:rsidP="00CD4F54">
      <w:pPr>
        <w:pStyle w:val="Sinespaciado1"/>
        <w:tabs>
          <w:tab w:val="left" w:pos="2410"/>
        </w:tabs>
        <w:spacing w:line="288" w:lineRule="auto"/>
        <w:ind w:firstLine="2835"/>
        <w:jc w:val="both"/>
        <w:rPr>
          <w:rFonts w:ascii="Arial" w:hAnsi="Arial" w:cs="Arial"/>
          <w:bCs/>
          <w:sz w:val="24"/>
          <w:szCs w:val="24"/>
          <w:lang w:val="es-419"/>
        </w:rPr>
      </w:pPr>
      <w:r w:rsidRPr="00CD4F54">
        <w:rPr>
          <w:rFonts w:ascii="Arial" w:hAnsi="Arial" w:cs="Arial"/>
          <w:bCs/>
          <w:sz w:val="24"/>
          <w:szCs w:val="24"/>
          <w:lang w:val="es-419"/>
        </w:rPr>
        <w:t xml:space="preserve">Igualmente, en otro muy reciente proveído, sentencia </w:t>
      </w:r>
      <w:r w:rsidRPr="00CD4F54">
        <w:rPr>
          <w:rFonts w:ascii="Arial" w:hAnsi="Arial" w:cs="Arial"/>
          <w:b/>
          <w:bCs/>
          <w:sz w:val="24"/>
          <w:szCs w:val="24"/>
          <w:lang w:val="es-419"/>
        </w:rPr>
        <w:t>STC-1553-2019</w:t>
      </w:r>
      <w:r w:rsidRPr="00CD4F54">
        <w:rPr>
          <w:rFonts w:ascii="Arial" w:hAnsi="Arial" w:cs="Arial"/>
          <w:bCs/>
          <w:sz w:val="24"/>
          <w:szCs w:val="24"/>
          <w:lang w:val="es-419"/>
        </w:rPr>
        <w:t xml:space="preserve"> (14 de febrero), insistió en la aplicación objetiva del artículo 121 del CGP. Allí categóricamente expuso que:</w:t>
      </w:r>
    </w:p>
    <w:p w:rsidR="00A22A12" w:rsidRPr="00CD4F54" w:rsidRDefault="00A22A12" w:rsidP="00CD4F54">
      <w:pPr>
        <w:pStyle w:val="Sinespaciado1"/>
        <w:tabs>
          <w:tab w:val="left" w:pos="2410"/>
        </w:tabs>
        <w:spacing w:line="288" w:lineRule="auto"/>
        <w:ind w:firstLine="2835"/>
        <w:jc w:val="both"/>
        <w:rPr>
          <w:rFonts w:ascii="Arial" w:hAnsi="Arial" w:cs="Arial"/>
          <w:bCs/>
          <w:sz w:val="24"/>
          <w:szCs w:val="24"/>
          <w:lang w:val="es-419"/>
        </w:rPr>
      </w:pPr>
    </w:p>
    <w:p w:rsidR="00A22A12" w:rsidRPr="00CC7615" w:rsidRDefault="00A22A12" w:rsidP="00CC7615">
      <w:pPr>
        <w:pStyle w:val="Sinespaciado1"/>
        <w:tabs>
          <w:tab w:val="left" w:pos="2410"/>
        </w:tabs>
        <w:ind w:left="426" w:right="420" w:firstLine="2127"/>
        <w:jc w:val="both"/>
        <w:rPr>
          <w:rFonts w:ascii="Arial" w:hAnsi="Arial" w:cs="Arial"/>
          <w:b/>
          <w:bCs/>
          <w:i/>
          <w:szCs w:val="24"/>
          <w:lang w:val="es-419"/>
        </w:rPr>
      </w:pPr>
      <w:r w:rsidRPr="00CC7615">
        <w:rPr>
          <w:rFonts w:ascii="Arial" w:hAnsi="Arial" w:cs="Arial"/>
          <w:b/>
          <w:bCs/>
          <w:i/>
          <w:szCs w:val="24"/>
          <w:lang w:val="es-419"/>
        </w:rPr>
        <w:t>“Así, correcto es entender que la circunstancia de no dictarse el respecto fallo en la oportunidad fijada por el legislador, trae consigo la inmediata pérdida de la competencia del juez, quien, por ende, no puede, a partir de la extinción del plazo para ello, adelantar actividad procesal alguna, al punto de que si la realiza, esta es nula, de pleno derecho.</w:t>
      </w:r>
    </w:p>
    <w:p w:rsidR="00A22A12" w:rsidRPr="00CC7615" w:rsidRDefault="00A22A12" w:rsidP="00CC7615">
      <w:pPr>
        <w:pStyle w:val="Sinespaciado1"/>
        <w:tabs>
          <w:tab w:val="left" w:pos="2410"/>
        </w:tabs>
        <w:ind w:left="426" w:right="420" w:firstLine="2127"/>
        <w:jc w:val="both"/>
        <w:rPr>
          <w:rFonts w:ascii="Arial" w:hAnsi="Arial" w:cs="Arial"/>
          <w:b/>
          <w:bCs/>
          <w:i/>
          <w:szCs w:val="24"/>
          <w:lang w:val="es-419"/>
        </w:rPr>
      </w:pPr>
    </w:p>
    <w:p w:rsidR="00A22A12" w:rsidRPr="00CC7615" w:rsidRDefault="00A22A12" w:rsidP="00CC7615">
      <w:pPr>
        <w:pStyle w:val="Sinespaciado1"/>
        <w:tabs>
          <w:tab w:val="left" w:pos="2410"/>
        </w:tabs>
        <w:ind w:left="426" w:right="420" w:firstLine="2127"/>
        <w:jc w:val="both"/>
        <w:rPr>
          <w:rFonts w:ascii="Arial" w:hAnsi="Arial" w:cs="Arial"/>
          <w:b/>
          <w:bCs/>
          <w:i/>
          <w:szCs w:val="24"/>
          <w:lang w:val="es-419"/>
        </w:rPr>
      </w:pPr>
      <w:r w:rsidRPr="00CC7615">
        <w:rPr>
          <w:rFonts w:ascii="Arial" w:hAnsi="Arial" w:cs="Arial"/>
          <w:b/>
          <w:bCs/>
          <w:i/>
          <w:szCs w:val="24"/>
          <w:lang w:val="es-419"/>
        </w:rPr>
        <w:t>Significa lo anterior, que las actuaciones extemporáneas del funcionario son nulas por sí mismas y no porque se decreten. La nulidad deriva del mandato del legislador y no de su reconocimiento judicial. Por ello, no hay lugar al saneamiento del vicio, ni a la convalidación de los actos afectados con él. La invalidación se impone y, consiguientemente, siempre debe ser declarada, incluso en los casos en que ninguna de las partes la reclame.</w:t>
      </w:r>
    </w:p>
    <w:p w:rsidR="00A22A12" w:rsidRPr="00CC7615" w:rsidRDefault="00A22A12" w:rsidP="00CC7615">
      <w:pPr>
        <w:pStyle w:val="Sinespaciado1"/>
        <w:tabs>
          <w:tab w:val="left" w:pos="2410"/>
        </w:tabs>
        <w:ind w:left="426" w:right="420" w:firstLine="2127"/>
        <w:jc w:val="both"/>
        <w:rPr>
          <w:rFonts w:ascii="Arial" w:hAnsi="Arial" w:cs="Arial"/>
          <w:b/>
          <w:bCs/>
          <w:i/>
          <w:szCs w:val="24"/>
          <w:lang w:val="es-419"/>
        </w:rPr>
      </w:pPr>
    </w:p>
    <w:p w:rsidR="00A22A12" w:rsidRPr="00CC7615" w:rsidRDefault="00A22A12" w:rsidP="00CC7615">
      <w:pPr>
        <w:pStyle w:val="Sinespaciado1"/>
        <w:tabs>
          <w:tab w:val="left" w:pos="2410"/>
        </w:tabs>
        <w:ind w:left="426" w:right="420" w:firstLine="2127"/>
        <w:jc w:val="both"/>
        <w:rPr>
          <w:rFonts w:ascii="Arial" w:hAnsi="Arial" w:cs="Arial"/>
          <w:b/>
          <w:bCs/>
          <w:i/>
          <w:szCs w:val="24"/>
          <w:lang w:val="es-419"/>
        </w:rPr>
      </w:pPr>
      <w:r w:rsidRPr="00CC7615">
        <w:rPr>
          <w:rFonts w:ascii="Arial" w:hAnsi="Arial" w:cs="Arial"/>
          <w:b/>
          <w:bCs/>
          <w:i/>
          <w:szCs w:val="24"/>
          <w:lang w:val="es-419"/>
        </w:rPr>
        <w:t>Los términos previstos en el C. G. de P. no constituyen una formalidad. Se trata de una búsqueda de la justicia material para los administrados y justiciables en el Estado Constitucional de Derecho, de modo que los juicios no se deben someter a plazos interminables, de nunca acabar.  El remedio no puede ser peor que la enfermedad. Solo hay justicia si las controversias se resuelven rápida y cumplidamente, en lapsos razonables, de modo que la ciudadanía, crea en sus jueces, y en el Estado, porque sus litigios se decidirán prontamente y sin dilaciones.”</w:t>
      </w:r>
    </w:p>
    <w:p w:rsidR="00DB5625" w:rsidRPr="00CD4F54" w:rsidRDefault="00DB5625" w:rsidP="00CD4F54">
      <w:pPr>
        <w:pStyle w:val="Sinespaciado1"/>
        <w:spacing w:line="288" w:lineRule="auto"/>
        <w:ind w:firstLine="2880"/>
        <w:jc w:val="both"/>
        <w:rPr>
          <w:rFonts w:ascii="Arial" w:hAnsi="Arial" w:cs="Arial"/>
          <w:sz w:val="24"/>
          <w:szCs w:val="24"/>
          <w:lang w:val="es-419"/>
        </w:rPr>
      </w:pPr>
    </w:p>
    <w:p w:rsidR="00137DC4" w:rsidRPr="00CD4F54" w:rsidRDefault="00B926EA" w:rsidP="00CD4F54">
      <w:pPr>
        <w:pStyle w:val="Sinespaciado1"/>
        <w:spacing w:line="288" w:lineRule="auto"/>
        <w:ind w:firstLine="2880"/>
        <w:jc w:val="both"/>
        <w:rPr>
          <w:rFonts w:ascii="Arial" w:hAnsi="Arial" w:cs="Arial"/>
          <w:sz w:val="24"/>
          <w:szCs w:val="24"/>
          <w:lang w:val="es-419"/>
        </w:rPr>
      </w:pPr>
      <w:r w:rsidRPr="00CD4F54">
        <w:rPr>
          <w:rFonts w:ascii="Arial" w:hAnsi="Arial" w:cs="Arial"/>
          <w:b/>
          <w:sz w:val="24"/>
          <w:szCs w:val="24"/>
          <w:lang w:val="es-419"/>
        </w:rPr>
        <w:t>4.</w:t>
      </w:r>
      <w:r w:rsidRPr="00CD4F54">
        <w:rPr>
          <w:rFonts w:ascii="Arial" w:hAnsi="Arial" w:cs="Arial"/>
          <w:sz w:val="24"/>
          <w:szCs w:val="24"/>
          <w:lang w:val="es-419"/>
        </w:rPr>
        <w:t xml:space="preserve"> Retornando al caso puntual, v</w:t>
      </w:r>
      <w:r w:rsidR="00923A51" w:rsidRPr="00CD4F54">
        <w:rPr>
          <w:rFonts w:ascii="Arial" w:hAnsi="Arial" w:cs="Arial"/>
          <w:sz w:val="24"/>
          <w:szCs w:val="24"/>
          <w:lang w:val="es-419"/>
        </w:rPr>
        <w:t xml:space="preserve">ista la foliatura, se tiene que </w:t>
      </w:r>
      <w:r w:rsidR="00923A51" w:rsidRPr="00CD4F54">
        <w:rPr>
          <w:rFonts w:ascii="Arial" w:hAnsi="Arial" w:cs="Arial"/>
          <w:bCs/>
          <w:sz w:val="24"/>
          <w:szCs w:val="24"/>
          <w:lang w:val="es-419"/>
        </w:rPr>
        <w:t xml:space="preserve">el libelo introductorio </w:t>
      </w:r>
      <w:r w:rsidR="00923A51" w:rsidRPr="00CD4F54">
        <w:rPr>
          <w:rFonts w:ascii="Arial" w:hAnsi="Arial" w:cs="Arial"/>
          <w:sz w:val="24"/>
          <w:szCs w:val="24"/>
          <w:lang w:val="es-419"/>
        </w:rPr>
        <w:t xml:space="preserve">fue </w:t>
      </w:r>
      <w:r w:rsidR="00153AF9" w:rsidRPr="00CD4F54">
        <w:rPr>
          <w:rFonts w:ascii="Arial" w:hAnsi="Arial" w:cs="Arial"/>
          <w:sz w:val="24"/>
          <w:szCs w:val="24"/>
          <w:lang w:val="es-419"/>
        </w:rPr>
        <w:t xml:space="preserve">asignado por reparto al Juzgado Cuarto Civil </w:t>
      </w:r>
      <w:r w:rsidR="009D5643" w:rsidRPr="00CD4F54">
        <w:rPr>
          <w:rFonts w:ascii="Arial" w:hAnsi="Arial" w:cs="Arial"/>
          <w:sz w:val="24"/>
          <w:szCs w:val="24"/>
          <w:lang w:val="es-419"/>
        </w:rPr>
        <w:t>del Circuito</w:t>
      </w:r>
      <w:r w:rsidR="00923A51" w:rsidRPr="00CD4F54">
        <w:rPr>
          <w:rFonts w:ascii="Arial" w:hAnsi="Arial" w:cs="Arial"/>
          <w:sz w:val="24"/>
          <w:szCs w:val="24"/>
          <w:lang w:val="es-419"/>
        </w:rPr>
        <w:t xml:space="preserve"> el </w:t>
      </w:r>
      <w:r w:rsidR="00153AF9" w:rsidRPr="00CD4F54">
        <w:rPr>
          <w:rFonts w:ascii="Arial" w:hAnsi="Arial" w:cs="Arial"/>
          <w:sz w:val="24"/>
          <w:szCs w:val="24"/>
          <w:lang w:val="es-419"/>
        </w:rPr>
        <w:t>27</w:t>
      </w:r>
      <w:r w:rsidR="00923A51" w:rsidRPr="00CD4F54">
        <w:rPr>
          <w:rFonts w:ascii="Arial" w:hAnsi="Arial" w:cs="Arial"/>
          <w:sz w:val="24"/>
          <w:szCs w:val="24"/>
          <w:lang w:val="es-419"/>
        </w:rPr>
        <w:t xml:space="preserve"> de </w:t>
      </w:r>
      <w:r w:rsidR="00DC46ED" w:rsidRPr="00CD4F54">
        <w:rPr>
          <w:rFonts w:ascii="Arial" w:hAnsi="Arial" w:cs="Arial"/>
          <w:sz w:val="24"/>
          <w:szCs w:val="24"/>
          <w:lang w:val="es-419"/>
        </w:rPr>
        <w:t xml:space="preserve">octubre </w:t>
      </w:r>
      <w:r w:rsidR="00153AF9" w:rsidRPr="00CD4F54">
        <w:rPr>
          <w:rFonts w:ascii="Arial" w:hAnsi="Arial" w:cs="Arial"/>
          <w:sz w:val="24"/>
          <w:szCs w:val="24"/>
          <w:lang w:val="es-419"/>
        </w:rPr>
        <w:t>de 2016</w:t>
      </w:r>
      <w:r w:rsidR="00923A51" w:rsidRPr="00CD4F54">
        <w:rPr>
          <w:rFonts w:ascii="Arial" w:hAnsi="Arial" w:cs="Arial"/>
          <w:sz w:val="24"/>
          <w:szCs w:val="24"/>
          <w:lang w:val="es-419"/>
        </w:rPr>
        <w:t xml:space="preserve">, siendo admitida la demanda el </w:t>
      </w:r>
      <w:r w:rsidR="002E0C08" w:rsidRPr="00CD4F54">
        <w:rPr>
          <w:rFonts w:ascii="Arial" w:hAnsi="Arial" w:cs="Arial"/>
          <w:sz w:val="24"/>
          <w:szCs w:val="24"/>
          <w:lang w:val="es-419"/>
        </w:rPr>
        <w:t xml:space="preserve">8 de noviembre del mismo año </w:t>
      </w:r>
      <w:r w:rsidR="00412063" w:rsidRPr="00CD4F54">
        <w:rPr>
          <w:rFonts w:ascii="Arial" w:hAnsi="Arial" w:cs="Arial"/>
          <w:sz w:val="24"/>
          <w:szCs w:val="24"/>
          <w:lang w:val="es-419"/>
        </w:rPr>
        <w:t>(f</w:t>
      </w:r>
      <w:r w:rsidR="00923A51" w:rsidRPr="00CD4F54">
        <w:rPr>
          <w:rFonts w:ascii="Arial" w:hAnsi="Arial" w:cs="Arial"/>
          <w:sz w:val="24"/>
          <w:szCs w:val="24"/>
          <w:lang w:val="es-419"/>
        </w:rPr>
        <w:t>l</w:t>
      </w:r>
      <w:r w:rsidR="002E0C08" w:rsidRPr="00CD4F54">
        <w:rPr>
          <w:rFonts w:ascii="Arial" w:hAnsi="Arial" w:cs="Arial"/>
          <w:sz w:val="24"/>
          <w:szCs w:val="24"/>
          <w:lang w:val="es-419"/>
        </w:rPr>
        <w:t>.</w:t>
      </w:r>
      <w:r w:rsidR="00923A51" w:rsidRPr="00CD4F54">
        <w:rPr>
          <w:rFonts w:ascii="Arial" w:hAnsi="Arial" w:cs="Arial"/>
          <w:sz w:val="24"/>
          <w:szCs w:val="24"/>
          <w:lang w:val="es-419"/>
        </w:rPr>
        <w:t xml:space="preserve"> </w:t>
      </w:r>
      <w:r w:rsidR="002E0C08" w:rsidRPr="00CD4F54">
        <w:rPr>
          <w:rFonts w:ascii="Arial" w:hAnsi="Arial" w:cs="Arial"/>
          <w:sz w:val="24"/>
          <w:szCs w:val="24"/>
          <w:lang w:val="es-419"/>
        </w:rPr>
        <w:t>302,304</w:t>
      </w:r>
      <w:r w:rsidR="00923A51" w:rsidRPr="00CD4F54">
        <w:rPr>
          <w:rFonts w:ascii="Arial" w:hAnsi="Arial" w:cs="Arial"/>
          <w:sz w:val="24"/>
          <w:szCs w:val="24"/>
          <w:lang w:val="es-419"/>
        </w:rPr>
        <w:t xml:space="preserve"> c. ppl.)</w:t>
      </w:r>
      <w:r w:rsidR="00BA16D4" w:rsidRPr="00CD4F54">
        <w:rPr>
          <w:rFonts w:ascii="Arial" w:hAnsi="Arial" w:cs="Arial"/>
          <w:sz w:val="24"/>
          <w:szCs w:val="24"/>
          <w:lang w:val="es-419"/>
        </w:rPr>
        <w:t xml:space="preserve">. </w:t>
      </w:r>
      <w:r w:rsidR="00F976D3" w:rsidRPr="00CD4F54">
        <w:rPr>
          <w:rFonts w:ascii="Arial" w:hAnsi="Arial" w:cs="Arial"/>
          <w:sz w:val="24"/>
          <w:szCs w:val="24"/>
          <w:lang w:val="es-419"/>
        </w:rPr>
        <w:t xml:space="preserve"> </w:t>
      </w:r>
      <w:r w:rsidR="00616307" w:rsidRPr="00CD4F54">
        <w:rPr>
          <w:rFonts w:ascii="Arial" w:hAnsi="Arial" w:cs="Arial"/>
          <w:sz w:val="24"/>
          <w:szCs w:val="24"/>
          <w:lang w:val="es-419"/>
        </w:rPr>
        <w:t xml:space="preserve">Se prosiguió con </w:t>
      </w:r>
      <w:r w:rsidR="00BA16D4" w:rsidRPr="00CD4F54">
        <w:rPr>
          <w:rFonts w:ascii="Arial" w:hAnsi="Arial" w:cs="Arial"/>
          <w:sz w:val="24"/>
          <w:szCs w:val="24"/>
          <w:lang w:val="es-419"/>
        </w:rPr>
        <w:t xml:space="preserve">la notificación a los demandados, la última de aquellas </w:t>
      </w:r>
      <w:r w:rsidR="00933F36" w:rsidRPr="00CD4F54">
        <w:rPr>
          <w:rFonts w:ascii="Arial" w:hAnsi="Arial" w:cs="Arial"/>
          <w:sz w:val="24"/>
          <w:szCs w:val="24"/>
          <w:lang w:val="es-419"/>
        </w:rPr>
        <w:t xml:space="preserve">se surtió </w:t>
      </w:r>
      <w:r w:rsidR="00BA16D4" w:rsidRPr="00CD4F54">
        <w:rPr>
          <w:rFonts w:ascii="Arial" w:hAnsi="Arial" w:cs="Arial"/>
          <w:sz w:val="24"/>
          <w:szCs w:val="24"/>
          <w:lang w:val="es-419"/>
        </w:rPr>
        <w:t xml:space="preserve">mediante curador </w:t>
      </w:r>
      <w:r w:rsidR="00BA16D4" w:rsidRPr="00CD4F54">
        <w:rPr>
          <w:rFonts w:ascii="Arial" w:hAnsi="Arial" w:cs="Arial"/>
          <w:i/>
          <w:sz w:val="24"/>
          <w:szCs w:val="24"/>
          <w:lang w:val="es-419"/>
        </w:rPr>
        <w:t>ad litem</w:t>
      </w:r>
      <w:r w:rsidR="00117C84">
        <w:rPr>
          <w:rFonts w:ascii="Arial" w:hAnsi="Arial" w:cs="Arial"/>
          <w:i/>
          <w:sz w:val="24"/>
          <w:szCs w:val="24"/>
        </w:rPr>
        <w:t xml:space="preserve"> </w:t>
      </w:r>
      <w:r w:rsidR="00BA16D4" w:rsidRPr="00CD4F54">
        <w:rPr>
          <w:rFonts w:ascii="Arial" w:hAnsi="Arial" w:cs="Arial"/>
          <w:sz w:val="24"/>
          <w:szCs w:val="24"/>
          <w:lang w:val="es-419"/>
        </w:rPr>
        <w:t>el 5 de julio de 2017 (fl. 400 c. ppal)</w:t>
      </w:r>
      <w:r w:rsidR="00137DC4" w:rsidRPr="00CD4F54">
        <w:rPr>
          <w:rFonts w:ascii="Arial" w:hAnsi="Arial" w:cs="Arial"/>
          <w:sz w:val="24"/>
          <w:szCs w:val="24"/>
          <w:lang w:val="es-419"/>
        </w:rPr>
        <w:t>.</w:t>
      </w:r>
    </w:p>
    <w:p w:rsidR="00137DC4" w:rsidRPr="00CD4F54" w:rsidRDefault="00137DC4" w:rsidP="00CD4F54">
      <w:pPr>
        <w:pStyle w:val="Sinespaciado1"/>
        <w:spacing w:line="288" w:lineRule="auto"/>
        <w:ind w:firstLine="2880"/>
        <w:jc w:val="both"/>
        <w:rPr>
          <w:rFonts w:ascii="Arial" w:hAnsi="Arial" w:cs="Arial"/>
          <w:sz w:val="24"/>
          <w:szCs w:val="24"/>
          <w:lang w:val="es-419"/>
        </w:rPr>
      </w:pPr>
    </w:p>
    <w:p w:rsidR="00BA16D4" w:rsidRPr="00CD4F54" w:rsidRDefault="00137DC4" w:rsidP="00CD4F54">
      <w:pPr>
        <w:pStyle w:val="Sinespaciado1"/>
        <w:spacing w:line="288" w:lineRule="auto"/>
        <w:ind w:firstLine="2880"/>
        <w:jc w:val="both"/>
        <w:rPr>
          <w:rFonts w:ascii="Arial" w:hAnsi="Arial" w:cs="Arial"/>
          <w:sz w:val="24"/>
          <w:szCs w:val="24"/>
          <w:lang w:val="es-419"/>
        </w:rPr>
      </w:pPr>
      <w:r w:rsidRPr="00CD4F54">
        <w:rPr>
          <w:rFonts w:ascii="Arial" w:hAnsi="Arial" w:cs="Arial"/>
          <w:sz w:val="24"/>
          <w:szCs w:val="24"/>
          <w:lang w:val="es-419"/>
        </w:rPr>
        <w:t>También se sabe</w:t>
      </w:r>
      <w:r w:rsidR="009A7528" w:rsidRPr="00CD4F54">
        <w:rPr>
          <w:rFonts w:ascii="Arial" w:hAnsi="Arial" w:cs="Arial"/>
          <w:sz w:val="24"/>
          <w:szCs w:val="24"/>
          <w:lang w:val="es-419"/>
        </w:rPr>
        <w:t>,</w:t>
      </w:r>
      <w:r w:rsidRPr="00CD4F54">
        <w:rPr>
          <w:rFonts w:ascii="Arial" w:hAnsi="Arial" w:cs="Arial"/>
          <w:sz w:val="24"/>
          <w:szCs w:val="24"/>
          <w:lang w:val="es-419"/>
        </w:rPr>
        <w:t xml:space="preserve"> </w:t>
      </w:r>
      <w:r w:rsidR="002D490B" w:rsidRPr="00CD4F54">
        <w:rPr>
          <w:rFonts w:ascii="Arial" w:hAnsi="Arial" w:cs="Arial"/>
          <w:sz w:val="24"/>
          <w:szCs w:val="24"/>
          <w:lang w:val="es-419"/>
        </w:rPr>
        <w:t>se efectuaron varios llamados en garantía</w:t>
      </w:r>
      <w:r w:rsidR="00044F59" w:rsidRPr="00CD4F54">
        <w:rPr>
          <w:rFonts w:ascii="Arial" w:hAnsi="Arial" w:cs="Arial"/>
          <w:sz w:val="24"/>
          <w:szCs w:val="24"/>
          <w:lang w:val="es-419"/>
        </w:rPr>
        <w:t>, notificados en su orden</w:t>
      </w:r>
      <w:r w:rsidR="00CD332A" w:rsidRPr="00CD4F54">
        <w:rPr>
          <w:rFonts w:ascii="Arial" w:hAnsi="Arial" w:cs="Arial"/>
          <w:sz w:val="24"/>
          <w:szCs w:val="24"/>
          <w:lang w:val="es-419"/>
        </w:rPr>
        <w:t xml:space="preserve"> </w:t>
      </w:r>
      <w:r w:rsidR="00A22D53" w:rsidRPr="00CD4F54">
        <w:rPr>
          <w:rFonts w:ascii="Arial" w:hAnsi="Arial" w:cs="Arial"/>
          <w:sz w:val="24"/>
          <w:szCs w:val="24"/>
          <w:lang w:val="es-419"/>
        </w:rPr>
        <w:t>así</w:t>
      </w:r>
      <w:r w:rsidR="00933F36" w:rsidRPr="00CD4F54">
        <w:rPr>
          <w:rFonts w:ascii="Arial" w:hAnsi="Arial" w:cs="Arial"/>
          <w:sz w:val="24"/>
          <w:szCs w:val="24"/>
          <w:lang w:val="es-419"/>
        </w:rPr>
        <w:t>: 1) Allianz Seguros S.A.S el 15 de mayo de 2017; 2) Previsora S.A. el 15 de junio de 2017; 3) Clínica Los Rosales y Liberty Seguros S.A.</w:t>
      </w:r>
      <w:r w:rsidR="001F0819" w:rsidRPr="00CD4F54">
        <w:rPr>
          <w:rFonts w:ascii="Arial" w:hAnsi="Arial" w:cs="Arial"/>
          <w:sz w:val="24"/>
          <w:szCs w:val="24"/>
          <w:lang w:val="es-419"/>
        </w:rPr>
        <w:t xml:space="preserve"> admitida el 23 de agosto de 2017, notificadas el 13 de diciembre del mismo año. (fls. 64 c. 2, 58 c. 3, 62 c 4 y 32 c. 5)</w:t>
      </w:r>
      <w:r w:rsidR="00A22D53" w:rsidRPr="00CD4F54">
        <w:rPr>
          <w:rFonts w:ascii="Arial" w:hAnsi="Arial" w:cs="Arial"/>
          <w:sz w:val="24"/>
          <w:szCs w:val="24"/>
          <w:lang w:val="es-419"/>
        </w:rPr>
        <w:t>.</w:t>
      </w:r>
      <w:r w:rsidR="00117095" w:rsidRPr="00CD4F54">
        <w:rPr>
          <w:rFonts w:ascii="Arial" w:hAnsi="Arial" w:cs="Arial"/>
          <w:sz w:val="24"/>
          <w:szCs w:val="24"/>
          <w:lang w:val="es-419"/>
        </w:rPr>
        <w:t xml:space="preserve"> </w:t>
      </w:r>
    </w:p>
    <w:p w:rsidR="00117095" w:rsidRPr="00CD4F54" w:rsidRDefault="009A7528" w:rsidP="00CD4F54">
      <w:pPr>
        <w:pStyle w:val="Sinespaciado1"/>
        <w:spacing w:line="288" w:lineRule="auto"/>
        <w:ind w:firstLine="2880"/>
        <w:jc w:val="both"/>
        <w:rPr>
          <w:rFonts w:ascii="Arial" w:hAnsi="Arial" w:cs="Arial"/>
          <w:sz w:val="24"/>
          <w:szCs w:val="24"/>
          <w:lang w:val="es-419"/>
        </w:rPr>
      </w:pPr>
      <w:r w:rsidRPr="00CD4F54">
        <w:rPr>
          <w:rFonts w:ascii="Arial" w:hAnsi="Arial" w:cs="Arial"/>
          <w:sz w:val="24"/>
          <w:szCs w:val="24"/>
          <w:lang w:val="es-419"/>
        </w:rPr>
        <w:t>Finalmente, p</w:t>
      </w:r>
      <w:r w:rsidR="00A22D53" w:rsidRPr="00CD4F54">
        <w:rPr>
          <w:rFonts w:ascii="Arial" w:hAnsi="Arial" w:cs="Arial"/>
          <w:sz w:val="24"/>
          <w:szCs w:val="24"/>
          <w:lang w:val="es-419"/>
        </w:rPr>
        <w:t>or auto del 20 de junio de 2018 se prorrogó el término para fallar, por lo que, c</w:t>
      </w:r>
      <w:r w:rsidR="00117095" w:rsidRPr="00CD4F54">
        <w:rPr>
          <w:rFonts w:ascii="Arial" w:hAnsi="Arial" w:cs="Arial"/>
          <w:sz w:val="24"/>
          <w:szCs w:val="24"/>
          <w:lang w:val="es-419"/>
        </w:rPr>
        <w:t xml:space="preserve">ulminado el trámite procesal, </w:t>
      </w:r>
      <w:r w:rsidR="0061105D" w:rsidRPr="00CD4F54">
        <w:rPr>
          <w:rFonts w:ascii="Arial" w:hAnsi="Arial" w:cs="Arial"/>
          <w:sz w:val="24"/>
          <w:szCs w:val="24"/>
          <w:lang w:val="es-419"/>
        </w:rPr>
        <w:t xml:space="preserve">se puso fin a la </w:t>
      </w:r>
      <w:r w:rsidR="00117095" w:rsidRPr="00CD4F54">
        <w:rPr>
          <w:rFonts w:ascii="Arial" w:hAnsi="Arial" w:cs="Arial"/>
          <w:sz w:val="24"/>
          <w:szCs w:val="24"/>
          <w:lang w:val="es-419"/>
        </w:rPr>
        <w:t xml:space="preserve">instancia con sentencia del 8 de mayo de </w:t>
      </w:r>
      <w:r w:rsidR="00F976D3" w:rsidRPr="00CD4F54">
        <w:rPr>
          <w:rFonts w:ascii="Arial" w:hAnsi="Arial" w:cs="Arial"/>
          <w:sz w:val="24"/>
          <w:szCs w:val="24"/>
          <w:lang w:val="es-419"/>
        </w:rPr>
        <w:t>2019</w:t>
      </w:r>
      <w:r w:rsidR="00117095" w:rsidRPr="00CD4F54">
        <w:rPr>
          <w:rFonts w:ascii="Arial" w:hAnsi="Arial" w:cs="Arial"/>
          <w:sz w:val="24"/>
          <w:szCs w:val="24"/>
          <w:lang w:val="es-419"/>
        </w:rPr>
        <w:t>, recurrida por el extremo demandante.</w:t>
      </w:r>
    </w:p>
    <w:p w:rsidR="00802A4D" w:rsidRPr="00CD4F54" w:rsidRDefault="00802A4D" w:rsidP="00CD4F54">
      <w:pPr>
        <w:pStyle w:val="Sinespaciado1"/>
        <w:spacing w:line="288" w:lineRule="auto"/>
        <w:ind w:firstLine="2880"/>
        <w:jc w:val="both"/>
        <w:rPr>
          <w:rFonts w:ascii="Arial" w:hAnsi="Arial" w:cs="Arial"/>
          <w:sz w:val="24"/>
          <w:szCs w:val="24"/>
          <w:lang w:val="es-419"/>
        </w:rPr>
      </w:pPr>
    </w:p>
    <w:p w:rsidR="0010197D" w:rsidRPr="00CD4F54" w:rsidRDefault="009A7528" w:rsidP="00CD4F54">
      <w:pPr>
        <w:pStyle w:val="Sinespaciado1"/>
        <w:spacing w:line="288" w:lineRule="auto"/>
        <w:ind w:firstLine="2880"/>
        <w:jc w:val="both"/>
        <w:rPr>
          <w:rFonts w:ascii="Arial" w:hAnsi="Arial" w:cs="Arial"/>
          <w:sz w:val="24"/>
          <w:szCs w:val="24"/>
          <w:lang w:val="es-419"/>
        </w:rPr>
      </w:pPr>
      <w:r w:rsidRPr="00CD4F54">
        <w:rPr>
          <w:rFonts w:ascii="Arial" w:hAnsi="Arial" w:cs="Arial"/>
          <w:b/>
          <w:sz w:val="24"/>
          <w:szCs w:val="24"/>
          <w:lang w:val="es-419"/>
        </w:rPr>
        <w:t>5</w:t>
      </w:r>
      <w:r w:rsidR="00802A4D" w:rsidRPr="00CD4F54">
        <w:rPr>
          <w:rFonts w:ascii="Arial" w:hAnsi="Arial" w:cs="Arial"/>
          <w:b/>
          <w:sz w:val="24"/>
          <w:szCs w:val="24"/>
          <w:lang w:val="es-419"/>
        </w:rPr>
        <w:t>.</w:t>
      </w:r>
      <w:r w:rsidR="00802A4D" w:rsidRPr="00CD4F54">
        <w:rPr>
          <w:rFonts w:ascii="Arial" w:hAnsi="Arial" w:cs="Arial"/>
          <w:sz w:val="24"/>
          <w:szCs w:val="24"/>
          <w:lang w:val="es-419"/>
        </w:rPr>
        <w:t xml:space="preserve"> En la providencia objeto del recurso de súplica, se admite como hito temporal inicial para </w:t>
      </w:r>
      <w:r w:rsidR="0010197D" w:rsidRPr="00CD4F54">
        <w:rPr>
          <w:rFonts w:ascii="Arial" w:hAnsi="Arial" w:cs="Arial"/>
          <w:sz w:val="24"/>
          <w:szCs w:val="24"/>
          <w:lang w:val="es-419"/>
        </w:rPr>
        <w:t>conteo del</w:t>
      </w:r>
      <w:r w:rsidR="00443182" w:rsidRPr="00CD4F54">
        <w:rPr>
          <w:rFonts w:ascii="Arial" w:hAnsi="Arial" w:cs="Arial"/>
          <w:sz w:val="24"/>
          <w:szCs w:val="24"/>
          <w:lang w:val="es-419"/>
        </w:rPr>
        <w:t xml:space="preserve"> año de que trata el artículo 121 del CGP, el 5 de julio de 2017, fecha de la última notificación a los demandados, de manera que</w:t>
      </w:r>
      <w:r w:rsidR="00E21C11" w:rsidRPr="00CD4F54">
        <w:rPr>
          <w:rFonts w:ascii="Arial" w:hAnsi="Arial" w:cs="Arial"/>
          <w:sz w:val="24"/>
          <w:szCs w:val="24"/>
          <w:lang w:val="es-419"/>
        </w:rPr>
        <w:t>,</w:t>
      </w:r>
      <w:r w:rsidR="00443182" w:rsidRPr="00CD4F54">
        <w:rPr>
          <w:rFonts w:ascii="Arial" w:hAnsi="Arial" w:cs="Arial"/>
          <w:sz w:val="24"/>
          <w:szCs w:val="24"/>
          <w:lang w:val="es-419"/>
        </w:rPr>
        <w:t xml:space="preserve"> el </w:t>
      </w:r>
      <w:r w:rsidR="00443182" w:rsidRPr="00CD4F54">
        <w:rPr>
          <w:rFonts w:ascii="Arial" w:hAnsi="Arial" w:cs="Arial"/>
          <w:i/>
          <w:sz w:val="24"/>
          <w:szCs w:val="24"/>
          <w:lang w:val="es-419"/>
        </w:rPr>
        <w:t>a quo</w:t>
      </w:r>
      <w:r w:rsidR="00443182" w:rsidRPr="00CD4F54">
        <w:rPr>
          <w:rFonts w:ascii="Arial" w:hAnsi="Arial" w:cs="Arial"/>
          <w:sz w:val="24"/>
          <w:szCs w:val="24"/>
          <w:lang w:val="es-419"/>
        </w:rPr>
        <w:t xml:space="preserve"> </w:t>
      </w:r>
      <w:r w:rsidR="0010197D" w:rsidRPr="00CD4F54">
        <w:rPr>
          <w:rFonts w:ascii="Arial" w:hAnsi="Arial" w:cs="Arial"/>
          <w:sz w:val="24"/>
          <w:szCs w:val="24"/>
          <w:lang w:val="es-419"/>
        </w:rPr>
        <w:t>tenía hasta el 5 de julio de 2018, para adoptar la decisión de fondo.</w:t>
      </w:r>
    </w:p>
    <w:p w:rsidR="0010197D" w:rsidRPr="00CD4F54" w:rsidRDefault="0010197D" w:rsidP="00CD4F54">
      <w:pPr>
        <w:pStyle w:val="Sinespaciado1"/>
        <w:spacing w:line="288" w:lineRule="auto"/>
        <w:ind w:firstLine="2880"/>
        <w:jc w:val="both"/>
        <w:rPr>
          <w:rFonts w:ascii="Arial" w:hAnsi="Arial" w:cs="Arial"/>
          <w:sz w:val="24"/>
          <w:szCs w:val="24"/>
          <w:lang w:val="es-419"/>
        </w:rPr>
      </w:pPr>
    </w:p>
    <w:p w:rsidR="00443182" w:rsidRPr="00CD4F54" w:rsidRDefault="00E550DB" w:rsidP="00CD4F54">
      <w:pPr>
        <w:pStyle w:val="Sinespaciado1"/>
        <w:spacing w:line="288" w:lineRule="auto"/>
        <w:ind w:firstLine="2880"/>
        <w:jc w:val="both"/>
        <w:rPr>
          <w:rFonts w:ascii="Arial" w:hAnsi="Arial" w:cs="Arial"/>
          <w:sz w:val="24"/>
          <w:szCs w:val="24"/>
          <w:lang w:val="es-419"/>
        </w:rPr>
      </w:pPr>
      <w:r w:rsidRPr="00CD4F54">
        <w:rPr>
          <w:rFonts w:ascii="Arial" w:hAnsi="Arial" w:cs="Arial"/>
          <w:sz w:val="24"/>
          <w:szCs w:val="24"/>
          <w:lang w:val="es-419"/>
        </w:rPr>
        <w:t>A</w:t>
      </w:r>
      <w:r w:rsidR="0010197D" w:rsidRPr="00CD4F54">
        <w:rPr>
          <w:rFonts w:ascii="Arial" w:hAnsi="Arial" w:cs="Arial"/>
          <w:sz w:val="24"/>
          <w:szCs w:val="24"/>
          <w:lang w:val="es-419"/>
        </w:rPr>
        <w:t xml:space="preserve"> dicho periodo de tiempo, </w:t>
      </w:r>
      <w:r w:rsidR="00443182" w:rsidRPr="00CD4F54">
        <w:rPr>
          <w:rFonts w:ascii="Arial" w:hAnsi="Arial" w:cs="Arial"/>
          <w:sz w:val="24"/>
          <w:szCs w:val="24"/>
          <w:lang w:val="es-419"/>
        </w:rPr>
        <w:t xml:space="preserve">atendiendo lo postulado en la norma, </w:t>
      </w:r>
      <w:r w:rsidR="00E21C11" w:rsidRPr="00CD4F54">
        <w:rPr>
          <w:rFonts w:ascii="Arial" w:hAnsi="Arial" w:cs="Arial"/>
          <w:sz w:val="24"/>
          <w:szCs w:val="24"/>
          <w:lang w:val="es-419"/>
        </w:rPr>
        <w:t xml:space="preserve">se </w:t>
      </w:r>
      <w:r w:rsidR="00443182" w:rsidRPr="00CD4F54">
        <w:rPr>
          <w:rFonts w:ascii="Arial" w:hAnsi="Arial" w:cs="Arial"/>
          <w:sz w:val="24"/>
          <w:szCs w:val="24"/>
          <w:lang w:val="es-419"/>
        </w:rPr>
        <w:t>descont</w:t>
      </w:r>
      <w:r w:rsidR="006F5983" w:rsidRPr="00CD4F54">
        <w:rPr>
          <w:rFonts w:ascii="Arial" w:hAnsi="Arial" w:cs="Arial"/>
          <w:sz w:val="24"/>
          <w:szCs w:val="24"/>
          <w:lang w:val="es-419"/>
        </w:rPr>
        <w:t>aron</w:t>
      </w:r>
      <w:r w:rsidR="00443182" w:rsidRPr="00CD4F54">
        <w:rPr>
          <w:rFonts w:ascii="Arial" w:hAnsi="Arial" w:cs="Arial"/>
          <w:sz w:val="24"/>
          <w:szCs w:val="24"/>
          <w:lang w:val="es-419"/>
        </w:rPr>
        <w:t xml:space="preserve"> tres (3) meses y dieciséis (16) </w:t>
      </w:r>
      <w:r w:rsidR="00E21C11" w:rsidRPr="00CD4F54">
        <w:rPr>
          <w:rFonts w:ascii="Arial" w:hAnsi="Arial" w:cs="Arial"/>
          <w:sz w:val="24"/>
          <w:szCs w:val="24"/>
          <w:lang w:val="es-419"/>
        </w:rPr>
        <w:t xml:space="preserve">días, por </w:t>
      </w:r>
      <w:r w:rsidR="00443182" w:rsidRPr="00CD4F54">
        <w:rPr>
          <w:rFonts w:ascii="Arial" w:hAnsi="Arial" w:cs="Arial"/>
          <w:sz w:val="24"/>
          <w:szCs w:val="24"/>
          <w:lang w:val="es-419"/>
        </w:rPr>
        <w:t>suspensión del proceso en razón de</w:t>
      </w:r>
      <w:r w:rsidR="00E21C11" w:rsidRPr="00CD4F54">
        <w:rPr>
          <w:rFonts w:ascii="Arial" w:hAnsi="Arial" w:cs="Arial"/>
          <w:sz w:val="24"/>
          <w:szCs w:val="24"/>
          <w:lang w:val="es-419"/>
        </w:rPr>
        <w:t>l trámite de</w:t>
      </w:r>
      <w:r w:rsidR="00443182" w:rsidRPr="00CD4F54">
        <w:rPr>
          <w:rFonts w:ascii="Arial" w:hAnsi="Arial" w:cs="Arial"/>
          <w:sz w:val="24"/>
          <w:szCs w:val="24"/>
          <w:lang w:val="es-419"/>
        </w:rPr>
        <w:t xml:space="preserve"> </w:t>
      </w:r>
      <w:r w:rsidR="009A7528" w:rsidRPr="00CD4F54">
        <w:rPr>
          <w:rFonts w:ascii="Arial" w:hAnsi="Arial" w:cs="Arial"/>
          <w:sz w:val="24"/>
          <w:szCs w:val="24"/>
          <w:lang w:val="es-419"/>
        </w:rPr>
        <w:t xml:space="preserve">última </w:t>
      </w:r>
      <w:r w:rsidR="00443182" w:rsidRPr="00CD4F54">
        <w:rPr>
          <w:rFonts w:ascii="Arial" w:hAnsi="Arial" w:cs="Arial"/>
          <w:sz w:val="24"/>
          <w:szCs w:val="24"/>
          <w:lang w:val="es-419"/>
        </w:rPr>
        <w:t xml:space="preserve">notificación </w:t>
      </w:r>
      <w:r w:rsidR="009A7528" w:rsidRPr="00CD4F54">
        <w:rPr>
          <w:rFonts w:ascii="Arial" w:hAnsi="Arial" w:cs="Arial"/>
          <w:sz w:val="24"/>
          <w:szCs w:val="24"/>
          <w:lang w:val="es-419"/>
        </w:rPr>
        <w:t>de</w:t>
      </w:r>
      <w:r w:rsidR="006F5983" w:rsidRPr="00CD4F54">
        <w:rPr>
          <w:rFonts w:ascii="Arial" w:hAnsi="Arial" w:cs="Arial"/>
          <w:sz w:val="24"/>
          <w:szCs w:val="24"/>
          <w:lang w:val="es-419"/>
        </w:rPr>
        <w:t xml:space="preserve"> las </w:t>
      </w:r>
      <w:r w:rsidR="00443182" w:rsidRPr="00CD4F54">
        <w:rPr>
          <w:rFonts w:ascii="Arial" w:hAnsi="Arial" w:cs="Arial"/>
          <w:sz w:val="24"/>
          <w:szCs w:val="24"/>
          <w:lang w:val="es-419"/>
        </w:rPr>
        <w:t>llamada</w:t>
      </w:r>
      <w:r w:rsidR="006F5983" w:rsidRPr="00CD4F54">
        <w:rPr>
          <w:rFonts w:ascii="Arial" w:hAnsi="Arial" w:cs="Arial"/>
          <w:sz w:val="24"/>
          <w:szCs w:val="24"/>
          <w:lang w:val="es-419"/>
        </w:rPr>
        <w:t>s</w:t>
      </w:r>
      <w:r w:rsidR="00443182" w:rsidRPr="00CD4F54">
        <w:rPr>
          <w:rFonts w:ascii="Arial" w:hAnsi="Arial" w:cs="Arial"/>
          <w:sz w:val="24"/>
          <w:szCs w:val="24"/>
          <w:lang w:val="es-419"/>
        </w:rPr>
        <w:t xml:space="preserve"> en garantía</w:t>
      </w:r>
      <w:r w:rsidR="0010197D" w:rsidRPr="00CD4F54">
        <w:rPr>
          <w:rFonts w:ascii="Arial" w:hAnsi="Arial" w:cs="Arial"/>
          <w:sz w:val="24"/>
          <w:szCs w:val="24"/>
          <w:lang w:val="es-419"/>
        </w:rPr>
        <w:t xml:space="preserve">, </w:t>
      </w:r>
      <w:r w:rsidR="00443182" w:rsidRPr="00CD4F54">
        <w:rPr>
          <w:rFonts w:ascii="Arial" w:hAnsi="Arial" w:cs="Arial"/>
          <w:sz w:val="24"/>
          <w:szCs w:val="24"/>
          <w:lang w:val="es-419"/>
        </w:rPr>
        <w:t>Liberty Seguros</w:t>
      </w:r>
      <w:r w:rsidR="006F5983" w:rsidRPr="00CD4F54">
        <w:rPr>
          <w:rFonts w:ascii="Arial" w:hAnsi="Arial" w:cs="Arial"/>
          <w:sz w:val="24"/>
          <w:szCs w:val="24"/>
          <w:lang w:val="es-419"/>
        </w:rPr>
        <w:t xml:space="preserve"> S.A.</w:t>
      </w:r>
      <w:r w:rsidR="0010197D" w:rsidRPr="00CD4F54">
        <w:rPr>
          <w:rFonts w:ascii="Arial" w:hAnsi="Arial" w:cs="Arial"/>
          <w:sz w:val="24"/>
          <w:szCs w:val="24"/>
          <w:lang w:val="es-419"/>
        </w:rPr>
        <w:t xml:space="preserve"> </w:t>
      </w:r>
      <w:r w:rsidR="009A7528" w:rsidRPr="00CD4F54">
        <w:rPr>
          <w:rFonts w:ascii="Arial" w:hAnsi="Arial" w:cs="Arial"/>
          <w:sz w:val="24"/>
          <w:szCs w:val="24"/>
          <w:lang w:val="es-419"/>
        </w:rPr>
        <w:t>y Clínica Los Rosales, admitida</w:t>
      </w:r>
      <w:r w:rsidR="0010197D" w:rsidRPr="00CD4F54">
        <w:rPr>
          <w:rFonts w:ascii="Arial" w:hAnsi="Arial" w:cs="Arial"/>
          <w:sz w:val="24"/>
          <w:szCs w:val="24"/>
          <w:lang w:val="es-419"/>
        </w:rPr>
        <w:t xml:space="preserve"> el 23 de agosto y notificadas el 13 de diciembre de 2017.  T</w:t>
      </w:r>
      <w:r w:rsidR="00443182" w:rsidRPr="00CD4F54">
        <w:rPr>
          <w:rFonts w:ascii="Arial" w:hAnsi="Arial" w:cs="Arial"/>
          <w:sz w:val="24"/>
          <w:szCs w:val="24"/>
          <w:lang w:val="es-419"/>
        </w:rPr>
        <w:t>ambién</w:t>
      </w:r>
      <w:r w:rsidR="00F976D3" w:rsidRPr="00CD4F54">
        <w:rPr>
          <w:rFonts w:ascii="Arial" w:hAnsi="Arial" w:cs="Arial"/>
          <w:sz w:val="24"/>
          <w:szCs w:val="24"/>
          <w:lang w:val="es-419"/>
        </w:rPr>
        <w:t>,</w:t>
      </w:r>
      <w:r w:rsidR="00E21C11" w:rsidRPr="00CD4F54">
        <w:rPr>
          <w:rFonts w:ascii="Arial" w:hAnsi="Arial" w:cs="Arial"/>
          <w:sz w:val="24"/>
          <w:szCs w:val="24"/>
          <w:lang w:val="es-419"/>
        </w:rPr>
        <w:t xml:space="preserve"> </w:t>
      </w:r>
      <w:r w:rsidR="00F976D3" w:rsidRPr="00CD4F54">
        <w:rPr>
          <w:rFonts w:ascii="Arial" w:hAnsi="Arial" w:cs="Arial"/>
          <w:sz w:val="24"/>
          <w:szCs w:val="24"/>
          <w:lang w:val="es-419"/>
        </w:rPr>
        <w:t xml:space="preserve">por auto del 20 de junio de 2018, </w:t>
      </w:r>
      <w:r w:rsidR="00E21C11" w:rsidRPr="00CD4F54">
        <w:rPr>
          <w:rFonts w:ascii="Arial" w:hAnsi="Arial" w:cs="Arial"/>
          <w:sz w:val="24"/>
          <w:szCs w:val="24"/>
          <w:lang w:val="es-419"/>
        </w:rPr>
        <w:t>se</w:t>
      </w:r>
      <w:r w:rsidR="00443182" w:rsidRPr="00CD4F54">
        <w:rPr>
          <w:rFonts w:ascii="Arial" w:hAnsi="Arial" w:cs="Arial"/>
          <w:sz w:val="24"/>
          <w:szCs w:val="24"/>
          <w:lang w:val="es-419"/>
        </w:rPr>
        <w:t xml:space="preserve"> </w:t>
      </w:r>
      <w:r w:rsidR="00F976D3" w:rsidRPr="00CD4F54">
        <w:rPr>
          <w:rFonts w:ascii="Arial" w:hAnsi="Arial" w:cs="Arial"/>
          <w:sz w:val="24"/>
          <w:szCs w:val="24"/>
          <w:lang w:val="es-419"/>
        </w:rPr>
        <w:t>hizo uso de</w:t>
      </w:r>
      <w:r w:rsidR="00443182" w:rsidRPr="00CD4F54">
        <w:rPr>
          <w:rFonts w:ascii="Arial" w:hAnsi="Arial" w:cs="Arial"/>
          <w:sz w:val="24"/>
          <w:szCs w:val="24"/>
          <w:lang w:val="es-419"/>
        </w:rPr>
        <w:t xml:space="preserve"> la prórroga </w:t>
      </w:r>
      <w:r w:rsidR="00E21C11" w:rsidRPr="00CD4F54">
        <w:rPr>
          <w:rFonts w:ascii="Arial" w:hAnsi="Arial" w:cs="Arial"/>
          <w:sz w:val="24"/>
          <w:szCs w:val="24"/>
          <w:lang w:val="es-419"/>
        </w:rPr>
        <w:t>de 6 meses, para tener como término definitivo para dictar sentencia de primera in</w:t>
      </w:r>
      <w:r w:rsidR="0002022B" w:rsidRPr="00CD4F54">
        <w:rPr>
          <w:rFonts w:ascii="Arial" w:hAnsi="Arial" w:cs="Arial"/>
          <w:sz w:val="24"/>
          <w:szCs w:val="24"/>
          <w:lang w:val="es-419"/>
        </w:rPr>
        <w:t>stancia</w:t>
      </w:r>
      <w:r w:rsidR="00117C84">
        <w:rPr>
          <w:rFonts w:ascii="Arial" w:hAnsi="Arial" w:cs="Arial"/>
          <w:sz w:val="24"/>
          <w:szCs w:val="24"/>
        </w:rPr>
        <w:t xml:space="preserve"> </w:t>
      </w:r>
      <w:r w:rsidR="0002022B" w:rsidRPr="00CD4F54">
        <w:rPr>
          <w:rFonts w:ascii="Arial" w:hAnsi="Arial" w:cs="Arial"/>
          <w:sz w:val="24"/>
          <w:szCs w:val="24"/>
          <w:lang w:val="es-419"/>
        </w:rPr>
        <w:t>el 21 de abril de 2019, sin embargo, tan solo se hizo con posterioridad a dicha calenda, esto es</w:t>
      </w:r>
      <w:r w:rsidR="00EE276C" w:rsidRPr="00CD4F54">
        <w:rPr>
          <w:rFonts w:ascii="Arial" w:hAnsi="Arial" w:cs="Arial"/>
          <w:sz w:val="24"/>
          <w:szCs w:val="24"/>
          <w:lang w:val="es-419"/>
        </w:rPr>
        <w:t>,</w:t>
      </w:r>
      <w:r w:rsidR="0002022B" w:rsidRPr="00CD4F54">
        <w:rPr>
          <w:rFonts w:ascii="Arial" w:hAnsi="Arial" w:cs="Arial"/>
          <w:sz w:val="24"/>
          <w:szCs w:val="24"/>
          <w:lang w:val="es-419"/>
        </w:rPr>
        <w:t xml:space="preserve"> el 8 de mayo de 2019, por lo que hubo de ser dec</w:t>
      </w:r>
      <w:r w:rsidR="00C0126B" w:rsidRPr="00CD4F54">
        <w:rPr>
          <w:rFonts w:ascii="Arial" w:hAnsi="Arial" w:cs="Arial"/>
          <w:sz w:val="24"/>
          <w:szCs w:val="24"/>
          <w:lang w:val="es-419"/>
        </w:rPr>
        <w:t>larada</w:t>
      </w:r>
      <w:r w:rsidR="0002022B" w:rsidRPr="00CD4F54">
        <w:rPr>
          <w:rFonts w:ascii="Arial" w:hAnsi="Arial" w:cs="Arial"/>
          <w:sz w:val="24"/>
          <w:szCs w:val="24"/>
          <w:lang w:val="es-419"/>
        </w:rPr>
        <w:t xml:space="preserve"> la nulidad advertida.</w:t>
      </w:r>
    </w:p>
    <w:p w:rsidR="003535D4" w:rsidRPr="00CD4F54" w:rsidRDefault="003535D4" w:rsidP="00CD4F54">
      <w:pPr>
        <w:pStyle w:val="Sinespaciado1"/>
        <w:spacing w:line="288" w:lineRule="auto"/>
        <w:ind w:firstLine="2880"/>
        <w:jc w:val="both"/>
        <w:rPr>
          <w:rFonts w:ascii="Arial" w:hAnsi="Arial" w:cs="Arial"/>
          <w:sz w:val="24"/>
          <w:szCs w:val="24"/>
          <w:lang w:val="es-419"/>
        </w:rPr>
      </w:pPr>
    </w:p>
    <w:p w:rsidR="0002022B" w:rsidRPr="00CD4F54" w:rsidRDefault="00E21C11" w:rsidP="00CD4F54">
      <w:pPr>
        <w:pStyle w:val="Sinespaciado1"/>
        <w:spacing w:line="288" w:lineRule="auto"/>
        <w:ind w:firstLine="2880"/>
        <w:jc w:val="both"/>
        <w:rPr>
          <w:rFonts w:ascii="Arial" w:hAnsi="Arial" w:cs="Arial"/>
          <w:sz w:val="24"/>
          <w:szCs w:val="24"/>
          <w:lang w:val="es-419"/>
        </w:rPr>
      </w:pPr>
      <w:r w:rsidRPr="00CD4F54">
        <w:rPr>
          <w:rFonts w:ascii="Arial" w:hAnsi="Arial" w:cs="Arial"/>
          <w:sz w:val="24"/>
          <w:szCs w:val="24"/>
          <w:lang w:val="es-419"/>
        </w:rPr>
        <w:lastRenderedPageBreak/>
        <w:t xml:space="preserve">Análisis que esta </w:t>
      </w:r>
      <w:r w:rsidR="00802A4D" w:rsidRPr="00CD4F54">
        <w:rPr>
          <w:rFonts w:ascii="Arial" w:hAnsi="Arial" w:cs="Arial"/>
          <w:sz w:val="24"/>
          <w:szCs w:val="24"/>
          <w:lang w:val="es-419"/>
        </w:rPr>
        <w:t xml:space="preserve">Magistratura </w:t>
      </w:r>
      <w:r w:rsidR="00505C56" w:rsidRPr="00CD4F54">
        <w:rPr>
          <w:rFonts w:ascii="Arial" w:hAnsi="Arial" w:cs="Arial"/>
          <w:sz w:val="24"/>
          <w:szCs w:val="24"/>
          <w:lang w:val="es-419"/>
        </w:rPr>
        <w:t>comparte</w:t>
      </w:r>
      <w:r w:rsidR="00802A4D" w:rsidRPr="00CD4F54">
        <w:rPr>
          <w:rFonts w:ascii="Arial" w:hAnsi="Arial" w:cs="Arial"/>
          <w:sz w:val="24"/>
          <w:szCs w:val="24"/>
          <w:lang w:val="es-419"/>
        </w:rPr>
        <w:t xml:space="preserve">, </w:t>
      </w:r>
      <w:r w:rsidR="00237B3C" w:rsidRPr="00CD4F54">
        <w:rPr>
          <w:rFonts w:ascii="Arial" w:hAnsi="Arial" w:cs="Arial"/>
          <w:sz w:val="24"/>
          <w:szCs w:val="24"/>
          <w:lang w:val="es-419"/>
        </w:rPr>
        <w:t>escucha</w:t>
      </w:r>
      <w:r w:rsidR="00505C56" w:rsidRPr="00CD4F54">
        <w:rPr>
          <w:rFonts w:ascii="Arial" w:hAnsi="Arial" w:cs="Arial"/>
          <w:sz w:val="24"/>
          <w:szCs w:val="24"/>
          <w:lang w:val="es-419"/>
        </w:rPr>
        <w:t xml:space="preserve"> de manera acertada </w:t>
      </w:r>
      <w:r w:rsidR="00802A4D" w:rsidRPr="00CD4F54">
        <w:rPr>
          <w:rFonts w:ascii="Arial" w:hAnsi="Arial" w:cs="Arial"/>
          <w:sz w:val="24"/>
          <w:szCs w:val="24"/>
          <w:lang w:val="es-419"/>
        </w:rPr>
        <w:t xml:space="preserve">la </w:t>
      </w:r>
      <w:r w:rsidR="00E550DB" w:rsidRPr="00CD4F54">
        <w:rPr>
          <w:rFonts w:ascii="Arial" w:hAnsi="Arial" w:cs="Arial"/>
          <w:sz w:val="24"/>
          <w:szCs w:val="24"/>
          <w:lang w:val="es-419"/>
        </w:rPr>
        <w:t>regla</w:t>
      </w:r>
      <w:r w:rsidR="00802A4D" w:rsidRPr="00CD4F54">
        <w:rPr>
          <w:rFonts w:ascii="Arial" w:hAnsi="Arial" w:cs="Arial"/>
          <w:sz w:val="24"/>
          <w:szCs w:val="24"/>
          <w:lang w:val="es-419"/>
        </w:rPr>
        <w:t xml:space="preserve"> procedimental</w:t>
      </w:r>
      <w:r w:rsidR="0002022B" w:rsidRPr="00CD4F54">
        <w:rPr>
          <w:rFonts w:ascii="Arial" w:hAnsi="Arial" w:cs="Arial"/>
          <w:sz w:val="24"/>
          <w:szCs w:val="24"/>
          <w:lang w:val="es-419"/>
        </w:rPr>
        <w:t xml:space="preserve"> y lo</w:t>
      </w:r>
      <w:r w:rsidR="003C5D08" w:rsidRPr="00CD4F54">
        <w:rPr>
          <w:rFonts w:ascii="Arial" w:hAnsi="Arial" w:cs="Arial"/>
          <w:sz w:val="24"/>
          <w:szCs w:val="24"/>
          <w:lang w:val="es-419"/>
        </w:rPr>
        <w:t>s</w:t>
      </w:r>
      <w:r w:rsidR="0002022B" w:rsidRPr="00CD4F54">
        <w:rPr>
          <w:rFonts w:ascii="Arial" w:hAnsi="Arial" w:cs="Arial"/>
          <w:sz w:val="24"/>
          <w:szCs w:val="24"/>
          <w:lang w:val="es-419"/>
        </w:rPr>
        <w:t xml:space="preserve"> precedentes jurisprudenciales traídos en cita, los que</w:t>
      </w:r>
      <w:r w:rsidR="003C5D08" w:rsidRPr="00CD4F54">
        <w:rPr>
          <w:rFonts w:ascii="Arial" w:hAnsi="Arial" w:cs="Arial"/>
          <w:sz w:val="24"/>
          <w:szCs w:val="24"/>
          <w:lang w:val="es-419"/>
        </w:rPr>
        <w:t xml:space="preserve"> </w:t>
      </w:r>
      <w:r w:rsidR="00120F57" w:rsidRPr="00CD4F54">
        <w:rPr>
          <w:rFonts w:ascii="Arial" w:hAnsi="Arial" w:cs="Arial"/>
          <w:sz w:val="24"/>
          <w:szCs w:val="24"/>
          <w:lang w:val="es-419"/>
        </w:rPr>
        <w:t>al tiempo,</w:t>
      </w:r>
      <w:r w:rsidR="0002022B" w:rsidRPr="00CD4F54">
        <w:rPr>
          <w:rFonts w:ascii="Arial" w:hAnsi="Arial" w:cs="Arial"/>
          <w:sz w:val="24"/>
          <w:szCs w:val="24"/>
          <w:lang w:val="es-419"/>
        </w:rPr>
        <w:t xml:space="preserve"> despejan cualquier duda</w:t>
      </w:r>
      <w:r w:rsidR="00120F57" w:rsidRPr="00CD4F54">
        <w:rPr>
          <w:rFonts w:ascii="Arial" w:hAnsi="Arial" w:cs="Arial"/>
          <w:sz w:val="24"/>
          <w:szCs w:val="24"/>
          <w:lang w:val="es-419"/>
        </w:rPr>
        <w:t xml:space="preserve"> a</w:t>
      </w:r>
      <w:r w:rsidR="0002022B" w:rsidRPr="00CD4F54">
        <w:rPr>
          <w:rFonts w:ascii="Arial" w:hAnsi="Arial" w:cs="Arial"/>
          <w:sz w:val="24"/>
          <w:szCs w:val="24"/>
          <w:lang w:val="es-419"/>
        </w:rPr>
        <w:t xml:space="preserve"> </w:t>
      </w:r>
      <w:r w:rsidR="003C5D08" w:rsidRPr="00CD4F54">
        <w:rPr>
          <w:rFonts w:ascii="Arial" w:hAnsi="Arial" w:cs="Arial"/>
          <w:sz w:val="24"/>
          <w:szCs w:val="24"/>
          <w:lang w:val="es-419"/>
        </w:rPr>
        <w:t>los planteamientos esbozados por la</w:t>
      </w:r>
      <w:r w:rsidR="0002022B" w:rsidRPr="00CD4F54">
        <w:rPr>
          <w:rFonts w:ascii="Arial" w:hAnsi="Arial" w:cs="Arial"/>
          <w:sz w:val="24"/>
          <w:szCs w:val="24"/>
          <w:lang w:val="es-419"/>
        </w:rPr>
        <w:t xml:space="preserve"> recurrente Liberty Seguros S.A</w:t>
      </w:r>
      <w:r w:rsidR="003C5D08" w:rsidRPr="00CD4F54">
        <w:rPr>
          <w:rFonts w:ascii="Arial" w:hAnsi="Arial" w:cs="Arial"/>
          <w:sz w:val="24"/>
          <w:szCs w:val="24"/>
          <w:lang w:val="es-419"/>
        </w:rPr>
        <w:t>.</w:t>
      </w:r>
      <w:r w:rsidR="0002022B" w:rsidRPr="00CD4F54">
        <w:rPr>
          <w:rFonts w:ascii="Arial" w:hAnsi="Arial" w:cs="Arial"/>
          <w:sz w:val="24"/>
          <w:szCs w:val="24"/>
          <w:lang w:val="es-419"/>
        </w:rPr>
        <w:t xml:space="preserve"> </w:t>
      </w:r>
    </w:p>
    <w:p w:rsidR="0002022B" w:rsidRPr="00CD4F54" w:rsidRDefault="0002022B" w:rsidP="00CD4F54">
      <w:pPr>
        <w:pStyle w:val="Sinespaciado1"/>
        <w:spacing w:line="288" w:lineRule="auto"/>
        <w:ind w:firstLine="2880"/>
        <w:jc w:val="both"/>
        <w:rPr>
          <w:rFonts w:ascii="Arial" w:hAnsi="Arial" w:cs="Arial"/>
          <w:sz w:val="24"/>
          <w:szCs w:val="24"/>
          <w:lang w:val="es-419"/>
        </w:rPr>
      </w:pPr>
    </w:p>
    <w:p w:rsidR="00DC6AB7" w:rsidRPr="00CD4F54" w:rsidRDefault="00E550DB" w:rsidP="00CD4F54">
      <w:pPr>
        <w:pStyle w:val="Sinespaciado1"/>
        <w:spacing w:line="288" w:lineRule="auto"/>
        <w:ind w:firstLine="2880"/>
        <w:jc w:val="both"/>
        <w:rPr>
          <w:rFonts w:ascii="Arial" w:hAnsi="Arial" w:cs="Arial"/>
          <w:sz w:val="24"/>
          <w:szCs w:val="24"/>
          <w:lang w:val="es-419"/>
        </w:rPr>
      </w:pPr>
      <w:r w:rsidRPr="00CD4F54">
        <w:rPr>
          <w:rFonts w:ascii="Arial" w:hAnsi="Arial" w:cs="Arial"/>
          <w:sz w:val="24"/>
          <w:szCs w:val="24"/>
          <w:lang w:val="es-419"/>
        </w:rPr>
        <w:t xml:space="preserve">Ahora, propiamente reclama la Nueva EPS, </w:t>
      </w:r>
      <w:r w:rsidR="009C263F" w:rsidRPr="00CD4F54">
        <w:rPr>
          <w:rFonts w:ascii="Arial" w:hAnsi="Arial" w:cs="Arial"/>
          <w:sz w:val="24"/>
          <w:szCs w:val="24"/>
          <w:lang w:val="es-419"/>
        </w:rPr>
        <w:t xml:space="preserve">que </w:t>
      </w:r>
      <w:r w:rsidRPr="00CD4F54">
        <w:rPr>
          <w:rFonts w:ascii="Arial" w:hAnsi="Arial" w:cs="Arial"/>
          <w:sz w:val="24"/>
          <w:szCs w:val="24"/>
          <w:lang w:val="es-419"/>
        </w:rPr>
        <w:t xml:space="preserve">se </w:t>
      </w:r>
      <w:r w:rsidR="00DC6AB7" w:rsidRPr="00CD4F54">
        <w:rPr>
          <w:rFonts w:ascii="Arial" w:hAnsi="Arial" w:cs="Arial"/>
          <w:sz w:val="24"/>
          <w:szCs w:val="24"/>
          <w:lang w:val="es-419"/>
        </w:rPr>
        <w:t xml:space="preserve">contradice el despacho al sostener que de acuerdo al artículo 66 </w:t>
      </w:r>
      <w:r w:rsidRPr="00CD4F54">
        <w:rPr>
          <w:rFonts w:ascii="Arial" w:hAnsi="Arial" w:cs="Arial"/>
          <w:sz w:val="24"/>
          <w:szCs w:val="24"/>
          <w:lang w:val="es-419"/>
        </w:rPr>
        <w:t xml:space="preserve">del CGP, </w:t>
      </w:r>
      <w:r w:rsidR="00DC6AB7" w:rsidRPr="00CD4F54">
        <w:rPr>
          <w:rFonts w:ascii="Arial" w:hAnsi="Arial" w:cs="Arial"/>
          <w:i/>
          <w:sz w:val="24"/>
          <w:szCs w:val="24"/>
          <w:lang w:val="es-419"/>
        </w:rPr>
        <w:t>“el proceso se interrumpe por un lapso máximo de seis meses”</w:t>
      </w:r>
      <w:r w:rsidR="00DC6AB7" w:rsidRPr="00CD4F54">
        <w:rPr>
          <w:rFonts w:ascii="Arial" w:hAnsi="Arial" w:cs="Arial"/>
          <w:sz w:val="24"/>
          <w:szCs w:val="24"/>
          <w:lang w:val="es-419"/>
        </w:rPr>
        <w:t xml:space="preserve"> pero luego </w:t>
      </w:r>
      <w:r w:rsidR="00EE276C" w:rsidRPr="00CD4F54">
        <w:rPr>
          <w:rFonts w:ascii="Arial" w:hAnsi="Arial" w:cs="Arial"/>
          <w:sz w:val="24"/>
          <w:szCs w:val="24"/>
          <w:lang w:val="es-419"/>
        </w:rPr>
        <w:t>dice,</w:t>
      </w:r>
      <w:r w:rsidR="00DC6AB7" w:rsidRPr="00CD4F54">
        <w:rPr>
          <w:rFonts w:ascii="Arial" w:hAnsi="Arial" w:cs="Arial"/>
          <w:sz w:val="24"/>
          <w:szCs w:val="24"/>
          <w:lang w:val="es-419"/>
        </w:rPr>
        <w:t xml:space="preserve"> </w:t>
      </w:r>
      <w:r w:rsidR="00DC6AB7" w:rsidRPr="00CD4F54">
        <w:rPr>
          <w:rFonts w:ascii="Arial" w:hAnsi="Arial" w:cs="Arial"/>
          <w:i/>
          <w:sz w:val="24"/>
          <w:szCs w:val="24"/>
          <w:lang w:val="es-419"/>
        </w:rPr>
        <w:t>“NO se debe contar este término porque no se puede desconocer el tenor literal del artículo 121 CGP”</w:t>
      </w:r>
      <w:r w:rsidR="00AD45E8" w:rsidRPr="00CD4F54">
        <w:rPr>
          <w:rFonts w:ascii="Arial" w:hAnsi="Arial" w:cs="Arial"/>
          <w:sz w:val="24"/>
          <w:szCs w:val="24"/>
          <w:lang w:val="es-419"/>
        </w:rPr>
        <w:t>, con lo que</w:t>
      </w:r>
      <w:r w:rsidR="00361F64" w:rsidRPr="00CD4F54">
        <w:rPr>
          <w:rFonts w:ascii="Arial" w:hAnsi="Arial" w:cs="Arial"/>
          <w:sz w:val="24"/>
          <w:szCs w:val="24"/>
          <w:lang w:val="es-419"/>
        </w:rPr>
        <w:t xml:space="preserve"> </w:t>
      </w:r>
      <w:r w:rsidR="00EE276C" w:rsidRPr="00CD4F54">
        <w:rPr>
          <w:rFonts w:ascii="Arial" w:hAnsi="Arial" w:cs="Arial"/>
          <w:sz w:val="24"/>
          <w:szCs w:val="24"/>
          <w:lang w:val="es-419"/>
        </w:rPr>
        <w:t>aduce</w:t>
      </w:r>
      <w:r w:rsidR="00AD45E8" w:rsidRPr="00CD4F54">
        <w:rPr>
          <w:rFonts w:ascii="Arial" w:hAnsi="Arial" w:cs="Arial"/>
          <w:sz w:val="24"/>
          <w:szCs w:val="24"/>
          <w:lang w:val="es-419"/>
        </w:rPr>
        <w:t xml:space="preserve">, además </w:t>
      </w:r>
      <w:r w:rsidR="007E00F1" w:rsidRPr="00CD4F54">
        <w:rPr>
          <w:rFonts w:ascii="Arial" w:hAnsi="Arial" w:cs="Arial"/>
          <w:sz w:val="24"/>
          <w:szCs w:val="24"/>
          <w:lang w:val="es-419"/>
        </w:rPr>
        <w:t xml:space="preserve">se </w:t>
      </w:r>
      <w:r w:rsidR="00AD45E8" w:rsidRPr="00CD4F54">
        <w:rPr>
          <w:rFonts w:ascii="Arial" w:hAnsi="Arial" w:cs="Arial"/>
          <w:sz w:val="24"/>
          <w:szCs w:val="24"/>
          <w:lang w:val="es-419"/>
        </w:rPr>
        <w:t>pon</w:t>
      </w:r>
      <w:r w:rsidR="007E00F1" w:rsidRPr="00CD4F54">
        <w:rPr>
          <w:rFonts w:ascii="Arial" w:hAnsi="Arial" w:cs="Arial"/>
          <w:sz w:val="24"/>
          <w:szCs w:val="24"/>
          <w:lang w:val="es-419"/>
        </w:rPr>
        <w:t>e</w:t>
      </w:r>
      <w:r w:rsidR="00AD45E8" w:rsidRPr="00CD4F54">
        <w:rPr>
          <w:rFonts w:ascii="Arial" w:hAnsi="Arial" w:cs="Arial"/>
          <w:sz w:val="24"/>
          <w:szCs w:val="24"/>
          <w:lang w:val="es-419"/>
        </w:rPr>
        <w:t xml:space="preserve"> en grave riesgo el derecho al debido proceso de los demandados</w:t>
      </w:r>
      <w:r w:rsidR="009C263F" w:rsidRPr="00CD4F54">
        <w:rPr>
          <w:rFonts w:ascii="Arial" w:hAnsi="Arial" w:cs="Arial"/>
          <w:sz w:val="24"/>
          <w:szCs w:val="24"/>
          <w:lang w:val="es-419"/>
        </w:rPr>
        <w:t>,</w:t>
      </w:r>
      <w:r w:rsidR="00AD45E8" w:rsidRPr="00CD4F54">
        <w:rPr>
          <w:rFonts w:ascii="Arial" w:hAnsi="Arial" w:cs="Arial"/>
          <w:sz w:val="24"/>
          <w:szCs w:val="24"/>
          <w:lang w:val="es-419"/>
        </w:rPr>
        <w:t xml:space="preserve"> quienes cuentan con seis meses para notificar a quienes llaman en garantía.  En conclusión</w:t>
      </w:r>
      <w:r w:rsidR="007E00F1" w:rsidRPr="00CD4F54">
        <w:rPr>
          <w:rFonts w:ascii="Arial" w:hAnsi="Arial" w:cs="Arial"/>
          <w:sz w:val="24"/>
          <w:szCs w:val="24"/>
          <w:lang w:val="es-419"/>
        </w:rPr>
        <w:t>,</w:t>
      </w:r>
      <w:r w:rsidR="00AD45E8" w:rsidRPr="00CD4F54">
        <w:rPr>
          <w:rFonts w:ascii="Arial" w:hAnsi="Arial" w:cs="Arial"/>
          <w:sz w:val="24"/>
          <w:szCs w:val="24"/>
          <w:lang w:val="es-419"/>
        </w:rPr>
        <w:t xml:space="preserve"> indica</w:t>
      </w:r>
      <w:r w:rsidR="007E00F1" w:rsidRPr="00CD4F54">
        <w:rPr>
          <w:rFonts w:ascii="Arial" w:hAnsi="Arial" w:cs="Arial"/>
          <w:sz w:val="24"/>
          <w:szCs w:val="24"/>
          <w:lang w:val="es-419"/>
        </w:rPr>
        <w:t>,</w:t>
      </w:r>
      <w:r w:rsidR="00AD45E8" w:rsidRPr="00CD4F54">
        <w:rPr>
          <w:rFonts w:ascii="Arial" w:hAnsi="Arial" w:cs="Arial"/>
          <w:sz w:val="24"/>
          <w:szCs w:val="24"/>
          <w:lang w:val="es-419"/>
        </w:rPr>
        <w:t xml:space="preserve"> que la notificación se </w:t>
      </w:r>
      <w:r w:rsidR="00400352" w:rsidRPr="00CD4F54">
        <w:rPr>
          <w:rFonts w:ascii="Arial" w:hAnsi="Arial" w:cs="Arial"/>
          <w:sz w:val="24"/>
          <w:szCs w:val="24"/>
          <w:lang w:val="es-419"/>
        </w:rPr>
        <w:t>hizo</w:t>
      </w:r>
      <w:r w:rsidR="00AD45E8" w:rsidRPr="00CD4F54">
        <w:rPr>
          <w:rFonts w:ascii="Arial" w:hAnsi="Arial" w:cs="Arial"/>
          <w:sz w:val="24"/>
          <w:szCs w:val="24"/>
          <w:lang w:val="es-419"/>
        </w:rPr>
        <w:t xml:space="preserve"> el 13 de diciembre de 2017, por lo cual el año para fallar vencía el 13 de diciembre de 2018, el que al ser prorrogado corría hasta el 13 de junio de 2019. </w:t>
      </w:r>
    </w:p>
    <w:p w:rsidR="00DC6AB7" w:rsidRPr="00CD4F54" w:rsidRDefault="00DC6AB7" w:rsidP="00CD4F54">
      <w:pPr>
        <w:pStyle w:val="Sinespaciado1"/>
        <w:spacing w:line="288" w:lineRule="auto"/>
        <w:ind w:firstLine="2880"/>
        <w:jc w:val="both"/>
        <w:rPr>
          <w:rFonts w:ascii="Arial" w:hAnsi="Arial" w:cs="Arial"/>
          <w:sz w:val="24"/>
          <w:szCs w:val="24"/>
          <w:lang w:val="es-419"/>
        </w:rPr>
      </w:pPr>
    </w:p>
    <w:p w:rsidR="00D86EE9" w:rsidRPr="00CD4F54" w:rsidRDefault="00D86EE9" w:rsidP="00CD4F54">
      <w:pPr>
        <w:pStyle w:val="Sinespaciado1"/>
        <w:spacing w:line="288" w:lineRule="auto"/>
        <w:ind w:firstLine="2880"/>
        <w:jc w:val="both"/>
        <w:rPr>
          <w:rFonts w:ascii="Arial" w:hAnsi="Arial" w:cs="Arial"/>
          <w:sz w:val="24"/>
          <w:szCs w:val="24"/>
          <w:lang w:val="es-419"/>
        </w:rPr>
      </w:pPr>
      <w:r w:rsidRPr="00CD4F54">
        <w:rPr>
          <w:rFonts w:ascii="Arial" w:hAnsi="Arial" w:cs="Arial"/>
          <w:sz w:val="24"/>
          <w:szCs w:val="24"/>
          <w:lang w:val="es-419"/>
        </w:rPr>
        <w:t xml:space="preserve">Tal recuento deja ver que la </w:t>
      </w:r>
      <w:r w:rsidR="0034730D" w:rsidRPr="00CD4F54">
        <w:rPr>
          <w:rFonts w:ascii="Arial" w:hAnsi="Arial" w:cs="Arial"/>
          <w:sz w:val="24"/>
          <w:szCs w:val="24"/>
          <w:lang w:val="es-419"/>
        </w:rPr>
        <w:t>abogada</w:t>
      </w:r>
      <w:r w:rsidRPr="00CD4F54">
        <w:rPr>
          <w:rFonts w:ascii="Arial" w:hAnsi="Arial" w:cs="Arial"/>
          <w:sz w:val="24"/>
          <w:szCs w:val="24"/>
          <w:lang w:val="es-419"/>
        </w:rPr>
        <w:t xml:space="preserve"> presenta una confusión en la interpretación del contenido del artículo 66 del CGP</w:t>
      </w:r>
      <w:r w:rsidR="009176E7" w:rsidRPr="00CD4F54">
        <w:rPr>
          <w:rFonts w:ascii="Arial" w:hAnsi="Arial" w:cs="Arial"/>
          <w:sz w:val="24"/>
          <w:szCs w:val="24"/>
          <w:lang w:val="es-419"/>
        </w:rPr>
        <w:t xml:space="preserve">.  De un lado, la norma </w:t>
      </w:r>
      <w:r w:rsidRPr="00CD4F54">
        <w:rPr>
          <w:rFonts w:ascii="Arial" w:hAnsi="Arial" w:cs="Arial"/>
          <w:sz w:val="24"/>
          <w:szCs w:val="24"/>
          <w:lang w:val="es-419"/>
        </w:rPr>
        <w:t>no precisa que el proceso deba estar suspendido por un lapso</w:t>
      </w:r>
      <w:r w:rsidR="009176E7" w:rsidRPr="00CD4F54">
        <w:rPr>
          <w:rFonts w:ascii="Arial" w:hAnsi="Arial" w:cs="Arial"/>
          <w:sz w:val="24"/>
          <w:szCs w:val="24"/>
          <w:lang w:val="es-419"/>
        </w:rPr>
        <w:t xml:space="preserve"> indefectible </w:t>
      </w:r>
      <w:r w:rsidRPr="00CD4F54">
        <w:rPr>
          <w:rFonts w:ascii="Arial" w:hAnsi="Arial" w:cs="Arial"/>
          <w:sz w:val="24"/>
          <w:szCs w:val="24"/>
          <w:lang w:val="es-419"/>
        </w:rPr>
        <w:t>de seis meses, por el contrario</w:t>
      </w:r>
      <w:r w:rsidR="009C263F" w:rsidRPr="00CD4F54">
        <w:rPr>
          <w:rFonts w:ascii="Arial" w:hAnsi="Arial" w:cs="Arial"/>
          <w:sz w:val="24"/>
          <w:szCs w:val="24"/>
          <w:lang w:val="es-419"/>
        </w:rPr>
        <w:t>,</w:t>
      </w:r>
      <w:r w:rsidRPr="00CD4F54">
        <w:rPr>
          <w:rFonts w:ascii="Arial" w:hAnsi="Arial" w:cs="Arial"/>
          <w:sz w:val="24"/>
          <w:szCs w:val="24"/>
          <w:lang w:val="es-419"/>
        </w:rPr>
        <w:t xml:space="preserve"> este tiempo es el máximo a efectos de surtirse la notificación al llamado en garantía,</w:t>
      </w:r>
      <w:r w:rsidR="00A72632" w:rsidRPr="00CD4F54">
        <w:rPr>
          <w:rFonts w:ascii="Arial" w:hAnsi="Arial" w:cs="Arial"/>
          <w:sz w:val="24"/>
          <w:szCs w:val="24"/>
          <w:lang w:val="es-419"/>
        </w:rPr>
        <w:t xml:space="preserve"> so pena de ser </w:t>
      </w:r>
      <w:r w:rsidRPr="00CD4F54">
        <w:rPr>
          <w:rFonts w:ascii="Arial" w:hAnsi="Arial" w:cs="Arial"/>
          <w:sz w:val="24"/>
          <w:szCs w:val="24"/>
          <w:lang w:val="es-419"/>
        </w:rPr>
        <w:t>ineficaz</w:t>
      </w:r>
      <w:r w:rsidR="00EE276C" w:rsidRPr="00CD4F54">
        <w:rPr>
          <w:rFonts w:ascii="Arial" w:hAnsi="Arial" w:cs="Arial"/>
          <w:sz w:val="24"/>
          <w:szCs w:val="24"/>
          <w:lang w:val="es-419"/>
        </w:rPr>
        <w:t xml:space="preserve">; </w:t>
      </w:r>
      <w:r w:rsidR="009176E7" w:rsidRPr="00CD4F54">
        <w:rPr>
          <w:rFonts w:ascii="Arial" w:hAnsi="Arial" w:cs="Arial"/>
          <w:sz w:val="24"/>
          <w:szCs w:val="24"/>
          <w:lang w:val="es-419"/>
        </w:rPr>
        <w:t>de otra parte</w:t>
      </w:r>
      <w:r w:rsidR="00BF7C3F" w:rsidRPr="00CD4F54">
        <w:rPr>
          <w:rFonts w:ascii="Arial" w:hAnsi="Arial" w:cs="Arial"/>
          <w:sz w:val="24"/>
          <w:szCs w:val="24"/>
          <w:lang w:val="es-419"/>
        </w:rPr>
        <w:t>,</w:t>
      </w:r>
      <w:r w:rsidR="009176E7" w:rsidRPr="00CD4F54">
        <w:rPr>
          <w:rFonts w:ascii="Arial" w:hAnsi="Arial" w:cs="Arial"/>
          <w:sz w:val="24"/>
          <w:szCs w:val="24"/>
          <w:lang w:val="es-419"/>
        </w:rPr>
        <w:t xml:space="preserve"> en el asunto no se violó dicho mandato, la notificación se surtió transcurridos 3 meses y 16 días de haberse admitido tal intervención</w:t>
      </w:r>
      <w:r w:rsidR="00BF7C3F" w:rsidRPr="00CD4F54">
        <w:rPr>
          <w:rFonts w:ascii="Arial" w:hAnsi="Arial" w:cs="Arial"/>
          <w:sz w:val="24"/>
          <w:szCs w:val="24"/>
          <w:lang w:val="es-419"/>
        </w:rPr>
        <w:t xml:space="preserve">. </w:t>
      </w:r>
    </w:p>
    <w:p w:rsidR="00BF7C3F" w:rsidRPr="00CD4F54" w:rsidRDefault="00BF7C3F" w:rsidP="00CD4F54">
      <w:pPr>
        <w:pStyle w:val="Sinespaciado1"/>
        <w:spacing w:line="288" w:lineRule="auto"/>
        <w:ind w:firstLine="2880"/>
        <w:jc w:val="both"/>
        <w:rPr>
          <w:rFonts w:ascii="Arial" w:hAnsi="Arial" w:cs="Arial"/>
          <w:sz w:val="24"/>
          <w:szCs w:val="24"/>
          <w:lang w:val="es-419"/>
        </w:rPr>
      </w:pPr>
    </w:p>
    <w:p w:rsidR="00C5536D" w:rsidRPr="00CD4F54" w:rsidRDefault="002F1CBC" w:rsidP="00CD4F54">
      <w:pPr>
        <w:pStyle w:val="Sinespaciado1"/>
        <w:spacing w:line="288" w:lineRule="auto"/>
        <w:ind w:firstLine="2880"/>
        <w:jc w:val="both"/>
        <w:rPr>
          <w:rFonts w:ascii="Arial" w:hAnsi="Arial" w:cs="Arial"/>
          <w:sz w:val="24"/>
          <w:szCs w:val="24"/>
          <w:lang w:val="es-419"/>
        </w:rPr>
      </w:pPr>
      <w:r w:rsidRPr="00CD4F54">
        <w:rPr>
          <w:rFonts w:ascii="Arial" w:hAnsi="Arial" w:cs="Arial"/>
          <w:sz w:val="24"/>
          <w:szCs w:val="24"/>
          <w:lang w:val="es-419"/>
        </w:rPr>
        <w:t>En último lugar</w:t>
      </w:r>
      <w:r w:rsidR="00BF7C3F" w:rsidRPr="00CD4F54">
        <w:rPr>
          <w:rFonts w:ascii="Arial" w:hAnsi="Arial" w:cs="Arial"/>
          <w:sz w:val="24"/>
          <w:szCs w:val="24"/>
          <w:lang w:val="es-419"/>
        </w:rPr>
        <w:t xml:space="preserve">, </w:t>
      </w:r>
      <w:r w:rsidR="00275D70" w:rsidRPr="00CD4F54">
        <w:rPr>
          <w:rFonts w:ascii="Arial" w:hAnsi="Arial" w:cs="Arial"/>
          <w:sz w:val="24"/>
          <w:szCs w:val="24"/>
          <w:lang w:val="es-419"/>
        </w:rPr>
        <w:t>ha de decirse</w:t>
      </w:r>
      <w:r w:rsidR="00820623" w:rsidRPr="00CD4F54">
        <w:rPr>
          <w:rFonts w:ascii="Arial" w:hAnsi="Arial" w:cs="Arial"/>
          <w:sz w:val="24"/>
          <w:szCs w:val="24"/>
          <w:lang w:val="es-419"/>
        </w:rPr>
        <w:t>,</w:t>
      </w:r>
      <w:r w:rsidR="00BF7C3F" w:rsidRPr="00CD4F54">
        <w:rPr>
          <w:rFonts w:ascii="Arial" w:hAnsi="Arial" w:cs="Arial"/>
          <w:sz w:val="24"/>
          <w:szCs w:val="24"/>
          <w:lang w:val="es-419"/>
        </w:rPr>
        <w:t xml:space="preserve"> que aquella notificación no</w:t>
      </w:r>
      <w:r w:rsidR="007E4FF9" w:rsidRPr="00CD4F54">
        <w:rPr>
          <w:rFonts w:ascii="Arial" w:hAnsi="Arial" w:cs="Arial"/>
          <w:sz w:val="24"/>
          <w:szCs w:val="24"/>
          <w:lang w:val="es-419"/>
        </w:rPr>
        <w:t xml:space="preserve"> reinicia el lapso de un año dispuesto en el </w:t>
      </w:r>
      <w:r w:rsidR="00BF7C3F" w:rsidRPr="00CD4F54">
        <w:rPr>
          <w:rFonts w:ascii="Arial" w:hAnsi="Arial" w:cs="Arial"/>
          <w:sz w:val="24"/>
          <w:szCs w:val="24"/>
          <w:lang w:val="es-419"/>
        </w:rPr>
        <w:t>artículo 121</w:t>
      </w:r>
      <w:r w:rsidR="001A4722" w:rsidRPr="00CD4F54">
        <w:rPr>
          <w:rFonts w:ascii="Arial" w:hAnsi="Arial" w:cs="Arial"/>
          <w:sz w:val="24"/>
          <w:szCs w:val="24"/>
          <w:lang w:val="es-419"/>
        </w:rPr>
        <w:t xml:space="preserve">, el que </w:t>
      </w:r>
      <w:r w:rsidR="007E4FF9" w:rsidRPr="00CD4F54">
        <w:rPr>
          <w:rFonts w:ascii="Arial" w:hAnsi="Arial" w:cs="Arial"/>
          <w:sz w:val="24"/>
          <w:szCs w:val="24"/>
          <w:lang w:val="es-419"/>
        </w:rPr>
        <w:t xml:space="preserve">como </w:t>
      </w:r>
      <w:r w:rsidR="00275D70" w:rsidRPr="00CD4F54">
        <w:rPr>
          <w:rFonts w:ascii="Arial" w:hAnsi="Arial" w:cs="Arial"/>
          <w:sz w:val="24"/>
          <w:szCs w:val="24"/>
          <w:lang w:val="es-419"/>
        </w:rPr>
        <w:t xml:space="preserve">única </w:t>
      </w:r>
      <w:r w:rsidR="007E4FF9" w:rsidRPr="00CD4F54">
        <w:rPr>
          <w:rFonts w:ascii="Arial" w:hAnsi="Arial" w:cs="Arial"/>
          <w:sz w:val="24"/>
          <w:szCs w:val="24"/>
          <w:lang w:val="es-419"/>
        </w:rPr>
        <w:t xml:space="preserve">salvedad para ser </w:t>
      </w:r>
      <w:r w:rsidR="00275D70" w:rsidRPr="00CD4F54">
        <w:rPr>
          <w:rFonts w:ascii="Arial" w:hAnsi="Arial" w:cs="Arial"/>
          <w:sz w:val="24"/>
          <w:szCs w:val="24"/>
          <w:lang w:val="es-419"/>
        </w:rPr>
        <w:t>computado</w:t>
      </w:r>
      <w:r w:rsidR="007E4FF9" w:rsidRPr="00CD4F54">
        <w:rPr>
          <w:rFonts w:ascii="Arial" w:hAnsi="Arial" w:cs="Arial"/>
          <w:sz w:val="24"/>
          <w:szCs w:val="24"/>
          <w:lang w:val="es-419"/>
        </w:rPr>
        <w:t xml:space="preserve"> </w:t>
      </w:r>
      <w:r w:rsidR="00820623" w:rsidRPr="00CD4F54">
        <w:rPr>
          <w:rFonts w:ascii="Arial" w:hAnsi="Arial" w:cs="Arial"/>
          <w:sz w:val="24"/>
          <w:szCs w:val="24"/>
          <w:lang w:val="es-419"/>
        </w:rPr>
        <w:t>trae la</w:t>
      </w:r>
      <w:r w:rsidR="00237B3C" w:rsidRPr="00CD4F54">
        <w:rPr>
          <w:rFonts w:ascii="Arial" w:hAnsi="Arial" w:cs="Arial"/>
          <w:sz w:val="24"/>
          <w:szCs w:val="24"/>
          <w:lang w:val="es-419"/>
        </w:rPr>
        <w:t xml:space="preserve"> </w:t>
      </w:r>
      <w:r w:rsidR="00237B3C" w:rsidRPr="00CD4F54">
        <w:rPr>
          <w:rFonts w:ascii="Arial" w:hAnsi="Arial" w:cs="Arial"/>
          <w:b/>
          <w:bCs/>
          <w:i/>
          <w:sz w:val="24"/>
          <w:szCs w:val="24"/>
          <w:lang w:val="es-419"/>
        </w:rPr>
        <w:t>interrupción o suspensión del proceso por causa legal.</w:t>
      </w:r>
      <w:r w:rsidR="00237B3C" w:rsidRPr="00CD4F54">
        <w:rPr>
          <w:rFonts w:ascii="Arial" w:hAnsi="Arial" w:cs="Arial"/>
          <w:bCs/>
          <w:sz w:val="24"/>
          <w:szCs w:val="24"/>
          <w:lang w:val="es-419"/>
        </w:rPr>
        <w:t xml:space="preserve"> </w:t>
      </w:r>
      <w:r w:rsidR="008F4CA6" w:rsidRPr="00CD4F54">
        <w:rPr>
          <w:rFonts w:ascii="Arial" w:hAnsi="Arial" w:cs="Arial"/>
          <w:bCs/>
          <w:sz w:val="24"/>
          <w:szCs w:val="24"/>
          <w:lang w:val="es-419"/>
        </w:rPr>
        <w:t xml:space="preserve">Y </w:t>
      </w:r>
      <w:r w:rsidR="00820623" w:rsidRPr="00CD4F54">
        <w:rPr>
          <w:rFonts w:ascii="Arial" w:hAnsi="Arial" w:cs="Arial"/>
          <w:bCs/>
          <w:sz w:val="24"/>
          <w:szCs w:val="24"/>
          <w:lang w:val="es-419"/>
        </w:rPr>
        <w:t xml:space="preserve">es que </w:t>
      </w:r>
      <w:r w:rsidR="008F4CA6" w:rsidRPr="00CD4F54">
        <w:rPr>
          <w:rFonts w:ascii="Arial" w:hAnsi="Arial" w:cs="Arial"/>
          <w:bCs/>
          <w:sz w:val="24"/>
          <w:szCs w:val="24"/>
          <w:lang w:val="es-419"/>
        </w:rPr>
        <w:t xml:space="preserve">de contabilizar el </w:t>
      </w:r>
      <w:r w:rsidR="008F4CA6" w:rsidRPr="00CD4F54">
        <w:rPr>
          <w:rFonts w:ascii="Arial" w:hAnsi="Arial" w:cs="Arial"/>
          <w:sz w:val="24"/>
          <w:szCs w:val="24"/>
          <w:lang w:val="es-419"/>
        </w:rPr>
        <w:t>plazo para dictar sentencia a partir de la notificación a la llamada en garantía, sería incluir una salvedad no regulada legalmente,</w:t>
      </w:r>
      <w:r w:rsidR="008F4CA6" w:rsidRPr="00CD4F54">
        <w:rPr>
          <w:rFonts w:ascii="Arial" w:hAnsi="Arial" w:cs="Arial"/>
          <w:bCs/>
          <w:sz w:val="24"/>
          <w:szCs w:val="24"/>
          <w:lang w:val="es-419"/>
        </w:rPr>
        <w:t xml:space="preserve"> </w:t>
      </w:r>
      <w:r w:rsidR="00820623" w:rsidRPr="00CD4F54">
        <w:rPr>
          <w:rFonts w:ascii="Arial" w:hAnsi="Arial" w:cs="Arial"/>
          <w:bCs/>
          <w:sz w:val="24"/>
          <w:szCs w:val="24"/>
          <w:lang w:val="es-419"/>
        </w:rPr>
        <w:t xml:space="preserve">pues la pauta fijada </w:t>
      </w:r>
      <w:r w:rsidR="008F4CA6" w:rsidRPr="00CD4F54">
        <w:rPr>
          <w:rFonts w:ascii="Arial" w:hAnsi="Arial" w:cs="Arial"/>
          <w:bCs/>
          <w:sz w:val="24"/>
          <w:szCs w:val="24"/>
          <w:lang w:val="es-419"/>
        </w:rPr>
        <w:t>para tal fin</w:t>
      </w:r>
      <w:r w:rsidR="00820623" w:rsidRPr="00CD4F54">
        <w:rPr>
          <w:rFonts w:ascii="Arial" w:hAnsi="Arial" w:cs="Arial"/>
          <w:bCs/>
          <w:sz w:val="24"/>
          <w:szCs w:val="24"/>
          <w:lang w:val="es-419"/>
        </w:rPr>
        <w:t xml:space="preserve"> es</w:t>
      </w:r>
      <w:r w:rsidR="008F4CA6" w:rsidRPr="00CD4F54">
        <w:rPr>
          <w:rFonts w:ascii="Arial" w:hAnsi="Arial" w:cs="Arial"/>
          <w:bCs/>
          <w:sz w:val="24"/>
          <w:szCs w:val="24"/>
          <w:lang w:val="es-419"/>
        </w:rPr>
        <w:t xml:space="preserve"> </w:t>
      </w:r>
      <w:r w:rsidR="008F4CA6" w:rsidRPr="00CD4F54">
        <w:rPr>
          <w:rFonts w:ascii="Arial" w:hAnsi="Arial" w:cs="Arial"/>
          <w:b/>
          <w:bCs/>
          <w:i/>
          <w:sz w:val="24"/>
          <w:szCs w:val="24"/>
          <w:lang w:val="es-419"/>
        </w:rPr>
        <w:t>“la notificación del auto admisorio de la demanda o mandamiento ejecutivo a la parte demandada o ejecutada.”.</w:t>
      </w:r>
      <w:r w:rsidR="008F4CA6" w:rsidRPr="00CD4F54">
        <w:rPr>
          <w:rFonts w:ascii="Arial" w:hAnsi="Arial" w:cs="Arial"/>
          <w:sz w:val="24"/>
          <w:szCs w:val="24"/>
          <w:lang w:val="es-419"/>
        </w:rPr>
        <w:t xml:space="preserve"> </w:t>
      </w:r>
      <w:r w:rsidR="001A4722" w:rsidRPr="00CD4F54">
        <w:rPr>
          <w:rFonts w:ascii="Arial" w:hAnsi="Arial" w:cs="Arial"/>
          <w:sz w:val="24"/>
          <w:szCs w:val="24"/>
          <w:lang w:val="es-419"/>
        </w:rPr>
        <w:t xml:space="preserve"> </w:t>
      </w:r>
      <w:r w:rsidR="008F4CA6" w:rsidRPr="00CD4F54">
        <w:rPr>
          <w:rFonts w:ascii="Arial" w:hAnsi="Arial" w:cs="Arial"/>
          <w:sz w:val="24"/>
          <w:szCs w:val="24"/>
          <w:lang w:val="es-419"/>
        </w:rPr>
        <w:t>De ser así, se desconocería el artículo 13 del C.G.P. que dispone que las normas procesales son de orden público y, por consiguiente, de obligatorio cumplimiento y en ningún caso podrán ser derogadas, modificadas o sustituidas por los funcionarios o particulares.</w:t>
      </w:r>
    </w:p>
    <w:p w:rsidR="00C5536D" w:rsidRPr="00CD4F54" w:rsidRDefault="00C5536D" w:rsidP="00CD4F54">
      <w:pPr>
        <w:pStyle w:val="Sinespaciado1"/>
        <w:spacing w:line="288" w:lineRule="auto"/>
        <w:ind w:firstLine="2880"/>
        <w:jc w:val="both"/>
        <w:rPr>
          <w:rFonts w:ascii="Arial" w:hAnsi="Arial" w:cs="Arial"/>
          <w:sz w:val="24"/>
          <w:szCs w:val="24"/>
          <w:lang w:val="es-419"/>
        </w:rPr>
      </w:pPr>
    </w:p>
    <w:p w:rsidR="008F4CA6" w:rsidRPr="00CD4F54" w:rsidRDefault="00C5536D" w:rsidP="00CD4F54">
      <w:pPr>
        <w:pStyle w:val="Sinespaciado1"/>
        <w:spacing w:line="288" w:lineRule="auto"/>
        <w:ind w:firstLine="2880"/>
        <w:jc w:val="both"/>
        <w:rPr>
          <w:rFonts w:ascii="Arial" w:hAnsi="Arial" w:cs="Arial"/>
          <w:sz w:val="24"/>
          <w:szCs w:val="24"/>
          <w:lang w:val="es-419"/>
        </w:rPr>
      </w:pPr>
      <w:r w:rsidRPr="00CD4F54">
        <w:rPr>
          <w:rFonts w:ascii="Arial" w:hAnsi="Arial" w:cs="Arial"/>
          <w:sz w:val="24"/>
          <w:szCs w:val="24"/>
          <w:lang w:val="es-419"/>
        </w:rPr>
        <w:t xml:space="preserve">En tal sentido, el Alto Tribunal de esta especialidad en sentencia </w:t>
      </w:r>
      <w:r w:rsidR="008F4CA6" w:rsidRPr="00CD4F54">
        <w:rPr>
          <w:rFonts w:ascii="Arial" w:hAnsi="Arial" w:cs="Arial"/>
          <w:sz w:val="24"/>
          <w:szCs w:val="24"/>
          <w:lang w:val="es-419"/>
        </w:rPr>
        <w:t>STC13129-2018-, en sede constitucional, al pronunciarse sobre la nulidad del artículo 121 del C.G.P., señaló:</w:t>
      </w:r>
    </w:p>
    <w:p w:rsidR="008F4CA6" w:rsidRPr="00CD4F54" w:rsidRDefault="008F4CA6" w:rsidP="00CD4F54">
      <w:pPr>
        <w:pStyle w:val="Sinespaciado1"/>
        <w:spacing w:line="288" w:lineRule="auto"/>
        <w:ind w:firstLine="2880"/>
        <w:jc w:val="both"/>
        <w:rPr>
          <w:rFonts w:ascii="Arial" w:hAnsi="Arial" w:cs="Arial"/>
          <w:sz w:val="24"/>
          <w:szCs w:val="24"/>
          <w:lang w:val="es-419"/>
        </w:rPr>
      </w:pPr>
    </w:p>
    <w:p w:rsidR="008F4CA6" w:rsidRPr="00CC7615" w:rsidRDefault="008F4CA6" w:rsidP="00CC7615">
      <w:pPr>
        <w:pStyle w:val="Sinespaciado1"/>
        <w:tabs>
          <w:tab w:val="left" w:pos="2410"/>
        </w:tabs>
        <w:ind w:left="426" w:right="420" w:firstLine="2127"/>
        <w:jc w:val="both"/>
        <w:rPr>
          <w:rFonts w:ascii="Arial" w:hAnsi="Arial" w:cs="Arial"/>
          <w:b/>
          <w:bCs/>
          <w:i/>
          <w:szCs w:val="24"/>
          <w:lang w:val="es-419"/>
        </w:rPr>
      </w:pPr>
      <w:r w:rsidRPr="00CC7615">
        <w:rPr>
          <w:rFonts w:ascii="Arial" w:hAnsi="Arial" w:cs="Arial"/>
          <w:b/>
          <w:bCs/>
          <w:i/>
          <w:szCs w:val="24"/>
          <w:lang w:val="es-419"/>
        </w:rPr>
        <w:t xml:space="preserve">“Ahora, es preciso aclarar que no cualquier situación o vicisitud tiene la virtualidad de interrumpir o suspender el adelantamiento del pleito, sino aquellas que expresamente contempla la ley, pues así se deduce claramente de la hermenéutica del mandato legal señalado. De manera que, cuando se presenta cualquiera de esos motivos contemplados en el Código General del Proceso, deberá el juez descontar el tiempo que trascurra entre la interrupción o suspensión, según el caso, y la reanudación del trámite, con el propósito de establecer si se superó el plazo para finiquitar la instancia.” </w:t>
      </w:r>
    </w:p>
    <w:p w:rsidR="00802A4D" w:rsidRPr="00CD4F54" w:rsidRDefault="00EE276C" w:rsidP="00CD4F54">
      <w:pPr>
        <w:pStyle w:val="Sinespaciado1"/>
        <w:spacing w:line="288" w:lineRule="auto"/>
        <w:ind w:firstLine="2880"/>
        <w:jc w:val="both"/>
        <w:rPr>
          <w:rFonts w:ascii="Arial" w:hAnsi="Arial" w:cs="Arial"/>
          <w:bCs/>
          <w:i/>
          <w:sz w:val="24"/>
          <w:szCs w:val="24"/>
          <w:lang w:val="es-419"/>
        </w:rPr>
      </w:pPr>
      <w:r w:rsidRPr="00CD4F54">
        <w:rPr>
          <w:rFonts w:ascii="Arial" w:hAnsi="Arial" w:cs="Arial"/>
          <w:bCs/>
          <w:sz w:val="24"/>
          <w:szCs w:val="24"/>
          <w:lang w:val="es-419"/>
        </w:rPr>
        <w:t xml:space="preserve"> </w:t>
      </w:r>
    </w:p>
    <w:p w:rsidR="00D25CE4" w:rsidRPr="00CD4F54" w:rsidRDefault="008F4CA6" w:rsidP="00CD4F54">
      <w:pPr>
        <w:pStyle w:val="Sinespaciado1"/>
        <w:spacing w:line="288" w:lineRule="auto"/>
        <w:ind w:firstLine="2880"/>
        <w:jc w:val="both"/>
        <w:rPr>
          <w:rFonts w:ascii="Arial" w:hAnsi="Arial" w:cs="Arial"/>
          <w:sz w:val="24"/>
          <w:szCs w:val="24"/>
          <w:lang w:val="es-419"/>
        </w:rPr>
      </w:pPr>
      <w:r w:rsidRPr="00CD4F54">
        <w:rPr>
          <w:rFonts w:ascii="Arial" w:hAnsi="Arial" w:cs="Arial"/>
          <w:b/>
          <w:bCs/>
          <w:sz w:val="24"/>
          <w:szCs w:val="24"/>
          <w:lang w:val="es-419"/>
        </w:rPr>
        <w:lastRenderedPageBreak/>
        <w:t>5</w:t>
      </w:r>
      <w:r w:rsidR="00D25CE4" w:rsidRPr="00CD4F54">
        <w:rPr>
          <w:rFonts w:ascii="Arial" w:hAnsi="Arial" w:cs="Arial"/>
          <w:b/>
          <w:bCs/>
          <w:sz w:val="24"/>
          <w:szCs w:val="24"/>
          <w:lang w:val="es-419"/>
        </w:rPr>
        <w:t>.</w:t>
      </w:r>
      <w:r w:rsidR="00D25CE4" w:rsidRPr="00CD4F54">
        <w:rPr>
          <w:rFonts w:ascii="Arial" w:hAnsi="Arial" w:cs="Arial"/>
          <w:bCs/>
          <w:sz w:val="24"/>
          <w:szCs w:val="24"/>
          <w:lang w:val="es-419"/>
        </w:rPr>
        <w:t xml:space="preserve"> En conclusión, habida cuenta de lo anteriormente</w:t>
      </w:r>
      <w:bookmarkStart w:id="0" w:name="_GoBack"/>
      <w:bookmarkEnd w:id="0"/>
      <w:r w:rsidR="00D25CE4" w:rsidRPr="00CD4F54">
        <w:rPr>
          <w:rFonts w:ascii="Arial" w:hAnsi="Arial" w:cs="Arial"/>
          <w:bCs/>
          <w:sz w:val="24"/>
          <w:szCs w:val="24"/>
          <w:lang w:val="es-419"/>
        </w:rPr>
        <w:t xml:space="preserve"> discurrido, se imponía declarar la nulidad de todas las actuaciones surtidas con posterioridad al </w:t>
      </w:r>
      <w:r w:rsidRPr="00CD4F54">
        <w:rPr>
          <w:rFonts w:ascii="Arial" w:hAnsi="Arial" w:cs="Arial"/>
          <w:bCs/>
          <w:sz w:val="24"/>
          <w:szCs w:val="24"/>
          <w:lang w:val="es-419"/>
        </w:rPr>
        <w:t>2</w:t>
      </w:r>
      <w:r w:rsidR="00E368DA" w:rsidRPr="00CD4F54">
        <w:rPr>
          <w:rFonts w:ascii="Arial" w:hAnsi="Arial" w:cs="Arial"/>
          <w:sz w:val="24"/>
          <w:szCs w:val="24"/>
          <w:lang w:val="es-419"/>
        </w:rPr>
        <w:t xml:space="preserve">2 de </w:t>
      </w:r>
      <w:r w:rsidRPr="00CD4F54">
        <w:rPr>
          <w:rFonts w:ascii="Arial" w:hAnsi="Arial" w:cs="Arial"/>
          <w:sz w:val="24"/>
          <w:szCs w:val="24"/>
          <w:lang w:val="es-419"/>
        </w:rPr>
        <w:t>abril</w:t>
      </w:r>
      <w:r w:rsidR="00E368DA" w:rsidRPr="00CD4F54">
        <w:rPr>
          <w:rFonts w:ascii="Arial" w:hAnsi="Arial" w:cs="Arial"/>
          <w:sz w:val="24"/>
          <w:szCs w:val="24"/>
          <w:lang w:val="es-419"/>
        </w:rPr>
        <w:t xml:space="preserve"> de 201</w:t>
      </w:r>
      <w:r w:rsidRPr="00CD4F54">
        <w:rPr>
          <w:rFonts w:ascii="Arial" w:hAnsi="Arial" w:cs="Arial"/>
          <w:sz w:val="24"/>
          <w:szCs w:val="24"/>
          <w:lang w:val="es-419"/>
        </w:rPr>
        <w:t>9</w:t>
      </w:r>
      <w:r w:rsidR="00D25CE4" w:rsidRPr="00CD4F54">
        <w:rPr>
          <w:rFonts w:ascii="Arial" w:hAnsi="Arial" w:cs="Arial"/>
          <w:bCs/>
          <w:sz w:val="24"/>
          <w:szCs w:val="24"/>
          <w:lang w:val="es-419"/>
        </w:rPr>
        <w:t>, por haber operado la pérdida de competencia señalada en el artículo 121 del C</w:t>
      </w:r>
      <w:r w:rsidR="00E368DA" w:rsidRPr="00CD4F54">
        <w:rPr>
          <w:rFonts w:ascii="Arial" w:hAnsi="Arial" w:cs="Arial"/>
          <w:bCs/>
          <w:sz w:val="24"/>
          <w:szCs w:val="24"/>
          <w:lang w:val="es-419"/>
        </w:rPr>
        <w:t>.</w:t>
      </w:r>
      <w:r w:rsidR="00D25CE4" w:rsidRPr="00CD4F54">
        <w:rPr>
          <w:rFonts w:ascii="Arial" w:hAnsi="Arial" w:cs="Arial"/>
          <w:bCs/>
          <w:sz w:val="24"/>
          <w:szCs w:val="24"/>
          <w:lang w:val="es-419"/>
        </w:rPr>
        <w:t>G</w:t>
      </w:r>
      <w:r w:rsidR="00E368DA" w:rsidRPr="00CD4F54">
        <w:rPr>
          <w:rFonts w:ascii="Arial" w:hAnsi="Arial" w:cs="Arial"/>
          <w:bCs/>
          <w:sz w:val="24"/>
          <w:szCs w:val="24"/>
          <w:lang w:val="es-419"/>
        </w:rPr>
        <w:t>.</w:t>
      </w:r>
      <w:r w:rsidR="00D25CE4" w:rsidRPr="00CD4F54">
        <w:rPr>
          <w:rFonts w:ascii="Arial" w:hAnsi="Arial" w:cs="Arial"/>
          <w:bCs/>
          <w:sz w:val="24"/>
          <w:szCs w:val="24"/>
          <w:lang w:val="es-419"/>
        </w:rPr>
        <w:t>P.</w:t>
      </w:r>
      <w:r w:rsidRPr="00CD4F54">
        <w:rPr>
          <w:rFonts w:ascii="Arial" w:hAnsi="Arial" w:cs="Arial"/>
          <w:bCs/>
          <w:sz w:val="24"/>
          <w:szCs w:val="24"/>
          <w:lang w:val="es-419"/>
        </w:rPr>
        <w:t xml:space="preserve"> </w:t>
      </w:r>
      <w:r w:rsidR="00E368DA" w:rsidRPr="00CD4F54">
        <w:rPr>
          <w:rFonts w:ascii="Arial" w:hAnsi="Arial" w:cs="Arial"/>
          <w:bCs/>
          <w:sz w:val="24"/>
          <w:szCs w:val="24"/>
          <w:lang w:val="es-419"/>
        </w:rPr>
        <w:t xml:space="preserve">En consecuencia, se confirmará la decisión </w:t>
      </w:r>
      <w:r w:rsidRPr="00CD4F54">
        <w:rPr>
          <w:rFonts w:ascii="Arial" w:hAnsi="Arial" w:cs="Arial"/>
          <w:bCs/>
          <w:sz w:val="24"/>
          <w:szCs w:val="24"/>
          <w:lang w:val="es-419"/>
        </w:rPr>
        <w:t>venida en súplica.</w:t>
      </w:r>
    </w:p>
    <w:p w:rsidR="00D25CE4" w:rsidRPr="00CD4F54" w:rsidRDefault="00D25CE4" w:rsidP="00CD4F54">
      <w:pPr>
        <w:pStyle w:val="Sinespaciado1"/>
        <w:tabs>
          <w:tab w:val="left" w:pos="2410"/>
        </w:tabs>
        <w:spacing w:line="288" w:lineRule="auto"/>
        <w:ind w:firstLine="2835"/>
        <w:jc w:val="both"/>
        <w:rPr>
          <w:rFonts w:ascii="Arial" w:hAnsi="Arial" w:cs="Arial"/>
          <w:bCs/>
          <w:sz w:val="24"/>
          <w:szCs w:val="24"/>
          <w:lang w:val="es-419"/>
        </w:rPr>
      </w:pPr>
    </w:p>
    <w:p w:rsidR="00AE1CC8" w:rsidRPr="00CD4F54" w:rsidRDefault="008F4CA6" w:rsidP="00CD4F54">
      <w:pPr>
        <w:pStyle w:val="Sinespaciado1"/>
        <w:spacing w:line="288" w:lineRule="auto"/>
        <w:ind w:firstLine="2880"/>
        <w:jc w:val="both"/>
        <w:rPr>
          <w:rFonts w:ascii="Arial" w:hAnsi="Arial" w:cs="Arial"/>
          <w:sz w:val="24"/>
          <w:szCs w:val="24"/>
          <w:lang w:val="es-419"/>
        </w:rPr>
      </w:pPr>
      <w:r w:rsidRPr="00CD4F54">
        <w:rPr>
          <w:rFonts w:ascii="Arial" w:hAnsi="Arial" w:cs="Arial"/>
          <w:b/>
          <w:sz w:val="24"/>
          <w:szCs w:val="24"/>
          <w:lang w:val="es-419"/>
        </w:rPr>
        <w:t>6</w:t>
      </w:r>
      <w:r w:rsidR="00D25CE4" w:rsidRPr="00CD4F54">
        <w:rPr>
          <w:rFonts w:ascii="Arial" w:hAnsi="Arial" w:cs="Arial"/>
          <w:b/>
          <w:sz w:val="24"/>
          <w:szCs w:val="24"/>
          <w:lang w:val="es-419"/>
        </w:rPr>
        <w:t>.</w:t>
      </w:r>
      <w:r w:rsidR="00D25CE4" w:rsidRPr="00CD4F54">
        <w:rPr>
          <w:rFonts w:ascii="Arial" w:hAnsi="Arial" w:cs="Arial"/>
          <w:sz w:val="24"/>
          <w:szCs w:val="24"/>
          <w:lang w:val="es-419"/>
        </w:rPr>
        <w:t xml:space="preserve"> En mérito de lo expuesto, el Tribunal Superior del Distrito Judicial de Pereira, en Sala </w:t>
      </w:r>
      <w:r w:rsidR="009F70AF" w:rsidRPr="00CD4F54">
        <w:rPr>
          <w:rFonts w:ascii="Arial" w:hAnsi="Arial" w:cs="Arial"/>
          <w:sz w:val="24"/>
          <w:szCs w:val="24"/>
          <w:lang w:val="es-419"/>
        </w:rPr>
        <w:t xml:space="preserve">Dual </w:t>
      </w:r>
      <w:r w:rsidR="00D25CE4" w:rsidRPr="00CD4F54">
        <w:rPr>
          <w:rFonts w:ascii="Arial" w:hAnsi="Arial" w:cs="Arial"/>
          <w:sz w:val="24"/>
          <w:szCs w:val="24"/>
          <w:lang w:val="es-419"/>
        </w:rPr>
        <w:t>Civil Familia de Decisión</w:t>
      </w:r>
    </w:p>
    <w:p w:rsidR="00AE1CC8" w:rsidRPr="00CD4F54" w:rsidRDefault="00AE1CC8" w:rsidP="00CD4F54">
      <w:pPr>
        <w:pStyle w:val="Sinespaciado1"/>
        <w:spacing w:line="288" w:lineRule="auto"/>
        <w:ind w:firstLine="2880"/>
        <w:jc w:val="both"/>
        <w:rPr>
          <w:rFonts w:ascii="Arial" w:hAnsi="Arial" w:cs="Arial"/>
          <w:sz w:val="24"/>
          <w:szCs w:val="24"/>
          <w:lang w:val="es-419"/>
        </w:rPr>
      </w:pPr>
    </w:p>
    <w:p w:rsidR="00273E57" w:rsidRPr="00CD4F54" w:rsidRDefault="009F70AF" w:rsidP="00CD4F54">
      <w:pPr>
        <w:pStyle w:val="Sinespaciado1"/>
        <w:spacing w:line="288" w:lineRule="auto"/>
        <w:ind w:firstLine="2880"/>
        <w:jc w:val="both"/>
        <w:rPr>
          <w:rFonts w:ascii="Arial" w:hAnsi="Arial" w:cs="Arial"/>
          <w:b/>
          <w:sz w:val="24"/>
          <w:szCs w:val="24"/>
          <w:lang w:val="es-419"/>
        </w:rPr>
      </w:pPr>
      <w:r w:rsidRPr="00CD4F54">
        <w:rPr>
          <w:rFonts w:ascii="Arial" w:hAnsi="Arial" w:cs="Arial"/>
          <w:sz w:val="24"/>
          <w:szCs w:val="24"/>
          <w:lang w:val="es-419"/>
        </w:rPr>
        <w:t xml:space="preserve"> </w:t>
      </w:r>
      <w:r w:rsidR="00273E57" w:rsidRPr="00CD4F54">
        <w:rPr>
          <w:rFonts w:ascii="Arial" w:hAnsi="Arial" w:cs="Arial"/>
          <w:b/>
          <w:sz w:val="24"/>
          <w:szCs w:val="24"/>
          <w:lang w:val="es-419"/>
        </w:rPr>
        <w:t>RESUELVE:</w:t>
      </w:r>
    </w:p>
    <w:p w:rsidR="00273E57" w:rsidRPr="00CD4F54" w:rsidRDefault="00273E57" w:rsidP="00CD4F54">
      <w:pPr>
        <w:pStyle w:val="Sinespaciado1"/>
        <w:spacing w:line="288" w:lineRule="auto"/>
        <w:ind w:firstLine="2880"/>
        <w:jc w:val="both"/>
        <w:rPr>
          <w:rFonts w:ascii="Arial" w:hAnsi="Arial" w:cs="Arial"/>
          <w:b/>
          <w:sz w:val="24"/>
          <w:szCs w:val="24"/>
          <w:lang w:val="es-419"/>
        </w:rPr>
      </w:pPr>
    </w:p>
    <w:p w:rsidR="00273E57" w:rsidRPr="00CD4F54" w:rsidRDefault="009F70AF" w:rsidP="00CD4F54">
      <w:pPr>
        <w:pStyle w:val="Sinespaciado1"/>
        <w:spacing w:line="288" w:lineRule="auto"/>
        <w:ind w:firstLine="2880"/>
        <w:jc w:val="both"/>
        <w:rPr>
          <w:rFonts w:ascii="Arial" w:hAnsi="Arial" w:cs="Arial"/>
          <w:bCs/>
          <w:sz w:val="24"/>
          <w:szCs w:val="24"/>
          <w:lang w:val="es-419"/>
        </w:rPr>
      </w:pPr>
      <w:r w:rsidRPr="00CD4F54">
        <w:rPr>
          <w:rFonts w:ascii="Arial" w:hAnsi="Arial" w:cs="Arial"/>
          <w:b/>
          <w:sz w:val="24"/>
          <w:szCs w:val="24"/>
          <w:lang w:val="es-419"/>
        </w:rPr>
        <w:t>CONFIRMAR</w:t>
      </w:r>
      <w:r w:rsidRPr="00CD4F54">
        <w:rPr>
          <w:rFonts w:ascii="Arial" w:eastAsia="Times New Roman" w:hAnsi="Arial" w:cs="Arial"/>
          <w:iCs/>
          <w:color w:val="000000"/>
          <w:sz w:val="24"/>
          <w:szCs w:val="24"/>
          <w:lang w:val="es-419"/>
        </w:rPr>
        <w:t xml:space="preserve">, el auto materia de súplica adiado </w:t>
      </w:r>
      <w:r w:rsidR="008F4CA6" w:rsidRPr="00CD4F54">
        <w:rPr>
          <w:rFonts w:ascii="Arial" w:eastAsia="Times New Roman" w:hAnsi="Arial" w:cs="Arial"/>
          <w:iCs/>
          <w:color w:val="000000"/>
          <w:sz w:val="24"/>
          <w:szCs w:val="24"/>
          <w:lang w:val="es-419"/>
        </w:rPr>
        <w:t>17</w:t>
      </w:r>
      <w:r w:rsidRPr="00CD4F54">
        <w:rPr>
          <w:rFonts w:ascii="Arial" w:eastAsia="Times New Roman" w:hAnsi="Arial" w:cs="Arial"/>
          <w:iCs/>
          <w:color w:val="000000"/>
          <w:sz w:val="24"/>
          <w:szCs w:val="24"/>
          <w:lang w:val="es-419"/>
        </w:rPr>
        <w:t xml:space="preserve"> </w:t>
      </w:r>
      <w:r w:rsidR="008F4CA6" w:rsidRPr="00CD4F54">
        <w:rPr>
          <w:rFonts w:ascii="Arial" w:eastAsia="Times New Roman" w:hAnsi="Arial" w:cs="Arial"/>
          <w:iCs/>
          <w:color w:val="000000"/>
          <w:sz w:val="24"/>
          <w:szCs w:val="24"/>
          <w:lang w:val="es-419"/>
        </w:rPr>
        <w:t>junio</w:t>
      </w:r>
      <w:r w:rsidRPr="00CD4F54">
        <w:rPr>
          <w:rFonts w:ascii="Arial" w:eastAsia="Times New Roman" w:hAnsi="Arial" w:cs="Arial"/>
          <w:iCs/>
          <w:color w:val="000000"/>
          <w:sz w:val="24"/>
          <w:szCs w:val="24"/>
          <w:lang w:val="es-419"/>
        </w:rPr>
        <w:t xml:space="preserve"> de 2019, en cuanto </w:t>
      </w:r>
      <w:r w:rsidRPr="00CD4F54">
        <w:rPr>
          <w:rFonts w:ascii="Arial" w:hAnsi="Arial" w:cs="Arial"/>
          <w:bCs/>
          <w:sz w:val="24"/>
          <w:szCs w:val="24"/>
          <w:lang w:val="es-419"/>
        </w:rPr>
        <w:t>a la decisión de d</w:t>
      </w:r>
      <w:r w:rsidR="001849E6" w:rsidRPr="00CD4F54">
        <w:rPr>
          <w:rFonts w:ascii="Arial" w:hAnsi="Arial" w:cs="Arial"/>
          <w:bCs/>
          <w:sz w:val="24"/>
          <w:szCs w:val="24"/>
          <w:lang w:val="es-419"/>
        </w:rPr>
        <w:t>eclarar nulo todo lo actuado</w:t>
      </w:r>
      <w:r w:rsidR="00273E57" w:rsidRPr="00CD4F54">
        <w:rPr>
          <w:rFonts w:ascii="Arial" w:hAnsi="Arial" w:cs="Arial"/>
          <w:bCs/>
          <w:sz w:val="24"/>
          <w:szCs w:val="24"/>
          <w:lang w:val="es-419"/>
        </w:rPr>
        <w:t>.</w:t>
      </w:r>
    </w:p>
    <w:p w:rsidR="00273E57" w:rsidRPr="00CD4F54" w:rsidRDefault="00273E57" w:rsidP="00CD4F54">
      <w:pPr>
        <w:pStyle w:val="Sinespaciado1"/>
        <w:spacing w:line="288" w:lineRule="auto"/>
        <w:ind w:firstLine="2880"/>
        <w:jc w:val="both"/>
        <w:rPr>
          <w:rFonts w:ascii="Arial" w:hAnsi="Arial" w:cs="Arial"/>
          <w:bCs/>
          <w:sz w:val="24"/>
          <w:szCs w:val="24"/>
          <w:lang w:val="es-419"/>
        </w:rPr>
      </w:pPr>
    </w:p>
    <w:p w:rsidR="009F70AF" w:rsidRPr="00CD4F54" w:rsidRDefault="009F70AF" w:rsidP="00CD4F54">
      <w:pPr>
        <w:pStyle w:val="Sinespaciado1"/>
        <w:spacing w:line="288" w:lineRule="auto"/>
        <w:ind w:firstLine="2880"/>
        <w:jc w:val="both"/>
        <w:rPr>
          <w:rFonts w:ascii="Arial" w:hAnsi="Arial" w:cs="Arial"/>
          <w:bCs/>
          <w:sz w:val="24"/>
          <w:szCs w:val="24"/>
          <w:lang w:val="es-419"/>
        </w:rPr>
      </w:pPr>
      <w:r w:rsidRPr="00CD4F54">
        <w:rPr>
          <w:rFonts w:ascii="Arial" w:eastAsia="Times New Roman" w:hAnsi="Arial" w:cs="Arial"/>
          <w:iCs/>
          <w:color w:val="000000"/>
          <w:sz w:val="24"/>
          <w:szCs w:val="24"/>
          <w:lang w:val="es-419"/>
        </w:rPr>
        <w:t xml:space="preserve">En firme este proveído, retornen las presentes diligencias al </w:t>
      </w:r>
      <w:r w:rsidRPr="00CD4F54">
        <w:rPr>
          <w:rFonts w:ascii="Arial" w:hAnsi="Arial" w:cs="Arial"/>
          <w:sz w:val="24"/>
          <w:szCs w:val="24"/>
          <w:lang w:val="es-419"/>
        </w:rPr>
        <w:t>Despacho de origen.</w:t>
      </w:r>
    </w:p>
    <w:p w:rsidR="009F70AF" w:rsidRPr="00CD4F54" w:rsidRDefault="009F70AF" w:rsidP="00CD4F54">
      <w:pPr>
        <w:pStyle w:val="Sinespaciado1"/>
        <w:spacing w:line="288" w:lineRule="auto"/>
        <w:ind w:firstLine="2880"/>
        <w:jc w:val="both"/>
        <w:rPr>
          <w:rFonts w:ascii="Arial" w:hAnsi="Arial" w:cs="Arial"/>
          <w:sz w:val="24"/>
          <w:szCs w:val="24"/>
          <w:lang w:val="es-419"/>
        </w:rPr>
      </w:pPr>
    </w:p>
    <w:p w:rsidR="009F70AF" w:rsidRPr="00CD4F54" w:rsidRDefault="009F70AF" w:rsidP="00CD4F54">
      <w:pPr>
        <w:pStyle w:val="Sinespaciado1"/>
        <w:spacing w:line="288" w:lineRule="auto"/>
        <w:ind w:firstLine="2880"/>
        <w:jc w:val="both"/>
        <w:rPr>
          <w:rFonts w:ascii="Arial" w:hAnsi="Arial" w:cs="Arial"/>
          <w:sz w:val="24"/>
          <w:szCs w:val="24"/>
          <w:lang w:val="es-419"/>
        </w:rPr>
      </w:pPr>
      <w:r w:rsidRPr="00CD4F54">
        <w:rPr>
          <w:rFonts w:ascii="Arial" w:hAnsi="Arial" w:cs="Arial"/>
          <w:sz w:val="24"/>
          <w:szCs w:val="24"/>
          <w:lang w:val="es-419"/>
        </w:rPr>
        <w:t>Notifíquese y cúmplase</w:t>
      </w:r>
    </w:p>
    <w:p w:rsidR="00AE1CC8" w:rsidRPr="00CD4F54" w:rsidRDefault="00AE1CC8" w:rsidP="00CD4F54">
      <w:pPr>
        <w:pStyle w:val="Sinespaciado1"/>
        <w:spacing w:line="288" w:lineRule="auto"/>
        <w:ind w:firstLine="2880"/>
        <w:jc w:val="both"/>
        <w:rPr>
          <w:rFonts w:ascii="Arial" w:hAnsi="Arial" w:cs="Arial"/>
          <w:sz w:val="24"/>
          <w:szCs w:val="24"/>
          <w:lang w:val="es-419"/>
        </w:rPr>
      </w:pPr>
    </w:p>
    <w:p w:rsidR="009F70AF" w:rsidRPr="00CD4F54" w:rsidRDefault="009F70AF" w:rsidP="00CD4F54">
      <w:pPr>
        <w:pStyle w:val="Sinespaciado1"/>
        <w:spacing w:line="288" w:lineRule="auto"/>
        <w:ind w:firstLine="2880"/>
        <w:jc w:val="both"/>
        <w:rPr>
          <w:rFonts w:ascii="Arial" w:hAnsi="Arial" w:cs="Arial"/>
          <w:sz w:val="24"/>
          <w:szCs w:val="24"/>
          <w:lang w:val="es-419"/>
        </w:rPr>
      </w:pPr>
      <w:r w:rsidRPr="00CD4F54">
        <w:rPr>
          <w:rFonts w:ascii="Arial" w:hAnsi="Arial" w:cs="Arial"/>
          <w:sz w:val="24"/>
          <w:szCs w:val="24"/>
          <w:lang w:val="es-419"/>
        </w:rPr>
        <w:t>Los Magistrados,</w:t>
      </w:r>
    </w:p>
    <w:p w:rsidR="009F70AF" w:rsidRPr="00CD4F54" w:rsidRDefault="009F70AF" w:rsidP="00CD4F54">
      <w:pPr>
        <w:pStyle w:val="Sinespaciado1"/>
        <w:spacing w:line="288" w:lineRule="auto"/>
        <w:jc w:val="both"/>
        <w:rPr>
          <w:rFonts w:ascii="Arial" w:hAnsi="Arial" w:cs="Arial"/>
          <w:sz w:val="24"/>
          <w:szCs w:val="24"/>
          <w:lang w:val="es-419"/>
        </w:rPr>
      </w:pPr>
    </w:p>
    <w:p w:rsidR="00AE1CC8" w:rsidRDefault="00AE1CC8" w:rsidP="00CD4F54">
      <w:pPr>
        <w:pStyle w:val="Sinespaciado1"/>
        <w:spacing w:line="288" w:lineRule="auto"/>
        <w:jc w:val="both"/>
        <w:rPr>
          <w:rFonts w:ascii="Arial" w:hAnsi="Arial" w:cs="Arial"/>
          <w:sz w:val="24"/>
          <w:szCs w:val="24"/>
          <w:lang w:val="es-419"/>
        </w:rPr>
      </w:pPr>
    </w:p>
    <w:p w:rsidR="00CC7615" w:rsidRPr="00CD4F54" w:rsidRDefault="00CC7615" w:rsidP="00CD4F54">
      <w:pPr>
        <w:pStyle w:val="Sinespaciado1"/>
        <w:spacing w:line="288" w:lineRule="auto"/>
        <w:jc w:val="both"/>
        <w:rPr>
          <w:rFonts w:ascii="Arial" w:hAnsi="Arial" w:cs="Arial"/>
          <w:sz w:val="24"/>
          <w:szCs w:val="24"/>
          <w:lang w:val="es-419"/>
        </w:rPr>
      </w:pPr>
    </w:p>
    <w:p w:rsidR="00D25CE4" w:rsidRPr="00CD4F54" w:rsidRDefault="00CC7615" w:rsidP="00F708B0">
      <w:pPr>
        <w:pStyle w:val="Sinespaciado1"/>
        <w:spacing w:line="288" w:lineRule="auto"/>
        <w:jc w:val="both"/>
        <w:rPr>
          <w:rFonts w:ascii="Arial" w:hAnsi="Arial" w:cs="Arial"/>
          <w:sz w:val="24"/>
          <w:szCs w:val="24"/>
          <w:lang w:val="es-419"/>
        </w:rPr>
      </w:pPr>
      <w:r w:rsidRPr="00CC7615">
        <w:rPr>
          <w:rFonts w:ascii="Arial" w:hAnsi="Arial" w:cs="Arial"/>
          <w:b/>
          <w:szCs w:val="24"/>
          <w:lang w:val="es-419"/>
        </w:rPr>
        <w:t>EDDER JIMMY SÁNCHEZ CALAMBÁS</w:t>
      </w:r>
      <w:r>
        <w:rPr>
          <w:rFonts w:ascii="Arial" w:hAnsi="Arial" w:cs="Arial"/>
          <w:b/>
          <w:szCs w:val="24"/>
          <w:lang w:val="es-419"/>
        </w:rPr>
        <w:tab/>
      </w:r>
      <w:r w:rsidRPr="00CC7615">
        <w:rPr>
          <w:rFonts w:ascii="Arial" w:hAnsi="Arial" w:cs="Arial"/>
          <w:b/>
          <w:szCs w:val="24"/>
          <w:lang w:val="es-419"/>
        </w:rPr>
        <w:tab/>
      </w:r>
      <w:r>
        <w:rPr>
          <w:rFonts w:ascii="Arial" w:hAnsi="Arial" w:cs="Arial"/>
          <w:b/>
          <w:szCs w:val="24"/>
        </w:rPr>
        <w:t xml:space="preserve">   </w:t>
      </w:r>
      <w:r w:rsidRPr="00CC7615">
        <w:rPr>
          <w:rFonts w:ascii="Arial" w:hAnsi="Arial" w:cs="Arial"/>
          <w:b/>
          <w:szCs w:val="24"/>
          <w:lang w:val="es-419"/>
        </w:rPr>
        <w:t>JAIME ALBERTO SARAZA NARANJO</w:t>
      </w:r>
    </w:p>
    <w:sectPr w:rsidR="00D25CE4" w:rsidRPr="00CD4F54" w:rsidSect="00053EF6">
      <w:footerReference w:type="default" r:id="rId6"/>
      <w:headerReference w:type="first" r:id="rId7"/>
      <w:pgSz w:w="12242" w:h="18722" w:code="14"/>
      <w:pgMar w:top="1985" w:right="1304" w:bottom="1418"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5EF" w:rsidRDefault="00DC25EF" w:rsidP="00B6776C">
      <w:r>
        <w:separator/>
      </w:r>
    </w:p>
  </w:endnote>
  <w:endnote w:type="continuationSeparator" w:id="0">
    <w:p w:rsidR="00DC25EF" w:rsidRDefault="00DC25EF" w:rsidP="00B6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A91" w:rsidRPr="00F708B0" w:rsidRDefault="000D4E2E">
    <w:pPr>
      <w:pStyle w:val="Piedepgina"/>
      <w:jc w:val="right"/>
      <w:rPr>
        <w:rFonts w:ascii="Arial" w:hAnsi="Arial" w:cs="Arial"/>
        <w:sz w:val="18"/>
        <w:szCs w:val="22"/>
      </w:rPr>
    </w:pPr>
    <w:r w:rsidRPr="00F708B0">
      <w:rPr>
        <w:rFonts w:ascii="Arial" w:hAnsi="Arial" w:cs="Arial"/>
        <w:sz w:val="18"/>
        <w:szCs w:val="22"/>
      </w:rPr>
      <w:fldChar w:fldCharType="begin"/>
    </w:r>
    <w:r w:rsidRPr="00F708B0">
      <w:rPr>
        <w:rFonts w:ascii="Arial" w:hAnsi="Arial" w:cs="Arial"/>
        <w:sz w:val="18"/>
        <w:szCs w:val="22"/>
      </w:rPr>
      <w:instrText xml:space="preserve"> PAGE   \* MERGEFORMAT </w:instrText>
    </w:r>
    <w:r w:rsidRPr="00F708B0">
      <w:rPr>
        <w:rFonts w:ascii="Arial" w:hAnsi="Arial" w:cs="Arial"/>
        <w:sz w:val="18"/>
        <w:szCs w:val="22"/>
      </w:rPr>
      <w:fldChar w:fldCharType="separate"/>
    </w:r>
    <w:r w:rsidR="00053EF6">
      <w:rPr>
        <w:rFonts w:ascii="Arial" w:hAnsi="Arial" w:cs="Arial"/>
        <w:noProof/>
        <w:sz w:val="18"/>
        <w:szCs w:val="22"/>
      </w:rPr>
      <w:t>7</w:t>
    </w:r>
    <w:r w:rsidRPr="00F708B0">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5EF" w:rsidRDefault="00DC25EF" w:rsidP="00B6776C">
      <w:r>
        <w:separator/>
      </w:r>
    </w:p>
  </w:footnote>
  <w:footnote w:type="continuationSeparator" w:id="0">
    <w:p w:rsidR="00DC25EF" w:rsidRDefault="00DC25EF" w:rsidP="00B67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3B" w:rsidRDefault="00A5053B" w:rsidP="00A5053B">
    <w:pPr>
      <w:pStyle w:val="Sinespaciado2"/>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3189B5BA" wp14:editId="0B0D75C4">
          <wp:simplePos x="0" y="0"/>
          <wp:positionH relativeFrom="margin">
            <wp:posOffset>32385</wp:posOffset>
          </wp:positionH>
          <wp:positionV relativeFrom="paragraph">
            <wp:posOffset>9417</wp:posOffset>
          </wp:positionV>
          <wp:extent cx="2573675" cy="865909"/>
          <wp:effectExtent l="0" t="0" r="0" b="0"/>
          <wp:wrapNone/>
          <wp:docPr id="5" name="Imagen 5"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675" cy="8659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A5053B" w:rsidRDefault="00A5053B" w:rsidP="00A5053B">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rsidR="00A5053B" w:rsidRDefault="00A5053B" w:rsidP="00A5053B">
    <w:pPr>
      <w:pStyle w:val="Sinespaciado2"/>
      <w:rPr>
        <w:rFonts w:ascii="Arial" w:hAnsi="Arial" w:cs="Arial"/>
        <w:sz w:val="16"/>
        <w:szCs w:val="16"/>
      </w:rPr>
    </w:pPr>
  </w:p>
  <w:p w:rsidR="00A5053B" w:rsidRDefault="00A5053B" w:rsidP="00A5053B">
    <w:pPr>
      <w:pStyle w:val="Sinespaciado2"/>
      <w:rPr>
        <w:rFonts w:ascii="Arial" w:hAnsi="Arial" w:cs="Arial"/>
        <w:sz w:val="16"/>
        <w:szCs w:val="16"/>
      </w:rPr>
    </w:pPr>
  </w:p>
  <w:p w:rsidR="00A5053B" w:rsidRDefault="00A5053B" w:rsidP="00A5053B">
    <w:pPr>
      <w:pStyle w:val="Sinespaciado2"/>
      <w:rPr>
        <w:rFonts w:ascii="Arial" w:hAnsi="Arial" w:cs="Arial"/>
        <w:sz w:val="16"/>
        <w:szCs w:val="16"/>
      </w:rPr>
    </w:pPr>
  </w:p>
  <w:p w:rsidR="00A5053B" w:rsidRDefault="00A5053B" w:rsidP="00A5053B">
    <w:pPr>
      <w:pStyle w:val="Sinespaciado2"/>
      <w:rPr>
        <w:rFonts w:ascii="Arial" w:hAnsi="Arial" w:cs="Arial"/>
        <w:sz w:val="16"/>
        <w:szCs w:val="16"/>
      </w:rPr>
    </w:pPr>
  </w:p>
  <w:p w:rsidR="00A5053B" w:rsidRDefault="00A5053B" w:rsidP="00A5053B">
    <w:pPr>
      <w:pStyle w:val="Sinespaciado2"/>
      <w:rPr>
        <w:rFonts w:ascii="Arial" w:hAnsi="Arial" w:cs="Arial"/>
        <w:sz w:val="16"/>
        <w:szCs w:val="16"/>
      </w:rPr>
    </w:pPr>
  </w:p>
  <w:p w:rsidR="00A5053B" w:rsidRPr="00CD4F54" w:rsidRDefault="00A5053B" w:rsidP="00CD4F54">
    <w:pPr>
      <w:pStyle w:val="Sinespaciado2"/>
      <w:jc w:val="right"/>
      <w:rPr>
        <w:rFonts w:ascii="Arial" w:hAnsi="Arial" w:cs="Arial"/>
        <w:sz w:val="16"/>
        <w:szCs w:val="16"/>
      </w:rPr>
    </w:pPr>
    <w:r w:rsidRPr="00CD4F54">
      <w:rPr>
        <w:rFonts w:ascii="Arial" w:hAnsi="Arial" w:cs="Arial"/>
        <w:szCs w:val="16"/>
      </w:rPr>
      <w:t>Auto resuelve súplica 2016-00414-01</w:t>
    </w:r>
  </w:p>
  <w:p w:rsidR="00A5053B" w:rsidRDefault="00A505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6C"/>
    <w:rsid w:val="00002F1C"/>
    <w:rsid w:val="00007D6C"/>
    <w:rsid w:val="0002022B"/>
    <w:rsid w:val="00044F59"/>
    <w:rsid w:val="00046C97"/>
    <w:rsid w:val="00053EF6"/>
    <w:rsid w:val="000916D5"/>
    <w:rsid w:val="000923F6"/>
    <w:rsid w:val="000B2FE9"/>
    <w:rsid w:val="000C2210"/>
    <w:rsid w:val="000C6C02"/>
    <w:rsid w:val="000D4E2E"/>
    <w:rsid w:val="0010197D"/>
    <w:rsid w:val="00117095"/>
    <w:rsid w:val="00117C84"/>
    <w:rsid w:val="00120F57"/>
    <w:rsid w:val="00137DC4"/>
    <w:rsid w:val="00153AF9"/>
    <w:rsid w:val="001639EB"/>
    <w:rsid w:val="001675DD"/>
    <w:rsid w:val="001849E6"/>
    <w:rsid w:val="001A4722"/>
    <w:rsid w:val="001C7095"/>
    <w:rsid w:val="001E548A"/>
    <w:rsid w:val="001F02CB"/>
    <w:rsid w:val="001F0819"/>
    <w:rsid w:val="00224D5D"/>
    <w:rsid w:val="00237B3C"/>
    <w:rsid w:val="00242EDE"/>
    <w:rsid w:val="00253A7D"/>
    <w:rsid w:val="00273E57"/>
    <w:rsid w:val="00275D70"/>
    <w:rsid w:val="002A6ADB"/>
    <w:rsid w:val="002D490B"/>
    <w:rsid w:val="002E0C08"/>
    <w:rsid w:val="002E6323"/>
    <w:rsid w:val="002F1CBC"/>
    <w:rsid w:val="002F769D"/>
    <w:rsid w:val="003013BD"/>
    <w:rsid w:val="003013E5"/>
    <w:rsid w:val="0032224E"/>
    <w:rsid w:val="0033061D"/>
    <w:rsid w:val="0034730D"/>
    <w:rsid w:val="003535D4"/>
    <w:rsid w:val="00361F64"/>
    <w:rsid w:val="00375B0D"/>
    <w:rsid w:val="003B4D72"/>
    <w:rsid w:val="003B756B"/>
    <w:rsid w:val="003C3CC2"/>
    <w:rsid w:val="003C5D08"/>
    <w:rsid w:val="003E61EF"/>
    <w:rsid w:val="003E731E"/>
    <w:rsid w:val="00400352"/>
    <w:rsid w:val="00412063"/>
    <w:rsid w:val="004365BB"/>
    <w:rsid w:val="00443182"/>
    <w:rsid w:val="00461463"/>
    <w:rsid w:val="004667FC"/>
    <w:rsid w:val="004C4684"/>
    <w:rsid w:val="004E084A"/>
    <w:rsid w:val="004E48BA"/>
    <w:rsid w:val="00505C56"/>
    <w:rsid w:val="00524304"/>
    <w:rsid w:val="00531E1F"/>
    <w:rsid w:val="005339F5"/>
    <w:rsid w:val="005973D4"/>
    <w:rsid w:val="005C7D25"/>
    <w:rsid w:val="00602EE6"/>
    <w:rsid w:val="0060324A"/>
    <w:rsid w:val="0061105D"/>
    <w:rsid w:val="00616307"/>
    <w:rsid w:val="00617277"/>
    <w:rsid w:val="00623F83"/>
    <w:rsid w:val="00645CC1"/>
    <w:rsid w:val="006708DC"/>
    <w:rsid w:val="006B79E4"/>
    <w:rsid w:val="006F5983"/>
    <w:rsid w:val="00704FC7"/>
    <w:rsid w:val="00720A34"/>
    <w:rsid w:val="007266E9"/>
    <w:rsid w:val="007336C9"/>
    <w:rsid w:val="00755601"/>
    <w:rsid w:val="007727B4"/>
    <w:rsid w:val="007A7CE5"/>
    <w:rsid w:val="007C374F"/>
    <w:rsid w:val="007E00F1"/>
    <w:rsid w:val="007E4FF9"/>
    <w:rsid w:val="007F0B83"/>
    <w:rsid w:val="007F1CC8"/>
    <w:rsid w:val="00802A4D"/>
    <w:rsid w:val="00803A91"/>
    <w:rsid w:val="00820623"/>
    <w:rsid w:val="0087662B"/>
    <w:rsid w:val="00894A7A"/>
    <w:rsid w:val="00896A18"/>
    <w:rsid w:val="008E7F80"/>
    <w:rsid w:val="008F4CA6"/>
    <w:rsid w:val="009176E7"/>
    <w:rsid w:val="00923A51"/>
    <w:rsid w:val="00933F36"/>
    <w:rsid w:val="0094469E"/>
    <w:rsid w:val="00977259"/>
    <w:rsid w:val="00994AD5"/>
    <w:rsid w:val="009A7528"/>
    <w:rsid w:val="009C263F"/>
    <w:rsid w:val="009D5643"/>
    <w:rsid w:val="009F70AF"/>
    <w:rsid w:val="00A007D6"/>
    <w:rsid w:val="00A02E0E"/>
    <w:rsid w:val="00A213F0"/>
    <w:rsid w:val="00A22A12"/>
    <w:rsid w:val="00A22D53"/>
    <w:rsid w:val="00A46933"/>
    <w:rsid w:val="00A5053B"/>
    <w:rsid w:val="00A51C8E"/>
    <w:rsid w:val="00A65127"/>
    <w:rsid w:val="00A72632"/>
    <w:rsid w:val="00AD1A8D"/>
    <w:rsid w:val="00AD45E8"/>
    <w:rsid w:val="00AE1CC8"/>
    <w:rsid w:val="00AE73A8"/>
    <w:rsid w:val="00AF70C4"/>
    <w:rsid w:val="00B043F0"/>
    <w:rsid w:val="00B150A6"/>
    <w:rsid w:val="00B50F84"/>
    <w:rsid w:val="00B6776C"/>
    <w:rsid w:val="00B926EA"/>
    <w:rsid w:val="00BA16D4"/>
    <w:rsid w:val="00BD583E"/>
    <w:rsid w:val="00BE2ABB"/>
    <w:rsid w:val="00BE7323"/>
    <w:rsid w:val="00BF11BD"/>
    <w:rsid w:val="00BF6918"/>
    <w:rsid w:val="00BF7C3F"/>
    <w:rsid w:val="00C0126B"/>
    <w:rsid w:val="00C029EE"/>
    <w:rsid w:val="00C04D7F"/>
    <w:rsid w:val="00C16404"/>
    <w:rsid w:val="00C21BFD"/>
    <w:rsid w:val="00C5536D"/>
    <w:rsid w:val="00C81938"/>
    <w:rsid w:val="00CA603C"/>
    <w:rsid w:val="00CB16A8"/>
    <w:rsid w:val="00CB2CE5"/>
    <w:rsid w:val="00CC7615"/>
    <w:rsid w:val="00CD332A"/>
    <w:rsid w:val="00CD4F54"/>
    <w:rsid w:val="00CF0E5F"/>
    <w:rsid w:val="00D25420"/>
    <w:rsid w:val="00D25CE4"/>
    <w:rsid w:val="00D325C2"/>
    <w:rsid w:val="00D35886"/>
    <w:rsid w:val="00D430CC"/>
    <w:rsid w:val="00D721D1"/>
    <w:rsid w:val="00D86EE9"/>
    <w:rsid w:val="00DB5625"/>
    <w:rsid w:val="00DC25EF"/>
    <w:rsid w:val="00DC46ED"/>
    <w:rsid w:val="00DC6AB7"/>
    <w:rsid w:val="00E11270"/>
    <w:rsid w:val="00E21C11"/>
    <w:rsid w:val="00E36714"/>
    <w:rsid w:val="00E368DA"/>
    <w:rsid w:val="00E550DB"/>
    <w:rsid w:val="00E87329"/>
    <w:rsid w:val="00E91AA3"/>
    <w:rsid w:val="00EA7A4B"/>
    <w:rsid w:val="00EC3918"/>
    <w:rsid w:val="00EE276C"/>
    <w:rsid w:val="00F24B22"/>
    <w:rsid w:val="00F36937"/>
    <w:rsid w:val="00F45AFC"/>
    <w:rsid w:val="00F50A2E"/>
    <w:rsid w:val="00F650FC"/>
    <w:rsid w:val="00F708B0"/>
    <w:rsid w:val="00F73336"/>
    <w:rsid w:val="00F976D3"/>
    <w:rsid w:val="00FA2040"/>
    <w:rsid w:val="00FE5518"/>
    <w:rsid w:val="00FF27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A62490-0AC5-43A9-A244-3B609F66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76C"/>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B6776C"/>
    <w:rPr>
      <w:rFonts w:ascii="Times New Roman" w:eastAsia="Calibri" w:hAnsi="Times New Roman" w:cs="Times New Roman"/>
      <w:sz w:val="20"/>
      <w:szCs w:val="20"/>
      <w:lang w:eastAsia="es-ES"/>
    </w:rPr>
  </w:style>
  <w:style w:type="paragraph" w:styleId="Encabezado">
    <w:name w:val="header"/>
    <w:basedOn w:val="Normal"/>
    <w:link w:val="EncabezadoCar"/>
    <w:uiPriority w:val="99"/>
    <w:rsid w:val="00B6776C"/>
    <w:pPr>
      <w:tabs>
        <w:tab w:val="center" w:pos="4419"/>
        <w:tab w:val="right" w:pos="8838"/>
      </w:tabs>
    </w:pPr>
  </w:style>
  <w:style w:type="character" w:customStyle="1" w:styleId="EncabezadoCar1">
    <w:name w:val="Encabezado Car1"/>
    <w:basedOn w:val="Fuentedeprrafopredeter"/>
    <w:uiPriority w:val="99"/>
    <w:semiHidden/>
    <w:rsid w:val="00B6776C"/>
    <w:rPr>
      <w:rFonts w:ascii="Times New Roman" w:eastAsia="Calibri" w:hAnsi="Times New Roman" w:cs="Times New Roman"/>
      <w:sz w:val="20"/>
      <w:szCs w:val="20"/>
      <w:lang w:eastAsia="es-ES"/>
    </w:rPr>
  </w:style>
  <w:style w:type="character" w:customStyle="1" w:styleId="PiedepginaCar">
    <w:name w:val="Pie de página Car"/>
    <w:basedOn w:val="Fuentedeprrafopredeter"/>
    <w:link w:val="Piedepgina"/>
    <w:rsid w:val="00B6776C"/>
    <w:rPr>
      <w:rFonts w:ascii="Times New Roman" w:eastAsia="Calibri" w:hAnsi="Times New Roman" w:cs="Times New Roman"/>
      <w:sz w:val="20"/>
      <w:szCs w:val="20"/>
      <w:lang w:eastAsia="es-ES"/>
    </w:rPr>
  </w:style>
  <w:style w:type="paragraph" w:styleId="Piedepgina">
    <w:name w:val="footer"/>
    <w:basedOn w:val="Normal"/>
    <w:link w:val="PiedepginaCar"/>
    <w:rsid w:val="00B6776C"/>
    <w:pPr>
      <w:tabs>
        <w:tab w:val="center" w:pos="4419"/>
        <w:tab w:val="right" w:pos="8838"/>
      </w:tabs>
    </w:pPr>
  </w:style>
  <w:style w:type="character" w:customStyle="1" w:styleId="PiedepginaCar1">
    <w:name w:val="Pie de página Car1"/>
    <w:basedOn w:val="Fuentedeprrafopredeter"/>
    <w:uiPriority w:val="99"/>
    <w:semiHidden/>
    <w:rsid w:val="00B6776C"/>
    <w:rPr>
      <w:rFonts w:ascii="Times New Roman" w:eastAsia="Calibri" w:hAnsi="Times New Roman" w:cs="Times New Roman"/>
      <w:sz w:val="20"/>
      <w:szCs w:val="20"/>
      <w:lang w:eastAsia="es-ES"/>
    </w:rPr>
  </w:style>
  <w:style w:type="paragraph" w:customStyle="1" w:styleId="Sinespaciado1">
    <w:name w:val="Sin espaciado1"/>
    <w:rsid w:val="00B6776C"/>
    <w:pPr>
      <w:spacing w:after="0" w:line="240" w:lineRule="auto"/>
    </w:pPr>
    <w:rPr>
      <w:rFonts w:ascii="Calibri" w:eastAsia="Calibri" w:hAnsi="Calibri" w:cs="Times New Roman"/>
      <w:lang w:val="es-CO"/>
    </w:rPr>
  </w:style>
  <w:style w:type="paragraph" w:customStyle="1" w:styleId="Sinespaciado2">
    <w:name w:val="Sin espaciado2"/>
    <w:uiPriority w:val="99"/>
    <w:rsid w:val="00B6776C"/>
    <w:pPr>
      <w:spacing w:after="0" w:line="240" w:lineRule="auto"/>
    </w:pPr>
    <w:rPr>
      <w:rFonts w:ascii="Times New Roman" w:eastAsia="Calibri" w:hAnsi="Times New Roman" w:cs="Times New Roman"/>
      <w:sz w:val="20"/>
      <w:szCs w:val="20"/>
      <w:lang w:eastAsia="es-ES"/>
    </w:rPr>
  </w:style>
  <w:style w:type="paragraph" w:styleId="Sinespaciado">
    <w:name w:val="No Spacing"/>
    <w:link w:val="SinespaciadoCar"/>
    <w:uiPriority w:val="1"/>
    <w:qFormat/>
    <w:rsid w:val="00B6776C"/>
    <w:pPr>
      <w:spacing w:after="0" w:line="240" w:lineRule="auto"/>
    </w:pPr>
  </w:style>
  <w:style w:type="character" w:customStyle="1" w:styleId="SinespaciadoCar">
    <w:name w:val="Sin espaciado Car"/>
    <w:link w:val="Sinespaciado"/>
    <w:uiPriority w:val="1"/>
    <w:locked/>
    <w:rsid w:val="00B6776C"/>
  </w:style>
  <w:style w:type="paragraph" w:styleId="Textonotapie">
    <w:name w:val="footnote text"/>
    <w:basedOn w:val="Normal"/>
    <w:link w:val="TextonotapieCar"/>
    <w:uiPriority w:val="99"/>
    <w:semiHidden/>
    <w:unhideWhenUsed/>
    <w:rsid w:val="00C16404"/>
  </w:style>
  <w:style w:type="character" w:customStyle="1" w:styleId="TextonotapieCar">
    <w:name w:val="Texto nota pie Car"/>
    <w:basedOn w:val="Fuentedeprrafopredeter"/>
    <w:link w:val="Textonotapie"/>
    <w:uiPriority w:val="99"/>
    <w:semiHidden/>
    <w:rsid w:val="00C16404"/>
    <w:rPr>
      <w:rFonts w:ascii="Times New Roman" w:eastAsia="Calibri" w:hAnsi="Times New Roman" w:cs="Times New Roman"/>
      <w:sz w:val="20"/>
      <w:szCs w:val="20"/>
      <w:lang w:eastAsia="es-ES"/>
    </w:rPr>
  </w:style>
  <w:style w:type="character" w:styleId="Refdenotaalpie">
    <w:name w:val="footnote reference"/>
    <w:basedOn w:val="Fuentedeprrafopredeter"/>
    <w:uiPriority w:val="99"/>
    <w:semiHidden/>
    <w:unhideWhenUsed/>
    <w:rsid w:val="00C16404"/>
    <w:rPr>
      <w:vertAlign w:val="superscript"/>
    </w:rPr>
  </w:style>
  <w:style w:type="paragraph" w:styleId="Textodeglobo">
    <w:name w:val="Balloon Text"/>
    <w:basedOn w:val="Normal"/>
    <w:link w:val="TextodegloboCar"/>
    <w:uiPriority w:val="99"/>
    <w:semiHidden/>
    <w:unhideWhenUsed/>
    <w:rsid w:val="00B043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43F0"/>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7</Pages>
  <Words>2927</Words>
  <Characters>16099</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91</cp:revision>
  <cp:lastPrinted>2019-08-12T20:01:00Z</cp:lastPrinted>
  <dcterms:created xsi:type="dcterms:W3CDTF">2019-08-05T16:12:00Z</dcterms:created>
  <dcterms:modified xsi:type="dcterms:W3CDTF">2019-09-11T19:57:00Z</dcterms:modified>
</cp:coreProperties>
</file>