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F5" w:rsidRPr="001E05F5" w:rsidRDefault="001E05F5" w:rsidP="001E05F5">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r w:rsidRPr="001E05F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E05F5" w:rsidRDefault="001E05F5" w:rsidP="001E05F5">
      <w:pPr>
        <w:jc w:val="both"/>
        <w:rPr>
          <w:rFonts w:ascii="Arial" w:eastAsia="Times New Roman" w:hAnsi="Arial" w:cs="Arial"/>
          <w:lang w:val="es-419"/>
        </w:rPr>
      </w:pPr>
    </w:p>
    <w:p w:rsidR="001E05F5" w:rsidRPr="001E05F5" w:rsidRDefault="001E05F5" w:rsidP="001E05F5">
      <w:pPr>
        <w:jc w:val="both"/>
        <w:rPr>
          <w:rFonts w:ascii="Arial" w:eastAsia="Times New Roman" w:hAnsi="Arial" w:cs="Arial"/>
          <w:lang w:val="es-419"/>
        </w:rPr>
      </w:pPr>
      <w:r w:rsidRPr="001E05F5">
        <w:rPr>
          <w:rFonts w:ascii="Arial" w:eastAsia="Times New Roman" w:hAnsi="Arial" w:cs="Arial"/>
          <w:lang w:val="es-419"/>
        </w:rPr>
        <w:t xml:space="preserve">Proceso: </w:t>
      </w:r>
      <w:r w:rsidRPr="001E05F5">
        <w:rPr>
          <w:rFonts w:ascii="Arial" w:eastAsia="Times New Roman" w:hAnsi="Arial" w:cs="Arial"/>
          <w:lang w:val="es-419"/>
        </w:rPr>
        <w:tab/>
        <w:t>Abreviado de declaración de perten</w:t>
      </w:r>
      <w:r w:rsidR="004462E7">
        <w:rPr>
          <w:rFonts w:ascii="Arial" w:eastAsia="Times New Roman" w:hAnsi="Arial" w:cs="Arial"/>
          <w:lang w:val="es-CO"/>
        </w:rPr>
        <w:t>en</w:t>
      </w:r>
      <w:r w:rsidRPr="001E05F5">
        <w:rPr>
          <w:rFonts w:ascii="Arial" w:eastAsia="Times New Roman" w:hAnsi="Arial" w:cs="Arial"/>
          <w:lang w:val="es-419"/>
        </w:rPr>
        <w:t>cia de VIS</w:t>
      </w:r>
    </w:p>
    <w:p w:rsidR="001E05F5" w:rsidRPr="001E05F5" w:rsidRDefault="001E05F5" w:rsidP="001E05F5">
      <w:pPr>
        <w:jc w:val="both"/>
        <w:rPr>
          <w:rFonts w:ascii="Arial" w:eastAsia="Times New Roman" w:hAnsi="Arial" w:cs="Arial"/>
          <w:lang w:val="es-419"/>
        </w:rPr>
      </w:pPr>
      <w:r w:rsidRPr="001E05F5">
        <w:rPr>
          <w:rFonts w:ascii="Arial" w:eastAsia="Times New Roman" w:hAnsi="Arial" w:cs="Arial"/>
          <w:lang w:val="es-419"/>
        </w:rPr>
        <w:t>Expediente:</w:t>
      </w:r>
      <w:r w:rsidRPr="001E05F5">
        <w:rPr>
          <w:rFonts w:ascii="Arial" w:eastAsia="Times New Roman" w:hAnsi="Arial" w:cs="Arial"/>
          <w:lang w:val="es-419"/>
        </w:rPr>
        <w:tab/>
        <w:t>05088-31-03-002-2002-00425-01</w:t>
      </w:r>
    </w:p>
    <w:p w:rsidR="001E05F5" w:rsidRPr="001E05F5" w:rsidRDefault="001E05F5" w:rsidP="001E05F5">
      <w:pPr>
        <w:jc w:val="both"/>
        <w:rPr>
          <w:rFonts w:ascii="Arial" w:eastAsia="Times New Roman" w:hAnsi="Arial" w:cs="Arial"/>
          <w:lang w:val="es-419"/>
        </w:rPr>
      </w:pPr>
      <w:r w:rsidRPr="001E05F5">
        <w:rPr>
          <w:rFonts w:ascii="Arial" w:eastAsia="Times New Roman" w:hAnsi="Arial" w:cs="Arial"/>
          <w:lang w:val="es-419"/>
        </w:rPr>
        <w:t>Demandante:</w:t>
      </w:r>
      <w:r w:rsidRPr="001E05F5">
        <w:rPr>
          <w:rFonts w:ascii="Arial" w:eastAsia="Times New Roman" w:hAnsi="Arial" w:cs="Arial"/>
          <w:lang w:val="es-419"/>
        </w:rPr>
        <w:tab/>
        <w:t>Pedro Nel Monsalve Valencia</w:t>
      </w:r>
    </w:p>
    <w:p w:rsidR="001E05F5" w:rsidRDefault="001E05F5" w:rsidP="001E05F5">
      <w:pPr>
        <w:jc w:val="both"/>
        <w:rPr>
          <w:rFonts w:ascii="Arial" w:eastAsia="Times New Roman" w:hAnsi="Arial" w:cs="Arial"/>
          <w:lang w:val="es-419"/>
        </w:rPr>
      </w:pPr>
      <w:r>
        <w:rPr>
          <w:rFonts w:ascii="Arial" w:eastAsia="Times New Roman" w:hAnsi="Arial" w:cs="Arial"/>
          <w:lang w:val="es-419"/>
        </w:rPr>
        <w:t>Demandados:</w:t>
      </w:r>
      <w:r w:rsidRPr="001E05F5">
        <w:rPr>
          <w:rFonts w:ascii="Arial" w:eastAsia="Times New Roman" w:hAnsi="Arial" w:cs="Arial"/>
          <w:lang w:val="es-419"/>
        </w:rPr>
        <w:tab/>
        <w:t>Herederos de Etelvina Valencia Viuda de Monsalve y personas indetermin</w:t>
      </w:r>
      <w:r>
        <w:rPr>
          <w:rFonts w:ascii="Arial" w:eastAsia="Times New Roman" w:hAnsi="Arial" w:cs="Arial"/>
          <w:lang w:val="es-419"/>
        </w:rPr>
        <w:t>adas</w:t>
      </w:r>
    </w:p>
    <w:p w:rsidR="001E05F5" w:rsidRPr="001E05F5" w:rsidRDefault="001E05F5" w:rsidP="001E05F5">
      <w:pPr>
        <w:jc w:val="both"/>
        <w:rPr>
          <w:rFonts w:ascii="Arial" w:eastAsia="Times New Roman" w:hAnsi="Arial" w:cs="Arial"/>
          <w:lang w:val="es-419"/>
        </w:rPr>
      </w:pPr>
    </w:p>
    <w:p w:rsidR="001E05F5" w:rsidRPr="001E05F5" w:rsidRDefault="001E05F5" w:rsidP="001E05F5">
      <w:pPr>
        <w:jc w:val="both"/>
        <w:rPr>
          <w:rFonts w:ascii="Arial" w:eastAsia="Times New Roman" w:hAnsi="Arial" w:cs="Arial"/>
          <w:b/>
          <w:bCs/>
          <w:iCs/>
          <w:lang w:val="es-419" w:eastAsia="fr-FR"/>
        </w:rPr>
      </w:pPr>
      <w:r w:rsidRPr="001E05F5">
        <w:rPr>
          <w:rFonts w:ascii="Arial" w:eastAsia="Times New Roman" w:hAnsi="Arial" w:cs="Arial"/>
          <w:b/>
          <w:bCs/>
          <w:iCs/>
          <w:u w:val="single"/>
          <w:lang w:val="es-419" w:eastAsia="fr-FR"/>
        </w:rPr>
        <w:t>TEMAS:</w:t>
      </w:r>
      <w:r w:rsidRPr="001E05F5">
        <w:rPr>
          <w:rFonts w:ascii="Arial" w:eastAsia="Times New Roman" w:hAnsi="Arial" w:cs="Arial"/>
          <w:b/>
          <w:bCs/>
          <w:iCs/>
          <w:lang w:val="es-419" w:eastAsia="fr-FR"/>
        </w:rPr>
        <w:tab/>
      </w:r>
      <w:r w:rsidR="00B808DB">
        <w:rPr>
          <w:rFonts w:ascii="Arial" w:eastAsia="Times New Roman" w:hAnsi="Arial" w:cs="Arial"/>
          <w:b/>
          <w:bCs/>
          <w:iCs/>
          <w:lang w:val="es-CO" w:eastAsia="fr-FR"/>
        </w:rPr>
        <w:t xml:space="preserve">PERTENENCIA / </w:t>
      </w:r>
      <w:r w:rsidR="00F71257">
        <w:rPr>
          <w:rFonts w:ascii="Arial" w:eastAsia="Times New Roman" w:hAnsi="Arial" w:cs="Arial"/>
          <w:b/>
          <w:bCs/>
          <w:iCs/>
          <w:lang w:val="es-CO" w:eastAsia="fr-FR"/>
        </w:rPr>
        <w:t>VIVIENDA DE INTERÉS SOCIAL / LEGITIMACIÓN EN LA CAUSA / LA TIENE QUIEN OSTENTE LA CALIDAD DE POSEEDOR MATERIAL DEL BIEN RAÍZ PRETENDIDO / Y NO EL TENEDOR DEL MISMO.</w:t>
      </w:r>
    </w:p>
    <w:p w:rsidR="001E05F5" w:rsidRPr="001E05F5" w:rsidRDefault="001E05F5" w:rsidP="001E05F5">
      <w:pPr>
        <w:jc w:val="both"/>
        <w:rPr>
          <w:rFonts w:ascii="Arial" w:eastAsia="Times New Roman" w:hAnsi="Arial" w:cs="Arial"/>
          <w:lang w:val="es-419"/>
        </w:rPr>
      </w:pPr>
    </w:p>
    <w:p w:rsidR="00760D16" w:rsidRPr="00760D16" w:rsidRDefault="00760D16" w:rsidP="00760D16">
      <w:pPr>
        <w:jc w:val="both"/>
        <w:rPr>
          <w:rFonts w:ascii="Arial" w:eastAsia="Times New Roman" w:hAnsi="Arial" w:cs="Arial"/>
          <w:lang w:val="es-419"/>
        </w:rPr>
      </w:pPr>
      <w:r w:rsidRPr="00760D16">
        <w:rPr>
          <w:rFonts w:ascii="Arial" w:eastAsia="Times New Roman" w:hAnsi="Arial" w:cs="Arial"/>
          <w:lang w:val="es-419"/>
        </w:rPr>
        <w:t>En cuanto a la legitimación en la causa, decantado se presenta hoy este concepto, y se sabe que no se trata de un presupuesto procesal, sino material de la pretensión, cuya verificación procede aun de oficio.</w:t>
      </w:r>
    </w:p>
    <w:p w:rsidR="00760D16" w:rsidRPr="00760D16" w:rsidRDefault="00760D16" w:rsidP="00760D16">
      <w:pPr>
        <w:jc w:val="both"/>
        <w:rPr>
          <w:rFonts w:ascii="Arial" w:eastAsia="Times New Roman" w:hAnsi="Arial" w:cs="Arial"/>
          <w:lang w:val="es-419"/>
        </w:rPr>
      </w:pPr>
    </w:p>
    <w:p w:rsidR="001E05F5" w:rsidRPr="00760D16" w:rsidRDefault="00760D16" w:rsidP="00760D16">
      <w:pPr>
        <w:jc w:val="both"/>
        <w:rPr>
          <w:rFonts w:ascii="Arial" w:eastAsia="Times New Roman" w:hAnsi="Arial" w:cs="Arial"/>
          <w:lang w:val="es-CO"/>
        </w:rPr>
      </w:pPr>
      <w:r w:rsidRPr="00760D16">
        <w:rPr>
          <w:rFonts w:ascii="Arial" w:eastAsia="Times New Roman" w:hAnsi="Arial" w:cs="Arial"/>
          <w:lang w:val="es-419"/>
        </w:rPr>
        <w:t>En tal sentido, la Corte Suprema de Justicia ha sostenido que, no genera discusión alguna la calificación que se ha dado a la «legitimación en la causa» como uno de los presupuestos indispensables para la procedencia de la pretensión, es decir, como condición de la acción judicial, de ahí que se le haya considerado como cuestión propia del derecho sustancial y no del procesal, pues alude a la materia debatida en el litigio y no a los requisitos indispensables para la integración y desarrollo válido de éste</w:t>
      </w:r>
      <w:r>
        <w:rPr>
          <w:rFonts w:ascii="Arial" w:eastAsia="Times New Roman" w:hAnsi="Arial" w:cs="Arial"/>
          <w:lang w:val="es-CO"/>
        </w:rPr>
        <w:t>…</w:t>
      </w:r>
    </w:p>
    <w:p w:rsidR="001E05F5" w:rsidRPr="001E05F5" w:rsidRDefault="001E05F5" w:rsidP="001E05F5">
      <w:pPr>
        <w:jc w:val="both"/>
        <w:rPr>
          <w:rFonts w:ascii="Arial" w:eastAsia="Times New Roman" w:hAnsi="Arial" w:cs="Arial"/>
          <w:lang w:val="es-419"/>
        </w:rPr>
      </w:pPr>
    </w:p>
    <w:p w:rsidR="001E05F5" w:rsidRPr="00760D16" w:rsidRDefault="00760D16" w:rsidP="001E05F5">
      <w:pPr>
        <w:jc w:val="both"/>
        <w:rPr>
          <w:rFonts w:ascii="Arial" w:eastAsia="Times New Roman" w:hAnsi="Arial" w:cs="Arial"/>
          <w:lang w:val="es-CO"/>
        </w:rPr>
      </w:pPr>
      <w:r>
        <w:rPr>
          <w:rFonts w:ascii="Arial" w:eastAsia="Times New Roman" w:hAnsi="Arial" w:cs="Arial"/>
          <w:lang w:val="es-CO"/>
        </w:rPr>
        <w:t xml:space="preserve">… </w:t>
      </w:r>
      <w:r w:rsidRPr="00760D16">
        <w:rPr>
          <w:rFonts w:ascii="Arial" w:eastAsia="Times New Roman" w:hAnsi="Arial" w:cs="Arial"/>
          <w:lang w:val="es-419"/>
        </w:rPr>
        <w:t>según claras previsiones legislativas están legitimados en la causa por activa todos aquéllos que pretendan haber adquirido el bien por el modo de la prescripción, sea ordinaria o extraordinaria. Así lo establece de manera diáfana la regla 1ª del artículo 407 del CPC</w:t>
      </w:r>
      <w:r>
        <w:rPr>
          <w:rFonts w:ascii="Arial" w:eastAsia="Times New Roman" w:hAnsi="Arial" w:cs="Arial"/>
          <w:lang w:val="es-CO"/>
        </w:rPr>
        <w:t>…</w:t>
      </w:r>
    </w:p>
    <w:p w:rsidR="001E05F5" w:rsidRDefault="001E05F5" w:rsidP="001E05F5">
      <w:pPr>
        <w:jc w:val="both"/>
        <w:rPr>
          <w:rFonts w:ascii="Arial" w:eastAsia="Times New Roman" w:hAnsi="Arial" w:cs="Arial"/>
        </w:rPr>
      </w:pPr>
    </w:p>
    <w:p w:rsidR="00760D16" w:rsidRDefault="00292760" w:rsidP="001E05F5">
      <w:pPr>
        <w:jc w:val="both"/>
        <w:rPr>
          <w:rFonts w:ascii="Arial" w:eastAsia="Times New Roman" w:hAnsi="Arial" w:cs="Arial"/>
        </w:rPr>
      </w:pPr>
      <w:r w:rsidRPr="00292760">
        <w:rPr>
          <w:rFonts w:ascii="Arial" w:eastAsia="Times New Roman" w:hAnsi="Arial" w:cs="Arial"/>
        </w:rPr>
        <w:t>Es claro entonces que la prescripción adquisitiva, llamada también usucapión, requiere para que se configure legalmente la posesión material por parte del actor prolongada por el tiempo requerido en la ley; que ha sido definida en el artículo 762 del C.C. como “… la tenencia de una cosa determinada con ánimo de señor o dueño…”</w:t>
      </w:r>
    </w:p>
    <w:p w:rsidR="00292760" w:rsidRDefault="00292760" w:rsidP="001E05F5">
      <w:pPr>
        <w:jc w:val="both"/>
        <w:rPr>
          <w:rFonts w:ascii="Arial" w:eastAsia="Times New Roman" w:hAnsi="Arial" w:cs="Arial"/>
        </w:rPr>
      </w:pPr>
    </w:p>
    <w:p w:rsidR="00292760" w:rsidRDefault="00A9051F" w:rsidP="001E05F5">
      <w:pPr>
        <w:jc w:val="both"/>
        <w:rPr>
          <w:rFonts w:ascii="Arial" w:eastAsia="Times New Roman" w:hAnsi="Arial" w:cs="Arial"/>
        </w:rPr>
      </w:pPr>
      <w:r w:rsidRPr="00A9051F">
        <w:rPr>
          <w:rFonts w:ascii="Arial" w:eastAsia="Times New Roman" w:hAnsi="Arial" w:cs="Arial"/>
        </w:rPr>
        <w:t>En el caso bajo estudio, no acreditó el actor que fuera poseedor en los términos antes señalados.</w:t>
      </w:r>
    </w:p>
    <w:p w:rsidR="00A9051F" w:rsidRDefault="00A9051F" w:rsidP="001E05F5">
      <w:pPr>
        <w:jc w:val="both"/>
        <w:rPr>
          <w:rFonts w:ascii="Arial" w:eastAsia="Times New Roman" w:hAnsi="Arial" w:cs="Arial"/>
        </w:rPr>
      </w:pPr>
    </w:p>
    <w:p w:rsidR="00A9051F" w:rsidRPr="00A9051F" w:rsidRDefault="00A9051F" w:rsidP="001E05F5">
      <w:pPr>
        <w:jc w:val="both"/>
        <w:rPr>
          <w:rFonts w:ascii="Arial" w:eastAsia="Times New Roman" w:hAnsi="Arial" w:cs="Arial"/>
          <w:b/>
          <w:color w:val="FF0000"/>
        </w:rPr>
      </w:pPr>
      <w:r w:rsidRPr="00A9051F">
        <w:rPr>
          <w:rFonts w:ascii="Arial" w:eastAsia="Times New Roman" w:hAnsi="Arial" w:cs="Arial"/>
          <w:b/>
          <w:color w:val="FF0000"/>
        </w:rPr>
        <w:t>SALVAMENTO DE VOTO: DOCTORA CLAUDIA MARÍA ARCILA RÍOS</w:t>
      </w:r>
    </w:p>
    <w:p w:rsidR="00A9051F" w:rsidRDefault="00A9051F" w:rsidP="001E05F5">
      <w:pPr>
        <w:jc w:val="both"/>
        <w:rPr>
          <w:rFonts w:ascii="Arial" w:eastAsia="Times New Roman" w:hAnsi="Arial" w:cs="Arial"/>
        </w:rPr>
      </w:pPr>
    </w:p>
    <w:p w:rsidR="003C6272" w:rsidRPr="003C6272" w:rsidRDefault="003C6272" w:rsidP="003C6272">
      <w:pPr>
        <w:jc w:val="both"/>
        <w:rPr>
          <w:rFonts w:ascii="Arial" w:eastAsia="Times New Roman" w:hAnsi="Arial" w:cs="Arial"/>
        </w:rPr>
      </w:pPr>
      <w:r w:rsidRPr="003C6272">
        <w:rPr>
          <w:rFonts w:ascii="Arial" w:eastAsia="Times New Roman" w:hAnsi="Arial" w:cs="Arial"/>
        </w:rPr>
        <w:t>A mi juicio, han debido tasarse las agencias en derecho en el fallo porque así lo dispone el numeral 2º del artículo 392 del Código de Procedimiento Civil, modificado por el 19 de la ley 1395 de 2010, y liquidarse las costas en esta sede, de acuerdo con el numeral 1º del artículo 393 de la misma obra, aunque en la actualidad esté vigente el Código General del Proceso que ya no manda hacerlo así y con fundamento en las reglas sobre la aplicación de la ley procesal en el tiempo.</w:t>
      </w:r>
    </w:p>
    <w:p w:rsidR="003C6272" w:rsidRPr="003C6272" w:rsidRDefault="003C6272" w:rsidP="003C6272">
      <w:pPr>
        <w:jc w:val="both"/>
        <w:rPr>
          <w:rFonts w:ascii="Arial" w:eastAsia="Times New Roman" w:hAnsi="Arial" w:cs="Arial"/>
        </w:rPr>
      </w:pPr>
    </w:p>
    <w:p w:rsidR="00A9051F" w:rsidRPr="001E05F5" w:rsidRDefault="003C6272" w:rsidP="003C6272">
      <w:pPr>
        <w:jc w:val="both"/>
        <w:rPr>
          <w:rFonts w:ascii="Arial" w:eastAsia="Times New Roman" w:hAnsi="Arial" w:cs="Arial"/>
        </w:rPr>
      </w:pPr>
      <w:r w:rsidRPr="003C6272">
        <w:rPr>
          <w:rFonts w:ascii="Arial" w:eastAsia="Times New Roman" w:hAnsi="Arial" w:cs="Arial"/>
        </w:rPr>
        <w:t>En efecto, como el recurso de apelación contra la providencia proferida en primera instancia se interpuso en vigencia del Código de Procedimiento Civil, es ese estatuto el que debe aplicarse durante todo el trámite de la alzada de acuerdo con el artículo 40 de la ley 153 de 1887, modificado por el 624 del Código General del Proceso…</w:t>
      </w:r>
    </w:p>
    <w:p w:rsidR="001E05F5" w:rsidRPr="001E05F5" w:rsidRDefault="001E05F5" w:rsidP="001E05F5">
      <w:pPr>
        <w:jc w:val="both"/>
        <w:rPr>
          <w:rFonts w:ascii="Arial" w:eastAsia="Times New Roman" w:hAnsi="Arial" w:cs="Arial"/>
        </w:rPr>
      </w:pPr>
    </w:p>
    <w:p w:rsidR="001E05F5" w:rsidRPr="001E05F5" w:rsidRDefault="001E05F5" w:rsidP="001E05F5">
      <w:pPr>
        <w:jc w:val="both"/>
        <w:rPr>
          <w:rFonts w:ascii="Arial" w:eastAsia="Times New Roman" w:hAnsi="Arial" w:cs="Arial"/>
        </w:rPr>
      </w:pPr>
    </w:p>
    <w:p w:rsidR="001E05F5" w:rsidRPr="001E05F5" w:rsidRDefault="001E05F5" w:rsidP="001E05F5">
      <w:pPr>
        <w:jc w:val="both"/>
        <w:rPr>
          <w:rFonts w:ascii="Arial" w:eastAsia="Times New Roman" w:hAnsi="Arial" w:cs="Arial"/>
        </w:rPr>
      </w:pPr>
    </w:p>
    <w:p w:rsidR="001E58FC" w:rsidRPr="001E05F5" w:rsidRDefault="001E58FC" w:rsidP="001E05F5">
      <w:pPr>
        <w:spacing w:line="276" w:lineRule="auto"/>
        <w:jc w:val="center"/>
        <w:rPr>
          <w:rFonts w:ascii="Arial" w:hAnsi="Arial" w:cs="Arial"/>
          <w:b/>
          <w:bCs/>
          <w:sz w:val="24"/>
          <w:szCs w:val="24"/>
        </w:rPr>
      </w:pPr>
      <w:r w:rsidRPr="001E05F5">
        <w:rPr>
          <w:rFonts w:ascii="Arial" w:hAnsi="Arial" w:cs="Arial"/>
          <w:b/>
          <w:bCs/>
          <w:sz w:val="24"/>
          <w:szCs w:val="24"/>
        </w:rPr>
        <w:t>TRIBUNAL SUPERIOR DE PEREIRA</w:t>
      </w:r>
    </w:p>
    <w:p w:rsidR="001E58FC" w:rsidRPr="001E05F5" w:rsidRDefault="001E58FC" w:rsidP="001E05F5">
      <w:pPr>
        <w:spacing w:line="276" w:lineRule="auto"/>
        <w:jc w:val="center"/>
        <w:rPr>
          <w:rFonts w:ascii="Arial" w:hAnsi="Arial" w:cs="Arial"/>
          <w:bCs/>
          <w:sz w:val="24"/>
          <w:szCs w:val="24"/>
        </w:rPr>
      </w:pPr>
      <w:r w:rsidRPr="001E05F5">
        <w:rPr>
          <w:rFonts w:ascii="Arial" w:hAnsi="Arial" w:cs="Arial"/>
          <w:b/>
          <w:bCs/>
          <w:sz w:val="24"/>
          <w:szCs w:val="24"/>
        </w:rPr>
        <w:t>Sala de Decisión Civil Familia</w:t>
      </w:r>
    </w:p>
    <w:p w:rsidR="001E05F5" w:rsidRPr="001E05F5" w:rsidRDefault="001E05F5" w:rsidP="001E05F5">
      <w:pPr>
        <w:pStyle w:val="Sinespaciado1"/>
        <w:tabs>
          <w:tab w:val="left" w:pos="2410"/>
        </w:tabs>
        <w:spacing w:line="276" w:lineRule="auto"/>
        <w:jc w:val="center"/>
        <w:rPr>
          <w:rFonts w:ascii="Arial" w:hAnsi="Arial" w:cs="Arial"/>
          <w:bCs/>
          <w:sz w:val="24"/>
          <w:szCs w:val="24"/>
        </w:rPr>
      </w:pPr>
    </w:p>
    <w:p w:rsidR="00E61DAD" w:rsidRPr="001E05F5" w:rsidRDefault="00E61DAD" w:rsidP="001E05F5">
      <w:pPr>
        <w:pStyle w:val="Sinespaciado1"/>
        <w:tabs>
          <w:tab w:val="left" w:pos="2410"/>
        </w:tabs>
        <w:spacing w:line="276" w:lineRule="auto"/>
        <w:jc w:val="center"/>
        <w:rPr>
          <w:rFonts w:ascii="Arial" w:hAnsi="Arial" w:cs="Arial"/>
          <w:bCs/>
          <w:sz w:val="24"/>
          <w:szCs w:val="24"/>
        </w:rPr>
      </w:pPr>
      <w:r w:rsidRPr="001E05F5">
        <w:rPr>
          <w:rFonts w:ascii="Arial" w:hAnsi="Arial" w:cs="Arial"/>
          <w:bCs/>
          <w:sz w:val="24"/>
          <w:szCs w:val="24"/>
        </w:rPr>
        <w:t xml:space="preserve">Pereira, Risaralda, </w:t>
      </w:r>
      <w:r w:rsidR="00735474" w:rsidRPr="001E05F5">
        <w:rPr>
          <w:rFonts w:ascii="Arial" w:hAnsi="Arial" w:cs="Arial"/>
          <w:bCs/>
          <w:sz w:val="24"/>
          <w:szCs w:val="24"/>
        </w:rPr>
        <w:t xml:space="preserve">dieciséis </w:t>
      </w:r>
      <w:r w:rsidRPr="001E05F5">
        <w:rPr>
          <w:rFonts w:ascii="Arial" w:hAnsi="Arial" w:cs="Arial"/>
          <w:bCs/>
          <w:sz w:val="24"/>
          <w:szCs w:val="24"/>
        </w:rPr>
        <w:t>(</w:t>
      </w:r>
      <w:r w:rsidR="00735474" w:rsidRPr="001E05F5">
        <w:rPr>
          <w:rFonts w:ascii="Arial" w:hAnsi="Arial" w:cs="Arial"/>
          <w:bCs/>
          <w:sz w:val="24"/>
          <w:szCs w:val="24"/>
        </w:rPr>
        <w:t>16</w:t>
      </w:r>
      <w:r w:rsidRPr="001E05F5">
        <w:rPr>
          <w:rFonts w:ascii="Arial" w:hAnsi="Arial" w:cs="Arial"/>
          <w:bCs/>
          <w:sz w:val="24"/>
          <w:szCs w:val="24"/>
        </w:rPr>
        <w:t>) de diciembre de dos mil diecinueve (2019)</w:t>
      </w:r>
    </w:p>
    <w:p w:rsidR="00E61DAD" w:rsidRPr="001E05F5" w:rsidRDefault="00E61DAD" w:rsidP="001E05F5">
      <w:pPr>
        <w:pStyle w:val="Sinespaciado1"/>
        <w:tabs>
          <w:tab w:val="left" w:pos="2410"/>
        </w:tabs>
        <w:spacing w:line="276" w:lineRule="auto"/>
        <w:jc w:val="center"/>
        <w:rPr>
          <w:rFonts w:ascii="Arial" w:hAnsi="Arial" w:cs="Arial"/>
          <w:bCs/>
          <w:sz w:val="24"/>
          <w:szCs w:val="24"/>
        </w:rPr>
      </w:pPr>
      <w:r w:rsidRPr="001E05F5">
        <w:rPr>
          <w:rFonts w:ascii="Arial" w:hAnsi="Arial" w:cs="Arial"/>
          <w:bCs/>
          <w:sz w:val="24"/>
          <w:szCs w:val="24"/>
        </w:rPr>
        <w:t xml:space="preserve">Acta No. </w:t>
      </w:r>
      <w:r w:rsidR="00735474" w:rsidRPr="001E05F5">
        <w:rPr>
          <w:rFonts w:ascii="Arial" w:hAnsi="Arial" w:cs="Arial"/>
          <w:bCs/>
          <w:sz w:val="24"/>
          <w:szCs w:val="24"/>
        </w:rPr>
        <w:t>634</w:t>
      </w:r>
      <w:r w:rsidRPr="001E05F5">
        <w:rPr>
          <w:rFonts w:ascii="Arial" w:hAnsi="Arial" w:cs="Arial"/>
          <w:bCs/>
          <w:sz w:val="24"/>
          <w:szCs w:val="24"/>
        </w:rPr>
        <w:t xml:space="preserve"> del </w:t>
      </w:r>
      <w:r w:rsidR="00735474" w:rsidRPr="001E05F5">
        <w:rPr>
          <w:rFonts w:ascii="Arial" w:hAnsi="Arial" w:cs="Arial"/>
          <w:bCs/>
          <w:sz w:val="24"/>
          <w:szCs w:val="24"/>
        </w:rPr>
        <w:t>16</w:t>
      </w:r>
      <w:r w:rsidRPr="001E05F5">
        <w:rPr>
          <w:rFonts w:ascii="Arial" w:hAnsi="Arial" w:cs="Arial"/>
          <w:bCs/>
          <w:sz w:val="24"/>
          <w:szCs w:val="24"/>
        </w:rPr>
        <w:t>-12-2019</w:t>
      </w:r>
      <w:r w:rsidR="00774183" w:rsidRPr="001E05F5">
        <w:rPr>
          <w:rFonts w:ascii="Arial" w:hAnsi="Arial" w:cs="Arial"/>
          <w:bCs/>
          <w:sz w:val="24"/>
          <w:szCs w:val="24"/>
        </w:rPr>
        <w:t xml:space="preserve"> Hora: 3:30 p.m.</w:t>
      </w:r>
    </w:p>
    <w:p w:rsidR="001E58FC" w:rsidRPr="001E05F5" w:rsidRDefault="001E58FC" w:rsidP="001E05F5">
      <w:pPr>
        <w:pStyle w:val="Sinespaciado1"/>
        <w:tabs>
          <w:tab w:val="left" w:pos="2410"/>
        </w:tabs>
        <w:spacing w:line="276" w:lineRule="auto"/>
        <w:jc w:val="both"/>
        <w:rPr>
          <w:rFonts w:ascii="Arial" w:hAnsi="Arial" w:cs="Arial"/>
          <w:bCs/>
          <w:sz w:val="24"/>
          <w:szCs w:val="24"/>
        </w:rPr>
      </w:pPr>
    </w:p>
    <w:p w:rsidR="00E61DAD" w:rsidRPr="001E05F5" w:rsidRDefault="00E61DAD" w:rsidP="001E05F5">
      <w:pPr>
        <w:pStyle w:val="Sinespaciado1"/>
        <w:tabs>
          <w:tab w:val="left" w:pos="2410"/>
        </w:tabs>
        <w:spacing w:line="276" w:lineRule="auto"/>
        <w:jc w:val="both"/>
        <w:rPr>
          <w:rFonts w:ascii="Arial" w:hAnsi="Arial" w:cs="Arial"/>
          <w:bCs/>
          <w:sz w:val="24"/>
          <w:szCs w:val="24"/>
        </w:rPr>
      </w:pPr>
    </w:p>
    <w:p w:rsidR="001E58FC" w:rsidRPr="001E05F5" w:rsidRDefault="001E58FC" w:rsidP="001E05F5">
      <w:pPr>
        <w:pStyle w:val="Sinespaciado1"/>
        <w:tabs>
          <w:tab w:val="left" w:pos="2410"/>
        </w:tabs>
        <w:spacing w:line="276" w:lineRule="auto"/>
        <w:ind w:firstLine="2835"/>
        <w:jc w:val="both"/>
        <w:rPr>
          <w:rFonts w:ascii="Arial" w:hAnsi="Arial" w:cs="Arial"/>
          <w:b/>
          <w:bCs/>
          <w:sz w:val="24"/>
          <w:szCs w:val="24"/>
        </w:rPr>
      </w:pPr>
      <w:r w:rsidRPr="001E05F5">
        <w:rPr>
          <w:rFonts w:ascii="Arial" w:hAnsi="Arial" w:cs="Arial"/>
          <w:b/>
          <w:bCs/>
          <w:sz w:val="24"/>
          <w:szCs w:val="24"/>
        </w:rPr>
        <w:t>SENTENCIA</w:t>
      </w:r>
    </w:p>
    <w:p w:rsidR="001E58FC" w:rsidRPr="001E05F5" w:rsidRDefault="001E58FC" w:rsidP="001E05F5">
      <w:pPr>
        <w:pStyle w:val="Sinespaciado1"/>
        <w:spacing w:line="276" w:lineRule="auto"/>
        <w:ind w:firstLine="2835"/>
        <w:jc w:val="both"/>
        <w:rPr>
          <w:rFonts w:ascii="Arial" w:hAnsi="Arial" w:cs="Arial"/>
          <w:b/>
          <w:sz w:val="24"/>
          <w:szCs w:val="24"/>
          <w:lang w:val="es-ES" w:eastAsia="es-ES"/>
        </w:rPr>
      </w:pP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r w:rsidRPr="001E05F5">
        <w:rPr>
          <w:rFonts w:ascii="Arial" w:eastAsia="Times New Roman" w:hAnsi="Arial" w:cs="Arial"/>
          <w:sz w:val="24"/>
          <w:szCs w:val="24"/>
          <w:lang w:val="es-MX"/>
        </w:rPr>
        <w:t xml:space="preserve">En cumplimiento al </w:t>
      </w:r>
      <w:r w:rsidRPr="001E05F5">
        <w:rPr>
          <w:rFonts w:ascii="Arial" w:eastAsia="Times New Roman" w:hAnsi="Arial" w:cs="Arial"/>
          <w:b/>
          <w:sz w:val="24"/>
          <w:szCs w:val="24"/>
          <w:lang w:val="es-MX"/>
        </w:rPr>
        <w:t>Acuerdo</w:t>
      </w:r>
      <w:r w:rsidRPr="001E05F5">
        <w:rPr>
          <w:rFonts w:ascii="Arial" w:eastAsia="Times New Roman" w:hAnsi="Arial" w:cs="Arial"/>
          <w:sz w:val="24"/>
          <w:szCs w:val="24"/>
          <w:lang w:val="es-MX"/>
        </w:rPr>
        <w:t xml:space="preserve"> </w:t>
      </w:r>
      <w:r w:rsidRPr="001E05F5">
        <w:rPr>
          <w:rFonts w:ascii="Arial" w:eastAsia="Times New Roman" w:hAnsi="Arial" w:cs="Arial"/>
          <w:b/>
          <w:sz w:val="24"/>
          <w:szCs w:val="24"/>
          <w:lang w:val="es-MX"/>
        </w:rPr>
        <w:t>PCSJA19-11327</w:t>
      </w:r>
      <w:r w:rsidRPr="001E05F5">
        <w:rPr>
          <w:rFonts w:ascii="Arial" w:eastAsia="Times New Roman" w:hAnsi="Arial" w:cs="Arial"/>
          <w:sz w:val="24"/>
          <w:szCs w:val="24"/>
          <w:lang w:val="es-MX"/>
        </w:rPr>
        <w:t xml:space="preserve"> del 26 de junio de 2019, del Consejo Superior de la Judicatura, procede esta Sala a desatar el recurso de </w:t>
      </w:r>
      <w:r w:rsidRPr="001E05F5">
        <w:rPr>
          <w:rFonts w:ascii="Arial" w:eastAsia="Times New Roman" w:hAnsi="Arial" w:cs="Arial"/>
          <w:b/>
          <w:sz w:val="24"/>
          <w:szCs w:val="24"/>
          <w:lang w:val="es-MX"/>
        </w:rPr>
        <w:t>APELACIÓN</w:t>
      </w:r>
      <w:r w:rsidRPr="001E05F5">
        <w:rPr>
          <w:rFonts w:ascii="Arial" w:eastAsia="Times New Roman" w:hAnsi="Arial" w:cs="Arial"/>
          <w:sz w:val="24"/>
          <w:szCs w:val="24"/>
          <w:lang w:val="es-MX"/>
        </w:rPr>
        <w:t xml:space="preserve"> interpuesto por el apoderado judicial de la parte demandante, </w:t>
      </w:r>
      <w:r w:rsidRPr="001E05F5">
        <w:rPr>
          <w:rFonts w:ascii="Arial" w:eastAsia="Times New Roman" w:hAnsi="Arial" w:cs="Arial"/>
          <w:sz w:val="24"/>
          <w:szCs w:val="24"/>
          <w:lang w:val="es-MX"/>
        </w:rPr>
        <w:lastRenderedPageBreak/>
        <w:t xml:space="preserve">contra la sentencia calendada el 15 de mayo de 2013, proferida por el Juzgado Segundo Civil del Circuito de Bello Antioquia, dentro del proceso de declaración de pertenencia de vivienda de interés social, impetrado por </w:t>
      </w:r>
      <w:r w:rsidRPr="001E05F5">
        <w:rPr>
          <w:rFonts w:ascii="Arial" w:eastAsia="Times New Roman" w:hAnsi="Arial" w:cs="Arial"/>
          <w:b/>
          <w:sz w:val="24"/>
          <w:szCs w:val="24"/>
          <w:lang w:val="es-MX"/>
        </w:rPr>
        <w:t xml:space="preserve">PEDRO </w:t>
      </w:r>
      <w:proofErr w:type="spellStart"/>
      <w:r w:rsidRPr="001E05F5">
        <w:rPr>
          <w:rFonts w:ascii="Arial" w:eastAsia="Times New Roman" w:hAnsi="Arial" w:cs="Arial"/>
          <w:b/>
          <w:sz w:val="24"/>
          <w:szCs w:val="24"/>
          <w:lang w:val="es-MX"/>
        </w:rPr>
        <w:t>NEL</w:t>
      </w:r>
      <w:proofErr w:type="spellEnd"/>
      <w:r w:rsidRPr="001E05F5">
        <w:rPr>
          <w:rFonts w:ascii="Arial" w:eastAsia="Times New Roman" w:hAnsi="Arial" w:cs="Arial"/>
          <w:b/>
          <w:sz w:val="24"/>
          <w:szCs w:val="24"/>
          <w:lang w:val="es-MX"/>
        </w:rPr>
        <w:t xml:space="preserve"> MO</w:t>
      </w:r>
      <w:r w:rsidR="004462E7">
        <w:rPr>
          <w:rFonts w:ascii="Arial" w:eastAsia="Times New Roman" w:hAnsi="Arial" w:cs="Arial"/>
          <w:b/>
          <w:sz w:val="24"/>
          <w:szCs w:val="24"/>
          <w:lang w:val="es-MX"/>
        </w:rPr>
        <w:t>N</w:t>
      </w:r>
      <w:r w:rsidRPr="001E05F5">
        <w:rPr>
          <w:rFonts w:ascii="Arial" w:eastAsia="Times New Roman" w:hAnsi="Arial" w:cs="Arial"/>
          <w:b/>
          <w:sz w:val="24"/>
          <w:szCs w:val="24"/>
          <w:lang w:val="es-MX"/>
        </w:rPr>
        <w:t>SALVE VALENCIA</w:t>
      </w:r>
      <w:r w:rsidRPr="001E05F5">
        <w:rPr>
          <w:rFonts w:ascii="Arial" w:eastAsia="Times New Roman" w:hAnsi="Arial" w:cs="Arial"/>
          <w:sz w:val="24"/>
          <w:szCs w:val="24"/>
          <w:lang w:val="es-MX"/>
        </w:rPr>
        <w:t xml:space="preserve">, frente a los </w:t>
      </w:r>
      <w:r w:rsidRPr="001E05F5">
        <w:rPr>
          <w:rFonts w:ascii="Arial" w:eastAsia="Times New Roman" w:hAnsi="Arial" w:cs="Arial"/>
          <w:b/>
          <w:sz w:val="24"/>
          <w:szCs w:val="24"/>
          <w:lang w:val="es-MX"/>
        </w:rPr>
        <w:t>HEREDEROS</w:t>
      </w:r>
      <w:r w:rsidRPr="001E05F5">
        <w:rPr>
          <w:rFonts w:ascii="Arial" w:eastAsia="Times New Roman" w:hAnsi="Arial" w:cs="Arial"/>
          <w:sz w:val="24"/>
          <w:szCs w:val="24"/>
          <w:lang w:val="es-MX"/>
        </w:rPr>
        <w:t xml:space="preserve"> determinados </w:t>
      </w:r>
      <w:r w:rsidR="008376B5" w:rsidRPr="001E05F5">
        <w:rPr>
          <w:rFonts w:ascii="Arial" w:eastAsia="Times New Roman" w:hAnsi="Arial" w:cs="Arial"/>
          <w:b/>
          <w:sz w:val="24"/>
          <w:szCs w:val="24"/>
          <w:lang w:val="es-MX"/>
        </w:rPr>
        <w:t xml:space="preserve">JORGE ARTURO, SOR MARÍA, </w:t>
      </w:r>
      <w:proofErr w:type="spellStart"/>
      <w:r w:rsidR="008376B5" w:rsidRPr="001E05F5">
        <w:rPr>
          <w:rFonts w:ascii="Arial" w:eastAsia="Times New Roman" w:hAnsi="Arial" w:cs="Arial"/>
          <w:b/>
          <w:sz w:val="24"/>
          <w:szCs w:val="24"/>
          <w:lang w:val="es-MX"/>
        </w:rPr>
        <w:t>NOHEMY</w:t>
      </w:r>
      <w:proofErr w:type="spellEnd"/>
      <w:r w:rsidR="008376B5" w:rsidRPr="001E05F5">
        <w:rPr>
          <w:rFonts w:ascii="Arial" w:eastAsia="Times New Roman" w:hAnsi="Arial" w:cs="Arial"/>
          <w:b/>
          <w:sz w:val="24"/>
          <w:szCs w:val="24"/>
          <w:lang w:val="es-MX"/>
        </w:rPr>
        <w:t>, BLANCA RUTH y GUILLERMO LEÓN MONSALVE VALENCIA</w:t>
      </w:r>
      <w:r w:rsidR="008376B5" w:rsidRPr="001E05F5">
        <w:rPr>
          <w:rFonts w:ascii="Arial" w:eastAsia="Times New Roman" w:hAnsi="Arial" w:cs="Arial"/>
          <w:sz w:val="24"/>
          <w:szCs w:val="24"/>
          <w:lang w:val="es-MX"/>
        </w:rPr>
        <w:t xml:space="preserve">, </w:t>
      </w:r>
      <w:r w:rsidRPr="001E05F5">
        <w:rPr>
          <w:rFonts w:ascii="Arial" w:eastAsia="Times New Roman" w:hAnsi="Arial" w:cs="Arial"/>
          <w:sz w:val="24"/>
          <w:szCs w:val="24"/>
          <w:lang w:val="es-MX"/>
        </w:rPr>
        <w:t xml:space="preserve">e indeterminados de la señora </w:t>
      </w:r>
      <w:r w:rsidRPr="001E05F5">
        <w:rPr>
          <w:rFonts w:ascii="Arial" w:eastAsia="Times New Roman" w:hAnsi="Arial" w:cs="Arial"/>
          <w:b/>
          <w:sz w:val="24"/>
          <w:szCs w:val="24"/>
          <w:lang w:val="es-MX"/>
        </w:rPr>
        <w:t>ETELVINA VALENCIA VIUDA DE MONSALVE</w:t>
      </w:r>
      <w:r w:rsidRPr="001E05F5">
        <w:rPr>
          <w:rFonts w:ascii="Arial" w:eastAsia="Times New Roman" w:hAnsi="Arial" w:cs="Arial"/>
          <w:sz w:val="24"/>
          <w:szCs w:val="24"/>
          <w:lang w:val="es-MX"/>
        </w:rPr>
        <w:t xml:space="preserve"> y </w:t>
      </w:r>
      <w:r w:rsidRPr="001E05F5">
        <w:rPr>
          <w:rFonts w:ascii="Arial" w:eastAsia="Times New Roman" w:hAnsi="Arial" w:cs="Arial"/>
          <w:b/>
          <w:sz w:val="24"/>
          <w:szCs w:val="24"/>
          <w:lang w:val="es-MX"/>
        </w:rPr>
        <w:t>PERSONAS INDETERMINADAS</w:t>
      </w:r>
      <w:r w:rsidRPr="001E05F5">
        <w:rPr>
          <w:rFonts w:ascii="Arial" w:eastAsia="Times New Roman" w:hAnsi="Arial" w:cs="Arial"/>
          <w:sz w:val="24"/>
          <w:szCs w:val="24"/>
          <w:lang w:val="es-MX"/>
        </w:rPr>
        <w:t>.</w:t>
      </w: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p>
    <w:p w:rsidR="001E58FC" w:rsidRPr="001E05F5" w:rsidRDefault="001E58FC" w:rsidP="001E05F5">
      <w:pPr>
        <w:pStyle w:val="Sinespaciado1"/>
        <w:spacing w:line="276" w:lineRule="auto"/>
        <w:ind w:firstLine="2835"/>
        <w:jc w:val="both"/>
        <w:rPr>
          <w:rFonts w:ascii="Arial" w:eastAsia="Times New Roman" w:hAnsi="Arial" w:cs="Arial"/>
          <w:b/>
          <w:sz w:val="24"/>
          <w:szCs w:val="24"/>
          <w:lang w:val="es-MX"/>
        </w:rPr>
      </w:pPr>
      <w:r w:rsidRPr="001E05F5">
        <w:rPr>
          <w:rFonts w:ascii="Arial" w:eastAsia="Times New Roman" w:hAnsi="Arial" w:cs="Arial"/>
          <w:b/>
          <w:sz w:val="24"/>
          <w:szCs w:val="24"/>
          <w:lang w:val="es-MX"/>
        </w:rPr>
        <w:t>I. ANTECEDENTES</w:t>
      </w: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r w:rsidRPr="001E05F5">
        <w:rPr>
          <w:rFonts w:ascii="Arial" w:eastAsia="Times New Roman" w:hAnsi="Arial" w:cs="Arial"/>
          <w:b/>
          <w:sz w:val="24"/>
          <w:szCs w:val="24"/>
          <w:lang w:val="es-MX"/>
        </w:rPr>
        <w:t>1.</w:t>
      </w:r>
      <w:r w:rsidRPr="001E05F5">
        <w:rPr>
          <w:rFonts w:ascii="Arial" w:eastAsia="Times New Roman" w:hAnsi="Arial" w:cs="Arial"/>
          <w:sz w:val="24"/>
          <w:szCs w:val="24"/>
          <w:lang w:val="es-MX"/>
        </w:rPr>
        <w:t xml:space="preserve"> Pretende el señor </w:t>
      </w:r>
      <w:r w:rsidRPr="001E05F5">
        <w:rPr>
          <w:rFonts w:ascii="Arial" w:eastAsia="Times New Roman" w:hAnsi="Arial" w:cs="Arial"/>
          <w:b/>
          <w:sz w:val="24"/>
          <w:szCs w:val="24"/>
          <w:lang w:val="es-MX"/>
        </w:rPr>
        <w:t xml:space="preserve">PEDRO </w:t>
      </w:r>
      <w:proofErr w:type="spellStart"/>
      <w:r w:rsidRPr="001E05F5">
        <w:rPr>
          <w:rFonts w:ascii="Arial" w:eastAsia="Times New Roman" w:hAnsi="Arial" w:cs="Arial"/>
          <w:b/>
          <w:sz w:val="24"/>
          <w:szCs w:val="24"/>
          <w:lang w:val="es-MX"/>
        </w:rPr>
        <w:t>NEL</w:t>
      </w:r>
      <w:proofErr w:type="spellEnd"/>
      <w:r w:rsidRPr="001E05F5">
        <w:rPr>
          <w:rFonts w:ascii="Arial" w:eastAsia="Times New Roman" w:hAnsi="Arial" w:cs="Arial"/>
          <w:b/>
          <w:sz w:val="24"/>
          <w:szCs w:val="24"/>
          <w:lang w:val="es-MX"/>
        </w:rPr>
        <w:t xml:space="preserve"> MO</w:t>
      </w:r>
      <w:r w:rsidR="008376B5" w:rsidRPr="001E05F5">
        <w:rPr>
          <w:rFonts w:ascii="Arial" w:eastAsia="Times New Roman" w:hAnsi="Arial" w:cs="Arial"/>
          <w:b/>
          <w:sz w:val="24"/>
          <w:szCs w:val="24"/>
          <w:lang w:val="es-MX"/>
        </w:rPr>
        <w:t>N</w:t>
      </w:r>
      <w:r w:rsidRPr="001E05F5">
        <w:rPr>
          <w:rFonts w:ascii="Arial" w:eastAsia="Times New Roman" w:hAnsi="Arial" w:cs="Arial"/>
          <w:b/>
          <w:sz w:val="24"/>
          <w:szCs w:val="24"/>
          <w:lang w:val="es-MX"/>
        </w:rPr>
        <w:t>SALVE VALENCIA</w:t>
      </w:r>
      <w:r w:rsidRPr="001E05F5">
        <w:rPr>
          <w:rFonts w:ascii="Arial" w:eastAsia="Times New Roman" w:hAnsi="Arial" w:cs="Arial"/>
          <w:sz w:val="24"/>
          <w:szCs w:val="24"/>
          <w:lang w:val="es-MX"/>
        </w:rPr>
        <w:t xml:space="preserve"> se declare que ha adquirido por prescripción adquisitiva extraordinaria de dominio </w:t>
      </w:r>
      <w:r w:rsidRPr="001E05F5">
        <w:rPr>
          <w:rFonts w:ascii="Arial" w:eastAsia="Times New Roman" w:hAnsi="Arial" w:cs="Arial"/>
          <w:b/>
          <w:sz w:val="24"/>
          <w:szCs w:val="24"/>
          <w:lang w:val="es-MX"/>
        </w:rPr>
        <w:t>UNA VIVIENDA DE INTERÉS SOCIAL</w:t>
      </w:r>
      <w:r w:rsidRPr="001E05F5">
        <w:rPr>
          <w:rFonts w:ascii="Arial" w:eastAsia="Times New Roman" w:hAnsi="Arial" w:cs="Arial"/>
          <w:sz w:val="24"/>
          <w:szCs w:val="24"/>
          <w:lang w:val="es-MX"/>
        </w:rPr>
        <w:t>, consistente en un apartamento distinguido con el número 234 de la manzana 2, bloque número 34</w:t>
      </w:r>
      <w:r w:rsidR="008376B5" w:rsidRPr="001E05F5">
        <w:rPr>
          <w:rFonts w:ascii="Arial" w:eastAsia="Times New Roman" w:hAnsi="Arial" w:cs="Arial"/>
          <w:sz w:val="24"/>
          <w:szCs w:val="24"/>
          <w:lang w:val="es-MX"/>
        </w:rPr>
        <w:t>,</w:t>
      </w:r>
      <w:r w:rsidRPr="001E05F5">
        <w:rPr>
          <w:rFonts w:ascii="Arial" w:eastAsia="Times New Roman" w:hAnsi="Arial" w:cs="Arial"/>
          <w:sz w:val="24"/>
          <w:szCs w:val="24"/>
          <w:lang w:val="es-MX"/>
        </w:rPr>
        <w:t xml:space="preserve"> Unidad Residencia</w:t>
      </w:r>
      <w:r w:rsidR="008376B5" w:rsidRPr="001E05F5">
        <w:rPr>
          <w:rFonts w:ascii="Arial" w:eastAsia="Times New Roman" w:hAnsi="Arial" w:cs="Arial"/>
          <w:sz w:val="24"/>
          <w:szCs w:val="24"/>
          <w:lang w:val="es-MX"/>
        </w:rPr>
        <w:t>l</w:t>
      </w:r>
      <w:r w:rsidRPr="001E05F5">
        <w:rPr>
          <w:rFonts w:ascii="Arial" w:eastAsia="Times New Roman" w:hAnsi="Arial" w:cs="Arial"/>
          <w:sz w:val="24"/>
          <w:szCs w:val="24"/>
          <w:lang w:val="es-MX"/>
        </w:rPr>
        <w:t xml:space="preserve"> “Cacique </w:t>
      </w:r>
      <w:proofErr w:type="spellStart"/>
      <w:r w:rsidRPr="001E05F5">
        <w:rPr>
          <w:rFonts w:ascii="Arial" w:eastAsia="Times New Roman" w:hAnsi="Arial" w:cs="Arial"/>
          <w:sz w:val="24"/>
          <w:szCs w:val="24"/>
          <w:lang w:val="es-MX"/>
        </w:rPr>
        <w:t>Niquía</w:t>
      </w:r>
      <w:proofErr w:type="spellEnd"/>
      <w:r w:rsidRPr="001E05F5">
        <w:rPr>
          <w:rFonts w:ascii="Arial" w:eastAsia="Times New Roman" w:hAnsi="Arial" w:cs="Arial"/>
          <w:sz w:val="24"/>
          <w:szCs w:val="24"/>
          <w:lang w:val="es-MX"/>
        </w:rPr>
        <w:t>” del municipio de Bello Antioquia, diagonal 59 # 38-31, con matrícula inmobiliaria 01N 260260 de esa municipalidad, debidamente alinderado en el libelo. También solicita se ordene la inscripción de la sentencia en dicho folio de matrícula y condenar en costas a la parte demandada.</w:t>
      </w:r>
    </w:p>
    <w:p w:rsidR="008376B5" w:rsidRPr="001E05F5" w:rsidRDefault="008376B5" w:rsidP="001E05F5">
      <w:pPr>
        <w:pStyle w:val="Sinespaciado1"/>
        <w:spacing w:line="276" w:lineRule="auto"/>
        <w:ind w:firstLine="2835"/>
        <w:jc w:val="both"/>
        <w:rPr>
          <w:rFonts w:ascii="Arial" w:eastAsia="Times New Roman" w:hAnsi="Arial" w:cs="Arial"/>
          <w:sz w:val="24"/>
          <w:szCs w:val="24"/>
          <w:lang w:val="es-MX"/>
        </w:rPr>
      </w:pPr>
    </w:p>
    <w:p w:rsidR="008376B5" w:rsidRPr="001E05F5" w:rsidRDefault="008376B5" w:rsidP="001E05F5">
      <w:pPr>
        <w:pStyle w:val="Sinespaciado1"/>
        <w:spacing w:line="276" w:lineRule="auto"/>
        <w:ind w:firstLine="2835"/>
        <w:jc w:val="both"/>
        <w:rPr>
          <w:rFonts w:ascii="Arial" w:eastAsia="Times New Roman" w:hAnsi="Arial" w:cs="Arial"/>
          <w:sz w:val="24"/>
          <w:szCs w:val="24"/>
          <w:lang w:val="es-MX"/>
        </w:rPr>
      </w:pPr>
      <w:r w:rsidRPr="001E05F5">
        <w:rPr>
          <w:rFonts w:ascii="Arial" w:eastAsia="Times New Roman" w:hAnsi="Arial" w:cs="Arial"/>
          <w:sz w:val="24"/>
          <w:szCs w:val="24"/>
          <w:lang w:val="es-MX"/>
        </w:rPr>
        <w:t xml:space="preserve">Informó que el inmueble descrito ha sido denunciado como bien relicto dentro del proceso de sucesión de la señora </w:t>
      </w:r>
      <w:r w:rsidRPr="001E05F5">
        <w:rPr>
          <w:rFonts w:ascii="Arial" w:eastAsia="Times New Roman" w:hAnsi="Arial" w:cs="Arial"/>
          <w:b/>
          <w:sz w:val="24"/>
          <w:szCs w:val="24"/>
          <w:lang w:val="es-MX"/>
        </w:rPr>
        <w:t>ETELVINA</w:t>
      </w:r>
      <w:r w:rsidRPr="001E05F5">
        <w:rPr>
          <w:rFonts w:ascii="Arial" w:eastAsia="Times New Roman" w:hAnsi="Arial" w:cs="Arial"/>
          <w:sz w:val="24"/>
          <w:szCs w:val="24"/>
          <w:lang w:val="es-MX"/>
        </w:rPr>
        <w:t>, que cursa en el Juzgado Segundo de Familia de Bello</w:t>
      </w:r>
      <w:r w:rsidR="004462E7">
        <w:rPr>
          <w:rFonts w:ascii="Arial" w:eastAsia="Times New Roman" w:hAnsi="Arial" w:cs="Arial"/>
          <w:sz w:val="24"/>
          <w:szCs w:val="24"/>
          <w:lang w:val="es-MX"/>
        </w:rPr>
        <w:t>,</w:t>
      </w:r>
      <w:r w:rsidRPr="001E05F5">
        <w:rPr>
          <w:rFonts w:ascii="Arial" w:eastAsia="Times New Roman" w:hAnsi="Arial" w:cs="Arial"/>
          <w:sz w:val="24"/>
          <w:szCs w:val="24"/>
          <w:lang w:val="es-MX"/>
        </w:rPr>
        <w:t xml:space="preserve"> Antioquia.</w:t>
      </w:r>
      <w:r w:rsidR="00A70B0E" w:rsidRPr="001E05F5">
        <w:rPr>
          <w:rFonts w:ascii="Arial" w:eastAsia="Times New Roman" w:hAnsi="Arial" w:cs="Arial"/>
          <w:sz w:val="24"/>
          <w:szCs w:val="24"/>
          <w:lang w:val="es-MX"/>
        </w:rPr>
        <w:t xml:space="preserve"> En ese proceso fueron reconocidos como herederos los demandados.</w:t>
      </w:r>
    </w:p>
    <w:p w:rsidR="008376B5" w:rsidRPr="001E05F5" w:rsidRDefault="008376B5" w:rsidP="001E05F5">
      <w:pPr>
        <w:pStyle w:val="Sinespaciado1"/>
        <w:spacing w:line="276" w:lineRule="auto"/>
        <w:ind w:firstLine="2835"/>
        <w:jc w:val="both"/>
        <w:rPr>
          <w:rFonts w:ascii="Arial" w:eastAsia="Times New Roman" w:hAnsi="Arial" w:cs="Arial"/>
          <w:sz w:val="24"/>
          <w:szCs w:val="24"/>
          <w:lang w:val="es-MX"/>
        </w:rPr>
      </w:pP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r w:rsidRPr="001E05F5">
        <w:rPr>
          <w:rFonts w:ascii="Arial" w:eastAsia="Times New Roman" w:hAnsi="Arial" w:cs="Arial"/>
          <w:b/>
          <w:sz w:val="24"/>
          <w:szCs w:val="24"/>
          <w:lang w:val="es-MX"/>
        </w:rPr>
        <w:t>2.</w:t>
      </w:r>
      <w:r w:rsidRPr="001E05F5">
        <w:rPr>
          <w:rFonts w:ascii="Arial" w:eastAsia="Times New Roman" w:hAnsi="Arial" w:cs="Arial"/>
          <w:sz w:val="24"/>
          <w:szCs w:val="24"/>
          <w:lang w:val="es-MX"/>
        </w:rPr>
        <w:t xml:space="preserve"> Para pedir lo antes consignado se basó principalmente en que, ha venido poseyendo el citado inmueble con ánimo de señor y dueño desde “hace bastante más de cinco años”, ejerciendo sobre el mismo todas las acciones a que solo da el derecho de dominio, tales como reparaciones y reformas necesarias, pagos de impuesto predial, de servicios públicos y todos los gastos que requiere la buena disposición de lo propio.</w:t>
      </w:r>
      <w:r w:rsidR="008376B5" w:rsidRPr="001E05F5">
        <w:rPr>
          <w:rFonts w:ascii="Arial" w:eastAsia="Times New Roman" w:hAnsi="Arial" w:cs="Arial"/>
          <w:sz w:val="24"/>
          <w:szCs w:val="24"/>
          <w:lang w:val="es-MX"/>
        </w:rPr>
        <w:t xml:space="preserve"> Además, que se trata de una vivienda de interés social.</w:t>
      </w: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p>
    <w:p w:rsidR="001E58FC" w:rsidRPr="001E05F5" w:rsidRDefault="001E58FC" w:rsidP="001E05F5">
      <w:pPr>
        <w:pStyle w:val="Sinespaciado1"/>
        <w:spacing w:line="276" w:lineRule="auto"/>
        <w:ind w:firstLine="2835"/>
        <w:jc w:val="both"/>
        <w:rPr>
          <w:rFonts w:ascii="Arial" w:eastAsia="Times New Roman" w:hAnsi="Arial" w:cs="Arial"/>
          <w:b/>
          <w:sz w:val="24"/>
          <w:szCs w:val="24"/>
          <w:lang w:val="es-MX"/>
        </w:rPr>
      </w:pPr>
      <w:r w:rsidRPr="001E05F5">
        <w:rPr>
          <w:rFonts w:ascii="Arial" w:eastAsia="Times New Roman" w:hAnsi="Arial" w:cs="Arial"/>
          <w:b/>
          <w:sz w:val="24"/>
          <w:szCs w:val="24"/>
          <w:lang w:val="es-MX"/>
        </w:rPr>
        <w:t>II. TRÁMITE DEL PROCESO</w:t>
      </w: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r w:rsidRPr="001E05F5">
        <w:rPr>
          <w:rFonts w:ascii="Arial" w:eastAsia="Times New Roman" w:hAnsi="Arial" w:cs="Arial"/>
          <w:b/>
          <w:sz w:val="24"/>
          <w:szCs w:val="24"/>
          <w:lang w:val="es-MX"/>
        </w:rPr>
        <w:t>1.</w:t>
      </w:r>
      <w:r w:rsidRPr="001E05F5">
        <w:rPr>
          <w:rFonts w:ascii="Arial" w:eastAsia="Times New Roman" w:hAnsi="Arial" w:cs="Arial"/>
          <w:sz w:val="24"/>
          <w:szCs w:val="24"/>
          <w:lang w:val="es-MX"/>
        </w:rPr>
        <w:t xml:space="preserve"> La demanda, fue admitida por auto del 16 de septiembre de 2002, en el que se dispuso su notificación, traslado y los emplazamientos de ley. También se ordenó la inscripción de la misma en el reg</w:t>
      </w:r>
      <w:r w:rsidR="00AB6029" w:rsidRPr="001E05F5">
        <w:rPr>
          <w:rFonts w:ascii="Arial" w:eastAsia="Times New Roman" w:hAnsi="Arial" w:cs="Arial"/>
          <w:sz w:val="24"/>
          <w:szCs w:val="24"/>
          <w:lang w:val="es-MX"/>
        </w:rPr>
        <w:t>istro de instrumentos públicos.</w:t>
      </w:r>
      <w:r w:rsidRPr="001E05F5">
        <w:rPr>
          <w:rFonts w:ascii="Arial" w:eastAsia="Times New Roman" w:hAnsi="Arial" w:cs="Arial"/>
          <w:sz w:val="24"/>
          <w:szCs w:val="24"/>
          <w:lang w:val="es-MX"/>
        </w:rPr>
        <w:t xml:space="preserve"> Después de más de 9 años, se cumplió el emplazamiento en forma regular y la vinculación de todos los demandados (folios 22 al 152 c. </w:t>
      </w:r>
      <w:proofErr w:type="spellStart"/>
      <w:r w:rsidRPr="001E05F5">
        <w:rPr>
          <w:rFonts w:ascii="Arial" w:eastAsia="Times New Roman" w:hAnsi="Arial" w:cs="Arial"/>
          <w:sz w:val="24"/>
          <w:szCs w:val="24"/>
          <w:lang w:val="es-MX"/>
        </w:rPr>
        <w:t>ppl</w:t>
      </w:r>
      <w:proofErr w:type="spellEnd"/>
      <w:r w:rsidRPr="001E05F5">
        <w:rPr>
          <w:rFonts w:ascii="Arial" w:eastAsia="Times New Roman" w:hAnsi="Arial" w:cs="Arial"/>
          <w:sz w:val="24"/>
          <w:szCs w:val="24"/>
          <w:lang w:val="es-MX"/>
        </w:rPr>
        <w:t>.).</w:t>
      </w:r>
    </w:p>
    <w:p w:rsidR="00882A92" w:rsidRPr="001E05F5" w:rsidRDefault="00882A92" w:rsidP="001E05F5">
      <w:pPr>
        <w:pStyle w:val="Sinespaciado1"/>
        <w:spacing w:line="276" w:lineRule="auto"/>
        <w:ind w:firstLine="2835"/>
        <w:jc w:val="both"/>
        <w:rPr>
          <w:rFonts w:ascii="Arial" w:eastAsia="Times New Roman" w:hAnsi="Arial" w:cs="Arial"/>
          <w:sz w:val="24"/>
          <w:szCs w:val="24"/>
          <w:lang w:val="es-MX"/>
        </w:rPr>
      </w:pPr>
    </w:p>
    <w:p w:rsidR="00882A92" w:rsidRPr="001E05F5" w:rsidRDefault="00882A92" w:rsidP="001E05F5">
      <w:pPr>
        <w:pStyle w:val="Sinespaciado1"/>
        <w:spacing w:line="276" w:lineRule="auto"/>
        <w:ind w:firstLine="2835"/>
        <w:jc w:val="both"/>
        <w:rPr>
          <w:rFonts w:ascii="Arial" w:eastAsia="Times New Roman" w:hAnsi="Arial" w:cs="Arial"/>
          <w:sz w:val="24"/>
          <w:szCs w:val="24"/>
          <w:lang w:val="es-MX"/>
        </w:rPr>
      </w:pPr>
      <w:r w:rsidRPr="001E05F5">
        <w:rPr>
          <w:rFonts w:ascii="Arial" w:eastAsia="Times New Roman" w:hAnsi="Arial" w:cs="Arial"/>
          <w:sz w:val="24"/>
          <w:szCs w:val="24"/>
          <w:lang w:val="es-MX"/>
        </w:rPr>
        <w:t>La curadora ad litem de las personas indeterminadas se pronunció para manifestar que no se opone a las pretensiones si se prueban los hechos enunciados en el libelo (</w:t>
      </w:r>
      <w:proofErr w:type="spellStart"/>
      <w:r w:rsidRPr="001E05F5">
        <w:rPr>
          <w:rFonts w:ascii="Arial" w:eastAsia="Times New Roman" w:hAnsi="Arial" w:cs="Arial"/>
          <w:sz w:val="24"/>
          <w:szCs w:val="24"/>
          <w:lang w:val="es-MX"/>
        </w:rPr>
        <w:t>fl</w:t>
      </w:r>
      <w:proofErr w:type="spellEnd"/>
      <w:r w:rsidRPr="001E05F5">
        <w:rPr>
          <w:rFonts w:ascii="Arial" w:eastAsia="Times New Roman" w:hAnsi="Arial" w:cs="Arial"/>
          <w:sz w:val="24"/>
          <w:szCs w:val="24"/>
          <w:lang w:val="es-MX"/>
        </w:rPr>
        <w:t xml:space="preserve">. 47 c. </w:t>
      </w:r>
      <w:proofErr w:type="spellStart"/>
      <w:r w:rsidRPr="001E05F5">
        <w:rPr>
          <w:rFonts w:ascii="Arial" w:eastAsia="Times New Roman" w:hAnsi="Arial" w:cs="Arial"/>
          <w:sz w:val="24"/>
          <w:szCs w:val="24"/>
          <w:lang w:val="es-MX"/>
        </w:rPr>
        <w:t>ppl</w:t>
      </w:r>
      <w:proofErr w:type="spellEnd"/>
      <w:r w:rsidRPr="001E05F5">
        <w:rPr>
          <w:rFonts w:ascii="Arial" w:eastAsia="Times New Roman" w:hAnsi="Arial" w:cs="Arial"/>
          <w:sz w:val="24"/>
          <w:szCs w:val="24"/>
          <w:lang w:val="es-MX"/>
        </w:rPr>
        <w:t>.).</w:t>
      </w:r>
    </w:p>
    <w:p w:rsidR="00882A92" w:rsidRPr="001E05F5" w:rsidRDefault="00882A92" w:rsidP="001E05F5">
      <w:pPr>
        <w:pStyle w:val="Sinespaciado1"/>
        <w:spacing w:line="276" w:lineRule="auto"/>
        <w:ind w:firstLine="2835"/>
        <w:jc w:val="both"/>
        <w:rPr>
          <w:rFonts w:ascii="Arial" w:eastAsia="Times New Roman" w:hAnsi="Arial" w:cs="Arial"/>
          <w:sz w:val="24"/>
          <w:szCs w:val="24"/>
          <w:lang w:val="es-MX"/>
        </w:rPr>
      </w:pPr>
    </w:p>
    <w:p w:rsidR="00882A92" w:rsidRPr="001E05F5" w:rsidRDefault="00882A92" w:rsidP="001E05F5">
      <w:pPr>
        <w:pStyle w:val="Sinespaciado1"/>
        <w:spacing w:line="276" w:lineRule="auto"/>
        <w:ind w:firstLine="2835"/>
        <w:jc w:val="both"/>
        <w:rPr>
          <w:rFonts w:ascii="Arial" w:eastAsia="Times New Roman" w:hAnsi="Arial" w:cs="Arial"/>
          <w:sz w:val="24"/>
          <w:szCs w:val="24"/>
          <w:lang w:val="es-MX"/>
        </w:rPr>
      </w:pPr>
      <w:r w:rsidRPr="001E05F5">
        <w:rPr>
          <w:rFonts w:ascii="Arial" w:eastAsia="Times New Roman" w:hAnsi="Arial" w:cs="Arial"/>
          <w:sz w:val="24"/>
          <w:szCs w:val="24"/>
          <w:lang w:val="es-MX"/>
        </w:rPr>
        <w:t xml:space="preserve">La señora </w:t>
      </w:r>
      <w:r w:rsidRPr="001E05F5">
        <w:rPr>
          <w:rFonts w:ascii="Arial" w:eastAsia="Times New Roman" w:hAnsi="Arial" w:cs="Arial"/>
          <w:b/>
          <w:sz w:val="24"/>
          <w:szCs w:val="24"/>
          <w:lang w:val="es-MX"/>
        </w:rPr>
        <w:t>BLANCA MONSALVE VALENCIA</w:t>
      </w:r>
      <w:r w:rsidRPr="001E05F5">
        <w:rPr>
          <w:rFonts w:ascii="Arial" w:eastAsia="Times New Roman" w:hAnsi="Arial" w:cs="Arial"/>
          <w:sz w:val="24"/>
          <w:szCs w:val="24"/>
          <w:lang w:val="es-MX"/>
        </w:rPr>
        <w:t xml:space="preserve"> se pronunció por intermedio de apoderado judicial, oponiéndose a las pretensiones, por cuanto la dueña del inmueble hasta el 21 de junio de 1995 fue la señora </w:t>
      </w:r>
      <w:r w:rsidRPr="001E05F5">
        <w:rPr>
          <w:rFonts w:ascii="Arial" w:eastAsia="Times New Roman" w:hAnsi="Arial" w:cs="Arial"/>
          <w:b/>
          <w:sz w:val="24"/>
          <w:szCs w:val="24"/>
          <w:lang w:val="es-MX"/>
        </w:rPr>
        <w:t>ETELVINA</w:t>
      </w:r>
      <w:r w:rsidRPr="001E05F5">
        <w:rPr>
          <w:rFonts w:ascii="Arial" w:eastAsia="Times New Roman" w:hAnsi="Arial" w:cs="Arial"/>
          <w:sz w:val="24"/>
          <w:szCs w:val="24"/>
          <w:lang w:val="es-MX"/>
        </w:rPr>
        <w:t>, cuando falleció y ella le permitió vivir en el inmueble al actor,</w:t>
      </w:r>
      <w:r w:rsidR="001226FF" w:rsidRPr="001E05F5">
        <w:rPr>
          <w:rFonts w:ascii="Arial" w:eastAsia="Times New Roman" w:hAnsi="Arial" w:cs="Arial"/>
          <w:sz w:val="24"/>
          <w:szCs w:val="24"/>
          <w:lang w:val="es-MX"/>
        </w:rPr>
        <w:t xml:space="preserve"> por lástima, por caridad,</w:t>
      </w:r>
      <w:r w:rsidRPr="001E05F5">
        <w:rPr>
          <w:rFonts w:ascii="Arial" w:eastAsia="Times New Roman" w:hAnsi="Arial" w:cs="Arial"/>
          <w:sz w:val="24"/>
          <w:szCs w:val="24"/>
          <w:lang w:val="es-MX"/>
        </w:rPr>
        <w:t xml:space="preserve"> </w:t>
      </w:r>
      <w:r w:rsidRPr="001E05F5">
        <w:rPr>
          <w:rFonts w:ascii="Arial" w:eastAsia="Times New Roman" w:hAnsi="Arial" w:cs="Arial"/>
          <w:sz w:val="24"/>
          <w:szCs w:val="24"/>
          <w:lang w:val="es-MX"/>
        </w:rPr>
        <w:lastRenderedPageBreak/>
        <w:t xml:space="preserve">tolerancia que denomina “préstamo de uso”. </w:t>
      </w:r>
      <w:r w:rsidR="001226FF" w:rsidRPr="001E05F5">
        <w:rPr>
          <w:rFonts w:ascii="Arial" w:eastAsia="Times New Roman" w:hAnsi="Arial" w:cs="Arial"/>
          <w:sz w:val="24"/>
          <w:szCs w:val="24"/>
          <w:lang w:val="es-MX"/>
        </w:rPr>
        <w:t>Dice, los demandados son herederos, incluyendo el actor, quien sabe y conoce que la difunta era la dueña. Propuso excepciones de “comodato precario”, “falta de causa para demandar” y “mala fe” (</w:t>
      </w:r>
      <w:proofErr w:type="spellStart"/>
      <w:r w:rsidR="001226FF" w:rsidRPr="001E05F5">
        <w:rPr>
          <w:rFonts w:ascii="Arial" w:eastAsia="Times New Roman" w:hAnsi="Arial" w:cs="Arial"/>
          <w:sz w:val="24"/>
          <w:szCs w:val="24"/>
          <w:lang w:val="es-MX"/>
        </w:rPr>
        <w:t>fls</w:t>
      </w:r>
      <w:proofErr w:type="spellEnd"/>
      <w:r w:rsidR="001226FF" w:rsidRPr="001E05F5">
        <w:rPr>
          <w:rFonts w:ascii="Arial" w:eastAsia="Times New Roman" w:hAnsi="Arial" w:cs="Arial"/>
          <w:sz w:val="24"/>
          <w:szCs w:val="24"/>
          <w:lang w:val="es-MX"/>
        </w:rPr>
        <w:t xml:space="preserve">. 61 a 66 c. </w:t>
      </w:r>
      <w:proofErr w:type="spellStart"/>
      <w:r w:rsidR="001226FF" w:rsidRPr="001E05F5">
        <w:rPr>
          <w:rFonts w:ascii="Arial" w:eastAsia="Times New Roman" w:hAnsi="Arial" w:cs="Arial"/>
          <w:sz w:val="24"/>
          <w:szCs w:val="24"/>
          <w:lang w:val="es-MX"/>
        </w:rPr>
        <w:t>ppl</w:t>
      </w:r>
      <w:proofErr w:type="spellEnd"/>
      <w:r w:rsidR="001226FF" w:rsidRPr="001E05F5">
        <w:rPr>
          <w:rFonts w:ascii="Arial" w:eastAsia="Times New Roman" w:hAnsi="Arial" w:cs="Arial"/>
          <w:sz w:val="24"/>
          <w:szCs w:val="24"/>
          <w:lang w:val="es-MX"/>
        </w:rPr>
        <w:t>.).</w:t>
      </w:r>
    </w:p>
    <w:p w:rsidR="001226FF" w:rsidRPr="001E05F5" w:rsidRDefault="001226FF" w:rsidP="001E05F5">
      <w:pPr>
        <w:pStyle w:val="Sinespaciado1"/>
        <w:spacing w:line="276" w:lineRule="auto"/>
        <w:ind w:firstLine="2835"/>
        <w:jc w:val="both"/>
        <w:rPr>
          <w:rFonts w:ascii="Arial" w:eastAsia="Times New Roman" w:hAnsi="Arial" w:cs="Arial"/>
          <w:sz w:val="24"/>
          <w:szCs w:val="24"/>
          <w:lang w:val="es-MX"/>
        </w:rPr>
      </w:pPr>
    </w:p>
    <w:p w:rsidR="001226FF" w:rsidRPr="001E05F5" w:rsidRDefault="001226FF" w:rsidP="001E05F5">
      <w:pPr>
        <w:pStyle w:val="Sinespaciado1"/>
        <w:spacing w:line="276" w:lineRule="auto"/>
        <w:ind w:firstLine="2835"/>
        <w:jc w:val="both"/>
        <w:rPr>
          <w:rFonts w:ascii="Arial" w:eastAsia="Times New Roman" w:hAnsi="Arial" w:cs="Arial"/>
          <w:sz w:val="24"/>
          <w:szCs w:val="24"/>
          <w:lang w:val="es-MX"/>
        </w:rPr>
      </w:pPr>
      <w:r w:rsidRPr="001E05F5">
        <w:rPr>
          <w:rFonts w:ascii="Arial" w:eastAsia="Times New Roman" w:hAnsi="Arial" w:cs="Arial"/>
          <w:sz w:val="24"/>
          <w:szCs w:val="24"/>
          <w:lang w:val="es-MX"/>
        </w:rPr>
        <w:t xml:space="preserve">Posteriormente acudieron al proceso a los </w:t>
      </w:r>
      <w:r w:rsidRPr="001E05F5">
        <w:rPr>
          <w:rFonts w:ascii="Arial" w:eastAsia="Times New Roman" w:hAnsi="Arial" w:cs="Arial"/>
          <w:b/>
          <w:sz w:val="24"/>
          <w:szCs w:val="24"/>
          <w:lang w:val="es-MX"/>
        </w:rPr>
        <w:t>HEREDEROS</w:t>
      </w:r>
      <w:r w:rsidRPr="001E05F5">
        <w:rPr>
          <w:rFonts w:ascii="Arial" w:eastAsia="Times New Roman" w:hAnsi="Arial" w:cs="Arial"/>
          <w:sz w:val="24"/>
          <w:szCs w:val="24"/>
          <w:lang w:val="es-MX"/>
        </w:rPr>
        <w:t xml:space="preserve"> determinados </w:t>
      </w:r>
      <w:r w:rsidRPr="001E05F5">
        <w:rPr>
          <w:rFonts w:ascii="Arial" w:eastAsia="Times New Roman" w:hAnsi="Arial" w:cs="Arial"/>
          <w:b/>
          <w:sz w:val="24"/>
          <w:szCs w:val="24"/>
          <w:lang w:val="es-MX"/>
        </w:rPr>
        <w:t xml:space="preserve">JORGE ARTURO, SOR MARÍA, </w:t>
      </w:r>
      <w:proofErr w:type="spellStart"/>
      <w:r w:rsidRPr="001E05F5">
        <w:rPr>
          <w:rFonts w:ascii="Arial" w:eastAsia="Times New Roman" w:hAnsi="Arial" w:cs="Arial"/>
          <w:b/>
          <w:sz w:val="24"/>
          <w:szCs w:val="24"/>
          <w:lang w:val="es-MX"/>
        </w:rPr>
        <w:t>NOHEMY</w:t>
      </w:r>
      <w:proofErr w:type="spellEnd"/>
      <w:r w:rsidRPr="001E05F5">
        <w:rPr>
          <w:rFonts w:ascii="Arial" w:eastAsia="Times New Roman" w:hAnsi="Arial" w:cs="Arial"/>
          <w:b/>
          <w:sz w:val="24"/>
          <w:szCs w:val="24"/>
          <w:lang w:val="es-MX"/>
        </w:rPr>
        <w:t xml:space="preserve"> y GUILLERMO LEÓN MONSALVE VALENCIA</w:t>
      </w:r>
      <w:r w:rsidRPr="001E05F5">
        <w:rPr>
          <w:rFonts w:ascii="Arial" w:eastAsia="Times New Roman" w:hAnsi="Arial" w:cs="Arial"/>
          <w:sz w:val="24"/>
          <w:szCs w:val="24"/>
          <w:lang w:val="es-MX"/>
        </w:rPr>
        <w:t>. Dieron respuesta a la demanda, oponiéndose a</w:t>
      </w:r>
      <w:r w:rsidR="00437353" w:rsidRPr="001E05F5">
        <w:rPr>
          <w:rFonts w:ascii="Arial" w:eastAsia="Times New Roman" w:hAnsi="Arial" w:cs="Arial"/>
          <w:sz w:val="24"/>
          <w:szCs w:val="24"/>
          <w:lang w:val="es-MX"/>
        </w:rPr>
        <w:t xml:space="preserve"> las pretensiones. Negaron l</w:t>
      </w:r>
      <w:r w:rsidRPr="001E05F5">
        <w:rPr>
          <w:rFonts w:ascii="Arial" w:eastAsia="Times New Roman" w:hAnsi="Arial" w:cs="Arial"/>
          <w:sz w:val="24"/>
          <w:szCs w:val="24"/>
          <w:lang w:val="es-MX"/>
        </w:rPr>
        <w:t xml:space="preserve">os hechos </w:t>
      </w:r>
      <w:r w:rsidR="00437353" w:rsidRPr="001E05F5">
        <w:rPr>
          <w:rFonts w:ascii="Arial" w:eastAsia="Times New Roman" w:hAnsi="Arial" w:cs="Arial"/>
          <w:sz w:val="24"/>
          <w:szCs w:val="24"/>
          <w:lang w:val="es-MX"/>
        </w:rPr>
        <w:t>y manifestaron que el actor ocupa el bien inmueble como mero tenedor. Formularon excepciones de fondo, fundamentadas en que el inmueble no reúne las condiciones de una vivienda de interés social (</w:t>
      </w:r>
      <w:proofErr w:type="spellStart"/>
      <w:r w:rsidR="00437353" w:rsidRPr="001E05F5">
        <w:rPr>
          <w:rFonts w:ascii="Arial" w:eastAsia="Times New Roman" w:hAnsi="Arial" w:cs="Arial"/>
          <w:sz w:val="24"/>
          <w:szCs w:val="24"/>
          <w:lang w:val="es-MX"/>
        </w:rPr>
        <w:t>fls</w:t>
      </w:r>
      <w:proofErr w:type="spellEnd"/>
      <w:r w:rsidR="00437353" w:rsidRPr="001E05F5">
        <w:rPr>
          <w:rFonts w:ascii="Arial" w:eastAsia="Times New Roman" w:hAnsi="Arial" w:cs="Arial"/>
          <w:sz w:val="24"/>
          <w:szCs w:val="24"/>
          <w:lang w:val="es-MX"/>
        </w:rPr>
        <w:t xml:space="preserve">. 113 a 119 c. </w:t>
      </w:r>
      <w:proofErr w:type="spellStart"/>
      <w:r w:rsidR="00437353" w:rsidRPr="001E05F5">
        <w:rPr>
          <w:rFonts w:ascii="Arial" w:eastAsia="Times New Roman" w:hAnsi="Arial" w:cs="Arial"/>
          <w:sz w:val="24"/>
          <w:szCs w:val="24"/>
          <w:lang w:val="es-MX"/>
        </w:rPr>
        <w:t>ppl</w:t>
      </w:r>
      <w:proofErr w:type="spellEnd"/>
      <w:r w:rsidR="00437353" w:rsidRPr="001E05F5">
        <w:rPr>
          <w:rFonts w:ascii="Arial" w:eastAsia="Times New Roman" w:hAnsi="Arial" w:cs="Arial"/>
          <w:sz w:val="24"/>
          <w:szCs w:val="24"/>
          <w:lang w:val="es-MX"/>
        </w:rPr>
        <w:t>.).</w:t>
      </w:r>
    </w:p>
    <w:p w:rsidR="00437353" w:rsidRPr="001E05F5" w:rsidRDefault="00437353" w:rsidP="001E05F5">
      <w:pPr>
        <w:pStyle w:val="Sinespaciado1"/>
        <w:spacing w:line="276" w:lineRule="auto"/>
        <w:ind w:firstLine="2835"/>
        <w:jc w:val="both"/>
        <w:rPr>
          <w:rFonts w:ascii="Arial" w:eastAsia="Times New Roman" w:hAnsi="Arial" w:cs="Arial"/>
          <w:sz w:val="24"/>
          <w:szCs w:val="24"/>
          <w:lang w:val="es-MX"/>
        </w:rPr>
      </w:pPr>
    </w:p>
    <w:p w:rsidR="001226FF" w:rsidRPr="001E05F5" w:rsidRDefault="00437353" w:rsidP="001E05F5">
      <w:pPr>
        <w:pStyle w:val="Sinespaciado1"/>
        <w:spacing w:line="276" w:lineRule="auto"/>
        <w:ind w:firstLine="2835"/>
        <w:jc w:val="both"/>
        <w:rPr>
          <w:rFonts w:ascii="Arial" w:eastAsia="Times New Roman" w:hAnsi="Arial" w:cs="Arial"/>
          <w:sz w:val="24"/>
          <w:szCs w:val="24"/>
          <w:lang w:val="es-MX"/>
        </w:rPr>
      </w:pPr>
      <w:r w:rsidRPr="001E05F5">
        <w:rPr>
          <w:rFonts w:ascii="Arial" w:eastAsia="Times New Roman" w:hAnsi="Arial" w:cs="Arial"/>
          <w:sz w:val="24"/>
          <w:szCs w:val="24"/>
          <w:lang w:val="es-MX"/>
        </w:rPr>
        <w:t>También se pronunció la curadora ad litem de los herederos indeterminados de las señora</w:t>
      </w:r>
      <w:r w:rsidRPr="001E05F5">
        <w:rPr>
          <w:rFonts w:ascii="Arial" w:eastAsia="Times New Roman" w:hAnsi="Arial" w:cs="Arial"/>
          <w:b/>
          <w:sz w:val="24"/>
          <w:szCs w:val="24"/>
          <w:lang w:val="es-MX"/>
        </w:rPr>
        <w:t xml:space="preserve"> ETELVINA VALENCIA VIUDA DE MONSALVE</w:t>
      </w:r>
      <w:r w:rsidRPr="001E05F5">
        <w:rPr>
          <w:rFonts w:ascii="Arial" w:eastAsia="Times New Roman" w:hAnsi="Arial" w:cs="Arial"/>
          <w:sz w:val="24"/>
          <w:szCs w:val="24"/>
          <w:lang w:val="es-MX"/>
        </w:rPr>
        <w:t>, manifestando no le constan los hechos de la demanda y ateniéndose a lo que resulte probado (</w:t>
      </w:r>
      <w:proofErr w:type="spellStart"/>
      <w:r w:rsidRPr="001E05F5">
        <w:rPr>
          <w:rFonts w:ascii="Arial" w:eastAsia="Times New Roman" w:hAnsi="Arial" w:cs="Arial"/>
          <w:sz w:val="24"/>
          <w:szCs w:val="24"/>
          <w:lang w:val="es-MX"/>
        </w:rPr>
        <w:t>fls</w:t>
      </w:r>
      <w:proofErr w:type="spellEnd"/>
      <w:r w:rsidRPr="001E05F5">
        <w:rPr>
          <w:rFonts w:ascii="Arial" w:eastAsia="Times New Roman" w:hAnsi="Arial" w:cs="Arial"/>
          <w:sz w:val="24"/>
          <w:szCs w:val="24"/>
          <w:lang w:val="es-MX"/>
        </w:rPr>
        <w:t xml:space="preserve">. 148 a 149 c. </w:t>
      </w:r>
      <w:proofErr w:type="spellStart"/>
      <w:r w:rsidRPr="001E05F5">
        <w:rPr>
          <w:rFonts w:ascii="Arial" w:eastAsia="Times New Roman" w:hAnsi="Arial" w:cs="Arial"/>
          <w:sz w:val="24"/>
          <w:szCs w:val="24"/>
          <w:lang w:val="es-MX"/>
        </w:rPr>
        <w:t>ppl</w:t>
      </w:r>
      <w:proofErr w:type="spellEnd"/>
      <w:r w:rsidRPr="001E05F5">
        <w:rPr>
          <w:rFonts w:ascii="Arial" w:eastAsia="Times New Roman" w:hAnsi="Arial" w:cs="Arial"/>
          <w:sz w:val="24"/>
          <w:szCs w:val="24"/>
          <w:lang w:val="es-MX"/>
        </w:rPr>
        <w:t>.).</w:t>
      </w: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r w:rsidRPr="001E05F5">
        <w:rPr>
          <w:rFonts w:ascii="Arial" w:eastAsia="Times New Roman" w:hAnsi="Arial" w:cs="Arial"/>
          <w:b/>
          <w:sz w:val="24"/>
          <w:szCs w:val="24"/>
          <w:lang w:val="es-MX"/>
        </w:rPr>
        <w:t>2.</w:t>
      </w:r>
      <w:r w:rsidRPr="001E05F5">
        <w:rPr>
          <w:rFonts w:ascii="Arial" w:eastAsia="Times New Roman" w:hAnsi="Arial" w:cs="Arial"/>
          <w:sz w:val="24"/>
          <w:szCs w:val="24"/>
          <w:lang w:val="es-MX"/>
        </w:rPr>
        <w:t xml:space="preserve"> La fase probatoria transcurrió con el decreto de las pedidas por las partes y otras de oficio (folios 153 a 157 c. pp</w:t>
      </w:r>
      <w:r w:rsidR="004462E7">
        <w:rPr>
          <w:rFonts w:ascii="Arial" w:eastAsia="Times New Roman" w:hAnsi="Arial" w:cs="Arial"/>
          <w:sz w:val="24"/>
          <w:szCs w:val="24"/>
          <w:lang w:val="es-MX"/>
        </w:rPr>
        <w:t>a</w:t>
      </w:r>
      <w:r w:rsidRPr="001E05F5">
        <w:rPr>
          <w:rFonts w:ascii="Arial" w:eastAsia="Times New Roman" w:hAnsi="Arial" w:cs="Arial"/>
          <w:sz w:val="24"/>
          <w:szCs w:val="24"/>
          <w:lang w:val="es-MX"/>
        </w:rPr>
        <w:t xml:space="preserve">l. y cuadernos 3, 4 y 5). En la etapa de alegatos se pronunció únicamente el apoderado de la demandada </w:t>
      </w:r>
      <w:r w:rsidRPr="001E05F5">
        <w:rPr>
          <w:rFonts w:ascii="Arial" w:eastAsia="Times New Roman" w:hAnsi="Arial" w:cs="Arial"/>
          <w:b/>
          <w:sz w:val="24"/>
          <w:szCs w:val="24"/>
          <w:lang w:val="es-MX"/>
        </w:rPr>
        <w:t>SOR MARÍA MONSALVE VALENCIA</w:t>
      </w:r>
      <w:r w:rsidRPr="001E05F5">
        <w:rPr>
          <w:rFonts w:ascii="Arial" w:eastAsia="Times New Roman" w:hAnsi="Arial" w:cs="Arial"/>
          <w:sz w:val="24"/>
          <w:szCs w:val="24"/>
          <w:lang w:val="es-MX"/>
        </w:rPr>
        <w:t xml:space="preserve"> (Folios 163 a 166 c. </w:t>
      </w:r>
      <w:proofErr w:type="spellStart"/>
      <w:r w:rsidRPr="001E05F5">
        <w:rPr>
          <w:rFonts w:ascii="Arial" w:eastAsia="Times New Roman" w:hAnsi="Arial" w:cs="Arial"/>
          <w:sz w:val="24"/>
          <w:szCs w:val="24"/>
          <w:lang w:val="es-MX"/>
        </w:rPr>
        <w:t>ppl</w:t>
      </w:r>
      <w:proofErr w:type="spellEnd"/>
      <w:r w:rsidRPr="001E05F5">
        <w:rPr>
          <w:rFonts w:ascii="Arial" w:eastAsia="Times New Roman" w:hAnsi="Arial" w:cs="Arial"/>
          <w:sz w:val="24"/>
          <w:szCs w:val="24"/>
          <w:lang w:val="es-MX"/>
        </w:rPr>
        <w:t>.).</w:t>
      </w: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p>
    <w:p w:rsidR="001E58FC" w:rsidRPr="001E05F5" w:rsidRDefault="001E58FC" w:rsidP="001E05F5">
      <w:pPr>
        <w:pStyle w:val="Sinespaciado1"/>
        <w:spacing w:line="276" w:lineRule="auto"/>
        <w:ind w:firstLine="2835"/>
        <w:jc w:val="both"/>
        <w:rPr>
          <w:rFonts w:ascii="Arial" w:eastAsia="Times New Roman" w:hAnsi="Arial" w:cs="Arial"/>
          <w:b/>
          <w:sz w:val="24"/>
          <w:szCs w:val="24"/>
          <w:lang w:val="es-MX"/>
        </w:rPr>
      </w:pPr>
      <w:r w:rsidRPr="001E05F5">
        <w:rPr>
          <w:rFonts w:ascii="Arial" w:eastAsia="Times New Roman" w:hAnsi="Arial" w:cs="Arial"/>
          <w:b/>
          <w:sz w:val="24"/>
          <w:szCs w:val="24"/>
          <w:lang w:val="es-MX"/>
        </w:rPr>
        <w:t>III. LA SENTENCIA DE PRIMERA INSTANCIA</w:t>
      </w: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r w:rsidRPr="001E05F5">
        <w:rPr>
          <w:rFonts w:ascii="Arial" w:eastAsia="Times New Roman" w:hAnsi="Arial" w:cs="Arial"/>
          <w:b/>
          <w:sz w:val="24"/>
          <w:szCs w:val="24"/>
          <w:lang w:val="es-MX"/>
        </w:rPr>
        <w:t>1.</w:t>
      </w:r>
      <w:r w:rsidRPr="001E05F5">
        <w:rPr>
          <w:rFonts w:ascii="Arial" w:eastAsia="Times New Roman" w:hAnsi="Arial" w:cs="Arial"/>
          <w:sz w:val="24"/>
          <w:szCs w:val="24"/>
          <w:lang w:val="es-MX"/>
        </w:rPr>
        <w:t xml:space="preserve"> El juzgado de conocimiento puso fin a la instancia mediante el fallo objeto del recurso, en el cual declaró de oficio la excepción de falta de legitimación en la causa por activa y desestimó las pretensiones.</w:t>
      </w: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r w:rsidRPr="001E05F5">
        <w:rPr>
          <w:rFonts w:ascii="Arial" w:eastAsia="Times New Roman" w:hAnsi="Arial" w:cs="Arial"/>
          <w:b/>
          <w:sz w:val="24"/>
          <w:szCs w:val="24"/>
          <w:lang w:val="es-MX"/>
        </w:rPr>
        <w:t>2.</w:t>
      </w:r>
      <w:r w:rsidRPr="001E05F5">
        <w:rPr>
          <w:rFonts w:ascii="Arial" w:eastAsia="Times New Roman" w:hAnsi="Arial" w:cs="Arial"/>
          <w:sz w:val="24"/>
          <w:szCs w:val="24"/>
          <w:lang w:val="es-MX"/>
        </w:rPr>
        <w:t xml:space="preserve"> El sentenciador, tras referirse a los fundamentos fácticos o causa </w:t>
      </w:r>
      <w:proofErr w:type="spellStart"/>
      <w:r w:rsidRPr="001E05F5">
        <w:rPr>
          <w:rFonts w:ascii="Arial" w:eastAsia="Times New Roman" w:hAnsi="Arial" w:cs="Arial"/>
          <w:sz w:val="24"/>
          <w:szCs w:val="24"/>
          <w:lang w:val="es-MX"/>
        </w:rPr>
        <w:t>petendi</w:t>
      </w:r>
      <w:proofErr w:type="spellEnd"/>
      <w:r w:rsidRPr="001E05F5">
        <w:rPr>
          <w:rFonts w:ascii="Arial" w:eastAsia="Times New Roman" w:hAnsi="Arial" w:cs="Arial"/>
          <w:sz w:val="24"/>
          <w:szCs w:val="24"/>
          <w:lang w:val="es-MX"/>
        </w:rPr>
        <w:t>, pretensiones y sustentos legales, discurrió sobre la prescripción adquisitiva de dominio y específicamente de la vivienda de interés social, refiriéndose al artículo 44 de la Ley 9ª de 1989, respecto a las condiciones que debe reunir un inmueble para ser considerado vivienda de interés social.</w:t>
      </w:r>
    </w:p>
    <w:p w:rsidR="00905C11" w:rsidRPr="001E05F5" w:rsidRDefault="00905C11" w:rsidP="001E05F5">
      <w:pPr>
        <w:pStyle w:val="Sinespaciado1"/>
        <w:spacing w:line="276" w:lineRule="auto"/>
        <w:ind w:firstLine="2835"/>
        <w:jc w:val="both"/>
        <w:rPr>
          <w:rFonts w:ascii="Arial" w:eastAsia="Times New Roman" w:hAnsi="Arial" w:cs="Arial"/>
          <w:sz w:val="24"/>
          <w:szCs w:val="24"/>
          <w:lang w:val="es-MX"/>
        </w:rPr>
      </w:pPr>
    </w:p>
    <w:p w:rsidR="0064560C" w:rsidRPr="001E05F5" w:rsidRDefault="001E58FC" w:rsidP="001E05F5">
      <w:pPr>
        <w:pStyle w:val="Sinespaciado1"/>
        <w:spacing w:line="276" w:lineRule="auto"/>
        <w:ind w:firstLine="2835"/>
        <w:jc w:val="both"/>
        <w:rPr>
          <w:rFonts w:ascii="Arial" w:eastAsia="Times New Roman" w:hAnsi="Arial" w:cs="Arial"/>
          <w:sz w:val="24"/>
          <w:szCs w:val="24"/>
          <w:lang w:val="es-MX"/>
        </w:rPr>
      </w:pPr>
      <w:r w:rsidRPr="001E05F5">
        <w:rPr>
          <w:rFonts w:ascii="Arial" w:eastAsia="Times New Roman" w:hAnsi="Arial" w:cs="Arial"/>
          <w:b/>
          <w:sz w:val="24"/>
          <w:szCs w:val="24"/>
          <w:lang w:val="es-MX"/>
        </w:rPr>
        <w:t>3.</w:t>
      </w:r>
      <w:r w:rsidRPr="001E05F5">
        <w:rPr>
          <w:rFonts w:ascii="Arial" w:eastAsia="Times New Roman" w:hAnsi="Arial" w:cs="Arial"/>
          <w:sz w:val="24"/>
          <w:szCs w:val="24"/>
          <w:lang w:val="es-MX"/>
        </w:rPr>
        <w:t xml:space="preserve"> Como al proceso allegó el apoderado de la señora</w:t>
      </w:r>
      <w:r w:rsidRPr="001E05F5">
        <w:rPr>
          <w:rFonts w:ascii="Arial" w:eastAsia="Times New Roman" w:hAnsi="Arial" w:cs="Arial"/>
          <w:b/>
          <w:sz w:val="24"/>
          <w:szCs w:val="24"/>
          <w:lang w:val="es-MX"/>
        </w:rPr>
        <w:t xml:space="preserve"> SOR MARÍA MONSALVE VALENCIA</w:t>
      </w:r>
      <w:r w:rsidRPr="001E05F5">
        <w:rPr>
          <w:rFonts w:ascii="Arial" w:eastAsia="Times New Roman" w:hAnsi="Arial" w:cs="Arial"/>
          <w:sz w:val="24"/>
          <w:szCs w:val="24"/>
          <w:lang w:val="es-MX"/>
        </w:rPr>
        <w:t xml:space="preserve">, el 14 de diciembre de 2011, una copia de la diligencia de secuestro del inmueble perseguido en usucapión, efectuada en las mismas calendas por la Inspección Quinta Municipal de Policía del Municipio de Bello, por comisión conferida por el Juzgado Segundo de Familia de Bello, dentro del trámite del proceso de sucesión de </w:t>
      </w:r>
      <w:r w:rsidRPr="001E05F5">
        <w:rPr>
          <w:rFonts w:ascii="Arial" w:eastAsia="Times New Roman" w:hAnsi="Arial" w:cs="Arial"/>
          <w:b/>
          <w:sz w:val="24"/>
          <w:szCs w:val="24"/>
          <w:lang w:val="es-MX"/>
        </w:rPr>
        <w:t>ETELVINA VALENCIA DE MONSALVE</w:t>
      </w:r>
      <w:r w:rsidRPr="001E05F5">
        <w:rPr>
          <w:rFonts w:ascii="Arial" w:eastAsia="Times New Roman" w:hAnsi="Arial" w:cs="Arial"/>
          <w:sz w:val="24"/>
          <w:szCs w:val="24"/>
          <w:lang w:val="es-MX"/>
        </w:rPr>
        <w:t xml:space="preserve"> (folios 151 y 152 c. </w:t>
      </w:r>
      <w:proofErr w:type="spellStart"/>
      <w:r w:rsidRPr="001E05F5">
        <w:rPr>
          <w:rFonts w:ascii="Arial" w:eastAsia="Times New Roman" w:hAnsi="Arial" w:cs="Arial"/>
          <w:sz w:val="24"/>
          <w:szCs w:val="24"/>
          <w:lang w:val="es-MX"/>
        </w:rPr>
        <w:t>ppl</w:t>
      </w:r>
      <w:proofErr w:type="spellEnd"/>
      <w:r w:rsidRPr="001E05F5">
        <w:rPr>
          <w:rFonts w:ascii="Arial" w:eastAsia="Times New Roman" w:hAnsi="Arial" w:cs="Arial"/>
          <w:sz w:val="24"/>
          <w:szCs w:val="24"/>
          <w:lang w:val="es-MX"/>
        </w:rPr>
        <w:t xml:space="preserve">.), sin oposición del actor </w:t>
      </w:r>
      <w:r w:rsidRPr="001E05F5">
        <w:rPr>
          <w:rFonts w:ascii="Arial" w:eastAsia="Times New Roman" w:hAnsi="Arial" w:cs="Arial"/>
          <w:b/>
          <w:sz w:val="24"/>
          <w:szCs w:val="24"/>
          <w:lang w:val="es-MX"/>
        </w:rPr>
        <w:t xml:space="preserve">PEDRO </w:t>
      </w:r>
      <w:proofErr w:type="spellStart"/>
      <w:r w:rsidRPr="001E05F5">
        <w:rPr>
          <w:rFonts w:ascii="Arial" w:eastAsia="Times New Roman" w:hAnsi="Arial" w:cs="Arial"/>
          <w:b/>
          <w:sz w:val="24"/>
          <w:szCs w:val="24"/>
          <w:lang w:val="es-MX"/>
        </w:rPr>
        <w:t>NEL</w:t>
      </w:r>
      <w:proofErr w:type="spellEnd"/>
      <w:r w:rsidRPr="001E05F5">
        <w:rPr>
          <w:rFonts w:ascii="Arial" w:eastAsia="Times New Roman" w:hAnsi="Arial" w:cs="Arial"/>
          <w:sz w:val="24"/>
          <w:szCs w:val="24"/>
          <w:lang w:val="es-MX"/>
        </w:rPr>
        <w:t xml:space="preserve">, dedujo el a quo que el demandante no es poseedor, sino simple tenedor del inmueble, y por lo tanto carece de legitimación en la causa (artículos 2518 del CC y ordinal 1º del 407 del CPC). </w:t>
      </w:r>
      <w:r w:rsidR="0064560C" w:rsidRPr="001E05F5">
        <w:rPr>
          <w:rFonts w:ascii="Arial" w:eastAsia="Times New Roman" w:hAnsi="Arial" w:cs="Arial"/>
          <w:sz w:val="24"/>
          <w:szCs w:val="24"/>
          <w:lang w:val="es-MX"/>
        </w:rPr>
        <w:t xml:space="preserve">Igualmente, expresó que el demandante confesó que vivió con su señora madre hasta la fecha de su muerte, porque ella era propietaria del bien, que luego de ella muerta siguió él viviendo allí, lo que permite a todas luces concluir que era mero tenedor antes y luego de la </w:t>
      </w:r>
      <w:r w:rsidR="0064560C" w:rsidRPr="001E05F5">
        <w:rPr>
          <w:rFonts w:ascii="Arial" w:eastAsia="Times New Roman" w:hAnsi="Arial" w:cs="Arial"/>
          <w:sz w:val="24"/>
          <w:szCs w:val="24"/>
          <w:lang w:val="es-MX"/>
        </w:rPr>
        <w:lastRenderedPageBreak/>
        <w:t xml:space="preserve">muerte de la señor </w:t>
      </w:r>
      <w:r w:rsidR="0064560C" w:rsidRPr="001E05F5">
        <w:rPr>
          <w:rFonts w:ascii="Arial" w:eastAsia="Times New Roman" w:hAnsi="Arial" w:cs="Arial"/>
          <w:b/>
          <w:sz w:val="24"/>
          <w:szCs w:val="24"/>
          <w:lang w:val="es-MX"/>
        </w:rPr>
        <w:t>ETELVINA</w:t>
      </w:r>
      <w:r w:rsidR="0064560C" w:rsidRPr="001E05F5">
        <w:rPr>
          <w:rFonts w:ascii="Arial" w:eastAsia="Times New Roman" w:hAnsi="Arial" w:cs="Arial"/>
          <w:sz w:val="24"/>
          <w:szCs w:val="24"/>
          <w:lang w:val="es-MX"/>
        </w:rPr>
        <w:t xml:space="preserve">. Además no acreditó la </w:t>
      </w:r>
      <w:proofErr w:type="spellStart"/>
      <w:r w:rsidR="0064560C" w:rsidRPr="001E05F5">
        <w:rPr>
          <w:rFonts w:ascii="Arial" w:eastAsia="Times New Roman" w:hAnsi="Arial" w:cs="Arial"/>
          <w:sz w:val="24"/>
          <w:szCs w:val="24"/>
          <w:lang w:val="es-MX"/>
        </w:rPr>
        <w:t>interversión</w:t>
      </w:r>
      <w:proofErr w:type="spellEnd"/>
      <w:r w:rsidR="0064560C" w:rsidRPr="001E05F5">
        <w:rPr>
          <w:rFonts w:ascii="Arial" w:eastAsia="Times New Roman" w:hAnsi="Arial" w:cs="Arial"/>
          <w:sz w:val="24"/>
          <w:szCs w:val="24"/>
          <w:lang w:val="es-MX"/>
        </w:rPr>
        <w:t xml:space="preserve"> del título (art. 4 art. 754 del C.C.)</w:t>
      </w:r>
    </w:p>
    <w:p w:rsidR="0064560C" w:rsidRPr="001E05F5" w:rsidRDefault="0064560C" w:rsidP="001E05F5">
      <w:pPr>
        <w:pStyle w:val="Sinespaciado1"/>
        <w:spacing w:line="276" w:lineRule="auto"/>
        <w:ind w:firstLine="2835"/>
        <w:jc w:val="both"/>
        <w:rPr>
          <w:rFonts w:ascii="Arial" w:eastAsia="Times New Roman" w:hAnsi="Arial" w:cs="Arial"/>
          <w:sz w:val="24"/>
          <w:szCs w:val="24"/>
          <w:lang w:val="es-MX"/>
        </w:rPr>
      </w:pP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r w:rsidRPr="001E05F5">
        <w:rPr>
          <w:rFonts w:ascii="Arial" w:eastAsia="Times New Roman" w:hAnsi="Arial" w:cs="Arial"/>
          <w:sz w:val="24"/>
          <w:szCs w:val="24"/>
          <w:lang w:val="es-MX"/>
        </w:rPr>
        <w:t>Mencionó que el despacho se abstiene de analizar los requisitos sustanciales exigidos para adquirir por este modo el derecho real de dominio, porque uno de los presupuestos de la acción es la legitimación en la causa y ante su ausencia se podrá proferir sentencia pero la misma no hará tránsito a cosa juzgada material.</w:t>
      </w: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p>
    <w:p w:rsidR="001E58FC" w:rsidRPr="001E05F5" w:rsidRDefault="001E58FC" w:rsidP="001E05F5">
      <w:pPr>
        <w:pStyle w:val="Sinespaciado1"/>
        <w:spacing w:line="276" w:lineRule="auto"/>
        <w:ind w:firstLine="2835"/>
        <w:jc w:val="both"/>
        <w:rPr>
          <w:rFonts w:ascii="Arial" w:eastAsia="Times New Roman" w:hAnsi="Arial" w:cs="Arial"/>
          <w:b/>
          <w:sz w:val="24"/>
          <w:szCs w:val="24"/>
          <w:lang w:val="es-MX"/>
        </w:rPr>
      </w:pPr>
      <w:r w:rsidRPr="001E05F5">
        <w:rPr>
          <w:rFonts w:ascii="Arial" w:eastAsia="Times New Roman" w:hAnsi="Arial" w:cs="Arial"/>
          <w:b/>
          <w:sz w:val="24"/>
          <w:szCs w:val="24"/>
          <w:lang w:val="es-MX"/>
        </w:rPr>
        <w:t>IV.  EL RECURSO DE APELACIÓN</w:t>
      </w: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r w:rsidRPr="001E05F5">
        <w:rPr>
          <w:rFonts w:ascii="Arial" w:eastAsia="Times New Roman" w:hAnsi="Arial" w:cs="Arial"/>
          <w:b/>
          <w:sz w:val="24"/>
          <w:szCs w:val="24"/>
          <w:lang w:val="es-MX"/>
        </w:rPr>
        <w:t>1.</w:t>
      </w:r>
      <w:r w:rsidRPr="001E05F5">
        <w:rPr>
          <w:rFonts w:ascii="Arial" w:eastAsia="Times New Roman" w:hAnsi="Arial" w:cs="Arial"/>
          <w:sz w:val="24"/>
          <w:szCs w:val="24"/>
          <w:lang w:val="es-MX"/>
        </w:rPr>
        <w:t xml:space="preserve"> El gestor judicial del actor apeló el fallo. Su desacuerdo se fundamenta en que: (i) dicho documento fue aportado de forma extemporánea y tampoco esta prueba fue decretada de oficio, por tanto, no puede ser tomada en cuenta en la decisión, porque de hacerlo, estaría incurriendo en ilicitud y violando el artículo 174 del CPC. Agrega que en ningún momento procesal el señor </w:t>
      </w:r>
      <w:r w:rsidRPr="001E05F5">
        <w:rPr>
          <w:rFonts w:ascii="Arial" w:eastAsia="Times New Roman" w:hAnsi="Arial" w:cs="Arial"/>
          <w:b/>
          <w:sz w:val="24"/>
          <w:szCs w:val="24"/>
          <w:lang w:val="es-MX"/>
        </w:rPr>
        <w:t xml:space="preserve">PEDRO </w:t>
      </w:r>
      <w:proofErr w:type="spellStart"/>
      <w:r w:rsidRPr="001E05F5">
        <w:rPr>
          <w:rFonts w:ascii="Arial" w:eastAsia="Times New Roman" w:hAnsi="Arial" w:cs="Arial"/>
          <w:b/>
          <w:sz w:val="24"/>
          <w:szCs w:val="24"/>
          <w:lang w:val="es-MX"/>
        </w:rPr>
        <w:t>NEL</w:t>
      </w:r>
      <w:proofErr w:type="spellEnd"/>
      <w:r w:rsidRPr="001E05F5">
        <w:rPr>
          <w:rFonts w:ascii="Arial" w:eastAsia="Times New Roman" w:hAnsi="Arial" w:cs="Arial"/>
          <w:sz w:val="24"/>
          <w:szCs w:val="24"/>
          <w:lang w:val="es-MX"/>
        </w:rPr>
        <w:t xml:space="preserve"> dijo que tenía una posesión anterior a 1995, fecha de fallecimiento de su progenitora, lo fue desde aquel suceso por más de siete años, por ello presentó la demanda en 2002. La demanda de sucesión por los aquí demandados se hace el 22 de mayo del 2002 y para ese entonces el actor ya tenía el requisito para usucapir. Y (ii) no comparte que se condene en costas al demandante, toda vez que no fue vencido en juicio (art. 189-1 CPC).</w:t>
      </w: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r w:rsidRPr="001E05F5">
        <w:rPr>
          <w:rFonts w:ascii="Arial" w:eastAsia="Times New Roman" w:hAnsi="Arial" w:cs="Arial"/>
          <w:b/>
          <w:sz w:val="24"/>
          <w:szCs w:val="24"/>
          <w:lang w:val="es-MX"/>
        </w:rPr>
        <w:t>2.</w:t>
      </w:r>
      <w:r w:rsidRPr="001E05F5">
        <w:rPr>
          <w:rFonts w:ascii="Arial" w:eastAsia="Times New Roman" w:hAnsi="Arial" w:cs="Arial"/>
          <w:sz w:val="24"/>
          <w:szCs w:val="24"/>
          <w:lang w:val="es-MX"/>
        </w:rPr>
        <w:t xml:space="preserve"> La contraparte se pronunció para que en esta instancia se confirme el fallo apelado.</w:t>
      </w: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p>
    <w:p w:rsidR="001E58FC" w:rsidRPr="001E05F5" w:rsidRDefault="001E58FC" w:rsidP="001E05F5">
      <w:pPr>
        <w:pStyle w:val="Sinespaciado1"/>
        <w:spacing w:line="276" w:lineRule="auto"/>
        <w:ind w:firstLine="2835"/>
        <w:jc w:val="both"/>
        <w:rPr>
          <w:rFonts w:ascii="Arial" w:eastAsia="Times New Roman" w:hAnsi="Arial" w:cs="Arial"/>
          <w:b/>
          <w:sz w:val="24"/>
          <w:szCs w:val="24"/>
          <w:lang w:val="es-MX"/>
        </w:rPr>
      </w:pPr>
      <w:r w:rsidRPr="001E05F5">
        <w:rPr>
          <w:rFonts w:ascii="Arial" w:eastAsia="Times New Roman" w:hAnsi="Arial" w:cs="Arial"/>
          <w:b/>
          <w:sz w:val="24"/>
          <w:szCs w:val="24"/>
          <w:lang w:val="es-MX"/>
        </w:rPr>
        <w:t>V. CONSIDERACIONES</w:t>
      </w:r>
    </w:p>
    <w:p w:rsidR="001E58FC" w:rsidRPr="001E05F5" w:rsidRDefault="001E58FC" w:rsidP="001E05F5">
      <w:pPr>
        <w:pStyle w:val="Sinespaciado1"/>
        <w:spacing w:line="276" w:lineRule="auto"/>
        <w:ind w:firstLine="2835"/>
        <w:jc w:val="both"/>
        <w:rPr>
          <w:rFonts w:ascii="Arial" w:eastAsia="Times New Roman" w:hAnsi="Arial" w:cs="Arial"/>
          <w:b/>
          <w:sz w:val="24"/>
          <w:szCs w:val="24"/>
          <w:lang w:val="es-MX"/>
        </w:rPr>
      </w:pP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r w:rsidRPr="001E05F5">
        <w:rPr>
          <w:rFonts w:ascii="Arial" w:eastAsia="Times New Roman" w:hAnsi="Arial" w:cs="Arial"/>
          <w:b/>
          <w:sz w:val="24"/>
          <w:szCs w:val="24"/>
          <w:lang w:val="es-MX"/>
        </w:rPr>
        <w:t>1.</w:t>
      </w:r>
      <w:r w:rsidRPr="001E05F5">
        <w:rPr>
          <w:rFonts w:ascii="Arial" w:eastAsia="Times New Roman" w:hAnsi="Arial" w:cs="Arial"/>
          <w:sz w:val="24"/>
          <w:szCs w:val="24"/>
          <w:lang w:val="es-MX"/>
        </w:rPr>
        <w:t xml:space="preserve"> Inicialmente ha de decirse que al presente trámite se aplicarán, en materia procesal, las normas del Código de Procedimiento Civil, de acuerdo con el numeral 1º, literal c) del artículo 625 del Código General del Proceso, pues aún no ha hecho tránsito legislativo.</w:t>
      </w: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r w:rsidRPr="001E05F5">
        <w:rPr>
          <w:rFonts w:ascii="Arial" w:eastAsia="Times New Roman" w:hAnsi="Arial" w:cs="Arial"/>
          <w:b/>
          <w:sz w:val="24"/>
          <w:szCs w:val="24"/>
          <w:lang w:val="es-MX"/>
        </w:rPr>
        <w:t>2.</w:t>
      </w:r>
      <w:r w:rsidRPr="001E05F5">
        <w:rPr>
          <w:rFonts w:ascii="Arial" w:eastAsia="Times New Roman" w:hAnsi="Arial" w:cs="Arial"/>
          <w:sz w:val="24"/>
          <w:szCs w:val="24"/>
          <w:lang w:val="es-MX"/>
        </w:rPr>
        <w:t xml:space="preserve"> La competencia de esta Colegiatura, como ya se dijo, fue atribuida por el Consejo Superior de la Judicatura mediante el </w:t>
      </w:r>
      <w:r w:rsidRPr="001E05F5">
        <w:rPr>
          <w:rFonts w:ascii="Arial" w:eastAsia="Times New Roman" w:hAnsi="Arial" w:cs="Arial"/>
          <w:b/>
          <w:sz w:val="24"/>
          <w:szCs w:val="24"/>
          <w:lang w:val="es-MX"/>
        </w:rPr>
        <w:t>Acuerdo</w:t>
      </w:r>
      <w:r w:rsidRPr="001E05F5">
        <w:rPr>
          <w:rFonts w:ascii="Arial" w:eastAsia="Times New Roman" w:hAnsi="Arial" w:cs="Arial"/>
          <w:sz w:val="24"/>
          <w:szCs w:val="24"/>
          <w:lang w:val="es-MX"/>
        </w:rPr>
        <w:t xml:space="preserve"> </w:t>
      </w:r>
      <w:r w:rsidRPr="001E05F5">
        <w:rPr>
          <w:rFonts w:ascii="Arial" w:eastAsia="Times New Roman" w:hAnsi="Arial" w:cs="Arial"/>
          <w:b/>
          <w:sz w:val="24"/>
          <w:szCs w:val="24"/>
          <w:lang w:val="es-MX"/>
        </w:rPr>
        <w:t>PCSJA19-11327</w:t>
      </w:r>
      <w:r w:rsidRPr="001E05F5">
        <w:rPr>
          <w:rFonts w:ascii="Arial" w:eastAsia="Times New Roman" w:hAnsi="Arial" w:cs="Arial"/>
          <w:sz w:val="24"/>
          <w:szCs w:val="24"/>
          <w:lang w:val="es-MX"/>
        </w:rPr>
        <w:t>, lo que habilita para desatar la alzada.</w:t>
      </w: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r w:rsidRPr="001E05F5">
        <w:rPr>
          <w:rFonts w:ascii="Arial" w:eastAsia="Times New Roman" w:hAnsi="Arial" w:cs="Arial"/>
          <w:b/>
          <w:sz w:val="24"/>
          <w:szCs w:val="24"/>
          <w:lang w:val="es-MX"/>
        </w:rPr>
        <w:t>3.</w:t>
      </w:r>
      <w:r w:rsidRPr="001E05F5">
        <w:rPr>
          <w:rFonts w:ascii="Arial" w:eastAsia="Times New Roman" w:hAnsi="Arial" w:cs="Arial"/>
          <w:sz w:val="24"/>
          <w:szCs w:val="24"/>
          <w:lang w:val="es-MX"/>
        </w:rPr>
        <w:t xml:space="preserve"> Están reunidos los presupuestos procesales y no hay motivo de nulidad que imponga invalidar lo actuado.</w:t>
      </w:r>
    </w:p>
    <w:p w:rsidR="001E58FC" w:rsidRPr="001E05F5" w:rsidRDefault="001E58FC" w:rsidP="001E05F5">
      <w:pPr>
        <w:pStyle w:val="Sinespaciado1"/>
        <w:spacing w:line="276" w:lineRule="auto"/>
        <w:ind w:firstLine="2835"/>
        <w:jc w:val="both"/>
        <w:rPr>
          <w:rFonts w:ascii="Arial" w:eastAsia="Times New Roman" w:hAnsi="Arial" w:cs="Arial"/>
          <w:sz w:val="24"/>
          <w:szCs w:val="24"/>
          <w:lang w:val="es-MX"/>
        </w:rPr>
      </w:pPr>
    </w:p>
    <w:p w:rsidR="001E58FC" w:rsidRPr="001E05F5" w:rsidRDefault="001E58FC" w:rsidP="001E05F5">
      <w:pPr>
        <w:pStyle w:val="Sinespaciado1"/>
        <w:spacing w:line="276" w:lineRule="auto"/>
        <w:ind w:firstLine="2835"/>
        <w:jc w:val="both"/>
        <w:rPr>
          <w:rFonts w:ascii="Arial" w:hAnsi="Arial" w:cs="Arial"/>
          <w:sz w:val="24"/>
          <w:szCs w:val="24"/>
        </w:rPr>
      </w:pPr>
      <w:r w:rsidRPr="001E05F5">
        <w:rPr>
          <w:rFonts w:ascii="Arial" w:eastAsia="Times New Roman" w:hAnsi="Arial" w:cs="Arial"/>
          <w:b/>
          <w:sz w:val="24"/>
          <w:szCs w:val="24"/>
          <w:lang w:val="es-MX"/>
        </w:rPr>
        <w:t>4.</w:t>
      </w:r>
      <w:r w:rsidRPr="001E05F5">
        <w:rPr>
          <w:rFonts w:ascii="Arial" w:eastAsia="Times New Roman" w:hAnsi="Arial" w:cs="Arial"/>
          <w:sz w:val="24"/>
          <w:szCs w:val="24"/>
          <w:lang w:val="es-MX"/>
        </w:rPr>
        <w:t xml:space="preserve"> </w:t>
      </w:r>
      <w:r w:rsidRPr="001E05F5">
        <w:rPr>
          <w:rFonts w:ascii="Arial" w:hAnsi="Arial" w:cs="Arial"/>
          <w:sz w:val="24"/>
          <w:szCs w:val="24"/>
        </w:rPr>
        <w:t>En cuanto a la legitimación en la causa, decantado se presenta hoy este concepto, y se sabe que no se trata de un presupuesto procesal, sino material de la pretensión, cuya verificación procede aun de oficio.</w:t>
      </w:r>
    </w:p>
    <w:p w:rsidR="001E58FC" w:rsidRPr="001E05F5" w:rsidRDefault="001E58FC" w:rsidP="001E05F5">
      <w:pPr>
        <w:pStyle w:val="Sinespaciado1"/>
        <w:spacing w:line="276" w:lineRule="auto"/>
        <w:ind w:firstLine="2835"/>
        <w:jc w:val="both"/>
        <w:rPr>
          <w:rFonts w:ascii="Arial" w:hAnsi="Arial" w:cs="Arial"/>
          <w:sz w:val="24"/>
          <w:szCs w:val="24"/>
        </w:rPr>
      </w:pPr>
    </w:p>
    <w:p w:rsidR="001E58FC" w:rsidRPr="001E05F5" w:rsidRDefault="001E58FC" w:rsidP="001E05F5">
      <w:pPr>
        <w:pStyle w:val="Sinespaciado1"/>
        <w:spacing w:line="276" w:lineRule="auto"/>
        <w:ind w:firstLine="2835"/>
        <w:jc w:val="both"/>
        <w:rPr>
          <w:rFonts w:ascii="Arial" w:hAnsi="Arial" w:cs="Arial"/>
          <w:sz w:val="24"/>
          <w:szCs w:val="24"/>
        </w:rPr>
      </w:pPr>
      <w:r w:rsidRPr="001E05F5">
        <w:rPr>
          <w:rFonts w:ascii="Arial" w:hAnsi="Arial" w:cs="Arial"/>
          <w:b/>
          <w:sz w:val="24"/>
          <w:szCs w:val="24"/>
        </w:rPr>
        <w:t>4.1.</w:t>
      </w:r>
      <w:r w:rsidRPr="001E05F5">
        <w:rPr>
          <w:rFonts w:ascii="Arial" w:hAnsi="Arial" w:cs="Arial"/>
          <w:sz w:val="24"/>
          <w:szCs w:val="24"/>
        </w:rPr>
        <w:t xml:space="preserve"> En tal sentido, la Corte Suprema de Justicia ha sostenido que, no genera discusión alguna la calificación que se ha dado a la </w:t>
      </w:r>
      <w:r w:rsidRPr="001E05F5">
        <w:rPr>
          <w:rFonts w:ascii="Arial" w:hAnsi="Arial" w:cs="Arial"/>
          <w:i/>
          <w:sz w:val="24"/>
          <w:szCs w:val="24"/>
        </w:rPr>
        <w:t>«legitimación en la causa»</w:t>
      </w:r>
      <w:r w:rsidRPr="001E05F5">
        <w:rPr>
          <w:rFonts w:ascii="Arial" w:hAnsi="Arial" w:cs="Arial"/>
          <w:sz w:val="24"/>
          <w:szCs w:val="24"/>
        </w:rPr>
        <w:t xml:space="preserve"> como uno de los presupuestos indispensables para la </w:t>
      </w:r>
      <w:r w:rsidRPr="001E05F5">
        <w:rPr>
          <w:rFonts w:ascii="Arial" w:hAnsi="Arial" w:cs="Arial"/>
          <w:sz w:val="24"/>
          <w:szCs w:val="24"/>
        </w:rPr>
        <w:lastRenderedPageBreak/>
        <w:t xml:space="preserve">procedencia de la pretensión, es decir, como condición de la acción judicial, de ahí que se le haya considerado como cuestión propia del derecho sustancial y no del procesal, pues alude a la materia debatida en el litigio y no a los requisitos indispensables para la integración y desarrollo válido de éste. De manera que, en virtud de tal atributo solamente </w:t>
      </w:r>
      <w:r w:rsidRPr="001E05F5">
        <w:rPr>
          <w:rFonts w:ascii="Arial" w:hAnsi="Arial" w:cs="Arial"/>
          <w:i/>
          <w:sz w:val="24"/>
          <w:szCs w:val="24"/>
        </w:rPr>
        <w:t>«</w:t>
      </w:r>
      <w:r w:rsidRPr="00813686">
        <w:rPr>
          <w:rFonts w:ascii="Arial" w:hAnsi="Arial" w:cs="Arial"/>
          <w:i/>
          <w:szCs w:val="24"/>
        </w:rPr>
        <w:t>el titular de derechos o quien puede llegar a serlo, está facultado para ponerla en funcionamiento, frente al obligado a respetarlos o mantenerlos indemnes», de tal modo que si alguna de las partes carece de esa condición «se presentaría una restricción para actuar o comparecer, sin que se trate de un aspecto procesal susceptible de subsanación, sino que, por su trascendencia, tiene una connotación sustancial que impide abordar el fondo de la contienda</w:t>
      </w:r>
      <w:r w:rsidRPr="001E05F5">
        <w:rPr>
          <w:rFonts w:ascii="Arial" w:hAnsi="Arial" w:cs="Arial"/>
          <w:i/>
          <w:sz w:val="24"/>
          <w:szCs w:val="24"/>
        </w:rPr>
        <w:t>»</w:t>
      </w:r>
      <w:r w:rsidRPr="001E05F5">
        <w:rPr>
          <w:rFonts w:ascii="Arial" w:hAnsi="Arial" w:cs="Arial"/>
          <w:sz w:val="24"/>
          <w:szCs w:val="24"/>
        </w:rPr>
        <w:t>.</w:t>
      </w:r>
    </w:p>
    <w:p w:rsidR="00905C11" w:rsidRPr="001E05F5" w:rsidRDefault="00905C11" w:rsidP="001E05F5">
      <w:pPr>
        <w:pStyle w:val="Sinespaciado1"/>
        <w:spacing w:line="276" w:lineRule="auto"/>
        <w:ind w:firstLine="2835"/>
        <w:jc w:val="both"/>
        <w:rPr>
          <w:rFonts w:ascii="Arial" w:hAnsi="Arial" w:cs="Arial"/>
          <w:sz w:val="24"/>
          <w:szCs w:val="24"/>
        </w:rPr>
      </w:pPr>
    </w:p>
    <w:p w:rsidR="001E58FC" w:rsidRPr="001E05F5" w:rsidRDefault="001E58FC" w:rsidP="001E05F5">
      <w:pPr>
        <w:pStyle w:val="Sinespaciado1"/>
        <w:spacing w:line="276" w:lineRule="auto"/>
        <w:ind w:firstLine="2835"/>
        <w:jc w:val="both"/>
        <w:rPr>
          <w:rFonts w:ascii="Arial" w:hAnsi="Arial" w:cs="Arial"/>
          <w:sz w:val="24"/>
          <w:szCs w:val="24"/>
        </w:rPr>
      </w:pPr>
      <w:r w:rsidRPr="001E05F5">
        <w:rPr>
          <w:rFonts w:ascii="Arial" w:hAnsi="Arial" w:cs="Arial"/>
          <w:sz w:val="24"/>
          <w:szCs w:val="24"/>
        </w:rPr>
        <w:t xml:space="preserve">Acoger la pretensión en la sentencia, expresa el alto tribunal, depende de, entre otros requisitos, que </w:t>
      </w:r>
      <w:r w:rsidRPr="001E05F5">
        <w:rPr>
          <w:rFonts w:ascii="Arial" w:hAnsi="Arial" w:cs="Arial"/>
          <w:i/>
          <w:sz w:val="24"/>
          <w:szCs w:val="24"/>
        </w:rPr>
        <w:t>«</w:t>
      </w:r>
      <w:r w:rsidRPr="00813686">
        <w:rPr>
          <w:rFonts w:ascii="Arial" w:hAnsi="Arial" w:cs="Arial"/>
          <w:i/>
          <w:szCs w:val="24"/>
        </w:rPr>
        <w:t>se haga valer por la persona en cuyo favor establece la ley sustancial el derecho que se reclama en la demanda, y frente a la persona respecto de la cual ese derecho puede ser reclamado (...). Si el demandante no es titular del derecho que reclama o el demandado no es persona obligada, el fallo ha de ser adverso a la pretensión de aquél, como acontece cuando reivindica quien no es el dueño o cuando éste demanda a quien no es poseedor</w:t>
      </w:r>
      <w:r w:rsidRPr="001E05F5">
        <w:rPr>
          <w:rFonts w:ascii="Arial" w:hAnsi="Arial" w:cs="Arial"/>
          <w:i/>
          <w:sz w:val="24"/>
          <w:szCs w:val="24"/>
        </w:rPr>
        <w:t>»</w:t>
      </w:r>
      <w:r w:rsidRPr="001E05F5">
        <w:rPr>
          <w:rFonts w:ascii="Arial" w:hAnsi="Arial" w:cs="Arial"/>
          <w:sz w:val="24"/>
          <w:szCs w:val="24"/>
        </w:rPr>
        <w:t xml:space="preserve"> </w:t>
      </w:r>
    </w:p>
    <w:p w:rsidR="001E58FC" w:rsidRPr="001E05F5" w:rsidRDefault="001E58FC" w:rsidP="001E05F5">
      <w:pPr>
        <w:pStyle w:val="Sinespaciado1"/>
        <w:spacing w:line="276" w:lineRule="auto"/>
        <w:ind w:firstLine="2835"/>
        <w:jc w:val="both"/>
        <w:rPr>
          <w:rFonts w:ascii="Arial" w:hAnsi="Arial" w:cs="Arial"/>
          <w:sz w:val="24"/>
          <w:szCs w:val="24"/>
        </w:rPr>
      </w:pPr>
    </w:p>
    <w:p w:rsidR="001E58FC" w:rsidRPr="001E05F5" w:rsidRDefault="001E58FC" w:rsidP="001E05F5">
      <w:pPr>
        <w:pStyle w:val="Sinespaciado1"/>
        <w:spacing w:line="276" w:lineRule="auto"/>
        <w:ind w:firstLine="2835"/>
        <w:jc w:val="both"/>
        <w:rPr>
          <w:rFonts w:ascii="Arial" w:hAnsi="Arial" w:cs="Arial"/>
          <w:sz w:val="24"/>
          <w:szCs w:val="24"/>
        </w:rPr>
      </w:pPr>
      <w:r w:rsidRPr="001E05F5">
        <w:rPr>
          <w:rFonts w:ascii="Arial" w:hAnsi="Arial" w:cs="Arial"/>
          <w:sz w:val="24"/>
          <w:szCs w:val="24"/>
        </w:rPr>
        <w:t>Además agrega, “</w:t>
      </w:r>
      <w:r w:rsidRPr="00813686">
        <w:rPr>
          <w:rFonts w:ascii="Arial" w:hAnsi="Arial" w:cs="Arial"/>
          <w:i/>
          <w:szCs w:val="24"/>
        </w:rPr>
        <w:t xml:space="preserve">El ordenamiento adjetivo autoriza invocar la falta de ese presupuesto sustancial, al tenor del artículo 6º de la Ley 1395 de 2010, como “excepción previa”, aunque también es admisible plantearla como mecanismo de defensa en la contestación de la demanda, </w:t>
      </w:r>
      <w:r w:rsidRPr="00813686">
        <w:rPr>
          <w:rFonts w:ascii="Arial" w:hAnsi="Arial" w:cs="Arial"/>
          <w:i/>
          <w:szCs w:val="24"/>
          <w:u w:val="single"/>
        </w:rPr>
        <w:t>y en todo caso, es deber del juez asumir su examen de manera oficiosa en la sentencia</w:t>
      </w:r>
      <w:r w:rsidRPr="001E05F5">
        <w:rPr>
          <w:rFonts w:ascii="Arial" w:hAnsi="Arial" w:cs="Arial"/>
          <w:i/>
          <w:sz w:val="24"/>
          <w:szCs w:val="24"/>
        </w:rPr>
        <w:t xml:space="preserve">.” </w:t>
      </w:r>
      <w:r w:rsidRPr="001E05F5">
        <w:rPr>
          <w:rFonts w:ascii="Arial" w:hAnsi="Arial" w:cs="Arial"/>
          <w:sz w:val="24"/>
          <w:szCs w:val="24"/>
        </w:rPr>
        <w:t xml:space="preserve">(Subrayas propias de la Sala)  </w:t>
      </w:r>
      <w:r w:rsidRPr="001E05F5">
        <w:rPr>
          <w:rFonts w:ascii="Arial" w:hAnsi="Arial" w:cs="Arial"/>
          <w:b/>
          <w:sz w:val="24"/>
          <w:szCs w:val="24"/>
        </w:rPr>
        <w:t xml:space="preserve">(CSJ Sentencia SC1182-2016, </w:t>
      </w:r>
      <w:proofErr w:type="spellStart"/>
      <w:r w:rsidRPr="001E05F5">
        <w:rPr>
          <w:rFonts w:ascii="Arial" w:hAnsi="Arial" w:cs="Arial"/>
          <w:b/>
          <w:sz w:val="24"/>
          <w:szCs w:val="24"/>
        </w:rPr>
        <w:t>MP</w:t>
      </w:r>
      <w:proofErr w:type="spellEnd"/>
      <w:r w:rsidRPr="001E05F5">
        <w:rPr>
          <w:rFonts w:ascii="Arial" w:hAnsi="Arial" w:cs="Arial"/>
          <w:b/>
          <w:sz w:val="24"/>
          <w:szCs w:val="24"/>
        </w:rPr>
        <w:t>. Ariel Salazar Ramírez)</w:t>
      </w:r>
      <w:r w:rsidRPr="001E05F5">
        <w:rPr>
          <w:rFonts w:ascii="Arial" w:hAnsi="Arial" w:cs="Arial"/>
          <w:sz w:val="24"/>
          <w:szCs w:val="24"/>
        </w:rPr>
        <w:t>.</w:t>
      </w:r>
    </w:p>
    <w:p w:rsidR="001E58FC" w:rsidRPr="001E05F5" w:rsidRDefault="001E58FC" w:rsidP="001E05F5">
      <w:pPr>
        <w:pStyle w:val="Sinespaciado1"/>
        <w:spacing w:line="276" w:lineRule="auto"/>
        <w:ind w:firstLine="2835"/>
        <w:jc w:val="both"/>
        <w:rPr>
          <w:rFonts w:ascii="Arial" w:hAnsi="Arial" w:cs="Arial"/>
          <w:sz w:val="24"/>
          <w:szCs w:val="24"/>
        </w:rPr>
      </w:pPr>
    </w:p>
    <w:p w:rsidR="001E58FC" w:rsidRPr="001E05F5" w:rsidRDefault="001E58FC" w:rsidP="001E05F5">
      <w:pPr>
        <w:pStyle w:val="Sinespaciado1"/>
        <w:spacing w:line="276" w:lineRule="auto"/>
        <w:ind w:firstLine="2835"/>
        <w:jc w:val="both"/>
        <w:rPr>
          <w:rFonts w:ascii="Arial" w:hAnsi="Arial" w:cs="Arial"/>
          <w:sz w:val="24"/>
          <w:szCs w:val="24"/>
        </w:rPr>
      </w:pPr>
      <w:r w:rsidRPr="001E05F5">
        <w:rPr>
          <w:rFonts w:ascii="Arial" w:hAnsi="Arial" w:cs="Arial"/>
          <w:b/>
          <w:sz w:val="24"/>
          <w:szCs w:val="24"/>
        </w:rPr>
        <w:t>4.2.</w:t>
      </w:r>
      <w:r w:rsidRPr="001E05F5">
        <w:rPr>
          <w:rFonts w:ascii="Arial" w:hAnsi="Arial" w:cs="Arial"/>
          <w:sz w:val="24"/>
          <w:szCs w:val="24"/>
        </w:rPr>
        <w:t xml:space="preserve"> Ahora, según claras previsiones legislativas están legitimados en la causa por activa todos aquéllos que pretendan haber adquirido el bien por el modo de la prescripción, sea ordinaria o extraordinaria. Así lo establece de manera diáfana la regla 1ª del artículo 407 del CPC, vigente para cuando se presentó la demanda.</w:t>
      </w:r>
    </w:p>
    <w:p w:rsidR="001E58FC" w:rsidRPr="001E05F5" w:rsidRDefault="001E58FC" w:rsidP="001E05F5">
      <w:pPr>
        <w:pStyle w:val="Sinespaciado1"/>
        <w:spacing w:line="276" w:lineRule="auto"/>
        <w:ind w:firstLine="2835"/>
        <w:jc w:val="both"/>
        <w:rPr>
          <w:rFonts w:ascii="Arial" w:hAnsi="Arial" w:cs="Arial"/>
          <w:sz w:val="24"/>
          <w:szCs w:val="24"/>
        </w:rPr>
      </w:pPr>
    </w:p>
    <w:p w:rsidR="001907DB" w:rsidRPr="001E05F5" w:rsidRDefault="001E58FC" w:rsidP="001E05F5">
      <w:pPr>
        <w:pStyle w:val="Sinespaciado1"/>
        <w:spacing w:line="276" w:lineRule="auto"/>
        <w:ind w:firstLine="2835"/>
        <w:jc w:val="both"/>
        <w:rPr>
          <w:rFonts w:ascii="Arial" w:eastAsia="Times New Roman" w:hAnsi="Arial" w:cs="Arial"/>
          <w:sz w:val="24"/>
          <w:szCs w:val="24"/>
          <w:lang w:val="es-MX"/>
        </w:rPr>
      </w:pPr>
      <w:r w:rsidRPr="001E05F5">
        <w:rPr>
          <w:rFonts w:ascii="Arial" w:hAnsi="Arial" w:cs="Arial"/>
          <w:b/>
          <w:sz w:val="24"/>
          <w:szCs w:val="24"/>
        </w:rPr>
        <w:t>4.3.</w:t>
      </w:r>
      <w:r w:rsidRPr="001E05F5">
        <w:rPr>
          <w:rFonts w:ascii="Arial" w:hAnsi="Arial" w:cs="Arial"/>
          <w:sz w:val="24"/>
          <w:szCs w:val="24"/>
        </w:rPr>
        <w:t xml:space="preserve"> Este presupuesto de la pretensión en el caso del actor, </w:t>
      </w:r>
      <w:r w:rsidR="001907DB" w:rsidRPr="001E05F5">
        <w:rPr>
          <w:rFonts w:ascii="Arial" w:hAnsi="Arial" w:cs="Arial"/>
          <w:sz w:val="24"/>
          <w:szCs w:val="24"/>
        </w:rPr>
        <w:t xml:space="preserve">dijo el a quo, no se cumplió, toda vez que </w:t>
      </w:r>
      <w:r w:rsidR="0064560C" w:rsidRPr="001E05F5">
        <w:rPr>
          <w:rFonts w:ascii="Arial" w:eastAsia="Times New Roman" w:hAnsi="Arial" w:cs="Arial"/>
          <w:sz w:val="24"/>
          <w:szCs w:val="24"/>
          <w:lang w:val="es-MX"/>
        </w:rPr>
        <w:t>es simple tenedor del inmueble perseguido en usucapi</w:t>
      </w:r>
      <w:r w:rsidR="00E97424" w:rsidRPr="001E05F5">
        <w:rPr>
          <w:rFonts w:ascii="Arial" w:eastAsia="Times New Roman" w:hAnsi="Arial" w:cs="Arial"/>
          <w:sz w:val="24"/>
          <w:szCs w:val="24"/>
          <w:lang w:val="es-MX"/>
        </w:rPr>
        <w:t xml:space="preserve">ón, de propiedad de su señora madre y además, no acreditó la </w:t>
      </w:r>
      <w:proofErr w:type="spellStart"/>
      <w:r w:rsidR="00E97424" w:rsidRPr="001E05F5">
        <w:rPr>
          <w:rFonts w:ascii="Arial" w:eastAsia="Times New Roman" w:hAnsi="Arial" w:cs="Arial"/>
          <w:sz w:val="24"/>
          <w:szCs w:val="24"/>
          <w:lang w:val="es-MX"/>
        </w:rPr>
        <w:t>interversión</w:t>
      </w:r>
      <w:proofErr w:type="spellEnd"/>
      <w:r w:rsidR="00E97424" w:rsidRPr="001E05F5">
        <w:rPr>
          <w:rFonts w:ascii="Arial" w:eastAsia="Times New Roman" w:hAnsi="Arial" w:cs="Arial"/>
          <w:sz w:val="24"/>
          <w:szCs w:val="24"/>
          <w:lang w:val="es-MX"/>
        </w:rPr>
        <w:t xml:space="preserve"> del título. No existe, dijo el funcionario judicial, legitimación por activa, porque el mero tenedor no puede adquirir por prescripción, posibilidad que está limitada al poseedor material (artículos 2518 del CC y ordinal 1º del 407 del CPC). Negó</w:t>
      </w:r>
      <w:r w:rsidR="001907DB" w:rsidRPr="001E05F5">
        <w:rPr>
          <w:rFonts w:ascii="Arial" w:eastAsia="Times New Roman" w:hAnsi="Arial" w:cs="Arial"/>
          <w:sz w:val="24"/>
          <w:szCs w:val="24"/>
          <w:lang w:val="es-MX"/>
        </w:rPr>
        <w:t>, en consecuencia, las pretensiones de la demanda.</w:t>
      </w:r>
    </w:p>
    <w:p w:rsidR="00581560" w:rsidRPr="001E05F5" w:rsidRDefault="00581560" w:rsidP="001E05F5">
      <w:pPr>
        <w:pStyle w:val="Sinespaciado1"/>
        <w:spacing w:line="276" w:lineRule="auto"/>
        <w:ind w:firstLine="2835"/>
        <w:jc w:val="both"/>
        <w:rPr>
          <w:rFonts w:ascii="Arial" w:eastAsia="Times New Roman" w:hAnsi="Arial" w:cs="Arial"/>
          <w:sz w:val="24"/>
          <w:szCs w:val="24"/>
          <w:lang w:val="es-MX"/>
        </w:rPr>
      </w:pPr>
    </w:p>
    <w:p w:rsidR="00581560" w:rsidRPr="001E05F5" w:rsidRDefault="00965B50" w:rsidP="001E05F5">
      <w:pPr>
        <w:pStyle w:val="Sinespaciado1"/>
        <w:spacing w:line="276" w:lineRule="auto"/>
        <w:ind w:firstLine="2835"/>
        <w:jc w:val="both"/>
        <w:rPr>
          <w:rFonts w:ascii="Arial" w:eastAsia="Times New Roman" w:hAnsi="Arial" w:cs="Arial"/>
          <w:sz w:val="24"/>
          <w:szCs w:val="24"/>
          <w:lang w:val="es-MX"/>
        </w:rPr>
      </w:pPr>
      <w:r w:rsidRPr="001E05F5">
        <w:rPr>
          <w:rFonts w:ascii="Arial" w:eastAsia="Times New Roman" w:hAnsi="Arial" w:cs="Arial"/>
          <w:b/>
          <w:sz w:val="24"/>
          <w:szCs w:val="24"/>
          <w:lang w:val="es-MX"/>
        </w:rPr>
        <w:t>5</w:t>
      </w:r>
      <w:r w:rsidR="00E97424" w:rsidRPr="001E05F5">
        <w:rPr>
          <w:rFonts w:ascii="Arial" w:eastAsia="Times New Roman" w:hAnsi="Arial" w:cs="Arial"/>
          <w:b/>
          <w:sz w:val="24"/>
          <w:szCs w:val="24"/>
          <w:lang w:val="es-MX"/>
        </w:rPr>
        <w:t>.</w:t>
      </w:r>
      <w:r w:rsidR="00E97424" w:rsidRPr="001E05F5">
        <w:rPr>
          <w:rFonts w:ascii="Arial" w:eastAsia="Times New Roman" w:hAnsi="Arial" w:cs="Arial"/>
          <w:sz w:val="24"/>
          <w:szCs w:val="24"/>
          <w:lang w:val="es-MX"/>
        </w:rPr>
        <w:t xml:space="preserve"> </w:t>
      </w:r>
      <w:r w:rsidR="00581560" w:rsidRPr="001E05F5">
        <w:rPr>
          <w:rFonts w:ascii="Arial" w:eastAsia="Times New Roman" w:hAnsi="Arial" w:cs="Arial"/>
          <w:sz w:val="24"/>
          <w:szCs w:val="24"/>
          <w:lang w:val="es-MX"/>
        </w:rPr>
        <w:t xml:space="preserve">Realizada la respectiva confrontación entre lo impetrado en el escrito introductor y lo decidido por el juzgador, </w:t>
      </w:r>
      <w:r w:rsidRPr="001E05F5">
        <w:rPr>
          <w:rFonts w:ascii="Arial" w:eastAsia="Times New Roman" w:hAnsi="Arial" w:cs="Arial"/>
          <w:sz w:val="24"/>
          <w:szCs w:val="24"/>
          <w:lang w:val="es-MX"/>
        </w:rPr>
        <w:t xml:space="preserve">no se evidencia yerro alguno, por lo que, desde ahora ha de decirse que </w:t>
      </w:r>
      <w:r w:rsidR="00581560" w:rsidRPr="001E05F5">
        <w:rPr>
          <w:rFonts w:ascii="Arial" w:eastAsia="Times New Roman" w:hAnsi="Arial" w:cs="Arial"/>
          <w:sz w:val="24"/>
          <w:szCs w:val="24"/>
          <w:lang w:val="es-MX"/>
        </w:rPr>
        <w:t xml:space="preserve">el reproche planteado </w:t>
      </w:r>
      <w:r w:rsidRPr="001E05F5">
        <w:rPr>
          <w:rFonts w:ascii="Arial" w:eastAsia="Times New Roman" w:hAnsi="Arial" w:cs="Arial"/>
          <w:sz w:val="24"/>
          <w:szCs w:val="24"/>
          <w:lang w:val="es-MX"/>
        </w:rPr>
        <w:t xml:space="preserve">en el recurso de apelación </w:t>
      </w:r>
      <w:r w:rsidR="00581560" w:rsidRPr="001E05F5">
        <w:rPr>
          <w:rFonts w:ascii="Arial" w:eastAsia="Times New Roman" w:hAnsi="Arial" w:cs="Arial"/>
          <w:sz w:val="24"/>
          <w:szCs w:val="24"/>
          <w:lang w:val="es-MX"/>
        </w:rPr>
        <w:t>no prospera.</w:t>
      </w:r>
    </w:p>
    <w:p w:rsidR="00965B50" w:rsidRPr="001E05F5" w:rsidRDefault="00965B50" w:rsidP="001E05F5">
      <w:pPr>
        <w:pStyle w:val="Sinespaciado1"/>
        <w:spacing w:line="276" w:lineRule="auto"/>
        <w:ind w:firstLine="2835"/>
        <w:jc w:val="both"/>
        <w:rPr>
          <w:rFonts w:ascii="Arial" w:eastAsia="Times New Roman" w:hAnsi="Arial" w:cs="Arial"/>
          <w:sz w:val="24"/>
          <w:szCs w:val="24"/>
          <w:lang w:val="es-MX"/>
        </w:rPr>
      </w:pPr>
    </w:p>
    <w:p w:rsidR="00965B50" w:rsidRPr="001E05F5" w:rsidRDefault="00965B50" w:rsidP="001E05F5">
      <w:pPr>
        <w:pStyle w:val="Sinespaciado1"/>
        <w:spacing w:line="276" w:lineRule="auto"/>
        <w:ind w:firstLine="2835"/>
        <w:jc w:val="both"/>
        <w:rPr>
          <w:rFonts w:ascii="Arial" w:hAnsi="Arial" w:cs="Arial"/>
          <w:sz w:val="24"/>
          <w:szCs w:val="24"/>
        </w:rPr>
      </w:pPr>
      <w:r w:rsidRPr="001E05F5">
        <w:rPr>
          <w:rFonts w:ascii="Arial" w:hAnsi="Arial" w:cs="Arial"/>
          <w:b/>
          <w:sz w:val="24"/>
          <w:szCs w:val="24"/>
        </w:rPr>
        <w:t>5.1.</w:t>
      </w:r>
      <w:r w:rsidRPr="001E05F5">
        <w:rPr>
          <w:rFonts w:ascii="Arial" w:hAnsi="Arial" w:cs="Arial"/>
          <w:sz w:val="24"/>
          <w:szCs w:val="24"/>
        </w:rPr>
        <w:t xml:space="preserve"> </w:t>
      </w:r>
      <w:r w:rsidRPr="001E05F5">
        <w:rPr>
          <w:rFonts w:ascii="Arial" w:hAnsi="Arial" w:cs="Arial"/>
          <w:sz w:val="24"/>
          <w:szCs w:val="24"/>
          <w:lang w:val="es-ES_tradnl"/>
        </w:rPr>
        <w:t xml:space="preserve">Conforme a la ya tradicional jurisprudencia de nuestra Corte Suprema de Justicia, de las normas que disciplinan la materia se deduce que son cuatro los requisitos que se necesitan para que la prescripción adquisitiva de </w:t>
      </w:r>
      <w:r w:rsidRPr="001E05F5">
        <w:rPr>
          <w:rFonts w:ascii="Arial" w:hAnsi="Arial" w:cs="Arial"/>
          <w:sz w:val="24"/>
          <w:szCs w:val="24"/>
          <w:lang w:val="es-ES_tradnl"/>
        </w:rPr>
        <w:lastRenderedPageBreak/>
        <w:t>dominio tenga éxito, a saber:</w:t>
      </w:r>
      <w:r w:rsidRPr="001E05F5">
        <w:rPr>
          <w:rFonts w:ascii="Arial" w:hAnsi="Arial" w:cs="Arial"/>
          <w:sz w:val="24"/>
          <w:szCs w:val="24"/>
        </w:rPr>
        <w:t xml:space="preserve"> </w:t>
      </w:r>
      <w:r w:rsidRPr="001E05F5">
        <w:rPr>
          <w:rFonts w:ascii="Arial" w:hAnsi="Arial" w:cs="Arial"/>
          <w:b/>
          <w:sz w:val="24"/>
          <w:szCs w:val="24"/>
        </w:rPr>
        <w:t>(</w:t>
      </w:r>
      <w:r w:rsidRPr="001E05F5">
        <w:rPr>
          <w:rFonts w:ascii="Arial" w:hAnsi="Arial" w:cs="Arial"/>
          <w:b/>
          <w:sz w:val="24"/>
          <w:szCs w:val="24"/>
          <w:lang w:val="es-ES_tradnl"/>
        </w:rPr>
        <w:t>a)</w:t>
      </w:r>
      <w:r w:rsidRPr="001E05F5">
        <w:rPr>
          <w:rFonts w:ascii="Arial" w:hAnsi="Arial" w:cs="Arial"/>
          <w:sz w:val="24"/>
          <w:szCs w:val="24"/>
          <w:lang w:val="es-ES_tradnl"/>
        </w:rPr>
        <w:t xml:space="preserve"> La posesión  material en el </w:t>
      </w:r>
      <w:proofErr w:type="spellStart"/>
      <w:r w:rsidRPr="001E05F5">
        <w:rPr>
          <w:rFonts w:ascii="Arial" w:hAnsi="Arial" w:cs="Arial"/>
          <w:sz w:val="24"/>
          <w:szCs w:val="24"/>
          <w:lang w:val="es-ES_tradnl"/>
        </w:rPr>
        <w:t>prescribiente</w:t>
      </w:r>
      <w:proofErr w:type="spellEnd"/>
      <w:r w:rsidRPr="001E05F5">
        <w:rPr>
          <w:rFonts w:ascii="Arial" w:hAnsi="Arial" w:cs="Arial"/>
          <w:sz w:val="24"/>
          <w:szCs w:val="24"/>
          <w:lang w:val="es-ES_tradnl"/>
        </w:rPr>
        <w:t xml:space="preserve"> y en sus antecesores, cuando se pretendan sumar –artículos 762, 2512, 2518 y 2521 del Código Civil.</w:t>
      </w:r>
      <w:r w:rsidRPr="001E05F5">
        <w:rPr>
          <w:rFonts w:ascii="Arial" w:hAnsi="Arial" w:cs="Arial"/>
          <w:sz w:val="24"/>
          <w:szCs w:val="24"/>
        </w:rPr>
        <w:t xml:space="preserve">  </w:t>
      </w:r>
      <w:r w:rsidRPr="001E05F5">
        <w:rPr>
          <w:rFonts w:ascii="Arial" w:hAnsi="Arial" w:cs="Arial"/>
          <w:b/>
          <w:sz w:val="24"/>
          <w:szCs w:val="24"/>
        </w:rPr>
        <w:t>(</w:t>
      </w:r>
      <w:r w:rsidRPr="001E05F5">
        <w:rPr>
          <w:rFonts w:ascii="Arial" w:hAnsi="Arial" w:cs="Arial"/>
          <w:b/>
          <w:sz w:val="24"/>
          <w:szCs w:val="24"/>
          <w:lang w:val="es-ES_tradnl"/>
        </w:rPr>
        <w:t>b)</w:t>
      </w:r>
      <w:r w:rsidRPr="001E05F5">
        <w:rPr>
          <w:rFonts w:ascii="Arial" w:hAnsi="Arial" w:cs="Arial"/>
          <w:sz w:val="24"/>
          <w:szCs w:val="24"/>
          <w:lang w:val="es-ES_tradnl"/>
        </w:rPr>
        <w:t xml:space="preserve"> Que la posesión se haya prolongado en el tiempo exigido por la ley, el cual, para la prescripción extraordinaria de las viviendas de interés social, alegada aquí, es de 5  años</w:t>
      </w:r>
      <w:r w:rsidRPr="001E05F5">
        <w:rPr>
          <w:rStyle w:val="Refdenotaalpie"/>
          <w:rFonts w:ascii="Arial" w:hAnsi="Arial" w:cs="Arial"/>
          <w:sz w:val="24"/>
          <w:szCs w:val="24"/>
          <w:lang w:val="es-ES_tradnl"/>
        </w:rPr>
        <w:footnoteReference w:id="1"/>
      </w:r>
      <w:r w:rsidRPr="001E05F5">
        <w:rPr>
          <w:rFonts w:ascii="Arial" w:hAnsi="Arial" w:cs="Arial"/>
          <w:sz w:val="24"/>
          <w:szCs w:val="24"/>
          <w:lang w:val="es-ES_tradnl"/>
        </w:rPr>
        <w:t>.</w:t>
      </w:r>
      <w:r w:rsidRPr="001E05F5">
        <w:rPr>
          <w:rFonts w:ascii="Arial" w:hAnsi="Arial" w:cs="Arial"/>
          <w:sz w:val="24"/>
          <w:szCs w:val="24"/>
        </w:rPr>
        <w:t xml:space="preserve"> </w:t>
      </w:r>
      <w:r w:rsidRPr="001E05F5">
        <w:rPr>
          <w:rFonts w:ascii="Arial" w:hAnsi="Arial" w:cs="Arial"/>
          <w:b/>
          <w:sz w:val="24"/>
          <w:szCs w:val="24"/>
        </w:rPr>
        <w:t>(</w:t>
      </w:r>
      <w:r w:rsidRPr="001E05F5">
        <w:rPr>
          <w:rFonts w:ascii="Arial" w:hAnsi="Arial" w:cs="Arial"/>
          <w:b/>
          <w:sz w:val="24"/>
          <w:szCs w:val="24"/>
          <w:lang w:val="es-ES_tradnl"/>
        </w:rPr>
        <w:t>c)</w:t>
      </w:r>
      <w:r w:rsidRPr="001E05F5">
        <w:rPr>
          <w:rFonts w:ascii="Arial" w:hAnsi="Arial" w:cs="Arial"/>
          <w:sz w:val="24"/>
          <w:szCs w:val="24"/>
          <w:lang w:val="es-ES_tradnl"/>
        </w:rPr>
        <w:t>  Que esa posesión haya ocurrido ininterrumpidamente –artículo 2522 del Código Civil, y</w:t>
      </w:r>
      <w:r w:rsidRPr="001E05F5">
        <w:rPr>
          <w:rFonts w:ascii="Arial" w:hAnsi="Arial" w:cs="Arial"/>
          <w:sz w:val="24"/>
          <w:szCs w:val="24"/>
        </w:rPr>
        <w:t xml:space="preserve"> </w:t>
      </w:r>
      <w:r w:rsidRPr="001E05F5">
        <w:rPr>
          <w:rFonts w:ascii="Arial" w:hAnsi="Arial" w:cs="Arial"/>
          <w:b/>
          <w:sz w:val="24"/>
          <w:szCs w:val="24"/>
        </w:rPr>
        <w:t>(</w:t>
      </w:r>
      <w:r w:rsidRPr="001E05F5">
        <w:rPr>
          <w:rFonts w:ascii="Arial" w:hAnsi="Arial" w:cs="Arial"/>
          <w:b/>
          <w:sz w:val="24"/>
          <w:szCs w:val="24"/>
          <w:lang w:val="es-ES_tradnl"/>
        </w:rPr>
        <w:t>d)</w:t>
      </w:r>
      <w:r w:rsidRPr="001E05F5">
        <w:rPr>
          <w:rFonts w:ascii="Arial" w:hAnsi="Arial" w:cs="Arial"/>
          <w:sz w:val="24"/>
          <w:szCs w:val="24"/>
          <w:lang w:val="es-ES_tradnl"/>
        </w:rPr>
        <w:t xml:space="preserve"> Que el bien cuya prescripción se persigue sea de aquellos susceptibles de adquirirse por ese modo. </w:t>
      </w:r>
      <w:r w:rsidRPr="001E05F5">
        <w:rPr>
          <w:rFonts w:ascii="Arial" w:hAnsi="Arial" w:cs="Arial"/>
          <w:sz w:val="24"/>
          <w:szCs w:val="24"/>
        </w:rPr>
        <w:t xml:space="preserve"> En este caso, quien cree que en su favor se ha cumplido la prescripción adquisitiva, </w:t>
      </w:r>
      <w:r w:rsidRPr="001E05F5">
        <w:rPr>
          <w:rFonts w:ascii="Arial" w:hAnsi="Arial" w:cs="Arial"/>
          <w:bCs/>
          <w:sz w:val="24"/>
          <w:szCs w:val="24"/>
        </w:rPr>
        <w:t>demanda para que el juez haga la declaración de pertenencia</w:t>
      </w:r>
      <w:r w:rsidRPr="001E05F5">
        <w:rPr>
          <w:rFonts w:ascii="Arial" w:hAnsi="Arial" w:cs="Arial"/>
          <w:sz w:val="24"/>
          <w:szCs w:val="24"/>
        </w:rPr>
        <w:t>.</w:t>
      </w:r>
    </w:p>
    <w:p w:rsidR="00965B50" w:rsidRPr="001E05F5" w:rsidRDefault="00965B50" w:rsidP="001E05F5">
      <w:pPr>
        <w:pStyle w:val="Sinespaciado1"/>
        <w:spacing w:line="276" w:lineRule="auto"/>
        <w:ind w:firstLine="2835"/>
        <w:jc w:val="both"/>
        <w:rPr>
          <w:rFonts w:ascii="Arial" w:hAnsi="Arial" w:cs="Arial"/>
          <w:sz w:val="24"/>
          <w:szCs w:val="24"/>
        </w:rPr>
      </w:pPr>
    </w:p>
    <w:p w:rsidR="00965B50" w:rsidRPr="001E05F5" w:rsidRDefault="00965B50" w:rsidP="001E05F5">
      <w:pPr>
        <w:pStyle w:val="Sinespaciado1"/>
        <w:spacing w:line="276" w:lineRule="auto"/>
        <w:ind w:firstLine="2835"/>
        <w:jc w:val="both"/>
        <w:rPr>
          <w:rFonts w:ascii="Arial" w:hAnsi="Arial" w:cs="Arial"/>
          <w:bCs/>
          <w:sz w:val="24"/>
          <w:szCs w:val="24"/>
        </w:rPr>
      </w:pPr>
      <w:r w:rsidRPr="001E05F5">
        <w:rPr>
          <w:rFonts w:ascii="Arial" w:hAnsi="Arial" w:cs="Arial"/>
          <w:b/>
          <w:sz w:val="24"/>
          <w:szCs w:val="24"/>
        </w:rPr>
        <w:t>5.2.</w:t>
      </w:r>
      <w:r w:rsidRPr="001E05F5">
        <w:rPr>
          <w:rFonts w:ascii="Arial" w:hAnsi="Arial" w:cs="Arial"/>
          <w:sz w:val="24"/>
          <w:szCs w:val="24"/>
        </w:rPr>
        <w:t xml:space="preserve"> </w:t>
      </w:r>
      <w:r w:rsidR="001356C4" w:rsidRPr="001E05F5">
        <w:rPr>
          <w:rFonts w:ascii="Arial" w:hAnsi="Arial" w:cs="Arial"/>
          <w:sz w:val="24"/>
          <w:szCs w:val="24"/>
        </w:rPr>
        <w:t>Es claro entonces que la prescripción adquisitiva, llamada también usucapión, requiere p</w:t>
      </w:r>
      <w:r w:rsidR="00292760">
        <w:rPr>
          <w:rFonts w:ascii="Arial" w:hAnsi="Arial" w:cs="Arial"/>
          <w:sz w:val="24"/>
          <w:szCs w:val="24"/>
        </w:rPr>
        <w:t>ara que se configure legalmente</w:t>
      </w:r>
      <w:r w:rsidR="001356C4" w:rsidRPr="001E05F5">
        <w:rPr>
          <w:rFonts w:ascii="Arial" w:hAnsi="Arial" w:cs="Arial"/>
          <w:sz w:val="24"/>
          <w:szCs w:val="24"/>
        </w:rPr>
        <w:t xml:space="preserve"> la posesión material por parte del actor prolongada por el tiempo requerido en la ley; que ha sido definida en el artículo 762 del C.C. como </w:t>
      </w:r>
      <w:r w:rsidR="001356C4" w:rsidRPr="001E05F5">
        <w:rPr>
          <w:rFonts w:ascii="Arial" w:hAnsi="Arial" w:cs="Arial"/>
          <w:i/>
          <w:sz w:val="24"/>
          <w:szCs w:val="24"/>
        </w:rPr>
        <w:t>“</w:t>
      </w:r>
      <w:r w:rsidR="001356C4" w:rsidRPr="00E51E3A">
        <w:rPr>
          <w:rFonts w:ascii="Arial" w:hAnsi="Arial" w:cs="Arial"/>
          <w:i/>
          <w:szCs w:val="24"/>
        </w:rPr>
        <w:t>…</w:t>
      </w:r>
      <w:r w:rsidR="00E51E3A" w:rsidRPr="00E51E3A">
        <w:rPr>
          <w:rFonts w:ascii="Arial" w:hAnsi="Arial" w:cs="Arial"/>
          <w:i/>
          <w:szCs w:val="24"/>
        </w:rPr>
        <w:t xml:space="preserve"> </w:t>
      </w:r>
      <w:r w:rsidR="001356C4" w:rsidRPr="00E51E3A">
        <w:rPr>
          <w:rFonts w:ascii="Arial" w:hAnsi="Arial" w:cs="Arial"/>
          <w:i/>
          <w:szCs w:val="24"/>
        </w:rPr>
        <w:t>la tenencia de una cosa determinada con ánimo de señor o dueño…</w:t>
      </w:r>
      <w:r w:rsidR="001356C4" w:rsidRPr="001E05F5">
        <w:rPr>
          <w:rFonts w:ascii="Arial" w:hAnsi="Arial" w:cs="Arial"/>
          <w:i/>
          <w:sz w:val="24"/>
          <w:szCs w:val="24"/>
        </w:rPr>
        <w:t>”</w:t>
      </w:r>
      <w:r w:rsidR="001356C4" w:rsidRPr="001E05F5">
        <w:rPr>
          <w:rFonts w:ascii="Arial" w:hAnsi="Arial" w:cs="Arial"/>
          <w:sz w:val="24"/>
          <w:szCs w:val="24"/>
        </w:rPr>
        <w:t xml:space="preserve">, es decir que requiere para su existencia de los dos elementos, el </w:t>
      </w:r>
      <w:r w:rsidR="001356C4" w:rsidRPr="001E05F5">
        <w:rPr>
          <w:rFonts w:ascii="Arial" w:hAnsi="Arial" w:cs="Arial"/>
          <w:i/>
          <w:sz w:val="24"/>
          <w:szCs w:val="24"/>
        </w:rPr>
        <w:t>animus</w:t>
      </w:r>
      <w:r w:rsidR="001356C4" w:rsidRPr="001E05F5">
        <w:rPr>
          <w:rFonts w:ascii="Arial" w:hAnsi="Arial" w:cs="Arial"/>
          <w:sz w:val="24"/>
          <w:szCs w:val="24"/>
        </w:rPr>
        <w:t xml:space="preserve"> y el </w:t>
      </w:r>
      <w:r w:rsidR="001356C4" w:rsidRPr="001E05F5">
        <w:rPr>
          <w:rFonts w:ascii="Arial" w:hAnsi="Arial" w:cs="Arial"/>
          <w:i/>
          <w:sz w:val="24"/>
          <w:szCs w:val="24"/>
        </w:rPr>
        <w:t>corpus</w:t>
      </w:r>
      <w:r w:rsidR="001356C4" w:rsidRPr="001E05F5">
        <w:rPr>
          <w:rFonts w:ascii="Arial" w:hAnsi="Arial" w:cs="Arial"/>
          <w:sz w:val="24"/>
          <w:szCs w:val="24"/>
        </w:rPr>
        <w:t xml:space="preserve">, esto es, el elemento interno, psicológico, la intención de ser dueño, que por escapar a la percepción directa de los sentidos es preciso presumir de la comprobación plena e inequívoca de los actos materiales y externos ejecutados continuamente y por todo el tiempo que dure la posesión y que constituyen la manifestación visible del señorío, de los que puede presumirse la intención o voluntad de hacerse dueño, mientras no aparezcan otros que demuestren lo contrario; y el elemento externo, la detentación física o material de la cosa. Estos elementos deben ser acreditados plenamente por el </w:t>
      </w:r>
      <w:proofErr w:type="spellStart"/>
      <w:r w:rsidR="001356C4" w:rsidRPr="001E05F5">
        <w:rPr>
          <w:rFonts w:ascii="Arial" w:hAnsi="Arial" w:cs="Arial"/>
          <w:sz w:val="24"/>
          <w:szCs w:val="24"/>
        </w:rPr>
        <w:t>prescribiente</w:t>
      </w:r>
      <w:proofErr w:type="spellEnd"/>
      <w:r w:rsidR="001356C4" w:rsidRPr="001E05F5">
        <w:rPr>
          <w:rFonts w:ascii="Arial" w:hAnsi="Arial" w:cs="Arial"/>
          <w:sz w:val="24"/>
          <w:szCs w:val="24"/>
        </w:rPr>
        <w:t xml:space="preserve"> para que esa posesión como presupuesto de la acción, junto con los otros requisitos señalados, lleve al juzgador(a) a declarar la pertenencia deprecada a su favor. Así lo pregona recientemente la Corte Suprema de Justicia en su Sala de Casación Civil (Sentencia </w:t>
      </w:r>
      <w:r w:rsidR="001356C4" w:rsidRPr="001E05F5">
        <w:rPr>
          <w:rFonts w:ascii="Arial" w:hAnsi="Arial" w:cs="Arial"/>
          <w:b/>
          <w:bCs/>
          <w:sz w:val="24"/>
          <w:szCs w:val="24"/>
        </w:rPr>
        <w:t>SC16945</w:t>
      </w:r>
      <w:r w:rsidR="00905C11" w:rsidRPr="001E05F5">
        <w:rPr>
          <w:rFonts w:ascii="Arial" w:hAnsi="Arial" w:cs="Arial"/>
          <w:bCs/>
          <w:sz w:val="24"/>
          <w:szCs w:val="24"/>
        </w:rPr>
        <w:t xml:space="preserve"> -</w:t>
      </w:r>
      <w:r w:rsidR="001356C4" w:rsidRPr="001E05F5">
        <w:rPr>
          <w:rFonts w:ascii="Arial" w:hAnsi="Arial" w:cs="Arial"/>
          <w:bCs/>
          <w:sz w:val="24"/>
          <w:szCs w:val="24"/>
        </w:rPr>
        <w:t>2015).</w:t>
      </w:r>
    </w:p>
    <w:p w:rsidR="00921595" w:rsidRPr="001E05F5" w:rsidRDefault="00921595" w:rsidP="001E05F5">
      <w:pPr>
        <w:pStyle w:val="Sinespaciado1"/>
        <w:spacing w:line="276" w:lineRule="auto"/>
        <w:ind w:firstLine="2835"/>
        <w:jc w:val="both"/>
        <w:rPr>
          <w:rFonts w:ascii="Arial" w:hAnsi="Arial" w:cs="Arial"/>
          <w:bCs/>
          <w:sz w:val="24"/>
          <w:szCs w:val="24"/>
        </w:rPr>
      </w:pPr>
    </w:p>
    <w:p w:rsidR="00B7084B" w:rsidRPr="001E05F5" w:rsidRDefault="00921595" w:rsidP="001E05F5">
      <w:pPr>
        <w:pStyle w:val="Sinespaciado1"/>
        <w:spacing w:line="276" w:lineRule="auto"/>
        <w:ind w:firstLine="2835"/>
        <w:jc w:val="both"/>
        <w:rPr>
          <w:rFonts w:ascii="Arial" w:hAnsi="Arial" w:cs="Arial"/>
          <w:bCs/>
          <w:sz w:val="24"/>
          <w:szCs w:val="24"/>
        </w:rPr>
      </w:pPr>
      <w:r w:rsidRPr="001E05F5">
        <w:rPr>
          <w:rFonts w:ascii="Arial" w:hAnsi="Arial" w:cs="Arial"/>
          <w:b/>
          <w:bCs/>
          <w:sz w:val="24"/>
          <w:szCs w:val="24"/>
        </w:rPr>
        <w:t>5.</w:t>
      </w:r>
      <w:r w:rsidR="009F4450" w:rsidRPr="001E05F5">
        <w:rPr>
          <w:rFonts w:ascii="Arial" w:hAnsi="Arial" w:cs="Arial"/>
          <w:b/>
          <w:bCs/>
          <w:sz w:val="24"/>
          <w:szCs w:val="24"/>
        </w:rPr>
        <w:t>3</w:t>
      </w:r>
      <w:r w:rsidRPr="001E05F5">
        <w:rPr>
          <w:rFonts w:ascii="Arial" w:hAnsi="Arial" w:cs="Arial"/>
          <w:b/>
          <w:bCs/>
          <w:sz w:val="24"/>
          <w:szCs w:val="24"/>
        </w:rPr>
        <w:t>.</w:t>
      </w:r>
      <w:r w:rsidRPr="001E05F5">
        <w:rPr>
          <w:rFonts w:ascii="Arial" w:hAnsi="Arial" w:cs="Arial"/>
          <w:bCs/>
          <w:sz w:val="24"/>
          <w:szCs w:val="24"/>
        </w:rPr>
        <w:t xml:space="preserve"> En el caso bajo estudio, no acreditó el actor que fuera poseedor en los términos antes señalados. Como en efecto lo dijo el a quo, el </w:t>
      </w:r>
      <w:r w:rsidR="00B7084B" w:rsidRPr="001E05F5">
        <w:rPr>
          <w:rFonts w:ascii="Arial" w:hAnsi="Arial" w:cs="Arial"/>
          <w:bCs/>
          <w:sz w:val="24"/>
          <w:szCs w:val="24"/>
        </w:rPr>
        <w:t xml:space="preserve">señor </w:t>
      </w:r>
      <w:r w:rsidR="00B7084B" w:rsidRPr="001E05F5">
        <w:rPr>
          <w:rFonts w:ascii="Arial" w:hAnsi="Arial" w:cs="Arial"/>
          <w:b/>
          <w:bCs/>
          <w:sz w:val="24"/>
          <w:szCs w:val="24"/>
        </w:rPr>
        <w:t xml:space="preserve">PEDRO </w:t>
      </w:r>
      <w:proofErr w:type="spellStart"/>
      <w:r w:rsidR="00B7084B" w:rsidRPr="001E05F5">
        <w:rPr>
          <w:rFonts w:ascii="Arial" w:hAnsi="Arial" w:cs="Arial"/>
          <w:b/>
          <w:bCs/>
          <w:sz w:val="24"/>
          <w:szCs w:val="24"/>
        </w:rPr>
        <w:t>NEL</w:t>
      </w:r>
      <w:proofErr w:type="spellEnd"/>
      <w:r w:rsidR="00B7084B" w:rsidRPr="001E05F5">
        <w:rPr>
          <w:rFonts w:ascii="Arial" w:hAnsi="Arial" w:cs="Arial"/>
          <w:bCs/>
          <w:sz w:val="24"/>
          <w:szCs w:val="24"/>
        </w:rPr>
        <w:t xml:space="preserve"> </w:t>
      </w:r>
      <w:r w:rsidRPr="001E05F5">
        <w:rPr>
          <w:rFonts w:ascii="Arial" w:hAnsi="Arial" w:cs="Arial"/>
          <w:bCs/>
          <w:sz w:val="24"/>
          <w:szCs w:val="24"/>
        </w:rPr>
        <w:t>en el interro</w:t>
      </w:r>
      <w:r w:rsidR="00B7084B" w:rsidRPr="001E05F5">
        <w:rPr>
          <w:rFonts w:ascii="Arial" w:hAnsi="Arial" w:cs="Arial"/>
          <w:bCs/>
          <w:sz w:val="24"/>
          <w:szCs w:val="24"/>
        </w:rPr>
        <w:t>gatorio d</w:t>
      </w:r>
      <w:r w:rsidRPr="001E05F5">
        <w:rPr>
          <w:rFonts w:ascii="Arial" w:hAnsi="Arial" w:cs="Arial"/>
          <w:bCs/>
          <w:sz w:val="24"/>
          <w:szCs w:val="24"/>
        </w:rPr>
        <w:t>e</w:t>
      </w:r>
      <w:r w:rsidR="00B7084B" w:rsidRPr="001E05F5">
        <w:rPr>
          <w:rFonts w:ascii="Arial" w:hAnsi="Arial" w:cs="Arial"/>
          <w:bCs/>
          <w:sz w:val="24"/>
          <w:szCs w:val="24"/>
        </w:rPr>
        <w:t xml:space="preserve"> </w:t>
      </w:r>
      <w:r w:rsidRPr="001E05F5">
        <w:rPr>
          <w:rFonts w:ascii="Arial" w:hAnsi="Arial" w:cs="Arial"/>
          <w:bCs/>
          <w:sz w:val="24"/>
          <w:szCs w:val="24"/>
        </w:rPr>
        <w:t xml:space="preserve">parte admitió que el inmueble de que se trata lo adquirió </w:t>
      </w:r>
      <w:r w:rsidR="00B7084B" w:rsidRPr="001E05F5">
        <w:rPr>
          <w:rFonts w:ascii="Arial" w:hAnsi="Arial" w:cs="Arial"/>
          <w:bCs/>
          <w:sz w:val="24"/>
          <w:szCs w:val="24"/>
        </w:rPr>
        <w:t xml:space="preserve">su hermano </w:t>
      </w:r>
      <w:r w:rsidR="00B7084B" w:rsidRPr="001E05F5">
        <w:rPr>
          <w:rFonts w:ascii="Arial" w:hAnsi="Arial" w:cs="Arial"/>
          <w:b/>
          <w:bCs/>
          <w:sz w:val="24"/>
          <w:szCs w:val="24"/>
        </w:rPr>
        <w:t>JAIME ARTURO MONSALVE</w:t>
      </w:r>
      <w:r w:rsidR="00B7084B" w:rsidRPr="001E05F5">
        <w:rPr>
          <w:rFonts w:ascii="Arial" w:hAnsi="Arial" w:cs="Arial"/>
          <w:bCs/>
          <w:sz w:val="24"/>
          <w:szCs w:val="24"/>
        </w:rPr>
        <w:t xml:space="preserve"> y que se lo dio para su uso y disfrute a la señora </w:t>
      </w:r>
      <w:r w:rsidR="00B7084B" w:rsidRPr="001E05F5">
        <w:rPr>
          <w:rFonts w:ascii="Arial" w:hAnsi="Arial" w:cs="Arial"/>
          <w:b/>
          <w:bCs/>
          <w:sz w:val="24"/>
          <w:szCs w:val="24"/>
        </w:rPr>
        <w:t>ETELVINA VALENCIA</w:t>
      </w:r>
      <w:r w:rsidR="00292760">
        <w:rPr>
          <w:rFonts w:ascii="Arial" w:hAnsi="Arial" w:cs="Arial"/>
          <w:bCs/>
          <w:sz w:val="24"/>
          <w:szCs w:val="24"/>
        </w:rPr>
        <w:t>,</w:t>
      </w:r>
      <w:r w:rsidR="00B7084B" w:rsidRPr="001E05F5">
        <w:rPr>
          <w:rFonts w:ascii="Arial" w:hAnsi="Arial" w:cs="Arial"/>
          <w:bCs/>
          <w:sz w:val="24"/>
          <w:szCs w:val="24"/>
        </w:rPr>
        <w:t xml:space="preserve"> madre de ambos. Igualmente, que fue su hermano quien remodeló, acondicionó y amobló el inmueble referido. Es decir, ha reconocido dominio ajeno</w:t>
      </w:r>
      <w:r w:rsidR="00CD3E75" w:rsidRPr="001E05F5">
        <w:rPr>
          <w:rFonts w:ascii="Arial" w:hAnsi="Arial" w:cs="Arial"/>
          <w:bCs/>
          <w:sz w:val="24"/>
          <w:szCs w:val="24"/>
        </w:rPr>
        <w:t xml:space="preserve"> </w:t>
      </w:r>
      <w:r w:rsidR="00CD3E75" w:rsidRPr="001E05F5">
        <w:rPr>
          <w:rFonts w:ascii="Arial" w:eastAsia="Times New Roman" w:hAnsi="Arial" w:cs="Arial"/>
          <w:sz w:val="24"/>
          <w:szCs w:val="24"/>
          <w:lang w:val="es-MX"/>
        </w:rPr>
        <w:t>(folios 2 al 4 c. 4.)</w:t>
      </w:r>
      <w:r w:rsidR="00B7084B" w:rsidRPr="001E05F5">
        <w:rPr>
          <w:rFonts w:ascii="Arial" w:hAnsi="Arial" w:cs="Arial"/>
          <w:bCs/>
          <w:sz w:val="24"/>
          <w:szCs w:val="24"/>
        </w:rPr>
        <w:t xml:space="preserve">. Al fallecimiento de la señora </w:t>
      </w:r>
      <w:r w:rsidR="00B7084B" w:rsidRPr="001E05F5">
        <w:rPr>
          <w:rFonts w:ascii="Arial" w:hAnsi="Arial" w:cs="Arial"/>
          <w:b/>
          <w:bCs/>
          <w:sz w:val="24"/>
          <w:szCs w:val="24"/>
        </w:rPr>
        <w:t>ETELVINA</w:t>
      </w:r>
      <w:r w:rsidR="00B7084B" w:rsidRPr="001E05F5">
        <w:rPr>
          <w:rFonts w:ascii="Arial" w:hAnsi="Arial" w:cs="Arial"/>
          <w:bCs/>
          <w:sz w:val="24"/>
          <w:szCs w:val="24"/>
        </w:rPr>
        <w:t xml:space="preserve">, ocurrido el </w:t>
      </w:r>
      <w:r w:rsidR="00B7084B" w:rsidRPr="001E05F5">
        <w:rPr>
          <w:rFonts w:ascii="Arial" w:eastAsia="Times New Roman" w:hAnsi="Arial" w:cs="Arial"/>
          <w:sz w:val="24"/>
          <w:szCs w:val="24"/>
          <w:lang w:val="es-MX"/>
        </w:rPr>
        <w:t xml:space="preserve">21 de junio de 1995, </w:t>
      </w:r>
      <w:r w:rsidR="00B7084B" w:rsidRPr="001E05F5">
        <w:rPr>
          <w:rFonts w:ascii="Arial" w:hAnsi="Arial" w:cs="Arial"/>
          <w:bCs/>
          <w:sz w:val="24"/>
          <w:szCs w:val="24"/>
        </w:rPr>
        <w:t xml:space="preserve">continuó ocupando el inmueble el actor. Empero, como también lo expresó el señor juez de primera instancia, </w:t>
      </w:r>
      <w:r w:rsidR="00B7084B" w:rsidRPr="001E05F5">
        <w:rPr>
          <w:rFonts w:ascii="Arial" w:eastAsia="Times New Roman" w:hAnsi="Arial" w:cs="Arial"/>
          <w:sz w:val="24"/>
          <w:szCs w:val="24"/>
          <w:lang w:val="es-MX"/>
        </w:rPr>
        <w:t xml:space="preserve">no acreditó la </w:t>
      </w:r>
      <w:proofErr w:type="spellStart"/>
      <w:r w:rsidR="00B7084B" w:rsidRPr="001E05F5">
        <w:rPr>
          <w:rFonts w:ascii="Arial" w:eastAsia="Times New Roman" w:hAnsi="Arial" w:cs="Arial"/>
          <w:sz w:val="24"/>
          <w:szCs w:val="24"/>
          <w:lang w:val="es-MX"/>
        </w:rPr>
        <w:t>interversión</w:t>
      </w:r>
      <w:proofErr w:type="spellEnd"/>
      <w:r w:rsidR="00B7084B" w:rsidRPr="001E05F5">
        <w:rPr>
          <w:rFonts w:ascii="Arial" w:eastAsia="Times New Roman" w:hAnsi="Arial" w:cs="Arial"/>
          <w:sz w:val="24"/>
          <w:szCs w:val="24"/>
          <w:lang w:val="es-MX"/>
        </w:rPr>
        <w:t xml:space="preserve"> del título, esto es de mero tenedor a poseedor material del inmueble de propiedad de su señora madre</w:t>
      </w:r>
      <w:r w:rsidR="006C7756" w:rsidRPr="001E05F5">
        <w:rPr>
          <w:rFonts w:ascii="Arial" w:eastAsia="Times New Roman" w:hAnsi="Arial" w:cs="Arial"/>
          <w:sz w:val="24"/>
          <w:szCs w:val="24"/>
          <w:lang w:val="es-MX"/>
        </w:rPr>
        <w:t xml:space="preserve"> y no es posible determinar de las pruebas existentes en qué momento desconoció o ha desconocido</w:t>
      </w:r>
      <w:r w:rsidR="00351F66" w:rsidRPr="001E05F5">
        <w:rPr>
          <w:rFonts w:ascii="Arial" w:eastAsia="Times New Roman" w:hAnsi="Arial" w:cs="Arial"/>
          <w:sz w:val="24"/>
          <w:szCs w:val="24"/>
          <w:lang w:val="es-MX"/>
        </w:rPr>
        <w:t>, abiertamente a quien fuera su propietaria.</w:t>
      </w:r>
    </w:p>
    <w:p w:rsidR="00B7084B" w:rsidRPr="001E05F5" w:rsidRDefault="00B7084B" w:rsidP="001E05F5">
      <w:pPr>
        <w:pStyle w:val="Sinespaciado1"/>
        <w:spacing w:line="276" w:lineRule="auto"/>
        <w:ind w:firstLine="2835"/>
        <w:jc w:val="both"/>
        <w:rPr>
          <w:rFonts w:ascii="Arial" w:hAnsi="Arial" w:cs="Arial"/>
          <w:bCs/>
          <w:sz w:val="24"/>
          <w:szCs w:val="24"/>
        </w:rPr>
      </w:pPr>
    </w:p>
    <w:p w:rsidR="005E275A" w:rsidRPr="001E05F5" w:rsidRDefault="00CD3E75" w:rsidP="001E05F5">
      <w:pPr>
        <w:pStyle w:val="Sinespaciado1"/>
        <w:spacing w:line="276" w:lineRule="auto"/>
        <w:ind w:firstLine="2835"/>
        <w:jc w:val="both"/>
        <w:rPr>
          <w:rFonts w:ascii="Arial" w:hAnsi="Arial" w:cs="Arial"/>
          <w:sz w:val="24"/>
          <w:szCs w:val="24"/>
        </w:rPr>
      </w:pPr>
      <w:r w:rsidRPr="001E05F5">
        <w:rPr>
          <w:rFonts w:ascii="Arial" w:hAnsi="Arial" w:cs="Arial"/>
          <w:b/>
          <w:bCs/>
          <w:sz w:val="24"/>
          <w:szCs w:val="24"/>
        </w:rPr>
        <w:t>5.</w:t>
      </w:r>
      <w:r w:rsidR="009F4450" w:rsidRPr="001E05F5">
        <w:rPr>
          <w:rFonts w:ascii="Arial" w:hAnsi="Arial" w:cs="Arial"/>
          <w:b/>
          <w:bCs/>
          <w:sz w:val="24"/>
          <w:szCs w:val="24"/>
        </w:rPr>
        <w:t>4</w:t>
      </w:r>
      <w:r w:rsidRPr="001E05F5">
        <w:rPr>
          <w:rFonts w:ascii="Arial" w:hAnsi="Arial" w:cs="Arial"/>
          <w:b/>
          <w:bCs/>
          <w:sz w:val="24"/>
          <w:szCs w:val="24"/>
        </w:rPr>
        <w:t>.</w:t>
      </w:r>
      <w:r w:rsidRPr="001E05F5">
        <w:rPr>
          <w:rFonts w:ascii="Arial" w:hAnsi="Arial" w:cs="Arial"/>
          <w:bCs/>
          <w:sz w:val="24"/>
          <w:szCs w:val="24"/>
        </w:rPr>
        <w:t xml:space="preserve"> </w:t>
      </w:r>
      <w:r w:rsidR="00B7084B" w:rsidRPr="001E05F5">
        <w:rPr>
          <w:rFonts w:ascii="Arial" w:hAnsi="Arial" w:cs="Arial"/>
          <w:bCs/>
          <w:sz w:val="24"/>
          <w:szCs w:val="24"/>
        </w:rPr>
        <w:t xml:space="preserve">De otro lado, </w:t>
      </w:r>
      <w:r w:rsidRPr="001E05F5">
        <w:rPr>
          <w:rFonts w:ascii="Arial" w:hAnsi="Arial" w:cs="Arial"/>
          <w:sz w:val="24"/>
          <w:szCs w:val="24"/>
        </w:rPr>
        <w:t xml:space="preserve">a petición del actor declararon en el proceso </w:t>
      </w:r>
      <w:r w:rsidRPr="001E05F5">
        <w:rPr>
          <w:rFonts w:ascii="Arial" w:hAnsi="Arial" w:cs="Arial"/>
          <w:b/>
          <w:sz w:val="24"/>
          <w:szCs w:val="24"/>
        </w:rPr>
        <w:t xml:space="preserve">MARÍA </w:t>
      </w:r>
      <w:proofErr w:type="spellStart"/>
      <w:r w:rsidRPr="001E05F5">
        <w:rPr>
          <w:rFonts w:ascii="Arial" w:hAnsi="Arial" w:cs="Arial"/>
          <w:b/>
          <w:sz w:val="24"/>
          <w:szCs w:val="24"/>
        </w:rPr>
        <w:t>LUCELLY</w:t>
      </w:r>
      <w:proofErr w:type="spellEnd"/>
      <w:r w:rsidRPr="001E05F5">
        <w:rPr>
          <w:rFonts w:ascii="Arial" w:hAnsi="Arial" w:cs="Arial"/>
          <w:b/>
          <w:sz w:val="24"/>
          <w:szCs w:val="24"/>
        </w:rPr>
        <w:t xml:space="preserve"> HERNÁNDEZ GÓMEZ</w:t>
      </w:r>
      <w:r w:rsidRPr="001E05F5">
        <w:rPr>
          <w:rFonts w:ascii="Arial" w:hAnsi="Arial" w:cs="Arial"/>
          <w:sz w:val="24"/>
          <w:szCs w:val="24"/>
        </w:rPr>
        <w:t xml:space="preserve"> y </w:t>
      </w:r>
      <w:r w:rsidRPr="001E05F5">
        <w:rPr>
          <w:rFonts w:ascii="Arial" w:hAnsi="Arial" w:cs="Arial"/>
          <w:b/>
          <w:sz w:val="24"/>
          <w:szCs w:val="24"/>
        </w:rPr>
        <w:t>RAÚL EMILIO ZAPATA RESTREPO</w:t>
      </w:r>
      <w:r w:rsidRPr="001E05F5">
        <w:rPr>
          <w:rFonts w:ascii="Arial" w:hAnsi="Arial" w:cs="Arial"/>
          <w:sz w:val="24"/>
          <w:szCs w:val="24"/>
        </w:rPr>
        <w:t xml:space="preserve">, empero en sus </w:t>
      </w:r>
      <w:proofErr w:type="spellStart"/>
      <w:r w:rsidRPr="001E05F5">
        <w:rPr>
          <w:rFonts w:ascii="Arial" w:hAnsi="Arial" w:cs="Arial"/>
          <w:sz w:val="24"/>
          <w:szCs w:val="24"/>
        </w:rPr>
        <w:t>deponencias</w:t>
      </w:r>
      <w:proofErr w:type="spellEnd"/>
      <w:r w:rsidRPr="001E05F5">
        <w:rPr>
          <w:rFonts w:ascii="Arial" w:hAnsi="Arial" w:cs="Arial"/>
          <w:sz w:val="24"/>
          <w:szCs w:val="24"/>
        </w:rPr>
        <w:t xml:space="preserve"> ninguna información ofrecieron respecto a la época en que pudo haber iniciado la posesión del inmueble el demandante </w:t>
      </w:r>
      <w:r w:rsidRPr="001E05F5">
        <w:rPr>
          <w:rFonts w:ascii="Arial" w:hAnsi="Arial" w:cs="Arial"/>
          <w:b/>
          <w:sz w:val="24"/>
          <w:szCs w:val="24"/>
        </w:rPr>
        <w:t xml:space="preserve">PEDRO </w:t>
      </w:r>
      <w:proofErr w:type="spellStart"/>
      <w:r w:rsidRPr="001E05F5">
        <w:rPr>
          <w:rFonts w:ascii="Arial" w:hAnsi="Arial" w:cs="Arial"/>
          <w:b/>
          <w:sz w:val="24"/>
          <w:szCs w:val="24"/>
        </w:rPr>
        <w:lastRenderedPageBreak/>
        <w:t>NEL</w:t>
      </w:r>
      <w:proofErr w:type="spellEnd"/>
      <w:r w:rsidRPr="001E05F5">
        <w:rPr>
          <w:rFonts w:ascii="Arial" w:hAnsi="Arial" w:cs="Arial"/>
          <w:b/>
          <w:sz w:val="24"/>
          <w:szCs w:val="24"/>
        </w:rPr>
        <w:t xml:space="preserve"> MONSALVE VALENCIA</w:t>
      </w:r>
      <w:r w:rsidRPr="001E05F5">
        <w:rPr>
          <w:rFonts w:ascii="Arial" w:hAnsi="Arial" w:cs="Arial"/>
          <w:sz w:val="24"/>
          <w:szCs w:val="24"/>
        </w:rPr>
        <w:t xml:space="preserve">. Ambas </w:t>
      </w:r>
      <w:r w:rsidR="005E6788" w:rsidRPr="001E05F5">
        <w:rPr>
          <w:rFonts w:ascii="Arial" w:hAnsi="Arial" w:cs="Arial"/>
          <w:sz w:val="24"/>
          <w:szCs w:val="24"/>
        </w:rPr>
        <w:t xml:space="preserve">personas </w:t>
      </w:r>
      <w:r w:rsidRPr="001E05F5">
        <w:rPr>
          <w:rFonts w:ascii="Arial" w:hAnsi="Arial" w:cs="Arial"/>
          <w:sz w:val="24"/>
          <w:szCs w:val="24"/>
        </w:rPr>
        <w:t xml:space="preserve">afirman conocer que vivió en el apartamento del proceso desde hace más de 25 años con su madre </w:t>
      </w:r>
      <w:r w:rsidR="005E6788" w:rsidRPr="001E05F5">
        <w:rPr>
          <w:rFonts w:ascii="Arial" w:hAnsi="Arial" w:cs="Arial"/>
          <w:b/>
          <w:sz w:val="24"/>
          <w:szCs w:val="24"/>
        </w:rPr>
        <w:t>ETELVINA</w:t>
      </w:r>
      <w:r w:rsidRPr="001E05F5">
        <w:rPr>
          <w:rFonts w:ascii="Arial" w:hAnsi="Arial" w:cs="Arial"/>
          <w:sz w:val="24"/>
          <w:szCs w:val="24"/>
        </w:rPr>
        <w:t xml:space="preserve"> y lo siguió habitando después de la muerte de ella. </w:t>
      </w:r>
      <w:r w:rsidR="005E6788" w:rsidRPr="001E05F5">
        <w:rPr>
          <w:rFonts w:ascii="Arial" w:hAnsi="Arial" w:cs="Arial"/>
          <w:b/>
          <w:sz w:val="24"/>
          <w:szCs w:val="24"/>
        </w:rPr>
        <w:t>RAÚL EMILIO</w:t>
      </w:r>
      <w:r w:rsidR="005E6788" w:rsidRPr="001E05F5">
        <w:rPr>
          <w:rFonts w:ascii="Arial" w:hAnsi="Arial" w:cs="Arial"/>
          <w:sz w:val="24"/>
          <w:szCs w:val="24"/>
        </w:rPr>
        <w:t xml:space="preserve"> informa que el actor era quien velaba por la manutención de su madre, pagaba los servicios y demás. No lo vi</w:t>
      </w:r>
      <w:r w:rsidR="005E275A" w:rsidRPr="001E05F5">
        <w:rPr>
          <w:rFonts w:ascii="Arial" w:hAnsi="Arial" w:cs="Arial"/>
          <w:sz w:val="24"/>
          <w:szCs w:val="24"/>
        </w:rPr>
        <w:t>o</w:t>
      </w:r>
      <w:r w:rsidR="005E6788" w:rsidRPr="001E05F5">
        <w:rPr>
          <w:rFonts w:ascii="Arial" w:hAnsi="Arial" w:cs="Arial"/>
          <w:sz w:val="24"/>
          <w:szCs w:val="24"/>
        </w:rPr>
        <w:t xml:space="preserve"> pagando, lo </w:t>
      </w:r>
      <w:r w:rsidR="005E275A" w:rsidRPr="001E05F5">
        <w:rPr>
          <w:rFonts w:ascii="Arial" w:hAnsi="Arial" w:cs="Arial"/>
          <w:sz w:val="24"/>
          <w:szCs w:val="24"/>
        </w:rPr>
        <w:t>sabe</w:t>
      </w:r>
      <w:r w:rsidR="005E6788" w:rsidRPr="001E05F5">
        <w:rPr>
          <w:rFonts w:ascii="Arial" w:hAnsi="Arial" w:cs="Arial"/>
          <w:sz w:val="24"/>
          <w:szCs w:val="24"/>
        </w:rPr>
        <w:t xml:space="preserve"> por lo que </w:t>
      </w:r>
      <w:r w:rsidR="005E275A" w:rsidRPr="001E05F5">
        <w:rPr>
          <w:rFonts w:ascii="Arial" w:hAnsi="Arial" w:cs="Arial"/>
          <w:sz w:val="24"/>
          <w:szCs w:val="24"/>
        </w:rPr>
        <w:t>él l</w:t>
      </w:r>
      <w:r w:rsidR="005E6788" w:rsidRPr="001E05F5">
        <w:rPr>
          <w:rFonts w:ascii="Arial" w:hAnsi="Arial" w:cs="Arial"/>
          <w:sz w:val="24"/>
          <w:szCs w:val="24"/>
        </w:rPr>
        <w:t xml:space="preserve">e comentaba. No sabe en qué </w:t>
      </w:r>
      <w:r w:rsidR="005E275A" w:rsidRPr="001E05F5">
        <w:rPr>
          <w:rFonts w:ascii="Arial" w:hAnsi="Arial" w:cs="Arial"/>
          <w:sz w:val="24"/>
          <w:szCs w:val="24"/>
        </w:rPr>
        <w:t>momento</w:t>
      </w:r>
      <w:r w:rsidR="005E6788" w:rsidRPr="001E05F5">
        <w:rPr>
          <w:rFonts w:ascii="Arial" w:hAnsi="Arial" w:cs="Arial"/>
          <w:sz w:val="24"/>
          <w:szCs w:val="24"/>
        </w:rPr>
        <w:t xml:space="preserve"> o </w:t>
      </w:r>
      <w:r w:rsidR="005E275A" w:rsidRPr="001E05F5">
        <w:rPr>
          <w:rFonts w:ascii="Arial" w:hAnsi="Arial" w:cs="Arial"/>
          <w:sz w:val="24"/>
          <w:szCs w:val="24"/>
        </w:rPr>
        <w:t>circunstancias</w:t>
      </w:r>
      <w:r w:rsidR="005E6788" w:rsidRPr="001E05F5">
        <w:rPr>
          <w:rFonts w:ascii="Arial" w:hAnsi="Arial" w:cs="Arial"/>
          <w:sz w:val="24"/>
          <w:szCs w:val="24"/>
        </w:rPr>
        <w:t xml:space="preserve"> llegaron a vivir allí. </w:t>
      </w:r>
      <w:r w:rsidR="005E275A" w:rsidRPr="001E05F5">
        <w:rPr>
          <w:rFonts w:ascii="Arial" w:hAnsi="Arial" w:cs="Arial"/>
          <w:sz w:val="24"/>
          <w:szCs w:val="24"/>
        </w:rPr>
        <w:t>Más</w:t>
      </w:r>
      <w:r w:rsidR="005E6788" w:rsidRPr="001E05F5">
        <w:rPr>
          <w:rFonts w:ascii="Arial" w:hAnsi="Arial" w:cs="Arial"/>
          <w:sz w:val="24"/>
          <w:szCs w:val="24"/>
        </w:rPr>
        <w:t xml:space="preserve"> adelante refiere que, lo único que conoció del </w:t>
      </w:r>
      <w:r w:rsidR="005E275A" w:rsidRPr="001E05F5">
        <w:rPr>
          <w:rFonts w:ascii="Arial" w:hAnsi="Arial" w:cs="Arial"/>
          <w:sz w:val="24"/>
          <w:szCs w:val="24"/>
        </w:rPr>
        <w:t>actor</w:t>
      </w:r>
      <w:r w:rsidR="005E6788" w:rsidRPr="001E05F5">
        <w:rPr>
          <w:rFonts w:ascii="Arial" w:hAnsi="Arial" w:cs="Arial"/>
          <w:sz w:val="24"/>
          <w:szCs w:val="24"/>
        </w:rPr>
        <w:t xml:space="preserve"> fue su calidad de </w:t>
      </w:r>
      <w:r w:rsidR="005E275A" w:rsidRPr="001E05F5">
        <w:rPr>
          <w:rFonts w:ascii="Arial" w:hAnsi="Arial" w:cs="Arial"/>
          <w:sz w:val="24"/>
          <w:szCs w:val="24"/>
        </w:rPr>
        <w:t>habitante de ese apartamento. Y</w:t>
      </w:r>
      <w:r w:rsidR="005E275A" w:rsidRPr="001E05F5">
        <w:rPr>
          <w:rFonts w:ascii="Arial" w:hAnsi="Arial" w:cs="Arial"/>
          <w:b/>
          <w:sz w:val="24"/>
          <w:szCs w:val="24"/>
        </w:rPr>
        <w:t xml:space="preserve"> MARÍA </w:t>
      </w:r>
      <w:proofErr w:type="spellStart"/>
      <w:r w:rsidR="005E275A" w:rsidRPr="001E05F5">
        <w:rPr>
          <w:rFonts w:ascii="Arial" w:hAnsi="Arial" w:cs="Arial"/>
          <w:b/>
          <w:sz w:val="24"/>
          <w:szCs w:val="24"/>
        </w:rPr>
        <w:t>LUCELLY</w:t>
      </w:r>
      <w:proofErr w:type="spellEnd"/>
      <w:r w:rsidR="005E275A" w:rsidRPr="001E05F5">
        <w:rPr>
          <w:rFonts w:ascii="Arial" w:hAnsi="Arial" w:cs="Arial"/>
          <w:sz w:val="24"/>
          <w:szCs w:val="24"/>
        </w:rPr>
        <w:t xml:space="preserve">, frente a la pregunta </w:t>
      </w:r>
      <w:r w:rsidR="005E275A" w:rsidRPr="001E05F5">
        <w:rPr>
          <w:rFonts w:ascii="Arial" w:hAnsi="Arial" w:cs="Arial"/>
          <w:i/>
          <w:sz w:val="24"/>
          <w:szCs w:val="24"/>
        </w:rPr>
        <w:t>“Usted conoce quien paga los impuestos del bien inmueble objeto de usucapión, quien ha estado al frente de ese inmueble y quien ha realizado mejoras</w:t>
      </w:r>
      <w:proofErr w:type="gramStart"/>
      <w:r w:rsidR="006C7756" w:rsidRPr="001E05F5">
        <w:rPr>
          <w:rFonts w:ascii="Arial" w:hAnsi="Arial" w:cs="Arial"/>
          <w:i/>
          <w:sz w:val="24"/>
          <w:szCs w:val="24"/>
        </w:rPr>
        <w:t>?</w:t>
      </w:r>
      <w:proofErr w:type="gramEnd"/>
      <w:r w:rsidR="005E275A" w:rsidRPr="001E05F5">
        <w:rPr>
          <w:rFonts w:ascii="Arial" w:hAnsi="Arial" w:cs="Arial"/>
          <w:sz w:val="24"/>
          <w:szCs w:val="24"/>
        </w:rPr>
        <w:t xml:space="preserve"> Respondió</w:t>
      </w:r>
      <w:r w:rsidR="005E275A" w:rsidRPr="001E05F5">
        <w:rPr>
          <w:rFonts w:ascii="Arial" w:hAnsi="Arial" w:cs="Arial"/>
          <w:i/>
          <w:sz w:val="24"/>
          <w:szCs w:val="24"/>
        </w:rPr>
        <w:t xml:space="preserve">: “Siempre él, don Pedro </w:t>
      </w:r>
      <w:proofErr w:type="spellStart"/>
      <w:r w:rsidR="005E275A" w:rsidRPr="001E05F5">
        <w:rPr>
          <w:rFonts w:ascii="Arial" w:hAnsi="Arial" w:cs="Arial"/>
          <w:i/>
          <w:sz w:val="24"/>
          <w:szCs w:val="24"/>
        </w:rPr>
        <w:t>Nel</w:t>
      </w:r>
      <w:proofErr w:type="spellEnd"/>
      <w:r w:rsidR="005E275A" w:rsidRPr="001E05F5">
        <w:rPr>
          <w:rFonts w:ascii="Arial" w:hAnsi="Arial" w:cs="Arial"/>
          <w:i/>
          <w:sz w:val="24"/>
          <w:szCs w:val="24"/>
        </w:rPr>
        <w:t xml:space="preserve"> Monsalve. Lo sé porque él es el único que ha vivido allí, no conozco a nadie más, el habitaba el inmueble con su madre Etelvina Valencia”</w:t>
      </w:r>
      <w:r w:rsidR="005E275A" w:rsidRPr="001E05F5">
        <w:rPr>
          <w:rFonts w:ascii="Arial" w:hAnsi="Arial" w:cs="Arial"/>
          <w:sz w:val="24"/>
          <w:szCs w:val="24"/>
        </w:rPr>
        <w:t xml:space="preserve">. </w:t>
      </w:r>
      <w:r w:rsidRPr="001E05F5">
        <w:rPr>
          <w:rFonts w:ascii="Arial" w:hAnsi="Arial" w:cs="Arial"/>
          <w:sz w:val="24"/>
          <w:szCs w:val="24"/>
        </w:rPr>
        <w:t>(</w:t>
      </w:r>
      <w:r w:rsidR="009F4450" w:rsidRPr="001E05F5">
        <w:rPr>
          <w:rFonts w:ascii="Arial" w:hAnsi="Arial" w:cs="Arial"/>
          <w:sz w:val="24"/>
          <w:szCs w:val="24"/>
        </w:rPr>
        <w:t>D</w:t>
      </w:r>
      <w:r w:rsidRPr="001E05F5">
        <w:rPr>
          <w:rFonts w:ascii="Arial" w:hAnsi="Arial" w:cs="Arial"/>
          <w:sz w:val="24"/>
          <w:szCs w:val="24"/>
        </w:rPr>
        <w:t>eclaraciones rendidas en el año 2012, folios 3-4 y 22-23 c. 3).</w:t>
      </w:r>
    </w:p>
    <w:p w:rsidR="005E275A" w:rsidRPr="001E05F5" w:rsidRDefault="005E275A" w:rsidP="001E05F5">
      <w:pPr>
        <w:pStyle w:val="Sinespaciado1"/>
        <w:spacing w:line="276" w:lineRule="auto"/>
        <w:ind w:firstLine="2835"/>
        <w:jc w:val="both"/>
        <w:rPr>
          <w:rFonts w:ascii="Arial" w:hAnsi="Arial" w:cs="Arial"/>
          <w:sz w:val="24"/>
          <w:szCs w:val="24"/>
        </w:rPr>
      </w:pPr>
    </w:p>
    <w:p w:rsidR="005E275A" w:rsidRPr="001E05F5" w:rsidRDefault="009F4450" w:rsidP="001E05F5">
      <w:pPr>
        <w:pStyle w:val="Sinespaciado1"/>
        <w:spacing w:line="276" w:lineRule="auto"/>
        <w:ind w:firstLine="2835"/>
        <w:jc w:val="both"/>
        <w:rPr>
          <w:rFonts w:ascii="Arial" w:hAnsi="Arial" w:cs="Arial"/>
          <w:sz w:val="24"/>
          <w:szCs w:val="24"/>
        </w:rPr>
      </w:pPr>
      <w:r w:rsidRPr="001E05F5">
        <w:rPr>
          <w:rFonts w:ascii="Arial" w:hAnsi="Arial" w:cs="Arial"/>
          <w:sz w:val="24"/>
          <w:szCs w:val="24"/>
        </w:rPr>
        <w:t xml:space="preserve">Así, </w:t>
      </w:r>
      <w:r w:rsidR="005E275A" w:rsidRPr="001E05F5">
        <w:rPr>
          <w:rFonts w:ascii="Arial" w:hAnsi="Arial" w:cs="Arial"/>
          <w:sz w:val="24"/>
          <w:szCs w:val="24"/>
        </w:rPr>
        <w:t xml:space="preserve">de dichos testimonios no es posible inferir verdaderos actos </w:t>
      </w:r>
      <w:r w:rsidR="00543C54" w:rsidRPr="001E05F5">
        <w:rPr>
          <w:rFonts w:ascii="Arial" w:hAnsi="Arial" w:cs="Arial"/>
          <w:sz w:val="24"/>
          <w:szCs w:val="24"/>
        </w:rPr>
        <w:t xml:space="preserve">de posesión material </w:t>
      </w:r>
      <w:r w:rsidR="005E275A" w:rsidRPr="001E05F5">
        <w:rPr>
          <w:rFonts w:ascii="Arial" w:hAnsi="Arial" w:cs="Arial"/>
          <w:sz w:val="24"/>
          <w:szCs w:val="24"/>
        </w:rPr>
        <w:t xml:space="preserve">por parte del </w:t>
      </w:r>
      <w:r w:rsidR="00543C54" w:rsidRPr="001E05F5">
        <w:rPr>
          <w:rFonts w:ascii="Arial" w:hAnsi="Arial" w:cs="Arial"/>
          <w:b/>
          <w:sz w:val="24"/>
          <w:szCs w:val="24"/>
        </w:rPr>
        <w:t xml:space="preserve">PEDRO </w:t>
      </w:r>
      <w:proofErr w:type="spellStart"/>
      <w:r w:rsidR="00543C54" w:rsidRPr="001E05F5">
        <w:rPr>
          <w:rFonts w:ascii="Arial" w:hAnsi="Arial" w:cs="Arial"/>
          <w:b/>
          <w:sz w:val="24"/>
          <w:szCs w:val="24"/>
        </w:rPr>
        <w:t>NEL</w:t>
      </w:r>
      <w:proofErr w:type="spellEnd"/>
      <w:r w:rsidR="005E275A" w:rsidRPr="001E05F5">
        <w:rPr>
          <w:rFonts w:ascii="Arial" w:hAnsi="Arial" w:cs="Arial"/>
          <w:sz w:val="24"/>
          <w:szCs w:val="24"/>
        </w:rPr>
        <w:t>.</w:t>
      </w:r>
    </w:p>
    <w:p w:rsidR="00351F66" w:rsidRPr="001E05F5" w:rsidRDefault="00351F66" w:rsidP="001E05F5">
      <w:pPr>
        <w:pStyle w:val="Sinespaciado1"/>
        <w:spacing w:line="276" w:lineRule="auto"/>
        <w:ind w:firstLine="2835"/>
        <w:jc w:val="both"/>
        <w:rPr>
          <w:rFonts w:ascii="Arial" w:hAnsi="Arial" w:cs="Arial"/>
          <w:sz w:val="24"/>
          <w:szCs w:val="24"/>
        </w:rPr>
      </w:pPr>
    </w:p>
    <w:p w:rsidR="00497B88" w:rsidRPr="001E05F5" w:rsidRDefault="00351F66" w:rsidP="001E05F5">
      <w:pPr>
        <w:pStyle w:val="Sinespaciado1"/>
        <w:spacing w:line="276" w:lineRule="auto"/>
        <w:ind w:firstLine="2835"/>
        <w:jc w:val="both"/>
        <w:rPr>
          <w:rFonts w:ascii="Arial" w:eastAsia="Times New Roman" w:hAnsi="Arial" w:cs="Arial"/>
          <w:sz w:val="24"/>
          <w:szCs w:val="24"/>
          <w:lang w:val="es-MX"/>
        </w:rPr>
      </w:pPr>
      <w:r w:rsidRPr="001E05F5">
        <w:rPr>
          <w:rFonts w:ascii="Arial" w:eastAsia="Times New Roman" w:hAnsi="Arial" w:cs="Arial"/>
          <w:b/>
          <w:sz w:val="24"/>
          <w:szCs w:val="24"/>
          <w:lang w:val="es-MX"/>
        </w:rPr>
        <w:t>6.</w:t>
      </w:r>
      <w:r w:rsidRPr="001E05F5">
        <w:rPr>
          <w:rFonts w:ascii="Arial" w:eastAsia="Times New Roman" w:hAnsi="Arial" w:cs="Arial"/>
          <w:sz w:val="24"/>
          <w:szCs w:val="24"/>
          <w:lang w:val="es-MX"/>
        </w:rPr>
        <w:t xml:space="preserve"> De conformidad con lo expuesto, deviene necesariamente la </w:t>
      </w:r>
      <w:proofErr w:type="spellStart"/>
      <w:r w:rsidRPr="001E05F5">
        <w:rPr>
          <w:rFonts w:ascii="Arial" w:eastAsia="Times New Roman" w:hAnsi="Arial" w:cs="Arial"/>
          <w:sz w:val="24"/>
          <w:szCs w:val="24"/>
          <w:lang w:val="es-MX"/>
        </w:rPr>
        <w:t>improsperidad</w:t>
      </w:r>
      <w:proofErr w:type="spellEnd"/>
      <w:r w:rsidRPr="001E05F5">
        <w:rPr>
          <w:rFonts w:ascii="Arial" w:eastAsia="Times New Roman" w:hAnsi="Arial" w:cs="Arial"/>
          <w:sz w:val="24"/>
          <w:szCs w:val="24"/>
          <w:lang w:val="es-MX"/>
        </w:rPr>
        <w:t xml:space="preserve"> de la impugnación, que conlleva la confirmación de la decisión venida en apelación y la consecuente imposición de costas a su promotor</w:t>
      </w:r>
      <w:r w:rsidR="00905C11" w:rsidRPr="001E05F5">
        <w:rPr>
          <w:rFonts w:ascii="Arial" w:eastAsia="Times New Roman" w:hAnsi="Arial" w:cs="Arial"/>
          <w:sz w:val="24"/>
          <w:szCs w:val="24"/>
          <w:lang w:val="es-MX"/>
        </w:rPr>
        <w:t xml:space="preserve">, no sin antes </w:t>
      </w:r>
      <w:r w:rsidR="00497B88" w:rsidRPr="001E05F5">
        <w:rPr>
          <w:rFonts w:ascii="Arial" w:eastAsia="Times New Roman" w:hAnsi="Arial" w:cs="Arial"/>
          <w:sz w:val="24"/>
          <w:szCs w:val="24"/>
          <w:lang w:val="es-MX"/>
        </w:rPr>
        <w:t>recordar que la Corte Suprema de Justicia ha mencionado que,</w:t>
      </w:r>
      <w:r w:rsidR="00497B88" w:rsidRPr="001E05F5">
        <w:rPr>
          <w:rFonts w:ascii="Arial" w:hAnsi="Arial" w:cs="Arial"/>
          <w:sz w:val="24"/>
          <w:szCs w:val="24"/>
        </w:rPr>
        <w:t xml:space="preserve"> </w:t>
      </w:r>
      <w:r w:rsidR="00497B88" w:rsidRPr="001E05F5">
        <w:rPr>
          <w:rFonts w:ascii="Arial" w:eastAsia="Times New Roman" w:hAnsi="Arial" w:cs="Arial"/>
          <w:sz w:val="24"/>
          <w:szCs w:val="24"/>
          <w:lang w:val="es-MX"/>
        </w:rPr>
        <w:t>cuando los sentenciadores de instancia asumen el estudio de la legitimación y determinan su ausencia en relación con alguna de las partes, lo que los lleva a negar la pretensión, están, en estricto sentido, resolviendo oficiosamente sobre los presupuestos indispensables para desatar de mérito la cuestión litigada</w:t>
      </w:r>
      <w:r w:rsidR="00045652" w:rsidRPr="001E05F5">
        <w:rPr>
          <w:rStyle w:val="Refdenotaalpie"/>
          <w:rFonts w:ascii="Arial" w:eastAsia="Times New Roman" w:hAnsi="Arial" w:cs="Arial"/>
          <w:sz w:val="24"/>
          <w:szCs w:val="24"/>
          <w:lang w:val="es-MX"/>
        </w:rPr>
        <w:footnoteReference w:id="2"/>
      </w:r>
      <w:r w:rsidR="00497B88" w:rsidRPr="001E05F5">
        <w:rPr>
          <w:rFonts w:ascii="Arial" w:eastAsia="Times New Roman" w:hAnsi="Arial" w:cs="Arial"/>
          <w:sz w:val="24"/>
          <w:szCs w:val="24"/>
          <w:lang w:val="es-MX"/>
        </w:rPr>
        <w:t>.</w:t>
      </w:r>
      <w:r w:rsidR="00045652" w:rsidRPr="001E05F5">
        <w:rPr>
          <w:rFonts w:ascii="Arial" w:eastAsia="Times New Roman" w:hAnsi="Arial" w:cs="Arial"/>
          <w:sz w:val="24"/>
          <w:szCs w:val="24"/>
          <w:lang w:val="es-MX"/>
        </w:rPr>
        <w:t xml:space="preserve"> Y dijo:</w:t>
      </w:r>
    </w:p>
    <w:p w:rsidR="00045652" w:rsidRPr="001E05F5" w:rsidRDefault="00045652" w:rsidP="001E05F5">
      <w:pPr>
        <w:pStyle w:val="Sinespaciado1"/>
        <w:spacing w:line="276" w:lineRule="auto"/>
        <w:ind w:firstLine="2835"/>
        <w:jc w:val="both"/>
        <w:rPr>
          <w:rFonts w:ascii="Arial" w:eastAsia="Times New Roman" w:hAnsi="Arial" w:cs="Arial"/>
          <w:sz w:val="24"/>
          <w:szCs w:val="24"/>
          <w:lang w:val="es-MX"/>
        </w:rPr>
      </w:pPr>
    </w:p>
    <w:p w:rsidR="00045652" w:rsidRPr="00E51E3A" w:rsidRDefault="00045652" w:rsidP="00E51E3A">
      <w:pPr>
        <w:pStyle w:val="Sinespaciado1"/>
        <w:ind w:left="426" w:right="420" w:firstLine="2127"/>
        <w:jc w:val="both"/>
        <w:rPr>
          <w:rFonts w:ascii="Arial" w:eastAsia="Times New Roman" w:hAnsi="Arial" w:cs="Arial"/>
          <w:szCs w:val="24"/>
          <w:lang w:val="es-MX"/>
        </w:rPr>
      </w:pPr>
      <w:r w:rsidRPr="00E51E3A">
        <w:rPr>
          <w:rFonts w:ascii="Arial" w:eastAsia="Times New Roman" w:hAnsi="Arial" w:cs="Arial"/>
          <w:szCs w:val="24"/>
          <w:lang w:val="es-MX"/>
        </w:rPr>
        <w:t>“En complemento de lo anterior, debe señalarse que, en estrictez,</w:t>
      </w:r>
    </w:p>
    <w:p w:rsidR="00045652" w:rsidRPr="00E51E3A" w:rsidRDefault="00045652" w:rsidP="00E51E3A">
      <w:pPr>
        <w:pStyle w:val="Sinespaciado1"/>
        <w:ind w:left="426" w:right="420" w:firstLine="2127"/>
        <w:jc w:val="both"/>
        <w:rPr>
          <w:rFonts w:ascii="Arial" w:hAnsi="Arial" w:cs="Arial"/>
          <w:szCs w:val="24"/>
        </w:rPr>
      </w:pPr>
      <w:r w:rsidRPr="00E51E3A">
        <w:rPr>
          <w:rFonts w:ascii="Arial" w:eastAsia="Times New Roman" w:hAnsi="Arial" w:cs="Arial"/>
          <w:szCs w:val="24"/>
          <w:lang w:val="es-MX"/>
        </w:rPr>
        <w:t xml:space="preserve">“la legitimación en la causa, bien por activa o por pasiva, </w:t>
      </w:r>
      <w:r w:rsidRPr="00E51E3A">
        <w:rPr>
          <w:rFonts w:ascii="Arial" w:eastAsia="Times New Roman" w:hAnsi="Arial" w:cs="Arial"/>
          <w:i/>
          <w:szCs w:val="24"/>
          <w:u w:val="single"/>
          <w:lang w:val="es-MX"/>
        </w:rPr>
        <w:t>no es una excepción</w:t>
      </w:r>
      <w:r w:rsidRPr="00E51E3A">
        <w:rPr>
          <w:rFonts w:ascii="Arial" w:eastAsia="Times New Roman" w:hAnsi="Arial" w:cs="Arial"/>
          <w:szCs w:val="24"/>
          <w:lang w:val="es-MX"/>
        </w:rPr>
        <w:t xml:space="preserve"> sino que es </w:t>
      </w:r>
      <w:r w:rsidRPr="00E51E3A">
        <w:rPr>
          <w:rFonts w:ascii="Arial" w:eastAsia="Times New Roman" w:hAnsi="Arial" w:cs="Arial"/>
          <w:i/>
          <w:szCs w:val="24"/>
          <w:u w:val="single"/>
          <w:lang w:val="es-MX"/>
        </w:rPr>
        <w:t>uno de los requisitos necesarios e imprescindibles para que se pueda dictar providencia de mérito, ora favorable al actor o bien desechando sus pedimentos,</w:t>
      </w:r>
      <w:r w:rsidRPr="00E51E3A">
        <w:rPr>
          <w:rFonts w:ascii="Arial" w:eastAsia="Times New Roman" w:hAnsi="Arial" w:cs="Arial"/>
          <w:szCs w:val="24"/>
          <w:lang w:val="es-MX"/>
        </w:rPr>
        <w:t xml:space="preserve"> porque entendida ésta ‘como la designación legal de los sujetos del proceso para disputar el derecho debatido ante la jurisdicción, constituye uno de los presupuestos requeridos para dictar sentencia de fondo, sea estimatoria o desestimatoria. Y en caso de no advertirla el juez en la parte activa, en la pasiva o en ambas, deviene ineluctablemente, sin necesidad de mediar ningún otro análisis, la expedición de un fallo absolutorio; </w:t>
      </w:r>
      <w:r w:rsidRPr="00E51E3A">
        <w:rPr>
          <w:rFonts w:ascii="Arial" w:eastAsia="Times New Roman" w:hAnsi="Arial" w:cs="Arial"/>
          <w:szCs w:val="24"/>
          <w:u w:val="single"/>
          <w:lang w:val="es-MX"/>
        </w:rPr>
        <w:t>de allí que se imponga examinar de entrada la legitimación que le asiste a la parte demandante para formular la pretensión’</w:t>
      </w:r>
      <w:r w:rsidRPr="00E51E3A">
        <w:rPr>
          <w:rFonts w:ascii="Arial" w:eastAsia="Times New Roman" w:hAnsi="Arial" w:cs="Arial"/>
          <w:szCs w:val="24"/>
          <w:lang w:val="es-MX"/>
        </w:rPr>
        <w:t xml:space="preserve"> (sentencia de casación N° 051 de 23 de abril de 2003, expediente 76519)” (CSJ SC </w:t>
      </w:r>
      <w:bookmarkStart w:id="0" w:name="_GoBack"/>
      <w:bookmarkEnd w:id="0"/>
      <w:r w:rsidRPr="00E51E3A">
        <w:rPr>
          <w:rFonts w:ascii="Arial" w:eastAsia="Times New Roman" w:hAnsi="Arial" w:cs="Arial"/>
          <w:szCs w:val="24"/>
          <w:lang w:val="es-MX"/>
        </w:rPr>
        <w:t>de 23 de abril de 2007, Rad. 1999-00125-01; se subraya).</w:t>
      </w:r>
    </w:p>
    <w:p w:rsidR="00045652" w:rsidRPr="00E51E3A" w:rsidRDefault="00045652" w:rsidP="00E51E3A">
      <w:pPr>
        <w:pStyle w:val="Sinespaciado1"/>
        <w:ind w:left="426" w:right="420" w:firstLine="2127"/>
        <w:jc w:val="both"/>
        <w:rPr>
          <w:rFonts w:ascii="Arial" w:hAnsi="Arial" w:cs="Arial"/>
          <w:szCs w:val="24"/>
        </w:rPr>
      </w:pPr>
    </w:p>
    <w:p w:rsidR="00045652" w:rsidRPr="00E51E3A" w:rsidRDefault="00045652" w:rsidP="00E51E3A">
      <w:pPr>
        <w:pStyle w:val="Sinespaciado1"/>
        <w:ind w:left="426" w:right="420" w:firstLine="2127"/>
        <w:jc w:val="both"/>
        <w:rPr>
          <w:rFonts w:ascii="Arial" w:eastAsia="Times New Roman" w:hAnsi="Arial" w:cs="Arial"/>
          <w:szCs w:val="24"/>
          <w:lang w:val="es-MX"/>
        </w:rPr>
      </w:pPr>
      <w:r w:rsidRPr="00E51E3A">
        <w:rPr>
          <w:rFonts w:ascii="Arial" w:eastAsia="Times New Roman" w:hAnsi="Arial" w:cs="Arial"/>
          <w:szCs w:val="24"/>
          <w:lang w:val="es-MX"/>
        </w:rPr>
        <w:t xml:space="preserve">Sin embargo de lo anterior, no escapa a esta Sala que cuando en su defensa el demandado aduce hechos tendientes a refutar el derecho que pretende el actor, y precisamente los trae al proceso buscando desconocer la titularidad de cualquiera de las partes, o de ambas, respecto del objeto material o jurídico debatido, ha de tramitarse como excepción esta particular forma de oposición, que se dirige derechamente a enervar la legitimación en la causa activa o pasiva, entendidos estos conceptos por la Corte, siguiendo a </w:t>
      </w:r>
      <w:proofErr w:type="spellStart"/>
      <w:r w:rsidRPr="00E51E3A">
        <w:rPr>
          <w:rFonts w:ascii="Arial" w:eastAsia="Times New Roman" w:hAnsi="Arial" w:cs="Arial"/>
          <w:szCs w:val="24"/>
          <w:lang w:val="es-MX"/>
        </w:rPr>
        <w:t>Chiovenda</w:t>
      </w:r>
      <w:proofErr w:type="spellEnd"/>
      <w:r w:rsidRPr="00E51E3A">
        <w:rPr>
          <w:rFonts w:ascii="Arial" w:eastAsia="Times New Roman" w:hAnsi="Arial" w:cs="Arial"/>
          <w:szCs w:val="24"/>
          <w:lang w:val="es-MX"/>
        </w:rPr>
        <w:t xml:space="preserve"> como “la identidad de la persona del actor con la persona a la cual la ley concede la acción (legitimación activa) y la identidad de la persona del demandado con la persona contra la cual es concedida la acción (legitimación pasiva)". (Instituciones de Derecho </w:t>
      </w:r>
      <w:r w:rsidRPr="00E51E3A">
        <w:rPr>
          <w:rFonts w:ascii="Arial" w:eastAsia="Times New Roman" w:hAnsi="Arial" w:cs="Arial"/>
          <w:szCs w:val="24"/>
          <w:lang w:val="es-MX"/>
        </w:rPr>
        <w:lastRenderedPageBreak/>
        <w:t>Procesal Civil, 1, 185)” (</w:t>
      </w:r>
      <w:proofErr w:type="spellStart"/>
      <w:r w:rsidRPr="00E51E3A">
        <w:rPr>
          <w:rFonts w:ascii="Arial" w:eastAsia="Times New Roman" w:hAnsi="Arial" w:cs="Arial"/>
          <w:szCs w:val="24"/>
          <w:lang w:val="es-MX"/>
        </w:rPr>
        <w:t>G.J</w:t>
      </w:r>
      <w:proofErr w:type="spellEnd"/>
      <w:r w:rsidRPr="00E51E3A">
        <w:rPr>
          <w:rFonts w:ascii="Arial" w:eastAsia="Times New Roman" w:hAnsi="Arial" w:cs="Arial"/>
          <w:szCs w:val="24"/>
          <w:lang w:val="es-MX"/>
        </w:rPr>
        <w:t xml:space="preserve">. CCXXXVII, v1, n.° 2476, pág. 486. En igual sentido, </w:t>
      </w:r>
      <w:proofErr w:type="spellStart"/>
      <w:r w:rsidRPr="00E51E3A">
        <w:rPr>
          <w:rFonts w:ascii="Arial" w:eastAsia="Times New Roman" w:hAnsi="Arial" w:cs="Arial"/>
          <w:szCs w:val="24"/>
          <w:lang w:val="es-MX"/>
        </w:rPr>
        <w:t>G.J</w:t>
      </w:r>
      <w:proofErr w:type="spellEnd"/>
      <w:r w:rsidRPr="00E51E3A">
        <w:rPr>
          <w:rFonts w:ascii="Arial" w:eastAsia="Times New Roman" w:hAnsi="Arial" w:cs="Arial"/>
          <w:szCs w:val="24"/>
          <w:lang w:val="es-MX"/>
        </w:rPr>
        <w:t>. LXXXI, n.° 2157-2158, pág. 48, entre otras).”</w:t>
      </w:r>
    </w:p>
    <w:p w:rsidR="00045652" w:rsidRPr="001E05F5" w:rsidRDefault="00045652" w:rsidP="001E05F5">
      <w:pPr>
        <w:pStyle w:val="Sinespaciado1"/>
        <w:spacing w:line="276" w:lineRule="auto"/>
        <w:ind w:firstLine="2835"/>
        <w:jc w:val="both"/>
        <w:rPr>
          <w:rFonts w:ascii="Arial" w:eastAsia="Times New Roman" w:hAnsi="Arial" w:cs="Arial"/>
          <w:sz w:val="24"/>
          <w:szCs w:val="24"/>
          <w:lang w:val="es-MX"/>
        </w:rPr>
      </w:pPr>
    </w:p>
    <w:p w:rsidR="00045652" w:rsidRPr="001E05F5" w:rsidRDefault="00045652" w:rsidP="001E05F5">
      <w:pPr>
        <w:pStyle w:val="Sinespaciado1"/>
        <w:spacing w:line="276" w:lineRule="auto"/>
        <w:ind w:firstLine="2835"/>
        <w:jc w:val="both"/>
        <w:rPr>
          <w:rFonts w:ascii="Arial" w:eastAsia="Times New Roman" w:hAnsi="Arial" w:cs="Arial"/>
          <w:b/>
          <w:sz w:val="24"/>
          <w:szCs w:val="24"/>
          <w:lang w:val="es-MX"/>
        </w:rPr>
      </w:pPr>
      <w:r w:rsidRPr="001E05F5">
        <w:rPr>
          <w:rFonts w:ascii="Arial" w:eastAsia="Times New Roman" w:hAnsi="Arial" w:cs="Arial"/>
          <w:b/>
          <w:sz w:val="24"/>
          <w:szCs w:val="24"/>
          <w:lang w:val="es-MX"/>
        </w:rPr>
        <w:t>VI. DECISIÓN</w:t>
      </w:r>
    </w:p>
    <w:p w:rsidR="00045652" w:rsidRPr="001E05F5" w:rsidRDefault="00045652" w:rsidP="001E05F5">
      <w:pPr>
        <w:pStyle w:val="Sinespaciado1"/>
        <w:spacing w:line="276" w:lineRule="auto"/>
        <w:ind w:firstLine="2835"/>
        <w:jc w:val="both"/>
        <w:rPr>
          <w:rFonts w:ascii="Arial" w:eastAsia="Times New Roman" w:hAnsi="Arial" w:cs="Arial"/>
          <w:sz w:val="24"/>
          <w:szCs w:val="24"/>
          <w:lang w:val="es-MX"/>
        </w:rPr>
      </w:pPr>
    </w:p>
    <w:p w:rsidR="00351F66" w:rsidRPr="001E05F5" w:rsidRDefault="00351F66" w:rsidP="001E05F5">
      <w:pPr>
        <w:pStyle w:val="Sinespaciado1"/>
        <w:spacing w:line="276" w:lineRule="auto"/>
        <w:ind w:firstLine="2835"/>
        <w:jc w:val="both"/>
        <w:rPr>
          <w:rFonts w:ascii="Arial" w:hAnsi="Arial" w:cs="Arial"/>
          <w:bCs/>
          <w:sz w:val="24"/>
          <w:szCs w:val="24"/>
        </w:rPr>
      </w:pPr>
      <w:r w:rsidRPr="001E05F5">
        <w:rPr>
          <w:rFonts w:ascii="Arial" w:hAnsi="Arial" w:cs="Arial"/>
          <w:bCs/>
          <w:sz w:val="24"/>
          <w:szCs w:val="24"/>
        </w:rPr>
        <w:t xml:space="preserve">En mérito de lo expuesto, el Tribunal Superior del Distrito Judicial de Pereira, en Sala Civil Familia de Decisión, administrando justicia en nombre de la República  de Colombia y por autoridad de la ley, </w:t>
      </w:r>
    </w:p>
    <w:p w:rsidR="00351F66" w:rsidRPr="001E05F5" w:rsidRDefault="00351F66" w:rsidP="001E05F5">
      <w:pPr>
        <w:pStyle w:val="Sinespaciado1"/>
        <w:spacing w:line="276" w:lineRule="auto"/>
        <w:ind w:firstLine="2835"/>
        <w:jc w:val="both"/>
        <w:rPr>
          <w:rFonts w:ascii="Arial" w:hAnsi="Arial" w:cs="Arial"/>
          <w:b/>
          <w:bCs/>
          <w:sz w:val="24"/>
          <w:szCs w:val="24"/>
        </w:rPr>
      </w:pPr>
    </w:p>
    <w:p w:rsidR="00351F66" w:rsidRPr="001E05F5" w:rsidRDefault="00351F66" w:rsidP="001E05F5">
      <w:pPr>
        <w:pStyle w:val="Sinespaciado1"/>
        <w:spacing w:line="276" w:lineRule="auto"/>
        <w:ind w:firstLine="2835"/>
        <w:jc w:val="both"/>
        <w:rPr>
          <w:rFonts w:ascii="Arial" w:hAnsi="Arial" w:cs="Arial"/>
          <w:b/>
          <w:bCs/>
          <w:sz w:val="24"/>
          <w:szCs w:val="24"/>
        </w:rPr>
      </w:pPr>
      <w:r w:rsidRPr="001E05F5">
        <w:rPr>
          <w:rFonts w:ascii="Arial" w:hAnsi="Arial" w:cs="Arial"/>
          <w:b/>
          <w:bCs/>
          <w:sz w:val="24"/>
          <w:szCs w:val="24"/>
        </w:rPr>
        <w:t>RESUELVE</w:t>
      </w:r>
    </w:p>
    <w:p w:rsidR="00351F66" w:rsidRPr="001E05F5" w:rsidRDefault="00351F66" w:rsidP="001E05F5">
      <w:pPr>
        <w:pStyle w:val="Sinespaciado1"/>
        <w:spacing w:line="276" w:lineRule="auto"/>
        <w:ind w:firstLine="2835"/>
        <w:jc w:val="both"/>
        <w:rPr>
          <w:rFonts w:ascii="Arial" w:hAnsi="Arial" w:cs="Arial"/>
          <w:b/>
          <w:bCs/>
          <w:sz w:val="24"/>
          <w:szCs w:val="24"/>
        </w:rPr>
      </w:pPr>
    </w:p>
    <w:p w:rsidR="00351F66" w:rsidRPr="001E05F5" w:rsidRDefault="00351F66" w:rsidP="001E05F5">
      <w:pPr>
        <w:pStyle w:val="Sinespaciado1"/>
        <w:spacing w:line="276" w:lineRule="auto"/>
        <w:ind w:firstLine="2835"/>
        <w:jc w:val="both"/>
        <w:rPr>
          <w:rFonts w:ascii="Arial" w:hAnsi="Arial" w:cs="Arial"/>
          <w:bCs/>
          <w:sz w:val="24"/>
          <w:szCs w:val="24"/>
          <w:lang w:val="es-MX"/>
        </w:rPr>
      </w:pPr>
      <w:r w:rsidRPr="001E05F5">
        <w:rPr>
          <w:rFonts w:ascii="Arial" w:hAnsi="Arial" w:cs="Arial"/>
          <w:b/>
          <w:bCs/>
          <w:sz w:val="24"/>
          <w:szCs w:val="24"/>
        </w:rPr>
        <w:t>Primero:</w:t>
      </w:r>
      <w:r w:rsidRPr="001E05F5">
        <w:rPr>
          <w:rFonts w:ascii="Arial" w:hAnsi="Arial" w:cs="Arial"/>
          <w:bCs/>
          <w:sz w:val="24"/>
          <w:szCs w:val="24"/>
        </w:rPr>
        <w:t xml:space="preserve"> </w:t>
      </w:r>
      <w:r w:rsidRPr="001E05F5">
        <w:rPr>
          <w:rFonts w:ascii="Arial" w:hAnsi="Arial" w:cs="Arial"/>
          <w:b/>
          <w:bCs/>
          <w:sz w:val="24"/>
          <w:szCs w:val="24"/>
        </w:rPr>
        <w:t xml:space="preserve">CONFIRMAR </w:t>
      </w:r>
      <w:r w:rsidRPr="001E05F5">
        <w:rPr>
          <w:rFonts w:ascii="Arial" w:hAnsi="Arial" w:cs="Arial"/>
          <w:bCs/>
          <w:sz w:val="24"/>
          <w:szCs w:val="24"/>
          <w:lang w:val="es-MX"/>
        </w:rPr>
        <w:t xml:space="preserve">la sentencia proferida el 15 de mayo de 2013, por el Juzgado Segundo Civil del Circuito de Bello Antioquia dentro del proceso ya referido. </w:t>
      </w:r>
    </w:p>
    <w:p w:rsidR="00351F66" w:rsidRPr="001E05F5" w:rsidRDefault="00351F66" w:rsidP="001E05F5">
      <w:pPr>
        <w:pStyle w:val="Sinespaciado1"/>
        <w:spacing w:line="276" w:lineRule="auto"/>
        <w:ind w:firstLine="2835"/>
        <w:jc w:val="both"/>
        <w:rPr>
          <w:rFonts w:ascii="Arial" w:hAnsi="Arial" w:cs="Arial"/>
          <w:bCs/>
          <w:sz w:val="24"/>
          <w:szCs w:val="24"/>
          <w:lang w:val="es-MX"/>
        </w:rPr>
      </w:pPr>
    </w:p>
    <w:p w:rsidR="00351F66" w:rsidRPr="001E05F5" w:rsidRDefault="00351F66" w:rsidP="001E05F5">
      <w:pPr>
        <w:pStyle w:val="Sinespaciado1"/>
        <w:spacing w:line="276" w:lineRule="auto"/>
        <w:ind w:firstLine="2835"/>
        <w:jc w:val="both"/>
        <w:rPr>
          <w:rFonts w:ascii="Arial" w:hAnsi="Arial" w:cs="Arial"/>
          <w:sz w:val="24"/>
          <w:szCs w:val="24"/>
        </w:rPr>
      </w:pPr>
      <w:r w:rsidRPr="001E05F5">
        <w:rPr>
          <w:rFonts w:ascii="Arial" w:hAnsi="Arial" w:cs="Arial"/>
          <w:b/>
          <w:bCs/>
          <w:sz w:val="24"/>
          <w:szCs w:val="24"/>
        </w:rPr>
        <w:t>Segundo:</w:t>
      </w:r>
      <w:r w:rsidRPr="001E05F5">
        <w:rPr>
          <w:rFonts w:ascii="Arial" w:hAnsi="Arial" w:cs="Arial"/>
          <w:bCs/>
          <w:sz w:val="24"/>
          <w:szCs w:val="24"/>
        </w:rPr>
        <w:t xml:space="preserve"> </w:t>
      </w:r>
      <w:r w:rsidRPr="001E05F5">
        <w:rPr>
          <w:rFonts w:ascii="Arial" w:hAnsi="Arial" w:cs="Arial"/>
          <w:b/>
          <w:bCs/>
          <w:sz w:val="24"/>
          <w:szCs w:val="24"/>
          <w:lang w:val="es-MX"/>
        </w:rPr>
        <w:t xml:space="preserve">CONDENAR </w:t>
      </w:r>
      <w:r w:rsidRPr="001E05F5">
        <w:rPr>
          <w:rFonts w:ascii="Arial" w:hAnsi="Arial" w:cs="Arial"/>
          <w:sz w:val="24"/>
          <w:szCs w:val="24"/>
        </w:rPr>
        <w:t xml:space="preserve">en costas en esta instancia, a la parte recurrente y, en favor de la parte pasiva. Se liquidarán en primera instancia, previa fijación de agencias en derecho en esta sede. </w:t>
      </w:r>
    </w:p>
    <w:p w:rsidR="00351F66" w:rsidRPr="001E05F5" w:rsidRDefault="00351F66" w:rsidP="001E05F5">
      <w:pPr>
        <w:pStyle w:val="Sinespaciado1"/>
        <w:spacing w:line="276" w:lineRule="auto"/>
        <w:ind w:firstLine="2835"/>
        <w:jc w:val="both"/>
        <w:rPr>
          <w:rFonts w:ascii="Arial" w:hAnsi="Arial" w:cs="Arial"/>
          <w:sz w:val="24"/>
          <w:szCs w:val="24"/>
          <w:lang w:val="es-MX"/>
        </w:rPr>
      </w:pPr>
    </w:p>
    <w:p w:rsidR="00351F66" w:rsidRPr="001E05F5" w:rsidRDefault="00351F66" w:rsidP="001E05F5">
      <w:pPr>
        <w:pStyle w:val="Sinespaciado1"/>
        <w:spacing w:line="276" w:lineRule="auto"/>
        <w:ind w:firstLine="2835"/>
        <w:jc w:val="both"/>
        <w:rPr>
          <w:rFonts w:ascii="Arial" w:hAnsi="Arial" w:cs="Arial"/>
          <w:sz w:val="24"/>
          <w:szCs w:val="24"/>
        </w:rPr>
      </w:pPr>
      <w:r w:rsidRPr="001E05F5">
        <w:rPr>
          <w:rFonts w:ascii="Arial" w:hAnsi="Arial" w:cs="Arial"/>
          <w:b/>
          <w:sz w:val="24"/>
          <w:szCs w:val="24"/>
          <w:lang w:val="es-MX"/>
        </w:rPr>
        <w:t xml:space="preserve">Tercero: </w:t>
      </w:r>
      <w:r w:rsidRPr="001E05F5">
        <w:rPr>
          <w:rFonts w:ascii="Arial" w:hAnsi="Arial" w:cs="Arial"/>
          <w:sz w:val="24"/>
          <w:szCs w:val="24"/>
          <w:lang w:val="es-MX"/>
        </w:rPr>
        <w:t>En su oportunidad, vuelva el expediente al juzgado de origen.</w:t>
      </w:r>
    </w:p>
    <w:p w:rsidR="00351F66" w:rsidRPr="001E05F5" w:rsidRDefault="00351F66" w:rsidP="001E05F5">
      <w:pPr>
        <w:pStyle w:val="Sinespaciado1"/>
        <w:spacing w:line="276" w:lineRule="auto"/>
        <w:ind w:firstLine="2835"/>
        <w:jc w:val="both"/>
        <w:rPr>
          <w:rFonts w:ascii="Arial" w:hAnsi="Arial" w:cs="Arial"/>
          <w:sz w:val="24"/>
          <w:szCs w:val="24"/>
        </w:rPr>
      </w:pPr>
    </w:p>
    <w:p w:rsidR="00351F66" w:rsidRPr="001E05F5" w:rsidRDefault="00351F66" w:rsidP="001E05F5">
      <w:pPr>
        <w:pStyle w:val="Sinespaciado1"/>
        <w:spacing w:line="276" w:lineRule="auto"/>
        <w:ind w:firstLine="2835"/>
        <w:jc w:val="both"/>
        <w:rPr>
          <w:rFonts w:ascii="Arial" w:hAnsi="Arial" w:cs="Arial"/>
          <w:sz w:val="24"/>
          <w:szCs w:val="24"/>
        </w:rPr>
      </w:pPr>
      <w:r w:rsidRPr="001E05F5">
        <w:rPr>
          <w:rFonts w:ascii="Arial" w:hAnsi="Arial" w:cs="Arial"/>
          <w:sz w:val="24"/>
          <w:szCs w:val="24"/>
          <w:lang w:val="es-MX"/>
        </w:rPr>
        <w:t>Notifíquese y cúmplase</w:t>
      </w:r>
    </w:p>
    <w:p w:rsidR="00351F66" w:rsidRPr="001E05F5" w:rsidRDefault="00351F66" w:rsidP="001E05F5">
      <w:pPr>
        <w:pStyle w:val="Sinespaciado1"/>
        <w:spacing w:line="276" w:lineRule="auto"/>
        <w:jc w:val="both"/>
        <w:rPr>
          <w:rFonts w:ascii="Arial" w:hAnsi="Arial" w:cs="Arial"/>
          <w:sz w:val="24"/>
          <w:szCs w:val="24"/>
          <w:lang w:val="es-MX"/>
        </w:rPr>
      </w:pPr>
    </w:p>
    <w:p w:rsidR="00E36226" w:rsidRPr="001E05F5" w:rsidRDefault="00E36226" w:rsidP="001E05F5">
      <w:pPr>
        <w:pStyle w:val="Sinespaciado1"/>
        <w:spacing w:line="276" w:lineRule="auto"/>
        <w:jc w:val="both"/>
        <w:rPr>
          <w:rFonts w:ascii="Arial" w:hAnsi="Arial" w:cs="Arial"/>
          <w:sz w:val="24"/>
          <w:szCs w:val="24"/>
          <w:lang w:val="es-MX"/>
        </w:rPr>
      </w:pPr>
      <w:r w:rsidRPr="001E05F5">
        <w:rPr>
          <w:rFonts w:ascii="Arial" w:hAnsi="Arial" w:cs="Arial"/>
          <w:sz w:val="24"/>
          <w:szCs w:val="24"/>
          <w:lang w:val="es-MX"/>
        </w:rPr>
        <w:tab/>
      </w:r>
      <w:r w:rsidRPr="001E05F5">
        <w:rPr>
          <w:rFonts w:ascii="Arial" w:hAnsi="Arial" w:cs="Arial"/>
          <w:sz w:val="24"/>
          <w:szCs w:val="24"/>
          <w:lang w:val="es-MX"/>
        </w:rPr>
        <w:tab/>
      </w:r>
      <w:r w:rsidRPr="001E05F5">
        <w:rPr>
          <w:rFonts w:ascii="Arial" w:hAnsi="Arial" w:cs="Arial"/>
          <w:sz w:val="24"/>
          <w:szCs w:val="24"/>
          <w:lang w:val="es-MX"/>
        </w:rPr>
        <w:tab/>
      </w:r>
      <w:r w:rsidRPr="001E05F5">
        <w:rPr>
          <w:rFonts w:ascii="Arial" w:hAnsi="Arial" w:cs="Arial"/>
          <w:sz w:val="24"/>
          <w:szCs w:val="24"/>
          <w:lang w:val="es-MX"/>
        </w:rPr>
        <w:tab/>
        <w:t>Los magistrados,</w:t>
      </w:r>
    </w:p>
    <w:p w:rsidR="0001381E" w:rsidRPr="001E05F5" w:rsidRDefault="0001381E" w:rsidP="001E05F5">
      <w:pPr>
        <w:pStyle w:val="Sinespaciado1"/>
        <w:spacing w:line="276" w:lineRule="auto"/>
        <w:jc w:val="both"/>
        <w:rPr>
          <w:rFonts w:ascii="Arial" w:hAnsi="Arial" w:cs="Arial"/>
          <w:sz w:val="24"/>
          <w:szCs w:val="24"/>
          <w:lang w:val="es-MX"/>
        </w:rPr>
      </w:pPr>
    </w:p>
    <w:p w:rsidR="0001381E" w:rsidRPr="001E05F5" w:rsidRDefault="0001381E" w:rsidP="001E05F5">
      <w:pPr>
        <w:pStyle w:val="Sinespaciado1"/>
        <w:spacing w:line="276" w:lineRule="auto"/>
        <w:jc w:val="both"/>
        <w:rPr>
          <w:rFonts w:ascii="Arial" w:hAnsi="Arial" w:cs="Arial"/>
          <w:sz w:val="24"/>
          <w:szCs w:val="24"/>
          <w:lang w:val="es-MX"/>
        </w:rPr>
      </w:pPr>
    </w:p>
    <w:p w:rsidR="006F61F7" w:rsidRPr="001E05F5" w:rsidRDefault="006F61F7" w:rsidP="001E05F5">
      <w:pPr>
        <w:pStyle w:val="Sinespaciado1"/>
        <w:spacing w:line="276" w:lineRule="auto"/>
        <w:jc w:val="both"/>
        <w:rPr>
          <w:rFonts w:ascii="Arial" w:hAnsi="Arial" w:cs="Arial"/>
          <w:sz w:val="24"/>
          <w:szCs w:val="24"/>
          <w:lang w:val="es-MX"/>
        </w:rPr>
      </w:pPr>
    </w:p>
    <w:p w:rsidR="00905C11" w:rsidRPr="001E05F5" w:rsidRDefault="00905C11" w:rsidP="001E05F5">
      <w:pPr>
        <w:pStyle w:val="Sinespaciado1"/>
        <w:spacing w:line="276" w:lineRule="auto"/>
        <w:jc w:val="both"/>
        <w:rPr>
          <w:rFonts w:ascii="Arial" w:hAnsi="Arial" w:cs="Arial"/>
          <w:sz w:val="24"/>
          <w:szCs w:val="24"/>
          <w:lang w:val="es-MX"/>
        </w:rPr>
      </w:pPr>
    </w:p>
    <w:p w:rsidR="00351F66" w:rsidRPr="001E05F5" w:rsidRDefault="00351F66" w:rsidP="001E05F5">
      <w:pPr>
        <w:pStyle w:val="Sinespaciado1"/>
        <w:spacing w:line="276" w:lineRule="auto"/>
        <w:ind w:firstLine="2835"/>
        <w:jc w:val="both"/>
        <w:rPr>
          <w:rFonts w:ascii="Arial" w:hAnsi="Arial" w:cs="Arial"/>
          <w:b/>
          <w:spacing w:val="-3"/>
          <w:sz w:val="24"/>
          <w:szCs w:val="24"/>
        </w:rPr>
      </w:pPr>
      <w:proofErr w:type="spellStart"/>
      <w:r w:rsidRPr="001E05F5">
        <w:rPr>
          <w:rFonts w:ascii="Arial" w:hAnsi="Arial" w:cs="Arial"/>
          <w:b/>
          <w:spacing w:val="-3"/>
          <w:sz w:val="24"/>
          <w:szCs w:val="24"/>
        </w:rPr>
        <w:t>EDDER</w:t>
      </w:r>
      <w:proofErr w:type="spellEnd"/>
      <w:r w:rsidRPr="001E05F5">
        <w:rPr>
          <w:rFonts w:ascii="Arial" w:hAnsi="Arial" w:cs="Arial"/>
          <w:b/>
          <w:spacing w:val="-3"/>
          <w:sz w:val="24"/>
          <w:szCs w:val="24"/>
        </w:rPr>
        <w:t xml:space="preserve"> JIMMY SÁNCHEZ </w:t>
      </w:r>
      <w:proofErr w:type="spellStart"/>
      <w:r w:rsidRPr="001E05F5">
        <w:rPr>
          <w:rFonts w:ascii="Arial" w:hAnsi="Arial" w:cs="Arial"/>
          <w:b/>
          <w:spacing w:val="-3"/>
          <w:sz w:val="24"/>
          <w:szCs w:val="24"/>
        </w:rPr>
        <w:t>CALAMBÁS</w:t>
      </w:r>
      <w:proofErr w:type="spellEnd"/>
    </w:p>
    <w:p w:rsidR="00905C11" w:rsidRPr="001E05F5" w:rsidRDefault="00905C11" w:rsidP="001E05F5">
      <w:pPr>
        <w:pStyle w:val="Sinespaciado1"/>
        <w:spacing w:line="276" w:lineRule="auto"/>
        <w:ind w:firstLine="2835"/>
        <w:jc w:val="both"/>
        <w:rPr>
          <w:rFonts w:ascii="Arial" w:hAnsi="Arial" w:cs="Arial"/>
          <w:b/>
          <w:spacing w:val="-3"/>
          <w:sz w:val="24"/>
          <w:szCs w:val="24"/>
        </w:rPr>
      </w:pPr>
    </w:p>
    <w:p w:rsidR="00351F66" w:rsidRPr="001E05F5" w:rsidRDefault="00351F66" w:rsidP="001E05F5">
      <w:pPr>
        <w:pStyle w:val="Sinespaciado1"/>
        <w:spacing w:line="276" w:lineRule="auto"/>
        <w:ind w:firstLine="2835"/>
        <w:jc w:val="both"/>
        <w:rPr>
          <w:rFonts w:ascii="Arial" w:hAnsi="Arial" w:cs="Arial"/>
          <w:b/>
          <w:spacing w:val="-3"/>
          <w:sz w:val="24"/>
          <w:szCs w:val="24"/>
        </w:rPr>
      </w:pPr>
    </w:p>
    <w:p w:rsidR="00905C11" w:rsidRPr="001E05F5" w:rsidRDefault="00905C11" w:rsidP="001E05F5">
      <w:pPr>
        <w:pStyle w:val="Sinespaciado1"/>
        <w:spacing w:line="276" w:lineRule="auto"/>
        <w:ind w:firstLine="2835"/>
        <w:jc w:val="both"/>
        <w:rPr>
          <w:rFonts w:ascii="Arial" w:hAnsi="Arial" w:cs="Arial"/>
          <w:b/>
          <w:spacing w:val="-3"/>
          <w:sz w:val="24"/>
          <w:szCs w:val="24"/>
        </w:rPr>
      </w:pPr>
    </w:p>
    <w:p w:rsidR="0001381E" w:rsidRPr="001E05F5" w:rsidRDefault="0001381E" w:rsidP="001E05F5">
      <w:pPr>
        <w:pStyle w:val="Sinespaciado1"/>
        <w:spacing w:line="276" w:lineRule="auto"/>
        <w:ind w:firstLine="2835"/>
        <w:jc w:val="both"/>
        <w:rPr>
          <w:rFonts w:ascii="Arial" w:hAnsi="Arial" w:cs="Arial"/>
          <w:b/>
          <w:spacing w:val="-3"/>
          <w:sz w:val="24"/>
          <w:szCs w:val="24"/>
        </w:rPr>
      </w:pPr>
    </w:p>
    <w:p w:rsidR="0001381E" w:rsidRPr="001E05F5" w:rsidRDefault="0001381E" w:rsidP="001E05F5">
      <w:pPr>
        <w:pStyle w:val="Sinespaciado1"/>
        <w:spacing w:line="276" w:lineRule="auto"/>
        <w:ind w:firstLine="2835"/>
        <w:jc w:val="both"/>
        <w:rPr>
          <w:rFonts w:ascii="Arial" w:hAnsi="Arial" w:cs="Arial"/>
          <w:b/>
          <w:spacing w:val="-3"/>
          <w:sz w:val="24"/>
          <w:szCs w:val="24"/>
        </w:rPr>
      </w:pPr>
    </w:p>
    <w:p w:rsidR="00905C11" w:rsidRPr="001E05F5" w:rsidRDefault="00905C11" w:rsidP="001E05F5">
      <w:pPr>
        <w:pStyle w:val="Sinespaciado1"/>
        <w:spacing w:line="276" w:lineRule="auto"/>
        <w:ind w:firstLine="2835"/>
        <w:jc w:val="both"/>
        <w:rPr>
          <w:rFonts w:ascii="Arial" w:hAnsi="Arial" w:cs="Arial"/>
          <w:b/>
          <w:spacing w:val="-3"/>
          <w:sz w:val="24"/>
          <w:szCs w:val="24"/>
        </w:rPr>
      </w:pPr>
    </w:p>
    <w:p w:rsidR="00351F66" w:rsidRPr="001E05F5" w:rsidRDefault="00351F66" w:rsidP="001E05F5">
      <w:pPr>
        <w:pStyle w:val="Sinespaciado1"/>
        <w:spacing w:line="276" w:lineRule="auto"/>
        <w:jc w:val="both"/>
        <w:rPr>
          <w:rFonts w:ascii="Arial" w:hAnsi="Arial" w:cs="Arial"/>
          <w:b/>
          <w:spacing w:val="-3"/>
          <w:sz w:val="24"/>
          <w:szCs w:val="24"/>
        </w:rPr>
      </w:pPr>
      <w:r w:rsidRPr="001E05F5">
        <w:rPr>
          <w:rFonts w:ascii="Arial" w:hAnsi="Arial" w:cs="Arial"/>
          <w:b/>
          <w:spacing w:val="-3"/>
          <w:sz w:val="24"/>
          <w:szCs w:val="24"/>
        </w:rPr>
        <w:t>JAIME ALBERTO SARAZA NARANJO</w:t>
      </w:r>
      <w:r w:rsidR="00813686">
        <w:rPr>
          <w:rFonts w:ascii="Arial" w:hAnsi="Arial" w:cs="Arial"/>
          <w:b/>
          <w:spacing w:val="-3"/>
          <w:sz w:val="24"/>
          <w:szCs w:val="24"/>
        </w:rPr>
        <w:tab/>
      </w:r>
      <w:r w:rsidR="00813686">
        <w:rPr>
          <w:rFonts w:ascii="Arial" w:hAnsi="Arial" w:cs="Arial"/>
          <w:b/>
          <w:spacing w:val="-3"/>
          <w:sz w:val="24"/>
          <w:szCs w:val="24"/>
        </w:rPr>
        <w:tab/>
        <w:t xml:space="preserve">        </w:t>
      </w:r>
      <w:r w:rsidRPr="001E05F5">
        <w:rPr>
          <w:rFonts w:ascii="Arial" w:hAnsi="Arial" w:cs="Arial"/>
          <w:b/>
          <w:spacing w:val="-3"/>
          <w:sz w:val="24"/>
          <w:szCs w:val="24"/>
        </w:rPr>
        <w:t>CLAUDIA MARÍA ARCILA R</w:t>
      </w:r>
      <w:r w:rsidR="00813686">
        <w:rPr>
          <w:rFonts w:ascii="Arial" w:hAnsi="Arial" w:cs="Arial"/>
          <w:b/>
          <w:spacing w:val="-3"/>
          <w:sz w:val="24"/>
          <w:szCs w:val="24"/>
        </w:rPr>
        <w:t>ÍOS</w:t>
      </w:r>
    </w:p>
    <w:p w:rsidR="00777A08" w:rsidRDefault="00E36226" w:rsidP="001E05F5">
      <w:pPr>
        <w:pStyle w:val="Sinespaciado1"/>
        <w:spacing w:line="276" w:lineRule="auto"/>
        <w:jc w:val="both"/>
        <w:rPr>
          <w:rFonts w:ascii="Arial" w:hAnsi="Arial" w:cs="Arial"/>
          <w:sz w:val="24"/>
          <w:szCs w:val="24"/>
        </w:rPr>
      </w:pPr>
      <w:r w:rsidRPr="001E05F5">
        <w:rPr>
          <w:rFonts w:ascii="Arial" w:hAnsi="Arial" w:cs="Arial"/>
          <w:sz w:val="24"/>
          <w:szCs w:val="24"/>
        </w:rPr>
        <w:tab/>
      </w:r>
      <w:r w:rsidRPr="001E05F5">
        <w:rPr>
          <w:rFonts w:ascii="Arial" w:hAnsi="Arial" w:cs="Arial"/>
          <w:sz w:val="24"/>
          <w:szCs w:val="24"/>
        </w:rPr>
        <w:tab/>
      </w:r>
      <w:r w:rsidRPr="001E05F5">
        <w:rPr>
          <w:rFonts w:ascii="Arial" w:hAnsi="Arial" w:cs="Arial"/>
          <w:sz w:val="24"/>
          <w:szCs w:val="24"/>
        </w:rPr>
        <w:tab/>
      </w:r>
      <w:r w:rsidRPr="001E05F5">
        <w:rPr>
          <w:rFonts w:ascii="Arial" w:hAnsi="Arial" w:cs="Arial"/>
          <w:sz w:val="24"/>
          <w:szCs w:val="24"/>
        </w:rPr>
        <w:tab/>
      </w:r>
      <w:r w:rsidRPr="001E05F5">
        <w:rPr>
          <w:rFonts w:ascii="Arial" w:hAnsi="Arial" w:cs="Arial"/>
          <w:sz w:val="24"/>
          <w:szCs w:val="24"/>
        </w:rPr>
        <w:tab/>
      </w:r>
      <w:r w:rsidRPr="001E05F5">
        <w:rPr>
          <w:rFonts w:ascii="Arial" w:hAnsi="Arial" w:cs="Arial"/>
          <w:sz w:val="24"/>
          <w:szCs w:val="24"/>
        </w:rPr>
        <w:tab/>
      </w:r>
      <w:r w:rsidRPr="001E05F5">
        <w:rPr>
          <w:rFonts w:ascii="Arial" w:hAnsi="Arial" w:cs="Arial"/>
          <w:sz w:val="24"/>
          <w:szCs w:val="24"/>
        </w:rPr>
        <w:tab/>
      </w:r>
      <w:r w:rsidR="00813686">
        <w:rPr>
          <w:rFonts w:ascii="Arial" w:hAnsi="Arial" w:cs="Arial"/>
          <w:b/>
          <w:spacing w:val="-3"/>
          <w:sz w:val="24"/>
          <w:szCs w:val="24"/>
        </w:rPr>
        <w:t xml:space="preserve">        </w:t>
      </w:r>
      <w:r w:rsidRPr="00813686">
        <w:rPr>
          <w:rFonts w:ascii="Arial" w:hAnsi="Arial" w:cs="Arial"/>
          <w:sz w:val="24"/>
          <w:szCs w:val="24"/>
        </w:rPr>
        <w:t xml:space="preserve">Con </w:t>
      </w:r>
      <w:r w:rsidR="006F61F7" w:rsidRPr="00813686">
        <w:rPr>
          <w:rFonts w:ascii="Arial" w:hAnsi="Arial" w:cs="Arial"/>
          <w:sz w:val="24"/>
          <w:szCs w:val="24"/>
        </w:rPr>
        <w:t>salvamento</w:t>
      </w:r>
      <w:r w:rsidRPr="00813686">
        <w:rPr>
          <w:rFonts w:ascii="Arial" w:hAnsi="Arial" w:cs="Arial"/>
          <w:sz w:val="24"/>
          <w:szCs w:val="24"/>
        </w:rPr>
        <w:t xml:space="preserve"> parcial de voto</w:t>
      </w:r>
    </w:p>
    <w:p w:rsidR="00972B82" w:rsidRDefault="00972B82">
      <w:pPr>
        <w:spacing w:after="160" w:line="259" w:lineRule="auto"/>
        <w:rPr>
          <w:rFonts w:ascii="Arial" w:hAnsi="Arial" w:cs="Arial"/>
          <w:sz w:val="24"/>
          <w:szCs w:val="24"/>
          <w:lang w:val="es-CO" w:eastAsia="en-US"/>
        </w:rPr>
      </w:pPr>
      <w:r>
        <w:rPr>
          <w:rFonts w:ascii="Arial" w:hAnsi="Arial" w:cs="Arial"/>
          <w:sz w:val="24"/>
          <w:szCs w:val="24"/>
        </w:rPr>
        <w:br w:type="page"/>
      </w:r>
    </w:p>
    <w:p w:rsidR="00972B82" w:rsidRPr="00972B82" w:rsidRDefault="00972B82" w:rsidP="00972B82">
      <w:pPr>
        <w:overflowPunct w:val="0"/>
        <w:autoSpaceDE w:val="0"/>
        <w:autoSpaceDN w:val="0"/>
        <w:adjustRightInd w:val="0"/>
        <w:spacing w:line="276" w:lineRule="auto"/>
        <w:jc w:val="both"/>
        <w:textAlignment w:val="baseline"/>
        <w:rPr>
          <w:rFonts w:ascii="Tahoma" w:eastAsia="Times New Roman" w:hAnsi="Tahoma" w:cs="Tahoma"/>
          <w:spacing w:val="-4"/>
          <w:sz w:val="24"/>
          <w:szCs w:val="24"/>
          <w:lang w:val="es-ES_tradnl"/>
        </w:rPr>
      </w:pPr>
      <w:r w:rsidRPr="00972B82">
        <w:rPr>
          <w:rFonts w:ascii="Tahoma" w:eastAsia="Times New Roman" w:hAnsi="Tahoma" w:cs="Tahoma"/>
          <w:spacing w:val="-4"/>
          <w:sz w:val="24"/>
          <w:szCs w:val="24"/>
          <w:lang w:val="es-ES_tradnl"/>
        </w:rPr>
        <w:lastRenderedPageBreak/>
        <w:t>Pereira, diciembre 9 de 2019</w:t>
      </w:r>
    </w:p>
    <w:p w:rsidR="00972B82" w:rsidRPr="00972B82" w:rsidRDefault="00972B82" w:rsidP="00972B82">
      <w:pPr>
        <w:overflowPunct w:val="0"/>
        <w:autoSpaceDE w:val="0"/>
        <w:autoSpaceDN w:val="0"/>
        <w:adjustRightInd w:val="0"/>
        <w:spacing w:line="276" w:lineRule="auto"/>
        <w:jc w:val="both"/>
        <w:textAlignment w:val="baseline"/>
        <w:rPr>
          <w:rFonts w:ascii="Tahoma" w:eastAsia="Times New Roman" w:hAnsi="Tahoma" w:cs="Tahoma"/>
          <w:spacing w:val="-4"/>
          <w:sz w:val="24"/>
          <w:szCs w:val="24"/>
          <w:lang w:val="es-ES_tradnl"/>
        </w:rPr>
      </w:pPr>
    </w:p>
    <w:p w:rsidR="00972B82" w:rsidRPr="00972B82" w:rsidRDefault="00972B82" w:rsidP="00972B82">
      <w:pPr>
        <w:overflowPunct w:val="0"/>
        <w:autoSpaceDE w:val="0"/>
        <w:autoSpaceDN w:val="0"/>
        <w:adjustRightInd w:val="0"/>
        <w:spacing w:line="276" w:lineRule="auto"/>
        <w:jc w:val="both"/>
        <w:textAlignment w:val="baseline"/>
        <w:rPr>
          <w:rFonts w:ascii="Tahoma" w:eastAsia="Times New Roman" w:hAnsi="Tahoma" w:cs="Tahoma"/>
          <w:b/>
          <w:spacing w:val="-4"/>
          <w:sz w:val="24"/>
          <w:szCs w:val="24"/>
          <w:lang w:val="es-ES_tradnl"/>
        </w:rPr>
      </w:pPr>
      <w:r w:rsidRPr="00972B82">
        <w:rPr>
          <w:rFonts w:ascii="Tahoma" w:eastAsia="Times New Roman" w:hAnsi="Tahoma" w:cs="Tahoma"/>
          <w:b/>
          <w:spacing w:val="-4"/>
          <w:sz w:val="24"/>
          <w:szCs w:val="24"/>
          <w:lang w:val="es-ES_tradnl"/>
        </w:rPr>
        <w:t>SALVAMENTO  PARCIAL DE VOTO</w:t>
      </w:r>
    </w:p>
    <w:p w:rsidR="00972B82" w:rsidRPr="00972B82" w:rsidRDefault="00972B82" w:rsidP="00972B82">
      <w:pPr>
        <w:overflowPunct w:val="0"/>
        <w:autoSpaceDE w:val="0"/>
        <w:autoSpaceDN w:val="0"/>
        <w:adjustRightInd w:val="0"/>
        <w:spacing w:line="276" w:lineRule="auto"/>
        <w:jc w:val="both"/>
        <w:textAlignment w:val="baseline"/>
        <w:rPr>
          <w:rFonts w:ascii="Tahoma" w:eastAsia="Times New Roman" w:hAnsi="Tahoma" w:cs="Tahoma"/>
          <w:spacing w:val="-4"/>
          <w:sz w:val="24"/>
          <w:szCs w:val="24"/>
          <w:lang w:val="es-ES_tradnl"/>
        </w:rPr>
      </w:pPr>
    </w:p>
    <w:p w:rsidR="00972B82" w:rsidRPr="00972B82" w:rsidRDefault="00972B82" w:rsidP="00FE4E08">
      <w:pPr>
        <w:overflowPunct w:val="0"/>
        <w:autoSpaceDE w:val="0"/>
        <w:autoSpaceDN w:val="0"/>
        <w:adjustRightInd w:val="0"/>
        <w:jc w:val="both"/>
        <w:textAlignment w:val="baseline"/>
        <w:rPr>
          <w:rFonts w:ascii="Tahoma" w:eastAsia="Times New Roman" w:hAnsi="Tahoma" w:cs="Tahoma"/>
          <w:spacing w:val="-4"/>
          <w:sz w:val="22"/>
          <w:szCs w:val="24"/>
          <w:lang w:val="es-ES_tradnl"/>
        </w:rPr>
      </w:pPr>
      <w:r w:rsidRPr="00972B82">
        <w:rPr>
          <w:rFonts w:ascii="Tahoma" w:eastAsia="Times New Roman" w:hAnsi="Tahoma" w:cs="Tahoma"/>
          <w:spacing w:val="-4"/>
          <w:sz w:val="22"/>
          <w:szCs w:val="24"/>
          <w:lang w:val="es-ES_tradnl"/>
        </w:rPr>
        <w:t>Magistrado Ponente</w:t>
      </w:r>
      <w:r w:rsidR="002C4518">
        <w:rPr>
          <w:rFonts w:ascii="Tahoma" w:eastAsia="Times New Roman" w:hAnsi="Tahoma" w:cs="Tahoma"/>
          <w:spacing w:val="-4"/>
          <w:sz w:val="22"/>
          <w:szCs w:val="24"/>
          <w:lang w:val="es-ES_tradnl"/>
        </w:rPr>
        <w:t>:</w:t>
      </w:r>
      <w:r w:rsidRPr="00972B82">
        <w:rPr>
          <w:rFonts w:ascii="Tahoma" w:eastAsia="Times New Roman" w:hAnsi="Tahoma" w:cs="Tahoma"/>
          <w:spacing w:val="-4"/>
          <w:sz w:val="22"/>
          <w:szCs w:val="24"/>
          <w:lang w:val="es-ES_tradnl"/>
        </w:rPr>
        <w:tab/>
      </w:r>
      <w:proofErr w:type="spellStart"/>
      <w:r w:rsidRPr="00972B82">
        <w:rPr>
          <w:rFonts w:ascii="Tahoma" w:eastAsia="Times New Roman" w:hAnsi="Tahoma" w:cs="Tahoma"/>
          <w:spacing w:val="-4"/>
          <w:sz w:val="22"/>
          <w:szCs w:val="24"/>
          <w:lang w:val="es-ES_tradnl"/>
        </w:rPr>
        <w:t>Edder</w:t>
      </w:r>
      <w:proofErr w:type="spellEnd"/>
      <w:r w:rsidRPr="00972B82">
        <w:rPr>
          <w:rFonts w:ascii="Tahoma" w:eastAsia="Times New Roman" w:hAnsi="Tahoma" w:cs="Tahoma"/>
          <w:spacing w:val="-4"/>
          <w:sz w:val="22"/>
          <w:szCs w:val="24"/>
          <w:lang w:val="es-ES_tradnl"/>
        </w:rPr>
        <w:t xml:space="preserve"> Jimmy Sánchez </w:t>
      </w:r>
      <w:proofErr w:type="spellStart"/>
      <w:r w:rsidRPr="00972B82">
        <w:rPr>
          <w:rFonts w:ascii="Tahoma" w:eastAsia="Times New Roman" w:hAnsi="Tahoma" w:cs="Tahoma"/>
          <w:spacing w:val="-4"/>
          <w:sz w:val="22"/>
          <w:szCs w:val="24"/>
          <w:lang w:val="es-ES_tradnl"/>
        </w:rPr>
        <w:t>Calambás</w:t>
      </w:r>
      <w:proofErr w:type="spellEnd"/>
    </w:p>
    <w:p w:rsidR="00972B82" w:rsidRPr="00972B82" w:rsidRDefault="00972B82" w:rsidP="00FE4E08">
      <w:pPr>
        <w:overflowPunct w:val="0"/>
        <w:autoSpaceDE w:val="0"/>
        <w:autoSpaceDN w:val="0"/>
        <w:adjustRightInd w:val="0"/>
        <w:jc w:val="both"/>
        <w:textAlignment w:val="baseline"/>
        <w:rPr>
          <w:rFonts w:ascii="Tahoma" w:eastAsia="Times New Roman" w:hAnsi="Tahoma" w:cs="Tahoma"/>
          <w:spacing w:val="-4"/>
          <w:sz w:val="22"/>
          <w:szCs w:val="24"/>
          <w:lang w:val="es-ES_tradnl"/>
        </w:rPr>
      </w:pPr>
      <w:r w:rsidRPr="00972B82">
        <w:rPr>
          <w:rFonts w:ascii="Tahoma" w:eastAsia="Times New Roman" w:hAnsi="Tahoma" w:cs="Tahoma"/>
          <w:spacing w:val="-4"/>
          <w:sz w:val="22"/>
          <w:szCs w:val="24"/>
          <w:lang w:val="es-ES_tradnl"/>
        </w:rPr>
        <w:t>Expediente No.</w:t>
      </w:r>
      <w:r w:rsidR="00FE4E08">
        <w:rPr>
          <w:rFonts w:ascii="Tahoma" w:eastAsia="Times New Roman" w:hAnsi="Tahoma" w:cs="Tahoma"/>
          <w:spacing w:val="-4"/>
          <w:sz w:val="22"/>
          <w:szCs w:val="24"/>
          <w:lang w:val="es-ES_tradnl"/>
        </w:rPr>
        <w:tab/>
      </w:r>
      <w:r w:rsidR="002C4518">
        <w:rPr>
          <w:rFonts w:ascii="Tahoma" w:eastAsia="Times New Roman" w:hAnsi="Tahoma" w:cs="Tahoma"/>
          <w:spacing w:val="-4"/>
          <w:sz w:val="22"/>
          <w:szCs w:val="24"/>
          <w:lang w:val="es-ES_tradnl"/>
        </w:rPr>
        <w:t>:</w:t>
      </w:r>
      <w:r w:rsidRPr="00972B82">
        <w:rPr>
          <w:rFonts w:ascii="Tahoma" w:eastAsia="Times New Roman" w:hAnsi="Tahoma" w:cs="Tahoma"/>
          <w:spacing w:val="-4"/>
          <w:sz w:val="22"/>
          <w:szCs w:val="24"/>
          <w:lang w:val="es-ES_tradnl"/>
        </w:rPr>
        <w:tab/>
      </w:r>
      <w:r w:rsidR="00152837" w:rsidRPr="00152837">
        <w:rPr>
          <w:rFonts w:ascii="Tahoma" w:eastAsia="Times New Roman" w:hAnsi="Tahoma" w:cs="Tahoma"/>
          <w:spacing w:val="-4"/>
          <w:sz w:val="22"/>
          <w:szCs w:val="24"/>
          <w:lang w:val="es-ES_tradnl"/>
        </w:rPr>
        <w:t>05088-31-03-002-2002-00425-01</w:t>
      </w:r>
    </w:p>
    <w:p w:rsidR="00972B82" w:rsidRPr="00972B82" w:rsidRDefault="00972B82" w:rsidP="00FE4E08">
      <w:pPr>
        <w:overflowPunct w:val="0"/>
        <w:autoSpaceDE w:val="0"/>
        <w:autoSpaceDN w:val="0"/>
        <w:adjustRightInd w:val="0"/>
        <w:jc w:val="both"/>
        <w:textAlignment w:val="baseline"/>
        <w:rPr>
          <w:rFonts w:ascii="Tahoma" w:eastAsia="Times New Roman" w:hAnsi="Tahoma" w:cs="Tahoma"/>
          <w:spacing w:val="-4"/>
          <w:sz w:val="22"/>
          <w:szCs w:val="24"/>
          <w:lang w:val="es-ES_tradnl"/>
        </w:rPr>
      </w:pPr>
      <w:r w:rsidRPr="00972B82">
        <w:rPr>
          <w:rFonts w:ascii="Tahoma" w:eastAsia="Times New Roman" w:hAnsi="Tahoma" w:cs="Tahoma"/>
          <w:spacing w:val="-4"/>
          <w:sz w:val="22"/>
          <w:szCs w:val="24"/>
          <w:lang w:val="es-ES_tradnl"/>
        </w:rPr>
        <w:t>Proceso</w:t>
      </w:r>
      <w:r w:rsidR="002C4518">
        <w:rPr>
          <w:rFonts w:ascii="Tahoma" w:eastAsia="Times New Roman" w:hAnsi="Tahoma" w:cs="Tahoma"/>
          <w:spacing w:val="-4"/>
          <w:sz w:val="22"/>
          <w:szCs w:val="24"/>
          <w:lang w:val="es-ES_tradnl"/>
        </w:rPr>
        <w:t>:</w:t>
      </w:r>
      <w:r w:rsidRPr="00972B82">
        <w:rPr>
          <w:rFonts w:ascii="Tahoma" w:eastAsia="Times New Roman" w:hAnsi="Tahoma" w:cs="Tahoma"/>
          <w:spacing w:val="-4"/>
          <w:sz w:val="22"/>
          <w:szCs w:val="24"/>
          <w:lang w:val="es-ES_tradnl"/>
        </w:rPr>
        <w:tab/>
      </w:r>
      <w:r w:rsidRPr="00972B82">
        <w:rPr>
          <w:rFonts w:ascii="Tahoma" w:eastAsia="Times New Roman" w:hAnsi="Tahoma" w:cs="Tahoma"/>
          <w:spacing w:val="-4"/>
          <w:sz w:val="22"/>
          <w:szCs w:val="24"/>
          <w:lang w:val="es-ES_tradnl"/>
        </w:rPr>
        <w:tab/>
      </w:r>
      <w:r w:rsidR="00152837" w:rsidRPr="00152837">
        <w:rPr>
          <w:rFonts w:ascii="Tahoma" w:eastAsia="Times New Roman" w:hAnsi="Tahoma" w:cs="Tahoma"/>
          <w:spacing w:val="-4"/>
          <w:sz w:val="22"/>
          <w:szCs w:val="24"/>
          <w:lang w:val="es-ES_tradnl"/>
        </w:rPr>
        <w:t>Abreviado de declaración de pertenencia de VIS</w:t>
      </w:r>
    </w:p>
    <w:p w:rsidR="00152837" w:rsidRPr="00152837" w:rsidRDefault="00152837" w:rsidP="00152837">
      <w:pPr>
        <w:overflowPunct w:val="0"/>
        <w:autoSpaceDE w:val="0"/>
        <w:autoSpaceDN w:val="0"/>
        <w:adjustRightInd w:val="0"/>
        <w:jc w:val="both"/>
        <w:textAlignment w:val="baseline"/>
        <w:rPr>
          <w:rFonts w:ascii="Tahoma" w:eastAsia="Times New Roman" w:hAnsi="Tahoma" w:cs="Tahoma"/>
          <w:spacing w:val="-4"/>
          <w:sz w:val="22"/>
          <w:szCs w:val="24"/>
          <w:lang w:val="es-ES_tradnl"/>
        </w:rPr>
      </w:pPr>
      <w:r w:rsidRPr="00152837">
        <w:rPr>
          <w:rFonts w:ascii="Tahoma" w:eastAsia="Times New Roman" w:hAnsi="Tahoma" w:cs="Tahoma"/>
          <w:spacing w:val="-4"/>
          <w:sz w:val="22"/>
          <w:szCs w:val="24"/>
          <w:lang w:val="es-ES_tradnl"/>
        </w:rPr>
        <w:t>Demandante:</w:t>
      </w:r>
      <w:r w:rsidRPr="00152837">
        <w:rPr>
          <w:rFonts w:ascii="Tahoma" w:eastAsia="Times New Roman" w:hAnsi="Tahoma" w:cs="Tahoma"/>
          <w:spacing w:val="-4"/>
          <w:sz w:val="22"/>
          <w:szCs w:val="24"/>
          <w:lang w:val="es-ES_tradnl"/>
        </w:rPr>
        <w:tab/>
      </w:r>
      <w:r w:rsidR="002C4518">
        <w:rPr>
          <w:rFonts w:ascii="Tahoma" w:eastAsia="Times New Roman" w:hAnsi="Tahoma" w:cs="Tahoma"/>
          <w:spacing w:val="-4"/>
          <w:sz w:val="22"/>
          <w:szCs w:val="24"/>
          <w:lang w:val="es-ES_tradnl"/>
        </w:rPr>
        <w:tab/>
        <w:t>P</w:t>
      </w:r>
      <w:r w:rsidRPr="00152837">
        <w:rPr>
          <w:rFonts w:ascii="Tahoma" w:eastAsia="Times New Roman" w:hAnsi="Tahoma" w:cs="Tahoma"/>
          <w:spacing w:val="-4"/>
          <w:sz w:val="22"/>
          <w:szCs w:val="24"/>
          <w:lang w:val="es-ES_tradnl"/>
        </w:rPr>
        <w:t xml:space="preserve">edro </w:t>
      </w:r>
      <w:proofErr w:type="spellStart"/>
      <w:r w:rsidRPr="00152837">
        <w:rPr>
          <w:rFonts w:ascii="Tahoma" w:eastAsia="Times New Roman" w:hAnsi="Tahoma" w:cs="Tahoma"/>
          <w:spacing w:val="-4"/>
          <w:sz w:val="22"/>
          <w:szCs w:val="24"/>
          <w:lang w:val="es-ES_tradnl"/>
        </w:rPr>
        <w:t>Nel</w:t>
      </w:r>
      <w:proofErr w:type="spellEnd"/>
      <w:r w:rsidRPr="00152837">
        <w:rPr>
          <w:rFonts w:ascii="Tahoma" w:eastAsia="Times New Roman" w:hAnsi="Tahoma" w:cs="Tahoma"/>
          <w:spacing w:val="-4"/>
          <w:sz w:val="22"/>
          <w:szCs w:val="24"/>
          <w:lang w:val="es-ES_tradnl"/>
        </w:rPr>
        <w:t xml:space="preserve"> Monsalve Valencia</w:t>
      </w:r>
    </w:p>
    <w:p w:rsidR="00152837" w:rsidRPr="00972B82" w:rsidRDefault="00152837" w:rsidP="00152837">
      <w:pPr>
        <w:overflowPunct w:val="0"/>
        <w:autoSpaceDE w:val="0"/>
        <w:autoSpaceDN w:val="0"/>
        <w:adjustRightInd w:val="0"/>
        <w:jc w:val="both"/>
        <w:textAlignment w:val="baseline"/>
        <w:rPr>
          <w:rFonts w:ascii="Tahoma" w:eastAsia="Times New Roman" w:hAnsi="Tahoma" w:cs="Tahoma"/>
          <w:spacing w:val="-4"/>
          <w:sz w:val="22"/>
          <w:szCs w:val="24"/>
          <w:lang w:val="es-ES_tradnl"/>
        </w:rPr>
      </w:pPr>
      <w:r w:rsidRPr="00152837">
        <w:rPr>
          <w:rFonts w:ascii="Tahoma" w:eastAsia="Times New Roman" w:hAnsi="Tahoma" w:cs="Tahoma"/>
          <w:spacing w:val="-4"/>
          <w:sz w:val="22"/>
          <w:szCs w:val="24"/>
          <w:lang w:val="es-ES_tradnl"/>
        </w:rPr>
        <w:t>Demandados:</w:t>
      </w:r>
      <w:r w:rsidRPr="00152837">
        <w:rPr>
          <w:rFonts w:ascii="Tahoma" w:eastAsia="Times New Roman" w:hAnsi="Tahoma" w:cs="Tahoma"/>
          <w:spacing w:val="-4"/>
          <w:sz w:val="22"/>
          <w:szCs w:val="24"/>
          <w:lang w:val="es-ES_tradnl"/>
        </w:rPr>
        <w:tab/>
      </w:r>
      <w:r w:rsidR="002C4518">
        <w:rPr>
          <w:rFonts w:ascii="Tahoma" w:eastAsia="Times New Roman" w:hAnsi="Tahoma" w:cs="Tahoma"/>
          <w:spacing w:val="-4"/>
          <w:sz w:val="22"/>
          <w:szCs w:val="24"/>
          <w:lang w:val="es-ES_tradnl"/>
        </w:rPr>
        <w:tab/>
        <w:t>Hered</w:t>
      </w:r>
      <w:r w:rsidRPr="00152837">
        <w:rPr>
          <w:rFonts w:ascii="Tahoma" w:eastAsia="Times New Roman" w:hAnsi="Tahoma" w:cs="Tahoma"/>
          <w:spacing w:val="-4"/>
          <w:sz w:val="22"/>
          <w:szCs w:val="24"/>
          <w:lang w:val="es-ES_tradnl"/>
        </w:rPr>
        <w:t xml:space="preserve">eros de Etelvina Valencia </w:t>
      </w:r>
      <w:r w:rsidR="002C4518">
        <w:rPr>
          <w:rFonts w:ascii="Tahoma" w:eastAsia="Times New Roman" w:hAnsi="Tahoma" w:cs="Tahoma"/>
          <w:spacing w:val="-4"/>
          <w:sz w:val="22"/>
          <w:szCs w:val="24"/>
          <w:lang w:val="es-ES_tradnl"/>
        </w:rPr>
        <w:t>viud</w:t>
      </w:r>
      <w:r w:rsidRPr="00152837">
        <w:rPr>
          <w:rFonts w:ascii="Tahoma" w:eastAsia="Times New Roman" w:hAnsi="Tahoma" w:cs="Tahoma"/>
          <w:spacing w:val="-4"/>
          <w:sz w:val="22"/>
          <w:szCs w:val="24"/>
          <w:lang w:val="es-ES_tradnl"/>
        </w:rPr>
        <w:t>a de M</w:t>
      </w:r>
      <w:r w:rsidR="002C4518">
        <w:rPr>
          <w:rFonts w:ascii="Tahoma" w:eastAsia="Times New Roman" w:hAnsi="Tahoma" w:cs="Tahoma"/>
          <w:spacing w:val="-4"/>
          <w:sz w:val="22"/>
          <w:szCs w:val="24"/>
          <w:lang w:val="es-ES_tradnl"/>
        </w:rPr>
        <w:t>.</w:t>
      </w:r>
      <w:r w:rsidRPr="00152837">
        <w:rPr>
          <w:rFonts w:ascii="Tahoma" w:eastAsia="Times New Roman" w:hAnsi="Tahoma" w:cs="Tahoma"/>
          <w:spacing w:val="-4"/>
          <w:sz w:val="22"/>
          <w:szCs w:val="24"/>
          <w:lang w:val="es-ES_tradnl"/>
        </w:rPr>
        <w:t xml:space="preserve"> y personas indeterminadas</w:t>
      </w:r>
    </w:p>
    <w:p w:rsidR="00972B82" w:rsidRPr="00972B82" w:rsidRDefault="00972B82" w:rsidP="00972B82">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972B82" w:rsidRPr="00972B82" w:rsidRDefault="00972B82" w:rsidP="00972B82">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972B82">
        <w:rPr>
          <w:rFonts w:ascii="Tahoma" w:eastAsia="Times New Roman" w:hAnsi="Tahoma" w:cs="Tahoma"/>
          <w:spacing w:val="-6"/>
          <w:sz w:val="24"/>
          <w:szCs w:val="24"/>
          <w:lang w:val="es-ES_tradnl"/>
        </w:rPr>
        <w:t>Con todo el respeto que merecen mis demás compañeros de Sala, a continuación expongo la razón por la que me aparté parcialmente de la decisión que por mayoría se aprobó, en la sentencia proferida en la fecha, en el proceso de la referencia, concretamente la que se relaciona con lo relativo a la condena en costas que en ella se impuso.</w:t>
      </w:r>
    </w:p>
    <w:p w:rsidR="00972B82" w:rsidRPr="00972B82" w:rsidRDefault="00972B82" w:rsidP="00972B82">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972B82">
        <w:rPr>
          <w:rFonts w:ascii="Tahoma" w:eastAsia="Times New Roman" w:hAnsi="Tahoma" w:cs="Tahoma"/>
          <w:spacing w:val="-6"/>
          <w:sz w:val="24"/>
          <w:szCs w:val="24"/>
          <w:lang w:val="es-ES_tradnl"/>
        </w:rPr>
        <w:t xml:space="preserve"> </w:t>
      </w:r>
    </w:p>
    <w:p w:rsidR="00972B82" w:rsidRPr="00972B82" w:rsidRDefault="00972B82" w:rsidP="00972B82">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972B82">
        <w:rPr>
          <w:rFonts w:ascii="Tahoma" w:eastAsia="Times New Roman" w:hAnsi="Tahoma" w:cs="Tahoma"/>
          <w:spacing w:val="-6"/>
          <w:sz w:val="24"/>
          <w:szCs w:val="24"/>
          <w:lang w:val="es-ES_tradnl"/>
        </w:rPr>
        <w:t>A mi juicio, han debido tasarse las agencias en derecho en el fallo porque así lo dispone el numeral 2º del artículo 392 del Código de Procedimiento Civil, modificado por el 19 de la ley 1395 de 2010, y liquidarse las costas en esta sede, de acuerdo con el numeral 1º del artículo 393 de la misma obra, aunque en la actualidad esté vigente el Código General del Proceso que ya no manda hacerlo así y con fundamento en las reglas sobre la aplicación de la ley procesal en el tiempo.</w:t>
      </w:r>
    </w:p>
    <w:p w:rsidR="00972B82" w:rsidRPr="00972B82" w:rsidRDefault="00972B82" w:rsidP="00972B82">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972B82" w:rsidRPr="00972B82" w:rsidRDefault="00972B82" w:rsidP="00972B82">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972B82">
        <w:rPr>
          <w:rFonts w:ascii="Tahoma" w:eastAsia="Times New Roman" w:hAnsi="Tahoma" w:cs="Tahoma"/>
          <w:spacing w:val="-6"/>
          <w:sz w:val="24"/>
          <w:szCs w:val="24"/>
          <w:lang w:val="es-ES_tradnl"/>
        </w:rPr>
        <w:t xml:space="preserve">En efecto, como el recurso de apelación contra la providencia proferida en primera instancia se interpuso en vigencia del Código de Procedimiento Civil, es ese estatuto el que debe aplicarse durante todo el trámite de la alzada de acuerdo con el artículo 40 de la ley 153 de 1887, modificado por el 624 del Código General del Proceso, que dice: </w:t>
      </w:r>
    </w:p>
    <w:p w:rsidR="00972B82" w:rsidRPr="00972B82" w:rsidRDefault="00972B82" w:rsidP="00972B82">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972B82" w:rsidRPr="00972B82" w:rsidRDefault="00972B82" w:rsidP="00FE4E08">
      <w:pPr>
        <w:suppressAutoHyphens/>
        <w:overflowPunct w:val="0"/>
        <w:autoSpaceDE w:val="0"/>
        <w:autoSpaceDN w:val="0"/>
        <w:adjustRightInd w:val="0"/>
        <w:ind w:left="426" w:right="420"/>
        <w:jc w:val="both"/>
        <w:textAlignment w:val="baseline"/>
        <w:rPr>
          <w:rFonts w:ascii="Tahoma" w:eastAsia="Times New Roman" w:hAnsi="Tahoma" w:cs="Tahoma"/>
          <w:i/>
          <w:spacing w:val="-6"/>
          <w:sz w:val="22"/>
          <w:szCs w:val="24"/>
          <w:lang w:val="es-ES_tradnl"/>
        </w:rPr>
      </w:pPr>
      <w:r w:rsidRPr="00FE4E08">
        <w:rPr>
          <w:rFonts w:ascii="Tahoma" w:eastAsia="Times New Roman" w:hAnsi="Tahoma" w:cs="Tahoma"/>
          <w:i/>
          <w:spacing w:val="-6"/>
          <w:sz w:val="22"/>
          <w:szCs w:val="24"/>
          <w:lang w:val="es-ES_tradnl"/>
        </w:rPr>
        <w:t>“</w:t>
      </w:r>
      <w:r w:rsidRPr="00972B82">
        <w:rPr>
          <w:rFonts w:ascii="Tahoma" w:eastAsia="Times New Roman" w:hAnsi="Tahoma" w:cs="Tahoma"/>
          <w:i/>
          <w:spacing w:val="-6"/>
          <w:sz w:val="22"/>
          <w:szCs w:val="24"/>
          <w:lang w:val="es-ES_tradnl"/>
        </w:rPr>
        <w:t xml:space="preserve">Las leyes concernientes a la sustanciación y ritualidad de los juicios prevalecen sobre las anteriores desde el momento en que deben empezar a regir. </w:t>
      </w:r>
    </w:p>
    <w:p w:rsidR="00972B82" w:rsidRPr="00972B82" w:rsidRDefault="00972B82" w:rsidP="00FE4E08">
      <w:pPr>
        <w:suppressAutoHyphens/>
        <w:overflowPunct w:val="0"/>
        <w:autoSpaceDE w:val="0"/>
        <w:autoSpaceDN w:val="0"/>
        <w:adjustRightInd w:val="0"/>
        <w:ind w:left="426" w:right="420"/>
        <w:jc w:val="both"/>
        <w:textAlignment w:val="baseline"/>
        <w:rPr>
          <w:rFonts w:ascii="Tahoma" w:eastAsia="Times New Roman" w:hAnsi="Tahoma" w:cs="Tahoma"/>
          <w:i/>
          <w:spacing w:val="-6"/>
          <w:sz w:val="22"/>
          <w:szCs w:val="24"/>
          <w:lang w:val="es-ES_tradnl"/>
        </w:rPr>
      </w:pPr>
    </w:p>
    <w:p w:rsidR="00972B82" w:rsidRPr="00972B82" w:rsidRDefault="00972B82" w:rsidP="00FE4E08">
      <w:pPr>
        <w:suppressAutoHyphens/>
        <w:overflowPunct w:val="0"/>
        <w:autoSpaceDE w:val="0"/>
        <w:autoSpaceDN w:val="0"/>
        <w:adjustRightInd w:val="0"/>
        <w:ind w:left="426" w:right="420"/>
        <w:jc w:val="both"/>
        <w:textAlignment w:val="baseline"/>
        <w:rPr>
          <w:rFonts w:ascii="Tahoma" w:eastAsia="Times New Roman" w:hAnsi="Tahoma" w:cs="Tahoma"/>
          <w:i/>
          <w:spacing w:val="-6"/>
          <w:sz w:val="22"/>
          <w:szCs w:val="24"/>
          <w:lang w:val="es-ES_tradnl"/>
        </w:rPr>
      </w:pPr>
      <w:r w:rsidRPr="00972B82">
        <w:rPr>
          <w:rFonts w:ascii="Tahoma" w:eastAsia="Times New Roman" w:hAnsi="Tahoma" w:cs="Tahoma"/>
          <w:i/>
          <w:spacing w:val="-6"/>
          <w:sz w:val="22"/>
          <w:szCs w:val="24"/>
          <w:lang w:val="es-ES_tradnl"/>
        </w:rPr>
        <w:t xml:space="preserve">Sin embargo,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 </w:t>
      </w:r>
    </w:p>
    <w:p w:rsidR="00972B82" w:rsidRPr="00972B82" w:rsidRDefault="00972B82" w:rsidP="00FE4E08">
      <w:pPr>
        <w:suppressAutoHyphens/>
        <w:overflowPunct w:val="0"/>
        <w:autoSpaceDE w:val="0"/>
        <w:autoSpaceDN w:val="0"/>
        <w:adjustRightInd w:val="0"/>
        <w:ind w:left="426" w:right="420"/>
        <w:jc w:val="both"/>
        <w:textAlignment w:val="baseline"/>
        <w:rPr>
          <w:rFonts w:ascii="Tahoma" w:eastAsia="Times New Roman" w:hAnsi="Tahoma" w:cs="Tahoma"/>
          <w:i/>
          <w:spacing w:val="-6"/>
          <w:sz w:val="22"/>
          <w:szCs w:val="24"/>
          <w:lang w:val="es-ES_tradnl"/>
        </w:rPr>
      </w:pPr>
    </w:p>
    <w:p w:rsidR="00972B82" w:rsidRPr="00972B82" w:rsidRDefault="00972B82" w:rsidP="00FE4E08">
      <w:pPr>
        <w:suppressAutoHyphens/>
        <w:overflowPunct w:val="0"/>
        <w:autoSpaceDE w:val="0"/>
        <w:autoSpaceDN w:val="0"/>
        <w:adjustRightInd w:val="0"/>
        <w:ind w:left="426" w:right="420"/>
        <w:jc w:val="both"/>
        <w:textAlignment w:val="baseline"/>
        <w:rPr>
          <w:rFonts w:ascii="Tahoma" w:eastAsia="Times New Roman" w:hAnsi="Tahoma" w:cs="Tahoma"/>
          <w:i/>
          <w:spacing w:val="-6"/>
          <w:sz w:val="22"/>
          <w:szCs w:val="24"/>
          <w:lang w:val="es-ES_tradnl"/>
        </w:rPr>
      </w:pPr>
      <w:r w:rsidRPr="00972B82">
        <w:rPr>
          <w:rFonts w:ascii="Tahoma" w:eastAsia="Times New Roman" w:hAnsi="Tahoma" w:cs="Tahoma"/>
          <w:i/>
          <w:spacing w:val="-6"/>
          <w:sz w:val="22"/>
          <w:szCs w:val="24"/>
          <w:lang w:val="es-ES_tradnl"/>
        </w:rPr>
        <w:t xml:space="preserve">La competencia para tramitar el proceso se regirá por la legislación vigente en el momento de formulación de la demanda con que se promueva, salvo que la ley elimine dicha autoridad”. </w:t>
      </w:r>
    </w:p>
    <w:p w:rsidR="00972B82" w:rsidRPr="00972B82" w:rsidRDefault="00972B82" w:rsidP="00972B82">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i/>
          <w:spacing w:val="-6"/>
          <w:sz w:val="24"/>
          <w:szCs w:val="24"/>
          <w:lang w:val="es-ES_tradnl"/>
        </w:rPr>
      </w:pPr>
    </w:p>
    <w:p w:rsidR="00972B82" w:rsidRPr="00972B82" w:rsidRDefault="00972B82" w:rsidP="00972B82">
      <w:pPr>
        <w:tabs>
          <w:tab w:val="left" w:pos="-7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972B82">
        <w:rPr>
          <w:rFonts w:ascii="Tahoma" w:eastAsia="Times New Roman" w:hAnsi="Tahoma" w:cs="Tahoma"/>
          <w:spacing w:val="-6"/>
          <w:sz w:val="24"/>
          <w:szCs w:val="24"/>
          <w:lang w:val="es-ES_tradnl"/>
        </w:rPr>
        <w:t>De acuerdo con esa disposición, las normas procesales son de aplicación inmediata, aun respecto de los procesos pendientes, pero esa regla general admite algunas excepciones, concretamente aquellas que enlista en el inciso 2º, dentro de las cuales se incluye, para hacer referencia al caso concreto, la de los recursos interpuestos, que se rigen por la ley vigente para la fecha en que se propusieron.</w:t>
      </w:r>
    </w:p>
    <w:p w:rsidR="00972B82" w:rsidRPr="00972B82" w:rsidRDefault="00972B82" w:rsidP="00972B82">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972B82" w:rsidRPr="00972B82" w:rsidRDefault="00972B82" w:rsidP="00972B82">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972B82">
        <w:rPr>
          <w:rFonts w:ascii="Tahoma" w:eastAsia="Times New Roman" w:hAnsi="Tahoma" w:cs="Tahoma"/>
          <w:spacing w:val="-6"/>
          <w:sz w:val="24"/>
          <w:szCs w:val="24"/>
          <w:lang w:val="es-ES_tradnl"/>
        </w:rPr>
        <w:lastRenderedPageBreak/>
        <w:t xml:space="preserve">Esa excepción ordena entonces aplicar la </w:t>
      </w:r>
      <w:proofErr w:type="spellStart"/>
      <w:r w:rsidRPr="00972B82">
        <w:rPr>
          <w:rFonts w:ascii="Tahoma" w:eastAsia="Times New Roman" w:hAnsi="Tahoma" w:cs="Tahoma"/>
          <w:spacing w:val="-6"/>
          <w:sz w:val="24"/>
          <w:szCs w:val="24"/>
          <w:lang w:val="es-ES_tradnl"/>
        </w:rPr>
        <w:t>ultractividad</w:t>
      </w:r>
      <w:proofErr w:type="spellEnd"/>
      <w:r w:rsidRPr="00972B82">
        <w:rPr>
          <w:rFonts w:ascii="Tahoma" w:eastAsia="Times New Roman" w:hAnsi="Tahoma" w:cs="Tahoma"/>
          <w:spacing w:val="-6"/>
          <w:sz w:val="24"/>
          <w:szCs w:val="24"/>
          <w:lang w:val="es-ES_tradnl"/>
        </w:rPr>
        <w:t xml:space="preserve"> de la ley antigua respecto de los recursos interpuestos bajo su imperio. En esas condiciones, como el de apelación que formuló la parte demandante lo fue en vigencia del Código de Procedimiento Civil y no se había desatado cuando entró a regir el Código General del Proceso, su trámite ha de terminar regulado por el primero, lo que permite obtener un orden procesal.</w:t>
      </w:r>
    </w:p>
    <w:p w:rsidR="00972B82" w:rsidRPr="00972B82" w:rsidRDefault="00972B82" w:rsidP="00972B82">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972B82" w:rsidRPr="00972B82" w:rsidRDefault="00972B82" w:rsidP="00972B82">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972B82">
        <w:rPr>
          <w:rFonts w:ascii="Tahoma" w:eastAsia="Times New Roman" w:hAnsi="Tahoma" w:cs="Tahoma"/>
          <w:spacing w:val="-6"/>
          <w:sz w:val="24"/>
          <w:szCs w:val="24"/>
          <w:lang w:val="es-ES_tradnl"/>
        </w:rPr>
        <w:t>Y es que el trámite del recurso finaliza con la ejecutoria de la providencia que lo defina, pero si se impone condena en costas, lo será con la del auto que apruebe su liquidación, pues el numeral 1º del artículo 393 del Código de Procedimiento Civil, atrás citado, ordena liquidarlas al Tribunal o juzgado de la respectiva instancia o recurso, inmediatamente quede ejecutoriada la providencia que las imponga.</w:t>
      </w:r>
    </w:p>
    <w:p w:rsidR="00972B82" w:rsidRPr="00972B82" w:rsidRDefault="00972B82" w:rsidP="00972B82">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972B82" w:rsidRPr="00972B82" w:rsidRDefault="00972B82" w:rsidP="00972B82">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972B82">
        <w:rPr>
          <w:rFonts w:ascii="Tahoma" w:eastAsia="Times New Roman" w:hAnsi="Tahoma" w:cs="Tahoma"/>
          <w:spacing w:val="-6"/>
          <w:sz w:val="24"/>
          <w:szCs w:val="24"/>
          <w:lang w:val="es-ES_tradnl"/>
        </w:rPr>
        <w:t>En conclusión, no podía aplicarse el Código General del Proceso en la propia sentencia que desató el recurso, pues el trámite de este no había terminado.</w:t>
      </w:r>
    </w:p>
    <w:p w:rsidR="00972B82" w:rsidRPr="00972B82" w:rsidRDefault="00972B82" w:rsidP="00972B82">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972B82" w:rsidRPr="00972B82" w:rsidRDefault="00972B82" w:rsidP="00972B82">
      <w:pPr>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972B82">
        <w:rPr>
          <w:rFonts w:ascii="Tahoma" w:eastAsia="Times New Roman" w:hAnsi="Tahoma" w:cs="Tahoma"/>
          <w:spacing w:val="-6"/>
          <w:sz w:val="24"/>
          <w:szCs w:val="24"/>
          <w:lang w:val="es-ES_tradnl"/>
        </w:rPr>
        <w:t>En relación con ese tránsito legislativo, dijo la Corte Suprema de Justicia:</w:t>
      </w:r>
    </w:p>
    <w:p w:rsidR="00972B82" w:rsidRPr="00972B82" w:rsidRDefault="00972B82" w:rsidP="00972B82">
      <w:pPr>
        <w:overflowPunct w:val="0"/>
        <w:autoSpaceDE w:val="0"/>
        <w:autoSpaceDN w:val="0"/>
        <w:adjustRightInd w:val="0"/>
        <w:spacing w:line="276" w:lineRule="auto"/>
        <w:jc w:val="both"/>
        <w:textAlignment w:val="baseline"/>
        <w:rPr>
          <w:rFonts w:ascii="Tahoma" w:eastAsia="Times New Roman" w:hAnsi="Tahoma" w:cs="Tahoma"/>
          <w:i/>
          <w:color w:val="000000"/>
          <w:spacing w:val="-6"/>
          <w:sz w:val="24"/>
          <w:szCs w:val="24"/>
          <w:shd w:val="clear" w:color="auto" w:fill="FFFFFF"/>
          <w:lang w:val="es-ES_tradnl"/>
        </w:rPr>
      </w:pPr>
    </w:p>
    <w:p w:rsidR="00972B82" w:rsidRPr="00972B82" w:rsidRDefault="00972B82" w:rsidP="003C6272">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972B82">
        <w:rPr>
          <w:rFonts w:ascii="Tahoma" w:eastAsia="Times New Roman" w:hAnsi="Tahoma" w:cs="Tahoma"/>
          <w:color w:val="000000"/>
          <w:spacing w:val="-6"/>
          <w:sz w:val="22"/>
          <w:szCs w:val="24"/>
          <w:shd w:val="clear" w:color="auto" w:fill="FFFFFF"/>
          <w:lang w:val="es-ES_tradnl"/>
        </w:rPr>
        <w:t>“</w:t>
      </w:r>
      <w:r w:rsidRPr="00972B82">
        <w:rPr>
          <w:rFonts w:ascii="Tahoma" w:eastAsia="Times New Roman" w:hAnsi="Tahoma" w:cs="Tahoma"/>
          <w:i/>
          <w:color w:val="000000"/>
          <w:spacing w:val="-6"/>
          <w:sz w:val="22"/>
          <w:szCs w:val="24"/>
          <w:shd w:val="clear" w:color="auto" w:fill="FFFFFF"/>
          <w:lang w:val="es-ES_tradnl"/>
        </w:rPr>
        <w:t xml:space="preserve">1.- Cuestión de primer orden es precisar el referente adjetivo al que se acudirá, en lo que fuere pertinente, habida cuenta que mientras que este litigio comenzó con el Código de Procedimiento Civil (julio de 2014), en la fase del recurso extraordinario cobró vigencia integral el General del Proceso, producto de la expedición por el Consejo Superior de la Judicatura del Acuerdo No. PSAA15-10392 de 1° de octubre de 2015, que en su artículo 1° dispone: “El Código General del Proceso entrará en vigencia en todos los distritos judiciales del país el día 1º de enero del año 2016, íntegramente”. </w:t>
      </w:r>
    </w:p>
    <w:p w:rsidR="00972B82" w:rsidRPr="00972B82" w:rsidRDefault="00972B82" w:rsidP="003C6272">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972B82" w:rsidRPr="003C6272" w:rsidRDefault="00972B82" w:rsidP="003C6272">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972B82">
        <w:rPr>
          <w:rFonts w:ascii="Tahoma" w:eastAsia="Times New Roman" w:hAnsi="Tahoma" w:cs="Tahoma"/>
          <w:i/>
          <w:color w:val="000000"/>
          <w:spacing w:val="-6"/>
          <w:sz w:val="22"/>
          <w:szCs w:val="24"/>
          <w:shd w:val="clear" w:color="auto" w:fill="FFFFFF"/>
          <w:lang w:val="es-ES_tradnl"/>
        </w:rPr>
        <w:t>La sucesión temporal o tránsito legislativo luego de la iniciación de un juicio apareja interrogantes complejos y, por lo mismo, en ocasiones, de difícil solución. En el campo teórico, esa problemática puede resolverse de tres formas: (i) aplicando la ley anterior hasta la definición del pleito; (ii) incorporando la nueva a todos los actos posteriores a su vigencia; o (iii) empleando para unas actuaciones la novel normativa y para otras la que le precedió.</w:t>
      </w:r>
      <w:r w:rsidRPr="003C6272">
        <w:rPr>
          <w:rFonts w:ascii="Tahoma" w:eastAsia="Times New Roman" w:hAnsi="Tahoma" w:cs="Tahoma"/>
          <w:i/>
          <w:color w:val="000000"/>
          <w:spacing w:val="-6"/>
          <w:sz w:val="22"/>
          <w:szCs w:val="24"/>
          <w:shd w:val="clear" w:color="auto" w:fill="FFFFFF"/>
          <w:lang w:val="es-ES_tradnl"/>
        </w:rPr>
        <w:t> </w:t>
      </w:r>
    </w:p>
    <w:p w:rsidR="00972B82" w:rsidRPr="003C6272" w:rsidRDefault="00972B82" w:rsidP="003C6272">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972B82" w:rsidRPr="003C6272" w:rsidRDefault="00972B82" w:rsidP="003C6272">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972B82">
        <w:rPr>
          <w:rFonts w:ascii="Tahoma" w:eastAsia="Times New Roman" w:hAnsi="Tahoma" w:cs="Tahoma"/>
          <w:i/>
          <w:color w:val="000000"/>
          <w:spacing w:val="-6"/>
          <w:sz w:val="22"/>
          <w:szCs w:val="24"/>
          <w:shd w:val="clear" w:color="auto" w:fill="FFFFFF"/>
          <w:lang w:val="es-ES_tradnl"/>
        </w:rPr>
        <w:t>La Ley 1564 de 2012 sigue, en los artículos 624 y 625, que son los que tratan puntualmente el asunto, un sistema mixto.</w:t>
      </w:r>
      <w:r w:rsidRPr="003C6272">
        <w:rPr>
          <w:rFonts w:ascii="Tahoma" w:eastAsia="Times New Roman" w:hAnsi="Tahoma" w:cs="Tahoma"/>
          <w:i/>
          <w:color w:val="000000"/>
          <w:spacing w:val="-6"/>
          <w:sz w:val="22"/>
          <w:szCs w:val="24"/>
          <w:shd w:val="clear" w:color="auto" w:fill="FFFFFF"/>
          <w:lang w:val="es-ES_tradnl"/>
        </w:rPr>
        <w:t> </w:t>
      </w:r>
    </w:p>
    <w:p w:rsidR="00972B82" w:rsidRPr="003C6272" w:rsidRDefault="00972B82" w:rsidP="003C6272">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972B82" w:rsidRPr="00972B82" w:rsidRDefault="00972B82" w:rsidP="003C6272">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972B82">
        <w:rPr>
          <w:rFonts w:ascii="Tahoma" w:eastAsia="Times New Roman" w:hAnsi="Tahoma" w:cs="Tahoma"/>
          <w:i/>
          <w:color w:val="000000"/>
          <w:spacing w:val="-6"/>
          <w:sz w:val="22"/>
          <w:szCs w:val="24"/>
          <w:shd w:val="clear" w:color="auto" w:fill="FFFFFF"/>
          <w:lang w:val="es-ES_tradnl"/>
        </w:rPr>
        <w:t xml:space="preserve">En efecto, el primer canon, modificatorio del artículo 40 de la ley 153 de 1887, trae una regla general sobre la aplicación inmediata de la ley procesal, con ciertas salvedades relativas a la </w:t>
      </w:r>
      <w:proofErr w:type="spellStart"/>
      <w:r w:rsidRPr="00972B82">
        <w:rPr>
          <w:rFonts w:ascii="Tahoma" w:eastAsia="Times New Roman" w:hAnsi="Tahoma" w:cs="Tahoma"/>
          <w:i/>
          <w:color w:val="000000"/>
          <w:spacing w:val="-6"/>
          <w:sz w:val="22"/>
          <w:szCs w:val="24"/>
          <w:shd w:val="clear" w:color="auto" w:fill="FFFFFF"/>
          <w:lang w:val="es-ES_tradnl"/>
        </w:rPr>
        <w:t>ultractividad</w:t>
      </w:r>
      <w:proofErr w:type="spellEnd"/>
      <w:r w:rsidRPr="00972B82">
        <w:rPr>
          <w:rFonts w:ascii="Tahoma" w:eastAsia="Times New Roman" w:hAnsi="Tahoma" w:cs="Tahoma"/>
          <w:i/>
          <w:color w:val="000000"/>
          <w:spacing w:val="-6"/>
          <w:sz w:val="22"/>
          <w:szCs w:val="24"/>
          <w:shd w:val="clear" w:color="auto" w:fill="FFFFFF"/>
          <w:lang w:val="es-ES_tradnl"/>
        </w:rPr>
        <w:t>, taxativamente señaladas a saber: “los</w:t>
      </w:r>
      <w:r w:rsidRPr="003C6272">
        <w:rPr>
          <w:rFonts w:ascii="Tahoma" w:eastAsia="Times New Roman" w:hAnsi="Tahoma" w:cs="Tahoma"/>
          <w:i/>
          <w:color w:val="000000"/>
          <w:spacing w:val="-6"/>
          <w:sz w:val="22"/>
          <w:szCs w:val="24"/>
          <w:shd w:val="clear" w:color="auto" w:fill="FFFFFF"/>
          <w:lang w:val="es-ES_tradnl"/>
        </w:rPr>
        <w:t> recursos interpuestos</w:t>
      </w:r>
      <w:r w:rsidRPr="00972B82">
        <w:rPr>
          <w:rFonts w:ascii="Tahoma" w:eastAsia="Times New Roman" w:hAnsi="Tahoma" w:cs="Tahoma"/>
          <w:i/>
          <w:color w:val="000000"/>
          <w:spacing w:val="-6"/>
          <w:sz w:val="22"/>
          <w:szCs w:val="24"/>
          <w:shd w:val="clear" w:color="auto" w:fill="FFFFFF"/>
          <w:lang w:val="es-ES_tradnl"/>
        </w:rPr>
        <w:t xml:space="preserve">,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 </w:t>
      </w:r>
    </w:p>
    <w:p w:rsidR="00972B82" w:rsidRPr="00972B82" w:rsidRDefault="00972B82" w:rsidP="003C6272">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972B82" w:rsidRPr="00972B82" w:rsidRDefault="00972B82" w:rsidP="003C6272">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972B82">
        <w:rPr>
          <w:rFonts w:ascii="Tahoma" w:eastAsia="Times New Roman" w:hAnsi="Tahoma" w:cs="Tahoma"/>
          <w:i/>
          <w:color w:val="000000"/>
          <w:spacing w:val="-6"/>
          <w:sz w:val="22"/>
          <w:szCs w:val="24"/>
          <w:shd w:val="clear" w:color="auto" w:fill="FFFFFF"/>
          <w:lang w:val="es-ES_tradnl"/>
        </w:rPr>
        <w:t xml:space="preserve">El segundo, apartándose del postulado general, ofrece unas orientaciones específicas destinadas a preservar la vigencia temporal y excepcional de la norma derogada, no en todos los procesos, sino en los ordinarios, abreviados, verbales y ejecutivos, y sólo hasta determinadas etapas. Y, también aquí, el legislador se cuidó de repetir las salvedades del 624 en lo concerniente a recursos interpuestos, pruebas decretadas, audiencias convocadas, diligencias iniciadas, términos que estén corriendo, incidentes en curso y notificaciones que se estén surtiendo. </w:t>
      </w:r>
    </w:p>
    <w:p w:rsidR="00972B82" w:rsidRPr="00972B82" w:rsidRDefault="00972B82" w:rsidP="003C6272">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972B82">
        <w:rPr>
          <w:rFonts w:ascii="Tahoma" w:eastAsia="Times New Roman" w:hAnsi="Tahoma" w:cs="Tahoma"/>
          <w:i/>
          <w:color w:val="000000"/>
          <w:spacing w:val="-6"/>
          <w:sz w:val="22"/>
          <w:szCs w:val="24"/>
          <w:shd w:val="clear" w:color="auto" w:fill="FFFFFF"/>
          <w:lang w:val="es-ES_tradnl"/>
        </w:rPr>
        <w:lastRenderedPageBreak/>
        <w:t xml:space="preserve">En ese orden de ideas, el funcionario judicial frente a un caso de sucesión o tránsito de legislación, debe preguntarse, en primer término, la clase de proceso que se está tramitando, luego la etapa que se está surtiendo y después cotejarla o compararla con las pautas del 625 id. </w:t>
      </w:r>
    </w:p>
    <w:p w:rsidR="00972B82" w:rsidRPr="00972B82" w:rsidRDefault="00972B82" w:rsidP="003C6272">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972B82" w:rsidRPr="00972B82" w:rsidRDefault="00972B82" w:rsidP="003C6272">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972B82">
        <w:rPr>
          <w:rFonts w:ascii="Tahoma" w:eastAsia="Times New Roman" w:hAnsi="Tahoma" w:cs="Tahoma"/>
          <w:i/>
          <w:color w:val="000000"/>
          <w:spacing w:val="-6"/>
          <w:sz w:val="22"/>
          <w:szCs w:val="24"/>
          <w:shd w:val="clear" w:color="auto" w:fill="FFFFFF"/>
          <w:lang w:val="es-ES_tradnl"/>
        </w:rPr>
        <w:t xml:space="preserve">Acá, por ejemplo, se trata de un juicio ordinario que cuenta con fallos de primera y segunda instancia, de manera que ese precepto indica en el numeral 1, literal c), que “proferida la sentencia, el proceso se tramitará conforme a la nueva legislación”. Sería, entonces, el Código General del Proceso el llamado a gobernar las actuaciones postreras al veredicto, lo que finalmente no ocurre, en atención a que la excepción legislativa, inserta en ese canon y en el 624, determina que cuando se ha interpuesto un recurso (no se precisa cual, luego ello cobija ordinarios y extraordinarios), la preceptiva aplicable será la del tiempo de su formulación, que aquí es el C. de P. C., atendiendo que la impugnación extraordinaria se planteó el 8 de junio de 2012. </w:t>
      </w:r>
    </w:p>
    <w:p w:rsidR="00972B82" w:rsidRPr="00972B82" w:rsidRDefault="00972B82" w:rsidP="003C6272">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972B82" w:rsidRPr="00972B82" w:rsidRDefault="00972B82" w:rsidP="003C6272">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r w:rsidRPr="00972B82">
        <w:rPr>
          <w:rFonts w:ascii="Tahoma" w:eastAsia="Times New Roman" w:hAnsi="Tahoma" w:cs="Tahoma"/>
          <w:i/>
          <w:color w:val="000000"/>
          <w:spacing w:val="-6"/>
          <w:sz w:val="22"/>
          <w:szCs w:val="24"/>
          <w:shd w:val="clear" w:color="auto" w:fill="FFFFFF"/>
          <w:lang w:val="es-ES_tradnl"/>
        </w:rPr>
        <w:t xml:space="preserve">Consecuencia necesaria y natural de la precitada inferencia, es la de que al transitar esta casación por el camino del Código de Procedimiento Civil, todo lo que se derive de su discurrir y resolución, incluso la expedición de copias o certificaciones, el reconocimientos de personería, la condena en costas y su tasación, el decreto y práctica de pruebas (si ello se ordena previa sentencia sustitutiva), cumple </w:t>
      </w:r>
      <w:proofErr w:type="spellStart"/>
      <w:r w:rsidRPr="00972B82">
        <w:rPr>
          <w:rFonts w:ascii="Tahoma" w:eastAsia="Times New Roman" w:hAnsi="Tahoma" w:cs="Tahoma"/>
          <w:i/>
          <w:color w:val="000000"/>
          <w:spacing w:val="-6"/>
          <w:sz w:val="22"/>
          <w:szCs w:val="24"/>
          <w:shd w:val="clear" w:color="auto" w:fill="FFFFFF"/>
          <w:lang w:val="es-ES_tradnl"/>
        </w:rPr>
        <w:t>rituarlo</w:t>
      </w:r>
      <w:proofErr w:type="spellEnd"/>
      <w:r w:rsidRPr="00972B82">
        <w:rPr>
          <w:rFonts w:ascii="Tahoma" w:eastAsia="Times New Roman" w:hAnsi="Tahoma" w:cs="Tahoma"/>
          <w:i/>
          <w:color w:val="000000"/>
          <w:spacing w:val="-6"/>
          <w:sz w:val="22"/>
          <w:szCs w:val="24"/>
          <w:shd w:val="clear" w:color="auto" w:fill="FFFFFF"/>
          <w:lang w:val="es-ES_tradnl"/>
        </w:rPr>
        <w:t xml:space="preserve"> con esa codificación. </w:t>
      </w:r>
    </w:p>
    <w:p w:rsidR="00972B82" w:rsidRPr="00972B82" w:rsidRDefault="00972B82" w:rsidP="003C6272">
      <w:pPr>
        <w:overflowPunct w:val="0"/>
        <w:autoSpaceDE w:val="0"/>
        <w:autoSpaceDN w:val="0"/>
        <w:adjustRightInd w:val="0"/>
        <w:ind w:left="426" w:right="420"/>
        <w:jc w:val="both"/>
        <w:textAlignment w:val="baseline"/>
        <w:rPr>
          <w:rFonts w:ascii="Tahoma" w:eastAsia="Times New Roman" w:hAnsi="Tahoma" w:cs="Tahoma"/>
          <w:i/>
          <w:color w:val="000000"/>
          <w:spacing w:val="-6"/>
          <w:sz w:val="22"/>
          <w:szCs w:val="24"/>
          <w:shd w:val="clear" w:color="auto" w:fill="FFFFFF"/>
          <w:lang w:val="es-ES_tradnl"/>
        </w:rPr>
      </w:pPr>
    </w:p>
    <w:p w:rsidR="00972B82" w:rsidRPr="003C6272" w:rsidRDefault="00972B82" w:rsidP="003C6272">
      <w:pPr>
        <w:overflowPunct w:val="0"/>
        <w:autoSpaceDE w:val="0"/>
        <w:autoSpaceDN w:val="0"/>
        <w:adjustRightInd w:val="0"/>
        <w:ind w:left="426" w:right="420"/>
        <w:jc w:val="both"/>
        <w:textAlignment w:val="baseline"/>
        <w:rPr>
          <w:rFonts w:ascii="Tahoma" w:eastAsia="Times New Roman" w:hAnsi="Tahoma" w:cs="Tahoma"/>
          <w:sz w:val="22"/>
          <w:szCs w:val="24"/>
          <w:lang w:val="es-ES_tradnl"/>
        </w:rPr>
      </w:pPr>
      <w:r w:rsidRPr="00972B82">
        <w:rPr>
          <w:rFonts w:ascii="Tahoma" w:eastAsia="Times New Roman" w:hAnsi="Tahoma" w:cs="Tahoma"/>
          <w:i/>
          <w:color w:val="000000"/>
          <w:spacing w:val="-6"/>
          <w:sz w:val="22"/>
          <w:szCs w:val="24"/>
          <w:shd w:val="clear" w:color="auto" w:fill="FFFFFF"/>
          <w:lang w:val="es-ES_tradnl"/>
        </w:rPr>
        <w:t>Lo contrario implicaría mezclar en un mismo escenario y con alternancia, dos codificaciones procesales, lo que atentaría con el mínimo de seguridad o certeza jurídica que debe acompañar la sustanciación de los litigios. Para los usuarios del sistema de administración de justicia, que buscan la tutela efectiva de sus derechos, debe ofrecerse una hermenéutica que les provea certidumbre sobre las normas que regulan el conflicto jurídico respecto del cual se solicita la decisión...</w:t>
      </w:r>
      <w:r w:rsidRPr="00972B82">
        <w:rPr>
          <w:rFonts w:ascii="Tahoma" w:eastAsia="Times New Roman" w:hAnsi="Tahoma" w:cs="Tahoma"/>
          <w:color w:val="000000"/>
          <w:spacing w:val="-6"/>
          <w:sz w:val="22"/>
          <w:szCs w:val="24"/>
          <w:shd w:val="clear" w:color="auto" w:fill="FFFFFF"/>
          <w:lang w:val="es-ES_tradnl"/>
        </w:rPr>
        <w:t>”</w:t>
      </w:r>
      <w:r w:rsidRPr="003C6272">
        <w:rPr>
          <w:rFonts w:ascii="Tahoma" w:eastAsia="Times New Roman" w:hAnsi="Tahoma" w:cs="Tahoma"/>
          <w:i/>
          <w:color w:val="000000"/>
          <w:spacing w:val="-6"/>
          <w:sz w:val="22"/>
          <w:szCs w:val="24"/>
          <w:shd w:val="clear" w:color="auto" w:fill="FFFFFF"/>
          <w:vertAlign w:val="superscript"/>
          <w:lang w:val="es-ES_tradnl"/>
        </w:rPr>
        <w:footnoteReference w:id="3"/>
      </w:r>
      <w:r w:rsidRPr="003C6272">
        <w:rPr>
          <w:rFonts w:ascii="Tahoma" w:eastAsia="Times New Roman" w:hAnsi="Tahoma" w:cs="Tahoma"/>
          <w:color w:val="000000"/>
          <w:spacing w:val="-6"/>
          <w:sz w:val="22"/>
          <w:szCs w:val="24"/>
          <w:shd w:val="clear" w:color="auto" w:fill="FFFFFF"/>
          <w:lang w:val="es-ES_tradnl"/>
        </w:rPr>
        <w:t> </w:t>
      </w:r>
    </w:p>
    <w:p w:rsidR="00972B82" w:rsidRPr="00972B82" w:rsidRDefault="00972B82" w:rsidP="00972B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972B82" w:rsidRPr="00972B82" w:rsidRDefault="00972B82" w:rsidP="00972B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972B82">
        <w:rPr>
          <w:rFonts w:ascii="Tahoma" w:eastAsia="Times New Roman" w:hAnsi="Tahoma" w:cs="Tahoma"/>
          <w:spacing w:val="-6"/>
          <w:sz w:val="24"/>
          <w:szCs w:val="24"/>
          <w:lang w:val="es-ES_tradnl"/>
        </w:rPr>
        <w:t>Y no es ese un criterio aislado. Lo mismo dijo en sentencia del 26 de octubre de 2016: “</w:t>
      </w:r>
      <w:r w:rsidRPr="00972B82">
        <w:rPr>
          <w:rFonts w:ascii="Tahoma" w:eastAsia="Times New Roman" w:hAnsi="Tahoma" w:cs="Tahoma"/>
          <w:i/>
          <w:spacing w:val="-6"/>
          <w:sz w:val="22"/>
          <w:szCs w:val="24"/>
          <w:lang w:val="es-ES_tradnl"/>
        </w:rPr>
        <w:t>Resulta pertinente precisar, que de acuerdo con el artículo 624 del Código General del Proceso, modificatorio del precepto 40 de la Ley 153 de 1887, para resolver el recurso se tomarán en cuenta las disposiciones del Código de Procedimiento Civil, al hallarse este vigente para cuando comenzó su trámite…</w:t>
      </w:r>
      <w:r w:rsidRPr="00972B82">
        <w:rPr>
          <w:rFonts w:ascii="Tahoma" w:eastAsia="Times New Roman" w:hAnsi="Tahoma" w:cs="Tahoma"/>
          <w:spacing w:val="-6"/>
          <w:sz w:val="24"/>
          <w:szCs w:val="24"/>
          <w:lang w:val="es-ES_tradnl"/>
        </w:rPr>
        <w:t>”</w:t>
      </w:r>
      <w:r w:rsidRPr="00972B82">
        <w:rPr>
          <w:rFonts w:ascii="Tahoma" w:eastAsia="Times New Roman" w:hAnsi="Tahoma" w:cs="Tahoma"/>
          <w:i/>
          <w:spacing w:val="-6"/>
          <w:sz w:val="24"/>
          <w:szCs w:val="24"/>
          <w:vertAlign w:val="superscript"/>
          <w:lang w:val="es-ES_tradnl"/>
        </w:rPr>
        <w:footnoteReference w:id="4"/>
      </w:r>
      <w:r w:rsidRPr="00972B82">
        <w:rPr>
          <w:rFonts w:ascii="Tahoma" w:eastAsia="Times New Roman" w:hAnsi="Tahoma" w:cs="Tahoma"/>
          <w:spacing w:val="-6"/>
          <w:sz w:val="24"/>
          <w:szCs w:val="24"/>
          <w:lang w:val="es-ES_tradnl"/>
        </w:rPr>
        <w:t xml:space="preserve"> En esa providencia también fijó las agencias en derecho y ordenó liquidar las costas con sujeción al artículo 393 del Código de Procedimiento Civil. En la misma forma procedió el 11 de noviembre del año citado</w:t>
      </w:r>
      <w:r w:rsidRPr="00972B82">
        <w:rPr>
          <w:rFonts w:ascii="Tahoma" w:eastAsia="Times New Roman" w:hAnsi="Tahoma" w:cs="Tahoma"/>
          <w:spacing w:val="-6"/>
          <w:sz w:val="24"/>
          <w:szCs w:val="24"/>
          <w:vertAlign w:val="superscript"/>
          <w:lang w:val="es-ES_tradnl"/>
        </w:rPr>
        <w:footnoteReference w:id="5"/>
      </w:r>
      <w:r w:rsidRPr="00972B82">
        <w:rPr>
          <w:rFonts w:ascii="Tahoma" w:eastAsia="Times New Roman" w:hAnsi="Tahoma" w:cs="Tahoma"/>
          <w:spacing w:val="-6"/>
          <w:sz w:val="24"/>
          <w:szCs w:val="24"/>
          <w:lang w:val="es-ES_tradnl"/>
        </w:rPr>
        <w:t>, el 18 de abril de 2017</w:t>
      </w:r>
      <w:r w:rsidRPr="00972B82">
        <w:rPr>
          <w:rFonts w:ascii="Tahoma" w:eastAsia="Times New Roman" w:hAnsi="Tahoma" w:cs="Tahoma"/>
          <w:spacing w:val="-6"/>
          <w:sz w:val="24"/>
          <w:szCs w:val="24"/>
          <w:vertAlign w:val="superscript"/>
          <w:lang w:val="es-ES_tradnl"/>
        </w:rPr>
        <w:footnoteReference w:id="6"/>
      </w:r>
      <w:r w:rsidRPr="00972B82">
        <w:rPr>
          <w:rFonts w:ascii="Tahoma" w:eastAsia="Times New Roman" w:hAnsi="Tahoma" w:cs="Tahoma"/>
          <w:spacing w:val="-6"/>
          <w:sz w:val="24"/>
          <w:szCs w:val="24"/>
          <w:lang w:val="es-ES_tradnl"/>
        </w:rPr>
        <w:t>, el 13 de diciembre de este último año</w:t>
      </w:r>
      <w:r w:rsidRPr="00972B82">
        <w:rPr>
          <w:rFonts w:ascii="Tahoma" w:eastAsia="Times New Roman" w:hAnsi="Tahoma" w:cs="Tahoma"/>
          <w:spacing w:val="-6"/>
          <w:sz w:val="24"/>
          <w:szCs w:val="24"/>
          <w:vertAlign w:val="superscript"/>
          <w:lang w:val="es-ES_tradnl"/>
        </w:rPr>
        <w:footnoteReference w:id="7"/>
      </w:r>
      <w:r w:rsidRPr="00972B82">
        <w:rPr>
          <w:rFonts w:ascii="Tahoma" w:eastAsia="Times New Roman" w:hAnsi="Tahoma" w:cs="Tahoma"/>
          <w:spacing w:val="-6"/>
          <w:sz w:val="24"/>
          <w:szCs w:val="24"/>
          <w:lang w:val="es-ES_tradnl"/>
        </w:rPr>
        <w:t>, el 6</w:t>
      </w:r>
      <w:r w:rsidRPr="00972B82">
        <w:rPr>
          <w:rFonts w:ascii="Tahoma" w:eastAsia="Times New Roman" w:hAnsi="Tahoma" w:cs="Tahoma"/>
          <w:spacing w:val="-6"/>
          <w:sz w:val="24"/>
          <w:szCs w:val="24"/>
          <w:vertAlign w:val="superscript"/>
          <w:lang w:val="es-ES_tradnl"/>
        </w:rPr>
        <w:footnoteReference w:id="8"/>
      </w:r>
      <w:r w:rsidRPr="00972B82">
        <w:rPr>
          <w:rFonts w:ascii="Tahoma" w:eastAsia="Times New Roman" w:hAnsi="Tahoma" w:cs="Tahoma"/>
          <w:spacing w:val="-6"/>
          <w:sz w:val="24"/>
          <w:szCs w:val="24"/>
          <w:lang w:val="es-ES_tradnl"/>
        </w:rPr>
        <w:t>, el 13</w:t>
      </w:r>
      <w:r w:rsidRPr="00972B82">
        <w:rPr>
          <w:rFonts w:ascii="Tahoma" w:eastAsia="Times New Roman" w:hAnsi="Tahoma" w:cs="Tahoma"/>
          <w:spacing w:val="-6"/>
          <w:sz w:val="24"/>
          <w:szCs w:val="24"/>
          <w:vertAlign w:val="superscript"/>
          <w:lang w:val="es-ES_tradnl"/>
        </w:rPr>
        <w:footnoteReference w:id="9"/>
      </w:r>
      <w:r w:rsidRPr="00972B82">
        <w:rPr>
          <w:rFonts w:ascii="Tahoma" w:eastAsia="Times New Roman" w:hAnsi="Tahoma" w:cs="Tahoma"/>
          <w:spacing w:val="-6"/>
          <w:sz w:val="24"/>
          <w:szCs w:val="24"/>
          <w:lang w:val="es-ES_tradnl"/>
        </w:rPr>
        <w:t>, y el 23 de agosto de este año</w:t>
      </w:r>
      <w:r w:rsidRPr="00972B82">
        <w:rPr>
          <w:rFonts w:ascii="Tahoma" w:eastAsia="Times New Roman" w:hAnsi="Tahoma" w:cs="Tahoma"/>
          <w:spacing w:val="-6"/>
          <w:sz w:val="24"/>
          <w:szCs w:val="24"/>
          <w:vertAlign w:val="superscript"/>
          <w:lang w:val="es-ES_tradnl"/>
        </w:rPr>
        <w:footnoteReference w:id="10"/>
      </w:r>
      <w:r w:rsidRPr="00972B82">
        <w:rPr>
          <w:rFonts w:ascii="Tahoma" w:eastAsia="Times New Roman" w:hAnsi="Tahoma" w:cs="Tahoma"/>
          <w:spacing w:val="-6"/>
          <w:sz w:val="24"/>
          <w:szCs w:val="24"/>
          <w:lang w:val="es-ES_tradnl"/>
        </w:rPr>
        <w:t>.</w:t>
      </w:r>
    </w:p>
    <w:p w:rsidR="00972B82" w:rsidRPr="00972B82" w:rsidRDefault="00972B82" w:rsidP="00972B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972B82" w:rsidRPr="00972B82" w:rsidRDefault="00972B82" w:rsidP="00972B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972B82" w:rsidRPr="00972B82" w:rsidRDefault="00972B82" w:rsidP="00972B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972B82" w:rsidRPr="00972B82" w:rsidRDefault="00972B82" w:rsidP="00972B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p>
    <w:p w:rsidR="00972B82" w:rsidRPr="00972B82" w:rsidRDefault="00972B82" w:rsidP="00972B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b/>
          <w:spacing w:val="-6"/>
          <w:sz w:val="24"/>
          <w:szCs w:val="24"/>
          <w:lang w:val="es-ES_tradnl"/>
        </w:rPr>
      </w:pPr>
      <w:r w:rsidRPr="00972B82">
        <w:rPr>
          <w:rFonts w:ascii="Tahoma" w:eastAsia="Times New Roman" w:hAnsi="Tahoma" w:cs="Tahoma"/>
          <w:b/>
          <w:spacing w:val="-6"/>
          <w:sz w:val="24"/>
          <w:szCs w:val="24"/>
          <w:lang w:val="es-ES_tradnl"/>
        </w:rPr>
        <w:t>CLAUDIA MARÍA ARCILA RÍOS</w:t>
      </w:r>
    </w:p>
    <w:p w:rsidR="00972B82" w:rsidRPr="00972B82" w:rsidRDefault="00972B82" w:rsidP="00972B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eastAsia="Times New Roman" w:hAnsi="Tahoma" w:cs="Tahoma"/>
          <w:spacing w:val="-6"/>
          <w:sz w:val="24"/>
          <w:szCs w:val="24"/>
          <w:lang w:val="es-ES_tradnl"/>
        </w:rPr>
      </w:pPr>
      <w:r w:rsidRPr="00972B82">
        <w:rPr>
          <w:rFonts w:ascii="Tahoma" w:eastAsia="Times New Roman" w:hAnsi="Tahoma" w:cs="Tahoma"/>
          <w:spacing w:val="-6"/>
          <w:sz w:val="24"/>
          <w:szCs w:val="24"/>
          <w:lang w:val="es-ES_tradnl"/>
        </w:rPr>
        <w:t>Magistrada</w:t>
      </w:r>
    </w:p>
    <w:sectPr w:rsidR="00972B82" w:rsidRPr="00972B82" w:rsidSect="001E05F5">
      <w:headerReference w:type="even" r:id="rId8"/>
      <w:headerReference w:type="default" r:id="rId9"/>
      <w:footerReference w:type="even" r:id="rId10"/>
      <w:footerReference w:type="default" r:id="rId11"/>
      <w:headerReference w:type="first" r:id="rId12"/>
      <w:footerReference w:type="first" r:id="rId13"/>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499" w:rsidRDefault="006E2499" w:rsidP="001E58FC">
      <w:r>
        <w:separator/>
      </w:r>
    </w:p>
  </w:endnote>
  <w:endnote w:type="continuationSeparator" w:id="0">
    <w:p w:rsidR="006E2499" w:rsidRDefault="006E2499" w:rsidP="001E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30F" w:rsidRDefault="005F43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2F" w:rsidRPr="005F430F" w:rsidRDefault="00CA488B">
    <w:pPr>
      <w:pStyle w:val="Piedepgina"/>
      <w:jc w:val="right"/>
      <w:rPr>
        <w:rFonts w:ascii="Arial" w:hAnsi="Arial" w:cs="Arial"/>
        <w:sz w:val="18"/>
        <w:szCs w:val="22"/>
      </w:rPr>
    </w:pPr>
    <w:r w:rsidRPr="005F430F">
      <w:rPr>
        <w:rFonts w:ascii="Arial" w:hAnsi="Arial" w:cs="Arial"/>
        <w:sz w:val="18"/>
        <w:szCs w:val="22"/>
      </w:rPr>
      <w:fldChar w:fldCharType="begin"/>
    </w:r>
    <w:r w:rsidRPr="005F430F">
      <w:rPr>
        <w:rFonts w:ascii="Arial" w:hAnsi="Arial" w:cs="Arial"/>
        <w:sz w:val="18"/>
        <w:szCs w:val="22"/>
      </w:rPr>
      <w:instrText xml:space="preserve"> PAGE   \* MERGEFORMAT </w:instrText>
    </w:r>
    <w:r w:rsidRPr="005F430F">
      <w:rPr>
        <w:rFonts w:ascii="Arial" w:hAnsi="Arial" w:cs="Arial"/>
        <w:sz w:val="18"/>
        <w:szCs w:val="22"/>
      </w:rPr>
      <w:fldChar w:fldCharType="separate"/>
    </w:r>
    <w:r w:rsidR="00F71257">
      <w:rPr>
        <w:rFonts w:ascii="Arial" w:hAnsi="Arial" w:cs="Arial"/>
        <w:noProof/>
        <w:sz w:val="18"/>
        <w:szCs w:val="22"/>
      </w:rPr>
      <w:t>11</w:t>
    </w:r>
    <w:r w:rsidRPr="005F430F">
      <w:rPr>
        <w:rFonts w:ascii="Arial" w:hAnsi="Arial" w:cs="Arial"/>
        <w:sz w:val="18"/>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30F" w:rsidRDefault="005F43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499" w:rsidRDefault="006E2499" w:rsidP="001E58FC">
      <w:r>
        <w:separator/>
      </w:r>
    </w:p>
  </w:footnote>
  <w:footnote w:type="continuationSeparator" w:id="0">
    <w:p w:rsidR="006E2499" w:rsidRDefault="006E2499" w:rsidP="001E58FC">
      <w:r>
        <w:continuationSeparator/>
      </w:r>
    </w:p>
  </w:footnote>
  <w:footnote w:id="1">
    <w:p w:rsidR="00965B50" w:rsidRPr="003C6272" w:rsidRDefault="00965B50" w:rsidP="003C6272">
      <w:pPr>
        <w:pStyle w:val="Textonotapie"/>
        <w:jc w:val="both"/>
        <w:rPr>
          <w:rFonts w:ascii="Arial" w:hAnsi="Arial" w:cs="Arial"/>
          <w:sz w:val="18"/>
          <w:szCs w:val="18"/>
        </w:rPr>
      </w:pPr>
      <w:r w:rsidRPr="003C6272">
        <w:rPr>
          <w:rStyle w:val="Refdenotaalpie"/>
          <w:rFonts w:ascii="Arial" w:hAnsi="Arial" w:cs="Arial"/>
          <w:sz w:val="18"/>
          <w:szCs w:val="18"/>
        </w:rPr>
        <w:footnoteRef/>
      </w:r>
      <w:r w:rsidRPr="003C6272">
        <w:rPr>
          <w:rFonts w:ascii="Arial" w:hAnsi="Arial" w:cs="Arial"/>
          <w:sz w:val="18"/>
          <w:szCs w:val="18"/>
        </w:rPr>
        <w:t xml:space="preserve"> </w:t>
      </w:r>
      <w:r w:rsidRPr="003C6272">
        <w:rPr>
          <w:rFonts w:ascii="Arial" w:hAnsi="Arial" w:cs="Arial"/>
          <w:bCs/>
          <w:sz w:val="18"/>
          <w:szCs w:val="18"/>
        </w:rPr>
        <w:t xml:space="preserve">En el primer inciso del artículo 51 de la Ley 9ª de 1989, se establece que la prescripción adquisitiva extraordinaria a partir del 1º de enero de 1990, se reduce a cinco  (5)  años, y el segundo inciso, respecto de la prescripción adquisitiva ordinaria a partir de la misma fecha, se reduce a tres (3) años. </w:t>
      </w:r>
    </w:p>
  </w:footnote>
  <w:footnote w:id="2">
    <w:p w:rsidR="00045652" w:rsidRPr="003C6272" w:rsidRDefault="00045652" w:rsidP="003C6272">
      <w:pPr>
        <w:pStyle w:val="Textonotapie"/>
        <w:jc w:val="both"/>
        <w:rPr>
          <w:rFonts w:ascii="Arial" w:hAnsi="Arial" w:cs="Arial"/>
          <w:sz w:val="18"/>
          <w:szCs w:val="18"/>
          <w:lang w:val="es-CO"/>
        </w:rPr>
      </w:pPr>
      <w:r w:rsidRPr="003C6272">
        <w:rPr>
          <w:rStyle w:val="Refdenotaalpie"/>
          <w:rFonts w:ascii="Arial" w:hAnsi="Arial" w:cs="Arial"/>
          <w:sz w:val="18"/>
          <w:szCs w:val="18"/>
        </w:rPr>
        <w:footnoteRef/>
      </w:r>
      <w:r w:rsidRPr="003C6272">
        <w:rPr>
          <w:rFonts w:ascii="Arial" w:hAnsi="Arial" w:cs="Arial"/>
          <w:sz w:val="18"/>
          <w:szCs w:val="18"/>
        </w:rPr>
        <w:t xml:space="preserve"> </w:t>
      </w:r>
      <w:r w:rsidRPr="003C6272">
        <w:rPr>
          <w:rFonts w:ascii="Arial" w:hAnsi="Arial" w:cs="Arial"/>
          <w:sz w:val="18"/>
          <w:szCs w:val="18"/>
          <w:lang w:val="es-CO"/>
        </w:rPr>
        <w:t>Sentencia SC2642-2015</w:t>
      </w:r>
    </w:p>
  </w:footnote>
  <w:footnote w:id="3">
    <w:p w:rsidR="00972B82" w:rsidRPr="003C6272" w:rsidRDefault="00972B82" w:rsidP="003C6272">
      <w:pPr>
        <w:pStyle w:val="Textonotapie"/>
        <w:jc w:val="both"/>
        <w:rPr>
          <w:rFonts w:ascii="Arial" w:hAnsi="Arial" w:cs="Arial"/>
          <w:spacing w:val="-8"/>
          <w:sz w:val="18"/>
          <w:szCs w:val="18"/>
          <w:lang w:val="es-CO"/>
        </w:rPr>
      </w:pPr>
      <w:r w:rsidRPr="003C6272">
        <w:rPr>
          <w:rStyle w:val="Refdenotaalpie"/>
          <w:rFonts w:ascii="Arial" w:hAnsi="Arial" w:cs="Arial"/>
          <w:spacing w:val="-8"/>
          <w:sz w:val="18"/>
          <w:szCs w:val="18"/>
        </w:rPr>
        <w:footnoteRef/>
      </w:r>
      <w:r w:rsidRPr="003C6272">
        <w:rPr>
          <w:rFonts w:ascii="Arial" w:hAnsi="Arial" w:cs="Arial"/>
          <w:spacing w:val="-8"/>
          <w:sz w:val="18"/>
          <w:szCs w:val="18"/>
        </w:rPr>
        <w:t xml:space="preserve"> </w:t>
      </w:r>
      <w:r w:rsidRPr="003C6272">
        <w:rPr>
          <w:rFonts w:ascii="Arial" w:hAnsi="Arial" w:cs="Arial"/>
          <w:spacing w:val="-8"/>
          <w:sz w:val="18"/>
          <w:szCs w:val="18"/>
          <w:lang w:val="es-CO"/>
        </w:rPr>
        <w:t xml:space="preserve">Sala de Casación Civil del 26 de abril de 2016, </w:t>
      </w:r>
      <w:proofErr w:type="spellStart"/>
      <w:r w:rsidRPr="003C6272">
        <w:rPr>
          <w:rFonts w:ascii="Arial" w:hAnsi="Arial" w:cs="Arial"/>
          <w:spacing w:val="-8"/>
          <w:sz w:val="18"/>
          <w:szCs w:val="18"/>
          <w:lang w:val="es-CO"/>
        </w:rPr>
        <w:t>MP</w:t>
      </w:r>
      <w:proofErr w:type="spellEnd"/>
      <w:r w:rsidRPr="003C6272">
        <w:rPr>
          <w:rFonts w:ascii="Arial" w:hAnsi="Arial" w:cs="Arial"/>
          <w:spacing w:val="-8"/>
          <w:sz w:val="18"/>
          <w:szCs w:val="18"/>
          <w:lang w:val="es-CO"/>
        </w:rPr>
        <w:t>. Dr. Fernando Giraldo Gutiérrez, sentencia SC-8845-2016, expediente 6600131030032010-00207-01.</w:t>
      </w:r>
    </w:p>
  </w:footnote>
  <w:footnote w:id="4">
    <w:p w:rsidR="00972B82" w:rsidRPr="003C6272" w:rsidRDefault="00972B82" w:rsidP="003C6272">
      <w:pPr>
        <w:pStyle w:val="Ttulo1"/>
        <w:tabs>
          <w:tab w:val="left" w:pos="1701"/>
        </w:tabs>
        <w:spacing w:before="0"/>
        <w:jc w:val="both"/>
        <w:rPr>
          <w:rFonts w:ascii="Arial" w:eastAsia="Calibri" w:hAnsi="Arial" w:cs="Arial"/>
          <w:color w:val="auto"/>
          <w:spacing w:val="-8"/>
          <w:sz w:val="18"/>
          <w:szCs w:val="18"/>
          <w:lang w:val="es-CO"/>
        </w:rPr>
      </w:pPr>
      <w:r w:rsidRPr="003C6272">
        <w:rPr>
          <w:rStyle w:val="Refdenotaalpie"/>
          <w:rFonts w:ascii="Arial" w:hAnsi="Arial" w:cs="Arial"/>
          <w:b/>
          <w:spacing w:val="-8"/>
          <w:sz w:val="18"/>
          <w:szCs w:val="18"/>
        </w:rPr>
        <w:footnoteRef/>
      </w:r>
      <w:r w:rsidRPr="003C6272">
        <w:rPr>
          <w:rFonts w:ascii="Arial" w:hAnsi="Arial" w:cs="Arial"/>
          <w:b/>
          <w:spacing w:val="-8"/>
          <w:sz w:val="18"/>
          <w:szCs w:val="18"/>
        </w:rPr>
        <w:t xml:space="preserve"> </w:t>
      </w:r>
      <w:proofErr w:type="spellStart"/>
      <w:r w:rsidRPr="003C6272">
        <w:rPr>
          <w:rFonts w:ascii="Arial" w:eastAsia="Calibri" w:hAnsi="Arial" w:cs="Arial"/>
          <w:color w:val="auto"/>
          <w:spacing w:val="-8"/>
          <w:sz w:val="18"/>
          <w:szCs w:val="18"/>
          <w:lang w:val="es-CO"/>
        </w:rPr>
        <w:t>MP</w:t>
      </w:r>
      <w:proofErr w:type="spellEnd"/>
      <w:r w:rsidRPr="003C6272">
        <w:rPr>
          <w:rFonts w:ascii="Arial" w:eastAsia="Calibri" w:hAnsi="Arial" w:cs="Arial"/>
          <w:color w:val="auto"/>
          <w:spacing w:val="-8"/>
          <w:sz w:val="18"/>
          <w:szCs w:val="18"/>
          <w:lang w:val="es-CO"/>
        </w:rPr>
        <w:t>. Dr. Luis Alonso Rico Puerta, sentencia SC13400-2016, expediente 08001-3103-013-2001-00093-01</w:t>
      </w:r>
    </w:p>
  </w:footnote>
  <w:footnote w:id="5">
    <w:p w:rsidR="00972B82" w:rsidRPr="003C6272" w:rsidRDefault="00972B82" w:rsidP="003C6272">
      <w:pPr>
        <w:pStyle w:val="Listaconnmeros"/>
        <w:numPr>
          <w:ilvl w:val="0"/>
          <w:numId w:val="0"/>
        </w:numPr>
        <w:jc w:val="both"/>
        <w:rPr>
          <w:rFonts w:ascii="Arial" w:hAnsi="Arial" w:cs="Arial"/>
          <w:spacing w:val="-8"/>
          <w:sz w:val="18"/>
          <w:szCs w:val="18"/>
        </w:rPr>
      </w:pPr>
      <w:r w:rsidRPr="003C6272">
        <w:rPr>
          <w:rStyle w:val="Refdenotaalpie"/>
          <w:rFonts w:ascii="Arial" w:hAnsi="Arial" w:cs="Arial"/>
          <w:spacing w:val="-8"/>
          <w:sz w:val="18"/>
          <w:szCs w:val="18"/>
        </w:rPr>
        <w:footnoteRef/>
      </w:r>
      <w:r w:rsidRPr="003C6272">
        <w:rPr>
          <w:rFonts w:ascii="Arial" w:hAnsi="Arial" w:cs="Arial"/>
          <w:spacing w:val="-8"/>
          <w:sz w:val="18"/>
          <w:szCs w:val="18"/>
        </w:rPr>
        <w:t xml:space="preserve"> </w:t>
      </w:r>
      <w:proofErr w:type="spellStart"/>
      <w:r w:rsidRPr="003C6272">
        <w:rPr>
          <w:rFonts w:ascii="Arial" w:hAnsi="Arial" w:cs="Arial"/>
          <w:spacing w:val="-8"/>
          <w:sz w:val="18"/>
          <w:szCs w:val="18"/>
          <w:lang w:val="es-CO"/>
        </w:rPr>
        <w:t>MP</w:t>
      </w:r>
      <w:proofErr w:type="spellEnd"/>
      <w:r w:rsidRPr="003C6272">
        <w:rPr>
          <w:rFonts w:ascii="Arial" w:hAnsi="Arial" w:cs="Arial"/>
          <w:spacing w:val="-8"/>
          <w:sz w:val="18"/>
          <w:szCs w:val="18"/>
          <w:lang w:val="es-CO"/>
        </w:rPr>
        <w:t xml:space="preserve">. Dr. Ariel Salazar Ramírez, sentencia </w:t>
      </w:r>
      <w:r w:rsidRPr="003C6272">
        <w:rPr>
          <w:rFonts w:ascii="Arial" w:hAnsi="Arial" w:cs="Arial"/>
          <w:spacing w:val="-8"/>
          <w:sz w:val="18"/>
          <w:szCs w:val="18"/>
        </w:rPr>
        <w:t>SC16283-2016, Radicación n° 11001-02-03-000-2012-02237-00</w:t>
      </w:r>
    </w:p>
  </w:footnote>
  <w:footnote w:id="6">
    <w:p w:rsidR="00972B82" w:rsidRPr="003C6272" w:rsidRDefault="00972B82" w:rsidP="003C6272">
      <w:pPr>
        <w:pStyle w:val="Textonotapie"/>
        <w:jc w:val="both"/>
        <w:rPr>
          <w:rFonts w:ascii="Arial" w:hAnsi="Arial" w:cs="Arial"/>
          <w:spacing w:val="-8"/>
          <w:sz w:val="18"/>
          <w:szCs w:val="18"/>
          <w:lang w:val="es-CO"/>
        </w:rPr>
      </w:pPr>
      <w:r w:rsidRPr="003C6272">
        <w:rPr>
          <w:rStyle w:val="Refdenotaalpie"/>
          <w:rFonts w:ascii="Arial" w:hAnsi="Arial" w:cs="Arial"/>
          <w:spacing w:val="-8"/>
          <w:sz w:val="18"/>
          <w:szCs w:val="18"/>
        </w:rPr>
        <w:footnoteRef/>
      </w:r>
      <w:r w:rsidRPr="003C6272">
        <w:rPr>
          <w:rFonts w:ascii="Arial" w:hAnsi="Arial" w:cs="Arial"/>
          <w:spacing w:val="-8"/>
          <w:sz w:val="18"/>
          <w:szCs w:val="18"/>
        </w:rPr>
        <w:t xml:space="preserve"> </w:t>
      </w:r>
      <w:proofErr w:type="spellStart"/>
      <w:r w:rsidRPr="003C6272">
        <w:rPr>
          <w:rFonts w:ascii="Arial" w:hAnsi="Arial" w:cs="Arial"/>
          <w:spacing w:val="-8"/>
          <w:sz w:val="18"/>
          <w:szCs w:val="18"/>
        </w:rPr>
        <w:t>MP</w:t>
      </w:r>
      <w:proofErr w:type="spellEnd"/>
      <w:r w:rsidRPr="003C6272">
        <w:rPr>
          <w:rFonts w:ascii="Arial" w:hAnsi="Arial" w:cs="Arial"/>
          <w:spacing w:val="-8"/>
          <w:sz w:val="18"/>
          <w:szCs w:val="18"/>
        </w:rPr>
        <w:t xml:space="preserve">. Dr. Luis Alfonso Rico Puerta, sentencia SC5208-2017, radicación No. 11001-02-03-000-2013-01881-00 </w:t>
      </w:r>
    </w:p>
  </w:footnote>
  <w:footnote w:id="7">
    <w:p w:rsidR="00972B82" w:rsidRPr="003C6272" w:rsidRDefault="00972B82" w:rsidP="003C6272">
      <w:pPr>
        <w:pStyle w:val="Textonotapie"/>
        <w:jc w:val="both"/>
        <w:rPr>
          <w:rFonts w:ascii="Arial" w:hAnsi="Arial" w:cs="Arial"/>
          <w:spacing w:val="-8"/>
          <w:sz w:val="18"/>
          <w:szCs w:val="18"/>
          <w:lang w:val="es-CO"/>
        </w:rPr>
      </w:pPr>
      <w:r w:rsidRPr="003C6272">
        <w:rPr>
          <w:rStyle w:val="Refdenotaalpie"/>
          <w:rFonts w:ascii="Arial" w:hAnsi="Arial" w:cs="Arial"/>
          <w:spacing w:val="-8"/>
          <w:sz w:val="18"/>
          <w:szCs w:val="18"/>
        </w:rPr>
        <w:footnoteRef/>
      </w:r>
      <w:r w:rsidRPr="003C6272">
        <w:rPr>
          <w:rFonts w:ascii="Arial" w:hAnsi="Arial" w:cs="Arial"/>
          <w:spacing w:val="-8"/>
          <w:sz w:val="18"/>
          <w:szCs w:val="18"/>
        </w:rPr>
        <w:t xml:space="preserve"> </w:t>
      </w:r>
      <w:proofErr w:type="spellStart"/>
      <w:r w:rsidRPr="003C6272">
        <w:rPr>
          <w:rFonts w:ascii="Arial" w:hAnsi="Arial" w:cs="Arial"/>
          <w:spacing w:val="-8"/>
          <w:sz w:val="18"/>
          <w:szCs w:val="18"/>
          <w:lang w:val="es-CO"/>
        </w:rPr>
        <w:t>MP</w:t>
      </w:r>
      <w:proofErr w:type="spellEnd"/>
      <w:r w:rsidRPr="003C6272">
        <w:rPr>
          <w:rFonts w:ascii="Arial" w:hAnsi="Arial" w:cs="Arial"/>
          <w:spacing w:val="-8"/>
          <w:sz w:val="18"/>
          <w:szCs w:val="18"/>
          <w:lang w:val="es-CO"/>
        </w:rPr>
        <w:t>. Dra. Margarita Cabello Blanco, sentencia SC21078-2017, radicación 11001-02-03-000-2012-00663-00</w:t>
      </w:r>
    </w:p>
  </w:footnote>
  <w:footnote w:id="8">
    <w:p w:rsidR="00972B82" w:rsidRPr="003C6272" w:rsidRDefault="00972B82" w:rsidP="003C6272">
      <w:pPr>
        <w:pStyle w:val="Textonotapie"/>
        <w:jc w:val="both"/>
        <w:rPr>
          <w:rFonts w:ascii="Arial" w:hAnsi="Arial" w:cs="Arial"/>
          <w:spacing w:val="-8"/>
          <w:sz w:val="18"/>
          <w:szCs w:val="18"/>
          <w:lang w:val="es-CO"/>
        </w:rPr>
      </w:pPr>
      <w:r w:rsidRPr="003C6272">
        <w:rPr>
          <w:rStyle w:val="Refdenotaalpie"/>
          <w:rFonts w:ascii="Arial" w:hAnsi="Arial" w:cs="Arial"/>
          <w:spacing w:val="-8"/>
          <w:sz w:val="18"/>
          <w:szCs w:val="18"/>
        </w:rPr>
        <w:footnoteRef/>
      </w:r>
      <w:r w:rsidRPr="003C6272">
        <w:rPr>
          <w:rFonts w:ascii="Arial" w:hAnsi="Arial" w:cs="Arial"/>
          <w:spacing w:val="-8"/>
          <w:sz w:val="18"/>
          <w:szCs w:val="18"/>
        </w:rPr>
        <w:t xml:space="preserve"> </w:t>
      </w:r>
      <w:proofErr w:type="spellStart"/>
      <w:r w:rsidRPr="003C6272">
        <w:rPr>
          <w:rFonts w:ascii="Arial" w:hAnsi="Arial" w:cs="Arial"/>
          <w:spacing w:val="-8"/>
          <w:sz w:val="18"/>
          <w:szCs w:val="18"/>
        </w:rPr>
        <w:t>MP</w:t>
      </w:r>
      <w:proofErr w:type="spellEnd"/>
      <w:r w:rsidRPr="003C6272">
        <w:rPr>
          <w:rFonts w:ascii="Arial" w:hAnsi="Arial" w:cs="Arial"/>
          <w:spacing w:val="-8"/>
          <w:sz w:val="18"/>
          <w:szCs w:val="18"/>
        </w:rPr>
        <w:t xml:space="preserve">. Dr. Octavio Augusto </w:t>
      </w:r>
      <w:proofErr w:type="spellStart"/>
      <w:r w:rsidRPr="003C6272">
        <w:rPr>
          <w:rFonts w:ascii="Arial" w:hAnsi="Arial" w:cs="Arial"/>
          <w:spacing w:val="-8"/>
          <w:sz w:val="18"/>
          <w:szCs w:val="18"/>
        </w:rPr>
        <w:t>Tejeiro</w:t>
      </w:r>
      <w:proofErr w:type="spellEnd"/>
      <w:r w:rsidRPr="003C6272">
        <w:rPr>
          <w:rFonts w:ascii="Arial" w:hAnsi="Arial" w:cs="Arial"/>
          <w:spacing w:val="-8"/>
          <w:sz w:val="18"/>
          <w:szCs w:val="18"/>
        </w:rPr>
        <w:t xml:space="preserve"> Duque, sentencia SC3017-2019, expediente 76147-31-10-002-2011-00027-02</w:t>
      </w:r>
    </w:p>
  </w:footnote>
  <w:footnote w:id="9">
    <w:p w:rsidR="00972B82" w:rsidRPr="003C6272" w:rsidRDefault="00972B82" w:rsidP="003C6272">
      <w:pPr>
        <w:pStyle w:val="Textonotapie"/>
        <w:jc w:val="both"/>
        <w:rPr>
          <w:rFonts w:ascii="Arial" w:hAnsi="Arial" w:cs="Arial"/>
          <w:spacing w:val="-8"/>
          <w:sz w:val="18"/>
          <w:szCs w:val="18"/>
          <w:lang w:val="es-CO"/>
        </w:rPr>
      </w:pPr>
      <w:r w:rsidRPr="003C6272">
        <w:rPr>
          <w:rStyle w:val="Refdenotaalpie"/>
          <w:rFonts w:ascii="Arial" w:hAnsi="Arial" w:cs="Arial"/>
          <w:spacing w:val="-8"/>
          <w:sz w:val="18"/>
          <w:szCs w:val="18"/>
        </w:rPr>
        <w:footnoteRef/>
      </w:r>
      <w:r w:rsidRPr="003C6272">
        <w:rPr>
          <w:rFonts w:ascii="Arial" w:hAnsi="Arial" w:cs="Arial"/>
          <w:spacing w:val="-8"/>
          <w:sz w:val="18"/>
          <w:szCs w:val="18"/>
        </w:rPr>
        <w:t xml:space="preserve"> </w:t>
      </w:r>
      <w:proofErr w:type="spellStart"/>
      <w:r w:rsidRPr="003C6272">
        <w:rPr>
          <w:rFonts w:ascii="Arial" w:hAnsi="Arial" w:cs="Arial"/>
          <w:spacing w:val="-8"/>
          <w:sz w:val="18"/>
          <w:szCs w:val="18"/>
          <w:lang w:val="es-CO"/>
        </w:rPr>
        <w:t>MP</w:t>
      </w:r>
      <w:proofErr w:type="spellEnd"/>
      <w:r w:rsidRPr="003C6272">
        <w:rPr>
          <w:rFonts w:ascii="Arial" w:hAnsi="Arial" w:cs="Arial"/>
          <w:spacing w:val="-8"/>
          <w:sz w:val="18"/>
          <w:szCs w:val="18"/>
          <w:lang w:val="es-CO"/>
        </w:rPr>
        <w:t xml:space="preserve">. Dr. Aroldo Wilson  Quiroz </w:t>
      </w:r>
      <w:proofErr w:type="spellStart"/>
      <w:r w:rsidRPr="003C6272">
        <w:rPr>
          <w:rFonts w:ascii="Arial" w:hAnsi="Arial" w:cs="Arial"/>
          <w:spacing w:val="-8"/>
          <w:sz w:val="18"/>
          <w:szCs w:val="18"/>
          <w:lang w:val="es-CO"/>
        </w:rPr>
        <w:t>Monsalvo</w:t>
      </w:r>
      <w:proofErr w:type="spellEnd"/>
      <w:r w:rsidRPr="003C6272">
        <w:rPr>
          <w:rFonts w:ascii="Arial" w:hAnsi="Arial" w:cs="Arial"/>
          <w:spacing w:val="-8"/>
          <w:sz w:val="18"/>
          <w:szCs w:val="18"/>
          <w:lang w:val="es-CO"/>
        </w:rPr>
        <w:t>, sentencia SC3140-2019, expediente 05-001-31-10-009-2008-00867-01</w:t>
      </w:r>
    </w:p>
  </w:footnote>
  <w:footnote w:id="10">
    <w:p w:rsidR="00972B82" w:rsidRPr="00CD4321" w:rsidRDefault="00972B82" w:rsidP="003C6272">
      <w:pPr>
        <w:pStyle w:val="Textonotapie"/>
        <w:jc w:val="both"/>
        <w:rPr>
          <w:rFonts w:ascii="Verdana" w:hAnsi="Verdana"/>
          <w:sz w:val="16"/>
          <w:szCs w:val="16"/>
          <w:lang w:val="es-CO"/>
        </w:rPr>
      </w:pPr>
      <w:r w:rsidRPr="003C6272">
        <w:rPr>
          <w:rStyle w:val="Refdenotaalpie"/>
          <w:rFonts w:ascii="Arial" w:hAnsi="Arial" w:cs="Arial"/>
          <w:spacing w:val="-8"/>
          <w:sz w:val="18"/>
          <w:szCs w:val="18"/>
        </w:rPr>
        <w:footnoteRef/>
      </w:r>
      <w:r w:rsidRPr="003C6272">
        <w:rPr>
          <w:rFonts w:ascii="Arial" w:hAnsi="Arial" w:cs="Arial"/>
          <w:spacing w:val="-8"/>
          <w:sz w:val="18"/>
          <w:szCs w:val="18"/>
        </w:rPr>
        <w:t xml:space="preserve"> </w:t>
      </w:r>
      <w:proofErr w:type="spellStart"/>
      <w:r w:rsidRPr="003C6272">
        <w:rPr>
          <w:rFonts w:ascii="Arial" w:hAnsi="Arial" w:cs="Arial"/>
          <w:spacing w:val="-8"/>
          <w:sz w:val="18"/>
          <w:szCs w:val="18"/>
        </w:rPr>
        <w:t>MP</w:t>
      </w:r>
      <w:proofErr w:type="spellEnd"/>
      <w:r w:rsidRPr="003C6272">
        <w:rPr>
          <w:rFonts w:ascii="Arial" w:hAnsi="Arial" w:cs="Arial"/>
          <w:spacing w:val="-8"/>
          <w:sz w:val="18"/>
          <w:szCs w:val="18"/>
        </w:rPr>
        <w:t>. Álvaro Fernando García Restrepo, sentencia SC3404-2019, expediente 11001-31-10-008-2011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30F" w:rsidRDefault="005F43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2F" w:rsidRDefault="00CA488B" w:rsidP="00AF5B00">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0BFC0A64" wp14:editId="5F274F68">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DA4E2F" w:rsidRDefault="00CA488B" w:rsidP="00AF5B00">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DA4E2F" w:rsidRDefault="006E2499" w:rsidP="00AF5B00">
    <w:pPr>
      <w:pStyle w:val="Sinespaciado2"/>
      <w:rPr>
        <w:rFonts w:ascii="Arial" w:hAnsi="Arial" w:cs="Arial"/>
        <w:sz w:val="16"/>
        <w:szCs w:val="16"/>
      </w:rPr>
    </w:pPr>
  </w:p>
  <w:p w:rsidR="00DA4E2F" w:rsidRDefault="006E2499" w:rsidP="00AF5B00">
    <w:pPr>
      <w:pStyle w:val="Sinespaciado2"/>
      <w:rPr>
        <w:rFonts w:ascii="Arial" w:hAnsi="Arial" w:cs="Arial"/>
        <w:sz w:val="16"/>
        <w:szCs w:val="16"/>
      </w:rPr>
    </w:pPr>
  </w:p>
  <w:p w:rsidR="00DA4E2F" w:rsidRDefault="006E2499" w:rsidP="00AF5B00">
    <w:pPr>
      <w:pStyle w:val="Sinespaciado2"/>
      <w:rPr>
        <w:rFonts w:ascii="Arial" w:hAnsi="Arial" w:cs="Arial"/>
        <w:sz w:val="16"/>
        <w:szCs w:val="16"/>
      </w:rPr>
    </w:pPr>
  </w:p>
  <w:p w:rsidR="00DA4E2F" w:rsidRDefault="006E2499" w:rsidP="00AF5B00">
    <w:pPr>
      <w:pStyle w:val="Sinespaciado2"/>
      <w:rPr>
        <w:rFonts w:ascii="Arial" w:hAnsi="Arial" w:cs="Arial"/>
        <w:sz w:val="16"/>
        <w:szCs w:val="16"/>
      </w:rPr>
    </w:pPr>
  </w:p>
  <w:p w:rsidR="00DA4E2F" w:rsidRDefault="006E2499" w:rsidP="00AF5B00">
    <w:pPr>
      <w:pStyle w:val="Sinespaciado2"/>
      <w:rPr>
        <w:rFonts w:ascii="Arial" w:hAnsi="Arial" w:cs="Arial"/>
        <w:sz w:val="16"/>
        <w:szCs w:val="16"/>
      </w:rPr>
    </w:pPr>
  </w:p>
  <w:p w:rsidR="00DA4E2F" w:rsidRPr="00291247" w:rsidRDefault="00CA488B" w:rsidP="00AF5B00">
    <w:pPr>
      <w:pStyle w:val="Sinespaciado2"/>
      <w:rPr>
        <w:rFonts w:ascii="Arial" w:hAnsi="Arial" w:cs="Arial"/>
        <w:sz w:val="16"/>
        <w:szCs w:val="16"/>
      </w:rPr>
    </w:pPr>
    <w:r>
      <w:rPr>
        <w:rFonts w:ascii="Arial" w:hAnsi="Arial" w:cs="Arial"/>
        <w:sz w:val="16"/>
        <w:szCs w:val="16"/>
      </w:rPr>
      <w:t xml:space="preserve">                                                                                                 </w:t>
    </w:r>
    <w:proofErr w:type="spellStart"/>
    <w:r w:rsidRPr="001E05F5">
      <w:rPr>
        <w:rFonts w:ascii="Arial" w:hAnsi="Arial" w:cs="Arial"/>
        <w:sz w:val="18"/>
        <w:szCs w:val="16"/>
      </w:rPr>
      <w:t>EXP</w:t>
    </w:r>
    <w:proofErr w:type="spellEnd"/>
    <w:r w:rsidRPr="001E05F5">
      <w:rPr>
        <w:rFonts w:ascii="Arial" w:hAnsi="Arial" w:cs="Arial"/>
        <w:sz w:val="18"/>
        <w:szCs w:val="16"/>
      </w:rPr>
      <w:t xml:space="preserve">. </w:t>
    </w:r>
    <w:proofErr w:type="spellStart"/>
    <w:r w:rsidRPr="001E05F5">
      <w:rPr>
        <w:rFonts w:ascii="Arial" w:hAnsi="Arial" w:cs="Arial"/>
        <w:sz w:val="18"/>
        <w:szCs w:val="16"/>
      </w:rPr>
      <w:t>Apel</w:t>
    </w:r>
    <w:proofErr w:type="spellEnd"/>
    <w:r w:rsidRPr="001E05F5">
      <w:rPr>
        <w:rFonts w:ascii="Arial" w:hAnsi="Arial" w:cs="Arial"/>
        <w:sz w:val="18"/>
        <w:szCs w:val="16"/>
      </w:rPr>
      <w:t xml:space="preserve">. </w:t>
    </w:r>
    <w:proofErr w:type="spellStart"/>
    <w:r w:rsidRPr="001E05F5">
      <w:rPr>
        <w:rFonts w:ascii="Arial" w:hAnsi="Arial" w:cs="Arial"/>
        <w:sz w:val="18"/>
        <w:szCs w:val="16"/>
      </w:rPr>
      <w:t>Sent</w:t>
    </w:r>
    <w:proofErr w:type="spellEnd"/>
    <w:r w:rsidRPr="001E05F5">
      <w:rPr>
        <w:rFonts w:ascii="Arial" w:hAnsi="Arial" w:cs="Arial"/>
        <w:sz w:val="18"/>
        <w:szCs w:val="16"/>
      </w:rPr>
      <w:t>. 05088-31-03-002-2002-00425-01</w:t>
    </w:r>
  </w:p>
  <w:p w:rsidR="00DA4E2F" w:rsidRPr="005643A9" w:rsidRDefault="00CA488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DA4E2F" w:rsidRDefault="006E24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30F" w:rsidRDefault="005F43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1BA1D1C"/>
    <w:lvl w:ilvl="0">
      <w:start w:val="1"/>
      <w:numFmt w:val="decimal"/>
      <w:pStyle w:val="Listaconnmeros"/>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FC"/>
    <w:rsid w:val="0001381E"/>
    <w:rsid w:val="00045652"/>
    <w:rsid w:val="001226FF"/>
    <w:rsid w:val="001356C4"/>
    <w:rsid w:val="00152837"/>
    <w:rsid w:val="00177616"/>
    <w:rsid w:val="001907DB"/>
    <w:rsid w:val="001E05F5"/>
    <w:rsid w:val="001E58FC"/>
    <w:rsid w:val="002173E7"/>
    <w:rsid w:val="00292760"/>
    <w:rsid w:val="002C4518"/>
    <w:rsid w:val="00351F66"/>
    <w:rsid w:val="003C6272"/>
    <w:rsid w:val="00437353"/>
    <w:rsid w:val="004462E7"/>
    <w:rsid w:val="00497B88"/>
    <w:rsid w:val="004A295F"/>
    <w:rsid w:val="00543C54"/>
    <w:rsid w:val="00572BD7"/>
    <w:rsid w:val="00581560"/>
    <w:rsid w:val="005E275A"/>
    <w:rsid w:val="005E6788"/>
    <w:rsid w:val="005F430F"/>
    <w:rsid w:val="0064560C"/>
    <w:rsid w:val="006541E8"/>
    <w:rsid w:val="006C7756"/>
    <w:rsid w:val="006E2499"/>
    <w:rsid w:val="006F61F7"/>
    <w:rsid w:val="00735474"/>
    <w:rsid w:val="00760D16"/>
    <w:rsid w:val="00774183"/>
    <w:rsid w:val="00777A08"/>
    <w:rsid w:val="00813686"/>
    <w:rsid w:val="00815D7E"/>
    <w:rsid w:val="0082636B"/>
    <w:rsid w:val="008376B5"/>
    <w:rsid w:val="00882A92"/>
    <w:rsid w:val="00905C11"/>
    <w:rsid w:val="00921595"/>
    <w:rsid w:val="00925C9D"/>
    <w:rsid w:val="009379FB"/>
    <w:rsid w:val="009552A9"/>
    <w:rsid w:val="00965B50"/>
    <w:rsid w:val="00972B82"/>
    <w:rsid w:val="00990C53"/>
    <w:rsid w:val="009F4450"/>
    <w:rsid w:val="00A20E6B"/>
    <w:rsid w:val="00A70B0E"/>
    <w:rsid w:val="00A9051F"/>
    <w:rsid w:val="00AB6029"/>
    <w:rsid w:val="00B7084B"/>
    <w:rsid w:val="00B808DB"/>
    <w:rsid w:val="00CA135A"/>
    <w:rsid w:val="00CA488B"/>
    <w:rsid w:val="00CD3E75"/>
    <w:rsid w:val="00E36226"/>
    <w:rsid w:val="00E51E3A"/>
    <w:rsid w:val="00E61DAD"/>
    <w:rsid w:val="00E97424"/>
    <w:rsid w:val="00F50309"/>
    <w:rsid w:val="00F71257"/>
    <w:rsid w:val="00FE4E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B11BD-2E63-4C20-8875-03C67F84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8FC"/>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uiPriority w:val="9"/>
    <w:qFormat/>
    <w:rsid w:val="00972B8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1E58FC"/>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1E58FC"/>
    <w:pPr>
      <w:tabs>
        <w:tab w:val="center" w:pos="4419"/>
        <w:tab w:val="right" w:pos="8838"/>
      </w:tabs>
    </w:pPr>
  </w:style>
  <w:style w:type="character" w:customStyle="1" w:styleId="EncabezadoCar1">
    <w:name w:val="Encabezado Car1"/>
    <w:basedOn w:val="Fuentedeprrafopredeter"/>
    <w:uiPriority w:val="99"/>
    <w:semiHidden/>
    <w:rsid w:val="001E58FC"/>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1E58FC"/>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1E58FC"/>
    <w:pPr>
      <w:tabs>
        <w:tab w:val="center" w:pos="4419"/>
        <w:tab w:val="right" w:pos="8838"/>
      </w:tabs>
    </w:pPr>
  </w:style>
  <w:style w:type="character" w:customStyle="1" w:styleId="PiedepginaCar1">
    <w:name w:val="Pie de página Car1"/>
    <w:basedOn w:val="Fuentedeprrafopredeter"/>
    <w:uiPriority w:val="99"/>
    <w:semiHidden/>
    <w:rsid w:val="001E58FC"/>
    <w:rPr>
      <w:rFonts w:ascii="Times New Roman" w:eastAsia="Calibri" w:hAnsi="Times New Roman" w:cs="Times New Roman"/>
      <w:sz w:val="20"/>
      <w:szCs w:val="20"/>
      <w:lang w:eastAsia="es-ES"/>
    </w:rPr>
  </w:style>
  <w:style w:type="paragraph" w:customStyle="1" w:styleId="Sinespaciado1">
    <w:name w:val="Sin espaciado1"/>
    <w:rsid w:val="001E58FC"/>
    <w:pPr>
      <w:spacing w:after="0" w:line="240" w:lineRule="auto"/>
    </w:pPr>
    <w:rPr>
      <w:rFonts w:ascii="Calibri" w:eastAsia="Calibri" w:hAnsi="Calibri" w:cs="Times New Roman"/>
      <w:lang w:val="es-CO"/>
    </w:rPr>
  </w:style>
  <w:style w:type="paragraph" w:customStyle="1" w:styleId="Sinespaciado2">
    <w:name w:val="Sin espaciado2"/>
    <w:uiPriority w:val="99"/>
    <w:rsid w:val="001E58FC"/>
    <w:pPr>
      <w:spacing w:after="0" w:line="240" w:lineRule="auto"/>
    </w:pPr>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ootnote reference"/>
    <w:basedOn w:val="Normal"/>
    <w:link w:val="TextonotapieCar"/>
    <w:unhideWhenUsed/>
    <w:qFormat/>
    <w:rsid w:val="001E58FC"/>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1E58FC"/>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Ref,F"/>
    <w:basedOn w:val="Fuentedeprrafopredeter"/>
    <w:unhideWhenUsed/>
    <w:qFormat/>
    <w:rsid w:val="001E58FC"/>
    <w:rPr>
      <w:vertAlign w:val="superscript"/>
    </w:rPr>
  </w:style>
  <w:style w:type="paragraph" w:styleId="Sinespaciado">
    <w:name w:val="No Spacing"/>
    <w:link w:val="SinespaciadoCar"/>
    <w:uiPriority w:val="99"/>
    <w:qFormat/>
    <w:rsid w:val="001E58FC"/>
    <w:pPr>
      <w:spacing w:after="0" w:line="240" w:lineRule="auto"/>
    </w:pPr>
  </w:style>
  <w:style w:type="character" w:customStyle="1" w:styleId="SinespaciadoCar">
    <w:name w:val="Sin espaciado Car"/>
    <w:link w:val="Sinespaciado"/>
    <w:uiPriority w:val="99"/>
    <w:locked/>
    <w:rsid w:val="001E58FC"/>
  </w:style>
  <w:style w:type="paragraph" w:customStyle="1" w:styleId="NoSpacing1">
    <w:name w:val="No Spacing1"/>
    <w:uiPriority w:val="99"/>
    <w:rsid w:val="001E58FC"/>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9379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79FB"/>
    <w:rPr>
      <w:rFonts w:ascii="Segoe UI" w:eastAsia="Calibri" w:hAnsi="Segoe UI" w:cs="Segoe UI"/>
      <w:sz w:val="18"/>
      <w:szCs w:val="18"/>
      <w:lang w:eastAsia="es-ES"/>
    </w:rPr>
  </w:style>
  <w:style w:type="character" w:customStyle="1" w:styleId="Ttulo1Car">
    <w:name w:val="Título 1 Car"/>
    <w:basedOn w:val="Fuentedeprrafopredeter"/>
    <w:link w:val="Ttulo1"/>
    <w:uiPriority w:val="9"/>
    <w:rsid w:val="00972B82"/>
    <w:rPr>
      <w:rFonts w:asciiTheme="majorHAnsi" w:eastAsiaTheme="majorEastAsia" w:hAnsiTheme="majorHAnsi" w:cstheme="majorBidi"/>
      <w:color w:val="2E74B5" w:themeColor="accent1" w:themeShade="BF"/>
      <w:sz w:val="32"/>
      <w:szCs w:val="32"/>
      <w:lang w:eastAsia="es-ES"/>
    </w:rPr>
  </w:style>
  <w:style w:type="paragraph" w:styleId="Listaconnmeros">
    <w:name w:val="List Number"/>
    <w:basedOn w:val="Normal"/>
    <w:uiPriority w:val="99"/>
    <w:semiHidden/>
    <w:unhideWhenUsed/>
    <w:rsid w:val="00972B82"/>
    <w:pPr>
      <w:numPr>
        <w:numId w:val="1"/>
      </w:numPr>
      <w:contextualSpacing/>
    </w:pPr>
  </w:style>
  <w:style w:type="paragraph" w:customStyle="1" w:styleId="Car">
    <w:name w:val="Car"/>
    <w:basedOn w:val="Normal"/>
    <w:rsid w:val="00972B82"/>
    <w:pPr>
      <w:spacing w:after="160" w:line="240" w:lineRule="exact"/>
    </w:pPr>
    <w:rPr>
      <w:rFonts w:eastAsia="Times New Roman"/>
      <w:noProof/>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5A8B1-0A4D-4B1B-B275-0FD0A74B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4780</Words>
  <Characters>26294</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7</cp:revision>
  <cp:lastPrinted>2019-12-16T20:19:00Z</cp:lastPrinted>
  <dcterms:created xsi:type="dcterms:W3CDTF">2019-12-16T20:22:00Z</dcterms:created>
  <dcterms:modified xsi:type="dcterms:W3CDTF">2020-01-17T15:31:00Z</dcterms:modified>
</cp:coreProperties>
</file>