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10" w:rsidRPr="00C50B10" w:rsidRDefault="00C50B10" w:rsidP="00C50B1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50B1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0B10" w:rsidRPr="00C50B10" w:rsidRDefault="00C50B10" w:rsidP="00C50B10">
      <w:pPr>
        <w:jc w:val="both"/>
        <w:rPr>
          <w:rFonts w:ascii="Arial" w:hAnsi="Arial" w:cs="Arial"/>
          <w:sz w:val="20"/>
          <w:szCs w:val="20"/>
          <w:lang w:val="es-419"/>
        </w:rPr>
      </w:pPr>
    </w:p>
    <w:p w:rsidR="00C50B10" w:rsidRPr="00C50B10" w:rsidRDefault="00C50B10" w:rsidP="00C50B10">
      <w:pPr>
        <w:jc w:val="both"/>
        <w:rPr>
          <w:rFonts w:ascii="Arial" w:hAnsi="Arial" w:cs="Arial"/>
          <w:b/>
          <w:bCs/>
          <w:iCs/>
          <w:sz w:val="20"/>
          <w:szCs w:val="20"/>
          <w:lang w:val="es-419" w:eastAsia="fr-FR"/>
        </w:rPr>
      </w:pPr>
      <w:r w:rsidRPr="00C50B10">
        <w:rPr>
          <w:rFonts w:ascii="Arial" w:hAnsi="Arial" w:cs="Arial"/>
          <w:b/>
          <w:bCs/>
          <w:iCs/>
          <w:sz w:val="20"/>
          <w:szCs w:val="20"/>
          <w:lang w:val="es-419" w:eastAsia="fr-FR"/>
        </w:rPr>
        <w:t>TEMAS:</w:t>
      </w:r>
      <w:r w:rsidRPr="00C50B10">
        <w:rPr>
          <w:rFonts w:ascii="Arial" w:hAnsi="Arial" w:cs="Arial"/>
          <w:b/>
          <w:bCs/>
          <w:iCs/>
          <w:sz w:val="20"/>
          <w:szCs w:val="20"/>
          <w:lang w:val="es-419" w:eastAsia="fr-FR"/>
        </w:rPr>
        <w:tab/>
      </w:r>
      <w:r w:rsidR="00B55F6D">
        <w:rPr>
          <w:rFonts w:ascii="Arial" w:hAnsi="Arial" w:cs="Arial"/>
          <w:b/>
          <w:bCs/>
          <w:iCs/>
          <w:sz w:val="20"/>
          <w:szCs w:val="20"/>
          <w:lang w:val="es-CO" w:eastAsia="fr-FR"/>
        </w:rPr>
        <w:t>R</w:t>
      </w:r>
      <w:r w:rsidR="00B55F6D">
        <w:rPr>
          <w:rFonts w:ascii="Arial" w:hAnsi="Arial" w:cs="Arial"/>
          <w:b/>
          <w:sz w:val="20"/>
          <w:szCs w:val="20"/>
          <w:lang w:val="es-CO"/>
        </w:rPr>
        <w:t>ECURSO DE QUEJA / AUTO QUE APRUEBA LA DILIGENCIA DE REMATE / NO ESTÁ PREVISTO COMO APELABLE POR LOS ARTÍCULOS 321 Y 455 DEL CÓDIGO GENERAL DEL PROCESO / POR LO TANTO, ESTUVO BIEN DENEGADA LA CONCESIÓ</w:t>
      </w:r>
      <w:bookmarkStart w:id="0" w:name="_GoBack"/>
      <w:bookmarkEnd w:id="0"/>
      <w:r w:rsidR="00B55F6D">
        <w:rPr>
          <w:rFonts w:ascii="Arial" w:hAnsi="Arial" w:cs="Arial"/>
          <w:b/>
          <w:sz w:val="20"/>
          <w:szCs w:val="20"/>
          <w:lang w:val="es-CO"/>
        </w:rPr>
        <w:t>N DEL RECURSO.</w:t>
      </w:r>
    </w:p>
    <w:p w:rsidR="00C50B10" w:rsidRPr="00C50B10" w:rsidRDefault="00C50B10" w:rsidP="00C50B10">
      <w:pPr>
        <w:jc w:val="both"/>
        <w:rPr>
          <w:rFonts w:ascii="Arial" w:hAnsi="Arial" w:cs="Arial"/>
          <w:sz w:val="20"/>
          <w:szCs w:val="20"/>
          <w:lang w:val="es-419"/>
        </w:rPr>
      </w:pPr>
    </w:p>
    <w:p w:rsidR="00C50B10" w:rsidRPr="00A90A3F" w:rsidRDefault="00A90A3F" w:rsidP="00A90A3F">
      <w:pPr>
        <w:jc w:val="both"/>
        <w:rPr>
          <w:rFonts w:ascii="Arial" w:hAnsi="Arial" w:cs="Arial"/>
          <w:sz w:val="20"/>
          <w:szCs w:val="20"/>
          <w:lang w:val="es-CO"/>
        </w:rPr>
      </w:pPr>
      <w:r w:rsidRPr="00A90A3F">
        <w:rPr>
          <w:rFonts w:ascii="Arial" w:hAnsi="Arial" w:cs="Arial"/>
          <w:sz w:val="20"/>
          <w:szCs w:val="20"/>
          <w:lang w:val="es-419"/>
        </w:rPr>
        <w:t>Por auto del 31 del mismo mes, se aprobó aquella diligencia</w:t>
      </w:r>
      <w:r>
        <w:rPr>
          <w:rFonts w:ascii="Arial" w:hAnsi="Arial" w:cs="Arial"/>
          <w:sz w:val="20"/>
          <w:szCs w:val="20"/>
          <w:lang w:val="es-CO"/>
        </w:rPr>
        <w:t xml:space="preserve"> (la de remate)</w:t>
      </w:r>
      <w:r w:rsidRPr="00A90A3F">
        <w:rPr>
          <w:rFonts w:ascii="Arial" w:hAnsi="Arial" w:cs="Arial"/>
          <w:sz w:val="20"/>
          <w:szCs w:val="20"/>
          <w:lang w:val="es-419"/>
        </w:rPr>
        <w:t xml:space="preserve"> y se ordenó la cancelación de los gravámenes prendarios e hipotecarios que af</w:t>
      </w:r>
      <w:r>
        <w:rPr>
          <w:rFonts w:ascii="Arial" w:hAnsi="Arial" w:cs="Arial"/>
          <w:sz w:val="20"/>
          <w:szCs w:val="20"/>
          <w:lang w:val="es-419"/>
        </w:rPr>
        <w:t>ectaban la propiedad rematada.</w:t>
      </w:r>
      <w:r>
        <w:rPr>
          <w:rFonts w:ascii="Arial" w:hAnsi="Arial" w:cs="Arial"/>
          <w:sz w:val="20"/>
          <w:szCs w:val="20"/>
          <w:lang w:val="es-CO"/>
        </w:rPr>
        <w:t xml:space="preserve">  </w:t>
      </w:r>
      <w:r w:rsidRPr="00A90A3F">
        <w:rPr>
          <w:rFonts w:ascii="Arial" w:hAnsi="Arial" w:cs="Arial"/>
          <w:sz w:val="20"/>
          <w:szCs w:val="20"/>
          <w:lang w:val="es-419"/>
        </w:rPr>
        <w:t>Inconforme con ese proveído, la apoderada del demandado interpuso recurso de apelación, pero el juzgado se negó a concederlo, en auto del 7 de febrero de 2018 (sic), porque la providencia no era susceptible de ese medio de impugnación.</w:t>
      </w:r>
      <w:r>
        <w:rPr>
          <w:rFonts w:ascii="Arial" w:hAnsi="Arial" w:cs="Arial"/>
          <w:sz w:val="20"/>
          <w:szCs w:val="20"/>
          <w:lang w:val="es-CO"/>
        </w:rPr>
        <w:t xml:space="preserve"> (…)</w:t>
      </w:r>
    </w:p>
    <w:p w:rsidR="00A90A3F" w:rsidRDefault="00A90A3F" w:rsidP="00A90A3F">
      <w:pPr>
        <w:jc w:val="both"/>
        <w:rPr>
          <w:rFonts w:ascii="Arial" w:hAnsi="Arial" w:cs="Arial"/>
          <w:sz w:val="20"/>
          <w:szCs w:val="20"/>
          <w:lang w:val="es-419"/>
        </w:rPr>
      </w:pPr>
    </w:p>
    <w:p w:rsidR="00A90A3F" w:rsidRPr="00A90A3F" w:rsidRDefault="00A90A3F" w:rsidP="00A90A3F">
      <w:pPr>
        <w:jc w:val="both"/>
        <w:rPr>
          <w:rFonts w:ascii="Arial" w:hAnsi="Arial" w:cs="Arial"/>
          <w:sz w:val="20"/>
          <w:szCs w:val="20"/>
          <w:lang w:val="es-419"/>
        </w:rPr>
      </w:pPr>
      <w:r>
        <w:rPr>
          <w:rFonts w:ascii="Arial" w:hAnsi="Arial" w:cs="Arial"/>
          <w:sz w:val="20"/>
          <w:szCs w:val="20"/>
          <w:lang w:val="es-CO"/>
        </w:rPr>
        <w:t xml:space="preserve">… </w:t>
      </w:r>
      <w:r w:rsidRPr="00A90A3F">
        <w:rPr>
          <w:rFonts w:ascii="Arial" w:hAnsi="Arial" w:cs="Arial"/>
          <w:sz w:val="20"/>
          <w:szCs w:val="20"/>
          <w:lang w:val="es-419"/>
        </w:rPr>
        <w:t>los artículos 320, 321 y 322 del Código General del Proceso se ocupan de regular las formalidades indispensables para admitirlo:</w:t>
      </w:r>
    </w:p>
    <w:p w:rsidR="00A90A3F" w:rsidRPr="00A90A3F" w:rsidRDefault="00A90A3F" w:rsidP="00A90A3F">
      <w:pPr>
        <w:jc w:val="both"/>
        <w:rPr>
          <w:rFonts w:ascii="Arial" w:hAnsi="Arial" w:cs="Arial"/>
          <w:sz w:val="20"/>
          <w:szCs w:val="20"/>
          <w:lang w:val="es-419"/>
        </w:rPr>
      </w:pPr>
    </w:p>
    <w:p w:rsidR="00A90A3F" w:rsidRDefault="00A90A3F" w:rsidP="00A90A3F">
      <w:pPr>
        <w:jc w:val="both"/>
        <w:rPr>
          <w:rFonts w:ascii="Arial" w:hAnsi="Arial" w:cs="Arial"/>
          <w:sz w:val="20"/>
          <w:szCs w:val="20"/>
          <w:lang w:val="es-CO"/>
        </w:rPr>
      </w:pPr>
      <w:r>
        <w:rPr>
          <w:rFonts w:ascii="Arial" w:hAnsi="Arial" w:cs="Arial"/>
          <w:sz w:val="20"/>
          <w:szCs w:val="20"/>
          <w:lang w:val="es-419"/>
        </w:rPr>
        <w:t xml:space="preserve">a) </w:t>
      </w:r>
      <w:r w:rsidRPr="00A90A3F">
        <w:rPr>
          <w:rFonts w:ascii="Arial" w:hAnsi="Arial" w:cs="Arial"/>
          <w:sz w:val="20"/>
          <w:szCs w:val="20"/>
          <w:lang w:val="es-419"/>
        </w:rPr>
        <w:t>Que la providencia materia de impugnación sea susceptible de apelación.</w:t>
      </w:r>
      <w:r>
        <w:rPr>
          <w:rFonts w:ascii="Arial" w:hAnsi="Arial" w:cs="Arial"/>
          <w:sz w:val="20"/>
          <w:szCs w:val="20"/>
          <w:lang w:val="es-CO"/>
        </w:rPr>
        <w:t xml:space="preserve"> (…)</w:t>
      </w:r>
    </w:p>
    <w:p w:rsidR="00A90A3F" w:rsidRDefault="00A90A3F" w:rsidP="00A90A3F">
      <w:pPr>
        <w:jc w:val="both"/>
        <w:rPr>
          <w:rFonts w:ascii="Arial" w:hAnsi="Arial" w:cs="Arial"/>
          <w:sz w:val="20"/>
          <w:szCs w:val="20"/>
          <w:lang w:val="es-CO"/>
        </w:rPr>
      </w:pPr>
    </w:p>
    <w:p w:rsidR="00A90A3F" w:rsidRPr="00A90A3F" w:rsidRDefault="00A90A3F" w:rsidP="00A90A3F">
      <w:pPr>
        <w:jc w:val="both"/>
        <w:rPr>
          <w:rFonts w:ascii="Arial" w:hAnsi="Arial" w:cs="Arial"/>
          <w:sz w:val="20"/>
          <w:szCs w:val="20"/>
          <w:lang w:val="es-CO"/>
        </w:rPr>
      </w:pPr>
      <w:r w:rsidRPr="00A90A3F">
        <w:rPr>
          <w:rFonts w:ascii="Arial" w:hAnsi="Arial" w:cs="Arial"/>
          <w:sz w:val="20"/>
          <w:szCs w:val="20"/>
          <w:lang w:val="es-CO"/>
        </w:rPr>
        <w:t xml:space="preserve">De tales requisitos, no se satisface el primero pues la decisión censurada no admite la alzada. </w:t>
      </w:r>
    </w:p>
    <w:p w:rsidR="00A90A3F" w:rsidRPr="00A90A3F" w:rsidRDefault="00A90A3F" w:rsidP="00A90A3F">
      <w:pPr>
        <w:jc w:val="both"/>
        <w:rPr>
          <w:rFonts w:ascii="Arial" w:hAnsi="Arial" w:cs="Arial"/>
          <w:sz w:val="20"/>
          <w:szCs w:val="20"/>
          <w:lang w:val="es-CO"/>
        </w:rPr>
      </w:pPr>
    </w:p>
    <w:p w:rsidR="00A90A3F" w:rsidRPr="00A90A3F" w:rsidRDefault="00A90A3F" w:rsidP="00A90A3F">
      <w:pPr>
        <w:jc w:val="both"/>
        <w:rPr>
          <w:rFonts w:ascii="Arial" w:hAnsi="Arial" w:cs="Arial"/>
          <w:sz w:val="20"/>
          <w:szCs w:val="20"/>
          <w:lang w:val="es-CO"/>
        </w:rPr>
      </w:pPr>
      <w:r w:rsidRPr="00A90A3F">
        <w:rPr>
          <w:rFonts w:ascii="Arial" w:hAnsi="Arial" w:cs="Arial"/>
          <w:sz w:val="20"/>
          <w:szCs w:val="20"/>
          <w:lang w:val="es-CO"/>
        </w:rPr>
        <w:t>En efecto, el artículo 321 del código citado dice que son apelables las sentencias de primera instancia, los autos que señala de manera taxativa, proferidos en la misma instancia y los demás expresamente indicados en ese código, dentro de los cuales no se enlista como susceptible del recurso de apelación, el auto que aprueba la diligencia de remate. Tampoco autorizan ese medio de impugnación el artículo 455 de la misma obra, que regula lo relacionado con la aprobación del remate, ni las normas siguientes.</w:t>
      </w:r>
    </w:p>
    <w:p w:rsidR="00C50B10" w:rsidRPr="00C50B10" w:rsidRDefault="00C50B10" w:rsidP="00C50B10">
      <w:pPr>
        <w:jc w:val="both"/>
        <w:rPr>
          <w:rFonts w:ascii="Arial" w:hAnsi="Arial" w:cs="Arial"/>
          <w:sz w:val="20"/>
          <w:szCs w:val="20"/>
          <w:lang w:val="es-419"/>
        </w:rPr>
      </w:pPr>
    </w:p>
    <w:p w:rsidR="00C50B10" w:rsidRPr="00C50B10" w:rsidRDefault="00C50B10" w:rsidP="00C50B10">
      <w:pPr>
        <w:jc w:val="both"/>
        <w:rPr>
          <w:rFonts w:ascii="Arial" w:hAnsi="Arial" w:cs="Arial"/>
          <w:sz w:val="20"/>
          <w:szCs w:val="20"/>
          <w:lang w:val="es-419"/>
        </w:rPr>
      </w:pPr>
    </w:p>
    <w:p w:rsidR="00C50B10" w:rsidRPr="00C50B10" w:rsidRDefault="00C50B10" w:rsidP="00C50B10">
      <w:pPr>
        <w:jc w:val="both"/>
        <w:rPr>
          <w:rFonts w:ascii="Arial" w:hAnsi="Arial" w:cs="Arial"/>
          <w:sz w:val="20"/>
          <w:szCs w:val="20"/>
        </w:rPr>
      </w:pPr>
    </w:p>
    <w:p w:rsidR="005E41EA" w:rsidRPr="00C50B10" w:rsidRDefault="005E41EA" w:rsidP="00C50B10">
      <w:pPr>
        <w:pStyle w:val="Puesto"/>
        <w:spacing w:line="288" w:lineRule="auto"/>
        <w:rPr>
          <w:rFonts w:ascii="Tahoma" w:hAnsi="Tahoma" w:cs="Tahoma"/>
          <w:spacing w:val="0"/>
        </w:rPr>
      </w:pPr>
      <w:r w:rsidRPr="00C50B10">
        <w:rPr>
          <w:rFonts w:ascii="Tahoma" w:hAnsi="Tahoma" w:cs="Tahoma"/>
          <w:spacing w:val="0"/>
        </w:rPr>
        <w:t>TRIBUNAL SUPERIOR DEL DISTRITO JUDICIAL</w:t>
      </w:r>
    </w:p>
    <w:p w:rsidR="005E41EA" w:rsidRPr="00C50B10" w:rsidRDefault="005E41EA" w:rsidP="00C50B10">
      <w:pPr>
        <w:pStyle w:val="Ttulo2"/>
        <w:spacing w:line="288" w:lineRule="auto"/>
        <w:rPr>
          <w:rFonts w:ascii="Tahoma" w:hAnsi="Tahoma" w:cs="Tahoma"/>
          <w:spacing w:val="0"/>
          <w:szCs w:val="24"/>
        </w:rPr>
      </w:pPr>
      <w:r w:rsidRPr="00C50B10">
        <w:rPr>
          <w:rFonts w:ascii="Tahoma" w:hAnsi="Tahoma" w:cs="Tahoma"/>
          <w:spacing w:val="0"/>
          <w:szCs w:val="24"/>
        </w:rPr>
        <w:t>SALA UNITARIA CIVIL FAMILIA</w:t>
      </w:r>
    </w:p>
    <w:p w:rsidR="005E41EA" w:rsidRPr="00C50B10" w:rsidRDefault="005E41EA" w:rsidP="00C50B10">
      <w:pPr>
        <w:spacing w:line="288" w:lineRule="auto"/>
        <w:jc w:val="center"/>
        <w:rPr>
          <w:rFonts w:ascii="Tahoma" w:hAnsi="Tahoma" w:cs="Tahoma"/>
        </w:rPr>
      </w:pPr>
    </w:p>
    <w:p w:rsidR="005E41EA" w:rsidRPr="00C50B10" w:rsidRDefault="005E41EA" w:rsidP="00C50B10">
      <w:pPr>
        <w:spacing w:line="288" w:lineRule="auto"/>
        <w:ind w:firstLine="708"/>
        <w:jc w:val="both"/>
        <w:rPr>
          <w:rFonts w:ascii="Tahoma" w:hAnsi="Tahoma" w:cs="Tahoma"/>
          <w:b/>
        </w:rPr>
      </w:pPr>
      <w:r w:rsidRPr="00C50B10">
        <w:rPr>
          <w:rFonts w:ascii="Tahoma" w:hAnsi="Tahoma" w:cs="Tahoma"/>
        </w:rPr>
        <w:t>Magistrada: Claudia María Arcila Ríos</w:t>
      </w:r>
    </w:p>
    <w:p w:rsidR="005E41EA" w:rsidRPr="00C50B10" w:rsidRDefault="005E41EA" w:rsidP="00C50B10">
      <w:pPr>
        <w:spacing w:line="288" w:lineRule="auto"/>
        <w:ind w:firstLine="708"/>
        <w:jc w:val="both"/>
        <w:rPr>
          <w:rFonts w:ascii="Tahoma" w:hAnsi="Tahoma" w:cs="Tahoma"/>
        </w:rPr>
      </w:pPr>
      <w:r w:rsidRPr="00C50B10">
        <w:rPr>
          <w:rFonts w:ascii="Tahoma" w:hAnsi="Tahoma" w:cs="Tahoma"/>
        </w:rPr>
        <w:t xml:space="preserve">Pereira, </w:t>
      </w:r>
      <w:r w:rsidR="00A33978" w:rsidRPr="00C50B10">
        <w:rPr>
          <w:rFonts w:ascii="Tahoma" w:hAnsi="Tahoma" w:cs="Tahoma"/>
        </w:rPr>
        <w:t xml:space="preserve">abril </w:t>
      </w:r>
      <w:r w:rsidR="00A34088" w:rsidRPr="00C50B10">
        <w:rPr>
          <w:rFonts w:ascii="Tahoma" w:hAnsi="Tahoma" w:cs="Tahoma"/>
        </w:rPr>
        <w:t xml:space="preserve">doce (12) </w:t>
      </w:r>
      <w:r w:rsidRPr="00C50B10">
        <w:rPr>
          <w:rFonts w:ascii="Tahoma" w:hAnsi="Tahoma" w:cs="Tahoma"/>
        </w:rPr>
        <w:t xml:space="preserve">de dos mil </w:t>
      </w:r>
      <w:r w:rsidR="00474E85" w:rsidRPr="00C50B10">
        <w:rPr>
          <w:rFonts w:ascii="Tahoma" w:hAnsi="Tahoma" w:cs="Tahoma"/>
        </w:rPr>
        <w:t>dieci</w:t>
      </w:r>
      <w:r w:rsidR="00A33978" w:rsidRPr="00C50B10">
        <w:rPr>
          <w:rFonts w:ascii="Tahoma" w:hAnsi="Tahoma" w:cs="Tahoma"/>
        </w:rPr>
        <w:t>nueve (2019</w:t>
      </w:r>
      <w:r w:rsidR="00B24418" w:rsidRPr="00C50B10">
        <w:rPr>
          <w:rFonts w:ascii="Tahoma" w:hAnsi="Tahoma" w:cs="Tahoma"/>
        </w:rPr>
        <w:t>)</w:t>
      </w:r>
    </w:p>
    <w:p w:rsidR="005E41EA" w:rsidRPr="00C50B10" w:rsidRDefault="005E41EA" w:rsidP="00C50B10">
      <w:pPr>
        <w:spacing w:line="288" w:lineRule="auto"/>
        <w:ind w:firstLine="708"/>
        <w:jc w:val="both"/>
        <w:rPr>
          <w:rFonts w:ascii="Tahoma" w:hAnsi="Tahoma" w:cs="Tahoma"/>
        </w:rPr>
      </w:pPr>
      <w:r w:rsidRPr="00C50B10">
        <w:rPr>
          <w:rFonts w:ascii="Tahoma" w:hAnsi="Tahoma" w:cs="Tahoma"/>
        </w:rPr>
        <w:t xml:space="preserve">Expediente </w:t>
      </w:r>
      <w:r w:rsidR="00A33978" w:rsidRPr="00C50B10">
        <w:rPr>
          <w:rFonts w:ascii="Tahoma" w:hAnsi="Tahoma" w:cs="Tahoma"/>
        </w:rPr>
        <w:t>66682-31-03-001-2018-00001-01</w:t>
      </w:r>
    </w:p>
    <w:p w:rsidR="005E41EA" w:rsidRPr="00C50B10" w:rsidRDefault="005E41EA" w:rsidP="00C50B10">
      <w:pPr>
        <w:spacing w:line="288" w:lineRule="auto"/>
        <w:jc w:val="both"/>
        <w:rPr>
          <w:rFonts w:ascii="Tahoma" w:hAnsi="Tahoma" w:cs="Tahoma"/>
        </w:rPr>
      </w:pPr>
    </w:p>
    <w:p w:rsidR="007163ED" w:rsidRPr="00C50B10" w:rsidRDefault="005E41EA" w:rsidP="00C50B10">
      <w:pPr>
        <w:spacing w:line="288" w:lineRule="auto"/>
        <w:jc w:val="both"/>
        <w:rPr>
          <w:rFonts w:ascii="Tahoma" w:hAnsi="Tahoma" w:cs="Tahoma"/>
        </w:rPr>
      </w:pPr>
      <w:r w:rsidRPr="00C50B10">
        <w:rPr>
          <w:rFonts w:ascii="Tahoma" w:hAnsi="Tahoma" w:cs="Tahoma"/>
        </w:rPr>
        <w:t>Se ocupa la Sala de resolver el recurso de queja interpuesto por</w:t>
      </w:r>
      <w:r w:rsidR="008A1ED9" w:rsidRPr="00C50B10">
        <w:rPr>
          <w:rFonts w:ascii="Tahoma" w:hAnsi="Tahoma" w:cs="Tahoma"/>
        </w:rPr>
        <w:t xml:space="preserve"> la </w:t>
      </w:r>
      <w:r w:rsidR="00884580" w:rsidRPr="00C50B10">
        <w:rPr>
          <w:rFonts w:ascii="Tahoma" w:hAnsi="Tahoma" w:cs="Tahoma"/>
        </w:rPr>
        <w:t>apoderada judicial de</w:t>
      </w:r>
      <w:r w:rsidR="005E2E3D" w:rsidRPr="00C50B10">
        <w:rPr>
          <w:rFonts w:ascii="Tahoma" w:hAnsi="Tahoma" w:cs="Tahoma"/>
        </w:rPr>
        <w:t xml:space="preserve">l </w:t>
      </w:r>
      <w:r w:rsidR="007163ED" w:rsidRPr="00C50B10">
        <w:rPr>
          <w:rFonts w:ascii="Tahoma" w:hAnsi="Tahoma" w:cs="Tahoma"/>
        </w:rPr>
        <w:t xml:space="preserve">demandado, </w:t>
      </w:r>
      <w:r w:rsidRPr="00C50B10">
        <w:rPr>
          <w:rFonts w:ascii="Tahoma" w:hAnsi="Tahoma" w:cs="Tahoma"/>
        </w:rPr>
        <w:t xml:space="preserve">tendiente a obtener se le conceda el de apelación </w:t>
      </w:r>
      <w:r w:rsidR="007163ED" w:rsidRPr="00C50B10">
        <w:rPr>
          <w:rFonts w:ascii="Tahoma" w:hAnsi="Tahoma" w:cs="Tahoma"/>
        </w:rPr>
        <w:t>que propuso frente a</w:t>
      </w:r>
      <w:r w:rsidRPr="00C50B10">
        <w:rPr>
          <w:rFonts w:ascii="Tahoma" w:hAnsi="Tahoma" w:cs="Tahoma"/>
        </w:rPr>
        <w:t xml:space="preserve">l auto </w:t>
      </w:r>
      <w:r w:rsidR="002E2CDD" w:rsidRPr="00C50B10">
        <w:rPr>
          <w:rFonts w:ascii="Tahoma" w:hAnsi="Tahoma" w:cs="Tahoma"/>
        </w:rPr>
        <w:t xml:space="preserve">proferido por el Juzgado </w:t>
      </w:r>
      <w:r w:rsidR="0019206B" w:rsidRPr="00C50B10">
        <w:rPr>
          <w:rFonts w:ascii="Tahoma" w:hAnsi="Tahoma" w:cs="Tahoma"/>
        </w:rPr>
        <w:t>Civil del Circuito de Santa Rosa de Cabal, el 31</w:t>
      </w:r>
      <w:r w:rsidR="002E2CDD" w:rsidRPr="00C50B10">
        <w:rPr>
          <w:rFonts w:ascii="Tahoma" w:hAnsi="Tahoma" w:cs="Tahoma"/>
        </w:rPr>
        <w:t xml:space="preserve"> de </w:t>
      </w:r>
      <w:r w:rsidR="0019206B" w:rsidRPr="00C50B10">
        <w:rPr>
          <w:rFonts w:ascii="Tahoma" w:hAnsi="Tahoma" w:cs="Tahoma"/>
        </w:rPr>
        <w:t>enero</w:t>
      </w:r>
      <w:r w:rsidR="002E2CDD" w:rsidRPr="00C50B10">
        <w:rPr>
          <w:rFonts w:ascii="Tahoma" w:hAnsi="Tahoma" w:cs="Tahoma"/>
        </w:rPr>
        <w:t xml:space="preserve"> del presente año</w:t>
      </w:r>
      <w:r w:rsidR="0010648E" w:rsidRPr="00C50B10">
        <w:rPr>
          <w:rFonts w:ascii="Tahoma" w:hAnsi="Tahoma" w:cs="Tahoma"/>
        </w:rPr>
        <w:t xml:space="preserve">, </w:t>
      </w:r>
      <w:r w:rsidR="007163ED" w:rsidRPr="00C50B10">
        <w:rPr>
          <w:rFonts w:ascii="Tahoma" w:hAnsi="Tahoma" w:cs="Tahoma"/>
        </w:rPr>
        <w:t>en el proceso ejecutivo con acción mixta, instaurado por Ernesto Morales Benjumea contra Nicolás Antonio Grajales Dávila.</w:t>
      </w:r>
    </w:p>
    <w:p w:rsidR="0045722D" w:rsidRPr="00C50B10" w:rsidRDefault="0094196E" w:rsidP="00C50B10">
      <w:pPr>
        <w:spacing w:line="288" w:lineRule="auto"/>
        <w:jc w:val="both"/>
        <w:rPr>
          <w:rFonts w:ascii="Tahoma" w:hAnsi="Tahoma" w:cs="Tahoma"/>
        </w:rPr>
      </w:pPr>
      <w:r w:rsidRPr="00C50B10">
        <w:rPr>
          <w:rFonts w:ascii="Tahoma" w:hAnsi="Tahoma" w:cs="Tahoma"/>
        </w:rPr>
        <w:t xml:space="preserve"> </w:t>
      </w:r>
    </w:p>
    <w:p w:rsidR="005E41EA" w:rsidRPr="00C50B10" w:rsidRDefault="005E41EA" w:rsidP="00C50B10">
      <w:pPr>
        <w:spacing w:line="288" w:lineRule="auto"/>
        <w:jc w:val="both"/>
        <w:rPr>
          <w:rFonts w:ascii="Tahoma" w:hAnsi="Tahoma" w:cs="Tahoma"/>
          <w:b/>
        </w:rPr>
      </w:pPr>
      <w:r w:rsidRPr="00C50B10">
        <w:rPr>
          <w:rFonts w:ascii="Tahoma" w:hAnsi="Tahoma" w:cs="Tahoma"/>
          <w:b/>
        </w:rPr>
        <w:t>ANTECEDENTES</w:t>
      </w:r>
    </w:p>
    <w:p w:rsidR="005E41EA" w:rsidRPr="00C50B10" w:rsidRDefault="005E41EA" w:rsidP="00C50B10">
      <w:pPr>
        <w:spacing w:line="288" w:lineRule="auto"/>
        <w:jc w:val="both"/>
        <w:rPr>
          <w:rFonts w:ascii="Tahoma" w:hAnsi="Tahoma" w:cs="Tahoma"/>
        </w:rPr>
      </w:pPr>
    </w:p>
    <w:p w:rsidR="005E2E3D" w:rsidRPr="00C50B10" w:rsidRDefault="00821AEC" w:rsidP="00C50B10">
      <w:pPr>
        <w:spacing w:line="288" w:lineRule="auto"/>
        <w:jc w:val="both"/>
        <w:rPr>
          <w:rFonts w:ascii="Tahoma" w:hAnsi="Tahoma" w:cs="Tahoma"/>
        </w:rPr>
      </w:pPr>
      <w:r w:rsidRPr="00C50B10">
        <w:rPr>
          <w:rFonts w:ascii="Tahoma" w:hAnsi="Tahoma" w:cs="Tahoma"/>
        </w:rPr>
        <w:t xml:space="preserve">1. </w:t>
      </w:r>
      <w:r w:rsidR="006C26ED" w:rsidRPr="00C50B10">
        <w:rPr>
          <w:rFonts w:ascii="Tahoma" w:hAnsi="Tahoma" w:cs="Tahoma"/>
        </w:rPr>
        <w:t>Después de agotado el trámite respectivo, m</w:t>
      </w:r>
      <w:r w:rsidR="005E2E3D" w:rsidRPr="00C50B10">
        <w:rPr>
          <w:rFonts w:ascii="Tahoma" w:hAnsi="Tahoma" w:cs="Tahoma"/>
        </w:rPr>
        <w:t>ediante proveído del 6 de julio de</w:t>
      </w:r>
      <w:r w:rsidR="006C26ED" w:rsidRPr="00C50B10">
        <w:rPr>
          <w:rFonts w:ascii="Tahoma" w:hAnsi="Tahoma" w:cs="Tahoma"/>
        </w:rPr>
        <w:t xml:space="preserve"> 2018, la funcionaria de primera sede orden</w:t>
      </w:r>
      <w:r w:rsidR="005E2E3D" w:rsidRPr="00C50B10">
        <w:rPr>
          <w:rFonts w:ascii="Tahoma" w:hAnsi="Tahoma" w:cs="Tahoma"/>
        </w:rPr>
        <w:t xml:space="preserve">ó seguir </w:t>
      </w:r>
      <w:r w:rsidR="00971340" w:rsidRPr="00C50B10">
        <w:rPr>
          <w:rFonts w:ascii="Tahoma" w:hAnsi="Tahoma" w:cs="Tahoma"/>
        </w:rPr>
        <w:t>adelante</w:t>
      </w:r>
      <w:r w:rsidR="005E2E3D" w:rsidRPr="00C50B10">
        <w:rPr>
          <w:rFonts w:ascii="Tahoma" w:hAnsi="Tahoma" w:cs="Tahoma"/>
        </w:rPr>
        <w:t xml:space="preserve"> la ejecución tal como se dispuso en el mandamiento de pago</w:t>
      </w:r>
      <w:r w:rsidR="006C26ED" w:rsidRPr="00C50B10">
        <w:rPr>
          <w:rFonts w:ascii="Tahoma" w:hAnsi="Tahoma" w:cs="Tahoma"/>
        </w:rPr>
        <w:t xml:space="preserve">; </w:t>
      </w:r>
      <w:r w:rsidR="006D70C1" w:rsidRPr="00C50B10">
        <w:rPr>
          <w:rFonts w:ascii="Tahoma" w:hAnsi="Tahoma" w:cs="Tahoma"/>
        </w:rPr>
        <w:t xml:space="preserve">decretó </w:t>
      </w:r>
      <w:r w:rsidR="005E2E3D" w:rsidRPr="00C50B10">
        <w:rPr>
          <w:rFonts w:ascii="Tahoma" w:hAnsi="Tahoma" w:cs="Tahoma"/>
        </w:rPr>
        <w:t>el avalúo de los bienes embargados y secuestrados y su posterior remate</w:t>
      </w:r>
      <w:r w:rsidR="000F0E8B" w:rsidRPr="00C50B10">
        <w:rPr>
          <w:rFonts w:ascii="Tahoma" w:hAnsi="Tahoma" w:cs="Tahoma"/>
        </w:rPr>
        <w:t>; mandó</w:t>
      </w:r>
      <w:r w:rsidR="00BC3BEE" w:rsidRPr="00C50B10">
        <w:rPr>
          <w:rFonts w:ascii="Tahoma" w:hAnsi="Tahoma" w:cs="Tahoma"/>
        </w:rPr>
        <w:t xml:space="preserve"> </w:t>
      </w:r>
      <w:r w:rsidR="000F0E8B" w:rsidRPr="00C50B10">
        <w:rPr>
          <w:rFonts w:ascii="Tahoma" w:hAnsi="Tahoma" w:cs="Tahoma"/>
        </w:rPr>
        <w:t>practicar la liquidación del crédito en la forma prevista en el artículo 446 del Código General del Proceso y condenó en costas al demandado</w:t>
      </w:r>
      <w:r w:rsidR="005E2E3D" w:rsidRPr="00C50B10">
        <w:rPr>
          <w:rStyle w:val="Refdenotaalpie"/>
          <w:rFonts w:ascii="Tahoma" w:hAnsi="Tahoma" w:cs="Tahoma"/>
        </w:rPr>
        <w:footnoteReference w:id="1"/>
      </w:r>
      <w:r w:rsidR="005E2E3D" w:rsidRPr="00C50B10">
        <w:rPr>
          <w:rFonts w:ascii="Tahoma" w:hAnsi="Tahoma" w:cs="Tahoma"/>
        </w:rPr>
        <w:t xml:space="preserve">. </w:t>
      </w:r>
    </w:p>
    <w:p w:rsidR="006D70C1" w:rsidRPr="00C50B10" w:rsidRDefault="006D70C1" w:rsidP="00C50B10">
      <w:pPr>
        <w:spacing w:line="288" w:lineRule="auto"/>
        <w:jc w:val="both"/>
        <w:rPr>
          <w:rFonts w:ascii="Tahoma" w:hAnsi="Tahoma" w:cs="Tahoma"/>
        </w:rPr>
      </w:pPr>
    </w:p>
    <w:p w:rsidR="001720E9" w:rsidRPr="00C50B10" w:rsidRDefault="006C26ED" w:rsidP="00C50B10">
      <w:pPr>
        <w:spacing w:line="288" w:lineRule="auto"/>
        <w:jc w:val="both"/>
        <w:rPr>
          <w:rFonts w:ascii="Tahoma" w:hAnsi="Tahoma" w:cs="Tahoma"/>
        </w:rPr>
      </w:pPr>
      <w:r w:rsidRPr="00C50B10">
        <w:rPr>
          <w:rFonts w:ascii="Tahoma" w:hAnsi="Tahoma" w:cs="Tahoma"/>
        </w:rPr>
        <w:t>2</w:t>
      </w:r>
      <w:r w:rsidR="005E2E3D" w:rsidRPr="00C50B10">
        <w:rPr>
          <w:rFonts w:ascii="Tahoma" w:hAnsi="Tahoma" w:cs="Tahoma"/>
        </w:rPr>
        <w:t>.</w:t>
      </w:r>
      <w:r w:rsidR="00BC3BEE" w:rsidRPr="00C50B10">
        <w:rPr>
          <w:rFonts w:ascii="Tahoma" w:hAnsi="Tahoma" w:cs="Tahoma"/>
        </w:rPr>
        <w:t xml:space="preserve"> </w:t>
      </w:r>
      <w:r w:rsidR="00C13BA0" w:rsidRPr="00C50B10">
        <w:rPr>
          <w:rFonts w:ascii="Tahoma" w:hAnsi="Tahoma" w:cs="Tahoma"/>
        </w:rPr>
        <w:t>El 23 de enero de</w:t>
      </w:r>
      <w:r w:rsidR="00BC3BEE" w:rsidRPr="00C50B10">
        <w:rPr>
          <w:rFonts w:ascii="Tahoma" w:hAnsi="Tahoma" w:cs="Tahoma"/>
        </w:rPr>
        <w:t xml:space="preserve">l presente año </w:t>
      </w:r>
      <w:r w:rsidR="00C13BA0" w:rsidRPr="00C50B10">
        <w:rPr>
          <w:rFonts w:ascii="Tahoma" w:hAnsi="Tahoma" w:cs="Tahoma"/>
        </w:rPr>
        <w:t xml:space="preserve">se </w:t>
      </w:r>
      <w:r w:rsidR="00BD3A8B" w:rsidRPr="00C50B10">
        <w:rPr>
          <w:rFonts w:ascii="Tahoma" w:hAnsi="Tahoma" w:cs="Tahoma"/>
        </w:rPr>
        <w:t>llevó</w:t>
      </w:r>
      <w:r w:rsidR="00C13BA0" w:rsidRPr="00C50B10">
        <w:rPr>
          <w:rFonts w:ascii="Tahoma" w:hAnsi="Tahoma" w:cs="Tahoma"/>
        </w:rPr>
        <w:t xml:space="preserve"> a cabo diligencia de remate </w:t>
      </w:r>
      <w:r w:rsidR="00BC3BEE" w:rsidRPr="00C50B10">
        <w:rPr>
          <w:rFonts w:ascii="Tahoma" w:hAnsi="Tahoma" w:cs="Tahoma"/>
        </w:rPr>
        <w:t>y se adjudicó</w:t>
      </w:r>
      <w:r w:rsidRPr="00C50B10">
        <w:rPr>
          <w:rFonts w:ascii="Tahoma" w:hAnsi="Tahoma" w:cs="Tahoma"/>
        </w:rPr>
        <w:t xml:space="preserve"> al actor </w:t>
      </w:r>
      <w:r w:rsidR="00BD3A8B" w:rsidRPr="00C50B10">
        <w:rPr>
          <w:rFonts w:ascii="Tahoma" w:hAnsi="Tahoma" w:cs="Tahoma"/>
        </w:rPr>
        <w:t xml:space="preserve">el inmueble </w:t>
      </w:r>
      <w:r w:rsidRPr="00C50B10">
        <w:rPr>
          <w:rFonts w:ascii="Tahoma" w:hAnsi="Tahoma" w:cs="Tahoma"/>
        </w:rPr>
        <w:t>objeto de subasta</w:t>
      </w:r>
      <w:r w:rsidR="00821AEC" w:rsidRPr="00C50B10">
        <w:rPr>
          <w:rStyle w:val="Refdenotaalpie"/>
          <w:rFonts w:ascii="Tahoma" w:hAnsi="Tahoma" w:cs="Tahoma"/>
        </w:rPr>
        <w:footnoteReference w:id="2"/>
      </w:r>
      <w:r w:rsidR="00821AEC" w:rsidRPr="00C50B10">
        <w:rPr>
          <w:rFonts w:ascii="Tahoma" w:hAnsi="Tahoma" w:cs="Tahoma"/>
        </w:rPr>
        <w:t>.</w:t>
      </w:r>
    </w:p>
    <w:p w:rsidR="000548FB" w:rsidRPr="00C50B10" w:rsidRDefault="000548FB" w:rsidP="00C50B10">
      <w:pPr>
        <w:spacing w:line="288" w:lineRule="auto"/>
        <w:jc w:val="both"/>
        <w:rPr>
          <w:rFonts w:ascii="Tahoma" w:hAnsi="Tahoma" w:cs="Tahoma"/>
        </w:rPr>
      </w:pPr>
    </w:p>
    <w:p w:rsidR="000548FB" w:rsidRPr="00C50B10" w:rsidRDefault="006C26ED" w:rsidP="00C50B10">
      <w:pPr>
        <w:spacing w:line="288" w:lineRule="auto"/>
        <w:jc w:val="both"/>
        <w:rPr>
          <w:rFonts w:ascii="Tahoma" w:hAnsi="Tahoma" w:cs="Tahoma"/>
        </w:rPr>
      </w:pPr>
      <w:r w:rsidRPr="00C50B10">
        <w:rPr>
          <w:rFonts w:ascii="Tahoma" w:hAnsi="Tahoma" w:cs="Tahoma"/>
        </w:rPr>
        <w:t>3</w:t>
      </w:r>
      <w:r w:rsidR="000548FB" w:rsidRPr="00C50B10">
        <w:rPr>
          <w:rFonts w:ascii="Tahoma" w:hAnsi="Tahoma" w:cs="Tahoma"/>
        </w:rPr>
        <w:t xml:space="preserve">. </w:t>
      </w:r>
      <w:r w:rsidRPr="00C50B10">
        <w:rPr>
          <w:rFonts w:ascii="Tahoma" w:hAnsi="Tahoma" w:cs="Tahoma"/>
        </w:rPr>
        <w:t xml:space="preserve">Por auto del </w:t>
      </w:r>
      <w:r w:rsidR="00821AEC" w:rsidRPr="00C50B10">
        <w:rPr>
          <w:rFonts w:ascii="Tahoma" w:hAnsi="Tahoma" w:cs="Tahoma"/>
        </w:rPr>
        <w:t xml:space="preserve">31 del </w:t>
      </w:r>
      <w:r w:rsidR="00A34088" w:rsidRPr="00C50B10">
        <w:rPr>
          <w:rFonts w:ascii="Tahoma" w:hAnsi="Tahoma" w:cs="Tahoma"/>
        </w:rPr>
        <w:t>mismo mes</w:t>
      </w:r>
      <w:r w:rsidR="00821AEC" w:rsidRPr="00C50B10">
        <w:rPr>
          <w:rFonts w:ascii="Tahoma" w:hAnsi="Tahoma" w:cs="Tahoma"/>
        </w:rPr>
        <w:t xml:space="preserve">, se  </w:t>
      </w:r>
      <w:r w:rsidR="000548FB" w:rsidRPr="00C50B10">
        <w:rPr>
          <w:rFonts w:ascii="Tahoma" w:hAnsi="Tahoma" w:cs="Tahoma"/>
        </w:rPr>
        <w:t>aprobó</w:t>
      </w:r>
      <w:r w:rsidR="000F0E8B" w:rsidRPr="00C50B10">
        <w:rPr>
          <w:rFonts w:ascii="Tahoma" w:hAnsi="Tahoma" w:cs="Tahoma"/>
        </w:rPr>
        <w:t xml:space="preserve"> aquella diligencia </w:t>
      </w:r>
      <w:r w:rsidR="000548FB" w:rsidRPr="00C50B10">
        <w:rPr>
          <w:rFonts w:ascii="Tahoma" w:hAnsi="Tahoma" w:cs="Tahoma"/>
        </w:rPr>
        <w:t xml:space="preserve">y se </w:t>
      </w:r>
      <w:r w:rsidR="00593F22" w:rsidRPr="00C50B10">
        <w:rPr>
          <w:rFonts w:ascii="Tahoma" w:hAnsi="Tahoma" w:cs="Tahoma"/>
        </w:rPr>
        <w:t>ordenó</w:t>
      </w:r>
      <w:r w:rsidR="000548FB" w:rsidRPr="00C50B10">
        <w:rPr>
          <w:rFonts w:ascii="Tahoma" w:hAnsi="Tahoma" w:cs="Tahoma"/>
        </w:rPr>
        <w:t xml:space="preserve"> la cancelación de los gravámenes prendarios e hipotecarios que afectaban la propiedad rematada</w:t>
      </w:r>
      <w:r w:rsidR="00821AEC" w:rsidRPr="00C50B10">
        <w:rPr>
          <w:rStyle w:val="Refdenotaalpie"/>
          <w:rFonts w:ascii="Tahoma" w:hAnsi="Tahoma" w:cs="Tahoma"/>
        </w:rPr>
        <w:footnoteReference w:id="3"/>
      </w:r>
      <w:r w:rsidR="000548FB" w:rsidRPr="00C50B10">
        <w:rPr>
          <w:rFonts w:ascii="Tahoma" w:hAnsi="Tahoma" w:cs="Tahoma"/>
        </w:rPr>
        <w:t>.</w:t>
      </w:r>
    </w:p>
    <w:p w:rsidR="000548FB" w:rsidRPr="00C50B10" w:rsidRDefault="000548FB" w:rsidP="00C50B10">
      <w:pPr>
        <w:spacing w:line="288" w:lineRule="auto"/>
        <w:jc w:val="both"/>
        <w:rPr>
          <w:rFonts w:ascii="Tahoma" w:hAnsi="Tahoma" w:cs="Tahoma"/>
        </w:rPr>
      </w:pPr>
    </w:p>
    <w:p w:rsidR="00593F22" w:rsidRPr="00C50B10" w:rsidRDefault="006C26ED" w:rsidP="00C50B10">
      <w:pPr>
        <w:spacing w:line="288" w:lineRule="auto"/>
        <w:jc w:val="both"/>
        <w:rPr>
          <w:rFonts w:ascii="Tahoma" w:hAnsi="Tahoma" w:cs="Tahoma"/>
        </w:rPr>
      </w:pPr>
      <w:r w:rsidRPr="00C50B10">
        <w:rPr>
          <w:rFonts w:ascii="Tahoma" w:hAnsi="Tahoma" w:cs="Tahoma"/>
        </w:rPr>
        <w:t>4</w:t>
      </w:r>
      <w:r w:rsidR="000548FB" w:rsidRPr="00C50B10">
        <w:rPr>
          <w:rFonts w:ascii="Tahoma" w:hAnsi="Tahoma" w:cs="Tahoma"/>
        </w:rPr>
        <w:t xml:space="preserve">. </w:t>
      </w:r>
      <w:r w:rsidR="00B4776B" w:rsidRPr="00C50B10">
        <w:rPr>
          <w:rFonts w:ascii="Tahoma" w:hAnsi="Tahoma" w:cs="Tahoma"/>
        </w:rPr>
        <w:t xml:space="preserve">Inconforme con ese proveído, </w:t>
      </w:r>
      <w:r w:rsidR="00821AEC" w:rsidRPr="00C50B10">
        <w:rPr>
          <w:rFonts w:ascii="Tahoma" w:hAnsi="Tahoma" w:cs="Tahoma"/>
        </w:rPr>
        <w:t>la apoderada del demanda</w:t>
      </w:r>
      <w:r w:rsidR="000F0E8B" w:rsidRPr="00C50B10">
        <w:rPr>
          <w:rFonts w:ascii="Tahoma" w:hAnsi="Tahoma" w:cs="Tahoma"/>
        </w:rPr>
        <w:t>do</w:t>
      </w:r>
      <w:r w:rsidRPr="00C50B10">
        <w:rPr>
          <w:rFonts w:ascii="Tahoma" w:hAnsi="Tahoma" w:cs="Tahoma"/>
        </w:rPr>
        <w:t xml:space="preserve"> interpuso </w:t>
      </w:r>
      <w:r w:rsidR="000548FB" w:rsidRPr="00C50B10">
        <w:rPr>
          <w:rFonts w:ascii="Tahoma" w:hAnsi="Tahoma" w:cs="Tahoma"/>
        </w:rPr>
        <w:t xml:space="preserve">recurso de </w:t>
      </w:r>
      <w:r w:rsidRPr="00C50B10">
        <w:rPr>
          <w:rFonts w:ascii="Tahoma" w:hAnsi="Tahoma" w:cs="Tahoma"/>
        </w:rPr>
        <w:t>apelación, pero e</w:t>
      </w:r>
      <w:r w:rsidR="00F50B07" w:rsidRPr="00C50B10">
        <w:rPr>
          <w:rFonts w:ascii="Tahoma" w:hAnsi="Tahoma" w:cs="Tahoma"/>
        </w:rPr>
        <w:t xml:space="preserve">l juzgado se negó a concederlo, </w:t>
      </w:r>
      <w:r w:rsidRPr="00C50B10">
        <w:rPr>
          <w:rFonts w:ascii="Tahoma" w:hAnsi="Tahoma" w:cs="Tahoma"/>
        </w:rPr>
        <w:t>en auto del 7 de febrero de 2018</w:t>
      </w:r>
      <w:r w:rsidR="00F50B07" w:rsidRPr="00C50B10">
        <w:rPr>
          <w:rFonts w:ascii="Tahoma" w:hAnsi="Tahoma" w:cs="Tahoma"/>
        </w:rPr>
        <w:t xml:space="preserve"> (sic), </w:t>
      </w:r>
      <w:r w:rsidRPr="00C50B10">
        <w:rPr>
          <w:rFonts w:ascii="Tahoma" w:hAnsi="Tahoma" w:cs="Tahoma"/>
        </w:rPr>
        <w:t>porque la providencia no era susceptible de ese medio de impugnación</w:t>
      </w:r>
      <w:r w:rsidR="00BE665F" w:rsidRPr="00C50B10">
        <w:rPr>
          <w:rStyle w:val="Refdenotaalpie"/>
          <w:rFonts w:ascii="Tahoma" w:hAnsi="Tahoma" w:cs="Tahoma"/>
        </w:rPr>
        <w:footnoteReference w:id="4"/>
      </w:r>
      <w:r w:rsidR="000C2E98" w:rsidRPr="00C50B10">
        <w:rPr>
          <w:rFonts w:ascii="Tahoma" w:hAnsi="Tahoma" w:cs="Tahoma"/>
        </w:rPr>
        <w:t>.</w:t>
      </w:r>
    </w:p>
    <w:p w:rsidR="000C2E98" w:rsidRPr="00C50B10" w:rsidRDefault="000C2E98" w:rsidP="00C50B10">
      <w:pPr>
        <w:spacing w:line="288" w:lineRule="auto"/>
        <w:jc w:val="both"/>
        <w:rPr>
          <w:rFonts w:ascii="Tahoma" w:hAnsi="Tahoma" w:cs="Tahoma"/>
        </w:rPr>
      </w:pPr>
    </w:p>
    <w:p w:rsidR="006C26ED" w:rsidRPr="00C50B10" w:rsidRDefault="006C26ED" w:rsidP="00C50B10">
      <w:pPr>
        <w:spacing w:line="288" w:lineRule="auto"/>
        <w:jc w:val="both"/>
        <w:rPr>
          <w:rFonts w:ascii="Tahoma" w:hAnsi="Tahoma" w:cs="Tahoma"/>
        </w:rPr>
      </w:pPr>
      <w:r w:rsidRPr="00C50B10">
        <w:rPr>
          <w:rFonts w:ascii="Tahoma" w:hAnsi="Tahoma" w:cs="Tahoma"/>
        </w:rPr>
        <w:t>5</w:t>
      </w:r>
      <w:r w:rsidR="00A72827" w:rsidRPr="00C50B10">
        <w:rPr>
          <w:rFonts w:ascii="Tahoma" w:hAnsi="Tahoma" w:cs="Tahoma"/>
        </w:rPr>
        <w:t xml:space="preserve">. </w:t>
      </w:r>
      <w:r w:rsidRPr="00C50B10">
        <w:rPr>
          <w:rFonts w:ascii="Tahoma" w:hAnsi="Tahoma" w:cs="Tahoma"/>
        </w:rPr>
        <w:t>Interpuso entonces la misma parte, frente a esa última determinación, el recurso de reposición y en subsidio, el de queja.</w:t>
      </w:r>
    </w:p>
    <w:p w:rsidR="006C26ED" w:rsidRPr="00C50B10" w:rsidRDefault="006C26ED" w:rsidP="00C50B10">
      <w:pPr>
        <w:spacing w:line="288" w:lineRule="auto"/>
        <w:jc w:val="both"/>
        <w:rPr>
          <w:rFonts w:ascii="Tahoma" w:hAnsi="Tahoma" w:cs="Tahoma"/>
        </w:rPr>
      </w:pPr>
    </w:p>
    <w:p w:rsidR="006C26ED" w:rsidRPr="00C50B10" w:rsidRDefault="006C26ED" w:rsidP="00C50B10">
      <w:pPr>
        <w:spacing w:line="288" w:lineRule="auto"/>
        <w:jc w:val="both"/>
        <w:rPr>
          <w:rFonts w:ascii="Tahoma" w:hAnsi="Tahoma" w:cs="Tahoma"/>
        </w:rPr>
      </w:pPr>
      <w:r w:rsidRPr="00C50B10">
        <w:rPr>
          <w:rFonts w:ascii="Tahoma" w:hAnsi="Tahoma" w:cs="Tahoma"/>
        </w:rPr>
        <w:t>6. El juzgado se mantuvo en su decisión y ordenó expedir copias para dar trámite al último medio de impugnación referido.</w:t>
      </w:r>
    </w:p>
    <w:p w:rsidR="006C26ED" w:rsidRPr="00C50B10" w:rsidRDefault="006C26ED" w:rsidP="00C50B10">
      <w:pPr>
        <w:spacing w:line="288" w:lineRule="auto"/>
        <w:jc w:val="both"/>
        <w:rPr>
          <w:rFonts w:ascii="Tahoma" w:hAnsi="Tahoma" w:cs="Tahoma"/>
        </w:rPr>
      </w:pPr>
    </w:p>
    <w:p w:rsidR="00704927" w:rsidRPr="00C50B10" w:rsidRDefault="00B33FF4" w:rsidP="00C50B10">
      <w:pPr>
        <w:spacing w:line="288" w:lineRule="auto"/>
        <w:jc w:val="both"/>
        <w:rPr>
          <w:rFonts w:ascii="Tahoma" w:hAnsi="Tahoma" w:cs="Tahoma"/>
        </w:rPr>
      </w:pPr>
      <w:r w:rsidRPr="00C50B10">
        <w:rPr>
          <w:rFonts w:ascii="Tahoma" w:hAnsi="Tahoma" w:cs="Tahoma"/>
        </w:rPr>
        <w:t xml:space="preserve">7. Llegadas las diligencias a este tribunal, a </w:t>
      </w:r>
      <w:r w:rsidR="00704927" w:rsidRPr="00C50B10">
        <w:rPr>
          <w:rFonts w:ascii="Tahoma" w:hAnsi="Tahoma" w:cs="Tahoma"/>
        </w:rPr>
        <w:t>disposición de la parte actora se mantuvo el recurso respectivo por tres días, sin que se hubiese pronunciado.</w:t>
      </w:r>
    </w:p>
    <w:p w:rsidR="00704927" w:rsidRPr="00C50B10" w:rsidRDefault="00704927" w:rsidP="00C50B10">
      <w:pPr>
        <w:spacing w:line="288" w:lineRule="auto"/>
        <w:jc w:val="both"/>
        <w:rPr>
          <w:rFonts w:ascii="Tahoma" w:hAnsi="Tahoma" w:cs="Tahoma"/>
        </w:rPr>
      </w:pPr>
    </w:p>
    <w:p w:rsidR="005E41EA" w:rsidRPr="00C50B10" w:rsidRDefault="005E41EA" w:rsidP="00C50B10">
      <w:pPr>
        <w:spacing w:line="288" w:lineRule="auto"/>
        <w:jc w:val="both"/>
        <w:rPr>
          <w:rFonts w:ascii="Tahoma" w:hAnsi="Tahoma" w:cs="Tahoma"/>
          <w:b/>
        </w:rPr>
      </w:pPr>
      <w:r w:rsidRPr="00C50B10">
        <w:rPr>
          <w:rFonts w:ascii="Tahoma" w:hAnsi="Tahoma" w:cs="Tahoma"/>
          <w:b/>
        </w:rPr>
        <w:t xml:space="preserve">CONSIDERACIONES </w:t>
      </w:r>
    </w:p>
    <w:p w:rsidR="005E41EA" w:rsidRPr="00C50B10" w:rsidRDefault="005E41EA" w:rsidP="00C50B10">
      <w:pPr>
        <w:spacing w:line="288" w:lineRule="auto"/>
        <w:jc w:val="both"/>
        <w:rPr>
          <w:rFonts w:ascii="Tahoma" w:hAnsi="Tahoma" w:cs="Tahoma"/>
          <w:highlight w:val="yellow"/>
        </w:rPr>
      </w:pPr>
    </w:p>
    <w:p w:rsidR="0010648E" w:rsidRPr="00C50B10" w:rsidRDefault="003B3AA7" w:rsidP="00C50B10">
      <w:pPr>
        <w:spacing w:line="288" w:lineRule="auto"/>
        <w:jc w:val="both"/>
        <w:rPr>
          <w:rFonts w:ascii="Tahoma" w:hAnsi="Tahoma" w:cs="Tahoma"/>
          <w:highlight w:val="yellow"/>
        </w:rPr>
      </w:pPr>
      <w:r w:rsidRPr="00C50B10">
        <w:rPr>
          <w:rFonts w:ascii="Tahoma" w:hAnsi="Tahoma" w:cs="Tahoma"/>
        </w:rPr>
        <w:t xml:space="preserve">1. </w:t>
      </w:r>
      <w:r w:rsidR="0010648E" w:rsidRPr="00C50B10">
        <w:rPr>
          <w:rFonts w:ascii="Tahoma" w:hAnsi="Tahoma" w:cs="Tahoma"/>
        </w:rPr>
        <w:t>Le corresponde a la Sala determinar si en el presente caso la providencia objeto del recurso es susceptible de apelación</w:t>
      </w:r>
      <w:r w:rsidR="00B33FF4" w:rsidRPr="00C50B10">
        <w:rPr>
          <w:rFonts w:ascii="Tahoma" w:hAnsi="Tahoma" w:cs="Tahoma"/>
        </w:rPr>
        <w:t>.</w:t>
      </w:r>
    </w:p>
    <w:p w:rsidR="0010648E" w:rsidRPr="00C50B10" w:rsidRDefault="0010648E" w:rsidP="00C50B10">
      <w:pPr>
        <w:spacing w:line="288" w:lineRule="auto"/>
        <w:jc w:val="both"/>
        <w:rPr>
          <w:rFonts w:ascii="Tahoma" w:hAnsi="Tahoma" w:cs="Tahoma"/>
          <w:highlight w:val="yellow"/>
        </w:rPr>
      </w:pPr>
    </w:p>
    <w:p w:rsidR="00D12869" w:rsidRPr="00C50B10" w:rsidRDefault="003B3AA7" w:rsidP="00C50B10">
      <w:pPr>
        <w:spacing w:line="288" w:lineRule="auto"/>
        <w:jc w:val="both"/>
        <w:rPr>
          <w:rFonts w:ascii="Tahoma" w:hAnsi="Tahoma" w:cs="Tahoma"/>
        </w:rPr>
      </w:pPr>
      <w:r w:rsidRPr="00C50B10">
        <w:rPr>
          <w:rFonts w:ascii="Tahoma" w:hAnsi="Tahoma" w:cs="Tahoma"/>
        </w:rPr>
        <w:t xml:space="preserve">2. </w:t>
      </w:r>
      <w:r w:rsidR="005E41EA" w:rsidRPr="00C50B10">
        <w:rPr>
          <w:rFonts w:ascii="Tahoma" w:hAnsi="Tahoma" w:cs="Tahoma"/>
        </w:rPr>
        <w:t>Como lo enseña la doctrina, e</w:t>
      </w:r>
      <w:r w:rsidR="00B33FF4" w:rsidRPr="00C50B10">
        <w:rPr>
          <w:rFonts w:ascii="Tahoma" w:hAnsi="Tahoma" w:cs="Tahoma"/>
        </w:rPr>
        <w:t xml:space="preserve">se medio de impugnación se </w:t>
      </w:r>
      <w:r w:rsidR="005E41EA" w:rsidRPr="00C50B10">
        <w:rPr>
          <w:rFonts w:ascii="Tahoma" w:hAnsi="Tahoma" w:cs="Tahoma"/>
        </w:rPr>
        <w:t xml:space="preserv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 en que hubiere podido incurrir el juez que conoce del asunto en primera instancia.</w:t>
      </w:r>
    </w:p>
    <w:p w:rsidR="005E41EA" w:rsidRPr="00C50B10" w:rsidRDefault="005E41EA" w:rsidP="00C50B10">
      <w:pPr>
        <w:spacing w:line="288" w:lineRule="auto"/>
        <w:jc w:val="both"/>
        <w:rPr>
          <w:rFonts w:ascii="Tahoma" w:hAnsi="Tahoma" w:cs="Tahoma"/>
        </w:rPr>
      </w:pPr>
    </w:p>
    <w:p w:rsidR="005E41EA" w:rsidRPr="00C50B10" w:rsidRDefault="005E41EA" w:rsidP="00C50B10">
      <w:pPr>
        <w:spacing w:line="288" w:lineRule="auto"/>
        <w:jc w:val="both"/>
        <w:rPr>
          <w:rFonts w:ascii="Tahoma" w:hAnsi="Tahoma" w:cs="Tahoma"/>
        </w:rPr>
      </w:pPr>
      <w:r w:rsidRPr="00C50B10">
        <w:rPr>
          <w:rFonts w:ascii="Tahoma" w:hAnsi="Tahoma" w:cs="Tahoma"/>
        </w:rPr>
        <w:t>La procedencia de ese recurso la establece el legislador</w:t>
      </w:r>
      <w:r w:rsidR="002777D9" w:rsidRPr="00C50B10">
        <w:rPr>
          <w:rFonts w:ascii="Tahoma" w:hAnsi="Tahoma" w:cs="Tahoma"/>
        </w:rPr>
        <w:t>,</w:t>
      </w:r>
      <w:r w:rsidRPr="00C50B10">
        <w:rPr>
          <w:rFonts w:ascii="Tahoma" w:hAnsi="Tahoma" w:cs="Tahoma"/>
        </w:rPr>
        <w:t xml:space="preserve"> que la determina de acuerdo con la naturaleza del proceso, de la respectiva providencia y del agravio inferido a la respectiva parte.</w:t>
      </w:r>
    </w:p>
    <w:p w:rsidR="001B57F0" w:rsidRPr="00C50B10" w:rsidRDefault="001B57F0" w:rsidP="00C50B10">
      <w:pPr>
        <w:spacing w:line="288" w:lineRule="auto"/>
        <w:jc w:val="both"/>
        <w:rPr>
          <w:rFonts w:ascii="Tahoma" w:hAnsi="Tahoma" w:cs="Tahoma"/>
        </w:rPr>
      </w:pPr>
    </w:p>
    <w:p w:rsidR="005E41EA" w:rsidRPr="00C50B10" w:rsidRDefault="005E41EA" w:rsidP="00C50B10">
      <w:pPr>
        <w:spacing w:line="288" w:lineRule="auto"/>
        <w:jc w:val="both"/>
        <w:rPr>
          <w:rFonts w:ascii="Tahoma" w:hAnsi="Tahoma" w:cs="Tahoma"/>
        </w:rPr>
      </w:pPr>
      <w:r w:rsidRPr="00C50B10">
        <w:rPr>
          <w:rFonts w:ascii="Tahoma" w:hAnsi="Tahoma" w:cs="Tahoma"/>
          <w:lang w:val="es-MX"/>
        </w:rPr>
        <w:t xml:space="preserve">Concretamente los </w:t>
      </w:r>
      <w:r w:rsidRPr="00C50B10">
        <w:rPr>
          <w:rFonts w:ascii="Tahoma" w:hAnsi="Tahoma" w:cs="Tahoma"/>
        </w:rPr>
        <w:t>artícu</w:t>
      </w:r>
      <w:r w:rsidR="002B5553" w:rsidRPr="00C50B10">
        <w:rPr>
          <w:rFonts w:ascii="Tahoma" w:hAnsi="Tahoma" w:cs="Tahoma"/>
        </w:rPr>
        <w:t>los 320, 321 y 32</w:t>
      </w:r>
      <w:r w:rsidRPr="00C50B10">
        <w:rPr>
          <w:rFonts w:ascii="Tahoma" w:hAnsi="Tahoma" w:cs="Tahoma"/>
        </w:rPr>
        <w:t xml:space="preserve">2 del Código </w:t>
      </w:r>
      <w:r w:rsidR="002B5553" w:rsidRPr="00C50B10">
        <w:rPr>
          <w:rFonts w:ascii="Tahoma" w:hAnsi="Tahoma" w:cs="Tahoma"/>
        </w:rPr>
        <w:t>General del Proceso</w:t>
      </w:r>
      <w:r w:rsidRPr="00C50B10">
        <w:rPr>
          <w:rFonts w:ascii="Tahoma" w:hAnsi="Tahoma" w:cs="Tahoma"/>
        </w:rPr>
        <w:t xml:space="preserve"> se ocupan de regular las formalidades indispensables para admitirlo</w:t>
      </w:r>
      <w:r w:rsidR="00413758" w:rsidRPr="00C50B10">
        <w:rPr>
          <w:rFonts w:ascii="Tahoma" w:hAnsi="Tahoma" w:cs="Tahoma"/>
        </w:rPr>
        <w:t>:</w:t>
      </w:r>
    </w:p>
    <w:p w:rsidR="00413758" w:rsidRPr="00C50B10" w:rsidRDefault="00413758" w:rsidP="00C50B10">
      <w:pPr>
        <w:spacing w:line="288" w:lineRule="auto"/>
        <w:jc w:val="both"/>
        <w:rPr>
          <w:rFonts w:ascii="Tahoma" w:hAnsi="Tahoma" w:cs="Tahoma"/>
        </w:rPr>
      </w:pPr>
    </w:p>
    <w:p w:rsidR="00413758" w:rsidRPr="00C50B10" w:rsidRDefault="00413758" w:rsidP="00C50B10">
      <w:pPr>
        <w:pStyle w:val="Prrafodelista"/>
        <w:numPr>
          <w:ilvl w:val="0"/>
          <w:numId w:val="6"/>
        </w:numPr>
        <w:spacing w:line="288" w:lineRule="auto"/>
        <w:jc w:val="both"/>
        <w:rPr>
          <w:rFonts w:ascii="Tahoma" w:hAnsi="Tahoma" w:cs="Tahoma"/>
        </w:rPr>
      </w:pPr>
      <w:r w:rsidRPr="00C50B10">
        <w:rPr>
          <w:rFonts w:ascii="Tahoma" w:hAnsi="Tahoma" w:cs="Tahoma"/>
        </w:rPr>
        <w:t>Que la providencia materia de impugnación sea susceptible de apelación.</w:t>
      </w:r>
    </w:p>
    <w:p w:rsidR="00B33FF4" w:rsidRPr="00C50B10" w:rsidRDefault="00B33FF4" w:rsidP="00C50B10">
      <w:pPr>
        <w:pStyle w:val="Prrafodelista"/>
        <w:spacing w:line="288" w:lineRule="auto"/>
        <w:jc w:val="both"/>
        <w:rPr>
          <w:rFonts w:ascii="Tahoma" w:hAnsi="Tahoma" w:cs="Tahoma"/>
        </w:rPr>
      </w:pPr>
    </w:p>
    <w:p w:rsidR="00413758" w:rsidRPr="00C50B10" w:rsidRDefault="00413758" w:rsidP="00C50B10">
      <w:pPr>
        <w:pStyle w:val="Prrafodelista"/>
        <w:numPr>
          <w:ilvl w:val="0"/>
          <w:numId w:val="6"/>
        </w:numPr>
        <w:spacing w:line="288" w:lineRule="auto"/>
        <w:jc w:val="both"/>
        <w:rPr>
          <w:rFonts w:ascii="Tahoma" w:hAnsi="Tahoma" w:cs="Tahoma"/>
        </w:rPr>
      </w:pPr>
      <w:r w:rsidRPr="00C50B10">
        <w:rPr>
          <w:rFonts w:ascii="Tahoma" w:hAnsi="Tahoma" w:cs="Tahoma"/>
        </w:rPr>
        <w:t>Que el apelante tenga legitimación para recurrir.</w:t>
      </w:r>
    </w:p>
    <w:p w:rsidR="00413758" w:rsidRPr="00C50B10" w:rsidRDefault="00413758" w:rsidP="00C50B10">
      <w:pPr>
        <w:pStyle w:val="Prrafodelista"/>
        <w:spacing w:line="288" w:lineRule="auto"/>
        <w:rPr>
          <w:rFonts w:ascii="Tahoma" w:hAnsi="Tahoma" w:cs="Tahoma"/>
        </w:rPr>
      </w:pPr>
    </w:p>
    <w:p w:rsidR="00413758" w:rsidRPr="00C50B10" w:rsidRDefault="00413758" w:rsidP="00C50B10">
      <w:pPr>
        <w:pStyle w:val="Prrafodelista"/>
        <w:numPr>
          <w:ilvl w:val="0"/>
          <w:numId w:val="6"/>
        </w:numPr>
        <w:spacing w:line="288" w:lineRule="auto"/>
        <w:jc w:val="both"/>
        <w:rPr>
          <w:rFonts w:ascii="Tahoma" w:hAnsi="Tahoma" w:cs="Tahoma"/>
        </w:rPr>
      </w:pPr>
      <w:r w:rsidRPr="00C50B10">
        <w:rPr>
          <w:rFonts w:ascii="Tahoma" w:hAnsi="Tahoma" w:cs="Tahoma"/>
        </w:rPr>
        <w:t>Que el apelante tenga interés jurídico que justifique el recurso.</w:t>
      </w:r>
    </w:p>
    <w:p w:rsidR="00413758" w:rsidRPr="00C50B10" w:rsidRDefault="00413758" w:rsidP="00C50B10">
      <w:pPr>
        <w:pStyle w:val="Prrafodelista"/>
        <w:spacing w:line="288" w:lineRule="auto"/>
        <w:rPr>
          <w:rFonts w:ascii="Tahoma" w:hAnsi="Tahoma" w:cs="Tahoma"/>
        </w:rPr>
      </w:pPr>
    </w:p>
    <w:p w:rsidR="00413758" w:rsidRPr="00C50B10" w:rsidRDefault="00413758" w:rsidP="00C50B10">
      <w:pPr>
        <w:pStyle w:val="Prrafodelista"/>
        <w:numPr>
          <w:ilvl w:val="0"/>
          <w:numId w:val="6"/>
        </w:numPr>
        <w:spacing w:line="288" w:lineRule="auto"/>
        <w:jc w:val="both"/>
        <w:rPr>
          <w:rFonts w:ascii="Tahoma" w:hAnsi="Tahoma" w:cs="Tahoma"/>
        </w:rPr>
      </w:pPr>
      <w:r w:rsidRPr="00C50B10">
        <w:rPr>
          <w:rFonts w:ascii="Tahoma" w:hAnsi="Tahoma" w:cs="Tahoma"/>
        </w:rPr>
        <w:t>Que el recurso se interponga en tiempo y con las formalidades que la ley establece.</w:t>
      </w:r>
    </w:p>
    <w:p w:rsidR="00044338" w:rsidRPr="00C50B10" w:rsidRDefault="00044338" w:rsidP="00C50B10">
      <w:pPr>
        <w:pStyle w:val="Prrafodelista"/>
        <w:spacing w:line="288" w:lineRule="auto"/>
        <w:rPr>
          <w:rFonts w:ascii="Tahoma" w:hAnsi="Tahoma" w:cs="Tahoma"/>
        </w:rPr>
      </w:pPr>
    </w:p>
    <w:p w:rsidR="00044338" w:rsidRPr="00C50B10" w:rsidRDefault="00044338" w:rsidP="00C50B10">
      <w:pPr>
        <w:spacing w:line="288" w:lineRule="auto"/>
        <w:jc w:val="both"/>
        <w:rPr>
          <w:rFonts w:ascii="Tahoma" w:hAnsi="Tahoma" w:cs="Tahoma"/>
        </w:rPr>
      </w:pPr>
      <w:r w:rsidRPr="00C50B10">
        <w:rPr>
          <w:rFonts w:ascii="Tahoma" w:hAnsi="Tahoma" w:cs="Tahoma"/>
        </w:rPr>
        <w:t xml:space="preserve">De tales requisitos, no se satisface el primero pues la decisión censurada no admite la alzada. </w:t>
      </w:r>
    </w:p>
    <w:p w:rsidR="00044338" w:rsidRPr="00C50B10" w:rsidRDefault="00044338" w:rsidP="00C50B10">
      <w:pPr>
        <w:spacing w:line="288" w:lineRule="auto"/>
        <w:jc w:val="both"/>
        <w:rPr>
          <w:rFonts w:ascii="Tahoma" w:hAnsi="Tahoma" w:cs="Tahoma"/>
        </w:rPr>
      </w:pPr>
    </w:p>
    <w:p w:rsidR="00A34088" w:rsidRPr="00C50B10" w:rsidRDefault="00044338" w:rsidP="00C50B10">
      <w:pPr>
        <w:spacing w:line="288" w:lineRule="auto"/>
        <w:jc w:val="both"/>
        <w:rPr>
          <w:rFonts w:ascii="Tahoma" w:hAnsi="Tahoma" w:cs="Tahoma"/>
        </w:rPr>
      </w:pPr>
      <w:r w:rsidRPr="00C50B10">
        <w:rPr>
          <w:rFonts w:ascii="Tahoma" w:hAnsi="Tahoma" w:cs="Tahoma"/>
        </w:rPr>
        <w:t>En efecto, el artículo 321 del código citado dice que son apelables las sentencias de primera instancia, los autos que señala de manera taxativa, proferidos en la misma instancia y los demás expresamente indicados en ese código, dentro de los cuales no se enlista como susceptible del recurso de apelación</w:t>
      </w:r>
      <w:r w:rsidR="00B33FF4" w:rsidRPr="00C50B10">
        <w:rPr>
          <w:rFonts w:ascii="Tahoma" w:hAnsi="Tahoma" w:cs="Tahoma"/>
        </w:rPr>
        <w:t>, el auto que aprueba la diligencia de remate.</w:t>
      </w:r>
      <w:r w:rsidR="00A34088" w:rsidRPr="00C50B10">
        <w:rPr>
          <w:rFonts w:ascii="Tahoma" w:hAnsi="Tahoma" w:cs="Tahoma"/>
        </w:rPr>
        <w:t xml:space="preserve"> </w:t>
      </w:r>
      <w:r w:rsidRPr="00C50B10">
        <w:rPr>
          <w:rFonts w:ascii="Tahoma" w:hAnsi="Tahoma" w:cs="Tahoma"/>
        </w:rPr>
        <w:t>Tampoco autoriza</w:t>
      </w:r>
      <w:r w:rsidR="00A34088" w:rsidRPr="00C50B10">
        <w:rPr>
          <w:rFonts w:ascii="Tahoma" w:hAnsi="Tahoma" w:cs="Tahoma"/>
        </w:rPr>
        <w:t>n</w:t>
      </w:r>
      <w:r w:rsidRPr="00C50B10">
        <w:rPr>
          <w:rFonts w:ascii="Tahoma" w:hAnsi="Tahoma" w:cs="Tahoma"/>
        </w:rPr>
        <w:t xml:space="preserve"> ese medio de impugnación</w:t>
      </w:r>
      <w:r w:rsidR="00A34088" w:rsidRPr="00C50B10">
        <w:rPr>
          <w:rFonts w:ascii="Tahoma" w:hAnsi="Tahoma" w:cs="Tahoma"/>
        </w:rPr>
        <w:t xml:space="preserve"> el </w:t>
      </w:r>
      <w:r w:rsidRPr="00C50B10">
        <w:rPr>
          <w:rFonts w:ascii="Tahoma" w:hAnsi="Tahoma" w:cs="Tahoma"/>
        </w:rPr>
        <w:t>artículo 45</w:t>
      </w:r>
      <w:r w:rsidR="00A34088" w:rsidRPr="00C50B10">
        <w:rPr>
          <w:rFonts w:ascii="Tahoma" w:hAnsi="Tahoma" w:cs="Tahoma"/>
        </w:rPr>
        <w:t>5 de la misma obra, que regula lo relacionado con la aprobación del remate, ni las normas siguientes.</w:t>
      </w:r>
    </w:p>
    <w:p w:rsidR="00B33FF4" w:rsidRPr="00C50B10" w:rsidRDefault="00A34088" w:rsidP="00C50B10">
      <w:pPr>
        <w:spacing w:line="288" w:lineRule="auto"/>
        <w:jc w:val="both"/>
        <w:rPr>
          <w:rFonts w:ascii="Tahoma" w:hAnsi="Tahoma" w:cs="Tahoma"/>
        </w:rPr>
      </w:pPr>
      <w:r w:rsidRPr="00C50B10">
        <w:rPr>
          <w:rFonts w:ascii="Tahoma" w:hAnsi="Tahoma" w:cs="Tahoma"/>
        </w:rPr>
        <w:t xml:space="preserve"> </w:t>
      </w:r>
    </w:p>
    <w:p w:rsidR="00B31304" w:rsidRPr="00C50B10" w:rsidRDefault="00971340" w:rsidP="00C50B10">
      <w:pPr>
        <w:spacing w:line="288" w:lineRule="auto"/>
        <w:jc w:val="both"/>
        <w:rPr>
          <w:rFonts w:ascii="Tahoma" w:hAnsi="Tahoma" w:cs="Tahoma"/>
        </w:rPr>
      </w:pPr>
      <w:r w:rsidRPr="00C50B10">
        <w:rPr>
          <w:rFonts w:ascii="Tahoma" w:hAnsi="Tahoma" w:cs="Tahoma"/>
        </w:rPr>
        <w:t>3</w:t>
      </w:r>
      <w:r w:rsidR="00B33FF4" w:rsidRPr="00C50B10">
        <w:rPr>
          <w:rFonts w:ascii="Tahoma" w:hAnsi="Tahoma" w:cs="Tahoma"/>
        </w:rPr>
        <w:t>. Considera la</w:t>
      </w:r>
      <w:r w:rsidRPr="00C50B10">
        <w:rPr>
          <w:rFonts w:ascii="Tahoma" w:hAnsi="Tahoma" w:cs="Tahoma"/>
        </w:rPr>
        <w:t xml:space="preserve"> apoderada de la parte demandada</w:t>
      </w:r>
      <w:r w:rsidR="00A34088" w:rsidRPr="00C50B10">
        <w:rPr>
          <w:rFonts w:ascii="Tahoma" w:hAnsi="Tahoma" w:cs="Tahoma"/>
        </w:rPr>
        <w:t xml:space="preserve"> que </w:t>
      </w:r>
      <w:r w:rsidR="00B33FF4" w:rsidRPr="00C50B10">
        <w:rPr>
          <w:rFonts w:ascii="Tahoma" w:hAnsi="Tahoma" w:cs="Tahoma"/>
        </w:rPr>
        <w:t xml:space="preserve">el auto objeto de alzada se encuentra enmarcado en la </w:t>
      </w:r>
      <w:r w:rsidR="00B31304" w:rsidRPr="00C50B10">
        <w:rPr>
          <w:rFonts w:ascii="Tahoma" w:hAnsi="Tahoma" w:cs="Tahoma"/>
        </w:rPr>
        <w:t>“</w:t>
      </w:r>
      <w:r w:rsidR="00B33FF4" w:rsidRPr="00C50B10">
        <w:rPr>
          <w:rFonts w:ascii="Tahoma" w:hAnsi="Tahoma" w:cs="Tahoma"/>
        </w:rPr>
        <w:t>definición de autos interlocutorios</w:t>
      </w:r>
      <w:r w:rsidR="00B31304" w:rsidRPr="00C50B10">
        <w:rPr>
          <w:rFonts w:ascii="Tahoma" w:hAnsi="Tahoma" w:cs="Tahoma"/>
        </w:rPr>
        <w:t xml:space="preserve"> y definidos por el Art. </w:t>
      </w:r>
      <w:r w:rsidR="00B33FF4" w:rsidRPr="00C50B10">
        <w:rPr>
          <w:rFonts w:ascii="Tahoma" w:hAnsi="Tahoma" w:cs="Tahoma"/>
        </w:rPr>
        <w:t>322 numerales 3º y 4º del Código General del Proceso</w:t>
      </w:r>
      <w:r w:rsidR="00B31304" w:rsidRPr="00C50B10">
        <w:rPr>
          <w:rFonts w:ascii="Tahoma" w:hAnsi="Tahoma" w:cs="Tahoma"/>
        </w:rPr>
        <w:t>” y por eso lo admite;</w:t>
      </w:r>
      <w:r w:rsidR="00F50B07" w:rsidRPr="00C50B10">
        <w:rPr>
          <w:rFonts w:ascii="Tahoma" w:hAnsi="Tahoma" w:cs="Tahoma"/>
        </w:rPr>
        <w:t xml:space="preserve"> agregó que</w:t>
      </w:r>
      <w:r w:rsidR="00B31304" w:rsidRPr="00C50B10">
        <w:rPr>
          <w:rFonts w:ascii="Tahoma" w:hAnsi="Tahoma" w:cs="Tahoma"/>
        </w:rPr>
        <w:t xml:space="preserve"> por su misma naturaleza jurídica, la interpretación del juzgado respecto a las reglas legales “que señalan el principio de la doble instancia, el principio de contradicción, van en clara contravía”  de ese precepto en los numerales citados, las sentencias de este tribunal</w:t>
      </w:r>
      <w:r w:rsidR="00F50B07" w:rsidRPr="00C50B10">
        <w:rPr>
          <w:rFonts w:ascii="Tahoma" w:hAnsi="Tahoma" w:cs="Tahoma"/>
        </w:rPr>
        <w:t>,</w:t>
      </w:r>
      <w:r w:rsidR="00B31304" w:rsidRPr="00C50B10">
        <w:rPr>
          <w:rFonts w:ascii="Tahoma" w:hAnsi="Tahoma" w:cs="Tahoma"/>
        </w:rPr>
        <w:t xml:space="preserve"> las T-659 de 2006 y T-323 de 2014 de la Corte Constitucional y la jurisprudencia sobre auto como el impugnado.</w:t>
      </w:r>
    </w:p>
    <w:p w:rsidR="00A34088" w:rsidRPr="00C50B10" w:rsidRDefault="00B31304" w:rsidP="00C50B10">
      <w:pPr>
        <w:spacing w:line="288" w:lineRule="auto"/>
        <w:jc w:val="both"/>
        <w:rPr>
          <w:rFonts w:ascii="Tahoma" w:hAnsi="Tahoma" w:cs="Tahoma"/>
          <w:i/>
        </w:rPr>
      </w:pPr>
      <w:r w:rsidRPr="00C50B10">
        <w:rPr>
          <w:rFonts w:ascii="Tahoma" w:hAnsi="Tahoma" w:cs="Tahoma"/>
          <w:i/>
        </w:rPr>
        <w:t xml:space="preserve"> </w:t>
      </w:r>
    </w:p>
    <w:p w:rsidR="00A34088" w:rsidRDefault="00971340" w:rsidP="00C50B10">
      <w:pPr>
        <w:spacing w:line="288" w:lineRule="auto"/>
        <w:jc w:val="both"/>
        <w:rPr>
          <w:rFonts w:ascii="Tahoma" w:hAnsi="Tahoma" w:cs="Tahoma"/>
        </w:rPr>
      </w:pPr>
      <w:r w:rsidRPr="00C50B10">
        <w:rPr>
          <w:rFonts w:ascii="Tahoma" w:hAnsi="Tahoma" w:cs="Tahoma"/>
        </w:rPr>
        <w:t>4</w:t>
      </w:r>
      <w:r w:rsidR="00F50B07" w:rsidRPr="00C50B10">
        <w:rPr>
          <w:rFonts w:ascii="Tahoma" w:hAnsi="Tahoma" w:cs="Tahoma"/>
        </w:rPr>
        <w:t>. La Sala no comparte esos argumentos porque la</w:t>
      </w:r>
      <w:r w:rsidR="00B31304" w:rsidRPr="00C50B10">
        <w:rPr>
          <w:rFonts w:ascii="Tahoma" w:hAnsi="Tahoma" w:cs="Tahoma"/>
        </w:rPr>
        <w:t xml:space="preserve"> norma en que se apoya la recurrente </w:t>
      </w:r>
      <w:r w:rsidR="00A34088" w:rsidRPr="00C50B10">
        <w:rPr>
          <w:rFonts w:ascii="Tahoma" w:hAnsi="Tahoma" w:cs="Tahoma"/>
        </w:rPr>
        <w:t>no es la que se ocupa de enlistar las providencias que admiten alzada. El numeral 3º</w:t>
      </w:r>
      <w:r w:rsidR="00B31304" w:rsidRPr="00C50B10">
        <w:rPr>
          <w:rFonts w:ascii="Tahoma" w:hAnsi="Tahoma" w:cs="Tahoma"/>
        </w:rPr>
        <w:t xml:space="preserve"> </w:t>
      </w:r>
      <w:r w:rsidR="00A34088" w:rsidRPr="00C50B10">
        <w:rPr>
          <w:rFonts w:ascii="Tahoma" w:hAnsi="Tahoma" w:cs="Tahoma"/>
        </w:rPr>
        <w:t>básicamente regula lo relacionado con la oportunidad para sustentar el recurso de apelación, y carece ese precepto de más numerales, aunque</w:t>
      </w:r>
      <w:r w:rsidR="00BB542D" w:rsidRPr="00C50B10">
        <w:rPr>
          <w:rFonts w:ascii="Tahoma" w:hAnsi="Tahoma" w:cs="Tahoma"/>
        </w:rPr>
        <w:t xml:space="preserve"> la queja se sustenta </w:t>
      </w:r>
      <w:r w:rsidR="00A34088" w:rsidRPr="00C50B10">
        <w:rPr>
          <w:rFonts w:ascii="Tahoma" w:hAnsi="Tahoma" w:cs="Tahoma"/>
        </w:rPr>
        <w:t>también en el 4º.</w:t>
      </w:r>
    </w:p>
    <w:p w:rsidR="00447987" w:rsidRPr="00C50B10" w:rsidRDefault="00447987" w:rsidP="00C50B10">
      <w:pPr>
        <w:spacing w:line="288" w:lineRule="auto"/>
        <w:jc w:val="both"/>
        <w:rPr>
          <w:rFonts w:ascii="Tahoma" w:hAnsi="Tahoma" w:cs="Tahoma"/>
        </w:rPr>
      </w:pPr>
    </w:p>
    <w:p w:rsidR="00520C44" w:rsidRPr="00C50B10" w:rsidRDefault="00520C44" w:rsidP="00C50B10">
      <w:pPr>
        <w:spacing w:line="288" w:lineRule="auto"/>
        <w:jc w:val="both"/>
        <w:rPr>
          <w:rFonts w:ascii="Tahoma" w:hAnsi="Tahoma" w:cs="Tahoma"/>
        </w:rPr>
      </w:pPr>
      <w:r w:rsidRPr="00C50B10">
        <w:rPr>
          <w:rFonts w:ascii="Tahoma" w:hAnsi="Tahoma" w:cs="Tahoma"/>
        </w:rPr>
        <w:t>La sentencias de la Corte Constitucional</w:t>
      </w:r>
      <w:r w:rsidR="00BB542D" w:rsidRPr="00C50B10">
        <w:rPr>
          <w:rFonts w:ascii="Tahoma" w:hAnsi="Tahoma" w:cs="Tahoma"/>
        </w:rPr>
        <w:t xml:space="preserve"> que cita la profesional que representa al demandado</w:t>
      </w:r>
      <w:r w:rsidRPr="00C50B10">
        <w:rPr>
          <w:rFonts w:ascii="Tahoma" w:hAnsi="Tahoma" w:cs="Tahoma"/>
        </w:rPr>
        <w:t xml:space="preserve"> se dictaron en vigencia del Código de Procedimiento Civil, que autorizaban la apelación frente</w:t>
      </w:r>
      <w:r w:rsidR="00FF77BD" w:rsidRPr="00C50B10">
        <w:rPr>
          <w:rFonts w:ascii="Tahoma" w:hAnsi="Tahoma" w:cs="Tahoma"/>
        </w:rPr>
        <w:t xml:space="preserve"> al auto que aprobaba el remate, aunque la última citada no analizó el tema.</w:t>
      </w:r>
      <w:r w:rsidR="00BB542D" w:rsidRPr="00C50B10">
        <w:rPr>
          <w:rFonts w:ascii="Tahoma" w:hAnsi="Tahoma" w:cs="Tahoma"/>
        </w:rPr>
        <w:t xml:space="preserve"> </w:t>
      </w:r>
    </w:p>
    <w:p w:rsidR="00FF77BD" w:rsidRPr="00C50B10" w:rsidRDefault="00FF77BD" w:rsidP="00C50B10">
      <w:pPr>
        <w:spacing w:line="288" w:lineRule="auto"/>
        <w:jc w:val="both"/>
        <w:rPr>
          <w:rFonts w:ascii="Tahoma" w:hAnsi="Tahoma" w:cs="Tahoma"/>
        </w:rPr>
      </w:pPr>
    </w:p>
    <w:p w:rsidR="00A34088" w:rsidRPr="00C50B10" w:rsidRDefault="00BB542D" w:rsidP="00C50B10">
      <w:pPr>
        <w:spacing w:line="288" w:lineRule="auto"/>
        <w:jc w:val="both"/>
        <w:rPr>
          <w:rFonts w:ascii="Tahoma" w:hAnsi="Tahoma" w:cs="Tahoma"/>
        </w:rPr>
      </w:pPr>
      <w:r w:rsidRPr="00C50B10">
        <w:rPr>
          <w:rFonts w:ascii="Tahoma" w:hAnsi="Tahoma" w:cs="Tahoma"/>
        </w:rPr>
        <w:t>No mencionó la misma abogada c</w:t>
      </w:r>
      <w:r w:rsidR="00FF77BD" w:rsidRPr="00C50B10">
        <w:rPr>
          <w:rFonts w:ascii="Tahoma" w:hAnsi="Tahoma" w:cs="Tahoma"/>
        </w:rPr>
        <w:t xml:space="preserve">uáles son las sentencias de este tribunal que desconoció el juzgado, ni jurisprudencia sobre el asunto </w:t>
      </w:r>
      <w:r w:rsidRPr="00C50B10">
        <w:rPr>
          <w:rFonts w:ascii="Tahoma" w:hAnsi="Tahoma" w:cs="Tahoma"/>
        </w:rPr>
        <w:t xml:space="preserve">del que se </w:t>
      </w:r>
      <w:r w:rsidR="00FF77BD" w:rsidRPr="00C50B10">
        <w:rPr>
          <w:rFonts w:ascii="Tahoma" w:hAnsi="Tahoma" w:cs="Tahoma"/>
        </w:rPr>
        <w:t xml:space="preserve">ocupa </w:t>
      </w:r>
      <w:r w:rsidRPr="00C50B10">
        <w:rPr>
          <w:rFonts w:ascii="Tahoma" w:hAnsi="Tahoma" w:cs="Tahoma"/>
        </w:rPr>
        <w:t>la Sala, que justificarán su análisis en esta providencia.</w:t>
      </w:r>
    </w:p>
    <w:p w:rsidR="00B33FF4" w:rsidRPr="00C50B10" w:rsidRDefault="00B33FF4" w:rsidP="00C50B10">
      <w:pPr>
        <w:spacing w:line="288" w:lineRule="auto"/>
        <w:jc w:val="both"/>
        <w:rPr>
          <w:rFonts w:ascii="Tahoma" w:hAnsi="Tahoma" w:cs="Tahoma"/>
          <w:i/>
        </w:rPr>
      </w:pPr>
    </w:p>
    <w:p w:rsidR="001F2BA6" w:rsidRPr="00C50B10" w:rsidRDefault="001F2BA6" w:rsidP="00C50B10">
      <w:pPr>
        <w:spacing w:line="288" w:lineRule="auto"/>
        <w:jc w:val="both"/>
        <w:rPr>
          <w:rFonts w:ascii="Tahoma" w:hAnsi="Tahoma" w:cs="Tahoma"/>
        </w:rPr>
      </w:pPr>
      <w:r w:rsidRPr="00C50B10">
        <w:rPr>
          <w:rFonts w:ascii="Tahoma" w:hAnsi="Tahoma" w:cs="Tahoma"/>
        </w:rPr>
        <w:t>En esas condiciones, no se ha lesionado el principio de la doble instancia</w:t>
      </w:r>
      <w:r w:rsidR="00A77301" w:rsidRPr="00C50B10">
        <w:rPr>
          <w:rFonts w:ascii="Tahoma" w:hAnsi="Tahoma" w:cs="Tahoma"/>
        </w:rPr>
        <w:t xml:space="preserve">, como lo pregona la </w:t>
      </w:r>
      <w:r w:rsidR="00536740" w:rsidRPr="00C50B10">
        <w:rPr>
          <w:rFonts w:ascii="Tahoma" w:hAnsi="Tahoma" w:cs="Tahoma"/>
        </w:rPr>
        <w:t>recurrente</w:t>
      </w:r>
      <w:r w:rsidR="00A77301" w:rsidRPr="00C50B10">
        <w:rPr>
          <w:rFonts w:ascii="Tahoma" w:hAnsi="Tahoma" w:cs="Tahoma"/>
        </w:rPr>
        <w:t xml:space="preserve">, pues la ley le impone  límites </w:t>
      </w:r>
      <w:r w:rsidR="00536740" w:rsidRPr="00C50B10">
        <w:rPr>
          <w:rFonts w:ascii="Tahoma" w:hAnsi="Tahoma" w:cs="Tahoma"/>
        </w:rPr>
        <w:t xml:space="preserve">a  tal principio </w:t>
      </w:r>
      <w:r w:rsidR="00A77301" w:rsidRPr="00C50B10">
        <w:rPr>
          <w:rFonts w:ascii="Tahoma" w:hAnsi="Tahoma" w:cs="Tahoma"/>
        </w:rPr>
        <w:t>y por tanto, su carácter no es absoluto. Ese es el motivo por el que no todas las providencias que dicte el juez son susceptibles del recurso de apelación.</w:t>
      </w:r>
      <w:r w:rsidR="00F50B07" w:rsidRPr="00C50B10">
        <w:rPr>
          <w:rFonts w:ascii="Tahoma" w:hAnsi="Tahoma" w:cs="Tahoma"/>
        </w:rPr>
        <w:t xml:space="preserve"> Así lo ha enseñado la Corte Constitucional: </w:t>
      </w:r>
    </w:p>
    <w:p w:rsidR="00536740" w:rsidRPr="00C50B10" w:rsidRDefault="00536740" w:rsidP="00C50B10">
      <w:pPr>
        <w:spacing w:line="288" w:lineRule="auto"/>
        <w:jc w:val="both"/>
        <w:rPr>
          <w:rFonts w:ascii="Tahoma" w:hAnsi="Tahoma" w:cs="Tahoma"/>
        </w:rPr>
      </w:pPr>
    </w:p>
    <w:p w:rsidR="00F50B07" w:rsidRPr="00447987" w:rsidRDefault="00F50B07" w:rsidP="00447987">
      <w:pPr>
        <w:pStyle w:val="style21"/>
        <w:shd w:val="clear" w:color="auto" w:fill="FFFFFF"/>
        <w:spacing w:before="0" w:beforeAutospacing="0" w:after="0" w:afterAutospacing="0"/>
        <w:ind w:left="426" w:right="420"/>
        <w:jc w:val="both"/>
        <w:textAlignment w:val="baseline"/>
        <w:rPr>
          <w:rFonts w:ascii="Tahoma" w:hAnsi="Tahoma" w:cs="Tahoma"/>
          <w:i/>
          <w:sz w:val="22"/>
        </w:rPr>
      </w:pPr>
      <w:r w:rsidRPr="00447987">
        <w:rPr>
          <w:rStyle w:val="fontstyle27"/>
          <w:rFonts w:ascii="Tahoma" w:hAnsi="Tahoma" w:cs="Tahoma"/>
          <w:i/>
          <w:sz w:val="22"/>
          <w:bdr w:val="none" w:sz="0" w:space="0" w:color="auto" w:frame="1"/>
          <w:lang w:val="es-ES_tradnl"/>
        </w:rPr>
        <w:lastRenderedPageBreak/>
        <w:t>“5.2   Esta Corporación ha sostenido que la finalidad del principio-derecho a la doble instancia es permitir que la decisión adoptada por una autoridad judicial sea revisada por otro funcionario, independiente e imparcial de la misma naturaleza y más alta jerarquía, con el fin de que decisiones contrarias a los intereses de las partes tengan una más amplia deliberación con propósitos de corrección, permitiendo de esa forma enmendar la aplicación indebida que se haga por parte de la autoridad de la Constitución o la ley. Es una garantía contra la arbitrariedad, y en un mecanismo principal, idóneo y eficaz para la corrección de los yerros en que pueda incurrir una autoridad pública.</w:t>
      </w:r>
    </w:p>
    <w:p w:rsidR="00F50B07" w:rsidRPr="00447987" w:rsidRDefault="00F50B07" w:rsidP="00447987">
      <w:pPr>
        <w:pStyle w:val="style7"/>
        <w:shd w:val="clear" w:color="auto" w:fill="FFFFFF"/>
        <w:spacing w:before="0" w:beforeAutospacing="0" w:after="0" w:afterAutospacing="0"/>
        <w:ind w:left="426" w:right="420"/>
        <w:jc w:val="both"/>
        <w:textAlignment w:val="baseline"/>
        <w:rPr>
          <w:rFonts w:ascii="Tahoma" w:hAnsi="Tahoma" w:cs="Tahoma"/>
          <w:i/>
          <w:sz w:val="22"/>
        </w:rPr>
      </w:pPr>
      <w:r w:rsidRPr="00447987">
        <w:rPr>
          <w:rFonts w:ascii="Tahoma" w:hAnsi="Tahoma" w:cs="Tahoma"/>
          <w:i/>
          <w:sz w:val="22"/>
          <w:bdr w:val="none" w:sz="0" w:space="0" w:color="auto" w:frame="1"/>
        </w:rPr>
        <w:t> </w:t>
      </w:r>
    </w:p>
    <w:p w:rsidR="00F50B07" w:rsidRPr="00447987" w:rsidRDefault="00F50B07" w:rsidP="00447987">
      <w:pPr>
        <w:pStyle w:val="style7"/>
        <w:shd w:val="clear" w:color="auto" w:fill="FFFFFF"/>
        <w:spacing w:before="0" w:beforeAutospacing="0" w:after="0" w:afterAutospacing="0"/>
        <w:ind w:left="426" w:right="420"/>
        <w:jc w:val="both"/>
        <w:textAlignment w:val="baseline"/>
        <w:rPr>
          <w:rFonts w:ascii="Tahoma" w:hAnsi="Tahoma" w:cs="Tahoma"/>
          <w:i/>
          <w:sz w:val="22"/>
        </w:rPr>
      </w:pPr>
      <w:r w:rsidRPr="00447987">
        <w:rPr>
          <w:rStyle w:val="fontstyle27"/>
          <w:rFonts w:ascii="Tahoma" w:hAnsi="Tahoma" w:cs="Tahoma"/>
          <w:i/>
          <w:sz w:val="22"/>
          <w:bdr w:val="none" w:sz="0" w:space="0" w:color="auto" w:frame="1"/>
          <w:lang w:val="es-ES_tradnl"/>
        </w:rPr>
        <w:t>No obstante, la Corte ha reconocido que el principio a la doble instancia no tiene un carácter absoluto porque el Constituyente admitió en el artículo 31 de la Carta, que el legislador dentro de su competencia discrecional podía establecer excepciones al mismo, por ejemplo, consagrando trámites judiciales de única instancia o imponiendo ciertos límites a los recursos que buscan cuestionar la actuación de una autoridad pública…”</w:t>
      </w:r>
      <w:r w:rsidR="00447987">
        <w:rPr>
          <w:rStyle w:val="fontstyle27"/>
          <w:rFonts w:ascii="Tahoma" w:hAnsi="Tahoma" w:cs="Tahoma"/>
          <w:i/>
          <w:sz w:val="22"/>
          <w:bdr w:val="none" w:sz="0" w:space="0" w:color="auto" w:frame="1"/>
          <w:lang w:val="es-ES_tradnl"/>
        </w:rPr>
        <w:t xml:space="preserve"> </w:t>
      </w:r>
      <w:r w:rsidRPr="00447987">
        <w:rPr>
          <w:rStyle w:val="Refdenotaalpie"/>
          <w:rFonts w:ascii="Tahoma" w:hAnsi="Tahoma" w:cs="Tahoma"/>
          <w:i/>
          <w:sz w:val="22"/>
          <w:bdr w:val="none" w:sz="0" w:space="0" w:color="auto" w:frame="1"/>
          <w:lang w:val="es-ES_tradnl"/>
        </w:rPr>
        <w:footnoteReference w:id="5"/>
      </w:r>
    </w:p>
    <w:p w:rsidR="00536740" w:rsidRPr="00C50B10" w:rsidRDefault="00536740" w:rsidP="00C50B10">
      <w:pPr>
        <w:spacing w:line="288" w:lineRule="auto"/>
        <w:jc w:val="both"/>
        <w:rPr>
          <w:rFonts w:ascii="Tahoma" w:hAnsi="Tahoma" w:cs="Tahoma"/>
          <w:i/>
        </w:rPr>
      </w:pPr>
    </w:p>
    <w:p w:rsidR="00F90397" w:rsidRPr="00C50B10" w:rsidRDefault="00971340" w:rsidP="00C50B10">
      <w:pPr>
        <w:spacing w:line="288" w:lineRule="auto"/>
        <w:jc w:val="both"/>
        <w:rPr>
          <w:rFonts w:ascii="Tahoma" w:hAnsi="Tahoma" w:cs="Tahoma"/>
        </w:rPr>
      </w:pPr>
      <w:r w:rsidRPr="00C50B10">
        <w:rPr>
          <w:rFonts w:ascii="Tahoma" w:hAnsi="Tahoma" w:cs="Tahoma"/>
        </w:rPr>
        <w:t>5</w:t>
      </w:r>
      <w:r w:rsidR="00BB542D" w:rsidRPr="00C50B10">
        <w:rPr>
          <w:rFonts w:ascii="Tahoma" w:hAnsi="Tahoma" w:cs="Tahoma"/>
        </w:rPr>
        <w:t xml:space="preserve">. </w:t>
      </w:r>
      <w:r w:rsidR="00F90397" w:rsidRPr="00C50B10">
        <w:rPr>
          <w:rFonts w:ascii="Tahoma" w:hAnsi="Tahoma" w:cs="Tahoma"/>
        </w:rPr>
        <w:t>Así las cosas, se declarará bien denegado el recurso de apel</w:t>
      </w:r>
      <w:r w:rsidR="00BB542D" w:rsidRPr="00C50B10">
        <w:rPr>
          <w:rFonts w:ascii="Tahoma" w:hAnsi="Tahoma" w:cs="Tahoma"/>
        </w:rPr>
        <w:t>ación contra el auto al que se hizo a</w:t>
      </w:r>
      <w:r w:rsidR="00F90397" w:rsidRPr="00C50B10">
        <w:rPr>
          <w:rFonts w:ascii="Tahoma" w:hAnsi="Tahoma" w:cs="Tahoma"/>
        </w:rPr>
        <w:t>lusión.</w:t>
      </w:r>
    </w:p>
    <w:p w:rsidR="00300C59" w:rsidRPr="00C50B10" w:rsidRDefault="00300C59" w:rsidP="00C50B10">
      <w:pPr>
        <w:spacing w:line="288" w:lineRule="auto"/>
        <w:jc w:val="both"/>
        <w:rPr>
          <w:rFonts w:ascii="Tahoma" w:hAnsi="Tahoma" w:cs="Tahoma"/>
          <w:color w:val="FF0000"/>
        </w:rPr>
      </w:pPr>
      <w:r w:rsidRPr="00C50B10">
        <w:rPr>
          <w:rFonts w:ascii="Tahoma" w:hAnsi="Tahoma" w:cs="Tahoma"/>
          <w:color w:val="FF0000"/>
        </w:rPr>
        <w:t xml:space="preserve">                                                                                                                                                                                                                                                                                                                                                                                                                                                                                                                                                                                                                                                                                                                                                                                                                                                                                                                                                                                                                                                                                                                                                                                                                                                                                                                                                                                                                                                                                                                                                                                                                                                                                                                                                                                                                                                                                                                                                                                                                                                                                                                                                                                                                  </w:t>
      </w:r>
    </w:p>
    <w:p w:rsidR="005E41EA" w:rsidRPr="00C50B10" w:rsidRDefault="005E41EA" w:rsidP="00C50B10">
      <w:pPr>
        <w:spacing w:line="288" w:lineRule="auto"/>
        <w:jc w:val="both"/>
        <w:rPr>
          <w:rFonts w:ascii="Tahoma" w:hAnsi="Tahoma" w:cs="Tahoma"/>
        </w:rPr>
      </w:pPr>
      <w:r w:rsidRPr="00C50B10">
        <w:rPr>
          <w:rFonts w:ascii="Tahoma" w:hAnsi="Tahoma" w:cs="Tahoma"/>
        </w:rPr>
        <w:t xml:space="preserve">En mérito de lo expuesto esta Sala Unitaria Civil Familia del Tribunal Superior del Distrito Judicial de Pereira, </w:t>
      </w:r>
    </w:p>
    <w:p w:rsidR="005E41EA" w:rsidRPr="00C50B10" w:rsidRDefault="005E41EA" w:rsidP="00C50B10">
      <w:pPr>
        <w:spacing w:line="288" w:lineRule="auto"/>
        <w:jc w:val="both"/>
        <w:rPr>
          <w:rFonts w:ascii="Tahoma" w:hAnsi="Tahoma" w:cs="Tahoma"/>
          <w:highlight w:val="yellow"/>
        </w:rPr>
      </w:pPr>
    </w:p>
    <w:p w:rsidR="005E41EA" w:rsidRPr="00C50B10" w:rsidRDefault="005E41EA" w:rsidP="00C50B10">
      <w:pPr>
        <w:spacing w:line="288" w:lineRule="auto"/>
        <w:jc w:val="both"/>
        <w:rPr>
          <w:rFonts w:ascii="Tahoma" w:hAnsi="Tahoma" w:cs="Tahoma"/>
          <w:b/>
        </w:rPr>
      </w:pPr>
      <w:r w:rsidRPr="00C50B10">
        <w:rPr>
          <w:rFonts w:ascii="Tahoma" w:hAnsi="Tahoma" w:cs="Tahoma"/>
          <w:b/>
        </w:rPr>
        <w:t>R E S U E L V E:</w:t>
      </w:r>
    </w:p>
    <w:p w:rsidR="005E41EA" w:rsidRPr="00C50B10" w:rsidRDefault="005E41EA" w:rsidP="00C50B10">
      <w:pPr>
        <w:spacing w:line="288" w:lineRule="auto"/>
        <w:jc w:val="both"/>
        <w:rPr>
          <w:rFonts w:ascii="Tahoma" w:hAnsi="Tahoma" w:cs="Tahoma"/>
        </w:rPr>
      </w:pPr>
    </w:p>
    <w:p w:rsidR="00F90397" w:rsidRPr="00C50B10" w:rsidRDefault="005E41EA" w:rsidP="00C50B10">
      <w:pPr>
        <w:spacing w:line="288" w:lineRule="auto"/>
        <w:jc w:val="both"/>
        <w:rPr>
          <w:rFonts w:ascii="Tahoma" w:hAnsi="Tahoma" w:cs="Tahoma"/>
        </w:rPr>
      </w:pPr>
      <w:r w:rsidRPr="00C50B10">
        <w:rPr>
          <w:rFonts w:ascii="Tahoma" w:hAnsi="Tahoma" w:cs="Tahoma"/>
          <w:b/>
        </w:rPr>
        <w:t xml:space="preserve">1° </w:t>
      </w:r>
      <w:r w:rsidR="00273279" w:rsidRPr="00C50B10">
        <w:rPr>
          <w:rFonts w:ascii="Tahoma" w:hAnsi="Tahoma" w:cs="Tahoma"/>
          <w:b/>
        </w:rPr>
        <w:t xml:space="preserve">DECLARAR </w:t>
      </w:r>
      <w:r w:rsidR="00273279" w:rsidRPr="00C50B10">
        <w:rPr>
          <w:rFonts w:ascii="Tahoma" w:hAnsi="Tahoma" w:cs="Tahoma"/>
        </w:rPr>
        <w:t xml:space="preserve">bien denegado el recurso de apelación interpuesto por la apoderada judicial de la parte demandada contra el auto </w:t>
      </w:r>
      <w:r w:rsidR="00BB542D" w:rsidRPr="00C50B10">
        <w:rPr>
          <w:rFonts w:ascii="Tahoma" w:hAnsi="Tahoma" w:cs="Tahoma"/>
        </w:rPr>
        <w:t xml:space="preserve">del 31 de </w:t>
      </w:r>
      <w:r w:rsidR="00F90397" w:rsidRPr="00C50B10">
        <w:rPr>
          <w:rFonts w:ascii="Tahoma" w:hAnsi="Tahoma" w:cs="Tahoma"/>
        </w:rPr>
        <w:t>enero</w:t>
      </w:r>
      <w:r w:rsidR="00273279" w:rsidRPr="00C50B10">
        <w:rPr>
          <w:rFonts w:ascii="Tahoma" w:hAnsi="Tahoma" w:cs="Tahoma"/>
        </w:rPr>
        <w:t xml:space="preserve"> </w:t>
      </w:r>
      <w:r w:rsidR="00F90397" w:rsidRPr="00C50B10">
        <w:rPr>
          <w:rFonts w:ascii="Tahoma" w:hAnsi="Tahoma" w:cs="Tahoma"/>
        </w:rPr>
        <w:t>último,</w:t>
      </w:r>
      <w:r w:rsidR="00BB542D" w:rsidRPr="00C50B10">
        <w:rPr>
          <w:rFonts w:ascii="Tahoma" w:hAnsi="Tahoma" w:cs="Tahoma"/>
        </w:rPr>
        <w:t xml:space="preserve"> proferido en </w:t>
      </w:r>
      <w:r w:rsidR="00F90397" w:rsidRPr="00C50B10">
        <w:rPr>
          <w:rFonts w:ascii="Tahoma" w:hAnsi="Tahoma" w:cs="Tahoma"/>
        </w:rPr>
        <w:t>el proceso ejecutivo</w:t>
      </w:r>
      <w:r w:rsidR="00BB542D" w:rsidRPr="00C50B10">
        <w:rPr>
          <w:rFonts w:ascii="Tahoma" w:hAnsi="Tahoma" w:cs="Tahoma"/>
        </w:rPr>
        <w:t xml:space="preserve"> con acción mixta que instauró el señor </w:t>
      </w:r>
      <w:r w:rsidR="00F90397" w:rsidRPr="00C50B10">
        <w:rPr>
          <w:rFonts w:ascii="Tahoma" w:hAnsi="Tahoma" w:cs="Tahoma"/>
        </w:rPr>
        <w:t>Ernesto Morales Benjumea</w:t>
      </w:r>
      <w:r w:rsidR="00BB542D" w:rsidRPr="00C50B10">
        <w:rPr>
          <w:rFonts w:ascii="Tahoma" w:hAnsi="Tahoma" w:cs="Tahoma"/>
        </w:rPr>
        <w:t xml:space="preserve"> contra el señor </w:t>
      </w:r>
      <w:r w:rsidR="00F90397" w:rsidRPr="00C50B10">
        <w:rPr>
          <w:rFonts w:ascii="Tahoma" w:hAnsi="Tahoma" w:cs="Tahoma"/>
        </w:rPr>
        <w:t>Nicolás Antonio Grajales Dávila.</w:t>
      </w:r>
    </w:p>
    <w:p w:rsidR="00F90397" w:rsidRPr="00C50B10" w:rsidRDefault="00F90397" w:rsidP="00C50B10">
      <w:pPr>
        <w:spacing w:line="288" w:lineRule="auto"/>
        <w:jc w:val="both"/>
        <w:rPr>
          <w:rFonts w:ascii="Tahoma" w:hAnsi="Tahoma" w:cs="Tahoma"/>
          <w:highlight w:val="yellow"/>
        </w:rPr>
      </w:pPr>
    </w:p>
    <w:p w:rsidR="00F90397" w:rsidRPr="00C50B10" w:rsidRDefault="005E41EA" w:rsidP="00C50B10">
      <w:pPr>
        <w:spacing w:line="288" w:lineRule="auto"/>
        <w:jc w:val="both"/>
        <w:rPr>
          <w:rFonts w:ascii="Tahoma" w:hAnsi="Tahoma" w:cs="Tahoma"/>
        </w:rPr>
      </w:pPr>
      <w:r w:rsidRPr="00C50B10">
        <w:rPr>
          <w:rFonts w:ascii="Tahoma" w:hAnsi="Tahoma" w:cs="Tahoma"/>
          <w:b/>
        </w:rPr>
        <w:t>2°</w:t>
      </w:r>
      <w:r w:rsidRPr="00C50B10">
        <w:rPr>
          <w:rFonts w:ascii="Tahoma" w:hAnsi="Tahoma" w:cs="Tahoma"/>
        </w:rPr>
        <w:t xml:space="preserve"> </w:t>
      </w:r>
      <w:r w:rsidR="00F90397" w:rsidRPr="00C50B10">
        <w:rPr>
          <w:rFonts w:ascii="Tahoma" w:hAnsi="Tahoma" w:cs="Tahoma"/>
        </w:rPr>
        <w:t>Remítanse las diligencias a ese juzgado para que sean incorporadas al proceso respectivo.</w:t>
      </w:r>
    </w:p>
    <w:p w:rsidR="007D1387" w:rsidRPr="00C50B10" w:rsidRDefault="00F90397" w:rsidP="00C50B10">
      <w:pPr>
        <w:spacing w:line="288" w:lineRule="auto"/>
        <w:jc w:val="both"/>
        <w:rPr>
          <w:rFonts w:ascii="Tahoma" w:hAnsi="Tahoma" w:cs="Tahoma"/>
        </w:rPr>
      </w:pPr>
      <w:r w:rsidRPr="00C50B10">
        <w:rPr>
          <w:rFonts w:ascii="Tahoma" w:hAnsi="Tahoma" w:cs="Tahoma"/>
        </w:rPr>
        <w:t xml:space="preserve"> </w:t>
      </w:r>
    </w:p>
    <w:p w:rsidR="005E41EA" w:rsidRPr="00C50B10" w:rsidRDefault="005E41EA" w:rsidP="00C50B10">
      <w:pPr>
        <w:spacing w:line="288" w:lineRule="auto"/>
        <w:jc w:val="both"/>
        <w:rPr>
          <w:rFonts w:ascii="Tahoma" w:hAnsi="Tahoma" w:cs="Tahoma"/>
          <w:b/>
        </w:rPr>
      </w:pPr>
      <w:r w:rsidRPr="00C50B10">
        <w:rPr>
          <w:rFonts w:ascii="Tahoma" w:hAnsi="Tahoma" w:cs="Tahoma"/>
        </w:rPr>
        <w:t>N</w:t>
      </w:r>
      <w:r w:rsidR="007D1387" w:rsidRPr="00C50B10">
        <w:rPr>
          <w:rFonts w:ascii="Tahoma" w:hAnsi="Tahoma" w:cs="Tahoma"/>
        </w:rPr>
        <w:t>otifíquese y cúmplase,</w:t>
      </w:r>
      <w:r w:rsidRPr="00C50B10">
        <w:rPr>
          <w:rFonts w:ascii="Tahoma" w:hAnsi="Tahoma" w:cs="Tahoma"/>
          <w:b/>
        </w:rPr>
        <w:t xml:space="preserve"> </w:t>
      </w:r>
    </w:p>
    <w:p w:rsidR="005E41EA" w:rsidRPr="00C50B10" w:rsidRDefault="005E41EA" w:rsidP="00C50B10">
      <w:pPr>
        <w:spacing w:line="288" w:lineRule="auto"/>
        <w:jc w:val="both"/>
        <w:rPr>
          <w:rFonts w:ascii="Tahoma" w:hAnsi="Tahoma" w:cs="Tahoma"/>
        </w:rPr>
      </w:pPr>
    </w:p>
    <w:p w:rsidR="005E41EA" w:rsidRPr="00C50B10" w:rsidRDefault="005E41EA" w:rsidP="00C50B10">
      <w:pPr>
        <w:spacing w:line="288" w:lineRule="auto"/>
        <w:jc w:val="both"/>
        <w:rPr>
          <w:rFonts w:ascii="Tahoma" w:hAnsi="Tahoma" w:cs="Tahoma"/>
        </w:rPr>
      </w:pPr>
      <w:r w:rsidRPr="00C50B10">
        <w:rPr>
          <w:rFonts w:ascii="Tahoma" w:hAnsi="Tahoma" w:cs="Tahoma"/>
        </w:rPr>
        <w:t xml:space="preserve">La Magistrada,  </w:t>
      </w:r>
    </w:p>
    <w:p w:rsidR="005E41EA" w:rsidRPr="00C50B10" w:rsidRDefault="005E41EA" w:rsidP="00C50B10">
      <w:pPr>
        <w:spacing w:line="288" w:lineRule="auto"/>
        <w:jc w:val="both"/>
        <w:rPr>
          <w:rFonts w:ascii="Tahoma" w:hAnsi="Tahoma" w:cs="Tahoma"/>
        </w:rPr>
      </w:pPr>
    </w:p>
    <w:p w:rsidR="005E41EA" w:rsidRPr="00C50B10" w:rsidRDefault="005E41EA" w:rsidP="00C50B10">
      <w:pPr>
        <w:spacing w:line="288" w:lineRule="auto"/>
        <w:jc w:val="both"/>
        <w:rPr>
          <w:rFonts w:ascii="Tahoma" w:hAnsi="Tahoma" w:cs="Tahoma"/>
        </w:rPr>
      </w:pPr>
    </w:p>
    <w:p w:rsidR="005E41EA" w:rsidRPr="00C50B10" w:rsidRDefault="005E41EA" w:rsidP="00C50B10">
      <w:pPr>
        <w:spacing w:line="288" w:lineRule="auto"/>
        <w:jc w:val="both"/>
        <w:rPr>
          <w:rFonts w:ascii="Tahoma" w:hAnsi="Tahoma" w:cs="Tahoma"/>
          <w:b/>
        </w:rPr>
      </w:pPr>
    </w:p>
    <w:p w:rsidR="007D1387" w:rsidRPr="00C50B10" w:rsidRDefault="005E41EA" w:rsidP="00C50B10">
      <w:pPr>
        <w:spacing w:line="288" w:lineRule="auto"/>
        <w:ind w:left="1416" w:firstLine="708"/>
        <w:rPr>
          <w:rFonts w:ascii="Tahoma" w:hAnsi="Tahoma" w:cs="Tahoma"/>
          <w:b/>
        </w:rPr>
      </w:pPr>
      <w:r w:rsidRPr="00C50B10">
        <w:rPr>
          <w:rFonts w:ascii="Tahoma" w:hAnsi="Tahoma" w:cs="Tahoma"/>
          <w:b/>
        </w:rPr>
        <w:t>CLAUDIA MARÍA ARCILA RÍOS</w:t>
      </w:r>
    </w:p>
    <w:sectPr w:rsidR="007D1387" w:rsidRPr="00C50B10" w:rsidSect="00C50B10">
      <w:footerReference w:type="default" r:id="rId8"/>
      <w:pgSz w:w="12242" w:h="18722" w:code="14"/>
      <w:pgMar w:top="1871" w:right="1304" w:bottom="1304"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47" w:rsidRDefault="00A11D47" w:rsidP="005E41EA">
      <w:r>
        <w:separator/>
      </w:r>
    </w:p>
  </w:endnote>
  <w:endnote w:type="continuationSeparator" w:id="0">
    <w:p w:rsidR="00A11D47" w:rsidRDefault="00A11D47" w:rsidP="005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85" w:rsidRPr="00C50B10" w:rsidRDefault="008D0550">
    <w:pPr>
      <w:pStyle w:val="Piedepgina"/>
      <w:framePr w:wrap="auto" w:vAnchor="text" w:hAnchor="margin" w:xAlign="right" w:y="1"/>
      <w:rPr>
        <w:rStyle w:val="Nmerodepgina"/>
        <w:rFonts w:ascii="Arial" w:hAnsi="Arial" w:cs="Arial"/>
      </w:rPr>
    </w:pPr>
    <w:r w:rsidRPr="00C50B10">
      <w:rPr>
        <w:rStyle w:val="Nmerodepgina"/>
        <w:rFonts w:ascii="Arial" w:hAnsi="Arial" w:cs="Arial"/>
        <w:sz w:val="18"/>
      </w:rPr>
      <w:fldChar w:fldCharType="begin"/>
    </w:r>
    <w:r w:rsidRPr="00C50B10">
      <w:rPr>
        <w:rStyle w:val="Nmerodepgina"/>
        <w:rFonts w:ascii="Arial" w:hAnsi="Arial" w:cs="Arial"/>
        <w:sz w:val="18"/>
      </w:rPr>
      <w:instrText xml:space="preserve">PAGE  </w:instrText>
    </w:r>
    <w:r w:rsidRPr="00C50B10">
      <w:rPr>
        <w:rStyle w:val="Nmerodepgina"/>
        <w:rFonts w:ascii="Arial" w:hAnsi="Arial" w:cs="Arial"/>
        <w:sz w:val="18"/>
      </w:rPr>
      <w:fldChar w:fldCharType="separate"/>
    </w:r>
    <w:r w:rsidR="00B55F6D">
      <w:rPr>
        <w:rStyle w:val="Nmerodepgina"/>
        <w:rFonts w:ascii="Arial" w:hAnsi="Arial" w:cs="Arial"/>
        <w:noProof/>
        <w:sz w:val="18"/>
      </w:rPr>
      <w:t>4</w:t>
    </w:r>
    <w:r w:rsidRPr="00C50B10">
      <w:rPr>
        <w:rStyle w:val="Nmerodepgina"/>
        <w:rFonts w:ascii="Arial" w:hAnsi="Arial" w:cs="Arial"/>
        <w:sz w:val="18"/>
      </w:rPr>
      <w:fldChar w:fldCharType="end"/>
    </w:r>
  </w:p>
  <w:p w:rsidR="00D97685" w:rsidRDefault="00D9768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47" w:rsidRDefault="00A11D47" w:rsidP="005E41EA">
      <w:r>
        <w:separator/>
      </w:r>
    </w:p>
  </w:footnote>
  <w:footnote w:type="continuationSeparator" w:id="0">
    <w:p w:rsidR="00A11D47" w:rsidRDefault="00A11D47" w:rsidP="005E41EA">
      <w:r>
        <w:continuationSeparator/>
      </w:r>
    </w:p>
  </w:footnote>
  <w:footnote w:id="1">
    <w:p w:rsidR="005E2E3D" w:rsidRPr="00C50B10" w:rsidRDefault="005E2E3D">
      <w:pPr>
        <w:pStyle w:val="Textonotapie"/>
        <w:rPr>
          <w:rFonts w:ascii="Arial" w:hAnsi="Arial" w:cs="Arial"/>
          <w:sz w:val="18"/>
          <w:szCs w:val="16"/>
          <w:lang w:val="es-CO"/>
        </w:rPr>
      </w:pPr>
      <w:r w:rsidRPr="00C50B10">
        <w:rPr>
          <w:rStyle w:val="Refdenotaalpie"/>
          <w:rFonts w:ascii="Arial" w:hAnsi="Arial" w:cs="Arial"/>
          <w:sz w:val="18"/>
          <w:szCs w:val="16"/>
        </w:rPr>
        <w:footnoteRef/>
      </w:r>
      <w:r w:rsidRPr="00C50B10">
        <w:rPr>
          <w:rFonts w:ascii="Arial" w:hAnsi="Arial" w:cs="Arial"/>
          <w:sz w:val="18"/>
          <w:szCs w:val="16"/>
        </w:rPr>
        <w:t xml:space="preserve"> </w:t>
      </w:r>
      <w:r w:rsidRPr="00C50B10">
        <w:rPr>
          <w:rFonts w:ascii="Arial" w:hAnsi="Arial" w:cs="Arial"/>
          <w:sz w:val="18"/>
          <w:szCs w:val="16"/>
          <w:lang w:val="es-CO"/>
        </w:rPr>
        <w:t>Folios 41 a 42, copias cuaderno principal.</w:t>
      </w:r>
    </w:p>
  </w:footnote>
  <w:footnote w:id="2">
    <w:p w:rsidR="00821AEC" w:rsidRPr="00C50B10" w:rsidRDefault="00821AEC">
      <w:pPr>
        <w:pStyle w:val="Textonotapie"/>
        <w:rPr>
          <w:rFonts w:ascii="Arial" w:hAnsi="Arial" w:cs="Arial"/>
          <w:sz w:val="18"/>
          <w:szCs w:val="16"/>
          <w:lang w:val="es-CO"/>
        </w:rPr>
      </w:pPr>
      <w:r w:rsidRPr="00C50B10">
        <w:rPr>
          <w:rStyle w:val="Refdenotaalpie"/>
          <w:rFonts w:ascii="Arial" w:hAnsi="Arial" w:cs="Arial"/>
          <w:sz w:val="18"/>
          <w:szCs w:val="16"/>
        </w:rPr>
        <w:footnoteRef/>
      </w:r>
      <w:r w:rsidRPr="00C50B10">
        <w:rPr>
          <w:rFonts w:ascii="Arial" w:hAnsi="Arial" w:cs="Arial"/>
          <w:sz w:val="18"/>
          <w:szCs w:val="16"/>
        </w:rPr>
        <w:t xml:space="preserve"> </w:t>
      </w:r>
      <w:r w:rsidRPr="00C50B10">
        <w:rPr>
          <w:rFonts w:ascii="Arial" w:hAnsi="Arial" w:cs="Arial"/>
          <w:sz w:val="18"/>
          <w:szCs w:val="16"/>
          <w:lang w:val="es-CO"/>
        </w:rPr>
        <w:t>Folios 16 a 18, copias cuaderno principal.</w:t>
      </w:r>
    </w:p>
  </w:footnote>
  <w:footnote w:id="3">
    <w:p w:rsidR="00821AEC" w:rsidRPr="00C50B10" w:rsidRDefault="00821AEC">
      <w:pPr>
        <w:pStyle w:val="Textonotapie"/>
        <w:rPr>
          <w:rFonts w:ascii="Arial" w:hAnsi="Arial" w:cs="Arial"/>
          <w:sz w:val="18"/>
          <w:szCs w:val="16"/>
          <w:lang w:val="es-CO"/>
        </w:rPr>
      </w:pPr>
      <w:r w:rsidRPr="00C50B10">
        <w:rPr>
          <w:rStyle w:val="Refdenotaalpie"/>
          <w:rFonts w:ascii="Arial" w:hAnsi="Arial" w:cs="Arial"/>
          <w:sz w:val="18"/>
          <w:szCs w:val="16"/>
        </w:rPr>
        <w:footnoteRef/>
      </w:r>
      <w:r w:rsidRPr="00C50B10">
        <w:rPr>
          <w:rFonts w:ascii="Arial" w:hAnsi="Arial" w:cs="Arial"/>
          <w:sz w:val="18"/>
          <w:szCs w:val="16"/>
        </w:rPr>
        <w:t xml:space="preserve"> </w:t>
      </w:r>
      <w:r w:rsidRPr="00C50B10">
        <w:rPr>
          <w:rFonts w:ascii="Arial" w:hAnsi="Arial" w:cs="Arial"/>
          <w:sz w:val="18"/>
          <w:szCs w:val="16"/>
          <w:lang w:val="es-CO"/>
        </w:rPr>
        <w:t>Folio 105, copias cuaderno principal.</w:t>
      </w:r>
    </w:p>
  </w:footnote>
  <w:footnote w:id="4">
    <w:p w:rsidR="00BE665F" w:rsidRPr="00C50B10" w:rsidRDefault="00BE665F">
      <w:pPr>
        <w:pStyle w:val="Textonotapie"/>
        <w:rPr>
          <w:rFonts w:ascii="Arial" w:hAnsi="Arial" w:cs="Arial"/>
          <w:sz w:val="18"/>
          <w:szCs w:val="16"/>
          <w:lang w:val="es-CO"/>
        </w:rPr>
      </w:pPr>
      <w:r w:rsidRPr="00C50B10">
        <w:rPr>
          <w:rStyle w:val="Refdenotaalpie"/>
          <w:rFonts w:ascii="Arial" w:hAnsi="Arial" w:cs="Arial"/>
          <w:sz w:val="18"/>
          <w:szCs w:val="16"/>
        </w:rPr>
        <w:footnoteRef/>
      </w:r>
      <w:r w:rsidRPr="00C50B10">
        <w:rPr>
          <w:rFonts w:ascii="Arial" w:hAnsi="Arial" w:cs="Arial"/>
          <w:sz w:val="18"/>
          <w:szCs w:val="16"/>
        </w:rPr>
        <w:t xml:space="preserve"> </w:t>
      </w:r>
      <w:r w:rsidRPr="00C50B10">
        <w:rPr>
          <w:rFonts w:ascii="Arial" w:hAnsi="Arial" w:cs="Arial"/>
          <w:sz w:val="18"/>
          <w:szCs w:val="16"/>
          <w:lang w:val="es-CO"/>
        </w:rPr>
        <w:t>Folio108, copias cuaderno principal.</w:t>
      </w:r>
    </w:p>
  </w:footnote>
  <w:footnote w:id="5">
    <w:p w:rsidR="00F50B07" w:rsidRPr="00F50B07" w:rsidRDefault="00F50B07">
      <w:pPr>
        <w:pStyle w:val="Textonotapie"/>
        <w:rPr>
          <w:lang w:val="es-CO"/>
        </w:rPr>
      </w:pPr>
      <w:r w:rsidRPr="00C50B10">
        <w:rPr>
          <w:rStyle w:val="Refdenotaalpie"/>
          <w:rFonts w:ascii="Arial" w:hAnsi="Arial" w:cs="Arial"/>
          <w:sz w:val="18"/>
          <w:szCs w:val="16"/>
        </w:rPr>
        <w:footnoteRef/>
      </w:r>
      <w:r w:rsidRPr="00C50B10">
        <w:rPr>
          <w:rFonts w:ascii="Arial" w:hAnsi="Arial" w:cs="Arial"/>
          <w:sz w:val="18"/>
          <w:szCs w:val="16"/>
        </w:rPr>
        <w:t xml:space="preserve"> </w:t>
      </w:r>
      <w:r w:rsidRPr="00C50B10">
        <w:rPr>
          <w:rFonts w:ascii="Arial" w:hAnsi="Arial" w:cs="Arial"/>
          <w:sz w:val="18"/>
          <w:szCs w:val="16"/>
          <w:lang w:val="es-CO"/>
        </w:rPr>
        <w:t>Sentencia C-337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699F"/>
    <w:multiLevelType w:val="hybridMultilevel"/>
    <w:tmpl w:val="6590B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9D0251"/>
    <w:multiLevelType w:val="hybridMultilevel"/>
    <w:tmpl w:val="0C044B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A959B4"/>
    <w:multiLevelType w:val="hybridMultilevel"/>
    <w:tmpl w:val="84FE8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4">
    <w:nsid w:val="4AB71F85"/>
    <w:multiLevelType w:val="hybridMultilevel"/>
    <w:tmpl w:val="CD5E41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CC1598"/>
    <w:multiLevelType w:val="hybridMultilevel"/>
    <w:tmpl w:val="095EC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EA"/>
    <w:rsid w:val="000230D0"/>
    <w:rsid w:val="00044338"/>
    <w:rsid w:val="000548FB"/>
    <w:rsid w:val="00080D4B"/>
    <w:rsid w:val="000A0A08"/>
    <w:rsid w:val="000C2E98"/>
    <w:rsid w:val="000D783B"/>
    <w:rsid w:val="000F0E8B"/>
    <w:rsid w:val="0010648E"/>
    <w:rsid w:val="00136D67"/>
    <w:rsid w:val="00137D68"/>
    <w:rsid w:val="00137E21"/>
    <w:rsid w:val="0014442F"/>
    <w:rsid w:val="00144AB0"/>
    <w:rsid w:val="0014701D"/>
    <w:rsid w:val="00164D78"/>
    <w:rsid w:val="001720E9"/>
    <w:rsid w:val="00173379"/>
    <w:rsid w:val="00183CDA"/>
    <w:rsid w:val="00184EFF"/>
    <w:rsid w:val="00187234"/>
    <w:rsid w:val="0019206B"/>
    <w:rsid w:val="001A12E1"/>
    <w:rsid w:val="001A55B5"/>
    <w:rsid w:val="001B00F0"/>
    <w:rsid w:val="001B57F0"/>
    <w:rsid w:val="001E6D01"/>
    <w:rsid w:val="001F2BA6"/>
    <w:rsid w:val="00200D98"/>
    <w:rsid w:val="0023251A"/>
    <w:rsid w:val="00247CCB"/>
    <w:rsid w:val="00260ACF"/>
    <w:rsid w:val="00273279"/>
    <w:rsid w:val="002751D0"/>
    <w:rsid w:val="002777D9"/>
    <w:rsid w:val="002B073A"/>
    <w:rsid w:val="002B5553"/>
    <w:rsid w:val="002C7E40"/>
    <w:rsid w:val="002E2CDD"/>
    <w:rsid w:val="00300C59"/>
    <w:rsid w:val="00325B25"/>
    <w:rsid w:val="00331C64"/>
    <w:rsid w:val="00333510"/>
    <w:rsid w:val="00354339"/>
    <w:rsid w:val="00363F25"/>
    <w:rsid w:val="00373CDC"/>
    <w:rsid w:val="00380B62"/>
    <w:rsid w:val="00383AA8"/>
    <w:rsid w:val="00386BCF"/>
    <w:rsid w:val="003914E9"/>
    <w:rsid w:val="00394094"/>
    <w:rsid w:val="0039592D"/>
    <w:rsid w:val="003A7CD7"/>
    <w:rsid w:val="003B3AA7"/>
    <w:rsid w:val="003C23B0"/>
    <w:rsid w:val="003D25BE"/>
    <w:rsid w:val="003F11DC"/>
    <w:rsid w:val="00413758"/>
    <w:rsid w:val="00447600"/>
    <w:rsid w:val="00447987"/>
    <w:rsid w:val="004518B5"/>
    <w:rsid w:val="0045722D"/>
    <w:rsid w:val="00461F45"/>
    <w:rsid w:val="00466CD1"/>
    <w:rsid w:val="00474E85"/>
    <w:rsid w:val="0048078C"/>
    <w:rsid w:val="00482F42"/>
    <w:rsid w:val="00484EAF"/>
    <w:rsid w:val="004C7BF6"/>
    <w:rsid w:val="004E533E"/>
    <w:rsid w:val="004F544B"/>
    <w:rsid w:val="004F6C9B"/>
    <w:rsid w:val="00511631"/>
    <w:rsid w:val="00513AB3"/>
    <w:rsid w:val="00520BF1"/>
    <w:rsid w:val="00520C44"/>
    <w:rsid w:val="00523EFD"/>
    <w:rsid w:val="00531006"/>
    <w:rsid w:val="005357CD"/>
    <w:rsid w:val="00535A82"/>
    <w:rsid w:val="00536740"/>
    <w:rsid w:val="0055028E"/>
    <w:rsid w:val="00560F18"/>
    <w:rsid w:val="005661C1"/>
    <w:rsid w:val="00574B2D"/>
    <w:rsid w:val="00593F22"/>
    <w:rsid w:val="005B251E"/>
    <w:rsid w:val="005C04BB"/>
    <w:rsid w:val="005C5ADA"/>
    <w:rsid w:val="005D0783"/>
    <w:rsid w:val="005E2E3D"/>
    <w:rsid w:val="005E41EA"/>
    <w:rsid w:val="005F15A7"/>
    <w:rsid w:val="005F29DB"/>
    <w:rsid w:val="00621C5B"/>
    <w:rsid w:val="006464DF"/>
    <w:rsid w:val="00672BF1"/>
    <w:rsid w:val="006C26ED"/>
    <w:rsid w:val="006D70C1"/>
    <w:rsid w:val="006F59A2"/>
    <w:rsid w:val="00704927"/>
    <w:rsid w:val="00706B2B"/>
    <w:rsid w:val="007163ED"/>
    <w:rsid w:val="00767638"/>
    <w:rsid w:val="00781553"/>
    <w:rsid w:val="00787671"/>
    <w:rsid w:val="007C7C02"/>
    <w:rsid w:val="007D1387"/>
    <w:rsid w:val="007F1010"/>
    <w:rsid w:val="00803006"/>
    <w:rsid w:val="008136B4"/>
    <w:rsid w:val="00821AEC"/>
    <w:rsid w:val="008511A2"/>
    <w:rsid w:val="00870DE5"/>
    <w:rsid w:val="00871545"/>
    <w:rsid w:val="008753FF"/>
    <w:rsid w:val="008756C2"/>
    <w:rsid w:val="00883E23"/>
    <w:rsid w:val="00884580"/>
    <w:rsid w:val="00891F96"/>
    <w:rsid w:val="008962AE"/>
    <w:rsid w:val="008A1ED9"/>
    <w:rsid w:val="008B47E9"/>
    <w:rsid w:val="008B641F"/>
    <w:rsid w:val="008C16BB"/>
    <w:rsid w:val="008D0550"/>
    <w:rsid w:val="00910C42"/>
    <w:rsid w:val="009169E3"/>
    <w:rsid w:val="00930442"/>
    <w:rsid w:val="0094196E"/>
    <w:rsid w:val="00971340"/>
    <w:rsid w:val="009A21EF"/>
    <w:rsid w:val="009F17B0"/>
    <w:rsid w:val="00A10719"/>
    <w:rsid w:val="00A11D47"/>
    <w:rsid w:val="00A14652"/>
    <w:rsid w:val="00A33978"/>
    <w:rsid w:val="00A34088"/>
    <w:rsid w:val="00A53605"/>
    <w:rsid w:val="00A61798"/>
    <w:rsid w:val="00A72827"/>
    <w:rsid w:val="00A77301"/>
    <w:rsid w:val="00A85E49"/>
    <w:rsid w:val="00A90A3F"/>
    <w:rsid w:val="00AA0B6E"/>
    <w:rsid w:val="00AB3845"/>
    <w:rsid w:val="00AD0A6C"/>
    <w:rsid w:val="00AF7C18"/>
    <w:rsid w:val="00B01F24"/>
    <w:rsid w:val="00B03AEC"/>
    <w:rsid w:val="00B07B77"/>
    <w:rsid w:val="00B135B6"/>
    <w:rsid w:val="00B24418"/>
    <w:rsid w:val="00B31304"/>
    <w:rsid w:val="00B33FF4"/>
    <w:rsid w:val="00B4776B"/>
    <w:rsid w:val="00B55F6D"/>
    <w:rsid w:val="00B60DCA"/>
    <w:rsid w:val="00B635CC"/>
    <w:rsid w:val="00B939F9"/>
    <w:rsid w:val="00B97D5B"/>
    <w:rsid w:val="00BB2994"/>
    <w:rsid w:val="00BB542D"/>
    <w:rsid w:val="00BC3BEE"/>
    <w:rsid w:val="00BD3A8B"/>
    <w:rsid w:val="00BE665F"/>
    <w:rsid w:val="00C13BA0"/>
    <w:rsid w:val="00C1481F"/>
    <w:rsid w:val="00C17DE6"/>
    <w:rsid w:val="00C22D43"/>
    <w:rsid w:val="00C33C96"/>
    <w:rsid w:val="00C37A32"/>
    <w:rsid w:val="00C50B10"/>
    <w:rsid w:val="00C51A2D"/>
    <w:rsid w:val="00C60EF6"/>
    <w:rsid w:val="00C7019F"/>
    <w:rsid w:val="00CC3994"/>
    <w:rsid w:val="00CD000C"/>
    <w:rsid w:val="00CD46C2"/>
    <w:rsid w:val="00CF2660"/>
    <w:rsid w:val="00D115D4"/>
    <w:rsid w:val="00D12869"/>
    <w:rsid w:val="00D36234"/>
    <w:rsid w:val="00D40F8A"/>
    <w:rsid w:val="00D415FB"/>
    <w:rsid w:val="00D55B9F"/>
    <w:rsid w:val="00D868FC"/>
    <w:rsid w:val="00D97685"/>
    <w:rsid w:val="00DB28FE"/>
    <w:rsid w:val="00DD6B60"/>
    <w:rsid w:val="00DE4673"/>
    <w:rsid w:val="00DF1638"/>
    <w:rsid w:val="00DF4C22"/>
    <w:rsid w:val="00E072A0"/>
    <w:rsid w:val="00E213DC"/>
    <w:rsid w:val="00E37857"/>
    <w:rsid w:val="00E400F4"/>
    <w:rsid w:val="00E713C5"/>
    <w:rsid w:val="00E74348"/>
    <w:rsid w:val="00E95777"/>
    <w:rsid w:val="00EA297E"/>
    <w:rsid w:val="00EB67BC"/>
    <w:rsid w:val="00EC02D3"/>
    <w:rsid w:val="00ED425C"/>
    <w:rsid w:val="00EF11DD"/>
    <w:rsid w:val="00EF460F"/>
    <w:rsid w:val="00EF49CE"/>
    <w:rsid w:val="00F07AA7"/>
    <w:rsid w:val="00F11BDE"/>
    <w:rsid w:val="00F373B6"/>
    <w:rsid w:val="00F37956"/>
    <w:rsid w:val="00F450F4"/>
    <w:rsid w:val="00F50B07"/>
    <w:rsid w:val="00F55325"/>
    <w:rsid w:val="00F6634F"/>
    <w:rsid w:val="00F82D2C"/>
    <w:rsid w:val="00F90397"/>
    <w:rsid w:val="00F90460"/>
    <w:rsid w:val="00FB1D36"/>
    <w:rsid w:val="00FC26A5"/>
    <w:rsid w:val="00FC3099"/>
    <w:rsid w:val="00FC3205"/>
    <w:rsid w:val="00FD704E"/>
    <w:rsid w:val="00FF2939"/>
    <w:rsid w:val="00FF54A3"/>
    <w:rsid w:val="00FF77BD"/>
    <w:rsid w:val="00FF7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F238D-AC3D-4AC7-810D-2D23AC0F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E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E41EA"/>
    <w:pPr>
      <w:keepNext/>
      <w:overflowPunct w:val="0"/>
      <w:autoSpaceDE w:val="0"/>
      <w:autoSpaceDN w:val="0"/>
      <w:adjustRightInd w:val="0"/>
      <w:jc w:val="center"/>
      <w:textAlignment w:val="baseline"/>
      <w:outlineLvl w:val="1"/>
    </w:pPr>
    <w:rPr>
      <w:rFonts w:ascii="Verdana" w:hAnsi="Verdana"/>
      <w:b/>
      <w:spacing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E41EA"/>
    <w:rPr>
      <w:rFonts w:ascii="Verdana" w:eastAsia="Times New Roman" w:hAnsi="Verdana" w:cs="Times New Roman"/>
      <w:b/>
      <w:spacing w:val="20"/>
      <w:sz w:val="24"/>
      <w:szCs w:val="20"/>
      <w:lang w:val="es-ES_tradnl" w:eastAsia="es-ES"/>
    </w:rPr>
  </w:style>
  <w:style w:type="paragraph" w:styleId="Piedepgina">
    <w:name w:val="footer"/>
    <w:basedOn w:val="Normal"/>
    <w:link w:val="PiedepginaCar"/>
    <w:rsid w:val="005E41EA"/>
    <w:pPr>
      <w:tabs>
        <w:tab w:val="center" w:pos="4419"/>
        <w:tab w:val="right" w:pos="8838"/>
      </w:tabs>
      <w:overflowPunct w:val="0"/>
      <w:autoSpaceDE w:val="0"/>
      <w:autoSpaceDN w:val="0"/>
      <w:adjustRightInd w:val="0"/>
      <w:textAlignment w:val="baseline"/>
    </w:pPr>
    <w:rPr>
      <w:sz w:val="20"/>
      <w:szCs w:val="20"/>
      <w:lang w:val="es-ES_tradnl"/>
    </w:rPr>
  </w:style>
  <w:style w:type="character" w:customStyle="1" w:styleId="PiedepginaCar">
    <w:name w:val="Pie de página Car"/>
    <w:basedOn w:val="Fuentedeprrafopredeter"/>
    <w:link w:val="Piedepgina"/>
    <w:rsid w:val="005E41E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E41EA"/>
  </w:style>
  <w:style w:type="paragraph" w:styleId="Textoindependiente">
    <w:name w:val="Body Text"/>
    <w:basedOn w:val="Normal"/>
    <w:link w:val="TextoindependienteCar"/>
    <w:rsid w:val="005E41EA"/>
    <w:pPr>
      <w:overflowPunct w:val="0"/>
      <w:autoSpaceDE w:val="0"/>
      <w:autoSpaceDN w:val="0"/>
      <w:adjustRightInd w:val="0"/>
      <w:jc w:val="both"/>
      <w:textAlignment w:val="baseline"/>
    </w:pPr>
    <w:rPr>
      <w:rFonts w:ascii="Verdana" w:hAnsi="Verdana"/>
      <w:spacing w:val="20"/>
      <w:szCs w:val="20"/>
      <w:lang w:val="es-ES_tradnl"/>
    </w:rPr>
  </w:style>
  <w:style w:type="character" w:customStyle="1" w:styleId="TextoindependienteCar">
    <w:name w:val="Texto independiente Car"/>
    <w:basedOn w:val="Fuentedeprrafopredeter"/>
    <w:link w:val="Textoindependiente"/>
    <w:rsid w:val="005E41EA"/>
    <w:rPr>
      <w:rFonts w:ascii="Verdana" w:eastAsia="Times New Roman" w:hAnsi="Verdana" w:cs="Times New Roman"/>
      <w:spacing w:val="20"/>
      <w:sz w:val="24"/>
      <w:szCs w:val="20"/>
      <w:lang w:val="es-ES_tradnl" w:eastAsia="es-ES"/>
    </w:rPr>
  </w:style>
  <w:style w:type="character" w:styleId="Refdenotaalpie">
    <w:name w:val="footnote reference"/>
    <w:uiPriority w:val="99"/>
    <w:semiHidden/>
    <w:rsid w:val="005E41EA"/>
    <w:rPr>
      <w:vertAlign w:val="superscript"/>
    </w:rPr>
  </w:style>
  <w:style w:type="paragraph" w:styleId="Textonotapie">
    <w:name w:val="footnote text"/>
    <w:basedOn w:val="Normal"/>
    <w:link w:val="TextonotapieCar"/>
    <w:uiPriority w:val="99"/>
    <w:semiHidden/>
    <w:rsid w:val="005E41EA"/>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semiHidden/>
    <w:rsid w:val="005E41EA"/>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5E41EA"/>
    <w:pPr>
      <w:jc w:val="center"/>
    </w:pPr>
    <w:rPr>
      <w:rFonts w:ascii="Verdana" w:hAnsi="Verdana"/>
      <w:b/>
      <w:spacing w:val="20"/>
    </w:rPr>
  </w:style>
  <w:style w:type="character" w:customStyle="1" w:styleId="PuestoCar">
    <w:name w:val="Puesto Car"/>
    <w:basedOn w:val="Fuentedeprrafopredeter"/>
    <w:link w:val="Puesto"/>
    <w:rsid w:val="005E41EA"/>
    <w:rPr>
      <w:rFonts w:ascii="Verdana" w:eastAsia="Times New Roman" w:hAnsi="Verdana" w:cs="Times New Roman"/>
      <w:b/>
      <w:spacing w:val="20"/>
      <w:sz w:val="24"/>
      <w:szCs w:val="24"/>
      <w:lang w:eastAsia="es-ES"/>
    </w:rPr>
  </w:style>
  <w:style w:type="paragraph" w:styleId="Prrafodelista">
    <w:name w:val="List Paragraph"/>
    <w:basedOn w:val="Normal"/>
    <w:uiPriority w:val="34"/>
    <w:qFormat/>
    <w:rsid w:val="00D12869"/>
    <w:pPr>
      <w:ind w:left="720"/>
      <w:contextualSpacing/>
    </w:pPr>
  </w:style>
  <w:style w:type="paragraph" w:styleId="Textodeglobo">
    <w:name w:val="Balloon Text"/>
    <w:basedOn w:val="Normal"/>
    <w:link w:val="TextodegloboCar"/>
    <w:uiPriority w:val="99"/>
    <w:semiHidden/>
    <w:unhideWhenUsed/>
    <w:rsid w:val="00DF16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638"/>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7D1387"/>
    <w:rPr>
      <w:rFonts w:ascii="Calibri" w:hAnsi="Calibri"/>
    </w:rPr>
  </w:style>
  <w:style w:type="paragraph" w:styleId="Sinespaciado">
    <w:name w:val="No Spacing"/>
    <w:link w:val="SinespaciadoCar"/>
    <w:uiPriority w:val="1"/>
    <w:qFormat/>
    <w:rsid w:val="007D1387"/>
    <w:pPr>
      <w:spacing w:after="0" w:line="240" w:lineRule="auto"/>
    </w:pPr>
    <w:rPr>
      <w:rFonts w:ascii="Calibri" w:hAnsi="Calibri"/>
    </w:rPr>
  </w:style>
  <w:style w:type="paragraph" w:styleId="Encabezado">
    <w:name w:val="header"/>
    <w:basedOn w:val="Normal"/>
    <w:link w:val="EncabezadoCar"/>
    <w:uiPriority w:val="99"/>
    <w:unhideWhenUsed/>
    <w:rsid w:val="00FB1D36"/>
    <w:pPr>
      <w:tabs>
        <w:tab w:val="center" w:pos="4252"/>
        <w:tab w:val="right" w:pos="8504"/>
      </w:tabs>
    </w:pPr>
  </w:style>
  <w:style w:type="character" w:customStyle="1" w:styleId="EncabezadoCar">
    <w:name w:val="Encabezado Car"/>
    <w:basedOn w:val="Fuentedeprrafopredeter"/>
    <w:link w:val="Encabezado"/>
    <w:uiPriority w:val="99"/>
    <w:rsid w:val="00FB1D36"/>
    <w:rPr>
      <w:rFonts w:ascii="Times New Roman" w:eastAsia="Times New Roman" w:hAnsi="Times New Roman" w:cs="Times New Roman"/>
      <w:sz w:val="24"/>
      <w:szCs w:val="24"/>
      <w:lang w:eastAsia="es-ES"/>
    </w:rPr>
  </w:style>
  <w:style w:type="character" w:styleId="Textoennegrita">
    <w:name w:val="Strong"/>
    <w:qFormat/>
    <w:rsid w:val="005E2E3D"/>
    <w:rPr>
      <w:b/>
      <w:bCs/>
    </w:rPr>
  </w:style>
  <w:style w:type="paragraph" w:styleId="Subttulo">
    <w:name w:val="Subtitle"/>
    <w:basedOn w:val="Normal"/>
    <w:next w:val="Normal"/>
    <w:link w:val="SubttuloCar"/>
    <w:qFormat/>
    <w:rsid w:val="005E2E3D"/>
    <w:pPr>
      <w:overflowPunct w:val="0"/>
      <w:autoSpaceDE w:val="0"/>
      <w:autoSpaceDN w:val="0"/>
      <w:adjustRightInd w:val="0"/>
      <w:spacing w:after="60"/>
      <w:jc w:val="center"/>
      <w:textAlignment w:val="baseline"/>
      <w:outlineLvl w:val="1"/>
    </w:pPr>
    <w:rPr>
      <w:rFonts w:ascii="Cambria" w:hAnsi="Cambria"/>
      <w:lang w:val="es-ES_tradnl"/>
    </w:rPr>
  </w:style>
  <w:style w:type="character" w:customStyle="1" w:styleId="SubttuloCar">
    <w:name w:val="Subtítulo Car"/>
    <w:basedOn w:val="Fuentedeprrafopredeter"/>
    <w:link w:val="Subttulo"/>
    <w:rsid w:val="005E2E3D"/>
    <w:rPr>
      <w:rFonts w:ascii="Cambria" w:eastAsia="Times New Roman" w:hAnsi="Cambria" w:cs="Times New Roman"/>
      <w:sz w:val="24"/>
      <w:szCs w:val="24"/>
      <w:lang w:val="es-ES_tradnl" w:eastAsia="es-ES"/>
    </w:rPr>
  </w:style>
  <w:style w:type="paragraph" w:customStyle="1" w:styleId="style21">
    <w:name w:val="style21"/>
    <w:basedOn w:val="Normal"/>
    <w:rsid w:val="00F50B07"/>
    <w:pPr>
      <w:spacing w:before="100" w:beforeAutospacing="1" w:after="100" w:afterAutospacing="1"/>
    </w:pPr>
  </w:style>
  <w:style w:type="character" w:customStyle="1" w:styleId="fontstyle27">
    <w:name w:val="fontstyle27"/>
    <w:basedOn w:val="Fuentedeprrafopredeter"/>
    <w:rsid w:val="00F50B07"/>
  </w:style>
  <w:style w:type="paragraph" w:customStyle="1" w:styleId="style7">
    <w:name w:val="style7"/>
    <w:basedOn w:val="Normal"/>
    <w:rsid w:val="00F50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9076-F6D5-4DAD-B443-560076BE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Copias</dc:creator>
  <cp:keywords/>
  <dc:description/>
  <cp:lastModifiedBy>Henry Lora Rodriguez</cp:lastModifiedBy>
  <cp:revision>6</cp:revision>
  <cp:lastPrinted>2019-04-12T19:22:00Z</cp:lastPrinted>
  <dcterms:created xsi:type="dcterms:W3CDTF">2019-04-12T19:10:00Z</dcterms:created>
  <dcterms:modified xsi:type="dcterms:W3CDTF">2019-05-21T15:48:00Z</dcterms:modified>
</cp:coreProperties>
</file>