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A7" w:rsidRPr="00A66DA7" w:rsidRDefault="00A66DA7" w:rsidP="00A66D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66DA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66DA7" w:rsidRPr="00A66DA7" w:rsidRDefault="00A66DA7" w:rsidP="00A66DA7">
      <w:pPr>
        <w:jc w:val="both"/>
        <w:rPr>
          <w:rFonts w:ascii="Arial" w:hAnsi="Arial" w:cs="Arial"/>
          <w:sz w:val="20"/>
          <w:lang w:val="es-419"/>
        </w:rPr>
      </w:pPr>
    </w:p>
    <w:p w:rsidR="00A66DA7" w:rsidRPr="00A66DA7" w:rsidRDefault="00A66DA7" w:rsidP="00A66DA7">
      <w:pPr>
        <w:jc w:val="both"/>
        <w:rPr>
          <w:rFonts w:ascii="Arial" w:hAnsi="Arial" w:cs="Arial"/>
          <w:sz w:val="20"/>
          <w:lang w:val="es-419"/>
        </w:rPr>
      </w:pPr>
      <w:r w:rsidRPr="00A66DA7">
        <w:rPr>
          <w:rFonts w:ascii="Arial" w:hAnsi="Arial" w:cs="Arial"/>
          <w:sz w:val="20"/>
          <w:lang w:val="es-419"/>
        </w:rPr>
        <w:t>Providencia:</w:t>
      </w:r>
      <w:r w:rsidRPr="00A66DA7">
        <w:rPr>
          <w:rFonts w:ascii="Arial" w:hAnsi="Arial" w:cs="Arial"/>
          <w:sz w:val="20"/>
          <w:lang w:val="es-419"/>
        </w:rPr>
        <w:tab/>
      </w:r>
      <w:r w:rsidRPr="00A66DA7">
        <w:rPr>
          <w:rFonts w:ascii="Arial" w:hAnsi="Arial" w:cs="Arial"/>
          <w:sz w:val="20"/>
          <w:lang w:val="es-419"/>
        </w:rPr>
        <w:tab/>
        <w:t>Sentencia de Segunda Instancia, jueves 20 de junio de 2019.</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Radicación No:</w:t>
      </w:r>
      <w:r>
        <w:rPr>
          <w:rFonts w:ascii="Arial" w:hAnsi="Arial" w:cs="Arial"/>
          <w:sz w:val="20"/>
          <w:lang w:val="es-419"/>
        </w:rPr>
        <w:tab/>
      </w:r>
      <w:r w:rsidRPr="00A66DA7">
        <w:rPr>
          <w:rFonts w:ascii="Arial" w:hAnsi="Arial" w:cs="Arial"/>
          <w:sz w:val="20"/>
          <w:lang w:val="es-419"/>
        </w:rPr>
        <w:tab/>
        <w:t>66001-31-05-001-2017-00126-01</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 xml:space="preserve">Proceso: </w:t>
      </w:r>
      <w:r w:rsidRPr="00A66DA7">
        <w:rPr>
          <w:rFonts w:ascii="Arial" w:hAnsi="Arial" w:cs="Arial"/>
          <w:sz w:val="20"/>
          <w:lang w:val="es-419"/>
        </w:rPr>
        <w:tab/>
      </w:r>
      <w:r w:rsidRPr="00A66DA7">
        <w:rPr>
          <w:rFonts w:ascii="Arial" w:hAnsi="Arial" w:cs="Arial"/>
          <w:sz w:val="20"/>
          <w:lang w:val="es-419"/>
        </w:rPr>
        <w:tab/>
        <w:t>Ordinario Laboral.</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Demandante:</w:t>
      </w:r>
      <w:r>
        <w:rPr>
          <w:rFonts w:ascii="Arial" w:hAnsi="Arial" w:cs="Arial"/>
          <w:sz w:val="20"/>
          <w:lang w:val="es-419"/>
        </w:rPr>
        <w:tab/>
      </w:r>
      <w:r>
        <w:rPr>
          <w:rFonts w:ascii="Arial" w:hAnsi="Arial" w:cs="Arial"/>
          <w:sz w:val="20"/>
          <w:lang w:val="es-419"/>
        </w:rPr>
        <w:tab/>
        <w:t>Rubén Darío Sierra Montoya</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Demandado:</w:t>
      </w:r>
      <w:r w:rsidRPr="00A66DA7">
        <w:rPr>
          <w:rFonts w:ascii="Arial" w:hAnsi="Arial" w:cs="Arial"/>
          <w:sz w:val="20"/>
          <w:lang w:val="es-419"/>
        </w:rPr>
        <w:tab/>
      </w:r>
      <w:r w:rsidRPr="00A66DA7">
        <w:rPr>
          <w:rFonts w:ascii="Arial" w:hAnsi="Arial" w:cs="Arial"/>
          <w:sz w:val="20"/>
          <w:lang w:val="es-419"/>
        </w:rPr>
        <w:tab/>
        <w:t>Colpensiones</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Juzgado de origen:</w:t>
      </w:r>
      <w:r w:rsidRPr="00A66DA7">
        <w:rPr>
          <w:rFonts w:ascii="Arial" w:hAnsi="Arial" w:cs="Arial"/>
          <w:sz w:val="20"/>
          <w:lang w:val="es-419"/>
        </w:rPr>
        <w:tab/>
        <w:t>Primero Laboral del Circuito de Pereira.</w:t>
      </w:r>
    </w:p>
    <w:p w:rsidR="00A66DA7" w:rsidRPr="00A66DA7" w:rsidRDefault="00A66DA7" w:rsidP="00A66DA7">
      <w:pPr>
        <w:jc w:val="both"/>
        <w:rPr>
          <w:rFonts w:ascii="Arial" w:hAnsi="Arial" w:cs="Arial"/>
          <w:sz w:val="20"/>
          <w:lang w:val="es-419"/>
        </w:rPr>
      </w:pPr>
      <w:r w:rsidRPr="00A66DA7">
        <w:rPr>
          <w:rFonts w:ascii="Arial" w:hAnsi="Arial" w:cs="Arial"/>
          <w:sz w:val="20"/>
          <w:lang w:val="es-419"/>
        </w:rPr>
        <w:t>Magistrado Ponente:</w:t>
      </w:r>
      <w:r w:rsidRPr="00A66DA7">
        <w:rPr>
          <w:rFonts w:ascii="Arial" w:hAnsi="Arial" w:cs="Arial"/>
          <w:sz w:val="20"/>
          <w:lang w:val="es-419"/>
        </w:rPr>
        <w:tab/>
        <w:t>Francisco Javier Tamayo Tabares.</w:t>
      </w:r>
    </w:p>
    <w:p w:rsidR="00A66DA7" w:rsidRPr="00A66DA7" w:rsidRDefault="00A66DA7" w:rsidP="00A66DA7">
      <w:pPr>
        <w:jc w:val="both"/>
        <w:rPr>
          <w:rFonts w:ascii="Arial" w:hAnsi="Arial" w:cs="Arial"/>
          <w:sz w:val="20"/>
          <w:lang w:val="es-419"/>
        </w:rPr>
      </w:pPr>
    </w:p>
    <w:p w:rsidR="00A66DA7" w:rsidRPr="00E54EE7" w:rsidRDefault="00A66DA7" w:rsidP="00A66DA7">
      <w:pPr>
        <w:jc w:val="both"/>
        <w:rPr>
          <w:rFonts w:ascii="Arial" w:hAnsi="Arial" w:cs="Arial"/>
          <w:b/>
          <w:bCs/>
          <w:iCs/>
          <w:sz w:val="20"/>
          <w:lang w:val="es-CO" w:eastAsia="fr-FR"/>
        </w:rPr>
      </w:pPr>
      <w:r w:rsidRPr="00A66DA7">
        <w:rPr>
          <w:rFonts w:ascii="Arial" w:hAnsi="Arial" w:cs="Arial"/>
          <w:b/>
          <w:bCs/>
          <w:iCs/>
          <w:sz w:val="20"/>
          <w:lang w:val="es-419" w:eastAsia="fr-FR"/>
        </w:rPr>
        <w:t>TEMAS:</w:t>
      </w:r>
      <w:r w:rsidRPr="00A66DA7">
        <w:rPr>
          <w:rFonts w:ascii="Arial" w:hAnsi="Arial" w:cs="Arial"/>
          <w:b/>
          <w:bCs/>
          <w:iCs/>
          <w:sz w:val="20"/>
          <w:lang w:val="es-419" w:eastAsia="fr-FR"/>
        </w:rPr>
        <w:tab/>
      </w:r>
      <w:r w:rsidR="00A0392F">
        <w:rPr>
          <w:rFonts w:ascii="Arial" w:hAnsi="Arial" w:cs="Arial"/>
          <w:b/>
          <w:bCs/>
          <w:iCs/>
          <w:sz w:val="20"/>
          <w:lang w:val="es-CO" w:eastAsia="fr-FR"/>
        </w:rPr>
        <w:t xml:space="preserve">PENSIÓN DE VEJEZ / DOCENTES / </w:t>
      </w:r>
      <w:r w:rsidRPr="00A66DA7">
        <w:rPr>
          <w:rFonts w:ascii="Arial" w:hAnsi="Arial" w:cs="Arial"/>
          <w:b/>
          <w:sz w:val="20"/>
          <w:lang w:val="es-419"/>
        </w:rPr>
        <w:t xml:space="preserve">COMPATIBILIDAD </w:t>
      </w:r>
      <w:r w:rsidR="00A0392F">
        <w:rPr>
          <w:rFonts w:ascii="Arial" w:hAnsi="Arial" w:cs="Arial"/>
          <w:b/>
          <w:sz w:val="20"/>
          <w:lang w:val="es-CO"/>
        </w:rPr>
        <w:t xml:space="preserve">CON LA PENSIÓN DE JUBILACIÓN GENERADA POR VINCULACIÓN ANTERIOR </w:t>
      </w:r>
      <w:r w:rsidR="00E54EE7">
        <w:rPr>
          <w:rFonts w:ascii="Arial" w:hAnsi="Arial" w:cs="Arial"/>
          <w:b/>
          <w:sz w:val="20"/>
          <w:lang w:val="es-CO"/>
        </w:rPr>
        <w:t xml:space="preserve">AL 27 DE JUNIO DE 2003 </w:t>
      </w:r>
      <w:r w:rsidRPr="00A66DA7">
        <w:rPr>
          <w:rFonts w:ascii="Arial" w:hAnsi="Arial" w:cs="Arial"/>
          <w:b/>
          <w:bCs/>
          <w:iCs/>
          <w:sz w:val="20"/>
          <w:lang w:val="es-419" w:eastAsia="fr-FR"/>
        </w:rPr>
        <w:t xml:space="preserve">/ </w:t>
      </w:r>
      <w:r w:rsidR="00E54EE7">
        <w:rPr>
          <w:rFonts w:ascii="Arial" w:hAnsi="Arial" w:cs="Arial"/>
          <w:b/>
          <w:bCs/>
          <w:iCs/>
          <w:sz w:val="20"/>
          <w:lang w:val="es-CO" w:eastAsia="fr-FR"/>
        </w:rPr>
        <w:t>FINANCIACIÓN INDEPENDIENTE.</w:t>
      </w:r>
    </w:p>
    <w:p w:rsidR="00A66DA7" w:rsidRDefault="00A66DA7" w:rsidP="00A66DA7">
      <w:pPr>
        <w:jc w:val="both"/>
        <w:rPr>
          <w:rFonts w:ascii="Arial" w:hAnsi="Arial" w:cs="Arial"/>
          <w:sz w:val="20"/>
          <w:lang w:val="es-419"/>
        </w:rPr>
      </w:pPr>
    </w:p>
    <w:p w:rsidR="00B33E22" w:rsidRPr="00B33E22" w:rsidRDefault="00B33E22" w:rsidP="00B33E22">
      <w:pPr>
        <w:jc w:val="both"/>
        <w:rPr>
          <w:rFonts w:ascii="Arial" w:hAnsi="Arial" w:cs="Arial"/>
          <w:sz w:val="20"/>
          <w:lang w:val="es-419"/>
        </w:rPr>
      </w:pPr>
      <w:r w:rsidRPr="00B33E22">
        <w:rPr>
          <w:rFonts w:ascii="Arial" w:hAnsi="Arial" w:cs="Arial"/>
          <w:sz w:val="20"/>
          <w:lang w:val="es-419"/>
        </w:rPr>
        <w:t xml:space="preserve">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“Así mismo, se exceptúan a los afiliados del Fondo Nacional de Prestaciones Sociales del Magisterio, creado por la Ley 91 de 1989, cuyas prestaciones a cargo serán compatibles con pensiones o cualquier clase de remuneración”. </w:t>
      </w:r>
    </w:p>
    <w:p w:rsidR="00B33E22" w:rsidRPr="00B33E22" w:rsidRDefault="00B33E22" w:rsidP="00B33E22">
      <w:pPr>
        <w:jc w:val="both"/>
        <w:rPr>
          <w:rFonts w:ascii="Arial" w:hAnsi="Arial" w:cs="Arial"/>
          <w:sz w:val="20"/>
          <w:lang w:val="es-419"/>
        </w:rPr>
      </w:pPr>
    </w:p>
    <w:p w:rsidR="00B33E22" w:rsidRPr="00B33E22" w:rsidRDefault="00B33E22" w:rsidP="00B33E22">
      <w:pPr>
        <w:jc w:val="both"/>
        <w:rPr>
          <w:rFonts w:ascii="Arial" w:hAnsi="Arial" w:cs="Arial"/>
          <w:sz w:val="20"/>
          <w:lang w:val="es-419"/>
        </w:rPr>
      </w:pPr>
      <w:r w:rsidRPr="00B33E22">
        <w:rPr>
          <w:rFonts w:ascii="Arial" w:hAnsi="Arial" w:cs="Arial"/>
          <w:sz w:val="20"/>
          <w:lang w:val="es-419"/>
        </w:rPr>
        <w:t xml:space="preserve">Este preliminar análisis normativo, permite concluir que los docentes del sector público pueden acceder a las prestaciones económicas, tanto dentro de ese especial modelo pensional –pensión de jubilación y pensión gracia-, como en el modelo general del Sistema Integral de la Ley 100 de 1993 –pensión de vejez o indemnización sustitutiva-, estableciéndose entonces una regla de compatibilidad. </w:t>
      </w:r>
    </w:p>
    <w:p w:rsidR="00B33E22" w:rsidRPr="00B33E22" w:rsidRDefault="00B33E22" w:rsidP="00B33E22">
      <w:pPr>
        <w:jc w:val="both"/>
        <w:rPr>
          <w:rFonts w:ascii="Arial" w:hAnsi="Arial" w:cs="Arial"/>
          <w:sz w:val="20"/>
          <w:lang w:val="es-419"/>
        </w:rPr>
      </w:pPr>
    </w:p>
    <w:p w:rsidR="00B33E22" w:rsidRPr="00B33E22" w:rsidRDefault="00B33E22" w:rsidP="00B33E22">
      <w:pPr>
        <w:jc w:val="both"/>
        <w:rPr>
          <w:rFonts w:ascii="Arial" w:hAnsi="Arial" w:cs="Arial"/>
          <w:sz w:val="20"/>
          <w:lang w:val="es-CO"/>
        </w:rPr>
      </w:pPr>
      <w:r w:rsidRPr="00B33E22">
        <w:rPr>
          <w:rFonts w:ascii="Arial" w:hAnsi="Arial" w:cs="Arial"/>
          <w:sz w:val="20"/>
          <w:lang w:val="es-419"/>
        </w:rPr>
        <w:t>Posteriormente, con la entrada en vigencia de la Ley 812 de 2003, en especial su artículo 81, el régimen pensional del Magisterio dejó de ser exceptuado y pasó a ser parte del Sistema General de Pensiones implementado por la Ley 100 de 1993, para aquellos docentes que se vincularon al sector público con posterioridad al cambio le</w:t>
      </w:r>
      <w:r>
        <w:rPr>
          <w:rFonts w:ascii="Arial" w:hAnsi="Arial" w:cs="Arial"/>
          <w:sz w:val="20"/>
          <w:lang w:val="es-419"/>
        </w:rPr>
        <w:t>gislativo -27 de junio de 2003- (…</w:t>
      </w:r>
      <w:r>
        <w:rPr>
          <w:rFonts w:ascii="Arial" w:hAnsi="Arial" w:cs="Arial"/>
          <w:sz w:val="20"/>
          <w:lang w:val="es-CO"/>
        </w:rPr>
        <w:t>)</w:t>
      </w:r>
    </w:p>
    <w:p w:rsidR="00B33E22" w:rsidRDefault="00B33E22" w:rsidP="00A66DA7">
      <w:pPr>
        <w:jc w:val="both"/>
        <w:rPr>
          <w:rFonts w:ascii="Arial" w:hAnsi="Arial" w:cs="Arial"/>
          <w:sz w:val="20"/>
          <w:lang w:val="es-419"/>
        </w:rPr>
      </w:pPr>
    </w:p>
    <w:p w:rsidR="00B33E22" w:rsidRDefault="00B33E22" w:rsidP="00A66DA7">
      <w:pPr>
        <w:jc w:val="both"/>
        <w:rPr>
          <w:rFonts w:ascii="Arial" w:hAnsi="Arial" w:cs="Arial"/>
          <w:sz w:val="20"/>
          <w:lang w:val="es-419"/>
        </w:rPr>
      </w:pPr>
      <w:r w:rsidRPr="00B33E22">
        <w:rPr>
          <w:rFonts w:ascii="Arial" w:hAnsi="Arial" w:cs="Arial"/>
          <w:sz w:val="20"/>
          <w:lang w:val="es-419"/>
        </w:rPr>
        <w:t>Dada esa posibilidad de prestación coetánea de servicios como docente para el Estado, con vinculación anterior al 27 de junio de 2003, y para particulares, se abre la senda para que simultáneamente se hagan aportes al ISS,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rsidR="00CF36FC" w:rsidRDefault="00CF36FC" w:rsidP="00A66DA7">
      <w:pPr>
        <w:jc w:val="both"/>
        <w:rPr>
          <w:rFonts w:ascii="Arial" w:hAnsi="Arial" w:cs="Arial"/>
          <w:sz w:val="20"/>
          <w:lang w:val="es-419"/>
        </w:rPr>
      </w:pPr>
    </w:p>
    <w:p w:rsidR="00CF36FC" w:rsidRPr="00CF36FC" w:rsidRDefault="00CF36FC" w:rsidP="00A66DA7">
      <w:pPr>
        <w:jc w:val="both"/>
        <w:rPr>
          <w:rFonts w:ascii="Arial" w:hAnsi="Arial" w:cs="Arial"/>
          <w:b/>
          <w:color w:val="FF0000"/>
          <w:sz w:val="20"/>
          <w:lang w:val="es-CO"/>
        </w:rPr>
      </w:pPr>
      <w:r w:rsidRPr="00CF36FC">
        <w:rPr>
          <w:rFonts w:ascii="Arial" w:hAnsi="Arial" w:cs="Arial"/>
          <w:b/>
          <w:color w:val="FF0000"/>
          <w:sz w:val="20"/>
          <w:lang w:val="es-CO"/>
        </w:rPr>
        <w:t>SALVAMENTO DE VOTO: DOCTORA ANA LUCÍA CAICEDO CALDERÓN</w:t>
      </w:r>
    </w:p>
    <w:p w:rsidR="00CF36FC" w:rsidRDefault="00CF36FC" w:rsidP="00A66DA7">
      <w:pPr>
        <w:jc w:val="both"/>
        <w:rPr>
          <w:rFonts w:ascii="Arial" w:hAnsi="Arial" w:cs="Arial"/>
          <w:sz w:val="20"/>
          <w:lang w:val="es-CO"/>
        </w:rPr>
      </w:pPr>
    </w:p>
    <w:p w:rsidR="00CF36FC" w:rsidRPr="00CF36FC" w:rsidRDefault="00CF36FC" w:rsidP="00CF36FC">
      <w:pPr>
        <w:jc w:val="both"/>
        <w:rPr>
          <w:rFonts w:ascii="Arial" w:hAnsi="Arial" w:cs="Arial"/>
          <w:sz w:val="20"/>
          <w:lang w:val="es-CO"/>
        </w:rPr>
      </w:pPr>
      <w:r w:rsidRPr="00CF36FC">
        <w:rPr>
          <w:rFonts w:ascii="Arial" w:hAnsi="Arial" w:cs="Arial"/>
          <w:sz w:val="20"/>
          <w:lang w:val="es-CO"/>
        </w:rPr>
        <w:t>Con mi acostumbrado respeto, manifiesto que me aparto parcialmente de las mayorías en lo que atañe al no reconocimiento del valor de la pensión que realmente corresponde a la demandante, pues es claro que el valor de la primera mesada constituye un derecho fundamental para aquel por estar intrínsecamente ligado al derecho a la seguridad social.</w:t>
      </w:r>
    </w:p>
    <w:p w:rsidR="00CF36FC" w:rsidRPr="00CF36FC" w:rsidRDefault="00CF36FC" w:rsidP="00CF36FC">
      <w:pPr>
        <w:jc w:val="both"/>
        <w:rPr>
          <w:rFonts w:ascii="Arial" w:hAnsi="Arial" w:cs="Arial"/>
          <w:sz w:val="20"/>
          <w:lang w:val="es-CO"/>
        </w:rPr>
      </w:pPr>
    </w:p>
    <w:p w:rsidR="00CF36FC" w:rsidRPr="00CF36FC" w:rsidRDefault="00CF36FC" w:rsidP="00CF36FC">
      <w:pPr>
        <w:jc w:val="both"/>
        <w:rPr>
          <w:rFonts w:ascii="Arial" w:hAnsi="Arial" w:cs="Arial"/>
          <w:sz w:val="20"/>
          <w:lang w:val="es-CO"/>
        </w:rPr>
      </w:pPr>
      <w:r w:rsidRPr="00CF36FC">
        <w:rPr>
          <w:rFonts w:ascii="Arial" w:hAnsi="Arial" w:cs="Arial"/>
          <w:sz w:val="20"/>
          <w:lang w:val="es-CO"/>
        </w:rPr>
        <w:t xml:space="preserve"> Por otra parte, con relación a la condena por los intereses moratorios consagrados en el artículo 141 de la Ley 100 de 1993,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w:t>
      </w:r>
      <w:r>
        <w:rPr>
          <w:rFonts w:ascii="Arial" w:hAnsi="Arial" w:cs="Arial"/>
          <w:sz w:val="20"/>
          <w:lang w:val="es-CO"/>
        </w:rPr>
        <w:t>…</w:t>
      </w:r>
    </w:p>
    <w:p w:rsidR="00A66DA7" w:rsidRPr="00A66DA7" w:rsidRDefault="00A66DA7" w:rsidP="00A66DA7">
      <w:pPr>
        <w:jc w:val="both"/>
        <w:rPr>
          <w:rFonts w:ascii="Arial" w:hAnsi="Arial" w:cs="Arial"/>
          <w:sz w:val="20"/>
          <w:lang w:val="es-419"/>
        </w:rPr>
      </w:pPr>
    </w:p>
    <w:p w:rsidR="00A66DA7" w:rsidRPr="00A66DA7" w:rsidRDefault="00A66DA7" w:rsidP="00A66DA7">
      <w:pPr>
        <w:jc w:val="both"/>
        <w:rPr>
          <w:rFonts w:ascii="Arial" w:hAnsi="Arial" w:cs="Arial"/>
          <w:sz w:val="20"/>
          <w:lang w:val="es-419"/>
        </w:rPr>
      </w:pPr>
    </w:p>
    <w:p w:rsidR="00A66DA7" w:rsidRPr="00A66DA7" w:rsidRDefault="00A66DA7" w:rsidP="00A66DA7">
      <w:pPr>
        <w:jc w:val="both"/>
        <w:rPr>
          <w:rFonts w:ascii="Arial" w:hAnsi="Arial" w:cs="Arial"/>
          <w:sz w:val="20"/>
          <w:lang w:val="es-ES"/>
        </w:rPr>
      </w:pPr>
    </w:p>
    <w:p w:rsidR="00A66DA7" w:rsidRPr="00A66DA7" w:rsidRDefault="00A66DA7" w:rsidP="00A66DA7">
      <w:pPr>
        <w:keepNext/>
        <w:spacing w:line="288" w:lineRule="auto"/>
        <w:jc w:val="center"/>
        <w:outlineLvl w:val="2"/>
        <w:rPr>
          <w:rFonts w:ascii="Arial Narrow" w:hAnsi="Arial Narrow" w:cs="Arial"/>
          <w:b/>
          <w:sz w:val="26"/>
          <w:szCs w:val="26"/>
        </w:rPr>
      </w:pPr>
      <w:r w:rsidRPr="00A66DA7">
        <w:rPr>
          <w:rFonts w:ascii="Arial Narrow" w:hAnsi="Arial Narrow" w:cs="Arial"/>
          <w:b/>
          <w:sz w:val="26"/>
          <w:szCs w:val="26"/>
        </w:rPr>
        <w:t>TRIBUNAL SUPERIOR DEL DISTRITO JUDICIAL</w:t>
      </w:r>
    </w:p>
    <w:p w:rsidR="00A66DA7" w:rsidRPr="00A66DA7" w:rsidRDefault="00A66DA7" w:rsidP="00A66DA7">
      <w:pPr>
        <w:spacing w:line="288" w:lineRule="auto"/>
        <w:jc w:val="center"/>
        <w:rPr>
          <w:rFonts w:ascii="Arial Narrow" w:hAnsi="Arial Narrow"/>
          <w:sz w:val="26"/>
          <w:szCs w:val="26"/>
        </w:rPr>
      </w:pPr>
      <w:r w:rsidRPr="00A66DA7">
        <w:rPr>
          <w:rFonts w:ascii="Arial Narrow" w:hAnsi="Arial Narrow" w:cs="Arial"/>
          <w:b/>
          <w:noProof/>
          <w:sz w:val="26"/>
          <w:szCs w:val="26"/>
          <w:lang w:val="es-ES"/>
        </w:rPr>
        <w:drawing>
          <wp:inline distT="0" distB="0" distL="0" distR="0" wp14:anchorId="1366F62C" wp14:editId="6FFEC16F">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A66DA7" w:rsidRPr="00A66DA7" w:rsidRDefault="00A66DA7" w:rsidP="00A66DA7">
      <w:pPr>
        <w:spacing w:line="288" w:lineRule="auto"/>
        <w:jc w:val="center"/>
        <w:rPr>
          <w:rFonts w:ascii="Arial Narrow" w:hAnsi="Arial Narrow" w:cs="Arial"/>
          <w:b/>
          <w:sz w:val="26"/>
          <w:szCs w:val="26"/>
          <w:lang w:val="es-CO"/>
        </w:rPr>
      </w:pPr>
      <w:r w:rsidRPr="00A66DA7">
        <w:rPr>
          <w:rFonts w:ascii="Arial Narrow" w:hAnsi="Arial Narrow" w:cs="Arial"/>
          <w:b/>
          <w:sz w:val="26"/>
          <w:szCs w:val="26"/>
          <w:lang w:val="es-CO"/>
        </w:rPr>
        <w:t>SALA LABORAL</w:t>
      </w:r>
    </w:p>
    <w:p w:rsidR="00A66DA7" w:rsidRPr="00A66DA7" w:rsidRDefault="00A66DA7" w:rsidP="00A66DA7">
      <w:pPr>
        <w:suppressAutoHyphens/>
        <w:spacing w:line="288" w:lineRule="auto"/>
        <w:jc w:val="both"/>
        <w:rPr>
          <w:rFonts w:ascii="Arial Narrow" w:hAnsi="Arial Narrow" w:cs="Arial"/>
          <w:spacing w:val="-2"/>
          <w:szCs w:val="26"/>
          <w:lang w:val="es-CO"/>
        </w:rPr>
      </w:pPr>
    </w:p>
    <w:p w:rsidR="00A66DA7" w:rsidRPr="00A66DA7" w:rsidRDefault="00A66DA7" w:rsidP="00A66DA7">
      <w:pPr>
        <w:spacing w:line="288" w:lineRule="auto"/>
        <w:jc w:val="center"/>
        <w:rPr>
          <w:rFonts w:ascii="Arial Narrow" w:hAnsi="Arial Narrow" w:cs="Arial"/>
          <w:b/>
          <w:sz w:val="26"/>
          <w:szCs w:val="26"/>
        </w:rPr>
      </w:pPr>
      <w:r w:rsidRPr="00A66DA7">
        <w:rPr>
          <w:rFonts w:ascii="Arial Narrow" w:hAnsi="Arial Narrow" w:cs="Arial"/>
          <w:b/>
          <w:sz w:val="26"/>
          <w:szCs w:val="26"/>
        </w:rPr>
        <w:t>MAGISTRADO PONENTE: FRANCISCO JAVIER TAMAYO TABARES</w:t>
      </w:r>
    </w:p>
    <w:p w:rsidR="00A66DA7" w:rsidRPr="00A66DA7" w:rsidRDefault="00A66DA7" w:rsidP="00A66DA7">
      <w:pPr>
        <w:suppressAutoHyphens/>
        <w:spacing w:line="288" w:lineRule="auto"/>
        <w:jc w:val="both"/>
        <w:rPr>
          <w:rFonts w:ascii="Arial Narrow" w:hAnsi="Arial Narrow" w:cs="Arial"/>
          <w:spacing w:val="-2"/>
          <w:szCs w:val="26"/>
          <w:lang w:val="es-CO"/>
        </w:rPr>
      </w:pPr>
    </w:p>
    <w:p w:rsidR="00816396" w:rsidRPr="003624C4" w:rsidRDefault="00816396" w:rsidP="003624C4">
      <w:pPr>
        <w:spacing w:line="288" w:lineRule="auto"/>
        <w:ind w:firstLine="851"/>
        <w:jc w:val="both"/>
        <w:rPr>
          <w:rFonts w:ascii="Arial Narrow" w:hAnsi="Arial Narrow" w:cs="Arial"/>
          <w:bCs/>
          <w:iCs/>
          <w:sz w:val="26"/>
          <w:szCs w:val="26"/>
        </w:rPr>
      </w:pPr>
      <w:r w:rsidRPr="003624C4">
        <w:rPr>
          <w:rFonts w:ascii="Arial Narrow" w:eastAsia="Calibri" w:hAnsi="Arial Narrow" w:cs="Arial"/>
          <w:sz w:val="26"/>
          <w:szCs w:val="26"/>
          <w:lang w:val="es-CO" w:eastAsia="en-US"/>
        </w:rPr>
        <w:t xml:space="preserve">En Pereira, a </w:t>
      </w:r>
      <w:r w:rsidR="00A352C1" w:rsidRPr="003624C4">
        <w:rPr>
          <w:rFonts w:ascii="Arial Narrow" w:eastAsia="Calibri" w:hAnsi="Arial Narrow" w:cs="Arial"/>
          <w:sz w:val="26"/>
          <w:szCs w:val="26"/>
          <w:lang w:val="es-CO" w:eastAsia="en-US"/>
        </w:rPr>
        <w:t>los veinte</w:t>
      </w:r>
      <w:r w:rsidRPr="003624C4">
        <w:rPr>
          <w:rFonts w:ascii="Arial Narrow" w:eastAsia="Calibri" w:hAnsi="Arial Narrow" w:cs="Arial"/>
          <w:sz w:val="26"/>
          <w:szCs w:val="26"/>
          <w:lang w:val="es-CO" w:eastAsia="en-US"/>
        </w:rPr>
        <w:t xml:space="preserve"> (2</w:t>
      </w:r>
      <w:r w:rsidR="00A352C1" w:rsidRPr="003624C4">
        <w:rPr>
          <w:rFonts w:ascii="Arial Narrow" w:eastAsia="Calibri" w:hAnsi="Arial Narrow" w:cs="Arial"/>
          <w:sz w:val="26"/>
          <w:szCs w:val="26"/>
          <w:lang w:val="es-CO" w:eastAsia="en-US"/>
        </w:rPr>
        <w:t>0</w:t>
      </w:r>
      <w:r w:rsidRPr="003624C4">
        <w:rPr>
          <w:rFonts w:ascii="Arial Narrow" w:eastAsia="Calibri" w:hAnsi="Arial Narrow" w:cs="Arial"/>
          <w:sz w:val="26"/>
          <w:szCs w:val="26"/>
          <w:lang w:val="es-CO" w:eastAsia="en-US"/>
        </w:rPr>
        <w:t xml:space="preserve">) días del mes de </w:t>
      </w:r>
      <w:r w:rsidR="00A352C1" w:rsidRPr="003624C4">
        <w:rPr>
          <w:rFonts w:ascii="Arial Narrow" w:eastAsia="Calibri" w:hAnsi="Arial Narrow" w:cs="Arial"/>
          <w:sz w:val="26"/>
          <w:szCs w:val="26"/>
          <w:lang w:val="es-CO" w:eastAsia="en-US"/>
        </w:rPr>
        <w:t>junio</w:t>
      </w:r>
      <w:r w:rsidRPr="003624C4">
        <w:rPr>
          <w:rFonts w:ascii="Arial Narrow" w:eastAsia="Calibri" w:hAnsi="Arial Narrow" w:cs="Arial"/>
          <w:sz w:val="26"/>
          <w:szCs w:val="26"/>
          <w:lang w:val="es-CO" w:eastAsia="en-US"/>
        </w:rPr>
        <w:t xml:space="preserve"> de dos mil dieci</w:t>
      </w:r>
      <w:r w:rsidR="00A352C1" w:rsidRPr="003624C4">
        <w:rPr>
          <w:rFonts w:ascii="Arial Narrow" w:eastAsia="Calibri" w:hAnsi="Arial Narrow" w:cs="Arial"/>
          <w:sz w:val="26"/>
          <w:szCs w:val="26"/>
          <w:lang w:val="es-CO" w:eastAsia="en-US"/>
        </w:rPr>
        <w:t>nueve</w:t>
      </w:r>
      <w:r w:rsidRPr="003624C4">
        <w:rPr>
          <w:rFonts w:ascii="Arial Narrow" w:eastAsia="Calibri" w:hAnsi="Arial Narrow" w:cs="Arial"/>
          <w:sz w:val="26"/>
          <w:szCs w:val="26"/>
          <w:lang w:val="es-CO" w:eastAsia="en-US"/>
        </w:rPr>
        <w:t xml:space="preserve"> (201</w:t>
      </w:r>
      <w:r w:rsidR="00A352C1" w:rsidRPr="003624C4">
        <w:rPr>
          <w:rFonts w:ascii="Arial Narrow" w:eastAsia="Calibri" w:hAnsi="Arial Narrow" w:cs="Arial"/>
          <w:sz w:val="26"/>
          <w:szCs w:val="26"/>
          <w:lang w:val="es-CO" w:eastAsia="en-US"/>
        </w:rPr>
        <w:t>9</w:t>
      </w:r>
      <w:r w:rsidRPr="003624C4">
        <w:rPr>
          <w:rFonts w:ascii="Arial Narrow" w:eastAsia="Calibri" w:hAnsi="Arial Narrow" w:cs="Arial"/>
          <w:sz w:val="26"/>
          <w:szCs w:val="26"/>
          <w:lang w:val="es-CO" w:eastAsia="en-US"/>
        </w:rPr>
        <w:t xml:space="preserve">), siendo las </w:t>
      </w:r>
      <w:r w:rsidR="00A352C1" w:rsidRPr="003624C4">
        <w:rPr>
          <w:rFonts w:ascii="Arial Narrow" w:eastAsia="Calibri" w:hAnsi="Arial Narrow" w:cs="Arial"/>
          <w:sz w:val="26"/>
          <w:szCs w:val="26"/>
          <w:lang w:val="es-CO" w:eastAsia="en-US"/>
        </w:rPr>
        <w:t xml:space="preserve">nueve </w:t>
      </w:r>
      <w:r w:rsidRPr="003624C4">
        <w:rPr>
          <w:rFonts w:ascii="Arial Narrow" w:eastAsia="Calibri" w:hAnsi="Arial Narrow" w:cs="Arial"/>
          <w:sz w:val="26"/>
          <w:szCs w:val="26"/>
          <w:lang w:val="es-CO" w:eastAsia="en-US"/>
        </w:rPr>
        <w:t>de la mañana (</w:t>
      </w:r>
      <w:r w:rsidR="00A352C1" w:rsidRPr="003624C4">
        <w:rPr>
          <w:rFonts w:ascii="Arial Narrow" w:eastAsia="Calibri" w:hAnsi="Arial Narrow" w:cs="Arial"/>
          <w:sz w:val="26"/>
          <w:szCs w:val="26"/>
          <w:lang w:val="es-CO" w:eastAsia="en-US"/>
        </w:rPr>
        <w:t>9</w:t>
      </w:r>
      <w:r w:rsidRPr="003624C4">
        <w:rPr>
          <w:rFonts w:ascii="Arial Narrow" w:eastAsia="Calibri" w:hAnsi="Arial Narrow" w:cs="Arial"/>
          <w:sz w:val="26"/>
          <w:szCs w:val="26"/>
          <w:lang w:val="es-CO" w:eastAsia="en-US"/>
        </w:rPr>
        <w:t>:</w:t>
      </w:r>
      <w:r w:rsidR="00A352C1" w:rsidRPr="003624C4">
        <w:rPr>
          <w:rFonts w:ascii="Arial Narrow" w:eastAsia="Calibri" w:hAnsi="Arial Narrow" w:cs="Arial"/>
          <w:sz w:val="26"/>
          <w:szCs w:val="26"/>
          <w:lang w:val="es-CO" w:eastAsia="en-US"/>
        </w:rPr>
        <w:t>0</w:t>
      </w:r>
      <w:r w:rsidRPr="003624C4">
        <w:rPr>
          <w:rFonts w:ascii="Arial Narrow" w:eastAsia="Calibri" w:hAnsi="Arial Narrow" w:cs="Arial"/>
          <w:sz w:val="26"/>
          <w:szCs w:val="26"/>
          <w:lang w:val="es-CO" w:eastAsia="en-US"/>
        </w:rPr>
        <w:t xml:space="preserve">0 a.m.), </w:t>
      </w:r>
      <w:r w:rsidRPr="003624C4">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formalmente abierto el acto, que tiene por objeto resolver el </w:t>
      </w:r>
      <w:r w:rsidR="00A352C1" w:rsidRPr="003624C4">
        <w:rPr>
          <w:rFonts w:ascii="Arial Narrow" w:hAnsi="Arial Narrow" w:cs="Tahoma"/>
          <w:bCs/>
          <w:color w:val="000000"/>
          <w:sz w:val="26"/>
          <w:szCs w:val="26"/>
          <w:lang w:eastAsia="es-CO"/>
        </w:rPr>
        <w:t xml:space="preserve">recurso de apelación interpuesto por la entidad accionada, y el </w:t>
      </w:r>
      <w:r w:rsidRPr="003624C4">
        <w:rPr>
          <w:rFonts w:ascii="Arial Narrow" w:hAnsi="Arial Narrow" w:cs="Tahoma"/>
          <w:bCs/>
          <w:color w:val="000000"/>
          <w:sz w:val="26"/>
          <w:szCs w:val="26"/>
          <w:lang w:eastAsia="es-CO"/>
        </w:rPr>
        <w:t xml:space="preserve">grado jurisdiccional de consulta frente a </w:t>
      </w:r>
      <w:r w:rsidRPr="003624C4">
        <w:rPr>
          <w:rFonts w:ascii="Arial Narrow" w:hAnsi="Arial Narrow" w:cs="Arial"/>
          <w:sz w:val="26"/>
          <w:szCs w:val="26"/>
        </w:rPr>
        <w:t xml:space="preserve">la sentencia proferida el </w:t>
      </w:r>
      <w:r w:rsidR="00A352C1" w:rsidRPr="003624C4">
        <w:rPr>
          <w:rFonts w:ascii="Arial Narrow" w:hAnsi="Arial Narrow" w:cs="Arial"/>
          <w:sz w:val="26"/>
          <w:szCs w:val="26"/>
        </w:rPr>
        <w:t>28</w:t>
      </w:r>
      <w:r w:rsidR="001B019D" w:rsidRPr="003624C4">
        <w:rPr>
          <w:rFonts w:ascii="Arial Narrow" w:hAnsi="Arial Narrow" w:cs="Arial"/>
          <w:sz w:val="26"/>
          <w:szCs w:val="26"/>
        </w:rPr>
        <w:t xml:space="preserve"> de </w:t>
      </w:r>
      <w:r w:rsidR="00A352C1" w:rsidRPr="003624C4">
        <w:rPr>
          <w:rFonts w:ascii="Arial Narrow" w:hAnsi="Arial Narrow" w:cs="Arial"/>
          <w:sz w:val="26"/>
          <w:szCs w:val="26"/>
        </w:rPr>
        <w:t xml:space="preserve">septiembre </w:t>
      </w:r>
      <w:r w:rsidR="003C00FF" w:rsidRPr="003624C4">
        <w:rPr>
          <w:rFonts w:ascii="Arial Narrow" w:hAnsi="Arial Narrow" w:cs="Arial"/>
          <w:sz w:val="26"/>
          <w:szCs w:val="26"/>
        </w:rPr>
        <w:t>de 201</w:t>
      </w:r>
      <w:r w:rsidR="00A352C1" w:rsidRPr="003624C4">
        <w:rPr>
          <w:rFonts w:ascii="Arial Narrow" w:hAnsi="Arial Narrow" w:cs="Arial"/>
          <w:sz w:val="26"/>
          <w:szCs w:val="26"/>
        </w:rPr>
        <w:t>8</w:t>
      </w:r>
      <w:r w:rsidR="003C00FF" w:rsidRPr="003624C4">
        <w:rPr>
          <w:rFonts w:ascii="Arial Narrow" w:hAnsi="Arial Narrow" w:cs="Arial"/>
          <w:sz w:val="26"/>
          <w:szCs w:val="26"/>
        </w:rPr>
        <w:t xml:space="preserve"> </w:t>
      </w:r>
      <w:r w:rsidRPr="003624C4">
        <w:rPr>
          <w:rFonts w:ascii="Arial Narrow" w:hAnsi="Arial Narrow" w:cs="Arial"/>
          <w:sz w:val="26"/>
          <w:szCs w:val="26"/>
        </w:rPr>
        <w:t xml:space="preserve">por el Juzgado Primero Laboral del Circuito de Pereira, dentro del proceso ordinario laboral promovido por </w:t>
      </w:r>
      <w:r w:rsidR="00A352C1" w:rsidRPr="003624C4">
        <w:rPr>
          <w:rFonts w:ascii="Arial Narrow" w:hAnsi="Arial Narrow" w:cs="Arial"/>
          <w:b/>
          <w:i/>
          <w:iCs/>
          <w:sz w:val="26"/>
          <w:szCs w:val="26"/>
        </w:rPr>
        <w:t>Rubén Darío Sierra Montoya</w:t>
      </w:r>
      <w:r w:rsidR="003C00FF" w:rsidRPr="003624C4">
        <w:rPr>
          <w:rFonts w:ascii="Arial Narrow" w:hAnsi="Arial Narrow" w:cs="Arial"/>
          <w:b/>
          <w:i/>
          <w:iCs/>
          <w:sz w:val="26"/>
          <w:szCs w:val="26"/>
        </w:rPr>
        <w:t xml:space="preserve"> </w:t>
      </w:r>
      <w:r w:rsidRPr="003624C4">
        <w:rPr>
          <w:rFonts w:ascii="Arial Narrow" w:hAnsi="Arial Narrow" w:cs="Arial"/>
          <w:sz w:val="26"/>
          <w:szCs w:val="26"/>
        </w:rPr>
        <w:t>contra la</w:t>
      </w:r>
      <w:r w:rsidRPr="003624C4">
        <w:rPr>
          <w:rFonts w:ascii="Arial Narrow" w:hAnsi="Arial Narrow" w:cs="Arial"/>
          <w:b/>
          <w:sz w:val="26"/>
          <w:szCs w:val="26"/>
        </w:rPr>
        <w:t xml:space="preserve"> </w:t>
      </w:r>
      <w:r w:rsidRPr="003624C4">
        <w:rPr>
          <w:rFonts w:ascii="Arial Narrow" w:hAnsi="Arial Narrow" w:cs="Arial"/>
          <w:b/>
          <w:i/>
          <w:sz w:val="26"/>
          <w:szCs w:val="26"/>
        </w:rPr>
        <w:t>Administradora Colombiana de Pensiones Colpensiones</w:t>
      </w:r>
      <w:r w:rsidRPr="003624C4">
        <w:rPr>
          <w:rFonts w:ascii="Arial Narrow" w:hAnsi="Arial Narrow" w:cs="Arial"/>
          <w:b/>
          <w:sz w:val="26"/>
          <w:szCs w:val="26"/>
        </w:rPr>
        <w:t>.</w:t>
      </w:r>
    </w:p>
    <w:p w:rsidR="00816396" w:rsidRPr="003624C4" w:rsidRDefault="00816396" w:rsidP="003624C4">
      <w:pPr>
        <w:pStyle w:val="Sinespaciado"/>
        <w:spacing w:line="288" w:lineRule="auto"/>
        <w:rPr>
          <w:rFonts w:ascii="Arial Narrow" w:hAnsi="Arial Narrow"/>
          <w:sz w:val="26"/>
          <w:szCs w:val="26"/>
        </w:rPr>
      </w:pPr>
    </w:p>
    <w:p w:rsidR="00816396" w:rsidRPr="003624C4" w:rsidRDefault="00816396" w:rsidP="003624C4">
      <w:pPr>
        <w:shd w:val="clear" w:color="auto" w:fill="FFFFFF"/>
        <w:spacing w:line="288" w:lineRule="auto"/>
        <w:ind w:firstLine="708"/>
        <w:jc w:val="both"/>
        <w:rPr>
          <w:rFonts w:ascii="Arial Narrow" w:hAnsi="Arial Narrow" w:cs="Tahoma"/>
          <w:b/>
          <w:bCs/>
          <w:color w:val="000000"/>
          <w:sz w:val="26"/>
          <w:szCs w:val="26"/>
          <w:lang w:eastAsia="es-CO"/>
        </w:rPr>
      </w:pPr>
      <w:r w:rsidRPr="003624C4">
        <w:rPr>
          <w:rFonts w:ascii="Arial Narrow" w:hAnsi="Arial Narrow" w:cs="Tahoma"/>
          <w:b/>
          <w:bCs/>
          <w:color w:val="000000"/>
          <w:sz w:val="26"/>
          <w:szCs w:val="26"/>
          <w:lang w:eastAsia="es-CO"/>
        </w:rPr>
        <w:t>IDENTIFICACIÓN DE LOS PRESENTES:</w:t>
      </w:r>
    </w:p>
    <w:p w:rsidR="00816396" w:rsidRPr="003624C4" w:rsidRDefault="00816396" w:rsidP="003624C4">
      <w:pPr>
        <w:shd w:val="clear" w:color="auto" w:fill="FFFFFF"/>
        <w:spacing w:line="288" w:lineRule="auto"/>
        <w:jc w:val="both"/>
        <w:rPr>
          <w:rFonts w:ascii="Arial Narrow" w:hAnsi="Arial Narrow" w:cs="Tahoma"/>
          <w:b/>
          <w:bCs/>
          <w:color w:val="000000"/>
          <w:sz w:val="26"/>
          <w:szCs w:val="26"/>
          <w:lang w:eastAsia="es-CO"/>
        </w:rPr>
      </w:pPr>
    </w:p>
    <w:p w:rsidR="00816396" w:rsidRPr="003624C4" w:rsidRDefault="00816396" w:rsidP="003624C4">
      <w:pPr>
        <w:pStyle w:val="Prrafodelista"/>
        <w:numPr>
          <w:ilvl w:val="0"/>
          <w:numId w:val="1"/>
        </w:numPr>
        <w:spacing w:line="288" w:lineRule="auto"/>
        <w:rPr>
          <w:rFonts w:ascii="Arial Narrow" w:hAnsi="Arial Narrow" w:cs="Tahoma"/>
          <w:b/>
          <w:sz w:val="26"/>
          <w:szCs w:val="26"/>
        </w:rPr>
      </w:pPr>
      <w:r w:rsidRPr="003624C4">
        <w:rPr>
          <w:rFonts w:ascii="Arial Narrow" w:hAnsi="Arial Narrow" w:cs="Tahoma"/>
          <w:b/>
          <w:i/>
          <w:sz w:val="26"/>
          <w:szCs w:val="26"/>
        </w:rPr>
        <w:t>INTRODUCCIÓN</w:t>
      </w:r>
    </w:p>
    <w:p w:rsidR="00816396" w:rsidRPr="003624C4" w:rsidRDefault="00816396" w:rsidP="003624C4">
      <w:pPr>
        <w:pStyle w:val="Sinespaciado"/>
        <w:spacing w:line="288" w:lineRule="auto"/>
        <w:rPr>
          <w:rFonts w:ascii="Arial Narrow" w:hAnsi="Arial Narrow"/>
          <w:sz w:val="26"/>
          <w:szCs w:val="26"/>
        </w:rPr>
      </w:pPr>
    </w:p>
    <w:p w:rsidR="00B33AE6" w:rsidRPr="003624C4" w:rsidRDefault="00816396" w:rsidP="003624C4">
      <w:pPr>
        <w:spacing w:line="288" w:lineRule="auto"/>
        <w:ind w:firstLine="900"/>
        <w:jc w:val="both"/>
        <w:rPr>
          <w:rFonts w:ascii="Arial Narrow" w:hAnsi="Arial Narrow" w:cs="Tahoma"/>
          <w:sz w:val="26"/>
          <w:szCs w:val="26"/>
        </w:rPr>
      </w:pPr>
      <w:r w:rsidRPr="003624C4">
        <w:rPr>
          <w:rFonts w:ascii="Arial Narrow" w:hAnsi="Arial Narrow" w:cs="Tahoma"/>
          <w:sz w:val="26"/>
          <w:szCs w:val="26"/>
        </w:rPr>
        <w:t xml:space="preserve">Persigue el demandante que se declare que </w:t>
      </w:r>
      <w:r w:rsidR="00B33AE6" w:rsidRPr="003624C4">
        <w:rPr>
          <w:rFonts w:ascii="Arial Narrow" w:hAnsi="Arial Narrow" w:cs="Tahoma"/>
          <w:sz w:val="26"/>
          <w:szCs w:val="26"/>
        </w:rPr>
        <w:t>es beneficiario del régimen de transición previsto en el artículo 36 de la Ley 100 de 1993, y que cumple con los requisitos establecidos en el Acto Legislativo 01 de 2005, para conservar el régimen de transición hasta el 2014 y que cumple con los requisitos para acceder a la pensión de vejez. En consecuencia, que se condene a Colpensiones a reconocer y pagar la gracia pensional a partir del 1 de mayo de 2016, a los intereses moratorios del artículo 141 de la Ley 100 de 1993, a la indexación de las mesadas reconocidas y las costas del proceso.</w:t>
      </w:r>
    </w:p>
    <w:p w:rsidR="00816396" w:rsidRPr="003624C4" w:rsidRDefault="00816396" w:rsidP="003624C4">
      <w:pPr>
        <w:pStyle w:val="Sinespaciado"/>
        <w:spacing w:line="288" w:lineRule="auto"/>
        <w:rPr>
          <w:rFonts w:ascii="Arial Narrow" w:hAnsi="Arial Narrow"/>
          <w:sz w:val="26"/>
          <w:szCs w:val="26"/>
        </w:rPr>
      </w:pPr>
    </w:p>
    <w:p w:rsidR="00907FC8" w:rsidRPr="003624C4" w:rsidRDefault="00816396" w:rsidP="003624C4">
      <w:pPr>
        <w:spacing w:line="288" w:lineRule="auto"/>
        <w:ind w:firstLine="900"/>
        <w:jc w:val="both"/>
        <w:rPr>
          <w:rFonts w:ascii="Arial Narrow" w:hAnsi="Arial Narrow" w:cs="Tahoma"/>
          <w:sz w:val="26"/>
          <w:szCs w:val="26"/>
        </w:rPr>
      </w:pPr>
      <w:r w:rsidRPr="003624C4">
        <w:rPr>
          <w:rFonts w:ascii="Arial Narrow" w:hAnsi="Arial Narrow" w:cs="Tahoma"/>
          <w:sz w:val="26"/>
          <w:szCs w:val="26"/>
        </w:rPr>
        <w:t>Como fundamento a sus peticiones expone</w:t>
      </w:r>
      <w:r w:rsidR="00D768EA" w:rsidRPr="003624C4">
        <w:rPr>
          <w:rFonts w:ascii="Arial Narrow" w:hAnsi="Arial Narrow" w:cs="Tahoma"/>
          <w:sz w:val="26"/>
          <w:szCs w:val="26"/>
        </w:rPr>
        <w:t xml:space="preserve"> que nació el 27</w:t>
      </w:r>
      <w:r w:rsidR="00407A7F" w:rsidRPr="003624C4">
        <w:rPr>
          <w:rFonts w:ascii="Arial Narrow" w:hAnsi="Arial Narrow" w:cs="Tahoma"/>
          <w:sz w:val="26"/>
          <w:szCs w:val="26"/>
        </w:rPr>
        <w:t xml:space="preserve"> de octubre de 1952; que se desempeñó como docente</w:t>
      </w:r>
      <w:r w:rsidR="00907FC8" w:rsidRPr="003624C4">
        <w:rPr>
          <w:rFonts w:ascii="Arial Narrow" w:hAnsi="Arial Narrow" w:cs="Tahoma"/>
          <w:sz w:val="26"/>
          <w:szCs w:val="26"/>
        </w:rPr>
        <w:t xml:space="preserve"> en el sector público</w:t>
      </w:r>
      <w:r w:rsidR="00407A7F" w:rsidRPr="003624C4">
        <w:rPr>
          <w:rFonts w:ascii="Arial Narrow" w:hAnsi="Arial Narrow" w:cs="Tahoma"/>
          <w:sz w:val="26"/>
          <w:szCs w:val="26"/>
        </w:rPr>
        <w:t xml:space="preserve"> y </w:t>
      </w:r>
      <w:r w:rsidR="00907FC8" w:rsidRPr="003624C4">
        <w:rPr>
          <w:rFonts w:ascii="Arial Narrow" w:hAnsi="Arial Narrow" w:cs="Tahoma"/>
          <w:sz w:val="26"/>
          <w:szCs w:val="26"/>
        </w:rPr>
        <w:t>desde el 27 de octubre de 2002, tiene la pensión de jubilación asignada por La Caja de Previsión Nacional hoy UGPP. Que laboró en el sector privado y cotizo al ISS desde el 30 de enero de 1975, que al 1 de abril de 1994, tenía 41 años de edad, por lo que en principio es beneficiario del régimen de transición de la Ley 100 de 1993. Que el 17 de agosto de 2016, solicito a Colpensiones la pensión de vejez, y mediante la Resolución GNR 29922 del 25 de enero de 2017, le negó la prestación argumentando que  no se le puede conceder la pensión de vejez, toda vez que las cotizaciones consideradas en el cálculo de la pensión de jubilación reconocida por el Magisterio no podrán volver a ser tenidas en cuenta para dicho reconocimiento. Colpensiones en ese acto administrativo le reconoció 1373 semanas, de las cuales 827.28 las cotizó al 29 de julio de 2005, lo que le permite conservar el régimen de transición hasta el 2014, pues tenía a esa fecha más de 750 semanas. Que cumplió 60 años el 27 de octubre de 2012.</w:t>
      </w:r>
    </w:p>
    <w:p w:rsidR="00816396" w:rsidRPr="003624C4" w:rsidRDefault="00816396" w:rsidP="003624C4">
      <w:pPr>
        <w:pStyle w:val="Sinespaciado"/>
        <w:spacing w:line="288" w:lineRule="auto"/>
        <w:rPr>
          <w:rFonts w:ascii="Arial Narrow" w:hAnsi="Arial Narrow"/>
          <w:sz w:val="26"/>
          <w:szCs w:val="26"/>
        </w:rPr>
      </w:pPr>
    </w:p>
    <w:p w:rsidR="00816396" w:rsidRPr="003624C4" w:rsidRDefault="00A73E87" w:rsidP="003624C4">
      <w:pPr>
        <w:spacing w:line="288" w:lineRule="auto"/>
        <w:ind w:firstLine="900"/>
        <w:jc w:val="both"/>
        <w:rPr>
          <w:rFonts w:ascii="Arial Narrow" w:hAnsi="Arial Narrow" w:cs="Tahoma"/>
          <w:sz w:val="26"/>
          <w:szCs w:val="26"/>
        </w:rPr>
      </w:pPr>
      <w:r w:rsidRPr="003624C4">
        <w:rPr>
          <w:rFonts w:ascii="Arial Narrow" w:hAnsi="Arial Narrow" w:cs="Tahoma"/>
          <w:sz w:val="26"/>
          <w:szCs w:val="26"/>
        </w:rPr>
        <w:t>En la respuesta allegada por la entidad demandada, ésta se opuso a las pret</w:t>
      </w:r>
      <w:r w:rsidR="00C922E4" w:rsidRPr="003624C4">
        <w:rPr>
          <w:rFonts w:ascii="Arial Narrow" w:hAnsi="Arial Narrow" w:cs="Tahoma"/>
          <w:sz w:val="26"/>
          <w:szCs w:val="26"/>
        </w:rPr>
        <w:t>ensiones,</w:t>
      </w:r>
      <w:r w:rsidR="00286A33" w:rsidRPr="003624C4">
        <w:rPr>
          <w:rFonts w:ascii="Arial Narrow" w:hAnsi="Arial Narrow" w:cs="Tahoma"/>
          <w:sz w:val="26"/>
          <w:szCs w:val="26"/>
        </w:rPr>
        <w:t xml:space="preserve"> </w:t>
      </w:r>
      <w:r w:rsidR="00C922E4" w:rsidRPr="003624C4">
        <w:rPr>
          <w:rFonts w:ascii="Arial Narrow" w:hAnsi="Arial Narrow" w:cs="Tahoma"/>
          <w:sz w:val="26"/>
          <w:szCs w:val="26"/>
        </w:rPr>
        <w:t xml:space="preserve">que </w:t>
      </w:r>
      <w:r w:rsidR="00286A33" w:rsidRPr="003624C4">
        <w:rPr>
          <w:rFonts w:ascii="Arial Narrow" w:hAnsi="Arial Narrow" w:cs="Tahoma"/>
          <w:sz w:val="26"/>
          <w:szCs w:val="26"/>
        </w:rPr>
        <w:t>mediante la Resolución No. 16404 de 2003, la Caja Nacional de Previsión Social, le reconoció la pensión de jubilación, por</w:t>
      </w:r>
      <w:r w:rsidR="00C922E4" w:rsidRPr="003624C4">
        <w:rPr>
          <w:rFonts w:ascii="Arial Narrow" w:hAnsi="Arial Narrow" w:cs="Tahoma"/>
          <w:sz w:val="26"/>
          <w:szCs w:val="26"/>
        </w:rPr>
        <w:t xml:space="preserve"> los tiempos laborados como educador, por</w:t>
      </w:r>
      <w:r w:rsidR="00286A33" w:rsidRPr="003624C4">
        <w:rPr>
          <w:rFonts w:ascii="Arial Narrow" w:hAnsi="Arial Narrow" w:cs="Tahoma"/>
          <w:sz w:val="26"/>
          <w:szCs w:val="26"/>
        </w:rPr>
        <w:t xml:space="preserve"> lo que conforme al artículo 128 de la Constitución Política, nadie podrá  recibir más de una asignación que provenga del tesoro público. Que si bien el actor a pesar de dis</w:t>
      </w:r>
      <w:r w:rsidR="00C922E4" w:rsidRPr="003624C4">
        <w:rPr>
          <w:rFonts w:ascii="Arial Narrow" w:hAnsi="Arial Narrow" w:cs="Tahoma"/>
          <w:sz w:val="26"/>
          <w:szCs w:val="26"/>
        </w:rPr>
        <w:t>frutar la pensión de jubilación continuó</w:t>
      </w:r>
      <w:r w:rsidR="00286A33" w:rsidRPr="003624C4">
        <w:rPr>
          <w:rFonts w:ascii="Arial Narrow" w:hAnsi="Arial Narrow" w:cs="Tahoma"/>
          <w:sz w:val="26"/>
          <w:szCs w:val="26"/>
        </w:rPr>
        <w:t xml:space="preserve"> laborando, dichos aportes deben constituirse como bono pensional para la reliquidación </w:t>
      </w:r>
      <w:r w:rsidR="00286A33" w:rsidRPr="003624C4">
        <w:rPr>
          <w:rFonts w:ascii="Arial Narrow" w:hAnsi="Arial Narrow" w:cs="Tahoma"/>
          <w:sz w:val="26"/>
          <w:szCs w:val="26"/>
        </w:rPr>
        <w:lastRenderedPageBreak/>
        <w:t xml:space="preserve">de la pensión de jubilación y no en otra mesada adicional. </w:t>
      </w:r>
      <w:r w:rsidR="00245372" w:rsidRPr="003624C4">
        <w:rPr>
          <w:rFonts w:ascii="Arial Narrow" w:hAnsi="Arial Narrow" w:cs="Tahoma"/>
          <w:sz w:val="26"/>
          <w:szCs w:val="26"/>
        </w:rPr>
        <w:t>En su defensa, formuló como excepciones de fondo</w:t>
      </w:r>
      <w:r w:rsidR="00286A33" w:rsidRPr="003624C4">
        <w:rPr>
          <w:rFonts w:ascii="Arial Narrow" w:hAnsi="Arial Narrow" w:cs="Tahoma"/>
          <w:sz w:val="26"/>
          <w:szCs w:val="26"/>
        </w:rPr>
        <w:t>: i</w:t>
      </w:r>
      <w:r w:rsidR="00816396" w:rsidRPr="003624C4">
        <w:rPr>
          <w:rFonts w:ascii="Arial Narrow" w:hAnsi="Arial Narrow" w:cs="Tahoma"/>
          <w:sz w:val="26"/>
          <w:szCs w:val="26"/>
        </w:rPr>
        <w:t>nexistencia de la obligación demandada</w:t>
      </w:r>
      <w:r w:rsidR="00286A33" w:rsidRPr="003624C4">
        <w:rPr>
          <w:rFonts w:ascii="Arial Narrow" w:hAnsi="Arial Narrow" w:cs="Tahoma"/>
          <w:sz w:val="26"/>
          <w:szCs w:val="26"/>
        </w:rPr>
        <w:t xml:space="preserve"> </w:t>
      </w:r>
      <w:r w:rsidR="00816396" w:rsidRPr="003624C4">
        <w:rPr>
          <w:rFonts w:ascii="Arial Narrow" w:hAnsi="Arial Narrow" w:cs="Tahoma"/>
          <w:sz w:val="26"/>
          <w:szCs w:val="26"/>
        </w:rPr>
        <w:t xml:space="preserve">y </w:t>
      </w:r>
      <w:r w:rsidR="00286A33" w:rsidRPr="003624C4">
        <w:rPr>
          <w:rFonts w:ascii="Arial Narrow" w:hAnsi="Arial Narrow" w:cs="Tahoma"/>
          <w:sz w:val="26"/>
          <w:szCs w:val="26"/>
        </w:rPr>
        <w:t>prescripción</w:t>
      </w:r>
      <w:r w:rsidR="00816396" w:rsidRPr="003624C4">
        <w:rPr>
          <w:rFonts w:ascii="Arial Narrow" w:hAnsi="Arial Narrow" w:cs="Tahoma"/>
          <w:sz w:val="26"/>
          <w:szCs w:val="26"/>
        </w:rPr>
        <w:t xml:space="preserve">. </w:t>
      </w:r>
    </w:p>
    <w:p w:rsidR="00816396" w:rsidRPr="003624C4" w:rsidRDefault="00816396" w:rsidP="003624C4">
      <w:pPr>
        <w:spacing w:line="288" w:lineRule="auto"/>
        <w:jc w:val="both"/>
        <w:rPr>
          <w:rFonts w:ascii="Arial Narrow" w:hAnsi="Arial Narrow" w:cs="Tahoma"/>
          <w:sz w:val="26"/>
          <w:szCs w:val="26"/>
        </w:rPr>
      </w:pPr>
    </w:p>
    <w:p w:rsidR="00816396" w:rsidRPr="003624C4" w:rsidRDefault="00816396" w:rsidP="003624C4">
      <w:pPr>
        <w:pStyle w:val="Prrafodelista"/>
        <w:numPr>
          <w:ilvl w:val="0"/>
          <w:numId w:val="1"/>
        </w:numPr>
        <w:spacing w:line="288" w:lineRule="auto"/>
        <w:jc w:val="both"/>
        <w:rPr>
          <w:rFonts w:ascii="Arial Narrow" w:hAnsi="Arial Narrow" w:cs="Tahoma"/>
          <w:b/>
          <w:i/>
          <w:sz w:val="26"/>
          <w:szCs w:val="26"/>
        </w:rPr>
      </w:pPr>
      <w:r w:rsidRPr="003624C4">
        <w:rPr>
          <w:rFonts w:ascii="Arial Narrow" w:hAnsi="Arial Narrow" w:cs="Tahoma"/>
          <w:b/>
          <w:i/>
          <w:sz w:val="26"/>
          <w:szCs w:val="26"/>
        </w:rPr>
        <w:t>SENTENCIA DEL JUZGADO</w:t>
      </w:r>
    </w:p>
    <w:p w:rsidR="00F47816" w:rsidRPr="003624C4" w:rsidRDefault="00F47816" w:rsidP="003624C4">
      <w:pPr>
        <w:spacing w:line="288" w:lineRule="auto"/>
        <w:ind w:left="851"/>
        <w:jc w:val="both"/>
        <w:rPr>
          <w:rFonts w:ascii="Arial Narrow" w:hAnsi="Arial Narrow" w:cs="Tahoma"/>
          <w:b/>
          <w:i/>
          <w:sz w:val="26"/>
          <w:szCs w:val="26"/>
        </w:rPr>
      </w:pPr>
    </w:p>
    <w:p w:rsidR="00816396" w:rsidRPr="003624C4" w:rsidRDefault="00816396" w:rsidP="003624C4">
      <w:pPr>
        <w:shd w:val="clear" w:color="auto" w:fill="FFFFFF"/>
        <w:spacing w:line="288" w:lineRule="auto"/>
        <w:ind w:firstLine="851"/>
        <w:jc w:val="both"/>
        <w:rPr>
          <w:rFonts w:ascii="Arial Narrow" w:hAnsi="Arial Narrow" w:cs="Tahoma"/>
          <w:color w:val="000000"/>
          <w:sz w:val="26"/>
          <w:szCs w:val="26"/>
          <w:lang w:eastAsia="es-CO"/>
        </w:rPr>
      </w:pPr>
      <w:r w:rsidRPr="003624C4">
        <w:rPr>
          <w:rFonts w:ascii="Arial Narrow" w:hAnsi="Arial Narrow" w:cs="Tahoma"/>
          <w:color w:val="000000"/>
          <w:sz w:val="26"/>
          <w:szCs w:val="26"/>
          <w:lang w:eastAsia="es-CO"/>
        </w:rPr>
        <w:t xml:space="preserve">El Juzgado </w:t>
      </w:r>
      <w:r w:rsidR="0041456B" w:rsidRPr="003624C4">
        <w:rPr>
          <w:rFonts w:ascii="Arial Narrow" w:hAnsi="Arial Narrow" w:cs="Tahoma"/>
          <w:color w:val="000000"/>
          <w:sz w:val="26"/>
          <w:szCs w:val="26"/>
          <w:lang w:eastAsia="es-CO"/>
        </w:rPr>
        <w:t xml:space="preserve">de conocimiento mediante fallo del </w:t>
      </w:r>
      <w:r w:rsidR="00194301" w:rsidRPr="003624C4">
        <w:rPr>
          <w:rFonts w:ascii="Arial Narrow" w:hAnsi="Arial Narrow" w:cs="Tahoma"/>
          <w:color w:val="000000"/>
          <w:sz w:val="26"/>
          <w:szCs w:val="26"/>
          <w:lang w:eastAsia="es-CO"/>
        </w:rPr>
        <w:t>28</w:t>
      </w:r>
      <w:r w:rsidR="0041456B" w:rsidRPr="003624C4">
        <w:rPr>
          <w:rFonts w:ascii="Arial Narrow" w:hAnsi="Arial Narrow" w:cs="Tahoma"/>
          <w:color w:val="000000"/>
          <w:sz w:val="26"/>
          <w:szCs w:val="26"/>
          <w:lang w:eastAsia="es-CO"/>
        </w:rPr>
        <w:t xml:space="preserve"> de </w:t>
      </w:r>
      <w:r w:rsidR="00194301" w:rsidRPr="003624C4">
        <w:rPr>
          <w:rFonts w:ascii="Arial Narrow" w:hAnsi="Arial Narrow" w:cs="Tahoma"/>
          <w:color w:val="000000"/>
          <w:sz w:val="26"/>
          <w:szCs w:val="26"/>
          <w:lang w:eastAsia="es-CO"/>
        </w:rPr>
        <w:t xml:space="preserve">septiembre </w:t>
      </w:r>
      <w:r w:rsidR="0041456B" w:rsidRPr="003624C4">
        <w:rPr>
          <w:rFonts w:ascii="Arial Narrow" w:hAnsi="Arial Narrow" w:cs="Tahoma"/>
          <w:color w:val="000000"/>
          <w:sz w:val="26"/>
          <w:szCs w:val="26"/>
          <w:lang w:eastAsia="es-CO"/>
        </w:rPr>
        <w:t>de 201</w:t>
      </w:r>
      <w:r w:rsidR="00194301" w:rsidRPr="003624C4">
        <w:rPr>
          <w:rFonts w:ascii="Arial Narrow" w:hAnsi="Arial Narrow" w:cs="Tahoma"/>
          <w:color w:val="000000"/>
          <w:sz w:val="26"/>
          <w:szCs w:val="26"/>
          <w:lang w:eastAsia="es-CO"/>
        </w:rPr>
        <w:t>8</w:t>
      </w:r>
      <w:r w:rsidR="0041456B" w:rsidRPr="003624C4">
        <w:rPr>
          <w:rFonts w:ascii="Arial Narrow" w:hAnsi="Arial Narrow" w:cs="Tahoma"/>
          <w:color w:val="000000"/>
          <w:sz w:val="26"/>
          <w:szCs w:val="26"/>
          <w:lang w:eastAsia="es-CO"/>
        </w:rPr>
        <w:t xml:space="preserve">, accedió a las pretensiones de la demanda, al declarar que el demandante </w:t>
      </w:r>
      <w:r w:rsidR="00194301" w:rsidRPr="003624C4">
        <w:rPr>
          <w:rFonts w:ascii="Arial Narrow" w:hAnsi="Arial Narrow" w:cs="Tahoma"/>
          <w:color w:val="000000"/>
          <w:sz w:val="26"/>
          <w:szCs w:val="26"/>
          <w:lang w:eastAsia="es-CO"/>
        </w:rPr>
        <w:t xml:space="preserve">cumple con los requisitos establecidos en el artículo 36 de la Ley 100 de 1993, y el Acto Legislativo 01 de </w:t>
      </w:r>
      <w:r w:rsidR="00044EB9" w:rsidRPr="003624C4">
        <w:rPr>
          <w:rFonts w:ascii="Arial Narrow" w:hAnsi="Arial Narrow" w:cs="Tahoma"/>
          <w:color w:val="000000"/>
          <w:sz w:val="26"/>
          <w:szCs w:val="26"/>
          <w:lang w:eastAsia="es-CO"/>
        </w:rPr>
        <w:t>2005, por</w:t>
      </w:r>
      <w:r w:rsidR="00194301" w:rsidRPr="003624C4">
        <w:rPr>
          <w:rFonts w:ascii="Arial Narrow" w:hAnsi="Arial Narrow" w:cs="Tahoma"/>
          <w:color w:val="000000"/>
          <w:sz w:val="26"/>
          <w:szCs w:val="26"/>
          <w:lang w:eastAsia="es-CO"/>
        </w:rPr>
        <w:t xml:space="preserve"> ser beneficiario del régimen de transición en concordancia con el Acuerdo 049 de 1990, aprobado por el Decreto 758 del mismo año. Declaró no probadas las excepciones propuestas y condenó a Colpensiones al reconocimiento y pago de la pensión de vejez desde el 1 de septiembre de 2016, en cuantía de $3.808.909</w:t>
      </w:r>
      <w:r w:rsidR="001423D1" w:rsidRPr="003624C4">
        <w:rPr>
          <w:rFonts w:ascii="Arial Narrow" w:hAnsi="Arial Narrow" w:cs="Tahoma"/>
          <w:color w:val="000000"/>
          <w:sz w:val="26"/>
          <w:szCs w:val="26"/>
          <w:lang w:eastAsia="es-CO"/>
        </w:rPr>
        <w:t>,</w:t>
      </w:r>
      <w:r w:rsidR="00194301" w:rsidRPr="003624C4">
        <w:rPr>
          <w:rFonts w:ascii="Arial Narrow" w:hAnsi="Arial Narrow" w:cs="Tahoma"/>
          <w:color w:val="000000"/>
          <w:sz w:val="26"/>
          <w:szCs w:val="26"/>
          <w:lang w:eastAsia="es-CO"/>
        </w:rPr>
        <w:t xml:space="preserve"> y por 13 mesadas al año. Al pago del retroactivo pensional </w:t>
      </w:r>
      <w:r w:rsidR="001423D1" w:rsidRPr="003624C4">
        <w:rPr>
          <w:rFonts w:ascii="Arial Narrow" w:hAnsi="Arial Narrow" w:cs="Tahoma"/>
          <w:color w:val="000000"/>
          <w:sz w:val="26"/>
          <w:szCs w:val="26"/>
          <w:lang w:eastAsia="es-CO"/>
        </w:rPr>
        <w:t>hasta que</w:t>
      </w:r>
      <w:r w:rsidR="00044EB9" w:rsidRPr="003624C4">
        <w:rPr>
          <w:rFonts w:ascii="Arial Narrow" w:hAnsi="Arial Narrow" w:cs="Tahoma"/>
          <w:color w:val="000000"/>
          <w:sz w:val="26"/>
          <w:szCs w:val="26"/>
          <w:lang w:eastAsia="es-CO"/>
        </w:rPr>
        <w:t xml:space="preserve"> se haga la inclusión en nómina, </w:t>
      </w:r>
      <w:r w:rsidR="00912615" w:rsidRPr="003624C4">
        <w:rPr>
          <w:rFonts w:ascii="Arial Narrow" w:hAnsi="Arial Narrow" w:cs="Tahoma"/>
          <w:color w:val="000000"/>
          <w:sz w:val="26"/>
          <w:szCs w:val="26"/>
          <w:lang w:eastAsia="es-CO"/>
        </w:rPr>
        <w:t xml:space="preserve">al pago de los intereses moratorios del artículo 141 de la Ley 100 de 1993, a partir del 17 de diciembre de 2016, y hasta que se realice el pago efectivo. Autorizó a Colpensiones para que descuente del valor del retroactivo pensional el porcentaje por </w:t>
      </w:r>
      <w:r w:rsidR="00044EB9" w:rsidRPr="003624C4">
        <w:rPr>
          <w:rFonts w:ascii="Arial Narrow" w:hAnsi="Arial Narrow" w:cs="Tahoma"/>
          <w:color w:val="000000"/>
          <w:sz w:val="26"/>
          <w:szCs w:val="26"/>
          <w:lang w:eastAsia="es-CO"/>
        </w:rPr>
        <w:t>a</w:t>
      </w:r>
      <w:r w:rsidR="00912615" w:rsidRPr="003624C4">
        <w:rPr>
          <w:rFonts w:ascii="Arial Narrow" w:hAnsi="Arial Narrow" w:cs="Tahoma"/>
          <w:color w:val="000000"/>
          <w:sz w:val="26"/>
          <w:szCs w:val="26"/>
          <w:lang w:eastAsia="es-CO"/>
        </w:rPr>
        <w:t xml:space="preserve">portes </w:t>
      </w:r>
      <w:r w:rsidR="001423D1" w:rsidRPr="003624C4">
        <w:rPr>
          <w:rFonts w:ascii="Arial Narrow" w:hAnsi="Arial Narrow" w:cs="Tahoma"/>
          <w:color w:val="000000"/>
          <w:sz w:val="26"/>
          <w:szCs w:val="26"/>
          <w:lang w:eastAsia="es-CO"/>
        </w:rPr>
        <w:t>al ISS en salud</w:t>
      </w:r>
      <w:r w:rsidR="00912615" w:rsidRPr="003624C4">
        <w:rPr>
          <w:rFonts w:ascii="Arial Narrow" w:hAnsi="Arial Narrow" w:cs="Tahoma"/>
          <w:color w:val="000000"/>
          <w:sz w:val="26"/>
          <w:szCs w:val="26"/>
          <w:lang w:eastAsia="es-CO"/>
        </w:rPr>
        <w:t>. Condenó en costas procesales.</w:t>
      </w:r>
    </w:p>
    <w:p w:rsidR="00AE4573" w:rsidRPr="003624C4" w:rsidRDefault="00AE4573" w:rsidP="003624C4">
      <w:pPr>
        <w:pStyle w:val="Sinespaciado"/>
        <w:spacing w:line="288" w:lineRule="auto"/>
        <w:rPr>
          <w:rFonts w:ascii="Arial Narrow" w:hAnsi="Arial Narrow"/>
          <w:sz w:val="26"/>
          <w:szCs w:val="26"/>
        </w:rPr>
      </w:pPr>
    </w:p>
    <w:p w:rsidR="00A12561" w:rsidRPr="003624C4" w:rsidRDefault="00AE4573" w:rsidP="003624C4">
      <w:pPr>
        <w:spacing w:line="288" w:lineRule="auto"/>
        <w:ind w:firstLine="900"/>
        <w:jc w:val="both"/>
        <w:rPr>
          <w:rFonts w:ascii="Arial Narrow" w:hAnsi="Arial Narrow" w:cs="Tahoma"/>
          <w:sz w:val="26"/>
          <w:szCs w:val="26"/>
        </w:rPr>
      </w:pPr>
      <w:r w:rsidRPr="003624C4">
        <w:rPr>
          <w:rFonts w:ascii="Arial Narrow" w:hAnsi="Arial Narrow" w:cs="Tahoma"/>
          <w:color w:val="000000"/>
          <w:sz w:val="26"/>
          <w:szCs w:val="26"/>
          <w:lang w:eastAsia="es-CO"/>
        </w:rPr>
        <w:t xml:space="preserve">Para el efecto, </w:t>
      </w:r>
      <w:r w:rsidR="003624A4" w:rsidRPr="003624C4">
        <w:rPr>
          <w:rFonts w:ascii="Arial Narrow" w:hAnsi="Arial Narrow" w:cs="Tahoma"/>
          <w:color w:val="000000"/>
          <w:sz w:val="26"/>
          <w:szCs w:val="26"/>
          <w:lang w:eastAsia="es-CO"/>
        </w:rPr>
        <w:t xml:space="preserve">sostuvo que </w:t>
      </w:r>
      <w:r w:rsidR="00F12702" w:rsidRPr="003624C4">
        <w:rPr>
          <w:rFonts w:ascii="Arial Narrow" w:hAnsi="Arial Narrow" w:cs="Tahoma"/>
          <w:color w:val="000000"/>
          <w:sz w:val="26"/>
          <w:szCs w:val="26"/>
          <w:lang w:eastAsia="es-CO"/>
        </w:rPr>
        <w:t>con la entrada en vigencia de la Ley 812 de 2003, el régimen pensional del Magisterio pasó a ser parte del régimen general del pensiones de la Ley 100 de 1993 y</w:t>
      </w:r>
      <w:r w:rsidR="00A12561" w:rsidRPr="003624C4">
        <w:rPr>
          <w:rFonts w:ascii="Arial Narrow" w:hAnsi="Arial Narrow" w:cs="Tahoma"/>
          <w:color w:val="000000"/>
          <w:sz w:val="26"/>
          <w:szCs w:val="26"/>
          <w:lang w:eastAsia="es-CO"/>
        </w:rPr>
        <w:t xml:space="preserve"> Ley</w:t>
      </w:r>
      <w:r w:rsidR="00F12702" w:rsidRPr="003624C4">
        <w:rPr>
          <w:rFonts w:ascii="Arial Narrow" w:hAnsi="Arial Narrow" w:cs="Tahoma"/>
          <w:color w:val="000000"/>
          <w:sz w:val="26"/>
          <w:szCs w:val="26"/>
          <w:lang w:eastAsia="es-CO"/>
        </w:rPr>
        <w:t xml:space="preserve"> 797 de 2003, con los requisitos allí previstos, con excepción de la edad de pensión de vejez que era de 57 años para hombre</w:t>
      </w:r>
      <w:r w:rsidR="00A12561" w:rsidRPr="003624C4">
        <w:rPr>
          <w:rFonts w:ascii="Arial Narrow" w:hAnsi="Arial Narrow" w:cs="Tahoma"/>
          <w:color w:val="000000"/>
          <w:sz w:val="26"/>
          <w:szCs w:val="26"/>
          <w:lang w:eastAsia="es-CO"/>
        </w:rPr>
        <w:t>s</w:t>
      </w:r>
      <w:r w:rsidR="00F12702" w:rsidRPr="003624C4">
        <w:rPr>
          <w:rFonts w:ascii="Arial Narrow" w:hAnsi="Arial Narrow" w:cs="Tahoma"/>
          <w:color w:val="000000"/>
          <w:sz w:val="26"/>
          <w:szCs w:val="26"/>
          <w:lang w:eastAsia="es-CO"/>
        </w:rPr>
        <w:t xml:space="preserve"> y mujeres. Que </w:t>
      </w:r>
      <w:r w:rsidR="00A12561" w:rsidRPr="003624C4">
        <w:rPr>
          <w:rFonts w:ascii="Arial Narrow" w:hAnsi="Arial Narrow" w:cs="Tahoma"/>
          <w:color w:val="000000"/>
          <w:sz w:val="26"/>
          <w:szCs w:val="26"/>
          <w:lang w:eastAsia="es-CO"/>
        </w:rPr>
        <w:t>el parágrafo transitorio 1º adicionado por el artículo 1º del Acto Legislativo 01 de 2005, creó un límite temporal a este régimen para los docentes</w:t>
      </w:r>
      <w:r w:rsidR="00BE1AA7" w:rsidRPr="003624C4">
        <w:rPr>
          <w:rFonts w:ascii="Arial Narrow" w:hAnsi="Arial Narrow" w:cs="Tahoma"/>
          <w:color w:val="000000"/>
          <w:sz w:val="26"/>
          <w:szCs w:val="26"/>
          <w:lang w:eastAsia="es-CO"/>
        </w:rPr>
        <w:t xml:space="preserve"> nacionales,</w:t>
      </w:r>
      <w:r w:rsidR="00A12561" w:rsidRPr="003624C4">
        <w:rPr>
          <w:rFonts w:ascii="Arial Narrow" w:hAnsi="Arial Narrow" w:cs="Tahoma"/>
          <w:color w:val="000000"/>
          <w:sz w:val="26"/>
          <w:szCs w:val="26"/>
          <w:lang w:eastAsia="es-CO"/>
        </w:rPr>
        <w:t xml:space="preserve"> nacionalizados y territoriales, cuya vinculación se diera con antelación al 27 de junio de 2003, de modo que se les mantiene el régimen exceptuado de la Ley 100 de 1993, y que</w:t>
      </w:r>
      <w:r w:rsidR="00F12702" w:rsidRPr="003624C4">
        <w:rPr>
          <w:rFonts w:ascii="Arial Narrow" w:hAnsi="Arial Narrow" w:cs="Tahoma"/>
          <w:color w:val="000000"/>
          <w:sz w:val="26"/>
          <w:szCs w:val="26"/>
          <w:lang w:eastAsia="es-CO"/>
        </w:rPr>
        <w:t xml:space="preserve"> </w:t>
      </w:r>
      <w:r w:rsidR="00C179CC" w:rsidRPr="003624C4">
        <w:rPr>
          <w:rFonts w:ascii="Arial Narrow" w:hAnsi="Arial Narrow" w:cs="Tahoma"/>
          <w:color w:val="000000"/>
          <w:sz w:val="26"/>
          <w:szCs w:val="26"/>
          <w:lang w:eastAsia="es-CO"/>
        </w:rPr>
        <w:t>el demandante se encuentra en el contingente de personas pertenecientes al régimen e</w:t>
      </w:r>
      <w:r w:rsidR="00C179CC" w:rsidRPr="003624C4">
        <w:rPr>
          <w:rFonts w:ascii="Arial Narrow" w:hAnsi="Arial Narrow" w:cs="Tahoma"/>
          <w:sz w:val="26"/>
          <w:szCs w:val="26"/>
        </w:rPr>
        <w:t>xceptuado, de conformidad con el artículo 279 de la Constitución Pol</w:t>
      </w:r>
      <w:r w:rsidR="00857138" w:rsidRPr="003624C4">
        <w:rPr>
          <w:rFonts w:ascii="Arial Narrow" w:hAnsi="Arial Narrow" w:cs="Tahoma"/>
          <w:sz w:val="26"/>
          <w:szCs w:val="26"/>
        </w:rPr>
        <w:t>ítica</w:t>
      </w:r>
      <w:r w:rsidR="00A12561" w:rsidRPr="003624C4">
        <w:rPr>
          <w:rFonts w:ascii="Arial Narrow" w:hAnsi="Arial Narrow" w:cs="Tahoma"/>
          <w:sz w:val="26"/>
          <w:szCs w:val="26"/>
        </w:rPr>
        <w:t xml:space="preserve">, de manera que para el caso concreto es dable conservar el sistema pensional previsto en la </w:t>
      </w:r>
      <w:r w:rsidR="00C179CC" w:rsidRPr="003624C4">
        <w:rPr>
          <w:rFonts w:ascii="Arial Narrow" w:hAnsi="Arial Narrow" w:cs="Tahoma"/>
          <w:sz w:val="26"/>
          <w:szCs w:val="26"/>
        </w:rPr>
        <w:t xml:space="preserve">Ley </w:t>
      </w:r>
      <w:r w:rsidR="00A12561" w:rsidRPr="003624C4">
        <w:rPr>
          <w:rFonts w:ascii="Arial Narrow" w:hAnsi="Arial Narrow" w:cs="Tahoma"/>
          <w:sz w:val="26"/>
          <w:szCs w:val="26"/>
        </w:rPr>
        <w:t>91 de 1989, q</w:t>
      </w:r>
      <w:r w:rsidR="009B0804" w:rsidRPr="003624C4">
        <w:rPr>
          <w:rFonts w:ascii="Arial Narrow" w:hAnsi="Arial Narrow" w:cs="Tahoma"/>
          <w:sz w:val="26"/>
          <w:szCs w:val="26"/>
        </w:rPr>
        <w:t>ue disponía que dichas prestaciones</w:t>
      </w:r>
      <w:r w:rsidR="00A12561" w:rsidRPr="003624C4">
        <w:rPr>
          <w:rFonts w:ascii="Arial Narrow" w:hAnsi="Arial Narrow" w:cs="Tahoma"/>
          <w:sz w:val="26"/>
          <w:szCs w:val="26"/>
        </w:rPr>
        <w:t xml:space="preserve"> eran compatibles con pensiones o cualquier clase de remuneración. </w:t>
      </w:r>
    </w:p>
    <w:p w:rsidR="00A12561" w:rsidRPr="003624C4" w:rsidRDefault="00A12561" w:rsidP="003624C4">
      <w:pPr>
        <w:spacing w:line="288" w:lineRule="auto"/>
        <w:ind w:firstLine="900"/>
        <w:jc w:val="both"/>
        <w:rPr>
          <w:rFonts w:ascii="Arial Narrow" w:hAnsi="Arial Narrow" w:cs="Tahoma"/>
          <w:sz w:val="26"/>
          <w:szCs w:val="26"/>
        </w:rPr>
      </w:pPr>
    </w:p>
    <w:p w:rsidR="00FC0172" w:rsidRPr="006C01F6" w:rsidRDefault="00FC0172" w:rsidP="003624C4">
      <w:pPr>
        <w:pStyle w:val="Prrafodelista"/>
        <w:numPr>
          <w:ilvl w:val="0"/>
          <w:numId w:val="1"/>
        </w:numPr>
        <w:shd w:val="clear" w:color="auto" w:fill="FFFFFF"/>
        <w:spacing w:line="288" w:lineRule="auto"/>
        <w:jc w:val="both"/>
        <w:rPr>
          <w:rFonts w:ascii="Arial Narrow" w:hAnsi="Arial Narrow" w:cs="Tahoma"/>
          <w:b/>
          <w:color w:val="000000"/>
          <w:sz w:val="26"/>
          <w:szCs w:val="26"/>
          <w:lang w:eastAsia="es-CO"/>
        </w:rPr>
      </w:pPr>
      <w:r w:rsidRPr="006C01F6">
        <w:rPr>
          <w:rFonts w:ascii="Arial Narrow" w:hAnsi="Arial Narrow" w:cs="Tahoma"/>
          <w:b/>
          <w:color w:val="000000"/>
          <w:sz w:val="26"/>
          <w:szCs w:val="26"/>
          <w:lang w:eastAsia="es-CO"/>
        </w:rPr>
        <w:t>APELACIÓN</w:t>
      </w:r>
      <w:r w:rsidR="00573DD0" w:rsidRPr="006C01F6">
        <w:rPr>
          <w:rFonts w:ascii="Arial Narrow" w:hAnsi="Arial Narrow" w:cs="Tahoma"/>
          <w:b/>
          <w:color w:val="000000"/>
          <w:sz w:val="26"/>
          <w:szCs w:val="26"/>
          <w:lang w:eastAsia="es-CO"/>
        </w:rPr>
        <w:t xml:space="preserve"> Y CONSULTA</w:t>
      </w:r>
    </w:p>
    <w:p w:rsidR="00BE1AA7" w:rsidRPr="003624C4" w:rsidRDefault="00BE1AA7" w:rsidP="003624C4">
      <w:pPr>
        <w:shd w:val="clear" w:color="auto" w:fill="FFFFFF"/>
        <w:spacing w:line="288" w:lineRule="auto"/>
        <w:ind w:left="851"/>
        <w:jc w:val="both"/>
        <w:rPr>
          <w:rFonts w:ascii="Arial Narrow" w:hAnsi="Arial Narrow" w:cs="Tahoma"/>
          <w:color w:val="000000"/>
          <w:sz w:val="26"/>
          <w:szCs w:val="26"/>
          <w:lang w:eastAsia="es-CO"/>
        </w:rPr>
      </w:pPr>
    </w:p>
    <w:p w:rsidR="00FC0172" w:rsidRPr="003624C4" w:rsidRDefault="00FC0172" w:rsidP="003624C4">
      <w:pPr>
        <w:shd w:val="clear" w:color="auto" w:fill="FFFFFF"/>
        <w:spacing w:line="288" w:lineRule="auto"/>
        <w:ind w:firstLine="1418"/>
        <w:jc w:val="both"/>
        <w:rPr>
          <w:rFonts w:ascii="Arial Narrow" w:hAnsi="Arial Narrow" w:cs="Tahoma"/>
          <w:color w:val="000000"/>
          <w:sz w:val="26"/>
          <w:szCs w:val="26"/>
          <w:lang w:eastAsia="es-CO"/>
        </w:rPr>
      </w:pPr>
      <w:r w:rsidRPr="003624C4">
        <w:rPr>
          <w:rFonts w:ascii="Arial Narrow" w:hAnsi="Arial Narrow" w:cs="Tahoma"/>
          <w:color w:val="000000"/>
          <w:sz w:val="26"/>
          <w:szCs w:val="26"/>
          <w:lang w:eastAsia="es-CO"/>
        </w:rPr>
        <w:t xml:space="preserve">La entidad </w:t>
      </w:r>
      <w:r w:rsidR="0034135A" w:rsidRPr="003624C4">
        <w:rPr>
          <w:rFonts w:ascii="Arial Narrow" w:hAnsi="Arial Narrow" w:cs="Tahoma"/>
          <w:color w:val="000000"/>
          <w:sz w:val="26"/>
          <w:szCs w:val="26"/>
          <w:lang w:eastAsia="es-CO"/>
        </w:rPr>
        <w:t>demandada</w:t>
      </w:r>
      <w:r w:rsidRPr="003624C4">
        <w:rPr>
          <w:rFonts w:ascii="Arial Narrow" w:hAnsi="Arial Narrow" w:cs="Tahoma"/>
          <w:color w:val="000000"/>
          <w:sz w:val="26"/>
          <w:szCs w:val="26"/>
          <w:lang w:eastAsia="es-CO"/>
        </w:rPr>
        <w:t>, interpuso el recurso de apelación contra la decisión, alegando que</w:t>
      </w:r>
      <w:r w:rsidR="00B94CCF" w:rsidRPr="003624C4">
        <w:rPr>
          <w:rFonts w:ascii="Arial Narrow" w:hAnsi="Arial Narrow" w:cs="Tahoma"/>
          <w:color w:val="000000"/>
          <w:sz w:val="26"/>
          <w:szCs w:val="26"/>
          <w:lang w:eastAsia="es-CO"/>
        </w:rPr>
        <w:t xml:space="preserve"> si bien el actor tenía 41 años de edad al 1 de abril de 1994, y cumplió la edad pensional el 27 de octubre de 2012, también </w:t>
      </w:r>
      <w:r w:rsidR="00D66B1D" w:rsidRPr="003624C4">
        <w:rPr>
          <w:rFonts w:ascii="Arial Narrow" w:hAnsi="Arial Narrow" w:cs="Tahoma"/>
          <w:sz w:val="26"/>
          <w:szCs w:val="26"/>
        </w:rPr>
        <w:t>la Caja Nacional de Previsión Social hoy UGPP</w:t>
      </w:r>
      <w:r w:rsidR="00D66B1D" w:rsidRPr="003624C4">
        <w:rPr>
          <w:rFonts w:ascii="Arial Narrow" w:hAnsi="Arial Narrow" w:cs="Tahoma"/>
          <w:color w:val="000000"/>
          <w:sz w:val="26"/>
          <w:szCs w:val="26"/>
          <w:lang w:eastAsia="es-CO"/>
        </w:rPr>
        <w:t xml:space="preserve"> le</w:t>
      </w:r>
      <w:r w:rsidR="00B94CCF" w:rsidRPr="003624C4">
        <w:rPr>
          <w:rFonts w:ascii="Arial Narrow" w:hAnsi="Arial Narrow" w:cs="Tahoma"/>
          <w:color w:val="000000"/>
          <w:sz w:val="26"/>
          <w:szCs w:val="26"/>
          <w:lang w:eastAsia="es-CO"/>
        </w:rPr>
        <w:t xml:space="preserve"> concedió </w:t>
      </w:r>
      <w:r w:rsidR="00D66B1D" w:rsidRPr="003624C4">
        <w:rPr>
          <w:rFonts w:ascii="Arial Narrow" w:hAnsi="Arial Narrow" w:cs="Tahoma"/>
          <w:color w:val="000000"/>
          <w:sz w:val="26"/>
          <w:szCs w:val="26"/>
          <w:lang w:eastAsia="es-CO"/>
        </w:rPr>
        <w:t>l</w:t>
      </w:r>
      <w:r w:rsidR="00B94CCF" w:rsidRPr="003624C4">
        <w:rPr>
          <w:rFonts w:ascii="Arial Narrow" w:hAnsi="Arial Narrow" w:cs="Tahoma"/>
          <w:color w:val="000000"/>
          <w:sz w:val="26"/>
          <w:szCs w:val="26"/>
          <w:lang w:eastAsia="es-CO"/>
        </w:rPr>
        <w:t xml:space="preserve">a </w:t>
      </w:r>
      <w:r w:rsidR="00B94CCF" w:rsidRPr="003624C4">
        <w:rPr>
          <w:rFonts w:ascii="Arial Narrow" w:hAnsi="Arial Narrow" w:cs="Tahoma"/>
          <w:sz w:val="26"/>
          <w:szCs w:val="26"/>
        </w:rPr>
        <w:t xml:space="preserve">pensión vitalicia de jubilación </w:t>
      </w:r>
      <w:r w:rsidR="00D66B1D" w:rsidRPr="003624C4">
        <w:rPr>
          <w:rFonts w:ascii="Arial Narrow" w:hAnsi="Arial Narrow" w:cs="Tahoma"/>
          <w:sz w:val="26"/>
          <w:szCs w:val="26"/>
        </w:rPr>
        <w:t xml:space="preserve">mediante la Resolución No. 16404 de 2003, </w:t>
      </w:r>
      <w:r w:rsidR="00B94CCF" w:rsidRPr="003624C4">
        <w:rPr>
          <w:rFonts w:ascii="Arial Narrow" w:hAnsi="Arial Narrow" w:cs="Tahoma"/>
          <w:sz w:val="26"/>
          <w:szCs w:val="26"/>
        </w:rPr>
        <w:t>con los tiempos servidos com</w:t>
      </w:r>
      <w:r w:rsidR="00D66B1D" w:rsidRPr="003624C4">
        <w:rPr>
          <w:rFonts w:ascii="Arial Narrow" w:hAnsi="Arial Narrow" w:cs="Tahoma"/>
          <w:sz w:val="26"/>
          <w:szCs w:val="26"/>
        </w:rPr>
        <w:t>o educador</w:t>
      </w:r>
      <w:r w:rsidR="00B94CCF" w:rsidRPr="003624C4">
        <w:rPr>
          <w:rFonts w:ascii="Arial Narrow" w:hAnsi="Arial Narrow" w:cs="Tahoma"/>
          <w:sz w:val="26"/>
          <w:szCs w:val="26"/>
        </w:rPr>
        <w:t>, por lo que conforme al artículo 128 de la Constitución Política, nadie podrá  recibir más de una asignación que provenga del tesoro público. Que si bien el actor a pesar de disfrutar la pensión de jubilación continúo laborando, dichos aportes deben constituirse como bono pensional para la reliquidación de la pensión de jubilación y no en otra mesada adicional.</w:t>
      </w:r>
    </w:p>
    <w:p w:rsidR="00FC0172" w:rsidRPr="003624C4" w:rsidRDefault="00FC0172" w:rsidP="003624C4">
      <w:pPr>
        <w:shd w:val="clear" w:color="auto" w:fill="FFFFFF"/>
        <w:spacing w:line="288" w:lineRule="auto"/>
        <w:ind w:firstLine="710"/>
        <w:jc w:val="both"/>
        <w:rPr>
          <w:rFonts w:ascii="Arial Narrow" w:hAnsi="Arial Narrow" w:cs="Tahoma"/>
          <w:color w:val="000000"/>
          <w:sz w:val="26"/>
          <w:szCs w:val="26"/>
          <w:lang w:eastAsia="es-CO"/>
        </w:rPr>
      </w:pPr>
    </w:p>
    <w:p w:rsidR="00816396" w:rsidRPr="003624C4" w:rsidRDefault="00816396" w:rsidP="003624C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3624C4">
        <w:rPr>
          <w:rFonts w:ascii="Arial Narrow" w:hAnsi="Arial Narrow" w:cs="Tahoma"/>
          <w:b/>
          <w:i/>
          <w:sz w:val="26"/>
          <w:szCs w:val="26"/>
        </w:rPr>
        <w:lastRenderedPageBreak/>
        <w:t>Del problema jurídico.</w:t>
      </w:r>
    </w:p>
    <w:p w:rsidR="00B75ACD" w:rsidRPr="003624C4" w:rsidRDefault="00B75ACD" w:rsidP="003624C4">
      <w:pPr>
        <w:pStyle w:val="Sinespaciado"/>
        <w:spacing w:line="288" w:lineRule="auto"/>
        <w:rPr>
          <w:rFonts w:ascii="Arial Narrow" w:hAnsi="Arial Narrow"/>
          <w:sz w:val="26"/>
          <w:szCs w:val="26"/>
        </w:rPr>
      </w:pPr>
    </w:p>
    <w:p w:rsidR="00B75ACD" w:rsidRPr="003624C4" w:rsidRDefault="00B75ACD" w:rsidP="003624C4">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3624C4">
        <w:rPr>
          <w:rFonts w:ascii="Arial Narrow" w:hAnsi="Arial Narrow" w:cs="Tahoma"/>
          <w:i/>
          <w:color w:val="000000"/>
          <w:sz w:val="26"/>
          <w:szCs w:val="26"/>
          <w:lang w:eastAsia="es-CO"/>
        </w:rPr>
        <w:t xml:space="preserve">¿Es compatible </w:t>
      </w:r>
      <w:r w:rsidR="00B00CA1" w:rsidRPr="003624C4">
        <w:rPr>
          <w:rFonts w:ascii="Arial Narrow" w:hAnsi="Arial Narrow" w:cs="Tahoma"/>
          <w:i/>
          <w:color w:val="000000"/>
          <w:sz w:val="26"/>
          <w:szCs w:val="26"/>
          <w:lang w:eastAsia="es-CO"/>
        </w:rPr>
        <w:t>la pensión gracia</w:t>
      </w:r>
      <w:r w:rsidR="006012FC" w:rsidRPr="003624C4">
        <w:rPr>
          <w:rFonts w:ascii="Arial Narrow" w:hAnsi="Arial Narrow" w:cs="Tahoma"/>
          <w:i/>
          <w:color w:val="000000"/>
          <w:sz w:val="26"/>
          <w:szCs w:val="26"/>
          <w:lang w:eastAsia="es-CO"/>
        </w:rPr>
        <w:t xml:space="preserve"> </w:t>
      </w:r>
      <w:r w:rsidRPr="003624C4">
        <w:rPr>
          <w:rFonts w:ascii="Arial Narrow" w:hAnsi="Arial Narrow" w:cs="Tahoma"/>
          <w:i/>
          <w:color w:val="000000"/>
          <w:sz w:val="26"/>
          <w:szCs w:val="26"/>
          <w:lang w:eastAsia="es-CO"/>
        </w:rPr>
        <w:t xml:space="preserve"> reconocida por </w:t>
      </w:r>
      <w:proofErr w:type="spellStart"/>
      <w:r w:rsidRPr="003624C4">
        <w:rPr>
          <w:rFonts w:ascii="Arial Narrow" w:hAnsi="Arial Narrow" w:cs="Tahoma"/>
          <w:i/>
          <w:color w:val="000000"/>
          <w:sz w:val="26"/>
          <w:szCs w:val="26"/>
          <w:lang w:eastAsia="es-CO"/>
        </w:rPr>
        <w:t>Cajanal</w:t>
      </w:r>
      <w:proofErr w:type="spellEnd"/>
      <w:r w:rsidR="00B00CA1" w:rsidRPr="003624C4">
        <w:rPr>
          <w:rFonts w:ascii="Arial Narrow" w:hAnsi="Arial Narrow" w:cs="Tahoma"/>
          <w:i/>
          <w:color w:val="000000"/>
          <w:sz w:val="26"/>
          <w:szCs w:val="26"/>
          <w:lang w:eastAsia="es-CO"/>
        </w:rPr>
        <w:t xml:space="preserve"> con la </w:t>
      </w:r>
      <w:r w:rsidR="00D65275" w:rsidRPr="003624C4">
        <w:rPr>
          <w:rFonts w:ascii="Arial Narrow" w:hAnsi="Arial Narrow" w:cs="Tahoma"/>
          <w:i/>
          <w:color w:val="000000"/>
          <w:sz w:val="26"/>
          <w:szCs w:val="26"/>
          <w:lang w:eastAsia="es-CO"/>
        </w:rPr>
        <w:t xml:space="preserve">pensión de </w:t>
      </w:r>
      <w:r w:rsidR="00B00CA1" w:rsidRPr="003624C4">
        <w:rPr>
          <w:rFonts w:ascii="Arial Narrow" w:hAnsi="Arial Narrow" w:cs="Tahoma"/>
          <w:i/>
          <w:color w:val="000000"/>
          <w:sz w:val="26"/>
          <w:szCs w:val="26"/>
          <w:lang w:eastAsia="es-CO"/>
        </w:rPr>
        <w:t xml:space="preserve"> vejez que reconoce el régimen de prima media con prestación definida</w:t>
      </w:r>
      <w:r w:rsidRPr="003624C4">
        <w:rPr>
          <w:rFonts w:ascii="Arial Narrow" w:hAnsi="Arial Narrow" w:cs="Tahoma"/>
          <w:i/>
          <w:color w:val="000000"/>
          <w:sz w:val="26"/>
          <w:szCs w:val="26"/>
          <w:lang w:eastAsia="es-CO"/>
        </w:rPr>
        <w:t>?</w:t>
      </w:r>
    </w:p>
    <w:p w:rsidR="00816396" w:rsidRPr="003624C4" w:rsidRDefault="00816396" w:rsidP="003624C4">
      <w:pPr>
        <w:pStyle w:val="Sinespaciado"/>
        <w:spacing w:line="288" w:lineRule="auto"/>
        <w:rPr>
          <w:rFonts w:ascii="Arial Narrow" w:hAnsi="Arial Narrow"/>
          <w:sz w:val="26"/>
          <w:szCs w:val="26"/>
        </w:rPr>
      </w:pPr>
    </w:p>
    <w:p w:rsidR="00816396" w:rsidRPr="003624C4" w:rsidRDefault="00816396" w:rsidP="003624C4">
      <w:pPr>
        <w:pStyle w:val="Sinespaciado"/>
        <w:spacing w:line="288" w:lineRule="auto"/>
        <w:ind w:firstLine="708"/>
        <w:jc w:val="both"/>
        <w:rPr>
          <w:rFonts w:ascii="Arial Narrow" w:hAnsi="Arial Narrow"/>
          <w:i/>
          <w:sz w:val="26"/>
          <w:szCs w:val="26"/>
        </w:rPr>
      </w:pPr>
      <w:r w:rsidRPr="003624C4">
        <w:rPr>
          <w:rFonts w:ascii="Arial Narrow" w:hAnsi="Arial Narrow"/>
          <w:i/>
          <w:sz w:val="26"/>
          <w:szCs w:val="26"/>
        </w:rPr>
        <w:t>¿</w:t>
      </w:r>
      <w:r w:rsidR="00B00CA1" w:rsidRPr="003624C4">
        <w:rPr>
          <w:rFonts w:ascii="Arial Narrow" w:hAnsi="Arial Narrow"/>
          <w:i/>
          <w:sz w:val="26"/>
          <w:szCs w:val="26"/>
        </w:rPr>
        <w:t xml:space="preserve">Tiene derecho el demandante a dicha </w:t>
      </w:r>
      <w:r w:rsidR="00D6393D" w:rsidRPr="003624C4">
        <w:rPr>
          <w:rFonts w:ascii="Arial Narrow" w:hAnsi="Arial Narrow"/>
          <w:i/>
          <w:sz w:val="26"/>
          <w:szCs w:val="26"/>
        </w:rPr>
        <w:t>pensión de vejez</w:t>
      </w:r>
      <w:r w:rsidRPr="003624C4">
        <w:rPr>
          <w:rFonts w:ascii="Arial Narrow" w:hAnsi="Arial Narrow"/>
          <w:i/>
          <w:sz w:val="26"/>
          <w:szCs w:val="26"/>
        </w:rPr>
        <w:t>?</w:t>
      </w:r>
    </w:p>
    <w:p w:rsidR="001D419E" w:rsidRPr="003624C4" w:rsidRDefault="001D419E" w:rsidP="003624C4">
      <w:pPr>
        <w:pStyle w:val="Sinespaciado"/>
        <w:spacing w:line="288" w:lineRule="auto"/>
        <w:rPr>
          <w:rFonts w:ascii="Arial Narrow" w:hAnsi="Arial Narrow"/>
          <w:sz w:val="26"/>
          <w:szCs w:val="26"/>
        </w:rPr>
      </w:pPr>
    </w:p>
    <w:p w:rsidR="00816396" w:rsidRPr="003624C4" w:rsidRDefault="00816396" w:rsidP="003624C4">
      <w:pPr>
        <w:tabs>
          <w:tab w:val="left" w:pos="0"/>
          <w:tab w:val="left" w:pos="8647"/>
        </w:tabs>
        <w:suppressAutoHyphens/>
        <w:spacing w:line="288" w:lineRule="auto"/>
        <w:ind w:firstLine="900"/>
        <w:jc w:val="both"/>
        <w:rPr>
          <w:rFonts w:ascii="Arial Narrow" w:hAnsi="Arial Narrow" w:cs="Tahoma"/>
          <w:sz w:val="26"/>
          <w:szCs w:val="26"/>
        </w:rPr>
      </w:pPr>
      <w:r w:rsidRPr="003624C4">
        <w:rPr>
          <w:rFonts w:ascii="Arial Narrow" w:hAnsi="Arial Narrow" w:cs="Tahoma"/>
          <w:b/>
          <w:i/>
          <w:sz w:val="26"/>
          <w:szCs w:val="26"/>
        </w:rPr>
        <w:t>Alegatos en esta instancia</w:t>
      </w:r>
      <w:r w:rsidRPr="003624C4">
        <w:rPr>
          <w:rFonts w:ascii="Arial Narrow" w:hAnsi="Arial Narrow" w:cs="Tahoma"/>
          <w:sz w:val="26"/>
          <w:szCs w:val="26"/>
        </w:rPr>
        <w:t>:</w:t>
      </w:r>
    </w:p>
    <w:p w:rsidR="00816396" w:rsidRPr="003624C4" w:rsidRDefault="00816396" w:rsidP="003624C4">
      <w:pPr>
        <w:pStyle w:val="Sinespaciado"/>
        <w:spacing w:line="288" w:lineRule="auto"/>
        <w:rPr>
          <w:rFonts w:ascii="Arial Narrow" w:hAnsi="Arial Narrow"/>
          <w:sz w:val="26"/>
          <w:szCs w:val="26"/>
        </w:rPr>
      </w:pPr>
    </w:p>
    <w:p w:rsidR="00816396" w:rsidRPr="003624C4" w:rsidRDefault="00816396" w:rsidP="003624C4">
      <w:pPr>
        <w:spacing w:line="288" w:lineRule="auto"/>
        <w:ind w:firstLine="851"/>
        <w:jc w:val="both"/>
        <w:rPr>
          <w:rFonts w:ascii="Arial Narrow" w:hAnsi="Arial Narrow" w:cs="Tahoma"/>
          <w:sz w:val="26"/>
          <w:szCs w:val="26"/>
        </w:rPr>
      </w:pPr>
      <w:r w:rsidRPr="003624C4">
        <w:rPr>
          <w:rFonts w:ascii="Arial Narrow" w:hAnsi="Arial Narrow" w:cs="Tahoma"/>
          <w:sz w:val="26"/>
          <w:szCs w:val="26"/>
        </w:rPr>
        <w:t xml:space="preserve">En este estado de la diligencia y antes de que la Colegiatura, de respuesta al problema jurídico planteado, se corre traslado por el término de 8 minutos, a cada uno de los voceros judiciales de las partes asistentes a la audiencia, para que presenten sus alegatos de conclusión. Escuchadas las anteriores intervenciones que en síntesis reflejan los puntos debatidos por los integrantes de la Sala, se procede a decidir de fondo, previa las siguientes: </w:t>
      </w:r>
    </w:p>
    <w:p w:rsidR="00816396" w:rsidRPr="003624C4" w:rsidRDefault="00816396" w:rsidP="003624C4">
      <w:pPr>
        <w:pStyle w:val="Sinespaciado"/>
        <w:spacing w:line="288" w:lineRule="auto"/>
        <w:rPr>
          <w:rFonts w:ascii="Arial Narrow" w:hAnsi="Arial Narrow"/>
          <w:sz w:val="26"/>
          <w:szCs w:val="26"/>
        </w:rPr>
      </w:pPr>
    </w:p>
    <w:p w:rsidR="00816396" w:rsidRPr="003624C4" w:rsidRDefault="00F665F5" w:rsidP="003624C4">
      <w:pPr>
        <w:pStyle w:val="Prrafodelista"/>
        <w:numPr>
          <w:ilvl w:val="0"/>
          <w:numId w:val="1"/>
        </w:numPr>
        <w:spacing w:line="288" w:lineRule="auto"/>
        <w:jc w:val="both"/>
        <w:rPr>
          <w:rFonts w:ascii="Arial Narrow" w:hAnsi="Arial Narrow" w:cs="Tahoma"/>
          <w:b/>
          <w:sz w:val="26"/>
          <w:szCs w:val="26"/>
        </w:rPr>
      </w:pPr>
      <w:r w:rsidRPr="003624C4">
        <w:rPr>
          <w:rFonts w:ascii="Arial Narrow" w:hAnsi="Arial Narrow" w:cs="Tahoma"/>
          <w:b/>
          <w:sz w:val="26"/>
          <w:szCs w:val="26"/>
        </w:rPr>
        <w:t>CONSIDERACIONES</w:t>
      </w:r>
    </w:p>
    <w:p w:rsidR="00F665F5" w:rsidRPr="003624C4" w:rsidRDefault="00F665F5" w:rsidP="003624C4">
      <w:pPr>
        <w:pStyle w:val="Sinespaciado"/>
        <w:spacing w:line="288" w:lineRule="auto"/>
        <w:rPr>
          <w:rFonts w:ascii="Arial Narrow" w:hAnsi="Arial Narrow"/>
          <w:sz w:val="26"/>
          <w:szCs w:val="26"/>
        </w:rPr>
      </w:pPr>
    </w:p>
    <w:p w:rsidR="00F665F5" w:rsidRPr="003624C4" w:rsidRDefault="00F665F5" w:rsidP="003624C4">
      <w:pPr>
        <w:spacing w:line="288" w:lineRule="auto"/>
        <w:ind w:firstLine="708"/>
        <w:jc w:val="both"/>
        <w:rPr>
          <w:rFonts w:ascii="Arial Narrow" w:hAnsi="Arial Narrow" w:cs="Tahoma"/>
          <w:b/>
          <w:sz w:val="26"/>
          <w:szCs w:val="26"/>
        </w:rPr>
      </w:pPr>
      <w:r w:rsidRPr="003624C4">
        <w:rPr>
          <w:rFonts w:ascii="Arial Narrow" w:hAnsi="Arial Narrow" w:cs="Tahoma"/>
          <w:b/>
          <w:sz w:val="26"/>
          <w:szCs w:val="26"/>
        </w:rPr>
        <w:t>De la compatibilidad pensional</w:t>
      </w:r>
    </w:p>
    <w:p w:rsidR="004302AD" w:rsidRPr="003624C4" w:rsidRDefault="00816396" w:rsidP="003624C4">
      <w:pPr>
        <w:pStyle w:val="Sinespaciado"/>
        <w:spacing w:line="288" w:lineRule="auto"/>
        <w:rPr>
          <w:rFonts w:ascii="Arial Narrow" w:hAnsi="Arial Narrow"/>
          <w:sz w:val="26"/>
          <w:szCs w:val="26"/>
        </w:rPr>
      </w:pPr>
      <w:r w:rsidRPr="003624C4">
        <w:rPr>
          <w:rFonts w:ascii="Arial Narrow" w:hAnsi="Arial Narrow"/>
          <w:sz w:val="26"/>
          <w:szCs w:val="26"/>
        </w:rPr>
        <w:tab/>
      </w:r>
    </w:p>
    <w:p w:rsidR="006D24F1" w:rsidRPr="003624C4" w:rsidRDefault="006D24F1" w:rsidP="003624C4">
      <w:pPr>
        <w:spacing w:before="20" w:after="20" w:line="288" w:lineRule="auto"/>
        <w:ind w:firstLine="708"/>
        <w:jc w:val="both"/>
        <w:rPr>
          <w:rFonts w:ascii="Arial Narrow" w:hAnsi="Arial Narrow" w:cs="Tahoma"/>
          <w:i/>
          <w:iCs/>
          <w:sz w:val="26"/>
          <w:szCs w:val="26"/>
        </w:rPr>
      </w:pPr>
      <w:r w:rsidRPr="003624C4">
        <w:rPr>
          <w:rFonts w:ascii="Arial Narrow" w:hAnsi="Arial Narrow" w:cs="Tahoma"/>
          <w:sz w:val="26"/>
          <w:szCs w:val="26"/>
        </w:rPr>
        <w:t xml:space="preserve">Para resolver </w:t>
      </w:r>
      <w:r w:rsidR="00355B40" w:rsidRPr="003624C4">
        <w:rPr>
          <w:rFonts w:ascii="Arial Narrow" w:hAnsi="Arial Narrow" w:cs="Tahoma"/>
          <w:sz w:val="26"/>
          <w:szCs w:val="26"/>
        </w:rPr>
        <w:t>la controversia puesta</w:t>
      </w:r>
      <w:r w:rsidRPr="003624C4">
        <w:rPr>
          <w:rFonts w:ascii="Arial Narrow" w:hAnsi="Arial Narrow" w:cs="Tahoma"/>
          <w:sz w:val="26"/>
          <w:szCs w:val="26"/>
        </w:rPr>
        <w:t xml:space="preserve"> a consideración de la Sala, es menester precisar que el régimen de los docentes, al momento de entrada en vigencia de la Ley 100 de 1993, se encontraba entre los denominados exceptuados,</w:t>
      </w:r>
      <w:r w:rsidR="00DC3A5C" w:rsidRPr="003624C4">
        <w:rPr>
          <w:rFonts w:ascii="Arial Narrow" w:hAnsi="Arial Narrow" w:cs="Tahoma"/>
          <w:sz w:val="26"/>
          <w:szCs w:val="26"/>
        </w:rPr>
        <w:t xml:space="preserve"> pues así lo consagró el </w:t>
      </w:r>
      <w:r w:rsidRPr="003624C4">
        <w:rPr>
          <w:rFonts w:ascii="Arial Narrow" w:hAnsi="Arial Narrow" w:cs="Tahoma"/>
          <w:sz w:val="26"/>
          <w:szCs w:val="26"/>
        </w:rPr>
        <w:t xml:space="preserve">inciso segundo </w:t>
      </w:r>
      <w:r w:rsidR="00DC3A5C" w:rsidRPr="003624C4">
        <w:rPr>
          <w:rFonts w:ascii="Arial Narrow" w:hAnsi="Arial Narrow" w:cs="Tahoma"/>
          <w:sz w:val="26"/>
          <w:szCs w:val="26"/>
        </w:rPr>
        <w:t>del canon 279 de esa obra legal</w:t>
      </w:r>
      <w:r w:rsidRPr="003624C4">
        <w:rPr>
          <w:rFonts w:ascii="Arial Narrow" w:hAnsi="Arial Narrow" w:cs="Tahoma"/>
          <w:sz w:val="26"/>
          <w:szCs w:val="26"/>
        </w:rPr>
        <w:t xml:space="preserve"> </w:t>
      </w:r>
      <w:r w:rsidR="00355B40" w:rsidRPr="003624C4">
        <w:rPr>
          <w:rFonts w:ascii="Arial Narrow" w:hAnsi="Arial Narrow" w:cs="Tahoma"/>
          <w:sz w:val="26"/>
          <w:szCs w:val="26"/>
        </w:rPr>
        <w:t>que establece</w:t>
      </w:r>
      <w:r w:rsidR="001446C7" w:rsidRPr="003624C4">
        <w:rPr>
          <w:rFonts w:ascii="Arial Narrow" w:hAnsi="Arial Narrow" w:cs="Tahoma"/>
          <w:sz w:val="26"/>
          <w:szCs w:val="26"/>
        </w:rPr>
        <w:t>:</w:t>
      </w:r>
      <w:r w:rsidR="00355B40" w:rsidRPr="003624C4">
        <w:rPr>
          <w:rFonts w:ascii="Arial Narrow" w:hAnsi="Arial Narrow" w:cs="Tahoma"/>
          <w:sz w:val="26"/>
          <w:szCs w:val="26"/>
        </w:rPr>
        <w:t xml:space="preserve"> </w:t>
      </w:r>
      <w:r w:rsidRPr="003624C4">
        <w:rPr>
          <w:rFonts w:ascii="Arial Narrow" w:hAnsi="Arial Narrow" w:cs="Tahoma"/>
          <w:sz w:val="26"/>
          <w:szCs w:val="26"/>
        </w:rPr>
        <w:t>“</w:t>
      </w:r>
      <w:r w:rsidRPr="003624C4">
        <w:rPr>
          <w:rFonts w:ascii="Arial Narrow" w:hAnsi="Arial Narrow" w:cs="Tahoma"/>
          <w:i/>
          <w:iCs/>
          <w:sz w:val="26"/>
          <w:szCs w:val="26"/>
        </w:rPr>
        <w:t xml:space="preserve">Así mismo, se exceptúan a los afiliados del Fondo Nacional de Prestaciones Sociales del Magisterio, creado por la Ley 91 de 1989, </w:t>
      </w:r>
      <w:r w:rsidRPr="003624C4">
        <w:rPr>
          <w:rFonts w:ascii="Arial Narrow" w:hAnsi="Arial Narrow" w:cs="Tahoma"/>
          <w:bCs/>
          <w:i/>
          <w:iCs/>
          <w:sz w:val="26"/>
          <w:szCs w:val="26"/>
        </w:rPr>
        <w:t>cuyas prestaciones a cargo serán compatibles con pensiones o cualquier clase de remuneración</w:t>
      </w:r>
      <w:r w:rsidRPr="003624C4">
        <w:rPr>
          <w:rFonts w:ascii="Arial Narrow" w:hAnsi="Arial Narrow" w:cs="Tahoma"/>
          <w:i/>
          <w:iCs/>
          <w:sz w:val="26"/>
          <w:szCs w:val="26"/>
        </w:rPr>
        <w:t xml:space="preserve">”. </w:t>
      </w:r>
    </w:p>
    <w:p w:rsidR="006D24F1" w:rsidRPr="003624C4" w:rsidRDefault="006D24F1" w:rsidP="003624C4">
      <w:pPr>
        <w:pStyle w:val="Sinespaciado"/>
        <w:spacing w:line="288" w:lineRule="auto"/>
        <w:rPr>
          <w:rFonts w:ascii="Arial Narrow" w:hAnsi="Arial Narrow"/>
          <w:sz w:val="26"/>
          <w:szCs w:val="26"/>
        </w:rPr>
      </w:pPr>
    </w:p>
    <w:p w:rsidR="006D24F1" w:rsidRPr="003624C4" w:rsidRDefault="006D24F1" w:rsidP="003624C4">
      <w:pPr>
        <w:spacing w:before="20" w:after="20" w:line="288" w:lineRule="auto"/>
        <w:ind w:firstLine="708"/>
        <w:jc w:val="both"/>
        <w:rPr>
          <w:rFonts w:ascii="Arial Narrow" w:hAnsi="Arial Narrow" w:cs="Tahoma"/>
          <w:sz w:val="26"/>
          <w:szCs w:val="26"/>
        </w:rPr>
      </w:pPr>
      <w:r w:rsidRPr="003624C4">
        <w:rPr>
          <w:rFonts w:ascii="Arial Narrow" w:hAnsi="Arial Narrow" w:cs="Tahoma"/>
          <w:sz w:val="26"/>
          <w:szCs w:val="26"/>
        </w:rPr>
        <w:t>Este preliminar análisis normativo, permite concluir que los docentes del sector público pueden acceder a las prestaciones económicas, tanto dentro de ese especial modelo pensional –pensión de jubilación y pensión gracia-, como en el modelo general del Sistema Integral de la Ley 100 de 1993 –pensión de vejez o indemnización sustitutiva</w:t>
      </w:r>
      <w:r w:rsidR="00355B40" w:rsidRPr="003624C4">
        <w:rPr>
          <w:rFonts w:ascii="Arial Narrow" w:hAnsi="Arial Narrow" w:cs="Tahoma"/>
          <w:sz w:val="26"/>
          <w:szCs w:val="26"/>
        </w:rPr>
        <w:t>-, es</w:t>
      </w:r>
      <w:r w:rsidR="004B70CA" w:rsidRPr="003624C4">
        <w:rPr>
          <w:rFonts w:ascii="Arial Narrow" w:hAnsi="Arial Narrow" w:cs="Tahoma"/>
          <w:sz w:val="26"/>
          <w:szCs w:val="26"/>
        </w:rPr>
        <w:t xml:space="preserve">tableciéndose entonces una regla de compatibilidad. </w:t>
      </w:r>
    </w:p>
    <w:p w:rsidR="00355B40" w:rsidRPr="003624C4" w:rsidRDefault="00355B40" w:rsidP="003624C4">
      <w:pPr>
        <w:pStyle w:val="Sinespaciado"/>
        <w:spacing w:line="288" w:lineRule="auto"/>
        <w:rPr>
          <w:rFonts w:ascii="Arial Narrow" w:hAnsi="Arial Narrow"/>
          <w:sz w:val="26"/>
          <w:szCs w:val="26"/>
        </w:rPr>
      </w:pPr>
    </w:p>
    <w:p w:rsidR="006356C8" w:rsidRPr="003624C4" w:rsidRDefault="006356C8" w:rsidP="003624C4">
      <w:pPr>
        <w:spacing w:line="288" w:lineRule="auto"/>
        <w:ind w:firstLine="708"/>
        <w:jc w:val="both"/>
        <w:rPr>
          <w:rFonts w:ascii="Arial Narrow" w:hAnsi="Arial Narrow" w:cs="Arial"/>
          <w:sz w:val="26"/>
          <w:szCs w:val="26"/>
        </w:rPr>
      </w:pPr>
      <w:r w:rsidRPr="003624C4">
        <w:rPr>
          <w:rFonts w:ascii="Arial Narrow" w:hAnsi="Arial Narrow" w:cs="Arial"/>
          <w:sz w:val="26"/>
          <w:szCs w:val="26"/>
        </w:rPr>
        <w:t>Posteriormente, con la entrada en vigencia de la Ley 812 de 2003</w:t>
      </w:r>
      <w:r w:rsidRPr="003624C4">
        <w:rPr>
          <w:rFonts w:ascii="Arial Narrow" w:hAnsi="Arial Narrow" w:cs="Arial"/>
          <w:i/>
          <w:sz w:val="26"/>
          <w:szCs w:val="26"/>
        </w:rPr>
        <w:t xml:space="preserve">, </w:t>
      </w:r>
      <w:r w:rsidRPr="003624C4">
        <w:rPr>
          <w:rFonts w:ascii="Arial Narrow" w:hAnsi="Arial Narrow" w:cs="Arial"/>
          <w:sz w:val="26"/>
          <w:szCs w:val="26"/>
        </w:rPr>
        <w:t xml:space="preserve">en especial su artículo 81, el régimen pensional del Magisterio dejó de ser exceptuado y pasó a ser parte del Sistema General de Pensiones implementado por la Ley 100 de 1993, para aquellos docentes que se vincularon al sector público con posterioridad al cambio legislativo -27 de junio de 2003-, según lo dispuso </w:t>
      </w:r>
      <w:r w:rsidR="007E79B4" w:rsidRPr="003624C4">
        <w:rPr>
          <w:rFonts w:ascii="Arial Narrow" w:hAnsi="Arial Narrow" w:cs="Arial"/>
          <w:sz w:val="26"/>
          <w:szCs w:val="26"/>
        </w:rPr>
        <w:t xml:space="preserve">en </w:t>
      </w:r>
      <w:r w:rsidRPr="003624C4">
        <w:rPr>
          <w:rFonts w:ascii="Arial Narrow" w:hAnsi="Arial Narrow" w:cs="Arial"/>
          <w:sz w:val="26"/>
          <w:szCs w:val="26"/>
        </w:rPr>
        <w:t>el Parágrafo Transitorio 1º, adicionado por el Art. 1º del Acto Legislativo 01 de 2005</w:t>
      </w:r>
      <w:r w:rsidR="00E52E6E" w:rsidRPr="003624C4">
        <w:rPr>
          <w:rFonts w:ascii="Arial Narrow" w:hAnsi="Arial Narrow" w:cs="Arial"/>
          <w:i/>
          <w:sz w:val="26"/>
          <w:szCs w:val="26"/>
        </w:rPr>
        <w:t xml:space="preserve">, </w:t>
      </w:r>
      <w:r w:rsidR="00E52E6E" w:rsidRPr="003624C4">
        <w:rPr>
          <w:rFonts w:ascii="Arial Narrow" w:hAnsi="Arial Narrow" w:cs="Arial"/>
          <w:sz w:val="26"/>
          <w:szCs w:val="26"/>
        </w:rPr>
        <w:t>que le dio vigencia</w:t>
      </w:r>
      <w:r w:rsidR="00E52E6E" w:rsidRPr="003624C4">
        <w:rPr>
          <w:rFonts w:ascii="Arial Narrow" w:hAnsi="Arial Narrow" w:cs="Tahoma"/>
          <w:sz w:val="26"/>
          <w:szCs w:val="26"/>
          <w:lang w:val="es-MX"/>
        </w:rPr>
        <w:t xml:space="preserve"> hasta el 31 de julio de 2010.</w:t>
      </w:r>
    </w:p>
    <w:p w:rsidR="006356C8" w:rsidRPr="003624C4" w:rsidRDefault="006356C8" w:rsidP="003624C4">
      <w:pPr>
        <w:pStyle w:val="Sinespaciado"/>
        <w:spacing w:line="288" w:lineRule="auto"/>
        <w:rPr>
          <w:rFonts w:ascii="Arial Narrow" w:hAnsi="Arial Narrow"/>
          <w:sz w:val="26"/>
          <w:szCs w:val="26"/>
        </w:rPr>
      </w:pPr>
    </w:p>
    <w:p w:rsidR="00066931" w:rsidRPr="003624C4" w:rsidRDefault="00355B40" w:rsidP="003624C4">
      <w:pPr>
        <w:spacing w:line="288" w:lineRule="auto"/>
        <w:ind w:firstLine="900"/>
        <w:jc w:val="both"/>
        <w:rPr>
          <w:rFonts w:ascii="Arial Narrow" w:hAnsi="Arial Narrow" w:cs="Arial"/>
          <w:sz w:val="26"/>
          <w:szCs w:val="26"/>
        </w:rPr>
      </w:pPr>
      <w:r w:rsidRPr="003624C4">
        <w:rPr>
          <w:rFonts w:ascii="Arial Narrow" w:hAnsi="Arial Narrow" w:cs="Arial"/>
          <w:sz w:val="26"/>
          <w:szCs w:val="26"/>
        </w:rPr>
        <w:t xml:space="preserve">Ello en la medida en que </w:t>
      </w:r>
      <w:r w:rsidR="00424EE9" w:rsidRPr="003624C4">
        <w:rPr>
          <w:rFonts w:ascii="Arial Narrow" w:hAnsi="Arial Narrow" w:cs="Arial"/>
          <w:sz w:val="26"/>
          <w:szCs w:val="26"/>
        </w:rPr>
        <w:t xml:space="preserve">dichos </w:t>
      </w:r>
      <w:r w:rsidRPr="003624C4">
        <w:rPr>
          <w:rFonts w:ascii="Arial Narrow" w:hAnsi="Arial Narrow" w:cs="Arial"/>
          <w:sz w:val="26"/>
          <w:szCs w:val="26"/>
        </w:rPr>
        <w:t xml:space="preserve">cuerpos normativos, dejaron indemnes las disposiciones de la Ley 100 de 1993, sobre la materia, a los docentes nacionales, nacionalizados y territoriales, cuya vinculación data con anterioridad al  27 de junio de 2003, </w:t>
      </w:r>
      <w:r w:rsidR="00BD0280" w:rsidRPr="003624C4">
        <w:rPr>
          <w:rFonts w:ascii="Arial Narrow" w:hAnsi="Arial Narrow" w:cs="Arial"/>
          <w:sz w:val="26"/>
          <w:szCs w:val="26"/>
        </w:rPr>
        <w:t xml:space="preserve">de modo que, para </w:t>
      </w:r>
      <w:r w:rsidR="009B41D1" w:rsidRPr="003624C4">
        <w:rPr>
          <w:rFonts w:ascii="Arial Narrow" w:hAnsi="Arial Narrow" w:cs="Arial"/>
          <w:sz w:val="26"/>
          <w:szCs w:val="26"/>
        </w:rPr>
        <w:lastRenderedPageBreak/>
        <w:t xml:space="preserve">aquellos </w:t>
      </w:r>
      <w:r w:rsidR="00424EE9" w:rsidRPr="003624C4">
        <w:rPr>
          <w:rFonts w:ascii="Arial Narrow" w:hAnsi="Arial Narrow" w:cs="Arial"/>
          <w:sz w:val="26"/>
          <w:szCs w:val="26"/>
        </w:rPr>
        <w:t xml:space="preserve">se </w:t>
      </w:r>
      <w:r w:rsidR="00066931" w:rsidRPr="003624C4">
        <w:rPr>
          <w:rFonts w:ascii="Arial Narrow" w:hAnsi="Arial Narrow" w:cs="Arial"/>
          <w:sz w:val="26"/>
          <w:szCs w:val="26"/>
        </w:rPr>
        <w:t>mantiene el régimen exceptuado de la Ley 100 de 1993, conservándose para los mismos el sistema pensional previsto en la Ley 91 de 1989.</w:t>
      </w:r>
    </w:p>
    <w:p w:rsidR="009B41D1" w:rsidRPr="003624C4" w:rsidRDefault="009B41D1" w:rsidP="003624C4">
      <w:pPr>
        <w:pStyle w:val="Sinespaciado"/>
        <w:spacing w:line="288" w:lineRule="auto"/>
        <w:rPr>
          <w:rFonts w:ascii="Arial Narrow" w:hAnsi="Arial Narrow"/>
          <w:sz w:val="26"/>
          <w:szCs w:val="26"/>
        </w:rPr>
      </w:pPr>
      <w:r w:rsidRPr="003624C4">
        <w:rPr>
          <w:rFonts w:ascii="Arial Narrow" w:hAnsi="Arial Narrow"/>
          <w:sz w:val="26"/>
          <w:szCs w:val="26"/>
        </w:rPr>
        <w:tab/>
      </w:r>
    </w:p>
    <w:p w:rsidR="009B41D1" w:rsidRPr="003624C4" w:rsidRDefault="009B41D1" w:rsidP="003624C4">
      <w:pPr>
        <w:spacing w:line="288" w:lineRule="auto"/>
        <w:ind w:firstLine="900"/>
        <w:jc w:val="both"/>
        <w:rPr>
          <w:rFonts w:ascii="Arial Narrow" w:hAnsi="Arial Narrow" w:cs="Arial"/>
          <w:sz w:val="26"/>
          <w:szCs w:val="26"/>
        </w:rPr>
      </w:pPr>
      <w:r w:rsidRPr="003624C4">
        <w:rPr>
          <w:rFonts w:ascii="Arial Narrow" w:hAnsi="Arial Narrow" w:cs="Arial"/>
          <w:sz w:val="26"/>
          <w:szCs w:val="26"/>
        </w:rPr>
        <w:t xml:space="preserve">Dada esa posibilidad de prestación coetánea de servicios como docente para el Estado, con vinculación anterior al 27 de junio de 2003, y para particulares, </w:t>
      </w:r>
      <w:r w:rsidR="00095C0D" w:rsidRPr="003624C4">
        <w:rPr>
          <w:rFonts w:ascii="Arial Narrow" w:hAnsi="Arial Narrow" w:cs="Arial"/>
          <w:sz w:val="26"/>
          <w:szCs w:val="26"/>
        </w:rPr>
        <w:t xml:space="preserve">se </w:t>
      </w:r>
      <w:r w:rsidRPr="003624C4">
        <w:rPr>
          <w:rFonts w:ascii="Arial Narrow" w:hAnsi="Arial Narrow" w:cs="Arial"/>
          <w:sz w:val="26"/>
          <w:szCs w:val="26"/>
        </w:rPr>
        <w:t xml:space="preserve">abre la senda para que simultáneamente se hagan aportes al ISS, </w:t>
      </w:r>
      <w:r w:rsidR="00095C0D" w:rsidRPr="003624C4">
        <w:rPr>
          <w:rFonts w:ascii="Arial Narrow" w:hAnsi="Arial Narrow" w:cs="Arial"/>
          <w:sz w:val="26"/>
          <w:szCs w:val="26"/>
        </w:rPr>
        <w:t>y se logre con base en los mismos,</w:t>
      </w:r>
      <w:r w:rsidRPr="003624C4">
        <w:rPr>
          <w:rFonts w:ascii="Arial Narrow" w:hAnsi="Arial Narrow" w:cs="Arial"/>
          <w:sz w:val="26"/>
          <w:szCs w:val="26"/>
        </w:rPr>
        <w:t xml:space="preserve">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rsidR="00066931" w:rsidRPr="003624C4" w:rsidRDefault="00066931" w:rsidP="003624C4">
      <w:pPr>
        <w:pStyle w:val="Sinespaciado"/>
        <w:spacing w:line="288" w:lineRule="auto"/>
        <w:rPr>
          <w:rFonts w:ascii="Arial Narrow" w:hAnsi="Arial Narrow"/>
          <w:sz w:val="26"/>
          <w:szCs w:val="26"/>
        </w:rPr>
      </w:pPr>
    </w:p>
    <w:p w:rsidR="00F665F5" w:rsidRPr="003624C4" w:rsidRDefault="00F665F5" w:rsidP="003624C4">
      <w:pPr>
        <w:spacing w:before="20" w:after="20" w:line="288" w:lineRule="auto"/>
        <w:ind w:firstLine="708"/>
        <w:jc w:val="both"/>
        <w:rPr>
          <w:rFonts w:ascii="Arial Narrow" w:hAnsi="Arial Narrow" w:cs="Tahoma"/>
          <w:b/>
          <w:sz w:val="26"/>
          <w:szCs w:val="26"/>
        </w:rPr>
      </w:pPr>
      <w:r w:rsidRPr="003624C4">
        <w:rPr>
          <w:rFonts w:ascii="Arial Narrow" w:hAnsi="Arial Narrow" w:cs="Tahoma"/>
          <w:b/>
          <w:sz w:val="26"/>
          <w:szCs w:val="26"/>
        </w:rPr>
        <w:t>Caso concreto</w:t>
      </w:r>
    </w:p>
    <w:p w:rsidR="004B70CA" w:rsidRPr="003624C4" w:rsidRDefault="004B70CA" w:rsidP="003624C4">
      <w:pPr>
        <w:pStyle w:val="Sinespaciado"/>
        <w:spacing w:line="288" w:lineRule="auto"/>
        <w:rPr>
          <w:rFonts w:ascii="Arial Narrow" w:hAnsi="Arial Narrow"/>
          <w:sz w:val="26"/>
          <w:szCs w:val="26"/>
        </w:rPr>
      </w:pPr>
    </w:p>
    <w:p w:rsidR="007E79B4" w:rsidRPr="003624C4" w:rsidRDefault="00943AE3" w:rsidP="003624C4">
      <w:pPr>
        <w:pStyle w:val="Textoindependiente"/>
        <w:spacing w:line="288" w:lineRule="auto"/>
        <w:ind w:firstLine="851"/>
        <w:rPr>
          <w:rFonts w:ascii="Arial Narrow" w:hAnsi="Arial Narrow" w:cs="Tahoma"/>
          <w:sz w:val="26"/>
          <w:szCs w:val="26"/>
        </w:rPr>
      </w:pPr>
      <w:r w:rsidRPr="003624C4">
        <w:rPr>
          <w:rFonts w:ascii="Arial Narrow" w:hAnsi="Arial Narrow"/>
          <w:sz w:val="26"/>
          <w:szCs w:val="26"/>
          <w:lang w:val="es-CO"/>
        </w:rPr>
        <w:t>En el sub-ex</w:t>
      </w:r>
      <w:r w:rsidR="004746A2" w:rsidRPr="003624C4">
        <w:rPr>
          <w:rFonts w:ascii="Arial Narrow" w:hAnsi="Arial Narrow"/>
          <w:sz w:val="26"/>
          <w:szCs w:val="26"/>
          <w:lang w:val="es-CO"/>
        </w:rPr>
        <w:t>a</w:t>
      </w:r>
      <w:r w:rsidRPr="003624C4">
        <w:rPr>
          <w:rFonts w:ascii="Arial Narrow" w:hAnsi="Arial Narrow"/>
          <w:sz w:val="26"/>
          <w:szCs w:val="26"/>
          <w:lang w:val="es-CO"/>
        </w:rPr>
        <w:t xml:space="preserve">mine, está </w:t>
      </w:r>
      <w:r w:rsidR="00F665F5" w:rsidRPr="003624C4">
        <w:rPr>
          <w:rFonts w:ascii="Arial Narrow" w:hAnsi="Arial Narrow"/>
          <w:sz w:val="26"/>
          <w:szCs w:val="26"/>
          <w:lang w:val="es-CO"/>
        </w:rPr>
        <w:t xml:space="preserve">fuera de discusión que el demandante </w:t>
      </w:r>
      <w:r w:rsidR="00F665F5" w:rsidRPr="003624C4">
        <w:rPr>
          <w:rFonts w:ascii="Arial Narrow" w:hAnsi="Arial Narrow" w:cs="Tahoma"/>
          <w:sz w:val="26"/>
          <w:szCs w:val="26"/>
        </w:rPr>
        <w:t>se encuentra actualmente disfrutando de una pensión vitalicia de jubilación, reconocida por CAJANAL, mediante</w:t>
      </w:r>
      <w:r w:rsidR="00215255" w:rsidRPr="003624C4">
        <w:rPr>
          <w:rFonts w:ascii="Arial Narrow" w:hAnsi="Arial Narrow" w:cs="Tahoma"/>
          <w:sz w:val="26"/>
          <w:szCs w:val="26"/>
        </w:rPr>
        <w:t xml:space="preserve"> Resolución No. 16404 </w:t>
      </w:r>
      <w:r w:rsidR="00F665F5" w:rsidRPr="003624C4">
        <w:rPr>
          <w:rFonts w:ascii="Arial Narrow" w:hAnsi="Arial Narrow" w:cs="Tahoma"/>
          <w:sz w:val="26"/>
          <w:szCs w:val="26"/>
        </w:rPr>
        <w:t>de</w:t>
      </w:r>
      <w:r w:rsidR="0017088F" w:rsidRPr="003624C4">
        <w:rPr>
          <w:rFonts w:ascii="Arial Narrow" w:hAnsi="Arial Narrow" w:cs="Tahoma"/>
          <w:sz w:val="26"/>
          <w:szCs w:val="26"/>
        </w:rPr>
        <w:t>l 29 de agosto de</w:t>
      </w:r>
      <w:r w:rsidR="00F665F5" w:rsidRPr="003624C4">
        <w:rPr>
          <w:rFonts w:ascii="Arial Narrow" w:hAnsi="Arial Narrow" w:cs="Tahoma"/>
          <w:sz w:val="26"/>
          <w:szCs w:val="26"/>
        </w:rPr>
        <w:t xml:space="preserve"> 2003, que dicha prestación le fue reconocida por haber laborado al servicio del Departamento de R</w:t>
      </w:r>
      <w:r w:rsidR="007E79B4" w:rsidRPr="003624C4">
        <w:rPr>
          <w:rFonts w:ascii="Arial Narrow" w:hAnsi="Arial Narrow" w:cs="Tahoma"/>
          <w:sz w:val="26"/>
          <w:szCs w:val="26"/>
        </w:rPr>
        <w:t>isaralda, en calidad de docente.</w:t>
      </w:r>
    </w:p>
    <w:p w:rsidR="007E79B4" w:rsidRPr="003624C4" w:rsidRDefault="007E79B4" w:rsidP="003624C4">
      <w:pPr>
        <w:pStyle w:val="Textoindependiente"/>
        <w:spacing w:line="288" w:lineRule="auto"/>
        <w:ind w:firstLine="851"/>
        <w:rPr>
          <w:rFonts w:ascii="Arial Narrow" w:hAnsi="Arial Narrow" w:cs="Tahoma"/>
          <w:sz w:val="26"/>
          <w:szCs w:val="26"/>
        </w:rPr>
      </w:pPr>
    </w:p>
    <w:p w:rsidR="00F665F5" w:rsidRPr="003624C4" w:rsidRDefault="00F665F5" w:rsidP="003624C4">
      <w:pPr>
        <w:pStyle w:val="Textoindependiente"/>
        <w:spacing w:line="288" w:lineRule="auto"/>
        <w:ind w:firstLine="851"/>
        <w:rPr>
          <w:rFonts w:ascii="Arial Narrow" w:hAnsi="Arial Narrow" w:cs="Tahoma"/>
          <w:sz w:val="26"/>
          <w:szCs w:val="26"/>
        </w:rPr>
      </w:pPr>
      <w:r w:rsidRPr="003624C4">
        <w:rPr>
          <w:rFonts w:ascii="Arial Narrow" w:hAnsi="Arial Narrow" w:cs="Tahoma"/>
          <w:sz w:val="26"/>
          <w:szCs w:val="26"/>
        </w:rPr>
        <w:t xml:space="preserve">Así mismo, que el actor realizó aportes al Instituto de Seguros Sociales en calidad de trabajador particular y como </w:t>
      </w:r>
      <w:r w:rsidR="00995E8E" w:rsidRPr="003624C4">
        <w:rPr>
          <w:rFonts w:ascii="Arial Narrow" w:hAnsi="Arial Narrow" w:cs="Tahoma"/>
          <w:sz w:val="26"/>
          <w:szCs w:val="26"/>
        </w:rPr>
        <w:t xml:space="preserve">docente de la </w:t>
      </w:r>
      <w:r w:rsidR="00045AAC" w:rsidRPr="003624C4">
        <w:rPr>
          <w:rFonts w:ascii="Arial Narrow" w:hAnsi="Arial Narrow" w:cs="Tahoma"/>
          <w:sz w:val="26"/>
          <w:szCs w:val="26"/>
        </w:rPr>
        <w:t xml:space="preserve">Fundación Gimnasio Pereira, </w:t>
      </w:r>
      <w:r w:rsidRPr="003624C4">
        <w:rPr>
          <w:rFonts w:ascii="Arial Narrow" w:hAnsi="Arial Narrow" w:cs="Tahoma"/>
          <w:sz w:val="26"/>
          <w:szCs w:val="26"/>
        </w:rPr>
        <w:t xml:space="preserve"> entre e</w:t>
      </w:r>
      <w:r w:rsidR="00045AAC" w:rsidRPr="003624C4">
        <w:rPr>
          <w:rFonts w:ascii="Arial Narrow" w:hAnsi="Arial Narrow" w:cs="Tahoma"/>
          <w:sz w:val="26"/>
          <w:szCs w:val="26"/>
        </w:rPr>
        <w:t>l 30</w:t>
      </w:r>
      <w:r w:rsidRPr="003624C4">
        <w:rPr>
          <w:rFonts w:ascii="Arial Narrow" w:hAnsi="Arial Narrow" w:cs="Tahoma"/>
          <w:sz w:val="26"/>
          <w:szCs w:val="26"/>
        </w:rPr>
        <w:t xml:space="preserve"> de </w:t>
      </w:r>
      <w:r w:rsidR="00045AAC" w:rsidRPr="003624C4">
        <w:rPr>
          <w:rFonts w:ascii="Arial Narrow" w:hAnsi="Arial Narrow" w:cs="Tahoma"/>
          <w:sz w:val="26"/>
          <w:szCs w:val="26"/>
        </w:rPr>
        <w:t xml:space="preserve">enero </w:t>
      </w:r>
      <w:r w:rsidRPr="003624C4">
        <w:rPr>
          <w:rFonts w:ascii="Arial Narrow" w:hAnsi="Arial Narrow" w:cs="Tahoma"/>
          <w:sz w:val="26"/>
          <w:szCs w:val="26"/>
        </w:rPr>
        <w:t>de 197</w:t>
      </w:r>
      <w:r w:rsidR="00045AAC" w:rsidRPr="003624C4">
        <w:rPr>
          <w:rFonts w:ascii="Arial Narrow" w:hAnsi="Arial Narrow" w:cs="Tahoma"/>
          <w:sz w:val="26"/>
          <w:szCs w:val="26"/>
        </w:rPr>
        <w:t>5</w:t>
      </w:r>
      <w:r w:rsidRPr="003624C4">
        <w:rPr>
          <w:rFonts w:ascii="Arial Narrow" w:hAnsi="Arial Narrow" w:cs="Tahoma"/>
          <w:sz w:val="26"/>
          <w:szCs w:val="26"/>
        </w:rPr>
        <w:t xml:space="preserve"> y el 3</w:t>
      </w:r>
      <w:r w:rsidR="00045AAC" w:rsidRPr="003624C4">
        <w:rPr>
          <w:rFonts w:ascii="Arial Narrow" w:hAnsi="Arial Narrow" w:cs="Tahoma"/>
          <w:sz w:val="26"/>
          <w:szCs w:val="26"/>
        </w:rPr>
        <w:t>1</w:t>
      </w:r>
      <w:r w:rsidRPr="003624C4">
        <w:rPr>
          <w:rFonts w:ascii="Arial Narrow" w:hAnsi="Arial Narrow" w:cs="Tahoma"/>
          <w:sz w:val="26"/>
          <w:szCs w:val="26"/>
        </w:rPr>
        <w:t xml:space="preserve"> de a</w:t>
      </w:r>
      <w:r w:rsidR="00045AAC" w:rsidRPr="003624C4">
        <w:rPr>
          <w:rFonts w:ascii="Arial Narrow" w:hAnsi="Arial Narrow" w:cs="Tahoma"/>
          <w:sz w:val="26"/>
          <w:szCs w:val="26"/>
        </w:rPr>
        <w:t xml:space="preserve">gosto </w:t>
      </w:r>
      <w:r w:rsidRPr="003624C4">
        <w:rPr>
          <w:rFonts w:ascii="Arial Narrow" w:hAnsi="Arial Narrow" w:cs="Tahoma"/>
          <w:sz w:val="26"/>
          <w:szCs w:val="26"/>
        </w:rPr>
        <w:t>de 20</w:t>
      </w:r>
      <w:r w:rsidR="00045AAC" w:rsidRPr="003624C4">
        <w:rPr>
          <w:rFonts w:ascii="Arial Narrow" w:hAnsi="Arial Narrow" w:cs="Tahoma"/>
          <w:sz w:val="26"/>
          <w:szCs w:val="26"/>
        </w:rPr>
        <w:t>16</w:t>
      </w:r>
      <w:r w:rsidRPr="003624C4">
        <w:rPr>
          <w:rFonts w:ascii="Arial Narrow" w:hAnsi="Arial Narrow" w:cs="Tahoma"/>
          <w:sz w:val="26"/>
          <w:szCs w:val="26"/>
        </w:rPr>
        <w:t>, dentr</w:t>
      </w:r>
      <w:r w:rsidR="00A54289" w:rsidRPr="003624C4">
        <w:rPr>
          <w:rFonts w:ascii="Arial Narrow" w:hAnsi="Arial Narrow" w:cs="Tahoma"/>
          <w:sz w:val="26"/>
          <w:szCs w:val="26"/>
        </w:rPr>
        <w:t xml:space="preserve">o del cual sufragó un total de 1373 </w:t>
      </w:r>
      <w:r w:rsidRPr="003624C4">
        <w:rPr>
          <w:rFonts w:ascii="Arial Narrow" w:hAnsi="Arial Narrow" w:cs="Tahoma"/>
          <w:sz w:val="26"/>
          <w:szCs w:val="26"/>
        </w:rPr>
        <w:t xml:space="preserve">semanas de aportes, </w:t>
      </w:r>
      <w:r w:rsidR="00005F83" w:rsidRPr="003624C4">
        <w:rPr>
          <w:rFonts w:ascii="Arial Narrow" w:hAnsi="Arial Narrow" w:cs="Tahoma"/>
          <w:sz w:val="26"/>
          <w:szCs w:val="26"/>
        </w:rPr>
        <w:t xml:space="preserve">como </w:t>
      </w:r>
      <w:r w:rsidRPr="003624C4">
        <w:rPr>
          <w:rFonts w:ascii="Arial Narrow" w:hAnsi="Arial Narrow" w:cs="Tahoma"/>
          <w:sz w:val="26"/>
          <w:szCs w:val="26"/>
        </w:rPr>
        <w:t>se desprende de</w:t>
      </w:r>
      <w:r w:rsidR="00A54289" w:rsidRPr="003624C4">
        <w:rPr>
          <w:rFonts w:ascii="Arial Narrow" w:hAnsi="Arial Narrow" w:cs="Tahoma"/>
          <w:sz w:val="26"/>
          <w:szCs w:val="26"/>
        </w:rPr>
        <w:t xml:space="preserve"> </w:t>
      </w:r>
      <w:r w:rsidRPr="003624C4">
        <w:rPr>
          <w:rFonts w:ascii="Arial Narrow" w:hAnsi="Arial Narrow" w:cs="Tahoma"/>
          <w:sz w:val="26"/>
          <w:szCs w:val="26"/>
        </w:rPr>
        <w:t>l</w:t>
      </w:r>
      <w:r w:rsidR="00A54289" w:rsidRPr="003624C4">
        <w:rPr>
          <w:rFonts w:ascii="Arial Narrow" w:hAnsi="Arial Narrow" w:cs="Tahoma"/>
          <w:sz w:val="26"/>
          <w:szCs w:val="26"/>
        </w:rPr>
        <w:t>a Resolución GNR 29922 del 25 de enero de 2017, expedida por Colpensiones, mediante la cual negó la prestación económica, así mismo, de</w:t>
      </w:r>
      <w:r w:rsidR="00CF1E24" w:rsidRPr="003624C4">
        <w:rPr>
          <w:rFonts w:ascii="Arial Narrow" w:hAnsi="Arial Narrow" w:cs="Tahoma"/>
          <w:sz w:val="26"/>
          <w:szCs w:val="26"/>
        </w:rPr>
        <w:t>l expediente administrativo donde aparece el</w:t>
      </w:r>
      <w:r w:rsidRPr="003624C4">
        <w:rPr>
          <w:rFonts w:ascii="Arial Narrow" w:hAnsi="Arial Narrow" w:cs="Tahoma"/>
          <w:sz w:val="26"/>
          <w:szCs w:val="26"/>
        </w:rPr>
        <w:t xml:space="preserve"> reporte de semanas cotizadas en pensiones</w:t>
      </w:r>
      <w:r w:rsidR="00CF1E24" w:rsidRPr="003624C4">
        <w:rPr>
          <w:rFonts w:ascii="Arial Narrow" w:hAnsi="Arial Narrow" w:cs="Tahoma"/>
          <w:sz w:val="26"/>
          <w:szCs w:val="26"/>
        </w:rPr>
        <w:t>,</w:t>
      </w:r>
      <w:r w:rsidRPr="003624C4">
        <w:rPr>
          <w:rFonts w:ascii="Arial Narrow" w:hAnsi="Arial Narrow" w:cs="Tahoma"/>
          <w:sz w:val="26"/>
          <w:szCs w:val="26"/>
        </w:rPr>
        <w:t xml:space="preserve"> allegada por la entidad, visible a folios </w:t>
      </w:r>
      <w:r w:rsidR="00A54289" w:rsidRPr="003624C4">
        <w:rPr>
          <w:rFonts w:ascii="Arial Narrow" w:hAnsi="Arial Narrow" w:cs="Tahoma"/>
          <w:sz w:val="26"/>
          <w:szCs w:val="26"/>
        </w:rPr>
        <w:t>63</w:t>
      </w:r>
      <w:r w:rsidRPr="003624C4">
        <w:rPr>
          <w:rFonts w:ascii="Arial Narrow" w:hAnsi="Arial Narrow" w:cs="Tahoma"/>
          <w:sz w:val="26"/>
          <w:szCs w:val="26"/>
        </w:rPr>
        <w:t xml:space="preserve"> del expediente.</w:t>
      </w:r>
    </w:p>
    <w:p w:rsidR="00F665F5" w:rsidRPr="003624C4" w:rsidRDefault="00F665F5" w:rsidP="003624C4">
      <w:pPr>
        <w:pStyle w:val="Sinespaciado"/>
        <w:spacing w:line="288" w:lineRule="auto"/>
        <w:rPr>
          <w:rFonts w:ascii="Arial Narrow" w:hAnsi="Arial Narrow"/>
          <w:sz w:val="26"/>
          <w:szCs w:val="26"/>
        </w:rPr>
      </w:pPr>
    </w:p>
    <w:p w:rsidR="00F665F5" w:rsidRPr="003624C4" w:rsidRDefault="00F665F5" w:rsidP="003624C4">
      <w:pPr>
        <w:pStyle w:val="Textoindependiente"/>
        <w:spacing w:line="288" w:lineRule="auto"/>
        <w:ind w:firstLine="851"/>
        <w:rPr>
          <w:rFonts w:ascii="Arial Narrow" w:hAnsi="Arial Narrow" w:cs="Tahoma"/>
          <w:sz w:val="26"/>
          <w:szCs w:val="26"/>
        </w:rPr>
      </w:pPr>
      <w:r w:rsidRPr="003624C4">
        <w:rPr>
          <w:rFonts w:ascii="Arial Narrow" w:hAnsi="Arial Narrow" w:cs="Tahoma"/>
          <w:sz w:val="26"/>
          <w:szCs w:val="26"/>
        </w:rPr>
        <w:t xml:space="preserve">Como era lo lógico, CAJANAL al momento de reconocer la respectiva prestación pensional, no relacionó los aportes que el demandante realizó al ISS; dado que de conformidad con la Resolución </w:t>
      </w:r>
      <w:r w:rsidR="00005F83" w:rsidRPr="003624C4">
        <w:rPr>
          <w:rFonts w:ascii="Arial Narrow" w:hAnsi="Arial Narrow" w:cs="Tahoma"/>
          <w:sz w:val="26"/>
          <w:szCs w:val="26"/>
        </w:rPr>
        <w:t>No. 16404 de</w:t>
      </w:r>
      <w:r w:rsidR="006104DF" w:rsidRPr="003624C4">
        <w:rPr>
          <w:rFonts w:ascii="Arial Narrow" w:hAnsi="Arial Narrow" w:cs="Tahoma"/>
          <w:sz w:val="26"/>
          <w:szCs w:val="26"/>
        </w:rPr>
        <w:t>l 29 de agosto de 2003,</w:t>
      </w:r>
      <w:r w:rsidR="00005F83" w:rsidRPr="003624C4">
        <w:rPr>
          <w:rFonts w:ascii="Arial Narrow" w:hAnsi="Arial Narrow" w:cs="Tahoma"/>
          <w:sz w:val="26"/>
          <w:szCs w:val="26"/>
        </w:rPr>
        <w:t xml:space="preserve"> </w:t>
      </w:r>
      <w:r w:rsidRPr="003624C4">
        <w:rPr>
          <w:rFonts w:ascii="Arial Narrow" w:hAnsi="Arial Narrow" w:cs="Tahoma"/>
          <w:sz w:val="26"/>
          <w:szCs w:val="26"/>
        </w:rPr>
        <w:t>solo se tuvo en cuenta la edad y el tiempo de servicios prestados al Departamento de Risaralda.</w:t>
      </w:r>
    </w:p>
    <w:p w:rsidR="00095C0D" w:rsidRPr="003624C4" w:rsidRDefault="00095C0D" w:rsidP="003624C4">
      <w:pPr>
        <w:pStyle w:val="Sinespaciado"/>
        <w:spacing w:line="288" w:lineRule="auto"/>
        <w:rPr>
          <w:rFonts w:ascii="Arial Narrow" w:hAnsi="Arial Narrow"/>
          <w:sz w:val="26"/>
          <w:szCs w:val="26"/>
        </w:rPr>
      </w:pPr>
    </w:p>
    <w:p w:rsidR="00964986" w:rsidRPr="003624C4" w:rsidRDefault="00964986" w:rsidP="003624C4">
      <w:pPr>
        <w:pStyle w:val="Textoindependiente32"/>
        <w:spacing w:line="288" w:lineRule="auto"/>
        <w:ind w:firstLine="851"/>
        <w:rPr>
          <w:rFonts w:ascii="Arial Narrow" w:hAnsi="Arial Narrow" w:cs="Tahoma"/>
          <w:sz w:val="26"/>
          <w:szCs w:val="26"/>
        </w:rPr>
      </w:pPr>
      <w:r w:rsidRPr="003624C4">
        <w:rPr>
          <w:rFonts w:ascii="Arial Narrow" w:hAnsi="Arial Narrow" w:cs="Tahoma"/>
          <w:sz w:val="26"/>
          <w:szCs w:val="26"/>
        </w:rPr>
        <w:t>D</w:t>
      </w:r>
      <w:r w:rsidR="00943AE3" w:rsidRPr="003624C4">
        <w:rPr>
          <w:rFonts w:ascii="Arial Narrow" w:hAnsi="Arial Narrow" w:cs="Tahoma"/>
          <w:sz w:val="26"/>
          <w:szCs w:val="26"/>
        </w:rPr>
        <w:t>e ahí que</w:t>
      </w:r>
      <w:r w:rsidR="000D7F89" w:rsidRPr="003624C4">
        <w:rPr>
          <w:rFonts w:ascii="Arial Narrow" w:hAnsi="Arial Narrow" w:cs="Tahoma"/>
          <w:sz w:val="26"/>
          <w:szCs w:val="26"/>
        </w:rPr>
        <w:t xml:space="preserve">, </w:t>
      </w:r>
      <w:r w:rsidR="00D60F21" w:rsidRPr="003624C4">
        <w:rPr>
          <w:rFonts w:ascii="Arial Narrow" w:hAnsi="Arial Narrow" w:cs="Tahoma"/>
          <w:sz w:val="26"/>
          <w:szCs w:val="26"/>
        </w:rPr>
        <w:t>es</w:t>
      </w:r>
      <w:r w:rsidR="00EA4D35" w:rsidRPr="003624C4">
        <w:rPr>
          <w:rFonts w:ascii="Arial Narrow" w:hAnsi="Arial Narrow" w:cs="Tahoma"/>
          <w:sz w:val="26"/>
          <w:szCs w:val="26"/>
        </w:rPr>
        <w:t xml:space="preserve"> procedente </w:t>
      </w:r>
      <w:r w:rsidR="00643C3D" w:rsidRPr="003624C4">
        <w:rPr>
          <w:rFonts w:ascii="Arial Narrow" w:hAnsi="Arial Narrow" w:cs="Tahoma"/>
          <w:sz w:val="26"/>
          <w:szCs w:val="26"/>
        </w:rPr>
        <w:t>el reconocimiento de la pensión de vejez</w:t>
      </w:r>
      <w:r w:rsidR="004746A2" w:rsidRPr="003624C4">
        <w:rPr>
          <w:rFonts w:ascii="Arial Narrow" w:hAnsi="Arial Narrow" w:cs="Tahoma"/>
          <w:sz w:val="26"/>
          <w:szCs w:val="26"/>
        </w:rPr>
        <w:t xml:space="preserve"> </w:t>
      </w:r>
      <w:r w:rsidR="001A27BB" w:rsidRPr="003624C4">
        <w:rPr>
          <w:rFonts w:ascii="Arial Narrow" w:hAnsi="Arial Narrow" w:cs="Tahoma"/>
          <w:sz w:val="26"/>
          <w:szCs w:val="26"/>
        </w:rPr>
        <w:t xml:space="preserve">que </w:t>
      </w:r>
      <w:r w:rsidR="00523AB9" w:rsidRPr="003624C4">
        <w:rPr>
          <w:rFonts w:ascii="Arial Narrow" w:hAnsi="Arial Narrow" w:cs="Tahoma"/>
          <w:sz w:val="26"/>
          <w:szCs w:val="26"/>
        </w:rPr>
        <w:t>se reclama</w:t>
      </w:r>
      <w:r w:rsidR="004746A2" w:rsidRPr="003624C4">
        <w:rPr>
          <w:rFonts w:ascii="Arial Narrow" w:hAnsi="Arial Narrow" w:cs="Tahoma"/>
          <w:sz w:val="26"/>
          <w:szCs w:val="26"/>
        </w:rPr>
        <w:t xml:space="preserve">, </w:t>
      </w:r>
      <w:r w:rsidR="00D60F21" w:rsidRPr="003624C4">
        <w:rPr>
          <w:rFonts w:ascii="Arial Narrow" w:hAnsi="Arial Narrow" w:cs="Tahoma"/>
          <w:sz w:val="26"/>
          <w:szCs w:val="26"/>
        </w:rPr>
        <w:t xml:space="preserve">y en el caso concreto, </w:t>
      </w:r>
      <w:r w:rsidRPr="003624C4">
        <w:rPr>
          <w:rFonts w:ascii="Arial Narrow" w:hAnsi="Arial Narrow" w:cs="Tahoma"/>
          <w:sz w:val="26"/>
          <w:szCs w:val="26"/>
        </w:rPr>
        <w:t>con base en los tiempos cotizados al ISS</w:t>
      </w:r>
      <w:r w:rsidR="00EA4D35" w:rsidRPr="003624C4">
        <w:rPr>
          <w:rFonts w:ascii="Arial Narrow" w:hAnsi="Arial Narrow" w:cs="Tahoma"/>
          <w:sz w:val="26"/>
          <w:szCs w:val="26"/>
        </w:rPr>
        <w:t xml:space="preserve"> (</w:t>
      </w:r>
      <w:r w:rsidR="00820919" w:rsidRPr="003624C4">
        <w:rPr>
          <w:rFonts w:ascii="Arial Narrow" w:hAnsi="Arial Narrow" w:cs="Tahoma"/>
          <w:sz w:val="26"/>
          <w:szCs w:val="26"/>
        </w:rPr>
        <w:t>1373</w:t>
      </w:r>
      <w:r w:rsidR="00EA4D35" w:rsidRPr="003624C4">
        <w:rPr>
          <w:rFonts w:ascii="Arial Narrow" w:hAnsi="Arial Narrow" w:cs="Tahoma"/>
          <w:sz w:val="26"/>
          <w:szCs w:val="26"/>
        </w:rPr>
        <w:t xml:space="preserve"> semanas)</w:t>
      </w:r>
      <w:r w:rsidRPr="003624C4">
        <w:rPr>
          <w:rFonts w:ascii="Arial Narrow" w:hAnsi="Arial Narrow" w:cs="Tahoma"/>
          <w:sz w:val="26"/>
          <w:szCs w:val="26"/>
        </w:rPr>
        <w:t>, en calidad de trabajador particular, puesto que aquellos son diferentes a los tomados en cuenta en el sector público, sin que las prestaciones que se originan con unos y otros aportes, sean incompatibles entre s</w:t>
      </w:r>
      <w:r w:rsidR="00943AE3" w:rsidRPr="003624C4">
        <w:rPr>
          <w:rFonts w:ascii="Arial Narrow" w:hAnsi="Arial Narrow" w:cs="Tahoma"/>
          <w:sz w:val="26"/>
          <w:szCs w:val="26"/>
        </w:rPr>
        <w:t xml:space="preserve">í, más cuando la vinculación del accionante </w:t>
      </w:r>
      <w:r w:rsidRPr="003624C4">
        <w:rPr>
          <w:rFonts w:ascii="Arial Narrow" w:hAnsi="Arial Narrow" w:cs="Tahoma"/>
          <w:sz w:val="26"/>
          <w:szCs w:val="26"/>
        </w:rPr>
        <w:t>al magisterio operó con anterioridad a la entrada en vigencia la Ley 812 de 2003, hallándose en el régimen exceptuado d</w:t>
      </w:r>
      <w:r w:rsidR="004746A2" w:rsidRPr="003624C4">
        <w:rPr>
          <w:rFonts w:ascii="Arial Narrow" w:hAnsi="Arial Narrow" w:cs="Tahoma"/>
          <w:sz w:val="26"/>
          <w:szCs w:val="26"/>
        </w:rPr>
        <w:t>el sistema general</w:t>
      </w:r>
      <w:r w:rsidR="007C2AC6" w:rsidRPr="003624C4">
        <w:rPr>
          <w:rFonts w:ascii="Arial Narrow" w:hAnsi="Arial Narrow" w:cs="Tahoma"/>
          <w:sz w:val="26"/>
          <w:szCs w:val="26"/>
        </w:rPr>
        <w:t xml:space="preserve"> de pensiones.</w:t>
      </w:r>
    </w:p>
    <w:p w:rsidR="00782089" w:rsidRPr="003624C4" w:rsidRDefault="00782089" w:rsidP="003624C4">
      <w:pPr>
        <w:pStyle w:val="Textoindependiente32"/>
        <w:spacing w:line="288" w:lineRule="auto"/>
        <w:ind w:firstLine="851"/>
        <w:rPr>
          <w:rFonts w:ascii="Arial Narrow" w:hAnsi="Arial Narrow" w:cs="Tahoma"/>
          <w:sz w:val="26"/>
          <w:szCs w:val="26"/>
        </w:rPr>
      </w:pPr>
    </w:p>
    <w:p w:rsidR="00075C8A" w:rsidRPr="003624C4" w:rsidRDefault="00782089" w:rsidP="003624C4">
      <w:pPr>
        <w:spacing w:line="288" w:lineRule="auto"/>
        <w:ind w:firstLine="900"/>
        <w:jc w:val="both"/>
        <w:rPr>
          <w:rFonts w:ascii="Arial Narrow" w:hAnsi="Arial Narrow" w:cs="Arial"/>
          <w:sz w:val="26"/>
          <w:szCs w:val="26"/>
        </w:rPr>
      </w:pPr>
      <w:r w:rsidRPr="003624C4">
        <w:rPr>
          <w:rFonts w:ascii="Arial Narrow" w:hAnsi="Arial Narrow"/>
          <w:sz w:val="26"/>
          <w:szCs w:val="26"/>
          <w:lang w:val="es-CO"/>
        </w:rPr>
        <w:t xml:space="preserve">Conforme a lo ya </w:t>
      </w:r>
      <w:r w:rsidR="00B175F4" w:rsidRPr="003624C4">
        <w:rPr>
          <w:rFonts w:ascii="Arial Narrow" w:hAnsi="Arial Narrow"/>
          <w:sz w:val="26"/>
          <w:szCs w:val="26"/>
          <w:lang w:val="es-CO"/>
        </w:rPr>
        <w:t>expuesto</w:t>
      </w:r>
      <w:r w:rsidRPr="003624C4">
        <w:rPr>
          <w:rFonts w:ascii="Arial Narrow" w:hAnsi="Arial Narrow"/>
          <w:sz w:val="26"/>
          <w:szCs w:val="26"/>
          <w:lang w:val="es-CO"/>
        </w:rPr>
        <w:t>,</w:t>
      </w:r>
      <w:r w:rsidR="00B175F4" w:rsidRPr="003624C4">
        <w:rPr>
          <w:rFonts w:ascii="Arial Narrow" w:hAnsi="Arial Narrow"/>
          <w:sz w:val="26"/>
          <w:szCs w:val="26"/>
          <w:lang w:val="es-CO"/>
        </w:rPr>
        <w:t xml:space="preserve"> </w:t>
      </w:r>
      <w:r w:rsidR="00075C8A" w:rsidRPr="003624C4">
        <w:rPr>
          <w:rFonts w:ascii="Arial Narrow" w:hAnsi="Arial Narrow"/>
          <w:sz w:val="26"/>
          <w:szCs w:val="26"/>
          <w:lang w:val="es-CO"/>
        </w:rPr>
        <w:t xml:space="preserve">no le asiste razón </w:t>
      </w:r>
      <w:r w:rsidR="00B175F4" w:rsidRPr="003624C4">
        <w:rPr>
          <w:rFonts w:ascii="Arial Narrow" w:hAnsi="Arial Narrow"/>
          <w:sz w:val="26"/>
          <w:szCs w:val="26"/>
          <w:lang w:val="es-CO"/>
        </w:rPr>
        <w:t>a Colpensiones</w:t>
      </w:r>
      <w:r w:rsidRPr="003624C4">
        <w:rPr>
          <w:rFonts w:ascii="Arial Narrow" w:hAnsi="Arial Narrow"/>
          <w:sz w:val="26"/>
          <w:szCs w:val="26"/>
          <w:lang w:val="es-CO"/>
        </w:rPr>
        <w:t>, al pedir que los aportes realizados por el actor al ISS como trabajador en e</w:t>
      </w:r>
      <w:r w:rsidR="00B175F4" w:rsidRPr="003624C4">
        <w:rPr>
          <w:rFonts w:ascii="Arial Narrow" w:hAnsi="Arial Narrow"/>
          <w:sz w:val="26"/>
          <w:szCs w:val="26"/>
          <w:lang w:val="es-CO"/>
        </w:rPr>
        <w:t>l sector privado, se constituya</w:t>
      </w:r>
      <w:r w:rsidRPr="003624C4">
        <w:rPr>
          <w:rFonts w:ascii="Arial Narrow" w:hAnsi="Arial Narrow"/>
          <w:sz w:val="26"/>
          <w:szCs w:val="26"/>
          <w:lang w:val="es-CO"/>
        </w:rPr>
        <w:t xml:space="preserve"> como un bono pensional a efectos de </w:t>
      </w:r>
      <w:proofErr w:type="spellStart"/>
      <w:r w:rsidRPr="003624C4">
        <w:rPr>
          <w:rFonts w:ascii="Arial Narrow" w:hAnsi="Arial Narrow"/>
          <w:sz w:val="26"/>
          <w:szCs w:val="26"/>
          <w:lang w:val="es-CO"/>
        </w:rPr>
        <w:t>reliquidar</w:t>
      </w:r>
      <w:proofErr w:type="spellEnd"/>
      <w:r w:rsidRPr="003624C4">
        <w:rPr>
          <w:rFonts w:ascii="Arial Narrow" w:hAnsi="Arial Narrow"/>
          <w:sz w:val="26"/>
          <w:szCs w:val="26"/>
          <w:lang w:val="es-CO"/>
        </w:rPr>
        <w:t xml:space="preserve"> la pensión de jubilación </w:t>
      </w:r>
      <w:r w:rsidR="00075C8A" w:rsidRPr="003624C4">
        <w:rPr>
          <w:rFonts w:ascii="Arial Narrow" w:hAnsi="Arial Narrow"/>
          <w:sz w:val="26"/>
          <w:szCs w:val="26"/>
          <w:lang w:val="es-CO"/>
        </w:rPr>
        <w:t>que vi</w:t>
      </w:r>
      <w:r w:rsidR="00E24916" w:rsidRPr="003624C4">
        <w:rPr>
          <w:rFonts w:ascii="Arial Narrow" w:hAnsi="Arial Narrow"/>
          <w:sz w:val="26"/>
          <w:szCs w:val="26"/>
          <w:lang w:val="es-CO"/>
        </w:rPr>
        <w:t>ene percibiendo, por cuanto, com</w:t>
      </w:r>
      <w:r w:rsidR="00075C8A" w:rsidRPr="003624C4">
        <w:rPr>
          <w:rFonts w:ascii="Arial Narrow" w:hAnsi="Arial Narrow"/>
          <w:sz w:val="26"/>
          <w:szCs w:val="26"/>
          <w:lang w:val="es-CO"/>
        </w:rPr>
        <w:t xml:space="preserve">o </w:t>
      </w:r>
      <w:r w:rsidR="00075C8A" w:rsidRPr="003624C4">
        <w:rPr>
          <w:rFonts w:ascii="Arial Narrow" w:hAnsi="Arial Narrow"/>
          <w:sz w:val="26"/>
          <w:szCs w:val="26"/>
          <w:lang w:val="es-CO"/>
        </w:rPr>
        <w:lastRenderedPageBreak/>
        <w:t xml:space="preserve">viene de verse, </w:t>
      </w:r>
      <w:r w:rsidR="00B175F4" w:rsidRPr="003624C4">
        <w:rPr>
          <w:rFonts w:ascii="Arial Narrow" w:hAnsi="Arial Narrow"/>
          <w:sz w:val="26"/>
          <w:szCs w:val="26"/>
          <w:lang w:val="es-CO"/>
        </w:rPr>
        <w:t xml:space="preserve">a </w:t>
      </w:r>
      <w:r w:rsidR="00075C8A" w:rsidRPr="003624C4">
        <w:rPr>
          <w:rFonts w:ascii="Arial Narrow" w:hAnsi="Arial Narrow" w:cs="Arial"/>
          <w:sz w:val="26"/>
          <w:szCs w:val="26"/>
        </w:rPr>
        <w:t xml:space="preserve">los docentes nacionales, nacionalizados y territoriales, cuya vinculación data con anterioridad al 27 de junio de 2003, se </w:t>
      </w:r>
      <w:r w:rsidR="00B175F4" w:rsidRPr="003624C4">
        <w:rPr>
          <w:rFonts w:ascii="Arial Narrow" w:hAnsi="Arial Narrow" w:cs="Arial"/>
          <w:sz w:val="26"/>
          <w:szCs w:val="26"/>
        </w:rPr>
        <w:t>abre la senda para que,</w:t>
      </w:r>
      <w:r w:rsidR="00075C8A" w:rsidRPr="003624C4">
        <w:rPr>
          <w:rFonts w:ascii="Arial Narrow" w:hAnsi="Arial Narrow" w:cs="Arial"/>
          <w:sz w:val="26"/>
          <w:szCs w:val="26"/>
        </w:rPr>
        <w:t xml:space="preserve"> simultáneamente</w:t>
      </w:r>
      <w:r w:rsidR="00B175F4" w:rsidRPr="003624C4">
        <w:rPr>
          <w:rFonts w:ascii="Arial Narrow" w:hAnsi="Arial Narrow" w:cs="Arial"/>
          <w:sz w:val="26"/>
          <w:szCs w:val="26"/>
        </w:rPr>
        <w:t>,</w:t>
      </w:r>
      <w:r w:rsidR="00075C8A" w:rsidRPr="003624C4">
        <w:rPr>
          <w:rFonts w:ascii="Arial Narrow" w:hAnsi="Arial Narrow" w:cs="Arial"/>
          <w:sz w:val="26"/>
          <w:szCs w:val="26"/>
        </w:rPr>
        <w:t xml:space="preserve"> hagan aportes al ISS, y se logre con base en los mismos, la financiación para la obtención de una pensión de vejez o en su defecto</w:t>
      </w:r>
      <w:r w:rsidR="00B175F4" w:rsidRPr="003624C4">
        <w:rPr>
          <w:rFonts w:ascii="Arial Narrow" w:hAnsi="Arial Narrow" w:cs="Arial"/>
          <w:sz w:val="26"/>
          <w:szCs w:val="26"/>
        </w:rPr>
        <w:t>,</w:t>
      </w:r>
      <w:r w:rsidR="00075C8A" w:rsidRPr="003624C4">
        <w:rPr>
          <w:rFonts w:ascii="Arial Narrow" w:hAnsi="Arial Narrow" w:cs="Arial"/>
          <w:sz w:val="26"/>
          <w:szCs w:val="26"/>
        </w:rPr>
        <w:t xml:space="preserve"> la indemnización sustitutiva o devolución de saldos, con independencia de la pensión de jubilación que ya disfrute o esté en vías de obtener, en el sector público, como docente, gracias a que cada una cuenta con recursos propios para su financiación.</w:t>
      </w:r>
    </w:p>
    <w:p w:rsidR="00D60F21" w:rsidRPr="003624C4" w:rsidRDefault="00D60F21" w:rsidP="003624C4">
      <w:pPr>
        <w:pStyle w:val="Textoindependiente32"/>
        <w:spacing w:line="288" w:lineRule="auto"/>
        <w:ind w:firstLine="851"/>
        <w:rPr>
          <w:rFonts w:ascii="Arial Narrow" w:hAnsi="Arial Narrow" w:cs="Tahoma"/>
          <w:sz w:val="26"/>
          <w:szCs w:val="26"/>
        </w:rPr>
      </w:pPr>
    </w:p>
    <w:p w:rsidR="000D7F89" w:rsidRPr="003624C4" w:rsidRDefault="003B0E3F" w:rsidP="003624C4">
      <w:pPr>
        <w:spacing w:line="288" w:lineRule="auto"/>
        <w:ind w:firstLine="902"/>
        <w:jc w:val="both"/>
        <w:rPr>
          <w:rFonts w:ascii="Arial Narrow" w:hAnsi="Arial Narrow" w:cs="Tahoma"/>
          <w:sz w:val="26"/>
          <w:szCs w:val="26"/>
        </w:rPr>
      </w:pPr>
      <w:r w:rsidRPr="003624C4">
        <w:rPr>
          <w:rFonts w:ascii="Arial Narrow" w:hAnsi="Arial Narrow" w:cs="Tahoma"/>
          <w:sz w:val="26"/>
          <w:szCs w:val="26"/>
        </w:rPr>
        <w:t>Ahora,</w:t>
      </w:r>
      <w:r w:rsidR="000D7F89" w:rsidRPr="003624C4">
        <w:rPr>
          <w:rFonts w:ascii="Arial Narrow" w:hAnsi="Arial Narrow" w:cs="Tahoma"/>
          <w:sz w:val="26"/>
          <w:szCs w:val="26"/>
        </w:rPr>
        <w:t xml:space="preserve"> </w:t>
      </w:r>
      <w:r w:rsidRPr="003624C4">
        <w:rPr>
          <w:rFonts w:ascii="Arial Narrow" w:hAnsi="Arial Narrow" w:cs="Tahoma"/>
          <w:sz w:val="26"/>
          <w:szCs w:val="26"/>
        </w:rPr>
        <w:t>se adentrará l</w:t>
      </w:r>
      <w:r w:rsidR="000D7F89" w:rsidRPr="003624C4">
        <w:rPr>
          <w:rFonts w:ascii="Arial Narrow" w:hAnsi="Arial Narrow" w:cs="Tahoma"/>
          <w:sz w:val="26"/>
          <w:szCs w:val="26"/>
        </w:rPr>
        <w:t xml:space="preserve">a </w:t>
      </w:r>
      <w:r w:rsidRPr="003624C4">
        <w:rPr>
          <w:rFonts w:ascii="Arial Narrow" w:hAnsi="Arial Narrow" w:cs="Tahoma"/>
          <w:sz w:val="26"/>
          <w:szCs w:val="26"/>
        </w:rPr>
        <w:t xml:space="preserve">Sala en </w:t>
      </w:r>
      <w:r w:rsidR="000D7F89" w:rsidRPr="003624C4">
        <w:rPr>
          <w:rFonts w:ascii="Arial Narrow" w:hAnsi="Arial Narrow" w:cs="Tahoma"/>
          <w:sz w:val="26"/>
          <w:szCs w:val="26"/>
        </w:rPr>
        <w:t>establecer si tiene derecho el demandante a la pensión de vejez conforme a los postulados del Acuerdo 049 de 1990, y p</w:t>
      </w:r>
      <w:r w:rsidR="000D7F89" w:rsidRPr="003624C4">
        <w:rPr>
          <w:rFonts w:ascii="Arial Narrow" w:hAnsi="Arial Narrow" w:cs="Arial"/>
          <w:sz w:val="26"/>
          <w:szCs w:val="26"/>
          <w:lang w:val="es-ES"/>
        </w:rPr>
        <w:t>ara empezar, es indispensable en primer lugar, precisar que la Ley 100 de 1993 en su artículo 36 estableció un régimen de transición, el cual tuvo por finalidad, amparar a las personas que estuvieran en ciertos grupos, las expectativas legitimas de pensionarse con parte del régimen legal anterior que le resultare aplicable, puntualmente, con aplicación de la edad, el tiempo o semanas de cotización y el monto de la pensión, que se regulaba en esas normas anteriores.</w:t>
      </w:r>
    </w:p>
    <w:p w:rsidR="000D7F89" w:rsidRPr="003624C4" w:rsidRDefault="000D7F89" w:rsidP="003624C4">
      <w:pPr>
        <w:pStyle w:val="Sinespaciado"/>
        <w:spacing w:line="288" w:lineRule="auto"/>
        <w:rPr>
          <w:rFonts w:ascii="Arial Narrow" w:hAnsi="Arial Narrow"/>
          <w:sz w:val="26"/>
          <w:szCs w:val="26"/>
          <w:lang w:val="es-ES"/>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 Los grupos que podían beneficiarse de tales pautas, eran quienes al 1º de abril de 1994 contarán con (i) 35 años o más en caso de las mujeres </w:t>
      </w:r>
      <w:proofErr w:type="spellStart"/>
      <w:r w:rsidRPr="003624C4">
        <w:rPr>
          <w:rFonts w:ascii="Arial Narrow" w:hAnsi="Arial Narrow" w:cs="Arial"/>
          <w:sz w:val="26"/>
          <w:szCs w:val="26"/>
          <w:lang w:val="es-ES"/>
        </w:rPr>
        <w:t>ó</w:t>
      </w:r>
      <w:proofErr w:type="spellEnd"/>
      <w:r w:rsidRPr="003624C4">
        <w:rPr>
          <w:rFonts w:ascii="Arial Narrow" w:hAnsi="Arial Narrow" w:cs="Arial"/>
          <w:sz w:val="26"/>
          <w:szCs w:val="26"/>
          <w:lang w:val="es-ES"/>
        </w:rPr>
        <w:t xml:space="preserve"> 40 años o más en caso de hombres y (ii) hombres y mujeres que tuvieran 15 años de servicios o su equivalente en cotizaciones, sin importar la edad.</w:t>
      </w:r>
    </w:p>
    <w:p w:rsidR="000D7F89" w:rsidRPr="003624C4" w:rsidRDefault="000D7F89" w:rsidP="003624C4">
      <w:pPr>
        <w:pStyle w:val="Sinespaciado"/>
        <w:spacing w:line="288" w:lineRule="auto"/>
        <w:rPr>
          <w:rFonts w:ascii="Arial Narrow" w:hAnsi="Arial Narrow"/>
          <w:sz w:val="26"/>
          <w:szCs w:val="26"/>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Sin embargo, en vista de la precariedad de aquellas personas que adquirieron la transición con la sola edad y no con la densidad de cotizaciones, el Acto Legislativo 01 de 2005, extendió dicho régimen del 31 de julio de 2010 hasta el 2014, siempre que al momento de entrar a regir dicho acto modificatorio contarán con 750 semanas o su equivalente en tiempo de servicios. </w:t>
      </w:r>
    </w:p>
    <w:p w:rsidR="000D7F89" w:rsidRPr="003624C4" w:rsidRDefault="000D7F89" w:rsidP="003624C4">
      <w:pPr>
        <w:pStyle w:val="Sinespaciado"/>
        <w:spacing w:line="288" w:lineRule="auto"/>
        <w:rPr>
          <w:rFonts w:ascii="Arial Narrow" w:hAnsi="Arial Narrow"/>
          <w:sz w:val="26"/>
          <w:szCs w:val="26"/>
        </w:rPr>
      </w:pPr>
    </w:p>
    <w:p w:rsidR="00AF0007"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En el caso concreto, conforme a las pruebas documentales obrantes en el plenario, está acreditado que el señor Rubén Darío Sierra Montoya nació el 27 de octubre de 1952,  según copia de la cédula de ciudadanía obrante a folio 38, por lo que al 1º de abril de 1994, tenía 41 años de edad. </w:t>
      </w:r>
    </w:p>
    <w:p w:rsidR="000D7F89" w:rsidRPr="003624C4" w:rsidRDefault="000D7F89" w:rsidP="003624C4">
      <w:pPr>
        <w:pStyle w:val="Sinespaciado"/>
        <w:spacing w:line="288" w:lineRule="auto"/>
        <w:rPr>
          <w:rFonts w:ascii="Arial Narrow" w:hAnsi="Arial Narrow"/>
          <w:sz w:val="26"/>
          <w:szCs w:val="26"/>
          <w:lang w:val="es-ES"/>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Así mismo, que al 29 de julio de 2005, fecha de entrada en vigor del Acto Legislativo 01/05, había sufragado 824, semanas de aportes al ISS, superando con creces las 750 semanas que exige la precitada disposición.</w:t>
      </w: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Por lo anterior, no milita duda en torno a que el actor continuó gozando de los beneficios del régimen de transición hasta el 31 de diciembre de 2014.</w:t>
      </w:r>
    </w:p>
    <w:p w:rsidR="00C6203E" w:rsidRPr="003624C4" w:rsidRDefault="00C6203E" w:rsidP="003624C4">
      <w:pPr>
        <w:pStyle w:val="Sinespaciado"/>
        <w:spacing w:line="288" w:lineRule="auto"/>
        <w:rPr>
          <w:rFonts w:ascii="Arial Narrow" w:hAnsi="Arial Narrow"/>
          <w:sz w:val="26"/>
          <w:szCs w:val="26"/>
          <w:lang w:val="es-ES"/>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Se solicita en la demanda la aplicación del Acuerdo 049 de 1990, aprobado por el Decreto 758 del mismo año, por ser el régimen anterior al cual se encontraba afiliado. Dicho precepto establece en su artículo los presupuestos para acceder a la pensión por vejez, puntualmente dos: (i) que en el caso de los hombres alcancen los 60 años de edad y (ii) que </w:t>
      </w:r>
      <w:r w:rsidRPr="003624C4">
        <w:rPr>
          <w:rFonts w:ascii="Arial Narrow" w:hAnsi="Arial Narrow" w:cs="Arial"/>
          <w:sz w:val="26"/>
          <w:szCs w:val="26"/>
          <w:lang w:val="es-ES"/>
        </w:rPr>
        <w:lastRenderedPageBreak/>
        <w:t>tengan 1.000 semanas cotizadas en cualquier tiempo o 500 semanas en los 20 años anteriores al cumplimiento de la edad.</w:t>
      </w:r>
    </w:p>
    <w:p w:rsidR="000D7F89" w:rsidRPr="003624C4" w:rsidRDefault="000D7F89" w:rsidP="003624C4">
      <w:pPr>
        <w:pStyle w:val="Sinespaciado"/>
        <w:spacing w:line="288" w:lineRule="auto"/>
        <w:rPr>
          <w:rFonts w:ascii="Arial Narrow" w:hAnsi="Arial Narrow"/>
          <w:sz w:val="26"/>
          <w:szCs w:val="26"/>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En cuanto al requisito de la edad, éste lo reunió el 27 de octubre de 2012, cuando arribó a 60 años de edad. </w:t>
      </w:r>
    </w:p>
    <w:p w:rsidR="000D7F89" w:rsidRPr="003624C4" w:rsidRDefault="000D7F89" w:rsidP="003624C4">
      <w:pPr>
        <w:pStyle w:val="Sinespaciado"/>
        <w:spacing w:line="288" w:lineRule="auto"/>
        <w:rPr>
          <w:rFonts w:ascii="Arial Narrow" w:hAnsi="Arial Narrow"/>
          <w:sz w:val="26"/>
          <w:szCs w:val="26"/>
        </w:rPr>
      </w:pPr>
    </w:p>
    <w:p w:rsidR="000D7F89" w:rsidRPr="003624C4" w:rsidRDefault="000D7F89" w:rsidP="003624C4">
      <w:pPr>
        <w:autoSpaceDE w:val="0"/>
        <w:autoSpaceDN w:val="0"/>
        <w:adjustRightInd w:val="0"/>
        <w:spacing w:line="288" w:lineRule="auto"/>
        <w:ind w:firstLine="851"/>
        <w:jc w:val="both"/>
        <w:rPr>
          <w:rFonts w:ascii="Arial Narrow" w:hAnsi="Arial Narrow" w:cs="Arial"/>
          <w:sz w:val="26"/>
          <w:szCs w:val="26"/>
          <w:lang w:val="es-ES"/>
        </w:rPr>
      </w:pPr>
      <w:r w:rsidRPr="003624C4">
        <w:rPr>
          <w:rFonts w:ascii="Arial Narrow" w:hAnsi="Arial Narrow" w:cs="Arial"/>
          <w:sz w:val="26"/>
          <w:szCs w:val="26"/>
          <w:lang w:val="es-ES"/>
        </w:rPr>
        <w:t xml:space="preserve">Frente a las cotizaciones, según la historia laboral allegada por la entidad visible a folio 63, el actor sufragó un total de 1.373 semanas de aportes al ISS hasta el 31 de agosto de 2016, las cuales resultan suficientes para el otorgamiento de la pensión de vejez peticionada, en los términos del artículo 12 del Acuerdo 049 de 1990. </w:t>
      </w:r>
    </w:p>
    <w:p w:rsidR="000D7F89" w:rsidRPr="003624C4" w:rsidRDefault="000D7F89" w:rsidP="003624C4">
      <w:pPr>
        <w:autoSpaceDE w:val="0"/>
        <w:autoSpaceDN w:val="0"/>
        <w:adjustRightInd w:val="0"/>
        <w:spacing w:line="288" w:lineRule="auto"/>
        <w:jc w:val="both"/>
        <w:rPr>
          <w:rFonts w:ascii="Arial Narrow" w:hAnsi="Arial Narrow" w:cs="Arial"/>
          <w:sz w:val="26"/>
          <w:szCs w:val="26"/>
          <w:lang w:val="es-ES"/>
        </w:rPr>
      </w:pPr>
    </w:p>
    <w:p w:rsidR="00A223BE" w:rsidRPr="003624C4" w:rsidRDefault="000D7F89" w:rsidP="003624C4">
      <w:pPr>
        <w:pStyle w:val="Textoindependiente"/>
        <w:spacing w:line="288" w:lineRule="auto"/>
        <w:ind w:firstLine="708"/>
        <w:rPr>
          <w:rFonts w:ascii="Arial Narrow" w:hAnsi="Arial Narrow" w:cs="Tahoma"/>
          <w:sz w:val="26"/>
          <w:szCs w:val="26"/>
          <w:lang w:val="es-CO"/>
        </w:rPr>
      </w:pPr>
      <w:r w:rsidRPr="003624C4">
        <w:rPr>
          <w:rFonts w:ascii="Arial Narrow" w:hAnsi="Arial Narrow"/>
          <w:sz w:val="26"/>
          <w:szCs w:val="26"/>
        </w:rPr>
        <w:t xml:space="preserve">El monto de la pensión será </w:t>
      </w:r>
      <w:r w:rsidR="00C11382" w:rsidRPr="003624C4">
        <w:rPr>
          <w:rFonts w:ascii="Arial Narrow" w:hAnsi="Arial Narrow"/>
          <w:sz w:val="26"/>
          <w:szCs w:val="26"/>
        </w:rPr>
        <w:t xml:space="preserve">calculado conforme al inciso 2º del artículo 21 de la Ley 100 de 1993, teniendo en cuenta que a la fecha de entrada en vigencia de dicha ley, al actor le faltaban más de 10 años para acceder a la pensión. Se anexa la tabla mediante la cual se realiza el cálculo del ingreso base de liquidación, teniendo en cuenta los últimos 10 años, por ser más favorable al obtenido con el de toda la vida, correspondiendo aplicar la tasa de reemplazo del 90% conforme al Acuerdo 049 de 1990, por haber cotizado más de 1250 en su vida laboral. El valor de la mesada corresponde </w:t>
      </w:r>
      <w:r w:rsidRPr="003624C4">
        <w:rPr>
          <w:rFonts w:ascii="Arial Narrow" w:hAnsi="Arial Narrow"/>
          <w:sz w:val="26"/>
          <w:szCs w:val="26"/>
        </w:rPr>
        <w:t>a la suma de $</w:t>
      </w:r>
      <w:r w:rsidR="009A1915" w:rsidRPr="003624C4">
        <w:rPr>
          <w:rFonts w:ascii="Arial Narrow" w:hAnsi="Arial Narrow"/>
          <w:sz w:val="26"/>
          <w:szCs w:val="26"/>
        </w:rPr>
        <w:t>3.8</w:t>
      </w:r>
      <w:r w:rsidR="00FE3332" w:rsidRPr="003624C4">
        <w:rPr>
          <w:rFonts w:ascii="Arial Narrow" w:hAnsi="Arial Narrow"/>
          <w:sz w:val="26"/>
          <w:szCs w:val="26"/>
        </w:rPr>
        <w:t>26.248</w:t>
      </w:r>
      <w:r w:rsidR="00C11382" w:rsidRPr="003624C4">
        <w:rPr>
          <w:rFonts w:ascii="Arial Narrow" w:hAnsi="Arial Narrow"/>
          <w:sz w:val="26"/>
          <w:szCs w:val="26"/>
        </w:rPr>
        <w:t>,</w:t>
      </w:r>
      <w:r w:rsidRPr="003624C4">
        <w:rPr>
          <w:rFonts w:ascii="Arial Narrow" w:hAnsi="Arial Narrow"/>
          <w:sz w:val="26"/>
          <w:szCs w:val="26"/>
        </w:rPr>
        <w:t xml:space="preserve"> por trece mesadas anuales, conforme a los lineamientos del inciso 8º del artículo 1º del A.L. 01 de 2005, dado que el derecho pensional se causó con poste</w:t>
      </w:r>
      <w:r w:rsidR="00A223BE" w:rsidRPr="003624C4">
        <w:rPr>
          <w:rFonts w:ascii="Arial Narrow" w:hAnsi="Arial Narrow"/>
          <w:sz w:val="26"/>
          <w:szCs w:val="26"/>
        </w:rPr>
        <w:t xml:space="preserve">rioridad al 31 de julio de 2011, </w:t>
      </w:r>
      <w:r w:rsidR="00A223BE" w:rsidRPr="003624C4">
        <w:rPr>
          <w:rFonts w:ascii="Arial Narrow" w:hAnsi="Arial Narrow" w:cs="Tahoma"/>
          <w:sz w:val="26"/>
          <w:szCs w:val="26"/>
          <w:lang w:val="es-CO"/>
        </w:rPr>
        <w:t xml:space="preserve">sin embargo como la primera instancia calculó la mesada al 1º de septiembre de 2016, en $3.808.909, este </w:t>
      </w:r>
      <w:r w:rsidR="00EF15E4" w:rsidRPr="003624C4">
        <w:rPr>
          <w:rFonts w:ascii="Arial Narrow" w:hAnsi="Arial Narrow" w:cs="Tahoma"/>
          <w:sz w:val="26"/>
          <w:szCs w:val="26"/>
          <w:lang w:val="es-CO"/>
        </w:rPr>
        <w:t xml:space="preserve">valor </w:t>
      </w:r>
      <w:r w:rsidR="00A223BE" w:rsidRPr="003624C4">
        <w:rPr>
          <w:rFonts w:ascii="Arial Narrow" w:hAnsi="Arial Narrow" w:cs="Tahoma"/>
          <w:sz w:val="26"/>
          <w:szCs w:val="26"/>
          <w:lang w:val="es-CO"/>
        </w:rPr>
        <w:t>se mantendrá por efectos del grado jurisdiccional de consulta que se surte a favor de Colpensiones. Indicando</w:t>
      </w:r>
      <w:r w:rsidR="00EF15E4" w:rsidRPr="003624C4">
        <w:rPr>
          <w:rFonts w:ascii="Arial Narrow" w:hAnsi="Arial Narrow" w:cs="Tahoma"/>
          <w:sz w:val="26"/>
          <w:szCs w:val="26"/>
          <w:lang w:val="es-CO"/>
        </w:rPr>
        <w:t>,</w:t>
      </w:r>
      <w:r w:rsidR="00A223BE" w:rsidRPr="003624C4">
        <w:rPr>
          <w:rFonts w:ascii="Arial Narrow" w:hAnsi="Arial Narrow" w:cs="Tahoma"/>
          <w:sz w:val="26"/>
          <w:szCs w:val="26"/>
          <w:lang w:val="es-CO"/>
        </w:rPr>
        <w:t xml:space="preserve"> que con el incremento de acuerdo al IPC, la mesada para el presente año</w:t>
      </w:r>
      <w:r w:rsidR="00A62B10" w:rsidRPr="003624C4">
        <w:rPr>
          <w:rFonts w:ascii="Arial Narrow" w:hAnsi="Arial Narrow" w:cs="Tahoma"/>
          <w:sz w:val="26"/>
          <w:szCs w:val="26"/>
          <w:lang w:val="es-CO"/>
        </w:rPr>
        <w:t xml:space="preserve"> -2019- </w:t>
      </w:r>
      <w:r w:rsidR="00A223BE" w:rsidRPr="003624C4">
        <w:rPr>
          <w:rFonts w:ascii="Arial Narrow" w:hAnsi="Arial Narrow" w:cs="Tahoma"/>
          <w:sz w:val="26"/>
          <w:szCs w:val="26"/>
          <w:lang w:val="es-CO"/>
        </w:rPr>
        <w:t xml:space="preserve"> </w:t>
      </w:r>
      <w:r w:rsidR="00D75CCB" w:rsidRPr="003624C4">
        <w:rPr>
          <w:rFonts w:ascii="Arial Narrow" w:hAnsi="Arial Narrow" w:cs="Tahoma"/>
          <w:sz w:val="26"/>
          <w:szCs w:val="26"/>
          <w:lang w:val="es-CO"/>
        </w:rPr>
        <w:t>corresponde a la</w:t>
      </w:r>
      <w:r w:rsidR="00A223BE" w:rsidRPr="003624C4">
        <w:rPr>
          <w:rFonts w:ascii="Arial Narrow" w:hAnsi="Arial Narrow" w:cs="Tahoma"/>
          <w:sz w:val="26"/>
          <w:szCs w:val="26"/>
          <w:lang w:val="es-CO"/>
        </w:rPr>
        <w:t xml:space="preserve"> suma de $4.325.990</w:t>
      </w:r>
      <w:r w:rsidR="00A62B10" w:rsidRPr="003624C4">
        <w:rPr>
          <w:rFonts w:ascii="Arial Narrow" w:hAnsi="Arial Narrow" w:cs="Tahoma"/>
          <w:sz w:val="26"/>
          <w:szCs w:val="26"/>
          <w:lang w:val="es-CO"/>
        </w:rPr>
        <w:t>, como aparece en el cuadro de liquidación anexo y que se pone de presente a las partes.</w:t>
      </w:r>
    </w:p>
    <w:p w:rsidR="000D7F89" w:rsidRPr="003624C4" w:rsidRDefault="000D7F89" w:rsidP="003624C4">
      <w:pPr>
        <w:autoSpaceDE w:val="0"/>
        <w:autoSpaceDN w:val="0"/>
        <w:adjustRightInd w:val="0"/>
        <w:spacing w:line="288" w:lineRule="auto"/>
        <w:jc w:val="both"/>
        <w:rPr>
          <w:rFonts w:ascii="Arial Narrow" w:hAnsi="Arial Narrow"/>
          <w:sz w:val="26"/>
          <w:szCs w:val="26"/>
        </w:rPr>
      </w:pPr>
    </w:p>
    <w:p w:rsidR="000D7F89" w:rsidRPr="003624C4" w:rsidRDefault="000D7F89" w:rsidP="003624C4">
      <w:pPr>
        <w:pStyle w:val="Sinespaciado"/>
        <w:spacing w:line="288" w:lineRule="auto"/>
        <w:ind w:firstLine="708"/>
        <w:jc w:val="both"/>
        <w:rPr>
          <w:rFonts w:ascii="Arial Narrow" w:hAnsi="Arial Narrow" w:cs="Arial"/>
          <w:sz w:val="26"/>
          <w:szCs w:val="26"/>
          <w:lang w:val="es-ES"/>
        </w:rPr>
      </w:pPr>
      <w:r w:rsidRPr="003624C4">
        <w:rPr>
          <w:rFonts w:ascii="Arial Narrow" w:hAnsi="Arial Narrow" w:cs="Arial"/>
          <w:sz w:val="26"/>
          <w:szCs w:val="26"/>
          <w:lang w:val="es-ES"/>
        </w:rPr>
        <w:t>En lo referente al disfrute pensional, es preciso indicar que el órgano de cierre de esta especialidad laboral, ha reconocido que la desafiliación al sistema pensional, se puede presentar de manera excepcional ante la falta de reporte de dicha novedad,</w:t>
      </w:r>
      <w:r w:rsidR="00FF3C2F" w:rsidRPr="003624C4">
        <w:rPr>
          <w:rFonts w:ascii="Arial Narrow" w:hAnsi="Arial Narrow" w:cs="Arial"/>
          <w:sz w:val="26"/>
          <w:szCs w:val="26"/>
          <w:lang w:val="es-ES"/>
        </w:rPr>
        <w:t xml:space="preserve"> por lo que </w:t>
      </w:r>
      <w:r w:rsidRPr="003624C4">
        <w:rPr>
          <w:rFonts w:ascii="Arial Narrow" w:hAnsi="Arial Narrow" w:cs="Arial"/>
          <w:sz w:val="26"/>
          <w:szCs w:val="26"/>
          <w:lang w:val="es-ES"/>
        </w:rPr>
        <w:t>se infiere de las circunstancias que rodean cada caso en particular, pues estas disposiciones (arts. 13 y 35 A</w:t>
      </w:r>
      <w:r w:rsidR="006D60B6" w:rsidRPr="003624C4">
        <w:rPr>
          <w:rFonts w:ascii="Arial Narrow" w:hAnsi="Arial Narrow" w:cs="Arial"/>
          <w:sz w:val="26"/>
          <w:szCs w:val="26"/>
          <w:lang w:val="es-ES"/>
        </w:rPr>
        <w:t>cuerdo</w:t>
      </w:r>
      <w:r w:rsidRPr="003624C4">
        <w:rPr>
          <w:rFonts w:ascii="Arial Narrow" w:hAnsi="Arial Narrow" w:cs="Arial"/>
          <w:sz w:val="26"/>
          <w:szCs w:val="26"/>
          <w:lang w:val="es-ES"/>
        </w:rPr>
        <w:t xml:space="preserve"> 049/1990), "</w:t>
      </w:r>
      <w:r w:rsidRPr="003624C4">
        <w:rPr>
          <w:rFonts w:ascii="Arial Narrow" w:hAnsi="Arial Narrow" w:cs="Arial"/>
          <w:i/>
          <w:szCs w:val="26"/>
          <w:lang w:val="es-ES"/>
        </w:rPr>
        <w:t>admiten un entendimiento conforme al cual la voluntad del afiliado de no continuar afiliado al sistema, manifestada mediante actos externos, es un parámetro válido para establecer la fecha de inicio de disfrute de la pensión</w:t>
      </w:r>
      <w:r w:rsidRPr="003624C4">
        <w:rPr>
          <w:rFonts w:ascii="Arial Narrow" w:hAnsi="Arial Narrow" w:cs="Arial"/>
          <w:sz w:val="26"/>
          <w:szCs w:val="26"/>
          <w:lang w:val="es-ES"/>
        </w:rPr>
        <w:t>” (sentencia SL 5603, de 6 de abril 2016).</w:t>
      </w:r>
    </w:p>
    <w:p w:rsidR="000D7F89" w:rsidRPr="003624C4" w:rsidRDefault="000D7F89" w:rsidP="003624C4">
      <w:pPr>
        <w:pStyle w:val="Sinespaciado"/>
        <w:spacing w:line="288" w:lineRule="auto"/>
        <w:ind w:firstLine="708"/>
        <w:jc w:val="both"/>
        <w:rPr>
          <w:rFonts w:ascii="Arial Narrow" w:hAnsi="Arial Narrow" w:cs="Arial"/>
          <w:sz w:val="26"/>
          <w:szCs w:val="26"/>
          <w:lang w:val="es-ES"/>
        </w:rPr>
      </w:pPr>
    </w:p>
    <w:p w:rsidR="000D7F89" w:rsidRPr="003624C4" w:rsidRDefault="000D7F89" w:rsidP="003624C4">
      <w:pPr>
        <w:autoSpaceDE w:val="0"/>
        <w:autoSpaceDN w:val="0"/>
        <w:adjustRightInd w:val="0"/>
        <w:spacing w:line="288" w:lineRule="auto"/>
        <w:ind w:firstLine="708"/>
        <w:jc w:val="both"/>
        <w:rPr>
          <w:rFonts w:ascii="Arial Narrow" w:hAnsi="Arial Narrow" w:cs="Arial"/>
          <w:sz w:val="26"/>
          <w:szCs w:val="26"/>
          <w:lang w:val="es-ES"/>
        </w:rPr>
      </w:pPr>
      <w:r w:rsidRPr="003624C4">
        <w:rPr>
          <w:rFonts w:ascii="Arial Narrow" w:hAnsi="Arial Narrow"/>
          <w:sz w:val="26"/>
          <w:szCs w:val="26"/>
        </w:rPr>
        <w:t xml:space="preserve">Así pues, conforme a dicha postura, </w:t>
      </w:r>
      <w:r w:rsidRPr="003624C4">
        <w:rPr>
          <w:rFonts w:ascii="Arial Narrow" w:hAnsi="Arial Narrow" w:cs="Arial"/>
          <w:sz w:val="26"/>
          <w:szCs w:val="26"/>
          <w:lang w:val="es-ES"/>
        </w:rPr>
        <w:t xml:space="preserve">desde el momento en que reunidos ambos presupuestos (edad y densidad de aportes), el afiliado denota su intención de dejar de cotizar al sistema, se podrá empezar a disfrutar de la pensión de vejez, al configurarse así la desafiliación contenida en el artículo 13 </w:t>
      </w:r>
      <w:r w:rsidR="004B6754" w:rsidRPr="003624C4">
        <w:rPr>
          <w:rFonts w:ascii="Arial Narrow" w:hAnsi="Arial Narrow" w:cs="Arial"/>
          <w:sz w:val="26"/>
          <w:szCs w:val="26"/>
          <w:lang w:val="es-ES"/>
        </w:rPr>
        <w:t xml:space="preserve">y 35 </w:t>
      </w:r>
      <w:r w:rsidRPr="003624C4">
        <w:rPr>
          <w:rFonts w:ascii="Arial Narrow" w:hAnsi="Arial Narrow" w:cs="Arial"/>
          <w:sz w:val="26"/>
          <w:szCs w:val="26"/>
          <w:lang w:val="es-ES"/>
        </w:rPr>
        <w:t>del Acuerdo 049 de 1990.</w:t>
      </w:r>
    </w:p>
    <w:p w:rsidR="000D7F89" w:rsidRPr="003624C4" w:rsidRDefault="000D7F89" w:rsidP="003624C4">
      <w:pPr>
        <w:pStyle w:val="Sinespaciado"/>
        <w:spacing w:line="288" w:lineRule="auto"/>
        <w:rPr>
          <w:rFonts w:ascii="Arial Narrow" w:hAnsi="Arial Narrow" w:cs="Arial"/>
          <w:sz w:val="26"/>
          <w:szCs w:val="26"/>
          <w:lang w:val="es-ES"/>
        </w:rPr>
      </w:pPr>
    </w:p>
    <w:p w:rsidR="000D7F89" w:rsidRPr="003624C4" w:rsidRDefault="000D7F89" w:rsidP="003624C4">
      <w:pPr>
        <w:spacing w:line="288" w:lineRule="auto"/>
        <w:ind w:firstLine="709"/>
        <w:jc w:val="both"/>
        <w:rPr>
          <w:rFonts w:ascii="Arial Narrow" w:hAnsi="Arial Narrow"/>
          <w:sz w:val="26"/>
          <w:szCs w:val="26"/>
        </w:rPr>
      </w:pPr>
      <w:r w:rsidRPr="003624C4">
        <w:rPr>
          <w:rFonts w:ascii="Arial Narrow" w:hAnsi="Arial Narrow"/>
          <w:sz w:val="26"/>
          <w:szCs w:val="26"/>
        </w:rPr>
        <w:t xml:space="preserve">En el sub-lite, el demandante cumplió la edad el 27 de octubre de 2012, tal como se colige del documento visible a folio 38. Igualmente, se tiene certeza que sufragó un total de 1.373 </w:t>
      </w:r>
      <w:r w:rsidRPr="003624C4">
        <w:rPr>
          <w:rFonts w:ascii="Arial Narrow" w:hAnsi="Arial Narrow"/>
          <w:sz w:val="26"/>
          <w:szCs w:val="26"/>
        </w:rPr>
        <w:lastRenderedPageBreak/>
        <w:t xml:space="preserve">semanas entre el 30 de enero de 1975 y el 31 de agosto de 2016, calenda para la cual cesó en sus cotizaciones, amén de que presentó la solicitud pensional a partir del 17 de agosto de 2016. </w:t>
      </w:r>
    </w:p>
    <w:p w:rsidR="000D7F89" w:rsidRPr="003624C4" w:rsidRDefault="000D7F89" w:rsidP="003624C4">
      <w:pPr>
        <w:autoSpaceDE w:val="0"/>
        <w:autoSpaceDN w:val="0"/>
        <w:adjustRightInd w:val="0"/>
        <w:spacing w:line="288" w:lineRule="auto"/>
        <w:jc w:val="both"/>
        <w:rPr>
          <w:rFonts w:ascii="Arial Narrow" w:hAnsi="Arial Narrow"/>
          <w:sz w:val="26"/>
          <w:szCs w:val="26"/>
        </w:rPr>
      </w:pPr>
    </w:p>
    <w:p w:rsidR="000D7F89" w:rsidRPr="003624C4" w:rsidRDefault="000D7F89" w:rsidP="003624C4">
      <w:pPr>
        <w:autoSpaceDE w:val="0"/>
        <w:autoSpaceDN w:val="0"/>
        <w:adjustRightInd w:val="0"/>
        <w:spacing w:line="288" w:lineRule="auto"/>
        <w:ind w:firstLine="708"/>
        <w:jc w:val="both"/>
        <w:rPr>
          <w:rFonts w:ascii="Arial Narrow" w:hAnsi="Arial Narrow"/>
          <w:sz w:val="26"/>
          <w:szCs w:val="26"/>
        </w:rPr>
      </w:pPr>
      <w:r w:rsidRPr="003624C4">
        <w:rPr>
          <w:rFonts w:ascii="Arial Narrow" w:hAnsi="Arial Narrow"/>
          <w:sz w:val="26"/>
          <w:szCs w:val="26"/>
        </w:rPr>
        <w:t>En ese orden, el disfrute procede a partir del 1º de septiembre de 2016.</w:t>
      </w:r>
    </w:p>
    <w:p w:rsidR="000D7F89" w:rsidRPr="003624C4" w:rsidRDefault="000D7F89" w:rsidP="003624C4">
      <w:pPr>
        <w:autoSpaceDE w:val="0"/>
        <w:autoSpaceDN w:val="0"/>
        <w:adjustRightInd w:val="0"/>
        <w:spacing w:line="288" w:lineRule="auto"/>
        <w:ind w:firstLine="708"/>
        <w:jc w:val="both"/>
        <w:rPr>
          <w:rFonts w:ascii="Arial Narrow" w:hAnsi="Arial Narrow"/>
          <w:sz w:val="26"/>
          <w:szCs w:val="26"/>
        </w:rPr>
      </w:pPr>
    </w:p>
    <w:p w:rsidR="000D7F89" w:rsidRPr="003624C4" w:rsidRDefault="00F27E87" w:rsidP="003624C4">
      <w:pPr>
        <w:spacing w:line="288" w:lineRule="auto"/>
        <w:ind w:firstLine="851"/>
        <w:jc w:val="both"/>
        <w:rPr>
          <w:rFonts w:ascii="Arial Narrow" w:hAnsi="Arial Narrow"/>
          <w:sz w:val="26"/>
          <w:szCs w:val="26"/>
        </w:rPr>
      </w:pPr>
      <w:r w:rsidRPr="003624C4">
        <w:rPr>
          <w:rFonts w:ascii="Arial Narrow" w:hAnsi="Arial Narrow" w:cs="Segoe UI"/>
          <w:color w:val="212121"/>
          <w:sz w:val="26"/>
          <w:szCs w:val="26"/>
          <w:shd w:val="clear" w:color="auto" w:fill="FFFFFF"/>
        </w:rPr>
        <w:t>E</w:t>
      </w:r>
      <w:r w:rsidR="0055439F" w:rsidRPr="003624C4">
        <w:rPr>
          <w:rFonts w:ascii="Arial Narrow" w:hAnsi="Arial Narrow" w:cs="Segoe UI"/>
          <w:color w:val="212121"/>
          <w:sz w:val="26"/>
          <w:szCs w:val="26"/>
          <w:shd w:val="clear" w:color="auto" w:fill="FFFFFF"/>
        </w:rPr>
        <w:t xml:space="preserve">n lo tocante con la excepción de prescripción, alegada en la contestación de la demanda, por Colpensiones, no posee vocación de ventura, </w:t>
      </w:r>
      <w:r w:rsidR="006E427D" w:rsidRPr="003624C4">
        <w:rPr>
          <w:rFonts w:ascii="Arial Narrow" w:hAnsi="Arial Narrow" w:cs="Segoe UI"/>
          <w:color w:val="212121"/>
          <w:sz w:val="26"/>
          <w:szCs w:val="26"/>
          <w:shd w:val="clear" w:color="auto" w:fill="FFFFFF"/>
        </w:rPr>
        <w:t xml:space="preserve">como acertadamente lo declaró la Jueza de primer grado, toda vez </w:t>
      </w:r>
      <w:r w:rsidR="000D7F89" w:rsidRPr="003624C4">
        <w:rPr>
          <w:rFonts w:ascii="Arial Narrow" w:hAnsi="Arial Narrow"/>
          <w:sz w:val="26"/>
          <w:szCs w:val="26"/>
        </w:rPr>
        <w:t>que</w:t>
      </w:r>
      <w:r w:rsidR="006E427D" w:rsidRPr="003624C4">
        <w:rPr>
          <w:rFonts w:ascii="Arial Narrow" w:hAnsi="Arial Narrow"/>
          <w:sz w:val="26"/>
          <w:szCs w:val="26"/>
        </w:rPr>
        <w:t>,</w:t>
      </w:r>
      <w:r w:rsidR="000D7F89" w:rsidRPr="003624C4">
        <w:rPr>
          <w:rFonts w:ascii="Arial Narrow" w:hAnsi="Arial Narrow"/>
          <w:sz w:val="26"/>
          <w:szCs w:val="26"/>
        </w:rPr>
        <w:t xml:space="preserve"> en los términos del artículo 151 del C.P.T y S.S. y artículo 488 del C.S.T., no transcur</w:t>
      </w:r>
      <w:r w:rsidRPr="003624C4">
        <w:rPr>
          <w:rFonts w:ascii="Arial Narrow" w:hAnsi="Arial Narrow"/>
          <w:sz w:val="26"/>
          <w:szCs w:val="26"/>
        </w:rPr>
        <w:t>rió el término trienal desde</w:t>
      </w:r>
      <w:r w:rsidR="000D7F89" w:rsidRPr="003624C4">
        <w:rPr>
          <w:rFonts w:ascii="Arial Narrow" w:hAnsi="Arial Narrow"/>
          <w:sz w:val="26"/>
          <w:szCs w:val="26"/>
        </w:rPr>
        <w:t xml:space="preserve"> la exigibilidad del derecho pensional y la interposición de la demanda, que data del 13 de marzo de 2017 (fl.40). </w:t>
      </w:r>
    </w:p>
    <w:p w:rsidR="00D9519F" w:rsidRPr="003624C4" w:rsidRDefault="00F27E87" w:rsidP="003624C4">
      <w:pPr>
        <w:pStyle w:val="Textoindependiente"/>
        <w:spacing w:line="288" w:lineRule="auto"/>
        <w:rPr>
          <w:rFonts w:ascii="Arial Narrow" w:hAnsi="Arial Narrow" w:cs="Segoe UI"/>
          <w:color w:val="212121"/>
          <w:sz w:val="26"/>
          <w:szCs w:val="26"/>
          <w:shd w:val="clear" w:color="auto" w:fill="FFFFFF"/>
        </w:rPr>
      </w:pPr>
      <w:r w:rsidRPr="003624C4">
        <w:rPr>
          <w:rFonts w:ascii="Arial Narrow" w:hAnsi="Arial Narrow" w:cs="Segoe UI"/>
          <w:color w:val="212121"/>
          <w:sz w:val="26"/>
          <w:szCs w:val="26"/>
        </w:rPr>
        <w:br/>
      </w:r>
      <w:r w:rsidRPr="003624C4">
        <w:rPr>
          <w:rFonts w:ascii="Arial Narrow" w:hAnsi="Arial Narrow" w:cs="Segoe UI"/>
          <w:color w:val="212121"/>
          <w:sz w:val="26"/>
          <w:szCs w:val="26"/>
          <w:shd w:val="clear" w:color="auto" w:fill="FFFFFF"/>
        </w:rPr>
        <w:t xml:space="preserve">            </w:t>
      </w:r>
      <w:r w:rsidR="0036405B" w:rsidRPr="003624C4">
        <w:rPr>
          <w:rFonts w:ascii="Arial Narrow" w:hAnsi="Arial Narrow" w:cs="Segoe UI"/>
          <w:color w:val="212121"/>
          <w:sz w:val="26"/>
          <w:szCs w:val="26"/>
          <w:shd w:val="clear" w:color="auto" w:fill="FFFFFF"/>
        </w:rPr>
        <w:t xml:space="preserve">En tal sentido, </w:t>
      </w:r>
      <w:r w:rsidRPr="003624C4">
        <w:rPr>
          <w:rFonts w:ascii="Arial Narrow" w:hAnsi="Arial Narrow" w:cs="Segoe UI"/>
          <w:color w:val="212121"/>
          <w:sz w:val="26"/>
          <w:szCs w:val="26"/>
          <w:shd w:val="clear" w:color="auto" w:fill="FFFFFF"/>
        </w:rPr>
        <w:t xml:space="preserve">se modificará </w:t>
      </w:r>
      <w:r w:rsidR="00986E7C" w:rsidRPr="003624C4">
        <w:rPr>
          <w:rFonts w:ascii="Arial Narrow" w:hAnsi="Arial Narrow" w:cs="Segoe UI"/>
          <w:color w:val="212121"/>
          <w:sz w:val="26"/>
          <w:szCs w:val="26"/>
          <w:shd w:val="clear" w:color="auto" w:fill="FFFFFF"/>
        </w:rPr>
        <w:t xml:space="preserve">el fallo de primera instancia, </w:t>
      </w:r>
      <w:r w:rsidRPr="003624C4">
        <w:rPr>
          <w:rFonts w:ascii="Arial Narrow" w:hAnsi="Arial Narrow" w:cs="Segoe UI"/>
          <w:color w:val="212121"/>
          <w:sz w:val="26"/>
          <w:szCs w:val="26"/>
          <w:shd w:val="clear" w:color="auto" w:fill="FFFFFF"/>
        </w:rPr>
        <w:t>para actualizar el monto del retroactivo corrido desde el 1 de septiembre de 2016, a la emisión de este proveído</w:t>
      </w:r>
      <w:r w:rsidR="00D9519F" w:rsidRPr="003624C4">
        <w:rPr>
          <w:rFonts w:ascii="Arial Narrow" w:hAnsi="Arial Narrow" w:cs="Segoe UI"/>
          <w:color w:val="212121"/>
          <w:sz w:val="26"/>
          <w:szCs w:val="26"/>
          <w:shd w:val="clear" w:color="auto" w:fill="FFFFFF"/>
        </w:rPr>
        <w:t>, y que asciende a la suma de $147.542.090. Se anexa cuadro que se pone de presente a las partes.</w:t>
      </w:r>
    </w:p>
    <w:p w:rsidR="000D7F89" w:rsidRPr="003624C4" w:rsidRDefault="000D7F89" w:rsidP="003624C4">
      <w:pPr>
        <w:pStyle w:val="Sinespaciado"/>
        <w:spacing w:line="288" w:lineRule="auto"/>
        <w:rPr>
          <w:rFonts w:ascii="Arial Narrow" w:hAnsi="Arial Narrow"/>
          <w:sz w:val="26"/>
          <w:szCs w:val="26"/>
        </w:rPr>
      </w:pPr>
    </w:p>
    <w:p w:rsidR="00D752A4" w:rsidRPr="003624C4" w:rsidRDefault="000D7F89" w:rsidP="003624C4">
      <w:pPr>
        <w:autoSpaceDE w:val="0"/>
        <w:autoSpaceDN w:val="0"/>
        <w:adjustRightInd w:val="0"/>
        <w:spacing w:line="288" w:lineRule="auto"/>
        <w:ind w:firstLine="851"/>
        <w:jc w:val="both"/>
        <w:rPr>
          <w:rFonts w:ascii="Arial Narrow" w:hAnsi="Arial Narrow" w:cs="Arial"/>
          <w:sz w:val="26"/>
          <w:szCs w:val="26"/>
        </w:rPr>
      </w:pPr>
      <w:r w:rsidRPr="003624C4">
        <w:rPr>
          <w:rFonts w:ascii="Arial Narrow" w:hAnsi="Arial Narrow" w:cs="Arial"/>
          <w:sz w:val="26"/>
          <w:szCs w:val="26"/>
          <w:lang w:val="es-ES"/>
        </w:rPr>
        <w:t>Frente al te</w:t>
      </w:r>
      <w:r w:rsidR="00372C70" w:rsidRPr="003624C4">
        <w:rPr>
          <w:rFonts w:ascii="Arial Narrow" w:hAnsi="Arial Narrow" w:cs="Arial"/>
          <w:sz w:val="26"/>
          <w:szCs w:val="26"/>
          <w:lang w:val="es-ES"/>
        </w:rPr>
        <w:t xml:space="preserve">ma de los intereses moratorios del </w:t>
      </w:r>
      <w:r w:rsidRPr="003624C4">
        <w:rPr>
          <w:rFonts w:ascii="Arial Narrow" w:hAnsi="Arial Narrow" w:cs="Arial"/>
          <w:sz w:val="26"/>
          <w:szCs w:val="26"/>
          <w:lang w:val="es-ES"/>
        </w:rPr>
        <w:t>artículo 141 de la Ley 100 de 1993</w:t>
      </w:r>
      <w:r w:rsidR="00372C70" w:rsidRPr="003624C4">
        <w:rPr>
          <w:rFonts w:ascii="Arial Narrow" w:hAnsi="Arial Narrow" w:cs="Arial"/>
          <w:sz w:val="26"/>
          <w:szCs w:val="26"/>
          <w:lang w:val="es-ES"/>
        </w:rPr>
        <w:t>, c</w:t>
      </w:r>
      <w:r w:rsidRPr="003624C4">
        <w:rPr>
          <w:rFonts w:ascii="Arial Narrow" w:hAnsi="Arial Narrow" w:cs="Arial"/>
          <w:sz w:val="26"/>
          <w:szCs w:val="26"/>
          <w:lang w:val="es-ES"/>
        </w:rPr>
        <w:t xml:space="preserve">onforme lo ha establecido el órgano de cierre de la especialidad laboral, tales réditos </w:t>
      </w:r>
      <w:r w:rsidRPr="003624C4">
        <w:rPr>
          <w:rFonts w:ascii="Arial Narrow" w:hAnsi="Arial Narrow"/>
          <w:sz w:val="26"/>
          <w:szCs w:val="26"/>
        </w:rPr>
        <w:t>proceden a partir del día siguiente al vencimiento de los cuatro (4) meses que confiere el ar</w:t>
      </w:r>
      <w:r w:rsidR="00AF0007" w:rsidRPr="003624C4">
        <w:rPr>
          <w:rFonts w:ascii="Arial Narrow" w:hAnsi="Arial Narrow"/>
          <w:sz w:val="26"/>
          <w:szCs w:val="26"/>
        </w:rPr>
        <w:t xml:space="preserve">tículo 9º de la Ley 797 de 2003, </w:t>
      </w:r>
      <w:r w:rsidRPr="003624C4">
        <w:rPr>
          <w:rFonts w:ascii="Arial Narrow" w:hAnsi="Arial Narrow"/>
          <w:sz w:val="26"/>
          <w:szCs w:val="26"/>
        </w:rPr>
        <w:t>para resolver la solicitud de reconocimiento pensional</w:t>
      </w:r>
      <w:r w:rsidRPr="003624C4">
        <w:rPr>
          <w:rStyle w:val="Refdenotaalpie"/>
          <w:rFonts w:ascii="Arial Narrow" w:hAnsi="Arial Narrow"/>
          <w:sz w:val="26"/>
          <w:szCs w:val="26"/>
        </w:rPr>
        <w:footnoteReference w:id="1"/>
      </w:r>
      <w:r w:rsidRPr="003624C4">
        <w:rPr>
          <w:rFonts w:ascii="Arial Narrow" w:hAnsi="Arial Narrow"/>
          <w:sz w:val="26"/>
          <w:szCs w:val="26"/>
        </w:rPr>
        <w:t xml:space="preserve">, de modo que en el caso puntual, </w:t>
      </w:r>
      <w:r w:rsidR="00AF0007" w:rsidRPr="003624C4">
        <w:rPr>
          <w:rFonts w:ascii="Arial Narrow" w:hAnsi="Arial Narrow"/>
          <w:sz w:val="26"/>
          <w:szCs w:val="26"/>
        </w:rPr>
        <w:t>como lo ordenó la a-quo, es</w:t>
      </w:r>
      <w:r w:rsidRPr="003624C4">
        <w:rPr>
          <w:rFonts w:ascii="Arial Narrow" w:hAnsi="Arial Narrow"/>
          <w:sz w:val="26"/>
          <w:szCs w:val="26"/>
        </w:rPr>
        <w:t xml:space="preserve"> procedente  </w:t>
      </w:r>
      <w:r w:rsidRPr="003624C4">
        <w:rPr>
          <w:rFonts w:ascii="Arial Narrow" w:hAnsi="Arial Narrow" w:cs="Arial Narrow"/>
          <w:iCs/>
          <w:sz w:val="26"/>
          <w:szCs w:val="26"/>
        </w:rPr>
        <w:t>el pago de los</w:t>
      </w:r>
      <w:r w:rsidR="00372C70" w:rsidRPr="003624C4">
        <w:rPr>
          <w:rFonts w:ascii="Arial Narrow" w:hAnsi="Arial Narrow" w:cs="Arial Narrow"/>
          <w:iCs/>
          <w:sz w:val="26"/>
          <w:szCs w:val="26"/>
        </w:rPr>
        <w:t xml:space="preserve"> mismos</w:t>
      </w:r>
      <w:r w:rsidRPr="003624C4">
        <w:rPr>
          <w:rFonts w:ascii="Arial Narrow" w:hAnsi="Arial Narrow" w:cs="Arial Narrow"/>
          <w:iCs/>
          <w:sz w:val="26"/>
          <w:szCs w:val="26"/>
        </w:rPr>
        <w:t xml:space="preserve"> a partir del </w:t>
      </w:r>
      <w:r w:rsidR="00AF0007" w:rsidRPr="003624C4">
        <w:rPr>
          <w:rFonts w:ascii="Arial Narrow" w:hAnsi="Arial Narrow" w:cs="Arial Narrow"/>
          <w:iCs/>
          <w:sz w:val="26"/>
          <w:szCs w:val="26"/>
        </w:rPr>
        <w:t>17</w:t>
      </w:r>
      <w:r w:rsidRPr="003624C4">
        <w:rPr>
          <w:rFonts w:ascii="Arial Narrow" w:hAnsi="Arial Narrow" w:cs="Arial Narrow"/>
          <w:iCs/>
          <w:sz w:val="26"/>
          <w:szCs w:val="26"/>
        </w:rPr>
        <w:t xml:space="preserve"> de </w:t>
      </w:r>
      <w:r w:rsidR="00F317B8" w:rsidRPr="003624C4">
        <w:rPr>
          <w:rFonts w:ascii="Arial Narrow" w:hAnsi="Arial Narrow" w:cs="Arial Narrow"/>
          <w:iCs/>
          <w:sz w:val="26"/>
          <w:szCs w:val="26"/>
        </w:rPr>
        <w:t>diciembre</w:t>
      </w:r>
      <w:r w:rsidRPr="003624C4">
        <w:rPr>
          <w:rFonts w:ascii="Arial Narrow" w:hAnsi="Arial Narrow" w:cs="Arial Narrow"/>
          <w:iCs/>
          <w:sz w:val="26"/>
          <w:szCs w:val="26"/>
        </w:rPr>
        <w:t xml:space="preserve"> de 201</w:t>
      </w:r>
      <w:r w:rsidR="00AF0007" w:rsidRPr="003624C4">
        <w:rPr>
          <w:rFonts w:ascii="Arial Narrow" w:hAnsi="Arial Narrow" w:cs="Arial Narrow"/>
          <w:iCs/>
          <w:sz w:val="26"/>
          <w:szCs w:val="26"/>
        </w:rPr>
        <w:t>6</w:t>
      </w:r>
      <w:r w:rsidRPr="003624C4">
        <w:rPr>
          <w:rFonts w:ascii="Arial Narrow" w:hAnsi="Arial Narrow" w:cs="Arial Narrow"/>
          <w:iCs/>
          <w:sz w:val="26"/>
          <w:szCs w:val="26"/>
        </w:rPr>
        <w:t xml:space="preserve">, pues el actor presentó la reclamación administrativa el </w:t>
      </w:r>
      <w:r w:rsidR="00AF0007" w:rsidRPr="003624C4">
        <w:rPr>
          <w:rFonts w:ascii="Arial Narrow" w:hAnsi="Arial Narrow" w:cs="Arial Narrow"/>
          <w:iCs/>
          <w:sz w:val="26"/>
          <w:szCs w:val="26"/>
        </w:rPr>
        <w:t xml:space="preserve">17 </w:t>
      </w:r>
      <w:r w:rsidRPr="003624C4">
        <w:rPr>
          <w:rFonts w:ascii="Arial Narrow" w:hAnsi="Arial Narrow" w:cs="Arial Narrow"/>
          <w:iCs/>
          <w:sz w:val="26"/>
          <w:szCs w:val="26"/>
        </w:rPr>
        <w:t xml:space="preserve">de </w:t>
      </w:r>
      <w:r w:rsidR="00AF0007" w:rsidRPr="003624C4">
        <w:rPr>
          <w:rFonts w:ascii="Arial Narrow" w:hAnsi="Arial Narrow" w:cs="Arial Narrow"/>
          <w:iCs/>
          <w:sz w:val="26"/>
          <w:szCs w:val="26"/>
        </w:rPr>
        <w:t>agosto</w:t>
      </w:r>
      <w:r w:rsidRPr="003624C4">
        <w:rPr>
          <w:rFonts w:ascii="Arial Narrow" w:hAnsi="Arial Narrow" w:cs="Arial Narrow"/>
          <w:iCs/>
          <w:sz w:val="26"/>
          <w:szCs w:val="26"/>
        </w:rPr>
        <w:t xml:space="preserve"> de esa anualidad.</w:t>
      </w:r>
    </w:p>
    <w:p w:rsidR="00D752A4" w:rsidRPr="003624C4" w:rsidRDefault="00D752A4" w:rsidP="003624C4">
      <w:pPr>
        <w:autoSpaceDE w:val="0"/>
        <w:autoSpaceDN w:val="0"/>
        <w:adjustRightInd w:val="0"/>
        <w:spacing w:line="288" w:lineRule="auto"/>
        <w:jc w:val="both"/>
        <w:rPr>
          <w:rFonts w:ascii="Arial Narrow" w:hAnsi="Arial Narrow" w:cs="Arial Narrow"/>
          <w:iCs/>
          <w:sz w:val="26"/>
          <w:szCs w:val="26"/>
        </w:rPr>
      </w:pPr>
    </w:p>
    <w:p w:rsidR="00C63FD5" w:rsidRPr="003624C4" w:rsidRDefault="000D7F89" w:rsidP="003624C4">
      <w:pPr>
        <w:tabs>
          <w:tab w:val="left" w:pos="-720"/>
        </w:tabs>
        <w:suppressAutoHyphens/>
        <w:spacing w:line="288" w:lineRule="auto"/>
        <w:ind w:right="28"/>
        <w:jc w:val="both"/>
        <w:rPr>
          <w:rFonts w:ascii="Arial Narrow" w:hAnsi="Arial Narrow"/>
          <w:sz w:val="26"/>
          <w:szCs w:val="26"/>
        </w:rPr>
      </w:pPr>
      <w:r w:rsidRPr="003624C4">
        <w:rPr>
          <w:rFonts w:ascii="Arial Narrow" w:hAnsi="Arial Narrow"/>
          <w:sz w:val="26"/>
          <w:szCs w:val="26"/>
        </w:rPr>
        <w:tab/>
        <w:t xml:space="preserve">Al tenor de lo hasta aquí expuesto, se confirmará la sentencia </w:t>
      </w:r>
      <w:r w:rsidR="0064392E" w:rsidRPr="003624C4">
        <w:rPr>
          <w:rFonts w:ascii="Arial Narrow" w:hAnsi="Arial Narrow"/>
          <w:sz w:val="26"/>
          <w:szCs w:val="26"/>
        </w:rPr>
        <w:t>apelada</w:t>
      </w:r>
      <w:r w:rsidRPr="003624C4">
        <w:rPr>
          <w:rFonts w:ascii="Arial Narrow" w:hAnsi="Arial Narrow"/>
          <w:sz w:val="26"/>
          <w:szCs w:val="26"/>
        </w:rPr>
        <w:t xml:space="preserve">, </w:t>
      </w:r>
      <w:r w:rsidR="00986E7C" w:rsidRPr="003624C4">
        <w:rPr>
          <w:rFonts w:ascii="Arial Narrow" w:hAnsi="Arial Narrow"/>
          <w:sz w:val="26"/>
          <w:szCs w:val="26"/>
        </w:rPr>
        <w:t>con la actualización del</w:t>
      </w:r>
      <w:r w:rsidRPr="003624C4">
        <w:rPr>
          <w:rFonts w:ascii="Arial Narrow" w:hAnsi="Arial Narrow"/>
          <w:sz w:val="26"/>
          <w:szCs w:val="26"/>
        </w:rPr>
        <w:t xml:space="preserve"> valor del retroactivo pensional. </w:t>
      </w:r>
    </w:p>
    <w:p w:rsidR="00436714" w:rsidRPr="003624C4" w:rsidRDefault="00436714" w:rsidP="003624C4">
      <w:pPr>
        <w:tabs>
          <w:tab w:val="left" w:pos="-720"/>
        </w:tabs>
        <w:suppressAutoHyphens/>
        <w:spacing w:line="288" w:lineRule="auto"/>
        <w:ind w:right="28"/>
        <w:jc w:val="both"/>
        <w:rPr>
          <w:rFonts w:ascii="Arial Narrow" w:hAnsi="Arial Narrow"/>
          <w:sz w:val="26"/>
          <w:szCs w:val="26"/>
        </w:rPr>
      </w:pPr>
    </w:p>
    <w:p w:rsidR="00436714" w:rsidRPr="003624C4" w:rsidRDefault="00436714" w:rsidP="003624C4">
      <w:pPr>
        <w:tabs>
          <w:tab w:val="left" w:pos="-720"/>
        </w:tabs>
        <w:suppressAutoHyphens/>
        <w:spacing w:line="288" w:lineRule="auto"/>
        <w:ind w:right="28"/>
        <w:jc w:val="both"/>
        <w:rPr>
          <w:rFonts w:ascii="Arial Narrow" w:hAnsi="Arial Narrow"/>
          <w:sz w:val="26"/>
          <w:szCs w:val="26"/>
        </w:rPr>
      </w:pPr>
      <w:r w:rsidRPr="003624C4">
        <w:rPr>
          <w:rFonts w:ascii="Arial Narrow" w:hAnsi="Arial Narrow"/>
          <w:sz w:val="26"/>
          <w:szCs w:val="26"/>
        </w:rPr>
        <w:tab/>
        <w:t>Costas en esta instancia a cargo de la entidad recurrente.</w:t>
      </w:r>
    </w:p>
    <w:p w:rsidR="00152DEE" w:rsidRPr="003624C4" w:rsidRDefault="00152DEE" w:rsidP="003624C4">
      <w:pPr>
        <w:pStyle w:val="Prrafodelista1"/>
        <w:spacing w:after="0" w:line="288" w:lineRule="auto"/>
        <w:ind w:left="0"/>
        <w:jc w:val="both"/>
        <w:rPr>
          <w:rFonts w:ascii="Arial Narrow" w:eastAsiaTheme="minorHAnsi" w:hAnsi="Arial Narrow" w:cs="Segoe UI"/>
          <w:color w:val="212121"/>
          <w:sz w:val="26"/>
          <w:szCs w:val="26"/>
          <w:shd w:val="clear" w:color="auto" w:fill="FFFFFF"/>
          <w:lang w:val="es-ES_tradnl" w:eastAsia="es-ES"/>
        </w:rPr>
      </w:pPr>
    </w:p>
    <w:p w:rsidR="0055439F" w:rsidRDefault="0055439F" w:rsidP="003624C4">
      <w:pPr>
        <w:pStyle w:val="Prrafodelista1"/>
        <w:spacing w:after="0" w:line="288" w:lineRule="auto"/>
        <w:ind w:left="0" w:firstLine="708"/>
        <w:jc w:val="both"/>
        <w:rPr>
          <w:rFonts w:ascii="Arial Narrow" w:hAnsi="Arial Narrow"/>
          <w:sz w:val="26"/>
          <w:szCs w:val="26"/>
        </w:rPr>
      </w:pPr>
      <w:r w:rsidRPr="003624C4">
        <w:rPr>
          <w:rFonts w:ascii="Arial Narrow" w:hAnsi="Arial Narrow"/>
          <w:sz w:val="26"/>
          <w:szCs w:val="26"/>
        </w:rPr>
        <w:t>En mérito de lo expuesto, el H. Tribunal Superior del Distrito Judicial de Pereira - Risaralda, Sala Laboral, administrando justicia en nombre de la República y por autoridad de la ley,</w:t>
      </w:r>
    </w:p>
    <w:p w:rsidR="003624C4" w:rsidRPr="003624C4" w:rsidRDefault="003624C4" w:rsidP="003624C4">
      <w:pPr>
        <w:pStyle w:val="Prrafodelista1"/>
        <w:spacing w:after="0" w:line="288" w:lineRule="auto"/>
        <w:ind w:left="0" w:firstLine="708"/>
        <w:jc w:val="both"/>
        <w:rPr>
          <w:rFonts w:ascii="Arial Narrow" w:hAnsi="Arial Narrow" w:cs="Arial"/>
          <w:sz w:val="26"/>
          <w:szCs w:val="26"/>
        </w:rPr>
      </w:pPr>
    </w:p>
    <w:p w:rsidR="0055439F" w:rsidRPr="003624C4" w:rsidRDefault="0055439F" w:rsidP="000C4FBD">
      <w:pPr>
        <w:spacing w:line="288" w:lineRule="auto"/>
        <w:jc w:val="center"/>
        <w:rPr>
          <w:rFonts w:ascii="Arial Narrow" w:hAnsi="Arial Narrow" w:cs="Arial"/>
          <w:sz w:val="26"/>
          <w:szCs w:val="26"/>
        </w:rPr>
      </w:pPr>
      <w:bookmarkStart w:id="0" w:name="_GoBack"/>
      <w:bookmarkEnd w:id="0"/>
      <w:r w:rsidRPr="003624C4">
        <w:rPr>
          <w:rFonts w:ascii="Arial Narrow" w:hAnsi="Arial Narrow" w:cs="Arial"/>
          <w:b/>
          <w:sz w:val="26"/>
          <w:szCs w:val="26"/>
        </w:rPr>
        <w:t>FALLA</w:t>
      </w:r>
    </w:p>
    <w:p w:rsidR="0055439F" w:rsidRPr="003624C4" w:rsidRDefault="0055439F" w:rsidP="003624C4">
      <w:pPr>
        <w:pStyle w:val="Sinespaciado"/>
        <w:spacing w:line="288" w:lineRule="auto"/>
        <w:rPr>
          <w:rFonts w:ascii="Arial Narrow" w:hAnsi="Arial Narrow"/>
          <w:sz w:val="26"/>
          <w:szCs w:val="26"/>
        </w:rPr>
      </w:pPr>
    </w:p>
    <w:p w:rsidR="0055439F" w:rsidRPr="003624C4" w:rsidRDefault="00607B74" w:rsidP="003624C4">
      <w:pPr>
        <w:numPr>
          <w:ilvl w:val="0"/>
          <w:numId w:val="7"/>
        </w:numPr>
        <w:autoSpaceDE w:val="0"/>
        <w:autoSpaceDN w:val="0"/>
        <w:adjustRightInd w:val="0"/>
        <w:spacing w:line="288" w:lineRule="auto"/>
        <w:ind w:left="0" w:firstLine="709"/>
        <w:jc w:val="both"/>
        <w:rPr>
          <w:rFonts w:ascii="Arial Narrow" w:hAnsi="Arial Narrow" w:cs="Arial"/>
          <w:sz w:val="26"/>
          <w:szCs w:val="26"/>
          <w:lang w:val="es-ES"/>
        </w:rPr>
      </w:pPr>
      <w:r w:rsidRPr="003624C4">
        <w:rPr>
          <w:rFonts w:ascii="Arial Narrow" w:hAnsi="Arial Narrow" w:cs="Arial"/>
          <w:sz w:val="26"/>
          <w:szCs w:val="26"/>
          <w:lang w:val="es-ES"/>
        </w:rPr>
        <w:t>Modifica el ordinal 4</w:t>
      </w:r>
      <w:r w:rsidR="0055439F" w:rsidRPr="003624C4">
        <w:rPr>
          <w:rFonts w:ascii="Arial Narrow" w:hAnsi="Arial Narrow" w:cs="Arial"/>
          <w:sz w:val="26"/>
          <w:szCs w:val="26"/>
          <w:lang w:val="es-ES"/>
        </w:rPr>
        <w:t xml:space="preserve">º de la sentencia dictada el 28 de septiembre de 2018, por el Juzgado </w:t>
      </w:r>
      <w:r w:rsidR="00067CBC" w:rsidRPr="003624C4">
        <w:rPr>
          <w:rFonts w:ascii="Arial Narrow" w:hAnsi="Arial Narrow" w:cs="Arial"/>
          <w:sz w:val="26"/>
          <w:szCs w:val="26"/>
          <w:lang w:val="es-ES"/>
        </w:rPr>
        <w:t>Primero</w:t>
      </w:r>
      <w:r w:rsidR="0055439F" w:rsidRPr="003624C4">
        <w:rPr>
          <w:rFonts w:ascii="Arial Narrow" w:hAnsi="Arial Narrow" w:cs="Arial"/>
          <w:sz w:val="26"/>
          <w:szCs w:val="26"/>
          <w:lang w:val="es-ES"/>
        </w:rPr>
        <w:t xml:space="preserve"> Laboral del Circuito de Pereira, en el sentido de condenar a la </w:t>
      </w:r>
      <w:r w:rsidR="0055439F" w:rsidRPr="003624C4">
        <w:rPr>
          <w:rFonts w:ascii="Arial Narrow" w:hAnsi="Arial Narrow" w:cs="Arial"/>
          <w:sz w:val="26"/>
          <w:szCs w:val="26"/>
        </w:rPr>
        <w:t xml:space="preserve">Administradora Colombiana de Pensiones </w:t>
      </w:r>
      <w:r w:rsidR="0055439F" w:rsidRPr="003624C4">
        <w:rPr>
          <w:rFonts w:ascii="Arial Narrow" w:hAnsi="Arial Narrow" w:cs="Arial"/>
          <w:bCs/>
          <w:sz w:val="26"/>
          <w:szCs w:val="26"/>
        </w:rPr>
        <w:t xml:space="preserve">Colpensiones, a cancelar a favor del señor </w:t>
      </w:r>
      <w:r w:rsidR="00067CBC" w:rsidRPr="003624C4">
        <w:rPr>
          <w:rFonts w:ascii="Arial Narrow" w:hAnsi="Arial Narrow" w:cs="Arial"/>
          <w:bCs/>
          <w:sz w:val="26"/>
          <w:szCs w:val="26"/>
        </w:rPr>
        <w:t>Rubén Darío Sierra Montoya,</w:t>
      </w:r>
      <w:r w:rsidR="0055439F" w:rsidRPr="003624C4">
        <w:rPr>
          <w:rFonts w:ascii="Arial Narrow" w:hAnsi="Arial Narrow" w:cs="Arial"/>
          <w:bCs/>
          <w:sz w:val="26"/>
          <w:szCs w:val="26"/>
        </w:rPr>
        <w:t xml:space="preserve"> la suma de $</w:t>
      </w:r>
      <w:r w:rsidR="00882CC5" w:rsidRPr="003624C4">
        <w:rPr>
          <w:rFonts w:ascii="Arial Narrow" w:hAnsi="Arial Narrow" w:cs="Arial"/>
          <w:bCs/>
          <w:sz w:val="26"/>
          <w:szCs w:val="26"/>
        </w:rPr>
        <w:t>147.542.090</w:t>
      </w:r>
      <w:r w:rsidR="0055439F" w:rsidRPr="003624C4">
        <w:rPr>
          <w:rFonts w:ascii="Arial Narrow" w:hAnsi="Arial Narrow" w:cs="Arial"/>
          <w:bCs/>
          <w:sz w:val="26"/>
          <w:szCs w:val="26"/>
        </w:rPr>
        <w:t xml:space="preserve">, por concepto de retroactivo pensional de las mesadas causadas entre el 1 de </w:t>
      </w:r>
      <w:r w:rsidRPr="003624C4">
        <w:rPr>
          <w:rFonts w:ascii="Arial Narrow" w:hAnsi="Arial Narrow" w:cs="Arial"/>
          <w:bCs/>
          <w:sz w:val="26"/>
          <w:szCs w:val="26"/>
        </w:rPr>
        <w:t>septiembre</w:t>
      </w:r>
      <w:r w:rsidR="0055439F" w:rsidRPr="003624C4">
        <w:rPr>
          <w:rFonts w:ascii="Arial Narrow" w:hAnsi="Arial Narrow" w:cs="Arial"/>
          <w:bCs/>
          <w:sz w:val="26"/>
          <w:szCs w:val="26"/>
        </w:rPr>
        <w:t xml:space="preserve"> de 201</w:t>
      </w:r>
      <w:r w:rsidRPr="003624C4">
        <w:rPr>
          <w:rFonts w:ascii="Arial Narrow" w:hAnsi="Arial Narrow" w:cs="Arial"/>
          <w:bCs/>
          <w:sz w:val="26"/>
          <w:szCs w:val="26"/>
        </w:rPr>
        <w:t>6</w:t>
      </w:r>
      <w:r w:rsidR="0055439F" w:rsidRPr="003624C4">
        <w:rPr>
          <w:rFonts w:ascii="Arial Narrow" w:hAnsi="Arial Narrow" w:cs="Arial"/>
          <w:bCs/>
          <w:sz w:val="26"/>
          <w:szCs w:val="26"/>
        </w:rPr>
        <w:t xml:space="preserve"> y el 31 de mayo de 2019, sin perjuicio de las demás </w:t>
      </w:r>
      <w:r w:rsidR="0055439F" w:rsidRPr="003624C4">
        <w:rPr>
          <w:rFonts w:ascii="Arial Narrow" w:hAnsi="Arial Narrow" w:cs="Arial"/>
          <w:bCs/>
          <w:sz w:val="26"/>
          <w:szCs w:val="26"/>
        </w:rPr>
        <w:lastRenderedPageBreak/>
        <w:t>que se sigan causando.</w:t>
      </w:r>
      <w:r w:rsidR="008F08C8" w:rsidRPr="003624C4">
        <w:rPr>
          <w:rFonts w:ascii="Arial Narrow" w:hAnsi="Arial Narrow" w:cs="Arial"/>
          <w:bCs/>
          <w:sz w:val="26"/>
          <w:szCs w:val="26"/>
        </w:rPr>
        <w:t xml:space="preserve"> La mesada para el presente año -2019- </w:t>
      </w:r>
      <w:r w:rsidR="00507357" w:rsidRPr="003624C4">
        <w:rPr>
          <w:rFonts w:ascii="Arial Narrow" w:hAnsi="Arial Narrow" w:cs="Arial"/>
          <w:bCs/>
          <w:sz w:val="26"/>
          <w:szCs w:val="26"/>
        </w:rPr>
        <w:t xml:space="preserve">corresponde a la suma de </w:t>
      </w:r>
      <w:r w:rsidR="008F08C8" w:rsidRPr="003624C4">
        <w:rPr>
          <w:rFonts w:ascii="Arial Narrow" w:hAnsi="Arial Narrow" w:cs="Arial"/>
          <w:bCs/>
          <w:sz w:val="26"/>
          <w:szCs w:val="26"/>
        </w:rPr>
        <w:t>$4.325.990.</w:t>
      </w:r>
    </w:p>
    <w:p w:rsidR="0055439F" w:rsidRPr="003624C4" w:rsidRDefault="0055439F" w:rsidP="003624C4">
      <w:pPr>
        <w:autoSpaceDE w:val="0"/>
        <w:autoSpaceDN w:val="0"/>
        <w:adjustRightInd w:val="0"/>
        <w:spacing w:line="288" w:lineRule="auto"/>
        <w:ind w:firstLine="709"/>
        <w:jc w:val="both"/>
        <w:rPr>
          <w:rFonts w:ascii="Arial Narrow" w:hAnsi="Arial Narrow" w:cs="Arial"/>
          <w:sz w:val="26"/>
          <w:szCs w:val="26"/>
          <w:lang w:val="es-ES"/>
        </w:rPr>
      </w:pPr>
    </w:p>
    <w:p w:rsidR="0055439F" w:rsidRPr="003624C4" w:rsidRDefault="00067CBC" w:rsidP="003624C4">
      <w:pPr>
        <w:tabs>
          <w:tab w:val="left" w:pos="5000"/>
        </w:tabs>
        <w:autoSpaceDE w:val="0"/>
        <w:autoSpaceDN w:val="0"/>
        <w:adjustRightInd w:val="0"/>
        <w:spacing w:line="288" w:lineRule="auto"/>
        <w:ind w:firstLine="709"/>
        <w:jc w:val="both"/>
        <w:rPr>
          <w:rFonts w:ascii="Arial Narrow" w:hAnsi="Arial Narrow" w:cs="Arial"/>
          <w:sz w:val="26"/>
          <w:szCs w:val="26"/>
          <w:lang w:val="es-ES"/>
        </w:rPr>
      </w:pPr>
      <w:r w:rsidRPr="003624C4">
        <w:rPr>
          <w:rFonts w:ascii="Arial Narrow" w:hAnsi="Arial Narrow" w:cs="Arial"/>
          <w:b/>
          <w:spacing w:val="-2"/>
          <w:sz w:val="26"/>
          <w:szCs w:val="26"/>
        </w:rPr>
        <w:t>2.</w:t>
      </w:r>
      <w:r w:rsidRPr="003624C4">
        <w:rPr>
          <w:rFonts w:ascii="Arial Narrow" w:hAnsi="Arial Narrow" w:cs="Arial"/>
          <w:spacing w:val="-2"/>
          <w:sz w:val="26"/>
          <w:szCs w:val="26"/>
        </w:rPr>
        <w:t xml:space="preserve">  </w:t>
      </w:r>
      <w:r w:rsidR="0055439F" w:rsidRPr="003624C4">
        <w:rPr>
          <w:rFonts w:ascii="Arial Narrow" w:hAnsi="Arial Narrow" w:cs="Arial"/>
          <w:spacing w:val="-2"/>
          <w:sz w:val="26"/>
          <w:szCs w:val="26"/>
        </w:rPr>
        <w:t xml:space="preserve">Confirma en todo lo demás. </w:t>
      </w:r>
      <w:r w:rsidR="00882CC5" w:rsidRPr="003624C4">
        <w:rPr>
          <w:rFonts w:ascii="Arial Narrow" w:hAnsi="Arial Narrow" w:cs="Arial"/>
          <w:spacing w:val="-2"/>
          <w:sz w:val="26"/>
          <w:szCs w:val="26"/>
        </w:rPr>
        <w:tab/>
      </w:r>
    </w:p>
    <w:p w:rsidR="000D7F89" w:rsidRPr="003624C4" w:rsidRDefault="000D7F89" w:rsidP="003624C4">
      <w:pPr>
        <w:pStyle w:val="Sinespaciado"/>
        <w:tabs>
          <w:tab w:val="left" w:pos="970"/>
        </w:tabs>
        <w:spacing w:line="288" w:lineRule="auto"/>
        <w:ind w:firstLine="709"/>
        <w:rPr>
          <w:rFonts w:ascii="Arial Narrow" w:hAnsi="Arial Narrow"/>
          <w:sz w:val="26"/>
          <w:szCs w:val="26"/>
        </w:rPr>
      </w:pPr>
    </w:p>
    <w:p w:rsidR="000D7F89" w:rsidRPr="003624C4" w:rsidRDefault="008B08F0" w:rsidP="003624C4">
      <w:pPr>
        <w:pStyle w:val="Prrafodelista"/>
        <w:tabs>
          <w:tab w:val="left" w:pos="-720"/>
        </w:tabs>
        <w:suppressAutoHyphens/>
        <w:spacing w:line="288" w:lineRule="auto"/>
        <w:ind w:left="0" w:right="28" w:firstLine="709"/>
        <w:jc w:val="both"/>
        <w:rPr>
          <w:rFonts w:ascii="Arial Narrow" w:hAnsi="Arial Narrow"/>
          <w:sz w:val="26"/>
          <w:szCs w:val="26"/>
        </w:rPr>
      </w:pPr>
      <w:r w:rsidRPr="003624C4">
        <w:rPr>
          <w:rFonts w:ascii="Arial Narrow" w:hAnsi="Arial Narrow"/>
          <w:b/>
          <w:sz w:val="26"/>
          <w:szCs w:val="26"/>
        </w:rPr>
        <w:t>3</w:t>
      </w:r>
      <w:r w:rsidRPr="003624C4">
        <w:rPr>
          <w:rFonts w:ascii="Arial Narrow" w:hAnsi="Arial Narrow"/>
          <w:sz w:val="26"/>
          <w:szCs w:val="26"/>
        </w:rPr>
        <w:t xml:space="preserve">.  </w:t>
      </w:r>
      <w:r w:rsidR="000D7F89" w:rsidRPr="003624C4">
        <w:rPr>
          <w:rFonts w:ascii="Arial Narrow" w:hAnsi="Arial Narrow"/>
          <w:sz w:val="26"/>
          <w:szCs w:val="26"/>
        </w:rPr>
        <w:t xml:space="preserve">Costas en esta instancia a cargo de la entidad recurrente. </w:t>
      </w:r>
    </w:p>
    <w:p w:rsidR="000D7F89" w:rsidRPr="003624C4" w:rsidRDefault="00DC6914" w:rsidP="003624C4">
      <w:pPr>
        <w:tabs>
          <w:tab w:val="left" w:pos="-720"/>
          <w:tab w:val="left" w:pos="2730"/>
        </w:tabs>
        <w:suppressAutoHyphens/>
        <w:spacing w:line="288" w:lineRule="auto"/>
        <w:ind w:right="28"/>
        <w:jc w:val="both"/>
        <w:rPr>
          <w:rFonts w:ascii="Arial Narrow" w:hAnsi="Arial Narrow"/>
          <w:sz w:val="26"/>
          <w:szCs w:val="26"/>
          <w:lang w:val="es-ES"/>
        </w:rPr>
      </w:pPr>
      <w:r w:rsidRPr="003624C4">
        <w:rPr>
          <w:rFonts w:ascii="Arial Narrow" w:hAnsi="Arial Narrow"/>
          <w:sz w:val="26"/>
          <w:szCs w:val="26"/>
          <w:lang w:val="es-ES"/>
        </w:rPr>
        <w:tab/>
      </w:r>
    </w:p>
    <w:p w:rsidR="000D7F89" w:rsidRPr="003624C4" w:rsidRDefault="000D7F89" w:rsidP="003624C4">
      <w:pPr>
        <w:spacing w:line="288" w:lineRule="auto"/>
        <w:ind w:firstLine="900"/>
        <w:jc w:val="both"/>
        <w:rPr>
          <w:rFonts w:ascii="Arial Narrow" w:hAnsi="Arial Narrow" w:cs="Tahoma"/>
          <w:bCs/>
          <w:iCs/>
          <w:sz w:val="26"/>
          <w:szCs w:val="26"/>
          <w:lang w:val="es-ES"/>
        </w:rPr>
      </w:pPr>
      <w:r w:rsidRPr="003624C4">
        <w:rPr>
          <w:rFonts w:ascii="Arial Narrow" w:hAnsi="Arial Narrow" w:cs="Tahoma"/>
          <w:bCs/>
          <w:iCs/>
          <w:sz w:val="26"/>
          <w:szCs w:val="26"/>
          <w:lang w:val="es-ES"/>
        </w:rPr>
        <w:t>NOTIFÍQUESE, CÚMPLASE Y DEVUÉLVASE.</w:t>
      </w:r>
    </w:p>
    <w:p w:rsidR="000D7F89" w:rsidRPr="003624C4" w:rsidRDefault="000D7F89" w:rsidP="003624C4">
      <w:pPr>
        <w:pStyle w:val="Sinespaciado"/>
        <w:spacing w:line="288" w:lineRule="auto"/>
        <w:rPr>
          <w:rFonts w:ascii="Arial Narrow" w:hAnsi="Arial Narrow"/>
          <w:sz w:val="26"/>
          <w:szCs w:val="26"/>
          <w:lang w:val="es-ES"/>
        </w:rPr>
      </w:pPr>
    </w:p>
    <w:p w:rsidR="000D7F89" w:rsidRPr="003624C4" w:rsidRDefault="000D7F89" w:rsidP="003624C4">
      <w:pPr>
        <w:tabs>
          <w:tab w:val="right" w:pos="8840"/>
        </w:tabs>
        <w:spacing w:line="288" w:lineRule="auto"/>
        <w:ind w:firstLine="900"/>
        <w:jc w:val="both"/>
        <w:rPr>
          <w:rFonts w:ascii="Arial Narrow" w:hAnsi="Arial Narrow" w:cs="Tahoma"/>
          <w:bCs/>
          <w:iCs/>
          <w:sz w:val="26"/>
          <w:szCs w:val="26"/>
          <w:lang w:val="es-ES"/>
        </w:rPr>
      </w:pPr>
      <w:r w:rsidRPr="003624C4">
        <w:rPr>
          <w:rFonts w:ascii="Arial Narrow" w:hAnsi="Arial Narrow" w:cs="Tahoma"/>
          <w:bCs/>
          <w:iCs/>
          <w:sz w:val="26"/>
          <w:szCs w:val="26"/>
          <w:lang w:val="es-ES"/>
        </w:rPr>
        <w:t>La anterior decisión queda notificada en estrados.</w:t>
      </w:r>
    </w:p>
    <w:p w:rsidR="006741EA" w:rsidRPr="00B76CF6" w:rsidRDefault="006741EA" w:rsidP="006741EA">
      <w:pPr>
        <w:pStyle w:val="Sinespaciado"/>
        <w:spacing w:line="288" w:lineRule="auto"/>
        <w:rPr>
          <w:rFonts w:ascii="Arial Narrow" w:hAnsi="Arial Narrow"/>
          <w:sz w:val="26"/>
          <w:szCs w:val="26"/>
          <w:lang w:val="es-ES"/>
        </w:rPr>
      </w:pPr>
    </w:p>
    <w:p w:rsidR="006741EA" w:rsidRPr="00B76CF6" w:rsidRDefault="006741EA" w:rsidP="006741EA">
      <w:pPr>
        <w:pStyle w:val="Sinespaciado"/>
        <w:spacing w:line="288" w:lineRule="auto"/>
        <w:rPr>
          <w:rFonts w:ascii="Arial Narrow" w:hAnsi="Arial Narrow"/>
          <w:sz w:val="26"/>
          <w:szCs w:val="26"/>
          <w:lang w:val="es-ES"/>
        </w:rPr>
      </w:pPr>
    </w:p>
    <w:p w:rsidR="006741EA" w:rsidRPr="00B76CF6" w:rsidRDefault="006741EA" w:rsidP="006741EA">
      <w:pPr>
        <w:pStyle w:val="Sinespaciado"/>
        <w:spacing w:line="288" w:lineRule="auto"/>
        <w:rPr>
          <w:rFonts w:ascii="Arial Narrow" w:hAnsi="Arial Narrow"/>
          <w:sz w:val="26"/>
          <w:szCs w:val="26"/>
          <w:lang w:val="es-ES"/>
        </w:rPr>
      </w:pPr>
    </w:p>
    <w:p w:rsidR="006741EA" w:rsidRPr="00172559" w:rsidRDefault="006741EA" w:rsidP="006741EA">
      <w:pPr>
        <w:pStyle w:val="Sinespaciado"/>
        <w:spacing w:line="288" w:lineRule="auto"/>
        <w:rPr>
          <w:rFonts w:ascii="Arial Narrow" w:hAnsi="Arial Narrow"/>
          <w:sz w:val="26"/>
          <w:szCs w:val="26"/>
          <w:lang w:val="es-ES"/>
        </w:rPr>
      </w:pPr>
    </w:p>
    <w:p w:rsidR="006741EA" w:rsidRPr="00172559" w:rsidRDefault="006741EA" w:rsidP="006741EA">
      <w:pPr>
        <w:pStyle w:val="Sinespaciado"/>
        <w:spacing w:line="288" w:lineRule="auto"/>
        <w:rPr>
          <w:rFonts w:ascii="Arial Narrow" w:hAnsi="Arial Narrow"/>
          <w:sz w:val="26"/>
          <w:szCs w:val="26"/>
          <w:lang w:val="es-ES"/>
        </w:rPr>
      </w:pPr>
    </w:p>
    <w:p w:rsidR="006741EA" w:rsidRPr="00B76CF6" w:rsidRDefault="006741EA" w:rsidP="006741EA">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6741EA" w:rsidRPr="00B76CF6" w:rsidRDefault="006741EA" w:rsidP="006741EA">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6741EA" w:rsidRPr="00172559" w:rsidRDefault="006741EA" w:rsidP="006741EA">
      <w:pPr>
        <w:spacing w:line="288" w:lineRule="auto"/>
        <w:jc w:val="both"/>
        <w:rPr>
          <w:rFonts w:ascii="Arial Narrow" w:hAnsi="Arial Narrow" w:cs="Microsoft Sans Serif"/>
          <w:bCs/>
          <w:iCs/>
          <w:sz w:val="26"/>
          <w:szCs w:val="26"/>
          <w:lang w:val="es-ES"/>
        </w:rPr>
      </w:pPr>
    </w:p>
    <w:p w:rsidR="006741EA" w:rsidRPr="00B76CF6" w:rsidRDefault="006741EA" w:rsidP="006741EA">
      <w:pPr>
        <w:spacing w:line="288" w:lineRule="auto"/>
        <w:jc w:val="both"/>
        <w:rPr>
          <w:rFonts w:ascii="Arial Narrow" w:hAnsi="Arial Narrow" w:cs="Microsoft Sans Serif"/>
          <w:bCs/>
          <w:iCs/>
          <w:sz w:val="26"/>
          <w:szCs w:val="26"/>
          <w:lang w:val="es-ES"/>
        </w:rPr>
      </w:pPr>
    </w:p>
    <w:p w:rsidR="006741EA" w:rsidRPr="00B76CF6" w:rsidRDefault="006741EA" w:rsidP="006741EA">
      <w:pPr>
        <w:spacing w:line="288" w:lineRule="auto"/>
        <w:jc w:val="both"/>
        <w:rPr>
          <w:rFonts w:ascii="Arial Narrow" w:hAnsi="Arial Narrow" w:cs="Microsoft Sans Serif"/>
          <w:bCs/>
          <w:iCs/>
          <w:sz w:val="26"/>
          <w:szCs w:val="26"/>
          <w:lang w:val="es-ES"/>
        </w:rPr>
      </w:pPr>
    </w:p>
    <w:p w:rsidR="006741EA" w:rsidRPr="00B76CF6" w:rsidRDefault="006741EA" w:rsidP="006741EA">
      <w:pPr>
        <w:spacing w:line="288" w:lineRule="auto"/>
        <w:jc w:val="both"/>
        <w:rPr>
          <w:rFonts w:ascii="Arial Narrow" w:hAnsi="Arial Narrow" w:cs="Microsoft Sans Serif"/>
          <w:bCs/>
          <w:iCs/>
          <w:sz w:val="26"/>
          <w:szCs w:val="26"/>
          <w:lang w:val="es-ES"/>
        </w:rPr>
      </w:pPr>
    </w:p>
    <w:p w:rsidR="006741EA" w:rsidRPr="00B76CF6" w:rsidRDefault="006741EA" w:rsidP="006741EA">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A66DA7" w:rsidRDefault="006741EA" w:rsidP="006741EA">
      <w:pP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p w:rsidR="000D7F89" w:rsidRPr="003D4168" w:rsidRDefault="00A66DA7" w:rsidP="006741EA">
      <w:pPr>
        <w:rPr>
          <w:rFonts w:ascii="Arial Narrow" w:hAnsi="Arial Narrow" w:cs="Tahoma"/>
          <w:b/>
          <w:bCs/>
          <w:iCs/>
          <w:szCs w:val="24"/>
          <w:lang w:val="es-ES"/>
        </w:rPr>
      </w:pPr>
      <w:r>
        <w:rPr>
          <w:rFonts w:ascii="Arial Narrow" w:hAnsi="Arial Narrow" w:cs="Microsoft Sans Serif"/>
          <w:bCs/>
          <w:iCs/>
          <w:sz w:val="26"/>
          <w:szCs w:val="26"/>
          <w:lang w:val="es-ES"/>
        </w:rPr>
        <w:t>Salva voto parcial</w:t>
      </w:r>
    </w:p>
    <w:p w:rsidR="000D7F89" w:rsidRPr="003D4168" w:rsidRDefault="000D7F89" w:rsidP="000D7F89">
      <w:pPr>
        <w:jc w:val="center"/>
        <w:rPr>
          <w:rFonts w:ascii="Arial Narrow" w:hAnsi="Arial Narrow" w:cs="Tahoma"/>
          <w:b/>
          <w:bCs/>
          <w:iCs/>
          <w:szCs w:val="24"/>
          <w:lang w:val="es-ES"/>
        </w:rPr>
      </w:pPr>
    </w:p>
    <w:p w:rsidR="008F1BA7" w:rsidRPr="003D4168" w:rsidRDefault="008F1BA7" w:rsidP="003A4F84">
      <w:pPr>
        <w:pStyle w:val="Sinespaciado"/>
        <w:rPr>
          <w:rFonts w:ascii="Arial Narrow" w:hAnsi="Arial Narrow"/>
          <w:szCs w:val="24"/>
        </w:rPr>
      </w:pPr>
    </w:p>
    <w:p w:rsidR="008F1BA7" w:rsidRPr="003D4168" w:rsidRDefault="008F1BA7" w:rsidP="003A4F84">
      <w:pPr>
        <w:pStyle w:val="Sinespaciado"/>
        <w:rPr>
          <w:rFonts w:ascii="Arial Narrow" w:hAnsi="Arial Narrow"/>
          <w:szCs w:val="24"/>
        </w:rPr>
      </w:pPr>
    </w:p>
    <w:p w:rsidR="008F1BA7" w:rsidRPr="003D4168" w:rsidRDefault="008F1BA7" w:rsidP="003A4F84">
      <w:pPr>
        <w:pStyle w:val="Sinespaciado"/>
        <w:rPr>
          <w:rFonts w:ascii="Arial Narrow" w:hAnsi="Arial Narrow"/>
          <w:szCs w:val="24"/>
        </w:rPr>
      </w:pPr>
    </w:p>
    <w:p w:rsidR="008F1BA7" w:rsidRPr="003D4168" w:rsidRDefault="008F1BA7" w:rsidP="008F1BA7">
      <w:pPr>
        <w:pStyle w:val="Sinespaciado"/>
        <w:rPr>
          <w:rFonts w:ascii="Arial Narrow" w:hAnsi="Arial Narrow"/>
          <w:szCs w:val="24"/>
          <w:lang w:val="es-ES"/>
        </w:rPr>
      </w:pPr>
    </w:p>
    <w:p w:rsidR="008F1BA7" w:rsidRPr="003D4168" w:rsidRDefault="008F1BA7" w:rsidP="008F1BA7">
      <w:pPr>
        <w:pStyle w:val="Sinespaciado"/>
        <w:rPr>
          <w:rFonts w:ascii="Arial Narrow" w:hAnsi="Arial Narrow"/>
          <w:szCs w:val="24"/>
          <w:lang w:val="es-ES"/>
        </w:rPr>
      </w:pPr>
    </w:p>
    <w:p w:rsidR="008F1BA7" w:rsidRPr="003D4168" w:rsidRDefault="008F1BA7" w:rsidP="008F1BA7">
      <w:pPr>
        <w:pStyle w:val="Sinespaciado"/>
        <w:ind w:left="2124" w:firstLine="708"/>
        <w:rPr>
          <w:rFonts w:ascii="Arial Narrow" w:hAnsi="Arial Narrow"/>
          <w:b/>
          <w:szCs w:val="24"/>
        </w:rPr>
      </w:pPr>
      <w:r w:rsidRPr="003D4168">
        <w:rPr>
          <w:rFonts w:ascii="Arial Narrow" w:hAnsi="Arial Narrow"/>
          <w:b/>
          <w:szCs w:val="24"/>
        </w:rPr>
        <w:t xml:space="preserve">RETROACTIVO PENSIONAL </w:t>
      </w:r>
    </w:p>
    <w:p w:rsidR="008F1BA7" w:rsidRPr="003D4168" w:rsidRDefault="008F1BA7" w:rsidP="008F1BA7">
      <w:pPr>
        <w:pStyle w:val="Sinespaciado"/>
        <w:ind w:left="2124" w:firstLine="708"/>
        <w:rPr>
          <w:rFonts w:ascii="Arial Narrow" w:hAnsi="Arial Narrow"/>
          <w:szCs w:val="24"/>
          <w:lang w:val="es-ES"/>
        </w:rPr>
      </w:pPr>
    </w:p>
    <w:p w:rsidR="008F1BA7" w:rsidRPr="003D4168" w:rsidRDefault="008F1BA7" w:rsidP="008F1BA7">
      <w:pPr>
        <w:pStyle w:val="Sinespaciado"/>
        <w:rPr>
          <w:rFonts w:ascii="Arial Narrow" w:hAnsi="Arial Narrow"/>
          <w:szCs w:val="24"/>
          <w:lang w:val="es-ES"/>
        </w:rPr>
      </w:pPr>
    </w:p>
    <w:tbl>
      <w:tblPr>
        <w:tblW w:w="6860" w:type="dxa"/>
        <w:tblInd w:w="699" w:type="dxa"/>
        <w:tblCellMar>
          <w:left w:w="70" w:type="dxa"/>
          <w:right w:w="70" w:type="dxa"/>
        </w:tblCellMar>
        <w:tblLook w:val="04A0" w:firstRow="1" w:lastRow="0" w:firstColumn="1" w:lastColumn="0" w:noHBand="0" w:noVBand="1"/>
      </w:tblPr>
      <w:tblGrid>
        <w:gridCol w:w="1200"/>
        <w:gridCol w:w="1220"/>
        <w:gridCol w:w="1200"/>
        <w:gridCol w:w="1500"/>
        <w:gridCol w:w="1740"/>
      </w:tblGrid>
      <w:tr w:rsidR="008F1BA7" w:rsidRPr="003D4168" w:rsidTr="00B525AB">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b/>
                <w:bCs/>
                <w:color w:val="000000"/>
                <w:szCs w:val="24"/>
                <w:lang w:val="es-ES"/>
              </w:rPr>
            </w:pPr>
            <w:r w:rsidRPr="003D4168">
              <w:rPr>
                <w:rFonts w:ascii="Arial Narrow" w:hAnsi="Arial Narrow"/>
                <w:b/>
                <w:bCs/>
                <w:color w:val="000000"/>
                <w:szCs w:val="24"/>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b/>
                <w:bCs/>
                <w:color w:val="000000"/>
                <w:szCs w:val="24"/>
                <w:lang w:val="es-ES"/>
              </w:rPr>
            </w:pPr>
            <w:r w:rsidRPr="003D4168">
              <w:rPr>
                <w:rFonts w:ascii="Arial Narrow" w:hAnsi="Arial Narrow"/>
                <w:b/>
                <w:bCs/>
                <w:color w:val="000000"/>
                <w:szCs w:val="24"/>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b/>
                <w:bCs/>
                <w:color w:val="000000"/>
                <w:szCs w:val="24"/>
                <w:lang w:val="es-ES"/>
              </w:rPr>
            </w:pPr>
            <w:r w:rsidRPr="003D4168">
              <w:rPr>
                <w:rFonts w:ascii="Arial Narrow" w:hAnsi="Arial Narrow"/>
                <w:b/>
                <w:bCs/>
                <w:color w:val="000000"/>
                <w:szCs w:val="24"/>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b/>
                <w:bCs/>
                <w:color w:val="000000"/>
                <w:szCs w:val="24"/>
                <w:lang w:val="es-ES"/>
              </w:rPr>
            </w:pPr>
            <w:r w:rsidRPr="003D4168">
              <w:rPr>
                <w:rFonts w:ascii="Arial Narrow" w:hAnsi="Arial Narrow"/>
                <w:b/>
                <w:bCs/>
                <w:color w:val="000000"/>
                <w:szCs w:val="24"/>
                <w:lang w:val="es-ES"/>
              </w:rPr>
              <w:t>VALOR TOTAL  DE LA MESADA</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b/>
                <w:bCs/>
                <w:color w:val="000000"/>
                <w:szCs w:val="24"/>
                <w:lang w:val="es-ES"/>
              </w:rPr>
            </w:pPr>
            <w:r w:rsidRPr="003D4168">
              <w:rPr>
                <w:rFonts w:ascii="Arial Narrow" w:hAnsi="Arial Narrow"/>
                <w:b/>
                <w:bCs/>
                <w:color w:val="000000"/>
                <w:szCs w:val="24"/>
                <w:lang w:val="es-ES"/>
              </w:rPr>
              <w:t xml:space="preserve">RETROACTIVO </w:t>
            </w:r>
          </w:p>
        </w:tc>
      </w:tr>
      <w:tr w:rsidR="008F1BA7" w:rsidRPr="003D4168" w:rsidTr="00B525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5</w:t>
            </w:r>
          </w:p>
        </w:tc>
        <w:tc>
          <w:tcPr>
            <w:tcW w:w="15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szCs w:val="24"/>
                <w:lang w:val="es-ES"/>
              </w:rPr>
            </w:pPr>
            <w:r w:rsidRPr="003D4168">
              <w:rPr>
                <w:rFonts w:ascii="Arial Narrow" w:hAnsi="Arial Narrow"/>
                <w:szCs w:val="24"/>
                <w:lang w:val="es-ES"/>
              </w:rPr>
              <w:t>$3.808.909</w:t>
            </w:r>
          </w:p>
        </w:tc>
        <w:tc>
          <w:tcPr>
            <w:tcW w:w="1740" w:type="dxa"/>
            <w:tcBorders>
              <w:top w:val="nil"/>
              <w:left w:val="nil"/>
              <w:bottom w:val="single" w:sz="4" w:space="0" w:color="auto"/>
              <w:right w:val="single" w:sz="4" w:space="0" w:color="auto"/>
            </w:tcBorders>
            <w:shd w:val="clear" w:color="auto" w:fill="auto"/>
            <w:noWrap/>
            <w:vAlign w:val="bottom"/>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$19.044.545</w:t>
            </w:r>
          </w:p>
        </w:tc>
      </w:tr>
      <w:tr w:rsidR="008F1BA7" w:rsidRPr="003D4168" w:rsidTr="00B525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4,09</w:t>
            </w:r>
          </w:p>
        </w:tc>
        <w:tc>
          <w:tcPr>
            <w:tcW w:w="12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szCs w:val="24"/>
                <w:lang w:val="es-ES"/>
              </w:rPr>
            </w:pPr>
            <w:r w:rsidRPr="003D4168">
              <w:rPr>
                <w:rFonts w:ascii="Arial Narrow" w:hAnsi="Arial Narrow"/>
                <w:szCs w:val="24"/>
                <w:lang w:val="es-ES"/>
              </w:rPr>
              <w:t>$4.027.921</w:t>
            </w:r>
          </w:p>
        </w:tc>
        <w:tc>
          <w:tcPr>
            <w:tcW w:w="1740" w:type="dxa"/>
            <w:tcBorders>
              <w:top w:val="nil"/>
              <w:left w:val="nil"/>
              <w:bottom w:val="single" w:sz="4" w:space="0" w:color="auto"/>
              <w:right w:val="single" w:sz="4" w:space="0" w:color="auto"/>
            </w:tcBorders>
            <w:shd w:val="clear" w:color="auto" w:fill="auto"/>
            <w:noWrap/>
            <w:vAlign w:val="bottom"/>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$52.362.976</w:t>
            </w:r>
          </w:p>
        </w:tc>
      </w:tr>
      <w:tr w:rsidR="008F1BA7" w:rsidRPr="003D4168" w:rsidTr="00B525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2018</w:t>
            </w:r>
          </w:p>
        </w:tc>
        <w:tc>
          <w:tcPr>
            <w:tcW w:w="122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2,46</w:t>
            </w:r>
          </w:p>
        </w:tc>
        <w:tc>
          <w:tcPr>
            <w:tcW w:w="12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13</w:t>
            </w:r>
          </w:p>
        </w:tc>
        <w:tc>
          <w:tcPr>
            <w:tcW w:w="15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szCs w:val="24"/>
                <w:lang w:val="es-ES"/>
              </w:rPr>
            </w:pPr>
            <w:r w:rsidRPr="003D4168">
              <w:rPr>
                <w:rFonts w:ascii="Arial Narrow" w:hAnsi="Arial Narrow"/>
                <w:szCs w:val="24"/>
                <w:lang w:val="es-ES"/>
              </w:rPr>
              <w:t>$4.192.663</w:t>
            </w:r>
          </w:p>
        </w:tc>
        <w:tc>
          <w:tcPr>
            <w:tcW w:w="1740" w:type="dxa"/>
            <w:tcBorders>
              <w:top w:val="nil"/>
              <w:left w:val="nil"/>
              <w:bottom w:val="single" w:sz="4" w:space="0" w:color="auto"/>
              <w:right w:val="single" w:sz="4" w:space="0" w:color="auto"/>
            </w:tcBorders>
            <w:shd w:val="clear" w:color="auto" w:fill="auto"/>
            <w:noWrap/>
            <w:vAlign w:val="bottom"/>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$54.504.619</w:t>
            </w:r>
          </w:p>
        </w:tc>
      </w:tr>
      <w:tr w:rsidR="008F1BA7" w:rsidRPr="003D4168" w:rsidTr="00B525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2019</w:t>
            </w:r>
          </w:p>
        </w:tc>
        <w:tc>
          <w:tcPr>
            <w:tcW w:w="122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3,18</w:t>
            </w:r>
          </w:p>
        </w:tc>
        <w:tc>
          <w:tcPr>
            <w:tcW w:w="12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5</w:t>
            </w:r>
          </w:p>
        </w:tc>
        <w:tc>
          <w:tcPr>
            <w:tcW w:w="1500" w:type="dxa"/>
            <w:tcBorders>
              <w:top w:val="nil"/>
              <w:left w:val="nil"/>
              <w:bottom w:val="single" w:sz="4" w:space="0" w:color="auto"/>
              <w:right w:val="single" w:sz="4" w:space="0" w:color="auto"/>
            </w:tcBorders>
            <w:shd w:val="clear" w:color="000000" w:fill="FFFFFF"/>
            <w:vAlign w:val="center"/>
            <w:hideMark/>
          </w:tcPr>
          <w:p w:rsidR="008F1BA7" w:rsidRPr="003D4168" w:rsidRDefault="008F1BA7" w:rsidP="00B525AB">
            <w:pPr>
              <w:jc w:val="center"/>
              <w:rPr>
                <w:rFonts w:ascii="Arial Narrow" w:hAnsi="Arial Narrow"/>
                <w:szCs w:val="24"/>
                <w:lang w:val="es-ES"/>
              </w:rPr>
            </w:pPr>
            <w:r w:rsidRPr="003D4168">
              <w:rPr>
                <w:rFonts w:ascii="Arial Narrow" w:hAnsi="Arial Narrow"/>
                <w:szCs w:val="24"/>
                <w:lang w:val="es-ES"/>
              </w:rPr>
              <w:t>$4.325.990</w:t>
            </w:r>
          </w:p>
        </w:tc>
        <w:tc>
          <w:tcPr>
            <w:tcW w:w="1740" w:type="dxa"/>
            <w:tcBorders>
              <w:top w:val="nil"/>
              <w:left w:val="nil"/>
              <w:bottom w:val="single" w:sz="4" w:space="0" w:color="auto"/>
              <w:right w:val="single" w:sz="4" w:space="0" w:color="auto"/>
            </w:tcBorders>
            <w:shd w:val="clear" w:color="auto" w:fill="auto"/>
            <w:noWrap/>
            <w:vAlign w:val="bottom"/>
            <w:hideMark/>
          </w:tcPr>
          <w:p w:rsidR="008F1BA7" w:rsidRPr="003D4168" w:rsidRDefault="008F1BA7" w:rsidP="00B525AB">
            <w:pPr>
              <w:jc w:val="center"/>
              <w:rPr>
                <w:rFonts w:ascii="Arial Narrow" w:hAnsi="Arial Narrow"/>
                <w:color w:val="000000"/>
                <w:szCs w:val="24"/>
                <w:lang w:val="es-ES"/>
              </w:rPr>
            </w:pPr>
            <w:r w:rsidRPr="003D4168">
              <w:rPr>
                <w:rFonts w:ascii="Arial Narrow" w:hAnsi="Arial Narrow"/>
                <w:color w:val="000000"/>
                <w:szCs w:val="24"/>
                <w:lang w:val="es-ES"/>
              </w:rPr>
              <w:t>$21.629.950</w:t>
            </w:r>
          </w:p>
        </w:tc>
      </w:tr>
      <w:tr w:rsidR="008F1BA7" w:rsidRPr="003D4168" w:rsidTr="00B525AB">
        <w:trPr>
          <w:trHeight w:val="300"/>
        </w:trPr>
        <w:tc>
          <w:tcPr>
            <w:tcW w:w="1200" w:type="dxa"/>
            <w:tcBorders>
              <w:top w:val="nil"/>
              <w:left w:val="single" w:sz="4" w:space="0" w:color="auto"/>
              <w:bottom w:val="single" w:sz="4" w:space="0" w:color="auto"/>
              <w:right w:val="single" w:sz="4" w:space="0" w:color="auto"/>
            </w:tcBorders>
            <w:shd w:val="clear" w:color="auto" w:fill="auto"/>
            <w:vAlign w:val="center"/>
          </w:tcPr>
          <w:p w:rsidR="008F1BA7" w:rsidRPr="003D4168" w:rsidRDefault="008F1BA7" w:rsidP="00B525AB">
            <w:pPr>
              <w:jc w:val="center"/>
              <w:rPr>
                <w:rFonts w:ascii="Arial Narrow" w:hAnsi="Arial Narrow"/>
                <w:color w:val="000000"/>
                <w:szCs w:val="24"/>
                <w:lang w:val="es-ES"/>
              </w:rPr>
            </w:pPr>
          </w:p>
        </w:tc>
        <w:tc>
          <w:tcPr>
            <w:tcW w:w="1220" w:type="dxa"/>
            <w:tcBorders>
              <w:top w:val="nil"/>
              <w:left w:val="nil"/>
              <w:bottom w:val="single" w:sz="4" w:space="0" w:color="auto"/>
              <w:right w:val="single" w:sz="4" w:space="0" w:color="auto"/>
            </w:tcBorders>
            <w:shd w:val="clear" w:color="000000" w:fill="FFFFFF"/>
            <w:vAlign w:val="center"/>
          </w:tcPr>
          <w:p w:rsidR="008F1BA7" w:rsidRPr="003D4168" w:rsidRDefault="008F1BA7" w:rsidP="00B525AB">
            <w:pPr>
              <w:jc w:val="center"/>
              <w:rPr>
                <w:rFonts w:ascii="Arial Narrow" w:hAnsi="Arial Narrow"/>
                <w:color w:val="000000"/>
                <w:szCs w:val="24"/>
                <w:lang w:val="es-ES"/>
              </w:rPr>
            </w:pPr>
          </w:p>
        </w:tc>
        <w:tc>
          <w:tcPr>
            <w:tcW w:w="1200" w:type="dxa"/>
            <w:tcBorders>
              <w:top w:val="nil"/>
              <w:left w:val="nil"/>
              <w:bottom w:val="single" w:sz="4" w:space="0" w:color="auto"/>
              <w:right w:val="single" w:sz="4" w:space="0" w:color="auto"/>
            </w:tcBorders>
            <w:shd w:val="clear" w:color="000000" w:fill="FFFFFF"/>
            <w:vAlign w:val="center"/>
          </w:tcPr>
          <w:p w:rsidR="008F1BA7" w:rsidRPr="003D4168" w:rsidRDefault="008F1BA7" w:rsidP="00B525AB">
            <w:pPr>
              <w:jc w:val="center"/>
              <w:rPr>
                <w:rFonts w:ascii="Arial Narrow" w:hAnsi="Arial Narrow"/>
                <w:color w:val="000000"/>
                <w:szCs w:val="24"/>
                <w:lang w:val="es-ES"/>
              </w:rPr>
            </w:pPr>
          </w:p>
        </w:tc>
        <w:tc>
          <w:tcPr>
            <w:tcW w:w="1500" w:type="dxa"/>
            <w:tcBorders>
              <w:top w:val="nil"/>
              <w:left w:val="nil"/>
              <w:bottom w:val="single" w:sz="4" w:space="0" w:color="auto"/>
              <w:right w:val="single" w:sz="4" w:space="0" w:color="auto"/>
            </w:tcBorders>
            <w:shd w:val="clear" w:color="000000" w:fill="FFFFFF"/>
            <w:vAlign w:val="center"/>
          </w:tcPr>
          <w:p w:rsidR="008F1BA7" w:rsidRPr="003D4168" w:rsidRDefault="008F1BA7" w:rsidP="00B525AB">
            <w:pPr>
              <w:jc w:val="center"/>
              <w:rPr>
                <w:rFonts w:ascii="Arial Narrow" w:hAnsi="Arial Narrow"/>
                <w:b/>
                <w:szCs w:val="24"/>
                <w:lang w:val="es-ES"/>
              </w:rPr>
            </w:pPr>
            <w:r w:rsidRPr="003D4168">
              <w:rPr>
                <w:rFonts w:ascii="Arial Narrow" w:hAnsi="Arial Narrow"/>
                <w:b/>
                <w:szCs w:val="24"/>
                <w:lang w:val="es-ES"/>
              </w:rPr>
              <w:t>TOTAL</w:t>
            </w:r>
          </w:p>
        </w:tc>
        <w:tc>
          <w:tcPr>
            <w:tcW w:w="1740" w:type="dxa"/>
            <w:tcBorders>
              <w:top w:val="nil"/>
              <w:left w:val="nil"/>
              <w:bottom w:val="single" w:sz="4" w:space="0" w:color="auto"/>
              <w:right w:val="single" w:sz="4" w:space="0" w:color="auto"/>
            </w:tcBorders>
            <w:shd w:val="clear" w:color="auto" w:fill="auto"/>
            <w:noWrap/>
            <w:vAlign w:val="bottom"/>
          </w:tcPr>
          <w:p w:rsidR="008F1BA7" w:rsidRPr="003D4168" w:rsidRDefault="008F1BA7" w:rsidP="00B525AB">
            <w:pPr>
              <w:jc w:val="center"/>
              <w:rPr>
                <w:rFonts w:ascii="Arial Narrow" w:hAnsi="Arial Narrow"/>
                <w:b/>
                <w:color w:val="000000"/>
                <w:szCs w:val="24"/>
                <w:lang w:val="es-ES"/>
              </w:rPr>
            </w:pPr>
            <w:r w:rsidRPr="003D4168">
              <w:rPr>
                <w:rFonts w:ascii="Arial Narrow" w:hAnsi="Arial Narrow"/>
                <w:b/>
                <w:color w:val="000000"/>
                <w:szCs w:val="24"/>
                <w:lang w:val="es-ES"/>
              </w:rPr>
              <w:t>$147.542.090</w:t>
            </w:r>
          </w:p>
        </w:tc>
      </w:tr>
    </w:tbl>
    <w:p w:rsidR="008F1BA7" w:rsidRPr="003D4168" w:rsidRDefault="008F1BA7" w:rsidP="008F1BA7">
      <w:pPr>
        <w:pStyle w:val="Sinespaciado"/>
        <w:rPr>
          <w:rFonts w:ascii="Arial Narrow" w:hAnsi="Arial Narrow"/>
          <w:szCs w:val="24"/>
        </w:rPr>
      </w:pPr>
    </w:p>
    <w:p w:rsidR="00253406" w:rsidRDefault="00253406">
      <w:pPr>
        <w:spacing w:after="160" w:line="259" w:lineRule="auto"/>
        <w:rPr>
          <w:rFonts w:ascii="Arial Narrow" w:hAnsi="Arial Narrow"/>
          <w:szCs w:val="24"/>
          <w:lang w:val="es-ES"/>
        </w:rPr>
      </w:pPr>
      <w:r>
        <w:rPr>
          <w:rFonts w:ascii="Arial Narrow" w:hAnsi="Arial Narrow"/>
          <w:szCs w:val="24"/>
          <w:lang w:val="es-ES"/>
        </w:rPr>
        <w:br w:type="page"/>
      </w:r>
    </w:p>
    <w:p w:rsidR="00253406" w:rsidRPr="00253406" w:rsidRDefault="00253406" w:rsidP="00253406">
      <w:pPr>
        <w:widowControl w:val="0"/>
        <w:autoSpaceDE w:val="0"/>
        <w:autoSpaceDN w:val="0"/>
        <w:adjustRightInd w:val="0"/>
        <w:jc w:val="both"/>
        <w:rPr>
          <w:rFonts w:ascii="Arial" w:hAnsi="Arial" w:cs="Arial"/>
          <w:sz w:val="20"/>
          <w:lang w:val="es-ES"/>
        </w:rPr>
      </w:pPr>
      <w:r w:rsidRPr="00253406">
        <w:rPr>
          <w:rFonts w:ascii="Arial" w:hAnsi="Arial" w:cs="Arial"/>
          <w:sz w:val="20"/>
          <w:lang w:val="es-ES"/>
        </w:rPr>
        <w:lastRenderedPageBreak/>
        <w:t xml:space="preserve">Providencia: </w:t>
      </w:r>
      <w:r w:rsidRPr="00253406">
        <w:rPr>
          <w:rFonts w:ascii="Arial" w:hAnsi="Arial" w:cs="Arial"/>
          <w:sz w:val="20"/>
          <w:lang w:val="es-ES"/>
        </w:rPr>
        <w:tab/>
      </w:r>
      <w:r w:rsidRPr="00253406">
        <w:rPr>
          <w:rFonts w:ascii="Arial" w:hAnsi="Arial" w:cs="Arial"/>
          <w:sz w:val="20"/>
          <w:lang w:val="es-ES"/>
        </w:rPr>
        <w:tab/>
      </w:r>
      <w:r w:rsidRPr="00253406">
        <w:rPr>
          <w:rFonts w:ascii="Arial" w:hAnsi="Arial" w:cs="Arial"/>
          <w:sz w:val="20"/>
          <w:lang w:val="es-ES"/>
        </w:rPr>
        <w:tab/>
        <w:t>Sentencia del 20 de junio de 2019</w:t>
      </w:r>
    </w:p>
    <w:p w:rsidR="00253406" w:rsidRPr="00253406" w:rsidRDefault="00253406" w:rsidP="00253406">
      <w:pPr>
        <w:widowControl w:val="0"/>
        <w:autoSpaceDE w:val="0"/>
        <w:autoSpaceDN w:val="0"/>
        <w:adjustRightInd w:val="0"/>
        <w:jc w:val="both"/>
        <w:rPr>
          <w:rFonts w:ascii="Arial" w:hAnsi="Arial" w:cs="Arial"/>
          <w:sz w:val="20"/>
          <w:lang w:val="es-ES"/>
        </w:rPr>
      </w:pPr>
      <w:r w:rsidRPr="00253406">
        <w:rPr>
          <w:rFonts w:ascii="Arial" w:hAnsi="Arial" w:cs="Arial"/>
          <w:sz w:val="20"/>
          <w:lang w:val="es-ES"/>
        </w:rPr>
        <w:t>Radicación No.:</w:t>
      </w:r>
      <w:r w:rsidRPr="00253406">
        <w:rPr>
          <w:rFonts w:ascii="Arial" w:hAnsi="Arial" w:cs="Arial"/>
          <w:sz w:val="20"/>
          <w:lang w:val="es-ES"/>
        </w:rPr>
        <w:tab/>
      </w:r>
      <w:r w:rsidRPr="00253406">
        <w:rPr>
          <w:rFonts w:ascii="Arial" w:hAnsi="Arial" w:cs="Arial"/>
          <w:sz w:val="20"/>
          <w:lang w:val="es-ES"/>
        </w:rPr>
        <w:tab/>
      </w:r>
      <w:r w:rsidRPr="00253406">
        <w:rPr>
          <w:rFonts w:ascii="Arial" w:hAnsi="Arial" w:cs="Arial"/>
          <w:sz w:val="20"/>
          <w:lang w:val="es-ES"/>
        </w:rPr>
        <w:tab/>
        <w:t>66001-31-05-001-2017-00126-01</w:t>
      </w:r>
    </w:p>
    <w:p w:rsidR="00253406" w:rsidRPr="00253406" w:rsidRDefault="00253406" w:rsidP="00253406">
      <w:pPr>
        <w:widowControl w:val="0"/>
        <w:autoSpaceDE w:val="0"/>
        <w:autoSpaceDN w:val="0"/>
        <w:adjustRightInd w:val="0"/>
        <w:jc w:val="both"/>
        <w:rPr>
          <w:rFonts w:ascii="Arial" w:hAnsi="Arial" w:cs="Arial"/>
          <w:sz w:val="20"/>
          <w:lang w:val="es-ES"/>
        </w:rPr>
      </w:pPr>
      <w:r w:rsidRPr="00253406">
        <w:rPr>
          <w:rFonts w:ascii="Arial" w:hAnsi="Arial" w:cs="Arial"/>
          <w:sz w:val="20"/>
          <w:lang w:val="es-ES"/>
        </w:rPr>
        <w:t>Proceso:</w:t>
      </w:r>
      <w:r w:rsidRPr="00253406">
        <w:rPr>
          <w:rFonts w:ascii="Arial" w:hAnsi="Arial" w:cs="Arial"/>
          <w:sz w:val="20"/>
          <w:lang w:val="es-ES"/>
        </w:rPr>
        <w:tab/>
      </w:r>
      <w:r w:rsidRPr="00253406">
        <w:rPr>
          <w:rFonts w:ascii="Arial" w:hAnsi="Arial" w:cs="Arial"/>
          <w:sz w:val="20"/>
          <w:lang w:val="es-ES"/>
        </w:rPr>
        <w:tab/>
      </w:r>
      <w:r w:rsidRPr="00253406">
        <w:rPr>
          <w:rFonts w:ascii="Arial" w:hAnsi="Arial" w:cs="Arial"/>
          <w:sz w:val="20"/>
          <w:lang w:val="es-ES"/>
        </w:rPr>
        <w:tab/>
        <w:t xml:space="preserve">Ordinario laboral </w:t>
      </w:r>
    </w:p>
    <w:p w:rsidR="00253406" w:rsidRPr="00253406" w:rsidRDefault="00253406" w:rsidP="00253406">
      <w:pPr>
        <w:widowControl w:val="0"/>
        <w:autoSpaceDE w:val="0"/>
        <w:autoSpaceDN w:val="0"/>
        <w:adjustRightInd w:val="0"/>
        <w:jc w:val="both"/>
        <w:rPr>
          <w:rFonts w:ascii="Arial" w:hAnsi="Arial" w:cs="Arial"/>
          <w:sz w:val="20"/>
          <w:lang w:val="es-ES"/>
        </w:rPr>
      </w:pPr>
      <w:r w:rsidRPr="00253406">
        <w:rPr>
          <w:rFonts w:ascii="Arial" w:hAnsi="Arial" w:cs="Arial"/>
          <w:sz w:val="20"/>
          <w:lang w:val="es-ES"/>
        </w:rPr>
        <w:t>Demandante:</w:t>
      </w:r>
      <w:r w:rsidRPr="00253406">
        <w:rPr>
          <w:rFonts w:ascii="Arial" w:hAnsi="Arial" w:cs="Arial"/>
          <w:sz w:val="20"/>
          <w:lang w:val="es-ES"/>
        </w:rPr>
        <w:tab/>
      </w:r>
      <w:r w:rsidRPr="00253406">
        <w:rPr>
          <w:rFonts w:ascii="Arial" w:hAnsi="Arial" w:cs="Arial"/>
          <w:sz w:val="20"/>
          <w:lang w:val="es-ES"/>
        </w:rPr>
        <w:tab/>
      </w:r>
      <w:r w:rsidRPr="00253406">
        <w:rPr>
          <w:rFonts w:ascii="Arial" w:hAnsi="Arial" w:cs="Arial"/>
          <w:sz w:val="20"/>
          <w:lang w:val="es-ES"/>
        </w:rPr>
        <w:tab/>
      </w:r>
      <w:r w:rsidR="00CF36FC" w:rsidRPr="00253406">
        <w:rPr>
          <w:rFonts w:ascii="Arial" w:hAnsi="Arial" w:cs="Arial"/>
          <w:sz w:val="20"/>
          <w:lang w:val="es-ES"/>
        </w:rPr>
        <w:t>Rubén</w:t>
      </w:r>
      <w:r w:rsidRPr="00253406">
        <w:rPr>
          <w:rFonts w:ascii="Arial" w:hAnsi="Arial" w:cs="Arial"/>
          <w:sz w:val="20"/>
          <w:lang w:val="es-ES"/>
        </w:rPr>
        <w:t xml:space="preserve"> Diario Sierra Montoya</w:t>
      </w:r>
    </w:p>
    <w:p w:rsidR="00253406" w:rsidRPr="00253406" w:rsidRDefault="00253406" w:rsidP="00253406">
      <w:pPr>
        <w:widowControl w:val="0"/>
        <w:autoSpaceDE w:val="0"/>
        <w:autoSpaceDN w:val="0"/>
        <w:adjustRightInd w:val="0"/>
        <w:ind w:left="708" w:hanging="708"/>
        <w:jc w:val="both"/>
        <w:rPr>
          <w:rFonts w:ascii="Arial" w:hAnsi="Arial" w:cs="Arial"/>
          <w:sz w:val="20"/>
          <w:lang w:val="es-ES"/>
        </w:rPr>
      </w:pPr>
      <w:r w:rsidRPr="00253406">
        <w:rPr>
          <w:rFonts w:ascii="Arial" w:hAnsi="Arial" w:cs="Arial"/>
          <w:sz w:val="20"/>
          <w:lang w:val="es-ES"/>
        </w:rPr>
        <w:t>Demandado:</w:t>
      </w:r>
      <w:r w:rsidRPr="00253406">
        <w:rPr>
          <w:rFonts w:ascii="Arial" w:hAnsi="Arial" w:cs="Arial"/>
          <w:sz w:val="20"/>
          <w:lang w:val="es-ES"/>
        </w:rPr>
        <w:tab/>
      </w:r>
      <w:r w:rsidRPr="00253406">
        <w:rPr>
          <w:rFonts w:ascii="Arial" w:hAnsi="Arial" w:cs="Arial"/>
          <w:sz w:val="20"/>
          <w:lang w:val="es-ES"/>
        </w:rPr>
        <w:tab/>
      </w:r>
      <w:r w:rsidRPr="00253406">
        <w:rPr>
          <w:rFonts w:ascii="Arial" w:hAnsi="Arial" w:cs="Arial"/>
          <w:sz w:val="20"/>
          <w:lang w:val="es-ES"/>
        </w:rPr>
        <w:tab/>
        <w:t xml:space="preserve">Colpensiones  </w:t>
      </w:r>
    </w:p>
    <w:p w:rsidR="00253406" w:rsidRPr="00253406" w:rsidRDefault="00253406" w:rsidP="00253406">
      <w:pPr>
        <w:widowControl w:val="0"/>
        <w:autoSpaceDE w:val="0"/>
        <w:autoSpaceDN w:val="0"/>
        <w:adjustRightInd w:val="0"/>
        <w:jc w:val="both"/>
        <w:rPr>
          <w:rFonts w:ascii="Arial" w:hAnsi="Arial" w:cs="Arial"/>
          <w:sz w:val="20"/>
          <w:lang w:val="es-ES"/>
        </w:rPr>
      </w:pPr>
      <w:r w:rsidRPr="00253406">
        <w:rPr>
          <w:rFonts w:ascii="Arial" w:hAnsi="Arial" w:cs="Arial"/>
          <w:sz w:val="20"/>
          <w:lang w:val="es-ES"/>
        </w:rPr>
        <w:t>Magistrado ponente:</w:t>
      </w:r>
      <w:r w:rsidRPr="00253406">
        <w:rPr>
          <w:rFonts w:ascii="Arial" w:hAnsi="Arial" w:cs="Arial"/>
          <w:sz w:val="20"/>
          <w:lang w:val="es-ES"/>
        </w:rPr>
        <w:tab/>
      </w:r>
      <w:r w:rsidRPr="00253406">
        <w:rPr>
          <w:rFonts w:ascii="Arial" w:hAnsi="Arial" w:cs="Arial"/>
          <w:sz w:val="20"/>
          <w:lang w:val="es-ES"/>
        </w:rPr>
        <w:tab/>
        <w:t>Francisco Javier Tamayo Tabares</w:t>
      </w:r>
    </w:p>
    <w:p w:rsidR="00253406" w:rsidRPr="00253406" w:rsidRDefault="00253406" w:rsidP="00253406">
      <w:pPr>
        <w:widowControl w:val="0"/>
        <w:autoSpaceDE w:val="0"/>
        <w:autoSpaceDN w:val="0"/>
        <w:adjustRightInd w:val="0"/>
        <w:ind w:left="2805" w:hanging="2805"/>
        <w:jc w:val="both"/>
        <w:rPr>
          <w:rFonts w:ascii="Arial" w:hAnsi="Arial" w:cs="Arial"/>
          <w:sz w:val="20"/>
          <w:lang w:val="es-ES"/>
        </w:rPr>
      </w:pPr>
      <w:r w:rsidRPr="00253406">
        <w:rPr>
          <w:rFonts w:ascii="Arial" w:hAnsi="Arial" w:cs="Arial"/>
          <w:sz w:val="20"/>
          <w:lang w:val="es-ES"/>
        </w:rPr>
        <w:t>Magistrada que salva voto:</w:t>
      </w:r>
      <w:r w:rsidRPr="00253406">
        <w:rPr>
          <w:rFonts w:ascii="Arial" w:hAnsi="Arial" w:cs="Arial"/>
          <w:sz w:val="20"/>
          <w:lang w:val="es-ES"/>
        </w:rPr>
        <w:tab/>
        <w:t>Ana Lucia Caicedo Calderón</w:t>
      </w:r>
    </w:p>
    <w:p w:rsidR="00253406" w:rsidRPr="00253406" w:rsidRDefault="00253406" w:rsidP="00253406">
      <w:pPr>
        <w:rPr>
          <w:rFonts w:ascii="Arial" w:hAnsi="Arial" w:cs="Arial"/>
          <w:sz w:val="20"/>
          <w:lang w:val="es-CO" w:eastAsia="es-MX"/>
        </w:rPr>
      </w:pPr>
    </w:p>
    <w:p w:rsidR="00253406" w:rsidRDefault="00253406" w:rsidP="00253406">
      <w:pPr>
        <w:rPr>
          <w:rFonts w:ascii="Arial" w:hAnsi="Arial" w:cs="Arial"/>
          <w:sz w:val="20"/>
          <w:lang w:val="es-CO" w:eastAsia="es-MX"/>
        </w:rPr>
      </w:pPr>
    </w:p>
    <w:p w:rsidR="00CF36FC" w:rsidRPr="00253406" w:rsidRDefault="00CF36FC" w:rsidP="00253406">
      <w:pPr>
        <w:rPr>
          <w:rFonts w:ascii="Arial" w:hAnsi="Arial" w:cs="Arial"/>
          <w:sz w:val="20"/>
          <w:lang w:val="es-CO" w:eastAsia="es-MX"/>
        </w:rPr>
      </w:pPr>
    </w:p>
    <w:p w:rsidR="00253406" w:rsidRPr="00253406" w:rsidRDefault="00253406" w:rsidP="00253406">
      <w:pPr>
        <w:rPr>
          <w:rFonts w:ascii="Arial" w:hAnsi="Arial" w:cs="Arial"/>
          <w:sz w:val="20"/>
          <w:lang w:val="es-CO" w:eastAsia="es-MX"/>
        </w:rPr>
      </w:pPr>
    </w:p>
    <w:p w:rsidR="00253406" w:rsidRPr="00253406" w:rsidRDefault="00253406" w:rsidP="00253406">
      <w:pPr>
        <w:keepNext/>
        <w:spacing w:line="312" w:lineRule="auto"/>
        <w:jc w:val="center"/>
        <w:outlineLvl w:val="0"/>
        <w:rPr>
          <w:rFonts w:ascii="Tahoma" w:hAnsi="Tahoma" w:cs="Tahoma"/>
          <w:b/>
          <w:bCs/>
          <w:szCs w:val="24"/>
          <w:u w:val="single"/>
          <w:lang w:val="es-ES"/>
        </w:rPr>
      </w:pPr>
      <w:r w:rsidRPr="00253406">
        <w:rPr>
          <w:rFonts w:ascii="Tahoma" w:hAnsi="Tahoma" w:cs="Tahoma"/>
          <w:b/>
          <w:bCs/>
          <w:szCs w:val="24"/>
          <w:u w:val="single"/>
          <w:lang w:val="es-ES"/>
        </w:rPr>
        <w:t>SALVAMENTO PARCIAL DE VOTO</w:t>
      </w:r>
    </w:p>
    <w:p w:rsidR="00253406" w:rsidRPr="00253406" w:rsidRDefault="00253406" w:rsidP="00253406">
      <w:pPr>
        <w:spacing w:line="312" w:lineRule="auto"/>
        <w:jc w:val="both"/>
        <w:rPr>
          <w:rFonts w:ascii="Tahoma" w:hAnsi="Tahoma" w:cs="Tahoma"/>
          <w:b/>
          <w:bCs/>
          <w:szCs w:val="24"/>
          <w:lang w:val="es-ES"/>
        </w:rPr>
      </w:pPr>
    </w:p>
    <w:p w:rsidR="00253406" w:rsidRPr="00253406" w:rsidRDefault="00253406" w:rsidP="00253406">
      <w:pPr>
        <w:spacing w:line="312" w:lineRule="auto"/>
        <w:ind w:firstLine="708"/>
        <w:jc w:val="both"/>
        <w:rPr>
          <w:rFonts w:ascii="Tahoma" w:hAnsi="Tahoma" w:cs="Tahoma"/>
          <w:szCs w:val="24"/>
          <w:lang w:val="es-ES"/>
        </w:rPr>
      </w:pPr>
      <w:r w:rsidRPr="00253406">
        <w:rPr>
          <w:rFonts w:ascii="Tahoma" w:hAnsi="Tahoma" w:cs="Tahoma"/>
          <w:szCs w:val="24"/>
          <w:lang w:val="es-ES"/>
        </w:rPr>
        <w:t>Con mi acostumbrado respeto, manifiesto que me aparto parcialmente de las mayorías en lo que atañe al no reconocimiento del valor de la pensión que realmente corresponde a la demandante, pues es claro que el valor de la primera mesada constituye un derecho fundamental para aquel por estar intrínsecamente ligado al derecho a la seguridad social.</w:t>
      </w:r>
    </w:p>
    <w:p w:rsidR="00253406" w:rsidRPr="00253406" w:rsidRDefault="00253406" w:rsidP="00253406">
      <w:pPr>
        <w:spacing w:line="312" w:lineRule="auto"/>
        <w:ind w:firstLine="708"/>
        <w:jc w:val="both"/>
        <w:rPr>
          <w:rFonts w:ascii="Tahoma" w:hAnsi="Tahoma" w:cs="Tahoma"/>
          <w:szCs w:val="24"/>
          <w:lang w:val="es-ES"/>
        </w:rPr>
      </w:pPr>
    </w:p>
    <w:p w:rsidR="00253406" w:rsidRPr="00253406" w:rsidRDefault="00253406" w:rsidP="00253406">
      <w:pPr>
        <w:spacing w:line="312" w:lineRule="auto"/>
        <w:ind w:firstLine="708"/>
        <w:jc w:val="both"/>
        <w:rPr>
          <w:rFonts w:ascii="Tahoma" w:hAnsi="Tahoma" w:cs="Tahoma"/>
          <w:szCs w:val="24"/>
          <w:lang w:val="es-ES"/>
        </w:rPr>
      </w:pPr>
      <w:r w:rsidRPr="00253406">
        <w:rPr>
          <w:rFonts w:ascii="Tahoma" w:hAnsi="Tahoma" w:cs="Tahoma"/>
          <w:szCs w:val="24"/>
          <w:lang w:val="es-ES"/>
        </w:rPr>
        <w:t xml:space="preserve"> Por otra parte, con relación a la condena por los intereses moratorios consagrados en el artículo 141 de la Ley 100 de 1993, tal como lo vengo manifestando,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 el cual reza:</w:t>
      </w:r>
    </w:p>
    <w:p w:rsidR="00253406" w:rsidRPr="00253406" w:rsidRDefault="00253406" w:rsidP="00253406">
      <w:pPr>
        <w:spacing w:line="312" w:lineRule="auto"/>
        <w:ind w:firstLine="708"/>
        <w:jc w:val="both"/>
        <w:rPr>
          <w:rFonts w:ascii="Tahoma" w:hAnsi="Tahoma" w:cs="Tahoma"/>
          <w:szCs w:val="24"/>
          <w:lang w:val="es-ES"/>
        </w:rPr>
      </w:pPr>
    </w:p>
    <w:p w:rsidR="00253406" w:rsidRPr="00253406" w:rsidRDefault="00253406" w:rsidP="00253406">
      <w:pPr>
        <w:spacing w:line="264" w:lineRule="auto"/>
        <w:ind w:left="425" w:right="420"/>
        <w:jc w:val="both"/>
        <w:rPr>
          <w:rFonts w:ascii="Tahoma" w:hAnsi="Tahoma" w:cs="Tahoma"/>
          <w:i/>
          <w:sz w:val="22"/>
          <w:szCs w:val="24"/>
          <w:lang w:val="es-ES"/>
        </w:rPr>
      </w:pPr>
      <w:r w:rsidRPr="00253406">
        <w:rPr>
          <w:rFonts w:ascii="Tahoma" w:hAnsi="Tahoma" w:cs="Tahoma"/>
          <w:i/>
          <w:sz w:val="22"/>
          <w:szCs w:val="24"/>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p>
    <w:p w:rsidR="00253406" w:rsidRPr="00253406" w:rsidRDefault="00253406" w:rsidP="00253406">
      <w:pPr>
        <w:spacing w:line="312" w:lineRule="auto"/>
        <w:ind w:firstLine="708"/>
        <w:jc w:val="both"/>
        <w:rPr>
          <w:rFonts w:ascii="Tahoma" w:hAnsi="Tahoma" w:cs="Tahoma"/>
          <w:szCs w:val="24"/>
          <w:lang w:val="es-ES"/>
        </w:rPr>
      </w:pPr>
    </w:p>
    <w:p w:rsidR="00253406" w:rsidRPr="00253406" w:rsidRDefault="00253406" w:rsidP="00253406">
      <w:pPr>
        <w:spacing w:line="312" w:lineRule="auto"/>
        <w:ind w:firstLine="708"/>
        <w:jc w:val="both"/>
        <w:rPr>
          <w:rFonts w:ascii="Tahoma" w:hAnsi="Tahoma" w:cs="Tahoma"/>
          <w:szCs w:val="24"/>
          <w:lang w:val="es-ES"/>
        </w:rPr>
      </w:pPr>
      <w:r w:rsidRPr="00253406">
        <w:rPr>
          <w:rFonts w:ascii="Tahoma" w:hAnsi="Tahoma" w:cs="Tahoma"/>
          <w:szCs w:val="24"/>
          <w:lang w:val="es-ES"/>
        </w:rPr>
        <w:t xml:space="preserve">En efecto, el artículo 141 contempla expresamente que los emolumentos en mención se causan </w:t>
      </w:r>
      <w:r w:rsidRPr="00253406">
        <w:rPr>
          <w:rFonts w:ascii="Tahoma" w:hAnsi="Tahoma" w:cs="Tahoma"/>
          <w:b/>
          <w:szCs w:val="24"/>
          <w:lang w:val="es-ES"/>
        </w:rPr>
        <w:t>“en caso de mora en el pago”</w:t>
      </w:r>
      <w:r w:rsidRPr="00253406">
        <w:rPr>
          <w:rFonts w:ascii="Tahoma" w:hAnsi="Tahoma" w:cs="Tahoma"/>
          <w:szCs w:val="24"/>
          <w:lang w:val="es-ES"/>
        </w:rPr>
        <w:t xml:space="preserve"> y no por la tardanza en el </w:t>
      </w:r>
      <w:r w:rsidRPr="00253406">
        <w:rPr>
          <w:rFonts w:ascii="Tahoma" w:hAnsi="Tahoma" w:cs="Tahoma"/>
          <w:b/>
          <w:szCs w:val="24"/>
          <w:lang w:val="es-ES"/>
        </w:rPr>
        <w:t>reconocimiento</w:t>
      </w:r>
      <w:r w:rsidRPr="00253406">
        <w:rPr>
          <w:rFonts w:ascii="Tahoma" w:hAnsi="Tahoma" w:cs="Tahoma"/>
          <w:szCs w:val="24"/>
          <w:lang w:val="es-ES"/>
        </w:rPr>
        <w:t xml:space="preserve">, que valga decirlo, tiene que efectuarse dentro de los 4 meses siguientes a la reclamación, tal como lo establece el parágrafo 1º, literal e, del artículo 33 de esa misma codificación. </w:t>
      </w:r>
      <w:r w:rsidRPr="00253406">
        <w:rPr>
          <w:rFonts w:ascii="Tahoma" w:hAnsi="Tahoma" w:cs="Tahoma"/>
          <w:szCs w:val="24"/>
          <w:lang w:val="es-ES"/>
        </w:rPr>
        <w:tab/>
      </w:r>
    </w:p>
    <w:p w:rsidR="00253406" w:rsidRPr="00253406" w:rsidRDefault="00253406" w:rsidP="00253406">
      <w:pPr>
        <w:spacing w:line="312" w:lineRule="auto"/>
        <w:ind w:firstLine="708"/>
        <w:jc w:val="both"/>
        <w:rPr>
          <w:rFonts w:ascii="Tahoma" w:hAnsi="Tahoma" w:cs="Tahoma"/>
          <w:szCs w:val="24"/>
          <w:lang w:val="es-ES"/>
        </w:rPr>
      </w:pPr>
    </w:p>
    <w:p w:rsidR="00253406" w:rsidRPr="00253406" w:rsidRDefault="00253406" w:rsidP="00253406">
      <w:pPr>
        <w:spacing w:line="312" w:lineRule="auto"/>
        <w:ind w:firstLine="708"/>
        <w:jc w:val="both"/>
        <w:rPr>
          <w:rFonts w:ascii="Tahoma" w:hAnsi="Tahoma" w:cs="Tahoma"/>
          <w:szCs w:val="24"/>
          <w:lang w:val="es-ES"/>
        </w:rPr>
      </w:pPr>
      <w:r w:rsidRPr="00253406">
        <w:rPr>
          <w:rFonts w:ascii="Tahoma" w:hAnsi="Tahoma" w:cs="Tahoma"/>
          <w:szCs w:val="24"/>
          <w:lang w:val="es-ES"/>
        </w:rPr>
        <w:t xml:space="preserve">Por último debo indicar que si bien la H. Sala de Casación Laboral de la Corte Suprema de Justicia ha aplicado el término de 4 meses a efectos de la contabilización de los aludidos intereses, no ha sentado un precedente claro de las razones por las cuales se aparta de la literalidad que las normas en comento contienen, razón por la cual estimo adecuado sujetar mi posición a las disposiciones que regulan la materia expresamente. En ese sentido, al conocerse el presente asunto también en grado </w:t>
      </w:r>
      <w:r w:rsidRPr="00253406">
        <w:rPr>
          <w:rFonts w:ascii="Tahoma" w:hAnsi="Tahoma" w:cs="Tahoma"/>
          <w:szCs w:val="24"/>
          <w:lang w:val="es-ES"/>
        </w:rPr>
        <w:lastRenderedPageBreak/>
        <w:t xml:space="preserve">jurisdiccional de consulta a favor de Colpensiones, considero que debió ordenarse el reconocimiento de los intereses moratorios a partir del 18 de febrero de 2017, día siguiente a aquel en el que vencieron los 6 meses con los que contaba la entidad demandada para cancelar la pensión de vejez al señor Rubén Darío Sierra Montoya </w:t>
      </w:r>
    </w:p>
    <w:p w:rsidR="00253406" w:rsidRPr="00253406" w:rsidRDefault="00253406" w:rsidP="00253406">
      <w:pPr>
        <w:spacing w:line="312" w:lineRule="auto"/>
        <w:jc w:val="both"/>
        <w:rPr>
          <w:rFonts w:ascii="Tahoma" w:hAnsi="Tahoma" w:cs="Tahoma"/>
          <w:szCs w:val="24"/>
          <w:lang w:val="es-ES"/>
        </w:rPr>
      </w:pPr>
      <w:r w:rsidRPr="00253406">
        <w:rPr>
          <w:rFonts w:ascii="Tahoma" w:hAnsi="Tahoma" w:cs="Tahoma"/>
          <w:szCs w:val="24"/>
          <w:lang w:val="es-ES"/>
        </w:rPr>
        <w:t xml:space="preserve">        </w:t>
      </w:r>
    </w:p>
    <w:p w:rsidR="00253406" w:rsidRPr="00253406" w:rsidRDefault="00253406" w:rsidP="00253406">
      <w:pPr>
        <w:spacing w:line="312" w:lineRule="auto"/>
        <w:ind w:firstLine="708"/>
        <w:jc w:val="both"/>
        <w:rPr>
          <w:rFonts w:ascii="Tahoma" w:hAnsi="Tahoma" w:cs="Tahoma"/>
          <w:szCs w:val="24"/>
          <w:lang w:val="es-ES"/>
        </w:rPr>
      </w:pPr>
      <w:r w:rsidRPr="00253406">
        <w:rPr>
          <w:rFonts w:ascii="Tahoma" w:hAnsi="Tahoma" w:cs="Tahoma"/>
          <w:szCs w:val="24"/>
          <w:lang w:val="es-ES"/>
        </w:rPr>
        <w:t>En estos términos sustento mi salvamento parcial de voto.</w:t>
      </w:r>
    </w:p>
    <w:p w:rsidR="00253406" w:rsidRPr="00253406" w:rsidRDefault="00253406" w:rsidP="00253406">
      <w:pPr>
        <w:spacing w:line="312" w:lineRule="auto"/>
        <w:jc w:val="both"/>
        <w:rPr>
          <w:rFonts w:ascii="Tahoma" w:hAnsi="Tahoma" w:cs="Tahoma"/>
          <w:szCs w:val="24"/>
          <w:lang w:val="es-ES"/>
        </w:rPr>
      </w:pPr>
    </w:p>
    <w:p w:rsidR="00253406" w:rsidRPr="00253406" w:rsidRDefault="00253406" w:rsidP="00253406">
      <w:pPr>
        <w:widowControl w:val="0"/>
        <w:autoSpaceDE w:val="0"/>
        <w:autoSpaceDN w:val="0"/>
        <w:adjustRightInd w:val="0"/>
        <w:spacing w:line="312" w:lineRule="auto"/>
        <w:jc w:val="both"/>
        <w:rPr>
          <w:rFonts w:ascii="Tahoma" w:hAnsi="Tahoma" w:cs="Tahoma"/>
          <w:szCs w:val="24"/>
          <w:lang w:val="es-ES"/>
        </w:rPr>
      </w:pPr>
    </w:p>
    <w:p w:rsidR="00253406" w:rsidRPr="00253406" w:rsidRDefault="00253406" w:rsidP="00253406">
      <w:pPr>
        <w:widowControl w:val="0"/>
        <w:autoSpaceDE w:val="0"/>
        <w:autoSpaceDN w:val="0"/>
        <w:adjustRightInd w:val="0"/>
        <w:spacing w:line="312" w:lineRule="auto"/>
        <w:jc w:val="both"/>
        <w:rPr>
          <w:rFonts w:ascii="Tahoma" w:hAnsi="Tahoma" w:cs="Tahoma"/>
          <w:szCs w:val="24"/>
          <w:lang w:val="es-ES"/>
        </w:rPr>
      </w:pPr>
    </w:p>
    <w:p w:rsidR="00253406" w:rsidRPr="00253406" w:rsidRDefault="00253406" w:rsidP="00253406">
      <w:pPr>
        <w:widowControl w:val="0"/>
        <w:autoSpaceDE w:val="0"/>
        <w:autoSpaceDN w:val="0"/>
        <w:adjustRightInd w:val="0"/>
        <w:spacing w:line="312" w:lineRule="auto"/>
        <w:jc w:val="both"/>
        <w:rPr>
          <w:rFonts w:ascii="Tahoma" w:hAnsi="Tahoma" w:cs="Tahoma"/>
          <w:szCs w:val="24"/>
          <w:lang w:val="es-ES"/>
        </w:rPr>
      </w:pPr>
    </w:p>
    <w:p w:rsidR="00253406" w:rsidRPr="00253406" w:rsidRDefault="00253406" w:rsidP="00253406">
      <w:pPr>
        <w:widowControl w:val="0"/>
        <w:autoSpaceDE w:val="0"/>
        <w:autoSpaceDN w:val="0"/>
        <w:adjustRightInd w:val="0"/>
        <w:spacing w:line="312" w:lineRule="auto"/>
        <w:jc w:val="both"/>
        <w:rPr>
          <w:rFonts w:ascii="Tahoma" w:hAnsi="Tahoma" w:cs="Tahoma"/>
          <w:szCs w:val="24"/>
          <w:lang w:val="es-ES"/>
        </w:rPr>
      </w:pPr>
    </w:p>
    <w:p w:rsidR="00253406" w:rsidRPr="00253406" w:rsidRDefault="00253406" w:rsidP="00253406">
      <w:pPr>
        <w:widowControl w:val="0"/>
        <w:autoSpaceDE w:val="0"/>
        <w:autoSpaceDN w:val="0"/>
        <w:adjustRightInd w:val="0"/>
        <w:spacing w:line="312" w:lineRule="auto"/>
        <w:jc w:val="both"/>
        <w:rPr>
          <w:rFonts w:ascii="Tahoma" w:hAnsi="Tahoma" w:cs="Tahoma"/>
          <w:szCs w:val="24"/>
          <w:lang w:val="es-ES"/>
        </w:rPr>
      </w:pPr>
    </w:p>
    <w:p w:rsidR="004E7A6D" w:rsidRPr="00253406" w:rsidRDefault="00253406" w:rsidP="00253406">
      <w:pPr>
        <w:keepNext/>
        <w:widowControl w:val="0"/>
        <w:autoSpaceDE w:val="0"/>
        <w:autoSpaceDN w:val="0"/>
        <w:adjustRightInd w:val="0"/>
        <w:spacing w:line="312" w:lineRule="auto"/>
        <w:jc w:val="center"/>
        <w:outlineLvl w:val="2"/>
        <w:rPr>
          <w:rFonts w:ascii="Tahoma" w:hAnsi="Tahoma" w:cs="Tahoma"/>
          <w:b/>
          <w:szCs w:val="24"/>
          <w:lang w:val="es-ES"/>
        </w:rPr>
      </w:pPr>
      <w:r w:rsidRPr="00253406">
        <w:rPr>
          <w:rFonts w:ascii="Tahoma" w:hAnsi="Tahoma" w:cs="Tahoma"/>
          <w:b/>
          <w:szCs w:val="24"/>
          <w:lang w:val="es-ES"/>
        </w:rPr>
        <w:t>ANA LUCÍA CAICEDO CALDERÓN</w:t>
      </w:r>
    </w:p>
    <w:p w:rsidR="00253406" w:rsidRPr="00253406" w:rsidRDefault="00253406" w:rsidP="00253406">
      <w:pPr>
        <w:keepNext/>
        <w:widowControl w:val="0"/>
        <w:autoSpaceDE w:val="0"/>
        <w:autoSpaceDN w:val="0"/>
        <w:adjustRightInd w:val="0"/>
        <w:spacing w:line="312" w:lineRule="auto"/>
        <w:jc w:val="center"/>
        <w:outlineLvl w:val="2"/>
        <w:rPr>
          <w:rFonts w:ascii="Tahoma" w:hAnsi="Tahoma" w:cs="Tahoma"/>
          <w:szCs w:val="24"/>
          <w:lang w:val="es-ES"/>
        </w:rPr>
      </w:pPr>
      <w:r w:rsidRPr="00253406">
        <w:rPr>
          <w:rFonts w:ascii="Tahoma" w:hAnsi="Tahoma" w:cs="Tahoma"/>
          <w:szCs w:val="24"/>
          <w:lang w:val="es-ES"/>
        </w:rPr>
        <w:t>Magistrada</w:t>
      </w:r>
    </w:p>
    <w:sectPr w:rsidR="00253406" w:rsidRPr="00253406" w:rsidSect="00CF36FC">
      <w:headerReference w:type="default" r:id="rId9"/>
      <w:footerReference w:type="even" r:id="rId10"/>
      <w:footerReference w:type="default" r:id="rId11"/>
      <w:headerReference w:type="first" r:id="rId12"/>
      <w:pgSz w:w="12242" w:h="18722" w:code="14"/>
      <w:pgMar w:top="2041" w:right="1304" w:bottom="147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EAA" w:rsidRDefault="00394EAA" w:rsidP="00816396">
      <w:r>
        <w:separator/>
      </w:r>
    </w:p>
  </w:endnote>
  <w:endnote w:type="continuationSeparator" w:id="0">
    <w:p w:rsidR="00394EAA" w:rsidRDefault="00394EAA" w:rsidP="0081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Default="00C9396B" w:rsidP="0029190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044" w:rsidRDefault="00394EAA" w:rsidP="0029190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44" w:rsidRPr="006741EA" w:rsidRDefault="00C9396B" w:rsidP="00291902">
    <w:pPr>
      <w:pStyle w:val="Piedepgina"/>
      <w:framePr w:wrap="around" w:vAnchor="text" w:hAnchor="margin" w:xAlign="right" w:y="1"/>
      <w:rPr>
        <w:rStyle w:val="Nmerodepgina"/>
        <w:rFonts w:ascii="Arial" w:hAnsi="Arial" w:cs="Arial"/>
        <w:sz w:val="18"/>
      </w:rPr>
    </w:pPr>
    <w:r w:rsidRPr="006741EA">
      <w:rPr>
        <w:rStyle w:val="Nmerodepgina"/>
        <w:rFonts w:ascii="Arial" w:hAnsi="Arial" w:cs="Arial"/>
        <w:sz w:val="18"/>
      </w:rPr>
      <w:fldChar w:fldCharType="begin"/>
    </w:r>
    <w:r w:rsidRPr="006741EA">
      <w:rPr>
        <w:rStyle w:val="Nmerodepgina"/>
        <w:rFonts w:ascii="Arial" w:hAnsi="Arial" w:cs="Arial"/>
        <w:sz w:val="18"/>
      </w:rPr>
      <w:instrText xml:space="preserve">PAGE  </w:instrText>
    </w:r>
    <w:r w:rsidRPr="006741EA">
      <w:rPr>
        <w:rStyle w:val="Nmerodepgina"/>
        <w:rFonts w:ascii="Arial" w:hAnsi="Arial" w:cs="Arial"/>
        <w:sz w:val="18"/>
      </w:rPr>
      <w:fldChar w:fldCharType="separate"/>
    </w:r>
    <w:r w:rsidR="000C4FBD">
      <w:rPr>
        <w:rStyle w:val="Nmerodepgina"/>
        <w:rFonts w:ascii="Arial" w:hAnsi="Arial" w:cs="Arial"/>
        <w:noProof/>
        <w:sz w:val="18"/>
      </w:rPr>
      <w:t>11</w:t>
    </w:r>
    <w:r w:rsidRPr="006741EA">
      <w:rPr>
        <w:rStyle w:val="Nmerodepgina"/>
        <w:rFonts w:ascii="Arial" w:hAnsi="Arial" w:cs="Arial"/>
        <w:sz w:val="18"/>
      </w:rPr>
      <w:fldChar w:fldCharType="end"/>
    </w:r>
  </w:p>
  <w:p w:rsidR="004F2044" w:rsidRDefault="00394EAA" w:rsidP="0029190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EAA" w:rsidRDefault="00394EAA" w:rsidP="00816396">
      <w:r>
        <w:separator/>
      </w:r>
    </w:p>
  </w:footnote>
  <w:footnote w:type="continuationSeparator" w:id="0">
    <w:p w:rsidR="00394EAA" w:rsidRDefault="00394EAA" w:rsidP="00816396">
      <w:r>
        <w:continuationSeparator/>
      </w:r>
    </w:p>
  </w:footnote>
  <w:footnote w:id="1">
    <w:p w:rsidR="000D7F89" w:rsidRPr="003624C4" w:rsidRDefault="000D7F89" w:rsidP="003624C4">
      <w:pPr>
        <w:pStyle w:val="Textonotapie"/>
        <w:jc w:val="both"/>
        <w:rPr>
          <w:rFonts w:ascii="Arial" w:hAnsi="Arial" w:cs="Arial"/>
          <w:sz w:val="18"/>
          <w:szCs w:val="18"/>
        </w:rPr>
      </w:pPr>
      <w:r w:rsidRPr="003624C4">
        <w:rPr>
          <w:rStyle w:val="Refdenotaalpie"/>
          <w:rFonts w:ascii="Arial" w:hAnsi="Arial" w:cs="Arial"/>
          <w:sz w:val="18"/>
          <w:szCs w:val="18"/>
        </w:rPr>
        <w:footnoteRef/>
      </w:r>
      <w:r w:rsidRPr="003624C4">
        <w:rPr>
          <w:rFonts w:ascii="Arial" w:hAnsi="Arial" w:cs="Arial"/>
          <w:sz w:val="18"/>
          <w:szCs w:val="18"/>
        </w:rPr>
        <w:t xml:space="preserve"> Sentencia SL 4985 de 2017 Sala Laboral Corte Suprema de Justicia. </w:t>
      </w:r>
    </w:p>
    <w:p w:rsidR="000D7F89" w:rsidRPr="003624C4" w:rsidRDefault="000D7F89" w:rsidP="003624C4">
      <w:pPr>
        <w:pStyle w:val="Textonotapie"/>
        <w:jc w:val="both"/>
        <w:rPr>
          <w:rFonts w:ascii="Arial" w:hAnsi="Arial" w:cs="Arial"/>
          <w:lang w:val="es-CO"/>
        </w:rPr>
      </w:pPr>
      <w:r w:rsidRPr="003624C4">
        <w:rPr>
          <w:rFonts w:ascii="Arial" w:hAnsi="Arial" w:cs="Arial"/>
          <w:sz w:val="18"/>
          <w:szCs w:val="18"/>
        </w:rPr>
        <w:t xml:space="preserve">   </w:t>
      </w:r>
      <w:r w:rsidRPr="003624C4">
        <w:rPr>
          <w:rFonts w:ascii="Arial" w:hAnsi="Arial" w:cs="Arial"/>
          <w:sz w:val="18"/>
          <w:szCs w:val="18"/>
          <w:lang w:val="es-CO"/>
        </w:rPr>
        <w:t xml:space="preserve">Sentencia </w:t>
      </w:r>
      <w:r w:rsidRPr="003624C4">
        <w:rPr>
          <w:rFonts w:ascii="Arial" w:hAnsi="Arial"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96" w:rsidRPr="006741EA" w:rsidRDefault="00C9396B" w:rsidP="00291902">
    <w:pPr>
      <w:jc w:val="both"/>
      <w:rPr>
        <w:rFonts w:ascii="Arial" w:hAnsi="Arial" w:cs="Arial"/>
        <w:bCs/>
        <w:sz w:val="18"/>
        <w:szCs w:val="16"/>
      </w:rPr>
    </w:pPr>
    <w:r w:rsidRPr="006741EA">
      <w:rPr>
        <w:rFonts w:ascii="Arial" w:hAnsi="Arial" w:cs="Arial"/>
        <w:bCs/>
        <w:sz w:val="18"/>
        <w:szCs w:val="16"/>
      </w:rPr>
      <w:t>Radicación No: 66001-31-05-001-201</w:t>
    </w:r>
    <w:r w:rsidR="00A352C1" w:rsidRPr="006741EA">
      <w:rPr>
        <w:rFonts w:ascii="Arial" w:hAnsi="Arial" w:cs="Arial"/>
        <w:bCs/>
        <w:sz w:val="18"/>
        <w:szCs w:val="16"/>
      </w:rPr>
      <w:t>7</w:t>
    </w:r>
    <w:r w:rsidRPr="006741EA">
      <w:rPr>
        <w:rFonts w:ascii="Arial" w:hAnsi="Arial" w:cs="Arial"/>
        <w:bCs/>
        <w:sz w:val="18"/>
        <w:szCs w:val="16"/>
      </w:rPr>
      <w:t>-00</w:t>
    </w:r>
    <w:r w:rsidR="00A352C1" w:rsidRPr="006741EA">
      <w:rPr>
        <w:rFonts w:ascii="Arial" w:hAnsi="Arial" w:cs="Arial"/>
        <w:bCs/>
        <w:sz w:val="18"/>
        <w:szCs w:val="16"/>
      </w:rPr>
      <w:t>12</w:t>
    </w:r>
    <w:r w:rsidR="00816396" w:rsidRPr="006741EA">
      <w:rPr>
        <w:rFonts w:ascii="Arial" w:hAnsi="Arial" w:cs="Arial"/>
        <w:bCs/>
        <w:sz w:val="18"/>
        <w:szCs w:val="16"/>
      </w:rPr>
      <w:t>6-01</w:t>
    </w:r>
  </w:p>
  <w:p w:rsidR="004F2044" w:rsidRPr="006741EA" w:rsidRDefault="00A352C1" w:rsidP="006741EA">
    <w:pPr>
      <w:jc w:val="both"/>
      <w:rPr>
        <w:rFonts w:ascii="Arial" w:hAnsi="Arial" w:cs="Arial"/>
        <w:bCs/>
        <w:sz w:val="18"/>
        <w:szCs w:val="16"/>
      </w:rPr>
    </w:pPr>
    <w:r w:rsidRPr="006741EA">
      <w:rPr>
        <w:rFonts w:ascii="Arial" w:hAnsi="Arial" w:cs="Arial"/>
        <w:bCs/>
        <w:sz w:val="18"/>
        <w:szCs w:val="16"/>
      </w:rPr>
      <w:t xml:space="preserve">Rubén Darío Sierra Montoya </w:t>
    </w:r>
    <w:r w:rsidR="00816396" w:rsidRPr="006741EA">
      <w:rPr>
        <w:rFonts w:ascii="Arial" w:hAnsi="Arial" w:cs="Arial"/>
        <w:bCs/>
        <w:sz w:val="18"/>
        <w:szCs w:val="16"/>
      </w:rPr>
      <w:t xml:space="preserve"> </w:t>
    </w:r>
    <w:r w:rsidR="00C9396B" w:rsidRPr="006741EA">
      <w:rPr>
        <w:rFonts w:ascii="Arial" w:hAnsi="Arial" w:cs="Arial"/>
        <w:bCs/>
        <w:sz w:val="18"/>
        <w:szCs w:val="16"/>
      </w:rPr>
      <w:t>vs Colpensiones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EA" w:rsidRDefault="006741EA" w:rsidP="006741EA">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2">
    <w:nsid w:val="08C354AB"/>
    <w:multiLevelType w:val="hybridMultilevel"/>
    <w:tmpl w:val="8286B0D0"/>
    <w:lvl w:ilvl="0" w:tplc="DA6C0252">
      <w:start w:val="1"/>
      <w:numFmt w:val="decimal"/>
      <w:lvlText w:val="%1."/>
      <w:lvlJc w:val="left"/>
      <w:pPr>
        <w:ind w:left="1637" w:hanging="360"/>
      </w:pPr>
      <w:rPr>
        <w:b/>
        <w:i/>
      </w:rPr>
    </w:lvl>
    <w:lvl w:ilvl="1" w:tplc="240A0019">
      <w:start w:val="1"/>
      <w:numFmt w:val="lowerLetter"/>
      <w:lvlText w:val="%2."/>
      <w:lvlJc w:val="left"/>
      <w:pPr>
        <w:ind w:left="1980" w:hanging="360"/>
      </w:pPr>
    </w:lvl>
    <w:lvl w:ilvl="2" w:tplc="240A001B">
      <w:start w:val="1"/>
      <w:numFmt w:val="lowerRoman"/>
      <w:lvlText w:val="%3."/>
      <w:lvlJc w:val="right"/>
      <w:pPr>
        <w:ind w:left="2700" w:hanging="180"/>
      </w:pPr>
    </w:lvl>
    <w:lvl w:ilvl="3" w:tplc="240A000F">
      <w:start w:val="1"/>
      <w:numFmt w:val="decimal"/>
      <w:lvlText w:val="%4."/>
      <w:lvlJc w:val="left"/>
      <w:pPr>
        <w:ind w:left="3420" w:hanging="360"/>
      </w:pPr>
    </w:lvl>
    <w:lvl w:ilvl="4" w:tplc="240A0019">
      <w:start w:val="1"/>
      <w:numFmt w:val="lowerLetter"/>
      <w:lvlText w:val="%5."/>
      <w:lvlJc w:val="left"/>
      <w:pPr>
        <w:ind w:left="4140" w:hanging="360"/>
      </w:pPr>
    </w:lvl>
    <w:lvl w:ilvl="5" w:tplc="240A001B">
      <w:start w:val="1"/>
      <w:numFmt w:val="lowerRoman"/>
      <w:lvlText w:val="%6."/>
      <w:lvlJc w:val="right"/>
      <w:pPr>
        <w:ind w:left="4860" w:hanging="180"/>
      </w:pPr>
    </w:lvl>
    <w:lvl w:ilvl="6" w:tplc="240A000F">
      <w:start w:val="1"/>
      <w:numFmt w:val="decimal"/>
      <w:lvlText w:val="%7."/>
      <w:lvlJc w:val="left"/>
      <w:pPr>
        <w:ind w:left="5580" w:hanging="360"/>
      </w:pPr>
    </w:lvl>
    <w:lvl w:ilvl="7" w:tplc="240A0019">
      <w:start w:val="1"/>
      <w:numFmt w:val="lowerLetter"/>
      <w:lvlText w:val="%8."/>
      <w:lvlJc w:val="left"/>
      <w:pPr>
        <w:ind w:left="6300" w:hanging="360"/>
      </w:pPr>
    </w:lvl>
    <w:lvl w:ilvl="8" w:tplc="240A001B">
      <w:start w:val="1"/>
      <w:numFmt w:val="lowerRoman"/>
      <w:lvlText w:val="%9."/>
      <w:lvlJc w:val="right"/>
      <w:pPr>
        <w:ind w:left="7020" w:hanging="180"/>
      </w:pPr>
    </w:lvl>
  </w:abstractNum>
  <w:abstractNum w:abstractNumId="3">
    <w:nsid w:val="239A08E5"/>
    <w:multiLevelType w:val="hybridMultilevel"/>
    <w:tmpl w:val="3296F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B56EE2"/>
    <w:multiLevelType w:val="hybridMultilevel"/>
    <w:tmpl w:val="B8B2FE4C"/>
    <w:lvl w:ilvl="0" w:tplc="57EC7444">
      <w:start w:val="1"/>
      <w:numFmt w:val="decimal"/>
      <w:lvlText w:val="%1."/>
      <w:lvlJc w:val="left"/>
      <w:pPr>
        <w:ind w:left="720" w:hanging="360"/>
      </w:pPr>
      <w:rPr>
        <w:rFonts w:ascii="Arial Narrow" w:hAnsi="Arial Narrow"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E940137"/>
    <w:multiLevelType w:val="hybridMultilevel"/>
    <w:tmpl w:val="B50657D0"/>
    <w:lvl w:ilvl="0" w:tplc="5E52D82C">
      <w:start w:val="1"/>
      <w:numFmt w:val="decimal"/>
      <w:lvlText w:val="%1."/>
      <w:lvlJc w:val="left"/>
      <w:pPr>
        <w:ind w:left="720" w:hanging="360"/>
      </w:pPr>
      <w:rPr>
        <w:rFonts w:ascii="Arial Narrow" w:hAnsi="Arial Narrow" w:hint="default"/>
        <w:b w:val="0"/>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56573F4"/>
    <w:multiLevelType w:val="hybridMultilevel"/>
    <w:tmpl w:val="8286B0D0"/>
    <w:lvl w:ilvl="0" w:tplc="DA6C0252">
      <w:start w:val="1"/>
      <w:numFmt w:val="decimal"/>
      <w:lvlText w:val="%1."/>
      <w:lvlJc w:val="left"/>
      <w:pPr>
        <w:ind w:left="1637" w:hanging="360"/>
      </w:pPr>
      <w:rPr>
        <w:b/>
        <w:i/>
      </w:rPr>
    </w:lvl>
    <w:lvl w:ilvl="1" w:tplc="240A0019">
      <w:start w:val="1"/>
      <w:numFmt w:val="lowerLetter"/>
      <w:lvlText w:val="%2."/>
      <w:lvlJc w:val="left"/>
      <w:pPr>
        <w:ind w:left="1980" w:hanging="360"/>
      </w:pPr>
    </w:lvl>
    <w:lvl w:ilvl="2" w:tplc="240A001B">
      <w:start w:val="1"/>
      <w:numFmt w:val="lowerRoman"/>
      <w:lvlText w:val="%3."/>
      <w:lvlJc w:val="right"/>
      <w:pPr>
        <w:ind w:left="2700" w:hanging="180"/>
      </w:pPr>
    </w:lvl>
    <w:lvl w:ilvl="3" w:tplc="240A000F">
      <w:start w:val="1"/>
      <w:numFmt w:val="decimal"/>
      <w:lvlText w:val="%4."/>
      <w:lvlJc w:val="left"/>
      <w:pPr>
        <w:ind w:left="3420" w:hanging="360"/>
      </w:pPr>
    </w:lvl>
    <w:lvl w:ilvl="4" w:tplc="240A0019">
      <w:start w:val="1"/>
      <w:numFmt w:val="lowerLetter"/>
      <w:lvlText w:val="%5."/>
      <w:lvlJc w:val="left"/>
      <w:pPr>
        <w:ind w:left="4140" w:hanging="360"/>
      </w:pPr>
    </w:lvl>
    <w:lvl w:ilvl="5" w:tplc="240A001B">
      <w:start w:val="1"/>
      <w:numFmt w:val="lowerRoman"/>
      <w:lvlText w:val="%6."/>
      <w:lvlJc w:val="right"/>
      <w:pPr>
        <w:ind w:left="4860" w:hanging="180"/>
      </w:pPr>
    </w:lvl>
    <w:lvl w:ilvl="6" w:tplc="240A000F">
      <w:start w:val="1"/>
      <w:numFmt w:val="decimal"/>
      <w:lvlText w:val="%7."/>
      <w:lvlJc w:val="left"/>
      <w:pPr>
        <w:ind w:left="5580" w:hanging="360"/>
      </w:pPr>
    </w:lvl>
    <w:lvl w:ilvl="7" w:tplc="240A0019">
      <w:start w:val="1"/>
      <w:numFmt w:val="lowerLetter"/>
      <w:lvlText w:val="%8."/>
      <w:lvlJc w:val="left"/>
      <w:pPr>
        <w:ind w:left="6300" w:hanging="360"/>
      </w:pPr>
    </w:lvl>
    <w:lvl w:ilvl="8" w:tplc="240A001B">
      <w:start w:val="1"/>
      <w:numFmt w:val="lowerRoman"/>
      <w:lvlText w:val="%9."/>
      <w:lvlJc w:val="right"/>
      <w:pPr>
        <w:ind w:left="7020"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6"/>
    <w:rsid w:val="00005F83"/>
    <w:rsid w:val="00037780"/>
    <w:rsid w:val="00044EB9"/>
    <w:rsid w:val="00045AAC"/>
    <w:rsid w:val="00066931"/>
    <w:rsid w:val="00067CBC"/>
    <w:rsid w:val="00075C8A"/>
    <w:rsid w:val="0009417C"/>
    <w:rsid w:val="00095C0D"/>
    <w:rsid w:val="000B573B"/>
    <w:rsid w:val="000C4FBD"/>
    <w:rsid w:val="000D3271"/>
    <w:rsid w:val="000D6C2E"/>
    <w:rsid w:val="000D7F89"/>
    <w:rsid w:val="000E10F2"/>
    <w:rsid w:val="000E1D6B"/>
    <w:rsid w:val="00132085"/>
    <w:rsid w:val="001423D1"/>
    <w:rsid w:val="001446C7"/>
    <w:rsid w:val="001476F1"/>
    <w:rsid w:val="00152DEE"/>
    <w:rsid w:val="00153FEA"/>
    <w:rsid w:val="0017088F"/>
    <w:rsid w:val="00194301"/>
    <w:rsid w:val="001975C9"/>
    <w:rsid w:val="001A27BB"/>
    <w:rsid w:val="001B019D"/>
    <w:rsid w:val="001D419E"/>
    <w:rsid w:val="001F6011"/>
    <w:rsid w:val="00201F63"/>
    <w:rsid w:val="00205B10"/>
    <w:rsid w:val="0020635E"/>
    <w:rsid w:val="00211822"/>
    <w:rsid w:val="00215255"/>
    <w:rsid w:val="00245372"/>
    <w:rsid w:val="00253406"/>
    <w:rsid w:val="00266244"/>
    <w:rsid w:val="002844EE"/>
    <w:rsid w:val="0028462E"/>
    <w:rsid w:val="00286A33"/>
    <w:rsid w:val="00294A9B"/>
    <w:rsid w:val="002C7403"/>
    <w:rsid w:val="002D33E5"/>
    <w:rsid w:val="002E62DE"/>
    <w:rsid w:val="002F19A0"/>
    <w:rsid w:val="0030744F"/>
    <w:rsid w:val="0033164D"/>
    <w:rsid w:val="003371CD"/>
    <w:rsid w:val="0034135A"/>
    <w:rsid w:val="00355B40"/>
    <w:rsid w:val="003624A4"/>
    <w:rsid w:val="003624C4"/>
    <w:rsid w:val="0036405B"/>
    <w:rsid w:val="00365E99"/>
    <w:rsid w:val="0036664A"/>
    <w:rsid w:val="00372C70"/>
    <w:rsid w:val="00394EAA"/>
    <w:rsid w:val="003A4F84"/>
    <w:rsid w:val="003B0E3F"/>
    <w:rsid w:val="003B4B03"/>
    <w:rsid w:val="003C00FF"/>
    <w:rsid w:val="003D4168"/>
    <w:rsid w:val="00407A7F"/>
    <w:rsid w:val="00412FA6"/>
    <w:rsid w:val="0041456B"/>
    <w:rsid w:val="00424EE9"/>
    <w:rsid w:val="004302AD"/>
    <w:rsid w:val="00436714"/>
    <w:rsid w:val="004429F8"/>
    <w:rsid w:val="004746A2"/>
    <w:rsid w:val="00486A40"/>
    <w:rsid w:val="004A20B6"/>
    <w:rsid w:val="004A3142"/>
    <w:rsid w:val="004B6754"/>
    <w:rsid w:val="004B70CA"/>
    <w:rsid w:val="004E4B12"/>
    <w:rsid w:val="004E57A1"/>
    <w:rsid w:val="004E7A6D"/>
    <w:rsid w:val="00500380"/>
    <w:rsid w:val="00507357"/>
    <w:rsid w:val="00523AB9"/>
    <w:rsid w:val="00534AD9"/>
    <w:rsid w:val="00541F61"/>
    <w:rsid w:val="00545542"/>
    <w:rsid w:val="0055439F"/>
    <w:rsid w:val="00564305"/>
    <w:rsid w:val="00573DD0"/>
    <w:rsid w:val="005B173F"/>
    <w:rsid w:val="005B5CA0"/>
    <w:rsid w:val="005C328A"/>
    <w:rsid w:val="005D77A9"/>
    <w:rsid w:val="005F1983"/>
    <w:rsid w:val="006012FC"/>
    <w:rsid w:val="0060780B"/>
    <w:rsid w:val="00607B74"/>
    <w:rsid w:val="006104DF"/>
    <w:rsid w:val="00613100"/>
    <w:rsid w:val="00631A70"/>
    <w:rsid w:val="006356C8"/>
    <w:rsid w:val="0064392E"/>
    <w:rsid w:val="00643C3D"/>
    <w:rsid w:val="006622C7"/>
    <w:rsid w:val="006741EA"/>
    <w:rsid w:val="006B7BB7"/>
    <w:rsid w:val="006C01F6"/>
    <w:rsid w:val="006D24F1"/>
    <w:rsid w:val="006D60B6"/>
    <w:rsid w:val="006E3A47"/>
    <w:rsid w:val="006E427D"/>
    <w:rsid w:val="006E6C23"/>
    <w:rsid w:val="006F2C42"/>
    <w:rsid w:val="0072287A"/>
    <w:rsid w:val="00722FF5"/>
    <w:rsid w:val="00744E9C"/>
    <w:rsid w:val="0076138C"/>
    <w:rsid w:val="00777A01"/>
    <w:rsid w:val="00782089"/>
    <w:rsid w:val="007913AB"/>
    <w:rsid w:val="007A0212"/>
    <w:rsid w:val="007B1B85"/>
    <w:rsid w:val="007C2AC6"/>
    <w:rsid w:val="007C38E1"/>
    <w:rsid w:val="007C535F"/>
    <w:rsid w:val="007E79B4"/>
    <w:rsid w:val="00802A6D"/>
    <w:rsid w:val="00816396"/>
    <w:rsid w:val="00820919"/>
    <w:rsid w:val="00857138"/>
    <w:rsid w:val="00882CC5"/>
    <w:rsid w:val="008934D3"/>
    <w:rsid w:val="00897074"/>
    <w:rsid w:val="008A10F0"/>
    <w:rsid w:val="008A56A9"/>
    <w:rsid w:val="008B08F0"/>
    <w:rsid w:val="008F08C8"/>
    <w:rsid w:val="008F1BA7"/>
    <w:rsid w:val="008F38A2"/>
    <w:rsid w:val="00907FC8"/>
    <w:rsid w:val="00912615"/>
    <w:rsid w:val="00943AE3"/>
    <w:rsid w:val="00950899"/>
    <w:rsid w:val="009554F1"/>
    <w:rsid w:val="00964986"/>
    <w:rsid w:val="009672A6"/>
    <w:rsid w:val="00986E7C"/>
    <w:rsid w:val="00995E8E"/>
    <w:rsid w:val="0099768A"/>
    <w:rsid w:val="009A1915"/>
    <w:rsid w:val="009B0804"/>
    <w:rsid w:val="009B17E8"/>
    <w:rsid w:val="009B41D1"/>
    <w:rsid w:val="009C23C7"/>
    <w:rsid w:val="009C5A64"/>
    <w:rsid w:val="009E582C"/>
    <w:rsid w:val="00A0392F"/>
    <w:rsid w:val="00A114B4"/>
    <w:rsid w:val="00A12561"/>
    <w:rsid w:val="00A16450"/>
    <w:rsid w:val="00A223BE"/>
    <w:rsid w:val="00A30CA3"/>
    <w:rsid w:val="00A352C1"/>
    <w:rsid w:val="00A423D9"/>
    <w:rsid w:val="00A54289"/>
    <w:rsid w:val="00A62AA2"/>
    <w:rsid w:val="00A62B10"/>
    <w:rsid w:val="00A66DA7"/>
    <w:rsid w:val="00A73E87"/>
    <w:rsid w:val="00A7733F"/>
    <w:rsid w:val="00AB7824"/>
    <w:rsid w:val="00AE4573"/>
    <w:rsid w:val="00AF0007"/>
    <w:rsid w:val="00AF218E"/>
    <w:rsid w:val="00B00CA1"/>
    <w:rsid w:val="00B12EF1"/>
    <w:rsid w:val="00B175F4"/>
    <w:rsid w:val="00B33AE6"/>
    <w:rsid w:val="00B33E22"/>
    <w:rsid w:val="00B34A3D"/>
    <w:rsid w:val="00B53758"/>
    <w:rsid w:val="00B6267D"/>
    <w:rsid w:val="00B666A3"/>
    <w:rsid w:val="00B75ACD"/>
    <w:rsid w:val="00B8246E"/>
    <w:rsid w:val="00B868F1"/>
    <w:rsid w:val="00B86AD2"/>
    <w:rsid w:val="00B94CCF"/>
    <w:rsid w:val="00B97E75"/>
    <w:rsid w:val="00BB0493"/>
    <w:rsid w:val="00BD0280"/>
    <w:rsid w:val="00BE1AA7"/>
    <w:rsid w:val="00BE7032"/>
    <w:rsid w:val="00C110B6"/>
    <w:rsid w:val="00C11382"/>
    <w:rsid w:val="00C13C4B"/>
    <w:rsid w:val="00C179CC"/>
    <w:rsid w:val="00C27C80"/>
    <w:rsid w:val="00C35CA1"/>
    <w:rsid w:val="00C40FBC"/>
    <w:rsid w:val="00C6203E"/>
    <w:rsid w:val="00C62C22"/>
    <w:rsid w:val="00C63FD5"/>
    <w:rsid w:val="00C76038"/>
    <w:rsid w:val="00C80BD8"/>
    <w:rsid w:val="00C922E4"/>
    <w:rsid w:val="00C9396B"/>
    <w:rsid w:val="00CA15ED"/>
    <w:rsid w:val="00CA5420"/>
    <w:rsid w:val="00CD2181"/>
    <w:rsid w:val="00CD5ACD"/>
    <w:rsid w:val="00CE633A"/>
    <w:rsid w:val="00CF1E24"/>
    <w:rsid w:val="00CF36FC"/>
    <w:rsid w:val="00D155F7"/>
    <w:rsid w:val="00D21805"/>
    <w:rsid w:val="00D21AD7"/>
    <w:rsid w:val="00D60F21"/>
    <w:rsid w:val="00D6393D"/>
    <w:rsid w:val="00D65275"/>
    <w:rsid w:val="00D66B1D"/>
    <w:rsid w:val="00D7326D"/>
    <w:rsid w:val="00D752A4"/>
    <w:rsid w:val="00D75CCB"/>
    <w:rsid w:val="00D768EA"/>
    <w:rsid w:val="00D86D84"/>
    <w:rsid w:val="00D9519F"/>
    <w:rsid w:val="00DA3BC9"/>
    <w:rsid w:val="00DA5035"/>
    <w:rsid w:val="00DA73AA"/>
    <w:rsid w:val="00DC3A5C"/>
    <w:rsid w:val="00DC6914"/>
    <w:rsid w:val="00DD43FE"/>
    <w:rsid w:val="00E11278"/>
    <w:rsid w:val="00E24916"/>
    <w:rsid w:val="00E24B19"/>
    <w:rsid w:val="00E52E6E"/>
    <w:rsid w:val="00E54EE7"/>
    <w:rsid w:val="00E87B39"/>
    <w:rsid w:val="00E921B9"/>
    <w:rsid w:val="00EA4D35"/>
    <w:rsid w:val="00EB1701"/>
    <w:rsid w:val="00EC3BE0"/>
    <w:rsid w:val="00EE753D"/>
    <w:rsid w:val="00EF15E4"/>
    <w:rsid w:val="00F12702"/>
    <w:rsid w:val="00F14B33"/>
    <w:rsid w:val="00F27E87"/>
    <w:rsid w:val="00F317B8"/>
    <w:rsid w:val="00F44424"/>
    <w:rsid w:val="00F47816"/>
    <w:rsid w:val="00F665F5"/>
    <w:rsid w:val="00FC0172"/>
    <w:rsid w:val="00FE3332"/>
    <w:rsid w:val="00FE47BD"/>
    <w:rsid w:val="00FF0913"/>
    <w:rsid w:val="00FF2BFD"/>
    <w:rsid w:val="00FF303A"/>
    <w:rsid w:val="00FF3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C5D0C-D853-4EB5-ADA5-B8D4845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16396"/>
    <w:rPr>
      <w:rFonts w:ascii="Arial" w:hAnsi="Arial" w:cs="Arial"/>
      <w:sz w:val="24"/>
      <w:lang w:val="es-ES_tradnl" w:eastAsia="es-ES"/>
    </w:rPr>
  </w:style>
  <w:style w:type="paragraph" w:styleId="Textoindependiente">
    <w:name w:val="Body Text"/>
    <w:basedOn w:val="Normal"/>
    <w:link w:val="TextoindependienteCar"/>
    <w:rsid w:val="0081639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1639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16396"/>
    <w:pPr>
      <w:tabs>
        <w:tab w:val="center" w:pos="4252"/>
        <w:tab w:val="right" w:pos="8504"/>
      </w:tabs>
    </w:pPr>
  </w:style>
  <w:style w:type="character" w:customStyle="1" w:styleId="PiedepginaCar">
    <w:name w:val="Pie de página Car"/>
    <w:basedOn w:val="Fuentedeprrafopredeter"/>
    <w:link w:val="Piedepgina"/>
    <w:uiPriority w:val="99"/>
    <w:rsid w:val="0081639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16396"/>
  </w:style>
  <w:style w:type="paragraph" w:styleId="Encabezado">
    <w:name w:val="header"/>
    <w:basedOn w:val="Normal"/>
    <w:link w:val="EncabezadoCar"/>
    <w:uiPriority w:val="99"/>
    <w:rsid w:val="00816396"/>
    <w:pPr>
      <w:tabs>
        <w:tab w:val="center" w:pos="4252"/>
        <w:tab w:val="right" w:pos="8504"/>
      </w:tabs>
    </w:pPr>
  </w:style>
  <w:style w:type="character" w:customStyle="1" w:styleId="EncabezadoCar">
    <w:name w:val="Encabezado Car"/>
    <w:basedOn w:val="Fuentedeprrafopredeter"/>
    <w:link w:val="Encabezado"/>
    <w:uiPriority w:val="99"/>
    <w:rsid w:val="0081639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816396"/>
    <w:pPr>
      <w:spacing w:line="360" w:lineRule="auto"/>
      <w:jc w:val="both"/>
    </w:pPr>
    <w:rPr>
      <w:rFonts w:ascii="Arial" w:hAnsi="Arial"/>
      <w:sz w:val="28"/>
    </w:rPr>
  </w:style>
  <w:style w:type="paragraph" w:customStyle="1" w:styleId="Prrafodelista1">
    <w:name w:val="Párrafo de lista1"/>
    <w:basedOn w:val="Normal"/>
    <w:rsid w:val="0081639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1639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16396"/>
    <w:pPr>
      <w:ind w:left="720"/>
      <w:contextualSpacing/>
    </w:pPr>
  </w:style>
  <w:style w:type="paragraph" w:styleId="Textonotapie">
    <w:name w:val="footnote text"/>
    <w:basedOn w:val="Normal"/>
    <w:link w:val="TextonotapieCar"/>
    <w:uiPriority w:val="99"/>
    <w:semiHidden/>
    <w:rsid w:val="00816396"/>
    <w:rPr>
      <w:sz w:val="20"/>
    </w:rPr>
  </w:style>
  <w:style w:type="character" w:customStyle="1" w:styleId="TextonotapieCar">
    <w:name w:val="Texto nota pie Car"/>
    <w:basedOn w:val="Fuentedeprrafopredeter"/>
    <w:link w:val="Textonotapie"/>
    <w:uiPriority w:val="99"/>
    <w:semiHidden/>
    <w:rsid w:val="00816396"/>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rsid w:val="00816396"/>
    <w:rPr>
      <w:vertAlign w:val="superscript"/>
    </w:rPr>
  </w:style>
  <w:style w:type="paragraph" w:customStyle="1" w:styleId="Textoindependiente32">
    <w:name w:val="Texto independiente 32"/>
    <w:basedOn w:val="Normal"/>
    <w:rsid w:val="00F44424"/>
    <w:pPr>
      <w:spacing w:line="360" w:lineRule="auto"/>
      <w:jc w:val="both"/>
    </w:pPr>
    <w:rPr>
      <w:rFonts w:ascii="Arial" w:hAnsi="Arial"/>
    </w:rPr>
  </w:style>
  <w:style w:type="paragraph" w:customStyle="1" w:styleId="Textoindependiente21">
    <w:name w:val="Texto independiente 21"/>
    <w:basedOn w:val="Normal"/>
    <w:rsid w:val="00B86AD2"/>
    <w:pPr>
      <w:overflowPunct w:val="0"/>
      <w:autoSpaceDE w:val="0"/>
      <w:autoSpaceDN w:val="0"/>
      <w:adjustRightInd w:val="0"/>
      <w:spacing w:line="360" w:lineRule="auto"/>
      <w:ind w:firstLine="709"/>
      <w:jc w:val="both"/>
    </w:pPr>
    <w:rPr>
      <w:rFonts w:ascii="Arial Narrow" w:hAnsi="Arial Narrow"/>
      <w:sz w:val="30"/>
      <w:lang w:val="es-CO"/>
    </w:rPr>
  </w:style>
  <w:style w:type="paragraph" w:styleId="Textodeglobo">
    <w:name w:val="Balloon Text"/>
    <w:basedOn w:val="Normal"/>
    <w:link w:val="TextodegloboCar"/>
    <w:uiPriority w:val="99"/>
    <w:semiHidden/>
    <w:unhideWhenUsed/>
    <w:rsid w:val="00CE63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33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78">
      <w:bodyDiv w:val="1"/>
      <w:marLeft w:val="0"/>
      <w:marRight w:val="0"/>
      <w:marTop w:val="0"/>
      <w:marBottom w:val="0"/>
      <w:divBdr>
        <w:top w:val="none" w:sz="0" w:space="0" w:color="auto"/>
        <w:left w:val="none" w:sz="0" w:space="0" w:color="auto"/>
        <w:bottom w:val="none" w:sz="0" w:space="0" w:color="auto"/>
        <w:right w:val="none" w:sz="0" w:space="0" w:color="auto"/>
      </w:divBdr>
    </w:div>
    <w:div w:id="397754131">
      <w:bodyDiv w:val="1"/>
      <w:marLeft w:val="0"/>
      <w:marRight w:val="0"/>
      <w:marTop w:val="0"/>
      <w:marBottom w:val="0"/>
      <w:divBdr>
        <w:top w:val="none" w:sz="0" w:space="0" w:color="auto"/>
        <w:left w:val="none" w:sz="0" w:space="0" w:color="auto"/>
        <w:bottom w:val="none" w:sz="0" w:space="0" w:color="auto"/>
        <w:right w:val="none" w:sz="0" w:space="0" w:color="auto"/>
      </w:divBdr>
    </w:div>
    <w:div w:id="9806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2D2E-FB78-4697-A093-AB492AFF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4149</Words>
  <Characters>22822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163</cp:revision>
  <cp:lastPrinted>2019-06-18T20:08:00Z</cp:lastPrinted>
  <dcterms:created xsi:type="dcterms:W3CDTF">2017-01-16T14:12:00Z</dcterms:created>
  <dcterms:modified xsi:type="dcterms:W3CDTF">2019-07-23T13:23:00Z</dcterms:modified>
</cp:coreProperties>
</file>