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86" w:rsidRPr="00B10886" w:rsidRDefault="00B10886" w:rsidP="00B1088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B1088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10886" w:rsidRPr="00B10886" w:rsidRDefault="00B10886" w:rsidP="00B10886">
      <w:pPr>
        <w:spacing w:after="0" w:line="240" w:lineRule="auto"/>
        <w:jc w:val="both"/>
        <w:rPr>
          <w:rFonts w:ascii="Arial" w:eastAsia="Times New Roman" w:hAnsi="Arial" w:cs="Arial"/>
          <w:sz w:val="20"/>
          <w:szCs w:val="20"/>
          <w:lang w:val="es-419" w:eastAsia="es-ES"/>
        </w:rPr>
      </w:pPr>
    </w:p>
    <w:p w:rsidR="00B10886" w:rsidRPr="00B10886" w:rsidRDefault="00B10886" w:rsidP="00B10886">
      <w:pPr>
        <w:spacing w:after="0" w:line="240" w:lineRule="auto"/>
        <w:jc w:val="both"/>
        <w:rPr>
          <w:rFonts w:ascii="Arial" w:eastAsia="Times New Roman" w:hAnsi="Arial" w:cs="Arial"/>
          <w:sz w:val="20"/>
          <w:szCs w:val="20"/>
          <w:lang w:val="es-419" w:eastAsia="es-ES"/>
        </w:rPr>
      </w:pPr>
      <w:r w:rsidRPr="00B10886">
        <w:rPr>
          <w:rFonts w:ascii="Arial" w:eastAsia="Times New Roman" w:hAnsi="Arial" w:cs="Arial"/>
          <w:sz w:val="20"/>
          <w:szCs w:val="20"/>
          <w:lang w:val="es-419" w:eastAsia="es-ES"/>
        </w:rPr>
        <w:t>Providencia:</w:t>
      </w:r>
      <w:r w:rsidRPr="00B10886">
        <w:rPr>
          <w:rFonts w:ascii="Arial" w:eastAsia="Times New Roman" w:hAnsi="Arial" w:cs="Arial"/>
          <w:sz w:val="20"/>
          <w:szCs w:val="20"/>
          <w:lang w:val="es-419" w:eastAsia="es-ES"/>
        </w:rPr>
        <w:tab/>
      </w:r>
      <w:r w:rsidRPr="00B10886">
        <w:rPr>
          <w:rFonts w:ascii="Arial" w:eastAsia="Times New Roman" w:hAnsi="Arial" w:cs="Arial"/>
          <w:sz w:val="20"/>
          <w:szCs w:val="20"/>
          <w:lang w:val="es-419" w:eastAsia="es-ES"/>
        </w:rPr>
        <w:tab/>
        <w:t>Sentencia de Segunda Instancia, julio 11 de 2019</w:t>
      </w:r>
    </w:p>
    <w:p w:rsidR="00B10886" w:rsidRPr="00B10886" w:rsidRDefault="00B10886" w:rsidP="00B10886">
      <w:pPr>
        <w:spacing w:after="0" w:line="240" w:lineRule="auto"/>
        <w:jc w:val="both"/>
        <w:rPr>
          <w:rFonts w:ascii="Arial" w:eastAsia="Times New Roman" w:hAnsi="Arial" w:cs="Arial"/>
          <w:sz w:val="20"/>
          <w:szCs w:val="20"/>
          <w:lang w:val="es-419" w:eastAsia="es-ES"/>
        </w:rPr>
      </w:pPr>
      <w:r w:rsidRPr="00B10886">
        <w:rPr>
          <w:rFonts w:ascii="Arial" w:eastAsia="Times New Roman" w:hAnsi="Arial" w:cs="Arial"/>
          <w:sz w:val="20"/>
          <w:szCs w:val="20"/>
          <w:lang w:val="es-419" w:eastAsia="es-ES"/>
        </w:rPr>
        <w:t>Radicación No:</w:t>
      </w:r>
      <w:r w:rsidRPr="00B10886">
        <w:rPr>
          <w:rFonts w:ascii="Arial" w:eastAsia="Times New Roman" w:hAnsi="Arial" w:cs="Arial"/>
          <w:sz w:val="20"/>
          <w:szCs w:val="20"/>
          <w:lang w:val="es-419" w:eastAsia="es-ES"/>
        </w:rPr>
        <w:tab/>
      </w:r>
      <w:r w:rsidRPr="00B10886">
        <w:rPr>
          <w:rFonts w:ascii="Arial" w:eastAsia="Times New Roman" w:hAnsi="Arial" w:cs="Arial"/>
          <w:sz w:val="20"/>
          <w:szCs w:val="20"/>
          <w:lang w:val="es-419" w:eastAsia="es-ES"/>
        </w:rPr>
        <w:tab/>
        <w:t>66001-31-05-004-2016-00490-01</w:t>
      </w:r>
    </w:p>
    <w:p w:rsidR="00B10886" w:rsidRPr="00B10886" w:rsidRDefault="00B10886" w:rsidP="00B10886">
      <w:pPr>
        <w:spacing w:after="0" w:line="240" w:lineRule="auto"/>
        <w:jc w:val="both"/>
        <w:rPr>
          <w:rFonts w:ascii="Arial" w:eastAsia="Times New Roman" w:hAnsi="Arial" w:cs="Arial"/>
          <w:sz w:val="20"/>
          <w:szCs w:val="20"/>
          <w:lang w:val="es-419" w:eastAsia="es-ES"/>
        </w:rPr>
      </w:pPr>
      <w:r w:rsidRPr="00B10886">
        <w:rPr>
          <w:rFonts w:ascii="Arial" w:eastAsia="Times New Roman" w:hAnsi="Arial" w:cs="Arial"/>
          <w:sz w:val="20"/>
          <w:szCs w:val="20"/>
          <w:lang w:val="es-419" w:eastAsia="es-ES"/>
        </w:rPr>
        <w:t>Proceso:</w:t>
      </w:r>
      <w:r w:rsidRPr="00B10886">
        <w:rPr>
          <w:rFonts w:ascii="Arial" w:eastAsia="Times New Roman" w:hAnsi="Arial" w:cs="Arial"/>
          <w:sz w:val="20"/>
          <w:szCs w:val="20"/>
          <w:lang w:val="es-419" w:eastAsia="es-ES"/>
        </w:rPr>
        <w:tab/>
      </w:r>
      <w:r w:rsidRPr="00B10886">
        <w:rPr>
          <w:rFonts w:ascii="Arial" w:eastAsia="Times New Roman" w:hAnsi="Arial" w:cs="Arial"/>
          <w:sz w:val="20"/>
          <w:szCs w:val="20"/>
          <w:lang w:val="es-419" w:eastAsia="es-ES"/>
        </w:rPr>
        <w:tab/>
        <w:t>Ordinario Laboral</w:t>
      </w:r>
    </w:p>
    <w:p w:rsidR="00B10886" w:rsidRPr="00B10886" w:rsidRDefault="00B10886" w:rsidP="00B10886">
      <w:pPr>
        <w:spacing w:after="0" w:line="240" w:lineRule="auto"/>
        <w:jc w:val="both"/>
        <w:rPr>
          <w:rFonts w:ascii="Arial" w:eastAsia="Times New Roman" w:hAnsi="Arial" w:cs="Arial"/>
          <w:sz w:val="20"/>
          <w:szCs w:val="20"/>
          <w:lang w:val="es-419" w:eastAsia="es-ES"/>
        </w:rPr>
      </w:pPr>
      <w:r w:rsidRPr="00B10886">
        <w:rPr>
          <w:rFonts w:ascii="Arial" w:eastAsia="Times New Roman" w:hAnsi="Arial" w:cs="Arial"/>
          <w:sz w:val="20"/>
          <w:szCs w:val="20"/>
          <w:lang w:val="es-419" w:eastAsia="es-ES"/>
        </w:rPr>
        <w:t>Demandante:</w:t>
      </w:r>
      <w:r w:rsidRPr="00B10886">
        <w:rPr>
          <w:rFonts w:ascii="Arial" w:eastAsia="Times New Roman" w:hAnsi="Arial" w:cs="Arial"/>
          <w:sz w:val="20"/>
          <w:szCs w:val="20"/>
          <w:lang w:val="es-419" w:eastAsia="es-ES"/>
        </w:rPr>
        <w:tab/>
      </w:r>
      <w:r w:rsidRPr="00B10886">
        <w:rPr>
          <w:rFonts w:ascii="Arial" w:eastAsia="Times New Roman" w:hAnsi="Arial" w:cs="Arial"/>
          <w:sz w:val="20"/>
          <w:szCs w:val="20"/>
          <w:lang w:val="es-419" w:eastAsia="es-ES"/>
        </w:rPr>
        <w:tab/>
        <w:t>Jorge Enrique Hincapié Mora</w:t>
      </w:r>
    </w:p>
    <w:p w:rsidR="00B10886" w:rsidRPr="00B10886" w:rsidRDefault="00B10886" w:rsidP="00B10886">
      <w:pPr>
        <w:spacing w:after="0" w:line="240" w:lineRule="auto"/>
        <w:jc w:val="both"/>
        <w:rPr>
          <w:rFonts w:ascii="Arial" w:eastAsia="Times New Roman" w:hAnsi="Arial" w:cs="Arial"/>
          <w:sz w:val="20"/>
          <w:szCs w:val="20"/>
          <w:lang w:val="es-419" w:eastAsia="es-ES"/>
        </w:rPr>
      </w:pPr>
      <w:r w:rsidRPr="00B10886">
        <w:rPr>
          <w:rFonts w:ascii="Arial" w:eastAsia="Times New Roman" w:hAnsi="Arial" w:cs="Arial"/>
          <w:sz w:val="20"/>
          <w:szCs w:val="20"/>
          <w:lang w:val="es-419" w:eastAsia="es-ES"/>
        </w:rPr>
        <w:t>Demandado:</w:t>
      </w:r>
      <w:r w:rsidRPr="00B10886">
        <w:rPr>
          <w:rFonts w:ascii="Arial" w:eastAsia="Times New Roman" w:hAnsi="Arial" w:cs="Arial"/>
          <w:sz w:val="20"/>
          <w:szCs w:val="20"/>
          <w:lang w:val="es-419" w:eastAsia="es-ES"/>
        </w:rPr>
        <w:tab/>
      </w:r>
      <w:r w:rsidRPr="00B10886">
        <w:rPr>
          <w:rFonts w:ascii="Arial" w:eastAsia="Times New Roman" w:hAnsi="Arial" w:cs="Arial"/>
          <w:sz w:val="20"/>
          <w:szCs w:val="20"/>
          <w:lang w:val="es-419" w:eastAsia="es-ES"/>
        </w:rPr>
        <w:tab/>
        <w:t>Colpensiones y Colfondos SA</w:t>
      </w:r>
    </w:p>
    <w:p w:rsidR="00B10886" w:rsidRPr="00B10886" w:rsidRDefault="00B10886" w:rsidP="00B10886">
      <w:pPr>
        <w:spacing w:after="0" w:line="240" w:lineRule="auto"/>
        <w:jc w:val="both"/>
        <w:rPr>
          <w:rFonts w:ascii="Arial" w:eastAsia="Times New Roman" w:hAnsi="Arial" w:cs="Arial"/>
          <w:sz w:val="20"/>
          <w:szCs w:val="20"/>
          <w:lang w:val="es-419" w:eastAsia="es-ES"/>
        </w:rPr>
      </w:pPr>
      <w:r w:rsidRPr="00B10886">
        <w:rPr>
          <w:rFonts w:ascii="Arial" w:eastAsia="Times New Roman" w:hAnsi="Arial" w:cs="Arial"/>
          <w:sz w:val="20"/>
          <w:szCs w:val="20"/>
          <w:lang w:val="es-419" w:eastAsia="es-ES"/>
        </w:rPr>
        <w:t>Juzgado de origen:</w:t>
      </w:r>
      <w:r w:rsidRPr="00B10886">
        <w:rPr>
          <w:rFonts w:ascii="Arial" w:eastAsia="Times New Roman" w:hAnsi="Arial" w:cs="Arial"/>
          <w:sz w:val="20"/>
          <w:szCs w:val="20"/>
          <w:lang w:val="es-419" w:eastAsia="es-ES"/>
        </w:rPr>
        <w:tab/>
        <w:t>Cuarto Laboral del Circuito de Pereira</w:t>
      </w:r>
    </w:p>
    <w:p w:rsidR="00B10886" w:rsidRPr="00B10886" w:rsidRDefault="00B10886" w:rsidP="00B10886">
      <w:pPr>
        <w:spacing w:after="0" w:line="240" w:lineRule="auto"/>
        <w:jc w:val="both"/>
        <w:rPr>
          <w:rFonts w:ascii="Arial" w:eastAsia="Times New Roman" w:hAnsi="Arial" w:cs="Arial"/>
          <w:sz w:val="20"/>
          <w:szCs w:val="20"/>
          <w:lang w:val="es-419" w:eastAsia="es-ES"/>
        </w:rPr>
      </w:pPr>
      <w:r w:rsidRPr="00B10886">
        <w:rPr>
          <w:rFonts w:ascii="Arial" w:eastAsia="Times New Roman" w:hAnsi="Arial" w:cs="Arial"/>
          <w:sz w:val="20"/>
          <w:szCs w:val="20"/>
          <w:lang w:val="es-419" w:eastAsia="es-ES"/>
        </w:rPr>
        <w:t>Magistrado Ponente:</w:t>
      </w:r>
      <w:r w:rsidRPr="00B10886">
        <w:rPr>
          <w:rFonts w:ascii="Arial" w:eastAsia="Times New Roman" w:hAnsi="Arial" w:cs="Arial"/>
          <w:sz w:val="20"/>
          <w:szCs w:val="20"/>
          <w:lang w:val="es-419" w:eastAsia="es-ES"/>
        </w:rPr>
        <w:tab/>
        <w:t>Francisco Javier Tamayo Tabares.</w:t>
      </w:r>
    </w:p>
    <w:p w:rsidR="00B10886" w:rsidRPr="00B10886" w:rsidRDefault="00B10886" w:rsidP="00B10886">
      <w:pPr>
        <w:spacing w:after="0" w:line="240" w:lineRule="auto"/>
        <w:jc w:val="both"/>
        <w:rPr>
          <w:rFonts w:ascii="Arial" w:eastAsia="Times New Roman" w:hAnsi="Arial" w:cs="Arial"/>
          <w:sz w:val="20"/>
          <w:szCs w:val="20"/>
          <w:lang w:val="es-419" w:eastAsia="es-ES"/>
        </w:rPr>
      </w:pPr>
    </w:p>
    <w:p w:rsidR="00E96EF4" w:rsidRPr="00E96EF4" w:rsidRDefault="00B10886" w:rsidP="00E96EF4">
      <w:pPr>
        <w:jc w:val="both"/>
        <w:rPr>
          <w:rFonts w:ascii="Arial" w:eastAsia="Times New Roman" w:hAnsi="Arial" w:cs="Arial"/>
          <w:b/>
          <w:bCs/>
          <w:iCs/>
          <w:sz w:val="20"/>
          <w:szCs w:val="20"/>
          <w:lang w:val="es-CO" w:eastAsia="fr-FR"/>
        </w:rPr>
      </w:pPr>
      <w:r w:rsidRPr="00B10886">
        <w:rPr>
          <w:rFonts w:ascii="Arial" w:eastAsia="Times New Roman" w:hAnsi="Arial" w:cs="Arial"/>
          <w:b/>
          <w:bCs/>
          <w:iCs/>
          <w:sz w:val="20"/>
          <w:szCs w:val="20"/>
          <w:lang w:val="es-419" w:eastAsia="fr-FR"/>
        </w:rPr>
        <w:t>TEMAS:</w:t>
      </w:r>
      <w:r w:rsidRPr="00B10886">
        <w:rPr>
          <w:rFonts w:ascii="Arial" w:eastAsia="Times New Roman" w:hAnsi="Arial" w:cs="Arial"/>
          <w:b/>
          <w:bCs/>
          <w:iCs/>
          <w:sz w:val="20"/>
          <w:szCs w:val="20"/>
          <w:lang w:val="es-419" w:eastAsia="fr-FR"/>
        </w:rPr>
        <w:tab/>
      </w:r>
      <w:r w:rsidR="00E96EF4" w:rsidRPr="00E96EF4">
        <w:rPr>
          <w:rFonts w:ascii="Arial" w:eastAsia="Times New Roman" w:hAnsi="Arial" w:cs="Arial"/>
          <w:b/>
          <w:bCs/>
          <w:iCs/>
          <w:sz w:val="20"/>
          <w:szCs w:val="20"/>
          <w:lang w:val="es-419" w:eastAsia="fr-FR"/>
        </w:rPr>
        <w:t>TRASLADO DE RÉGIMEN PENSIONAL / INEFICACIA / DEBER DE INFORMACIÓN / REQUISITOS / CARGA PROBATORIA INCUMBE AL FONDO DE PENSIONES.</w:t>
      </w:r>
    </w:p>
    <w:p w:rsidR="00E96EF4" w:rsidRPr="00E96EF4" w:rsidRDefault="00E96EF4" w:rsidP="00E96EF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rsidR="00E96EF4" w:rsidRPr="00E96EF4" w:rsidRDefault="00E96EF4" w:rsidP="00E96EF4">
      <w:pPr>
        <w:spacing w:after="0" w:line="240" w:lineRule="auto"/>
        <w:jc w:val="both"/>
        <w:rPr>
          <w:rFonts w:ascii="Arial" w:eastAsia="Times New Roman" w:hAnsi="Arial" w:cs="Arial"/>
          <w:bCs/>
          <w:sz w:val="20"/>
          <w:szCs w:val="20"/>
          <w:lang w:val="es-ES_tradnl" w:eastAsia="es-ES"/>
        </w:rPr>
      </w:pPr>
    </w:p>
    <w:p w:rsidR="00E96EF4" w:rsidRPr="00E96EF4" w:rsidRDefault="00E96EF4" w:rsidP="00E96EF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el Decreto 720 de 1994… establece la forma, condiciones y obligaciones que tienen los promotores, intermediarios y asesores de los fondos de pensiones, en el marco de lo indicado en los artículos 105 y 287 de la Ley 100 de 1993…</w:t>
      </w:r>
    </w:p>
    <w:p w:rsidR="00E96EF4" w:rsidRPr="00E96EF4" w:rsidRDefault="00E96EF4" w:rsidP="00E96EF4">
      <w:pPr>
        <w:spacing w:after="0" w:line="240" w:lineRule="auto"/>
        <w:jc w:val="both"/>
        <w:rPr>
          <w:rFonts w:ascii="Arial" w:eastAsia="Times New Roman" w:hAnsi="Arial" w:cs="Arial"/>
          <w:bCs/>
          <w:sz w:val="20"/>
          <w:szCs w:val="20"/>
          <w:lang w:val="es-ES_tradnl" w:eastAsia="es-ES"/>
        </w:rPr>
      </w:pPr>
    </w:p>
    <w:p w:rsidR="00E96EF4" w:rsidRPr="00E96EF4" w:rsidRDefault="00E96EF4" w:rsidP="00E96EF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su precepto 10 reza:</w:t>
      </w:r>
    </w:p>
    <w:p w:rsidR="00E96EF4" w:rsidRPr="00E96EF4" w:rsidRDefault="00E96EF4" w:rsidP="00E96EF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xml:space="preserve"> </w:t>
      </w:r>
    </w:p>
    <w:p w:rsidR="00E96EF4" w:rsidRPr="00E96EF4" w:rsidRDefault="00E96EF4" w:rsidP="00E96EF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p>
    <w:p w:rsidR="00E96EF4" w:rsidRDefault="00E96EF4" w:rsidP="00B10886">
      <w:pPr>
        <w:spacing w:after="0" w:line="240" w:lineRule="auto"/>
        <w:jc w:val="both"/>
        <w:rPr>
          <w:rFonts w:ascii="Arial" w:eastAsia="Times New Roman" w:hAnsi="Arial" w:cs="Arial"/>
          <w:sz w:val="20"/>
          <w:szCs w:val="20"/>
          <w:lang w:val="es-419" w:eastAsia="es-ES"/>
        </w:rPr>
      </w:pPr>
    </w:p>
    <w:p w:rsidR="00E96EF4" w:rsidRPr="00E96EF4" w:rsidRDefault="00E96EF4" w:rsidP="00B10886">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w:t>
      </w:r>
      <w:r>
        <w:rPr>
          <w:rFonts w:ascii="Arial" w:eastAsia="Times New Roman" w:hAnsi="Arial" w:cs="Arial"/>
          <w:sz w:val="20"/>
          <w:szCs w:val="20"/>
          <w:lang w:val="es-CO" w:eastAsia="es-ES"/>
        </w:rPr>
        <w:t>…</w:t>
      </w:r>
    </w:p>
    <w:p w:rsidR="00E96EF4" w:rsidRDefault="00E96EF4" w:rsidP="00B10886">
      <w:pPr>
        <w:spacing w:after="0" w:line="240" w:lineRule="auto"/>
        <w:jc w:val="both"/>
        <w:rPr>
          <w:rFonts w:ascii="Arial" w:eastAsia="Times New Roman" w:hAnsi="Arial" w:cs="Arial"/>
          <w:sz w:val="20"/>
          <w:szCs w:val="20"/>
          <w:lang w:val="es-419" w:eastAsia="es-ES"/>
        </w:rPr>
      </w:pPr>
    </w:p>
    <w:p w:rsidR="00E96EF4" w:rsidRPr="00E96EF4" w:rsidRDefault="00E96EF4" w:rsidP="00E96EF4">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E96EF4" w:rsidRPr="00E96EF4" w:rsidRDefault="00E96EF4" w:rsidP="00E96EF4">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 xml:space="preserve"> </w:t>
      </w:r>
    </w:p>
    <w:p w:rsidR="00E96EF4" w:rsidRDefault="00E96EF4" w:rsidP="00E96EF4">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Pr>
          <w:rFonts w:ascii="Arial" w:eastAsia="Times New Roman" w:hAnsi="Arial" w:cs="Arial"/>
          <w:sz w:val="20"/>
          <w:szCs w:val="20"/>
          <w:lang w:val="es-CO" w:eastAsia="es-ES"/>
        </w:rPr>
        <w:t>…</w:t>
      </w:r>
    </w:p>
    <w:p w:rsidR="00E96EF4" w:rsidRPr="00E96EF4" w:rsidRDefault="00E96EF4" w:rsidP="00E96EF4">
      <w:pPr>
        <w:spacing w:after="0" w:line="240" w:lineRule="auto"/>
        <w:jc w:val="both"/>
        <w:rPr>
          <w:rFonts w:ascii="Arial" w:eastAsia="Times New Roman" w:hAnsi="Arial" w:cs="Arial"/>
          <w:sz w:val="20"/>
          <w:szCs w:val="20"/>
          <w:lang w:val="es-CO" w:eastAsia="es-ES"/>
        </w:rPr>
      </w:pPr>
    </w:p>
    <w:p w:rsidR="0048626F" w:rsidRPr="0048626F" w:rsidRDefault="0048626F" w:rsidP="0048626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rsidR="0048626F" w:rsidRPr="0048626F" w:rsidRDefault="0048626F" w:rsidP="0048626F">
      <w:pPr>
        <w:spacing w:after="0" w:line="240" w:lineRule="auto"/>
        <w:jc w:val="both"/>
        <w:rPr>
          <w:rFonts w:ascii="Arial" w:eastAsia="Times New Roman" w:hAnsi="Arial" w:cs="Arial"/>
          <w:sz w:val="20"/>
          <w:szCs w:val="20"/>
          <w:lang w:val="es-419" w:eastAsia="es-ES"/>
        </w:rPr>
      </w:pPr>
    </w:p>
    <w:p w:rsidR="0048626F" w:rsidRPr="0048626F" w:rsidRDefault="0048626F" w:rsidP="0048626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48626F" w:rsidRPr="0048626F" w:rsidRDefault="0048626F" w:rsidP="0048626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xml:space="preserve"> </w:t>
      </w:r>
    </w:p>
    <w:p w:rsidR="0048626F" w:rsidRPr="0048626F" w:rsidRDefault="0048626F" w:rsidP="0048626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Ante tal panorama, resulta prevalente, la aplicación al caso, el inciso final del canon 1604 del CC, que atrás se reprodujo.</w:t>
      </w:r>
    </w:p>
    <w:p w:rsidR="0048626F" w:rsidRPr="0048626F" w:rsidRDefault="0048626F" w:rsidP="0048626F">
      <w:pPr>
        <w:spacing w:after="0" w:line="240" w:lineRule="auto"/>
        <w:jc w:val="both"/>
        <w:rPr>
          <w:rFonts w:ascii="Arial" w:eastAsia="Times New Roman" w:hAnsi="Arial" w:cs="Arial"/>
          <w:sz w:val="20"/>
          <w:szCs w:val="20"/>
          <w:lang w:val="es-419" w:eastAsia="es-ES"/>
        </w:rPr>
      </w:pPr>
    </w:p>
    <w:p w:rsidR="00E96EF4" w:rsidRDefault="0048626F" w:rsidP="0048626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E96EF4" w:rsidRDefault="00E96EF4" w:rsidP="00E96EF4">
      <w:pPr>
        <w:spacing w:after="0" w:line="240" w:lineRule="auto"/>
        <w:jc w:val="both"/>
        <w:rPr>
          <w:rFonts w:ascii="Arial" w:eastAsia="Times New Roman" w:hAnsi="Arial" w:cs="Arial"/>
          <w:sz w:val="20"/>
          <w:szCs w:val="20"/>
          <w:lang w:val="es-419" w:eastAsia="es-ES"/>
        </w:rPr>
      </w:pPr>
    </w:p>
    <w:p w:rsidR="00A530CC" w:rsidRPr="00A530CC" w:rsidRDefault="00A530CC" w:rsidP="00E96EF4">
      <w:pPr>
        <w:spacing w:after="0" w:line="240" w:lineRule="auto"/>
        <w:jc w:val="both"/>
        <w:rPr>
          <w:rFonts w:ascii="Arial" w:eastAsia="Times New Roman" w:hAnsi="Arial" w:cs="Arial"/>
          <w:color w:val="FF0000"/>
          <w:sz w:val="20"/>
          <w:szCs w:val="20"/>
          <w:lang w:val="es-419" w:eastAsia="es-ES"/>
        </w:rPr>
      </w:pPr>
      <w:r w:rsidRPr="00A530CC">
        <w:rPr>
          <w:rFonts w:ascii="Arial" w:eastAsia="Times New Roman" w:hAnsi="Arial" w:cs="Arial"/>
          <w:b/>
          <w:color w:val="FF0000"/>
          <w:sz w:val="20"/>
          <w:szCs w:val="20"/>
          <w:lang w:val="es-CO" w:eastAsia="es-ES"/>
        </w:rPr>
        <w:t>SALVAMENTO DE VOTO: DOCTORA OLGA LUCÍA HOYOS SEPÚLVEDA</w:t>
      </w:r>
    </w:p>
    <w:p w:rsidR="00E96EF4" w:rsidRDefault="00E96EF4" w:rsidP="00B10886">
      <w:pPr>
        <w:spacing w:after="0" w:line="240" w:lineRule="auto"/>
        <w:jc w:val="both"/>
        <w:rPr>
          <w:rFonts w:ascii="Arial" w:eastAsia="Times New Roman" w:hAnsi="Arial" w:cs="Arial"/>
          <w:sz w:val="20"/>
          <w:szCs w:val="20"/>
          <w:lang w:val="es-419" w:eastAsia="es-ES"/>
        </w:rPr>
      </w:pPr>
    </w:p>
    <w:p w:rsidR="00A530CC" w:rsidRDefault="00A530CC" w:rsidP="00B10886">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lastRenderedPageBreak/>
        <w:t xml:space="preserve">… </w:t>
      </w:r>
      <w:r w:rsidRPr="00A530CC">
        <w:rPr>
          <w:rFonts w:ascii="Arial" w:eastAsia="Times New Roman" w:hAnsi="Arial" w:cs="Arial"/>
          <w:sz w:val="20"/>
          <w:szCs w:val="20"/>
          <w:lang w:val="es-419" w:eastAsia="es-ES"/>
        </w:rPr>
        <w:t>disiento de la decisión adoptada por la Sala Mayoritaria, en tanto considero debió ser revocada la sentencia objeto de apelación, al carecer la parte actora de legitimación en la causa, como pasa a explicarse:</w:t>
      </w:r>
      <w:r>
        <w:rPr>
          <w:rFonts w:ascii="Arial" w:eastAsia="Times New Roman" w:hAnsi="Arial" w:cs="Arial"/>
          <w:sz w:val="20"/>
          <w:szCs w:val="20"/>
          <w:lang w:val="es-CO" w:eastAsia="es-ES"/>
        </w:rPr>
        <w:t xml:space="preserve"> (…)</w:t>
      </w:r>
    </w:p>
    <w:p w:rsidR="00A530CC" w:rsidRDefault="00A530CC" w:rsidP="00B10886">
      <w:pPr>
        <w:spacing w:after="0" w:line="240" w:lineRule="auto"/>
        <w:jc w:val="both"/>
        <w:rPr>
          <w:rFonts w:ascii="Arial" w:eastAsia="Times New Roman" w:hAnsi="Arial" w:cs="Arial"/>
          <w:sz w:val="20"/>
          <w:szCs w:val="20"/>
          <w:lang w:val="es-CO" w:eastAsia="es-ES"/>
        </w:rPr>
      </w:pPr>
    </w:p>
    <w:p w:rsidR="00660491" w:rsidRPr="00660491" w:rsidRDefault="00660491" w:rsidP="00660491">
      <w:pPr>
        <w:spacing w:after="0" w:line="240" w:lineRule="auto"/>
        <w:jc w:val="both"/>
        <w:rPr>
          <w:rFonts w:ascii="Arial" w:eastAsia="Times New Roman" w:hAnsi="Arial" w:cs="Arial"/>
          <w:sz w:val="20"/>
          <w:szCs w:val="20"/>
          <w:lang w:val="es-CO" w:eastAsia="es-ES"/>
        </w:rPr>
      </w:pPr>
      <w:r w:rsidRPr="00660491">
        <w:rPr>
          <w:rFonts w:ascii="Arial" w:eastAsia="Times New Roman" w:hAnsi="Arial" w:cs="Arial"/>
          <w:sz w:val="20"/>
          <w:szCs w:val="20"/>
          <w:lang w:val="es-CO" w:eastAsia="es-ES"/>
        </w:rPr>
        <w:t>En el presente caso, conforme se manifestó en el libelo –hecho 10–, al actor le fue reconocida la pensión de vejez por Colpensiones  a través de la Resolución 109740 del el 13-06-2011</w:t>
      </w:r>
      <w:r>
        <w:rPr>
          <w:rFonts w:ascii="Arial" w:eastAsia="Times New Roman" w:hAnsi="Arial" w:cs="Arial"/>
          <w:sz w:val="20"/>
          <w:szCs w:val="20"/>
          <w:lang w:val="es-CO" w:eastAsia="es-ES"/>
        </w:rPr>
        <w:t>…</w:t>
      </w:r>
    </w:p>
    <w:p w:rsidR="00660491" w:rsidRPr="00660491" w:rsidRDefault="00660491" w:rsidP="00660491">
      <w:pPr>
        <w:spacing w:after="0" w:line="240" w:lineRule="auto"/>
        <w:jc w:val="both"/>
        <w:rPr>
          <w:rFonts w:ascii="Arial" w:eastAsia="Times New Roman" w:hAnsi="Arial" w:cs="Arial"/>
          <w:sz w:val="20"/>
          <w:szCs w:val="20"/>
          <w:lang w:val="es-CO" w:eastAsia="es-ES"/>
        </w:rPr>
      </w:pPr>
    </w:p>
    <w:p w:rsidR="00660491" w:rsidRPr="00A530CC" w:rsidRDefault="00660491" w:rsidP="00660491">
      <w:pPr>
        <w:spacing w:after="0" w:line="240" w:lineRule="auto"/>
        <w:jc w:val="both"/>
        <w:rPr>
          <w:rFonts w:ascii="Arial" w:eastAsia="Times New Roman" w:hAnsi="Arial" w:cs="Arial"/>
          <w:sz w:val="20"/>
          <w:szCs w:val="20"/>
          <w:lang w:val="es-CO" w:eastAsia="es-ES"/>
        </w:rPr>
      </w:pPr>
      <w:r w:rsidRPr="00660491">
        <w:rPr>
          <w:rFonts w:ascii="Arial" w:eastAsia="Times New Roman" w:hAnsi="Arial" w:cs="Arial"/>
          <w:sz w:val="20"/>
          <w:szCs w:val="20"/>
          <w:lang w:val="es-CO" w:eastAsia="es-ES"/>
        </w:rPr>
        <w:t>En este orden de ideas, no queda duda de la consolidación del riesgo pensional por vejez en el actor, es decir, de su calidad de pensionado, que excluye de entrada la condición de afiliado al Sistema General de Pensiones que lo faculte obtener la ineficacia del traslado del RPM al RAIS a la luz del artículo 13, literal b) de la Ley 100/93; máxime que se pensionó en el RPM.</w:t>
      </w:r>
    </w:p>
    <w:p w:rsidR="00A530CC" w:rsidRDefault="00A530CC" w:rsidP="00B10886">
      <w:pPr>
        <w:spacing w:after="0" w:line="240" w:lineRule="auto"/>
        <w:jc w:val="both"/>
        <w:rPr>
          <w:rFonts w:ascii="Arial" w:eastAsia="Times New Roman" w:hAnsi="Arial" w:cs="Arial"/>
          <w:sz w:val="20"/>
          <w:szCs w:val="20"/>
          <w:lang w:val="es-419" w:eastAsia="es-ES"/>
        </w:rPr>
      </w:pPr>
    </w:p>
    <w:p w:rsidR="00660491" w:rsidRDefault="00660491" w:rsidP="00B10886">
      <w:pPr>
        <w:spacing w:after="0" w:line="240" w:lineRule="auto"/>
        <w:jc w:val="both"/>
        <w:rPr>
          <w:rFonts w:ascii="Arial" w:eastAsia="Times New Roman" w:hAnsi="Arial" w:cs="Arial"/>
          <w:sz w:val="20"/>
          <w:szCs w:val="20"/>
          <w:lang w:val="es-419" w:eastAsia="es-ES"/>
        </w:rPr>
      </w:pPr>
    </w:p>
    <w:p w:rsidR="00E96EF4" w:rsidRDefault="00E96EF4" w:rsidP="00B10886">
      <w:pPr>
        <w:spacing w:after="0" w:line="240" w:lineRule="auto"/>
        <w:jc w:val="both"/>
        <w:rPr>
          <w:rFonts w:ascii="Arial" w:eastAsia="Times New Roman" w:hAnsi="Arial" w:cs="Arial"/>
          <w:sz w:val="20"/>
          <w:szCs w:val="20"/>
          <w:lang w:val="es-419" w:eastAsia="es-ES"/>
        </w:rPr>
      </w:pPr>
    </w:p>
    <w:p w:rsidR="00B10886" w:rsidRPr="00B10886" w:rsidRDefault="00B10886" w:rsidP="00B10886">
      <w:pPr>
        <w:spacing w:after="0" w:line="288" w:lineRule="auto"/>
        <w:jc w:val="center"/>
        <w:rPr>
          <w:rFonts w:ascii="Arial Narrow" w:eastAsia="Times New Roman" w:hAnsi="Arial Narrow" w:cs="Arial"/>
          <w:b/>
          <w:sz w:val="26"/>
          <w:szCs w:val="26"/>
          <w:lang w:eastAsia="es-ES"/>
        </w:rPr>
      </w:pPr>
      <w:r w:rsidRPr="00B10886">
        <w:rPr>
          <w:rFonts w:ascii="Arial Narrow" w:eastAsia="Times New Roman" w:hAnsi="Arial Narrow" w:cs="Arial"/>
          <w:b/>
          <w:sz w:val="26"/>
          <w:szCs w:val="26"/>
          <w:lang w:eastAsia="es-ES"/>
        </w:rPr>
        <w:t>REPÚBLICA DE COLOMBIA</w:t>
      </w:r>
    </w:p>
    <w:p w:rsidR="00B10886" w:rsidRPr="00B10886" w:rsidRDefault="00B10886" w:rsidP="00B10886">
      <w:pPr>
        <w:tabs>
          <w:tab w:val="left" w:pos="3060"/>
        </w:tabs>
        <w:spacing w:after="0" w:line="288" w:lineRule="auto"/>
        <w:jc w:val="center"/>
        <w:rPr>
          <w:rFonts w:ascii="Arial Narrow" w:eastAsia="Times New Roman" w:hAnsi="Arial Narrow" w:cs="Arial"/>
          <w:b/>
          <w:sz w:val="26"/>
          <w:szCs w:val="26"/>
          <w:lang w:val="es-ES_tradnl" w:eastAsia="es-ES"/>
        </w:rPr>
      </w:pPr>
      <w:r w:rsidRPr="00B10886">
        <w:rPr>
          <w:rFonts w:ascii="Arial Narrow" w:eastAsia="Times New Roman" w:hAnsi="Arial Narrow" w:cs="Arial"/>
          <w:b/>
          <w:sz w:val="26"/>
          <w:szCs w:val="26"/>
          <w:lang w:val="es-ES_tradnl" w:eastAsia="es-ES"/>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628582827" r:id="rId8"/>
        </w:object>
      </w:r>
      <w:r w:rsidRPr="00B10886">
        <w:rPr>
          <w:rFonts w:ascii="Arial Narrow" w:eastAsia="Times New Roman" w:hAnsi="Arial Narrow" w:cs="Arial"/>
          <w:b/>
          <w:color w:val="000000"/>
          <w:sz w:val="26"/>
          <w:szCs w:val="26"/>
          <w:lang w:val="es-ES_tradnl" w:eastAsia="es-ES"/>
        </w:rPr>
        <w:br w:type="textWrapping" w:clear="all"/>
      </w:r>
      <w:r w:rsidRPr="00B10886">
        <w:rPr>
          <w:rFonts w:ascii="Arial Narrow" w:eastAsia="Times New Roman" w:hAnsi="Arial Narrow" w:cs="Arial"/>
          <w:b/>
          <w:sz w:val="26"/>
          <w:szCs w:val="26"/>
          <w:lang w:val="es-ES_tradnl" w:eastAsia="es-ES"/>
        </w:rPr>
        <w:t>TRIBUNAL SUPERIOR DE DISTRITO JUDICIAL DE PEREIRA</w:t>
      </w:r>
    </w:p>
    <w:p w:rsidR="00B10886" w:rsidRPr="00B10886" w:rsidRDefault="00B10886" w:rsidP="00B10886">
      <w:pPr>
        <w:keepNext/>
        <w:tabs>
          <w:tab w:val="left" w:pos="8647"/>
        </w:tabs>
        <w:spacing w:after="0" w:line="288" w:lineRule="auto"/>
        <w:jc w:val="center"/>
        <w:outlineLvl w:val="0"/>
        <w:rPr>
          <w:rFonts w:ascii="Arial Narrow" w:eastAsia="Times New Roman" w:hAnsi="Arial Narrow" w:cs="Times New Roman"/>
          <w:b/>
          <w:sz w:val="26"/>
          <w:szCs w:val="26"/>
          <w:lang w:val="es-CO" w:eastAsia="es-ES"/>
        </w:rPr>
      </w:pPr>
      <w:r w:rsidRPr="00B10886">
        <w:rPr>
          <w:rFonts w:ascii="Arial Narrow" w:eastAsia="Times New Roman" w:hAnsi="Arial Narrow" w:cs="Times New Roman"/>
          <w:b/>
          <w:sz w:val="26"/>
          <w:szCs w:val="26"/>
          <w:lang w:val="es-CO" w:eastAsia="es-ES"/>
        </w:rPr>
        <w:t>SALA CUARTA DE DECISIÓN LABORAL</w:t>
      </w:r>
    </w:p>
    <w:p w:rsidR="00B10886" w:rsidRDefault="00B10886" w:rsidP="00B10886">
      <w:pPr>
        <w:spacing w:after="0" w:line="288" w:lineRule="auto"/>
        <w:rPr>
          <w:rFonts w:ascii="Arial Narrow" w:eastAsia="Times New Roman" w:hAnsi="Arial Narrow" w:cs="Times New Roman"/>
          <w:b/>
          <w:sz w:val="26"/>
          <w:szCs w:val="26"/>
          <w:lang w:val="es-ES_tradnl" w:eastAsia="es-ES"/>
        </w:rPr>
      </w:pPr>
    </w:p>
    <w:p w:rsidR="00660491" w:rsidRPr="00B10886" w:rsidRDefault="00660491" w:rsidP="00B10886">
      <w:pPr>
        <w:spacing w:after="0" w:line="288" w:lineRule="auto"/>
        <w:rPr>
          <w:rFonts w:ascii="Arial Narrow" w:eastAsia="Times New Roman" w:hAnsi="Arial Narrow" w:cs="Times New Roman"/>
          <w:b/>
          <w:sz w:val="26"/>
          <w:szCs w:val="26"/>
          <w:lang w:val="es-ES_tradnl" w:eastAsia="es-ES"/>
        </w:rPr>
      </w:pPr>
    </w:p>
    <w:p w:rsidR="00B10886" w:rsidRPr="00B10886" w:rsidRDefault="00B10886" w:rsidP="00B10886">
      <w:pPr>
        <w:spacing w:after="0" w:line="288" w:lineRule="auto"/>
        <w:ind w:firstLine="708"/>
        <w:rPr>
          <w:rFonts w:ascii="Arial Narrow" w:eastAsia="Times New Roman" w:hAnsi="Arial Narrow" w:cs="Arial"/>
          <w:b/>
          <w:spacing w:val="-6"/>
          <w:sz w:val="26"/>
          <w:szCs w:val="26"/>
          <w:lang w:val="es-ES_tradnl" w:eastAsia="es-ES"/>
        </w:rPr>
      </w:pPr>
      <w:r w:rsidRPr="00B10886">
        <w:rPr>
          <w:rFonts w:ascii="Arial Narrow" w:eastAsia="Times New Roman" w:hAnsi="Arial Narrow" w:cs="Arial"/>
          <w:b/>
          <w:spacing w:val="-6"/>
          <w:sz w:val="26"/>
          <w:szCs w:val="26"/>
          <w:u w:val="single"/>
          <w:lang w:val="es-ES_tradnl" w:eastAsia="es-ES"/>
        </w:rPr>
        <w:t>AUDIENCIA PÚBLICA</w:t>
      </w:r>
      <w:r w:rsidRPr="00B10886">
        <w:rPr>
          <w:rFonts w:ascii="Arial Narrow" w:eastAsia="Times New Roman" w:hAnsi="Arial Narrow" w:cs="Arial"/>
          <w:b/>
          <w:spacing w:val="-6"/>
          <w:sz w:val="26"/>
          <w:szCs w:val="26"/>
          <w:lang w:val="es-ES_tradnl" w:eastAsia="es-ES"/>
        </w:rPr>
        <w:t>:</w:t>
      </w:r>
    </w:p>
    <w:p w:rsidR="00B10886" w:rsidRPr="00B10886" w:rsidRDefault="00B10886" w:rsidP="00B10886">
      <w:pPr>
        <w:spacing w:after="0" w:line="288" w:lineRule="auto"/>
        <w:rPr>
          <w:rFonts w:ascii="Arial Narrow" w:eastAsia="Times New Roman" w:hAnsi="Arial Narrow" w:cs="Arial"/>
          <w:sz w:val="26"/>
          <w:szCs w:val="26"/>
          <w:lang w:val="es-ES_tradnl" w:eastAsia="es-ES"/>
        </w:rPr>
      </w:pPr>
    </w:p>
    <w:p w:rsidR="00667280" w:rsidRPr="002615D7" w:rsidRDefault="00667280" w:rsidP="002615D7">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2615D7">
        <w:rPr>
          <w:rFonts w:ascii="Arial Narrow" w:eastAsia="Times New Roman" w:hAnsi="Arial Narrow" w:cs="Segoe UI"/>
          <w:color w:val="212121"/>
          <w:spacing w:val="-6"/>
          <w:sz w:val="26"/>
          <w:szCs w:val="26"/>
          <w:lang w:eastAsia="es-ES"/>
        </w:rPr>
        <w:t>En Pereira, a los once (11) días del mes de julio de dos mil diecinueve (2019), siendo las nueve y cuarenta y cinco de la mañana (9.45 a.m.), las magistradas y el magistrado de la Sala de Decisión N. 4 de la Sala Laboral del Tribunal Superior de Pereira, declaran abierto el acto, que tiene por objeto resolver los recursos de apelación interpuestos por las partes   contra de la sentencia proferida el 25 de octubre de 2018 por el Juzgado Cuarto Laboral del Circuito de Pereira, dentro del proceso ordinario laboral promovido por </w:t>
      </w:r>
      <w:r w:rsidRPr="002615D7">
        <w:rPr>
          <w:rFonts w:ascii="Arial Narrow" w:eastAsia="Times New Roman" w:hAnsi="Arial Narrow" w:cs="Segoe UI"/>
          <w:b/>
          <w:bCs/>
          <w:color w:val="212121"/>
          <w:spacing w:val="-6"/>
          <w:sz w:val="26"/>
          <w:szCs w:val="26"/>
          <w:lang w:eastAsia="es-ES"/>
        </w:rPr>
        <w:t xml:space="preserve">Jorge Enrique Hincapié Mora </w:t>
      </w:r>
      <w:r w:rsidRPr="002615D7">
        <w:rPr>
          <w:rFonts w:ascii="Arial Narrow" w:eastAsia="Times New Roman" w:hAnsi="Arial Narrow" w:cs="Segoe UI"/>
          <w:color w:val="212121"/>
          <w:spacing w:val="-6"/>
          <w:sz w:val="26"/>
          <w:szCs w:val="26"/>
          <w:lang w:eastAsia="es-ES"/>
        </w:rPr>
        <w:t>contra la </w:t>
      </w:r>
      <w:r w:rsidRPr="002615D7">
        <w:rPr>
          <w:rFonts w:ascii="Arial Narrow" w:eastAsia="Times New Roman" w:hAnsi="Arial Narrow" w:cs="Segoe UI"/>
          <w:b/>
          <w:bCs/>
          <w:color w:val="212121"/>
          <w:spacing w:val="-6"/>
          <w:sz w:val="26"/>
          <w:szCs w:val="26"/>
          <w:lang w:eastAsia="es-ES"/>
        </w:rPr>
        <w:t xml:space="preserve">Administradora Colombiana de Pensiones Colpensiones </w:t>
      </w:r>
      <w:r w:rsidRPr="002615D7">
        <w:rPr>
          <w:rFonts w:ascii="Arial Narrow" w:eastAsia="Times New Roman" w:hAnsi="Arial Narrow" w:cs="Segoe UI"/>
          <w:bCs/>
          <w:color w:val="212121"/>
          <w:spacing w:val="-6"/>
          <w:sz w:val="26"/>
          <w:szCs w:val="26"/>
          <w:lang w:eastAsia="es-ES"/>
        </w:rPr>
        <w:t>y la</w:t>
      </w:r>
      <w:r w:rsidRPr="002615D7">
        <w:rPr>
          <w:rFonts w:ascii="Arial Narrow" w:eastAsia="Times New Roman" w:hAnsi="Arial Narrow" w:cs="Segoe UI"/>
          <w:b/>
          <w:bCs/>
          <w:color w:val="212121"/>
          <w:spacing w:val="-6"/>
          <w:sz w:val="26"/>
          <w:szCs w:val="26"/>
          <w:lang w:eastAsia="es-ES"/>
        </w:rPr>
        <w:t xml:space="preserve"> AFP Colfondos S.A.</w:t>
      </w:r>
    </w:p>
    <w:p w:rsidR="00667280" w:rsidRDefault="00667280" w:rsidP="002615D7">
      <w:pPr>
        <w:pStyle w:val="Sinespaciado"/>
        <w:spacing w:line="288" w:lineRule="auto"/>
        <w:rPr>
          <w:rFonts w:ascii="Arial Narrow" w:hAnsi="Arial Narrow"/>
          <w:spacing w:val="-6"/>
          <w:sz w:val="26"/>
          <w:szCs w:val="26"/>
          <w:lang w:eastAsia="es-ES"/>
        </w:rPr>
      </w:pPr>
    </w:p>
    <w:p w:rsidR="00660491" w:rsidRPr="002615D7" w:rsidRDefault="00660491" w:rsidP="002615D7">
      <w:pPr>
        <w:pStyle w:val="Sinespaciado"/>
        <w:spacing w:line="288" w:lineRule="auto"/>
        <w:rPr>
          <w:rFonts w:ascii="Arial Narrow" w:hAnsi="Arial Narrow"/>
          <w:spacing w:val="-6"/>
          <w:sz w:val="26"/>
          <w:szCs w:val="26"/>
          <w:lang w:eastAsia="es-ES"/>
        </w:rPr>
      </w:pPr>
    </w:p>
    <w:p w:rsidR="00667280" w:rsidRPr="002615D7" w:rsidRDefault="00667280" w:rsidP="002615D7">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2615D7">
        <w:rPr>
          <w:rFonts w:ascii="Arial Narrow" w:eastAsia="Times New Roman" w:hAnsi="Arial Narrow" w:cs="Segoe UI"/>
          <w:b/>
          <w:bCs/>
          <w:color w:val="212121"/>
          <w:spacing w:val="-6"/>
          <w:sz w:val="26"/>
          <w:szCs w:val="26"/>
          <w:lang w:eastAsia="es-ES"/>
        </w:rPr>
        <w:t>IDENTIFICACIÓN DE LOS PRESENTES:</w:t>
      </w:r>
    </w:p>
    <w:p w:rsidR="00667280" w:rsidRDefault="00667280" w:rsidP="002615D7">
      <w:pPr>
        <w:pStyle w:val="Sinespaciado"/>
        <w:spacing w:line="288" w:lineRule="auto"/>
        <w:rPr>
          <w:rFonts w:ascii="Arial Narrow" w:hAnsi="Arial Narrow"/>
          <w:spacing w:val="-6"/>
          <w:sz w:val="26"/>
          <w:szCs w:val="26"/>
          <w:lang w:eastAsia="es-ES"/>
        </w:rPr>
      </w:pPr>
    </w:p>
    <w:p w:rsidR="00267D68" w:rsidRPr="002615D7" w:rsidRDefault="00267D68" w:rsidP="002615D7">
      <w:pPr>
        <w:pStyle w:val="Sinespaciado"/>
        <w:spacing w:line="288" w:lineRule="auto"/>
        <w:rPr>
          <w:rFonts w:ascii="Arial Narrow" w:hAnsi="Arial Narrow"/>
          <w:spacing w:val="-6"/>
          <w:sz w:val="26"/>
          <w:szCs w:val="26"/>
          <w:lang w:eastAsia="es-ES"/>
        </w:rPr>
      </w:pPr>
    </w:p>
    <w:p w:rsidR="00667280" w:rsidRPr="002615D7" w:rsidRDefault="00667280" w:rsidP="002615D7">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2615D7">
        <w:rPr>
          <w:rFonts w:ascii="Arial Narrow" w:eastAsia="Times New Roman" w:hAnsi="Arial Narrow" w:cs="Segoe UI"/>
          <w:b/>
          <w:bCs/>
          <w:color w:val="212121"/>
          <w:spacing w:val="-6"/>
          <w:sz w:val="26"/>
          <w:szCs w:val="26"/>
          <w:lang w:eastAsia="es-ES"/>
        </w:rPr>
        <w:t>ANTECEDENTES</w:t>
      </w:r>
    </w:p>
    <w:p w:rsidR="00667280" w:rsidRPr="002615D7" w:rsidRDefault="00667280"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ab/>
      </w:r>
    </w:p>
    <w:p w:rsidR="00667280" w:rsidRPr="002615D7" w:rsidRDefault="00667280"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 xml:space="preserve">Pretende el demandante se declare la nulidad o la ineficacia del traslado al régimen de ahorro individual con solidaridad efectuado a través de la AFP Colfondos S.A. y, en consecuencia, se declare que es beneficiario del régimen de transición previsto en el artículo 36 de la Ley 100/93, y en tal calidad tiene derecho a que Colpensiones le </w:t>
      </w:r>
      <w:proofErr w:type="spellStart"/>
      <w:r w:rsidR="000B4D72" w:rsidRPr="002615D7">
        <w:rPr>
          <w:rFonts w:ascii="Arial Narrow" w:hAnsi="Arial Narrow" w:cs="Arial"/>
          <w:spacing w:val="-6"/>
          <w:sz w:val="26"/>
          <w:szCs w:val="26"/>
        </w:rPr>
        <w:t>reliquide</w:t>
      </w:r>
      <w:proofErr w:type="spellEnd"/>
      <w:r w:rsidRPr="002615D7">
        <w:rPr>
          <w:rFonts w:ascii="Arial Narrow" w:hAnsi="Arial Narrow" w:cs="Arial"/>
          <w:spacing w:val="-6"/>
          <w:sz w:val="26"/>
          <w:szCs w:val="26"/>
        </w:rPr>
        <w:t xml:space="preserve"> la pensión de vejez </w:t>
      </w:r>
      <w:r w:rsidR="000B4D72" w:rsidRPr="002615D7">
        <w:rPr>
          <w:rFonts w:ascii="Arial Narrow" w:hAnsi="Arial Narrow" w:cs="Arial"/>
          <w:spacing w:val="-6"/>
          <w:sz w:val="26"/>
          <w:szCs w:val="26"/>
        </w:rPr>
        <w:t xml:space="preserve">en aplicación al Acuerdo 049/90, con una tasa de remplazo del 90 % y </w:t>
      </w:r>
      <w:r w:rsidRPr="002615D7">
        <w:rPr>
          <w:rFonts w:ascii="Arial Narrow" w:hAnsi="Arial Narrow" w:cs="Arial"/>
          <w:spacing w:val="-6"/>
          <w:sz w:val="26"/>
          <w:szCs w:val="26"/>
        </w:rPr>
        <w:t>a partir del 1º de junio de 2011, junto con la indexación y, las costas procesales</w:t>
      </w:r>
      <w:r w:rsidR="000B4D72" w:rsidRPr="002615D7">
        <w:rPr>
          <w:rFonts w:ascii="Arial Narrow" w:hAnsi="Arial Narrow" w:cs="Arial"/>
          <w:spacing w:val="-6"/>
          <w:sz w:val="26"/>
          <w:szCs w:val="26"/>
        </w:rPr>
        <w:t xml:space="preserve"> </w:t>
      </w:r>
      <w:r w:rsidRPr="002615D7">
        <w:rPr>
          <w:rFonts w:ascii="Arial Narrow" w:hAnsi="Arial Narrow" w:cs="Arial"/>
          <w:spacing w:val="-6"/>
          <w:sz w:val="26"/>
          <w:szCs w:val="26"/>
        </w:rPr>
        <w:t xml:space="preserve">a su favor. </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tabs>
          <w:tab w:val="left" w:pos="6255"/>
        </w:tabs>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 xml:space="preserve">Como fundamento a esos pedimentos, expone que nació el 26 de abril de 1950, </w:t>
      </w:r>
      <w:r w:rsidR="000B4D72" w:rsidRPr="002615D7">
        <w:rPr>
          <w:rFonts w:ascii="Arial Narrow" w:hAnsi="Arial Narrow" w:cs="Arial"/>
          <w:spacing w:val="-6"/>
          <w:sz w:val="26"/>
          <w:szCs w:val="26"/>
        </w:rPr>
        <w:t xml:space="preserve">que se afilió al </w:t>
      </w:r>
      <w:r w:rsidRPr="002615D7">
        <w:rPr>
          <w:rFonts w:ascii="Arial Narrow" w:hAnsi="Arial Narrow" w:cs="Arial"/>
          <w:spacing w:val="-6"/>
          <w:sz w:val="26"/>
          <w:szCs w:val="26"/>
        </w:rPr>
        <w:t>régimen de prima media con prestación definida en el mes de diciembre de 1967;</w:t>
      </w:r>
      <w:r w:rsidR="000B4D72" w:rsidRPr="002615D7">
        <w:rPr>
          <w:rFonts w:ascii="Arial Narrow" w:hAnsi="Arial Narrow" w:cs="Arial"/>
          <w:spacing w:val="-6"/>
          <w:sz w:val="26"/>
          <w:szCs w:val="26"/>
        </w:rPr>
        <w:t xml:space="preserve"> que el 28</w:t>
      </w:r>
      <w:r w:rsidRPr="002615D7">
        <w:rPr>
          <w:rFonts w:ascii="Arial Narrow" w:hAnsi="Arial Narrow" w:cs="Arial"/>
          <w:spacing w:val="-6"/>
          <w:sz w:val="26"/>
          <w:szCs w:val="26"/>
        </w:rPr>
        <w:t xml:space="preserve"> de enero de 2004 se trasladó al RAIS a través de </w:t>
      </w:r>
      <w:r w:rsidR="000B4D72" w:rsidRPr="002615D7">
        <w:rPr>
          <w:rFonts w:ascii="Arial Narrow" w:hAnsi="Arial Narrow" w:cs="Arial"/>
          <w:spacing w:val="-6"/>
          <w:sz w:val="26"/>
          <w:szCs w:val="26"/>
        </w:rPr>
        <w:t>la</w:t>
      </w:r>
      <w:r w:rsidRPr="002615D7">
        <w:rPr>
          <w:rFonts w:ascii="Arial Narrow" w:hAnsi="Arial Narrow" w:cs="Arial"/>
          <w:spacing w:val="-6"/>
          <w:sz w:val="26"/>
          <w:szCs w:val="26"/>
        </w:rPr>
        <w:t xml:space="preserve"> afiliación a la AFP Colfondos S.A., sin embargo, dicha entidad no le advirtió sobre las consecuencias que ello acarrearía, esto es, la pérdida del régimen de transición </w:t>
      </w:r>
      <w:r w:rsidRPr="002615D7">
        <w:rPr>
          <w:rFonts w:ascii="Arial Narrow" w:hAnsi="Arial Narrow" w:cs="Arial"/>
          <w:spacing w:val="-6"/>
          <w:sz w:val="26"/>
          <w:szCs w:val="26"/>
        </w:rPr>
        <w:lastRenderedPageBreak/>
        <w:t xml:space="preserve">establecido en el artículo 36 de la Ley 100 de 1993; </w:t>
      </w:r>
      <w:r w:rsidR="000B4D72" w:rsidRPr="002615D7">
        <w:rPr>
          <w:rFonts w:ascii="Arial Narrow" w:hAnsi="Arial Narrow" w:cs="Arial"/>
          <w:spacing w:val="-6"/>
          <w:sz w:val="26"/>
          <w:szCs w:val="26"/>
        </w:rPr>
        <w:t xml:space="preserve">que </w:t>
      </w:r>
      <w:r w:rsidRPr="002615D7">
        <w:rPr>
          <w:rFonts w:ascii="Arial Narrow" w:hAnsi="Arial Narrow" w:cs="Arial"/>
          <w:spacing w:val="-6"/>
          <w:sz w:val="26"/>
          <w:szCs w:val="26"/>
        </w:rPr>
        <w:t>el 29 de enero de 2010 retornó al RPM afiliándose nuevamente al extinto ISS hoy Colpensiones, siéndole reconocida la pensión de vejez en ese régimen mediante la resolución N° 109740 de 13 de junio de 2011, con base en las disposiciones previstas en la Ley 797 de 2003;</w:t>
      </w:r>
      <w:r w:rsidR="000B4D72" w:rsidRPr="002615D7">
        <w:rPr>
          <w:rFonts w:ascii="Arial Narrow" w:hAnsi="Arial Narrow" w:cs="Arial"/>
          <w:spacing w:val="-6"/>
          <w:sz w:val="26"/>
          <w:szCs w:val="26"/>
        </w:rPr>
        <w:t xml:space="preserve"> que </w:t>
      </w:r>
      <w:r w:rsidRPr="002615D7">
        <w:rPr>
          <w:rFonts w:ascii="Arial Narrow" w:hAnsi="Arial Narrow" w:cs="Arial"/>
          <w:spacing w:val="-6"/>
          <w:sz w:val="26"/>
          <w:szCs w:val="26"/>
        </w:rPr>
        <w:t xml:space="preserve">la decisión adoptada por el otrora ISS fue confirmada en la resolución N° GNR 191438 de 24 de julio de 2013; </w:t>
      </w:r>
      <w:r w:rsidR="000B4D72" w:rsidRPr="002615D7">
        <w:rPr>
          <w:rFonts w:ascii="Arial Narrow" w:hAnsi="Arial Narrow" w:cs="Arial"/>
          <w:spacing w:val="-6"/>
          <w:sz w:val="26"/>
          <w:szCs w:val="26"/>
        </w:rPr>
        <w:t xml:space="preserve">que </w:t>
      </w:r>
      <w:r w:rsidRPr="002615D7">
        <w:rPr>
          <w:rFonts w:ascii="Arial Narrow" w:hAnsi="Arial Narrow" w:cs="Arial"/>
          <w:spacing w:val="-6"/>
          <w:sz w:val="26"/>
          <w:szCs w:val="26"/>
        </w:rPr>
        <w:t xml:space="preserve">el 9 de mayo de 2014 solicitó a Colpensiones </w:t>
      </w:r>
      <w:r w:rsidR="000B4D72" w:rsidRPr="002615D7">
        <w:rPr>
          <w:rFonts w:ascii="Arial Narrow" w:hAnsi="Arial Narrow" w:cs="Arial"/>
          <w:spacing w:val="-6"/>
          <w:sz w:val="26"/>
          <w:szCs w:val="26"/>
        </w:rPr>
        <w:t xml:space="preserve">el </w:t>
      </w:r>
      <w:r w:rsidRPr="002615D7">
        <w:rPr>
          <w:rFonts w:ascii="Arial Narrow" w:hAnsi="Arial Narrow" w:cs="Arial"/>
          <w:spacing w:val="-6"/>
          <w:sz w:val="26"/>
          <w:szCs w:val="26"/>
        </w:rPr>
        <w:t xml:space="preserve">reajuste de la pensión de vejez, sin embargo, en la resolución N° GNR 378365 se incluyó más tiempo de servicio, pero no se </w:t>
      </w:r>
      <w:r w:rsidR="000B4D72" w:rsidRPr="002615D7">
        <w:rPr>
          <w:rFonts w:ascii="Arial Narrow" w:hAnsi="Arial Narrow" w:cs="Arial"/>
          <w:spacing w:val="-6"/>
          <w:sz w:val="26"/>
          <w:szCs w:val="26"/>
        </w:rPr>
        <w:t xml:space="preserve">accedió a la </w:t>
      </w:r>
      <w:r w:rsidRPr="002615D7">
        <w:rPr>
          <w:rFonts w:ascii="Arial Narrow" w:hAnsi="Arial Narrow" w:cs="Arial"/>
          <w:spacing w:val="-6"/>
          <w:sz w:val="26"/>
          <w:szCs w:val="26"/>
        </w:rPr>
        <w:t xml:space="preserve">reliquidación con base en el Acuerdo 049 de 1990; </w:t>
      </w:r>
      <w:r w:rsidR="000B4D72" w:rsidRPr="002615D7">
        <w:rPr>
          <w:rFonts w:ascii="Arial Narrow" w:hAnsi="Arial Narrow" w:cs="Arial"/>
          <w:spacing w:val="-6"/>
          <w:sz w:val="26"/>
          <w:szCs w:val="26"/>
        </w:rPr>
        <w:t xml:space="preserve">que el 27 de enero de 2015 solicitó </w:t>
      </w:r>
      <w:r w:rsidRPr="002615D7">
        <w:rPr>
          <w:rFonts w:ascii="Arial Narrow" w:hAnsi="Arial Narrow" w:cs="Arial"/>
          <w:spacing w:val="-6"/>
          <w:sz w:val="26"/>
          <w:szCs w:val="26"/>
        </w:rPr>
        <w:t xml:space="preserve">nuevamente reajuste de la pensión, </w:t>
      </w:r>
      <w:r w:rsidR="000B4D72" w:rsidRPr="002615D7">
        <w:rPr>
          <w:rFonts w:ascii="Arial Narrow" w:hAnsi="Arial Narrow" w:cs="Arial"/>
          <w:spacing w:val="-6"/>
          <w:sz w:val="26"/>
          <w:szCs w:val="26"/>
        </w:rPr>
        <w:t xml:space="preserve">siendo </w:t>
      </w:r>
      <w:r w:rsidRPr="002615D7">
        <w:rPr>
          <w:rFonts w:ascii="Arial Narrow" w:hAnsi="Arial Narrow" w:cs="Arial"/>
          <w:spacing w:val="-6"/>
          <w:sz w:val="26"/>
          <w:szCs w:val="26"/>
        </w:rPr>
        <w:t xml:space="preserve">resuelta negativamente en la resolución N° GNR 62122 de 2015 </w:t>
      </w:r>
      <w:r w:rsidR="000B4D72" w:rsidRPr="002615D7">
        <w:rPr>
          <w:rFonts w:ascii="Arial Narrow" w:hAnsi="Arial Narrow" w:cs="Arial"/>
          <w:spacing w:val="-6"/>
          <w:sz w:val="26"/>
          <w:szCs w:val="26"/>
        </w:rPr>
        <w:t xml:space="preserve">y </w:t>
      </w:r>
      <w:r w:rsidRPr="002615D7">
        <w:rPr>
          <w:rFonts w:ascii="Arial Narrow" w:hAnsi="Arial Narrow" w:cs="Arial"/>
          <w:spacing w:val="-6"/>
          <w:sz w:val="26"/>
          <w:szCs w:val="26"/>
        </w:rPr>
        <w:t>confirmada en las resoluciones GNR 227792 y VPB 63787 de 2015.</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0B4D72"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 xml:space="preserve">Admitida la demanda, </w:t>
      </w:r>
      <w:r w:rsidR="00667280" w:rsidRPr="002615D7">
        <w:rPr>
          <w:rFonts w:ascii="Arial Narrow" w:hAnsi="Arial Narrow" w:cs="Arial"/>
          <w:spacing w:val="-6"/>
          <w:sz w:val="26"/>
          <w:szCs w:val="26"/>
        </w:rPr>
        <w:t>Colpensiones</w:t>
      </w:r>
      <w:r w:rsidRPr="002615D7">
        <w:rPr>
          <w:rFonts w:ascii="Arial Narrow" w:hAnsi="Arial Narrow" w:cs="Arial"/>
          <w:spacing w:val="-6"/>
          <w:sz w:val="26"/>
          <w:szCs w:val="26"/>
        </w:rPr>
        <w:t xml:space="preserve"> se pronunció a través de su vocero judicial indicando que </w:t>
      </w:r>
      <w:r w:rsidR="003A4E8F" w:rsidRPr="002615D7">
        <w:rPr>
          <w:rFonts w:ascii="Arial Narrow" w:hAnsi="Arial Narrow" w:cs="Arial"/>
          <w:spacing w:val="-6"/>
          <w:sz w:val="26"/>
          <w:szCs w:val="26"/>
        </w:rPr>
        <w:t xml:space="preserve">se opone a todas y cada una de las pretensiones, al considerar que carecen de fundamento fáctico y legal, y en su defensa propone como medios exceptivos de fondo los de “Saneamiento de una presunta nulidad”, “Validez de la afiliación al RAIS” y “Prescripción”, ver folios 92 a 100. </w:t>
      </w:r>
      <w:r w:rsidR="00667280" w:rsidRPr="002615D7">
        <w:rPr>
          <w:rFonts w:ascii="Arial Narrow" w:hAnsi="Arial Narrow" w:cs="Arial"/>
          <w:spacing w:val="-6"/>
          <w:sz w:val="26"/>
          <w:szCs w:val="26"/>
        </w:rPr>
        <w:t xml:space="preserve"> </w:t>
      </w:r>
    </w:p>
    <w:p w:rsidR="00667280" w:rsidRPr="002615D7" w:rsidRDefault="00667280" w:rsidP="002615D7">
      <w:pPr>
        <w:pStyle w:val="Sinespaciado"/>
        <w:spacing w:line="288" w:lineRule="auto"/>
        <w:rPr>
          <w:rFonts w:ascii="Arial Narrow" w:hAnsi="Arial Narrow"/>
          <w:spacing w:val="-6"/>
          <w:sz w:val="26"/>
          <w:szCs w:val="26"/>
        </w:rPr>
      </w:pPr>
    </w:p>
    <w:p w:rsidR="003A4E8F" w:rsidRPr="002615D7" w:rsidRDefault="003A4E8F"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Por su parte, l</w:t>
      </w:r>
      <w:r w:rsidR="00667280" w:rsidRPr="002615D7">
        <w:rPr>
          <w:rFonts w:ascii="Arial Narrow" w:hAnsi="Arial Narrow" w:cs="Arial"/>
          <w:spacing w:val="-6"/>
          <w:sz w:val="26"/>
          <w:szCs w:val="26"/>
        </w:rPr>
        <w:t xml:space="preserve">a AFP Colfondos S.A. </w:t>
      </w:r>
      <w:r w:rsidRPr="002615D7">
        <w:rPr>
          <w:rFonts w:ascii="Arial Narrow" w:hAnsi="Arial Narrow" w:cs="Arial"/>
          <w:spacing w:val="-6"/>
          <w:sz w:val="26"/>
          <w:szCs w:val="26"/>
        </w:rPr>
        <w:t xml:space="preserve">a través de su mandatario judicial </w:t>
      </w:r>
      <w:r w:rsidR="00667280" w:rsidRPr="002615D7">
        <w:rPr>
          <w:rFonts w:ascii="Arial Narrow" w:hAnsi="Arial Narrow" w:cs="Arial"/>
          <w:spacing w:val="-6"/>
          <w:sz w:val="26"/>
          <w:szCs w:val="26"/>
        </w:rPr>
        <w:t xml:space="preserve">se opuso igualmente </w:t>
      </w:r>
      <w:r w:rsidRPr="002615D7">
        <w:rPr>
          <w:rFonts w:ascii="Arial Narrow" w:hAnsi="Arial Narrow" w:cs="Arial"/>
          <w:spacing w:val="-6"/>
          <w:sz w:val="26"/>
          <w:szCs w:val="26"/>
        </w:rPr>
        <w:t xml:space="preserve">a las pretensiones, arguyendo que el traslado efectuado por el señor Hincapié Mora se hizo bajo los postulados establecidos en la Ley, habiéndosele brindado una información completa, veraz y oportuna respecto de las características de cada uno de los dos regímenes pensionales y en particular sobre las consecuencias que ello traería. Como excepciones de fondo propuso las de </w:t>
      </w:r>
      <w:r w:rsidR="00667280" w:rsidRPr="002615D7">
        <w:rPr>
          <w:rFonts w:ascii="Arial Narrow" w:hAnsi="Arial Narrow" w:cs="Arial"/>
          <w:spacing w:val="-6"/>
          <w:sz w:val="26"/>
          <w:szCs w:val="26"/>
        </w:rPr>
        <w:t>y formuló como excepciones de mérito: “Validez de la afiliación a Colfondos  e Inexistencia de vicios en el consentimiento”, “</w:t>
      </w:r>
      <w:r w:rsidRPr="002615D7">
        <w:rPr>
          <w:rFonts w:ascii="Arial Narrow" w:hAnsi="Arial Narrow" w:cs="Arial"/>
          <w:spacing w:val="-6"/>
          <w:sz w:val="26"/>
          <w:szCs w:val="26"/>
        </w:rPr>
        <w:t>Saneamiento de la supuesta nulidad relativa”, “Pago”, “Compensación”, “Prescripción” y  “Buena fe”, ver folios 152 a 168.</w:t>
      </w:r>
    </w:p>
    <w:p w:rsidR="003A4E8F" w:rsidRDefault="003A4E8F" w:rsidP="002615D7">
      <w:pPr>
        <w:spacing w:after="0" w:line="288" w:lineRule="auto"/>
        <w:ind w:firstLine="708"/>
        <w:jc w:val="both"/>
        <w:rPr>
          <w:rFonts w:ascii="Arial Narrow" w:hAnsi="Arial Narrow" w:cs="Arial"/>
          <w:spacing w:val="-6"/>
          <w:sz w:val="26"/>
          <w:szCs w:val="26"/>
        </w:rPr>
      </w:pPr>
    </w:p>
    <w:p w:rsidR="00660491" w:rsidRPr="002615D7" w:rsidRDefault="00660491" w:rsidP="002615D7">
      <w:pPr>
        <w:spacing w:after="0" w:line="288" w:lineRule="auto"/>
        <w:ind w:firstLine="708"/>
        <w:jc w:val="both"/>
        <w:rPr>
          <w:rFonts w:ascii="Arial Narrow" w:hAnsi="Arial Narrow" w:cs="Arial"/>
          <w:spacing w:val="-6"/>
          <w:sz w:val="26"/>
          <w:szCs w:val="26"/>
        </w:rPr>
      </w:pPr>
    </w:p>
    <w:p w:rsidR="003A4E8F" w:rsidRPr="002615D7" w:rsidRDefault="003A4E8F" w:rsidP="002615D7">
      <w:pPr>
        <w:spacing w:after="0" w:line="288" w:lineRule="auto"/>
        <w:ind w:firstLine="708"/>
        <w:jc w:val="both"/>
        <w:rPr>
          <w:rFonts w:ascii="Arial Narrow" w:hAnsi="Arial Narrow" w:cs="Arial"/>
          <w:b/>
          <w:i/>
          <w:spacing w:val="-6"/>
          <w:sz w:val="26"/>
          <w:szCs w:val="26"/>
        </w:rPr>
      </w:pPr>
      <w:r w:rsidRPr="002615D7">
        <w:rPr>
          <w:rFonts w:ascii="Arial Narrow" w:hAnsi="Arial Narrow" w:cs="Arial"/>
          <w:b/>
          <w:i/>
          <w:spacing w:val="-6"/>
          <w:sz w:val="26"/>
          <w:szCs w:val="26"/>
        </w:rPr>
        <w:t xml:space="preserve">SENTENCIA DEL JUZGADO </w:t>
      </w:r>
    </w:p>
    <w:p w:rsidR="003A4E8F" w:rsidRDefault="003A4E8F" w:rsidP="002615D7">
      <w:pPr>
        <w:pStyle w:val="Sinespaciado"/>
        <w:spacing w:line="288" w:lineRule="auto"/>
        <w:rPr>
          <w:rFonts w:ascii="Arial Narrow" w:hAnsi="Arial Narrow"/>
          <w:spacing w:val="-6"/>
          <w:sz w:val="26"/>
          <w:szCs w:val="26"/>
        </w:rPr>
      </w:pPr>
    </w:p>
    <w:p w:rsidR="00267D68" w:rsidRPr="002615D7" w:rsidRDefault="00267D68" w:rsidP="002615D7">
      <w:pPr>
        <w:pStyle w:val="Sinespaciado"/>
        <w:spacing w:line="288" w:lineRule="auto"/>
        <w:rPr>
          <w:rFonts w:ascii="Arial Narrow" w:hAnsi="Arial Narrow"/>
          <w:spacing w:val="-6"/>
          <w:sz w:val="26"/>
          <w:szCs w:val="26"/>
        </w:rPr>
      </w:pPr>
    </w:p>
    <w:p w:rsidR="00E32877" w:rsidRPr="002615D7" w:rsidRDefault="003A4E8F"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 xml:space="preserve">El Juez </w:t>
      </w:r>
      <w:r w:rsidR="00667280" w:rsidRPr="002615D7">
        <w:rPr>
          <w:rFonts w:ascii="Arial Narrow" w:hAnsi="Arial Narrow" w:cs="Arial"/>
          <w:spacing w:val="-6"/>
          <w:sz w:val="26"/>
          <w:szCs w:val="26"/>
        </w:rPr>
        <w:t>del conocimiento profirió sentencia el</w:t>
      </w:r>
      <w:r w:rsidRPr="002615D7">
        <w:rPr>
          <w:rFonts w:ascii="Arial Narrow" w:hAnsi="Arial Narrow" w:cs="Arial"/>
          <w:spacing w:val="-6"/>
          <w:sz w:val="26"/>
          <w:szCs w:val="26"/>
        </w:rPr>
        <w:t xml:space="preserve"> 25 de octubre de 2018</w:t>
      </w:r>
      <w:r w:rsidR="00667280" w:rsidRPr="002615D7">
        <w:rPr>
          <w:rFonts w:ascii="Arial Narrow" w:hAnsi="Arial Narrow" w:cs="Arial"/>
          <w:spacing w:val="-6"/>
          <w:sz w:val="26"/>
          <w:szCs w:val="26"/>
        </w:rPr>
        <w:t>, en la que accedió</w:t>
      </w:r>
      <w:r w:rsidRPr="002615D7">
        <w:rPr>
          <w:rFonts w:ascii="Arial Narrow" w:hAnsi="Arial Narrow" w:cs="Arial"/>
          <w:spacing w:val="-6"/>
          <w:sz w:val="26"/>
          <w:szCs w:val="26"/>
        </w:rPr>
        <w:t xml:space="preserve"> parcialmente </w:t>
      </w:r>
      <w:r w:rsidR="00667280" w:rsidRPr="002615D7">
        <w:rPr>
          <w:rFonts w:ascii="Arial Narrow" w:hAnsi="Arial Narrow" w:cs="Arial"/>
          <w:spacing w:val="-6"/>
          <w:sz w:val="26"/>
          <w:szCs w:val="26"/>
        </w:rPr>
        <w:t xml:space="preserve">a las pretensiones de la demanda, al considerar que </w:t>
      </w:r>
      <w:r w:rsidR="00E32877" w:rsidRPr="002615D7">
        <w:rPr>
          <w:rFonts w:ascii="Arial Narrow" w:hAnsi="Arial Narrow" w:cs="Arial"/>
          <w:spacing w:val="-6"/>
          <w:sz w:val="26"/>
          <w:szCs w:val="26"/>
        </w:rPr>
        <w:t>al ser el actor beneficiario del régimen de transición, por contar con más de 40 años al 1º de abril de 1994, la carga de la prueba se invierte, correspondiéndole a la AFP acreditar que le brindó al afiliado la información necesaria para tomar una decisión libre y voluntaria, circunstancia que a su juicio, no se desprende del material probatorio recaudado en la actuación, por lo que declaró ineficaz el traslado al RAIS efectuado por el actor el 28 de enero de 2004.</w:t>
      </w:r>
    </w:p>
    <w:p w:rsidR="00E32877" w:rsidRPr="002615D7" w:rsidRDefault="00E32877"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ab/>
      </w:r>
    </w:p>
    <w:p w:rsidR="00D834CA" w:rsidRPr="002615D7" w:rsidRDefault="00E32877"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 xml:space="preserve">De otra parte, estimó que </w:t>
      </w:r>
      <w:r w:rsidR="00D834CA" w:rsidRPr="002615D7">
        <w:rPr>
          <w:rFonts w:ascii="Arial Narrow" w:hAnsi="Arial Narrow" w:cs="Arial"/>
          <w:spacing w:val="-6"/>
          <w:sz w:val="26"/>
          <w:szCs w:val="26"/>
        </w:rPr>
        <w:t xml:space="preserve">la norma aplicable a la situación pensional del actor es la Ley 71 de 1988, por tener tiempos de servicios en el sector público y el privado, por lo que dispuso </w:t>
      </w:r>
      <w:proofErr w:type="spellStart"/>
      <w:r w:rsidR="00D834CA" w:rsidRPr="002615D7">
        <w:rPr>
          <w:rFonts w:ascii="Arial Narrow" w:hAnsi="Arial Narrow" w:cs="Arial"/>
          <w:spacing w:val="-6"/>
          <w:sz w:val="26"/>
          <w:szCs w:val="26"/>
        </w:rPr>
        <w:t>reliquidar</w:t>
      </w:r>
      <w:proofErr w:type="spellEnd"/>
      <w:r w:rsidR="00D834CA" w:rsidRPr="002615D7">
        <w:rPr>
          <w:rFonts w:ascii="Arial Narrow" w:hAnsi="Arial Narrow" w:cs="Arial"/>
          <w:spacing w:val="-6"/>
          <w:sz w:val="26"/>
          <w:szCs w:val="26"/>
        </w:rPr>
        <w:t xml:space="preserve"> la pensión de vejez conforme a los postulados del artículo 21 de la Ley 100/93, tomando en consideración el IBL reconocido por Colpensiones en cuantía de $5`354.279, y una tasa de remplazo del 75%, obteniendo como primera mesada para el 2011, la suma de $ 4`015.709. Declaró parcialmente probada la excepción de prescripción respecto de las mesadas causadas con antelación al 9 de mayo de 2011, aludiendo que la reclamación fue presentada ese mismo día y mes del año 2014, al paso que la acción judicial fue interpuesta dentro de los tres años siguientes. </w:t>
      </w:r>
    </w:p>
    <w:p w:rsidR="00D834CA" w:rsidRPr="002615D7" w:rsidRDefault="00D834CA"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lastRenderedPageBreak/>
        <w:tab/>
      </w:r>
    </w:p>
    <w:p w:rsidR="00D834CA" w:rsidRPr="002615D7" w:rsidRDefault="00D834CA"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En consecuencia, condenó a Colpensiones a reconocer y pagar la suma de $66`903.861</w:t>
      </w:r>
      <w:r w:rsidR="004E5474" w:rsidRPr="002615D7">
        <w:rPr>
          <w:rFonts w:ascii="Arial Narrow" w:hAnsi="Arial Narrow" w:cs="Arial"/>
          <w:spacing w:val="-6"/>
          <w:sz w:val="26"/>
          <w:szCs w:val="26"/>
        </w:rPr>
        <w:t>, debidamente indexada al momento del pago</w:t>
      </w:r>
      <w:r w:rsidRPr="002615D7">
        <w:rPr>
          <w:rFonts w:ascii="Arial Narrow" w:hAnsi="Arial Narrow" w:cs="Arial"/>
          <w:spacing w:val="-6"/>
          <w:sz w:val="26"/>
          <w:szCs w:val="26"/>
        </w:rPr>
        <w:t xml:space="preserve">. Por último, condenó en costas procesales a la AFP accionada en un 100% de las causadas a favor de la parte actora. </w:t>
      </w:r>
    </w:p>
    <w:p w:rsidR="00667280" w:rsidRPr="002615D7" w:rsidRDefault="00667280" w:rsidP="002615D7">
      <w:pPr>
        <w:pStyle w:val="Sinespaciado"/>
        <w:spacing w:line="288" w:lineRule="auto"/>
        <w:rPr>
          <w:rFonts w:ascii="Arial Narrow" w:hAnsi="Arial Narrow"/>
          <w:spacing w:val="-6"/>
          <w:sz w:val="26"/>
          <w:szCs w:val="26"/>
        </w:rPr>
      </w:pPr>
    </w:p>
    <w:p w:rsidR="00660003" w:rsidRPr="002615D7" w:rsidRDefault="00660003"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 xml:space="preserve">Inconforme con lo decidido, las partes interpusieron recurso de apelación. </w:t>
      </w:r>
    </w:p>
    <w:p w:rsidR="00660003" w:rsidRPr="002615D7" w:rsidRDefault="00660003" w:rsidP="002615D7">
      <w:pPr>
        <w:pStyle w:val="Sinespaciado"/>
        <w:spacing w:line="288" w:lineRule="auto"/>
        <w:rPr>
          <w:rFonts w:ascii="Arial Narrow" w:hAnsi="Arial Narrow"/>
          <w:spacing w:val="-6"/>
          <w:sz w:val="26"/>
          <w:szCs w:val="26"/>
        </w:rPr>
      </w:pPr>
    </w:p>
    <w:p w:rsidR="00660003" w:rsidRPr="002615D7" w:rsidRDefault="00660003"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 xml:space="preserve">El </w:t>
      </w:r>
      <w:r w:rsidR="00667280" w:rsidRPr="002615D7">
        <w:rPr>
          <w:rFonts w:ascii="Arial Narrow" w:hAnsi="Arial Narrow" w:cs="Arial"/>
          <w:spacing w:val="-6"/>
          <w:sz w:val="26"/>
          <w:szCs w:val="26"/>
        </w:rPr>
        <w:t xml:space="preserve">vocero judicial </w:t>
      </w:r>
      <w:r w:rsidRPr="002615D7">
        <w:rPr>
          <w:rFonts w:ascii="Arial Narrow" w:hAnsi="Arial Narrow" w:cs="Arial"/>
          <w:spacing w:val="-6"/>
          <w:sz w:val="26"/>
          <w:szCs w:val="26"/>
        </w:rPr>
        <w:t xml:space="preserve">de la parte actora, en orden a que se aplique el Acuerdo 049/90, y se aplique el 90% como tasa de remplazo, en razón a que si bien es cierto que el actor tiene tiempos de servicios prestados en el sector público, también lo es que la Corte Constitucional estableció entre otras, en sentencia SU 769 de 2014, la procedencia de acumulación de tiempos  del sector público y privado para reconocer pensiones de vejez con fundamento en dicha normativa, máxime que al tenor del artículo 53 de la Carta Política debe darse aplicación a la norma más favorable al administrado. </w:t>
      </w:r>
    </w:p>
    <w:p w:rsidR="00660003" w:rsidRPr="002615D7" w:rsidRDefault="00660003" w:rsidP="002615D7">
      <w:pPr>
        <w:pStyle w:val="Sinespaciado"/>
        <w:spacing w:line="288" w:lineRule="auto"/>
        <w:rPr>
          <w:rFonts w:ascii="Arial Narrow" w:hAnsi="Arial Narrow"/>
          <w:spacing w:val="-6"/>
          <w:sz w:val="26"/>
          <w:szCs w:val="26"/>
        </w:rPr>
      </w:pPr>
    </w:p>
    <w:p w:rsidR="007F5F1B" w:rsidRPr="002615D7" w:rsidRDefault="00660003"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Colfondos S.A., por su parte, se mostró inconforme con la declaratoria de ineficacia del traslado de régimen pensional, para lo cual replicó que el juzgado no tuv</w:t>
      </w:r>
      <w:r w:rsidR="0033205C" w:rsidRPr="002615D7">
        <w:rPr>
          <w:rFonts w:ascii="Arial Narrow" w:hAnsi="Arial Narrow" w:cs="Arial"/>
          <w:spacing w:val="-6"/>
          <w:sz w:val="26"/>
          <w:szCs w:val="26"/>
        </w:rPr>
        <w:t xml:space="preserve">o en cuenta las manifestaciones que realizó </w:t>
      </w:r>
      <w:r w:rsidRPr="002615D7">
        <w:rPr>
          <w:rFonts w:ascii="Arial Narrow" w:hAnsi="Arial Narrow" w:cs="Arial"/>
          <w:spacing w:val="-6"/>
          <w:sz w:val="26"/>
          <w:szCs w:val="26"/>
        </w:rPr>
        <w:t xml:space="preserve">el demandante en el interrogatorio que absolvió, </w:t>
      </w:r>
      <w:r w:rsidR="007F5F1B" w:rsidRPr="002615D7">
        <w:rPr>
          <w:rFonts w:ascii="Arial Narrow" w:hAnsi="Arial Narrow" w:cs="Arial"/>
          <w:spacing w:val="-6"/>
          <w:sz w:val="26"/>
          <w:szCs w:val="26"/>
        </w:rPr>
        <w:t xml:space="preserve">y que a su juicio, acreditan que fue debidamente informado por la entidad al momento del traslado. Adujo además que aunque el traslado del año 97 no surtió efectos, si da cuenta de la voluntad expresa del afiliado de querer pertenecer al RAIS. Por último, aduce que Colfondos no es la única entidad que debe soportar la condena en costas procesales, en razón  a que las pretensiones estaban también encaminadas a la reliquidación pensional. </w:t>
      </w:r>
    </w:p>
    <w:p w:rsidR="007F5F1B" w:rsidRPr="002615D7" w:rsidRDefault="007F5F1B" w:rsidP="002615D7">
      <w:pPr>
        <w:pStyle w:val="Sinespaciado"/>
        <w:spacing w:line="288" w:lineRule="auto"/>
        <w:rPr>
          <w:rFonts w:ascii="Arial Narrow" w:hAnsi="Arial Narrow"/>
          <w:spacing w:val="-6"/>
          <w:sz w:val="26"/>
          <w:szCs w:val="26"/>
        </w:rPr>
      </w:pPr>
    </w:p>
    <w:p w:rsidR="00660003" w:rsidRPr="002615D7" w:rsidRDefault="007F5F1B" w:rsidP="002615D7">
      <w:pPr>
        <w:spacing w:after="0" w:line="288" w:lineRule="auto"/>
        <w:ind w:firstLine="708"/>
        <w:jc w:val="both"/>
        <w:rPr>
          <w:rFonts w:ascii="Arial Narrow" w:hAnsi="Arial Narrow" w:cs="Arial"/>
          <w:spacing w:val="-6"/>
          <w:sz w:val="26"/>
          <w:szCs w:val="26"/>
        </w:rPr>
      </w:pPr>
      <w:r w:rsidRPr="002615D7">
        <w:rPr>
          <w:rFonts w:ascii="Arial Narrow" w:hAnsi="Arial Narrow" w:cs="Arial"/>
          <w:spacing w:val="-6"/>
          <w:sz w:val="26"/>
          <w:szCs w:val="26"/>
        </w:rPr>
        <w:t xml:space="preserve">Colpensiones se alzó arguyendo que el demandante perdió los beneficios del régimen de transición al haberse trasladado al RAIS, por lo que no es procedente la aplicación de la Ley 71 de 1988; que la entidad actuó conforme a derecho y de buena fe al </w:t>
      </w:r>
      <w:proofErr w:type="spellStart"/>
      <w:r w:rsidRPr="002615D7">
        <w:rPr>
          <w:rFonts w:ascii="Arial Narrow" w:hAnsi="Arial Narrow" w:cs="Arial"/>
          <w:spacing w:val="-6"/>
          <w:sz w:val="26"/>
          <w:szCs w:val="26"/>
        </w:rPr>
        <w:t>reliquidarle</w:t>
      </w:r>
      <w:proofErr w:type="spellEnd"/>
      <w:r w:rsidRPr="002615D7">
        <w:rPr>
          <w:rFonts w:ascii="Arial Narrow" w:hAnsi="Arial Narrow" w:cs="Arial"/>
          <w:spacing w:val="-6"/>
          <w:sz w:val="26"/>
          <w:szCs w:val="26"/>
        </w:rPr>
        <w:t xml:space="preserve"> la pensión de vejez al demandante y cancelar el retroactivo causado conforme lo establece la Ley 797/03. </w:t>
      </w:r>
    </w:p>
    <w:p w:rsidR="00667280" w:rsidRDefault="00667280" w:rsidP="002615D7">
      <w:pPr>
        <w:spacing w:after="0" w:line="288" w:lineRule="auto"/>
        <w:ind w:firstLine="708"/>
        <w:jc w:val="both"/>
        <w:rPr>
          <w:rFonts w:ascii="Arial Narrow" w:hAnsi="Arial Narrow"/>
          <w:spacing w:val="-6"/>
          <w:sz w:val="26"/>
          <w:szCs w:val="26"/>
          <w:lang w:val="es-CO"/>
        </w:rPr>
      </w:pPr>
    </w:p>
    <w:p w:rsidR="00660491" w:rsidRPr="002615D7" w:rsidRDefault="00660491" w:rsidP="002615D7">
      <w:pPr>
        <w:spacing w:after="0" w:line="288" w:lineRule="auto"/>
        <w:ind w:firstLine="708"/>
        <w:jc w:val="both"/>
        <w:rPr>
          <w:rFonts w:ascii="Arial Narrow" w:hAnsi="Arial Narrow" w:cs="Arial"/>
          <w:spacing w:val="-6"/>
          <w:sz w:val="26"/>
          <w:szCs w:val="26"/>
        </w:rPr>
      </w:pPr>
    </w:p>
    <w:p w:rsidR="00667280" w:rsidRDefault="00667280" w:rsidP="00267D68">
      <w:pPr>
        <w:pStyle w:val="Sinespaciado"/>
        <w:spacing w:line="288" w:lineRule="auto"/>
        <w:ind w:firstLine="708"/>
        <w:rPr>
          <w:rFonts w:ascii="Arial Narrow" w:hAnsi="Arial Narrow"/>
          <w:b/>
          <w:spacing w:val="-6"/>
          <w:sz w:val="26"/>
          <w:szCs w:val="26"/>
          <w:lang w:eastAsia="es-ES"/>
        </w:rPr>
      </w:pPr>
      <w:r w:rsidRPr="00267D68">
        <w:rPr>
          <w:rFonts w:ascii="Arial Narrow" w:hAnsi="Arial Narrow"/>
          <w:b/>
          <w:spacing w:val="-6"/>
          <w:sz w:val="26"/>
          <w:szCs w:val="26"/>
          <w:lang w:eastAsia="es-ES"/>
        </w:rPr>
        <w:t>CONSIDERACIONES:</w:t>
      </w:r>
    </w:p>
    <w:p w:rsidR="00267D68" w:rsidRDefault="00267D68" w:rsidP="00267D68">
      <w:pPr>
        <w:pStyle w:val="Sinespaciado"/>
        <w:spacing w:line="288" w:lineRule="auto"/>
        <w:ind w:firstLine="708"/>
        <w:rPr>
          <w:rFonts w:ascii="Arial Narrow" w:hAnsi="Arial Narrow"/>
          <w:b/>
          <w:spacing w:val="-6"/>
          <w:sz w:val="26"/>
          <w:szCs w:val="26"/>
          <w:lang w:eastAsia="es-ES"/>
        </w:rPr>
      </w:pPr>
    </w:p>
    <w:p w:rsidR="00267D68" w:rsidRPr="00267D68" w:rsidRDefault="00267D68" w:rsidP="00267D68">
      <w:pPr>
        <w:pStyle w:val="Sinespaciado"/>
        <w:spacing w:line="288" w:lineRule="auto"/>
        <w:ind w:firstLine="708"/>
        <w:rPr>
          <w:rFonts w:ascii="Arial Narrow" w:hAnsi="Arial Narrow"/>
          <w:b/>
          <w:spacing w:val="-6"/>
          <w:sz w:val="26"/>
          <w:szCs w:val="26"/>
          <w:lang w:eastAsia="es-ES"/>
        </w:rPr>
      </w:pPr>
    </w:p>
    <w:p w:rsidR="00667280" w:rsidRPr="002615D7" w:rsidRDefault="00667280" w:rsidP="002615D7">
      <w:pPr>
        <w:pStyle w:val="Sinespaciado"/>
        <w:spacing w:line="288" w:lineRule="auto"/>
        <w:rPr>
          <w:rFonts w:ascii="Arial Narrow" w:eastAsia="Times New Roman" w:hAnsi="Arial Narrow" w:cs="Segoe UI"/>
          <w:color w:val="212121"/>
          <w:spacing w:val="-6"/>
          <w:sz w:val="26"/>
          <w:szCs w:val="26"/>
          <w:lang w:eastAsia="es-ES"/>
        </w:rPr>
      </w:pPr>
      <w:r w:rsidRPr="002615D7">
        <w:rPr>
          <w:rFonts w:ascii="Arial Narrow" w:hAnsi="Arial Narrow"/>
          <w:spacing w:val="-6"/>
          <w:sz w:val="26"/>
          <w:szCs w:val="26"/>
          <w:lang w:eastAsia="es-ES"/>
        </w:rPr>
        <w:t> </w:t>
      </w:r>
      <w:r w:rsidRPr="002615D7">
        <w:rPr>
          <w:rFonts w:ascii="Arial Narrow" w:hAnsi="Arial Narrow"/>
          <w:spacing w:val="-6"/>
          <w:sz w:val="26"/>
          <w:szCs w:val="26"/>
          <w:lang w:eastAsia="es-ES"/>
        </w:rPr>
        <w:tab/>
      </w:r>
      <w:r w:rsidRPr="002615D7">
        <w:rPr>
          <w:rFonts w:ascii="Arial Narrow" w:eastAsia="Times New Roman" w:hAnsi="Arial Narrow" w:cs="Segoe UI"/>
          <w:b/>
          <w:bCs/>
          <w:color w:val="212121"/>
          <w:spacing w:val="-6"/>
          <w:sz w:val="26"/>
          <w:szCs w:val="26"/>
          <w:lang w:eastAsia="es-ES"/>
        </w:rPr>
        <w:t>Competencia.</w:t>
      </w:r>
    </w:p>
    <w:p w:rsidR="00667280" w:rsidRPr="002615D7" w:rsidRDefault="00667280" w:rsidP="002615D7">
      <w:pPr>
        <w:pStyle w:val="Sinespaciado"/>
        <w:spacing w:line="288" w:lineRule="auto"/>
        <w:rPr>
          <w:rFonts w:ascii="Arial Narrow" w:hAnsi="Arial Narrow"/>
          <w:spacing w:val="-6"/>
          <w:sz w:val="26"/>
          <w:szCs w:val="26"/>
          <w:lang w:eastAsia="es-ES"/>
        </w:rPr>
      </w:pPr>
      <w:r w:rsidRPr="002615D7">
        <w:rPr>
          <w:rFonts w:ascii="Arial Narrow" w:hAnsi="Arial Narrow"/>
          <w:spacing w:val="-6"/>
          <w:sz w:val="26"/>
          <w:szCs w:val="26"/>
          <w:lang w:eastAsia="es-ES"/>
        </w:rPr>
        <w:t> </w:t>
      </w:r>
    </w:p>
    <w:p w:rsidR="00667280" w:rsidRPr="00030BBA" w:rsidRDefault="00667280" w:rsidP="002615D7">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030BBA">
        <w:rPr>
          <w:rFonts w:ascii="Arial Narrow" w:eastAsia="Times New Roman" w:hAnsi="Arial Narrow" w:cs="Segoe UI"/>
          <w:color w:val="212121"/>
          <w:spacing w:val="-6"/>
          <w:sz w:val="26"/>
          <w:szCs w:val="26"/>
          <w:lang w:eastAsia="es-ES"/>
        </w:rPr>
        <w:t>Es esta Sala de Decisión competente para desatar la alzada, en virtud del factor funcional, establecido en el artículo 15, literal b numera 1º del CPLSS.</w:t>
      </w:r>
    </w:p>
    <w:p w:rsidR="00667280" w:rsidRPr="002615D7" w:rsidRDefault="00667280" w:rsidP="002615D7">
      <w:pPr>
        <w:pStyle w:val="Sinespaciado"/>
        <w:spacing w:line="288" w:lineRule="auto"/>
        <w:rPr>
          <w:rFonts w:ascii="Arial Narrow" w:hAnsi="Arial Narrow"/>
          <w:spacing w:val="-6"/>
          <w:sz w:val="26"/>
          <w:szCs w:val="26"/>
          <w:lang w:eastAsia="es-ES"/>
        </w:rPr>
      </w:pPr>
    </w:p>
    <w:p w:rsidR="00667280" w:rsidRPr="002615D7" w:rsidRDefault="00667280" w:rsidP="002615D7">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2615D7">
        <w:rPr>
          <w:rFonts w:ascii="Arial Narrow" w:eastAsia="Times New Roman" w:hAnsi="Arial Narrow" w:cs="Segoe UI"/>
          <w:b/>
          <w:bCs/>
          <w:color w:val="212121"/>
          <w:spacing w:val="-6"/>
          <w:sz w:val="26"/>
          <w:szCs w:val="26"/>
          <w:lang w:eastAsia="es-ES"/>
        </w:rPr>
        <w:t>Problema jurídico.</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jc w:val="both"/>
        <w:rPr>
          <w:rFonts w:ascii="Arial Narrow" w:hAnsi="Arial Narrow" w:cs="Tahoma"/>
          <w:color w:val="000000"/>
          <w:spacing w:val="-6"/>
          <w:sz w:val="26"/>
          <w:szCs w:val="26"/>
          <w:lang w:eastAsia="es-CO"/>
        </w:rPr>
      </w:pPr>
      <w:r w:rsidRPr="002615D7">
        <w:rPr>
          <w:rFonts w:ascii="Arial Narrow" w:hAnsi="Arial Narrow"/>
          <w:spacing w:val="-6"/>
          <w:sz w:val="26"/>
          <w:szCs w:val="26"/>
          <w:lang w:eastAsia="es-ES"/>
        </w:rPr>
        <w:t> </w:t>
      </w:r>
      <w:r w:rsidRPr="002615D7">
        <w:rPr>
          <w:rFonts w:ascii="Arial Narrow" w:hAnsi="Arial Narrow"/>
          <w:spacing w:val="-6"/>
          <w:sz w:val="26"/>
          <w:szCs w:val="26"/>
          <w:lang w:eastAsia="es-ES"/>
        </w:rPr>
        <w:tab/>
      </w:r>
      <w:r w:rsidRPr="002615D7">
        <w:rPr>
          <w:rFonts w:ascii="Arial Narrow" w:hAnsi="Arial Narrow" w:cs="Tahoma"/>
          <w:color w:val="000000"/>
          <w:spacing w:val="-6"/>
          <w:sz w:val="26"/>
          <w:szCs w:val="26"/>
          <w:lang w:eastAsia="es-CO"/>
        </w:rPr>
        <w:t>Visto el recuento anterior, la Sala formula el problema jurídico en los siguientes términos:</w:t>
      </w:r>
    </w:p>
    <w:p w:rsidR="00667280" w:rsidRPr="002615D7" w:rsidRDefault="00667280" w:rsidP="002615D7">
      <w:pPr>
        <w:pStyle w:val="Sinespaciado"/>
        <w:spacing w:line="288" w:lineRule="auto"/>
        <w:jc w:val="both"/>
        <w:rPr>
          <w:rFonts w:ascii="Arial Narrow" w:hAnsi="Arial Narrow"/>
          <w:spacing w:val="-6"/>
          <w:sz w:val="26"/>
          <w:szCs w:val="26"/>
        </w:rPr>
      </w:pPr>
    </w:p>
    <w:p w:rsidR="00667280" w:rsidRPr="00030BBA" w:rsidRDefault="00667280" w:rsidP="00030BBA">
      <w:pPr>
        <w:shd w:val="clear" w:color="auto" w:fill="FFFFFF"/>
        <w:spacing w:after="0" w:line="288" w:lineRule="auto"/>
        <w:ind w:firstLine="708"/>
        <w:jc w:val="both"/>
        <w:rPr>
          <w:rFonts w:ascii="Arial Narrow" w:eastAsia="Times New Roman" w:hAnsi="Arial Narrow" w:cs="Segoe UI"/>
          <w:i/>
          <w:color w:val="212121"/>
          <w:spacing w:val="-6"/>
          <w:sz w:val="26"/>
          <w:szCs w:val="26"/>
          <w:lang w:eastAsia="es-ES"/>
        </w:rPr>
      </w:pPr>
      <w:r w:rsidRPr="00030BBA">
        <w:rPr>
          <w:rFonts w:ascii="Arial Narrow" w:eastAsia="Times New Roman" w:hAnsi="Arial Narrow" w:cs="Segoe UI"/>
          <w:i/>
          <w:color w:val="212121"/>
          <w:spacing w:val="-6"/>
          <w:sz w:val="26"/>
          <w:szCs w:val="26"/>
          <w:lang w:eastAsia="es-ES"/>
        </w:rPr>
        <w:t xml:space="preserve">¿Qué deberes tienen las AFP respecto de sus usuarios a la hora de indagar estos por su traslado y quién debe acreditar su cumplimiento o falta del mismo? </w:t>
      </w:r>
    </w:p>
    <w:p w:rsidR="00667280" w:rsidRPr="00030BBA" w:rsidRDefault="00667280" w:rsidP="00030BBA">
      <w:pPr>
        <w:shd w:val="clear" w:color="auto" w:fill="FFFFFF"/>
        <w:spacing w:after="0" w:line="288" w:lineRule="auto"/>
        <w:ind w:firstLine="708"/>
        <w:jc w:val="both"/>
        <w:rPr>
          <w:rFonts w:ascii="Arial Narrow" w:eastAsia="Times New Roman" w:hAnsi="Arial Narrow" w:cs="Segoe UI"/>
          <w:i/>
          <w:color w:val="212121"/>
          <w:spacing w:val="-6"/>
          <w:sz w:val="26"/>
          <w:szCs w:val="26"/>
          <w:lang w:eastAsia="es-ES"/>
        </w:rPr>
      </w:pPr>
    </w:p>
    <w:p w:rsidR="00667280" w:rsidRPr="00030BBA" w:rsidRDefault="00667280" w:rsidP="00030BBA">
      <w:pPr>
        <w:shd w:val="clear" w:color="auto" w:fill="FFFFFF"/>
        <w:spacing w:after="0" w:line="288" w:lineRule="auto"/>
        <w:ind w:firstLine="708"/>
        <w:jc w:val="both"/>
        <w:rPr>
          <w:rFonts w:ascii="Arial Narrow" w:eastAsia="Times New Roman" w:hAnsi="Arial Narrow" w:cs="Segoe UI"/>
          <w:i/>
          <w:color w:val="212121"/>
          <w:spacing w:val="-6"/>
          <w:sz w:val="26"/>
          <w:szCs w:val="26"/>
          <w:lang w:eastAsia="es-ES"/>
        </w:rPr>
      </w:pPr>
      <w:r w:rsidRPr="00030BBA">
        <w:rPr>
          <w:rFonts w:ascii="Arial Narrow" w:eastAsia="Times New Roman" w:hAnsi="Arial Narrow" w:cs="Segoe UI"/>
          <w:i/>
          <w:color w:val="212121"/>
          <w:spacing w:val="-6"/>
          <w:sz w:val="26"/>
          <w:szCs w:val="26"/>
          <w:lang w:eastAsia="es-ES"/>
        </w:rPr>
        <w:t xml:space="preserve">¿Acertó </w:t>
      </w:r>
      <w:r w:rsidR="003C2595" w:rsidRPr="00030BBA">
        <w:rPr>
          <w:rFonts w:ascii="Arial Narrow" w:eastAsia="Times New Roman" w:hAnsi="Arial Narrow" w:cs="Segoe UI"/>
          <w:i/>
          <w:color w:val="212121"/>
          <w:spacing w:val="-6"/>
          <w:sz w:val="26"/>
          <w:szCs w:val="26"/>
          <w:lang w:eastAsia="es-ES"/>
        </w:rPr>
        <w:t xml:space="preserve">el a-quo </w:t>
      </w:r>
      <w:r w:rsidRPr="00030BBA">
        <w:rPr>
          <w:rFonts w:ascii="Arial Narrow" w:eastAsia="Times New Roman" w:hAnsi="Arial Narrow" w:cs="Segoe UI"/>
          <w:i/>
          <w:color w:val="212121"/>
          <w:spacing w:val="-6"/>
          <w:sz w:val="26"/>
          <w:szCs w:val="26"/>
          <w:lang w:eastAsia="es-ES"/>
        </w:rPr>
        <w:t xml:space="preserve">al declarar la ineficacia del traslado de régimen pensional que efectuó </w:t>
      </w:r>
      <w:r w:rsidR="003C2595" w:rsidRPr="00030BBA">
        <w:rPr>
          <w:rFonts w:ascii="Arial Narrow" w:eastAsia="Times New Roman" w:hAnsi="Arial Narrow" w:cs="Segoe UI"/>
          <w:i/>
          <w:color w:val="212121"/>
          <w:spacing w:val="-6"/>
          <w:sz w:val="26"/>
          <w:szCs w:val="26"/>
          <w:lang w:eastAsia="es-ES"/>
        </w:rPr>
        <w:t>el actor el 28 de enero de 2004 d</w:t>
      </w:r>
      <w:r w:rsidRPr="00030BBA">
        <w:rPr>
          <w:rFonts w:ascii="Arial Narrow" w:eastAsia="Times New Roman" w:hAnsi="Arial Narrow" w:cs="Segoe UI"/>
          <w:i/>
          <w:color w:val="212121"/>
          <w:spacing w:val="-6"/>
          <w:sz w:val="26"/>
          <w:szCs w:val="26"/>
          <w:lang w:eastAsia="es-ES"/>
        </w:rPr>
        <w:t>el ISS a la AFP Colfondos?</w:t>
      </w:r>
    </w:p>
    <w:p w:rsidR="003C2595" w:rsidRPr="00030BBA" w:rsidRDefault="003C2595" w:rsidP="00030BBA">
      <w:pPr>
        <w:shd w:val="clear" w:color="auto" w:fill="FFFFFF"/>
        <w:spacing w:after="0" w:line="288" w:lineRule="auto"/>
        <w:ind w:firstLine="708"/>
        <w:jc w:val="both"/>
        <w:rPr>
          <w:rFonts w:ascii="Arial Narrow" w:eastAsia="Times New Roman" w:hAnsi="Arial Narrow" w:cs="Segoe UI"/>
          <w:i/>
          <w:color w:val="212121"/>
          <w:spacing w:val="-6"/>
          <w:sz w:val="26"/>
          <w:szCs w:val="26"/>
          <w:lang w:eastAsia="es-ES"/>
        </w:rPr>
      </w:pPr>
    </w:p>
    <w:p w:rsidR="003C2595" w:rsidRDefault="003C2595" w:rsidP="00030BBA">
      <w:pPr>
        <w:shd w:val="clear" w:color="auto" w:fill="FFFFFF"/>
        <w:spacing w:after="0" w:line="288" w:lineRule="auto"/>
        <w:ind w:firstLine="708"/>
        <w:jc w:val="both"/>
        <w:rPr>
          <w:rFonts w:ascii="Arial Narrow" w:eastAsia="Times New Roman" w:hAnsi="Arial Narrow" w:cs="Segoe UI"/>
          <w:i/>
          <w:color w:val="212121"/>
          <w:spacing w:val="-6"/>
          <w:sz w:val="26"/>
          <w:szCs w:val="26"/>
          <w:lang w:eastAsia="es-ES"/>
        </w:rPr>
      </w:pPr>
      <w:r w:rsidRPr="00030BBA">
        <w:rPr>
          <w:rFonts w:ascii="Arial Narrow" w:eastAsia="Times New Roman" w:hAnsi="Arial Narrow" w:cs="Segoe UI"/>
          <w:i/>
          <w:color w:val="212121"/>
          <w:spacing w:val="-6"/>
          <w:sz w:val="26"/>
          <w:szCs w:val="26"/>
          <w:lang w:eastAsia="es-ES"/>
        </w:rPr>
        <w:t>¿Es el demandante beneficiario del régimen de transición previsto en el artículo 36 de la Ley 100/93?</w:t>
      </w:r>
    </w:p>
    <w:p w:rsidR="00030BBA" w:rsidRPr="00030BBA" w:rsidRDefault="00030BBA" w:rsidP="00030BBA">
      <w:pPr>
        <w:shd w:val="clear" w:color="auto" w:fill="FFFFFF"/>
        <w:spacing w:after="0" w:line="288" w:lineRule="auto"/>
        <w:ind w:firstLine="708"/>
        <w:jc w:val="both"/>
        <w:rPr>
          <w:rFonts w:ascii="Arial Narrow" w:eastAsia="Times New Roman" w:hAnsi="Arial Narrow" w:cs="Segoe UI"/>
          <w:i/>
          <w:color w:val="212121"/>
          <w:spacing w:val="-6"/>
          <w:sz w:val="26"/>
          <w:szCs w:val="26"/>
          <w:lang w:eastAsia="es-ES"/>
        </w:rPr>
      </w:pPr>
    </w:p>
    <w:p w:rsidR="003C2595" w:rsidRPr="00030BBA" w:rsidRDefault="003C2595" w:rsidP="00030BBA">
      <w:pPr>
        <w:shd w:val="clear" w:color="auto" w:fill="FFFFFF"/>
        <w:spacing w:after="0" w:line="288" w:lineRule="auto"/>
        <w:ind w:firstLine="708"/>
        <w:jc w:val="both"/>
        <w:rPr>
          <w:rFonts w:ascii="Arial Narrow" w:eastAsia="Times New Roman" w:hAnsi="Arial Narrow" w:cs="Segoe UI"/>
          <w:i/>
          <w:color w:val="212121"/>
          <w:spacing w:val="-6"/>
          <w:sz w:val="26"/>
          <w:szCs w:val="26"/>
          <w:lang w:eastAsia="es-ES"/>
        </w:rPr>
      </w:pPr>
      <w:r w:rsidRPr="00030BBA">
        <w:rPr>
          <w:rFonts w:ascii="Arial Narrow" w:eastAsia="Times New Roman" w:hAnsi="Arial Narrow" w:cs="Segoe UI"/>
          <w:i/>
          <w:color w:val="212121"/>
          <w:spacing w:val="-6"/>
          <w:sz w:val="26"/>
          <w:szCs w:val="26"/>
          <w:lang w:eastAsia="es-ES"/>
        </w:rPr>
        <w:t xml:space="preserve">¿Hay lugar a </w:t>
      </w:r>
      <w:proofErr w:type="spellStart"/>
      <w:r w:rsidRPr="00030BBA">
        <w:rPr>
          <w:rFonts w:ascii="Arial Narrow" w:eastAsia="Times New Roman" w:hAnsi="Arial Narrow" w:cs="Segoe UI"/>
          <w:i/>
          <w:color w:val="212121"/>
          <w:spacing w:val="-6"/>
          <w:sz w:val="26"/>
          <w:szCs w:val="26"/>
          <w:lang w:eastAsia="es-ES"/>
        </w:rPr>
        <w:t>reliquidar</w:t>
      </w:r>
      <w:proofErr w:type="spellEnd"/>
      <w:r w:rsidRPr="00030BBA">
        <w:rPr>
          <w:rFonts w:ascii="Arial Narrow" w:eastAsia="Times New Roman" w:hAnsi="Arial Narrow" w:cs="Segoe UI"/>
          <w:i/>
          <w:color w:val="212121"/>
          <w:spacing w:val="-6"/>
          <w:sz w:val="26"/>
          <w:szCs w:val="26"/>
          <w:lang w:eastAsia="es-ES"/>
        </w:rPr>
        <w:t xml:space="preserve"> la pensión de vejez reconocida al actor, tomando en consideración el Acuerdo 049 de 1990, como lo solicita la parte actora?</w:t>
      </w:r>
    </w:p>
    <w:p w:rsidR="00667280" w:rsidRPr="002615D7" w:rsidRDefault="00667280" w:rsidP="002615D7">
      <w:pPr>
        <w:pStyle w:val="Sinespaciado"/>
        <w:spacing w:line="288" w:lineRule="auto"/>
        <w:rPr>
          <w:rFonts w:ascii="Arial Narrow" w:hAnsi="Arial Narrow"/>
          <w:spacing w:val="-6"/>
          <w:sz w:val="26"/>
          <w:szCs w:val="26"/>
        </w:rPr>
      </w:pPr>
    </w:p>
    <w:p w:rsidR="00667280" w:rsidRPr="00030BBA" w:rsidRDefault="00667280" w:rsidP="00030BBA">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030BBA">
        <w:rPr>
          <w:rFonts w:ascii="Arial Narrow" w:eastAsia="Times New Roman" w:hAnsi="Arial Narrow" w:cs="Segoe UI"/>
          <w:b/>
          <w:bCs/>
          <w:color w:val="212121"/>
          <w:spacing w:val="-6"/>
          <w:sz w:val="26"/>
          <w:szCs w:val="26"/>
          <w:lang w:eastAsia="es-ES"/>
        </w:rPr>
        <w:t>Alegatos en esta instancia:</w:t>
      </w:r>
    </w:p>
    <w:p w:rsidR="00030BBA" w:rsidRPr="00030BBA" w:rsidRDefault="00030BBA" w:rsidP="00030BBA">
      <w:pPr>
        <w:pStyle w:val="Sinespaciado"/>
        <w:spacing w:line="288" w:lineRule="auto"/>
        <w:jc w:val="both"/>
        <w:rPr>
          <w:rFonts w:ascii="Arial Narrow" w:hAnsi="Arial Narrow"/>
          <w:spacing w:val="-6"/>
          <w:sz w:val="26"/>
          <w:szCs w:val="26"/>
          <w:lang w:eastAsia="es-ES"/>
        </w:rPr>
      </w:pPr>
    </w:p>
    <w:p w:rsidR="00667280" w:rsidRDefault="00667280" w:rsidP="00030BBA">
      <w:pPr>
        <w:pStyle w:val="Sinespaciado"/>
        <w:spacing w:line="288" w:lineRule="auto"/>
        <w:jc w:val="both"/>
        <w:rPr>
          <w:rFonts w:ascii="Arial Narrow" w:hAnsi="Arial Narrow"/>
          <w:spacing w:val="-6"/>
          <w:sz w:val="26"/>
          <w:szCs w:val="26"/>
          <w:lang w:eastAsia="es-ES"/>
        </w:rPr>
      </w:pPr>
      <w:r w:rsidRPr="00030BBA">
        <w:rPr>
          <w:rFonts w:ascii="Arial Narrow" w:hAnsi="Arial Narrow"/>
          <w:spacing w:val="-6"/>
          <w:sz w:val="26"/>
          <w:szCs w:val="26"/>
          <w:lang w:eastAsia="es-ES"/>
        </w:rPr>
        <w:t xml:space="preserve">En este estado de la diligencia, alegan los voceros judicial, si asistieron y si es su  voluntad hacerlo. Escuchadas las anteriores intervenciones que reflejan los puntos debatidos por los integrantes de la Sala, se procede a decidir de fondo, previa las siguientes: </w:t>
      </w:r>
    </w:p>
    <w:p w:rsidR="00030BBA" w:rsidRPr="00030BBA" w:rsidRDefault="00030BBA" w:rsidP="00030BBA">
      <w:pPr>
        <w:pStyle w:val="Sinespaciado"/>
        <w:spacing w:line="288" w:lineRule="auto"/>
        <w:jc w:val="both"/>
        <w:rPr>
          <w:rFonts w:ascii="Arial Narrow" w:hAnsi="Arial Narrow"/>
          <w:spacing w:val="-6"/>
          <w:sz w:val="26"/>
          <w:szCs w:val="26"/>
          <w:lang w:eastAsia="es-ES"/>
        </w:rPr>
      </w:pPr>
    </w:p>
    <w:p w:rsidR="00667280" w:rsidRPr="002615D7" w:rsidRDefault="00667280" w:rsidP="002615D7">
      <w:pPr>
        <w:shd w:val="clear" w:color="auto" w:fill="FFFFFF"/>
        <w:spacing w:after="0" w:line="288" w:lineRule="auto"/>
        <w:ind w:firstLine="708"/>
        <w:jc w:val="both"/>
        <w:rPr>
          <w:rFonts w:ascii="Arial Narrow" w:eastAsia="Times New Roman" w:hAnsi="Arial Narrow" w:cs="Segoe UI"/>
          <w:b/>
          <w:bCs/>
          <w:i/>
          <w:iCs/>
          <w:color w:val="212121"/>
          <w:spacing w:val="-6"/>
          <w:sz w:val="26"/>
          <w:szCs w:val="26"/>
          <w:lang w:eastAsia="es-ES"/>
        </w:rPr>
      </w:pPr>
      <w:r w:rsidRPr="002615D7">
        <w:rPr>
          <w:rFonts w:ascii="Arial Narrow" w:eastAsia="Times New Roman" w:hAnsi="Arial Narrow" w:cs="Segoe UI"/>
          <w:b/>
          <w:bCs/>
          <w:i/>
          <w:iCs/>
          <w:color w:val="212121"/>
          <w:spacing w:val="-6"/>
          <w:sz w:val="26"/>
          <w:szCs w:val="26"/>
          <w:lang w:eastAsia="es-ES"/>
        </w:rPr>
        <w:t>Solución a los problemas jurídicos planteados.</w:t>
      </w:r>
    </w:p>
    <w:p w:rsidR="00667280" w:rsidRPr="00030BBA" w:rsidRDefault="00667280" w:rsidP="00030BBA">
      <w:pPr>
        <w:pStyle w:val="Sinespaciado"/>
        <w:spacing w:line="288" w:lineRule="auto"/>
        <w:ind w:firstLine="708"/>
        <w:jc w:val="both"/>
        <w:rPr>
          <w:rFonts w:ascii="Arial Narrow" w:hAnsi="Arial Narrow" w:cs="Times New Roman"/>
          <w:spacing w:val="-6"/>
          <w:sz w:val="26"/>
          <w:szCs w:val="26"/>
        </w:rPr>
      </w:pPr>
    </w:p>
    <w:p w:rsidR="00667280" w:rsidRDefault="00667280" w:rsidP="00030BBA">
      <w:pPr>
        <w:pStyle w:val="Sinespaciado"/>
        <w:spacing w:line="288" w:lineRule="auto"/>
        <w:ind w:firstLine="708"/>
        <w:jc w:val="both"/>
        <w:rPr>
          <w:rFonts w:ascii="Arial Narrow" w:hAnsi="Arial Narrow" w:cs="Times New Roman"/>
          <w:spacing w:val="-6"/>
          <w:sz w:val="26"/>
          <w:szCs w:val="26"/>
        </w:rPr>
      </w:pPr>
      <w:r w:rsidRPr="00030BBA">
        <w:rPr>
          <w:rFonts w:ascii="Arial Narrow" w:hAnsi="Arial Narrow" w:cs="Times New Roman"/>
          <w:spacing w:val="-6"/>
          <w:sz w:val="26"/>
          <w:szCs w:val="26"/>
        </w:rPr>
        <w:t xml:space="preserve">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rsidR="00030BBA" w:rsidRPr="00030BBA" w:rsidRDefault="00030BBA" w:rsidP="00030BBA">
      <w:pPr>
        <w:pStyle w:val="Sinespaciado"/>
        <w:spacing w:line="288" w:lineRule="auto"/>
        <w:ind w:firstLine="708"/>
        <w:jc w:val="both"/>
        <w:rPr>
          <w:rFonts w:ascii="Arial Narrow" w:hAnsi="Arial Narrow" w:cs="Times New Roman"/>
          <w:spacing w:val="-6"/>
          <w:sz w:val="26"/>
          <w:szCs w:val="26"/>
        </w:rPr>
      </w:pPr>
    </w:p>
    <w:p w:rsidR="00667280" w:rsidRDefault="00667280" w:rsidP="00030BBA">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p>
    <w:p w:rsidR="00030BBA" w:rsidRPr="00030BBA" w:rsidRDefault="00030BBA" w:rsidP="00030BBA">
      <w:pPr>
        <w:pStyle w:val="Sinespaciado"/>
        <w:spacing w:line="288" w:lineRule="auto"/>
        <w:ind w:firstLine="708"/>
        <w:jc w:val="both"/>
        <w:rPr>
          <w:rFonts w:ascii="Arial Narrow" w:hAnsi="Arial Narrow" w:cs="Times New Roman"/>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 xml:space="preserve">Tal cuerpo normativo se desarrolló, entre otras disposiciones, en el artículo 11 del Decreto 692 de 1994, al prescribir los elementos que </w:t>
      </w:r>
      <w:r w:rsidR="00262DED" w:rsidRPr="002615D7">
        <w:rPr>
          <w:rFonts w:ascii="Arial Narrow" w:hAnsi="Arial Narrow" w:cs="Times New Roman"/>
          <w:spacing w:val="-6"/>
          <w:sz w:val="26"/>
          <w:szCs w:val="26"/>
        </w:rPr>
        <w:t>deben</w:t>
      </w:r>
      <w:r w:rsidRPr="002615D7">
        <w:rPr>
          <w:rFonts w:ascii="Arial Narrow" w:hAnsi="Arial Narrow" w:cs="Times New Roman"/>
          <w:spacing w:val="-6"/>
          <w:sz w:val="26"/>
          <w:szCs w:val="26"/>
        </w:rPr>
        <w:t xml:space="preserve"> contener el formulario y, las consecuencias de la falta de alguno de dichos supuestos.</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jc w:val="both"/>
        <w:rPr>
          <w:rFonts w:ascii="Arial Narrow" w:hAnsi="Arial Narrow" w:cs="Times New Roman"/>
          <w:spacing w:val="-6"/>
          <w:sz w:val="26"/>
          <w:szCs w:val="26"/>
        </w:rPr>
      </w:pPr>
      <w:r w:rsidRPr="002615D7">
        <w:rPr>
          <w:rFonts w:ascii="Arial Narrow" w:hAnsi="Arial Narrow" w:cs="Times New Roman"/>
          <w:spacing w:val="-6"/>
          <w:sz w:val="26"/>
          <w:szCs w:val="26"/>
        </w:rPr>
        <w:t> </w:t>
      </w:r>
      <w:r w:rsidRPr="002615D7">
        <w:rPr>
          <w:rFonts w:ascii="Arial Narrow" w:hAnsi="Arial Narrow" w:cs="Times New Roman"/>
          <w:spacing w:val="-6"/>
          <w:sz w:val="26"/>
          <w:szCs w:val="26"/>
        </w:rPr>
        <w:tab/>
        <w:t>Complementario a dicho panorama legislativo está el Decreto 720 de 1994 (que entró en vigencia el 07 de abril de ese año), que establece la forma, condiciones y obligaciones que tienen los promotores, intermediarios y asesores de los fondos de pensiones, en el marco de lo indicado en los artículos 105 y 287 de la Ley 100 de 1993. Tal Decreto, en su canon 12 disciplina que:</w:t>
      </w:r>
    </w:p>
    <w:p w:rsidR="00667280" w:rsidRPr="002615D7" w:rsidRDefault="00667280"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 </w:t>
      </w:r>
    </w:p>
    <w:p w:rsidR="00667280" w:rsidRPr="00030BBA" w:rsidRDefault="00667280" w:rsidP="00030BBA">
      <w:pPr>
        <w:pStyle w:val="Sinespaciado"/>
        <w:ind w:left="426" w:right="420" w:firstLine="708"/>
        <w:jc w:val="both"/>
        <w:rPr>
          <w:rFonts w:ascii="Arial Narrow" w:hAnsi="Arial Narrow" w:cs="Times New Roman"/>
          <w:spacing w:val="-6"/>
          <w:sz w:val="24"/>
          <w:szCs w:val="26"/>
        </w:rPr>
      </w:pPr>
      <w:r w:rsidRPr="00030BBA">
        <w:rPr>
          <w:rFonts w:ascii="Arial Narrow" w:hAnsi="Arial Narrow" w:cs="Times New Roman"/>
          <w:i/>
          <w:iCs/>
          <w:spacing w:val="-6"/>
          <w:sz w:val="24"/>
          <w:szCs w:val="26"/>
        </w:rPr>
        <w:t>“OBLIGACION DE LOS PROMOTORES. Los promotores que empleen las sociedades administradoras del sistema general de pensiones </w:t>
      </w:r>
      <w:r w:rsidRPr="00030BBA">
        <w:rPr>
          <w:rFonts w:ascii="Arial Narrow" w:hAnsi="Arial Narrow" w:cs="Times New Roman"/>
          <w:b/>
          <w:bCs/>
          <w:i/>
          <w:iCs/>
          <w:spacing w:val="-6"/>
          <w:sz w:val="24"/>
          <w:szCs w:val="26"/>
        </w:rPr>
        <w:t>deberán suministrar suficiente, amplia y oportuna información a los posibles afiliados al momento de la promoción de la afiliación</w:t>
      </w:r>
      <w:r w:rsidRPr="00030BBA">
        <w:rPr>
          <w:rFonts w:ascii="Arial Narrow" w:hAnsi="Arial Narrow" w:cs="Times New Roman"/>
          <w:i/>
          <w:iCs/>
          <w:spacing w:val="-6"/>
          <w:sz w:val="24"/>
          <w:szCs w:val="26"/>
        </w:rPr>
        <w:t>, durante toda la vinculación con ocasión de las prestaciones a las cuales tenga derecho el afiliado”-negrillas para destacar-.</w:t>
      </w:r>
    </w:p>
    <w:p w:rsidR="00667280" w:rsidRPr="002615D7" w:rsidRDefault="00667280"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 </w:t>
      </w: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Al paso que su precepto 10 reza:</w:t>
      </w:r>
    </w:p>
    <w:p w:rsidR="00667280" w:rsidRPr="002615D7" w:rsidRDefault="00667280"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lastRenderedPageBreak/>
        <w:t> </w:t>
      </w:r>
    </w:p>
    <w:p w:rsidR="00667280" w:rsidRPr="00030BBA" w:rsidRDefault="00667280" w:rsidP="00030BBA">
      <w:pPr>
        <w:pStyle w:val="Sinespaciado"/>
        <w:ind w:left="426" w:right="420" w:firstLine="708"/>
        <w:jc w:val="both"/>
        <w:rPr>
          <w:rFonts w:ascii="Arial Narrow" w:hAnsi="Arial Narrow" w:cs="Times New Roman"/>
          <w:i/>
          <w:iCs/>
          <w:spacing w:val="-6"/>
          <w:sz w:val="24"/>
          <w:szCs w:val="26"/>
        </w:rPr>
      </w:pPr>
      <w:r w:rsidRPr="00030BBA">
        <w:rPr>
          <w:rFonts w:ascii="Arial Narrow" w:hAnsi="Arial Narrow" w:cs="Times New Roman"/>
          <w:i/>
          <w:iCs/>
          <w:spacing w:val="-6"/>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030BBA">
        <w:rPr>
          <w:rFonts w:ascii="Arial Narrow" w:hAnsi="Arial Narrow" w:cs="Times New Roman"/>
          <w:b/>
          <w:i/>
          <w:iCs/>
          <w:spacing w:val="-6"/>
          <w:sz w:val="24"/>
          <w:szCs w:val="26"/>
        </w:rPr>
        <w:t>compromete la responsabilidad de la sociedad administradora</w:t>
      </w:r>
      <w:r w:rsidRPr="00030BBA">
        <w:rPr>
          <w:rFonts w:ascii="Arial Narrow" w:hAnsi="Arial Narrow" w:cs="Times New Roman"/>
          <w:i/>
          <w:iCs/>
          <w:spacing w:val="-6"/>
          <w:sz w:val="24"/>
          <w:szCs w:val="26"/>
        </w:rPr>
        <w:t>... sin perjuicio de la responsabilidad de los promotores frente a la correspondiente sociedad administradora del sistema general de pensiones”.</w:t>
      </w:r>
    </w:p>
    <w:p w:rsidR="00667280" w:rsidRPr="002615D7" w:rsidRDefault="00667280"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 </w:t>
      </w: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667280" w:rsidRPr="002615D7" w:rsidRDefault="00667280"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 </w:t>
      </w:r>
    </w:p>
    <w:p w:rsidR="00667280" w:rsidRPr="00030BBA" w:rsidRDefault="00667280" w:rsidP="00030BBA">
      <w:pPr>
        <w:pStyle w:val="Sinespaciado"/>
        <w:ind w:left="426" w:right="420" w:firstLine="708"/>
        <w:jc w:val="both"/>
        <w:rPr>
          <w:rFonts w:ascii="Arial Narrow" w:hAnsi="Arial Narrow" w:cs="Times New Roman"/>
          <w:i/>
          <w:iCs/>
          <w:spacing w:val="-6"/>
          <w:sz w:val="24"/>
          <w:szCs w:val="26"/>
        </w:rPr>
      </w:pPr>
      <w:r w:rsidRPr="00030BBA">
        <w:rPr>
          <w:rFonts w:ascii="Arial Narrow" w:hAnsi="Arial Narrow" w:cs="Times New Roman"/>
          <w:i/>
          <w:iCs/>
          <w:spacing w:val="-6"/>
          <w:sz w:val="24"/>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Tal compendio normativo fue reiterado y mejorado mediante el Decreto 2241 de 2010, la Ley 1748 de 2014, y el Decreto 2071 de 2015, entre otras, expedidos con posterioridad a la ocurrencia del traslado que ocupa la atención de la Sala.</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spacing w:val="-6"/>
          <w:sz w:val="26"/>
          <w:szCs w:val="26"/>
        </w:rPr>
      </w:pPr>
      <w:r w:rsidRPr="002615D7">
        <w:rPr>
          <w:rFonts w:ascii="Arial Narrow" w:hAnsi="Arial Narrow" w:cs="Times New Roman"/>
          <w:spacing w:val="-6"/>
          <w:sz w:val="26"/>
          <w:szCs w:val="26"/>
        </w:rPr>
        <w:t xml:space="preserve">Aunada a esta copiosa legislación, el deber de información a cargo de las administradoras de pensiones, posee su apoyo jurisprudencial, entre otros en los fallos de 9 de septiembre de 2008, Radicación 31989 y 31314, 22 de noviembre de 2011, Radicación 33083, SL12136-2014 de septiembre 3 de 2014, radicación 46292, y más recientemente en sentencias </w:t>
      </w:r>
      <w:r w:rsidRPr="002615D7">
        <w:rPr>
          <w:rFonts w:ascii="Arial Narrow" w:hAnsi="Arial Narrow"/>
          <w:spacing w:val="-6"/>
          <w:sz w:val="26"/>
          <w:szCs w:val="26"/>
        </w:rPr>
        <w:t xml:space="preserve">SL1421 y 1688 del 10 de abril y 8 de mayo del año en curso, radicaciones 56174 y 68838. </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jc w:val="both"/>
        <w:rPr>
          <w:rFonts w:ascii="Arial Narrow" w:hAnsi="Arial Narrow" w:cs="Times New Roman"/>
          <w:spacing w:val="-6"/>
          <w:sz w:val="26"/>
          <w:szCs w:val="26"/>
        </w:rPr>
      </w:pPr>
      <w:r w:rsidRPr="002615D7">
        <w:rPr>
          <w:rFonts w:ascii="Arial Narrow" w:hAnsi="Arial Narrow" w:cs="Times New Roman"/>
          <w:spacing w:val="-6"/>
          <w:sz w:val="26"/>
          <w:szCs w:val="26"/>
        </w:rPr>
        <w:t> </w:t>
      </w:r>
      <w:r w:rsidRPr="002615D7">
        <w:rPr>
          <w:rFonts w:ascii="Arial Narrow" w:hAnsi="Arial Narrow" w:cs="Times New Roman"/>
          <w:spacing w:val="-6"/>
          <w:sz w:val="26"/>
          <w:szCs w:val="26"/>
        </w:rPr>
        <w:tab/>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667280" w:rsidRPr="002615D7" w:rsidRDefault="00667280"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 </w:t>
      </w: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ha diferenciarse, en lo relativo al mandato legal, en virtud del cual el afiliado no podrá trasladarse de régimen cuando le falten 10 años o menos para cumplir la edad mínima de pensión.</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 xml:space="preserve">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w:t>
      </w:r>
      <w:r w:rsidRPr="002615D7">
        <w:rPr>
          <w:rFonts w:ascii="Arial Narrow" w:hAnsi="Arial Narrow" w:cs="Times New Roman"/>
          <w:spacing w:val="-6"/>
          <w:sz w:val="26"/>
          <w:szCs w:val="26"/>
        </w:rPr>
        <w:lastRenderedPageBreak/>
        <w:t>presente, en que la parte actora, se duele de no haber recibido la información pertinente, oportuna y relevante al instante en que emigró del RPMPD, al RAIS.</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Ello, en obedecimiento a la sentencia del órgano de cierre de la especialidad laboral, SL4964/18, 14 noviembre de 2018, radicación 54814.</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que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rsidR="00667280" w:rsidRPr="002615D7" w:rsidRDefault="00667280" w:rsidP="002615D7">
      <w:pPr>
        <w:pStyle w:val="Sinespaciado"/>
        <w:spacing w:line="288" w:lineRule="auto"/>
        <w:rPr>
          <w:rFonts w:ascii="Arial Narrow" w:hAnsi="Arial Narrow"/>
          <w:spacing w:val="-6"/>
          <w:sz w:val="26"/>
          <w:szCs w:val="26"/>
        </w:rPr>
      </w:pPr>
    </w:p>
    <w:p w:rsidR="00667280"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Así las cosas, la eficacia del traslado es un aspecto que se analiza de manera independiente, así se perdiera o no el régimen de transición; si no que se hace desde la óptica del cumplimiento o no de las obligaciones propias de las AFP, respecto a la posibilidad de los usuarios de adoptar una decisión debida y suficientemente informada.</w:t>
      </w:r>
    </w:p>
    <w:p w:rsidR="00DC0BFB" w:rsidRPr="002615D7" w:rsidRDefault="00DC0BFB" w:rsidP="002615D7">
      <w:pPr>
        <w:pStyle w:val="Sinespaciado"/>
        <w:spacing w:line="288" w:lineRule="auto"/>
        <w:ind w:firstLine="708"/>
        <w:jc w:val="both"/>
        <w:rPr>
          <w:rFonts w:ascii="Arial Narrow" w:hAnsi="Arial Narrow" w:cs="Times New Roman"/>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Para cerrar este capítulo, resulta oportuno sostener que las obligadas, no podrían liberarse del deber de información, con la mera lectura a sus usuarios y afiliados, de la ley 100 y sus leyes y decretos reglamentarios, puesto que si en eso consistiera tal deber de información, les quedaría relevada por la presunción consagrada en el artículo 9º del Código Civil, de que todas las personas conocen las leyes vigentes en el país. </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 xml:space="preserve">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 </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 xml:space="preserve">Por otro lado, los múltiples traslados que en el interior del RAIS, se llegaren a producir, luego de que se hubiere emigrado del RPMPD, no posee ninguna connotación desfavorable a la súplica del </w:t>
      </w:r>
      <w:r w:rsidRPr="002615D7">
        <w:rPr>
          <w:rFonts w:ascii="Arial Narrow" w:hAnsi="Arial Narrow" w:cs="Times New Roman"/>
          <w:spacing w:val="-6"/>
          <w:sz w:val="26"/>
          <w:szCs w:val="26"/>
        </w:rPr>
        <w:lastRenderedPageBreak/>
        <w:t>demandante, toda vez que la institución de la ineficacia, por su efecto de darse de pleno derecho, ni es susceptible de su convalidación posterior, ni de ser atacado por el fenómeno de la prescripción.</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Esclarecidos lo anterior, que tienen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w:t>
      </w:r>
      <w:r w:rsidRPr="00DC0BFB">
        <w:rPr>
          <w:rFonts w:ascii="Arial Narrow" w:hAnsi="Arial Narrow" w:cs="Times New Roman"/>
          <w:i/>
          <w:iCs/>
          <w:spacing w:val="-6"/>
          <w:sz w:val="24"/>
          <w:szCs w:val="26"/>
        </w:rPr>
        <w:t>La prueba de la diligencia o cuidado incumbe al que ha debido emplearlo…</w:t>
      </w:r>
      <w:r w:rsidRPr="002615D7">
        <w:rPr>
          <w:rFonts w:ascii="Arial Narrow" w:hAnsi="Arial Narrow" w:cs="Times New Roman"/>
          <w:i/>
          <w:iCs/>
          <w:spacing w:val="-6"/>
          <w:sz w:val="26"/>
          <w:szCs w:val="26"/>
        </w:rPr>
        <w:t>”</w:t>
      </w:r>
      <w:r w:rsidRPr="002615D7">
        <w:rPr>
          <w:rFonts w:ascii="Arial Narrow" w:hAnsi="Arial Narrow" w:cs="Times New Roman"/>
          <w:spacing w:val="-6"/>
          <w:sz w:val="26"/>
          <w:szCs w:val="26"/>
        </w:rPr>
        <w:t>.</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667280" w:rsidRPr="002615D7" w:rsidRDefault="00667280"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 </w:t>
      </w: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Ante tal panorama, resulta prevalente, la aplicación al caso, el inciso final del canon 1604 del CC, que atrás se reprodujo.</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pStyle w:val="Sinespaciado"/>
        <w:spacing w:line="288" w:lineRule="auto"/>
        <w:ind w:firstLine="708"/>
        <w:jc w:val="both"/>
        <w:rPr>
          <w:rFonts w:ascii="Arial Narrow" w:hAnsi="Arial Narrow" w:cs="Times New Roman"/>
          <w:spacing w:val="-6"/>
          <w:sz w:val="26"/>
          <w:szCs w:val="26"/>
        </w:rPr>
      </w:pPr>
      <w:r w:rsidRPr="002615D7">
        <w:rPr>
          <w:rFonts w:ascii="Arial Narrow" w:hAnsi="Arial Narrow" w:cs="Times New Roman"/>
          <w:spacing w:val="-6"/>
          <w:sz w:val="26"/>
          <w:szCs w:val="26"/>
        </w:rPr>
        <w:t xml:space="preserve">Por consiguiente, son las </w:t>
      </w:r>
      <w:proofErr w:type="spellStart"/>
      <w:r w:rsidRPr="002615D7">
        <w:rPr>
          <w:rFonts w:ascii="Arial Narrow" w:hAnsi="Arial Narrow" w:cs="Times New Roman"/>
          <w:spacing w:val="-6"/>
          <w:sz w:val="26"/>
          <w:szCs w:val="26"/>
        </w:rPr>
        <w:t>AFPs</w:t>
      </w:r>
      <w:proofErr w:type="spellEnd"/>
      <w:r w:rsidRPr="002615D7">
        <w:rPr>
          <w:rFonts w:ascii="Arial Narrow" w:hAnsi="Arial Narrow" w:cs="Times New Roman"/>
          <w:spacing w:val="-6"/>
          <w:sz w:val="26"/>
          <w:szCs w:val="26"/>
        </w:rPr>
        <w:t xml:space="preserve">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667280" w:rsidRPr="002615D7" w:rsidRDefault="00667280" w:rsidP="002615D7">
      <w:pPr>
        <w:pStyle w:val="Sinespaciado"/>
        <w:spacing w:line="288" w:lineRule="auto"/>
        <w:rPr>
          <w:rFonts w:ascii="Arial Narrow" w:hAnsi="Arial Narrow"/>
          <w:spacing w:val="-6"/>
          <w:sz w:val="26"/>
          <w:szCs w:val="26"/>
          <w:lang w:eastAsia="es-ES"/>
        </w:rPr>
      </w:pPr>
    </w:p>
    <w:p w:rsidR="00667280" w:rsidRPr="002615D7" w:rsidRDefault="00667280" w:rsidP="002615D7">
      <w:pPr>
        <w:pStyle w:val="Sinespaciado"/>
        <w:spacing w:line="288" w:lineRule="auto"/>
        <w:ind w:firstLine="708"/>
        <w:jc w:val="both"/>
        <w:rPr>
          <w:rFonts w:ascii="Arial Narrow" w:hAnsi="Arial Narrow"/>
          <w:spacing w:val="-6"/>
          <w:sz w:val="26"/>
          <w:szCs w:val="26"/>
        </w:rPr>
      </w:pPr>
      <w:r w:rsidRPr="002615D7">
        <w:rPr>
          <w:rFonts w:ascii="Arial Narrow" w:hAnsi="Arial Narrow"/>
          <w:spacing w:val="-6"/>
          <w:sz w:val="26"/>
          <w:szCs w:val="26"/>
        </w:rPr>
        <w:t>Analizando este aspecto en el caso puntual, es necesario indicar que el fondo privado pasivo de esta acción, buscó demostrar su diligencia y cuidado con pruebas de naturaleza documental y con la declaración de parte de</w:t>
      </w:r>
      <w:r w:rsidR="004A6843" w:rsidRPr="002615D7">
        <w:rPr>
          <w:rFonts w:ascii="Arial Narrow" w:hAnsi="Arial Narrow"/>
          <w:spacing w:val="-6"/>
          <w:sz w:val="26"/>
          <w:szCs w:val="26"/>
        </w:rPr>
        <w:t>l actor</w:t>
      </w:r>
      <w:r w:rsidRPr="002615D7">
        <w:rPr>
          <w:rFonts w:ascii="Arial Narrow" w:hAnsi="Arial Narrow"/>
          <w:spacing w:val="-6"/>
          <w:sz w:val="26"/>
          <w:szCs w:val="26"/>
        </w:rPr>
        <w:t xml:space="preserve">. Respecto de las primeras ha de decirse que constan los folios </w:t>
      </w:r>
      <w:r w:rsidR="00246526" w:rsidRPr="002615D7">
        <w:rPr>
          <w:rFonts w:ascii="Arial Narrow" w:hAnsi="Arial Narrow"/>
          <w:spacing w:val="-6"/>
          <w:sz w:val="26"/>
          <w:szCs w:val="26"/>
        </w:rPr>
        <w:t>169 a 177,</w:t>
      </w:r>
      <w:r w:rsidRPr="002615D7">
        <w:rPr>
          <w:rFonts w:ascii="Arial Narrow" w:hAnsi="Arial Narrow"/>
          <w:spacing w:val="-6"/>
          <w:sz w:val="26"/>
          <w:szCs w:val="26"/>
        </w:rPr>
        <w:t xml:space="preserve"> consistentes en el formulario de afiliación a Colfondos S.A. y la historia laboral.</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shd w:val="clear" w:color="auto" w:fill="FFFFFF"/>
        <w:spacing w:after="0" w:line="288" w:lineRule="auto"/>
        <w:ind w:firstLine="708"/>
        <w:jc w:val="both"/>
        <w:rPr>
          <w:rFonts w:ascii="Arial Narrow" w:hAnsi="Arial Narrow"/>
          <w:spacing w:val="-6"/>
          <w:sz w:val="26"/>
          <w:szCs w:val="26"/>
        </w:rPr>
      </w:pPr>
      <w:r w:rsidRPr="002615D7">
        <w:rPr>
          <w:rFonts w:ascii="Arial Narrow" w:hAnsi="Arial Narrow"/>
          <w:spacing w:val="-6"/>
          <w:sz w:val="26"/>
          <w:szCs w:val="26"/>
        </w:rPr>
        <w:t>Tales documentos no evidencian ningún tipo de característica</w:t>
      </w:r>
      <w:r w:rsidR="00246526" w:rsidRPr="002615D7">
        <w:rPr>
          <w:rFonts w:ascii="Arial Narrow" w:hAnsi="Arial Narrow"/>
          <w:spacing w:val="-6"/>
          <w:sz w:val="26"/>
          <w:szCs w:val="26"/>
        </w:rPr>
        <w:t xml:space="preserve">s o elementos que permitieran al señor Jorge Enrique </w:t>
      </w:r>
      <w:r w:rsidR="002542A2" w:rsidRPr="002615D7">
        <w:rPr>
          <w:rFonts w:ascii="Arial Narrow" w:hAnsi="Arial Narrow"/>
          <w:spacing w:val="-6"/>
          <w:sz w:val="26"/>
          <w:szCs w:val="26"/>
        </w:rPr>
        <w:t>Hincapié</w:t>
      </w:r>
      <w:r w:rsidR="00246526" w:rsidRPr="002615D7">
        <w:rPr>
          <w:rFonts w:ascii="Arial Narrow" w:hAnsi="Arial Narrow"/>
          <w:spacing w:val="-6"/>
          <w:sz w:val="26"/>
          <w:szCs w:val="26"/>
        </w:rPr>
        <w:t xml:space="preserve"> Mora </w:t>
      </w:r>
      <w:r w:rsidRPr="002615D7">
        <w:rPr>
          <w:rFonts w:ascii="Arial Narrow" w:hAnsi="Arial Narrow"/>
          <w:spacing w:val="-6"/>
          <w:sz w:val="26"/>
          <w:szCs w:val="26"/>
        </w:rPr>
        <w:t xml:space="preserve">obtener una información clara, veraz, suficiente y objetiva, para tomar una decisión libre, consciente y voluntaria, con el debido conocimiento de </w:t>
      </w:r>
      <w:r w:rsidR="00246526" w:rsidRPr="002615D7">
        <w:rPr>
          <w:rFonts w:ascii="Arial Narrow" w:hAnsi="Arial Narrow"/>
          <w:spacing w:val="-6"/>
          <w:sz w:val="26"/>
          <w:szCs w:val="26"/>
        </w:rPr>
        <w:t xml:space="preserve">los pros y los contras, </w:t>
      </w:r>
      <w:r w:rsidRPr="002615D7">
        <w:rPr>
          <w:rFonts w:ascii="Arial Narrow" w:hAnsi="Arial Narrow"/>
          <w:spacing w:val="-6"/>
          <w:sz w:val="26"/>
          <w:szCs w:val="26"/>
        </w:rPr>
        <w:t>las consecuencias del traslado</w:t>
      </w:r>
      <w:r w:rsidR="00246526" w:rsidRPr="002615D7">
        <w:rPr>
          <w:rFonts w:ascii="Arial Narrow" w:hAnsi="Arial Narrow"/>
          <w:spacing w:val="-6"/>
          <w:sz w:val="26"/>
          <w:szCs w:val="26"/>
        </w:rPr>
        <w:t>, como era la pérdida del régimen de transición previsto en el artículo 36 de la Ley 100/93 del cual era beneficiario</w:t>
      </w:r>
      <w:r w:rsidRPr="002615D7">
        <w:rPr>
          <w:rFonts w:ascii="Arial Narrow" w:hAnsi="Arial Narrow"/>
          <w:spacing w:val="-6"/>
          <w:sz w:val="26"/>
          <w:szCs w:val="26"/>
        </w:rPr>
        <w:t xml:space="preserve">, pues era </w:t>
      </w:r>
      <w:r w:rsidR="00246526" w:rsidRPr="002615D7">
        <w:rPr>
          <w:rFonts w:ascii="Arial Narrow" w:hAnsi="Arial Narrow"/>
          <w:spacing w:val="-6"/>
          <w:sz w:val="26"/>
          <w:szCs w:val="26"/>
        </w:rPr>
        <w:t>el fondo privado q</w:t>
      </w:r>
      <w:r w:rsidRPr="002615D7">
        <w:rPr>
          <w:rFonts w:ascii="Arial Narrow" w:hAnsi="Arial Narrow"/>
          <w:spacing w:val="-6"/>
          <w:sz w:val="26"/>
          <w:szCs w:val="26"/>
        </w:rPr>
        <w:t xml:space="preserve">uien estaba asignado el actuar con el deber de cuidado y diligencia y por tanto demostrarlo, máxime por lo técnico del mismo, los factores y variables que le conforman, que no son aspectos de dominio público y, por lo mismo, deben </w:t>
      </w:r>
      <w:r w:rsidRPr="002615D7">
        <w:rPr>
          <w:rFonts w:ascii="Arial Narrow" w:hAnsi="Arial Narrow"/>
          <w:spacing w:val="-6"/>
          <w:sz w:val="26"/>
          <w:szCs w:val="26"/>
        </w:rPr>
        <w:lastRenderedPageBreak/>
        <w:t>explicarse claramente.</w:t>
      </w:r>
      <w:r w:rsidR="00246526" w:rsidRPr="002615D7">
        <w:rPr>
          <w:rFonts w:ascii="Arial Narrow" w:hAnsi="Arial Narrow"/>
          <w:spacing w:val="-6"/>
          <w:sz w:val="26"/>
          <w:szCs w:val="26"/>
        </w:rPr>
        <w:t xml:space="preserve"> Sin embargo, no se advierte de tales probanzas </w:t>
      </w:r>
      <w:r w:rsidR="002542A2" w:rsidRPr="002615D7">
        <w:rPr>
          <w:rFonts w:ascii="Arial Narrow" w:hAnsi="Arial Narrow"/>
          <w:spacing w:val="-6"/>
          <w:sz w:val="26"/>
          <w:szCs w:val="26"/>
        </w:rPr>
        <w:t xml:space="preserve">que se </w:t>
      </w:r>
      <w:r w:rsidR="00246526" w:rsidRPr="002615D7">
        <w:rPr>
          <w:rFonts w:ascii="Arial Narrow" w:hAnsi="Arial Narrow"/>
          <w:spacing w:val="-6"/>
          <w:sz w:val="26"/>
          <w:szCs w:val="26"/>
        </w:rPr>
        <w:t xml:space="preserve">hubiere sido tenida en cuenta la consideración especial que amparaba al demandante, en orden a ponderar la conveniencia o no de su traslado de régimen </w:t>
      </w:r>
      <w:r w:rsidR="002542A2" w:rsidRPr="002615D7">
        <w:rPr>
          <w:rFonts w:ascii="Arial Narrow" w:hAnsi="Arial Narrow"/>
          <w:spacing w:val="-6"/>
          <w:sz w:val="26"/>
          <w:szCs w:val="26"/>
        </w:rPr>
        <w:t xml:space="preserve">efectuado </w:t>
      </w:r>
      <w:r w:rsidR="00246526" w:rsidRPr="002615D7">
        <w:rPr>
          <w:rFonts w:ascii="Arial Narrow" w:hAnsi="Arial Narrow"/>
          <w:spacing w:val="-6"/>
          <w:sz w:val="26"/>
          <w:szCs w:val="26"/>
        </w:rPr>
        <w:t xml:space="preserve">en el 2004, pues </w:t>
      </w:r>
      <w:r w:rsidR="002542A2" w:rsidRPr="002615D7">
        <w:rPr>
          <w:rFonts w:ascii="Arial Narrow" w:hAnsi="Arial Narrow"/>
          <w:spacing w:val="-6"/>
          <w:sz w:val="26"/>
          <w:szCs w:val="26"/>
        </w:rPr>
        <w:t xml:space="preserve">el que se intentó en tiempo anterior, no </w:t>
      </w:r>
      <w:r w:rsidR="00246526" w:rsidRPr="002615D7">
        <w:rPr>
          <w:rFonts w:ascii="Arial Narrow" w:hAnsi="Arial Narrow"/>
          <w:spacing w:val="-6"/>
          <w:sz w:val="26"/>
          <w:szCs w:val="26"/>
        </w:rPr>
        <w:t xml:space="preserve">surtió ningún efecto jurídico. </w:t>
      </w:r>
    </w:p>
    <w:p w:rsidR="00667280" w:rsidRPr="002615D7" w:rsidRDefault="00667280" w:rsidP="002615D7">
      <w:pPr>
        <w:pStyle w:val="Sinespaciado"/>
        <w:spacing w:line="288" w:lineRule="auto"/>
        <w:rPr>
          <w:rFonts w:ascii="Arial Narrow" w:hAnsi="Arial Narrow"/>
          <w:spacing w:val="-6"/>
          <w:sz w:val="26"/>
          <w:szCs w:val="26"/>
          <w:lang w:eastAsia="es-ES"/>
        </w:rPr>
      </w:pPr>
    </w:p>
    <w:p w:rsidR="00667280" w:rsidRPr="002615D7" w:rsidRDefault="00667280" w:rsidP="002615D7">
      <w:pPr>
        <w:shd w:val="clear" w:color="auto" w:fill="FFFFFF"/>
        <w:tabs>
          <w:tab w:val="left" w:pos="1610"/>
        </w:tabs>
        <w:spacing w:after="0" w:line="288" w:lineRule="auto"/>
        <w:ind w:firstLine="708"/>
        <w:jc w:val="both"/>
        <w:rPr>
          <w:rFonts w:ascii="Arial Narrow" w:hAnsi="Arial Narrow"/>
          <w:color w:val="FF0000"/>
          <w:spacing w:val="-6"/>
          <w:sz w:val="26"/>
          <w:szCs w:val="26"/>
        </w:rPr>
      </w:pPr>
      <w:r w:rsidRPr="002615D7">
        <w:rPr>
          <w:rFonts w:ascii="Arial Narrow" w:hAnsi="Arial Narrow"/>
          <w:spacing w:val="-6"/>
          <w:sz w:val="26"/>
          <w:szCs w:val="26"/>
        </w:rPr>
        <w:t>Tampoco la declaración de parte da fe de que se hubiere cumplido con la información debida</w:t>
      </w:r>
      <w:r w:rsidR="002542A2" w:rsidRPr="002615D7">
        <w:rPr>
          <w:rFonts w:ascii="Arial Narrow" w:hAnsi="Arial Narrow"/>
          <w:spacing w:val="-6"/>
          <w:sz w:val="26"/>
          <w:szCs w:val="26"/>
        </w:rPr>
        <w:t xml:space="preserve"> por parte del fondo, </w:t>
      </w:r>
      <w:r w:rsidRPr="002615D7">
        <w:rPr>
          <w:rFonts w:ascii="Arial Narrow" w:hAnsi="Arial Narrow"/>
          <w:spacing w:val="-6"/>
          <w:sz w:val="26"/>
          <w:szCs w:val="26"/>
        </w:rPr>
        <w:t xml:space="preserve">puesto que al analizar </w:t>
      </w:r>
      <w:r w:rsidR="00246526" w:rsidRPr="002615D7">
        <w:rPr>
          <w:rFonts w:ascii="Arial Narrow" w:hAnsi="Arial Narrow"/>
          <w:spacing w:val="-6"/>
          <w:sz w:val="26"/>
          <w:szCs w:val="26"/>
        </w:rPr>
        <w:t xml:space="preserve">sus manifestaciones, no se observa que el actor </w:t>
      </w:r>
      <w:r w:rsidRPr="002615D7">
        <w:rPr>
          <w:rFonts w:ascii="Arial Narrow" w:hAnsi="Arial Narrow"/>
          <w:spacing w:val="-6"/>
          <w:sz w:val="26"/>
          <w:szCs w:val="26"/>
        </w:rPr>
        <w:t>hubiere admitido haber recibido información sufi</w:t>
      </w:r>
      <w:r w:rsidR="00246526" w:rsidRPr="002615D7">
        <w:rPr>
          <w:rFonts w:ascii="Arial Narrow" w:hAnsi="Arial Narrow"/>
          <w:spacing w:val="-6"/>
          <w:sz w:val="26"/>
          <w:szCs w:val="26"/>
        </w:rPr>
        <w:t xml:space="preserve">ciente, clara y completa, pues </w:t>
      </w:r>
      <w:r w:rsidR="002542A2" w:rsidRPr="002615D7">
        <w:rPr>
          <w:rFonts w:ascii="Arial Narrow" w:hAnsi="Arial Narrow"/>
          <w:spacing w:val="-6"/>
          <w:sz w:val="26"/>
          <w:szCs w:val="26"/>
        </w:rPr>
        <w:t xml:space="preserve">él </w:t>
      </w:r>
      <w:r w:rsidR="00121035" w:rsidRPr="002615D7">
        <w:rPr>
          <w:rFonts w:ascii="Arial Narrow" w:hAnsi="Arial Narrow"/>
          <w:spacing w:val="-6"/>
          <w:sz w:val="26"/>
          <w:szCs w:val="26"/>
        </w:rPr>
        <w:t>manifestó que únicamente le informaron que el ISS se iba acabar y que en el régimen de ahorro individual podría obtener una mejor pensión. Indicó que optó por cambiarse de régimen debido a las grandes campañas promocionales que hacían los fondos privados, que recibió una charla general en la empresa donde laboraba, junto con 10 o 15 personas más donde les entregaron la información</w:t>
      </w:r>
      <w:r w:rsidR="002542A2" w:rsidRPr="002615D7">
        <w:rPr>
          <w:rFonts w:ascii="Arial Narrow" w:hAnsi="Arial Narrow"/>
          <w:spacing w:val="-6"/>
          <w:sz w:val="26"/>
          <w:szCs w:val="26"/>
        </w:rPr>
        <w:t xml:space="preserve"> antes referida</w:t>
      </w:r>
      <w:r w:rsidR="00121035" w:rsidRPr="002615D7">
        <w:rPr>
          <w:rFonts w:ascii="Arial Narrow" w:hAnsi="Arial Narrow"/>
          <w:spacing w:val="-6"/>
          <w:sz w:val="26"/>
          <w:szCs w:val="26"/>
        </w:rPr>
        <w:t xml:space="preserve">. Negó en todo caso haber recibido información sobre aspectos tales como la forma en que podía pensionarse en forma anticipada, los rendimientos que le generarían los aportes y, la posibilidad de que los recursos pudieran acrecentar la masa </w:t>
      </w:r>
      <w:proofErr w:type="spellStart"/>
      <w:r w:rsidR="00121035" w:rsidRPr="002615D7">
        <w:rPr>
          <w:rFonts w:ascii="Arial Narrow" w:hAnsi="Arial Narrow"/>
          <w:spacing w:val="-6"/>
          <w:sz w:val="26"/>
          <w:szCs w:val="26"/>
        </w:rPr>
        <w:t>sucesoral</w:t>
      </w:r>
      <w:proofErr w:type="spellEnd"/>
      <w:r w:rsidR="00121035" w:rsidRPr="002615D7">
        <w:rPr>
          <w:rFonts w:ascii="Arial Narrow" w:hAnsi="Arial Narrow"/>
          <w:spacing w:val="-6"/>
          <w:sz w:val="26"/>
          <w:szCs w:val="26"/>
        </w:rPr>
        <w:t xml:space="preserve"> en caso de no existir beneficiarios. </w:t>
      </w:r>
    </w:p>
    <w:p w:rsidR="00667280" w:rsidRPr="002615D7" w:rsidRDefault="00667280"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ab/>
      </w:r>
    </w:p>
    <w:p w:rsidR="002542A2" w:rsidRPr="002615D7" w:rsidRDefault="00667280" w:rsidP="002615D7">
      <w:pPr>
        <w:pStyle w:val="Sinespaciado"/>
        <w:spacing w:line="288" w:lineRule="auto"/>
        <w:ind w:firstLine="708"/>
        <w:jc w:val="both"/>
        <w:rPr>
          <w:rFonts w:ascii="Arial Narrow" w:hAnsi="Arial Narrow" w:cs="Segoe UI"/>
          <w:color w:val="212121"/>
          <w:spacing w:val="-6"/>
          <w:sz w:val="26"/>
          <w:szCs w:val="26"/>
          <w:shd w:val="clear" w:color="auto" w:fill="FFFFFF"/>
        </w:rPr>
      </w:pPr>
      <w:r w:rsidRPr="002615D7">
        <w:rPr>
          <w:rFonts w:ascii="Arial Narrow" w:hAnsi="Arial Narrow" w:cs="Segoe UI"/>
          <w:color w:val="212121"/>
          <w:spacing w:val="-6"/>
          <w:sz w:val="26"/>
          <w:szCs w:val="26"/>
        </w:rPr>
        <w:t>De lo anterior, se</w:t>
      </w:r>
      <w:r w:rsidRPr="002615D7">
        <w:rPr>
          <w:rFonts w:ascii="Arial Narrow" w:hAnsi="Arial Narrow" w:cs="Segoe UI"/>
          <w:color w:val="212121"/>
          <w:spacing w:val="-6"/>
          <w:sz w:val="26"/>
          <w:szCs w:val="26"/>
          <w:shd w:val="clear" w:color="auto" w:fill="FFFFFF"/>
        </w:rPr>
        <w:t xml:space="preserve"> concluye, entonces, que </w:t>
      </w:r>
      <w:r w:rsidR="002542A2" w:rsidRPr="002615D7">
        <w:rPr>
          <w:rFonts w:ascii="Arial Narrow" w:hAnsi="Arial Narrow" w:cs="Segoe UI"/>
          <w:color w:val="212121"/>
          <w:spacing w:val="-6"/>
          <w:sz w:val="26"/>
          <w:szCs w:val="26"/>
          <w:shd w:val="clear" w:color="auto" w:fill="FFFFFF"/>
        </w:rPr>
        <w:t xml:space="preserve">la AFP demandada incumplió la carga que le correspondía de acreditar la existencia de una decisión informada al actor, acerca de las implicaciones </w:t>
      </w:r>
      <w:r w:rsidR="002542A2" w:rsidRPr="002615D7">
        <w:rPr>
          <w:rFonts w:ascii="Arial Narrow" w:hAnsi="Arial Narrow" w:cs="Arial"/>
          <w:color w:val="000000"/>
          <w:spacing w:val="-6"/>
          <w:sz w:val="26"/>
          <w:szCs w:val="26"/>
          <w:shd w:val="clear" w:color="auto" w:fill="FFFFFF"/>
        </w:rPr>
        <w:t>del traslado de régimen pensional, ante el hecho indubitable de pertenecer al contingente de personas cobijadas con el régimen de transición</w:t>
      </w:r>
      <w:r w:rsidR="002542A2" w:rsidRPr="002615D7">
        <w:rPr>
          <w:rFonts w:ascii="Arial Narrow" w:hAnsi="Arial Narrow" w:cs="Segoe UI"/>
          <w:color w:val="212121"/>
          <w:spacing w:val="-6"/>
          <w:sz w:val="26"/>
          <w:szCs w:val="26"/>
          <w:shd w:val="clear" w:color="auto" w:fill="FFFFFF"/>
        </w:rPr>
        <w:t xml:space="preserve">, </w:t>
      </w:r>
      <w:r w:rsidRPr="002615D7">
        <w:rPr>
          <w:rFonts w:ascii="Arial Narrow" w:hAnsi="Arial Narrow"/>
          <w:spacing w:val="-6"/>
          <w:sz w:val="26"/>
          <w:szCs w:val="26"/>
        </w:rPr>
        <w:t xml:space="preserve">razón por la cual el traslado ocurrido materialmente el 26 de octubre de 1998, es </w:t>
      </w:r>
      <w:r w:rsidR="00262DED" w:rsidRPr="002615D7">
        <w:rPr>
          <w:rFonts w:ascii="Arial Narrow" w:hAnsi="Arial Narrow"/>
          <w:spacing w:val="-6"/>
          <w:sz w:val="26"/>
          <w:szCs w:val="26"/>
        </w:rPr>
        <w:t xml:space="preserve">ineficaz, </w:t>
      </w:r>
      <w:r w:rsidR="002542A2" w:rsidRPr="002615D7">
        <w:rPr>
          <w:rFonts w:ascii="Arial Narrow" w:hAnsi="Arial Narrow"/>
          <w:spacing w:val="-6"/>
          <w:sz w:val="26"/>
          <w:szCs w:val="26"/>
        </w:rPr>
        <w:t xml:space="preserve">como lo dedujo el </w:t>
      </w:r>
      <w:r w:rsidRPr="002615D7">
        <w:rPr>
          <w:rFonts w:ascii="Arial Narrow" w:hAnsi="Arial Narrow"/>
          <w:spacing w:val="-6"/>
          <w:sz w:val="26"/>
          <w:szCs w:val="26"/>
        </w:rPr>
        <w:t xml:space="preserve">a-quo, puesto que la suscripción del formulario de afiliación no es prueba suficiente de que recibió la información idónea y suficiente para el traslado. </w:t>
      </w:r>
    </w:p>
    <w:p w:rsidR="002542A2" w:rsidRPr="002615D7" w:rsidRDefault="002542A2"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ab/>
      </w:r>
    </w:p>
    <w:p w:rsidR="00014161" w:rsidRPr="002615D7" w:rsidRDefault="00667280" w:rsidP="002615D7">
      <w:pPr>
        <w:pStyle w:val="Sinespaciado"/>
        <w:spacing w:line="288" w:lineRule="auto"/>
        <w:ind w:firstLine="708"/>
        <w:jc w:val="both"/>
        <w:rPr>
          <w:rFonts w:ascii="Arial Narrow" w:hAnsi="Arial Narrow" w:cs="Estrangelo Edessa"/>
          <w:spacing w:val="-6"/>
          <w:sz w:val="26"/>
          <w:szCs w:val="26"/>
        </w:rPr>
      </w:pPr>
      <w:r w:rsidRPr="002615D7">
        <w:rPr>
          <w:rFonts w:ascii="Arial Narrow" w:hAnsi="Arial Narrow" w:cs="Estrangelo Edessa"/>
          <w:spacing w:val="-6"/>
          <w:sz w:val="26"/>
          <w:szCs w:val="26"/>
        </w:rPr>
        <w:t>Tal declaració</w:t>
      </w:r>
      <w:r w:rsidR="00014161" w:rsidRPr="002615D7">
        <w:rPr>
          <w:rFonts w:ascii="Arial Narrow" w:hAnsi="Arial Narrow" w:cs="Estrangelo Edessa"/>
          <w:spacing w:val="-6"/>
          <w:sz w:val="26"/>
          <w:szCs w:val="26"/>
        </w:rPr>
        <w:t>n trae además como consecuencia ineludible, la recuperación del régimen de transición previsto en el artículo 36 de la Ley 100/93, del que era acreedor el demandante, por tener al 1º de abril de 1994 más de 40 años de edad, y por contar conforme las exigenc</w:t>
      </w:r>
      <w:r w:rsidR="00B06D0D" w:rsidRPr="002615D7">
        <w:rPr>
          <w:rFonts w:ascii="Arial Narrow" w:hAnsi="Arial Narrow" w:cs="Estrangelo Edessa"/>
          <w:spacing w:val="-6"/>
          <w:sz w:val="26"/>
          <w:szCs w:val="26"/>
        </w:rPr>
        <w:t xml:space="preserve">ias del Acto Legislativo 01/05, con más de 750 semanas al 29 de julio de 2005, concretamente, 1128, ver folio 40 y ss. </w:t>
      </w:r>
    </w:p>
    <w:p w:rsidR="00B06D0D" w:rsidRPr="002615D7" w:rsidRDefault="00B06D0D" w:rsidP="002615D7">
      <w:pPr>
        <w:pStyle w:val="Sinespaciado"/>
        <w:spacing w:line="288" w:lineRule="auto"/>
        <w:ind w:firstLine="708"/>
        <w:jc w:val="both"/>
        <w:rPr>
          <w:rFonts w:ascii="Arial Narrow" w:hAnsi="Arial Narrow"/>
          <w:spacing w:val="-6"/>
          <w:sz w:val="26"/>
          <w:szCs w:val="26"/>
        </w:rPr>
      </w:pPr>
    </w:p>
    <w:p w:rsidR="00014161" w:rsidRPr="00DC0BFB" w:rsidRDefault="00014161" w:rsidP="00DC0BFB">
      <w:pPr>
        <w:pStyle w:val="Sinespaciado"/>
        <w:spacing w:line="288" w:lineRule="auto"/>
        <w:ind w:firstLine="708"/>
        <w:jc w:val="both"/>
        <w:rPr>
          <w:rFonts w:ascii="Arial Narrow" w:hAnsi="Arial Narrow" w:cs="Estrangelo Edessa"/>
          <w:spacing w:val="-6"/>
          <w:sz w:val="26"/>
          <w:szCs w:val="26"/>
        </w:rPr>
      </w:pPr>
      <w:r w:rsidRPr="00DC0BFB">
        <w:rPr>
          <w:rFonts w:ascii="Arial Narrow" w:hAnsi="Arial Narrow" w:cs="Estrangelo Edessa"/>
          <w:spacing w:val="-6"/>
          <w:sz w:val="26"/>
          <w:szCs w:val="26"/>
        </w:rPr>
        <w:t xml:space="preserve">Estando el demandante en el contingente de personas cobijadas por la transición, su situación pensional debió ser analizada conforme al régimen anterior al cual se encontraba afiliado antes de la entrada en vigencia del Sistema General de Pensiones. </w:t>
      </w:r>
    </w:p>
    <w:p w:rsidR="00014161" w:rsidRPr="002615D7" w:rsidRDefault="00014161" w:rsidP="002615D7">
      <w:pPr>
        <w:pStyle w:val="Sinespaciado"/>
        <w:spacing w:line="288" w:lineRule="auto"/>
        <w:rPr>
          <w:rFonts w:ascii="Arial Narrow" w:hAnsi="Arial Narrow"/>
          <w:spacing w:val="-6"/>
          <w:sz w:val="26"/>
          <w:szCs w:val="26"/>
        </w:rPr>
      </w:pPr>
    </w:p>
    <w:p w:rsidR="00262DED" w:rsidRPr="00DC0BFB" w:rsidRDefault="00014161" w:rsidP="00DC0BFB">
      <w:pPr>
        <w:pStyle w:val="Sinespaciado"/>
        <w:spacing w:line="288" w:lineRule="auto"/>
        <w:ind w:firstLine="708"/>
        <w:jc w:val="both"/>
        <w:rPr>
          <w:rFonts w:ascii="Arial Narrow" w:hAnsi="Arial Narrow" w:cs="Estrangelo Edessa"/>
          <w:spacing w:val="-6"/>
          <w:sz w:val="26"/>
          <w:szCs w:val="26"/>
        </w:rPr>
      </w:pPr>
      <w:r w:rsidRPr="00DC0BFB">
        <w:rPr>
          <w:rFonts w:ascii="Arial Narrow" w:hAnsi="Arial Narrow" w:cs="Estrangelo Edessa"/>
          <w:spacing w:val="-6"/>
          <w:sz w:val="26"/>
          <w:szCs w:val="26"/>
        </w:rPr>
        <w:t xml:space="preserve">El juez de conocimiento </w:t>
      </w:r>
      <w:r w:rsidR="00262DED" w:rsidRPr="00DC0BFB">
        <w:rPr>
          <w:rFonts w:ascii="Arial Narrow" w:hAnsi="Arial Narrow" w:cs="Estrangelo Edessa"/>
          <w:spacing w:val="-6"/>
          <w:sz w:val="26"/>
          <w:szCs w:val="26"/>
        </w:rPr>
        <w:t xml:space="preserve">aplicó </w:t>
      </w:r>
      <w:r w:rsidRPr="00DC0BFB">
        <w:rPr>
          <w:rFonts w:ascii="Arial Narrow" w:hAnsi="Arial Narrow" w:cs="Estrangelo Edessa"/>
          <w:spacing w:val="-6"/>
          <w:sz w:val="26"/>
          <w:szCs w:val="26"/>
        </w:rPr>
        <w:t xml:space="preserve">el régimen pensional contenido en la Ley 71 de 1988, </w:t>
      </w:r>
      <w:r w:rsidR="005D64F6" w:rsidRPr="00DC0BFB">
        <w:rPr>
          <w:rFonts w:ascii="Arial Narrow" w:hAnsi="Arial Narrow" w:cs="Estrangelo Edessa"/>
          <w:spacing w:val="-6"/>
          <w:sz w:val="26"/>
          <w:szCs w:val="26"/>
        </w:rPr>
        <w:t xml:space="preserve">en razón a la existencia de tiempos laborados tanto en el sector público como en el privado; </w:t>
      </w:r>
      <w:r w:rsidRPr="00DC0BFB">
        <w:rPr>
          <w:rFonts w:ascii="Arial Narrow" w:hAnsi="Arial Narrow" w:cs="Estrangelo Edessa"/>
          <w:spacing w:val="-6"/>
          <w:sz w:val="26"/>
          <w:szCs w:val="26"/>
        </w:rPr>
        <w:t>sin embargo, la parte actora se mostró inconforme con dicha determinación</w:t>
      </w:r>
      <w:r w:rsidR="00DA6BC9" w:rsidRPr="00DC0BFB">
        <w:rPr>
          <w:rFonts w:ascii="Arial Narrow" w:hAnsi="Arial Narrow" w:cs="Estrangelo Edessa"/>
          <w:spacing w:val="-6"/>
          <w:sz w:val="26"/>
          <w:szCs w:val="26"/>
        </w:rPr>
        <w:t xml:space="preserve">, </w:t>
      </w:r>
      <w:r w:rsidR="00262DED" w:rsidRPr="00DC0BFB">
        <w:rPr>
          <w:rFonts w:ascii="Arial Narrow" w:hAnsi="Arial Narrow" w:cs="Estrangelo Edessa"/>
          <w:spacing w:val="-6"/>
          <w:sz w:val="26"/>
          <w:szCs w:val="26"/>
        </w:rPr>
        <w:t xml:space="preserve">arguyendo que la jurisprudencia de la Corte Constitucional, entre otras, en sentencia SU 769 de 2014, ha establecido la posibilidad de acumular tiempos del sector público y privado para el reconocimiento de pensiones de vejez con fundamento en el  Acuerdo 049/90, por lo que solicita se dé aplicación a esta normativa.  </w:t>
      </w:r>
    </w:p>
    <w:p w:rsidR="00262DED" w:rsidRPr="002615D7" w:rsidRDefault="00262DED" w:rsidP="002615D7">
      <w:pPr>
        <w:pStyle w:val="Sinespaciado"/>
        <w:spacing w:line="288" w:lineRule="auto"/>
        <w:rPr>
          <w:rFonts w:ascii="Arial Narrow" w:hAnsi="Arial Narrow"/>
          <w:spacing w:val="-6"/>
          <w:sz w:val="26"/>
          <w:szCs w:val="26"/>
        </w:rPr>
      </w:pPr>
    </w:p>
    <w:p w:rsidR="00B1396E" w:rsidRPr="002615D7" w:rsidRDefault="00B1396E" w:rsidP="002615D7">
      <w:pPr>
        <w:pStyle w:val="Sinespaciado"/>
        <w:tabs>
          <w:tab w:val="left" w:pos="6086"/>
        </w:tabs>
        <w:spacing w:line="288" w:lineRule="auto"/>
        <w:ind w:firstLine="708"/>
        <w:jc w:val="both"/>
        <w:rPr>
          <w:rFonts w:ascii="Arial Narrow" w:hAnsi="Arial Narrow"/>
          <w:spacing w:val="-6"/>
          <w:sz w:val="26"/>
          <w:szCs w:val="26"/>
          <w:shd w:val="clear" w:color="auto" w:fill="FFFFFF"/>
        </w:rPr>
      </w:pPr>
      <w:r w:rsidRPr="002615D7">
        <w:rPr>
          <w:rFonts w:ascii="Arial Narrow" w:hAnsi="Arial Narrow" w:cs="Estrangelo Edessa"/>
          <w:spacing w:val="-6"/>
          <w:sz w:val="26"/>
          <w:szCs w:val="26"/>
        </w:rPr>
        <w:t>Para resolver tal cuestionamiento, basta precisar que en efecto es alta magistratura en la providencia en mención unificó su postura en torno a la posibilidad de acumular tiempos de servicios t</w:t>
      </w:r>
      <w:r w:rsidRPr="002615D7">
        <w:rPr>
          <w:rFonts w:ascii="Arial Narrow" w:hAnsi="Arial Narrow"/>
          <w:spacing w:val="-6"/>
          <w:sz w:val="26"/>
          <w:szCs w:val="26"/>
          <w:shd w:val="clear" w:color="auto" w:fill="FFFFFF"/>
        </w:rPr>
        <w:t xml:space="preserve">anto del sector público cotizados a cajas o fondos de previsión social, como del sector privado cotizados al Instituto de Seguros Sociales hoy Colpensiones, a fin de reconocer pensiones de vejez con fundamento en el Acuerdo 049/90, con el argumento de que el régimen de transición se limitó únicamente a tres ítems: edad, número de semanas y monto de la pensión, sin contemplar la regla </w:t>
      </w:r>
      <w:r w:rsidRPr="002615D7">
        <w:rPr>
          <w:rFonts w:ascii="Arial Narrow" w:hAnsi="Arial Narrow"/>
          <w:spacing w:val="-6"/>
          <w:sz w:val="26"/>
          <w:szCs w:val="26"/>
          <w:shd w:val="clear" w:color="auto" w:fill="FFFFFF"/>
        </w:rPr>
        <w:lastRenderedPageBreak/>
        <w:t>referente al cómputo de las semanas, razón por la que consideró que tal requisito es determinado según lo dispuesto en la Ley 100 de 1993, norma que sí permite la referida acumulación de tiempos de servicios.</w:t>
      </w:r>
    </w:p>
    <w:p w:rsidR="00B1396E" w:rsidRPr="002615D7" w:rsidRDefault="00B1396E"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shd w:val="clear" w:color="auto" w:fill="FFFFFF"/>
        </w:rPr>
        <w:tab/>
      </w:r>
    </w:p>
    <w:p w:rsidR="00B1396E" w:rsidRPr="002615D7" w:rsidRDefault="00B1396E" w:rsidP="002615D7">
      <w:pPr>
        <w:pStyle w:val="Sinespaciado"/>
        <w:tabs>
          <w:tab w:val="left" w:pos="6086"/>
        </w:tabs>
        <w:spacing w:line="288" w:lineRule="auto"/>
        <w:ind w:firstLine="708"/>
        <w:jc w:val="both"/>
        <w:rPr>
          <w:rFonts w:ascii="Arial Narrow" w:hAnsi="Arial Narrow"/>
          <w:spacing w:val="-6"/>
          <w:sz w:val="26"/>
          <w:szCs w:val="26"/>
        </w:rPr>
      </w:pPr>
      <w:r w:rsidRPr="002615D7">
        <w:rPr>
          <w:rFonts w:ascii="Arial Narrow" w:hAnsi="Arial Narrow"/>
          <w:spacing w:val="-6"/>
          <w:sz w:val="26"/>
          <w:szCs w:val="26"/>
          <w:shd w:val="clear" w:color="auto" w:fill="FFFFFF"/>
        </w:rPr>
        <w:t xml:space="preserve">Idéntica tesis fue asumida por una integrante de la Sala de Casación Laboral, mediante salvamento de voto a las sentencias SL 21061 de 2017 y SL536 de 2018.  </w:t>
      </w:r>
    </w:p>
    <w:p w:rsidR="00B1396E" w:rsidRPr="002615D7" w:rsidRDefault="00B1396E"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ab/>
      </w:r>
    </w:p>
    <w:p w:rsidR="00B1396E" w:rsidRPr="002615D7" w:rsidRDefault="00B1396E" w:rsidP="002615D7">
      <w:pPr>
        <w:pStyle w:val="Sinespaciado"/>
        <w:tabs>
          <w:tab w:val="left" w:pos="6086"/>
        </w:tabs>
        <w:spacing w:line="288" w:lineRule="auto"/>
        <w:ind w:firstLine="708"/>
        <w:jc w:val="both"/>
        <w:rPr>
          <w:rFonts w:ascii="Arial Narrow" w:hAnsi="Arial Narrow"/>
          <w:spacing w:val="-6"/>
          <w:sz w:val="26"/>
          <w:szCs w:val="26"/>
          <w:shd w:val="clear" w:color="auto" w:fill="FFFFFF"/>
        </w:rPr>
      </w:pPr>
      <w:r w:rsidRPr="002615D7">
        <w:rPr>
          <w:rFonts w:ascii="Arial Narrow" w:hAnsi="Arial Narrow"/>
          <w:spacing w:val="-6"/>
          <w:sz w:val="26"/>
          <w:szCs w:val="26"/>
          <w:shd w:val="clear" w:color="auto" w:fill="FFFFFF"/>
        </w:rPr>
        <w:t xml:space="preserve">No obstante, dicha postura, ha sido acogida de tiempo atrás por la mayoría de los integrantes de esta Sala de Decisión, empero, </w:t>
      </w:r>
      <w:r w:rsidR="00D40113" w:rsidRPr="002615D7">
        <w:rPr>
          <w:rFonts w:ascii="Arial Narrow" w:hAnsi="Arial Narrow"/>
          <w:spacing w:val="-6"/>
          <w:sz w:val="26"/>
          <w:szCs w:val="26"/>
          <w:shd w:val="clear" w:color="auto" w:fill="FFFFFF"/>
        </w:rPr>
        <w:t xml:space="preserve">desde el </w:t>
      </w:r>
      <w:proofErr w:type="spellStart"/>
      <w:r w:rsidR="00D40113" w:rsidRPr="002615D7">
        <w:rPr>
          <w:rFonts w:ascii="Arial Narrow" w:hAnsi="Arial Narrow"/>
          <w:spacing w:val="-6"/>
          <w:sz w:val="26"/>
          <w:szCs w:val="26"/>
          <w:shd w:val="clear" w:color="auto" w:fill="FFFFFF"/>
        </w:rPr>
        <w:t>proferimiento</w:t>
      </w:r>
      <w:proofErr w:type="spellEnd"/>
      <w:r w:rsidR="00D40113" w:rsidRPr="002615D7">
        <w:rPr>
          <w:rFonts w:ascii="Arial Narrow" w:hAnsi="Arial Narrow"/>
          <w:spacing w:val="-6"/>
          <w:sz w:val="26"/>
          <w:szCs w:val="26"/>
          <w:shd w:val="clear" w:color="auto" w:fill="FFFFFF"/>
        </w:rPr>
        <w:t xml:space="preserve"> de la sentencia del 22 de febrero de 2018, condicionada al cumplimiento de </w:t>
      </w:r>
      <w:r w:rsidRPr="002615D7">
        <w:rPr>
          <w:rFonts w:ascii="Arial Narrow" w:hAnsi="Arial Narrow"/>
          <w:spacing w:val="-6"/>
          <w:sz w:val="26"/>
          <w:szCs w:val="26"/>
          <w:shd w:val="clear" w:color="auto" w:fill="FFFFFF"/>
        </w:rPr>
        <w:t xml:space="preserve">dos aspectos: </w:t>
      </w:r>
      <w:r w:rsidRPr="002615D7">
        <w:rPr>
          <w:rFonts w:ascii="Arial Narrow" w:hAnsi="Arial Narrow" w:cs="Tahoma"/>
          <w:spacing w:val="-6"/>
          <w:sz w:val="26"/>
          <w:szCs w:val="26"/>
        </w:rPr>
        <w:t xml:space="preserve">(i) </w:t>
      </w:r>
      <w:r w:rsidRPr="002615D7">
        <w:rPr>
          <w:rFonts w:ascii="Arial Narrow" w:hAnsi="Arial Narrow" w:cs="Arial"/>
          <w:spacing w:val="-6"/>
          <w:sz w:val="26"/>
          <w:szCs w:val="26"/>
          <w:shd w:val="clear" w:color="auto" w:fill="FFFFFF"/>
        </w:rPr>
        <w:t xml:space="preserve">que no exista otro régimen pensional anterior que le permita al afiliado concretar su derecho a la pensión de vejez, y (ii) que con dicha acumulación no se pretenda el reajuste o la reliquidación de la pensión de vejez. </w:t>
      </w:r>
    </w:p>
    <w:p w:rsidR="00B1396E" w:rsidRPr="002615D7" w:rsidRDefault="00B1396E" w:rsidP="002615D7">
      <w:pPr>
        <w:pStyle w:val="Sinespaciado"/>
        <w:spacing w:line="288" w:lineRule="auto"/>
        <w:rPr>
          <w:rFonts w:ascii="Arial Narrow" w:hAnsi="Arial Narrow"/>
          <w:spacing w:val="-6"/>
          <w:sz w:val="26"/>
          <w:szCs w:val="26"/>
        </w:rPr>
      </w:pPr>
    </w:p>
    <w:p w:rsidR="00D40113" w:rsidRPr="00DC0BFB" w:rsidRDefault="00D40113" w:rsidP="00DC0BFB">
      <w:pPr>
        <w:pStyle w:val="Sinespaciado"/>
        <w:tabs>
          <w:tab w:val="left" w:pos="6086"/>
        </w:tabs>
        <w:spacing w:line="288" w:lineRule="auto"/>
        <w:ind w:firstLine="708"/>
        <w:jc w:val="both"/>
        <w:rPr>
          <w:rFonts w:ascii="Arial Narrow" w:hAnsi="Arial Narrow"/>
          <w:spacing w:val="-6"/>
          <w:sz w:val="26"/>
          <w:szCs w:val="26"/>
          <w:shd w:val="clear" w:color="auto" w:fill="FFFFFF"/>
        </w:rPr>
      </w:pPr>
      <w:r w:rsidRPr="002615D7">
        <w:rPr>
          <w:rFonts w:ascii="Arial Narrow" w:hAnsi="Arial Narrow" w:cs="Arial"/>
          <w:color w:val="000000"/>
          <w:spacing w:val="-6"/>
          <w:sz w:val="26"/>
          <w:szCs w:val="26"/>
          <w:shd w:val="clear" w:color="auto" w:fill="FFFFFF"/>
        </w:rPr>
        <w:t xml:space="preserve">Así las cosas, como quiera que lo pretendido por el actor es obtener la reliquidación de la gracia pensional que le fue otorgada con fundamento en la Ley 797 de 2003, no queda otro camino más que descartar la aplicación de la tesis de interpretación favorable </w:t>
      </w:r>
      <w:r w:rsidRPr="002615D7">
        <w:rPr>
          <w:rFonts w:ascii="Arial Narrow" w:hAnsi="Arial Narrow" w:cs="Tahoma"/>
          <w:spacing w:val="-6"/>
          <w:sz w:val="26"/>
          <w:szCs w:val="26"/>
        </w:rPr>
        <w:t xml:space="preserve">fijada por la Corte Constitucional, </w:t>
      </w:r>
      <w:r w:rsidRPr="00DC0BFB">
        <w:rPr>
          <w:rFonts w:ascii="Arial Narrow" w:hAnsi="Arial Narrow"/>
          <w:spacing w:val="-6"/>
          <w:sz w:val="26"/>
          <w:szCs w:val="26"/>
          <w:shd w:val="clear" w:color="auto" w:fill="FFFFFF"/>
        </w:rPr>
        <w:t xml:space="preserve">respecto al régimen contenido en el Acuerdo 049/90.  </w:t>
      </w:r>
    </w:p>
    <w:p w:rsidR="00913287" w:rsidRPr="00DC0BFB" w:rsidRDefault="00913287" w:rsidP="00DC0BFB">
      <w:pPr>
        <w:pStyle w:val="Sinespaciado"/>
        <w:tabs>
          <w:tab w:val="left" w:pos="6086"/>
        </w:tabs>
        <w:spacing w:line="288" w:lineRule="auto"/>
        <w:ind w:firstLine="708"/>
        <w:jc w:val="both"/>
        <w:rPr>
          <w:rFonts w:ascii="Arial Narrow" w:hAnsi="Arial Narrow"/>
          <w:spacing w:val="-6"/>
          <w:sz w:val="26"/>
          <w:szCs w:val="26"/>
          <w:shd w:val="clear" w:color="auto" w:fill="FFFFFF"/>
        </w:rPr>
      </w:pPr>
    </w:p>
    <w:p w:rsidR="00290324" w:rsidRPr="00DC0BFB" w:rsidRDefault="00913287" w:rsidP="00DC0BFB">
      <w:pPr>
        <w:pStyle w:val="Sinespaciado"/>
        <w:tabs>
          <w:tab w:val="left" w:pos="6086"/>
        </w:tabs>
        <w:spacing w:line="288" w:lineRule="auto"/>
        <w:ind w:firstLine="708"/>
        <w:jc w:val="both"/>
        <w:rPr>
          <w:rFonts w:ascii="Arial Narrow" w:hAnsi="Arial Narrow"/>
          <w:spacing w:val="-6"/>
          <w:sz w:val="26"/>
          <w:szCs w:val="26"/>
          <w:shd w:val="clear" w:color="auto" w:fill="FFFFFF"/>
        </w:rPr>
      </w:pPr>
      <w:r w:rsidRPr="00DC0BFB">
        <w:rPr>
          <w:rFonts w:ascii="Arial Narrow" w:hAnsi="Arial Narrow"/>
          <w:spacing w:val="-6"/>
          <w:sz w:val="26"/>
          <w:szCs w:val="26"/>
          <w:shd w:val="clear" w:color="auto" w:fill="FFFFFF"/>
        </w:rPr>
        <w:t xml:space="preserve">Ahora bien, en aras de desatar de manera conjunta el grado jurisdiccional de consulta y la alzada propuesta por Colpensiones, se hace necesario verificar si era procedente </w:t>
      </w:r>
      <w:proofErr w:type="spellStart"/>
      <w:r w:rsidRPr="00DC0BFB">
        <w:rPr>
          <w:rFonts w:ascii="Arial Narrow" w:hAnsi="Arial Narrow"/>
          <w:spacing w:val="-6"/>
          <w:sz w:val="26"/>
          <w:szCs w:val="26"/>
          <w:shd w:val="clear" w:color="auto" w:fill="FFFFFF"/>
        </w:rPr>
        <w:t>reliquidar</w:t>
      </w:r>
      <w:proofErr w:type="spellEnd"/>
      <w:r w:rsidRPr="00DC0BFB">
        <w:rPr>
          <w:rFonts w:ascii="Arial Narrow" w:hAnsi="Arial Narrow"/>
          <w:spacing w:val="-6"/>
          <w:sz w:val="26"/>
          <w:szCs w:val="26"/>
          <w:shd w:val="clear" w:color="auto" w:fill="FFFFFF"/>
        </w:rPr>
        <w:t xml:space="preserve"> la prestación pensional</w:t>
      </w:r>
      <w:r w:rsidR="00E7110E" w:rsidRPr="00DC0BFB">
        <w:rPr>
          <w:rFonts w:ascii="Arial Narrow" w:hAnsi="Arial Narrow"/>
          <w:spacing w:val="-6"/>
          <w:sz w:val="26"/>
          <w:szCs w:val="26"/>
          <w:shd w:val="clear" w:color="auto" w:fill="FFFFFF"/>
        </w:rPr>
        <w:t xml:space="preserve">. Para ello, basta afirmar que no se equivocó el juez de instancia al afirmar que tal pretensión era procedente </w:t>
      </w:r>
      <w:r w:rsidRPr="00DC0BFB">
        <w:rPr>
          <w:rFonts w:ascii="Arial Narrow" w:hAnsi="Arial Narrow"/>
          <w:spacing w:val="-6"/>
          <w:sz w:val="26"/>
          <w:szCs w:val="26"/>
          <w:shd w:val="clear" w:color="auto" w:fill="FFFFFF"/>
        </w:rPr>
        <w:t xml:space="preserve">conforme a los postulados de la Ley 71 de 1985, </w:t>
      </w:r>
      <w:r w:rsidR="00290324" w:rsidRPr="00DC0BFB">
        <w:rPr>
          <w:rFonts w:ascii="Arial Narrow" w:hAnsi="Arial Narrow"/>
          <w:spacing w:val="-6"/>
          <w:sz w:val="26"/>
          <w:szCs w:val="26"/>
          <w:shd w:val="clear" w:color="auto" w:fill="FFFFFF"/>
        </w:rPr>
        <w:t>reglamentada por el art.1º del Dcto.2709 de 1994, debido a que el actor laboró en el sector público</w:t>
      </w:r>
      <w:r w:rsidR="00E7110E" w:rsidRPr="00DC0BFB">
        <w:rPr>
          <w:rFonts w:ascii="Arial Narrow" w:hAnsi="Arial Narrow"/>
          <w:spacing w:val="-6"/>
          <w:sz w:val="26"/>
          <w:szCs w:val="26"/>
          <w:shd w:val="clear" w:color="auto" w:fill="FFFFFF"/>
        </w:rPr>
        <w:t xml:space="preserve">  y privado.</w:t>
      </w:r>
    </w:p>
    <w:p w:rsidR="00290324" w:rsidRPr="00DC0BFB" w:rsidRDefault="00290324" w:rsidP="00DC0BFB">
      <w:pPr>
        <w:pStyle w:val="Sinespaciado"/>
        <w:tabs>
          <w:tab w:val="left" w:pos="6086"/>
        </w:tabs>
        <w:spacing w:line="288" w:lineRule="auto"/>
        <w:ind w:firstLine="708"/>
        <w:jc w:val="both"/>
        <w:rPr>
          <w:rFonts w:ascii="Arial Narrow" w:hAnsi="Arial Narrow"/>
          <w:spacing w:val="-6"/>
          <w:sz w:val="26"/>
          <w:szCs w:val="26"/>
          <w:shd w:val="clear" w:color="auto" w:fill="FFFFFF"/>
        </w:rPr>
      </w:pPr>
    </w:p>
    <w:p w:rsidR="00E7110E" w:rsidRPr="00DC0BFB" w:rsidRDefault="00290324" w:rsidP="00DC0BFB">
      <w:pPr>
        <w:pStyle w:val="Sinespaciado"/>
        <w:tabs>
          <w:tab w:val="left" w:pos="6086"/>
        </w:tabs>
        <w:spacing w:line="288" w:lineRule="auto"/>
        <w:ind w:firstLine="708"/>
        <w:jc w:val="both"/>
        <w:rPr>
          <w:rFonts w:ascii="Arial Narrow" w:hAnsi="Arial Narrow"/>
          <w:spacing w:val="-6"/>
          <w:sz w:val="26"/>
          <w:szCs w:val="26"/>
          <w:shd w:val="clear" w:color="auto" w:fill="FFFFFF"/>
        </w:rPr>
      </w:pPr>
      <w:r w:rsidRPr="00DC0BFB">
        <w:rPr>
          <w:rFonts w:ascii="Arial Narrow" w:hAnsi="Arial Narrow"/>
          <w:spacing w:val="-6"/>
          <w:sz w:val="26"/>
          <w:szCs w:val="26"/>
          <w:shd w:val="clear" w:color="auto" w:fill="FFFFFF"/>
        </w:rPr>
        <w:t>Tal disposición normativa en su artículo 7º exige 60 años de edad para los hombres y un mínimo de 20 años de servicios al sector público o privado, en cualquier tiempo. Dichos requisitos, los satisfizo a cabalidad el demandante, en tanto que, arribó a la edad mínima el 26 de abril de 2010</w:t>
      </w:r>
      <w:r w:rsidR="00E7110E" w:rsidRPr="00DC0BFB">
        <w:rPr>
          <w:rFonts w:ascii="Arial Narrow" w:hAnsi="Arial Narrow"/>
          <w:spacing w:val="-6"/>
          <w:sz w:val="26"/>
          <w:szCs w:val="26"/>
          <w:shd w:val="clear" w:color="auto" w:fill="FFFFFF"/>
        </w:rPr>
        <w:t xml:space="preserve"> –fl.18, amén de </w:t>
      </w:r>
      <w:r w:rsidR="00B06D0D" w:rsidRPr="00DC0BFB">
        <w:rPr>
          <w:rFonts w:ascii="Arial Narrow" w:hAnsi="Arial Narrow"/>
          <w:spacing w:val="-6"/>
          <w:sz w:val="26"/>
          <w:szCs w:val="26"/>
          <w:shd w:val="clear" w:color="auto" w:fill="FFFFFF"/>
        </w:rPr>
        <w:t>que</w:t>
      </w:r>
      <w:r w:rsidR="00E7110E" w:rsidRPr="00DC0BFB">
        <w:rPr>
          <w:rFonts w:ascii="Arial Narrow" w:hAnsi="Arial Narrow"/>
          <w:spacing w:val="-6"/>
          <w:sz w:val="26"/>
          <w:szCs w:val="26"/>
          <w:shd w:val="clear" w:color="auto" w:fill="FFFFFF"/>
        </w:rPr>
        <w:t xml:space="preserve"> reporta un total de </w:t>
      </w:r>
      <w:r w:rsidR="00B06D0D" w:rsidRPr="00DC0BFB">
        <w:rPr>
          <w:rFonts w:ascii="Arial Narrow" w:hAnsi="Arial Narrow"/>
          <w:spacing w:val="-6"/>
          <w:sz w:val="26"/>
          <w:szCs w:val="26"/>
          <w:shd w:val="clear" w:color="auto" w:fill="FFFFFF"/>
        </w:rPr>
        <w:t xml:space="preserve">1.408 </w:t>
      </w:r>
      <w:r w:rsidR="00E7110E" w:rsidRPr="00DC0BFB">
        <w:rPr>
          <w:rFonts w:ascii="Arial Narrow" w:hAnsi="Arial Narrow"/>
          <w:spacing w:val="-6"/>
          <w:sz w:val="26"/>
          <w:szCs w:val="26"/>
          <w:shd w:val="clear" w:color="auto" w:fill="FFFFFF"/>
        </w:rPr>
        <w:t>semanas en tiempos de servicios privados</w:t>
      </w:r>
      <w:r w:rsidR="00B06D0D" w:rsidRPr="00DC0BFB">
        <w:rPr>
          <w:rFonts w:ascii="Arial Narrow" w:hAnsi="Arial Narrow"/>
          <w:spacing w:val="-6"/>
          <w:sz w:val="26"/>
          <w:szCs w:val="26"/>
          <w:shd w:val="clear" w:color="auto" w:fill="FFFFFF"/>
        </w:rPr>
        <w:t xml:space="preserve"> y  públicos</w:t>
      </w:r>
      <w:r w:rsidR="00195CFE" w:rsidRPr="00DC0BFB">
        <w:rPr>
          <w:rFonts w:ascii="Arial Narrow" w:hAnsi="Arial Narrow"/>
          <w:spacing w:val="-6"/>
          <w:sz w:val="26"/>
          <w:szCs w:val="26"/>
          <w:shd w:val="clear" w:color="auto" w:fill="FFFFFF"/>
        </w:rPr>
        <w:t xml:space="preserve">, que equivalen a 27.38 años de servicios – fl.45-, </w:t>
      </w:r>
      <w:r w:rsidR="00B06D0D" w:rsidRPr="00DC0BFB">
        <w:rPr>
          <w:rFonts w:ascii="Arial Narrow" w:hAnsi="Arial Narrow"/>
          <w:spacing w:val="-6"/>
          <w:sz w:val="26"/>
          <w:szCs w:val="26"/>
          <w:shd w:val="clear" w:color="auto" w:fill="FFFFFF"/>
        </w:rPr>
        <w:t>estos últimos, concretamente con el Ministerio de Transporte, entre el 1 de julio de 1992 y el 20 de agosto de 1994</w:t>
      </w:r>
      <w:r w:rsidR="00195CFE" w:rsidRPr="00DC0BFB">
        <w:rPr>
          <w:rFonts w:ascii="Arial Narrow" w:hAnsi="Arial Narrow"/>
          <w:spacing w:val="-6"/>
          <w:sz w:val="26"/>
          <w:szCs w:val="26"/>
          <w:shd w:val="clear" w:color="auto" w:fill="FFFFFF"/>
        </w:rPr>
        <w:t>.</w:t>
      </w:r>
      <w:r w:rsidR="00E7110E" w:rsidRPr="00DC0BFB">
        <w:rPr>
          <w:rFonts w:ascii="Arial Narrow" w:hAnsi="Arial Narrow"/>
          <w:spacing w:val="-6"/>
          <w:sz w:val="26"/>
          <w:szCs w:val="26"/>
          <w:shd w:val="clear" w:color="auto" w:fill="FFFFFF"/>
        </w:rPr>
        <w:t xml:space="preserve"> </w:t>
      </w:r>
    </w:p>
    <w:p w:rsidR="00E7110E" w:rsidRPr="00DC0BFB" w:rsidRDefault="00E7110E" w:rsidP="00DC0BFB">
      <w:pPr>
        <w:pStyle w:val="Sinespaciado"/>
        <w:tabs>
          <w:tab w:val="left" w:pos="6086"/>
        </w:tabs>
        <w:spacing w:line="288" w:lineRule="auto"/>
        <w:jc w:val="both"/>
        <w:rPr>
          <w:rFonts w:ascii="Arial Narrow" w:hAnsi="Arial Narrow"/>
          <w:spacing w:val="-6"/>
          <w:sz w:val="26"/>
          <w:szCs w:val="26"/>
          <w:shd w:val="clear" w:color="auto" w:fill="FFFFFF"/>
        </w:rPr>
      </w:pPr>
    </w:p>
    <w:p w:rsidR="00E7110E" w:rsidRPr="00DC0BFB" w:rsidRDefault="00E7110E" w:rsidP="00DC0BFB">
      <w:pPr>
        <w:pStyle w:val="Sinespaciado"/>
        <w:tabs>
          <w:tab w:val="left" w:pos="6086"/>
        </w:tabs>
        <w:spacing w:line="288" w:lineRule="auto"/>
        <w:ind w:firstLine="708"/>
        <w:jc w:val="both"/>
        <w:rPr>
          <w:rFonts w:ascii="Arial Narrow" w:hAnsi="Arial Narrow"/>
          <w:spacing w:val="-6"/>
          <w:sz w:val="26"/>
          <w:szCs w:val="26"/>
          <w:shd w:val="clear" w:color="auto" w:fill="FFFFFF"/>
        </w:rPr>
      </w:pPr>
      <w:r w:rsidRPr="00DC0BFB">
        <w:rPr>
          <w:rFonts w:ascii="Arial Narrow" w:hAnsi="Arial Narrow"/>
          <w:spacing w:val="-6"/>
          <w:sz w:val="26"/>
          <w:szCs w:val="26"/>
          <w:shd w:val="clear" w:color="auto" w:fill="FFFFFF"/>
        </w:rPr>
        <w:t xml:space="preserve">Respecto </w:t>
      </w:r>
      <w:r w:rsidR="00457B86" w:rsidRPr="00DC0BFB">
        <w:rPr>
          <w:rFonts w:ascii="Arial Narrow" w:hAnsi="Arial Narrow"/>
          <w:spacing w:val="-6"/>
          <w:sz w:val="26"/>
          <w:szCs w:val="26"/>
          <w:shd w:val="clear" w:color="auto" w:fill="FFFFFF"/>
        </w:rPr>
        <w:t>a</w:t>
      </w:r>
      <w:r w:rsidRPr="00DC0BFB">
        <w:rPr>
          <w:rFonts w:ascii="Arial Narrow" w:hAnsi="Arial Narrow"/>
          <w:spacing w:val="-6"/>
          <w:sz w:val="26"/>
          <w:szCs w:val="26"/>
          <w:shd w:val="clear" w:color="auto" w:fill="FFFFFF"/>
        </w:rPr>
        <w:t xml:space="preserve"> la reliquidación de la mesada</w:t>
      </w:r>
      <w:r w:rsidR="00457B86" w:rsidRPr="00DC0BFB">
        <w:rPr>
          <w:rFonts w:ascii="Arial Narrow" w:hAnsi="Arial Narrow"/>
          <w:spacing w:val="-6"/>
          <w:sz w:val="26"/>
          <w:szCs w:val="26"/>
          <w:shd w:val="clear" w:color="auto" w:fill="FFFFFF"/>
        </w:rPr>
        <w:t xml:space="preserve">, </w:t>
      </w:r>
      <w:r w:rsidRPr="00DC0BFB">
        <w:rPr>
          <w:rFonts w:ascii="Arial Narrow" w:hAnsi="Arial Narrow"/>
          <w:spacing w:val="-6"/>
          <w:sz w:val="26"/>
          <w:szCs w:val="26"/>
          <w:shd w:val="clear" w:color="auto" w:fill="FFFFFF"/>
        </w:rPr>
        <w:t xml:space="preserve">se parte de la base de que el IBL reconocido por Colpensiones </w:t>
      </w:r>
      <w:r w:rsidR="00457B86" w:rsidRPr="00DC0BFB">
        <w:rPr>
          <w:rFonts w:ascii="Arial Narrow" w:hAnsi="Arial Narrow"/>
          <w:spacing w:val="-6"/>
          <w:sz w:val="26"/>
          <w:szCs w:val="26"/>
          <w:shd w:val="clear" w:color="auto" w:fill="FFFFFF"/>
        </w:rPr>
        <w:t>mediante Resolución No.</w:t>
      </w:r>
      <w:r w:rsidR="00B06D0D" w:rsidRPr="00DC0BFB">
        <w:rPr>
          <w:rFonts w:ascii="Arial Narrow" w:hAnsi="Arial Narrow"/>
          <w:spacing w:val="-6"/>
          <w:sz w:val="26"/>
          <w:szCs w:val="26"/>
          <w:shd w:val="clear" w:color="auto" w:fill="FFFFFF"/>
        </w:rPr>
        <w:t xml:space="preserve"> GNR 378365 del 26 de octubre de 2014, en cuantía de $5`354.279 </w:t>
      </w:r>
      <w:r w:rsidRPr="00DC0BFB">
        <w:rPr>
          <w:rFonts w:ascii="Arial Narrow" w:hAnsi="Arial Narrow"/>
          <w:spacing w:val="-6"/>
          <w:sz w:val="26"/>
          <w:szCs w:val="26"/>
          <w:shd w:val="clear" w:color="auto" w:fill="FFFFFF"/>
        </w:rPr>
        <w:t xml:space="preserve">no ha sido </w:t>
      </w:r>
      <w:r w:rsidR="00457B86" w:rsidRPr="00DC0BFB">
        <w:rPr>
          <w:rFonts w:ascii="Arial Narrow" w:hAnsi="Arial Narrow"/>
          <w:spacing w:val="-6"/>
          <w:sz w:val="26"/>
          <w:szCs w:val="26"/>
          <w:shd w:val="clear" w:color="auto" w:fill="FFFFFF"/>
        </w:rPr>
        <w:t>objeto de discusión por ninguna de las partes, por</w:t>
      </w:r>
      <w:r w:rsidRPr="00DC0BFB">
        <w:rPr>
          <w:rFonts w:ascii="Arial Narrow" w:hAnsi="Arial Narrow"/>
          <w:spacing w:val="-6"/>
          <w:sz w:val="26"/>
          <w:szCs w:val="26"/>
          <w:shd w:val="clear" w:color="auto" w:fill="FFFFFF"/>
        </w:rPr>
        <w:t xml:space="preserve"> lo que </w:t>
      </w:r>
      <w:r w:rsidR="00457B86" w:rsidRPr="00DC0BFB">
        <w:rPr>
          <w:rFonts w:ascii="Arial Narrow" w:hAnsi="Arial Narrow"/>
          <w:spacing w:val="-6"/>
          <w:sz w:val="26"/>
          <w:szCs w:val="26"/>
          <w:shd w:val="clear" w:color="auto" w:fill="FFFFFF"/>
        </w:rPr>
        <w:t xml:space="preserve">debe ser tomado en cuenta </w:t>
      </w:r>
      <w:r w:rsidR="00B06D0D" w:rsidRPr="00DC0BFB">
        <w:rPr>
          <w:rFonts w:ascii="Arial Narrow" w:hAnsi="Arial Narrow"/>
          <w:spacing w:val="-6"/>
          <w:sz w:val="26"/>
          <w:szCs w:val="26"/>
          <w:shd w:val="clear" w:color="auto" w:fill="FFFFFF"/>
        </w:rPr>
        <w:t>para tales efectos. Así las cosas, al aplicarle el 75 % de tasa de remplazo, arroja una primera mesada por valor de $</w:t>
      </w:r>
      <w:r w:rsidR="00195CFE" w:rsidRPr="00DC0BFB">
        <w:rPr>
          <w:rFonts w:ascii="Arial Narrow" w:hAnsi="Arial Narrow"/>
          <w:spacing w:val="-6"/>
          <w:sz w:val="26"/>
          <w:szCs w:val="26"/>
          <w:shd w:val="clear" w:color="auto" w:fill="FFFFFF"/>
        </w:rPr>
        <w:t>4`015.709, por lo que acertada resulta la decisión del juez de primer grado.</w:t>
      </w:r>
    </w:p>
    <w:p w:rsidR="004C74A8" w:rsidRPr="00DC0BFB" w:rsidRDefault="004C74A8" w:rsidP="00DC0BFB">
      <w:pPr>
        <w:pStyle w:val="Sinespaciado"/>
        <w:tabs>
          <w:tab w:val="left" w:pos="6086"/>
        </w:tabs>
        <w:spacing w:line="288" w:lineRule="auto"/>
        <w:ind w:firstLine="708"/>
        <w:jc w:val="both"/>
        <w:rPr>
          <w:rFonts w:ascii="Arial Narrow" w:hAnsi="Arial Narrow"/>
          <w:spacing w:val="-6"/>
          <w:sz w:val="26"/>
          <w:szCs w:val="26"/>
          <w:shd w:val="clear" w:color="auto" w:fill="FFFFFF"/>
        </w:rPr>
      </w:pPr>
    </w:p>
    <w:p w:rsidR="004C74A8" w:rsidRPr="00DC0BFB" w:rsidRDefault="00DA2B87" w:rsidP="00DC0BFB">
      <w:pPr>
        <w:pStyle w:val="Sinespaciado"/>
        <w:tabs>
          <w:tab w:val="left" w:pos="6086"/>
        </w:tabs>
        <w:spacing w:line="288" w:lineRule="auto"/>
        <w:ind w:firstLine="708"/>
        <w:jc w:val="both"/>
        <w:rPr>
          <w:rFonts w:ascii="Arial Narrow" w:hAnsi="Arial Narrow"/>
          <w:spacing w:val="-6"/>
          <w:sz w:val="26"/>
          <w:szCs w:val="26"/>
          <w:shd w:val="clear" w:color="auto" w:fill="FFFFFF"/>
        </w:rPr>
      </w:pPr>
      <w:r w:rsidRPr="00DC0BFB">
        <w:rPr>
          <w:rFonts w:ascii="Arial Narrow" w:hAnsi="Arial Narrow"/>
          <w:spacing w:val="-6"/>
          <w:sz w:val="26"/>
          <w:szCs w:val="26"/>
          <w:shd w:val="clear" w:color="auto" w:fill="FFFFFF"/>
        </w:rPr>
        <w:t>Revisado el valor del reajuste pens</w:t>
      </w:r>
      <w:r w:rsidR="00EE5A96" w:rsidRPr="00DC0BFB">
        <w:rPr>
          <w:rFonts w:ascii="Arial Narrow" w:hAnsi="Arial Narrow"/>
          <w:spacing w:val="-6"/>
          <w:sz w:val="26"/>
          <w:szCs w:val="26"/>
          <w:shd w:val="clear" w:color="auto" w:fill="FFFFFF"/>
        </w:rPr>
        <w:t>ional al que accedió e</w:t>
      </w:r>
      <w:r w:rsidRPr="00DC0BFB">
        <w:rPr>
          <w:rFonts w:ascii="Arial Narrow" w:hAnsi="Arial Narrow"/>
          <w:spacing w:val="-6"/>
          <w:sz w:val="26"/>
          <w:szCs w:val="26"/>
          <w:shd w:val="clear" w:color="auto" w:fill="FFFFFF"/>
        </w:rPr>
        <w:t xml:space="preserve">l a-quo, </w:t>
      </w:r>
      <w:r w:rsidR="004C74A8" w:rsidRPr="00DC0BFB">
        <w:rPr>
          <w:rFonts w:ascii="Arial Narrow" w:hAnsi="Arial Narrow"/>
          <w:spacing w:val="-6"/>
          <w:sz w:val="26"/>
          <w:szCs w:val="26"/>
          <w:shd w:val="clear" w:color="auto" w:fill="FFFFFF"/>
        </w:rPr>
        <w:t xml:space="preserve">causado </w:t>
      </w:r>
      <w:r w:rsidR="00565D52" w:rsidRPr="00DC0BFB">
        <w:rPr>
          <w:rFonts w:ascii="Arial Narrow" w:hAnsi="Arial Narrow"/>
          <w:spacing w:val="-6"/>
          <w:sz w:val="26"/>
          <w:szCs w:val="26"/>
          <w:shd w:val="clear" w:color="auto" w:fill="FFFFFF"/>
        </w:rPr>
        <w:t xml:space="preserve">desde el 9 de mayo de 2011, </w:t>
      </w:r>
      <w:r w:rsidRPr="00DC0BFB">
        <w:rPr>
          <w:rFonts w:ascii="Arial Narrow" w:hAnsi="Arial Narrow"/>
          <w:spacing w:val="-6"/>
          <w:sz w:val="26"/>
          <w:szCs w:val="26"/>
          <w:shd w:val="clear" w:color="auto" w:fill="FFFFFF"/>
        </w:rPr>
        <w:t xml:space="preserve">se observa </w:t>
      </w:r>
      <w:r w:rsidR="00EE5A96" w:rsidRPr="00DC0BFB">
        <w:rPr>
          <w:rFonts w:ascii="Arial Narrow" w:hAnsi="Arial Narrow"/>
          <w:spacing w:val="-6"/>
          <w:sz w:val="26"/>
          <w:szCs w:val="26"/>
          <w:shd w:val="clear" w:color="auto" w:fill="FFFFFF"/>
        </w:rPr>
        <w:t xml:space="preserve">ajustado al derecho, empero, se hace necesario actualizarlo al 30 de junio de 2019, </w:t>
      </w:r>
      <w:r w:rsidRPr="00DC0BFB">
        <w:rPr>
          <w:rFonts w:ascii="Arial Narrow" w:hAnsi="Arial Narrow"/>
          <w:spacing w:val="-6"/>
          <w:sz w:val="26"/>
          <w:szCs w:val="26"/>
          <w:shd w:val="clear" w:color="auto" w:fill="FFFFFF"/>
        </w:rPr>
        <w:t xml:space="preserve">para incluir </w:t>
      </w:r>
      <w:r w:rsidR="004C74A8" w:rsidRPr="00DC0BFB">
        <w:rPr>
          <w:rFonts w:ascii="Arial Narrow" w:hAnsi="Arial Narrow"/>
          <w:spacing w:val="-6"/>
          <w:sz w:val="26"/>
          <w:szCs w:val="26"/>
          <w:shd w:val="clear" w:color="auto" w:fill="FFFFFF"/>
        </w:rPr>
        <w:t xml:space="preserve">las diferencias causadas hasta la emisión de esta providencia, </w:t>
      </w:r>
      <w:r w:rsidR="00EE5A96" w:rsidRPr="00DC0BFB">
        <w:rPr>
          <w:rFonts w:ascii="Arial Narrow" w:hAnsi="Arial Narrow"/>
          <w:spacing w:val="-6"/>
          <w:sz w:val="26"/>
          <w:szCs w:val="26"/>
          <w:shd w:val="clear" w:color="auto" w:fill="FFFFFF"/>
        </w:rPr>
        <w:t xml:space="preserve">por lo que este </w:t>
      </w:r>
      <w:r w:rsidR="004C74A8" w:rsidRPr="00DC0BFB">
        <w:rPr>
          <w:rFonts w:ascii="Arial Narrow" w:hAnsi="Arial Narrow"/>
          <w:spacing w:val="-6"/>
          <w:sz w:val="26"/>
          <w:szCs w:val="26"/>
          <w:shd w:val="clear" w:color="auto" w:fill="FFFFFF"/>
        </w:rPr>
        <w:t>asciende a $</w:t>
      </w:r>
      <w:r w:rsidR="00EE5A96" w:rsidRPr="00DC0BFB">
        <w:rPr>
          <w:rFonts w:ascii="Arial Narrow" w:hAnsi="Arial Narrow"/>
          <w:spacing w:val="-6"/>
          <w:sz w:val="26"/>
          <w:szCs w:val="26"/>
          <w:shd w:val="clear" w:color="auto" w:fill="FFFFFF"/>
        </w:rPr>
        <w:t>70`152.134</w:t>
      </w:r>
      <w:r w:rsidR="004C74A8" w:rsidRPr="00DC0BFB">
        <w:rPr>
          <w:rFonts w:ascii="Arial Narrow" w:hAnsi="Arial Narrow"/>
          <w:spacing w:val="-6"/>
          <w:sz w:val="26"/>
          <w:szCs w:val="26"/>
          <w:shd w:val="clear" w:color="auto" w:fill="FFFFFF"/>
        </w:rPr>
        <w:t xml:space="preserve">, tal cual se ilustra en el cuadro que se pone en consideración de las partes y que se anexará al acta final que se suscriba con ocasión de esta diligencia. </w:t>
      </w:r>
    </w:p>
    <w:p w:rsidR="00142F69" w:rsidRPr="002615D7" w:rsidRDefault="00142F69" w:rsidP="002615D7">
      <w:pPr>
        <w:pStyle w:val="Sinespaciado"/>
        <w:spacing w:line="288" w:lineRule="auto"/>
        <w:rPr>
          <w:rFonts w:ascii="Arial Narrow" w:hAnsi="Arial Narrow"/>
          <w:spacing w:val="-6"/>
          <w:sz w:val="26"/>
          <w:szCs w:val="26"/>
        </w:rPr>
      </w:pPr>
    </w:p>
    <w:p w:rsidR="004F408E" w:rsidRPr="002615D7" w:rsidRDefault="00142F69" w:rsidP="002615D7">
      <w:pPr>
        <w:pStyle w:val="Sinespaciado"/>
        <w:spacing w:line="288" w:lineRule="auto"/>
        <w:ind w:firstLine="708"/>
        <w:jc w:val="both"/>
        <w:rPr>
          <w:rFonts w:ascii="Arial Narrow" w:hAnsi="Arial Narrow"/>
          <w:spacing w:val="-6"/>
          <w:sz w:val="26"/>
          <w:szCs w:val="26"/>
        </w:rPr>
      </w:pPr>
      <w:r w:rsidRPr="002615D7">
        <w:rPr>
          <w:rFonts w:ascii="Arial Narrow" w:hAnsi="Arial Narrow"/>
          <w:spacing w:val="-6"/>
          <w:sz w:val="26"/>
          <w:szCs w:val="26"/>
        </w:rPr>
        <w:t>Se advierte que el valor de la mesada pensional para el año 2018 alcanza la suma de $5`467. 971.</w:t>
      </w:r>
    </w:p>
    <w:p w:rsidR="00195B3C" w:rsidRPr="002615D7" w:rsidRDefault="00195B3C" w:rsidP="002615D7">
      <w:pPr>
        <w:pStyle w:val="Sinespaciado"/>
        <w:spacing w:line="288" w:lineRule="auto"/>
        <w:rPr>
          <w:rFonts w:ascii="Arial Narrow" w:hAnsi="Arial Narrow"/>
          <w:spacing w:val="-6"/>
          <w:sz w:val="26"/>
          <w:szCs w:val="26"/>
        </w:rPr>
      </w:pPr>
    </w:p>
    <w:p w:rsidR="00195B3C" w:rsidRPr="002615D7" w:rsidRDefault="00195B3C" w:rsidP="002615D7">
      <w:pPr>
        <w:pStyle w:val="Textoindependiente32"/>
        <w:spacing w:line="288" w:lineRule="auto"/>
        <w:ind w:firstLine="708"/>
        <w:rPr>
          <w:rFonts w:ascii="Arial Narrow" w:hAnsi="Arial Narrow"/>
          <w:spacing w:val="-6"/>
          <w:sz w:val="26"/>
          <w:szCs w:val="26"/>
        </w:rPr>
      </w:pPr>
      <w:r w:rsidRPr="002615D7">
        <w:rPr>
          <w:rFonts w:ascii="Arial Narrow" w:hAnsi="Arial Narrow"/>
          <w:spacing w:val="-6"/>
          <w:sz w:val="26"/>
          <w:szCs w:val="26"/>
        </w:rPr>
        <w:t>Se modificará,</w:t>
      </w:r>
      <w:r w:rsidR="000F3E09" w:rsidRPr="002615D7">
        <w:rPr>
          <w:rFonts w:ascii="Arial Narrow" w:hAnsi="Arial Narrow"/>
          <w:spacing w:val="-6"/>
          <w:sz w:val="26"/>
          <w:szCs w:val="26"/>
        </w:rPr>
        <w:t xml:space="preserve"> por ende, </w:t>
      </w:r>
      <w:r w:rsidRPr="002615D7">
        <w:rPr>
          <w:rFonts w:ascii="Arial Narrow" w:hAnsi="Arial Narrow"/>
          <w:spacing w:val="-6"/>
          <w:sz w:val="26"/>
          <w:szCs w:val="26"/>
        </w:rPr>
        <w:t xml:space="preserve">el ordinal </w:t>
      </w:r>
      <w:r w:rsidR="0022481D" w:rsidRPr="002615D7">
        <w:rPr>
          <w:rFonts w:ascii="Arial Narrow" w:hAnsi="Arial Narrow"/>
          <w:spacing w:val="-6"/>
          <w:sz w:val="26"/>
          <w:szCs w:val="26"/>
        </w:rPr>
        <w:t xml:space="preserve">4º y </w:t>
      </w:r>
      <w:r w:rsidRPr="002615D7">
        <w:rPr>
          <w:rFonts w:ascii="Arial Narrow" w:hAnsi="Arial Narrow"/>
          <w:spacing w:val="-6"/>
          <w:sz w:val="26"/>
          <w:szCs w:val="26"/>
        </w:rPr>
        <w:t xml:space="preserve">5º de la sentencia en virtud del grado de consulta. </w:t>
      </w:r>
    </w:p>
    <w:p w:rsidR="00195B3C" w:rsidRPr="002615D7" w:rsidRDefault="00195B3C"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 xml:space="preserve"> </w:t>
      </w:r>
    </w:p>
    <w:p w:rsidR="004F408E" w:rsidRPr="002615D7" w:rsidRDefault="004F408E" w:rsidP="002615D7">
      <w:pPr>
        <w:pStyle w:val="Textoindependiente32"/>
        <w:spacing w:line="288" w:lineRule="auto"/>
        <w:ind w:firstLine="708"/>
        <w:rPr>
          <w:rFonts w:ascii="Arial Narrow" w:hAnsi="Arial Narrow"/>
          <w:spacing w:val="-6"/>
          <w:sz w:val="26"/>
          <w:szCs w:val="26"/>
        </w:rPr>
      </w:pPr>
      <w:r w:rsidRPr="002615D7">
        <w:rPr>
          <w:rFonts w:ascii="Arial Narrow" w:hAnsi="Arial Narrow"/>
          <w:spacing w:val="-6"/>
          <w:sz w:val="26"/>
          <w:szCs w:val="26"/>
        </w:rPr>
        <w:t>En lo que tiene que ver con la indexación de la</w:t>
      </w:r>
      <w:r w:rsidR="006B7D7A" w:rsidRPr="002615D7">
        <w:rPr>
          <w:rFonts w:ascii="Arial Narrow" w:hAnsi="Arial Narrow"/>
          <w:spacing w:val="-6"/>
          <w:sz w:val="26"/>
          <w:szCs w:val="26"/>
        </w:rPr>
        <w:t xml:space="preserve">s diferencias pensionales </w:t>
      </w:r>
      <w:r w:rsidR="00195B3C" w:rsidRPr="002615D7">
        <w:rPr>
          <w:rFonts w:ascii="Arial Narrow" w:hAnsi="Arial Narrow"/>
          <w:spacing w:val="-6"/>
          <w:sz w:val="26"/>
          <w:szCs w:val="26"/>
        </w:rPr>
        <w:t>ordenada e</w:t>
      </w:r>
      <w:r w:rsidRPr="002615D7">
        <w:rPr>
          <w:rFonts w:ascii="Arial Narrow" w:hAnsi="Arial Narrow"/>
          <w:spacing w:val="-6"/>
          <w:sz w:val="26"/>
          <w:szCs w:val="26"/>
        </w:rPr>
        <w:t>n primer</w:t>
      </w:r>
      <w:r w:rsidR="00195B3C" w:rsidRPr="002615D7">
        <w:rPr>
          <w:rFonts w:ascii="Arial Narrow" w:hAnsi="Arial Narrow"/>
          <w:spacing w:val="-6"/>
          <w:sz w:val="26"/>
          <w:szCs w:val="26"/>
        </w:rPr>
        <w:t xml:space="preserve">a instancia, basta precisar que su imposición resulta procedente </w:t>
      </w:r>
      <w:r w:rsidRPr="002615D7">
        <w:rPr>
          <w:rFonts w:ascii="Arial Narrow" w:hAnsi="Arial Narrow"/>
          <w:spacing w:val="-6"/>
          <w:sz w:val="26"/>
          <w:szCs w:val="26"/>
        </w:rPr>
        <w:t>en la medida en que se torna como u</w:t>
      </w:r>
      <w:r w:rsidR="00195B3C" w:rsidRPr="002615D7">
        <w:rPr>
          <w:rFonts w:ascii="Arial Narrow" w:hAnsi="Arial Narrow"/>
          <w:spacing w:val="-6"/>
          <w:sz w:val="26"/>
          <w:szCs w:val="26"/>
        </w:rPr>
        <w:t xml:space="preserve">na medida correctora para </w:t>
      </w:r>
      <w:r w:rsidR="006B7D7A" w:rsidRPr="002615D7">
        <w:rPr>
          <w:rFonts w:ascii="Arial Narrow" w:hAnsi="Arial Narrow"/>
          <w:spacing w:val="-6"/>
          <w:sz w:val="26"/>
          <w:szCs w:val="26"/>
        </w:rPr>
        <w:t xml:space="preserve">compensar la devaluación de la moneda. Por </w:t>
      </w:r>
      <w:r w:rsidR="00195B3C" w:rsidRPr="002615D7">
        <w:rPr>
          <w:rFonts w:ascii="Arial Narrow" w:hAnsi="Arial Narrow"/>
          <w:spacing w:val="-6"/>
          <w:sz w:val="26"/>
          <w:szCs w:val="26"/>
        </w:rPr>
        <w:t>tanto, acertada resulta la decisión del a-quo.</w:t>
      </w:r>
    </w:p>
    <w:p w:rsidR="004F408E" w:rsidRPr="002615D7" w:rsidRDefault="004F408E" w:rsidP="002615D7">
      <w:pPr>
        <w:pStyle w:val="Sinespaciado"/>
        <w:spacing w:line="288" w:lineRule="auto"/>
        <w:rPr>
          <w:rFonts w:ascii="Arial Narrow" w:hAnsi="Arial Narrow"/>
          <w:spacing w:val="-6"/>
          <w:sz w:val="26"/>
          <w:szCs w:val="26"/>
        </w:rPr>
      </w:pPr>
    </w:p>
    <w:p w:rsidR="00A94E83" w:rsidRPr="002615D7" w:rsidRDefault="004F408E" w:rsidP="002615D7">
      <w:pPr>
        <w:pStyle w:val="Textoindependiente32"/>
        <w:spacing w:line="288" w:lineRule="auto"/>
        <w:ind w:firstLine="708"/>
        <w:rPr>
          <w:rFonts w:ascii="Arial Narrow" w:hAnsi="Arial Narrow"/>
          <w:spacing w:val="-6"/>
          <w:sz w:val="26"/>
          <w:szCs w:val="26"/>
        </w:rPr>
      </w:pPr>
      <w:r w:rsidRPr="002615D7">
        <w:rPr>
          <w:rFonts w:ascii="Arial Narrow" w:hAnsi="Arial Narrow"/>
          <w:spacing w:val="-6"/>
          <w:sz w:val="26"/>
          <w:szCs w:val="26"/>
        </w:rPr>
        <w:t xml:space="preserve">Finalmente, en lo que tiene que ver la disminución de costas </w:t>
      </w:r>
      <w:r w:rsidR="00A94E83" w:rsidRPr="002615D7">
        <w:rPr>
          <w:rFonts w:ascii="Arial Narrow" w:hAnsi="Arial Narrow"/>
          <w:spacing w:val="-6"/>
          <w:sz w:val="26"/>
          <w:szCs w:val="26"/>
        </w:rPr>
        <w:t>que solicita</w:t>
      </w:r>
      <w:r w:rsidRPr="002615D7">
        <w:rPr>
          <w:rFonts w:ascii="Arial Narrow" w:hAnsi="Arial Narrow"/>
          <w:spacing w:val="-6"/>
          <w:sz w:val="26"/>
          <w:szCs w:val="26"/>
        </w:rPr>
        <w:t xml:space="preserve"> el </w:t>
      </w:r>
      <w:r w:rsidR="008F7787" w:rsidRPr="002615D7">
        <w:rPr>
          <w:rFonts w:ascii="Arial Narrow" w:hAnsi="Arial Narrow"/>
          <w:spacing w:val="-6"/>
          <w:sz w:val="26"/>
          <w:szCs w:val="26"/>
        </w:rPr>
        <w:t xml:space="preserve">fondo privado, quien considera que éstas deben ser compartidas </w:t>
      </w:r>
      <w:r w:rsidR="00A94E83" w:rsidRPr="002615D7">
        <w:rPr>
          <w:rFonts w:ascii="Arial Narrow" w:hAnsi="Arial Narrow"/>
          <w:spacing w:val="-6"/>
          <w:sz w:val="26"/>
          <w:szCs w:val="26"/>
        </w:rPr>
        <w:t xml:space="preserve">proporcionalmente con </w:t>
      </w:r>
      <w:r w:rsidR="008F7787" w:rsidRPr="002615D7">
        <w:rPr>
          <w:rFonts w:ascii="Arial Narrow" w:hAnsi="Arial Narrow"/>
          <w:spacing w:val="-6"/>
          <w:sz w:val="26"/>
          <w:szCs w:val="26"/>
        </w:rPr>
        <w:t xml:space="preserve"> Colpensiones, dado que las pretensiones de la demanda estaban también dirigidas a obtener la reliquidación de la pensión de vejez</w:t>
      </w:r>
      <w:r w:rsidR="00A6696A" w:rsidRPr="002615D7">
        <w:rPr>
          <w:rFonts w:ascii="Arial Narrow" w:hAnsi="Arial Narrow"/>
          <w:spacing w:val="-6"/>
          <w:sz w:val="26"/>
          <w:szCs w:val="26"/>
        </w:rPr>
        <w:t>;</w:t>
      </w:r>
      <w:r w:rsidR="008F7787" w:rsidRPr="002615D7">
        <w:rPr>
          <w:rFonts w:ascii="Arial Narrow" w:hAnsi="Arial Narrow"/>
          <w:spacing w:val="-6"/>
          <w:sz w:val="26"/>
          <w:szCs w:val="26"/>
        </w:rPr>
        <w:t xml:space="preserve"> es del caso precisar que </w:t>
      </w:r>
      <w:r w:rsidR="00A6696A" w:rsidRPr="002615D7">
        <w:rPr>
          <w:rFonts w:ascii="Arial Narrow" w:hAnsi="Arial Narrow"/>
          <w:spacing w:val="-6"/>
          <w:sz w:val="26"/>
          <w:szCs w:val="26"/>
        </w:rPr>
        <w:t xml:space="preserve">dicha reliquidación </w:t>
      </w:r>
      <w:r w:rsidR="00A94E83" w:rsidRPr="002615D7">
        <w:rPr>
          <w:rFonts w:ascii="Arial Narrow" w:hAnsi="Arial Narrow"/>
          <w:spacing w:val="-6"/>
          <w:sz w:val="26"/>
          <w:szCs w:val="26"/>
        </w:rPr>
        <w:t xml:space="preserve">peticionada </w:t>
      </w:r>
      <w:r w:rsidR="00A6696A" w:rsidRPr="002615D7">
        <w:rPr>
          <w:rFonts w:ascii="Arial Narrow" w:hAnsi="Arial Narrow"/>
          <w:spacing w:val="-6"/>
          <w:sz w:val="26"/>
          <w:szCs w:val="26"/>
        </w:rPr>
        <w:t xml:space="preserve">por el actor </w:t>
      </w:r>
      <w:r w:rsidR="00A94E83" w:rsidRPr="002615D7">
        <w:rPr>
          <w:rFonts w:ascii="Arial Narrow" w:hAnsi="Arial Narrow"/>
          <w:spacing w:val="-6"/>
          <w:sz w:val="26"/>
          <w:szCs w:val="26"/>
        </w:rPr>
        <w:t xml:space="preserve">con base en el Acuerdo 049/90, fue negada por Colpensiones, </w:t>
      </w:r>
      <w:r w:rsidR="00A6696A" w:rsidRPr="002615D7">
        <w:rPr>
          <w:rFonts w:ascii="Arial Narrow" w:hAnsi="Arial Narrow"/>
          <w:spacing w:val="-6"/>
          <w:sz w:val="26"/>
          <w:szCs w:val="26"/>
        </w:rPr>
        <w:t xml:space="preserve">en vía administrativa, </w:t>
      </w:r>
      <w:r w:rsidR="00A94E83" w:rsidRPr="002615D7">
        <w:rPr>
          <w:rFonts w:ascii="Arial Narrow" w:hAnsi="Arial Narrow"/>
          <w:spacing w:val="-6"/>
          <w:sz w:val="26"/>
          <w:szCs w:val="26"/>
        </w:rPr>
        <w:t xml:space="preserve">en razón a que </w:t>
      </w:r>
      <w:r w:rsidR="00A6696A" w:rsidRPr="002615D7">
        <w:rPr>
          <w:rFonts w:ascii="Arial Narrow" w:hAnsi="Arial Narrow"/>
          <w:spacing w:val="-6"/>
          <w:sz w:val="26"/>
          <w:szCs w:val="26"/>
        </w:rPr>
        <w:t xml:space="preserve">el demandante, </w:t>
      </w:r>
      <w:r w:rsidR="00A94E83" w:rsidRPr="002615D7">
        <w:rPr>
          <w:rFonts w:ascii="Arial Narrow" w:hAnsi="Arial Narrow"/>
          <w:spacing w:val="-6"/>
          <w:sz w:val="26"/>
          <w:szCs w:val="26"/>
        </w:rPr>
        <w:t>como consecuencia de su traslado al régimen de aho</w:t>
      </w:r>
      <w:r w:rsidR="00A6696A" w:rsidRPr="002615D7">
        <w:rPr>
          <w:rFonts w:ascii="Arial Narrow" w:hAnsi="Arial Narrow"/>
          <w:spacing w:val="-6"/>
          <w:sz w:val="26"/>
          <w:szCs w:val="26"/>
        </w:rPr>
        <w:t>rro individual con solidaridad, había perdido el régimen de transición, siendo su negativa en ese momento ajustada a derecho.</w:t>
      </w:r>
    </w:p>
    <w:p w:rsidR="00A94E83" w:rsidRPr="002615D7" w:rsidRDefault="00A94E83" w:rsidP="002615D7">
      <w:pPr>
        <w:pStyle w:val="Sinespaciado"/>
        <w:spacing w:line="288" w:lineRule="auto"/>
        <w:rPr>
          <w:rFonts w:ascii="Arial Narrow" w:hAnsi="Arial Narrow"/>
          <w:spacing w:val="-6"/>
          <w:sz w:val="26"/>
          <w:szCs w:val="26"/>
        </w:rPr>
      </w:pPr>
    </w:p>
    <w:p w:rsidR="00A6696A" w:rsidRPr="002615D7" w:rsidRDefault="00A94E83" w:rsidP="002615D7">
      <w:pPr>
        <w:pStyle w:val="Textoindependiente32"/>
        <w:spacing w:line="288" w:lineRule="auto"/>
        <w:ind w:firstLine="708"/>
        <w:rPr>
          <w:rFonts w:ascii="Arial Narrow" w:hAnsi="Arial Narrow"/>
          <w:spacing w:val="-6"/>
          <w:sz w:val="26"/>
          <w:szCs w:val="26"/>
        </w:rPr>
      </w:pPr>
      <w:r w:rsidRPr="002615D7">
        <w:rPr>
          <w:rFonts w:ascii="Arial Narrow" w:hAnsi="Arial Narrow"/>
          <w:spacing w:val="-6"/>
          <w:sz w:val="26"/>
          <w:szCs w:val="26"/>
        </w:rPr>
        <w:t>No obstante</w:t>
      </w:r>
      <w:r w:rsidR="00A6696A" w:rsidRPr="002615D7">
        <w:rPr>
          <w:rFonts w:ascii="Arial Narrow" w:hAnsi="Arial Narrow"/>
          <w:spacing w:val="-6"/>
          <w:sz w:val="26"/>
          <w:szCs w:val="26"/>
        </w:rPr>
        <w:t xml:space="preserve">, </w:t>
      </w:r>
      <w:r w:rsidR="00D53589" w:rsidRPr="002615D7">
        <w:rPr>
          <w:rFonts w:ascii="Arial Narrow" w:hAnsi="Arial Narrow"/>
          <w:spacing w:val="-6"/>
          <w:sz w:val="26"/>
          <w:szCs w:val="26"/>
        </w:rPr>
        <w:t xml:space="preserve">se considera que </w:t>
      </w:r>
      <w:r w:rsidR="00A6696A" w:rsidRPr="002615D7">
        <w:rPr>
          <w:rFonts w:ascii="Arial Narrow" w:hAnsi="Arial Narrow"/>
          <w:spacing w:val="-6"/>
          <w:sz w:val="26"/>
          <w:szCs w:val="26"/>
        </w:rPr>
        <w:t xml:space="preserve">el pedimento de la </w:t>
      </w:r>
      <w:r w:rsidR="00D53589" w:rsidRPr="002615D7">
        <w:rPr>
          <w:rFonts w:ascii="Arial Narrow" w:hAnsi="Arial Narrow"/>
          <w:spacing w:val="-6"/>
          <w:sz w:val="26"/>
          <w:szCs w:val="26"/>
        </w:rPr>
        <w:t xml:space="preserve">sociedad </w:t>
      </w:r>
      <w:r w:rsidR="00A6696A" w:rsidRPr="002615D7">
        <w:rPr>
          <w:rFonts w:ascii="Arial Narrow" w:hAnsi="Arial Narrow"/>
          <w:spacing w:val="-6"/>
          <w:sz w:val="26"/>
          <w:szCs w:val="26"/>
        </w:rPr>
        <w:t xml:space="preserve">recurrente debe salir avante en forma parcial, no para condenar a Colpensiones en costas de primer grado, sino para </w:t>
      </w:r>
      <w:r w:rsidRPr="002615D7">
        <w:rPr>
          <w:rFonts w:ascii="Arial Narrow" w:hAnsi="Arial Narrow"/>
          <w:spacing w:val="-6"/>
          <w:sz w:val="26"/>
          <w:szCs w:val="26"/>
        </w:rPr>
        <w:t xml:space="preserve">reducir el porcentaje de </w:t>
      </w:r>
      <w:r w:rsidR="00A6696A" w:rsidRPr="002615D7">
        <w:rPr>
          <w:rFonts w:ascii="Arial Narrow" w:hAnsi="Arial Narrow"/>
          <w:spacing w:val="-6"/>
          <w:sz w:val="26"/>
          <w:szCs w:val="26"/>
        </w:rPr>
        <w:t xml:space="preserve">las que le fueron impuestas a </w:t>
      </w:r>
      <w:r w:rsidR="00D53589" w:rsidRPr="002615D7">
        <w:rPr>
          <w:rFonts w:ascii="Arial Narrow" w:hAnsi="Arial Narrow"/>
          <w:spacing w:val="-6"/>
          <w:sz w:val="26"/>
          <w:szCs w:val="26"/>
        </w:rPr>
        <w:t>aquella -</w:t>
      </w:r>
      <w:r w:rsidR="00A6696A" w:rsidRPr="002615D7">
        <w:rPr>
          <w:rFonts w:ascii="Arial Narrow" w:hAnsi="Arial Narrow"/>
          <w:spacing w:val="-6"/>
          <w:sz w:val="26"/>
          <w:szCs w:val="26"/>
        </w:rPr>
        <w:t>Colfondos S.A.</w:t>
      </w:r>
      <w:r w:rsidRPr="002615D7">
        <w:rPr>
          <w:rFonts w:ascii="Arial Narrow" w:hAnsi="Arial Narrow"/>
          <w:spacing w:val="-6"/>
          <w:sz w:val="26"/>
          <w:szCs w:val="26"/>
        </w:rPr>
        <w:t>, a un 70% de las causadas,</w:t>
      </w:r>
      <w:r w:rsidR="00A6696A" w:rsidRPr="002615D7">
        <w:rPr>
          <w:rFonts w:ascii="Arial Narrow" w:hAnsi="Arial Narrow"/>
          <w:spacing w:val="-6"/>
          <w:sz w:val="26"/>
          <w:szCs w:val="26"/>
        </w:rPr>
        <w:t xml:space="preserve"> al tenor de lo dispuesto en el artículo 365 del CGP, dado que la declaratoria de ineficacia del traslado de régimen pensional no fue la única pretensión enlistada en la demanda. </w:t>
      </w:r>
    </w:p>
    <w:p w:rsidR="00A6696A" w:rsidRPr="002615D7" w:rsidRDefault="00D53589" w:rsidP="002615D7">
      <w:pPr>
        <w:pStyle w:val="Sinespaciado"/>
        <w:spacing w:line="288" w:lineRule="auto"/>
        <w:rPr>
          <w:rFonts w:ascii="Arial Narrow" w:hAnsi="Arial Narrow"/>
          <w:spacing w:val="-6"/>
          <w:sz w:val="26"/>
          <w:szCs w:val="26"/>
        </w:rPr>
      </w:pPr>
      <w:r w:rsidRPr="002615D7">
        <w:rPr>
          <w:rFonts w:ascii="Arial Narrow" w:hAnsi="Arial Narrow"/>
          <w:spacing w:val="-6"/>
          <w:sz w:val="26"/>
          <w:szCs w:val="26"/>
        </w:rPr>
        <w:tab/>
      </w:r>
    </w:p>
    <w:p w:rsidR="00A6696A" w:rsidRPr="002615D7" w:rsidRDefault="00A6696A" w:rsidP="002615D7">
      <w:pPr>
        <w:pStyle w:val="Textoindependiente32"/>
        <w:spacing w:line="288" w:lineRule="auto"/>
        <w:ind w:firstLine="708"/>
        <w:rPr>
          <w:rFonts w:ascii="Arial Narrow" w:hAnsi="Arial Narrow"/>
          <w:spacing w:val="-6"/>
          <w:sz w:val="26"/>
          <w:szCs w:val="26"/>
        </w:rPr>
      </w:pPr>
      <w:r w:rsidRPr="002615D7">
        <w:rPr>
          <w:rFonts w:ascii="Arial Narrow" w:hAnsi="Arial Narrow"/>
          <w:spacing w:val="-6"/>
          <w:sz w:val="26"/>
          <w:szCs w:val="26"/>
        </w:rPr>
        <w:t xml:space="preserve">Por tal motivo, se modificará el ordinal 8º de la sentencia. </w:t>
      </w:r>
    </w:p>
    <w:p w:rsidR="00D53589" w:rsidRPr="002615D7" w:rsidRDefault="00D53589" w:rsidP="002615D7">
      <w:pPr>
        <w:pStyle w:val="Sinespaciado"/>
        <w:spacing w:line="288" w:lineRule="auto"/>
        <w:rPr>
          <w:rFonts w:ascii="Arial Narrow" w:hAnsi="Arial Narrow"/>
          <w:spacing w:val="-6"/>
          <w:sz w:val="26"/>
          <w:szCs w:val="26"/>
        </w:rPr>
      </w:pPr>
    </w:p>
    <w:p w:rsidR="00667280" w:rsidRPr="002615D7" w:rsidRDefault="00667280" w:rsidP="002615D7">
      <w:pPr>
        <w:pStyle w:val="Textoindependiente"/>
        <w:spacing w:line="288" w:lineRule="auto"/>
        <w:ind w:firstLine="708"/>
        <w:rPr>
          <w:rFonts w:ascii="Arial Narrow" w:hAnsi="Arial Narrow" w:cs="Arial"/>
          <w:spacing w:val="-6"/>
          <w:szCs w:val="26"/>
          <w:shd w:val="clear" w:color="auto" w:fill="FFFFFF"/>
          <w:lang w:val="es-ES"/>
        </w:rPr>
      </w:pPr>
      <w:r w:rsidRPr="002615D7">
        <w:rPr>
          <w:rFonts w:ascii="Arial Narrow" w:hAnsi="Arial Narrow" w:cs="Arial"/>
          <w:spacing w:val="-6"/>
          <w:szCs w:val="26"/>
          <w:shd w:val="clear" w:color="auto" w:fill="FFFFFF"/>
          <w:lang w:val="es-ES"/>
        </w:rPr>
        <w:t>Con lo anterior, quedan resueltos los puntos de inconformidad propuestos</w:t>
      </w:r>
      <w:r w:rsidR="00EF69EA" w:rsidRPr="002615D7">
        <w:rPr>
          <w:rFonts w:ascii="Arial Narrow" w:hAnsi="Arial Narrow" w:cs="Arial"/>
          <w:spacing w:val="-6"/>
          <w:szCs w:val="26"/>
          <w:shd w:val="clear" w:color="auto" w:fill="FFFFFF"/>
          <w:lang w:val="es-ES"/>
        </w:rPr>
        <w:t xml:space="preserve"> y el grado jurisdiccional de consulta</w:t>
      </w:r>
      <w:r w:rsidRPr="002615D7">
        <w:rPr>
          <w:rFonts w:ascii="Arial Narrow" w:hAnsi="Arial Narrow" w:cs="Arial"/>
          <w:spacing w:val="-6"/>
          <w:szCs w:val="26"/>
          <w:shd w:val="clear" w:color="auto" w:fill="FFFFFF"/>
          <w:lang w:val="es-ES"/>
        </w:rPr>
        <w:t xml:space="preserve">. </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22481D" w:rsidP="002615D7">
      <w:pPr>
        <w:pStyle w:val="Textoindependiente31"/>
        <w:spacing w:line="288" w:lineRule="auto"/>
        <w:ind w:firstLine="708"/>
        <w:rPr>
          <w:rFonts w:ascii="Arial Narrow" w:hAnsi="Arial Narrow" w:cs="Segoe UI"/>
          <w:spacing w:val="-6"/>
          <w:sz w:val="26"/>
          <w:szCs w:val="26"/>
        </w:rPr>
      </w:pPr>
      <w:r w:rsidRPr="002615D7">
        <w:rPr>
          <w:rFonts w:ascii="Arial Narrow" w:hAnsi="Arial Narrow" w:cs="Arial"/>
          <w:spacing w:val="-6"/>
          <w:sz w:val="26"/>
          <w:szCs w:val="26"/>
          <w:lang w:val="es-ES"/>
        </w:rPr>
        <w:t>Sin costas en esta instancia, dada la prosperidad parcial del recurso interpuesto por Colfondos y la compensación entre los otros dos recurrentes.</w:t>
      </w:r>
    </w:p>
    <w:p w:rsidR="00667280" w:rsidRPr="002615D7" w:rsidRDefault="00667280" w:rsidP="002615D7">
      <w:pPr>
        <w:pStyle w:val="Sinespaciado"/>
        <w:spacing w:line="288" w:lineRule="auto"/>
        <w:rPr>
          <w:rFonts w:ascii="Arial Narrow" w:hAnsi="Arial Narrow"/>
          <w:spacing w:val="-6"/>
          <w:sz w:val="26"/>
          <w:szCs w:val="26"/>
          <w:lang w:eastAsia="es-ES"/>
        </w:rPr>
      </w:pPr>
      <w:r w:rsidRPr="002615D7">
        <w:rPr>
          <w:rFonts w:ascii="Arial Narrow" w:hAnsi="Arial Narrow"/>
          <w:spacing w:val="-6"/>
          <w:sz w:val="26"/>
          <w:szCs w:val="26"/>
          <w:lang w:eastAsia="es-ES"/>
        </w:rPr>
        <w:t>        </w:t>
      </w:r>
    </w:p>
    <w:p w:rsidR="00667280" w:rsidRDefault="00667280" w:rsidP="002615D7">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2615D7">
        <w:rPr>
          <w:rFonts w:ascii="Arial Narrow" w:eastAsia="Times New Roman" w:hAnsi="Arial Narrow" w:cs="Segoe UI"/>
          <w:color w:val="212121"/>
          <w:spacing w:val="-6"/>
          <w:sz w:val="26"/>
          <w:szCs w:val="26"/>
          <w:lang w:eastAsia="es-ES"/>
        </w:rPr>
        <w:t>En mérito de lo expuesto, el </w:t>
      </w:r>
      <w:r w:rsidRPr="002615D7">
        <w:rPr>
          <w:rFonts w:ascii="Arial Narrow" w:eastAsia="Times New Roman" w:hAnsi="Arial Narrow" w:cs="Segoe UI"/>
          <w:i/>
          <w:iCs/>
          <w:color w:val="212121"/>
          <w:spacing w:val="-6"/>
          <w:sz w:val="26"/>
          <w:szCs w:val="26"/>
          <w:lang w:eastAsia="es-ES"/>
        </w:rPr>
        <w:t xml:space="preserve">Tribunal Superior del Distrito Judicial de Pereira - Risaralda, Sala </w:t>
      </w:r>
      <w:r w:rsidR="00EF69EA" w:rsidRPr="002615D7">
        <w:rPr>
          <w:rFonts w:ascii="Arial Narrow" w:eastAsia="Times New Roman" w:hAnsi="Arial Narrow" w:cs="Segoe UI"/>
          <w:i/>
          <w:iCs/>
          <w:color w:val="212121"/>
          <w:spacing w:val="-6"/>
          <w:sz w:val="26"/>
          <w:szCs w:val="26"/>
          <w:lang w:eastAsia="es-ES"/>
        </w:rPr>
        <w:t>Cuarta</w:t>
      </w:r>
      <w:r w:rsidRPr="002615D7">
        <w:rPr>
          <w:rFonts w:ascii="Arial Narrow" w:eastAsia="Times New Roman" w:hAnsi="Arial Narrow" w:cs="Segoe UI"/>
          <w:i/>
          <w:iCs/>
          <w:color w:val="212121"/>
          <w:spacing w:val="-6"/>
          <w:sz w:val="26"/>
          <w:szCs w:val="26"/>
          <w:lang w:eastAsia="es-ES"/>
        </w:rPr>
        <w:t xml:space="preserve"> de Decisión Laboral,</w:t>
      </w:r>
      <w:r w:rsidRPr="002615D7">
        <w:rPr>
          <w:rFonts w:ascii="Arial Narrow" w:eastAsia="Times New Roman" w:hAnsi="Arial Narrow" w:cs="Segoe UI"/>
          <w:color w:val="212121"/>
          <w:spacing w:val="-6"/>
          <w:sz w:val="26"/>
          <w:szCs w:val="26"/>
          <w:lang w:eastAsia="es-ES"/>
        </w:rPr>
        <w:t> administrando justicia en nombre de la República y por autoridad de la ley,</w:t>
      </w:r>
    </w:p>
    <w:p w:rsidR="00DC0BFB" w:rsidRDefault="00DC0BFB" w:rsidP="002615D7">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p>
    <w:p w:rsidR="00660491" w:rsidRPr="002615D7" w:rsidRDefault="00660491" w:rsidP="002615D7">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p>
    <w:p w:rsidR="00667280" w:rsidRPr="002615D7" w:rsidRDefault="00667280" w:rsidP="002615D7">
      <w:pPr>
        <w:shd w:val="clear" w:color="auto" w:fill="FFFFFF"/>
        <w:spacing w:after="0" w:line="288" w:lineRule="auto"/>
        <w:jc w:val="center"/>
        <w:rPr>
          <w:rFonts w:ascii="Arial Narrow" w:eastAsia="Times New Roman" w:hAnsi="Arial Narrow" w:cs="Segoe UI"/>
          <w:color w:val="212121"/>
          <w:spacing w:val="-6"/>
          <w:sz w:val="26"/>
          <w:szCs w:val="26"/>
          <w:lang w:eastAsia="es-ES"/>
        </w:rPr>
      </w:pPr>
      <w:r w:rsidRPr="002615D7">
        <w:rPr>
          <w:rFonts w:ascii="Arial Narrow" w:eastAsia="Times New Roman" w:hAnsi="Arial Narrow" w:cs="Segoe UI"/>
          <w:b/>
          <w:bCs/>
          <w:color w:val="212121"/>
          <w:spacing w:val="-6"/>
          <w:sz w:val="26"/>
          <w:szCs w:val="26"/>
          <w:lang w:eastAsia="es-ES"/>
        </w:rPr>
        <w:t>FALLA</w:t>
      </w:r>
    </w:p>
    <w:p w:rsidR="00667280" w:rsidRDefault="00667280" w:rsidP="002615D7">
      <w:pPr>
        <w:pStyle w:val="Sinespaciado"/>
        <w:spacing w:line="288" w:lineRule="auto"/>
        <w:rPr>
          <w:rFonts w:ascii="Arial Narrow" w:hAnsi="Arial Narrow"/>
          <w:spacing w:val="-6"/>
          <w:sz w:val="26"/>
          <w:szCs w:val="26"/>
          <w:lang w:eastAsia="es-ES"/>
        </w:rPr>
      </w:pPr>
      <w:r w:rsidRPr="002615D7">
        <w:rPr>
          <w:rFonts w:ascii="Arial Narrow" w:hAnsi="Arial Narrow"/>
          <w:spacing w:val="-6"/>
          <w:sz w:val="26"/>
          <w:szCs w:val="26"/>
          <w:lang w:eastAsia="es-ES"/>
        </w:rPr>
        <w:t> </w:t>
      </w:r>
    </w:p>
    <w:p w:rsidR="00660491" w:rsidRPr="002615D7" w:rsidRDefault="00660491" w:rsidP="002615D7">
      <w:pPr>
        <w:pStyle w:val="Sinespaciado"/>
        <w:spacing w:line="288" w:lineRule="auto"/>
        <w:rPr>
          <w:rFonts w:ascii="Arial Narrow" w:hAnsi="Arial Narrow"/>
          <w:spacing w:val="-6"/>
          <w:sz w:val="26"/>
          <w:szCs w:val="26"/>
          <w:lang w:eastAsia="es-ES"/>
        </w:rPr>
      </w:pPr>
    </w:p>
    <w:p w:rsidR="0022481D" w:rsidRPr="002615D7" w:rsidRDefault="00667280" w:rsidP="002615D7">
      <w:pPr>
        <w:pStyle w:val="Sinespaciado"/>
        <w:spacing w:line="288" w:lineRule="auto"/>
        <w:ind w:firstLine="284"/>
        <w:jc w:val="both"/>
        <w:rPr>
          <w:rFonts w:ascii="Arial Narrow" w:hAnsi="Arial Narrow"/>
          <w:spacing w:val="-6"/>
          <w:sz w:val="26"/>
          <w:szCs w:val="26"/>
        </w:rPr>
      </w:pPr>
      <w:r w:rsidRPr="002615D7">
        <w:rPr>
          <w:rFonts w:ascii="Arial Narrow" w:hAnsi="Arial Narrow" w:cs="Arial"/>
          <w:b/>
          <w:spacing w:val="-6"/>
          <w:sz w:val="26"/>
          <w:szCs w:val="26"/>
        </w:rPr>
        <w:t xml:space="preserve">1. </w:t>
      </w:r>
      <w:r w:rsidR="0022481D" w:rsidRPr="002615D7">
        <w:rPr>
          <w:rFonts w:ascii="Arial Narrow" w:hAnsi="Arial Narrow" w:cs="Arial"/>
          <w:b/>
          <w:spacing w:val="-6"/>
          <w:sz w:val="26"/>
          <w:szCs w:val="26"/>
        </w:rPr>
        <w:t xml:space="preserve">Modificar </w:t>
      </w:r>
      <w:r w:rsidR="0022481D" w:rsidRPr="002615D7">
        <w:rPr>
          <w:rFonts w:ascii="Arial Narrow" w:hAnsi="Arial Narrow" w:cs="Arial"/>
          <w:spacing w:val="-6"/>
          <w:sz w:val="26"/>
          <w:szCs w:val="26"/>
        </w:rPr>
        <w:t xml:space="preserve">el ordinal 4º de la </w:t>
      </w:r>
      <w:r w:rsidRPr="002615D7">
        <w:rPr>
          <w:rFonts w:ascii="Arial Narrow" w:hAnsi="Arial Narrow" w:cs="Arial"/>
          <w:spacing w:val="-6"/>
          <w:sz w:val="26"/>
          <w:szCs w:val="26"/>
        </w:rPr>
        <w:t xml:space="preserve">sentencia proferida el </w:t>
      </w:r>
      <w:r w:rsidR="0022481D" w:rsidRPr="002615D7">
        <w:rPr>
          <w:rFonts w:ascii="Arial Narrow" w:hAnsi="Arial Narrow" w:cs="Arial"/>
          <w:spacing w:val="-6"/>
          <w:sz w:val="26"/>
          <w:szCs w:val="26"/>
        </w:rPr>
        <w:t>25 de octubre de 2018</w:t>
      </w:r>
      <w:r w:rsidRPr="002615D7">
        <w:rPr>
          <w:rFonts w:ascii="Arial Narrow" w:hAnsi="Arial Narrow" w:cs="Arial"/>
          <w:spacing w:val="-6"/>
          <w:sz w:val="26"/>
          <w:szCs w:val="26"/>
        </w:rPr>
        <w:t xml:space="preserve"> por el Juzgado </w:t>
      </w:r>
      <w:r w:rsidR="0022481D" w:rsidRPr="002615D7">
        <w:rPr>
          <w:rFonts w:ascii="Arial Narrow" w:hAnsi="Arial Narrow" w:cs="Arial"/>
          <w:spacing w:val="-6"/>
          <w:sz w:val="26"/>
          <w:szCs w:val="26"/>
        </w:rPr>
        <w:t xml:space="preserve">Cuarto </w:t>
      </w:r>
      <w:r w:rsidRPr="002615D7">
        <w:rPr>
          <w:rFonts w:ascii="Arial Narrow" w:hAnsi="Arial Narrow" w:cs="Arial"/>
          <w:spacing w:val="-6"/>
          <w:sz w:val="26"/>
          <w:szCs w:val="26"/>
        </w:rPr>
        <w:t xml:space="preserve">Laboral del Circuito de esta ciudad, dentro del proceso de la referencia, </w:t>
      </w:r>
      <w:r w:rsidR="0022481D" w:rsidRPr="002615D7">
        <w:rPr>
          <w:rFonts w:ascii="Arial Narrow" w:hAnsi="Arial Narrow" w:cs="Arial"/>
          <w:spacing w:val="-6"/>
          <w:sz w:val="26"/>
          <w:szCs w:val="26"/>
        </w:rPr>
        <w:t>en el sentido de indicar que el valor de la mesada pensional para el año 2019 asciende a $</w:t>
      </w:r>
      <w:r w:rsidR="0022481D" w:rsidRPr="002615D7">
        <w:rPr>
          <w:rFonts w:ascii="Arial Narrow" w:hAnsi="Arial Narrow"/>
          <w:spacing w:val="-6"/>
          <w:sz w:val="26"/>
          <w:szCs w:val="26"/>
        </w:rPr>
        <w:t>5`467. 971.</w:t>
      </w:r>
    </w:p>
    <w:p w:rsidR="00887D52" w:rsidRPr="00591117" w:rsidRDefault="00887D52" w:rsidP="00591117">
      <w:pPr>
        <w:pStyle w:val="Textoindependiente31"/>
        <w:spacing w:line="288" w:lineRule="auto"/>
        <w:ind w:firstLine="284"/>
        <w:rPr>
          <w:rFonts w:ascii="Arial Narrow" w:hAnsi="Arial Narrow" w:cs="Arial"/>
          <w:b/>
          <w:spacing w:val="-6"/>
          <w:sz w:val="26"/>
          <w:szCs w:val="26"/>
        </w:rPr>
      </w:pPr>
    </w:p>
    <w:p w:rsidR="00667280" w:rsidRPr="00591117" w:rsidRDefault="00887D52" w:rsidP="00591117">
      <w:pPr>
        <w:pStyle w:val="Textoindependiente31"/>
        <w:spacing w:line="288" w:lineRule="auto"/>
        <w:ind w:firstLine="284"/>
        <w:rPr>
          <w:rFonts w:ascii="Arial Narrow" w:hAnsi="Arial Narrow" w:cs="Arial"/>
          <w:spacing w:val="-6"/>
          <w:sz w:val="26"/>
          <w:szCs w:val="26"/>
        </w:rPr>
      </w:pPr>
      <w:r w:rsidRPr="002615D7">
        <w:rPr>
          <w:rFonts w:ascii="Arial Narrow" w:hAnsi="Arial Narrow" w:cs="Arial"/>
          <w:b/>
          <w:spacing w:val="-6"/>
          <w:sz w:val="26"/>
          <w:szCs w:val="26"/>
        </w:rPr>
        <w:t xml:space="preserve">2. Modificar </w:t>
      </w:r>
      <w:r w:rsidRPr="00591117">
        <w:rPr>
          <w:rFonts w:ascii="Arial Narrow" w:hAnsi="Arial Narrow" w:cs="Arial"/>
          <w:spacing w:val="-6"/>
          <w:sz w:val="26"/>
          <w:szCs w:val="26"/>
        </w:rPr>
        <w:t xml:space="preserve">el ordinal 5º de la providencia, en el sentido de condenar a Colpensiones a reconocer y pagar a título de diferencias pensionales causadas entre el 9 de mayo de 2011 y el 30 de junio de 2019, la suma de $$70`152.134, sin perjuicio de que se siga generando hasta su solución. </w:t>
      </w:r>
    </w:p>
    <w:p w:rsidR="00667280" w:rsidRPr="00591117" w:rsidRDefault="00667280" w:rsidP="00591117">
      <w:pPr>
        <w:pStyle w:val="Textoindependiente31"/>
        <w:spacing w:line="288" w:lineRule="auto"/>
        <w:ind w:firstLine="284"/>
        <w:rPr>
          <w:rFonts w:ascii="Arial Narrow" w:hAnsi="Arial Narrow" w:cs="Arial"/>
          <w:spacing w:val="-6"/>
          <w:sz w:val="26"/>
          <w:szCs w:val="26"/>
        </w:rPr>
      </w:pPr>
    </w:p>
    <w:p w:rsidR="00887D52" w:rsidRDefault="00887D52" w:rsidP="002615D7">
      <w:pPr>
        <w:pStyle w:val="Textoindependiente31"/>
        <w:spacing w:line="288" w:lineRule="auto"/>
        <w:ind w:firstLine="284"/>
        <w:rPr>
          <w:rFonts w:ascii="Arial Narrow" w:hAnsi="Arial Narrow" w:cs="Arial"/>
          <w:spacing w:val="-6"/>
          <w:sz w:val="26"/>
          <w:szCs w:val="26"/>
        </w:rPr>
      </w:pPr>
      <w:r w:rsidRPr="002615D7">
        <w:rPr>
          <w:rFonts w:ascii="Arial Narrow" w:hAnsi="Arial Narrow" w:cs="Arial"/>
          <w:b/>
          <w:spacing w:val="-6"/>
          <w:sz w:val="26"/>
          <w:szCs w:val="26"/>
        </w:rPr>
        <w:lastRenderedPageBreak/>
        <w:t xml:space="preserve">3. Modificar </w:t>
      </w:r>
      <w:r w:rsidRPr="002615D7">
        <w:rPr>
          <w:rFonts w:ascii="Arial Narrow" w:hAnsi="Arial Narrow" w:cs="Arial"/>
          <w:spacing w:val="-6"/>
          <w:sz w:val="26"/>
          <w:szCs w:val="26"/>
        </w:rPr>
        <w:t xml:space="preserve">el ordinal 8º de la sentencia en cuanto a  que el valor de la condena por concepto de costas procesales de primer grado a cargo de Colfondos S.A., corresponde al 70 % de las causadas. </w:t>
      </w:r>
    </w:p>
    <w:p w:rsidR="00DC0BFB" w:rsidRPr="002615D7" w:rsidRDefault="00DC0BFB" w:rsidP="002615D7">
      <w:pPr>
        <w:pStyle w:val="Textoindependiente31"/>
        <w:spacing w:line="288" w:lineRule="auto"/>
        <w:ind w:firstLine="284"/>
        <w:rPr>
          <w:rFonts w:ascii="Arial Narrow" w:hAnsi="Arial Narrow" w:cs="Arial"/>
          <w:spacing w:val="-6"/>
          <w:sz w:val="26"/>
          <w:szCs w:val="26"/>
        </w:rPr>
      </w:pPr>
    </w:p>
    <w:p w:rsidR="00887D52" w:rsidRPr="002615D7" w:rsidRDefault="00887D52" w:rsidP="002615D7">
      <w:pPr>
        <w:pStyle w:val="Textoindependiente31"/>
        <w:spacing w:line="288" w:lineRule="auto"/>
        <w:ind w:firstLine="708"/>
        <w:rPr>
          <w:rFonts w:ascii="Arial Narrow" w:hAnsi="Arial Narrow" w:cs="Arial"/>
          <w:spacing w:val="-6"/>
          <w:sz w:val="26"/>
          <w:szCs w:val="26"/>
        </w:rPr>
      </w:pPr>
      <w:r w:rsidRPr="002615D7">
        <w:rPr>
          <w:rFonts w:ascii="Arial Narrow" w:hAnsi="Arial Narrow" w:cs="Arial"/>
          <w:b/>
          <w:spacing w:val="-6"/>
          <w:sz w:val="26"/>
          <w:szCs w:val="26"/>
        </w:rPr>
        <w:t xml:space="preserve">4. Confirma </w:t>
      </w:r>
      <w:r w:rsidRPr="002615D7">
        <w:rPr>
          <w:rFonts w:ascii="Arial Narrow" w:hAnsi="Arial Narrow" w:cs="Arial"/>
          <w:spacing w:val="-6"/>
          <w:sz w:val="26"/>
          <w:szCs w:val="26"/>
        </w:rPr>
        <w:t>todo lo demás</w:t>
      </w:r>
    </w:p>
    <w:p w:rsidR="00887D52" w:rsidRPr="002615D7" w:rsidRDefault="00887D52" w:rsidP="002615D7">
      <w:pPr>
        <w:pStyle w:val="Sinespaciado"/>
        <w:spacing w:line="288" w:lineRule="auto"/>
        <w:rPr>
          <w:rFonts w:ascii="Arial Narrow" w:hAnsi="Arial Narrow"/>
          <w:spacing w:val="-6"/>
          <w:sz w:val="26"/>
          <w:szCs w:val="26"/>
        </w:rPr>
      </w:pPr>
    </w:p>
    <w:p w:rsidR="00887D52" w:rsidRPr="002615D7" w:rsidRDefault="00887D52" w:rsidP="002615D7">
      <w:pPr>
        <w:pStyle w:val="Textoindependiente31"/>
        <w:spacing w:line="288" w:lineRule="auto"/>
        <w:ind w:firstLine="708"/>
        <w:rPr>
          <w:rFonts w:ascii="Arial Narrow" w:hAnsi="Arial Narrow" w:cs="Arial"/>
          <w:spacing w:val="-6"/>
          <w:sz w:val="26"/>
          <w:szCs w:val="26"/>
        </w:rPr>
      </w:pPr>
      <w:r w:rsidRPr="002615D7">
        <w:rPr>
          <w:rFonts w:ascii="Arial Narrow" w:hAnsi="Arial Narrow" w:cs="Arial"/>
          <w:b/>
          <w:spacing w:val="-6"/>
          <w:sz w:val="26"/>
          <w:szCs w:val="26"/>
        </w:rPr>
        <w:t>5.</w:t>
      </w:r>
      <w:r w:rsidRPr="002615D7">
        <w:rPr>
          <w:rFonts w:ascii="Arial Narrow" w:hAnsi="Arial Narrow" w:cs="Arial"/>
          <w:spacing w:val="-6"/>
          <w:sz w:val="26"/>
          <w:szCs w:val="26"/>
        </w:rPr>
        <w:t xml:space="preserve"> Sin costas en esta instancia. </w:t>
      </w:r>
    </w:p>
    <w:p w:rsidR="00667280" w:rsidRPr="002615D7" w:rsidRDefault="00667280" w:rsidP="002615D7">
      <w:pPr>
        <w:pStyle w:val="Sinespaciado"/>
        <w:spacing w:line="288" w:lineRule="auto"/>
        <w:rPr>
          <w:rFonts w:ascii="Arial Narrow" w:hAnsi="Arial Narrow"/>
          <w:spacing w:val="-6"/>
          <w:sz w:val="26"/>
          <w:szCs w:val="26"/>
        </w:rPr>
      </w:pPr>
    </w:p>
    <w:p w:rsidR="00667280" w:rsidRPr="002615D7" w:rsidRDefault="00667280" w:rsidP="002615D7">
      <w:pPr>
        <w:shd w:val="clear" w:color="auto" w:fill="FFFFFF"/>
        <w:spacing w:after="0" w:line="288" w:lineRule="auto"/>
        <w:jc w:val="both"/>
        <w:rPr>
          <w:rFonts w:ascii="Arial Narrow" w:eastAsia="Times New Roman" w:hAnsi="Arial Narrow" w:cs="Segoe UI"/>
          <w:color w:val="212121"/>
          <w:spacing w:val="-6"/>
          <w:sz w:val="26"/>
          <w:szCs w:val="26"/>
          <w:lang w:eastAsia="es-ES"/>
        </w:rPr>
      </w:pPr>
      <w:r w:rsidRPr="002615D7">
        <w:rPr>
          <w:rFonts w:ascii="Arial Narrow" w:eastAsia="Times New Roman" w:hAnsi="Arial Narrow" w:cs="Segoe UI"/>
          <w:color w:val="212121"/>
          <w:spacing w:val="-6"/>
          <w:sz w:val="26"/>
          <w:szCs w:val="26"/>
          <w:lang w:eastAsia="es-ES"/>
        </w:rPr>
        <w:t>La anterior decisión queda notificada en estrados.</w:t>
      </w:r>
    </w:p>
    <w:p w:rsidR="002615D7" w:rsidRPr="002615D7" w:rsidRDefault="002615D7" w:rsidP="002615D7">
      <w:pPr>
        <w:spacing w:after="0" w:line="276" w:lineRule="auto"/>
        <w:jc w:val="center"/>
        <w:rPr>
          <w:rFonts w:ascii="Arial Narrow" w:eastAsia="Times New Roman" w:hAnsi="Arial Narrow" w:cs="Arial"/>
          <w:bCs/>
          <w:iCs/>
          <w:sz w:val="26"/>
          <w:szCs w:val="26"/>
          <w:lang w:eastAsia="es-ES"/>
        </w:rPr>
      </w:pPr>
    </w:p>
    <w:p w:rsidR="002615D7" w:rsidRPr="002615D7" w:rsidRDefault="002615D7" w:rsidP="002615D7">
      <w:pPr>
        <w:spacing w:after="0" w:line="276" w:lineRule="auto"/>
        <w:jc w:val="center"/>
        <w:rPr>
          <w:rFonts w:ascii="Arial Narrow" w:eastAsia="Times New Roman" w:hAnsi="Arial Narrow" w:cs="Arial"/>
          <w:bCs/>
          <w:i/>
          <w:iCs/>
          <w:sz w:val="26"/>
          <w:szCs w:val="26"/>
          <w:lang w:eastAsia="es-ES"/>
        </w:rPr>
      </w:pPr>
    </w:p>
    <w:p w:rsidR="002615D7" w:rsidRPr="002615D7" w:rsidRDefault="002615D7" w:rsidP="002615D7">
      <w:pPr>
        <w:spacing w:after="0" w:line="276" w:lineRule="auto"/>
        <w:jc w:val="center"/>
        <w:rPr>
          <w:rFonts w:ascii="Arial Narrow" w:eastAsia="Times New Roman" w:hAnsi="Arial Narrow" w:cs="Arial"/>
          <w:b/>
          <w:bCs/>
          <w:i/>
          <w:iCs/>
          <w:sz w:val="26"/>
          <w:szCs w:val="26"/>
          <w:lang w:eastAsia="es-ES"/>
        </w:rPr>
      </w:pPr>
      <w:r w:rsidRPr="002615D7">
        <w:rPr>
          <w:rFonts w:ascii="Arial Narrow" w:eastAsia="Times New Roman" w:hAnsi="Arial Narrow" w:cs="Arial"/>
          <w:b/>
          <w:bCs/>
          <w:i/>
          <w:iCs/>
          <w:sz w:val="26"/>
          <w:szCs w:val="26"/>
          <w:lang w:eastAsia="es-ES"/>
        </w:rPr>
        <w:t>FRANCISCO JAVIER TAMAYO TABARES</w:t>
      </w:r>
    </w:p>
    <w:p w:rsidR="002615D7" w:rsidRPr="002615D7" w:rsidRDefault="002615D7" w:rsidP="002615D7">
      <w:pPr>
        <w:spacing w:after="0" w:line="276" w:lineRule="auto"/>
        <w:jc w:val="center"/>
        <w:rPr>
          <w:rFonts w:ascii="Arial Narrow" w:eastAsia="Times New Roman" w:hAnsi="Arial Narrow" w:cs="Arial"/>
          <w:bCs/>
          <w:i/>
          <w:iCs/>
          <w:sz w:val="26"/>
          <w:szCs w:val="26"/>
          <w:lang w:eastAsia="es-ES"/>
        </w:rPr>
      </w:pPr>
      <w:bookmarkStart w:id="0" w:name="_GoBack"/>
      <w:bookmarkEnd w:id="0"/>
    </w:p>
    <w:p w:rsidR="002615D7" w:rsidRPr="002615D7" w:rsidRDefault="002615D7" w:rsidP="002615D7">
      <w:pPr>
        <w:spacing w:after="0" w:line="276" w:lineRule="auto"/>
        <w:jc w:val="center"/>
        <w:rPr>
          <w:rFonts w:ascii="Arial Narrow" w:eastAsia="Times New Roman" w:hAnsi="Arial Narrow" w:cs="Arial"/>
          <w:bCs/>
          <w:i/>
          <w:iCs/>
          <w:sz w:val="26"/>
          <w:szCs w:val="26"/>
          <w:lang w:eastAsia="es-ES"/>
        </w:rPr>
      </w:pPr>
    </w:p>
    <w:p w:rsidR="002615D7" w:rsidRPr="002615D7" w:rsidRDefault="002615D7" w:rsidP="002615D7">
      <w:pPr>
        <w:spacing w:after="0" w:line="276" w:lineRule="auto"/>
        <w:jc w:val="both"/>
        <w:rPr>
          <w:rFonts w:ascii="Arial Narrow" w:eastAsia="Times New Roman" w:hAnsi="Arial Narrow" w:cs="Arial"/>
          <w:b/>
          <w:bCs/>
          <w:i/>
          <w:iCs/>
          <w:sz w:val="26"/>
          <w:szCs w:val="26"/>
          <w:lang w:eastAsia="es-ES"/>
        </w:rPr>
      </w:pPr>
      <w:r w:rsidRPr="002615D7">
        <w:rPr>
          <w:rFonts w:ascii="Arial Narrow" w:eastAsia="Times New Roman" w:hAnsi="Arial Narrow" w:cs="Arial"/>
          <w:b/>
          <w:bCs/>
          <w:i/>
          <w:iCs/>
          <w:sz w:val="26"/>
          <w:szCs w:val="26"/>
          <w:lang w:eastAsia="es-ES"/>
        </w:rPr>
        <w:t>ANA LUCÍA CAICEDO CALDERÓN</w:t>
      </w:r>
      <w:r w:rsidRPr="002615D7">
        <w:rPr>
          <w:rFonts w:ascii="Arial Narrow" w:eastAsia="Times New Roman" w:hAnsi="Arial Narrow" w:cs="Arial"/>
          <w:b/>
          <w:bCs/>
          <w:i/>
          <w:iCs/>
          <w:sz w:val="26"/>
          <w:szCs w:val="26"/>
          <w:lang w:eastAsia="es-ES"/>
        </w:rPr>
        <w:tab/>
      </w:r>
      <w:r w:rsidRPr="002615D7">
        <w:rPr>
          <w:rFonts w:ascii="Arial Narrow" w:eastAsia="Times New Roman" w:hAnsi="Arial Narrow" w:cs="Arial"/>
          <w:b/>
          <w:bCs/>
          <w:i/>
          <w:iCs/>
          <w:sz w:val="26"/>
          <w:szCs w:val="26"/>
          <w:lang w:eastAsia="es-ES"/>
        </w:rPr>
        <w:tab/>
      </w:r>
      <w:r w:rsidRPr="002615D7">
        <w:rPr>
          <w:rFonts w:ascii="Arial Narrow" w:eastAsia="Times New Roman" w:hAnsi="Arial Narrow" w:cs="Arial"/>
          <w:b/>
          <w:bCs/>
          <w:i/>
          <w:iCs/>
          <w:sz w:val="26"/>
          <w:szCs w:val="26"/>
          <w:lang w:eastAsia="es-ES"/>
        </w:rPr>
        <w:tab/>
        <w:t xml:space="preserve">         OLGA LUCIA HOYOS SEPÚLVEDA</w:t>
      </w:r>
    </w:p>
    <w:p w:rsidR="00667280" w:rsidRDefault="002615D7" w:rsidP="002615D7">
      <w:pPr>
        <w:shd w:val="clear" w:color="auto" w:fill="FFFFFF"/>
        <w:spacing w:after="0" w:line="288" w:lineRule="auto"/>
        <w:ind w:firstLine="708"/>
        <w:jc w:val="both"/>
        <w:rPr>
          <w:rFonts w:ascii="Arial Narrow" w:eastAsia="Times New Roman" w:hAnsi="Arial Narrow" w:cs="Arial"/>
          <w:bCs/>
          <w:i/>
          <w:iCs/>
          <w:sz w:val="26"/>
          <w:szCs w:val="26"/>
          <w:lang w:eastAsia="es-ES"/>
        </w:rPr>
      </w:pPr>
      <w:r w:rsidRPr="002615D7">
        <w:rPr>
          <w:rFonts w:ascii="Arial Narrow" w:eastAsia="Times New Roman" w:hAnsi="Arial Narrow" w:cs="Arial"/>
          <w:bCs/>
          <w:i/>
          <w:iCs/>
          <w:sz w:val="26"/>
          <w:szCs w:val="26"/>
          <w:lang w:eastAsia="es-ES"/>
        </w:rPr>
        <w:t xml:space="preserve">        Magistrada</w:t>
      </w:r>
      <w:r w:rsidRPr="002615D7">
        <w:rPr>
          <w:rFonts w:ascii="Arial Narrow" w:eastAsia="Times New Roman" w:hAnsi="Arial Narrow" w:cs="Arial"/>
          <w:bCs/>
          <w:i/>
          <w:iCs/>
          <w:sz w:val="26"/>
          <w:szCs w:val="26"/>
          <w:lang w:eastAsia="es-ES"/>
        </w:rPr>
        <w:tab/>
      </w:r>
      <w:r w:rsidRPr="002615D7">
        <w:rPr>
          <w:rFonts w:ascii="Arial Narrow" w:eastAsia="Times New Roman" w:hAnsi="Arial Narrow" w:cs="Arial"/>
          <w:bCs/>
          <w:i/>
          <w:iCs/>
          <w:sz w:val="26"/>
          <w:szCs w:val="26"/>
          <w:lang w:eastAsia="es-ES"/>
        </w:rPr>
        <w:tab/>
      </w:r>
      <w:r w:rsidRPr="002615D7">
        <w:rPr>
          <w:rFonts w:ascii="Arial Narrow" w:eastAsia="Times New Roman" w:hAnsi="Arial Narrow" w:cs="Arial"/>
          <w:bCs/>
          <w:i/>
          <w:iCs/>
          <w:sz w:val="26"/>
          <w:szCs w:val="26"/>
          <w:lang w:eastAsia="es-ES"/>
        </w:rPr>
        <w:tab/>
      </w:r>
      <w:r w:rsidRPr="002615D7">
        <w:rPr>
          <w:rFonts w:ascii="Arial Narrow" w:eastAsia="Times New Roman" w:hAnsi="Arial Narrow" w:cs="Arial"/>
          <w:bCs/>
          <w:i/>
          <w:iCs/>
          <w:sz w:val="26"/>
          <w:szCs w:val="26"/>
          <w:lang w:eastAsia="es-ES"/>
        </w:rPr>
        <w:tab/>
      </w:r>
      <w:r w:rsidRPr="002615D7">
        <w:rPr>
          <w:rFonts w:ascii="Arial Narrow" w:eastAsia="Times New Roman" w:hAnsi="Arial Narrow" w:cs="Arial"/>
          <w:bCs/>
          <w:i/>
          <w:iCs/>
          <w:sz w:val="26"/>
          <w:szCs w:val="26"/>
          <w:lang w:eastAsia="es-ES"/>
        </w:rPr>
        <w:tab/>
      </w:r>
      <w:r w:rsidRPr="002615D7">
        <w:rPr>
          <w:rFonts w:ascii="Arial Narrow" w:eastAsia="Times New Roman" w:hAnsi="Arial Narrow" w:cs="Arial"/>
          <w:bCs/>
          <w:i/>
          <w:iCs/>
          <w:sz w:val="26"/>
          <w:szCs w:val="26"/>
          <w:lang w:eastAsia="es-ES"/>
        </w:rPr>
        <w:tab/>
        <w:t xml:space="preserve">    </w:t>
      </w:r>
      <w:proofErr w:type="spellStart"/>
      <w:r w:rsidRPr="002615D7">
        <w:rPr>
          <w:rFonts w:ascii="Arial Narrow" w:eastAsia="Times New Roman" w:hAnsi="Arial Narrow" w:cs="Arial"/>
          <w:bCs/>
          <w:i/>
          <w:iCs/>
          <w:sz w:val="26"/>
          <w:szCs w:val="26"/>
          <w:lang w:eastAsia="es-ES"/>
        </w:rPr>
        <w:t>Magistrada</w:t>
      </w:r>
      <w:proofErr w:type="spellEnd"/>
    </w:p>
    <w:p w:rsidR="00517987" w:rsidRPr="002615D7" w:rsidRDefault="00517987" w:rsidP="002615D7">
      <w:pPr>
        <w:shd w:val="clear" w:color="auto" w:fill="FFFFFF"/>
        <w:spacing w:after="0" w:line="288" w:lineRule="auto"/>
        <w:ind w:firstLine="708"/>
        <w:jc w:val="both"/>
        <w:rPr>
          <w:rFonts w:ascii="Arial Narrow" w:hAnsi="Arial Narrow"/>
          <w:spacing w:val="-6"/>
          <w:sz w:val="26"/>
          <w:szCs w:val="26"/>
        </w:rPr>
      </w:pP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sidRPr="002615D7">
        <w:rPr>
          <w:rFonts w:ascii="Arial Narrow" w:eastAsia="Times New Roman" w:hAnsi="Arial Narrow" w:cs="Arial"/>
          <w:bCs/>
          <w:i/>
          <w:iCs/>
          <w:sz w:val="26"/>
          <w:szCs w:val="26"/>
          <w:lang w:eastAsia="es-ES"/>
        </w:rPr>
        <w:t xml:space="preserve">    </w:t>
      </w:r>
      <w:r>
        <w:rPr>
          <w:rFonts w:ascii="Arial Narrow" w:eastAsia="Times New Roman" w:hAnsi="Arial Narrow" w:cs="Arial"/>
          <w:bCs/>
          <w:i/>
          <w:iCs/>
          <w:sz w:val="26"/>
          <w:szCs w:val="26"/>
          <w:lang w:eastAsia="es-ES"/>
        </w:rPr>
        <w:t>Salva voto</w:t>
      </w:r>
    </w:p>
    <w:p w:rsidR="00667280" w:rsidRPr="002615D7" w:rsidRDefault="00667280" w:rsidP="002615D7">
      <w:pPr>
        <w:spacing w:line="288" w:lineRule="auto"/>
        <w:rPr>
          <w:rFonts w:ascii="Arial Narrow" w:hAnsi="Arial Narrow"/>
          <w:spacing w:val="-6"/>
          <w:sz w:val="26"/>
          <w:szCs w:val="26"/>
        </w:rPr>
      </w:pPr>
    </w:p>
    <w:p w:rsidR="00667280" w:rsidRDefault="00667280" w:rsidP="002615D7">
      <w:pPr>
        <w:spacing w:line="288" w:lineRule="auto"/>
        <w:rPr>
          <w:rFonts w:ascii="Arial Narrow" w:hAnsi="Arial Narrow"/>
          <w:spacing w:val="-6"/>
          <w:sz w:val="26"/>
          <w:szCs w:val="26"/>
        </w:rPr>
      </w:pPr>
    </w:p>
    <w:p w:rsidR="00591117" w:rsidRPr="002615D7" w:rsidRDefault="00591117" w:rsidP="002615D7">
      <w:pPr>
        <w:spacing w:line="288" w:lineRule="auto"/>
        <w:rPr>
          <w:rFonts w:ascii="Arial Narrow" w:hAnsi="Arial Narrow"/>
          <w:spacing w:val="-6"/>
          <w:sz w:val="26"/>
          <w:szCs w:val="26"/>
        </w:rPr>
      </w:pPr>
    </w:p>
    <w:p w:rsidR="00FC0A08" w:rsidRDefault="00FC0A08" w:rsidP="00FC0A08">
      <w:pPr>
        <w:jc w:val="center"/>
        <w:rPr>
          <w:rFonts w:ascii="Arial Narrow" w:hAnsi="Arial Narrow"/>
          <w:b/>
          <w:sz w:val="28"/>
          <w:szCs w:val="28"/>
        </w:rPr>
      </w:pPr>
      <w:r w:rsidRPr="00FC0A08">
        <w:rPr>
          <w:rFonts w:ascii="Arial Narrow" w:hAnsi="Arial Narrow"/>
          <w:b/>
          <w:sz w:val="28"/>
          <w:szCs w:val="28"/>
        </w:rPr>
        <w:t>ANEXO</w:t>
      </w:r>
    </w:p>
    <w:p w:rsidR="00FC0A08" w:rsidRDefault="00FC0A08" w:rsidP="00FC0A08">
      <w:pPr>
        <w:jc w:val="center"/>
        <w:rPr>
          <w:rFonts w:ascii="Arial Narrow" w:hAnsi="Arial Narrow"/>
          <w:b/>
          <w:sz w:val="28"/>
          <w:szCs w:val="28"/>
        </w:rPr>
      </w:pPr>
    </w:p>
    <w:tbl>
      <w:tblPr>
        <w:tblW w:w="8040" w:type="dxa"/>
        <w:tblInd w:w="421" w:type="dxa"/>
        <w:tblCellMar>
          <w:left w:w="70" w:type="dxa"/>
          <w:right w:w="70" w:type="dxa"/>
        </w:tblCellMar>
        <w:tblLook w:val="04A0" w:firstRow="1" w:lastRow="0" w:firstColumn="1" w:lastColumn="0" w:noHBand="0" w:noVBand="1"/>
      </w:tblPr>
      <w:tblGrid>
        <w:gridCol w:w="1200"/>
        <w:gridCol w:w="1220"/>
        <w:gridCol w:w="1200"/>
        <w:gridCol w:w="1500"/>
        <w:gridCol w:w="1460"/>
        <w:gridCol w:w="1460"/>
      </w:tblGrid>
      <w:tr w:rsidR="00B950CB" w:rsidRPr="00B950CB" w:rsidTr="00B950CB">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b/>
                <w:bCs/>
                <w:color w:val="000000"/>
                <w:sz w:val="20"/>
                <w:szCs w:val="20"/>
                <w:lang w:eastAsia="es-ES"/>
              </w:rPr>
            </w:pPr>
            <w:r w:rsidRPr="00B950CB">
              <w:rPr>
                <w:rFonts w:ascii="Arial Narrow" w:eastAsia="Times New Roman" w:hAnsi="Arial Narrow" w:cs="Times New Roman"/>
                <w:b/>
                <w:bCs/>
                <w:color w:val="000000"/>
                <w:sz w:val="20"/>
                <w:szCs w:val="20"/>
                <w:lang w:eastAsia="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b/>
                <w:bCs/>
                <w:color w:val="000000"/>
                <w:sz w:val="20"/>
                <w:szCs w:val="20"/>
                <w:lang w:eastAsia="es-ES"/>
              </w:rPr>
            </w:pPr>
            <w:r w:rsidRPr="00B950CB">
              <w:rPr>
                <w:rFonts w:ascii="Arial Narrow" w:eastAsia="Times New Roman" w:hAnsi="Arial Narrow" w:cs="Times New Roman"/>
                <w:b/>
                <w:bCs/>
                <w:color w:val="000000"/>
                <w:sz w:val="20"/>
                <w:szCs w:val="20"/>
                <w:lang w:eastAsia="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b/>
                <w:bCs/>
                <w:color w:val="000000"/>
                <w:sz w:val="20"/>
                <w:szCs w:val="20"/>
                <w:lang w:eastAsia="es-ES"/>
              </w:rPr>
            </w:pPr>
            <w:r w:rsidRPr="00B950CB">
              <w:rPr>
                <w:rFonts w:ascii="Arial Narrow" w:eastAsia="Times New Roman" w:hAnsi="Arial Narrow" w:cs="Times New Roman"/>
                <w:b/>
                <w:bCs/>
                <w:color w:val="000000"/>
                <w:sz w:val="20"/>
                <w:szCs w:val="20"/>
                <w:lang w:eastAsia="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b/>
                <w:bCs/>
                <w:color w:val="000000"/>
                <w:sz w:val="20"/>
                <w:szCs w:val="20"/>
                <w:lang w:eastAsia="es-ES"/>
              </w:rPr>
            </w:pPr>
            <w:r w:rsidRPr="00B950CB">
              <w:rPr>
                <w:rFonts w:ascii="Arial Narrow" w:eastAsia="Times New Roman" w:hAnsi="Arial Narrow" w:cs="Times New Roman"/>
                <w:b/>
                <w:bCs/>
                <w:color w:val="000000"/>
                <w:sz w:val="20"/>
                <w:szCs w:val="20"/>
                <w:lang w:eastAsia="es-ES"/>
              </w:rPr>
              <w:t>MESADA RECONOCIDA</w:t>
            </w:r>
          </w:p>
        </w:tc>
        <w:tc>
          <w:tcPr>
            <w:tcW w:w="1460" w:type="dxa"/>
            <w:tcBorders>
              <w:top w:val="single" w:sz="4" w:space="0" w:color="auto"/>
              <w:left w:val="nil"/>
              <w:bottom w:val="single" w:sz="4" w:space="0" w:color="auto"/>
              <w:right w:val="nil"/>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b/>
                <w:bCs/>
                <w:color w:val="000000"/>
                <w:sz w:val="20"/>
                <w:szCs w:val="20"/>
                <w:lang w:eastAsia="es-ES"/>
              </w:rPr>
            </w:pPr>
            <w:r w:rsidRPr="00B950CB">
              <w:rPr>
                <w:rFonts w:ascii="Arial Narrow" w:eastAsia="Times New Roman" w:hAnsi="Arial Narrow" w:cs="Times New Roman"/>
                <w:b/>
                <w:bCs/>
                <w:color w:val="000000"/>
                <w:sz w:val="20"/>
                <w:szCs w:val="20"/>
                <w:lang w:eastAsia="es-ES"/>
              </w:rPr>
              <w:t>MESADA RELIQUIDADA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b/>
                <w:bCs/>
                <w:color w:val="000000"/>
                <w:sz w:val="20"/>
                <w:szCs w:val="20"/>
                <w:lang w:eastAsia="es-ES"/>
              </w:rPr>
            </w:pPr>
            <w:r w:rsidRPr="00B950CB">
              <w:rPr>
                <w:rFonts w:ascii="Arial Narrow" w:eastAsia="Times New Roman" w:hAnsi="Arial Narrow" w:cs="Times New Roman"/>
                <w:b/>
                <w:bCs/>
                <w:color w:val="000000"/>
                <w:sz w:val="20"/>
                <w:szCs w:val="20"/>
                <w:lang w:eastAsia="es-ES"/>
              </w:rPr>
              <w:t>DIREFENCIA</w:t>
            </w:r>
          </w:p>
        </w:tc>
      </w:tr>
      <w:tr w:rsidR="00B950CB" w:rsidRPr="00B950CB" w:rsidTr="00B950C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2011</w:t>
            </w:r>
          </w:p>
        </w:tc>
        <w:tc>
          <w:tcPr>
            <w:tcW w:w="122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3,17</w:t>
            </w:r>
          </w:p>
        </w:tc>
        <w:tc>
          <w:tcPr>
            <w:tcW w:w="12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8,73</w:t>
            </w:r>
          </w:p>
        </w:tc>
        <w:tc>
          <w:tcPr>
            <w:tcW w:w="15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$3.399.967</w:t>
            </w:r>
          </w:p>
        </w:tc>
        <w:tc>
          <w:tcPr>
            <w:tcW w:w="1460" w:type="dxa"/>
            <w:tcBorders>
              <w:top w:val="nil"/>
              <w:left w:val="nil"/>
              <w:bottom w:val="single" w:sz="4" w:space="0" w:color="auto"/>
              <w:right w:val="nil"/>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$4.015.709</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$5.375.428</w:t>
            </w:r>
          </w:p>
        </w:tc>
      </w:tr>
      <w:tr w:rsidR="00B950CB" w:rsidRPr="00B950CB" w:rsidTr="00B950C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2012</w:t>
            </w:r>
          </w:p>
        </w:tc>
        <w:tc>
          <w:tcPr>
            <w:tcW w:w="122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3,73</w:t>
            </w:r>
          </w:p>
        </w:tc>
        <w:tc>
          <w:tcPr>
            <w:tcW w:w="12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13</w:t>
            </w:r>
          </w:p>
        </w:tc>
        <w:tc>
          <w:tcPr>
            <w:tcW w:w="15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$3.526.786</w:t>
            </w:r>
          </w:p>
        </w:tc>
        <w:tc>
          <w:tcPr>
            <w:tcW w:w="1460" w:type="dxa"/>
            <w:tcBorders>
              <w:top w:val="nil"/>
              <w:left w:val="nil"/>
              <w:bottom w:val="single" w:sz="4" w:space="0" w:color="auto"/>
              <w:right w:val="nil"/>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$4.165.495</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$8.303.219</w:t>
            </w:r>
          </w:p>
        </w:tc>
      </w:tr>
      <w:tr w:rsidR="00B950CB" w:rsidRPr="00B950CB" w:rsidTr="00B950C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2013</w:t>
            </w:r>
          </w:p>
        </w:tc>
        <w:tc>
          <w:tcPr>
            <w:tcW w:w="122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2,44</w:t>
            </w:r>
          </w:p>
        </w:tc>
        <w:tc>
          <w:tcPr>
            <w:tcW w:w="12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13</w:t>
            </w:r>
          </w:p>
        </w:tc>
        <w:tc>
          <w:tcPr>
            <w:tcW w:w="15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$3.612.840</w:t>
            </w:r>
          </w:p>
        </w:tc>
        <w:tc>
          <w:tcPr>
            <w:tcW w:w="1460" w:type="dxa"/>
            <w:tcBorders>
              <w:top w:val="nil"/>
              <w:left w:val="nil"/>
              <w:bottom w:val="single" w:sz="4" w:space="0" w:color="auto"/>
              <w:right w:val="nil"/>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$4.267.133</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$8.505.805</w:t>
            </w:r>
          </w:p>
        </w:tc>
      </w:tr>
      <w:tr w:rsidR="00B950CB" w:rsidRPr="00B950CB" w:rsidTr="00B950C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1,94</w:t>
            </w:r>
          </w:p>
        </w:tc>
        <w:tc>
          <w:tcPr>
            <w:tcW w:w="12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13</w:t>
            </w:r>
          </w:p>
        </w:tc>
        <w:tc>
          <w:tcPr>
            <w:tcW w:w="15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$3.682.929</w:t>
            </w:r>
          </w:p>
        </w:tc>
        <w:tc>
          <w:tcPr>
            <w:tcW w:w="1460" w:type="dxa"/>
            <w:tcBorders>
              <w:top w:val="nil"/>
              <w:left w:val="nil"/>
              <w:bottom w:val="single" w:sz="4" w:space="0" w:color="auto"/>
              <w:right w:val="nil"/>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$4.349.915</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$8.670.817</w:t>
            </w:r>
          </w:p>
        </w:tc>
      </w:tr>
      <w:tr w:rsidR="00B950CB" w:rsidRPr="00B950CB" w:rsidTr="00B950C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3,66</w:t>
            </w:r>
          </w:p>
        </w:tc>
        <w:tc>
          <w:tcPr>
            <w:tcW w:w="12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13</w:t>
            </w:r>
          </w:p>
        </w:tc>
        <w:tc>
          <w:tcPr>
            <w:tcW w:w="15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$3.817.725</w:t>
            </w:r>
          </w:p>
        </w:tc>
        <w:tc>
          <w:tcPr>
            <w:tcW w:w="1460" w:type="dxa"/>
            <w:tcBorders>
              <w:top w:val="nil"/>
              <w:left w:val="nil"/>
              <w:bottom w:val="single" w:sz="4" w:space="0" w:color="auto"/>
              <w:right w:val="nil"/>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$4.509.122</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$8.988.169</w:t>
            </w:r>
          </w:p>
        </w:tc>
      </w:tr>
      <w:tr w:rsidR="00B950CB" w:rsidRPr="00B950CB" w:rsidTr="00B950C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6,77</w:t>
            </w:r>
          </w:p>
        </w:tc>
        <w:tc>
          <w:tcPr>
            <w:tcW w:w="12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13</w:t>
            </w:r>
          </w:p>
        </w:tc>
        <w:tc>
          <w:tcPr>
            <w:tcW w:w="15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$4.076.185</w:t>
            </w:r>
          </w:p>
        </w:tc>
        <w:tc>
          <w:tcPr>
            <w:tcW w:w="1460" w:type="dxa"/>
            <w:tcBorders>
              <w:top w:val="nil"/>
              <w:left w:val="nil"/>
              <w:bottom w:val="single" w:sz="4" w:space="0" w:color="auto"/>
              <w:right w:val="nil"/>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$4.814.390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$9.596.668</w:t>
            </w:r>
          </w:p>
        </w:tc>
      </w:tr>
      <w:tr w:rsidR="00B950CB" w:rsidRPr="00B950CB" w:rsidTr="00B950C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5,75</w:t>
            </w:r>
          </w:p>
        </w:tc>
        <w:tc>
          <w:tcPr>
            <w:tcW w:w="12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13</w:t>
            </w:r>
          </w:p>
        </w:tc>
        <w:tc>
          <w:tcPr>
            <w:tcW w:w="15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$4.310.565</w:t>
            </w:r>
          </w:p>
        </w:tc>
        <w:tc>
          <w:tcPr>
            <w:tcW w:w="1460" w:type="dxa"/>
            <w:tcBorders>
              <w:top w:val="nil"/>
              <w:left w:val="nil"/>
              <w:bottom w:val="single" w:sz="4" w:space="0" w:color="auto"/>
              <w:right w:val="nil"/>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$5.091.217</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$10.148.477</w:t>
            </w:r>
          </w:p>
        </w:tc>
      </w:tr>
      <w:tr w:rsidR="00B950CB" w:rsidRPr="00B950CB" w:rsidTr="00B950C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4,09</w:t>
            </w:r>
          </w:p>
        </w:tc>
        <w:tc>
          <w:tcPr>
            <w:tcW w:w="12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13</w:t>
            </w:r>
          </w:p>
        </w:tc>
        <w:tc>
          <w:tcPr>
            <w:tcW w:w="15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$4.486.867</w:t>
            </w:r>
          </w:p>
        </w:tc>
        <w:tc>
          <w:tcPr>
            <w:tcW w:w="1460" w:type="dxa"/>
            <w:tcBorders>
              <w:top w:val="nil"/>
              <w:left w:val="nil"/>
              <w:bottom w:val="single" w:sz="4" w:space="0" w:color="auto"/>
              <w:right w:val="nil"/>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$5.299.448</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$10.563.550</w:t>
            </w:r>
          </w:p>
        </w:tc>
      </w:tr>
      <w:tr w:rsidR="00B950CB" w:rsidRPr="00B950CB" w:rsidTr="00B950C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2019</w:t>
            </w:r>
          </w:p>
        </w:tc>
        <w:tc>
          <w:tcPr>
            <w:tcW w:w="1220" w:type="dxa"/>
            <w:tcBorders>
              <w:top w:val="nil"/>
              <w:left w:val="nil"/>
              <w:bottom w:val="single" w:sz="4" w:space="0" w:color="auto"/>
              <w:right w:val="single" w:sz="4" w:space="0" w:color="auto"/>
            </w:tcBorders>
            <w:shd w:val="clear" w:color="auto" w:fill="auto"/>
            <w:noWrap/>
            <w:vAlign w:val="bottom"/>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3,18</w:t>
            </w:r>
          </w:p>
        </w:tc>
        <w:tc>
          <w:tcPr>
            <w:tcW w:w="1200" w:type="dxa"/>
            <w:tcBorders>
              <w:top w:val="nil"/>
              <w:left w:val="nil"/>
              <w:bottom w:val="single" w:sz="4" w:space="0" w:color="auto"/>
              <w:right w:val="single" w:sz="4" w:space="0" w:color="auto"/>
            </w:tcBorders>
            <w:shd w:val="clear" w:color="auto" w:fill="auto"/>
            <w:noWrap/>
            <w:vAlign w:val="bottom"/>
            <w:hideMark/>
          </w:tcPr>
          <w:p w:rsidR="00B950CB" w:rsidRPr="00B950CB" w:rsidRDefault="00B950CB" w:rsidP="00B950CB">
            <w:pPr>
              <w:spacing w:after="0" w:line="240" w:lineRule="auto"/>
              <w:jc w:val="center"/>
              <w:rPr>
                <w:rFonts w:ascii="Arial Narrow" w:eastAsia="Times New Roman" w:hAnsi="Arial Narrow" w:cs="Times New Roman"/>
                <w:color w:val="000000"/>
                <w:sz w:val="20"/>
                <w:szCs w:val="20"/>
                <w:lang w:eastAsia="es-ES"/>
              </w:rPr>
            </w:pPr>
            <w:r w:rsidRPr="00B950CB">
              <w:rPr>
                <w:rFonts w:ascii="Arial Narrow" w:eastAsia="Times New Roman" w:hAnsi="Arial Narrow" w:cs="Times New Roman"/>
                <w:color w:val="000000"/>
                <w:sz w:val="20"/>
                <w:szCs w:val="20"/>
                <w:lang w:eastAsia="es-ES"/>
              </w:rPr>
              <w:t>6</w:t>
            </w:r>
          </w:p>
        </w:tc>
        <w:tc>
          <w:tcPr>
            <w:tcW w:w="1500" w:type="dxa"/>
            <w:tcBorders>
              <w:top w:val="nil"/>
              <w:left w:val="nil"/>
              <w:bottom w:val="single" w:sz="4" w:space="0" w:color="auto"/>
              <w:right w:val="single" w:sz="4" w:space="0" w:color="auto"/>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$4.629.550</w:t>
            </w:r>
          </w:p>
        </w:tc>
        <w:tc>
          <w:tcPr>
            <w:tcW w:w="1460" w:type="dxa"/>
            <w:tcBorders>
              <w:top w:val="nil"/>
              <w:left w:val="nil"/>
              <w:bottom w:val="single" w:sz="4" w:space="0" w:color="auto"/>
              <w:right w:val="nil"/>
            </w:tcBorders>
            <w:shd w:val="clear" w:color="000000" w:fill="FFFFFF"/>
            <w:vAlign w:val="center"/>
            <w:hideMark/>
          </w:tcPr>
          <w:p w:rsidR="00B950CB" w:rsidRPr="00B950CB" w:rsidRDefault="00B950CB" w:rsidP="00B950CB">
            <w:pPr>
              <w:spacing w:after="0" w:line="240" w:lineRule="auto"/>
              <w:jc w:val="center"/>
              <w:rPr>
                <w:rFonts w:ascii="Arial Narrow" w:eastAsia="Times New Roman" w:hAnsi="Arial Narrow" w:cs="Times New Roman"/>
                <w:sz w:val="20"/>
                <w:szCs w:val="20"/>
                <w:lang w:eastAsia="es-ES"/>
              </w:rPr>
            </w:pPr>
            <w:r w:rsidRPr="00B950CB">
              <w:rPr>
                <w:rFonts w:ascii="Arial Narrow" w:eastAsia="Times New Roman" w:hAnsi="Arial Narrow" w:cs="Times New Roman"/>
                <w:sz w:val="20"/>
                <w:szCs w:val="20"/>
                <w:lang w:eastAsia="es-ES"/>
              </w:rPr>
              <w:t>$5.467.971</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950CB" w:rsidRPr="00B950CB" w:rsidRDefault="00B950CB" w:rsidP="00B950CB">
            <w:pPr>
              <w:spacing w:after="0" w:line="240" w:lineRule="auto"/>
              <w:jc w:val="center"/>
              <w:rPr>
                <w:rFonts w:ascii="Arial Narrow" w:eastAsia="Times New Roman" w:hAnsi="Arial Narrow" w:cs="Times New Roman"/>
                <w:b/>
                <w:bCs/>
                <w:color w:val="000000"/>
                <w:sz w:val="20"/>
                <w:szCs w:val="20"/>
                <w:u w:val="single"/>
                <w:lang w:eastAsia="es-ES"/>
              </w:rPr>
            </w:pPr>
            <w:r w:rsidRPr="00B950CB">
              <w:rPr>
                <w:rFonts w:ascii="Arial Narrow" w:eastAsia="Times New Roman" w:hAnsi="Arial Narrow" w:cs="Times New Roman"/>
                <w:b/>
                <w:bCs/>
                <w:color w:val="000000"/>
                <w:sz w:val="20"/>
                <w:szCs w:val="20"/>
                <w:u w:val="single"/>
                <w:lang w:eastAsia="es-ES"/>
              </w:rPr>
              <w:t>$70.152.134</w:t>
            </w:r>
          </w:p>
        </w:tc>
      </w:tr>
    </w:tbl>
    <w:p w:rsidR="00CA652C" w:rsidRPr="00CA652C" w:rsidRDefault="00CA652C" w:rsidP="00CA652C">
      <w:pPr>
        <w:rPr>
          <w:rFonts w:ascii="Arial Narrow" w:hAnsi="Arial Narrow"/>
          <w:b/>
          <w:sz w:val="24"/>
          <w:szCs w:val="28"/>
        </w:rPr>
      </w:pPr>
    </w:p>
    <w:p w:rsidR="00CA652C" w:rsidRDefault="00CA652C">
      <w:pPr>
        <w:rPr>
          <w:rFonts w:ascii="Arial Narrow" w:hAnsi="Arial Narrow"/>
          <w:b/>
          <w:sz w:val="24"/>
          <w:szCs w:val="28"/>
        </w:rPr>
      </w:pPr>
      <w:r>
        <w:rPr>
          <w:rFonts w:ascii="Arial Narrow" w:hAnsi="Arial Narrow"/>
          <w:b/>
          <w:sz w:val="24"/>
          <w:szCs w:val="28"/>
        </w:rPr>
        <w:br w:type="page"/>
      </w:r>
    </w:p>
    <w:p w:rsidR="00CA652C" w:rsidRPr="00CA652C" w:rsidRDefault="00CA652C" w:rsidP="00CA652C">
      <w:pPr>
        <w:widowControl w:val="0"/>
        <w:autoSpaceDE w:val="0"/>
        <w:autoSpaceDN w:val="0"/>
        <w:adjustRightInd w:val="0"/>
        <w:spacing w:after="0" w:line="240" w:lineRule="auto"/>
        <w:jc w:val="both"/>
        <w:rPr>
          <w:rFonts w:ascii="Arial" w:eastAsia="Times New Roman" w:hAnsi="Arial" w:cs="Arial"/>
          <w:bCs/>
          <w:sz w:val="18"/>
          <w:szCs w:val="20"/>
          <w:lang w:eastAsia="es-ES"/>
        </w:rPr>
      </w:pPr>
      <w:r w:rsidRPr="00CA652C">
        <w:rPr>
          <w:rFonts w:ascii="Arial" w:eastAsia="Times New Roman" w:hAnsi="Arial" w:cs="Arial"/>
          <w:sz w:val="18"/>
          <w:szCs w:val="20"/>
          <w:lang w:eastAsia="es-ES"/>
        </w:rPr>
        <w:lastRenderedPageBreak/>
        <w:t xml:space="preserve">Providencia: </w:t>
      </w:r>
      <w:r w:rsidRPr="00CA652C">
        <w:rPr>
          <w:rFonts w:ascii="Arial" w:eastAsia="Times New Roman" w:hAnsi="Arial" w:cs="Arial"/>
          <w:sz w:val="18"/>
          <w:szCs w:val="20"/>
          <w:lang w:eastAsia="es-ES"/>
        </w:rPr>
        <w:tab/>
      </w:r>
      <w:r w:rsidRPr="00CA652C">
        <w:rPr>
          <w:rFonts w:ascii="Arial" w:eastAsia="Times New Roman" w:hAnsi="Arial" w:cs="Arial"/>
          <w:sz w:val="18"/>
          <w:szCs w:val="20"/>
          <w:lang w:eastAsia="es-ES"/>
        </w:rPr>
        <w:tab/>
        <w:t xml:space="preserve">Sentencia </w:t>
      </w:r>
      <w:r w:rsidRPr="00CA652C">
        <w:rPr>
          <w:rFonts w:ascii="Arial" w:eastAsia="Times New Roman" w:hAnsi="Arial" w:cs="Arial"/>
          <w:bCs/>
          <w:sz w:val="18"/>
          <w:szCs w:val="20"/>
          <w:lang w:eastAsia="es-ES"/>
        </w:rPr>
        <w:t xml:space="preserve">del 25-07-2019 </w:t>
      </w:r>
    </w:p>
    <w:p w:rsidR="00CA652C" w:rsidRPr="00CA652C" w:rsidRDefault="00CA652C" w:rsidP="00CA652C">
      <w:pPr>
        <w:widowControl w:val="0"/>
        <w:autoSpaceDE w:val="0"/>
        <w:autoSpaceDN w:val="0"/>
        <w:adjustRightInd w:val="0"/>
        <w:spacing w:after="0" w:line="240" w:lineRule="auto"/>
        <w:jc w:val="both"/>
        <w:rPr>
          <w:rFonts w:ascii="Arial" w:eastAsia="Times New Roman" w:hAnsi="Arial" w:cs="Arial"/>
          <w:sz w:val="18"/>
          <w:szCs w:val="20"/>
          <w:lang w:eastAsia="es-ES"/>
        </w:rPr>
      </w:pPr>
      <w:r w:rsidRPr="00CA652C">
        <w:rPr>
          <w:rFonts w:ascii="Arial" w:eastAsia="Times New Roman" w:hAnsi="Arial" w:cs="Arial"/>
          <w:sz w:val="18"/>
          <w:szCs w:val="20"/>
          <w:lang w:eastAsia="es-ES"/>
        </w:rPr>
        <w:t>Radicación No.:</w:t>
      </w:r>
      <w:r w:rsidRPr="00CA652C">
        <w:rPr>
          <w:rFonts w:ascii="Arial" w:eastAsia="Times New Roman" w:hAnsi="Arial" w:cs="Arial"/>
          <w:sz w:val="18"/>
          <w:szCs w:val="20"/>
          <w:lang w:eastAsia="es-ES"/>
        </w:rPr>
        <w:tab/>
      </w:r>
      <w:r w:rsidRPr="00CA652C">
        <w:rPr>
          <w:rFonts w:ascii="Arial" w:eastAsia="Times New Roman" w:hAnsi="Arial" w:cs="Arial"/>
          <w:sz w:val="18"/>
          <w:szCs w:val="20"/>
          <w:lang w:eastAsia="es-ES"/>
        </w:rPr>
        <w:tab/>
        <w:t>66001-31-05-005-2016-00490-01</w:t>
      </w:r>
    </w:p>
    <w:p w:rsidR="00CA652C" w:rsidRPr="00CA652C" w:rsidRDefault="00CA652C" w:rsidP="00CA652C">
      <w:pPr>
        <w:widowControl w:val="0"/>
        <w:autoSpaceDE w:val="0"/>
        <w:autoSpaceDN w:val="0"/>
        <w:adjustRightInd w:val="0"/>
        <w:spacing w:after="0" w:line="240" w:lineRule="auto"/>
        <w:jc w:val="both"/>
        <w:rPr>
          <w:rFonts w:ascii="Arial" w:eastAsia="Times New Roman" w:hAnsi="Arial" w:cs="Arial"/>
          <w:sz w:val="18"/>
          <w:szCs w:val="20"/>
          <w:lang w:eastAsia="es-ES"/>
        </w:rPr>
      </w:pPr>
      <w:r w:rsidRPr="00CA652C">
        <w:rPr>
          <w:rFonts w:ascii="Arial" w:eastAsia="Times New Roman" w:hAnsi="Arial" w:cs="Arial"/>
          <w:sz w:val="18"/>
          <w:szCs w:val="20"/>
          <w:lang w:eastAsia="es-ES"/>
        </w:rPr>
        <w:t>Proceso:</w:t>
      </w:r>
      <w:r w:rsidRPr="00CA652C">
        <w:rPr>
          <w:rFonts w:ascii="Arial" w:eastAsia="Times New Roman" w:hAnsi="Arial" w:cs="Arial"/>
          <w:sz w:val="18"/>
          <w:szCs w:val="20"/>
          <w:lang w:eastAsia="es-ES"/>
        </w:rPr>
        <w:tab/>
      </w:r>
      <w:r w:rsidRPr="00CA652C">
        <w:rPr>
          <w:rFonts w:ascii="Arial" w:eastAsia="Times New Roman" w:hAnsi="Arial" w:cs="Arial"/>
          <w:sz w:val="18"/>
          <w:szCs w:val="20"/>
          <w:lang w:eastAsia="es-ES"/>
        </w:rPr>
        <w:tab/>
        <w:t xml:space="preserve">Ordinario laboral </w:t>
      </w:r>
    </w:p>
    <w:p w:rsidR="00CA652C" w:rsidRPr="00CA652C" w:rsidRDefault="00CA652C" w:rsidP="00CA652C">
      <w:pPr>
        <w:widowControl w:val="0"/>
        <w:autoSpaceDE w:val="0"/>
        <w:autoSpaceDN w:val="0"/>
        <w:adjustRightInd w:val="0"/>
        <w:spacing w:after="0" w:line="240" w:lineRule="auto"/>
        <w:jc w:val="both"/>
        <w:rPr>
          <w:rFonts w:ascii="Arial" w:eastAsia="Times New Roman" w:hAnsi="Arial" w:cs="Arial"/>
          <w:sz w:val="18"/>
          <w:szCs w:val="20"/>
          <w:lang w:eastAsia="es-ES"/>
        </w:rPr>
      </w:pPr>
      <w:r w:rsidRPr="00CA652C">
        <w:rPr>
          <w:rFonts w:ascii="Arial" w:eastAsia="Times New Roman" w:hAnsi="Arial" w:cs="Arial"/>
          <w:sz w:val="18"/>
          <w:szCs w:val="20"/>
          <w:lang w:eastAsia="es-ES"/>
        </w:rPr>
        <w:t>Demandante:</w:t>
      </w:r>
      <w:r>
        <w:rPr>
          <w:rFonts w:ascii="Arial" w:eastAsia="Times New Roman" w:hAnsi="Arial" w:cs="Arial"/>
          <w:sz w:val="18"/>
          <w:szCs w:val="20"/>
          <w:lang w:eastAsia="es-ES"/>
        </w:rPr>
        <w:tab/>
      </w:r>
      <w:r w:rsidRPr="00CA652C">
        <w:rPr>
          <w:rFonts w:ascii="Arial" w:eastAsia="Times New Roman" w:hAnsi="Arial" w:cs="Arial"/>
          <w:sz w:val="18"/>
          <w:szCs w:val="20"/>
          <w:lang w:eastAsia="es-ES"/>
        </w:rPr>
        <w:tab/>
        <w:t>Jorge Enrique Hincapié Mora</w:t>
      </w:r>
    </w:p>
    <w:p w:rsidR="00CA652C" w:rsidRPr="00CA652C" w:rsidRDefault="00CA652C" w:rsidP="00CA652C">
      <w:pPr>
        <w:widowControl w:val="0"/>
        <w:autoSpaceDE w:val="0"/>
        <w:autoSpaceDN w:val="0"/>
        <w:adjustRightInd w:val="0"/>
        <w:spacing w:after="0" w:line="240" w:lineRule="auto"/>
        <w:jc w:val="both"/>
        <w:rPr>
          <w:rFonts w:ascii="Arial" w:eastAsia="Times New Roman" w:hAnsi="Arial" w:cs="Arial"/>
          <w:sz w:val="18"/>
          <w:szCs w:val="20"/>
          <w:lang w:eastAsia="es-ES"/>
        </w:rPr>
      </w:pPr>
      <w:r w:rsidRPr="00CA652C">
        <w:rPr>
          <w:rFonts w:ascii="Arial" w:eastAsia="Times New Roman" w:hAnsi="Arial" w:cs="Arial"/>
          <w:sz w:val="18"/>
          <w:szCs w:val="20"/>
          <w:lang w:eastAsia="es-ES"/>
        </w:rPr>
        <w:t>Demandado:</w:t>
      </w:r>
      <w:r w:rsidRPr="00CA652C">
        <w:rPr>
          <w:rFonts w:ascii="Arial" w:eastAsia="Times New Roman" w:hAnsi="Arial" w:cs="Arial"/>
          <w:sz w:val="18"/>
          <w:szCs w:val="20"/>
          <w:lang w:eastAsia="es-ES"/>
        </w:rPr>
        <w:tab/>
      </w:r>
      <w:r w:rsidRPr="00CA652C">
        <w:rPr>
          <w:rFonts w:ascii="Arial" w:eastAsia="Times New Roman" w:hAnsi="Arial" w:cs="Arial"/>
          <w:sz w:val="18"/>
          <w:szCs w:val="20"/>
          <w:lang w:eastAsia="es-ES"/>
        </w:rPr>
        <w:tab/>
        <w:t>Colpensiones y otro</w:t>
      </w:r>
    </w:p>
    <w:p w:rsidR="00CA652C" w:rsidRPr="00CA652C" w:rsidRDefault="00CA652C" w:rsidP="00CA652C">
      <w:pPr>
        <w:widowControl w:val="0"/>
        <w:autoSpaceDE w:val="0"/>
        <w:autoSpaceDN w:val="0"/>
        <w:adjustRightInd w:val="0"/>
        <w:spacing w:after="0" w:line="240" w:lineRule="auto"/>
        <w:jc w:val="both"/>
        <w:rPr>
          <w:rFonts w:ascii="Arial" w:eastAsia="Times New Roman" w:hAnsi="Arial" w:cs="Arial"/>
          <w:sz w:val="18"/>
          <w:szCs w:val="20"/>
          <w:lang w:eastAsia="es-ES"/>
        </w:rPr>
      </w:pPr>
      <w:r w:rsidRPr="00CA652C">
        <w:rPr>
          <w:rFonts w:ascii="Arial" w:eastAsia="Times New Roman" w:hAnsi="Arial" w:cs="Arial"/>
          <w:sz w:val="18"/>
          <w:szCs w:val="20"/>
          <w:lang w:eastAsia="es-ES"/>
        </w:rPr>
        <w:t xml:space="preserve">Magistrado ponente: </w:t>
      </w:r>
      <w:r w:rsidRPr="00CA652C">
        <w:rPr>
          <w:rFonts w:ascii="Arial" w:eastAsia="Times New Roman" w:hAnsi="Arial" w:cs="Arial"/>
          <w:sz w:val="18"/>
          <w:szCs w:val="20"/>
          <w:lang w:eastAsia="es-ES"/>
        </w:rPr>
        <w:tab/>
        <w:t xml:space="preserve">Dr. Francisco Javier Tamayo Tabares  </w:t>
      </w:r>
    </w:p>
    <w:p w:rsidR="00CA652C" w:rsidRPr="00CA652C" w:rsidRDefault="00CA652C" w:rsidP="00CA652C">
      <w:pPr>
        <w:widowControl w:val="0"/>
        <w:tabs>
          <w:tab w:val="left" w:pos="2127"/>
        </w:tabs>
        <w:autoSpaceDE w:val="0"/>
        <w:autoSpaceDN w:val="0"/>
        <w:adjustRightInd w:val="0"/>
        <w:spacing w:after="0" w:line="240" w:lineRule="auto"/>
        <w:ind w:left="2832" w:hanging="2832"/>
        <w:jc w:val="both"/>
        <w:rPr>
          <w:rFonts w:ascii="Arial" w:eastAsia="Times New Roman" w:hAnsi="Arial" w:cs="Arial"/>
          <w:bCs/>
          <w:sz w:val="18"/>
          <w:szCs w:val="20"/>
          <w:lang w:eastAsia="es-ES"/>
        </w:rPr>
      </w:pPr>
      <w:r w:rsidRPr="00CA652C">
        <w:rPr>
          <w:rFonts w:ascii="Arial" w:eastAsia="Times New Roman" w:hAnsi="Arial" w:cs="Arial"/>
          <w:sz w:val="18"/>
          <w:szCs w:val="20"/>
          <w:lang w:eastAsia="es-ES"/>
        </w:rPr>
        <w:t xml:space="preserve">Tema: </w:t>
      </w:r>
      <w:r w:rsidRPr="00CA652C">
        <w:rPr>
          <w:rFonts w:ascii="Arial" w:eastAsia="Times New Roman" w:hAnsi="Arial" w:cs="Arial"/>
          <w:sz w:val="18"/>
          <w:szCs w:val="20"/>
          <w:lang w:eastAsia="es-ES"/>
        </w:rPr>
        <w:tab/>
        <w:t xml:space="preserve">Ineficacia del traslado – falta de legitimación en la causa por activa </w:t>
      </w:r>
    </w:p>
    <w:p w:rsidR="00CA652C" w:rsidRDefault="00CA652C" w:rsidP="00CA652C">
      <w:pPr>
        <w:keepNext/>
        <w:keepLines/>
        <w:widowControl w:val="0"/>
        <w:tabs>
          <w:tab w:val="left" w:pos="708"/>
        </w:tabs>
        <w:spacing w:before="40" w:after="0" w:line="288" w:lineRule="auto"/>
        <w:jc w:val="both"/>
        <w:outlineLvl w:val="3"/>
        <w:rPr>
          <w:rFonts w:ascii="Arial" w:eastAsiaTheme="majorEastAsia" w:hAnsi="Arial" w:cs="Arial"/>
          <w:bCs/>
          <w:iCs/>
          <w:color w:val="2E74B5" w:themeColor="accent1" w:themeShade="BF"/>
          <w:sz w:val="20"/>
          <w:szCs w:val="20"/>
          <w:lang w:val="es-ES_tradnl" w:eastAsia="es-MX"/>
        </w:rPr>
      </w:pPr>
    </w:p>
    <w:p w:rsidR="009C0B6B" w:rsidRPr="00CA652C" w:rsidRDefault="009C0B6B" w:rsidP="00CA652C">
      <w:pPr>
        <w:keepNext/>
        <w:keepLines/>
        <w:widowControl w:val="0"/>
        <w:tabs>
          <w:tab w:val="left" w:pos="708"/>
        </w:tabs>
        <w:spacing w:before="40" w:after="0" w:line="288" w:lineRule="auto"/>
        <w:jc w:val="both"/>
        <w:outlineLvl w:val="3"/>
        <w:rPr>
          <w:rFonts w:ascii="Arial" w:eastAsiaTheme="majorEastAsia" w:hAnsi="Arial" w:cs="Arial"/>
          <w:bCs/>
          <w:iCs/>
          <w:color w:val="2E74B5" w:themeColor="accent1" w:themeShade="BF"/>
          <w:sz w:val="20"/>
          <w:szCs w:val="20"/>
          <w:lang w:val="es-ES_tradnl" w:eastAsia="es-MX"/>
        </w:rPr>
      </w:pPr>
    </w:p>
    <w:p w:rsidR="00CA652C" w:rsidRPr="00CA652C" w:rsidRDefault="00CA652C" w:rsidP="009C0B6B">
      <w:pPr>
        <w:keepNext/>
        <w:overflowPunct w:val="0"/>
        <w:autoSpaceDN w:val="0"/>
        <w:spacing w:after="0" w:line="288" w:lineRule="auto"/>
        <w:jc w:val="center"/>
        <w:outlineLvl w:val="0"/>
        <w:rPr>
          <w:rFonts w:ascii="Arial" w:eastAsia="Times New Roman" w:hAnsi="Arial" w:cs="Times New Roman"/>
          <w:b/>
          <w:bCs/>
          <w:sz w:val="24"/>
          <w:szCs w:val="20"/>
          <w:u w:val="single"/>
          <w:lang w:eastAsia="es-ES"/>
        </w:rPr>
      </w:pPr>
      <w:r w:rsidRPr="00CA652C">
        <w:rPr>
          <w:rFonts w:ascii="Arial" w:eastAsia="Times New Roman" w:hAnsi="Arial" w:cs="Times New Roman"/>
          <w:b/>
          <w:bCs/>
          <w:sz w:val="24"/>
          <w:szCs w:val="20"/>
          <w:u w:val="single"/>
          <w:lang w:eastAsia="es-ES"/>
        </w:rPr>
        <w:t>SALVAMENTO  DE VOTO</w:t>
      </w:r>
    </w:p>
    <w:p w:rsidR="00CA652C" w:rsidRPr="00CA652C" w:rsidRDefault="00CA652C" w:rsidP="00CA652C">
      <w:pPr>
        <w:spacing w:after="0" w:line="288" w:lineRule="auto"/>
        <w:jc w:val="both"/>
        <w:rPr>
          <w:rFonts w:ascii="Arial" w:eastAsia="Times New Roman" w:hAnsi="Arial" w:cs="Arial"/>
          <w:b/>
          <w:bCs/>
          <w:sz w:val="24"/>
          <w:szCs w:val="24"/>
          <w:lang w:val="es-ES_tradnl" w:eastAsia="es-ES"/>
        </w:rPr>
      </w:pPr>
    </w:p>
    <w:p w:rsidR="00CA652C" w:rsidRPr="00CA652C" w:rsidRDefault="00CA652C" w:rsidP="00CA652C">
      <w:pPr>
        <w:spacing w:after="0" w:line="288" w:lineRule="auto"/>
        <w:jc w:val="both"/>
        <w:rPr>
          <w:rFonts w:ascii="Arial" w:eastAsia="Times New Roman" w:hAnsi="Arial" w:cs="Arial"/>
          <w:sz w:val="24"/>
          <w:szCs w:val="24"/>
          <w:lang w:val="es-ES_tradnl" w:eastAsia="es-ES"/>
        </w:rPr>
      </w:pPr>
      <w:r w:rsidRPr="00CA652C">
        <w:rPr>
          <w:rFonts w:ascii="Arial" w:eastAsia="Times New Roman" w:hAnsi="Arial" w:cs="Arial"/>
          <w:sz w:val="24"/>
          <w:szCs w:val="24"/>
          <w:lang w:val="es-ES_tradnl" w:eastAsia="es-ES"/>
        </w:rPr>
        <w:t>Con el debido respeto disiento de la decisión adoptada por la Sala Mayoritaria, en tanto considero debió ser revocada la sentencia objeto de apelación, al carecer la parte actora de legitimación en la causa, como pasa a explicarse:</w:t>
      </w:r>
    </w:p>
    <w:p w:rsidR="00CA652C" w:rsidRPr="00CA652C" w:rsidRDefault="00CA652C" w:rsidP="00CA652C">
      <w:pPr>
        <w:spacing w:after="0" w:line="288" w:lineRule="auto"/>
        <w:jc w:val="both"/>
        <w:rPr>
          <w:rFonts w:ascii="Arial" w:eastAsia="Times New Roman" w:hAnsi="Arial" w:cs="Arial"/>
          <w:sz w:val="24"/>
          <w:szCs w:val="24"/>
          <w:lang w:val="es-ES_tradnl" w:eastAsia="es-ES"/>
        </w:rPr>
      </w:pPr>
    </w:p>
    <w:p w:rsidR="00CA652C" w:rsidRPr="00CA652C" w:rsidRDefault="00CA652C" w:rsidP="00CA652C">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t>La legitimación en la causa por activa, es entendida como aquella facultad que tiene una persona conforme a la ley sustancial para formular ante un juez el reconocimiento de unas pretensiones, independientemente de que ellas estén llamadas a prosperar.</w:t>
      </w:r>
    </w:p>
    <w:p w:rsidR="00CA652C" w:rsidRPr="00CA652C" w:rsidRDefault="00CA652C" w:rsidP="00CA652C">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CA652C">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t>Al respecto, la Corte Suprema de Justicia – Sala Civil, ha indicado</w:t>
      </w:r>
      <w:r w:rsidRPr="00CA652C">
        <w:rPr>
          <w:rFonts w:ascii="Arial" w:hAnsi="Arial" w:cs="Arial"/>
          <w:iCs/>
          <w:color w:val="000000" w:themeColor="text1"/>
          <w:sz w:val="24"/>
          <w:szCs w:val="24"/>
          <w:vertAlign w:val="superscript"/>
          <w:lang w:val="es-ES_tradnl" w:eastAsia="es-ES"/>
        </w:rPr>
        <w:footnoteReference w:id="1"/>
      </w:r>
      <w:r w:rsidRPr="00CA652C">
        <w:rPr>
          <w:rFonts w:ascii="Arial" w:hAnsi="Arial" w:cs="Arial"/>
          <w:iCs/>
          <w:color w:val="000000" w:themeColor="text1"/>
          <w:sz w:val="24"/>
          <w:szCs w:val="24"/>
          <w:lang w:val="es-ES_tradnl" w:eastAsia="es-ES"/>
        </w:rPr>
        <w:t xml:space="preserve">: </w:t>
      </w:r>
    </w:p>
    <w:p w:rsidR="00CA652C" w:rsidRPr="00CA652C" w:rsidRDefault="00CA652C" w:rsidP="00CA652C">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CA652C">
      <w:pPr>
        <w:spacing w:after="0" w:line="240" w:lineRule="auto"/>
        <w:ind w:left="426" w:right="420"/>
        <w:jc w:val="both"/>
        <w:rPr>
          <w:rFonts w:ascii="Arial" w:eastAsia="Times New Roman" w:hAnsi="Arial" w:cs="Arial"/>
          <w:spacing w:val="-3"/>
          <w:szCs w:val="24"/>
          <w:lang w:val="es-ES_tradnl" w:eastAsia="es-ES"/>
        </w:rPr>
      </w:pPr>
      <w:r w:rsidRPr="00CA652C">
        <w:rPr>
          <w:rFonts w:ascii="Arial" w:eastAsia="Times New Roman" w:hAnsi="Arial" w:cs="Arial"/>
          <w:i/>
          <w:spacing w:val="-3"/>
          <w:szCs w:val="24"/>
          <w:lang w:val="es-ES_tradnl" w:eastAsia="es-ES"/>
        </w:rPr>
        <w:t xml:space="preserve">“…la legitimación en la causa es cuestión propia del derecho sustancial y no del procesal, </w:t>
      </w:r>
      <w:r w:rsidRPr="00CA652C">
        <w:rPr>
          <w:rFonts w:ascii="Arial" w:eastAsia="Times New Roman" w:hAnsi="Arial" w:cs="Arial"/>
          <w:i/>
          <w:spacing w:val="-3"/>
          <w:szCs w:val="24"/>
          <w:u w:val="single"/>
          <w:lang w:val="es-ES_tradnl" w:eastAsia="es-ES"/>
        </w:rPr>
        <w:t>en cuanto concierne con una de las condiciones de prosperidad de la pretensión debatida en el litigio</w:t>
      </w:r>
      <w:r w:rsidRPr="00CA652C">
        <w:rPr>
          <w:rFonts w:ascii="Arial" w:eastAsia="Times New Roman" w:hAnsi="Arial" w:cs="Arial"/>
          <w:i/>
          <w:spacing w:val="-3"/>
          <w:szCs w:val="24"/>
          <w:lang w:val="es-ES_tradnl" w:eastAsia="es-ES"/>
        </w:rPr>
        <w:t xml:space="preserve">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w:t>
      </w:r>
      <w:r w:rsidRPr="00CA652C">
        <w:rPr>
          <w:rFonts w:ascii="Arial" w:eastAsia="Times New Roman" w:hAnsi="Arial" w:cs="Arial"/>
          <w:spacing w:val="-3"/>
          <w:szCs w:val="24"/>
          <w:lang w:val="es-ES_tradnl" w:eastAsia="es-ES"/>
        </w:rPr>
        <w:t>.</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t>Y en otra oportunidad, expresó</w:t>
      </w:r>
      <w:r w:rsidRPr="009C0B6B">
        <w:rPr>
          <w:rFonts w:ascii="Arial" w:hAnsi="Arial" w:cs="Arial"/>
          <w:iCs/>
          <w:color w:val="000000" w:themeColor="text1"/>
          <w:sz w:val="24"/>
          <w:szCs w:val="24"/>
          <w:vertAlign w:val="superscript"/>
          <w:lang w:val="es-ES_tradnl" w:eastAsia="es-ES"/>
        </w:rPr>
        <w:footnoteReference w:id="2"/>
      </w:r>
      <w:r w:rsidRPr="00CA652C">
        <w:rPr>
          <w:rFonts w:ascii="Arial" w:hAnsi="Arial" w:cs="Arial"/>
          <w:iCs/>
          <w:color w:val="000000" w:themeColor="text1"/>
          <w:sz w:val="24"/>
          <w:szCs w:val="24"/>
          <w:lang w:val="es-ES_tradnl" w:eastAsia="es-ES"/>
        </w:rPr>
        <w:t xml:space="preserve">: </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CA652C">
      <w:pPr>
        <w:tabs>
          <w:tab w:val="left" w:pos="1418"/>
        </w:tabs>
        <w:spacing w:after="0" w:line="240" w:lineRule="auto"/>
        <w:ind w:left="426" w:right="420"/>
        <w:jc w:val="both"/>
        <w:rPr>
          <w:rFonts w:ascii="Arial" w:eastAsia="Times New Roman" w:hAnsi="Arial" w:cs="Arial"/>
          <w:i/>
          <w:szCs w:val="24"/>
          <w:lang w:val="es-ES_tradnl" w:eastAsia="es-ES"/>
        </w:rPr>
      </w:pPr>
      <w:r w:rsidRPr="00CA652C">
        <w:rPr>
          <w:rFonts w:ascii="Arial" w:eastAsia="Times New Roman" w:hAnsi="Arial" w:cs="Arial"/>
          <w:i/>
          <w:szCs w:val="24"/>
          <w:lang w:val="es-ES_tradnl" w:eastAsia="es-ES"/>
        </w:rPr>
        <w:t>“</w:t>
      </w:r>
      <w:r w:rsidRPr="00CA652C">
        <w:rPr>
          <w:rFonts w:ascii="Arial" w:eastAsia="Times New Roman" w:hAnsi="Arial" w:cs="Arial"/>
          <w:i/>
          <w:iCs/>
          <w:szCs w:val="24"/>
          <w:lang w:val="es-ES_tradnl" w:eastAsia="es-ES"/>
        </w:rPr>
        <w:t xml:space="preserve">la legitimación en la causa, bien por activa o por pasiva, </w:t>
      </w:r>
      <w:r w:rsidRPr="00CA652C">
        <w:rPr>
          <w:rFonts w:ascii="Arial" w:eastAsia="Times New Roman" w:hAnsi="Arial" w:cs="Arial"/>
          <w:i/>
          <w:iCs/>
          <w:szCs w:val="24"/>
          <w:u w:val="single"/>
          <w:lang w:val="es-ES_tradnl" w:eastAsia="es-ES"/>
        </w:rPr>
        <w:t>no es una excepción</w:t>
      </w:r>
      <w:r w:rsidRPr="00CA652C">
        <w:rPr>
          <w:rFonts w:ascii="Arial" w:eastAsia="Times New Roman" w:hAnsi="Arial" w:cs="Arial"/>
          <w:i/>
          <w:iCs/>
          <w:szCs w:val="24"/>
          <w:lang w:val="es-ES_tradnl" w:eastAsia="es-ES"/>
        </w:rPr>
        <w:t xml:space="preserve"> sino que es </w:t>
      </w:r>
      <w:r w:rsidRPr="00CA652C">
        <w:rPr>
          <w:rFonts w:ascii="Arial" w:eastAsia="Times New Roman" w:hAnsi="Arial" w:cs="Arial"/>
          <w:i/>
          <w:iCs/>
          <w:szCs w:val="24"/>
          <w:u w:val="single"/>
          <w:lang w:val="es-ES_tradnl" w:eastAsia="es-ES"/>
        </w:rPr>
        <w:t>uno de los requisitos necesarios e imprescindibles para que se pueda dictar providencia de mérito, ora favorable al actor o bien desechando sus pedimentos</w:t>
      </w:r>
      <w:r w:rsidRPr="00CA652C">
        <w:rPr>
          <w:rFonts w:ascii="Arial" w:eastAsia="Times New Roman" w:hAnsi="Arial" w:cs="Arial"/>
          <w:i/>
          <w:iCs/>
          <w:szCs w:val="24"/>
          <w:lang w:val="es-ES_tradnl" w:eastAsia="es-ES"/>
        </w:rPr>
        <w:t>, porque entendida ésta ‘</w:t>
      </w:r>
      <w:r w:rsidRPr="00CA652C">
        <w:rPr>
          <w:rFonts w:ascii="Arial" w:eastAsia="Times New Roman" w:hAnsi="Arial" w:cs="Arial"/>
          <w:i/>
          <w:szCs w:val="24"/>
          <w:lang w:val="es-ES_tradnl" w:eastAsia="es-ES"/>
        </w:rPr>
        <w:t xml:space="preserve">como la designación legal de los sujetos del proceso para disputar el derecho debatido ante la jurisdicción, constituye uno de los presupuestos requeridos para dictar sentencia de fondo, sea estimatoria o desestimatoria. Y en caso de no advertirla el juez en la parte activa, en la pasiva o en ambas, deviene ineluctablemente, sin necesidad de mediar ningún otro análisis, la expedición de un fallo absolutorio; </w:t>
      </w:r>
      <w:r w:rsidRPr="00CA652C">
        <w:rPr>
          <w:rFonts w:ascii="Arial" w:eastAsia="Times New Roman" w:hAnsi="Arial" w:cs="Arial"/>
          <w:i/>
          <w:szCs w:val="24"/>
          <w:u w:val="single"/>
          <w:lang w:val="es-ES_tradnl" w:eastAsia="es-ES"/>
        </w:rPr>
        <w:t>de allí que se imponga examinar de entrada la legitimación que le asiste a la parte demandante para formular la pretensión’</w:t>
      </w:r>
      <w:r w:rsidRPr="00CA652C">
        <w:rPr>
          <w:rFonts w:ascii="Arial" w:eastAsia="Times New Roman" w:hAnsi="Arial" w:cs="Arial"/>
          <w:i/>
          <w:szCs w:val="24"/>
          <w:lang w:val="es-ES_tradnl" w:eastAsia="es-ES"/>
        </w:rPr>
        <w:t>.</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t>En el presente caso, conforme se manifestó en el libelo –hecho 10</w:t>
      </w:r>
      <w:r w:rsidR="00517987">
        <w:rPr>
          <w:rFonts w:ascii="Arial" w:hAnsi="Arial" w:cs="Arial"/>
          <w:iCs/>
          <w:color w:val="000000" w:themeColor="text1"/>
          <w:sz w:val="24"/>
          <w:szCs w:val="24"/>
          <w:lang w:val="es-ES_tradnl" w:eastAsia="es-ES"/>
        </w:rPr>
        <w:t>–</w:t>
      </w:r>
      <w:r w:rsidRPr="00CA652C">
        <w:rPr>
          <w:rFonts w:ascii="Arial" w:hAnsi="Arial" w:cs="Arial"/>
          <w:iCs/>
          <w:color w:val="000000" w:themeColor="text1"/>
          <w:sz w:val="24"/>
          <w:szCs w:val="24"/>
          <w:lang w:val="es-ES_tradnl" w:eastAsia="es-ES"/>
        </w:rPr>
        <w:t xml:space="preserve">, al actor le fue reconocida la pensión de vejez por Colpensiones  a través de la Resolución 109740 del el 13-06-2011 </w:t>
      </w:r>
      <w:proofErr w:type="spellStart"/>
      <w:r w:rsidRPr="00CA652C">
        <w:rPr>
          <w:rFonts w:ascii="Arial" w:hAnsi="Arial" w:cs="Arial"/>
          <w:iCs/>
          <w:color w:val="000000" w:themeColor="text1"/>
          <w:sz w:val="24"/>
          <w:szCs w:val="24"/>
          <w:lang w:val="es-ES_tradnl" w:eastAsia="es-ES"/>
        </w:rPr>
        <w:t>fl</w:t>
      </w:r>
      <w:proofErr w:type="spellEnd"/>
      <w:r w:rsidRPr="00CA652C">
        <w:rPr>
          <w:rFonts w:ascii="Arial" w:hAnsi="Arial" w:cs="Arial"/>
          <w:iCs/>
          <w:color w:val="000000" w:themeColor="text1"/>
          <w:sz w:val="24"/>
          <w:szCs w:val="24"/>
          <w:lang w:val="es-ES_tradnl" w:eastAsia="es-ES"/>
        </w:rPr>
        <w:t>. 20- .</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t>En este orden de ideas, no queda duda de la consolidación del riesgo pensional por vejez en el actor, es decir, de su calidad de pensionado, que excluye de entrada la condición de afiliado al Sistema General de Pensiones que lo faculte obtener la ineficacia del traslado del RPM al RAIS a la luz del artículo 13, literal b) de la Ley 100/93; máxime que se pensionó en el RPM.</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lastRenderedPageBreak/>
        <w:t>Por lo tanto, se evidencia la ausencia de un requisito sustancial – legitimación en la causa- que impide la prosperidad de las pretensiones.</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t xml:space="preserve">Conforme lo anterior, se torna estéril cualquier análisis del cumplimiento o no de los requisitos legales y/o jurisprudenciales relacionados con el traslado entre regímenes pensionales. </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t>No sobra decir, que la sentencia citada por el Magistrado Ponente como apoyo de su decisión, radicado 31.989 de 2008, trata de un caso excepcionalísimo, al ser el actor una persona que para el momento de la suscripción del formulario vinculación al  RAIS había cumplido con los requisitos para adquirir su pensión de vejez, bajo el régimen de transición, situación aberrante que no podía mantenerse a pesar de ostentar la condición</w:t>
      </w:r>
      <w:r w:rsidR="00A530CC">
        <w:rPr>
          <w:rFonts w:ascii="Arial" w:hAnsi="Arial" w:cs="Arial"/>
          <w:iCs/>
          <w:color w:val="000000" w:themeColor="text1"/>
          <w:sz w:val="24"/>
          <w:szCs w:val="24"/>
          <w:lang w:val="es-ES_tradnl" w:eastAsia="es-ES"/>
        </w:rPr>
        <w:t xml:space="preserve"> de</w:t>
      </w:r>
      <w:r w:rsidRPr="00CA652C">
        <w:rPr>
          <w:rFonts w:ascii="Arial" w:hAnsi="Arial" w:cs="Arial"/>
          <w:iCs/>
          <w:color w:val="000000" w:themeColor="text1"/>
          <w:sz w:val="24"/>
          <w:szCs w:val="24"/>
          <w:lang w:val="es-ES_tradnl" w:eastAsia="es-ES"/>
        </w:rPr>
        <w:t xml:space="preserve"> pensionado, cosa que aquí no sucede; por lo mismo no se hace extensiva esta sentencia al presente asunto. </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t xml:space="preserve"> </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r w:rsidRPr="00CA652C">
        <w:rPr>
          <w:rFonts w:ascii="Arial" w:hAnsi="Arial" w:cs="Arial"/>
          <w:iCs/>
          <w:color w:val="000000" w:themeColor="text1"/>
          <w:sz w:val="24"/>
          <w:szCs w:val="24"/>
          <w:lang w:val="es-ES_tradnl" w:eastAsia="es-ES"/>
        </w:rPr>
        <w:t xml:space="preserve">En estos términos dejo sentado mi salvamento de voto. </w:t>
      </w: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iCs/>
          <w:color w:val="000000" w:themeColor="text1"/>
          <w:sz w:val="24"/>
          <w:szCs w:val="24"/>
          <w:lang w:val="es-ES_tradnl" w:eastAsia="es-ES"/>
        </w:rPr>
      </w:pPr>
    </w:p>
    <w:p w:rsidR="00CA652C" w:rsidRPr="00CA652C" w:rsidRDefault="00CA652C" w:rsidP="009C0B6B">
      <w:pPr>
        <w:spacing w:after="0" w:line="288" w:lineRule="auto"/>
        <w:contextualSpacing/>
        <w:jc w:val="both"/>
        <w:rPr>
          <w:rFonts w:ascii="Arial" w:hAnsi="Arial" w:cs="Arial"/>
          <w:b/>
          <w:iCs/>
          <w:color w:val="000000" w:themeColor="text1"/>
          <w:sz w:val="24"/>
          <w:szCs w:val="24"/>
          <w:lang w:val="es-ES_tradnl" w:eastAsia="es-ES"/>
        </w:rPr>
      </w:pPr>
      <w:r w:rsidRPr="00CA652C">
        <w:rPr>
          <w:rFonts w:ascii="Arial" w:hAnsi="Arial" w:cs="Arial"/>
          <w:b/>
          <w:iCs/>
          <w:color w:val="000000" w:themeColor="text1"/>
          <w:sz w:val="24"/>
          <w:szCs w:val="24"/>
          <w:lang w:val="es-ES_tradnl" w:eastAsia="es-ES"/>
        </w:rPr>
        <w:t xml:space="preserve">OLGA LUCÍA HOYOS SEPÚLVEDA  </w:t>
      </w:r>
    </w:p>
    <w:p w:rsidR="00CA652C" w:rsidRPr="009C0B6B" w:rsidRDefault="00CA652C" w:rsidP="009C0B6B">
      <w:pPr>
        <w:spacing w:after="0" w:line="288" w:lineRule="auto"/>
        <w:contextualSpacing/>
        <w:jc w:val="both"/>
        <w:rPr>
          <w:rFonts w:ascii="Arial" w:hAnsi="Arial" w:cs="Arial"/>
          <w:iCs/>
          <w:color w:val="000000" w:themeColor="text1"/>
          <w:sz w:val="24"/>
          <w:szCs w:val="24"/>
          <w:lang w:val="es-ES_tradnl" w:eastAsia="es-ES"/>
        </w:rPr>
      </w:pPr>
      <w:r w:rsidRPr="009C0B6B">
        <w:rPr>
          <w:rFonts w:ascii="Arial" w:hAnsi="Arial" w:cs="Arial"/>
          <w:iCs/>
          <w:color w:val="000000" w:themeColor="text1"/>
          <w:sz w:val="24"/>
          <w:szCs w:val="24"/>
          <w:lang w:val="es-ES_tradnl" w:eastAsia="es-ES"/>
        </w:rPr>
        <w:t>Magistrada</w:t>
      </w:r>
    </w:p>
    <w:sectPr w:rsidR="00CA652C" w:rsidRPr="009C0B6B" w:rsidSect="00DC0BFB">
      <w:headerReference w:type="default" r:id="rId9"/>
      <w:pgSz w:w="12242" w:h="19442" w:code="268"/>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E" w:rsidRDefault="00233CDE" w:rsidP="00667280">
      <w:pPr>
        <w:spacing w:after="0" w:line="240" w:lineRule="auto"/>
      </w:pPr>
      <w:r>
        <w:separator/>
      </w:r>
    </w:p>
  </w:endnote>
  <w:endnote w:type="continuationSeparator" w:id="0">
    <w:p w:rsidR="00233CDE" w:rsidRDefault="00233CDE" w:rsidP="0066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E" w:rsidRDefault="00233CDE" w:rsidP="00667280">
      <w:pPr>
        <w:spacing w:after="0" w:line="240" w:lineRule="auto"/>
      </w:pPr>
      <w:r>
        <w:separator/>
      </w:r>
    </w:p>
  </w:footnote>
  <w:footnote w:type="continuationSeparator" w:id="0">
    <w:p w:rsidR="00233CDE" w:rsidRDefault="00233CDE" w:rsidP="00667280">
      <w:pPr>
        <w:spacing w:after="0" w:line="240" w:lineRule="auto"/>
      </w:pPr>
      <w:r>
        <w:continuationSeparator/>
      </w:r>
    </w:p>
  </w:footnote>
  <w:footnote w:id="1">
    <w:p w:rsidR="00CA652C" w:rsidRPr="009C0B6B" w:rsidRDefault="00CA652C" w:rsidP="009C0B6B">
      <w:pPr>
        <w:pStyle w:val="Textonotapie"/>
        <w:rPr>
          <w:rStyle w:val="Refdenotaalpie"/>
          <w:rFonts w:ascii="Arial" w:hAnsi="Arial" w:cs="Arial"/>
          <w:sz w:val="18"/>
          <w:szCs w:val="18"/>
          <w:vertAlign w:val="baseline"/>
        </w:rPr>
      </w:pPr>
      <w:r w:rsidRPr="009C0B6B">
        <w:rPr>
          <w:rStyle w:val="Refdenotaalpie"/>
          <w:rFonts w:ascii="Arial" w:hAnsi="Arial" w:cs="Arial"/>
          <w:sz w:val="18"/>
          <w:szCs w:val="18"/>
        </w:rPr>
        <w:footnoteRef/>
      </w:r>
      <w:r w:rsidRPr="009C0B6B">
        <w:rPr>
          <w:rStyle w:val="Refdenotaalpie"/>
          <w:rFonts w:ascii="Arial" w:hAnsi="Arial" w:cs="Arial"/>
          <w:sz w:val="18"/>
          <w:szCs w:val="18"/>
        </w:rPr>
        <w:t xml:space="preserve"> </w:t>
      </w:r>
      <w:r w:rsidRPr="009C0B6B">
        <w:rPr>
          <w:rStyle w:val="Refdenotaalpie"/>
          <w:rFonts w:ascii="Arial" w:hAnsi="Arial" w:cs="Arial"/>
          <w:sz w:val="18"/>
          <w:szCs w:val="18"/>
          <w:vertAlign w:val="baseline"/>
        </w:rPr>
        <w:t>CSJ SC de 14 de marzo de 2002, Rad. 6139, reiterada en la SC2642-2015, Radicación n° 11001-31-03-0</w:t>
      </w:r>
      <w:r w:rsidR="009C0B6B">
        <w:rPr>
          <w:rStyle w:val="Refdenotaalpie"/>
          <w:rFonts w:ascii="Arial" w:hAnsi="Arial" w:cs="Arial"/>
          <w:sz w:val="18"/>
          <w:szCs w:val="18"/>
          <w:vertAlign w:val="baseline"/>
        </w:rPr>
        <w:t>30-1993-05281-01 del 10/03/2015</w:t>
      </w:r>
    </w:p>
  </w:footnote>
  <w:footnote w:id="2">
    <w:p w:rsidR="00CA652C" w:rsidRPr="009C0B6B" w:rsidRDefault="00CA652C" w:rsidP="00CA652C">
      <w:pPr>
        <w:pStyle w:val="Textonotapie"/>
        <w:rPr>
          <w:rFonts w:ascii="Arial" w:hAnsi="Arial" w:cs="Arial"/>
          <w:sz w:val="18"/>
          <w:szCs w:val="18"/>
          <w:lang w:val="es-CO"/>
        </w:rPr>
      </w:pPr>
      <w:r w:rsidRPr="009C0B6B">
        <w:rPr>
          <w:rStyle w:val="Refdenotaalpie"/>
          <w:rFonts w:ascii="Arial" w:hAnsi="Arial" w:cs="Arial"/>
          <w:sz w:val="18"/>
          <w:szCs w:val="18"/>
        </w:rPr>
        <w:footnoteRef/>
      </w:r>
      <w:r w:rsidRPr="009C0B6B">
        <w:rPr>
          <w:rFonts w:ascii="Arial" w:hAnsi="Arial" w:cs="Arial"/>
          <w:sz w:val="18"/>
          <w:szCs w:val="18"/>
        </w:rPr>
        <w:t xml:space="preserve"> CSJ SC de 23 de abril de 2007, Rad. 1999-00125-01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88" w:rsidRPr="00DC0BFB" w:rsidRDefault="0006585E" w:rsidP="00DC0BFB">
    <w:pPr>
      <w:pStyle w:val="Encabezado"/>
      <w:jc w:val="both"/>
      <w:rPr>
        <w:rFonts w:ascii="Arial" w:hAnsi="Arial" w:cs="Arial"/>
        <w:sz w:val="18"/>
        <w:szCs w:val="18"/>
        <w:lang w:val="es-CO"/>
      </w:rPr>
    </w:pPr>
    <w:r w:rsidRPr="00DC0BFB">
      <w:rPr>
        <w:rFonts w:ascii="Arial" w:hAnsi="Arial" w:cs="Arial"/>
        <w:sz w:val="18"/>
        <w:szCs w:val="18"/>
        <w:lang w:val="es-CO"/>
      </w:rPr>
      <w:t>Radicado: 66001-31-05-005</w:t>
    </w:r>
    <w:r w:rsidR="00667280" w:rsidRPr="00DC0BFB">
      <w:rPr>
        <w:rFonts w:ascii="Arial" w:hAnsi="Arial" w:cs="Arial"/>
        <w:sz w:val="18"/>
        <w:szCs w:val="18"/>
        <w:lang w:val="es-CO"/>
      </w:rPr>
      <w:t>4-2016-00490-01</w:t>
    </w:r>
  </w:p>
  <w:p w:rsidR="00092688" w:rsidRPr="00DC0BFB" w:rsidRDefault="00667280" w:rsidP="00DC0BFB">
    <w:pPr>
      <w:pStyle w:val="Encabezado"/>
      <w:jc w:val="both"/>
      <w:rPr>
        <w:rFonts w:ascii="Arial" w:hAnsi="Arial" w:cs="Arial"/>
        <w:sz w:val="18"/>
        <w:szCs w:val="18"/>
        <w:lang w:val="es-CO"/>
      </w:rPr>
    </w:pPr>
    <w:r w:rsidRPr="00DC0BFB">
      <w:rPr>
        <w:rFonts w:ascii="Arial" w:hAnsi="Arial" w:cs="Arial"/>
        <w:sz w:val="18"/>
        <w:szCs w:val="18"/>
        <w:lang w:val="es-CO"/>
      </w:rPr>
      <w:t>Jorge Enrique Hincapié Mora v</w:t>
    </w:r>
    <w:r w:rsidR="0006585E" w:rsidRPr="00DC0BFB">
      <w:rPr>
        <w:rFonts w:ascii="Arial" w:hAnsi="Arial" w:cs="Arial"/>
        <w:sz w:val="18"/>
        <w:szCs w:val="18"/>
        <w:lang w:val="es-CO"/>
      </w:rPr>
      <w:t>s Colfondos y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80"/>
    <w:rsid w:val="00005EE1"/>
    <w:rsid w:val="00014161"/>
    <w:rsid w:val="0001436F"/>
    <w:rsid w:val="00017A30"/>
    <w:rsid w:val="00030BBA"/>
    <w:rsid w:val="00031AD5"/>
    <w:rsid w:val="00035957"/>
    <w:rsid w:val="0006585E"/>
    <w:rsid w:val="000B4D72"/>
    <w:rsid w:val="000E2C7E"/>
    <w:rsid w:val="000F3E09"/>
    <w:rsid w:val="00121035"/>
    <w:rsid w:val="00142F69"/>
    <w:rsid w:val="00195B3C"/>
    <w:rsid w:val="00195CFE"/>
    <w:rsid w:val="001B0D53"/>
    <w:rsid w:val="0022481D"/>
    <w:rsid w:val="00233CDE"/>
    <w:rsid w:val="00246526"/>
    <w:rsid w:val="002542A2"/>
    <w:rsid w:val="002615D7"/>
    <w:rsid w:val="00262DED"/>
    <w:rsid w:val="00267D68"/>
    <w:rsid w:val="00290324"/>
    <w:rsid w:val="002D41E1"/>
    <w:rsid w:val="0033205C"/>
    <w:rsid w:val="00352A1E"/>
    <w:rsid w:val="003A4E8F"/>
    <w:rsid w:val="003C2595"/>
    <w:rsid w:val="00413DC7"/>
    <w:rsid w:val="00457B86"/>
    <w:rsid w:val="0048626F"/>
    <w:rsid w:val="004A6843"/>
    <w:rsid w:val="004C74A8"/>
    <w:rsid w:val="004E5474"/>
    <w:rsid w:val="004F408E"/>
    <w:rsid w:val="00517987"/>
    <w:rsid w:val="0053149A"/>
    <w:rsid w:val="00540596"/>
    <w:rsid w:val="00565D52"/>
    <w:rsid w:val="00591117"/>
    <w:rsid w:val="005D64F6"/>
    <w:rsid w:val="00660003"/>
    <w:rsid w:val="00660491"/>
    <w:rsid w:val="00667280"/>
    <w:rsid w:val="006B7D7A"/>
    <w:rsid w:val="007F5F1B"/>
    <w:rsid w:val="00806FF7"/>
    <w:rsid w:val="008217E0"/>
    <w:rsid w:val="00887D52"/>
    <w:rsid w:val="00897849"/>
    <w:rsid w:val="008F7787"/>
    <w:rsid w:val="00913287"/>
    <w:rsid w:val="00980978"/>
    <w:rsid w:val="009C0B6B"/>
    <w:rsid w:val="00A46847"/>
    <w:rsid w:val="00A530CC"/>
    <w:rsid w:val="00A6696A"/>
    <w:rsid w:val="00A675BB"/>
    <w:rsid w:val="00A94E83"/>
    <w:rsid w:val="00B06D0D"/>
    <w:rsid w:val="00B10886"/>
    <w:rsid w:val="00B1396E"/>
    <w:rsid w:val="00B458CB"/>
    <w:rsid w:val="00B80FA3"/>
    <w:rsid w:val="00B950CB"/>
    <w:rsid w:val="00B95AF7"/>
    <w:rsid w:val="00BB1FCC"/>
    <w:rsid w:val="00BD0B2E"/>
    <w:rsid w:val="00CA652C"/>
    <w:rsid w:val="00CB5603"/>
    <w:rsid w:val="00CF541C"/>
    <w:rsid w:val="00D40113"/>
    <w:rsid w:val="00D53589"/>
    <w:rsid w:val="00D834CA"/>
    <w:rsid w:val="00DA2B87"/>
    <w:rsid w:val="00DA6BC9"/>
    <w:rsid w:val="00DC0BFB"/>
    <w:rsid w:val="00E32877"/>
    <w:rsid w:val="00E7110E"/>
    <w:rsid w:val="00E96EF4"/>
    <w:rsid w:val="00EE5A96"/>
    <w:rsid w:val="00EF69EA"/>
    <w:rsid w:val="00FC0A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F7572-0AF2-4243-921B-F73D1810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80"/>
  </w:style>
  <w:style w:type="paragraph" w:styleId="Ttulo1">
    <w:name w:val="heading 1"/>
    <w:basedOn w:val="Normal"/>
    <w:next w:val="Normal"/>
    <w:link w:val="Ttulo1Car"/>
    <w:uiPriority w:val="9"/>
    <w:qFormat/>
    <w:rsid w:val="00CA65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7280"/>
    <w:pPr>
      <w:spacing w:after="0" w:line="240" w:lineRule="auto"/>
    </w:pPr>
  </w:style>
  <w:style w:type="paragraph" w:styleId="Encabezado">
    <w:name w:val="header"/>
    <w:basedOn w:val="Normal"/>
    <w:link w:val="EncabezadoCar"/>
    <w:uiPriority w:val="99"/>
    <w:unhideWhenUsed/>
    <w:rsid w:val="006672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7280"/>
  </w:style>
  <w:style w:type="paragraph" w:styleId="Textoindependiente">
    <w:name w:val="Body Text"/>
    <w:basedOn w:val="Normal"/>
    <w:link w:val="TextoindependienteCar"/>
    <w:unhideWhenUsed/>
    <w:rsid w:val="0066728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667280"/>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667280"/>
    <w:pPr>
      <w:spacing w:after="0" w:line="360" w:lineRule="auto"/>
      <w:jc w:val="both"/>
    </w:pPr>
    <w:rPr>
      <w:rFonts w:ascii="Arial" w:eastAsia="Times New Roman" w:hAnsi="Arial" w:cs="Times New Roman"/>
      <w:sz w:val="28"/>
      <w:szCs w:val="20"/>
      <w:lang w:val="es-ES_tradnl" w:eastAsia="es-ES"/>
    </w:rPr>
  </w:style>
  <w:style w:type="paragraph" w:styleId="Piedepgina">
    <w:name w:val="footer"/>
    <w:basedOn w:val="Normal"/>
    <w:link w:val="PiedepginaCar"/>
    <w:uiPriority w:val="99"/>
    <w:unhideWhenUsed/>
    <w:rsid w:val="006672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7280"/>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542A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542A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542A2"/>
    <w:rPr>
      <w:vertAlign w:val="superscript"/>
    </w:rPr>
  </w:style>
  <w:style w:type="character" w:customStyle="1" w:styleId="SinespaciadoCar">
    <w:name w:val="Sin espaciado Car"/>
    <w:link w:val="Sinespaciado"/>
    <w:uiPriority w:val="1"/>
    <w:locked/>
    <w:rsid w:val="00D40113"/>
  </w:style>
  <w:style w:type="paragraph" w:customStyle="1" w:styleId="Textoindependiente32">
    <w:name w:val="Texto independiente 32"/>
    <w:basedOn w:val="Normal"/>
    <w:rsid w:val="004C74A8"/>
    <w:pPr>
      <w:spacing w:after="0" w:line="360" w:lineRule="auto"/>
      <w:jc w:val="both"/>
    </w:pPr>
    <w:rPr>
      <w:rFonts w:ascii="Arial" w:eastAsia="Times New Roman" w:hAnsi="Arial" w:cs="Times New Roman"/>
      <w:sz w:val="24"/>
      <w:szCs w:val="20"/>
      <w:lang w:val="es-ES_tradnl" w:eastAsia="es-ES"/>
    </w:rPr>
  </w:style>
  <w:style w:type="character" w:customStyle="1" w:styleId="Ttulo1Car">
    <w:name w:val="Título 1 Car"/>
    <w:basedOn w:val="Fuentedeprrafopredeter"/>
    <w:link w:val="Ttulo1"/>
    <w:uiPriority w:val="9"/>
    <w:rsid w:val="00CA65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F2F05-9152-44CE-8009-DA3AD1AA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14</Pages>
  <Words>6245</Words>
  <Characters>34353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46</cp:revision>
  <dcterms:created xsi:type="dcterms:W3CDTF">2019-07-02T16:43:00Z</dcterms:created>
  <dcterms:modified xsi:type="dcterms:W3CDTF">2019-08-29T16:21:00Z</dcterms:modified>
</cp:coreProperties>
</file>