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71" w:rsidRPr="00EC5871" w:rsidRDefault="00EC5871" w:rsidP="00EC587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C5871">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C5871" w:rsidRPr="00EC5871" w:rsidRDefault="00EC5871" w:rsidP="00EC5871">
      <w:pPr>
        <w:jc w:val="both"/>
        <w:rPr>
          <w:rFonts w:ascii="Arial" w:hAnsi="Arial" w:cs="Arial"/>
          <w:sz w:val="20"/>
          <w:lang w:val="es-419"/>
        </w:rPr>
      </w:pPr>
    </w:p>
    <w:p w:rsidR="00EC5871" w:rsidRPr="00EC5871" w:rsidRDefault="00EC5871" w:rsidP="00EC5871">
      <w:pPr>
        <w:jc w:val="both"/>
        <w:rPr>
          <w:rFonts w:ascii="Arial" w:hAnsi="Arial" w:cs="Arial"/>
          <w:sz w:val="20"/>
          <w:lang w:val="es-419"/>
        </w:rPr>
      </w:pPr>
      <w:r w:rsidRPr="00EC5871">
        <w:rPr>
          <w:rFonts w:ascii="Arial" w:hAnsi="Arial" w:cs="Arial"/>
          <w:sz w:val="20"/>
          <w:lang w:val="es-419"/>
        </w:rPr>
        <w:t xml:space="preserve">Providencia: </w:t>
      </w:r>
      <w:r w:rsidRPr="00EC5871">
        <w:rPr>
          <w:rFonts w:ascii="Arial" w:hAnsi="Arial" w:cs="Arial"/>
          <w:sz w:val="20"/>
          <w:lang w:val="es-419"/>
        </w:rPr>
        <w:tab/>
      </w:r>
      <w:r w:rsidRPr="00EC5871">
        <w:rPr>
          <w:rFonts w:ascii="Arial" w:hAnsi="Arial" w:cs="Arial"/>
          <w:sz w:val="20"/>
          <w:lang w:val="es-419"/>
        </w:rPr>
        <w:tab/>
        <w:t>Sentencia de Segunda Instancia, jueves 4 de julio de 2019</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Radicación No:</w:t>
      </w:r>
      <w:r w:rsidRPr="00EC5871">
        <w:rPr>
          <w:rFonts w:ascii="Arial" w:hAnsi="Arial" w:cs="Arial"/>
          <w:sz w:val="20"/>
          <w:lang w:val="es-419"/>
        </w:rPr>
        <w:tab/>
      </w:r>
      <w:r w:rsidRPr="00EC5871">
        <w:rPr>
          <w:rFonts w:ascii="Arial" w:hAnsi="Arial" w:cs="Arial"/>
          <w:sz w:val="20"/>
          <w:lang w:val="es-419"/>
        </w:rPr>
        <w:tab/>
        <w:t xml:space="preserve">66001-31-05-004-2017-00463-01 </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 xml:space="preserve">Proceso: </w:t>
      </w:r>
      <w:r w:rsidRPr="00EC5871">
        <w:rPr>
          <w:rFonts w:ascii="Arial" w:hAnsi="Arial" w:cs="Arial"/>
          <w:sz w:val="20"/>
          <w:lang w:val="es-419"/>
        </w:rPr>
        <w:tab/>
      </w:r>
      <w:r w:rsidRPr="00EC5871">
        <w:rPr>
          <w:rFonts w:ascii="Arial" w:hAnsi="Arial" w:cs="Arial"/>
          <w:sz w:val="20"/>
          <w:lang w:val="es-419"/>
        </w:rPr>
        <w:tab/>
        <w:t>Ordinario Laboral</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Demandante:</w:t>
      </w:r>
      <w:r w:rsidRPr="00EC5871">
        <w:rPr>
          <w:rFonts w:ascii="Arial" w:hAnsi="Arial" w:cs="Arial"/>
          <w:sz w:val="20"/>
          <w:lang w:val="es-419"/>
        </w:rPr>
        <w:tab/>
      </w:r>
      <w:r w:rsidRPr="00EC5871">
        <w:rPr>
          <w:rFonts w:ascii="Arial" w:hAnsi="Arial" w:cs="Arial"/>
          <w:sz w:val="20"/>
          <w:lang w:val="es-419"/>
        </w:rPr>
        <w:tab/>
        <w:t>Carolina Osorio Herrera en representación de su hijo Juan José Gómez Osorio</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Demandado:</w:t>
      </w:r>
      <w:r w:rsidRPr="00EC5871">
        <w:rPr>
          <w:rFonts w:ascii="Arial" w:hAnsi="Arial" w:cs="Arial"/>
          <w:sz w:val="20"/>
          <w:lang w:val="es-419"/>
        </w:rPr>
        <w:tab/>
      </w:r>
      <w:r w:rsidRPr="00EC5871">
        <w:rPr>
          <w:rFonts w:ascii="Arial" w:hAnsi="Arial" w:cs="Arial"/>
          <w:sz w:val="20"/>
          <w:lang w:val="es-419"/>
        </w:rPr>
        <w:tab/>
        <w:t xml:space="preserve">Protección S.A. </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Llamado en garantía:</w:t>
      </w:r>
      <w:r w:rsidRPr="00EC5871">
        <w:rPr>
          <w:rFonts w:ascii="Arial" w:hAnsi="Arial" w:cs="Arial"/>
          <w:sz w:val="20"/>
          <w:lang w:val="es-419"/>
        </w:rPr>
        <w:tab/>
        <w:t xml:space="preserve">Seguros Bolívar S.A.  </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Juzgado de origen:</w:t>
      </w:r>
      <w:r w:rsidRPr="00EC5871">
        <w:rPr>
          <w:rFonts w:ascii="Arial" w:hAnsi="Arial" w:cs="Arial"/>
          <w:sz w:val="20"/>
          <w:lang w:val="es-419"/>
        </w:rPr>
        <w:tab/>
        <w:t>Cuarto Laboral del Circuito de Pereira.</w:t>
      </w:r>
    </w:p>
    <w:p w:rsidR="00EC5871" w:rsidRPr="00EC5871" w:rsidRDefault="00EC5871" w:rsidP="00EC5871">
      <w:pPr>
        <w:jc w:val="both"/>
        <w:rPr>
          <w:rFonts w:ascii="Arial" w:hAnsi="Arial" w:cs="Arial"/>
          <w:sz w:val="20"/>
          <w:lang w:val="es-419"/>
        </w:rPr>
      </w:pPr>
      <w:r w:rsidRPr="00EC5871">
        <w:rPr>
          <w:rFonts w:ascii="Arial" w:hAnsi="Arial" w:cs="Arial"/>
          <w:sz w:val="20"/>
          <w:lang w:val="es-419"/>
        </w:rPr>
        <w:t>Magistrado Ponente:</w:t>
      </w:r>
      <w:r w:rsidRPr="00EC5871">
        <w:rPr>
          <w:rFonts w:ascii="Arial" w:hAnsi="Arial" w:cs="Arial"/>
          <w:sz w:val="20"/>
          <w:lang w:val="es-419"/>
        </w:rPr>
        <w:tab/>
        <w:t>Francisco Javier Tamayo Tabares.</w:t>
      </w:r>
    </w:p>
    <w:p w:rsidR="00EC5871" w:rsidRPr="00EC5871" w:rsidRDefault="00EC5871" w:rsidP="00EC5871">
      <w:pPr>
        <w:jc w:val="both"/>
        <w:rPr>
          <w:rFonts w:ascii="Arial" w:hAnsi="Arial" w:cs="Arial"/>
          <w:sz w:val="20"/>
          <w:lang w:val="es-419"/>
        </w:rPr>
      </w:pPr>
    </w:p>
    <w:p w:rsidR="00EC5871" w:rsidRPr="00D573C3" w:rsidRDefault="00EC5871" w:rsidP="00EC5871">
      <w:pPr>
        <w:jc w:val="both"/>
        <w:rPr>
          <w:rFonts w:ascii="Arial" w:hAnsi="Arial" w:cs="Arial"/>
          <w:b/>
          <w:bCs/>
          <w:iCs/>
          <w:sz w:val="20"/>
          <w:lang w:val="es-CO" w:eastAsia="fr-FR"/>
        </w:rPr>
      </w:pPr>
      <w:r w:rsidRPr="00EC5871">
        <w:rPr>
          <w:rFonts w:ascii="Arial" w:hAnsi="Arial" w:cs="Arial"/>
          <w:b/>
          <w:bCs/>
          <w:iCs/>
          <w:sz w:val="20"/>
          <w:lang w:val="es-419" w:eastAsia="fr-FR"/>
        </w:rPr>
        <w:t>TEMAS:</w:t>
      </w:r>
      <w:r w:rsidRPr="00EC5871">
        <w:rPr>
          <w:rFonts w:ascii="Arial" w:hAnsi="Arial" w:cs="Arial"/>
          <w:b/>
          <w:bCs/>
          <w:iCs/>
          <w:sz w:val="20"/>
          <w:lang w:val="es-419" w:eastAsia="fr-FR"/>
        </w:rPr>
        <w:tab/>
      </w:r>
      <w:r w:rsidR="00965A21">
        <w:rPr>
          <w:rFonts w:ascii="Arial" w:hAnsi="Arial" w:cs="Arial"/>
          <w:b/>
          <w:bCs/>
          <w:iCs/>
          <w:sz w:val="20"/>
          <w:lang w:val="es-CO" w:eastAsia="fr-FR"/>
        </w:rPr>
        <w:t xml:space="preserve">PENSIÓN DE SOBREVIVIENTES / </w:t>
      </w:r>
      <w:r w:rsidRPr="00EC5871">
        <w:rPr>
          <w:rFonts w:ascii="Arial" w:hAnsi="Arial" w:cs="Arial"/>
          <w:b/>
          <w:sz w:val="20"/>
          <w:lang w:val="es-419"/>
        </w:rPr>
        <w:t>CONDICIÓN MÁS BENEFICIOSA</w:t>
      </w:r>
      <w:r w:rsidR="00965A21">
        <w:rPr>
          <w:rFonts w:ascii="Arial" w:hAnsi="Arial" w:cs="Arial"/>
          <w:b/>
          <w:sz w:val="20"/>
          <w:lang w:val="es-CO"/>
        </w:rPr>
        <w:t xml:space="preserve"> / </w:t>
      </w:r>
      <w:r w:rsidRPr="00EC5871">
        <w:rPr>
          <w:rFonts w:ascii="Arial" w:hAnsi="Arial" w:cs="Arial"/>
          <w:b/>
          <w:sz w:val="20"/>
          <w:lang w:val="es-419"/>
        </w:rPr>
        <w:t xml:space="preserve">PRESUPUESTOS PARA SU APLICACIÓN </w:t>
      </w:r>
      <w:r w:rsidRPr="00EC5871">
        <w:rPr>
          <w:rFonts w:ascii="Arial" w:hAnsi="Arial" w:cs="Arial"/>
          <w:b/>
          <w:bCs/>
          <w:iCs/>
          <w:sz w:val="20"/>
          <w:lang w:val="es-419" w:eastAsia="fr-FR"/>
        </w:rPr>
        <w:t xml:space="preserve">/ </w:t>
      </w:r>
      <w:r w:rsidR="00D573C3">
        <w:rPr>
          <w:rFonts w:ascii="Arial" w:hAnsi="Arial" w:cs="Arial"/>
          <w:b/>
          <w:bCs/>
          <w:iCs/>
          <w:sz w:val="20"/>
          <w:lang w:val="es-CO" w:eastAsia="fr-FR"/>
        </w:rPr>
        <w:t>QUE L</w:t>
      </w:r>
      <w:r w:rsidR="008D5D7D">
        <w:rPr>
          <w:rFonts w:ascii="Arial" w:hAnsi="Arial" w:cs="Arial"/>
          <w:b/>
          <w:bCs/>
          <w:iCs/>
          <w:sz w:val="20"/>
          <w:lang w:val="es-CO" w:eastAsia="fr-FR"/>
        </w:rPr>
        <w:t xml:space="preserve">OS REQUISITOS </w:t>
      </w:r>
      <w:r w:rsidR="00D573C3">
        <w:rPr>
          <w:rFonts w:ascii="Arial" w:hAnsi="Arial" w:cs="Arial"/>
          <w:b/>
          <w:bCs/>
          <w:iCs/>
          <w:sz w:val="20"/>
          <w:lang w:val="es-CO" w:eastAsia="fr-FR"/>
        </w:rPr>
        <w:t>EXIG</w:t>
      </w:r>
      <w:r w:rsidR="008D5D7D">
        <w:rPr>
          <w:rFonts w:ascii="Arial" w:hAnsi="Arial" w:cs="Arial"/>
          <w:b/>
          <w:bCs/>
          <w:iCs/>
          <w:sz w:val="20"/>
          <w:lang w:val="es-CO" w:eastAsia="fr-FR"/>
        </w:rPr>
        <w:t>IDOS POR</w:t>
      </w:r>
      <w:bookmarkStart w:id="0" w:name="_GoBack"/>
      <w:bookmarkEnd w:id="0"/>
      <w:r w:rsidR="008D5D7D">
        <w:rPr>
          <w:rFonts w:ascii="Arial" w:hAnsi="Arial" w:cs="Arial"/>
          <w:b/>
          <w:bCs/>
          <w:iCs/>
          <w:sz w:val="20"/>
          <w:lang w:val="es-CO" w:eastAsia="fr-FR"/>
        </w:rPr>
        <w:t xml:space="preserve"> LA NORMA ANTERIOR SE HAYAN CUMPLIDO BAJO SU VIGENCIA.</w:t>
      </w:r>
    </w:p>
    <w:p w:rsidR="00EC5871" w:rsidRDefault="00EC5871" w:rsidP="00EC5871">
      <w:pPr>
        <w:jc w:val="both"/>
        <w:rPr>
          <w:rFonts w:ascii="Arial" w:hAnsi="Arial" w:cs="Arial"/>
          <w:sz w:val="20"/>
          <w:lang w:val="es-419"/>
        </w:rPr>
      </w:pPr>
    </w:p>
    <w:p w:rsidR="00D573C3" w:rsidRPr="00D573C3" w:rsidRDefault="00D573C3" w:rsidP="00D573C3">
      <w:pPr>
        <w:jc w:val="both"/>
        <w:rPr>
          <w:rFonts w:ascii="Arial" w:hAnsi="Arial" w:cs="Arial"/>
          <w:sz w:val="20"/>
          <w:lang w:val="es-419"/>
        </w:rPr>
      </w:pPr>
      <w:r w:rsidRPr="00D573C3">
        <w:rPr>
          <w:rFonts w:ascii="Arial" w:hAnsi="Arial" w:cs="Arial"/>
          <w:sz w:val="20"/>
          <w:lang w:val="es-419"/>
        </w:rPr>
        <w:t>Como regla general, se tiene que la pensión de sobrevivientes se rige por la normatividad vigente al momento del deceso del afiliado o pensionado. Sin embargo, tal regla, no es irrompible, sino que en ciertos casos, es perfectamente posible que, cuando bajo un régimen legal anterior se logró cumplir con la densidad de cotizaciones exigidas en ese cuerpo legal, el cambio normativo no puede afectar tal expectativa razonable, así el riesgo se materialice en vigencia de otra norma. Tal posibilidad se desprende del principio de la condición más beneficiosa, que protege las expectativas legítimas frente a las cuales el legislador, ante un cabio normativo, no estableció otro mecanismo de protección, como un régimen de transición.</w:t>
      </w:r>
    </w:p>
    <w:p w:rsidR="00D573C3" w:rsidRPr="00D573C3" w:rsidRDefault="00D573C3" w:rsidP="00D573C3">
      <w:pPr>
        <w:jc w:val="both"/>
        <w:rPr>
          <w:rFonts w:ascii="Arial" w:hAnsi="Arial" w:cs="Arial"/>
          <w:sz w:val="20"/>
          <w:lang w:val="es-419"/>
        </w:rPr>
      </w:pPr>
    </w:p>
    <w:p w:rsidR="00D573C3" w:rsidRPr="00D573C3" w:rsidRDefault="00D573C3" w:rsidP="00D573C3">
      <w:pPr>
        <w:jc w:val="both"/>
        <w:rPr>
          <w:rFonts w:ascii="Arial" w:hAnsi="Arial" w:cs="Arial"/>
          <w:sz w:val="20"/>
          <w:lang w:val="es-419"/>
        </w:rPr>
      </w:pPr>
      <w:r w:rsidRPr="00D573C3">
        <w:rPr>
          <w:rFonts w:ascii="Arial" w:hAnsi="Arial" w:cs="Arial"/>
          <w:sz w:val="20"/>
          <w:lang w:val="es-419"/>
        </w:rPr>
        <w:t>Sin embargo, la aplicación del aludido principio no proviene de la mera transición legal, sino que es necesario y forzoso para poderse invocar su aplicación, que en vigencia de la normatividad derogada, se hubiere cumplido con todas las exigencias de cotizaciones que la misma exigía, pues de lo contrario, ninguna expectativa legitima se estaría protegiendo y, simplemente, se estaría aplicando ultra activamente una norma sin vigencia, desconociéndose con ello el principio de retrospectividad de la ley laboral y de seguridad social, contenido en el canon 16 del CL, en virtud del cual, una nueva norma produce efecto general inmediato, sin tener efectos retroactivos, empero, los alcances de la nueva ley cubren situaciones no consolidadas o definidas por la norma anterior.</w:t>
      </w:r>
    </w:p>
    <w:p w:rsidR="00D573C3" w:rsidRPr="00D573C3" w:rsidRDefault="00D573C3" w:rsidP="00D573C3">
      <w:pPr>
        <w:jc w:val="both"/>
        <w:rPr>
          <w:rFonts w:ascii="Arial" w:hAnsi="Arial" w:cs="Arial"/>
          <w:sz w:val="20"/>
          <w:lang w:val="es-419"/>
        </w:rPr>
      </w:pPr>
    </w:p>
    <w:p w:rsidR="00D573C3" w:rsidRDefault="00D573C3" w:rsidP="00D573C3">
      <w:pPr>
        <w:jc w:val="both"/>
        <w:rPr>
          <w:rFonts w:ascii="Arial" w:hAnsi="Arial" w:cs="Arial"/>
          <w:sz w:val="20"/>
          <w:lang w:val="es-419"/>
        </w:rPr>
      </w:pPr>
      <w:r w:rsidRPr="00D573C3">
        <w:rPr>
          <w:rFonts w:ascii="Arial" w:hAnsi="Arial" w:cs="Arial"/>
          <w:sz w:val="20"/>
          <w:lang w:val="es-419"/>
        </w:rPr>
        <w:t>Lo anterior, implica que no es posible la aplicación de cualquier régimen anterior, sino solamente aquel bajo el cual se reunió la densidad de cotizaciones necesarias para que se consolidara el derecho, al amparo de la nueva norma.</w:t>
      </w:r>
    </w:p>
    <w:p w:rsidR="00D573C3" w:rsidRDefault="00D573C3" w:rsidP="00EC5871">
      <w:pPr>
        <w:jc w:val="both"/>
        <w:rPr>
          <w:rFonts w:ascii="Arial" w:hAnsi="Arial" w:cs="Arial"/>
          <w:sz w:val="20"/>
          <w:lang w:val="es-419"/>
        </w:rPr>
      </w:pPr>
    </w:p>
    <w:p w:rsidR="00EC5871" w:rsidRPr="00EC5871" w:rsidRDefault="00EC5871" w:rsidP="00EC5871">
      <w:pPr>
        <w:jc w:val="both"/>
        <w:rPr>
          <w:rFonts w:ascii="Arial" w:hAnsi="Arial" w:cs="Arial"/>
          <w:sz w:val="20"/>
          <w:lang w:val="es-419"/>
        </w:rPr>
      </w:pPr>
    </w:p>
    <w:p w:rsidR="00EC5871" w:rsidRPr="00EC5871" w:rsidRDefault="00EC5871" w:rsidP="00EC5871">
      <w:pPr>
        <w:jc w:val="both"/>
        <w:rPr>
          <w:rFonts w:ascii="Arial" w:hAnsi="Arial" w:cs="Arial"/>
          <w:sz w:val="20"/>
          <w:lang w:val="es-ES"/>
        </w:rPr>
      </w:pPr>
    </w:p>
    <w:p w:rsidR="00EC5871" w:rsidRPr="003071B6" w:rsidRDefault="00EC5871" w:rsidP="008D5D7D">
      <w:pPr>
        <w:spacing w:line="276"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EC5871" w:rsidRPr="003071B6" w:rsidRDefault="00EC5871" w:rsidP="008D5D7D">
      <w:pPr>
        <w:tabs>
          <w:tab w:val="left" w:pos="3060"/>
        </w:tabs>
        <w:spacing w:line="276"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6" o:title=""/>
          </v:shape>
          <o:OLEObject Type="Embed" ProgID="Word.Picture.8" ShapeID="_x0000_i1025" DrawAspect="Content" ObjectID="_1627385884" r:id="rId7"/>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EC5871" w:rsidRPr="003071B6" w:rsidRDefault="00EC5871" w:rsidP="008D5D7D">
      <w:pPr>
        <w:keepNext/>
        <w:tabs>
          <w:tab w:val="left" w:pos="8647"/>
        </w:tabs>
        <w:spacing w:line="276" w:lineRule="auto"/>
        <w:jc w:val="center"/>
        <w:outlineLvl w:val="0"/>
        <w:rPr>
          <w:rFonts w:ascii="Arial Narrow" w:hAnsi="Arial Narrow"/>
          <w:b/>
          <w:sz w:val="26"/>
          <w:szCs w:val="26"/>
          <w:lang w:val="es-CO"/>
        </w:rPr>
      </w:pPr>
      <w:r w:rsidRPr="003071B6">
        <w:rPr>
          <w:rFonts w:ascii="Arial Narrow" w:hAnsi="Arial Narrow"/>
          <w:b/>
          <w:sz w:val="26"/>
          <w:szCs w:val="26"/>
          <w:lang w:val="es-CO"/>
        </w:rPr>
        <w:t>SALA CUARTA DE DECISIÓN LABORAL</w:t>
      </w:r>
    </w:p>
    <w:p w:rsidR="00EC5871" w:rsidRPr="003071B6" w:rsidRDefault="00EC5871" w:rsidP="008D5D7D">
      <w:pPr>
        <w:spacing w:line="276" w:lineRule="auto"/>
        <w:rPr>
          <w:rFonts w:ascii="Arial Narrow" w:hAnsi="Arial Narrow"/>
          <w:b/>
          <w:sz w:val="26"/>
          <w:szCs w:val="26"/>
        </w:rPr>
      </w:pPr>
    </w:p>
    <w:p w:rsidR="00EC5871" w:rsidRPr="003071B6" w:rsidRDefault="00EC5871" w:rsidP="008D5D7D">
      <w:pPr>
        <w:spacing w:line="276"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EC5871" w:rsidRPr="00541E32" w:rsidRDefault="00EC5871" w:rsidP="008D5D7D">
      <w:pPr>
        <w:pStyle w:val="Sinespaciado"/>
        <w:spacing w:line="276" w:lineRule="auto"/>
        <w:rPr>
          <w:rFonts w:ascii="Arial Narrow" w:hAnsi="Arial Narrow" w:cs="Arial"/>
          <w:sz w:val="26"/>
          <w:szCs w:val="26"/>
        </w:rPr>
      </w:pPr>
    </w:p>
    <w:p w:rsidR="00F948C3" w:rsidRPr="00EC5871" w:rsidRDefault="003C2555" w:rsidP="008D5D7D">
      <w:pPr>
        <w:spacing w:line="276" w:lineRule="auto"/>
        <w:ind w:firstLine="851"/>
        <w:jc w:val="both"/>
        <w:rPr>
          <w:rFonts w:ascii="Arial Narrow" w:hAnsi="Arial Narrow" w:cs="Tahoma"/>
          <w:b/>
          <w:bCs/>
          <w:color w:val="000000"/>
          <w:sz w:val="26"/>
          <w:szCs w:val="26"/>
          <w:lang w:eastAsia="es-CO"/>
        </w:rPr>
      </w:pPr>
      <w:r w:rsidRPr="00EC5871">
        <w:rPr>
          <w:rFonts w:ascii="Arial Narrow" w:eastAsia="Calibri" w:hAnsi="Arial Narrow" w:cs="Arial"/>
          <w:sz w:val="26"/>
          <w:szCs w:val="26"/>
          <w:lang w:val="es-CO" w:eastAsia="en-US"/>
        </w:rPr>
        <w:t xml:space="preserve">En Pereira, hoy cuatro (4) de julio de dos mil diecinueve (2019), siendo las nueve de la mañana (09:00 a.m.), </w:t>
      </w:r>
      <w:r w:rsidRPr="00EC5871">
        <w:rPr>
          <w:rFonts w:ascii="Arial Narrow" w:hAnsi="Arial Narrow" w:cs="Tahoma"/>
          <w:bCs/>
          <w:color w:val="000000"/>
          <w:sz w:val="26"/>
          <w:szCs w:val="26"/>
          <w:lang w:eastAsia="es-CO"/>
        </w:rPr>
        <w:t>reunidos en la Sala de Audiencia los magistrados de la Sala Cuarta de Decisión Laboral del Tribunal Superior de Pereira, el ponente declara abierto el acto, que tiene por objeto resolver el grado jurisdiccional de consulta frente a la sentencia dictada el 1</w:t>
      </w:r>
      <w:r w:rsidR="00F948C3" w:rsidRPr="00EC5871">
        <w:rPr>
          <w:rFonts w:ascii="Arial Narrow" w:hAnsi="Arial Narrow" w:cs="Tahoma"/>
          <w:bCs/>
          <w:color w:val="000000"/>
          <w:sz w:val="26"/>
          <w:szCs w:val="26"/>
          <w:lang w:eastAsia="es-CO"/>
        </w:rPr>
        <w:t xml:space="preserve">6 de octubre de 2018 </w:t>
      </w:r>
      <w:r w:rsidRPr="00EC5871">
        <w:rPr>
          <w:rFonts w:ascii="Arial Narrow" w:hAnsi="Arial Narrow" w:cs="Tahoma"/>
          <w:bCs/>
          <w:color w:val="000000"/>
          <w:sz w:val="26"/>
          <w:szCs w:val="26"/>
          <w:lang w:eastAsia="es-CO"/>
        </w:rPr>
        <w:t xml:space="preserve">por el Juzgado Cuarto Laboral del Circuito de esta ciudad, dentro del proceso Ordinario Laboral que promueve </w:t>
      </w:r>
      <w:r w:rsidR="00F948C3" w:rsidRPr="00EC5871">
        <w:rPr>
          <w:rFonts w:ascii="Arial Narrow" w:hAnsi="Arial Narrow" w:cs="Tahoma"/>
          <w:b/>
          <w:bCs/>
          <w:color w:val="000000"/>
          <w:sz w:val="26"/>
          <w:szCs w:val="26"/>
          <w:lang w:eastAsia="es-CO"/>
        </w:rPr>
        <w:t xml:space="preserve">Carolina Osorio Herrera </w:t>
      </w:r>
      <w:r w:rsidR="00F948C3" w:rsidRPr="00EC5871">
        <w:rPr>
          <w:rFonts w:ascii="Arial Narrow" w:hAnsi="Arial Narrow" w:cs="Tahoma"/>
          <w:bCs/>
          <w:color w:val="000000"/>
          <w:sz w:val="26"/>
          <w:szCs w:val="26"/>
          <w:lang w:eastAsia="es-CO"/>
        </w:rPr>
        <w:t>en representación de su hijo menor</w:t>
      </w:r>
      <w:r w:rsidR="00F948C3" w:rsidRPr="00EC5871">
        <w:rPr>
          <w:rFonts w:ascii="Arial Narrow" w:hAnsi="Arial Narrow" w:cs="Tahoma"/>
          <w:b/>
          <w:bCs/>
          <w:color w:val="000000"/>
          <w:sz w:val="26"/>
          <w:szCs w:val="26"/>
          <w:lang w:eastAsia="es-CO"/>
        </w:rPr>
        <w:t xml:space="preserve"> Juan José Gómez Osorio</w:t>
      </w:r>
      <w:r w:rsidR="00F948C3" w:rsidRPr="00EC5871">
        <w:rPr>
          <w:rFonts w:ascii="Arial Narrow" w:hAnsi="Arial Narrow" w:cs="Tahoma"/>
          <w:b/>
          <w:bCs/>
          <w:i/>
          <w:color w:val="000000"/>
          <w:sz w:val="26"/>
          <w:szCs w:val="26"/>
          <w:lang w:eastAsia="es-CO"/>
        </w:rPr>
        <w:t xml:space="preserve"> </w:t>
      </w:r>
      <w:r w:rsidRPr="00EC5871">
        <w:rPr>
          <w:rFonts w:ascii="Arial Narrow" w:hAnsi="Arial Narrow" w:cs="Tahoma"/>
          <w:bCs/>
          <w:color w:val="000000"/>
          <w:sz w:val="26"/>
          <w:szCs w:val="26"/>
          <w:lang w:eastAsia="es-CO"/>
        </w:rPr>
        <w:t xml:space="preserve">contra la </w:t>
      </w:r>
      <w:r w:rsidRPr="00EC5871">
        <w:rPr>
          <w:rFonts w:ascii="Arial Narrow" w:hAnsi="Arial Narrow" w:cs="Tahoma"/>
          <w:b/>
          <w:bCs/>
          <w:i/>
          <w:color w:val="000000"/>
          <w:sz w:val="26"/>
          <w:szCs w:val="26"/>
          <w:lang w:eastAsia="es-CO"/>
        </w:rPr>
        <w:t>AFP P</w:t>
      </w:r>
      <w:r w:rsidR="00F948C3" w:rsidRPr="00EC5871">
        <w:rPr>
          <w:rFonts w:ascii="Arial Narrow" w:hAnsi="Arial Narrow" w:cs="Tahoma"/>
          <w:b/>
          <w:bCs/>
          <w:i/>
          <w:color w:val="000000"/>
          <w:sz w:val="26"/>
          <w:szCs w:val="26"/>
          <w:lang w:eastAsia="es-CO"/>
        </w:rPr>
        <w:t xml:space="preserve">rotección </w:t>
      </w:r>
      <w:r w:rsidRPr="00EC5871">
        <w:rPr>
          <w:rFonts w:ascii="Arial Narrow" w:hAnsi="Arial Narrow" w:cs="Tahoma"/>
          <w:b/>
          <w:bCs/>
          <w:i/>
          <w:color w:val="000000"/>
          <w:sz w:val="26"/>
          <w:szCs w:val="26"/>
          <w:lang w:eastAsia="es-CO"/>
        </w:rPr>
        <w:t xml:space="preserve">S.A. </w:t>
      </w:r>
      <w:r w:rsidR="00F948C3" w:rsidRPr="00EC5871">
        <w:rPr>
          <w:rFonts w:ascii="Arial Narrow" w:hAnsi="Arial Narrow" w:cs="Tahoma"/>
          <w:b/>
          <w:bCs/>
          <w:i/>
          <w:color w:val="000000"/>
          <w:sz w:val="26"/>
          <w:szCs w:val="26"/>
          <w:lang w:eastAsia="es-CO"/>
        </w:rPr>
        <w:t xml:space="preserve">, </w:t>
      </w:r>
      <w:r w:rsidR="00F948C3" w:rsidRPr="00EC5871">
        <w:rPr>
          <w:rFonts w:ascii="Arial Narrow" w:hAnsi="Arial Narrow" w:cs="Tahoma"/>
          <w:bCs/>
          <w:color w:val="000000"/>
          <w:sz w:val="26"/>
          <w:szCs w:val="26"/>
          <w:lang w:eastAsia="es-CO"/>
        </w:rPr>
        <w:t>quien llamó en garantía a</w:t>
      </w:r>
      <w:r w:rsidR="00F948C3" w:rsidRPr="00EC5871">
        <w:rPr>
          <w:rFonts w:ascii="Arial Narrow" w:hAnsi="Arial Narrow" w:cs="Tahoma"/>
          <w:b/>
          <w:bCs/>
          <w:i/>
          <w:color w:val="000000"/>
          <w:sz w:val="26"/>
          <w:szCs w:val="26"/>
          <w:lang w:eastAsia="es-CO"/>
        </w:rPr>
        <w:t xml:space="preserve"> </w:t>
      </w:r>
      <w:r w:rsidR="00F948C3" w:rsidRPr="00EC5871">
        <w:rPr>
          <w:rFonts w:ascii="Arial Narrow" w:hAnsi="Arial Narrow" w:cs="Tahoma"/>
          <w:b/>
          <w:bCs/>
          <w:color w:val="000000"/>
          <w:sz w:val="26"/>
          <w:szCs w:val="26"/>
          <w:lang w:eastAsia="es-CO"/>
        </w:rPr>
        <w:t xml:space="preserve">Seguros Bolívar S.A. </w:t>
      </w:r>
    </w:p>
    <w:p w:rsidR="003C2555" w:rsidRPr="00EC5871" w:rsidRDefault="003C2555" w:rsidP="008D5D7D">
      <w:pPr>
        <w:pStyle w:val="Sinespaciado"/>
        <w:spacing w:line="276" w:lineRule="auto"/>
        <w:rPr>
          <w:rFonts w:ascii="Arial Narrow" w:hAnsi="Arial Narrow"/>
          <w:sz w:val="26"/>
          <w:szCs w:val="26"/>
        </w:rPr>
      </w:pPr>
      <w:r w:rsidRPr="00EC5871">
        <w:rPr>
          <w:rFonts w:ascii="Arial Narrow" w:hAnsi="Arial Narrow"/>
          <w:sz w:val="26"/>
          <w:szCs w:val="26"/>
        </w:rPr>
        <w:t xml:space="preserve"> </w:t>
      </w:r>
    </w:p>
    <w:p w:rsidR="003C2555" w:rsidRPr="00EC5871" w:rsidRDefault="003C2555" w:rsidP="008D5D7D">
      <w:pPr>
        <w:shd w:val="clear" w:color="auto" w:fill="FFFFFF"/>
        <w:spacing w:line="276" w:lineRule="auto"/>
        <w:ind w:firstLine="708"/>
        <w:jc w:val="both"/>
        <w:rPr>
          <w:rFonts w:ascii="Arial Narrow" w:hAnsi="Arial Narrow" w:cs="Tahoma"/>
          <w:b/>
          <w:bCs/>
          <w:color w:val="000000"/>
          <w:sz w:val="26"/>
          <w:szCs w:val="26"/>
          <w:lang w:eastAsia="es-CO"/>
        </w:rPr>
      </w:pPr>
      <w:r w:rsidRPr="00EC5871">
        <w:rPr>
          <w:rFonts w:ascii="Arial Narrow" w:hAnsi="Arial Narrow" w:cs="Tahoma"/>
          <w:b/>
          <w:bCs/>
          <w:color w:val="000000"/>
          <w:sz w:val="26"/>
          <w:szCs w:val="26"/>
          <w:lang w:eastAsia="es-CO"/>
        </w:rPr>
        <w:t>IDENTIFICACIÓN DE LOS PRESENTES:</w:t>
      </w:r>
    </w:p>
    <w:p w:rsidR="00A82D90" w:rsidRPr="00EC5871" w:rsidRDefault="00A82D90" w:rsidP="008D5D7D">
      <w:pPr>
        <w:pStyle w:val="Sinespaciado"/>
        <w:spacing w:line="276" w:lineRule="auto"/>
        <w:rPr>
          <w:rFonts w:ascii="Arial Narrow" w:hAnsi="Arial Narrow"/>
          <w:sz w:val="26"/>
          <w:szCs w:val="26"/>
        </w:rPr>
      </w:pPr>
    </w:p>
    <w:p w:rsidR="003C2555" w:rsidRPr="00EC5871" w:rsidRDefault="003C2555" w:rsidP="008D5D7D">
      <w:pPr>
        <w:spacing w:line="276" w:lineRule="auto"/>
        <w:ind w:firstLine="851"/>
        <w:rPr>
          <w:rFonts w:ascii="Arial Narrow" w:hAnsi="Arial Narrow" w:cs="Tahoma"/>
          <w:b/>
          <w:i/>
          <w:sz w:val="26"/>
          <w:szCs w:val="26"/>
        </w:rPr>
      </w:pPr>
      <w:r w:rsidRPr="00EC5871">
        <w:rPr>
          <w:rFonts w:ascii="Arial Narrow" w:hAnsi="Arial Narrow" w:cs="Tahoma"/>
          <w:b/>
          <w:i/>
          <w:sz w:val="26"/>
          <w:szCs w:val="26"/>
        </w:rPr>
        <w:t>ANTECEDENTES</w:t>
      </w:r>
    </w:p>
    <w:p w:rsidR="003C2555" w:rsidRPr="00EC5871" w:rsidRDefault="003C2555" w:rsidP="008D5D7D">
      <w:pPr>
        <w:pStyle w:val="Sinespaciado"/>
        <w:spacing w:line="276" w:lineRule="auto"/>
        <w:rPr>
          <w:rFonts w:ascii="Arial Narrow" w:hAnsi="Arial Narrow"/>
          <w:sz w:val="26"/>
          <w:szCs w:val="26"/>
        </w:rPr>
      </w:pPr>
    </w:p>
    <w:p w:rsidR="00F948C3" w:rsidRPr="00EC5871" w:rsidRDefault="00F948C3" w:rsidP="008D5D7D">
      <w:pPr>
        <w:spacing w:line="276" w:lineRule="auto"/>
        <w:ind w:firstLine="708"/>
        <w:jc w:val="both"/>
        <w:rPr>
          <w:rFonts w:ascii="Arial Narrow" w:eastAsia="Calibri" w:hAnsi="Arial Narrow" w:cs="Arial"/>
          <w:sz w:val="26"/>
          <w:szCs w:val="26"/>
          <w:lang w:val="es-CO" w:eastAsia="en-US"/>
        </w:rPr>
      </w:pPr>
      <w:r w:rsidRPr="00EC5871">
        <w:rPr>
          <w:rFonts w:ascii="Arial Narrow" w:hAnsi="Arial Narrow" w:cs="Tahoma"/>
          <w:sz w:val="26"/>
          <w:szCs w:val="26"/>
        </w:rPr>
        <w:t xml:space="preserve">Pretende la parte actora que se declare </w:t>
      </w:r>
      <w:r w:rsidRPr="00EC5871">
        <w:rPr>
          <w:rFonts w:ascii="Arial Narrow" w:eastAsia="Calibri" w:hAnsi="Arial Narrow" w:cs="Arial"/>
          <w:sz w:val="26"/>
          <w:szCs w:val="26"/>
          <w:lang w:val="es-CO" w:eastAsia="en-US"/>
        </w:rPr>
        <w:t xml:space="preserve">que el señor Leonardo Fabio Gómez Arredondo dejó causado el derecho a la pensión de sobrevivientes, y con base en ello, aspira a que se condene a la AFP Protección S.A. a reconocer y pagar a favor del menor Juan José Gómez Osorio la prestación económica en cuantía equivalente al </w:t>
      </w:r>
      <w:proofErr w:type="spellStart"/>
      <w:r w:rsidRPr="00EC5871">
        <w:rPr>
          <w:rFonts w:ascii="Arial Narrow" w:eastAsia="Calibri" w:hAnsi="Arial Narrow" w:cs="Arial"/>
          <w:sz w:val="26"/>
          <w:szCs w:val="26"/>
          <w:lang w:val="es-CO" w:eastAsia="en-US"/>
        </w:rPr>
        <w:t>SMLMV</w:t>
      </w:r>
      <w:proofErr w:type="spellEnd"/>
      <w:r w:rsidRPr="00EC5871">
        <w:rPr>
          <w:rFonts w:ascii="Arial Narrow" w:eastAsia="Calibri" w:hAnsi="Arial Narrow" w:cs="Arial"/>
          <w:sz w:val="26"/>
          <w:szCs w:val="26"/>
          <w:lang w:val="es-CO" w:eastAsia="en-US"/>
        </w:rPr>
        <w:t>, junto con los intereses moratorios del artículo 141 de la Ley 100 de 1993, o en subsidio la indexación de las condenas, más las costas procesales a su favor.</w:t>
      </w:r>
    </w:p>
    <w:p w:rsidR="003C2555" w:rsidRPr="00EC5871" w:rsidRDefault="003C2555" w:rsidP="008D5D7D">
      <w:pPr>
        <w:pStyle w:val="Sinespaciado"/>
        <w:spacing w:line="276" w:lineRule="auto"/>
        <w:rPr>
          <w:rFonts w:ascii="Arial Narrow" w:hAnsi="Arial Narrow"/>
          <w:sz w:val="26"/>
          <w:szCs w:val="26"/>
        </w:rPr>
      </w:pPr>
    </w:p>
    <w:p w:rsidR="00F948C3" w:rsidRPr="00EC5871" w:rsidRDefault="00F948C3" w:rsidP="008D5D7D">
      <w:pPr>
        <w:spacing w:line="276" w:lineRule="auto"/>
        <w:ind w:firstLine="708"/>
        <w:jc w:val="both"/>
        <w:rPr>
          <w:rFonts w:ascii="Arial Narrow" w:eastAsia="Calibri" w:hAnsi="Arial Narrow" w:cs="Arial"/>
          <w:sz w:val="26"/>
          <w:szCs w:val="26"/>
          <w:lang w:val="es-CO" w:eastAsia="en-US"/>
        </w:rPr>
      </w:pPr>
      <w:r w:rsidRPr="00EC5871">
        <w:rPr>
          <w:rFonts w:ascii="Arial Narrow" w:hAnsi="Arial Narrow" w:cs="Tahoma"/>
          <w:sz w:val="26"/>
          <w:szCs w:val="26"/>
        </w:rPr>
        <w:t xml:space="preserve">Como fundamento a esos pedimentos, se expone en la demanda que la señora Carolina Osorio Herrera sostuvo una relación sentimental </w:t>
      </w:r>
      <w:r w:rsidR="0023014D" w:rsidRPr="00EC5871">
        <w:rPr>
          <w:rFonts w:ascii="Arial Narrow" w:hAnsi="Arial Narrow" w:cs="Tahoma"/>
          <w:sz w:val="26"/>
          <w:szCs w:val="26"/>
        </w:rPr>
        <w:t xml:space="preserve">sin convivencia </w:t>
      </w:r>
      <w:r w:rsidRPr="00EC5871">
        <w:rPr>
          <w:rFonts w:ascii="Arial Narrow" w:hAnsi="Arial Narrow" w:cs="Tahoma"/>
          <w:sz w:val="26"/>
          <w:szCs w:val="26"/>
        </w:rPr>
        <w:t xml:space="preserve">con el señor </w:t>
      </w:r>
      <w:r w:rsidRPr="00EC5871">
        <w:rPr>
          <w:rFonts w:ascii="Arial Narrow" w:eastAsia="Calibri" w:hAnsi="Arial Narrow" w:cs="Arial"/>
          <w:sz w:val="26"/>
          <w:szCs w:val="26"/>
          <w:lang w:val="es-CO" w:eastAsia="en-US"/>
        </w:rPr>
        <w:t>Leonardo Fabio Gómez Arredondo, quien falleció el 19 de julio de 2010</w:t>
      </w:r>
      <w:r w:rsidR="0023014D" w:rsidRPr="00EC5871">
        <w:rPr>
          <w:rFonts w:ascii="Arial Narrow" w:eastAsia="Calibri" w:hAnsi="Arial Narrow" w:cs="Arial"/>
          <w:sz w:val="26"/>
          <w:szCs w:val="26"/>
          <w:lang w:val="es-CO" w:eastAsia="en-US"/>
        </w:rPr>
        <w:t xml:space="preserve"> por actos violentos; que la pareja procreó a </w:t>
      </w:r>
      <w:r w:rsidRPr="00EC5871">
        <w:rPr>
          <w:rFonts w:ascii="Arial Narrow" w:eastAsia="Calibri" w:hAnsi="Arial Narrow" w:cs="Arial"/>
          <w:sz w:val="26"/>
          <w:szCs w:val="26"/>
          <w:lang w:val="es-CO" w:eastAsia="en-US"/>
        </w:rPr>
        <w:t xml:space="preserve">Juan José Gómez Osorio, quien al momento del deceso de su padre tenía 6 años de edad; </w:t>
      </w:r>
      <w:r w:rsidR="0023014D" w:rsidRPr="00EC5871">
        <w:rPr>
          <w:rFonts w:ascii="Arial Narrow" w:eastAsia="Calibri" w:hAnsi="Arial Narrow" w:cs="Arial"/>
          <w:sz w:val="26"/>
          <w:szCs w:val="26"/>
          <w:lang w:val="es-CO" w:eastAsia="en-US"/>
        </w:rPr>
        <w:t xml:space="preserve">que el </w:t>
      </w:r>
      <w:r w:rsidRPr="00EC5871">
        <w:rPr>
          <w:rFonts w:ascii="Arial Narrow" w:eastAsia="Calibri" w:hAnsi="Arial Narrow" w:cs="Arial"/>
          <w:sz w:val="26"/>
          <w:szCs w:val="26"/>
          <w:lang w:val="es-CO" w:eastAsia="en-US"/>
        </w:rPr>
        <w:t xml:space="preserve">señor Gómez Arredondo se encontraba afiliado a la AFP ING S.A. hoy Protección S.A., </w:t>
      </w:r>
      <w:r w:rsidR="0023014D" w:rsidRPr="00EC5871">
        <w:rPr>
          <w:rFonts w:ascii="Arial Narrow" w:eastAsia="Calibri" w:hAnsi="Arial Narrow" w:cs="Arial"/>
          <w:sz w:val="26"/>
          <w:szCs w:val="26"/>
          <w:lang w:val="es-CO" w:eastAsia="en-US"/>
        </w:rPr>
        <w:t xml:space="preserve">cotizando un total de </w:t>
      </w:r>
      <w:r w:rsidRPr="00EC5871">
        <w:rPr>
          <w:rFonts w:ascii="Arial Narrow" w:eastAsia="Calibri" w:hAnsi="Arial Narrow" w:cs="Arial"/>
          <w:sz w:val="26"/>
          <w:szCs w:val="26"/>
          <w:lang w:val="es-CO" w:eastAsia="en-US"/>
        </w:rPr>
        <w:t>38.14 semanas al sistema general de pensiones</w:t>
      </w:r>
      <w:r w:rsidR="0023014D" w:rsidRPr="00EC5871">
        <w:rPr>
          <w:rFonts w:ascii="Arial Narrow" w:eastAsia="Calibri" w:hAnsi="Arial Narrow" w:cs="Arial"/>
          <w:sz w:val="26"/>
          <w:szCs w:val="26"/>
          <w:lang w:val="es-CO" w:eastAsia="en-US"/>
        </w:rPr>
        <w:t xml:space="preserve"> dentro de los tres años anteriores al deceso; que la madre del menor elevó la respectiva reclamación administrativa ante la entidad de seguridad demandada, empero que, está la negó </w:t>
      </w:r>
      <w:r w:rsidRPr="00EC5871">
        <w:rPr>
          <w:rFonts w:ascii="Arial Narrow" w:eastAsia="Calibri" w:hAnsi="Arial Narrow" w:cs="Arial"/>
          <w:sz w:val="26"/>
          <w:szCs w:val="26"/>
          <w:lang w:val="es-CO" w:eastAsia="en-US"/>
        </w:rPr>
        <w:t xml:space="preserve">por medio de oficio Nº 16535 de 31 de diciembre de 2010, </w:t>
      </w:r>
      <w:r w:rsidR="0023014D" w:rsidRPr="00EC5871">
        <w:rPr>
          <w:rFonts w:ascii="Arial Narrow" w:eastAsia="Calibri" w:hAnsi="Arial Narrow" w:cs="Arial"/>
          <w:sz w:val="26"/>
          <w:szCs w:val="26"/>
          <w:lang w:val="es-CO" w:eastAsia="en-US"/>
        </w:rPr>
        <w:t xml:space="preserve">por no acreditar la densidad de semanas exigidas en la Ley 797 de 2003, reconociendo en su defecto la </w:t>
      </w:r>
      <w:r w:rsidRPr="00EC5871">
        <w:rPr>
          <w:rFonts w:ascii="Arial Narrow" w:eastAsia="Calibri" w:hAnsi="Arial Narrow" w:cs="Arial"/>
          <w:sz w:val="26"/>
          <w:szCs w:val="26"/>
          <w:lang w:val="es-CO" w:eastAsia="en-US"/>
        </w:rPr>
        <w:t xml:space="preserve">devolución de saldos </w:t>
      </w:r>
      <w:r w:rsidR="0023014D" w:rsidRPr="00EC5871">
        <w:rPr>
          <w:rFonts w:ascii="Arial Narrow" w:eastAsia="Calibri" w:hAnsi="Arial Narrow" w:cs="Arial"/>
          <w:sz w:val="26"/>
          <w:szCs w:val="26"/>
          <w:lang w:val="es-CO" w:eastAsia="en-US"/>
        </w:rPr>
        <w:t>por valor de $800</w:t>
      </w:r>
      <w:r w:rsidRPr="00EC5871">
        <w:rPr>
          <w:rFonts w:ascii="Arial Narrow" w:eastAsia="Calibri" w:hAnsi="Arial Narrow" w:cs="Arial"/>
          <w:sz w:val="26"/>
          <w:szCs w:val="26"/>
          <w:lang w:val="es-CO" w:eastAsia="en-US"/>
        </w:rPr>
        <w:t xml:space="preserve">.000; </w:t>
      </w:r>
      <w:r w:rsidR="0023014D" w:rsidRPr="00EC5871">
        <w:rPr>
          <w:rFonts w:ascii="Arial Narrow" w:eastAsia="Calibri" w:hAnsi="Arial Narrow" w:cs="Arial"/>
          <w:sz w:val="26"/>
          <w:szCs w:val="26"/>
          <w:lang w:val="es-CO" w:eastAsia="en-US"/>
        </w:rPr>
        <w:t xml:space="preserve">se aduce que </w:t>
      </w:r>
      <w:r w:rsidRPr="00EC5871">
        <w:rPr>
          <w:rFonts w:ascii="Arial Narrow" w:eastAsia="Calibri" w:hAnsi="Arial Narrow" w:cs="Arial"/>
          <w:sz w:val="26"/>
          <w:szCs w:val="26"/>
          <w:lang w:val="es-CO" w:eastAsia="en-US"/>
        </w:rPr>
        <w:t>no obstante lo anterior, la entidad accionada</w:t>
      </w:r>
      <w:r w:rsidR="0023014D" w:rsidRPr="00EC5871">
        <w:rPr>
          <w:rFonts w:ascii="Arial Narrow" w:eastAsia="Calibri" w:hAnsi="Arial Narrow" w:cs="Arial"/>
          <w:sz w:val="26"/>
          <w:szCs w:val="26"/>
          <w:lang w:val="es-CO" w:eastAsia="en-US"/>
        </w:rPr>
        <w:t xml:space="preserve"> omitió realizar el análisis con base en el </w:t>
      </w:r>
      <w:r w:rsidRPr="00EC5871">
        <w:rPr>
          <w:rFonts w:ascii="Arial Narrow" w:eastAsia="Calibri" w:hAnsi="Arial Narrow" w:cs="Arial"/>
          <w:sz w:val="26"/>
          <w:szCs w:val="26"/>
          <w:lang w:val="es-CO" w:eastAsia="en-US"/>
        </w:rPr>
        <w:t xml:space="preserve">principio de la condición más beneficiosa, </w:t>
      </w:r>
      <w:r w:rsidR="0023014D" w:rsidRPr="00EC5871">
        <w:rPr>
          <w:rFonts w:ascii="Arial Narrow" w:eastAsia="Calibri" w:hAnsi="Arial Narrow" w:cs="Arial"/>
          <w:sz w:val="26"/>
          <w:szCs w:val="26"/>
          <w:lang w:val="es-CO" w:eastAsia="en-US"/>
        </w:rPr>
        <w:t xml:space="preserve">aplicando </w:t>
      </w:r>
      <w:r w:rsidRPr="00EC5871">
        <w:rPr>
          <w:rFonts w:ascii="Arial Narrow" w:eastAsia="Calibri" w:hAnsi="Arial Narrow" w:cs="Arial"/>
          <w:sz w:val="26"/>
          <w:szCs w:val="26"/>
          <w:lang w:val="es-CO" w:eastAsia="en-US"/>
        </w:rPr>
        <w:t>los presupuesto</w:t>
      </w:r>
      <w:r w:rsidR="0023014D" w:rsidRPr="00EC5871">
        <w:rPr>
          <w:rFonts w:ascii="Arial Narrow" w:eastAsia="Calibri" w:hAnsi="Arial Narrow" w:cs="Arial"/>
          <w:sz w:val="26"/>
          <w:szCs w:val="26"/>
          <w:lang w:val="es-CO" w:eastAsia="en-US"/>
        </w:rPr>
        <w:t xml:space="preserve">s del artículo 46 de la Ley 100/93 </w:t>
      </w:r>
      <w:r w:rsidRPr="00EC5871">
        <w:rPr>
          <w:rFonts w:ascii="Arial Narrow" w:eastAsia="Calibri" w:hAnsi="Arial Narrow" w:cs="Arial"/>
          <w:sz w:val="26"/>
          <w:szCs w:val="26"/>
          <w:lang w:val="es-CO" w:eastAsia="en-US"/>
        </w:rPr>
        <w:t>original.</w:t>
      </w:r>
    </w:p>
    <w:p w:rsidR="00F948C3" w:rsidRPr="00EC5871" w:rsidRDefault="00F948C3" w:rsidP="008D5D7D">
      <w:pPr>
        <w:pStyle w:val="Sinespaciado"/>
        <w:spacing w:line="276" w:lineRule="auto"/>
        <w:rPr>
          <w:rFonts w:ascii="Arial Narrow" w:hAnsi="Arial Narrow"/>
          <w:sz w:val="26"/>
          <w:szCs w:val="26"/>
          <w:lang w:val="es-CO"/>
        </w:rPr>
      </w:pPr>
    </w:p>
    <w:p w:rsidR="0023014D" w:rsidRPr="00EC5871" w:rsidRDefault="003C2555" w:rsidP="008D5D7D">
      <w:pPr>
        <w:spacing w:line="276" w:lineRule="auto"/>
        <w:ind w:firstLine="708"/>
        <w:jc w:val="both"/>
        <w:rPr>
          <w:rFonts w:ascii="Arial Narrow" w:eastAsia="Calibri" w:hAnsi="Arial Narrow" w:cs="Arial"/>
          <w:sz w:val="26"/>
          <w:szCs w:val="26"/>
          <w:lang w:val="es-CO" w:eastAsia="en-US"/>
        </w:rPr>
      </w:pPr>
      <w:r w:rsidRPr="00EC5871">
        <w:rPr>
          <w:rFonts w:ascii="Arial Narrow" w:hAnsi="Arial Narrow" w:cs="Tahoma"/>
          <w:sz w:val="26"/>
          <w:szCs w:val="26"/>
        </w:rPr>
        <w:t xml:space="preserve">Admitida la demanda se dio traslado a la entidad demandada, la cual allegó respuesta por medio de portavoz judicial en la que se </w:t>
      </w:r>
      <w:r w:rsidR="0023014D" w:rsidRPr="00EC5871">
        <w:rPr>
          <w:rFonts w:ascii="Arial Narrow" w:hAnsi="Arial Narrow" w:cs="Tahoma"/>
          <w:sz w:val="26"/>
          <w:szCs w:val="26"/>
        </w:rPr>
        <w:t xml:space="preserve">opuso a las pretensiones, al considerar que el afiliado fallecido no dejó causado el derecho en cuestión, por cuanto no acreditó la densidad mínima de semanas exigidas en la norma aplicable. En su defensa, </w:t>
      </w:r>
      <w:r w:rsidRPr="00EC5871">
        <w:rPr>
          <w:rFonts w:ascii="Arial Narrow" w:hAnsi="Arial Narrow" w:cs="Tahoma"/>
          <w:sz w:val="26"/>
          <w:szCs w:val="26"/>
        </w:rPr>
        <w:t>excepcion</w:t>
      </w:r>
      <w:r w:rsidR="0023014D" w:rsidRPr="00EC5871">
        <w:rPr>
          <w:rFonts w:ascii="Arial Narrow" w:hAnsi="Arial Narrow" w:cs="Tahoma"/>
          <w:sz w:val="26"/>
          <w:szCs w:val="26"/>
        </w:rPr>
        <w:t>ó</w:t>
      </w:r>
      <w:r w:rsidRPr="00EC5871">
        <w:rPr>
          <w:rFonts w:ascii="Arial Narrow" w:hAnsi="Arial Narrow" w:cs="Tahoma"/>
          <w:sz w:val="26"/>
          <w:szCs w:val="26"/>
        </w:rPr>
        <w:t xml:space="preserve"> de fondo “</w:t>
      </w:r>
      <w:r w:rsidR="0023014D" w:rsidRPr="00EC5871">
        <w:rPr>
          <w:rFonts w:ascii="Arial Narrow" w:eastAsia="Calibri" w:hAnsi="Arial Narrow" w:cs="Arial"/>
          <w:sz w:val="26"/>
          <w:szCs w:val="26"/>
          <w:lang w:val="es-CO" w:eastAsia="en-US"/>
        </w:rPr>
        <w:t>Prescripción”, “Buena fe”, “Compensación”, “Inexistencia de la obligación y/o cobro de lo no adeudado respecto de la pensión de sobrevivencia”, “Inexistencia de la causa por insuficiente densidad de semanas cotizadas para reconocer la pensión de sobrevivencia”, “Ausencia del derecho sustantivo respecto de la pensión de sobrevivencia”, “Exclusiva responsabilidad del empleador en caso de retiro irregular”, “Responsabilidad penal del empleador en caso de haber existido esta”, “Falta de enunciación en cuanto al origen del riesgo”.</w:t>
      </w:r>
    </w:p>
    <w:p w:rsidR="0023014D" w:rsidRPr="00EC5871" w:rsidRDefault="0023014D" w:rsidP="008D5D7D">
      <w:pPr>
        <w:pStyle w:val="Sinespaciado"/>
        <w:spacing w:line="276" w:lineRule="auto"/>
        <w:rPr>
          <w:rFonts w:ascii="Arial Narrow" w:eastAsia="Calibri" w:hAnsi="Arial Narrow"/>
          <w:sz w:val="26"/>
          <w:szCs w:val="26"/>
          <w:lang w:val="es-CO" w:eastAsia="en-US"/>
        </w:rPr>
      </w:pPr>
    </w:p>
    <w:p w:rsidR="0023014D" w:rsidRPr="00EC5871" w:rsidRDefault="0023014D" w:rsidP="008D5D7D">
      <w:pPr>
        <w:spacing w:line="276" w:lineRule="auto"/>
        <w:ind w:firstLine="708"/>
        <w:jc w:val="both"/>
        <w:rPr>
          <w:rFonts w:ascii="Arial Narrow" w:eastAsia="Calibri" w:hAnsi="Arial Narrow" w:cs="Arial"/>
          <w:sz w:val="26"/>
          <w:szCs w:val="26"/>
          <w:lang w:val="es-CO" w:eastAsia="en-US"/>
        </w:rPr>
      </w:pPr>
      <w:r w:rsidRPr="00EC5871">
        <w:rPr>
          <w:rFonts w:ascii="Arial Narrow" w:eastAsia="Calibri" w:hAnsi="Arial Narrow" w:cs="Arial"/>
          <w:sz w:val="26"/>
          <w:szCs w:val="26"/>
          <w:lang w:val="es-CO" w:eastAsia="en-US"/>
        </w:rPr>
        <w:t>En escrito adjunto, llamó en garantía a la sociedad Seguros Bolívar S.A. en virtud a póliza previsional de seguro colectiva de invalidez y/o sobrevivencia vigente entre el 31 de marzo de 2010 y el 31 de marzo de 2011.</w:t>
      </w:r>
    </w:p>
    <w:p w:rsidR="0023014D" w:rsidRPr="00EC5871" w:rsidRDefault="00A82D90" w:rsidP="008D5D7D">
      <w:pPr>
        <w:pStyle w:val="Sinespaciado"/>
        <w:spacing w:line="276" w:lineRule="auto"/>
        <w:rPr>
          <w:rFonts w:ascii="Arial Narrow" w:eastAsia="Calibri" w:hAnsi="Arial Narrow"/>
          <w:sz w:val="26"/>
          <w:szCs w:val="26"/>
          <w:lang w:val="es-CO" w:eastAsia="en-US"/>
        </w:rPr>
      </w:pPr>
      <w:r w:rsidRPr="00EC5871">
        <w:rPr>
          <w:rFonts w:ascii="Arial Narrow" w:eastAsia="Calibri" w:hAnsi="Arial Narrow"/>
          <w:sz w:val="26"/>
          <w:szCs w:val="26"/>
          <w:lang w:val="es-CO" w:eastAsia="en-US"/>
        </w:rPr>
        <w:tab/>
      </w:r>
    </w:p>
    <w:p w:rsidR="00A82D90" w:rsidRPr="00EC5871" w:rsidRDefault="0023014D" w:rsidP="008D5D7D">
      <w:pPr>
        <w:spacing w:line="276" w:lineRule="auto"/>
        <w:ind w:firstLine="708"/>
        <w:jc w:val="both"/>
        <w:rPr>
          <w:rFonts w:ascii="Arial Narrow" w:eastAsia="Calibri" w:hAnsi="Arial Narrow" w:cs="Arial"/>
          <w:sz w:val="26"/>
          <w:szCs w:val="26"/>
          <w:lang w:val="es-CO" w:eastAsia="en-US"/>
        </w:rPr>
      </w:pPr>
      <w:r w:rsidRPr="00EC5871">
        <w:rPr>
          <w:rFonts w:ascii="Arial Narrow" w:eastAsia="Calibri" w:hAnsi="Arial Narrow" w:cs="Arial"/>
          <w:sz w:val="26"/>
          <w:szCs w:val="26"/>
          <w:lang w:val="es-CO" w:eastAsia="en-US"/>
        </w:rPr>
        <w:t xml:space="preserve">Dicha compañía aseguradora allegó respuesta a través de su apoderada judicial, en la que </w:t>
      </w:r>
      <w:r w:rsidR="00A82D90" w:rsidRPr="00EC5871">
        <w:rPr>
          <w:rFonts w:ascii="Arial Narrow" w:eastAsia="Calibri" w:hAnsi="Arial Narrow" w:cs="Arial"/>
          <w:sz w:val="26"/>
          <w:szCs w:val="26"/>
          <w:lang w:val="es-CO" w:eastAsia="en-US"/>
        </w:rPr>
        <w:t>se opuso a las pretensiones de la demanda y del llamamiento y propuso como excepciones las que denominó “Inexistencia del cumplimiento de los requisitos mínimos que establece la Ley para ser beneficiario de la pensión de sobrevivientes”, “Ausencia de prueba de ocurrencia del siniestro”, “Condiciones especiales del contrato de seguro previsional expedido por la compañía de Seguros Bolívar S.A.”, “Límite de responsabilidad de la aseguradora”, “Inexistencia de la obligación de cancelar la mora”, “Buena fe”, “Prescripción” y “Las que resulten probadas en el proceso”.</w:t>
      </w:r>
    </w:p>
    <w:p w:rsidR="0023014D" w:rsidRPr="00EC5871" w:rsidRDefault="0023014D" w:rsidP="008D5D7D">
      <w:pPr>
        <w:spacing w:line="276" w:lineRule="auto"/>
        <w:jc w:val="both"/>
        <w:rPr>
          <w:rFonts w:ascii="Arial Narrow" w:eastAsia="Calibri" w:hAnsi="Arial Narrow" w:cs="Arial"/>
          <w:sz w:val="26"/>
          <w:szCs w:val="26"/>
          <w:lang w:val="es-CO" w:eastAsia="en-US"/>
        </w:rPr>
      </w:pPr>
    </w:p>
    <w:p w:rsidR="003C2555" w:rsidRPr="00EC5871" w:rsidRDefault="003C2555" w:rsidP="008D5D7D">
      <w:pPr>
        <w:shd w:val="clear" w:color="auto" w:fill="FFFFFF"/>
        <w:spacing w:line="276" w:lineRule="auto"/>
        <w:ind w:firstLine="708"/>
        <w:jc w:val="both"/>
        <w:rPr>
          <w:rFonts w:ascii="Arial Narrow" w:hAnsi="Arial Narrow" w:cs="Tahoma"/>
          <w:b/>
          <w:i/>
          <w:sz w:val="26"/>
          <w:szCs w:val="26"/>
        </w:rPr>
      </w:pPr>
      <w:r w:rsidRPr="00EC5871">
        <w:rPr>
          <w:rFonts w:ascii="Arial Narrow" w:hAnsi="Arial Narrow" w:cs="Tahoma"/>
          <w:b/>
          <w:i/>
          <w:sz w:val="26"/>
          <w:szCs w:val="26"/>
        </w:rPr>
        <w:t xml:space="preserve">SENTENCIA </w:t>
      </w:r>
    </w:p>
    <w:p w:rsidR="003C2555" w:rsidRPr="00EC5871" w:rsidRDefault="003C2555" w:rsidP="008D5D7D">
      <w:pPr>
        <w:pStyle w:val="Sinespaciado"/>
        <w:spacing w:line="276" w:lineRule="auto"/>
        <w:rPr>
          <w:rFonts w:ascii="Arial Narrow" w:hAnsi="Arial Narrow"/>
          <w:sz w:val="26"/>
          <w:szCs w:val="26"/>
        </w:rPr>
      </w:pPr>
    </w:p>
    <w:p w:rsidR="00262525" w:rsidRPr="00EC5871" w:rsidRDefault="00025E9E" w:rsidP="008D5D7D">
      <w:pPr>
        <w:shd w:val="clear" w:color="auto" w:fill="FFFFFF"/>
        <w:spacing w:line="276" w:lineRule="auto"/>
        <w:ind w:firstLine="851"/>
        <w:jc w:val="both"/>
        <w:rPr>
          <w:rFonts w:ascii="Arial Narrow" w:hAnsi="Arial Narrow" w:cs="Tahoma"/>
          <w:sz w:val="26"/>
          <w:szCs w:val="26"/>
        </w:rPr>
      </w:pPr>
      <w:r w:rsidRPr="00EC5871">
        <w:rPr>
          <w:rFonts w:ascii="Arial Narrow" w:hAnsi="Arial Narrow" w:cs="Tahoma"/>
          <w:sz w:val="26"/>
          <w:szCs w:val="26"/>
        </w:rPr>
        <w:t xml:space="preserve">El Juez del </w:t>
      </w:r>
      <w:r w:rsidR="002F38B9" w:rsidRPr="00EC5871">
        <w:rPr>
          <w:rFonts w:ascii="Arial Narrow" w:hAnsi="Arial Narrow" w:cs="Tahoma"/>
          <w:sz w:val="26"/>
          <w:szCs w:val="26"/>
        </w:rPr>
        <w:t>conocimiento</w:t>
      </w:r>
      <w:r w:rsidRPr="00EC5871">
        <w:rPr>
          <w:rFonts w:ascii="Arial Narrow" w:hAnsi="Arial Narrow" w:cs="Tahoma"/>
          <w:sz w:val="26"/>
          <w:szCs w:val="26"/>
        </w:rPr>
        <w:t xml:space="preserve"> dictó sentencia el 16 de octubre de 2018, en la que negó las pretensiones de la demanda, al considerar que el afiliado fallecido no dejó causado el derecho a la pensión de sobrevivientes peticionada, como quiera que no cotizó las 50 semanas en los tres años que antecedieron su deceso, tal cual lo exige el artículo 12 de la Ley 797 de 2003. De otra parte, estimó que era improcedente dar aplicación a la Ley 100/93 en su versión </w:t>
      </w:r>
      <w:r w:rsidR="00262525" w:rsidRPr="00EC5871">
        <w:rPr>
          <w:rFonts w:ascii="Arial Narrow" w:hAnsi="Arial Narrow" w:cs="Tahoma"/>
          <w:sz w:val="26"/>
          <w:szCs w:val="26"/>
        </w:rPr>
        <w:t xml:space="preserve">original, de conformidad con el principio de la condición más beneficiosa, por cuanto el afiliado no se encontraba afiliado ni cotizó ni una semana en vigencia de dicha norma. </w:t>
      </w:r>
    </w:p>
    <w:p w:rsidR="003C2555" w:rsidRPr="00EC5871" w:rsidRDefault="003C2555" w:rsidP="008D5D7D">
      <w:pPr>
        <w:shd w:val="clear" w:color="auto" w:fill="FFFFFF"/>
        <w:spacing w:line="276" w:lineRule="auto"/>
        <w:ind w:firstLine="851"/>
        <w:jc w:val="both"/>
        <w:rPr>
          <w:rFonts w:ascii="Arial Narrow" w:hAnsi="Arial Narrow" w:cs="Tahoma"/>
          <w:sz w:val="26"/>
          <w:szCs w:val="26"/>
        </w:rPr>
      </w:pPr>
    </w:p>
    <w:p w:rsidR="003C2555" w:rsidRPr="00EC5871" w:rsidRDefault="00262525" w:rsidP="008D5D7D">
      <w:pPr>
        <w:shd w:val="clear" w:color="auto" w:fill="FFFFFF"/>
        <w:spacing w:line="276" w:lineRule="auto"/>
        <w:ind w:firstLine="851"/>
        <w:jc w:val="both"/>
        <w:rPr>
          <w:rFonts w:ascii="Arial Narrow" w:hAnsi="Arial Narrow" w:cs="Tahoma"/>
          <w:b/>
          <w:i/>
          <w:sz w:val="26"/>
          <w:szCs w:val="26"/>
        </w:rPr>
      </w:pPr>
      <w:r w:rsidRPr="00EC5871">
        <w:rPr>
          <w:rFonts w:ascii="Arial Narrow" w:hAnsi="Arial Narrow" w:cs="Tahoma"/>
          <w:b/>
          <w:i/>
          <w:sz w:val="26"/>
          <w:szCs w:val="26"/>
        </w:rPr>
        <w:t>CONSULTA</w:t>
      </w:r>
    </w:p>
    <w:p w:rsidR="003C2555" w:rsidRPr="00EC5871" w:rsidRDefault="003C2555" w:rsidP="008D5D7D">
      <w:pPr>
        <w:pStyle w:val="Sinespaciado"/>
        <w:spacing w:line="276" w:lineRule="auto"/>
        <w:rPr>
          <w:rFonts w:ascii="Arial Narrow" w:hAnsi="Arial Narrow"/>
          <w:sz w:val="26"/>
          <w:szCs w:val="26"/>
        </w:rPr>
      </w:pPr>
    </w:p>
    <w:p w:rsidR="00262525" w:rsidRPr="00EC5871" w:rsidRDefault="00262525" w:rsidP="008D5D7D">
      <w:pPr>
        <w:widowControl w:val="0"/>
        <w:autoSpaceDE w:val="0"/>
        <w:autoSpaceDN w:val="0"/>
        <w:adjustRightInd w:val="0"/>
        <w:spacing w:line="276" w:lineRule="auto"/>
        <w:ind w:firstLine="851"/>
        <w:jc w:val="both"/>
        <w:rPr>
          <w:rFonts w:ascii="Arial Narrow" w:hAnsi="Arial Narrow" w:cs="Arial"/>
          <w:iCs/>
          <w:sz w:val="26"/>
          <w:szCs w:val="26"/>
          <w:lang w:val="es-MX" w:eastAsia="es-MX"/>
        </w:rPr>
      </w:pPr>
      <w:r w:rsidRPr="00EC5871">
        <w:rPr>
          <w:rFonts w:ascii="Arial Narrow" w:hAnsi="Arial Narrow" w:cs="Arial"/>
          <w:iCs/>
          <w:sz w:val="26"/>
          <w:szCs w:val="26"/>
          <w:lang w:val="es-MX" w:eastAsia="es-MX"/>
        </w:rPr>
        <w:t xml:space="preserve">Atendiendo que la decisión es completamente desfavorable a los intereses de la parte actora, se dispuso su consulta en los términos del canon 69 del </w:t>
      </w:r>
      <w:proofErr w:type="spellStart"/>
      <w:r w:rsidRPr="00EC5871">
        <w:rPr>
          <w:rFonts w:ascii="Arial Narrow" w:hAnsi="Arial Narrow" w:cs="Arial"/>
          <w:iCs/>
          <w:sz w:val="26"/>
          <w:szCs w:val="26"/>
          <w:lang w:val="es-MX" w:eastAsia="es-MX"/>
        </w:rPr>
        <w:t>CPLSS</w:t>
      </w:r>
      <w:proofErr w:type="spellEnd"/>
      <w:r w:rsidRPr="00EC5871">
        <w:rPr>
          <w:rFonts w:ascii="Arial Narrow" w:hAnsi="Arial Narrow" w:cs="Arial"/>
          <w:iCs/>
          <w:sz w:val="26"/>
          <w:szCs w:val="26"/>
          <w:lang w:val="es-MX" w:eastAsia="es-MX"/>
        </w:rPr>
        <w:t>.</w:t>
      </w:r>
    </w:p>
    <w:p w:rsidR="003C2555" w:rsidRPr="00EC5871" w:rsidRDefault="003C2555" w:rsidP="008D5D7D">
      <w:pPr>
        <w:shd w:val="clear" w:color="auto" w:fill="FFFFFF"/>
        <w:spacing w:line="276" w:lineRule="auto"/>
        <w:ind w:firstLine="851"/>
        <w:jc w:val="both"/>
        <w:rPr>
          <w:rFonts w:ascii="Arial Narrow" w:hAnsi="Arial Narrow" w:cs="Tahoma"/>
          <w:sz w:val="26"/>
          <w:szCs w:val="26"/>
          <w:lang w:val="es-MX"/>
        </w:rPr>
      </w:pPr>
    </w:p>
    <w:p w:rsidR="003C2555" w:rsidRPr="00EC5871" w:rsidRDefault="003C2555" w:rsidP="008D5D7D">
      <w:pPr>
        <w:shd w:val="clear" w:color="auto" w:fill="FFFFFF"/>
        <w:tabs>
          <w:tab w:val="left" w:pos="3767"/>
        </w:tabs>
        <w:spacing w:line="276" w:lineRule="auto"/>
        <w:ind w:firstLine="851"/>
        <w:jc w:val="both"/>
        <w:rPr>
          <w:rFonts w:ascii="Arial Narrow" w:hAnsi="Arial Narrow" w:cs="Tahoma"/>
          <w:sz w:val="26"/>
          <w:szCs w:val="26"/>
        </w:rPr>
      </w:pPr>
      <w:r w:rsidRPr="00EC5871">
        <w:rPr>
          <w:rFonts w:ascii="Arial Narrow" w:hAnsi="Arial Narrow" w:cs="Tahoma"/>
          <w:b/>
          <w:i/>
          <w:sz w:val="26"/>
          <w:szCs w:val="26"/>
        </w:rPr>
        <w:t>ALEGATOS EN ESTA INSTANCIA</w:t>
      </w:r>
      <w:r w:rsidRPr="00EC5871">
        <w:rPr>
          <w:rFonts w:ascii="Arial Narrow" w:hAnsi="Arial Narrow" w:cs="Tahoma"/>
          <w:sz w:val="26"/>
          <w:szCs w:val="26"/>
        </w:rPr>
        <w:t>:</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pStyle w:val="Sinespaciado"/>
        <w:spacing w:line="276" w:lineRule="auto"/>
        <w:ind w:firstLine="708"/>
        <w:jc w:val="both"/>
        <w:rPr>
          <w:rFonts w:ascii="Arial Narrow" w:hAnsi="Arial Narrow"/>
          <w:sz w:val="26"/>
          <w:szCs w:val="26"/>
        </w:rPr>
      </w:pPr>
      <w:r w:rsidRPr="00EC5871">
        <w:rPr>
          <w:rFonts w:ascii="Arial Narrow" w:hAnsi="Arial Narrow"/>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EC5871">
          <w:rPr>
            <w:rFonts w:ascii="Arial Narrow" w:hAnsi="Arial Narrow"/>
            <w:sz w:val="26"/>
            <w:szCs w:val="26"/>
          </w:rPr>
          <w:t>66 A</w:t>
        </w:r>
      </w:smartTag>
      <w:r w:rsidRPr="00EC5871">
        <w:rPr>
          <w:rFonts w:ascii="Arial Narrow" w:hAnsi="Arial Narrow"/>
          <w:sz w:val="26"/>
          <w:szCs w:val="26"/>
        </w:rPr>
        <w:t xml:space="preserve"> </w:t>
      </w:r>
      <w:proofErr w:type="spellStart"/>
      <w:r w:rsidRPr="00EC5871">
        <w:rPr>
          <w:rFonts w:ascii="Arial Narrow" w:hAnsi="Arial Narrow"/>
          <w:sz w:val="26"/>
          <w:szCs w:val="26"/>
        </w:rPr>
        <w:t>CPLSS</w:t>
      </w:r>
      <w:proofErr w:type="spellEnd"/>
      <w:r w:rsidRPr="00EC5871">
        <w:rPr>
          <w:rFonts w:ascii="Arial Narrow" w:hAnsi="Arial Narrow"/>
          <w:sz w:val="26"/>
          <w:szCs w:val="26"/>
        </w:rPr>
        <w:t>.).</w:t>
      </w:r>
      <w:r w:rsidR="00262525" w:rsidRPr="00EC5871">
        <w:rPr>
          <w:rFonts w:ascii="Arial Narrow" w:hAnsi="Arial Narrow"/>
          <w:sz w:val="26"/>
          <w:szCs w:val="26"/>
        </w:rPr>
        <w:t xml:space="preserve"> </w:t>
      </w:r>
      <w:r w:rsidRPr="00EC5871">
        <w:rPr>
          <w:rFonts w:ascii="Arial Narrow" w:hAnsi="Arial Narrow"/>
          <w:sz w:val="26"/>
          <w:szCs w:val="26"/>
        </w:rPr>
        <w:t>Escuchadas las anteriores intervenciones que en síntesis reflejan los puntos debatidos por los integrantes de la Sala, se procede a decidir lo que corresponda, previas las siguientes:</w:t>
      </w:r>
    </w:p>
    <w:p w:rsidR="003C2555" w:rsidRPr="00EC5871" w:rsidRDefault="003C2555" w:rsidP="008D5D7D">
      <w:pPr>
        <w:shd w:val="clear" w:color="auto" w:fill="FFFFFF"/>
        <w:spacing w:line="276" w:lineRule="auto"/>
        <w:ind w:firstLine="851"/>
        <w:jc w:val="both"/>
        <w:rPr>
          <w:rFonts w:ascii="Arial Narrow" w:hAnsi="Arial Narrow" w:cs="Tahoma"/>
          <w:iCs/>
          <w:color w:val="000000"/>
          <w:sz w:val="26"/>
          <w:szCs w:val="26"/>
          <w:lang w:val="es-MX" w:eastAsia="es-CO"/>
        </w:rPr>
      </w:pPr>
    </w:p>
    <w:p w:rsidR="003C2555" w:rsidRPr="00EC5871" w:rsidRDefault="003C2555" w:rsidP="008D5D7D">
      <w:pPr>
        <w:shd w:val="clear" w:color="auto" w:fill="FFFFFF"/>
        <w:spacing w:line="276" w:lineRule="auto"/>
        <w:ind w:firstLine="851"/>
        <w:jc w:val="both"/>
        <w:rPr>
          <w:rFonts w:ascii="Arial Narrow" w:hAnsi="Arial Narrow" w:cs="Tahoma"/>
          <w:b/>
          <w:i/>
          <w:iCs/>
          <w:color w:val="000000"/>
          <w:sz w:val="26"/>
          <w:szCs w:val="26"/>
          <w:lang w:val="es-MX" w:eastAsia="es-CO"/>
        </w:rPr>
      </w:pPr>
      <w:r w:rsidRPr="00EC5871">
        <w:rPr>
          <w:rFonts w:ascii="Arial Narrow" w:hAnsi="Arial Narrow" w:cs="Tahoma"/>
          <w:b/>
          <w:i/>
          <w:iCs/>
          <w:color w:val="000000"/>
          <w:sz w:val="26"/>
          <w:szCs w:val="26"/>
          <w:lang w:val="es-MX" w:eastAsia="es-CO"/>
        </w:rPr>
        <w:t>CONSIDERACIONES</w:t>
      </w:r>
    </w:p>
    <w:p w:rsidR="003C2555" w:rsidRPr="00EC5871" w:rsidRDefault="003C2555" w:rsidP="008D5D7D">
      <w:pPr>
        <w:shd w:val="clear" w:color="auto" w:fill="FFFFFF"/>
        <w:spacing w:line="276" w:lineRule="auto"/>
        <w:ind w:firstLine="851"/>
        <w:jc w:val="both"/>
        <w:rPr>
          <w:rFonts w:ascii="Arial Narrow" w:hAnsi="Arial Narrow" w:cs="Tahoma"/>
          <w:iCs/>
          <w:color w:val="000000"/>
          <w:sz w:val="26"/>
          <w:szCs w:val="26"/>
          <w:lang w:val="es-MX" w:eastAsia="es-CO"/>
        </w:rPr>
      </w:pPr>
    </w:p>
    <w:p w:rsidR="003C2555" w:rsidRPr="00EC5871" w:rsidRDefault="003C2555" w:rsidP="008D5D7D">
      <w:pPr>
        <w:shd w:val="clear" w:color="auto" w:fill="FFFFFF"/>
        <w:tabs>
          <w:tab w:val="left" w:pos="5197"/>
        </w:tabs>
        <w:spacing w:line="276" w:lineRule="auto"/>
        <w:ind w:firstLine="851"/>
        <w:jc w:val="both"/>
        <w:rPr>
          <w:rFonts w:ascii="Arial Narrow" w:hAnsi="Arial Narrow" w:cs="Tahoma"/>
          <w:b/>
          <w:i/>
          <w:sz w:val="26"/>
          <w:szCs w:val="26"/>
        </w:rPr>
      </w:pPr>
      <w:r w:rsidRPr="00EC5871">
        <w:rPr>
          <w:rFonts w:ascii="Arial Narrow" w:hAnsi="Arial Narrow" w:cs="Tahoma"/>
          <w:b/>
          <w:i/>
          <w:sz w:val="26"/>
          <w:szCs w:val="26"/>
        </w:rPr>
        <w:t>Del problema jurídico.</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Deberá la Sala analizar los siguientes interrogantes jurídicos:</w:t>
      </w:r>
    </w:p>
    <w:p w:rsidR="003C2555" w:rsidRPr="00EC5871" w:rsidRDefault="003C2555" w:rsidP="008D5D7D">
      <w:pPr>
        <w:pStyle w:val="Sinespaciado"/>
        <w:spacing w:line="276" w:lineRule="auto"/>
        <w:rPr>
          <w:rFonts w:ascii="Arial Narrow" w:hAnsi="Arial Narrow"/>
          <w:sz w:val="26"/>
          <w:szCs w:val="26"/>
          <w:lang w:eastAsia="es-CO"/>
        </w:rPr>
      </w:pPr>
    </w:p>
    <w:p w:rsidR="003C2555" w:rsidRPr="00EC5871" w:rsidRDefault="003C2555" w:rsidP="008D5D7D">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 xml:space="preserve">¿Dejó causado el afiliado </w:t>
      </w:r>
      <w:r w:rsidR="00262525" w:rsidRPr="00EC5871">
        <w:rPr>
          <w:rFonts w:ascii="Arial Narrow" w:hAnsi="Arial Narrow" w:cs="Tahoma"/>
          <w:color w:val="000000"/>
          <w:sz w:val="26"/>
          <w:szCs w:val="26"/>
          <w:lang w:eastAsia="es-CO"/>
        </w:rPr>
        <w:t xml:space="preserve">Leonardo Fabio Gómez Arredondo </w:t>
      </w:r>
      <w:r w:rsidRPr="00EC5871">
        <w:rPr>
          <w:rFonts w:ascii="Arial Narrow" w:hAnsi="Arial Narrow" w:cs="Tahoma"/>
          <w:color w:val="000000"/>
          <w:sz w:val="26"/>
          <w:szCs w:val="26"/>
          <w:lang w:eastAsia="es-CO"/>
        </w:rPr>
        <w:t>el derecho pensional de sobrevivientes al momento de su deceso?</w:t>
      </w:r>
    </w:p>
    <w:p w:rsidR="003C2555" w:rsidRPr="00EC5871" w:rsidRDefault="003C2555" w:rsidP="008D5D7D">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En caso de que la pregunta anterior tenga respuesta positiva, deberá la Sala resolver la siguiente pregunta:</w:t>
      </w:r>
    </w:p>
    <w:p w:rsidR="003C2555" w:rsidRPr="00EC5871" w:rsidRDefault="00262525" w:rsidP="008D5D7D">
      <w:pPr>
        <w:pStyle w:val="Sinespaciado"/>
        <w:spacing w:line="276" w:lineRule="auto"/>
        <w:rPr>
          <w:rFonts w:ascii="Arial Narrow" w:hAnsi="Arial Narrow"/>
          <w:sz w:val="26"/>
          <w:szCs w:val="26"/>
          <w:lang w:eastAsia="es-CO"/>
        </w:rPr>
      </w:pPr>
      <w:r w:rsidRPr="00EC5871">
        <w:rPr>
          <w:rFonts w:ascii="Arial Narrow" w:hAnsi="Arial Narrow"/>
          <w:sz w:val="26"/>
          <w:szCs w:val="26"/>
          <w:lang w:eastAsia="es-CO"/>
        </w:rPr>
        <w:tab/>
      </w:r>
    </w:p>
    <w:p w:rsidR="003C2555" w:rsidRPr="00EC5871" w:rsidRDefault="00262525" w:rsidP="008D5D7D">
      <w:pPr>
        <w:shd w:val="clear" w:color="auto" w:fill="FFFFFF"/>
        <w:tabs>
          <w:tab w:val="left" w:pos="5197"/>
        </w:tabs>
        <w:spacing w:line="276" w:lineRule="auto"/>
        <w:ind w:firstLine="851"/>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¿Reúne el menor Juan José Gómez Osorio l</w:t>
      </w:r>
      <w:r w:rsidR="003C2555" w:rsidRPr="00EC5871">
        <w:rPr>
          <w:rFonts w:ascii="Arial Narrow" w:hAnsi="Arial Narrow" w:cs="Tahoma"/>
          <w:color w:val="000000"/>
          <w:sz w:val="26"/>
          <w:szCs w:val="26"/>
          <w:lang w:eastAsia="es-CO"/>
        </w:rPr>
        <w:t>as condiciones exigidas p</w:t>
      </w:r>
      <w:r w:rsidRPr="00EC5871">
        <w:rPr>
          <w:rFonts w:ascii="Arial Narrow" w:hAnsi="Arial Narrow" w:cs="Tahoma"/>
          <w:color w:val="000000"/>
          <w:sz w:val="26"/>
          <w:szCs w:val="26"/>
          <w:lang w:eastAsia="es-CO"/>
        </w:rPr>
        <w:t xml:space="preserve">or la Ley para ser beneficiario </w:t>
      </w:r>
      <w:r w:rsidR="003C2555" w:rsidRPr="00EC5871">
        <w:rPr>
          <w:rFonts w:ascii="Arial Narrow" w:hAnsi="Arial Narrow" w:cs="Tahoma"/>
          <w:color w:val="000000"/>
          <w:sz w:val="26"/>
          <w:szCs w:val="26"/>
          <w:lang w:eastAsia="es-CO"/>
        </w:rPr>
        <w:t xml:space="preserve">de la pensión de </w:t>
      </w:r>
      <w:r w:rsidRPr="00EC5871">
        <w:rPr>
          <w:rFonts w:ascii="Arial Narrow" w:hAnsi="Arial Narrow" w:cs="Tahoma"/>
          <w:color w:val="000000"/>
          <w:sz w:val="26"/>
          <w:szCs w:val="26"/>
          <w:lang w:eastAsia="es-CO"/>
        </w:rPr>
        <w:t>sobrevivientes?</w:t>
      </w:r>
    </w:p>
    <w:p w:rsidR="003C2555" w:rsidRPr="00EC5871" w:rsidRDefault="003C2555" w:rsidP="008D5D7D">
      <w:pPr>
        <w:spacing w:line="276" w:lineRule="auto"/>
        <w:ind w:firstLine="708"/>
        <w:jc w:val="both"/>
        <w:rPr>
          <w:rFonts w:ascii="Arial Narrow" w:hAnsi="Arial Narrow" w:cs="Tahoma"/>
          <w:color w:val="000000"/>
          <w:sz w:val="26"/>
          <w:szCs w:val="26"/>
          <w:lang w:eastAsia="es-CO"/>
        </w:rPr>
      </w:pPr>
    </w:p>
    <w:p w:rsidR="003C2555" w:rsidRPr="00EC5871" w:rsidRDefault="003C2555" w:rsidP="008D5D7D">
      <w:pPr>
        <w:spacing w:line="276" w:lineRule="auto"/>
        <w:ind w:firstLine="708"/>
        <w:jc w:val="both"/>
        <w:rPr>
          <w:rFonts w:ascii="Arial Narrow" w:hAnsi="Arial Narrow" w:cs="Tahoma"/>
          <w:b/>
          <w:color w:val="000000"/>
          <w:sz w:val="26"/>
          <w:szCs w:val="26"/>
          <w:lang w:eastAsia="es-CO"/>
        </w:rPr>
      </w:pPr>
      <w:r w:rsidRPr="00EC5871">
        <w:rPr>
          <w:rFonts w:ascii="Arial Narrow" w:hAnsi="Arial Narrow" w:cs="Tahoma"/>
          <w:b/>
          <w:color w:val="000000"/>
          <w:sz w:val="26"/>
          <w:szCs w:val="26"/>
          <w:lang w:eastAsia="es-CO"/>
        </w:rPr>
        <w:t>Solución de los problemas jurídicos.</w:t>
      </w:r>
    </w:p>
    <w:p w:rsidR="003C2555" w:rsidRPr="00EC5871" w:rsidRDefault="003C2555" w:rsidP="008D5D7D">
      <w:pPr>
        <w:pStyle w:val="Sinespaciado"/>
        <w:spacing w:line="276" w:lineRule="auto"/>
        <w:rPr>
          <w:rFonts w:ascii="Arial Narrow" w:hAnsi="Arial Narrow"/>
          <w:sz w:val="26"/>
          <w:szCs w:val="26"/>
          <w:lang w:eastAsia="es-CO"/>
        </w:rPr>
      </w:pPr>
    </w:p>
    <w:p w:rsidR="003C2555" w:rsidRPr="00EC5871" w:rsidRDefault="003C2555" w:rsidP="008D5D7D">
      <w:pPr>
        <w:spacing w:line="276" w:lineRule="auto"/>
        <w:ind w:firstLine="708"/>
        <w:jc w:val="both"/>
        <w:rPr>
          <w:rFonts w:ascii="Arial Narrow" w:hAnsi="Arial Narrow" w:cs="Tahoma"/>
          <w:b/>
          <w:color w:val="000000"/>
          <w:sz w:val="26"/>
          <w:szCs w:val="26"/>
          <w:lang w:eastAsia="es-CO"/>
        </w:rPr>
      </w:pPr>
      <w:r w:rsidRPr="00EC5871">
        <w:rPr>
          <w:rFonts w:ascii="Arial Narrow" w:hAnsi="Arial Narrow" w:cs="Tahoma"/>
          <w:b/>
          <w:color w:val="000000"/>
          <w:sz w:val="26"/>
          <w:szCs w:val="26"/>
          <w:lang w:eastAsia="es-CO"/>
        </w:rPr>
        <w:t>Causación del derecho.</w:t>
      </w:r>
    </w:p>
    <w:p w:rsidR="003C2555" w:rsidRPr="00EC5871" w:rsidRDefault="003C2555" w:rsidP="008D5D7D">
      <w:pPr>
        <w:pStyle w:val="Sinespaciado"/>
        <w:spacing w:line="276" w:lineRule="auto"/>
        <w:rPr>
          <w:rFonts w:ascii="Arial Narrow" w:hAnsi="Arial Narrow"/>
          <w:sz w:val="26"/>
          <w:szCs w:val="26"/>
          <w:lang w:eastAsia="es-CO"/>
        </w:rPr>
      </w:pPr>
    </w:p>
    <w:p w:rsidR="003C2555" w:rsidRPr="00EC5871" w:rsidRDefault="003C2555" w:rsidP="008D5D7D">
      <w:pPr>
        <w:spacing w:line="276" w:lineRule="auto"/>
        <w:ind w:firstLine="708"/>
        <w:jc w:val="both"/>
        <w:rPr>
          <w:rFonts w:ascii="Arial Narrow" w:hAnsi="Arial Narrow" w:cs="Tahoma"/>
          <w:color w:val="000000"/>
          <w:sz w:val="26"/>
          <w:szCs w:val="26"/>
          <w:lang w:val="es-CO" w:eastAsia="es-CO"/>
        </w:rPr>
      </w:pPr>
      <w:r w:rsidRPr="00EC5871">
        <w:rPr>
          <w:rFonts w:ascii="Arial Narrow" w:hAnsi="Arial Narrow" w:cs="Tahoma"/>
          <w:color w:val="000000"/>
          <w:sz w:val="26"/>
          <w:szCs w:val="26"/>
          <w:lang w:eastAsia="es-CO"/>
        </w:rPr>
        <w:t xml:space="preserve">Como regla general, se tiene que la pensión de sobrevivientes se rige por la normatividad vigente al momento del deceso del afiliado o pensionado. Sin embargo, tal regla, no es irrompible, sino que en ciertos casos, es perfectamente posible que, cuando bajo un régimen legal anterior se logró </w:t>
      </w:r>
      <w:r w:rsidRPr="00EC5871">
        <w:rPr>
          <w:rFonts w:ascii="Arial Narrow" w:hAnsi="Arial Narrow" w:cs="Tahoma"/>
          <w:color w:val="000000"/>
          <w:sz w:val="26"/>
          <w:szCs w:val="26"/>
          <w:lang w:val="es-CO" w:eastAsia="es-CO"/>
        </w:rPr>
        <w:t xml:space="preserve">cumplir con la densidad de cotizaciones exigidas en ese cuerpo legal, el cambio normativo no puede afectar tal expectativa razonable, así el riesgo se materialice en vigencia de </w:t>
      </w:r>
      <w:r w:rsidRPr="00EC5871">
        <w:rPr>
          <w:rFonts w:ascii="Arial Narrow" w:hAnsi="Arial Narrow" w:cs="Tahoma"/>
          <w:color w:val="000000"/>
          <w:sz w:val="26"/>
          <w:szCs w:val="26"/>
          <w:lang w:val="es-CO" w:eastAsia="es-CO"/>
        </w:rPr>
        <w:lastRenderedPageBreak/>
        <w:t>otra norma. Tal posibilidad se desprende del principio de la condición más beneficiosa, que protege las expectativas legítimas frente a las cuales el legislador, ante un cabio normativo, no estableció otro mecanismo de protección, como un régimen de transición.</w:t>
      </w:r>
    </w:p>
    <w:p w:rsidR="003C2555" w:rsidRPr="00EC5871" w:rsidRDefault="003C2555" w:rsidP="008D5D7D">
      <w:pPr>
        <w:pStyle w:val="Sinespaciado"/>
        <w:spacing w:line="276" w:lineRule="auto"/>
        <w:rPr>
          <w:rFonts w:ascii="Arial Narrow" w:hAnsi="Arial Narrow"/>
          <w:sz w:val="26"/>
          <w:szCs w:val="26"/>
          <w:lang w:val="es-CO" w:eastAsia="es-CO"/>
        </w:rPr>
      </w:pPr>
    </w:p>
    <w:p w:rsidR="003C2555" w:rsidRPr="00EC5871" w:rsidRDefault="003C2555" w:rsidP="008D5D7D">
      <w:pPr>
        <w:spacing w:line="276" w:lineRule="auto"/>
        <w:ind w:firstLine="708"/>
        <w:jc w:val="both"/>
        <w:rPr>
          <w:rFonts w:ascii="Arial Narrow" w:hAnsi="Arial Narrow" w:cs="Tahoma"/>
          <w:color w:val="000000"/>
          <w:sz w:val="26"/>
          <w:szCs w:val="26"/>
          <w:lang w:val="es-CO" w:eastAsia="es-CO"/>
        </w:rPr>
      </w:pPr>
      <w:r w:rsidRPr="00EC5871">
        <w:rPr>
          <w:rFonts w:ascii="Arial Narrow" w:hAnsi="Arial Narrow" w:cs="Tahoma"/>
          <w:color w:val="000000"/>
          <w:sz w:val="26"/>
          <w:szCs w:val="26"/>
          <w:lang w:val="es-CO" w:eastAsia="es-CO"/>
        </w:rPr>
        <w:t>Sin embargo, la aplicación del aludido principio no proviene de la mera transición legal, sino que es necesario y forzoso para poderse invocar su aplicación, que en vigencia de la normatividad derogada, se hubiere cumplido con todas las exigencias de cotizaciones que la misma exigía, pues de lo contrario, ninguna expectativa legitima se estaría protegiendo y, simplemente, se estaría aplicando ultra activamente una norma sin vigencia, desconociéndose con ello el principio de retrospectividad de la ley laboral y de seguridad social, contenido en el canon 16 del CL, en virtud del cual, una nueva norma produce efecto general inmediato, s</w:t>
      </w:r>
      <w:r w:rsidR="00C076F7" w:rsidRPr="00EC5871">
        <w:rPr>
          <w:rFonts w:ascii="Arial Narrow" w:hAnsi="Arial Narrow" w:cs="Tahoma"/>
          <w:color w:val="000000"/>
          <w:sz w:val="26"/>
          <w:szCs w:val="26"/>
          <w:lang w:val="es-CO" w:eastAsia="es-CO"/>
        </w:rPr>
        <w:t xml:space="preserve">in tener efectos retroactivos, empero, </w:t>
      </w:r>
      <w:r w:rsidR="006D25F3" w:rsidRPr="00EC5871">
        <w:rPr>
          <w:rFonts w:ascii="Arial Narrow" w:hAnsi="Arial Narrow" w:cs="Tahoma"/>
          <w:color w:val="000000"/>
          <w:sz w:val="26"/>
          <w:szCs w:val="26"/>
          <w:lang w:val="es-CO" w:eastAsia="es-CO"/>
        </w:rPr>
        <w:t>los alcances de la nueva ley cubren situaciones no consolidadas o definidas por la norma anterior.</w:t>
      </w:r>
    </w:p>
    <w:p w:rsidR="003C2555" w:rsidRPr="00EC5871" w:rsidRDefault="003C2555" w:rsidP="008D5D7D">
      <w:pPr>
        <w:pStyle w:val="Sinespaciado"/>
        <w:spacing w:line="276" w:lineRule="auto"/>
        <w:rPr>
          <w:rFonts w:ascii="Arial Narrow" w:hAnsi="Arial Narrow"/>
          <w:sz w:val="26"/>
          <w:szCs w:val="26"/>
        </w:rPr>
      </w:pPr>
    </w:p>
    <w:p w:rsidR="006D25F3" w:rsidRPr="00EC5871" w:rsidRDefault="003C2555" w:rsidP="008D5D7D">
      <w:pPr>
        <w:spacing w:line="276" w:lineRule="auto"/>
        <w:ind w:firstLine="708"/>
        <w:jc w:val="both"/>
        <w:rPr>
          <w:rFonts w:ascii="Arial Narrow" w:hAnsi="Arial Narrow" w:cs="Tahoma"/>
          <w:color w:val="000000"/>
          <w:sz w:val="26"/>
          <w:szCs w:val="26"/>
          <w:lang w:val="es-CO" w:eastAsia="es-CO"/>
        </w:rPr>
      </w:pPr>
      <w:r w:rsidRPr="00EC5871">
        <w:rPr>
          <w:rFonts w:ascii="Arial Narrow" w:hAnsi="Arial Narrow" w:cs="Tahoma"/>
          <w:color w:val="000000"/>
          <w:sz w:val="26"/>
          <w:szCs w:val="26"/>
          <w:lang w:val="es-CO" w:eastAsia="es-CO"/>
        </w:rPr>
        <w:t>Lo anterior, implica que no es posible la aplicación de cualquier rég</w:t>
      </w:r>
      <w:r w:rsidR="006D25F3" w:rsidRPr="00EC5871">
        <w:rPr>
          <w:rFonts w:ascii="Arial Narrow" w:hAnsi="Arial Narrow" w:cs="Tahoma"/>
          <w:color w:val="000000"/>
          <w:sz w:val="26"/>
          <w:szCs w:val="26"/>
          <w:lang w:val="es-CO" w:eastAsia="es-CO"/>
        </w:rPr>
        <w:t>imen anterior, sino solamente</w:t>
      </w:r>
      <w:r w:rsidRPr="00EC5871">
        <w:rPr>
          <w:rFonts w:ascii="Arial Narrow" w:hAnsi="Arial Narrow" w:cs="Tahoma"/>
          <w:color w:val="000000"/>
          <w:sz w:val="26"/>
          <w:szCs w:val="26"/>
          <w:lang w:val="es-CO" w:eastAsia="es-CO"/>
        </w:rPr>
        <w:t xml:space="preserve"> aquel </w:t>
      </w:r>
      <w:r w:rsidR="00C076F7" w:rsidRPr="00EC5871">
        <w:rPr>
          <w:rFonts w:ascii="Arial Narrow" w:hAnsi="Arial Narrow" w:cs="Tahoma"/>
          <w:color w:val="000000"/>
          <w:sz w:val="26"/>
          <w:szCs w:val="26"/>
          <w:lang w:val="es-CO" w:eastAsia="es-CO"/>
        </w:rPr>
        <w:t xml:space="preserve">bajo el cual se reunió la densidad de cotizaciones necesarias para que se consolidara el derecho, </w:t>
      </w:r>
      <w:r w:rsidR="006D25F3" w:rsidRPr="00EC5871">
        <w:rPr>
          <w:rFonts w:ascii="Arial Narrow" w:hAnsi="Arial Narrow" w:cs="Tahoma"/>
          <w:color w:val="000000"/>
          <w:sz w:val="26"/>
          <w:szCs w:val="26"/>
          <w:lang w:val="es-CO" w:eastAsia="es-CO"/>
        </w:rPr>
        <w:t xml:space="preserve">al amparo de la nueva norma. </w:t>
      </w:r>
    </w:p>
    <w:p w:rsidR="006D25F3" w:rsidRPr="00EC5871" w:rsidRDefault="006D25F3" w:rsidP="008D5D7D">
      <w:pPr>
        <w:pStyle w:val="Sinespaciado"/>
        <w:spacing w:line="276" w:lineRule="auto"/>
        <w:rPr>
          <w:rFonts w:ascii="Arial Narrow" w:hAnsi="Arial Narrow"/>
          <w:sz w:val="26"/>
          <w:szCs w:val="26"/>
          <w:lang w:val="es-CO" w:eastAsia="es-CO"/>
        </w:rPr>
      </w:pPr>
    </w:p>
    <w:p w:rsidR="003C2555" w:rsidRPr="00EC5871" w:rsidRDefault="003C2555" w:rsidP="008D5D7D">
      <w:pPr>
        <w:spacing w:line="276" w:lineRule="auto"/>
        <w:ind w:firstLine="708"/>
        <w:jc w:val="both"/>
        <w:rPr>
          <w:rFonts w:ascii="Arial Narrow" w:hAnsi="Arial Narrow" w:cs="Tahoma"/>
          <w:color w:val="000000"/>
          <w:sz w:val="26"/>
          <w:szCs w:val="26"/>
          <w:lang w:val="es-CO" w:eastAsia="es-CO"/>
        </w:rPr>
      </w:pPr>
      <w:r w:rsidRPr="00EC5871">
        <w:rPr>
          <w:rFonts w:ascii="Arial Narrow" w:hAnsi="Arial Narrow" w:cs="Tahoma"/>
          <w:color w:val="000000"/>
          <w:sz w:val="26"/>
          <w:szCs w:val="26"/>
          <w:lang w:val="es-CO" w:eastAsia="es-CO"/>
        </w:rPr>
        <w:t>El tema fue tratado de manera amplia por la Sala de Casación Laboral de</w:t>
      </w:r>
      <w:r w:rsidR="00C076F7" w:rsidRPr="00EC5871">
        <w:rPr>
          <w:rFonts w:ascii="Arial Narrow" w:hAnsi="Arial Narrow" w:cs="Tahoma"/>
          <w:color w:val="000000"/>
          <w:sz w:val="26"/>
          <w:szCs w:val="26"/>
          <w:lang w:val="es-CO" w:eastAsia="es-CO"/>
        </w:rPr>
        <w:t xml:space="preserve"> la Corte Suprema de Justicia</w:t>
      </w:r>
      <w:r w:rsidRPr="00EC5871">
        <w:rPr>
          <w:rFonts w:ascii="Arial Narrow" w:hAnsi="Arial Narrow" w:cs="Tahoma"/>
          <w:color w:val="000000"/>
          <w:sz w:val="26"/>
          <w:szCs w:val="26"/>
          <w:lang w:val="es-CO" w:eastAsia="es-CO"/>
        </w:rPr>
        <w:t xml:space="preserve">, </w:t>
      </w:r>
      <w:r w:rsidR="006D25F3" w:rsidRPr="00EC5871">
        <w:rPr>
          <w:rFonts w:ascii="Arial Narrow" w:hAnsi="Arial Narrow" w:cs="Tahoma"/>
          <w:color w:val="000000"/>
          <w:sz w:val="26"/>
          <w:szCs w:val="26"/>
          <w:lang w:val="es-CO" w:eastAsia="es-CO"/>
        </w:rPr>
        <w:t xml:space="preserve">indicando las características que ostenta el principio de la condición más beneficiosa, </w:t>
      </w:r>
      <w:r w:rsidRPr="00EC5871">
        <w:rPr>
          <w:rFonts w:ascii="Arial Narrow" w:hAnsi="Arial Narrow" w:cs="Tahoma"/>
          <w:color w:val="000000"/>
          <w:sz w:val="26"/>
          <w:szCs w:val="26"/>
          <w:lang w:val="es-CO" w:eastAsia="es-CO"/>
        </w:rPr>
        <w:t>siendo pertinente, para una mejor comprensión, citar algunos apartes del mismo:</w:t>
      </w:r>
    </w:p>
    <w:p w:rsidR="003C2555" w:rsidRPr="00EC5871" w:rsidRDefault="003C2555" w:rsidP="008D5D7D">
      <w:pPr>
        <w:pStyle w:val="Sinespaciado"/>
        <w:spacing w:line="276" w:lineRule="auto"/>
        <w:rPr>
          <w:rFonts w:ascii="Arial Narrow" w:hAnsi="Arial Narrow"/>
          <w:sz w:val="26"/>
          <w:szCs w:val="26"/>
          <w:lang w:val="es-CO" w:eastAsia="es-CO"/>
        </w:rPr>
      </w:pPr>
    </w:p>
    <w:p w:rsidR="003C2555" w:rsidRPr="002F38B9" w:rsidRDefault="003C2555" w:rsidP="002F38B9">
      <w:pPr>
        <w:ind w:left="426" w:right="420" w:firstLine="708"/>
        <w:jc w:val="both"/>
        <w:rPr>
          <w:rFonts w:ascii="Arial Narrow" w:hAnsi="Arial Narrow" w:cs="Tahoma"/>
          <w:i/>
          <w:color w:val="000000"/>
          <w:szCs w:val="26"/>
          <w:lang w:val="es-CO" w:eastAsia="es-CO"/>
        </w:rPr>
      </w:pPr>
      <w:r w:rsidRPr="002F38B9">
        <w:rPr>
          <w:rFonts w:ascii="Arial Narrow" w:hAnsi="Arial Narrow" w:cs="Tahoma"/>
          <w:i/>
          <w:color w:val="000000"/>
          <w:szCs w:val="26"/>
          <w:lang w:val="es-CO" w:eastAsia="es-CO"/>
        </w:rPr>
        <w:t>“5.</w:t>
      </w:r>
      <w:r w:rsidRPr="002F38B9">
        <w:rPr>
          <w:rFonts w:ascii="Arial Narrow" w:hAnsi="Arial Narrow" w:cs="Tahoma"/>
          <w:i/>
          <w:color w:val="000000"/>
          <w:szCs w:val="26"/>
          <w:lang w:val="es-CO" w:eastAsia="es-CO"/>
        </w:rPr>
        <w:tab/>
        <w:t>El destinatario posee una situación jurídica concreta - expectativa legítima-</w:t>
      </w:r>
    </w:p>
    <w:p w:rsidR="003C2555" w:rsidRPr="002F38B9" w:rsidRDefault="003C2555" w:rsidP="002F38B9">
      <w:pPr>
        <w:ind w:left="426" w:right="420" w:firstLine="708"/>
        <w:jc w:val="both"/>
        <w:rPr>
          <w:rFonts w:ascii="Arial Narrow" w:hAnsi="Arial Narrow" w:cs="Tahoma"/>
          <w:i/>
          <w:color w:val="000000"/>
          <w:szCs w:val="26"/>
          <w:lang w:val="es-CO" w:eastAsia="es-CO"/>
        </w:rPr>
      </w:pPr>
    </w:p>
    <w:p w:rsidR="003C2555" w:rsidRPr="002F38B9" w:rsidRDefault="003C2555" w:rsidP="002F38B9">
      <w:pPr>
        <w:ind w:left="426" w:right="420" w:firstLine="708"/>
        <w:jc w:val="both"/>
        <w:rPr>
          <w:rFonts w:ascii="Arial Narrow" w:hAnsi="Arial Narrow" w:cs="Tahoma"/>
          <w:i/>
          <w:color w:val="000000"/>
          <w:szCs w:val="26"/>
          <w:lang w:val="es-CO" w:eastAsia="es-CO"/>
        </w:rPr>
      </w:pPr>
      <w:r w:rsidRPr="002F38B9">
        <w:rPr>
          <w:rFonts w:ascii="Arial Narrow" w:hAnsi="Arial Narrow" w:cs="Tahoma"/>
          <w:i/>
          <w:color w:val="000000"/>
          <w:szCs w:val="26"/>
          <w:lang w:val="es-CO" w:eastAsia="es-CO"/>
        </w:rPr>
        <w:t>En pensiones de siniestro, como las de invalidez y sobrevivientes, no es fácil establecer qué es una situación jurídica concreta. Empero, se ha entendido por la Jurisprudencia que la situación es concreta si se  cumple en estos casos con la densidad de semanas de cotización, dentro del plazo estrictamente exigido por la normatividad aplicable</w:t>
      </w:r>
    </w:p>
    <w:p w:rsidR="003C2555" w:rsidRPr="002F38B9" w:rsidRDefault="003C2555" w:rsidP="002F38B9">
      <w:pPr>
        <w:ind w:left="426" w:right="420" w:firstLine="708"/>
        <w:jc w:val="both"/>
        <w:rPr>
          <w:rFonts w:ascii="Arial Narrow" w:hAnsi="Arial Narrow" w:cs="Tahoma"/>
          <w:i/>
          <w:color w:val="000000"/>
          <w:szCs w:val="26"/>
          <w:lang w:val="es-CO" w:eastAsia="es-CO"/>
        </w:rPr>
      </w:pPr>
    </w:p>
    <w:p w:rsidR="003C2555" w:rsidRPr="002F38B9" w:rsidRDefault="003C2555" w:rsidP="002F38B9">
      <w:pPr>
        <w:ind w:left="426" w:right="420" w:firstLine="708"/>
        <w:jc w:val="both"/>
        <w:rPr>
          <w:rFonts w:ascii="Arial Narrow" w:hAnsi="Arial Narrow" w:cs="Tahoma"/>
          <w:i/>
          <w:color w:val="000000"/>
          <w:szCs w:val="26"/>
          <w:lang w:val="es-CO" w:eastAsia="es-CO"/>
        </w:rPr>
      </w:pPr>
      <w:r w:rsidRPr="002F38B9">
        <w:rPr>
          <w:rFonts w:ascii="Arial Narrow" w:hAnsi="Arial Narrow" w:cs="Tahoma"/>
          <w:i/>
          <w:color w:val="000000"/>
          <w:szCs w:val="26"/>
          <w:lang w:val="es-CO" w:eastAsia="es-CO"/>
        </w:rPr>
        <w:t xml:space="preserve">Así, por ejemplo en el régimen de los seguros sociales obligatorios, la situación es concreta si el afiliado cotizó 300 semanas antes de la vigencia de la Ley 100 de 1993, dado que la norma exigía ese número de semanas de cotización en todo el tiempo. </w:t>
      </w:r>
    </w:p>
    <w:p w:rsidR="003C2555" w:rsidRPr="002F38B9" w:rsidRDefault="003C2555" w:rsidP="002F38B9">
      <w:pPr>
        <w:ind w:left="426" w:right="420" w:firstLine="708"/>
        <w:jc w:val="both"/>
        <w:rPr>
          <w:rFonts w:ascii="Arial Narrow" w:hAnsi="Arial Narrow" w:cs="Tahoma"/>
          <w:i/>
          <w:color w:val="000000"/>
          <w:szCs w:val="26"/>
          <w:lang w:val="es-CO" w:eastAsia="es-CO"/>
        </w:rPr>
      </w:pPr>
    </w:p>
    <w:p w:rsidR="003C2555" w:rsidRPr="002F38B9" w:rsidRDefault="003C2555" w:rsidP="002F38B9">
      <w:pPr>
        <w:ind w:left="426" w:right="420" w:firstLine="708"/>
        <w:jc w:val="both"/>
        <w:rPr>
          <w:rFonts w:ascii="Arial Narrow" w:hAnsi="Arial Narrow" w:cs="Tahoma"/>
          <w:i/>
          <w:color w:val="000000"/>
          <w:szCs w:val="26"/>
          <w:lang w:eastAsia="es-CO"/>
        </w:rPr>
      </w:pPr>
      <w:r w:rsidRPr="002F38B9">
        <w:rPr>
          <w:rFonts w:ascii="Arial Narrow" w:hAnsi="Arial Narrow" w:cs="Tahoma"/>
          <w:i/>
          <w:color w:val="000000"/>
          <w:szCs w:val="26"/>
          <w:lang w:val="es-CO" w:eastAsia="es-CO"/>
        </w:rPr>
        <w:t>Con la vigencia de la Ley 100 de 1993, en parte puede existir una definición de situación concreta a estos efectos, dado que la norma precisa tal situación dependiendo de la cotización efectiva” (</w:t>
      </w:r>
      <w:proofErr w:type="spellStart"/>
      <w:r w:rsidRPr="002F38B9">
        <w:rPr>
          <w:rFonts w:ascii="Arial Narrow" w:hAnsi="Arial Narrow" w:cs="Tahoma"/>
          <w:i/>
          <w:color w:val="000000"/>
          <w:szCs w:val="26"/>
          <w:lang w:val="es-CO" w:eastAsia="es-CO"/>
        </w:rPr>
        <w:t>SL</w:t>
      </w:r>
      <w:proofErr w:type="spellEnd"/>
      <w:r w:rsidRPr="002F38B9">
        <w:rPr>
          <w:rFonts w:ascii="Arial Narrow" w:hAnsi="Arial Narrow" w:cs="Tahoma"/>
          <w:i/>
          <w:color w:val="000000"/>
          <w:szCs w:val="26"/>
          <w:lang w:val="es-CO" w:eastAsia="es-CO"/>
        </w:rPr>
        <w:t xml:space="preserve"> 4650 de 2017).      </w:t>
      </w:r>
    </w:p>
    <w:p w:rsidR="003C2555" w:rsidRPr="00EC5871" w:rsidRDefault="003C2555" w:rsidP="008D5D7D">
      <w:pPr>
        <w:spacing w:line="276" w:lineRule="auto"/>
        <w:ind w:firstLine="708"/>
        <w:jc w:val="both"/>
        <w:rPr>
          <w:rFonts w:ascii="Arial Narrow" w:hAnsi="Arial Narrow" w:cs="Tahoma"/>
          <w:color w:val="000000"/>
          <w:sz w:val="26"/>
          <w:szCs w:val="26"/>
          <w:lang w:eastAsia="es-CO"/>
        </w:rPr>
      </w:pPr>
    </w:p>
    <w:p w:rsidR="00817E3F" w:rsidRPr="00EC5871" w:rsidRDefault="003C2555" w:rsidP="008D5D7D">
      <w:pPr>
        <w:spacing w:line="276" w:lineRule="auto"/>
        <w:ind w:firstLine="708"/>
        <w:jc w:val="both"/>
        <w:rPr>
          <w:rFonts w:ascii="Arial Narrow" w:hAnsi="Arial Narrow" w:cs="Tahoma"/>
          <w:color w:val="FF0000"/>
          <w:sz w:val="26"/>
          <w:szCs w:val="26"/>
          <w:lang w:eastAsia="es-CO"/>
        </w:rPr>
      </w:pPr>
      <w:r w:rsidRPr="00EC5871">
        <w:rPr>
          <w:rFonts w:ascii="Arial Narrow" w:hAnsi="Arial Narrow" w:cs="Tahoma"/>
          <w:color w:val="000000"/>
          <w:sz w:val="26"/>
          <w:szCs w:val="26"/>
          <w:lang w:eastAsia="es-CO"/>
        </w:rPr>
        <w:t xml:space="preserve">Claro como quedó con lo dicho, especialmente, con la jurisprudencia memorada, ha de concluirse que el principio de la condición más beneficiosa es el medio interpretativo, </w:t>
      </w:r>
      <w:r w:rsidRPr="00EC5871">
        <w:rPr>
          <w:rFonts w:ascii="Arial Narrow" w:hAnsi="Arial Narrow" w:cs="Tahoma"/>
          <w:sz w:val="26"/>
          <w:szCs w:val="26"/>
          <w:lang w:eastAsia="es-CO"/>
        </w:rPr>
        <w:t xml:space="preserve">con el cual se amparan aquellas expectativas legítimas o situaciones jurídicas </w:t>
      </w:r>
      <w:r w:rsidR="006D25F3" w:rsidRPr="00EC5871">
        <w:rPr>
          <w:rFonts w:ascii="Arial Narrow" w:hAnsi="Arial Narrow" w:cs="Tahoma"/>
          <w:sz w:val="26"/>
          <w:szCs w:val="26"/>
          <w:lang w:eastAsia="es-CO"/>
        </w:rPr>
        <w:t>no consolidadas</w:t>
      </w:r>
      <w:r w:rsidRPr="00EC5871">
        <w:rPr>
          <w:rFonts w:ascii="Arial Narrow" w:hAnsi="Arial Narrow" w:cs="Tahoma"/>
          <w:sz w:val="26"/>
          <w:szCs w:val="26"/>
          <w:lang w:eastAsia="es-CO"/>
        </w:rPr>
        <w:t xml:space="preserve">, </w:t>
      </w:r>
      <w:r w:rsidR="00122183" w:rsidRPr="00EC5871">
        <w:rPr>
          <w:rFonts w:ascii="Arial Narrow" w:hAnsi="Arial Narrow" w:cs="Tahoma"/>
          <w:sz w:val="26"/>
          <w:szCs w:val="26"/>
          <w:lang w:eastAsia="es-CO"/>
        </w:rPr>
        <w:t xml:space="preserve">sin </w:t>
      </w:r>
      <w:r w:rsidR="00817E3F" w:rsidRPr="00EC5871">
        <w:rPr>
          <w:rFonts w:ascii="Arial Narrow" w:hAnsi="Arial Narrow" w:cs="Tahoma"/>
          <w:sz w:val="26"/>
          <w:szCs w:val="26"/>
          <w:lang w:eastAsia="es-CO"/>
        </w:rPr>
        <w:t>pre</w:t>
      </w:r>
      <w:r w:rsidR="006D25F3" w:rsidRPr="00EC5871">
        <w:rPr>
          <w:rFonts w:ascii="Arial Narrow" w:hAnsi="Arial Narrow" w:cs="Tahoma"/>
          <w:sz w:val="26"/>
          <w:szCs w:val="26"/>
          <w:lang w:eastAsia="es-CO"/>
        </w:rPr>
        <w:t xml:space="preserve">verse </w:t>
      </w:r>
      <w:r w:rsidR="00817E3F" w:rsidRPr="00EC5871">
        <w:rPr>
          <w:rFonts w:ascii="Arial Narrow" w:hAnsi="Arial Narrow" w:cs="Tahoma"/>
          <w:sz w:val="26"/>
          <w:szCs w:val="26"/>
          <w:lang w:eastAsia="es-CO"/>
        </w:rPr>
        <w:t xml:space="preserve">un </w:t>
      </w:r>
      <w:r w:rsidR="00122183" w:rsidRPr="00EC5871">
        <w:rPr>
          <w:rFonts w:ascii="Arial Narrow" w:hAnsi="Arial Narrow" w:cs="Tahoma"/>
          <w:sz w:val="26"/>
          <w:szCs w:val="26"/>
          <w:lang w:eastAsia="es-CO"/>
        </w:rPr>
        <w:t xml:space="preserve">régimen de transición que </w:t>
      </w:r>
      <w:r w:rsidR="00994F6C" w:rsidRPr="00EC5871">
        <w:rPr>
          <w:rFonts w:ascii="Arial Narrow" w:hAnsi="Arial Narrow" w:cs="Tahoma"/>
          <w:sz w:val="26"/>
          <w:szCs w:val="26"/>
          <w:lang w:eastAsia="es-CO"/>
        </w:rPr>
        <w:t xml:space="preserve">respetare por breve </w:t>
      </w:r>
      <w:r w:rsidR="00817E3F" w:rsidRPr="00EC5871">
        <w:rPr>
          <w:rFonts w:ascii="Arial Narrow" w:hAnsi="Arial Narrow" w:cs="Tahoma"/>
          <w:sz w:val="26"/>
          <w:szCs w:val="26"/>
          <w:lang w:eastAsia="es-CO"/>
        </w:rPr>
        <w:t>tiempo tales expectativas</w:t>
      </w:r>
      <w:r w:rsidR="00994F6C" w:rsidRPr="00EC5871">
        <w:rPr>
          <w:rFonts w:ascii="Arial Narrow" w:hAnsi="Arial Narrow" w:cs="Tahoma"/>
          <w:sz w:val="26"/>
          <w:szCs w:val="26"/>
          <w:lang w:eastAsia="es-CO"/>
        </w:rPr>
        <w:t xml:space="preserve"> legítimas, </w:t>
      </w:r>
      <w:r w:rsidR="00817E3F" w:rsidRPr="00EC5871">
        <w:rPr>
          <w:rFonts w:ascii="Arial Narrow" w:hAnsi="Arial Narrow" w:cs="Tahoma"/>
          <w:sz w:val="26"/>
          <w:szCs w:val="26"/>
          <w:lang w:eastAsia="es-CO"/>
        </w:rPr>
        <w:t>o cualquier otro medio legal que</w:t>
      </w:r>
      <w:r w:rsidR="006D25F3" w:rsidRPr="00EC5871">
        <w:rPr>
          <w:rFonts w:ascii="Arial Narrow" w:hAnsi="Arial Narrow" w:cs="Tahoma"/>
          <w:sz w:val="26"/>
          <w:szCs w:val="26"/>
          <w:lang w:eastAsia="es-CO"/>
        </w:rPr>
        <w:t xml:space="preserve"> posea el mismo propósito, tal es lo que </w:t>
      </w:r>
      <w:r w:rsidR="00817E3F" w:rsidRPr="00EC5871">
        <w:rPr>
          <w:rFonts w:ascii="Arial Narrow" w:hAnsi="Arial Narrow" w:cs="Tahoma"/>
          <w:sz w:val="26"/>
          <w:szCs w:val="26"/>
          <w:lang w:eastAsia="es-CO"/>
        </w:rPr>
        <w:t>sucede con la regulación legal de las prestacion</w:t>
      </w:r>
      <w:r w:rsidR="00994F6C" w:rsidRPr="00EC5871">
        <w:rPr>
          <w:rFonts w:ascii="Arial Narrow" w:hAnsi="Arial Narrow" w:cs="Tahoma"/>
          <w:sz w:val="26"/>
          <w:szCs w:val="26"/>
          <w:lang w:eastAsia="es-CO"/>
        </w:rPr>
        <w:t>es de invalidez o sobrevivencia</w:t>
      </w:r>
      <w:r w:rsidR="00817E3F" w:rsidRPr="00EC5871">
        <w:rPr>
          <w:rFonts w:ascii="Arial Narrow" w:hAnsi="Arial Narrow" w:cs="Tahoma"/>
          <w:sz w:val="26"/>
          <w:szCs w:val="26"/>
          <w:lang w:eastAsia="es-CO"/>
        </w:rPr>
        <w:t xml:space="preserve">, respecto de las cuales se haya cumplido al amparo de la disposición anterior la densidad de cotizaciones o similares, aunado a que el riesgo se materialice con posterioridad, por cuanto no se dieron las condiciones establecidas en la </w:t>
      </w:r>
      <w:r w:rsidR="006D25F3" w:rsidRPr="00EC5871">
        <w:rPr>
          <w:rFonts w:ascii="Arial Narrow" w:hAnsi="Arial Narrow" w:cs="Tahoma"/>
          <w:sz w:val="26"/>
          <w:szCs w:val="26"/>
          <w:lang w:eastAsia="es-CO"/>
        </w:rPr>
        <w:t>nueva normativa.</w:t>
      </w:r>
    </w:p>
    <w:p w:rsidR="003C2555" w:rsidRPr="00EC5871" w:rsidRDefault="003C2555" w:rsidP="008D5D7D">
      <w:pPr>
        <w:pStyle w:val="Sinespaciado"/>
        <w:spacing w:line="276" w:lineRule="auto"/>
        <w:rPr>
          <w:rFonts w:ascii="Arial Narrow" w:hAnsi="Arial Narrow"/>
          <w:sz w:val="26"/>
          <w:szCs w:val="26"/>
          <w:lang w:eastAsia="es-CO"/>
        </w:rPr>
      </w:pPr>
    </w:p>
    <w:p w:rsidR="003C2555" w:rsidRPr="00EC5871" w:rsidRDefault="003C2555" w:rsidP="008D5D7D">
      <w:pPr>
        <w:spacing w:line="276" w:lineRule="auto"/>
        <w:ind w:firstLine="708"/>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 xml:space="preserve">Con estas sub-reglas, se dispondrá la </w:t>
      </w:r>
      <w:r w:rsidR="00817E3F" w:rsidRPr="00EC5871">
        <w:rPr>
          <w:rFonts w:ascii="Arial Narrow" w:hAnsi="Arial Narrow" w:cs="Tahoma"/>
          <w:color w:val="000000"/>
          <w:sz w:val="26"/>
          <w:szCs w:val="26"/>
          <w:lang w:eastAsia="es-CO"/>
        </w:rPr>
        <w:t>Colegiatura</w:t>
      </w:r>
      <w:r w:rsidRPr="00EC5871">
        <w:rPr>
          <w:rFonts w:ascii="Arial Narrow" w:hAnsi="Arial Narrow" w:cs="Tahoma"/>
          <w:color w:val="000000"/>
          <w:sz w:val="26"/>
          <w:szCs w:val="26"/>
          <w:lang w:eastAsia="es-CO"/>
        </w:rPr>
        <w:t xml:space="preserve"> a analizar el caso puntual, </w:t>
      </w:r>
      <w:r w:rsidR="00262525" w:rsidRPr="00EC5871">
        <w:rPr>
          <w:rFonts w:ascii="Arial Narrow" w:hAnsi="Arial Narrow" w:cs="Tahoma"/>
          <w:color w:val="000000"/>
          <w:sz w:val="26"/>
          <w:szCs w:val="26"/>
          <w:lang w:eastAsia="es-CO"/>
        </w:rPr>
        <w:t>aludiendo desde ya</w:t>
      </w:r>
      <w:r w:rsidR="00817E3F" w:rsidRPr="00EC5871">
        <w:rPr>
          <w:rFonts w:ascii="Arial Narrow" w:hAnsi="Arial Narrow" w:cs="Tahoma"/>
          <w:color w:val="000000"/>
          <w:sz w:val="26"/>
          <w:szCs w:val="26"/>
          <w:lang w:eastAsia="es-CO"/>
        </w:rPr>
        <w:t>,</w:t>
      </w:r>
      <w:r w:rsidRPr="00EC5871">
        <w:rPr>
          <w:rFonts w:ascii="Arial Narrow" w:hAnsi="Arial Narrow" w:cs="Tahoma"/>
          <w:color w:val="000000"/>
          <w:sz w:val="26"/>
          <w:szCs w:val="26"/>
          <w:lang w:eastAsia="es-CO"/>
        </w:rPr>
        <w:t xml:space="preserve"> que</w:t>
      </w:r>
      <w:r w:rsidR="00817E3F" w:rsidRPr="00EC5871">
        <w:rPr>
          <w:rFonts w:ascii="Arial Narrow" w:hAnsi="Arial Narrow" w:cs="Tahoma"/>
          <w:color w:val="000000"/>
          <w:sz w:val="26"/>
          <w:szCs w:val="26"/>
          <w:lang w:eastAsia="es-CO"/>
        </w:rPr>
        <w:t xml:space="preserve"> la respuesta que se brindará a los </w:t>
      </w:r>
      <w:r w:rsidR="00031461" w:rsidRPr="00EC5871">
        <w:rPr>
          <w:rFonts w:ascii="Arial Narrow" w:hAnsi="Arial Narrow" w:cs="Tahoma"/>
          <w:color w:val="000000"/>
          <w:sz w:val="26"/>
          <w:szCs w:val="26"/>
          <w:lang w:eastAsia="es-CO"/>
        </w:rPr>
        <w:t>interrogantes jurídicos s</w:t>
      </w:r>
      <w:r w:rsidR="00817E3F" w:rsidRPr="00EC5871">
        <w:rPr>
          <w:rFonts w:ascii="Arial Narrow" w:hAnsi="Arial Narrow" w:cs="Tahoma"/>
          <w:color w:val="000000"/>
          <w:sz w:val="26"/>
          <w:szCs w:val="26"/>
          <w:lang w:eastAsia="es-CO"/>
        </w:rPr>
        <w:t xml:space="preserve">erá </w:t>
      </w:r>
      <w:r w:rsidRPr="00EC5871">
        <w:rPr>
          <w:rFonts w:ascii="Arial Narrow" w:hAnsi="Arial Narrow" w:cs="Tahoma"/>
          <w:color w:val="000000"/>
          <w:sz w:val="26"/>
          <w:szCs w:val="26"/>
          <w:lang w:eastAsia="es-CO"/>
        </w:rPr>
        <w:t xml:space="preserve">negativa, amén que el causante </w:t>
      </w:r>
      <w:r w:rsidR="00262525" w:rsidRPr="00EC5871">
        <w:rPr>
          <w:rFonts w:ascii="Arial Narrow" w:hAnsi="Arial Narrow" w:cs="Tahoma"/>
          <w:color w:val="000000"/>
          <w:sz w:val="26"/>
          <w:szCs w:val="26"/>
          <w:lang w:eastAsia="es-CO"/>
        </w:rPr>
        <w:t xml:space="preserve">Leonardo Fabio Gómez Arredondo </w:t>
      </w:r>
      <w:r w:rsidRPr="00EC5871">
        <w:rPr>
          <w:rFonts w:ascii="Arial Narrow" w:hAnsi="Arial Narrow" w:cs="Tahoma"/>
          <w:color w:val="000000"/>
          <w:sz w:val="26"/>
          <w:szCs w:val="26"/>
          <w:lang w:eastAsia="es-CO"/>
        </w:rPr>
        <w:t xml:space="preserve">no efectuó </w:t>
      </w:r>
      <w:r w:rsidR="00905B2A" w:rsidRPr="00EC5871">
        <w:rPr>
          <w:rFonts w:ascii="Arial Narrow" w:hAnsi="Arial Narrow" w:cs="Tahoma"/>
          <w:color w:val="000000"/>
          <w:sz w:val="26"/>
          <w:szCs w:val="26"/>
          <w:lang w:eastAsia="es-CO"/>
        </w:rPr>
        <w:t xml:space="preserve">conforme lo exige el artículo 12 de la </w:t>
      </w:r>
      <w:r w:rsidR="00905B2A" w:rsidRPr="00EC5871">
        <w:rPr>
          <w:rFonts w:ascii="Arial Narrow" w:hAnsi="Arial Narrow" w:cs="Tahoma"/>
          <w:color w:val="000000"/>
          <w:sz w:val="26"/>
          <w:szCs w:val="26"/>
          <w:lang w:eastAsia="es-CO"/>
        </w:rPr>
        <w:lastRenderedPageBreak/>
        <w:t>Ley 797 de 2003, 50 semanas dentro de los 3 años anteriores al deceso, pues según la certificación emitida por el fondo privado, visible a folio 81, únicamente reporta</w:t>
      </w:r>
      <w:r w:rsidR="00503DB0" w:rsidRPr="00EC5871">
        <w:rPr>
          <w:rFonts w:ascii="Arial Narrow" w:hAnsi="Arial Narrow" w:cs="Tahoma"/>
          <w:color w:val="000000"/>
          <w:sz w:val="26"/>
          <w:szCs w:val="26"/>
          <w:lang w:eastAsia="es-CO"/>
        </w:rPr>
        <w:t xml:space="preserve"> durante ese lapso un total de </w:t>
      </w:r>
      <w:r w:rsidR="00905B2A" w:rsidRPr="00EC5871">
        <w:rPr>
          <w:rFonts w:ascii="Arial Narrow" w:hAnsi="Arial Narrow" w:cs="Tahoma"/>
          <w:color w:val="000000"/>
          <w:sz w:val="26"/>
          <w:szCs w:val="26"/>
          <w:lang w:eastAsia="es-CO"/>
        </w:rPr>
        <w:t xml:space="preserve">41.71 semanas </w:t>
      </w:r>
      <w:r w:rsidR="00503DB0" w:rsidRPr="00EC5871">
        <w:rPr>
          <w:rFonts w:ascii="Arial Narrow" w:hAnsi="Arial Narrow" w:cs="Tahoma"/>
          <w:color w:val="000000"/>
          <w:sz w:val="26"/>
          <w:szCs w:val="26"/>
          <w:lang w:eastAsia="es-CO"/>
        </w:rPr>
        <w:t xml:space="preserve">de aportes. Aunado a ello, tampoco reporta cotización alguna </w:t>
      </w:r>
      <w:r w:rsidRPr="00EC5871">
        <w:rPr>
          <w:rFonts w:ascii="Arial Narrow" w:hAnsi="Arial Narrow" w:cs="Tahoma"/>
          <w:color w:val="000000"/>
          <w:sz w:val="26"/>
          <w:szCs w:val="26"/>
          <w:lang w:eastAsia="es-CO"/>
        </w:rPr>
        <w:t>al sistema pensional, cuando estaba vigente la Ley 100 de 1993 en su versión original, pues</w:t>
      </w:r>
      <w:r w:rsidR="00503DB0" w:rsidRPr="00EC5871">
        <w:rPr>
          <w:rFonts w:ascii="Arial Narrow" w:hAnsi="Arial Narrow" w:cs="Tahoma"/>
          <w:color w:val="000000"/>
          <w:sz w:val="26"/>
          <w:szCs w:val="26"/>
          <w:lang w:eastAsia="es-CO"/>
        </w:rPr>
        <w:t xml:space="preserve">to que </w:t>
      </w:r>
      <w:r w:rsidRPr="00EC5871">
        <w:rPr>
          <w:rFonts w:ascii="Arial Narrow" w:hAnsi="Arial Narrow" w:cs="Tahoma"/>
          <w:color w:val="000000"/>
          <w:sz w:val="26"/>
          <w:szCs w:val="26"/>
          <w:lang w:eastAsia="es-CO"/>
        </w:rPr>
        <w:t xml:space="preserve">su afiliación al sistema pensional apenas se dio para el ciclo </w:t>
      </w:r>
      <w:r w:rsidR="00C769A8" w:rsidRPr="00EC5871">
        <w:rPr>
          <w:rFonts w:ascii="Arial Narrow" w:hAnsi="Arial Narrow" w:cs="Tahoma"/>
          <w:color w:val="000000"/>
          <w:sz w:val="26"/>
          <w:szCs w:val="26"/>
          <w:lang w:eastAsia="es-CO"/>
        </w:rPr>
        <w:t>febrero de 2007</w:t>
      </w:r>
      <w:r w:rsidRPr="00EC5871">
        <w:rPr>
          <w:rFonts w:ascii="Arial Narrow" w:hAnsi="Arial Narrow" w:cs="Tahoma"/>
          <w:color w:val="000000"/>
          <w:sz w:val="26"/>
          <w:szCs w:val="26"/>
          <w:lang w:eastAsia="es-CO"/>
        </w:rPr>
        <w:t xml:space="preserve"> como se observa </w:t>
      </w:r>
      <w:r w:rsidR="00817E3F" w:rsidRPr="00EC5871">
        <w:rPr>
          <w:rFonts w:ascii="Arial Narrow" w:hAnsi="Arial Narrow" w:cs="Tahoma"/>
          <w:color w:val="000000"/>
          <w:sz w:val="26"/>
          <w:szCs w:val="26"/>
          <w:lang w:eastAsia="es-CO"/>
        </w:rPr>
        <w:t xml:space="preserve">en </w:t>
      </w:r>
      <w:r w:rsidR="00C769A8" w:rsidRPr="00EC5871">
        <w:rPr>
          <w:rFonts w:ascii="Arial Narrow" w:hAnsi="Arial Narrow" w:cs="Tahoma"/>
          <w:color w:val="000000"/>
          <w:sz w:val="26"/>
          <w:szCs w:val="26"/>
          <w:lang w:eastAsia="es-CO"/>
        </w:rPr>
        <w:t>los documentos visibles a folios 74 y 75</w:t>
      </w:r>
      <w:r w:rsidRPr="00EC5871">
        <w:rPr>
          <w:rFonts w:ascii="Arial Narrow" w:hAnsi="Arial Narrow" w:cs="Tahoma"/>
          <w:color w:val="000000"/>
          <w:sz w:val="26"/>
          <w:szCs w:val="26"/>
          <w:lang w:eastAsia="es-CO"/>
        </w:rPr>
        <w:t xml:space="preserve">, lo que necesariamente implica, la imposibilidad de </w:t>
      </w:r>
      <w:r w:rsidR="00817E3F" w:rsidRPr="00EC5871">
        <w:rPr>
          <w:rFonts w:ascii="Arial Narrow" w:hAnsi="Arial Narrow" w:cs="Tahoma"/>
          <w:color w:val="000000"/>
          <w:sz w:val="26"/>
          <w:szCs w:val="26"/>
          <w:lang w:eastAsia="es-CO"/>
        </w:rPr>
        <w:t>dar aplicación al citado principio, en la medida en que, su situación tampoco estuvo subsumida en la precedente</w:t>
      </w:r>
      <w:r w:rsidR="005853B1" w:rsidRPr="00EC5871">
        <w:rPr>
          <w:rFonts w:ascii="Arial Narrow" w:hAnsi="Arial Narrow" w:cs="Tahoma"/>
          <w:color w:val="000000"/>
          <w:sz w:val="26"/>
          <w:szCs w:val="26"/>
          <w:lang w:eastAsia="es-CO"/>
        </w:rPr>
        <w:t xml:space="preserve"> legislación</w:t>
      </w:r>
      <w:r w:rsidR="00817E3F" w:rsidRPr="00EC5871">
        <w:rPr>
          <w:rFonts w:ascii="Arial Narrow" w:hAnsi="Arial Narrow" w:cs="Tahoma"/>
          <w:color w:val="000000"/>
          <w:sz w:val="26"/>
          <w:szCs w:val="26"/>
          <w:lang w:eastAsia="es-CO"/>
        </w:rPr>
        <w:t xml:space="preserve">. </w:t>
      </w:r>
    </w:p>
    <w:p w:rsidR="00503DB0" w:rsidRPr="00EC5871" w:rsidRDefault="00503DB0" w:rsidP="008D5D7D">
      <w:pPr>
        <w:pStyle w:val="Sinespaciado"/>
        <w:spacing w:line="276" w:lineRule="auto"/>
        <w:rPr>
          <w:rFonts w:ascii="Arial Narrow" w:hAnsi="Arial Narrow"/>
          <w:sz w:val="26"/>
          <w:szCs w:val="26"/>
          <w:lang w:eastAsia="es-CO"/>
        </w:rPr>
      </w:pPr>
    </w:p>
    <w:p w:rsidR="003C2555" w:rsidRPr="00EC5871" w:rsidRDefault="003C2555" w:rsidP="008D5D7D">
      <w:pPr>
        <w:spacing w:line="276" w:lineRule="auto"/>
        <w:ind w:firstLine="708"/>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 xml:space="preserve">Claramente, como ya se dijo, no es que el beneficiario pueda escoger </w:t>
      </w:r>
      <w:r w:rsidR="00817E3F" w:rsidRPr="00EC5871">
        <w:rPr>
          <w:rFonts w:ascii="Arial Narrow" w:hAnsi="Arial Narrow" w:cs="Tahoma"/>
          <w:color w:val="000000"/>
          <w:sz w:val="26"/>
          <w:szCs w:val="26"/>
          <w:lang w:eastAsia="es-CO"/>
        </w:rPr>
        <w:t xml:space="preserve">la </w:t>
      </w:r>
      <w:r w:rsidRPr="00EC5871">
        <w:rPr>
          <w:rFonts w:ascii="Arial Narrow" w:hAnsi="Arial Narrow" w:cs="Tahoma"/>
          <w:color w:val="000000"/>
          <w:sz w:val="26"/>
          <w:szCs w:val="26"/>
          <w:lang w:eastAsia="es-CO"/>
        </w:rPr>
        <w:t xml:space="preserve">norma </w:t>
      </w:r>
      <w:r w:rsidR="00817E3F" w:rsidRPr="00EC5871">
        <w:rPr>
          <w:rFonts w:ascii="Arial Narrow" w:hAnsi="Arial Narrow" w:cs="Tahoma"/>
          <w:color w:val="000000"/>
          <w:sz w:val="26"/>
          <w:szCs w:val="26"/>
          <w:lang w:eastAsia="es-CO"/>
        </w:rPr>
        <w:t xml:space="preserve">que </w:t>
      </w:r>
      <w:r w:rsidRPr="00EC5871">
        <w:rPr>
          <w:rFonts w:ascii="Arial Narrow" w:hAnsi="Arial Narrow" w:cs="Tahoma"/>
          <w:color w:val="000000"/>
          <w:sz w:val="26"/>
          <w:szCs w:val="26"/>
          <w:lang w:eastAsia="es-CO"/>
        </w:rPr>
        <w:t xml:space="preserve">regula su </w:t>
      </w:r>
      <w:r w:rsidR="00817E3F" w:rsidRPr="00EC5871">
        <w:rPr>
          <w:rFonts w:ascii="Arial Narrow" w:hAnsi="Arial Narrow" w:cs="Tahoma"/>
          <w:color w:val="000000"/>
          <w:sz w:val="26"/>
          <w:szCs w:val="26"/>
          <w:lang w:eastAsia="es-CO"/>
        </w:rPr>
        <w:t>situación</w:t>
      </w:r>
      <w:r w:rsidRPr="00EC5871">
        <w:rPr>
          <w:rFonts w:ascii="Arial Narrow" w:hAnsi="Arial Narrow" w:cs="Tahoma"/>
          <w:color w:val="000000"/>
          <w:sz w:val="26"/>
          <w:szCs w:val="26"/>
          <w:lang w:eastAsia="es-CO"/>
        </w:rPr>
        <w:t>, sino que, alcanzado</w:t>
      </w:r>
      <w:r w:rsidR="00817E3F" w:rsidRPr="00EC5871">
        <w:rPr>
          <w:rFonts w:ascii="Arial Narrow" w:hAnsi="Arial Narrow" w:cs="Tahoma"/>
          <w:color w:val="000000"/>
          <w:sz w:val="26"/>
          <w:szCs w:val="26"/>
          <w:lang w:eastAsia="es-CO"/>
        </w:rPr>
        <w:t>s</w:t>
      </w:r>
      <w:r w:rsidRPr="00EC5871">
        <w:rPr>
          <w:rFonts w:ascii="Arial Narrow" w:hAnsi="Arial Narrow" w:cs="Tahoma"/>
          <w:color w:val="000000"/>
          <w:sz w:val="26"/>
          <w:szCs w:val="26"/>
          <w:lang w:eastAsia="es-CO"/>
        </w:rPr>
        <w:t xml:space="preserve"> los presupuestos</w:t>
      </w:r>
      <w:r w:rsidR="00817E3F" w:rsidRPr="00EC5871">
        <w:rPr>
          <w:rFonts w:ascii="Arial Narrow" w:hAnsi="Arial Narrow" w:cs="Tahoma"/>
          <w:color w:val="000000"/>
          <w:sz w:val="26"/>
          <w:szCs w:val="26"/>
          <w:lang w:eastAsia="es-CO"/>
        </w:rPr>
        <w:t xml:space="preserve"> consagrados en la </w:t>
      </w:r>
      <w:r w:rsidR="00871654" w:rsidRPr="00EC5871">
        <w:rPr>
          <w:rFonts w:ascii="Arial Narrow" w:hAnsi="Arial Narrow" w:cs="Tahoma"/>
          <w:color w:val="000000"/>
          <w:sz w:val="26"/>
          <w:szCs w:val="26"/>
          <w:lang w:eastAsia="es-CO"/>
        </w:rPr>
        <w:t xml:space="preserve">legislación </w:t>
      </w:r>
      <w:r w:rsidR="00817E3F" w:rsidRPr="00EC5871">
        <w:rPr>
          <w:rFonts w:ascii="Arial Narrow" w:hAnsi="Arial Narrow" w:cs="Tahoma"/>
          <w:color w:val="000000"/>
          <w:sz w:val="26"/>
          <w:szCs w:val="26"/>
          <w:lang w:eastAsia="es-CO"/>
        </w:rPr>
        <w:t>precedente</w:t>
      </w:r>
      <w:r w:rsidRPr="00EC5871">
        <w:rPr>
          <w:rFonts w:ascii="Arial Narrow" w:hAnsi="Arial Narrow" w:cs="Tahoma"/>
          <w:color w:val="000000"/>
          <w:sz w:val="26"/>
          <w:szCs w:val="26"/>
          <w:lang w:eastAsia="es-CO"/>
        </w:rPr>
        <w:t xml:space="preserve">, </w:t>
      </w:r>
      <w:r w:rsidR="00871654" w:rsidRPr="00EC5871">
        <w:rPr>
          <w:rFonts w:ascii="Arial Narrow" w:hAnsi="Arial Narrow" w:cs="Tahoma"/>
          <w:color w:val="000000"/>
          <w:sz w:val="26"/>
          <w:szCs w:val="26"/>
          <w:lang w:eastAsia="es-CO"/>
        </w:rPr>
        <w:t xml:space="preserve">se pueda activar bajo el imperio de la </w:t>
      </w:r>
      <w:r w:rsidR="00360B86" w:rsidRPr="00EC5871">
        <w:rPr>
          <w:rFonts w:ascii="Arial Narrow" w:hAnsi="Arial Narrow" w:cs="Tahoma"/>
          <w:color w:val="000000"/>
          <w:sz w:val="26"/>
          <w:szCs w:val="26"/>
          <w:lang w:eastAsia="es-CO"/>
        </w:rPr>
        <w:t>nueva</w:t>
      </w:r>
      <w:r w:rsidR="00871654" w:rsidRPr="00EC5871">
        <w:rPr>
          <w:rFonts w:ascii="Arial Narrow" w:hAnsi="Arial Narrow" w:cs="Tahoma"/>
          <w:color w:val="000000"/>
          <w:sz w:val="26"/>
          <w:szCs w:val="26"/>
          <w:lang w:eastAsia="es-CO"/>
        </w:rPr>
        <w:t xml:space="preserve">, </w:t>
      </w:r>
      <w:r w:rsidRPr="00EC5871">
        <w:rPr>
          <w:rFonts w:ascii="Arial Narrow" w:hAnsi="Arial Narrow" w:cs="Tahoma"/>
          <w:color w:val="000000"/>
          <w:sz w:val="26"/>
          <w:szCs w:val="26"/>
          <w:lang w:eastAsia="es-CO"/>
        </w:rPr>
        <w:t>la protección especial a su expectativa legitima, brindada por el principio de la condición más beneficiosa.</w:t>
      </w:r>
    </w:p>
    <w:p w:rsidR="003C2555" w:rsidRPr="00EC5871" w:rsidRDefault="003C2555" w:rsidP="008D5D7D">
      <w:pPr>
        <w:pStyle w:val="Sinespaciado"/>
        <w:spacing w:line="276" w:lineRule="auto"/>
        <w:rPr>
          <w:rFonts w:ascii="Arial Narrow" w:hAnsi="Arial Narrow"/>
          <w:sz w:val="26"/>
          <w:szCs w:val="26"/>
          <w:lang w:eastAsia="es-CO"/>
        </w:rPr>
      </w:pPr>
    </w:p>
    <w:p w:rsidR="003C2555" w:rsidRPr="00EC5871" w:rsidRDefault="003C2555" w:rsidP="008D5D7D">
      <w:pPr>
        <w:spacing w:line="276" w:lineRule="auto"/>
        <w:ind w:firstLine="708"/>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Así las cosas, se itera, el afiliado fallecido no dejó causado el derecho pensional a sus beneficiarios, razón</w:t>
      </w:r>
      <w:r w:rsidR="00C769A8" w:rsidRPr="00EC5871">
        <w:rPr>
          <w:rFonts w:ascii="Arial Narrow" w:hAnsi="Arial Narrow" w:cs="Tahoma"/>
          <w:color w:val="000000"/>
          <w:sz w:val="26"/>
          <w:szCs w:val="26"/>
          <w:lang w:eastAsia="es-CO"/>
        </w:rPr>
        <w:t xml:space="preserve"> por la cual, tal como lo hizo el</w:t>
      </w:r>
      <w:r w:rsidRPr="00EC5871">
        <w:rPr>
          <w:rFonts w:ascii="Arial Narrow" w:hAnsi="Arial Narrow" w:cs="Tahoma"/>
          <w:color w:val="000000"/>
          <w:sz w:val="26"/>
          <w:szCs w:val="26"/>
          <w:lang w:eastAsia="es-CO"/>
        </w:rPr>
        <w:t xml:space="preserve"> a-quo, s</w:t>
      </w:r>
      <w:r w:rsidR="00C769A8" w:rsidRPr="00EC5871">
        <w:rPr>
          <w:rFonts w:ascii="Arial Narrow" w:hAnsi="Arial Narrow" w:cs="Tahoma"/>
          <w:color w:val="000000"/>
          <w:sz w:val="26"/>
          <w:szCs w:val="26"/>
          <w:lang w:eastAsia="es-CO"/>
        </w:rPr>
        <w:t xml:space="preserve">e deben negar las pretensiones de la demanda. </w:t>
      </w:r>
    </w:p>
    <w:p w:rsidR="00C769A8" w:rsidRPr="00EC5871" w:rsidRDefault="00C769A8" w:rsidP="008D5D7D">
      <w:pPr>
        <w:pStyle w:val="Sinespaciado"/>
        <w:spacing w:line="276" w:lineRule="auto"/>
        <w:rPr>
          <w:rFonts w:ascii="Arial Narrow" w:hAnsi="Arial Narrow"/>
          <w:sz w:val="26"/>
          <w:szCs w:val="26"/>
          <w:lang w:eastAsia="es-CO"/>
        </w:rPr>
      </w:pPr>
    </w:p>
    <w:p w:rsidR="003C2555" w:rsidRPr="00EC5871" w:rsidRDefault="00C769A8" w:rsidP="008D5D7D">
      <w:pPr>
        <w:spacing w:line="276" w:lineRule="auto"/>
        <w:ind w:firstLine="708"/>
        <w:jc w:val="both"/>
        <w:rPr>
          <w:rFonts w:ascii="Arial Narrow" w:hAnsi="Arial Narrow" w:cs="Tahoma"/>
          <w:color w:val="000000"/>
          <w:sz w:val="26"/>
          <w:szCs w:val="26"/>
          <w:lang w:eastAsia="es-CO"/>
        </w:rPr>
      </w:pPr>
      <w:r w:rsidRPr="00EC5871">
        <w:rPr>
          <w:rFonts w:ascii="Arial Narrow" w:hAnsi="Arial Narrow" w:cs="Tahoma"/>
          <w:color w:val="000000"/>
          <w:sz w:val="26"/>
          <w:szCs w:val="26"/>
          <w:lang w:eastAsia="es-CO"/>
        </w:rPr>
        <w:t xml:space="preserve">Sin costas en esta instancia, dado que el asunto se conoce en grado jurisdiccional de consulta. </w:t>
      </w:r>
    </w:p>
    <w:p w:rsidR="003C2555" w:rsidRPr="00EC5871" w:rsidRDefault="003C2555" w:rsidP="008D5D7D">
      <w:pPr>
        <w:pStyle w:val="Sinespaciado"/>
        <w:spacing w:line="276" w:lineRule="auto"/>
        <w:rPr>
          <w:rFonts w:ascii="Arial Narrow" w:hAnsi="Arial Narrow"/>
          <w:sz w:val="26"/>
          <w:szCs w:val="26"/>
          <w:lang w:val="es-CO"/>
        </w:rPr>
      </w:pPr>
    </w:p>
    <w:p w:rsidR="003C2555" w:rsidRPr="00EC5871" w:rsidRDefault="003C2555" w:rsidP="008D5D7D">
      <w:pPr>
        <w:pStyle w:val="Prrafodelista1"/>
        <w:spacing w:after="0"/>
        <w:ind w:left="0" w:firstLine="900"/>
        <w:jc w:val="both"/>
        <w:rPr>
          <w:rFonts w:ascii="Arial Narrow" w:hAnsi="Arial Narrow"/>
          <w:sz w:val="26"/>
          <w:szCs w:val="26"/>
        </w:rPr>
      </w:pPr>
      <w:r w:rsidRPr="00EC5871">
        <w:rPr>
          <w:rFonts w:ascii="Arial Narrow" w:hAnsi="Arial Narrow"/>
          <w:sz w:val="26"/>
          <w:szCs w:val="26"/>
        </w:rPr>
        <w:t xml:space="preserve">En mérito de lo expuesto, el </w:t>
      </w:r>
      <w:r w:rsidRPr="00EC5871">
        <w:rPr>
          <w:rFonts w:ascii="Arial Narrow" w:hAnsi="Arial Narrow"/>
          <w:b/>
          <w:i/>
          <w:sz w:val="26"/>
          <w:szCs w:val="26"/>
        </w:rPr>
        <w:t xml:space="preserve">H. Tribunal Superior del Distrito Judicial de Pereira - Risaralda, Sala </w:t>
      </w:r>
      <w:r w:rsidR="00C769A8" w:rsidRPr="00EC5871">
        <w:rPr>
          <w:rFonts w:ascii="Arial Narrow" w:hAnsi="Arial Narrow"/>
          <w:b/>
          <w:i/>
          <w:sz w:val="26"/>
          <w:szCs w:val="26"/>
        </w:rPr>
        <w:t xml:space="preserve">Cuarta de Decisión </w:t>
      </w:r>
      <w:r w:rsidRPr="00EC5871">
        <w:rPr>
          <w:rFonts w:ascii="Arial Narrow" w:hAnsi="Arial Narrow"/>
          <w:b/>
          <w:i/>
          <w:sz w:val="26"/>
          <w:szCs w:val="26"/>
        </w:rPr>
        <w:t>Laboral,</w:t>
      </w:r>
      <w:r w:rsidRPr="00EC5871">
        <w:rPr>
          <w:rFonts w:ascii="Arial Narrow" w:hAnsi="Arial Narrow"/>
          <w:sz w:val="26"/>
          <w:szCs w:val="26"/>
        </w:rPr>
        <w:t xml:space="preserve"> administrando justicia en nombre de la República y por autoridad de la ley,</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spacing w:line="276" w:lineRule="auto"/>
        <w:jc w:val="center"/>
        <w:rPr>
          <w:rFonts w:ascii="Arial Narrow" w:hAnsi="Arial Narrow" w:cs="Arial"/>
          <w:b/>
          <w:i/>
          <w:sz w:val="26"/>
          <w:szCs w:val="26"/>
        </w:rPr>
      </w:pPr>
      <w:r w:rsidRPr="00EC5871">
        <w:rPr>
          <w:rFonts w:ascii="Arial Narrow" w:hAnsi="Arial Narrow" w:cs="Arial"/>
          <w:b/>
          <w:i/>
          <w:sz w:val="26"/>
          <w:szCs w:val="26"/>
        </w:rPr>
        <w:t>FALLA</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pStyle w:val="Textoindependiente31"/>
        <w:spacing w:line="276" w:lineRule="auto"/>
        <w:ind w:firstLine="426"/>
        <w:rPr>
          <w:rFonts w:ascii="Arial Narrow" w:hAnsi="Arial Narrow" w:cs="Arial"/>
          <w:sz w:val="26"/>
          <w:szCs w:val="26"/>
        </w:rPr>
      </w:pPr>
      <w:r w:rsidRPr="00EC5871">
        <w:rPr>
          <w:rFonts w:ascii="Arial Narrow" w:hAnsi="Arial Narrow" w:cs="Arial"/>
          <w:b/>
          <w:i/>
          <w:spacing w:val="-2"/>
          <w:sz w:val="26"/>
          <w:szCs w:val="26"/>
        </w:rPr>
        <w:t xml:space="preserve">1. Confirmar </w:t>
      </w:r>
      <w:r w:rsidRPr="00EC5871">
        <w:rPr>
          <w:rFonts w:ascii="Arial Narrow" w:hAnsi="Arial Narrow" w:cs="Arial"/>
          <w:sz w:val="26"/>
          <w:szCs w:val="26"/>
        </w:rPr>
        <w:t xml:space="preserve">la sentencia proferida el </w:t>
      </w:r>
      <w:r w:rsidR="00C769A8" w:rsidRPr="00EC5871">
        <w:rPr>
          <w:rFonts w:ascii="Arial Narrow" w:hAnsi="Arial Narrow" w:cs="Arial"/>
          <w:sz w:val="26"/>
          <w:szCs w:val="26"/>
        </w:rPr>
        <w:t>16 de octubre de 2018</w:t>
      </w:r>
      <w:r w:rsidRPr="00EC5871">
        <w:rPr>
          <w:rFonts w:ascii="Arial Narrow" w:hAnsi="Arial Narrow" w:cs="Arial"/>
          <w:sz w:val="26"/>
          <w:szCs w:val="26"/>
        </w:rPr>
        <w:t xml:space="preserve"> por el Juzgado Cuarto Laboral del Circuito de Pereira, dentro del proceso ordinario laboral de la referencia.</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pStyle w:val="Textoindependiente31"/>
        <w:spacing w:line="276" w:lineRule="auto"/>
        <w:ind w:firstLine="426"/>
        <w:rPr>
          <w:rFonts w:ascii="Arial Narrow" w:hAnsi="Arial Narrow" w:cs="Arial"/>
          <w:b/>
          <w:bCs/>
          <w:sz w:val="26"/>
          <w:szCs w:val="26"/>
        </w:rPr>
      </w:pPr>
      <w:r w:rsidRPr="00EC5871">
        <w:rPr>
          <w:rFonts w:ascii="Arial Narrow" w:hAnsi="Arial Narrow" w:cs="Arial"/>
          <w:b/>
          <w:bCs/>
          <w:i/>
          <w:sz w:val="26"/>
          <w:szCs w:val="26"/>
        </w:rPr>
        <w:t xml:space="preserve">2. </w:t>
      </w:r>
      <w:r w:rsidR="00C769A8" w:rsidRPr="00EC5871">
        <w:rPr>
          <w:rFonts w:ascii="Arial Narrow" w:hAnsi="Arial Narrow" w:cs="Arial"/>
          <w:b/>
          <w:bCs/>
          <w:sz w:val="26"/>
          <w:szCs w:val="26"/>
        </w:rPr>
        <w:t>Sin c</w:t>
      </w:r>
      <w:r w:rsidRPr="00EC5871">
        <w:rPr>
          <w:rFonts w:ascii="Arial Narrow" w:hAnsi="Arial Narrow" w:cs="Arial"/>
          <w:b/>
          <w:bCs/>
          <w:sz w:val="26"/>
          <w:szCs w:val="26"/>
        </w:rPr>
        <w:t xml:space="preserve">ostas </w:t>
      </w:r>
      <w:r w:rsidRPr="00EC5871">
        <w:rPr>
          <w:rFonts w:ascii="Arial Narrow" w:hAnsi="Arial Narrow" w:cs="Arial"/>
          <w:bCs/>
          <w:sz w:val="26"/>
          <w:szCs w:val="26"/>
        </w:rPr>
        <w:t>en esta instancia</w:t>
      </w:r>
      <w:r w:rsidRPr="00EC5871">
        <w:rPr>
          <w:rFonts w:ascii="Arial Narrow" w:hAnsi="Arial Narrow" w:cs="Arial"/>
          <w:b/>
          <w:bCs/>
          <w:sz w:val="26"/>
          <w:szCs w:val="26"/>
        </w:rPr>
        <w:t>.</w:t>
      </w:r>
    </w:p>
    <w:p w:rsidR="003C2555" w:rsidRPr="00EC5871" w:rsidRDefault="003C2555" w:rsidP="008D5D7D">
      <w:pPr>
        <w:pStyle w:val="Sinespaciado"/>
        <w:spacing w:line="276" w:lineRule="auto"/>
        <w:rPr>
          <w:rFonts w:ascii="Arial Narrow" w:hAnsi="Arial Narrow"/>
          <w:sz w:val="26"/>
          <w:szCs w:val="26"/>
        </w:rPr>
      </w:pPr>
    </w:p>
    <w:p w:rsidR="003C2555" w:rsidRPr="00EC5871" w:rsidRDefault="003C2555" w:rsidP="008D5D7D">
      <w:pPr>
        <w:spacing w:line="276" w:lineRule="auto"/>
        <w:ind w:firstLine="900"/>
        <w:jc w:val="both"/>
        <w:rPr>
          <w:rFonts w:ascii="Arial Narrow" w:hAnsi="Arial Narrow" w:cs="Microsoft Sans Serif"/>
          <w:b/>
          <w:bCs/>
          <w:i/>
          <w:iCs/>
          <w:sz w:val="26"/>
          <w:szCs w:val="26"/>
          <w:lang w:val="es-ES"/>
        </w:rPr>
      </w:pPr>
      <w:r w:rsidRPr="00EC5871">
        <w:rPr>
          <w:rFonts w:ascii="Arial Narrow" w:hAnsi="Arial Narrow" w:cs="Microsoft Sans Serif"/>
          <w:b/>
          <w:bCs/>
          <w:i/>
          <w:iCs/>
          <w:sz w:val="26"/>
          <w:szCs w:val="26"/>
          <w:lang w:val="es-ES"/>
        </w:rPr>
        <w:t>NOTIFÍQUESE, CÚMPLASE Y DEVUÉLVASE.</w:t>
      </w:r>
    </w:p>
    <w:p w:rsidR="003C2555" w:rsidRPr="00EC5871" w:rsidRDefault="00C769A8" w:rsidP="008D5D7D">
      <w:pPr>
        <w:pStyle w:val="Sinespaciado"/>
        <w:spacing w:line="276" w:lineRule="auto"/>
        <w:rPr>
          <w:rFonts w:ascii="Arial Narrow" w:hAnsi="Arial Narrow"/>
          <w:sz w:val="26"/>
          <w:szCs w:val="26"/>
        </w:rPr>
      </w:pPr>
      <w:r w:rsidRPr="00EC5871">
        <w:rPr>
          <w:rFonts w:ascii="Arial Narrow" w:hAnsi="Arial Narrow"/>
          <w:sz w:val="26"/>
          <w:szCs w:val="26"/>
          <w:lang w:val="es-ES"/>
        </w:rPr>
        <w:tab/>
      </w:r>
    </w:p>
    <w:p w:rsidR="003C2555" w:rsidRPr="00EC5871" w:rsidRDefault="003C2555" w:rsidP="008D5D7D">
      <w:pPr>
        <w:spacing w:line="276" w:lineRule="auto"/>
        <w:ind w:firstLine="900"/>
        <w:jc w:val="both"/>
        <w:rPr>
          <w:rFonts w:ascii="Arial Narrow" w:hAnsi="Arial Narrow" w:cs="Microsoft Sans Serif"/>
          <w:bCs/>
          <w:iCs/>
          <w:sz w:val="26"/>
          <w:szCs w:val="26"/>
          <w:lang w:val="es-ES"/>
        </w:rPr>
      </w:pPr>
      <w:r w:rsidRPr="00EC5871">
        <w:rPr>
          <w:rFonts w:ascii="Arial Narrow" w:hAnsi="Arial Narrow" w:cs="Microsoft Sans Serif"/>
          <w:bCs/>
          <w:iCs/>
          <w:sz w:val="26"/>
          <w:szCs w:val="26"/>
          <w:lang w:val="es-ES"/>
        </w:rPr>
        <w:t>La anterior decisión queda notificada en estrados.</w:t>
      </w:r>
    </w:p>
    <w:p w:rsidR="00EC5871" w:rsidRPr="00EC5871" w:rsidRDefault="00EC5871" w:rsidP="008D5D7D">
      <w:pPr>
        <w:spacing w:line="276" w:lineRule="auto"/>
        <w:jc w:val="center"/>
        <w:rPr>
          <w:rFonts w:ascii="Arial Narrow" w:hAnsi="Arial Narrow" w:cs="Arial"/>
          <w:bCs/>
          <w:iCs/>
          <w:sz w:val="26"/>
          <w:szCs w:val="26"/>
          <w:lang w:val="es-ES"/>
        </w:rPr>
      </w:pPr>
    </w:p>
    <w:p w:rsidR="00EC5871" w:rsidRPr="00EC5871" w:rsidRDefault="00EC5871" w:rsidP="008D5D7D">
      <w:pPr>
        <w:spacing w:line="276" w:lineRule="auto"/>
        <w:jc w:val="center"/>
        <w:rPr>
          <w:rFonts w:ascii="Arial Narrow" w:hAnsi="Arial Narrow" w:cs="Arial"/>
          <w:bCs/>
          <w:i/>
          <w:iCs/>
          <w:sz w:val="26"/>
          <w:szCs w:val="26"/>
          <w:lang w:val="es-ES"/>
        </w:rPr>
      </w:pPr>
    </w:p>
    <w:p w:rsidR="00EC5871" w:rsidRPr="00EC5871" w:rsidRDefault="00EC5871" w:rsidP="008D5D7D">
      <w:pPr>
        <w:spacing w:line="276" w:lineRule="auto"/>
        <w:jc w:val="center"/>
        <w:rPr>
          <w:rFonts w:ascii="Arial Narrow" w:hAnsi="Arial Narrow" w:cs="Arial"/>
          <w:bCs/>
          <w:i/>
          <w:iCs/>
          <w:sz w:val="26"/>
          <w:szCs w:val="26"/>
          <w:lang w:val="es-ES"/>
        </w:rPr>
      </w:pPr>
    </w:p>
    <w:p w:rsidR="00EC5871" w:rsidRPr="00EC5871" w:rsidRDefault="00EC5871" w:rsidP="008D5D7D">
      <w:pPr>
        <w:spacing w:line="276" w:lineRule="auto"/>
        <w:jc w:val="center"/>
        <w:rPr>
          <w:rFonts w:ascii="Arial Narrow" w:hAnsi="Arial Narrow" w:cs="Arial"/>
          <w:b/>
          <w:bCs/>
          <w:i/>
          <w:iCs/>
          <w:sz w:val="26"/>
          <w:szCs w:val="26"/>
          <w:lang w:val="es-ES"/>
        </w:rPr>
      </w:pPr>
      <w:r w:rsidRPr="00EC5871">
        <w:rPr>
          <w:rFonts w:ascii="Arial Narrow" w:hAnsi="Arial Narrow" w:cs="Arial"/>
          <w:b/>
          <w:bCs/>
          <w:i/>
          <w:iCs/>
          <w:sz w:val="26"/>
          <w:szCs w:val="26"/>
          <w:lang w:val="es-ES"/>
        </w:rPr>
        <w:t>FRANCISCO JAVIER TAMAYO TABARES</w:t>
      </w:r>
    </w:p>
    <w:p w:rsidR="00EC5871" w:rsidRPr="00EC5871" w:rsidRDefault="00EC5871" w:rsidP="008D5D7D">
      <w:pPr>
        <w:spacing w:line="276" w:lineRule="auto"/>
        <w:jc w:val="center"/>
        <w:rPr>
          <w:rFonts w:ascii="Arial Narrow" w:hAnsi="Arial Narrow" w:cs="Arial"/>
          <w:bCs/>
          <w:i/>
          <w:iCs/>
          <w:sz w:val="26"/>
          <w:szCs w:val="26"/>
          <w:lang w:val="es-ES"/>
        </w:rPr>
      </w:pPr>
    </w:p>
    <w:p w:rsidR="00EC5871" w:rsidRPr="00EC5871" w:rsidRDefault="00EC5871" w:rsidP="008D5D7D">
      <w:pPr>
        <w:spacing w:line="276" w:lineRule="auto"/>
        <w:jc w:val="center"/>
        <w:rPr>
          <w:rFonts w:ascii="Arial Narrow" w:hAnsi="Arial Narrow" w:cs="Arial"/>
          <w:bCs/>
          <w:i/>
          <w:iCs/>
          <w:sz w:val="26"/>
          <w:szCs w:val="26"/>
          <w:lang w:val="es-ES"/>
        </w:rPr>
      </w:pPr>
    </w:p>
    <w:p w:rsidR="00EC5871" w:rsidRPr="00EC5871" w:rsidRDefault="00EC5871" w:rsidP="008D5D7D">
      <w:pPr>
        <w:spacing w:line="276" w:lineRule="auto"/>
        <w:jc w:val="center"/>
        <w:rPr>
          <w:rFonts w:ascii="Arial Narrow" w:hAnsi="Arial Narrow" w:cs="Arial"/>
          <w:bCs/>
          <w:i/>
          <w:iCs/>
          <w:sz w:val="26"/>
          <w:szCs w:val="26"/>
          <w:lang w:val="es-ES"/>
        </w:rPr>
      </w:pPr>
    </w:p>
    <w:p w:rsidR="00EC5871" w:rsidRPr="00EC5871" w:rsidRDefault="00EC5871" w:rsidP="008D5D7D">
      <w:pPr>
        <w:spacing w:line="276" w:lineRule="auto"/>
        <w:jc w:val="both"/>
        <w:rPr>
          <w:rFonts w:ascii="Arial Narrow" w:hAnsi="Arial Narrow" w:cs="Arial"/>
          <w:b/>
          <w:bCs/>
          <w:i/>
          <w:iCs/>
          <w:sz w:val="26"/>
          <w:szCs w:val="26"/>
          <w:lang w:val="es-ES"/>
        </w:rPr>
      </w:pPr>
      <w:r w:rsidRPr="00EC5871">
        <w:rPr>
          <w:rFonts w:ascii="Arial Narrow" w:hAnsi="Arial Narrow" w:cs="Arial"/>
          <w:b/>
          <w:bCs/>
          <w:i/>
          <w:iCs/>
          <w:sz w:val="26"/>
          <w:szCs w:val="26"/>
          <w:lang w:val="es-ES"/>
        </w:rPr>
        <w:t>ANA LUCÍA CAICEDO CALDERÓN</w:t>
      </w:r>
      <w:r w:rsidRPr="00EC5871">
        <w:rPr>
          <w:rFonts w:ascii="Arial Narrow" w:hAnsi="Arial Narrow" w:cs="Arial"/>
          <w:b/>
          <w:bCs/>
          <w:i/>
          <w:iCs/>
          <w:sz w:val="26"/>
          <w:szCs w:val="26"/>
          <w:lang w:val="es-ES"/>
        </w:rPr>
        <w:tab/>
      </w:r>
      <w:r w:rsidRPr="00EC5871">
        <w:rPr>
          <w:rFonts w:ascii="Arial Narrow" w:hAnsi="Arial Narrow" w:cs="Arial"/>
          <w:b/>
          <w:bCs/>
          <w:i/>
          <w:iCs/>
          <w:sz w:val="26"/>
          <w:szCs w:val="26"/>
          <w:lang w:val="es-ES"/>
        </w:rPr>
        <w:tab/>
      </w:r>
      <w:r w:rsidRPr="00EC5871">
        <w:rPr>
          <w:rFonts w:ascii="Arial Narrow" w:hAnsi="Arial Narrow" w:cs="Arial"/>
          <w:b/>
          <w:bCs/>
          <w:i/>
          <w:iCs/>
          <w:sz w:val="26"/>
          <w:szCs w:val="26"/>
          <w:lang w:val="es-ES"/>
        </w:rPr>
        <w:tab/>
        <w:t xml:space="preserve">         OLGA LUCIA HOYOS SEPÚLVEDA</w:t>
      </w:r>
    </w:p>
    <w:p w:rsidR="00031AD5" w:rsidRDefault="00EC5871" w:rsidP="008D5D7D">
      <w:pPr>
        <w:pStyle w:val="Sinespaciado"/>
        <w:spacing w:line="276" w:lineRule="auto"/>
        <w:ind w:firstLine="708"/>
        <w:rPr>
          <w:rFonts w:ascii="Arial Narrow" w:hAnsi="Arial Narrow" w:cs="Arial"/>
          <w:bCs/>
          <w:i/>
          <w:iCs/>
          <w:sz w:val="26"/>
          <w:szCs w:val="26"/>
          <w:lang w:val="es-ES"/>
        </w:rPr>
      </w:pPr>
      <w:r w:rsidRPr="00EC5871">
        <w:rPr>
          <w:rFonts w:ascii="Arial Narrow" w:hAnsi="Arial Narrow" w:cs="Arial"/>
          <w:bCs/>
          <w:i/>
          <w:iCs/>
          <w:sz w:val="26"/>
          <w:szCs w:val="26"/>
          <w:lang w:val="es-ES"/>
        </w:rPr>
        <w:t xml:space="preserve">       Magistrada</w:t>
      </w:r>
      <w:r w:rsidRPr="00EC5871">
        <w:rPr>
          <w:rFonts w:ascii="Arial Narrow" w:hAnsi="Arial Narrow" w:cs="Arial"/>
          <w:bCs/>
          <w:i/>
          <w:iCs/>
          <w:sz w:val="26"/>
          <w:szCs w:val="26"/>
          <w:lang w:val="es-ES"/>
        </w:rPr>
        <w:tab/>
      </w:r>
      <w:r w:rsidRPr="00EC5871">
        <w:rPr>
          <w:rFonts w:ascii="Arial Narrow" w:hAnsi="Arial Narrow" w:cs="Arial"/>
          <w:bCs/>
          <w:i/>
          <w:iCs/>
          <w:sz w:val="26"/>
          <w:szCs w:val="26"/>
          <w:lang w:val="es-ES"/>
        </w:rPr>
        <w:tab/>
      </w:r>
      <w:r w:rsidRPr="00EC5871">
        <w:rPr>
          <w:rFonts w:ascii="Arial Narrow" w:hAnsi="Arial Narrow" w:cs="Arial"/>
          <w:bCs/>
          <w:i/>
          <w:iCs/>
          <w:sz w:val="26"/>
          <w:szCs w:val="26"/>
          <w:lang w:val="es-ES"/>
        </w:rPr>
        <w:tab/>
      </w:r>
      <w:r w:rsidRPr="00EC5871">
        <w:rPr>
          <w:rFonts w:ascii="Arial Narrow" w:hAnsi="Arial Narrow" w:cs="Arial"/>
          <w:bCs/>
          <w:i/>
          <w:iCs/>
          <w:sz w:val="26"/>
          <w:szCs w:val="26"/>
          <w:lang w:val="es-ES"/>
        </w:rPr>
        <w:tab/>
      </w:r>
      <w:r w:rsidRPr="00EC5871">
        <w:rPr>
          <w:rFonts w:ascii="Arial Narrow" w:hAnsi="Arial Narrow" w:cs="Arial"/>
          <w:bCs/>
          <w:i/>
          <w:iCs/>
          <w:sz w:val="26"/>
          <w:szCs w:val="26"/>
          <w:lang w:val="es-ES"/>
        </w:rPr>
        <w:tab/>
      </w:r>
      <w:r w:rsidRPr="00EC5871">
        <w:rPr>
          <w:rFonts w:ascii="Arial Narrow" w:hAnsi="Arial Narrow" w:cs="Arial"/>
          <w:bCs/>
          <w:i/>
          <w:iCs/>
          <w:sz w:val="26"/>
          <w:szCs w:val="26"/>
          <w:lang w:val="es-ES"/>
        </w:rPr>
        <w:tab/>
        <w:t xml:space="preserve">    </w:t>
      </w:r>
      <w:proofErr w:type="spellStart"/>
      <w:r w:rsidRPr="00EC5871">
        <w:rPr>
          <w:rFonts w:ascii="Arial Narrow" w:hAnsi="Arial Narrow" w:cs="Arial"/>
          <w:bCs/>
          <w:i/>
          <w:iCs/>
          <w:sz w:val="26"/>
          <w:szCs w:val="26"/>
          <w:lang w:val="es-ES"/>
        </w:rPr>
        <w:t>Magistrada</w:t>
      </w:r>
      <w:proofErr w:type="spellEnd"/>
    </w:p>
    <w:p w:rsidR="00EC5871" w:rsidRPr="00EC5871" w:rsidRDefault="00EC5871" w:rsidP="008D5D7D">
      <w:pPr>
        <w:pStyle w:val="Sinespaciado"/>
        <w:spacing w:line="276" w:lineRule="auto"/>
        <w:ind w:firstLine="708"/>
        <w:rPr>
          <w:rFonts w:ascii="Arial Narrow" w:hAnsi="Arial Narrow"/>
          <w:sz w:val="26"/>
          <w:szCs w:val="26"/>
          <w:lang w:val="es-ES"/>
        </w:rPr>
      </w:pP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r>
      <w:r>
        <w:rPr>
          <w:rFonts w:ascii="Arial Narrow" w:hAnsi="Arial Narrow" w:cs="Arial"/>
          <w:bCs/>
          <w:i/>
          <w:iCs/>
          <w:sz w:val="26"/>
          <w:szCs w:val="26"/>
          <w:lang w:val="es-ES"/>
        </w:rPr>
        <w:tab/>
        <w:t>En uso de permiso</w:t>
      </w:r>
    </w:p>
    <w:sectPr w:rsidR="00EC5871" w:rsidRPr="00EC5871" w:rsidSect="002F38B9">
      <w:headerReference w:type="default" r:id="rId8"/>
      <w:footerReference w:type="even" r:id="rId9"/>
      <w:footerReference w:type="default" r:id="rId10"/>
      <w:pgSz w:w="12242" w:h="19442" w:code="268"/>
      <w:pgMar w:top="1871" w:right="1304" w:bottom="1304" w:left="187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D67" w:rsidRDefault="00557D67" w:rsidP="003C2555">
      <w:r>
        <w:separator/>
      </w:r>
    </w:p>
  </w:endnote>
  <w:endnote w:type="continuationSeparator" w:id="0">
    <w:p w:rsidR="00557D67" w:rsidRDefault="00557D67" w:rsidP="003C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Default="00013A5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275A" w:rsidRDefault="00557D67"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Pr="002F38B9" w:rsidRDefault="00013A5F" w:rsidP="002F38B9">
    <w:pPr>
      <w:framePr w:wrap="around" w:vAnchor="text" w:hAnchor="margin" w:xAlign="right" w:y="1"/>
      <w:jc w:val="both"/>
      <w:rPr>
        <w:rFonts w:ascii="Arial" w:hAnsi="Arial" w:cs="Arial"/>
        <w:bCs/>
        <w:sz w:val="18"/>
        <w:szCs w:val="16"/>
      </w:rPr>
    </w:pPr>
    <w:r w:rsidRPr="002F38B9">
      <w:rPr>
        <w:rFonts w:ascii="Arial" w:hAnsi="Arial" w:cs="Arial"/>
        <w:bCs/>
        <w:sz w:val="18"/>
        <w:szCs w:val="16"/>
      </w:rPr>
      <w:fldChar w:fldCharType="begin"/>
    </w:r>
    <w:r w:rsidRPr="002F38B9">
      <w:rPr>
        <w:rFonts w:ascii="Arial" w:hAnsi="Arial" w:cs="Arial"/>
        <w:bCs/>
        <w:sz w:val="18"/>
        <w:szCs w:val="16"/>
      </w:rPr>
      <w:instrText xml:space="preserve">PAGE  </w:instrText>
    </w:r>
    <w:r w:rsidRPr="002F38B9">
      <w:rPr>
        <w:rFonts w:ascii="Arial" w:hAnsi="Arial" w:cs="Arial"/>
        <w:bCs/>
        <w:sz w:val="18"/>
        <w:szCs w:val="16"/>
      </w:rPr>
      <w:fldChar w:fldCharType="separate"/>
    </w:r>
    <w:r w:rsidR="008D5D7D">
      <w:rPr>
        <w:rFonts w:ascii="Arial" w:hAnsi="Arial" w:cs="Arial"/>
        <w:bCs/>
        <w:noProof/>
        <w:sz w:val="18"/>
        <w:szCs w:val="16"/>
      </w:rPr>
      <w:t>5</w:t>
    </w:r>
    <w:r w:rsidRPr="002F38B9">
      <w:rPr>
        <w:rFonts w:ascii="Arial" w:hAnsi="Arial" w:cs="Arial"/>
        <w:bCs/>
        <w:sz w:val="18"/>
        <w:szCs w:val="16"/>
      </w:rPr>
      <w:fldChar w:fldCharType="end"/>
    </w:r>
  </w:p>
  <w:p w:rsidR="0048275A" w:rsidRDefault="00557D67"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D67" w:rsidRDefault="00557D67" w:rsidP="003C2555">
      <w:r>
        <w:separator/>
      </w:r>
    </w:p>
  </w:footnote>
  <w:footnote w:type="continuationSeparator" w:id="0">
    <w:p w:rsidR="00557D67" w:rsidRDefault="00557D67" w:rsidP="003C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75A" w:rsidRPr="002F38B9" w:rsidRDefault="00013A5F" w:rsidP="00FB2365">
    <w:pPr>
      <w:jc w:val="both"/>
      <w:rPr>
        <w:rFonts w:ascii="Arial" w:hAnsi="Arial" w:cs="Arial"/>
        <w:bCs/>
        <w:sz w:val="18"/>
        <w:szCs w:val="16"/>
      </w:rPr>
    </w:pPr>
    <w:r w:rsidRPr="002F38B9">
      <w:rPr>
        <w:rFonts w:ascii="Arial" w:hAnsi="Arial" w:cs="Arial"/>
        <w:bCs/>
        <w:sz w:val="18"/>
        <w:szCs w:val="16"/>
      </w:rPr>
      <w:t>Radicación No: 66001-31-05-00</w:t>
    </w:r>
    <w:r w:rsidR="003C2555" w:rsidRPr="002F38B9">
      <w:rPr>
        <w:rFonts w:ascii="Arial" w:hAnsi="Arial" w:cs="Arial"/>
        <w:bCs/>
        <w:sz w:val="18"/>
        <w:szCs w:val="16"/>
      </w:rPr>
      <w:t>4-2017-00463-01</w:t>
    </w:r>
    <w:r w:rsidRPr="002F38B9">
      <w:rPr>
        <w:rFonts w:ascii="Arial" w:hAnsi="Arial" w:cs="Arial"/>
        <w:bCs/>
        <w:sz w:val="18"/>
        <w:szCs w:val="16"/>
      </w:rPr>
      <w:t xml:space="preserve"> </w:t>
    </w:r>
  </w:p>
  <w:p w:rsidR="0048275A" w:rsidRPr="002F38B9" w:rsidRDefault="003C2555" w:rsidP="00FB2365">
    <w:pPr>
      <w:jc w:val="both"/>
      <w:rPr>
        <w:rFonts w:ascii="Arial" w:hAnsi="Arial" w:cs="Arial"/>
        <w:bCs/>
        <w:sz w:val="18"/>
        <w:szCs w:val="16"/>
      </w:rPr>
    </w:pPr>
    <w:r w:rsidRPr="002F38B9">
      <w:rPr>
        <w:rFonts w:ascii="Arial" w:hAnsi="Arial" w:cs="Arial"/>
        <w:bCs/>
        <w:sz w:val="18"/>
        <w:szCs w:val="16"/>
      </w:rPr>
      <w:t xml:space="preserve">Carolina Osorio Herrera en representación de Juan José Gómez Osorio vs. Protección S.A. </w:t>
    </w:r>
  </w:p>
  <w:p w:rsidR="0048275A" w:rsidRPr="003C2555" w:rsidRDefault="00557D67">
    <w:pPr>
      <w:pStyle w:val="Encabezado"/>
      <w:rPr>
        <w:rFonts w:ascii="Arial Narrow" w:hAnsi="Arial Narr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55"/>
    <w:rsid w:val="00013A5F"/>
    <w:rsid w:val="00025E9E"/>
    <w:rsid w:val="00031461"/>
    <w:rsid w:val="00031AD5"/>
    <w:rsid w:val="00085AEF"/>
    <w:rsid w:val="00122183"/>
    <w:rsid w:val="001310C9"/>
    <w:rsid w:val="001829F2"/>
    <w:rsid w:val="001F17C0"/>
    <w:rsid w:val="0023014D"/>
    <w:rsid w:val="00262525"/>
    <w:rsid w:val="002F38B9"/>
    <w:rsid w:val="00360B86"/>
    <w:rsid w:val="003C2555"/>
    <w:rsid w:val="004C3973"/>
    <w:rsid w:val="00503DB0"/>
    <w:rsid w:val="00557D67"/>
    <w:rsid w:val="005853B1"/>
    <w:rsid w:val="005D57C9"/>
    <w:rsid w:val="006121A3"/>
    <w:rsid w:val="00663A15"/>
    <w:rsid w:val="006D25F3"/>
    <w:rsid w:val="00793A1A"/>
    <w:rsid w:val="00800F7E"/>
    <w:rsid w:val="00817E3F"/>
    <w:rsid w:val="008217E0"/>
    <w:rsid w:val="00871654"/>
    <w:rsid w:val="008D5D7D"/>
    <w:rsid w:val="00905B2A"/>
    <w:rsid w:val="00965A21"/>
    <w:rsid w:val="00994F6C"/>
    <w:rsid w:val="00A675BB"/>
    <w:rsid w:val="00A82D90"/>
    <w:rsid w:val="00A90C18"/>
    <w:rsid w:val="00C076F7"/>
    <w:rsid w:val="00C769A8"/>
    <w:rsid w:val="00D573C3"/>
    <w:rsid w:val="00D659CE"/>
    <w:rsid w:val="00D94A21"/>
    <w:rsid w:val="00EC5871"/>
    <w:rsid w:val="00EF2790"/>
    <w:rsid w:val="00F948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F13A764-90AA-4455-BE74-406F5D74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55"/>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C2555"/>
    <w:pPr>
      <w:tabs>
        <w:tab w:val="center" w:pos="4252"/>
        <w:tab w:val="right" w:pos="8504"/>
      </w:tabs>
    </w:pPr>
  </w:style>
  <w:style w:type="character" w:customStyle="1" w:styleId="PiedepginaCar">
    <w:name w:val="Pie de página Car"/>
    <w:basedOn w:val="Fuentedeprrafopredeter"/>
    <w:link w:val="Piedepgina"/>
    <w:rsid w:val="003C255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C2555"/>
  </w:style>
  <w:style w:type="paragraph" w:styleId="Encabezado">
    <w:name w:val="header"/>
    <w:basedOn w:val="Normal"/>
    <w:link w:val="EncabezadoCar"/>
    <w:rsid w:val="003C2555"/>
    <w:pPr>
      <w:tabs>
        <w:tab w:val="center" w:pos="4252"/>
        <w:tab w:val="right" w:pos="8504"/>
      </w:tabs>
    </w:pPr>
  </w:style>
  <w:style w:type="character" w:customStyle="1" w:styleId="EncabezadoCar">
    <w:name w:val="Encabezado Car"/>
    <w:basedOn w:val="Fuentedeprrafopredeter"/>
    <w:link w:val="Encabezado"/>
    <w:rsid w:val="003C255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C2555"/>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C2555"/>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C2555"/>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6121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1A3"/>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EC5871"/>
    <w:rPr>
      <w:rFonts w:ascii="Times New Roman" w:eastAsia="Times New Roman" w:hAnsi="Times New Roman"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EC587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C587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5</Pages>
  <Words>2252</Words>
  <Characters>12390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14</cp:revision>
  <cp:lastPrinted>2019-06-26T18:41:00Z</cp:lastPrinted>
  <dcterms:created xsi:type="dcterms:W3CDTF">2019-06-21T16:16:00Z</dcterms:created>
  <dcterms:modified xsi:type="dcterms:W3CDTF">2019-08-15T19:50:00Z</dcterms:modified>
</cp:coreProperties>
</file>