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DA0CB" w14:textId="777698C0" w:rsidR="00151546" w:rsidRPr="00151546" w:rsidRDefault="00151546" w:rsidP="00151546">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4"/>
          <w:sz w:val="18"/>
          <w:szCs w:val="18"/>
          <w:lang w:val="es-419" w:eastAsia="fr-FR"/>
        </w:rPr>
      </w:pPr>
      <w:bookmarkStart w:id="0" w:name="_GoBack"/>
      <w:bookmarkEnd w:id="0"/>
      <w:r w:rsidRPr="00151546">
        <w:rPr>
          <w:rFonts w:ascii="Arial" w:eastAsia="Times New Roman" w:hAnsi="Arial" w:cs="Arial"/>
          <w:color w:val="FF0000"/>
          <w:spacing w:val="-4"/>
          <w:sz w:val="18"/>
          <w:szCs w:val="18"/>
          <w:lang w:val="es-419" w:eastAsia="fr-FR"/>
        </w:rPr>
        <w:t>El siguiente es el docum</w:t>
      </w:r>
      <w:r w:rsidR="0042292A">
        <w:rPr>
          <w:rFonts w:ascii="Arial" w:eastAsia="Times New Roman" w:hAnsi="Arial" w:cs="Arial"/>
          <w:color w:val="FF0000"/>
          <w:spacing w:val="-4"/>
          <w:sz w:val="18"/>
          <w:szCs w:val="18"/>
          <w:lang w:eastAsia="fr-FR"/>
        </w:rPr>
        <w:t>º</w:t>
      </w:r>
      <w:r w:rsidRPr="00151546">
        <w:rPr>
          <w:rFonts w:ascii="Arial" w:eastAsia="Times New Roman" w:hAnsi="Arial" w:cs="Arial"/>
          <w:color w:val="FF0000"/>
          <w:spacing w:val="-4"/>
          <w:sz w:val="18"/>
          <w:szCs w:val="18"/>
          <w:lang w:val="es-419" w:eastAsia="fr-FR"/>
        </w:rPr>
        <w:t>ento presentado por el Magistrado Ponente que sirvió de base para proferir la providencia dentro del presente proceso.  El contenido total y fiel de la decisión debe ser verificado en la respectiva Secretaría.</w:t>
      </w:r>
    </w:p>
    <w:p w14:paraId="5AEE4C68" w14:textId="77777777" w:rsidR="00151546" w:rsidRPr="00151546" w:rsidRDefault="00151546" w:rsidP="00151546">
      <w:pPr>
        <w:spacing w:line="240" w:lineRule="auto"/>
        <w:jc w:val="both"/>
        <w:rPr>
          <w:rFonts w:ascii="Arial" w:eastAsia="Times New Roman" w:hAnsi="Arial" w:cs="Arial"/>
          <w:sz w:val="20"/>
          <w:szCs w:val="20"/>
          <w:lang w:val="es-419" w:eastAsia="es-ES"/>
        </w:rPr>
      </w:pPr>
    </w:p>
    <w:p w14:paraId="3C82ECDF" w14:textId="21F5A746" w:rsidR="00151546" w:rsidRPr="00151546" w:rsidRDefault="00151546" w:rsidP="00151546">
      <w:pPr>
        <w:spacing w:line="240" w:lineRule="auto"/>
        <w:jc w:val="both"/>
        <w:rPr>
          <w:rFonts w:ascii="Arial" w:eastAsia="Times New Roman" w:hAnsi="Arial" w:cs="Arial"/>
          <w:sz w:val="20"/>
          <w:szCs w:val="20"/>
          <w:lang w:val="es-419" w:eastAsia="es-ES"/>
        </w:rPr>
      </w:pPr>
      <w:r w:rsidRPr="00151546">
        <w:rPr>
          <w:rFonts w:ascii="Arial" w:eastAsia="Times New Roman" w:hAnsi="Arial" w:cs="Arial"/>
          <w:sz w:val="20"/>
          <w:szCs w:val="20"/>
          <w:lang w:val="es-419" w:eastAsia="es-ES"/>
        </w:rPr>
        <w:t>Providencia:</w:t>
      </w:r>
      <w:r w:rsidRPr="00151546">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51546">
        <w:rPr>
          <w:rFonts w:ascii="Arial" w:eastAsia="Times New Roman" w:hAnsi="Arial" w:cs="Arial"/>
          <w:sz w:val="20"/>
          <w:szCs w:val="20"/>
          <w:lang w:val="es-419" w:eastAsia="es-ES"/>
        </w:rPr>
        <w:t>Auto</w:t>
      </w:r>
    </w:p>
    <w:p w14:paraId="05C5FEC2" w14:textId="681EF1DB" w:rsidR="00151546" w:rsidRPr="00151546" w:rsidRDefault="00151546" w:rsidP="00151546">
      <w:pPr>
        <w:spacing w:line="240" w:lineRule="auto"/>
        <w:jc w:val="both"/>
        <w:rPr>
          <w:rFonts w:ascii="Arial" w:eastAsia="Times New Roman" w:hAnsi="Arial" w:cs="Arial"/>
          <w:sz w:val="20"/>
          <w:szCs w:val="20"/>
          <w:lang w:val="es-419" w:eastAsia="es-ES"/>
        </w:rPr>
      </w:pPr>
      <w:r w:rsidRPr="00151546">
        <w:rPr>
          <w:rFonts w:ascii="Arial" w:eastAsia="Times New Roman" w:hAnsi="Arial" w:cs="Arial"/>
          <w:sz w:val="20"/>
          <w:szCs w:val="20"/>
          <w:lang w:val="es-419" w:eastAsia="es-ES"/>
        </w:rPr>
        <w:t>Radicado:</w:t>
      </w:r>
      <w:r>
        <w:rPr>
          <w:rFonts w:ascii="Arial" w:eastAsia="Times New Roman" w:hAnsi="Arial" w:cs="Arial"/>
          <w:sz w:val="20"/>
          <w:szCs w:val="20"/>
          <w:lang w:val="es-419" w:eastAsia="es-ES"/>
        </w:rPr>
        <w:tab/>
      </w:r>
      <w:r w:rsidRPr="00151546">
        <w:rPr>
          <w:rFonts w:ascii="Arial" w:eastAsia="Times New Roman" w:hAnsi="Arial" w:cs="Arial"/>
          <w:sz w:val="20"/>
          <w:szCs w:val="20"/>
          <w:lang w:val="es-419" w:eastAsia="es-ES"/>
        </w:rPr>
        <w:tab/>
        <w:t>66001-31-05-005-2017-00384-00</w:t>
      </w:r>
    </w:p>
    <w:p w14:paraId="17CB007E" w14:textId="06315F11" w:rsidR="00151546" w:rsidRPr="00151546" w:rsidRDefault="00151546" w:rsidP="00151546">
      <w:pPr>
        <w:spacing w:line="240" w:lineRule="auto"/>
        <w:jc w:val="both"/>
        <w:rPr>
          <w:rFonts w:ascii="Arial" w:eastAsia="Times New Roman" w:hAnsi="Arial" w:cs="Arial"/>
          <w:sz w:val="20"/>
          <w:szCs w:val="20"/>
          <w:lang w:val="es-419" w:eastAsia="es-ES"/>
        </w:rPr>
      </w:pPr>
      <w:r w:rsidRPr="00151546">
        <w:rPr>
          <w:rFonts w:ascii="Arial" w:eastAsia="Times New Roman" w:hAnsi="Arial" w:cs="Arial"/>
          <w:sz w:val="20"/>
          <w:szCs w:val="20"/>
          <w:lang w:val="es-419" w:eastAsia="es-ES"/>
        </w:rPr>
        <w:t>Demandante:</w:t>
      </w:r>
      <w:r w:rsidRPr="00151546">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51546">
        <w:rPr>
          <w:rFonts w:ascii="Arial" w:eastAsia="Times New Roman" w:hAnsi="Arial" w:cs="Arial"/>
          <w:sz w:val="20"/>
          <w:szCs w:val="20"/>
          <w:lang w:val="es-419" w:eastAsia="es-ES"/>
        </w:rPr>
        <w:t>Daniela Pérez Ocampo</w:t>
      </w:r>
    </w:p>
    <w:p w14:paraId="330ACA2E" w14:textId="28267E60" w:rsidR="00151546" w:rsidRPr="00151546" w:rsidRDefault="00151546" w:rsidP="00151546">
      <w:pPr>
        <w:spacing w:line="240" w:lineRule="auto"/>
        <w:jc w:val="both"/>
        <w:rPr>
          <w:rFonts w:ascii="Arial" w:eastAsia="Times New Roman" w:hAnsi="Arial" w:cs="Arial"/>
          <w:sz w:val="20"/>
          <w:szCs w:val="20"/>
          <w:lang w:val="es-419" w:eastAsia="es-ES"/>
        </w:rPr>
      </w:pPr>
      <w:r w:rsidRPr="00151546">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151546">
        <w:rPr>
          <w:rFonts w:ascii="Arial" w:eastAsia="Times New Roman" w:hAnsi="Arial" w:cs="Arial"/>
          <w:sz w:val="20"/>
          <w:szCs w:val="20"/>
          <w:lang w:val="es-419" w:eastAsia="es-ES"/>
        </w:rPr>
        <w:tab/>
        <w:t>Banco Popular S.A.</w:t>
      </w:r>
      <w:r>
        <w:rPr>
          <w:rFonts w:ascii="Arial" w:eastAsia="Times New Roman" w:hAnsi="Arial" w:cs="Arial"/>
          <w:sz w:val="20"/>
          <w:szCs w:val="20"/>
          <w:lang w:eastAsia="es-ES"/>
        </w:rPr>
        <w:t xml:space="preserve"> y </w:t>
      </w:r>
      <w:r w:rsidRPr="00151546">
        <w:rPr>
          <w:rFonts w:ascii="Arial" w:eastAsia="Times New Roman" w:hAnsi="Arial" w:cs="Arial"/>
          <w:sz w:val="20"/>
          <w:szCs w:val="20"/>
          <w:lang w:val="es-419" w:eastAsia="es-ES"/>
        </w:rPr>
        <w:t>Sero Servicios Ocasionales S.A.S</w:t>
      </w:r>
    </w:p>
    <w:p w14:paraId="3FFB2858" w14:textId="67CAEF28" w:rsidR="00151546" w:rsidRPr="00151546" w:rsidRDefault="00151546" w:rsidP="00151546">
      <w:pPr>
        <w:spacing w:line="240" w:lineRule="auto"/>
        <w:jc w:val="both"/>
        <w:rPr>
          <w:rFonts w:ascii="Arial" w:eastAsia="Times New Roman" w:hAnsi="Arial" w:cs="Arial"/>
          <w:sz w:val="20"/>
          <w:szCs w:val="20"/>
          <w:lang w:val="es-419" w:eastAsia="es-ES"/>
        </w:rPr>
      </w:pPr>
      <w:r w:rsidRPr="00151546">
        <w:rPr>
          <w:rFonts w:ascii="Arial" w:eastAsia="Times New Roman" w:hAnsi="Arial" w:cs="Arial"/>
          <w:sz w:val="20"/>
          <w:szCs w:val="20"/>
          <w:lang w:val="es-419" w:eastAsia="es-ES"/>
        </w:rPr>
        <w:t>Vinculado:</w:t>
      </w:r>
      <w:r w:rsidRPr="00151546">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51546">
        <w:rPr>
          <w:rFonts w:ascii="Arial" w:eastAsia="Times New Roman" w:hAnsi="Arial" w:cs="Arial"/>
          <w:sz w:val="20"/>
          <w:szCs w:val="20"/>
          <w:lang w:val="es-419" w:eastAsia="es-ES"/>
        </w:rPr>
        <w:t>Acción S.A.</w:t>
      </w:r>
    </w:p>
    <w:p w14:paraId="02F6289F" w14:textId="6B4A7C40" w:rsidR="00151546" w:rsidRPr="00151546" w:rsidRDefault="00151546" w:rsidP="00151546">
      <w:pPr>
        <w:spacing w:line="240" w:lineRule="auto"/>
        <w:jc w:val="both"/>
        <w:rPr>
          <w:rFonts w:ascii="Arial" w:eastAsia="Times New Roman" w:hAnsi="Arial" w:cs="Arial"/>
          <w:sz w:val="20"/>
          <w:szCs w:val="20"/>
          <w:lang w:val="es-419" w:eastAsia="es-ES"/>
        </w:rPr>
      </w:pPr>
      <w:r w:rsidRPr="00151546">
        <w:rPr>
          <w:rFonts w:ascii="Arial" w:eastAsia="Times New Roman" w:hAnsi="Arial" w:cs="Arial"/>
          <w:sz w:val="20"/>
          <w:szCs w:val="20"/>
          <w:lang w:val="es-419" w:eastAsia="es-ES"/>
        </w:rPr>
        <w:t>Llamados en garantía:</w:t>
      </w:r>
      <w:r w:rsidRPr="00151546">
        <w:rPr>
          <w:rFonts w:ascii="Arial" w:eastAsia="Times New Roman" w:hAnsi="Arial" w:cs="Arial"/>
          <w:sz w:val="20"/>
          <w:szCs w:val="20"/>
          <w:lang w:val="es-419" w:eastAsia="es-ES"/>
        </w:rPr>
        <w:tab/>
        <w:t>Confianza S.A.</w:t>
      </w:r>
      <w:r>
        <w:rPr>
          <w:rFonts w:ascii="Arial" w:eastAsia="Times New Roman" w:hAnsi="Arial" w:cs="Arial"/>
          <w:sz w:val="20"/>
          <w:szCs w:val="20"/>
          <w:lang w:eastAsia="es-ES"/>
        </w:rPr>
        <w:t xml:space="preserve"> y </w:t>
      </w:r>
      <w:r w:rsidRPr="00151546">
        <w:rPr>
          <w:rFonts w:ascii="Arial" w:eastAsia="Times New Roman" w:hAnsi="Arial" w:cs="Arial"/>
          <w:sz w:val="20"/>
          <w:szCs w:val="20"/>
          <w:lang w:val="es-419" w:eastAsia="es-ES"/>
        </w:rPr>
        <w:t>Seguros del Estado</w:t>
      </w:r>
    </w:p>
    <w:p w14:paraId="38811263" w14:textId="77777777" w:rsidR="00151546" w:rsidRPr="00151546" w:rsidRDefault="00151546" w:rsidP="00151546">
      <w:pPr>
        <w:spacing w:line="240" w:lineRule="auto"/>
        <w:jc w:val="both"/>
        <w:rPr>
          <w:rFonts w:ascii="Arial" w:eastAsia="Times New Roman" w:hAnsi="Arial" w:cs="Arial"/>
          <w:sz w:val="20"/>
          <w:szCs w:val="20"/>
          <w:lang w:val="es-419" w:eastAsia="es-ES"/>
        </w:rPr>
      </w:pPr>
    </w:p>
    <w:p w14:paraId="4AAB2367" w14:textId="458007C9" w:rsidR="00151546" w:rsidRPr="00151546" w:rsidRDefault="00151546" w:rsidP="00151546">
      <w:pPr>
        <w:spacing w:line="240" w:lineRule="auto"/>
        <w:jc w:val="both"/>
        <w:rPr>
          <w:rFonts w:ascii="Arial" w:eastAsia="Times New Roman" w:hAnsi="Arial" w:cs="Arial"/>
          <w:b/>
          <w:bCs/>
          <w:iCs/>
          <w:sz w:val="20"/>
          <w:szCs w:val="20"/>
          <w:lang w:val="es-419" w:eastAsia="fr-FR"/>
        </w:rPr>
      </w:pPr>
      <w:r w:rsidRPr="00151546">
        <w:rPr>
          <w:rFonts w:ascii="Arial" w:eastAsia="Times New Roman" w:hAnsi="Arial" w:cs="Arial"/>
          <w:b/>
          <w:bCs/>
          <w:iCs/>
          <w:sz w:val="20"/>
          <w:szCs w:val="20"/>
          <w:u w:val="single"/>
          <w:lang w:val="es-419" w:eastAsia="fr-FR"/>
        </w:rPr>
        <w:t>TEMAS:</w:t>
      </w:r>
      <w:r w:rsidRPr="00151546">
        <w:rPr>
          <w:rFonts w:ascii="Arial" w:eastAsia="Times New Roman" w:hAnsi="Arial" w:cs="Arial"/>
          <w:b/>
          <w:bCs/>
          <w:iCs/>
          <w:sz w:val="20"/>
          <w:szCs w:val="20"/>
          <w:lang w:val="es-419" w:eastAsia="fr-FR"/>
        </w:rPr>
        <w:tab/>
      </w:r>
      <w:r w:rsidR="00625FC7">
        <w:rPr>
          <w:rFonts w:ascii="Arial" w:eastAsia="Times New Roman" w:hAnsi="Arial" w:cs="Arial"/>
          <w:b/>
          <w:bCs/>
          <w:iCs/>
          <w:sz w:val="20"/>
          <w:szCs w:val="20"/>
          <w:lang w:eastAsia="fr-FR"/>
        </w:rPr>
        <w:t xml:space="preserve">COSA JUZGADA / ES EXCEPCIÓN MIXTA / DIFERIR LA DECISIÓN PARA LA SENTENCIA NO SIGNIFICA QUE SE ESTÉ NEGANDO COMO EXCEPCIÓN PREVIA / REQUISITOS PARA APELAR / SUSTENTACIÓN E INTERÉS / </w:t>
      </w:r>
      <w:r w:rsidR="00C23F88">
        <w:rPr>
          <w:rFonts w:ascii="Arial" w:eastAsia="Times New Roman" w:hAnsi="Arial" w:cs="Arial"/>
          <w:b/>
          <w:bCs/>
          <w:iCs/>
          <w:sz w:val="20"/>
          <w:szCs w:val="20"/>
          <w:lang w:eastAsia="fr-FR"/>
        </w:rPr>
        <w:t xml:space="preserve">TRASLADO DE LAS EXCEPCIONES A LA PARTE ACTORA / DEBE CORRERSE ASÍ NO ESTÉ EXPRESAMENTE PREVISTO EN </w:t>
      </w:r>
      <w:r w:rsidR="00726D95">
        <w:rPr>
          <w:rFonts w:ascii="Arial" w:eastAsia="Times New Roman" w:hAnsi="Arial" w:cs="Arial"/>
          <w:b/>
          <w:bCs/>
          <w:iCs/>
          <w:sz w:val="20"/>
          <w:szCs w:val="20"/>
          <w:lang w:eastAsia="fr-FR"/>
        </w:rPr>
        <w:t>LA LEGISLACIÓN PROCESAL LABORAL / EL AUTO QUE LO NIEGUE ES APELABLE.</w:t>
      </w:r>
    </w:p>
    <w:p w14:paraId="227A032E" w14:textId="77777777" w:rsidR="00151546" w:rsidRDefault="00151546" w:rsidP="00151546">
      <w:pPr>
        <w:spacing w:line="240" w:lineRule="auto"/>
        <w:jc w:val="both"/>
        <w:rPr>
          <w:rFonts w:ascii="Arial" w:eastAsia="Times New Roman" w:hAnsi="Arial" w:cs="Arial"/>
          <w:sz w:val="20"/>
          <w:szCs w:val="20"/>
          <w:lang w:val="es-419" w:eastAsia="es-ES"/>
        </w:rPr>
      </w:pPr>
    </w:p>
    <w:p w14:paraId="59413CBB" w14:textId="7299A8E9" w:rsidR="00C90BF1" w:rsidRPr="00C90BF1" w:rsidRDefault="00C90BF1" w:rsidP="00151546">
      <w:pPr>
        <w:spacing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C90BF1">
        <w:rPr>
          <w:rFonts w:ascii="Arial" w:eastAsia="Times New Roman" w:hAnsi="Arial" w:cs="Arial"/>
          <w:sz w:val="20"/>
          <w:szCs w:val="20"/>
          <w:lang w:val="es-419" w:eastAsia="es-ES"/>
        </w:rPr>
        <w:t>la Corte Constitucional en sentencia C-820-2011 ha indicado que la excepción de prescripción tiene una naturaleza objetiva, cuya acreditación se produce mediante la contabilización del transcurso del tiempo, al margen de la intención, el ánimo o la razón por la cual el acreedor permaneció inactivo. Además, su declaratoria anticipada, en la primera audiencia, sólo es posible cuando existe certeza sobre la fecha de exigibilidad de la pretensión, o de su interrupción o suspensión. De manera que si se presenta alguna discusión en torno a estos tópicos su decisión se diferirá a la sentencia, aspecto este que de suyo, beneficia al demandante al posibilitar la demostración de la existencia del derecho por él reclamado.</w:t>
      </w:r>
      <w:r>
        <w:rPr>
          <w:rFonts w:ascii="Arial" w:eastAsia="Times New Roman" w:hAnsi="Arial" w:cs="Arial"/>
          <w:sz w:val="20"/>
          <w:szCs w:val="20"/>
          <w:lang w:eastAsia="es-ES"/>
        </w:rPr>
        <w:t xml:space="preserve"> (…)</w:t>
      </w:r>
    </w:p>
    <w:p w14:paraId="36C3A973" w14:textId="77777777" w:rsidR="00C90BF1" w:rsidRDefault="00C90BF1" w:rsidP="00151546">
      <w:pPr>
        <w:spacing w:line="240" w:lineRule="auto"/>
        <w:jc w:val="both"/>
        <w:rPr>
          <w:rFonts w:ascii="Arial" w:eastAsia="Times New Roman" w:hAnsi="Arial" w:cs="Arial"/>
          <w:sz w:val="20"/>
          <w:szCs w:val="20"/>
          <w:lang w:val="es-419" w:eastAsia="es-ES"/>
        </w:rPr>
      </w:pPr>
    </w:p>
    <w:p w14:paraId="3CA12414" w14:textId="77777777" w:rsidR="00B00979" w:rsidRPr="00B00979" w:rsidRDefault="00B00979" w:rsidP="00B00979">
      <w:pPr>
        <w:spacing w:line="240" w:lineRule="auto"/>
        <w:jc w:val="both"/>
        <w:rPr>
          <w:rFonts w:ascii="Arial" w:eastAsia="Times New Roman" w:hAnsi="Arial" w:cs="Arial"/>
          <w:sz w:val="20"/>
          <w:szCs w:val="20"/>
          <w:lang w:val="es-419" w:eastAsia="es-ES"/>
        </w:rPr>
      </w:pPr>
      <w:r w:rsidRPr="00B00979">
        <w:rPr>
          <w:rFonts w:ascii="Arial" w:eastAsia="Times New Roman" w:hAnsi="Arial" w:cs="Arial"/>
          <w:sz w:val="20"/>
          <w:szCs w:val="20"/>
          <w:lang w:val="es-419" w:eastAsia="es-ES"/>
        </w:rPr>
        <w:t>En cuanto a la motivación, el recurso no resulta comprensible ni claro, bastando con indicar que, si la excepción de prescripción - de carácter de mixta -, no fue tramitada de manera previa, sino que la decisión fue justamente el disponer su trámite para ser decidida en la sentencia, ningún asidero tiene el declararla no probada, porque ello solo es dable en el evento de ser tramitada, lo cual no fue el caso.</w:t>
      </w:r>
    </w:p>
    <w:p w14:paraId="0CF1DEA6" w14:textId="77777777" w:rsidR="00B00979" w:rsidRPr="00B00979" w:rsidRDefault="00B00979" w:rsidP="00B00979">
      <w:pPr>
        <w:spacing w:line="240" w:lineRule="auto"/>
        <w:jc w:val="both"/>
        <w:rPr>
          <w:rFonts w:ascii="Arial" w:eastAsia="Times New Roman" w:hAnsi="Arial" w:cs="Arial"/>
          <w:sz w:val="20"/>
          <w:szCs w:val="20"/>
          <w:lang w:val="es-419" w:eastAsia="es-ES"/>
        </w:rPr>
      </w:pPr>
    </w:p>
    <w:p w14:paraId="0B48809D" w14:textId="457A113A" w:rsidR="00C90BF1" w:rsidRDefault="00B00979" w:rsidP="00B00979">
      <w:pPr>
        <w:spacing w:line="240" w:lineRule="auto"/>
        <w:jc w:val="both"/>
        <w:rPr>
          <w:rFonts w:ascii="Arial" w:eastAsia="Times New Roman" w:hAnsi="Arial" w:cs="Arial"/>
          <w:sz w:val="20"/>
          <w:szCs w:val="20"/>
          <w:lang w:val="es-419" w:eastAsia="es-ES"/>
        </w:rPr>
      </w:pPr>
      <w:r w:rsidRPr="00B00979">
        <w:rPr>
          <w:rFonts w:ascii="Arial" w:eastAsia="Times New Roman" w:hAnsi="Arial" w:cs="Arial"/>
          <w:sz w:val="20"/>
          <w:szCs w:val="20"/>
          <w:lang w:val="es-419" w:eastAsia="es-ES"/>
        </w:rPr>
        <w:t>En torno al interés para recurrir, tampoco se satisface dicho presupuesto, porque la providencia atacada al ordenar el trámite de la excepción de prescripción en la sentencia, dado su carácter mixto, significaba que ello se generaba porque justamente imposible era imprimirle un trámite previo, pues a ese momento, el derecho mismo estaba en discusión. Por tal razón, con la decisión adoptada ningún agravio material o moral se le podía causar al demandante</w:t>
      </w:r>
      <w:r>
        <w:rPr>
          <w:rFonts w:ascii="Arial" w:eastAsia="Times New Roman" w:hAnsi="Arial" w:cs="Arial"/>
          <w:sz w:val="20"/>
          <w:szCs w:val="20"/>
          <w:lang w:eastAsia="es-ES"/>
        </w:rPr>
        <w:t>…</w:t>
      </w:r>
    </w:p>
    <w:p w14:paraId="66E3D12C" w14:textId="77777777" w:rsidR="00B00979" w:rsidRDefault="00B00979" w:rsidP="00B00979">
      <w:pPr>
        <w:spacing w:line="240" w:lineRule="auto"/>
        <w:jc w:val="both"/>
        <w:rPr>
          <w:rFonts w:ascii="Arial" w:eastAsia="Times New Roman" w:hAnsi="Arial" w:cs="Arial"/>
          <w:sz w:val="20"/>
          <w:szCs w:val="20"/>
          <w:lang w:val="es-419" w:eastAsia="es-ES"/>
        </w:rPr>
      </w:pPr>
    </w:p>
    <w:p w14:paraId="7393DE74" w14:textId="53B6A30C" w:rsidR="00A058E7" w:rsidRPr="00A058E7" w:rsidRDefault="00A058E7" w:rsidP="00A058E7">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A058E7">
        <w:rPr>
          <w:rFonts w:ascii="Arial" w:eastAsia="Times New Roman" w:hAnsi="Arial" w:cs="Arial"/>
          <w:sz w:val="20"/>
          <w:szCs w:val="20"/>
          <w:lang w:val="es-419" w:eastAsia="es-ES"/>
        </w:rPr>
        <w:t xml:space="preserve">en el presente asunto, necesario es traer a colación que el artículo 32 del C.P.L., de manera general, dispone el trámite de las excepciones, diferenciando en su articulado aquéllas que pueden ser decididas en la oportunidad de que trata el artículo 77, numeral 1 de dicha codificación, más conocidas como “previas”, así como aquellas que serán decididas en la sentencia, más conocidas como “de mérito”. </w:t>
      </w:r>
    </w:p>
    <w:p w14:paraId="0AC9EB93" w14:textId="77777777" w:rsidR="00A058E7" w:rsidRPr="00A058E7" w:rsidRDefault="00A058E7" w:rsidP="00A058E7">
      <w:pPr>
        <w:spacing w:line="240" w:lineRule="auto"/>
        <w:jc w:val="both"/>
        <w:rPr>
          <w:rFonts w:ascii="Arial" w:eastAsia="Times New Roman" w:hAnsi="Arial" w:cs="Arial"/>
          <w:sz w:val="20"/>
          <w:szCs w:val="20"/>
          <w:lang w:val="es-419" w:eastAsia="es-ES"/>
        </w:rPr>
      </w:pPr>
    </w:p>
    <w:p w14:paraId="7F5F1B60" w14:textId="77777777" w:rsidR="00A058E7" w:rsidRPr="00A058E7" w:rsidRDefault="00A058E7" w:rsidP="00A058E7">
      <w:pPr>
        <w:spacing w:line="240" w:lineRule="auto"/>
        <w:jc w:val="both"/>
        <w:rPr>
          <w:rFonts w:ascii="Arial" w:eastAsia="Times New Roman" w:hAnsi="Arial" w:cs="Arial"/>
          <w:sz w:val="20"/>
          <w:szCs w:val="20"/>
          <w:lang w:val="es-419" w:eastAsia="es-ES"/>
        </w:rPr>
      </w:pPr>
      <w:r w:rsidRPr="00A058E7">
        <w:rPr>
          <w:rFonts w:ascii="Arial" w:eastAsia="Times New Roman" w:hAnsi="Arial" w:cs="Arial"/>
          <w:sz w:val="20"/>
          <w:szCs w:val="20"/>
          <w:lang w:val="es-419" w:eastAsia="es-ES"/>
        </w:rPr>
        <w:t>Ahora, nótese también que dicho articulado establece, sin distinción alguna, que frente a las excepciones, en forma general, ofrece la posibilidad de que “si el demandante tuviere que contraprobar deberá presentar las pruebas en el acto y el juez resolverá allí mismo”, lo que implica que de ser presentados “medios de prueba” para contraprobar un medio exceptivo, el Juez en el acto decidirá respecto de ellas, aspecto que de suyo, lleva consigo la procedencia del recurso de apelación (art. 65, numeral 4 CPL), a más que el vocero de la demandante anunció su interés de presentar medios probatorios.</w:t>
      </w:r>
    </w:p>
    <w:p w14:paraId="7EAA1BD2" w14:textId="77777777" w:rsidR="00A058E7" w:rsidRPr="00A058E7" w:rsidRDefault="00A058E7" w:rsidP="00A058E7">
      <w:pPr>
        <w:spacing w:line="240" w:lineRule="auto"/>
        <w:jc w:val="both"/>
        <w:rPr>
          <w:rFonts w:ascii="Arial" w:eastAsia="Times New Roman" w:hAnsi="Arial" w:cs="Arial"/>
          <w:sz w:val="20"/>
          <w:szCs w:val="20"/>
          <w:lang w:val="es-419" w:eastAsia="es-ES"/>
        </w:rPr>
      </w:pPr>
    </w:p>
    <w:p w14:paraId="21C904CD" w14:textId="74326ABA" w:rsidR="00151546" w:rsidRDefault="00A058E7" w:rsidP="00151546">
      <w:pPr>
        <w:spacing w:line="240" w:lineRule="auto"/>
        <w:jc w:val="both"/>
        <w:rPr>
          <w:rFonts w:ascii="Arial" w:eastAsia="Times New Roman" w:hAnsi="Arial" w:cs="Arial"/>
          <w:sz w:val="20"/>
          <w:szCs w:val="20"/>
          <w:lang w:val="es-419" w:eastAsia="es-ES"/>
        </w:rPr>
      </w:pPr>
      <w:r w:rsidRPr="00A058E7">
        <w:rPr>
          <w:rFonts w:ascii="Arial" w:eastAsia="Times New Roman" w:hAnsi="Arial" w:cs="Arial"/>
          <w:sz w:val="20"/>
          <w:szCs w:val="20"/>
          <w:lang w:val="es-419" w:eastAsia="es-ES"/>
        </w:rPr>
        <w:t>En tal orden de ideas, se puede colegir que el proveído cuestionado es recurrible, como lo adujo el quejoso y, por tal razón, debió concederse.</w:t>
      </w:r>
    </w:p>
    <w:p w14:paraId="4CEB39BB" w14:textId="77777777" w:rsidR="00001CEB" w:rsidRDefault="00001CEB" w:rsidP="00151546">
      <w:pPr>
        <w:spacing w:line="240" w:lineRule="auto"/>
        <w:jc w:val="both"/>
        <w:rPr>
          <w:rFonts w:ascii="Arial" w:eastAsia="Times New Roman" w:hAnsi="Arial" w:cs="Arial"/>
          <w:sz w:val="20"/>
          <w:szCs w:val="20"/>
          <w:lang w:val="es-419" w:eastAsia="es-ES"/>
        </w:rPr>
      </w:pPr>
    </w:p>
    <w:p w14:paraId="77129D50" w14:textId="6169978D" w:rsidR="00001CEB" w:rsidRPr="00001CEB" w:rsidRDefault="00001CEB" w:rsidP="00151546">
      <w:pPr>
        <w:spacing w:line="240" w:lineRule="auto"/>
        <w:jc w:val="both"/>
        <w:rPr>
          <w:rFonts w:ascii="Arial" w:eastAsia="Times New Roman" w:hAnsi="Arial" w:cs="Arial"/>
          <w:b/>
          <w:color w:val="FF0000"/>
          <w:sz w:val="20"/>
          <w:szCs w:val="20"/>
          <w:lang w:eastAsia="es-ES"/>
        </w:rPr>
      </w:pPr>
      <w:r w:rsidRPr="00001CEB">
        <w:rPr>
          <w:rFonts w:ascii="Arial" w:eastAsia="Times New Roman" w:hAnsi="Arial" w:cs="Arial"/>
          <w:b/>
          <w:color w:val="FF0000"/>
          <w:sz w:val="20"/>
          <w:szCs w:val="20"/>
          <w:lang w:eastAsia="es-ES"/>
        </w:rPr>
        <w:t>SALVAMENTO DE VOTO: DOCTORA OLGA LUCÍA HOYOS SEPÚLVEDA</w:t>
      </w:r>
    </w:p>
    <w:p w14:paraId="37C9E1F9" w14:textId="77777777" w:rsidR="00151546" w:rsidRPr="00151546" w:rsidRDefault="00151546" w:rsidP="00151546">
      <w:pPr>
        <w:spacing w:line="240" w:lineRule="auto"/>
        <w:jc w:val="both"/>
        <w:rPr>
          <w:rFonts w:ascii="Arial" w:eastAsia="Times New Roman" w:hAnsi="Arial" w:cs="Arial"/>
          <w:sz w:val="20"/>
          <w:szCs w:val="20"/>
          <w:lang w:val="es-ES" w:eastAsia="es-ES"/>
        </w:rPr>
      </w:pPr>
    </w:p>
    <w:p w14:paraId="56EEDB75" w14:textId="58921CE0" w:rsidR="00151546" w:rsidRPr="00151546" w:rsidRDefault="00001CEB" w:rsidP="00151546">
      <w:pPr>
        <w:spacing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001CEB">
        <w:rPr>
          <w:rFonts w:ascii="Arial" w:eastAsia="Times New Roman" w:hAnsi="Arial" w:cs="Arial"/>
          <w:sz w:val="20"/>
          <w:szCs w:val="20"/>
          <w:lang w:val="es-ES" w:eastAsia="es-ES"/>
        </w:rPr>
        <w:t>disiento de la decisión adoptada por la Sala Mayoritaria, en lo que respecta a la determinación tomada frente al recurso de queja, que para la suscrita había lugar a declarar bien denegado el recurso de apelación, por cuanto la providencia de no dar traslado de las excepciones de mérito no está como de aquellas apelables en el artículo 65 del CPT y la SS, ni en otra ley; sin que se permita la analogía en punto a los autos que son apelables, pues en este tópico opera el principio de la taxatividad.</w:t>
      </w:r>
    </w:p>
    <w:p w14:paraId="2465F4B7" w14:textId="77777777" w:rsidR="00151546" w:rsidRDefault="00151546" w:rsidP="00151546">
      <w:pPr>
        <w:spacing w:line="240" w:lineRule="auto"/>
        <w:jc w:val="both"/>
        <w:rPr>
          <w:rFonts w:ascii="Arial" w:eastAsia="Times New Roman" w:hAnsi="Arial" w:cs="Arial"/>
          <w:sz w:val="20"/>
          <w:szCs w:val="20"/>
          <w:lang w:val="es-ES" w:eastAsia="es-ES"/>
        </w:rPr>
      </w:pPr>
    </w:p>
    <w:p w14:paraId="2AE7E4C0" w14:textId="77777777" w:rsidR="00001CEB" w:rsidRPr="00151546" w:rsidRDefault="00001CEB" w:rsidP="00151546">
      <w:pPr>
        <w:spacing w:line="240" w:lineRule="auto"/>
        <w:jc w:val="both"/>
        <w:rPr>
          <w:rFonts w:ascii="Arial" w:eastAsia="Times New Roman" w:hAnsi="Arial" w:cs="Arial"/>
          <w:sz w:val="20"/>
          <w:szCs w:val="20"/>
          <w:lang w:val="es-ES" w:eastAsia="es-ES"/>
        </w:rPr>
      </w:pPr>
    </w:p>
    <w:p w14:paraId="2525C9DE" w14:textId="77777777" w:rsidR="00151546" w:rsidRPr="00C23F88" w:rsidRDefault="00151546" w:rsidP="00151546">
      <w:pPr>
        <w:keepNext/>
        <w:spacing w:line="276" w:lineRule="auto"/>
        <w:jc w:val="center"/>
        <w:outlineLvl w:val="2"/>
        <w:rPr>
          <w:rFonts w:eastAsia="Times New Roman" w:cs="Arial"/>
          <w:b/>
          <w:spacing w:val="-4"/>
          <w:szCs w:val="26"/>
          <w:lang w:val="es-ES_tradnl" w:eastAsia="es-ES"/>
        </w:rPr>
      </w:pPr>
      <w:r w:rsidRPr="00C23F88">
        <w:rPr>
          <w:rFonts w:eastAsia="Times New Roman" w:cs="Arial"/>
          <w:b/>
          <w:spacing w:val="-4"/>
          <w:szCs w:val="26"/>
          <w:lang w:val="es-ES_tradnl" w:eastAsia="es-ES"/>
        </w:rPr>
        <w:t>TRIBUNAL SUPERIOR DEL DISTRITO JUDICIAL</w:t>
      </w:r>
    </w:p>
    <w:p w14:paraId="35BE1AB9" w14:textId="2C20EBB0" w:rsidR="00151546" w:rsidRPr="00C23F88" w:rsidRDefault="00001CEB" w:rsidP="00151546">
      <w:pPr>
        <w:spacing w:line="276" w:lineRule="auto"/>
        <w:jc w:val="center"/>
        <w:rPr>
          <w:rFonts w:eastAsia="Times New Roman" w:cs="Arial"/>
          <w:b/>
          <w:spacing w:val="-4"/>
          <w:szCs w:val="26"/>
          <w:lang w:eastAsia="es-ES"/>
        </w:rPr>
      </w:pPr>
      <w:r w:rsidRPr="00C23F88">
        <w:rPr>
          <w:rFonts w:eastAsia="Times New Roman" w:cs="Times New Roman"/>
          <w:b/>
          <w:spacing w:val="-4"/>
          <w:szCs w:val="26"/>
          <w:lang w:eastAsia="es-ES"/>
        </w:rPr>
        <w:object w:dxaOrig="3090" w:dyaOrig="3285" w14:anchorId="52EB3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5.7pt" o:ole="" fillcolor="window">
            <v:imagedata r:id="rId8" o:title=""/>
          </v:shape>
          <o:OLEObject Type="Embed" ProgID="PBrush" ShapeID="_x0000_i1025" DrawAspect="Content" ObjectID="_1640595033" r:id="rId9"/>
        </w:object>
      </w:r>
    </w:p>
    <w:p w14:paraId="5913F336" w14:textId="77777777" w:rsidR="00151546" w:rsidRPr="00C23F88" w:rsidRDefault="00151546" w:rsidP="00151546">
      <w:pPr>
        <w:spacing w:line="276" w:lineRule="auto"/>
        <w:jc w:val="center"/>
        <w:rPr>
          <w:rFonts w:eastAsia="Times New Roman" w:cs="Arial"/>
          <w:b/>
          <w:spacing w:val="-4"/>
          <w:szCs w:val="26"/>
          <w:lang w:eastAsia="es-ES"/>
        </w:rPr>
      </w:pPr>
      <w:r w:rsidRPr="00C23F88">
        <w:rPr>
          <w:rFonts w:eastAsia="Times New Roman" w:cs="Arial"/>
          <w:b/>
          <w:spacing w:val="-4"/>
          <w:szCs w:val="26"/>
          <w:lang w:eastAsia="es-ES"/>
        </w:rPr>
        <w:lastRenderedPageBreak/>
        <w:t>SALA CUARTA DE DECISIÓN LABORAL</w:t>
      </w:r>
    </w:p>
    <w:p w14:paraId="6D664DCF" w14:textId="77777777" w:rsidR="00151546" w:rsidRPr="00C23F88" w:rsidRDefault="00151546" w:rsidP="00151546">
      <w:pPr>
        <w:spacing w:line="276" w:lineRule="auto"/>
        <w:jc w:val="center"/>
        <w:rPr>
          <w:rFonts w:eastAsia="Times New Roman" w:cs="Arial"/>
          <w:b/>
          <w:spacing w:val="-4"/>
          <w:szCs w:val="26"/>
          <w:lang w:eastAsia="es-ES"/>
        </w:rPr>
      </w:pPr>
      <w:r w:rsidRPr="00C23F88">
        <w:rPr>
          <w:rFonts w:eastAsia="Times New Roman" w:cs="Arial"/>
          <w:b/>
          <w:spacing w:val="-4"/>
          <w:szCs w:val="26"/>
          <w:lang w:eastAsia="es-ES"/>
        </w:rPr>
        <w:t>PEREIRA</w:t>
      </w:r>
      <w:r w:rsidRPr="00C23F88">
        <w:rPr>
          <w:rFonts w:eastAsia="Times New Roman" w:cs="Arial"/>
          <w:b/>
          <w:spacing w:val="-4"/>
          <w:szCs w:val="26"/>
          <w:lang w:eastAsia="es-ES"/>
        </w:rPr>
        <w:tab/>
        <w:t>RISARALDA</w:t>
      </w:r>
    </w:p>
    <w:p w14:paraId="08C3ED52" w14:textId="77777777" w:rsidR="00151546" w:rsidRPr="00001CEB" w:rsidRDefault="00151546" w:rsidP="00001CEB">
      <w:pPr>
        <w:spacing w:line="276" w:lineRule="auto"/>
        <w:rPr>
          <w:rFonts w:eastAsia="Times New Roman" w:cs="Times New Roman"/>
          <w:spacing w:val="-4"/>
          <w:sz w:val="24"/>
          <w:szCs w:val="26"/>
          <w:lang w:eastAsia="es-ES"/>
        </w:rPr>
      </w:pPr>
    </w:p>
    <w:p w14:paraId="5F7424A6" w14:textId="77777777" w:rsidR="00151546" w:rsidRPr="00C23F88" w:rsidRDefault="00151546" w:rsidP="00151546">
      <w:pPr>
        <w:spacing w:line="276" w:lineRule="auto"/>
        <w:jc w:val="center"/>
        <w:rPr>
          <w:rFonts w:eastAsia="Times New Roman" w:cs="Arial"/>
          <w:b/>
          <w:spacing w:val="-4"/>
          <w:szCs w:val="26"/>
          <w:lang w:val="es-ES_tradnl" w:eastAsia="es-ES"/>
        </w:rPr>
      </w:pPr>
      <w:r w:rsidRPr="00C23F88">
        <w:rPr>
          <w:rFonts w:eastAsia="Times New Roman" w:cs="Arial"/>
          <w:b/>
          <w:spacing w:val="-4"/>
          <w:szCs w:val="26"/>
          <w:lang w:val="es-ES_tradnl" w:eastAsia="es-ES"/>
        </w:rPr>
        <w:t>MAGISTRADO PONENTE: FRANCISCO JAVIER TAMAYO TABARES</w:t>
      </w:r>
    </w:p>
    <w:p w14:paraId="05AEE78C" w14:textId="77777777" w:rsidR="00151546" w:rsidRPr="00001CEB" w:rsidRDefault="00151546" w:rsidP="00151546">
      <w:pPr>
        <w:spacing w:line="276" w:lineRule="auto"/>
        <w:rPr>
          <w:rFonts w:eastAsia="Times New Roman" w:cs="Times New Roman"/>
          <w:spacing w:val="-4"/>
          <w:sz w:val="24"/>
          <w:szCs w:val="26"/>
          <w:lang w:eastAsia="es-ES"/>
        </w:rPr>
      </w:pPr>
    </w:p>
    <w:p w14:paraId="3AFC65A1" w14:textId="18F16646" w:rsidR="00A51CE1" w:rsidRPr="00001CEB" w:rsidRDefault="00A51CE1" w:rsidP="0042292A">
      <w:pPr>
        <w:spacing w:line="276" w:lineRule="auto"/>
        <w:jc w:val="both"/>
        <w:rPr>
          <w:b/>
          <w:bCs/>
          <w:spacing w:val="-4"/>
          <w:szCs w:val="26"/>
        </w:rPr>
      </w:pPr>
      <w:r w:rsidRPr="00001CEB">
        <w:rPr>
          <w:spacing w:val="-4"/>
          <w:szCs w:val="26"/>
        </w:rPr>
        <w:t xml:space="preserve">En Pereira, hoy </w:t>
      </w:r>
      <w:r w:rsidR="00BA031E" w:rsidRPr="00001CEB">
        <w:rPr>
          <w:spacing w:val="-4"/>
          <w:szCs w:val="26"/>
        </w:rPr>
        <w:t>veinte</w:t>
      </w:r>
      <w:r w:rsidR="00BF7C1F" w:rsidRPr="00001CEB">
        <w:rPr>
          <w:spacing w:val="-4"/>
          <w:szCs w:val="26"/>
        </w:rPr>
        <w:t xml:space="preserve"> </w:t>
      </w:r>
      <w:r w:rsidRPr="00001CEB">
        <w:rPr>
          <w:spacing w:val="-4"/>
          <w:szCs w:val="26"/>
        </w:rPr>
        <w:t>(</w:t>
      </w:r>
      <w:r w:rsidR="00BA031E" w:rsidRPr="00001CEB">
        <w:rPr>
          <w:spacing w:val="-4"/>
          <w:szCs w:val="26"/>
        </w:rPr>
        <w:t>20</w:t>
      </w:r>
      <w:r w:rsidRPr="00001CEB">
        <w:rPr>
          <w:spacing w:val="-4"/>
          <w:szCs w:val="26"/>
        </w:rPr>
        <w:t xml:space="preserve">) de Noviembre de dos mil diecinueve (2019), procede la Sala de Decisión Laboral No. 4 del Tribunal Superior de Pereira, a resolver la procedencia del recurso de queja formulado por el apoderado de la parte demandante y el recurso de apelación contra </w:t>
      </w:r>
      <w:r w:rsidR="001340EB" w:rsidRPr="00001CEB">
        <w:rPr>
          <w:spacing w:val="-4"/>
          <w:szCs w:val="26"/>
        </w:rPr>
        <w:t xml:space="preserve">de los autos proferidos </w:t>
      </w:r>
      <w:r w:rsidRPr="00001CEB">
        <w:rPr>
          <w:spacing w:val="-4"/>
          <w:szCs w:val="26"/>
        </w:rPr>
        <w:t xml:space="preserve">el 16 de septiembre de 2019, </w:t>
      </w:r>
      <w:r w:rsidR="00DF2515" w:rsidRPr="00001CEB">
        <w:rPr>
          <w:spacing w:val="-4"/>
          <w:szCs w:val="26"/>
        </w:rPr>
        <w:t xml:space="preserve">proferidos </w:t>
      </w:r>
      <w:r w:rsidR="001340EB" w:rsidRPr="00001CEB">
        <w:rPr>
          <w:spacing w:val="-4"/>
          <w:szCs w:val="26"/>
        </w:rPr>
        <w:t xml:space="preserve">dentro del proceso ordinario laboral de primera instancia adelantado por </w:t>
      </w:r>
      <w:r w:rsidR="001340EB" w:rsidRPr="00001CEB">
        <w:rPr>
          <w:b/>
          <w:bCs/>
          <w:spacing w:val="-4"/>
          <w:szCs w:val="26"/>
        </w:rPr>
        <w:t>Daniela Pérez Ocampo</w:t>
      </w:r>
      <w:r w:rsidR="001340EB" w:rsidRPr="00001CEB">
        <w:rPr>
          <w:spacing w:val="-4"/>
          <w:szCs w:val="26"/>
        </w:rPr>
        <w:t xml:space="preserve"> en contra del </w:t>
      </w:r>
      <w:r w:rsidR="001340EB" w:rsidRPr="00001CEB">
        <w:rPr>
          <w:b/>
          <w:bCs/>
          <w:spacing w:val="-4"/>
          <w:szCs w:val="26"/>
        </w:rPr>
        <w:t>Banco Popular S.A., Servicios Ocasionales S.A.S</w:t>
      </w:r>
      <w:r w:rsidR="001340EB" w:rsidRPr="00001CEB">
        <w:rPr>
          <w:spacing w:val="-4"/>
          <w:szCs w:val="26"/>
        </w:rPr>
        <w:t xml:space="preserve"> y como vinculados </w:t>
      </w:r>
      <w:r w:rsidR="001340EB" w:rsidRPr="00001CEB">
        <w:rPr>
          <w:b/>
          <w:bCs/>
          <w:spacing w:val="-4"/>
          <w:szCs w:val="26"/>
        </w:rPr>
        <w:t>Acción S.A.</w:t>
      </w:r>
      <w:r w:rsidR="001340EB" w:rsidRPr="00001CEB">
        <w:rPr>
          <w:spacing w:val="-4"/>
          <w:szCs w:val="26"/>
        </w:rPr>
        <w:t xml:space="preserve"> y llamados en garantía </w:t>
      </w:r>
      <w:r w:rsidR="001340EB" w:rsidRPr="00001CEB">
        <w:rPr>
          <w:b/>
          <w:bCs/>
          <w:spacing w:val="-4"/>
          <w:szCs w:val="26"/>
        </w:rPr>
        <w:t xml:space="preserve">Confianza S.A. </w:t>
      </w:r>
      <w:r w:rsidR="001340EB" w:rsidRPr="00001CEB">
        <w:rPr>
          <w:spacing w:val="-4"/>
          <w:szCs w:val="26"/>
        </w:rPr>
        <w:t xml:space="preserve">y </w:t>
      </w:r>
      <w:r w:rsidR="001340EB" w:rsidRPr="00001CEB">
        <w:rPr>
          <w:b/>
          <w:bCs/>
          <w:spacing w:val="-4"/>
          <w:szCs w:val="26"/>
        </w:rPr>
        <w:t>Seguros del Estado.</w:t>
      </w:r>
    </w:p>
    <w:p w14:paraId="7FD397EB" w14:textId="77777777" w:rsidR="00A51CE1" w:rsidRPr="00001CEB" w:rsidRDefault="00A51CE1" w:rsidP="0042292A">
      <w:pPr>
        <w:spacing w:line="276" w:lineRule="auto"/>
        <w:rPr>
          <w:rFonts w:eastAsia="Times New Roman" w:cs="Times New Roman"/>
          <w:spacing w:val="-4"/>
          <w:sz w:val="24"/>
          <w:szCs w:val="26"/>
          <w:lang w:eastAsia="es-ES"/>
        </w:rPr>
      </w:pPr>
    </w:p>
    <w:p w14:paraId="5EF1F438" w14:textId="70F447AB" w:rsidR="001340EB" w:rsidRPr="00001CEB" w:rsidRDefault="001340EB" w:rsidP="0042292A">
      <w:pPr>
        <w:pStyle w:val="Prrafodelista"/>
        <w:numPr>
          <w:ilvl w:val="0"/>
          <w:numId w:val="2"/>
        </w:numPr>
        <w:spacing w:line="276" w:lineRule="auto"/>
        <w:ind w:left="284" w:hanging="295"/>
        <w:jc w:val="both"/>
        <w:rPr>
          <w:b/>
          <w:bCs/>
          <w:spacing w:val="-4"/>
          <w:szCs w:val="26"/>
        </w:rPr>
      </w:pPr>
      <w:r w:rsidRPr="00001CEB">
        <w:rPr>
          <w:b/>
          <w:bCs/>
          <w:spacing w:val="-4"/>
          <w:szCs w:val="26"/>
        </w:rPr>
        <w:t>ANTECEDENTES</w:t>
      </w:r>
    </w:p>
    <w:p w14:paraId="666E56A4" w14:textId="77777777" w:rsidR="00750795" w:rsidRPr="00001CEB" w:rsidRDefault="00750795" w:rsidP="00001CEB">
      <w:pPr>
        <w:spacing w:line="276" w:lineRule="auto"/>
        <w:rPr>
          <w:rFonts w:eastAsia="Times New Roman" w:cs="Times New Roman"/>
          <w:spacing w:val="-4"/>
          <w:sz w:val="24"/>
          <w:szCs w:val="26"/>
          <w:lang w:eastAsia="es-ES"/>
        </w:rPr>
      </w:pPr>
    </w:p>
    <w:p w14:paraId="0332EFAD" w14:textId="38775847" w:rsidR="00DF5AE0" w:rsidRPr="00001CEB" w:rsidRDefault="00394B56" w:rsidP="0042292A">
      <w:pPr>
        <w:pStyle w:val="Prrafodelista"/>
        <w:tabs>
          <w:tab w:val="left" w:pos="567"/>
        </w:tabs>
        <w:spacing w:line="276" w:lineRule="auto"/>
        <w:ind w:left="0"/>
        <w:jc w:val="both"/>
        <w:rPr>
          <w:spacing w:val="-4"/>
          <w:szCs w:val="26"/>
        </w:rPr>
      </w:pPr>
      <w:r w:rsidRPr="00001CEB">
        <w:rPr>
          <w:spacing w:val="-4"/>
          <w:szCs w:val="26"/>
        </w:rPr>
        <w:t xml:space="preserve">La accionante solicita se declare a Acción Social S.A. y </w:t>
      </w:r>
      <w:proofErr w:type="spellStart"/>
      <w:r w:rsidRPr="00001CEB">
        <w:rPr>
          <w:spacing w:val="-4"/>
          <w:szCs w:val="26"/>
        </w:rPr>
        <w:t>Sero</w:t>
      </w:r>
      <w:proofErr w:type="spellEnd"/>
      <w:r w:rsidRPr="00001CEB">
        <w:rPr>
          <w:spacing w:val="-4"/>
          <w:szCs w:val="26"/>
        </w:rPr>
        <w:t xml:space="preserve"> Servicios Ocasionales S.A.S., como simples intermediarias de la relación laboral que </w:t>
      </w:r>
      <w:r w:rsidR="00DF5AE0" w:rsidRPr="00001CEB">
        <w:rPr>
          <w:spacing w:val="-4"/>
          <w:szCs w:val="26"/>
        </w:rPr>
        <w:t xml:space="preserve">solicita, sea declarada entre ella y el Banco Popular S.A., entre el 17 de septiembre de 2012 y el 25 de agosto de 2015, declarando el derecho a obtener igual salario que los trabajadores de planta del Banco Popular. En consecuencia, </w:t>
      </w:r>
      <w:r w:rsidR="00E31D3A" w:rsidRPr="00001CEB">
        <w:rPr>
          <w:spacing w:val="-4"/>
          <w:szCs w:val="26"/>
        </w:rPr>
        <w:t xml:space="preserve">solicita se condene </w:t>
      </w:r>
      <w:r w:rsidR="00DF5AE0" w:rsidRPr="00001CEB">
        <w:rPr>
          <w:spacing w:val="-4"/>
          <w:szCs w:val="26"/>
        </w:rPr>
        <w:t xml:space="preserve">al Banco Popular S.A. y a Temporal </w:t>
      </w:r>
      <w:proofErr w:type="spellStart"/>
      <w:r w:rsidR="00DF5AE0" w:rsidRPr="00001CEB">
        <w:rPr>
          <w:spacing w:val="-4"/>
          <w:szCs w:val="26"/>
        </w:rPr>
        <w:t>Sero</w:t>
      </w:r>
      <w:proofErr w:type="spellEnd"/>
      <w:r w:rsidR="00DF5AE0" w:rsidRPr="00001CEB">
        <w:rPr>
          <w:spacing w:val="-4"/>
          <w:szCs w:val="26"/>
        </w:rPr>
        <w:t xml:space="preserve"> Servicios Ocasionales S.A.S. a reliquidar y pagar solidariamente las prestaciones sociales, vacaciones, subsidio familiar, auxilio de transporte, lo correspondiente a vestido y calzado de labor, aportes en pensión y </w:t>
      </w:r>
      <w:r w:rsidR="00E31D3A" w:rsidRPr="00001CEB">
        <w:rPr>
          <w:spacing w:val="-4"/>
          <w:szCs w:val="26"/>
        </w:rPr>
        <w:t>aquellos</w:t>
      </w:r>
      <w:r w:rsidR="00DF5AE0" w:rsidRPr="00001CEB">
        <w:rPr>
          <w:spacing w:val="-4"/>
          <w:szCs w:val="26"/>
        </w:rPr>
        <w:t xml:space="preserve"> emolumentos contenidos en la convención colectiva de trabajo, intereses moratorios, indexación y las indemnizaciones de los artículos 65 del CST y </w:t>
      </w:r>
      <w:r w:rsidR="005E7D95" w:rsidRPr="00001CEB">
        <w:rPr>
          <w:spacing w:val="-4"/>
          <w:szCs w:val="26"/>
        </w:rPr>
        <w:t>artículo</w:t>
      </w:r>
      <w:r w:rsidR="00DF5AE0" w:rsidRPr="00001CEB">
        <w:rPr>
          <w:spacing w:val="-4"/>
          <w:szCs w:val="26"/>
        </w:rPr>
        <w:t xml:space="preserve"> 99 de la Ley 50 de 1990</w:t>
      </w:r>
      <w:r w:rsidR="008A738A" w:rsidRPr="00001CEB">
        <w:rPr>
          <w:spacing w:val="-4"/>
          <w:szCs w:val="26"/>
        </w:rPr>
        <w:t xml:space="preserve">. </w:t>
      </w:r>
    </w:p>
    <w:p w14:paraId="0B92C321" w14:textId="77777777" w:rsidR="00A60CDD" w:rsidRPr="00001CEB" w:rsidRDefault="00A60CDD" w:rsidP="00001CEB">
      <w:pPr>
        <w:spacing w:line="276" w:lineRule="auto"/>
        <w:rPr>
          <w:rFonts w:eastAsia="Times New Roman" w:cs="Times New Roman"/>
          <w:spacing w:val="-4"/>
          <w:sz w:val="24"/>
          <w:szCs w:val="26"/>
          <w:lang w:eastAsia="es-ES"/>
        </w:rPr>
      </w:pPr>
    </w:p>
    <w:p w14:paraId="1F584B1A" w14:textId="432D7E20" w:rsidR="005F14D3" w:rsidRPr="00001CEB" w:rsidRDefault="00DF5AE0" w:rsidP="0042292A">
      <w:pPr>
        <w:pStyle w:val="Prrafodelista"/>
        <w:tabs>
          <w:tab w:val="left" w:pos="567"/>
        </w:tabs>
        <w:spacing w:line="276" w:lineRule="auto"/>
        <w:ind w:left="0"/>
        <w:jc w:val="both"/>
        <w:rPr>
          <w:spacing w:val="-4"/>
          <w:szCs w:val="26"/>
        </w:rPr>
      </w:pPr>
      <w:r w:rsidRPr="00001CEB">
        <w:rPr>
          <w:spacing w:val="-4"/>
          <w:szCs w:val="26"/>
        </w:rPr>
        <w:t xml:space="preserve">Frente a dichas pretensiones, las extremas pasivas </w:t>
      </w:r>
      <w:r w:rsidR="008A738A" w:rsidRPr="00001CEB">
        <w:rPr>
          <w:spacing w:val="-4"/>
          <w:szCs w:val="26"/>
        </w:rPr>
        <w:t xml:space="preserve">manifestaron su </w:t>
      </w:r>
      <w:r w:rsidRPr="00001CEB">
        <w:rPr>
          <w:spacing w:val="-4"/>
          <w:szCs w:val="26"/>
        </w:rPr>
        <w:t>oposición</w:t>
      </w:r>
      <w:r w:rsidR="008A738A" w:rsidRPr="00001CEB">
        <w:rPr>
          <w:spacing w:val="-4"/>
          <w:szCs w:val="26"/>
        </w:rPr>
        <w:t xml:space="preserve"> a las pretensiones, siendo presentadas por cada una de ellas, </w:t>
      </w:r>
      <w:r w:rsidR="006C1ADA" w:rsidRPr="00001CEB">
        <w:rPr>
          <w:spacing w:val="-4"/>
          <w:szCs w:val="26"/>
        </w:rPr>
        <w:t xml:space="preserve">varias </w:t>
      </w:r>
      <w:r w:rsidR="008A738A" w:rsidRPr="00001CEB">
        <w:rPr>
          <w:spacing w:val="-4"/>
          <w:szCs w:val="26"/>
        </w:rPr>
        <w:t xml:space="preserve">excepciones de mérito, en tanto que </w:t>
      </w:r>
      <w:proofErr w:type="spellStart"/>
      <w:r w:rsidR="008A738A" w:rsidRPr="00001CEB">
        <w:rPr>
          <w:spacing w:val="-4"/>
          <w:szCs w:val="26"/>
        </w:rPr>
        <w:t>Sero</w:t>
      </w:r>
      <w:proofErr w:type="spellEnd"/>
      <w:r w:rsidR="008A738A" w:rsidRPr="00001CEB">
        <w:rPr>
          <w:spacing w:val="-4"/>
          <w:szCs w:val="26"/>
        </w:rPr>
        <w:t xml:space="preserve"> Servicios Ocasionales S.A.S, adicional a ello, present</w:t>
      </w:r>
      <w:r w:rsidR="00DF2515" w:rsidRPr="00001CEB">
        <w:rPr>
          <w:spacing w:val="-4"/>
          <w:szCs w:val="26"/>
        </w:rPr>
        <w:t>ó</w:t>
      </w:r>
      <w:r w:rsidR="008A738A" w:rsidRPr="00001CEB">
        <w:rPr>
          <w:spacing w:val="-4"/>
          <w:szCs w:val="26"/>
        </w:rPr>
        <w:t xml:space="preserve"> la previa de prescripción</w:t>
      </w:r>
      <w:r w:rsidR="005F14D3" w:rsidRPr="00001CEB">
        <w:rPr>
          <w:spacing w:val="-4"/>
          <w:szCs w:val="26"/>
        </w:rPr>
        <w:t xml:space="preserve">, la cual se fundó en que aquéllos eventuales derechos que se hubieren causado con anterioridad al 24 de agosto de </w:t>
      </w:r>
      <w:r w:rsidR="00FF1F40" w:rsidRPr="00001CEB">
        <w:rPr>
          <w:spacing w:val="-4"/>
          <w:szCs w:val="26"/>
        </w:rPr>
        <w:t>2014</w:t>
      </w:r>
      <w:r w:rsidR="006C1ADA" w:rsidRPr="00001CEB">
        <w:rPr>
          <w:spacing w:val="-4"/>
          <w:szCs w:val="26"/>
        </w:rPr>
        <w:t>,</w:t>
      </w:r>
      <w:r w:rsidR="005F14D3" w:rsidRPr="00001CEB">
        <w:rPr>
          <w:spacing w:val="-4"/>
          <w:szCs w:val="26"/>
        </w:rPr>
        <w:t xml:space="preserve"> se encontrarían afectados.</w:t>
      </w:r>
    </w:p>
    <w:p w14:paraId="1945DA06" w14:textId="77777777" w:rsidR="005F14D3" w:rsidRPr="00001CEB" w:rsidRDefault="005F14D3" w:rsidP="00001CEB">
      <w:pPr>
        <w:spacing w:line="276" w:lineRule="auto"/>
        <w:rPr>
          <w:rFonts w:eastAsia="Times New Roman" w:cs="Times New Roman"/>
          <w:spacing w:val="-4"/>
          <w:sz w:val="24"/>
          <w:szCs w:val="26"/>
          <w:lang w:eastAsia="es-ES"/>
        </w:rPr>
      </w:pPr>
    </w:p>
    <w:p w14:paraId="19274CAF" w14:textId="449FF14E" w:rsidR="00FF1F40" w:rsidRPr="00001CEB" w:rsidRDefault="00E31D3A" w:rsidP="0042292A">
      <w:pPr>
        <w:spacing w:line="276" w:lineRule="auto"/>
        <w:jc w:val="both"/>
        <w:rPr>
          <w:spacing w:val="-4"/>
          <w:szCs w:val="26"/>
        </w:rPr>
      </w:pPr>
      <w:r w:rsidRPr="00001CEB">
        <w:rPr>
          <w:spacing w:val="-4"/>
          <w:szCs w:val="26"/>
        </w:rPr>
        <w:t>En</w:t>
      </w:r>
      <w:r w:rsidR="001340EB" w:rsidRPr="00001CEB">
        <w:rPr>
          <w:spacing w:val="-4"/>
          <w:szCs w:val="26"/>
        </w:rPr>
        <w:t xml:space="preserve"> la audiencia de que trata el artículo 77 del C.P.T y de la S.S., </w:t>
      </w:r>
      <w:r w:rsidR="005F14D3" w:rsidRPr="00001CEB">
        <w:rPr>
          <w:spacing w:val="-4"/>
          <w:szCs w:val="26"/>
        </w:rPr>
        <w:t xml:space="preserve">la a-quo </w:t>
      </w:r>
      <w:r w:rsidR="00DF2515" w:rsidRPr="00001CEB">
        <w:rPr>
          <w:spacing w:val="-4"/>
          <w:szCs w:val="26"/>
        </w:rPr>
        <w:t xml:space="preserve">únicamente </w:t>
      </w:r>
      <w:r w:rsidR="005F14D3" w:rsidRPr="00001CEB">
        <w:rPr>
          <w:spacing w:val="-4"/>
          <w:szCs w:val="26"/>
        </w:rPr>
        <w:t>corrió traslado de la excepción previa de prescripción (fol. 246)</w:t>
      </w:r>
      <w:r w:rsidR="00A463D4" w:rsidRPr="00001CEB">
        <w:rPr>
          <w:spacing w:val="-4"/>
          <w:szCs w:val="26"/>
        </w:rPr>
        <w:t>, lo cual fue objeto de reclamo por la parte demandante, porque en su sentir, debía procederse de igual manera respecto de las de mérito</w:t>
      </w:r>
      <w:r w:rsidR="0033002A" w:rsidRPr="00001CEB">
        <w:rPr>
          <w:spacing w:val="-4"/>
          <w:szCs w:val="26"/>
        </w:rPr>
        <w:t>,</w:t>
      </w:r>
      <w:r w:rsidR="00CB510C" w:rsidRPr="00001CEB">
        <w:rPr>
          <w:spacing w:val="-4"/>
          <w:szCs w:val="26"/>
        </w:rPr>
        <w:t xml:space="preserve"> en consideración a que </w:t>
      </w:r>
      <w:r w:rsidR="00655467" w:rsidRPr="00001CEB">
        <w:rPr>
          <w:spacing w:val="-4"/>
          <w:szCs w:val="26"/>
        </w:rPr>
        <w:t>era la oportunidad para hacer valer pruebas a su favor.</w:t>
      </w:r>
    </w:p>
    <w:p w14:paraId="2A769650" w14:textId="77777777" w:rsidR="007048E1" w:rsidRPr="00001CEB" w:rsidRDefault="007048E1" w:rsidP="00001CEB">
      <w:pPr>
        <w:spacing w:line="276" w:lineRule="auto"/>
        <w:rPr>
          <w:rFonts w:eastAsia="Times New Roman" w:cs="Times New Roman"/>
          <w:spacing w:val="-4"/>
          <w:sz w:val="24"/>
          <w:szCs w:val="26"/>
          <w:lang w:eastAsia="es-ES"/>
        </w:rPr>
      </w:pPr>
    </w:p>
    <w:p w14:paraId="33643A48" w14:textId="31AB4063" w:rsidR="00196723" w:rsidRPr="00001CEB" w:rsidRDefault="007048E1" w:rsidP="0042292A">
      <w:pPr>
        <w:spacing w:line="276" w:lineRule="auto"/>
        <w:jc w:val="both"/>
        <w:rPr>
          <w:spacing w:val="-4"/>
          <w:szCs w:val="26"/>
        </w:rPr>
      </w:pPr>
      <w:r w:rsidRPr="00001CEB">
        <w:rPr>
          <w:spacing w:val="-4"/>
          <w:szCs w:val="26"/>
        </w:rPr>
        <w:t>La a-quo</w:t>
      </w:r>
      <w:r w:rsidR="00B0095B" w:rsidRPr="00001CEB">
        <w:rPr>
          <w:spacing w:val="-4"/>
          <w:szCs w:val="26"/>
        </w:rPr>
        <w:t xml:space="preserve">, al decidir respecto de la excepción de prescripción, encontró que no estaban las condiciones del artículo 32 del C.P.L., para decidirlas de manera previa, por lo que dispuso </w:t>
      </w:r>
      <w:r w:rsidR="00024A56" w:rsidRPr="00001CEB">
        <w:rPr>
          <w:spacing w:val="-4"/>
          <w:szCs w:val="26"/>
        </w:rPr>
        <w:t xml:space="preserve">prorrogar su decisión a través de la sentencia. </w:t>
      </w:r>
      <w:r w:rsidR="00196723" w:rsidRPr="00001CEB">
        <w:rPr>
          <w:spacing w:val="-4"/>
          <w:szCs w:val="26"/>
        </w:rPr>
        <w:t xml:space="preserve">Ello, en consideración </w:t>
      </w:r>
      <w:r w:rsidR="00B0095B" w:rsidRPr="00001CEB">
        <w:rPr>
          <w:spacing w:val="-4"/>
          <w:szCs w:val="26"/>
        </w:rPr>
        <w:t xml:space="preserve">a que </w:t>
      </w:r>
      <w:r w:rsidR="00196723" w:rsidRPr="00001CEB">
        <w:rPr>
          <w:spacing w:val="-4"/>
          <w:szCs w:val="26"/>
        </w:rPr>
        <w:t xml:space="preserve">al ser </w:t>
      </w:r>
      <w:r w:rsidR="00B0095B" w:rsidRPr="00001CEB">
        <w:rPr>
          <w:spacing w:val="-4"/>
          <w:szCs w:val="26"/>
        </w:rPr>
        <w:t xml:space="preserve">la pretensión principal </w:t>
      </w:r>
      <w:r w:rsidR="00196723" w:rsidRPr="00001CEB">
        <w:rPr>
          <w:spacing w:val="-4"/>
          <w:szCs w:val="26"/>
        </w:rPr>
        <w:t xml:space="preserve">el </w:t>
      </w:r>
      <w:r w:rsidR="00B0095B" w:rsidRPr="00001CEB">
        <w:rPr>
          <w:spacing w:val="-4"/>
          <w:szCs w:val="26"/>
        </w:rPr>
        <w:t xml:space="preserve">declarar el vínculo laboral con el BANCO PUPULAR y </w:t>
      </w:r>
      <w:r w:rsidR="00196723" w:rsidRPr="00001CEB">
        <w:rPr>
          <w:spacing w:val="-4"/>
          <w:szCs w:val="26"/>
        </w:rPr>
        <w:t xml:space="preserve">a </w:t>
      </w:r>
      <w:r w:rsidR="00B0095B" w:rsidRPr="00001CEB">
        <w:rPr>
          <w:spacing w:val="-4"/>
          <w:szCs w:val="26"/>
        </w:rPr>
        <w:t>las demás</w:t>
      </w:r>
      <w:r w:rsidR="00196723" w:rsidRPr="00001CEB">
        <w:rPr>
          <w:spacing w:val="-4"/>
          <w:szCs w:val="26"/>
        </w:rPr>
        <w:t>,</w:t>
      </w:r>
      <w:r w:rsidR="00B0095B" w:rsidRPr="00001CEB">
        <w:rPr>
          <w:spacing w:val="-4"/>
          <w:szCs w:val="26"/>
        </w:rPr>
        <w:t xml:space="preserve"> como simples intermediarias, implicaba </w:t>
      </w:r>
      <w:r w:rsidR="00E93CD1" w:rsidRPr="00001CEB">
        <w:rPr>
          <w:spacing w:val="-4"/>
          <w:szCs w:val="26"/>
        </w:rPr>
        <w:t xml:space="preserve">que </w:t>
      </w:r>
      <w:r w:rsidR="00196723" w:rsidRPr="00001CEB">
        <w:rPr>
          <w:spacing w:val="-4"/>
          <w:szCs w:val="26"/>
        </w:rPr>
        <w:t xml:space="preserve">los derechos pretendidos se encontraban </w:t>
      </w:r>
      <w:r w:rsidR="00B0095B" w:rsidRPr="00001CEB">
        <w:rPr>
          <w:spacing w:val="-4"/>
          <w:szCs w:val="26"/>
        </w:rPr>
        <w:t>en discusión</w:t>
      </w:r>
      <w:r w:rsidR="00E93CD1" w:rsidRPr="00001CEB">
        <w:rPr>
          <w:spacing w:val="-4"/>
          <w:szCs w:val="26"/>
        </w:rPr>
        <w:t xml:space="preserve"> y</w:t>
      </w:r>
      <w:r w:rsidR="00B0095B" w:rsidRPr="00001CEB">
        <w:rPr>
          <w:spacing w:val="-4"/>
          <w:szCs w:val="26"/>
        </w:rPr>
        <w:t xml:space="preserve">, </w:t>
      </w:r>
      <w:r w:rsidR="00E93CD1" w:rsidRPr="00001CEB">
        <w:rPr>
          <w:spacing w:val="-4"/>
          <w:szCs w:val="26"/>
        </w:rPr>
        <w:t>por ende, imposible era tramitarlas</w:t>
      </w:r>
      <w:r w:rsidR="00B0095B" w:rsidRPr="00001CEB">
        <w:rPr>
          <w:spacing w:val="-4"/>
          <w:szCs w:val="26"/>
        </w:rPr>
        <w:t xml:space="preserve"> de manera anticipada</w:t>
      </w:r>
      <w:r w:rsidR="00E93CD1" w:rsidRPr="00001CEB">
        <w:rPr>
          <w:spacing w:val="-4"/>
          <w:szCs w:val="26"/>
        </w:rPr>
        <w:t>.</w:t>
      </w:r>
    </w:p>
    <w:p w14:paraId="1322CD73" w14:textId="77777777" w:rsidR="00196723" w:rsidRPr="00001CEB" w:rsidRDefault="00196723" w:rsidP="00001CEB">
      <w:pPr>
        <w:spacing w:line="276" w:lineRule="auto"/>
        <w:rPr>
          <w:rFonts w:eastAsia="Times New Roman" w:cs="Times New Roman"/>
          <w:spacing w:val="-4"/>
          <w:sz w:val="24"/>
          <w:szCs w:val="26"/>
          <w:lang w:eastAsia="es-ES"/>
        </w:rPr>
      </w:pPr>
    </w:p>
    <w:p w14:paraId="204B7C7B" w14:textId="434C653F" w:rsidR="00E93CD1" w:rsidRPr="00001CEB" w:rsidRDefault="005425B1" w:rsidP="0042292A">
      <w:pPr>
        <w:spacing w:line="276" w:lineRule="auto"/>
        <w:jc w:val="both"/>
        <w:rPr>
          <w:spacing w:val="-4"/>
          <w:szCs w:val="26"/>
        </w:rPr>
      </w:pPr>
      <w:r w:rsidRPr="00001CEB">
        <w:rPr>
          <w:spacing w:val="-4"/>
          <w:szCs w:val="26"/>
        </w:rPr>
        <w:t>La parte actora, cuestionó las decisiones de la a-quo</w:t>
      </w:r>
      <w:r w:rsidR="001A52D7" w:rsidRPr="00001CEB">
        <w:rPr>
          <w:spacing w:val="-4"/>
          <w:szCs w:val="26"/>
        </w:rPr>
        <w:t xml:space="preserve"> en dos sentidos</w:t>
      </w:r>
      <w:r w:rsidRPr="00001CEB">
        <w:rPr>
          <w:spacing w:val="-4"/>
          <w:szCs w:val="26"/>
        </w:rPr>
        <w:t xml:space="preserve">, en </w:t>
      </w:r>
      <w:r w:rsidRPr="00001CEB">
        <w:rPr>
          <w:b/>
          <w:spacing w:val="-4"/>
          <w:szCs w:val="26"/>
        </w:rPr>
        <w:t xml:space="preserve">primer </w:t>
      </w:r>
      <w:r w:rsidR="00F95799" w:rsidRPr="00001CEB">
        <w:rPr>
          <w:b/>
          <w:spacing w:val="-4"/>
          <w:szCs w:val="26"/>
        </w:rPr>
        <w:t>término</w:t>
      </w:r>
      <w:r w:rsidRPr="00001CEB">
        <w:rPr>
          <w:spacing w:val="-4"/>
          <w:szCs w:val="26"/>
        </w:rPr>
        <w:t xml:space="preserve">, </w:t>
      </w:r>
      <w:r w:rsidR="001A52D7" w:rsidRPr="00001CEB">
        <w:rPr>
          <w:spacing w:val="-4"/>
          <w:szCs w:val="26"/>
        </w:rPr>
        <w:t>presentando recurso de reposición y en subsidio el de apelación, contra el auto que dispuso tramitar la excepción de prescripción como de mérito –</w:t>
      </w:r>
      <w:r w:rsidR="001A52D7" w:rsidRPr="00001CEB">
        <w:rPr>
          <w:i/>
          <w:spacing w:val="-4"/>
          <w:szCs w:val="26"/>
        </w:rPr>
        <w:t xml:space="preserve"> la cual también fue propuesta como de mérito </w:t>
      </w:r>
      <w:r w:rsidR="00611EC5" w:rsidRPr="00001CEB">
        <w:rPr>
          <w:i/>
          <w:spacing w:val="-4"/>
          <w:szCs w:val="26"/>
        </w:rPr>
        <w:t>–</w:t>
      </w:r>
      <w:r w:rsidR="00611EC5" w:rsidRPr="00001CEB">
        <w:rPr>
          <w:spacing w:val="-4"/>
          <w:szCs w:val="26"/>
        </w:rPr>
        <w:t xml:space="preserve"> al </w:t>
      </w:r>
      <w:r w:rsidR="00611EC5" w:rsidRPr="00001CEB">
        <w:rPr>
          <w:spacing w:val="-4"/>
          <w:szCs w:val="26"/>
        </w:rPr>
        <w:lastRenderedPageBreak/>
        <w:t xml:space="preserve">considerar </w:t>
      </w:r>
      <w:r w:rsidR="00F95799" w:rsidRPr="00001CEB">
        <w:rPr>
          <w:spacing w:val="-4"/>
          <w:szCs w:val="26"/>
        </w:rPr>
        <w:t xml:space="preserve">que </w:t>
      </w:r>
      <w:r w:rsidR="00611EC5" w:rsidRPr="00001CEB">
        <w:rPr>
          <w:spacing w:val="-4"/>
          <w:szCs w:val="26"/>
        </w:rPr>
        <w:t xml:space="preserve">lo que se debió fue declararla </w:t>
      </w:r>
      <w:r w:rsidR="00F95799" w:rsidRPr="00001CEB">
        <w:rPr>
          <w:spacing w:val="-4"/>
          <w:szCs w:val="26"/>
        </w:rPr>
        <w:t>como no probada</w:t>
      </w:r>
      <w:r w:rsidR="00611EC5" w:rsidRPr="00001CEB">
        <w:rPr>
          <w:spacing w:val="-4"/>
          <w:szCs w:val="26"/>
        </w:rPr>
        <w:t>,</w:t>
      </w:r>
      <w:r w:rsidR="00F95799" w:rsidRPr="00001CEB">
        <w:rPr>
          <w:spacing w:val="-4"/>
          <w:szCs w:val="26"/>
        </w:rPr>
        <w:t xml:space="preserve"> </w:t>
      </w:r>
      <w:r w:rsidR="00611EC5" w:rsidRPr="00001CEB">
        <w:rPr>
          <w:spacing w:val="-4"/>
          <w:szCs w:val="26"/>
        </w:rPr>
        <w:t xml:space="preserve">muy </w:t>
      </w:r>
      <w:r w:rsidR="00F95799" w:rsidRPr="00001CEB">
        <w:rPr>
          <w:spacing w:val="-4"/>
          <w:szCs w:val="26"/>
        </w:rPr>
        <w:t xml:space="preserve">a pesar </w:t>
      </w:r>
      <w:r w:rsidR="00611EC5" w:rsidRPr="00001CEB">
        <w:rPr>
          <w:spacing w:val="-4"/>
          <w:szCs w:val="26"/>
        </w:rPr>
        <w:t xml:space="preserve">de </w:t>
      </w:r>
      <w:r w:rsidR="00F95799" w:rsidRPr="00001CEB">
        <w:rPr>
          <w:spacing w:val="-4"/>
          <w:szCs w:val="26"/>
        </w:rPr>
        <w:t>que no se hubieran dado las condiciones del artículo 32 del C.P.L</w:t>
      </w:r>
      <w:r w:rsidR="00611EC5" w:rsidRPr="00001CEB">
        <w:rPr>
          <w:spacing w:val="-4"/>
          <w:szCs w:val="26"/>
        </w:rPr>
        <w:t xml:space="preserve"> y, en </w:t>
      </w:r>
      <w:r w:rsidR="00611EC5" w:rsidRPr="00001CEB">
        <w:rPr>
          <w:b/>
          <w:spacing w:val="-4"/>
          <w:szCs w:val="26"/>
        </w:rPr>
        <w:t>segundo término</w:t>
      </w:r>
      <w:r w:rsidR="00611EC5" w:rsidRPr="00001CEB">
        <w:rPr>
          <w:spacing w:val="-4"/>
          <w:szCs w:val="26"/>
        </w:rPr>
        <w:t>, y de manera separada, interpuso iguales recursos, contra el auto que negó disponer el traslado de las excepciones de m</w:t>
      </w:r>
      <w:r w:rsidR="00CB6FFB" w:rsidRPr="00001CEB">
        <w:rPr>
          <w:spacing w:val="-4"/>
          <w:szCs w:val="26"/>
        </w:rPr>
        <w:t>érito, considerando que a pesar de no existir norma procesal que expresamente lo dispusiera, el Juez no podía abstraerse de la actividad probatoria y procesal para posibilitar a la demandante presentar o solicitar pruebas en oposición de los medios exceptivos invocados como de fondo.</w:t>
      </w:r>
    </w:p>
    <w:p w14:paraId="0AF33415" w14:textId="77777777" w:rsidR="00E93CD1" w:rsidRPr="00001CEB" w:rsidRDefault="00E93CD1" w:rsidP="00001CEB">
      <w:pPr>
        <w:spacing w:line="276" w:lineRule="auto"/>
        <w:rPr>
          <w:rFonts w:eastAsia="Times New Roman" w:cs="Times New Roman"/>
          <w:spacing w:val="-4"/>
          <w:sz w:val="24"/>
          <w:szCs w:val="26"/>
          <w:lang w:eastAsia="es-ES"/>
        </w:rPr>
      </w:pPr>
    </w:p>
    <w:p w14:paraId="7B8CE958" w14:textId="7AB224F8" w:rsidR="00B0095B" w:rsidRPr="00001CEB" w:rsidRDefault="002C6DC7" w:rsidP="0042292A">
      <w:pPr>
        <w:spacing w:line="276" w:lineRule="auto"/>
        <w:jc w:val="both"/>
        <w:rPr>
          <w:spacing w:val="-4"/>
          <w:szCs w:val="26"/>
        </w:rPr>
      </w:pPr>
      <w:r w:rsidRPr="00001CEB">
        <w:rPr>
          <w:spacing w:val="-4"/>
          <w:szCs w:val="26"/>
        </w:rPr>
        <w:t xml:space="preserve">Respecto de lo primero, la Jueza previo a decidir sobre los recursos interpuestos contra el auto que dispuso dar trámite a la excepción de prescripción como de fondo, requirió al actor </w:t>
      </w:r>
      <w:r w:rsidR="00B0095B" w:rsidRPr="00001CEB">
        <w:rPr>
          <w:spacing w:val="-4"/>
          <w:szCs w:val="26"/>
        </w:rPr>
        <w:t>para que informara sobre el interés para formular la alzada</w:t>
      </w:r>
      <w:r w:rsidRPr="00001CEB">
        <w:rPr>
          <w:spacing w:val="-4"/>
          <w:szCs w:val="26"/>
        </w:rPr>
        <w:t xml:space="preserve">, frente a lo cual, el vocero de la demandante manifestó </w:t>
      </w:r>
      <w:r w:rsidR="00B0095B" w:rsidRPr="00001CEB">
        <w:rPr>
          <w:spacing w:val="-4"/>
          <w:szCs w:val="26"/>
        </w:rPr>
        <w:t>que era por lo que “el Juez de alzada pudiera darle la razón a l</w:t>
      </w:r>
      <w:r w:rsidR="00EA25C3" w:rsidRPr="00001CEB">
        <w:rPr>
          <w:spacing w:val="-4"/>
          <w:szCs w:val="26"/>
        </w:rPr>
        <w:t xml:space="preserve">a posición del demandado” -sic-, disponiendo la a-quo no reponer la decisión y en su lugar, </w:t>
      </w:r>
      <w:r w:rsidR="00EA3291" w:rsidRPr="00001CEB">
        <w:rPr>
          <w:spacing w:val="-4"/>
          <w:szCs w:val="26"/>
        </w:rPr>
        <w:t>concedió el recurso de apelación.</w:t>
      </w:r>
    </w:p>
    <w:p w14:paraId="2CD20D47" w14:textId="77777777" w:rsidR="00B0095B" w:rsidRPr="00001CEB" w:rsidRDefault="00B0095B" w:rsidP="00001CEB">
      <w:pPr>
        <w:spacing w:line="276" w:lineRule="auto"/>
        <w:rPr>
          <w:rFonts w:eastAsia="Times New Roman" w:cs="Times New Roman"/>
          <w:spacing w:val="-4"/>
          <w:sz w:val="24"/>
          <w:szCs w:val="26"/>
          <w:lang w:eastAsia="es-ES"/>
        </w:rPr>
      </w:pPr>
    </w:p>
    <w:p w14:paraId="347A1211" w14:textId="3FA1C008" w:rsidR="000A7B55" w:rsidRPr="00001CEB" w:rsidRDefault="00EA3291" w:rsidP="0042292A">
      <w:pPr>
        <w:spacing w:line="276" w:lineRule="auto"/>
        <w:jc w:val="both"/>
        <w:rPr>
          <w:spacing w:val="-4"/>
          <w:szCs w:val="26"/>
        </w:rPr>
      </w:pPr>
      <w:r w:rsidRPr="00001CEB">
        <w:rPr>
          <w:spacing w:val="-4"/>
          <w:szCs w:val="26"/>
        </w:rPr>
        <w:t>En lo atinente a lo segundo, la a-quo se mantuvo en la negativa de disponer el traslado de las excepciones de mérito al encontrar que no existía disposición que lo regulara</w:t>
      </w:r>
      <w:r w:rsidR="00C80918" w:rsidRPr="00001CEB">
        <w:rPr>
          <w:spacing w:val="-4"/>
          <w:szCs w:val="26"/>
        </w:rPr>
        <w:t xml:space="preserve">, negando </w:t>
      </w:r>
      <w:r w:rsidR="00844A9F" w:rsidRPr="00001CEB">
        <w:rPr>
          <w:spacing w:val="-4"/>
          <w:szCs w:val="26"/>
        </w:rPr>
        <w:t xml:space="preserve">además, </w:t>
      </w:r>
      <w:r w:rsidRPr="00001CEB">
        <w:rPr>
          <w:spacing w:val="-4"/>
          <w:szCs w:val="26"/>
        </w:rPr>
        <w:t xml:space="preserve">el recurso de </w:t>
      </w:r>
      <w:r w:rsidR="00C80918" w:rsidRPr="00001CEB">
        <w:rPr>
          <w:spacing w:val="-4"/>
          <w:szCs w:val="26"/>
        </w:rPr>
        <w:t xml:space="preserve">apelación al no encontrarlo enlistado en el artículo 65 del C.P.L. </w:t>
      </w:r>
      <w:r w:rsidR="00F63E82" w:rsidRPr="00001CEB">
        <w:rPr>
          <w:spacing w:val="-4"/>
          <w:szCs w:val="26"/>
        </w:rPr>
        <w:t>De aquí, que la actora solicitó reponer la negativa de conceder el recurso de apelación</w:t>
      </w:r>
      <w:r w:rsidR="00844A9F" w:rsidRPr="00001CEB">
        <w:rPr>
          <w:spacing w:val="-4"/>
          <w:szCs w:val="26"/>
        </w:rPr>
        <w:t xml:space="preserve">, presentando </w:t>
      </w:r>
      <w:r w:rsidR="00F63E82" w:rsidRPr="00001CEB">
        <w:rPr>
          <w:spacing w:val="-4"/>
          <w:szCs w:val="26"/>
        </w:rPr>
        <w:t xml:space="preserve">subsidiariamente </w:t>
      </w:r>
      <w:r w:rsidR="00844A9F" w:rsidRPr="00001CEB">
        <w:rPr>
          <w:spacing w:val="-4"/>
          <w:szCs w:val="26"/>
        </w:rPr>
        <w:t xml:space="preserve">el de queja, considerando </w:t>
      </w:r>
      <w:r w:rsidR="000A7B55" w:rsidRPr="00001CEB">
        <w:rPr>
          <w:spacing w:val="-4"/>
          <w:szCs w:val="26"/>
        </w:rPr>
        <w:t>que el objeto de la decisión era recurrible porque se estaba ante la posibilidad de decretar o no pruebas a partir de correr traslado de las excepciones de mérito</w:t>
      </w:r>
      <w:r w:rsidR="00844A9F" w:rsidRPr="00001CEB">
        <w:rPr>
          <w:spacing w:val="-4"/>
          <w:szCs w:val="26"/>
        </w:rPr>
        <w:t>.</w:t>
      </w:r>
    </w:p>
    <w:p w14:paraId="69D12652" w14:textId="17B81586" w:rsidR="000A7B55" w:rsidRPr="00001CEB" w:rsidRDefault="000A7B55" w:rsidP="00001CEB">
      <w:pPr>
        <w:spacing w:line="276" w:lineRule="auto"/>
        <w:rPr>
          <w:rFonts w:eastAsia="Times New Roman" w:cs="Times New Roman"/>
          <w:spacing w:val="-4"/>
          <w:sz w:val="24"/>
          <w:szCs w:val="26"/>
          <w:lang w:eastAsia="es-ES"/>
        </w:rPr>
      </w:pPr>
    </w:p>
    <w:p w14:paraId="15C8CE18" w14:textId="697F79D1" w:rsidR="00750795" w:rsidRPr="00001CEB" w:rsidRDefault="00750795" w:rsidP="0042292A">
      <w:pPr>
        <w:pStyle w:val="Prrafodelista"/>
        <w:numPr>
          <w:ilvl w:val="0"/>
          <w:numId w:val="2"/>
        </w:numPr>
        <w:spacing w:line="276" w:lineRule="auto"/>
        <w:ind w:left="284" w:hanging="295"/>
        <w:jc w:val="both"/>
        <w:rPr>
          <w:b/>
          <w:bCs/>
          <w:spacing w:val="-4"/>
          <w:szCs w:val="26"/>
        </w:rPr>
      </w:pPr>
      <w:r w:rsidRPr="00001CEB">
        <w:rPr>
          <w:b/>
          <w:bCs/>
          <w:spacing w:val="-4"/>
          <w:szCs w:val="26"/>
        </w:rPr>
        <w:t>CONSIDERACIONES.</w:t>
      </w:r>
    </w:p>
    <w:p w14:paraId="676C70D1" w14:textId="162C10D7" w:rsidR="00750795" w:rsidRPr="00001CEB" w:rsidRDefault="00750795" w:rsidP="00001CEB">
      <w:pPr>
        <w:spacing w:line="276" w:lineRule="auto"/>
        <w:rPr>
          <w:rFonts w:eastAsia="Times New Roman" w:cs="Times New Roman"/>
          <w:spacing w:val="-4"/>
          <w:sz w:val="24"/>
          <w:szCs w:val="26"/>
          <w:lang w:eastAsia="es-ES"/>
        </w:rPr>
      </w:pPr>
    </w:p>
    <w:p w14:paraId="6C3BA551" w14:textId="76741A83" w:rsidR="00750795" w:rsidRPr="00001CEB" w:rsidRDefault="00750795" w:rsidP="0042292A">
      <w:pPr>
        <w:pStyle w:val="Prrafodelista"/>
        <w:numPr>
          <w:ilvl w:val="1"/>
          <w:numId w:val="2"/>
        </w:numPr>
        <w:spacing w:line="276" w:lineRule="auto"/>
        <w:ind w:left="426" w:hanging="426"/>
        <w:jc w:val="both"/>
        <w:rPr>
          <w:b/>
          <w:bCs/>
          <w:spacing w:val="-4"/>
          <w:szCs w:val="26"/>
        </w:rPr>
      </w:pPr>
      <w:r w:rsidRPr="00001CEB">
        <w:rPr>
          <w:b/>
          <w:bCs/>
          <w:spacing w:val="-4"/>
          <w:szCs w:val="26"/>
        </w:rPr>
        <w:t>Problema jurídico.</w:t>
      </w:r>
    </w:p>
    <w:p w14:paraId="4741F4DC" w14:textId="6BA9E3F1" w:rsidR="00750795" w:rsidRPr="00001CEB" w:rsidRDefault="00750795" w:rsidP="00001CEB">
      <w:pPr>
        <w:spacing w:line="276" w:lineRule="auto"/>
        <w:rPr>
          <w:rFonts w:eastAsia="Times New Roman" w:cs="Times New Roman"/>
          <w:spacing w:val="-4"/>
          <w:sz w:val="24"/>
          <w:szCs w:val="26"/>
          <w:lang w:eastAsia="es-ES"/>
        </w:rPr>
      </w:pPr>
    </w:p>
    <w:p w14:paraId="6F9A7B80" w14:textId="66564866" w:rsidR="00270964" w:rsidRPr="00001CEB" w:rsidRDefault="00270964" w:rsidP="0042292A">
      <w:pPr>
        <w:pStyle w:val="Sinespaciado"/>
        <w:spacing w:line="276" w:lineRule="auto"/>
        <w:rPr>
          <w:rFonts w:ascii="Arial Narrow" w:hAnsi="Arial Narrow"/>
          <w:spacing w:val="-4"/>
          <w:sz w:val="26"/>
          <w:szCs w:val="26"/>
        </w:rPr>
      </w:pPr>
      <w:r w:rsidRPr="00001CEB">
        <w:rPr>
          <w:rFonts w:ascii="Arial Narrow" w:hAnsi="Arial Narrow"/>
          <w:spacing w:val="-4"/>
          <w:sz w:val="26"/>
          <w:szCs w:val="26"/>
        </w:rPr>
        <w:t>Los problemas jurídicos por resolver se centran en dos aspectos:</w:t>
      </w:r>
    </w:p>
    <w:p w14:paraId="2C593013" w14:textId="77777777" w:rsidR="00270964" w:rsidRPr="00001CEB" w:rsidRDefault="00270964" w:rsidP="00001CEB">
      <w:pPr>
        <w:spacing w:line="276" w:lineRule="auto"/>
        <w:rPr>
          <w:rFonts w:eastAsia="Times New Roman" w:cs="Times New Roman"/>
          <w:spacing w:val="-4"/>
          <w:sz w:val="24"/>
          <w:szCs w:val="26"/>
          <w:lang w:eastAsia="es-ES"/>
        </w:rPr>
      </w:pPr>
    </w:p>
    <w:p w14:paraId="09FDFD59" w14:textId="092601F0" w:rsidR="00E62802" w:rsidRPr="00001CEB" w:rsidRDefault="00E62802" w:rsidP="0042292A">
      <w:pPr>
        <w:spacing w:line="276" w:lineRule="auto"/>
        <w:ind w:left="426"/>
        <w:jc w:val="both"/>
        <w:rPr>
          <w:spacing w:val="-4"/>
          <w:szCs w:val="26"/>
        </w:rPr>
      </w:pPr>
      <w:r w:rsidRPr="00001CEB">
        <w:rPr>
          <w:spacing w:val="-4"/>
          <w:szCs w:val="26"/>
        </w:rPr>
        <w:t>¿A</w:t>
      </w:r>
      <w:r w:rsidR="00EE1D07" w:rsidRPr="00001CEB">
        <w:rPr>
          <w:spacing w:val="-4"/>
          <w:szCs w:val="26"/>
        </w:rPr>
        <w:t xml:space="preserve"> </w:t>
      </w:r>
      <w:r w:rsidRPr="00001CEB">
        <w:rPr>
          <w:spacing w:val="-4"/>
          <w:szCs w:val="26"/>
        </w:rPr>
        <w:t>l</w:t>
      </w:r>
      <w:r w:rsidR="00EE1D07" w:rsidRPr="00001CEB">
        <w:rPr>
          <w:spacing w:val="-4"/>
          <w:szCs w:val="26"/>
        </w:rPr>
        <w:t>a</w:t>
      </w:r>
      <w:r w:rsidRPr="00001CEB">
        <w:rPr>
          <w:spacing w:val="-4"/>
          <w:szCs w:val="26"/>
        </w:rPr>
        <w:t xml:space="preserve"> demandante le asiste interés para recurrir el auto por medio del cual dispuso tramitar la excepción mixta de prescripción en la sentencia?</w:t>
      </w:r>
    </w:p>
    <w:p w14:paraId="6FECE8D7" w14:textId="77777777" w:rsidR="00E62802" w:rsidRPr="00001CEB" w:rsidRDefault="00E62802" w:rsidP="00001CEB">
      <w:pPr>
        <w:spacing w:line="276" w:lineRule="auto"/>
        <w:rPr>
          <w:rFonts w:eastAsia="Times New Roman" w:cs="Times New Roman"/>
          <w:spacing w:val="-4"/>
          <w:sz w:val="24"/>
          <w:szCs w:val="26"/>
          <w:lang w:eastAsia="es-ES"/>
        </w:rPr>
      </w:pPr>
    </w:p>
    <w:p w14:paraId="0C294D8A" w14:textId="451214DA" w:rsidR="003A3B95" w:rsidRPr="00001CEB" w:rsidRDefault="003A3B95" w:rsidP="0042292A">
      <w:pPr>
        <w:spacing w:line="276" w:lineRule="auto"/>
        <w:ind w:left="426"/>
        <w:jc w:val="both"/>
        <w:rPr>
          <w:spacing w:val="-4"/>
          <w:szCs w:val="26"/>
        </w:rPr>
      </w:pPr>
      <w:r w:rsidRPr="00001CEB">
        <w:rPr>
          <w:spacing w:val="-4"/>
          <w:szCs w:val="26"/>
        </w:rPr>
        <w:t xml:space="preserve">¿Admite recurso de apelación el auto mediante el cual el Juzgado Quinto Laboral del Circuito de Pereira, resolvió el recurso de reposición interpuesto frente al auto adiado que negó el traslado de las excepciones de mérito en la etapa contemplada en el </w:t>
      </w:r>
      <w:r w:rsidR="00765C1E" w:rsidRPr="00001CEB">
        <w:rPr>
          <w:spacing w:val="-4"/>
          <w:szCs w:val="26"/>
        </w:rPr>
        <w:t xml:space="preserve">numeral 1 del </w:t>
      </w:r>
      <w:r w:rsidRPr="00001CEB">
        <w:rPr>
          <w:spacing w:val="-4"/>
          <w:szCs w:val="26"/>
        </w:rPr>
        <w:t xml:space="preserve">artículo </w:t>
      </w:r>
      <w:r w:rsidR="00765C1E" w:rsidRPr="00001CEB">
        <w:rPr>
          <w:spacing w:val="-4"/>
          <w:szCs w:val="26"/>
        </w:rPr>
        <w:t xml:space="preserve">77 en concordancia con el artículo </w:t>
      </w:r>
      <w:r w:rsidRPr="00001CEB">
        <w:rPr>
          <w:spacing w:val="-4"/>
          <w:szCs w:val="26"/>
        </w:rPr>
        <w:t xml:space="preserve">32 </w:t>
      </w:r>
      <w:r w:rsidR="00765C1E" w:rsidRPr="00001CEB">
        <w:rPr>
          <w:spacing w:val="-4"/>
          <w:szCs w:val="26"/>
        </w:rPr>
        <w:t>ibídem</w:t>
      </w:r>
      <w:r w:rsidRPr="00001CEB">
        <w:rPr>
          <w:spacing w:val="-4"/>
          <w:szCs w:val="26"/>
        </w:rPr>
        <w:t>?</w:t>
      </w:r>
    </w:p>
    <w:p w14:paraId="338EB969" w14:textId="78B13D2A" w:rsidR="00750795" w:rsidRPr="00001CEB" w:rsidRDefault="00750795" w:rsidP="00001CEB">
      <w:pPr>
        <w:spacing w:line="276" w:lineRule="auto"/>
        <w:rPr>
          <w:rFonts w:eastAsia="Times New Roman" w:cs="Times New Roman"/>
          <w:spacing w:val="-4"/>
          <w:sz w:val="24"/>
          <w:szCs w:val="26"/>
          <w:lang w:eastAsia="es-ES"/>
        </w:rPr>
      </w:pPr>
    </w:p>
    <w:p w14:paraId="027F104A" w14:textId="77777777" w:rsidR="00E62802" w:rsidRPr="00001CEB" w:rsidRDefault="00E62802" w:rsidP="0042292A">
      <w:pPr>
        <w:pStyle w:val="Prrafodelista"/>
        <w:numPr>
          <w:ilvl w:val="2"/>
          <w:numId w:val="2"/>
        </w:numPr>
        <w:tabs>
          <w:tab w:val="left" w:pos="709"/>
        </w:tabs>
        <w:spacing w:line="276" w:lineRule="auto"/>
        <w:ind w:left="0" w:firstLine="0"/>
        <w:jc w:val="both"/>
        <w:rPr>
          <w:b/>
          <w:bCs/>
          <w:spacing w:val="-4"/>
          <w:szCs w:val="26"/>
        </w:rPr>
      </w:pPr>
      <w:r w:rsidRPr="00001CEB">
        <w:rPr>
          <w:b/>
          <w:bCs/>
          <w:spacing w:val="-4"/>
          <w:szCs w:val="26"/>
        </w:rPr>
        <w:t>Del recurso de apelación.</w:t>
      </w:r>
    </w:p>
    <w:p w14:paraId="5FA09CC1" w14:textId="77777777" w:rsidR="00E62802" w:rsidRPr="00001CEB" w:rsidRDefault="00E62802" w:rsidP="00001CEB">
      <w:pPr>
        <w:spacing w:line="276" w:lineRule="auto"/>
        <w:rPr>
          <w:rFonts w:eastAsia="Times New Roman" w:cs="Times New Roman"/>
          <w:spacing w:val="-4"/>
          <w:sz w:val="24"/>
          <w:szCs w:val="26"/>
          <w:lang w:eastAsia="es-ES"/>
        </w:rPr>
      </w:pPr>
    </w:p>
    <w:p w14:paraId="2FAA88F5" w14:textId="685299BF" w:rsidR="00E62802" w:rsidRPr="00001CEB" w:rsidRDefault="00763B06" w:rsidP="0042292A">
      <w:pPr>
        <w:pStyle w:val="Prrafodelista"/>
        <w:tabs>
          <w:tab w:val="left" w:pos="709"/>
        </w:tabs>
        <w:spacing w:line="276" w:lineRule="auto"/>
        <w:ind w:left="0"/>
        <w:jc w:val="both"/>
        <w:rPr>
          <w:spacing w:val="-4"/>
          <w:szCs w:val="26"/>
        </w:rPr>
      </w:pPr>
      <w:r w:rsidRPr="00001CEB">
        <w:rPr>
          <w:spacing w:val="-4"/>
          <w:szCs w:val="26"/>
        </w:rPr>
        <w:t xml:space="preserve">Frente </w:t>
      </w:r>
      <w:r w:rsidR="00E62802" w:rsidRPr="00001CEB">
        <w:rPr>
          <w:spacing w:val="-4"/>
          <w:szCs w:val="26"/>
        </w:rPr>
        <w:t xml:space="preserve">al </w:t>
      </w:r>
      <w:r w:rsidRPr="00001CEB">
        <w:rPr>
          <w:spacing w:val="-4"/>
          <w:szCs w:val="26"/>
        </w:rPr>
        <w:t xml:space="preserve">primero </w:t>
      </w:r>
      <w:r w:rsidR="00E62802" w:rsidRPr="00001CEB">
        <w:rPr>
          <w:spacing w:val="-4"/>
          <w:szCs w:val="26"/>
        </w:rPr>
        <w:t xml:space="preserve">de los asuntos puestos a consideración de esta corporación, es de aclarar que, en materia laboral, las únicas excepciones que tienen el carácter de mixtas son las de prescripción y cosa juzgada, conforme al artículo 32 del C.P.T. y de la S.S. </w:t>
      </w:r>
    </w:p>
    <w:p w14:paraId="3C54FE9D" w14:textId="77777777" w:rsidR="00E62802" w:rsidRPr="00001CEB" w:rsidRDefault="00E62802" w:rsidP="00001CEB">
      <w:pPr>
        <w:spacing w:line="276" w:lineRule="auto"/>
        <w:rPr>
          <w:rFonts w:eastAsia="Times New Roman" w:cs="Times New Roman"/>
          <w:spacing w:val="-4"/>
          <w:sz w:val="24"/>
          <w:szCs w:val="26"/>
          <w:lang w:eastAsia="es-ES"/>
        </w:rPr>
      </w:pPr>
    </w:p>
    <w:p w14:paraId="673C2D64" w14:textId="284D5646" w:rsidR="00A079D8" w:rsidRPr="00001CEB" w:rsidRDefault="00C90BF1" w:rsidP="0042292A">
      <w:pPr>
        <w:pStyle w:val="Prrafodelista"/>
        <w:tabs>
          <w:tab w:val="left" w:pos="709"/>
        </w:tabs>
        <w:spacing w:line="276" w:lineRule="auto"/>
        <w:ind w:left="0"/>
        <w:jc w:val="both"/>
        <w:rPr>
          <w:spacing w:val="-4"/>
          <w:szCs w:val="26"/>
        </w:rPr>
      </w:pPr>
      <w:r w:rsidRPr="00001CEB">
        <w:rPr>
          <w:spacing w:val="-4"/>
          <w:szCs w:val="26"/>
        </w:rPr>
        <w:t>Tampoco</w:t>
      </w:r>
      <w:r w:rsidR="001D0980" w:rsidRPr="00001CEB">
        <w:rPr>
          <w:spacing w:val="-4"/>
          <w:szCs w:val="26"/>
        </w:rPr>
        <w:t xml:space="preserve"> </w:t>
      </w:r>
      <w:r w:rsidR="00A079D8" w:rsidRPr="00001CEB">
        <w:rPr>
          <w:spacing w:val="-4"/>
          <w:szCs w:val="26"/>
        </w:rPr>
        <w:t xml:space="preserve">sobra </w:t>
      </w:r>
      <w:r w:rsidR="008F6790" w:rsidRPr="00001CEB">
        <w:rPr>
          <w:spacing w:val="-4"/>
          <w:szCs w:val="26"/>
        </w:rPr>
        <w:t xml:space="preserve">referirnos a </w:t>
      </w:r>
      <w:r w:rsidR="00A079D8" w:rsidRPr="00001CEB">
        <w:rPr>
          <w:spacing w:val="-4"/>
          <w:szCs w:val="26"/>
        </w:rPr>
        <w:t>que</w:t>
      </w:r>
      <w:r w:rsidR="008F6790" w:rsidRPr="00001CEB">
        <w:rPr>
          <w:spacing w:val="-4"/>
          <w:szCs w:val="26"/>
        </w:rPr>
        <w:t xml:space="preserve"> la Corte Constitucional en sentencia C-820-2011 ha indicado </w:t>
      </w:r>
      <w:r w:rsidR="00B156E4" w:rsidRPr="00001CEB">
        <w:rPr>
          <w:spacing w:val="-4"/>
          <w:szCs w:val="26"/>
        </w:rPr>
        <w:t xml:space="preserve">que </w:t>
      </w:r>
      <w:r w:rsidR="008F6790" w:rsidRPr="00001CEB">
        <w:rPr>
          <w:spacing w:val="-4"/>
          <w:szCs w:val="26"/>
        </w:rPr>
        <w:t xml:space="preserve">la excepción </w:t>
      </w:r>
      <w:r w:rsidR="00A079D8" w:rsidRPr="00001CEB">
        <w:rPr>
          <w:spacing w:val="-4"/>
          <w:szCs w:val="26"/>
        </w:rPr>
        <w:t xml:space="preserve">de prescripción tiene </w:t>
      </w:r>
      <w:r w:rsidR="008F6790" w:rsidRPr="00001CEB">
        <w:rPr>
          <w:spacing w:val="-4"/>
          <w:szCs w:val="26"/>
        </w:rPr>
        <w:t xml:space="preserve">una </w:t>
      </w:r>
      <w:r w:rsidR="00A079D8" w:rsidRPr="00001CEB">
        <w:rPr>
          <w:spacing w:val="-4"/>
          <w:szCs w:val="26"/>
        </w:rPr>
        <w:t>naturaleza objetiva</w:t>
      </w:r>
      <w:r w:rsidR="008F6790" w:rsidRPr="00001CEB">
        <w:rPr>
          <w:spacing w:val="-4"/>
          <w:szCs w:val="26"/>
        </w:rPr>
        <w:t xml:space="preserve">, cuya </w:t>
      </w:r>
      <w:r w:rsidR="00A079D8" w:rsidRPr="00001CEB">
        <w:rPr>
          <w:spacing w:val="-4"/>
          <w:szCs w:val="26"/>
        </w:rPr>
        <w:t xml:space="preserve">acreditación se produce mediante la contabilización del transcurso del tiempo, al margen de la intención, el ánimo o la razón por la cual el acreedor permaneció inactivo. Además, su declaratoria anticipada, en la primera audiencia, sólo es posible cuando existe certeza sobre la fecha de exigibilidad de la pretensión, o de su interrupción o suspensión. De manera que si se presenta alguna discusión en torno a estos tópicos su decisión se </w:t>
      </w:r>
      <w:r w:rsidR="00A079D8" w:rsidRPr="00001CEB">
        <w:rPr>
          <w:spacing w:val="-4"/>
          <w:szCs w:val="26"/>
        </w:rPr>
        <w:lastRenderedPageBreak/>
        <w:t>diferirá a la sentencia</w:t>
      </w:r>
      <w:r w:rsidR="00FA3FBC" w:rsidRPr="00001CEB">
        <w:rPr>
          <w:spacing w:val="-4"/>
          <w:szCs w:val="26"/>
        </w:rPr>
        <w:t xml:space="preserve">, aspecto este que de suyo, beneficia al demandante al posibilitar </w:t>
      </w:r>
      <w:r w:rsidR="005179D3" w:rsidRPr="00001CEB">
        <w:rPr>
          <w:spacing w:val="-4"/>
          <w:szCs w:val="26"/>
        </w:rPr>
        <w:t xml:space="preserve">la demostración de </w:t>
      </w:r>
      <w:r w:rsidR="00FA3FBC" w:rsidRPr="00001CEB">
        <w:rPr>
          <w:spacing w:val="-4"/>
          <w:szCs w:val="26"/>
        </w:rPr>
        <w:t xml:space="preserve">la existencia del derecho </w:t>
      </w:r>
      <w:r w:rsidR="005179D3" w:rsidRPr="00001CEB">
        <w:rPr>
          <w:spacing w:val="-4"/>
          <w:szCs w:val="26"/>
        </w:rPr>
        <w:t xml:space="preserve">por </w:t>
      </w:r>
      <w:r w:rsidRPr="00001CEB">
        <w:rPr>
          <w:spacing w:val="-4"/>
          <w:szCs w:val="26"/>
        </w:rPr>
        <w:t>él</w:t>
      </w:r>
      <w:r w:rsidR="005179D3" w:rsidRPr="00001CEB">
        <w:rPr>
          <w:spacing w:val="-4"/>
          <w:szCs w:val="26"/>
        </w:rPr>
        <w:t xml:space="preserve"> </w:t>
      </w:r>
      <w:r w:rsidR="00FA3FBC" w:rsidRPr="00001CEB">
        <w:rPr>
          <w:spacing w:val="-4"/>
          <w:szCs w:val="26"/>
        </w:rPr>
        <w:t>reclamado</w:t>
      </w:r>
      <w:r w:rsidR="005179D3" w:rsidRPr="00001CEB">
        <w:rPr>
          <w:spacing w:val="-4"/>
          <w:szCs w:val="26"/>
        </w:rPr>
        <w:t>.</w:t>
      </w:r>
    </w:p>
    <w:p w14:paraId="0AA63803" w14:textId="77777777" w:rsidR="00A079D8" w:rsidRPr="00001CEB" w:rsidRDefault="00A079D8" w:rsidP="00001CEB">
      <w:pPr>
        <w:spacing w:line="276" w:lineRule="auto"/>
        <w:rPr>
          <w:rFonts w:eastAsia="Times New Roman" w:cs="Times New Roman"/>
          <w:spacing w:val="-4"/>
          <w:sz w:val="24"/>
          <w:szCs w:val="26"/>
          <w:lang w:eastAsia="es-ES"/>
        </w:rPr>
      </w:pPr>
    </w:p>
    <w:p w14:paraId="23B89E2F" w14:textId="241A0030" w:rsidR="00E62802" w:rsidRPr="00001CEB" w:rsidRDefault="00E62802" w:rsidP="0042292A">
      <w:pPr>
        <w:pStyle w:val="Prrafodelista"/>
        <w:tabs>
          <w:tab w:val="left" w:pos="709"/>
        </w:tabs>
        <w:spacing w:line="276" w:lineRule="auto"/>
        <w:ind w:left="0"/>
        <w:jc w:val="both"/>
        <w:rPr>
          <w:i/>
          <w:iCs/>
          <w:spacing w:val="-4"/>
          <w:szCs w:val="26"/>
        </w:rPr>
      </w:pPr>
      <w:r w:rsidRPr="00001CEB">
        <w:rPr>
          <w:spacing w:val="-4"/>
          <w:szCs w:val="26"/>
        </w:rPr>
        <w:t xml:space="preserve">Aclarado </w:t>
      </w:r>
      <w:r w:rsidR="008F6790" w:rsidRPr="00001CEB">
        <w:rPr>
          <w:spacing w:val="-4"/>
          <w:szCs w:val="26"/>
        </w:rPr>
        <w:t>ello</w:t>
      </w:r>
      <w:r w:rsidRPr="00001CEB">
        <w:rPr>
          <w:spacing w:val="-4"/>
          <w:szCs w:val="26"/>
        </w:rPr>
        <w:t xml:space="preserve">, se tiene que los medios de impugnación requieren del cumplimiento de los requisitos indispensables para su viabilidad, entre ellos: </w:t>
      </w:r>
      <w:r w:rsidRPr="00001CEB">
        <w:rPr>
          <w:b/>
          <w:i/>
          <w:iCs/>
          <w:spacing w:val="-4"/>
          <w:szCs w:val="26"/>
        </w:rPr>
        <w:t>a)</w:t>
      </w:r>
      <w:r w:rsidRPr="00001CEB">
        <w:rPr>
          <w:i/>
          <w:iCs/>
          <w:spacing w:val="-4"/>
          <w:szCs w:val="26"/>
        </w:rPr>
        <w:t xml:space="preserve"> capacidad para interponer el recurso; </w:t>
      </w:r>
      <w:r w:rsidRPr="00001CEB">
        <w:rPr>
          <w:b/>
          <w:i/>
          <w:iCs/>
          <w:spacing w:val="-4"/>
          <w:szCs w:val="26"/>
        </w:rPr>
        <w:t>b)</w:t>
      </w:r>
      <w:r w:rsidRPr="00001CEB">
        <w:rPr>
          <w:i/>
          <w:iCs/>
          <w:spacing w:val="-4"/>
          <w:szCs w:val="26"/>
        </w:rPr>
        <w:t xml:space="preserve"> interés para recurrir; </w:t>
      </w:r>
      <w:r w:rsidRPr="00001CEB">
        <w:rPr>
          <w:b/>
          <w:i/>
          <w:iCs/>
          <w:spacing w:val="-4"/>
          <w:szCs w:val="26"/>
        </w:rPr>
        <w:t>c)</w:t>
      </w:r>
      <w:r w:rsidRPr="00001CEB">
        <w:rPr>
          <w:i/>
          <w:iCs/>
          <w:spacing w:val="-4"/>
          <w:szCs w:val="26"/>
        </w:rPr>
        <w:t xml:space="preserve"> oportunidad del recurso; </w:t>
      </w:r>
      <w:r w:rsidRPr="00001CEB">
        <w:rPr>
          <w:b/>
          <w:i/>
          <w:iCs/>
          <w:spacing w:val="-4"/>
          <w:szCs w:val="26"/>
        </w:rPr>
        <w:t>d)</w:t>
      </w:r>
      <w:r w:rsidRPr="00001CEB">
        <w:rPr>
          <w:i/>
          <w:iCs/>
          <w:spacing w:val="-4"/>
          <w:szCs w:val="26"/>
        </w:rPr>
        <w:t xml:space="preserve"> procedencia del recurso; </w:t>
      </w:r>
      <w:r w:rsidRPr="00001CEB">
        <w:rPr>
          <w:b/>
          <w:i/>
          <w:iCs/>
          <w:spacing w:val="-4"/>
          <w:szCs w:val="26"/>
        </w:rPr>
        <w:t>e)</w:t>
      </w:r>
      <w:r w:rsidRPr="00001CEB">
        <w:rPr>
          <w:i/>
          <w:iCs/>
          <w:spacing w:val="-4"/>
          <w:szCs w:val="26"/>
        </w:rPr>
        <w:t xml:space="preserve"> motivación de los recursos y </w:t>
      </w:r>
      <w:r w:rsidRPr="00001CEB">
        <w:rPr>
          <w:b/>
          <w:i/>
          <w:iCs/>
          <w:spacing w:val="-4"/>
          <w:szCs w:val="26"/>
        </w:rPr>
        <w:t>e)</w:t>
      </w:r>
      <w:r w:rsidRPr="00001CEB">
        <w:rPr>
          <w:i/>
          <w:iCs/>
          <w:spacing w:val="-4"/>
          <w:szCs w:val="26"/>
        </w:rPr>
        <w:t xml:space="preserve"> observancia de las cargas procesales.</w:t>
      </w:r>
    </w:p>
    <w:p w14:paraId="7C99400C" w14:textId="77777777" w:rsidR="00E62802" w:rsidRPr="00001CEB" w:rsidRDefault="00E62802" w:rsidP="00001CEB">
      <w:pPr>
        <w:spacing w:line="276" w:lineRule="auto"/>
        <w:rPr>
          <w:rFonts w:eastAsia="Times New Roman" w:cs="Times New Roman"/>
          <w:spacing w:val="-4"/>
          <w:sz w:val="24"/>
          <w:szCs w:val="26"/>
          <w:lang w:eastAsia="es-ES"/>
        </w:rPr>
      </w:pPr>
    </w:p>
    <w:p w14:paraId="1E3AF76F" w14:textId="1854775F" w:rsidR="00E62802" w:rsidRPr="00001CEB" w:rsidRDefault="00E62802" w:rsidP="0042292A">
      <w:pPr>
        <w:pStyle w:val="Prrafodelista"/>
        <w:tabs>
          <w:tab w:val="left" w:pos="709"/>
        </w:tabs>
        <w:spacing w:line="276" w:lineRule="auto"/>
        <w:ind w:left="0"/>
        <w:jc w:val="both"/>
        <w:rPr>
          <w:spacing w:val="-4"/>
          <w:szCs w:val="26"/>
        </w:rPr>
      </w:pPr>
      <w:r w:rsidRPr="00001CEB">
        <w:rPr>
          <w:spacing w:val="-4"/>
          <w:szCs w:val="26"/>
        </w:rPr>
        <w:t>Sobre este tópico, en relación con el literal e), la Corte Suprema de Justicia en Sala Penal ha indicado</w:t>
      </w:r>
      <w:r w:rsidRPr="00001CEB">
        <w:rPr>
          <w:spacing w:val="-4"/>
          <w:szCs w:val="26"/>
          <w:vertAlign w:val="superscript"/>
        </w:rPr>
        <w:footnoteReference w:id="1"/>
      </w:r>
      <w:r w:rsidRPr="00001CEB">
        <w:rPr>
          <w:spacing w:val="-4"/>
          <w:szCs w:val="26"/>
        </w:rPr>
        <w:t xml:space="preserve">: </w:t>
      </w:r>
      <w:r w:rsidR="00A60CDD" w:rsidRPr="00001CEB">
        <w:rPr>
          <w:spacing w:val="-4"/>
          <w:szCs w:val="26"/>
        </w:rPr>
        <w:t xml:space="preserve"> </w:t>
      </w:r>
    </w:p>
    <w:p w14:paraId="57332687" w14:textId="77777777" w:rsidR="00E62802" w:rsidRPr="00001CEB" w:rsidRDefault="00E62802" w:rsidP="00001CEB">
      <w:pPr>
        <w:spacing w:line="276" w:lineRule="auto"/>
        <w:rPr>
          <w:rFonts w:eastAsia="Times New Roman" w:cs="Times New Roman"/>
          <w:spacing w:val="-4"/>
          <w:sz w:val="24"/>
          <w:szCs w:val="26"/>
          <w:lang w:eastAsia="es-ES"/>
        </w:rPr>
      </w:pPr>
    </w:p>
    <w:p w14:paraId="6059F4A3" w14:textId="1AC0A6EC" w:rsidR="00E62802" w:rsidRPr="00001CEB" w:rsidRDefault="00405378" w:rsidP="0042292A">
      <w:pPr>
        <w:spacing w:line="240" w:lineRule="auto"/>
        <w:ind w:left="426" w:right="418"/>
        <w:jc w:val="both"/>
        <w:rPr>
          <w:i/>
          <w:iCs/>
          <w:spacing w:val="-4"/>
          <w:sz w:val="24"/>
          <w:szCs w:val="26"/>
        </w:rPr>
      </w:pPr>
      <w:r w:rsidRPr="00001CEB">
        <w:rPr>
          <w:i/>
          <w:iCs/>
          <w:spacing w:val="-4"/>
          <w:sz w:val="24"/>
          <w:szCs w:val="26"/>
        </w:rPr>
        <w:t xml:space="preserve">(…)  </w:t>
      </w:r>
      <w:r w:rsidR="00E62802" w:rsidRPr="00001CEB">
        <w:rPr>
          <w:i/>
          <w:iCs/>
          <w:spacing w:val="-4"/>
          <w:sz w:val="24"/>
          <w:szCs w:val="26"/>
        </w:rPr>
        <w:t xml:space="preserve">el recurrente debe ser claro y coherente al expresar las razones por las cuales considera que la decisión cuestionada no se ajusta a las normas procesales o sustantivas en las que se debe fundamentar. Cualquier otra expresión o manifestación del recurrente que no esté dirigida a demostrar esta inconsistencia legal, no puede considerarse como sustento de la impugnación. </w:t>
      </w:r>
      <w:r w:rsidR="00EE1D07" w:rsidRPr="00001CEB">
        <w:rPr>
          <w:i/>
          <w:iCs/>
          <w:spacing w:val="-4"/>
          <w:sz w:val="24"/>
          <w:szCs w:val="26"/>
        </w:rPr>
        <w:t>(…)</w:t>
      </w:r>
    </w:p>
    <w:p w14:paraId="760B0B1F" w14:textId="77777777" w:rsidR="00E62802" w:rsidRPr="00001CEB" w:rsidRDefault="00E62802" w:rsidP="00001CEB">
      <w:pPr>
        <w:spacing w:line="276" w:lineRule="auto"/>
        <w:rPr>
          <w:rFonts w:eastAsia="Times New Roman" w:cs="Times New Roman"/>
          <w:spacing w:val="-4"/>
          <w:sz w:val="24"/>
          <w:szCs w:val="26"/>
          <w:lang w:eastAsia="es-ES"/>
        </w:rPr>
      </w:pPr>
    </w:p>
    <w:p w14:paraId="20B69269" w14:textId="77777777" w:rsidR="00E62802" w:rsidRPr="00001CEB" w:rsidRDefault="00E62802" w:rsidP="0042292A">
      <w:pPr>
        <w:pStyle w:val="Prrafodelista"/>
        <w:tabs>
          <w:tab w:val="left" w:pos="709"/>
        </w:tabs>
        <w:spacing w:line="276" w:lineRule="auto"/>
        <w:ind w:left="0"/>
        <w:jc w:val="both"/>
        <w:rPr>
          <w:spacing w:val="-4"/>
          <w:szCs w:val="26"/>
        </w:rPr>
      </w:pPr>
      <w:r w:rsidRPr="00001CEB">
        <w:rPr>
          <w:spacing w:val="-4"/>
          <w:szCs w:val="26"/>
        </w:rPr>
        <w:t>Y, en relación con el b), dice el Dr. Hernán Fabio López Blanco:</w:t>
      </w:r>
    </w:p>
    <w:p w14:paraId="171B7A39" w14:textId="77777777" w:rsidR="00E62802" w:rsidRPr="00001CEB" w:rsidRDefault="00E62802" w:rsidP="00001CEB">
      <w:pPr>
        <w:spacing w:line="276" w:lineRule="auto"/>
        <w:rPr>
          <w:rFonts w:eastAsia="Times New Roman" w:cs="Times New Roman"/>
          <w:spacing w:val="-4"/>
          <w:sz w:val="24"/>
          <w:szCs w:val="26"/>
          <w:lang w:eastAsia="es-ES"/>
        </w:rPr>
      </w:pPr>
    </w:p>
    <w:p w14:paraId="142C9967" w14:textId="69EB6533" w:rsidR="00E62802" w:rsidRPr="00001CEB" w:rsidRDefault="00E62802" w:rsidP="0042292A">
      <w:pPr>
        <w:spacing w:line="240" w:lineRule="auto"/>
        <w:ind w:left="426" w:right="418"/>
        <w:jc w:val="both"/>
        <w:rPr>
          <w:i/>
          <w:iCs/>
          <w:spacing w:val="-4"/>
          <w:sz w:val="24"/>
          <w:szCs w:val="26"/>
        </w:rPr>
      </w:pPr>
      <w:r w:rsidRPr="00001CEB">
        <w:rPr>
          <w:i/>
          <w:iCs/>
          <w:spacing w:val="-4"/>
          <w:sz w:val="24"/>
          <w:szCs w:val="26"/>
        </w:rPr>
        <w:t>“Se entiende que tiene interés para recurrir la persona perjudicada con la providencia</w:t>
      </w:r>
      <w:r w:rsidR="00AC12A7" w:rsidRPr="00001CEB">
        <w:rPr>
          <w:i/>
          <w:iCs/>
          <w:spacing w:val="-4"/>
          <w:sz w:val="24"/>
          <w:szCs w:val="26"/>
        </w:rPr>
        <w:t>...</w:t>
      </w:r>
      <w:r w:rsidRPr="00001CEB">
        <w:rPr>
          <w:i/>
          <w:iCs/>
          <w:spacing w:val="-4"/>
          <w:sz w:val="24"/>
          <w:szCs w:val="26"/>
        </w:rPr>
        <w:t xml:space="preserve"> Según la acertada expresión de </w:t>
      </w:r>
      <w:proofErr w:type="spellStart"/>
      <w:r w:rsidRPr="00001CEB">
        <w:rPr>
          <w:i/>
          <w:iCs/>
          <w:spacing w:val="-4"/>
          <w:sz w:val="24"/>
          <w:szCs w:val="26"/>
        </w:rPr>
        <w:t>Devis</w:t>
      </w:r>
      <w:proofErr w:type="spellEnd"/>
      <w:r w:rsidRPr="00001CEB">
        <w:rPr>
          <w:i/>
          <w:iCs/>
          <w:spacing w:val="-4"/>
          <w:sz w:val="24"/>
          <w:szCs w:val="26"/>
        </w:rPr>
        <w:t xml:space="preserve"> </w:t>
      </w:r>
      <w:proofErr w:type="spellStart"/>
      <w:r w:rsidRPr="00001CEB">
        <w:rPr>
          <w:i/>
          <w:iCs/>
          <w:spacing w:val="-4"/>
          <w:sz w:val="24"/>
          <w:szCs w:val="26"/>
        </w:rPr>
        <w:t>Echandía</w:t>
      </w:r>
      <w:proofErr w:type="spellEnd"/>
      <w:r w:rsidRPr="00001CEB">
        <w:rPr>
          <w:i/>
          <w:iCs/>
          <w:spacing w:val="-4"/>
          <w:sz w:val="24"/>
          <w:szCs w:val="26"/>
        </w:rPr>
        <w:t>,</w:t>
      </w:r>
      <w:r w:rsidRPr="00001CEB">
        <w:rPr>
          <w:spacing w:val="-4"/>
          <w:szCs w:val="26"/>
          <w:vertAlign w:val="superscript"/>
        </w:rPr>
        <w:footnoteReference w:id="2"/>
      </w:r>
      <w:r w:rsidRPr="00001CEB">
        <w:rPr>
          <w:i/>
          <w:iCs/>
          <w:spacing w:val="-4"/>
          <w:sz w:val="24"/>
          <w:szCs w:val="26"/>
        </w:rPr>
        <w:t xml:space="preserve"> no es un “interés teórico en la recta administración de justicia”, sino nacido de un perjuicio, material o moral, “concreto y actual respecto del asunto materia de la providencia”</w:t>
      </w:r>
    </w:p>
    <w:p w14:paraId="0E05BCD8" w14:textId="77777777" w:rsidR="00E62802" w:rsidRPr="00001CEB" w:rsidRDefault="00E62802" w:rsidP="0042292A">
      <w:pPr>
        <w:spacing w:line="240" w:lineRule="auto"/>
        <w:ind w:left="426" w:right="418"/>
        <w:jc w:val="both"/>
        <w:rPr>
          <w:i/>
          <w:iCs/>
          <w:spacing w:val="-4"/>
          <w:sz w:val="24"/>
          <w:szCs w:val="26"/>
        </w:rPr>
      </w:pPr>
    </w:p>
    <w:p w14:paraId="0D2A5555" w14:textId="77777777" w:rsidR="00E62802" w:rsidRPr="00001CEB" w:rsidRDefault="00E62802" w:rsidP="0042292A">
      <w:pPr>
        <w:spacing w:line="240" w:lineRule="auto"/>
        <w:ind w:left="426" w:right="418"/>
        <w:jc w:val="both"/>
        <w:rPr>
          <w:i/>
          <w:iCs/>
          <w:spacing w:val="-4"/>
          <w:sz w:val="24"/>
          <w:szCs w:val="26"/>
        </w:rPr>
      </w:pPr>
      <w:r w:rsidRPr="00001CEB">
        <w:rPr>
          <w:i/>
          <w:iCs/>
          <w:spacing w:val="-4"/>
          <w:sz w:val="24"/>
          <w:szCs w:val="26"/>
        </w:rPr>
        <w:t>Por consiguiente, si la providencia no ocasiona un perjuicio material o moral a una de las personas habilitadas para recurrir, no tendrá capacidad para interponer el recurso…”</w:t>
      </w:r>
      <w:r w:rsidRPr="00001CEB">
        <w:rPr>
          <w:spacing w:val="-4"/>
          <w:szCs w:val="26"/>
          <w:vertAlign w:val="superscript"/>
        </w:rPr>
        <w:footnoteReference w:id="3"/>
      </w:r>
    </w:p>
    <w:p w14:paraId="2C184D76" w14:textId="77777777" w:rsidR="00E62802" w:rsidRPr="00001CEB" w:rsidRDefault="00E62802" w:rsidP="00001CEB">
      <w:pPr>
        <w:spacing w:line="276" w:lineRule="auto"/>
        <w:rPr>
          <w:rFonts w:eastAsia="Times New Roman" w:cs="Times New Roman"/>
          <w:spacing w:val="-4"/>
          <w:sz w:val="24"/>
          <w:szCs w:val="26"/>
          <w:lang w:eastAsia="es-ES"/>
        </w:rPr>
      </w:pPr>
    </w:p>
    <w:p w14:paraId="3B606875" w14:textId="77777777" w:rsidR="00E62802" w:rsidRPr="00001CEB" w:rsidRDefault="00E62802" w:rsidP="0042292A">
      <w:pPr>
        <w:pStyle w:val="Prrafodelista"/>
        <w:tabs>
          <w:tab w:val="left" w:pos="709"/>
        </w:tabs>
        <w:spacing w:line="276" w:lineRule="auto"/>
        <w:ind w:left="0"/>
        <w:jc w:val="both"/>
        <w:rPr>
          <w:spacing w:val="-4"/>
          <w:szCs w:val="26"/>
        </w:rPr>
      </w:pPr>
      <w:r w:rsidRPr="00001CEB">
        <w:rPr>
          <w:spacing w:val="-4"/>
          <w:szCs w:val="26"/>
        </w:rPr>
        <w:t xml:space="preserve">Se mencionan los anteriores presupuestos, en razón a que no se encuentran satisfechos en el caso concreto, veamos: </w:t>
      </w:r>
    </w:p>
    <w:p w14:paraId="7C941A01" w14:textId="77777777" w:rsidR="00E62802" w:rsidRPr="00001CEB" w:rsidRDefault="00E62802" w:rsidP="00001CEB">
      <w:pPr>
        <w:spacing w:line="276" w:lineRule="auto"/>
        <w:rPr>
          <w:rFonts w:eastAsia="Times New Roman" w:cs="Times New Roman"/>
          <w:spacing w:val="-4"/>
          <w:sz w:val="24"/>
          <w:szCs w:val="26"/>
          <w:lang w:eastAsia="es-ES"/>
        </w:rPr>
      </w:pPr>
    </w:p>
    <w:p w14:paraId="58B69FD5" w14:textId="1002E4AB" w:rsidR="00E62802" w:rsidRPr="00001CEB" w:rsidRDefault="00E62802" w:rsidP="0042292A">
      <w:pPr>
        <w:pStyle w:val="Prrafodelista"/>
        <w:tabs>
          <w:tab w:val="left" w:pos="709"/>
        </w:tabs>
        <w:spacing w:line="276" w:lineRule="auto"/>
        <w:ind w:left="0"/>
        <w:jc w:val="both"/>
        <w:rPr>
          <w:spacing w:val="-4"/>
          <w:szCs w:val="26"/>
        </w:rPr>
      </w:pPr>
      <w:r w:rsidRPr="00001CEB">
        <w:rPr>
          <w:spacing w:val="-4"/>
          <w:szCs w:val="26"/>
        </w:rPr>
        <w:t xml:space="preserve">En cuanto a la motivación, el </w:t>
      </w:r>
      <w:r w:rsidR="00B00979" w:rsidRPr="00001CEB">
        <w:rPr>
          <w:spacing w:val="-4"/>
          <w:szCs w:val="26"/>
        </w:rPr>
        <w:t>recurso no resulta comprensible</w:t>
      </w:r>
      <w:r w:rsidRPr="00001CEB">
        <w:rPr>
          <w:spacing w:val="-4"/>
          <w:szCs w:val="26"/>
        </w:rPr>
        <w:t xml:space="preserve"> ni claro, bastando con indicar que, s</w:t>
      </w:r>
      <w:r w:rsidR="00B00979" w:rsidRPr="00001CEB">
        <w:rPr>
          <w:spacing w:val="-4"/>
          <w:szCs w:val="26"/>
        </w:rPr>
        <w:t>i la excepción de prescripción -</w:t>
      </w:r>
      <w:r w:rsidRPr="00001CEB">
        <w:rPr>
          <w:i/>
          <w:iCs/>
          <w:spacing w:val="-4"/>
          <w:szCs w:val="26"/>
        </w:rPr>
        <w:t xml:space="preserve"> de carácter de mixta -, </w:t>
      </w:r>
      <w:r w:rsidRPr="00001CEB">
        <w:rPr>
          <w:spacing w:val="-4"/>
          <w:szCs w:val="26"/>
        </w:rPr>
        <w:t>no fue tramitada de manera previa, sino que la decisión fue justamente el disponer su trámite para ser decidida en la sentencia, ningún asidero tiene el declararla no probada, porque ello solo es dable en el evento de ser tramitada, lo cual no fue el caso.</w:t>
      </w:r>
    </w:p>
    <w:p w14:paraId="711E97CD" w14:textId="77777777" w:rsidR="00E62802" w:rsidRPr="00001CEB" w:rsidRDefault="00E62802" w:rsidP="00001CEB">
      <w:pPr>
        <w:spacing w:line="276" w:lineRule="auto"/>
        <w:rPr>
          <w:rFonts w:eastAsia="Times New Roman" w:cs="Times New Roman"/>
          <w:spacing w:val="-4"/>
          <w:sz w:val="24"/>
          <w:szCs w:val="26"/>
          <w:lang w:eastAsia="es-ES"/>
        </w:rPr>
      </w:pPr>
    </w:p>
    <w:p w14:paraId="3DB2831E" w14:textId="660FADA7" w:rsidR="00E62802" w:rsidRPr="00001CEB" w:rsidRDefault="00E62802" w:rsidP="0042292A">
      <w:pPr>
        <w:spacing w:line="276" w:lineRule="auto"/>
        <w:jc w:val="both"/>
        <w:rPr>
          <w:iCs/>
          <w:spacing w:val="-4"/>
          <w:szCs w:val="26"/>
        </w:rPr>
      </w:pPr>
      <w:r w:rsidRPr="00001CEB">
        <w:rPr>
          <w:spacing w:val="-4"/>
          <w:szCs w:val="26"/>
        </w:rPr>
        <w:t xml:space="preserve">En torno al interés para recurrir, tampoco se satisface dicho presupuesto, porque la providencia atacada al ordenar el trámite de la excepción de prescripción en la sentencia, dado su carácter mixto, significaba que ello se generaba porque justamente imposible era imprimirle un trámite previo, pues a ese momento, el derecho mismo estaba en discusión. Por tal razón, con la decisión adoptada ningún agravio material o moral se le podía causar al demandante, según la motivación que lo inspiró al recurrir. Adicionalmente, llama la atención, el hecho de que el apoderado de la actora ante el requerimiento de la a-quo para que informara sobre el interés para formular la alzada, se hubiera ceñido a la simple e incierta eventualidad de que </w:t>
      </w:r>
      <w:r w:rsidRPr="00001CEB">
        <w:rPr>
          <w:i/>
          <w:iCs/>
          <w:spacing w:val="-4"/>
          <w:szCs w:val="26"/>
        </w:rPr>
        <w:t>“</w:t>
      </w:r>
      <w:r w:rsidRPr="00001CEB">
        <w:rPr>
          <w:i/>
          <w:iCs/>
          <w:spacing w:val="-4"/>
          <w:sz w:val="24"/>
          <w:szCs w:val="26"/>
        </w:rPr>
        <w:t>el Juez de alzada pudiera darle la raz</w:t>
      </w:r>
      <w:r w:rsidR="00BC1E21" w:rsidRPr="00001CEB">
        <w:rPr>
          <w:i/>
          <w:iCs/>
          <w:spacing w:val="-4"/>
          <w:sz w:val="24"/>
          <w:szCs w:val="26"/>
        </w:rPr>
        <w:t>ón a la posición del demandado</w:t>
      </w:r>
      <w:r w:rsidR="00BC1E21" w:rsidRPr="00001CEB">
        <w:rPr>
          <w:i/>
          <w:iCs/>
          <w:spacing w:val="-4"/>
          <w:szCs w:val="26"/>
        </w:rPr>
        <w:t>”</w:t>
      </w:r>
      <w:r w:rsidR="00BC1E21" w:rsidRPr="00001CEB">
        <w:rPr>
          <w:iCs/>
          <w:spacing w:val="-4"/>
          <w:szCs w:val="26"/>
        </w:rPr>
        <w:t xml:space="preserve"> y, </w:t>
      </w:r>
      <w:r w:rsidR="00FE7A21" w:rsidRPr="00001CEB">
        <w:rPr>
          <w:iCs/>
          <w:spacing w:val="-4"/>
          <w:szCs w:val="26"/>
        </w:rPr>
        <w:t>aun así</w:t>
      </w:r>
      <w:r w:rsidR="00BC1E21" w:rsidRPr="00001CEB">
        <w:rPr>
          <w:iCs/>
          <w:spacing w:val="-4"/>
          <w:szCs w:val="26"/>
        </w:rPr>
        <w:t>, se le hubiera concedido el recurso de apelación.</w:t>
      </w:r>
    </w:p>
    <w:p w14:paraId="045CE241" w14:textId="77777777" w:rsidR="00E62802" w:rsidRPr="00001CEB" w:rsidRDefault="00E62802" w:rsidP="00001CEB">
      <w:pPr>
        <w:spacing w:line="276" w:lineRule="auto"/>
        <w:rPr>
          <w:rFonts w:eastAsia="Times New Roman" w:cs="Times New Roman"/>
          <w:spacing w:val="-4"/>
          <w:sz w:val="24"/>
          <w:szCs w:val="26"/>
          <w:lang w:eastAsia="es-ES"/>
        </w:rPr>
      </w:pPr>
    </w:p>
    <w:p w14:paraId="7A608E9B" w14:textId="77777777" w:rsidR="00E62802" w:rsidRPr="00001CEB" w:rsidRDefault="00E62802" w:rsidP="0042292A">
      <w:pPr>
        <w:pStyle w:val="Prrafodelista"/>
        <w:tabs>
          <w:tab w:val="left" w:pos="709"/>
        </w:tabs>
        <w:spacing w:line="276" w:lineRule="auto"/>
        <w:ind w:left="0"/>
        <w:jc w:val="both"/>
        <w:rPr>
          <w:spacing w:val="-4"/>
          <w:szCs w:val="26"/>
        </w:rPr>
      </w:pPr>
      <w:r w:rsidRPr="00001CEB">
        <w:rPr>
          <w:spacing w:val="-4"/>
          <w:szCs w:val="26"/>
        </w:rPr>
        <w:t>Por las anteriores razones, se declarará inadmisible el recurso de apelación incoado por el demandante.</w:t>
      </w:r>
    </w:p>
    <w:p w14:paraId="62E50D30" w14:textId="77777777" w:rsidR="00C94EE1" w:rsidRPr="00001CEB" w:rsidRDefault="00C94EE1" w:rsidP="00001CEB">
      <w:pPr>
        <w:spacing w:line="276" w:lineRule="auto"/>
        <w:rPr>
          <w:rFonts w:eastAsia="Times New Roman" w:cs="Times New Roman"/>
          <w:spacing w:val="-4"/>
          <w:sz w:val="24"/>
          <w:szCs w:val="26"/>
          <w:lang w:eastAsia="es-ES"/>
        </w:rPr>
      </w:pPr>
    </w:p>
    <w:p w14:paraId="13F4BD58" w14:textId="77777777" w:rsidR="006131FC" w:rsidRPr="00001CEB" w:rsidRDefault="006131FC" w:rsidP="0042292A">
      <w:pPr>
        <w:pStyle w:val="Prrafodelista"/>
        <w:numPr>
          <w:ilvl w:val="2"/>
          <w:numId w:val="2"/>
        </w:numPr>
        <w:tabs>
          <w:tab w:val="left" w:pos="709"/>
        </w:tabs>
        <w:spacing w:line="276" w:lineRule="auto"/>
        <w:ind w:left="0" w:firstLine="0"/>
        <w:jc w:val="both"/>
        <w:rPr>
          <w:spacing w:val="-4"/>
          <w:szCs w:val="26"/>
        </w:rPr>
      </w:pPr>
      <w:r w:rsidRPr="00001CEB">
        <w:rPr>
          <w:b/>
          <w:bCs/>
          <w:spacing w:val="-4"/>
          <w:szCs w:val="26"/>
        </w:rPr>
        <w:t xml:space="preserve">Del recurso de queja. </w:t>
      </w:r>
    </w:p>
    <w:p w14:paraId="2CF95445" w14:textId="77777777" w:rsidR="006131FC" w:rsidRPr="00001CEB" w:rsidRDefault="006131FC" w:rsidP="00001CEB">
      <w:pPr>
        <w:spacing w:line="276" w:lineRule="auto"/>
        <w:rPr>
          <w:rFonts w:eastAsia="Times New Roman" w:cs="Times New Roman"/>
          <w:spacing w:val="-4"/>
          <w:sz w:val="24"/>
          <w:szCs w:val="26"/>
          <w:lang w:eastAsia="es-ES"/>
        </w:rPr>
      </w:pPr>
    </w:p>
    <w:p w14:paraId="022B0884" w14:textId="1159D6CB" w:rsidR="00750E20" w:rsidRPr="00001CEB" w:rsidRDefault="00AC12A7" w:rsidP="0042292A">
      <w:pPr>
        <w:spacing w:line="276" w:lineRule="auto"/>
        <w:jc w:val="both"/>
        <w:rPr>
          <w:spacing w:val="-4"/>
          <w:szCs w:val="26"/>
        </w:rPr>
      </w:pPr>
      <w:r w:rsidRPr="00001CEB">
        <w:rPr>
          <w:spacing w:val="-4"/>
          <w:szCs w:val="26"/>
        </w:rPr>
        <w:t>E</w:t>
      </w:r>
      <w:r w:rsidR="003218A1" w:rsidRPr="00001CEB">
        <w:rPr>
          <w:spacing w:val="-4"/>
          <w:szCs w:val="26"/>
        </w:rPr>
        <w:t xml:space="preserve">l artículo </w:t>
      </w:r>
      <w:r w:rsidR="000A7B55" w:rsidRPr="00001CEB">
        <w:rPr>
          <w:spacing w:val="-4"/>
          <w:szCs w:val="26"/>
        </w:rPr>
        <w:t>65 del C</w:t>
      </w:r>
      <w:r w:rsidR="00B217F0" w:rsidRPr="00001CEB">
        <w:rPr>
          <w:spacing w:val="-4"/>
          <w:szCs w:val="26"/>
        </w:rPr>
        <w:t>.</w:t>
      </w:r>
      <w:r w:rsidR="000A7B55" w:rsidRPr="00001CEB">
        <w:rPr>
          <w:spacing w:val="-4"/>
          <w:szCs w:val="26"/>
        </w:rPr>
        <w:t>P</w:t>
      </w:r>
      <w:r w:rsidR="00B217F0" w:rsidRPr="00001CEB">
        <w:rPr>
          <w:spacing w:val="-4"/>
          <w:szCs w:val="26"/>
        </w:rPr>
        <w:t>.</w:t>
      </w:r>
      <w:r w:rsidR="000A7B55" w:rsidRPr="00001CEB">
        <w:rPr>
          <w:spacing w:val="-4"/>
          <w:szCs w:val="26"/>
        </w:rPr>
        <w:t>L</w:t>
      </w:r>
      <w:r w:rsidR="00B217F0" w:rsidRPr="00001CEB">
        <w:rPr>
          <w:spacing w:val="-4"/>
          <w:szCs w:val="26"/>
        </w:rPr>
        <w:t>,</w:t>
      </w:r>
      <w:r w:rsidR="000A7B55" w:rsidRPr="00001CEB">
        <w:rPr>
          <w:spacing w:val="-4"/>
          <w:szCs w:val="26"/>
        </w:rPr>
        <w:t xml:space="preserve"> identifica de manera enunciativa </w:t>
      </w:r>
      <w:r w:rsidR="00B217F0" w:rsidRPr="00001CEB">
        <w:rPr>
          <w:spacing w:val="-4"/>
          <w:szCs w:val="26"/>
        </w:rPr>
        <w:t xml:space="preserve">aquellos </w:t>
      </w:r>
      <w:r w:rsidR="000A7B55" w:rsidRPr="00001CEB">
        <w:rPr>
          <w:spacing w:val="-4"/>
          <w:szCs w:val="26"/>
        </w:rPr>
        <w:t xml:space="preserve">autos apelables en primera instancia, </w:t>
      </w:r>
      <w:r w:rsidR="0093458D" w:rsidRPr="00001CEB">
        <w:rPr>
          <w:spacing w:val="-4"/>
          <w:szCs w:val="26"/>
        </w:rPr>
        <w:t xml:space="preserve">en tanto que, el </w:t>
      </w:r>
      <w:r w:rsidRPr="00001CEB">
        <w:rPr>
          <w:spacing w:val="-4"/>
          <w:szCs w:val="26"/>
        </w:rPr>
        <w:t>artículo</w:t>
      </w:r>
      <w:r w:rsidR="0093458D" w:rsidRPr="00001CEB">
        <w:rPr>
          <w:spacing w:val="-4"/>
          <w:szCs w:val="26"/>
        </w:rPr>
        <w:t xml:space="preserve"> 64 </w:t>
      </w:r>
      <w:r w:rsidR="00DB7389" w:rsidRPr="00001CEB">
        <w:rPr>
          <w:spacing w:val="-4"/>
          <w:szCs w:val="26"/>
        </w:rPr>
        <w:t>ibídem</w:t>
      </w:r>
      <w:r w:rsidR="0093458D" w:rsidRPr="00001CEB">
        <w:rPr>
          <w:spacing w:val="-4"/>
          <w:szCs w:val="26"/>
        </w:rPr>
        <w:t xml:space="preserve">, </w:t>
      </w:r>
      <w:r w:rsidR="000A7B55" w:rsidRPr="00001CEB">
        <w:rPr>
          <w:spacing w:val="-4"/>
          <w:szCs w:val="26"/>
        </w:rPr>
        <w:t>menciona que no son recurribles los autos de sustanciación</w:t>
      </w:r>
      <w:r w:rsidR="0093458D" w:rsidRPr="00001CEB">
        <w:rPr>
          <w:spacing w:val="-4"/>
          <w:szCs w:val="26"/>
        </w:rPr>
        <w:t>, sin perjuicio que el Juez pueda modificarlos o revocarlos de manera oficiosa, en cualquier estado del proceso.</w:t>
      </w:r>
    </w:p>
    <w:p w14:paraId="3A80F1C1" w14:textId="77777777" w:rsidR="00750E20" w:rsidRPr="00001CEB" w:rsidRDefault="00750E20" w:rsidP="00001CEB">
      <w:pPr>
        <w:spacing w:line="276" w:lineRule="auto"/>
        <w:rPr>
          <w:rFonts w:eastAsia="Times New Roman" w:cs="Times New Roman"/>
          <w:spacing w:val="-4"/>
          <w:sz w:val="24"/>
          <w:szCs w:val="26"/>
          <w:lang w:eastAsia="es-ES"/>
        </w:rPr>
      </w:pPr>
    </w:p>
    <w:p w14:paraId="1D5C3B8A" w14:textId="77777777" w:rsidR="00EB6890" w:rsidRPr="00001CEB" w:rsidRDefault="00750E20" w:rsidP="0042292A">
      <w:pPr>
        <w:spacing w:line="276" w:lineRule="auto"/>
        <w:jc w:val="both"/>
        <w:rPr>
          <w:spacing w:val="-4"/>
          <w:szCs w:val="26"/>
        </w:rPr>
      </w:pPr>
      <w:r w:rsidRPr="00001CEB">
        <w:rPr>
          <w:spacing w:val="-4"/>
          <w:szCs w:val="26"/>
        </w:rPr>
        <w:t xml:space="preserve">Pues bien, en el presente asunto, necesario es traer a colación que el artículo 32 del C.P.L., </w:t>
      </w:r>
      <w:r w:rsidR="0084752B" w:rsidRPr="00001CEB">
        <w:rPr>
          <w:spacing w:val="-4"/>
          <w:szCs w:val="26"/>
        </w:rPr>
        <w:t xml:space="preserve">de manera general, dispone el trámite de las excepciones, diferenciando en su articulado aquéllas que pueden ser </w:t>
      </w:r>
      <w:r w:rsidR="0084752B" w:rsidRPr="00001CEB">
        <w:rPr>
          <w:b/>
          <w:spacing w:val="-4"/>
          <w:szCs w:val="26"/>
        </w:rPr>
        <w:t xml:space="preserve">decididas </w:t>
      </w:r>
      <w:r w:rsidR="0084752B" w:rsidRPr="00001CEB">
        <w:rPr>
          <w:spacing w:val="-4"/>
          <w:szCs w:val="26"/>
        </w:rPr>
        <w:t>en la oportunidad de que trata el artículo 77, numeral 1 de dicha codificación</w:t>
      </w:r>
      <w:r w:rsidR="001C58F1" w:rsidRPr="00001CEB">
        <w:rPr>
          <w:spacing w:val="-4"/>
          <w:szCs w:val="26"/>
        </w:rPr>
        <w:t>, más conocidas como “</w:t>
      </w:r>
      <w:r w:rsidR="001C58F1" w:rsidRPr="00001CEB">
        <w:rPr>
          <w:b/>
          <w:spacing w:val="-4"/>
          <w:szCs w:val="26"/>
        </w:rPr>
        <w:t>previas</w:t>
      </w:r>
      <w:r w:rsidR="001C58F1" w:rsidRPr="00001CEB">
        <w:rPr>
          <w:spacing w:val="-4"/>
          <w:szCs w:val="26"/>
        </w:rPr>
        <w:t>”, así como aquellas que serán decididas en la sentencia, más conocidas como “</w:t>
      </w:r>
      <w:r w:rsidR="001C58F1" w:rsidRPr="00001CEB">
        <w:rPr>
          <w:b/>
          <w:spacing w:val="-4"/>
          <w:szCs w:val="26"/>
        </w:rPr>
        <w:t>de mérito”</w:t>
      </w:r>
      <w:r w:rsidR="00EB6890" w:rsidRPr="00001CEB">
        <w:rPr>
          <w:spacing w:val="-4"/>
          <w:szCs w:val="26"/>
        </w:rPr>
        <w:t xml:space="preserve">. </w:t>
      </w:r>
    </w:p>
    <w:p w14:paraId="14088955" w14:textId="77777777" w:rsidR="00EB6890" w:rsidRPr="00001CEB" w:rsidRDefault="00EB6890" w:rsidP="00001CEB">
      <w:pPr>
        <w:spacing w:line="276" w:lineRule="auto"/>
        <w:rPr>
          <w:rFonts w:eastAsia="Times New Roman" w:cs="Times New Roman"/>
          <w:spacing w:val="-4"/>
          <w:sz w:val="24"/>
          <w:szCs w:val="26"/>
          <w:lang w:eastAsia="es-ES"/>
        </w:rPr>
      </w:pPr>
    </w:p>
    <w:p w14:paraId="484DFA7C" w14:textId="2534F446" w:rsidR="0084752B" w:rsidRPr="00001CEB" w:rsidRDefault="00EB6890" w:rsidP="0042292A">
      <w:pPr>
        <w:spacing w:line="276" w:lineRule="auto"/>
        <w:jc w:val="both"/>
        <w:rPr>
          <w:spacing w:val="-4"/>
          <w:szCs w:val="26"/>
        </w:rPr>
      </w:pPr>
      <w:r w:rsidRPr="00001CEB">
        <w:rPr>
          <w:spacing w:val="-4"/>
          <w:szCs w:val="26"/>
        </w:rPr>
        <w:t>Ahora, nótese también que dicho articulado establece, sin distinción alguna, que frente a las excepciones, en forma general, ofrece la posibilidad de que “</w:t>
      </w:r>
      <w:r w:rsidR="00F633E6" w:rsidRPr="00001CEB">
        <w:rPr>
          <w:spacing w:val="-4"/>
          <w:sz w:val="24"/>
          <w:szCs w:val="26"/>
        </w:rPr>
        <w:t>s</w:t>
      </w:r>
      <w:r w:rsidR="0084752B" w:rsidRPr="00001CEB">
        <w:rPr>
          <w:spacing w:val="-4"/>
          <w:sz w:val="24"/>
          <w:szCs w:val="26"/>
        </w:rPr>
        <w:t xml:space="preserve">i el demandante tuviere que contraprobar </w:t>
      </w:r>
      <w:r w:rsidR="0084752B" w:rsidRPr="00001CEB">
        <w:rPr>
          <w:spacing w:val="-4"/>
          <w:sz w:val="24"/>
          <w:szCs w:val="26"/>
          <w:u w:val="single"/>
        </w:rPr>
        <w:t>deberá presentar las pruebas en el acto</w:t>
      </w:r>
      <w:r w:rsidR="0084752B" w:rsidRPr="00001CEB">
        <w:rPr>
          <w:spacing w:val="-4"/>
          <w:sz w:val="24"/>
          <w:szCs w:val="26"/>
        </w:rPr>
        <w:t xml:space="preserve"> y el </w:t>
      </w:r>
      <w:r w:rsidR="0084752B" w:rsidRPr="00001CEB">
        <w:rPr>
          <w:spacing w:val="-4"/>
          <w:sz w:val="24"/>
          <w:szCs w:val="26"/>
          <w:u w:val="single"/>
        </w:rPr>
        <w:t>juez resolverá allí mismo</w:t>
      </w:r>
      <w:r w:rsidRPr="00001CEB">
        <w:rPr>
          <w:spacing w:val="-4"/>
          <w:szCs w:val="26"/>
        </w:rPr>
        <w:t>”, lo que implica</w:t>
      </w:r>
      <w:r w:rsidR="00F633E6" w:rsidRPr="00001CEB">
        <w:rPr>
          <w:spacing w:val="-4"/>
          <w:szCs w:val="26"/>
        </w:rPr>
        <w:t xml:space="preserve"> que </w:t>
      </w:r>
      <w:r w:rsidR="00846016" w:rsidRPr="00001CEB">
        <w:rPr>
          <w:spacing w:val="-4"/>
          <w:szCs w:val="26"/>
        </w:rPr>
        <w:t>de ser presentados “</w:t>
      </w:r>
      <w:r w:rsidR="00846016" w:rsidRPr="00001CEB">
        <w:rPr>
          <w:b/>
          <w:spacing w:val="-4"/>
          <w:szCs w:val="26"/>
        </w:rPr>
        <w:t>medios de prueba</w:t>
      </w:r>
      <w:r w:rsidR="00846016" w:rsidRPr="00001CEB">
        <w:rPr>
          <w:spacing w:val="-4"/>
          <w:szCs w:val="26"/>
        </w:rPr>
        <w:t xml:space="preserve">” para contraprobar un medio exceptivo, </w:t>
      </w:r>
      <w:r w:rsidR="00F633E6" w:rsidRPr="00001CEB">
        <w:rPr>
          <w:spacing w:val="-4"/>
          <w:szCs w:val="26"/>
        </w:rPr>
        <w:t xml:space="preserve">el Juez </w:t>
      </w:r>
      <w:r w:rsidR="00846016" w:rsidRPr="00001CEB">
        <w:rPr>
          <w:spacing w:val="-4"/>
          <w:szCs w:val="26"/>
        </w:rPr>
        <w:t xml:space="preserve">en el acto </w:t>
      </w:r>
      <w:r w:rsidR="000F0F46" w:rsidRPr="00001CEB">
        <w:rPr>
          <w:spacing w:val="-4"/>
          <w:szCs w:val="26"/>
        </w:rPr>
        <w:t>decidirá respecto de ellas</w:t>
      </w:r>
      <w:r w:rsidR="00F633E6" w:rsidRPr="00001CEB">
        <w:rPr>
          <w:spacing w:val="-4"/>
          <w:szCs w:val="26"/>
        </w:rPr>
        <w:t xml:space="preserve">, aspecto que de suyo, </w:t>
      </w:r>
      <w:r w:rsidR="00F01DC6" w:rsidRPr="00001CEB">
        <w:rPr>
          <w:spacing w:val="-4"/>
          <w:szCs w:val="26"/>
        </w:rPr>
        <w:t xml:space="preserve">lleva consigo la </w:t>
      </w:r>
      <w:r w:rsidR="000F0F46" w:rsidRPr="00001CEB">
        <w:rPr>
          <w:spacing w:val="-4"/>
          <w:szCs w:val="26"/>
        </w:rPr>
        <w:t>procedencia del recurso de apelación (art. 65, numeral 4 CPL), a</w:t>
      </w:r>
      <w:r w:rsidR="00F01DC6" w:rsidRPr="00001CEB">
        <w:rPr>
          <w:spacing w:val="-4"/>
          <w:szCs w:val="26"/>
        </w:rPr>
        <w:t xml:space="preserve"> más que el vocero de la demandante </w:t>
      </w:r>
      <w:r w:rsidR="000F0F46" w:rsidRPr="00001CEB">
        <w:rPr>
          <w:spacing w:val="-4"/>
          <w:szCs w:val="26"/>
        </w:rPr>
        <w:t xml:space="preserve">anunció su interés de </w:t>
      </w:r>
      <w:r w:rsidR="000568CD" w:rsidRPr="00001CEB">
        <w:rPr>
          <w:spacing w:val="-4"/>
          <w:szCs w:val="26"/>
        </w:rPr>
        <w:t>presentar medios probatorios</w:t>
      </w:r>
      <w:r w:rsidR="000F0F46" w:rsidRPr="00001CEB">
        <w:rPr>
          <w:spacing w:val="-4"/>
          <w:szCs w:val="26"/>
        </w:rPr>
        <w:t>.</w:t>
      </w:r>
    </w:p>
    <w:p w14:paraId="663EB5EF" w14:textId="77777777" w:rsidR="000F0F46" w:rsidRPr="00001CEB" w:rsidRDefault="000F0F46" w:rsidP="00001CEB">
      <w:pPr>
        <w:spacing w:line="276" w:lineRule="auto"/>
        <w:rPr>
          <w:rFonts w:eastAsia="Times New Roman" w:cs="Times New Roman"/>
          <w:spacing w:val="-4"/>
          <w:sz w:val="24"/>
          <w:szCs w:val="26"/>
          <w:lang w:eastAsia="es-ES"/>
        </w:rPr>
      </w:pPr>
    </w:p>
    <w:p w14:paraId="0112D2C2" w14:textId="6B1331A9" w:rsidR="00CD1C7C" w:rsidRPr="00001CEB" w:rsidRDefault="00DF636E" w:rsidP="0042292A">
      <w:pPr>
        <w:spacing w:line="276" w:lineRule="auto"/>
        <w:jc w:val="both"/>
        <w:rPr>
          <w:spacing w:val="-4"/>
          <w:szCs w:val="26"/>
        </w:rPr>
      </w:pPr>
      <w:r w:rsidRPr="00001CEB">
        <w:rPr>
          <w:spacing w:val="-4"/>
          <w:szCs w:val="26"/>
        </w:rPr>
        <w:t xml:space="preserve">En tal orden de ideas, se puede colegir que el proveído </w:t>
      </w:r>
      <w:r w:rsidR="00BD4CA4" w:rsidRPr="00001CEB">
        <w:rPr>
          <w:spacing w:val="-4"/>
          <w:szCs w:val="26"/>
        </w:rPr>
        <w:t xml:space="preserve">cuestionado </w:t>
      </w:r>
      <w:r w:rsidRPr="00001CEB">
        <w:rPr>
          <w:spacing w:val="-4"/>
          <w:szCs w:val="26"/>
        </w:rPr>
        <w:t>es recurrible, como lo adujo el quejoso</w:t>
      </w:r>
      <w:r w:rsidR="00BD4CA4" w:rsidRPr="00001CEB">
        <w:rPr>
          <w:spacing w:val="-4"/>
          <w:szCs w:val="26"/>
        </w:rPr>
        <w:t xml:space="preserve"> y, por tal razón, debió concederse.</w:t>
      </w:r>
    </w:p>
    <w:p w14:paraId="28467B7D" w14:textId="77777777" w:rsidR="00BD4CA4" w:rsidRPr="00001CEB" w:rsidRDefault="00BD4CA4" w:rsidP="00001CEB">
      <w:pPr>
        <w:spacing w:line="276" w:lineRule="auto"/>
        <w:rPr>
          <w:rFonts w:eastAsia="Times New Roman" w:cs="Times New Roman"/>
          <w:spacing w:val="-4"/>
          <w:sz w:val="24"/>
          <w:szCs w:val="26"/>
          <w:lang w:eastAsia="es-ES"/>
        </w:rPr>
      </w:pPr>
    </w:p>
    <w:p w14:paraId="364CAA26" w14:textId="3ED98D66" w:rsidR="006B3B34" w:rsidRPr="00001CEB" w:rsidRDefault="001E036F" w:rsidP="0042292A">
      <w:pPr>
        <w:spacing w:line="276" w:lineRule="auto"/>
        <w:jc w:val="both"/>
        <w:rPr>
          <w:spacing w:val="-4"/>
          <w:szCs w:val="26"/>
        </w:rPr>
      </w:pPr>
      <w:r w:rsidRPr="00001CEB">
        <w:rPr>
          <w:spacing w:val="-4"/>
          <w:szCs w:val="26"/>
        </w:rPr>
        <w:t xml:space="preserve">Ahora, por economía y celeridad procesal, pasa la Sala a desatar el recurso de apelación propuesto por la parte actora, respecto de la negativa de la a-quo de </w:t>
      </w:r>
      <w:r w:rsidR="005A27AB" w:rsidRPr="00001CEB">
        <w:rPr>
          <w:spacing w:val="-4"/>
          <w:szCs w:val="26"/>
        </w:rPr>
        <w:t>dar</w:t>
      </w:r>
      <w:r w:rsidRPr="00001CEB">
        <w:rPr>
          <w:spacing w:val="-4"/>
          <w:szCs w:val="26"/>
        </w:rPr>
        <w:t xml:space="preserve"> traslado de las excepciones de m</w:t>
      </w:r>
      <w:r w:rsidR="006B3B34" w:rsidRPr="00001CEB">
        <w:rPr>
          <w:spacing w:val="-4"/>
          <w:szCs w:val="26"/>
        </w:rPr>
        <w:t xml:space="preserve">érito, por lo que además, se conoce de antemano el sustento del </w:t>
      </w:r>
      <w:r w:rsidR="005A27AB" w:rsidRPr="00001CEB">
        <w:rPr>
          <w:spacing w:val="-4"/>
          <w:szCs w:val="26"/>
        </w:rPr>
        <w:t>mismo.</w:t>
      </w:r>
      <w:r w:rsidR="00C905CA" w:rsidRPr="00001CEB">
        <w:rPr>
          <w:spacing w:val="-4"/>
          <w:szCs w:val="26"/>
        </w:rPr>
        <w:t xml:space="preserve"> </w:t>
      </w:r>
    </w:p>
    <w:p w14:paraId="1F11C8B3" w14:textId="77777777" w:rsidR="006B3B34" w:rsidRPr="00001CEB" w:rsidRDefault="006B3B34" w:rsidP="00001CEB">
      <w:pPr>
        <w:spacing w:line="276" w:lineRule="auto"/>
        <w:rPr>
          <w:rFonts w:eastAsia="Times New Roman" w:cs="Times New Roman"/>
          <w:spacing w:val="-4"/>
          <w:sz w:val="24"/>
          <w:szCs w:val="26"/>
          <w:lang w:eastAsia="es-ES"/>
        </w:rPr>
      </w:pPr>
    </w:p>
    <w:p w14:paraId="330D2ED5" w14:textId="086E0716" w:rsidR="007F3E33" w:rsidRPr="00001CEB" w:rsidRDefault="00597870" w:rsidP="0042292A">
      <w:pPr>
        <w:spacing w:line="276" w:lineRule="auto"/>
        <w:jc w:val="both"/>
        <w:rPr>
          <w:spacing w:val="-4"/>
          <w:szCs w:val="26"/>
        </w:rPr>
      </w:pPr>
      <w:r w:rsidRPr="00001CEB">
        <w:rPr>
          <w:spacing w:val="-4"/>
          <w:szCs w:val="26"/>
        </w:rPr>
        <w:t>En efecto, l</w:t>
      </w:r>
      <w:r w:rsidR="00883C77" w:rsidRPr="00001CEB">
        <w:rPr>
          <w:spacing w:val="-4"/>
          <w:szCs w:val="26"/>
        </w:rPr>
        <w:t>a Corte</w:t>
      </w:r>
      <w:r w:rsidRPr="00001CEB">
        <w:rPr>
          <w:spacing w:val="-4"/>
          <w:szCs w:val="26"/>
        </w:rPr>
        <w:t xml:space="preserve"> al declarar la exequibilidad</w:t>
      </w:r>
      <w:r w:rsidR="00C905CA" w:rsidRPr="00001CEB">
        <w:rPr>
          <w:rStyle w:val="Refdenotaalpie"/>
          <w:spacing w:val="-4"/>
          <w:szCs w:val="26"/>
        </w:rPr>
        <w:footnoteReference w:id="4"/>
      </w:r>
      <w:r w:rsidRPr="00001CEB">
        <w:rPr>
          <w:spacing w:val="-4"/>
          <w:szCs w:val="26"/>
        </w:rPr>
        <w:t xml:space="preserve"> del </w:t>
      </w:r>
      <w:r w:rsidR="007F3E33" w:rsidRPr="00001CEB">
        <w:rPr>
          <w:spacing w:val="-4"/>
          <w:szCs w:val="26"/>
        </w:rPr>
        <w:t>artículo</w:t>
      </w:r>
      <w:r w:rsidRPr="00001CEB">
        <w:rPr>
          <w:spacing w:val="-4"/>
          <w:szCs w:val="26"/>
        </w:rPr>
        <w:t xml:space="preserve"> 32 del CPL., si bien estaba analizando </w:t>
      </w:r>
      <w:r w:rsidR="009E1726" w:rsidRPr="00001CEB">
        <w:rPr>
          <w:spacing w:val="-4"/>
          <w:szCs w:val="26"/>
        </w:rPr>
        <w:t xml:space="preserve">un aparte del texto original del art. 32, </w:t>
      </w:r>
      <w:r w:rsidRPr="00001CEB">
        <w:rPr>
          <w:spacing w:val="-4"/>
          <w:szCs w:val="26"/>
        </w:rPr>
        <w:t xml:space="preserve">que </w:t>
      </w:r>
      <w:r w:rsidR="009E1726" w:rsidRPr="00001CEB">
        <w:rPr>
          <w:spacing w:val="-4"/>
          <w:szCs w:val="26"/>
        </w:rPr>
        <w:t xml:space="preserve">contemplaba la posibilidad </w:t>
      </w:r>
      <w:r w:rsidRPr="00001CEB">
        <w:rPr>
          <w:spacing w:val="-4"/>
          <w:szCs w:val="26"/>
        </w:rPr>
        <w:t xml:space="preserve">de </w:t>
      </w:r>
      <w:r w:rsidR="009E1726" w:rsidRPr="00001CEB">
        <w:rPr>
          <w:spacing w:val="-4"/>
          <w:szCs w:val="26"/>
        </w:rPr>
        <w:t>“</w:t>
      </w:r>
      <w:r w:rsidR="009E1726" w:rsidRPr="00001CEB">
        <w:rPr>
          <w:spacing w:val="-4"/>
          <w:sz w:val="24"/>
          <w:szCs w:val="26"/>
        </w:rPr>
        <w:t xml:space="preserve">solicitar </w:t>
      </w:r>
      <w:r w:rsidR="00883C77" w:rsidRPr="00001CEB">
        <w:rPr>
          <w:spacing w:val="-4"/>
          <w:sz w:val="24"/>
          <w:szCs w:val="26"/>
        </w:rPr>
        <w:t>la celebración de una nueva audiencia para contraprobar</w:t>
      </w:r>
      <w:r w:rsidR="009E1726" w:rsidRPr="00001CEB">
        <w:rPr>
          <w:spacing w:val="-4"/>
          <w:szCs w:val="26"/>
        </w:rPr>
        <w:t>”</w:t>
      </w:r>
      <w:r w:rsidR="00883C77" w:rsidRPr="00001CEB">
        <w:rPr>
          <w:spacing w:val="-4"/>
          <w:szCs w:val="26"/>
        </w:rPr>
        <w:t xml:space="preserve">, </w:t>
      </w:r>
      <w:r w:rsidRPr="00001CEB">
        <w:rPr>
          <w:spacing w:val="-4"/>
          <w:szCs w:val="26"/>
        </w:rPr>
        <w:t xml:space="preserve">lo cual </w:t>
      </w:r>
      <w:r w:rsidR="007F3E33" w:rsidRPr="00001CEB">
        <w:rPr>
          <w:spacing w:val="-4"/>
          <w:szCs w:val="26"/>
        </w:rPr>
        <w:t xml:space="preserve">fue excluido del texto normativo con </w:t>
      </w:r>
      <w:r w:rsidR="009E1726" w:rsidRPr="00001CEB">
        <w:rPr>
          <w:spacing w:val="-4"/>
          <w:szCs w:val="26"/>
        </w:rPr>
        <w:t xml:space="preserve">la reforma incorporada en el artículo 1 de la Ley 1149 de 2007, </w:t>
      </w:r>
      <w:r w:rsidR="007F3E33" w:rsidRPr="00001CEB">
        <w:rPr>
          <w:spacing w:val="-4"/>
          <w:szCs w:val="26"/>
        </w:rPr>
        <w:t>lo cierto</w:t>
      </w:r>
      <w:r w:rsidR="00CB6502" w:rsidRPr="00001CEB">
        <w:rPr>
          <w:spacing w:val="-4"/>
          <w:szCs w:val="26"/>
        </w:rPr>
        <w:t>,</w:t>
      </w:r>
      <w:r w:rsidR="007F3E33" w:rsidRPr="00001CEB">
        <w:rPr>
          <w:spacing w:val="-4"/>
          <w:szCs w:val="26"/>
        </w:rPr>
        <w:t xml:space="preserve"> es que dicha modificación </w:t>
      </w:r>
      <w:r w:rsidR="003F6695" w:rsidRPr="00001CEB">
        <w:rPr>
          <w:spacing w:val="-4"/>
          <w:szCs w:val="26"/>
        </w:rPr>
        <w:t xml:space="preserve">en </w:t>
      </w:r>
      <w:r w:rsidR="007F3E33" w:rsidRPr="00001CEB">
        <w:rPr>
          <w:spacing w:val="-4"/>
          <w:szCs w:val="26"/>
        </w:rPr>
        <w:t xml:space="preserve">nada impide el análisis del caso concreto al tenor de </w:t>
      </w:r>
      <w:r w:rsidR="003F6695" w:rsidRPr="00001CEB">
        <w:rPr>
          <w:spacing w:val="-4"/>
          <w:szCs w:val="26"/>
        </w:rPr>
        <w:t>la citada sentencia, porque extendió el análisis al contenido integral del cuerpo normativo. Al respecto, frente a la posibilidad de dar traslado de las excepciones, la Corte indicó:</w:t>
      </w:r>
    </w:p>
    <w:p w14:paraId="4244C0BF" w14:textId="77777777" w:rsidR="007F3E33" w:rsidRPr="00001CEB" w:rsidRDefault="007F3E33" w:rsidP="00001CEB">
      <w:pPr>
        <w:spacing w:line="276" w:lineRule="auto"/>
        <w:rPr>
          <w:rFonts w:eastAsia="Times New Roman" w:cs="Times New Roman"/>
          <w:spacing w:val="-4"/>
          <w:sz w:val="24"/>
          <w:szCs w:val="26"/>
          <w:lang w:eastAsia="es-ES"/>
        </w:rPr>
      </w:pPr>
    </w:p>
    <w:p w14:paraId="5255C1BD" w14:textId="77D18CD7" w:rsidR="00BE1E21" w:rsidRPr="00001CEB" w:rsidRDefault="00BE1E21" w:rsidP="00A17111">
      <w:pPr>
        <w:spacing w:line="240" w:lineRule="auto"/>
        <w:ind w:left="426" w:right="418"/>
        <w:jc w:val="both"/>
        <w:rPr>
          <w:i/>
          <w:iCs/>
          <w:spacing w:val="-4"/>
          <w:sz w:val="24"/>
          <w:szCs w:val="26"/>
        </w:rPr>
      </w:pPr>
      <w:r w:rsidRPr="00001CEB">
        <w:rPr>
          <w:i/>
          <w:iCs/>
          <w:spacing w:val="-4"/>
          <w:sz w:val="24"/>
          <w:szCs w:val="26"/>
        </w:rPr>
        <w:t xml:space="preserve">“Con respecto a la observación del demandante, en el sentido de que dentro de la audiencia en que se dé trámite a las excepciones debe correrse traslado de éstas a la parte demandante, como sucede en el proceso civil, estima la Corte que aun cuando la norma no lo dice expresamente, la praxis judicial impone que </w:t>
      </w:r>
      <w:proofErr w:type="spellStart"/>
      <w:r w:rsidRPr="00001CEB">
        <w:rPr>
          <w:i/>
          <w:iCs/>
          <w:spacing w:val="-4"/>
          <w:sz w:val="24"/>
          <w:szCs w:val="26"/>
        </w:rPr>
        <w:t>asi</w:t>
      </w:r>
      <w:proofErr w:type="spellEnd"/>
      <w:r w:rsidRPr="00001CEB">
        <w:rPr>
          <w:i/>
          <w:iCs/>
          <w:spacing w:val="-4"/>
          <w:sz w:val="24"/>
          <w:szCs w:val="26"/>
        </w:rPr>
        <w:t xml:space="preserve"> se proceda, pues indudablemente de su espíritu y de la oralidad del procedimiento surge que a la parte contra la cual se oponen las excepciones se le corre traslado de </w:t>
      </w:r>
      <w:r w:rsidRPr="00001CEB">
        <w:rPr>
          <w:i/>
          <w:iCs/>
          <w:spacing w:val="-4"/>
          <w:sz w:val="24"/>
          <w:szCs w:val="26"/>
        </w:rPr>
        <w:lastRenderedPageBreak/>
        <w:t>las mismas en la audiencia y le asiste el derecho a pronunciarse sobre éstas y a que se practiquen las pruebas que pretenda hacer valer en su favor, en cuanto fueren pertinentes y conducentes”.</w:t>
      </w:r>
    </w:p>
    <w:p w14:paraId="397FD4C4" w14:textId="21443FF1" w:rsidR="00C72D50" w:rsidRPr="00001CEB" w:rsidRDefault="00C72D50" w:rsidP="00001CEB">
      <w:pPr>
        <w:spacing w:line="276" w:lineRule="auto"/>
        <w:rPr>
          <w:rFonts w:eastAsia="Times New Roman" w:cs="Times New Roman"/>
          <w:spacing w:val="-4"/>
          <w:sz w:val="24"/>
          <w:szCs w:val="26"/>
          <w:lang w:eastAsia="es-ES"/>
        </w:rPr>
      </w:pPr>
    </w:p>
    <w:p w14:paraId="14DFE161" w14:textId="276D5F93" w:rsidR="001E036F" w:rsidRPr="00001CEB" w:rsidRDefault="003F6695" w:rsidP="0042292A">
      <w:pPr>
        <w:spacing w:line="276" w:lineRule="auto"/>
        <w:jc w:val="both"/>
        <w:rPr>
          <w:spacing w:val="-4"/>
          <w:szCs w:val="26"/>
        </w:rPr>
      </w:pPr>
      <w:r w:rsidRPr="00001CEB">
        <w:rPr>
          <w:spacing w:val="-4"/>
          <w:szCs w:val="26"/>
        </w:rPr>
        <w:t xml:space="preserve">Así las cosas, sin entrar en mayores elucubraciones, dispondrá esta Colegiatura a revocar el auto que </w:t>
      </w:r>
      <w:r w:rsidR="008C2F31" w:rsidRPr="00001CEB">
        <w:rPr>
          <w:spacing w:val="-4"/>
          <w:szCs w:val="26"/>
        </w:rPr>
        <w:t xml:space="preserve">denegó dar </w:t>
      </w:r>
      <w:r w:rsidRPr="00001CEB">
        <w:rPr>
          <w:spacing w:val="-4"/>
          <w:szCs w:val="26"/>
        </w:rPr>
        <w:t xml:space="preserve">traslado </w:t>
      </w:r>
      <w:r w:rsidR="008C2F31" w:rsidRPr="00001CEB">
        <w:rPr>
          <w:spacing w:val="-4"/>
          <w:szCs w:val="26"/>
        </w:rPr>
        <w:t>de las excepciones</w:t>
      </w:r>
      <w:r w:rsidR="00CB6502" w:rsidRPr="00001CEB">
        <w:rPr>
          <w:spacing w:val="-4"/>
          <w:szCs w:val="26"/>
        </w:rPr>
        <w:t xml:space="preserve"> y de esa manera, </w:t>
      </w:r>
      <w:r w:rsidR="008C2F31" w:rsidRPr="00001CEB">
        <w:rPr>
          <w:spacing w:val="-4"/>
          <w:szCs w:val="26"/>
        </w:rPr>
        <w:t xml:space="preserve">posibilitar el derecho </w:t>
      </w:r>
      <w:r w:rsidR="00CB6502" w:rsidRPr="00001CEB">
        <w:rPr>
          <w:spacing w:val="-4"/>
          <w:szCs w:val="26"/>
        </w:rPr>
        <w:t xml:space="preserve">que le asiste al demandante </w:t>
      </w:r>
      <w:r w:rsidR="004E1600" w:rsidRPr="00001CEB">
        <w:rPr>
          <w:spacing w:val="-4"/>
          <w:szCs w:val="26"/>
        </w:rPr>
        <w:t>de</w:t>
      </w:r>
      <w:r w:rsidR="008C2F31" w:rsidRPr="00001CEB">
        <w:rPr>
          <w:spacing w:val="-4"/>
          <w:szCs w:val="26"/>
        </w:rPr>
        <w:t xml:space="preserve"> pronunciarse </w:t>
      </w:r>
      <w:r w:rsidR="004E1600" w:rsidRPr="00001CEB">
        <w:rPr>
          <w:spacing w:val="-4"/>
          <w:szCs w:val="26"/>
        </w:rPr>
        <w:t xml:space="preserve">frente a </w:t>
      </w:r>
      <w:r w:rsidR="008C2F31" w:rsidRPr="00001CEB">
        <w:rPr>
          <w:spacing w:val="-4"/>
          <w:szCs w:val="26"/>
        </w:rPr>
        <w:t>ellas y</w:t>
      </w:r>
      <w:r w:rsidR="004E1600" w:rsidRPr="00001CEB">
        <w:rPr>
          <w:spacing w:val="-4"/>
          <w:szCs w:val="26"/>
        </w:rPr>
        <w:t>,</w:t>
      </w:r>
      <w:r w:rsidR="008C2F31" w:rsidRPr="00001CEB">
        <w:rPr>
          <w:spacing w:val="-4"/>
          <w:szCs w:val="26"/>
        </w:rPr>
        <w:t xml:space="preserve"> de </w:t>
      </w:r>
      <w:r w:rsidR="004E1600" w:rsidRPr="00001CEB">
        <w:rPr>
          <w:spacing w:val="-4"/>
          <w:szCs w:val="26"/>
        </w:rPr>
        <w:t xml:space="preserve">ser el caso, </w:t>
      </w:r>
      <w:r w:rsidR="008C2F31" w:rsidRPr="00001CEB">
        <w:rPr>
          <w:spacing w:val="-4"/>
          <w:szCs w:val="26"/>
        </w:rPr>
        <w:t>presentar las pruebas que pr</w:t>
      </w:r>
      <w:r w:rsidR="00011C66" w:rsidRPr="00001CEB">
        <w:rPr>
          <w:spacing w:val="-4"/>
          <w:szCs w:val="26"/>
        </w:rPr>
        <w:t>etenda hacer valer en su favor</w:t>
      </w:r>
      <w:r w:rsidR="004E1600" w:rsidRPr="00001CEB">
        <w:rPr>
          <w:spacing w:val="-4"/>
          <w:szCs w:val="26"/>
        </w:rPr>
        <w:t xml:space="preserve"> solo </w:t>
      </w:r>
      <w:r w:rsidR="00011C66" w:rsidRPr="00001CEB">
        <w:rPr>
          <w:spacing w:val="-4"/>
          <w:szCs w:val="26"/>
        </w:rPr>
        <w:t xml:space="preserve">en la medida de que </w:t>
      </w:r>
      <w:r w:rsidR="004E1600" w:rsidRPr="00001CEB">
        <w:rPr>
          <w:spacing w:val="-4"/>
          <w:szCs w:val="26"/>
        </w:rPr>
        <w:t xml:space="preserve">estas se tornen </w:t>
      </w:r>
      <w:r w:rsidR="00011C66" w:rsidRPr="00001CEB">
        <w:rPr>
          <w:spacing w:val="-4"/>
          <w:szCs w:val="26"/>
        </w:rPr>
        <w:t>conducentes, pertinentes y útiles en relación con el medio exceptivo que se pretenda contraprobar.</w:t>
      </w:r>
    </w:p>
    <w:p w14:paraId="20E10275" w14:textId="77777777" w:rsidR="00011C66" w:rsidRPr="00001CEB" w:rsidRDefault="00011C66" w:rsidP="00001CEB">
      <w:pPr>
        <w:spacing w:line="276" w:lineRule="auto"/>
        <w:rPr>
          <w:rFonts w:eastAsia="Times New Roman" w:cs="Times New Roman"/>
          <w:spacing w:val="-4"/>
          <w:sz w:val="24"/>
          <w:szCs w:val="26"/>
          <w:lang w:eastAsia="es-ES"/>
        </w:rPr>
      </w:pPr>
    </w:p>
    <w:p w14:paraId="626F28A2" w14:textId="30C97D58" w:rsidR="00F9737D" w:rsidRPr="00001CEB" w:rsidRDefault="00F9737D" w:rsidP="0042292A">
      <w:pPr>
        <w:spacing w:line="276" w:lineRule="auto"/>
        <w:jc w:val="both"/>
        <w:rPr>
          <w:spacing w:val="-4"/>
          <w:szCs w:val="26"/>
        </w:rPr>
      </w:pPr>
      <w:r w:rsidRPr="00001CEB">
        <w:rPr>
          <w:spacing w:val="-4"/>
          <w:szCs w:val="26"/>
        </w:rPr>
        <w:t>Sin condena en costas en esta instancia.</w:t>
      </w:r>
    </w:p>
    <w:p w14:paraId="3566E2E2" w14:textId="77777777" w:rsidR="00A16433" w:rsidRPr="00001CEB" w:rsidRDefault="00A16433" w:rsidP="00001CEB">
      <w:pPr>
        <w:spacing w:line="276" w:lineRule="auto"/>
        <w:rPr>
          <w:rFonts w:eastAsia="Times New Roman" w:cs="Times New Roman"/>
          <w:spacing w:val="-4"/>
          <w:sz w:val="24"/>
          <w:szCs w:val="26"/>
          <w:lang w:eastAsia="es-ES"/>
        </w:rPr>
      </w:pPr>
    </w:p>
    <w:p w14:paraId="1A824DCC" w14:textId="4CBF59AB" w:rsidR="002E3911" w:rsidRPr="00001CEB" w:rsidRDefault="002E3911" w:rsidP="0042292A">
      <w:pPr>
        <w:pStyle w:val="Prrafodelista"/>
        <w:tabs>
          <w:tab w:val="left" w:pos="709"/>
        </w:tabs>
        <w:spacing w:line="276" w:lineRule="auto"/>
        <w:ind w:left="0"/>
        <w:jc w:val="both"/>
        <w:rPr>
          <w:spacing w:val="-4"/>
          <w:szCs w:val="26"/>
        </w:rPr>
      </w:pPr>
      <w:r w:rsidRPr="00001CEB">
        <w:rPr>
          <w:spacing w:val="-4"/>
          <w:szCs w:val="26"/>
        </w:rPr>
        <w:t xml:space="preserve">En mérito de lo expuesto, el </w:t>
      </w:r>
      <w:r w:rsidRPr="00001CEB">
        <w:rPr>
          <w:b/>
          <w:bCs/>
          <w:spacing w:val="-4"/>
          <w:szCs w:val="26"/>
        </w:rPr>
        <w:t>Tribunal Superior del Distrito Judicial de Pereira</w:t>
      </w:r>
      <w:r w:rsidRPr="00001CEB">
        <w:rPr>
          <w:spacing w:val="-4"/>
          <w:szCs w:val="26"/>
        </w:rPr>
        <w:t xml:space="preserve">, en Sala Cuarta de Decisión Laboral, </w:t>
      </w:r>
    </w:p>
    <w:p w14:paraId="13EF47BB" w14:textId="77777777" w:rsidR="002E3911" w:rsidRPr="00001CEB" w:rsidRDefault="002E3911" w:rsidP="00001CEB">
      <w:pPr>
        <w:spacing w:line="276" w:lineRule="auto"/>
        <w:rPr>
          <w:rFonts w:eastAsia="Times New Roman" w:cs="Times New Roman"/>
          <w:spacing w:val="-4"/>
          <w:sz w:val="24"/>
          <w:szCs w:val="26"/>
          <w:lang w:eastAsia="es-ES"/>
        </w:rPr>
      </w:pPr>
    </w:p>
    <w:p w14:paraId="5D9F8263" w14:textId="77777777" w:rsidR="002E3911" w:rsidRPr="00001CEB" w:rsidRDefault="002E3911" w:rsidP="0042292A">
      <w:pPr>
        <w:widowControl w:val="0"/>
        <w:autoSpaceDE w:val="0"/>
        <w:autoSpaceDN w:val="0"/>
        <w:adjustRightInd w:val="0"/>
        <w:spacing w:line="276" w:lineRule="auto"/>
        <w:ind w:right="17"/>
        <w:jc w:val="center"/>
        <w:rPr>
          <w:b/>
          <w:bCs/>
          <w:spacing w:val="-4"/>
          <w:szCs w:val="26"/>
        </w:rPr>
      </w:pPr>
      <w:r w:rsidRPr="00001CEB">
        <w:rPr>
          <w:b/>
          <w:bCs/>
          <w:spacing w:val="-4"/>
          <w:szCs w:val="26"/>
        </w:rPr>
        <w:t>RESUELVE</w:t>
      </w:r>
    </w:p>
    <w:p w14:paraId="65967677" w14:textId="63DFDD58" w:rsidR="00A51CE1" w:rsidRPr="00001CEB" w:rsidRDefault="00A51CE1" w:rsidP="00001CEB">
      <w:pPr>
        <w:spacing w:line="276" w:lineRule="auto"/>
        <w:rPr>
          <w:rFonts w:eastAsia="Times New Roman" w:cs="Times New Roman"/>
          <w:spacing w:val="-4"/>
          <w:sz w:val="24"/>
          <w:szCs w:val="26"/>
          <w:lang w:eastAsia="es-ES"/>
        </w:rPr>
      </w:pPr>
    </w:p>
    <w:p w14:paraId="46790F9E" w14:textId="55F4DF30" w:rsidR="00DB7389" w:rsidRPr="00001CEB" w:rsidRDefault="002E3911" w:rsidP="0042292A">
      <w:pPr>
        <w:pStyle w:val="Prrafodelista"/>
        <w:tabs>
          <w:tab w:val="left" w:pos="709"/>
        </w:tabs>
        <w:spacing w:line="276" w:lineRule="auto"/>
        <w:ind w:left="0"/>
        <w:jc w:val="both"/>
        <w:rPr>
          <w:spacing w:val="-4"/>
          <w:szCs w:val="26"/>
        </w:rPr>
      </w:pPr>
      <w:r w:rsidRPr="00001CEB">
        <w:rPr>
          <w:b/>
          <w:bCs/>
          <w:spacing w:val="-4"/>
          <w:szCs w:val="26"/>
        </w:rPr>
        <w:t>Primero</w:t>
      </w:r>
      <w:r w:rsidRPr="00001CEB">
        <w:rPr>
          <w:spacing w:val="-4"/>
          <w:szCs w:val="26"/>
        </w:rPr>
        <w:t xml:space="preserve">. </w:t>
      </w:r>
      <w:r w:rsidR="00DB7389" w:rsidRPr="00001CEB">
        <w:rPr>
          <w:b/>
          <w:bCs/>
          <w:spacing w:val="-4"/>
          <w:szCs w:val="26"/>
        </w:rPr>
        <w:t>Declarar</w:t>
      </w:r>
      <w:r w:rsidR="00DB7389" w:rsidRPr="00001CEB">
        <w:rPr>
          <w:spacing w:val="-4"/>
          <w:szCs w:val="26"/>
        </w:rPr>
        <w:t xml:space="preserve"> inadmisible el recurso de apelación frente al auto proferido por el Juzgado Quinto Laboral del Circuito del 16 de septiembre de 2019, </w:t>
      </w:r>
      <w:r w:rsidR="004E1600" w:rsidRPr="00001CEB">
        <w:rPr>
          <w:spacing w:val="-4"/>
          <w:szCs w:val="26"/>
        </w:rPr>
        <w:t xml:space="preserve">por medio del cual dispuso decidir la excepción mixta de prescripción, en la sentencia, </w:t>
      </w:r>
      <w:r w:rsidR="00DB7389" w:rsidRPr="00001CEB">
        <w:rPr>
          <w:spacing w:val="-4"/>
          <w:szCs w:val="26"/>
        </w:rPr>
        <w:t>por las razones expuestas en la parte motiva de este proveído.</w:t>
      </w:r>
    </w:p>
    <w:p w14:paraId="541A507B" w14:textId="77777777" w:rsidR="00DB7389" w:rsidRPr="00001CEB" w:rsidRDefault="00DB7389" w:rsidP="00001CEB">
      <w:pPr>
        <w:spacing w:line="276" w:lineRule="auto"/>
        <w:rPr>
          <w:rFonts w:eastAsia="Times New Roman" w:cs="Times New Roman"/>
          <w:spacing w:val="-4"/>
          <w:sz w:val="24"/>
          <w:szCs w:val="26"/>
          <w:lang w:eastAsia="es-ES"/>
        </w:rPr>
      </w:pPr>
    </w:p>
    <w:p w14:paraId="0C609DC7" w14:textId="12F34258" w:rsidR="00006AE2" w:rsidRPr="00001CEB" w:rsidRDefault="00BA031E" w:rsidP="0042292A">
      <w:pPr>
        <w:pStyle w:val="Prrafodelista"/>
        <w:tabs>
          <w:tab w:val="left" w:pos="709"/>
        </w:tabs>
        <w:spacing w:line="276" w:lineRule="auto"/>
        <w:ind w:left="0"/>
        <w:jc w:val="both"/>
        <w:rPr>
          <w:spacing w:val="-4"/>
          <w:szCs w:val="26"/>
        </w:rPr>
      </w:pPr>
      <w:r w:rsidRPr="00001CEB">
        <w:rPr>
          <w:b/>
          <w:bCs/>
          <w:spacing w:val="-4"/>
          <w:szCs w:val="26"/>
        </w:rPr>
        <w:t>S</w:t>
      </w:r>
      <w:r w:rsidR="00DB7389" w:rsidRPr="00001CEB">
        <w:rPr>
          <w:b/>
          <w:bCs/>
          <w:spacing w:val="-4"/>
          <w:szCs w:val="26"/>
        </w:rPr>
        <w:t>egundo.</w:t>
      </w:r>
      <w:r w:rsidRPr="00001CEB">
        <w:rPr>
          <w:b/>
          <w:bCs/>
          <w:spacing w:val="-4"/>
          <w:szCs w:val="26"/>
        </w:rPr>
        <w:t xml:space="preserve"> Declarar</w:t>
      </w:r>
      <w:r w:rsidRPr="00001CEB">
        <w:rPr>
          <w:spacing w:val="-4"/>
          <w:szCs w:val="26"/>
        </w:rPr>
        <w:t xml:space="preserve"> mal denegado el recurso de apelación interpuesto por la parte demandante en contra el auto proferido </w:t>
      </w:r>
      <w:r w:rsidR="00006AE2" w:rsidRPr="00001CEB">
        <w:rPr>
          <w:bCs/>
          <w:spacing w:val="-4"/>
          <w:szCs w:val="26"/>
        </w:rPr>
        <w:t xml:space="preserve">el </w:t>
      </w:r>
      <w:r w:rsidR="00006AE2" w:rsidRPr="00001CEB">
        <w:rPr>
          <w:spacing w:val="-4"/>
          <w:szCs w:val="26"/>
        </w:rPr>
        <w:t xml:space="preserve">16 de septiembre de 2019, </w:t>
      </w:r>
      <w:r w:rsidRPr="00001CEB">
        <w:rPr>
          <w:spacing w:val="-4"/>
          <w:szCs w:val="26"/>
        </w:rPr>
        <w:t xml:space="preserve">por el Juzgado Quinto Laboral del Circuito de Pereira, por medio del cual negó </w:t>
      </w:r>
      <w:r w:rsidR="00006AE2" w:rsidRPr="00001CEB">
        <w:rPr>
          <w:spacing w:val="-4"/>
          <w:szCs w:val="26"/>
        </w:rPr>
        <w:t>dar traslado de las excepciones de mérito, conforme al artículo 32 del C.P.L. y, en consecuencia,</w:t>
      </w:r>
      <w:r w:rsidRPr="00001CEB">
        <w:rPr>
          <w:spacing w:val="-4"/>
          <w:szCs w:val="26"/>
        </w:rPr>
        <w:t xml:space="preserve"> </w:t>
      </w:r>
      <w:r w:rsidR="00006AE2" w:rsidRPr="00001CEB">
        <w:rPr>
          <w:b/>
          <w:bCs/>
          <w:spacing w:val="-4"/>
          <w:szCs w:val="26"/>
        </w:rPr>
        <w:t xml:space="preserve">Conceder </w:t>
      </w:r>
      <w:r w:rsidRPr="00001CEB">
        <w:rPr>
          <w:spacing w:val="-4"/>
          <w:szCs w:val="26"/>
        </w:rPr>
        <w:t xml:space="preserve">el recurso de apelación propuesto por </w:t>
      </w:r>
      <w:r w:rsidR="00006AE2" w:rsidRPr="00001CEB">
        <w:rPr>
          <w:spacing w:val="-4"/>
          <w:szCs w:val="26"/>
        </w:rPr>
        <w:t>la parte demandante respecto del auto que negó dar traslado de las excepciones de mérito y, por economía procesal, se resuelve así:</w:t>
      </w:r>
    </w:p>
    <w:p w14:paraId="083F157C" w14:textId="77777777" w:rsidR="0026666E" w:rsidRPr="00001CEB" w:rsidRDefault="0026666E" w:rsidP="00001CEB">
      <w:pPr>
        <w:spacing w:line="276" w:lineRule="auto"/>
        <w:rPr>
          <w:rFonts w:eastAsia="Times New Roman" w:cs="Times New Roman"/>
          <w:spacing w:val="-4"/>
          <w:sz w:val="24"/>
          <w:szCs w:val="26"/>
          <w:lang w:eastAsia="es-ES"/>
        </w:rPr>
      </w:pPr>
    </w:p>
    <w:p w14:paraId="7727EE3D" w14:textId="2715E0F1" w:rsidR="0026666E" w:rsidRPr="00001CEB" w:rsidRDefault="00006AE2" w:rsidP="00A17111">
      <w:pPr>
        <w:pStyle w:val="Prrafodelista"/>
        <w:tabs>
          <w:tab w:val="left" w:pos="709"/>
        </w:tabs>
        <w:spacing w:line="276" w:lineRule="auto"/>
        <w:ind w:left="708" w:right="418"/>
        <w:jc w:val="both"/>
        <w:rPr>
          <w:spacing w:val="-4"/>
          <w:szCs w:val="26"/>
        </w:rPr>
      </w:pPr>
      <w:r w:rsidRPr="00001CEB">
        <w:rPr>
          <w:spacing w:val="-4"/>
          <w:szCs w:val="26"/>
        </w:rPr>
        <w:t>“</w:t>
      </w:r>
      <w:r w:rsidRPr="00001CEB">
        <w:rPr>
          <w:b/>
          <w:bCs/>
          <w:spacing w:val="-4"/>
          <w:szCs w:val="26"/>
        </w:rPr>
        <w:t xml:space="preserve">Ordenar </w:t>
      </w:r>
      <w:r w:rsidRPr="00001CEB">
        <w:rPr>
          <w:spacing w:val="-4"/>
          <w:szCs w:val="26"/>
        </w:rPr>
        <w:t xml:space="preserve">a </w:t>
      </w:r>
      <w:r w:rsidR="00BB4D2B" w:rsidRPr="00001CEB">
        <w:rPr>
          <w:spacing w:val="-4"/>
          <w:szCs w:val="26"/>
        </w:rPr>
        <w:t>la Jueza Quinta Laboral del Circuito, disponer el traslado de las excepciones de m</w:t>
      </w:r>
      <w:r w:rsidR="00F90EF6" w:rsidRPr="00001CEB">
        <w:rPr>
          <w:spacing w:val="-4"/>
          <w:szCs w:val="26"/>
        </w:rPr>
        <w:t>érito a la parte demandante con las advertencias dispuestas en esta decisión</w:t>
      </w:r>
      <w:r w:rsidRPr="00001CEB">
        <w:rPr>
          <w:spacing w:val="-4"/>
          <w:szCs w:val="26"/>
        </w:rPr>
        <w:t>”</w:t>
      </w:r>
      <w:r w:rsidR="00F90EF6" w:rsidRPr="00001CEB">
        <w:rPr>
          <w:spacing w:val="-4"/>
          <w:szCs w:val="26"/>
        </w:rPr>
        <w:t>.</w:t>
      </w:r>
    </w:p>
    <w:p w14:paraId="2FBD5068" w14:textId="0CC27788" w:rsidR="00BC532C" w:rsidRPr="00001CEB" w:rsidRDefault="00BC532C" w:rsidP="00001CEB">
      <w:pPr>
        <w:spacing w:line="276" w:lineRule="auto"/>
        <w:rPr>
          <w:rFonts w:eastAsia="Times New Roman" w:cs="Times New Roman"/>
          <w:spacing w:val="-4"/>
          <w:sz w:val="24"/>
          <w:szCs w:val="26"/>
          <w:lang w:eastAsia="es-ES"/>
        </w:rPr>
      </w:pPr>
    </w:p>
    <w:p w14:paraId="2FE7731A" w14:textId="77777777" w:rsidR="00642EFF" w:rsidRPr="00001CEB" w:rsidRDefault="00BC532C" w:rsidP="0042292A">
      <w:pPr>
        <w:pStyle w:val="Prrafodelista"/>
        <w:tabs>
          <w:tab w:val="left" w:pos="709"/>
        </w:tabs>
        <w:spacing w:line="276" w:lineRule="auto"/>
        <w:ind w:left="0"/>
        <w:jc w:val="both"/>
        <w:rPr>
          <w:b/>
          <w:spacing w:val="-4"/>
          <w:szCs w:val="26"/>
        </w:rPr>
      </w:pPr>
      <w:r w:rsidRPr="00001CEB">
        <w:rPr>
          <w:b/>
          <w:bCs/>
          <w:spacing w:val="-4"/>
          <w:szCs w:val="26"/>
        </w:rPr>
        <w:t>Tercero</w:t>
      </w:r>
      <w:r w:rsidRPr="00001CEB">
        <w:rPr>
          <w:spacing w:val="-4"/>
          <w:szCs w:val="26"/>
        </w:rPr>
        <w:t xml:space="preserve">. </w:t>
      </w:r>
      <w:r w:rsidR="00642EFF" w:rsidRPr="00001CEB">
        <w:rPr>
          <w:spacing w:val="-4"/>
          <w:szCs w:val="26"/>
        </w:rPr>
        <w:t>Sin condena en costas en esta instancia.</w:t>
      </w:r>
    </w:p>
    <w:p w14:paraId="33DFEA72" w14:textId="77777777" w:rsidR="00642EFF" w:rsidRPr="00001CEB" w:rsidRDefault="00642EFF" w:rsidP="00001CEB">
      <w:pPr>
        <w:spacing w:line="276" w:lineRule="auto"/>
        <w:rPr>
          <w:rFonts w:eastAsia="Times New Roman" w:cs="Times New Roman"/>
          <w:spacing w:val="-4"/>
          <w:sz w:val="24"/>
          <w:szCs w:val="26"/>
          <w:lang w:eastAsia="es-ES"/>
        </w:rPr>
      </w:pPr>
    </w:p>
    <w:p w14:paraId="1DEDDAA1" w14:textId="3031E963" w:rsidR="00BC532C" w:rsidRPr="00001CEB" w:rsidRDefault="00642EFF" w:rsidP="0042292A">
      <w:pPr>
        <w:pStyle w:val="Prrafodelista"/>
        <w:tabs>
          <w:tab w:val="left" w:pos="709"/>
        </w:tabs>
        <w:spacing w:line="276" w:lineRule="auto"/>
        <w:ind w:left="0"/>
        <w:jc w:val="both"/>
        <w:rPr>
          <w:spacing w:val="-4"/>
          <w:szCs w:val="26"/>
        </w:rPr>
      </w:pPr>
      <w:r w:rsidRPr="00001CEB">
        <w:rPr>
          <w:b/>
          <w:spacing w:val="-4"/>
          <w:szCs w:val="26"/>
        </w:rPr>
        <w:t xml:space="preserve">Cuarto. </w:t>
      </w:r>
      <w:r w:rsidR="00A16433" w:rsidRPr="00001CEB">
        <w:rPr>
          <w:b/>
          <w:bCs/>
          <w:spacing w:val="-4"/>
          <w:szCs w:val="26"/>
        </w:rPr>
        <w:t>Devolver</w:t>
      </w:r>
      <w:r w:rsidR="00A16433" w:rsidRPr="00001CEB">
        <w:rPr>
          <w:spacing w:val="-4"/>
          <w:szCs w:val="26"/>
        </w:rPr>
        <w:t xml:space="preserve"> </w:t>
      </w:r>
      <w:r w:rsidR="00BC532C" w:rsidRPr="00001CEB">
        <w:rPr>
          <w:spacing w:val="-4"/>
          <w:szCs w:val="26"/>
        </w:rPr>
        <w:t>la actuación al lugar de origen.</w:t>
      </w:r>
    </w:p>
    <w:p w14:paraId="51A47115" w14:textId="77777777" w:rsidR="0000444F" w:rsidRPr="00001CEB" w:rsidRDefault="0000444F" w:rsidP="00001CEB">
      <w:pPr>
        <w:spacing w:line="276" w:lineRule="auto"/>
        <w:rPr>
          <w:rFonts w:eastAsia="Times New Roman" w:cs="Times New Roman"/>
          <w:spacing w:val="-4"/>
          <w:sz w:val="24"/>
          <w:szCs w:val="26"/>
          <w:lang w:eastAsia="es-ES"/>
        </w:rPr>
      </w:pPr>
    </w:p>
    <w:p w14:paraId="3D876087" w14:textId="005FEA1C" w:rsidR="00723F8A" w:rsidRPr="00001CEB" w:rsidRDefault="00C23F88" w:rsidP="0042292A">
      <w:pPr>
        <w:pStyle w:val="Prrafodelista1"/>
        <w:spacing w:after="0"/>
        <w:ind w:left="0" w:firstLine="708"/>
        <w:jc w:val="both"/>
        <w:rPr>
          <w:rFonts w:ascii="Arial Narrow" w:hAnsi="Arial Narrow"/>
          <w:b/>
          <w:spacing w:val="-4"/>
          <w:sz w:val="26"/>
          <w:szCs w:val="26"/>
        </w:rPr>
      </w:pPr>
      <w:r w:rsidRPr="00001CEB">
        <w:rPr>
          <w:rFonts w:ascii="Arial Narrow" w:hAnsi="Arial Narrow"/>
          <w:b/>
          <w:spacing w:val="-4"/>
          <w:sz w:val="26"/>
          <w:szCs w:val="26"/>
        </w:rPr>
        <w:t>CÓPIESE, NOTIFÍQUESE Y CÚMPLASE</w:t>
      </w:r>
    </w:p>
    <w:p w14:paraId="0E24BB7B" w14:textId="77777777" w:rsidR="0042292A" w:rsidRPr="00001CEB" w:rsidRDefault="0042292A" w:rsidP="00001CEB">
      <w:pPr>
        <w:spacing w:line="276" w:lineRule="auto"/>
        <w:rPr>
          <w:rFonts w:eastAsia="Times New Roman" w:cs="Times New Roman"/>
          <w:spacing w:val="-4"/>
          <w:sz w:val="24"/>
          <w:szCs w:val="26"/>
          <w:lang w:eastAsia="es-ES"/>
        </w:rPr>
      </w:pPr>
    </w:p>
    <w:p w14:paraId="54650BC5" w14:textId="77777777" w:rsidR="0042292A" w:rsidRPr="00001CEB" w:rsidRDefault="0042292A" w:rsidP="00001CEB">
      <w:pPr>
        <w:spacing w:line="276" w:lineRule="auto"/>
        <w:rPr>
          <w:rFonts w:eastAsia="Times New Roman" w:cs="Times New Roman"/>
          <w:spacing w:val="-4"/>
          <w:sz w:val="24"/>
          <w:szCs w:val="26"/>
          <w:lang w:eastAsia="es-ES"/>
        </w:rPr>
      </w:pPr>
    </w:p>
    <w:p w14:paraId="438166F3" w14:textId="77777777" w:rsidR="0042292A" w:rsidRPr="0042292A" w:rsidRDefault="0042292A" w:rsidP="0042292A">
      <w:pPr>
        <w:spacing w:line="288" w:lineRule="auto"/>
        <w:jc w:val="center"/>
        <w:rPr>
          <w:rFonts w:eastAsia="Times New Roman" w:cs="Microsoft Sans Serif"/>
          <w:b/>
          <w:bCs/>
          <w:iCs/>
          <w:color w:val="000000"/>
          <w:spacing w:val="-4"/>
          <w:szCs w:val="26"/>
          <w:lang w:val="es-ES" w:eastAsia="es-ES"/>
        </w:rPr>
      </w:pPr>
      <w:r w:rsidRPr="0042292A">
        <w:rPr>
          <w:rFonts w:eastAsia="Times New Roman" w:cs="Microsoft Sans Serif"/>
          <w:b/>
          <w:bCs/>
          <w:iCs/>
          <w:color w:val="000000"/>
          <w:spacing w:val="-4"/>
          <w:szCs w:val="26"/>
          <w:lang w:val="es-ES" w:eastAsia="es-ES"/>
        </w:rPr>
        <w:t>FRANCISCO JAVIER TAMAYO TABARES</w:t>
      </w:r>
    </w:p>
    <w:p w14:paraId="56573EB5" w14:textId="77777777" w:rsidR="0042292A" w:rsidRPr="0042292A" w:rsidRDefault="0042292A" w:rsidP="0042292A">
      <w:pPr>
        <w:spacing w:line="288" w:lineRule="auto"/>
        <w:jc w:val="center"/>
        <w:rPr>
          <w:rFonts w:eastAsia="Times New Roman" w:cs="Microsoft Sans Serif"/>
          <w:color w:val="000000"/>
          <w:spacing w:val="-4"/>
          <w:szCs w:val="26"/>
          <w:lang w:val="es-ES" w:eastAsia="es-ES"/>
        </w:rPr>
      </w:pPr>
      <w:r w:rsidRPr="0042292A">
        <w:rPr>
          <w:rFonts w:eastAsia="Times New Roman" w:cs="Microsoft Sans Serif"/>
          <w:color w:val="000000"/>
          <w:spacing w:val="-4"/>
          <w:szCs w:val="26"/>
          <w:lang w:val="es-ES" w:eastAsia="es-ES"/>
        </w:rPr>
        <w:t xml:space="preserve">Magistrado Ponente </w:t>
      </w:r>
    </w:p>
    <w:p w14:paraId="6C0D9C10" w14:textId="77777777" w:rsidR="0042292A" w:rsidRPr="00001CEB" w:rsidRDefault="0042292A" w:rsidP="00001CEB">
      <w:pPr>
        <w:spacing w:line="276" w:lineRule="auto"/>
        <w:rPr>
          <w:rFonts w:eastAsia="Times New Roman" w:cs="Times New Roman"/>
          <w:spacing w:val="-4"/>
          <w:sz w:val="24"/>
          <w:szCs w:val="26"/>
          <w:lang w:eastAsia="es-ES"/>
        </w:rPr>
      </w:pPr>
    </w:p>
    <w:p w14:paraId="7E8E21D1" w14:textId="77777777" w:rsidR="0042292A" w:rsidRPr="00001CEB" w:rsidRDefault="0042292A" w:rsidP="00001CEB">
      <w:pPr>
        <w:spacing w:line="276" w:lineRule="auto"/>
        <w:rPr>
          <w:rFonts w:eastAsia="Times New Roman" w:cs="Times New Roman"/>
          <w:spacing w:val="-4"/>
          <w:sz w:val="24"/>
          <w:szCs w:val="26"/>
          <w:lang w:eastAsia="es-ES"/>
        </w:rPr>
      </w:pPr>
    </w:p>
    <w:p w14:paraId="2DB4465D" w14:textId="77777777" w:rsidR="0042292A" w:rsidRPr="0042292A" w:rsidRDefault="0042292A" w:rsidP="0042292A">
      <w:pPr>
        <w:spacing w:line="288" w:lineRule="auto"/>
        <w:rPr>
          <w:rFonts w:eastAsia="Times New Roman" w:cs="Microsoft Sans Serif"/>
          <w:b/>
          <w:bCs/>
          <w:iCs/>
          <w:color w:val="000000"/>
          <w:spacing w:val="-4"/>
          <w:szCs w:val="26"/>
          <w:lang w:val="es-ES" w:eastAsia="es-ES"/>
        </w:rPr>
      </w:pPr>
      <w:r w:rsidRPr="0042292A">
        <w:rPr>
          <w:rFonts w:eastAsia="Times New Roman" w:cs="Microsoft Sans Serif"/>
          <w:b/>
          <w:bCs/>
          <w:iCs/>
          <w:color w:val="000000"/>
          <w:spacing w:val="-4"/>
          <w:szCs w:val="26"/>
          <w:lang w:val="es-ES" w:eastAsia="es-ES"/>
        </w:rPr>
        <w:t>ANA LUCÍA CAICEDO CALDERÓN</w:t>
      </w:r>
      <w:r w:rsidRPr="0042292A">
        <w:rPr>
          <w:rFonts w:eastAsia="Times New Roman" w:cs="Microsoft Sans Serif"/>
          <w:b/>
          <w:bCs/>
          <w:iCs/>
          <w:color w:val="000000"/>
          <w:spacing w:val="-4"/>
          <w:szCs w:val="26"/>
          <w:lang w:val="es-ES" w:eastAsia="es-ES"/>
        </w:rPr>
        <w:tab/>
      </w:r>
      <w:r w:rsidRPr="0042292A">
        <w:rPr>
          <w:rFonts w:eastAsia="Times New Roman" w:cs="Microsoft Sans Serif"/>
          <w:b/>
          <w:bCs/>
          <w:iCs/>
          <w:color w:val="000000"/>
          <w:spacing w:val="-4"/>
          <w:szCs w:val="26"/>
          <w:lang w:val="es-ES" w:eastAsia="es-ES"/>
        </w:rPr>
        <w:tab/>
      </w:r>
      <w:r w:rsidRPr="0042292A">
        <w:rPr>
          <w:rFonts w:eastAsia="Times New Roman" w:cs="Microsoft Sans Serif"/>
          <w:b/>
          <w:bCs/>
          <w:iCs/>
          <w:color w:val="000000"/>
          <w:spacing w:val="-4"/>
          <w:szCs w:val="26"/>
          <w:lang w:val="es-ES" w:eastAsia="es-ES"/>
        </w:rPr>
        <w:tab/>
        <w:t xml:space="preserve">           OLGA LUCÍA HOYOS SEPÚLVEDA </w:t>
      </w:r>
    </w:p>
    <w:p w14:paraId="4D41C776" w14:textId="1F486552" w:rsidR="00723F8A" w:rsidRDefault="0042292A" w:rsidP="0042292A">
      <w:pPr>
        <w:spacing w:line="288" w:lineRule="auto"/>
        <w:ind w:left="708"/>
        <w:rPr>
          <w:rFonts w:eastAsia="Times New Roman" w:cs="Microsoft Sans Serif"/>
          <w:color w:val="000000"/>
          <w:spacing w:val="-4"/>
          <w:szCs w:val="26"/>
          <w:lang w:val="es-ES" w:eastAsia="es-ES"/>
        </w:rPr>
      </w:pPr>
      <w:r w:rsidRPr="0042292A">
        <w:rPr>
          <w:rFonts w:eastAsia="Times New Roman" w:cs="Microsoft Sans Serif"/>
          <w:color w:val="000000"/>
          <w:spacing w:val="-4"/>
          <w:szCs w:val="26"/>
          <w:lang w:val="es-ES" w:eastAsia="es-ES"/>
        </w:rPr>
        <w:t xml:space="preserve">       Magistrada</w:t>
      </w:r>
      <w:r w:rsidRPr="0042292A">
        <w:rPr>
          <w:rFonts w:eastAsia="Times New Roman" w:cs="Microsoft Sans Serif"/>
          <w:color w:val="000000"/>
          <w:spacing w:val="-4"/>
          <w:szCs w:val="26"/>
          <w:lang w:val="es-ES" w:eastAsia="es-ES"/>
        </w:rPr>
        <w:tab/>
      </w:r>
      <w:r w:rsidRPr="0042292A">
        <w:rPr>
          <w:rFonts w:eastAsia="Times New Roman" w:cs="Microsoft Sans Serif"/>
          <w:color w:val="000000"/>
          <w:spacing w:val="-4"/>
          <w:szCs w:val="26"/>
          <w:lang w:val="es-ES" w:eastAsia="es-ES"/>
        </w:rPr>
        <w:tab/>
      </w:r>
      <w:r w:rsidRPr="0042292A">
        <w:rPr>
          <w:rFonts w:eastAsia="Times New Roman" w:cs="Microsoft Sans Serif"/>
          <w:color w:val="000000"/>
          <w:spacing w:val="-4"/>
          <w:szCs w:val="26"/>
          <w:lang w:val="es-ES" w:eastAsia="es-ES"/>
        </w:rPr>
        <w:tab/>
      </w:r>
      <w:r w:rsidRPr="0042292A">
        <w:rPr>
          <w:rFonts w:eastAsia="Times New Roman" w:cs="Microsoft Sans Serif"/>
          <w:color w:val="000000"/>
          <w:spacing w:val="-4"/>
          <w:szCs w:val="26"/>
          <w:lang w:val="es-ES" w:eastAsia="es-ES"/>
        </w:rPr>
        <w:tab/>
      </w:r>
      <w:r w:rsidRPr="0042292A">
        <w:rPr>
          <w:rFonts w:eastAsia="Times New Roman" w:cs="Microsoft Sans Serif"/>
          <w:color w:val="000000"/>
          <w:spacing w:val="-4"/>
          <w:szCs w:val="26"/>
          <w:lang w:val="es-ES" w:eastAsia="es-ES"/>
        </w:rPr>
        <w:tab/>
      </w:r>
      <w:r w:rsidRPr="0042292A">
        <w:rPr>
          <w:rFonts w:eastAsia="Times New Roman" w:cs="Microsoft Sans Serif"/>
          <w:color w:val="000000"/>
          <w:spacing w:val="-4"/>
          <w:szCs w:val="26"/>
          <w:lang w:val="es-ES" w:eastAsia="es-ES"/>
        </w:rPr>
        <w:tab/>
      </w:r>
      <w:r w:rsidRPr="0042292A">
        <w:rPr>
          <w:rFonts w:eastAsia="Times New Roman" w:cs="Microsoft Sans Serif"/>
          <w:color w:val="000000"/>
          <w:spacing w:val="-4"/>
          <w:szCs w:val="26"/>
          <w:lang w:val="es-ES" w:eastAsia="es-ES"/>
        </w:rPr>
        <w:tab/>
        <w:t xml:space="preserve">        </w:t>
      </w:r>
      <w:proofErr w:type="spellStart"/>
      <w:r w:rsidRPr="0042292A">
        <w:rPr>
          <w:rFonts w:eastAsia="Times New Roman" w:cs="Microsoft Sans Serif"/>
          <w:color w:val="000000"/>
          <w:spacing w:val="-4"/>
          <w:szCs w:val="26"/>
          <w:lang w:val="es-ES" w:eastAsia="es-ES"/>
        </w:rPr>
        <w:t>Magistrada</w:t>
      </w:r>
      <w:proofErr w:type="spellEnd"/>
    </w:p>
    <w:p w14:paraId="31638FBB" w14:textId="538DC163" w:rsidR="007C1AB9" w:rsidRDefault="007C1AB9">
      <w:pPr>
        <w:rPr>
          <w:rFonts w:eastAsia="Times New Roman" w:cs="Microsoft Sans Serif"/>
          <w:color w:val="000000"/>
          <w:spacing w:val="-4"/>
          <w:szCs w:val="26"/>
          <w:lang w:val="es-ES" w:eastAsia="es-ES"/>
        </w:rPr>
      </w:pPr>
      <w:r>
        <w:rPr>
          <w:rFonts w:eastAsia="Times New Roman" w:cs="Microsoft Sans Serif"/>
          <w:color w:val="000000"/>
          <w:spacing w:val="-4"/>
          <w:szCs w:val="26"/>
          <w:lang w:val="es-ES" w:eastAsia="es-ES"/>
        </w:rPr>
        <w:br w:type="page"/>
      </w:r>
    </w:p>
    <w:p w14:paraId="54B541B3" w14:textId="77777777" w:rsidR="007C1AB9" w:rsidRPr="007C1AB9" w:rsidRDefault="007C1AB9" w:rsidP="007C1AB9">
      <w:pPr>
        <w:widowControl w:val="0"/>
        <w:autoSpaceDE w:val="0"/>
        <w:autoSpaceDN w:val="0"/>
        <w:adjustRightInd w:val="0"/>
        <w:spacing w:line="240" w:lineRule="auto"/>
        <w:jc w:val="both"/>
        <w:rPr>
          <w:rFonts w:ascii="Arial" w:eastAsia="Times New Roman" w:hAnsi="Arial" w:cs="Arial"/>
          <w:bCs/>
          <w:sz w:val="22"/>
          <w:szCs w:val="24"/>
          <w:lang w:val="es-ES" w:eastAsia="es-ES"/>
        </w:rPr>
      </w:pPr>
      <w:r w:rsidRPr="007C1AB9">
        <w:rPr>
          <w:rFonts w:ascii="Arial" w:eastAsia="Times New Roman" w:hAnsi="Arial" w:cs="Arial"/>
          <w:sz w:val="22"/>
          <w:szCs w:val="24"/>
          <w:lang w:val="es-ES" w:eastAsia="es-ES"/>
        </w:rPr>
        <w:lastRenderedPageBreak/>
        <w:t xml:space="preserve">Providencia: </w:t>
      </w:r>
      <w:r w:rsidRPr="007C1AB9">
        <w:rPr>
          <w:rFonts w:ascii="Arial" w:eastAsia="Times New Roman" w:hAnsi="Arial" w:cs="Arial"/>
          <w:sz w:val="22"/>
          <w:szCs w:val="24"/>
          <w:lang w:val="es-ES" w:eastAsia="es-ES"/>
        </w:rPr>
        <w:tab/>
      </w:r>
      <w:r w:rsidRPr="007C1AB9">
        <w:rPr>
          <w:rFonts w:ascii="Arial" w:eastAsia="Times New Roman" w:hAnsi="Arial" w:cs="Arial"/>
          <w:sz w:val="22"/>
          <w:szCs w:val="24"/>
          <w:lang w:val="es-ES" w:eastAsia="es-ES"/>
        </w:rPr>
        <w:tab/>
      </w:r>
      <w:r w:rsidRPr="007C1AB9">
        <w:rPr>
          <w:rFonts w:ascii="Arial" w:eastAsia="Times New Roman" w:hAnsi="Arial" w:cs="Arial"/>
          <w:sz w:val="22"/>
          <w:szCs w:val="24"/>
          <w:lang w:val="es-ES" w:eastAsia="es-ES"/>
        </w:rPr>
        <w:tab/>
        <w:t xml:space="preserve">Auto </w:t>
      </w:r>
      <w:r w:rsidRPr="007C1AB9">
        <w:rPr>
          <w:rFonts w:ascii="Arial" w:eastAsia="Times New Roman" w:hAnsi="Arial" w:cs="Arial"/>
          <w:bCs/>
          <w:sz w:val="22"/>
          <w:szCs w:val="24"/>
          <w:lang w:val="es-ES" w:eastAsia="es-ES"/>
        </w:rPr>
        <w:t xml:space="preserve">del 20-11-2019 </w:t>
      </w:r>
    </w:p>
    <w:p w14:paraId="48A65A6D" w14:textId="77777777" w:rsidR="007C1AB9" w:rsidRPr="007C1AB9" w:rsidRDefault="007C1AB9" w:rsidP="007C1AB9">
      <w:pPr>
        <w:widowControl w:val="0"/>
        <w:autoSpaceDE w:val="0"/>
        <w:autoSpaceDN w:val="0"/>
        <w:adjustRightInd w:val="0"/>
        <w:spacing w:line="240" w:lineRule="auto"/>
        <w:jc w:val="both"/>
        <w:rPr>
          <w:rFonts w:ascii="Arial" w:eastAsia="Times New Roman" w:hAnsi="Arial" w:cs="Arial"/>
          <w:sz w:val="22"/>
          <w:szCs w:val="24"/>
          <w:lang w:val="es-ES" w:eastAsia="es-ES"/>
        </w:rPr>
      </w:pPr>
      <w:r w:rsidRPr="007C1AB9">
        <w:rPr>
          <w:rFonts w:ascii="Arial" w:eastAsia="Times New Roman" w:hAnsi="Arial" w:cs="Arial"/>
          <w:sz w:val="22"/>
          <w:szCs w:val="24"/>
          <w:lang w:val="es-ES" w:eastAsia="es-ES"/>
        </w:rPr>
        <w:t>Radicación No.:</w:t>
      </w:r>
      <w:r w:rsidRPr="007C1AB9">
        <w:rPr>
          <w:rFonts w:ascii="Arial" w:eastAsia="Times New Roman" w:hAnsi="Arial" w:cs="Arial"/>
          <w:sz w:val="22"/>
          <w:szCs w:val="24"/>
          <w:lang w:val="es-ES" w:eastAsia="es-ES"/>
        </w:rPr>
        <w:tab/>
      </w:r>
      <w:r w:rsidRPr="007C1AB9">
        <w:rPr>
          <w:rFonts w:ascii="Arial" w:eastAsia="Times New Roman" w:hAnsi="Arial" w:cs="Arial"/>
          <w:sz w:val="22"/>
          <w:szCs w:val="24"/>
          <w:lang w:val="es-ES" w:eastAsia="es-ES"/>
        </w:rPr>
        <w:tab/>
        <w:t>66001-31-05-003-2017-00384-01</w:t>
      </w:r>
    </w:p>
    <w:p w14:paraId="30E7ED20" w14:textId="06969BB4" w:rsidR="007C1AB9" w:rsidRPr="007C1AB9" w:rsidRDefault="007C1AB9" w:rsidP="007C1AB9">
      <w:pPr>
        <w:widowControl w:val="0"/>
        <w:autoSpaceDE w:val="0"/>
        <w:autoSpaceDN w:val="0"/>
        <w:adjustRightInd w:val="0"/>
        <w:spacing w:line="240" w:lineRule="auto"/>
        <w:jc w:val="both"/>
        <w:rPr>
          <w:rFonts w:ascii="Arial" w:eastAsia="Times New Roman" w:hAnsi="Arial" w:cs="Arial"/>
          <w:sz w:val="22"/>
          <w:szCs w:val="24"/>
          <w:lang w:val="es-ES" w:eastAsia="es-ES"/>
        </w:rPr>
      </w:pPr>
      <w:r w:rsidRPr="007C1AB9">
        <w:rPr>
          <w:rFonts w:ascii="Arial" w:eastAsia="Times New Roman" w:hAnsi="Arial" w:cs="Arial"/>
          <w:sz w:val="22"/>
          <w:szCs w:val="24"/>
          <w:lang w:val="es-ES" w:eastAsia="es-ES"/>
        </w:rPr>
        <w:t>Proceso:</w:t>
      </w:r>
      <w:r>
        <w:rPr>
          <w:rFonts w:ascii="Arial" w:eastAsia="Times New Roman" w:hAnsi="Arial" w:cs="Arial"/>
          <w:sz w:val="22"/>
          <w:szCs w:val="24"/>
          <w:lang w:val="es-ES" w:eastAsia="es-ES"/>
        </w:rPr>
        <w:tab/>
      </w:r>
      <w:r>
        <w:rPr>
          <w:rFonts w:ascii="Arial" w:eastAsia="Times New Roman" w:hAnsi="Arial" w:cs="Arial"/>
          <w:sz w:val="22"/>
          <w:szCs w:val="24"/>
          <w:lang w:val="es-ES" w:eastAsia="es-ES"/>
        </w:rPr>
        <w:tab/>
      </w:r>
      <w:r>
        <w:rPr>
          <w:rFonts w:ascii="Arial" w:eastAsia="Times New Roman" w:hAnsi="Arial" w:cs="Arial"/>
          <w:sz w:val="22"/>
          <w:szCs w:val="24"/>
          <w:lang w:val="es-ES" w:eastAsia="es-ES"/>
        </w:rPr>
        <w:tab/>
        <w:t>Ordinario laboral</w:t>
      </w:r>
    </w:p>
    <w:p w14:paraId="4C80C32F" w14:textId="3E7E8C77" w:rsidR="007C1AB9" w:rsidRPr="007C1AB9" w:rsidRDefault="007C1AB9" w:rsidP="007C1AB9">
      <w:pPr>
        <w:widowControl w:val="0"/>
        <w:autoSpaceDE w:val="0"/>
        <w:autoSpaceDN w:val="0"/>
        <w:adjustRightInd w:val="0"/>
        <w:spacing w:line="240" w:lineRule="auto"/>
        <w:jc w:val="both"/>
        <w:rPr>
          <w:rFonts w:ascii="Arial" w:eastAsia="Times New Roman" w:hAnsi="Arial" w:cs="Arial"/>
          <w:sz w:val="22"/>
          <w:szCs w:val="24"/>
          <w:lang w:val="es-ES" w:eastAsia="es-ES"/>
        </w:rPr>
      </w:pPr>
      <w:r w:rsidRPr="007C1AB9">
        <w:rPr>
          <w:rFonts w:ascii="Arial" w:eastAsia="Times New Roman" w:hAnsi="Arial" w:cs="Arial"/>
          <w:sz w:val="22"/>
          <w:szCs w:val="24"/>
          <w:lang w:val="es-ES" w:eastAsia="es-ES"/>
        </w:rPr>
        <w:t>Demandante:</w:t>
      </w:r>
      <w:r>
        <w:rPr>
          <w:rFonts w:ascii="Arial" w:eastAsia="Times New Roman" w:hAnsi="Arial" w:cs="Arial"/>
          <w:sz w:val="22"/>
          <w:szCs w:val="24"/>
          <w:lang w:val="es-ES" w:eastAsia="es-ES"/>
        </w:rPr>
        <w:tab/>
      </w:r>
      <w:r>
        <w:rPr>
          <w:rFonts w:ascii="Arial" w:eastAsia="Times New Roman" w:hAnsi="Arial" w:cs="Arial"/>
          <w:sz w:val="22"/>
          <w:szCs w:val="24"/>
          <w:lang w:val="es-ES" w:eastAsia="es-ES"/>
        </w:rPr>
        <w:tab/>
      </w:r>
      <w:r w:rsidRPr="007C1AB9">
        <w:rPr>
          <w:rFonts w:ascii="Arial" w:eastAsia="Times New Roman" w:hAnsi="Arial" w:cs="Arial"/>
          <w:sz w:val="22"/>
          <w:szCs w:val="24"/>
          <w:lang w:val="es-ES" w:eastAsia="es-ES"/>
        </w:rPr>
        <w:tab/>
        <w:t>Daniela Pérez Ocampo</w:t>
      </w:r>
    </w:p>
    <w:p w14:paraId="02CCC4C2" w14:textId="5D75FA0C" w:rsidR="007C1AB9" w:rsidRPr="007C1AB9" w:rsidRDefault="007C1AB9" w:rsidP="007C1AB9">
      <w:pPr>
        <w:widowControl w:val="0"/>
        <w:autoSpaceDE w:val="0"/>
        <w:autoSpaceDN w:val="0"/>
        <w:adjustRightInd w:val="0"/>
        <w:spacing w:line="240" w:lineRule="auto"/>
        <w:jc w:val="both"/>
        <w:rPr>
          <w:rFonts w:ascii="Arial" w:eastAsia="Times New Roman" w:hAnsi="Arial" w:cs="Arial"/>
          <w:sz w:val="22"/>
          <w:szCs w:val="24"/>
          <w:lang w:val="es-ES" w:eastAsia="es-ES"/>
        </w:rPr>
      </w:pPr>
      <w:r w:rsidRPr="007C1AB9">
        <w:rPr>
          <w:rFonts w:ascii="Arial" w:eastAsia="Times New Roman" w:hAnsi="Arial" w:cs="Arial"/>
          <w:sz w:val="22"/>
          <w:szCs w:val="24"/>
          <w:lang w:val="es-ES" w:eastAsia="es-ES"/>
        </w:rPr>
        <w:t>Demandado:</w:t>
      </w:r>
      <w:r w:rsidRPr="007C1AB9">
        <w:rPr>
          <w:rFonts w:ascii="Arial" w:eastAsia="Times New Roman" w:hAnsi="Arial" w:cs="Arial"/>
          <w:sz w:val="22"/>
          <w:szCs w:val="24"/>
          <w:lang w:val="es-ES" w:eastAsia="es-ES"/>
        </w:rPr>
        <w:tab/>
      </w:r>
      <w:r w:rsidRPr="007C1AB9">
        <w:rPr>
          <w:rFonts w:ascii="Arial" w:eastAsia="Times New Roman" w:hAnsi="Arial" w:cs="Arial"/>
          <w:sz w:val="22"/>
          <w:szCs w:val="24"/>
          <w:lang w:val="es-ES" w:eastAsia="es-ES"/>
        </w:rPr>
        <w:tab/>
      </w:r>
      <w:r w:rsidRPr="007C1AB9">
        <w:rPr>
          <w:rFonts w:ascii="Arial" w:eastAsia="Times New Roman" w:hAnsi="Arial" w:cs="Arial"/>
          <w:sz w:val="22"/>
          <w:szCs w:val="24"/>
          <w:lang w:val="es-ES" w:eastAsia="es-ES"/>
        </w:rPr>
        <w:tab/>
      </w:r>
      <w:r>
        <w:rPr>
          <w:rFonts w:ascii="Arial" w:eastAsia="Times New Roman" w:hAnsi="Arial" w:cs="Arial"/>
          <w:sz w:val="22"/>
          <w:szCs w:val="24"/>
          <w:lang w:val="es-ES" w:eastAsia="es-ES"/>
        </w:rPr>
        <w:t>Banco Popular S.A. y otro</w:t>
      </w:r>
    </w:p>
    <w:p w14:paraId="04A5026C" w14:textId="1BF05749" w:rsidR="007C1AB9" w:rsidRPr="007C1AB9" w:rsidRDefault="007C1AB9" w:rsidP="007C1AB9">
      <w:pPr>
        <w:widowControl w:val="0"/>
        <w:autoSpaceDE w:val="0"/>
        <w:autoSpaceDN w:val="0"/>
        <w:adjustRightInd w:val="0"/>
        <w:spacing w:line="240" w:lineRule="auto"/>
        <w:jc w:val="both"/>
        <w:rPr>
          <w:rFonts w:ascii="Arial" w:eastAsia="Times New Roman" w:hAnsi="Arial" w:cs="Arial"/>
          <w:sz w:val="22"/>
          <w:szCs w:val="24"/>
          <w:lang w:val="es-ES" w:eastAsia="es-ES"/>
        </w:rPr>
      </w:pPr>
      <w:r w:rsidRPr="007C1AB9">
        <w:rPr>
          <w:rFonts w:ascii="Arial" w:eastAsia="Times New Roman" w:hAnsi="Arial" w:cs="Arial"/>
          <w:sz w:val="22"/>
          <w:szCs w:val="24"/>
          <w:lang w:val="es-ES" w:eastAsia="es-ES"/>
        </w:rPr>
        <w:t>Magistrado ponente:</w:t>
      </w:r>
      <w:r w:rsidRPr="007C1AB9">
        <w:rPr>
          <w:rFonts w:ascii="Arial" w:eastAsia="Times New Roman" w:hAnsi="Arial" w:cs="Arial"/>
          <w:sz w:val="22"/>
          <w:szCs w:val="24"/>
          <w:lang w:val="es-ES" w:eastAsia="es-ES"/>
        </w:rPr>
        <w:tab/>
      </w:r>
      <w:r w:rsidRPr="007C1AB9">
        <w:rPr>
          <w:rFonts w:ascii="Arial" w:eastAsia="Times New Roman" w:hAnsi="Arial" w:cs="Arial"/>
          <w:sz w:val="22"/>
          <w:szCs w:val="24"/>
          <w:lang w:val="es-ES" w:eastAsia="es-ES"/>
        </w:rPr>
        <w:tab/>
        <w:t xml:space="preserve">Dr. Francisco Javier Tamayo Tabares  </w:t>
      </w:r>
    </w:p>
    <w:p w14:paraId="3606C617" w14:textId="77777777" w:rsidR="007C1AB9" w:rsidRPr="007C1AB9" w:rsidRDefault="007C1AB9" w:rsidP="007C1AB9">
      <w:pPr>
        <w:keepNext/>
        <w:widowControl w:val="0"/>
        <w:tabs>
          <w:tab w:val="left" w:pos="708"/>
        </w:tabs>
        <w:overflowPunct w:val="0"/>
        <w:autoSpaceDE w:val="0"/>
        <w:autoSpaceDN w:val="0"/>
        <w:adjustRightInd w:val="0"/>
        <w:spacing w:line="300" w:lineRule="auto"/>
        <w:jc w:val="both"/>
        <w:outlineLvl w:val="3"/>
        <w:rPr>
          <w:rFonts w:ascii="Arial" w:eastAsia="Times New Roman" w:hAnsi="Arial" w:cs="Arial"/>
          <w:b/>
          <w:bCs/>
          <w:sz w:val="22"/>
          <w:szCs w:val="24"/>
          <w:lang w:val="es-ES" w:eastAsia="es-MX"/>
        </w:rPr>
      </w:pPr>
    </w:p>
    <w:p w14:paraId="084EDD9E" w14:textId="77777777" w:rsidR="007C1AB9" w:rsidRPr="007C1AB9" w:rsidRDefault="007C1AB9" w:rsidP="007C1AB9">
      <w:pPr>
        <w:keepNext/>
        <w:widowControl w:val="0"/>
        <w:tabs>
          <w:tab w:val="left" w:pos="708"/>
        </w:tabs>
        <w:overflowPunct w:val="0"/>
        <w:autoSpaceDE w:val="0"/>
        <w:autoSpaceDN w:val="0"/>
        <w:adjustRightInd w:val="0"/>
        <w:spacing w:line="300" w:lineRule="auto"/>
        <w:jc w:val="both"/>
        <w:outlineLvl w:val="3"/>
        <w:rPr>
          <w:rFonts w:ascii="Arial" w:eastAsia="Times New Roman" w:hAnsi="Arial" w:cs="Arial"/>
          <w:b/>
          <w:bCs/>
          <w:sz w:val="22"/>
          <w:szCs w:val="24"/>
          <w:lang w:val="es-ES" w:eastAsia="es-MX"/>
        </w:rPr>
      </w:pPr>
    </w:p>
    <w:p w14:paraId="3CEA4090" w14:textId="77777777" w:rsidR="007C1AB9" w:rsidRPr="007C1AB9" w:rsidRDefault="007C1AB9" w:rsidP="007C1AB9">
      <w:pPr>
        <w:keepNext/>
        <w:autoSpaceDN w:val="0"/>
        <w:spacing w:line="300" w:lineRule="auto"/>
        <w:jc w:val="center"/>
        <w:outlineLvl w:val="0"/>
        <w:rPr>
          <w:rFonts w:ascii="Arial" w:eastAsia="Times New Roman" w:hAnsi="Arial" w:cs="Arial"/>
          <w:b/>
          <w:bCs/>
          <w:sz w:val="24"/>
          <w:szCs w:val="24"/>
          <w:u w:val="single"/>
          <w:lang w:val="es-ES" w:eastAsia="es-ES"/>
        </w:rPr>
      </w:pPr>
      <w:r w:rsidRPr="007C1AB9">
        <w:rPr>
          <w:rFonts w:ascii="Arial" w:eastAsia="Times New Roman" w:hAnsi="Arial" w:cs="Arial"/>
          <w:b/>
          <w:bCs/>
          <w:sz w:val="24"/>
          <w:szCs w:val="24"/>
          <w:u w:val="single"/>
          <w:lang w:val="es-ES" w:eastAsia="es-ES"/>
        </w:rPr>
        <w:t xml:space="preserve">SALVAMENTO  DE VOTO </w:t>
      </w:r>
    </w:p>
    <w:p w14:paraId="01BBB6D9" w14:textId="77777777" w:rsidR="007C1AB9" w:rsidRPr="007C1AB9" w:rsidRDefault="007C1AB9" w:rsidP="007C1AB9">
      <w:pPr>
        <w:spacing w:line="300" w:lineRule="auto"/>
        <w:jc w:val="both"/>
        <w:rPr>
          <w:rFonts w:ascii="Arial" w:eastAsia="Times New Roman" w:hAnsi="Arial" w:cs="Arial"/>
          <w:b/>
          <w:bCs/>
          <w:sz w:val="24"/>
          <w:szCs w:val="24"/>
          <w:lang w:val="es-ES_tradnl" w:eastAsia="es-ES"/>
        </w:rPr>
      </w:pPr>
    </w:p>
    <w:p w14:paraId="196250D7" w14:textId="77777777" w:rsidR="007C1AB9" w:rsidRPr="007C1AB9" w:rsidRDefault="007C1AB9" w:rsidP="007C1AB9">
      <w:pPr>
        <w:spacing w:line="300" w:lineRule="auto"/>
        <w:jc w:val="both"/>
        <w:rPr>
          <w:rFonts w:ascii="Arial" w:eastAsia="Times New Roman" w:hAnsi="Arial" w:cs="Arial"/>
          <w:sz w:val="24"/>
          <w:szCs w:val="24"/>
          <w:lang w:val="es-ES_tradnl" w:eastAsia="es-ES"/>
        </w:rPr>
      </w:pPr>
      <w:r w:rsidRPr="007C1AB9">
        <w:rPr>
          <w:rFonts w:ascii="Arial" w:eastAsia="Times New Roman" w:hAnsi="Arial" w:cs="Arial"/>
          <w:sz w:val="24"/>
          <w:szCs w:val="24"/>
          <w:lang w:val="es-ES_tradnl" w:eastAsia="es-ES"/>
        </w:rPr>
        <w:t>Con el debido respeto disiento de la decisión adoptada por la Sala Mayoritaria, en lo que respecta a la determinación tomada frente al recurso de queja, que para la suscrita había lugar a declarar bien denegado el recurso de apelación, por cuanto la providencia de no dar traslado de las excepciones de mérito no está como de aquellas apelables en el artículo 65 del CPT y la SS, ni en otra ley; sin que se permita la analogía en punto a los autos que son apelables, pues en este tópico opera el principio de la taxatividad.</w:t>
      </w:r>
    </w:p>
    <w:p w14:paraId="6BC40FD0" w14:textId="77777777" w:rsidR="007C1AB9" w:rsidRPr="007C1AB9" w:rsidRDefault="007C1AB9" w:rsidP="007C1AB9">
      <w:pPr>
        <w:spacing w:line="300" w:lineRule="auto"/>
        <w:jc w:val="both"/>
        <w:rPr>
          <w:rFonts w:ascii="Arial" w:eastAsia="Times New Roman" w:hAnsi="Arial" w:cs="Arial"/>
          <w:sz w:val="24"/>
          <w:szCs w:val="24"/>
          <w:lang w:val="es-ES_tradnl" w:eastAsia="es-ES"/>
        </w:rPr>
      </w:pPr>
    </w:p>
    <w:p w14:paraId="5B9F88E2" w14:textId="77777777" w:rsidR="007C1AB9" w:rsidRPr="007C1AB9" w:rsidRDefault="007C1AB9" w:rsidP="007C1AB9">
      <w:pPr>
        <w:spacing w:line="300" w:lineRule="auto"/>
        <w:jc w:val="both"/>
        <w:rPr>
          <w:rFonts w:ascii="Arial" w:eastAsia="Times New Roman" w:hAnsi="Arial" w:cs="Arial"/>
          <w:sz w:val="24"/>
          <w:szCs w:val="24"/>
          <w:lang w:val="es-ES_tradnl" w:eastAsia="es-ES"/>
        </w:rPr>
      </w:pPr>
      <w:r w:rsidRPr="007C1AB9">
        <w:rPr>
          <w:rFonts w:ascii="Arial" w:eastAsia="Times New Roman" w:hAnsi="Arial" w:cs="Arial"/>
          <w:sz w:val="24"/>
          <w:szCs w:val="24"/>
          <w:lang w:val="es-ES_tradnl" w:eastAsia="es-ES"/>
        </w:rPr>
        <w:t>En este orden de ideas la decisión de la queja no se subsume en el numeral 4 del canon en cita que se refiere a “El que niegue el decreto o práctica de una prueba”, ni siquiera por la posición adoptada por la Sala Mayoritaria, pues la parte demandante bien puede omitir solicitar pruebas y en ese sentido la sala mayoritaria decidió hipotéticamente.</w:t>
      </w:r>
    </w:p>
    <w:p w14:paraId="12533CB7" w14:textId="77777777" w:rsidR="007C1AB9" w:rsidRPr="007C1AB9" w:rsidRDefault="007C1AB9" w:rsidP="007C1AB9">
      <w:pPr>
        <w:spacing w:line="300" w:lineRule="auto"/>
        <w:jc w:val="both"/>
        <w:rPr>
          <w:rFonts w:ascii="Arial" w:eastAsia="Times New Roman" w:hAnsi="Arial" w:cs="Arial"/>
          <w:sz w:val="24"/>
          <w:szCs w:val="24"/>
          <w:lang w:val="es-ES_tradnl" w:eastAsia="es-ES"/>
        </w:rPr>
      </w:pPr>
    </w:p>
    <w:p w14:paraId="1E4D0090" w14:textId="23DA3CBD" w:rsidR="007C1AB9" w:rsidRPr="007C1AB9" w:rsidRDefault="007C1AB9" w:rsidP="007C1AB9">
      <w:pPr>
        <w:spacing w:line="300" w:lineRule="auto"/>
        <w:jc w:val="both"/>
        <w:rPr>
          <w:rFonts w:ascii="Arial" w:eastAsia="Times New Roman" w:hAnsi="Arial" w:cs="Arial"/>
          <w:sz w:val="24"/>
          <w:szCs w:val="24"/>
          <w:lang w:val="es-ES_tradnl" w:eastAsia="es-ES"/>
        </w:rPr>
      </w:pPr>
      <w:r w:rsidRPr="007C1AB9">
        <w:rPr>
          <w:rFonts w:ascii="Arial" w:eastAsia="Times New Roman" w:hAnsi="Arial" w:cs="Arial"/>
          <w:sz w:val="24"/>
          <w:szCs w:val="24"/>
          <w:lang w:val="es-ES_tradnl" w:eastAsia="es-ES"/>
        </w:rPr>
        <w:t xml:space="preserve">Ahora bien, privar de tal posibilidad a la parte actora, ante la renuencia de darle traslado de las excepciones de mérito, haría que el trámite quedara afectado de nulidad al tenor del numeral 5 del artículo 133 del CGP, al omitirse la oportunidad para </w:t>
      </w:r>
      <w:r w:rsidR="00566273">
        <w:rPr>
          <w:rFonts w:ascii="Arial" w:eastAsia="Times New Roman" w:hAnsi="Arial" w:cs="Arial"/>
          <w:sz w:val="24"/>
          <w:szCs w:val="24"/>
          <w:lang w:val="es-ES_tradnl" w:eastAsia="es-ES"/>
        </w:rPr>
        <w:t>“</w:t>
      </w:r>
      <w:r w:rsidRPr="007C1AB9">
        <w:rPr>
          <w:rFonts w:ascii="Arial" w:eastAsia="Times New Roman" w:hAnsi="Arial" w:cs="Arial"/>
          <w:b/>
          <w:sz w:val="24"/>
          <w:szCs w:val="24"/>
          <w:u w:val="single"/>
          <w:lang w:val="es-ES_tradnl" w:eastAsia="es-ES"/>
        </w:rPr>
        <w:t>solicitar,</w:t>
      </w:r>
      <w:r w:rsidRPr="007C1AB9">
        <w:rPr>
          <w:rFonts w:ascii="Arial" w:eastAsia="Times New Roman" w:hAnsi="Arial" w:cs="Arial"/>
          <w:sz w:val="24"/>
          <w:szCs w:val="24"/>
          <w:lang w:val="es-ES_tradnl" w:eastAsia="es-ES"/>
        </w:rPr>
        <w:t xml:space="preserve"> decretar o practicar pruebas</w:t>
      </w:r>
      <w:r w:rsidRPr="007C1AB9">
        <w:rPr>
          <w:rFonts w:ascii="Arial" w:eastAsia="Times New Roman" w:hAnsi="Arial" w:cs="Arial"/>
          <w:sz w:val="24"/>
          <w:szCs w:val="24"/>
          <w:lang w:val="es-ES_tradnl" w:eastAsia="es-ES"/>
        </w:rPr>
        <w:t>…” sin que la propusiera el interesado cuando así debía hacerlo.</w:t>
      </w:r>
    </w:p>
    <w:p w14:paraId="0B1B641D" w14:textId="77777777" w:rsidR="007C1AB9" w:rsidRPr="007C1AB9" w:rsidRDefault="007C1AB9" w:rsidP="007C1AB9">
      <w:pPr>
        <w:spacing w:line="300" w:lineRule="auto"/>
        <w:jc w:val="both"/>
        <w:rPr>
          <w:rFonts w:ascii="Arial" w:eastAsia="Times New Roman" w:hAnsi="Arial" w:cs="Arial"/>
          <w:sz w:val="24"/>
          <w:szCs w:val="24"/>
          <w:lang w:val="es-ES_tradnl" w:eastAsia="es-ES"/>
        </w:rPr>
      </w:pPr>
    </w:p>
    <w:p w14:paraId="34DC712C" w14:textId="77777777" w:rsidR="007C1AB9" w:rsidRPr="007C1AB9" w:rsidRDefault="007C1AB9" w:rsidP="007C1AB9">
      <w:pPr>
        <w:spacing w:line="300" w:lineRule="auto"/>
        <w:jc w:val="both"/>
        <w:rPr>
          <w:rFonts w:ascii="Arial" w:eastAsia="Times New Roman" w:hAnsi="Arial" w:cs="Arial"/>
          <w:sz w:val="24"/>
          <w:szCs w:val="24"/>
          <w:lang w:val="es-ES_tradnl" w:eastAsia="es-ES"/>
        </w:rPr>
      </w:pPr>
      <w:r w:rsidRPr="007C1AB9">
        <w:rPr>
          <w:rFonts w:ascii="Arial" w:eastAsia="Times New Roman" w:hAnsi="Arial" w:cs="Arial"/>
          <w:sz w:val="24"/>
          <w:szCs w:val="24"/>
          <w:lang w:val="es-ES_tradnl" w:eastAsia="es-ES"/>
        </w:rPr>
        <w:t>Puestas de ese modo las cosas, se equivocó el actor en el medio procesal para atacar la decisión.</w:t>
      </w:r>
    </w:p>
    <w:p w14:paraId="07EE6726" w14:textId="77777777" w:rsidR="007C1AB9" w:rsidRPr="007C1AB9" w:rsidRDefault="007C1AB9" w:rsidP="007C1AB9">
      <w:pPr>
        <w:spacing w:line="300" w:lineRule="auto"/>
        <w:jc w:val="both"/>
        <w:rPr>
          <w:rFonts w:ascii="Arial" w:eastAsia="Times New Roman" w:hAnsi="Arial" w:cs="Arial"/>
          <w:sz w:val="24"/>
          <w:szCs w:val="24"/>
          <w:lang w:val="es-ES_tradnl" w:eastAsia="es-ES"/>
        </w:rPr>
      </w:pPr>
    </w:p>
    <w:p w14:paraId="5FF7DF31" w14:textId="77777777" w:rsidR="007C1AB9" w:rsidRPr="007C1AB9" w:rsidRDefault="007C1AB9" w:rsidP="007C1AB9">
      <w:pPr>
        <w:spacing w:line="300" w:lineRule="auto"/>
        <w:jc w:val="both"/>
        <w:rPr>
          <w:rFonts w:ascii="Arial" w:eastAsia="Times New Roman" w:hAnsi="Arial" w:cs="Arial"/>
          <w:sz w:val="24"/>
          <w:szCs w:val="24"/>
          <w:lang w:val="es-ES_tradnl" w:eastAsia="es-ES"/>
        </w:rPr>
      </w:pPr>
      <w:r w:rsidRPr="007C1AB9">
        <w:rPr>
          <w:rFonts w:ascii="Arial" w:eastAsia="Times New Roman" w:hAnsi="Arial" w:cs="Arial"/>
          <w:sz w:val="24"/>
          <w:szCs w:val="24"/>
          <w:lang w:val="es-ES_tradnl" w:eastAsia="es-ES"/>
        </w:rPr>
        <w:t>Así dejo sentada mi postura.</w:t>
      </w:r>
    </w:p>
    <w:p w14:paraId="433A3218" w14:textId="77777777" w:rsidR="007C1AB9" w:rsidRPr="007C1AB9" w:rsidRDefault="007C1AB9" w:rsidP="007C1AB9">
      <w:pPr>
        <w:spacing w:line="300" w:lineRule="auto"/>
        <w:jc w:val="both"/>
        <w:rPr>
          <w:rFonts w:ascii="Arial" w:eastAsia="Times New Roman" w:hAnsi="Arial" w:cs="Arial"/>
          <w:sz w:val="24"/>
          <w:szCs w:val="24"/>
          <w:lang w:val="es-ES_tradnl" w:eastAsia="es-ES"/>
        </w:rPr>
      </w:pPr>
    </w:p>
    <w:p w14:paraId="2AA08DA6" w14:textId="77777777" w:rsidR="007C1AB9" w:rsidRPr="007C1AB9" w:rsidRDefault="007C1AB9" w:rsidP="007C1AB9">
      <w:pPr>
        <w:spacing w:line="300" w:lineRule="auto"/>
        <w:jc w:val="both"/>
        <w:rPr>
          <w:rFonts w:ascii="Arial" w:eastAsia="Times New Roman" w:hAnsi="Arial" w:cs="Arial"/>
          <w:sz w:val="24"/>
          <w:szCs w:val="24"/>
          <w:lang w:val="es-ES_tradnl" w:eastAsia="es-ES"/>
        </w:rPr>
      </w:pPr>
    </w:p>
    <w:p w14:paraId="6C66E55B" w14:textId="77777777" w:rsidR="007C1AB9" w:rsidRPr="007C1AB9" w:rsidRDefault="007C1AB9" w:rsidP="007C1AB9">
      <w:pPr>
        <w:spacing w:line="300" w:lineRule="auto"/>
        <w:jc w:val="both"/>
        <w:rPr>
          <w:rFonts w:ascii="Arial" w:eastAsia="Times New Roman" w:hAnsi="Arial" w:cs="Arial"/>
          <w:sz w:val="24"/>
          <w:szCs w:val="24"/>
          <w:lang w:val="es-ES_tradnl" w:eastAsia="es-ES"/>
        </w:rPr>
      </w:pPr>
    </w:p>
    <w:p w14:paraId="4279BBE9" w14:textId="77777777" w:rsidR="007C1AB9" w:rsidRPr="007C1AB9" w:rsidRDefault="007C1AB9" w:rsidP="007C1AB9">
      <w:pPr>
        <w:spacing w:line="300" w:lineRule="auto"/>
        <w:jc w:val="both"/>
        <w:rPr>
          <w:rFonts w:ascii="Arial" w:eastAsia="Times New Roman" w:hAnsi="Arial" w:cs="Arial"/>
          <w:b/>
          <w:sz w:val="24"/>
          <w:szCs w:val="24"/>
          <w:lang w:val="es-ES_tradnl" w:eastAsia="es-ES"/>
        </w:rPr>
      </w:pPr>
    </w:p>
    <w:p w14:paraId="532AAA31" w14:textId="77777777" w:rsidR="007C1AB9" w:rsidRPr="007C1AB9" w:rsidRDefault="007C1AB9" w:rsidP="007C1AB9">
      <w:pPr>
        <w:spacing w:line="300" w:lineRule="auto"/>
        <w:jc w:val="both"/>
        <w:rPr>
          <w:rFonts w:ascii="Arial" w:eastAsia="Times New Roman" w:hAnsi="Arial" w:cs="Arial"/>
          <w:b/>
          <w:sz w:val="24"/>
          <w:szCs w:val="24"/>
          <w:lang w:val="es-ES_tradnl" w:eastAsia="es-ES"/>
        </w:rPr>
      </w:pPr>
    </w:p>
    <w:p w14:paraId="26CFFDC2" w14:textId="77777777" w:rsidR="007C1AB9" w:rsidRPr="007C1AB9" w:rsidRDefault="007C1AB9" w:rsidP="007C1AB9">
      <w:pPr>
        <w:spacing w:line="300" w:lineRule="auto"/>
        <w:jc w:val="both"/>
        <w:rPr>
          <w:rFonts w:ascii="Arial" w:eastAsia="Times New Roman" w:hAnsi="Arial" w:cs="Arial"/>
          <w:b/>
          <w:sz w:val="24"/>
          <w:szCs w:val="24"/>
          <w:lang w:val="es-ES_tradnl" w:eastAsia="es-ES"/>
        </w:rPr>
      </w:pPr>
      <w:r w:rsidRPr="007C1AB9">
        <w:rPr>
          <w:rFonts w:ascii="Arial" w:eastAsia="Times New Roman" w:hAnsi="Arial" w:cs="Arial"/>
          <w:b/>
          <w:sz w:val="24"/>
          <w:szCs w:val="24"/>
          <w:lang w:val="es-ES_tradnl" w:eastAsia="es-ES"/>
        </w:rPr>
        <w:t xml:space="preserve">OLGA LUCÍA HOYOS SEPÚLVEDA </w:t>
      </w:r>
    </w:p>
    <w:p w14:paraId="0040E59C" w14:textId="15F41C54" w:rsidR="007C1AB9" w:rsidRPr="007C1AB9" w:rsidRDefault="007C1AB9" w:rsidP="007C1AB9">
      <w:pPr>
        <w:spacing w:line="300" w:lineRule="auto"/>
        <w:jc w:val="both"/>
        <w:rPr>
          <w:rFonts w:ascii="Arial" w:eastAsia="Times New Roman" w:hAnsi="Arial" w:cs="Arial"/>
          <w:sz w:val="24"/>
          <w:szCs w:val="24"/>
          <w:lang w:val="es-ES_tradnl" w:eastAsia="es-ES"/>
        </w:rPr>
      </w:pPr>
      <w:r w:rsidRPr="007C1AB9">
        <w:rPr>
          <w:rFonts w:ascii="Arial" w:eastAsia="Times New Roman" w:hAnsi="Arial" w:cs="Arial"/>
          <w:sz w:val="24"/>
          <w:szCs w:val="24"/>
          <w:lang w:val="es-ES_tradnl" w:eastAsia="es-ES"/>
        </w:rPr>
        <w:t>Magistrada</w:t>
      </w:r>
    </w:p>
    <w:sectPr w:rsidR="007C1AB9" w:rsidRPr="007C1AB9" w:rsidSect="0042292A">
      <w:head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5600C" w14:textId="77777777" w:rsidR="006A3071" w:rsidRDefault="006A3071" w:rsidP="006131FC">
      <w:pPr>
        <w:spacing w:line="240" w:lineRule="auto"/>
      </w:pPr>
      <w:r>
        <w:separator/>
      </w:r>
    </w:p>
  </w:endnote>
  <w:endnote w:type="continuationSeparator" w:id="0">
    <w:p w14:paraId="5EA8D363" w14:textId="77777777" w:rsidR="006A3071" w:rsidRDefault="006A3071" w:rsidP="00613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C057D" w14:textId="77777777" w:rsidR="006A3071" w:rsidRDefault="006A3071" w:rsidP="006131FC">
      <w:pPr>
        <w:spacing w:line="240" w:lineRule="auto"/>
      </w:pPr>
      <w:r>
        <w:separator/>
      </w:r>
    </w:p>
  </w:footnote>
  <w:footnote w:type="continuationSeparator" w:id="0">
    <w:p w14:paraId="691CDC6D" w14:textId="77777777" w:rsidR="006A3071" w:rsidRDefault="006A3071" w:rsidP="006131FC">
      <w:pPr>
        <w:spacing w:line="240" w:lineRule="auto"/>
      </w:pPr>
      <w:r>
        <w:continuationSeparator/>
      </w:r>
    </w:p>
  </w:footnote>
  <w:footnote w:id="1">
    <w:p w14:paraId="654BDCF2" w14:textId="77777777" w:rsidR="00E62802" w:rsidRPr="0042292A" w:rsidRDefault="00E62802" w:rsidP="0042292A">
      <w:pPr>
        <w:pStyle w:val="Sinespaciado"/>
        <w:jc w:val="both"/>
        <w:rPr>
          <w:rFonts w:ascii="Arial" w:hAnsi="Arial" w:cs="Arial"/>
          <w:sz w:val="18"/>
          <w:szCs w:val="18"/>
          <w:shd w:val="clear" w:color="auto" w:fill="FAFAFA"/>
        </w:rPr>
      </w:pPr>
      <w:r w:rsidRPr="0042292A">
        <w:rPr>
          <w:rFonts w:ascii="Arial" w:hAnsi="Arial" w:cs="Arial"/>
          <w:sz w:val="18"/>
          <w:szCs w:val="18"/>
          <w:shd w:val="clear" w:color="auto" w:fill="FAFAFA"/>
        </w:rPr>
        <w:footnoteRef/>
      </w:r>
      <w:r w:rsidRPr="0042292A">
        <w:rPr>
          <w:rFonts w:ascii="Arial" w:hAnsi="Arial" w:cs="Arial"/>
          <w:sz w:val="18"/>
          <w:szCs w:val="18"/>
          <w:shd w:val="clear" w:color="auto" w:fill="FAFAFA"/>
        </w:rPr>
        <w:t xml:space="preserve"> Providencia del día 19 de septiembre de 2012, radicado 38137, Magistrado Ponente Dr. FERNANDO CASTRO CABALLERO, la Sala Penal |</w:t>
      </w:r>
    </w:p>
  </w:footnote>
  <w:footnote w:id="2">
    <w:p w14:paraId="2A682DDF" w14:textId="77777777" w:rsidR="00E62802" w:rsidRPr="0042292A" w:rsidRDefault="00E62802" w:rsidP="0042292A">
      <w:pPr>
        <w:pStyle w:val="Sinespaciado"/>
        <w:jc w:val="both"/>
        <w:rPr>
          <w:rFonts w:ascii="Arial" w:hAnsi="Arial" w:cs="Arial"/>
          <w:sz w:val="18"/>
          <w:szCs w:val="18"/>
          <w:shd w:val="clear" w:color="auto" w:fill="FAFAFA"/>
        </w:rPr>
      </w:pPr>
      <w:r w:rsidRPr="0042292A">
        <w:rPr>
          <w:rFonts w:ascii="Arial" w:hAnsi="Arial" w:cs="Arial"/>
          <w:sz w:val="18"/>
          <w:szCs w:val="18"/>
          <w:shd w:val="clear" w:color="auto" w:fill="FAFAFA"/>
        </w:rPr>
        <w:footnoteRef/>
      </w:r>
      <w:r w:rsidRPr="0042292A">
        <w:rPr>
          <w:rFonts w:ascii="Arial" w:hAnsi="Arial" w:cs="Arial"/>
          <w:sz w:val="18"/>
          <w:szCs w:val="18"/>
          <w:shd w:val="clear" w:color="auto" w:fill="FAFAFA"/>
        </w:rPr>
        <w:t xml:space="preserve"> DEVIS ECHANDÍA Hernando, Compendio… 2ª </w:t>
      </w:r>
      <w:proofErr w:type="spellStart"/>
      <w:r w:rsidRPr="0042292A">
        <w:rPr>
          <w:rFonts w:ascii="Arial" w:hAnsi="Arial" w:cs="Arial"/>
          <w:sz w:val="18"/>
          <w:szCs w:val="18"/>
          <w:shd w:val="clear" w:color="auto" w:fill="FAFAFA"/>
        </w:rPr>
        <w:t>ed.pág</w:t>
      </w:r>
      <w:proofErr w:type="spellEnd"/>
      <w:r w:rsidRPr="0042292A">
        <w:rPr>
          <w:rFonts w:ascii="Arial" w:hAnsi="Arial" w:cs="Arial"/>
          <w:sz w:val="18"/>
          <w:szCs w:val="18"/>
          <w:shd w:val="clear" w:color="auto" w:fill="FAFAFA"/>
        </w:rPr>
        <w:t xml:space="preserve">. 454. </w:t>
      </w:r>
    </w:p>
  </w:footnote>
  <w:footnote w:id="3">
    <w:p w14:paraId="79B48472" w14:textId="77777777" w:rsidR="00E62802" w:rsidRPr="0042292A" w:rsidRDefault="00E62802" w:rsidP="0042292A">
      <w:pPr>
        <w:pStyle w:val="Sinespaciado"/>
        <w:jc w:val="both"/>
        <w:rPr>
          <w:rFonts w:ascii="Arial" w:hAnsi="Arial" w:cs="Arial"/>
          <w:sz w:val="18"/>
          <w:szCs w:val="18"/>
          <w:shd w:val="clear" w:color="auto" w:fill="FAFAFA"/>
        </w:rPr>
      </w:pPr>
      <w:r w:rsidRPr="0042292A">
        <w:rPr>
          <w:rFonts w:ascii="Arial" w:hAnsi="Arial" w:cs="Arial"/>
          <w:sz w:val="18"/>
          <w:szCs w:val="18"/>
          <w:shd w:val="clear" w:color="auto" w:fill="FAFAFA"/>
        </w:rPr>
        <w:footnoteRef/>
      </w:r>
      <w:r w:rsidRPr="0042292A">
        <w:rPr>
          <w:rFonts w:ascii="Arial" w:hAnsi="Arial" w:cs="Arial"/>
          <w:sz w:val="18"/>
          <w:szCs w:val="18"/>
          <w:shd w:val="clear" w:color="auto" w:fill="FAFAFA"/>
        </w:rPr>
        <w:t xml:space="preserve"> Código General del Proceso, Parte General, DUPRE Editores, edición 2016, página 771.</w:t>
      </w:r>
    </w:p>
  </w:footnote>
  <w:footnote w:id="4">
    <w:p w14:paraId="00129350" w14:textId="77777777" w:rsidR="00C905CA" w:rsidRPr="0042292A" w:rsidRDefault="00C905CA" w:rsidP="0042292A">
      <w:pPr>
        <w:pStyle w:val="Textonotapie"/>
        <w:jc w:val="both"/>
        <w:rPr>
          <w:rFonts w:ascii="Arial" w:hAnsi="Arial" w:cs="Arial"/>
          <w:sz w:val="18"/>
          <w:szCs w:val="18"/>
        </w:rPr>
      </w:pPr>
      <w:r w:rsidRPr="0042292A">
        <w:rPr>
          <w:rStyle w:val="Refdenotaalpie"/>
          <w:rFonts w:ascii="Arial" w:hAnsi="Arial" w:cs="Arial"/>
          <w:sz w:val="18"/>
          <w:szCs w:val="18"/>
        </w:rPr>
        <w:footnoteRef/>
      </w:r>
      <w:r w:rsidRPr="0042292A">
        <w:rPr>
          <w:rFonts w:ascii="Arial" w:hAnsi="Arial" w:cs="Arial"/>
          <w:sz w:val="18"/>
          <w:szCs w:val="18"/>
        </w:rPr>
        <w:t xml:space="preserve"> sentencia C-539/96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1F692" w14:textId="29FB5584" w:rsidR="006A3DC2" w:rsidRPr="0042292A" w:rsidRDefault="006A3DC2" w:rsidP="006A3DC2">
    <w:pPr>
      <w:spacing w:line="240" w:lineRule="auto"/>
      <w:ind w:left="1985" w:hanging="1985"/>
      <w:jc w:val="both"/>
      <w:rPr>
        <w:rFonts w:ascii="Arial" w:hAnsi="Arial" w:cs="Arial"/>
        <w:sz w:val="18"/>
        <w:szCs w:val="16"/>
      </w:rPr>
    </w:pPr>
    <w:r w:rsidRPr="0042292A">
      <w:rPr>
        <w:rFonts w:ascii="Arial" w:hAnsi="Arial" w:cs="Arial"/>
        <w:sz w:val="18"/>
        <w:szCs w:val="16"/>
      </w:rPr>
      <w:t>RAD. 66001-31-05-005-2017-00384-00</w:t>
    </w:r>
  </w:p>
  <w:p w14:paraId="248AF704" w14:textId="73222D04" w:rsidR="006A3DC2" w:rsidRPr="0042292A" w:rsidRDefault="006A3DC2" w:rsidP="006A3DC2">
    <w:pPr>
      <w:spacing w:line="240" w:lineRule="auto"/>
      <w:ind w:left="1985" w:hanging="1985"/>
      <w:jc w:val="both"/>
      <w:rPr>
        <w:rFonts w:ascii="Arial" w:hAnsi="Arial" w:cs="Arial"/>
        <w:sz w:val="18"/>
        <w:szCs w:val="16"/>
      </w:rPr>
    </w:pPr>
    <w:r w:rsidRPr="0042292A">
      <w:rPr>
        <w:rFonts w:ascii="Arial" w:hAnsi="Arial" w:cs="Arial"/>
        <w:sz w:val="18"/>
        <w:szCs w:val="16"/>
      </w:rPr>
      <w:t>Daniela Pérez Ocampo vs Banco Popular S.A. y otros</w:t>
    </w:r>
  </w:p>
  <w:p w14:paraId="7CFE1DCC" w14:textId="316666A4" w:rsidR="006A3DC2" w:rsidRPr="0042292A" w:rsidRDefault="006A3DC2" w:rsidP="00A60CDD">
    <w:pPr>
      <w:spacing w:line="240" w:lineRule="auto"/>
      <w:ind w:left="1985" w:hanging="1985"/>
      <w:jc w:val="right"/>
      <w:rPr>
        <w:rFonts w:ascii="Arial" w:hAnsi="Arial" w:cs="Arial"/>
        <w:sz w:val="18"/>
        <w:szCs w:val="16"/>
      </w:rPr>
    </w:pPr>
    <w:r w:rsidRPr="0042292A">
      <w:rPr>
        <w:rFonts w:ascii="Arial" w:eastAsia="Times New Roman" w:hAnsi="Arial" w:cs="Arial"/>
        <w:bCs/>
        <w:sz w:val="18"/>
        <w:szCs w:val="16"/>
        <w:lang w:val="es-ES"/>
      </w:rPr>
      <w:t xml:space="preserve">pág. </w:t>
    </w:r>
    <w:r w:rsidRPr="0042292A">
      <w:rPr>
        <w:rFonts w:ascii="Arial" w:eastAsia="Times New Roman" w:hAnsi="Arial" w:cs="Arial"/>
        <w:bCs/>
        <w:sz w:val="18"/>
        <w:szCs w:val="16"/>
      </w:rPr>
      <w:fldChar w:fldCharType="begin"/>
    </w:r>
    <w:r w:rsidRPr="0042292A">
      <w:rPr>
        <w:rFonts w:ascii="Arial" w:hAnsi="Arial" w:cs="Arial"/>
        <w:bCs/>
        <w:sz w:val="18"/>
        <w:szCs w:val="16"/>
      </w:rPr>
      <w:instrText>PAGE    \* MERGEFORMAT</w:instrText>
    </w:r>
    <w:r w:rsidRPr="0042292A">
      <w:rPr>
        <w:rFonts w:ascii="Arial" w:eastAsia="Times New Roman" w:hAnsi="Arial" w:cs="Arial"/>
        <w:bCs/>
        <w:sz w:val="18"/>
        <w:szCs w:val="16"/>
      </w:rPr>
      <w:fldChar w:fldCharType="separate"/>
    </w:r>
    <w:r w:rsidR="00566273" w:rsidRPr="00566273">
      <w:rPr>
        <w:rFonts w:ascii="Arial" w:eastAsia="Times New Roman" w:hAnsi="Arial" w:cs="Arial"/>
        <w:bCs/>
        <w:noProof/>
        <w:sz w:val="18"/>
        <w:szCs w:val="16"/>
        <w:lang w:val="es-ES"/>
      </w:rPr>
      <w:t>7</w:t>
    </w:r>
    <w:r w:rsidRPr="0042292A">
      <w:rPr>
        <w:rFonts w:ascii="Arial" w:eastAsia="Times New Roman" w:hAnsi="Arial" w:cs="Arial"/>
        <w:bCs/>
        <w:sz w:val="18"/>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B5DD9"/>
    <w:multiLevelType w:val="multilevel"/>
    <w:tmpl w:val="CDFE0A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E915F8F"/>
    <w:multiLevelType w:val="hybridMultilevel"/>
    <w:tmpl w:val="09569CAC"/>
    <w:lvl w:ilvl="0" w:tplc="38903B4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E1"/>
    <w:rsid w:val="00001CEB"/>
    <w:rsid w:val="0000444F"/>
    <w:rsid w:val="00006AE2"/>
    <w:rsid w:val="00011C66"/>
    <w:rsid w:val="00014CAF"/>
    <w:rsid w:val="00024A56"/>
    <w:rsid w:val="000327F3"/>
    <w:rsid w:val="000568CD"/>
    <w:rsid w:val="0006257D"/>
    <w:rsid w:val="000717F1"/>
    <w:rsid w:val="00083A65"/>
    <w:rsid w:val="000A7218"/>
    <w:rsid w:val="000A7B55"/>
    <w:rsid w:val="000E2ED4"/>
    <w:rsid w:val="000F0F46"/>
    <w:rsid w:val="001340EB"/>
    <w:rsid w:val="00140C9C"/>
    <w:rsid w:val="00144C1E"/>
    <w:rsid w:val="00151546"/>
    <w:rsid w:val="00196723"/>
    <w:rsid w:val="001A2152"/>
    <w:rsid w:val="001A52D7"/>
    <w:rsid w:val="001B214F"/>
    <w:rsid w:val="001C58F1"/>
    <w:rsid w:val="001D0980"/>
    <w:rsid w:val="001D24B3"/>
    <w:rsid w:val="001E036F"/>
    <w:rsid w:val="0026666E"/>
    <w:rsid w:val="00270964"/>
    <w:rsid w:val="002A5771"/>
    <w:rsid w:val="002C6DC7"/>
    <w:rsid w:val="002E3911"/>
    <w:rsid w:val="0031750C"/>
    <w:rsid w:val="00317DC3"/>
    <w:rsid w:val="003218A1"/>
    <w:rsid w:val="0033002A"/>
    <w:rsid w:val="00376CDE"/>
    <w:rsid w:val="00385328"/>
    <w:rsid w:val="00394B56"/>
    <w:rsid w:val="003A1738"/>
    <w:rsid w:val="003A3B95"/>
    <w:rsid w:val="003B292F"/>
    <w:rsid w:val="003C2DEA"/>
    <w:rsid w:val="003D69AA"/>
    <w:rsid w:val="003D7589"/>
    <w:rsid w:val="003F2476"/>
    <w:rsid w:val="003F6695"/>
    <w:rsid w:val="00405378"/>
    <w:rsid w:val="004104FF"/>
    <w:rsid w:val="00412D4B"/>
    <w:rsid w:val="0042292A"/>
    <w:rsid w:val="00437815"/>
    <w:rsid w:val="00445EFE"/>
    <w:rsid w:val="004530AF"/>
    <w:rsid w:val="00457ECD"/>
    <w:rsid w:val="00493670"/>
    <w:rsid w:val="004B6F97"/>
    <w:rsid w:val="004D3082"/>
    <w:rsid w:val="004E1600"/>
    <w:rsid w:val="004E6507"/>
    <w:rsid w:val="00507891"/>
    <w:rsid w:val="005179D3"/>
    <w:rsid w:val="00541B06"/>
    <w:rsid w:val="005425B1"/>
    <w:rsid w:val="00566273"/>
    <w:rsid w:val="005832C6"/>
    <w:rsid w:val="00597870"/>
    <w:rsid w:val="005A27AB"/>
    <w:rsid w:val="005A2A6A"/>
    <w:rsid w:val="005A5072"/>
    <w:rsid w:val="005B0576"/>
    <w:rsid w:val="005C7E80"/>
    <w:rsid w:val="005D0023"/>
    <w:rsid w:val="005D3C41"/>
    <w:rsid w:val="005E7D95"/>
    <w:rsid w:val="005F14D3"/>
    <w:rsid w:val="005F294A"/>
    <w:rsid w:val="00611EC5"/>
    <w:rsid w:val="006131FC"/>
    <w:rsid w:val="00625FC7"/>
    <w:rsid w:val="00642EFF"/>
    <w:rsid w:val="00646157"/>
    <w:rsid w:val="006544B5"/>
    <w:rsid w:val="00655467"/>
    <w:rsid w:val="006A20C7"/>
    <w:rsid w:val="006A3071"/>
    <w:rsid w:val="006A3DC2"/>
    <w:rsid w:val="006B3B34"/>
    <w:rsid w:val="006C14A6"/>
    <w:rsid w:val="006C1ADA"/>
    <w:rsid w:val="006C1FFF"/>
    <w:rsid w:val="007048E1"/>
    <w:rsid w:val="00723F8A"/>
    <w:rsid w:val="00726D95"/>
    <w:rsid w:val="007318F5"/>
    <w:rsid w:val="00750795"/>
    <w:rsid w:val="00750E20"/>
    <w:rsid w:val="00760510"/>
    <w:rsid w:val="00763B06"/>
    <w:rsid w:val="00765C1E"/>
    <w:rsid w:val="00783CD6"/>
    <w:rsid w:val="007C1AB9"/>
    <w:rsid w:val="007F3371"/>
    <w:rsid w:val="007F3E33"/>
    <w:rsid w:val="00812354"/>
    <w:rsid w:val="00816177"/>
    <w:rsid w:val="00844A9F"/>
    <w:rsid w:val="00846016"/>
    <w:rsid w:val="0084752B"/>
    <w:rsid w:val="00851FED"/>
    <w:rsid w:val="00854A77"/>
    <w:rsid w:val="00883C77"/>
    <w:rsid w:val="00886FB1"/>
    <w:rsid w:val="008A738A"/>
    <w:rsid w:val="008C2F31"/>
    <w:rsid w:val="008D6E15"/>
    <w:rsid w:val="008F6790"/>
    <w:rsid w:val="008F7DE0"/>
    <w:rsid w:val="00910981"/>
    <w:rsid w:val="009323BA"/>
    <w:rsid w:val="0093458D"/>
    <w:rsid w:val="009536E5"/>
    <w:rsid w:val="00967A86"/>
    <w:rsid w:val="009769B5"/>
    <w:rsid w:val="00983435"/>
    <w:rsid w:val="009A07FB"/>
    <w:rsid w:val="009A7FE1"/>
    <w:rsid w:val="009B79AF"/>
    <w:rsid w:val="009E1232"/>
    <w:rsid w:val="009E1726"/>
    <w:rsid w:val="00A01688"/>
    <w:rsid w:val="00A058E7"/>
    <w:rsid w:val="00A079D8"/>
    <w:rsid w:val="00A16433"/>
    <w:rsid w:val="00A17111"/>
    <w:rsid w:val="00A236C0"/>
    <w:rsid w:val="00A463D4"/>
    <w:rsid w:val="00A51CE1"/>
    <w:rsid w:val="00A60CDD"/>
    <w:rsid w:val="00A96681"/>
    <w:rsid w:val="00AA03BB"/>
    <w:rsid w:val="00AC12A7"/>
    <w:rsid w:val="00B0095B"/>
    <w:rsid w:val="00B00979"/>
    <w:rsid w:val="00B156E4"/>
    <w:rsid w:val="00B217F0"/>
    <w:rsid w:val="00B41CFC"/>
    <w:rsid w:val="00BA031E"/>
    <w:rsid w:val="00BB4D2B"/>
    <w:rsid w:val="00BC1E21"/>
    <w:rsid w:val="00BC532C"/>
    <w:rsid w:val="00BD1C63"/>
    <w:rsid w:val="00BD4CA4"/>
    <w:rsid w:val="00BE1E21"/>
    <w:rsid w:val="00BF7C1F"/>
    <w:rsid w:val="00C23F08"/>
    <w:rsid w:val="00C23F88"/>
    <w:rsid w:val="00C24509"/>
    <w:rsid w:val="00C31008"/>
    <w:rsid w:val="00C4008B"/>
    <w:rsid w:val="00C72D50"/>
    <w:rsid w:val="00C80918"/>
    <w:rsid w:val="00C905CA"/>
    <w:rsid w:val="00C90BF1"/>
    <w:rsid w:val="00C94EE1"/>
    <w:rsid w:val="00CB510C"/>
    <w:rsid w:val="00CB6502"/>
    <w:rsid w:val="00CB6FFB"/>
    <w:rsid w:val="00CC71E3"/>
    <w:rsid w:val="00CD1590"/>
    <w:rsid w:val="00CD1C7C"/>
    <w:rsid w:val="00D839C5"/>
    <w:rsid w:val="00DB7389"/>
    <w:rsid w:val="00DD637B"/>
    <w:rsid w:val="00DF2515"/>
    <w:rsid w:val="00DF5AE0"/>
    <w:rsid w:val="00DF636E"/>
    <w:rsid w:val="00E15A6C"/>
    <w:rsid w:val="00E31D3A"/>
    <w:rsid w:val="00E62802"/>
    <w:rsid w:val="00E93CD1"/>
    <w:rsid w:val="00EA25C3"/>
    <w:rsid w:val="00EA3291"/>
    <w:rsid w:val="00EB6890"/>
    <w:rsid w:val="00ED627E"/>
    <w:rsid w:val="00EE1D07"/>
    <w:rsid w:val="00F01DC6"/>
    <w:rsid w:val="00F24644"/>
    <w:rsid w:val="00F478B0"/>
    <w:rsid w:val="00F633E6"/>
    <w:rsid w:val="00F63E82"/>
    <w:rsid w:val="00F90EF6"/>
    <w:rsid w:val="00F95799"/>
    <w:rsid w:val="00F9737D"/>
    <w:rsid w:val="00FA3FBC"/>
    <w:rsid w:val="00FE7A21"/>
    <w:rsid w:val="00FF1F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7B3C"/>
  <w15:docId w15:val="{7DD7B30E-7DCC-44E1-9025-62F29546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6"/>
        <w:szCs w:val="22"/>
        <w:lang w:val="es-CO"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54A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54A77"/>
    <w:pPr>
      <w:keepNext/>
      <w:keepLines/>
      <w:spacing w:before="40"/>
      <w:outlineLvl w:val="1"/>
    </w:pPr>
    <w:rPr>
      <w:rFonts w:asciiTheme="majorHAnsi" w:eastAsiaTheme="majorEastAsia" w:hAnsiTheme="majorHAnsi" w:cstheme="majorBidi"/>
      <w:color w:val="2F5496" w:themeColor="accent1" w:themeShade="BF"/>
      <w:szCs w:val="26"/>
    </w:rPr>
  </w:style>
  <w:style w:type="paragraph" w:styleId="Ttulo3">
    <w:name w:val="heading 3"/>
    <w:basedOn w:val="Normal"/>
    <w:next w:val="Normal"/>
    <w:link w:val="Ttulo3Car"/>
    <w:uiPriority w:val="9"/>
    <w:semiHidden/>
    <w:unhideWhenUsed/>
    <w:qFormat/>
    <w:rsid w:val="0015154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7C1AB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40EB"/>
    <w:pPr>
      <w:ind w:left="720"/>
      <w:contextualSpacing/>
    </w:pPr>
  </w:style>
  <w:style w:type="paragraph" w:styleId="Textodeglobo">
    <w:name w:val="Balloon Text"/>
    <w:basedOn w:val="Normal"/>
    <w:link w:val="TextodegloboCar"/>
    <w:uiPriority w:val="99"/>
    <w:semiHidden/>
    <w:unhideWhenUsed/>
    <w:rsid w:val="0075079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795"/>
    <w:rPr>
      <w:rFonts w:ascii="Segoe UI" w:hAnsi="Segoe UI" w:cs="Segoe UI"/>
      <w:sz w:val="18"/>
      <w:szCs w:val="18"/>
    </w:rPr>
  </w:style>
  <w:style w:type="paragraph" w:styleId="Sangradetextonormal">
    <w:name w:val="Body Text Indent"/>
    <w:basedOn w:val="Normal"/>
    <w:link w:val="SangradetextonormalCar"/>
    <w:uiPriority w:val="99"/>
    <w:semiHidden/>
    <w:unhideWhenUsed/>
    <w:rsid w:val="00750795"/>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semiHidden/>
    <w:rsid w:val="00750795"/>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50795"/>
    <w:pPr>
      <w:spacing w:line="360" w:lineRule="auto"/>
      <w:jc w:val="both"/>
    </w:pPr>
    <w:rPr>
      <w:rFonts w:ascii="Arial" w:eastAsia="Times New Roman" w:hAnsi="Arial" w:cs="Times New Roman"/>
      <w:sz w:val="24"/>
      <w:szCs w:val="20"/>
      <w:lang w:val="es-ES_tradnl" w:eastAsia="es-ES"/>
    </w:rPr>
  </w:style>
  <w:style w:type="paragraph" w:styleId="Sinespaciado">
    <w:name w:val="No Spacing"/>
    <w:uiPriority w:val="1"/>
    <w:qFormat/>
    <w:rsid w:val="00750795"/>
    <w:pPr>
      <w:spacing w:line="240" w:lineRule="auto"/>
    </w:pPr>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unhideWhenUsed/>
    <w:rsid w:val="006131FC"/>
    <w:pPr>
      <w:spacing w:after="12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6131FC"/>
    <w:rPr>
      <w:rFonts w:ascii="Times New Roman" w:eastAsia="Times New Roman" w:hAnsi="Times New Roman" w:cs="Times New Roman"/>
      <w:sz w:val="24"/>
      <w:szCs w:val="20"/>
      <w:lang w:val="es-ES_tradnl" w:eastAsia="es-ES"/>
    </w:rPr>
  </w:style>
  <w:style w:type="character" w:styleId="Refdenotaalpie">
    <w:name w:val="footnote reference"/>
    <w:aliases w:val="texto de nota al pie Car Car Car2,Texto de nota al pie,referencia nota al pie,Ref,de nota al pie,Footnotes refss,Appel note de bas de page,Fago Fußnotenzeichen,Nota a pie,Ref. de nota al pie 2,Footnote symbol,Footnote,R"/>
    <w:uiPriority w:val="99"/>
    <w:unhideWhenUsed/>
    <w:rsid w:val="006131FC"/>
    <w:rPr>
      <w:vertAlign w:val="superscript"/>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
    <w:basedOn w:val="Normal"/>
    <w:link w:val="TextonotapieCar"/>
    <w:uiPriority w:val="99"/>
    <w:unhideWhenUsed/>
    <w:qFormat/>
    <w:rsid w:val="006131FC"/>
    <w:pPr>
      <w:spacing w:line="240" w:lineRule="auto"/>
    </w:pPr>
    <w:rPr>
      <w:sz w:val="20"/>
      <w:szCs w:val="20"/>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rsid w:val="006131FC"/>
    <w:rPr>
      <w:sz w:val="20"/>
      <w:szCs w:val="20"/>
    </w:rPr>
  </w:style>
  <w:style w:type="paragraph" w:styleId="NormalWeb">
    <w:name w:val="Normal (Web)"/>
    <w:basedOn w:val="Normal"/>
    <w:uiPriority w:val="99"/>
    <w:unhideWhenUsed/>
    <w:rsid w:val="006C1FF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723F8A"/>
    <w:pPr>
      <w:spacing w:after="200" w:line="276" w:lineRule="auto"/>
      <w:ind w:left="720"/>
      <w:contextualSpacing/>
    </w:pPr>
    <w:rPr>
      <w:rFonts w:ascii="Calibri" w:eastAsia="Times New Roman" w:hAnsi="Calibri" w:cs="Times New Roman"/>
      <w:sz w:val="22"/>
    </w:rPr>
  </w:style>
  <w:style w:type="paragraph" w:styleId="Encabezado">
    <w:name w:val="header"/>
    <w:basedOn w:val="Normal"/>
    <w:link w:val="EncabezadoCar"/>
    <w:uiPriority w:val="99"/>
    <w:unhideWhenUsed/>
    <w:rsid w:val="006A3DC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A3DC2"/>
  </w:style>
  <w:style w:type="paragraph" w:styleId="Piedepgina">
    <w:name w:val="footer"/>
    <w:basedOn w:val="Normal"/>
    <w:link w:val="PiedepginaCar"/>
    <w:uiPriority w:val="99"/>
    <w:unhideWhenUsed/>
    <w:rsid w:val="006A3DC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A3DC2"/>
  </w:style>
  <w:style w:type="character" w:customStyle="1" w:styleId="Ttulo1Car">
    <w:name w:val="Título 1 Car"/>
    <w:basedOn w:val="Fuentedeprrafopredeter"/>
    <w:link w:val="Ttulo1"/>
    <w:uiPriority w:val="9"/>
    <w:rsid w:val="00854A7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54A77"/>
    <w:rPr>
      <w:rFonts w:asciiTheme="majorHAnsi" w:eastAsiaTheme="majorEastAsia" w:hAnsiTheme="majorHAnsi" w:cstheme="majorBidi"/>
      <w:color w:val="2F5496" w:themeColor="accent1" w:themeShade="BF"/>
      <w:szCs w:val="26"/>
    </w:rPr>
  </w:style>
  <w:style w:type="paragraph" w:styleId="Textoindependienteprimerasangra2">
    <w:name w:val="Body Text First Indent 2"/>
    <w:basedOn w:val="Sangradetextonormal"/>
    <w:link w:val="Textoindependienteprimerasangra2Car"/>
    <w:uiPriority w:val="99"/>
    <w:unhideWhenUsed/>
    <w:rsid w:val="00854A77"/>
    <w:pPr>
      <w:spacing w:after="0" w:line="312" w:lineRule="auto"/>
      <w:ind w:left="360" w:firstLine="360"/>
    </w:pPr>
    <w:rPr>
      <w:rFonts w:ascii="Arial Narrow" w:eastAsiaTheme="minorHAnsi" w:hAnsi="Arial Narrow" w:cstheme="minorBidi"/>
      <w:sz w:val="26"/>
      <w:szCs w:val="22"/>
      <w:lang w:val="es-CO" w:eastAsia="en-US"/>
    </w:rPr>
  </w:style>
  <w:style w:type="character" w:customStyle="1" w:styleId="Textoindependienteprimerasangra2Car">
    <w:name w:val="Texto independiente primera sangría 2 Car"/>
    <w:basedOn w:val="SangradetextonormalCar"/>
    <w:link w:val="Textoindependienteprimerasangra2"/>
    <w:uiPriority w:val="99"/>
    <w:rsid w:val="00854A77"/>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uiPriority w:val="9"/>
    <w:semiHidden/>
    <w:rsid w:val="00151546"/>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7C1AB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D2EF8-7BDC-48BD-9933-C5ED646D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3109</Words>
  <Characters>17102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L.Patty Ech.Granada</dc:creator>
  <cp:lastModifiedBy>Henry Lora Rodriguez</cp:lastModifiedBy>
  <cp:revision>8</cp:revision>
  <cp:lastPrinted>2019-11-07T20:29:00Z</cp:lastPrinted>
  <dcterms:created xsi:type="dcterms:W3CDTF">2019-11-18T20:41:00Z</dcterms:created>
  <dcterms:modified xsi:type="dcterms:W3CDTF">2020-01-15T17:04:00Z</dcterms:modified>
</cp:coreProperties>
</file>