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F975" w14:textId="77777777" w:rsidR="008932A3" w:rsidRPr="008932A3" w:rsidRDefault="008932A3" w:rsidP="008932A3">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bookmarkStart w:id="0" w:name="_GoBack"/>
      <w:bookmarkEnd w:id="0"/>
      <w:r w:rsidRPr="008932A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CCC5D0" w14:textId="77777777" w:rsidR="008932A3" w:rsidRPr="008932A3" w:rsidRDefault="008932A3" w:rsidP="008932A3">
      <w:pPr>
        <w:spacing w:line="240" w:lineRule="auto"/>
        <w:jc w:val="both"/>
        <w:rPr>
          <w:rFonts w:ascii="Arial" w:eastAsia="Times New Roman" w:hAnsi="Arial" w:cs="Arial"/>
          <w:sz w:val="20"/>
          <w:szCs w:val="20"/>
          <w:lang w:val="es-419" w:eastAsia="es-ES"/>
        </w:rPr>
      </w:pPr>
    </w:p>
    <w:p w14:paraId="63EA5997" w14:textId="54D3C20B" w:rsidR="008932A3" w:rsidRPr="008932A3" w:rsidRDefault="008932A3" w:rsidP="008932A3">
      <w:pPr>
        <w:spacing w:line="240" w:lineRule="auto"/>
        <w:jc w:val="both"/>
        <w:rPr>
          <w:rFonts w:ascii="Arial" w:eastAsia="Times New Roman" w:hAnsi="Arial" w:cs="Arial"/>
          <w:sz w:val="20"/>
          <w:szCs w:val="20"/>
          <w:lang w:val="es-419" w:eastAsia="es-ES"/>
        </w:rPr>
      </w:pPr>
      <w:r w:rsidRPr="008932A3">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8932A3">
        <w:rPr>
          <w:rFonts w:ascii="Arial" w:eastAsia="Times New Roman" w:hAnsi="Arial" w:cs="Arial"/>
          <w:sz w:val="20"/>
          <w:szCs w:val="20"/>
          <w:lang w:val="es-419" w:eastAsia="es-ES"/>
        </w:rPr>
        <w:tab/>
        <w:t xml:space="preserve">Sentencia de Segunda Instancia </w:t>
      </w:r>
    </w:p>
    <w:p w14:paraId="307BF456" w14:textId="5AC7FC28" w:rsidR="008932A3" w:rsidRPr="008932A3" w:rsidRDefault="008932A3" w:rsidP="008932A3">
      <w:pPr>
        <w:spacing w:line="240" w:lineRule="auto"/>
        <w:jc w:val="both"/>
        <w:rPr>
          <w:rFonts w:ascii="Arial" w:eastAsia="Times New Roman" w:hAnsi="Arial" w:cs="Arial"/>
          <w:sz w:val="20"/>
          <w:szCs w:val="20"/>
          <w:lang w:val="es-419" w:eastAsia="es-ES"/>
        </w:rPr>
      </w:pPr>
      <w:r w:rsidRPr="008932A3">
        <w:rPr>
          <w:rFonts w:ascii="Arial" w:eastAsia="Times New Roman" w:hAnsi="Arial" w:cs="Arial"/>
          <w:sz w:val="20"/>
          <w:szCs w:val="20"/>
          <w:lang w:val="es-419" w:eastAsia="es-ES"/>
        </w:rPr>
        <w:t>Radicado:</w:t>
      </w:r>
      <w:r w:rsidRPr="008932A3">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932A3">
        <w:rPr>
          <w:rFonts w:ascii="Arial" w:eastAsia="Times New Roman" w:hAnsi="Arial" w:cs="Arial"/>
          <w:sz w:val="20"/>
          <w:szCs w:val="20"/>
          <w:lang w:val="es-419" w:eastAsia="es-ES"/>
        </w:rPr>
        <w:t>66001-31-05-003-2017-00381-01</w:t>
      </w:r>
    </w:p>
    <w:p w14:paraId="1E595219" w14:textId="45217468" w:rsidR="008932A3" w:rsidRPr="008932A3" w:rsidRDefault="008932A3" w:rsidP="008932A3">
      <w:pPr>
        <w:spacing w:line="240" w:lineRule="auto"/>
        <w:jc w:val="both"/>
        <w:rPr>
          <w:rFonts w:ascii="Arial" w:eastAsia="Times New Roman" w:hAnsi="Arial" w:cs="Arial"/>
          <w:sz w:val="20"/>
          <w:szCs w:val="20"/>
          <w:lang w:val="es-419" w:eastAsia="es-ES"/>
        </w:rPr>
      </w:pPr>
      <w:r w:rsidRPr="008932A3">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8932A3">
        <w:rPr>
          <w:rFonts w:ascii="Arial" w:eastAsia="Times New Roman" w:hAnsi="Arial" w:cs="Arial"/>
          <w:sz w:val="20"/>
          <w:szCs w:val="20"/>
          <w:lang w:val="es-419" w:eastAsia="es-ES"/>
        </w:rPr>
        <w:tab/>
        <w:t>Ordinario Laboral</w:t>
      </w:r>
    </w:p>
    <w:p w14:paraId="63AF4E2A" w14:textId="2F7B8682" w:rsidR="008932A3" w:rsidRPr="008932A3" w:rsidRDefault="008932A3" w:rsidP="008932A3">
      <w:pPr>
        <w:spacing w:line="240" w:lineRule="auto"/>
        <w:jc w:val="both"/>
        <w:rPr>
          <w:rFonts w:ascii="Arial" w:eastAsia="Times New Roman" w:hAnsi="Arial" w:cs="Arial"/>
          <w:sz w:val="20"/>
          <w:szCs w:val="20"/>
          <w:lang w:val="es-419" w:eastAsia="es-ES"/>
        </w:rPr>
      </w:pPr>
      <w:r w:rsidRPr="008932A3">
        <w:rPr>
          <w:rFonts w:ascii="Arial" w:eastAsia="Times New Roman" w:hAnsi="Arial" w:cs="Arial"/>
          <w:sz w:val="20"/>
          <w:szCs w:val="20"/>
          <w:lang w:val="es-419" w:eastAsia="es-ES"/>
        </w:rPr>
        <w:t>Demandante:</w:t>
      </w:r>
      <w:r w:rsidRPr="008932A3">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932A3">
        <w:rPr>
          <w:rFonts w:ascii="Arial" w:eastAsia="Times New Roman" w:hAnsi="Arial" w:cs="Arial"/>
          <w:sz w:val="20"/>
          <w:szCs w:val="20"/>
          <w:lang w:val="es-419" w:eastAsia="es-ES"/>
        </w:rPr>
        <w:t>Germán García García</w:t>
      </w:r>
    </w:p>
    <w:p w14:paraId="57568D3A" w14:textId="30E40311" w:rsidR="008932A3" w:rsidRPr="008932A3" w:rsidRDefault="008932A3" w:rsidP="008932A3">
      <w:pPr>
        <w:spacing w:line="240" w:lineRule="auto"/>
        <w:jc w:val="both"/>
        <w:rPr>
          <w:rFonts w:ascii="Arial" w:eastAsia="Times New Roman" w:hAnsi="Arial" w:cs="Arial"/>
          <w:sz w:val="20"/>
          <w:szCs w:val="20"/>
          <w:lang w:val="es-419" w:eastAsia="es-ES"/>
        </w:rPr>
      </w:pPr>
      <w:r w:rsidRPr="008932A3">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8932A3">
        <w:rPr>
          <w:rFonts w:ascii="Arial" w:eastAsia="Times New Roman" w:hAnsi="Arial" w:cs="Arial"/>
          <w:sz w:val="20"/>
          <w:szCs w:val="20"/>
          <w:lang w:val="es-419" w:eastAsia="es-ES"/>
        </w:rPr>
        <w:tab/>
        <w:t>Municipio de Pereira</w:t>
      </w:r>
    </w:p>
    <w:p w14:paraId="02CD7AE8" w14:textId="2E74E075" w:rsidR="008932A3" w:rsidRPr="008932A3" w:rsidRDefault="008932A3" w:rsidP="008932A3">
      <w:pPr>
        <w:spacing w:line="240" w:lineRule="auto"/>
        <w:jc w:val="both"/>
        <w:rPr>
          <w:rFonts w:ascii="Arial" w:eastAsia="Times New Roman" w:hAnsi="Arial" w:cs="Arial"/>
          <w:sz w:val="20"/>
          <w:szCs w:val="20"/>
          <w:lang w:val="es-419" w:eastAsia="es-ES"/>
        </w:rPr>
      </w:pPr>
      <w:r w:rsidRPr="008932A3">
        <w:rPr>
          <w:rFonts w:ascii="Arial" w:eastAsia="Times New Roman" w:hAnsi="Arial" w:cs="Arial"/>
          <w:sz w:val="20"/>
          <w:szCs w:val="20"/>
          <w:lang w:val="es-419" w:eastAsia="es-ES"/>
        </w:rPr>
        <w:t>Juzgado de Origen:</w:t>
      </w:r>
      <w:r w:rsidRPr="008932A3">
        <w:rPr>
          <w:rFonts w:ascii="Arial" w:eastAsia="Times New Roman" w:hAnsi="Arial" w:cs="Arial"/>
          <w:sz w:val="20"/>
          <w:szCs w:val="20"/>
          <w:lang w:val="es-419" w:eastAsia="es-ES"/>
        </w:rPr>
        <w:tab/>
        <w:t>Tercero Laboral del Circuito</w:t>
      </w:r>
    </w:p>
    <w:p w14:paraId="1FF0CE8E" w14:textId="77777777" w:rsidR="008932A3" w:rsidRPr="008932A3" w:rsidRDefault="008932A3" w:rsidP="008932A3">
      <w:pPr>
        <w:spacing w:line="240" w:lineRule="auto"/>
        <w:jc w:val="both"/>
        <w:rPr>
          <w:rFonts w:ascii="Arial" w:eastAsia="Times New Roman" w:hAnsi="Arial" w:cs="Arial"/>
          <w:sz w:val="20"/>
          <w:szCs w:val="20"/>
          <w:lang w:val="es-419" w:eastAsia="es-ES"/>
        </w:rPr>
      </w:pPr>
    </w:p>
    <w:p w14:paraId="1BF477D3" w14:textId="0D38455E" w:rsidR="00A1383A" w:rsidRPr="00A1383A" w:rsidRDefault="008932A3" w:rsidP="00A1383A">
      <w:pPr>
        <w:spacing w:line="240" w:lineRule="auto"/>
        <w:jc w:val="both"/>
        <w:rPr>
          <w:rFonts w:ascii="Arial" w:eastAsia="Times New Roman" w:hAnsi="Arial" w:cs="Arial"/>
          <w:b/>
          <w:bCs/>
          <w:iCs/>
          <w:sz w:val="20"/>
          <w:szCs w:val="20"/>
          <w:lang w:eastAsia="fr-FR"/>
        </w:rPr>
      </w:pPr>
      <w:r w:rsidRPr="008932A3">
        <w:rPr>
          <w:rFonts w:ascii="Arial" w:eastAsia="Times New Roman" w:hAnsi="Arial" w:cs="Arial"/>
          <w:b/>
          <w:bCs/>
          <w:iCs/>
          <w:sz w:val="20"/>
          <w:szCs w:val="20"/>
          <w:u w:val="single"/>
          <w:lang w:val="es-419" w:eastAsia="fr-FR"/>
        </w:rPr>
        <w:t>TEMAS:</w:t>
      </w:r>
      <w:r w:rsidRPr="008932A3">
        <w:rPr>
          <w:rFonts w:ascii="Arial" w:eastAsia="Times New Roman" w:hAnsi="Arial" w:cs="Arial"/>
          <w:b/>
          <w:bCs/>
          <w:iCs/>
          <w:sz w:val="20"/>
          <w:szCs w:val="20"/>
          <w:lang w:val="es-419" w:eastAsia="fr-FR"/>
        </w:rPr>
        <w:tab/>
      </w:r>
      <w:r w:rsidR="00A1383A" w:rsidRPr="00A1383A">
        <w:rPr>
          <w:rFonts w:ascii="Arial" w:eastAsia="Times New Roman" w:hAnsi="Arial" w:cs="Arial"/>
          <w:b/>
          <w:sz w:val="20"/>
          <w:szCs w:val="20"/>
          <w:lang w:val="es-419" w:eastAsia="es-ES"/>
        </w:rPr>
        <w:t xml:space="preserve">PRIMACIA DE LA REALIDAD </w:t>
      </w:r>
      <w:r w:rsidR="00A1383A" w:rsidRPr="00A1383A">
        <w:rPr>
          <w:rFonts w:ascii="Arial" w:eastAsia="Times New Roman" w:hAnsi="Arial" w:cs="Arial"/>
          <w:b/>
          <w:sz w:val="20"/>
          <w:szCs w:val="20"/>
          <w:lang w:eastAsia="es-ES"/>
        </w:rPr>
        <w:t xml:space="preserve">/ DEFINICIÓN DEL PRINCIPIO / </w:t>
      </w:r>
      <w:r w:rsidR="00A1383A" w:rsidRPr="00A1383A">
        <w:rPr>
          <w:rFonts w:ascii="Arial" w:eastAsia="Times New Roman" w:hAnsi="Arial" w:cs="Arial"/>
          <w:b/>
          <w:sz w:val="20"/>
          <w:szCs w:val="20"/>
          <w:lang w:val="es-419" w:eastAsia="es-ES"/>
        </w:rPr>
        <w:t xml:space="preserve">CONTRATO DE PRESTACION DE SERVICIOS / </w:t>
      </w:r>
      <w:r w:rsidR="00A1383A" w:rsidRPr="00A1383A">
        <w:rPr>
          <w:rFonts w:ascii="Arial" w:eastAsia="Times New Roman" w:hAnsi="Arial" w:cs="Arial"/>
          <w:b/>
          <w:sz w:val="20"/>
          <w:szCs w:val="20"/>
          <w:lang w:eastAsia="es-ES"/>
        </w:rPr>
        <w:t xml:space="preserve">LO DIFERENCIA DEL CONTRATO DE TRABAJO LA SUBORDINACIÓN QUE EXISTE EN ESTE ÚLTIMO / CASO, </w:t>
      </w:r>
      <w:r w:rsidR="00A1383A" w:rsidRPr="00A1383A">
        <w:rPr>
          <w:rFonts w:ascii="Arial" w:eastAsia="Times New Roman" w:hAnsi="Arial" w:cs="Arial"/>
          <w:b/>
          <w:sz w:val="20"/>
          <w:szCs w:val="20"/>
          <w:lang w:val="es-419" w:eastAsia="es-ES"/>
        </w:rPr>
        <w:t xml:space="preserve">TRABAJADORES OFICIALES </w:t>
      </w:r>
      <w:r w:rsidR="00A1383A" w:rsidRPr="00A1383A">
        <w:rPr>
          <w:rFonts w:ascii="Arial" w:eastAsia="Times New Roman" w:hAnsi="Arial" w:cs="Arial"/>
          <w:b/>
          <w:bCs/>
          <w:iCs/>
          <w:sz w:val="20"/>
          <w:szCs w:val="20"/>
          <w:lang w:val="es-419" w:eastAsia="fr-FR"/>
        </w:rPr>
        <w:t>/ INDEMNIZACIÓN MORATORIA POR FALTA DE PAGO</w:t>
      </w:r>
      <w:r w:rsidR="009B3C05">
        <w:rPr>
          <w:rFonts w:ascii="Arial" w:eastAsia="Times New Roman" w:hAnsi="Arial" w:cs="Arial"/>
          <w:b/>
          <w:bCs/>
          <w:iCs/>
          <w:sz w:val="20"/>
          <w:szCs w:val="20"/>
          <w:lang w:eastAsia="fr-FR"/>
        </w:rPr>
        <w:t xml:space="preserve"> / SE CAUSA, RESPECTO DE ENTIDADES PÚBLICAS, CORRIDOS 90 DÍAS DESDE LA TERMINACIÓN DEL VÍNCULO LABORAL.</w:t>
      </w:r>
    </w:p>
    <w:p w14:paraId="0CA58C9B" w14:textId="77777777" w:rsidR="00A1383A" w:rsidRPr="00A1383A" w:rsidRDefault="00A1383A" w:rsidP="00A1383A">
      <w:pPr>
        <w:spacing w:line="240" w:lineRule="auto"/>
        <w:jc w:val="both"/>
        <w:rPr>
          <w:rFonts w:ascii="Arial" w:eastAsia="Times New Roman" w:hAnsi="Arial" w:cs="Arial"/>
          <w:sz w:val="20"/>
          <w:szCs w:val="20"/>
          <w:lang w:val="es-419" w:eastAsia="es-ES"/>
        </w:rPr>
      </w:pPr>
    </w:p>
    <w:p w14:paraId="460FDD91" w14:textId="77777777" w:rsidR="00A1383A" w:rsidRPr="00A1383A" w:rsidRDefault="00A1383A" w:rsidP="00A1383A">
      <w:pPr>
        <w:spacing w:line="240" w:lineRule="auto"/>
        <w:jc w:val="both"/>
        <w:rPr>
          <w:rFonts w:ascii="Arial" w:eastAsia="Times New Roman" w:hAnsi="Arial" w:cs="Arial"/>
          <w:sz w:val="20"/>
          <w:szCs w:val="20"/>
          <w:lang w:val="es-419" w:eastAsia="es-ES"/>
        </w:rPr>
      </w:pPr>
      <w:r w:rsidRPr="00A1383A">
        <w:rPr>
          <w:rFonts w:ascii="Arial" w:eastAsia="Times New Roman" w:hAnsi="Arial" w:cs="Arial"/>
          <w:sz w:val="20"/>
          <w:szCs w:val="20"/>
          <w:lang w:val="es-419" w:eastAsia="es-ES"/>
        </w:rPr>
        <w:t>Existe en materia laboral un principio esencial, como lo es el de la primacía de la realidad sobre las formalidades, cuyo sustento se encuentra en el artículo 53 de la Carta Política y en virtud del cual, si en una relación determinada se reúnen los elementos que configuran o constituyen un contrato de trabajo, este primará sobre las formas porque la razón de ser de ese principio es justamente evitar el desconocimiento de los derechos de los trabajadores y la elusión de los deberes patronales, dando preponderancia a la realidad en que se ejecuta un servicio, sin importar la denominación que se le hubiera dado.</w:t>
      </w:r>
    </w:p>
    <w:p w14:paraId="69B3D38C" w14:textId="77777777" w:rsidR="00A1383A" w:rsidRPr="00A1383A" w:rsidRDefault="00A1383A" w:rsidP="00A1383A">
      <w:pPr>
        <w:spacing w:line="240" w:lineRule="auto"/>
        <w:jc w:val="both"/>
        <w:rPr>
          <w:rFonts w:ascii="Arial" w:eastAsia="Times New Roman" w:hAnsi="Arial" w:cs="Arial"/>
          <w:sz w:val="20"/>
          <w:szCs w:val="20"/>
          <w:lang w:val="es-419" w:eastAsia="es-ES"/>
        </w:rPr>
      </w:pPr>
    </w:p>
    <w:p w14:paraId="32C793D4" w14:textId="77777777" w:rsidR="00A1383A" w:rsidRPr="00A1383A" w:rsidRDefault="00A1383A" w:rsidP="00A1383A">
      <w:pPr>
        <w:spacing w:line="240" w:lineRule="auto"/>
        <w:jc w:val="both"/>
        <w:rPr>
          <w:rFonts w:ascii="Arial" w:eastAsia="Times New Roman" w:hAnsi="Arial" w:cs="Arial"/>
          <w:sz w:val="20"/>
          <w:szCs w:val="20"/>
          <w:lang w:val="es-419" w:eastAsia="es-ES"/>
        </w:rPr>
      </w:pPr>
      <w:r w:rsidRPr="00A1383A">
        <w:rPr>
          <w:rFonts w:ascii="Arial" w:eastAsia="Times New Roman" w:hAnsi="Arial" w:cs="Arial"/>
          <w:sz w:val="20"/>
          <w:szCs w:val="20"/>
          <w:lang w:val="es-419" w:eastAsia="es-ES"/>
        </w:rPr>
        <w:t>El contrato de trabajo, de conformidad con el artículo 1º de la Ley 6 de 1945, consiste en la prestación de un servicio en favor de otra, con total dependencia y subordinación. Esta última, es precisamente la esencial característica que diferencia el contrato de trabajo de cualquiera otro y consiste en la necesaria sujeción que existe entre quien presta el servicio personal y quien lo recibe</w:t>
      </w:r>
      <w:r w:rsidRPr="00A1383A">
        <w:rPr>
          <w:rFonts w:ascii="Arial" w:eastAsia="Times New Roman" w:hAnsi="Arial" w:cs="Arial"/>
          <w:sz w:val="20"/>
          <w:szCs w:val="20"/>
          <w:lang w:eastAsia="es-ES"/>
        </w:rPr>
        <w:t>…</w:t>
      </w:r>
    </w:p>
    <w:p w14:paraId="2D7EEA0F" w14:textId="77777777" w:rsidR="00A1383A" w:rsidRPr="00A1383A" w:rsidRDefault="00A1383A" w:rsidP="00A1383A">
      <w:pPr>
        <w:spacing w:line="240" w:lineRule="auto"/>
        <w:jc w:val="both"/>
        <w:rPr>
          <w:rFonts w:ascii="Arial" w:eastAsia="Times New Roman" w:hAnsi="Arial" w:cs="Arial"/>
          <w:sz w:val="20"/>
          <w:szCs w:val="20"/>
          <w:lang w:val="es-419" w:eastAsia="es-ES"/>
        </w:rPr>
      </w:pPr>
    </w:p>
    <w:p w14:paraId="78E60435" w14:textId="77777777" w:rsidR="00A1383A" w:rsidRPr="00A1383A" w:rsidRDefault="00A1383A" w:rsidP="00A1383A">
      <w:pPr>
        <w:spacing w:line="240" w:lineRule="auto"/>
        <w:jc w:val="both"/>
        <w:rPr>
          <w:rFonts w:ascii="Arial" w:eastAsia="Times New Roman" w:hAnsi="Arial" w:cs="Arial"/>
          <w:sz w:val="20"/>
          <w:szCs w:val="20"/>
          <w:lang w:eastAsia="es-ES"/>
        </w:rPr>
      </w:pPr>
      <w:r w:rsidRPr="00A1383A">
        <w:rPr>
          <w:rFonts w:ascii="Arial" w:eastAsia="Times New Roman" w:hAnsi="Arial" w:cs="Arial"/>
          <w:sz w:val="20"/>
          <w:szCs w:val="20"/>
          <w:lang w:val="es-419" w:eastAsia="es-ES"/>
        </w:rPr>
        <w:t>A contrario sensu, una relación regida por un contrato de prestación de servicios o una orden previa o cualquier otra figura análoga, necesariamente implica la independencia del contratista en la ejecución del objeto, más allá de la facultad que tiene el contratante de supervisar la labor. Esta independencia, se evidencia en que aquel puede determinar la intensidad horaria con la que se dedica a la labor, las herramientas a usar, el lugar de ejecución, siendo únicamente relevante el cumplimiento del objeto contratado. En materia estatal, tal forma de vinculación está regulada por el artículo 32 de la Ley 80 de 1993</w:t>
      </w:r>
      <w:r w:rsidRPr="00A1383A">
        <w:rPr>
          <w:rFonts w:ascii="Arial" w:eastAsia="Times New Roman" w:hAnsi="Arial" w:cs="Arial"/>
          <w:sz w:val="20"/>
          <w:szCs w:val="20"/>
          <w:lang w:eastAsia="es-ES"/>
        </w:rPr>
        <w:t>…</w:t>
      </w:r>
    </w:p>
    <w:p w14:paraId="329E9B09" w14:textId="0E5CDF70" w:rsidR="00A1383A" w:rsidRDefault="00A1383A" w:rsidP="008932A3">
      <w:pPr>
        <w:spacing w:line="240" w:lineRule="auto"/>
        <w:jc w:val="both"/>
        <w:rPr>
          <w:rFonts w:ascii="Arial" w:eastAsia="Times New Roman" w:hAnsi="Arial" w:cs="Arial"/>
          <w:sz w:val="20"/>
          <w:szCs w:val="20"/>
          <w:lang w:val="es-419" w:eastAsia="es-ES"/>
        </w:rPr>
      </w:pPr>
    </w:p>
    <w:p w14:paraId="0FA449CF" w14:textId="77777777" w:rsidR="008A53DC" w:rsidRPr="008A53DC" w:rsidRDefault="008A53DC" w:rsidP="008A53DC">
      <w:pPr>
        <w:spacing w:line="240" w:lineRule="auto"/>
        <w:jc w:val="both"/>
        <w:rPr>
          <w:rFonts w:ascii="Arial" w:eastAsia="Times New Roman" w:hAnsi="Arial" w:cs="Arial"/>
          <w:sz w:val="20"/>
          <w:szCs w:val="20"/>
          <w:lang w:val="es-419" w:eastAsia="es-ES"/>
        </w:rPr>
      </w:pPr>
      <w:r w:rsidRPr="008A53DC">
        <w:rPr>
          <w:rFonts w:ascii="Arial" w:eastAsia="Times New Roman" w:hAnsi="Arial" w:cs="Arial"/>
          <w:sz w:val="20"/>
          <w:szCs w:val="20"/>
          <w:lang w:val="es-419" w:eastAsia="es-ES"/>
        </w:rPr>
        <w:t>Con respecto a la indemnización moratoria, ha precisado la jurisprudencia que su imposición, establecida en el parágrafo 2º del artículo 1º del  Decreto 797 de 1949,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2CB04D69" w14:textId="77777777" w:rsidR="008A53DC" w:rsidRPr="008A53DC" w:rsidRDefault="008A53DC" w:rsidP="008A53DC">
      <w:pPr>
        <w:spacing w:line="240" w:lineRule="auto"/>
        <w:jc w:val="both"/>
        <w:rPr>
          <w:rFonts w:ascii="Arial" w:eastAsia="Times New Roman" w:hAnsi="Arial" w:cs="Arial"/>
          <w:sz w:val="20"/>
          <w:szCs w:val="20"/>
          <w:lang w:val="es-419" w:eastAsia="es-ES"/>
        </w:rPr>
      </w:pPr>
    </w:p>
    <w:p w14:paraId="1C249694" w14:textId="1A345D3B" w:rsidR="008A53DC" w:rsidRPr="00D6325C" w:rsidRDefault="008A53DC" w:rsidP="008A53DC">
      <w:pPr>
        <w:spacing w:line="240" w:lineRule="auto"/>
        <w:jc w:val="both"/>
        <w:rPr>
          <w:rFonts w:ascii="Arial" w:eastAsia="Times New Roman" w:hAnsi="Arial" w:cs="Arial"/>
          <w:sz w:val="20"/>
          <w:szCs w:val="20"/>
          <w:lang w:eastAsia="es-ES"/>
        </w:rPr>
      </w:pPr>
      <w:r w:rsidRPr="008A53DC">
        <w:rPr>
          <w:rFonts w:ascii="Arial" w:eastAsia="Times New Roman" w:hAnsi="Arial" w:cs="Arial"/>
          <w:sz w:val="20"/>
          <w:szCs w:val="20"/>
          <w:lang w:val="es-419" w:eastAsia="es-ES"/>
        </w:rPr>
        <w:t>En el caso objeto de estudio, bien se puede ver que las circunstancias que rodearon la relación entre el actor y la entidad demandada no daban para que la naturaleza del contrato fuera discutible, pues es evidente que la relación que existió entre las partes se torna de carácter netamente laboral, en razón a las actividades desarrolladas que denotan tareas propias de un trabajador oficial de planta del Municipio de Pereira, las cuales fueron ejecutadas bajo la continua dependencia y subordinación</w:t>
      </w:r>
      <w:r w:rsidR="00D6325C">
        <w:rPr>
          <w:rFonts w:ascii="Arial" w:eastAsia="Times New Roman" w:hAnsi="Arial" w:cs="Arial"/>
          <w:sz w:val="20"/>
          <w:szCs w:val="20"/>
          <w:lang w:eastAsia="es-ES"/>
        </w:rPr>
        <w:t>…</w:t>
      </w:r>
    </w:p>
    <w:p w14:paraId="0324A77E" w14:textId="77777777" w:rsidR="00A1383A" w:rsidRPr="008932A3" w:rsidRDefault="00A1383A" w:rsidP="008932A3">
      <w:pPr>
        <w:spacing w:line="240" w:lineRule="auto"/>
        <w:jc w:val="both"/>
        <w:rPr>
          <w:rFonts w:ascii="Arial" w:eastAsia="Times New Roman" w:hAnsi="Arial" w:cs="Arial"/>
          <w:sz w:val="20"/>
          <w:szCs w:val="20"/>
          <w:lang w:val="es-419" w:eastAsia="es-ES"/>
        </w:rPr>
      </w:pPr>
    </w:p>
    <w:p w14:paraId="5D849EFC" w14:textId="11086F1D" w:rsidR="00D6325C" w:rsidRPr="00D6325C" w:rsidRDefault="00D6325C" w:rsidP="00D6325C">
      <w:pPr>
        <w:spacing w:line="240" w:lineRule="auto"/>
        <w:jc w:val="both"/>
        <w:rPr>
          <w:rFonts w:ascii="Arial" w:eastAsia="Times New Roman" w:hAnsi="Arial" w:cs="Arial"/>
          <w:sz w:val="20"/>
          <w:szCs w:val="20"/>
          <w:lang w:val="es-419" w:eastAsia="es-ES"/>
        </w:rPr>
      </w:pPr>
      <w:r w:rsidRPr="00D6325C">
        <w:rPr>
          <w:rFonts w:ascii="Arial" w:eastAsia="Times New Roman" w:hAnsi="Arial" w:cs="Arial"/>
          <w:sz w:val="20"/>
          <w:szCs w:val="20"/>
          <w:lang w:val="es-419" w:eastAsia="es-ES"/>
        </w:rPr>
        <w:t>En cuanto a dicha sanción, esta Sala en sentencia del 14 de octubre de 2016 y en la reciente del 19 de julio de 2019 (rad. 2017-00584), precisa:</w:t>
      </w:r>
    </w:p>
    <w:p w14:paraId="43D41FEF" w14:textId="77777777" w:rsidR="00D6325C" w:rsidRPr="00D6325C" w:rsidRDefault="00D6325C" w:rsidP="00D6325C">
      <w:pPr>
        <w:spacing w:line="240" w:lineRule="auto"/>
        <w:jc w:val="both"/>
        <w:rPr>
          <w:rFonts w:ascii="Arial" w:eastAsia="Times New Roman" w:hAnsi="Arial" w:cs="Arial"/>
          <w:sz w:val="20"/>
          <w:szCs w:val="20"/>
          <w:lang w:val="es-419" w:eastAsia="es-ES"/>
        </w:rPr>
      </w:pPr>
    </w:p>
    <w:p w14:paraId="44FCE821" w14:textId="3C80E5A7" w:rsidR="008932A3" w:rsidRPr="008932A3" w:rsidRDefault="00D6325C" w:rsidP="00D6325C">
      <w:pPr>
        <w:spacing w:line="240" w:lineRule="auto"/>
        <w:jc w:val="both"/>
        <w:rPr>
          <w:rFonts w:ascii="Arial" w:eastAsia="Times New Roman" w:hAnsi="Arial" w:cs="Arial"/>
          <w:sz w:val="20"/>
          <w:szCs w:val="20"/>
          <w:lang w:val="es-419" w:eastAsia="es-ES"/>
        </w:rPr>
      </w:pPr>
      <w:r w:rsidRPr="00D6325C">
        <w:rPr>
          <w:rFonts w:ascii="Arial" w:eastAsia="Times New Roman" w:hAnsi="Arial" w:cs="Arial"/>
          <w:sz w:val="20"/>
          <w:szCs w:val="20"/>
          <w:lang w:val="es-419" w:eastAsia="es-ES"/>
        </w:rPr>
        <w:t>“…</w:t>
      </w:r>
      <w:r>
        <w:rPr>
          <w:rFonts w:ascii="Arial" w:eastAsia="Times New Roman" w:hAnsi="Arial" w:cs="Arial"/>
          <w:sz w:val="20"/>
          <w:szCs w:val="20"/>
          <w:lang w:eastAsia="es-ES"/>
        </w:rPr>
        <w:t xml:space="preserve"> </w:t>
      </w:r>
      <w:r w:rsidRPr="00D6325C">
        <w:rPr>
          <w:rFonts w:ascii="Arial" w:eastAsia="Times New Roman" w:hAnsi="Arial" w:cs="Arial"/>
          <w:sz w:val="20"/>
          <w:szCs w:val="20"/>
          <w:lang w:val="es-419" w:eastAsia="es-ES"/>
        </w:rPr>
        <w:t>la sanción moratoria tiene génesis una vez vencidos los 90 días de gracia con que cuentan las entidades públicas para pagar las acreencias laborales a su cargo, y que, a su vez, estos 90 días se cuentan a partir de la terminación del vínculo contractual”.</w:t>
      </w:r>
    </w:p>
    <w:p w14:paraId="35621DDE" w14:textId="77777777" w:rsidR="008932A3" w:rsidRPr="008932A3" w:rsidRDefault="008932A3" w:rsidP="008932A3">
      <w:pPr>
        <w:spacing w:line="240" w:lineRule="auto"/>
        <w:jc w:val="both"/>
        <w:rPr>
          <w:rFonts w:ascii="Arial" w:eastAsia="Times New Roman" w:hAnsi="Arial" w:cs="Arial"/>
          <w:sz w:val="20"/>
          <w:szCs w:val="20"/>
          <w:lang w:val="es-419" w:eastAsia="es-ES"/>
        </w:rPr>
      </w:pPr>
    </w:p>
    <w:p w14:paraId="1020AC5C" w14:textId="77777777" w:rsidR="008932A3" w:rsidRPr="008932A3" w:rsidRDefault="008932A3" w:rsidP="008932A3">
      <w:pPr>
        <w:spacing w:line="240" w:lineRule="auto"/>
        <w:jc w:val="both"/>
        <w:rPr>
          <w:rFonts w:ascii="Arial" w:eastAsia="Times New Roman" w:hAnsi="Arial" w:cs="Arial"/>
          <w:sz w:val="20"/>
          <w:szCs w:val="20"/>
          <w:lang w:val="es-ES" w:eastAsia="es-ES"/>
        </w:rPr>
      </w:pPr>
    </w:p>
    <w:p w14:paraId="50810FAD" w14:textId="77777777" w:rsidR="008932A3" w:rsidRPr="008932A3" w:rsidRDefault="008932A3" w:rsidP="008932A3">
      <w:pPr>
        <w:spacing w:line="240" w:lineRule="auto"/>
        <w:jc w:val="both"/>
        <w:rPr>
          <w:rFonts w:ascii="Arial" w:eastAsia="Times New Roman" w:hAnsi="Arial" w:cs="Arial"/>
          <w:sz w:val="20"/>
          <w:szCs w:val="20"/>
          <w:lang w:val="es-ES" w:eastAsia="es-ES"/>
        </w:rPr>
      </w:pPr>
    </w:p>
    <w:p w14:paraId="024339EA" w14:textId="77777777" w:rsidR="008932A3" w:rsidRPr="008932A3" w:rsidRDefault="008932A3" w:rsidP="008932A3">
      <w:pPr>
        <w:spacing w:line="240" w:lineRule="auto"/>
        <w:jc w:val="both"/>
        <w:rPr>
          <w:rFonts w:ascii="Arial" w:eastAsia="Times New Roman" w:hAnsi="Arial" w:cs="Arial"/>
          <w:sz w:val="20"/>
          <w:szCs w:val="20"/>
          <w:lang w:val="es-ES" w:eastAsia="es-ES"/>
        </w:rPr>
      </w:pPr>
    </w:p>
    <w:p w14:paraId="3ED21144" w14:textId="77777777" w:rsidR="008932A3" w:rsidRPr="008932A3" w:rsidRDefault="008932A3" w:rsidP="008932A3">
      <w:pPr>
        <w:keepNext/>
        <w:spacing w:line="276" w:lineRule="auto"/>
        <w:jc w:val="center"/>
        <w:outlineLvl w:val="2"/>
        <w:rPr>
          <w:rFonts w:eastAsia="Times New Roman" w:cs="Arial"/>
          <w:b/>
          <w:szCs w:val="26"/>
          <w:lang w:val="es-ES_tradnl" w:eastAsia="es-ES"/>
        </w:rPr>
      </w:pPr>
      <w:r w:rsidRPr="008932A3">
        <w:rPr>
          <w:rFonts w:eastAsia="Times New Roman" w:cs="Arial"/>
          <w:b/>
          <w:szCs w:val="26"/>
          <w:lang w:val="es-ES_tradnl" w:eastAsia="es-ES"/>
        </w:rPr>
        <w:t>TRIBUNAL SUPERIOR DEL DISTRITO JUDICIAL</w:t>
      </w:r>
    </w:p>
    <w:p w14:paraId="1BED3BBE" w14:textId="77777777" w:rsidR="008932A3" w:rsidRPr="008932A3" w:rsidRDefault="008932A3" w:rsidP="008932A3">
      <w:pPr>
        <w:spacing w:line="276" w:lineRule="auto"/>
        <w:jc w:val="center"/>
        <w:rPr>
          <w:rFonts w:eastAsia="Times New Roman" w:cs="Arial"/>
          <w:b/>
          <w:szCs w:val="26"/>
          <w:lang w:eastAsia="es-ES"/>
        </w:rPr>
      </w:pPr>
      <w:r w:rsidRPr="008932A3">
        <w:rPr>
          <w:rFonts w:eastAsia="Times New Roman" w:cs="Times New Roman"/>
          <w:b/>
          <w:spacing w:val="-3"/>
          <w:szCs w:val="26"/>
          <w:lang w:eastAsia="es-ES"/>
        </w:rPr>
        <w:object w:dxaOrig="3090" w:dyaOrig="3285" w14:anchorId="346C6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37483974" r:id="rId9"/>
        </w:object>
      </w:r>
    </w:p>
    <w:p w14:paraId="771999EC" w14:textId="77777777" w:rsidR="008932A3" w:rsidRPr="008932A3" w:rsidRDefault="008932A3" w:rsidP="008932A3">
      <w:pPr>
        <w:spacing w:line="276" w:lineRule="auto"/>
        <w:jc w:val="center"/>
        <w:rPr>
          <w:rFonts w:eastAsia="Times New Roman" w:cs="Arial"/>
          <w:b/>
          <w:szCs w:val="26"/>
          <w:lang w:eastAsia="es-ES"/>
        </w:rPr>
      </w:pPr>
      <w:r w:rsidRPr="008932A3">
        <w:rPr>
          <w:rFonts w:eastAsia="Times New Roman" w:cs="Arial"/>
          <w:b/>
          <w:szCs w:val="26"/>
          <w:lang w:eastAsia="es-ES"/>
        </w:rPr>
        <w:lastRenderedPageBreak/>
        <w:t>SALA CUARTA DE DECISIÓN LABORAL</w:t>
      </w:r>
    </w:p>
    <w:p w14:paraId="2C32F1E4" w14:textId="77777777" w:rsidR="008932A3" w:rsidRPr="008932A3" w:rsidRDefault="008932A3" w:rsidP="008932A3">
      <w:pPr>
        <w:spacing w:line="276" w:lineRule="auto"/>
        <w:jc w:val="center"/>
        <w:rPr>
          <w:rFonts w:eastAsia="Times New Roman" w:cs="Arial"/>
          <w:b/>
          <w:szCs w:val="26"/>
          <w:lang w:eastAsia="es-ES"/>
        </w:rPr>
      </w:pPr>
      <w:r w:rsidRPr="008932A3">
        <w:rPr>
          <w:rFonts w:eastAsia="Times New Roman" w:cs="Arial"/>
          <w:b/>
          <w:szCs w:val="26"/>
          <w:lang w:eastAsia="es-ES"/>
        </w:rPr>
        <w:t>PEREIRA</w:t>
      </w:r>
      <w:r w:rsidRPr="008932A3">
        <w:rPr>
          <w:rFonts w:eastAsia="Times New Roman" w:cs="Arial"/>
          <w:b/>
          <w:szCs w:val="26"/>
          <w:lang w:eastAsia="es-ES"/>
        </w:rPr>
        <w:tab/>
        <w:t>RISARALDA</w:t>
      </w:r>
    </w:p>
    <w:p w14:paraId="397674BF" w14:textId="77777777" w:rsidR="008932A3" w:rsidRPr="008932A3" w:rsidRDefault="008932A3" w:rsidP="008932A3">
      <w:pPr>
        <w:spacing w:line="276" w:lineRule="auto"/>
        <w:jc w:val="center"/>
        <w:rPr>
          <w:rFonts w:eastAsia="Times New Roman" w:cs="Arial"/>
          <w:szCs w:val="26"/>
          <w:lang w:val="es-ES_tradnl" w:eastAsia="es-ES"/>
        </w:rPr>
      </w:pPr>
    </w:p>
    <w:p w14:paraId="106990B7" w14:textId="77777777" w:rsidR="008932A3" w:rsidRPr="008932A3" w:rsidRDefault="008932A3" w:rsidP="008932A3">
      <w:pPr>
        <w:spacing w:line="276" w:lineRule="auto"/>
        <w:jc w:val="center"/>
        <w:rPr>
          <w:rFonts w:eastAsia="Times New Roman" w:cs="Arial"/>
          <w:b/>
          <w:szCs w:val="26"/>
          <w:lang w:val="es-ES_tradnl" w:eastAsia="es-ES"/>
        </w:rPr>
      </w:pPr>
      <w:r w:rsidRPr="008932A3">
        <w:rPr>
          <w:rFonts w:eastAsia="Times New Roman" w:cs="Arial"/>
          <w:b/>
          <w:szCs w:val="26"/>
          <w:lang w:val="es-ES_tradnl" w:eastAsia="es-ES"/>
        </w:rPr>
        <w:t>MAGISTRADO PONENTE: FRANCISCO JAVIER TAMAYO TABARES</w:t>
      </w:r>
    </w:p>
    <w:p w14:paraId="3CE18157" w14:textId="77777777" w:rsidR="008932A3" w:rsidRPr="008932A3" w:rsidRDefault="008932A3" w:rsidP="008932A3">
      <w:pPr>
        <w:spacing w:line="276" w:lineRule="auto"/>
        <w:rPr>
          <w:rFonts w:eastAsia="Times New Roman" w:cs="Times New Roman"/>
          <w:szCs w:val="26"/>
          <w:lang w:eastAsia="es-ES"/>
        </w:rPr>
      </w:pPr>
    </w:p>
    <w:p w14:paraId="55D6D556" w14:textId="0026E245" w:rsidR="00802942" w:rsidRPr="008932A3" w:rsidRDefault="00802942" w:rsidP="008932A3">
      <w:pPr>
        <w:spacing w:line="276" w:lineRule="auto"/>
        <w:jc w:val="both"/>
        <w:rPr>
          <w:szCs w:val="26"/>
        </w:rPr>
      </w:pPr>
      <w:r w:rsidRPr="008932A3">
        <w:rPr>
          <w:szCs w:val="26"/>
        </w:rPr>
        <w:t xml:space="preserve">En Pereira, hoy </w:t>
      </w:r>
      <w:r w:rsidR="00970739" w:rsidRPr="008932A3">
        <w:rPr>
          <w:szCs w:val="26"/>
        </w:rPr>
        <w:t xml:space="preserve">catorce </w:t>
      </w:r>
      <w:r w:rsidRPr="008932A3">
        <w:rPr>
          <w:szCs w:val="26"/>
        </w:rPr>
        <w:t>(</w:t>
      </w:r>
      <w:r w:rsidR="00970739" w:rsidRPr="008932A3">
        <w:rPr>
          <w:szCs w:val="26"/>
        </w:rPr>
        <w:t>14</w:t>
      </w:r>
      <w:r w:rsidRPr="008932A3">
        <w:rPr>
          <w:szCs w:val="26"/>
        </w:rPr>
        <w:t xml:space="preserve">) de </w:t>
      </w:r>
      <w:r w:rsidR="00970739" w:rsidRPr="008932A3">
        <w:rPr>
          <w:szCs w:val="26"/>
        </w:rPr>
        <w:t xml:space="preserve">noviembre </w:t>
      </w:r>
      <w:r w:rsidRPr="008932A3">
        <w:rPr>
          <w:szCs w:val="26"/>
        </w:rPr>
        <w:t>de dos mil diecinueve (2019), siendo las diez y treinta minutos de la mañana (10:30 a.m.) reunidos en la sala de audiencia los magistrados de la Sala Laboral del Tribunal de Pereira, presidido por el ponente, declaran formalmente abierto el acto, para decidir el recurso de apelación presentado por la demandada Municipio de Pereira</w:t>
      </w:r>
      <w:r w:rsidR="00B40E84" w:rsidRPr="008932A3">
        <w:rPr>
          <w:szCs w:val="26"/>
        </w:rPr>
        <w:t>, así como el grado jurisdiccional de consulta a favor de la entidad pública</w:t>
      </w:r>
      <w:r w:rsidRPr="008932A3">
        <w:rPr>
          <w:szCs w:val="26"/>
        </w:rPr>
        <w:t xml:space="preserve">, frente a la sentencia proferida el </w:t>
      </w:r>
      <w:r w:rsidR="00970739" w:rsidRPr="008932A3">
        <w:rPr>
          <w:szCs w:val="26"/>
        </w:rPr>
        <w:t xml:space="preserve">18 </w:t>
      </w:r>
      <w:r w:rsidRPr="008932A3">
        <w:rPr>
          <w:szCs w:val="26"/>
        </w:rPr>
        <w:t xml:space="preserve">de </w:t>
      </w:r>
      <w:r w:rsidR="00970739" w:rsidRPr="008932A3">
        <w:rPr>
          <w:szCs w:val="26"/>
        </w:rPr>
        <w:t xml:space="preserve">marzo </w:t>
      </w:r>
      <w:r w:rsidRPr="008932A3">
        <w:rPr>
          <w:szCs w:val="26"/>
        </w:rPr>
        <w:t xml:space="preserve">de 2019, por el Juzgado Tercero Laboral del Circuito de Pereira, dentro del Proceso Ordinario Laboral promovido por </w:t>
      </w:r>
      <w:r w:rsidR="00970739" w:rsidRPr="008932A3">
        <w:rPr>
          <w:b/>
          <w:bCs/>
          <w:szCs w:val="26"/>
        </w:rPr>
        <w:t xml:space="preserve">Germán García </w:t>
      </w:r>
      <w:proofErr w:type="spellStart"/>
      <w:r w:rsidR="00970739" w:rsidRPr="008932A3">
        <w:rPr>
          <w:b/>
          <w:bCs/>
          <w:szCs w:val="26"/>
        </w:rPr>
        <w:t>García</w:t>
      </w:r>
      <w:proofErr w:type="spellEnd"/>
      <w:r w:rsidR="00970739" w:rsidRPr="008932A3">
        <w:rPr>
          <w:b/>
          <w:bCs/>
          <w:szCs w:val="26"/>
        </w:rPr>
        <w:t xml:space="preserve"> </w:t>
      </w:r>
      <w:r w:rsidRPr="008932A3">
        <w:rPr>
          <w:szCs w:val="26"/>
        </w:rPr>
        <w:t xml:space="preserve">contra el </w:t>
      </w:r>
      <w:r w:rsidRPr="008932A3">
        <w:rPr>
          <w:b/>
          <w:bCs/>
          <w:szCs w:val="26"/>
        </w:rPr>
        <w:t>municipio de Pereira.</w:t>
      </w:r>
    </w:p>
    <w:p w14:paraId="2DC31C96" w14:textId="77777777" w:rsidR="00802942" w:rsidRPr="008932A3" w:rsidRDefault="00802942" w:rsidP="008932A3">
      <w:pPr>
        <w:tabs>
          <w:tab w:val="left" w:pos="851"/>
        </w:tabs>
        <w:spacing w:line="276" w:lineRule="auto"/>
        <w:jc w:val="both"/>
        <w:rPr>
          <w:szCs w:val="26"/>
        </w:rPr>
      </w:pPr>
    </w:p>
    <w:p w14:paraId="312C5FE3" w14:textId="60706A21" w:rsidR="00802942" w:rsidRPr="008932A3" w:rsidRDefault="001672E6" w:rsidP="008932A3">
      <w:pPr>
        <w:tabs>
          <w:tab w:val="left" w:pos="851"/>
        </w:tabs>
        <w:spacing w:line="276" w:lineRule="auto"/>
        <w:jc w:val="both"/>
        <w:rPr>
          <w:szCs w:val="26"/>
        </w:rPr>
      </w:pPr>
      <w:r w:rsidRPr="008932A3">
        <w:rPr>
          <w:b/>
          <w:bCs/>
          <w:szCs w:val="26"/>
        </w:rPr>
        <w:t>IDENTIFICACIÓN</w:t>
      </w:r>
      <w:r w:rsidR="00802942" w:rsidRPr="008932A3">
        <w:rPr>
          <w:b/>
          <w:bCs/>
          <w:szCs w:val="26"/>
        </w:rPr>
        <w:t xml:space="preserve"> DE LOS PRESENTE.</w:t>
      </w:r>
    </w:p>
    <w:p w14:paraId="0E67668D" w14:textId="77777777" w:rsidR="00802942" w:rsidRPr="008932A3" w:rsidRDefault="00802942" w:rsidP="008932A3">
      <w:pPr>
        <w:tabs>
          <w:tab w:val="left" w:pos="851"/>
        </w:tabs>
        <w:spacing w:line="276" w:lineRule="auto"/>
        <w:jc w:val="both"/>
        <w:rPr>
          <w:szCs w:val="26"/>
        </w:rPr>
      </w:pPr>
    </w:p>
    <w:p w14:paraId="2FD5F5F5" w14:textId="1D6EFB60" w:rsidR="00802942" w:rsidRPr="008932A3" w:rsidRDefault="001672E6" w:rsidP="008932A3">
      <w:pPr>
        <w:pStyle w:val="Prrafodelista"/>
        <w:numPr>
          <w:ilvl w:val="0"/>
          <w:numId w:val="1"/>
        </w:numPr>
        <w:tabs>
          <w:tab w:val="left" w:pos="851"/>
        </w:tabs>
        <w:spacing w:line="276" w:lineRule="auto"/>
        <w:ind w:left="284" w:hanging="284"/>
        <w:jc w:val="both"/>
        <w:rPr>
          <w:b/>
          <w:bCs/>
          <w:sz w:val="26"/>
          <w:szCs w:val="26"/>
        </w:rPr>
      </w:pPr>
      <w:r w:rsidRPr="008932A3">
        <w:rPr>
          <w:b/>
          <w:bCs/>
          <w:sz w:val="26"/>
          <w:szCs w:val="26"/>
        </w:rPr>
        <w:t>INTRODUCCIÓN</w:t>
      </w:r>
    </w:p>
    <w:p w14:paraId="3E497D76" w14:textId="77777777" w:rsidR="00802942" w:rsidRPr="008932A3" w:rsidRDefault="00802942" w:rsidP="008932A3">
      <w:pPr>
        <w:spacing w:line="276" w:lineRule="auto"/>
        <w:jc w:val="both"/>
        <w:rPr>
          <w:szCs w:val="26"/>
          <w:lang w:val="es-419"/>
        </w:rPr>
      </w:pPr>
    </w:p>
    <w:p w14:paraId="245F0052" w14:textId="543941BA" w:rsidR="000826C9" w:rsidRPr="008932A3" w:rsidRDefault="000826C9" w:rsidP="008932A3">
      <w:pPr>
        <w:spacing w:line="276" w:lineRule="auto"/>
        <w:jc w:val="both"/>
        <w:rPr>
          <w:szCs w:val="26"/>
        </w:rPr>
      </w:pPr>
      <w:r w:rsidRPr="008932A3">
        <w:rPr>
          <w:b/>
          <w:bCs/>
          <w:szCs w:val="26"/>
          <w:lang w:val="es-419"/>
        </w:rPr>
        <w:t>Germán García García</w:t>
      </w:r>
      <w:r w:rsidRPr="008932A3">
        <w:rPr>
          <w:szCs w:val="26"/>
        </w:rPr>
        <w:t xml:space="preserve"> demand</w:t>
      </w:r>
      <w:r w:rsidR="00622BCF" w:rsidRPr="008932A3">
        <w:rPr>
          <w:szCs w:val="26"/>
        </w:rPr>
        <w:t>ó</w:t>
      </w:r>
      <w:r w:rsidRPr="008932A3">
        <w:rPr>
          <w:szCs w:val="26"/>
        </w:rPr>
        <w:t xml:space="preserve"> al </w:t>
      </w:r>
      <w:r w:rsidRPr="008932A3">
        <w:rPr>
          <w:b/>
          <w:bCs/>
          <w:szCs w:val="26"/>
        </w:rPr>
        <w:t>Municipio de Pereira</w:t>
      </w:r>
      <w:r w:rsidRPr="008932A3">
        <w:rPr>
          <w:szCs w:val="26"/>
        </w:rPr>
        <w:t xml:space="preserve"> con el fin de que se declare la existencia de un contrato de trabajo, a término indefinido, entre el 2 de julio de 2015 y el 16 de diciembre de 2015, como trabajador oficial. En consecuencia, solicita se condene a la demandada al pago de prestaciones, vacaciones, seguridad social, primas legales y extralegales, las sanciones de la Ley 50 de 1990 y </w:t>
      </w:r>
      <w:r w:rsidR="003E3986" w:rsidRPr="008932A3">
        <w:rPr>
          <w:szCs w:val="26"/>
        </w:rPr>
        <w:t>del artículo</w:t>
      </w:r>
      <w:r w:rsidRPr="008932A3">
        <w:rPr>
          <w:szCs w:val="26"/>
        </w:rPr>
        <w:t xml:space="preserve"> 65 del </w:t>
      </w:r>
      <w:proofErr w:type="spellStart"/>
      <w:r w:rsidRPr="008932A3">
        <w:rPr>
          <w:szCs w:val="26"/>
        </w:rPr>
        <w:t>C.S.T</w:t>
      </w:r>
      <w:proofErr w:type="spellEnd"/>
      <w:r w:rsidRPr="008932A3">
        <w:rPr>
          <w:szCs w:val="26"/>
        </w:rPr>
        <w:t>., o en subsidio de esta última, la indexación y costas procesales.</w:t>
      </w:r>
    </w:p>
    <w:p w14:paraId="6B9C0534" w14:textId="77777777" w:rsidR="000826C9" w:rsidRPr="008932A3" w:rsidRDefault="000826C9" w:rsidP="008932A3">
      <w:pPr>
        <w:spacing w:line="276" w:lineRule="auto"/>
        <w:jc w:val="both"/>
        <w:rPr>
          <w:szCs w:val="26"/>
          <w:lang w:val="es-419"/>
        </w:rPr>
      </w:pPr>
    </w:p>
    <w:p w14:paraId="5B809DAA" w14:textId="54F8B9AC" w:rsidR="000826C9" w:rsidRPr="008932A3" w:rsidRDefault="00CE76C2" w:rsidP="008932A3">
      <w:pPr>
        <w:spacing w:line="276" w:lineRule="auto"/>
        <w:jc w:val="both"/>
        <w:rPr>
          <w:szCs w:val="26"/>
          <w:lang w:val="es-419"/>
        </w:rPr>
      </w:pPr>
      <w:r w:rsidRPr="008932A3">
        <w:rPr>
          <w:szCs w:val="26"/>
          <w:lang w:val="es-419"/>
        </w:rPr>
        <w:t xml:space="preserve">En síntesis, los hechos que sustentan las pretensiones indican que el actor </w:t>
      </w:r>
      <w:r w:rsidR="000826C9" w:rsidRPr="008932A3">
        <w:rPr>
          <w:szCs w:val="26"/>
          <w:lang w:val="es-419"/>
        </w:rPr>
        <w:t>prestó sus servicios personales y remunerados para el Municipio de Pereira</w:t>
      </w:r>
      <w:r w:rsidR="00622BCF" w:rsidRPr="008932A3">
        <w:rPr>
          <w:szCs w:val="26"/>
          <w:lang w:val="es-419"/>
        </w:rPr>
        <w:t>,</w:t>
      </w:r>
      <w:r w:rsidR="000826C9" w:rsidRPr="008932A3">
        <w:rPr>
          <w:szCs w:val="26"/>
          <w:lang w:val="es-419"/>
        </w:rPr>
        <w:t xml:space="preserve"> desde el 2 de julio de 2015</w:t>
      </w:r>
      <w:r w:rsidR="00622BCF" w:rsidRPr="008932A3">
        <w:rPr>
          <w:szCs w:val="26"/>
          <w:lang w:val="es-419"/>
        </w:rPr>
        <w:t>,</w:t>
      </w:r>
      <w:r w:rsidR="000826C9" w:rsidRPr="008932A3">
        <w:rPr>
          <w:szCs w:val="26"/>
          <w:lang w:val="es-419"/>
        </w:rPr>
        <w:t xml:space="preserve"> mediante </w:t>
      </w:r>
      <w:r w:rsidR="00622BCF" w:rsidRPr="008932A3">
        <w:rPr>
          <w:szCs w:val="26"/>
          <w:lang w:val="es-419"/>
        </w:rPr>
        <w:t xml:space="preserve">un </w:t>
      </w:r>
      <w:r w:rsidR="000826C9" w:rsidRPr="008932A3">
        <w:rPr>
          <w:szCs w:val="26"/>
          <w:lang w:val="es-419"/>
        </w:rPr>
        <w:t>contrato de prestación de servicios para realizar labores de oficial de construcción y ayudante de obra en parques, escuelas, vías y calles de la ciudad de Pereira; que cumplía horarios de 7 a.m., a 4:30 p.m., de lunes a domingos e incluso los festivos; que nunca le fueron reconocidas prestaciones sociales, vacaciones o auxilio de transporte; que su contrato fue terminado sin justa causa el 16 de diciembre de 2015, presentando reclamación el 22 de febrero de 2017, sin obtener respuesta por la administración.</w:t>
      </w:r>
    </w:p>
    <w:p w14:paraId="702D73AC" w14:textId="77777777" w:rsidR="000826C9" w:rsidRPr="008932A3" w:rsidRDefault="000826C9" w:rsidP="008932A3">
      <w:pPr>
        <w:spacing w:line="276" w:lineRule="auto"/>
        <w:jc w:val="both"/>
        <w:rPr>
          <w:szCs w:val="26"/>
          <w:lang w:val="es-419"/>
        </w:rPr>
      </w:pPr>
    </w:p>
    <w:p w14:paraId="1ABB836D" w14:textId="77777777" w:rsidR="000826C9" w:rsidRPr="008932A3" w:rsidRDefault="007F67C3" w:rsidP="008932A3">
      <w:pPr>
        <w:spacing w:line="276" w:lineRule="auto"/>
        <w:jc w:val="both"/>
        <w:rPr>
          <w:szCs w:val="26"/>
          <w:lang w:val="es-419"/>
        </w:rPr>
      </w:pPr>
      <w:r w:rsidRPr="008932A3">
        <w:rPr>
          <w:szCs w:val="26"/>
          <w:lang w:val="es-419"/>
        </w:rPr>
        <w:t xml:space="preserve">El </w:t>
      </w:r>
      <w:r w:rsidRPr="008932A3">
        <w:rPr>
          <w:b/>
          <w:bCs/>
          <w:szCs w:val="26"/>
          <w:lang w:val="es-419"/>
        </w:rPr>
        <w:t>Municipio de Pereira</w:t>
      </w:r>
      <w:r w:rsidRPr="008932A3">
        <w:rPr>
          <w:szCs w:val="26"/>
          <w:lang w:val="es-419"/>
        </w:rPr>
        <w:t xml:space="preserve">, se opuso a las pretensiones de la demanda, excepcionando la </w:t>
      </w:r>
      <w:r w:rsidRPr="008932A3">
        <w:rPr>
          <w:b/>
          <w:bCs/>
          <w:szCs w:val="26"/>
          <w:lang w:val="es-419"/>
        </w:rPr>
        <w:t xml:space="preserve">inexistencia de la obligación demandada, prescripción, compensación </w:t>
      </w:r>
      <w:r w:rsidRPr="008932A3">
        <w:rPr>
          <w:szCs w:val="26"/>
          <w:lang w:val="es-419"/>
        </w:rPr>
        <w:t>y las que se declaren de oficio</w:t>
      </w:r>
      <w:r w:rsidR="009D0F05" w:rsidRPr="008932A3">
        <w:rPr>
          <w:szCs w:val="26"/>
          <w:lang w:val="es-419"/>
        </w:rPr>
        <w:t xml:space="preserve"> (fol. 48-51).</w:t>
      </w:r>
    </w:p>
    <w:p w14:paraId="26AD9C7B" w14:textId="77777777" w:rsidR="003B2C79" w:rsidRPr="008932A3" w:rsidRDefault="003B2C79" w:rsidP="008932A3">
      <w:pPr>
        <w:tabs>
          <w:tab w:val="left" w:pos="851"/>
        </w:tabs>
        <w:spacing w:line="276" w:lineRule="auto"/>
        <w:ind w:firstLine="284"/>
        <w:jc w:val="both"/>
        <w:rPr>
          <w:b/>
          <w:bCs/>
          <w:szCs w:val="26"/>
        </w:rPr>
      </w:pPr>
    </w:p>
    <w:p w14:paraId="6D58D0C8" w14:textId="77777777" w:rsidR="003B2C79" w:rsidRPr="008932A3" w:rsidRDefault="003B2C79" w:rsidP="008932A3">
      <w:pPr>
        <w:pStyle w:val="Prrafodelista"/>
        <w:numPr>
          <w:ilvl w:val="0"/>
          <w:numId w:val="1"/>
        </w:numPr>
        <w:tabs>
          <w:tab w:val="left" w:pos="851"/>
        </w:tabs>
        <w:spacing w:line="276" w:lineRule="auto"/>
        <w:ind w:left="284" w:hanging="284"/>
        <w:jc w:val="both"/>
        <w:rPr>
          <w:b/>
          <w:bCs/>
          <w:sz w:val="26"/>
          <w:szCs w:val="26"/>
        </w:rPr>
      </w:pPr>
      <w:r w:rsidRPr="008932A3">
        <w:rPr>
          <w:b/>
          <w:bCs/>
          <w:sz w:val="26"/>
          <w:szCs w:val="26"/>
        </w:rPr>
        <w:t>SENTENCIA DEL JUZGADO.</w:t>
      </w:r>
    </w:p>
    <w:p w14:paraId="034E680B" w14:textId="77777777" w:rsidR="003B2C79" w:rsidRPr="008932A3" w:rsidRDefault="003B2C79" w:rsidP="008932A3">
      <w:pPr>
        <w:tabs>
          <w:tab w:val="left" w:pos="851"/>
        </w:tabs>
        <w:spacing w:line="276" w:lineRule="auto"/>
        <w:ind w:firstLine="284"/>
        <w:jc w:val="both"/>
        <w:rPr>
          <w:b/>
          <w:bCs/>
          <w:szCs w:val="26"/>
        </w:rPr>
      </w:pPr>
    </w:p>
    <w:p w14:paraId="7EED8570" w14:textId="3038880C" w:rsidR="00FE76EA" w:rsidRPr="008932A3" w:rsidRDefault="009D0F05" w:rsidP="008932A3">
      <w:pPr>
        <w:spacing w:line="276" w:lineRule="auto"/>
        <w:jc w:val="both"/>
        <w:rPr>
          <w:rFonts w:cs="Tahoma"/>
          <w:szCs w:val="26"/>
        </w:rPr>
      </w:pPr>
      <w:r w:rsidRPr="008932A3">
        <w:rPr>
          <w:szCs w:val="26"/>
          <w:lang w:val="es-419"/>
        </w:rPr>
        <w:t>La Jueza a-quo, al resolver la litis declaró la existencia de la relación laboral</w:t>
      </w:r>
      <w:r w:rsidR="000E10CC" w:rsidRPr="008932A3">
        <w:rPr>
          <w:szCs w:val="26"/>
          <w:lang w:val="es-419"/>
        </w:rPr>
        <w:t xml:space="preserve">, entre el 2 de julio y el 31 de diciembre de 2015, condenando al Municipio de Pereira al pago de la prima extralegal, </w:t>
      </w:r>
      <w:r w:rsidR="00FE76EA" w:rsidRPr="008932A3">
        <w:rPr>
          <w:szCs w:val="26"/>
          <w:lang w:val="es-419"/>
        </w:rPr>
        <w:t>la prima de navidad convencional, vacaciones, cesantías e intereses a las cesantías</w:t>
      </w:r>
      <w:r w:rsidR="000E10CC" w:rsidRPr="008932A3">
        <w:rPr>
          <w:szCs w:val="26"/>
          <w:lang w:val="es-419"/>
        </w:rPr>
        <w:t>, además de la indemnización moratoria y costas procesales.</w:t>
      </w:r>
      <w:r w:rsidR="00FE76EA" w:rsidRPr="008932A3">
        <w:rPr>
          <w:szCs w:val="26"/>
          <w:lang w:val="es-419"/>
        </w:rPr>
        <w:t xml:space="preserve"> Para arribar a tan conclusión, con apoyo en el material proba</w:t>
      </w:r>
      <w:r w:rsidR="00622BCF" w:rsidRPr="008932A3">
        <w:rPr>
          <w:szCs w:val="26"/>
          <w:lang w:val="es-419"/>
        </w:rPr>
        <w:t>torio</w:t>
      </w:r>
      <w:r w:rsidR="00FE76EA" w:rsidRPr="008932A3">
        <w:rPr>
          <w:szCs w:val="26"/>
          <w:lang w:val="es-419"/>
        </w:rPr>
        <w:t xml:space="preserve"> y aplicando el principio de la primacía de la realidad sobre las formas, </w:t>
      </w:r>
      <w:r w:rsidR="00FE76EA" w:rsidRPr="008932A3">
        <w:rPr>
          <w:szCs w:val="26"/>
          <w:lang w:val="es-419"/>
        </w:rPr>
        <w:lastRenderedPageBreak/>
        <w:t xml:space="preserve">encontró probados los elementos de toda relación laboral, encontrando especialmente que el elemento de la subordinación se dio en todo momento y para desarrollar su labor como </w:t>
      </w:r>
      <w:r w:rsidR="00FE76EA" w:rsidRPr="008932A3">
        <w:rPr>
          <w:rFonts w:cs="Tahoma"/>
          <w:szCs w:val="26"/>
        </w:rPr>
        <w:t>oficial de construcción, se sometió a las especificaciones técnicas de la Secretaría de Infraestructura, las cuales eran similares a las desarrolladas por el personal de planta.</w:t>
      </w:r>
    </w:p>
    <w:p w14:paraId="0E200F09" w14:textId="77777777" w:rsidR="00FE76EA" w:rsidRPr="008932A3" w:rsidRDefault="00FE76EA" w:rsidP="008932A3">
      <w:pPr>
        <w:spacing w:line="276" w:lineRule="auto"/>
        <w:jc w:val="both"/>
        <w:rPr>
          <w:szCs w:val="26"/>
          <w:lang w:val="es-419"/>
        </w:rPr>
      </w:pPr>
    </w:p>
    <w:p w14:paraId="28AB100E" w14:textId="77777777" w:rsidR="000E10CC" w:rsidRPr="008932A3" w:rsidRDefault="003B2C79" w:rsidP="008932A3">
      <w:pPr>
        <w:pStyle w:val="Prrafodelista"/>
        <w:numPr>
          <w:ilvl w:val="0"/>
          <w:numId w:val="1"/>
        </w:numPr>
        <w:tabs>
          <w:tab w:val="left" w:pos="851"/>
        </w:tabs>
        <w:spacing w:line="276" w:lineRule="auto"/>
        <w:ind w:left="284" w:hanging="284"/>
        <w:jc w:val="both"/>
        <w:rPr>
          <w:b/>
          <w:bCs/>
          <w:sz w:val="26"/>
          <w:szCs w:val="26"/>
        </w:rPr>
      </w:pPr>
      <w:r w:rsidRPr="008932A3">
        <w:rPr>
          <w:b/>
          <w:bCs/>
          <w:sz w:val="26"/>
          <w:szCs w:val="26"/>
        </w:rPr>
        <w:t>RECURSO DE APELACIÓN.</w:t>
      </w:r>
    </w:p>
    <w:p w14:paraId="4593BB0F" w14:textId="77777777" w:rsidR="009D0F05" w:rsidRPr="008932A3" w:rsidRDefault="009D0F05" w:rsidP="008932A3">
      <w:pPr>
        <w:spacing w:line="276" w:lineRule="auto"/>
        <w:jc w:val="both"/>
        <w:rPr>
          <w:szCs w:val="26"/>
          <w:lang w:val="es-419"/>
        </w:rPr>
      </w:pPr>
    </w:p>
    <w:p w14:paraId="4F7BFD59" w14:textId="5B0D2758" w:rsidR="009D0F05" w:rsidRPr="008932A3" w:rsidRDefault="000E10CC" w:rsidP="008932A3">
      <w:pPr>
        <w:spacing w:line="276" w:lineRule="auto"/>
        <w:jc w:val="both"/>
        <w:rPr>
          <w:szCs w:val="26"/>
          <w:lang w:val="es-419"/>
        </w:rPr>
      </w:pPr>
      <w:r w:rsidRPr="008932A3">
        <w:rPr>
          <w:szCs w:val="26"/>
          <w:lang w:val="es-419"/>
        </w:rPr>
        <w:t xml:space="preserve">Inconforme con la decisión, el Municipio de Pereira a través de su vocera judicial, presentó recurso de apelación, </w:t>
      </w:r>
      <w:r w:rsidR="00FE76EA" w:rsidRPr="008932A3">
        <w:rPr>
          <w:szCs w:val="26"/>
          <w:lang w:val="es-419"/>
        </w:rPr>
        <w:t xml:space="preserve">atacando la sentencia </w:t>
      </w:r>
      <w:r w:rsidR="00622BCF" w:rsidRPr="008932A3">
        <w:rPr>
          <w:szCs w:val="26"/>
          <w:lang w:val="es-419"/>
        </w:rPr>
        <w:t xml:space="preserve">de primer grado </w:t>
      </w:r>
      <w:r w:rsidR="00FE76EA" w:rsidRPr="008932A3">
        <w:rPr>
          <w:szCs w:val="26"/>
          <w:lang w:val="es-419"/>
        </w:rPr>
        <w:t xml:space="preserve">únicamente respecto de la indemnización moratoria, argumentando que no se había demostrado mala fe por parte del municipio, pues en todo momento, consideró estar al frente de un contrato de prestación de servicios y no </w:t>
      </w:r>
      <w:r w:rsidR="00622BCF" w:rsidRPr="008932A3">
        <w:rPr>
          <w:szCs w:val="26"/>
          <w:lang w:val="es-419"/>
        </w:rPr>
        <w:t xml:space="preserve">frente a uno </w:t>
      </w:r>
      <w:r w:rsidR="00FE76EA" w:rsidRPr="008932A3">
        <w:rPr>
          <w:szCs w:val="26"/>
          <w:lang w:val="es-419"/>
        </w:rPr>
        <w:t xml:space="preserve">laboral. </w:t>
      </w:r>
      <w:r w:rsidR="00A67E49" w:rsidRPr="008932A3">
        <w:rPr>
          <w:szCs w:val="26"/>
          <w:lang w:val="es-419"/>
        </w:rPr>
        <w:t>De igual manera, indica que la fecha a partir de la cual se generó la condena por dicho concepto</w:t>
      </w:r>
      <w:r w:rsidR="00622BCF" w:rsidRPr="008932A3">
        <w:rPr>
          <w:szCs w:val="26"/>
          <w:lang w:val="es-419"/>
        </w:rPr>
        <w:t>,</w:t>
      </w:r>
      <w:r w:rsidR="00A67E49" w:rsidRPr="008932A3">
        <w:rPr>
          <w:szCs w:val="26"/>
          <w:lang w:val="es-419"/>
        </w:rPr>
        <w:t xml:space="preserve"> no </w:t>
      </w:r>
      <w:r w:rsidR="00622BCF" w:rsidRPr="008932A3">
        <w:rPr>
          <w:szCs w:val="26"/>
          <w:lang w:val="es-419"/>
        </w:rPr>
        <w:t xml:space="preserve">atendió </w:t>
      </w:r>
      <w:r w:rsidR="00A67E49" w:rsidRPr="008932A3">
        <w:rPr>
          <w:szCs w:val="26"/>
          <w:lang w:val="es-419"/>
        </w:rPr>
        <w:t>el período de gracia de los 90 días hábiles con que cuentan las entidades públicas para el pago de las prestaciones objeto de la indemnización.</w:t>
      </w:r>
    </w:p>
    <w:p w14:paraId="0D634CF1" w14:textId="77777777" w:rsidR="003B2C79" w:rsidRPr="008932A3" w:rsidRDefault="003B2C79" w:rsidP="008932A3">
      <w:pPr>
        <w:tabs>
          <w:tab w:val="left" w:pos="851"/>
        </w:tabs>
        <w:spacing w:line="276" w:lineRule="auto"/>
        <w:jc w:val="both"/>
        <w:rPr>
          <w:szCs w:val="26"/>
        </w:rPr>
      </w:pPr>
    </w:p>
    <w:p w14:paraId="358B7771" w14:textId="77777777" w:rsidR="003B2C79" w:rsidRPr="008932A3" w:rsidRDefault="003B2C79" w:rsidP="008932A3">
      <w:pPr>
        <w:pStyle w:val="Prrafodelista"/>
        <w:numPr>
          <w:ilvl w:val="0"/>
          <w:numId w:val="1"/>
        </w:numPr>
        <w:tabs>
          <w:tab w:val="left" w:pos="851"/>
        </w:tabs>
        <w:spacing w:line="276" w:lineRule="auto"/>
        <w:ind w:left="284" w:hanging="284"/>
        <w:jc w:val="both"/>
        <w:rPr>
          <w:b/>
          <w:bCs/>
          <w:sz w:val="26"/>
          <w:szCs w:val="26"/>
        </w:rPr>
      </w:pPr>
      <w:r w:rsidRPr="008932A3">
        <w:rPr>
          <w:b/>
          <w:bCs/>
          <w:sz w:val="26"/>
          <w:szCs w:val="26"/>
        </w:rPr>
        <w:t>ALEGATOS EN ESTA INSTANCIA.</w:t>
      </w:r>
    </w:p>
    <w:p w14:paraId="4272053D" w14:textId="77777777" w:rsidR="003B2C79" w:rsidRPr="008932A3" w:rsidRDefault="003B2C79" w:rsidP="008932A3">
      <w:pPr>
        <w:tabs>
          <w:tab w:val="left" w:pos="851"/>
        </w:tabs>
        <w:spacing w:line="276" w:lineRule="auto"/>
        <w:jc w:val="both"/>
        <w:rPr>
          <w:szCs w:val="26"/>
        </w:rPr>
      </w:pPr>
    </w:p>
    <w:p w14:paraId="2B3FD12C" w14:textId="77777777" w:rsidR="003B2C79" w:rsidRPr="008932A3" w:rsidRDefault="003B2C79" w:rsidP="008932A3">
      <w:pPr>
        <w:spacing w:line="276" w:lineRule="auto"/>
        <w:jc w:val="both"/>
        <w:rPr>
          <w:szCs w:val="26"/>
          <w:lang w:val="es-419"/>
        </w:rPr>
      </w:pPr>
      <w:r w:rsidRPr="008932A3">
        <w:rPr>
          <w:szCs w:val="26"/>
          <w:lang w:val="es-419"/>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8932A3">
          <w:rPr>
            <w:szCs w:val="26"/>
            <w:lang w:val="es-419"/>
          </w:rPr>
          <w:t>66 A</w:t>
        </w:r>
      </w:smartTag>
      <w:r w:rsidRPr="008932A3">
        <w:rPr>
          <w:szCs w:val="26"/>
          <w:lang w:val="es-419"/>
        </w:rPr>
        <w:t xml:space="preserve"> CPLSS.).</w:t>
      </w:r>
    </w:p>
    <w:p w14:paraId="4A4860EC" w14:textId="77777777" w:rsidR="003B2C79" w:rsidRPr="008932A3" w:rsidRDefault="003B2C79" w:rsidP="008932A3">
      <w:pPr>
        <w:spacing w:line="276" w:lineRule="auto"/>
        <w:jc w:val="both"/>
        <w:rPr>
          <w:szCs w:val="26"/>
          <w:lang w:val="es-419"/>
        </w:rPr>
      </w:pPr>
    </w:p>
    <w:p w14:paraId="55BB12B4" w14:textId="77777777" w:rsidR="003B2C79" w:rsidRPr="008932A3" w:rsidRDefault="003B2C79" w:rsidP="008932A3">
      <w:pPr>
        <w:spacing w:line="276" w:lineRule="auto"/>
        <w:jc w:val="both"/>
        <w:rPr>
          <w:szCs w:val="26"/>
          <w:lang w:val="es-419"/>
        </w:rPr>
      </w:pPr>
      <w:r w:rsidRPr="008932A3">
        <w:rPr>
          <w:szCs w:val="26"/>
          <w:lang w:val="es-419"/>
        </w:rPr>
        <w:t>Escuchadas las intervenciones que en síntesis reflejan los puntos debatidos por los integrantes de la Sala, se procede a decidir lo que corresponda, previas las siguientes:</w:t>
      </w:r>
    </w:p>
    <w:p w14:paraId="04C95C7C" w14:textId="77777777" w:rsidR="003B2C79" w:rsidRPr="008932A3" w:rsidRDefault="003B2C79" w:rsidP="008932A3">
      <w:pPr>
        <w:spacing w:line="276" w:lineRule="auto"/>
        <w:jc w:val="both"/>
        <w:rPr>
          <w:szCs w:val="26"/>
          <w:lang w:val="es-419"/>
        </w:rPr>
      </w:pPr>
      <w:r w:rsidRPr="008932A3">
        <w:rPr>
          <w:szCs w:val="26"/>
          <w:lang w:val="es-419"/>
        </w:rPr>
        <w:tab/>
      </w:r>
    </w:p>
    <w:p w14:paraId="3BEDB366" w14:textId="77777777" w:rsidR="003B2C79" w:rsidRPr="008932A3" w:rsidRDefault="003B2C79" w:rsidP="008932A3">
      <w:pPr>
        <w:pStyle w:val="Prrafodelista"/>
        <w:numPr>
          <w:ilvl w:val="0"/>
          <w:numId w:val="1"/>
        </w:numPr>
        <w:tabs>
          <w:tab w:val="left" w:pos="851"/>
        </w:tabs>
        <w:spacing w:line="276" w:lineRule="auto"/>
        <w:ind w:left="284" w:hanging="284"/>
        <w:jc w:val="both"/>
        <w:rPr>
          <w:b/>
          <w:bCs/>
          <w:sz w:val="26"/>
          <w:szCs w:val="26"/>
        </w:rPr>
      </w:pPr>
      <w:r w:rsidRPr="008932A3">
        <w:rPr>
          <w:b/>
          <w:bCs/>
          <w:sz w:val="26"/>
          <w:szCs w:val="26"/>
        </w:rPr>
        <w:t>CONSIDERACIONES:</w:t>
      </w:r>
    </w:p>
    <w:p w14:paraId="29082C4B" w14:textId="77777777" w:rsidR="003B2C79" w:rsidRPr="008932A3" w:rsidRDefault="003B2C79" w:rsidP="008932A3">
      <w:pPr>
        <w:tabs>
          <w:tab w:val="left" w:pos="851"/>
        </w:tabs>
        <w:spacing w:line="276" w:lineRule="auto"/>
        <w:ind w:hanging="993"/>
        <w:jc w:val="both"/>
        <w:rPr>
          <w:szCs w:val="26"/>
        </w:rPr>
      </w:pPr>
    </w:p>
    <w:p w14:paraId="399803BA" w14:textId="77777777" w:rsidR="003B2C79" w:rsidRPr="008932A3" w:rsidRDefault="003B2C79" w:rsidP="008932A3">
      <w:pPr>
        <w:pStyle w:val="Prrafodelista"/>
        <w:numPr>
          <w:ilvl w:val="1"/>
          <w:numId w:val="1"/>
        </w:numPr>
        <w:tabs>
          <w:tab w:val="left" w:pos="567"/>
        </w:tabs>
        <w:spacing w:line="276" w:lineRule="auto"/>
        <w:ind w:left="567" w:hanging="567"/>
        <w:jc w:val="both"/>
        <w:rPr>
          <w:b/>
          <w:bCs/>
          <w:sz w:val="26"/>
          <w:szCs w:val="26"/>
        </w:rPr>
      </w:pPr>
      <w:r w:rsidRPr="008932A3">
        <w:rPr>
          <w:b/>
          <w:bCs/>
          <w:sz w:val="26"/>
          <w:szCs w:val="26"/>
        </w:rPr>
        <w:t>Del Problema Jurídico</w:t>
      </w:r>
      <w:r w:rsidR="00461859" w:rsidRPr="008932A3">
        <w:rPr>
          <w:b/>
          <w:bCs/>
          <w:sz w:val="26"/>
          <w:szCs w:val="26"/>
        </w:rPr>
        <w:t>.</w:t>
      </w:r>
    </w:p>
    <w:p w14:paraId="17D3BF2E" w14:textId="77777777" w:rsidR="00461859" w:rsidRPr="008932A3" w:rsidRDefault="00461859" w:rsidP="008932A3">
      <w:pPr>
        <w:tabs>
          <w:tab w:val="left" w:pos="851"/>
        </w:tabs>
        <w:spacing w:line="276" w:lineRule="auto"/>
        <w:jc w:val="both"/>
        <w:rPr>
          <w:b/>
          <w:bCs/>
          <w:szCs w:val="26"/>
        </w:rPr>
      </w:pPr>
    </w:p>
    <w:p w14:paraId="3159FB90" w14:textId="77777777" w:rsidR="003B2C79" w:rsidRPr="008932A3" w:rsidRDefault="003B2C79" w:rsidP="008932A3">
      <w:pPr>
        <w:spacing w:line="276" w:lineRule="auto"/>
        <w:jc w:val="both"/>
        <w:rPr>
          <w:szCs w:val="26"/>
          <w:lang w:val="es-419"/>
        </w:rPr>
      </w:pPr>
      <w:r w:rsidRPr="008932A3">
        <w:rPr>
          <w:szCs w:val="26"/>
          <w:lang w:val="es-419"/>
        </w:rPr>
        <w:t>La alzada propuesta y el grado jurisdiccional de consulta respecto del Municipio de Pereira, impone a la Sala resolver los siguientes problemas jurídicos:</w:t>
      </w:r>
    </w:p>
    <w:p w14:paraId="64149176" w14:textId="77777777" w:rsidR="003B2C79" w:rsidRPr="008932A3" w:rsidRDefault="003B2C79" w:rsidP="008932A3">
      <w:pPr>
        <w:spacing w:line="276" w:lineRule="auto"/>
        <w:jc w:val="both"/>
        <w:rPr>
          <w:szCs w:val="26"/>
          <w:lang w:val="es-419"/>
        </w:rPr>
      </w:pPr>
    </w:p>
    <w:p w14:paraId="2D0C52B4" w14:textId="36E3DC94" w:rsidR="00B40E84" w:rsidRPr="008932A3" w:rsidRDefault="00B40E84" w:rsidP="008932A3">
      <w:pPr>
        <w:spacing w:line="276" w:lineRule="auto"/>
        <w:ind w:left="709"/>
        <w:jc w:val="both"/>
        <w:rPr>
          <w:szCs w:val="26"/>
          <w:lang w:val="es-419"/>
        </w:rPr>
      </w:pPr>
      <w:r w:rsidRPr="008932A3">
        <w:rPr>
          <w:szCs w:val="26"/>
          <w:lang w:val="es-419"/>
        </w:rPr>
        <w:t>¿Las condenas impuestas se ajusta a los preceptos legales aplicables</w:t>
      </w:r>
      <w:r w:rsidRPr="008932A3">
        <w:rPr>
          <w:szCs w:val="26"/>
        </w:rPr>
        <w:t>, se encuentra probada la relación laboral que se alegó</w:t>
      </w:r>
      <w:r w:rsidRPr="008932A3">
        <w:rPr>
          <w:szCs w:val="26"/>
          <w:lang w:val="es-419"/>
        </w:rPr>
        <w:t>?</w:t>
      </w:r>
    </w:p>
    <w:p w14:paraId="4CCD888D" w14:textId="77777777" w:rsidR="00B40E84" w:rsidRPr="008932A3" w:rsidRDefault="00B40E84" w:rsidP="008932A3">
      <w:pPr>
        <w:spacing w:line="276" w:lineRule="auto"/>
        <w:ind w:left="709"/>
        <w:jc w:val="both"/>
        <w:rPr>
          <w:szCs w:val="26"/>
          <w:lang w:val="es-419"/>
        </w:rPr>
      </w:pPr>
    </w:p>
    <w:p w14:paraId="3DFEE5BB" w14:textId="1E8D0C26" w:rsidR="003B2C79" w:rsidRPr="008932A3" w:rsidRDefault="003B2C79" w:rsidP="008932A3">
      <w:pPr>
        <w:spacing w:line="276" w:lineRule="auto"/>
        <w:ind w:left="709"/>
        <w:jc w:val="both"/>
        <w:rPr>
          <w:szCs w:val="26"/>
          <w:lang w:val="es-419"/>
        </w:rPr>
      </w:pPr>
      <w:r w:rsidRPr="008932A3">
        <w:rPr>
          <w:szCs w:val="26"/>
          <w:lang w:val="es-419"/>
        </w:rPr>
        <w:t xml:space="preserve">¿Obró con buena fe el ente territorial para eximirse de la indemnización moratoria por falta de pago de las prestaciones </w:t>
      </w:r>
      <w:r w:rsidR="00B245D8" w:rsidRPr="008932A3">
        <w:rPr>
          <w:szCs w:val="26"/>
          <w:lang w:val="es-419"/>
        </w:rPr>
        <w:t>sociales? En caso negativo, ¿A partir de que momento se inicia dicha sanción en tratándose de trabajadores oficiales?</w:t>
      </w:r>
    </w:p>
    <w:p w14:paraId="231A4D46" w14:textId="77777777" w:rsidR="003B2C79" w:rsidRPr="008932A3" w:rsidRDefault="003B2C79" w:rsidP="008932A3">
      <w:pPr>
        <w:tabs>
          <w:tab w:val="left" w:pos="851"/>
        </w:tabs>
        <w:spacing w:line="276" w:lineRule="auto"/>
        <w:ind w:firstLine="284"/>
        <w:jc w:val="both"/>
        <w:rPr>
          <w:szCs w:val="26"/>
        </w:rPr>
      </w:pPr>
    </w:p>
    <w:p w14:paraId="43133EF6" w14:textId="77777777" w:rsidR="003B2C79" w:rsidRPr="008932A3" w:rsidRDefault="00461859" w:rsidP="008932A3">
      <w:pPr>
        <w:pStyle w:val="Prrafodelista"/>
        <w:numPr>
          <w:ilvl w:val="1"/>
          <w:numId w:val="1"/>
        </w:numPr>
        <w:tabs>
          <w:tab w:val="left" w:pos="567"/>
        </w:tabs>
        <w:spacing w:line="276" w:lineRule="auto"/>
        <w:ind w:left="567" w:hanging="567"/>
        <w:jc w:val="both"/>
        <w:rPr>
          <w:b/>
          <w:bCs/>
          <w:sz w:val="26"/>
          <w:szCs w:val="26"/>
        </w:rPr>
      </w:pPr>
      <w:r w:rsidRPr="008932A3">
        <w:rPr>
          <w:b/>
          <w:bCs/>
          <w:sz w:val="26"/>
          <w:szCs w:val="26"/>
        </w:rPr>
        <w:t>Desenvolvimiento del asunto</w:t>
      </w:r>
      <w:r w:rsidR="003B2C79" w:rsidRPr="008932A3">
        <w:rPr>
          <w:b/>
          <w:bCs/>
          <w:sz w:val="26"/>
          <w:szCs w:val="26"/>
        </w:rPr>
        <w:t>.</w:t>
      </w:r>
    </w:p>
    <w:p w14:paraId="5463421D" w14:textId="770292CA" w:rsidR="003B2C79" w:rsidRPr="008932A3" w:rsidRDefault="003B2C79" w:rsidP="008932A3">
      <w:pPr>
        <w:spacing w:line="276" w:lineRule="auto"/>
        <w:jc w:val="both"/>
        <w:rPr>
          <w:szCs w:val="26"/>
          <w:lang w:val="es-419"/>
        </w:rPr>
      </w:pPr>
    </w:p>
    <w:p w14:paraId="2B25CAD1" w14:textId="77777777" w:rsidR="001724B4" w:rsidRPr="008932A3" w:rsidRDefault="001724B4" w:rsidP="008932A3">
      <w:pPr>
        <w:spacing w:line="276" w:lineRule="auto"/>
        <w:jc w:val="both"/>
        <w:rPr>
          <w:szCs w:val="26"/>
          <w:lang w:val="es-419"/>
        </w:rPr>
      </w:pPr>
      <w:r w:rsidRPr="008932A3">
        <w:rPr>
          <w:szCs w:val="26"/>
          <w:lang w:val="es-419"/>
        </w:rPr>
        <w:t xml:space="preserve">Existe en materia laboral un principio esencial, como lo es el de la primacía de la realidad sobre las formalidades, cuyo sustento se encuentra en el artículo 53 de la Carta Política y en virtud del cual, si en una relación determinada se reúnen los elementos que configuran o constituyen un contrato de trabajo, este primará sobre las formas porque la razón de ser de ese principio es </w:t>
      </w:r>
      <w:r w:rsidRPr="008932A3">
        <w:rPr>
          <w:szCs w:val="26"/>
          <w:lang w:val="es-419"/>
        </w:rPr>
        <w:lastRenderedPageBreak/>
        <w:t>justamente evitar el desconocimiento de los derechos de los trabajadores y la elusión de los deberes patronales, dando preponderancia a la realidad en que se ejecuta un servicio, sin importar la denominación que se le hubiera dado.</w:t>
      </w:r>
    </w:p>
    <w:p w14:paraId="63E279C2" w14:textId="77777777" w:rsidR="001724B4" w:rsidRPr="008932A3" w:rsidRDefault="001724B4" w:rsidP="008932A3">
      <w:pPr>
        <w:spacing w:line="276" w:lineRule="auto"/>
        <w:jc w:val="both"/>
        <w:rPr>
          <w:szCs w:val="26"/>
          <w:lang w:val="es-419"/>
        </w:rPr>
      </w:pPr>
    </w:p>
    <w:p w14:paraId="0265EC69" w14:textId="77777777" w:rsidR="001724B4" w:rsidRPr="008932A3" w:rsidRDefault="001724B4" w:rsidP="008932A3">
      <w:pPr>
        <w:spacing w:line="276" w:lineRule="auto"/>
        <w:jc w:val="both"/>
        <w:rPr>
          <w:szCs w:val="26"/>
          <w:lang w:val="es-419"/>
        </w:rPr>
      </w:pPr>
      <w:r w:rsidRPr="008932A3">
        <w:rPr>
          <w:szCs w:val="26"/>
          <w:lang w:val="es-419"/>
        </w:rPr>
        <w:t>El contrato de trabajo, de conformidad con el artículo 1º de la Ley 6 de 1945, consiste en la prestación de un servicio en favor de otra, con total dependencia y subordinación. Esta última, es precisamente la esencial característica que diferencia el contrato de trabajo de cualquiera otro y consiste en la necesaria sujeción que existe entre quien presta el servicio personal y quien lo recibe, teniendo en este último como empleador, la facultad de imponer qué hacer, cómo hacerlo y dónde hacerlo, además de la imposición de reglamentos y el ejercicio de facultades disciplinarias.</w:t>
      </w:r>
    </w:p>
    <w:p w14:paraId="1B2B1EF6" w14:textId="77777777" w:rsidR="001724B4" w:rsidRPr="008932A3" w:rsidRDefault="001724B4" w:rsidP="008932A3">
      <w:pPr>
        <w:spacing w:line="276" w:lineRule="auto"/>
        <w:jc w:val="both"/>
        <w:rPr>
          <w:szCs w:val="26"/>
          <w:lang w:val="es-419"/>
        </w:rPr>
      </w:pPr>
    </w:p>
    <w:p w14:paraId="604F7A4A" w14:textId="77777777" w:rsidR="001724B4" w:rsidRPr="008932A3" w:rsidRDefault="001724B4" w:rsidP="008932A3">
      <w:pPr>
        <w:spacing w:line="276" w:lineRule="auto"/>
        <w:jc w:val="both"/>
        <w:rPr>
          <w:szCs w:val="26"/>
          <w:lang w:val="es-419"/>
        </w:rPr>
      </w:pPr>
      <w:r w:rsidRPr="008932A3">
        <w:rPr>
          <w:szCs w:val="26"/>
          <w:lang w:val="es-419"/>
        </w:rPr>
        <w:t>A contrario sensu, una relación regida por un contrato de prestación de servicios o una orden previa o cualquier otra figura análoga, necesariamente implica la independencia del contratista en la ejecución del objeto, más allá de la facultad que tiene el contratante de supervisar la labor. Esta independencia, se evidencia en que aquel puede determinar la intensidad horaria con la que se dedica a la labor, las herramientas a usar, el lugar de ejecución, siendo únicamente relevante el cumplimiento del objeto contratado. En materia estatal, tal forma de vinculación está regulada por el artículo 32 de la Ley 80 de 1993, que indica en su tenor literal: “</w:t>
      </w:r>
      <w:r w:rsidRPr="001672E6">
        <w:rPr>
          <w:sz w:val="24"/>
          <w:szCs w:val="26"/>
          <w:lang w:val="es-419"/>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w:t>
      </w:r>
      <w:r w:rsidRPr="008932A3">
        <w:rPr>
          <w:szCs w:val="26"/>
          <w:lang w:val="es-419"/>
        </w:rPr>
        <w:t xml:space="preserve">”. La norma es clara en establecer que la contratación por este medio está supeditada a: </w:t>
      </w:r>
      <w:r w:rsidRPr="008932A3">
        <w:rPr>
          <w:b/>
          <w:bCs/>
          <w:i/>
          <w:iCs/>
          <w:szCs w:val="26"/>
          <w:lang w:val="es-419"/>
        </w:rPr>
        <w:t>(i)</w:t>
      </w:r>
      <w:r w:rsidRPr="008932A3">
        <w:rPr>
          <w:i/>
          <w:iCs/>
          <w:szCs w:val="26"/>
          <w:lang w:val="es-419"/>
        </w:rPr>
        <w:t xml:space="preserve"> que la labor requerida por la entidad tenga una naturaleza especializada, </w:t>
      </w:r>
      <w:r w:rsidRPr="008932A3">
        <w:rPr>
          <w:b/>
          <w:bCs/>
          <w:i/>
          <w:iCs/>
          <w:szCs w:val="26"/>
          <w:lang w:val="es-419"/>
        </w:rPr>
        <w:t>(ii)</w:t>
      </w:r>
      <w:r w:rsidRPr="008932A3">
        <w:rPr>
          <w:i/>
          <w:iCs/>
          <w:szCs w:val="26"/>
          <w:lang w:val="es-419"/>
        </w:rPr>
        <w:t xml:space="preserve"> que requiera un personal calificado o </w:t>
      </w:r>
      <w:r w:rsidRPr="008932A3">
        <w:rPr>
          <w:b/>
          <w:bCs/>
          <w:i/>
          <w:iCs/>
          <w:szCs w:val="26"/>
          <w:lang w:val="es-419"/>
        </w:rPr>
        <w:t>(iii)</w:t>
      </w:r>
      <w:r w:rsidRPr="008932A3">
        <w:rPr>
          <w:i/>
          <w:iCs/>
          <w:szCs w:val="26"/>
          <w:lang w:val="es-419"/>
        </w:rPr>
        <w:t xml:space="preserve"> que no pueda ejecutarse con las personas que ocupan los cargos de planta de la entidad y, </w:t>
      </w:r>
      <w:r w:rsidRPr="008932A3">
        <w:rPr>
          <w:b/>
          <w:bCs/>
          <w:i/>
          <w:iCs/>
          <w:szCs w:val="26"/>
          <w:lang w:val="es-419"/>
        </w:rPr>
        <w:t>(iv)</w:t>
      </w:r>
      <w:r w:rsidRPr="008932A3">
        <w:rPr>
          <w:i/>
          <w:iCs/>
          <w:szCs w:val="26"/>
          <w:lang w:val="es-419"/>
        </w:rPr>
        <w:t xml:space="preserve"> la temporalidad de tal forma de vinculación, esto es, que apenas puede celebrarse por el lapso estrictamente necesario para cumplir el objeto contractual</w:t>
      </w:r>
      <w:r w:rsidRPr="008932A3">
        <w:rPr>
          <w:szCs w:val="26"/>
          <w:lang w:val="es-419"/>
        </w:rPr>
        <w:t>. De no presentarse tales hipótesis, inexorablemente, de darse la subordinación, se configurará una relación laboral, con las consecuentes cargas prestacionales y sancionatorias.</w:t>
      </w:r>
    </w:p>
    <w:p w14:paraId="38C653EF" w14:textId="22100FB0" w:rsidR="001724B4" w:rsidRPr="008932A3" w:rsidRDefault="001724B4" w:rsidP="008932A3">
      <w:pPr>
        <w:spacing w:line="276" w:lineRule="auto"/>
        <w:jc w:val="both"/>
        <w:rPr>
          <w:szCs w:val="26"/>
          <w:lang w:val="es-419"/>
        </w:rPr>
      </w:pPr>
    </w:p>
    <w:p w14:paraId="19AFAF7B" w14:textId="30B3C3B3" w:rsidR="00C06361" w:rsidRPr="008932A3" w:rsidRDefault="004B7D59" w:rsidP="008932A3">
      <w:pPr>
        <w:spacing w:line="276" w:lineRule="auto"/>
        <w:jc w:val="both"/>
        <w:rPr>
          <w:szCs w:val="26"/>
        </w:rPr>
      </w:pPr>
      <w:r w:rsidRPr="008932A3">
        <w:rPr>
          <w:szCs w:val="26"/>
          <w:lang w:val="es-419"/>
        </w:rPr>
        <w:t xml:space="preserve">Pues bien, aplicando lo anterior al caso concreto, se tiene que </w:t>
      </w:r>
      <w:r w:rsidR="00C06361" w:rsidRPr="008932A3">
        <w:rPr>
          <w:szCs w:val="26"/>
          <w:lang w:val="es-419"/>
        </w:rPr>
        <w:t xml:space="preserve">en el sub-lite, la prestación personal del servicio se encuentra acreditada con el contrato de prestación de servicios número 2216 del 30 de junio de 2015, pactada entre los extremos de esta contienda, el cual fue iniciado el </w:t>
      </w:r>
      <w:r w:rsidR="00C06361" w:rsidRPr="008932A3">
        <w:rPr>
          <w:b/>
          <w:bCs/>
          <w:szCs w:val="26"/>
          <w:lang w:val="es-419"/>
        </w:rPr>
        <w:t xml:space="preserve">2 de julio de 2015 </w:t>
      </w:r>
      <w:r w:rsidR="00C06361" w:rsidRPr="008932A3">
        <w:rPr>
          <w:szCs w:val="26"/>
          <w:lang w:val="es-419"/>
        </w:rPr>
        <w:t>–</w:t>
      </w:r>
      <w:r w:rsidR="00C06361" w:rsidRPr="008932A3">
        <w:rPr>
          <w:i/>
          <w:iCs/>
          <w:szCs w:val="26"/>
          <w:lang w:val="es-419"/>
        </w:rPr>
        <w:t xml:space="preserve"> fol. 27 -,</w:t>
      </w:r>
      <w:r w:rsidR="00C06361" w:rsidRPr="008932A3">
        <w:rPr>
          <w:szCs w:val="26"/>
          <w:lang w:val="es-419"/>
        </w:rPr>
        <w:t xml:space="preserve"> teniendo como objeto el “</w:t>
      </w:r>
      <w:r w:rsidR="00C06361" w:rsidRPr="001672E6">
        <w:rPr>
          <w:b/>
          <w:bCs/>
          <w:sz w:val="24"/>
          <w:szCs w:val="26"/>
          <w:lang w:val="es-419"/>
        </w:rPr>
        <w:t>prestar servicios de apoyo en el desarrollo del proyecto de mejoramiento de la infraestructura física de los equipamentos urbanos del municipio de Pereira</w:t>
      </w:r>
      <w:r w:rsidR="00C06361" w:rsidRPr="001672E6">
        <w:rPr>
          <w:bCs/>
          <w:szCs w:val="26"/>
          <w:lang w:val="es-419"/>
        </w:rPr>
        <w:t>”</w:t>
      </w:r>
      <w:r w:rsidR="00C06361" w:rsidRPr="008932A3">
        <w:rPr>
          <w:szCs w:val="26"/>
          <w:lang w:val="es-419"/>
        </w:rPr>
        <w:t xml:space="preserve">, teniendo como alcance </w:t>
      </w:r>
      <w:r w:rsidR="00EC3A43" w:rsidRPr="008932A3">
        <w:rPr>
          <w:szCs w:val="26"/>
          <w:lang w:val="es-419"/>
        </w:rPr>
        <w:t xml:space="preserve">el </w:t>
      </w:r>
      <w:r w:rsidR="00C06361" w:rsidRPr="008932A3">
        <w:rPr>
          <w:szCs w:val="26"/>
          <w:lang w:val="es-419"/>
        </w:rPr>
        <w:t xml:space="preserve">apoyar a la secretaria de infraestructura en el mantenimiento y rehabilitación de edificaciones públicas – casetas comunales – como </w:t>
      </w:r>
      <w:r w:rsidR="00C06361" w:rsidRPr="008932A3">
        <w:rPr>
          <w:b/>
          <w:bCs/>
          <w:szCs w:val="26"/>
          <w:lang w:val="es-419"/>
        </w:rPr>
        <w:t>oficial de construcción</w:t>
      </w:r>
      <w:r w:rsidR="00C06361" w:rsidRPr="008932A3">
        <w:rPr>
          <w:szCs w:val="26"/>
          <w:lang w:val="es-419"/>
        </w:rPr>
        <w:t xml:space="preserve">, cuya duración correspondió a </w:t>
      </w:r>
      <w:r w:rsidR="00C06361" w:rsidRPr="008932A3">
        <w:rPr>
          <w:b/>
          <w:bCs/>
          <w:szCs w:val="26"/>
          <w:lang w:val="es-419"/>
        </w:rPr>
        <w:t xml:space="preserve">5 meses </w:t>
      </w:r>
      <w:r w:rsidR="00C06361" w:rsidRPr="008932A3">
        <w:rPr>
          <w:szCs w:val="26"/>
          <w:lang w:val="es-419"/>
        </w:rPr>
        <w:t xml:space="preserve">y </w:t>
      </w:r>
      <w:r w:rsidR="00C06361" w:rsidRPr="008932A3">
        <w:rPr>
          <w:b/>
          <w:bCs/>
          <w:szCs w:val="26"/>
          <w:lang w:val="es-419"/>
        </w:rPr>
        <w:t>15 días calendarios</w:t>
      </w:r>
      <w:r w:rsidR="00C06361" w:rsidRPr="008932A3">
        <w:rPr>
          <w:szCs w:val="26"/>
          <w:lang w:val="es-419"/>
        </w:rPr>
        <w:t>, por valor de $9.680.000 (fol. 18-19</w:t>
      </w:r>
      <w:r w:rsidR="006875F9" w:rsidRPr="008932A3">
        <w:rPr>
          <w:szCs w:val="26"/>
          <w:lang w:val="es-419"/>
        </w:rPr>
        <w:t xml:space="preserve"> y 27</w:t>
      </w:r>
      <w:r w:rsidR="00C06361" w:rsidRPr="008932A3">
        <w:rPr>
          <w:szCs w:val="26"/>
          <w:lang w:val="es-419"/>
        </w:rPr>
        <w:t>)</w:t>
      </w:r>
      <w:r w:rsidR="0038400A" w:rsidRPr="008932A3">
        <w:rPr>
          <w:szCs w:val="26"/>
          <w:lang w:val="es-419"/>
        </w:rPr>
        <w:t>,</w:t>
      </w:r>
      <w:r w:rsidR="0038400A" w:rsidRPr="008932A3">
        <w:rPr>
          <w:szCs w:val="26"/>
        </w:rPr>
        <w:t xml:space="preserve"> servicio del que no hay duda alguna que se prestó, por cuanto el testigo Alberto Castañeda Márquez dio cuenta de haber trabajado con el demandante en virtud del citado contrato, primero en Tokio haciendo unos gaviones desde el mes de julio de 2015 y hasta el 31 de diciembre de la misma anualidad con la obra que se realizó en la Villa Olímpica</w:t>
      </w:r>
      <w:r w:rsidR="00A87C32" w:rsidRPr="008932A3">
        <w:rPr>
          <w:szCs w:val="26"/>
        </w:rPr>
        <w:t xml:space="preserve"> y en la cual participaron los dos.</w:t>
      </w:r>
    </w:p>
    <w:p w14:paraId="4F14A572" w14:textId="5B877635" w:rsidR="00C06361" w:rsidRPr="008932A3" w:rsidRDefault="00C06361" w:rsidP="008932A3">
      <w:pPr>
        <w:spacing w:line="276" w:lineRule="auto"/>
        <w:jc w:val="both"/>
        <w:rPr>
          <w:szCs w:val="26"/>
          <w:lang w:val="es-419"/>
        </w:rPr>
      </w:pPr>
    </w:p>
    <w:p w14:paraId="72FD268C" w14:textId="61E11C1B" w:rsidR="001570CB" w:rsidRPr="008932A3" w:rsidRDefault="001570CB" w:rsidP="008932A3">
      <w:pPr>
        <w:tabs>
          <w:tab w:val="left" w:pos="851"/>
        </w:tabs>
        <w:spacing w:line="276" w:lineRule="auto"/>
        <w:jc w:val="both"/>
        <w:rPr>
          <w:rFonts w:cs="Tahoma"/>
          <w:szCs w:val="26"/>
        </w:rPr>
      </w:pPr>
      <w:r w:rsidRPr="008932A3">
        <w:rPr>
          <w:rFonts w:cs="Tahoma"/>
          <w:szCs w:val="26"/>
        </w:rPr>
        <w:t xml:space="preserve">De aquí que, estando probada la prestación personal del servicio, se activa la presunción que dicha labor se desarrolló en el marco de un contrato de trabajo; por lo que se radicó en cabeza del extremo pasivo, el deber de desvirtuarla, para lo cual, basta con derruir </w:t>
      </w:r>
      <w:r w:rsidR="00F70E82" w:rsidRPr="008932A3">
        <w:rPr>
          <w:rFonts w:cs="Tahoma"/>
          <w:szCs w:val="26"/>
        </w:rPr>
        <w:t xml:space="preserve">la subordinación propia del </w:t>
      </w:r>
      <w:r w:rsidRPr="008932A3">
        <w:rPr>
          <w:rFonts w:cs="Tahoma"/>
          <w:szCs w:val="26"/>
        </w:rPr>
        <w:t>contrato de trabajo.  Por lo anterior, adujo la pasiva, que acudiendo a la contratación de la Ley 80 de 1993 y al carecer de personal suficiente para satisfacer la demanda, por lo que se requería de conocimientos especiales para la ejecución de la labor, sin que hubiera existido una relación subordinada, motivo por la cual la Sala entrará a analizar, si con las pruebas practicadas, se logró ese cometido.</w:t>
      </w:r>
    </w:p>
    <w:p w14:paraId="76CEB4DB" w14:textId="77777777" w:rsidR="001570CB" w:rsidRPr="008932A3" w:rsidRDefault="001570CB" w:rsidP="008932A3">
      <w:pPr>
        <w:spacing w:line="276" w:lineRule="auto"/>
        <w:jc w:val="both"/>
        <w:rPr>
          <w:szCs w:val="26"/>
          <w:lang w:val="es-419"/>
        </w:rPr>
      </w:pPr>
    </w:p>
    <w:p w14:paraId="5706B35C" w14:textId="7B6774F4" w:rsidR="00CE6D4B" w:rsidRPr="008932A3" w:rsidRDefault="006875F9" w:rsidP="008932A3">
      <w:pPr>
        <w:spacing w:line="276" w:lineRule="auto"/>
        <w:jc w:val="both"/>
        <w:rPr>
          <w:i/>
          <w:iCs/>
          <w:szCs w:val="26"/>
          <w:lang w:val="es-419"/>
        </w:rPr>
      </w:pPr>
      <w:r w:rsidRPr="008932A3">
        <w:rPr>
          <w:szCs w:val="26"/>
          <w:lang w:val="es-419"/>
        </w:rPr>
        <w:t>Pues bien</w:t>
      </w:r>
      <w:r w:rsidR="007178FB" w:rsidRPr="008932A3">
        <w:rPr>
          <w:szCs w:val="26"/>
          <w:lang w:val="es-419"/>
        </w:rPr>
        <w:t xml:space="preserve">, de acuerdo con el testimonio de </w:t>
      </w:r>
      <w:r w:rsidR="007178FB" w:rsidRPr="008932A3">
        <w:rPr>
          <w:b/>
          <w:bCs/>
          <w:szCs w:val="26"/>
          <w:lang w:val="es-419"/>
        </w:rPr>
        <w:t>Alberto Castañeda Márquez</w:t>
      </w:r>
      <w:r w:rsidR="007178FB" w:rsidRPr="008932A3">
        <w:rPr>
          <w:szCs w:val="26"/>
          <w:lang w:val="es-419"/>
        </w:rPr>
        <w:t xml:space="preserve">, quien trabajó 12 años con el Municipio de Pereira y excompañero de trabajo del demandante, indicó que, junto </w:t>
      </w:r>
      <w:r w:rsidR="00043A5D" w:rsidRPr="008932A3">
        <w:rPr>
          <w:szCs w:val="26"/>
          <w:lang w:val="es-419"/>
        </w:rPr>
        <w:t xml:space="preserve">a éste </w:t>
      </w:r>
      <w:r w:rsidR="007178FB" w:rsidRPr="008932A3">
        <w:rPr>
          <w:szCs w:val="26"/>
          <w:lang w:val="es-419"/>
        </w:rPr>
        <w:t>trabaj</w:t>
      </w:r>
      <w:r w:rsidRPr="008932A3">
        <w:rPr>
          <w:szCs w:val="26"/>
          <w:lang w:val="es-419"/>
        </w:rPr>
        <w:t>ó</w:t>
      </w:r>
      <w:r w:rsidR="007178FB" w:rsidRPr="008932A3">
        <w:rPr>
          <w:szCs w:val="26"/>
          <w:lang w:val="es-419"/>
        </w:rPr>
        <w:t xml:space="preserve"> </w:t>
      </w:r>
      <w:r w:rsidRPr="008932A3">
        <w:rPr>
          <w:szCs w:val="26"/>
          <w:lang w:val="es-419"/>
        </w:rPr>
        <w:t xml:space="preserve">cuatro </w:t>
      </w:r>
      <w:r w:rsidR="007178FB" w:rsidRPr="008932A3">
        <w:rPr>
          <w:szCs w:val="26"/>
          <w:lang w:val="es-419"/>
        </w:rPr>
        <w:t>meses en Tokio haciendo unos gaviones y</w:t>
      </w:r>
      <w:r w:rsidRPr="008932A3">
        <w:rPr>
          <w:szCs w:val="26"/>
          <w:lang w:val="es-419"/>
        </w:rPr>
        <w:t>,</w:t>
      </w:r>
      <w:r w:rsidR="007178FB" w:rsidRPr="008932A3">
        <w:rPr>
          <w:szCs w:val="26"/>
          <w:lang w:val="es-419"/>
        </w:rPr>
        <w:t xml:space="preserve"> luego</w:t>
      </w:r>
      <w:r w:rsidRPr="008932A3">
        <w:rPr>
          <w:szCs w:val="26"/>
          <w:lang w:val="es-419"/>
        </w:rPr>
        <w:t>,</w:t>
      </w:r>
      <w:r w:rsidR="007178FB" w:rsidRPr="008932A3">
        <w:rPr>
          <w:szCs w:val="26"/>
          <w:lang w:val="es-419"/>
        </w:rPr>
        <w:t xml:space="preserve"> en la Villa </w:t>
      </w:r>
      <w:r w:rsidRPr="008932A3">
        <w:rPr>
          <w:szCs w:val="26"/>
          <w:lang w:val="es-419"/>
        </w:rPr>
        <w:t>Olímpica</w:t>
      </w:r>
      <w:r w:rsidR="007178FB" w:rsidRPr="008932A3">
        <w:rPr>
          <w:szCs w:val="26"/>
          <w:lang w:val="es-419"/>
        </w:rPr>
        <w:t xml:space="preserve"> haciendo la cancha de patinaje, la cual fue terminada el 31 de diciembre de 2015.  Entre otros aspectos, en su exposición denotó que </w:t>
      </w:r>
      <w:r w:rsidR="007178FB" w:rsidRPr="008932A3">
        <w:rPr>
          <w:b/>
          <w:bCs/>
          <w:i/>
          <w:iCs/>
          <w:szCs w:val="26"/>
          <w:lang w:val="es-419"/>
        </w:rPr>
        <w:t>(i)</w:t>
      </w:r>
      <w:r w:rsidR="007178FB" w:rsidRPr="008932A3">
        <w:rPr>
          <w:szCs w:val="26"/>
          <w:lang w:val="es-419"/>
        </w:rPr>
        <w:t xml:space="preserve"> el demandante era ayudante de construcción, ejecutando las órdenes recibidas por los ingenieros del municipio – secretar</w:t>
      </w:r>
      <w:r w:rsidR="00043A5D" w:rsidRPr="008932A3">
        <w:rPr>
          <w:szCs w:val="26"/>
          <w:lang w:val="es-419"/>
        </w:rPr>
        <w:t>í</w:t>
      </w:r>
      <w:r w:rsidR="007178FB" w:rsidRPr="008932A3">
        <w:rPr>
          <w:szCs w:val="26"/>
          <w:lang w:val="es-419"/>
        </w:rPr>
        <w:t xml:space="preserve">a de infraestructura-, </w:t>
      </w:r>
      <w:r w:rsidR="007178FB" w:rsidRPr="008932A3">
        <w:rPr>
          <w:b/>
          <w:bCs/>
          <w:i/>
          <w:iCs/>
          <w:szCs w:val="26"/>
          <w:lang w:val="es-419"/>
        </w:rPr>
        <w:t>(ii)</w:t>
      </w:r>
      <w:r w:rsidR="007178FB" w:rsidRPr="008932A3">
        <w:rPr>
          <w:szCs w:val="26"/>
          <w:lang w:val="es-419"/>
        </w:rPr>
        <w:t xml:space="preserve"> debía cumplir </w:t>
      </w:r>
      <w:r w:rsidR="00200FE3" w:rsidRPr="008932A3">
        <w:rPr>
          <w:szCs w:val="26"/>
          <w:lang w:val="es-419"/>
        </w:rPr>
        <w:t xml:space="preserve">con horarios estrictos desde las 7 am hasta las 5pm, contando solo con el tiempo del almuerzo; </w:t>
      </w:r>
      <w:r w:rsidR="00200FE3" w:rsidRPr="008932A3">
        <w:rPr>
          <w:b/>
          <w:bCs/>
          <w:i/>
          <w:iCs/>
          <w:szCs w:val="26"/>
          <w:lang w:val="es-419"/>
        </w:rPr>
        <w:t>(iii)</w:t>
      </w:r>
      <w:r w:rsidR="00200FE3" w:rsidRPr="008932A3">
        <w:rPr>
          <w:szCs w:val="26"/>
          <w:lang w:val="es-419"/>
        </w:rPr>
        <w:t xml:space="preserve"> Como trabajadores, eran recogidos en San </w:t>
      </w:r>
      <w:r w:rsidR="00043A5D" w:rsidRPr="008932A3">
        <w:rPr>
          <w:szCs w:val="26"/>
          <w:lang w:val="es-419"/>
        </w:rPr>
        <w:t>Joaquín</w:t>
      </w:r>
      <w:r w:rsidR="00200FE3" w:rsidRPr="008932A3">
        <w:rPr>
          <w:szCs w:val="26"/>
          <w:lang w:val="es-419"/>
        </w:rPr>
        <w:t xml:space="preserve"> donde iban todos los </w:t>
      </w:r>
      <w:r w:rsidR="00043A5D" w:rsidRPr="008932A3">
        <w:rPr>
          <w:szCs w:val="26"/>
          <w:lang w:val="es-419"/>
        </w:rPr>
        <w:t>obreros</w:t>
      </w:r>
      <w:r w:rsidR="00200FE3" w:rsidRPr="008932A3">
        <w:rPr>
          <w:szCs w:val="26"/>
          <w:lang w:val="es-419"/>
        </w:rPr>
        <w:t xml:space="preserve">, siendo trasladados a las obras junto con otros trabajadores, incluyendo a los de planta, en el transporte suministrado por el Municipio de Pereira; </w:t>
      </w:r>
      <w:r w:rsidR="00200FE3" w:rsidRPr="008932A3">
        <w:rPr>
          <w:b/>
          <w:bCs/>
          <w:i/>
          <w:iCs/>
          <w:szCs w:val="26"/>
          <w:lang w:val="es-419"/>
        </w:rPr>
        <w:t>(iv)</w:t>
      </w:r>
      <w:r w:rsidR="00200FE3" w:rsidRPr="008932A3">
        <w:rPr>
          <w:szCs w:val="26"/>
          <w:lang w:val="es-419"/>
        </w:rPr>
        <w:t xml:space="preserve"> la herramienta utilizada era la entregada por el Municipio; </w:t>
      </w:r>
      <w:r w:rsidR="00CE6D4B" w:rsidRPr="008932A3">
        <w:rPr>
          <w:b/>
          <w:bCs/>
          <w:i/>
          <w:iCs/>
          <w:szCs w:val="26"/>
          <w:lang w:val="es-419"/>
        </w:rPr>
        <w:t>(v)</w:t>
      </w:r>
      <w:r w:rsidR="00CE6D4B" w:rsidRPr="008932A3">
        <w:rPr>
          <w:i/>
          <w:iCs/>
          <w:szCs w:val="26"/>
          <w:lang w:val="es-419"/>
        </w:rPr>
        <w:t xml:space="preserve"> </w:t>
      </w:r>
      <w:r w:rsidR="00CE6D4B" w:rsidRPr="008932A3">
        <w:rPr>
          <w:szCs w:val="26"/>
          <w:lang w:val="es-419"/>
        </w:rPr>
        <w:t>cuando participaban los obreros de la planta de personal, tanto ellos como los contratistas recibían órdenes del ingeniero, estaban encargados de hacer lo mismo, pero había un trato diferenciado porque aqu</w:t>
      </w:r>
      <w:r w:rsidR="00B5462F" w:rsidRPr="008932A3">
        <w:rPr>
          <w:szCs w:val="26"/>
          <w:lang w:val="es-419"/>
        </w:rPr>
        <w:t>é</w:t>
      </w:r>
      <w:r w:rsidR="00CE6D4B" w:rsidRPr="008932A3">
        <w:rPr>
          <w:szCs w:val="26"/>
          <w:lang w:val="es-419"/>
        </w:rPr>
        <w:t>llos se iban primero, quedando los contratistas continuando con la</w:t>
      </w:r>
      <w:r w:rsidR="00043A5D" w:rsidRPr="008932A3">
        <w:rPr>
          <w:szCs w:val="26"/>
          <w:lang w:val="es-419"/>
        </w:rPr>
        <w:t>s</w:t>
      </w:r>
      <w:r w:rsidR="00CE6D4B" w:rsidRPr="008932A3">
        <w:rPr>
          <w:szCs w:val="26"/>
          <w:lang w:val="es-419"/>
        </w:rPr>
        <w:t xml:space="preserve"> obras, extendiéndose en los horarios porque estaban obligados a terminar la labor</w:t>
      </w:r>
      <w:r w:rsidR="00B5462F" w:rsidRPr="008932A3">
        <w:rPr>
          <w:szCs w:val="26"/>
          <w:lang w:val="es-419"/>
        </w:rPr>
        <w:t xml:space="preserve">; </w:t>
      </w:r>
      <w:r w:rsidR="00CE6D4B" w:rsidRPr="008932A3">
        <w:rPr>
          <w:b/>
          <w:bCs/>
          <w:i/>
          <w:iCs/>
          <w:szCs w:val="26"/>
          <w:lang w:val="es-419"/>
        </w:rPr>
        <w:t xml:space="preserve">(vi) </w:t>
      </w:r>
      <w:r w:rsidR="00B5462F" w:rsidRPr="008932A3">
        <w:rPr>
          <w:szCs w:val="26"/>
          <w:lang w:val="es-419"/>
        </w:rPr>
        <w:t>En caso de tener alguna diligencia, estaban obligados a pedir permiso al Ingeniero</w:t>
      </w:r>
      <w:r w:rsidR="00A87C32" w:rsidRPr="008932A3">
        <w:rPr>
          <w:szCs w:val="26"/>
        </w:rPr>
        <w:t xml:space="preserve"> del Municipio</w:t>
      </w:r>
      <w:r w:rsidR="00B5462F" w:rsidRPr="008932A3">
        <w:rPr>
          <w:szCs w:val="26"/>
          <w:lang w:val="es-419"/>
        </w:rPr>
        <w:t>, debiendo</w:t>
      </w:r>
      <w:r w:rsidR="00043A5D" w:rsidRPr="008932A3">
        <w:rPr>
          <w:szCs w:val="26"/>
          <w:lang w:val="es-419"/>
        </w:rPr>
        <w:t>,</w:t>
      </w:r>
      <w:r w:rsidR="00B5462F" w:rsidRPr="008932A3">
        <w:rPr>
          <w:szCs w:val="26"/>
          <w:lang w:val="es-419"/>
        </w:rPr>
        <w:t xml:space="preserve"> en todo caso</w:t>
      </w:r>
      <w:r w:rsidR="00043A5D" w:rsidRPr="008932A3">
        <w:rPr>
          <w:szCs w:val="26"/>
          <w:lang w:val="es-419"/>
        </w:rPr>
        <w:t>,</w:t>
      </w:r>
      <w:r w:rsidR="00B5462F" w:rsidRPr="008932A3">
        <w:rPr>
          <w:szCs w:val="26"/>
          <w:lang w:val="es-419"/>
        </w:rPr>
        <w:t xml:space="preserve"> </w:t>
      </w:r>
      <w:r w:rsidR="00043A5D" w:rsidRPr="008932A3">
        <w:rPr>
          <w:szCs w:val="26"/>
          <w:lang w:val="es-419"/>
        </w:rPr>
        <w:t xml:space="preserve">compensar </w:t>
      </w:r>
      <w:r w:rsidR="00B5462F" w:rsidRPr="008932A3">
        <w:rPr>
          <w:szCs w:val="26"/>
          <w:lang w:val="es-419"/>
        </w:rPr>
        <w:t>el tiempo en que estuvieron ausentes y, de terminar antes, estaban obligados a informar</w:t>
      </w:r>
      <w:r w:rsidR="00043A5D" w:rsidRPr="008932A3">
        <w:rPr>
          <w:szCs w:val="26"/>
          <w:lang w:val="es-419"/>
        </w:rPr>
        <w:t xml:space="preserve">, siendo enviados </w:t>
      </w:r>
      <w:r w:rsidR="00B5462F" w:rsidRPr="008932A3">
        <w:rPr>
          <w:szCs w:val="26"/>
          <w:lang w:val="es-419"/>
        </w:rPr>
        <w:t xml:space="preserve">a reforzar otras obras donde necesitaban </w:t>
      </w:r>
      <w:r w:rsidR="00043A5D" w:rsidRPr="008932A3">
        <w:rPr>
          <w:szCs w:val="26"/>
          <w:lang w:val="es-419"/>
        </w:rPr>
        <w:t xml:space="preserve">al </w:t>
      </w:r>
      <w:r w:rsidR="00B5462F" w:rsidRPr="008932A3">
        <w:rPr>
          <w:szCs w:val="26"/>
          <w:lang w:val="es-419"/>
        </w:rPr>
        <w:t xml:space="preserve">personal; </w:t>
      </w:r>
      <w:r w:rsidR="00B5462F" w:rsidRPr="008932A3">
        <w:rPr>
          <w:b/>
          <w:bCs/>
          <w:szCs w:val="26"/>
          <w:lang w:val="es-419"/>
        </w:rPr>
        <w:t>(</w:t>
      </w:r>
      <w:r w:rsidR="00B5462F" w:rsidRPr="008932A3">
        <w:rPr>
          <w:b/>
          <w:bCs/>
          <w:i/>
          <w:iCs/>
          <w:szCs w:val="26"/>
          <w:lang w:val="es-419"/>
        </w:rPr>
        <w:t>vii)</w:t>
      </w:r>
      <w:r w:rsidR="00B5462F" w:rsidRPr="008932A3">
        <w:rPr>
          <w:i/>
          <w:iCs/>
          <w:szCs w:val="26"/>
          <w:lang w:val="es-419"/>
        </w:rPr>
        <w:t xml:space="preserve"> </w:t>
      </w:r>
      <w:r w:rsidR="00B5462F" w:rsidRPr="008932A3">
        <w:rPr>
          <w:szCs w:val="26"/>
          <w:lang w:val="es-419"/>
        </w:rPr>
        <w:t xml:space="preserve">La labor no podía delegarse en otro para su reemplazo, que podían ser asignados a los de planta y </w:t>
      </w:r>
      <w:r w:rsidR="00B5462F" w:rsidRPr="008932A3">
        <w:rPr>
          <w:b/>
          <w:bCs/>
          <w:i/>
          <w:iCs/>
          <w:szCs w:val="26"/>
          <w:lang w:val="es-419"/>
        </w:rPr>
        <w:t xml:space="preserve">(ix) </w:t>
      </w:r>
      <w:r w:rsidR="00B5462F" w:rsidRPr="008932A3">
        <w:rPr>
          <w:szCs w:val="26"/>
          <w:lang w:val="es-419"/>
        </w:rPr>
        <w:t>la razón por las que se acudió a los contratista</w:t>
      </w:r>
      <w:r w:rsidR="00043A5D" w:rsidRPr="008932A3">
        <w:rPr>
          <w:szCs w:val="26"/>
          <w:lang w:val="es-419"/>
        </w:rPr>
        <w:t>s</w:t>
      </w:r>
      <w:r w:rsidR="00B5462F" w:rsidRPr="008932A3">
        <w:rPr>
          <w:szCs w:val="26"/>
          <w:lang w:val="es-419"/>
        </w:rPr>
        <w:t xml:space="preserve"> era básicamente porque las construcciones demoraban menos</w:t>
      </w:r>
      <w:r w:rsidR="00043A5D" w:rsidRPr="008932A3">
        <w:rPr>
          <w:szCs w:val="26"/>
          <w:lang w:val="es-419"/>
        </w:rPr>
        <w:t xml:space="preserve"> con éstos</w:t>
      </w:r>
      <w:r w:rsidR="00B5462F" w:rsidRPr="008932A3">
        <w:rPr>
          <w:szCs w:val="26"/>
          <w:lang w:val="es-419"/>
        </w:rPr>
        <w:t>.</w:t>
      </w:r>
    </w:p>
    <w:p w14:paraId="3E9A9516" w14:textId="79FFBC0B" w:rsidR="007178FB" w:rsidRPr="008932A3" w:rsidRDefault="007178FB" w:rsidP="008932A3">
      <w:pPr>
        <w:spacing w:line="276" w:lineRule="auto"/>
        <w:jc w:val="both"/>
        <w:rPr>
          <w:szCs w:val="26"/>
          <w:lang w:val="es-419"/>
        </w:rPr>
      </w:pPr>
    </w:p>
    <w:p w14:paraId="224FD728" w14:textId="005BB9E8" w:rsidR="007178FB" w:rsidRPr="008932A3" w:rsidRDefault="0011459D" w:rsidP="008932A3">
      <w:pPr>
        <w:spacing w:line="276" w:lineRule="auto"/>
        <w:jc w:val="both"/>
        <w:rPr>
          <w:rFonts w:cs="Tahoma"/>
          <w:szCs w:val="26"/>
          <w:lang w:val="es-ES"/>
        </w:rPr>
      </w:pPr>
      <w:r w:rsidRPr="008932A3">
        <w:rPr>
          <w:szCs w:val="26"/>
          <w:lang w:val="es-419"/>
        </w:rPr>
        <w:t xml:space="preserve">Las anteriores condiciones develan que efectivamente el demandante se encontraba frente a una </w:t>
      </w:r>
      <w:r w:rsidR="00DE176F" w:rsidRPr="008932A3">
        <w:rPr>
          <w:szCs w:val="26"/>
          <w:lang w:val="es-419"/>
        </w:rPr>
        <w:t>relación subordinada, pues ejerci</w:t>
      </w:r>
      <w:r w:rsidR="00BE3FC3" w:rsidRPr="008932A3">
        <w:rPr>
          <w:szCs w:val="26"/>
          <w:lang w:val="es-419"/>
        </w:rPr>
        <w:t>ó</w:t>
      </w:r>
      <w:r w:rsidR="00DE176F" w:rsidRPr="008932A3">
        <w:rPr>
          <w:szCs w:val="26"/>
          <w:lang w:val="es-419"/>
        </w:rPr>
        <w:t xml:space="preserve"> funciones connaturales a la actividad misional del Municipio de Pereira</w:t>
      </w:r>
      <w:r w:rsidR="008F077A" w:rsidRPr="008932A3">
        <w:rPr>
          <w:szCs w:val="26"/>
          <w:lang w:val="es-419"/>
        </w:rPr>
        <w:t xml:space="preserve">, </w:t>
      </w:r>
      <w:r w:rsidR="008F077A" w:rsidRPr="008932A3">
        <w:rPr>
          <w:rFonts w:cs="Tahoma"/>
          <w:szCs w:val="26"/>
          <w:lang w:val="es-ES"/>
        </w:rPr>
        <w:t>como oficial de construcción para cumplir con el servicio público dirigido a la construcción o sostenimiento de obras públicas, lo cual no solo se sustenta en la documental aportada, sino también, en las referencias realizadas por el testigo escuchado en juicio</w:t>
      </w:r>
      <w:r w:rsidR="00BE3FC3" w:rsidRPr="008932A3">
        <w:rPr>
          <w:rFonts w:cs="Tahoma"/>
          <w:szCs w:val="26"/>
          <w:lang w:val="es-ES"/>
        </w:rPr>
        <w:t xml:space="preserve">. </w:t>
      </w:r>
      <w:r w:rsidR="00AC5DD9" w:rsidRPr="008932A3">
        <w:rPr>
          <w:rFonts w:cs="Tahoma"/>
          <w:szCs w:val="26"/>
          <w:lang w:val="es-ES"/>
        </w:rPr>
        <w:t xml:space="preserve">Dicho material probatorio, </w:t>
      </w:r>
      <w:r w:rsidR="00AC5DD9" w:rsidRPr="008932A3">
        <w:rPr>
          <w:szCs w:val="26"/>
          <w:lang w:val="es-419"/>
        </w:rPr>
        <w:t xml:space="preserve">conllevó a concluir </w:t>
      </w:r>
      <w:r w:rsidR="001E0A82" w:rsidRPr="008932A3">
        <w:rPr>
          <w:szCs w:val="26"/>
          <w:lang w:val="es-419"/>
        </w:rPr>
        <w:t xml:space="preserve">que </w:t>
      </w:r>
      <w:r w:rsidR="00AC5DD9" w:rsidRPr="008932A3">
        <w:rPr>
          <w:szCs w:val="26"/>
          <w:lang w:val="es-419"/>
        </w:rPr>
        <w:t xml:space="preserve">la </w:t>
      </w:r>
      <w:r w:rsidR="001E0A82" w:rsidRPr="008932A3">
        <w:rPr>
          <w:szCs w:val="26"/>
          <w:lang w:val="es-419"/>
        </w:rPr>
        <w:t xml:space="preserve">labor </w:t>
      </w:r>
      <w:r w:rsidR="00AC5DD9" w:rsidRPr="008932A3">
        <w:rPr>
          <w:szCs w:val="26"/>
          <w:lang w:val="es-419"/>
        </w:rPr>
        <w:t xml:space="preserve">desplegada </w:t>
      </w:r>
      <w:r w:rsidR="001E0A82" w:rsidRPr="008932A3">
        <w:rPr>
          <w:szCs w:val="26"/>
          <w:lang w:val="es-419"/>
        </w:rPr>
        <w:t xml:space="preserve">no </w:t>
      </w:r>
      <w:r w:rsidR="00BE3FC3" w:rsidRPr="008932A3">
        <w:rPr>
          <w:szCs w:val="26"/>
          <w:lang w:val="es-419"/>
        </w:rPr>
        <w:t xml:space="preserve">era de </w:t>
      </w:r>
      <w:r w:rsidR="001E0A82" w:rsidRPr="008932A3">
        <w:rPr>
          <w:szCs w:val="26"/>
          <w:lang w:val="es-419"/>
        </w:rPr>
        <w:t>naturaleza especializada</w:t>
      </w:r>
      <w:r w:rsidR="00AC5DD9" w:rsidRPr="008932A3">
        <w:rPr>
          <w:szCs w:val="26"/>
          <w:lang w:val="es-419"/>
        </w:rPr>
        <w:t>,</w:t>
      </w:r>
      <w:r w:rsidR="001E0A82" w:rsidRPr="008932A3">
        <w:rPr>
          <w:szCs w:val="26"/>
          <w:lang w:val="es-419"/>
        </w:rPr>
        <w:t xml:space="preserve"> </w:t>
      </w:r>
      <w:r w:rsidR="00AC2046" w:rsidRPr="008932A3">
        <w:rPr>
          <w:szCs w:val="26"/>
          <w:lang w:val="es-419"/>
        </w:rPr>
        <w:t xml:space="preserve">por lo que no </w:t>
      </w:r>
      <w:r w:rsidR="001E0A82" w:rsidRPr="008932A3">
        <w:rPr>
          <w:szCs w:val="26"/>
          <w:lang w:val="es-419"/>
        </w:rPr>
        <w:t xml:space="preserve">requería de conocimientos </w:t>
      </w:r>
      <w:r w:rsidR="00AC2046" w:rsidRPr="008932A3">
        <w:rPr>
          <w:szCs w:val="26"/>
          <w:lang w:val="es-419"/>
        </w:rPr>
        <w:t xml:space="preserve">avanzados </w:t>
      </w:r>
      <w:r w:rsidR="001E0A82" w:rsidRPr="008932A3">
        <w:rPr>
          <w:szCs w:val="26"/>
          <w:lang w:val="es-419"/>
        </w:rPr>
        <w:t>para su ejecución, de manera tal, que no pudiera ser realizad</w:t>
      </w:r>
      <w:r w:rsidR="00BE3FC3" w:rsidRPr="008932A3">
        <w:rPr>
          <w:szCs w:val="26"/>
          <w:lang w:val="es-419"/>
        </w:rPr>
        <w:t>a</w:t>
      </w:r>
      <w:r w:rsidR="001E0A82" w:rsidRPr="008932A3">
        <w:rPr>
          <w:szCs w:val="26"/>
          <w:lang w:val="es-419"/>
        </w:rPr>
        <w:t xml:space="preserve"> por quienes ocupaban </w:t>
      </w:r>
      <w:r w:rsidR="00BE3FC3" w:rsidRPr="008932A3">
        <w:rPr>
          <w:szCs w:val="26"/>
          <w:lang w:val="es-419"/>
        </w:rPr>
        <w:t xml:space="preserve">los </w:t>
      </w:r>
      <w:r w:rsidR="001E0A82" w:rsidRPr="008932A3">
        <w:rPr>
          <w:szCs w:val="26"/>
          <w:lang w:val="es-419"/>
        </w:rPr>
        <w:t>cargos de planta</w:t>
      </w:r>
      <w:r w:rsidR="00BE3FC3" w:rsidRPr="008932A3">
        <w:rPr>
          <w:szCs w:val="26"/>
          <w:lang w:val="es-419"/>
        </w:rPr>
        <w:t xml:space="preserve"> de personal con similares connotaciones</w:t>
      </w:r>
      <w:r w:rsidR="00AC2046" w:rsidRPr="008932A3">
        <w:rPr>
          <w:szCs w:val="26"/>
          <w:lang w:val="es-419"/>
        </w:rPr>
        <w:t xml:space="preserve"> y, según lo escuchado</w:t>
      </w:r>
      <w:r w:rsidR="00BE3FC3" w:rsidRPr="008932A3">
        <w:rPr>
          <w:szCs w:val="26"/>
          <w:lang w:val="es-419"/>
        </w:rPr>
        <w:t xml:space="preserve">, </w:t>
      </w:r>
      <w:r w:rsidR="00AC2046" w:rsidRPr="008932A3">
        <w:rPr>
          <w:szCs w:val="26"/>
          <w:lang w:val="es-419"/>
        </w:rPr>
        <w:t xml:space="preserve">el actor debía adoptar un comportamiento </w:t>
      </w:r>
      <w:r w:rsidR="001E0A82" w:rsidRPr="008932A3">
        <w:rPr>
          <w:szCs w:val="26"/>
          <w:lang w:val="es-419"/>
        </w:rPr>
        <w:t xml:space="preserve">similar </w:t>
      </w:r>
      <w:r w:rsidR="00AC2046" w:rsidRPr="008932A3">
        <w:rPr>
          <w:szCs w:val="26"/>
          <w:lang w:val="es-419"/>
        </w:rPr>
        <w:t>a los de la planta de personal</w:t>
      </w:r>
      <w:r w:rsidR="00BE3FC3" w:rsidRPr="008932A3">
        <w:rPr>
          <w:szCs w:val="26"/>
          <w:lang w:val="es-419"/>
        </w:rPr>
        <w:t xml:space="preserve">, </w:t>
      </w:r>
      <w:r w:rsidR="00AC2046" w:rsidRPr="008932A3">
        <w:rPr>
          <w:szCs w:val="26"/>
          <w:lang w:val="es-419"/>
        </w:rPr>
        <w:t xml:space="preserve">pues tenía que </w:t>
      </w:r>
      <w:r w:rsidR="00BE3FC3" w:rsidRPr="008932A3">
        <w:rPr>
          <w:szCs w:val="26"/>
          <w:lang w:val="es-419"/>
        </w:rPr>
        <w:t xml:space="preserve">atender las instrucciones, </w:t>
      </w:r>
      <w:r w:rsidR="00AC2046" w:rsidRPr="008932A3">
        <w:rPr>
          <w:szCs w:val="26"/>
          <w:lang w:val="es-419"/>
        </w:rPr>
        <w:t xml:space="preserve">los </w:t>
      </w:r>
      <w:r w:rsidR="00BE3FC3" w:rsidRPr="008932A3">
        <w:rPr>
          <w:szCs w:val="26"/>
          <w:lang w:val="es-419"/>
        </w:rPr>
        <w:t xml:space="preserve">horarios y órdenes de los </w:t>
      </w:r>
      <w:r w:rsidR="00AC2046" w:rsidRPr="008932A3">
        <w:rPr>
          <w:szCs w:val="26"/>
          <w:lang w:val="es-419"/>
        </w:rPr>
        <w:t>I</w:t>
      </w:r>
      <w:r w:rsidR="00BE3FC3" w:rsidRPr="008932A3">
        <w:rPr>
          <w:szCs w:val="26"/>
          <w:lang w:val="es-419"/>
        </w:rPr>
        <w:t xml:space="preserve">ngenieros de la secretaria de infraestructura del Municipio, sin que existiera por lo tanto liberalidad del trabajador para su ejecución tal y como se requiere para los contratos de prestación de servicios. Tales aspectos, lleva a la misma conclusión a la que arribó la a-quo, esto </w:t>
      </w:r>
      <w:r w:rsidR="00BE3FC3" w:rsidRPr="008932A3">
        <w:rPr>
          <w:szCs w:val="26"/>
          <w:lang w:val="es-419"/>
        </w:rPr>
        <w:lastRenderedPageBreak/>
        <w:t xml:space="preserve">es, que se </w:t>
      </w:r>
      <w:r w:rsidR="00383735" w:rsidRPr="008932A3">
        <w:rPr>
          <w:szCs w:val="26"/>
          <w:lang w:val="es-419"/>
        </w:rPr>
        <w:t>estuvo bajo un contrato de trabajo</w:t>
      </w:r>
      <w:r w:rsidR="00BE3FC3" w:rsidRPr="008932A3">
        <w:rPr>
          <w:szCs w:val="26"/>
          <w:lang w:val="es-419"/>
        </w:rPr>
        <w:t>, siendo la calidad del trabajador la de trabajador oficial (</w:t>
      </w:r>
      <w:r w:rsidR="00BE3FC3" w:rsidRPr="008932A3">
        <w:rPr>
          <w:rFonts w:cs="Tahoma"/>
          <w:szCs w:val="26"/>
          <w:lang w:val="es-ES"/>
        </w:rPr>
        <w:t>Art. 292 del Decreto 1333 de 1986).</w:t>
      </w:r>
    </w:p>
    <w:p w14:paraId="6613AE69" w14:textId="1C16DAAC" w:rsidR="00290762" w:rsidRPr="008932A3" w:rsidRDefault="00290762" w:rsidP="008932A3">
      <w:pPr>
        <w:spacing w:line="276" w:lineRule="auto"/>
        <w:jc w:val="both"/>
        <w:rPr>
          <w:rFonts w:cs="Tahoma"/>
          <w:szCs w:val="26"/>
          <w:lang w:val="es-ES"/>
        </w:rPr>
      </w:pPr>
    </w:p>
    <w:p w14:paraId="222AAEE8" w14:textId="1FA10D47" w:rsidR="001570CB" w:rsidRPr="008932A3" w:rsidRDefault="001570CB" w:rsidP="008932A3">
      <w:pPr>
        <w:spacing w:line="276" w:lineRule="auto"/>
        <w:jc w:val="both"/>
        <w:rPr>
          <w:szCs w:val="26"/>
          <w:lang w:val="es-419"/>
        </w:rPr>
      </w:pPr>
      <w:r w:rsidRPr="008932A3">
        <w:rPr>
          <w:szCs w:val="26"/>
          <w:lang w:val="es-419"/>
        </w:rPr>
        <w:t>Aclarado lo anterior, se procede a continuación a analizar el objeto de la apelación incoada por la vocera del Municipio demandado.</w:t>
      </w:r>
    </w:p>
    <w:p w14:paraId="33A526F7" w14:textId="61D48DF9" w:rsidR="001D044B" w:rsidRPr="008932A3" w:rsidRDefault="001D044B" w:rsidP="008932A3">
      <w:pPr>
        <w:spacing w:line="276" w:lineRule="auto"/>
        <w:jc w:val="both"/>
        <w:rPr>
          <w:szCs w:val="26"/>
          <w:lang w:val="es-419"/>
        </w:rPr>
      </w:pPr>
    </w:p>
    <w:p w14:paraId="49B17A7E" w14:textId="7B765985" w:rsidR="0075522F" w:rsidRPr="008932A3" w:rsidRDefault="0075522F" w:rsidP="008932A3">
      <w:pPr>
        <w:pStyle w:val="Prrafodelista"/>
        <w:numPr>
          <w:ilvl w:val="2"/>
          <w:numId w:val="1"/>
        </w:numPr>
        <w:tabs>
          <w:tab w:val="left" w:pos="709"/>
        </w:tabs>
        <w:spacing w:line="276" w:lineRule="auto"/>
        <w:ind w:hanging="1224"/>
        <w:jc w:val="both"/>
        <w:rPr>
          <w:b/>
          <w:bCs/>
          <w:sz w:val="26"/>
          <w:szCs w:val="26"/>
        </w:rPr>
      </w:pPr>
      <w:r w:rsidRPr="008932A3">
        <w:rPr>
          <w:b/>
          <w:bCs/>
          <w:sz w:val="26"/>
          <w:szCs w:val="26"/>
        </w:rPr>
        <w:t>De la indemnización moratoria por falta de pago.</w:t>
      </w:r>
    </w:p>
    <w:p w14:paraId="15DDA5F1" w14:textId="7253AE9F" w:rsidR="0075522F" w:rsidRPr="008932A3" w:rsidRDefault="0075522F" w:rsidP="008932A3">
      <w:pPr>
        <w:tabs>
          <w:tab w:val="left" w:pos="709"/>
        </w:tabs>
        <w:spacing w:line="276" w:lineRule="auto"/>
        <w:jc w:val="both"/>
        <w:rPr>
          <w:b/>
          <w:bCs/>
          <w:szCs w:val="26"/>
        </w:rPr>
      </w:pPr>
    </w:p>
    <w:p w14:paraId="7F102B98" w14:textId="351D8A61" w:rsidR="004F3004" w:rsidRPr="008932A3" w:rsidRDefault="004F3004" w:rsidP="008932A3">
      <w:pPr>
        <w:spacing w:line="276" w:lineRule="auto"/>
        <w:jc w:val="both"/>
        <w:rPr>
          <w:szCs w:val="26"/>
          <w:lang w:val="es-419"/>
        </w:rPr>
      </w:pPr>
      <w:r w:rsidRPr="008932A3">
        <w:rPr>
          <w:szCs w:val="26"/>
          <w:lang w:val="es-419"/>
        </w:rPr>
        <w:t>Con respecto a la indemnización moratoria, ha precisado la jurisprudencia que su imposición, establecida en el parágrafo 2º del artículo 1º del  Decreto 797 de 1949,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2A65623A" w14:textId="77777777" w:rsidR="004F3004" w:rsidRPr="008932A3" w:rsidRDefault="004F3004" w:rsidP="008932A3">
      <w:pPr>
        <w:spacing w:line="276" w:lineRule="auto"/>
        <w:jc w:val="both"/>
        <w:rPr>
          <w:szCs w:val="26"/>
          <w:lang w:val="es-419"/>
        </w:rPr>
      </w:pPr>
    </w:p>
    <w:p w14:paraId="0E76163A" w14:textId="1376E2F7" w:rsidR="004F3004" w:rsidRPr="008932A3" w:rsidRDefault="004F3004" w:rsidP="008932A3">
      <w:pPr>
        <w:spacing w:line="276" w:lineRule="auto"/>
        <w:jc w:val="both"/>
        <w:rPr>
          <w:szCs w:val="26"/>
          <w:lang w:val="es-419"/>
        </w:rPr>
      </w:pPr>
      <w:r w:rsidRPr="008932A3">
        <w:rPr>
          <w:szCs w:val="26"/>
          <w:lang w:val="es-419"/>
        </w:rPr>
        <w:t>En el caso objeto de estudio, bien se puede ver que las circunstancias que rodearon la relación entre el actor y la entidad demandada no daban para que la naturaleza del contrato fuera discutible, pues es evidente que la relación que existió entre las partes se torna de carácter netamente laboral, en razón a las actividades desarrolladas que denotan tareas propias de un trabajador oficial de planta</w:t>
      </w:r>
      <w:r w:rsidR="0011459D" w:rsidRPr="008932A3">
        <w:rPr>
          <w:szCs w:val="26"/>
          <w:lang w:val="es-419"/>
        </w:rPr>
        <w:t xml:space="preserve"> del Municipio de Pereira</w:t>
      </w:r>
      <w:r w:rsidRPr="008932A3">
        <w:rPr>
          <w:szCs w:val="26"/>
          <w:lang w:val="es-419"/>
        </w:rPr>
        <w:t>, las cuales fueron ejecutadas bajo la continua dependencia y subordinación; relación laboral que, valga anotar, se ocultó bajo la denominación de un contrato de prestación de servicios, con el propósito de eludir el cumplimiento de obligaciones legales, contractuales o convencionales que se generan en favor del actor</w:t>
      </w:r>
      <w:r w:rsidR="0011459D" w:rsidRPr="008932A3">
        <w:rPr>
          <w:szCs w:val="26"/>
          <w:lang w:val="es-419"/>
        </w:rPr>
        <w:t xml:space="preserve">, </w:t>
      </w:r>
      <w:r w:rsidR="005E0514" w:rsidRPr="008932A3">
        <w:rPr>
          <w:szCs w:val="26"/>
          <w:lang w:val="es-419"/>
        </w:rPr>
        <w:t xml:space="preserve">son aspectos que </w:t>
      </w:r>
      <w:r w:rsidR="0011459D" w:rsidRPr="008932A3">
        <w:rPr>
          <w:szCs w:val="26"/>
          <w:lang w:val="es-419"/>
        </w:rPr>
        <w:t xml:space="preserve">conllevan a que </w:t>
      </w:r>
      <w:r w:rsidR="005E0514" w:rsidRPr="008932A3">
        <w:rPr>
          <w:szCs w:val="26"/>
          <w:lang w:val="es-419"/>
        </w:rPr>
        <w:t xml:space="preserve">el demandado </w:t>
      </w:r>
      <w:r w:rsidR="0011459D" w:rsidRPr="008932A3">
        <w:rPr>
          <w:szCs w:val="26"/>
          <w:lang w:val="es-419"/>
        </w:rPr>
        <w:t>se haga merecedor de la indemnización moratoria tal y como lo estableció la Jueza de instancia.</w:t>
      </w:r>
    </w:p>
    <w:p w14:paraId="1E1B2171" w14:textId="7623C829" w:rsidR="0011459D" w:rsidRPr="008932A3" w:rsidRDefault="0011459D" w:rsidP="008932A3">
      <w:pPr>
        <w:spacing w:line="276" w:lineRule="auto"/>
        <w:jc w:val="both"/>
        <w:rPr>
          <w:szCs w:val="26"/>
          <w:lang w:val="es-419"/>
        </w:rPr>
      </w:pPr>
    </w:p>
    <w:p w14:paraId="1CC1857A" w14:textId="566F65FC" w:rsidR="00FC09DB" w:rsidRPr="008932A3" w:rsidRDefault="00290762" w:rsidP="008932A3">
      <w:pPr>
        <w:spacing w:line="276" w:lineRule="auto"/>
        <w:jc w:val="both"/>
        <w:rPr>
          <w:szCs w:val="26"/>
          <w:lang w:val="es-419"/>
        </w:rPr>
      </w:pPr>
      <w:r w:rsidRPr="008932A3">
        <w:rPr>
          <w:szCs w:val="26"/>
          <w:lang w:val="es-419"/>
        </w:rPr>
        <w:t xml:space="preserve">En cuanto </w:t>
      </w:r>
      <w:r w:rsidR="005A3967" w:rsidRPr="008932A3">
        <w:rPr>
          <w:szCs w:val="26"/>
          <w:lang w:val="es-419"/>
        </w:rPr>
        <w:t xml:space="preserve">a </w:t>
      </w:r>
      <w:r w:rsidRPr="008932A3">
        <w:rPr>
          <w:szCs w:val="26"/>
          <w:lang w:val="es-419"/>
        </w:rPr>
        <w:t>dicha sanción</w:t>
      </w:r>
      <w:r w:rsidR="005A3967" w:rsidRPr="008932A3">
        <w:rPr>
          <w:szCs w:val="26"/>
          <w:lang w:val="es-419"/>
        </w:rPr>
        <w:t>, esta Sala en sentencia del 14 de octubre de 2016 y en la reciente del 19 de julio de 2019 (rad. 2017-00584)</w:t>
      </w:r>
      <w:r w:rsidR="005A3967" w:rsidRPr="008932A3">
        <w:rPr>
          <w:rStyle w:val="Refdenotaalpie"/>
          <w:szCs w:val="26"/>
          <w:lang w:val="es-419"/>
        </w:rPr>
        <w:footnoteReference w:id="1"/>
      </w:r>
      <w:r w:rsidR="005A3967" w:rsidRPr="008932A3">
        <w:rPr>
          <w:szCs w:val="26"/>
          <w:lang w:val="es-419"/>
        </w:rPr>
        <w:t>, precisa:</w:t>
      </w:r>
    </w:p>
    <w:p w14:paraId="3FC7DDA4" w14:textId="3DF49F9F" w:rsidR="00FC09DB" w:rsidRPr="008932A3" w:rsidRDefault="00FC09DB" w:rsidP="008932A3">
      <w:pPr>
        <w:spacing w:line="276" w:lineRule="auto"/>
        <w:jc w:val="both"/>
        <w:rPr>
          <w:szCs w:val="26"/>
          <w:lang w:val="es-419"/>
        </w:rPr>
      </w:pPr>
    </w:p>
    <w:p w14:paraId="22845510" w14:textId="46BC08A6" w:rsidR="005A3967" w:rsidRPr="001672E6" w:rsidRDefault="005A3967" w:rsidP="001672E6">
      <w:pPr>
        <w:spacing w:line="240" w:lineRule="auto"/>
        <w:ind w:left="426" w:right="418"/>
        <w:jc w:val="both"/>
        <w:rPr>
          <w:sz w:val="24"/>
          <w:szCs w:val="26"/>
          <w:lang w:val="es-419"/>
        </w:rPr>
      </w:pPr>
      <w:r w:rsidRPr="001672E6">
        <w:rPr>
          <w:sz w:val="24"/>
          <w:szCs w:val="26"/>
          <w:lang w:val="es-419"/>
        </w:rPr>
        <w:t>“</w:t>
      </w:r>
      <w:r w:rsidR="007742C7" w:rsidRPr="001672E6">
        <w:rPr>
          <w:sz w:val="24"/>
          <w:szCs w:val="26"/>
          <w:lang w:val="es-419"/>
        </w:rPr>
        <w:t>…</w:t>
      </w:r>
      <w:r w:rsidR="001672E6" w:rsidRPr="001672E6">
        <w:rPr>
          <w:sz w:val="24"/>
          <w:szCs w:val="26"/>
        </w:rPr>
        <w:t xml:space="preserve"> </w:t>
      </w:r>
      <w:r w:rsidRPr="001672E6">
        <w:rPr>
          <w:sz w:val="24"/>
          <w:szCs w:val="26"/>
          <w:lang w:val="es-419"/>
        </w:rPr>
        <w:t>con respecto a la indemnización moratoria, que se ha precisado jurisprudencialmente que la imposición de esta condena, establecida en el parágrafo 2º del artículo 1º del  Decreto 797 de 1949,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6C9C6EF3" w14:textId="515023B5" w:rsidR="005A3967" w:rsidRPr="001672E6" w:rsidRDefault="005A3967" w:rsidP="001672E6">
      <w:pPr>
        <w:spacing w:line="240" w:lineRule="auto"/>
        <w:ind w:left="426" w:right="418"/>
        <w:jc w:val="both"/>
        <w:rPr>
          <w:sz w:val="24"/>
          <w:szCs w:val="26"/>
          <w:lang w:val="es-419"/>
        </w:rPr>
      </w:pPr>
    </w:p>
    <w:p w14:paraId="0A76C49A" w14:textId="0F62C151" w:rsidR="005A3967" w:rsidRPr="001672E6" w:rsidRDefault="007742C7" w:rsidP="001672E6">
      <w:pPr>
        <w:spacing w:line="240" w:lineRule="auto"/>
        <w:ind w:left="426" w:right="418"/>
        <w:jc w:val="both"/>
        <w:rPr>
          <w:sz w:val="24"/>
          <w:szCs w:val="26"/>
          <w:lang w:val="es-419"/>
        </w:rPr>
      </w:pPr>
      <w:r w:rsidRPr="001672E6">
        <w:rPr>
          <w:sz w:val="24"/>
          <w:szCs w:val="26"/>
          <w:lang w:val="es-419"/>
        </w:rPr>
        <w:t>…</w:t>
      </w:r>
      <w:r w:rsidR="005A3967" w:rsidRPr="001672E6">
        <w:rPr>
          <w:sz w:val="24"/>
          <w:szCs w:val="26"/>
          <w:lang w:val="es-419"/>
        </w:rPr>
        <w:t xml:space="preserve"> Así las cosas, teniendo en cuenta que la sanción moratoria tiene génesis una vez vencidos los 90 días de gracia con que cuentan las entidades públicas para pagar las acreencias laborales a su cargo, y que, a su vez, estos 90 días se cuentan a partir de la terminación del vínculo contractual</w:t>
      </w:r>
      <w:r w:rsidR="00D820BF" w:rsidRPr="001672E6">
        <w:rPr>
          <w:sz w:val="24"/>
          <w:szCs w:val="26"/>
          <w:lang w:val="es-419"/>
        </w:rPr>
        <w:t>”</w:t>
      </w:r>
      <w:r w:rsidR="003F66F0" w:rsidRPr="001672E6">
        <w:rPr>
          <w:sz w:val="24"/>
          <w:szCs w:val="26"/>
          <w:lang w:val="es-419"/>
        </w:rPr>
        <w:t>.</w:t>
      </w:r>
    </w:p>
    <w:p w14:paraId="7D4555C1" w14:textId="67F7C752" w:rsidR="003F66F0" w:rsidRPr="008932A3" w:rsidRDefault="003F66F0" w:rsidP="008932A3">
      <w:pPr>
        <w:spacing w:line="276" w:lineRule="auto"/>
        <w:ind w:left="709"/>
        <w:jc w:val="both"/>
        <w:rPr>
          <w:szCs w:val="26"/>
          <w:lang w:val="es-419"/>
        </w:rPr>
      </w:pPr>
    </w:p>
    <w:p w14:paraId="5913FC7D" w14:textId="4F51E5AF" w:rsidR="003F66F0" w:rsidRPr="008932A3" w:rsidRDefault="003F66F0" w:rsidP="008932A3">
      <w:pPr>
        <w:spacing w:line="276" w:lineRule="auto"/>
        <w:jc w:val="both"/>
        <w:rPr>
          <w:szCs w:val="26"/>
          <w:lang w:val="es-419"/>
        </w:rPr>
      </w:pPr>
      <w:r w:rsidRPr="008932A3">
        <w:rPr>
          <w:szCs w:val="26"/>
          <w:lang w:val="es-419"/>
        </w:rPr>
        <w:t>En tono a establecer si el plazo de gracia de 90 días consagrado en el artículo 1.º del Decreto 797 de 1949, para que las entidades oficiales reconozcan los créditos laborales, es calendario o si solo se contabilizan los días hábiles, la Corte Suprema de Justicia, en sentencia SL981-2019, indicó:</w:t>
      </w:r>
    </w:p>
    <w:p w14:paraId="13E55CC5" w14:textId="61249E26" w:rsidR="003F66F0" w:rsidRPr="008932A3" w:rsidRDefault="003F66F0" w:rsidP="008932A3">
      <w:pPr>
        <w:spacing w:line="276" w:lineRule="auto"/>
        <w:jc w:val="both"/>
        <w:rPr>
          <w:szCs w:val="26"/>
          <w:lang w:val="es-419"/>
        </w:rPr>
      </w:pPr>
    </w:p>
    <w:p w14:paraId="38DB597D" w14:textId="51CD4C05" w:rsidR="003F66F0" w:rsidRPr="001672E6" w:rsidRDefault="003F66F0" w:rsidP="001672E6">
      <w:pPr>
        <w:spacing w:line="240" w:lineRule="auto"/>
        <w:ind w:left="426" w:right="418"/>
        <w:jc w:val="both"/>
        <w:rPr>
          <w:sz w:val="24"/>
          <w:szCs w:val="26"/>
          <w:lang w:val="es-419"/>
        </w:rPr>
      </w:pPr>
      <w:r w:rsidRPr="001672E6">
        <w:rPr>
          <w:sz w:val="24"/>
          <w:szCs w:val="26"/>
          <w:lang w:val="es-419"/>
        </w:rPr>
        <w:t xml:space="preserve">… Pues bien, todo lo reseñado, así como los ejemplos enunciados, se traen a colación para precisar:  </w:t>
      </w:r>
    </w:p>
    <w:p w14:paraId="5204E96D" w14:textId="77777777" w:rsidR="003F66F0" w:rsidRPr="001672E6" w:rsidRDefault="003F66F0" w:rsidP="001672E6">
      <w:pPr>
        <w:spacing w:line="240" w:lineRule="auto"/>
        <w:ind w:left="426" w:right="418"/>
        <w:jc w:val="both"/>
        <w:rPr>
          <w:sz w:val="24"/>
          <w:szCs w:val="26"/>
          <w:lang w:val="es-419"/>
        </w:rPr>
      </w:pPr>
      <w:r w:rsidRPr="001672E6">
        <w:rPr>
          <w:sz w:val="24"/>
          <w:szCs w:val="26"/>
          <w:lang w:val="es-419"/>
        </w:rPr>
        <w:t xml:space="preserve"> </w:t>
      </w:r>
    </w:p>
    <w:p w14:paraId="217BCC59" w14:textId="77777777" w:rsidR="003F66F0" w:rsidRPr="001672E6" w:rsidRDefault="003F66F0" w:rsidP="001672E6">
      <w:pPr>
        <w:spacing w:line="240" w:lineRule="auto"/>
        <w:ind w:left="426" w:right="418"/>
        <w:jc w:val="both"/>
        <w:rPr>
          <w:sz w:val="24"/>
          <w:szCs w:val="26"/>
          <w:lang w:val="es-419"/>
        </w:rPr>
      </w:pPr>
      <w:r w:rsidRPr="001672E6">
        <w:rPr>
          <w:sz w:val="24"/>
          <w:szCs w:val="26"/>
          <w:lang w:val="es-419"/>
        </w:rPr>
        <w:t xml:space="preserve">(i) que el contrato de trabajo se ejecuta todos los días, desde su inicio hasta su finalización, incluyendo días de descanso obligatorios y festivos; </w:t>
      </w:r>
    </w:p>
    <w:p w14:paraId="255B2C54" w14:textId="77777777" w:rsidR="003F66F0" w:rsidRPr="001672E6" w:rsidRDefault="003F66F0" w:rsidP="001672E6">
      <w:pPr>
        <w:spacing w:line="240" w:lineRule="auto"/>
        <w:ind w:left="426" w:right="418"/>
        <w:jc w:val="both"/>
        <w:rPr>
          <w:sz w:val="24"/>
          <w:szCs w:val="26"/>
          <w:lang w:val="es-419"/>
        </w:rPr>
      </w:pPr>
      <w:r w:rsidRPr="001672E6">
        <w:rPr>
          <w:sz w:val="24"/>
          <w:szCs w:val="26"/>
          <w:lang w:val="es-419"/>
        </w:rPr>
        <w:t xml:space="preserve"> </w:t>
      </w:r>
    </w:p>
    <w:p w14:paraId="35C05C9F" w14:textId="77777777" w:rsidR="003F66F0" w:rsidRPr="001672E6" w:rsidRDefault="003F66F0" w:rsidP="001672E6">
      <w:pPr>
        <w:spacing w:line="240" w:lineRule="auto"/>
        <w:ind w:left="426" w:right="418"/>
        <w:jc w:val="both"/>
        <w:rPr>
          <w:sz w:val="24"/>
          <w:szCs w:val="26"/>
          <w:lang w:val="es-419"/>
        </w:rPr>
      </w:pPr>
      <w:r w:rsidRPr="001672E6">
        <w:rPr>
          <w:sz w:val="24"/>
          <w:szCs w:val="26"/>
          <w:lang w:val="es-419"/>
        </w:rPr>
        <w:t xml:space="preserve">(ii) por lo anterior, algunos plazos en días referidos al contrato de trabajo en los cuales la ley no califica si son hábiles o calendario, deben entenderse corridos; </w:t>
      </w:r>
    </w:p>
    <w:p w14:paraId="2FAE0BE4" w14:textId="77777777" w:rsidR="003F66F0" w:rsidRPr="001672E6" w:rsidRDefault="003F66F0" w:rsidP="001672E6">
      <w:pPr>
        <w:spacing w:line="240" w:lineRule="auto"/>
        <w:ind w:left="426" w:right="418"/>
        <w:jc w:val="both"/>
        <w:rPr>
          <w:sz w:val="24"/>
          <w:szCs w:val="26"/>
          <w:lang w:val="es-419"/>
        </w:rPr>
      </w:pPr>
      <w:r w:rsidRPr="001672E6">
        <w:rPr>
          <w:sz w:val="24"/>
          <w:szCs w:val="26"/>
          <w:lang w:val="es-419"/>
        </w:rPr>
        <w:t xml:space="preserve"> </w:t>
      </w:r>
    </w:p>
    <w:p w14:paraId="430AF249" w14:textId="77777777" w:rsidR="003F66F0" w:rsidRPr="001672E6" w:rsidRDefault="003F66F0" w:rsidP="001672E6">
      <w:pPr>
        <w:spacing w:line="240" w:lineRule="auto"/>
        <w:ind w:left="426" w:right="418"/>
        <w:jc w:val="both"/>
        <w:rPr>
          <w:sz w:val="24"/>
          <w:szCs w:val="26"/>
          <w:lang w:val="es-419"/>
        </w:rPr>
      </w:pPr>
      <w:r w:rsidRPr="001672E6">
        <w:rPr>
          <w:sz w:val="24"/>
          <w:szCs w:val="26"/>
          <w:lang w:val="es-419"/>
        </w:rPr>
        <w:t xml:space="preserve">(iii) en tal orden de consideraciones, el plazo de 90 días, precisamente establecido para la liquidación del contrato de trabajo, es calendario; </w:t>
      </w:r>
    </w:p>
    <w:p w14:paraId="3DD0D2D1" w14:textId="77777777" w:rsidR="005E0514" w:rsidRPr="001672E6" w:rsidRDefault="005E0514" w:rsidP="001672E6">
      <w:pPr>
        <w:spacing w:line="240" w:lineRule="auto"/>
        <w:ind w:left="426" w:right="418"/>
        <w:jc w:val="both"/>
        <w:rPr>
          <w:sz w:val="24"/>
          <w:szCs w:val="26"/>
          <w:lang w:val="es-419"/>
        </w:rPr>
      </w:pPr>
      <w:r w:rsidRPr="001672E6">
        <w:rPr>
          <w:sz w:val="24"/>
          <w:szCs w:val="26"/>
          <w:lang w:val="es-419"/>
        </w:rPr>
        <w:t xml:space="preserve">(…) </w:t>
      </w:r>
    </w:p>
    <w:p w14:paraId="54D3F491" w14:textId="0D28B95B" w:rsidR="003F66F0" w:rsidRPr="001672E6" w:rsidRDefault="003F66F0" w:rsidP="001672E6">
      <w:pPr>
        <w:spacing w:line="240" w:lineRule="auto"/>
        <w:ind w:left="426" w:right="418"/>
        <w:jc w:val="both"/>
        <w:rPr>
          <w:sz w:val="24"/>
          <w:szCs w:val="26"/>
          <w:lang w:val="es-419"/>
        </w:rPr>
      </w:pPr>
      <w:r w:rsidRPr="001672E6">
        <w:rPr>
          <w:sz w:val="24"/>
          <w:szCs w:val="26"/>
          <w:lang w:val="es-419"/>
        </w:rPr>
        <w:t>En consecuencia, hoy carece de justificación que la entidad pública, so pretexto de una lectura amplísima del artículo 1.º del referido decreto, tarde más de 90 días comunes en liquidar los contratos de trabajo, en detrimento de los derechos de los trabajadores a percibir sus créditos laborales oportunamente para satisfacer sus necesidades de subsistencia».</w:t>
      </w:r>
    </w:p>
    <w:p w14:paraId="27A67885" w14:textId="6ECA1BDA" w:rsidR="003F66F0" w:rsidRPr="008932A3" w:rsidRDefault="003F66F0" w:rsidP="008932A3">
      <w:pPr>
        <w:spacing w:line="276" w:lineRule="auto"/>
        <w:jc w:val="both"/>
        <w:rPr>
          <w:rFonts w:cs="Tahoma"/>
          <w:szCs w:val="26"/>
        </w:rPr>
      </w:pPr>
    </w:p>
    <w:p w14:paraId="01F760CB" w14:textId="13678814" w:rsidR="005A3967" w:rsidRPr="008932A3" w:rsidRDefault="005A3967" w:rsidP="008932A3">
      <w:pPr>
        <w:spacing w:line="276" w:lineRule="auto"/>
        <w:jc w:val="both"/>
        <w:rPr>
          <w:szCs w:val="26"/>
          <w:lang w:val="es-419"/>
        </w:rPr>
      </w:pPr>
      <w:r w:rsidRPr="008932A3">
        <w:rPr>
          <w:szCs w:val="26"/>
          <w:lang w:val="es-419"/>
        </w:rPr>
        <w:t xml:space="preserve">Por lo anterior, se tiene que </w:t>
      </w:r>
      <w:r w:rsidR="008D1CF9" w:rsidRPr="008932A3">
        <w:rPr>
          <w:szCs w:val="26"/>
          <w:lang w:val="es-419"/>
        </w:rPr>
        <w:t xml:space="preserve">si </w:t>
      </w:r>
      <w:r w:rsidRPr="008932A3">
        <w:rPr>
          <w:szCs w:val="26"/>
          <w:lang w:val="es-419"/>
        </w:rPr>
        <w:t xml:space="preserve">el </w:t>
      </w:r>
      <w:r w:rsidR="008D1CF9" w:rsidRPr="008932A3">
        <w:rPr>
          <w:szCs w:val="26"/>
          <w:lang w:val="es-419"/>
        </w:rPr>
        <w:t>vínculo</w:t>
      </w:r>
      <w:r w:rsidRPr="008932A3">
        <w:rPr>
          <w:szCs w:val="26"/>
          <w:lang w:val="es-419"/>
        </w:rPr>
        <w:t xml:space="preserve"> </w:t>
      </w:r>
      <w:r w:rsidR="008D1CF9" w:rsidRPr="008932A3">
        <w:rPr>
          <w:szCs w:val="26"/>
          <w:lang w:val="es-419"/>
        </w:rPr>
        <w:t xml:space="preserve">culminó </w:t>
      </w:r>
      <w:r w:rsidRPr="008932A3">
        <w:rPr>
          <w:szCs w:val="26"/>
          <w:lang w:val="es-419"/>
        </w:rPr>
        <w:t xml:space="preserve">el 31 de diciembre de 2015, la sanción moratoria debe correr a partir del 1 de </w:t>
      </w:r>
      <w:r w:rsidR="008D1CF9" w:rsidRPr="008932A3">
        <w:rPr>
          <w:szCs w:val="26"/>
          <w:lang w:val="es-419"/>
        </w:rPr>
        <w:t xml:space="preserve">abril </w:t>
      </w:r>
      <w:r w:rsidRPr="008932A3">
        <w:rPr>
          <w:szCs w:val="26"/>
          <w:lang w:val="es-419"/>
        </w:rPr>
        <w:t>de 2016, inclusive, a razón de un día de salario por cada día de retardo y hasta que se verifique el pago total de la obligación, equivalente a $</w:t>
      </w:r>
      <w:r w:rsidR="00517ED4" w:rsidRPr="008932A3">
        <w:rPr>
          <w:szCs w:val="26"/>
          <w:lang w:val="es-419"/>
        </w:rPr>
        <w:t>58</w:t>
      </w:r>
      <w:r w:rsidRPr="008932A3">
        <w:rPr>
          <w:szCs w:val="26"/>
          <w:lang w:val="es-419"/>
        </w:rPr>
        <w:t>.</w:t>
      </w:r>
      <w:r w:rsidR="00517ED4" w:rsidRPr="008932A3">
        <w:rPr>
          <w:szCs w:val="26"/>
          <w:lang w:val="es-419"/>
        </w:rPr>
        <w:t>666</w:t>
      </w:r>
      <w:r w:rsidRPr="008932A3">
        <w:rPr>
          <w:szCs w:val="26"/>
          <w:lang w:val="es-419"/>
        </w:rPr>
        <w:t xml:space="preserve"> pesos diarios, teniendo en cuenta que al momento en que finalizó el contrato de trabajo</w:t>
      </w:r>
      <w:r w:rsidR="00517ED4" w:rsidRPr="008932A3">
        <w:rPr>
          <w:szCs w:val="26"/>
          <w:lang w:val="es-419"/>
        </w:rPr>
        <w:t>,</w:t>
      </w:r>
      <w:r w:rsidRPr="008932A3">
        <w:rPr>
          <w:szCs w:val="26"/>
          <w:lang w:val="es-419"/>
        </w:rPr>
        <w:t xml:space="preserve"> el salario ascendía a la suma de $1.</w:t>
      </w:r>
      <w:r w:rsidR="00517ED4" w:rsidRPr="008932A3">
        <w:rPr>
          <w:szCs w:val="26"/>
          <w:lang w:val="es-419"/>
        </w:rPr>
        <w:t>760</w:t>
      </w:r>
      <w:r w:rsidRPr="008932A3">
        <w:rPr>
          <w:szCs w:val="26"/>
          <w:lang w:val="es-419"/>
        </w:rPr>
        <w:t xml:space="preserve">.000, según lo expresado en el contrato de prestación de servicios aportado con la demanda. </w:t>
      </w:r>
    </w:p>
    <w:p w14:paraId="46F20E2E" w14:textId="3D8F727C" w:rsidR="005A3967" w:rsidRPr="008932A3" w:rsidRDefault="005A3967" w:rsidP="008932A3">
      <w:pPr>
        <w:spacing w:line="276" w:lineRule="auto"/>
        <w:jc w:val="both"/>
        <w:rPr>
          <w:szCs w:val="26"/>
          <w:lang w:val="es-419"/>
        </w:rPr>
      </w:pPr>
    </w:p>
    <w:p w14:paraId="4327E134" w14:textId="16A40E97" w:rsidR="00F624D2" w:rsidRPr="008932A3" w:rsidRDefault="00F624D2" w:rsidP="008932A3">
      <w:pPr>
        <w:spacing w:line="276" w:lineRule="auto"/>
        <w:jc w:val="both"/>
        <w:rPr>
          <w:szCs w:val="26"/>
          <w:lang w:val="es-419"/>
        </w:rPr>
      </w:pPr>
      <w:r w:rsidRPr="008932A3">
        <w:rPr>
          <w:szCs w:val="26"/>
          <w:lang w:val="es-419"/>
        </w:rPr>
        <w:t>Por lo anterior, se dispondrá a modificar el numeral tercero de la parte resolutiva de la sentencia, en torno a la fecha a partir de la cual se inicia la sanción moratoria impuesta.</w:t>
      </w:r>
    </w:p>
    <w:p w14:paraId="514C2421" w14:textId="77777777" w:rsidR="004F3004" w:rsidRPr="008932A3" w:rsidRDefault="004F3004" w:rsidP="008932A3">
      <w:pPr>
        <w:pStyle w:val="Prrafodelista"/>
        <w:tabs>
          <w:tab w:val="left" w:pos="709"/>
        </w:tabs>
        <w:spacing w:line="276" w:lineRule="auto"/>
        <w:ind w:left="1224" w:firstLine="0"/>
        <w:jc w:val="both"/>
        <w:rPr>
          <w:b/>
          <w:bCs/>
          <w:sz w:val="26"/>
          <w:szCs w:val="26"/>
        </w:rPr>
      </w:pPr>
    </w:p>
    <w:p w14:paraId="0E00EE9B" w14:textId="6441417D" w:rsidR="0075522F" w:rsidRPr="008932A3" w:rsidRDefault="0075522F" w:rsidP="008932A3">
      <w:pPr>
        <w:pStyle w:val="Prrafodelista"/>
        <w:numPr>
          <w:ilvl w:val="2"/>
          <w:numId w:val="1"/>
        </w:numPr>
        <w:tabs>
          <w:tab w:val="left" w:pos="709"/>
        </w:tabs>
        <w:spacing w:line="276" w:lineRule="auto"/>
        <w:ind w:hanging="1224"/>
        <w:jc w:val="both"/>
        <w:rPr>
          <w:b/>
          <w:bCs/>
          <w:sz w:val="26"/>
          <w:szCs w:val="26"/>
        </w:rPr>
      </w:pPr>
      <w:r w:rsidRPr="008932A3">
        <w:rPr>
          <w:b/>
          <w:bCs/>
          <w:sz w:val="26"/>
          <w:szCs w:val="26"/>
        </w:rPr>
        <w:t xml:space="preserve">Condenas </w:t>
      </w:r>
      <w:r w:rsidR="005E0514" w:rsidRPr="008932A3">
        <w:rPr>
          <w:b/>
          <w:bCs/>
          <w:sz w:val="26"/>
          <w:szCs w:val="26"/>
        </w:rPr>
        <w:t xml:space="preserve">objeto de </w:t>
      </w:r>
      <w:r w:rsidR="00F70E82" w:rsidRPr="008932A3">
        <w:rPr>
          <w:b/>
          <w:bCs/>
          <w:sz w:val="26"/>
          <w:szCs w:val="26"/>
        </w:rPr>
        <w:t>grado jurisdiccional de consulta</w:t>
      </w:r>
      <w:r w:rsidRPr="008932A3">
        <w:rPr>
          <w:b/>
          <w:bCs/>
          <w:sz w:val="26"/>
          <w:szCs w:val="26"/>
        </w:rPr>
        <w:t>.</w:t>
      </w:r>
    </w:p>
    <w:p w14:paraId="5C62C0F0" w14:textId="3B3EDB1B" w:rsidR="0075522F" w:rsidRPr="008932A3" w:rsidRDefault="0075522F" w:rsidP="008932A3">
      <w:pPr>
        <w:tabs>
          <w:tab w:val="left" w:pos="709"/>
        </w:tabs>
        <w:spacing w:line="276" w:lineRule="auto"/>
        <w:jc w:val="both"/>
        <w:rPr>
          <w:b/>
          <w:bCs/>
          <w:szCs w:val="26"/>
        </w:rPr>
      </w:pPr>
    </w:p>
    <w:p w14:paraId="53F6E8CF" w14:textId="41B6AF22" w:rsidR="00BA5308" w:rsidRPr="008932A3" w:rsidRDefault="00BA5308" w:rsidP="008932A3">
      <w:pPr>
        <w:tabs>
          <w:tab w:val="left" w:pos="851"/>
        </w:tabs>
        <w:spacing w:line="276" w:lineRule="auto"/>
        <w:jc w:val="both"/>
        <w:rPr>
          <w:rFonts w:cs="Tahoma"/>
          <w:spacing w:val="-3"/>
          <w:szCs w:val="26"/>
        </w:rPr>
      </w:pPr>
      <w:r w:rsidRPr="008932A3">
        <w:rPr>
          <w:rFonts w:cs="Tahoma"/>
          <w:spacing w:val="-3"/>
          <w:szCs w:val="26"/>
        </w:rPr>
        <w:t xml:space="preserve">Previo a la revisión de las condenas impuestas, hay que indicar que de conformidad con el artículo 471 del </w:t>
      </w:r>
      <w:proofErr w:type="spellStart"/>
      <w:r w:rsidRPr="008932A3">
        <w:rPr>
          <w:rFonts w:cs="Tahoma"/>
          <w:spacing w:val="-3"/>
          <w:szCs w:val="26"/>
        </w:rPr>
        <w:t>C.S.T</w:t>
      </w:r>
      <w:proofErr w:type="spellEnd"/>
      <w:r w:rsidRPr="008932A3">
        <w:rPr>
          <w:rFonts w:cs="Tahoma"/>
          <w:spacing w:val="-3"/>
          <w:szCs w:val="26"/>
        </w:rPr>
        <w:t>.</w:t>
      </w:r>
      <w:r w:rsidR="005E0514" w:rsidRPr="008932A3">
        <w:rPr>
          <w:rFonts w:cs="Tahoma"/>
          <w:spacing w:val="-3"/>
          <w:szCs w:val="26"/>
        </w:rPr>
        <w:t>,</w:t>
      </w:r>
      <w:r w:rsidRPr="008932A3">
        <w:rPr>
          <w:rFonts w:cs="Tahoma"/>
          <w:spacing w:val="-3"/>
          <w:szCs w:val="26"/>
        </w:rPr>
        <w:t xml:space="preserve"> cuando la convención colectiva se encuentre suscrita por un sindicato que agrupe a más de la tercera parte de los trabajadores de la empresa, los beneficios convencionales se aplican a todos los trabajadores, estén o no sindicalizados. De </w:t>
      </w:r>
      <w:r w:rsidR="005E0514" w:rsidRPr="008932A3">
        <w:rPr>
          <w:rFonts w:cs="Tahoma"/>
          <w:spacing w:val="-3"/>
          <w:szCs w:val="26"/>
        </w:rPr>
        <w:t xml:space="preserve">lo anterior se desprende, que en el sub-lite, </w:t>
      </w:r>
      <w:r w:rsidRPr="008932A3">
        <w:rPr>
          <w:rFonts w:cs="Tahoma"/>
          <w:spacing w:val="-3"/>
          <w:szCs w:val="26"/>
        </w:rPr>
        <w:t xml:space="preserve">el </w:t>
      </w:r>
      <w:r w:rsidR="005E0514" w:rsidRPr="008932A3">
        <w:rPr>
          <w:rFonts w:cs="Tahoma"/>
          <w:spacing w:val="-3"/>
          <w:szCs w:val="26"/>
        </w:rPr>
        <w:t xml:space="preserve">actor </w:t>
      </w:r>
      <w:r w:rsidRPr="008932A3">
        <w:rPr>
          <w:rFonts w:cs="Tahoma"/>
          <w:spacing w:val="-3"/>
          <w:szCs w:val="26"/>
        </w:rPr>
        <w:t xml:space="preserve">era </w:t>
      </w:r>
      <w:r w:rsidR="005E0514" w:rsidRPr="008932A3">
        <w:rPr>
          <w:rFonts w:cs="Tahoma"/>
          <w:spacing w:val="-3"/>
          <w:szCs w:val="26"/>
        </w:rPr>
        <w:t xml:space="preserve">destinatario de las normas convencionales, </w:t>
      </w:r>
      <w:r w:rsidRPr="008932A3">
        <w:rPr>
          <w:rFonts w:cs="Tahoma"/>
          <w:spacing w:val="-3"/>
          <w:szCs w:val="26"/>
        </w:rPr>
        <w:t>por extensión</w:t>
      </w:r>
      <w:r w:rsidR="00F00857" w:rsidRPr="008932A3">
        <w:rPr>
          <w:rFonts w:cs="Tahoma"/>
          <w:spacing w:val="-3"/>
          <w:szCs w:val="26"/>
        </w:rPr>
        <w:t xml:space="preserve">, </w:t>
      </w:r>
      <w:r w:rsidR="005E0514" w:rsidRPr="008932A3">
        <w:rPr>
          <w:rFonts w:cs="Tahoma"/>
          <w:spacing w:val="-3"/>
          <w:szCs w:val="26"/>
        </w:rPr>
        <w:t xml:space="preserve">porque </w:t>
      </w:r>
      <w:r w:rsidR="00F00857" w:rsidRPr="008932A3">
        <w:rPr>
          <w:rFonts w:cs="Tahoma"/>
          <w:spacing w:val="-3"/>
          <w:szCs w:val="26"/>
        </w:rPr>
        <w:t xml:space="preserve">según </w:t>
      </w:r>
      <w:r w:rsidRPr="008932A3">
        <w:rPr>
          <w:rFonts w:cs="Tahoma"/>
          <w:spacing w:val="-3"/>
          <w:szCs w:val="26"/>
        </w:rPr>
        <w:t>la certificaci</w:t>
      </w:r>
      <w:r w:rsidR="0062231D" w:rsidRPr="008932A3">
        <w:rPr>
          <w:rFonts w:cs="Tahoma"/>
          <w:spacing w:val="-3"/>
          <w:szCs w:val="26"/>
        </w:rPr>
        <w:t xml:space="preserve">ón de folio </w:t>
      </w:r>
      <w:r w:rsidR="004263DB" w:rsidRPr="008932A3">
        <w:rPr>
          <w:rFonts w:cs="Tahoma"/>
          <w:spacing w:val="-3"/>
          <w:szCs w:val="26"/>
        </w:rPr>
        <w:t>25-26</w:t>
      </w:r>
      <w:r w:rsidR="00F00857" w:rsidRPr="008932A3">
        <w:rPr>
          <w:rFonts w:cs="Tahoma"/>
          <w:spacing w:val="-3"/>
          <w:szCs w:val="26"/>
        </w:rPr>
        <w:t xml:space="preserve">, se está frente a un sindicato mayoritario, pudiendo </w:t>
      </w:r>
      <w:r w:rsidR="005E0514" w:rsidRPr="008932A3">
        <w:rPr>
          <w:rFonts w:cs="Tahoma"/>
          <w:spacing w:val="-3"/>
          <w:szCs w:val="26"/>
        </w:rPr>
        <w:t xml:space="preserve">por ello, </w:t>
      </w:r>
      <w:r w:rsidR="00F00857" w:rsidRPr="008932A3">
        <w:rPr>
          <w:rFonts w:cs="Tahoma"/>
          <w:spacing w:val="-3"/>
          <w:szCs w:val="26"/>
        </w:rPr>
        <w:t xml:space="preserve">beneficiarse </w:t>
      </w:r>
      <w:r w:rsidR="005E0514" w:rsidRPr="008932A3">
        <w:rPr>
          <w:rFonts w:cs="Tahoma"/>
          <w:spacing w:val="-3"/>
          <w:szCs w:val="26"/>
        </w:rPr>
        <w:t xml:space="preserve">el demandante de todas </w:t>
      </w:r>
      <w:r w:rsidR="00F00857" w:rsidRPr="008932A3">
        <w:rPr>
          <w:rFonts w:cs="Tahoma"/>
          <w:spacing w:val="-3"/>
          <w:szCs w:val="26"/>
        </w:rPr>
        <w:t xml:space="preserve">las prestaciones </w:t>
      </w:r>
      <w:r w:rsidR="005E0514" w:rsidRPr="008932A3">
        <w:rPr>
          <w:rFonts w:cs="Tahoma"/>
          <w:spacing w:val="-3"/>
          <w:szCs w:val="26"/>
        </w:rPr>
        <w:t xml:space="preserve">en ella contenida </w:t>
      </w:r>
      <w:r w:rsidR="00F00857" w:rsidRPr="008932A3">
        <w:rPr>
          <w:rFonts w:cs="Tahoma"/>
          <w:spacing w:val="-3"/>
          <w:szCs w:val="26"/>
        </w:rPr>
        <w:t xml:space="preserve">y que </w:t>
      </w:r>
      <w:r w:rsidR="005E0514" w:rsidRPr="008932A3">
        <w:rPr>
          <w:rFonts w:cs="Tahoma"/>
          <w:spacing w:val="-3"/>
          <w:szCs w:val="26"/>
        </w:rPr>
        <w:t>se visualiza</w:t>
      </w:r>
      <w:r w:rsidR="00F00857" w:rsidRPr="008932A3">
        <w:rPr>
          <w:rFonts w:cs="Tahoma"/>
          <w:spacing w:val="-3"/>
          <w:szCs w:val="26"/>
        </w:rPr>
        <w:t>, con sus respectivas constancias de depósito, en el documento magnético adosado a folio 17.</w:t>
      </w:r>
    </w:p>
    <w:p w14:paraId="45AC7A78" w14:textId="04E3293C" w:rsidR="00984322" w:rsidRPr="008932A3" w:rsidRDefault="00984322" w:rsidP="008932A3">
      <w:pPr>
        <w:tabs>
          <w:tab w:val="left" w:pos="851"/>
        </w:tabs>
        <w:spacing w:line="276" w:lineRule="auto"/>
        <w:jc w:val="both"/>
        <w:rPr>
          <w:rFonts w:cs="Tahoma"/>
          <w:spacing w:val="-3"/>
          <w:szCs w:val="26"/>
        </w:rPr>
      </w:pPr>
    </w:p>
    <w:p w14:paraId="42BD3C93" w14:textId="2F84CADC" w:rsidR="0075522F" w:rsidRPr="008932A3" w:rsidRDefault="00F00857" w:rsidP="008932A3">
      <w:pPr>
        <w:tabs>
          <w:tab w:val="left" w:pos="851"/>
        </w:tabs>
        <w:spacing w:line="276" w:lineRule="auto"/>
        <w:jc w:val="both"/>
        <w:rPr>
          <w:rFonts w:cs="Tahoma"/>
          <w:spacing w:val="-3"/>
          <w:szCs w:val="26"/>
        </w:rPr>
      </w:pPr>
      <w:r w:rsidRPr="008932A3">
        <w:rPr>
          <w:rFonts w:cs="Tahoma"/>
          <w:spacing w:val="-3"/>
          <w:szCs w:val="26"/>
        </w:rPr>
        <w:t xml:space="preserve">Aclarado lo anterior y, con el </w:t>
      </w:r>
      <w:r w:rsidR="0075522F" w:rsidRPr="008932A3">
        <w:rPr>
          <w:rFonts w:cs="Tahoma"/>
          <w:spacing w:val="-3"/>
          <w:szCs w:val="26"/>
        </w:rPr>
        <w:t xml:space="preserve">fin de cumplir con el objeto del grado jurisdiccional de consulta, que se surte a favor del ente territorial </w:t>
      </w:r>
      <w:r w:rsidR="0075522F" w:rsidRPr="008932A3">
        <w:rPr>
          <w:rFonts w:cs="Tahoma"/>
          <w:szCs w:val="26"/>
          <w:lang w:val="es-ES"/>
        </w:rPr>
        <w:t>accionado</w:t>
      </w:r>
      <w:r w:rsidR="0075522F" w:rsidRPr="008932A3">
        <w:rPr>
          <w:rFonts w:cs="Tahoma"/>
          <w:spacing w:val="-3"/>
          <w:szCs w:val="26"/>
        </w:rPr>
        <w:t xml:space="preserve">, como lo prevé el artículo 69 del </w:t>
      </w:r>
      <w:proofErr w:type="spellStart"/>
      <w:r w:rsidR="0075522F" w:rsidRPr="008932A3">
        <w:rPr>
          <w:rFonts w:cs="Tahoma"/>
          <w:spacing w:val="-3"/>
          <w:szCs w:val="26"/>
        </w:rPr>
        <w:t>C.P.L.S.S</w:t>
      </w:r>
      <w:proofErr w:type="spellEnd"/>
      <w:r w:rsidR="0075522F" w:rsidRPr="008932A3">
        <w:rPr>
          <w:rFonts w:cs="Tahoma"/>
          <w:spacing w:val="-3"/>
          <w:szCs w:val="26"/>
        </w:rPr>
        <w:t xml:space="preserve">., se tiene que una vez revisadas las condenas impuestas en el numeral </w:t>
      </w:r>
      <w:r w:rsidR="00BA5308" w:rsidRPr="008932A3">
        <w:rPr>
          <w:rFonts w:cs="Tahoma"/>
          <w:spacing w:val="-3"/>
          <w:szCs w:val="26"/>
        </w:rPr>
        <w:t>2</w:t>
      </w:r>
      <w:r w:rsidR="0075522F" w:rsidRPr="008932A3">
        <w:rPr>
          <w:rFonts w:cs="Tahoma"/>
          <w:spacing w:val="-3"/>
          <w:szCs w:val="26"/>
        </w:rPr>
        <w:t>º de la parte resolutiva de la sentencia, habría lugar a modificarlas, con arreglo a lo siguiente:</w:t>
      </w:r>
    </w:p>
    <w:p w14:paraId="4A809667" w14:textId="774782F8" w:rsidR="0075522F" w:rsidRPr="008932A3" w:rsidRDefault="0075522F" w:rsidP="008932A3">
      <w:pPr>
        <w:tabs>
          <w:tab w:val="left" w:pos="709"/>
        </w:tabs>
        <w:spacing w:line="276" w:lineRule="auto"/>
        <w:jc w:val="both"/>
        <w:rPr>
          <w:b/>
          <w:bCs/>
          <w:szCs w:val="26"/>
        </w:rPr>
      </w:pPr>
    </w:p>
    <w:p w14:paraId="0D784B46" w14:textId="47DE4095" w:rsidR="00BA5308" w:rsidRPr="008932A3" w:rsidRDefault="00F00857" w:rsidP="008932A3">
      <w:pPr>
        <w:tabs>
          <w:tab w:val="left" w:pos="709"/>
        </w:tabs>
        <w:spacing w:line="276" w:lineRule="auto"/>
        <w:jc w:val="both"/>
        <w:rPr>
          <w:szCs w:val="26"/>
        </w:rPr>
      </w:pPr>
      <w:r w:rsidRPr="008932A3">
        <w:rPr>
          <w:szCs w:val="26"/>
        </w:rPr>
        <w:t xml:space="preserve">En primer lugar, se reconoció la prima extralegal de junio, la cual corresponde a 30 días de salario, según la convención colectiva de 1990 (punto 5); valor </w:t>
      </w:r>
      <w:r w:rsidR="007669E2" w:rsidRPr="008932A3">
        <w:rPr>
          <w:szCs w:val="26"/>
        </w:rPr>
        <w:t xml:space="preserve">que </w:t>
      </w:r>
      <w:r w:rsidRPr="008932A3">
        <w:rPr>
          <w:szCs w:val="26"/>
        </w:rPr>
        <w:t xml:space="preserve">si bien fue reconocido por la a-quo, no tuvo en cuenta que el contrato de trabajo </w:t>
      </w:r>
      <w:r w:rsidR="001E105D" w:rsidRPr="008932A3">
        <w:rPr>
          <w:szCs w:val="26"/>
        </w:rPr>
        <w:t xml:space="preserve">se generó </w:t>
      </w:r>
      <w:r w:rsidRPr="008932A3">
        <w:rPr>
          <w:szCs w:val="26"/>
        </w:rPr>
        <w:t xml:space="preserve">con posterioridad al momento en que </w:t>
      </w:r>
      <w:r w:rsidR="001E105D" w:rsidRPr="008932A3">
        <w:rPr>
          <w:szCs w:val="26"/>
        </w:rPr>
        <w:t>se causaba</w:t>
      </w:r>
      <w:r w:rsidRPr="008932A3">
        <w:rPr>
          <w:szCs w:val="26"/>
        </w:rPr>
        <w:t xml:space="preserve">, esto es, </w:t>
      </w:r>
      <w:r w:rsidR="001E105D" w:rsidRPr="008932A3">
        <w:rPr>
          <w:szCs w:val="26"/>
        </w:rPr>
        <w:t xml:space="preserve">al mes de </w:t>
      </w:r>
      <w:r w:rsidRPr="008932A3">
        <w:rPr>
          <w:szCs w:val="26"/>
        </w:rPr>
        <w:t xml:space="preserve">junio. Ahora, como </w:t>
      </w:r>
      <w:r w:rsidR="001E105D" w:rsidRPr="008932A3">
        <w:rPr>
          <w:szCs w:val="26"/>
        </w:rPr>
        <w:t xml:space="preserve">el hito de la relación data del 2 de </w:t>
      </w:r>
      <w:r w:rsidRPr="008932A3">
        <w:rPr>
          <w:szCs w:val="26"/>
        </w:rPr>
        <w:t xml:space="preserve">julio </w:t>
      </w:r>
      <w:r w:rsidRPr="008932A3">
        <w:rPr>
          <w:szCs w:val="26"/>
        </w:rPr>
        <w:lastRenderedPageBreak/>
        <w:t xml:space="preserve">de 2015 y </w:t>
      </w:r>
      <w:r w:rsidR="001E105D" w:rsidRPr="008932A3">
        <w:rPr>
          <w:szCs w:val="26"/>
        </w:rPr>
        <w:t xml:space="preserve">culminó </w:t>
      </w:r>
      <w:r w:rsidRPr="008932A3">
        <w:rPr>
          <w:szCs w:val="26"/>
        </w:rPr>
        <w:t xml:space="preserve">el 31 de diciembre de la misma anualidad, por </w:t>
      </w:r>
      <w:r w:rsidR="001E105D" w:rsidRPr="008932A3">
        <w:rPr>
          <w:szCs w:val="26"/>
        </w:rPr>
        <w:t>inferencia</w:t>
      </w:r>
      <w:r w:rsidRPr="008932A3">
        <w:rPr>
          <w:szCs w:val="26"/>
        </w:rPr>
        <w:t xml:space="preserve">, </w:t>
      </w:r>
      <w:r w:rsidR="001E105D" w:rsidRPr="008932A3">
        <w:rPr>
          <w:szCs w:val="26"/>
        </w:rPr>
        <w:t xml:space="preserve">la prima extralegal de junio </w:t>
      </w:r>
      <w:r w:rsidRPr="008932A3">
        <w:rPr>
          <w:szCs w:val="26"/>
        </w:rPr>
        <w:t>no fue causada, razón por la cual se deberá modificar el numeral 2 de la parte resolutiva en ese sentido.</w:t>
      </w:r>
    </w:p>
    <w:p w14:paraId="023DAC46" w14:textId="1306A497" w:rsidR="001E105D" w:rsidRPr="008932A3" w:rsidRDefault="001E105D" w:rsidP="008932A3">
      <w:pPr>
        <w:tabs>
          <w:tab w:val="left" w:pos="709"/>
        </w:tabs>
        <w:spacing w:line="276" w:lineRule="auto"/>
        <w:jc w:val="both"/>
        <w:rPr>
          <w:szCs w:val="26"/>
        </w:rPr>
      </w:pPr>
    </w:p>
    <w:p w14:paraId="5AAE7C62" w14:textId="750556A1" w:rsidR="003544A3" w:rsidRPr="008932A3" w:rsidRDefault="001E105D" w:rsidP="008932A3">
      <w:pPr>
        <w:tabs>
          <w:tab w:val="left" w:pos="709"/>
        </w:tabs>
        <w:spacing w:line="276" w:lineRule="auto"/>
        <w:jc w:val="both"/>
        <w:rPr>
          <w:rFonts w:cs="Tahoma"/>
          <w:szCs w:val="26"/>
          <w:lang w:val="es-ES"/>
        </w:rPr>
      </w:pPr>
      <w:r w:rsidRPr="008932A3">
        <w:rPr>
          <w:szCs w:val="26"/>
        </w:rPr>
        <w:t xml:space="preserve">Respecto de la compensación de </w:t>
      </w:r>
      <w:r w:rsidRPr="008932A3">
        <w:rPr>
          <w:b/>
          <w:bCs/>
          <w:szCs w:val="26"/>
        </w:rPr>
        <w:t>vacaciones</w:t>
      </w:r>
      <w:r w:rsidRPr="008932A3">
        <w:rPr>
          <w:szCs w:val="26"/>
        </w:rPr>
        <w:t xml:space="preserve">, según </w:t>
      </w:r>
      <w:r w:rsidRPr="008932A3">
        <w:rPr>
          <w:b/>
          <w:szCs w:val="26"/>
        </w:rPr>
        <w:t>l</w:t>
      </w:r>
      <w:r w:rsidRPr="008932A3">
        <w:rPr>
          <w:bCs/>
          <w:szCs w:val="26"/>
        </w:rPr>
        <w:t>os artículos 8º del Decreto 3135 de 1968 y los artículos 47 y 48 del Decreto Reglamentario 1848 de 1969, establecen que los trabajadores oficiales tienen derecho a que sus vacaciones sean compensadas en dinero, por cada año de servicios. Dicha compensación equivale</w:t>
      </w:r>
      <w:r w:rsidRPr="008932A3">
        <w:rPr>
          <w:rFonts w:cs="Tahoma"/>
          <w:szCs w:val="26"/>
        </w:rPr>
        <w:t xml:space="preserve">, en este caso, al pago de </w:t>
      </w:r>
      <w:r w:rsidRPr="008932A3">
        <w:rPr>
          <w:rFonts w:cs="Tahoma"/>
          <w:b/>
          <w:bCs/>
          <w:szCs w:val="26"/>
        </w:rPr>
        <w:t>15 días hábiles de salario</w:t>
      </w:r>
      <w:r w:rsidRPr="008932A3">
        <w:rPr>
          <w:rFonts w:cs="Tahoma"/>
          <w:szCs w:val="26"/>
        </w:rPr>
        <w:t xml:space="preserve"> por cada año de servicios o fracción, tal como lo dispone el artículo 1º de la Ley 995 de 2005. </w:t>
      </w:r>
      <w:r w:rsidRPr="008932A3">
        <w:rPr>
          <w:szCs w:val="26"/>
        </w:rPr>
        <w:t>A este punto, se precisa que para dicha liquidación no se tendrá en cuenta la doceava de la prima de servicios, por cuanto la misma no fue reconocida, sin que exist</w:t>
      </w:r>
      <w:r w:rsidR="007669E2" w:rsidRPr="008932A3">
        <w:rPr>
          <w:szCs w:val="26"/>
        </w:rPr>
        <w:t>a</w:t>
      </w:r>
      <w:r w:rsidRPr="008932A3">
        <w:rPr>
          <w:szCs w:val="26"/>
        </w:rPr>
        <w:t xml:space="preserve"> inconformidad alguna sobre ello, en razón a que el artículo 17 del Decreto 1045 de 1978 en concordancia con el artículo 4º del Decreto 1919 de 2002, prescribe la inclusión de este emolumento para su liquidación. En tal orden de ideas, según los cálculos realizados en esta instancia, el demandante tiene derecho al pago de la suma de </w:t>
      </w:r>
      <w:r w:rsidRPr="008932A3">
        <w:rPr>
          <w:b/>
          <w:bCs/>
          <w:szCs w:val="26"/>
        </w:rPr>
        <w:t>$</w:t>
      </w:r>
      <w:r w:rsidR="003544A3" w:rsidRPr="008932A3">
        <w:rPr>
          <w:b/>
          <w:bCs/>
          <w:szCs w:val="26"/>
        </w:rPr>
        <w:t>437</w:t>
      </w:r>
      <w:r w:rsidRPr="008932A3">
        <w:rPr>
          <w:b/>
          <w:bCs/>
          <w:szCs w:val="26"/>
        </w:rPr>
        <w:t>.</w:t>
      </w:r>
      <w:r w:rsidR="003544A3" w:rsidRPr="008932A3">
        <w:rPr>
          <w:b/>
          <w:bCs/>
          <w:szCs w:val="26"/>
        </w:rPr>
        <w:t>555</w:t>
      </w:r>
      <w:r w:rsidRPr="008932A3">
        <w:rPr>
          <w:szCs w:val="26"/>
        </w:rPr>
        <w:t>, lo que</w:t>
      </w:r>
      <w:r w:rsidR="003544A3" w:rsidRPr="008932A3">
        <w:rPr>
          <w:szCs w:val="26"/>
        </w:rPr>
        <w:t xml:space="preserve"> implica que al ser superior al establecido por la a-quo que la determinó en $403.333 –</w:t>
      </w:r>
      <w:r w:rsidR="003544A3" w:rsidRPr="008932A3">
        <w:rPr>
          <w:i/>
          <w:iCs/>
          <w:szCs w:val="26"/>
        </w:rPr>
        <w:t xml:space="preserve"> porque lo calculó con una fecha de terminación diferente a la declarada -, </w:t>
      </w:r>
      <w:r w:rsidR="003544A3" w:rsidRPr="008932A3">
        <w:rPr>
          <w:szCs w:val="26"/>
        </w:rPr>
        <w:t xml:space="preserve">se deberá mantener </w:t>
      </w:r>
      <w:r w:rsidR="003544A3" w:rsidRPr="008932A3">
        <w:rPr>
          <w:rFonts w:cs="Tahoma"/>
          <w:spacing w:val="-3"/>
          <w:szCs w:val="26"/>
        </w:rPr>
        <w:t xml:space="preserve">esta última, </w:t>
      </w:r>
      <w:r w:rsidR="003544A3" w:rsidRPr="008932A3">
        <w:rPr>
          <w:rFonts w:cs="Tahoma"/>
          <w:szCs w:val="26"/>
          <w:lang w:val="es-ES"/>
        </w:rPr>
        <w:t>en virtud del principio de la non reformatio in pejus y el grado jurisdiccional de consulta que le asiste al ente territorial.</w:t>
      </w:r>
    </w:p>
    <w:p w14:paraId="2B2C545F" w14:textId="5EAD9AD6" w:rsidR="00F82455" w:rsidRPr="008932A3" w:rsidRDefault="00F82455" w:rsidP="008932A3">
      <w:pPr>
        <w:tabs>
          <w:tab w:val="left" w:pos="709"/>
        </w:tabs>
        <w:spacing w:line="276" w:lineRule="auto"/>
        <w:jc w:val="both"/>
        <w:rPr>
          <w:rFonts w:cs="Tahoma"/>
          <w:szCs w:val="26"/>
          <w:lang w:val="es-ES"/>
        </w:rPr>
      </w:pPr>
    </w:p>
    <w:p w14:paraId="40E8E013" w14:textId="466E8096" w:rsidR="00C0741E" w:rsidRPr="008932A3" w:rsidRDefault="00F82455" w:rsidP="008932A3">
      <w:pPr>
        <w:tabs>
          <w:tab w:val="left" w:pos="709"/>
        </w:tabs>
        <w:spacing w:line="276" w:lineRule="auto"/>
        <w:jc w:val="both"/>
        <w:rPr>
          <w:szCs w:val="26"/>
        </w:rPr>
      </w:pPr>
      <w:r w:rsidRPr="008932A3">
        <w:rPr>
          <w:rFonts w:cs="Tahoma"/>
          <w:szCs w:val="26"/>
          <w:lang w:val="es-ES"/>
        </w:rPr>
        <w:t xml:space="preserve">Frente a la </w:t>
      </w:r>
      <w:r w:rsidRPr="008932A3">
        <w:rPr>
          <w:rFonts w:cs="Tahoma"/>
          <w:b/>
          <w:bCs/>
          <w:szCs w:val="26"/>
          <w:lang w:val="es-ES"/>
        </w:rPr>
        <w:t>prima de navidad</w:t>
      </w:r>
      <w:r w:rsidRPr="008932A3">
        <w:rPr>
          <w:rFonts w:cs="Tahoma"/>
          <w:szCs w:val="26"/>
          <w:lang w:val="es-ES"/>
        </w:rPr>
        <w:t xml:space="preserve">, el texto convencional de </w:t>
      </w:r>
      <w:r w:rsidR="003D21A8" w:rsidRPr="008932A3">
        <w:rPr>
          <w:rFonts w:cs="Tahoma"/>
          <w:szCs w:val="26"/>
          <w:lang w:val="es-ES"/>
        </w:rPr>
        <w:t>1994,</w:t>
      </w:r>
      <w:r w:rsidRPr="008932A3">
        <w:rPr>
          <w:rFonts w:cs="Tahoma"/>
          <w:szCs w:val="26"/>
          <w:lang w:val="es-ES"/>
        </w:rPr>
        <w:t xml:space="preserve"> contempla el reconocimiento de dicha prestación en un equivalente a 36 días de salario, para lo cual se deberá tener en cuenta los factores salariales del artículo 33 del decreto 1045 de 1978, teniendo en cuenta el salario al </w:t>
      </w:r>
      <w:r w:rsidRPr="008932A3">
        <w:rPr>
          <w:szCs w:val="26"/>
        </w:rPr>
        <w:t>30 de noviembre de cada año de servicio prestado o proporcional al tiempo laborado siempre y cuando sea un mes completo de servicios, siendo posible aplicar doceavas partes</w:t>
      </w:r>
      <w:r w:rsidR="003D21A8" w:rsidRPr="008932A3">
        <w:rPr>
          <w:szCs w:val="26"/>
        </w:rPr>
        <w:t>, factores que al no haber sido reconocidos, la liquidación se realiza sobre la base del salario</w:t>
      </w:r>
      <w:r w:rsidRPr="008932A3">
        <w:rPr>
          <w:szCs w:val="26"/>
        </w:rPr>
        <w:t xml:space="preserve">. </w:t>
      </w:r>
      <w:r w:rsidRPr="008932A3">
        <w:rPr>
          <w:bCs/>
          <w:szCs w:val="26"/>
          <w:lang w:eastAsia="x-none"/>
        </w:rPr>
        <w:t xml:space="preserve">Por ende, al actor le corresponde la suma de </w:t>
      </w:r>
      <w:r w:rsidRPr="008932A3">
        <w:rPr>
          <w:b/>
          <w:szCs w:val="26"/>
          <w:lang w:eastAsia="x-none"/>
        </w:rPr>
        <w:t>$</w:t>
      </w:r>
      <w:r w:rsidR="003D21A8" w:rsidRPr="008932A3">
        <w:rPr>
          <w:b/>
          <w:szCs w:val="26"/>
          <w:lang w:eastAsia="x-none"/>
        </w:rPr>
        <w:t>704</w:t>
      </w:r>
      <w:r w:rsidRPr="008932A3">
        <w:rPr>
          <w:b/>
          <w:szCs w:val="26"/>
          <w:lang w:eastAsia="x-none"/>
        </w:rPr>
        <w:t>.</w:t>
      </w:r>
      <w:r w:rsidR="003D21A8" w:rsidRPr="008932A3">
        <w:rPr>
          <w:b/>
          <w:szCs w:val="26"/>
          <w:lang w:eastAsia="x-none"/>
        </w:rPr>
        <w:t>000</w:t>
      </w:r>
      <w:r w:rsidRPr="008932A3">
        <w:rPr>
          <w:bCs/>
          <w:szCs w:val="26"/>
          <w:lang w:eastAsia="x-none"/>
        </w:rPr>
        <w:t xml:space="preserve"> por 120 días laborados que corresponden a </w:t>
      </w:r>
      <w:r w:rsidR="00C0741E" w:rsidRPr="008932A3">
        <w:rPr>
          <w:bCs/>
          <w:szCs w:val="26"/>
          <w:lang w:eastAsia="x-none"/>
        </w:rPr>
        <w:t>4</w:t>
      </w:r>
      <w:r w:rsidRPr="008932A3">
        <w:rPr>
          <w:bCs/>
          <w:szCs w:val="26"/>
          <w:lang w:eastAsia="x-none"/>
        </w:rPr>
        <w:t xml:space="preserve"> meses completos del año 2015</w:t>
      </w:r>
      <w:r w:rsidRPr="008932A3">
        <w:rPr>
          <w:szCs w:val="26"/>
        </w:rPr>
        <w:t xml:space="preserve">, </w:t>
      </w:r>
      <w:r w:rsidR="00C0741E" w:rsidRPr="008932A3">
        <w:rPr>
          <w:szCs w:val="26"/>
        </w:rPr>
        <w:t>lo que implica que se deberá modificar el numeral 2 de la parte resolutiva en ese sentido.</w:t>
      </w:r>
    </w:p>
    <w:p w14:paraId="694430CF" w14:textId="781174A6" w:rsidR="003D21A8" w:rsidRPr="008932A3" w:rsidRDefault="003D21A8" w:rsidP="008932A3">
      <w:pPr>
        <w:tabs>
          <w:tab w:val="left" w:pos="709"/>
        </w:tabs>
        <w:spacing w:line="276" w:lineRule="auto"/>
        <w:jc w:val="both"/>
        <w:rPr>
          <w:szCs w:val="26"/>
        </w:rPr>
      </w:pPr>
    </w:p>
    <w:p w14:paraId="1210D791" w14:textId="5CF96B82" w:rsidR="00BA3208" w:rsidRPr="008932A3" w:rsidRDefault="007B0E49" w:rsidP="008932A3">
      <w:pPr>
        <w:tabs>
          <w:tab w:val="left" w:pos="709"/>
        </w:tabs>
        <w:spacing w:line="276" w:lineRule="auto"/>
        <w:jc w:val="both"/>
        <w:rPr>
          <w:szCs w:val="26"/>
        </w:rPr>
      </w:pPr>
      <w:r w:rsidRPr="008932A3">
        <w:rPr>
          <w:szCs w:val="26"/>
        </w:rPr>
        <w:t xml:space="preserve">Respecto del auxilio a las </w:t>
      </w:r>
      <w:r w:rsidR="003D21A8" w:rsidRPr="008932A3">
        <w:rPr>
          <w:b/>
          <w:bCs/>
          <w:szCs w:val="26"/>
        </w:rPr>
        <w:t>cesantías</w:t>
      </w:r>
      <w:r w:rsidR="00F51120" w:rsidRPr="008932A3">
        <w:rPr>
          <w:b/>
          <w:bCs/>
          <w:szCs w:val="26"/>
        </w:rPr>
        <w:t>,</w:t>
      </w:r>
      <w:r w:rsidR="00F51120" w:rsidRPr="008932A3">
        <w:rPr>
          <w:szCs w:val="26"/>
        </w:rPr>
        <w:t xml:space="preserve"> de</w:t>
      </w:r>
      <w:r w:rsidR="00F51120" w:rsidRPr="008932A3">
        <w:rPr>
          <w:szCs w:val="26"/>
          <w:lang w:val="es-ES"/>
        </w:rPr>
        <w:t xml:space="preserve"> </w:t>
      </w:r>
      <w:r w:rsidR="00F51120" w:rsidRPr="008932A3">
        <w:rPr>
          <w:szCs w:val="26"/>
          <w:lang w:val="es-ES_tradnl"/>
        </w:rPr>
        <w:t>conformidad</w:t>
      </w:r>
      <w:r w:rsidR="00F51120" w:rsidRPr="008932A3">
        <w:rPr>
          <w:szCs w:val="26"/>
          <w:lang w:val="es-ES"/>
        </w:rPr>
        <w:t xml:space="preserve"> con el artículo 4º del Decreto 1919 de 2002, la </w:t>
      </w:r>
      <w:r w:rsidR="00F51120" w:rsidRPr="008932A3">
        <w:rPr>
          <w:szCs w:val="26"/>
          <w:lang w:val="es-ES_tradnl"/>
        </w:rPr>
        <w:t>liquidación</w:t>
      </w:r>
      <w:r w:rsidR="00F51120" w:rsidRPr="008932A3">
        <w:rPr>
          <w:szCs w:val="26"/>
          <w:lang w:val="es-ES"/>
        </w:rPr>
        <w:t xml:space="preserve"> de esta prestación </w:t>
      </w:r>
      <w:r w:rsidR="00F51120" w:rsidRPr="008932A3">
        <w:rPr>
          <w:bCs/>
          <w:szCs w:val="26"/>
          <w:lang w:eastAsia="x-none"/>
        </w:rPr>
        <w:t>debe</w:t>
      </w:r>
      <w:r w:rsidR="00F51120" w:rsidRPr="008932A3">
        <w:rPr>
          <w:szCs w:val="26"/>
          <w:lang w:val="es-ES"/>
        </w:rPr>
        <w:t xml:space="preserve"> hacerse con base en lo dispuesto en los </w:t>
      </w:r>
      <w:r w:rsidR="00F51120" w:rsidRPr="008932A3">
        <w:rPr>
          <w:rFonts w:cs="Tahoma"/>
          <w:szCs w:val="26"/>
          <w:lang w:val="es-ES"/>
        </w:rPr>
        <w:t xml:space="preserve">artículos 27 del Decreto 3118 de 1968, 13 de la Ley 344 de 1996, así como el artículo 45 del Decreto 1045 de 1978, que reglamentó lo atinente a los factores salariales a tener en cuenta para la liquidación del auxilio de cesantías, para lo cual indicó que debe atenderse no sólo la </w:t>
      </w:r>
      <w:r w:rsidR="00F51120" w:rsidRPr="008932A3">
        <w:rPr>
          <w:rFonts w:cs="Tahoma"/>
          <w:b/>
          <w:bCs/>
          <w:szCs w:val="26"/>
          <w:lang w:val="es-ES"/>
        </w:rPr>
        <w:t>asignación básica mensual</w:t>
      </w:r>
      <w:r w:rsidR="00F51120" w:rsidRPr="008932A3">
        <w:rPr>
          <w:rFonts w:cs="Tahoma"/>
          <w:szCs w:val="26"/>
          <w:lang w:val="es-ES"/>
        </w:rPr>
        <w:t xml:space="preserve">, sino también la </w:t>
      </w:r>
      <w:r w:rsidR="00F51120" w:rsidRPr="008932A3">
        <w:rPr>
          <w:rFonts w:cs="Tahoma"/>
          <w:b/>
          <w:bCs/>
          <w:szCs w:val="26"/>
          <w:lang w:val="es-ES"/>
        </w:rPr>
        <w:t xml:space="preserve">doceava de la </w:t>
      </w:r>
      <w:r w:rsidR="00F51120" w:rsidRPr="008932A3">
        <w:rPr>
          <w:rFonts w:cs="Tahoma"/>
          <w:b/>
          <w:szCs w:val="26"/>
          <w:lang w:val="es-ES"/>
        </w:rPr>
        <w:t>prima de navidad</w:t>
      </w:r>
      <w:r w:rsidR="00F51120" w:rsidRPr="008932A3">
        <w:rPr>
          <w:rFonts w:cs="Tahoma"/>
          <w:szCs w:val="26"/>
          <w:lang w:val="es-ES"/>
        </w:rPr>
        <w:t>, entre otros, que reciba el trabajador oficial</w:t>
      </w:r>
      <w:r w:rsidR="00F51120" w:rsidRPr="008932A3">
        <w:rPr>
          <w:szCs w:val="26"/>
        </w:rPr>
        <w:t xml:space="preserve">, por lo que se genera el derecho a que se reconozca por ese concepto, </w:t>
      </w:r>
      <w:r w:rsidR="00F51120" w:rsidRPr="008932A3">
        <w:rPr>
          <w:b/>
          <w:bCs/>
          <w:szCs w:val="26"/>
        </w:rPr>
        <w:t xml:space="preserve">30 días de </w:t>
      </w:r>
      <w:r w:rsidR="00F51120" w:rsidRPr="008932A3">
        <w:rPr>
          <w:rFonts w:cs="Tahoma"/>
          <w:b/>
          <w:bCs/>
          <w:szCs w:val="26"/>
          <w:lang w:val="es-ES"/>
        </w:rPr>
        <w:t>salario</w:t>
      </w:r>
      <w:r w:rsidR="00F51120" w:rsidRPr="008932A3">
        <w:rPr>
          <w:b/>
          <w:bCs/>
          <w:szCs w:val="26"/>
        </w:rPr>
        <w:t xml:space="preserve"> por cada año de servicios prestados o proporcionalmente por fracción</w:t>
      </w:r>
      <w:r w:rsidR="00F51120" w:rsidRPr="008932A3">
        <w:rPr>
          <w:szCs w:val="26"/>
        </w:rPr>
        <w:t xml:space="preserve">. En ese entendido, en este caso el accionante tiene derecho a percibir por esta prestación la suma de </w:t>
      </w:r>
      <w:bookmarkStart w:id="1" w:name="_Hlk23933837"/>
      <w:r w:rsidR="00F51120" w:rsidRPr="008932A3">
        <w:rPr>
          <w:b/>
          <w:bCs/>
          <w:szCs w:val="26"/>
        </w:rPr>
        <w:t>$</w:t>
      </w:r>
      <w:r w:rsidR="00BA3208" w:rsidRPr="008932A3">
        <w:rPr>
          <w:rFonts w:cs="Tahoma"/>
          <w:b/>
          <w:bCs/>
          <w:szCs w:val="26"/>
        </w:rPr>
        <w:t>904</w:t>
      </w:r>
      <w:r w:rsidR="00F51120" w:rsidRPr="008932A3">
        <w:rPr>
          <w:rFonts w:cs="Tahoma"/>
          <w:b/>
          <w:bCs/>
          <w:szCs w:val="26"/>
        </w:rPr>
        <w:t>.</w:t>
      </w:r>
      <w:r w:rsidR="00BA3208" w:rsidRPr="008932A3">
        <w:rPr>
          <w:rFonts w:cs="Tahoma"/>
          <w:b/>
          <w:bCs/>
          <w:szCs w:val="26"/>
        </w:rPr>
        <w:t>281</w:t>
      </w:r>
      <w:bookmarkEnd w:id="1"/>
      <w:r w:rsidR="00F51120" w:rsidRPr="008932A3">
        <w:rPr>
          <w:rFonts w:cs="Tahoma"/>
          <w:szCs w:val="26"/>
        </w:rPr>
        <w:t xml:space="preserve">, </w:t>
      </w:r>
      <w:r w:rsidR="00BA3208" w:rsidRPr="008932A3">
        <w:rPr>
          <w:rFonts w:cs="Tahoma"/>
          <w:szCs w:val="26"/>
        </w:rPr>
        <w:t xml:space="preserve">la cual es inferior a la establecida por la a-quo que fue por $904.587, lo que implica </w:t>
      </w:r>
      <w:r w:rsidR="00BA3208" w:rsidRPr="008932A3">
        <w:rPr>
          <w:szCs w:val="26"/>
        </w:rPr>
        <w:t>que se deberá modificar el numeral 2 de la parte resolutiva en ese sentido.</w:t>
      </w:r>
    </w:p>
    <w:p w14:paraId="542B7128" w14:textId="21A0ED3D" w:rsidR="00BA3208" w:rsidRPr="008932A3" w:rsidRDefault="00BA3208" w:rsidP="008932A3">
      <w:pPr>
        <w:tabs>
          <w:tab w:val="left" w:pos="709"/>
        </w:tabs>
        <w:spacing w:line="276" w:lineRule="auto"/>
        <w:jc w:val="both"/>
        <w:rPr>
          <w:szCs w:val="26"/>
        </w:rPr>
      </w:pPr>
    </w:p>
    <w:p w14:paraId="5B1A7C94" w14:textId="40EC2AD3" w:rsidR="00F51120" w:rsidRPr="008932A3" w:rsidRDefault="00BA3208" w:rsidP="008932A3">
      <w:pPr>
        <w:tabs>
          <w:tab w:val="left" w:pos="709"/>
        </w:tabs>
        <w:spacing w:line="276" w:lineRule="auto"/>
        <w:jc w:val="both"/>
        <w:rPr>
          <w:rFonts w:cs="Tahoma"/>
          <w:szCs w:val="26"/>
        </w:rPr>
      </w:pPr>
      <w:r w:rsidRPr="008932A3">
        <w:rPr>
          <w:szCs w:val="26"/>
        </w:rPr>
        <w:t xml:space="preserve">En cuanto a los intereses a las cesantías, </w:t>
      </w:r>
      <w:r w:rsidR="007669E2" w:rsidRPr="008932A3">
        <w:rPr>
          <w:szCs w:val="26"/>
        </w:rPr>
        <w:t xml:space="preserve">como </w:t>
      </w:r>
      <w:r w:rsidR="000A27CC" w:rsidRPr="008932A3">
        <w:rPr>
          <w:rFonts w:cs="Tahoma"/>
          <w:szCs w:val="26"/>
        </w:rPr>
        <w:t>la misma se liquida con el 12% anual sobre el valor de las cesantías reconocidas</w:t>
      </w:r>
      <w:r w:rsidR="007669E2" w:rsidRPr="008932A3">
        <w:rPr>
          <w:rFonts w:cs="Tahoma"/>
          <w:szCs w:val="26"/>
        </w:rPr>
        <w:t xml:space="preserve">, se tiene que </w:t>
      </w:r>
      <w:r w:rsidR="000A27CC" w:rsidRPr="008932A3">
        <w:rPr>
          <w:rFonts w:cs="Tahoma"/>
          <w:szCs w:val="26"/>
        </w:rPr>
        <w:t xml:space="preserve">al haberse modificado </w:t>
      </w:r>
      <w:r w:rsidR="007669E2" w:rsidRPr="008932A3">
        <w:rPr>
          <w:rFonts w:cs="Tahoma"/>
          <w:szCs w:val="26"/>
        </w:rPr>
        <w:t xml:space="preserve">el </w:t>
      </w:r>
      <w:r w:rsidR="000A27CC" w:rsidRPr="008932A3">
        <w:rPr>
          <w:rFonts w:cs="Tahoma"/>
          <w:szCs w:val="26"/>
        </w:rPr>
        <w:t>valor</w:t>
      </w:r>
      <w:r w:rsidR="007669E2" w:rsidRPr="008932A3">
        <w:rPr>
          <w:rFonts w:cs="Tahoma"/>
          <w:szCs w:val="26"/>
        </w:rPr>
        <w:t xml:space="preserve"> de estas últimas</w:t>
      </w:r>
      <w:r w:rsidR="000A27CC" w:rsidRPr="008932A3">
        <w:rPr>
          <w:rFonts w:cs="Tahoma"/>
          <w:szCs w:val="26"/>
        </w:rPr>
        <w:t xml:space="preserve">, también cambia el monto de </w:t>
      </w:r>
      <w:r w:rsidR="00BC41FF" w:rsidRPr="008932A3">
        <w:rPr>
          <w:rFonts w:cs="Tahoma"/>
          <w:szCs w:val="26"/>
        </w:rPr>
        <w:t>esta</w:t>
      </w:r>
      <w:r w:rsidR="000A27CC" w:rsidRPr="008932A3">
        <w:rPr>
          <w:rFonts w:cs="Tahoma"/>
          <w:szCs w:val="26"/>
        </w:rPr>
        <w:t xml:space="preserve"> pretensión, el cual asciende a </w:t>
      </w:r>
      <w:bookmarkStart w:id="2" w:name="_Hlk23933881"/>
      <w:r w:rsidR="000A27CC" w:rsidRPr="008932A3">
        <w:rPr>
          <w:rFonts w:cs="Tahoma"/>
          <w:b/>
          <w:bCs/>
          <w:szCs w:val="26"/>
        </w:rPr>
        <w:t>$53.955</w:t>
      </w:r>
      <w:bookmarkEnd w:id="2"/>
      <w:r w:rsidR="000A27CC" w:rsidRPr="008932A3">
        <w:rPr>
          <w:rFonts w:cs="Tahoma"/>
          <w:szCs w:val="26"/>
        </w:rPr>
        <w:t xml:space="preserve">, lo que implica </w:t>
      </w:r>
      <w:r w:rsidR="000A27CC" w:rsidRPr="008932A3">
        <w:rPr>
          <w:szCs w:val="26"/>
        </w:rPr>
        <w:t>que se deberá modificar el numeral 2 de la parte resolutiva en ese sentido.</w:t>
      </w:r>
    </w:p>
    <w:p w14:paraId="7523311B" w14:textId="621FCBBF" w:rsidR="0075522F" w:rsidRPr="008932A3" w:rsidRDefault="0075522F" w:rsidP="008932A3">
      <w:pPr>
        <w:tabs>
          <w:tab w:val="left" w:pos="709"/>
        </w:tabs>
        <w:spacing w:line="276" w:lineRule="auto"/>
        <w:jc w:val="both"/>
        <w:rPr>
          <w:b/>
          <w:bCs/>
          <w:szCs w:val="26"/>
        </w:rPr>
      </w:pPr>
    </w:p>
    <w:p w14:paraId="232E3BE7" w14:textId="1340447F" w:rsidR="0075522F" w:rsidRPr="008932A3" w:rsidRDefault="0075522F" w:rsidP="008932A3">
      <w:pPr>
        <w:tabs>
          <w:tab w:val="left" w:pos="851"/>
        </w:tabs>
        <w:spacing w:line="276" w:lineRule="auto"/>
        <w:jc w:val="both"/>
        <w:rPr>
          <w:rFonts w:cs="Tahoma"/>
          <w:b/>
          <w:bCs/>
          <w:szCs w:val="26"/>
        </w:rPr>
      </w:pPr>
      <w:r w:rsidRPr="008932A3">
        <w:rPr>
          <w:rFonts w:cs="Tahoma"/>
          <w:bCs/>
          <w:szCs w:val="26"/>
        </w:rPr>
        <w:t xml:space="preserve">En síntesis, se </w:t>
      </w:r>
      <w:r w:rsidR="007B0E49" w:rsidRPr="008932A3">
        <w:rPr>
          <w:rFonts w:cs="Tahoma"/>
          <w:bCs/>
          <w:szCs w:val="26"/>
        </w:rPr>
        <w:t xml:space="preserve">modificará </w:t>
      </w:r>
      <w:r w:rsidRPr="008932A3">
        <w:rPr>
          <w:rFonts w:cs="Tahoma"/>
          <w:bCs/>
          <w:szCs w:val="26"/>
        </w:rPr>
        <w:t xml:space="preserve">el numeral </w:t>
      </w:r>
      <w:r w:rsidR="000A27CC" w:rsidRPr="008932A3">
        <w:rPr>
          <w:rFonts w:cs="Tahoma"/>
          <w:bCs/>
          <w:szCs w:val="26"/>
        </w:rPr>
        <w:t xml:space="preserve">segundo y tercero </w:t>
      </w:r>
      <w:r w:rsidRPr="008932A3">
        <w:rPr>
          <w:rFonts w:cs="Tahoma"/>
          <w:bCs/>
          <w:szCs w:val="26"/>
        </w:rPr>
        <w:t xml:space="preserve">de la sentencia, en lo atinente </w:t>
      </w:r>
      <w:r w:rsidR="00BC41FF" w:rsidRPr="008932A3">
        <w:rPr>
          <w:rFonts w:cs="Tahoma"/>
          <w:bCs/>
          <w:szCs w:val="26"/>
        </w:rPr>
        <w:t>a la indemnización moratoria y los valores a los que se llegó en las liquidaciones que fueron revisadas</w:t>
      </w:r>
      <w:r w:rsidRPr="008932A3">
        <w:rPr>
          <w:rFonts w:cs="Tahoma"/>
          <w:bCs/>
          <w:szCs w:val="26"/>
        </w:rPr>
        <w:t>, debiendo confirmar la providencia en los restantes aspectos.</w:t>
      </w:r>
    </w:p>
    <w:p w14:paraId="3FBCD227" w14:textId="77777777" w:rsidR="0075522F" w:rsidRPr="008932A3" w:rsidRDefault="0075522F" w:rsidP="008932A3">
      <w:pPr>
        <w:pStyle w:val="Textoindependiente21"/>
        <w:spacing w:line="276" w:lineRule="auto"/>
        <w:ind w:firstLine="709"/>
        <w:rPr>
          <w:rFonts w:ascii="Arial Narrow" w:hAnsi="Arial Narrow" w:cs="Tahoma"/>
          <w:b w:val="0"/>
          <w:bCs/>
          <w:sz w:val="26"/>
          <w:szCs w:val="26"/>
        </w:rPr>
      </w:pPr>
    </w:p>
    <w:p w14:paraId="49D6F5B6" w14:textId="65416478" w:rsidR="0075522F" w:rsidRPr="008932A3" w:rsidRDefault="0075522F" w:rsidP="008932A3">
      <w:pPr>
        <w:pStyle w:val="Textoindependiente21"/>
        <w:spacing w:line="276" w:lineRule="auto"/>
        <w:rPr>
          <w:rFonts w:ascii="Arial Narrow" w:hAnsi="Arial Narrow" w:cs="Tahoma"/>
          <w:b w:val="0"/>
          <w:bCs/>
          <w:sz w:val="26"/>
          <w:szCs w:val="26"/>
        </w:rPr>
      </w:pPr>
      <w:r w:rsidRPr="008932A3">
        <w:rPr>
          <w:rFonts w:ascii="Arial Narrow" w:hAnsi="Arial Narrow" w:cs="Tahoma"/>
          <w:b w:val="0"/>
          <w:bCs/>
          <w:sz w:val="26"/>
          <w:szCs w:val="26"/>
        </w:rPr>
        <w:t xml:space="preserve">Sin costas en esta sede amén que se conoce en consulta y </w:t>
      </w:r>
      <w:r w:rsidR="007669E2" w:rsidRPr="008932A3">
        <w:rPr>
          <w:rFonts w:ascii="Arial Narrow" w:hAnsi="Arial Narrow" w:cs="Tahoma"/>
          <w:b w:val="0"/>
          <w:bCs/>
          <w:sz w:val="26"/>
          <w:szCs w:val="26"/>
        </w:rPr>
        <w:t xml:space="preserve">porque </w:t>
      </w:r>
      <w:r w:rsidRPr="008932A3">
        <w:rPr>
          <w:rFonts w:ascii="Arial Narrow" w:hAnsi="Arial Narrow" w:cs="Tahoma"/>
          <w:b w:val="0"/>
          <w:bCs/>
          <w:sz w:val="26"/>
          <w:szCs w:val="26"/>
        </w:rPr>
        <w:t>el recurso propuesto por la entidad demandada prosperó apenas de manera parcial.</w:t>
      </w:r>
    </w:p>
    <w:p w14:paraId="569D3543" w14:textId="77777777" w:rsidR="0075522F" w:rsidRPr="008932A3" w:rsidRDefault="0075522F" w:rsidP="008932A3">
      <w:pPr>
        <w:pStyle w:val="Sinespaciado"/>
        <w:spacing w:line="276" w:lineRule="auto"/>
        <w:jc w:val="both"/>
        <w:rPr>
          <w:rFonts w:ascii="Arial Narrow" w:hAnsi="Arial Narrow"/>
          <w:b/>
          <w:i/>
          <w:sz w:val="26"/>
          <w:szCs w:val="26"/>
        </w:rPr>
      </w:pPr>
    </w:p>
    <w:p w14:paraId="6CB62F55" w14:textId="18B84A8E" w:rsidR="0075522F" w:rsidRPr="008932A3" w:rsidRDefault="0075522F" w:rsidP="008932A3">
      <w:pPr>
        <w:pStyle w:val="Sinespaciado"/>
        <w:spacing w:line="276" w:lineRule="auto"/>
        <w:jc w:val="both"/>
        <w:rPr>
          <w:rFonts w:ascii="Arial Narrow" w:hAnsi="Arial Narrow"/>
          <w:sz w:val="26"/>
          <w:szCs w:val="26"/>
        </w:rPr>
      </w:pPr>
      <w:r w:rsidRPr="008932A3">
        <w:rPr>
          <w:rFonts w:ascii="Arial Narrow" w:hAnsi="Arial Narrow"/>
          <w:sz w:val="26"/>
          <w:szCs w:val="26"/>
        </w:rPr>
        <w:t xml:space="preserve">En mérito de lo expuesto, </w:t>
      </w:r>
      <w:r w:rsidRPr="008932A3">
        <w:rPr>
          <w:rFonts w:ascii="Arial Narrow" w:hAnsi="Arial Narrow"/>
          <w:b/>
          <w:i/>
          <w:sz w:val="26"/>
          <w:szCs w:val="26"/>
        </w:rPr>
        <w:t>la Sala Laboral del Tribunal Superior del Distrito de Pereira,</w:t>
      </w:r>
      <w:r w:rsidRPr="008932A3">
        <w:rPr>
          <w:rFonts w:ascii="Arial Narrow" w:hAnsi="Arial Narrow"/>
          <w:b/>
          <w:sz w:val="26"/>
          <w:szCs w:val="26"/>
        </w:rPr>
        <w:t xml:space="preserve"> </w:t>
      </w:r>
      <w:r w:rsidRPr="008932A3">
        <w:rPr>
          <w:rFonts w:ascii="Arial Narrow" w:hAnsi="Arial Narrow"/>
          <w:sz w:val="26"/>
          <w:szCs w:val="26"/>
        </w:rPr>
        <w:t xml:space="preserve">administrando justicia en nombre de la República y por autoridad de la Ley, </w:t>
      </w:r>
    </w:p>
    <w:p w14:paraId="2442C6CB" w14:textId="77777777" w:rsidR="0075522F" w:rsidRPr="008932A3" w:rsidRDefault="0075522F" w:rsidP="008932A3">
      <w:pPr>
        <w:pStyle w:val="Sinespaciado"/>
        <w:spacing w:line="276" w:lineRule="auto"/>
        <w:jc w:val="both"/>
        <w:rPr>
          <w:rFonts w:ascii="Arial Narrow" w:hAnsi="Arial Narrow"/>
          <w:sz w:val="26"/>
          <w:szCs w:val="26"/>
        </w:rPr>
      </w:pPr>
    </w:p>
    <w:p w14:paraId="30D1176A" w14:textId="77777777" w:rsidR="0075522F" w:rsidRPr="008932A3" w:rsidRDefault="0075522F" w:rsidP="008932A3">
      <w:pPr>
        <w:pStyle w:val="Sinespaciado"/>
        <w:spacing w:line="276" w:lineRule="auto"/>
        <w:jc w:val="center"/>
        <w:rPr>
          <w:rFonts w:ascii="Arial Narrow" w:hAnsi="Arial Narrow"/>
          <w:b/>
          <w:i/>
          <w:sz w:val="26"/>
          <w:szCs w:val="26"/>
        </w:rPr>
      </w:pPr>
      <w:r w:rsidRPr="008932A3">
        <w:rPr>
          <w:rFonts w:ascii="Arial Narrow" w:hAnsi="Arial Narrow"/>
          <w:b/>
          <w:i/>
          <w:sz w:val="26"/>
          <w:szCs w:val="26"/>
        </w:rPr>
        <w:t>FALLA</w:t>
      </w:r>
    </w:p>
    <w:p w14:paraId="607C03CA" w14:textId="77777777" w:rsidR="0075522F" w:rsidRPr="008932A3" w:rsidRDefault="0075522F" w:rsidP="008932A3">
      <w:pPr>
        <w:pStyle w:val="Sinespaciado"/>
        <w:spacing w:line="276" w:lineRule="auto"/>
        <w:jc w:val="both"/>
        <w:rPr>
          <w:rFonts w:ascii="Arial Narrow" w:hAnsi="Arial Narrow"/>
          <w:b/>
          <w:i/>
          <w:sz w:val="26"/>
          <w:szCs w:val="26"/>
        </w:rPr>
      </w:pPr>
    </w:p>
    <w:p w14:paraId="3B60CEBF" w14:textId="5D413B85" w:rsidR="00BC41FF" w:rsidRPr="008932A3" w:rsidRDefault="0075522F" w:rsidP="008932A3">
      <w:pPr>
        <w:pStyle w:val="Sinespaciado"/>
        <w:spacing w:line="276" w:lineRule="auto"/>
        <w:jc w:val="both"/>
        <w:rPr>
          <w:rFonts w:ascii="Arial Narrow" w:hAnsi="Arial Narrow"/>
          <w:sz w:val="26"/>
          <w:szCs w:val="26"/>
          <w:lang w:val="es-CO"/>
        </w:rPr>
      </w:pPr>
      <w:r w:rsidRPr="008932A3">
        <w:rPr>
          <w:rFonts w:ascii="Arial Narrow" w:hAnsi="Arial Narrow"/>
          <w:b/>
          <w:i/>
          <w:sz w:val="26"/>
          <w:szCs w:val="26"/>
        </w:rPr>
        <w:t>Primero:</w:t>
      </w:r>
      <w:r w:rsidRPr="008932A3">
        <w:rPr>
          <w:rFonts w:ascii="Arial Narrow" w:hAnsi="Arial Narrow"/>
          <w:b/>
          <w:sz w:val="26"/>
          <w:szCs w:val="26"/>
        </w:rPr>
        <w:t xml:space="preserve"> </w:t>
      </w:r>
      <w:r w:rsidRPr="008932A3">
        <w:rPr>
          <w:rFonts w:ascii="Arial Narrow" w:hAnsi="Arial Narrow"/>
          <w:b/>
          <w:i/>
          <w:sz w:val="26"/>
          <w:szCs w:val="26"/>
        </w:rPr>
        <w:t xml:space="preserve">Modificar </w:t>
      </w:r>
      <w:r w:rsidRPr="008932A3">
        <w:rPr>
          <w:rFonts w:ascii="Arial Narrow" w:hAnsi="Arial Narrow"/>
          <w:sz w:val="26"/>
          <w:szCs w:val="26"/>
          <w:lang w:val="es-CO"/>
        </w:rPr>
        <w:t xml:space="preserve">la sentencia dictada por el Juzgado Tercero Laboral del Circuito de Pereira del </w:t>
      </w:r>
      <w:r w:rsidR="00BC41FF" w:rsidRPr="008932A3">
        <w:rPr>
          <w:rFonts w:ascii="Arial Narrow" w:hAnsi="Arial Narrow"/>
          <w:sz w:val="26"/>
          <w:szCs w:val="26"/>
          <w:lang w:val="es-CO"/>
        </w:rPr>
        <w:t>18</w:t>
      </w:r>
      <w:r w:rsidRPr="008932A3">
        <w:rPr>
          <w:rFonts w:ascii="Arial Narrow" w:hAnsi="Arial Narrow"/>
          <w:sz w:val="26"/>
          <w:szCs w:val="26"/>
          <w:lang w:val="es-CO"/>
        </w:rPr>
        <w:t xml:space="preserve"> de </w:t>
      </w:r>
      <w:r w:rsidR="00BC41FF" w:rsidRPr="008932A3">
        <w:rPr>
          <w:rFonts w:ascii="Arial Narrow" w:hAnsi="Arial Narrow"/>
          <w:sz w:val="26"/>
          <w:szCs w:val="26"/>
          <w:lang w:val="es-CO"/>
        </w:rPr>
        <w:t xml:space="preserve">marzo </w:t>
      </w:r>
      <w:r w:rsidRPr="008932A3">
        <w:rPr>
          <w:rFonts w:ascii="Arial Narrow" w:hAnsi="Arial Narrow"/>
          <w:sz w:val="26"/>
          <w:szCs w:val="26"/>
          <w:lang w:val="es-CO"/>
        </w:rPr>
        <w:t xml:space="preserve">de 2019, </w:t>
      </w:r>
      <w:r w:rsidR="00BC41FF" w:rsidRPr="008932A3">
        <w:rPr>
          <w:rFonts w:ascii="Arial Narrow" w:hAnsi="Arial Narrow"/>
          <w:sz w:val="26"/>
          <w:szCs w:val="26"/>
          <w:lang w:val="es-CO"/>
        </w:rPr>
        <w:t>en el numeral segundo, en el sentido de que al demandante se le adeudan las siguientes sumas:</w:t>
      </w:r>
    </w:p>
    <w:p w14:paraId="5FB4FFBB" w14:textId="07413F86" w:rsidR="00BC41FF" w:rsidRPr="008932A3" w:rsidRDefault="00BC41FF" w:rsidP="008932A3">
      <w:pPr>
        <w:pStyle w:val="Sinespaciado"/>
        <w:spacing w:line="276" w:lineRule="auto"/>
        <w:jc w:val="both"/>
        <w:rPr>
          <w:rFonts w:ascii="Arial Narrow" w:hAnsi="Arial Narrow"/>
          <w:sz w:val="26"/>
          <w:szCs w:val="26"/>
          <w:lang w:val="es-CO"/>
        </w:rPr>
      </w:pPr>
    </w:p>
    <w:p w14:paraId="6D2EB172" w14:textId="3513CB57" w:rsidR="00BC41FF" w:rsidRPr="008932A3" w:rsidRDefault="00BC41FF" w:rsidP="008932A3">
      <w:pPr>
        <w:pStyle w:val="Sinespaciado"/>
        <w:tabs>
          <w:tab w:val="left" w:pos="2835"/>
        </w:tabs>
        <w:spacing w:line="276" w:lineRule="auto"/>
        <w:jc w:val="both"/>
        <w:rPr>
          <w:rFonts w:ascii="Arial Narrow" w:hAnsi="Arial Narrow"/>
          <w:sz w:val="26"/>
          <w:szCs w:val="26"/>
          <w:lang w:val="es-CO"/>
        </w:rPr>
      </w:pPr>
      <w:r w:rsidRPr="008932A3">
        <w:rPr>
          <w:rFonts w:ascii="Arial Narrow" w:hAnsi="Arial Narrow"/>
          <w:sz w:val="26"/>
          <w:szCs w:val="26"/>
          <w:lang w:val="es-CO"/>
        </w:rPr>
        <w:t>Prima de navidad</w:t>
      </w:r>
      <w:r w:rsidRPr="008932A3">
        <w:rPr>
          <w:rFonts w:ascii="Arial Narrow" w:hAnsi="Arial Narrow"/>
          <w:sz w:val="26"/>
          <w:szCs w:val="26"/>
          <w:lang w:val="es-CO"/>
        </w:rPr>
        <w:tab/>
        <w:t>$704.000</w:t>
      </w:r>
    </w:p>
    <w:p w14:paraId="536C8B37" w14:textId="23DC5556" w:rsidR="00BC41FF" w:rsidRPr="008932A3" w:rsidRDefault="00BC41FF" w:rsidP="008932A3">
      <w:pPr>
        <w:pStyle w:val="Sinespaciado"/>
        <w:tabs>
          <w:tab w:val="left" w:pos="2835"/>
        </w:tabs>
        <w:spacing w:line="276" w:lineRule="auto"/>
        <w:jc w:val="both"/>
        <w:rPr>
          <w:rFonts w:ascii="Arial Narrow" w:hAnsi="Arial Narrow"/>
          <w:sz w:val="26"/>
          <w:szCs w:val="26"/>
          <w:lang w:val="es-CO"/>
        </w:rPr>
      </w:pPr>
      <w:r w:rsidRPr="008932A3">
        <w:rPr>
          <w:rFonts w:ascii="Arial Narrow" w:hAnsi="Arial Narrow"/>
          <w:sz w:val="26"/>
          <w:szCs w:val="26"/>
          <w:lang w:val="es-CO"/>
        </w:rPr>
        <w:t>Vacaciones</w:t>
      </w:r>
      <w:r w:rsidRPr="008932A3">
        <w:rPr>
          <w:rFonts w:ascii="Arial Narrow" w:hAnsi="Arial Narrow"/>
          <w:sz w:val="26"/>
          <w:szCs w:val="26"/>
          <w:lang w:val="es-CO"/>
        </w:rPr>
        <w:tab/>
      </w:r>
      <w:r w:rsidRPr="008932A3">
        <w:rPr>
          <w:rFonts w:ascii="Arial Narrow" w:hAnsi="Arial Narrow"/>
          <w:sz w:val="26"/>
          <w:szCs w:val="26"/>
          <w:lang w:val="es-CO"/>
        </w:rPr>
        <w:tab/>
        <w:t>$403.333</w:t>
      </w:r>
    </w:p>
    <w:p w14:paraId="56C2776B" w14:textId="11F18574" w:rsidR="00BC41FF" w:rsidRPr="008932A3" w:rsidRDefault="00BC41FF" w:rsidP="008932A3">
      <w:pPr>
        <w:pStyle w:val="Sinespaciado"/>
        <w:tabs>
          <w:tab w:val="left" w:pos="2835"/>
        </w:tabs>
        <w:spacing w:line="276" w:lineRule="auto"/>
        <w:jc w:val="both"/>
        <w:rPr>
          <w:rFonts w:ascii="Arial Narrow" w:hAnsi="Arial Narrow"/>
          <w:sz w:val="26"/>
          <w:szCs w:val="26"/>
          <w:lang w:val="es-CO"/>
        </w:rPr>
      </w:pPr>
      <w:r w:rsidRPr="008932A3">
        <w:rPr>
          <w:rFonts w:ascii="Arial Narrow" w:hAnsi="Arial Narrow"/>
          <w:sz w:val="26"/>
          <w:szCs w:val="26"/>
          <w:lang w:val="es-CO"/>
        </w:rPr>
        <w:t>Cesantías</w:t>
      </w:r>
      <w:r w:rsidRPr="008932A3">
        <w:rPr>
          <w:rFonts w:ascii="Arial Narrow" w:hAnsi="Arial Narrow"/>
          <w:sz w:val="26"/>
          <w:szCs w:val="26"/>
          <w:lang w:val="es-CO"/>
        </w:rPr>
        <w:tab/>
      </w:r>
      <w:r w:rsidRPr="008932A3">
        <w:rPr>
          <w:rFonts w:ascii="Arial Narrow" w:hAnsi="Arial Narrow"/>
          <w:sz w:val="26"/>
          <w:szCs w:val="26"/>
          <w:lang w:val="es-CO"/>
        </w:rPr>
        <w:tab/>
        <w:t>$904.281</w:t>
      </w:r>
    </w:p>
    <w:p w14:paraId="7999633E" w14:textId="367C6526" w:rsidR="00BC41FF" w:rsidRPr="008932A3" w:rsidRDefault="00BC41FF" w:rsidP="008932A3">
      <w:pPr>
        <w:pStyle w:val="Sinespaciado"/>
        <w:tabs>
          <w:tab w:val="left" w:pos="2835"/>
        </w:tabs>
        <w:spacing w:line="276" w:lineRule="auto"/>
        <w:jc w:val="both"/>
        <w:rPr>
          <w:rFonts w:ascii="Arial Narrow" w:hAnsi="Arial Narrow"/>
          <w:sz w:val="26"/>
          <w:szCs w:val="26"/>
          <w:lang w:val="es-CO"/>
        </w:rPr>
      </w:pPr>
      <w:r w:rsidRPr="008932A3">
        <w:rPr>
          <w:rFonts w:ascii="Arial Narrow" w:hAnsi="Arial Narrow"/>
          <w:sz w:val="26"/>
          <w:szCs w:val="26"/>
          <w:lang w:val="es-CO"/>
        </w:rPr>
        <w:t>Intereses a las cesantías</w:t>
      </w:r>
      <w:r w:rsidRPr="008932A3">
        <w:rPr>
          <w:rFonts w:ascii="Arial Narrow" w:hAnsi="Arial Narrow"/>
          <w:sz w:val="26"/>
          <w:szCs w:val="26"/>
          <w:lang w:val="es-CO"/>
        </w:rPr>
        <w:tab/>
        <w:t>$  53.955</w:t>
      </w:r>
    </w:p>
    <w:p w14:paraId="147929B2" w14:textId="25BC2287" w:rsidR="00BC41FF" w:rsidRPr="008932A3" w:rsidRDefault="00BC41FF" w:rsidP="008932A3">
      <w:pPr>
        <w:pStyle w:val="Sinespaciado"/>
        <w:spacing w:line="276" w:lineRule="auto"/>
        <w:jc w:val="both"/>
        <w:rPr>
          <w:rFonts w:ascii="Arial Narrow" w:hAnsi="Arial Narrow"/>
          <w:sz w:val="26"/>
          <w:szCs w:val="26"/>
          <w:lang w:val="es-CO"/>
        </w:rPr>
      </w:pPr>
    </w:p>
    <w:p w14:paraId="265A9FC8" w14:textId="0C437CCE" w:rsidR="00BC41FF" w:rsidRPr="008932A3" w:rsidRDefault="00BC41FF" w:rsidP="008932A3">
      <w:pPr>
        <w:pStyle w:val="Sinespaciado"/>
        <w:spacing w:line="276" w:lineRule="auto"/>
        <w:jc w:val="both"/>
        <w:rPr>
          <w:rFonts w:ascii="Arial Narrow" w:hAnsi="Arial Narrow"/>
          <w:sz w:val="26"/>
          <w:szCs w:val="26"/>
          <w:lang w:val="es-CO"/>
        </w:rPr>
      </w:pPr>
      <w:r w:rsidRPr="008932A3">
        <w:rPr>
          <w:rFonts w:ascii="Arial Narrow" w:hAnsi="Arial Narrow"/>
          <w:b/>
          <w:i/>
          <w:sz w:val="26"/>
          <w:szCs w:val="26"/>
        </w:rPr>
        <w:t>Segundo:</w:t>
      </w:r>
      <w:r w:rsidRPr="008932A3">
        <w:rPr>
          <w:rFonts w:ascii="Arial Narrow" w:hAnsi="Arial Narrow"/>
          <w:b/>
          <w:sz w:val="26"/>
          <w:szCs w:val="26"/>
        </w:rPr>
        <w:t xml:space="preserve"> </w:t>
      </w:r>
      <w:r w:rsidRPr="008932A3">
        <w:rPr>
          <w:rFonts w:ascii="Arial Narrow" w:hAnsi="Arial Narrow"/>
          <w:b/>
          <w:i/>
          <w:sz w:val="26"/>
          <w:szCs w:val="26"/>
        </w:rPr>
        <w:t xml:space="preserve">Modificar </w:t>
      </w:r>
      <w:r w:rsidRPr="008932A3">
        <w:rPr>
          <w:rFonts w:ascii="Arial Narrow" w:hAnsi="Arial Narrow"/>
          <w:sz w:val="26"/>
          <w:szCs w:val="26"/>
          <w:lang w:val="es-CO"/>
        </w:rPr>
        <w:t xml:space="preserve">la sentencia dictada por el Juzgado Tercero Laboral del Circuito de Pereira del 18 de marzo de 2019, en el numeral tercero, en el sentido de que la indemnización moratoria deberá correr a partir del </w:t>
      </w:r>
      <w:r w:rsidRPr="008932A3">
        <w:rPr>
          <w:rFonts w:ascii="Arial Narrow" w:hAnsi="Arial Narrow"/>
          <w:b/>
          <w:bCs/>
          <w:sz w:val="26"/>
          <w:szCs w:val="26"/>
          <w:lang w:val="es-CO"/>
        </w:rPr>
        <w:t>1 de abril de 2016</w:t>
      </w:r>
      <w:r w:rsidRPr="008932A3">
        <w:rPr>
          <w:rFonts w:ascii="Arial Narrow" w:hAnsi="Arial Narrow"/>
          <w:sz w:val="26"/>
          <w:szCs w:val="26"/>
          <w:lang w:val="es-CO"/>
        </w:rPr>
        <w:t>, en cuantía equivalente a $58.667 y hasta cuando se haga efectiva la obligación.</w:t>
      </w:r>
    </w:p>
    <w:p w14:paraId="1D262EB0" w14:textId="77777777" w:rsidR="00BC41FF" w:rsidRPr="008932A3" w:rsidRDefault="00BC41FF" w:rsidP="008932A3">
      <w:pPr>
        <w:pStyle w:val="Sinespaciado"/>
        <w:spacing w:line="276" w:lineRule="auto"/>
        <w:jc w:val="both"/>
        <w:rPr>
          <w:rFonts w:ascii="Arial Narrow" w:hAnsi="Arial Narrow"/>
          <w:sz w:val="26"/>
          <w:szCs w:val="26"/>
          <w:lang w:val="es-419"/>
        </w:rPr>
      </w:pPr>
    </w:p>
    <w:p w14:paraId="3864736B" w14:textId="7DF54FDE" w:rsidR="0075522F" w:rsidRPr="008932A3" w:rsidRDefault="00BC41FF" w:rsidP="008932A3">
      <w:pPr>
        <w:pStyle w:val="Sinespaciado"/>
        <w:spacing w:line="276" w:lineRule="auto"/>
        <w:jc w:val="both"/>
        <w:rPr>
          <w:rFonts w:ascii="Arial Narrow" w:hAnsi="Arial Narrow"/>
          <w:sz w:val="26"/>
          <w:szCs w:val="26"/>
          <w:lang w:val="es-CO"/>
        </w:rPr>
      </w:pPr>
      <w:r w:rsidRPr="008932A3">
        <w:rPr>
          <w:rFonts w:ascii="Arial Narrow" w:hAnsi="Arial Narrow"/>
          <w:b/>
          <w:i/>
          <w:sz w:val="26"/>
          <w:szCs w:val="26"/>
          <w:lang w:val="es-CO"/>
        </w:rPr>
        <w:t>Tercero</w:t>
      </w:r>
      <w:r w:rsidR="0075522F" w:rsidRPr="008932A3">
        <w:rPr>
          <w:rFonts w:ascii="Arial Narrow" w:hAnsi="Arial Narrow"/>
          <w:b/>
          <w:i/>
          <w:sz w:val="26"/>
          <w:szCs w:val="26"/>
          <w:lang w:val="es-CO"/>
        </w:rPr>
        <w:t xml:space="preserve">: </w:t>
      </w:r>
      <w:r w:rsidR="0075522F" w:rsidRPr="008932A3">
        <w:rPr>
          <w:rFonts w:ascii="Arial Narrow" w:hAnsi="Arial Narrow"/>
          <w:b/>
          <w:sz w:val="26"/>
          <w:szCs w:val="26"/>
          <w:lang w:val="es-CO"/>
        </w:rPr>
        <w:t xml:space="preserve">Confirmar </w:t>
      </w:r>
      <w:r w:rsidR="0075522F" w:rsidRPr="008932A3">
        <w:rPr>
          <w:rFonts w:ascii="Arial Narrow" w:hAnsi="Arial Narrow"/>
          <w:sz w:val="26"/>
          <w:szCs w:val="26"/>
          <w:lang w:val="es-CO"/>
        </w:rPr>
        <w:t>la sentencia en todo lo demás.</w:t>
      </w:r>
    </w:p>
    <w:p w14:paraId="00AC9A21" w14:textId="77777777" w:rsidR="0075522F" w:rsidRPr="008932A3" w:rsidRDefault="0075522F" w:rsidP="008932A3">
      <w:pPr>
        <w:pStyle w:val="Sinespaciado"/>
        <w:spacing w:line="276" w:lineRule="auto"/>
        <w:ind w:firstLine="709"/>
        <w:jc w:val="both"/>
        <w:rPr>
          <w:rFonts w:ascii="Arial Narrow" w:hAnsi="Arial Narrow"/>
          <w:sz w:val="26"/>
          <w:szCs w:val="26"/>
          <w:lang w:val="es-CO"/>
        </w:rPr>
      </w:pPr>
    </w:p>
    <w:p w14:paraId="78A197B0" w14:textId="51B702C5" w:rsidR="0075522F" w:rsidRPr="008932A3" w:rsidRDefault="00187386" w:rsidP="008932A3">
      <w:pPr>
        <w:pStyle w:val="Sinespaciado"/>
        <w:spacing w:line="276" w:lineRule="auto"/>
        <w:jc w:val="both"/>
        <w:rPr>
          <w:rFonts w:ascii="Arial Narrow" w:hAnsi="Arial Narrow"/>
          <w:sz w:val="26"/>
          <w:szCs w:val="26"/>
          <w:lang w:val="es-CO"/>
        </w:rPr>
      </w:pPr>
      <w:r w:rsidRPr="008932A3">
        <w:rPr>
          <w:rFonts w:ascii="Arial Narrow" w:hAnsi="Arial Narrow"/>
          <w:b/>
          <w:i/>
          <w:iCs/>
          <w:sz w:val="26"/>
          <w:szCs w:val="26"/>
          <w:lang w:val="es-CO"/>
        </w:rPr>
        <w:t>Cuarto</w:t>
      </w:r>
      <w:r w:rsidR="0075522F" w:rsidRPr="008932A3">
        <w:rPr>
          <w:rFonts w:ascii="Arial Narrow" w:hAnsi="Arial Narrow"/>
          <w:b/>
          <w:sz w:val="26"/>
          <w:szCs w:val="26"/>
          <w:lang w:val="es-CO"/>
        </w:rPr>
        <w:t xml:space="preserve">: </w:t>
      </w:r>
      <w:r w:rsidR="0075522F" w:rsidRPr="008932A3">
        <w:rPr>
          <w:rFonts w:ascii="Arial Narrow" w:hAnsi="Arial Narrow"/>
          <w:sz w:val="26"/>
          <w:szCs w:val="26"/>
          <w:lang w:val="es-CO"/>
        </w:rPr>
        <w:t>Sin costas en esta instancia.</w:t>
      </w:r>
    </w:p>
    <w:p w14:paraId="6A452183" w14:textId="77777777" w:rsidR="0075522F" w:rsidRPr="008932A3" w:rsidRDefault="0075522F" w:rsidP="008932A3">
      <w:pPr>
        <w:pStyle w:val="Sinespaciado"/>
        <w:spacing w:line="276" w:lineRule="auto"/>
        <w:jc w:val="both"/>
        <w:rPr>
          <w:rFonts w:ascii="Arial Narrow" w:hAnsi="Arial Narrow"/>
          <w:sz w:val="26"/>
          <w:szCs w:val="26"/>
        </w:rPr>
      </w:pPr>
    </w:p>
    <w:p w14:paraId="79239D97" w14:textId="77777777" w:rsidR="0075522F" w:rsidRPr="008932A3" w:rsidRDefault="0075522F" w:rsidP="008932A3">
      <w:pPr>
        <w:pStyle w:val="Sinespaciado"/>
        <w:spacing w:line="276" w:lineRule="auto"/>
        <w:jc w:val="both"/>
        <w:rPr>
          <w:rFonts w:ascii="Arial Narrow" w:hAnsi="Arial Narrow"/>
          <w:b/>
          <w:i/>
          <w:sz w:val="26"/>
          <w:szCs w:val="26"/>
        </w:rPr>
      </w:pPr>
      <w:r w:rsidRPr="008932A3">
        <w:rPr>
          <w:rFonts w:ascii="Arial Narrow" w:hAnsi="Arial Narrow"/>
          <w:sz w:val="26"/>
          <w:szCs w:val="26"/>
        </w:rPr>
        <w:t xml:space="preserve">Notificación surtida </w:t>
      </w:r>
      <w:r w:rsidRPr="008932A3">
        <w:rPr>
          <w:rFonts w:ascii="Arial Narrow" w:hAnsi="Arial Narrow"/>
          <w:b/>
          <w:i/>
          <w:sz w:val="26"/>
          <w:szCs w:val="26"/>
        </w:rPr>
        <w:t>en estrados.</w:t>
      </w:r>
    </w:p>
    <w:p w14:paraId="64B4F6DC" w14:textId="77777777" w:rsidR="001672E6" w:rsidRPr="001672E6" w:rsidRDefault="001672E6" w:rsidP="001672E6">
      <w:pPr>
        <w:spacing w:line="288" w:lineRule="auto"/>
        <w:rPr>
          <w:rFonts w:eastAsia="Times New Roman" w:cs="Times New Roman"/>
          <w:spacing w:val="-4"/>
          <w:szCs w:val="26"/>
          <w:lang w:val="es-ES" w:eastAsia="es-ES"/>
        </w:rPr>
      </w:pPr>
    </w:p>
    <w:p w14:paraId="0D6F4D70" w14:textId="77777777" w:rsidR="001672E6" w:rsidRPr="001672E6" w:rsidRDefault="001672E6" w:rsidP="001672E6">
      <w:pPr>
        <w:spacing w:line="288" w:lineRule="auto"/>
        <w:rPr>
          <w:rFonts w:eastAsia="Times New Roman" w:cs="Times New Roman"/>
          <w:spacing w:val="-4"/>
          <w:szCs w:val="26"/>
          <w:lang w:val="es-ES" w:eastAsia="es-ES"/>
        </w:rPr>
      </w:pPr>
    </w:p>
    <w:p w14:paraId="01FA6A4E" w14:textId="77777777" w:rsidR="001672E6" w:rsidRPr="001672E6" w:rsidRDefault="001672E6" w:rsidP="001672E6">
      <w:pPr>
        <w:spacing w:line="288" w:lineRule="auto"/>
        <w:rPr>
          <w:rFonts w:eastAsia="Times New Roman" w:cs="Microsoft Sans Serif"/>
          <w:bCs/>
          <w:iCs/>
          <w:color w:val="000000"/>
          <w:spacing w:val="-4"/>
          <w:szCs w:val="26"/>
          <w:lang w:val="es-ES" w:eastAsia="es-ES"/>
        </w:rPr>
      </w:pPr>
    </w:p>
    <w:p w14:paraId="7ECCD0AE" w14:textId="77777777" w:rsidR="001672E6" w:rsidRPr="001672E6" w:rsidRDefault="001672E6" w:rsidP="001672E6">
      <w:pPr>
        <w:spacing w:line="288" w:lineRule="auto"/>
        <w:jc w:val="center"/>
        <w:rPr>
          <w:rFonts w:eastAsia="Times New Roman" w:cs="Microsoft Sans Serif"/>
          <w:b/>
          <w:bCs/>
          <w:iCs/>
          <w:color w:val="000000"/>
          <w:spacing w:val="-4"/>
          <w:szCs w:val="26"/>
          <w:lang w:val="es-ES" w:eastAsia="es-ES"/>
        </w:rPr>
      </w:pPr>
      <w:r w:rsidRPr="001672E6">
        <w:rPr>
          <w:rFonts w:eastAsia="Times New Roman" w:cs="Microsoft Sans Serif"/>
          <w:b/>
          <w:bCs/>
          <w:iCs/>
          <w:color w:val="000000"/>
          <w:spacing w:val="-4"/>
          <w:szCs w:val="26"/>
          <w:lang w:val="es-ES" w:eastAsia="es-ES"/>
        </w:rPr>
        <w:t>FRANCISCO JAVIER TAMAYO TABARES</w:t>
      </w:r>
    </w:p>
    <w:p w14:paraId="126E92B6" w14:textId="77777777" w:rsidR="001672E6" w:rsidRPr="001672E6" w:rsidRDefault="001672E6" w:rsidP="001672E6">
      <w:pPr>
        <w:spacing w:line="288" w:lineRule="auto"/>
        <w:jc w:val="center"/>
        <w:rPr>
          <w:rFonts w:eastAsia="Times New Roman" w:cs="Microsoft Sans Serif"/>
          <w:color w:val="000000"/>
          <w:spacing w:val="-4"/>
          <w:szCs w:val="26"/>
          <w:lang w:val="es-ES" w:eastAsia="es-ES"/>
        </w:rPr>
      </w:pPr>
      <w:r w:rsidRPr="001672E6">
        <w:rPr>
          <w:rFonts w:eastAsia="Times New Roman" w:cs="Microsoft Sans Serif"/>
          <w:color w:val="000000"/>
          <w:spacing w:val="-4"/>
          <w:szCs w:val="26"/>
          <w:lang w:val="es-ES" w:eastAsia="es-ES"/>
        </w:rPr>
        <w:t xml:space="preserve">Magistrado Ponente </w:t>
      </w:r>
    </w:p>
    <w:p w14:paraId="36FEFF19" w14:textId="77777777" w:rsidR="001672E6" w:rsidRPr="001672E6" w:rsidRDefault="001672E6" w:rsidP="001672E6">
      <w:pPr>
        <w:spacing w:line="288" w:lineRule="auto"/>
        <w:jc w:val="both"/>
        <w:rPr>
          <w:rFonts w:eastAsia="Times New Roman" w:cs="Microsoft Sans Serif"/>
          <w:color w:val="000000"/>
          <w:spacing w:val="-4"/>
          <w:szCs w:val="26"/>
          <w:lang w:val="es-ES" w:eastAsia="es-ES"/>
        </w:rPr>
      </w:pPr>
    </w:p>
    <w:p w14:paraId="6F8D37A6" w14:textId="77777777" w:rsidR="001672E6" w:rsidRPr="001672E6" w:rsidRDefault="001672E6" w:rsidP="001672E6">
      <w:pPr>
        <w:spacing w:line="288" w:lineRule="auto"/>
        <w:rPr>
          <w:rFonts w:eastAsia="Times New Roman" w:cs="Times New Roman"/>
          <w:spacing w:val="-4"/>
          <w:szCs w:val="26"/>
          <w:lang w:val="es-ES_tradnl" w:eastAsia="es-ES"/>
        </w:rPr>
      </w:pPr>
    </w:p>
    <w:p w14:paraId="179CC5C8" w14:textId="77777777" w:rsidR="001672E6" w:rsidRPr="001672E6" w:rsidRDefault="001672E6" w:rsidP="001672E6">
      <w:pPr>
        <w:spacing w:line="288" w:lineRule="auto"/>
        <w:rPr>
          <w:rFonts w:eastAsia="Times New Roman" w:cs="Times New Roman"/>
          <w:spacing w:val="-4"/>
          <w:szCs w:val="26"/>
          <w:lang w:val="es-ES_tradnl" w:eastAsia="es-ES"/>
        </w:rPr>
      </w:pPr>
    </w:p>
    <w:p w14:paraId="745C417A" w14:textId="77777777" w:rsidR="001672E6" w:rsidRPr="001672E6" w:rsidRDefault="001672E6" w:rsidP="001672E6">
      <w:pPr>
        <w:spacing w:line="288" w:lineRule="auto"/>
        <w:rPr>
          <w:rFonts w:eastAsia="Times New Roman" w:cs="Microsoft Sans Serif"/>
          <w:b/>
          <w:bCs/>
          <w:iCs/>
          <w:color w:val="000000"/>
          <w:spacing w:val="-4"/>
          <w:szCs w:val="26"/>
          <w:lang w:val="es-ES" w:eastAsia="es-ES"/>
        </w:rPr>
      </w:pPr>
      <w:r w:rsidRPr="001672E6">
        <w:rPr>
          <w:rFonts w:eastAsia="Times New Roman" w:cs="Microsoft Sans Serif"/>
          <w:b/>
          <w:bCs/>
          <w:iCs/>
          <w:color w:val="000000"/>
          <w:spacing w:val="-4"/>
          <w:szCs w:val="26"/>
          <w:lang w:val="es-ES" w:eastAsia="es-ES"/>
        </w:rPr>
        <w:t>ANA LUCÍA CAICEDO CALDERÓN</w:t>
      </w:r>
      <w:r w:rsidRPr="001672E6">
        <w:rPr>
          <w:rFonts w:eastAsia="Times New Roman" w:cs="Microsoft Sans Serif"/>
          <w:b/>
          <w:bCs/>
          <w:iCs/>
          <w:color w:val="000000"/>
          <w:spacing w:val="-4"/>
          <w:szCs w:val="26"/>
          <w:lang w:val="es-ES" w:eastAsia="es-ES"/>
        </w:rPr>
        <w:tab/>
      </w:r>
      <w:r w:rsidRPr="001672E6">
        <w:rPr>
          <w:rFonts w:eastAsia="Times New Roman" w:cs="Microsoft Sans Serif"/>
          <w:b/>
          <w:bCs/>
          <w:iCs/>
          <w:color w:val="000000"/>
          <w:spacing w:val="-4"/>
          <w:szCs w:val="26"/>
          <w:lang w:val="es-ES" w:eastAsia="es-ES"/>
        </w:rPr>
        <w:tab/>
      </w:r>
      <w:r w:rsidRPr="001672E6">
        <w:rPr>
          <w:rFonts w:eastAsia="Times New Roman" w:cs="Microsoft Sans Serif"/>
          <w:b/>
          <w:bCs/>
          <w:iCs/>
          <w:color w:val="000000"/>
          <w:spacing w:val="-4"/>
          <w:szCs w:val="26"/>
          <w:lang w:val="es-ES" w:eastAsia="es-ES"/>
        </w:rPr>
        <w:tab/>
        <w:t xml:space="preserve">           OLGA LUCÍA HOYOS SEPÚLVEDA </w:t>
      </w:r>
    </w:p>
    <w:p w14:paraId="2670844A" w14:textId="0DB4A43B" w:rsidR="007669E2" w:rsidRPr="001672E6" w:rsidRDefault="001672E6" w:rsidP="001672E6">
      <w:pPr>
        <w:spacing w:line="288" w:lineRule="auto"/>
        <w:ind w:left="708"/>
        <w:rPr>
          <w:rFonts w:eastAsia="Times New Roman" w:cs="Microsoft Sans Serif"/>
          <w:color w:val="000000"/>
          <w:spacing w:val="-4"/>
          <w:szCs w:val="26"/>
          <w:lang w:val="es-ES" w:eastAsia="es-ES"/>
        </w:rPr>
      </w:pPr>
      <w:r w:rsidRPr="001672E6">
        <w:rPr>
          <w:rFonts w:eastAsia="Times New Roman" w:cs="Microsoft Sans Serif"/>
          <w:color w:val="000000"/>
          <w:spacing w:val="-4"/>
          <w:szCs w:val="26"/>
          <w:lang w:val="es-ES" w:eastAsia="es-ES"/>
        </w:rPr>
        <w:t xml:space="preserve">       Magistrada</w:t>
      </w:r>
      <w:r w:rsidRPr="001672E6">
        <w:rPr>
          <w:rFonts w:eastAsia="Times New Roman" w:cs="Microsoft Sans Serif"/>
          <w:color w:val="000000"/>
          <w:spacing w:val="-4"/>
          <w:szCs w:val="26"/>
          <w:lang w:val="es-ES" w:eastAsia="es-ES"/>
        </w:rPr>
        <w:tab/>
      </w:r>
      <w:r w:rsidRPr="001672E6">
        <w:rPr>
          <w:rFonts w:eastAsia="Times New Roman" w:cs="Microsoft Sans Serif"/>
          <w:color w:val="000000"/>
          <w:spacing w:val="-4"/>
          <w:szCs w:val="26"/>
          <w:lang w:val="es-ES" w:eastAsia="es-ES"/>
        </w:rPr>
        <w:tab/>
      </w:r>
      <w:r w:rsidRPr="001672E6">
        <w:rPr>
          <w:rFonts w:eastAsia="Times New Roman" w:cs="Microsoft Sans Serif"/>
          <w:color w:val="000000"/>
          <w:spacing w:val="-4"/>
          <w:szCs w:val="26"/>
          <w:lang w:val="es-ES" w:eastAsia="es-ES"/>
        </w:rPr>
        <w:tab/>
      </w:r>
      <w:r w:rsidRPr="001672E6">
        <w:rPr>
          <w:rFonts w:eastAsia="Times New Roman" w:cs="Microsoft Sans Serif"/>
          <w:color w:val="000000"/>
          <w:spacing w:val="-4"/>
          <w:szCs w:val="26"/>
          <w:lang w:val="es-ES" w:eastAsia="es-ES"/>
        </w:rPr>
        <w:tab/>
      </w:r>
      <w:r w:rsidRPr="001672E6">
        <w:rPr>
          <w:rFonts w:eastAsia="Times New Roman" w:cs="Microsoft Sans Serif"/>
          <w:color w:val="000000"/>
          <w:spacing w:val="-4"/>
          <w:szCs w:val="26"/>
          <w:lang w:val="es-ES" w:eastAsia="es-ES"/>
        </w:rPr>
        <w:tab/>
      </w:r>
      <w:r w:rsidRPr="001672E6">
        <w:rPr>
          <w:rFonts w:eastAsia="Times New Roman" w:cs="Microsoft Sans Serif"/>
          <w:color w:val="000000"/>
          <w:spacing w:val="-4"/>
          <w:szCs w:val="26"/>
          <w:lang w:val="es-ES" w:eastAsia="es-ES"/>
        </w:rPr>
        <w:tab/>
      </w:r>
      <w:r w:rsidRPr="001672E6">
        <w:rPr>
          <w:rFonts w:eastAsia="Times New Roman" w:cs="Microsoft Sans Serif"/>
          <w:color w:val="000000"/>
          <w:spacing w:val="-4"/>
          <w:szCs w:val="26"/>
          <w:lang w:val="es-ES" w:eastAsia="es-ES"/>
        </w:rPr>
        <w:tab/>
        <w:t xml:space="preserve">        </w:t>
      </w:r>
      <w:proofErr w:type="spellStart"/>
      <w:r w:rsidRPr="001672E6">
        <w:rPr>
          <w:rFonts w:eastAsia="Times New Roman" w:cs="Microsoft Sans Serif"/>
          <w:color w:val="000000"/>
          <w:spacing w:val="-4"/>
          <w:szCs w:val="26"/>
          <w:lang w:val="es-ES" w:eastAsia="es-ES"/>
        </w:rPr>
        <w:t>Magistrada</w:t>
      </w:r>
      <w:proofErr w:type="spellEnd"/>
    </w:p>
    <w:sectPr w:rsidR="007669E2" w:rsidRPr="001672E6" w:rsidSect="001672E6">
      <w:head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D4F6D" w14:textId="77777777" w:rsidR="00D41B0A" w:rsidRDefault="00D41B0A" w:rsidP="00802942">
      <w:pPr>
        <w:spacing w:line="240" w:lineRule="auto"/>
      </w:pPr>
      <w:r>
        <w:separator/>
      </w:r>
    </w:p>
  </w:endnote>
  <w:endnote w:type="continuationSeparator" w:id="0">
    <w:p w14:paraId="5C76094F" w14:textId="77777777" w:rsidR="00D41B0A" w:rsidRDefault="00D41B0A" w:rsidP="00802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88D4" w14:textId="77777777" w:rsidR="00D41B0A" w:rsidRDefault="00D41B0A" w:rsidP="00802942">
      <w:pPr>
        <w:spacing w:line="240" w:lineRule="auto"/>
      </w:pPr>
      <w:r>
        <w:separator/>
      </w:r>
    </w:p>
  </w:footnote>
  <w:footnote w:type="continuationSeparator" w:id="0">
    <w:p w14:paraId="2797126A" w14:textId="77777777" w:rsidR="00D41B0A" w:rsidRDefault="00D41B0A" w:rsidP="00802942">
      <w:pPr>
        <w:spacing w:line="240" w:lineRule="auto"/>
      </w:pPr>
      <w:r>
        <w:continuationSeparator/>
      </w:r>
    </w:p>
  </w:footnote>
  <w:footnote w:id="1">
    <w:p w14:paraId="65F09B87" w14:textId="1ADE5289" w:rsidR="005A3967" w:rsidRPr="005A3967" w:rsidRDefault="005A3967">
      <w:pPr>
        <w:pStyle w:val="Textonotapie"/>
        <w:rPr>
          <w:lang w:val="es-419"/>
        </w:rPr>
      </w:pPr>
      <w:r>
        <w:rPr>
          <w:rStyle w:val="Refdenotaalpie"/>
        </w:rPr>
        <w:footnoteRef/>
      </w:r>
      <w:r>
        <w:t xml:space="preserve"> </w:t>
      </w:r>
      <w:r>
        <w:rPr>
          <w:lang w:val="es-419"/>
        </w:rPr>
        <w:t>M.P. Ana Lucía Caicedo Calderon. Proceso adelantado contra el Municipio de Pereira.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50019383"/>
      <w:docPartObj>
        <w:docPartGallery w:val="Page Numbers (Top of Page)"/>
        <w:docPartUnique/>
      </w:docPartObj>
    </w:sdtPr>
    <w:sdtEndPr>
      <w:rPr>
        <w:rFonts w:ascii="Arial" w:hAnsi="Arial" w:cs="Arial"/>
        <w:sz w:val="18"/>
        <w:szCs w:val="18"/>
      </w:rPr>
    </w:sdtEndPr>
    <w:sdtContent>
      <w:p w14:paraId="1B1C3024" w14:textId="7B9C7857" w:rsidR="00802942" w:rsidRPr="001672E6" w:rsidRDefault="00802942" w:rsidP="00802942">
        <w:pPr>
          <w:pStyle w:val="Encabezado"/>
          <w:tabs>
            <w:tab w:val="right" w:pos="8647"/>
          </w:tabs>
          <w:jc w:val="both"/>
          <w:rPr>
            <w:rFonts w:ascii="Arial" w:hAnsi="Arial" w:cs="Arial"/>
            <w:sz w:val="18"/>
            <w:szCs w:val="18"/>
          </w:rPr>
        </w:pPr>
        <w:r w:rsidRPr="001672E6">
          <w:rPr>
            <w:rFonts w:ascii="Arial" w:hAnsi="Arial" w:cs="Arial"/>
            <w:sz w:val="18"/>
            <w:szCs w:val="18"/>
          </w:rPr>
          <w:t>Radicación: 66001-31-05-003-2017-00381-01</w:t>
        </w:r>
        <w:r w:rsidRPr="001672E6">
          <w:rPr>
            <w:rFonts w:ascii="Arial" w:hAnsi="Arial" w:cs="Arial"/>
            <w:sz w:val="18"/>
            <w:szCs w:val="18"/>
          </w:rPr>
          <w:tab/>
        </w:r>
        <w:r w:rsidRPr="001672E6">
          <w:rPr>
            <w:rFonts w:ascii="Arial" w:hAnsi="Arial" w:cs="Arial"/>
            <w:sz w:val="18"/>
            <w:szCs w:val="18"/>
          </w:rPr>
          <w:tab/>
        </w:r>
        <w:r w:rsidRPr="001672E6">
          <w:rPr>
            <w:rFonts w:ascii="Arial" w:hAnsi="Arial" w:cs="Arial"/>
            <w:sz w:val="18"/>
            <w:szCs w:val="18"/>
          </w:rPr>
          <w:fldChar w:fldCharType="begin"/>
        </w:r>
        <w:r w:rsidRPr="001672E6">
          <w:rPr>
            <w:rFonts w:ascii="Arial" w:hAnsi="Arial" w:cs="Arial"/>
            <w:sz w:val="18"/>
            <w:szCs w:val="18"/>
          </w:rPr>
          <w:instrText>PAGE   \* MERGEFORMAT</w:instrText>
        </w:r>
        <w:r w:rsidRPr="001672E6">
          <w:rPr>
            <w:rFonts w:ascii="Arial" w:hAnsi="Arial" w:cs="Arial"/>
            <w:sz w:val="18"/>
            <w:szCs w:val="18"/>
          </w:rPr>
          <w:fldChar w:fldCharType="separate"/>
        </w:r>
        <w:r w:rsidR="009B3C05">
          <w:rPr>
            <w:rFonts w:ascii="Arial" w:hAnsi="Arial" w:cs="Arial"/>
            <w:noProof/>
            <w:sz w:val="18"/>
            <w:szCs w:val="18"/>
          </w:rPr>
          <w:t>9</w:t>
        </w:r>
        <w:r w:rsidRPr="001672E6">
          <w:rPr>
            <w:rFonts w:ascii="Arial" w:hAnsi="Arial" w:cs="Arial"/>
            <w:sz w:val="18"/>
            <w:szCs w:val="18"/>
          </w:rPr>
          <w:fldChar w:fldCharType="end"/>
        </w:r>
      </w:p>
      <w:p w14:paraId="0B5D442A" w14:textId="015AA3A4" w:rsidR="00802942" w:rsidRPr="001672E6" w:rsidRDefault="00802942" w:rsidP="001672E6">
        <w:pPr>
          <w:pStyle w:val="Encabezado"/>
          <w:tabs>
            <w:tab w:val="right" w:pos="8647"/>
          </w:tabs>
          <w:jc w:val="both"/>
          <w:rPr>
            <w:rFonts w:ascii="Arial" w:hAnsi="Arial" w:cs="Arial"/>
            <w:sz w:val="18"/>
            <w:szCs w:val="18"/>
          </w:rPr>
        </w:pPr>
        <w:r w:rsidRPr="001672E6">
          <w:rPr>
            <w:rFonts w:ascii="Arial" w:hAnsi="Arial" w:cs="Arial"/>
            <w:sz w:val="18"/>
            <w:szCs w:val="18"/>
          </w:rPr>
          <w:t xml:space="preserve">Germán García </w:t>
        </w:r>
        <w:proofErr w:type="spellStart"/>
        <w:r w:rsidRPr="001672E6">
          <w:rPr>
            <w:rFonts w:ascii="Arial" w:hAnsi="Arial" w:cs="Arial"/>
            <w:sz w:val="18"/>
            <w:szCs w:val="18"/>
          </w:rPr>
          <w:t>García</w:t>
        </w:r>
        <w:proofErr w:type="spellEnd"/>
        <w:r w:rsidRPr="001672E6">
          <w:rPr>
            <w:rFonts w:ascii="Arial" w:hAnsi="Arial" w:cs="Arial"/>
            <w:sz w:val="18"/>
            <w:szCs w:val="18"/>
          </w:rPr>
          <w:t xml:space="preserve"> vs Municipio de Pereira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BA3"/>
    <w:multiLevelType w:val="hybridMultilevel"/>
    <w:tmpl w:val="69EAB60C"/>
    <w:lvl w:ilvl="0" w:tplc="8D9AF624">
      <w:start w:val="1"/>
      <w:numFmt w:val="upperRoman"/>
      <w:lvlText w:val="%1."/>
      <w:lvlJc w:val="left"/>
      <w:pPr>
        <w:ind w:left="720" w:hanging="72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07416B8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47681"/>
    <w:multiLevelType w:val="hybridMultilevel"/>
    <w:tmpl w:val="A118C640"/>
    <w:lvl w:ilvl="0" w:tplc="C0BC793E">
      <w:start w:val="1"/>
      <w:numFmt w:val="lowerLetter"/>
      <w:lvlText w:val="%1."/>
      <w:lvlJc w:val="left"/>
      <w:pPr>
        <w:ind w:left="1208" w:hanging="360"/>
      </w:pPr>
    </w:lvl>
    <w:lvl w:ilvl="1" w:tplc="240A0019">
      <w:start w:val="1"/>
      <w:numFmt w:val="lowerLetter"/>
      <w:lvlText w:val="%2."/>
      <w:lvlJc w:val="left"/>
      <w:pPr>
        <w:ind w:left="1928" w:hanging="360"/>
      </w:pPr>
    </w:lvl>
    <w:lvl w:ilvl="2" w:tplc="240A001B">
      <w:start w:val="1"/>
      <w:numFmt w:val="lowerRoman"/>
      <w:lvlText w:val="%3."/>
      <w:lvlJc w:val="right"/>
      <w:pPr>
        <w:ind w:left="2648" w:hanging="180"/>
      </w:pPr>
    </w:lvl>
    <w:lvl w:ilvl="3" w:tplc="240A000F">
      <w:start w:val="1"/>
      <w:numFmt w:val="decimal"/>
      <w:lvlText w:val="%4."/>
      <w:lvlJc w:val="left"/>
      <w:pPr>
        <w:ind w:left="3368" w:hanging="360"/>
      </w:pPr>
    </w:lvl>
    <w:lvl w:ilvl="4" w:tplc="240A0019">
      <w:start w:val="1"/>
      <w:numFmt w:val="lowerLetter"/>
      <w:lvlText w:val="%5."/>
      <w:lvlJc w:val="left"/>
      <w:pPr>
        <w:ind w:left="4088" w:hanging="360"/>
      </w:pPr>
    </w:lvl>
    <w:lvl w:ilvl="5" w:tplc="240A001B">
      <w:start w:val="1"/>
      <w:numFmt w:val="lowerRoman"/>
      <w:lvlText w:val="%6."/>
      <w:lvlJc w:val="right"/>
      <w:pPr>
        <w:ind w:left="4808" w:hanging="180"/>
      </w:pPr>
    </w:lvl>
    <w:lvl w:ilvl="6" w:tplc="240A000F">
      <w:start w:val="1"/>
      <w:numFmt w:val="decimal"/>
      <w:lvlText w:val="%7."/>
      <w:lvlJc w:val="left"/>
      <w:pPr>
        <w:ind w:left="5528" w:hanging="360"/>
      </w:pPr>
    </w:lvl>
    <w:lvl w:ilvl="7" w:tplc="240A0019">
      <w:start w:val="1"/>
      <w:numFmt w:val="lowerLetter"/>
      <w:lvlText w:val="%8."/>
      <w:lvlJc w:val="left"/>
      <w:pPr>
        <w:ind w:left="6248" w:hanging="360"/>
      </w:pPr>
    </w:lvl>
    <w:lvl w:ilvl="8" w:tplc="240A001B">
      <w:start w:val="1"/>
      <w:numFmt w:val="lowerRoman"/>
      <w:lvlText w:val="%9."/>
      <w:lvlJc w:val="right"/>
      <w:pPr>
        <w:ind w:left="6968" w:hanging="180"/>
      </w:pPr>
    </w:lvl>
  </w:abstractNum>
  <w:abstractNum w:abstractNumId="3">
    <w:nsid w:val="74AF4168"/>
    <w:multiLevelType w:val="hybridMultilevel"/>
    <w:tmpl w:val="E4D6AB1E"/>
    <w:lvl w:ilvl="0" w:tplc="7C449BA8">
      <w:start w:val="4"/>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6E"/>
    <w:rsid w:val="000267E0"/>
    <w:rsid w:val="00043A5D"/>
    <w:rsid w:val="000826C9"/>
    <w:rsid w:val="000A27CC"/>
    <w:rsid w:val="000E10CC"/>
    <w:rsid w:val="0011459D"/>
    <w:rsid w:val="0011480E"/>
    <w:rsid w:val="001570CB"/>
    <w:rsid w:val="001672E6"/>
    <w:rsid w:val="001724B4"/>
    <w:rsid w:val="00187386"/>
    <w:rsid w:val="001C166F"/>
    <w:rsid w:val="001C7D11"/>
    <w:rsid w:val="001D044B"/>
    <w:rsid w:val="001E0A82"/>
    <w:rsid w:val="001E105D"/>
    <w:rsid w:val="001E1AE2"/>
    <w:rsid w:val="00200FE3"/>
    <w:rsid w:val="00290762"/>
    <w:rsid w:val="00323EEF"/>
    <w:rsid w:val="00335872"/>
    <w:rsid w:val="0035448F"/>
    <w:rsid w:val="003544A3"/>
    <w:rsid w:val="00383735"/>
    <w:rsid w:val="0038400A"/>
    <w:rsid w:val="003B2C79"/>
    <w:rsid w:val="003D21A8"/>
    <w:rsid w:val="003E3986"/>
    <w:rsid w:val="003F66F0"/>
    <w:rsid w:val="004263DB"/>
    <w:rsid w:val="00461859"/>
    <w:rsid w:val="00462737"/>
    <w:rsid w:val="004B7D59"/>
    <w:rsid w:val="004F3004"/>
    <w:rsid w:val="004F759C"/>
    <w:rsid w:val="00500AA9"/>
    <w:rsid w:val="0050159F"/>
    <w:rsid w:val="00512031"/>
    <w:rsid w:val="00517ED4"/>
    <w:rsid w:val="0055736E"/>
    <w:rsid w:val="005A3967"/>
    <w:rsid w:val="005B7F21"/>
    <w:rsid w:val="005E02C7"/>
    <w:rsid w:val="005E0514"/>
    <w:rsid w:val="0062231D"/>
    <w:rsid w:val="00622BCF"/>
    <w:rsid w:val="00650F0B"/>
    <w:rsid w:val="006875F9"/>
    <w:rsid w:val="006B41D6"/>
    <w:rsid w:val="006D7A21"/>
    <w:rsid w:val="006E1986"/>
    <w:rsid w:val="007178FB"/>
    <w:rsid w:val="007225A8"/>
    <w:rsid w:val="00725D39"/>
    <w:rsid w:val="00750D86"/>
    <w:rsid w:val="0075522F"/>
    <w:rsid w:val="007669E2"/>
    <w:rsid w:val="007676C5"/>
    <w:rsid w:val="0077013A"/>
    <w:rsid w:val="007742C7"/>
    <w:rsid w:val="007B0E49"/>
    <w:rsid w:val="007F67C3"/>
    <w:rsid w:val="00802942"/>
    <w:rsid w:val="00810E88"/>
    <w:rsid w:val="008932A3"/>
    <w:rsid w:val="008A53DC"/>
    <w:rsid w:val="008D1CF9"/>
    <w:rsid w:val="008E3DAF"/>
    <w:rsid w:val="008F077A"/>
    <w:rsid w:val="009114FA"/>
    <w:rsid w:val="00957247"/>
    <w:rsid w:val="00967557"/>
    <w:rsid w:val="00970739"/>
    <w:rsid w:val="00983435"/>
    <w:rsid w:val="00984322"/>
    <w:rsid w:val="009B3C05"/>
    <w:rsid w:val="009C240F"/>
    <w:rsid w:val="009C6BDD"/>
    <w:rsid w:val="009D0F05"/>
    <w:rsid w:val="009F337D"/>
    <w:rsid w:val="00A07B78"/>
    <w:rsid w:val="00A1383A"/>
    <w:rsid w:val="00A41CB2"/>
    <w:rsid w:val="00A6640C"/>
    <w:rsid w:val="00A67E49"/>
    <w:rsid w:val="00A87C32"/>
    <w:rsid w:val="00AC2046"/>
    <w:rsid w:val="00AC5DD9"/>
    <w:rsid w:val="00AD04F0"/>
    <w:rsid w:val="00B245D8"/>
    <w:rsid w:val="00B31C40"/>
    <w:rsid w:val="00B40E84"/>
    <w:rsid w:val="00B5462F"/>
    <w:rsid w:val="00B80766"/>
    <w:rsid w:val="00BA3208"/>
    <w:rsid w:val="00BA5308"/>
    <w:rsid w:val="00BC41FF"/>
    <w:rsid w:val="00BD33FC"/>
    <w:rsid w:val="00BE3FC3"/>
    <w:rsid w:val="00C06361"/>
    <w:rsid w:val="00C0741E"/>
    <w:rsid w:val="00C35EBE"/>
    <w:rsid w:val="00CC6289"/>
    <w:rsid w:val="00CE6D4B"/>
    <w:rsid w:val="00CE76C2"/>
    <w:rsid w:val="00CF39BC"/>
    <w:rsid w:val="00CF63E2"/>
    <w:rsid w:val="00D03B4F"/>
    <w:rsid w:val="00D35C01"/>
    <w:rsid w:val="00D41B0A"/>
    <w:rsid w:val="00D466B7"/>
    <w:rsid w:val="00D51187"/>
    <w:rsid w:val="00D6325C"/>
    <w:rsid w:val="00D820BF"/>
    <w:rsid w:val="00DD21DC"/>
    <w:rsid w:val="00DE176F"/>
    <w:rsid w:val="00E70295"/>
    <w:rsid w:val="00EB45FE"/>
    <w:rsid w:val="00EC3A43"/>
    <w:rsid w:val="00F00857"/>
    <w:rsid w:val="00F51120"/>
    <w:rsid w:val="00F624D2"/>
    <w:rsid w:val="00F70E82"/>
    <w:rsid w:val="00F729D5"/>
    <w:rsid w:val="00F82455"/>
    <w:rsid w:val="00FC09DB"/>
    <w:rsid w:val="00FD6DC2"/>
    <w:rsid w:val="00FE76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4A766B"/>
  <w15:chartTrackingRefBased/>
  <w15:docId w15:val="{1797C2D4-AE4C-45EA-AE38-F0997C0D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94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02942"/>
  </w:style>
  <w:style w:type="paragraph" w:styleId="Piedepgina">
    <w:name w:val="footer"/>
    <w:basedOn w:val="Normal"/>
    <w:link w:val="PiedepginaCar"/>
    <w:uiPriority w:val="99"/>
    <w:unhideWhenUsed/>
    <w:rsid w:val="0080294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02942"/>
  </w:style>
  <w:style w:type="paragraph" w:styleId="Prrafodelista">
    <w:name w:val="List Paragraph"/>
    <w:basedOn w:val="Normal"/>
    <w:uiPriority w:val="34"/>
    <w:qFormat/>
    <w:rsid w:val="00802942"/>
    <w:pPr>
      <w:spacing w:line="360" w:lineRule="auto"/>
      <w:ind w:left="720" w:hanging="709"/>
      <w:contextualSpacing/>
    </w:pPr>
    <w:rPr>
      <w:rFonts w:cs="Arial"/>
      <w:sz w:val="24"/>
      <w:szCs w:val="24"/>
    </w:rPr>
  </w:style>
  <w:style w:type="character" w:customStyle="1" w:styleId="BodyText2Car1">
    <w:name w:val="Body Text 2 Car1"/>
    <w:basedOn w:val="Fuentedeprrafopredeter"/>
    <w:link w:val="Textoindependiente21"/>
    <w:locked/>
    <w:rsid w:val="00461859"/>
    <w:rPr>
      <w:rFonts w:ascii="Arial" w:eastAsia="Times New Roman" w:hAnsi="Arial" w:cs="Times New Roman"/>
      <w:b/>
      <w:sz w:val="28"/>
      <w:szCs w:val="20"/>
      <w:lang w:val="es-ES_tradnl" w:eastAsia="es-ES"/>
    </w:rPr>
  </w:style>
  <w:style w:type="paragraph" w:customStyle="1" w:styleId="Textoindependiente21">
    <w:name w:val="Texto independiente 21"/>
    <w:basedOn w:val="Normal"/>
    <w:link w:val="BodyText2Car1"/>
    <w:rsid w:val="00461859"/>
    <w:pPr>
      <w:spacing w:line="360" w:lineRule="auto"/>
      <w:jc w:val="both"/>
    </w:pPr>
    <w:rPr>
      <w:rFonts w:ascii="Arial" w:eastAsia="Times New Roman" w:hAnsi="Arial" w:cs="Times New Roman"/>
      <w:b/>
      <w:sz w:val="28"/>
      <w:szCs w:val="20"/>
      <w:lang w:val="es-ES_tradnl" w:eastAsia="es-ES"/>
    </w:rPr>
  </w:style>
  <w:style w:type="paragraph" w:styleId="Sinespaciado">
    <w:name w:val="No Spacing"/>
    <w:uiPriority w:val="1"/>
    <w:qFormat/>
    <w:rsid w:val="00BD33FC"/>
    <w:pPr>
      <w:spacing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D33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75522F"/>
    <w:pPr>
      <w:spacing w:line="240" w:lineRule="auto"/>
      <w:ind w:left="993" w:hanging="709"/>
    </w:pPr>
    <w:rPr>
      <w:rFonts w:cs="Arial"/>
      <w:sz w:val="20"/>
      <w:szCs w:val="20"/>
    </w:rPr>
  </w:style>
  <w:style w:type="character" w:customStyle="1" w:styleId="TextonotapieCar">
    <w:name w:val="Texto nota pie Car"/>
    <w:basedOn w:val="Fuentedeprrafopredeter"/>
    <w:link w:val="Textonotapie"/>
    <w:uiPriority w:val="99"/>
    <w:semiHidden/>
    <w:rsid w:val="0075522F"/>
    <w:rPr>
      <w:rFonts w:cs="Arial"/>
      <w:sz w:val="20"/>
      <w:szCs w:val="20"/>
    </w:rPr>
  </w:style>
  <w:style w:type="character" w:styleId="Refdenotaalpie">
    <w:name w:val="footnote reference"/>
    <w:basedOn w:val="Fuentedeprrafopredeter"/>
    <w:uiPriority w:val="99"/>
    <w:semiHidden/>
    <w:unhideWhenUsed/>
    <w:rsid w:val="0075522F"/>
    <w:rPr>
      <w:vertAlign w:val="superscript"/>
    </w:rPr>
  </w:style>
  <w:style w:type="character" w:styleId="Hipervnculo">
    <w:name w:val="Hyperlink"/>
    <w:basedOn w:val="Fuentedeprrafopredeter"/>
    <w:uiPriority w:val="99"/>
    <w:semiHidden/>
    <w:unhideWhenUsed/>
    <w:rsid w:val="00F824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7">
      <w:bodyDiv w:val="1"/>
      <w:marLeft w:val="0"/>
      <w:marRight w:val="0"/>
      <w:marTop w:val="0"/>
      <w:marBottom w:val="0"/>
      <w:divBdr>
        <w:top w:val="none" w:sz="0" w:space="0" w:color="auto"/>
        <w:left w:val="none" w:sz="0" w:space="0" w:color="auto"/>
        <w:bottom w:val="none" w:sz="0" w:space="0" w:color="auto"/>
        <w:right w:val="none" w:sz="0" w:space="0" w:color="auto"/>
      </w:divBdr>
    </w:div>
    <w:div w:id="362905233">
      <w:bodyDiv w:val="1"/>
      <w:marLeft w:val="0"/>
      <w:marRight w:val="0"/>
      <w:marTop w:val="0"/>
      <w:marBottom w:val="0"/>
      <w:divBdr>
        <w:top w:val="none" w:sz="0" w:space="0" w:color="auto"/>
        <w:left w:val="none" w:sz="0" w:space="0" w:color="auto"/>
        <w:bottom w:val="none" w:sz="0" w:space="0" w:color="auto"/>
        <w:right w:val="none" w:sz="0" w:space="0" w:color="auto"/>
      </w:divBdr>
    </w:div>
    <w:div w:id="451948739">
      <w:bodyDiv w:val="1"/>
      <w:marLeft w:val="0"/>
      <w:marRight w:val="0"/>
      <w:marTop w:val="0"/>
      <w:marBottom w:val="0"/>
      <w:divBdr>
        <w:top w:val="none" w:sz="0" w:space="0" w:color="auto"/>
        <w:left w:val="none" w:sz="0" w:space="0" w:color="auto"/>
        <w:bottom w:val="none" w:sz="0" w:space="0" w:color="auto"/>
        <w:right w:val="none" w:sz="0" w:space="0" w:color="auto"/>
      </w:divBdr>
    </w:div>
    <w:div w:id="650254236">
      <w:bodyDiv w:val="1"/>
      <w:marLeft w:val="0"/>
      <w:marRight w:val="0"/>
      <w:marTop w:val="0"/>
      <w:marBottom w:val="0"/>
      <w:divBdr>
        <w:top w:val="none" w:sz="0" w:space="0" w:color="auto"/>
        <w:left w:val="none" w:sz="0" w:space="0" w:color="auto"/>
        <w:bottom w:val="none" w:sz="0" w:space="0" w:color="auto"/>
        <w:right w:val="none" w:sz="0" w:space="0" w:color="auto"/>
      </w:divBdr>
    </w:div>
    <w:div w:id="650257978">
      <w:bodyDiv w:val="1"/>
      <w:marLeft w:val="0"/>
      <w:marRight w:val="0"/>
      <w:marTop w:val="0"/>
      <w:marBottom w:val="0"/>
      <w:divBdr>
        <w:top w:val="none" w:sz="0" w:space="0" w:color="auto"/>
        <w:left w:val="none" w:sz="0" w:space="0" w:color="auto"/>
        <w:bottom w:val="none" w:sz="0" w:space="0" w:color="auto"/>
        <w:right w:val="none" w:sz="0" w:space="0" w:color="auto"/>
      </w:divBdr>
    </w:div>
    <w:div w:id="798299582">
      <w:bodyDiv w:val="1"/>
      <w:marLeft w:val="0"/>
      <w:marRight w:val="0"/>
      <w:marTop w:val="0"/>
      <w:marBottom w:val="0"/>
      <w:divBdr>
        <w:top w:val="none" w:sz="0" w:space="0" w:color="auto"/>
        <w:left w:val="none" w:sz="0" w:space="0" w:color="auto"/>
        <w:bottom w:val="none" w:sz="0" w:space="0" w:color="auto"/>
        <w:right w:val="none" w:sz="0" w:space="0" w:color="auto"/>
      </w:divBdr>
    </w:div>
    <w:div w:id="853425716">
      <w:bodyDiv w:val="1"/>
      <w:marLeft w:val="0"/>
      <w:marRight w:val="0"/>
      <w:marTop w:val="0"/>
      <w:marBottom w:val="0"/>
      <w:divBdr>
        <w:top w:val="none" w:sz="0" w:space="0" w:color="auto"/>
        <w:left w:val="none" w:sz="0" w:space="0" w:color="auto"/>
        <w:bottom w:val="none" w:sz="0" w:space="0" w:color="auto"/>
        <w:right w:val="none" w:sz="0" w:space="0" w:color="auto"/>
      </w:divBdr>
    </w:div>
    <w:div w:id="887107300">
      <w:bodyDiv w:val="1"/>
      <w:marLeft w:val="0"/>
      <w:marRight w:val="0"/>
      <w:marTop w:val="0"/>
      <w:marBottom w:val="0"/>
      <w:divBdr>
        <w:top w:val="none" w:sz="0" w:space="0" w:color="auto"/>
        <w:left w:val="none" w:sz="0" w:space="0" w:color="auto"/>
        <w:bottom w:val="none" w:sz="0" w:space="0" w:color="auto"/>
        <w:right w:val="none" w:sz="0" w:space="0" w:color="auto"/>
      </w:divBdr>
    </w:div>
    <w:div w:id="1092169464">
      <w:bodyDiv w:val="1"/>
      <w:marLeft w:val="0"/>
      <w:marRight w:val="0"/>
      <w:marTop w:val="0"/>
      <w:marBottom w:val="0"/>
      <w:divBdr>
        <w:top w:val="none" w:sz="0" w:space="0" w:color="auto"/>
        <w:left w:val="none" w:sz="0" w:space="0" w:color="auto"/>
        <w:bottom w:val="none" w:sz="0" w:space="0" w:color="auto"/>
        <w:right w:val="none" w:sz="0" w:space="0" w:color="auto"/>
      </w:divBdr>
    </w:div>
    <w:div w:id="1335644081">
      <w:bodyDiv w:val="1"/>
      <w:marLeft w:val="0"/>
      <w:marRight w:val="0"/>
      <w:marTop w:val="0"/>
      <w:marBottom w:val="0"/>
      <w:divBdr>
        <w:top w:val="none" w:sz="0" w:space="0" w:color="auto"/>
        <w:left w:val="none" w:sz="0" w:space="0" w:color="auto"/>
        <w:bottom w:val="none" w:sz="0" w:space="0" w:color="auto"/>
        <w:right w:val="none" w:sz="0" w:space="0" w:color="auto"/>
      </w:divBdr>
    </w:div>
    <w:div w:id="1350520318">
      <w:bodyDiv w:val="1"/>
      <w:marLeft w:val="0"/>
      <w:marRight w:val="0"/>
      <w:marTop w:val="0"/>
      <w:marBottom w:val="0"/>
      <w:divBdr>
        <w:top w:val="none" w:sz="0" w:space="0" w:color="auto"/>
        <w:left w:val="none" w:sz="0" w:space="0" w:color="auto"/>
        <w:bottom w:val="none" w:sz="0" w:space="0" w:color="auto"/>
        <w:right w:val="none" w:sz="0" w:space="0" w:color="auto"/>
      </w:divBdr>
    </w:div>
    <w:div w:id="1677539993">
      <w:bodyDiv w:val="1"/>
      <w:marLeft w:val="0"/>
      <w:marRight w:val="0"/>
      <w:marTop w:val="0"/>
      <w:marBottom w:val="0"/>
      <w:divBdr>
        <w:top w:val="none" w:sz="0" w:space="0" w:color="auto"/>
        <w:left w:val="none" w:sz="0" w:space="0" w:color="auto"/>
        <w:bottom w:val="none" w:sz="0" w:space="0" w:color="auto"/>
        <w:right w:val="none" w:sz="0" w:space="0" w:color="auto"/>
      </w:divBdr>
    </w:div>
    <w:div w:id="1823694028">
      <w:bodyDiv w:val="1"/>
      <w:marLeft w:val="0"/>
      <w:marRight w:val="0"/>
      <w:marTop w:val="0"/>
      <w:marBottom w:val="0"/>
      <w:divBdr>
        <w:top w:val="none" w:sz="0" w:space="0" w:color="auto"/>
        <w:left w:val="none" w:sz="0" w:space="0" w:color="auto"/>
        <w:bottom w:val="none" w:sz="0" w:space="0" w:color="auto"/>
        <w:right w:val="none" w:sz="0" w:space="0" w:color="auto"/>
      </w:divBdr>
    </w:div>
    <w:div w:id="1828934275">
      <w:bodyDiv w:val="1"/>
      <w:marLeft w:val="0"/>
      <w:marRight w:val="0"/>
      <w:marTop w:val="0"/>
      <w:marBottom w:val="0"/>
      <w:divBdr>
        <w:top w:val="none" w:sz="0" w:space="0" w:color="auto"/>
        <w:left w:val="none" w:sz="0" w:space="0" w:color="auto"/>
        <w:bottom w:val="none" w:sz="0" w:space="0" w:color="auto"/>
        <w:right w:val="none" w:sz="0" w:space="0" w:color="auto"/>
      </w:divBdr>
    </w:div>
    <w:div w:id="1966110478">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6AFA-5178-4253-9C3B-A6FADCF4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4341</Words>
  <Characters>23878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9</cp:revision>
  <dcterms:created xsi:type="dcterms:W3CDTF">2019-11-06T18:02:00Z</dcterms:created>
  <dcterms:modified xsi:type="dcterms:W3CDTF">2019-12-10T16:52:00Z</dcterms:modified>
</cp:coreProperties>
</file>