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1E" w:rsidRPr="000E031E" w:rsidRDefault="000E031E" w:rsidP="000E031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E031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E031E" w:rsidRPr="000E031E" w:rsidRDefault="000E031E" w:rsidP="000E031E">
      <w:pPr>
        <w:jc w:val="both"/>
        <w:rPr>
          <w:rFonts w:ascii="Arial" w:hAnsi="Arial" w:cs="Arial"/>
          <w:sz w:val="20"/>
          <w:lang w:val="es-419"/>
        </w:rPr>
      </w:pPr>
    </w:p>
    <w:p w:rsidR="000E031E" w:rsidRPr="000E031E" w:rsidRDefault="000E031E" w:rsidP="000E031E">
      <w:pPr>
        <w:jc w:val="both"/>
        <w:rPr>
          <w:rFonts w:ascii="Arial" w:hAnsi="Arial" w:cs="Arial"/>
          <w:sz w:val="20"/>
          <w:lang w:val="es-419"/>
        </w:rPr>
      </w:pPr>
      <w:r w:rsidRPr="000E031E">
        <w:rPr>
          <w:rFonts w:ascii="Arial" w:hAnsi="Arial" w:cs="Arial"/>
          <w:sz w:val="20"/>
          <w:lang w:val="es-419"/>
        </w:rPr>
        <w:t xml:space="preserve">Providencia: </w:t>
      </w:r>
      <w:r w:rsidRPr="000E031E">
        <w:rPr>
          <w:rFonts w:ascii="Arial" w:hAnsi="Arial" w:cs="Arial"/>
          <w:sz w:val="20"/>
          <w:lang w:val="es-419"/>
        </w:rPr>
        <w:tab/>
      </w:r>
      <w:r w:rsidRPr="000E031E">
        <w:rPr>
          <w:rFonts w:ascii="Arial" w:hAnsi="Arial" w:cs="Arial"/>
          <w:sz w:val="20"/>
          <w:lang w:val="es-419"/>
        </w:rPr>
        <w:tab/>
        <w:t>Sentencia de Segunda Instancia, 28 de noviembre de 2019</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Radicación No:</w:t>
      </w:r>
      <w:r w:rsidRPr="000E031E">
        <w:rPr>
          <w:rFonts w:ascii="Arial" w:hAnsi="Arial" w:cs="Arial"/>
          <w:sz w:val="20"/>
          <w:lang w:val="es-419"/>
        </w:rPr>
        <w:tab/>
      </w:r>
      <w:r w:rsidRPr="000E031E">
        <w:rPr>
          <w:rFonts w:ascii="Arial" w:hAnsi="Arial" w:cs="Arial"/>
          <w:sz w:val="20"/>
          <w:lang w:val="es-419"/>
        </w:rPr>
        <w:tab/>
        <w:t>66001-31-05-002-2017-00594-01</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 xml:space="preserve">Proceso: </w:t>
      </w:r>
      <w:r w:rsidRPr="000E031E">
        <w:rPr>
          <w:rFonts w:ascii="Arial" w:hAnsi="Arial" w:cs="Arial"/>
          <w:sz w:val="20"/>
          <w:lang w:val="es-419"/>
        </w:rPr>
        <w:tab/>
      </w:r>
      <w:r w:rsidRPr="000E031E">
        <w:rPr>
          <w:rFonts w:ascii="Arial" w:hAnsi="Arial" w:cs="Arial"/>
          <w:sz w:val="20"/>
          <w:lang w:val="es-419"/>
        </w:rPr>
        <w:tab/>
        <w:t>Ordinario Laboral</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Demandante:</w:t>
      </w:r>
      <w:r w:rsidRPr="000E031E">
        <w:rPr>
          <w:rFonts w:ascii="Arial" w:hAnsi="Arial" w:cs="Arial"/>
          <w:sz w:val="20"/>
          <w:lang w:val="es-419"/>
        </w:rPr>
        <w:tab/>
      </w:r>
      <w:r w:rsidRPr="000E031E">
        <w:rPr>
          <w:rFonts w:ascii="Arial" w:hAnsi="Arial" w:cs="Arial"/>
          <w:sz w:val="20"/>
          <w:lang w:val="es-419"/>
        </w:rPr>
        <w:tab/>
        <w:t xml:space="preserve">Oscar Betancur </w:t>
      </w:r>
      <w:r w:rsidR="00280B94">
        <w:rPr>
          <w:rFonts w:ascii="Arial" w:hAnsi="Arial" w:cs="Arial"/>
          <w:sz w:val="20"/>
          <w:lang w:val="es-CO"/>
        </w:rPr>
        <w:t>Colorado</w:t>
      </w:r>
      <w:r w:rsidRPr="000E031E">
        <w:rPr>
          <w:rFonts w:ascii="Arial" w:hAnsi="Arial" w:cs="Arial"/>
          <w:sz w:val="20"/>
          <w:lang w:val="es-419"/>
        </w:rPr>
        <w:t xml:space="preserve"> </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Demandado:</w:t>
      </w:r>
      <w:r w:rsidRPr="000E031E">
        <w:rPr>
          <w:rFonts w:ascii="Arial" w:hAnsi="Arial" w:cs="Arial"/>
          <w:sz w:val="20"/>
          <w:lang w:val="es-419"/>
        </w:rPr>
        <w:tab/>
      </w:r>
      <w:r w:rsidRPr="000E031E">
        <w:rPr>
          <w:rFonts w:ascii="Arial" w:hAnsi="Arial" w:cs="Arial"/>
          <w:sz w:val="20"/>
          <w:lang w:val="es-419"/>
        </w:rPr>
        <w:tab/>
        <w:t>Colpensiones</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Juzgado de origen:</w:t>
      </w:r>
      <w:r w:rsidRPr="000E031E">
        <w:rPr>
          <w:rFonts w:ascii="Arial" w:hAnsi="Arial" w:cs="Arial"/>
          <w:sz w:val="20"/>
          <w:lang w:val="es-419"/>
        </w:rPr>
        <w:tab/>
        <w:t xml:space="preserve">Juzgado </w:t>
      </w:r>
      <w:r w:rsidR="00280B94">
        <w:rPr>
          <w:rFonts w:ascii="Arial" w:hAnsi="Arial" w:cs="Arial"/>
          <w:sz w:val="20"/>
          <w:lang w:val="es-CO"/>
        </w:rPr>
        <w:t>Segundo</w:t>
      </w:r>
      <w:r w:rsidRPr="000E031E">
        <w:rPr>
          <w:rFonts w:ascii="Arial" w:hAnsi="Arial" w:cs="Arial"/>
          <w:sz w:val="20"/>
          <w:lang w:val="es-419"/>
        </w:rPr>
        <w:t xml:space="preserve"> Laboral del Circuito de Pereira.</w:t>
      </w:r>
    </w:p>
    <w:p w:rsidR="000E031E" w:rsidRPr="000E031E" w:rsidRDefault="000E031E" w:rsidP="000E031E">
      <w:pPr>
        <w:jc w:val="both"/>
        <w:rPr>
          <w:rFonts w:ascii="Arial" w:hAnsi="Arial" w:cs="Arial"/>
          <w:sz w:val="20"/>
          <w:lang w:val="es-419"/>
        </w:rPr>
      </w:pPr>
      <w:r w:rsidRPr="000E031E">
        <w:rPr>
          <w:rFonts w:ascii="Arial" w:hAnsi="Arial" w:cs="Arial"/>
          <w:sz w:val="20"/>
          <w:lang w:val="es-419"/>
        </w:rPr>
        <w:t>Magistrado Ponente:</w:t>
      </w:r>
      <w:r w:rsidRPr="000E031E">
        <w:rPr>
          <w:rFonts w:ascii="Arial" w:hAnsi="Arial" w:cs="Arial"/>
          <w:sz w:val="20"/>
          <w:lang w:val="es-419"/>
        </w:rPr>
        <w:tab/>
        <w:t>Francisco Javier Tamayo Tabares.</w:t>
      </w:r>
    </w:p>
    <w:p w:rsidR="000E031E" w:rsidRPr="000E031E" w:rsidRDefault="000E031E" w:rsidP="000E031E">
      <w:pPr>
        <w:jc w:val="both"/>
        <w:rPr>
          <w:rFonts w:ascii="Arial" w:hAnsi="Arial" w:cs="Arial"/>
          <w:sz w:val="20"/>
          <w:lang w:val="es-419"/>
        </w:rPr>
      </w:pPr>
    </w:p>
    <w:p w:rsidR="000E031E" w:rsidRPr="000E031E" w:rsidRDefault="0066049D" w:rsidP="000E031E">
      <w:pPr>
        <w:jc w:val="both"/>
        <w:rPr>
          <w:rFonts w:ascii="Arial" w:hAnsi="Arial" w:cs="Arial"/>
          <w:b/>
          <w:bCs/>
          <w:iCs/>
          <w:sz w:val="20"/>
          <w:lang w:val="es-419" w:eastAsia="fr-FR"/>
        </w:rPr>
      </w:pPr>
      <w:r w:rsidRPr="000E031E">
        <w:rPr>
          <w:rFonts w:ascii="Arial" w:hAnsi="Arial" w:cs="Arial"/>
          <w:b/>
          <w:bCs/>
          <w:iCs/>
          <w:sz w:val="20"/>
          <w:u w:val="single"/>
          <w:lang w:val="es-419" w:eastAsia="fr-FR"/>
        </w:rPr>
        <w:t>TEMAS:</w:t>
      </w:r>
      <w:r w:rsidRPr="000E031E">
        <w:rPr>
          <w:rFonts w:ascii="Arial" w:hAnsi="Arial" w:cs="Arial"/>
          <w:b/>
          <w:bCs/>
          <w:iCs/>
          <w:sz w:val="20"/>
          <w:lang w:val="es-419" w:eastAsia="fr-FR"/>
        </w:rPr>
        <w:tab/>
      </w:r>
      <w:r w:rsidRPr="0066049D">
        <w:rPr>
          <w:rFonts w:ascii="Arial" w:hAnsi="Arial" w:cs="Arial"/>
          <w:b/>
          <w:sz w:val="20"/>
          <w:lang w:val="es-419"/>
        </w:rPr>
        <w:t xml:space="preserve">PENSIÓN DE JUBILACIÓN </w:t>
      </w:r>
      <w:r w:rsidR="0091286F">
        <w:rPr>
          <w:rFonts w:ascii="Arial" w:hAnsi="Arial" w:cs="Arial"/>
          <w:b/>
          <w:sz w:val="20"/>
          <w:lang w:val="es-CO"/>
        </w:rPr>
        <w:t xml:space="preserve">/ RÉGIMEN DE TRANSICIÓN / </w:t>
      </w:r>
      <w:r w:rsidRPr="0066049D">
        <w:rPr>
          <w:rFonts w:ascii="Arial" w:hAnsi="Arial" w:cs="Arial"/>
          <w:b/>
          <w:sz w:val="20"/>
          <w:lang w:val="es-419"/>
        </w:rPr>
        <w:t>LEY 33 DE 1985</w:t>
      </w:r>
      <w:r>
        <w:rPr>
          <w:rFonts w:ascii="Arial" w:hAnsi="Arial" w:cs="Arial"/>
          <w:b/>
          <w:sz w:val="20"/>
          <w:lang w:val="es-CO"/>
        </w:rPr>
        <w:t xml:space="preserve"> </w:t>
      </w:r>
      <w:r w:rsidR="0091286F">
        <w:rPr>
          <w:rFonts w:ascii="Arial" w:hAnsi="Arial" w:cs="Arial"/>
          <w:b/>
          <w:sz w:val="20"/>
          <w:lang w:val="es-CO"/>
        </w:rPr>
        <w:t xml:space="preserve">/ </w:t>
      </w:r>
      <w:r w:rsidR="004F1724">
        <w:rPr>
          <w:rFonts w:ascii="Arial" w:hAnsi="Arial" w:cs="Arial"/>
          <w:b/>
          <w:sz w:val="20"/>
          <w:lang w:val="es-CO"/>
        </w:rPr>
        <w:t>REQUISITOS / 20 AÑOS DE SERVICIOS Y 55 AÑOS DE EDAD.</w:t>
      </w:r>
    </w:p>
    <w:p w:rsidR="000E031E" w:rsidRPr="000E031E" w:rsidRDefault="000E031E" w:rsidP="000E031E">
      <w:pPr>
        <w:jc w:val="both"/>
        <w:rPr>
          <w:rFonts w:ascii="Arial" w:hAnsi="Arial" w:cs="Arial"/>
          <w:sz w:val="20"/>
          <w:lang w:val="es-419"/>
        </w:rPr>
      </w:pPr>
    </w:p>
    <w:p w:rsidR="006E3221" w:rsidRPr="006E3221" w:rsidRDefault="006E3221" w:rsidP="006E3221">
      <w:pPr>
        <w:jc w:val="both"/>
        <w:rPr>
          <w:rFonts w:ascii="Arial" w:hAnsi="Arial" w:cs="Arial"/>
          <w:sz w:val="20"/>
          <w:lang w:val="es-419"/>
        </w:rPr>
      </w:pPr>
      <w:r w:rsidRPr="006E3221">
        <w:rPr>
          <w:rFonts w:ascii="Arial" w:hAnsi="Arial" w:cs="Arial"/>
          <w:sz w:val="20"/>
          <w:lang w:val="es-419"/>
        </w:rPr>
        <w:t>Con el advenimiento de la Ley 100 de 1993 y con miras a proteger expectativas legítimas, el legislador estableció un régimen de transición, en virtud del cual, se mantenían vigentes para ciertos grupos, los presupuestos para p</w:t>
      </w:r>
      <w:r>
        <w:rPr>
          <w:rFonts w:ascii="Arial" w:hAnsi="Arial" w:cs="Arial"/>
          <w:sz w:val="20"/>
          <w:lang w:val="es-419"/>
        </w:rPr>
        <w:t>ensionarse del régimen anterior…</w:t>
      </w:r>
    </w:p>
    <w:p w:rsidR="006E3221" w:rsidRPr="006E3221" w:rsidRDefault="006E3221" w:rsidP="006E3221">
      <w:pPr>
        <w:jc w:val="both"/>
        <w:rPr>
          <w:rFonts w:ascii="Arial" w:hAnsi="Arial" w:cs="Arial"/>
          <w:sz w:val="20"/>
          <w:lang w:val="es-419"/>
        </w:rPr>
      </w:pPr>
    </w:p>
    <w:p w:rsidR="006E3221" w:rsidRPr="006E3221" w:rsidRDefault="006E3221" w:rsidP="006E3221">
      <w:pPr>
        <w:jc w:val="both"/>
        <w:rPr>
          <w:rFonts w:ascii="Arial" w:hAnsi="Arial" w:cs="Arial"/>
          <w:sz w:val="20"/>
          <w:lang w:val="es-419"/>
        </w:rPr>
      </w:pPr>
      <w:r w:rsidRPr="006E3221">
        <w:rPr>
          <w:rFonts w:ascii="Arial" w:hAnsi="Arial" w:cs="Arial"/>
          <w:sz w:val="20"/>
          <w:lang w:val="es-419"/>
        </w:rPr>
        <w:t>Respecto a este punto, no milita duda alguna en torno a que el demandante es beneficiario del régimen de transición en comento, toda vez que la sentencia de tutela proferida el 8 de septiembre de 2014 por el Juzgado Tercero Laboral del Circuito de Pereira</w:t>
      </w:r>
      <w:r>
        <w:rPr>
          <w:rFonts w:ascii="Arial" w:hAnsi="Arial" w:cs="Arial"/>
          <w:sz w:val="20"/>
          <w:lang w:val="es-CO"/>
        </w:rPr>
        <w:t>…</w:t>
      </w:r>
      <w:r w:rsidRPr="006E3221">
        <w:rPr>
          <w:rFonts w:ascii="Arial" w:hAnsi="Arial" w:cs="Arial"/>
          <w:sz w:val="20"/>
          <w:lang w:val="es-419"/>
        </w:rPr>
        <w:t xml:space="preserve"> no sólo ordenó el traslado de régimen pensional del actor del RAIS al RMP, sino que advirtió que conservaba tal beneficio transitivo, por contar con más de 15 años de se</w:t>
      </w:r>
      <w:r>
        <w:rPr>
          <w:rFonts w:ascii="Arial" w:hAnsi="Arial" w:cs="Arial"/>
          <w:sz w:val="20"/>
          <w:lang w:val="es-419"/>
        </w:rPr>
        <w:t>rvicios al 1º de abril de 1994.</w:t>
      </w:r>
    </w:p>
    <w:p w:rsidR="006E3221" w:rsidRPr="006E3221" w:rsidRDefault="006E3221" w:rsidP="006E3221">
      <w:pPr>
        <w:jc w:val="both"/>
        <w:rPr>
          <w:rFonts w:ascii="Arial" w:hAnsi="Arial" w:cs="Arial"/>
          <w:sz w:val="20"/>
          <w:lang w:val="es-419"/>
        </w:rPr>
      </w:pPr>
    </w:p>
    <w:p w:rsidR="0066049D" w:rsidRPr="0091286F" w:rsidRDefault="006E3221" w:rsidP="006E3221">
      <w:pPr>
        <w:jc w:val="both"/>
        <w:rPr>
          <w:rFonts w:ascii="Arial" w:hAnsi="Arial" w:cs="Arial"/>
          <w:sz w:val="20"/>
          <w:lang w:val="es-CO"/>
        </w:rPr>
      </w:pPr>
      <w:r w:rsidRPr="006E3221">
        <w:rPr>
          <w:rFonts w:ascii="Arial" w:hAnsi="Arial" w:cs="Arial"/>
          <w:sz w:val="20"/>
          <w:lang w:val="es-419"/>
        </w:rPr>
        <w:t>En ese orden, se peticiona en la demanda la aplicación de la Ley 33 de 1985, como régimen anterior que venía regulando la situación pensional del actor, por haber prestado hasta el año 2003 sus servicios personales en el sector público. Dicho precepto normativo establece en su artículo 1º que el empleado oficial que sirva o haya servido 20 años continuos o discontinuos al sector público y llegue a la edad de 55 años, tendrá derecho a la pensión de jubilación.</w:t>
      </w:r>
      <w:r w:rsidR="0091286F">
        <w:rPr>
          <w:rFonts w:ascii="Arial" w:hAnsi="Arial" w:cs="Arial"/>
          <w:sz w:val="20"/>
          <w:lang w:val="es-CO"/>
        </w:rPr>
        <w:t xml:space="preserve"> (…)</w:t>
      </w:r>
    </w:p>
    <w:p w:rsidR="006E3221" w:rsidRDefault="006E3221" w:rsidP="006E3221">
      <w:pPr>
        <w:jc w:val="both"/>
        <w:rPr>
          <w:rFonts w:ascii="Arial" w:hAnsi="Arial" w:cs="Arial"/>
          <w:sz w:val="20"/>
          <w:lang w:val="es-419"/>
        </w:rPr>
      </w:pPr>
    </w:p>
    <w:p w:rsidR="0091286F" w:rsidRPr="0091286F" w:rsidRDefault="0091286F" w:rsidP="0091286F">
      <w:pPr>
        <w:jc w:val="both"/>
        <w:rPr>
          <w:rFonts w:ascii="Arial" w:hAnsi="Arial" w:cs="Arial"/>
          <w:sz w:val="20"/>
          <w:lang w:val="es-419"/>
        </w:rPr>
      </w:pPr>
      <w:r>
        <w:rPr>
          <w:rFonts w:ascii="Arial" w:hAnsi="Arial" w:cs="Arial"/>
          <w:sz w:val="20"/>
          <w:lang w:val="es-CO"/>
        </w:rPr>
        <w:t xml:space="preserve">… </w:t>
      </w:r>
      <w:r w:rsidRPr="0091286F">
        <w:rPr>
          <w:rFonts w:ascii="Arial" w:hAnsi="Arial" w:cs="Arial"/>
          <w:sz w:val="20"/>
          <w:lang w:val="es-419"/>
        </w:rPr>
        <w:t xml:space="preserve">bien puede concluirse que el actor reúne la densidad de tiempo exigido en la Ley 33 de 1985, por cuanto, como se dijo, reúne un total de 20 años, 23 meses y 22 días. </w:t>
      </w:r>
    </w:p>
    <w:p w:rsidR="0091286F" w:rsidRPr="0091286F" w:rsidRDefault="0091286F" w:rsidP="0091286F">
      <w:pPr>
        <w:jc w:val="both"/>
        <w:rPr>
          <w:rFonts w:ascii="Arial" w:hAnsi="Arial" w:cs="Arial"/>
          <w:sz w:val="20"/>
          <w:lang w:val="es-419"/>
        </w:rPr>
      </w:pPr>
    </w:p>
    <w:p w:rsidR="006E3221" w:rsidRDefault="0091286F" w:rsidP="0091286F">
      <w:pPr>
        <w:jc w:val="both"/>
        <w:rPr>
          <w:rFonts w:ascii="Arial" w:hAnsi="Arial" w:cs="Arial"/>
          <w:sz w:val="20"/>
          <w:lang w:val="es-CO"/>
        </w:rPr>
      </w:pPr>
      <w:r w:rsidRPr="0091286F">
        <w:rPr>
          <w:rFonts w:ascii="Arial" w:hAnsi="Arial" w:cs="Arial"/>
          <w:sz w:val="20"/>
          <w:lang w:val="es-419"/>
        </w:rPr>
        <w:t>De tal suerte que, tiene derecho al reconocimiento y pago de la pensión de jubilación que reclama, a partir del 05 de abril de 2011, fecha en que reunió la totalidad de los requisitos, con cargo a la Administradora Colombiana de Pensiones Colpensiones, pues al tenor de lo preceptuado en el Decreto 4937 de 2009, dicha entidad está facultada para solicitar de la respectiva entidad pública la emisión a su favor del Bono Especial Tipo T, si a él hubiere lugar</w:t>
      </w:r>
      <w:r w:rsidR="000A6038">
        <w:rPr>
          <w:rFonts w:ascii="Arial" w:hAnsi="Arial" w:cs="Arial"/>
          <w:sz w:val="20"/>
          <w:lang w:val="es-CO"/>
        </w:rPr>
        <w:t>.</w:t>
      </w:r>
    </w:p>
    <w:p w:rsidR="000A6038" w:rsidRDefault="000A6038" w:rsidP="0091286F">
      <w:pPr>
        <w:jc w:val="both"/>
        <w:rPr>
          <w:rFonts w:ascii="Arial" w:hAnsi="Arial" w:cs="Arial"/>
          <w:sz w:val="20"/>
          <w:lang w:val="es-CO"/>
        </w:rPr>
      </w:pPr>
    </w:p>
    <w:p w:rsidR="000A6038" w:rsidRPr="000A6038" w:rsidRDefault="000A6038" w:rsidP="0091286F">
      <w:pPr>
        <w:jc w:val="both"/>
        <w:rPr>
          <w:rFonts w:ascii="Arial" w:hAnsi="Arial" w:cs="Arial"/>
          <w:b/>
          <w:color w:val="FF0000"/>
          <w:sz w:val="20"/>
          <w:lang w:val="es-CO"/>
        </w:rPr>
      </w:pPr>
      <w:r w:rsidRPr="000A6038">
        <w:rPr>
          <w:rFonts w:ascii="Arial" w:hAnsi="Arial" w:cs="Arial"/>
          <w:b/>
          <w:color w:val="FF0000"/>
          <w:sz w:val="20"/>
          <w:lang w:val="es-CO"/>
        </w:rPr>
        <w:t xml:space="preserve">SALVAMENTO DE VOTO: DOCTOR JULIO </w:t>
      </w:r>
      <w:bookmarkStart w:id="0" w:name="_GoBack"/>
      <w:bookmarkEnd w:id="0"/>
      <w:r w:rsidRPr="000A6038">
        <w:rPr>
          <w:rFonts w:ascii="Arial" w:hAnsi="Arial" w:cs="Arial"/>
          <w:b/>
          <w:color w:val="FF0000"/>
          <w:sz w:val="20"/>
          <w:lang w:val="es-CO"/>
        </w:rPr>
        <w:t>CÉSAR SALAZAR MUÑOZ</w:t>
      </w:r>
    </w:p>
    <w:p w:rsidR="000E031E" w:rsidRDefault="000E031E" w:rsidP="000E031E">
      <w:pPr>
        <w:jc w:val="both"/>
        <w:rPr>
          <w:rFonts w:ascii="Arial" w:hAnsi="Arial" w:cs="Arial"/>
          <w:sz w:val="20"/>
          <w:lang w:val="es-ES"/>
        </w:rPr>
      </w:pPr>
    </w:p>
    <w:p w:rsidR="000A6038" w:rsidRDefault="00A8581E" w:rsidP="000E031E">
      <w:pPr>
        <w:jc w:val="both"/>
        <w:rPr>
          <w:rFonts w:ascii="Arial" w:hAnsi="Arial" w:cs="Arial"/>
          <w:sz w:val="20"/>
          <w:lang w:val="es-ES"/>
        </w:rPr>
      </w:pPr>
      <w:r>
        <w:rPr>
          <w:rFonts w:ascii="Arial" w:hAnsi="Arial" w:cs="Arial"/>
          <w:sz w:val="20"/>
          <w:lang w:val="es-ES"/>
        </w:rPr>
        <w:t xml:space="preserve">… </w:t>
      </w:r>
      <w:r w:rsidRPr="00A8581E">
        <w:rPr>
          <w:rFonts w:ascii="Arial" w:hAnsi="Arial" w:cs="Arial"/>
          <w:sz w:val="20"/>
          <w:lang w:val="es-ES"/>
        </w:rPr>
        <w:t>el primer error de la sentencia de la cual me aparto, está en la equivocada contabilización de los tiempos de servicios públicos que la propia Sala Mayoritaria le reconoció al actor, 20 años 23 meses y 22 días (21 años 11 meses y 22 días)</w:t>
      </w:r>
      <w:r>
        <w:rPr>
          <w:rFonts w:ascii="Arial" w:hAnsi="Arial" w:cs="Arial"/>
          <w:sz w:val="20"/>
          <w:lang w:val="es-ES"/>
        </w:rPr>
        <w:t>…</w:t>
      </w:r>
    </w:p>
    <w:p w:rsidR="00A8581E" w:rsidRDefault="00A8581E" w:rsidP="000E031E">
      <w:pPr>
        <w:jc w:val="both"/>
        <w:rPr>
          <w:rFonts w:ascii="Arial" w:hAnsi="Arial" w:cs="Arial"/>
          <w:sz w:val="20"/>
          <w:lang w:val="es-ES"/>
        </w:rPr>
      </w:pPr>
    </w:p>
    <w:p w:rsidR="00A8581E" w:rsidRPr="00A8581E" w:rsidRDefault="00A8581E" w:rsidP="00A8581E">
      <w:pPr>
        <w:jc w:val="both"/>
        <w:rPr>
          <w:rFonts w:ascii="Arial" w:hAnsi="Arial" w:cs="Arial"/>
          <w:sz w:val="20"/>
          <w:lang w:val="es-ES"/>
        </w:rPr>
      </w:pPr>
      <w:r w:rsidRPr="00A8581E">
        <w:rPr>
          <w:rFonts w:ascii="Arial" w:hAnsi="Arial" w:cs="Arial"/>
          <w:sz w:val="20"/>
          <w:lang w:val="es-ES"/>
        </w:rPr>
        <w:t>Establece el artículo 3º del Decreto 13 de 2001 por medio del cual se reglamentaron parcialmente los artículos 115, 117 y 128 de la Ley 100 de 1993, el Decreto-Ley 1314 de 1994 y el artículo 20 del Decreto-Ley 656 de 1994, que los únicos documentos válidos para certificar el tiempo laborado o cotizado con destino a la emisión de bonos pensionales o para el reconocimiento de pensiones, son los que se elaboren en los formatos de información laboral (Certificado de Formatos 1, 2 y 3B).</w:t>
      </w:r>
    </w:p>
    <w:p w:rsidR="00A8581E" w:rsidRPr="00A8581E" w:rsidRDefault="00A8581E" w:rsidP="00A8581E">
      <w:pPr>
        <w:jc w:val="both"/>
        <w:rPr>
          <w:rFonts w:ascii="Arial" w:hAnsi="Arial" w:cs="Arial"/>
          <w:sz w:val="20"/>
          <w:lang w:val="es-ES"/>
        </w:rPr>
      </w:pPr>
    </w:p>
    <w:p w:rsidR="00A8581E" w:rsidRDefault="00A8581E" w:rsidP="00A8581E">
      <w:pPr>
        <w:jc w:val="both"/>
        <w:rPr>
          <w:rFonts w:ascii="Arial" w:hAnsi="Arial" w:cs="Arial"/>
          <w:sz w:val="20"/>
          <w:lang w:val="es-ES"/>
        </w:rPr>
      </w:pPr>
      <w:r w:rsidRPr="00A8581E">
        <w:rPr>
          <w:rFonts w:ascii="Arial" w:hAnsi="Arial" w:cs="Arial"/>
          <w:sz w:val="20"/>
          <w:lang w:val="es-ES"/>
        </w:rPr>
        <w:t>Y ello es así, porque son esos documentos los que permiten consolidar las historias laborales de los servidores públicos con el objeto de acceder a las pensiones otorgadas por el sistema, tal y como lo señaló la Corte Constitucional en la sentencia T-207A de 25 de mayo de 2018</w:t>
      </w:r>
      <w:r>
        <w:rPr>
          <w:rFonts w:ascii="Arial" w:hAnsi="Arial" w:cs="Arial"/>
          <w:sz w:val="20"/>
          <w:lang w:val="es-ES"/>
        </w:rPr>
        <w:t>…</w:t>
      </w:r>
    </w:p>
    <w:p w:rsidR="00A8581E" w:rsidRDefault="00A8581E" w:rsidP="00A8581E">
      <w:pPr>
        <w:jc w:val="both"/>
        <w:rPr>
          <w:rFonts w:ascii="Arial" w:hAnsi="Arial" w:cs="Arial"/>
          <w:sz w:val="20"/>
          <w:lang w:val="es-ES"/>
        </w:rPr>
      </w:pPr>
    </w:p>
    <w:p w:rsidR="00A8581E" w:rsidRDefault="00175678" w:rsidP="00A8581E">
      <w:pPr>
        <w:jc w:val="both"/>
        <w:rPr>
          <w:rFonts w:ascii="Arial" w:hAnsi="Arial" w:cs="Arial"/>
          <w:sz w:val="20"/>
          <w:lang w:val="es-ES"/>
        </w:rPr>
      </w:pPr>
      <w:r>
        <w:rPr>
          <w:rFonts w:ascii="Arial" w:hAnsi="Arial" w:cs="Arial"/>
          <w:sz w:val="20"/>
          <w:lang w:val="es-ES"/>
        </w:rPr>
        <w:t xml:space="preserve">… </w:t>
      </w:r>
      <w:r w:rsidRPr="00175678">
        <w:rPr>
          <w:rFonts w:ascii="Arial" w:hAnsi="Arial" w:cs="Arial"/>
          <w:sz w:val="20"/>
          <w:lang w:val="es-ES"/>
        </w:rPr>
        <w:t>el accionante en toda su vida laboral acredita un total de 19 años 11 meses y 22 días que no resultan suficientes para reconocer la pensión de jubilación prevista en la Ley 33 de 1985, siendo necesario poner en evidencia que el tiempo de servicio que tuvo en cuenta la Sala Mayoritaria entre el 16 de diciembre de 1977 y el 16 de enero de 1979 (1 año 1 mes y 1 día de servicios), no podía ser validado según las voces del referenciado artículo 3º del Decreto 13 de 2001, ya que dicho periodo no fue acreditado a través de los únicos documentos válidos para certificar el tiempo laborado o cotizado con destino al reconocimiento de la pensión de jubilación prevista en la ley 33 de 1985</w:t>
      </w:r>
      <w:r>
        <w:rPr>
          <w:rFonts w:ascii="Arial" w:hAnsi="Arial" w:cs="Arial"/>
          <w:sz w:val="20"/>
          <w:lang w:val="es-ES"/>
        </w:rPr>
        <w:t>…</w:t>
      </w:r>
    </w:p>
    <w:p w:rsidR="000A6038" w:rsidRPr="000E031E" w:rsidRDefault="000A6038" w:rsidP="000E031E">
      <w:pPr>
        <w:jc w:val="both"/>
        <w:rPr>
          <w:rFonts w:ascii="Arial" w:hAnsi="Arial" w:cs="Arial"/>
          <w:sz w:val="20"/>
          <w:lang w:val="es-ES"/>
        </w:rPr>
      </w:pPr>
    </w:p>
    <w:p w:rsidR="000E031E" w:rsidRPr="000E031E" w:rsidRDefault="000E031E" w:rsidP="000E031E">
      <w:pPr>
        <w:jc w:val="both"/>
        <w:rPr>
          <w:rFonts w:ascii="Arial" w:hAnsi="Arial" w:cs="Arial"/>
          <w:sz w:val="20"/>
          <w:lang w:val="es-ES"/>
        </w:rPr>
      </w:pPr>
    </w:p>
    <w:p w:rsidR="0066049D" w:rsidRPr="0066049D" w:rsidRDefault="0066049D" w:rsidP="0066049D">
      <w:pPr>
        <w:keepNext/>
        <w:spacing w:line="288" w:lineRule="auto"/>
        <w:jc w:val="center"/>
        <w:outlineLvl w:val="2"/>
        <w:rPr>
          <w:rFonts w:ascii="Arial Narrow" w:hAnsi="Arial Narrow" w:cs="Arial"/>
          <w:b/>
          <w:sz w:val="26"/>
          <w:szCs w:val="26"/>
        </w:rPr>
      </w:pPr>
      <w:r w:rsidRPr="0066049D">
        <w:rPr>
          <w:rFonts w:ascii="Arial Narrow" w:hAnsi="Arial Narrow" w:cs="Arial"/>
          <w:b/>
          <w:sz w:val="26"/>
          <w:szCs w:val="26"/>
        </w:rPr>
        <w:lastRenderedPageBreak/>
        <w:t>TRIBUNAL SUPERIOR DEL DISTRITO JUDICIAL</w:t>
      </w:r>
    </w:p>
    <w:p w:rsidR="0066049D" w:rsidRPr="0066049D" w:rsidRDefault="0066049D" w:rsidP="0066049D">
      <w:pPr>
        <w:spacing w:line="288" w:lineRule="auto"/>
        <w:jc w:val="center"/>
        <w:rPr>
          <w:rFonts w:ascii="Arial Narrow" w:hAnsi="Arial Narrow" w:cs="Arial"/>
          <w:b/>
          <w:sz w:val="26"/>
          <w:szCs w:val="26"/>
          <w:lang w:val="es-CO"/>
        </w:rPr>
      </w:pPr>
      <w:r w:rsidRPr="0066049D">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8" o:title=""/>
          </v:shape>
          <o:OLEObject Type="Embed" ProgID="PBrush" ShapeID="_x0000_i1025" DrawAspect="Content" ObjectID="_1640589812" r:id="rId9"/>
        </w:object>
      </w:r>
    </w:p>
    <w:p w:rsidR="0066049D" w:rsidRPr="0066049D" w:rsidRDefault="0066049D" w:rsidP="0066049D">
      <w:pPr>
        <w:spacing w:line="288" w:lineRule="auto"/>
        <w:jc w:val="center"/>
        <w:rPr>
          <w:rFonts w:ascii="Arial Narrow" w:hAnsi="Arial Narrow" w:cs="Arial"/>
          <w:b/>
          <w:sz w:val="26"/>
          <w:szCs w:val="26"/>
          <w:lang w:val="es-CO"/>
        </w:rPr>
      </w:pPr>
      <w:r w:rsidRPr="0066049D">
        <w:rPr>
          <w:rFonts w:ascii="Arial Narrow" w:hAnsi="Arial Narrow" w:cs="Arial"/>
          <w:b/>
          <w:sz w:val="26"/>
          <w:szCs w:val="26"/>
          <w:lang w:val="es-CO"/>
        </w:rPr>
        <w:t xml:space="preserve">SALA </w:t>
      </w:r>
      <w:r>
        <w:rPr>
          <w:rFonts w:ascii="Arial Narrow" w:hAnsi="Arial Narrow" w:cs="Arial"/>
          <w:b/>
          <w:sz w:val="26"/>
          <w:szCs w:val="26"/>
          <w:lang w:val="es-CO"/>
        </w:rPr>
        <w:t>TERCERA</w:t>
      </w:r>
      <w:r w:rsidRPr="0066049D">
        <w:rPr>
          <w:rFonts w:ascii="Arial Narrow" w:hAnsi="Arial Narrow" w:cs="Arial"/>
          <w:b/>
          <w:sz w:val="26"/>
          <w:szCs w:val="26"/>
          <w:lang w:val="es-CO"/>
        </w:rPr>
        <w:t xml:space="preserve"> DE DECISIÓN LABORAL</w:t>
      </w:r>
    </w:p>
    <w:p w:rsidR="0066049D" w:rsidRPr="0066049D" w:rsidRDefault="0066049D" w:rsidP="0066049D">
      <w:pPr>
        <w:spacing w:line="288" w:lineRule="auto"/>
        <w:jc w:val="center"/>
        <w:rPr>
          <w:rFonts w:ascii="Arial Narrow" w:hAnsi="Arial Narrow" w:cs="Arial"/>
          <w:b/>
          <w:sz w:val="26"/>
          <w:szCs w:val="26"/>
          <w:lang w:val="es-CO"/>
        </w:rPr>
      </w:pPr>
      <w:r w:rsidRPr="0066049D">
        <w:rPr>
          <w:rFonts w:ascii="Arial Narrow" w:hAnsi="Arial Narrow" w:cs="Arial"/>
          <w:b/>
          <w:sz w:val="26"/>
          <w:szCs w:val="26"/>
          <w:lang w:val="es-CO"/>
        </w:rPr>
        <w:t>PEREIRA</w:t>
      </w:r>
      <w:r w:rsidRPr="0066049D">
        <w:rPr>
          <w:rFonts w:ascii="Arial Narrow" w:hAnsi="Arial Narrow" w:cs="Arial"/>
          <w:b/>
          <w:sz w:val="26"/>
          <w:szCs w:val="26"/>
          <w:lang w:val="es-CO"/>
        </w:rPr>
        <w:tab/>
        <w:t>RISARALDA</w:t>
      </w:r>
    </w:p>
    <w:p w:rsidR="0066049D" w:rsidRPr="0066049D" w:rsidRDefault="0066049D" w:rsidP="0066049D">
      <w:pPr>
        <w:spacing w:line="288" w:lineRule="auto"/>
        <w:jc w:val="center"/>
        <w:rPr>
          <w:rFonts w:ascii="Arial Narrow" w:hAnsi="Arial Narrow" w:cs="Arial"/>
          <w:sz w:val="26"/>
          <w:szCs w:val="26"/>
        </w:rPr>
      </w:pPr>
    </w:p>
    <w:p w:rsidR="0066049D" w:rsidRPr="0066049D" w:rsidRDefault="0066049D" w:rsidP="0066049D">
      <w:pPr>
        <w:spacing w:line="288" w:lineRule="auto"/>
        <w:jc w:val="center"/>
        <w:rPr>
          <w:rFonts w:ascii="Arial Narrow" w:hAnsi="Arial Narrow" w:cs="Arial"/>
          <w:b/>
          <w:sz w:val="26"/>
          <w:szCs w:val="26"/>
        </w:rPr>
      </w:pPr>
      <w:r w:rsidRPr="0066049D">
        <w:rPr>
          <w:rFonts w:ascii="Arial Narrow" w:hAnsi="Arial Narrow" w:cs="Arial"/>
          <w:b/>
          <w:sz w:val="26"/>
          <w:szCs w:val="26"/>
        </w:rPr>
        <w:t>MAGISTRADO PONENTE: FRANCISCO JAVIER TAMAYO TABARES</w:t>
      </w:r>
    </w:p>
    <w:p w:rsidR="0066049D" w:rsidRPr="0066049D" w:rsidRDefault="0066049D" w:rsidP="0066049D">
      <w:pPr>
        <w:spacing w:line="288" w:lineRule="auto"/>
        <w:rPr>
          <w:rFonts w:ascii="Arial Narrow" w:hAnsi="Arial Narrow"/>
          <w:sz w:val="26"/>
          <w:szCs w:val="26"/>
          <w:lang w:val="es-CO"/>
        </w:rPr>
      </w:pPr>
    </w:p>
    <w:p w:rsidR="00E6091F" w:rsidRPr="0066049D" w:rsidRDefault="00E6091F" w:rsidP="0066049D">
      <w:pPr>
        <w:spacing w:line="276" w:lineRule="auto"/>
        <w:ind w:firstLine="851"/>
        <w:jc w:val="both"/>
        <w:rPr>
          <w:rFonts w:ascii="Arial Narrow" w:hAnsi="Arial Narrow" w:cs="Tahoma"/>
          <w:bCs/>
          <w:color w:val="000000"/>
          <w:sz w:val="26"/>
          <w:szCs w:val="26"/>
          <w:lang w:eastAsia="es-CO"/>
        </w:rPr>
      </w:pPr>
      <w:r w:rsidRPr="0066049D">
        <w:rPr>
          <w:rFonts w:ascii="Arial Narrow" w:eastAsia="Calibri" w:hAnsi="Arial Narrow" w:cs="Arial"/>
          <w:sz w:val="26"/>
          <w:szCs w:val="26"/>
          <w:lang w:val="es-CO" w:eastAsia="en-US"/>
        </w:rPr>
        <w:t>En Pereira, a los (</w:t>
      </w:r>
      <w:r w:rsidR="000E031E" w:rsidRPr="0066049D">
        <w:rPr>
          <w:rFonts w:ascii="Arial Narrow" w:eastAsia="Calibri" w:hAnsi="Arial Narrow" w:cs="Arial"/>
          <w:sz w:val="26"/>
          <w:szCs w:val="26"/>
          <w:lang w:val="es-CO" w:eastAsia="en-US"/>
        </w:rPr>
        <w:t>28</w:t>
      </w:r>
      <w:r w:rsidR="00020FEE" w:rsidRPr="0066049D">
        <w:rPr>
          <w:rFonts w:ascii="Arial Narrow" w:eastAsia="Calibri" w:hAnsi="Arial Narrow" w:cs="Arial"/>
          <w:sz w:val="26"/>
          <w:szCs w:val="26"/>
          <w:lang w:val="es-CO" w:eastAsia="en-US"/>
        </w:rPr>
        <w:t>)</w:t>
      </w:r>
      <w:r w:rsidRPr="0066049D">
        <w:rPr>
          <w:rFonts w:ascii="Arial Narrow" w:eastAsia="Calibri" w:hAnsi="Arial Narrow" w:cs="Arial"/>
          <w:sz w:val="26"/>
          <w:szCs w:val="26"/>
          <w:lang w:val="es-CO" w:eastAsia="en-US"/>
        </w:rPr>
        <w:t xml:space="preserve"> días del mes de </w:t>
      </w:r>
      <w:r w:rsidR="00020FEE" w:rsidRPr="0066049D">
        <w:rPr>
          <w:rFonts w:ascii="Arial Narrow" w:eastAsia="Calibri" w:hAnsi="Arial Narrow" w:cs="Arial"/>
          <w:sz w:val="26"/>
          <w:szCs w:val="26"/>
          <w:lang w:val="es-CO" w:eastAsia="en-US"/>
        </w:rPr>
        <w:t>noviembre d</w:t>
      </w:r>
      <w:r w:rsidRPr="0066049D">
        <w:rPr>
          <w:rFonts w:ascii="Arial Narrow" w:eastAsia="Calibri" w:hAnsi="Arial Narrow" w:cs="Arial"/>
          <w:sz w:val="26"/>
          <w:szCs w:val="26"/>
          <w:lang w:val="es-CO" w:eastAsia="en-US"/>
        </w:rPr>
        <w:t xml:space="preserve">e dos mil </w:t>
      </w:r>
      <w:r w:rsidR="00020FEE" w:rsidRPr="0066049D">
        <w:rPr>
          <w:rFonts w:ascii="Arial Narrow" w:eastAsia="Calibri" w:hAnsi="Arial Narrow" w:cs="Arial"/>
          <w:sz w:val="26"/>
          <w:szCs w:val="26"/>
          <w:lang w:val="es-CO" w:eastAsia="en-US"/>
        </w:rPr>
        <w:t>diecinueve</w:t>
      </w:r>
      <w:r w:rsidRPr="0066049D">
        <w:rPr>
          <w:rFonts w:ascii="Arial Narrow" w:eastAsia="Calibri" w:hAnsi="Arial Narrow" w:cs="Arial"/>
          <w:sz w:val="26"/>
          <w:szCs w:val="26"/>
          <w:lang w:val="es-CO" w:eastAsia="en-US"/>
        </w:rPr>
        <w:t xml:space="preserve"> (201</w:t>
      </w:r>
      <w:r w:rsidR="00DC4FEB" w:rsidRPr="0066049D">
        <w:rPr>
          <w:rFonts w:ascii="Arial Narrow" w:eastAsia="Calibri" w:hAnsi="Arial Narrow" w:cs="Arial"/>
          <w:sz w:val="26"/>
          <w:szCs w:val="26"/>
          <w:lang w:val="es-CO" w:eastAsia="en-US"/>
        </w:rPr>
        <w:t>9</w:t>
      </w:r>
      <w:r w:rsidRPr="0066049D">
        <w:rPr>
          <w:rFonts w:ascii="Arial Narrow" w:eastAsia="Calibri" w:hAnsi="Arial Narrow" w:cs="Arial"/>
          <w:sz w:val="26"/>
          <w:szCs w:val="26"/>
          <w:lang w:val="es-CO" w:eastAsia="en-US"/>
        </w:rPr>
        <w:t>), siendo las</w:t>
      </w:r>
      <w:r w:rsidR="00113084" w:rsidRPr="0066049D">
        <w:rPr>
          <w:rFonts w:ascii="Arial Narrow" w:eastAsia="Calibri" w:hAnsi="Arial Narrow" w:cs="Arial"/>
          <w:sz w:val="26"/>
          <w:szCs w:val="26"/>
          <w:lang w:val="es-CO" w:eastAsia="en-US"/>
        </w:rPr>
        <w:t xml:space="preserve"> </w:t>
      </w:r>
      <w:r w:rsidR="00020FEE" w:rsidRPr="0066049D">
        <w:rPr>
          <w:rFonts w:ascii="Arial Narrow" w:eastAsia="Calibri" w:hAnsi="Arial Narrow" w:cs="Arial"/>
          <w:sz w:val="26"/>
          <w:szCs w:val="26"/>
          <w:lang w:val="es-CO" w:eastAsia="en-US"/>
        </w:rPr>
        <w:t xml:space="preserve">(      </w:t>
      </w:r>
      <w:r w:rsidRPr="0066049D">
        <w:rPr>
          <w:rFonts w:ascii="Arial Narrow" w:eastAsia="Calibri" w:hAnsi="Arial Narrow" w:cs="Arial"/>
          <w:sz w:val="26"/>
          <w:szCs w:val="26"/>
          <w:lang w:val="es-CO" w:eastAsia="en-US"/>
        </w:rPr>
        <w:t xml:space="preserve">), </w:t>
      </w:r>
      <w:r w:rsidRPr="0066049D">
        <w:rPr>
          <w:rFonts w:ascii="Arial Narrow" w:hAnsi="Arial Narrow" w:cs="Tahoma"/>
          <w:bCs/>
          <w:color w:val="000000"/>
          <w:sz w:val="26"/>
          <w:szCs w:val="26"/>
          <w:lang w:eastAsia="es-CO"/>
        </w:rPr>
        <w:t>reunidos en la Sala de Audiencia l</w:t>
      </w:r>
      <w:r w:rsidR="00020FEE" w:rsidRPr="0066049D">
        <w:rPr>
          <w:rFonts w:ascii="Arial Narrow" w:hAnsi="Arial Narrow" w:cs="Tahoma"/>
          <w:bCs/>
          <w:color w:val="000000"/>
          <w:sz w:val="26"/>
          <w:szCs w:val="26"/>
          <w:lang w:eastAsia="es-CO"/>
        </w:rPr>
        <w:t xml:space="preserve">os magistrados de la Sala Tercera de Decisión </w:t>
      </w:r>
      <w:r w:rsidRPr="0066049D">
        <w:rPr>
          <w:rFonts w:ascii="Arial Narrow" w:hAnsi="Arial Narrow" w:cs="Tahoma"/>
          <w:bCs/>
          <w:color w:val="000000"/>
          <w:sz w:val="26"/>
          <w:szCs w:val="26"/>
          <w:lang w:eastAsia="es-CO"/>
        </w:rPr>
        <w:t xml:space="preserve">Laboral del Tribunal Superior de Pereira, el ponente declara abierto el acto, que tiene por objeto resolver </w:t>
      </w:r>
      <w:r w:rsidR="00113084" w:rsidRPr="0066049D">
        <w:rPr>
          <w:rFonts w:ascii="Arial Narrow" w:hAnsi="Arial Narrow" w:cs="Tahoma"/>
          <w:bCs/>
          <w:color w:val="000000"/>
          <w:sz w:val="26"/>
          <w:szCs w:val="26"/>
          <w:lang w:eastAsia="es-CO"/>
        </w:rPr>
        <w:t>el</w:t>
      </w:r>
      <w:r w:rsidR="00E51442" w:rsidRPr="0066049D">
        <w:rPr>
          <w:rFonts w:ascii="Arial Narrow" w:hAnsi="Arial Narrow" w:cs="Tahoma"/>
          <w:bCs/>
          <w:color w:val="000000"/>
          <w:sz w:val="26"/>
          <w:szCs w:val="26"/>
          <w:lang w:eastAsia="es-CO"/>
        </w:rPr>
        <w:t xml:space="preserve"> grado jurisdiccional de consulta de la </w:t>
      </w:r>
      <w:r w:rsidR="00E86DE0" w:rsidRPr="0066049D">
        <w:rPr>
          <w:rFonts w:ascii="Arial Narrow" w:hAnsi="Arial Narrow" w:cs="Tahoma"/>
          <w:bCs/>
          <w:color w:val="000000"/>
          <w:sz w:val="26"/>
          <w:szCs w:val="26"/>
          <w:lang w:eastAsia="es-CO"/>
        </w:rPr>
        <w:t xml:space="preserve">sentencia proferida </w:t>
      </w:r>
      <w:r w:rsidR="00E51442" w:rsidRPr="0066049D">
        <w:rPr>
          <w:rFonts w:ascii="Arial Narrow" w:hAnsi="Arial Narrow" w:cs="Tahoma"/>
          <w:bCs/>
          <w:color w:val="000000"/>
          <w:sz w:val="26"/>
          <w:szCs w:val="26"/>
          <w:lang w:eastAsia="es-CO"/>
        </w:rPr>
        <w:t>el 26 de Octubre</w:t>
      </w:r>
      <w:r w:rsidR="00E86DE0" w:rsidRPr="0066049D">
        <w:rPr>
          <w:rFonts w:ascii="Arial Narrow" w:hAnsi="Arial Narrow" w:cs="Tahoma"/>
          <w:bCs/>
          <w:color w:val="000000"/>
          <w:sz w:val="26"/>
          <w:szCs w:val="26"/>
          <w:lang w:eastAsia="es-CO"/>
        </w:rPr>
        <w:t xml:space="preserve"> de 2018 </w:t>
      </w:r>
      <w:r w:rsidR="00113084" w:rsidRPr="0066049D">
        <w:rPr>
          <w:rFonts w:ascii="Arial Narrow" w:hAnsi="Arial Narrow" w:cs="Tahoma"/>
          <w:bCs/>
          <w:color w:val="000000"/>
          <w:sz w:val="26"/>
          <w:szCs w:val="26"/>
          <w:lang w:eastAsia="es-CO"/>
        </w:rPr>
        <w:t xml:space="preserve">por el Juzgado </w:t>
      </w:r>
      <w:r w:rsidR="00020FEE" w:rsidRPr="0066049D">
        <w:rPr>
          <w:rFonts w:ascii="Arial Narrow" w:hAnsi="Arial Narrow" w:cs="Tahoma"/>
          <w:bCs/>
          <w:color w:val="000000"/>
          <w:sz w:val="26"/>
          <w:szCs w:val="26"/>
          <w:lang w:eastAsia="es-CO"/>
        </w:rPr>
        <w:t>Segundo</w:t>
      </w:r>
      <w:r w:rsidR="00113084" w:rsidRPr="0066049D">
        <w:rPr>
          <w:rFonts w:ascii="Arial Narrow" w:hAnsi="Arial Narrow" w:cs="Tahoma"/>
          <w:bCs/>
          <w:color w:val="000000"/>
          <w:sz w:val="26"/>
          <w:szCs w:val="26"/>
          <w:lang w:eastAsia="es-CO"/>
        </w:rPr>
        <w:t xml:space="preserve"> </w:t>
      </w:r>
      <w:r w:rsidRPr="0066049D">
        <w:rPr>
          <w:rFonts w:ascii="Arial Narrow" w:hAnsi="Arial Narrow" w:cs="Tahoma"/>
          <w:bCs/>
          <w:color w:val="000000"/>
          <w:sz w:val="26"/>
          <w:szCs w:val="26"/>
          <w:lang w:eastAsia="es-CO"/>
        </w:rPr>
        <w:t xml:space="preserve">Laboral del Circuito de esta ciudad, dentro del proceso Ordinario Laboral que </w:t>
      </w:r>
      <w:r w:rsidR="00E51442" w:rsidRPr="0066049D">
        <w:rPr>
          <w:rFonts w:ascii="Arial Narrow" w:hAnsi="Arial Narrow" w:cs="Tahoma"/>
          <w:b/>
          <w:bCs/>
          <w:color w:val="000000"/>
          <w:sz w:val="26"/>
          <w:szCs w:val="26"/>
          <w:lang w:eastAsia="es-CO"/>
        </w:rPr>
        <w:t>Oscar Betancur Colorado</w:t>
      </w:r>
      <w:r w:rsidR="00113084" w:rsidRPr="0066049D">
        <w:rPr>
          <w:rFonts w:ascii="Arial Narrow" w:hAnsi="Arial Narrow" w:cs="Tahoma"/>
          <w:b/>
          <w:bCs/>
          <w:color w:val="000000"/>
          <w:sz w:val="26"/>
          <w:szCs w:val="26"/>
          <w:lang w:eastAsia="es-CO"/>
        </w:rPr>
        <w:t xml:space="preserve"> </w:t>
      </w:r>
      <w:r w:rsidRPr="0066049D">
        <w:rPr>
          <w:rFonts w:ascii="Arial Narrow" w:hAnsi="Arial Narrow" w:cs="Tahoma"/>
          <w:bCs/>
          <w:color w:val="000000"/>
          <w:sz w:val="26"/>
          <w:szCs w:val="26"/>
          <w:lang w:eastAsia="es-CO"/>
        </w:rPr>
        <w:t>adelanta</w:t>
      </w:r>
      <w:r w:rsidRPr="0066049D">
        <w:rPr>
          <w:rFonts w:ascii="Arial Narrow" w:hAnsi="Arial Narrow" w:cs="Tahoma"/>
          <w:b/>
          <w:bCs/>
          <w:color w:val="000000"/>
          <w:sz w:val="26"/>
          <w:szCs w:val="26"/>
          <w:lang w:eastAsia="es-CO"/>
        </w:rPr>
        <w:t xml:space="preserve"> </w:t>
      </w:r>
      <w:r w:rsidR="00E51442" w:rsidRPr="0066049D">
        <w:rPr>
          <w:rFonts w:ascii="Arial Narrow" w:hAnsi="Arial Narrow" w:cs="Tahoma"/>
          <w:bCs/>
          <w:color w:val="000000"/>
          <w:sz w:val="26"/>
          <w:szCs w:val="26"/>
          <w:lang w:eastAsia="es-CO"/>
        </w:rPr>
        <w:t xml:space="preserve">contra </w:t>
      </w:r>
      <w:r w:rsidR="00020FEE" w:rsidRPr="0066049D">
        <w:rPr>
          <w:rFonts w:ascii="Arial Narrow" w:hAnsi="Arial Narrow" w:cs="Tahoma"/>
          <w:bCs/>
          <w:color w:val="000000"/>
          <w:sz w:val="26"/>
          <w:szCs w:val="26"/>
          <w:lang w:eastAsia="es-CO"/>
        </w:rPr>
        <w:t xml:space="preserve">la </w:t>
      </w:r>
      <w:r w:rsidR="00020FEE" w:rsidRPr="0066049D">
        <w:rPr>
          <w:rFonts w:ascii="Arial Narrow" w:hAnsi="Arial Narrow" w:cs="Tahoma"/>
          <w:b/>
          <w:bCs/>
          <w:color w:val="000000"/>
          <w:sz w:val="26"/>
          <w:szCs w:val="26"/>
          <w:lang w:eastAsia="es-CO"/>
        </w:rPr>
        <w:t>Administradora Colombiana de Pensiones</w:t>
      </w:r>
      <w:r w:rsidR="00020FEE" w:rsidRPr="0066049D">
        <w:rPr>
          <w:rFonts w:ascii="Arial Narrow" w:hAnsi="Arial Narrow" w:cs="Tahoma"/>
          <w:bCs/>
          <w:color w:val="000000"/>
          <w:sz w:val="26"/>
          <w:szCs w:val="26"/>
          <w:lang w:eastAsia="es-CO"/>
        </w:rPr>
        <w:t xml:space="preserve"> </w:t>
      </w:r>
      <w:r w:rsidR="00E51442" w:rsidRPr="0066049D">
        <w:rPr>
          <w:rFonts w:ascii="Arial Narrow" w:hAnsi="Arial Narrow" w:cs="Tahoma"/>
          <w:b/>
          <w:bCs/>
          <w:color w:val="000000"/>
          <w:sz w:val="26"/>
          <w:szCs w:val="26"/>
          <w:lang w:eastAsia="es-CO"/>
        </w:rPr>
        <w:t>Colpensiones.</w:t>
      </w:r>
    </w:p>
    <w:p w:rsidR="00113084" w:rsidRPr="0066049D" w:rsidRDefault="00113084" w:rsidP="0066049D">
      <w:pPr>
        <w:pStyle w:val="Sinespaciado"/>
        <w:spacing w:line="276" w:lineRule="auto"/>
        <w:rPr>
          <w:rFonts w:ascii="Arial Narrow" w:hAnsi="Arial Narrow"/>
          <w:sz w:val="26"/>
          <w:szCs w:val="26"/>
        </w:rPr>
      </w:pPr>
    </w:p>
    <w:p w:rsidR="00E6091F" w:rsidRPr="0066049D" w:rsidRDefault="00E6091F" w:rsidP="0066049D">
      <w:pPr>
        <w:shd w:val="clear" w:color="auto" w:fill="FFFFFF"/>
        <w:spacing w:line="276" w:lineRule="auto"/>
        <w:ind w:firstLine="708"/>
        <w:jc w:val="both"/>
        <w:rPr>
          <w:rFonts w:ascii="Arial Narrow" w:hAnsi="Arial Narrow" w:cs="Tahoma"/>
          <w:b/>
          <w:bCs/>
          <w:color w:val="000000"/>
          <w:sz w:val="26"/>
          <w:szCs w:val="26"/>
          <w:lang w:eastAsia="es-CO"/>
        </w:rPr>
      </w:pPr>
      <w:r w:rsidRPr="0066049D">
        <w:rPr>
          <w:rFonts w:ascii="Arial Narrow" w:hAnsi="Arial Narrow" w:cs="Tahoma"/>
          <w:b/>
          <w:bCs/>
          <w:color w:val="000000"/>
          <w:sz w:val="26"/>
          <w:szCs w:val="26"/>
          <w:lang w:eastAsia="es-CO"/>
        </w:rPr>
        <w:t>IDENTIFICACIÓN DE LOS PRESENTES:</w:t>
      </w:r>
    </w:p>
    <w:p w:rsidR="00E6091F" w:rsidRPr="0066049D" w:rsidRDefault="00E6091F" w:rsidP="0066049D">
      <w:pPr>
        <w:pStyle w:val="Sinespaciado"/>
        <w:spacing w:line="276" w:lineRule="auto"/>
        <w:rPr>
          <w:rFonts w:ascii="Arial Narrow" w:hAnsi="Arial Narrow"/>
          <w:sz w:val="26"/>
          <w:szCs w:val="26"/>
          <w:lang w:eastAsia="es-CO"/>
        </w:rPr>
      </w:pPr>
    </w:p>
    <w:p w:rsidR="00E6091F" w:rsidRPr="0066049D" w:rsidRDefault="00E6091F" w:rsidP="0066049D">
      <w:pPr>
        <w:spacing w:line="276" w:lineRule="auto"/>
        <w:ind w:firstLine="851"/>
        <w:rPr>
          <w:rFonts w:ascii="Arial Narrow" w:hAnsi="Arial Narrow" w:cs="Tahoma"/>
          <w:b/>
          <w:i/>
          <w:sz w:val="26"/>
          <w:szCs w:val="26"/>
        </w:rPr>
      </w:pPr>
      <w:r w:rsidRPr="0066049D">
        <w:rPr>
          <w:rFonts w:ascii="Arial Narrow" w:hAnsi="Arial Narrow" w:cs="Tahoma"/>
          <w:b/>
          <w:i/>
          <w:sz w:val="26"/>
          <w:szCs w:val="26"/>
        </w:rPr>
        <w:t>ANTECEDENTES</w:t>
      </w:r>
    </w:p>
    <w:p w:rsidR="00E6091F" w:rsidRPr="0066049D" w:rsidRDefault="00E6091F" w:rsidP="0066049D">
      <w:pPr>
        <w:pStyle w:val="Sinespaciado"/>
        <w:spacing w:line="276" w:lineRule="auto"/>
        <w:rPr>
          <w:rFonts w:ascii="Arial Narrow" w:hAnsi="Arial Narrow"/>
          <w:sz w:val="26"/>
          <w:szCs w:val="26"/>
        </w:rPr>
      </w:pPr>
    </w:p>
    <w:p w:rsidR="00E51442" w:rsidRPr="0066049D" w:rsidRDefault="006630D3" w:rsidP="0066049D">
      <w:pPr>
        <w:shd w:val="clear" w:color="auto" w:fill="FFFFFF"/>
        <w:spacing w:line="276" w:lineRule="auto"/>
        <w:ind w:firstLine="851"/>
        <w:jc w:val="both"/>
        <w:rPr>
          <w:rFonts w:ascii="Arial Narrow" w:hAnsi="Arial Narrow" w:cs="Arial"/>
          <w:sz w:val="26"/>
          <w:szCs w:val="26"/>
        </w:rPr>
      </w:pPr>
      <w:r w:rsidRPr="0066049D">
        <w:rPr>
          <w:rFonts w:ascii="Arial Narrow" w:hAnsi="Arial Narrow" w:cs="Tahoma"/>
          <w:sz w:val="26"/>
          <w:szCs w:val="26"/>
        </w:rPr>
        <w:t>P</w:t>
      </w:r>
      <w:r w:rsidR="00E6091F" w:rsidRPr="0066049D">
        <w:rPr>
          <w:rFonts w:ascii="Arial Narrow" w:hAnsi="Arial Narrow" w:cs="Tahoma"/>
          <w:sz w:val="26"/>
          <w:szCs w:val="26"/>
        </w:rPr>
        <w:t>ersigue</w:t>
      </w:r>
      <w:r w:rsidRPr="0066049D">
        <w:rPr>
          <w:rFonts w:ascii="Arial Narrow" w:hAnsi="Arial Narrow" w:cs="Tahoma"/>
          <w:sz w:val="26"/>
          <w:szCs w:val="26"/>
        </w:rPr>
        <w:t xml:space="preserve"> </w:t>
      </w:r>
      <w:r w:rsidR="00E86DE0" w:rsidRPr="0066049D">
        <w:rPr>
          <w:rFonts w:ascii="Arial Narrow" w:hAnsi="Arial Narrow" w:cs="Tahoma"/>
          <w:sz w:val="26"/>
          <w:szCs w:val="26"/>
        </w:rPr>
        <w:t>el demandante</w:t>
      </w:r>
      <w:r w:rsidRPr="0066049D">
        <w:rPr>
          <w:rFonts w:ascii="Arial Narrow" w:hAnsi="Arial Narrow" w:cs="Tahoma"/>
          <w:sz w:val="26"/>
          <w:szCs w:val="26"/>
        </w:rPr>
        <w:t xml:space="preserve">, </w:t>
      </w:r>
      <w:r w:rsidR="00E6091F" w:rsidRPr="0066049D">
        <w:rPr>
          <w:rFonts w:ascii="Arial Narrow" w:hAnsi="Arial Narrow" w:cs="Tahoma"/>
          <w:sz w:val="26"/>
          <w:szCs w:val="26"/>
        </w:rPr>
        <w:t>se</w:t>
      </w:r>
      <w:r w:rsidR="00E86DE0" w:rsidRPr="0066049D">
        <w:rPr>
          <w:rFonts w:ascii="Arial Narrow" w:hAnsi="Arial Narrow" w:cs="Tahoma"/>
          <w:sz w:val="26"/>
          <w:szCs w:val="26"/>
        </w:rPr>
        <w:t xml:space="preserve"> le </w:t>
      </w:r>
      <w:r w:rsidR="00E51442" w:rsidRPr="0066049D">
        <w:rPr>
          <w:rFonts w:ascii="Arial Narrow" w:hAnsi="Arial Narrow" w:cs="Tahoma"/>
          <w:sz w:val="26"/>
          <w:szCs w:val="26"/>
        </w:rPr>
        <w:t xml:space="preserve">reconozca </w:t>
      </w:r>
      <w:r w:rsidR="00020FEE" w:rsidRPr="0066049D">
        <w:rPr>
          <w:rFonts w:ascii="Arial Narrow" w:hAnsi="Arial Narrow" w:cs="Tahoma"/>
          <w:sz w:val="26"/>
          <w:szCs w:val="26"/>
        </w:rPr>
        <w:t xml:space="preserve">la calidad de </w:t>
      </w:r>
      <w:r w:rsidR="00E51442" w:rsidRPr="0066049D">
        <w:rPr>
          <w:rFonts w:ascii="Arial Narrow" w:hAnsi="Arial Narrow" w:cs="Tahoma"/>
          <w:sz w:val="26"/>
          <w:szCs w:val="26"/>
        </w:rPr>
        <w:t>beneficiario del régimen de transición previsto en el artí</w:t>
      </w:r>
      <w:r w:rsidR="00020FEE" w:rsidRPr="0066049D">
        <w:rPr>
          <w:rFonts w:ascii="Arial Narrow" w:hAnsi="Arial Narrow" w:cs="Tahoma"/>
          <w:sz w:val="26"/>
          <w:szCs w:val="26"/>
        </w:rPr>
        <w:t>culo 36 de la ley 100 de 1993, y en consecuencia, se declare q</w:t>
      </w:r>
      <w:r w:rsidR="00E51442" w:rsidRPr="0066049D">
        <w:rPr>
          <w:rFonts w:ascii="Arial Narrow" w:hAnsi="Arial Narrow" w:cs="Tahoma"/>
          <w:sz w:val="26"/>
          <w:szCs w:val="26"/>
        </w:rPr>
        <w:t xml:space="preserve">ue tiene derecho </w:t>
      </w:r>
      <w:r w:rsidR="00020FEE" w:rsidRPr="0066049D">
        <w:rPr>
          <w:rFonts w:ascii="Arial Narrow" w:hAnsi="Arial Narrow" w:cs="Arial"/>
          <w:sz w:val="26"/>
          <w:szCs w:val="26"/>
        </w:rPr>
        <w:t>a</w:t>
      </w:r>
      <w:r w:rsidR="00E51442" w:rsidRPr="0066049D">
        <w:rPr>
          <w:rFonts w:ascii="Arial Narrow" w:hAnsi="Arial Narrow" w:cs="Arial"/>
          <w:sz w:val="26"/>
          <w:szCs w:val="26"/>
        </w:rPr>
        <w:t xml:space="preserve"> la pensión de jubilació</w:t>
      </w:r>
      <w:r w:rsidR="00020FEE" w:rsidRPr="0066049D">
        <w:rPr>
          <w:rFonts w:ascii="Arial Narrow" w:hAnsi="Arial Narrow" w:cs="Arial"/>
          <w:sz w:val="26"/>
          <w:szCs w:val="26"/>
        </w:rPr>
        <w:t xml:space="preserve">n prevista en la Ley 33 de 1985, y se condene a la entidad demandada a pagar </w:t>
      </w:r>
      <w:r w:rsidR="00E51442" w:rsidRPr="0066049D">
        <w:rPr>
          <w:rFonts w:ascii="Arial Narrow" w:hAnsi="Arial Narrow" w:cs="Arial"/>
          <w:sz w:val="26"/>
          <w:szCs w:val="26"/>
        </w:rPr>
        <w:t>la prestación económica a partir del 5 de abril de 2011, los intereses moratorios del artículo 141 de la Ley 100 de 1993, la indexación de las sumas reconocidas, y las costas procesales a su favor.</w:t>
      </w:r>
    </w:p>
    <w:p w:rsidR="00020FEE" w:rsidRPr="0066049D" w:rsidRDefault="00020FEE" w:rsidP="0066049D">
      <w:pPr>
        <w:pStyle w:val="Sinespaciado"/>
        <w:spacing w:line="276" w:lineRule="auto"/>
        <w:rPr>
          <w:rFonts w:ascii="Arial Narrow" w:hAnsi="Arial Narrow"/>
          <w:sz w:val="26"/>
          <w:szCs w:val="26"/>
        </w:rPr>
      </w:pPr>
    </w:p>
    <w:p w:rsidR="00550812" w:rsidRPr="0066049D" w:rsidRDefault="00020FEE"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Como fundamento a sus pedimentos, expone que e</w:t>
      </w:r>
      <w:r w:rsidR="00E51442" w:rsidRPr="0066049D">
        <w:rPr>
          <w:rFonts w:ascii="Arial Narrow" w:hAnsi="Arial Narrow" w:cs="Arial"/>
          <w:sz w:val="26"/>
          <w:szCs w:val="26"/>
        </w:rPr>
        <w:t xml:space="preserve">l 30 de enero de 2015 solicitó la pensión de jubilación </w:t>
      </w:r>
      <w:r w:rsidRPr="0066049D">
        <w:rPr>
          <w:rFonts w:ascii="Arial Narrow" w:hAnsi="Arial Narrow" w:cs="Arial"/>
          <w:sz w:val="26"/>
          <w:szCs w:val="26"/>
        </w:rPr>
        <w:t xml:space="preserve">ante la entidad, sin embargo, </w:t>
      </w:r>
      <w:r w:rsidR="00E51442" w:rsidRPr="0066049D">
        <w:rPr>
          <w:rFonts w:ascii="Arial Narrow" w:hAnsi="Arial Narrow" w:cs="Arial"/>
          <w:sz w:val="26"/>
          <w:szCs w:val="26"/>
        </w:rPr>
        <w:t xml:space="preserve">por medio de la resolución Nº 249384 de 16 de agosto de 2015 le fue </w:t>
      </w:r>
      <w:r w:rsidRPr="0066049D">
        <w:rPr>
          <w:rFonts w:ascii="Arial Narrow" w:hAnsi="Arial Narrow" w:cs="Arial"/>
          <w:sz w:val="26"/>
          <w:szCs w:val="26"/>
        </w:rPr>
        <w:t xml:space="preserve">negada; que </w:t>
      </w:r>
      <w:r w:rsidR="00E51442" w:rsidRPr="0066049D">
        <w:rPr>
          <w:rFonts w:ascii="Arial Narrow" w:hAnsi="Arial Narrow" w:cs="Arial"/>
          <w:sz w:val="26"/>
          <w:szCs w:val="26"/>
        </w:rPr>
        <w:t xml:space="preserve">en sentencia de tutela proferida el 8 de septiembre de 2014, el Juzgado Tercero Laboral del Circuito ordenó el traslado del RAIS al RPM; </w:t>
      </w:r>
      <w:r w:rsidRPr="0066049D">
        <w:rPr>
          <w:rFonts w:ascii="Arial Narrow" w:hAnsi="Arial Narrow" w:cs="Arial"/>
          <w:sz w:val="26"/>
          <w:szCs w:val="26"/>
        </w:rPr>
        <w:t xml:space="preserve">que </w:t>
      </w:r>
      <w:r w:rsidR="00E51442" w:rsidRPr="0066049D">
        <w:rPr>
          <w:rFonts w:ascii="Arial Narrow" w:hAnsi="Arial Narrow" w:cs="Arial"/>
          <w:sz w:val="26"/>
          <w:szCs w:val="26"/>
        </w:rPr>
        <w:t xml:space="preserve">a la fecha de entrada en vigencia de la Ley 100 de 1993 acredita más de 750 semanas; </w:t>
      </w:r>
      <w:r w:rsidRPr="0066049D">
        <w:rPr>
          <w:rFonts w:ascii="Arial Narrow" w:hAnsi="Arial Narrow" w:cs="Arial"/>
          <w:sz w:val="26"/>
          <w:szCs w:val="26"/>
        </w:rPr>
        <w:t xml:space="preserve">y que </w:t>
      </w:r>
      <w:r w:rsidR="00E51442" w:rsidRPr="0066049D">
        <w:rPr>
          <w:rFonts w:ascii="Arial Narrow" w:hAnsi="Arial Narrow" w:cs="Arial"/>
          <w:sz w:val="26"/>
          <w:szCs w:val="26"/>
        </w:rPr>
        <w:t xml:space="preserve">el 5 de abril de 2011 cumplió los 55 años de edad, </w:t>
      </w:r>
      <w:r w:rsidRPr="0066049D">
        <w:rPr>
          <w:rFonts w:ascii="Arial Narrow" w:hAnsi="Arial Narrow" w:cs="Arial"/>
          <w:sz w:val="26"/>
          <w:szCs w:val="26"/>
        </w:rPr>
        <w:t xml:space="preserve">por lo que reunió </w:t>
      </w:r>
      <w:r w:rsidR="00E51442" w:rsidRPr="0066049D">
        <w:rPr>
          <w:rFonts w:ascii="Arial Narrow" w:hAnsi="Arial Narrow" w:cs="Arial"/>
          <w:sz w:val="26"/>
          <w:szCs w:val="26"/>
        </w:rPr>
        <w:t>los requisitos establecidos en la Ley 33 de 1985.</w:t>
      </w:r>
    </w:p>
    <w:p w:rsidR="0008418A" w:rsidRPr="0066049D" w:rsidRDefault="0008418A" w:rsidP="0066049D">
      <w:pPr>
        <w:pStyle w:val="Sinespaciado"/>
        <w:spacing w:line="276" w:lineRule="auto"/>
        <w:rPr>
          <w:rFonts w:ascii="Arial Narrow" w:hAnsi="Arial Narrow"/>
          <w:sz w:val="26"/>
          <w:szCs w:val="26"/>
        </w:rPr>
      </w:pPr>
    </w:p>
    <w:p w:rsidR="00020FEE" w:rsidRPr="0066049D" w:rsidRDefault="00020FEE" w:rsidP="0066049D">
      <w:pPr>
        <w:spacing w:line="276" w:lineRule="auto"/>
        <w:ind w:firstLine="567"/>
        <w:jc w:val="both"/>
        <w:rPr>
          <w:rFonts w:ascii="Arial Narrow" w:hAnsi="Arial Narrow" w:cs="Arial"/>
          <w:sz w:val="26"/>
          <w:szCs w:val="26"/>
        </w:rPr>
      </w:pPr>
      <w:r w:rsidRPr="0066049D">
        <w:rPr>
          <w:rFonts w:ascii="Arial Narrow" w:hAnsi="Arial Narrow" w:cs="Arial"/>
          <w:sz w:val="26"/>
          <w:szCs w:val="26"/>
        </w:rPr>
        <w:t>Admitida la demanda, Colpensiones</w:t>
      </w:r>
      <w:r w:rsidR="00550812" w:rsidRPr="0066049D">
        <w:rPr>
          <w:rFonts w:ascii="Arial Narrow" w:hAnsi="Arial Narrow" w:cs="Arial"/>
          <w:sz w:val="26"/>
          <w:szCs w:val="26"/>
        </w:rPr>
        <w:t xml:space="preserve"> </w:t>
      </w:r>
      <w:r w:rsidR="00290B20" w:rsidRPr="0066049D">
        <w:rPr>
          <w:rFonts w:ascii="Arial Narrow" w:hAnsi="Arial Narrow" w:cs="Arial"/>
          <w:sz w:val="26"/>
          <w:szCs w:val="26"/>
        </w:rPr>
        <w:t xml:space="preserve">se </w:t>
      </w:r>
      <w:r w:rsidR="00550812" w:rsidRPr="0066049D">
        <w:rPr>
          <w:rFonts w:ascii="Arial Narrow" w:hAnsi="Arial Narrow" w:cs="Arial"/>
          <w:sz w:val="26"/>
          <w:szCs w:val="26"/>
        </w:rPr>
        <w:t>opuso a las pretensiones y for</w:t>
      </w:r>
      <w:r w:rsidR="00290B20" w:rsidRPr="0066049D">
        <w:rPr>
          <w:rFonts w:ascii="Arial Narrow" w:hAnsi="Arial Narrow" w:cs="Arial"/>
          <w:sz w:val="26"/>
          <w:szCs w:val="26"/>
        </w:rPr>
        <w:t xml:space="preserve">muló las excepciones de mérito </w:t>
      </w:r>
      <w:r w:rsidR="00550812" w:rsidRPr="0066049D">
        <w:rPr>
          <w:rFonts w:ascii="Arial Narrow" w:hAnsi="Arial Narrow" w:cs="Arial"/>
          <w:sz w:val="26"/>
          <w:szCs w:val="26"/>
        </w:rPr>
        <w:t>“Inexistencia del derech</w:t>
      </w:r>
      <w:r w:rsidRPr="0066049D">
        <w:rPr>
          <w:rFonts w:ascii="Arial Narrow" w:hAnsi="Arial Narrow" w:cs="Arial"/>
          <w:sz w:val="26"/>
          <w:szCs w:val="26"/>
        </w:rPr>
        <w:t xml:space="preserve">o”, “Buena fe” y “Prescripción”, </w:t>
      </w:r>
      <w:r w:rsidR="00290B20" w:rsidRPr="0066049D">
        <w:rPr>
          <w:rFonts w:ascii="Arial Narrow" w:hAnsi="Arial Narrow" w:cs="Arial"/>
          <w:sz w:val="26"/>
          <w:szCs w:val="26"/>
        </w:rPr>
        <w:t>fls.80-83-</w:t>
      </w:r>
    </w:p>
    <w:p w:rsidR="00290B20" w:rsidRPr="0066049D" w:rsidRDefault="00290B20" w:rsidP="0066049D">
      <w:pPr>
        <w:spacing w:line="276" w:lineRule="auto"/>
        <w:ind w:firstLine="567"/>
        <w:jc w:val="both"/>
        <w:rPr>
          <w:rFonts w:ascii="Arial Narrow" w:hAnsi="Arial Narrow" w:cs="Tahoma"/>
          <w:sz w:val="26"/>
          <w:szCs w:val="26"/>
        </w:rPr>
      </w:pPr>
    </w:p>
    <w:p w:rsidR="00E6091F" w:rsidRPr="0066049D" w:rsidRDefault="00E6091F" w:rsidP="0066049D">
      <w:pPr>
        <w:shd w:val="clear" w:color="auto" w:fill="FFFFFF"/>
        <w:spacing w:line="276" w:lineRule="auto"/>
        <w:ind w:firstLine="851"/>
        <w:jc w:val="both"/>
        <w:rPr>
          <w:rFonts w:ascii="Arial Narrow" w:hAnsi="Arial Narrow" w:cs="Tahoma"/>
          <w:b/>
          <w:i/>
          <w:sz w:val="26"/>
          <w:szCs w:val="26"/>
        </w:rPr>
      </w:pPr>
      <w:r w:rsidRPr="0066049D">
        <w:rPr>
          <w:rFonts w:ascii="Arial Narrow" w:hAnsi="Arial Narrow" w:cs="Tahoma"/>
          <w:b/>
          <w:i/>
          <w:sz w:val="26"/>
          <w:szCs w:val="26"/>
        </w:rPr>
        <w:t>SENTENCIA DE PRIMERA INSTANCIA</w:t>
      </w:r>
    </w:p>
    <w:p w:rsidR="00550812" w:rsidRPr="0066049D" w:rsidRDefault="00550812" w:rsidP="0066049D">
      <w:pPr>
        <w:pStyle w:val="Sinespaciado"/>
        <w:spacing w:line="276" w:lineRule="auto"/>
        <w:rPr>
          <w:rFonts w:ascii="Arial Narrow" w:hAnsi="Arial Narrow"/>
          <w:sz w:val="26"/>
          <w:szCs w:val="26"/>
        </w:rPr>
      </w:pPr>
    </w:p>
    <w:p w:rsidR="00550812" w:rsidRPr="0066049D" w:rsidRDefault="00550812"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 xml:space="preserve">En sentencia de 26 de octubre de 2018, la funcionaria de primer grado después de establecer que </w:t>
      </w:r>
      <w:r w:rsidR="00290B20" w:rsidRPr="0066049D">
        <w:rPr>
          <w:rFonts w:ascii="Arial Narrow" w:hAnsi="Arial Narrow" w:cs="Arial"/>
          <w:sz w:val="26"/>
          <w:szCs w:val="26"/>
        </w:rPr>
        <w:t xml:space="preserve">el actor </w:t>
      </w:r>
      <w:r w:rsidR="00020FEE" w:rsidRPr="0066049D">
        <w:rPr>
          <w:rFonts w:ascii="Arial Narrow" w:hAnsi="Arial Narrow" w:cs="Arial"/>
          <w:sz w:val="26"/>
          <w:szCs w:val="26"/>
        </w:rPr>
        <w:t xml:space="preserve">era beneficiario del </w:t>
      </w:r>
      <w:r w:rsidRPr="0066049D">
        <w:rPr>
          <w:rFonts w:ascii="Arial Narrow" w:hAnsi="Arial Narrow" w:cs="Arial"/>
          <w:sz w:val="26"/>
          <w:szCs w:val="26"/>
        </w:rPr>
        <w:t>régimen de transición dispuesto en el artículo 36 de la Ley 100 de 1993</w:t>
      </w:r>
      <w:r w:rsidR="00020FEE" w:rsidRPr="0066049D">
        <w:rPr>
          <w:rFonts w:ascii="Arial Narrow" w:hAnsi="Arial Narrow" w:cs="Arial"/>
          <w:sz w:val="26"/>
          <w:szCs w:val="26"/>
        </w:rPr>
        <w:t xml:space="preserve">, pese haberse </w:t>
      </w:r>
      <w:r w:rsidRPr="0066049D">
        <w:rPr>
          <w:rFonts w:ascii="Arial Narrow" w:hAnsi="Arial Narrow" w:cs="Arial"/>
          <w:sz w:val="26"/>
          <w:szCs w:val="26"/>
        </w:rPr>
        <w:t xml:space="preserve">trasladado al RAIS, debido a que así se había determinado </w:t>
      </w:r>
      <w:r w:rsidRPr="0066049D">
        <w:rPr>
          <w:rFonts w:ascii="Arial Narrow" w:hAnsi="Arial Narrow" w:cs="Arial"/>
          <w:sz w:val="26"/>
          <w:szCs w:val="26"/>
        </w:rPr>
        <w:lastRenderedPageBreak/>
        <w:t xml:space="preserve">en sede de tutela al haberse demostrado que él tenía 15 años de servicios a 1º de abril de 1994; concluyó que no era posible reconocer </w:t>
      </w:r>
      <w:r w:rsidR="00020FEE" w:rsidRPr="0066049D">
        <w:rPr>
          <w:rFonts w:ascii="Arial Narrow" w:hAnsi="Arial Narrow" w:cs="Arial"/>
          <w:sz w:val="26"/>
          <w:szCs w:val="26"/>
        </w:rPr>
        <w:t xml:space="preserve">a su favor la pensión reclamada, dado que no acredita </w:t>
      </w:r>
      <w:r w:rsidRPr="0066049D">
        <w:rPr>
          <w:rFonts w:ascii="Arial Narrow" w:hAnsi="Arial Narrow" w:cs="Arial"/>
          <w:sz w:val="26"/>
          <w:szCs w:val="26"/>
        </w:rPr>
        <w:t xml:space="preserve">el tiempo </w:t>
      </w:r>
      <w:r w:rsidR="00020FEE" w:rsidRPr="0066049D">
        <w:rPr>
          <w:rFonts w:ascii="Arial Narrow" w:hAnsi="Arial Narrow" w:cs="Arial"/>
          <w:sz w:val="26"/>
          <w:szCs w:val="26"/>
        </w:rPr>
        <w:t xml:space="preserve">de servicios exigido en la Ley 33 de 1985, motivo por el que </w:t>
      </w:r>
      <w:r w:rsidRPr="0066049D">
        <w:rPr>
          <w:rFonts w:ascii="Arial Narrow" w:hAnsi="Arial Narrow" w:cs="Arial"/>
          <w:sz w:val="26"/>
          <w:szCs w:val="26"/>
        </w:rPr>
        <w:t xml:space="preserve">absolvió a </w:t>
      </w:r>
      <w:r w:rsidR="00020FEE" w:rsidRPr="0066049D">
        <w:rPr>
          <w:rFonts w:ascii="Arial Narrow" w:hAnsi="Arial Narrow" w:cs="Arial"/>
          <w:sz w:val="26"/>
          <w:szCs w:val="26"/>
        </w:rPr>
        <w:t xml:space="preserve">la entidad de las </w:t>
      </w:r>
      <w:r w:rsidRPr="0066049D">
        <w:rPr>
          <w:rFonts w:ascii="Arial Narrow" w:hAnsi="Arial Narrow" w:cs="Arial"/>
          <w:sz w:val="26"/>
          <w:szCs w:val="26"/>
        </w:rPr>
        <w:t>pretensiones.</w:t>
      </w:r>
    </w:p>
    <w:p w:rsidR="00550812" w:rsidRPr="0066049D" w:rsidRDefault="00550812" w:rsidP="0066049D">
      <w:pPr>
        <w:spacing w:line="276" w:lineRule="auto"/>
        <w:jc w:val="both"/>
        <w:rPr>
          <w:rFonts w:ascii="Arial Narrow" w:hAnsi="Arial Narrow" w:cs="Arial"/>
          <w:sz w:val="26"/>
          <w:szCs w:val="26"/>
        </w:rPr>
      </w:pPr>
    </w:p>
    <w:p w:rsidR="002F0E76" w:rsidRPr="0066049D" w:rsidRDefault="002F0E76" w:rsidP="0066049D">
      <w:pPr>
        <w:tabs>
          <w:tab w:val="left" w:pos="0"/>
          <w:tab w:val="left" w:pos="8647"/>
        </w:tabs>
        <w:suppressAutoHyphens/>
        <w:spacing w:line="276" w:lineRule="auto"/>
        <w:ind w:firstLine="900"/>
        <w:jc w:val="both"/>
        <w:rPr>
          <w:rFonts w:ascii="Arial Narrow" w:hAnsi="Arial Narrow" w:cs="Tahoma"/>
          <w:b/>
          <w:i/>
          <w:sz w:val="26"/>
          <w:szCs w:val="26"/>
        </w:rPr>
      </w:pPr>
      <w:r w:rsidRPr="0066049D">
        <w:rPr>
          <w:rFonts w:ascii="Arial Narrow" w:hAnsi="Arial Narrow" w:cs="Tahoma"/>
          <w:b/>
          <w:i/>
          <w:sz w:val="26"/>
          <w:szCs w:val="26"/>
        </w:rPr>
        <w:t xml:space="preserve">CONSULTA </w:t>
      </w:r>
    </w:p>
    <w:p w:rsidR="002F0E76" w:rsidRPr="0066049D" w:rsidRDefault="002F0E76" w:rsidP="0066049D">
      <w:pPr>
        <w:pStyle w:val="Sinespaciado"/>
        <w:spacing w:line="276" w:lineRule="auto"/>
        <w:rPr>
          <w:rFonts w:ascii="Arial Narrow" w:hAnsi="Arial Narrow"/>
          <w:sz w:val="26"/>
          <w:szCs w:val="26"/>
        </w:rPr>
      </w:pPr>
    </w:p>
    <w:p w:rsidR="00E6091F" w:rsidRPr="0066049D" w:rsidRDefault="002F0E76" w:rsidP="0066049D">
      <w:pPr>
        <w:shd w:val="clear" w:color="auto" w:fill="FFFFFF"/>
        <w:spacing w:line="276" w:lineRule="auto"/>
        <w:ind w:firstLine="708"/>
        <w:jc w:val="both"/>
        <w:rPr>
          <w:rFonts w:ascii="Arial Narrow" w:hAnsi="Arial Narrow" w:cs="Tahoma"/>
          <w:iCs/>
          <w:color w:val="000000"/>
          <w:sz w:val="26"/>
          <w:szCs w:val="26"/>
          <w:lang w:val="es-MX" w:eastAsia="es-CO"/>
        </w:rPr>
      </w:pPr>
      <w:r w:rsidRPr="0066049D">
        <w:rPr>
          <w:rFonts w:ascii="Arial Narrow" w:hAnsi="Arial Narrow" w:cs="Tahoma"/>
          <w:iCs/>
          <w:color w:val="000000"/>
          <w:sz w:val="26"/>
          <w:szCs w:val="26"/>
          <w:lang w:val="es-MX" w:eastAsia="es-CO"/>
        </w:rPr>
        <w:t xml:space="preserve">Dado que la decisión fue adversa a los intereses del demandante, se remitió ante esta Sala para que se surta el grado jurisdiccional de consulta a su favor, tal como lo manda el artículo 69 del C.P.T </w:t>
      </w:r>
    </w:p>
    <w:p w:rsidR="00862EF2" w:rsidRPr="0066049D" w:rsidRDefault="00862EF2" w:rsidP="0066049D">
      <w:pPr>
        <w:pStyle w:val="Sinespaciado"/>
        <w:spacing w:line="276" w:lineRule="auto"/>
        <w:rPr>
          <w:rFonts w:ascii="Arial Narrow" w:hAnsi="Arial Narrow"/>
          <w:sz w:val="26"/>
          <w:szCs w:val="26"/>
          <w:lang w:val="es-MX" w:eastAsia="es-CO"/>
        </w:rPr>
      </w:pPr>
    </w:p>
    <w:p w:rsidR="00862EF2" w:rsidRPr="0066049D" w:rsidRDefault="00862EF2" w:rsidP="0066049D">
      <w:pPr>
        <w:shd w:val="clear" w:color="auto" w:fill="FFFFFF"/>
        <w:spacing w:line="276" w:lineRule="auto"/>
        <w:ind w:firstLine="708"/>
        <w:jc w:val="both"/>
        <w:rPr>
          <w:rFonts w:ascii="Arial Narrow" w:hAnsi="Arial Narrow" w:cs="Tahoma"/>
          <w:b/>
          <w:i/>
          <w:iCs/>
          <w:color w:val="000000"/>
          <w:sz w:val="26"/>
          <w:szCs w:val="26"/>
          <w:lang w:val="es-MX" w:eastAsia="es-CO"/>
        </w:rPr>
      </w:pPr>
      <w:r w:rsidRPr="0066049D">
        <w:rPr>
          <w:rFonts w:ascii="Arial Narrow" w:hAnsi="Arial Narrow" w:cs="Tahoma"/>
          <w:b/>
          <w:i/>
          <w:iCs/>
          <w:color w:val="000000"/>
          <w:sz w:val="26"/>
          <w:szCs w:val="26"/>
          <w:lang w:val="es-MX" w:eastAsia="es-CO"/>
        </w:rPr>
        <w:t>Alegatos en esta instancia:</w:t>
      </w:r>
    </w:p>
    <w:p w:rsidR="00862EF2" w:rsidRPr="0066049D" w:rsidRDefault="00862EF2" w:rsidP="0066049D">
      <w:pPr>
        <w:pStyle w:val="Sinespaciado"/>
        <w:spacing w:line="276" w:lineRule="auto"/>
        <w:rPr>
          <w:rFonts w:ascii="Arial Narrow" w:hAnsi="Arial Narrow"/>
          <w:sz w:val="26"/>
          <w:szCs w:val="26"/>
        </w:rPr>
      </w:pPr>
    </w:p>
    <w:p w:rsidR="00862EF2" w:rsidRPr="0066049D" w:rsidRDefault="00862EF2" w:rsidP="0066049D">
      <w:pPr>
        <w:spacing w:line="276" w:lineRule="auto"/>
        <w:ind w:firstLine="851"/>
        <w:jc w:val="both"/>
        <w:rPr>
          <w:rFonts w:ascii="Arial Narrow" w:hAnsi="Arial Narrow" w:cs="Tahoma"/>
          <w:sz w:val="26"/>
          <w:szCs w:val="26"/>
        </w:rPr>
      </w:pPr>
      <w:r w:rsidRPr="0066049D">
        <w:rPr>
          <w:rFonts w:ascii="Arial Narrow" w:hAnsi="Arial Narrow" w:cs="Tahoma"/>
          <w:sz w:val="26"/>
          <w:szCs w:val="26"/>
        </w:rPr>
        <w:t>En este estado de la diligencia y antes de que la Colegiatura, de respuesta a los problemas jurídicos planteados, con el propósito de desatar el grado de consulta, se corre traslado por el término de 8 minutos para alegar, a cada uno de los voceros judiciales de las partes asistentes</w:t>
      </w:r>
      <w:r w:rsidR="00290B20" w:rsidRPr="0066049D">
        <w:rPr>
          <w:rFonts w:ascii="Arial Narrow" w:hAnsi="Arial Narrow" w:cs="Tahoma"/>
          <w:sz w:val="26"/>
          <w:szCs w:val="26"/>
        </w:rPr>
        <w:t xml:space="preserve"> a la audiencia</w:t>
      </w:r>
      <w:r w:rsidRPr="0066049D">
        <w:rPr>
          <w:rFonts w:ascii="Arial Narrow" w:hAnsi="Arial Narrow" w:cs="Tahoma"/>
          <w:sz w:val="26"/>
          <w:szCs w:val="26"/>
        </w:rPr>
        <w:t xml:space="preserve">. Escuchadas las anteriores intervenciones que en síntesis reflejan los mismos puntos debatidos por los integrantes de la Sala, se procede a decidir de fondo, previa las siguientes: </w:t>
      </w:r>
    </w:p>
    <w:p w:rsidR="00E6091F" w:rsidRPr="0066049D" w:rsidRDefault="00E6091F" w:rsidP="0066049D">
      <w:pPr>
        <w:shd w:val="clear" w:color="auto" w:fill="FFFFFF"/>
        <w:spacing w:line="276" w:lineRule="auto"/>
        <w:jc w:val="both"/>
        <w:rPr>
          <w:rFonts w:ascii="Arial Narrow" w:hAnsi="Arial Narrow" w:cs="Tahoma"/>
          <w:iCs/>
          <w:color w:val="000000"/>
          <w:sz w:val="26"/>
          <w:szCs w:val="26"/>
          <w:highlight w:val="yellow"/>
          <w:lang w:val="es-MX" w:eastAsia="es-CO"/>
        </w:rPr>
      </w:pPr>
    </w:p>
    <w:p w:rsidR="00E6091F" w:rsidRPr="0066049D" w:rsidRDefault="00E6091F" w:rsidP="0066049D">
      <w:pPr>
        <w:shd w:val="clear" w:color="auto" w:fill="FFFFFF"/>
        <w:spacing w:line="276" w:lineRule="auto"/>
        <w:ind w:firstLine="851"/>
        <w:jc w:val="both"/>
        <w:rPr>
          <w:rFonts w:ascii="Arial Narrow" w:hAnsi="Arial Narrow" w:cs="Tahoma"/>
          <w:b/>
          <w:i/>
          <w:iCs/>
          <w:color w:val="000000"/>
          <w:sz w:val="26"/>
          <w:szCs w:val="26"/>
          <w:lang w:val="es-MX" w:eastAsia="es-CO"/>
        </w:rPr>
      </w:pPr>
      <w:r w:rsidRPr="0066049D">
        <w:rPr>
          <w:rFonts w:ascii="Arial Narrow" w:hAnsi="Arial Narrow" w:cs="Tahoma"/>
          <w:b/>
          <w:i/>
          <w:iCs/>
          <w:color w:val="000000"/>
          <w:sz w:val="26"/>
          <w:szCs w:val="26"/>
          <w:lang w:val="es-MX" w:eastAsia="es-CO"/>
        </w:rPr>
        <w:t>CONSIDERACIONES</w:t>
      </w:r>
    </w:p>
    <w:p w:rsidR="00E6091F" w:rsidRPr="0066049D" w:rsidRDefault="00E6091F" w:rsidP="0066049D">
      <w:pPr>
        <w:pStyle w:val="Sinespaciado"/>
        <w:spacing w:line="276" w:lineRule="auto"/>
        <w:rPr>
          <w:rFonts w:ascii="Arial Narrow" w:hAnsi="Arial Narrow"/>
          <w:sz w:val="26"/>
          <w:szCs w:val="26"/>
        </w:rPr>
      </w:pPr>
    </w:p>
    <w:p w:rsidR="00E6091F" w:rsidRPr="0066049D" w:rsidRDefault="00E6091F" w:rsidP="0066049D">
      <w:pPr>
        <w:shd w:val="clear" w:color="auto" w:fill="FFFFFF"/>
        <w:tabs>
          <w:tab w:val="left" w:pos="5197"/>
        </w:tabs>
        <w:spacing w:line="276" w:lineRule="auto"/>
        <w:ind w:firstLine="851"/>
        <w:jc w:val="both"/>
        <w:rPr>
          <w:rFonts w:ascii="Arial Narrow" w:hAnsi="Arial Narrow" w:cs="Tahoma"/>
          <w:b/>
          <w:i/>
          <w:sz w:val="26"/>
          <w:szCs w:val="26"/>
        </w:rPr>
      </w:pPr>
      <w:r w:rsidRPr="0066049D">
        <w:rPr>
          <w:rFonts w:ascii="Arial Narrow" w:hAnsi="Arial Narrow" w:cs="Tahoma"/>
          <w:b/>
          <w:i/>
          <w:sz w:val="26"/>
          <w:szCs w:val="26"/>
        </w:rPr>
        <w:t>Del problema jurídico.</w:t>
      </w:r>
    </w:p>
    <w:p w:rsidR="00E6091F" w:rsidRPr="0066049D" w:rsidRDefault="00E6091F" w:rsidP="0066049D">
      <w:pPr>
        <w:pStyle w:val="Sinespaciado"/>
        <w:spacing w:line="276" w:lineRule="auto"/>
        <w:rPr>
          <w:rFonts w:ascii="Arial Narrow" w:hAnsi="Arial Narrow"/>
          <w:sz w:val="26"/>
          <w:szCs w:val="26"/>
        </w:rPr>
      </w:pPr>
    </w:p>
    <w:p w:rsidR="00E6091F" w:rsidRPr="0066049D" w:rsidRDefault="00E6091F" w:rsidP="0066049D">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66049D">
        <w:rPr>
          <w:rFonts w:ascii="Arial Narrow" w:hAnsi="Arial Narrow" w:cs="Tahoma"/>
          <w:color w:val="000000"/>
          <w:sz w:val="26"/>
          <w:szCs w:val="26"/>
          <w:lang w:eastAsia="es-CO"/>
        </w:rPr>
        <w:t xml:space="preserve">En orden a resolver </w:t>
      </w:r>
      <w:r w:rsidR="00020FEE" w:rsidRPr="0066049D">
        <w:rPr>
          <w:rFonts w:ascii="Arial Narrow" w:hAnsi="Arial Narrow" w:cs="Tahoma"/>
          <w:color w:val="000000"/>
          <w:sz w:val="26"/>
          <w:szCs w:val="26"/>
          <w:lang w:eastAsia="es-CO"/>
        </w:rPr>
        <w:t>la instancia</w:t>
      </w:r>
      <w:r w:rsidRPr="0066049D">
        <w:rPr>
          <w:rFonts w:ascii="Arial Narrow" w:hAnsi="Arial Narrow" w:cs="Tahoma"/>
          <w:color w:val="000000"/>
          <w:sz w:val="26"/>
          <w:szCs w:val="26"/>
          <w:lang w:eastAsia="es-CO"/>
        </w:rPr>
        <w:t>, esta Sala plantea los siguientes interrogantes:</w:t>
      </w:r>
    </w:p>
    <w:p w:rsidR="00F30854" w:rsidRPr="0066049D" w:rsidRDefault="00F30854" w:rsidP="0066049D">
      <w:pPr>
        <w:pStyle w:val="Sinespaciado"/>
        <w:spacing w:line="276" w:lineRule="auto"/>
        <w:rPr>
          <w:rFonts w:ascii="Arial Narrow" w:hAnsi="Arial Narrow"/>
          <w:sz w:val="26"/>
          <w:szCs w:val="26"/>
        </w:rPr>
      </w:pPr>
    </w:p>
    <w:p w:rsidR="00305E19" w:rsidRPr="0066049D" w:rsidRDefault="00550812" w:rsidP="0066049D">
      <w:pPr>
        <w:shd w:val="clear" w:color="auto" w:fill="FFFFFF"/>
        <w:tabs>
          <w:tab w:val="left" w:pos="5197"/>
        </w:tabs>
        <w:spacing w:line="276" w:lineRule="auto"/>
        <w:ind w:firstLine="851"/>
        <w:jc w:val="both"/>
        <w:rPr>
          <w:rFonts w:ascii="Arial Narrow" w:hAnsi="Arial Narrow" w:cs="Tahoma"/>
          <w:i/>
          <w:sz w:val="26"/>
          <w:szCs w:val="26"/>
          <w:lang w:eastAsia="es-CO"/>
        </w:rPr>
      </w:pPr>
      <w:r w:rsidRPr="0066049D">
        <w:rPr>
          <w:rFonts w:ascii="Arial Narrow" w:hAnsi="Arial Narrow" w:cs="Tahoma"/>
          <w:i/>
          <w:sz w:val="26"/>
          <w:szCs w:val="26"/>
          <w:lang w:eastAsia="es-CO"/>
        </w:rPr>
        <w:t>¿Acredita el señor Oscar Betancur Colorado los requisitos exigidos para que se le reconozca la pensión de jubilación que reclama?</w:t>
      </w:r>
    </w:p>
    <w:p w:rsidR="00550812" w:rsidRPr="0066049D" w:rsidRDefault="00550812" w:rsidP="0066049D">
      <w:pPr>
        <w:shd w:val="clear" w:color="auto" w:fill="FFFFFF"/>
        <w:tabs>
          <w:tab w:val="left" w:pos="5197"/>
        </w:tabs>
        <w:spacing w:line="276" w:lineRule="auto"/>
        <w:ind w:firstLine="851"/>
        <w:jc w:val="both"/>
        <w:rPr>
          <w:rFonts w:ascii="Arial Narrow" w:hAnsi="Arial Narrow" w:cs="Tahoma"/>
          <w:i/>
          <w:sz w:val="26"/>
          <w:szCs w:val="26"/>
          <w:highlight w:val="yellow"/>
          <w:lang w:eastAsia="es-CO"/>
        </w:rPr>
      </w:pPr>
    </w:p>
    <w:p w:rsidR="00E6091F" w:rsidRPr="0066049D" w:rsidRDefault="00E6091F" w:rsidP="0066049D">
      <w:pPr>
        <w:pStyle w:val="Sinespaciado"/>
        <w:spacing w:line="276" w:lineRule="auto"/>
        <w:ind w:firstLine="708"/>
        <w:jc w:val="both"/>
        <w:rPr>
          <w:rFonts w:ascii="Arial Narrow" w:hAnsi="Arial Narrow"/>
          <w:b/>
          <w:i/>
          <w:sz w:val="26"/>
          <w:szCs w:val="26"/>
          <w:lang w:eastAsia="en-US"/>
        </w:rPr>
      </w:pPr>
      <w:r w:rsidRPr="0066049D">
        <w:rPr>
          <w:rFonts w:ascii="Arial Narrow" w:hAnsi="Arial Narrow"/>
          <w:b/>
          <w:i/>
          <w:sz w:val="26"/>
          <w:szCs w:val="26"/>
          <w:lang w:eastAsia="en-US"/>
        </w:rPr>
        <w:t>Desenvolvimiento de la problemática planteada</w:t>
      </w:r>
    </w:p>
    <w:p w:rsidR="00862EF2" w:rsidRPr="0066049D" w:rsidRDefault="00862EF2" w:rsidP="0066049D">
      <w:pPr>
        <w:pStyle w:val="Sinespaciado"/>
        <w:spacing w:line="276" w:lineRule="auto"/>
        <w:rPr>
          <w:rFonts w:ascii="Arial Narrow" w:hAnsi="Arial Narrow"/>
          <w:sz w:val="26"/>
          <w:szCs w:val="26"/>
        </w:rPr>
      </w:pPr>
    </w:p>
    <w:p w:rsidR="00862EF2" w:rsidRPr="0066049D" w:rsidRDefault="00862EF2" w:rsidP="0066049D">
      <w:pPr>
        <w:pStyle w:val="Sinespaciado"/>
        <w:spacing w:line="276" w:lineRule="auto"/>
        <w:ind w:firstLine="708"/>
        <w:jc w:val="both"/>
        <w:rPr>
          <w:rFonts w:ascii="Arial Narrow" w:hAnsi="Arial Narrow"/>
          <w:sz w:val="26"/>
          <w:szCs w:val="26"/>
        </w:rPr>
      </w:pPr>
      <w:r w:rsidRPr="0066049D">
        <w:rPr>
          <w:rFonts w:ascii="Arial Narrow" w:hAnsi="Arial Narrow" w:cs="Arial"/>
          <w:sz w:val="26"/>
          <w:szCs w:val="26"/>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66049D">
        <w:rPr>
          <w:rFonts w:ascii="Arial Narrow" w:hAnsi="Arial Narrow"/>
          <w:sz w:val="26"/>
          <w:szCs w:val="26"/>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66049D">
        <w:rPr>
          <w:rFonts w:ascii="Arial Narrow" w:hAnsi="Arial Narrow"/>
          <w:sz w:val="26"/>
          <w:szCs w:val="26"/>
        </w:rPr>
        <w:t>ó</w:t>
      </w:r>
      <w:proofErr w:type="spellEnd"/>
      <w:r w:rsidRPr="0066049D">
        <w:rPr>
          <w:rFonts w:ascii="Arial Narrow" w:hAnsi="Arial Narrow"/>
          <w:sz w:val="26"/>
          <w:szCs w:val="26"/>
        </w:rPr>
        <w:t xml:space="preserve"> más años de edad en el caso de los hombres o 35 años o más en el caso de las mujeres; o 15 </w:t>
      </w:r>
      <w:proofErr w:type="spellStart"/>
      <w:r w:rsidRPr="0066049D">
        <w:rPr>
          <w:rFonts w:ascii="Arial Narrow" w:hAnsi="Arial Narrow"/>
          <w:sz w:val="26"/>
          <w:szCs w:val="26"/>
        </w:rPr>
        <w:t>ó</w:t>
      </w:r>
      <w:proofErr w:type="spellEnd"/>
      <w:r w:rsidRPr="0066049D">
        <w:rPr>
          <w:rFonts w:ascii="Arial Narrow" w:hAnsi="Arial Narrow"/>
          <w:sz w:val="26"/>
          <w:szCs w:val="26"/>
        </w:rPr>
        <w:t xml:space="preserve"> más años de servicios cotizados, podrían alcanzar la pensión de vejez o de jubilación con los requisitos de edad, tiempo de servicios y monto, del régimen que se les venía aplicando con anterioridad a esa fecha.</w:t>
      </w:r>
    </w:p>
    <w:p w:rsidR="008C5637" w:rsidRPr="0066049D" w:rsidRDefault="008C5637" w:rsidP="0066049D">
      <w:pPr>
        <w:pStyle w:val="Sinespaciado"/>
        <w:spacing w:line="276" w:lineRule="auto"/>
        <w:rPr>
          <w:rFonts w:ascii="Arial Narrow" w:hAnsi="Arial Narrow"/>
          <w:sz w:val="26"/>
          <w:szCs w:val="26"/>
        </w:rPr>
      </w:pPr>
    </w:p>
    <w:p w:rsidR="008C5637" w:rsidRPr="0066049D" w:rsidRDefault="008C5637" w:rsidP="0066049D">
      <w:pPr>
        <w:pStyle w:val="Sinespaciado"/>
        <w:spacing w:line="276" w:lineRule="auto"/>
        <w:ind w:firstLine="708"/>
        <w:jc w:val="both"/>
        <w:rPr>
          <w:rFonts w:ascii="Arial Narrow" w:hAnsi="Arial Narrow"/>
          <w:sz w:val="26"/>
          <w:szCs w:val="26"/>
        </w:rPr>
      </w:pPr>
      <w:r w:rsidRPr="0066049D">
        <w:rPr>
          <w:rFonts w:ascii="Arial Narrow" w:hAnsi="Arial Narrow"/>
          <w:sz w:val="26"/>
          <w:szCs w:val="26"/>
        </w:rPr>
        <w:t xml:space="preserve">Respecto a este punto, no milita duda alguna en torno a que el demandante es beneficiario del régimen de transición en comento, toda vez que la sentencia de tutela proferida el 8 de septiembre de 2014 por el Juzgado Tercero Laboral del Circuito de Pereira – fl.21, no sólo ordenó el traslado de régimen pensional del actor del RAIS al </w:t>
      </w:r>
      <w:proofErr w:type="spellStart"/>
      <w:r w:rsidRPr="0066049D">
        <w:rPr>
          <w:rFonts w:ascii="Arial Narrow" w:hAnsi="Arial Narrow"/>
          <w:sz w:val="26"/>
          <w:szCs w:val="26"/>
        </w:rPr>
        <w:t>RMP</w:t>
      </w:r>
      <w:proofErr w:type="spellEnd"/>
      <w:r w:rsidRPr="0066049D">
        <w:rPr>
          <w:rFonts w:ascii="Arial Narrow" w:hAnsi="Arial Narrow"/>
          <w:sz w:val="26"/>
          <w:szCs w:val="26"/>
        </w:rPr>
        <w:t xml:space="preserve">, sino que advirtió que </w:t>
      </w:r>
      <w:r w:rsidRPr="0066049D">
        <w:rPr>
          <w:rFonts w:ascii="Arial Narrow" w:hAnsi="Arial Narrow"/>
          <w:sz w:val="26"/>
          <w:szCs w:val="26"/>
        </w:rPr>
        <w:lastRenderedPageBreak/>
        <w:t xml:space="preserve">conservaba tal beneficio transitivo, por contar con más de  15 años de servicios al 1º de abril de 1994. </w:t>
      </w:r>
    </w:p>
    <w:p w:rsidR="008C5637" w:rsidRPr="0066049D" w:rsidRDefault="008C5637" w:rsidP="0066049D">
      <w:pPr>
        <w:pStyle w:val="Sinespaciado"/>
        <w:spacing w:line="276" w:lineRule="auto"/>
        <w:rPr>
          <w:rFonts w:ascii="Arial Narrow" w:hAnsi="Arial Narrow"/>
          <w:sz w:val="26"/>
          <w:szCs w:val="26"/>
        </w:rPr>
      </w:pPr>
    </w:p>
    <w:p w:rsidR="00862EF2" w:rsidRPr="0066049D" w:rsidRDefault="00862EF2" w:rsidP="0066049D">
      <w:pPr>
        <w:pStyle w:val="Sinespaciado"/>
        <w:spacing w:line="276" w:lineRule="auto"/>
        <w:ind w:firstLine="708"/>
        <w:jc w:val="both"/>
        <w:rPr>
          <w:rFonts w:ascii="Arial Narrow" w:hAnsi="Arial Narrow" w:cs="Tahoma"/>
          <w:bCs/>
          <w:iCs/>
          <w:sz w:val="26"/>
          <w:szCs w:val="26"/>
        </w:rPr>
      </w:pPr>
      <w:r w:rsidRPr="0066049D">
        <w:rPr>
          <w:rFonts w:ascii="Arial Narrow" w:hAnsi="Arial Narrow" w:cs="Tahoma"/>
          <w:bCs/>
          <w:iCs/>
          <w:sz w:val="26"/>
          <w:szCs w:val="26"/>
        </w:rPr>
        <w:t>En ese orden, se peticiona en la demanda la aplicación de la Ley 33 de 1985, como régimen anterior que venía regulando la situación pensional del actor, por haber prestado hasta el año 2003 sus servicios personales en el sector público. Dicho precepto normativo establece en su artículo 1º que el empleado oficial que sirva o haya servido 20 años continuos o discontinuos al sector público y llegue a la edad de 55 años, tendrá derecho a la pensión de jubilación.</w:t>
      </w:r>
    </w:p>
    <w:p w:rsidR="00862EF2" w:rsidRPr="0066049D" w:rsidRDefault="00E626A4" w:rsidP="0066049D">
      <w:pPr>
        <w:pStyle w:val="Sinespaciado"/>
        <w:spacing w:line="276" w:lineRule="auto"/>
        <w:rPr>
          <w:rFonts w:ascii="Arial Narrow" w:hAnsi="Arial Narrow"/>
          <w:sz w:val="26"/>
          <w:szCs w:val="26"/>
        </w:rPr>
      </w:pPr>
      <w:r w:rsidRPr="0066049D">
        <w:rPr>
          <w:rFonts w:ascii="Arial Narrow" w:hAnsi="Arial Narrow"/>
          <w:sz w:val="26"/>
          <w:szCs w:val="26"/>
        </w:rPr>
        <w:tab/>
      </w:r>
    </w:p>
    <w:p w:rsidR="00E352A6" w:rsidRPr="0066049D" w:rsidRDefault="00862EF2"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Re</w:t>
      </w:r>
      <w:r w:rsidR="001A03BF" w:rsidRPr="0066049D">
        <w:rPr>
          <w:rFonts w:ascii="Arial Narrow" w:hAnsi="Arial Narrow" w:cs="Arial"/>
          <w:sz w:val="26"/>
          <w:szCs w:val="26"/>
        </w:rPr>
        <w:t>specto a la edad, el</w:t>
      </w:r>
      <w:r w:rsidRPr="0066049D">
        <w:rPr>
          <w:rFonts w:ascii="Arial Narrow" w:hAnsi="Arial Narrow" w:cs="Arial"/>
          <w:sz w:val="26"/>
          <w:szCs w:val="26"/>
        </w:rPr>
        <w:t xml:space="preserve"> </w:t>
      </w:r>
      <w:r w:rsidR="00B96D0F" w:rsidRPr="0066049D">
        <w:rPr>
          <w:rFonts w:ascii="Arial Narrow" w:hAnsi="Arial Narrow" w:cs="Arial"/>
          <w:sz w:val="26"/>
          <w:szCs w:val="26"/>
        </w:rPr>
        <w:t>actor</w:t>
      </w:r>
      <w:r w:rsidRPr="0066049D">
        <w:rPr>
          <w:rFonts w:ascii="Arial Narrow" w:hAnsi="Arial Narrow" w:cs="Arial"/>
          <w:sz w:val="26"/>
          <w:szCs w:val="26"/>
        </w:rPr>
        <w:t xml:space="preserve"> la cumplió </w:t>
      </w:r>
      <w:r w:rsidR="001A03BF" w:rsidRPr="0066049D">
        <w:rPr>
          <w:rFonts w:ascii="Arial Narrow" w:hAnsi="Arial Narrow" w:cs="Arial"/>
          <w:sz w:val="26"/>
          <w:szCs w:val="26"/>
        </w:rPr>
        <w:t xml:space="preserve">el 05 de abril </w:t>
      </w:r>
      <w:r w:rsidRPr="0066049D">
        <w:rPr>
          <w:rFonts w:ascii="Arial Narrow" w:hAnsi="Arial Narrow" w:cs="Arial"/>
          <w:sz w:val="26"/>
          <w:szCs w:val="26"/>
        </w:rPr>
        <w:t>de 2011,</w:t>
      </w:r>
      <w:r w:rsidR="001A03BF" w:rsidRPr="0066049D">
        <w:rPr>
          <w:rFonts w:ascii="Arial Narrow" w:hAnsi="Arial Narrow" w:cs="Arial"/>
          <w:sz w:val="26"/>
          <w:szCs w:val="26"/>
        </w:rPr>
        <w:t xml:space="preserve"> cuando arribó a 55 años</w:t>
      </w:r>
      <w:r w:rsidR="00E352A6" w:rsidRPr="0066049D">
        <w:rPr>
          <w:rFonts w:ascii="Arial Narrow" w:hAnsi="Arial Narrow" w:cs="Arial"/>
          <w:sz w:val="26"/>
          <w:szCs w:val="26"/>
        </w:rPr>
        <w:t>, como quiera que su natalicio se produjo ese mismo día y mes de año 1956</w:t>
      </w:r>
      <w:r w:rsidR="001A03BF" w:rsidRPr="0066049D">
        <w:rPr>
          <w:rFonts w:ascii="Arial Narrow" w:hAnsi="Arial Narrow" w:cs="Arial"/>
          <w:sz w:val="26"/>
          <w:szCs w:val="26"/>
        </w:rPr>
        <w:t>.</w:t>
      </w:r>
    </w:p>
    <w:p w:rsidR="00E352A6" w:rsidRPr="0066049D" w:rsidRDefault="00E352A6" w:rsidP="0066049D">
      <w:pPr>
        <w:pStyle w:val="Sinespaciado"/>
        <w:spacing w:line="276" w:lineRule="auto"/>
        <w:rPr>
          <w:rFonts w:ascii="Arial Narrow" w:hAnsi="Arial Narrow"/>
          <w:sz w:val="26"/>
          <w:szCs w:val="26"/>
        </w:rPr>
      </w:pPr>
    </w:p>
    <w:p w:rsidR="00C90B5B" w:rsidRPr="0066049D" w:rsidRDefault="00862EF2"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En</w:t>
      </w:r>
      <w:r w:rsidR="00BE4BD7" w:rsidRPr="0066049D">
        <w:rPr>
          <w:rFonts w:ascii="Arial Narrow" w:hAnsi="Arial Narrow" w:cs="Arial"/>
          <w:sz w:val="26"/>
          <w:szCs w:val="26"/>
        </w:rPr>
        <w:t xml:space="preserve"> cuanto al tiempo de servicios exclusivos en el sector público, se tiene </w:t>
      </w:r>
      <w:r w:rsidR="00E352A6" w:rsidRPr="0066049D">
        <w:rPr>
          <w:rFonts w:ascii="Arial Narrow" w:hAnsi="Arial Narrow" w:cs="Arial"/>
          <w:sz w:val="26"/>
          <w:szCs w:val="26"/>
        </w:rPr>
        <w:t xml:space="preserve">conforme a la historia laboral emitida por la entidad de seguridad social accionada –fl.135-, junto con </w:t>
      </w:r>
      <w:r w:rsidR="00BE4BD7" w:rsidRPr="0066049D">
        <w:rPr>
          <w:rFonts w:ascii="Arial Narrow" w:hAnsi="Arial Narrow" w:cs="Arial"/>
          <w:sz w:val="26"/>
          <w:szCs w:val="26"/>
        </w:rPr>
        <w:t xml:space="preserve">los certificados de información laboral emitidos por </w:t>
      </w:r>
      <w:r w:rsidR="00E352A6" w:rsidRPr="0066049D">
        <w:rPr>
          <w:rFonts w:ascii="Arial Narrow" w:hAnsi="Arial Narrow" w:cs="Arial"/>
          <w:sz w:val="26"/>
          <w:szCs w:val="26"/>
        </w:rPr>
        <w:t xml:space="preserve">el </w:t>
      </w:r>
      <w:r w:rsidR="00BE4BD7" w:rsidRPr="0066049D">
        <w:rPr>
          <w:rFonts w:ascii="Arial Narrow" w:hAnsi="Arial Narrow" w:cs="Arial"/>
          <w:sz w:val="26"/>
          <w:szCs w:val="26"/>
        </w:rPr>
        <w:t xml:space="preserve">Ministerio de Agricultura y Desarrollo Rural – Instituto Colombiano de Reforma Agraria – </w:t>
      </w:r>
      <w:proofErr w:type="spellStart"/>
      <w:r w:rsidR="00BE4BD7" w:rsidRPr="0066049D">
        <w:rPr>
          <w:rFonts w:ascii="Arial Narrow" w:hAnsi="Arial Narrow" w:cs="Arial"/>
          <w:sz w:val="26"/>
          <w:szCs w:val="26"/>
        </w:rPr>
        <w:t>INCORA</w:t>
      </w:r>
      <w:proofErr w:type="spellEnd"/>
      <w:r w:rsidR="00BE4BD7" w:rsidRPr="0066049D">
        <w:rPr>
          <w:rFonts w:ascii="Arial Narrow" w:hAnsi="Arial Narrow" w:cs="Arial"/>
          <w:sz w:val="26"/>
          <w:szCs w:val="26"/>
        </w:rPr>
        <w:t xml:space="preserve"> y del </w:t>
      </w:r>
      <w:r w:rsidR="00E352A6" w:rsidRPr="0066049D">
        <w:rPr>
          <w:rFonts w:ascii="Arial Narrow" w:hAnsi="Arial Narrow" w:cs="Arial"/>
          <w:sz w:val="26"/>
          <w:szCs w:val="26"/>
        </w:rPr>
        <w:t>Ministerio de Ambiente</w:t>
      </w:r>
      <w:r w:rsidR="00BE4BD7" w:rsidRPr="0066049D">
        <w:rPr>
          <w:rFonts w:ascii="Arial Narrow" w:hAnsi="Arial Narrow" w:cs="Arial"/>
          <w:sz w:val="26"/>
          <w:szCs w:val="26"/>
        </w:rPr>
        <w:t xml:space="preserve"> y Desarrollo Sostenible</w:t>
      </w:r>
      <w:r w:rsidR="001A03BF" w:rsidRPr="0066049D">
        <w:rPr>
          <w:rFonts w:ascii="Arial Narrow" w:hAnsi="Arial Narrow" w:cs="Arial"/>
          <w:sz w:val="26"/>
          <w:szCs w:val="26"/>
        </w:rPr>
        <w:t>, se tiene que el demandante prest</w:t>
      </w:r>
      <w:r w:rsidR="00E352A6" w:rsidRPr="0066049D">
        <w:rPr>
          <w:rFonts w:ascii="Arial Narrow" w:hAnsi="Arial Narrow" w:cs="Arial"/>
          <w:sz w:val="26"/>
          <w:szCs w:val="26"/>
        </w:rPr>
        <w:t>ó</w:t>
      </w:r>
      <w:r w:rsidR="001A03BF" w:rsidRPr="0066049D">
        <w:rPr>
          <w:rFonts w:ascii="Arial Narrow" w:hAnsi="Arial Narrow" w:cs="Arial"/>
          <w:sz w:val="26"/>
          <w:szCs w:val="26"/>
        </w:rPr>
        <w:t xml:space="preserve"> sus servicios</w:t>
      </w:r>
      <w:r w:rsidR="009B7EE8" w:rsidRPr="0066049D">
        <w:rPr>
          <w:rFonts w:ascii="Arial Narrow" w:hAnsi="Arial Narrow" w:cs="Arial"/>
          <w:sz w:val="26"/>
          <w:szCs w:val="26"/>
        </w:rPr>
        <w:t xml:space="preserve"> personales</w:t>
      </w:r>
      <w:r w:rsidR="001A03BF" w:rsidRPr="0066049D">
        <w:rPr>
          <w:rFonts w:ascii="Arial Narrow" w:hAnsi="Arial Narrow" w:cs="Arial"/>
          <w:sz w:val="26"/>
          <w:szCs w:val="26"/>
        </w:rPr>
        <w:t xml:space="preserve"> al sector </w:t>
      </w:r>
      <w:r w:rsidR="009B7EE8" w:rsidRPr="0066049D">
        <w:rPr>
          <w:rFonts w:ascii="Arial Narrow" w:hAnsi="Arial Narrow" w:cs="Arial"/>
          <w:sz w:val="26"/>
          <w:szCs w:val="26"/>
        </w:rPr>
        <w:t>público</w:t>
      </w:r>
      <w:r w:rsidR="00BE4BD7" w:rsidRPr="0066049D">
        <w:rPr>
          <w:rFonts w:ascii="Arial Narrow" w:hAnsi="Arial Narrow" w:cs="Arial"/>
          <w:sz w:val="26"/>
          <w:szCs w:val="26"/>
        </w:rPr>
        <w:t xml:space="preserve"> así: </w:t>
      </w:r>
      <w:r w:rsidR="009B7EE8" w:rsidRPr="0066049D">
        <w:rPr>
          <w:rFonts w:ascii="Arial Narrow" w:hAnsi="Arial Narrow" w:cs="Arial"/>
          <w:sz w:val="26"/>
          <w:szCs w:val="26"/>
        </w:rPr>
        <w:t xml:space="preserve">entre 17 de enero de 1977 </w:t>
      </w:r>
      <w:r w:rsidR="00E86E92" w:rsidRPr="0066049D">
        <w:rPr>
          <w:rFonts w:ascii="Arial Narrow" w:hAnsi="Arial Narrow" w:cs="Arial"/>
          <w:sz w:val="26"/>
          <w:szCs w:val="26"/>
        </w:rPr>
        <w:t>al 16 de enero de 1979</w:t>
      </w:r>
      <w:r w:rsidR="00EC72E6" w:rsidRPr="0066049D">
        <w:rPr>
          <w:rFonts w:ascii="Arial Narrow" w:hAnsi="Arial Narrow" w:cs="Arial"/>
          <w:sz w:val="26"/>
          <w:szCs w:val="26"/>
        </w:rPr>
        <w:t xml:space="preserve"> a favor de la Caja Agraria</w:t>
      </w:r>
      <w:r w:rsidR="00E86E92" w:rsidRPr="0066049D">
        <w:rPr>
          <w:rFonts w:ascii="Arial Narrow" w:hAnsi="Arial Narrow" w:cs="Arial"/>
          <w:sz w:val="26"/>
          <w:szCs w:val="26"/>
        </w:rPr>
        <w:t>;  del 20 de abril de 1981 al 30 de enero de 1986 del Ministerio de Ambiente, Vivienda y Desarrollo Territorial (</w:t>
      </w:r>
      <w:proofErr w:type="spellStart"/>
      <w:r w:rsidR="00E86E92" w:rsidRPr="0066049D">
        <w:rPr>
          <w:rFonts w:ascii="Arial Narrow" w:hAnsi="Arial Narrow" w:cs="Arial"/>
          <w:sz w:val="26"/>
          <w:szCs w:val="26"/>
        </w:rPr>
        <w:t>INDERENA</w:t>
      </w:r>
      <w:proofErr w:type="spellEnd"/>
      <w:r w:rsidR="00E86E92" w:rsidRPr="0066049D">
        <w:rPr>
          <w:rFonts w:ascii="Arial Narrow" w:hAnsi="Arial Narrow" w:cs="Arial"/>
          <w:sz w:val="26"/>
          <w:szCs w:val="26"/>
        </w:rPr>
        <w:t xml:space="preserve">) y, del 19 de abril de 1989 al 31 de julio de 2003 al servicio del Instituto Colombiano de la Reforma Agraria – </w:t>
      </w:r>
      <w:proofErr w:type="spellStart"/>
      <w:r w:rsidR="00E86E92" w:rsidRPr="0066049D">
        <w:rPr>
          <w:rFonts w:ascii="Arial Narrow" w:hAnsi="Arial Narrow" w:cs="Arial"/>
          <w:sz w:val="26"/>
          <w:szCs w:val="26"/>
        </w:rPr>
        <w:t>INCORA</w:t>
      </w:r>
      <w:proofErr w:type="spellEnd"/>
      <w:r w:rsidR="00E86E92" w:rsidRPr="0066049D">
        <w:rPr>
          <w:rFonts w:ascii="Arial Narrow" w:hAnsi="Arial Narrow" w:cs="Arial"/>
          <w:sz w:val="26"/>
          <w:szCs w:val="26"/>
        </w:rPr>
        <w:t xml:space="preserve">, para un </w:t>
      </w:r>
      <w:r w:rsidR="009B7EE8" w:rsidRPr="0066049D">
        <w:rPr>
          <w:rFonts w:ascii="Arial Narrow" w:hAnsi="Arial Narrow" w:cs="Arial"/>
          <w:sz w:val="26"/>
          <w:szCs w:val="26"/>
        </w:rPr>
        <w:t xml:space="preserve">total de </w:t>
      </w:r>
      <w:r w:rsidR="00EC72E6" w:rsidRPr="0066049D">
        <w:rPr>
          <w:rFonts w:ascii="Arial Narrow" w:hAnsi="Arial Narrow" w:cs="Arial"/>
          <w:sz w:val="26"/>
          <w:szCs w:val="26"/>
        </w:rPr>
        <w:t xml:space="preserve">20 años, 23 meses y 22 días. </w:t>
      </w:r>
    </w:p>
    <w:p w:rsidR="0015351F" w:rsidRPr="0066049D" w:rsidRDefault="00E626A4" w:rsidP="0066049D">
      <w:pPr>
        <w:pStyle w:val="Sinespaciado"/>
        <w:spacing w:line="276" w:lineRule="auto"/>
        <w:rPr>
          <w:rFonts w:ascii="Arial Narrow" w:hAnsi="Arial Narrow"/>
          <w:sz w:val="26"/>
          <w:szCs w:val="26"/>
        </w:rPr>
      </w:pPr>
      <w:r w:rsidRPr="0066049D">
        <w:rPr>
          <w:rFonts w:ascii="Arial Narrow" w:hAnsi="Arial Narrow"/>
          <w:sz w:val="26"/>
          <w:szCs w:val="26"/>
        </w:rPr>
        <w:tab/>
      </w:r>
    </w:p>
    <w:p w:rsidR="0015351F" w:rsidRPr="0066049D" w:rsidRDefault="0015351F"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 xml:space="preserve">Vale precisar que no es procedente en este caso tener en cuenta el tiempo de servicios prestados </w:t>
      </w:r>
      <w:r w:rsidR="00B96D0F" w:rsidRPr="0066049D">
        <w:rPr>
          <w:rFonts w:ascii="Arial Narrow" w:hAnsi="Arial Narrow" w:cs="Arial"/>
          <w:sz w:val="26"/>
          <w:szCs w:val="26"/>
        </w:rPr>
        <w:t xml:space="preserve">a </w:t>
      </w:r>
      <w:r w:rsidRPr="0066049D">
        <w:rPr>
          <w:rFonts w:ascii="Arial Narrow" w:hAnsi="Arial Narrow" w:cs="Arial"/>
          <w:sz w:val="26"/>
          <w:szCs w:val="26"/>
        </w:rPr>
        <w:t xml:space="preserve">la Corporación Autónoma Regional del Quindío, entre 1986 y 1989, dado que tal como lo certificó dicha entidad, el actor estuvo vinculado a través de contratos de prestación de servicios, y durante dicho lapso no se hicieron los aportes correspondientes al sistema de seguridad social, situación que impide contabilizar esos tiempos, por cuanto el actor no tenía la calidad de servidor público. </w:t>
      </w:r>
    </w:p>
    <w:p w:rsidR="0015351F" w:rsidRPr="0066049D" w:rsidRDefault="0015351F" w:rsidP="0066049D">
      <w:pPr>
        <w:pStyle w:val="Sinespaciado"/>
        <w:spacing w:line="276" w:lineRule="auto"/>
        <w:rPr>
          <w:rFonts w:ascii="Arial Narrow" w:hAnsi="Arial Narrow"/>
          <w:sz w:val="26"/>
          <w:szCs w:val="26"/>
        </w:rPr>
      </w:pPr>
    </w:p>
    <w:p w:rsidR="00EC72E6" w:rsidRPr="0066049D" w:rsidRDefault="0015351F" w:rsidP="0066049D">
      <w:pPr>
        <w:spacing w:line="276" w:lineRule="auto"/>
        <w:ind w:firstLine="708"/>
        <w:jc w:val="both"/>
        <w:rPr>
          <w:rFonts w:ascii="Arial Narrow" w:hAnsi="Arial Narrow" w:cs="Arial"/>
          <w:sz w:val="26"/>
          <w:szCs w:val="26"/>
        </w:rPr>
      </w:pPr>
      <w:r w:rsidRPr="0066049D">
        <w:rPr>
          <w:rFonts w:ascii="Arial Narrow" w:hAnsi="Arial Narrow" w:cs="Arial"/>
          <w:sz w:val="26"/>
          <w:szCs w:val="26"/>
        </w:rPr>
        <w:t xml:space="preserve">Bajo tal escenario, </w:t>
      </w:r>
      <w:r w:rsidR="003324AC" w:rsidRPr="0066049D">
        <w:rPr>
          <w:rFonts w:ascii="Arial Narrow" w:hAnsi="Arial Narrow" w:cs="Arial"/>
          <w:sz w:val="26"/>
          <w:szCs w:val="26"/>
        </w:rPr>
        <w:t xml:space="preserve">bien puede </w:t>
      </w:r>
      <w:r w:rsidR="00C90B5B" w:rsidRPr="0066049D">
        <w:rPr>
          <w:rFonts w:ascii="Arial Narrow" w:hAnsi="Arial Narrow" w:cs="Arial"/>
          <w:sz w:val="26"/>
          <w:szCs w:val="26"/>
        </w:rPr>
        <w:t>concluirse que</w:t>
      </w:r>
      <w:r w:rsidR="003324AC" w:rsidRPr="0066049D">
        <w:rPr>
          <w:rFonts w:ascii="Arial Narrow" w:hAnsi="Arial Narrow" w:cs="Arial"/>
          <w:sz w:val="26"/>
          <w:szCs w:val="26"/>
        </w:rPr>
        <w:t xml:space="preserve"> el actor</w:t>
      </w:r>
      <w:r w:rsidR="00C90B5B" w:rsidRPr="0066049D">
        <w:rPr>
          <w:rFonts w:ascii="Arial Narrow" w:hAnsi="Arial Narrow" w:cs="Arial"/>
          <w:sz w:val="26"/>
          <w:szCs w:val="26"/>
        </w:rPr>
        <w:t xml:space="preserve"> reúne la densidad de tiempo exigido en la </w:t>
      </w:r>
      <w:r w:rsidRPr="0066049D">
        <w:rPr>
          <w:rFonts w:ascii="Arial Narrow" w:hAnsi="Arial Narrow" w:cs="Arial"/>
          <w:sz w:val="26"/>
          <w:szCs w:val="26"/>
        </w:rPr>
        <w:t xml:space="preserve">Ley 33 de 1985, </w:t>
      </w:r>
      <w:r w:rsidR="00C90B5B" w:rsidRPr="0066049D">
        <w:rPr>
          <w:rFonts w:ascii="Arial Narrow" w:hAnsi="Arial Narrow" w:cs="Arial"/>
          <w:sz w:val="26"/>
          <w:szCs w:val="26"/>
        </w:rPr>
        <w:t xml:space="preserve">por cuanto, </w:t>
      </w:r>
      <w:r w:rsidR="00EC72E6" w:rsidRPr="0066049D">
        <w:rPr>
          <w:rFonts w:ascii="Arial Narrow" w:hAnsi="Arial Narrow" w:cs="Arial"/>
          <w:sz w:val="26"/>
          <w:szCs w:val="26"/>
        </w:rPr>
        <w:t xml:space="preserve">como se dijo, reúne un total de 20 años, 23 meses y 22 días. </w:t>
      </w:r>
    </w:p>
    <w:p w:rsidR="00B96D0F" w:rsidRPr="0066049D" w:rsidRDefault="00B96D0F" w:rsidP="0066049D">
      <w:pPr>
        <w:pStyle w:val="Sinespaciado"/>
        <w:spacing w:line="276" w:lineRule="auto"/>
        <w:rPr>
          <w:rFonts w:ascii="Arial Narrow" w:hAnsi="Arial Narrow"/>
          <w:sz w:val="26"/>
          <w:szCs w:val="26"/>
        </w:rPr>
      </w:pPr>
    </w:p>
    <w:p w:rsidR="009B7EE8" w:rsidRPr="0066049D" w:rsidRDefault="008C5637" w:rsidP="0066049D">
      <w:pPr>
        <w:pStyle w:val="Textoindependiente32"/>
        <w:spacing w:line="276" w:lineRule="auto"/>
        <w:ind w:firstLine="709"/>
        <w:rPr>
          <w:rFonts w:ascii="Arial Narrow" w:hAnsi="Arial Narrow" w:cs="Arial"/>
          <w:sz w:val="26"/>
          <w:szCs w:val="26"/>
        </w:rPr>
      </w:pPr>
      <w:r w:rsidRPr="0066049D">
        <w:rPr>
          <w:rFonts w:ascii="Arial Narrow" w:hAnsi="Arial Narrow" w:cs="Estrangelo Edessa"/>
          <w:sz w:val="26"/>
          <w:szCs w:val="26"/>
        </w:rPr>
        <w:t>De tal suerte que,</w:t>
      </w:r>
      <w:r w:rsidR="00B96D0F" w:rsidRPr="0066049D">
        <w:rPr>
          <w:rFonts w:ascii="Arial Narrow" w:hAnsi="Arial Narrow" w:cs="Estrangelo Edessa"/>
          <w:sz w:val="26"/>
          <w:szCs w:val="26"/>
        </w:rPr>
        <w:t xml:space="preserve"> </w:t>
      </w:r>
      <w:r w:rsidR="009B7EE8" w:rsidRPr="0066049D">
        <w:rPr>
          <w:rFonts w:ascii="Arial Narrow" w:hAnsi="Arial Narrow" w:cs="Arial"/>
          <w:sz w:val="26"/>
          <w:szCs w:val="26"/>
        </w:rPr>
        <w:t xml:space="preserve">tiene derecho al reconocimiento y pago de la pensión de jubilación que reclama, a partir del 05 de abril de 2011, fecha en que reunió la totalidad de los requisitos, con cargo a la Administradora Colombiana de Pensiones Colpensiones, pues al tenor de lo preceptuado en el Decreto 4937 de 2009, dicha entidad está facultada para solicitar de la respectiva entidad pública la emisión a su favor del Bono Especial Tipo T, si a él hubiere lugar, con el objeto de financiar la pensión </w:t>
      </w:r>
      <w:r w:rsidR="00B845E4" w:rsidRPr="0066049D">
        <w:rPr>
          <w:rFonts w:ascii="Arial Narrow" w:hAnsi="Arial Narrow" w:cs="Arial"/>
          <w:sz w:val="26"/>
          <w:szCs w:val="26"/>
        </w:rPr>
        <w:t xml:space="preserve">legal del sector público del actor </w:t>
      </w:r>
      <w:r w:rsidR="009B7EE8" w:rsidRPr="0066049D">
        <w:rPr>
          <w:rFonts w:ascii="Arial Narrow" w:hAnsi="Arial Narrow" w:cs="Arial"/>
          <w:sz w:val="26"/>
          <w:szCs w:val="26"/>
        </w:rPr>
        <w:t>por aplicación del régimen de transición.</w:t>
      </w:r>
    </w:p>
    <w:p w:rsidR="002C6375" w:rsidRPr="0066049D" w:rsidRDefault="002C6375" w:rsidP="0066049D">
      <w:pPr>
        <w:pStyle w:val="Sinespaciado"/>
        <w:spacing w:line="276" w:lineRule="auto"/>
        <w:rPr>
          <w:rFonts w:ascii="Arial Narrow" w:hAnsi="Arial Narrow"/>
          <w:sz w:val="26"/>
          <w:szCs w:val="26"/>
        </w:rPr>
      </w:pPr>
    </w:p>
    <w:p w:rsidR="00F04F48" w:rsidRPr="0066049D" w:rsidRDefault="00F04F48" w:rsidP="0066049D">
      <w:pPr>
        <w:spacing w:line="276" w:lineRule="auto"/>
        <w:ind w:firstLine="708"/>
        <w:jc w:val="both"/>
        <w:rPr>
          <w:rFonts w:ascii="Arial Narrow" w:hAnsi="Arial Narrow" w:cs="Arial"/>
          <w:iCs/>
          <w:sz w:val="26"/>
          <w:szCs w:val="26"/>
          <w:lang w:val="es-ES"/>
        </w:rPr>
      </w:pPr>
      <w:r w:rsidRPr="0066049D">
        <w:rPr>
          <w:rFonts w:ascii="Arial Narrow" w:hAnsi="Arial Narrow" w:cs="Arial"/>
          <w:sz w:val="26"/>
          <w:szCs w:val="26"/>
        </w:rPr>
        <w:t xml:space="preserve">Efectuados los cálculos del </w:t>
      </w:r>
      <w:proofErr w:type="spellStart"/>
      <w:r w:rsidRPr="0066049D">
        <w:rPr>
          <w:rFonts w:ascii="Arial Narrow" w:hAnsi="Arial Narrow" w:cs="Arial"/>
          <w:sz w:val="26"/>
          <w:szCs w:val="26"/>
        </w:rPr>
        <w:t>IBL</w:t>
      </w:r>
      <w:proofErr w:type="spellEnd"/>
      <w:r w:rsidRPr="0066049D">
        <w:rPr>
          <w:rFonts w:ascii="Arial Narrow" w:hAnsi="Arial Narrow" w:cs="Arial"/>
          <w:sz w:val="26"/>
          <w:szCs w:val="26"/>
        </w:rPr>
        <w:t xml:space="preserve"> con el promedio de los salarios devengados en los últimos 10 años efectivos de prestación del servicio, se obtiene la suma de $</w:t>
      </w:r>
      <w:r w:rsidR="0076548E" w:rsidRPr="0066049D">
        <w:rPr>
          <w:rFonts w:ascii="Arial Narrow" w:hAnsi="Arial Narrow" w:cs="Arial"/>
          <w:sz w:val="26"/>
          <w:szCs w:val="26"/>
        </w:rPr>
        <w:t xml:space="preserve">1`474.623 </w:t>
      </w:r>
      <w:r w:rsidRPr="0066049D">
        <w:rPr>
          <w:rFonts w:ascii="Arial Narrow" w:hAnsi="Arial Narrow" w:cs="Arial"/>
          <w:sz w:val="26"/>
          <w:szCs w:val="26"/>
        </w:rPr>
        <w:t xml:space="preserve">que al aplicarle la tasa de remplazo del 75% arroja una mesada pensional para el 2011 de </w:t>
      </w:r>
      <w:r w:rsidR="0076548E" w:rsidRPr="0066049D">
        <w:rPr>
          <w:rFonts w:ascii="Arial Narrow" w:hAnsi="Arial Narrow" w:cs="Arial"/>
          <w:sz w:val="26"/>
          <w:szCs w:val="26"/>
        </w:rPr>
        <w:t>$1`105.967</w:t>
      </w:r>
      <w:r w:rsidR="00E626A4" w:rsidRPr="0066049D">
        <w:rPr>
          <w:rFonts w:ascii="Arial Narrow" w:hAnsi="Arial Narrow" w:cs="Arial"/>
          <w:sz w:val="26"/>
          <w:szCs w:val="26"/>
        </w:rPr>
        <w:t xml:space="preserve">, que al actualizarla al año 2019 asciende a $1`505.935.  </w:t>
      </w:r>
      <w:r w:rsidRPr="0066049D">
        <w:rPr>
          <w:rFonts w:ascii="Arial Narrow" w:hAnsi="Arial Narrow" w:cs="Arial"/>
          <w:iCs/>
          <w:sz w:val="26"/>
          <w:szCs w:val="26"/>
          <w:lang w:val="es-ES"/>
        </w:rPr>
        <w:t xml:space="preserve">En cuanto al número de mesadas, se </w:t>
      </w:r>
      <w:r w:rsidRPr="0066049D">
        <w:rPr>
          <w:rFonts w:ascii="Arial Narrow" w:hAnsi="Arial Narrow" w:cs="Arial"/>
          <w:iCs/>
          <w:sz w:val="26"/>
          <w:szCs w:val="26"/>
          <w:lang w:val="es-ES"/>
        </w:rPr>
        <w:lastRenderedPageBreak/>
        <w:t xml:space="preserve">reconocerán </w:t>
      </w:r>
      <w:r w:rsidR="00A5200D" w:rsidRPr="0066049D">
        <w:rPr>
          <w:rFonts w:ascii="Arial Narrow" w:hAnsi="Arial Narrow" w:cs="Arial"/>
          <w:iCs/>
          <w:sz w:val="26"/>
          <w:szCs w:val="26"/>
          <w:lang w:val="es-ES"/>
        </w:rPr>
        <w:t>14</w:t>
      </w:r>
      <w:r w:rsidRPr="0066049D">
        <w:rPr>
          <w:rFonts w:ascii="Arial Narrow" w:hAnsi="Arial Narrow" w:cs="Arial"/>
          <w:iCs/>
          <w:sz w:val="26"/>
          <w:szCs w:val="26"/>
          <w:lang w:val="es-ES"/>
        </w:rPr>
        <w:t xml:space="preserve"> anuales, pues al tenor de lo establecido en el Acto Legislativo 01 de 2005, la caus</w:t>
      </w:r>
      <w:r w:rsidR="00A5200D" w:rsidRPr="0066049D">
        <w:rPr>
          <w:rFonts w:ascii="Arial Narrow" w:hAnsi="Arial Narrow" w:cs="Arial"/>
          <w:iCs/>
          <w:sz w:val="26"/>
          <w:szCs w:val="26"/>
          <w:lang w:val="es-ES"/>
        </w:rPr>
        <w:t>ación del derecho se dio con an</w:t>
      </w:r>
      <w:r w:rsidRPr="0066049D">
        <w:rPr>
          <w:rFonts w:ascii="Arial Narrow" w:hAnsi="Arial Narrow" w:cs="Arial"/>
          <w:iCs/>
          <w:sz w:val="26"/>
          <w:szCs w:val="26"/>
          <w:lang w:val="es-ES"/>
        </w:rPr>
        <w:t xml:space="preserve">terioridad al 31 de julio de 2011. </w:t>
      </w:r>
    </w:p>
    <w:p w:rsidR="00E6091F" w:rsidRPr="0066049D" w:rsidRDefault="00E6091F" w:rsidP="0066049D">
      <w:pPr>
        <w:pStyle w:val="Sinespaciado"/>
        <w:spacing w:line="276" w:lineRule="auto"/>
        <w:rPr>
          <w:rFonts w:ascii="Arial Narrow" w:hAnsi="Arial Narrow"/>
          <w:sz w:val="26"/>
          <w:szCs w:val="26"/>
          <w:highlight w:val="yellow"/>
          <w:lang w:val="es-ES"/>
        </w:rPr>
      </w:pPr>
    </w:p>
    <w:p w:rsidR="00846669" w:rsidRPr="0066049D" w:rsidRDefault="0076548E" w:rsidP="0066049D">
      <w:pPr>
        <w:spacing w:line="276" w:lineRule="auto"/>
        <w:ind w:firstLine="708"/>
        <w:jc w:val="both"/>
        <w:rPr>
          <w:rFonts w:ascii="Arial Narrow" w:hAnsi="Arial Narrow" w:cs="Arial"/>
          <w:iCs/>
          <w:sz w:val="26"/>
          <w:szCs w:val="26"/>
          <w:lang w:val="es-ES"/>
        </w:rPr>
      </w:pPr>
      <w:r w:rsidRPr="0066049D">
        <w:rPr>
          <w:rFonts w:ascii="Arial Narrow" w:hAnsi="Arial Narrow" w:cs="Arial"/>
          <w:iCs/>
          <w:sz w:val="26"/>
          <w:szCs w:val="26"/>
          <w:lang w:val="es-ES"/>
        </w:rPr>
        <w:t xml:space="preserve">En torno a la excepción de prescripción propuesta por la entidad de seguridad social, se encuentra que la misma está llamada a prosperar, como quiera que en los términos del artículo 151 del C.P.T y S.S. y 488 del </w:t>
      </w:r>
      <w:proofErr w:type="spellStart"/>
      <w:r w:rsidRPr="0066049D">
        <w:rPr>
          <w:rFonts w:ascii="Arial Narrow" w:hAnsi="Arial Narrow" w:cs="Arial"/>
          <w:iCs/>
          <w:sz w:val="26"/>
          <w:szCs w:val="26"/>
          <w:lang w:val="es-ES"/>
        </w:rPr>
        <w:t>C.S.T</w:t>
      </w:r>
      <w:proofErr w:type="spellEnd"/>
      <w:r w:rsidRPr="0066049D">
        <w:rPr>
          <w:rFonts w:ascii="Arial Narrow" w:hAnsi="Arial Narrow" w:cs="Arial"/>
          <w:iCs/>
          <w:sz w:val="26"/>
          <w:szCs w:val="26"/>
          <w:lang w:val="es-ES"/>
        </w:rPr>
        <w:t xml:space="preserve">., </w:t>
      </w:r>
      <w:r w:rsidR="00846669" w:rsidRPr="0066049D">
        <w:rPr>
          <w:rFonts w:ascii="Arial Narrow" w:hAnsi="Arial Narrow" w:cs="Arial"/>
          <w:iCs/>
          <w:sz w:val="26"/>
          <w:szCs w:val="26"/>
          <w:lang w:val="es-ES"/>
        </w:rPr>
        <w:t xml:space="preserve">el actor no presentó ninguna reclamación dentro de los tres años siguientes a la exigibilidad del derecho -5 de abril de 2011-  tendiente a interrumpir el fenómeno extintivo. </w:t>
      </w:r>
    </w:p>
    <w:p w:rsidR="00846669" w:rsidRPr="0066049D" w:rsidRDefault="00846669" w:rsidP="0066049D">
      <w:pPr>
        <w:pStyle w:val="Sinespaciado"/>
        <w:spacing w:line="276" w:lineRule="auto"/>
        <w:rPr>
          <w:rFonts w:ascii="Arial Narrow" w:hAnsi="Arial Narrow"/>
          <w:sz w:val="26"/>
          <w:szCs w:val="26"/>
        </w:rPr>
      </w:pPr>
    </w:p>
    <w:p w:rsidR="00846669" w:rsidRPr="0066049D" w:rsidRDefault="00846669" w:rsidP="0066049D">
      <w:pPr>
        <w:spacing w:line="276" w:lineRule="auto"/>
        <w:ind w:firstLine="708"/>
        <w:jc w:val="both"/>
        <w:rPr>
          <w:rFonts w:ascii="Arial Narrow" w:hAnsi="Arial Narrow" w:cs="Arial"/>
          <w:iCs/>
          <w:sz w:val="26"/>
          <w:szCs w:val="26"/>
          <w:lang w:val="es-ES"/>
        </w:rPr>
      </w:pPr>
      <w:r w:rsidRPr="0066049D">
        <w:rPr>
          <w:rFonts w:ascii="Arial Narrow" w:hAnsi="Arial Narrow" w:cs="Arial"/>
          <w:iCs/>
          <w:sz w:val="26"/>
          <w:szCs w:val="26"/>
          <w:lang w:val="es-ES"/>
        </w:rPr>
        <w:t>No obstante, como quiera que el 30 de enero de 2015 presentó solicitud pensional ante la entidad, amén de que instauró la presente demanda judicial el 25 de noviembre de 2015, según folio 19, quedan a salvo de dicho medio exceptivo, las mesadas causadas a partir del 30 de enero de 2012</w:t>
      </w:r>
      <w:r w:rsidR="00673A8D" w:rsidRPr="0066049D">
        <w:rPr>
          <w:rFonts w:ascii="Arial Narrow" w:hAnsi="Arial Narrow" w:cs="Arial"/>
          <w:iCs/>
          <w:sz w:val="26"/>
          <w:szCs w:val="26"/>
          <w:lang w:val="es-ES"/>
        </w:rPr>
        <w:t xml:space="preserve">. </w:t>
      </w:r>
    </w:p>
    <w:p w:rsidR="00846669" w:rsidRPr="0066049D" w:rsidRDefault="00846669" w:rsidP="0066049D">
      <w:pPr>
        <w:pStyle w:val="Sinespaciado"/>
        <w:spacing w:line="276" w:lineRule="auto"/>
        <w:rPr>
          <w:rFonts w:ascii="Arial Narrow" w:hAnsi="Arial Narrow"/>
          <w:sz w:val="26"/>
          <w:szCs w:val="26"/>
        </w:rPr>
      </w:pPr>
    </w:p>
    <w:p w:rsidR="0076548E" w:rsidRPr="0066049D" w:rsidRDefault="0076548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Tahoma"/>
          <w:bCs/>
          <w:iCs/>
          <w:sz w:val="26"/>
          <w:szCs w:val="26"/>
        </w:rPr>
        <w:t>Así las cosas, efectuados los cálculos respectivos</w:t>
      </w:r>
      <w:r w:rsidR="0079705C" w:rsidRPr="0066049D">
        <w:rPr>
          <w:rFonts w:ascii="Arial Narrow" w:hAnsi="Arial Narrow" w:cs="Tahoma"/>
          <w:bCs/>
          <w:iCs/>
          <w:sz w:val="26"/>
          <w:szCs w:val="26"/>
        </w:rPr>
        <w:t xml:space="preserve"> respecto al re</w:t>
      </w:r>
      <w:r w:rsidRPr="0066049D">
        <w:rPr>
          <w:rFonts w:ascii="Arial Narrow" w:hAnsi="Arial Narrow" w:cs="Tahoma"/>
          <w:bCs/>
          <w:iCs/>
          <w:sz w:val="26"/>
          <w:szCs w:val="26"/>
        </w:rPr>
        <w:t xml:space="preserve">troactivo pensional causado desde el 30 de enero de 2012 al 30 de noviembre de 2019, </w:t>
      </w:r>
      <w:r w:rsidR="0079705C" w:rsidRPr="0066049D">
        <w:rPr>
          <w:rFonts w:ascii="Arial Narrow" w:hAnsi="Arial Narrow" w:cs="Tahoma"/>
          <w:bCs/>
          <w:iCs/>
          <w:sz w:val="26"/>
          <w:szCs w:val="26"/>
        </w:rPr>
        <w:t xml:space="preserve">se obtiene la </w:t>
      </w:r>
      <w:r w:rsidRPr="0066049D">
        <w:rPr>
          <w:rFonts w:ascii="Arial Narrow" w:hAnsi="Arial Narrow" w:cs="Tahoma"/>
          <w:bCs/>
          <w:iCs/>
          <w:sz w:val="26"/>
          <w:szCs w:val="26"/>
        </w:rPr>
        <w:t xml:space="preserve">suma de $ </w:t>
      </w:r>
      <w:r w:rsidR="0079705C" w:rsidRPr="0066049D">
        <w:rPr>
          <w:rFonts w:ascii="Arial Narrow" w:hAnsi="Arial Narrow" w:cs="Tahoma"/>
          <w:bCs/>
          <w:iCs/>
          <w:sz w:val="26"/>
          <w:szCs w:val="26"/>
        </w:rPr>
        <w:t>1</w:t>
      </w:r>
      <w:r w:rsidR="009B73E6" w:rsidRPr="0066049D">
        <w:rPr>
          <w:rFonts w:ascii="Arial Narrow" w:hAnsi="Arial Narrow" w:cs="Tahoma"/>
          <w:bCs/>
          <w:iCs/>
          <w:sz w:val="26"/>
          <w:szCs w:val="26"/>
        </w:rPr>
        <w:t>42`222.968</w:t>
      </w:r>
      <w:r w:rsidR="0079705C" w:rsidRPr="0066049D">
        <w:rPr>
          <w:rFonts w:ascii="Arial Narrow" w:hAnsi="Arial Narrow" w:cs="Tahoma"/>
          <w:bCs/>
          <w:iCs/>
          <w:sz w:val="26"/>
          <w:szCs w:val="26"/>
        </w:rPr>
        <w:t>.</w:t>
      </w:r>
    </w:p>
    <w:p w:rsidR="00673A8D" w:rsidRPr="0066049D" w:rsidRDefault="00673A8D" w:rsidP="0066049D">
      <w:pPr>
        <w:pStyle w:val="Sinespaciado"/>
        <w:spacing w:line="276" w:lineRule="auto"/>
        <w:rPr>
          <w:rFonts w:ascii="Arial Narrow" w:hAnsi="Arial Narrow"/>
          <w:sz w:val="26"/>
          <w:szCs w:val="26"/>
        </w:rPr>
      </w:pPr>
    </w:p>
    <w:p w:rsidR="00673A8D" w:rsidRPr="0066049D" w:rsidRDefault="00673A8D" w:rsidP="0066049D">
      <w:pPr>
        <w:pStyle w:val="Textoindependiente32"/>
        <w:spacing w:line="276" w:lineRule="auto"/>
        <w:ind w:right="51" w:firstLine="708"/>
        <w:rPr>
          <w:rFonts w:ascii="Arial Narrow" w:hAnsi="Arial Narrow" w:cs="Tahoma"/>
          <w:sz w:val="26"/>
          <w:szCs w:val="26"/>
        </w:rPr>
      </w:pPr>
      <w:r w:rsidRPr="0066049D">
        <w:rPr>
          <w:rFonts w:ascii="Arial Narrow" w:hAnsi="Arial Narrow" w:cs="Tahoma"/>
          <w:sz w:val="26"/>
          <w:szCs w:val="26"/>
        </w:rPr>
        <w:t>Frente al tema de los réditos moratorio</w:t>
      </w:r>
      <w:r w:rsidR="00290B20" w:rsidRPr="0066049D">
        <w:rPr>
          <w:rFonts w:ascii="Arial Narrow" w:hAnsi="Arial Narrow" w:cs="Tahoma"/>
          <w:sz w:val="26"/>
          <w:szCs w:val="26"/>
        </w:rPr>
        <w:t xml:space="preserve">s peticionados, deberán negarse, puesto </w:t>
      </w:r>
      <w:r w:rsidRPr="0066049D">
        <w:rPr>
          <w:rFonts w:ascii="Arial Narrow" w:hAnsi="Arial Narrow" w:cs="Tahoma"/>
          <w:sz w:val="26"/>
          <w:szCs w:val="26"/>
        </w:rPr>
        <w:t>que resultan improcedentes en aquellas pensiones que no se reconocen con sujeción total a la Ley 100 de 1993, así lo ha decantado suficientemente la Sala de Casación Laboral en varios pronunciamientos (</w:t>
      </w:r>
      <w:proofErr w:type="spellStart"/>
      <w:r w:rsidRPr="0066049D">
        <w:rPr>
          <w:rFonts w:ascii="Arial Narrow" w:hAnsi="Arial Narrow" w:cs="Tahoma"/>
          <w:sz w:val="26"/>
          <w:szCs w:val="26"/>
        </w:rPr>
        <w:t>SL</w:t>
      </w:r>
      <w:proofErr w:type="spellEnd"/>
      <w:r w:rsidRPr="0066049D">
        <w:rPr>
          <w:rFonts w:ascii="Arial Narrow" w:hAnsi="Arial Narrow" w:cs="Tahoma"/>
          <w:sz w:val="26"/>
          <w:szCs w:val="26"/>
        </w:rPr>
        <w:t xml:space="preserve"> 5890-2016, </w:t>
      </w:r>
      <w:proofErr w:type="spellStart"/>
      <w:r w:rsidRPr="0066049D">
        <w:rPr>
          <w:rFonts w:ascii="Arial Narrow" w:hAnsi="Arial Narrow" w:cs="Tahoma"/>
          <w:sz w:val="26"/>
          <w:szCs w:val="26"/>
        </w:rPr>
        <w:t>SL</w:t>
      </w:r>
      <w:proofErr w:type="spellEnd"/>
      <w:r w:rsidRPr="0066049D">
        <w:rPr>
          <w:rFonts w:ascii="Arial Narrow" w:hAnsi="Arial Narrow" w:cs="Tahoma"/>
          <w:sz w:val="26"/>
          <w:szCs w:val="26"/>
        </w:rPr>
        <w:t xml:space="preserve"> 13076-2014, entre otras).</w:t>
      </w:r>
    </w:p>
    <w:p w:rsidR="00673A8D" w:rsidRPr="0066049D" w:rsidRDefault="00673A8D" w:rsidP="0066049D">
      <w:pPr>
        <w:pStyle w:val="Sinespaciado"/>
        <w:spacing w:line="276" w:lineRule="auto"/>
        <w:rPr>
          <w:rFonts w:ascii="Arial Narrow" w:hAnsi="Arial Narrow"/>
          <w:sz w:val="26"/>
          <w:szCs w:val="26"/>
        </w:rPr>
      </w:pPr>
    </w:p>
    <w:p w:rsidR="00673A8D" w:rsidRPr="0066049D" w:rsidRDefault="00673A8D" w:rsidP="0066049D">
      <w:pPr>
        <w:pStyle w:val="Sinespaciado"/>
        <w:spacing w:line="276" w:lineRule="auto"/>
        <w:ind w:firstLine="567"/>
        <w:jc w:val="both"/>
        <w:rPr>
          <w:rFonts w:ascii="Arial Narrow" w:hAnsi="Arial Narrow"/>
          <w:iCs/>
          <w:sz w:val="26"/>
          <w:szCs w:val="26"/>
          <w:lang w:val="es-ES"/>
        </w:rPr>
      </w:pPr>
      <w:r w:rsidRPr="0066049D">
        <w:rPr>
          <w:rFonts w:ascii="Arial Narrow" w:hAnsi="Arial Narrow" w:cs="Tahoma"/>
          <w:sz w:val="26"/>
          <w:szCs w:val="26"/>
        </w:rPr>
        <w:t xml:space="preserve">En lo que toca con la indexación, se accederá como quiera que dicha medida pretende contrarrestar la depreciación del poder adquisitivo de la moneda, el cual no lo puede sufrir el acreedor ante el retraso injustificado del deudor, por lo que debe corregirse. Por lo tanto se condenará a la entidad a cancelar las mesadas pensionales debidamente indexadas </w:t>
      </w:r>
      <w:r w:rsidRPr="0066049D">
        <w:rPr>
          <w:rFonts w:ascii="Arial Narrow" w:hAnsi="Arial Narrow"/>
          <w:iCs/>
          <w:sz w:val="26"/>
          <w:szCs w:val="26"/>
          <w:lang w:val="es-ES"/>
        </w:rPr>
        <w:t xml:space="preserve">desde su causación, en cada ciclo o mensualidad en forma independiente y hasta que se haga efectivo el pago total de la obligación. </w:t>
      </w:r>
    </w:p>
    <w:p w:rsidR="00673A8D" w:rsidRPr="0066049D" w:rsidRDefault="00673A8D" w:rsidP="0066049D">
      <w:pPr>
        <w:pStyle w:val="Sinespaciado"/>
        <w:spacing w:line="276" w:lineRule="auto"/>
        <w:rPr>
          <w:rFonts w:ascii="Arial Narrow" w:hAnsi="Arial Narrow"/>
          <w:sz w:val="26"/>
          <w:szCs w:val="26"/>
        </w:rPr>
      </w:pPr>
    </w:p>
    <w:p w:rsidR="00673A8D" w:rsidRPr="0066049D" w:rsidRDefault="009B73E6" w:rsidP="0066049D">
      <w:pPr>
        <w:pStyle w:val="Sinespaciado"/>
        <w:spacing w:line="276" w:lineRule="auto"/>
        <w:ind w:firstLine="567"/>
        <w:jc w:val="both"/>
        <w:rPr>
          <w:rFonts w:ascii="Arial Narrow" w:hAnsi="Arial Narrow"/>
          <w:sz w:val="26"/>
          <w:szCs w:val="26"/>
          <w:lang w:eastAsia="en-US"/>
        </w:rPr>
      </w:pPr>
      <w:r w:rsidRPr="0066049D">
        <w:rPr>
          <w:rFonts w:ascii="Arial Narrow" w:hAnsi="Arial Narrow"/>
          <w:iCs/>
          <w:sz w:val="26"/>
          <w:szCs w:val="26"/>
          <w:lang w:val="es-ES"/>
        </w:rPr>
        <w:t xml:space="preserve">Por lo expuesto, se revocará íntegramente la sentencia de primer grado. </w:t>
      </w:r>
      <w:r w:rsidR="00673A8D" w:rsidRPr="0066049D">
        <w:rPr>
          <w:rFonts w:ascii="Arial Narrow" w:hAnsi="Arial Narrow"/>
          <w:iCs/>
          <w:sz w:val="26"/>
          <w:szCs w:val="26"/>
          <w:lang w:val="es-ES"/>
        </w:rPr>
        <w:t xml:space="preserve"> </w:t>
      </w:r>
    </w:p>
    <w:p w:rsidR="0076548E" w:rsidRPr="0066049D" w:rsidRDefault="009B73E6" w:rsidP="0066049D">
      <w:pPr>
        <w:pStyle w:val="Sinespaciado"/>
        <w:spacing w:line="276" w:lineRule="auto"/>
        <w:rPr>
          <w:rFonts w:ascii="Arial Narrow" w:hAnsi="Arial Narrow"/>
          <w:sz w:val="26"/>
          <w:szCs w:val="26"/>
          <w:highlight w:val="yellow"/>
        </w:rPr>
      </w:pPr>
      <w:r w:rsidRPr="0066049D">
        <w:rPr>
          <w:rFonts w:ascii="Arial Narrow" w:hAnsi="Arial Narrow"/>
          <w:sz w:val="26"/>
          <w:szCs w:val="26"/>
        </w:rPr>
        <w:tab/>
      </w:r>
    </w:p>
    <w:p w:rsidR="009B73E6" w:rsidRPr="0066049D" w:rsidRDefault="00BC69FE" w:rsidP="0066049D">
      <w:pPr>
        <w:pStyle w:val="Sinespaciado"/>
        <w:spacing w:line="276" w:lineRule="auto"/>
        <w:ind w:firstLine="567"/>
        <w:jc w:val="both"/>
        <w:rPr>
          <w:rFonts w:ascii="Arial Narrow" w:hAnsi="Arial Narrow"/>
          <w:sz w:val="26"/>
          <w:szCs w:val="26"/>
          <w:lang w:eastAsia="en-US"/>
        </w:rPr>
      </w:pPr>
      <w:r w:rsidRPr="0066049D">
        <w:rPr>
          <w:rFonts w:ascii="Arial Narrow" w:hAnsi="Arial Narrow" w:cs="Arial"/>
          <w:sz w:val="26"/>
          <w:szCs w:val="26"/>
          <w:lang w:val="es-ES"/>
        </w:rPr>
        <w:t xml:space="preserve">Costas en ambas instancias a cargo de Colpensiones. </w:t>
      </w:r>
      <w:r w:rsidR="009B73E6" w:rsidRPr="0066049D">
        <w:rPr>
          <w:rFonts w:ascii="Arial Narrow" w:hAnsi="Arial Narrow" w:cs="Arial"/>
          <w:sz w:val="26"/>
          <w:szCs w:val="26"/>
          <w:lang w:val="es-ES"/>
        </w:rPr>
        <w:t xml:space="preserve"> </w:t>
      </w:r>
    </w:p>
    <w:p w:rsidR="009B73E6" w:rsidRPr="0066049D" w:rsidRDefault="009B73E6" w:rsidP="0066049D">
      <w:pPr>
        <w:pStyle w:val="Sinespaciado"/>
        <w:spacing w:line="276" w:lineRule="auto"/>
        <w:rPr>
          <w:rFonts w:ascii="Arial Narrow" w:hAnsi="Arial Narrow"/>
          <w:sz w:val="26"/>
          <w:szCs w:val="26"/>
        </w:rPr>
      </w:pPr>
    </w:p>
    <w:p w:rsidR="00E6091F" w:rsidRPr="0066049D" w:rsidRDefault="00E6091F" w:rsidP="0066049D">
      <w:pPr>
        <w:pStyle w:val="Prrafodelista1"/>
        <w:spacing w:after="0"/>
        <w:ind w:left="0" w:firstLine="900"/>
        <w:jc w:val="both"/>
        <w:rPr>
          <w:rFonts w:ascii="Arial Narrow" w:hAnsi="Arial Narrow"/>
          <w:sz w:val="26"/>
          <w:szCs w:val="26"/>
        </w:rPr>
      </w:pPr>
      <w:r w:rsidRPr="0066049D">
        <w:rPr>
          <w:rFonts w:ascii="Arial Narrow" w:hAnsi="Arial Narrow"/>
          <w:sz w:val="26"/>
          <w:szCs w:val="26"/>
        </w:rPr>
        <w:t xml:space="preserve">En mérito de lo expuesto, el </w:t>
      </w:r>
      <w:r w:rsidRPr="0066049D">
        <w:rPr>
          <w:rFonts w:ascii="Arial Narrow" w:hAnsi="Arial Narrow"/>
          <w:b/>
          <w:i/>
          <w:sz w:val="26"/>
          <w:szCs w:val="26"/>
        </w:rPr>
        <w:t>H. Tribunal Superior del Distrito Judicial de Pereira - Risaralda, Sala</w:t>
      </w:r>
      <w:r w:rsidR="009457C2" w:rsidRPr="0066049D">
        <w:rPr>
          <w:rFonts w:ascii="Arial Narrow" w:hAnsi="Arial Narrow"/>
          <w:b/>
          <w:i/>
          <w:sz w:val="26"/>
          <w:szCs w:val="26"/>
        </w:rPr>
        <w:t xml:space="preserve"> </w:t>
      </w:r>
      <w:r w:rsidR="009B73E6" w:rsidRPr="0066049D">
        <w:rPr>
          <w:rFonts w:ascii="Arial Narrow" w:hAnsi="Arial Narrow"/>
          <w:b/>
          <w:i/>
          <w:sz w:val="26"/>
          <w:szCs w:val="26"/>
        </w:rPr>
        <w:t>Tercera</w:t>
      </w:r>
      <w:r w:rsidR="009457C2" w:rsidRPr="0066049D">
        <w:rPr>
          <w:rFonts w:ascii="Arial Narrow" w:hAnsi="Arial Narrow"/>
          <w:b/>
          <w:i/>
          <w:sz w:val="26"/>
          <w:szCs w:val="26"/>
        </w:rPr>
        <w:t xml:space="preserve"> de Decisión </w:t>
      </w:r>
      <w:r w:rsidRPr="0066049D">
        <w:rPr>
          <w:rFonts w:ascii="Arial Narrow" w:hAnsi="Arial Narrow"/>
          <w:b/>
          <w:i/>
          <w:sz w:val="26"/>
          <w:szCs w:val="26"/>
        </w:rPr>
        <w:t>Laboral,</w:t>
      </w:r>
      <w:r w:rsidRPr="0066049D">
        <w:rPr>
          <w:rFonts w:ascii="Arial Narrow" w:hAnsi="Arial Narrow"/>
          <w:sz w:val="26"/>
          <w:szCs w:val="26"/>
        </w:rPr>
        <w:t xml:space="preserve"> administrando justicia en nombre de la República y por autoridad de la ley,</w:t>
      </w:r>
    </w:p>
    <w:p w:rsidR="00E6091F" w:rsidRPr="0066049D" w:rsidRDefault="00E6091F" w:rsidP="0066049D">
      <w:pPr>
        <w:pStyle w:val="Sinespaciado"/>
        <w:spacing w:line="276" w:lineRule="auto"/>
        <w:rPr>
          <w:rFonts w:ascii="Arial Narrow" w:hAnsi="Arial Narrow"/>
          <w:sz w:val="26"/>
          <w:szCs w:val="26"/>
          <w:highlight w:val="yellow"/>
        </w:rPr>
      </w:pPr>
    </w:p>
    <w:p w:rsidR="00E6091F" w:rsidRPr="0066049D" w:rsidRDefault="00E6091F" w:rsidP="0066049D">
      <w:pPr>
        <w:spacing w:line="276" w:lineRule="auto"/>
        <w:jc w:val="center"/>
        <w:rPr>
          <w:rFonts w:ascii="Arial Narrow" w:hAnsi="Arial Narrow" w:cs="Arial"/>
          <w:b/>
          <w:i/>
          <w:sz w:val="26"/>
          <w:szCs w:val="26"/>
        </w:rPr>
      </w:pPr>
      <w:r w:rsidRPr="0066049D">
        <w:rPr>
          <w:rFonts w:ascii="Arial Narrow" w:hAnsi="Arial Narrow" w:cs="Arial"/>
          <w:b/>
          <w:i/>
          <w:sz w:val="26"/>
          <w:szCs w:val="26"/>
        </w:rPr>
        <w:t>FALLA</w:t>
      </w:r>
    </w:p>
    <w:p w:rsidR="00E6091F" w:rsidRPr="0066049D" w:rsidRDefault="00E6091F" w:rsidP="0066049D">
      <w:pPr>
        <w:pStyle w:val="Sinespaciado"/>
        <w:spacing w:line="276" w:lineRule="auto"/>
        <w:rPr>
          <w:rFonts w:ascii="Arial Narrow" w:hAnsi="Arial Narrow"/>
          <w:sz w:val="26"/>
          <w:szCs w:val="26"/>
        </w:rPr>
      </w:pPr>
    </w:p>
    <w:p w:rsidR="00E6091F" w:rsidRPr="0066049D" w:rsidRDefault="00A5200D" w:rsidP="0066049D">
      <w:pPr>
        <w:pStyle w:val="Textoindependiente31"/>
        <w:numPr>
          <w:ilvl w:val="0"/>
          <w:numId w:val="1"/>
        </w:numPr>
        <w:tabs>
          <w:tab w:val="left" w:pos="993"/>
        </w:tabs>
        <w:spacing w:line="276" w:lineRule="auto"/>
        <w:ind w:left="0" w:firstLine="708"/>
        <w:rPr>
          <w:rFonts w:ascii="Arial Narrow" w:hAnsi="Arial Narrow" w:cs="Arial"/>
          <w:sz w:val="26"/>
          <w:szCs w:val="26"/>
        </w:rPr>
      </w:pPr>
      <w:r w:rsidRPr="0066049D">
        <w:rPr>
          <w:rFonts w:ascii="Arial Narrow" w:hAnsi="Arial Narrow" w:cs="Arial"/>
          <w:b/>
          <w:spacing w:val="-2"/>
          <w:sz w:val="26"/>
          <w:szCs w:val="26"/>
        </w:rPr>
        <w:t>R</w:t>
      </w:r>
      <w:r w:rsidR="00BC69FE" w:rsidRPr="0066049D">
        <w:rPr>
          <w:rFonts w:ascii="Arial Narrow" w:hAnsi="Arial Narrow" w:cs="Arial"/>
          <w:b/>
          <w:spacing w:val="-2"/>
          <w:sz w:val="26"/>
          <w:szCs w:val="26"/>
        </w:rPr>
        <w:t>evoca</w:t>
      </w:r>
      <w:r w:rsidR="00E6091F" w:rsidRPr="0066049D">
        <w:rPr>
          <w:rFonts w:ascii="Arial Narrow" w:hAnsi="Arial Narrow" w:cs="Arial"/>
          <w:b/>
          <w:spacing w:val="-2"/>
          <w:sz w:val="26"/>
          <w:szCs w:val="26"/>
        </w:rPr>
        <w:t xml:space="preserve"> </w:t>
      </w:r>
      <w:r w:rsidR="00E6091F" w:rsidRPr="0066049D">
        <w:rPr>
          <w:rFonts w:ascii="Arial Narrow" w:hAnsi="Arial Narrow" w:cs="Arial"/>
          <w:spacing w:val="-2"/>
          <w:sz w:val="26"/>
          <w:szCs w:val="26"/>
        </w:rPr>
        <w:t xml:space="preserve">la sentencia del </w:t>
      </w:r>
      <w:r w:rsidR="009B73E6" w:rsidRPr="0066049D">
        <w:rPr>
          <w:rFonts w:ascii="Arial Narrow" w:hAnsi="Arial Narrow" w:cs="Arial"/>
          <w:spacing w:val="-2"/>
          <w:sz w:val="26"/>
          <w:szCs w:val="26"/>
        </w:rPr>
        <w:t>26 de octubre de 2018</w:t>
      </w:r>
      <w:r w:rsidR="00E6091F" w:rsidRPr="0066049D">
        <w:rPr>
          <w:rFonts w:ascii="Arial Narrow" w:hAnsi="Arial Narrow" w:cs="Arial"/>
          <w:spacing w:val="-2"/>
          <w:sz w:val="26"/>
          <w:szCs w:val="26"/>
        </w:rPr>
        <w:t xml:space="preserve"> dictada por el Juzgado </w:t>
      </w:r>
      <w:r w:rsidR="00690668" w:rsidRPr="0066049D">
        <w:rPr>
          <w:rFonts w:ascii="Arial Narrow" w:hAnsi="Arial Narrow" w:cs="Arial"/>
          <w:spacing w:val="-2"/>
          <w:sz w:val="26"/>
          <w:szCs w:val="26"/>
        </w:rPr>
        <w:t>Segundo</w:t>
      </w:r>
      <w:r w:rsidR="00E6091F" w:rsidRPr="0066049D">
        <w:rPr>
          <w:rFonts w:ascii="Arial Narrow" w:hAnsi="Arial Narrow" w:cs="Arial"/>
          <w:spacing w:val="-2"/>
          <w:sz w:val="26"/>
          <w:szCs w:val="26"/>
        </w:rPr>
        <w:t xml:space="preserve"> Laboral del Circuito de Pereira, dent</w:t>
      </w:r>
      <w:r w:rsidR="00690668" w:rsidRPr="0066049D">
        <w:rPr>
          <w:rFonts w:ascii="Arial Narrow" w:hAnsi="Arial Narrow" w:cs="Arial"/>
          <w:spacing w:val="-2"/>
          <w:sz w:val="26"/>
          <w:szCs w:val="26"/>
        </w:rPr>
        <w:t>ro del proceso de la referencia y en consecuencia:</w:t>
      </w:r>
    </w:p>
    <w:p w:rsidR="00E626A4" w:rsidRPr="0066049D" w:rsidRDefault="00E626A4" w:rsidP="0066049D">
      <w:pPr>
        <w:pStyle w:val="Sinespaciado"/>
        <w:spacing w:line="276" w:lineRule="auto"/>
        <w:rPr>
          <w:rFonts w:ascii="Arial Narrow" w:hAnsi="Arial Narrow"/>
          <w:sz w:val="26"/>
          <w:szCs w:val="26"/>
        </w:rPr>
      </w:pPr>
    </w:p>
    <w:p w:rsidR="00BC69FE" w:rsidRPr="0066049D" w:rsidRDefault="00BC69FE" w:rsidP="0066049D">
      <w:pPr>
        <w:pStyle w:val="Textoindependiente31"/>
        <w:numPr>
          <w:ilvl w:val="0"/>
          <w:numId w:val="1"/>
        </w:numPr>
        <w:tabs>
          <w:tab w:val="left" w:pos="993"/>
        </w:tabs>
        <w:spacing w:line="276" w:lineRule="auto"/>
        <w:ind w:left="0" w:firstLine="708"/>
        <w:rPr>
          <w:rFonts w:ascii="Arial Narrow" w:hAnsi="Arial Narrow"/>
          <w:sz w:val="26"/>
          <w:szCs w:val="26"/>
        </w:rPr>
      </w:pPr>
      <w:r w:rsidRPr="0066049D">
        <w:rPr>
          <w:rFonts w:ascii="Arial Narrow" w:hAnsi="Arial Narrow" w:cs="Arial"/>
          <w:b/>
          <w:spacing w:val="-2"/>
          <w:sz w:val="26"/>
          <w:szCs w:val="26"/>
        </w:rPr>
        <w:lastRenderedPageBreak/>
        <w:t>Declara</w:t>
      </w:r>
      <w:r w:rsidR="00690668" w:rsidRPr="0066049D">
        <w:rPr>
          <w:rFonts w:ascii="Arial Narrow" w:hAnsi="Arial Narrow" w:cs="Arial"/>
          <w:b/>
          <w:spacing w:val="-2"/>
          <w:sz w:val="26"/>
          <w:szCs w:val="26"/>
        </w:rPr>
        <w:t xml:space="preserve"> </w:t>
      </w:r>
      <w:r w:rsidR="00690668" w:rsidRPr="0066049D">
        <w:rPr>
          <w:rFonts w:ascii="Arial Narrow" w:hAnsi="Arial Narrow" w:cs="Arial"/>
          <w:spacing w:val="-2"/>
          <w:sz w:val="26"/>
          <w:szCs w:val="26"/>
        </w:rPr>
        <w:t xml:space="preserve">que el Señor Oscar Betancur Colorado tiene derecho al reconocimiento y pago de la pensión de jubilación prevista en la Ley 33 de 1985, norma aplicable por virtud del régimen de transición contenido en el artículo 36 de la Ley </w:t>
      </w:r>
      <w:r w:rsidRPr="0066049D">
        <w:rPr>
          <w:rFonts w:ascii="Arial Narrow" w:hAnsi="Arial Narrow" w:cs="Arial"/>
          <w:spacing w:val="-2"/>
          <w:sz w:val="26"/>
          <w:szCs w:val="26"/>
        </w:rPr>
        <w:t>100</w:t>
      </w:r>
      <w:r w:rsidR="00290B20" w:rsidRPr="0066049D">
        <w:rPr>
          <w:rFonts w:ascii="Arial Narrow" w:hAnsi="Arial Narrow" w:cs="Arial"/>
          <w:spacing w:val="-2"/>
          <w:sz w:val="26"/>
          <w:szCs w:val="26"/>
        </w:rPr>
        <w:t>/93</w:t>
      </w:r>
      <w:r w:rsidRPr="0066049D">
        <w:rPr>
          <w:rFonts w:ascii="Arial Narrow" w:hAnsi="Arial Narrow" w:cs="Arial"/>
          <w:spacing w:val="-2"/>
          <w:sz w:val="26"/>
          <w:szCs w:val="26"/>
        </w:rPr>
        <w:t xml:space="preserve">. </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1"/>
        <w:numPr>
          <w:ilvl w:val="0"/>
          <w:numId w:val="1"/>
        </w:numPr>
        <w:tabs>
          <w:tab w:val="left" w:pos="993"/>
        </w:tabs>
        <w:spacing w:line="276" w:lineRule="auto"/>
        <w:ind w:left="0" w:firstLine="708"/>
        <w:rPr>
          <w:rFonts w:ascii="Arial Narrow" w:hAnsi="Arial Narrow"/>
          <w:sz w:val="26"/>
          <w:szCs w:val="26"/>
        </w:rPr>
      </w:pPr>
      <w:r w:rsidRPr="0066049D">
        <w:rPr>
          <w:rFonts w:ascii="Arial Narrow" w:hAnsi="Arial Narrow" w:cs="Arial"/>
          <w:b/>
          <w:spacing w:val="-2"/>
          <w:sz w:val="26"/>
          <w:szCs w:val="26"/>
        </w:rPr>
        <w:t>Condenar</w:t>
      </w:r>
      <w:r w:rsidR="00690668" w:rsidRPr="0066049D">
        <w:rPr>
          <w:rFonts w:ascii="Arial Narrow" w:hAnsi="Arial Narrow" w:cs="Arial"/>
          <w:b/>
          <w:spacing w:val="-2"/>
          <w:sz w:val="26"/>
          <w:szCs w:val="26"/>
        </w:rPr>
        <w:t xml:space="preserve"> </w:t>
      </w:r>
      <w:r w:rsidR="00690668" w:rsidRPr="0066049D">
        <w:rPr>
          <w:rFonts w:ascii="Arial Narrow" w:hAnsi="Arial Narrow" w:cs="Arial"/>
          <w:spacing w:val="-2"/>
          <w:sz w:val="26"/>
          <w:szCs w:val="26"/>
        </w:rPr>
        <w:t>a la Administradora Colombiana de Pensiones Colpensiones a reconocer dicha pre</w:t>
      </w:r>
      <w:r w:rsidR="009B73E6" w:rsidRPr="0066049D">
        <w:rPr>
          <w:rFonts w:ascii="Arial Narrow" w:hAnsi="Arial Narrow" w:cs="Arial"/>
          <w:spacing w:val="-2"/>
          <w:sz w:val="26"/>
          <w:szCs w:val="26"/>
        </w:rPr>
        <w:t xml:space="preserve">stación pensional </w:t>
      </w:r>
      <w:r w:rsidRPr="0066049D">
        <w:rPr>
          <w:rFonts w:ascii="Arial Narrow" w:hAnsi="Arial Narrow" w:cs="Arial"/>
          <w:spacing w:val="-2"/>
          <w:sz w:val="26"/>
          <w:szCs w:val="26"/>
        </w:rPr>
        <w:t xml:space="preserve">desde el 5 de abril de 2011, en cuantía de $1`105.967 y, a razón de 14 mesadas anuales. </w:t>
      </w:r>
      <w:r w:rsidR="00E626A4" w:rsidRPr="0066049D">
        <w:rPr>
          <w:rFonts w:ascii="Arial Narrow" w:hAnsi="Arial Narrow" w:cs="Arial"/>
          <w:spacing w:val="-2"/>
          <w:sz w:val="26"/>
          <w:szCs w:val="26"/>
        </w:rPr>
        <w:t>Se advierte que para el año 2019 la mesada pensional asciende a $ 1`505.935.</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Arial"/>
          <w:b/>
          <w:spacing w:val="-2"/>
          <w:sz w:val="26"/>
          <w:szCs w:val="26"/>
        </w:rPr>
        <w:t xml:space="preserve">4. Condena </w:t>
      </w:r>
      <w:r w:rsidRPr="0066049D">
        <w:rPr>
          <w:rFonts w:ascii="Arial Narrow" w:hAnsi="Arial Narrow" w:cs="Arial"/>
          <w:spacing w:val="-2"/>
          <w:sz w:val="26"/>
          <w:szCs w:val="26"/>
        </w:rPr>
        <w:t xml:space="preserve">a la Administradora Colombiana de Pensiones Colpensiones a reconocer por concepto de retroactivo pensional causado entre el 30 de enero de 2012 al 30 de noviembre de 2019, la suma de $ </w:t>
      </w:r>
      <w:r w:rsidRPr="0066049D">
        <w:rPr>
          <w:rFonts w:ascii="Arial Narrow" w:hAnsi="Arial Narrow" w:cs="Tahoma"/>
          <w:bCs/>
          <w:iCs/>
          <w:sz w:val="26"/>
          <w:szCs w:val="26"/>
        </w:rPr>
        <w:t>142`222.968, sin perjuicio de que se siga generando hasta su solución.</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Arial"/>
          <w:b/>
          <w:sz w:val="26"/>
          <w:szCs w:val="26"/>
        </w:rPr>
        <w:t>5. Condena</w:t>
      </w:r>
      <w:r w:rsidRPr="0066049D">
        <w:rPr>
          <w:rFonts w:ascii="Arial Narrow" w:hAnsi="Arial Narrow" w:cs="Arial"/>
          <w:i/>
          <w:sz w:val="26"/>
          <w:szCs w:val="26"/>
        </w:rPr>
        <w:t xml:space="preserve"> </w:t>
      </w:r>
      <w:r w:rsidRPr="0066049D">
        <w:rPr>
          <w:rFonts w:ascii="Arial Narrow" w:hAnsi="Arial Narrow" w:cs="Arial"/>
          <w:sz w:val="26"/>
          <w:szCs w:val="26"/>
        </w:rPr>
        <w:t xml:space="preserve">a la Administradora Colombiana de Pensiones Colpensiones, a indexar el valor reconocido, desde la fecha de causación de cada mesada, por separado, y hasta la fecha del pago total de la obligación. </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Tahoma"/>
          <w:b/>
          <w:bCs/>
          <w:iCs/>
          <w:sz w:val="26"/>
          <w:szCs w:val="26"/>
        </w:rPr>
        <w:t>5. Declara</w:t>
      </w:r>
      <w:r w:rsidRPr="0066049D">
        <w:rPr>
          <w:rFonts w:ascii="Arial Narrow" w:hAnsi="Arial Narrow" w:cs="Tahoma"/>
          <w:bCs/>
          <w:iCs/>
          <w:sz w:val="26"/>
          <w:szCs w:val="26"/>
        </w:rPr>
        <w:t xml:space="preserve"> parcialmente probada la excepción de prescripción propuesta por Colpensiones, respecto de las mesadas causadas antes del 30 de enero de 2012.</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Tahoma"/>
          <w:b/>
          <w:bCs/>
          <w:iCs/>
          <w:sz w:val="26"/>
          <w:szCs w:val="26"/>
        </w:rPr>
        <w:t>6. Negar</w:t>
      </w:r>
      <w:r w:rsidRPr="0066049D">
        <w:rPr>
          <w:rFonts w:ascii="Arial Narrow" w:hAnsi="Arial Narrow" w:cs="Tahoma"/>
          <w:bCs/>
          <w:iCs/>
          <w:sz w:val="26"/>
          <w:szCs w:val="26"/>
        </w:rPr>
        <w:t xml:space="preserve"> las demás pretensiones. </w:t>
      </w:r>
    </w:p>
    <w:p w:rsidR="00BC69FE" w:rsidRPr="0066049D" w:rsidRDefault="00BC69FE" w:rsidP="0066049D">
      <w:pPr>
        <w:pStyle w:val="Sinespaciado"/>
        <w:spacing w:line="276" w:lineRule="auto"/>
        <w:rPr>
          <w:rFonts w:ascii="Arial Narrow" w:hAnsi="Arial Narrow"/>
          <w:sz w:val="26"/>
          <w:szCs w:val="26"/>
        </w:rPr>
      </w:pPr>
    </w:p>
    <w:p w:rsidR="00BC69FE" w:rsidRPr="0066049D" w:rsidRDefault="00BC69FE" w:rsidP="0066049D">
      <w:pPr>
        <w:pStyle w:val="Textoindependiente33"/>
        <w:spacing w:line="276" w:lineRule="auto"/>
        <w:ind w:firstLine="708"/>
        <w:rPr>
          <w:rFonts w:ascii="Arial Narrow" w:hAnsi="Arial Narrow" w:cs="Tahoma"/>
          <w:bCs/>
          <w:iCs/>
          <w:sz w:val="26"/>
          <w:szCs w:val="26"/>
        </w:rPr>
      </w:pPr>
      <w:r w:rsidRPr="0066049D">
        <w:rPr>
          <w:rFonts w:ascii="Arial Narrow" w:hAnsi="Arial Narrow" w:cs="Tahoma"/>
          <w:b/>
          <w:bCs/>
          <w:iCs/>
          <w:sz w:val="26"/>
          <w:szCs w:val="26"/>
        </w:rPr>
        <w:t>7.</w:t>
      </w:r>
      <w:r w:rsidRPr="0066049D">
        <w:rPr>
          <w:rFonts w:ascii="Arial Narrow" w:hAnsi="Arial Narrow" w:cs="Tahoma"/>
          <w:bCs/>
          <w:iCs/>
          <w:sz w:val="26"/>
          <w:szCs w:val="26"/>
        </w:rPr>
        <w:t xml:space="preserve"> Costas en ambas instancias a cargo de Colpensiones. </w:t>
      </w:r>
    </w:p>
    <w:p w:rsidR="00690668" w:rsidRPr="0066049D" w:rsidRDefault="00690668" w:rsidP="0066049D">
      <w:pPr>
        <w:pStyle w:val="Textoindependiente31"/>
        <w:spacing w:line="276" w:lineRule="auto"/>
        <w:ind w:left="708"/>
        <w:rPr>
          <w:rFonts w:ascii="Arial Narrow" w:hAnsi="Arial Narrow" w:cs="Arial"/>
          <w:sz w:val="26"/>
          <w:szCs w:val="26"/>
        </w:rPr>
      </w:pPr>
    </w:p>
    <w:p w:rsidR="00E6091F" w:rsidRPr="0066049D" w:rsidRDefault="00E6091F" w:rsidP="0066049D">
      <w:pPr>
        <w:spacing w:line="276" w:lineRule="auto"/>
        <w:jc w:val="both"/>
        <w:rPr>
          <w:rFonts w:ascii="Arial Narrow" w:hAnsi="Arial Narrow" w:cs="Microsoft Sans Serif"/>
          <w:b/>
          <w:bCs/>
          <w:i/>
          <w:iCs/>
          <w:sz w:val="26"/>
          <w:szCs w:val="26"/>
          <w:lang w:val="es-ES"/>
        </w:rPr>
      </w:pPr>
      <w:r w:rsidRPr="0066049D">
        <w:rPr>
          <w:rFonts w:ascii="Arial Narrow" w:hAnsi="Arial Narrow" w:cs="Microsoft Sans Serif"/>
          <w:b/>
          <w:bCs/>
          <w:i/>
          <w:iCs/>
          <w:sz w:val="26"/>
          <w:szCs w:val="26"/>
          <w:lang w:val="es-ES"/>
        </w:rPr>
        <w:t>NOTIFÍQUESE, CÚMPLASE Y DEVUÉLVASE.</w:t>
      </w:r>
    </w:p>
    <w:p w:rsidR="00E6091F" w:rsidRPr="0066049D" w:rsidRDefault="00E6091F" w:rsidP="0066049D">
      <w:pPr>
        <w:pStyle w:val="Sinespaciado"/>
        <w:spacing w:line="276" w:lineRule="auto"/>
        <w:rPr>
          <w:rFonts w:ascii="Arial Narrow" w:hAnsi="Arial Narrow"/>
          <w:sz w:val="26"/>
          <w:szCs w:val="26"/>
          <w:lang w:val="es-ES"/>
        </w:rPr>
      </w:pPr>
    </w:p>
    <w:p w:rsidR="00E6091F" w:rsidRPr="0066049D" w:rsidRDefault="00E6091F" w:rsidP="0066049D">
      <w:pPr>
        <w:spacing w:line="276" w:lineRule="auto"/>
        <w:ind w:firstLine="900"/>
        <w:jc w:val="both"/>
        <w:rPr>
          <w:rFonts w:ascii="Arial Narrow" w:hAnsi="Arial Narrow" w:cs="Microsoft Sans Serif"/>
          <w:bCs/>
          <w:iCs/>
          <w:sz w:val="26"/>
          <w:szCs w:val="26"/>
          <w:lang w:val="es-ES"/>
        </w:rPr>
      </w:pPr>
      <w:r w:rsidRPr="0066049D">
        <w:rPr>
          <w:rFonts w:ascii="Arial Narrow" w:hAnsi="Arial Narrow" w:cs="Microsoft Sans Serif"/>
          <w:bCs/>
          <w:iCs/>
          <w:sz w:val="26"/>
          <w:szCs w:val="26"/>
          <w:lang w:val="es-ES"/>
        </w:rPr>
        <w:t>La anterior decisión queda notificada en estrados.</w:t>
      </w:r>
    </w:p>
    <w:p w:rsidR="0066049D" w:rsidRPr="0066049D" w:rsidRDefault="0066049D" w:rsidP="0066049D">
      <w:pPr>
        <w:spacing w:line="288" w:lineRule="auto"/>
        <w:rPr>
          <w:rFonts w:ascii="Arial Narrow" w:hAnsi="Arial Narrow"/>
          <w:spacing w:val="-4"/>
          <w:sz w:val="26"/>
          <w:szCs w:val="26"/>
          <w:lang w:val="es-ES"/>
        </w:rPr>
      </w:pPr>
    </w:p>
    <w:p w:rsidR="0066049D" w:rsidRPr="0066049D" w:rsidRDefault="0066049D" w:rsidP="0066049D">
      <w:pPr>
        <w:spacing w:line="288" w:lineRule="auto"/>
        <w:rPr>
          <w:rFonts w:ascii="Arial Narrow" w:hAnsi="Arial Narrow"/>
          <w:spacing w:val="-4"/>
          <w:sz w:val="26"/>
          <w:szCs w:val="26"/>
          <w:lang w:val="es-ES"/>
        </w:rPr>
      </w:pPr>
    </w:p>
    <w:p w:rsidR="0066049D" w:rsidRPr="0066049D" w:rsidRDefault="0066049D" w:rsidP="0066049D">
      <w:pPr>
        <w:spacing w:line="288" w:lineRule="auto"/>
        <w:rPr>
          <w:rFonts w:ascii="Arial Narrow" w:hAnsi="Arial Narrow" w:cs="Microsoft Sans Serif"/>
          <w:bCs/>
          <w:iCs/>
          <w:color w:val="000000"/>
          <w:spacing w:val="-4"/>
          <w:sz w:val="26"/>
          <w:szCs w:val="26"/>
          <w:lang w:val="es-ES"/>
        </w:rPr>
      </w:pPr>
    </w:p>
    <w:p w:rsidR="0066049D" w:rsidRPr="0066049D" w:rsidRDefault="0066049D" w:rsidP="0066049D">
      <w:pPr>
        <w:spacing w:line="288" w:lineRule="auto"/>
        <w:jc w:val="center"/>
        <w:rPr>
          <w:rFonts w:ascii="Arial Narrow" w:hAnsi="Arial Narrow" w:cs="Microsoft Sans Serif"/>
          <w:b/>
          <w:bCs/>
          <w:iCs/>
          <w:color w:val="000000"/>
          <w:spacing w:val="-4"/>
          <w:sz w:val="26"/>
          <w:szCs w:val="26"/>
          <w:lang w:val="es-ES"/>
        </w:rPr>
      </w:pPr>
      <w:r w:rsidRPr="0066049D">
        <w:rPr>
          <w:rFonts w:ascii="Arial Narrow" w:hAnsi="Arial Narrow" w:cs="Microsoft Sans Serif"/>
          <w:b/>
          <w:bCs/>
          <w:iCs/>
          <w:color w:val="000000"/>
          <w:spacing w:val="-4"/>
          <w:sz w:val="26"/>
          <w:szCs w:val="26"/>
          <w:lang w:val="es-ES"/>
        </w:rPr>
        <w:t>FRANCISCO JAVIER TAMAYO TABARES</w:t>
      </w:r>
    </w:p>
    <w:p w:rsidR="0066049D" w:rsidRPr="0066049D" w:rsidRDefault="0066049D" w:rsidP="0066049D">
      <w:pPr>
        <w:spacing w:line="288" w:lineRule="auto"/>
        <w:jc w:val="center"/>
        <w:rPr>
          <w:rFonts w:ascii="Arial Narrow" w:hAnsi="Arial Narrow" w:cs="Microsoft Sans Serif"/>
          <w:color w:val="000000"/>
          <w:spacing w:val="-4"/>
          <w:sz w:val="26"/>
          <w:szCs w:val="26"/>
          <w:lang w:val="es-ES"/>
        </w:rPr>
      </w:pPr>
      <w:r w:rsidRPr="0066049D">
        <w:rPr>
          <w:rFonts w:ascii="Arial Narrow" w:hAnsi="Arial Narrow" w:cs="Microsoft Sans Serif"/>
          <w:color w:val="000000"/>
          <w:spacing w:val="-4"/>
          <w:sz w:val="26"/>
          <w:szCs w:val="26"/>
          <w:lang w:val="es-ES"/>
        </w:rPr>
        <w:t xml:space="preserve">Magistrado Ponente </w:t>
      </w:r>
    </w:p>
    <w:p w:rsidR="0066049D" w:rsidRPr="0066049D" w:rsidRDefault="0066049D" w:rsidP="0066049D">
      <w:pPr>
        <w:spacing w:line="288" w:lineRule="auto"/>
        <w:jc w:val="both"/>
        <w:rPr>
          <w:rFonts w:ascii="Arial Narrow" w:hAnsi="Arial Narrow" w:cs="Microsoft Sans Serif"/>
          <w:color w:val="000000"/>
          <w:spacing w:val="-4"/>
          <w:sz w:val="26"/>
          <w:szCs w:val="26"/>
          <w:lang w:val="es-ES"/>
        </w:rPr>
      </w:pPr>
    </w:p>
    <w:p w:rsidR="0066049D" w:rsidRPr="0066049D" w:rsidRDefault="0066049D" w:rsidP="0066049D">
      <w:pPr>
        <w:spacing w:line="288" w:lineRule="auto"/>
        <w:rPr>
          <w:rFonts w:ascii="Arial Narrow" w:hAnsi="Arial Narrow"/>
          <w:spacing w:val="-4"/>
          <w:sz w:val="26"/>
          <w:szCs w:val="26"/>
        </w:rPr>
      </w:pPr>
    </w:p>
    <w:p w:rsidR="0066049D" w:rsidRPr="0066049D" w:rsidRDefault="0066049D" w:rsidP="0066049D">
      <w:pPr>
        <w:spacing w:line="288" w:lineRule="auto"/>
        <w:rPr>
          <w:rFonts w:ascii="Arial Narrow" w:hAnsi="Arial Narrow"/>
          <w:spacing w:val="-4"/>
          <w:sz w:val="26"/>
          <w:szCs w:val="26"/>
        </w:rPr>
      </w:pPr>
    </w:p>
    <w:p w:rsidR="00E6091F" w:rsidRPr="0066049D" w:rsidRDefault="00E6091F" w:rsidP="0066049D">
      <w:pPr>
        <w:spacing w:line="276" w:lineRule="auto"/>
        <w:jc w:val="both"/>
        <w:rPr>
          <w:rFonts w:ascii="Arial Narrow" w:hAnsi="Arial Narrow" w:cs="Microsoft Sans Serif"/>
          <w:b/>
          <w:bCs/>
          <w:iCs/>
          <w:sz w:val="26"/>
          <w:szCs w:val="26"/>
          <w:lang w:val="es-ES"/>
        </w:rPr>
      </w:pPr>
      <w:r w:rsidRPr="0066049D">
        <w:rPr>
          <w:rFonts w:ascii="Arial Narrow" w:hAnsi="Arial Narrow" w:cs="Microsoft Sans Serif"/>
          <w:b/>
          <w:bCs/>
          <w:iCs/>
          <w:sz w:val="26"/>
          <w:szCs w:val="26"/>
          <w:lang w:val="es-ES"/>
        </w:rPr>
        <w:t xml:space="preserve">ANA LUCIA CAICEDO </w:t>
      </w:r>
      <w:r w:rsidR="0066049D" w:rsidRPr="0066049D">
        <w:rPr>
          <w:rFonts w:ascii="Arial Narrow" w:hAnsi="Arial Narrow" w:cs="Microsoft Sans Serif"/>
          <w:b/>
          <w:bCs/>
          <w:iCs/>
          <w:sz w:val="26"/>
          <w:szCs w:val="26"/>
          <w:lang w:val="es-ES"/>
        </w:rPr>
        <w:t>CALDERÓN</w:t>
      </w:r>
      <w:r w:rsidR="0066049D">
        <w:rPr>
          <w:rFonts w:ascii="Arial Narrow" w:hAnsi="Arial Narrow" w:cs="Microsoft Sans Serif"/>
          <w:b/>
          <w:bCs/>
          <w:iCs/>
          <w:sz w:val="26"/>
          <w:szCs w:val="26"/>
          <w:lang w:val="es-ES"/>
        </w:rPr>
        <w:tab/>
      </w:r>
      <w:r w:rsidR="0066049D">
        <w:rPr>
          <w:rFonts w:ascii="Arial Narrow" w:hAnsi="Arial Narrow" w:cs="Microsoft Sans Serif"/>
          <w:b/>
          <w:bCs/>
          <w:iCs/>
          <w:sz w:val="26"/>
          <w:szCs w:val="26"/>
          <w:lang w:val="es-ES"/>
        </w:rPr>
        <w:tab/>
      </w:r>
      <w:r w:rsidR="0066049D">
        <w:rPr>
          <w:rFonts w:ascii="Arial Narrow" w:hAnsi="Arial Narrow" w:cs="Microsoft Sans Serif"/>
          <w:b/>
          <w:bCs/>
          <w:iCs/>
          <w:sz w:val="26"/>
          <w:szCs w:val="26"/>
          <w:lang w:val="es-ES"/>
        </w:rPr>
        <w:tab/>
      </w:r>
      <w:r w:rsidR="0066049D">
        <w:rPr>
          <w:rFonts w:ascii="Arial Narrow" w:hAnsi="Arial Narrow" w:cs="Microsoft Sans Serif"/>
          <w:b/>
          <w:bCs/>
          <w:iCs/>
          <w:sz w:val="26"/>
          <w:szCs w:val="26"/>
          <w:lang w:val="es-ES"/>
        </w:rPr>
        <w:tab/>
      </w:r>
      <w:r w:rsidR="00BC69FE" w:rsidRPr="0066049D">
        <w:rPr>
          <w:rFonts w:ascii="Arial Narrow" w:hAnsi="Arial Narrow" w:cs="Microsoft Sans Serif"/>
          <w:b/>
          <w:bCs/>
          <w:iCs/>
          <w:sz w:val="26"/>
          <w:szCs w:val="26"/>
          <w:lang w:val="es-ES"/>
        </w:rPr>
        <w:t>JULIO CESAR SALAZAR  MUÑOZ</w:t>
      </w:r>
    </w:p>
    <w:p w:rsidR="00BC69FE" w:rsidRPr="0066049D" w:rsidRDefault="00E6091F" w:rsidP="0066049D">
      <w:pPr>
        <w:spacing w:line="276" w:lineRule="auto"/>
        <w:jc w:val="both"/>
        <w:rPr>
          <w:rFonts w:ascii="Arial Narrow" w:hAnsi="Arial Narrow" w:cs="Microsoft Sans Serif"/>
          <w:bCs/>
          <w:iCs/>
          <w:sz w:val="26"/>
          <w:szCs w:val="26"/>
          <w:lang w:val="es-ES"/>
        </w:rPr>
      </w:pPr>
      <w:r w:rsidRPr="0066049D">
        <w:rPr>
          <w:rFonts w:ascii="Arial Narrow" w:hAnsi="Arial Narrow" w:cs="Microsoft Sans Serif"/>
          <w:b/>
          <w:bCs/>
          <w:iCs/>
          <w:sz w:val="26"/>
          <w:szCs w:val="26"/>
          <w:lang w:val="es-ES"/>
        </w:rPr>
        <w:t xml:space="preserve">    </w:t>
      </w:r>
      <w:r w:rsidRPr="0066049D">
        <w:rPr>
          <w:rFonts w:ascii="Arial Narrow" w:hAnsi="Arial Narrow" w:cs="Microsoft Sans Serif"/>
          <w:bCs/>
          <w:iCs/>
          <w:sz w:val="26"/>
          <w:szCs w:val="26"/>
          <w:lang w:val="es-ES"/>
        </w:rPr>
        <w:t xml:space="preserve">              Magistrada</w:t>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r>
      <w:r w:rsidR="0066049D">
        <w:rPr>
          <w:rFonts w:ascii="Arial Narrow" w:hAnsi="Arial Narrow" w:cs="Microsoft Sans Serif"/>
          <w:bCs/>
          <w:iCs/>
          <w:sz w:val="26"/>
          <w:szCs w:val="26"/>
          <w:lang w:val="es-ES"/>
        </w:rPr>
        <w:tab/>
        <w:t xml:space="preserve">        </w:t>
      </w:r>
      <w:r w:rsidRPr="0066049D">
        <w:rPr>
          <w:rFonts w:ascii="Arial Narrow" w:hAnsi="Arial Narrow" w:cs="Microsoft Sans Serif"/>
          <w:bCs/>
          <w:iCs/>
          <w:sz w:val="26"/>
          <w:szCs w:val="26"/>
          <w:lang w:val="es-ES"/>
        </w:rPr>
        <w:t>Magistrad</w:t>
      </w:r>
      <w:r w:rsidR="00BC69FE" w:rsidRPr="0066049D">
        <w:rPr>
          <w:rFonts w:ascii="Arial Narrow" w:hAnsi="Arial Narrow" w:cs="Microsoft Sans Serif"/>
          <w:bCs/>
          <w:iCs/>
          <w:sz w:val="26"/>
          <w:szCs w:val="26"/>
          <w:lang w:val="es-ES"/>
        </w:rPr>
        <w:t>o</w:t>
      </w:r>
    </w:p>
    <w:p w:rsidR="00E6091F" w:rsidRPr="00BC69FE" w:rsidRDefault="00BC69FE" w:rsidP="00E6091F">
      <w:pPr>
        <w:jc w:val="both"/>
        <w:rPr>
          <w:rFonts w:ascii="Arial Narrow" w:hAnsi="Arial Narrow" w:cs="Microsoft Sans Serif"/>
          <w:bCs/>
          <w:iCs/>
          <w:sz w:val="28"/>
          <w:szCs w:val="28"/>
          <w:lang w:val="es-ES"/>
        </w:rPr>
      </w:pP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Pr="00BC69FE">
        <w:rPr>
          <w:rFonts w:ascii="Arial Narrow" w:hAnsi="Arial Narrow" w:cs="Microsoft Sans Serif"/>
          <w:bCs/>
          <w:iCs/>
          <w:sz w:val="28"/>
          <w:szCs w:val="28"/>
          <w:lang w:val="es-ES"/>
        </w:rPr>
        <w:tab/>
      </w:r>
      <w:r w:rsidR="0066049D">
        <w:rPr>
          <w:rFonts w:ascii="Arial Narrow" w:hAnsi="Arial Narrow" w:cs="Microsoft Sans Serif"/>
          <w:bCs/>
          <w:iCs/>
          <w:sz w:val="28"/>
          <w:szCs w:val="28"/>
          <w:lang w:val="es-ES"/>
        </w:rPr>
        <w:tab/>
      </w:r>
      <w:r w:rsidR="0066049D">
        <w:rPr>
          <w:rFonts w:ascii="Arial Narrow" w:hAnsi="Arial Narrow" w:cs="Microsoft Sans Serif"/>
          <w:bCs/>
          <w:iCs/>
          <w:sz w:val="26"/>
          <w:szCs w:val="26"/>
          <w:lang w:val="es-ES"/>
        </w:rPr>
        <w:t xml:space="preserve">        </w:t>
      </w:r>
      <w:r w:rsidR="0066049D">
        <w:rPr>
          <w:rFonts w:ascii="Arial Narrow" w:hAnsi="Arial Narrow" w:cs="Microsoft Sans Serif"/>
          <w:bCs/>
          <w:iCs/>
          <w:sz w:val="28"/>
          <w:szCs w:val="28"/>
          <w:lang w:val="es-ES"/>
        </w:rPr>
        <w:t>Salva voto</w:t>
      </w:r>
    </w:p>
    <w:p w:rsidR="00E626A4" w:rsidRDefault="00E626A4" w:rsidP="00290B20">
      <w:pPr>
        <w:jc w:val="center"/>
        <w:rPr>
          <w:rFonts w:ascii="Arial Narrow" w:hAnsi="Arial Narrow" w:cs="Microsoft Sans Serif"/>
          <w:b/>
          <w:bCs/>
          <w:iCs/>
          <w:sz w:val="28"/>
          <w:szCs w:val="28"/>
          <w:lang w:val="es-ES"/>
        </w:rPr>
      </w:pPr>
    </w:p>
    <w:p w:rsidR="00175678" w:rsidRDefault="00175678">
      <w:pPr>
        <w:spacing w:after="160" w:line="259" w:lineRule="auto"/>
        <w:rPr>
          <w:rFonts w:ascii="Arial Narrow" w:hAnsi="Arial Narrow" w:cs="Microsoft Sans Serif"/>
          <w:b/>
          <w:bCs/>
          <w:iCs/>
          <w:sz w:val="28"/>
          <w:szCs w:val="28"/>
          <w:lang w:val="es-ES"/>
        </w:rPr>
      </w:pPr>
      <w:r>
        <w:rPr>
          <w:rFonts w:ascii="Arial Narrow" w:hAnsi="Arial Narrow" w:cs="Microsoft Sans Serif"/>
          <w:b/>
          <w:bCs/>
          <w:iCs/>
          <w:sz w:val="28"/>
          <w:szCs w:val="28"/>
          <w:lang w:val="es-ES"/>
        </w:rPr>
        <w:br w:type="page"/>
      </w:r>
    </w:p>
    <w:p w:rsidR="00E6091F" w:rsidRPr="00290B20" w:rsidRDefault="00290B20" w:rsidP="00290B20">
      <w:pPr>
        <w:jc w:val="center"/>
        <w:rPr>
          <w:rFonts w:ascii="Arial Narrow" w:hAnsi="Arial Narrow" w:cs="Microsoft Sans Serif"/>
          <w:b/>
          <w:bCs/>
          <w:iCs/>
          <w:sz w:val="28"/>
          <w:szCs w:val="28"/>
          <w:lang w:val="es-ES"/>
        </w:rPr>
      </w:pPr>
      <w:r w:rsidRPr="00290B20">
        <w:rPr>
          <w:rFonts w:ascii="Arial Narrow" w:hAnsi="Arial Narrow" w:cs="Microsoft Sans Serif"/>
          <w:b/>
          <w:bCs/>
          <w:iCs/>
          <w:sz w:val="28"/>
          <w:szCs w:val="28"/>
          <w:lang w:val="es-ES"/>
        </w:rPr>
        <w:lastRenderedPageBreak/>
        <w:t>ANEXOS</w:t>
      </w:r>
    </w:p>
    <w:p w:rsidR="00290B20" w:rsidRDefault="00290B20"/>
    <w:tbl>
      <w:tblPr>
        <w:tblW w:w="1011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851"/>
        <w:gridCol w:w="1217"/>
        <w:gridCol w:w="1156"/>
        <w:gridCol w:w="776"/>
        <w:gridCol w:w="1378"/>
        <w:gridCol w:w="990"/>
        <w:gridCol w:w="1168"/>
        <w:gridCol w:w="1589"/>
      </w:tblGrid>
      <w:tr w:rsidR="00290B20" w:rsidRPr="00290B20" w:rsidTr="00290B20">
        <w:trPr>
          <w:trHeight w:val="225"/>
        </w:trPr>
        <w:tc>
          <w:tcPr>
            <w:tcW w:w="3061" w:type="dxa"/>
            <w:gridSpan w:val="3"/>
            <w:shd w:val="clear" w:color="000000" w:fill="FFFF99"/>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Fecha de nacimiento:</w:t>
            </w:r>
          </w:p>
        </w:tc>
        <w:tc>
          <w:tcPr>
            <w:tcW w:w="1156"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w:t>
            </w:r>
          </w:p>
        </w:tc>
        <w:tc>
          <w:tcPr>
            <w:tcW w:w="776" w:type="dxa"/>
            <w:tcBorders>
              <w:bottom w:val="nil"/>
            </w:tcBorders>
            <w:shd w:val="clear" w:color="auto" w:fill="auto"/>
            <w:noWrap/>
            <w:vAlign w:val="bottom"/>
            <w:hideMark/>
          </w:tcPr>
          <w:p w:rsidR="00290B20" w:rsidRPr="00290B20" w:rsidRDefault="00290B20" w:rsidP="00290B20">
            <w:pPr>
              <w:jc w:val="center"/>
              <w:rPr>
                <w:rFonts w:ascii="Calibri" w:hAnsi="Calibri"/>
                <w:i/>
                <w:iCs/>
                <w:color w:val="000000"/>
                <w:sz w:val="16"/>
                <w:szCs w:val="16"/>
                <w:lang w:val="es-ES"/>
              </w:rPr>
            </w:pPr>
          </w:p>
        </w:tc>
        <w:tc>
          <w:tcPr>
            <w:tcW w:w="3536" w:type="dxa"/>
            <w:gridSpan w:val="3"/>
            <w:shd w:val="clear" w:color="000000" w:fill="FFFF99"/>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Fecha reconocimiento pensión:</w:t>
            </w:r>
          </w:p>
        </w:tc>
        <w:tc>
          <w:tcPr>
            <w:tcW w:w="1589"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05/04/2011</w:t>
            </w:r>
          </w:p>
        </w:tc>
      </w:tr>
      <w:tr w:rsidR="00290B20" w:rsidRPr="00290B20" w:rsidTr="00290B20">
        <w:trPr>
          <w:trHeight w:val="225"/>
        </w:trPr>
        <w:tc>
          <w:tcPr>
            <w:tcW w:w="3061" w:type="dxa"/>
            <w:gridSpan w:val="3"/>
            <w:shd w:val="clear" w:color="000000" w:fill="FFFF99"/>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Total semanas cotizadas:</w:t>
            </w:r>
          </w:p>
        </w:tc>
        <w:tc>
          <w:tcPr>
            <w:tcW w:w="1156" w:type="dxa"/>
            <w:shd w:val="clear" w:color="auto" w:fill="auto"/>
            <w:noWrap/>
            <w:vAlign w:val="center"/>
            <w:hideMark/>
          </w:tcPr>
          <w:p w:rsidR="00290B20" w:rsidRPr="00290B20" w:rsidRDefault="00290B20" w:rsidP="00290B20">
            <w:pPr>
              <w:jc w:val="center"/>
              <w:rPr>
                <w:rFonts w:ascii="Calibri" w:hAnsi="Calibri"/>
                <w:color w:val="000000"/>
                <w:sz w:val="22"/>
                <w:szCs w:val="22"/>
                <w:lang w:val="es-ES"/>
              </w:rPr>
            </w:pPr>
            <w:r w:rsidRPr="00290B20">
              <w:rPr>
                <w:rFonts w:ascii="Calibri" w:hAnsi="Calibri"/>
                <w:color w:val="000000"/>
                <w:sz w:val="22"/>
                <w:szCs w:val="22"/>
                <w:lang w:val="es-ES"/>
              </w:rPr>
              <w:t>514,29</w:t>
            </w:r>
          </w:p>
        </w:tc>
        <w:tc>
          <w:tcPr>
            <w:tcW w:w="776" w:type="dxa"/>
            <w:tcBorders>
              <w:top w:val="nil"/>
              <w:bottom w:val="nil"/>
            </w:tcBorders>
            <w:shd w:val="clear" w:color="auto" w:fill="auto"/>
            <w:noWrap/>
            <w:vAlign w:val="bottom"/>
            <w:hideMark/>
          </w:tcPr>
          <w:p w:rsidR="00290B20" w:rsidRPr="00290B20" w:rsidRDefault="00290B20" w:rsidP="00290B20">
            <w:pPr>
              <w:jc w:val="center"/>
              <w:rPr>
                <w:rFonts w:ascii="Calibri" w:hAnsi="Calibri"/>
                <w:color w:val="000000"/>
                <w:sz w:val="22"/>
                <w:szCs w:val="22"/>
                <w:lang w:val="es-ES"/>
              </w:rPr>
            </w:pPr>
          </w:p>
        </w:tc>
        <w:tc>
          <w:tcPr>
            <w:tcW w:w="1378" w:type="dxa"/>
            <w:shd w:val="clear" w:color="000000" w:fill="FFFF99"/>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Tasa Ley 100/93: </w:t>
            </w:r>
          </w:p>
        </w:tc>
        <w:tc>
          <w:tcPr>
            <w:tcW w:w="990" w:type="dxa"/>
            <w:shd w:val="clear" w:color="auto" w:fill="auto"/>
            <w:noWrap/>
            <w:vAlign w:val="center"/>
            <w:hideMark/>
          </w:tcPr>
          <w:p w:rsidR="00290B20" w:rsidRPr="00290B20" w:rsidRDefault="00290B20" w:rsidP="00290B20">
            <w:pPr>
              <w:jc w:val="center"/>
              <w:rPr>
                <w:rFonts w:ascii="Calibri" w:hAnsi="Calibri"/>
                <w:b/>
                <w:bCs/>
                <w:color w:val="000000"/>
                <w:sz w:val="16"/>
                <w:szCs w:val="16"/>
                <w:lang w:val="es-ES"/>
              </w:rPr>
            </w:pPr>
            <w:r w:rsidRPr="00290B20">
              <w:rPr>
                <w:rFonts w:ascii="Calibri" w:hAnsi="Calibri"/>
                <w:b/>
                <w:bCs/>
                <w:color w:val="000000"/>
                <w:sz w:val="16"/>
                <w:szCs w:val="16"/>
                <w:lang w:val="es-ES"/>
              </w:rPr>
              <w:t>NO</w:t>
            </w:r>
          </w:p>
        </w:tc>
        <w:tc>
          <w:tcPr>
            <w:tcW w:w="1168" w:type="dxa"/>
            <w:shd w:val="clear" w:color="000000" w:fill="FFFF99"/>
            <w:noWrap/>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75,00%</w:t>
            </w:r>
          </w:p>
        </w:tc>
        <w:tc>
          <w:tcPr>
            <w:tcW w:w="1589" w:type="dxa"/>
            <w:shd w:val="clear" w:color="auto" w:fill="auto"/>
            <w:noWrap/>
            <w:vAlign w:val="bottom"/>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r>
      <w:tr w:rsidR="00290B20" w:rsidRPr="00290B20" w:rsidTr="00290B20">
        <w:trPr>
          <w:trHeight w:val="45"/>
        </w:trPr>
        <w:tc>
          <w:tcPr>
            <w:tcW w:w="993" w:type="dxa"/>
            <w:shd w:val="clear" w:color="auto" w:fill="auto"/>
            <w:noWrap/>
            <w:vAlign w:val="bottom"/>
            <w:hideMark/>
          </w:tcPr>
          <w:p w:rsidR="00290B20" w:rsidRPr="00290B20" w:rsidRDefault="00290B20" w:rsidP="00290B20">
            <w:pPr>
              <w:rPr>
                <w:rFonts w:ascii="Calibri" w:hAnsi="Calibri"/>
                <w:i/>
                <w:iCs/>
                <w:color w:val="000000"/>
                <w:szCs w:val="24"/>
                <w:lang w:val="es-ES"/>
              </w:rPr>
            </w:pPr>
          </w:p>
        </w:tc>
        <w:tc>
          <w:tcPr>
            <w:tcW w:w="851" w:type="dxa"/>
            <w:shd w:val="clear" w:color="auto" w:fill="auto"/>
            <w:noWrap/>
            <w:vAlign w:val="bottom"/>
            <w:hideMark/>
          </w:tcPr>
          <w:p w:rsidR="00290B20" w:rsidRPr="00290B20" w:rsidRDefault="00290B20" w:rsidP="00290B20">
            <w:pPr>
              <w:rPr>
                <w:sz w:val="20"/>
                <w:lang w:val="es-ES"/>
              </w:rPr>
            </w:pPr>
          </w:p>
        </w:tc>
        <w:tc>
          <w:tcPr>
            <w:tcW w:w="1217" w:type="dxa"/>
            <w:shd w:val="clear" w:color="auto" w:fill="auto"/>
            <w:noWrap/>
            <w:vAlign w:val="bottom"/>
            <w:hideMark/>
          </w:tcPr>
          <w:p w:rsidR="00290B20" w:rsidRPr="00290B20" w:rsidRDefault="00290B20" w:rsidP="00290B20">
            <w:pPr>
              <w:rPr>
                <w:sz w:val="20"/>
                <w:lang w:val="es-ES"/>
              </w:rPr>
            </w:pPr>
          </w:p>
        </w:tc>
        <w:tc>
          <w:tcPr>
            <w:tcW w:w="1156" w:type="dxa"/>
            <w:shd w:val="clear" w:color="auto" w:fill="auto"/>
            <w:noWrap/>
            <w:vAlign w:val="bottom"/>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776" w:type="dxa"/>
            <w:tcBorders>
              <w:top w:val="nil"/>
              <w:bottom w:val="nil"/>
            </w:tcBorders>
            <w:shd w:val="clear" w:color="auto" w:fill="auto"/>
            <w:noWrap/>
            <w:vAlign w:val="bottom"/>
            <w:hideMark/>
          </w:tcPr>
          <w:p w:rsidR="00290B20" w:rsidRPr="00290B20" w:rsidRDefault="00290B20" w:rsidP="00290B20">
            <w:pPr>
              <w:rPr>
                <w:rFonts w:ascii="Calibri" w:hAnsi="Calibri"/>
                <w:i/>
                <w:iCs/>
                <w:color w:val="000000"/>
                <w:szCs w:val="24"/>
                <w:lang w:val="es-ES"/>
              </w:rPr>
            </w:pPr>
          </w:p>
        </w:tc>
        <w:tc>
          <w:tcPr>
            <w:tcW w:w="1378" w:type="dxa"/>
            <w:shd w:val="clear" w:color="auto" w:fill="auto"/>
            <w:noWrap/>
            <w:vAlign w:val="bottom"/>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990" w:type="dxa"/>
            <w:shd w:val="clear" w:color="auto" w:fill="auto"/>
            <w:noWrap/>
            <w:vAlign w:val="bottom"/>
            <w:hideMark/>
          </w:tcPr>
          <w:p w:rsidR="00290B20" w:rsidRPr="00290B20" w:rsidRDefault="00290B20" w:rsidP="00290B20">
            <w:pPr>
              <w:rPr>
                <w:rFonts w:ascii="Calibri" w:hAnsi="Calibri"/>
                <w:i/>
                <w:iCs/>
                <w:color w:val="000000"/>
                <w:szCs w:val="24"/>
                <w:lang w:val="es-ES"/>
              </w:rPr>
            </w:pPr>
          </w:p>
        </w:tc>
        <w:tc>
          <w:tcPr>
            <w:tcW w:w="1168" w:type="dxa"/>
            <w:shd w:val="clear" w:color="auto" w:fill="auto"/>
            <w:noWrap/>
            <w:vAlign w:val="bottom"/>
            <w:hideMark/>
          </w:tcPr>
          <w:p w:rsidR="00290B20" w:rsidRPr="00290B20" w:rsidRDefault="00290B20" w:rsidP="00290B20">
            <w:pPr>
              <w:rPr>
                <w:sz w:val="20"/>
                <w:lang w:val="es-ES"/>
              </w:rPr>
            </w:pPr>
          </w:p>
        </w:tc>
        <w:tc>
          <w:tcPr>
            <w:tcW w:w="1589" w:type="dxa"/>
            <w:shd w:val="clear" w:color="auto" w:fill="auto"/>
            <w:noWrap/>
            <w:vAlign w:val="bottom"/>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r>
      <w:tr w:rsidR="00290B20" w:rsidRPr="00290B20" w:rsidTr="00290B20">
        <w:trPr>
          <w:trHeight w:val="435"/>
        </w:trPr>
        <w:tc>
          <w:tcPr>
            <w:tcW w:w="4217" w:type="dxa"/>
            <w:gridSpan w:val="4"/>
            <w:shd w:val="clear" w:color="000000" w:fill="FFFF99"/>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HISTORIA LABORAL DEL AFILIADO</w:t>
            </w:r>
          </w:p>
        </w:tc>
        <w:tc>
          <w:tcPr>
            <w:tcW w:w="776" w:type="dxa"/>
            <w:tcBorders>
              <w:top w:val="nil"/>
              <w:bottom w:val="nil"/>
            </w:tcBorders>
            <w:shd w:val="clear" w:color="auto" w:fill="auto"/>
            <w:noWrap/>
            <w:vAlign w:val="bottom"/>
            <w:hideMark/>
          </w:tcPr>
          <w:p w:rsidR="00290B20" w:rsidRPr="00290B20" w:rsidRDefault="00290B20" w:rsidP="00290B20">
            <w:pPr>
              <w:jc w:val="center"/>
              <w:rPr>
                <w:rFonts w:ascii="Calibri" w:hAnsi="Calibri"/>
                <w:b/>
                <w:bCs/>
                <w:i/>
                <w:iCs/>
                <w:color w:val="000000"/>
                <w:sz w:val="16"/>
                <w:szCs w:val="16"/>
                <w:lang w:val="es-ES"/>
              </w:rPr>
            </w:pPr>
          </w:p>
        </w:tc>
        <w:tc>
          <w:tcPr>
            <w:tcW w:w="1378"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Ingreso Base de cotización actualizado</w:t>
            </w:r>
          </w:p>
        </w:tc>
        <w:tc>
          <w:tcPr>
            <w:tcW w:w="2158" w:type="dxa"/>
            <w:gridSpan w:val="2"/>
            <w:shd w:val="clear" w:color="000000" w:fill="FFFF99"/>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IPC </w:t>
            </w:r>
            <w:proofErr w:type="spellStart"/>
            <w:r w:rsidRPr="00290B20">
              <w:rPr>
                <w:rFonts w:ascii="Calibri" w:hAnsi="Calibri"/>
                <w:b/>
                <w:bCs/>
                <w:i/>
                <w:iCs/>
                <w:color w:val="000000"/>
                <w:sz w:val="16"/>
                <w:szCs w:val="16"/>
                <w:lang w:val="es-ES"/>
              </w:rPr>
              <w:t>Dane</w:t>
            </w:r>
            <w:proofErr w:type="spellEnd"/>
            <w:r w:rsidRPr="00290B20">
              <w:rPr>
                <w:rFonts w:ascii="Calibri" w:hAnsi="Calibri"/>
                <w:b/>
                <w:bCs/>
                <w:i/>
                <w:iCs/>
                <w:color w:val="000000"/>
                <w:sz w:val="16"/>
                <w:szCs w:val="16"/>
                <w:lang w:val="es-ES"/>
              </w:rPr>
              <w:t xml:space="preserve">                                    (serie de empalme)</w:t>
            </w:r>
          </w:p>
        </w:tc>
        <w:tc>
          <w:tcPr>
            <w:tcW w:w="1589"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20"/>
                <w:lang w:val="es-ES"/>
              </w:rPr>
            </w:pPr>
            <w:r w:rsidRPr="00290B20">
              <w:rPr>
                <w:rFonts w:ascii="Calibri" w:hAnsi="Calibri"/>
                <w:b/>
                <w:bCs/>
                <w:i/>
                <w:iCs/>
                <w:color w:val="000000"/>
                <w:sz w:val="20"/>
                <w:lang w:val="es-ES"/>
              </w:rPr>
              <w:t>Promedio Salarial        (</w:t>
            </w:r>
            <w:proofErr w:type="spellStart"/>
            <w:r w:rsidRPr="00290B20">
              <w:rPr>
                <w:rFonts w:ascii="Calibri" w:hAnsi="Calibri"/>
                <w:b/>
                <w:bCs/>
                <w:i/>
                <w:iCs/>
                <w:color w:val="000000"/>
                <w:sz w:val="20"/>
                <w:lang w:val="es-ES"/>
              </w:rPr>
              <w:t>Dias</w:t>
            </w:r>
            <w:proofErr w:type="spellEnd"/>
            <w:r w:rsidRPr="00290B20">
              <w:rPr>
                <w:rFonts w:ascii="Calibri" w:hAnsi="Calibri"/>
                <w:b/>
                <w:bCs/>
                <w:i/>
                <w:iCs/>
                <w:color w:val="000000"/>
                <w:sz w:val="20"/>
                <w:lang w:val="es-ES"/>
              </w:rPr>
              <w:t xml:space="preserve"> x </w:t>
            </w:r>
            <w:proofErr w:type="spellStart"/>
            <w:r w:rsidRPr="00290B20">
              <w:rPr>
                <w:rFonts w:ascii="Calibri" w:hAnsi="Calibri"/>
                <w:b/>
                <w:bCs/>
                <w:i/>
                <w:iCs/>
                <w:color w:val="000000"/>
                <w:sz w:val="20"/>
                <w:lang w:val="es-ES"/>
              </w:rPr>
              <w:t>IBC</w:t>
            </w:r>
            <w:proofErr w:type="spellEnd"/>
            <w:r w:rsidRPr="00290B20">
              <w:rPr>
                <w:rFonts w:ascii="Calibri" w:hAnsi="Calibri"/>
                <w:b/>
                <w:bCs/>
                <w:i/>
                <w:iCs/>
                <w:color w:val="000000"/>
                <w:sz w:val="20"/>
                <w:lang w:val="es-ES"/>
              </w:rPr>
              <w:t xml:space="preserve"> actualizado/total </w:t>
            </w:r>
            <w:proofErr w:type="spellStart"/>
            <w:r w:rsidRPr="00290B20">
              <w:rPr>
                <w:rFonts w:ascii="Calibri" w:hAnsi="Calibri"/>
                <w:b/>
                <w:bCs/>
                <w:i/>
                <w:iCs/>
                <w:color w:val="000000"/>
                <w:sz w:val="20"/>
                <w:lang w:val="es-ES"/>
              </w:rPr>
              <w:t>dias</w:t>
            </w:r>
            <w:proofErr w:type="spellEnd"/>
            <w:r w:rsidRPr="00290B20">
              <w:rPr>
                <w:rFonts w:ascii="Calibri" w:hAnsi="Calibri"/>
                <w:b/>
                <w:bCs/>
                <w:i/>
                <w:iCs/>
                <w:color w:val="000000"/>
                <w:sz w:val="20"/>
                <w:lang w:val="es-ES"/>
              </w:rPr>
              <w:t>)</w:t>
            </w:r>
          </w:p>
        </w:tc>
      </w:tr>
      <w:tr w:rsidR="00290B20" w:rsidRPr="00290B20" w:rsidTr="00290B20">
        <w:trPr>
          <w:trHeight w:val="315"/>
        </w:trPr>
        <w:tc>
          <w:tcPr>
            <w:tcW w:w="1844" w:type="dxa"/>
            <w:gridSpan w:val="2"/>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Fechas de aporte</w:t>
            </w:r>
          </w:p>
        </w:tc>
        <w:tc>
          <w:tcPr>
            <w:tcW w:w="1217"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Número de días</w:t>
            </w:r>
          </w:p>
        </w:tc>
        <w:tc>
          <w:tcPr>
            <w:tcW w:w="1156"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Ingreso Base de Cotización</w:t>
            </w:r>
          </w:p>
        </w:tc>
        <w:tc>
          <w:tcPr>
            <w:tcW w:w="776" w:type="dxa"/>
            <w:tcBorders>
              <w:top w:val="nil"/>
              <w:bottom w:val="nil"/>
            </w:tcBorders>
            <w:shd w:val="clear" w:color="auto" w:fill="auto"/>
            <w:noWrap/>
            <w:vAlign w:val="bottom"/>
            <w:hideMark/>
          </w:tcPr>
          <w:p w:rsidR="00290B20" w:rsidRPr="00290B20" w:rsidRDefault="00290B20" w:rsidP="00290B20">
            <w:pPr>
              <w:jc w:val="center"/>
              <w:rPr>
                <w:rFonts w:ascii="Calibri" w:hAnsi="Calibri"/>
                <w:b/>
                <w:bCs/>
                <w:i/>
                <w:iCs/>
                <w:color w:val="000000"/>
                <w:sz w:val="16"/>
                <w:szCs w:val="16"/>
                <w:lang w:val="es-ES"/>
              </w:rPr>
            </w:pPr>
          </w:p>
        </w:tc>
        <w:tc>
          <w:tcPr>
            <w:tcW w:w="1378" w:type="dxa"/>
            <w:vMerge/>
            <w:vAlign w:val="center"/>
            <w:hideMark/>
          </w:tcPr>
          <w:p w:rsidR="00290B20" w:rsidRPr="00290B20" w:rsidRDefault="00290B20" w:rsidP="00290B20">
            <w:pPr>
              <w:rPr>
                <w:rFonts w:ascii="Calibri" w:hAnsi="Calibri"/>
                <w:b/>
                <w:bCs/>
                <w:i/>
                <w:iCs/>
                <w:color w:val="000000"/>
                <w:sz w:val="16"/>
                <w:szCs w:val="16"/>
                <w:lang w:val="es-ES"/>
              </w:rPr>
            </w:pPr>
          </w:p>
        </w:tc>
        <w:tc>
          <w:tcPr>
            <w:tcW w:w="990"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IPC Final</w:t>
            </w:r>
          </w:p>
        </w:tc>
        <w:tc>
          <w:tcPr>
            <w:tcW w:w="1168" w:type="dxa"/>
            <w:vMerge w:val="restart"/>
            <w:shd w:val="clear" w:color="000000" w:fill="FFFFCC"/>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IPC Inicial</w:t>
            </w:r>
          </w:p>
        </w:tc>
        <w:tc>
          <w:tcPr>
            <w:tcW w:w="1589" w:type="dxa"/>
            <w:vMerge/>
            <w:vAlign w:val="center"/>
            <w:hideMark/>
          </w:tcPr>
          <w:p w:rsidR="00290B20" w:rsidRPr="00290B20" w:rsidRDefault="00290B20" w:rsidP="00290B20">
            <w:pPr>
              <w:rPr>
                <w:rFonts w:ascii="Calibri" w:hAnsi="Calibri"/>
                <w:b/>
                <w:bCs/>
                <w:i/>
                <w:iCs/>
                <w:color w:val="000000"/>
                <w:sz w:val="20"/>
                <w:lang w:val="es-ES"/>
              </w:rPr>
            </w:pPr>
          </w:p>
        </w:tc>
      </w:tr>
      <w:tr w:rsidR="00290B20" w:rsidRPr="00290B20" w:rsidTr="00290B20">
        <w:trPr>
          <w:trHeight w:val="480"/>
        </w:trPr>
        <w:tc>
          <w:tcPr>
            <w:tcW w:w="993" w:type="dxa"/>
            <w:shd w:val="clear" w:color="000000" w:fill="FFFF99"/>
            <w:noWrap/>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Desde</w:t>
            </w:r>
          </w:p>
        </w:tc>
        <w:tc>
          <w:tcPr>
            <w:tcW w:w="851" w:type="dxa"/>
            <w:shd w:val="clear" w:color="000000" w:fill="FFFF99"/>
            <w:noWrap/>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Hasta</w:t>
            </w:r>
          </w:p>
        </w:tc>
        <w:tc>
          <w:tcPr>
            <w:tcW w:w="1217" w:type="dxa"/>
            <w:vMerge/>
            <w:vAlign w:val="center"/>
            <w:hideMark/>
          </w:tcPr>
          <w:p w:rsidR="00290B20" w:rsidRPr="00290B20" w:rsidRDefault="00290B20" w:rsidP="00290B20">
            <w:pPr>
              <w:rPr>
                <w:rFonts w:ascii="Calibri" w:hAnsi="Calibri"/>
                <w:b/>
                <w:bCs/>
                <w:i/>
                <w:iCs/>
                <w:color w:val="000000"/>
                <w:sz w:val="16"/>
                <w:szCs w:val="16"/>
                <w:lang w:val="es-ES"/>
              </w:rPr>
            </w:pPr>
          </w:p>
        </w:tc>
        <w:tc>
          <w:tcPr>
            <w:tcW w:w="1156" w:type="dxa"/>
            <w:vMerge/>
            <w:vAlign w:val="center"/>
            <w:hideMark/>
          </w:tcPr>
          <w:p w:rsidR="00290B20" w:rsidRPr="00290B20" w:rsidRDefault="00290B20" w:rsidP="00290B20">
            <w:pPr>
              <w:rPr>
                <w:rFonts w:ascii="Calibri" w:hAnsi="Calibri"/>
                <w:b/>
                <w:bCs/>
                <w:i/>
                <w:iCs/>
                <w:color w:val="000000"/>
                <w:sz w:val="16"/>
                <w:szCs w:val="16"/>
                <w:lang w:val="es-ES"/>
              </w:rPr>
            </w:pPr>
          </w:p>
        </w:tc>
        <w:tc>
          <w:tcPr>
            <w:tcW w:w="776" w:type="dxa"/>
            <w:tcBorders>
              <w:top w:val="nil"/>
              <w:bottom w:val="nil"/>
            </w:tcBorders>
            <w:shd w:val="clear" w:color="auto" w:fill="auto"/>
            <w:noWrap/>
            <w:vAlign w:val="bottom"/>
            <w:hideMark/>
          </w:tcPr>
          <w:p w:rsidR="00290B20" w:rsidRPr="00290B20" w:rsidRDefault="00290B20" w:rsidP="00290B20">
            <w:pPr>
              <w:jc w:val="center"/>
              <w:rPr>
                <w:rFonts w:ascii="Calibri" w:hAnsi="Calibri"/>
                <w:b/>
                <w:bCs/>
                <w:i/>
                <w:iCs/>
                <w:color w:val="000000"/>
                <w:sz w:val="16"/>
                <w:szCs w:val="16"/>
                <w:lang w:val="es-ES"/>
              </w:rPr>
            </w:pPr>
          </w:p>
        </w:tc>
        <w:tc>
          <w:tcPr>
            <w:tcW w:w="1378" w:type="dxa"/>
            <w:vMerge/>
            <w:vAlign w:val="center"/>
            <w:hideMark/>
          </w:tcPr>
          <w:p w:rsidR="00290B20" w:rsidRPr="00290B20" w:rsidRDefault="00290B20" w:rsidP="00290B20">
            <w:pPr>
              <w:rPr>
                <w:rFonts w:ascii="Calibri" w:hAnsi="Calibri"/>
                <w:b/>
                <w:bCs/>
                <w:i/>
                <w:iCs/>
                <w:color w:val="000000"/>
                <w:sz w:val="16"/>
                <w:szCs w:val="16"/>
                <w:lang w:val="es-ES"/>
              </w:rPr>
            </w:pPr>
          </w:p>
        </w:tc>
        <w:tc>
          <w:tcPr>
            <w:tcW w:w="990" w:type="dxa"/>
            <w:vMerge/>
            <w:vAlign w:val="center"/>
            <w:hideMark/>
          </w:tcPr>
          <w:p w:rsidR="00290B20" w:rsidRPr="00290B20" w:rsidRDefault="00290B20" w:rsidP="00290B20">
            <w:pPr>
              <w:rPr>
                <w:rFonts w:ascii="Calibri" w:hAnsi="Calibri"/>
                <w:b/>
                <w:bCs/>
                <w:i/>
                <w:iCs/>
                <w:color w:val="000000"/>
                <w:sz w:val="16"/>
                <w:szCs w:val="16"/>
                <w:lang w:val="es-ES"/>
              </w:rPr>
            </w:pPr>
          </w:p>
        </w:tc>
        <w:tc>
          <w:tcPr>
            <w:tcW w:w="1168" w:type="dxa"/>
            <w:vMerge/>
            <w:vAlign w:val="center"/>
            <w:hideMark/>
          </w:tcPr>
          <w:p w:rsidR="00290B20" w:rsidRPr="00290B20" w:rsidRDefault="00290B20" w:rsidP="00290B20">
            <w:pPr>
              <w:rPr>
                <w:rFonts w:ascii="Calibri" w:hAnsi="Calibri"/>
                <w:b/>
                <w:bCs/>
                <w:i/>
                <w:iCs/>
                <w:color w:val="000000"/>
                <w:sz w:val="16"/>
                <w:szCs w:val="16"/>
                <w:lang w:val="es-ES"/>
              </w:rPr>
            </w:pPr>
          </w:p>
        </w:tc>
        <w:tc>
          <w:tcPr>
            <w:tcW w:w="1589" w:type="dxa"/>
            <w:vMerge/>
            <w:vAlign w:val="center"/>
            <w:hideMark/>
          </w:tcPr>
          <w:p w:rsidR="00290B20" w:rsidRPr="00290B20" w:rsidRDefault="00290B20" w:rsidP="00290B20">
            <w:pPr>
              <w:rPr>
                <w:rFonts w:ascii="Calibri" w:hAnsi="Calibri"/>
                <w:b/>
                <w:bCs/>
                <w:i/>
                <w:iCs/>
                <w:color w:val="000000"/>
                <w:sz w:val="20"/>
                <w:lang w:val="es-ES"/>
              </w:rPr>
            </w:pP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06-ago-93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218.969,00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1.324.716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17,40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9.567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218.969,00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1.324.716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17,40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11.039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218.969,00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1.324.716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17,40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11.407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218.969,00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1.324.716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17,40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11.039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218.969,00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1.324.716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17,40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11.407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11.258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11.258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397.430,00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1.961.021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16.342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01-dic-94</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31-dic-94</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264.953,00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1.307.346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21,33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10.895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312.645,00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1.258.338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10.486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312.645,00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1.258.338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10.486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312.645,00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1.258.338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10.486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468.968,00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1.887.509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15.729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312.645,00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1.258.338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10.486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312.645,00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1.258.338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10.486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320.935,00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1.291.704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10.764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330.409,00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1.329.835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11.082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330.409,00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1.329.835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11.082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330.409,00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1.329.835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11.082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330.409,00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1.329.835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11.082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01-dic-95</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31-dic-95</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330.409,00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1.329.835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26,15</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11.082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29-feb-96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587.303,00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1.978.600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16.488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70"/>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25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01-dic-96</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31-dic-96</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391.535,00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1.319.066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31,24</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10.992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lastRenderedPageBreak/>
              <w:t>01-feb-97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669.525,00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1.854.341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15.453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571.638,00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1.583.229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13.194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462.011,00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1.279.602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10.663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462.011,00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1.279.602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10.663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01-dic-97</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31-dic-97</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446.350,00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1.236.227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38,00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10.302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899.055,00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2.115.879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17.632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01-dic-98</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31-dic-98</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665.967,00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1.567.319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44,72</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13.061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1.042.905,00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2.103.135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17.526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01-dic-99</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31-dic-99</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772.522,00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1.557.877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52,18</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29-feb-00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1.114.209,00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2.057.028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17.142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843.826,00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1.557.853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12.982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01-dic-00</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31-dic-00</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868.782,00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1.603.926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57,00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13.366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lastRenderedPageBreak/>
              <w:t>01-ene-01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1.186.673,00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2.014.571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16.788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898.717,00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1.525.719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12.714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891.334,00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1.513.185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12.610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01-dic-01</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31-dic-01</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900.578,00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1.528.878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61,99</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12.741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1.247.601,00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1.967.560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16.396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951.139,00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1.500.017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12.500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01-ago-02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31-ago-02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01-sep-02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30-sep-02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01-oct-02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31-oct-02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01-nov-02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30-nov-02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01-dic-02</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31-dic-02</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935.634,00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1.475.565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66,73</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12.296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01-ene-03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31-ene-03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992.147,00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1.462.426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12.187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01-feb-03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28-feb-03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992.147,00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1.462.426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12.187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01-mar-03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31-mar-03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992.147,00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1.462.426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12.187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01-abr-03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30-abr-03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1.319.619,00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1.945.120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16.209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01-may-03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31-may-03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992.147,00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1.462.426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12.187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01-jun-03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30-jun-03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992.147,00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1.462.426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12.187 </w:t>
            </w:r>
          </w:p>
        </w:tc>
      </w:tr>
      <w:tr w:rsidR="00290B20" w:rsidRPr="00290B20" w:rsidTr="00290B20">
        <w:trPr>
          <w:trHeight w:val="315"/>
        </w:trPr>
        <w:tc>
          <w:tcPr>
            <w:tcW w:w="993"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01-jul-03</w:t>
            </w:r>
          </w:p>
        </w:tc>
        <w:tc>
          <w:tcPr>
            <w:tcW w:w="851"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31-jul-03</w:t>
            </w:r>
          </w:p>
        </w:tc>
        <w:tc>
          <w:tcPr>
            <w:tcW w:w="1217"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30</w:t>
            </w:r>
          </w:p>
        </w:tc>
        <w:tc>
          <w:tcPr>
            <w:tcW w:w="1156" w:type="dxa"/>
            <w:shd w:val="clear" w:color="auto" w:fill="auto"/>
            <w:noWrap/>
            <w:vAlign w:val="center"/>
            <w:hideMark/>
          </w:tcPr>
          <w:p w:rsidR="00290B20" w:rsidRPr="00290B20" w:rsidRDefault="00290B20" w:rsidP="00290B20">
            <w:pPr>
              <w:rPr>
                <w:rFonts w:ascii="Calibri" w:hAnsi="Calibri"/>
                <w:i/>
                <w:iCs/>
                <w:color w:val="000000"/>
                <w:sz w:val="16"/>
                <w:szCs w:val="16"/>
                <w:lang w:val="es-ES"/>
              </w:rPr>
            </w:pPr>
            <w:r w:rsidRPr="00290B20">
              <w:rPr>
                <w:rFonts w:ascii="Calibri" w:hAnsi="Calibri"/>
                <w:i/>
                <w:iCs/>
                <w:color w:val="000000"/>
                <w:sz w:val="16"/>
                <w:szCs w:val="16"/>
                <w:lang w:val="es-ES"/>
              </w:rPr>
              <w:t xml:space="preserve">  1.011.927,00 </w:t>
            </w:r>
          </w:p>
        </w:tc>
        <w:tc>
          <w:tcPr>
            <w:tcW w:w="776" w:type="dxa"/>
            <w:tcBorders>
              <w:top w:val="nil"/>
              <w:bottom w:val="nil"/>
            </w:tcBorders>
            <w:shd w:val="clear" w:color="auto" w:fill="auto"/>
            <w:noWrap/>
            <w:vAlign w:val="center"/>
            <w:hideMark/>
          </w:tcPr>
          <w:p w:rsidR="00290B20" w:rsidRPr="00290B20" w:rsidRDefault="00290B20" w:rsidP="00290B20">
            <w:pPr>
              <w:rPr>
                <w:rFonts w:ascii="Calibri" w:hAnsi="Calibri"/>
                <w:i/>
                <w:iCs/>
                <w:color w:val="000000"/>
                <w:szCs w:val="24"/>
                <w:lang w:val="es-ES"/>
              </w:rPr>
            </w:pPr>
            <w:r w:rsidRPr="00290B20">
              <w:rPr>
                <w:rFonts w:ascii="Calibri" w:hAnsi="Calibri"/>
                <w:i/>
                <w:iCs/>
                <w:color w:val="000000"/>
                <w:szCs w:val="24"/>
                <w:lang w:val="es-ES"/>
              </w:rPr>
              <w:t> </w:t>
            </w:r>
          </w:p>
        </w:tc>
        <w:tc>
          <w:tcPr>
            <w:tcW w:w="137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 xml:space="preserve"> $             1.491.582 </w:t>
            </w:r>
          </w:p>
        </w:tc>
        <w:tc>
          <w:tcPr>
            <w:tcW w:w="990" w:type="dxa"/>
            <w:shd w:val="clear" w:color="auto" w:fill="auto"/>
            <w:noWrap/>
            <w:vAlign w:val="center"/>
            <w:hideMark/>
          </w:tcPr>
          <w:p w:rsidR="00290B20" w:rsidRPr="00290B20" w:rsidRDefault="00290B20" w:rsidP="00290B20">
            <w:pPr>
              <w:jc w:val="right"/>
              <w:rPr>
                <w:rFonts w:ascii="Calibri" w:hAnsi="Calibri"/>
                <w:i/>
                <w:iCs/>
                <w:color w:val="000000"/>
                <w:sz w:val="16"/>
                <w:szCs w:val="16"/>
                <w:lang w:val="es-ES"/>
              </w:rPr>
            </w:pPr>
            <w:r w:rsidRPr="00290B20">
              <w:rPr>
                <w:rFonts w:ascii="Calibri" w:hAnsi="Calibri"/>
                <w:i/>
                <w:iCs/>
                <w:color w:val="000000"/>
                <w:sz w:val="16"/>
                <w:szCs w:val="16"/>
                <w:lang w:val="es-ES"/>
              </w:rPr>
              <w:t>105,24</w:t>
            </w:r>
          </w:p>
        </w:tc>
        <w:tc>
          <w:tcPr>
            <w:tcW w:w="1168" w:type="dxa"/>
            <w:shd w:val="clear" w:color="auto" w:fill="auto"/>
            <w:noWrap/>
            <w:vAlign w:val="center"/>
            <w:hideMark/>
          </w:tcPr>
          <w:p w:rsidR="00290B20" w:rsidRPr="00290B20" w:rsidRDefault="00290B20" w:rsidP="00290B20">
            <w:pPr>
              <w:jc w:val="center"/>
              <w:rPr>
                <w:rFonts w:ascii="Calibri" w:hAnsi="Calibri"/>
                <w:i/>
                <w:iCs/>
                <w:color w:val="000000"/>
                <w:sz w:val="16"/>
                <w:szCs w:val="16"/>
                <w:lang w:val="es-ES"/>
              </w:rPr>
            </w:pPr>
            <w:r w:rsidRPr="00290B20">
              <w:rPr>
                <w:rFonts w:ascii="Calibri" w:hAnsi="Calibri"/>
                <w:i/>
                <w:iCs/>
                <w:color w:val="000000"/>
                <w:sz w:val="16"/>
                <w:szCs w:val="16"/>
                <w:lang w:val="es-ES"/>
              </w:rPr>
              <w:t>71,40</w:t>
            </w:r>
          </w:p>
        </w:tc>
        <w:tc>
          <w:tcPr>
            <w:tcW w:w="1589" w:type="dxa"/>
            <w:shd w:val="clear" w:color="auto" w:fill="auto"/>
            <w:noWrap/>
            <w:vAlign w:val="center"/>
            <w:hideMark/>
          </w:tcPr>
          <w:p w:rsidR="00290B20" w:rsidRPr="00290B20" w:rsidRDefault="00290B20" w:rsidP="00290B20">
            <w:pP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 $          12.430 </w:t>
            </w:r>
          </w:p>
        </w:tc>
      </w:tr>
      <w:tr w:rsidR="00290B20" w:rsidRPr="00290B20" w:rsidTr="00290B20">
        <w:trPr>
          <w:trHeight w:val="315"/>
        </w:trPr>
        <w:tc>
          <w:tcPr>
            <w:tcW w:w="1844" w:type="dxa"/>
            <w:gridSpan w:val="2"/>
            <w:shd w:val="clear" w:color="auto" w:fill="auto"/>
            <w:noWrap/>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 xml:space="preserve">TOTAL </w:t>
            </w:r>
            <w:proofErr w:type="spellStart"/>
            <w:r w:rsidRPr="00290B20">
              <w:rPr>
                <w:rFonts w:ascii="Calibri" w:hAnsi="Calibri"/>
                <w:b/>
                <w:bCs/>
                <w:i/>
                <w:iCs/>
                <w:color w:val="000000"/>
                <w:sz w:val="16"/>
                <w:szCs w:val="16"/>
                <w:lang w:val="es-ES"/>
              </w:rPr>
              <w:t>DIAS</w:t>
            </w:r>
            <w:proofErr w:type="spellEnd"/>
          </w:p>
        </w:tc>
        <w:tc>
          <w:tcPr>
            <w:tcW w:w="1217" w:type="dxa"/>
            <w:shd w:val="clear" w:color="000000" w:fill="FFFF99"/>
            <w:noWrap/>
            <w:vAlign w:val="center"/>
            <w:hideMark/>
          </w:tcPr>
          <w:p w:rsidR="00290B20" w:rsidRPr="00290B20" w:rsidRDefault="00290B20" w:rsidP="00290B20">
            <w:pPr>
              <w:jc w:val="center"/>
              <w:rPr>
                <w:rFonts w:ascii="Calibri" w:hAnsi="Calibri"/>
                <w:color w:val="000000"/>
                <w:sz w:val="22"/>
                <w:szCs w:val="22"/>
                <w:lang w:val="es-ES"/>
              </w:rPr>
            </w:pPr>
            <w:r w:rsidRPr="00290B20">
              <w:rPr>
                <w:rFonts w:ascii="Calibri" w:hAnsi="Calibri"/>
                <w:color w:val="000000"/>
                <w:sz w:val="22"/>
                <w:szCs w:val="22"/>
                <w:lang w:val="es-ES"/>
              </w:rPr>
              <w:t>3.600</w:t>
            </w:r>
          </w:p>
        </w:tc>
        <w:tc>
          <w:tcPr>
            <w:tcW w:w="1156" w:type="dxa"/>
            <w:shd w:val="clear" w:color="auto" w:fill="auto"/>
            <w:noWrap/>
            <w:vAlign w:val="bottom"/>
            <w:hideMark/>
          </w:tcPr>
          <w:p w:rsidR="00290B20" w:rsidRPr="00290B20" w:rsidRDefault="00290B20" w:rsidP="00290B20">
            <w:pPr>
              <w:jc w:val="center"/>
              <w:rPr>
                <w:rFonts w:ascii="Calibri" w:hAnsi="Calibri"/>
                <w:color w:val="000000"/>
                <w:sz w:val="22"/>
                <w:szCs w:val="22"/>
                <w:lang w:val="es-ES"/>
              </w:rPr>
            </w:pPr>
          </w:p>
        </w:tc>
        <w:tc>
          <w:tcPr>
            <w:tcW w:w="776" w:type="dxa"/>
            <w:tcBorders>
              <w:top w:val="nil"/>
              <w:bottom w:val="nil"/>
            </w:tcBorders>
            <w:shd w:val="clear" w:color="auto" w:fill="auto"/>
            <w:noWrap/>
            <w:vAlign w:val="bottom"/>
            <w:hideMark/>
          </w:tcPr>
          <w:p w:rsidR="00290B20" w:rsidRPr="00290B20" w:rsidRDefault="00290B20" w:rsidP="00290B20">
            <w:pPr>
              <w:rPr>
                <w:sz w:val="20"/>
                <w:lang w:val="es-ES"/>
              </w:rPr>
            </w:pPr>
          </w:p>
        </w:tc>
        <w:tc>
          <w:tcPr>
            <w:tcW w:w="1378" w:type="dxa"/>
            <w:shd w:val="clear" w:color="auto" w:fill="auto"/>
            <w:noWrap/>
            <w:vAlign w:val="bottom"/>
            <w:hideMark/>
          </w:tcPr>
          <w:p w:rsidR="00290B20" w:rsidRPr="00290B20" w:rsidRDefault="00290B20" w:rsidP="00290B20">
            <w:pPr>
              <w:rPr>
                <w:sz w:val="20"/>
                <w:lang w:val="es-ES"/>
              </w:rPr>
            </w:pPr>
          </w:p>
        </w:tc>
        <w:tc>
          <w:tcPr>
            <w:tcW w:w="2158" w:type="dxa"/>
            <w:gridSpan w:val="2"/>
            <w:shd w:val="clear" w:color="auto" w:fill="auto"/>
            <w:noWrap/>
            <w:vAlign w:val="center"/>
            <w:hideMark/>
          </w:tcPr>
          <w:p w:rsidR="00290B20" w:rsidRPr="00290B20" w:rsidRDefault="00290B20" w:rsidP="00290B20">
            <w:pPr>
              <w:jc w:val="center"/>
              <w:rPr>
                <w:rFonts w:ascii="Calibri" w:hAnsi="Calibri"/>
                <w:b/>
                <w:bCs/>
                <w:i/>
                <w:iCs/>
                <w:color w:val="000000"/>
                <w:sz w:val="16"/>
                <w:szCs w:val="16"/>
                <w:lang w:val="es-ES"/>
              </w:rPr>
            </w:pPr>
            <w:proofErr w:type="spellStart"/>
            <w:r w:rsidRPr="00290B20">
              <w:rPr>
                <w:rFonts w:ascii="Calibri" w:hAnsi="Calibri"/>
                <w:b/>
                <w:bCs/>
                <w:i/>
                <w:iCs/>
                <w:color w:val="000000"/>
                <w:sz w:val="16"/>
                <w:szCs w:val="16"/>
                <w:lang w:val="es-ES"/>
              </w:rPr>
              <w:t>IBL</w:t>
            </w:r>
            <w:proofErr w:type="spellEnd"/>
          </w:p>
        </w:tc>
        <w:tc>
          <w:tcPr>
            <w:tcW w:w="1589" w:type="dxa"/>
            <w:shd w:val="clear" w:color="000000" w:fill="FFFF99"/>
            <w:noWrap/>
            <w:vAlign w:val="center"/>
            <w:hideMark/>
          </w:tcPr>
          <w:p w:rsidR="00290B20" w:rsidRPr="00290B20" w:rsidRDefault="00290B20" w:rsidP="00290B20">
            <w:pPr>
              <w:jc w:val="center"/>
              <w:rPr>
                <w:rFonts w:ascii="Calibri" w:hAnsi="Calibri"/>
                <w:color w:val="000000"/>
                <w:sz w:val="22"/>
                <w:szCs w:val="22"/>
                <w:lang w:val="es-ES"/>
              </w:rPr>
            </w:pPr>
            <w:r w:rsidRPr="00290B20">
              <w:rPr>
                <w:rFonts w:ascii="Calibri" w:hAnsi="Calibri"/>
                <w:color w:val="000000"/>
                <w:sz w:val="22"/>
                <w:szCs w:val="22"/>
                <w:lang w:val="es-ES"/>
              </w:rPr>
              <w:t xml:space="preserve">  1.474.623 </w:t>
            </w:r>
          </w:p>
        </w:tc>
      </w:tr>
      <w:tr w:rsidR="00290B20" w:rsidRPr="00290B20" w:rsidTr="00290B20">
        <w:trPr>
          <w:trHeight w:val="315"/>
        </w:trPr>
        <w:tc>
          <w:tcPr>
            <w:tcW w:w="993" w:type="dxa"/>
            <w:shd w:val="clear" w:color="auto" w:fill="auto"/>
            <w:noWrap/>
            <w:vAlign w:val="bottom"/>
            <w:hideMark/>
          </w:tcPr>
          <w:p w:rsidR="00290B20" w:rsidRPr="00290B20" w:rsidRDefault="00290B20" w:rsidP="00290B20">
            <w:pPr>
              <w:jc w:val="center"/>
              <w:rPr>
                <w:rFonts w:ascii="Calibri" w:hAnsi="Calibri"/>
                <w:color w:val="000000"/>
                <w:sz w:val="22"/>
                <w:szCs w:val="22"/>
                <w:lang w:val="es-ES"/>
              </w:rPr>
            </w:pPr>
          </w:p>
        </w:tc>
        <w:tc>
          <w:tcPr>
            <w:tcW w:w="851" w:type="dxa"/>
            <w:shd w:val="clear" w:color="auto" w:fill="auto"/>
            <w:noWrap/>
            <w:vAlign w:val="bottom"/>
            <w:hideMark/>
          </w:tcPr>
          <w:p w:rsidR="00290B20" w:rsidRPr="00290B20" w:rsidRDefault="00290B20" w:rsidP="00290B20">
            <w:pPr>
              <w:rPr>
                <w:sz w:val="20"/>
                <w:lang w:val="es-ES"/>
              </w:rPr>
            </w:pPr>
          </w:p>
        </w:tc>
        <w:tc>
          <w:tcPr>
            <w:tcW w:w="1217" w:type="dxa"/>
            <w:shd w:val="clear" w:color="auto" w:fill="auto"/>
            <w:noWrap/>
            <w:vAlign w:val="bottom"/>
            <w:hideMark/>
          </w:tcPr>
          <w:p w:rsidR="00290B20" w:rsidRPr="00290B20" w:rsidRDefault="00290B20" w:rsidP="00290B20">
            <w:pPr>
              <w:rPr>
                <w:sz w:val="20"/>
                <w:lang w:val="es-ES"/>
              </w:rPr>
            </w:pPr>
          </w:p>
        </w:tc>
        <w:tc>
          <w:tcPr>
            <w:tcW w:w="1156" w:type="dxa"/>
            <w:shd w:val="clear" w:color="auto" w:fill="auto"/>
            <w:noWrap/>
            <w:vAlign w:val="bottom"/>
            <w:hideMark/>
          </w:tcPr>
          <w:p w:rsidR="00290B20" w:rsidRPr="00290B20" w:rsidRDefault="00290B20" w:rsidP="00290B20">
            <w:pPr>
              <w:rPr>
                <w:sz w:val="20"/>
                <w:lang w:val="es-ES"/>
              </w:rPr>
            </w:pPr>
          </w:p>
        </w:tc>
        <w:tc>
          <w:tcPr>
            <w:tcW w:w="776" w:type="dxa"/>
            <w:tcBorders>
              <w:top w:val="nil"/>
            </w:tcBorders>
            <w:shd w:val="clear" w:color="auto" w:fill="auto"/>
            <w:noWrap/>
            <w:vAlign w:val="bottom"/>
            <w:hideMark/>
          </w:tcPr>
          <w:p w:rsidR="00290B20" w:rsidRPr="00290B20" w:rsidRDefault="00290B20" w:rsidP="00290B20">
            <w:pPr>
              <w:rPr>
                <w:sz w:val="20"/>
                <w:lang w:val="es-ES"/>
              </w:rPr>
            </w:pPr>
          </w:p>
        </w:tc>
        <w:tc>
          <w:tcPr>
            <w:tcW w:w="1378" w:type="dxa"/>
            <w:shd w:val="clear" w:color="auto" w:fill="auto"/>
            <w:noWrap/>
            <w:vAlign w:val="bottom"/>
            <w:hideMark/>
          </w:tcPr>
          <w:p w:rsidR="00290B20" w:rsidRPr="00290B20" w:rsidRDefault="00290B20" w:rsidP="00290B20">
            <w:pPr>
              <w:rPr>
                <w:sz w:val="20"/>
                <w:lang w:val="es-ES"/>
              </w:rPr>
            </w:pPr>
          </w:p>
        </w:tc>
        <w:tc>
          <w:tcPr>
            <w:tcW w:w="990" w:type="dxa"/>
            <w:shd w:val="clear" w:color="auto" w:fill="auto"/>
            <w:noWrap/>
            <w:vAlign w:val="bottom"/>
            <w:hideMark/>
          </w:tcPr>
          <w:p w:rsidR="00290B20" w:rsidRPr="00290B20" w:rsidRDefault="00290B20" w:rsidP="00290B20">
            <w:pPr>
              <w:rPr>
                <w:sz w:val="20"/>
                <w:lang w:val="es-ES"/>
              </w:rPr>
            </w:pPr>
          </w:p>
        </w:tc>
        <w:tc>
          <w:tcPr>
            <w:tcW w:w="1168" w:type="dxa"/>
            <w:shd w:val="clear" w:color="auto" w:fill="auto"/>
            <w:noWrap/>
            <w:vAlign w:val="bottom"/>
            <w:hideMark/>
          </w:tcPr>
          <w:p w:rsidR="00290B20" w:rsidRPr="00290B20" w:rsidRDefault="00290B20" w:rsidP="00290B20">
            <w:pPr>
              <w:rPr>
                <w:sz w:val="20"/>
                <w:lang w:val="es-ES"/>
              </w:rPr>
            </w:pPr>
          </w:p>
        </w:tc>
        <w:tc>
          <w:tcPr>
            <w:tcW w:w="1589" w:type="dxa"/>
            <w:shd w:val="clear" w:color="auto" w:fill="auto"/>
            <w:noWrap/>
            <w:vAlign w:val="bottom"/>
            <w:hideMark/>
          </w:tcPr>
          <w:p w:rsidR="00290B20" w:rsidRPr="00290B20" w:rsidRDefault="00290B20" w:rsidP="00290B20">
            <w:pPr>
              <w:rPr>
                <w:sz w:val="20"/>
                <w:lang w:val="es-ES"/>
              </w:rPr>
            </w:pPr>
          </w:p>
        </w:tc>
      </w:tr>
      <w:tr w:rsidR="00290B20" w:rsidRPr="00290B20" w:rsidTr="00290B20">
        <w:trPr>
          <w:trHeight w:val="315"/>
        </w:trPr>
        <w:tc>
          <w:tcPr>
            <w:tcW w:w="993" w:type="dxa"/>
            <w:shd w:val="clear" w:color="auto" w:fill="auto"/>
            <w:noWrap/>
            <w:vAlign w:val="bottom"/>
            <w:hideMark/>
          </w:tcPr>
          <w:p w:rsidR="00290B20" w:rsidRPr="00290B20" w:rsidRDefault="00290B20" w:rsidP="00290B20">
            <w:pPr>
              <w:rPr>
                <w:sz w:val="20"/>
                <w:lang w:val="es-ES"/>
              </w:rPr>
            </w:pPr>
          </w:p>
        </w:tc>
        <w:tc>
          <w:tcPr>
            <w:tcW w:w="851" w:type="dxa"/>
            <w:shd w:val="clear" w:color="auto" w:fill="auto"/>
            <w:noWrap/>
            <w:vAlign w:val="bottom"/>
            <w:hideMark/>
          </w:tcPr>
          <w:p w:rsidR="00290B20" w:rsidRPr="00290B20" w:rsidRDefault="00290B20" w:rsidP="00290B20">
            <w:pPr>
              <w:rPr>
                <w:sz w:val="20"/>
                <w:lang w:val="es-ES"/>
              </w:rPr>
            </w:pPr>
          </w:p>
        </w:tc>
        <w:tc>
          <w:tcPr>
            <w:tcW w:w="1217" w:type="dxa"/>
            <w:shd w:val="clear" w:color="auto" w:fill="auto"/>
            <w:noWrap/>
            <w:vAlign w:val="bottom"/>
            <w:hideMark/>
          </w:tcPr>
          <w:p w:rsidR="00290B20" w:rsidRPr="00290B20" w:rsidRDefault="00290B20" w:rsidP="00290B20">
            <w:pPr>
              <w:rPr>
                <w:sz w:val="20"/>
                <w:lang w:val="es-ES"/>
              </w:rPr>
            </w:pPr>
          </w:p>
        </w:tc>
        <w:tc>
          <w:tcPr>
            <w:tcW w:w="1156" w:type="dxa"/>
            <w:shd w:val="clear" w:color="auto" w:fill="auto"/>
            <w:noWrap/>
            <w:vAlign w:val="bottom"/>
            <w:hideMark/>
          </w:tcPr>
          <w:p w:rsidR="00290B20" w:rsidRPr="00290B20" w:rsidRDefault="00290B20" w:rsidP="00290B20">
            <w:pPr>
              <w:rPr>
                <w:sz w:val="20"/>
                <w:lang w:val="es-ES"/>
              </w:rPr>
            </w:pPr>
          </w:p>
        </w:tc>
        <w:tc>
          <w:tcPr>
            <w:tcW w:w="776" w:type="dxa"/>
            <w:shd w:val="clear" w:color="auto" w:fill="auto"/>
            <w:noWrap/>
            <w:vAlign w:val="bottom"/>
            <w:hideMark/>
          </w:tcPr>
          <w:p w:rsidR="00290B20" w:rsidRPr="00290B20" w:rsidRDefault="00290B20" w:rsidP="00290B20">
            <w:pPr>
              <w:rPr>
                <w:sz w:val="20"/>
                <w:lang w:val="es-ES"/>
              </w:rPr>
            </w:pPr>
          </w:p>
        </w:tc>
        <w:tc>
          <w:tcPr>
            <w:tcW w:w="1378" w:type="dxa"/>
            <w:shd w:val="clear" w:color="auto" w:fill="auto"/>
            <w:noWrap/>
            <w:vAlign w:val="bottom"/>
            <w:hideMark/>
          </w:tcPr>
          <w:p w:rsidR="00290B20" w:rsidRPr="00290B20" w:rsidRDefault="00290B20" w:rsidP="00290B20">
            <w:pPr>
              <w:rPr>
                <w:sz w:val="20"/>
                <w:lang w:val="es-ES"/>
              </w:rPr>
            </w:pPr>
          </w:p>
        </w:tc>
        <w:tc>
          <w:tcPr>
            <w:tcW w:w="2158" w:type="dxa"/>
            <w:gridSpan w:val="2"/>
            <w:shd w:val="clear" w:color="auto" w:fill="auto"/>
            <w:noWrap/>
            <w:vAlign w:val="center"/>
            <w:hideMark/>
          </w:tcPr>
          <w:p w:rsidR="00290B20" w:rsidRPr="00290B20" w:rsidRDefault="00290B20" w:rsidP="00290B20">
            <w:pPr>
              <w:jc w:val="center"/>
              <w:rPr>
                <w:rFonts w:ascii="Calibri" w:hAnsi="Calibri"/>
                <w:b/>
                <w:bCs/>
                <w:i/>
                <w:iCs/>
                <w:color w:val="000000"/>
                <w:sz w:val="16"/>
                <w:szCs w:val="16"/>
                <w:lang w:val="es-ES"/>
              </w:rPr>
            </w:pPr>
            <w:r w:rsidRPr="00290B20">
              <w:rPr>
                <w:rFonts w:ascii="Calibri" w:hAnsi="Calibri"/>
                <w:b/>
                <w:bCs/>
                <w:i/>
                <w:iCs/>
                <w:color w:val="000000"/>
                <w:sz w:val="16"/>
                <w:szCs w:val="16"/>
                <w:lang w:val="es-ES"/>
              </w:rPr>
              <w:t>Mesada Vejez</w:t>
            </w:r>
          </w:p>
        </w:tc>
        <w:tc>
          <w:tcPr>
            <w:tcW w:w="1589" w:type="dxa"/>
            <w:shd w:val="clear" w:color="000000" w:fill="FFFF99"/>
            <w:noWrap/>
            <w:vAlign w:val="center"/>
            <w:hideMark/>
          </w:tcPr>
          <w:p w:rsidR="00290B20" w:rsidRPr="00290B20" w:rsidRDefault="00290B20" w:rsidP="00290B20">
            <w:pPr>
              <w:jc w:val="center"/>
              <w:rPr>
                <w:rFonts w:ascii="Calibri" w:hAnsi="Calibri"/>
                <w:b/>
                <w:bCs/>
                <w:i/>
                <w:iCs/>
                <w:color w:val="000000"/>
                <w:sz w:val="20"/>
                <w:lang w:val="es-ES"/>
              </w:rPr>
            </w:pPr>
            <w:r w:rsidRPr="00290B20">
              <w:rPr>
                <w:rFonts w:ascii="Calibri" w:hAnsi="Calibri"/>
                <w:b/>
                <w:bCs/>
                <w:i/>
                <w:iCs/>
                <w:color w:val="000000"/>
                <w:sz w:val="20"/>
                <w:lang w:val="es-ES"/>
              </w:rPr>
              <w:t xml:space="preserve">  1.105.967 </w:t>
            </w:r>
          </w:p>
        </w:tc>
      </w:tr>
    </w:tbl>
    <w:p w:rsidR="00290B20" w:rsidRDefault="00290B20"/>
    <w:tbl>
      <w:tblPr>
        <w:tblW w:w="6580" w:type="dxa"/>
        <w:tblInd w:w="1122" w:type="dxa"/>
        <w:tblCellMar>
          <w:left w:w="70" w:type="dxa"/>
          <w:right w:w="70" w:type="dxa"/>
        </w:tblCellMar>
        <w:tblLook w:val="04A0" w:firstRow="1" w:lastRow="0" w:firstColumn="1" w:lastColumn="0" w:noHBand="0" w:noVBand="1"/>
      </w:tblPr>
      <w:tblGrid>
        <w:gridCol w:w="1200"/>
        <w:gridCol w:w="1220"/>
        <w:gridCol w:w="1200"/>
        <w:gridCol w:w="1500"/>
        <w:gridCol w:w="1460"/>
      </w:tblGrid>
      <w:tr w:rsidR="00290B20" w:rsidRPr="00290B20" w:rsidTr="00290B20">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b/>
                <w:bCs/>
                <w:color w:val="000000"/>
                <w:sz w:val="20"/>
                <w:lang w:val="es-ES"/>
              </w:rPr>
            </w:pPr>
            <w:r w:rsidRPr="00290B20">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b/>
                <w:bCs/>
                <w:color w:val="000000"/>
                <w:sz w:val="20"/>
                <w:lang w:val="es-ES"/>
              </w:rPr>
            </w:pPr>
            <w:r w:rsidRPr="00290B20">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b/>
                <w:bCs/>
                <w:color w:val="000000"/>
                <w:sz w:val="20"/>
                <w:lang w:val="es-ES"/>
              </w:rPr>
            </w:pPr>
            <w:r w:rsidRPr="00290B20">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b/>
                <w:bCs/>
                <w:color w:val="000000"/>
                <w:sz w:val="20"/>
                <w:lang w:val="es-ES"/>
              </w:rPr>
            </w:pPr>
            <w:r w:rsidRPr="00290B20">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b/>
                <w:bCs/>
                <w:color w:val="000000"/>
                <w:sz w:val="20"/>
                <w:lang w:val="es-ES"/>
              </w:rPr>
            </w:pPr>
            <w:proofErr w:type="spellStart"/>
            <w:r w:rsidRPr="00290B20">
              <w:rPr>
                <w:rFonts w:ascii="Arial Narrow" w:hAnsi="Arial Narrow"/>
                <w:b/>
                <w:bCs/>
                <w:color w:val="000000"/>
                <w:sz w:val="20"/>
                <w:lang w:val="es-ES"/>
              </w:rPr>
              <w:t>DIREFENCIA</w:t>
            </w:r>
            <w:proofErr w:type="spellEnd"/>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3,17</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prescritas</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$1.105.967</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3,73</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$1.147.220</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$14.913.854</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$1.175.212</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$16.452.964</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$1.198.011</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$16.772.152</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$1.241.858</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$17.386.012</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$1.325.932</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$18.563.045</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$1.402.173</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$19.630.421</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$1.459.522</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$20.433.305</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2019</w:t>
            </w:r>
          </w:p>
        </w:tc>
        <w:tc>
          <w:tcPr>
            <w:tcW w:w="122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3,18</w:t>
            </w:r>
          </w:p>
        </w:tc>
        <w:tc>
          <w:tcPr>
            <w:tcW w:w="12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12</w:t>
            </w:r>
          </w:p>
        </w:tc>
        <w:tc>
          <w:tcPr>
            <w:tcW w:w="150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$1.505.935</w:t>
            </w:r>
          </w:p>
        </w:tc>
        <w:tc>
          <w:tcPr>
            <w:tcW w:w="1460" w:type="dxa"/>
            <w:tcBorders>
              <w:top w:val="nil"/>
              <w:left w:val="nil"/>
              <w:bottom w:val="single" w:sz="4" w:space="0" w:color="auto"/>
              <w:right w:val="single" w:sz="4" w:space="0" w:color="auto"/>
            </w:tcBorders>
            <w:shd w:val="clear" w:color="000000" w:fill="FFFFFF"/>
            <w:vAlign w:val="center"/>
            <w:hideMark/>
          </w:tcPr>
          <w:p w:rsidR="00290B20" w:rsidRPr="00290B20" w:rsidRDefault="00290B20" w:rsidP="00290B20">
            <w:pPr>
              <w:jc w:val="center"/>
              <w:rPr>
                <w:rFonts w:ascii="Arial Narrow" w:hAnsi="Arial Narrow"/>
                <w:color w:val="000000"/>
                <w:sz w:val="20"/>
                <w:lang w:val="es-ES"/>
              </w:rPr>
            </w:pPr>
            <w:r w:rsidRPr="00290B20">
              <w:rPr>
                <w:rFonts w:ascii="Arial Narrow" w:hAnsi="Arial Narrow"/>
                <w:color w:val="000000"/>
                <w:sz w:val="20"/>
                <w:lang w:val="es-ES"/>
              </w:rPr>
              <w:t>$18.071.215</w:t>
            </w:r>
          </w:p>
        </w:tc>
      </w:tr>
      <w:tr w:rsidR="00290B20" w:rsidRPr="00290B20" w:rsidTr="00290B2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0B20" w:rsidRPr="00290B20" w:rsidRDefault="00290B20" w:rsidP="00290B20">
            <w:pPr>
              <w:jc w:val="center"/>
              <w:rPr>
                <w:rFonts w:ascii="Calibri" w:hAnsi="Calibri"/>
                <w:color w:val="000000"/>
                <w:sz w:val="20"/>
                <w:lang w:val="es-ES"/>
              </w:rPr>
            </w:pPr>
            <w:r w:rsidRPr="00290B20">
              <w:rPr>
                <w:rFonts w:ascii="Calibri" w:hAnsi="Calibri"/>
                <w:color w:val="000000"/>
                <w:sz w:val="20"/>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290B20" w:rsidRPr="00290B20" w:rsidRDefault="00290B20" w:rsidP="00290B20">
            <w:pPr>
              <w:jc w:val="center"/>
              <w:rPr>
                <w:rFonts w:ascii="Calibri" w:hAnsi="Calibri"/>
                <w:color w:val="000000"/>
                <w:sz w:val="20"/>
                <w:lang w:val="es-ES"/>
              </w:rPr>
            </w:pPr>
            <w:r w:rsidRPr="00290B20">
              <w:rPr>
                <w:rFonts w:ascii="Calibri" w:hAnsi="Calibri"/>
                <w:color w:val="000000"/>
                <w:sz w:val="20"/>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290B20" w:rsidRPr="00290B20" w:rsidRDefault="00290B20" w:rsidP="00290B20">
            <w:pPr>
              <w:jc w:val="center"/>
              <w:rPr>
                <w:rFonts w:ascii="Calibri" w:hAnsi="Calibri"/>
                <w:color w:val="000000"/>
                <w:sz w:val="20"/>
                <w:lang w:val="es-ES"/>
              </w:rPr>
            </w:pPr>
            <w:r w:rsidRPr="00290B20">
              <w:rPr>
                <w:rFonts w:ascii="Calibri" w:hAnsi="Calibri"/>
                <w:color w:val="000000"/>
                <w:sz w:val="20"/>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290B20" w:rsidRPr="00290B20" w:rsidRDefault="00290B20" w:rsidP="00290B20">
            <w:pPr>
              <w:jc w:val="center"/>
              <w:rPr>
                <w:rFonts w:ascii="Calibri" w:hAnsi="Calibri"/>
                <w:color w:val="000000"/>
                <w:sz w:val="20"/>
                <w:lang w:val="es-ES"/>
              </w:rPr>
            </w:pPr>
            <w:r w:rsidRPr="00290B20">
              <w:rPr>
                <w:rFonts w:ascii="Calibri" w:hAnsi="Calibri"/>
                <w:color w:val="000000"/>
                <w:sz w:val="20"/>
                <w:lang w:val="es-ES"/>
              </w:rPr>
              <w:t> </w:t>
            </w:r>
          </w:p>
        </w:tc>
        <w:tc>
          <w:tcPr>
            <w:tcW w:w="1460" w:type="dxa"/>
            <w:tcBorders>
              <w:top w:val="nil"/>
              <w:left w:val="nil"/>
              <w:bottom w:val="single" w:sz="4" w:space="0" w:color="auto"/>
              <w:right w:val="single" w:sz="4" w:space="0" w:color="auto"/>
            </w:tcBorders>
            <w:shd w:val="clear" w:color="auto" w:fill="auto"/>
            <w:noWrap/>
            <w:vAlign w:val="center"/>
            <w:hideMark/>
          </w:tcPr>
          <w:p w:rsidR="00290B20" w:rsidRPr="00290B20" w:rsidRDefault="00290B20" w:rsidP="00290B20">
            <w:pPr>
              <w:jc w:val="center"/>
              <w:rPr>
                <w:rFonts w:ascii="Arial Narrow" w:hAnsi="Arial Narrow"/>
                <w:b/>
                <w:bCs/>
                <w:color w:val="000000"/>
                <w:sz w:val="20"/>
                <w:u w:val="single"/>
                <w:lang w:val="es-ES"/>
              </w:rPr>
            </w:pPr>
            <w:r w:rsidRPr="00290B20">
              <w:rPr>
                <w:rFonts w:ascii="Arial Narrow" w:hAnsi="Arial Narrow"/>
                <w:b/>
                <w:bCs/>
                <w:color w:val="000000"/>
                <w:sz w:val="20"/>
                <w:u w:val="single"/>
                <w:lang w:val="es-ES"/>
              </w:rPr>
              <w:t>$142.222.968</w:t>
            </w:r>
          </w:p>
        </w:tc>
      </w:tr>
    </w:tbl>
    <w:p w:rsidR="00280B94" w:rsidRDefault="00280B94">
      <w:pPr>
        <w:spacing w:after="160" w:line="259" w:lineRule="auto"/>
      </w:pPr>
      <w:r>
        <w:br w:type="page"/>
      </w:r>
    </w:p>
    <w:p w:rsidR="00280B94" w:rsidRPr="00280B94" w:rsidRDefault="00280B94" w:rsidP="00280B94">
      <w:pPr>
        <w:jc w:val="both"/>
        <w:rPr>
          <w:rFonts w:ascii="Arial" w:hAnsi="Arial" w:cs="Arial"/>
          <w:sz w:val="22"/>
          <w:szCs w:val="16"/>
          <w:lang w:val="es-ES"/>
        </w:rPr>
      </w:pPr>
      <w:r w:rsidRPr="00280B94">
        <w:rPr>
          <w:rFonts w:ascii="Arial" w:hAnsi="Arial" w:cs="Arial"/>
          <w:sz w:val="22"/>
          <w:szCs w:val="16"/>
          <w:lang w:val="es-ES"/>
        </w:rPr>
        <w:lastRenderedPageBreak/>
        <w:t xml:space="preserve">Radicación: </w:t>
      </w:r>
      <w:r w:rsidRPr="00280B94">
        <w:rPr>
          <w:rFonts w:ascii="Arial" w:hAnsi="Arial" w:cs="Arial"/>
          <w:sz w:val="22"/>
          <w:szCs w:val="16"/>
          <w:lang w:val="es-ES"/>
        </w:rPr>
        <w:tab/>
      </w:r>
      <w:r w:rsidRPr="00280B94">
        <w:rPr>
          <w:rFonts w:ascii="Arial" w:hAnsi="Arial" w:cs="Arial"/>
          <w:sz w:val="22"/>
          <w:szCs w:val="16"/>
          <w:lang w:val="es-ES"/>
        </w:rPr>
        <w:tab/>
        <w:t>66001-31-05-002-2015-00594-01</w:t>
      </w:r>
    </w:p>
    <w:p w:rsidR="00280B94" w:rsidRPr="00280B94" w:rsidRDefault="00280B94" w:rsidP="00280B94">
      <w:pPr>
        <w:jc w:val="both"/>
        <w:rPr>
          <w:rFonts w:ascii="Arial" w:hAnsi="Arial" w:cs="Arial"/>
          <w:sz w:val="22"/>
          <w:szCs w:val="16"/>
          <w:lang w:val="es-ES"/>
        </w:rPr>
      </w:pPr>
      <w:r>
        <w:rPr>
          <w:rFonts w:ascii="Arial" w:hAnsi="Arial" w:cs="Arial"/>
          <w:sz w:val="22"/>
          <w:szCs w:val="16"/>
          <w:lang w:val="es-ES"/>
        </w:rPr>
        <w:t>Proceso:</w:t>
      </w:r>
      <w:r>
        <w:rPr>
          <w:rFonts w:ascii="Arial" w:hAnsi="Arial" w:cs="Arial"/>
          <w:sz w:val="22"/>
          <w:szCs w:val="16"/>
          <w:lang w:val="es-ES"/>
        </w:rPr>
        <w:tab/>
      </w:r>
      <w:r w:rsidRPr="00280B94">
        <w:rPr>
          <w:rFonts w:ascii="Arial" w:hAnsi="Arial" w:cs="Arial"/>
          <w:sz w:val="22"/>
          <w:szCs w:val="16"/>
          <w:lang w:val="es-ES"/>
        </w:rPr>
        <w:tab/>
        <w:t>Ordinario Laboral</w:t>
      </w:r>
    </w:p>
    <w:p w:rsidR="00280B94" w:rsidRPr="00280B94" w:rsidRDefault="00280B94" w:rsidP="00280B94">
      <w:pPr>
        <w:jc w:val="both"/>
        <w:rPr>
          <w:rFonts w:ascii="Arial" w:hAnsi="Arial" w:cs="Arial"/>
          <w:sz w:val="22"/>
          <w:szCs w:val="16"/>
          <w:lang w:val="es-ES"/>
        </w:rPr>
      </w:pPr>
      <w:r w:rsidRPr="00280B94">
        <w:rPr>
          <w:rFonts w:ascii="Arial" w:hAnsi="Arial" w:cs="Arial"/>
          <w:sz w:val="22"/>
          <w:szCs w:val="16"/>
          <w:lang w:val="es-ES"/>
        </w:rPr>
        <w:t>Demandante:</w:t>
      </w:r>
      <w:r w:rsidRPr="00280B94">
        <w:rPr>
          <w:rFonts w:ascii="Arial" w:hAnsi="Arial" w:cs="Arial"/>
          <w:sz w:val="22"/>
          <w:szCs w:val="16"/>
          <w:lang w:val="es-ES"/>
        </w:rPr>
        <w:tab/>
      </w:r>
      <w:r w:rsidRPr="00280B94">
        <w:rPr>
          <w:rFonts w:ascii="Arial" w:hAnsi="Arial" w:cs="Arial"/>
          <w:sz w:val="22"/>
          <w:szCs w:val="16"/>
          <w:lang w:val="es-ES"/>
        </w:rPr>
        <w:tab/>
        <w:t>Oscar Betancur Colorado</w:t>
      </w:r>
    </w:p>
    <w:p w:rsidR="00280B94" w:rsidRDefault="00280B94" w:rsidP="00280B94">
      <w:pPr>
        <w:jc w:val="both"/>
        <w:rPr>
          <w:rFonts w:ascii="Arial" w:hAnsi="Arial" w:cs="Arial"/>
          <w:sz w:val="22"/>
          <w:szCs w:val="16"/>
          <w:lang w:val="es-ES"/>
        </w:rPr>
      </w:pPr>
      <w:r w:rsidRPr="00280B94">
        <w:rPr>
          <w:rFonts w:ascii="Arial" w:hAnsi="Arial" w:cs="Arial"/>
          <w:sz w:val="22"/>
          <w:szCs w:val="16"/>
          <w:lang w:val="es-ES"/>
        </w:rPr>
        <w:t>Demandado:</w:t>
      </w:r>
      <w:r w:rsidRPr="00280B94">
        <w:rPr>
          <w:rFonts w:ascii="Arial" w:hAnsi="Arial" w:cs="Arial"/>
          <w:sz w:val="22"/>
          <w:szCs w:val="16"/>
          <w:lang w:val="es-ES"/>
        </w:rPr>
        <w:tab/>
      </w:r>
      <w:r w:rsidRPr="00280B94">
        <w:rPr>
          <w:rFonts w:ascii="Arial" w:hAnsi="Arial" w:cs="Arial"/>
          <w:sz w:val="22"/>
          <w:szCs w:val="16"/>
          <w:lang w:val="es-ES"/>
        </w:rPr>
        <w:tab/>
        <w:t>Administradora Colombiana de Pensiones</w:t>
      </w:r>
    </w:p>
    <w:p w:rsidR="00280B94" w:rsidRDefault="00280B94" w:rsidP="00B81945">
      <w:pPr>
        <w:spacing w:line="300" w:lineRule="auto"/>
        <w:jc w:val="both"/>
        <w:rPr>
          <w:rFonts w:ascii="Arial" w:hAnsi="Arial" w:cs="Arial"/>
          <w:sz w:val="22"/>
          <w:szCs w:val="16"/>
          <w:lang w:val="es-ES"/>
        </w:rPr>
      </w:pPr>
    </w:p>
    <w:p w:rsidR="00280B94" w:rsidRDefault="00280B94" w:rsidP="00B81945">
      <w:pPr>
        <w:spacing w:line="300" w:lineRule="auto"/>
        <w:jc w:val="both"/>
        <w:rPr>
          <w:rFonts w:ascii="Arial" w:hAnsi="Arial" w:cs="Arial"/>
          <w:sz w:val="22"/>
          <w:szCs w:val="16"/>
          <w:lang w:val="es-ES"/>
        </w:rPr>
      </w:pPr>
    </w:p>
    <w:p w:rsidR="00280B94" w:rsidRPr="00280B94" w:rsidRDefault="00280B94" w:rsidP="00B81945">
      <w:pPr>
        <w:spacing w:line="300" w:lineRule="auto"/>
        <w:jc w:val="both"/>
        <w:rPr>
          <w:rFonts w:ascii="Arial" w:hAnsi="Arial" w:cs="Arial"/>
          <w:sz w:val="22"/>
          <w:szCs w:val="16"/>
          <w:lang w:val="es-ES"/>
        </w:rPr>
      </w:pPr>
    </w:p>
    <w:p w:rsidR="00280B94" w:rsidRPr="00280B94" w:rsidRDefault="00280B94" w:rsidP="00B81945">
      <w:pPr>
        <w:spacing w:line="300" w:lineRule="auto"/>
        <w:ind w:left="1134"/>
        <w:jc w:val="both"/>
        <w:rPr>
          <w:rFonts w:ascii="Arial" w:hAnsi="Arial" w:cs="Arial"/>
          <w:b/>
          <w:szCs w:val="24"/>
          <w:lang w:val="es-ES"/>
        </w:rPr>
      </w:pPr>
      <w:r w:rsidRPr="00280B94">
        <w:rPr>
          <w:rFonts w:ascii="Arial" w:hAnsi="Arial" w:cs="Arial"/>
          <w:szCs w:val="24"/>
          <w:lang w:val="es-ES"/>
        </w:rPr>
        <w:t xml:space="preserve">MAGISTRADO: </w:t>
      </w:r>
      <w:r w:rsidRPr="00280B94">
        <w:rPr>
          <w:rFonts w:ascii="Arial" w:hAnsi="Arial" w:cs="Arial"/>
          <w:b/>
          <w:szCs w:val="24"/>
          <w:lang w:val="es-ES"/>
        </w:rPr>
        <w:t xml:space="preserve">JULIO CÉSAR SALAZAR MUÑOZ  </w:t>
      </w:r>
      <w:r w:rsidRPr="00280B94">
        <w:rPr>
          <w:rFonts w:ascii="Arial" w:hAnsi="Arial" w:cs="Arial"/>
          <w:b/>
          <w:szCs w:val="24"/>
          <w:lang w:val="es-ES"/>
        </w:rPr>
        <w:tab/>
      </w:r>
    </w:p>
    <w:p w:rsidR="00280B94" w:rsidRPr="00280B94" w:rsidRDefault="00280B94" w:rsidP="00B81945">
      <w:pPr>
        <w:spacing w:line="300" w:lineRule="auto"/>
        <w:ind w:left="1134"/>
        <w:jc w:val="both"/>
        <w:rPr>
          <w:rFonts w:ascii="Arial" w:hAnsi="Arial" w:cs="Arial"/>
          <w:szCs w:val="24"/>
          <w:lang w:val="es-ES"/>
        </w:rPr>
      </w:pPr>
      <w:r w:rsidRPr="00280B94">
        <w:rPr>
          <w:rFonts w:ascii="Arial" w:hAnsi="Arial" w:cs="Arial"/>
          <w:szCs w:val="24"/>
          <w:lang w:val="es-ES"/>
        </w:rPr>
        <w:t>Pereira, veintiocho [28] de noviembre de dos mil diecinueve [2019].</w:t>
      </w:r>
    </w:p>
    <w:p w:rsidR="00280B94" w:rsidRDefault="00280B94" w:rsidP="00B81945">
      <w:pPr>
        <w:tabs>
          <w:tab w:val="left" w:pos="1440"/>
        </w:tabs>
        <w:spacing w:line="300" w:lineRule="auto"/>
        <w:jc w:val="both"/>
        <w:rPr>
          <w:rFonts w:ascii="Arial" w:hAnsi="Arial" w:cs="Arial"/>
          <w:snapToGrid w:val="0"/>
          <w:szCs w:val="24"/>
          <w:lang w:val="es-ES"/>
        </w:rPr>
      </w:pPr>
    </w:p>
    <w:p w:rsidR="008E2D75" w:rsidRPr="00280B94" w:rsidRDefault="008E2D75" w:rsidP="00B81945">
      <w:pPr>
        <w:tabs>
          <w:tab w:val="left" w:pos="1440"/>
        </w:tabs>
        <w:spacing w:line="300" w:lineRule="auto"/>
        <w:jc w:val="both"/>
        <w:rPr>
          <w:rFonts w:ascii="Arial" w:hAnsi="Arial" w:cs="Arial"/>
          <w:snapToGrid w:val="0"/>
          <w:szCs w:val="24"/>
          <w:lang w:val="es-ES"/>
        </w:rPr>
      </w:pPr>
    </w:p>
    <w:p w:rsidR="00280B94" w:rsidRPr="00B81945" w:rsidRDefault="00B81945" w:rsidP="00B81945">
      <w:pPr>
        <w:spacing w:line="300" w:lineRule="auto"/>
        <w:jc w:val="center"/>
        <w:rPr>
          <w:rFonts w:ascii="Arial" w:hAnsi="Arial" w:cs="Arial"/>
          <w:b/>
          <w:szCs w:val="24"/>
          <w:u w:val="single"/>
          <w:lang w:val="es-ES"/>
        </w:rPr>
      </w:pPr>
      <w:r w:rsidRPr="00B81945">
        <w:rPr>
          <w:rFonts w:ascii="Arial" w:hAnsi="Arial" w:cs="Arial"/>
          <w:b/>
          <w:szCs w:val="24"/>
          <w:u w:val="single"/>
          <w:lang w:val="es-ES"/>
        </w:rPr>
        <w:t>SALVAMENTO  DE VOTO</w:t>
      </w:r>
    </w:p>
    <w:p w:rsidR="00280B94" w:rsidRDefault="00280B94" w:rsidP="00B81945">
      <w:pPr>
        <w:spacing w:line="300" w:lineRule="auto"/>
        <w:jc w:val="both"/>
        <w:rPr>
          <w:rFonts w:ascii="Arial" w:hAnsi="Arial" w:cs="Arial"/>
          <w:iCs/>
          <w:szCs w:val="24"/>
          <w:lang w:val="es-ES"/>
        </w:rPr>
      </w:pPr>
    </w:p>
    <w:p w:rsidR="008E2D75" w:rsidRPr="00280B94" w:rsidRDefault="008E2D75"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Concluyó la Sala Mayoritaria que el señor Oscar Betancur Colorado acreditó los requisitos necesarios para acceder a la pensión de jubilación prevista en la Ley 33 de 1985, pues a su juicio, además de ser beneficiario del régimen de transición previsto en el artículo 36 de la Ley 100 de 1993, textualmente expresó que él acreditó haber prestado sus servicios en el sector público durante</w:t>
      </w:r>
      <w:r w:rsidRPr="00280B94">
        <w:rPr>
          <w:rFonts w:ascii="Arial" w:hAnsi="Arial" w:cs="Arial"/>
          <w:b/>
          <w:iCs/>
          <w:szCs w:val="24"/>
          <w:lang w:val="es-ES"/>
        </w:rPr>
        <w:t xml:space="preserve"> 20 años 23 meses y 22 días</w:t>
      </w:r>
      <w:r w:rsidRPr="00280B94">
        <w:rPr>
          <w:rFonts w:ascii="Arial" w:hAnsi="Arial" w:cs="Arial"/>
          <w:iCs/>
          <w:szCs w:val="24"/>
          <w:lang w:val="es-ES"/>
        </w:rPr>
        <w:t>, lo que llevando los meses a años representa que encontraron los integrantes de la sala mayoritaria que el señor Betancur Colorado prestó sus servicios en el sector público durante 21 años 11 meses y 22 días; decisión que como pasará a explicarse, no se ajusta a la realidad procesal.</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Coincido en que el señor Oscar Betancur Colorado es beneficiario del régimen de transición previsto en el artículo 36 de la Ley 100 de 1993, pues así lo definió en sede de tutela el Juzgado Tercero Laboral del Circuito de Pereira en senten</w:t>
      </w:r>
      <w:r w:rsidR="0076322B">
        <w:rPr>
          <w:rFonts w:ascii="Arial" w:hAnsi="Arial" w:cs="Arial"/>
          <w:iCs/>
          <w:szCs w:val="24"/>
          <w:lang w:val="es-ES"/>
        </w:rPr>
        <w:t>cia de 8 de septiembre de 2014 -</w:t>
      </w:r>
      <w:r w:rsidRPr="00280B94">
        <w:rPr>
          <w:rFonts w:ascii="Arial" w:hAnsi="Arial" w:cs="Arial"/>
          <w:iCs/>
          <w:szCs w:val="24"/>
          <w:lang w:val="es-ES"/>
        </w:rPr>
        <w:t>ls.21 a 26- cuando decidió ordenar el traslado del actor del RAIS al RPM al haber encontrado demostrado que él tenía acreditados más de 15 años de servicios para el 1º de abril de 1994 cuando entró a regir el sistema general de pensiones, cumpliendo de esta manera con la sentencia SU 062 de 3 de febrero de 2010 emitida por la Corte Constitucional.</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 xml:space="preserve">Ahora bien, el primer error de la sentencia de la cual me aparto, está en la equivocada contabilización de los tiempos de servicios públicos que la propia Sala Mayoritaria le reconoció al actor, </w:t>
      </w:r>
      <w:r w:rsidRPr="00280B94">
        <w:rPr>
          <w:rFonts w:ascii="Arial" w:hAnsi="Arial" w:cs="Arial"/>
          <w:b/>
          <w:iCs/>
          <w:szCs w:val="24"/>
          <w:lang w:val="es-ES"/>
        </w:rPr>
        <w:t>20 años 23 meses y 22 días</w:t>
      </w:r>
      <w:r w:rsidRPr="00280B94">
        <w:rPr>
          <w:rFonts w:ascii="Arial" w:hAnsi="Arial" w:cs="Arial"/>
          <w:iCs/>
          <w:szCs w:val="24"/>
          <w:lang w:val="es-ES"/>
        </w:rPr>
        <w:t xml:space="preserve"> (21 años 11 meses y 22 días), pues nótese que según lo dispuesto en la providencia, al señor Betancur Colorado se le debía tener en cuenta el tiempo comprendido entre: i) El 17 de enero de 1977 y el 16 de enero de 1977 a favor de la Caja Agraria (2 años de servicios); ii) El 20 de abril de 1981 y el 30 de enero de 1986 a favor de </w:t>
      </w:r>
      <w:proofErr w:type="spellStart"/>
      <w:r w:rsidRPr="00280B94">
        <w:rPr>
          <w:rFonts w:ascii="Arial" w:hAnsi="Arial" w:cs="Arial"/>
          <w:iCs/>
          <w:szCs w:val="24"/>
          <w:lang w:val="es-ES"/>
        </w:rPr>
        <w:t>Inderena</w:t>
      </w:r>
      <w:proofErr w:type="spellEnd"/>
      <w:r w:rsidRPr="00280B94">
        <w:rPr>
          <w:rFonts w:ascii="Arial" w:hAnsi="Arial" w:cs="Arial"/>
          <w:iCs/>
          <w:szCs w:val="24"/>
          <w:lang w:val="es-ES"/>
        </w:rPr>
        <w:t xml:space="preserve"> (4 años 9 meses y 11 días); iii) El 19 de abril de 1989 y el 31 de julio de 2003 a favor del </w:t>
      </w:r>
      <w:proofErr w:type="spellStart"/>
      <w:r w:rsidRPr="00280B94">
        <w:rPr>
          <w:rFonts w:ascii="Arial" w:hAnsi="Arial" w:cs="Arial"/>
          <w:iCs/>
          <w:szCs w:val="24"/>
          <w:lang w:val="es-ES"/>
        </w:rPr>
        <w:t>Incora</w:t>
      </w:r>
      <w:proofErr w:type="spellEnd"/>
      <w:r w:rsidRPr="00280B94">
        <w:rPr>
          <w:rFonts w:ascii="Arial" w:hAnsi="Arial" w:cs="Arial"/>
          <w:iCs/>
          <w:szCs w:val="24"/>
          <w:lang w:val="es-ES"/>
        </w:rPr>
        <w:t xml:space="preserve"> (14 años 3 meses y 12 días); que al sumarlos arrojan un total de servicios de </w:t>
      </w:r>
      <w:r w:rsidRPr="00280B94">
        <w:rPr>
          <w:rFonts w:ascii="Arial" w:hAnsi="Arial" w:cs="Arial"/>
          <w:b/>
          <w:iCs/>
          <w:szCs w:val="24"/>
          <w:lang w:val="es-ES"/>
        </w:rPr>
        <w:t>21 años y 23 días de servicios</w:t>
      </w:r>
      <w:r w:rsidRPr="00280B94">
        <w:rPr>
          <w:rFonts w:ascii="Arial" w:hAnsi="Arial" w:cs="Arial"/>
          <w:iCs/>
          <w:szCs w:val="24"/>
          <w:lang w:val="es-ES"/>
        </w:rPr>
        <w:t>, y no los 20 años 23 meses y 22 días que equivalen a 21 años 11 meses y 22 días.</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 xml:space="preserve">Existiendo entonces claridad en que esos tiempos de servicio público reconocidos al señor Oscar Betancur Colorado sumaban realmente 21 años y 23 días de servicios, </w:t>
      </w:r>
      <w:r w:rsidRPr="00280B94">
        <w:rPr>
          <w:rFonts w:ascii="Arial" w:hAnsi="Arial" w:cs="Arial"/>
          <w:iCs/>
          <w:szCs w:val="24"/>
          <w:lang w:val="es-ES"/>
        </w:rPr>
        <w:lastRenderedPageBreak/>
        <w:t>paso a explicar en qué consistió el error central de la providencia que le permitió al actor acceder a una prestación a la que legalmente no tenía derecho de conformidad con las pruebas vertidas al proceso.</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 xml:space="preserve">Establece el artículo 3º del Decreto 13 de 2001 por medio del cual se reglamentaron parcialmente los artículos 115, 117 y 128 de la Ley 100 de 1993, el Decreto-Ley 1314 de 1994 y el artículo 20 del Decreto-Ley 656 de 1994, que los </w:t>
      </w:r>
      <w:r w:rsidRPr="00280B94">
        <w:rPr>
          <w:rFonts w:ascii="Arial" w:hAnsi="Arial" w:cs="Arial"/>
          <w:b/>
          <w:iCs/>
          <w:szCs w:val="24"/>
          <w:lang w:val="es-ES"/>
        </w:rPr>
        <w:t>únicos documentos válidos para certificar el tiempo laborado o cotizado con destino a la emisión de bonos pensionales o para el reconocimiento de pensiones</w:t>
      </w:r>
      <w:r w:rsidRPr="00280B94">
        <w:rPr>
          <w:rFonts w:ascii="Arial" w:hAnsi="Arial" w:cs="Arial"/>
          <w:iCs/>
          <w:szCs w:val="24"/>
          <w:lang w:val="es-ES"/>
        </w:rPr>
        <w:t xml:space="preserve">, son los que se elaboren </w:t>
      </w:r>
      <w:r w:rsidRPr="00280B94">
        <w:rPr>
          <w:rFonts w:ascii="Arial" w:hAnsi="Arial" w:cs="Arial"/>
          <w:b/>
          <w:iCs/>
          <w:szCs w:val="24"/>
          <w:lang w:val="es-ES"/>
        </w:rPr>
        <w:t xml:space="preserve">en los formatos de información laboral </w:t>
      </w:r>
      <w:r w:rsidRPr="00280B94">
        <w:rPr>
          <w:rFonts w:ascii="Arial" w:hAnsi="Arial" w:cs="Arial"/>
          <w:iCs/>
          <w:szCs w:val="24"/>
          <w:lang w:val="es-ES"/>
        </w:rPr>
        <w:t>(Certificado de Formatos 1, 2 y 3B).</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 xml:space="preserve">Y ello es así, porque son esos documentos los que permiten consolidar las historias laborales de los servidores públicos con el objeto de acceder a las pensiones otorgadas por el sistema, tal y como lo señaló la Corte Constitucional en la sentencia T-207A de 25 de mayo de 2018 con ponencia del Magistrado Antonio José </w:t>
      </w:r>
      <w:proofErr w:type="spellStart"/>
      <w:r w:rsidRPr="00280B94">
        <w:rPr>
          <w:rFonts w:ascii="Arial" w:hAnsi="Arial" w:cs="Arial"/>
          <w:iCs/>
          <w:szCs w:val="24"/>
          <w:lang w:val="es-ES"/>
        </w:rPr>
        <w:t>Lizarazo</w:t>
      </w:r>
      <w:proofErr w:type="spellEnd"/>
      <w:r w:rsidRPr="00280B94">
        <w:rPr>
          <w:rFonts w:ascii="Arial" w:hAnsi="Arial" w:cs="Arial"/>
          <w:iCs/>
          <w:szCs w:val="24"/>
          <w:lang w:val="es-ES"/>
        </w:rPr>
        <w:t xml:space="preserve"> Ocampo en la que analizó la importancia de las certificaciones laborales previstas en el Decreto 13 de 2001 expresando textualmente: </w:t>
      </w:r>
    </w:p>
    <w:p w:rsidR="00280B94" w:rsidRPr="00280B94" w:rsidRDefault="00280B94" w:rsidP="00B81945">
      <w:pPr>
        <w:spacing w:line="300" w:lineRule="auto"/>
        <w:jc w:val="both"/>
        <w:rPr>
          <w:rFonts w:ascii="Arial" w:hAnsi="Arial" w:cs="Arial"/>
          <w:iCs/>
          <w:szCs w:val="24"/>
          <w:lang w:val="es-ES"/>
        </w:rPr>
      </w:pPr>
    </w:p>
    <w:p w:rsidR="00280B94" w:rsidRPr="008E2D75" w:rsidRDefault="00280B94" w:rsidP="008E2D75">
      <w:pPr>
        <w:ind w:left="426" w:right="420"/>
        <w:jc w:val="both"/>
        <w:rPr>
          <w:rFonts w:ascii="Arial" w:hAnsi="Arial" w:cs="Arial"/>
          <w:iCs/>
          <w:sz w:val="22"/>
          <w:szCs w:val="24"/>
          <w:lang w:val="es-ES"/>
        </w:rPr>
      </w:pPr>
      <w:r w:rsidRPr="008E2D75">
        <w:rPr>
          <w:rFonts w:ascii="Arial" w:hAnsi="Arial" w:cs="Arial"/>
          <w:iCs/>
          <w:sz w:val="22"/>
          <w:szCs w:val="24"/>
          <w:lang w:val="es-ES"/>
        </w:rPr>
        <w:t xml:space="preserve">“Finalmente, la Sala advierte que los formularios </w:t>
      </w:r>
      <w:proofErr w:type="spellStart"/>
      <w:r w:rsidRPr="008E2D75">
        <w:rPr>
          <w:rFonts w:ascii="Arial" w:hAnsi="Arial" w:cs="Arial"/>
          <w:iCs/>
          <w:sz w:val="22"/>
          <w:szCs w:val="24"/>
          <w:lang w:val="es-ES"/>
        </w:rPr>
        <w:t>CLEBP</w:t>
      </w:r>
      <w:proofErr w:type="spellEnd"/>
      <w:r w:rsidRPr="008E2D75">
        <w:rPr>
          <w:rFonts w:ascii="Arial" w:hAnsi="Arial" w:cs="Arial"/>
          <w:iCs/>
          <w:sz w:val="22"/>
          <w:szCs w:val="24"/>
          <w:lang w:val="es-ES"/>
        </w:rPr>
        <w:t xml:space="preserve"> tienen utilidad práctica -entre otras cosas- para establecer los tiempos laborados con anterioridad al 01 de abril de 1994, a nivel nacional, o 30 de junio de 1995, a nivel territorial, o 01 de enero de 1996, a nivel distrital, y que por regla general no fueron cotizados al ISS, los cuales necesaria y obligatoriamente deben ser sumados a los que figuran cotizados a COLPENSIONES, para efectos de determinar si la persona reúne el requisito de tiempo de servicio aunado al de la edad, para acceder así a las prestaciones de vejez, invalidez o sobrevivientes, dependiendo del caso.”. </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Así las cosas, para que al señor Oscar Betancur Colorado se le reconociera legalmente la pensión de jubilación prevista en la Ley 33 de 1985, era indispensable que los tiempos de servicio público que alega, aparecieran consolidados en la historia laboral de la Administradora Colombiana de Pensiones o en su defecto en los certificados de información laboral formatos 1, 2 y 3B emitidos por la respectiva entidad pública a la que le prestó sus servicios; por lo que siendo así, al verificar la información inmersa en la historia laboral allegada por Colpensiones –fls.135 a 138- y los certificados de información laboral expedidos por el Instituto Colombiano de la Reforma Agraria “</w:t>
      </w:r>
      <w:proofErr w:type="spellStart"/>
      <w:r w:rsidRPr="00280B94">
        <w:rPr>
          <w:rFonts w:ascii="Arial" w:hAnsi="Arial" w:cs="Arial"/>
          <w:iCs/>
          <w:szCs w:val="24"/>
          <w:lang w:val="es-ES"/>
        </w:rPr>
        <w:t>Incora</w:t>
      </w:r>
      <w:proofErr w:type="spellEnd"/>
      <w:r w:rsidRPr="00280B94">
        <w:rPr>
          <w:rFonts w:ascii="Arial" w:hAnsi="Arial" w:cs="Arial"/>
          <w:iCs/>
          <w:szCs w:val="24"/>
          <w:lang w:val="es-ES"/>
        </w:rPr>
        <w:t xml:space="preserve">” y el Ministerio de Ambiente y Desarrollo sostenible –fls.101 y 101 </w:t>
      </w:r>
      <w:proofErr w:type="spellStart"/>
      <w:r w:rsidRPr="00280B94">
        <w:rPr>
          <w:rFonts w:ascii="Arial" w:hAnsi="Arial" w:cs="Arial"/>
          <w:iCs/>
          <w:szCs w:val="24"/>
          <w:lang w:val="es-ES"/>
        </w:rPr>
        <w:t>vto</w:t>
      </w:r>
      <w:proofErr w:type="spellEnd"/>
      <w:r w:rsidRPr="00280B94">
        <w:rPr>
          <w:rFonts w:ascii="Arial" w:hAnsi="Arial" w:cs="Arial"/>
          <w:iCs/>
          <w:szCs w:val="24"/>
          <w:lang w:val="es-ES"/>
        </w:rPr>
        <w:t>-, se encuentran legalmente acreditados los siguientes tiempos de servicios en el sector público:</w:t>
      </w:r>
    </w:p>
    <w:p w:rsidR="00280B94" w:rsidRPr="00280B94" w:rsidRDefault="00280B94" w:rsidP="00B81945">
      <w:pPr>
        <w:spacing w:line="300" w:lineRule="auto"/>
        <w:jc w:val="both"/>
        <w:rPr>
          <w:rFonts w:ascii="Arial" w:hAnsi="Arial" w:cs="Arial"/>
          <w:iCs/>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30"/>
        <w:gridCol w:w="1714"/>
        <w:gridCol w:w="2776"/>
      </w:tblGrid>
      <w:tr w:rsidR="00280B94" w:rsidRPr="008E2D75" w:rsidTr="00280B94">
        <w:tc>
          <w:tcPr>
            <w:tcW w:w="266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Entidad</w:t>
            </w:r>
          </w:p>
        </w:tc>
        <w:tc>
          <w:tcPr>
            <w:tcW w:w="183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Desde</w:t>
            </w:r>
          </w:p>
        </w:tc>
        <w:tc>
          <w:tcPr>
            <w:tcW w:w="1714"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Hasta</w:t>
            </w:r>
          </w:p>
        </w:tc>
        <w:tc>
          <w:tcPr>
            <w:tcW w:w="2776"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Total de tiempo</w:t>
            </w:r>
          </w:p>
        </w:tc>
      </w:tr>
      <w:tr w:rsidR="00280B94" w:rsidRPr="008E2D75" w:rsidTr="00280B94">
        <w:tc>
          <w:tcPr>
            <w:tcW w:w="266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Caja Agraria</w:t>
            </w:r>
          </w:p>
        </w:tc>
        <w:tc>
          <w:tcPr>
            <w:tcW w:w="183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17/01/1977</w:t>
            </w:r>
          </w:p>
        </w:tc>
        <w:tc>
          <w:tcPr>
            <w:tcW w:w="1714"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15/12/77</w:t>
            </w:r>
          </w:p>
        </w:tc>
        <w:tc>
          <w:tcPr>
            <w:tcW w:w="2776"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10 meses 29 días</w:t>
            </w:r>
          </w:p>
        </w:tc>
      </w:tr>
      <w:tr w:rsidR="00280B94" w:rsidRPr="008E2D75" w:rsidTr="00280B94">
        <w:tc>
          <w:tcPr>
            <w:tcW w:w="266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Min Ambiente (</w:t>
            </w:r>
            <w:proofErr w:type="spellStart"/>
            <w:r w:rsidRPr="008E2D75">
              <w:rPr>
                <w:rFonts w:ascii="Arial" w:hAnsi="Arial" w:cs="Arial"/>
                <w:sz w:val="22"/>
                <w:szCs w:val="24"/>
              </w:rPr>
              <w:t>Inderena</w:t>
            </w:r>
            <w:proofErr w:type="spellEnd"/>
            <w:r w:rsidRPr="008E2D75">
              <w:rPr>
                <w:rFonts w:ascii="Arial" w:hAnsi="Arial" w:cs="Arial"/>
                <w:sz w:val="22"/>
                <w:szCs w:val="24"/>
              </w:rPr>
              <w:t>)</w:t>
            </w:r>
          </w:p>
        </w:tc>
        <w:tc>
          <w:tcPr>
            <w:tcW w:w="183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20/04/81</w:t>
            </w:r>
          </w:p>
        </w:tc>
        <w:tc>
          <w:tcPr>
            <w:tcW w:w="1714"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30/01/86</w:t>
            </w:r>
          </w:p>
        </w:tc>
        <w:tc>
          <w:tcPr>
            <w:tcW w:w="2776"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4 años 9 meses 11 días</w:t>
            </w:r>
          </w:p>
        </w:tc>
      </w:tr>
      <w:tr w:rsidR="00280B94" w:rsidRPr="008E2D75" w:rsidTr="00280B94">
        <w:tc>
          <w:tcPr>
            <w:tcW w:w="2660" w:type="dxa"/>
            <w:shd w:val="clear" w:color="auto" w:fill="auto"/>
          </w:tcPr>
          <w:p w:rsidR="00280B94" w:rsidRPr="008E2D75" w:rsidRDefault="00280B94" w:rsidP="00B81945">
            <w:pPr>
              <w:spacing w:line="300" w:lineRule="auto"/>
              <w:jc w:val="center"/>
              <w:rPr>
                <w:rFonts w:ascii="Arial" w:hAnsi="Arial" w:cs="Arial"/>
                <w:sz w:val="22"/>
                <w:szCs w:val="24"/>
              </w:rPr>
            </w:pPr>
            <w:proofErr w:type="spellStart"/>
            <w:r w:rsidRPr="008E2D75">
              <w:rPr>
                <w:rFonts w:ascii="Arial" w:hAnsi="Arial" w:cs="Arial"/>
                <w:sz w:val="22"/>
                <w:szCs w:val="24"/>
              </w:rPr>
              <w:t>INCORA</w:t>
            </w:r>
            <w:proofErr w:type="spellEnd"/>
          </w:p>
        </w:tc>
        <w:tc>
          <w:tcPr>
            <w:tcW w:w="1830"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19/04/89</w:t>
            </w:r>
          </w:p>
        </w:tc>
        <w:tc>
          <w:tcPr>
            <w:tcW w:w="1714"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31/07/03</w:t>
            </w:r>
          </w:p>
        </w:tc>
        <w:tc>
          <w:tcPr>
            <w:tcW w:w="2776" w:type="dxa"/>
            <w:shd w:val="clear" w:color="auto" w:fill="auto"/>
          </w:tcPr>
          <w:p w:rsidR="00280B94" w:rsidRPr="008E2D75" w:rsidRDefault="00280B94" w:rsidP="00B81945">
            <w:pPr>
              <w:spacing w:line="300" w:lineRule="auto"/>
              <w:jc w:val="center"/>
              <w:rPr>
                <w:rFonts w:ascii="Arial" w:hAnsi="Arial" w:cs="Arial"/>
                <w:sz w:val="22"/>
                <w:szCs w:val="24"/>
              </w:rPr>
            </w:pPr>
            <w:r w:rsidRPr="008E2D75">
              <w:rPr>
                <w:rFonts w:ascii="Arial" w:hAnsi="Arial" w:cs="Arial"/>
                <w:sz w:val="22"/>
                <w:szCs w:val="24"/>
              </w:rPr>
              <w:t>14 años 3 meses 12 días</w:t>
            </w:r>
          </w:p>
        </w:tc>
      </w:tr>
    </w:tbl>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 xml:space="preserve">Conforme con los tiempos relacionados anteriormente, el accionante en toda su vida laboral acredita un total de 19 años 11 meses y 22 días que no resultan suficientes </w:t>
      </w:r>
      <w:r w:rsidRPr="00280B94">
        <w:rPr>
          <w:rFonts w:ascii="Arial" w:hAnsi="Arial" w:cs="Arial"/>
          <w:iCs/>
          <w:szCs w:val="24"/>
          <w:lang w:val="es-ES"/>
        </w:rPr>
        <w:lastRenderedPageBreak/>
        <w:t xml:space="preserve">para reconocer la pensión de jubilación prevista en la Ley 33 de 1985, siendo necesario poner en evidencia que el tiempo de servicio que tuvo en cuenta la Sala Mayoritaria entre el 16 de diciembre de 1977 y el 16 de enero de 1979 (1 año 1 mes y 1 día de servicios), no podía ser validado según las voces del referenciado artículo 3º del Decreto 13 de 2001, ya que dicho periodo no fue acreditado a través de los </w:t>
      </w:r>
      <w:r w:rsidRPr="00280B94">
        <w:rPr>
          <w:rFonts w:ascii="Arial" w:hAnsi="Arial" w:cs="Arial"/>
          <w:b/>
          <w:iCs/>
          <w:szCs w:val="24"/>
          <w:lang w:val="es-ES"/>
        </w:rPr>
        <w:t>únicos documentos válidos para certificar el tiempo laborado o cotizado con destino al reconocimiento de la pensión de jubilación prevista en la ley 33 de 1985</w:t>
      </w:r>
      <w:r w:rsidRPr="00280B94">
        <w:rPr>
          <w:rFonts w:ascii="Arial" w:hAnsi="Arial" w:cs="Arial"/>
          <w:iCs/>
          <w:szCs w:val="24"/>
          <w:lang w:val="es-ES"/>
        </w:rPr>
        <w:t xml:space="preserve">, otorgándole la Sala Mayoritaria la misma calidad a una copia simple de una constancia emitida supuestamente por el Director de la Agencia de la Caja de Crédito Agrario Industrial y Minero de San Juan de </w:t>
      </w:r>
      <w:proofErr w:type="spellStart"/>
      <w:r w:rsidRPr="00280B94">
        <w:rPr>
          <w:rFonts w:ascii="Arial" w:hAnsi="Arial" w:cs="Arial"/>
          <w:iCs/>
          <w:szCs w:val="24"/>
          <w:lang w:val="es-ES"/>
        </w:rPr>
        <w:t>Rioseco</w:t>
      </w:r>
      <w:proofErr w:type="spellEnd"/>
      <w:r w:rsidRPr="00280B94">
        <w:rPr>
          <w:rFonts w:ascii="Arial" w:hAnsi="Arial" w:cs="Arial"/>
          <w:iCs/>
          <w:szCs w:val="24"/>
          <w:lang w:val="es-ES"/>
        </w:rPr>
        <w:t xml:space="preserve"> (Cundinamarca), de quien entre otras cosas se desconoce si es el funcionario autorizado por esa entidad para expedir ese tipo de certificaciones.</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Conforme con lo expuesto, debió confirmarse la sentencia proferida por el Juzgado Segundo Laboral del Circuito el 26 de octubre de 2018.</w:t>
      </w: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p>
    <w:p w:rsidR="00280B94" w:rsidRPr="00280B94" w:rsidRDefault="00280B94" w:rsidP="00B81945">
      <w:pPr>
        <w:spacing w:line="300" w:lineRule="auto"/>
        <w:jc w:val="both"/>
        <w:rPr>
          <w:rFonts w:ascii="Arial" w:hAnsi="Arial" w:cs="Arial"/>
          <w:iCs/>
          <w:szCs w:val="24"/>
          <w:lang w:val="es-ES"/>
        </w:rPr>
      </w:pPr>
      <w:r w:rsidRPr="00280B94">
        <w:rPr>
          <w:rFonts w:ascii="Arial" w:hAnsi="Arial" w:cs="Arial"/>
          <w:iCs/>
          <w:szCs w:val="24"/>
          <w:lang w:val="es-ES"/>
        </w:rPr>
        <w:t>En estos términos dejo salvado mi voto.</w:t>
      </w:r>
    </w:p>
    <w:p w:rsidR="00280B94" w:rsidRDefault="00280B94" w:rsidP="00B81945">
      <w:pPr>
        <w:spacing w:line="300" w:lineRule="auto"/>
        <w:jc w:val="both"/>
        <w:rPr>
          <w:rFonts w:ascii="Arial" w:hAnsi="Arial" w:cs="Arial"/>
          <w:iCs/>
          <w:szCs w:val="24"/>
          <w:lang w:val="es-ES"/>
        </w:rPr>
      </w:pPr>
    </w:p>
    <w:p w:rsidR="00B81945" w:rsidRPr="00280B94" w:rsidRDefault="00B81945" w:rsidP="00B81945">
      <w:pPr>
        <w:spacing w:line="300" w:lineRule="auto"/>
        <w:jc w:val="both"/>
        <w:rPr>
          <w:rFonts w:ascii="Arial" w:hAnsi="Arial" w:cs="Arial"/>
          <w:iCs/>
          <w:szCs w:val="24"/>
          <w:lang w:val="es-ES"/>
        </w:rPr>
      </w:pPr>
    </w:p>
    <w:p w:rsidR="00280B94" w:rsidRPr="00280B94" w:rsidRDefault="00280B94" w:rsidP="00B81945">
      <w:pPr>
        <w:keepNext/>
        <w:spacing w:line="300" w:lineRule="auto"/>
        <w:outlineLvl w:val="3"/>
        <w:rPr>
          <w:rFonts w:ascii="Arial" w:hAnsi="Arial" w:cs="Arial"/>
          <w:b/>
          <w:szCs w:val="24"/>
          <w:lang w:val="es-ES"/>
        </w:rPr>
      </w:pPr>
    </w:p>
    <w:p w:rsidR="00280B94" w:rsidRPr="00280B94" w:rsidRDefault="00280B94" w:rsidP="00B81945">
      <w:pPr>
        <w:spacing w:line="300" w:lineRule="auto"/>
        <w:rPr>
          <w:rFonts w:ascii="Arial" w:hAnsi="Arial" w:cs="Arial"/>
          <w:szCs w:val="24"/>
          <w:lang w:val="es-ES"/>
        </w:rPr>
      </w:pPr>
    </w:p>
    <w:p w:rsidR="00280B94" w:rsidRPr="00280B94" w:rsidRDefault="00280B94" w:rsidP="00B81945">
      <w:pPr>
        <w:keepNext/>
        <w:spacing w:line="300" w:lineRule="auto"/>
        <w:jc w:val="center"/>
        <w:outlineLvl w:val="3"/>
        <w:rPr>
          <w:rFonts w:ascii="Arial" w:hAnsi="Arial" w:cs="Arial"/>
          <w:b/>
          <w:szCs w:val="24"/>
          <w:lang w:val="es-ES"/>
        </w:rPr>
      </w:pPr>
      <w:r w:rsidRPr="00280B94">
        <w:rPr>
          <w:rFonts w:ascii="Arial" w:hAnsi="Arial" w:cs="Arial"/>
          <w:b/>
          <w:szCs w:val="24"/>
          <w:lang w:val="es-ES"/>
        </w:rPr>
        <w:t>JULIO CÉSAR SALAZAR MUÑOZ</w:t>
      </w:r>
    </w:p>
    <w:p w:rsidR="00280B94" w:rsidRPr="00280B94" w:rsidRDefault="00280B94" w:rsidP="00B81945">
      <w:pPr>
        <w:spacing w:line="300" w:lineRule="auto"/>
        <w:jc w:val="center"/>
        <w:rPr>
          <w:rFonts w:ascii="Arial" w:hAnsi="Arial" w:cs="Arial"/>
          <w:szCs w:val="24"/>
          <w:lang w:val="es-ES"/>
        </w:rPr>
      </w:pPr>
      <w:r w:rsidRPr="00280B94">
        <w:rPr>
          <w:rFonts w:ascii="Arial" w:hAnsi="Arial" w:cs="Arial"/>
          <w:szCs w:val="24"/>
          <w:lang w:val="es-ES"/>
        </w:rPr>
        <w:t>Magistrado</w:t>
      </w:r>
    </w:p>
    <w:sectPr w:rsidR="00280B94" w:rsidRPr="00280B94" w:rsidSect="000E031E">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00" w:rsidRDefault="001A6700" w:rsidP="00E6091F">
      <w:r>
        <w:separator/>
      </w:r>
    </w:p>
  </w:endnote>
  <w:endnote w:type="continuationSeparator" w:id="0">
    <w:p w:rsidR="001A6700" w:rsidRDefault="001A6700" w:rsidP="00E6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94" w:rsidRDefault="00280B94" w:rsidP="003324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0B94" w:rsidRDefault="00280B94" w:rsidP="003324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94" w:rsidRPr="000E031E" w:rsidRDefault="00280B94" w:rsidP="000E031E">
    <w:pPr>
      <w:framePr w:wrap="around" w:vAnchor="text" w:hAnchor="margin" w:xAlign="right" w:y="1"/>
      <w:jc w:val="both"/>
      <w:rPr>
        <w:rFonts w:ascii="Arial" w:hAnsi="Arial" w:cs="Arial"/>
        <w:bCs/>
        <w:sz w:val="18"/>
        <w:szCs w:val="16"/>
      </w:rPr>
    </w:pPr>
    <w:r w:rsidRPr="000E031E">
      <w:rPr>
        <w:rFonts w:ascii="Arial" w:hAnsi="Arial" w:cs="Arial"/>
        <w:bCs/>
        <w:sz w:val="18"/>
        <w:szCs w:val="16"/>
      </w:rPr>
      <w:fldChar w:fldCharType="begin"/>
    </w:r>
    <w:r w:rsidRPr="000E031E">
      <w:rPr>
        <w:rFonts w:ascii="Arial" w:hAnsi="Arial" w:cs="Arial"/>
        <w:bCs/>
        <w:sz w:val="18"/>
        <w:szCs w:val="16"/>
      </w:rPr>
      <w:instrText xml:space="preserve">PAGE  </w:instrText>
    </w:r>
    <w:r w:rsidRPr="000E031E">
      <w:rPr>
        <w:rFonts w:ascii="Arial" w:hAnsi="Arial" w:cs="Arial"/>
        <w:bCs/>
        <w:sz w:val="18"/>
        <w:szCs w:val="16"/>
      </w:rPr>
      <w:fldChar w:fldCharType="separate"/>
    </w:r>
    <w:r w:rsidR="00175678">
      <w:rPr>
        <w:rFonts w:ascii="Arial" w:hAnsi="Arial" w:cs="Arial"/>
        <w:bCs/>
        <w:noProof/>
        <w:sz w:val="18"/>
        <w:szCs w:val="16"/>
      </w:rPr>
      <w:t>2</w:t>
    </w:r>
    <w:r w:rsidRPr="000E031E">
      <w:rPr>
        <w:rFonts w:ascii="Arial" w:hAnsi="Arial" w:cs="Arial"/>
        <w:bCs/>
        <w:sz w:val="18"/>
        <w:szCs w:val="16"/>
      </w:rPr>
      <w:fldChar w:fldCharType="end"/>
    </w:r>
  </w:p>
  <w:p w:rsidR="00280B94" w:rsidRPr="000E031E" w:rsidRDefault="00280B94" w:rsidP="003324AC">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00" w:rsidRDefault="001A6700" w:rsidP="00E6091F">
      <w:r>
        <w:separator/>
      </w:r>
    </w:p>
  </w:footnote>
  <w:footnote w:type="continuationSeparator" w:id="0">
    <w:p w:rsidR="001A6700" w:rsidRDefault="001A6700" w:rsidP="00E6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B94" w:rsidRPr="000E031E" w:rsidRDefault="00280B94" w:rsidP="000E031E">
    <w:pPr>
      <w:jc w:val="both"/>
      <w:rPr>
        <w:rFonts w:ascii="Arial" w:hAnsi="Arial" w:cs="Arial"/>
        <w:bCs/>
        <w:sz w:val="18"/>
        <w:szCs w:val="16"/>
      </w:rPr>
    </w:pPr>
    <w:r w:rsidRPr="000E031E">
      <w:rPr>
        <w:rFonts w:ascii="Arial" w:hAnsi="Arial" w:cs="Arial"/>
        <w:bCs/>
        <w:sz w:val="18"/>
        <w:szCs w:val="16"/>
      </w:rPr>
      <w:t>Radicación No: 66001-31-05-002-2015-00594-01</w:t>
    </w:r>
  </w:p>
  <w:p w:rsidR="00280B94" w:rsidRPr="000E031E" w:rsidRDefault="00280B94" w:rsidP="000E031E">
    <w:pPr>
      <w:jc w:val="both"/>
      <w:rPr>
        <w:rFonts w:ascii="Arial" w:hAnsi="Arial" w:cs="Arial"/>
        <w:bCs/>
        <w:sz w:val="18"/>
        <w:szCs w:val="16"/>
      </w:rPr>
    </w:pPr>
    <w:r w:rsidRPr="000E031E">
      <w:rPr>
        <w:rFonts w:ascii="Arial" w:hAnsi="Arial" w:cs="Arial"/>
        <w:bCs/>
        <w:sz w:val="18"/>
        <w:szCs w:val="16"/>
      </w:rPr>
      <w:t>Oscar Betancur Muñoz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8FB"/>
    <w:multiLevelType w:val="hybridMultilevel"/>
    <w:tmpl w:val="0BD09936"/>
    <w:lvl w:ilvl="0" w:tplc="126AF20A">
      <w:start w:val="1"/>
      <w:numFmt w:val="lowerRoman"/>
      <w:lvlText w:val="(%1)"/>
      <w:lvlJc w:val="left"/>
      <w:pPr>
        <w:ind w:left="1428" w:hanging="720"/>
      </w:pPr>
      <w:rPr>
        <w:rFonts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8C354AB"/>
    <w:multiLevelType w:val="hybridMultilevel"/>
    <w:tmpl w:val="71ECF446"/>
    <w:lvl w:ilvl="0" w:tplc="A21469F4">
      <w:start w:val="1"/>
      <w:numFmt w:val="decimal"/>
      <w:lvlText w:val="%1."/>
      <w:lvlJc w:val="left"/>
      <w:pPr>
        <w:ind w:left="6598"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77FA7547"/>
    <w:multiLevelType w:val="hybridMultilevel"/>
    <w:tmpl w:val="C9D0EFAA"/>
    <w:lvl w:ilvl="0" w:tplc="DC401CEE">
      <w:start w:val="1"/>
      <w:numFmt w:val="decimal"/>
      <w:lvlText w:val="%1."/>
      <w:lvlJc w:val="left"/>
      <w:pPr>
        <w:ind w:left="1068" w:hanging="360"/>
      </w:pPr>
      <w:rPr>
        <w:rFonts w:ascii="Arial Narrow" w:hAnsi="Arial Narrow"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F"/>
    <w:rsid w:val="00020FEE"/>
    <w:rsid w:val="000509B1"/>
    <w:rsid w:val="000715F8"/>
    <w:rsid w:val="00080767"/>
    <w:rsid w:val="0008418A"/>
    <w:rsid w:val="000A6038"/>
    <w:rsid w:val="000B1475"/>
    <w:rsid w:val="000B3D6D"/>
    <w:rsid w:val="000B775C"/>
    <w:rsid w:val="000E031E"/>
    <w:rsid w:val="001002B7"/>
    <w:rsid w:val="00104743"/>
    <w:rsid w:val="00113084"/>
    <w:rsid w:val="00116F15"/>
    <w:rsid w:val="001226EF"/>
    <w:rsid w:val="00136CE4"/>
    <w:rsid w:val="00137554"/>
    <w:rsid w:val="001417FE"/>
    <w:rsid w:val="0015351F"/>
    <w:rsid w:val="00166875"/>
    <w:rsid w:val="00166D24"/>
    <w:rsid w:val="00171CB0"/>
    <w:rsid w:val="00175678"/>
    <w:rsid w:val="00182146"/>
    <w:rsid w:val="001A03BF"/>
    <w:rsid w:val="001A1230"/>
    <w:rsid w:val="001A6700"/>
    <w:rsid w:val="001B7FD0"/>
    <w:rsid w:val="001D3BBE"/>
    <w:rsid w:val="001E0535"/>
    <w:rsid w:val="00235FC4"/>
    <w:rsid w:val="00237D0D"/>
    <w:rsid w:val="00280B94"/>
    <w:rsid w:val="00290B20"/>
    <w:rsid w:val="00292C60"/>
    <w:rsid w:val="002938EA"/>
    <w:rsid w:val="002B38D3"/>
    <w:rsid w:val="002C3D6E"/>
    <w:rsid w:val="002C6375"/>
    <w:rsid w:val="002D2251"/>
    <w:rsid w:val="002F0E76"/>
    <w:rsid w:val="00305E19"/>
    <w:rsid w:val="00312BBC"/>
    <w:rsid w:val="003324AC"/>
    <w:rsid w:val="00345526"/>
    <w:rsid w:val="00377B70"/>
    <w:rsid w:val="003A2D75"/>
    <w:rsid w:val="003B05AF"/>
    <w:rsid w:val="003E5564"/>
    <w:rsid w:val="003F2716"/>
    <w:rsid w:val="004020FB"/>
    <w:rsid w:val="00431A04"/>
    <w:rsid w:val="004568B7"/>
    <w:rsid w:val="00487742"/>
    <w:rsid w:val="004A3273"/>
    <w:rsid w:val="004A6139"/>
    <w:rsid w:val="004B366A"/>
    <w:rsid w:val="004F1724"/>
    <w:rsid w:val="00530F49"/>
    <w:rsid w:val="00535941"/>
    <w:rsid w:val="00550812"/>
    <w:rsid w:val="0055650D"/>
    <w:rsid w:val="00565A68"/>
    <w:rsid w:val="0057252A"/>
    <w:rsid w:val="005956BE"/>
    <w:rsid w:val="005B68AB"/>
    <w:rsid w:val="005D21B1"/>
    <w:rsid w:val="00632D8C"/>
    <w:rsid w:val="0066049D"/>
    <w:rsid w:val="006630D3"/>
    <w:rsid w:val="00673A8D"/>
    <w:rsid w:val="00690668"/>
    <w:rsid w:val="00691E27"/>
    <w:rsid w:val="006A4747"/>
    <w:rsid w:val="006D7EF5"/>
    <w:rsid w:val="006E3221"/>
    <w:rsid w:val="006E5E01"/>
    <w:rsid w:val="006F511B"/>
    <w:rsid w:val="00722A28"/>
    <w:rsid w:val="00735362"/>
    <w:rsid w:val="007357B2"/>
    <w:rsid w:val="00755D51"/>
    <w:rsid w:val="0076322B"/>
    <w:rsid w:val="0076548E"/>
    <w:rsid w:val="00774723"/>
    <w:rsid w:val="00792B92"/>
    <w:rsid w:val="00793720"/>
    <w:rsid w:val="0079705C"/>
    <w:rsid w:val="007A4AE3"/>
    <w:rsid w:val="007B19F5"/>
    <w:rsid w:val="007D454C"/>
    <w:rsid w:val="007E4880"/>
    <w:rsid w:val="00804EA9"/>
    <w:rsid w:val="00846669"/>
    <w:rsid w:val="00853845"/>
    <w:rsid w:val="00862EF2"/>
    <w:rsid w:val="0087476F"/>
    <w:rsid w:val="008B0C4D"/>
    <w:rsid w:val="008C238C"/>
    <w:rsid w:val="008C5637"/>
    <w:rsid w:val="008E2D75"/>
    <w:rsid w:val="0091286F"/>
    <w:rsid w:val="00942918"/>
    <w:rsid w:val="00943C0D"/>
    <w:rsid w:val="009457C2"/>
    <w:rsid w:val="00956411"/>
    <w:rsid w:val="00983F18"/>
    <w:rsid w:val="009A456C"/>
    <w:rsid w:val="009B73E6"/>
    <w:rsid w:val="009B7EE8"/>
    <w:rsid w:val="009C1237"/>
    <w:rsid w:val="009E5D78"/>
    <w:rsid w:val="009F73AD"/>
    <w:rsid w:val="00A17607"/>
    <w:rsid w:val="00A27A04"/>
    <w:rsid w:val="00A429E5"/>
    <w:rsid w:val="00A5200D"/>
    <w:rsid w:val="00A52528"/>
    <w:rsid w:val="00A53E35"/>
    <w:rsid w:val="00A70602"/>
    <w:rsid w:val="00A74F90"/>
    <w:rsid w:val="00A83A1E"/>
    <w:rsid w:val="00A8581E"/>
    <w:rsid w:val="00AB4CAD"/>
    <w:rsid w:val="00B0371C"/>
    <w:rsid w:val="00B2450F"/>
    <w:rsid w:val="00B81945"/>
    <w:rsid w:val="00B845E4"/>
    <w:rsid w:val="00B947E8"/>
    <w:rsid w:val="00B96D0F"/>
    <w:rsid w:val="00BB4499"/>
    <w:rsid w:val="00BC69FE"/>
    <w:rsid w:val="00BE0E1C"/>
    <w:rsid w:val="00BE4BD7"/>
    <w:rsid w:val="00BE7032"/>
    <w:rsid w:val="00BF361F"/>
    <w:rsid w:val="00C2072D"/>
    <w:rsid w:val="00C2531F"/>
    <w:rsid w:val="00C253AD"/>
    <w:rsid w:val="00C34A66"/>
    <w:rsid w:val="00C35CA1"/>
    <w:rsid w:val="00C71FF7"/>
    <w:rsid w:val="00C81480"/>
    <w:rsid w:val="00C90B5B"/>
    <w:rsid w:val="00C96E00"/>
    <w:rsid w:val="00CC0AA6"/>
    <w:rsid w:val="00CC11E9"/>
    <w:rsid w:val="00CC239B"/>
    <w:rsid w:val="00CC7B4D"/>
    <w:rsid w:val="00CF3F7F"/>
    <w:rsid w:val="00D679CC"/>
    <w:rsid w:val="00D8393B"/>
    <w:rsid w:val="00D87C17"/>
    <w:rsid w:val="00DA28E8"/>
    <w:rsid w:val="00DB22FB"/>
    <w:rsid w:val="00DC4FEB"/>
    <w:rsid w:val="00DC62F9"/>
    <w:rsid w:val="00DD2DCE"/>
    <w:rsid w:val="00E02BF3"/>
    <w:rsid w:val="00E07D03"/>
    <w:rsid w:val="00E352A6"/>
    <w:rsid w:val="00E45E10"/>
    <w:rsid w:val="00E51442"/>
    <w:rsid w:val="00E6091F"/>
    <w:rsid w:val="00E6125E"/>
    <w:rsid w:val="00E626A4"/>
    <w:rsid w:val="00E86DE0"/>
    <w:rsid w:val="00E86E92"/>
    <w:rsid w:val="00E93799"/>
    <w:rsid w:val="00EA16DD"/>
    <w:rsid w:val="00EC14D0"/>
    <w:rsid w:val="00EC72E6"/>
    <w:rsid w:val="00F04F48"/>
    <w:rsid w:val="00F05A9E"/>
    <w:rsid w:val="00F23242"/>
    <w:rsid w:val="00F30854"/>
    <w:rsid w:val="00F45D54"/>
    <w:rsid w:val="00F607B1"/>
    <w:rsid w:val="00F82E84"/>
    <w:rsid w:val="00F953E8"/>
    <w:rsid w:val="00FC3EEA"/>
    <w:rsid w:val="00FF0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D9E31-2D80-4CD7-83AE-9FAB10D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6091F"/>
    <w:pPr>
      <w:tabs>
        <w:tab w:val="center" w:pos="4252"/>
        <w:tab w:val="right" w:pos="8504"/>
      </w:tabs>
    </w:pPr>
  </w:style>
  <w:style w:type="character" w:customStyle="1" w:styleId="PiedepginaCar">
    <w:name w:val="Pie de página Car"/>
    <w:basedOn w:val="Fuentedeprrafopredeter"/>
    <w:link w:val="Piedepgina"/>
    <w:rsid w:val="00E609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6091F"/>
  </w:style>
  <w:style w:type="paragraph" w:styleId="Encabezado">
    <w:name w:val="header"/>
    <w:basedOn w:val="Normal"/>
    <w:link w:val="EncabezadoCar"/>
    <w:rsid w:val="00E6091F"/>
    <w:pPr>
      <w:tabs>
        <w:tab w:val="center" w:pos="4252"/>
        <w:tab w:val="right" w:pos="8504"/>
      </w:tabs>
    </w:pPr>
  </w:style>
  <w:style w:type="character" w:customStyle="1" w:styleId="EncabezadoCar">
    <w:name w:val="Encabezado Car"/>
    <w:basedOn w:val="Fuentedeprrafopredeter"/>
    <w:link w:val="Encabezado"/>
    <w:rsid w:val="00E6091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6091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E6091F"/>
    <w:pPr>
      <w:ind w:left="708"/>
    </w:pPr>
  </w:style>
  <w:style w:type="paragraph" w:styleId="Sinespaciado">
    <w:name w:val="No Spacing"/>
    <w:uiPriority w:val="1"/>
    <w:qFormat/>
    <w:rsid w:val="00E6091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6091F"/>
    <w:pPr>
      <w:spacing w:line="360" w:lineRule="auto"/>
      <w:jc w:val="both"/>
    </w:pPr>
    <w:rPr>
      <w:rFonts w:ascii="Arial" w:hAnsi="Arial"/>
      <w:sz w:val="28"/>
    </w:rPr>
  </w:style>
  <w:style w:type="paragraph" w:customStyle="1" w:styleId="Textoindependiente32">
    <w:name w:val="Texto independiente 32"/>
    <w:basedOn w:val="Normal"/>
    <w:rsid w:val="00E6091F"/>
    <w:pPr>
      <w:spacing w:line="360" w:lineRule="auto"/>
      <w:jc w:val="both"/>
    </w:pPr>
    <w:rPr>
      <w:rFonts w:ascii="Arial" w:hAnsi="Arial"/>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unhideWhenUsed/>
    <w:rsid w:val="00C253AD"/>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C253A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C253AD"/>
    <w:rPr>
      <w:vertAlign w:val="superscript"/>
    </w:rPr>
  </w:style>
  <w:style w:type="paragraph" w:styleId="Textodeglobo">
    <w:name w:val="Balloon Text"/>
    <w:basedOn w:val="Normal"/>
    <w:link w:val="TextodegloboCar"/>
    <w:uiPriority w:val="99"/>
    <w:semiHidden/>
    <w:unhideWhenUsed/>
    <w:rsid w:val="008538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3845"/>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862EF2"/>
    <w:pPr>
      <w:spacing w:line="360" w:lineRule="auto"/>
      <w:jc w:val="both"/>
    </w:pPr>
    <w:rPr>
      <w:rFonts w:ascii="Arial" w:hAnsi="Arial"/>
    </w:rPr>
  </w:style>
  <w:style w:type="paragraph" w:styleId="Textoindependiente">
    <w:name w:val="Body Text"/>
    <w:basedOn w:val="Normal"/>
    <w:link w:val="TextoindependienteCar"/>
    <w:uiPriority w:val="99"/>
    <w:unhideWhenUsed/>
    <w:rsid w:val="00673A8D"/>
    <w:pPr>
      <w:spacing w:after="120"/>
    </w:pPr>
  </w:style>
  <w:style w:type="character" w:customStyle="1" w:styleId="TextoindependienteCar">
    <w:name w:val="Texto independiente Car"/>
    <w:basedOn w:val="Fuentedeprrafopredeter"/>
    <w:link w:val="Textoindependiente"/>
    <w:uiPriority w:val="99"/>
    <w:rsid w:val="00673A8D"/>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290B20"/>
    <w:rPr>
      <w:color w:val="0563C1"/>
      <w:u w:val="single"/>
    </w:rPr>
  </w:style>
  <w:style w:type="character" w:styleId="Hipervnculovisitado">
    <w:name w:val="FollowedHyperlink"/>
    <w:basedOn w:val="Fuentedeprrafopredeter"/>
    <w:uiPriority w:val="99"/>
    <w:semiHidden/>
    <w:unhideWhenUsed/>
    <w:rsid w:val="00290B20"/>
    <w:rPr>
      <w:color w:val="954F72"/>
      <w:u w:val="single"/>
    </w:rPr>
  </w:style>
  <w:style w:type="paragraph" w:customStyle="1" w:styleId="font5">
    <w:name w:val="font5"/>
    <w:basedOn w:val="Normal"/>
    <w:rsid w:val="00290B20"/>
    <w:pPr>
      <w:spacing w:before="100" w:beforeAutospacing="1" w:after="100" w:afterAutospacing="1"/>
    </w:pPr>
    <w:rPr>
      <w:rFonts w:ascii="Tahoma" w:hAnsi="Tahoma" w:cs="Tahoma"/>
      <w:b/>
      <w:bCs/>
      <w:color w:val="000000"/>
      <w:sz w:val="16"/>
      <w:szCs w:val="16"/>
      <w:lang w:val="es-ES"/>
    </w:rPr>
  </w:style>
  <w:style w:type="paragraph" w:customStyle="1" w:styleId="xl87">
    <w:name w:val="xl87"/>
    <w:basedOn w:val="Normal"/>
    <w:rsid w:val="00290B20"/>
    <w:pPr>
      <w:spacing w:before="100" w:beforeAutospacing="1" w:after="100" w:afterAutospacing="1"/>
    </w:pPr>
    <w:rPr>
      <w:i/>
      <w:iCs/>
      <w:color w:val="000000"/>
      <w:szCs w:val="24"/>
      <w:lang w:val="es-ES"/>
    </w:rPr>
  </w:style>
  <w:style w:type="paragraph" w:customStyle="1" w:styleId="xl88">
    <w:name w:val="xl88"/>
    <w:basedOn w:val="Normal"/>
    <w:rsid w:val="00290B2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89">
    <w:name w:val="xl89"/>
    <w:basedOn w:val="Normal"/>
    <w:rsid w:val="00290B2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rPr>
  </w:style>
  <w:style w:type="paragraph" w:customStyle="1" w:styleId="xl90">
    <w:name w:val="xl90"/>
    <w:basedOn w:val="Normal"/>
    <w:rsid w:val="00290B2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91">
    <w:name w:val="xl91"/>
    <w:basedOn w:val="Normal"/>
    <w:rsid w:val="00290B20"/>
    <w:pPr>
      <w:spacing w:before="100" w:beforeAutospacing="1" w:after="100" w:afterAutospacing="1"/>
    </w:pPr>
    <w:rPr>
      <w:i/>
      <w:iCs/>
      <w:color w:val="000000"/>
      <w:sz w:val="16"/>
      <w:szCs w:val="16"/>
      <w:lang w:val="es-ES"/>
    </w:rPr>
  </w:style>
  <w:style w:type="paragraph" w:customStyle="1" w:styleId="xl92">
    <w:name w:val="xl92"/>
    <w:basedOn w:val="Normal"/>
    <w:rsid w:val="00290B20"/>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93">
    <w:name w:val="xl93"/>
    <w:basedOn w:val="Normal"/>
    <w:rsid w:val="00290B20"/>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94">
    <w:name w:val="xl94"/>
    <w:basedOn w:val="Normal"/>
    <w:rsid w:val="00290B2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95">
    <w:name w:val="xl95"/>
    <w:basedOn w:val="Normal"/>
    <w:rsid w:val="00290B2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96">
    <w:name w:val="xl96"/>
    <w:basedOn w:val="Normal"/>
    <w:rsid w:val="00290B2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rPr>
  </w:style>
  <w:style w:type="paragraph" w:customStyle="1" w:styleId="xl97">
    <w:name w:val="xl97"/>
    <w:basedOn w:val="Normal"/>
    <w:rsid w:val="00290B2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98">
    <w:name w:val="xl98"/>
    <w:basedOn w:val="Normal"/>
    <w:rsid w:val="00290B2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rPr>
  </w:style>
  <w:style w:type="paragraph" w:customStyle="1" w:styleId="xl99">
    <w:name w:val="xl99"/>
    <w:basedOn w:val="Normal"/>
    <w:rsid w:val="00290B2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rPr>
  </w:style>
  <w:style w:type="paragraph" w:customStyle="1" w:styleId="xl100">
    <w:name w:val="xl100"/>
    <w:basedOn w:val="Normal"/>
    <w:rsid w:val="00290B20"/>
    <w:pPr>
      <w:spacing w:before="100" w:beforeAutospacing="1" w:after="100" w:afterAutospacing="1"/>
    </w:pPr>
    <w:rPr>
      <w:szCs w:val="24"/>
      <w:lang w:val="es-ES"/>
    </w:rPr>
  </w:style>
  <w:style w:type="paragraph" w:customStyle="1" w:styleId="xl101">
    <w:name w:val="xl101"/>
    <w:basedOn w:val="Normal"/>
    <w:rsid w:val="00290B20"/>
    <w:pPr>
      <w:spacing w:before="100" w:beforeAutospacing="1" w:after="100" w:afterAutospacing="1"/>
    </w:pPr>
    <w:rPr>
      <w:i/>
      <w:iCs/>
      <w:color w:val="000000"/>
      <w:sz w:val="20"/>
      <w:lang w:val="es-ES"/>
    </w:rPr>
  </w:style>
  <w:style w:type="paragraph" w:customStyle="1" w:styleId="xl102">
    <w:name w:val="xl102"/>
    <w:basedOn w:val="Normal"/>
    <w:rsid w:val="00290B2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lang w:val="es-ES"/>
    </w:rPr>
  </w:style>
  <w:style w:type="paragraph" w:customStyle="1" w:styleId="xl103">
    <w:name w:val="xl103"/>
    <w:basedOn w:val="Normal"/>
    <w:rsid w:val="00290B20"/>
    <w:pPr>
      <w:spacing w:before="100" w:beforeAutospacing="1" w:after="100" w:afterAutospacing="1"/>
      <w:textAlignment w:val="center"/>
    </w:pPr>
    <w:rPr>
      <w:b/>
      <w:bCs/>
      <w:i/>
      <w:iCs/>
      <w:color w:val="000000"/>
      <w:sz w:val="16"/>
      <w:szCs w:val="16"/>
      <w:lang w:val="es-ES"/>
    </w:rPr>
  </w:style>
  <w:style w:type="paragraph" w:customStyle="1" w:styleId="xl104">
    <w:name w:val="xl104"/>
    <w:basedOn w:val="Normal"/>
    <w:rsid w:val="00290B2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rPr>
  </w:style>
  <w:style w:type="paragraph" w:customStyle="1" w:styleId="xl105">
    <w:name w:val="xl105"/>
    <w:basedOn w:val="Normal"/>
    <w:rsid w:val="00290B20"/>
    <w:pPr>
      <w:pBdr>
        <w:top w:val="single" w:sz="4" w:space="0" w:color="auto"/>
        <w:bottom w:val="single" w:sz="4" w:space="0" w:color="auto"/>
        <w:right w:val="single" w:sz="8" w:space="0" w:color="auto"/>
      </w:pBdr>
      <w:spacing w:before="100" w:beforeAutospacing="1" w:after="100" w:afterAutospacing="1"/>
    </w:pPr>
    <w:rPr>
      <w:i/>
      <w:iCs/>
      <w:color w:val="000000"/>
      <w:szCs w:val="24"/>
      <w:lang w:val="es-ES"/>
    </w:rPr>
  </w:style>
  <w:style w:type="paragraph" w:customStyle="1" w:styleId="xl106">
    <w:name w:val="xl106"/>
    <w:basedOn w:val="Normal"/>
    <w:rsid w:val="00290B20"/>
    <w:pPr>
      <w:pBdr>
        <w:left w:val="single" w:sz="8" w:space="0" w:color="auto"/>
      </w:pBdr>
      <w:spacing w:before="100" w:beforeAutospacing="1" w:after="100" w:afterAutospacing="1"/>
    </w:pPr>
    <w:rPr>
      <w:i/>
      <w:iCs/>
      <w:color w:val="000000"/>
      <w:szCs w:val="24"/>
      <w:lang w:val="es-ES"/>
    </w:rPr>
  </w:style>
  <w:style w:type="paragraph" w:customStyle="1" w:styleId="xl107">
    <w:name w:val="xl107"/>
    <w:basedOn w:val="Normal"/>
    <w:rsid w:val="00290B20"/>
    <w:pPr>
      <w:pBdr>
        <w:right w:val="single" w:sz="8" w:space="0" w:color="auto"/>
      </w:pBdr>
      <w:spacing w:before="100" w:beforeAutospacing="1" w:after="100" w:afterAutospacing="1"/>
    </w:pPr>
    <w:rPr>
      <w:i/>
      <w:iCs/>
      <w:color w:val="000000"/>
      <w:szCs w:val="24"/>
      <w:lang w:val="es-ES"/>
    </w:rPr>
  </w:style>
  <w:style w:type="paragraph" w:customStyle="1" w:styleId="xl108">
    <w:name w:val="xl108"/>
    <w:basedOn w:val="Normal"/>
    <w:rsid w:val="00290B2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09">
    <w:name w:val="xl109"/>
    <w:basedOn w:val="Normal"/>
    <w:rsid w:val="00290B2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rPr>
  </w:style>
  <w:style w:type="paragraph" w:customStyle="1" w:styleId="xl110">
    <w:name w:val="xl110"/>
    <w:basedOn w:val="Normal"/>
    <w:rsid w:val="00290B20"/>
    <w:pPr>
      <w:pBdr>
        <w:top w:val="single" w:sz="4"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111">
    <w:name w:val="xl111"/>
    <w:basedOn w:val="Normal"/>
    <w:rsid w:val="00290B2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szCs w:val="24"/>
      <w:lang w:val="es-ES"/>
    </w:rPr>
  </w:style>
  <w:style w:type="paragraph" w:customStyle="1" w:styleId="xl112">
    <w:name w:val="xl112"/>
    <w:basedOn w:val="Normal"/>
    <w:rsid w:val="00290B20"/>
    <w:pPr>
      <w:spacing w:before="100" w:beforeAutospacing="1" w:after="100" w:afterAutospacing="1"/>
    </w:pPr>
    <w:rPr>
      <w:szCs w:val="24"/>
      <w:lang w:val="es-ES"/>
    </w:rPr>
  </w:style>
  <w:style w:type="paragraph" w:customStyle="1" w:styleId="xl113">
    <w:name w:val="xl113"/>
    <w:basedOn w:val="Normal"/>
    <w:rsid w:val="00290B2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szCs w:val="24"/>
      <w:lang w:val="es-ES"/>
    </w:rPr>
  </w:style>
  <w:style w:type="paragraph" w:customStyle="1" w:styleId="xl114">
    <w:name w:val="xl114"/>
    <w:basedOn w:val="Normal"/>
    <w:rsid w:val="00290B2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rPr>
  </w:style>
  <w:style w:type="paragraph" w:customStyle="1" w:styleId="xl115">
    <w:name w:val="xl115"/>
    <w:basedOn w:val="Normal"/>
    <w:rsid w:val="00290B2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rPr>
  </w:style>
  <w:style w:type="paragraph" w:customStyle="1" w:styleId="xl116">
    <w:name w:val="xl116"/>
    <w:basedOn w:val="Normal"/>
    <w:rsid w:val="00290B20"/>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i/>
      <w:iCs/>
      <w:color w:val="000000"/>
      <w:sz w:val="16"/>
      <w:szCs w:val="16"/>
      <w:lang w:val="es-ES"/>
    </w:rPr>
  </w:style>
  <w:style w:type="paragraph" w:customStyle="1" w:styleId="xl117">
    <w:name w:val="xl117"/>
    <w:basedOn w:val="Normal"/>
    <w:rsid w:val="00290B20"/>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i/>
      <w:iCs/>
      <w:color w:val="000000"/>
      <w:sz w:val="16"/>
      <w:szCs w:val="16"/>
      <w:lang w:val="es-ES"/>
    </w:rPr>
  </w:style>
  <w:style w:type="paragraph" w:customStyle="1" w:styleId="xl118">
    <w:name w:val="xl118"/>
    <w:basedOn w:val="Normal"/>
    <w:rsid w:val="00290B20"/>
    <w:pPr>
      <w:pBdr>
        <w:top w:val="single" w:sz="4" w:space="0" w:color="auto"/>
        <w:bottom w:val="single" w:sz="4" w:space="0" w:color="auto"/>
      </w:pBdr>
      <w:spacing w:before="100" w:beforeAutospacing="1" w:after="100" w:afterAutospacing="1"/>
      <w:textAlignment w:val="center"/>
    </w:pPr>
    <w:rPr>
      <w:i/>
      <w:iCs/>
      <w:color w:val="000000"/>
      <w:sz w:val="16"/>
      <w:szCs w:val="16"/>
      <w:lang w:val="es-ES"/>
    </w:rPr>
  </w:style>
  <w:style w:type="paragraph" w:customStyle="1" w:styleId="xl119">
    <w:name w:val="xl119"/>
    <w:basedOn w:val="Normal"/>
    <w:rsid w:val="00290B2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rPr>
  </w:style>
  <w:style w:type="paragraph" w:customStyle="1" w:styleId="xl120">
    <w:name w:val="xl120"/>
    <w:basedOn w:val="Normal"/>
    <w:rsid w:val="00290B2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rPr>
  </w:style>
  <w:style w:type="paragraph" w:customStyle="1" w:styleId="xl121">
    <w:name w:val="xl121"/>
    <w:basedOn w:val="Normal"/>
    <w:rsid w:val="00290B2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rPr>
  </w:style>
  <w:style w:type="paragraph" w:customStyle="1" w:styleId="xl122">
    <w:name w:val="xl122"/>
    <w:basedOn w:val="Normal"/>
    <w:rsid w:val="00290B2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rPr>
  </w:style>
  <w:style w:type="paragraph" w:customStyle="1" w:styleId="xl123">
    <w:name w:val="xl123"/>
    <w:basedOn w:val="Normal"/>
    <w:rsid w:val="00290B20"/>
    <w:pPr>
      <w:pBdr>
        <w:top w:val="single" w:sz="4" w:space="0" w:color="auto"/>
        <w:bottom w:val="single" w:sz="4" w:space="0" w:color="auto"/>
      </w:pBdr>
      <w:spacing w:before="100" w:beforeAutospacing="1" w:after="100" w:afterAutospacing="1"/>
      <w:jc w:val="center"/>
      <w:textAlignment w:val="center"/>
    </w:pPr>
    <w:rPr>
      <w:rFonts w:ascii="Calibri" w:hAnsi="Calibri"/>
      <w:i/>
      <w:iCs/>
      <w:color w:val="000000"/>
      <w:sz w:val="16"/>
      <w:szCs w:val="16"/>
      <w:lang w:val="es-ES"/>
    </w:rPr>
  </w:style>
  <w:style w:type="paragraph" w:customStyle="1" w:styleId="xl124">
    <w:name w:val="xl124"/>
    <w:basedOn w:val="Normal"/>
    <w:rsid w:val="00290B20"/>
    <w:pPr>
      <w:pBdr>
        <w:left w:val="single" w:sz="12" w:space="0" w:color="auto"/>
        <w:right w:val="single" w:sz="8" w:space="0" w:color="auto"/>
      </w:pBdr>
      <w:spacing w:before="100" w:beforeAutospacing="1" w:after="100" w:afterAutospacing="1"/>
      <w:textAlignment w:val="center"/>
    </w:pPr>
    <w:rPr>
      <w:rFonts w:ascii="Calibri" w:hAnsi="Calibri"/>
      <w:i/>
      <w:iCs/>
      <w:color w:val="000000"/>
      <w:szCs w:val="24"/>
      <w:lang w:val="es-ES"/>
    </w:rPr>
  </w:style>
  <w:style w:type="paragraph" w:customStyle="1" w:styleId="xl125">
    <w:name w:val="xl125"/>
    <w:basedOn w:val="Normal"/>
    <w:rsid w:val="00290B20"/>
    <w:pPr>
      <w:pBdr>
        <w:top w:val="single" w:sz="4"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26">
    <w:name w:val="xl126"/>
    <w:basedOn w:val="Normal"/>
    <w:rsid w:val="00290B2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rPr>
  </w:style>
  <w:style w:type="paragraph" w:customStyle="1" w:styleId="xl127">
    <w:name w:val="xl127"/>
    <w:basedOn w:val="Normal"/>
    <w:rsid w:val="00290B2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rPr>
  </w:style>
  <w:style w:type="paragraph" w:customStyle="1" w:styleId="xl128">
    <w:name w:val="xl128"/>
    <w:basedOn w:val="Normal"/>
    <w:rsid w:val="00290B2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29">
    <w:name w:val="xl129"/>
    <w:basedOn w:val="Normal"/>
    <w:rsid w:val="00290B2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0">
    <w:name w:val="xl130"/>
    <w:basedOn w:val="Normal"/>
    <w:rsid w:val="00290B2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1">
    <w:name w:val="xl131"/>
    <w:basedOn w:val="Normal"/>
    <w:rsid w:val="00290B2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rPr>
  </w:style>
  <w:style w:type="paragraph" w:customStyle="1" w:styleId="xl132">
    <w:name w:val="xl132"/>
    <w:basedOn w:val="Normal"/>
    <w:rsid w:val="00290B2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33">
    <w:name w:val="xl133"/>
    <w:basedOn w:val="Normal"/>
    <w:rsid w:val="00290B2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34">
    <w:name w:val="xl134"/>
    <w:basedOn w:val="Normal"/>
    <w:rsid w:val="00290B2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35">
    <w:name w:val="xl135"/>
    <w:basedOn w:val="Normal"/>
    <w:rsid w:val="00290B2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36">
    <w:name w:val="xl136"/>
    <w:basedOn w:val="Normal"/>
    <w:rsid w:val="00290B2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37">
    <w:name w:val="xl137"/>
    <w:basedOn w:val="Normal"/>
    <w:rsid w:val="00290B20"/>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38">
    <w:name w:val="xl138"/>
    <w:basedOn w:val="Normal"/>
    <w:rsid w:val="00290B2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39">
    <w:name w:val="xl139"/>
    <w:basedOn w:val="Normal"/>
    <w:rsid w:val="00290B2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rPr>
  </w:style>
  <w:style w:type="paragraph" w:customStyle="1" w:styleId="xl140">
    <w:name w:val="xl140"/>
    <w:basedOn w:val="Normal"/>
    <w:rsid w:val="00290B2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41">
    <w:name w:val="xl141"/>
    <w:basedOn w:val="Normal"/>
    <w:rsid w:val="00290B2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42">
    <w:name w:val="xl142"/>
    <w:basedOn w:val="Normal"/>
    <w:rsid w:val="00290B20"/>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lang w:val="es-ES"/>
    </w:rPr>
  </w:style>
  <w:style w:type="paragraph" w:customStyle="1" w:styleId="xl143">
    <w:name w:val="xl143"/>
    <w:basedOn w:val="Normal"/>
    <w:rsid w:val="00290B2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44">
    <w:name w:val="xl144"/>
    <w:basedOn w:val="Normal"/>
    <w:rsid w:val="00290B2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45">
    <w:name w:val="xl145"/>
    <w:basedOn w:val="Normal"/>
    <w:rsid w:val="00290B2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46">
    <w:name w:val="xl146"/>
    <w:basedOn w:val="Normal"/>
    <w:rsid w:val="00290B2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47">
    <w:name w:val="xl147"/>
    <w:basedOn w:val="Normal"/>
    <w:rsid w:val="00290B20"/>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ES"/>
    </w:rPr>
  </w:style>
  <w:style w:type="paragraph" w:customStyle="1" w:styleId="xl148">
    <w:name w:val="xl148"/>
    <w:basedOn w:val="Normal"/>
    <w:rsid w:val="00290B2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rPr>
  </w:style>
  <w:style w:type="paragraph" w:customStyle="1" w:styleId="xl149">
    <w:name w:val="xl149"/>
    <w:basedOn w:val="Normal"/>
    <w:rsid w:val="00290B20"/>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89276">
      <w:bodyDiv w:val="1"/>
      <w:marLeft w:val="0"/>
      <w:marRight w:val="0"/>
      <w:marTop w:val="0"/>
      <w:marBottom w:val="0"/>
      <w:divBdr>
        <w:top w:val="none" w:sz="0" w:space="0" w:color="auto"/>
        <w:left w:val="none" w:sz="0" w:space="0" w:color="auto"/>
        <w:bottom w:val="none" w:sz="0" w:space="0" w:color="auto"/>
        <w:right w:val="none" w:sz="0" w:space="0" w:color="auto"/>
      </w:divBdr>
    </w:div>
    <w:div w:id="15324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AFD4-DF13-4B52-827B-41D77F05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5581</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8</cp:revision>
  <cp:lastPrinted>2019-11-18T21:42:00Z</cp:lastPrinted>
  <dcterms:created xsi:type="dcterms:W3CDTF">2019-11-18T21:18:00Z</dcterms:created>
  <dcterms:modified xsi:type="dcterms:W3CDTF">2020-01-15T15:37:00Z</dcterms:modified>
</cp:coreProperties>
</file>