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54" w:rsidRPr="00F37F54" w:rsidRDefault="00F37F54" w:rsidP="00F37F54">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4"/>
          <w:sz w:val="18"/>
          <w:szCs w:val="18"/>
          <w:lang w:val="es-419" w:eastAsia="fr-FR"/>
        </w:rPr>
      </w:pPr>
      <w:bookmarkStart w:id="0" w:name="_GoBack"/>
      <w:bookmarkEnd w:id="0"/>
      <w:r w:rsidRPr="00F37F5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37F54" w:rsidRPr="00F37F54" w:rsidRDefault="00F37F54" w:rsidP="00F37F54">
      <w:pPr>
        <w:spacing w:line="240" w:lineRule="auto"/>
        <w:jc w:val="both"/>
        <w:rPr>
          <w:rFonts w:ascii="Arial" w:eastAsia="Times New Roman" w:hAnsi="Arial" w:cs="Arial"/>
          <w:sz w:val="20"/>
          <w:szCs w:val="20"/>
          <w:lang w:val="es-419" w:eastAsia="es-ES"/>
        </w:rPr>
      </w:pPr>
    </w:p>
    <w:p w:rsidR="00F37F54" w:rsidRPr="00F37F54" w:rsidRDefault="00F37F54" w:rsidP="00F37F54">
      <w:pPr>
        <w:spacing w:line="240" w:lineRule="auto"/>
        <w:jc w:val="both"/>
        <w:rPr>
          <w:rFonts w:ascii="Arial" w:eastAsia="Times New Roman" w:hAnsi="Arial" w:cs="Arial"/>
          <w:sz w:val="20"/>
          <w:szCs w:val="20"/>
          <w:lang w:val="es-419" w:eastAsia="es-ES"/>
        </w:rPr>
      </w:pPr>
      <w:r w:rsidRPr="00F37F54">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sidRPr="00F37F54">
        <w:rPr>
          <w:rFonts w:ascii="Arial" w:eastAsia="Times New Roman" w:hAnsi="Arial" w:cs="Arial"/>
          <w:sz w:val="20"/>
          <w:szCs w:val="20"/>
          <w:lang w:val="es-419" w:eastAsia="es-ES"/>
        </w:rPr>
        <w:t>6001-31-05-002-2019-00455-01</w:t>
      </w:r>
    </w:p>
    <w:p w:rsidR="00F37F54" w:rsidRPr="00F37F54" w:rsidRDefault="00F37F54" w:rsidP="00F37F54">
      <w:pPr>
        <w:spacing w:line="240" w:lineRule="auto"/>
        <w:jc w:val="both"/>
        <w:rPr>
          <w:rFonts w:ascii="Arial" w:eastAsia="Times New Roman" w:hAnsi="Arial" w:cs="Arial"/>
          <w:sz w:val="20"/>
          <w:szCs w:val="20"/>
          <w:lang w:val="es-419" w:eastAsia="es-ES"/>
        </w:rPr>
      </w:pPr>
      <w:r w:rsidRPr="00F37F54">
        <w:rPr>
          <w:rFonts w:ascii="Arial" w:eastAsia="Times New Roman" w:hAnsi="Arial" w:cs="Arial"/>
          <w:sz w:val="20"/>
          <w:szCs w:val="20"/>
          <w:lang w:val="es-419" w:eastAsia="es-ES"/>
        </w:rPr>
        <w:t>Proceso:</w:t>
      </w:r>
      <w:r w:rsidRPr="00F37F54">
        <w:rPr>
          <w:rFonts w:ascii="Arial" w:eastAsia="Times New Roman" w:hAnsi="Arial" w:cs="Arial"/>
          <w:sz w:val="20"/>
          <w:szCs w:val="20"/>
          <w:lang w:val="es-419" w:eastAsia="es-ES"/>
        </w:rPr>
        <w:tab/>
        <w:t xml:space="preserve">Tutela 2ª Instancia </w:t>
      </w:r>
    </w:p>
    <w:p w:rsidR="00F37F54" w:rsidRPr="00F37F54" w:rsidRDefault="00F37F54" w:rsidP="00F37F54">
      <w:pPr>
        <w:spacing w:line="240" w:lineRule="auto"/>
        <w:jc w:val="both"/>
        <w:rPr>
          <w:rFonts w:ascii="Arial" w:eastAsia="Times New Roman" w:hAnsi="Arial" w:cs="Arial"/>
          <w:sz w:val="20"/>
          <w:szCs w:val="20"/>
          <w:lang w:val="es-419" w:eastAsia="es-ES"/>
        </w:rPr>
      </w:pPr>
      <w:r w:rsidRPr="00F37F54">
        <w:rPr>
          <w:rFonts w:ascii="Arial" w:eastAsia="Times New Roman" w:hAnsi="Arial" w:cs="Arial"/>
          <w:sz w:val="20"/>
          <w:szCs w:val="20"/>
          <w:lang w:val="es-419" w:eastAsia="es-ES"/>
        </w:rPr>
        <w:t>Accionante:</w:t>
      </w:r>
      <w:r w:rsidRPr="00F37F54">
        <w:rPr>
          <w:rFonts w:ascii="Arial" w:eastAsia="Times New Roman" w:hAnsi="Arial" w:cs="Arial"/>
          <w:sz w:val="20"/>
          <w:szCs w:val="20"/>
          <w:lang w:val="es-419" w:eastAsia="es-ES"/>
        </w:rPr>
        <w:tab/>
      </w:r>
      <w:r>
        <w:rPr>
          <w:rFonts w:ascii="Arial" w:eastAsia="Times New Roman" w:hAnsi="Arial" w:cs="Arial"/>
          <w:sz w:val="20"/>
          <w:szCs w:val="20"/>
          <w:lang w:val="es-419" w:eastAsia="es-ES"/>
        </w:rPr>
        <w:t>Elvira Rodríguez de Guayabo</w:t>
      </w:r>
    </w:p>
    <w:p w:rsidR="00F37F54" w:rsidRPr="00F37F54" w:rsidRDefault="00F37F54" w:rsidP="00F37F54">
      <w:pPr>
        <w:spacing w:line="240" w:lineRule="auto"/>
        <w:jc w:val="both"/>
        <w:rPr>
          <w:rFonts w:ascii="Arial" w:eastAsia="Times New Roman" w:hAnsi="Arial" w:cs="Arial"/>
          <w:sz w:val="20"/>
          <w:szCs w:val="20"/>
          <w:lang w:val="es-419" w:eastAsia="es-ES"/>
        </w:rPr>
      </w:pPr>
      <w:r w:rsidRPr="00F37F54">
        <w:rPr>
          <w:rFonts w:ascii="Arial" w:eastAsia="Times New Roman" w:hAnsi="Arial" w:cs="Arial"/>
          <w:sz w:val="20"/>
          <w:szCs w:val="20"/>
          <w:lang w:val="es-419" w:eastAsia="es-ES"/>
        </w:rPr>
        <w:t>Accionado:</w:t>
      </w:r>
      <w:r w:rsidRPr="00F37F54">
        <w:rPr>
          <w:rFonts w:ascii="Arial" w:eastAsia="Times New Roman" w:hAnsi="Arial" w:cs="Arial"/>
          <w:sz w:val="20"/>
          <w:szCs w:val="20"/>
          <w:lang w:val="es-419" w:eastAsia="es-ES"/>
        </w:rPr>
        <w:tab/>
        <w:t xml:space="preserve">Administradora Colombiana de Pensiones Colpensiones. </w:t>
      </w:r>
    </w:p>
    <w:p w:rsidR="00F37F54" w:rsidRPr="00F37F54" w:rsidRDefault="00F37F54" w:rsidP="00F37F54">
      <w:pPr>
        <w:spacing w:line="240" w:lineRule="auto"/>
        <w:jc w:val="both"/>
        <w:rPr>
          <w:rFonts w:ascii="Arial" w:eastAsia="Times New Roman" w:hAnsi="Arial" w:cs="Arial"/>
          <w:sz w:val="20"/>
          <w:szCs w:val="20"/>
          <w:lang w:val="es-419" w:eastAsia="es-ES"/>
        </w:rPr>
      </w:pPr>
      <w:r w:rsidRPr="00F37F54">
        <w:rPr>
          <w:rFonts w:ascii="Arial" w:eastAsia="Times New Roman" w:hAnsi="Arial" w:cs="Arial"/>
          <w:sz w:val="20"/>
          <w:szCs w:val="20"/>
          <w:lang w:val="es-419" w:eastAsia="es-ES"/>
        </w:rPr>
        <w:t>Providencia</w:t>
      </w:r>
      <w:r w:rsidRPr="00F37F54">
        <w:rPr>
          <w:rFonts w:ascii="Arial" w:eastAsia="Times New Roman" w:hAnsi="Arial" w:cs="Arial"/>
          <w:sz w:val="20"/>
          <w:szCs w:val="20"/>
          <w:lang w:val="es-419" w:eastAsia="es-ES"/>
        </w:rPr>
        <w:tab/>
        <w:t>Segunda Instancia</w:t>
      </w:r>
    </w:p>
    <w:p w:rsidR="00F37F54" w:rsidRPr="00F37F54" w:rsidRDefault="00F37F54" w:rsidP="00F37F54">
      <w:pPr>
        <w:spacing w:line="240" w:lineRule="auto"/>
        <w:jc w:val="both"/>
        <w:rPr>
          <w:rFonts w:ascii="Arial" w:eastAsia="Times New Roman" w:hAnsi="Arial" w:cs="Arial"/>
          <w:sz w:val="20"/>
          <w:szCs w:val="20"/>
          <w:lang w:val="es-419" w:eastAsia="es-ES"/>
        </w:rPr>
      </w:pPr>
    </w:p>
    <w:p w:rsidR="00F37F54" w:rsidRPr="00F37F54" w:rsidRDefault="00F37F54" w:rsidP="00F37F54">
      <w:pPr>
        <w:spacing w:line="240" w:lineRule="auto"/>
        <w:jc w:val="both"/>
        <w:rPr>
          <w:rFonts w:ascii="Arial" w:eastAsia="Times New Roman" w:hAnsi="Arial" w:cs="Arial"/>
          <w:b/>
          <w:bCs/>
          <w:iCs/>
          <w:sz w:val="20"/>
          <w:szCs w:val="20"/>
          <w:lang w:eastAsia="fr-FR"/>
        </w:rPr>
      </w:pPr>
      <w:r w:rsidRPr="00F37F54">
        <w:rPr>
          <w:rFonts w:ascii="Arial" w:eastAsia="Times New Roman" w:hAnsi="Arial" w:cs="Arial"/>
          <w:b/>
          <w:bCs/>
          <w:iCs/>
          <w:sz w:val="20"/>
          <w:szCs w:val="20"/>
          <w:u w:val="single"/>
          <w:lang w:val="es-419" w:eastAsia="fr-FR"/>
        </w:rPr>
        <w:t>TEMAS:</w:t>
      </w:r>
      <w:r w:rsidRPr="00F37F54">
        <w:rPr>
          <w:rFonts w:ascii="Arial" w:eastAsia="Times New Roman" w:hAnsi="Arial" w:cs="Arial"/>
          <w:b/>
          <w:bCs/>
          <w:iCs/>
          <w:sz w:val="20"/>
          <w:szCs w:val="20"/>
          <w:lang w:val="es-419" w:eastAsia="fr-FR"/>
        </w:rPr>
        <w:tab/>
      </w:r>
      <w:r w:rsidRPr="00F37F54">
        <w:rPr>
          <w:rFonts w:ascii="Arial" w:eastAsia="Times New Roman" w:hAnsi="Arial" w:cs="Arial"/>
          <w:b/>
          <w:sz w:val="20"/>
          <w:szCs w:val="20"/>
          <w:lang w:val="es-419" w:eastAsia="es-ES"/>
        </w:rPr>
        <w:t xml:space="preserve">DERECHO DE PETICIÓN </w:t>
      </w:r>
      <w:r w:rsidRPr="00F37F54">
        <w:rPr>
          <w:rFonts w:ascii="Arial" w:eastAsia="Times New Roman" w:hAnsi="Arial" w:cs="Arial"/>
          <w:b/>
          <w:bCs/>
          <w:iCs/>
          <w:sz w:val="20"/>
          <w:szCs w:val="20"/>
          <w:lang w:val="es-419" w:eastAsia="fr-FR"/>
        </w:rPr>
        <w:t xml:space="preserve">/ </w:t>
      </w:r>
      <w:r w:rsidR="000B54CE">
        <w:rPr>
          <w:rFonts w:ascii="Arial" w:eastAsia="Times New Roman" w:hAnsi="Arial" w:cs="Arial"/>
          <w:b/>
          <w:bCs/>
          <w:iCs/>
          <w:sz w:val="20"/>
          <w:szCs w:val="20"/>
          <w:lang w:eastAsia="fr-FR"/>
        </w:rPr>
        <w:t xml:space="preserve">CALIFICACIÓN DE PÉRDIDA DE CAPACIDAD LABORAL / TRASCENDENCIA DE LA MISMA RESPECTO DE DERECHOS DE RANGO FUNDAMENTAL / </w:t>
      </w:r>
      <w:r w:rsidR="00B91BED">
        <w:rPr>
          <w:rFonts w:ascii="Arial" w:eastAsia="Times New Roman" w:hAnsi="Arial" w:cs="Arial"/>
          <w:b/>
          <w:bCs/>
          <w:iCs/>
          <w:sz w:val="20"/>
          <w:szCs w:val="20"/>
          <w:lang w:eastAsia="fr-FR"/>
        </w:rPr>
        <w:t>MORA EN LA EXPEDICIÓN Y NOTIFICACIÓN DEL RESPECTIVO DICTAMEN.</w:t>
      </w:r>
    </w:p>
    <w:p w:rsidR="00F37F54" w:rsidRDefault="00F37F54" w:rsidP="00F37F54">
      <w:pPr>
        <w:spacing w:line="240" w:lineRule="auto"/>
        <w:jc w:val="both"/>
        <w:rPr>
          <w:rFonts w:ascii="Arial" w:eastAsia="Times New Roman" w:hAnsi="Arial" w:cs="Arial"/>
          <w:sz w:val="20"/>
          <w:szCs w:val="20"/>
          <w:lang w:val="es-419" w:eastAsia="es-ES"/>
        </w:rPr>
      </w:pPr>
    </w:p>
    <w:p w:rsidR="003C159C" w:rsidRPr="003C159C" w:rsidRDefault="003C159C" w:rsidP="003C159C">
      <w:pPr>
        <w:spacing w:line="240" w:lineRule="auto"/>
        <w:jc w:val="both"/>
        <w:rPr>
          <w:rFonts w:ascii="Arial" w:eastAsia="Times New Roman" w:hAnsi="Arial" w:cs="Arial"/>
          <w:sz w:val="20"/>
          <w:szCs w:val="20"/>
          <w:lang w:val="es-419" w:eastAsia="es-ES"/>
        </w:rPr>
      </w:pPr>
      <w:r w:rsidRPr="003C159C">
        <w:rPr>
          <w:rFonts w:ascii="Arial" w:eastAsia="Times New Roman" w:hAnsi="Arial" w:cs="Arial"/>
          <w:sz w:val="20"/>
          <w:szCs w:val="20"/>
          <w:lang w:val="es-419" w:eastAsia="es-ES"/>
        </w:rPr>
        <w:t xml:space="preserve">Los dictámenes de pérdida de capacidad laboral que emiten las entidades calificadoras, tienen relevancia en el acceso al derecho de la seguridad social, pues dependiendo el grado de pérdida de capacidad laboral, el origen y la fecha de estructuración que dictamen, los afiliados tienen la posibilidad de acceder a un grupo determinado de prestaciones asistenciales o económicas, que según el tipo de evento o situación, están a cargo de las entidades que componen el sistema general de seguridad social. </w:t>
      </w:r>
    </w:p>
    <w:p w:rsidR="003C159C" w:rsidRPr="003C159C" w:rsidRDefault="003C159C" w:rsidP="003C159C">
      <w:pPr>
        <w:spacing w:line="240" w:lineRule="auto"/>
        <w:jc w:val="both"/>
        <w:rPr>
          <w:rFonts w:ascii="Arial" w:eastAsia="Times New Roman" w:hAnsi="Arial" w:cs="Arial"/>
          <w:sz w:val="20"/>
          <w:szCs w:val="20"/>
          <w:lang w:val="es-419" w:eastAsia="es-ES"/>
        </w:rPr>
      </w:pPr>
    </w:p>
    <w:p w:rsidR="003C159C" w:rsidRPr="003C159C" w:rsidRDefault="003C159C" w:rsidP="003C159C">
      <w:pPr>
        <w:spacing w:line="240" w:lineRule="auto"/>
        <w:jc w:val="both"/>
        <w:rPr>
          <w:rFonts w:ascii="Arial" w:eastAsia="Times New Roman" w:hAnsi="Arial" w:cs="Arial"/>
          <w:sz w:val="20"/>
          <w:szCs w:val="20"/>
          <w:lang w:val="es-419" w:eastAsia="es-ES"/>
        </w:rPr>
      </w:pPr>
      <w:r w:rsidRPr="003C159C">
        <w:rPr>
          <w:rFonts w:ascii="Arial" w:eastAsia="Times New Roman" w:hAnsi="Arial" w:cs="Arial"/>
          <w:sz w:val="20"/>
          <w:szCs w:val="20"/>
          <w:lang w:val="es-419" w:eastAsia="es-ES"/>
        </w:rPr>
        <w:t>Ahora, respecto de la mora en la expedición del dictamen, conforme lo ha indicado la Corte Constitucional en sentencia T-646-13, puede vulnerar el derecho a la eventual pensión de invalidez, indicando:</w:t>
      </w:r>
    </w:p>
    <w:p w:rsidR="003C159C" w:rsidRPr="003C159C" w:rsidRDefault="003C159C" w:rsidP="003C159C">
      <w:pPr>
        <w:spacing w:line="240" w:lineRule="auto"/>
        <w:jc w:val="both"/>
        <w:rPr>
          <w:rFonts w:ascii="Arial" w:eastAsia="Times New Roman" w:hAnsi="Arial" w:cs="Arial"/>
          <w:sz w:val="20"/>
          <w:szCs w:val="20"/>
          <w:lang w:val="es-419" w:eastAsia="es-ES"/>
        </w:rPr>
      </w:pPr>
    </w:p>
    <w:p w:rsidR="003C159C" w:rsidRPr="003C159C" w:rsidRDefault="003C159C" w:rsidP="003C159C">
      <w:pPr>
        <w:spacing w:line="240" w:lineRule="auto"/>
        <w:jc w:val="both"/>
        <w:rPr>
          <w:rFonts w:ascii="Arial" w:eastAsia="Times New Roman" w:hAnsi="Arial" w:cs="Arial"/>
          <w:sz w:val="20"/>
          <w:szCs w:val="20"/>
          <w:lang w:eastAsia="es-ES"/>
        </w:rPr>
      </w:pPr>
      <w:r w:rsidRPr="003C159C">
        <w:rPr>
          <w:rFonts w:ascii="Arial" w:eastAsia="Times New Roman" w:hAnsi="Arial" w:cs="Arial"/>
          <w:sz w:val="20"/>
          <w:szCs w:val="20"/>
          <w:lang w:val="es-419" w:eastAsia="es-ES"/>
        </w:rPr>
        <w:t>“Las solicitudes de los afiliados deben atenderse con prontitud por estas entidades. De lo contrario, la mora en la expedición del dictamen puede ocasionar la violación de otras garantías constitucionales, puesto que aquel se constituye en una condición indispensable para el ejercicio de otros derechos como los pensionales</w:t>
      </w:r>
      <w:r>
        <w:rPr>
          <w:rFonts w:ascii="Arial" w:eastAsia="Times New Roman" w:hAnsi="Arial" w:cs="Arial"/>
          <w:sz w:val="20"/>
          <w:szCs w:val="20"/>
          <w:lang w:eastAsia="es-ES"/>
        </w:rPr>
        <w:t>…”</w:t>
      </w:r>
    </w:p>
    <w:p w:rsidR="003C159C" w:rsidRDefault="003C159C" w:rsidP="00F37F54">
      <w:pPr>
        <w:spacing w:line="240" w:lineRule="auto"/>
        <w:jc w:val="both"/>
        <w:rPr>
          <w:rFonts w:ascii="Arial" w:eastAsia="Times New Roman" w:hAnsi="Arial" w:cs="Arial"/>
          <w:sz w:val="20"/>
          <w:szCs w:val="20"/>
          <w:lang w:val="es-419" w:eastAsia="es-ES"/>
        </w:rPr>
      </w:pPr>
    </w:p>
    <w:p w:rsidR="003C159C" w:rsidRPr="003C159C" w:rsidRDefault="003C159C" w:rsidP="00F37F54">
      <w:pPr>
        <w:spacing w:line="240" w:lineRule="auto"/>
        <w:jc w:val="both"/>
        <w:rPr>
          <w:rFonts w:ascii="Arial" w:eastAsia="Times New Roman" w:hAnsi="Arial" w:cs="Arial"/>
          <w:sz w:val="20"/>
          <w:szCs w:val="20"/>
          <w:lang w:eastAsia="es-ES"/>
        </w:rPr>
      </w:pPr>
      <w:r w:rsidRPr="003C159C">
        <w:rPr>
          <w:rFonts w:ascii="Arial" w:eastAsia="Times New Roman" w:hAnsi="Arial" w:cs="Arial"/>
          <w:sz w:val="20"/>
          <w:szCs w:val="20"/>
          <w:lang w:val="es-419" w:eastAsia="es-ES"/>
        </w:rPr>
        <w:t>De otro lado, en sentencia T-558-11, resalta la Corte que el Dictamen que califica la pérdida de capacidad laboral debe ser notificado personalmente al afiliado calificado, cuya regulación se encuentra establecida en el artículo 41 de la Ley 100 de 1993</w:t>
      </w:r>
      <w:r>
        <w:rPr>
          <w:rFonts w:ascii="Arial" w:eastAsia="Times New Roman" w:hAnsi="Arial" w:cs="Arial"/>
          <w:sz w:val="20"/>
          <w:szCs w:val="20"/>
          <w:lang w:eastAsia="es-ES"/>
        </w:rPr>
        <w:t>…</w:t>
      </w:r>
      <w:r w:rsidR="000B54CE">
        <w:rPr>
          <w:rFonts w:ascii="Arial" w:eastAsia="Times New Roman" w:hAnsi="Arial" w:cs="Arial"/>
          <w:sz w:val="20"/>
          <w:szCs w:val="20"/>
          <w:lang w:eastAsia="es-ES"/>
        </w:rPr>
        <w:t xml:space="preserve">, </w:t>
      </w:r>
      <w:r w:rsidR="000B54CE" w:rsidRPr="000B54CE">
        <w:rPr>
          <w:rFonts w:ascii="Arial" w:eastAsia="Times New Roman" w:hAnsi="Arial" w:cs="Arial"/>
          <w:sz w:val="20"/>
          <w:szCs w:val="20"/>
          <w:lang w:eastAsia="es-ES"/>
        </w:rPr>
        <w:t>lo que implica que la mora en la emisión y notificación del citado dictamen, además transgredir el derecho fundamental de petición, afecta otros derechos fundamentales conexos como lo es a la seguridad social y a obtener de manera oportuna, derechos pensionales que se erijan de él.</w:t>
      </w:r>
    </w:p>
    <w:p w:rsidR="003C159C" w:rsidRDefault="003C159C" w:rsidP="00F37F54">
      <w:pPr>
        <w:spacing w:line="240" w:lineRule="auto"/>
        <w:jc w:val="both"/>
        <w:rPr>
          <w:rFonts w:ascii="Arial" w:eastAsia="Times New Roman" w:hAnsi="Arial" w:cs="Arial"/>
          <w:sz w:val="20"/>
          <w:szCs w:val="20"/>
          <w:lang w:val="es-419" w:eastAsia="es-ES"/>
        </w:rPr>
      </w:pPr>
    </w:p>
    <w:p w:rsidR="003C159C" w:rsidRDefault="000B54CE" w:rsidP="00F37F54">
      <w:pPr>
        <w:spacing w:line="240" w:lineRule="auto"/>
        <w:jc w:val="both"/>
        <w:rPr>
          <w:rFonts w:ascii="Arial" w:eastAsia="Times New Roman" w:hAnsi="Arial" w:cs="Arial"/>
          <w:sz w:val="20"/>
          <w:szCs w:val="20"/>
          <w:lang w:val="es-419" w:eastAsia="es-ES"/>
        </w:rPr>
      </w:pPr>
      <w:r w:rsidRPr="000B54CE">
        <w:rPr>
          <w:rFonts w:ascii="Arial" w:eastAsia="Times New Roman" w:hAnsi="Arial" w:cs="Arial"/>
          <w:sz w:val="20"/>
          <w:szCs w:val="20"/>
          <w:lang w:val="es-419" w:eastAsia="es-ES"/>
        </w:rPr>
        <w:t>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w:t>
      </w:r>
    </w:p>
    <w:p w:rsidR="003C159C" w:rsidRDefault="003C159C" w:rsidP="00F37F54">
      <w:pPr>
        <w:spacing w:line="240" w:lineRule="auto"/>
        <w:jc w:val="both"/>
        <w:rPr>
          <w:rFonts w:ascii="Arial" w:eastAsia="Times New Roman" w:hAnsi="Arial" w:cs="Arial"/>
          <w:sz w:val="20"/>
          <w:szCs w:val="20"/>
          <w:lang w:val="es-419" w:eastAsia="es-ES"/>
        </w:rPr>
      </w:pPr>
    </w:p>
    <w:p w:rsidR="00F37F54" w:rsidRPr="00F37F54" w:rsidRDefault="00F37F54" w:rsidP="00F37F54">
      <w:pPr>
        <w:spacing w:line="240" w:lineRule="auto"/>
        <w:jc w:val="both"/>
        <w:rPr>
          <w:rFonts w:ascii="Arial" w:eastAsia="Times New Roman" w:hAnsi="Arial" w:cs="Arial"/>
          <w:sz w:val="20"/>
          <w:szCs w:val="20"/>
          <w:lang w:val="es-ES" w:eastAsia="es-ES"/>
        </w:rPr>
      </w:pPr>
    </w:p>
    <w:p w:rsidR="00F37F54" w:rsidRPr="00F37F54" w:rsidRDefault="00F37F54" w:rsidP="00F37F54">
      <w:pPr>
        <w:spacing w:line="240" w:lineRule="auto"/>
        <w:jc w:val="both"/>
        <w:rPr>
          <w:rFonts w:ascii="Arial" w:eastAsia="Times New Roman" w:hAnsi="Arial" w:cs="Arial"/>
          <w:sz w:val="20"/>
          <w:szCs w:val="20"/>
          <w:lang w:val="es-ES" w:eastAsia="es-ES"/>
        </w:rPr>
      </w:pPr>
    </w:p>
    <w:p w:rsidR="00F37F54" w:rsidRPr="00F37F54" w:rsidRDefault="00F37F54" w:rsidP="00F37F54">
      <w:pPr>
        <w:keepNext/>
        <w:spacing w:line="288" w:lineRule="auto"/>
        <w:jc w:val="center"/>
        <w:outlineLvl w:val="2"/>
        <w:rPr>
          <w:rFonts w:eastAsia="Times New Roman" w:cs="Arial"/>
          <w:b/>
          <w:szCs w:val="26"/>
          <w:lang w:val="es-ES_tradnl" w:eastAsia="es-ES"/>
        </w:rPr>
      </w:pPr>
      <w:r w:rsidRPr="00F37F54">
        <w:rPr>
          <w:rFonts w:eastAsia="Times New Roman" w:cs="Arial"/>
          <w:b/>
          <w:szCs w:val="26"/>
          <w:lang w:val="es-ES_tradnl" w:eastAsia="es-ES"/>
        </w:rPr>
        <w:t>TRIBUNAL SUPERIOR DEL DISTRITO JUDICIAL</w:t>
      </w:r>
    </w:p>
    <w:p w:rsidR="00F37F54" w:rsidRPr="00F37F54" w:rsidRDefault="00F37F54" w:rsidP="00F37F54">
      <w:pPr>
        <w:spacing w:line="288" w:lineRule="auto"/>
        <w:jc w:val="center"/>
        <w:rPr>
          <w:rFonts w:eastAsia="Times New Roman" w:cs="Arial"/>
          <w:b/>
          <w:szCs w:val="26"/>
          <w:lang w:eastAsia="es-ES"/>
        </w:rPr>
      </w:pPr>
      <w:r w:rsidRPr="00F37F54">
        <w:rPr>
          <w:rFonts w:eastAsia="Times New Roman" w:cs="Times New Roman"/>
          <w:b/>
          <w:spacing w:val="-3"/>
          <w:szCs w:val="26"/>
          <w:lang w:eastAsia="es-ES"/>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54.45pt" o:ole="" fillcolor="window">
            <v:imagedata r:id="rId7" o:title=""/>
          </v:shape>
          <o:OLEObject Type="Embed" ProgID="PBrush" ShapeID="_x0000_i1025" DrawAspect="Content" ObjectID="_1637652057" r:id="rId8"/>
        </w:object>
      </w:r>
    </w:p>
    <w:p w:rsidR="00F37F54" w:rsidRPr="00F37F54" w:rsidRDefault="00F37F54" w:rsidP="00F37F54">
      <w:pPr>
        <w:spacing w:line="288" w:lineRule="auto"/>
        <w:jc w:val="center"/>
        <w:rPr>
          <w:rFonts w:eastAsia="Times New Roman" w:cs="Arial"/>
          <w:b/>
          <w:szCs w:val="26"/>
          <w:lang w:eastAsia="es-ES"/>
        </w:rPr>
      </w:pPr>
      <w:r w:rsidRPr="00F37F54">
        <w:rPr>
          <w:rFonts w:eastAsia="Times New Roman" w:cs="Arial"/>
          <w:b/>
          <w:szCs w:val="26"/>
          <w:lang w:eastAsia="es-ES"/>
        </w:rPr>
        <w:t>SALA TERCERA DE DECISIÓN LABORAL</w:t>
      </w:r>
    </w:p>
    <w:p w:rsidR="00F37F54" w:rsidRPr="00F37F54" w:rsidRDefault="00F37F54" w:rsidP="00F37F54">
      <w:pPr>
        <w:spacing w:line="288" w:lineRule="auto"/>
        <w:jc w:val="center"/>
        <w:rPr>
          <w:rFonts w:eastAsia="Times New Roman" w:cs="Arial"/>
          <w:b/>
          <w:szCs w:val="26"/>
          <w:lang w:eastAsia="es-ES"/>
        </w:rPr>
      </w:pPr>
      <w:r w:rsidRPr="00F37F54">
        <w:rPr>
          <w:rFonts w:eastAsia="Times New Roman" w:cs="Arial"/>
          <w:b/>
          <w:szCs w:val="26"/>
          <w:lang w:eastAsia="es-ES"/>
        </w:rPr>
        <w:t>PEREIRA</w:t>
      </w:r>
      <w:r w:rsidRPr="00F37F54">
        <w:rPr>
          <w:rFonts w:eastAsia="Times New Roman" w:cs="Arial"/>
          <w:b/>
          <w:szCs w:val="26"/>
          <w:lang w:eastAsia="es-ES"/>
        </w:rPr>
        <w:tab/>
        <w:t>RISARALDA</w:t>
      </w:r>
    </w:p>
    <w:p w:rsidR="00F37F54" w:rsidRPr="00F37F54" w:rsidRDefault="00F37F54" w:rsidP="00F37F54">
      <w:pPr>
        <w:spacing w:line="288" w:lineRule="auto"/>
        <w:jc w:val="center"/>
        <w:rPr>
          <w:rFonts w:eastAsia="Times New Roman" w:cs="Arial"/>
          <w:szCs w:val="26"/>
          <w:lang w:val="es-ES_tradnl" w:eastAsia="es-ES"/>
        </w:rPr>
      </w:pPr>
    </w:p>
    <w:p w:rsidR="00F37F54" w:rsidRPr="00F37F54" w:rsidRDefault="00F37F54" w:rsidP="00F37F54">
      <w:pPr>
        <w:spacing w:line="288" w:lineRule="auto"/>
        <w:jc w:val="center"/>
        <w:rPr>
          <w:rFonts w:eastAsia="Times New Roman" w:cs="Arial"/>
          <w:b/>
          <w:szCs w:val="26"/>
          <w:lang w:val="es-ES_tradnl" w:eastAsia="es-ES"/>
        </w:rPr>
      </w:pPr>
      <w:r w:rsidRPr="00F37F54">
        <w:rPr>
          <w:rFonts w:eastAsia="Times New Roman" w:cs="Arial"/>
          <w:b/>
          <w:szCs w:val="26"/>
          <w:lang w:val="es-ES_tradnl" w:eastAsia="es-ES"/>
        </w:rPr>
        <w:t>MAGISTRADO PONENTE: FRANCISCO JAVIER TAMAYO TABARES</w:t>
      </w:r>
    </w:p>
    <w:p w:rsidR="00F37F54" w:rsidRPr="00F37F54" w:rsidRDefault="00F37F54" w:rsidP="00F37F54">
      <w:pPr>
        <w:spacing w:line="288" w:lineRule="auto"/>
        <w:rPr>
          <w:rFonts w:eastAsia="Times New Roman" w:cs="Times New Roman"/>
          <w:szCs w:val="26"/>
          <w:lang w:eastAsia="es-ES"/>
        </w:rPr>
      </w:pPr>
    </w:p>
    <w:p w:rsidR="00711284" w:rsidRPr="00810EF8" w:rsidRDefault="00711284" w:rsidP="00810EF8">
      <w:pPr>
        <w:spacing w:line="276" w:lineRule="auto"/>
        <w:rPr>
          <w:rFonts w:cs="Tahoma"/>
          <w:spacing w:val="-6"/>
          <w:szCs w:val="26"/>
        </w:rPr>
      </w:pPr>
      <w:r w:rsidRPr="00810EF8">
        <w:rPr>
          <w:rFonts w:cs="Tahoma"/>
          <w:spacing w:val="-6"/>
          <w:szCs w:val="26"/>
        </w:rPr>
        <w:t xml:space="preserve">Pereira, dieciocho de noviembre de dos mil diecinueve  </w:t>
      </w:r>
    </w:p>
    <w:p w:rsidR="00711284" w:rsidRPr="00810EF8" w:rsidRDefault="00711284" w:rsidP="00810EF8">
      <w:pPr>
        <w:pStyle w:val="Ttulo3"/>
        <w:spacing w:line="276" w:lineRule="auto"/>
        <w:jc w:val="left"/>
        <w:rPr>
          <w:rFonts w:ascii="Arial Narrow" w:hAnsi="Arial Narrow" w:cs="Tahoma"/>
          <w:spacing w:val="-6"/>
          <w:sz w:val="26"/>
          <w:szCs w:val="26"/>
        </w:rPr>
      </w:pPr>
      <w:r w:rsidRPr="00810EF8">
        <w:rPr>
          <w:rFonts w:ascii="Arial Narrow" w:hAnsi="Arial Narrow" w:cs="Tahoma"/>
          <w:spacing w:val="-6"/>
          <w:sz w:val="26"/>
          <w:szCs w:val="26"/>
        </w:rPr>
        <w:t xml:space="preserve">Acta número ___ del 18 de noviembre de 2019 </w:t>
      </w:r>
    </w:p>
    <w:p w:rsidR="00711284" w:rsidRPr="00810EF8" w:rsidRDefault="00711284" w:rsidP="00810EF8">
      <w:pPr>
        <w:pStyle w:val="Sinespaciado"/>
        <w:spacing w:line="276" w:lineRule="auto"/>
        <w:rPr>
          <w:rFonts w:ascii="Arial Narrow" w:hAnsi="Arial Narrow"/>
          <w:sz w:val="26"/>
          <w:szCs w:val="26"/>
        </w:rPr>
      </w:pPr>
    </w:p>
    <w:p w:rsidR="00711284" w:rsidRPr="00810EF8" w:rsidRDefault="00711284" w:rsidP="00810EF8">
      <w:pPr>
        <w:overflowPunct w:val="0"/>
        <w:autoSpaceDE w:val="0"/>
        <w:autoSpaceDN w:val="0"/>
        <w:adjustRightInd w:val="0"/>
        <w:spacing w:line="276" w:lineRule="auto"/>
        <w:ind w:right="618"/>
        <w:jc w:val="center"/>
        <w:textAlignment w:val="baseline"/>
        <w:rPr>
          <w:rFonts w:cs="Arial"/>
          <w:b/>
          <w:bCs/>
          <w:spacing w:val="-6"/>
          <w:szCs w:val="26"/>
        </w:rPr>
      </w:pPr>
      <w:r w:rsidRPr="00810EF8">
        <w:rPr>
          <w:rFonts w:cs="Arial"/>
          <w:b/>
          <w:bCs/>
          <w:spacing w:val="-6"/>
          <w:szCs w:val="26"/>
        </w:rPr>
        <w:t>ASUNTO</w:t>
      </w:r>
    </w:p>
    <w:p w:rsidR="00711284" w:rsidRPr="00810EF8" w:rsidRDefault="00711284" w:rsidP="00810EF8">
      <w:pPr>
        <w:pStyle w:val="Sinespaciado"/>
        <w:spacing w:line="276" w:lineRule="auto"/>
        <w:rPr>
          <w:rFonts w:ascii="Arial Narrow" w:hAnsi="Arial Narrow"/>
          <w:sz w:val="26"/>
          <w:szCs w:val="26"/>
        </w:rPr>
      </w:pPr>
      <w:r w:rsidRPr="00810EF8">
        <w:rPr>
          <w:rFonts w:ascii="Arial Narrow" w:hAnsi="Arial Narrow"/>
          <w:sz w:val="26"/>
          <w:szCs w:val="26"/>
        </w:rPr>
        <w:tab/>
      </w:r>
    </w:p>
    <w:p w:rsidR="00711284" w:rsidRPr="00810EF8" w:rsidRDefault="00711284" w:rsidP="00810EF8">
      <w:pPr>
        <w:pStyle w:val="Sinespaciado"/>
        <w:spacing w:line="276" w:lineRule="auto"/>
        <w:ind w:firstLine="708"/>
        <w:jc w:val="both"/>
        <w:rPr>
          <w:rFonts w:ascii="Arial Narrow" w:hAnsi="Arial Narrow" w:cs="Tahoma"/>
          <w:spacing w:val="-6"/>
          <w:sz w:val="26"/>
          <w:szCs w:val="26"/>
        </w:rPr>
      </w:pPr>
      <w:r w:rsidRPr="00810EF8">
        <w:rPr>
          <w:rFonts w:ascii="Arial Narrow" w:hAnsi="Arial Narrow" w:cs="Tahoma"/>
          <w:spacing w:val="-6"/>
          <w:sz w:val="26"/>
          <w:szCs w:val="26"/>
        </w:rPr>
        <w:lastRenderedPageBreak/>
        <w:t xml:space="preserve">Procede la Sala de Decisión Laboral de este Tribunal a resolver la impugnación, contra la sentencia dictada por el Juzgado Segundo Laboral del Circuito de Pereira del 7 de octubre de 2019, dentro de la acción de tutela promovida por </w:t>
      </w:r>
      <w:r w:rsidRPr="00810EF8">
        <w:rPr>
          <w:rFonts w:ascii="Arial Narrow" w:hAnsi="Arial Narrow" w:cs="Tahoma"/>
          <w:b/>
          <w:spacing w:val="-6"/>
          <w:sz w:val="26"/>
          <w:szCs w:val="26"/>
        </w:rPr>
        <w:t>Elvira Rodríguez de Guayabo</w:t>
      </w:r>
      <w:r w:rsidRPr="00810EF8">
        <w:rPr>
          <w:rFonts w:ascii="Arial Narrow" w:hAnsi="Arial Narrow" w:cs="Tahoma"/>
          <w:spacing w:val="-6"/>
          <w:sz w:val="26"/>
          <w:szCs w:val="26"/>
        </w:rPr>
        <w:t xml:space="preserve"> contra la </w:t>
      </w:r>
      <w:r w:rsidRPr="00810EF8">
        <w:rPr>
          <w:rFonts w:ascii="Arial Narrow" w:hAnsi="Arial Narrow" w:cs="Tahoma"/>
          <w:b/>
          <w:spacing w:val="-6"/>
          <w:sz w:val="26"/>
          <w:szCs w:val="26"/>
        </w:rPr>
        <w:t>Administradora Colombiana de Pensiones Colpensiones</w:t>
      </w:r>
      <w:r w:rsidRPr="00810EF8">
        <w:rPr>
          <w:rFonts w:ascii="Arial Narrow" w:hAnsi="Arial Narrow" w:cs="Tahoma"/>
          <w:spacing w:val="-6"/>
          <w:sz w:val="26"/>
          <w:szCs w:val="26"/>
        </w:rPr>
        <w:t>, por la presunta violación de sus derechos constitucionales a la seguridad social, salud, vida digna, entre otros.</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711284" w:rsidP="00810EF8">
      <w:pPr>
        <w:spacing w:line="276" w:lineRule="auto"/>
        <w:ind w:firstLine="708"/>
        <w:jc w:val="both"/>
        <w:rPr>
          <w:rFonts w:cs="Tahoma"/>
          <w:spacing w:val="-6"/>
          <w:szCs w:val="26"/>
        </w:rPr>
      </w:pPr>
      <w:r w:rsidRPr="00810EF8">
        <w:rPr>
          <w:rFonts w:cs="Tahoma"/>
          <w:spacing w:val="-6"/>
          <w:szCs w:val="26"/>
        </w:rPr>
        <w:t xml:space="preserve">El proyecto presentado por el ponente, fue aprobado y corresponde a la siguiente, </w:t>
      </w:r>
    </w:p>
    <w:p w:rsidR="00711284" w:rsidRPr="00810EF8" w:rsidRDefault="00711284" w:rsidP="00810EF8">
      <w:pPr>
        <w:pStyle w:val="Sinespaciado"/>
        <w:spacing w:line="276" w:lineRule="auto"/>
        <w:rPr>
          <w:rFonts w:ascii="Arial Narrow" w:hAnsi="Arial Narrow"/>
          <w:spacing w:val="-6"/>
          <w:sz w:val="26"/>
          <w:szCs w:val="26"/>
        </w:rPr>
      </w:pPr>
    </w:p>
    <w:p w:rsidR="00AA2BDE" w:rsidRPr="00810EF8" w:rsidRDefault="00AA2BDE" w:rsidP="00810EF8">
      <w:pPr>
        <w:spacing w:line="276" w:lineRule="auto"/>
        <w:ind w:firstLine="708"/>
        <w:rPr>
          <w:rFonts w:cs="Tahoma"/>
          <w:b/>
          <w:i/>
          <w:spacing w:val="-6"/>
          <w:szCs w:val="26"/>
        </w:rPr>
      </w:pPr>
      <w:r w:rsidRPr="00810EF8">
        <w:rPr>
          <w:rFonts w:cs="Arial"/>
          <w:b/>
          <w:bCs/>
          <w:spacing w:val="-6"/>
          <w:szCs w:val="26"/>
        </w:rPr>
        <w:t xml:space="preserve">I. </w:t>
      </w:r>
      <w:r w:rsidRPr="00810EF8">
        <w:rPr>
          <w:rFonts w:cs="Tahoma"/>
          <w:b/>
          <w:i/>
          <w:spacing w:val="-6"/>
          <w:szCs w:val="26"/>
        </w:rPr>
        <w:t xml:space="preserve">HECHOS </w:t>
      </w:r>
      <w:r w:rsidR="00BB61E3" w:rsidRPr="00810EF8">
        <w:rPr>
          <w:rFonts w:cs="Tahoma"/>
          <w:b/>
          <w:i/>
          <w:spacing w:val="-6"/>
          <w:szCs w:val="26"/>
        </w:rPr>
        <w:t>JURÍDICAMENTE</w:t>
      </w:r>
      <w:r w:rsidRPr="00810EF8">
        <w:rPr>
          <w:rFonts w:cs="Tahoma"/>
          <w:b/>
          <w:i/>
          <w:spacing w:val="-6"/>
          <w:szCs w:val="26"/>
        </w:rPr>
        <w:t xml:space="preserve"> RELEVANTES</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AA2BDE" w:rsidP="00810EF8">
      <w:pPr>
        <w:spacing w:line="276" w:lineRule="auto"/>
        <w:ind w:firstLine="708"/>
        <w:jc w:val="both"/>
        <w:rPr>
          <w:rFonts w:cs="Arial"/>
          <w:spacing w:val="-6"/>
          <w:szCs w:val="26"/>
        </w:rPr>
      </w:pPr>
      <w:r w:rsidRPr="00810EF8">
        <w:rPr>
          <w:rFonts w:cs="Arial"/>
          <w:spacing w:val="-6"/>
          <w:szCs w:val="26"/>
        </w:rPr>
        <w:t xml:space="preserve">Relata </w:t>
      </w:r>
      <w:r w:rsidR="00711284" w:rsidRPr="00810EF8">
        <w:rPr>
          <w:rFonts w:cs="Arial"/>
          <w:spacing w:val="-6"/>
          <w:szCs w:val="26"/>
        </w:rPr>
        <w:t>la accionante</w:t>
      </w:r>
      <w:r w:rsidRPr="00810EF8">
        <w:rPr>
          <w:rFonts w:cs="Arial"/>
          <w:spacing w:val="-6"/>
          <w:szCs w:val="26"/>
        </w:rPr>
        <w:t xml:space="preserve"> que se encuentra afiliada a Colpensiones; que fue diagnosticada con hipotiroidismo, obesidad, disnea y trastorno depresivo recurrente, por lo que solicitó la calificación de </w:t>
      </w:r>
      <w:r w:rsidR="00BB61E3" w:rsidRPr="00810EF8">
        <w:rPr>
          <w:rFonts w:cs="Arial"/>
          <w:spacing w:val="-6"/>
          <w:szCs w:val="26"/>
        </w:rPr>
        <w:t>pérdida</w:t>
      </w:r>
      <w:r w:rsidRPr="00810EF8">
        <w:rPr>
          <w:rFonts w:cs="Arial"/>
          <w:spacing w:val="-6"/>
          <w:szCs w:val="26"/>
        </w:rPr>
        <w:t xml:space="preserve"> de capacidad laboral, </w:t>
      </w:r>
      <w:r w:rsidR="000861F8" w:rsidRPr="00810EF8">
        <w:rPr>
          <w:rFonts w:cs="Arial"/>
          <w:spacing w:val="-6"/>
          <w:szCs w:val="26"/>
        </w:rPr>
        <w:t xml:space="preserve">siéndole asignada la cita </w:t>
      </w:r>
      <w:r w:rsidRPr="00810EF8">
        <w:rPr>
          <w:rFonts w:cs="Arial"/>
          <w:spacing w:val="-6"/>
          <w:szCs w:val="26"/>
        </w:rPr>
        <w:t xml:space="preserve">para el día 8 de mayo del año en curso; que el 10 de julio siguiente </w:t>
      </w:r>
      <w:r w:rsidR="000861F8" w:rsidRPr="00810EF8">
        <w:rPr>
          <w:rFonts w:cs="Arial"/>
          <w:spacing w:val="-6"/>
          <w:szCs w:val="26"/>
        </w:rPr>
        <w:t xml:space="preserve">solicitó </w:t>
      </w:r>
      <w:r w:rsidRPr="00810EF8">
        <w:rPr>
          <w:rFonts w:cs="Arial"/>
          <w:spacing w:val="-6"/>
          <w:szCs w:val="26"/>
        </w:rPr>
        <w:t xml:space="preserve">la emisión del respectivo dictamen, sin embargo, pese a que han trascurrido 4 meses, la entidad solo le </w:t>
      </w:r>
      <w:r w:rsidR="000861F8" w:rsidRPr="00810EF8">
        <w:rPr>
          <w:rFonts w:cs="Arial"/>
          <w:spacing w:val="-6"/>
          <w:szCs w:val="26"/>
        </w:rPr>
        <w:t>indica</w:t>
      </w:r>
      <w:r w:rsidRPr="00810EF8">
        <w:rPr>
          <w:rFonts w:cs="Arial"/>
          <w:spacing w:val="-6"/>
          <w:szCs w:val="26"/>
        </w:rPr>
        <w:t xml:space="preserve"> que se encuentra en proceso. </w:t>
      </w:r>
    </w:p>
    <w:p w:rsidR="000861F8" w:rsidRPr="00810EF8" w:rsidRDefault="000861F8" w:rsidP="00810EF8">
      <w:pPr>
        <w:spacing w:line="276" w:lineRule="auto"/>
        <w:jc w:val="both"/>
        <w:rPr>
          <w:rFonts w:cs="Arial"/>
          <w:spacing w:val="-6"/>
          <w:szCs w:val="26"/>
        </w:rPr>
      </w:pPr>
    </w:p>
    <w:p w:rsidR="00AA2BDE" w:rsidRPr="00810EF8" w:rsidRDefault="000861F8" w:rsidP="00810EF8">
      <w:pPr>
        <w:spacing w:line="276" w:lineRule="auto"/>
        <w:ind w:firstLine="708"/>
        <w:jc w:val="both"/>
        <w:rPr>
          <w:rFonts w:cs="Arial"/>
          <w:spacing w:val="-6"/>
          <w:szCs w:val="26"/>
        </w:rPr>
      </w:pPr>
      <w:r w:rsidRPr="00810EF8">
        <w:rPr>
          <w:rFonts w:cs="Arial"/>
          <w:spacing w:val="-6"/>
          <w:szCs w:val="26"/>
        </w:rPr>
        <w:t>P</w:t>
      </w:r>
      <w:r w:rsidR="00AA2BDE" w:rsidRPr="00810EF8">
        <w:rPr>
          <w:rFonts w:cs="Arial"/>
          <w:spacing w:val="-6"/>
          <w:szCs w:val="26"/>
        </w:rPr>
        <w:t xml:space="preserve">or lo anterior, solicita que le sean salvaguardados </w:t>
      </w:r>
      <w:r w:rsidRPr="00810EF8">
        <w:rPr>
          <w:rFonts w:cs="Arial"/>
          <w:spacing w:val="-6"/>
          <w:szCs w:val="26"/>
        </w:rPr>
        <w:t>los</w:t>
      </w:r>
      <w:r w:rsidR="00AA2BDE" w:rsidRPr="00810EF8">
        <w:rPr>
          <w:rFonts w:cs="Arial"/>
          <w:spacing w:val="-6"/>
          <w:szCs w:val="26"/>
        </w:rPr>
        <w:t xml:space="preserve"> derechos fundamentales</w:t>
      </w:r>
      <w:r w:rsidRPr="00810EF8">
        <w:rPr>
          <w:rFonts w:cs="Arial"/>
          <w:spacing w:val="-6"/>
          <w:szCs w:val="26"/>
        </w:rPr>
        <w:t xml:space="preserve"> invocados</w:t>
      </w:r>
      <w:r w:rsidR="00AA2BDE" w:rsidRPr="00810EF8">
        <w:rPr>
          <w:rFonts w:cs="Arial"/>
          <w:spacing w:val="-6"/>
          <w:szCs w:val="26"/>
        </w:rPr>
        <w:t xml:space="preserve">, y en consecuencia, se ordene a la entidad demandada emitir y notificar el dictamen de pérdida de calificación laboral. </w:t>
      </w:r>
    </w:p>
    <w:p w:rsidR="00AA2BDE" w:rsidRPr="00810EF8" w:rsidRDefault="00AA2BDE" w:rsidP="00810EF8">
      <w:pPr>
        <w:pStyle w:val="Sinespaciado"/>
        <w:spacing w:line="276" w:lineRule="auto"/>
        <w:rPr>
          <w:rFonts w:ascii="Arial Narrow" w:hAnsi="Arial Narrow"/>
          <w:sz w:val="26"/>
          <w:szCs w:val="26"/>
        </w:rPr>
      </w:pPr>
    </w:p>
    <w:p w:rsidR="00711284" w:rsidRPr="00810EF8" w:rsidRDefault="00AA2BDE" w:rsidP="00810EF8">
      <w:pPr>
        <w:pStyle w:val="Textoindependiente21"/>
        <w:spacing w:line="276" w:lineRule="auto"/>
        <w:ind w:firstLine="851"/>
        <w:rPr>
          <w:rFonts w:ascii="Arial Narrow" w:hAnsi="Arial Narrow" w:cs="Arial"/>
          <w:b w:val="0"/>
          <w:spacing w:val="-6"/>
          <w:sz w:val="26"/>
          <w:szCs w:val="26"/>
        </w:rPr>
      </w:pPr>
      <w:r w:rsidRPr="00810EF8">
        <w:rPr>
          <w:rFonts w:ascii="Arial Narrow" w:hAnsi="Arial Narrow" w:cs="Tahoma"/>
          <w:b w:val="0"/>
          <w:spacing w:val="-6"/>
          <w:sz w:val="26"/>
          <w:szCs w:val="26"/>
        </w:rPr>
        <w:t>Admitida la presente acción tutelar, se corrió traslado a Colpensiones, quien solicitó al despacho que desestime la acción de tutela ya que no existe el hecho vulnerador de los derechos fundamentales de la accionante, por cuanto e</w:t>
      </w:r>
      <w:r w:rsidR="00711284" w:rsidRPr="00810EF8">
        <w:rPr>
          <w:rFonts w:ascii="Arial Narrow" w:hAnsi="Arial Narrow" w:cs="Arial"/>
          <w:b w:val="0"/>
          <w:spacing w:val="-6"/>
          <w:sz w:val="26"/>
          <w:szCs w:val="26"/>
        </w:rPr>
        <w:t xml:space="preserve">l trámite de calificación la misma </w:t>
      </w:r>
      <w:r w:rsidR="00E14C57" w:rsidRPr="00810EF8">
        <w:rPr>
          <w:rFonts w:ascii="Arial Narrow" w:hAnsi="Arial Narrow" w:cs="Arial"/>
          <w:b w:val="0"/>
          <w:spacing w:val="-6"/>
          <w:sz w:val="26"/>
          <w:szCs w:val="26"/>
        </w:rPr>
        <w:t xml:space="preserve">se encuentra </w:t>
      </w:r>
      <w:r w:rsidR="00711284" w:rsidRPr="00810EF8">
        <w:rPr>
          <w:rFonts w:ascii="Arial Narrow" w:hAnsi="Arial Narrow" w:cs="Arial"/>
          <w:b w:val="0"/>
          <w:spacing w:val="-6"/>
          <w:sz w:val="26"/>
          <w:szCs w:val="26"/>
        </w:rPr>
        <w:t xml:space="preserve"> en etapa de control de calidad para poder ser surtido de manera satisfactoria, la cual sería notificada una vez culminado el mismo, sin perjuicio que le fueran solicitados a la accionante información adicional para realizar una calificación integral.</w:t>
      </w:r>
    </w:p>
    <w:p w:rsidR="00711284" w:rsidRPr="00810EF8" w:rsidRDefault="00711284" w:rsidP="00810EF8">
      <w:pPr>
        <w:spacing w:line="276" w:lineRule="auto"/>
        <w:jc w:val="both"/>
        <w:rPr>
          <w:rFonts w:cs="Arial"/>
          <w:spacing w:val="-6"/>
          <w:szCs w:val="26"/>
        </w:rPr>
      </w:pPr>
    </w:p>
    <w:p w:rsidR="00E14C57" w:rsidRPr="00810EF8" w:rsidRDefault="00E14C57" w:rsidP="00810EF8">
      <w:pPr>
        <w:pStyle w:val="Textoindependiente21"/>
        <w:spacing w:line="276" w:lineRule="auto"/>
        <w:ind w:firstLine="851"/>
        <w:rPr>
          <w:rFonts w:ascii="Arial Narrow" w:hAnsi="Arial Narrow" w:cs="Tahoma"/>
          <w:spacing w:val="-6"/>
          <w:sz w:val="26"/>
          <w:szCs w:val="26"/>
        </w:rPr>
      </w:pPr>
      <w:r w:rsidRPr="00810EF8">
        <w:rPr>
          <w:rFonts w:ascii="Arial Narrow" w:hAnsi="Arial Narrow" w:cs="Tahoma"/>
          <w:spacing w:val="-6"/>
          <w:sz w:val="26"/>
          <w:szCs w:val="26"/>
        </w:rPr>
        <w:t>II. SENTENCIA DE PRIMERA INSTANCIA.</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711284" w:rsidP="00810EF8">
      <w:pPr>
        <w:spacing w:line="276" w:lineRule="auto"/>
        <w:ind w:firstLine="708"/>
        <w:jc w:val="both"/>
        <w:rPr>
          <w:rFonts w:cs="Arial"/>
          <w:spacing w:val="-6"/>
          <w:szCs w:val="26"/>
        </w:rPr>
      </w:pPr>
      <w:r w:rsidRPr="00810EF8">
        <w:rPr>
          <w:rFonts w:cs="Arial"/>
          <w:spacing w:val="-6"/>
          <w:szCs w:val="26"/>
        </w:rPr>
        <w:t xml:space="preserve">La a-quo, concedió el amparo </w:t>
      </w:r>
      <w:r w:rsidR="00A14EDB" w:rsidRPr="00810EF8">
        <w:rPr>
          <w:rFonts w:cs="Arial"/>
          <w:spacing w:val="-6"/>
          <w:szCs w:val="26"/>
        </w:rPr>
        <w:t>tutelar solicitado</w:t>
      </w:r>
      <w:r w:rsidR="00E14C57" w:rsidRPr="00810EF8">
        <w:rPr>
          <w:rFonts w:cs="Arial"/>
          <w:spacing w:val="-6"/>
          <w:szCs w:val="26"/>
        </w:rPr>
        <w:t xml:space="preserve">, y en consecuencia, ordenó </w:t>
      </w:r>
      <w:r w:rsidRPr="00810EF8">
        <w:rPr>
          <w:rFonts w:cs="Arial"/>
          <w:spacing w:val="-6"/>
          <w:szCs w:val="26"/>
        </w:rPr>
        <w:t xml:space="preserve">a Colpensiones, a través del </w:t>
      </w:r>
      <w:r w:rsidR="00E14C57" w:rsidRPr="00810EF8">
        <w:rPr>
          <w:rFonts w:cs="Arial"/>
          <w:spacing w:val="-6"/>
          <w:szCs w:val="26"/>
        </w:rPr>
        <w:t>Gerente Nacional de Reconocimiento y Vicepresidente de Beneficios y Prestaciones Asignados</w:t>
      </w:r>
      <w:r w:rsidRPr="00810EF8">
        <w:rPr>
          <w:rFonts w:cs="Arial"/>
          <w:spacing w:val="-6"/>
          <w:szCs w:val="26"/>
        </w:rPr>
        <w:t>, para que en un término de 48 horas, pr</w:t>
      </w:r>
      <w:r w:rsidR="00E14C57" w:rsidRPr="00810EF8">
        <w:rPr>
          <w:rFonts w:cs="Arial"/>
          <w:spacing w:val="-6"/>
          <w:szCs w:val="26"/>
        </w:rPr>
        <w:t>oceda</w:t>
      </w:r>
      <w:r w:rsidRPr="00810EF8">
        <w:rPr>
          <w:rFonts w:cs="Arial"/>
          <w:spacing w:val="-6"/>
          <w:szCs w:val="26"/>
        </w:rPr>
        <w:t xml:space="preserve"> a</w:t>
      </w:r>
      <w:r w:rsidR="00E14C57" w:rsidRPr="00810EF8">
        <w:rPr>
          <w:rFonts w:cs="Arial"/>
          <w:spacing w:val="-6"/>
          <w:szCs w:val="26"/>
        </w:rPr>
        <w:t xml:space="preserve"> emitir y </w:t>
      </w:r>
      <w:r w:rsidRPr="00810EF8">
        <w:rPr>
          <w:rFonts w:cs="Arial"/>
          <w:spacing w:val="-6"/>
          <w:szCs w:val="26"/>
        </w:rPr>
        <w:t xml:space="preserve">notificar el dictamen de pérdida de capacidad laboral </w:t>
      </w:r>
      <w:r w:rsidR="00E14C57" w:rsidRPr="00810EF8">
        <w:rPr>
          <w:rFonts w:cs="Arial"/>
          <w:spacing w:val="-6"/>
          <w:szCs w:val="26"/>
        </w:rPr>
        <w:t xml:space="preserve">a </w:t>
      </w:r>
      <w:r w:rsidRPr="00810EF8">
        <w:rPr>
          <w:rFonts w:cs="Arial"/>
          <w:spacing w:val="-6"/>
          <w:szCs w:val="26"/>
        </w:rPr>
        <w:t>la accionante.  Decisión a la que se arribó luego de establecer que el término de quince días establecido para dar respuesta estaba más que vencido porque ya habían transcurrido más de cuatro meses de realizado todo el trámite por la accionante sin que se le hubiera notificado el dictamen.</w:t>
      </w:r>
    </w:p>
    <w:p w:rsidR="00E14C57" w:rsidRPr="00810EF8" w:rsidRDefault="00E14C57" w:rsidP="00810EF8">
      <w:pPr>
        <w:spacing w:line="276" w:lineRule="auto"/>
        <w:ind w:firstLine="708"/>
        <w:jc w:val="both"/>
        <w:rPr>
          <w:rFonts w:cs="Arial"/>
          <w:spacing w:val="-6"/>
          <w:szCs w:val="26"/>
        </w:rPr>
      </w:pPr>
    </w:p>
    <w:p w:rsidR="00E14C57" w:rsidRPr="00810EF8" w:rsidRDefault="00E14C57" w:rsidP="00810EF8">
      <w:pPr>
        <w:pStyle w:val="Textoindependiente21"/>
        <w:spacing w:line="276" w:lineRule="auto"/>
        <w:ind w:firstLine="851"/>
        <w:rPr>
          <w:rFonts w:ascii="Arial Narrow" w:hAnsi="Arial Narrow" w:cs="Tahoma"/>
          <w:spacing w:val="-6"/>
          <w:sz w:val="26"/>
          <w:szCs w:val="26"/>
        </w:rPr>
      </w:pPr>
      <w:r w:rsidRPr="00810EF8">
        <w:rPr>
          <w:rFonts w:ascii="Arial Narrow" w:hAnsi="Arial Narrow" w:cs="Tahoma"/>
          <w:spacing w:val="-6"/>
          <w:sz w:val="26"/>
          <w:szCs w:val="26"/>
        </w:rPr>
        <w:t>III. IMPUGNACIÓN.</w:t>
      </w:r>
    </w:p>
    <w:p w:rsidR="00711284" w:rsidRPr="00810EF8" w:rsidRDefault="00711284" w:rsidP="00810EF8">
      <w:pPr>
        <w:pStyle w:val="Sinespaciado"/>
        <w:spacing w:line="276" w:lineRule="auto"/>
        <w:rPr>
          <w:rFonts w:ascii="Arial Narrow" w:hAnsi="Arial Narrow"/>
          <w:spacing w:val="-6"/>
          <w:sz w:val="26"/>
          <w:szCs w:val="26"/>
          <w:vertAlign w:val="subscript"/>
        </w:rPr>
      </w:pPr>
    </w:p>
    <w:p w:rsidR="00711284" w:rsidRPr="00810EF8" w:rsidRDefault="00E14C57" w:rsidP="00810EF8">
      <w:pPr>
        <w:spacing w:line="276" w:lineRule="auto"/>
        <w:ind w:firstLine="708"/>
        <w:jc w:val="both"/>
        <w:rPr>
          <w:rFonts w:cs="Arial"/>
          <w:spacing w:val="-6"/>
          <w:szCs w:val="26"/>
        </w:rPr>
      </w:pPr>
      <w:r w:rsidRPr="00810EF8">
        <w:rPr>
          <w:rFonts w:cs="Arial"/>
          <w:spacing w:val="-6"/>
          <w:szCs w:val="26"/>
          <w:lang w:val="es-ES"/>
        </w:rPr>
        <w:t xml:space="preserve">La entidad </w:t>
      </w:r>
      <w:r w:rsidRPr="00810EF8">
        <w:rPr>
          <w:rFonts w:cs="Arial"/>
          <w:spacing w:val="-6"/>
          <w:szCs w:val="26"/>
        </w:rPr>
        <w:t>accionada impugnó la decisión</w:t>
      </w:r>
      <w:r w:rsidR="00711284" w:rsidRPr="00810EF8">
        <w:rPr>
          <w:rFonts w:cs="Arial"/>
          <w:spacing w:val="-6"/>
          <w:szCs w:val="26"/>
        </w:rPr>
        <w:t>, basad</w:t>
      </w:r>
      <w:r w:rsidRPr="00810EF8">
        <w:rPr>
          <w:rFonts w:cs="Arial"/>
          <w:spacing w:val="-6"/>
          <w:szCs w:val="26"/>
        </w:rPr>
        <w:t>a</w:t>
      </w:r>
      <w:r w:rsidR="00711284" w:rsidRPr="00810EF8">
        <w:rPr>
          <w:rFonts w:cs="Arial"/>
          <w:spacing w:val="-6"/>
          <w:szCs w:val="26"/>
        </w:rPr>
        <w:t xml:space="preserve"> en que el accionante contaba con otros medios de carácter admini</w:t>
      </w:r>
      <w:r w:rsidR="00BB61E3" w:rsidRPr="00810EF8">
        <w:rPr>
          <w:rFonts w:cs="Arial"/>
          <w:spacing w:val="-6"/>
          <w:szCs w:val="26"/>
        </w:rPr>
        <w:t xml:space="preserve">strativos para hacerlos  valer - </w:t>
      </w:r>
      <w:r w:rsidR="00711284" w:rsidRPr="00810EF8">
        <w:rPr>
          <w:rFonts w:cs="Arial"/>
          <w:i/>
          <w:spacing w:val="-6"/>
          <w:szCs w:val="26"/>
        </w:rPr>
        <w:t>sin enunciar cual -</w:t>
      </w:r>
      <w:r w:rsidR="00711284" w:rsidRPr="00810EF8">
        <w:rPr>
          <w:rFonts w:cs="Arial"/>
          <w:spacing w:val="-6"/>
          <w:szCs w:val="26"/>
        </w:rPr>
        <w:t xml:space="preserve">, además que lo pedido requería de un examen más riguroso de calidad  y de esa manera proceder a emitir la notificación del dictamen. </w:t>
      </w:r>
    </w:p>
    <w:p w:rsidR="00A14EDB" w:rsidRPr="00810EF8" w:rsidRDefault="00A14EDB" w:rsidP="00810EF8">
      <w:pPr>
        <w:overflowPunct w:val="0"/>
        <w:autoSpaceDE w:val="0"/>
        <w:autoSpaceDN w:val="0"/>
        <w:adjustRightInd w:val="0"/>
        <w:spacing w:line="276" w:lineRule="auto"/>
        <w:ind w:right="618"/>
        <w:jc w:val="both"/>
        <w:textAlignment w:val="baseline"/>
        <w:rPr>
          <w:rFonts w:cs="Arial"/>
          <w:spacing w:val="-6"/>
          <w:szCs w:val="26"/>
        </w:rPr>
      </w:pPr>
    </w:p>
    <w:p w:rsidR="00711284" w:rsidRPr="00810EF8" w:rsidRDefault="00A14EDB" w:rsidP="00810EF8">
      <w:pPr>
        <w:overflowPunct w:val="0"/>
        <w:autoSpaceDE w:val="0"/>
        <w:autoSpaceDN w:val="0"/>
        <w:adjustRightInd w:val="0"/>
        <w:spacing w:line="276" w:lineRule="auto"/>
        <w:ind w:right="618" w:firstLine="708"/>
        <w:jc w:val="both"/>
        <w:textAlignment w:val="baseline"/>
        <w:rPr>
          <w:rFonts w:cs="Arial"/>
          <w:b/>
          <w:bCs/>
          <w:spacing w:val="-6"/>
          <w:szCs w:val="26"/>
        </w:rPr>
      </w:pPr>
      <w:r w:rsidRPr="00810EF8">
        <w:rPr>
          <w:rFonts w:cs="Arial"/>
          <w:b/>
          <w:spacing w:val="-6"/>
          <w:szCs w:val="26"/>
        </w:rPr>
        <w:t>IV.</w:t>
      </w:r>
      <w:r w:rsidRPr="00810EF8">
        <w:rPr>
          <w:rFonts w:cs="Arial"/>
          <w:spacing w:val="-6"/>
          <w:szCs w:val="26"/>
        </w:rPr>
        <w:t xml:space="preserve"> </w:t>
      </w:r>
      <w:r w:rsidR="00711284" w:rsidRPr="00810EF8">
        <w:rPr>
          <w:rFonts w:cs="Arial"/>
          <w:b/>
          <w:bCs/>
          <w:spacing w:val="-6"/>
          <w:szCs w:val="26"/>
        </w:rPr>
        <w:t>CONSIDERACIONES</w:t>
      </w:r>
    </w:p>
    <w:p w:rsidR="00711284" w:rsidRPr="00810EF8" w:rsidRDefault="00E14C57" w:rsidP="00810EF8">
      <w:pPr>
        <w:pStyle w:val="Sinespaciado"/>
        <w:spacing w:line="276" w:lineRule="auto"/>
        <w:rPr>
          <w:rFonts w:ascii="Arial Narrow" w:hAnsi="Arial Narrow"/>
          <w:spacing w:val="-6"/>
          <w:sz w:val="26"/>
          <w:szCs w:val="26"/>
        </w:rPr>
      </w:pPr>
      <w:r w:rsidRPr="00810EF8">
        <w:rPr>
          <w:rFonts w:ascii="Arial Narrow" w:hAnsi="Arial Narrow"/>
          <w:spacing w:val="-6"/>
          <w:sz w:val="26"/>
          <w:szCs w:val="26"/>
        </w:rPr>
        <w:lastRenderedPageBreak/>
        <w:tab/>
      </w:r>
    </w:p>
    <w:p w:rsidR="00711284" w:rsidRPr="00810EF8" w:rsidRDefault="00711284" w:rsidP="00810EF8">
      <w:pPr>
        <w:pStyle w:val="Prrafodelista"/>
        <w:numPr>
          <w:ilvl w:val="1"/>
          <w:numId w:val="2"/>
        </w:numPr>
        <w:spacing w:line="276" w:lineRule="auto"/>
        <w:ind w:hanging="11"/>
        <w:jc w:val="both"/>
        <w:rPr>
          <w:rFonts w:cs="Arial"/>
          <w:b/>
          <w:bCs/>
          <w:spacing w:val="-6"/>
          <w:szCs w:val="26"/>
        </w:rPr>
      </w:pPr>
      <w:r w:rsidRPr="00810EF8">
        <w:rPr>
          <w:rFonts w:cs="Arial"/>
          <w:b/>
          <w:bCs/>
          <w:spacing w:val="-6"/>
          <w:szCs w:val="26"/>
        </w:rPr>
        <w:t>Competencia.</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711284" w:rsidP="00810EF8">
      <w:pPr>
        <w:spacing w:line="276" w:lineRule="auto"/>
        <w:ind w:firstLine="708"/>
        <w:jc w:val="both"/>
        <w:rPr>
          <w:rFonts w:cs="Arial"/>
          <w:spacing w:val="-6"/>
          <w:szCs w:val="26"/>
        </w:rPr>
      </w:pPr>
      <w:r w:rsidRPr="00810EF8">
        <w:rPr>
          <w:rFonts w:cs="Arial"/>
          <w:spacing w:val="-6"/>
          <w:szCs w:val="26"/>
        </w:rPr>
        <w:t>Esta Colegiatura es competente para resolver la impugnación presentada por la parte accionada, en virtud de los factores funcional y territorial.</w:t>
      </w:r>
    </w:p>
    <w:p w:rsidR="00711284" w:rsidRPr="00810EF8" w:rsidRDefault="00711284" w:rsidP="00810EF8">
      <w:pPr>
        <w:tabs>
          <w:tab w:val="left" w:pos="2685"/>
        </w:tabs>
        <w:spacing w:line="276" w:lineRule="auto"/>
        <w:jc w:val="both"/>
        <w:rPr>
          <w:rFonts w:cs="Arial"/>
          <w:spacing w:val="-6"/>
          <w:szCs w:val="26"/>
        </w:rPr>
      </w:pPr>
    </w:p>
    <w:p w:rsidR="00711284" w:rsidRPr="00810EF8" w:rsidRDefault="00711284" w:rsidP="00810EF8">
      <w:pPr>
        <w:pStyle w:val="Prrafodelista"/>
        <w:numPr>
          <w:ilvl w:val="1"/>
          <w:numId w:val="2"/>
        </w:numPr>
        <w:spacing w:line="276" w:lineRule="auto"/>
        <w:ind w:hanging="11"/>
        <w:jc w:val="both"/>
        <w:rPr>
          <w:rFonts w:cs="Arial"/>
          <w:b/>
          <w:bCs/>
          <w:spacing w:val="-6"/>
          <w:szCs w:val="26"/>
        </w:rPr>
      </w:pPr>
      <w:r w:rsidRPr="00810EF8">
        <w:rPr>
          <w:rFonts w:cs="Arial"/>
          <w:b/>
          <w:bCs/>
          <w:spacing w:val="-6"/>
          <w:szCs w:val="26"/>
        </w:rPr>
        <w:t>Problema Jurídico</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A14EDB" w:rsidP="00810EF8">
      <w:pPr>
        <w:spacing w:line="276" w:lineRule="auto"/>
        <w:ind w:left="360" w:right="380" w:firstLine="348"/>
        <w:jc w:val="both"/>
        <w:rPr>
          <w:rFonts w:cs="Arial"/>
          <w:i/>
          <w:spacing w:val="-6"/>
          <w:szCs w:val="26"/>
        </w:rPr>
      </w:pPr>
      <w:r w:rsidRPr="00810EF8">
        <w:rPr>
          <w:rFonts w:cs="Arial"/>
          <w:i/>
          <w:spacing w:val="-6"/>
          <w:szCs w:val="26"/>
          <w:lang w:val="es-ES"/>
        </w:rPr>
        <w:t>¿</w:t>
      </w:r>
      <w:r w:rsidR="00711284" w:rsidRPr="00810EF8">
        <w:rPr>
          <w:rFonts w:cs="Arial"/>
          <w:i/>
          <w:spacing w:val="-6"/>
          <w:szCs w:val="26"/>
        </w:rPr>
        <w:t xml:space="preserve">Vulneró la entidad accionada </w:t>
      </w:r>
      <w:r w:rsidR="00E14C57" w:rsidRPr="00810EF8">
        <w:rPr>
          <w:rFonts w:cs="Arial"/>
          <w:i/>
          <w:spacing w:val="-6"/>
          <w:szCs w:val="26"/>
        </w:rPr>
        <w:t xml:space="preserve">los derechos fundamentales de la accionante </w:t>
      </w:r>
      <w:r w:rsidR="00711284" w:rsidRPr="00810EF8">
        <w:rPr>
          <w:rFonts w:cs="Arial"/>
          <w:i/>
          <w:spacing w:val="-6"/>
          <w:szCs w:val="26"/>
        </w:rPr>
        <w:t xml:space="preserve">al no notificar el dictamen de pérdida de capacidad laboral, luego de transcurrir más de los 15 días dispuestos para resolver las peticiones? </w:t>
      </w:r>
    </w:p>
    <w:p w:rsidR="00E14C57" w:rsidRPr="00810EF8" w:rsidRDefault="00E14C57" w:rsidP="00810EF8">
      <w:pPr>
        <w:pStyle w:val="Sinespaciado"/>
        <w:spacing w:line="276" w:lineRule="auto"/>
        <w:rPr>
          <w:rFonts w:ascii="Arial Narrow" w:hAnsi="Arial Narrow"/>
          <w:spacing w:val="-6"/>
          <w:sz w:val="26"/>
          <w:szCs w:val="26"/>
        </w:rPr>
      </w:pPr>
    </w:p>
    <w:p w:rsidR="00711284" w:rsidRPr="00810EF8" w:rsidRDefault="00E14C57" w:rsidP="00810EF8">
      <w:pPr>
        <w:pStyle w:val="Sinespaciado"/>
        <w:tabs>
          <w:tab w:val="left" w:pos="709"/>
        </w:tabs>
        <w:spacing w:line="276" w:lineRule="auto"/>
        <w:rPr>
          <w:rFonts w:ascii="Arial Narrow" w:hAnsi="Arial Narrow" w:cs="Arial"/>
          <w:b/>
          <w:bCs/>
          <w:spacing w:val="-6"/>
          <w:sz w:val="26"/>
          <w:szCs w:val="26"/>
        </w:rPr>
      </w:pPr>
      <w:r w:rsidRPr="00810EF8">
        <w:rPr>
          <w:rFonts w:ascii="Arial Narrow" w:hAnsi="Arial Narrow"/>
          <w:spacing w:val="-6"/>
          <w:sz w:val="26"/>
          <w:szCs w:val="26"/>
        </w:rPr>
        <w:tab/>
      </w:r>
      <w:r w:rsidR="00711284" w:rsidRPr="00810EF8">
        <w:rPr>
          <w:rFonts w:ascii="Arial Narrow" w:hAnsi="Arial Narrow" w:cs="Arial"/>
          <w:b/>
          <w:bCs/>
          <w:spacing w:val="-6"/>
          <w:sz w:val="26"/>
          <w:szCs w:val="26"/>
        </w:rPr>
        <w:t>Desarrollo de la problemática planteada.</w:t>
      </w:r>
    </w:p>
    <w:p w:rsidR="00711284" w:rsidRPr="00810EF8" w:rsidRDefault="00E14C57" w:rsidP="00810EF8">
      <w:pPr>
        <w:pStyle w:val="Sinespaciado"/>
        <w:spacing w:line="276" w:lineRule="auto"/>
        <w:rPr>
          <w:rFonts w:ascii="Arial Narrow" w:hAnsi="Arial Narrow"/>
          <w:spacing w:val="-6"/>
          <w:sz w:val="26"/>
          <w:szCs w:val="26"/>
        </w:rPr>
      </w:pPr>
      <w:r w:rsidRPr="00810EF8">
        <w:rPr>
          <w:rFonts w:ascii="Arial Narrow" w:hAnsi="Arial Narrow"/>
          <w:spacing w:val="-6"/>
          <w:sz w:val="26"/>
          <w:szCs w:val="26"/>
        </w:rPr>
        <w:tab/>
      </w:r>
    </w:p>
    <w:p w:rsidR="00711284" w:rsidRPr="00810EF8" w:rsidRDefault="00711284" w:rsidP="00810EF8">
      <w:pPr>
        <w:spacing w:line="276" w:lineRule="auto"/>
        <w:ind w:firstLine="708"/>
        <w:jc w:val="both"/>
        <w:rPr>
          <w:rFonts w:cs="Arial"/>
          <w:spacing w:val="-6"/>
          <w:szCs w:val="26"/>
        </w:rPr>
      </w:pPr>
      <w:r w:rsidRPr="00810EF8">
        <w:rPr>
          <w:rFonts w:cs="Arial"/>
          <w:spacing w:val="-6"/>
          <w:szCs w:val="26"/>
        </w:rPr>
        <w:t xml:space="preserve">Lo primero que debe decirse es que la acción de tutela contemplada en el artículo 86 de la Constitución Política, fue establecida para que cualquier persona solicite al Juez la protección expedita de sus derechos fundamentales, cuando quiera que estos resulten vulnerados por la acción o la omisión de una autoridad y, conforme a la ley, por los particulares en ciertos casos. </w:t>
      </w:r>
    </w:p>
    <w:p w:rsidR="00711284" w:rsidRPr="00810EF8" w:rsidRDefault="00711284" w:rsidP="00810EF8">
      <w:pPr>
        <w:spacing w:line="276" w:lineRule="auto"/>
        <w:jc w:val="both"/>
        <w:rPr>
          <w:rFonts w:cs="Arial"/>
          <w:spacing w:val="-6"/>
          <w:szCs w:val="26"/>
        </w:rPr>
      </w:pPr>
    </w:p>
    <w:p w:rsidR="00711284" w:rsidRPr="00810EF8" w:rsidRDefault="00711284" w:rsidP="00810EF8">
      <w:pPr>
        <w:pStyle w:val="Prrafodelista"/>
        <w:numPr>
          <w:ilvl w:val="2"/>
          <w:numId w:val="2"/>
        </w:numPr>
        <w:spacing w:line="276" w:lineRule="auto"/>
        <w:ind w:left="709" w:firstLine="0"/>
        <w:jc w:val="both"/>
        <w:rPr>
          <w:rFonts w:cs="Arial"/>
          <w:b/>
          <w:bCs/>
          <w:spacing w:val="-6"/>
          <w:szCs w:val="26"/>
        </w:rPr>
      </w:pPr>
      <w:r w:rsidRPr="00810EF8">
        <w:rPr>
          <w:rFonts w:cs="Arial"/>
          <w:b/>
          <w:bCs/>
          <w:spacing w:val="-6"/>
          <w:szCs w:val="26"/>
        </w:rPr>
        <w:t>Entidades responsables de la calificación de la pérdida de capacidad laboral.</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711284" w:rsidP="00810EF8">
      <w:pPr>
        <w:spacing w:line="276" w:lineRule="auto"/>
        <w:ind w:firstLine="708"/>
        <w:jc w:val="both"/>
        <w:rPr>
          <w:rFonts w:cs="Arial"/>
          <w:spacing w:val="-6"/>
          <w:szCs w:val="26"/>
        </w:rPr>
      </w:pPr>
      <w:r w:rsidRPr="00810EF8">
        <w:rPr>
          <w:rFonts w:cs="Arial"/>
          <w:spacing w:val="-6"/>
          <w:szCs w:val="26"/>
        </w:rPr>
        <w:t xml:space="preserve">Al tenor de lo preceptuado en el  artículo 142 del Decreto 019 de 2012, que modificó el artículo 41 de la Ley 100/93, las entidades competentes para determinar en una primera oportunidad la pérdida de capacidad laboral y calificar el grado o porcentaje de incapacidad, el origen de las contingencias y la fecha de su estructuración son: </w:t>
      </w:r>
      <w:r w:rsidRPr="00810EF8">
        <w:rPr>
          <w:rFonts w:cs="Arial"/>
          <w:b/>
          <w:bCs/>
          <w:i/>
          <w:iCs/>
          <w:spacing w:val="-6"/>
          <w:szCs w:val="26"/>
        </w:rPr>
        <w:t>(i)</w:t>
      </w:r>
      <w:r w:rsidRPr="00810EF8">
        <w:rPr>
          <w:rFonts w:cs="Arial"/>
          <w:spacing w:val="-6"/>
          <w:szCs w:val="26"/>
        </w:rPr>
        <w:t xml:space="preserve"> el antiguo ISS hoy Administradora Colombiana de Pensiones Colpensiones, </w:t>
      </w:r>
      <w:r w:rsidRPr="00810EF8">
        <w:rPr>
          <w:rFonts w:cs="Arial"/>
          <w:b/>
          <w:bCs/>
          <w:i/>
          <w:iCs/>
          <w:spacing w:val="-6"/>
          <w:szCs w:val="26"/>
        </w:rPr>
        <w:t>(ii)</w:t>
      </w:r>
      <w:r w:rsidRPr="00810EF8">
        <w:rPr>
          <w:rFonts w:cs="Arial"/>
          <w:spacing w:val="-6"/>
          <w:szCs w:val="26"/>
        </w:rPr>
        <w:t xml:space="preserve"> las Administradoras de Riesgos Laborales, </w:t>
      </w:r>
      <w:r w:rsidRPr="00810EF8">
        <w:rPr>
          <w:rFonts w:cs="Arial"/>
          <w:b/>
          <w:bCs/>
          <w:i/>
          <w:iCs/>
          <w:spacing w:val="-6"/>
          <w:szCs w:val="26"/>
        </w:rPr>
        <w:t>(iii)</w:t>
      </w:r>
      <w:r w:rsidRPr="00810EF8">
        <w:rPr>
          <w:rFonts w:cs="Arial"/>
          <w:b/>
          <w:bCs/>
          <w:spacing w:val="-6"/>
          <w:szCs w:val="26"/>
        </w:rPr>
        <w:t xml:space="preserve"> </w:t>
      </w:r>
      <w:r w:rsidRPr="00810EF8">
        <w:rPr>
          <w:rFonts w:cs="Arial"/>
          <w:spacing w:val="-6"/>
          <w:szCs w:val="26"/>
        </w:rPr>
        <w:t xml:space="preserve">las compañías que asuman los riesgos de invalidez y muerte y, </w:t>
      </w:r>
      <w:r w:rsidRPr="00810EF8">
        <w:rPr>
          <w:rFonts w:cs="Arial"/>
          <w:b/>
          <w:bCs/>
          <w:i/>
          <w:iCs/>
          <w:spacing w:val="-6"/>
          <w:szCs w:val="26"/>
        </w:rPr>
        <w:t>(iv)</w:t>
      </w:r>
      <w:r w:rsidRPr="00810EF8">
        <w:rPr>
          <w:rFonts w:cs="Arial"/>
          <w:spacing w:val="-6"/>
          <w:szCs w:val="26"/>
        </w:rPr>
        <w:t xml:space="preserve"> las entidades promotoras de salud. </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711284" w:rsidP="00810EF8">
      <w:pPr>
        <w:pStyle w:val="Prrafodelista"/>
        <w:numPr>
          <w:ilvl w:val="2"/>
          <w:numId w:val="2"/>
        </w:numPr>
        <w:spacing w:line="276" w:lineRule="auto"/>
        <w:ind w:left="709" w:firstLine="0"/>
        <w:jc w:val="both"/>
        <w:rPr>
          <w:rFonts w:cs="Arial"/>
          <w:b/>
          <w:bCs/>
          <w:spacing w:val="-6"/>
          <w:szCs w:val="26"/>
        </w:rPr>
      </w:pPr>
      <w:r w:rsidRPr="00810EF8">
        <w:rPr>
          <w:rFonts w:cs="Arial"/>
          <w:b/>
          <w:bCs/>
          <w:spacing w:val="-6"/>
          <w:szCs w:val="26"/>
        </w:rPr>
        <w:t xml:space="preserve">De la calificación de pérdida de capacidad laboral. </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711284" w:rsidP="00810EF8">
      <w:pPr>
        <w:spacing w:line="276" w:lineRule="auto"/>
        <w:ind w:firstLine="708"/>
        <w:jc w:val="both"/>
        <w:rPr>
          <w:rFonts w:cs="Arial"/>
          <w:spacing w:val="-6"/>
          <w:szCs w:val="26"/>
        </w:rPr>
      </w:pPr>
      <w:r w:rsidRPr="00810EF8">
        <w:rPr>
          <w:rFonts w:cs="Arial"/>
          <w:spacing w:val="-6"/>
          <w:szCs w:val="26"/>
        </w:rPr>
        <w:t xml:space="preserve">Los dictámenes de pérdida de capacidad laboral que emiten las entidades calificadoras, tienen relevancia en el acceso al derecho de la seguridad social, pues dependiendo el grado de pérdida de capacidad laboral, el origen y la fecha de estructuración que dictamen, los afiliados tienen la posibilidad de acceder a un grupo determinado de prestaciones asistenciales o económicas, que según el tipo de evento o situación, están a cargo de las entidades que componen el sistema general de seguridad social. </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711284" w:rsidP="00810EF8">
      <w:pPr>
        <w:spacing w:line="276" w:lineRule="auto"/>
        <w:ind w:firstLine="708"/>
        <w:jc w:val="both"/>
        <w:rPr>
          <w:rFonts w:cs="Arial"/>
          <w:spacing w:val="-6"/>
          <w:szCs w:val="26"/>
        </w:rPr>
      </w:pPr>
      <w:r w:rsidRPr="00810EF8">
        <w:rPr>
          <w:rFonts w:cs="Arial"/>
          <w:spacing w:val="-6"/>
          <w:szCs w:val="26"/>
        </w:rPr>
        <w:t>Ahora, respecto de la mora en la expedición del dictamen, conforme lo ha indicado la Corte Constitucional en sentencia T-646-13, puede vulnerar el derecho a la eventual pensión de invalidez, indicando:</w:t>
      </w:r>
    </w:p>
    <w:p w:rsidR="00BB61E3" w:rsidRPr="00810EF8" w:rsidRDefault="00BB61E3" w:rsidP="00810EF8">
      <w:pPr>
        <w:spacing w:line="276" w:lineRule="auto"/>
        <w:ind w:firstLine="708"/>
        <w:jc w:val="both"/>
        <w:rPr>
          <w:rFonts w:cs="Arial"/>
          <w:spacing w:val="-6"/>
          <w:szCs w:val="26"/>
        </w:rPr>
      </w:pPr>
    </w:p>
    <w:p w:rsidR="00711284" w:rsidRPr="00BD1DA0" w:rsidRDefault="00711284" w:rsidP="00BD1DA0">
      <w:pPr>
        <w:spacing w:line="240" w:lineRule="auto"/>
        <w:ind w:left="426" w:right="418" w:firstLine="425"/>
        <w:jc w:val="both"/>
        <w:rPr>
          <w:rFonts w:cs="Arial"/>
          <w:i/>
          <w:spacing w:val="-6"/>
          <w:sz w:val="24"/>
          <w:szCs w:val="26"/>
        </w:rPr>
      </w:pPr>
      <w:r w:rsidRPr="00BD1DA0">
        <w:rPr>
          <w:rFonts w:cs="Arial"/>
          <w:i/>
          <w:spacing w:val="-6"/>
          <w:sz w:val="24"/>
          <w:szCs w:val="26"/>
        </w:rPr>
        <w:t>“Las solicitudes de los afiliados deben atenderse con prontitud por estas entidades. De lo contrario, la mora en la expedición del dictamen puede ocasionar la violación de otras garantías constitucionales, puesto que aquel se constituye en una condición indispensable para el ejercicio de otros derechos como los pensionales, más aún si se tiene en cuenta el estado de debilidad en el que se encuentra un ciudadano que sufre de cierto grado de discapacidad o posiblemente invalidez”.</w:t>
      </w:r>
    </w:p>
    <w:p w:rsidR="00711284" w:rsidRPr="00810EF8" w:rsidRDefault="00711284" w:rsidP="00810EF8">
      <w:pPr>
        <w:pStyle w:val="Sinespaciado"/>
        <w:spacing w:line="276" w:lineRule="auto"/>
        <w:rPr>
          <w:rFonts w:ascii="Arial Narrow" w:hAnsi="Arial Narrow"/>
          <w:sz w:val="26"/>
          <w:szCs w:val="26"/>
        </w:rPr>
      </w:pPr>
    </w:p>
    <w:p w:rsidR="00711284" w:rsidRPr="00810EF8" w:rsidRDefault="00711284" w:rsidP="00810EF8">
      <w:pPr>
        <w:spacing w:line="276" w:lineRule="auto"/>
        <w:ind w:firstLine="708"/>
        <w:jc w:val="both"/>
        <w:rPr>
          <w:rFonts w:cs="Arial"/>
          <w:spacing w:val="-6"/>
          <w:szCs w:val="26"/>
        </w:rPr>
      </w:pPr>
      <w:r w:rsidRPr="00810EF8">
        <w:rPr>
          <w:rFonts w:cs="Arial"/>
          <w:spacing w:val="-6"/>
          <w:szCs w:val="26"/>
        </w:rPr>
        <w:t>De otro lado, en sentencia T-558-11, resalta la Corte que el Dictamen que califica la pérdida de capacidad laboral debe ser notificado personalmente al afiliado calificado, cuya regulación se encuentra establecida en el artículo 41 de la Ley 100 de 1993, en el cual se señala que “</w:t>
      </w:r>
      <w:r w:rsidRPr="00BD1DA0">
        <w:rPr>
          <w:rFonts w:cs="Arial"/>
          <w:spacing w:val="-6"/>
          <w:sz w:val="24"/>
          <w:szCs w:val="26"/>
        </w:rPr>
        <w:t xml:space="preserve">corresponde, entre otras entidades, al Instituto de Seguros Sociales calificar en primera oportunidad el grado de invalidez de sus afiliados, pero que el acto que declara la invalidez puede ser recurrido dentro de la oportunidad legal. Por esta razón, todo dictamen de calificación de la pérdida de capacidad laboral debe ser notificado personalmente al afiliado calificado, porque las decisiones que se toman en ese tipo de actos </w:t>
      </w:r>
      <w:r w:rsidRPr="00BD1DA0">
        <w:rPr>
          <w:rFonts w:cs="Arial"/>
          <w:spacing w:val="-6"/>
          <w:sz w:val="24"/>
          <w:szCs w:val="26"/>
          <w:u w:val="single"/>
        </w:rPr>
        <w:t>son esenciales para determinar si el afiliado tiene o no derecho a la pensión de invalidez</w:t>
      </w:r>
      <w:r w:rsidRPr="00BD1DA0">
        <w:rPr>
          <w:rFonts w:cs="Arial"/>
          <w:spacing w:val="-6"/>
          <w:sz w:val="24"/>
          <w:szCs w:val="26"/>
        </w:rPr>
        <w:t>, y, por lo tanto, se le debe garantizar su derecho al debido proceso, brindándole la oportunidad de controvertir la decisión ante la Junta Regional de Calificación de Invalidez, así como recurrir la decisión que esta entidad adopte ante la Junta Nacional de Calificación de Invalidez en caso de que sea contraria a sus intereses</w:t>
      </w:r>
      <w:r w:rsidRPr="00810EF8">
        <w:rPr>
          <w:rFonts w:cs="Arial"/>
          <w:spacing w:val="-6"/>
          <w:szCs w:val="26"/>
        </w:rPr>
        <w:t>”, lo que implica que la mora en la emisión y notificación del citado dictamen, además transgredir el derecho fundamental de petición, afecta otros derechos fundamentales conexos como lo es a la seguridad social y a obtener de manera oportuna, derechos pensionales que se erijan de él.</w:t>
      </w:r>
    </w:p>
    <w:p w:rsidR="00711284" w:rsidRPr="00810EF8" w:rsidRDefault="00711284" w:rsidP="00810EF8">
      <w:pPr>
        <w:spacing w:line="276" w:lineRule="auto"/>
        <w:jc w:val="both"/>
        <w:rPr>
          <w:rFonts w:cs="Arial"/>
          <w:spacing w:val="-6"/>
          <w:szCs w:val="26"/>
        </w:rPr>
      </w:pPr>
    </w:p>
    <w:p w:rsidR="00711284" w:rsidRPr="00810EF8" w:rsidRDefault="00711284" w:rsidP="00810EF8">
      <w:pPr>
        <w:pStyle w:val="Prrafodelista"/>
        <w:numPr>
          <w:ilvl w:val="2"/>
          <w:numId w:val="2"/>
        </w:numPr>
        <w:spacing w:line="276" w:lineRule="auto"/>
        <w:ind w:left="709" w:firstLine="0"/>
        <w:jc w:val="both"/>
        <w:rPr>
          <w:rFonts w:cs="Arial"/>
          <w:b/>
          <w:bCs/>
          <w:spacing w:val="-6"/>
          <w:szCs w:val="26"/>
        </w:rPr>
      </w:pPr>
      <w:r w:rsidRPr="00810EF8">
        <w:rPr>
          <w:rFonts w:cs="Arial"/>
          <w:b/>
          <w:bCs/>
          <w:spacing w:val="-6"/>
          <w:szCs w:val="26"/>
        </w:rPr>
        <w:t>Del derecho de petición.</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711284" w:rsidP="00810EF8">
      <w:pPr>
        <w:spacing w:line="276" w:lineRule="auto"/>
        <w:ind w:firstLine="708"/>
        <w:jc w:val="both"/>
        <w:rPr>
          <w:rFonts w:cs="Arial"/>
          <w:spacing w:val="-6"/>
          <w:szCs w:val="26"/>
        </w:rPr>
      </w:pPr>
      <w:r w:rsidRPr="00810EF8">
        <w:rPr>
          <w:rFonts w:cs="Arial"/>
          <w:spacing w:val="-6"/>
          <w:szCs w:val="26"/>
        </w:rPr>
        <w:t xml:space="preserve">El derecho de petición, es uno de los derechos fundamentales de las personas y, por tanto, es susceptible de ser amparado por vía de tutela, cuando quiera que resulte desconocido por una autoridad pública o por los particulares, en los casos contemplados en la Ley 1755 de 2015. </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711284" w:rsidP="00810EF8">
      <w:pPr>
        <w:spacing w:line="276" w:lineRule="auto"/>
        <w:ind w:firstLine="708"/>
        <w:jc w:val="both"/>
        <w:rPr>
          <w:rFonts w:cs="Arial"/>
          <w:spacing w:val="-6"/>
          <w:szCs w:val="26"/>
        </w:rPr>
      </w:pPr>
      <w:r w:rsidRPr="00810EF8">
        <w:rPr>
          <w:rFonts w:cs="Arial"/>
          <w:spacing w:val="-6"/>
          <w:szCs w:val="26"/>
        </w:rPr>
        <w:t xml:space="preserve">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 </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711284" w:rsidP="00810EF8">
      <w:pPr>
        <w:spacing w:line="276" w:lineRule="auto"/>
        <w:ind w:firstLine="708"/>
        <w:jc w:val="both"/>
        <w:rPr>
          <w:rFonts w:cs="Arial"/>
          <w:spacing w:val="-6"/>
          <w:szCs w:val="26"/>
        </w:rPr>
      </w:pPr>
      <w:r w:rsidRPr="00810EF8">
        <w:rPr>
          <w:rFonts w:cs="Arial"/>
          <w:spacing w:val="-6"/>
          <w:szCs w:val="26"/>
        </w:rPr>
        <w:t>En cuanto al término con que cuentan las entidades para resolver las peticiones que se les formulen, el mismo se encuentra contenido en el artículo 14 del CPACA, norma que fue sustituida por la Ley Estatutaria 1755 de 2015. Allí se establece lo siguiente:</w:t>
      </w:r>
    </w:p>
    <w:p w:rsidR="00711284" w:rsidRPr="00810EF8" w:rsidRDefault="00711284" w:rsidP="00810EF8">
      <w:pPr>
        <w:pStyle w:val="Sinespaciado"/>
        <w:spacing w:line="276" w:lineRule="auto"/>
        <w:rPr>
          <w:rFonts w:ascii="Arial Narrow" w:hAnsi="Arial Narrow"/>
          <w:spacing w:val="-6"/>
          <w:sz w:val="26"/>
          <w:szCs w:val="26"/>
        </w:rPr>
      </w:pPr>
    </w:p>
    <w:p w:rsidR="00711284" w:rsidRPr="00BD1DA0" w:rsidRDefault="00711284" w:rsidP="00BD1DA0">
      <w:pPr>
        <w:spacing w:line="240" w:lineRule="auto"/>
        <w:ind w:left="426" w:right="418"/>
        <w:jc w:val="both"/>
        <w:rPr>
          <w:rFonts w:cs="Arial"/>
          <w:i/>
          <w:spacing w:val="-6"/>
          <w:sz w:val="24"/>
          <w:szCs w:val="26"/>
        </w:rPr>
      </w:pPr>
      <w:r w:rsidRPr="00BD1DA0">
        <w:rPr>
          <w:rFonts w:cs="Arial"/>
          <w:i/>
          <w:spacing w:val="-6"/>
          <w:sz w:val="24"/>
          <w:szCs w:val="26"/>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711284" w:rsidRPr="00BD1DA0" w:rsidRDefault="00711284" w:rsidP="00BD1DA0">
      <w:pPr>
        <w:spacing w:line="240" w:lineRule="auto"/>
        <w:ind w:left="426" w:right="418"/>
        <w:jc w:val="both"/>
        <w:rPr>
          <w:rFonts w:cs="Arial"/>
          <w:i/>
          <w:spacing w:val="-6"/>
          <w:sz w:val="24"/>
          <w:szCs w:val="26"/>
        </w:rPr>
      </w:pPr>
      <w:r w:rsidRPr="00BD1DA0">
        <w:rPr>
          <w:rFonts w:cs="Arial"/>
          <w:i/>
          <w:spacing w:val="-6"/>
          <w:sz w:val="24"/>
          <w:szCs w:val="26"/>
        </w:rPr>
        <w:t xml:space="preserve"> </w:t>
      </w:r>
    </w:p>
    <w:p w:rsidR="00711284" w:rsidRPr="00BD1DA0" w:rsidRDefault="00711284" w:rsidP="00BD1DA0">
      <w:pPr>
        <w:spacing w:line="240" w:lineRule="auto"/>
        <w:ind w:left="426" w:right="418"/>
        <w:jc w:val="both"/>
        <w:rPr>
          <w:rFonts w:cs="Arial"/>
          <w:i/>
          <w:spacing w:val="-6"/>
          <w:sz w:val="24"/>
          <w:szCs w:val="26"/>
        </w:rPr>
      </w:pPr>
      <w:r w:rsidRPr="00BD1DA0">
        <w:rPr>
          <w:rFonts w:cs="Arial"/>
          <w:i/>
          <w:spacing w:val="-6"/>
          <w:sz w:val="24"/>
          <w:szCs w:val="26"/>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0861F8" w:rsidRPr="00BD1DA0" w:rsidRDefault="000861F8" w:rsidP="00BD1DA0">
      <w:pPr>
        <w:spacing w:line="240" w:lineRule="auto"/>
        <w:ind w:left="426" w:right="418"/>
        <w:jc w:val="both"/>
        <w:rPr>
          <w:rFonts w:cs="Arial"/>
          <w:i/>
          <w:spacing w:val="-6"/>
          <w:sz w:val="24"/>
          <w:szCs w:val="26"/>
        </w:rPr>
      </w:pPr>
    </w:p>
    <w:p w:rsidR="00711284" w:rsidRPr="00BD1DA0" w:rsidRDefault="00711284" w:rsidP="00BD1DA0">
      <w:pPr>
        <w:spacing w:line="240" w:lineRule="auto"/>
        <w:ind w:left="426" w:right="418"/>
        <w:jc w:val="both"/>
        <w:rPr>
          <w:rFonts w:cs="Arial"/>
          <w:i/>
          <w:spacing w:val="-6"/>
          <w:sz w:val="24"/>
          <w:szCs w:val="26"/>
        </w:rPr>
      </w:pPr>
      <w:r w:rsidRPr="00BD1DA0">
        <w:rPr>
          <w:rFonts w:cs="Arial"/>
          <w:i/>
          <w:spacing w:val="-6"/>
          <w:sz w:val="24"/>
          <w:szCs w:val="26"/>
        </w:rPr>
        <w:t xml:space="preserve">(…) </w:t>
      </w:r>
    </w:p>
    <w:p w:rsidR="000861F8" w:rsidRPr="00BD1DA0" w:rsidRDefault="000861F8" w:rsidP="00BD1DA0">
      <w:pPr>
        <w:spacing w:line="240" w:lineRule="auto"/>
        <w:ind w:left="426" w:right="418"/>
        <w:jc w:val="both"/>
        <w:rPr>
          <w:rFonts w:cs="Arial"/>
          <w:i/>
          <w:spacing w:val="-6"/>
          <w:sz w:val="24"/>
          <w:szCs w:val="26"/>
        </w:rPr>
      </w:pPr>
    </w:p>
    <w:p w:rsidR="00711284" w:rsidRPr="00BD1DA0" w:rsidRDefault="00711284" w:rsidP="00BD1DA0">
      <w:pPr>
        <w:spacing w:line="240" w:lineRule="auto"/>
        <w:ind w:left="426" w:right="418"/>
        <w:jc w:val="both"/>
        <w:rPr>
          <w:rFonts w:cs="Arial"/>
          <w:i/>
          <w:spacing w:val="-6"/>
          <w:sz w:val="24"/>
          <w:szCs w:val="26"/>
        </w:rPr>
      </w:pPr>
      <w:r w:rsidRPr="00BD1DA0">
        <w:rPr>
          <w:rFonts w:cs="Arial"/>
          <w:i/>
          <w:spacing w:val="-6"/>
          <w:sz w:val="24"/>
          <w:szCs w:val="26"/>
        </w:rPr>
        <w:t xml:space="preserve">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w:t>
      </w:r>
      <w:r w:rsidRPr="00BD1DA0">
        <w:rPr>
          <w:rFonts w:cs="Arial"/>
          <w:i/>
          <w:spacing w:val="-6"/>
          <w:sz w:val="24"/>
          <w:szCs w:val="26"/>
        </w:rPr>
        <w:lastRenderedPageBreak/>
        <w:t>razonable en que se resolverá o dará respuesta, que no podrá exceder del doble del inicialmente previsto”.</w:t>
      </w:r>
    </w:p>
    <w:p w:rsidR="00711284" w:rsidRPr="00BD1DA0" w:rsidRDefault="00711284" w:rsidP="00BD1DA0">
      <w:pPr>
        <w:pStyle w:val="Sinespaciado"/>
        <w:ind w:left="426" w:right="418"/>
        <w:rPr>
          <w:rFonts w:ascii="Arial Narrow" w:hAnsi="Arial Narrow"/>
          <w:i/>
          <w:spacing w:val="-6"/>
          <w:sz w:val="24"/>
          <w:szCs w:val="26"/>
        </w:rPr>
      </w:pPr>
    </w:p>
    <w:p w:rsidR="00711284" w:rsidRPr="00BD1DA0" w:rsidRDefault="00711284" w:rsidP="00BD1DA0">
      <w:pPr>
        <w:spacing w:line="240" w:lineRule="auto"/>
        <w:ind w:left="426" w:right="418"/>
        <w:jc w:val="both"/>
        <w:rPr>
          <w:rFonts w:cs="Arial"/>
          <w:i/>
          <w:spacing w:val="-6"/>
          <w:sz w:val="24"/>
          <w:szCs w:val="26"/>
        </w:rPr>
      </w:pPr>
      <w:r w:rsidRPr="00BD1DA0">
        <w:rPr>
          <w:rFonts w:cs="Arial"/>
          <w:i/>
          <w:spacing w:val="-6"/>
          <w:sz w:val="24"/>
          <w:szCs w:val="26"/>
        </w:rPr>
        <w:t xml:space="preserve"> “(1) El derecho a presentar, en términos respetuosos, solicitudes ante las autoridades, sin que éstas puedan negarse a recibirlas o tramitarlas.</w:t>
      </w:r>
    </w:p>
    <w:p w:rsidR="00711284" w:rsidRPr="00BD1DA0" w:rsidRDefault="00711284" w:rsidP="00BD1DA0">
      <w:pPr>
        <w:pStyle w:val="Sinespaciado"/>
        <w:ind w:left="426" w:right="418"/>
        <w:rPr>
          <w:rFonts w:ascii="Arial Narrow" w:hAnsi="Arial Narrow"/>
          <w:i/>
          <w:spacing w:val="-6"/>
          <w:sz w:val="24"/>
          <w:szCs w:val="26"/>
        </w:rPr>
      </w:pPr>
      <w:r w:rsidRPr="00BD1DA0">
        <w:rPr>
          <w:rFonts w:ascii="Arial Narrow" w:hAnsi="Arial Narrow"/>
          <w:i/>
          <w:spacing w:val="-6"/>
          <w:sz w:val="24"/>
          <w:szCs w:val="26"/>
        </w:rPr>
        <w:t xml:space="preserve"> </w:t>
      </w:r>
    </w:p>
    <w:p w:rsidR="00711284" w:rsidRPr="00BD1DA0" w:rsidRDefault="00711284" w:rsidP="00BD1DA0">
      <w:pPr>
        <w:spacing w:line="240" w:lineRule="auto"/>
        <w:ind w:left="426" w:right="418"/>
        <w:jc w:val="both"/>
        <w:rPr>
          <w:rFonts w:cs="Arial"/>
          <w:i/>
          <w:spacing w:val="-6"/>
          <w:sz w:val="24"/>
          <w:szCs w:val="26"/>
        </w:rPr>
      </w:pPr>
      <w:r w:rsidRPr="00BD1DA0">
        <w:rPr>
          <w:rFonts w:cs="Arial"/>
          <w:i/>
          <w:spacing w:val="-6"/>
          <w:sz w:val="24"/>
          <w:szCs w:val="26"/>
        </w:rPr>
        <w:t>(2) El derecho a obtener una respuesta oportuna, es decir, dentro de los términos establecidos en las normas correspondientes.</w:t>
      </w:r>
    </w:p>
    <w:p w:rsidR="00711284" w:rsidRPr="00BD1DA0" w:rsidRDefault="00711284" w:rsidP="00BD1DA0">
      <w:pPr>
        <w:pStyle w:val="Sinespaciado"/>
        <w:ind w:left="426" w:right="418"/>
        <w:rPr>
          <w:rFonts w:ascii="Arial Narrow" w:hAnsi="Arial Narrow"/>
          <w:i/>
          <w:spacing w:val="-6"/>
          <w:sz w:val="24"/>
          <w:szCs w:val="26"/>
        </w:rPr>
      </w:pPr>
      <w:r w:rsidRPr="00BD1DA0">
        <w:rPr>
          <w:rFonts w:ascii="Arial Narrow" w:hAnsi="Arial Narrow"/>
          <w:i/>
          <w:spacing w:val="-6"/>
          <w:sz w:val="24"/>
          <w:szCs w:val="26"/>
        </w:rPr>
        <w:t xml:space="preserve"> </w:t>
      </w:r>
    </w:p>
    <w:p w:rsidR="00711284" w:rsidRPr="00BD1DA0" w:rsidRDefault="00711284" w:rsidP="00BD1DA0">
      <w:pPr>
        <w:spacing w:line="240" w:lineRule="auto"/>
        <w:ind w:left="426" w:right="418"/>
        <w:jc w:val="both"/>
        <w:rPr>
          <w:rFonts w:cs="Arial"/>
          <w:i/>
          <w:spacing w:val="-6"/>
          <w:sz w:val="24"/>
          <w:szCs w:val="26"/>
        </w:rPr>
      </w:pPr>
      <w:r w:rsidRPr="00BD1DA0">
        <w:rPr>
          <w:rFonts w:cs="Arial"/>
          <w:i/>
          <w:spacing w:val="-6"/>
          <w:sz w:val="24"/>
          <w:szCs w:val="26"/>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711284" w:rsidRPr="00BD1DA0" w:rsidRDefault="00711284" w:rsidP="00BD1DA0">
      <w:pPr>
        <w:spacing w:line="240" w:lineRule="auto"/>
        <w:ind w:left="426" w:right="418"/>
        <w:jc w:val="both"/>
        <w:rPr>
          <w:rFonts w:cs="Arial"/>
          <w:i/>
          <w:spacing w:val="-6"/>
          <w:sz w:val="24"/>
          <w:szCs w:val="26"/>
        </w:rPr>
      </w:pPr>
      <w:r w:rsidRPr="00BD1DA0">
        <w:rPr>
          <w:rFonts w:cs="Arial"/>
          <w:i/>
          <w:spacing w:val="-6"/>
          <w:sz w:val="24"/>
          <w:szCs w:val="26"/>
        </w:rPr>
        <w:t xml:space="preserve"> </w:t>
      </w:r>
    </w:p>
    <w:p w:rsidR="00711284" w:rsidRPr="00BD1DA0" w:rsidRDefault="00711284" w:rsidP="00BD1DA0">
      <w:pPr>
        <w:spacing w:line="240" w:lineRule="auto"/>
        <w:ind w:left="426" w:right="418"/>
        <w:jc w:val="both"/>
        <w:rPr>
          <w:rFonts w:cs="Arial"/>
          <w:i/>
          <w:spacing w:val="-6"/>
          <w:sz w:val="24"/>
          <w:szCs w:val="26"/>
        </w:rPr>
      </w:pPr>
      <w:r w:rsidRPr="00BD1DA0">
        <w:rPr>
          <w:rFonts w:cs="Arial"/>
          <w:i/>
          <w:spacing w:val="-6"/>
          <w:sz w:val="24"/>
          <w:szCs w:val="26"/>
        </w:rPr>
        <w:t>(4) El derecho a obtener la pronta comunicación de la respuesta.”</w:t>
      </w:r>
    </w:p>
    <w:p w:rsidR="00711284" w:rsidRPr="00810EF8" w:rsidRDefault="00711284" w:rsidP="00810EF8">
      <w:pPr>
        <w:spacing w:line="276" w:lineRule="auto"/>
        <w:jc w:val="both"/>
        <w:rPr>
          <w:rFonts w:cs="Arial"/>
          <w:spacing w:val="-6"/>
          <w:szCs w:val="26"/>
        </w:rPr>
      </w:pPr>
    </w:p>
    <w:p w:rsidR="00711284" w:rsidRPr="00810EF8" w:rsidRDefault="00711284" w:rsidP="00810EF8">
      <w:pPr>
        <w:pStyle w:val="Prrafodelista"/>
        <w:numPr>
          <w:ilvl w:val="2"/>
          <w:numId w:val="2"/>
        </w:numPr>
        <w:spacing w:line="276" w:lineRule="auto"/>
        <w:ind w:left="709" w:hanging="142"/>
        <w:jc w:val="both"/>
        <w:rPr>
          <w:rFonts w:cs="Arial"/>
          <w:b/>
          <w:bCs/>
          <w:spacing w:val="-6"/>
          <w:szCs w:val="26"/>
        </w:rPr>
      </w:pPr>
      <w:r w:rsidRPr="00810EF8">
        <w:rPr>
          <w:rFonts w:cs="Arial"/>
          <w:b/>
          <w:bCs/>
          <w:spacing w:val="-6"/>
          <w:szCs w:val="26"/>
        </w:rPr>
        <w:t xml:space="preserve">Caso concreto </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711284" w:rsidP="00810EF8">
      <w:pPr>
        <w:spacing w:line="276" w:lineRule="auto"/>
        <w:ind w:firstLine="567"/>
        <w:jc w:val="both"/>
        <w:rPr>
          <w:rFonts w:cs="Arial"/>
          <w:spacing w:val="-6"/>
          <w:szCs w:val="26"/>
        </w:rPr>
      </w:pPr>
      <w:r w:rsidRPr="00810EF8">
        <w:rPr>
          <w:rFonts w:cs="Arial"/>
          <w:spacing w:val="-6"/>
          <w:szCs w:val="26"/>
        </w:rPr>
        <w:t xml:space="preserve">Conforme los hechos de la acción, </w:t>
      </w:r>
      <w:r w:rsidR="00323CA8" w:rsidRPr="00810EF8">
        <w:rPr>
          <w:rFonts w:cs="Arial"/>
          <w:spacing w:val="-6"/>
          <w:szCs w:val="26"/>
        </w:rPr>
        <w:t xml:space="preserve">la actora </w:t>
      </w:r>
      <w:r w:rsidRPr="00810EF8">
        <w:rPr>
          <w:rFonts w:cs="Arial"/>
          <w:spacing w:val="-6"/>
          <w:szCs w:val="26"/>
        </w:rPr>
        <w:t>reprocha el hecho de que a pesar de haberse practicado el examen médico laboral para determinar su pérdida</w:t>
      </w:r>
      <w:r w:rsidR="000861F8" w:rsidRPr="00810EF8">
        <w:rPr>
          <w:rFonts w:cs="Arial"/>
          <w:spacing w:val="-6"/>
          <w:szCs w:val="26"/>
        </w:rPr>
        <w:t xml:space="preserve"> de capacidad laboral desde el 8</w:t>
      </w:r>
      <w:r w:rsidRPr="00810EF8">
        <w:rPr>
          <w:rFonts w:cs="Arial"/>
          <w:spacing w:val="-6"/>
          <w:szCs w:val="26"/>
        </w:rPr>
        <w:t xml:space="preserve"> de mayo de 2019, la accionada no hubiera notificado el dictamen ya transcurrido más de cuatro (4) meses desde la recepción de la información adicional respectiva.</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711284" w:rsidP="00810EF8">
      <w:pPr>
        <w:spacing w:line="276" w:lineRule="auto"/>
        <w:ind w:firstLine="567"/>
        <w:jc w:val="both"/>
        <w:rPr>
          <w:rFonts w:cs="Arial"/>
          <w:i/>
          <w:spacing w:val="-6"/>
          <w:szCs w:val="26"/>
        </w:rPr>
      </w:pPr>
      <w:r w:rsidRPr="00810EF8">
        <w:rPr>
          <w:rFonts w:cs="Arial"/>
          <w:spacing w:val="-6"/>
          <w:szCs w:val="26"/>
        </w:rPr>
        <w:t xml:space="preserve">En efecto, de lo anterior dan cuenta las documentales visibles a folios </w:t>
      </w:r>
      <w:r w:rsidR="000861F8" w:rsidRPr="00810EF8">
        <w:rPr>
          <w:rFonts w:cs="Arial"/>
          <w:spacing w:val="-6"/>
          <w:szCs w:val="26"/>
        </w:rPr>
        <w:t>15-18,</w:t>
      </w:r>
      <w:r w:rsidRPr="00810EF8">
        <w:rPr>
          <w:rFonts w:cs="Arial"/>
          <w:spacing w:val="-6"/>
          <w:szCs w:val="26"/>
        </w:rPr>
        <w:t xml:space="preserve"> sin que a la fecha de la impugnación se hubiera expedido el dictamen requerido y, menos aún, la notificación del mismo.</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711284" w:rsidP="00810EF8">
      <w:pPr>
        <w:spacing w:line="276" w:lineRule="auto"/>
        <w:ind w:firstLine="567"/>
        <w:jc w:val="both"/>
        <w:rPr>
          <w:rFonts w:cs="Arial"/>
          <w:spacing w:val="-6"/>
          <w:szCs w:val="26"/>
        </w:rPr>
      </w:pPr>
      <w:r w:rsidRPr="00810EF8">
        <w:rPr>
          <w:rFonts w:cs="Arial"/>
          <w:spacing w:val="-6"/>
          <w:szCs w:val="26"/>
        </w:rPr>
        <w:t>Cómo puede observarse, la accionante aportó la documentación requerida por la entidad, hace más  seis (6) meses, sin que en ese lapso Colpensiones se hubiera pronunciado so pretexto de someter el procedimiento a un control de calidad, situación que por sí sola, vulnera no sólo el derecho de petición, en el entendido que media una solicitud de parte de la accionante sin ser atendida, sino también el debido proceso, tal como pasa a explicarse.</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711284" w:rsidP="00810EF8">
      <w:pPr>
        <w:spacing w:line="276" w:lineRule="auto"/>
        <w:ind w:firstLine="567"/>
        <w:jc w:val="both"/>
        <w:rPr>
          <w:rFonts w:cs="Arial"/>
          <w:spacing w:val="-6"/>
          <w:szCs w:val="26"/>
        </w:rPr>
      </w:pPr>
      <w:r w:rsidRPr="00810EF8">
        <w:rPr>
          <w:rFonts w:cs="Arial"/>
          <w:spacing w:val="-6"/>
          <w:szCs w:val="26"/>
        </w:rPr>
        <w:t>El Decreto 1352 de 2013, por medio del cual se reglamentó la organización y el funcionamiento de las Juntas de Calificación de Invalidez, y se dictan otras disposiciones, es la normatividad a observar en los casos en que los Fondos de Pensiones fungen como calificadores iniciales, dado el hecho de que no existe regulación en ese aspecto.</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711284" w:rsidP="00810EF8">
      <w:pPr>
        <w:spacing w:line="276" w:lineRule="auto"/>
        <w:ind w:firstLine="567"/>
        <w:jc w:val="both"/>
        <w:rPr>
          <w:rFonts w:cs="Arial"/>
          <w:spacing w:val="-6"/>
          <w:szCs w:val="26"/>
        </w:rPr>
      </w:pPr>
      <w:r w:rsidRPr="00810EF8">
        <w:rPr>
          <w:rFonts w:cs="Arial"/>
          <w:spacing w:val="-6"/>
          <w:szCs w:val="26"/>
        </w:rPr>
        <w:t>De acuerdo con la anterior disposición, los literales a) y b) del artículo 38 establecen que el paciente o la persona objeto de valoración deberá ser citada dentro de los dos (2) días siguientes al recibo de la solicitud y valorada en los 10 días siguientes; por lo tanto, resulta palpable la vulneración pregonada por la tutelante, pues no se entiende porque el Área de Medicina laboral de la llamada a juicio, sin razón que justifique su desidia y lo expedito de los términos consagrados en la norma citada, deje transcurrir más de seis (6) meses entre la fecha en que la afiliada radicó los documentos requeridos luego de su valoración, sin obtener un pronunciamiento de su parte distinto a un control de calidad que debió haberse realizado de manera oportuna, lo cual tampoco es justificable para demorar el trámite del proceso de calificación y de notificación.</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711284" w:rsidP="00810EF8">
      <w:pPr>
        <w:spacing w:line="276" w:lineRule="auto"/>
        <w:ind w:firstLine="567"/>
        <w:jc w:val="both"/>
        <w:rPr>
          <w:rFonts w:cs="Arial"/>
          <w:spacing w:val="-6"/>
          <w:szCs w:val="26"/>
        </w:rPr>
      </w:pPr>
      <w:r w:rsidRPr="00810EF8">
        <w:rPr>
          <w:rFonts w:cs="Arial"/>
          <w:spacing w:val="-6"/>
          <w:szCs w:val="26"/>
        </w:rPr>
        <w:lastRenderedPageBreak/>
        <w:t xml:space="preserve">En ese orden de ideas, claro resulta que la decisión de primer grado debe ser confirmada al ser evidente la vulneración al derecho fundamental de petición y a la seguridad social del cual es titular la señora </w:t>
      </w:r>
      <w:r w:rsidR="000861F8" w:rsidRPr="00810EF8">
        <w:rPr>
          <w:rFonts w:cs="Arial"/>
          <w:spacing w:val="-6"/>
          <w:szCs w:val="26"/>
        </w:rPr>
        <w:t>Elvira Rodríguez de Guayabo.</w:t>
      </w:r>
    </w:p>
    <w:p w:rsidR="00711284" w:rsidRPr="00810EF8" w:rsidRDefault="00711284" w:rsidP="00810EF8">
      <w:pPr>
        <w:pStyle w:val="Sinespaciado"/>
        <w:spacing w:line="276" w:lineRule="auto"/>
        <w:rPr>
          <w:rFonts w:ascii="Arial Narrow" w:hAnsi="Arial Narrow"/>
          <w:spacing w:val="-6"/>
          <w:sz w:val="26"/>
          <w:szCs w:val="26"/>
        </w:rPr>
      </w:pPr>
    </w:p>
    <w:p w:rsidR="00711284" w:rsidRPr="00810EF8" w:rsidRDefault="00711284" w:rsidP="00810EF8">
      <w:pPr>
        <w:spacing w:line="276" w:lineRule="auto"/>
        <w:ind w:firstLine="567"/>
        <w:jc w:val="both"/>
        <w:rPr>
          <w:spacing w:val="-6"/>
          <w:szCs w:val="26"/>
        </w:rPr>
      </w:pPr>
      <w:r w:rsidRPr="00810EF8">
        <w:rPr>
          <w:spacing w:val="-6"/>
          <w:szCs w:val="26"/>
        </w:rPr>
        <w:t xml:space="preserve">En virtud de lo anterior, la </w:t>
      </w:r>
      <w:r w:rsidRPr="00810EF8">
        <w:rPr>
          <w:bCs/>
          <w:spacing w:val="-6"/>
          <w:szCs w:val="26"/>
        </w:rPr>
        <w:t xml:space="preserve">Sala </w:t>
      </w:r>
      <w:r w:rsidR="000861F8" w:rsidRPr="00810EF8">
        <w:rPr>
          <w:bCs/>
          <w:spacing w:val="-6"/>
          <w:szCs w:val="26"/>
        </w:rPr>
        <w:t xml:space="preserve">Cuarta </w:t>
      </w:r>
      <w:r w:rsidRPr="00810EF8">
        <w:rPr>
          <w:bCs/>
          <w:spacing w:val="-6"/>
          <w:szCs w:val="26"/>
        </w:rPr>
        <w:t>de Decisión del Tribunal Superior del Distrito Judicial de Pereira</w:t>
      </w:r>
      <w:r w:rsidRPr="00810EF8">
        <w:rPr>
          <w:spacing w:val="-6"/>
          <w:szCs w:val="26"/>
        </w:rPr>
        <w:t>, administrando justicia en nombre del Pueblo y por mandato de la Constitución,</w:t>
      </w:r>
    </w:p>
    <w:p w:rsidR="000861F8" w:rsidRPr="00810EF8" w:rsidRDefault="000861F8" w:rsidP="00810EF8">
      <w:pPr>
        <w:spacing w:line="276" w:lineRule="auto"/>
        <w:jc w:val="center"/>
        <w:rPr>
          <w:rFonts w:eastAsia="SimSun" w:cs="Arial"/>
          <w:b/>
          <w:spacing w:val="-6"/>
          <w:szCs w:val="26"/>
          <w:lang w:val="es-ES_tradnl"/>
        </w:rPr>
      </w:pPr>
    </w:p>
    <w:p w:rsidR="00711284" w:rsidRPr="00810EF8" w:rsidRDefault="00711284" w:rsidP="00810EF8">
      <w:pPr>
        <w:spacing w:line="276" w:lineRule="auto"/>
        <w:jc w:val="center"/>
        <w:rPr>
          <w:rFonts w:eastAsia="SimSun" w:cs="Arial"/>
          <w:b/>
          <w:spacing w:val="-6"/>
          <w:szCs w:val="26"/>
          <w:lang w:val="es-ES_tradnl"/>
        </w:rPr>
      </w:pPr>
      <w:r w:rsidRPr="00810EF8">
        <w:rPr>
          <w:rFonts w:eastAsia="SimSun" w:cs="Arial"/>
          <w:b/>
          <w:spacing w:val="-6"/>
          <w:szCs w:val="26"/>
          <w:lang w:val="es-ES_tradnl"/>
        </w:rPr>
        <w:t>FALLA</w:t>
      </w:r>
    </w:p>
    <w:p w:rsidR="000861F8" w:rsidRPr="00810EF8" w:rsidRDefault="000861F8" w:rsidP="00810EF8">
      <w:pPr>
        <w:pStyle w:val="Sinespaciado"/>
        <w:spacing w:line="276" w:lineRule="auto"/>
        <w:rPr>
          <w:rFonts w:ascii="Arial Narrow" w:eastAsia="SimSun" w:hAnsi="Arial Narrow"/>
          <w:sz w:val="26"/>
          <w:szCs w:val="26"/>
        </w:rPr>
      </w:pPr>
    </w:p>
    <w:p w:rsidR="00711284" w:rsidRPr="00810EF8" w:rsidRDefault="00711284" w:rsidP="00BD1DA0">
      <w:pPr>
        <w:pStyle w:val="Textosinformato"/>
        <w:spacing w:line="276" w:lineRule="auto"/>
        <w:jc w:val="both"/>
        <w:rPr>
          <w:rFonts w:ascii="Arial Narrow" w:eastAsia="SimSun" w:hAnsi="Arial Narrow" w:cs="Arial"/>
          <w:spacing w:val="-6"/>
          <w:sz w:val="26"/>
          <w:szCs w:val="26"/>
          <w:lang w:val="es-ES_tradnl"/>
        </w:rPr>
      </w:pPr>
      <w:r w:rsidRPr="00810EF8">
        <w:rPr>
          <w:rFonts w:ascii="Arial Narrow" w:eastAsia="SimSun" w:hAnsi="Arial Narrow" w:cs="Arial"/>
          <w:b/>
          <w:spacing w:val="-6"/>
          <w:sz w:val="26"/>
          <w:szCs w:val="26"/>
          <w:lang w:val="es-ES_tradnl"/>
        </w:rPr>
        <w:t xml:space="preserve">1º. </w:t>
      </w:r>
      <w:r w:rsidRPr="00810EF8">
        <w:rPr>
          <w:rFonts w:ascii="Arial Narrow" w:eastAsia="SimSun" w:hAnsi="Arial Narrow" w:cs="Arial"/>
          <w:b/>
          <w:spacing w:val="-6"/>
          <w:sz w:val="26"/>
          <w:szCs w:val="26"/>
          <w:lang w:val="es-ES_tradnl"/>
        </w:rPr>
        <w:tab/>
        <w:t xml:space="preserve">Confirmar </w:t>
      </w:r>
      <w:r w:rsidRPr="00810EF8">
        <w:rPr>
          <w:rFonts w:ascii="Arial Narrow" w:eastAsia="SimSun" w:hAnsi="Arial Narrow" w:cs="Arial"/>
          <w:spacing w:val="-6"/>
          <w:sz w:val="26"/>
          <w:szCs w:val="26"/>
          <w:lang w:val="es-ES_tradnl"/>
        </w:rPr>
        <w:t xml:space="preserve">el fallo de tutela proferido el </w:t>
      </w:r>
      <w:r w:rsidR="000861F8" w:rsidRPr="00810EF8">
        <w:rPr>
          <w:rFonts w:ascii="Arial Narrow" w:eastAsia="SimSun" w:hAnsi="Arial Narrow" w:cs="Arial"/>
          <w:spacing w:val="-6"/>
          <w:sz w:val="26"/>
          <w:szCs w:val="26"/>
          <w:lang w:val="es-ES_tradnl"/>
        </w:rPr>
        <w:t>7</w:t>
      </w:r>
      <w:r w:rsidRPr="00810EF8">
        <w:rPr>
          <w:rFonts w:ascii="Arial Narrow" w:eastAsia="SimSun" w:hAnsi="Arial Narrow" w:cs="Arial"/>
          <w:spacing w:val="-6"/>
          <w:sz w:val="26"/>
          <w:szCs w:val="26"/>
          <w:lang w:val="es-ES_tradnl"/>
        </w:rPr>
        <w:t xml:space="preserve"> de </w:t>
      </w:r>
      <w:r w:rsidR="000861F8" w:rsidRPr="00810EF8">
        <w:rPr>
          <w:rFonts w:ascii="Arial Narrow" w:eastAsia="SimSun" w:hAnsi="Arial Narrow" w:cs="Arial"/>
          <w:spacing w:val="-6"/>
          <w:sz w:val="26"/>
          <w:szCs w:val="26"/>
          <w:lang w:val="es-ES_tradnl"/>
        </w:rPr>
        <w:t>octubre</w:t>
      </w:r>
      <w:r w:rsidRPr="00810EF8">
        <w:rPr>
          <w:rFonts w:ascii="Arial Narrow" w:eastAsia="SimSun" w:hAnsi="Arial Narrow" w:cs="Arial"/>
          <w:spacing w:val="-6"/>
          <w:sz w:val="26"/>
          <w:szCs w:val="26"/>
          <w:lang w:val="es-ES_tradnl"/>
        </w:rPr>
        <w:t xml:space="preserve"> de 2019 por el Juzgado </w:t>
      </w:r>
      <w:r w:rsidR="000861F8" w:rsidRPr="00810EF8">
        <w:rPr>
          <w:rFonts w:ascii="Arial Narrow" w:eastAsia="SimSun" w:hAnsi="Arial Narrow" w:cs="Arial"/>
          <w:spacing w:val="-6"/>
          <w:sz w:val="26"/>
          <w:szCs w:val="26"/>
          <w:lang w:val="es-ES_tradnl"/>
        </w:rPr>
        <w:t>Segundo</w:t>
      </w:r>
      <w:r w:rsidRPr="00810EF8">
        <w:rPr>
          <w:rFonts w:ascii="Arial Narrow" w:eastAsia="SimSun" w:hAnsi="Arial Narrow" w:cs="Arial"/>
          <w:spacing w:val="-6"/>
          <w:sz w:val="26"/>
          <w:szCs w:val="26"/>
          <w:lang w:val="es-ES_tradnl"/>
        </w:rPr>
        <w:t xml:space="preserve"> Laboral del Circuito de Pereira.</w:t>
      </w:r>
    </w:p>
    <w:p w:rsidR="00711284" w:rsidRPr="00810EF8" w:rsidRDefault="00711284" w:rsidP="00810EF8">
      <w:pPr>
        <w:pStyle w:val="Sinespaciado"/>
        <w:spacing w:line="276" w:lineRule="auto"/>
        <w:rPr>
          <w:rFonts w:ascii="Arial Narrow" w:eastAsia="SimSun" w:hAnsi="Arial Narrow"/>
          <w:spacing w:val="-6"/>
          <w:sz w:val="26"/>
          <w:szCs w:val="26"/>
        </w:rPr>
      </w:pPr>
    </w:p>
    <w:p w:rsidR="00711284" w:rsidRPr="00810EF8" w:rsidRDefault="000861F8" w:rsidP="00BD1DA0">
      <w:pPr>
        <w:spacing w:line="276" w:lineRule="auto"/>
        <w:jc w:val="both"/>
        <w:rPr>
          <w:rFonts w:eastAsia="SimSun" w:cs="Arial"/>
          <w:spacing w:val="-6"/>
          <w:szCs w:val="26"/>
          <w:lang w:val="es-ES_tradnl"/>
        </w:rPr>
      </w:pPr>
      <w:r w:rsidRPr="00810EF8">
        <w:rPr>
          <w:rFonts w:cs="Arial"/>
          <w:b/>
          <w:spacing w:val="-6"/>
          <w:szCs w:val="26"/>
        </w:rPr>
        <w:t>2º</w:t>
      </w:r>
      <w:r w:rsidR="00711284" w:rsidRPr="00810EF8">
        <w:rPr>
          <w:rFonts w:cs="Arial"/>
          <w:b/>
          <w:spacing w:val="-6"/>
          <w:szCs w:val="26"/>
        </w:rPr>
        <w:t xml:space="preserve">. </w:t>
      </w:r>
      <w:r w:rsidR="00711284" w:rsidRPr="00810EF8">
        <w:rPr>
          <w:rFonts w:cs="Arial"/>
          <w:b/>
          <w:spacing w:val="-6"/>
          <w:szCs w:val="26"/>
        </w:rPr>
        <w:tab/>
      </w:r>
      <w:r w:rsidR="00711284" w:rsidRPr="00810EF8">
        <w:rPr>
          <w:rFonts w:eastAsia="SimSun" w:cs="Arial"/>
          <w:b/>
          <w:spacing w:val="-6"/>
          <w:szCs w:val="26"/>
          <w:lang w:val="es-ES_tradnl"/>
        </w:rPr>
        <w:t>Notificar</w:t>
      </w:r>
      <w:r w:rsidR="00711284" w:rsidRPr="00810EF8">
        <w:rPr>
          <w:rFonts w:eastAsia="SimSun" w:cs="Arial"/>
          <w:i/>
          <w:spacing w:val="-6"/>
          <w:szCs w:val="26"/>
          <w:lang w:val="es-ES_tradnl"/>
        </w:rPr>
        <w:t xml:space="preserve"> </w:t>
      </w:r>
      <w:r w:rsidR="00711284" w:rsidRPr="00810EF8">
        <w:rPr>
          <w:rFonts w:eastAsia="SimSun" w:cs="Arial"/>
          <w:spacing w:val="-6"/>
          <w:szCs w:val="26"/>
          <w:lang w:val="es-ES_tradnl"/>
        </w:rPr>
        <w:t>a las partes el contenido de este fallo en los términos del artículo 16 del Decreto 2591 de 1991.</w:t>
      </w:r>
    </w:p>
    <w:p w:rsidR="00711284" w:rsidRPr="00810EF8" w:rsidRDefault="00711284" w:rsidP="00810EF8">
      <w:pPr>
        <w:pStyle w:val="Sinespaciado"/>
        <w:spacing w:line="276" w:lineRule="auto"/>
        <w:rPr>
          <w:rFonts w:ascii="Arial Narrow" w:eastAsia="SimSun" w:hAnsi="Arial Narrow"/>
          <w:spacing w:val="-6"/>
          <w:sz w:val="26"/>
          <w:szCs w:val="26"/>
        </w:rPr>
      </w:pPr>
    </w:p>
    <w:p w:rsidR="00711284" w:rsidRPr="00810EF8" w:rsidRDefault="00711284" w:rsidP="00BD1DA0">
      <w:pPr>
        <w:pStyle w:val="Textosinformato"/>
        <w:spacing w:line="276" w:lineRule="auto"/>
        <w:jc w:val="both"/>
        <w:rPr>
          <w:rFonts w:ascii="Arial Narrow" w:eastAsia="SimSun" w:hAnsi="Arial Narrow" w:cs="Arial"/>
          <w:spacing w:val="-6"/>
          <w:sz w:val="26"/>
          <w:szCs w:val="26"/>
          <w:lang w:val="es-ES_tradnl"/>
        </w:rPr>
      </w:pPr>
      <w:r w:rsidRPr="00810EF8">
        <w:rPr>
          <w:rFonts w:ascii="Arial Narrow" w:eastAsia="SimSun" w:hAnsi="Arial Narrow" w:cs="Arial"/>
          <w:b/>
          <w:spacing w:val="-6"/>
          <w:sz w:val="26"/>
          <w:szCs w:val="26"/>
          <w:lang w:val="es-ES_tradnl"/>
        </w:rPr>
        <w:t xml:space="preserve">3º. </w:t>
      </w:r>
      <w:r w:rsidRPr="00810EF8">
        <w:rPr>
          <w:rFonts w:ascii="Arial Narrow" w:eastAsia="SimSun" w:hAnsi="Arial Narrow" w:cs="Arial"/>
          <w:b/>
          <w:spacing w:val="-6"/>
          <w:sz w:val="26"/>
          <w:szCs w:val="26"/>
          <w:lang w:val="es-ES_tradnl"/>
        </w:rPr>
        <w:tab/>
        <w:t>Disponer</w:t>
      </w:r>
      <w:r w:rsidRPr="00810EF8">
        <w:rPr>
          <w:rFonts w:ascii="Arial Narrow" w:eastAsia="SimSun" w:hAnsi="Arial Narrow" w:cs="Arial"/>
          <w:i/>
          <w:spacing w:val="-6"/>
          <w:sz w:val="26"/>
          <w:szCs w:val="26"/>
          <w:lang w:val="es-ES_tradnl"/>
        </w:rPr>
        <w:t xml:space="preserve"> </w:t>
      </w:r>
      <w:r w:rsidRPr="00810EF8">
        <w:rPr>
          <w:rFonts w:ascii="Arial Narrow" w:eastAsia="SimSun" w:hAnsi="Arial Narrow" w:cs="Arial"/>
          <w:spacing w:val="-6"/>
          <w:sz w:val="26"/>
          <w:szCs w:val="26"/>
          <w:lang w:val="es-ES_tradnl"/>
        </w:rPr>
        <w:t>que se remita el expediente para ante la Honorable Corte Constitucional para su eventual revisión.</w:t>
      </w:r>
    </w:p>
    <w:p w:rsidR="00711284" w:rsidRPr="00810EF8" w:rsidRDefault="00711284" w:rsidP="00810EF8">
      <w:pPr>
        <w:pStyle w:val="Sinespaciado"/>
        <w:spacing w:line="276" w:lineRule="auto"/>
        <w:rPr>
          <w:rFonts w:ascii="Arial Narrow" w:eastAsia="SimSun" w:hAnsi="Arial Narrow"/>
          <w:b/>
          <w:spacing w:val="-6"/>
          <w:sz w:val="26"/>
          <w:szCs w:val="26"/>
        </w:rPr>
      </w:pPr>
    </w:p>
    <w:p w:rsidR="00711284" w:rsidRPr="00810EF8" w:rsidRDefault="00711284" w:rsidP="00810EF8">
      <w:pPr>
        <w:pStyle w:val="Prrafodelista1"/>
        <w:spacing w:line="276" w:lineRule="auto"/>
        <w:ind w:left="0"/>
        <w:jc w:val="both"/>
        <w:rPr>
          <w:rFonts w:ascii="Arial Narrow" w:hAnsi="Arial Narrow"/>
          <w:b/>
          <w:spacing w:val="-6"/>
          <w:sz w:val="26"/>
          <w:szCs w:val="26"/>
        </w:rPr>
      </w:pPr>
      <w:r w:rsidRPr="00810EF8">
        <w:rPr>
          <w:rFonts w:ascii="Arial Narrow" w:hAnsi="Arial Narrow"/>
          <w:b/>
          <w:spacing w:val="-6"/>
          <w:sz w:val="26"/>
          <w:szCs w:val="26"/>
        </w:rPr>
        <w:t>CÓPIESE, NOTIFÍQUESE Y CÚMPLASE.</w:t>
      </w:r>
    </w:p>
    <w:p w:rsidR="00810EF8" w:rsidRPr="00810EF8" w:rsidRDefault="00810EF8" w:rsidP="00810EF8">
      <w:pPr>
        <w:spacing w:line="288" w:lineRule="auto"/>
        <w:rPr>
          <w:rFonts w:eastAsia="Times New Roman" w:cs="Times New Roman"/>
          <w:spacing w:val="-4"/>
          <w:szCs w:val="26"/>
          <w:lang w:val="es-ES" w:eastAsia="es-ES"/>
        </w:rPr>
      </w:pPr>
    </w:p>
    <w:p w:rsidR="00810EF8" w:rsidRPr="00810EF8" w:rsidRDefault="00810EF8" w:rsidP="00810EF8">
      <w:pPr>
        <w:spacing w:line="288" w:lineRule="auto"/>
        <w:rPr>
          <w:rFonts w:eastAsia="Times New Roman" w:cs="Times New Roman"/>
          <w:spacing w:val="-4"/>
          <w:szCs w:val="26"/>
          <w:lang w:val="es-ES" w:eastAsia="es-ES"/>
        </w:rPr>
      </w:pPr>
    </w:p>
    <w:p w:rsidR="00810EF8" w:rsidRPr="00810EF8" w:rsidRDefault="00810EF8" w:rsidP="00810EF8">
      <w:pPr>
        <w:spacing w:line="288" w:lineRule="auto"/>
        <w:rPr>
          <w:rFonts w:eastAsia="Times New Roman" w:cs="Microsoft Sans Serif"/>
          <w:bCs/>
          <w:iCs/>
          <w:color w:val="000000"/>
          <w:spacing w:val="-4"/>
          <w:szCs w:val="26"/>
          <w:lang w:val="es-ES" w:eastAsia="es-ES"/>
        </w:rPr>
      </w:pPr>
    </w:p>
    <w:p w:rsidR="00810EF8" w:rsidRPr="00810EF8" w:rsidRDefault="00810EF8" w:rsidP="00810EF8">
      <w:pPr>
        <w:spacing w:line="288" w:lineRule="auto"/>
        <w:jc w:val="center"/>
        <w:rPr>
          <w:rFonts w:eastAsia="Times New Roman" w:cs="Microsoft Sans Serif"/>
          <w:b/>
          <w:bCs/>
          <w:iCs/>
          <w:color w:val="000000"/>
          <w:spacing w:val="-4"/>
          <w:szCs w:val="26"/>
          <w:lang w:val="es-ES" w:eastAsia="es-ES"/>
        </w:rPr>
      </w:pPr>
      <w:r w:rsidRPr="00810EF8">
        <w:rPr>
          <w:rFonts w:eastAsia="Times New Roman" w:cs="Microsoft Sans Serif"/>
          <w:b/>
          <w:bCs/>
          <w:iCs/>
          <w:color w:val="000000"/>
          <w:spacing w:val="-4"/>
          <w:szCs w:val="26"/>
          <w:lang w:val="es-ES" w:eastAsia="es-ES"/>
        </w:rPr>
        <w:t>FRANCISCO JAVIER TAMAYO TABARES</w:t>
      </w:r>
    </w:p>
    <w:p w:rsidR="00810EF8" w:rsidRPr="00810EF8" w:rsidRDefault="00810EF8" w:rsidP="00810EF8">
      <w:pPr>
        <w:spacing w:line="288" w:lineRule="auto"/>
        <w:jc w:val="center"/>
        <w:rPr>
          <w:rFonts w:eastAsia="Times New Roman" w:cs="Microsoft Sans Serif"/>
          <w:color w:val="000000"/>
          <w:spacing w:val="-4"/>
          <w:szCs w:val="26"/>
          <w:lang w:val="es-ES" w:eastAsia="es-ES"/>
        </w:rPr>
      </w:pPr>
      <w:r w:rsidRPr="00810EF8">
        <w:rPr>
          <w:rFonts w:eastAsia="Times New Roman" w:cs="Microsoft Sans Serif"/>
          <w:color w:val="000000"/>
          <w:spacing w:val="-4"/>
          <w:szCs w:val="26"/>
          <w:lang w:val="es-ES" w:eastAsia="es-ES"/>
        </w:rPr>
        <w:t xml:space="preserve">Magistrado Ponente </w:t>
      </w:r>
    </w:p>
    <w:p w:rsidR="00810EF8" w:rsidRPr="00810EF8" w:rsidRDefault="00810EF8" w:rsidP="00810EF8">
      <w:pPr>
        <w:spacing w:line="288" w:lineRule="auto"/>
        <w:jc w:val="both"/>
        <w:rPr>
          <w:rFonts w:eastAsia="Times New Roman" w:cs="Microsoft Sans Serif"/>
          <w:color w:val="000000"/>
          <w:spacing w:val="-4"/>
          <w:szCs w:val="26"/>
          <w:lang w:val="es-ES" w:eastAsia="es-ES"/>
        </w:rPr>
      </w:pPr>
    </w:p>
    <w:p w:rsidR="00810EF8" w:rsidRPr="00810EF8" w:rsidRDefault="00810EF8" w:rsidP="00810EF8">
      <w:pPr>
        <w:spacing w:line="288" w:lineRule="auto"/>
        <w:rPr>
          <w:rFonts w:eastAsia="Times New Roman" w:cs="Times New Roman"/>
          <w:spacing w:val="-4"/>
          <w:szCs w:val="26"/>
          <w:lang w:val="es-ES_tradnl" w:eastAsia="es-ES"/>
        </w:rPr>
      </w:pPr>
    </w:p>
    <w:p w:rsidR="00810EF8" w:rsidRPr="00810EF8" w:rsidRDefault="00810EF8" w:rsidP="00810EF8">
      <w:pPr>
        <w:spacing w:line="288" w:lineRule="auto"/>
        <w:rPr>
          <w:rFonts w:eastAsia="Times New Roman" w:cs="Times New Roman"/>
          <w:spacing w:val="-4"/>
          <w:szCs w:val="26"/>
          <w:lang w:val="es-ES_tradnl" w:eastAsia="es-ES"/>
        </w:rPr>
      </w:pPr>
    </w:p>
    <w:p w:rsidR="00810EF8" w:rsidRPr="00810EF8" w:rsidRDefault="00810EF8" w:rsidP="00810EF8">
      <w:pPr>
        <w:spacing w:line="288" w:lineRule="auto"/>
        <w:rPr>
          <w:rFonts w:eastAsia="Times New Roman" w:cs="Microsoft Sans Serif"/>
          <w:b/>
          <w:bCs/>
          <w:iCs/>
          <w:color w:val="000000"/>
          <w:spacing w:val="-4"/>
          <w:szCs w:val="26"/>
          <w:lang w:val="es-ES" w:eastAsia="es-ES"/>
        </w:rPr>
      </w:pPr>
      <w:r w:rsidRPr="00810EF8">
        <w:rPr>
          <w:rFonts w:eastAsia="Times New Roman" w:cs="Microsoft Sans Serif"/>
          <w:b/>
          <w:bCs/>
          <w:iCs/>
          <w:color w:val="000000"/>
          <w:spacing w:val="-4"/>
          <w:szCs w:val="26"/>
          <w:lang w:val="es-ES" w:eastAsia="es-ES"/>
        </w:rPr>
        <w:t>ANA LUCÍA CAICEDO CALDERÓN</w:t>
      </w:r>
      <w:r w:rsidRPr="00810EF8">
        <w:rPr>
          <w:rFonts w:eastAsia="Times New Roman" w:cs="Microsoft Sans Serif"/>
          <w:b/>
          <w:bCs/>
          <w:iCs/>
          <w:color w:val="000000"/>
          <w:spacing w:val="-4"/>
          <w:szCs w:val="26"/>
          <w:lang w:val="es-ES" w:eastAsia="es-ES"/>
        </w:rPr>
        <w:tab/>
      </w:r>
      <w:r w:rsidRPr="00810EF8">
        <w:rPr>
          <w:rFonts w:eastAsia="Times New Roman" w:cs="Microsoft Sans Serif"/>
          <w:b/>
          <w:bCs/>
          <w:iCs/>
          <w:color w:val="000000"/>
          <w:spacing w:val="-4"/>
          <w:szCs w:val="26"/>
          <w:lang w:val="es-ES" w:eastAsia="es-ES"/>
        </w:rPr>
        <w:tab/>
      </w:r>
      <w:r w:rsidRPr="00810EF8">
        <w:rPr>
          <w:rFonts w:eastAsia="Times New Roman" w:cs="Microsoft Sans Serif"/>
          <w:b/>
          <w:bCs/>
          <w:iCs/>
          <w:color w:val="000000"/>
          <w:spacing w:val="-4"/>
          <w:szCs w:val="26"/>
          <w:lang w:val="es-ES" w:eastAsia="es-ES"/>
        </w:rPr>
        <w:tab/>
        <w:t xml:space="preserve">           OLGA LUCÍA HOYOS SEPÚLVEDA </w:t>
      </w:r>
    </w:p>
    <w:p w:rsidR="00031AD5" w:rsidRPr="00810EF8" w:rsidRDefault="00810EF8" w:rsidP="00810EF8">
      <w:pPr>
        <w:spacing w:line="288" w:lineRule="auto"/>
        <w:ind w:left="708"/>
        <w:rPr>
          <w:rFonts w:eastAsia="Times New Roman" w:cs="Microsoft Sans Serif"/>
          <w:color w:val="000000"/>
          <w:spacing w:val="-4"/>
          <w:szCs w:val="26"/>
          <w:lang w:val="es-ES" w:eastAsia="es-ES"/>
        </w:rPr>
      </w:pPr>
      <w:r w:rsidRPr="00810EF8">
        <w:rPr>
          <w:rFonts w:eastAsia="Times New Roman" w:cs="Microsoft Sans Serif"/>
          <w:color w:val="000000"/>
          <w:spacing w:val="-4"/>
          <w:szCs w:val="26"/>
          <w:lang w:val="es-ES" w:eastAsia="es-ES"/>
        </w:rPr>
        <w:t xml:space="preserve">       Magistrada</w:t>
      </w:r>
      <w:r w:rsidRPr="00810EF8">
        <w:rPr>
          <w:rFonts w:eastAsia="Times New Roman" w:cs="Microsoft Sans Serif"/>
          <w:color w:val="000000"/>
          <w:spacing w:val="-4"/>
          <w:szCs w:val="26"/>
          <w:lang w:val="es-ES" w:eastAsia="es-ES"/>
        </w:rPr>
        <w:tab/>
      </w:r>
      <w:r w:rsidRPr="00810EF8">
        <w:rPr>
          <w:rFonts w:eastAsia="Times New Roman" w:cs="Microsoft Sans Serif"/>
          <w:color w:val="000000"/>
          <w:spacing w:val="-4"/>
          <w:szCs w:val="26"/>
          <w:lang w:val="es-ES" w:eastAsia="es-ES"/>
        </w:rPr>
        <w:tab/>
      </w:r>
      <w:r w:rsidRPr="00810EF8">
        <w:rPr>
          <w:rFonts w:eastAsia="Times New Roman" w:cs="Microsoft Sans Serif"/>
          <w:color w:val="000000"/>
          <w:spacing w:val="-4"/>
          <w:szCs w:val="26"/>
          <w:lang w:val="es-ES" w:eastAsia="es-ES"/>
        </w:rPr>
        <w:tab/>
      </w:r>
      <w:r w:rsidRPr="00810EF8">
        <w:rPr>
          <w:rFonts w:eastAsia="Times New Roman" w:cs="Microsoft Sans Serif"/>
          <w:color w:val="000000"/>
          <w:spacing w:val="-4"/>
          <w:szCs w:val="26"/>
          <w:lang w:val="es-ES" w:eastAsia="es-ES"/>
        </w:rPr>
        <w:tab/>
      </w:r>
      <w:r w:rsidRPr="00810EF8">
        <w:rPr>
          <w:rFonts w:eastAsia="Times New Roman" w:cs="Microsoft Sans Serif"/>
          <w:color w:val="000000"/>
          <w:spacing w:val="-4"/>
          <w:szCs w:val="26"/>
          <w:lang w:val="es-ES" w:eastAsia="es-ES"/>
        </w:rPr>
        <w:tab/>
      </w:r>
      <w:r w:rsidRPr="00810EF8">
        <w:rPr>
          <w:rFonts w:eastAsia="Times New Roman" w:cs="Microsoft Sans Serif"/>
          <w:color w:val="000000"/>
          <w:spacing w:val="-4"/>
          <w:szCs w:val="26"/>
          <w:lang w:val="es-ES" w:eastAsia="es-ES"/>
        </w:rPr>
        <w:tab/>
      </w:r>
      <w:r w:rsidRPr="00810EF8">
        <w:rPr>
          <w:rFonts w:eastAsia="Times New Roman" w:cs="Microsoft Sans Serif"/>
          <w:color w:val="000000"/>
          <w:spacing w:val="-4"/>
          <w:szCs w:val="26"/>
          <w:lang w:val="es-ES" w:eastAsia="es-ES"/>
        </w:rPr>
        <w:tab/>
        <w:t xml:space="preserve">        Magistrada</w:t>
      </w:r>
    </w:p>
    <w:sectPr w:rsidR="00031AD5" w:rsidRPr="00810EF8" w:rsidSect="00810EF8">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F48" w:rsidRDefault="006F5F48" w:rsidP="00711284">
      <w:pPr>
        <w:spacing w:line="240" w:lineRule="auto"/>
      </w:pPr>
      <w:r>
        <w:separator/>
      </w:r>
    </w:p>
  </w:endnote>
  <w:endnote w:type="continuationSeparator" w:id="0">
    <w:p w:rsidR="006F5F48" w:rsidRDefault="006F5F48" w:rsidP="00711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508688"/>
      <w:docPartObj>
        <w:docPartGallery w:val="Page Numbers (Bottom of Page)"/>
        <w:docPartUnique/>
      </w:docPartObj>
    </w:sdtPr>
    <w:sdtEndPr>
      <w:rPr>
        <w:rFonts w:ascii="Arial" w:hAnsi="Arial" w:cs="Arial"/>
        <w:sz w:val="18"/>
      </w:rPr>
    </w:sdtEndPr>
    <w:sdtContent>
      <w:p w:rsidR="000861F8" w:rsidRPr="00810EF8" w:rsidRDefault="000861F8">
        <w:pPr>
          <w:pStyle w:val="Piedepgina"/>
          <w:jc w:val="center"/>
          <w:rPr>
            <w:rFonts w:ascii="Arial" w:hAnsi="Arial" w:cs="Arial"/>
            <w:sz w:val="18"/>
          </w:rPr>
        </w:pPr>
        <w:r w:rsidRPr="00810EF8">
          <w:rPr>
            <w:rFonts w:ascii="Arial" w:hAnsi="Arial" w:cs="Arial"/>
            <w:sz w:val="18"/>
          </w:rPr>
          <w:fldChar w:fldCharType="begin"/>
        </w:r>
        <w:r w:rsidRPr="00810EF8">
          <w:rPr>
            <w:rFonts w:ascii="Arial" w:hAnsi="Arial" w:cs="Arial"/>
            <w:sz w:val="18"/>
          </w:rPr>
          <w:instrText>PAGE   \* MERGEFORMAT</w:instrText>
        </w:r>
        <w:r w:rsidRPr="00810EF8">
          <w:rPr>
            <w:rFonts w:ascii="Arial" w:hAnsi="Arial" w:cs="Arial"/>
            <w:sz w:val="18"/>
          </w:rPr>
          <w:fldChar w:fldCharType="separate"/>
        </w:r>
        <w:r w:rsidR="00B91BED" w:rsidRPr="00B91BED">
          <w:rPr>
            <w:rFonts w:ascii="Arial" w:hAnsi="Arial" w:cs="Arial"/>
            <w:noProof/>
            <w:sz w:val="18"/>
            <w:lang w:val="es-ES"/>
          </w:rPr>
          <w:t>6</w:t>
        </w:r>
        <w:r w:rsidRPr="00810EF8">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F48" w:rsidRDefault="006F5F48" w:rsidP="00711284">
      <w:pPr>
        <w:spacing w:line="240" w:lineRule="auto"/>
      </w:pPr>
      <w:r>
        <w:separator/>
      </w:r>
    </w:p>
  </w:footnote>
  <w:footnote w:type="continuationSeparator" w:id="0">
    <w:p w:rsidR="006F5F48" w:rsidRDefault="006F5F48" w:rsidP="007112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88" w:rsidRPr="00810EF8" w:rsidRDefault="001D4708">
    <w:pPr>
      <w:pStyle w:val="Encabezado"/>
      <w:rPr>
        <w:rFonts w:ascii="Arial" w:hAnsi="Arial" w:cs="Arial"/>
        <w:sz w:val="18"/>
        <w:szCs w:val="16"/>
        <w:lang w:val="es-419"/>
      </w:rPr>
    </w:pPr>
    <w:r w:rsidRPr="00810EF8">
      <w:rPr>
        <w:rFonts w:ascii="Arial" w:hAnsi="Arial" w:cs="Arial"/>
        <w:sz w:val="18"/>
        <w:szCs w:val="16"/>
        <w:lang w:val="es-419"/>
      </w:rPr>
      <w:t>Radicado: 66001-31-05-00</w:t>
    </w:r>
    <w:r w:rsidR="00711284" w:rsidRPr="00810EF8">
      <w:rPr>
        <w:rFonts w:ascii="Arial" w:hAnsi="Arial" w:cs="Arial"/>
        <w:sz w:val="18"/>
        <w:szCs w:val="16"/>
      </w:rPr>
      <w:t>2-2019-00455-01</w:t>
    </w:r>
  </w:p>
  <w:p w:rsidR="009D6788" w:rsidRPr="00810EF8" w:rsidRDefault="00711284">
    <w:pPr>
      <w:pStyle w:val="Encabezado"/>
      <w:rPr>
        <w:rFonts w:ascii="Arial" w:hAnsi="Arial" w:cs="Arial"/>
        <w:sz w:val="18"/>
        <w:szCs w:val="16"/>
        <w:lang w:val="es-419"/>
      </w:rPr>
    </w:pPr>
    <w:r w:rsidRPr="00810EF8">
      <w:rPr>
        <w:rFonts w:ascii="Arial" w:hAnsi="Arial" w:cs="Arial"/>
        <w:sz w:val="18"/>
        <w:szCs w:val="16"/>
      </w:rPr>
      <w:t xml:space="preserve">Elvira Rodríguez de Guayabo </w:t>
    </w:r>
    <w:r w:rsidR="001D4708" w:rsidRPr="00810EF8">
      <w:rPr>
        <w:rFonts w:ascii="Arial" w:hAnsi="Arial" w:cs="Arial"/>
        <w:sz w:val="18"/>
        <w:szCs w:val="16"/>
        <w:lang w:val="es-419"/>
      </w:rPr>
      <w:t xml:space="preserve">vs Colpensiones </w:t>
    </w:r>
  </w:p>
  <w:p w:rsidR="009D6788" w:rsidRPr="009D6788" w:rsidRDefault="006F5F48" w:rsidP="009D6788">
    <w:pPr>
      <w:pStyle w:val="Encabezado"/>
      <w:jc w:val="right"/>
      <w:rPr>
        <w:b/>
        <w:bCs/>
        <w:sz w:val="16"/>
        <w:szCs w:val="16"/>
        <w:lang w:val="es-4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6F4"/>
    <w:multiLevelType w:val="multilevel"/>
    <w:tmpl w:val="AD98210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8AA0DD3"/>
    <w:multiLevelType w:val="multilevel"/>
    <w:tmpl w:val="CAD6091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84"/>
    <w:rsid w:val="00031AD5"/>
    <w:rsid w:val="000861F8"/>
    <w:rsid w:val="000B54CE"/>
    <w:rsid w:val="001D4708"/>
    <w:rsid w:val="00323CA8"/>
    <w:rsid w:val="003C159C"/>
    <w:rsid w:val="0063108C"/>
    <w:rsid w:val="006F5F48"/>
    <w:rsid w:val="00711284"/>
    <w:rsid w:val="00810EF8"/>
    <w:rsid w:val="008217E0"/>
    <w:rsid w:val="00A14EDB"/>
    <w:rsid w:val="00A675BB"/>
    <w:rsid w:val="00AA2BDE"/>
    <w:rsid w:val="00B91BED"/>
    <w:rsid w:val="00BB61E3"/>
    <w:rsid w:val="00BD1DA0"/>
    <w:rsid w:val="00D17965"/>
    <w:rsid w:val="00E14C57"/>
    <w:rsid w:val="00F37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6E798-3891-4D4A-A3E2-E734AA6B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84"/>
    <w:pPr>
      <w:spacing w:after="0" w:line="312" w:lineRule="auto"/>
    </w:pPr>
    <w:rPr>
      <w:rFonts w:ascii="Arial Narrow" w:hAnsi="Arial Narrow"/>
      <w:sz w:val="26"/>
      <w:lang w:val="es-CO"/>
    </w:rPr>
  </w:style>
  <w:style w:type="paragraph" w:styleId="Ttulo3">
    <w:name w:val="heading 3"/>
    <w:basedOn w:val="Normal"/>
    <w:next w:val="Normal"/>
    <w:link w:val="Ttulo3Car"/>
    <w:qFormat/>
    <w:rsid w:val="00711284"/>
    <w:pPr>
      <w:keepNext/>
      <w:spacing w:line="360" w:lineRule="auto"/>
      <w:jc w:val="center"/>
      <w:outlineLvl w:val="2"/>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28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11284"/>
    <w:rPr>
      <w:rFonts w:ascii="Arial Narrow" w:hAnsi="Arial Narrow"/>
      <w:sz w:val="26"/>
      <w:lang w:val="es-CO"/>
    </w:rPr>
  </w:style>
  <w:style w:type="paragraph" w:styleId="Sinespaciado">
    <w:name w:val="No Spacing"/>
    <w:uiPriority w:val="1"/>
    <w:qFormat/>
    <w:rsid w:val="00711284"/>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11284"/>
    <w:pPr>
      <w:ind w:left="720"/>
      <w:contextualSpacing/>
    </w:pPr>
  </w:style>
  <w:style w:type="paragraph" w:customStyle="1" w:styleId="Prrafodelista1">
    <w:name w:val="Párrafo de lista1"/>
    <w:basedOn w:val="Normal"/>
    <w:rsid w:val="00711284"/>
    <w:pPr>
      <w:spacing w:line="240" w:lineRule="auto"/>
      <w:ind w:left="720"/>
      <w:contextualSpacing/>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711284"/>
    <w:pPr>
      <w:autoSpaceDE w:val="0"/>
      <w:autoSpaceDN w:val="0"/>
      <w:spacing w:line="240" w:lineRule="auto"/>
    </w:pPr>
    <w:rPr>
      <w:rFonts w:ascii="Courier New" w:eastAsia="Calibri" w:hAnsi="Courier New" w:cs="Times New Roman"/>
      <w:sz w:val="20"/>
      <w:szCs w:val="20"/>
      <w:lang w:val="es-ES" w:eastAsia="es-ES"/>
    </w:rPr>
  </w:style>
  <w:style w:type="character" w:customStyle="1" w:styleId="TextosinformatoCar">
    <w:name w:val="Texto sin formato Car"/>
    <w:basedOn w:val="Fuentedeprrafopredeter"/>
    <w:link w:val="Textosinformato"/>
    <w:rsid w:val="00711284"/>
    <w:rPr>
      <w:rFonts w:ascii="Courier New" w:eastAsia="Calibri" w:hAnsi="Courier New" w:cs="Times New Roman"/>
      <w:sz w:val="20"/>
      <w:szCs w:val="20"/>
      <w:lang w:eastAsia="es-ES"/>
    </w:rPr>
  </w:style>
  <w:style w:type="character" w:customStyle="1" w:styleId="Ttulo3Car">
    <w:name w:val="Título 3 Car"/>
    <w:basedOn w:val="Fuentedeprrafopredeter"/>
    <w:link w:val="Ttulo3"/>
    <w:rsid w:val="00711284"/>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71128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11284"/>
    <w:rPr>
      <w:rFonts w:ascii="Arial Narrow" w:hAnsi="Arial Narrow"/>
      <w:sz w:val="26"/>
      <w:lang w:val="es-CO"/>
    </w:rPr>
  </w:style>
  <w:style w:type="paragraph" w:customStyle="1" w:styleId="Textoindependiente21">
    <w:name w:val="Texto independiente 21"/>
    <w:basedOn w:val="Normal"/>
    <w:rsid w:val="00AA2BDE"/>
    <w:pPr>
      <w:spacing w:line="360" w:lineRule="auto"/>
      <w:jc w:val="both"/>
    </w:pPr>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0861F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61F8"/>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2492</Words>
  <Characters>13711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2</cp:revision>
  <cp:lastPrinted>2019-11-18T18:40:00Z</cp:lastPrinted>
  <dcterms:created xsi:type="dcterms:W3CDTF">2019-11-18T15:36:00Z</dcterms:created>
  <dcterms:modified xsi:type="dcterms:W3CDTF">2019-12-12T15:34:00Z</dcterms:modified>
</cp:coreProperties>
</file>