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0D" w:rsidRPr="0050310D" w:rsidRDefault="0050310D" w:rsidP="0050310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0310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0310D" w:rsidRPr="0050310D" w:rsidRDefault="0050310D" w:rsidP="0050310D">
      <w:pPr>
        <w:jc w:val="both"/>
        <w:rPr>
          <w:rFonts w:ascii="Arial" w:hAnsi="Arial" w:cs="Arial"/>
          <w:sz w:val="20"/>
          <w:szCs w:val="20"/>
          <w:lang w:val="es-419"/>
        </w:rPr>
      </w:pPr>
    </w:p>
    <w:p w:rsidR="0050310D" w:rsidRPr="0050310D" w:rsidRDefault="0050310D" w:rsidP="0050310D">
      <w:pPr>
        <w:jc w:val="both"/>
        <w:rPr>
          <w:rFonts w:ascii="Arial" w:hAnsi="Arial" w:cs="Arial"/>
          <w:sz w:val="20"/>
          <w:szCs w:val="20"/>
          <w:lang w:val="es-419"/>
        </w:rPr>
      </w:pPr>
      <w:r w:rsidRPr="0050310D">
        <w:rPr>
          <w:rFonts w:ascii="Arial" w:hAnsi="Arial" w:cs="Arial"/>
          <w:sz w:val="20"/>
          <w:szCs w:val="20"/>
          <w:lang w:val="es-419"/>
        </w:rPr>
        <w:t xml:space="preserve">Providencia: </w:t>
      </w:r>
      <w:r w:rsidRPr="0050310D">
        <w:rPr>
          <w:rFonts w:ascii="Arial" w:hAnsi="Arial" w:cs="Arial"/>
          <w:sz w:val="20"/>
          <w:szCs w:val="20"/>
          <w:lang w:val="es-419"/>
        </w:rPr>
        <w:tab/>
      </w:r>
      <w:r w:rsidRPr="0050310D">
        <w:rPr>
          <w:rFonts w:ascii="Arial" w:hAnsi="Arial" w:cs="Arial"/>
          <w:sz w:val="20"/>
          <w:szCs w:val="20"/>
          <w:lang w:val="es-419"/>
        </w:rPr>
        <w:tab/>
        <w:t>Auto del 9 de mayo de 2019</w:t>
      </w:r>
    </w:p>
    <w:p w:rsidR="0050310D" w:rsidRPr="0050310D" w:rsidRDefault="0050310D" w:rsidP="0050310D">
      <w:pPr>
        <w:jc w:val="both"/>
        <w:rPr>
          <w:rFonts w:ascii="Arial" w:hAnsi="Arial" w:cs="Arial"/>
          <w:sz w:val="20"/>
          <w:szCs w:val="20"/>
          <w:lang w:val="es-419"/>
        </w:rPr>
      </w:pPr>
      <w:r w:rsidRPr="0050310D">
        <w:rPr>
          <w:rFonts w:ascii="Arial" w:hAnsi="Arial" w:cs="Arial"/>
          <w:sz w:val="20"/>
          <w:szCs w:val="20"/>
          <w:lang w:val="es-419"/>
        </w:rPr>
        <w:t>Radicación No.:</w:t>
      </w:r>
      <w:r w:rsidRPr="0050310D">
        <w:rPr>
          <w:rFonts w:ascii="Arial" w:hAnsi="Arial" w:cs="Arial"/>
          <w:sz w:val="20"/>
          <w:szCs w:val="20"/>
          <w:lang w:val="es-419"/>
        </w:rPr>
        <w:tab/>
      </w:r>
      <w:r w:rsidRPr="0050310D">
        <w:rPr>
          <w:rFonts w:ascii="Arial" w:hAnsi="Arial" w:cs="Arial"/>
          <w:sz w:val="20"/>
          <w:szCs w:val="20"/>
          <w:lang w:val="es-419"/>
        </w:rPr>
        <w:tab/>
        <w:t>66001-31-05-004-2018-00645-01</w:t>
      </w:r>
    </w:p>
    <w:p w:rsidR="0050310D" w:rsidRPr="0050310D" w:rsidRDefault="0050310D" w:rsidP="0050310D">
      <w:pPr>
        <w:jc w:val="both"/>
        <w:rPr>
          <w:rFonts w:ascii="Arial" w:hAnsi="Arial" w:cs="Arial"/>
          <w:sz w:val="20"/>
          <w:szCs w:val="20"/>
          <w:lang w:val="es-419"/>
        </w:rPr>
      </w:pPr>
      <w:r w:rsidRPr="0050310D">
        <w:rPr>
          <w:rFonts w:ascii="Arial" w:hAnsi="Arial" w:cs="Arial"/>
          <w:sz w:val="20"/>
          <w:szCs w:val="20"/>
          <w:lang w:val="es-419"/>
        </w:rPr>
        <w:t>Proceso:</w:t>
      </w:r>
      <w:r w:rsidRPr="0050310D">
        <w:rPr>
          <w:rFonts w:ascii="Arial" w:hAnsi="Arial" w:cs="Arial"/>
          <w:sz w:val="20"/>
          <w:szCs w:val="20"/>
          <w:lang w:val="es-419"/>
        </w:rPr>
        <w:tab/>
      </w:r>
      <w:r w:rsidRPr="0050310D">
        <w:rPr>
          <w:rFonts w:ascii="Arial" w:hAnsi="Arial" w:cs="Arial"/>
          <w:sz w:val="20"/>
          <w:szCs w:val="20"/>
          <w:lang w:val="es-419"/>
        </w:rPr>
        <w:tab/>
        <w:t>Ejecutivo Laboral</w:t>
      </w:r>
    </w:p>
    <w:p w:rsidR="0050310D" w:rsidRPr="0050310D" w:rsidRDefault="0050310D" w:rsidP="0050310D">
      <w:pPr>
        <w:jc w:val="both"/>
        <w:rPr>
          <w:rFonts w:ascii="Arial" w:hAnsi="Arial" w:cs="Arial"/>
          <w:sz w:val="20"/>
          <w:szCs w:val="20"/>
          <w:lang w:val="es-419"/>
        </w:rPr>
      </w:pPr>
      <w:r w:rsidRPr="0050310D">
        <w:rPr>
          <w:rFonts w:ascii="Arial" w:hAnsi="Arial" w:cs="Arial"/>
          <w:sz w:val="20"/>
          <w:szCs w:val="20"/>
          <w:lang w:val="es-419"/>
        </w:rPr>
        <w:t>Ejecutante:</w:t>
      </w:r>
      <w:r w:rsidRPr="0050310D">
        <w:rPr>
          <w:rFonts w:ascii="Arial" w:hAnsi="Arial" w:cs="Arial"/>
          <w:sz w:val="20"/>
          <w:szCs w:val="20"/>
          <w:lang w:val="es-419"/>
        </w:rPr>
        <w:tab/>
      </w:r>
      <w:r w:rsidRPr="0050310D">
        <w:rPr>
          <w:rFonts w:ascii="Arial" w:hAnsi="Arial" w:cs="Arial"/>
          <w:sz w:val="20"/>
          <w:szCs w:val="20"/>
          <w:lang w:val="es-419"/>
        </w:rPr>
        <w:tab/>
        <w:t xml:space="preserve">Porvenir S.A. </w:t>
      </w:r>
    </w:p>
    <w:p w:rsidR="0050310D" w:rsidRPr="0050310D" w:rsidRDefault="0050310D" w:rsidP="0050310D">
      <w:pPr>
        <w:jc w:val="both"/>
        <w:rPr>
          <w:rFonts w:ascii="Arial" w:hAnsi="Arial" w:cs="Arial"/>
          <w:sz w:val="20"/>
          <w:szCs w:val="20"/>
          <w:lang w:val="es-419"/>
        </w:rPr>
      </w:pPr>
      <w:r w:rsidRPr="0050310D">
        <w:rPr>
          <w:rFonts w:ascii="Arial" w:hAnsi="Arial" w:cs="Arial"/>
          <w:sz w:val="20"/>
          <w:szCs w:val="20"/>
          <w:lang w:val="es-419"/>
        </w:rPr>
        <w:t>Ejecutada:</w:t>
      </w:r>
      <w:r w:rsidRPr="0050310D">
        <w:rPr>
          <w:rFonts w:ascii="Arial" w:hAnsi="Arial" w:cs="Arial"/>
          <w:sz w:val="20"/>
          <w:szCs w:val="20"/>
          <w:lang w:val="es-419"/>
        </w:rPr>
        <w:tab/>
      </w:r>
      <w:r w:rsidRPr="0050310D">
        <w:rPr>
          <w:rFonts w:ascii="Arial" w:hAnsi="Arial" w:cs="Arial"/>
          <w:sz w:val="20"/>
          <w:szCs w:val="20"/>
          <w:lang w:val="es-419"/>
        </w:rPr>
        <w:tab/>
        <w:t>Acción Humana C.T.A.</w:t>
      </w:r>
    </w:p>
    <w:p w:rsidR="0050310D" w:rsidRPr="0050310D" w:rsidRDefault="0050310D" w:rsidP="0050310D">
      <w:pPr>
        <w:jc w:val="both"/>
        <w:rPr>
          <w:rFonts w:ascii="Arial" w:hAnsi="Arial" w:cs="Arial"/>
          <w:sz w:val="20"/>
          <w:szCs w:val="20"/>
          <w:lang w:val="es-419"/>
        </w:rPr>
      </w:pPr>
      <w:r w:rsidRPr="0050310D">
        <w:rPr>
          <w:rFonts w:ascii="Arial" w:hAnsi="Arial" w:cs="Arial"/>
          <w:sz w:val="20"/>
          <w:szCs w:val="20"/>
          <w:lang w:val="es-419"/>
        </w:rPr>
        <w:t>Magistrada ponente:</w:t>
      </w:r>
      <w:r w:rsidRPr="0050310D">
        <w:rPr>
          <w:rFonts w:ascii="Arial" w:hAnsi="Arial" w:cs="Arial"/>
          <w:sz w:val="20"/>
          <w:szCs w:val="20"/>
          <w:lang w:val="es-419"/>
        </w:rPr>
        <w:tab/>
        <w:t>Dra. Ana Lucía Caicedo Calderón</w:t>
      </w:r>
    </w:p>
    <w:p w:rsidR="0050310D" w:rsidRPr="0050310D" w:rsidRDefault="0050310D" w:rsidP="0050310D">
      <w:pPr>
        <w:jc w:val="both"/>
        <w:rPr>
          <w:rFonts w:ascii="Arial" w:hAnsi="Arial" w:cs="Arial"/>
          <w:sz w:val="20"/>
          <w:szCs w:val="20"/>
          <w:lang w:val="es-419"/>
        </w:rPr>
      </w:pPr>
      <w:r w:rsidRPr="0050310D">
        <w:rPr>
          <w:rFonts w:ascii="Arial" w:hAnsi="Arial" w:cs="Arial"/>
          <w:sz w:val="20"/>
          <w:szCs w:val="20"/>
          <w:lang w:val="es-419"/>
        </w:rPr>
        <w:t xml:space="preserve">Juzgado de Origen: </w:t>
      </w:r>
      <w:r w:rsidRPr="0050310D">
        <w:rPr>
          <w:rFonts w:ascii="Arial" w:hAnsi="Arial" w:cs="Arial"/>
          <w:sz w:val="20"/>
          <w:szCs w:val="20"/>
          <w:lang w:val="es-419"/>
        </w:rPr>
        <w:tab/>
        <w:t>Primero Cuarto del Circuito de Pereira</w:t>
      </w:r>
    </w:p>
    <w:p w:rsidR="0050310D" w:rsidRPr="0050310D" w:rsidRDefault="0050310D" w:rsidP="0050310D">
      <w:pPr>
        <w:jc w:val="both"/>
        <w:rPr>
          <w:rFonts w:ascii="Arial" w:hAnsi="Arial" w:cs="Arial"/>
          <w:sz w:val="20"/>
          <w:szCs w:val="20"/>
          <w:lang w:val="es-419"/>
        </w:rPr>
      </w:pPr>
    </w:p>
    <w:p w:rsidR="0050310D" w:rsidRPr="0050310D" w:rsidRDefault="0050310D" w:rsidP="0050310D">
      <w:pPr>
        <w:jc w:val="both"/>
        <w:rPr>
          <w:rFonts w:ascii="Arial" w:hAnsi="Arial" w:cs="Arial"/>
          <w:b/>
          <w:bCs/>
          <w:iCs/>
          <w:sz w:val="20"/>
          <w:szCs w:val="20"/>
          <w:lang w:val="es-419" w:eastAsia="fr-FR"/>
        </w:rPr>
      </w:pPr>
      <w:r w:rsidRPr="0050310D">
        <w:rPr>
          <w:rFonts w:ascii="Arial" w:hAnsi="Arial" w:cs="Arial"/>
          <w:b/>
          <w:bCs/>
          <w:iCs/>
          <w:sz w:val="20"/>
          <w:szCs w:val="20"/>
          <w:lang w:val="es-419" w:eastAsia="fr-FR"/>
        </w:rPr>
        <w:t>TEMAS:</w:t>
      </w:r>
      <w:r w:rsidRPr="0050310D">
        <w:rPr>
          <w:rFonts w:ascii="Arial" w:hAnsi="Arial" w:cs="Arial"/>
          <w:b/>
          <w:bCs/>
          <w:iCs/>
          <w:sz w:val="20"/>
          <w:szCs w:val="20"/>
          <w:lang w:val="es-419" w:eastAsia="fr-FR"/>
        </w:rPr>
        <w:tab/>
      </w:r>
      <w:r w:rsidR="00AA25EC">
        <w:rPr>
          <w:rFonts w:ascii="Arial" w:hAnsi="Arial" w:cs="Arial"/>
          <w:b/>
          <w:bCs/>
          <w:iCs/>
          <w:sz w:val="20"/>
          <w:szCs w:val="20"/>
          <w:lang w:val="es-CO" w:eastAsia="fr-FR"/>
        </w:rPr>
        <w:t xml:space="preserve">PROCESO EJECUTIVO / </w:t>
      </w:r>
      <w:r w:rsidRPr="0050310D">
        <w:rPr>
          <w:rFonts w:ascii="Arial" w:hAnsi="Arial" w:cs="Arial"/>
          <w:b/>
          <w:sz w:val="20"/>
          <w:szCs w:val="20"/>
          <w:lang w:val="es-419"/>
        </w:rPr>
        <w:t xml:space="preserve">COBRO DE OBLIGACIONES DERIVADAS DEL SISTEMA DE SEGURIDAD SOCIAL </w:t>
      </w:r>
      <w:r w:rsidR="0075304A">
        <w:rPr>
          <w:rFonts w:ascii="Arial" w:hAnsi="Arial" w:cs="Arial"/>
          <w:b/>
          <w:sz w:val="20"/>
          <w:szCs w:val="20"/>
          <w:lang w:val="es-CO"/>
        </w:rPr>
        <w:t xml:space="preserve">/ </w:t>
      </w:r>
      <w:r w:rsidR="0075304A" w:rsidRPr="0050310D">
        <w:rPr>
          <w:rFonts w:ascii="Arial" w:hAnsi="Arial" w:cs="Arial"/>
          <w:b/>
          <w:sz w:val="20"/>
          <w:szCs w:val="20"/>
          <w:lang w:val="es-419"/>
        </w:rPr>
        <w:t xml:space="preserve">TÍTULO EJECUTIVO </w:t>
      </w:r>
      <w:r w:rsidR="0075304A">
        <w:rPr>
          <w:rFonts w:ascii="Arial" w:hAnsi="Arial" w:cs="Arial"/>
          <w:b/>
          <w:sz w:val="20"/>
          <w:szCs w:val="20"/>
          <w:lang w:val="es-CO"/>
        </w:rPr>
        <w:t>COMPLEJO /</w:t>
      </w:r>
      <w:r w:rsidRPr="0050310D">
        <w:rPr>
          <w:rFonts w:ascii="Arial" w:hAnsi="Arial" w:cs="Arial"/>
          <w:b/>
          <w:sz w:val="20"/>
          <w:szCs w:val="20"/>
          <w:lang w:val="es-419"/>
        </w:rPr>
        <w:t xml:space="preserve"> COMUNICACIÓN AL EMPLEADOR MOROSO POR PARTE DEL FONDO DE PENSIONES </w:t>
      </w:r>
      <w:r w:rsidR="0075304A">
        <w:rPr>
          <w:rFonts w:ascii="Arial" w:hAnsi="Arial" w:cs="Arial"/>
          <w:b/>
          <w:sz w:val="20"/>
          <w:szCs w:val="20"/>
          <w:lang w:val="es-CO"/>
        </w:rPr>
        <w:t xml:space="preserve">/ REQUISITOS / </w:t>
      </w:r>
      <w:r w:rsidR="0087610E">
        <w:rPr>
          <w:rFonts w:ascii="Arial" w:hAnsi="Arial" w:cs="Arial"/>
          <w:b/>
          <w:sz w:val="20"/>
          <w:szCs w:val="20"/>
          <w:lang w:val="es-CO"/>
        </w:rPr>
        <w:t>CASOS EN QUE PUEDE JUSTIFICARSE NO EFECTUAR SU ENTREGA EFECTIVA AL DEUDOR.</w:t>
      </w:r>
      <w:r w:rsidRPr="0050310D">
        <w:rPr>
          <w:rFonts w:ascii="Arial" w:hAnsi="Arial" w:cs="Arial"/>
          <w:b/>
          <w:bCs/>
          <w:iCs/>
          <w:sz w:val="20"/>
          <w:szCs w:val="20"/>
          <w:lang w:val="es-419" w:eastAsia="fr-FR"/>
        </w:rPr>
        <w:t xml:space="preserve"> </w:t>
      </w:r>
    </w:p>
    <w:p w:rsidR="0050310D" w:rsidRPr="0050310D" w:rsidRDefault="0050310D" w:rsidP="0050310D">
      <w:pPr>
        <w:jc w:val="both"/>
        <w:rPr>
          <w:rFonts w:ascii="Arial" w:hAnsi="Arial" w:cs="Arial"/>
          <w:sz w:val="20"/>
          <w:szCs w:val="20"/>
          <w:lang w:val="es-419"/>
        </w:rPr>
      </w:pPr>
    </w:p>
    <w:p w:rsidR="0050310D" w:rsidRDefault="0050310D" w:rsidP="0050310D">
      <w:pPr>
        <w:jc w:val="both"/>
        <w:rPr>
          <w:rFonts w:ascii="Arial" w:hAnsi="Arial" w:cs="Arial"/>
          <w:sz w:val="20"/>
          <w:szCs w:val="20"/>
          <w:lang w:val="es-419"/>
        </w:rPr>
      </w:pPr>
      <w:r w:rsidRPr="0050310D">
        <w:rPr>
          <w:rFonts w:ascii="Arial" w:hAnsi="Arial" w:cs="Arial"/>
          <w:sz w:val="20"/>
          <w:szCs w:val="20"/>
          <w:lang w:val="es-419"/>
        </w:rPr>
        <w:t>“El titulo ejecutivo que sustente tal persecución, conforme a los lineamientos del canon 24 de la Ley 100 de1993, está conformado por la liquidación mediante la cual se determine el valor adeudado, pero además los artículos 2º y 5º del Decreto 2633 de 1994 señala que es necesaria la previa constitución en mora del empleador, exigencia que se cumple con el envío de una comunicación por parte del Fondo, en la cual se le requiera el pago de las cotizaciones insolutas, escrito que debe ir acompañado de un informe sobre el valor de lo adeudado y debidamente discriminado con los períodos en mora y los réditos. La constitución en mora se configura vencidos los 15 días siguientes al envío de la comunicación y ese acto, junto a la liquidación que efectúe el Fondo, conforman el sustento del recaudo ejecutivo.”</w:t>
      </w:r>
    </w:p>
    <w:p w:rsidR="00AA25EC" w:rsidRDefault="00AA25EC" w:rsidP="0050310D">
      <w:pPr>
        <w:jc w:val="both"/>
        <w:rPr>
          <w:rFonts w:ascii="Arial" w:hAnsi="Arial" w:cs="Arial"/>
          <w:sz w:val="20"/>
          <w:szCs w:val="20"/>
          <w:lang w:val="es-419"/>
        </w:rPr>
      </w:pPr>
    </w:p>
    <w:p w:rsidR="00AA25EC" w:rsidRDefault="00AA25EC" w:rsidP="0050310D">
      <w:pPr>
        <w:jc w:val="both"/>
        <w:rPr>
          <w:rFonts w:ascii="Arial" w:hAnsi="Arial" w:cs="Arial"/>
          <w:sz w:val="20"/>
          <w:szCs w:val="20"/>
          <w:lang w:val="es-CO"/>
        </w:rPr>
      </w:pPr>
      <w:r>
        <w:rPr>
          <w:rFonts w:ascii="Arial" w:hAnsi="Arial" w:cs="Arial"/>
          <w:sz w:val="20"/>
          <w:szCs w:val="20"/>
          <w:lang w:val="es-CO"/>
        </w:rPr>
        <w:t>“</w:t>
      </w:r>
      <w:r w:rsidRPr="00AA25EC">
        <w:rPr>
          <w:rFonts w:ascii="Arial" w:hAnsi="Arial" w:cs="Arial"/>
          <w:sz w:val="20"/>
          <w:szCs w:val="20"/>
          <w:lang w:val="es-419"/>
        </w:rPr>
        <w:t>Pero tal requerimiento, además, debe cumplir con unas condiciones especiales para entenderse debidamente surtido y conformado el respectivo título ejecutivo. De un lado, es indispensable que el escrito mediante el cual se conmina al empleador a cumplir sus obligaciones esté acompañado de una liquidación provisoria en la que conste detalladamente por qué trabajadores y qué ciclos se adeudan</w:t>
      </w:r>
      <w:r>
        <w:rPr>
          <w:rFonts w:ascii="Arial" w:hAnsi="Arial" w:cs="Arial"/>
          <w:sz w:val="20"/>
          <w:szCs w:val="20"/>
          <w:lang w:val="es-CO"/>
        </w:rPr>
        <w:t>…</w:t>
      </w:r>
      <w:r w:rsidRPr="00AA25EC">
        <w:rPr>
          <w:rFonts w:ascii="Arial" w:hAnsi="Arial" w:cs="Arial"/>
          <w:sz w:val="20"/>
          <w:szCs w:val="20"/>
          <w:lang w:val="es-419"/>
        </w:rPr>
        <w:t xml:space="preserve"> Tal liquidación, además, debe guardar congruencia con la que se aporta como sustento del recaudo ejecutivo, es decir, no puede existir una diferencia sustancial, como la inclusión de nuevos trabajadores o de nuevos periodos, sino que debe haber igualdad entre los afiliados, los períodos y los montos de capital perseguidos</w:t>
      </w:r>
      <w:r>
        <w:rPr>
          <w:rFonts w:ascii="Arial" w:hAnsi="Arial" w:cs="Arial"/>
          <w:sz w:val="20"/>
          <w:szCs w:val="20"/>
          <w:lang w:val="es-CO"/>
        </w:rPr>
        <w:t>…”</w:t>
      </w:r>
    </w:p>
    <w:p w:rsidR="00AA25EC" w:rsidRDefault="00AA25EC" w:rsidP="0050310D">
      <w:pPr>
        <w:jc w:val="both"/>
        <w:rPr>
          <w:rFonts w:ascii="Arial" w:hAnsi="Arial" w:cs="Arial"/>
          <w:sz w:val="20"/>
          <w:szCs w:val="20"/>
          <w:lang w:val="es-CO"/>
        </w:rPr>
      </w:pPr>
    </w:p>
    <w:p w:rsidR="00AA25EC" w:rsidRPr="0050310D" w:rsidRDefault="00AA25EC" w:rsidP="0050310D">
      <w:pPr>
        <w:jc w:val="both"/>
        <w:rPr>
          <w:rFonts w:ascii="Arial" w:hAnsi="Arial" w:cs="Arial"/>
          <w:sz w:val="20"/>
          <w:szCs w:val="20"/>
          <w:lang w:val="es-CO"/>
        </w:rPr>
      </w:pPr>
      <w:r>
        <w:rPr>
          <w:rFonts w:ascii="Arial" w:hAnsi="Arial" w:cs="Arial"/>
          <w:sz w:val="20"/>
          <w:szCs w:val="20"/>
          <w:lang w:val="es-CO"/>
        </w:rPr>
        <w:t>“</w:t>
      </w:r>
      <w:r w:rsidRPr="00AA25EC">
        <w:rPr>
          <w:rFonts w:ascii="Arial" w:hAnsi="Arial" w:cs="Arial"/>
          <w:sz w:val="20"/>
          <w:szCs w:val="20"/>
          <w:lang w:val="es-CO"/>
        </w:rPr>
        <w:t>Ahora, no puede exigírsele al Fondo de Pensiones que tal documento se entregue efectivamente al empleador moroso, así este haya cambiado de domicilio y no hubiere reportado tal modificación a la AFP o no hubiere efectuado la respectiva modificación en su folio de registro mercantil, pues implicaría imponer exigencias imposibles o ampliamente desproporcionadas y a la par facilitar las labores elusivas de los empleadores</w:t>
      </w:r>
      <w:r>
        <w:rPr>
          <w:rFonts w:ascii="Arial" w:hAnsi="Arial" w:cs="Arial"/>
          <w:sz w:val="20"/>
          <w:szCs w:val="20"/>
          <w:lang w:val="es-CO"/>
        </w:rPr>
        <w:t>…”</w:t>
      </w:r>
    </w:p>
    <w:p w:rsidR="0050310D" w:rsidRPr="0050310D" w:rsidRDefault="0050310D" w:rsidP="0050310D">
      <w:pPr>
        <w:jc w:val="both"/>
        <w:rPr>
          <w:rFonts w:ascii="Arial" w:hAnsi="Arial" w:cs="Arial"/>
          <w:sz w:val="20"/>
          <w:szCs w:val="20"/>
          <w:lang w:val="es-419"/>
        </w:rPr>
      </w:pPr>
    </w:p>
    <w:p w:rsidR="0050310D" w:rsidRPr="0050310D" w:rsidRDefault="0050310D" w:rsidP="0050310D">
      <w:pPr>
        <w:jc w:val="both"/>
        <w:rPr>
          <w:rFonts w:ascii="Arial" w:hAnsi="Arial" w:cs="Arial"/>
          <w:sz w:val="20"/>
          <w:szCs w:val="20"/>
          <w:lang w:val="es-419"/>
        </w:rPr>
      </w:pPr>
    </w:p>
    <w:p w:rsidR="0050310D" w:rsidRPr="0050310D" w:rsidRDefault="0050310D" w:rsidP="0050310D">
      <w:pPr>
        <w:jc w:val="both"/>
        <w:rPr>
          <w:rFonts w:ascii="Arial" w:hAnsi="Arial" w:cs="Arial"/>
          <w:sz w:val="20"/>
          <w:szCs w:val="20"/>
        </w:rPr>
      </w:pPr>
    </w:p>
    <w:p w:rsidR="00D3635B" w:rsidRPr="0050310D" w:rsidRDefault="00D3635B" w:rsidP="00202349">
      <w:pPr>
        <w:pStyle w:val="Ttulo4"/>
        <w:widowControl w:val="0"/>
        <w:tabs>
          <w:tab w:val="clear" w:pos="0"/>
        </w:tabs>
        <w:spacing w:line="300" w:lineRule="auto"/>
        <w:rPr>
          <w:rFonts w:ascii="Tahoma" w:hAnsi="Tahoma" w:cs="Tahoma"/>
          <w:bCs/>
          <w:szCs w:val="24"/>
          <w:lang w:eastAsia="es-MX"/>
        </w:rPr>
      </w:pPr>
      <w:r w:rsidRPr="0050310D">
        <w:rPr>
          <w:rFonts w:ascii="Tahoma" w:hAnsi="Tahoma" w:cs="Tahoma"/>
          <w:bCs/>
          <w:szCs w:val="24"/>
          <w:lang w:eastAsia="es-MX"/>
        </w:rPr>
        <w:t>TRIBUNAL SUPERIOR DEL DISTRITO JUDICIAL DE PEREIRA</w:t>
      </w:r>
    </w:p>
    <w:p w:rsidR="00D3635B" w:rsidRPr="0050310D" w:rsidRDefault="00D3635B" w:rsidP="00202349">
      <w:pPr>
        <w:pStyle w:val="Ttulo4"/>
        <w:widowControl w:val="0"/>
        <w:tabs>
          <w:tab w:val="clear" w:pos="0"/>
        </w:tabs>
        <w:spacing w:line="300" w:lineRule="auto"/>
        <w:rPr>
          <w:rFonts w:ascii="Tahoma" w:hAnsi="Tahoma" w:cs="Tahoma"/>
          <w:bCs/>
          <w:szCs w:val="24"/>
          <w:lang w:eastAsia="es-MX"/>
        </w:rPr>
      </w:pPr>
      <w:r w:rsidRPr="0050310D">
        <w:rPr>
          <w:rFonts w:ascii="Tahoma" w:hAnsi="Tahoma" w:cs="Tahoma"/>
          <w:bCs/>
          <w:szCs w:val="24"/>
          <w:lang w:eastAsia="es-MX"/>
        </w:rPr>
        <w:t xml:space="preserve">SALA </w:t>
      </w:r>
      <w:r w:rsidR="00AE0B3B" w:rsidRPr="0050310D">
        <w:rPr>
          <w:rFonts w:ascii="Tahoma" w:hAnsi="Tahoma" w:cs="Tahoma"/>
          <w:bCs/>
          <w:szCs w:val="24"/>
          <w:lang w:eastAsia="es-MX"/>
        </w:rPr>
        <w:t xml:space="preserve">DE DECISIÓN </w:t>
      </w:r>
      <w:r w:rsidRPr="0050310D">
        <w:rPr>
          <w:rFonts w:ascii="Tahoma" w:hAnsi="Tahoma" w:cs="Tahoma"/>
          <w:bCs/>
          <w:szCs w:val="24"/>
          <w:lang w:eastAsia="es-MX"/>
        </w:rPr>
        <w:t>LABORAL</w:t>
      </w:r>
      <w:r w:rsidR="00AE0B3B" w:rsidRPr="0050310D">
        <w:rPr>
          <w:rFonts w:ascii="Tahoma" w:hAnsi="Tahoma" w:cs="Tahoma"/>
          <w:bCs/>
          <w:szCs w:val="24"/>
          <w:lang w:eastAsia="es-MX"/>
        </w:rPr>
        <w:t xml:space="preserve"> No. 1</w:t>
      </w:r>
    </w:p>
    <w:p w:rsidR="00D3635B" w:rsidRPr="00202349" w:rsidRDefault="00D3635B" w:rsidP="00202349">
      <w:pPr>
        <w:spacing w:line="300" w:lineRule="auto"/>
        <w:rPr>
          <w:rFonts w:ascii="Tahoma" w:hAnsi="Tahoma" w:cs="Tahoma"/>
          <w:bCs/>
          <w:sz w:val="22"/>
        </w:rPr>
      </w:pPr>
    </w:p>
    <w:p w:rsidR="00D3635B" w:rsidRPr="0050310D" w:rsidRDefault="00D3635B" w:rsidP="00202349">
      <w:pPr>
        <w:spacing w:line="300" w:lineRule="auto"/>
        <w:jc w:val="center"/>
        <w:rPr>
          <w:rFonts w:ascii="Tahoma" w:hAnsi="Tahoma" w:cs="Tahoma"/>
          <w:b/>
          <w:bCs/>
        </w:rPr>
      </w:pPr>
      <w:r w:rsidRPr="0050310D">
        <w:rPr>
          <w:rFonts w:ascii="Tahoma" w:hAnsi="Tahoma" w:cs="Tahoma"/>
          <w:bCs/>
        </w:rPr>
        <w:t xml:space="preserve">Magistrada </w:t>
      </w:r>
      <w:r w:rsidR="00034A7B" w:rsidRPr="0050310D">
        <w:rPr>
          <w:rFonts w:ascii="Tahoma" w:hAnsi="Tahoma" w:cs="Tahoma"/>
          <w:bCs/>
        </w:rPr>
        <w:t>ponente</w:t>
      </w:r>
      <w:r w:rsidRPr="0050310D">
        <w:rPr>
          <w:rFonts w:ascii="Tahoma" w:hAnsi="Tahoma" w:cs="Tahoma"/>
          <w:bCs/>
        </w:rPr>
        <w:t>:</w:t>
      </w:r>
      <w:r w:rsidRPr="0050310D">
        <w:rPr>
          <w:rFonts w:ascii="Tahoma" w:hAnsi="Tahoma" w:cs="Tahoma"/>
          <w:b/>
          <w:bCs/>
        </w:rPr>
        <w:t xml:space="preserve"> </w:t>
      </w:r>
      <w:r w:rsidR="00034A7B" w:rsidRPr="0050310D">
        <w:rPr>
          <w:rFonts w:ascii="Tahoma" w:hAnsi="Tahoma" w:cs="Tahoma"/>
          <w:b/>
          <w:bCs/>
        </w:rPr>
        <w:t>Ana Lucía Caicedo Calderón</w:t>
      </w:r>
    </w:p>
    <w:p w:rsidR="00D3635B" w:rsidRPr="00202349" w:rsidRDefault="00D3635B" w:rsidP="00202349">
      <w:pPr>
        <w:spacing w:line="300" w:lineRule="auto"/>
        <w:rPr>
          <w:rFonts w:ascii="Tahoma" w:hAnsi="Tahoma" w:cs="Tahoma"/>
          <w:bCs/>
          <w:sz w:val="22"/>
        </w:rPr>
      </w:pPr>
    </w:p>
    <w:p w:rsidR="00FB2D4B" w:rsidRPr="0050310D" w:rsidRDefault="00034A7B" w:rsidP="00202349">
      <w:pPr>
        <w:spacing w:line="300" w:lineRule="auto"/>
        <w:jc w:val="center"/>
        <w:rPr>
          <w:rFonts w:ascii="Tahoma" w:hAnsi="Tahoma" w:cs="Tahoma"/>
          <w:b/>
        </w:rPr>
      </w:pPr>
      <w:r w:rsidRPr="0050310D">
        <w:rPr>
          <w:rFonts w:ascii="Tahoma" w:hAnsi="Tahoma" w:cs="Tahoma"/>
          <w:b/>
        </w:rPr>
        <w:t xml:space="preserve">Acta </w:t>
      </w:r>
      <w:r w:rsidR="00FB2D4B" w:rsidRPr="0050310D">
        <w:rPr>
          <w:rFonts w:ascii="Tahoma" w:hAnsi="Tahoma" w:cs="Tahoma"/>
          <w:b/>
        </w:rPr>
        <w:t>No.____</w:t>
      </w:r>
    </w:p>
    <w:p w:rsidR="00671E77" w:rsidRPr="00202349" w:rsidRDefault="00671E77" w:rsidP="00202349">
      <w:pPr>
        <w:spacing w:line="300" w:lineRule="auto"/>
        <w:rPr>
          <w:rFonts w:ascii="Tahoma" w:hAnsi="Tahoma" w:cs="Tahoma"/>
          <w:bCs/>
          <w:sz w:val="22"/>
        </w:rPr>
      </w:pPr>
    </w:p>
    <w:p w:rsidR="001F5F54" w:rsidRPr="0050310D" w:rsidRDefault="006A266F" w:rsidP="00202349">
      <w:pPr>
        <w:spacing w:line="300" w:lineRule="auto"/>
        <w:jc w:val="center"/>
        <w:rPr>
          <w:rFonts w:ascii="Tahoma" w:hAnsi="Tahoma" w:cs="Tahoma"/>
          <w:b/>
        </w:rPr>
      </w:pPr>
      <w:r w:rsidRPr="0050310D">
        <w:rPr>
          <w:rFonts w:ascii="Tahoma" w:hAnsi="Tahoma" w:cs="Tahoma"/>
          <w:b/>
        </w:rPr>
        <w:t>Auto interlocutorio</w:t>
      </w:r>
    </w:p>
    <w:p w:rsidR="001F5F54" w:rsidRPr="00202349" w:rsidRDefault="001F5F54" w:rsidP="00202349">
      <w:pPr>
        <w:spacing w:line="300" w:lineRule="auto"/>
        <w:rPr>
          <w:rFonts w:ascii="Tahoma" w:hAnsi="Tahoma" w:cs="Tahoma"/>
          <w:bCs/>
          <w:sz w:val="22"/>
        </w:rPr>
      </w:pPr>
    </w:p>
    <w:p w:rsidR="00F37868" w:rsidRPr="0050310D" w:rsidRDefault="00F37868" w:rsidP="00202349">
      <w:pPr>
        <w:spacing w:line="300" w:lineRule="auto"/>
        <w:jc w:val="center"/>
        <w:rPr>
          <w:rFonts w:ascii="Tahoma" w:hAnsi="Tahoma" w:cs="Tahoma"/>
          <w:lang w:val="es-ES_tradnl"/>
        </w:rPr>
      </w:pPr>
      <w:r w:rsidRPr="0050310D">
        <w:rPr>
          <w:rFonts w:ascii="Tahoma" w:hAnsi="Tahoma" w:cs="Tahoma"/>
          <w:spacing w:val="2"/>
          <w:lang w:val="es-ES_tradnl"/>
        </w:rPr>
        <w:t>P</w:t>
      </w:r>
      <w:r w:rsidRPr="0050310D">
        <w:rPr>
          <w:rFonts w:ascii="Tahoma" w:hAnsi="Tahoma" w:cs="Tahoma"/>
          <w:lang w:val="es-ES_tradnl"/>
        </w:rPr>
        <w:t xml:space="preserve">ereira (Risaralda), </w:t>
      </w:r>
      <w:r w:rsidR="001D72E1" w:rsidRPr="0050310D">
        <w:rPr>
          <w:rFonts w:ascii="Tahoma" w:hAnsi="Tahoma" w:cs="Tahoma"/>
          <w:lang w:val="es-ES_tradnl"/>
        </w:rPr>
        <w:t>9</w:t>
      </w:r>
      <w:r w:rsidR="003441AA">
        <w:rPr>
          <w:rFonts w:ascii="Tahoma" w:hAnsi="Tahoma" w:cs="Tahoma"/>
          <w:lang w:val="es-ES_tradnl"/>
        </w:rPr>
        <w:t xml:space="preserve"> </w:t>
      </w:r>
      <w:r w:rsidR="00350177" w:rsidRPr="0050310D">
        <w:rPr>
          <w:rFonts w:ascii="Tahoma" w:hAnsi="Tahoma" w:cs="Tahoma"/>
          <w:lang w:val="es-ES_tradnl"/>
        </w:rPr>
        <w:t xml:space="preserve">de </w:t>
      </w:r>
      <w:r w:rsidR="006A266F" w:rsidRPr="0050310D">
        <w:rPr>
          <w:rFonts w:ascii="Tahoma" w:hAnsi="Tahoma" w:cs="Tahoma"/>
          <w:lang w:val="es-ES_tradnl"/>
        </w:rPr>
        <w:t>mayo</w:t>
      </w:r>
      <w:r w:rsidR="00350177" w:rsidRPr="0050310D">
        <w:rPr>
          <w:rFonts w:ascii="Tahoma" w:hAnsi="Tahoma" w:cs="Tahoma"/>
          <w:lang w:val="es-ES_tradnl"/>
        </w:rPr>
        <w:t xml:space="preserve"> de </w:t>
      </w:r>
      <w:r w:rsidR="00F833BF" w:rsidRPr="0050310D">
        <w:rPr>
          <w:rFonts w:ascii="Tahoma" w:hAnsi="Tahoma" w:cs="Tahoma"/>
          <w:lang w:val="es-ES_tradnl"/>
        </w:rPr>
        <w:t>2019</w:t>
      </w:r>
    </w:p>
    <w:p w:rsidR="00F37868" w:rsidRPr="00202349" w:rsidRDefault="00F37868" w:rsidP="00202349">
      <w:pPr>
        <w:spacing w:line="300" w:lineRule="auto"/>
        <w:rPr>
          <w:rFonts w:ascii="Tahoma" w:hAnsi="Tahoma" w:cs="Tahoma"/>
          <w:bCs/>
          <w:sz w:val="22"/>
        </w:rPr>
      </w:pPr>
    </w:p>
    <w:p w:rsidR="00F37868" w:rsidRPr="0050310D" w:rsidRDefault="00F37868" w:rsidP="00202349">
      <w:pPr>
        <w:spacing w:line="300" w:lineRule="auto"/>
        <w:jc w:val="center"/>
        <w:rPr>
          <w:rFonts w:ascii="Tahoma" w:hAnsi="Tahoma" w:cs="Tahoma"/>
          <w:b/>
          <w:lang w:val="es-ES_tradnl"/>
        </w:rPr>
      </w:pPr>
      <w:r w:rsidRPr="0050310D">
        <w:rPr>
          <w:rFonts w:ascii="Tahoma" w:hAnsi="Tahoma" w:cs="Tahoma"/>
          <w:b/>
          <w:lang w:val="es-ES_tradnl"/>
        </w:rPr>
        <w:t>PUNTO A TRATAR</w:t>
      </w:r>
    </w:p>
    <w:p w:rsidR="00F37868" w:rsidRPr="00202349" w:rsidRDefault="00F37868" w:rsidP="00202349">
      <w:pPr>
        <w:spacing w:line="300" w:lineRule="auto"/>
        <w:rPr>
          <w:rFonts w:ascii="Tahoma" w:hAnsi="Tahoma" w:cs="Tahoma"/>
          <w:bCs/>
          <w:sz w:val="22"/>
        </w:rPr>
      </w:pPr>
    </w:p>
    <w:p w:rsidR="00BA5A54" w:rsidRPr="0050310D" w:rsidRDefault="00F37868" w:rsidP="00202349">
      <w:pPr>
        <w:spacing w:line="300" w:lineRule="auto"/>
        <w:ind w:firstLine="708"/>
        <w:jc w:val="both"/>
        <w:rPr>
          <w:rFonts w:ascii="Tahoma" w:hAnsi="Tahoma" w:cs="Tahoma"/>
          <w:lang w:val="es-ES_tradnl"/>
        </w:rPr>
      </w:pPr>
      <w:r w:rsidRPr="0050310D">
        <w:rPr>
          <w:rFonts w:ascii="Tahoma" w:hAnsi="Tahoma" w:cs="Tahoma"/>
          <w:lang w:val="es-ES_tradnl"/>
        </w:rPr>
        <w:t xml:space="preserve">Por medio de la presente providencia se entra a desatar el recurso de </w:t>
      </w:r>
      <w:r w:rsidR="00034A7B" w:rsidRPr="0050310D">
        <w:rPr>
          <w:rFonts w:ascii="Tahoma" w:hAnsi="Tahoma" w:cs="Tahoma"/>
          <w:lang w:val="es-ES_tradnl"/>
        </w:rPr>
        <w:t>apelación interpuesto</w:t>
      </w:r>
      <w:r w:rsidRPr="0050310D">
        <w:rPr>
          <w:rFonts w:ascii="Tahoma" w:hAnsi="Tahoma" w:cs="Tahoma"/>
          <w:lang w:val="es-ES_tradnl"/>
        </w:rPr>
        <w:t xml:space="preserve"> por </w:t>
      </w:r>
      <w:r w:rsidR="0069065B" w:rsidRPr="0050310D">
        <w:rPr>
          <w:rFonts w:ascii="Tahoma" w:hAnsi="Tahoma" w:cs="Tahoma"/>
          <w:lang w:val="es-ES_tradnl"/>
        </w:rPr>
        <w:t xml:space="preserve">la </w:t>
      </w:r>
      <w:r w:rsidR="003C6BF3" w:rsidRPr="0050310D">
        <w:rPr>
          <w:rFonts w:ascii="Tahoma" w:hAnsi="Tahoma" w:cs="Tahoma"/>
          <w:lang w:val="es-ES_tradnl"/>
        </w:rPr>
        <w:t xml:space="preserve">parte ejecutante </w:t>
      </w:r>
      <w:r w:rsidR="00BA5A54" w:rsidRPr="0050310D">
        <w:rPr>
          <w:rFonts w:ascii="Tahoma" w:hAnsi="Tahoma" w:cs="Tahoma"/>
          <w:lang w:val="es-ES_tradnl"/>
        </w:rPr>
        <w:t xml:space="preserve">contra la decisión </w:t>
      </w:r>
      <w:r w:rsidR="00560E3C" w:rsidRPr="0050310D">
        <w:rPr>
          <w:rFonts w:ascii="Tahoma" w:hAnsi="Tahoma" w:cs="Tahoma"/>
          <w:lang w:val="es-ES_tradnl"/>
        </w:rPr>
        <w:t xml:space="preserve">del Juzgado Cuarto </w:t>
      </w:r>
      <w:r w:rsidR="00560E3C" w:rsidRPr="0050310D">
        <w:rPr>
          <w:rFonts w:ascii="Tahoma" w:hAnsi="Tahoma" w:cs="Tahoma"/>
          <w:lang w:val="es-ES_tradnl"/>
        </w:rPr>
        <w:lastRenderedPageBreak/>
        <w:t xml:space="preserve">Laboral del Circuito de Pereira, por medio de la cual se negó </w:t>
      </w:r>
      <w:r w:rsidR="00454C98" w:rsidRPr="0050310D">
        <w:rPr>
          <w:rFonts w:ascii="Tahoma" w:hAnsi="Tahoma" w:cs="Tahoma"/>
          <w:lang w:val="es-ES_tradnl"/>
        </w:rPr>
        <w:t>el mandamiento de pago</w:t>
      </w:r>
      <w:r w:rsidR="00560E3C" w:rsidRPr="0050310D">
        <w:rPr>
          <w:rFonts w:ascii="Tahoma" w:hAnsi="Tahoma" w:cs="Tahoma"/>
          <w:lang w:val="es-ES_tradnl"/>
        </w:rPr>
        <w:t xml:space="preserve"> en contra de Acción Humana Cooperativa de Trabajo Asociado</w:t>
      </w:r>
      <w:r w:rsidRPr="0050310D">
        <w:rPr>
          <w:rFonts w:ascii="Tahoma" w:hAnsi="Tahoma" w:cs="Tahoma"/>
          <w:lang w:val="es-ES_tradnl"/>
        </w:rPr>
        <w:t>.</w:t>
      </w:r>
    </w:p>
    <w:p w:rsidR="0069065B" w:rsidRPr="00202349" w:rsidRDefault="00F37868" w:rsidP="00202349">
      <w:pPr>
        <w:spacing w:line="300" w:lineRule="auto"/>
        <w:rPr>
          <w:rFonts w:ascii="Tahoma" w:hAnsi="Tahoma" w:cs="Tahoma"/>
          <w:bCs/>
          <w:sz w:val="22"/>
        </w:rPr>
      </w:pPr>
      <w:r w:rsidRPr="00202349">
        <w:rPr>
          <w:rFonts w:ascii="Tahoma" w:hAnsi="Tahoma" w:cs="Tahoma"/>
          <w:bCs/>
          <w:sz w:val="22"/>
        </w:rPr>
        <w:t xml:space="preserve"> </w:t>
      </w:r>
    </w:p>
    <w:p w:rsidR="00CB7166" w:rsidRPr="0050310D" w:rsidRDefault="00F37868" w:rsidP="00202349">
      <w:pPr>
        <w:spacing w:line="300" w:lineRule="auto"/>
        <w:ind w:firstLine="708"/>
        <w:jc w:val="both"/>
        <w:rPr>
          <w:rFonts w:ascii="Tahoma" w:hAnsi="Tahoma" w:cs="Tahoma"/>
        </w:rPr>
      </w:pPr>
      <w:r w:rsidRPr="0050310D">
        <w:rPr>
          <w:rFonts w:ascii="Tahoma" w:hAnsi="Tahoma" w:cs="Tahoma"/>
          <w:lang w:val="es-ES_tradnl"/>
        </w:rPr>
        <w:t xml:space="preserve">En sesión previa que se hizo constar en la mencionada acta, la Sala discutió y aprobó el proyecto que presentó la Magistrada Ponente, el cual alude al siguiente </w:t>
      </w:r>
      <w:r w:rsidRPr="0050310D">
        <w:rPr>
          <w:rFonts w:ascii="Tahoma" w:hAnsi="Tahoma" w:cs="Tahoma"/>
          <w:b/>
          <w:lang w:val="es-ES_tradnl"/>
        </w:rPr>
        <w:t>auto interlocutorio</w:t>
      </w:r>
      <w:r w:rsidRPr="0050310D">
        <w:rPr>
          <w:rFonts w:ascii="Tahoma" w:hAnsi="Tahoma" w:cs="Tahoma"/>
        </w:rPr>
        <w:t>:</w:t>
      </w:r>
    </w:p>
    <w:p w:rsidR="0069065B" w:rsidRPr="00202349" w:rsidRDefault="0069065B" w:rsidP="00202349">
      <w:pPr>
        <w:spacing w:line="300" w:lineRule="auto"/>
        <w:rPr>
          <w:rFonts w:ascii="Tahoma" w:hAnsi="Tahoma" w:cs="Tahoma"/>
          <w:bCs/>
          <w:sz w:val="22"/>
        </w:rPr>
      </w:pPr>
    </w:p>
    <w:p w:rsidR="00CB7166" w:rsidRPr="0050310D" w:rsidRDefault="00CB7166" w:rsidP="00202349">
      <w:pPr>
        <w:spacing w:line="300" w:lineRule="auto"/>
        <w:ind w:firstLine="708"/>
        <w:jc w:val="center"/>
        <w:rPr>
          <w:rFonts w:ascii="Tahoma" w:hAnsi="Tahoma" w:cs="Tahoma"/>
          <w:b/>
        </w:rPr>
      </w:pPr>
      <w:r w:rsidRPr="0050310D">
        <w:rPr>
          <w:rFonts w:ascii="Tahoma" w:hAnsi="Tahoma" w:cs="Tahoma"/>
          <w:b/>
        </w:rPr>
        <w:t xml:space="preserve">I.- </w:t>
      </w:r>
      <w:r w:rsidR="008A5C50" w:rsidRPr="0050310D">
        <w:rPr>
          <w:rFonts w:ascii="Tahoma" w:hAnsi="Tahoma" w:cs="Tahoma"/>
          <w:b/>
        </w:rPr>
        <w:t>ANTECEDENTES PROCESALES</w:t>
      </w:r>
    </w:p>
    <w:p w:rsidR="00CB7166" w:rsidRPr="00202349" w:rsidRDefault="00CB7166" w:rsidP="00202349">
      <w:pPr>
        <w:spacing w:line="300" w:lineRule="auto"/>
        <w:rPr>
          <w:rFonts w:ascii="Tahoma" w:hAnsi="Tahoma" w:cs="Tahoma"/>
          <w:bCs/>
          <w:sz w:val="22"/>
        </w:rPr>
      </w:pPr>
    </w:p>
    <w:p w:rsidR="00786AB7" w:rsidRPr="0050310D" w:rsidRDefault="008A5C50" w:rsidP="00202349">
      <w:pPr>
        <w:spacing w:line="300" w:lineRule="auto"/>
        <w:ind w:firstLine="708"/>
        <w:jc w:val="both"/>
        <w:rPr>
          <w:rFonts w:ascii="Tahoma" w:hAnsi="Tahoma" w:cs="Tahoma"/>
        </w:rPr>
      </w:pPr>
      <w:r w:rsidRPr="0050310D">
        <w:rPr>
          <w:rFonts w:ascii="Tahoma" w:hAnsi="Tahoma" w:cs="Tahoma"/>
        </w:rPr>
        <w:t xml:space="preserve">Para mejor proveer conviene aclarar que el presente proceso ejecutivo se inició para que se </w:t>
      </w:r>
      <w:r w:rsidR="00786AB7" w:rsidRPr="0050310D">
        <w:rPr>
          <w:rFonts w:ascii="Tahoma" w:hAnsi="Tahoma" w:cs="Tahoma"/>
        </w:rPr>
        <w:t>librara mandamiento de pago en contra de la Cooperativa de Trabajo Asociado Acción Humana, con ocasión del incumplimiento en el pago de cotizaciones obligatorias de los aportes pensionales de 25 trabajadores, equivalente a $17.135.533</w:t>
      </w:r>
      <w:r w:rsidR="00EA5FBE" w:rsidRPr="0050310D">
        <w:rPr>
          <w:rFonts w:ascii="Tahoma" w:hAnsi="Tahoma" w:cs="Tahoma"/>
        </w:rPr>
        <w:t>, y los intereses de mora causados por dicha omisión, los cuales a la fecha de presentación de la demanda asciende</w:t>
      </w:r>
      <w:r w:rsidR="00034A7B" w:rsidRPr="0050310D">
        <w:rPr>
          <w:rFonts w:ascii="Tahoma" w:hAnsi="Tahoma" w:cs="Tahoma"/>
        </w:rPr>
        <w:t>n a</w:t>
      </w:r>
      <w:r w:rsidR="00EA5FBE" w:rsidRPr="0050310D">
        <w:rPr>
          <w:rFonts w:ascii="Tahoma" w:hAnsi="Tahoma" w:cs="Tahoma"/>
        </w:rPr>
        <w:t xml:space="preserve"> $49.298.200.</w:t>
      </w:r>
    </w:p>
    <w:p w:rsidR="00BF54A9" w:rsidRPr="00202349" w:rsidRDefault="00BF54A9" w:rsidP="00202349">
      <w:pPr>
        <w:spacing w:line="300" w:lineRule="auto"/>
        <w:rPr>
          <w:rFonts w:ascii="Tahoma" w:hAnsi="Tahoma" w:cs="Tahoma"/>
          <w:bCs/>
          <w:sz w:val="22"/>
        </w:rPr>
      </w:pPr>
    </w:p>
    <w:p w:rsidR="009754C0" w:rsidRPr="0050310D" w:rsidRDefault="009754C0" w:rsidP="00202349">
      <w:pPr>
        <w:spacing w:line="300" w:lineRule="auto"/>
        <w:ind w:firstLine="708"/>
        <w:jc w:val="center"/>
        <w:rPr>
          <w:rFonts w:ascii="Tahoma" w:hAnsi="Tahoma" w:cs="Tahoma"/>
        </w:rPr>
      </w:pPr>
      <w:r w:rsidRPr="0050310D">
        <w:rPr>
          <w:rFonts w:ascii="Tahoma" w:hAnsi="Tahoma" w:cs="Tahoma"/>
          <w:b/>
        </w:rPr>
        <w:t>II. AUTO OBJETO DE APELACIÓN</w:t>
      </w:r>
    </w:p>
    <w:p w:rsidR="009754C0" w:rsidRPr="00202349" w:rsidRDefault="009754C0" w:rsidP="00202349">
      <w:pPr>
        <w:spacing w:line="300" w:lineRule="auto"/>
        <w:rPr>
          <w:rFonts w:ascii="Tahoma" w:hAnsi="Tahoma" w:cs="Tahoma"/>
          <w:bCs/>
          <w:sz w:val="22"/>
        </w:rPr>
      </w:pPr>
    </w:p>
    <w:p w:rsidR="001A6C49" w:rsidRPr="0050310D" w:rsidRDefault="001A6C49" w:rsidP="00202349">
      <w:pPr>
        <w:spacing w:line="300" w:lineRule="auto"/>
        <w:ind w:firstLine="708"/>
        <w:jc w:val="both"/>
        <w:rPr>
          <w:rFonts w:ascii="Tahoma" w:hAnsi="Tahoma" w:cs="Tahoma"/>
        </w:rPr>
      </w:pPr>
      <w:r w:rsidRPr="0050310D">
        <w:rPr>
          <w:rFonts w:ascii="Tahoma" w:hAnsi="Tahoma" w:cs="Tahoma"/>
        </w:rPr>
        <w:t xml:space="preserve">El Juez </w:t>
      </w:r>
      <w:r w:rsidR="001B6117" w:rsidRPr="0050310D">
        <w:rPr>
          <w:rFonts w:ascii="Tahoma" w:hAnsi="Tahoma" w:cs="Tahoma"/>
        </w:rPr>
        <w:t>de conocimiento</w:t>
      </w:r>
      <w:r w:rsidRPr="0050310D">
        <w:rPr>
          <w:rFonts w:ascii="Tahoma" w:hAnsi="Tahoma" w:cs="Tahoma"/>
        </w:rPr>
        <w:t xml:space="preserve"> negó el mandamiento ejecutivo bajo el argumento de que Porvenir S.A. no constituyó en mora al empleador demandado</w:t>
      </w:r>
      <w:r w:rsidR="00943F86" w:rsidRPr="0050310D">
        <w:rPr>
          <w:rFonts w:ascii="Tahoma" w:hAnsi="Tahoma" w:cs="Tahoma"/>
        </w:rPr>
        <w:t xml:space="preserve"> en los términos del Decreto 2633 de 1994</w:t>
      </w:r>
      <w:r w:rsidRPr="0050310D">
        <w:rPr>
          <w:rFonts w:ascii="Tahoma" w:hAnsi="Tahoma" w:cs="Tahoma"/>
        </w:rPr>
        <w:t xml:space="preserve">, pues según da cuenta la </w:t>
      </w:r>
      <w:r w:rsidR="00943F86" w:rsidRPr="0050310D">
        <w:rPr>
          <w:rFonts w:ascii="Tahoma" w:hAnsi="Tahoma" w:cs="Tahoma"/>
        </w:rPr>
        <w:t>constancia de la empresa de correo, el documento fue devuelto en razón a que la persona a notificar no vivía en la direcci</w:t>
      </w:r>
      <w:r w:rsidR="004D2570" w:rsidRPr="0050310D">
        <w:rPr>
          <w:rFonts w:ascii="Tahoma" w:hAnsi="Tahoma" w:cs="Tahoma"/>
        </w:rPr>
        <w:t>ón aportada; por lo tanto, como quiera que previo a elaborar la liquidación de los montos adeudados la administradora debía requerir al empleador</w:t>
      </w:r>
      <w:r w:rsidR="00943F86" w:rsidRPr="0050310D">
        <w:rPr>
          <w:rFonts w:ascii="Tahoma" w:hAnsi="Tahoma" w:cs="Tahoma"/>
        </w:rPr>
        <w:t xml:space="preserve"> </w:t>
      </w:r>
      <w:r w:rsidR="004D2570" w:rsidRPr="0050310D">
        <w:rPr>
          <w:rFonts w:ascii="Tahoma" w:hAnsi="Tahoma" w:cs="Tahoma"/>
        </w:rPr>
        <w:t>poniéndole en conocimiento la presunta mora, y ello no se ha llevado a cabo, no se encuentra debidamente constituido el título ejecutivo.</w:t>
      </w:r>
    </w:p>
    <w:p w:rsidR="0023776B" w:rsidRPr="00202349" w:rsidRDefault="0023776B" w:rsidP="00202349">
      <w:pPr>
        <w:spacing w:line="300" w:lineRule="auto"/>
        <w:rPr>
          <w:rFonts w:ascii="Tahoma" w:hAnsi="Tahoma" w:cs="Tahoma"/>
          <w:bCs/>
          <w:sz w:val="22"/>
        </w:rPr>
      </w:pPr>
    </w:p>
    <w:p w:rsidR="00F37868" w:rsidRPr="0050310D" w:rsidRDefault="00741F9E" w:rsidP="00202349">
      <w:pPr>
        <w:spacing w:line="300" w:lineRule="auto"/>
        <w:jc w:val="center"/>
        <w:rPr>
          <w:rFonts w:ascii="Tahoma" w:hAnsi="Tahoma" w:cs="Tahoma"/>
          <w:b/>
        </w:rPr>
      </w:pPr>
      <w:r w:rsidRPr="0050310D">
        <w:rPr>
          <w:rFonts w:ascii="Tahoma" w:hAnsi="Tahoma" w:cs="Tahoma"/>
          <w:b/>
        </w:rPr>
        <w:t>I</w:t>
      </w:r>
      <w:r w:rsidR="00F37868" w:rsidRPr="0050310D">
        <w:rPr>
          <w:rFonts w:ascii="Tahoma" w:hAnsi="Tahoma" w:cs="Tahoma"/>
          <w:b/>
        </w:rPr>
        <w:t>I</w:t>
      </w:r>
      <w:r w:rsidR="009754C0" w:rsidRPr="0050310D">
        <w:rPr>
          <w:rFonts w:ascii="Tahoma" w:hAnsi="Tahoma" w:cs="Tahoma"/>
          <w:b/>
        </w:rPr>
        <w:t>I</w:t>
      </w:r>
      <w:r w:rsidR="00F37868" w:rsidRPr="0050310D">
        <w:rPr>
          <w:rFonts w:ascii="Tahoma" w:hAnsi="Tahoma" w:cs="Tahoma"/>
          <w:b/>
        </w:rPr>
        <w:t>. FUNDAMENTOS DE LA APELACIÓN</w:t>
      </w:r>
    </w:p>
    <w:p w:rsidR="00F37868" w:rsidRPr="00202349" w:rsidRDefault="00F37868" w:rsidP="00202349">
      <w:pPr>
        <w:spacing w:line="300" w:lineRule="auto"/>
        <w:rPr>
          <w:rFonts w:ascii="Tahoma" w:hAnsi="Tahoma" w:cs="Tahoma"/>
          <w:bCs/>
          <w:sz w:val="22"/>
        </w:rPr>
      </w:pPr>
    </w:p>
    <w:p w:rsidR="00075BEA" w:rsidRPr="0050310D" w:rsidRDefault="00F37868" w:rsidP="00202349">
      <w:pPr>
        <w:widowControl w:val="0"/>
        <w:autoSpaceDE w:val="0"/>
        <w:autoSpaceDN w:val="0"/>
        <w:adjustRightInd w:val="0"/>
        <w:spacing w:line="300" w:lineRule="auto"/>
        <w:ind w:firstLine="708"/>
        <w:jc w:val="both"/>
        <w:rPr>
          <w:rFonts w:ascii="Tahoma" w:hAnsi="Tahoma" w:cs="Tahoma"/>
        </w:rPr>
      </w:pPr>
      <w:r w:rsidRPr="0050310D">
        <w:rPr>
          <w:rFonts w:ascii="Tahoma" w:hAnsi="Tahoma" w:cs="Tahoma"/>
        </w:rPr>
        <w:t>Inconforme con lo decidido</w:t>
      </w:r>
      <w:r w:rsidR="00560E3C" w:rsidRPr="0050310D">
        <w:rPr>
          <w:rFonts w:ascii="Tahoma" w:hAnsi="Tahoma" w:cs="Tahoma"/>
        </w:rPr>
        <w:t>,</w:t>
      </w:r>
      <w:r w:rsidRPr="0050310D">
        <w:rPr>
          <w:rFonts w:ascii="Tahoma" w:hAnsi="Tahoma" w:cs="Tahoma"/>
        </w:rPr>
        <w:t xml:space="preserve"> la parte </w:t>
      </w:r>
      <w:r w:rsidR="003B1C54" w:rsidRPr="0050310D">
        <w:rPr>
          <w:rFonts w:ascii="Tahoma" w:hAnsi="Tahoma" w:cs="Tahoma"/>
        </w:rPr>
        <w:t>ejecutante</w:t>
      </w:r>
      <w:r w:rsidRPr="0050310D">
        <w:rPr>
          <w:rFonts w:ascii="Tahoma" w:hAnsi="Tahoma" w:cs="Tahoma"/>
        </w:rPr>
        <w:t xml:space="preserve"> presentó recurso de apelación</w:t>
      </w:r>
      <w:r w:rsidR="00CB3933" w:rsidRPr="0050310D">
        <w:rPr>
          <w:rFonts w:ascii="Tahoma" w:hAnsi="Tahoma" w:cs="Tahoma"/>
        </w:rPr>
        <w:t xml:space="preserve"> </w:t>
      </w:r>
      <w:r w:rsidR="00075BEA" w:rsidRPr="0050310D">
        <w:rPr>
          <w:rFonts w:ascii="Tahoma" w:hAnsi="Tahoma" w:cs="Tahoma"/>
        </w:rPr>
        <w:t xml:space="preserve">arguyendo que cumplió con la obligación de constituir en mora al empleador, pues con la constancia de devolución expedida por </w:t>
      </w:r>
      <w:proofErr w:type="spellStart"/>
      <w:r w:rsidR="00075BEA" w:rsidRPr="0050310D">
        <w:rPr>
          <w:rFonts w:ascii="Tahoma" w:hAnsi="Tahoma" w:cs="Tahoma"/>
        </w:rPr>
        <w:t>Servientrega</w:t>
      </w:r>
      <w:proofErr w:type="spellEnd"/>
      <w:r w:rsidR="00075BEA" w:rsidRPr="0050310D">
        <w:rPr>
          <w:rFonts w:ascii="Tahoma" w:hAnsi="Tahoma" w:cs="Tahoma"/>
        </w:rPr>
        <w:t xml:space="preserve"> se comprueba que el requerimiento fue enviado a la dirección que reposa en la base de datos de Porvenir S.A., ya que la cooperativa demandada no se encuentra registrada en la cámara de comercio; sin embargo</w:t>
      </w:r>
      <w:r w:rsidR="00560E3C" w:rsidRPr="0050310D">
        <w:rPr>
          <w:rFonts w:ascii="Tahoma" w:hAnsi="Tahoma" w:cs="Tahoma"/>
        </w:rPr>
        <w:t>,</w:t>
      </w:r>
      <w:r w:rsidR="00075BEA" w:rsidRPr="0050310D">
        <w:rPr>
          <w:rFonts w:ascii="Tahoma" w:hAnsi="Tahoma" w:cs="Tahoma"/>
        </w:rPr>
        <w:t xml:space="preserve"> no pudo ser entregado porque </w:t>
      </w:r>
      <w:r w:rsidR="00560E3C" w:rsidRPr="0050310D">
        <w:rPr>
          <w:rFonts w:ascii="Tahoma" w:hAnsi="Tahoma" w:cs="Tahoma"/>
        </w:rPr>
        <w:t xml:space="preserve">según da cuenta el informe de </w:t>
      </w:r>
      <w:r w:rsidR="00557167" w:rsidRPr="0050310D">
        <w:rPr>
          <w:rFonts w:ascii="Tahoma" w:hAnsi="Tahoma" w:cs="Tahoma"/>
        </w:rPr>
        <w:t>esa</w:t>
      </w:r>
      <w:r w:rsidR="00560E3C" w:rsidRPr="0050310D">
        <w:rPr>
          <w:rFonts w:ascii="Tahoma" w:hAnsi="Tahoma" w:cs="Tahoma"/>
        </w:rPr>
        <w:t xml:space="preserve"> empresa de correo la accionada </w:t>
      </w:r>
      <w:r w:rsidR="00075BEA" w:rsidRPr="0050310D">
        <w:rPr>
          <w:rFonts w:ascii="Tahoma" w:hAnsi="Tahoma" w:cs="Tahoma"/>
        </w:rPr>
        <w:t>no vive ni labora ahí</w:t>
      </w:r>
      <w:r w:rsidR="003B35B0" w:rsidRPr="0050310D">
        <w:rPr>
          <w:rFonts w:ascii="Tahoma" w:hAnsi="Tahoma" w:cs="Tahoma"/>
        </w:rPr>
        <w:t xml:space="preserve">, situación que no puede atribuírsele a la </w:t>
      </w:r>
      <w:r w:rsidR="00560E3C" w:rsidRPr="0050310D">
        <w:rPr>
          <w:rFonts w:ascii="Tahoma" w:hAnsi="Tahoma" w:cs="Tahoma"/>
        </w:rPr>
        <w:t>AFP</w:t>
      </w:r>
      <w:r w:rsidR="003B35B0" w:rsidRPr="0050310D">
        <w:rPr>
          <w:rFonts w:ascii="Tahoma" w:hAnsi="Tahoma" w:cs="Tahoma"/>
        </w:rPr>
        <w:t>, la cual no está obligada a lo imposible, tal como lo ha sostenido este Tribunal.</w:t>
      </w:r>
    </w:p>
    <w:p w:rsidR="003B35B0" w:rsidRPr="00202349" w:rsidRDefault="003B35B0" w:rsidP="00202349">
      <w:pPr>
        <w:spacing w:line="300" w:lineRule="auto"/>
        <w:rPr>
          <w:rFonts w:ascii="Tahoma" w:hAnsi="Tahoma" w:cs="Tahoma"/>
          <w:bCs/>
          <w:sz w:val="22"/>
        </w:rPr>
      </w:pPr>
    </w:p>
    <w:p w:rsidR="003B35B0" w:rsidRPr="0050310D" w:rsidRDefault="00FC677B" w:rsidP="00202349">
      <w:pPr>
        <w:widowControl w:val="0"/>
        <w:autoSpaceDE w:val="0"/>
        <w:autoSpaceDN w:val="0"/>
        <w:adjustRightInd w:val="0"/>
        <w:spacing w:line="300" w:lineRule="auto"/>
        <w:ind w:firstLine="708"/>
        <w:jc w:val="both"/>
        <w:rPr>
          <w:rFonts w:ascii="Tahoma" w:hAnsi="Tahoma" w:cs="Tahoma"/>
        </w:rPr>
      </w:pPr>
      <w:r w:rsidRPr="0050310D">
        <w:rPr>
          <w:rFonts w:ascii="Tahoma" w:hAnsi="Tahoma" w:cs="Tahoma"/>
        </w:rPr>
        <w:t>Agregó que la falta de entre</w:t>
      </w:r>
      <w:r w:rsidR="00557167" w:rsidRPr="0050310D">
        <w:rPr>
          <w:rFonts w:ascii="Tahoma" w:hAnsi="Tahoma" w:cs="Tahoma"/>
        </w:rPr>
        <w:t>ga</w:t>
      </w:r>
      <w:r w:rsidRPr="0050310D">
        <w:rPr>
          <w:rFonts w:ascii="Tahoma" w:hAnsi="Tahoma" w:cs="Tahoma"/>
        </w:rPr>
        <w:t xml:space="preserve"> efectiva </w:t>
      </w:r>
      <w:r w:rsidR="00557167" w:rsidRPr="0050310D">
        <w:rPr>
          <w:rFonts w:ascii="Tahoma" w:hAnsi="Tahoma" w:cs="Tahoma"/>
        </w:rPr>
        <w:t>de</w:t>
      </w:r>
      <w:r w:rsidRPr="0050310D">
        <w:rPr>
          <w:rFonts w:ascii="Tahoma" w:hAnsi="Tahoma" w:cs="Tahoma"/>
        </w:rPr>
        <w:t xml:space="preserve">l requerimiento constituye culpa atribuible al </w:t>
      </w:r>
      <w:r w:rsidR="00FF30B2" w:rsidRPr="0050310D">
        <w:rPr>
          <w:rFonts w:ascii="Tahoma" w:hAnsi="Tahoma" w:cs="Tahoma"/>
        </w:rPr>
        <w:t>empleador</w:t>
      </w:r>
      <w:r w:rsidRPr="0050310D">
        <w:rPr>
          <w:rFonts w:ascii="Tahoma" w:hAnsi="Tahoma" w:cs="Tahoma"/>
        </w:rPr>
        <w:t xml:space="preserve">, quien está en le obligación de inscribirse en el registro único de </w:t>
      </w:r>
      <w:r w:rsidR="00FF30B2" w:rsidRPr="0050310D">
        <w:rPr>
          <w:rFonts w:ascii="Tahoma" w:hAnsi="Tahoma" w:cs="Tahoma"/>
        </w:rPr>
        <w:t>aportantes,</w:t>
      </w:r>
      <w:r w:rsidRPr="0050310D">
        <w:rPr>
          <w:rFonts w:ascii="Tahoma" w:hAnsi="Tahoma" w:cs="Tahoma"/>
        </w:rPr>
        <w:t xml:space="preserve"> como expresamente lo señala el artículo 5º del </w:t>
      </w:r>
      <w:r w:rsidR="002912C4" w:rsidRPr="0050310D">
        <w:rPr>
          <w:rFonts w:ascii="Tahoma" w:hAnsi="Tahoma" w:cs="Tahoma"/>
        </w:rPr>
        <w:t xml:space="preserve">Decreto </w:t>
      </w:r>
      <w:r w:rsidRPr="0050310D">
        <w:rPr>
          <w:rFonts w:ascii="Tahoma" w:hAnsi="Tahoma" w:cs="Tahoma"/>
        </w:rPr>
        <w:t>1406 de 1999</w:t>
      </w:r>
      <w:r w:rsidR="00557167" w:rsidRPr="0050310D">
        <w:rPr>
          <w:rFonts w:ascii="Tahoma" w:hAnsi="Tahoma" w:cs="Tahoma"/>
        </w:rPr>
        <w:t>; p</w:t>
      </w:r>
      <w:r w:rsidR="00622113" w:rsidRPr="0050310D">
        <w:rPr>
          <w:rFonts w:ascii="Tahoma" w:hAnsi="Tahoma" w:cs="Tahoma"/>
        </w:rPr>
        <w:t xml:space="preserve">or ello no puede permitirse que </w:t>
      </w:r>
      <w:r w:rsidR="00557167" w:rsidRPr="0050310D">
        <w:rPr>
          <w:rFonts w:ascii="Tahoma" w:hAnsi="Tahoma" w:cs="Tahoma"/>
        </w:rPr>
        <w:t xml:space="preserve">la accionada </w:t>
      </w:r>
      <w:r w:rsidR="00622113" w:rsidRPr="0050310D">
        <w:rPr>
          <w:rFonts w:ascii="Tahoma" w:hAnsi="Tahoma" w:cs="Tahoma"/>
        </w:rPr>
        <w:t xml:space="preserve">se beneficie de su propio error </w:t>
      </w:r>
      <w:r w:rsidR="00622113" w:rsidRPr="0050310D">
        <w:rPr>
          <w:rFonts w:ascii="Tahoma" w:hAnsi="Tahoma" w:cs="Tahoma"/>
        </w:rPr>
        <w:lastRenderedPageBreak/>
        <w:t>para excusarse del pago de los aportes a pensiones obligatorias vencidas.</w:t>
      </w:r>
    </w:p>
    <w:p w:rsidR="00720D2F" w:rsidRPr="00202349" w:rsidRDefault="00720D2F" w:rsidP="00202349">
      <w:pPr>
        <w:spacing w:line="300" w:lineRule="auto"/>
        <w:rPr>
          <w:rFonts w:ascii="Tahoma" w:hAnsi="Tahoma" w:cs="Tahoma"/>
          <w:bCs/>
          <w:sz w:val="22"/>
        </w:rPr>
      </w:pPr>
    </w:p>
    <w:p w:rsidR="00D3635B" w:rsidRPr="0050310D" w:rsidRDefault="00720D2F" w:rsidP="00202349">
      <w:pPr>
        <w:pStyle w:val="Ttulo4"/>
        <w:spacing w:line="300" w:lineRule="auto"/>
        <w:rPr>
          <w:rFonts w:ascii="Tahoma" w:hAnsi="Tahoma" w:cs="Tahoma"/>
          <w:spacing w:val="2"/>
          <w:szCs w:val="24"/>
          <w:u w:val="single"/>
        </w:rPr>
      </w:pPr>
      <w:r w:rsidRPr="0050310D">
        <w:rPr>
          <w:rFonts w:ascii="Tahoma" w:hAnsi="Tahoma" w:cs="Tahoma"/>
          <w:szCs w:val="24"/>
        </w:rPr>
        <w:t xml:space="preserve">IV.- </w:t>
      </w:r>
      <w:r w:rsidR="00D3635B" w:rsidRPr="0050310D">
        <w:rPr>
          <w:rFonts w:ascii="Tahoma" w:hAnsi="Tahoma" w:cs="Tahoma"/>
          <w:spacing w:val="2"/>
          <w:szCs w:val="24"/>
        </w:rPr>
        <w:t>CONSIDERACIONES</w:t>
      </w:r>
    </w:p>
    <w:p w:rsidR="00216556" w:rsidRPr="00202349" w:rsidRDefault="00216556" w:rsidP="00202349">
      <w:pPr>
        <w:spacing w:line="300" w:lineRule="auto"/>
        <w:rPr>
          <w:rFonts w:ascii="Tahoma" w:hAnsi="Tahoma" w:cs="Tahoma"/>
          <w:bCs/>
          <w:sz w:val="22"/>
        </w:rPr>
      </w:pPr>
    </w:p>
    <w:p w:rsidR="007D4D1B" w:rsidRPr="0050310D" w:rsidRDefault="007D4D1B" w:rsidP="00202349">
      <w:pPr>
        <w:pStyle w:val="Textoindependiente"/>
        <w:widowControl w:val="0"/>
        <w:numPr>
          <w:ilvl w:val="1"/>
          <w:numId w:val="11"/>
        </w:numPr>
        <w:tabs>
          <w:tab w:val="left" w:pos="1134"/>
        </w:tabs>
        <w:autoSpaceDE w:val="0"/>
        <w:autoSpaceDN w:val="0"/>
        <w:adjustRightInd w:val="0"/>
        <w:spacing w:after="0" w:line="300" w:lineRule="auto"/>
        <w:ind w:left="709" w:firstLine="0"/>
        <w:jc w:val="both"/>
        <w:rPr>
          <w:rFonts w:ascii="Tahoma" w:hAnsi="Tahoma" w:cs="Tahoma"/>
          <w:b/>
          <w:bCs/>
          <w:spacing w:val="2"/>
        </w:rPr>
      </w:pPr>
      <w:r w:rsidRPr="0050310D">
        <w:rPr>
          <w:rFonts w:ascii="Tahoma" w:hAnsi="Tahoma" w:cs="Tahoma"/>
          <w:b/>
          <w:bCs/>
          <w:spacing w:val="2"/>
        </w:rPr>
        <w:t>Problema</w:t>
      </w:r>
      <w:r w:rsidR="003F297E" w:rsidRPr="0050310D">
        <w:rPr>
          <w:rFonts w:ascii="Tahoma" w:hAnsi="Tahoma" w:cs="Tahoma"/>
          <w:b/>
          <w:bCs/>
          <w:spacing w:val="2"/>
        </w:rPr>
        <w:t>s</w:t>
      </w:r>
      <w:r w:rsidRPr="0050310D">
        <w:rPr>
          <w:rFonts w:ascii="Tahoma" w:hAnsi="Tahoma" w:cs="Tahoma"/>
          <w:b/>
          <w:bCs/>
          <w:spacing w:val="2"/>
        </w:rPr>
        <w:t xml:space="preserve"> jurídico</w:t>
      </w:r>
      <w:r w:rsidR="003F297E" w:rsidRPr="0050310D">
        <w:rPr>
          <w:rFonts w:ascii="Tahoma" w:hAnsi="Tahoma" w:cs="Tahoma"/>
          <w:b/>
          <w:bCs/>
          <w:spacing w:val="2"/>
        </w:rPr>
        <w:t>s</w:t>
      </w:r>
      <w:r w:rsidR="00622113" w:rsidRPr="0050310D">
        <w:rPr>
          <w:rFonts w:ascii="Tahoma" w:hAnsi="Tahoma" w:cs="Tahoma"/>
          <w:b/>
          <w:bCs/>
          <w:spacing w:val="2"/>
        </w:rPr>
        <w:t xml:space="preserve"> por resolver</w:t>
      </w:r>
    </w:p>
    <w:p w:rsidR="007D4D1B" w:rsidRPr="00202349" w:rsidRDefault="007D4D1B" w:rsidP="00202349">
      <w:pPr>
        <w:spacing w:line="300" w:lineRule="auto"/>
        <w:rPr>
          <w:rFonts w:ascii="Tahoma" w:hAnsi="Tahoma" w:cs="Tahoma"/>
          <w:bCs/>
          <w:sz w:val="22"/>
        </w:rPr>
      </w:pPr>
    </w:p>
    <w:p w:rsidR="00C3770A" w:rsidRPr="004F1126" w:rsidRDefault="008A1F25" w:rsidP="00202349">
      <w:pPr>
        <w:widowControl w:val="0"/>
        <w:autoSpaceDE w:val="0"/>
        <w:autoSpaceDN w:val="0"/>
        <w:adjustRightInd w:val="0"/>
        <w:spacing w:line="300" w:lineRule="auto"/>
        <w:ind w:firstLine="708"/>
        <w:jc w:val="both"/>
        <w:rPr>
          <w:rFonts w:ascii="Tahoma" w:hAnsi="Tahoma" w:cs="Tahoma"/>
        </w:rPr>
      </w:pPr>
      <w:r w:rsidRPr="004F1126">
        <w:rPr>
          <w:rFonts w:ascii="Tahoma" w:hAnsi="Tahoma" w:cs="Tahoma"/>
        </w:rPr>
        <w:t>¿</w:t>
      </w:r>
      <w:r w:rsidR="00622113" w:rsidRPr="004F1126">
        <w:rPr>
          <w:rFonts w:ascii="Tahoma" w:hAnsi="Tahoma" w:cs="Tahoma"/>
        </w:rPr>
        <w:t>Es factible librar mandamiento de pago a pesar de que</w:t>
      </w:r>
      <w:r w:rsidR="002B79BD" w:rsidRPr="004F1126">
        <w:rPr>
          <w:rFonts w:ascii="Tahoma" w:hAnsi="Tahoma" w:cs="Tahoma"/>
        </w:rPr>
        <w:t xml:space="preserve"> la AFP ejecutante no pudo poner de presente al empleador incumplido los periodos de cotización adeudados?</w:t>
      </w:r>
    </w:p>
    <w:p w:rsidR="008B2772" w:rsidRPr="00202349" w:rsidRDefault="008B2772" w:rsidP="00202349">
      <w:pPr>
        <w:spacing w:line="300" w:lineRule="auto"/>
        <w:rPr>
          <w:rFonts w:ascii="Tahoma" w:hAnsi="Tahoma" w:cs="Tahoma"/>
          <w:bCs/>
          <w:sz w:val="22"/>
        </w:rPr>
      </w:pPr>
    </w:p>
    <w:p w:rsidR="00F04056" w:rsidRPr="0050310D" w:rsidRDefault="00304325" w:rsidP="00202349">
      <w:pPr>
        <w:pStyle w:val="Textoindependiente"/>
        <w:widowControl w:val="0"/>
        <w:numPr>
          <w:ilvl w:val="1"/>
          <w:numId w:val="11"/>
        </w:numPr>
        <w:tabs>
          <w:tab w:val="left" w:pos="1134"/>
        </w:tabs>
        <w:autoSpaceDE w:val="0"/>
        <w:autoSpaceDN w:val="0"/>
        <w:adjustRightInd w:val="0"/>
        <w:spacing w:after="0" w:line="300" w:lineRule="auto"/>
        <w:ind w:left="709" w:firstLine="0"/>
        <w:jc w:val="both"/>
        <w:rPr>
          <w:rFonts w:ascii="Tahoma" w:hAnsi="Tahoma" w:cs="Tahoma"/>
          <w:b/>
          <w:bCs/>
          <w:spacing w:val="2"/>
        </w:rPr>
      </w:pPr>
      <w:r w:rsidRPr="0050310D">
        <w:rPr>
          <w:rFonts w:ascii="Tahoma" w:hAnsi="Tahoma" w:cs="Tahoma"/>
          <w:b/>
          <w:bCs/>
          <w:spacing w:val="2"/>
        </w:rPr>
        <w:t>Constitución en mora del empleador incumplido en el pago de aportes a seguridad social</w:t>
      </w:r>
    </w:p>
    <w:p w:rsidR="00F04056" w:rsidRPr="00202349" w:rsidRDefault="00F04056" w:rsidP="00202349">
      <w:pPr>
        <w:spacing w:line="300" w:lineRule="auto"/>
        <w:rPr>
          <w:rFonts w:ascii="Tahoma" w:hAnsi="Tahoma" w:cs="Tahoma"/>
          <w:bCs/>
          <w:sz w:val="22"/>
        </w:rPr>
      </w:pPr>
    </w:p>
    <w:p w:rsidR="00304325" w:rsidRPr="0050310D" w:rsidRDefault="005A4B1F" w:rsidP="00202349">
      <w:pPr>
        <w:pStyle w:val="Textoindependiente"/>
        <w:widowControl w:val="0"/>
        <w:autoSpaceDE w:val="0"/>
        <w:autoSpaceDN w:val="0"/>
        <w:adjustRightInd w:val="0"/>
        <w:spacing w:after="0" w:line="300" w:lineRule="auto"/>
        <w:ind w:firstLine="709"/>
        <w:jc w:val="both"/>
        <w:rPr>
          <w:rFonts w:ascii="Tahoma" w:hAnsi="Tahoma" w:cs="Tahoma"/>
          <w:bCs/>
          <w:spacing w:val="2"/>
        </w:rPr>
      </w:pPr>
      <w:r w:rsidRPr="0050310D">
        <w:rPr>
          <w:rFonts w:ascii="Tahoma" w:hAnsi="Tahoma" w:cs="Tahoma"/>
          <w:bCs/>
          <w:spacing w:val="2"/>
        </w:rPr>
        <w:t xml:space="preserve">En relación con el cobro </w:t>
      </w:r>
      <w:r w:rsidR="00557167" w:rsidRPr="0050310D">
        <w:rPr>
          <w:rFonts w:ascii="Tahoma" w:hAnsi="Tahoma" w:cs="Tahoma"/>
          <w:bCs/>
          <w:spacing w:val="2"/>
        </w:rPr>
        <w:t>de periodos en mora por cuenta de las administradora</w:t>
      </w:r>
      <w:r w:rsidR="00AA7C3F" w:rsidRPr="0050310D">
        <w:rPr>
          <w:rFonts w:ascii="Tahoma" w:hAnsi="Tahoma" w:cs="Tahoma"/>
          <w:bCs/>
          <w:spacing w:val="2"/>
        </w:rPr>
        <w:t>s</w:t>
      </w:r>
      <w:r w:rsidR="00557167" w:rsidRPr="0050310D">
        <w:rPr>
          <w:rFonts w:ascii="Tahoma" w:hAnsi="Tahoma" w:cs="Tahoma"/>
          <w:bCs/>
          <w:spacing w:val="2"/>
        </w:rPr>
        <w:t xml:space="preserve"> del </w:t>
      </w:r>
      <w:r w:rsidR="00AA7C3F" w:rsidRPr="0050310D">
        <w:rPr>
          <w:rFonts w:ascii="Tahoma" w:hAnsi="Tahoma" w:cs="Tahoma"/>
          <w:bCs/>
          <w:spacing w:val="2"/>
        </w:rPr>
        <w:t xml:space="preserve">sistema </w:t>
      </w:r>
      <w:r w:rsidR="00557167" w:rsidRPr="0050310D">
        <w:rPr>
          <w:rFonts w:ascii="Tahoma" w:hAnsi="Tahoma" w:cs="Tahoma"/>
          <w:bCs/>
          <w:spacing w:val="2"/>
        </w:rPr>
        <w:t xml:space="preserve">de seguridad social, </w:t>
      </w:r>
      <w:r w:rsidRPr="0050310D">
        <w:rPr>
          <w:rFonts w:ascii="Tahoma" w:hAnsi="Tahoma" w:cs="Tahoma"/>
          <w:bCs/>
          <w:spacing w:val="2"/>
        </w:rPr>
        <w:t>a través de la jurisdicción ordinaria, esta</w:t>
      </w:r>
      <w:r w:rsidR="00F04056" w:rsidRPr="0050310D">
        <w:rPr>
          <w:rFonts w:ascii="Tahoma" w:hAnsi="Tahoma" w:cs="Tahoma"/>
          <w:bCs/>
          <w:spacing w:val="2"/>
        </w:rPr>
        <w:t xml:space="preserve">blece el </w:t>
      </w:r>
      <w:r w:rsidRPr="0050310D">
        <w:rPr>
          <w:rFonts w:ascii="Tahoma" w:hAnsi="Tahoma" w:cs="Tahoma"/>
          <w:bCs/>
          <w:spacing w:val="2"/>
        </w:rPr>
        <w:t xml:space="preserve">inciso segundo del artículo 5º del Decreto 2633 de 1994 </w:t>
      </w:r>
      <w:r w:rsidRPr="0050310D">
        <w:rPr>
          <w:rFonts w:ascii="Tahoma" w:hAnsi="Tahoma" w:cs="Tahoma"/>
          <w:bCs/>
          <w:i/>
          <w:spacing w:val="2"/>
        </w:rPr>
        <w:t>-</w:t>
      </w:r>
      <w:r w:rsidRPr="0050310D">
        <w:rPr>
          <w:rFonts w:ascii="Tahoma" w:hAnsi="Tahoma" w:cs="Tahoma"/>
          <w:bCs/>
          <w:i/>
          <w:color w:val="000000"/>
        </w:rPr>
        <w:t>por el cual se reglamentaron los artículos 24 y 57 de la Ley 100 de 1993-</w:t>
      </w:r>
      <w:r w:rsidRPr="0050310D">
        <w:rPr>
          <w:rFonts w:ascii="Tahoma" w:hAnsi="Tahoma" w:cs="Tahoma"/>
          <w:bCs/>
          <w:color w:val="000000"/>
        </w:rPr>
        <w:t xml:space="preserve"> </w:t>
      </w:r>
      <w:r w:rsidRPr="0050310D">
        <w:rPr>
          <w:rFonts w:ascii="Tahoma" w:hAnsi="Tahoma" w:cs="Tahoma"/>
          <w:bCs/>
          <w:spacing w:val="2"/>
        </w:rPr>
        <w:t xml:space="preserve">que </w:t>
      </w:r>
      <w:r w:rsidRPr="0050310D">
        <w:rPr>
          <w:rFonts w:ascii="Arial Narrow" w:hAnsi="Arial Narrow" w:cs="Tahoma"/>
          <w:bCs/>
          <w:i/>
          <w:spacing w:val="2"/>
        </w:rPr>
        <w:t>“</w:t>
      </w:r>
      <w:r w:rsidRPr="0050310D">
        <w:rPr>
          <w:rFonts w:ascii="Arial Narrow" w:hAnsi="Arial Narrow" w:cs="Tahoma"/>
          <w:i/>
          <w:color w:val="000000"/>
        </w:rPr>
        <w:t>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la Ley 100 de 1993.”</w:t>
      </w:r>
      <w:r w:rsidRPr="0050310D">
        <w:rPr>
          <w:rFonts w:ascii="Tahoma" w:hAnsi="Tahoma" w:cs="Tahoma"/>
          <w:color w:val="000000"/>
        </w:rPr>
        <w:t> </w:t>
      </w:r>
    </w:p>
    <w:p w:rsidR="00304325" w:rsidRPr="00202349" w:rsidRDefault="00304325" w:rsidP="00202349">
      <w:pPr>
        <w:spacing w:line="300" w:lineRule="auto"/>
        <w:rPr>
          <w:rFonts w:ascii="Tahoma" w:hAnsi="Tahoma" w:cs="Tahoma"/>
          <w:bCs/>
          <w:sz w:val="22"/>
        </w:rPr>
      </w:pPr>
    </w:p>
    <w:p w:rsidR="00AE549A" w:rsidRPr="0050310D" w:rsidRDefault="00AE549A" w:rsidP="00202349">
      <w:pPr>
        <w:widowControl w:val="0"/>
        <w:autoSpaceDE w:val="0"/>
        <w:autoSpaceDN w:val="0"/>
        <w:adjustRightInd w:val="0"/>
        <w:spacing w:line="300" w:lineRule="auto"/>
        <w:ind w:firstLine="709"/>
        <w:jc w:val="both"/>
        <w:rPr>
          <w:rFonts w:ascii="Tahoma" w:hAnsi="Tahoma" w:cs="Tahoma"/>
        </w:rPr>
      </w:pPr>
      <w:r w:rsidRPr="0050310D">
        <w:rPr>
          <w:rFonts w:ascii="Tahoma" w:hAnsi="Tahoma" w:cs="Tahoma"/>
        </w:rPr>
        <w:t xml:space="preserve">Sobre el particular, esta Corporación mediante providencia del 8 de junio de 2017, proferida dentro del proceso radicado con el número 2016-00230, M.P. Francisco Javier Tamayo Tabares, señaló que las obligaciones derivadas del sistema de seguridad social pueden ser cobradas a través de un proceso ejecutivo laboral, de conformidad con los artículos 100 y subsiguientes del CPLSS, como quiera que emergen de una relación laboral. </w:t>
      </w:r>
      <w:r w:rsidR="00153960" w:rsidRPr="0050310D">
        <w:rPr>
          <w:rFonts w:ascii="Tahoma" w:hAnsi="Tahoma" w:cs="Tahoma"/>
        </w:rPr>
        <w:t>Asimismo, se indicó en el auto en mención</w:t>
      </w:r>
      <w:r w:rsidR="00AA7C3F" w:rsidRPr="0050310D">
        <w:rPr>
          <w:rFonts w:ascii="Tahoma" w:hAnsi="Tahoma" w:cs="Tahoma"/>
        </w:rPr>
        <w:t xml:space="preserve"> lo que a continuación se transcribe</w:t>
      </w:r>
      <w:r w:rsidR="00153960" w:rsidRPr="0050310D">
        <w:rPr>
          <w:rFonts w:ascii="Tahoma" w:hAnsi="Tahoma" w:cs="Tahoma"/>
        </w:rPr>
        <w:t>:</w:t>
      </w:r>
    </w:p>
    <w:p w:rsidR="00153960" w:rsidRPr="00202349" w:rsidRDefault="00153960" w:rsidP="00202349">
      <w:pPr>
        <w:spacing w:line="300" w:lineRule="auto"/>
        <w:rPr>
          <w:rFonts w:ascii="Tahoma" w:hAnsi="Tahoma" w:cs="Tahoma"/>
          <w:bCs/>
          <w:sz w:val="22"/>
        </w:rPr>
      </w:pPr>
    </w:p>
    <w:p w:rsidR="00153960" w:rsidRPr="0050310D" w:rsidRDefault="00153960" w:rsidP="004F1126">
      <w:pPr>
        <w:ind w:left="426" w:right="420"/>
        <w:jc w:val="both"/>
        <w:rPr>
          <w:rFonts w:ascii="Arial Narrow" w:hAnsi="Arial Narrow" w:cs="Arial"/>
        </w:rPr>
      </w:pPr>
      <w:r w:rsidRPr="0050310D">
        <w:rPr>
          <w:rFonts w:ascii="Arial Narrow" w:hAnsi="Arial Narrow" w:cs="Arial"/>
        </w:rPr>
        <w:t>“El t</w:t>
      </w:r>
      <w:r w:rsidR="00AA7C3F" w:rsidRPr="0050310D">
        <w:rPr>
          <w:rFonts w:ascii="Arial Narrow" w:hAnsi="Arial Narrow" w:cs="Arial"/>
        </w:rPr>
        <w:t>í</w:t>
      </w:r>
      <w:r w:rsidRPr="0050310D">
        <w:rPr>
          <w:rFonts w:ascii="Arial Narrow" w:hAnsi="Arial Narrow" w:cs="Arial"/>
        </w:rPr>
        <w:t>tulo ejecutivo que sustente tal persecución, conforme a los lineamientos del canon 24 de la Ley 100 de1993, está conformado por la liquidación mediante la cual se determine el valor adeudado, pero además los artículos 2º y 5º del Decreto 2633 de 1994 señala</w:t>
      </w:r>
      <w:r w:rsidR="00AA7C3F" w:rsidRPr="0050310D">
        <w:rPr>
          <w:rFonts w:ascii="Arial Narrow" w:hAnsi="Arial Narrow" w:cs="Arial"/>
        </w:rPr>
        <w:t>n</w:t>
      </w:r>
      <w:r w:rsidRPr="0050310D">
        <w:rPr>
          <w:rFonts w:ascii="Arial Narrow" w:hAnsi="Arial Narrow" w:cs="Arial"/>
        </w:rPr>
        <w:t xml:space="preserve"> que es necesaria la previa constitución en mora del empleador, exigencia que se cumple con el envío de una comunicación por parte del Fondo, en la cual se le requiera el pago de las cotizaciones insolutas, escrito que debe ir acompañado de un informe sobre el valor de lo adeudado y debidamente discriminado con los períodos en mora y los réditos. La constitución en mora se configura vencidos los 15 días siguientes al envío de la comunicación y ese acto, junto a la liquidación que efectúe el Fondo, conforman el sustento del recaudo ejecutivo.</w:t>
      </w:r>
    </w:p>
    <w:p w:rsidR="00153960" w:rsidRPr="0050310D" w:rsidRDefault="00153960" w:rsidP="004F1126">
      <w:pPr>
        <w:ind w:left="426" w:right="420"/>
        <w:jc w:val="both"/>
        <w:rPr>
          <w:rFonts w:ascii="Arial Narrow" w:hAnsi="Arial Narrow" w:cs="Arial"/>
        </w:rPr>
      </w:pPr>
    </w:p>
    <w:p w:rsidR="00153960" w:rsidRPr="0050310D" w:rsidRDefault="00153960" w:rsidP="004F1126">
      <w:pPr>
        <w:ind w:left="426" w:right="420"/>
        <w:jc w:val="both"/>
        <w:rPr>
          <w:rFonts w:ascii="Arial Narrow" w:hAnsi="Arial Narrow" w:cs="Arial"/>
        </w:rPr>
      </w:pPr>
      <w:r w:rsidRPr="0050310D">
        <w:rPr>
          <w:rFonts w:ascii="Arial Narrow" w:hAnsi="Arial Narrow" w:cs="Arial"/>
        </w:rPr>
        <w:t xml:space="preserve">Pero tal requerimiento, además, debe cumplir con unas condiciones especiales para entenderse debidamente surtido y conformado el respectivo título ejecutivo. De un lado, es indispensable que el escrito mediante el cual se conmina al empleador a cumplir sus obligaciones esté acompañado de una liquidación provisoria en la que conste </w:t>
      </w:r>
      <w:r w:rsidRPr="0050310D">
        <w:rPr>
          <w:rFonts w:ascii="Arial Narrow" w:hAnsi="Arial Narrow" w:cs="Arial"/>
        </w:rPr>
        <w:lastRenderedPageBreak/>
        <w:t xml:space="preserve">detalladamente por qué trabajadores y qué ciclos se adeudan. Ello, con el fin de que el requerido tenga la posibilidad de conocer y controvertir dichas situaciones y, de ser el caso, entrar a acreditarle a la entidad que ya cumplió o que no tenía la obligación de hacerlo o simplemente para proceder a pagar. Tal liquidación, además, debe guardar congruencia con la que se aporta como sustento del recaudo ejecutivo, es decir, no puede existir una diferencia sustancial, como la inclusión de nuevos trabajadores o de nuevos periodos, sino que debe haber igualdad entre los afiliados, los períodos y los montos de capital perseguidos, salvo obviamente que en la liquidación definitiva que emita la AFP para proceder a la ejecución, se persigan menos de las obligaciones requeridas al empleador. Ahora, en cuanto a los réditos moratorios, obviamente el valor cambia diariamente, pues cada día de tardanza incrementa su monto, por lo que tal valor entre la liquidación que acompaña el requerimiento al empleador y la liquidación definitiva que presta mérito ejecutivo, necesariamente va a arrojar una diferencia que sin duda encuentra plena justificación. Finalmente, el requerimiento debe ser puesto en conocimiento del empleador, pues es por medio de esta comunicación efectiva que a éste se le garantiza la posibilidad de contradicción y se le constituye en mora.” </w:t>
      </w:r>
    </w:p>
    <w:p w:rsidR="00153960" w:rsidRPr="00202349" w:rsidRDefault="00153960" w:rsidP="00202349">
      <w:pPr>
        <w:spacing w:line="300" w:lineRule="auto"/>
        <w:rPr>
          <w:rFonts w:ascii="Tahoma" w:hAnsi="Tahoma" w:cs="Tahoma"/>
          <w:bCs/>
          <w:sz w:val="22"/>
        </w:rPr>
      </w:pPr>
    </w:p>
    <w:p w:rsidR="00153960" w:rsidRPr="0050310D" w:rsidRDefault="00153960" w:rsidP="00202349">
      <w:pPr>
        <w:pStyle w:val="Textoindependiente"/>
        <w:widowControl w:val="0"/>
        <w:numPr>
          <w:ilvl w:val="1"/>
          <w:numId w:val="11"/>
        </w:numPr>
        <w:autoSpaceDE w:val="0"/>
        <w:autoSpaceDN w:val="0"/>
        <w:adjustRightInd w:val="0"/>
        <w:spacing w:after="0" w:line="300" w:lineRule="auto"/>
        <w:ind w:left="709" w:firstLine="0"/>
        <w:jc w:val="both"/>
        <w:rPr>
          <w:rFonts w:ascii="Tahoma" w:hAnsi="Tahoma" w:cs="Tahoma"/>
          <w:b/>
        </w:rPr>
      </w:pPr>
      <w:r w:rsidRPr="0050310D">
        <w:rPr>
          <w:rFonts w:ascii="Tahoma" w:hAnsi="Tahoma" w:cs="Tahoma"/>
          <w:b/>
        </w:rPr>
        <w:t>De la imposibilidad de entregar al empleador la comunicación por la cual se lo constituye en mora</w:t>
      </w:r>
    </w:p>
    <w:p w:rsidR="00153960" w:rsidRPr="00202349" w:rsidRDefault="00153960" w:rsidP="00202349">
      <w:pPr>
        <w:spacing w:line="300" w:lineRule="auto"/>
        <w:rPr>
          <w:rFonts w:ascii="Tahoma" w:hAnsi="Tahoma" w:cs="Tahoma"/>
          <w:bCs/>
          <w:sz w:val="22"/>
        </w:rPr>
      </w:pPr>
    </w:p>
    <w:p w:rsidR="00715BB5" w:rsidRPr="0050310D" w:rsidRDefault="00AA7C3F" w:rsidP="00202349">
      <w:pPr>
        <w:spacing w:line="300" w:lineRule="auto"/>
        <w:ind w:right="51" w:firstLine="709"/>
        <w:jc w:val="both"/>
        <w:rPr>
          <w:rFonts w:ascii="Tahoma" w:hAnsi="Tahoma" w:cs="Tahoma"/>
        </w:rPr>
      </w:pPr>
      <w:r w:rsidRPr="0050310D">
        <w:rPr>
          <w:rFonts w:ascii="Tahoma" w:hAnsi="Tahoma" w:cs="Tahoma"/>
        </w:rPr>
        <w:t>Por otra parte</w:t>
      </w:r>
      <w:r w:rsidR="00715BB5" w:rsidRPr="0050310D">
        <w:rPr>
          <w:rFonts w:ascii="Tahoma" w:hAnsi="Tahoma" w:cs="Tahoma"/>
        </w:rPr>
        <w:t xml:space="preserve">, en la aludida providencia también se hizo alusión a aquellos eventos en los </w:t>
      </w:r>
      <w:r w:rsidR="003C4253" w:rsidRPr="0050310D">
        <w:rPr>
          <w:rFonts w:ascii="Tahoma" w:hAnsi="Tahoma" w:cs="Tahoma"/>
        </w:rPr>
        <w:t xml:space="preserve">que no es posible comunicar al empleador la deuda que tiene con la administradora de pensiones, refiriendo que la falta de comunicación del cambio de domicilio a las entidades respectivas no puede convertirse en un obstáculo para el cobro </w:t>
      </w:r>
      <w:r w:rsidRPr="0050310D">
        <w:rPr>
          <w:rFonts w:ascii="Tahoma" w:hAnsi="Tahoma" w:cs="Tahoma"/>
        </w:rPr>
        <w:t>ejecutivo</w:t>
      </w:r>
      <w:r w:rsidR="003C4253" w:rsidRPr="0050310D">
        <w:rPr>
          <w:rFonts w:ascii="Tahoma" w:hAnsi="Tahoma" w:cs="Tahoma"/>
        </w:rPr>
        <w:t>. Así se expuso en aquella oportunidad:</w:t>
      </w:r>
    </w:p>
    <w:p w:rsidR="00715BB5" w:rsidRPr="00202349" w:rsidRDefault="00715BB5" w:rsidP="00202349">
      <w:pPr>
        <w:spacing w:line="300" w:lineRule="auto"/>
        <w:rPr>
          <w:rFonts w:ascii="Tahoma" w:hAnsi="Tahoma" w:cs="Tahoma"/>
          <w:bCs/>
          <w:sz w:val="22"/>
        </w:rPr>
      </w:pPr>
    </w:p>
    <w:p w:rsidR="00153960" w:rsidRPr="0050310D" w:rsidRDefault="00153960" w:rsidP="004F1126">
      <w:pPr>
        <w:ind w:left="426" w:right="420"/>
        <w:jc w:val="both"/>
        <w:rPr>
          <w:rFonts w:ascii="Arial Narrow" w:hAnsi="Arial Narrow" w:cs="Arial"/>
        </w:rPr>
      </w:pPr>
      <w:r w:rsidRPr="0050310D">
        <w:rPr>
          <w:rFonts w:ascii="Arial Narrow" w:hAnsi="Arial Narrow" w:cs="Arial"/>
        </w:rPr>
        <w:t>“Ahora, no puede exigírsele al Fondo de Pensiones que tal documento se entregue efectivamente al empleador moroso, así este haya cambiado de domicilio y no hubiere reportado tal modificación a la AFP o no hubiere efectuado la respectiva modificación en su folio de registro mercantil, pues implicaría imponer exigencias imposibles o ampliamente desproporcionadas y a la par facilitar las labores elusivas de los empleadores. Por ello, entiende esta Sala cumplida tal exigencia con la remisión del requerimiento por correo certificado a la dirección que se hubiere informado a la entidad de seguridad social o que figure como dirección de notificaciones en el respectivo certificado de existencia y representación legal.</w:t>
      </w:r>
    </w:p>
    <w:p w:rsidR="00153960" w:rsidRPr="0050310D" w:rsidRDefault="00153960" w:rsidP="004F1126">
      <w:pPr>
        <w:ind w:left="426" w:right="420"/>
        <w:jc w:val="both"/>
        <w:rPr>
          <w:rFonts w:ascii="Arial Narrow" w:hAnsi="Arial Narrow" w:cs="Arial"/>
        </w:rPr>
      </w:pPr>
    </w:p>
    <w:p w:rsidR="00153960" w:rsidRPr="0050310D" w:rsidRDefault="00153960" w:rsidP="004F1126">
      <w:pPr>
        <w:ind w:left="426" w:right="420"/>
        <w:jc w:val="both"/>
        <w:rPr>
          <w:rFonts w:ascii="Arial Narrow" w:hAnsi="Arial Narrow" w:cs="Arial"/>
        </w:rPr>
      </w:pPr>
      <w:r w:rsidRPr="0050310D">
        <w:rPr>
          <w:rFonts w:ascii="Arial Narrow" w:hAnsi="Arial Narrow" w:cs="Arial"/>
        </w:rPr>
        <w:t>Tal requerimiento, dígase de una vez, no puede agotarse conforme al canon 423 del CGP como lo propone la parte apelante, pues se trata del primero de los pasos que debe dar la AFP para poder acudir al cobro judicial de los aportes y, su agotamiento como tal, es parte ineludible del título ejecutivo.”</w:t>
      </w:r>
    </w:p>
    <w:p w:rsidR="00153960" w:rsidRPr="00202349" w:rsidRDefault="00153960" w:rsidP="00202349">
      <w:pPr>
        <w:spacing w:line="300" w:lineRule="auto"/>
        <w:rPr>
          <w:rFonts w:ascii="Tahoma" w:hAnsi="Tahoma" w:cs="Tahoma"/>
          <w:bCs/>
          <w:sz w:val="22"/>
        </w:rPr>
      </w:pPr>
    </w:p>
    <w:p w:rsidR="004619F0" w:rsidRPr="0050310D" w:rsidRDefault="004619F0" w:rsidP="00202349">
      <w:pPr>
        <w:pStyle w:val="Textoindependiente"/>
        <w:widowControl w:val="0"/>
        <w:numPr>
          <w:ilvl w:val="1"/>
          <w:numId w:val="11"/>
        </w:numPr>
        <w:autoSpaceDE w:val="0"/>
        <w:autoSpaceDN w:val="0"/>
        <w:adjustRightInd w:val="0"/>
        <w:spacing w:after="0" w:line="300" w:lineRule="auto"/>
        <w:ind w:left="709" w:firstLine="0"/>
        <w:jc w:val="both"/>
        <w:rPr>
          <w:rFonts w:ascii="Tahoma" w:hAnsi="Tahoma" w:cs="Tahoma"/>
          <w:b/>
        </w:rPr>
      </w:pPr>
      <w:r w:rsidRPr="0050310D">
        <w:rPr>
          <w:rFonts w:ascii="Tahoma" w:hAnsi="Tahoma" w:cs="Tahoma"/>
          <w:b/>
        </w:rPr>
        <w:t>Caso concreto</w:t>
      </w:r>
    </w:p>
    <w:p w:rsidR="004619F0" w:rsidRPr="00202349" w:rsidRDefault="004619F0" w:rsidP="00202349">
      <w:pPr>
        <w:spacing w:line="300" w:lineRule="auto"/>
        <w:rPr>
          <w:rFonts w:ascii="Tahoma" w:hAnsi="Tahoma" w:cs="Tahoma"/>
          <w:bCs/>
          <w:sz w:val="22"/>
        </w:rPr>
      </w:pPr>
    </w:p>
    <w:p w:rsidR="007F7568" w:rsidRPr="0050310D" w:rsidRDefault="00E051A4" w:rsidP="00202349">
      <w:pPr>
        <w:widowControl w:val="0"/>
        <w:autoSpaceDE w:val="0"/>
        <w:autoSpaceDN w:val="0"/>
        <w:adjustRightInd w:val="0"/>
        <w:spacing w:line="300" w:lineRule="auto"/>
        <w:ind w:firstLine="709"/>
        <w:jc w:val="both"/>
        <w:rPr>
          <w:rFonts w:ascii="Tahoma" w:hAnsi="Tahoma" w:cs="Tahoma"/>
        </w:rPr>
      </w:pPr>
      <w:r w:rsidRPr="0050310D">
        <w:rPr>
          <w:rFonts w:ascii="Tahoma" w:hAnsi="Tahoma" w:cs="Tahoma"/>
        </w:rPr>
        <w:t>Revisados los argumentos expuestos</w:t>
      </w:r>
      <w:r w:rsidR="00CA6EA2" w:rsidRPr="0050310D">
        <w:rPr>
          <w:rFonts w:ascii="Tahoma" w:hAnsi="Tahoma" w:cs="Tahoma"/>
        </w:rPr>
        <w:t xml:space="preserve"> por la parte recurrente</w:t>
      </w:r>
      <w:r w:rsidRPr="0050310D">
        <w:rPr>
          <w:rFonts w:ascii="Tahoma" w:hAnsi="Tahoma" w:cs="Tahoma"/>
        </w:rPr>
        <w:t xml:space="preserve"> </w:t>
      </w:r>
      <w:r w:rsidR="00CA6EA2" w:rsidRPr="0050310D">
        <w:rPr>
          <w:rFonts w:ascii="Tahoma" w:hAnsi="Tahoma" w:cs="Tahoma"/>
        </w:rPr>
        <w:t>podría concluir la Sala que, en principio, se dan los presupuestos para librar el mandamiento de pago en contra de la Cooperativa de Trabajo Asociado Acción Humana, como quiera q</w:t>
      </w:r>
      <w:r w:rsidR="002B4471" w:rsidRPr="0050310D">
        <w:rPr>
          <w:rFonts w:ascii="Tahoma" w:hAnsi="Tahoma" w:cs="Tahoma"/>
        </w:rPr>
        <w:t>ue emitió una comunicación dirigida a esta última haciendo una relación de los valores que</w:t>
      </w:r>
      <w:r w:rsidR="007F7568" w:rsidRPr="0050310D">
        <w:rPr>
          <w:rFonts w:ascii="Tahoma" w:hAnsi="Tahoma" w:cs="Tahoma"/>
        </w:rPr>
        <w:t xml:space="preserve"> </w:t>
      </w:r>
      <w:r w:rsidR="002B4471" w:rsidRPr="0050310D">
        <w:rPr>
          <w:rFonts w:ascii="Tahoma" w:hAnsi="Tahoma" w:cs="Tahoma"/>
        </w:rPr>
        <w:t>adeuda por concepto de aportes pensionales de sus trabajadores afiliados</w:t>
      </w:r>
      <w:r w:rsidR="007F7568" w:rsidRPr="0050310D">
        <w:rPr>
          <w:rFonts w:ascii="Tahoma" w:hAnsi="Tahoma" w:cs="Tahoma"/>
        </w:rPr>
        <w:t>, información con la que posteriormente procedería a efectuar la liquidación que se presentó como título ejecutivo.</w:t>
      </w:r>
    </w:p>
    <w:p w:rsidR="007F7568" w:rsidRPr="00202349" w:rsidRDefault="007F7568" w:rsidP="00202349">
      <w:pPr>
        <w:spacing w:line="300" w:lineRule="auto"/>
        <w:rPr>
          <w:rFonts w:ascii="Tahoma" w:hAnsi="Tahoma" w:cs="Tahoma"/>
          <w:bCs/>
          <w:sz w:val="22"/>
        </w:rPr>
      </w:pPr>
    </w:p>
    <w:p w:rsidR="00106090" w:rsidRPr="0050310D" w:rsidRDefault="007F7568" w:rsidP="00202349">
      <w:pPr>
        <w:widowControl w:val="0"/>
        <w:autoSpaceDE w:val="0"/>
        <w:autoSpaceDN w:val="0"/>
        <w:adjustRightInd w:val="0"/>
        <w:spacing w:line="300" w:lineRule="auto"/>
        <w:ind w:firstLine="709"/>
        <w:jc w:val="both"/>
        <w:rPr>
          <w:rFonts w:ascii="Tahoma" w:hAnsi="Tahoma" w:cs="Tahoma"/>
        </w:rPr>
      </w:pPr>
      <w:r w:rsidRPr="0050310D">
        <w:rPr>
          <w:rFonts w:ascii="Tahoma" w:hAnsi="Tahoma" w:cs="Tahoma"/>
        </w:rPr>
        <w:t xml:space="preserve">Ahora, tal como se explicó líneas atrás, </w:t>
      </w:r>
      <w:r w:rsidR="00851E20" w:rsidRPr="0050310D">
        <w:rPr>
          <w:rFonts w:ascii="Tahoma" w:hAnsi="Tahoma" w:cs="Tahoma"/>
        </w:rPr>
        <w:t xml:space="preserve">el hecho de que dicha comunicación no se haya podido llevar </w:t>
      </w:r>
      <w:r w:rsidR="00AA7C3F" w:rsidRPr="0050310D">
        <w:rPr>
          <w:rFonts w:ascii="Tahoma" w:hAnsi="Tahoma" w:cs="Tahoma"/>
        </w:rPr>
        <w:t>a cabo en</w:t>
      </w:r>
      <w:r w:rsidR="00851E20" w:rsidRPr="0050310D">
        <w:rPr>
          <w:rFonts w:ascii="Tahoma" w:hAnsi="Tahoma" w:cs="Tahoma"/>
        </w:rPr>
        <w:t xml:space="preserve"> la dirección a la que fue remitida </w:t>
      </w:r>
      <w:r w:rsidR="00AA7C3F" w:rsidRPr="0050310D">
        <w:rPr>
          <w:rFonts w:ascii="Tahoma" w:hAnsi="Tahoma" w:cs="Tahoma"/>
        </w:rPr>
        <w:t xml:space="preserve">en razón a que </w:t>
      </w:r>
      <w:r w:rsidR="00070596" w:rsidRPr="0050310D">
        <w:rPr>
          <w:rFonts w:ascii="Arial Narrow" w:hAnsi="Arial Narrow" w:cs="Tahoma"/>
          <w:i/>
        </w:rPr>
        <w:t>“la persona a notificar no vive ni labora allí.”</w:t>
      </w:r>
      <w:r w:rsidR="00070596" w:rsidRPr="004F1126">
        <w:rPr>
          <w:rStyle w:val="Refdenotaalpie"/>
          <w:rFonts w:ascii="Tahoma" w:hAnsi="Tahoma" w:cs="Tahoma"/>
        </w:rPr>
        <w:footnoteReference w:id="1"/>
      </w:r>
      <w:r w:rsidR="00070596" w:rsidRPr="0050310D">
        <w:rPr>
          <w:rFonts w:ascii="Tahoma" w:hAnsi="Tahoma" w:cs="Tahoma"/>
        </w:rPr>
        <w:t xml:space="preserve">, no sería óbice para librar el respectivo mandamiento de pago; no obstante, en el sub lite se advierte una inconsistencia </w:t>
      </w:r>
      <w:r w:rsidR="006112F3" w:rsidRPr="0050310D">
        <w:rPr>
          <w:rFonts w:ascii="Tahoma" w:hAnsi="Tahoma" w:cs="Tahoma"/>
        </w:rPr>
        <w:t xml:space="preserve">en </w:t>
      </w:r>
      <w:r w:rsidR="00AA7C3F" w:rsidRPr="0050310D">
        <w:rPr>
          <w:rFonts w:ascii="Tahoma" w:hAnsi="Tahoma" w:cs="Tahoma"/>
        </w:rPr>
        <w:t xml:space="preserve">el lugar </w:t>
      </w:r>
      <w:r w:rsidR="006112F3" w:rsidRPr="0050310D">
        <w:rPr>
          <w:rFonts w:ascii="Tahoma" w:hAnsi="Tahoma" w:cs="Tahoma"/>
        </w:rPr>
        <w:t xml:space="preserve">en </w:t>
      </w:r>
      <w:r w:rsidR="00AA7C3F" w:rsidRPr="0050310D">
        <w:rPr>
          <w:rFonts w:ascii="Tahoma" w:hAnsi="Tahoma" w:cs="Tahoma"/>
        </w:rPr>
        <w:t>el</w:t>
      </w:r>
      <w:r w:rsidR="006112F3" w:rsidRPr="0050310D">
        <w:rPr>
          <w:rFonts w:ascii="Tahoma" w:hAnsi="Tahoma" w:cs="Tahoma"/>
        </w:rPr>
        <w:t xml:space="preserve"> que se intentó dar aviso a la ejecutada de los periodos </w:t>
      </w:r>
      <w:r w:rsidR="008E721A" w:rsidRPr="0050310D">
        <w:rPr>
          <w:rFonts w:ascii="Tahoma" w:hAnsi="Tahoma" w:cs="Tahoma"/>
        </w:rPr>
        <w:t>adeudados</w:t>
      </w:r>
      <w:r w:rsidR="006112F3" w:rsidRPr="0050310D">
        <w:rPr>
          <w:rFonts w:ascii="Tahoma" w:hAnsi="Tahoma" w:cs="Tahoma"/>
        </w:rPr>
        <w:t xml:space="preserve">, pues a pesar de que se remitió a la “Kr 6 16 22 oficina 102”, de la ciudad de Pereira, </w:t>
      </w:r>
      <w:r w:rsidR="008E721A" w:rsidRPr="0050310D">
        <w:rPr>
          <w:rFonts w:ascii="Tahoma" w:hAnsi="Tahoma" w:cs="Tahoma"/>
        </w:rPr>
        <w:t xml:space="preserve">en la copia allegada por la ejecutante de la información que aparece en el registro de entidades sin ánimo de lucro “ESAL”, se aprecia que dicha cooperativa </w:t>
      </w:r>
      <w:r w:rsidR="00B71321" w:rsidRPr="0050310D">
        <w:rPr>
          <w:rFonts w:ascii="Tahoma" w:hAnsi="Tahoma" w:cs="Tahoma"/>
        </w:rPr>
        <w:t xml:space="preserve">está registrada en el Cámara </w:t>
      </w:r>
      <w:r w:rsidR="00106090" w:rsidRPr="0050310D">
        <w:rPr>
          <w:rFonts w:ascii="Tahoma" w:hAnsi="Tahoma" w:cs="Tahoma"/>
        </w:rPr>
        <w:t>de Comercio de Cali (</w:t>
      </w:r>
      <w:proofErr w:type="spellStart"/>
      <w:r w:rsidR="00106090" w:rsidRPr="0050310D">
        <w:rPr>
          <w:rFonts w:ascii="Tahoma" w:hAnsi="Tahoma" w:cs="Tahoma"/>
        </w:rPr>
        <w:t>fl</w:t>
      </w:r>
      <w:proofErr w:type="spellEnd"/>
      <w:r w:rsidR="00106090" w:rsidRPr="0050310D">
        <w:rPr>
          <w:rFonts w:ascii="Tahoma" w:hAnsi="Tahoma" w:cs="Tahoma"/>
        </w:rPr>
        <w:t>. 28), información que no era del todo ajena a la demandante, pues en la liquidación allegada con el libelo genitor indica que la dirección de quien pretende ejecutar es la “Av</w:t>
      </w:r>
      <w:r w:rsidR="006112F3" w:rsidRPr="0050310D">
        <w:rPr>
          <w:rFonts w:ascii="Tahoma" w:hAnsi="Tahoma" w:cs="Tahoma"/>
        </w:rPr>
        <w:t>.</w:t>
      </w:r>
      <w:r w:rsidR="00106090" w:rsidRPr="0050310D">
        <w:rPr>
          <w:rFonts w:ascii="Tahoma" w:hAnsi="Tahoma" w:cs="Tahoma"/>
        </w:rPr>
        <w:t xml:space="preserve"> 5 </w:t>
      </w:r>
      <w:proofErr w:type="spellStart"/>
      <w:r w:rsidR="00106090" w:rsidRPr="0050310D">
        <w:rPr>
          <w:rFonts w:ascii="Tahoma" w:hAnsi="Tahoma" w:cs="Tahoma"/>
        </w:rPr>
        <w:t>Nt</w:t>
      </w:r>
      <w:proofErr w:type="spellEnd"/>
      <w:r w:rsidR="00106090" w:rsidRPr="0050310D">
        <w:rPr>
          <w:rFonts w:ascii="Tahoma" w:hAnsi="Tahoma" w:cs="Tahoma"/>
        </w:rPr>
        <w:t xml:space="preserve"> 23 </w:t>
      </w:r>
      <w:proofErr w:type="spellStart"/>
      <w:r w:rsidR="00106090" w:rsidRPr="0050310D">
        <w:rPr>
          <w:rFonts w:ascii="Tahoma" w:hAnsi="Tahoma" w:cs="Tahoma"/>
        </w:rPr>
        <w:t>Nt</w:t>
      </w:r>
      <w:proofErr w:type="spellEnd"/>
      <w:r w:rsidR="00106090" w:rsidRPr="0050310D">
        <w:rPr>
          <w:rFonts w:ascii="Tahoma" w:hAnsi="Tahoma" w:cs="Tahoma"/>
        </w:rPr>
        <w:t xml:space="preserve"> 76”, igualmente en la ciudad de Cali.</w:t>
      </w:r>
    </w:p>
    <w:p w:rsidR="00106090" w:rsidRPr="00202349" w:rsidRDefault="00106090" w:rsidP="00202349">
      <w:pPr>
        <w:spacing w:line="300" w:lineRule="auto"/>
        <w:rPr>
          <w:rFonts w:ascii="Tahoma" w:hAnsi="Tahoma" w:cs="Tahoma"/>
          <w:bCs/>
          <w:sz w:val="22"/>
        </w:rPr>
      </w:pPr>
    </w:p>
    <w:p w:rsidR="006112F3" w:rsidRPr="0050310D" w:rsidRDefault="00106090" w:rsidP="00202349">
      <w:pPr>
        <w:widowControl w:val="0"/>
        <w:autoSpaceDE w:val="0"/>
        <w:autoSpaceDN w:val="0"/>
        <w:adjustRightInd w:val="0"/>
        <w:spacing w:line="300" w:lineRule="auto"/>
        <w:ind w:firstLine="709"/>
        <w:jc w:val="both"/>
        <w:rPr>
          <w:rFonts w:ascii="Tahoma" w:hAnsi="Tahoma" w:cs="Tahoma"/>
        </w:rPr>
      </w:pPr>
      <w:r w:rsidRPr="0050310D">
        <w:rPr>
          <w:rFonts w:ascii="Tahoma" w:hAnsi="Tahoma" w:cs="Tahoma"/>
        </w:rPr>
        <w:t xml:space="preserve">Además de lo anterior, en la comunicación que fuera remitida a la demandada se puede advertir que la totalidad de los trabajadores por quienes se alega la mora fueron inscritos en </w:t>
      </w:r>
      <w:r w:rsidR="00B9777F" w:rsidRPr="0050310D">
        <w:rPr>
          <w:rFonts w:ascii="Tahoma" w:hAnsi="Tahoma" w:cs="Tahoma"/>
        </w:rPr>
        <w:t>Cali</w:t>
      </w:r>
      <w:r w:rsidR="00AA7C3F" w:rsidRPr="0050310D">
        <w:rPr>
          <w:rFonts w:ascii="Tahoma" w:hAnsi="Tahoma" w:cs="Tahoma"/>
        </w:rPr>
        <w:t>,</w:t>
      </w:r>
      <w:r w:rsidR="00DD2D76" w:rsidRPr="0050310D">
        <w:rPr>
          <w:rFonts w:ascii="Tahoma" w:hAnsi="Tahoma" w:cs="Tahoma"/>
        </w:rPr>
        <w:t xml:space="preserve"> y</w:t>
      </w:r>
      <w:r w:rsidR="00B9777F" w:rsidRPr="0050310D">
        <w:rPr>
          <w:rFonts w:ascii="Tahoma" w:hAnsi="Tahoma" w:cs="Tahoma"/>
        </w:rPr>
        <w:t xml:space="preserve"> los periodos que se aducen en mora</w:t>
      </w:r>
      <w:r w:rsidR="00752121" w:rsidRPr="0050310D">
        <w:rPr>
          <w:rFonts w:ascii="Tahoma" w:hAnsi="Tahoma" w:cs="Tahoma"/>
        </w:rPr>
        <w:t>, así como el último periodo cancelado,</w:t>
      </w:r>
      <w:r w:rsidR="00B9777F" w:rsidRPr="0050310D">
        <w:rPr>
          <w:rFonts w:ascii="Tahoma" w:hAnsi="Tahoma" w:cs="Tahoma"/>
        </w:rPr>
        <w:t xml:space="preserve"> en su gran mayoría se contabilizan hasta el año 2004 </w:t>
      </w:r>
      <w:r w:rsidR="00A04CC3" w:rsidRPr="0050310D">
        <w:rPr>
          <w:rFonts w:ascii="Tahoma" w:hAnsi="Tahoma" w:cs="Tahoma"/>
        </w:rPr>
        <w:t>(</w:t>
      </w:r>
      <w:proofErr w:type="spellStart"/>
      <w:r w:rsidR="00A04CC3" w:rsidRPr="0050310D">
        <w:rPr>
          <w:rFonts w:ascii="Tahoma" w:hAnsi="Tahoma" w:cs="Tahoma"/>
        </w:rPr>
        <w:t>fls</w:t>
      </w:r>
      <w:proofErr w:type="spellEnd"/>
      <w:r w:rsidR="00A04CC3" w:rsidRPr="0050310D">
        <w:rPr>
          <w:rFonts w:ascii="Tahoma" w:hAnsi="Tahoma" w:cs="Tahoma"/>
        </w:rPr>
        <w:t>. 33 y 34)</w:t>
      </w:r>
      <w:r w:rsidR="00DD2D76" w:rsidRPr="0050310D">
        <w:rPr>
          <w:rFonts w:ascii="Tahoma" w:hAnsi="Tahoma" w:cs="Tahoma"/>
        </w:rPr>
        <w:t>.</w:t>
      </w:r>
      <w:r w:rsidR="00A04CC3" w:rsidRPr="0050310D">
        <w:rPr>
          <w:rFonts w:ascii="Tahoma" w:hAnsi="Tahoma" w:cs="Tahoma"/>
        </w:rPr>
        <w:t xml:space="preserve"> </w:t>
      </w:r>
      <w:r w:rsidR="00DD2D76" w:rsidRPr="0050310D">
        <w:rPr>
          <w:rFonts w:ascii="Tahoma" w:hAnsi="Tahoma" w:cs="Tahoma"/>
        </w:rPr>
        <w:t>Trasciende esta última información</w:t>
      </w:r>
      <w:r w:rsidR="00A04CC3" w:rsidRPr="0050310D">
        <w:rPr>
          <w:rFonts w:ascii="Tahoma" w:hAnsi="Tahoma" w:cs="Tahoma"/>
        </w:rPr>
        <w:t xml:space="preserve"> </w:t>
      </w:r>
      <w:r w:rsidR="000A1D1D" w:rsidRPr="0050310D">
        <w:rPr>
          <w:rFonts w:ascii="Tahoma" w:hAnsi="Tahoma" w:cs="Tahoma"/>
        </w:rPr>
        <w:t>por cuanto al consultar</w:t>
      </w:r>
      <w:r w:rsidR="00BC1F0D" w:rsidRPr="0050310D">
        <w:rPr>
          <w:rFonts w:ascii="Tahoma" w:hAnsi="Tahoma" w:cs="Tahoma"/>
        </w:rPr>
        <w:t xml:space="preserve"> la información que reposa en los archivos de internet de la Superintendencia de la Economía Solidaria</w:t>
      </w:r>
      <w:r w:rsidR="00BC1F0D" w:rsidRPr="0050310D">
        <w:rPr>
          <w:rStyle w:val="Refdenotaalpie"/>
          <w:rFonts w:ascii="Tahoma" w:hAnsi="Tahoma" w:cs="Tahoma"/>
        </w:rPr>
        <w:footnoteReference w:id="2"/>
      </w:r>
      <w:r w:rsidR="00BC1F0D" w:rsidRPr="0050310D">
        <w:rPr>
          <w:rFonts w:ascii="Tahoma" w:hAnsi="Tahoma" w:cs="Tahoma"/>
        </w:rPr>
        <w:t xml:space="preserve">, </w:t>
      </w:r>
      <w:r w:rsidR="002E4D78" w:rsidRPr="0050310D">
        <w:rPr>
          <w:rFonts w:ascii="Tahoma" w:hAnsi="Tahoma" w:cs="Tahoma"/>
        </w:rPr>
        <w:t>en el listado de “</w:t>
      </w:r>
      <w:r w:rsidR="00C07D20" w:rsidRPr="0050310D">
        <w:rPr>
          <w:rFonts w:ascii="Tahoma" w:hAnsi="Tahoma" w:cs="Tahoma"/>
        </w:rPr>
        <w:t>Cooperativas con resolución de autorización de desmonte de la actividad financiera</w:t>
      </w:r>
      <w:r w:rsidR="002E4D78" w:rsidRPr="0050310D">
        <w:rPr>
          <w:rFonts w:ascii="Tahoma" w:hAnsi="Tahoma" w:cs="Tahoma"/>
        </w:rPr>
        <w:t>” se advierte que</w:t>
      </w:r>
      <w:r w:rsidR="00752121" w:rsidRPr="0050310D">
        <w:rPr>
          <w:rFonts w:ascii="Tahoma" w:hAnsi="Tahoma" w:cs="Tahoma"/>
        </w:rPr>
        <w:t xml:space="preserve"> la ejecutada tenía </w:t>
      </w:r>
      <w:r w:rsidR="00DA3CC3" w:rsidRPr="0050310D">
        <w:rPr>
          <w:rFonts w:ascii="Tahoma" w:hAnsi="Tahoma" w:cs="Tahoma"/>
        </w:rPr>
        <w:t xml:space="preserve">su domicilio en Cali y </w:t>
      </w:r>
      <w:r w:rsidR="00C07D20" w:rsidRPr="0050310D">
        <w:rPr>
          <w:rFonts w:ascii="Tahoma" w:hAnsi="Tahoma" w:cs="Tahoma"/>
        </w:rPr>
        <w:t>el 11 de abril de 2002 se emitió la Resolución</w:t>
      </w:r>
      <w:r w:rsidR="00752121" w:rsidRPr="0050310D">
        <w:rPr>
          <w:rFonts w:ascii="Tahoma" w:hAnsi="Tahoma" w:cs="Tahoma"/>
        </w:rPr>
        <w:t xml:space="preserve"> </w:t>
      </w:r>
      <w:r w:rsidR="00C07D20" w:rsidRPr="0050310D">
        <w:rPr>
          <w:rFonts w:ascii="Tahoma" w:hAnsi="Tahoma" w:cs="Tahoma"/>
        </w:rPr>
        <w:t>652</w:t>
      </w:r>
      <w:r w:rsidR="00752121" w:rsidRPr="0050310D">
        <w:rPr>
          <w:rFonts w:ascii="Tahoma" w:hAnsi="Tahoma" w:cs="Tahoma"/>
        </w:rPr>
        <w:t>, por medio de la cual se autorizó su desmonte</w:t>
      </w:r>
      <w:r w:rsidR="00DA3CC3" w:rsidRPr="0050310D">
        <w:rPr>
          <w:rFonts w:ascii="Tahoma" w:hAnsi="Tahoma" w:cs="Tahoma"/>
        </w:rPr>
        <w:t xml:space="preserve">. </w:t>
      </w:r>
    </w:p>
    <w:p w:rsidR="006112F3" w:rsidRPr="00202349" w:rsidRDefault="006112F3" w:rsidP="00202349">
      <w:pPr>
        <w:spacing w:line="300" w:lineRule="auto"/>
        <w:rPr>
          <w:rFonts w:ascii="Tahoma" w:hAnsi="Tahoma" w:cs="Tahoma"/>
          <w:bCs/>
          <w:sz w:val="22"/>
        </w:rPr>
      </w:pPr>
    </w:p>
    <w:p w:rsidR="0087619F" w:rsidRPr="0050310D" w:rsidRDefault="00DA3CC3" w:rsidP="00202349">
      <w:pPr>
        <w:spacing w:line="300" w:lineRule="auto"/>
        <w:ind w:firstLine="709"/>
        <w:jc w:val="both"/>
        <w:rPr>
          <w:rFonts w:ascii="Tahoma" w:hAnsi="Tahoma" w:cs="Tahoma"/>
          <w:bCs/>
          <w:color w:val="000000"/>
        </w:rPr>
      </w:pPr>
      <w:r w:rsidRPr="0050310D">
        <w:rPr>
          <w:rFonts w:ascii="Tahoma" w:hAnsi="Tahoma" w:cs="Tahoma"/>
          <w:bCs/>
          <w:color w:val="000000"/>
        </w:rPr>
        <w:t xml:space="preserve">De esta manera, al ser distintos elementos probatorios los que sugieren que la cooperativa demandada tuvo su asiento en la ciudad de Cali, y que de ello tenía pleno conocimiento la ejecutante, </w:t>
      </w:r>
      <w:r w:rsidR="00B4604F" w:rsidRPr="0050310D">
        <w:rPr>
          <w:rFonts w:ascii="Tahoma" w:hAnsi="Tahoma" w:cs="Tahoma"/>
          <w:bCs/>
          <w:color w:val="000000"/>
        </w:rPr>
        <w:t>bien porque se plasmó su dirección en la liquidación que se esgrime como título ejecutivo</w:t>
      </w:r>
      <w:r w:rsidR="00752121" w:rsidRPr="0050310D">
        <w:rPr>
          <w:rFonts w:ascii="Tahoma" w:hAnsi="Tahoma" w:cs="Tahoma"/>
          <w:bCs/>
          <w:color w:val="000000"/>
        </w:rPr>
        <w:t xml:space="preserve"> o porque </w:t>
      </w:r>
      <w:r w:rsidR="00B4604F" w:rsidRPr="0050310D">
        <w:rPr>
          <w:rFonts w:ascii="Tahoma" w:hAnsi="Tahoma" w:cs="Tahoma"/>
          <w:bCs/>
          <w:color w:val="000000"/>
        </w:rPr>
        <w:t>la totalidad de trabajadores de quienes se depreca el incumplimiento laboraron en esa ciudad</w:t>
      </w:r>
      <w:r w:rsidR="00752121" w:rsidRPr="0050310D">
        <w:rPr>
          <w:rFonts w:ascii="Tahoma" w:hAnsi="Tahoma" w:cs="Tahoma"/>
          <w:bCs/>
          <w:color w:val="000000"/>
        </w:rPr>
        <w:t>,</w:t>
      </w:r>
      <w:r w:rsidR="00B4604F" w:rsidRPr="0050310D">
        <w:rPr>
          <w:rFonts w:ascii="Tahoma" w:hAnsi="Tahoma" w:cs="Tahoma"/>
          <w:bCs/>
          <w:color w:val="000000"/>
        </w:rPr>
        <w:t xml:space="preserve"> no es posible avala</w:t>
      </w:r>
      <w:r w:rsidR="006A266F" w:rsidRPr="0050310D">
        <w:rPr>
          <w:rFonts w:ascii="Tahoma" w:hAnsi="Tahoma" w:cs="Tahoma"/>
          <w:bCs/>
          <w:color w:val="000000"/>
        </w:rPr>
        <w:t xml:space="preserve">r el certificado de correo allegado con el título para tener por notificada a la demandada y considerar plenamente constituido el título ejecutivo </w:t>
      </w:r>
      <w:r w:rsidR="00752121" w:rsidRPr="0050310D">
        <w:rPr>
          <w:rFonts w:ascii="Tahoma" w:hAnsi="Tahoma" w:cs="Tahoma"/>
          <w:bCs/>
          <w:color w:val="000000"/>
        </w:rPr>
        <w:t xml:space="preserve">para </w:t>
      </w:r>
      <w:r w:rsidR="006A266F" w:rsidRPr="0050310D">
        <w:rPr>
          <w:rFonts w:ascii="Tahoma" w:hAnsi="Tahoma" w:cs="Tahoma"/>
          <w:bCs/>
          <w:color w:val="000000"/>
        </w:rPr>
        <w:t xml:space="preserve">proceder a librar el mandamiento </w:t>
      </w:r>
      <w:r w:rsidR="00752121" w:rsidRPr="0050310D">
        <w:rPr>
          <w:rFonts w:ascii="Tahoma" w:hAnsi="Tahoma" w:cs="Tahoma"/>
          <w:bCs/>
          <w:color w:val="000000"/>
        </w:rPr>
        <w:t>de pag</w:t>
      </w:r>
      <w:r w:rsidR="006A266F" w:rsidRPr="0050310D">
        <w:rPr>
          <w:rFonts w:ascii="Tahoma" w:hAnsi="Tahoma" w:cs="Tahoma"/>
          <w:bCs/>
          <w:color w:val="000000"/>
        </w:rPr>
        <w:t>o,</w:t>
      </w:r>
      <w:r w:rsidR="00752121" w:rsidRPr="0050310D">
        <w:rPr>
          <w:rFonts w:ascii="Tahoma" w:hAnsi="Tahoma" w:cs="Tahoma"/>
          <w:bCs/>
          <w:color w:val="000000"/>
        </w:rPr>
        <w:t xml:space="preserve"> </w:t>
      </w:r>
      <w:r w:rsidR="006A266F" w:rsidRPr="0050310D">
        <w:rPr>
          <w:rFonts w:ascii="Tahoma" w:hAnsi="Tahoma" w:cs="Tahoma"/>
          <w:bCs/>
          <w:color w:val="000000"/>
        </w:rPr>
        <w:t>razón por la cual se confirmará el auto de primera instancia.</w:t>
      </w:r>
    </w:p>
    <w:p w:rsidR="00A067A3" w:rsidRPr="00202349" w:rsidRDefault="00A067A3" w:rsidP="00202349">
      <w:pPr>
        <w:spacing w:line="300" w:lineRule="auto"/>
        <w:rPr>
          <w:rFonts w:ascii="Tahoma" w:hAnsi="Tahoma" w:cs="Tahoma"/>
          <w:bCs/>
          <w:sz w:val="22"/>
        </w:rPr>
      </w:pPr>
    </w:p>
    <w:p w:rsidR="002B3F9A" w:rsidRPr="0050310D" w:rsidRDefault="00AA4699" w:rsidP="00202349">
      <w:pPr>
        <w:widowControl w:val="0"/>
        <w:autoSpaceDE w:val="0"/>
        <w:autoSpaceDN w:val="0"/>
        <w:adjustRightInd w:val="0"/>
        <w:spacing w:line="300" w:lineRule="auto"/>
        <w:ind w:firstLine="709"/>
        <w:jc w:val="both"/>
        <w:rPr>
          <w:rFonts w:ascii="Tahoma" w:hAnsi="Tahoma" w:cs="Tahoma"/>
        </w:rPr>
      </w:pPr>
      <w:r w:rsidRPr="0050310D">
        <w:rPr>
          <w:rFonts w:ascii="Tahoma" w:hAnsi="Tahoma" w:cs="Tahoma"/>
        </w:rPr>
        <w:t>Sin costas en esta</w:t>
      </w:r>
      <w:r w:rsidR="00752121" w:rsidRPr="0050310D">
        <w:rPr>
          <w:rFonts w:ascii="Tahoma" w:hAnsi="Tahoma" w:cs="Tahoma"/>
        </w:rPr>
        <w:t xml:space="preserve"> sede</w:t>
      </w:r>
      <w:r w:rsidRPr="0050310D">
        <w:rPr>
          <w:rFonts w:ascii="Tahoma" w:hAnsi="Tahoma" w:cs="Tahoma"/>
        </w:rPr>
        <w:t xml:space="preserve"> </w:t>
      </w:r>
      <w:r w:rsidR="00520346" w:rsidRPr="0050310D">
        <w:rPr>
          <w:rFonts w:ascii="Tahoma" w:hAnsi="Tahoma" w:cs="Tahoma"/>
        </w:rPr>
        <w:t>al no haberse trabado la litis.</w:t>
      </w:r>
    </w:p>
    <w:p w:rsidR="00262B13" w:rsidRPr="00202349" w:rsidRDefault="00262B13" w:rsidP="00202349">
      <w:pPr>
        <w:spacing w:line="300" w:lineRule="auto"/>
        <w:rPr>
          <w:rFonts w:ascii="Tahoma" w:hAnsi="Tahoma" w:cs="Tahoma"/>
          <w:bCs/>
          <w:sz w:val="22"/>
        </w:rPr>
      </w:pPr>
    </w:p>
    <w:p w:rsidR="007D4D1B" w:rsidRPr="0050310D" w:rsidRDefault="000C2DE8" w:rsidP="00202349">
      <w:pPr>
        <w:widowControl w:val="0"/>
        <w:autoSpaceDE w:val="0"/>
        <w:autoSpaceDN w:val="0"/>
        <w:adjustRightInd w:val="0"/>
        <w:spacing w:line="300" w:lineRule="auto"/>
        <w:ind w:firstLine="709"/>
        <w:jc w:val="both"/>
        <w:rPr>
          <w:rFonts w:ascii="Tahoma" w:hAnsi="Tahoma" w:cs="Tahoma"/>
        </w:rPr>
      </w:pPr>
      <w:r w:rsidRPr="0050310D">
        <w:rPr>
          <w:rFonts w:ascii="Tahoma" w:hAnsi="Tahoma" w:cs="Tahoma"/>
        </w:rPr>
        <w:t>En mérito de</w:t>
      </w:r>
      <w:r w:rsidR="007D4D1B" w:rsidRPr="0050310D">
        <w:rPr>
          <w:rFonts w:ascii="Tahoma" w:hAnsi="Tahoma" w:cs="Tahoma"/>
        </w:rPr>
        <w:t xml:space="preserve"> lo expuesto, el </w:t>
      </w:r>
      <w:r w:rsidR="00520346" w:rsidRPr="0050310D">
        <w:rPr>
          <w:rFonts w:ascii="Tahoma" w:hAnsi="Tahoma" w:cs="Tahoma"/>
          <w:b/>
        </w:rPr>
        <w:t xml:space="preserve">Tribunal Superior del Distrito Judicial de Pereira </w:t>
      </w:r>
      <w:r w:rsidR="007D4D1B" w:rsidRPr="0050310D">
        <w:rPr>
          <w:rFonts w:ascii="Tahoma" w:hAnsi="Tahoma" w:cs="Tahoma"/>
          <w:b/>
        </w:rPr>
        <w:t>(</w:t>
      </w:r>
      <w:r w:rsidR="00520346" w:rsidRPr="0050310D">
        <w:rPr>
          <w:rFonts w:ascii="Tahoma" w:hAnsi="Tahoma" w:cs="Tahoma"/>
          <w:b/>
        </w:rPr>
        <w:t>Risaralda</w:t>
      </w:r>
      <w:r w:rsidR="007D4D1B" w:rsidRPr="0050310D">
        <w:rPr>
          <w:rFonts w:ascii="Tahoma" w:hAnsi="Tahoma" w:cs="Tahoma"/>
          <w:b/>
        </w:rPr>
        <w:t>)</w:t>
      </w:r>
      <w:r w:rsidR="007D4D1B" w:rsidRPr="0050310D">
        <w:rPr>
          <w:rFonts w:ascii="Tahoma" w:hAnsi="Tahoma" w:cs="Tahoma"/>
        </w:rPr>
        <w:t xml:space="preserve">, </w:t>
      </w:r>
      <w:r w:rsidR="00520346" w:rsidRPr="0050310D">
        <w:rPr>
          <w:rFonts w:ascii="Tahoma" w:hAnsi="Tahoma" w:cs="Tahoma"/>
          <w:b/>
        </w:rPr>
        <w:t xml:space="preserve">Sala de Decisión Laboral No. 1, </w:t>
      </w:r>
    </w:p>
    <w:p w:rsidR="00165F01" w:rsidRPr="00202349" w:rsidRDefault="00165F01" w:rsidP="00202349">
      <w:pPr>
        <w:spacing w:line="300" w:lineRule="auto"/>
        <w:rPr>
          <w:rFonts w:ascii="Tahoma" w:hAnsi="Tahoma" w:cs="Tahoma"/>
          <w:bCs/>
          <w:sz w:val="22"/>
        </w:rPr>
      </w:pPr>
    </w:p>
    <w:p w:rsidR="007D4D1B" w:rsidRPr="0050310D" w:rsidRDefault="007D4D1B" w:rsidP="00202349">
      <w:pPr>
        <w:widowControl w:val="0"/>
        <w:autoSpaceDE w:val="0"/>
        <w:autoSpaceDN w:val="0"/>
        <w:adjustRightInd w:val="0"/>
        <w:spacing w:line="300" w:lineRule="auto"/>
        <w:jc w:val="center"/>
        <w:rPr>
          <w:rFonts w:ascii="Tahoma" w:hAnsi="Tahoma" w:cs="Tahoma"/>
          <w:b/>
        </w:rPr>
      </w:pPr>
      <w:r w:rsidRPr="0050310D">
        <w:rPr>
          <w:rFonts w:ascii="Tahoma" w:hAnsi="Tahoma" w:cs="Tahoma"/>
          <w:b/>
        </w:rPr>
        <w:t>R E S U E L V E:</w:t>
      </w:r>
    </w:p>
    <w:p w:rsidR="007D4D1B" w:rsidRPr="00202349" w:rsidRDefault="007D4D1B" w:rsidP="00202349">
      <w:pPr>
        <w:spacing w:line="300" w:lineRule="auto"/>
        <w:rPr>
          <w:rFonts w:ascii="Tahoma" w:hAnsi="Tahoma" w:cs="Tahoma"/>
          <w:bCs/>
          <w:sz w:val="22"/>
        </w:rPr>
      </w:pPr>
    </w:p>
    <w:p w:rsidR="00853D9C" w:rsidRPr="0050310D" w:rsidRDefault="007D4D1B" w:rsidP="00202349">
      <w:pPr>
        <w:widowControl w:val="0"/>
        <w:autoSpaceDE w:val="0"/>
        <w:autoSpaceDN w:val="0"/>
        <w:adjustRightInd w:val="0"/>
        <w:spacing w:line="300" w:lineRule="auto"/>
        <w:ind w:firstLine="709"/>
        <w:jc w:val="both"/>
        <w:rPr>
          <w:rFonts w:ascii="Tahoma" w:hAnsi="Tahoma" w:cs="Tahoma"/>
        </w:rPr>
      </w:pPr>
      <w:r w:rsidRPr="0050310D">
        <w:rPr>
          <w:rFonts w:ascii="Tahoma" w:hAnsi="Tahoma" w:cs="Tahoma"/>
          <w:b/>
          <w:u w:val="single"/>
        </w:rPr>
        <w:t>PRIMERO</w:t>
      </w:r>
      <w:r w:rsidRPr="0050310D">
        <w:rPr>
          <w:rFonts w:ascii="Tahoma" w:hAnsi="Tahoma" w:cs="Tahoma"/>
        </w:rPr>
        <w:t>.-</w:t>
      </w:r>
      <w:r w:rsidR="00F14EFA" w:rsidRPr="0050310D">
        <w:rPr>
          <w:rFonts w:ascii="Tahoma" w:hAnsi="Tahoma" w:cs="Tahoma"/>
        </w:rPr>
        <w:t xml:space="preserve"> </w:t>
      </w:r>
      <w:r w:rsidR="00520346" w:rsidRPr="0050310D">
        <w:rPr>
          <w:rFonts w:ascii="Tahoma" w:hAnsi="Tahoma" w:cs="Tahoma"/>
          <w:b/>
        </w:rPr>
        <w:t xml:space="preserve">CONFIRMAR </w:t>
      </w:r>
      <w:r w:rsidR="00520346" w:rsidRPr="0050310D">
        <w:rPr>
          <w:rFonts w:ascii="Tahoma" w:hAnsi="Tahoma" w:cs="Tahoma"/>
        </w:rPr>
        <w:t>el</w:t>
      </w:r>
      <w:r w:rsidR="00B003AC" w:rsidRPr="0050310D">
        <w:rPr>
          <w:rFonts w:ascii="Tahoma" w:hAnsi="Tahoma" w:cs="Tahoma"/>
        </w:rPr>
        <w:t xml:space="preserve"> </w:t>
      </w:r>
      <w:r w:rsidR="00AF50EA" w:rsidRPr="0050310D">
        <w:rPr>
          <w:rFonts w:ascii="Tahoma" w:hAnsi="Tahoma" w:cs="Tahoma"/>
        </w:rPr>
        <w:t xml:space="preserve">auto </w:t>
      </w:r>
      <w:r w:rsidR="00644533" w:rsidRPr="0050310D">
        <w:rPr>
          <w:rFonts w:ascii="Tahoma" w:hAnsi="Tahoma" w:cs="Tahoma"/>
        </w:rPr>
        <w:t>proferido por el Juzgado Cuarto Laboral del Circuito de Pereira el 21 de enero de 2019.</w:t>
      </w:r>
    </w:p>
    <w:p w:rsidR="00853D9C" w:rsidRPr="00202349" w:rsidRDefault="00853D9C" w:rsidP="00202349">
      <w:pPr>
        <w:spacing w:line="300" w:lineRule="auto"/>
        <w:rPr>
          <w:rFonts w:ascii="Tahoma" w:hAnsi="Tahoma" w:cs="Tahoma"/>
          <w:bCs/>
          <w:sz w:val="22"/>
        </w:rPr>
      </w:pPr>
    </w:p>
    <w:p w:rsidR="00B003AC" w:rsidRPr="0050310D" w:rsidRDefault="00BF5E0B" w:rsidP="00202349">
      <w:pPr>
        <w:widowControl w:val="0"/>
        <w:autoSpaceDE w:val="0"/>
        <w:autoSpaceDN w:val="0"/>
        <w:adjustRightInd w:val="0"/>
        <w:spacing w:line="300" w:lineRule="auto"/>
        <w:ind w:firstLine="708"/>
        <w:jc w:val="both"/>
        <w:rPr>
          <w:rFonts w:ascii="Tahoma" w:hAnsi="Tahoma" w:cs="Tahoma"/>
          <w:bCs/>
          <w:color w:val="000000"/>
        </w:rPr>
      </w:pPr>
      <w:r w:rsidRPr="0050310D">
        <w:rPr>
          <w:rFonts w:ascii="Tahoma" w:hAnsi="Tahoma" w:cs="Tahoma"/>
          <w:b/>
          <w:u w:val="single"/>
        </w:rPr>
        <w:t>SEGUNDO</w:t>
      </w:r>
      <w:r w:rsidR="00BF15D7" w:rsidRPr="0050310D">
        <w:rPr>
          <w:rFonts w:ascii="Tahoma" w:hAnsi="Tahoma" w:cs="Tahoma"/>
        </w:rPr>
        <w:t xml:space="preserve">.- </w:t>
      </w:r>
      <w:r w:rsidR="00520346" w:rsidRPr="0050310D">
        <w:rPr>
          <w:rFonts w:ascii="Tahoma" w:hAnsi="Tahoma" w:cs="Tahoma"/>
        </w:rPr>
        <w:t>Sin costas en esta instancia.</w:t>
      </w:r>
    </w:p>
    <w:p w:rsidR="00B003AC" w:rsidRPr="00202349" w:rsidRDefault="00B003AC" w:rsidP="00202349">
      <w:pPr>
        <w:spacing w:line="300" w:lineRule="auto"/>
        <w:rPr>
          <w:rFonts w:ascii="Tahoma" w:hAnsi="Tahoma" w:cs="Tahoma"/>
          <w:bCs/>
          <w:sz w:val="22"/>
        </w:rPr>
      </w:pPr>
    </w:p>
    <w:p w:rsidR="007D4D1B" w:rsidRPr="0050310D" w:rsidRDefault="000676D1" w:rsidP="00202349">
      <w:pPr>
        <w:widowControl w:val="0"/>
        <w:autoSpaceDE w:val="0"/>
        <w:autoSpaceDN w:val="0"/>
        <w:adjustRightInd w:val="0"/>
        <w:spacing w:line="300" w:lineRule="auto"/>
        <w:ind w:firstLine="708"/>
        <w:jc w:val="both"/>
        <w:rPr>
          <w:rFonts w:ascii="Tahoma" w:hAnsi="Tahoma" w:cs="Tahoma"/>
        </w:rPr>
      </w:pPr>
      <w:r w:rsidRPr="0050310D">
        <w:rPr>
          <w:rFonts w:ascii="Tahoma" w:hAnsi="Tahoma" w:cs="Tahoma"/>
          <w:b/>
        </w:rPr>
        <w:t>NOTIFÍQUESE Y CÚMPLASE</w:t>
      </w:r>
    </w:p>
    <w:p w:rsidR="00520346" w:rsidRPr="00202349" w:rsidRDefault="00520346" w:rsidP="00202349">
      <w:pPr>
        <w:spacing w:line="300" w:lineRule="auto"/>
        <w:rPr>
          <w:rFonts w:ascii="Tahoma" w:hAnsi="Tahoma" w:cs="Tahoma"/>
          <w:bCs/>
          <w:sz w:val="22"/>
        </w:rPr>
      </w:pPr>
    </w:p>
    <w:p w:rsidR="000676D1" w:rsidRPr="0050310D" w:rsidRDefault="00B003AC" w:rsidP="00202349">
      <w:pPr>
        <w:widowControl w:val="0"/>
        <w:autoSpaceDE w:val="0"/>
        <w:autoSpaceDN w:val="0"/>
        <w:adjustRightInd w:val="0"/>
        <w:spacing w:line="300" w:lineRule="auto"/>
        <w:ind w:firstLine="708"/>
        <w:jc w:val="both"/>
        <w:rPr>
          <w:rFonts w:ascii="Tahoma" w:hAnsi="Tahoma" w:cs="Tahoma"/>
        </w:rPr>
      </w:pPr>
      <w:r w:rsidRPr="0050310D">
        <w:rPr>
          <w:rFonts w:ascii="Tahoma" w:hAnsi="Tahoma" w:cs="Tahoma"/>
        </w:rPr>
        <w:t>La Magistrada Ponente,</w:t>
      </w:r>
    </w:p>
    <w:p w:rsidR="005C7F80" w:rsidRPr="00202349" w:rsidRDefault="005C7F80" w:rsidP="00202349">
      <w:pPr>
        <w:spacing w:line="300" w:lineRule="auto"/>
        <w:rPr>
          <w:rFonts w:ascii="Tahoma" w:hAnsi="Tahoma" w:cs="Tahoma"/>
          <w:bCs/>
          <w:sz w:val="22"/>
        </w:rPr>
      </w:pPr>
    </w:p>
    <w:p w:rsidR="00716985" w:rsidRDefault="00716985" w:rsidP="00202349">
      <w:pPr>
        <w:spacing w:line="300" w:lineRule="auto"/>
        <w:rPr>
          <w:rFonts w:ascii="Tahoma" w:hAnsi="Tahoma" w:cs="Tahoma"/>
          <w:bCs/>
          <w:sz w:val="22"/>
        </w:rPr>
      </w:pPr>
    </w:p>
    <w:p w:rsidR="009B3547" w:rsidRPr="00202349" w:rsidRDefault="009B3547" w:rsidP="00202349">
      <w:pPr>
        <w:spacing w:line="300" w:lineRule="auto"/>
        <w:rPr>
          <w:rFonts w:ascii="Tahoma" w:hAnsi="Tahoma" w:cs="Tahoma"/>
          <w:bCs/>
          <w:sz w:val="22"/>
        </w:rPr>
      </w:pPr>
    </w:p>
    <w:p w:rsidR="00B003AC" w:rsidRPr="00202349" w:rsidRDefault="00B003AC" w:rsidP="00202349">
      <w:pPr>
        <w:spacing w:line="300" w:lineRule="auto"/>
        <w:rPr>
          <w:rFonts w:ascii="Tahoma" w:hAnsi="Tahoma" w:cs="Tahoma"/>
          <w:bCs/>
          <w:sz w:val="22"/>
        </w:rPr>
      </w:pPr>
    </w:p>
    <w:p w:rsidR="007D4D1B" w:rsidRPr="0050310D" w:rsidRDefault="007D4D1B" w:rsidP="00202349">
      <w:pPr>
        <w:widowControl w:val="0"/>
        <w:autoSpaceDE w:val="0"/>
        <w:autoSpaceDN w:val="0"/>
        <w:adjustRightInd w:val="0"/>
        <w:spacing w:line="300" w:lineRule="auto"/>
        <w:jc w:val="center"/>
        <w:rPr>
          <w:rFonts w:ascii="Tahoma" w:hAnsi="Tahoma" w:cs="Tahoma"/>
          <w:b/>
        </w:rPr>
      </w:pPr>
      <w:r w:rsidRPr="0050310D">
        <w:rPr>
          <w:rFonts w:ascii="Tahoma" w:hAnsi="Tahoma" w:cs="Tahoma"/>
          <w:b/>
        </w:rPr>
        <w:t>ANA LUCÍA CAICEDO CALDERÓN</w:t>
      </w:r>
    </w:p>
    <w:p w:rsidR="00070596" w:rsidRDefault="00070596" w:rsidP="00202349">
      <w:pPr>
        <w:spacing w:line="300" w:lineRule="auto"/>
        <w:rPr>
          <w:rFonts w:ascii="Tahoma" w:hAnsi="Tahoma" w:cs="Tahoma"/>
          <w:bCs/>
          <w:sz w:val="22"/>
        </w:rPr>
      </w:pPr>
    </w:p>
    <w:p w:rsidR="009B3547" w:rsidRPr="00202349" w:rsidRDefault="009B3547" w:rsidP="00202349">
      <w:pPr>
        <w:spacing w:line="300" w:lineRule="auto"/>
        <w:rPr>
          <w:rFonts w:ascii="Tahoma" w:hAnsi="Tahoma" w:cs="Tahoma"/>
          <w:bCs/>
          <w:sz w:val="22"/>
        </w:rPr>
      </w:pPr>
    </w:p>
    <w:p w:rsidR="00B003AC" w:rsidRPr="0050310D" w:rsidRDefault="00B003AC" w:rsidP="00202349">
      <w:pPr>
        <w:widowControl w:val="0"/>
        <w:autoSpaceDE w:val="0"/>
        <w:autoSpaceDN w:val="0"/>
        <w:adjustRightInd w:val="0"/>
        <w:spacing w:line="300" w:lineRule="auto"/>
        <w:jc w:val="both"/>
        <w:rPr>
          <w:rFonts w:ascii="Tahoma" w:hAnsi="Tahoma" w:cs="Tahoma"/>
        </w:rPr>
      </w:pPr>
      <w:r w:rsidRPr="0050310D">
        <w:rPr>
          <w:rFonts w:ascii="Tahoma" w:hAnsi="Tahoma" w:cs="Tahoma"/>
        </w:rPr>
        <w:t>L</w:t>
      </w:r>
      <w:r w:rsidR="00262B13" w:rsidRPr="0050310D">
        <w:rPr>
          <w:rFonts w:ascii="Tahoma" w:hAnsi="Tahoma" w:cs="Tahoma"/>
        </w:rPr>
        <w:t xml:space="preserve">a Magistrada y el </w:t>
      </w:r>
      <w:r w:rsidRPr="0050310D">
        <w:rPr>
          <w:rFonts w:ascii="Tahoma" w:hAnsi="Tahoma" w:cs="Tahoma"/>
        </w:rPr>
        <w:t>Magistrado,</w:t>
      </w:r>
    </w:p>
    <w:p w:rsidR="000676D1" w:rsidRDefault="000676D1" w:rsidP="00202349">
      <w:pPr>
        <w:spacing w:line="300" w:lineRule="auto"/>
        <w:rPr>
          <w:rFonts w:ascii="Tahoma" w:hAnsi="Tahoma" w:cs="Tahoma"/>
          <w:bCs/>
          <w:sz w:val="22"/>
        </w:rPr>
      </w:pPr>
    </w:p>
    <w:p w:rsidR="009B3547" w:rsidRPr="00202349" w:rsidRDefault="009B3547" w:rsidP="00202349">
      <w:pPr>
        <w:spacing w:line="300" w:lineRule="auto"/>
        <w:rPr>
          <w:rFonts w:ascii="Tahoma" w:hAnsi="Tahoma" w:cs="Tahoma"/>
          <w:bCs/>
          <w:sz w:val="22"/>
        </w:rPr>
      </w:pPr>
      <w:bookmarkStart w:id="0" w:name="_GoBack"/>
      <w:bookmarkEnd w:id="0"/>
    </w:p>
    <w:p w:rsidR="00716985" w:rsidRPr="00202349" w:rsidRDefault="00716985" w:rsidP="00202349">
      <w:pPr>
        <w:spacing w:line="300" w:lineRule="auto"/>
        <w:rPr>
          <w:rFonts w:ascii="Tahoma" w:hAnsi="Tahoma" w:cs="Tahoma"/>
          <w:bCs/>
          <w:sz w:val="22"/>
        </w:rPr>
      </w:pPr>
    </w:p>
    <w:p w:rsidR="00644533" w:rsidRPr="00202349" w:rsidRDefault="00644533" w:rsidP="00202349">
      <w:pPr>
        <w:spacing w:line="300" w:lineRule="auto"/>
        <w:rPr>
          <w:rFonts w:ascii="Tahoma" w:hAnsi="Tahoma" w:cs="Tahoma"/>
          <w:bCs/>
          <w:sz w:val="22"/>
        </w:rPr>
      </w:pPr>
    </w:p>
    <w:p w:rsidR="00F81D58" w:rsidRPr="0050310D" w:rsidRDefault="00262B13" w:rsidP="00202349">
      <w:pPr>
        <w:widowControl w:val="0"/>
        <w:autoSpaceDE w:val="0"/>
        <w:autoSpaceDN w:val="0"/>
        <w:adjustRightInd w:val="0"/>
        <w:spacing w:line="300" w:lineRule="auto"/>
        <w:jc w:val="both"/>
        <w:rPr>
          <w:rFonts w:ascii="Tahoma" w:hAnsi="Tahoma" w:cs="Tahoma"/>
          <w:b/>
          <w:bCs/>
          <w:spacing w:val="2"/>
        </w:rPr>
      </w:pPr>
      <w:r w:rsidRPr="0050310D">
        <w:rPr>
          <w:rFonts w:ascii="Tahoma" w:hAnsi="Tahoma" w:cs="Tahoma"/>
          <w:b/>
        </w:rPr>
        <w:t xml:space="preserve">OLGA LUCÍA HOYOS SEPÚLVEDA </w:t>
      </w:r>
      <w:r w:rsidRPr="0050310D">
        <w:rPr>
          <w:rFonts w:ascii="Tahoma" w:hAnsi="Tahoma" w:cs="Tahoma"/>
          <w:b/>
        </w:rPr>
        <w:tab/>
      </w:r>
      <w:r w:rsidRPr="0050310D">
        <w:rPr>
          <w:rFonts w:ascii="Tahoma" w:hAnsi="Tahoma" w:cs="Tahoma"/>
          <w:b/>
        </w:rPr>
        <w:tab/>
      </w:r>
      <w:r w:rsidR="00070596" w:rsidRPr="0050310D">
        <w:rPr>
          <w:rFonts w:ascii="Tahoma" w:hAnsi="Tahoma" w:cs="Tahoma"/>
          <w:b/>
        </w:rPr>
        <w:t xml:space="preserve"> </w:t>
      </w:r>
      <w:r w:rsidR="0070197E" w:rsidRPr="0050310D">
        <w:rPr>
          <w:rFonts w:ascii="Tahoma" w:hAnsi="Tahoma" w:cs="Tahoma"/>
          <w:b/>
        </w:rPr>
        <w:t xml:space="preserve">JULIO CÉSAR SALAZAR </w:t>
      </w:r>
      <w:r w:rsidR="00D94AFB" w:rsidRPr="0050310D">
        <w:rPr>
          <w:rFonts w:ascii="Tahoma" w:hAnsi="Tahoma" w:cs="Tahoma"/>
          <w:b/>
        </w:rPr>
        <w:t>MUÑOZ</w:t>
      </w:r>
    </w:p>
    <w:sectPr w:rsidR="00F81D58" w:rsidRPr="0050310D" w:rsidSect="00202349">
      <w:headerReference w:type="even" r:id="rId8"/>
      <w:headerReference w:type="default" r:id="rId9"/>
      <w:pgSz w:w="12242" w:h="18722" w:code="14"/>
      <w:pgMar w:top="1985" w:right="1418" w:bottom="1418" w:left="1985"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A5" w:rsidRDefault="008000A5">
      <w:r>
        <w:separator/>
      </w:r>
    </w:p>
  </w:endnote>
  <w:endnote w:type="continuationSeparator" w:id="0">
    <w:p w:rsidR="008000A5" w:rsidRDefault="0080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A5" w:rsidRDefault="008000A5">
      <w:r>
        <w:separator/>
      </w:r>
    </w:p>
  </w:footnote>
  <w:footnote w:type="continuationSeparator" w:id="0">
    <w:p w:rsidR="008000A5" w:rsidRDefault="008000A5">
      <w:r>
        <w:continuationSeparator/>
      </w:r>
    </w:p>
  </w:footnote>
  <w:footnote w:id="1">
    <w:p w:rsidR="00070596" w:rsidRPr="003441AA" w:rsidRDefault="00070596" w:rsidP="003441AA">
      <w:pPr>
        <w:pStyle w:val="Textonotapie"/>
        <w:jc w:val="both"/>
        <w:rPr>
          <w:rFonts w:ascii="Arial" w:hAnsi="Arial" w:cs="Arial"/>
          <w:sz w:val="18"/>
          <w:szCs w:val="18"/>
          <w:lang w:val="es-CO"/>
        </w:rPr>
      </w:pPr>
      <w:r w:rsidRPr="003441AA">
        <w:rPr>
          <w:rStyle w:val="Refdenotaalpie"/>
          <w:rFonts w:ascii="Arial" w:hAnsi="Arial" w:cs="Arial"/>
          <w:sz w:val="18"/>
          <w:szCs w:val="18"/>
        </w:rPr>
        <w:footnoteRef/>
      </w:r>
      <w:r w:rsidRPr="003441AA">
        <w:rPr>
          <w:rFonts w:ascii="Arial" w:hAnsi="Arial" w:cs="Arial"/>
          <w:sz w:val="18"/>
          <w:szCs w:val="18"/>
        </w:rPr>
        <w:t xml:space="preserve"> </w:t>
      </w:r>
      <w:r w:rsidRPr="003441AA">
        <w:rPr>
          <w:rFonts w:ascii="Arial" w:hAnsi="Arial" w:cs="Arial"/>
          <w:sz w:val="18"/>
          <w:szCs w:val="18"/>
          <w:lang w:val="es-CO"/>
        </w:rPr>
        <w:t xml:space="preserve">Según da cuenta la constancia de devolución de comunicaciones y avisos emitida por la empresa </w:t>
      </w:r>
      <w:proofErr w:type="spellStart"/>
      <w:r w:rsidRPr="003441AA">
        <w:rPr>
          <w:rFonts w:ascii="Arial" w:hAnsi="Arial" w:cs="Arial"/>
          <w:sz w:val="18"/>
          <w:szCs w:val="18"/>
          <w:lang w:val="es-CO"/>
        </w:rPr>
        <w:t>Servientrega</w:t>
      </w:r>
      <w:proofErr w:type="spellEnd"/>
      <w:r w:rsidRPr="003441AA">
        <w:rPr>
          <w:rFonts w:ascii="Arial" w:hAnsi="Arial" w:cs="Arial"/>
          <w:sz w:val="18"/>
          <w:szCs w:val="18"/>
          <w:lang w:val="es-CO"/>
        </w:rPr>
        <w:t xml:space="preserve"> (</w:t>
      </w:r>
      <w:proofErr w:type="spellStart"/>
      <w:r w:rsidRPr="003441AA">
        <w:rPr>
          <w:rFonts w:ascii="Arial" w:hAnsi="Arial" w:cs="Arial"/>
          <w:sz w:val="18"/>
          <w:szCs w:val="18"/>
          <w:lang w:val="es-CO"/>
        </w:rPr>
        <w:t>fl</w:t>
      </w:r>
      <w:proofErr w:type="spellEnd"/>
      <w:r w:rsidRPr="003441AA">
        <w:rPr>
          <w:rFonts w:ascii="Arial" w:hAnsi="Arial" w:cs="Arial"/>
          <w:sz w:val="18"/>
          <w:szCs w:val="18"/>
          <w:lang w:val="es-CO"/>
        </w:rPr>
        <w:t>. 35).</w:t>
      </w:r>
    </w:p>
  </w:footnote>
  <w:footnote w:id="2">
    <w:p w:rsidR="00BC1F0D" w:rsidRPr="003441AA" w:rsidRDefault="00BC1F0D" w:rsidP="003441AA">
      <w:pPr>
        <w:pStyle w:val="Textonotapie"/>
        <w:jc w:val="both"/>
        <w:rPr>
          <w:rFonts w:ascii="Arial" w:hAnsi="Arial" w:cs="Arial"/>
          <w:sz w:val="18"/>
          <w:szCs w:val="18"/>
          <w:lang w:val="es-CO"/>
        </w:rPr>
      </w:pPr>
      <w:r w:rsidRPr="003441AA">
        <w:rPr>
          <w:rStyle w:val="Refdenotaalpie"/>
          <w:rFonts w:ascii="Arial" w:hAnsi="Arial" w:cs="Arial"/>
          <w:sz w:val="18"/>
          <w:szCs w:val="18"/>
        </w:rPr>
        <w:footnoteRef/>
      </w:r>
      <w:hyperlink r:id="rId1" w:history="1">
        <w:r w:rsidRPr="003441AA">
          <w:rPr>
            <w:rStyle w:val="Hipervnculo"/>
            <w:rFonts w:ascii="Arial" w:eastAsiaTheme="majorEastAsia" w:hAnsi="Arial" w:cs="Arial"/>
            <w:color w:val="auto"/>
            <w:sz w:val="18"/>
            <w:szCs w:val="18"/>
          </w:rPr>
          <w:t>http://www.supersolidaria.gov.co/sites/default/files/public/entidades/listado_cooperativas_con_autorizacion_desmonte_de_actividad_financiera_marzo-2016.xls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1F" w:rsidRDefault="005A4B1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4B1F" w:rsidRDefault="005A4B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1F" w:rsidRPr="003441AA" w:rsidRDefault="005A4B1F">
    <w:pPr>
      <w:pStyle w:val="Encabezado"/>
      <w:framePr w:wrap="around" w:vAnchor="text" w:hAnchor="margin" w:xAlign="center" w:y="1"/>
      <w:rPr>
        <w:rStyle w:val="Nmerodepgina"/>
        <w:rFonts w:ascii="Arial" w:hAnsi="Arial" w:cs="Arial"/>
        <w:sz w:val="18"/>
      </w:rPr>
    </w:pPr>
    <w:r w:rsidRPr="003441AA">
      <w:rPr>
        <w:rStyle w:val="Nmerodepgina"/>
        <w:rFonts w:ascii="Arial" w:hAnsi="Arial" w:cs="Arial"/>
        <w:sz w:val="18"/>
      </w:rPr>
      <w:fldChar w:fldCharType="begin"/>
    </w:r>
    <w:r w:rsidRPr="003441AA">
      <w:rPr>
        <w:rStyle w:val="Nmerodepgina"/>
        <w:rFonts w:ascii="Arial" w:hAnsi="Arial" w:cs="Arial"/>
        <w:sz w:val="18"/>
      </w:rPr>
      <w:instrText xml:space="preserve">PAGE  </w:instrText>
    </w:r>
    <w:r w:rsidRPr="003441AA">
      <w:rPr>
        <w:rStyle w:val="Nmerodepgina"/>
        <w:rFonts w:ascii="Arial" w:hAnsi="Arial" w:cs="Arial"/>
        <w:sz w:val="18"/>
      </w:rPr>
      <w:fldChar w:fldCharType="separate"/>
    </w:r>
    <w:r w:rsidR="009B3547">
      <w:rPr>
        <w:rStyle w:val="Nmerodepgina"/>
        <w:rFonts w:ascii="Arial" w:hAnsi="Arial" w:cs="Arial"/>
        <w:noProof/>
        <w:sz w:val="18"/>
      </w:rPr>
      <w:t>6</w:t>
    </w:r>
    <w:r w:rsidRPr="003441AA">
      <w:rPr>
        <w:rStyle w:val="Nmerodepgina"/>
        <w:rFonts w:ascii="Arial" w:hAnsi="Arial" w:cs="Arial"/>
        <w:sz w:val="18"/>
      </w:rPr>
      <w:fldChar w:fldCharType="end"/>
    </w:r>
  </w:p>
  <w:p w:rsidR="005A4B1F" w:rsidRPr="003441AA" w:rsidRDefault="005A4B1F" w:rsidP="00786AB7">
    <w:pPr>
      <w:pStyle w:val="Puesto"/>
      <w:spacing w:line="240" w:lineRule="auto"/>
      <w:jc w:val="both"/>
      <w:rPr>
        <w:b w:val="0"/>
        <w:sz w:val="18"/>
        <w:szCs w:val="16"/>
      </w:rPr>
    </w:pPr>
    <w:r w:rsidRPr="003441AA">
      <w:rPr>
        <w:b w:val="0"/>
        <w:sz w:val="18"/>
        <w:szCs w:val="16"/>
      </w:rPr>
      <w:t>Radicación No.: 66001-31-05-004-2018-00645-01</w:t>
    </w:r>
  </w:p>
  <w:p w:rsidR="005A4B1F" w:rsidRPr="003441AA" w:rsidRDefault="005A4B1F" w:rsidP="00786AB7">
    <w:pPr>
      <w:pStyle w:val="Puesto"/>
      <w:spacing w:line="240" w:lineRule="auto"/>
      <w:jc w:val="both"/>
      <w:rPr>
        <w:b w:val="0"/>
        <w:sz w:val="18"/>
        <w:szCs w:val="16"/>
      </w:rPr>
    </w:pPr>
    <w:r w:rsidRPr="003441AA">
      <w:rPr>
        <w:b w:val="0"/>
        <w:sz w:val="18"/>
        <w:szCs w:val="16"/>
      </w:rPr>
      <w:t xml:space="preserve">Ejecutante: Porvenir S.A. </w:t>
    </w:r>
  </w:p>
  <w:p w:rsidR="005A4B1F" w:rsidRPr="003441AA" w:rsidRDefault="005A4B1F" w:rsidP="00786AB7">
    <w:pPr>
      <w:pStyle w:val="Puesto"/>
      <w:spacing w:line="240" w:lineRule="auto"/>
      <w:ind w:left="708" w:hanging="708"/>
      <w:jc w:val="both"/>
      <w:rPr>
        <w:b w:val="0"/>
        <w:sz w:val="18"/>
        <w:szCs w:val="16"/>
      </w:rPr>
    </w:pPr>
    <w:r w:rsidRPr="003441AA">
      <w:rPr>
        <w:b w:val="0"/>
        <w:sz w:val="18"/>
        <w:szCs w:val="16"/>
      </w:rPr>
      <w:t>Ejecutada:</w:t>
    </w:r>
    <w:r w:rsidR="003441AA">
      <w:rPr>
        <w:b w:val="0"/>
        <w:sz w:val="18"/>
        <w:szCs w:val="16"/>
      </w:rPr>
      <w:t xml:space="preserve"> </w:t>
    </w:r>
    <w:r w:rsidRPr="003441AA">
      <w:rPr>
        <w:b w:val="0"/>
        <w:sz w:val="18"/>
        <w:szCs w:val="16"/>
      </w:rPr>
      <w:t xml:space="preserve">Acción Humana </w:t>
    </w:r>
    <w:proofErr w:type="spellStart"/>
    <w:r w:rsidRPr="003441AA">
      <w:rPr>
        <w:b w:val="0"/>
        <w:sz w:val="18"/>
        <w:szCs w:val="16"/>
      </w:rPr>
      <w:t>C.T.A</w:t>
    </w:r>
    <w:proofErr w:type="spellEnd"/>
    <w:r w:rsidRPr="003441AA">
      <w:rPr>
        <w:b w:val="0"/>
        <w:sz w:val="18"/>
        <w:szCs w:val="16"/>
      </w:rPr>
      <w:t>.</w:t>
    </w:r>
  </w:p>
  <w:p w:rsidR="005A4B1F" w:rsidRPr="00786AB7" w:rsidRDefault="005A4B1F" w:rsidP="003441AA">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026017"/>
    <w:multiLevelType w:val="multilevel"/>
    <w:tmpl w:val="34CA9654"/>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1E96F88"/>
    <w:multiLevelType w:val="hybridMultilevel"/>
    <w:tmpl w:val="F5BA898E"/>
    <w:lvl w:ilvl="0" w:tplc="7A381A1A">
      <w:start w:val="1"/>
      <w:numFmt w:val="upperRoman"/>
      <w:lvlText w:val="%1."/>
      <w:lvlJc w:val="left"/>
      <w:pPr>
        <w:tabs>
          <w:tab w:val="num" w:pos="1080"/>
        </w:tabs>
        <w:ind w:left="1080" w:hanging="720"/>
      </w:pPr>
      <w:rPr>
        <w:rFonts w:hint="default"/>
      </w:rPr>
    </w:lvl>
    <w:lvl w:ilvl="1" w:tplc="B8960AFE">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4"/>
  </w:num>
  <w:num w:numId="5">
    <w:abstractNumId w:val="3"/>
  </w:num>
  <w:num w:numId="6">
    <w:abstractNumId w:val="2"/>
  </w:num>
  <w:num w:numId="7">
    <w:abstractNumId w:val="8"/>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30F1"/>
    <w:rsid w:val="00004102"/>
    <w:rsid w:val="000114CC"/>
    <w:rsid w:val="00013F08"/>
    <w:rsid w:val="000179E3"/>
    <w:rsid w:val="00023947"/>
    <w:rsid w:val="000239ED"/>
    <w:rsid w:val="00024695"/>
    <w:rsid w:val="0002731B"/>
    <w:rsid w:val="000326B7"/>
    <w:rsid w:val="00034A7B"/>
    <w:rsid w:val="00036047"/>
    <w:rsid w:val="00036B66"/>
    <w:rsid w:val="000406C1"/>
    <w:rsid w:val="00040B5F"/>
    <w:rsid w:val="00041EDC"/>
    <w:rsid w:val="00043D77"/>
    <w:rsid w:val="00044B1D"/>
    <w:rsid w:val="00051F1C"/>
    <w:rsid w:val="00053620"/>
    <w:rsid w:val="000625CB"/>
    <w:rsid w:val="000637C3"/>
    <w:rsid w:val="00065E7C"/>
    <w:rsid w:val="00066F9E"/>
    <w:rsid w:val="000676D1"/>
    <w:rsid w:val="000679CB"/>
    <w:rsid w:val="00070596"/>
    <w:rsid w:val="00074C56"/>
    <w:rsid w:val="00074CB2"/>
    <w:rsid w:val="00075BEA"/>
    <w:rsid w:val="0007611A"/>
    <w:rsid w:val="0008307B"/>
    <w:rsid w:val="0008392D"/>
    <w:rsid w:val="00085891"/>
    <w:rsid w:val="00086A59"/>
    <w:rsid w:val="00093A10"/>
    <w:rsid w:val="000940AB"/>
    <w:rsid w:val="000A06D2"/>
    <w:rsid w:val="000A0BC0"/>
    <w:rsid w:val="000A1D1D"/>
    <w:rsid w:val="000A2294"/>
    <w:rsid w:val="000A2D16"/>
    <w:rsid w:val="000A377C"/>
    <w:rsid w:val="000A5ACC"/>
    <w:rsid w:val="000B16B9"/>
    <w:rsid w:val="000B34E6"/>
    <w:rsid w:val="000C1CB1"/>
    <w:rsid w:val="000C2DE8"/>
    <w:rsid w:val="000C324A"/>
    <w:rsid w:val="000C3FD9"/>
    <w:rsid w:val="000D03E8"/>
    <w:rsid w:val="000D04E1"/>
    <w:rsid w:val="000D0F0C"/>
    <w:rsid w:val="000D1161"/>
    <w:rsid w:val="000E5530"/>
    <w:rsid w:val="000E5B32"/>
    <w:rsid w:val="000F0121"/>
    <w:rsid w:val="000F0E9B"/>
    <w:rsid w:val="000F17CF"/>
    <w:rsid w:val="000F39DC"/>
    <w:rsid w:val="000F50CF"/>
    <w:rsid w:val="000F5112"/>
    <w:rsid w:val="000F6C20"/>
    <w:rsid w:val="00106090"/>
    <w:rsid w:val="0010649B"/>
    <w:rsid w:val="0011296D"/>
    <w:rsid w:val="00113859"/>
    <w:rsid w:val="00113D50"/>
    <w:rsid w:val="00114110"/>
    <w:rsid w:val="00114C98"/>
    <w:rsid w:val="00120040"/>
    <w:rsid w:val="00120781"/>
    <w:rsid w:val="00120F3B"/>
    <w:rsid w:val="00123645"/>
    <w:rsid w:val="00135133"/>
    <w:rsid w:val="0013667B"/>
    <w:rsid w:val="00137A8B"/>
    <w:rsid w:val="00143467"/>
    <w:rsid w:val="001438EE"/>
    <w:rsid w:val="00144AEE"/>
    <w:rsid w:val="00145295"/>
    <w:rsid w:val="00150439"/>
    <w:rsid w:val="00153960"/>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35BA"/>
    <w:rsid w:val="00193CB8"/>
    <w:rsid w:val="00195396"/>
    <w:rsid w:val="001A40A6"/>
    <w:rsid w:val="001A4A02"/>
    <w:rsid w:val="001A6C49"/>
    <w:rsid w:val="001B0678"/>
    <w:rsid w:val="001B1CEC"/>
    <w:rsid w:val="001B2D98"/>
    <w:rsid w:val="001B6117"/>
    <w:rsid w:val="001C19A7"/>
    <w:rsid w:val="001C3849"/>
    <w:rsid w:val="001D21EA"/>
    <w:rsid w:val="001D25B8"/>
    <w:rsid w:val="001D385F"/>
    <w:rsid w:val="001D6842"/>
    <w:rsid w:val="001D7243"/>
    <w:rsid w:val="001D72E1"/>
    <w:rsid w:val="001E20ED"/>
    <w:rsid w:val="001E4ABF"/>
    <w:rsid w:val="001E78D4"/>
    <w:rsid w:val="001F0587"/>
    <w:rsid w:val="001F3236"/>
    <w:rsid w:val="001F5F54"/>
    <w:rsid w:val="001F75DB"/>
    <w:rsid w:val="0020058F"/>
    <w:rsid w:val="00202349"/>
    <w:rsid w:val="0020402E"/>
    <w:rsid w:val="0021004F"/>
    <w:rsid w:val="0021049E"/>
    <w:rsid w:val="00214593"/>
    <w:rsid w:val="00215037"/>
    <w:rsid w:val="00216556"/>
    <w:rsid w:val="0022029F"/>
    <w:rsid w:val="00224952"/>
    <w:rsid w:val="002343D3"/>
    <w:rsid w:val="00236AB4"/>
    <w:rsid w:val="00236B1A"/>
    <w:rsid w:val="0023776B"/>
    <w:rsid w:val="002412C3"/>
    <w:rsid w:val="00241B68"/>
    <w:rsid w:val="00241C7D"/>
    <w:rsid w:val="0024458E"/>
    <w:rsid w:val="00245D03"/>
    <w:rsid w:val="002475D1"/>
    <w:rsid w:val="00251A6B"/>
    <w:rsid w:val="0025238E"/>
    <w:rsid w:val="00255D08"/>
    <w:rsid w:val="00262B13"/>
    <w:rsid w:val="00262CF1"/>
    <w:rsid w:val="0026331F"/>
    <w:rsid w:val="002643CE"/>
    <w:rsid w:val="00282A22"/>
    <w:rsid w:val="0028499E"/>
    <w:rsid w:val="00286723"/>
    <w:rsid w:val="00287926"/>
    <w:rsid w:val="0029128F"/>
    <w:rsid w:val="002912C4"/>
    <w:rsid w:val="00292415"/>
    <w:rsid w:val="00292FD7"/>
    <w:rsid w:val="002947C1"/>
    <w:rsid w:val="002A0211"/>
    <w:rsid w:val="002A7EB8"/>
    <w:rsid w:val="002B0062"/>
    <w:rsid w:val="002B27FB"/>
    <w:rsid w:val="002B34A0"/>
    <w:rsid w:val="002B3F86"/>
    <w:rsid w:val="002B3F9A"/>
    <w:rsid w:val="002B4471"/>
    <w:rsid w:val="002B6847"/>
    <w:rsid w:val="002B79BD"/>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4D78"/>
    <w:rsid w:val="002E62D3"/>
    <w:rsid w:val="002F10F3"/>
    <w:rsid w:val="002F1E32"/>
    <w:rsid w:val="002F2298"/>
    <w:rsid w:val="00304325"/>
    <w:rsid w:val="003045C3"/>
    <w:rsid w:val="00305B40"/>
    <w:rsid w:val="00307897"/>
    <w:rsid w:val="003111A3"/>
    <w:rsid w:val="00312A49"/>
    <w:rsid w:val="00314C72"/>
    <w:rsid w:val="003154A0"/>
    <w:rsid w:val="00321633"/>
    <w:rsid w:val="003220E3"/>
    <w:rsid w:val="003233A9"/>
    <w:rsid w:val="00332B14"/>
    <w:rsid w:val="003356E7"/>
    <w:rsid w:val="00336B9B"/>
    <w:rsid w:val="00337802"/>
    <w:rsid w:val="00337D6F"/>
    <w:rsid w:val="003441AA"/>
    <w:rsid w:val="00344868"/>
    <w:rsid w:val="003452F2"/>
    <w:rsid w:val="00350177"/>
    <w:rsid w:val="00351118"/>
    <w:rsid w:val="003559B2"/>
    <w:rsid w:val="00355C7A"/>
    <w:rsid w:val="00357AAD"/>
    <w:rsid w:val="0036044B"/>
    <w:rsid w:val="00360E18"/>
    <w:rsid w:val="0037329B"/>
    <w:rsid w:val="00381997"/>
    <w:rsid w:val="00390C4E"/>
    <w:rsid w:val="003A07C5"/>
    <w:rsid w:val="003A6EDD"/>
    <w:rsid w:val="003B1C54"/>
    <w:rsid w:val="003B1D1C"/>
    <w:rsid w:val="003B2CCF"/>
    <w:rsid w:val="003B306F"/>
    <w:rsid w:val="003B35B0"/>
    <w:rsid w:val="003B7B42"/>
    <w:rsid w:val="003B7E03"/>
    <w:rsid w:val="003C0C2E"/>
    <w:rsid w:val="003C1BAE"/>
    <w:rsid w:val="003C271A"/>
    <w:rsid w:val="003C4253"/>
    <w:rsid w:val="003C5AC3"/>
    <w:rsid w:val="003C6BF3"/>
    <w:rsid w:val="003E7D06"/>
    <w:rsid w:val="003F2590"/>
    <w:rsid w:val="003F297E"/>
    <w:rsid w:val="003F4BCE"/>
    <w:rsid w:val="00401240"/>
    <w:rsid w:val="00402DE0"/>
    <w:rsid w:val="0040388C"/>
    <w:rsid w:val="00406486"/>
    <w:rsid w:val="00406F75"/>
    <w:rsid w:val="004075C8"/>
    <w:rsid w:val="004156B8"/>
    <w:rsid w:val="00417498"/>
    <w:rsid w:val="00417805"/>
    <w:rsid w:val="00420319"/>
    <w:rsid w:val="00422F18"/>
    <w:rsid w:val="00424017"/>
    <w:rsid w:val="0042631F"/>
    <w:rsid w:val="00427396"/>
    <w:rsid w:val="004312EE"/>
    <w:rsid w:val="004317A6"/>
    <w:rsid w:val="004322A8"/>
    <w:rsid w:val="00433F2B"/>
    <w:rsid w:val="0043748C"/>
    <w:rsid w:val="004403B9"/>
    <w:rsid w:val="00440C4E"/>
    <w:rsid w:val="0044115F"/>
    <w:rsid w:val="00442D39"/>
    <w:rsid w:val="00445615"/>
    <w:rsid w:val="00450985"/>
    <w:rsid w:val="00454C98"/>
    <w:rsid w:val="00455B64"/>
    <w:rsid w:val="004578C7"/>
    <w:rsid w:val="00460DA7"/>
    <w:rsid w:val="004619F0"/>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C582A"/>
    <w:rsid w:val="004D1DE9"/>
    <w:rsid w:val="004D2570"/>
    <w:rsid w:val="004D31E6"/>
    <w:rsid w:val="004E0CB5"/>
    <w:rsid w:val="004E2638"/>
    <w:rsid w:val="004E5F49"/>
    <w:rsid w:val="004E714C"/>
    <w:rsid w:val="004F1126"/>
    <w:rsid w:val="004F5600"/>
    <w:rsid w:val="004F70D2"/>
    <w:rsid w:val="004F768E"/>
    <w:rsid w:val="0050310D"/>
    <w:rsid w:val="00520346"/>
    <w:rsid w:val="00520BA6"/>
    <w:rsid w:val="00524273"/>
    <w:rsid w:val="00527338"/>
    <w:rsid w:val="00527D7F"/>
    <w:rsid w:val="0053161F"/>
    <w:rsid w:val="0053305F"/>
    <w:rsid w:val="005352C6"/>
    <w:rsid w:val="00543420"/>
    <w:rsid w:val="005459E8"/>
    <w:rsid w:val="005464B9"/>
    <w:rsid w:val="00550084"/>
    <w:rsid w:val="0055036C"/>
    <w:rsid w:val="0055094C"/>
    <w:rsid w:val="00552824"/>
    <w:rsid w:val="00554593"/>
    <w:rsid w:val="00555394"/>
    <w:rsid w:val="00557167"/>
    <w:rsid w:val="00560E3C"/>
    <w:rsid w:val="00563016"/>
    <w:rsid w:val="00564046"/>
    <w:rsid w:val="00572517"/>
    <w:rsid w:val="0057383F"/>
    <w:rsid w:val="005743F2"/>
    <w:rsid w:val="00575E70"/>
    <w:rsid w:val="0058455A"/>
    <w:rsid w:val="005848B2"/>
    <w:rsid w:val="0059189F"/>
    <w:rsid w:val="00595E53"/>
    <w:rsid w:val="00596E39"/>
    <w:rsid w:val="005A1ADB"/>
    <w:rsid w:val="005A4516"/>
    <w:rsid w:val="005A4B1F"/>
    <w:rsid w:val="005A7C19"/>
    <w:rsid w:val="005B46E6"/>
    <w:rsid w:val="005B6C2E"/>
    <w:rsid w:val="005C0D5C"/>
    <w:rsid w:val="005C5EAE"/>
    <w:rsid w:val="005C7F80"/>
    <w:rsid w:val="005D0402"/>
    <w:rsid w:val="005D34A6"/>
    <w:rsid w:val="005D34E8"/>
    <w:rsid w:val="005D4ECA"/>
    <w:rsid w:val="005D5285"/>
    <w:rsid w:val="005D708E"/>
    <w:rsid w:val="005D7348"/>
    <w:rsid w:val="005E2BE1"/>
    <w:rsid w:val="005E78E6"/>
    <w:rsid w:val="005F2E44"/>
    <w:rsid w:val="00606C7B"/>
    <w:rsid w:val="006112F3"/>
    <w:rsid w:val="00617180"/>
    <w:rsid w:val="00621A86"/>
    <w:rsid w:val="00621B26"/>
    <w:rsid w:val="00622113"/>
    <w:rsid w:val="006249DD"/>
    <w:rsid w:val="00626FAE"/>
    <w:rsid w:val="00627A56"/>
    <w:rsid w:val="00636087"/>
    <w:rsid w:val="006369D3"/>
    <w:rsid w:val="00644533"/>
    <w:rsid w:val="00651197"/>
    <w:rsid w:val="00652107"/>
    <w:rsid w:val="0065562D"/>
    <w:rsid w:val="0065601B"/>
    <w:rsid w:val="006561BB"/>
    <w:rsid w:val="00656DCE"/>
    <w:rsid w:val="00657961"/>
    <w:rsid w:val="00662C67"/>
    <w:rsid w:val="006651ED"/>
    <w:rsid w:val="00665209"/>
    <w:rsid w:val="0066586A"/>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266F"/>
    <w:rsid w:val="006A565A"/>
    <w:rsid w:val="006B030A"/>
    <w:rsid w:val="006B0A44"/>
    <w:rsid w:val="006B23E4"/>
    <w:rsid w:val="006B387F"/>
    <w:rsid w:val="006C0845"/>
    <w:rsid w:val="006C64B9"/>
    <w:rsid w:val="006C709B"/>
    <w:rsid w:val="006D52FA"/>
    <w:rsid w:val="006D7FA5"/>
    <w:rsid w:val="006E0347"/>
    <w:rsid w:val="006E6624"/>
    <w:rsid w:val="006E776A"/>
    <w:rsid w:val="006F0705"/>
    <w:rsid w:val="006F0ABB"/>
    <w:rsid w:val="006F7D8B"/>
    <w:rsid w:val="0070197E"/>
    <w:rsid w:val="00702460"/>
    <w:rsid w:val="007069C4"/>
    <w:rsid w:val="00711984"/>
    <w:rsid w:val="00711D63"/>
    <w:rsid w:val="00712ACE"/>
    <w:rsid w:val="00715BB5"/>
    <w:rsid w:val="00715C75"/>
    <w:rsid w:val="00716985"/>
    <w:rsid w:val="00720D2F"/>
    <w:rsid w:val="00725470"/>
    <w:rsid w:val="00725AF0"/>
    <w:rsid w:val="0072708A"/>
    <w:rsid w:val="00734BD7"/>
    <w:rsid w:val="0073590F"/>
    <w:rsid w:val="007406EB"/>
    <w:rsid w:val="00741F9E"/>
    <w:rsid w:val="007432B1"/>
    <w:rsid w:val="00744EA3"/>
    <w:rsid w:val="00746AC9"/>
    <w:rsid w:val="00752095"/>
    <w:rsid w:val="00752121"/>
    <w:rsid w:val="0075304A"/>
    <w:rsid w:val="007550F0"/>
    <w:rsid w:val="007564D7"/>
    <w:rsid w:val="00760011"/>
    <w:rsid w:val="007607CA"/>
    <w:rsid w:val="007626E8"/>
    <w:rsid w:val="007645AF"/>
    <w:rsid w:val="0076525C"/>
    <w:rsid w:val="00767EAD"/>
    <w:rsid w:val="0077047A"/>
    <w:rsid w:val="00774143"/>
    <w:rsid w:val="007764DE"/>
    <w:rsid w:val="00783CEF"/>
    <w:rsid w:val="007840E1"/>
    <w:rsid w:val="00786AB7"/>
    <w:rsid w:val="00792CBB"/>
    <w:rsid w:val="00792E9F"/>
    <w:rsid w:val="00796FD8"/>
    <w:rsid w:val="007978DA"/>
    <w:rsid w:val="00797D49"/>
    <w:rsid w:val="007A3913"/>
    <w:rsid w:val="007B0E4C"/>
    <w:rsid w:val="007B1781"/>
    <w:rsid w:val="007B48AC"/>
    <w:rsid w:val="007B6D3B"/>
    <w:rsid w:val="007C032D"/>
    <w:rsid w:val="007C303B"/>
    <w:rsid w:val="007C4541"/>
    <w:rsid w:val="007D1392"/>
    <w:rsid w:val="007D4D1B"/>
    <w:rsid w:val="007D5E36"/>
    <w:rsid w:val="007E305B"/>
    <w:rsid w:val="007E3FB8"/>
    <w:rsid w:val="007E5C10"/>
    <w:rsid w:val="007F078C"/>
    <w:rsid w:val="007F1A20"/>
    <w:rsid w:val="007F26BC"/>
    <w:rsid w:val="007F29CF"/>
    <w:rsid w:val="007F3A97"/>
    <w:rsid w:val="007F4FE9"/>
    <w:rsid w:val="007F6CF8"/>
    <w:rsid w:val="007F7568"/>
    <w:rsid w:val="007F7A39"/>
    <w:rsid w:val="008000A5"/>
    <w:rsid w:val="00803527"/>
    <w:rsid w:val="0080487B"/>
    <w:rsid w:val="00805442"/>
    <w:rsid w:val="00805A6B"/>
    <w:rsid w:val="00805B99"/>
    <w:rsid w:val="00811ED6"/>
    <w:rsid w:val="00815CF0"/>
    <w:rsid w:val="00817230"/>
    <w:rsid w:val="00824488"/>
    <w:rsid w:val="0082538D"/>
    <w:rsid w:val="0082579D"/>
    <w:rsid w:val="008303B6"/>
    <w:rsid w:val="00834461"/>
    <w:rsid w:val="00834745"/>
    <w:rsid w:val="0083611E"/>
    <w:rsid w:val="00850A32"/>
    <w:rsid w:val="00851806"/>
    <w:rsid w:val="00851E20"/>
    <w:rsid w:val="00853D9C"/>
    <w:rsid w:val="00854CFD"/>
    <w:rsid w:val="00856406"/>
    <w:rsid w:val="00857358"/>
    <w:rsid w:val="0085791F"/>
    <w:rsid w:val="008714DD"/>
    <w:rsid w:val="00873EA9"/>
    <w:rsid w:val="00874A27"/>
    <w:rsid w:val="00875E61"/>
    <w:rsid w:val="0087610E"/>
    <w:rsid w:val="0087619F"/>
    <w:rsid w:val="0088338B"/>
    <w:rsid w:val="00890D2D"/>
    <w:rsid w:val="00891235"/>
    <w:rsid w:val="00895A46"/>
    <w:rsid w:val="008A0B12"/>
    <w:rsid w:val="008A1EA2"/>
    <w:rsid w:val="008A1F25"/>
    <w:rsid w:val="008A46FC"/>
    <w:rsid w:val="008A5C50"/>
    <w:rsid w:val="008B04BB"/>
    <w:rsid w:val="008B2772"/>
    <w:rsid w:val="008B27B1"/>
    <w:rsid w:val="008B56FA"/>
    <w:rsid w:val="008C17D0"/>
    <w:rsid w:val="008D249C"/>
    <w:rsid w:val="008D32CC"/>
    <w:rsid w:val="008D4015"/>
    <w:rsid w:val="008D402F"/>
    <w:rsid w:val="008D71D3"/>
    <w:rsid w:val="008D7B4D"/>
    <w:rsid w:val="008E3047"/>
    <w:rsid w:val="008E3468"/>
    <w:rsid w:val="008E721A"/>
    <w:rsid w:val="008F0041"/>
    <w:rsid w:val="008F0EB2"/>
    <w:rsid w:val="008F2D42"/>
    <w:rsid w:val="008F3EA8"/>
    <w:rsid w:val="008F7B9D"/>
    <w:rsid w:val="009047F3"/>
    <w:rsid w:val="00904FC9"/>
    <w:rsid w:val="009057C3"/>
    <w:rsid w:val="00905BD3"/>
    <w:rsid w:val="00912FCF"/>
    <w:rsid w:val="0091742D"/>
    <w:rsid w:val="00923C31"/>
    <w:rsid w:val="00926CAC"/>
    <w:rsid w:val="00930B71"/>
    <w:rsid w:val="0093203A"/>
    <w:rsid w:val="00933D88"/>
    <w:rsid w:val="00941349"/>
    <w:rsid w:val="00941F15"/>
    <w:rsid w:val="00943F86"/>
    <w:rsid w:val="009441CD"/>
    <w:rsid w:val="00945486"/>
    <w:rsid w:val="00946719"/>
    <w:rsid w:val="009479E2"/>
    <w:rsid w:val="009522B6"/>
    <w:rsid w:val="00954925"/>
    <w:rsid w:val="00963879"/>
    <w:rsid w:val="00963B40"/>
    <w:rsid w:val="009653D4"/>
    <w:rsid w:val="00970D35"/>
    <w:rsid w:val="00970F26"/>
    <w:rsid w:val="009754C0"/>
    <w:rsid w:val="009805B3"/>
    <w:rsid w:val="00991850"/>
    <w:rsid w:val="00996F4A"/>
    <w:rsid w:val="009A116D"/>
    <w:rsid w:val="009A2C52"/>
    <w:rsid w:val="009A46B4"/>
    <w:rsid w:val="009B026D"/>
    <w:rsid w:val="009B0ED6"/>
    <w:rsid w:val="009B3547"/>
    <w:rsid w:val="009B3B1E"/>
    <w:rsid w:val="009B598C"/>
    <w:rsid w:val="009C2AD1"/>
    <w:rsid w:val="009C57B6"/>
    <w:rsid w:val="009D0A19"/>
    <w:rsid w:val="009E2FBC"/>
    <w:rsid w:val="009E734E"/>
    <w:rsid w:val="009F132C"/>
    <w:rsid w:val="009F144D"/>
    <w:rsid w:val="00A01A02"/>
    <w:rsid w:val="00A025AC"/>
    <w:rsid w:val="00A04CC3"/>
    <w:rsid w:val="00A04DF8"/>
    <w:rsid w:val="00A067A3"/>
    <w:rsid w:val="00A12FAC"/>
    <w:rsid w:val="00A162D8"/>
    <w:rsid w:val="00A16F4D"/>
    <w:rsid w:val="00A2005B"/>
    <w:rsid w:val="00A21457"/>
    <w:rsid w:val="00A22B70"/>
    <w:rsid w:val="00A2305D"/>
    <w:rsid w:val="00A25DB9"/>
    <w:rsid w:val="00A323F9"/>
    <w:rsid w:val="00A34BE8"/>
    <w:rsid w:val="00A36BF6"/>
    <w:rsid w:val="00A37A7E"/>
    <w:rsid w:val="00A37EA7"/>
    <w:rsid w:val="00A41195"/>
    <w:rsid w:val="00A46497"/>
    <w:rsid w:val="00A523C2"/>
    <w:rsid w:val="00A53F45"/>
    <w:rsid w:val="00A5573E"/>
    <w:rsid w:val="00A55EC0"/>
    <w:rsid w:val="00A61E91"/>
    <w:rsid w:val="00A64B1C"/>
    <w:rsid w:val="00A66640"/>
    <w:rsid w:val="00A66E3A"/>
    <w:rsid w:val="00A716C1"/>
    <w:rsid w:val="00A776CD"/>
    <w:rsid w:val="00A805C7"/>
    <w:rsid w:val="00A80AD4"/>
    <w:rsid w:val="00A82783"/>
    <w:rsid w:val="00A82AA3"/>
    <w:rsid w:val="00A90F5C"/>
    <w:rsid w:val="00A91F08"/>
    <w:rsid w:val="00A94F97"/>
    <w:rsid w:val="00AA25EC"/>
    <w:rsid w:val="00AA3DA4"/>
    <w:rsid w:val="00AA4699"/>
    <w:rsid w:val="00AA5B4C"/>
    <w:rsid w:val="00AA7C3F"/>
    <w:rsid w:val="00AB23A2"/>
    <w:rsid w:val="00AB491A"/>
    <w:rsid w:val="00AB4DDE"/>
    <w:rsid w:val="00AB6112"/>
    <w:rsid w:val="00AB6D65"/>
    <w:rsid w:val="00AC5573"/>
    <w:rsid w:val="00AD18A0"/>
    <w:rsid w:val="00AD1F6F"/>
    <w:rsid w:val="00AD2AFA"/>
    <w:rsid w:val="00AD4DF3"/>
    <w:rsid w:val="00AD4FF8"/>
    <w:rsid w:val="00AE0B3B"/>
    <w:rsid w:val="00AE0B72"/>
    <w:rsid w:val="00AE1C53"/>
    <w:rsid w:val="00AE549A"/>
    <w:rsid w:val="00AE75FB"/>
    <w:rsid w:val="00AF01EE"/>
    <w:rsid w:val="00AF1C0A"/>
    <w:rsid w:val="00AF50EA"/>
    <w:rsid w:val="00AF6FF2"/>
    <w:rsid w:val="00AF76F5"/>
    <w:rsid w:val="00B003AC"/>
    <w:rsid w:val="00B10EE6"/>
    <w:rsid w:val="00B13882"/>
    <w:rsid w:val="00B1445F"/>
    <w:rsid w:val="00B15202"/>
    <w:rsid w:val="00B153F2"/>
    <w:rsid w:val="00B17115"/>
    <w:rsid w:val="00B17DC3"/>
    <w:rsid w:val="00B20184"/>
    <w:rsid w:val="00B21FE8"/>
    <w:rsid w:val="00B23190"/>
    <w:rsid w:val="00B36691"/>
    <w:rsid w:val="00B41E4B"/>
    <w:rsid w:val="00B44D68"/>
    <w:rsid w:val="00B4604F"/>
    <w:rsid w:val="00B51920"/>
    <w:rsid w:val="00B5267E"/>
    <w:rsid w:val="00B5500C"/>
    <w:rsid w:val="00B55487"/>
    <w:rsid w:val="00B6050A"/>
    <w:rsid w:val="00B63755"/>
    <w:rsid w:val="00B657FB"/>
    <w:rsid w:val="00B65C30"/>
    <w:rsid w:val="00B71321"/>
    <w:rsid w:val="00B76AB2"/>
    <w:rsid w:val="00B76F17"/>
    <w:rsid w:val="00B86FD4"/>
    <w:rsid w:val="00B907F3"/>
    <w:rsid w:val="00B964FF"/>
    <w:rsid w:val="00B9777F"/>
    <w:rsid w:val="00BA095E"/>
    <w:rsid w:val="00BA536A"/>
    <w:rsid w:val="00BA5789"/>
    <w:rsid w:val="00BA5A54"/>
    <w:rsid w:val="00BA6BE8"/>
    <w:rsid w:val="00BB250D"/>
    <w:rsid w:val="00BB337E"/>
    <w:rsid w:val="00BB718A"/>
    <w:rsid w:val="00BC1F0D"/>
    <w:rsid w:val="00BC30CC"/>
    <w:rsid w:val="00BD0A60"/>
    <w:rsid w:val="00BD1A88"/>
    <w:rsid w:val="00BD1CD4"/>
    <w:rsid w:val="00BD652A"/>
    <w:rsid w:val="00BD6531"/>
    <w:rsid w:val="00BE3E74"/>
    <w:rsid w:val="00BE74EC"/>
    <w:rsid w:val="00BE7AFA"/>
    <w:rsid w:val="00BE7EEC"/>
    <w:rsid w:val="00BF06A7"/>
    <w:rsid w:val="00BF0942"/>
    <w:rsid w:val="00BF15D7"/>
    <w:rsid w:val="00BF54A9"/>
    <w:rsid w:val="00BF5E0B"/>
    <w:rsid w:val="00C03D50"/>
    <w:rsid w:val="00C0544C"/>
    <w:rsid w:val="00C05D42"/>
    <w:rsid w:val="00C06FA9"/>
    <w:rsid w:val="00C07D20"/>
    <w:rsid w:val="00C15AB8"/>
    <w:rsid w:val="00C22C85"/>
    <w:rsid w:val="00C23207"/>
    <w:rsid w:val="00C30402"/>
    <w:rsid w:val="00C33DFD"/>
    <w:rsid w:val="00C3770A"/>
    <w:rsid w:val="00C40D5D"/>
    <w:rsid w:val="00C4158D"/>
    <w:rsid w:val="00C417B3"/>
    <w:rsid w:val="00C4205E"/>
    <w:rsid w:val="00C423A9"/>
    <w:rsid w:val="00C44797"/>
    <w:rsid w:val="00C4742A"/>
    <w:rsid w:val="00C54CA5"/>
    <w:rsid w:val="00C54DFF"/>
    <w:rsid w:val="00C54E5D"/>
    <w:rsid w:val="00C55F33"/>
    <w:rsid w:val="00C56D5E"/>
    <w:rsid w:val="00C57114"/>
    <w:rsid w:val="00C57D7A"/>
    <w:rsid w:val="00C61DD9"/>
    <w:rsid w:val="00C709D8"/>
    <w:rsid w:val="00C721CC"/>
    <w:rsid w:val="00C73024"/>
    <w:rsid w:val="00C74F6C"/>
    <w:rsid w:val="00C82E78"/>
    <w:rsid w:val="00C8339E"/>
    <w:rsid w:val="00C90A12"/>
    <w:rsid w:val="00C96A67"/>
    <w:rsid w:val="00CA0A42"/>
    <w:rsid w:val="00CA266A"/>
    <w:rsid w:val="00CA3CF4"/>
    <w:rsid w:val="00CA3DC4"/>
    <w:rsid w:val="00CA42D7"/>
    <w:rsid w:val="00CA6EA2"/>
    <w:rsid w:val="00CA7B8A"/>
    <w:rsid w:val="00CB3933"/>
    <w:rsid w:val="00CB43EB"/>
    <w:rsid w:val="00CB5EE6"/>
    <w:rsid w:val="00CB633C"/>
    <w:rsid w:val="00CB7166"/>
    <w:rsid w:val="00CB71E8"/>
    <w:rsid w:val="00CC0235"/>
    <w:rsid w:val="00CC03FA"/>
    <w:rsid w:val="00CC10B3"/>
    <w:rsid w:val="00CC26B7"/>
    <w:rsid w:val="00CC366D"/>
    <w:rsid w:val="00CC502B"/>
    <w:rsid w:val="00CC6CCE"/>
    <w:rsid w:val="00CC755E"/>
    <w:rsid w:val="00CC7D03"/>
    <w:rsid w:val="00CD4EB3"/>
    <w:rsid w:val="00CD5D3D"/>
    <w:rsid w:val="00CE3B50"/>
    <w:rsid w:val="00CE4F13"/>
    <w:rsid w:val="00CF1C7B"/>
    <w:rsid w:val="00CF4421"/>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511B"/>
    <w:rsid w:val="00D57060"/>
    <w:rsid w:val="00D628A4"/>
    <w:rsid w:val="00D70F71"/>
    <w:rsid w:val="00D756B3"/>
    <w:rsid w:val="00D75FAC"/>
    <w:rsid w:val="00D76E9B"/>
    <w:rsid w:val="00D77A95"/>
    <w:rsid w:val="00D803AD"/>
    <w:rsid w:val="00D8225A"/>
    <w:rsid w:val="00D83CF7"/>
    <w:rsid w:val="00D85098"/>
    <w:rsid w:val="00D86D02"/>
    <w:rsid w:val="00D933F6"/>
    <w:rsid w:val="00D94AFB"/>
    <w:rsid w:val="00DA2266"/>
    <w:rsid w:val="00DA27ED"/>
    <w:rsid w:val="00DA2975"/>
    <w:rsid w:val="00DA3CC3"/>
    <w:rsid w:val="00DA4603"/>
    <w:rsid w:val="00DB48BE"/>
    <w:rsid w:val="00DC0C6D"/>
    <w:rsid w:val="00DC0E0D"/>
    <w:rsid w:val="00DC168B"/>
    <w:rsid w:val="00DC2A48"/>
    <w:rsid w:val="00DC301A"/>
    <w:rsid w:val="00DC387E"/>
    <w:rsid w:val="00DC4A0D"/>
    <w:rsid w:val="00DC5111"/>
    <w:rsid w:val="00DC72F1"/>
    <w:rsid w:val="00DD1F8F"/>
    <w:rsid w:val="00DD2D76"/>
    <w:rsid w:val="00DD3480"/>
    <w:rsid w:val="00DE126F"/>
    <w:rsid w:val="00DE12B0"/>
    <w:rsid w:val="00DE21D9"/>
    <w:rsid w:val="00DE29FC"/>
    <w:rsid w:val="00DF0E18"/>
    <w:rsid w:val="00DF2FF5"/>
    <w:rsid w:val="00DF3263"/>
    <w:rsid w:val="00DF5CAE"/>
    <w:rsid w:val="00DF66F1"/>
    <w:rsid w:val="00DF6B95"/>
    <w:rsid w:val="00E0074B"/>
    <w:rsid w:val="00E0457B"/>
    <w:rsid w:val="00E04CBC"/>
    <w:rsid w:val="00E051A4"/>
    <w:rsid w:val="00E053D4"/>
    <w:rsid w:val="00E05934"/>
    <w:rsid w:val="00E05AE9"/>
    <w:rsid w:val="00E06246"/>
    <w:rsid w:val="00E07E0E"/>
    <w:rsid w:val="00E123EF"/>
    <w:rsid w:val="00E14925"/>
    <w:rsid w:val="00E15500"/>
    <w:rsid w:val="00E15A64"/>
    <w:rsid w:val="00E17D36"/>
    <w:rsid w:val="00E17DDF"/>
    <w:rsid w:val="00E20E85"/>
    <w:rsid w:val="00E2355D"/>
    <w:rsid w:val="00E24FAC"/>
    <w:rsid w:val="00E26303"/>
    <w:rsid w:val="00E30C2A"/>
    <w:rsid w:val="00E334D1"/>
    <w:rsid w:val="00E34C8A"/>
    <w:rsid w:val="00E350AC"/>
    <w:rsid w:val="00E37D67"/>
    <w:rsid w:val="00E411C7"/>
    <w:rsid w:val="00E428EA"/>
    <w:rsid w:val="00E42CF8"/>
    <w:rsid w:val="00E44962"/>
    <w:rsid w:val="00E4570D"/>
    <w:rsid w:val="00E47540"/>
    <w:rsid w:val="00E51A44"/>
    <w:rsid w:val="00E51D32"/>
    <w:rsid w:val="00E606A9"/>
    <w:rsid w:val="00E61142"/>
    <w:rsid w:val="00E6496A"/>
    <w:rsid w:val="00E706AC"/>
    <w:rsid w:val="00E80B52"/>
    <w:rsid w:val="00E81AFE"/>
    <w:rsid w:val="00E908B8"/>
    <w:rsid w:val="00E90EA9"/>
    <w:rsid w:val="00E9253C"/>
    <w:rsid w:val="00E9428E"/>
    <w:rsid w:val="00E951AA"/>
    <w:rsid w:val="00EA2018"/>
    <w:rsid w:val="00EA580C"/>
    <w:rsid w:val="00EA5FBE"/>
    <w:rsid w:val="00EB41B5"/>
    <w:rsid w:val="00EB7D57"/>
    <w:rsid w:val="00ED6EA3"/>
    <w:rsid w:val="00EE0BFD"/>
    <w:rsid w:val="00EE0D49"/>
    <w:rsid w:val="00EE1546"/>
    <w:rsid w:val="00EE1AB3"/>
    <w:rsid w:val="00EE2371"/>
    <w:rsid w:val="00EE2442"/>
    <w:rsid w:val="00EE2535"/>
    <w:rsid w:val="00EF112C"/>
    <w:rsid w:val="00EF1965"/>
    <w:rsid w:val="00EF2E32"/>
    <w:rsid w:val="00EF65BF"/>
    <w:rsid w:val="00F04056"/>
    <w:rsid w:val="00F1112A"/>
    <w:rsid w:val="00F11FFF"/>
    <w:rsid w:val="00F1335D"/>
    <w:rsid w:val="00F14EFA"/>
    <w:rsid w:val="00F15705"/>
    <w:rsid w:val="00F22561"/>
    <w:rsid w:val="00F23F3F"/>
    <w:rsid w:val="00F36995"/>
    <w:rsid w:val="00F37868"/>
    <w:rsid w:val="00F47C8F"/>
    <w:rsid w:val="00F502CC"/>
    <w:rsid w:val="00F534DC"/>
    <w:rsid w:val="00F5661E"/>
    <w:rsid w:val="00F6011D"/>
    <w:rsid w:val="00F65DBA"/>
    <w:rsid w:val="00F67DAA"/>
    <w:rsid w:val="00F71E97"/>
    <w:rsid w:val="00F7771E"/>
    <w:rsid w:val="00F77FBC"/>
    <w:rsid w:val="00F80C78"/>
    <w:rsid w:val="00F80DC5"/>
    <w:rsid w:val="00F8158D"/>
    <w:rsid w:val="00F81D58"/>
    <w:rsid w:val="00F833BF"/>
    <w:rsid w:val="00F85F64"/>
    <w:rsid w:val="00F872C9"/>
    <w:rsid w:val="00F91850"/>
    <w:rsid w:val="00F9780F"/>
    <w:rsid w:val="00FA130E"/>
    <w:rsid w:val="00FA28B8"/>
    <w:rsid w:val="00FA56F5"/>
    <w:rsid w:val="00FA7F4E"/>
    <w:rsid w:val="00FB2D4B"/>
    <w:rsid w:val="00FB31A2"/>
    <w:rsid w:val="00FB627A"/>
    <w:rsid w:val="00FC677B"/>
    <w:rsid w:val="00FD0349"/>
    <w:rsid w:val="00FD6F15"/>
    <w:rsid w:val="00FD7CF3"/>
    <w:rsid w:val="00FE10C2"/>
    <w:rsid w:val="00FE1822"/>
    <w:rsid w:val="00FE1DC7"/>
    <w:rsid w:val="00FE41F1"/>
    <w:rsid w:val="00FF2761"/>
    <w:rsid w:val="00FF30B2"/>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1">
    <w:name w:val="heading 1"/>
    <w:basedOn w:val="Normal"/>
    <w:next w:val="Normal"/>
    <w:link w:val="Ttulo1Car"/>
    <w:qFormat/>
    <w:rsid w:val="00F040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4056"/>
    <w:rPr>
      <w:rFonts w:asciiTheme="majorHAnsi" w:eastAsiaTheme="majorEastAsia" w:hAnsiTheme="majorHAnsi" w:cstheme="majorBidi"/>
      <w:color w:val="2E74B5" w:themeColor="accent1" w:themeShade="BF"/>
      <w:sz w:val="32"/>
      <w:szCs w:val="32"/>
    </w:rPr>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D3635B"/>
    <w:rPr>
      <w:rFonts w:ascii="Arial" w:hAnsi="Arial" w:cs="Arial"/>
      <w:b/>
      <w:sz w:val="24"/>
      <w:szCs w:val="24"/>
      <w:lang w:val="es-ES" w:eastAsia="es-ES" w:bidi="ar-SA"/>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TextoindependienteCar">
    <w:name w:val="Texto independiente Car"/>
    <w:link w:val="Textoindependiente"/>
    <w:rsid w:val="00460DA7"/>
    <w:rPr>
      <w:sz w:val="24"/>
      <w:szCs w:val="24"/>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styleId="Hipervnculo">
    <w:name w:val="Hyperlink"/>
    <w:uiPriority w:val="99"/>
    <w:rsid w:val="00460DA7"/>
    <w:rPr>
      <w:color w:val="0000FF"/>
      <w:u w:val="single"/>
    </w:rPr>
  </w:style>
  <w:style w:type="character" w:styleId="nfasis">
    <w:name w:val="Emphasis"/>
    <w:basedOn w:val="Fuentedeprrafopredeter"/>
    <w:qFormat/>
    <w:rsid w:val="00A06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6092">
      <w:bodyDiv w:val="1"/>
      <w:marLeft w:val="0"/>
      <w:marRight w:val="0"/>
      <w:marTop w:val="0"/>
      <w:marBottom w:val="0"/>
      <w:divBdr>
        <w:top w:val="none" w:sz="0" w:space="0" w:color="auto"/>
        <w:left w:val="none" w:sz="0" w:space="0" w:color="auto"/>
        <w:bottom w:val="none" w:sz="0" w:space="0" w:color="auto"/>
        <w:right w:val="none" w:sz="0" w:space="0" w:color="auto"/>
      </w:divBdr>
    </w:div>
    <w:div w:id="1016541886">
      <w:bodyDiv w:val="1"/>
      <w:marLeft w:val="0"/>
      <w:marRight w:val="0"/>
      <w:marTop w:val="0"/>
      <w:marBottom w:val="0"/>
      <w:divBdr>
        <w:top w:val="none" w:sz="0" w:space="0" w:color="auto"/>
        <w:left w:val="none" w:sz="0" w:space="0" w:color="auto"/>
        <w:bottom w:val="none" w:sz="0" w:space="0" w:color="auto"/>
        <w:right w:val="none" w:sz="0" w:space="0" w:color="auto"/>
      </w:divBdr>
    </w:div>
    <w:div w:id="1075473593">
      <w:bodyDiv w:val="1"/>
      <w:marLeft w:val="0"/>
      <w:marRight w:val="0"/>
      <w:marTop w:val="0"/>
      <w:marBottom w:val="0"/>
      <w:divBdr>
        <w:top w:val="none" w:sz="0" w:space="0" w:color="auto"/>
        <w:left w:val="none" w:sz="0" w:space="0" w:color="auto"/>
        <w:bottom w:val="none" w:sz="0" w:space="0" w:color="auto"/>
        <w:right w:val="none" w:sz="0" w:space="0" w:color="auto"/>
      </w:divBdr>
    </w:div>
    <w:div w:id="1089424394">
      <w:bodyDiv w:val="1"/>
      <w:marLeft w:val="0"/>
      <w:marRight w:val="0"/>
      <w:marTop w:val="0"/>
      <w:marBottom w:val="0"/>
      <w:divBdr>
        <w:top w:val="none" w:sz="0" w:space="0" w:color="auto"/>
        <w:left w:val="none" w:sz="0" w:space="0" w:color="auto"/>
        <w:bottom w:val="none" w:sz="0" w:space="0" w:color="auto"/>
        <w:right w:val="none" w:sz="0" w:space="0" w:color="auto"/>
      </w:divBdr>
    </w:div>
    <w:div w:id="1321081163">
      <w:bodyDiv w:val="1"/>
      <w:marLeft w:val="0"/>
      <w:marRight w:val="0"/>
      <w:marTop w:val="0"/>
      <w:marBottom w:val="0"/>
      <w:divBdr>
        <w:top w:val="none" w:sz="0" w:space="0" w:color="auto"/>
        <w:left w:val="none" w:sz="0" w:space="0" w:color="auto"/>
        <w:bottom w:val="none" w:sz="0" w:space="0" w:color="auto"/>
        <w:right w:val="none" w:sz="0" w:space="0" w:color="auto"/>
      </w:divBdr>
    </w:div>
    <w:div w:id="1367177210">
      <w:bodyDiv w:val="1"/>
      <w:marLeft w:val="0"/>
      <w:marRight w:val="0"/>
      <w:marTop w:val="0"/>
      <w:marBottom w:val="0"/>
      <w:divBdr>
        <w:top w:val="none" w:sz="0" w:space="0" w:color="auto"/>
        <w:left w:val="none" w:sz="0" w:space="0" w:color="auto"/>
        <w:bottom w:val="none" w:sz="0" w:space="0" w:color="auto"/>
        <w:right w:val="none" w:sz="0" w:space="0" w:color="auto"/>
      </w:divBdr>
    </w:div>
    <w:div w:id="1527906410">
      <w:bodyDiv w:val="1"/>
      <w:marLeft w:val="0"/>
      <w:marRight w:val="0"/>
      <w:marTop w:val="0"/>
      <w:marBottom w:val="0"/>
      <w:divBdr>
        <w:top w:val="none" w:sz="0" w:space="0" w:color="auto"/>
        <w:left w:val="none" w:sz="0" w:space="0" w:color="auto"/>
        <w:bottom w:val="none" w:sz="0" w:space="0" w:color="auto"/>
        <w:right w:val="none" w:sz="0" w:space="0" w:color="auto"/>
      </w:divBdr>
    </w:div>
    <w:div w:id="1721631454">
      <w:bodyDiv w:val="1"/>
      <w:marLeft w:val="0"/>
      <w:marRight w:val="0"/>
      <w:marTop w:val="0"/>
      <w:marBottom w:val="0"/>
      <w:divBdr>
        <w:top w:val="none" w:sz="0" w:space="0" w:color="auto"/>
        <w:left w:val="none" w:sz="0" w:space="0" w:color="auto"/>
        <w:bottom w:val="none" w:sz="0" w:space="0" w:color="auto"/>
        <w:right w:val="none" w:sz="0" w:space="0" w:color="auto"/>
      </w:divBdr>
    </w:div>
    <w:div w:id="1902330328">
      <w:bodyDiv w:val="1"/>
      <w:marLeft w:val="0"/>
      <w:marRight w:val="0"/>
      <w:marTop w:val="0"/>
      <w:marBottom w:val="0"/>
      <w:divBdr>
        <w:top w:val="none" w:sz="0" w:space="0" w:color="auto"/>
        <w:left w:val="none" w:sz="0" w:space="0" w:color="auto"/>
        <w:bottom w:val="none" w:sz="0" w:space="0" w:color="auto"/>
        <w:right w:val="none" w:sz="0" w:space="0" w:color="auto"/>
      </w:divBdr>
    </w:div>
    <w:div w:id="2076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upersolidaria.gov.co/sites/default/files/public/entidades/listado_cooperativas_con_autorizacion_desmonte_de_actividad_financiera_marzo-2016.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7A74-1B30-4223-8236-FD43270A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Pages>
  <Words>2263</Words>
  <Characters>12448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24</cp:revision>
  <cp:lastPrinted>2019-05-08T15:04:00Z</cp:lastPrinted>
  <dcterms:created xsi:type="dcterms:W3CDTF">2019-03-15T19:38:00Z</dcterms:created>
  <dcterms:modified xsi:type="dcterms:W3CDTF">2019-06-20T13:43:00Z</dcterms:modified>
</cp:coreProperties>
</file>