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BF" w:rsidRPr="00F32ABF" w:rsidRDefault="00F32ABF" w:rsidP="00F32A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pacing w:val="-8"/>
          <w:sz w:val="18"/>
          <w:szCs w:val="18"/>
          <w:lang w:val="es-419" w:eastAsia="fr-FR"/>
        </w:rPr>
      </w:pPr>
      <w:r w:rsidRPr="00F32ABF">
        <w:rPr>
          <w:rFonts w:ascii="Arial" w:eastAsia="Times New Roman" w:hAnsi="Arial" w:cs="Arial"/>
          <w:color w:val="FF0000"/>
          <w:spacing w:val="-8"/>
          <w:sz w:val="18"/>
          <w:szCs w:val="18"/>
          <w:lang w:val="es-419" w:eastAsia="fr-FR"/>
        </w:rPr>
        <w:t>El siguiente es el documento presentado por el Magistrado Ponente que sirvió de base para proferir la providencia dentro del presente proceso.  El contenido total y fiel de la decisión debe ser verificado en la respectiva Secretaría.</w:t>
      </w:r>
    </w:p>
    <w:p w:rsidR="00F32ABF" w:rsidRP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F32ABF" w:rsidRP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>Providencia</w:t>
      </w: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ab/>
        <w:t>: Sentencia del 21 de junio de 2019</w:t>
      </w:r>
    </w:p>
    <w:p w:rsidR="00F32ABF" w:rsidRP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 xml:space="preserve">Radicación No. </w:t>
      </w: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ab/>
        <w:t>: 66001-31-04-004-2016-00408-01</w:t>
      </w:r>
    </w:p>
    <w:p w:rsidR="00F32ABF" w:rsidRP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>Proceso</w:t>
      </w: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ab/>
        <w:t>: Ordinario Laboral de Primera Instancia</w:t>
      </w:r>
    </w:p>
    <w:p w:rsidR="00F32ABF" w:rsidRP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>Demandante</w:t>
      </w: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ab/>
        <w:t>: Blanca Lucía Castaño Tabares</w:t>
      </w:r>
    </w:p>
    <w:p w:rsidR="00F32ABF" w:rsidRP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>Demandado</w:t>
      </w: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ab/>
        <w:t>: Colpensiones</w:t>
      </w:r>
    </w:p>
    <w:p w:rsidR="00F32ABF" w:rsidRP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>Juzgado</w:t>
      </w:r>
      <w:r w:rsidRPr="00F32ABF">
        <w:rPr>
          <w:rFonts w:ascii="Arial" w:eastAsia="Times New Roman" w:hAnsi="Arial" w:cs="Arial"/>
          <w:sz w:val="20"/>
          <w:szCs w:val="20"/>
          <w:lang w:val="es-419" w:eastAsia="es-ES"/>
        </w:rPr>
        <w:tab/>
        <w:t>: Cuarto Laboral del Circuito</w:t>
      </w:r>
    </w:p>
    <w:p w:rsidR="00F32ABF" w:rsidRP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F32ABF" w:rsidRPr="00F32ABF" w:rsidRDefault="00F32ABF" w:rsidP="00F32ABF">
      <w:pPr>
        <w:spacing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</w:pPr>
      <w:r w:rsidRPr="00F32ABF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>TEMAS:</w:t>
      </w:r>
      <w:r w:rsidRPr="00F32ABF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ab/>
      </w:r>
      <w:r w:rsidRPr="00F32ABF">
        <w:rPr>
          <w:rFonts w:ascii="Arial" w:eastAsia="Times New Roman" w:hAnsi="Arial" w:cs="Arial"/>
          <w:b/>
          <w:sz w:val="20"/>
          <w:szCs w:val="20"/>
          <w:lang w:val="es-419" w:eastAsia="es-ES"/>
        </w:rPr>
        <w:t xml:space="preserve">PENSIÓN DE SOBREVIVIENTES </w:t>
      </w:r>
      <w:r w:rsidRPr="00F32ABF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 xml:space="preserve">/ </w:t>
      </w:r>
      <w:r w:rsidR="007E6551">
        <w:rPr>
          <w:rFonts w:ascii="Arial" w:eastAsia="Times New Roman" w:hAnsi="Arial" w:cs="Arial"/>
          <w:b/>
          <w:bCs/>
          <w:iCs/>
          <w:sz w:val="20"/>
          <w:szCs w:val="20"/>
          <w:lang w:val="es-CO" w:eastAsia="fr-FR"/>
        </w:rPr>
        <w:t xml:space="preserve">NORMATIVIDAD APLICABLE / </w:t>
      </w:r>
      <w:r w:rsidR="00CC5C4B">
        <w:rPr>
          <w:rFonts w:ascii="Arial" w:eastAsia="Times New Roman" w:hAnsi="Arial" w:cs="Arial"/>
          <w:b/>
          <w:bCs/>
          <w:iCs/>
          <w:sz w:val="20"/>
          <w:szCs w:val="20"/>
          <w:lang w:val="es-CO" w:eastAsia="fr-FR"/>
        </w:rPr>
        <w:t xml:space="preserve">LEY 797 DE 2003 / </w:t>
      </w:r>
      <w:r w:rsidR="007E6551" w:rsidRPr="00F32ABF">
        <w:rPr>
          <w:rFonts w:ascii="Arial" w:eastAsia="Times New Roman" w:hAnsi="Arial" w:cs="Arial"/>
          <w:b/>
          <w:sz w:val="20"/>
          <w:szCs w:val="20"/>
          <w:lang w:val="es-419" w:eastAsia="es-ES"/>
        </w:rPr>
        <w:t xml:space="preserve">REQUISITOS </w:t>
      </w:r>
      <w:r w:rsidR="00CC5C4B">
        <w:rPr>
          <w:rFonts w:ascii="Arial" w:eastAsia="Times New Roman" w:hAnsi="Arial" w:cs="Arial"/>
          <w:b/>
          <w:sz w:val="20"/>
          <w:szCs w:val="20"/>
          <w:lang w:val="es-CO" w:eastAsia="es-ES"/>
        </w:rPr>
        <w:t>EN CASO DE MUERTE DE PENSIONADO / CONVIVENCIA POR CINCO AÑOS.</w:t>
      </w:r>
    </w:p>
    <w:p w:rsid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7E6551" w:rsidRDefault="00D033FB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D033FB">
        <w:rPr>
          <w:rFonts w:ascii="Arial" w:eastAsia="Times New Roman" w:hAnsi="Arial" w:cs="Arial"/>
          <w:sz w:val="20"/>
          <w:szCs w:val="20"/>
          <w:lang w:val="es-419" w:eastAsia="es-ES"/>
        </w:rPr>
        <w:t>Es indudable, como regla general, que la normatividad aplicable para el reconocimiento de la pensión de sobrevivientes es la que se encuentre vigente al momento del fallecimiento del pensionado o del afiliado al sistema de Seguridad Social; y, además, que el cónyuge o compañero o compañera permanente del causante debe cumplir ciertas exigencias de índole personal y temporal para acceder a la pensión de sobrevivencia, lo cual constituye una garantía de legitimidad y justicia en el otorgamiento de dicha prestación que favorece a los demás miembros del grupo familiar, potencialmente beneficiarios de la misma prestación.</w:t>
      </w:r>
    </w:p>
    <w:p w:rsidR="007E6551" w:rsidRDefault="007E6551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D033FB" w:rsidRPr="00D033FB" w:rsidRDefault="007E6551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7E6551">
        <w:rPr>
          <w:rFonts w:ascii="Arial" w:eastAsia="Times New Roman" w:hAnsi="Arial" w:cs="Arial"/>
          <w:sz w:val="20"/>
          <w:szCs w:val="20"/>
          <w:lang w:val="es-CO" w:eastAsia="es-ES"/>
        </w:rPr>
        <w:t>Para el presente caso, dada la fecha del fallecimiento del pensionado (26 de noviembre de 2011), la normatividad a aplicar no es otra que la Ley 797 de 2003, que establece, a la altura del artículo 13, modificatorio del artículo 47 de la Ley 100 de 1993, en lo que interesa al proceso, lo siguiente: “beneficiarios de la Pensión de sobrevivientes: “a) en forma vitalicia, el cónyuge o la compañera o compañero permanente o supérstite, siempre y cuando dicho beneficiario, a la fecha del fallecimiento del causante, tenga 30 o más años de edad. En caso de que la pensión de sobrevivencia se cause por muerte del pensionado, el cónyuge o la compañera o compañero permanente supérstite, deberá acreditar que estuvo haciendo vida marital con el causante hasta su muerte y haya convivido con el fallecido no menos de cinco (5) años continuos con anterioridad a su muerte</w:t>
      </w:r>
      <w:r>
        <w:rPr>
          <w:rFonts w:ascii="Arial" w:eastAsia="Times New Roman" w:hAnsi="Arial" w:cs="Arial"/>
          <w:sz w:val="20"/>
          <w:szCs w:val="20"/>
          <w:lang w:val="es-CO" w:eastAsia="es-ES"/>
        </w:rPr>
        <w:t>”.</w:t>
      </w:r>
      <w:r w:rsidR="00D033FB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(…)</w:t>
      </w:r>
    </w:p>
    <w:p w:rsidR="00F32ABF" w:rsidRP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F32ABF" w:rsidRPr="00F32ABF" w:rsidRDefault="00F32ABF" w:rsidP="00F32ABF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24679" w:rsidRPr="00F32ABF" w:rsidRDefault="00424679" w:rsidP="00F32ABF">
      <w:pPr>
        <w:pStyle w:val="NormalWeb"/>
        <w:spacing w:before="0" w:beforeAutospacing="0" w:after="0" w:afterAutospacing="0" w:line="288" w:lineRule="auto"/>
        <w:jc w:val="center"/>
        <w:rPr>
          <w:rFonts w:ascii="Tahoma" w:hAnsi="Tahoma" w:cs="Tahoma"/>
          <w:b/>
          <w:bCs/>
        </w:rPr>
      </w:pPr>
      <w:r w:rsidRPr="00F32ABF">
        <w:rPr>
          <w:rFonts w:ascii="Tahoma" w:hAnsi="Tahoma" w:cs="Tahoma"/>
          <w:b/>
          <w:bCs/>
        </w:rPr>
        <w:t>REPÚBLICA DE COLOMBIA</w:t>
      </w:r>
    </w:p>
    <w:p w:rsidR="00424679" w:rsidRPr="00F32ABF" w:rsidRDefault="00424679" w:rsidP="00F32ABF">
      <w:pPr>
        <w:pStyle w:val="NormalWeb"/>
        <w:spacing w:before="0" w:beforeAutospacing="0" w:after="0" w:afterAutospacing="0" w:line="288" w:lineRule="auto"/>
        <w:jc w:val="center"/>
        <w:rPr>
          <w:rFonts w:ascii="Tahoma" w:hAnsi="Tahoma" w:cs="Tahoma"/>
          <w:b/>
          <w:bCs/>
        </w:rPr>
      </w:pPr>
    </w:p>
    <w:p w:rsidR="00424679" w:rsidRPr="00F32ABF" w:rsidRDefault="00424679" w:rsidP="00F32ABF">
      <w:pPr>
        <w:pStyle w:val="Ttulo4"/>
        <w:widowControl w:val="0"/>
        <w:tabs>
          <w:tab w:val="clear" w:pos="0"/>
        </w:tabs>
        <w:spacing w:line="288" w:lineRule="auto"/>
        <w:rPr>
          <w:rFonts w:ascii="Tahoma" w:hAnsi="Tahoma" w:cs="Tahoma"/>
          <w:bCs/>
          <w:szCs w:val="24"/>
          <w:lang w:eastAsia="es-MX"/>
        </w:rPr>
      </w:pPr>
      <w:r w:rsidRPr="00F32ABF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424679" w:rsidRPr="00F32ABF" w:rsidRDefault="00424679" w:rsidP="00F32ABF">
      <w:pPr>
        <w:pStyle w:val="Ttulo4"/>
        <w:widowControl w:val="0"/>
        <w:tabs>
          <w:tab w:val="clear" w:pos="0"/>
          <w:tab w:val="left" w:pos="708"/>
        </w:tabs>
        <w:spacing w:line="288" w:lineRule="auto"/>
        <w:rPr>
          <w:rFonts w:ascii="Tahoma" w:hAnsi="Tahoma" w:cs="Tahoma"/>
          <w:bCs/>
          <w:szCs w:val="24"/>
          <w:lang w:eastAsia="es-MX"/>
        </w:rPr>
      </w:pPr>
      <w:r w:rsidRPr="00F32ABF">
        <w:rPr>
          <w:rFonts w:ascii="Tahoma" w:hAnsi="Tahoma" w:cs="Tahoma"/>
          <w:bCs/>
          <w:szCs w:val="24"/>
          <w:lang w:eastAsia="es-MX"/>
        </w:rPr>
        <w:t>SALA LABORAL</w:t>
      </w:r>
    </w:p>
    <w:p w:rsidR="00424679" w:rsidRPr="00F32ABF" w:rsidRDefault="00424679" w:rsidP="00F32ABF">
      <w:pPr>
        <w:spacing w:line="288" w:lineRule="auto"/>
        <w:rPr>
          <w:rFonts w:ascii="Tahoma" w:hAnsi="Tahoma" w:cs="Tahoma"/>
          <w:sz w:val="24"/>
          <w:szCs w:val="24"/>
          <w:lang w:eastAsia="es-MX"/>
        </w:rPr>
      </w:pPr>
    </w:p>
    <w:p w:rsidR="00424679" w:rsidRPr="00F32ABF" w:rsidRDefault="00424679" w:rsidP="00F32ABF">
      <w:pPr>
        <w:spacing w:line="288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2ABF">
        <w:rPr>
          <w:rFonts w:ascii="Tahoma" w:hAnsi="Tahoma" w:cs="Tahoma"/>
          <w:bCs/>
          <w:sz w:val="24"/>
          <w:szCs w:val="24"/>
        </w:rPr>
        <w:t>Magistrada Ponente:</w:t>
      </w:r>
      <w:r w:rsidRPr="00F32ABF">
        <w:rPr>
          <w:rFonts w:ascii="Tahoma" w:hAnsi="Tahoma" w:cs="Tahoma"/>
          <w:b/>
          <w:bCs/>
          <w:sz w:val="24"/>
          <w:szCs w:val="24"/>
        </w:rPr>
        <w:t xml:space="preserve"> ANA LUCÍA CAICEDO CALDERÓN</w:t>
      </w:r>
    </w:p>
    <w:p w:rsidR="00424679" w:rsidRPr="00F32ABF" w:rsidRDefault="00424679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F32ABF">
        <w:rPr>
          <w:rFonts w:ascii="Tahoma" w:hAnsi="Tahoma" w:cs="Tahoma"/>
          <w:b/>
          <w:sz w:val="24"/>
          <w:szCs w:val="24"/>
        </w:rPr>
        <w:t>ACTA No. ______</w:t>
      </w:r>
    </w:p>
    <w:p w:rsidR="00424679" w:rsidRPr="00F32ABF" w:rsidRDefault="00424679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24679" w:rsidRPr="00F32ABF" w:rsidRDefault="00424679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F32ABF">
        <w:rPr>
          <w:rFonts w:ascii="Tahoma" w:hAnsi="Tahoma" w:cs="Tahoma"/>
          <w:b/>
          <w:sz w:val="24"/>
          <w:szCs w:val="24"/>
        </w:rPr>
        <w:t>(JUNIO 21 DE 2019)</w:t>
      </w:r>
    </w:p>
    <w:p w:rsidR="00424679" w:rsidRPr="00F32ABF" w:rsidRDefault="00424679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24679" w:rsidRPr="00F32ABF" w:rsidRDefault="00424679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F32ABF">
        <w:rPr>
          <w:rFonts w:ascii="Tahoma" w:hAnsi="Tahoma" w:cs="Tahoma"/>
          <w:b/>
          <w:sz w:val="24"/>
          <w:szCs w:val="24"/>
        </w:rPr>
        <w:t>AUDIENCIA DE JUZGAMIENTO</w:t>
      </w:r>
    </w:p>
    <w:p w:rsidR="00424679" w:rsidRPr="00F32ABF" w:rsidRDefault="00424679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24679" w:rsidRPr="00F32ABF" w:rsidRDefault="00424679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ES_tradnl"/>
        </w:rPr>
      </w:pPr>
      <w:r w:rsidRPr="00F32ABF">
        <w:rPr>
          <w:rFonts w:ascii="Tahoma" w:hAnsi="Tahoma" w:cs="Tahoma"/>
          <w:sz w:val="24"/>
          <w:szCs w:val="24"/>
        </w:rPr>
        <w:t xml:space="preserve">En la fecha, siendo las……, </w:t>
      </w:r>
      <w:r w:rsidRPr="00F32ABF">
        <w:rPr>
          <w:rFonts w:ascii="Tahoma" w:hAnsi="Tahoma" w:cs="Tahoma"/>
          <w:spacing w:val="-2"/>
          <w:sz w:val="24"/>
          <w:szCs w:val="24"/>
        </w:rPr>
        <w:t xml:space="preserve">la Sala de Decisión Laboral No. 1 del Tribunal Superior de Pereira, </w:t>
      </w:r>
      <w:r w:rsidRPr="00F32ABF">
        <w:rPr>
          <w:rFonts w:ascii="Tahoma" w:hAnsi="Tahoma" w:cs="Tahoma"/>
          <w:sz w:val="24"/>
          <w:szCs w:val="24"/>
          <w:lang w:val="es-ES_tradnl"/>
        </w:rPr>
        <w:t xml:space="preserve">la Sala de Decisión Laboral No. 1º del Tribunal Superior de Pereira se constituye en audiencia pública de juzgamiento en el proceso Ordinario Laboral instaurado por la señora </w:t>
      </w:r>
      <w:r w:rsidRPr="00F32ABF">
        <w:rPr>
          <w:rFonts w:ascii="Tahoma" w:hAnsi="Tahoma" w:cs="Tahoma"/>
          <w:b/>
          <w:sz w:val="24"/>
          <w:szCs w:val="24"/>
          <w:lang w:val="es-ES_tradnl"/>
        </w:rPr>
        <w:t xml:space="preserve">BLANCA LUCIA CASTAÑO TABARES </w:t>
      </w:r>
      <w:r w:rsidRPr="00F32ABF">
        <w:rPr>
          <w:rFonts w:ascii="Tahoma" w:hAnsi="Tahoma" w:cs="Tahoma"/>
          <w:sz w:val="24"/>
          <w:szCs w:val="24"/>
          <w:lang w:val="es-ES_tradnl"/>
        </w:rPr>
        <w:t xml:space="preserve">en contra de la </w:t>
      </w:r>
      <w:r w:rsidRPr="00F32ABF">
        <w:rPr>
          <w:rFonts w:ascii="Tahoma" w:hAnsi="Tahoma" w:cs="Tahoma"/>
          <w:b/>
          <w:sz w:val="24"/>
          <w:szCs w:val="24"/>
          <w:lang w:val="es-ES_tradnl"/>
        </w:rPr>
        <w:t xml:space="preserve">ADMINISTRADORA COLOMBIANA DE PENSIONES </w:t>
      </w:r>
      <w:r w:rsidRPr="00F32ABF">
        <w:rPr>
          <w:rFonts w:ascii="Tahoma" w:hAnsi="Tahoma" w:cs="Tahoma"/>
          <w:sz w:val="24"/>
          <w:szCs w:val="24"/>
          <w:lang w:val="es-ES_tradnl"/>
        </w:rPr>
        <w:t>–</w:t>
      </w:r>
      <w:r w:rsidR="00FE4581">
        <w:rPr>
          <w:rFonts w:ascii="Tahoma" w:hAnsi="Tahoma" w:cs="Tahoma"/>
          <w:sz w:val="24"/>
          <w:szCs w:val="24"/>
          <w:lang w:val="es-ES_tradnl"/>
        </w:rPr>
        <w:t xml:space="preserve"> </w:t>
      </w:r>
      <w:r w:rsidRPr="00F32ABF">
        <w:rPr>
          <w:rFonts w:ascii="Tahoma" w:hAnsi="Tahoma" w:cs="Tahoma"/>
          <w:b/>
          <w:sz w:val="24"/>
          <w:szCs w:val="24"/>
          <w:lang w:val="es-ES_tradnl"/>
        </w:rPr>
        <w:t>C</w:t>
      </w:r>
      <w:r w:rsidR="00FE4581">
        <w:rPr>
          <w:rFonts w:ascii="Tahoma" w:hAnsi="Tahoma" w:cs="Tahoma"/>
          <w:b/>
          <w:sz w:val="24"/>
          <w:szCs w:val="24"/>
          <w:lang w:val="es-ES_tradnl"/>
        </w:rPr>
        <w:t>OLPENSIONES</w:t>
      </w:r>
      <w:r w:rsidRPr="00F32ABF">
        <w:rPr>
          <w:rFonts w:ascii="Tahoma" w:hAnsi="Tahoma" w:cs="Tahoma"/>
          <w:sz w:val="24"/>
          <w:szCs w:val="24"/>
          <w:lang w:val="es-ES_tradnl"/>
        </w:rPr>
        <w:t>. Para el efecto, se verifica la asistencia de las partes a la presente diligencia: Por la parte demandante… Por la demandada…</w:t>
      </w:r>
    </w:p>
    <w:p w:rsidR="00424679" w:rsidRPr="00F32ABF" w:rsidRDefault="00424679" w:rsidP="00F32ABF">
      <w:pPr>
        <w:spacing w:line="288" w:lineRule="auto"/>
        <w:rPr>
          <w:rFonts w:ascii="Tahoma" w:hAnsi="Tahoma" w:cs="Tahoma"/>
          <w:sz w:val="24"/>
          <w:szCs w:val="24"/>
          <w:lang w:val="es-ES_tradnl"/>
        </w:rPr>
      </w:pPr>
    </w:p>
    <w:p w:rsidR="00424679" w:rsidRPr="00F32ABF" w:rsidRDefault="00424679" w:rsidP="00F32ABF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ahoma" w:hAnsi="Tahoma" w:cs="Tahoma"/>
          <w:b/>
          <w:caps/>
          <w:sz w:val="24"/>
          <w:szCs w:val="24"/>
        </w:rPr>
      </w:pPr>
      <w:r w:rsidRPr="00F32ABF">
        <w:rPr>
          <w:rFonts w:ascii="Tahoma" w:hAnsi="Tahoma" w:cs="Tahoma"/>
          <w:sz w:val="24"/>
          <w:szCs w:val="24"/>
          <w:lang w:val="es-ES_tradnl"/>
        </w:rPr>
        <w:tab/>
      </w:r>
      <w:r w:rsidRPr="00F32ABF">
        <w:rPr>
          <w:rFonts w:ascii="Tahoma" w:hAnsi="Tahoma" w:cs="Tahoma"/>
          <w:b/>
          <w:caps/>
          <w:sz w:val="24"/>
          <w:szCs w:val="24"/>
        </w:rPr>
        <w:t>Alegatos de conclusión</w:t>
      </w:r>
    </w:p>
    <w:p w:rsidR="00424679" w:rsidRPr="00F32ABF" w:rsidRDefault="00424679" w:rsidP="00F32ABF">
      <w:pPr>
        <w:widowControl w:val="0"/>
        <w:autoSpaceDE w:val="0"/>
        <w:autoSpaceDN w:val="0"/>
        <w:adjustRightInd w:val="0"/>
        <w:spacing w:line="288" w:lineRule="auto"/>
        <w:rPr>
          <w:rFonts w:ascii="Tahoma" w:hAnsi="Tahoma" w:cs="Tahoma"/>
          <w:sz w:val="24"/>
          <w:szCs w:val="24"/>
        </w:rPr>
      </w:pPr>
    </w:p>
    <w:p w:rsidR="00424679" w:rsidRPr="00F32ABF" w:rsidRDefault="00424679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ES_tradnl"/>
        </w:rPr>
      </w:pPr>
      <w:r w:rsidRPr="00F32ABF">
        <w:rPr>
          <w:rFonts w:ascii="Tahoma" w:hAnsi="Tahoma" w:cs="Tahoma"/>
          <w:sz w:val="24"/>
          <w:szCs w:val="24"/>
          <w:lang w:val="es-ES_tradnl"/>
        </w:rPr>
        <w:lastRenderedPageBreak/>
        <w:t>De conformidad con el artículo 82 del C.P.T y de la s.s., modificado por el artículo 13 de la Ley 1149 de 2007, se concede el uso de la palabra a las partes para que presenten sus alegatos de conclusión. Por la parte demandante… Por la parte demandada…</w:t>
      </w:r>
    </w:p>
    <w:p w:rsidR="00424679" w:rsidRPr="00F32ABF" w:rsidRDefault="00424679" w:rsidP="00F32ABF">
      <w:pPr>
        <w:spacing w:line="288" w:lineRule="auto"/>
        <w:ind w:firstLine="708"/>
        <w:rPr>
          <w:rFonts w:ascii="Tahoma" w:hAnsi="Tahoma" w:cs="Tahoma"/>
          <w:sz w:val="24"/>
          <w:szCs w:val="24"/>
          <w:lang w:val="es-ES_tradnl"/>
        </w:rPr>
      </w:pPr>
    </w:p>
    <w:p w:rsidR="00424679" w:rsidRPr="00F32ABF" w:rsidRDefault="00424679" w:rsidP="00F32ABF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F32ABF">
        <w:rPr>
          <w:rFonts w:ascii="Tahoma" w:hAnsi="Tahoma" w:cs="Tahoma"/>
          <w:b/>
          <w:sz w:val="24"/>
          <w:szCs w:val="24"/>
        </w:rPr>
        <w:t>SENTENCIA</w:t>
      </w:r>
    </w:p>
    <w:p w:rsidR="00424679" w:rsidRPr="00F32ABF" w:rsidRDefault="00424679" w:rsidP="00F32AB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4"/>
        <w:rPr>
          <w:rFonts w:eastAsia="Tahoma" w:cs="Tahoma"/>
          <w:sz w:val="24"/>
          <w:szCs w:val="24"/>
          <w:lang w:val="es-CO"/>
        </w:rPr>
      </w:pPr>
    </w:p>
    <w:p w:rsidR="000C03DC" w:rsidRPr="00F32ABF" w:rsidRDefault="00424679" w:rsidP="00F32AB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4" w:firstLine="708"/>
        <w:rPr>
          <w:rFonts w:cs="Tahoma"/>
          <w:sz w:val="24"/>
          <w:szCs w:val="24"/>
          <w:lang w:val="es-CO"/>
        </w:rPr>
      </w:pPr>
      <w:r w:rsidRPr="00F32ABF">
        <w:rPr>
          <w:rFonts w:cs="Tahoma"/>
          <w:sz w:val="24"/>
          <w:szCs w:val="24"/>
          <w:lang w:val="es-CO"/>
        </w:rPr>
        <w:t xml:space="preserve">Como quiera que los alegatos coinciden a cabalidad con los puntos fácticos y jurídicos objeto de discusión en </w:t>
      </w:r>
      <w:r w:rsidR="000C03DC" w:rsidRPr="00F32ABF">
        <w:rPr>
          <w:rFonts w:cs="Tahoma"/>
          <w:sz w:val="24"/>
          <w:szCs w:val="24"/>
          <w:lang w:val="es-CO"/>
        </w:rPr>
        <w:t>esta sede</w:t>
      </w:r>
      <w:r w:rsidRPr="00F32ABF">
        <w:rPr>
          <w:rFonts w:cs="Tahoma"/>
          <w:sz w:val="24"/>
          <w:szCs w:val="24"/>
          <w:lang w:val="es-CO"/>
        </w:rPr>
        <w:t xml:space="preserve">, procede la Sala </w:t>
      </w:r>
      <w:r w:rsidR="000C03DC" w:rsidRPr="00F32ABF">
        <w:rPr>
          <w:rFonts w:cs="Tahoma"/>
          <w:sz w:val="24"/>
          <w:szCs w:val="24"/>
          <w:lang w:val="es-CO"/>
        </w:rPr>
        <w:t>a resolver el grado jurisdiccional de consulta de la sentencia del 8 de agosto de 2018, como quiera que la misma fue adversa a los intereses de la entidad pública demandada.</w:t>
      </w:r>
    </w:p>
    <w:p w:rsidR="00424679" w:rsidRPr="00F32ABF" w:rsidRDefault="00424679" w:rsidP="00F32AB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ind w:right="4" w:firstLine="708"/>
        <w:rPr>
          <w:rFonts w:eastAsia="Tahoma" w:cs="Tahoma"/>
          <w:sz w:val="24"/>
          <w:szCs w:val="24"/>
          <w:lang w:val="es-CO"/>
        </w:rPr>
      </w:pPr>
      <w:r w:rsidRPr="00F32ABF">
        <w:rPr>
          <w:rFonts w:cs="Tahoma"/>
          <w:sz w:val="24"/>
          <w:szCs w:val="24"/>
          <w:lang w:val="es-CO"/>
        </w:rPr>
        <w:t xml:space="preserve"> </w:t>
      </w:r>
    </w:p>
    <w:p w:rsidR="00424679" w:rsidRPr="00F32ABF" w:rsidRDefault="00424679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F32ABF">
        <w:rPr>
          <w:rFonts w:ascii="Tahoma" w:hAnsi="Tahoma" w:cs="Tahoma"/>
          <w:b/>
          <w:sz w:val="24"/>
          <w:szCs w:val="24"/>
        </w:rPr>
        <w:t>PROBLEMA JURIDICO</w:t>
      </w:r>
    </w:p>
    <w:p w:rsidR="00424679" w:rsidRPr="00F32ABF" w:rsidRDefault="00424679" w:rsidP="00F32ABF">
      <w:pPr>
        <w:spacing w:line="288" w:lineRule="auto"/>
        <w:ind w:firstLine="708"/>
        <w:rPr>
          <w:rFonts w:ascii="Tahoma" w:hAnsi="Tahoma" w:cs="Tahoma"/>
          <w:sz w:val="24"/>
          <w:szCs w:val="24"/>
        </w:rPr>
      </w:pPr>
    </w:p>
    <w:p w:rsidR="00424679" w:rsidRDefault="00424679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32ABF">
        <w:rPr>
          <w:rFonts w:ascii="Tahoma" w:hAnsi="Tahoma" w:cs="Tahoma"/>
          <w:sz w:val="24"/>
          <w:szCs w:val="24"/>
        </w:rPr>
        <w:t>El problema esencial en este c</w:t>
      </w:r>
      <w:r w:rsidR="000C03DC" w:rsidRPr="00F32ABF">
        <w:rPr>
          <w:rFonts w:ascii="Tahoma" w:hAnsi="Tahoma" w:cs="Tahoma"/>
          <w:sz w:val="24"/>
          <w:szCs w:val="24"/>
        </w:rPr>
        <w:t>aso consiste en determinar si la</w:t>
      </w:r>
      <w:r w:rsidRPr="00F32ABF">
        <w:rPr>
          <w:rFonts w:ascii="Tahoma" w:hAnsi="Tahoma" w:cs="Tahoma"/>
          <w:sz w:val="24"/>
          <w:szCs w:val="24"/>
        </w:rPr>
        <w:t xml:space="preserve"> demandante</w:t>
      </w:r>
      <w:r w:rsidR="007402AF" w:rsidRPr="00F32ABF">
        <w:rPr>
          <w:rFonts w:ascii="Tahoma" w:hAnsi="Tahoma" w:cs="Tahoma"/>
          <w:sz w:val="24"/>
          <w:szCs w:val="24"/>
        </w:rPr>
        <w:t xml:space="preserve"> acredita</w:t>
      </w:r>
      <w:r w:rsidR="000C03DC" w:rsidRPr="00F32ABF">
        <w:rPr>
          <w:rFonts w:ascii="Tahoma" w:hAnsi="Tahoma" w:cs="Tahoma"/>
          <w:sz w:val="24"/>
          <w:szCs w:val="24"/>
        </w:rPr>
        <w:t xml:space="preserve"> los requisitos de orden subjetivo, en calidad de compañera permanente, para acceder a la pensión de sobrevivientes causada con ocasión del fallecimiento </w:t>
      </w:r>
      <w:r w:rsidR="007402AF" w:rsidRPr="00F32ABF">
        <w:rPr>
          <w:rFonts w:ascii="Tahoma" w:hAnsi="Tahoma" w:cs="Tahoma"/>
          <w:sz w:val="24"/>
          <w:szCs w:val="24"/>
        </w:rPr>
        <w:t>del señor NEFTALI MUÑOZ MENESES, quien ostentaba la calidad de pensionado de COLPENSIONES.</w:t>
      </w:r>
    </w:p>
    <w:p w:rsidR="00F32ABF" w:rsidRPr="00F32ABF" w:rsidRDefault="00F32ABF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9F4CE8" w:rsidRPr="00F32ABF" w:rsidRDefault="00963DA1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es-CO"/>
        </w:rPr>
      </w:pPr>
      <w:r w:rsidRPr="00F32ABF">
        <w:rPr>
          <w:rFonts w:ascii="Tahoma" w:hAnsi="Tahoma" w:cs="Tahoma"/>
          <w:b/>
          <w:sz w:val="24"/>
          <w:szCs w:val="24"/>
          <w:lang w:val="es-CO"/>
        </w:rPr>
        <w:t xml:space="preserve">I </w:t>
      </w:r>
      <w:r w:rsidR="00365FC0" w:rsidRPr="00F32ABF">
        <w:rPr>
          <w:rFonts w:ascii="Tahoma" w:hAnsi="Tahoma" w:cs="Tahoma"/>
          <w:b/>
          <w:sz w:val="24"/>
          <w:szCs w:val="24"/>
          <w:lang w:val="es-CO"/>
        </w:rPr>
        <w:t>–</w:t>
      </w:r>
      <w:r w:rsidRPr="00F32ABF">
        <w:rPr>
          <w:rFonts w:ascii="Tahoma" w:hAnsi="Tahoma" w:cs="Tahoma"/>
          <w:b/>
          <w:sz w:val="24"/>
          <w:szCs w:val="24"/>
          <w:lang w:val="es-CO"/>
        </w:rPr>
        <w:t xml:space="preserve"> </w:t>
      </w:r>
      <w:r w:rsidR="009F4CE8" w:rsidRPr="00F32ABF">
        <w:rPr>
          <w:rFonts w:ascii="Tahoma" w:hAnsi="Tahoma" w:cs="Tahoma"/>
          <w:b/>
          <w:sz w:val="24"/>
          <w:szCs w:val="24"/>
          <w:lang w:val="es-CO"/>
        </w:rPr>
        <w:t>ANTECEDENTES</w:t>
      </w:r>
    </w:p>
    <w:p w:rsidR="00365FC0" w:rsidRPr="00F32ABF" w:rsidRDefault="00365FC0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es-CO"/>
        </w:rPr>
      </w:pPr>
    </w:p>
    <w:p w:rsidR="00365FC0" w:rsidRPr="00F32ABF" w:rsidRDefault="00365FC0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>Solicita la señora</w:t>
      </w:r>
      <w:r w:rsidRPr="00F32ABF">
        <w:rPr>
          <w:rFonts w:ascii="Tahoma" w:hAnsi="Tahoma" w:cs="Tahoma"/>
          <w:b/>
          <w:sz w:val="24"/>
          <w:szCs w:val="24"/>
          <w:lang w:val="es-CO"/>
        </w:rPr>
        <w:t xml:space="preserve"> BLANCA LUCÍA CASTAÑO TABARES 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el reconocimiento y pago de la pensión de sobrevivientes originada con ocasión del fallecimiento del pensionado </w:t>
      </w:r>
      <w:r w:rsidRPr="00F32ABF">
        <w:rPr>
          <w:rFonts w:ascii="Tahoma" w:hAnsi="Tahoma" w:cs="Tahoma"/>
          <w:b/>
          <w:sz w:val="24"/>
          <w:szCs w:val="24"/>
          <w:lang w:val="es-CO"/>
        </w:rPr>
        <w:t>NEFTALI MUÑOZ MENESES</w:t>
      </w:r>
      <w:r w:rsidRPr="00F32ABF">
        <w:rPr>
          <w:rFonts w:ascii="Tahoma" w:hAnsi="Tahoma" w:cs="Tahoma"/>
          <w:sz w:val="24"/>
          <w:szCs w:val="24"/>
          <w:lang w:val="es-CO"/>
        </w:rPr>
        <w:t>, ocurrida el 22 de enero de 2014.</w:t>
      </w:r>
    </w:p>
    <w:p w:rsidR="00365FC0" w:rsidRPr="00F32ABF" w:rsidRDefault="00365FC0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</w:p>
    <w:p w:rsidR="00CA6F8E" w:rsidRPr="00F32ABF" w:rsidRDefault="00365FC0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>Aduce para el efecto, entre otros hechos, que convivió con el causante desde el mes de septiembre de 1972 y hasta la fecha en</w:t>
      </w:r>
      <w:r w:rsidR="00817DE8" w:rsidRPr="00F32ABF">
        <w:rPr>
          <w:rFonts w:ascii="Tahoma" w:hAnsi="Tahoma" w:cs="Tahoma"/>
          <w:sz w:val="24"/>
          <w:szCs w:val="24"/>
          <w:lang w:val="es-CO"/>
        </w:rPr>
        <w:t xml:space="preserve"> que este falleció,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que procrearon dos hijos: José Wilmer Muñoz Castaño y María Nury Muñoz Castaño</w:t>
      </w:r>
      <w:r w:rsidR="00817DE8" w:rsidRPr="00F32ABF">
        <w:rPr>
          <w:rFonts w:ascii="Tahoma" w:hAnsi="Tahoma" w:cs="Tahoma"/>
          <w:sz w:val="24"/>
          <w:szCs w:val="24"/>
          <w:lang w:val="es-CO"/>
        </w:rPr>
        <w:t>, hoy mayores de edad,</w:t>
      </w:r>
      <w:r w:rsidR="00BE422F" w:rsidRPr="00F32ABF">
        <w:rPr>
          <w:rFonts w:ascii="Tahoma" w:hAnsi="Tahoma" w:cs="Tahoma"/>
          <w:sz w:val="24"/>
          <w:szCs w:val="24"/>
          <w:lang w:val="es-CO"/>
        </w:rPr>
        <w:t xml:space="preserve"> que jamás se separaron y</w:t>
      </w:r>
      <w:r w:rsidR="00CA6F8E" w:rsidRPr="00F32ABF">
        <w:rPr>
          <w:rFonts w:ascii="Tahoma" w:hAnsi="Tahoma" w:cs="Tahoma"/>
          <w:sz w:val="24"/>
          <w:szCs w:val="24"/>
          <w:lang w:val="es-CO"/>
        </w:rPr>
        <w:t>, finalmente,</w:t>
      </w:r>
      <w:r w:rsidR="00BE422F" w:rsidRPr="00F32ABF">
        <w:rPr>
          <w:rFonts w:ascii="Tahoma" w:hAnsi="Tahoma" w:cs="Tahoma"/>
          <w:sz w:val="24"/>
          <w:szCs w:val="24"/>
          <w:lang w:val="es-CO"/>
        </w:rPr>
        <w:t xml:space="preserve"> que elevó solicitud pensional ante </w:t>
      </w:r>
      <w:r w:rsidR="00BE422F" w:rsidRPr="00F32ABF">
        <w:rPr>
          <w:rFonts w:ascii="Tahoma" w:hAnsi="Tahoma" w:cs="Tahoma"/>
          <w:b/>
          <w:sz w:val="24"/>
          <w:szCs w:val="24"/>
          <w:lang w:val="es-CO"/>
        </w:rPr>
        <w:t>COLPENSIONES</w:t>
      </w:r>
      <w:r w:rsidR="00BE422F" w:rsidRPr="00F32ABF">
        <w:rPr>
          <w:rFonts w:ascii="Tahoma" w:hAnsi="Tahoma" w:cs="Tahoma"/>
          <w:sz w:val="24"/>
          <w:szCs w:val="24"/>
          <w:lang w:val="es-CO"/>
        </w:rPr>
        <w:t xml:space="preserve">, la cual fue rechazada, mediante Resolución No. 17030 del 26 de enero de 2015, por cuanto al trámite administrativo también se había presentado a reclamar la pensión, alegando la calidad de compañera permanente, la señora </w:t>
      </w:r>
      <w:r w:rsidR="00BE422F" w:rsidRPr="00F32ABF">
        <w:rPr>
          <w:rFonts w:ascii="Tahoma" w:hAnsi="Tahoma" w:cs="Tahoma"/>
          <w:b/>
          <w:sz w:val="24"/>
          <w:szCs w:val="24"/>
          <w:lang w:val="es-CO"/>
        </w:rPr>
        <w:t>MARIA MELBA CASTAÑO TABARES</w:t>
      </w:r>
      <w:r w:rsidR="00BE422F" w:rsidRPr="00F32ABF">
        <w:rPr>
          <w:rFonts w:ascii="Tahoma" w:hAnsi="Tahoma" w:cs="Tahoma"/>
          <w:sz w:val="24"/>
          <w:szCs w:val="24"/>
          <w:lang w:val="es-CO"/>
        </w:rPr>
        <w:t xml:space="preserve">, a quien igualmente le negaron la prestación reclamada, a efectos de que </w:t>
      </w:r>
      <w:r w:rsidR="00CA6F8E" w:rsidRPr="00F32ABF">
        <w:rPr>
          <w:rFonts w:ascii="Tahoma" w:hAnsi="Tahoma" w:cs="Tahoma"/>
          <w:sz w:val="24"/>
          <w:szCs w:val="24"/>
          <w:lang w:val="es-CO"/>
        </w:rPr>
        <w:t xml:space="preserve">fuera </w:t>
      </w:r>
      <w:r w:rsidR="00BE422F" w:rsidRPr="00F32ABF">
        <w:rPr>
          <w:rFonts w:ascii="Tahoma" w:hAnsi="Tahoma" w:cs="Tahoma"/>
          <w:sz w:val="24"/>
          <w:szCs w:val="24"/>
          <w:lang w:val="es-CO"/>
        </w:rPr>
        <w:t>la justicia laboral quien decid</w:t>
      </w:r>
      <w:r w:rsidR="00CA6F8E" w:rsidRPr="00F32ABF">
        <w:rPr>
          <w:rFonts w:ascii="Tahoma" w:hAnsi="Tahoma" w:cs="Tahoma"/>
          <w:sz w:val="24"/>
          <w:szCs w:val="24"/>
          <w:lang w:val="es-CO"/>
        </w:rPr>
        <w:t>iera</w:t>
      </w:r>
      <w:r w:rsidR="00BE422F" w:rsidRPr="00F32ABF">
        <w:rPr>
          <w:rFonts w:ascii="Tahoma" w:hAnsi="Tahoma" w:cs="Tahoma"/>
          <w:sz w:val="24"/>
          <w:szCs w:val="24"/>
          <w:lang w:val="es-CO"/>
        </w:rPr>
        <w:t xml:space="preserve"> de fondo a quién le corresponde el derecho.</w:t>
      </w:r>
    </w:p>
    <w:p w:rsidR="00CA6F8E" w:rsidRPr="00F32ABF" w:rsidRDefault="00CA6F8E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</w:p>
    <w:p w:rsidR="000211DB" w:rsidRPr="00F32ABF" w:rsidRDefault="00CA6F8E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>En respuesta a la demanda, la entidad demandada</w:t>
      </w:r>
      <w:r w:rsidR="000211DB" w:rsidRPr="00F32ABF">
        <w:rPr>
          <w:rFonts w:ascii="Tahoma" w:hAnsi="Tahoma" w:cs="Tahoma"/>
          <w:sz w:val="24"/>
          <w:szCs w:val="24"/>
          <w:lang w:val="es-CO"/>
        </w:rPr>
        <w:t>,</w:t>
      </w:r>
      <w:r w:rsidR="00DA196F" w:rsidRPr="00F32ABF">
        <w:rPr>
          <w:rFonts w:ascii="Tahoma" w:hAnsi="Tahoma" w:cs="Tahoma"/>
          <w:sz w:val="24"/>
          <w:szCs w:val="24"/>
          <w:lang w:val="es-CO"/>
        </w:rPr>
        <w:t xml:space="preserve"> </w:t>
      </w:r>
      <w:r w:rsidR="00DA196F" w:rsidRPr="00F32ABF">
        <w:rPr>
          <w:rFonts w:ascii="Tahoma" w:hAnsi="Tahoma" w:cs="Tahoma"/>
          <w:b/>
          <w:sz w:val="24"/>
          <w:szCs w:val="24"/>
          <w:lang w:val="es-CO"/>
        </w:rPr>
        <w:t>ADMINISTRADORA COLOMBIANA DE PENSIONES</w:t>
      </w:r>
      <w:r w:rsidR="000211DB" w:rsidRPr="00F32ABF">
        <w:rPr>
          <w:rFonts w:ascii="Tahoma" w:hAnsi="Tahoma" w:cs="Tahoma"/>
          <w:b/>
          <w:sz w:val="24"/>
          <w:szCs w:val="24"/>
          <w:lang w:val="es-CO"/>
        </w:rPr>
        <w:t xml:space="preserve"> </w:t>
      </w:r>
      <w:r w:rsidR="00DA196F" w:rsidRPr="00F32ABF">
        <w:rPr>
          <w:rFonts w:ascii="Tahoma" w:hAnsi="Tahoma" w:cs="Tahoma"/>
          <w:sz w:val="24"/>
          <w:szCs w:val="24"/>
          <w:lang w:val="es-CO"/>
        </w:rPr>
        <w:t>–</w:t>
      </w:r>
      <w:r w:rsidR="000211DB" w:rsidRPr="00F32ABF">
        <w:rPr>
          <w:rFonts w:ascii="Tahoma" w:hAnsi="Tahoma" w:cs="Tahoma"/>
          <w:b/>
          <w:sz w:val="24"/>
          <w:szCs w:val="24"/>
          <w:lang w:val="es-CO"/>
        </w:rPr>
        <w:t>COLPENSIONES</w:t>
      </w:r>
      <w:r w:rsidR="00DA196F" w:rsidRPr="00F32ABF">
        <w:rPr>
          <w:rFonts w:ascii="Tahoma" w:hAnsi="Tahoma" w:cs="Tahoma"/>
          <w:b/>
          <w:sz w:val="24"/>
          <w:szCs w:val="24"/>
          <w:lang w:val="es-CO"/>
        </w:rPr>
        <w:t>-</w:t>
      </w:r>
      <w:r w:rsidR="000211DB" w:rsidRPr="00F32ABF">
        <w:rPr>
          <w:rFonts w:ascii="Tahoma" w:hAnsi="Tahoma" w:cs="Tahoma"/>
          <w:sz w:val="24"/>
          <w:szCs w:val="24"/>
          <w:lang w:val="es-CO"/>
        </w:rPr>
        <w:t>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reconoció que el causante fue pensionado por invalidez mediante Resolución GNR-02965 del 14 de diciembre de 2012</w:t>
      </w:r>
      <w:r w:rsidR="000211DB" w:rsidRPr="00F32ABF">
        <w:rPr>
          <w:rFonts w:ascii="Tahoma" w:hAnsi="Tahoma" w:cs="Tahoma"/>
          <w:sz w:val="24"/>
          <w:szCs w:val="24"/>
          <w:lang w:val="es-CO"/>
        </w:rPr>
        <w:t>. Señaló, igualmente, que no le consta la relación de convivencia alegada en la demanda, de cuya demostración depende la prosperidad de las pretensiones, en razón de lo cual se ate</w:t>
      </w:r>
      <w:r w:rsidR="002915E6" w:rsidRPr="00F32ABF">
        <w:rPr>
          <w:rFonts w:ascii="Tahoma" w:hAnsi="Tahoma" w:cs="Tahoma"/>
          <w:sz w:val="24"/>
          <w:szCs w:val="24"/>
          <w:lang w:val="es-CO"/>
        </w:rPr>
        <w:t>nía a lo que resultare probado, proponiendo</w:t>
      </w:r>
      <w:r w:rsidR="000211DB" w:rsidRPr="00F32ABF">
        <w:rPr>
          <w:rFonts w:ascii="Tahoma" w:hAnsi="Tahoma" w:cs="Tahoma"/>
          <w:sz w:val="24"/>
          <w:szCs w:val="24"/>
          <w:lang w:val="es-CO"/>
        </w:rPr>
        <w:t xml:space="preserve"> como excepciones de mérito las denominadas “obligación del sistema de seguridad social sin definir”, </w:t>
      </w:r>
      <w:r w:rsidR="000211DB" w:rsidRPr="00F32ABF">
        <w:rPr>
          <w:rFonts w:ascii="Tahoma" w:hAnsi="Tahoma" w:cs="Tahoma"/>
          <w:sz w:val="24"/>
          <w:szCs w:val="24"/>
          <w:lang w:val="es-CO"/>
        </w:rPr>
        <w:lastRenderedPageBreak/>
        <w:t>“improcedencia del cobro de intereses moratorios y costas procesales” y “prescripción”.</w:t>
      </w:r>
    </w:p>
    <w:p w:rsidR="000211DB" w:rsidRPr="00F32ABF" w:rsidRDefault="000211DB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</w:p>
    <w:p w:rsidR="00DA196F" w:rsidRPr="00F32ABF" w:rsidRDefault="000211DB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 xml:space="preserve">Al proceso se ordenó la vinculación de la señora </w:t>
      </w:r>
      <w:r w:rsidRPr="00F32ABF">
        <w:rPr>
          <w:rFonts w:ascii="Tahoma" w:hAnsi="Tahoma" w:cs="Tahoma"/>
          <w:b/>
          <w:sz w:val="24"/>
          <w:szCs w:val="24"/>
          <w:lang w:val="es-CO"/>
        </w:rPr>
        <w:t>MARIA MELBA CASTAÑO TABARES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en calidad de litisconsorte necesario</w:t>
      </w:r>
      <w:r w:rsidR="00DA196F" w:rsidRPr="00F32ABF">
        <w:rPr>
          <w:rFonts w:ascii="Tahoma" w:hAnsi="Tahoma" w:cs="Tahoma"/>
          <w:sz w:val="24"/>
          <w:szCs w:val="24"/>
          <w:lang w:val="es-CO"/>
        </w:rPr>
        <w:t xml:space="preserve"> de la parte pasiva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(Fl. 41)</w:t>
      </w:r>
      <w:r w:rsidR="00DA196F" w:rsidRPr="00F32ABF">
        <w:rPr>
          <w:rFonts w:ascii="Tahoma" w:hAnsi="Tahoma" w:cs="Tahoma"/>
          <w:sz w:val="24"/>
          <w:szCs w:val="24"/>
          <w:lang w:val="es-CO"/>
        </w:rPr>
        <w:t>, quien</w:t>
      </w:r>
      <w:r w:rsidR="002915E6" w:rsidRPr="00F32ABF">
        <w:rPr>
          <w:rFonts w:ascii="Tahoma" w:hAnsi="Tahoma" w:cs="Tahoma"/>
          <w:sz w:val="24"/>
          <w:szCs w:val="24"/>
          <w:lang w:val="es-CO"/>
        </w:rPr>
        <w:t>,</w:t>
      </w:r>
      <w:r w:rsidR="00DA196F" w:rsidRPr="00F32ABF">
        <w:rPr>
          <w:rFonts w:ascii="Tahoma" w:hAnsi="Tahoma" w:cs="Tahoma"/>
          <w:sz w:val="24"/>
          <w:szCs w:val="24"/>
          <w:lang w:val="es-CO"/>
        </w:rPr>
        <w:t xml:space="preserve"> pese a </w:t>
      </w:r>
      <w:r w:rsidR="002915E6" w:rsidRPr="00F32ABF">
        <w:rPr>
          <w:rFonts w:ascii="Tahoma" w:hAnsi="Tahoma" w:cs="Tahoma"/>
          <w:sz w:val="24"/>
          <w:szCs w:val="24"/>
          <w:lang w:val="es-CO"/>
        </w:rPr>
        <w:t>haberse notificado</w:t>
      </w:r>
      <w:r w:rsidR="00DA196F" w:rsidRPr="00F32ABF">
        <w:rPr>
          <w:rFonts w:ascii="Tahoma" w:hAnsi="Tahoma" w:cs="Tahoma"/>
          <w:sz w:val="24"/>
          <w:szCs w:val="24"/>
          <w:lang w:val="es-CO"/>
        </w:rPr>
        <w:t xml:space="preserve"> personalmente del auto que ordenó su vinculación, no dio respuesta a la demanda, dejando vencer en silencio el término de traslado de la misma (Fl. 183).</w:t>
      </w:r>
    </w:p>
    <w:p w:rsidR="00DA196F" w:rsidRPr="00F32ABF" w:rsidRDefault="00DA196F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</w:p>
    <w:p w:rsidR="00DA196F" w:rsidRPr="00F32ABF" w:rsidRDefault="00DA196F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es-CO"/>
        </w:rPr>
      </w:pPr>
      <w:r w:rsidRPr="00F32ABF">
        <w:rPr>
          <w:rFonts w:ascii="Tahoma" w:hAnsi="Tahoma" w:cs="Tahoma"/>
          <w:b/>
          <w:sz w:val="24"/>
          <w:szCs w:val="24"/>
          <w:lang w:val="es-CO"/>
        </w:rPr>
        <w:t>II - SENTENCIA DE PRIMERA INSTANCIA</w:t>
      </w:r>
    </w:p>
    <w:p w:rsidR="00DA196F" w:rsidRPr="00F32ABF" w:rsidRDefault="00DA196F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es-CO"/>
        </w:rPr>
      </w:pPr>
    </w:p>
    <w:p w:rsidR="002915E6" w:rsidRPr="00F32ABF" w:rsidRDefault="00DA196F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ab/>
        <w:t>Por medio de la sentencia objeto de consulta, el juez de primera instancia declaró que la demandante tiene derecho a la pensión reclamada, en calidad de compañera permanente del causante, a partir del 22 de enero de 2014, en cuantía mensual equivalente al SMLMV y por 13 mesadas anuales.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 xml:space="preserve"> </w:t>
      </w:r>
      <w:r w:rsidR="002915E6" w:rsidRPr="00F32ABF">
        <w:rPr>
          <w:rFonts w:ascii="Tahoma" w:hAnsi="Tahoma" w:cs="Tahoma"/>
          <w:sz w:val="24"/>
          <w:szCs w:val="24"/>
          <w:lang w:val="es-CO"/>
        </w:rPr>
        <w:t>En consecuencia, condenó al pago de la suma de $39.754.747 por concepto del retroactivo pensional causado entre el 22 de enero de 2014 y el 31 de julio de 2018 y condenó, igualmente, al pago de intereses moratorios desde la fecha d</w:t>
      </w:r>
      <w:r w:rsidR="00247B86" w:rsidRPr="00F32ABF">
        <w:rPr>
          <w:rFonts w:ascii="Tahoma" w:hAnsi="Tahoma" w:cs="Tahoma"/>
          <w:sz w:val="24"/>
          <w:szCs w:val="24"/>
          <w:lang w:val="es-CO"/>
        </w:rPr>
        <w:t>e ejecutoria de la sentencia, absteniéndose</w:t>
      </w:r>
      <w:r w:rsidR="002915E6" w:rsidRPr="00F32ABF">
        <w:rPr>
          <w:rFonts w:ascii="Tahoma" w:hAnsi="Tahoma" w:cs="Tahoma"/>
          <w:sz w:val="24"/>
          <w:szCs w:val="24"/>
          <w:lang w:val="es-CO"/>
        </w:rPr>
        <w:t xml:space="preserve"> </w:t>
      </w:r>
      <w:r w:rsidR="00247B86" w:rsidRPr="00F32ABF">
        <w:rPr>
          <w:rFonts w:ascii="Tahoma" w:hAnsi="Tahoma" w:cs="Tahoma"/>
          <w:sz w:val="24"/>
          <w:szCs w:val="24"/>
          <w:lang w:val="es-CO"/>
        </w:rPr>
        <w:t xml:space="preserve">de </w:t>
      </w:r>
      <w:r w:rsidR="002915E6" w:rsidRPr="00F32ABF">
        <w:rPr>
          <w:rFonts w:ascii="Tahoma" w:hAnsi="Tahoma" w:cs="Tahoma"/>
          <w:sz w:val="24"/>
          <w:szCs w:val="24"/>
          <w:lang w:val="es-CO"/>
        </w:rPr>
        <w:t>condenar en costas procesales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>, por cuanto no hubo oposición a las pretensiones</w:t>
      </w:r>
      <w:r w:rsidR="002915E6" w:rsidRPr="00F32ABF">
        <w:rPr>
          <w:rFonts w:ascii="Tahoma" w:hAnsi="Tahoma" w:cs="Tahoma"/>
          <w:sz w:val="24"/>
          <w:szCs w:val="24"/>
          <w:lang w:val="es-CO"/>
        </w:rPr>
        <w:t>.</w:t>
      </w:r>
    </w:p>
    <w:p w:rsidR="00247B86" w:rsidRPr="00F32ABF" w:rsidRDefault="00247B86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</w:p>
    <w:p w:rsidR="004C46ED" w:rsidRDefault="007E5A67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ab/>
      </w:r>
      <w:r w:rsidR="00D251D5" w:rsidRPr="00F32ABF">
        <w:rPr>
          <w:rFonts w:ascii="Tahoma" w:hAnsi="Tahoma" w:cs="Tahoma"/>
          <w:sz w:val="24"/>
          <w:szCs w:val="24"/>
          <w:lang w:val="es-CO"/>
        </w:rPr>
        <w:t>Para arribar a tal conclusi</w:t>
      </w:r>
      <w:r w:rsidR="0047447A" w:rsidRPr="00F32ABF">
        <w:rPr>
          <w:rFonts w:ascii="Tahoma" w:hAnsi="Tahoma" w:cs="Tahoma"/>
          <w:sz w:val="24"/>
          <w:szCs w:val="24"/>
          <w:lang w:val="es-CO"/>
        </w:rPr>
        <w:t>ón, señaló que obran</w:t>
      </w:r>
      <w:r w:rsidR="00D251D5" w:rsidRPr="00F32ABF">
        <w:rPr>
          <w:rFonts w:ascii="Tahoma" w:hAnsi="Tahoma" w:cs="Tahoma"/>
          <w:sz w:val="24"/>
          <w:szCs w:val="24"/>
          <w:lang w:val="es-CO"/>
        </w:rPr>
        <w:t xml:space="preserve"> como indicio de la</w:t>
      </w:r>
      <w:r w:rsidR="00060566" w:rsidRPr="00F32ABF">
        <w:rPr>
          <w:rFonts w:ascii="Tahoma" w:hAnsi="Tahoma" w:cs="Tahoma"/>
          <w:sz w:val="24"/>
          <w:szCs w:val="24"/>
          <w:lang w:val="es-CO"/>
        </w:rPr>
        <w:t xml:space="preserve"> existencia de la</w:t>
      </w:r>
      <w:r w:rsidR="00D251D5" w:rsidRPr="00F32ABF">
        <w:rPr>
          <w:rFonts w:ascii="Tahoma" w:hAnsi="Tahoma" w:cs="Tahoma"/>
          <w:sz w:val="24"/>
          <w:szCs w:val="24"/>
          <w:lang w:val="es-CO"/>
        </w:rPr>
        <w:t xml:space="preserve"> relación </w:t>
      </w:r>
      <w:r w:rsidR="002017D1" w:rsidRPr="00F32ABF">
        <w:rPr>
          <w:rFonts w:ascii="Tahoma" w:hAnsi="Tahoma" w:cs="Tahoma"/>
          <w:sz w:val="24"/>
          <w:szCs w:val="24"/>
          <w:lang w:val="es-CO"/>
        </w:rPr>
        <w:t xml:space="preserve">de </w:t>
      </w:r>
      <w:r w:rsidR="00060566" w:rsidRPr="00F32ABF">
        <w:rPr>
          <w:rFonts w:ascii="Tahoma" w:hAnsi="Tahoma" w:cs="Tahoma"/>
          <w:sz w:val="24"/>
          <w:szCs w:val="24"/>
          <w:lang w:val="es-CO"/>
        </w:rPr>
        <w:t>convivencia</w:t>
      </w:r>
      <w:r w:rsidR="00D251D5" w:rsidRPr="00F32ABF">
        <w:rPr>
          <w:rFonts w:ascii="Tahoma" w:hAnsi="Tahoma" w:cs="Tahoma"/>
          <w:sz w:val="24"/>
          <w:szCs w:val="24"/>
          <w:lang w:val="es-CO"/>
        </w:rPr>
        <w:t xml:space="preserve"> entre el causante y la demandante</w:t>
      </w:r>
      <w:r w:rsidR="00060566" w:rsidRPr="00F32ABF">
        <w:rPr>
          <w:rFonts w:ascii="Tahoma" w:hAnsi="Tahoma" w:cs="Tahoma"/>
          <w:sz w:val="24"/>
          <w:szCs w:val="24"/>
          <w:lang w:val="es-CO"/>
        </w:rPr>
        <w:t>,</w:t>
      </w:r>
      <w:r w:rsidR="0047447A" w:rsidRPr="00F32ABF">
        <w:rPr>
          <w:rFonts w:ascii="Tahoma" w:hAnsi="Tahoma" w:cs="Tahoma"/>
          <w:sz w:val="24"/>
          <w:szCs w:val="24"/>
          <w:lang w:val="es-CO"/>
        </w:rPr>
        <w:t xml:space="preserve"> los documentos relacionados con la afiliación de esta última al Sistema General de Salud dentro del núcleo familiar de aquel; la historia clínica del señor MUÑOZ</w:t>
      </w:r>
      <w:r w:rsidR="00060566" w:rsidRPr="00F32ABF">
        <w:rPr>
          <w:rFonts w:ascii="Tahoma" w:hAnsi="Tahoma" w:cs="Tahoma"/>
          <w:sz w:val="24"/>
          <w:szCs w:val="24"/>
          <w:lang w:val="es-CO"/>
        </w:rPr>
        <w:t xml:space="preserve"> MENESES, en la que se indica que la persona responsable de su cuidado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>,</w:t>
      </w:r>
      <w:r w:rsidR="00060566" w:rsidRPr="00F32ABF">
        <w:rPr>
          <w:rFonts w:ascii="Tahoma" w:hAnsi="Tahoma" w:cs="Tahoma"/>
          <w:sz w:val="24"/>
          <w:szCs w:val="24"/>
          <w:lang w:val="es-CO"/>
        </w:rPr>
        <w:t xml:space="preserve"> durante</w:t>
      </w:r>
      <w:r w:rsidR="007C48CF" w:rsidRPr="00F32ABF">
        <w:rPr>
          <w:rFonts w:ascii="Tahoma" w:hAnsi="Tahoma" w:cs="Tahoma"/>
          <w:sz w:val="24"/>
          <w:szCs w:val="24"/>
          <w:lang w:val="es-CO"/>
        </w:rPr>
        <w:t xml:space="preserve"> su</w:t>
      </w:r>
      <w:r w:rsidR="00060566" w:rsidRPr="00F32ABF">
        <w:rPr>
          <w:rFonts w:ascii="Tahoma" w:hAnsi="Tahoma" w:cs="Tahoma"/>
          <w:sz w:val="24"/>
          <w:szCs w:val="24"/>
          <w:lang w:val="es-CO"/>
        </w:rPr>
        <w:t xml:space="preserve"> estancia en la Clínica SaludCoop, sería su esposa, BLANCA LUCÍA CASTAÑO</w:t>
      </w:r>
      <w:r w:rsidR="007C48CF" w:rsidRPr="00F32ABF">
        <w:rPr>
          <w:rFonts w:ascii="Tahoma" w:hAnsi="Tahoma" w:cs="Tahoma"/>
          <w:sz w:val="24"/>
          <w:szCs w:val="24"/>
          <w:lang w:val="es-CO"/>
        </w:rPr>
        <w:t>, y, por último, la constancia de una cita otorgada a ambos en la Embajada de EUA, para el 19 de marzo de 2013, con el propós</w:t>
      </w:r>
      <w:r w:rsidR="00F32ABF">
        <w:rPr>
          <w:rFonts w:ascii="Tahoma" w:hAnsi="Tahoma" w:cs="Tahoma"/>
          <w:sz w:val="24"/>
          <w:szCs w:val="24"/>
          <w:lang w:val="es-CO"/>
        </w:rPr>
        <w:t>ito de obtener visa de turismo.</w:t>
      </w:r>
    </w:p>
    <w:p w:rsidR="00F32ABF" w:rsidRPr="00F32ABF" w:rsidRDefault="00F32ABF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</w:p>
    <w:p w:rsidR="008F5005" w:rsidRPr="00F32ABF" w:rsidRDefault="007C48CF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 xml:space="preserve">Destacó el juez de la causa, que aparte de los anteriores documentos, la demandante llamó a declarar a la señora RAQUEL LOZANO FORERO y al señor JAIME SALAZAR BUITRAGO, quienes reconocieron a la demandante como la esposa del señor MUÑOZ MENESES. </w:t>
      </w:r>
    </w:p>
    <w:p w:rsidR="008F5005" w:rsidRPr="00F32ABF" w:rsidRDefault="008F5005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</w:p>
    <w:p w:rsidR="007C48CF" w:rsidRPr="00F32ABF" w:rsidRDefault="008F5005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 xml:space="preserve">Subrayó, acerca del dicho 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>RAQUEL LOZANO</w:t>
      </w:r>
      <w:r w:rsidRPr="00F32ABF">
        <w:rPr>
          <w:rFonts w:ascii="Tahoma" w:hAnsi="Tahoma" w:cs="Tahoma"/>
          <w:sz w:val="24"/>
          <w:szCs w:val="24"/>
          <w:lang w:val="es-CO"/>
        </w:rPr>
        <w:t>, que aunque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 xml:space="preserve"> esta</w:t>
      </w:r>
      <w:r w:rsidR="007C48CF" w:rsidRPr="00F32ABF">
        <w:rPr>
          <w:rFonts w:ascii="Tahoma" w:hAnsi="Tahoma" w:cs="Tahoma"/>
          <w:sz w:val="24"/>
          <w:szCs w:val="24"/>
          <w:lang w:val="es-CO"/>
        </w:rPr>
        <w:t xml:space="preserve"> no conocía mayores de</w:t>
      </w:r>
      <w:r w:rsidRPr="00F32ABF">
        <w:rPr>
          <w:rFonts w:ascii="Tahoma" w:hAnsi="Tahoma" w:cs="Tahoma"/>
          <w:sz w:val="24"/>
          <w:szCs w:val="24"/>
          <w:lang w:val="es-CO"/>
        </w:rPr>
        <w:t>talles de dicha relación, pues fue</w:t>
      </w:r>
      <w:r w:rsidR="007C48CF" w:rsidRPr="00F32ABF">
        <w:rPr>
          <w:rFonts w:ascii="Tahoma" w:hAnsi="Tahoma" w:cs="Tahoma"/>
          <w:sz w:val="24"/>
          <w:szCs w:val="24"/>
          <w:lang w:val="es-CO"/>
        </w:rPr>
        <w:t xml:space="preserve"> 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>más cercana al demandante y no tanto a su compañera</w:t>
      </w:r>
      <w:r w:rsidRPr="00F32ABF">
        <w:rPr>
          <w:rFonts w:ascii="Tahoma" w:hAnsi="Tahoma" w:cs="Tahoma"/>
          <w:sz w:val="24"/>
          <w:szCs w:val="24"/>
          <w:lang w:val="es-CO"/>
        </w:rPr>
        <w:t>,</w:t>
      </w:r>
      <w:r w:rsidR="007C48CF" w:rsidRPr="00F32ABF">
        <w:rPr>
          <w:rFonts w:ascii="Tahoma" w:hAnsi="Tahoma" w:cs="Tahoma"/>
          <w:sz w:val="24"/>
          <w:szCs w:val="24"/>
          <w:lang w:val="es-CO"/>
        </w:rPr>
        <w:t xml:space="preserve"> </w:t>
      </w:r>
      <w:r w:rsidRPr="00F32ABF">
        <w:rPr>
          <w:rFonts w:ascii="Tahoma" w:hAnsi="Tahoma" w:cs="Tahoma"/>
          <w:sz w:val="24"/>
          <w:szCs w:val="24"/>
          <w:lang w:val="es-CO"/>
        </w:rPr>
        <w:t>había manifestado de manera espontánea y desenvuelta que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 xml:space="preserve"> aquel</w:t>
      </w:r>
      <w:r w:rsidR="007C48CF" w:rsidRPr="00F32ABF">
        <w:rPr>
          <w:rFonts w:ascii="Tahoma" w:hAnsi="Tahoma" w:cs="Tahoma"/>
          <w:sz w:val="24"/>
          <w:szCs w:val="24"/>
          <w:lang w:val="es-CO"/>
        </w:rPr>
        <w:t xml:space="preserve"> le habl</w:t>
      </w:r>
      <w:r w:rsidRPr="00F32ABF">
        <w:rPr>
          <w:rFonts w:ascii="Tahoma" w:hAnsi="Tahoma" w:cs="Tahoma"/>
          <w:sz w:val="24"/>
          <w:szCs w:val="24"/>
          <w:lang w:val="es-CO"/>
        </w:rPr>
        <w:t>aba de su familia y que mientras duró su amistad con él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>, por más de 30 años, pues trabajaron en la misma empresa,</w:t>
      </w:r>
      <w:r w:rsidR="007C48CF" w:rsidRPr="00F32ABF">
        <w:rPr>
          <w:rFonts w:ascii="Tahoma" w:hAnsi="Tahoma" w:cs="Tahoma"/>
          <w:sz w:val="24"/>
          <w:szCs w:val="24"/>
          <w:lang w:val="es-CO"/>
        </w:rPr>
        <w:t xml:space="preserve"> no le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llegó a conocer</w:t>
      </w:r>
      <w:r w:rsidR="007C48CF" w:rsidRPr="00F32ABF">
        <w:rPr>
          <w:rFonts w:ascii="Tahoma" w:hAnsi="Tahoma" w:cs="Tahoma"/>
          <w:sz w:val="24"/>
          <w:szCs w:val="24"/>
          <w:lang w:val="es-CO"/>
        </w:rPr>
        <w:t xml:space="preserve"> mujer distinta a la madre de sus tres hijos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. Asimismo, dijo que le constaba que esta lo había cuidado mientras estuvo hospitalizado por casi 4 meses en el Hospital, donde lo visitó. </w:t>
      </w:r>
      <w:r w:rsidR="007C48CF" w:rsidRPr="00F32ABF">
        <w:rPr>
          <w:rFonts w:ascii="Tahoma" w:hAnsi="Tahoma" w:cs="Tahoma"/>
          <w:sz w:val="24"/>
          <w:szCs w:val="24"/>
          <w:lang w:val="es-CO"/>
        </w:rPr>
        <w:t xml:space="preserve"> </w:t>
      </w:r>
    </w:p>
    <w:p w:rsidR="00247B86" w:rsidRPr="00F32ABF" w:rsidRDefault="00247B86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</w:p>
    <w:p w:rsidR="007D78CD" w:rsidRPr="00F32ABF" w:rsidRDefault="008F5005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ab/>
        <w:t>Señaló</w:t>
      </w:r>
      <w:r w:rsidR="00B92270" w:rsidRPr="00F32ABF">
        <w:rPr>
          <w:rFonts w:ascii="Tahoma" w:hAnsi="Tahoma" w:cs="Tahoma"/>
          <w:sz w:val="24"/>
          <w:szCs w:val="24"/>
          <w:lang w:val="es-CO"/>
        </w:rPr>
        <w:t>, con respecto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al segundo</w:t>
      </w:r>
      <w:r w:rsidR="00B92270" w:rsidRPr="00F32ABF">
        <w:rPr>
          <w:rFonts w:ascii="Tahoma" w:hAnsi="Tahoma" w:cs="Tahoma"/>
          <w:sz w:val="24"/>
          <w:szCs w:val="24"/>
          <w:lang w:val="es-CO"/>
        </w:rPr>
        <w:t xml:space="preserve"> de los testigos, que este si tenía un mayor conocimiento de las circunstancias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 xml:space="preserve"> intimas</w:t>
      </w:r>
      <w:r w:rsidR="00B92270" w:rsidRPr="00F32ABF">
        <w:rPr>
          <w:rFonts w:ascii="Tahoma" w:hAnsi="Tahoma" w:cs="Tahoma"/>
          <w:sz w:val="24"/>
          <w:szCs w:val="24"/>
          <w:lang w:val="es-CO"/>
        </w:rPr>
        <w:t xml:space="preserve"> que rodearon la relación entre el causante </w:t>
      </w:r>
      <w:r w:rsidR="00B92270" w:rsidRPr="00F32ABF">
        <w:rPr>
          <w:rFonts w:ascii="Tahoma" w:hAnsi="Tahoma" w:cs="Tahoma"/>
          <w:sz w:val="24"/>
          <w:szCs w:val="24"/>
          <w:lang w:val="es-CO"/>
        </w:rPr>
        <w:lastRenderedPageBreak/>
        <w:t>y la señora BLANCA LUCÍA, pues los conoció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>,</w:t>
      </w:r>
      <w:r w:rsidR="00B92270" w:rsidRPr="00F32ABF">
        <w:rPr>
          <w:rFonts w:ascii="Tahoma" w:hAnsi="Tahoma" w:cs="Tahoma"/>
          <w:sz w:val="24"/>
          <w:szCs w:val="24"/>
          <w:lang w:val="es-CO"/>
        </w:rPr>
        <w:t xml:space="preserve"> no solo co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>mo vecinos hace más de 30 años, sino que además trabajaron juntos</w:t>
      </w:r>
      <w:r w:rsidR="00B92270" w:rsidRPr="00F32ABF">
        <w:rPr>
          <w:rFonts w:ascii="Tahoma" w:hAnsi="Tahoma" w:cs="Tahoma"/>
          <w:sz w:val="24"/>
          <w:szCs w:val="24"/>
          <w:lang w:val="es-CO"/>
        </w:rPr>
        <w:t xml:space="preserve"> en la misma empresa por varios años, lo que le permitió hacer una descripción más detallada de la composición interna del hogar encabezado por el causante y su compañera. Advirtió este testigo</w:t>
      </w:r>
      <w:r w:rsidR="00A44F5B" w:rsidRPr="00F32ABF">
        <w:rPr>
          <w:rFonts w:ascii="Tahoma" w:hAnsi="Tahoma" w:cs="Tahoma"/>
          <w:sz w:val="24"/>
          <w:szCs w:val="24"/>
          <w:lang w:val="es-CO"/>
        </w:rPr>
        <w:t>,</w:t>
      </w:r>
      <w:r w:rsidR="00B92270" w:rsidRPr="00F32ABF">
        <w:rPr>
          <w:rFonts w:ascii="Tahoma" w:hAnsi="Tahoma" w:cs="Tahoma"/>
          <w:sz w:val="24"/>
          <w:szCs w:val="24"/>
          <w:lang w:val="es-CO"/>
        </w:rPr>
        <w:t xml:space="preserve"> que la pareja tuvo tres (3) hijos, contemporáneos a él y que han sido sus amigos desde la infancia; que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 xml:space="preserve"> la pareja y sus hijos</w:t>
      </w:r>
      <w:r w:rsidR="00B92270" w:rsidRPr="00F32ABF">
        <w:rPr>
          <w:rFonts w:ascii="Tahoma" w:hAnsi="Tahoma" w:cs="Tahoma"/>
          <w:sz w:val="24"/>
          <w:szCs w:val="24"/>
          <w:lang w:val="es-CO"/>
        </w:rPr>
        <w:t xml:space="preserve"> siempre vivieron en la misma casa, ubicada en el barrio Santa Isabel de Dosquebradas (Risaralda)</w:t>
      </w:r>
      <w:r w:rsidR="00A44F5B" w:rsidRPr="00F32ABF">
        <w:rPr>
          <w:rFonts w:ascii="Tahoma" w:hAnsi="Tahoma" w:cs="Tahoma"/>
          <w:sz w:val="24"/>
          <w:szCs w:val="24"/>
          <w:lang w:val="es-CO"/>
        </w:rPr>
        <w:t>, del que son cofundadores,</w:t>
      </w:r>
      <w:r w:rsidR="00B92270" w:rsidRPr="00F32ABF">
        <w:rPr>
          <w:rFonts w:ascii="Tahoma" w:hAnsi="Tahoma" w:cs="Tahoma"/>
          <w:sz w:val="24"/>
          <w:szCs w:val="24"/>
          <w:lang w:val="es-CO"/>
        </w:rPr>
        <w:t xml:space="preserve"> y que le consta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>, por su cercanía a ese hogar,</w:t>
      </w:r>
      <w:r w:rsidR="00B92270" w:rsidRPr="00F32ABF">
        <w:rPr>
          <w:rFonts w:ascii="Tahoma" w:hAnsi="Tahoma" w:cs="Tahoma"/>
          <w:sz w:val="24"/>
          <w:szCs w:val="24"/>
          <w:lang w:val="es-CO"/>
        </w:rPr>
        <w:t xml:space="preserve"> que el señor MUÑOZ MENESES siempre res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 xml:space="preserve">pondió por las obligaciones de la familia </w:t>
      </w:r>
      <w:r w:rsidR="00B92270" w:rsidRPr="00F32ABF">
        <w:rPr>
          <w:rFonts w:ascii="Tahoma" w:hAnsi="Tahoma" w:cs="Tahoma"/>
          <w:sz w:val="24"/>
          <w:szCs w:val="24"/>
          <w:lang w:val="es-CO"/>
        </w:rPr>
        <w:t xml:space="preserve">y nunca se quedó a dormir por fuera de la casa. </w:t>
      </w:r>
    </w:p>
    <w:p w:rsidR="007D78CD" w:rsidRPr="00F32ABF" w:rsidRDefault="007D78CD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</w:p>
    <w:p w:rsidR="008F5005" w:rsidRPr="00F32ABF" w:rsidRDefault="00B92270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>Señaló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>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igualmente</w:t>
      </w:r>
      <w:r w:rsidR="007D78CD" w:rsidRPr="00F32ABF">
        <w:rPr>
          <w:rFonts w:ascii="Tahoma" w:hAnsi="Tahoma" w:cs="Tahoma"/>
          <w:sz w:val="24"/>
          <w:szCs w:val="24"/>
          <w:lang w:val="es-CO"/>
        </w:rPr>
        <w:t>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que por la época en que su amigo se enfermó también se enfermó uno de los hijos de este, que ambos fallecieron y que</w:t>
      </w:r>
      <w:r w:rsidR="00A44F5B" w:rsidRPr="00F32ABF">
        <w:rPr>
          <w:rFonts w:ascii="Tahoma" w:hAnsi="Tahoma" w:cs="Tahoma"/>
          <w:sz w:val="24"/>
          <w:szCs w:val="24"/>
          <w:lang w:val="es-CO"/>
        </w:rPr>
        <w:t xml:space="preserve"> fue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un </w:t>
      </w:r>
      <w:r w:rsidR="00A44F5B" w:rsidRPr="00F32ABF">
        <w:rPr>
          <w:rFonts w:ascii="Tahoma" w:hAnsi="Tahoma" w:cs="Tahoma"/>
          <w:sz w:val="24"/>
          <w:szCs w:val="24"/>
          <w:lang w:val="es-CO"/>
        </w:rPr>
        <w:t>periodo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de mucho sacrificio para la señora BLANCA LUCIA</w:t>
      </w:r>
      <w:r w:rsidR="00A44F5B" w:rsidRPr="00F32ABF">
        <w:rPr>
          <w:rFonts w:ascii="Tahoma" w:hAnsi="Tahoma" w:cs="Tahoma"/>
          <w:sz w:val="24"/>
          <w:szCs w:val="24"/>
          <w:lang w:val="es-CO"/>
        </w:rPr>
        <w:t>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pues se vio obligada a atender el cuidado de su esposo y</w:t>
      </w:r>
      <w:r w:rsidR="00A44F5B" w:rsidRPr="00F32ABF">
        <w:rPr>
          <w:rFonts w:ascii="Tahoma" w:hAnsi="Tahoma" w:cs="Tahoma"/>
          <w:sz w:val="24"/>
          <w:szCs w:val="24"/>
          <w:lang w:val="es-CO"/>
        </w:rPr>
        <w:t xml:space="preserve"> de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su hijo enfermo</w:t>
      </w:r>
      <w:r w:rsidR="00A44F5B" w:rsidRPr="00F32ABF">
        <w:rPr>
          <w:rFonts w:ascii="Tahoma" w:hAnsi="Tahoma" w:cs="Tahoma"/>
          <w:sz w:val="24"/>
          <w:szCs w:val="24"/>
          <w:lang w:val="es-CO"/>
        </w:rPr>
        <w:t xml:space="preserve"> a la vez</w:t>
      </w:r>
      <w:r w:rsidRPr="00F32ABF">
        <w:rPr>
          <w:rFonts w:ascii="Tahoma" w:hAnsi="Tahoma" w:cs="Tahoma"/>
          <w:sz w:val="24"/>
          <w:szCs w:val="24"/>
          <w:lang w:val="es-CO"/>
        </w:rPr>
        <w:t>. Finalmente</w:t>
      </w:r>
      <w:r w:rsidR="00A44F5B" w:rsidRPr="00F32ABF">
        <w:rPr>
          <w:rFonts w:ascii="Tahoma" w:hAnsi="Tahoma" w:cs="Tahoma"/>
          <w:sz w:val="24"/>
          <w:szCs w:val="24"/>
          <w:lang w:val="es-CO"/>
        </w:rPr>
        <w:t>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indicó que visitó al señor MUÑOZ en su casa antes de morir, que sufrió mucho</w:t>
      </w:r>
      <w:r w:rsidR="00A44F5B" w:rsidRPr="00F32ABF">
        <w:rPr>
          <w:rFonts w:ascii="Tahoma" w:hAnsi="Tahoma" w:cs="Tahoma"/>
          <w:sz w:val="24"/>
          <w:szCs w:val="24"/>
          <w:lang w:val="es-CO"/>
        </w:rPr>
        <w:t xml:space="preserve"> por la enfermedad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y que le manifestó que estaba muy agradecido con su esposa porque se había consagrado a su cuidado.   </w:t>
      </w:r>
    </w:p>
    <w:p w:rsidR="00247B86" w:rsidRPr="00F32ABF" w:rsidRDefault="00247B86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ab/>
      </w:r>
    </w:p>
    <w:p w:rsidR="00A44F5B" w:rsidRPr="00F32ABF" w:rsidRDefault="00A44F5B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ab/>
        <w:t>Con sustento en lo anterior, el juez dio por acreditado el requisito de convivencia entre la demandante y el causante durante los últimos cinco (5) años de vida de este y en consecuencia ordenó el pago de las condenas antes relacionadas.</w:t>
      </w:r>
    </w:p>
    <w:p w:rsidR="00A44F5B" w:rsidRPr="00F32ABF" w:rsidRDefault="00A44F5B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</w:p>
    <w:p w:rsidR="00A44F5B" w:rsidRPr="00F32ABF" w:rsidRDefault="00A44F5B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es-CO"/>
        </w:rPr>
      </w:pPr>
      <w:r w:rsidRPr="00F32ABF">
        <w:rPr>
          <w:rFonts w:ascii="Tahoma" w:hAnsi="Tahoma" w:cs="Tahoma"/>
          <w:b/>
          <w:sz w:val="24"/>
          <w:szCs w:val="24"/>
          <w:lang w:val="es-CO"/>
        </w:rPr>
        <w:t>III – CONSIDERACIONES</w:t>
      </w:r>
    </w:p>
    <w:p w:rsidR="007D78CD" w:rsidRPr="00F32ABF" w:rsidRDefault="007D78CD" w:rsidP="00F32ABF">
      <w:pPr>
        <w:spacing w:line="288" w:lineRule="auto"/>
        <w:jc w:val="both"/>
        <w:rPr>
          <w:rFonts w:ascii="Tahoma" w:hAnsi="Tahoma" w:cs="Tahoma"/>
          <w:b/>
          <w:sz w:val="24"/>
          <w:szCs w:val="24"/>
          <w:lang w:val="es-CO"/>
        </w:rPr>
      </w:pPr>
    </w:p>
    <w:p w:rsidR="007D78CD" w:rsidRPr="00F32ABF" w:rsidRDefault="00701480" w:rsidP="00F32ABF">
      <w:pPr>
        <w:spacing w:line="288" w:lineRule="auto"/>
        <w:ind w:right="15" w:firstLine="708"/>
        <w:jc w:val="center"/>
        <w:rPr>
          <w:rFonts w:ascii="Tahoma" w:hAnsi="Tahoma" w:cs="Tahoma"/>
          <w:b/>
          <w:sz w:val="24"/>
          <w:szCs w:val="24"/>
        </w:rPr>
      </w:pPr>
      <w:r w:rsidRPr="00F32ABF">
        <w:rPr>
          <w:rFonts w:ascii="Tahoma" w:hAnsi="Tahoma" w:cs="Tahoma"/>
          <w:b/>
          <w:sz w:val="24"/>
          <w:szCs w:val="24"/>
        </w:rPr>
        <w:t>3.1</w:t>
      </w:r>
      <w:r w:rsidR="007D78CD" w:rsidRPr="00F32ABF">
        <w:rPr>
          <w:rFonts w:ascii="Tahoma" w:hAnsi="Tahoma" w:cs="Tahoma"/>
          <w:b/>
          <w:sz w:val="24"/>
          <w:szCs w:val="24"/>
        </w:rPr>
        <w:t>. APROXIMACIÓN AL CONCEPTO LEGAL DE “VIDA MARITAL” PREVISTO EN EL ARTÍCULO 47 DE LA LEY 100 DE 1993.</w:t>
      </w:r>
    </w:p>
    <w:p w:rsidR="007D78CD" w:rsidRPr="00F32ABF" w:rsidRDefault="007D78CD" w:rsidP="00F32ABF">
      <w:pPr>
        <w:spacing w:line="288" w:lineRule="auto"/>
        <w:ind w:right="15" w:firstLine="708"/>
        <w:jc w:val="both"/>
        <w:rPr>
          <w:rFonts w:ascii="Tahoma" w:hAnsi="Tahoma" w:cs="Tahoma"/>
          <w:sz w:val="24"/>
          <w:szCs w:val="24"/>
        </w:rPr>
      </w:pPr>
    </w:p>
    <w:p w:rsidR="007D78CD" w:rsidRDefault="007D78CD" w:rsidP="00F32ABF">
      <w:pPr>
        <w:spacing w:line="288" w:lineRule="auto"/>
        <w:ind w:right="15" w:firstLine="708"/>
        <w:jc w:val="both"/>
        <w:rPr>
          <w:rFonts w:ascii="Tahoma" w:hAnsi="Tahoma" w:cs="Tahoma"/>
          <w:sz w:val="24"/>
          <w:szCs w:val="24"/>
        </w:rPr>
      </w:pPr>
      <w:r w:rsidRPr="00F32ABF">
        <w:rPr>
          <w:rFonts w:ascii="Tahoma" w:hAnsi="Tahoma" w:cs="Tahoma"/>
          <w:sz w:val="24"/>
          <w:szCs w:val="24"/>
        </w:rPr>
        <w:t>Es indudable, como regla general, que la normatividad aplicable para el reconocimiento de la pensión de sobrevivientes es la que se encuentre vigente al momento del fallecimiento del pensionado o del afiliado al sistema de Seguridad Social; y</w:t>
      </w:r>
      <w:r w:rsidR="00A46EC5" w:rsidRPr="00F32ABF">
        <w:rPr>
          <w:rFonts w:ascii="Tahoma" w:hAnsi="Tahoma" w:cs="Tahoma"/>
          <w:sz w:val="24"/>
          <w:szCs w:val="24"/>
        </w:rPr>
        <w:t>,</w:t>
      </w:r>
      <w:r w:rsidRPr="00F32ABF">
        <w:rPr>
          <w:rFonts w:ascii="Tahoma" w:hAnsi="Tahoma" w:cs="Tahoma"/>
          <w:sz w:val="24"/>
          <w:szCs w:val="24"/>
        </w:rPr>
        <w:t xml:space="preserve"> además, que el cónyuge o compañero o compañera permanente del causante debe cumplir ciertas exigencias de índole personal y temporal para acceder a la pensión de sobrevivencia</w:t>
      </w:r>
      <w:r w:rsidR="00A46EC5" w:rsidRPr="00F32ABF">
        <w:rPr>
          <w:rFonts w:ascii="Tahoma" w:hAnsi="Tahoma" w:cs="Tahoma"/>
          <w:sz w:val="24"/>
          <w:szCs w:val="24"/>
        </w:rPr>
        <w:t xml:space="preserve">, </w:t>
      </w:r>
      <w:r w:rsidRPr="00F32ABF">
        <w:rPr>
          <w:rFonts w:ascii="Tahoma" w:hAnsi="Tahoma" w:cs="Tahoma"/>
          <w:sz w:val="24"/>
          <w:szCs w:val="24"/>
        </w:rPr>
        <w:t>lo cual constituye una garantía de legitimidad y justicia en el otorgamiento de dicha prestación que favorece a los demás miembros del grupo familiar, potencialmente beneficiarios de la misma prestación.</w:t>
      </w:r>
    </w:p>
    <w:p w:rsidR="00662582" w:rsidRPr="00F32ABF" w:rsidRDefault="00662582" w:rsidP="00F32ABF">
      <w:pPr>
        <w:spacing w:line="288" w:lineRule="auto"/>
        <w:ind w:right="15" w:firstLine="708"/>
        <w:jc w:val="both"/>
        <w:rPr>
          <w:rFonts w:ascii="Tahoma" w:hAnsi="Tahoma" w:cs="Tahoma"/>
          <w:sz w:val="24"/>
          <w:szCs w:val="24"/>
        </w:rPr>
      </w:pPr>
    </w:p>
    <w:p w:rsidR="007D78CD" w:rsidRPr="00F32ABF" w:rsidRDefault="007D78CD" w:rsidP="00F32ABF">
      <w:pPr>
        <w:spacing w:line="288" w:lineRule="auto"/>
        <w:ind w:right="15" w:firstLine="708"/>
        <w:jc w:val="both"/>
        <w:rPr>
          <w:rFonts w:ascii="Tahoma" w:hAnsi="Tahoma" w:cs="Tahoma"/>
          <w:i/>
          <w:color w:val="000000"/>
          <w:sz w:val="24"/>
          <w:szCs w:val="24"/>
        </w:rPr>
      </w:pPr>
      <w:r w:rsidRPr="00F32ABF">
        <w:rPr>
          <w:rFonts w:ascii="Tahoma" w:hAnsi="Tahoma" w:cs="Tahoma"/>
          <w:sz w:val="24"/>
          <w:szCs w:val="24"/>
        </w:rPr>
        <w:t xml:space="preserve">Para el presente caso, dada la fecha del fallecimiento del pensionado (26 de noviembre de 2011), la normatividad a aplicar no es otra que la Ley 797 de 2003, que establece, a la altura del artículo 13, modificatorio del artículo 47 de la Ley 100 de 1993, en lo que interesa al proceso, lo siguiente: </w:t>
      </w:r>
      <w:r w:rsidRPr="00F32ABF">
        <w:rPr>
          <w:rFonts w:ascii="Tahoma" w:hAnsi="Tahoma" w:cs="Tahoma"/>
          <w:i/>
          <w:color w:val="000000"/>
          <w:sz w:val="24"/>
          <w:szCs w:val="24"/>
        </w:rPr>
        <w:t>“</w:t>
      </w:r>
      <w:r w:rsidRPr="00662582">
        <w:rPr>
          <w:rFonts w:ascii="Tahoma" w:hAnsi="Tahoma" w:cs="Tahoma"/>
          <w:i/>
          <w:color w:val="000000"/>
          <w:szCs w:val="24"/>
        </w:rPr>
        <w:t xml:space="preserve">beneficiarios de la Pensión de sobrevivientes: </w:t>
      </w:r>
      <w:r w:rsidRPr="00662582">
        <w:rPr>
          <w:rFonts w:ascii="Tahoma" w:hAnsi="Tahoma" w:cs="Tahoma"/>
          <w:i/>
          <w:szCs w:val="24"/>
        </w:rPr>
        <w:t>“</w:t>
      </w:r>
      <w:r w:rsidRPr="00662582">
        <w:rPr>
          <w:rFonts w:ascii="Tahoma" w:hAnsi="Tahoma" w:cs="Tahoma"/>
          <w:b/>
          <w:i/>
          <w:color w:val="000000"/>
          <w:szCs w:val="24"/>
        </w:rPr>
        <w:t>a)</w:t>
      </w:r>
      <w:r w:rsidRPr="00662582">
        <w:rPr>
          <w:rFonts w:ascii="Tahoma" w:hAnsi="Tahoma" w:cs="Tahoma"/>
          <w:i/>
          <w:color w:val="000000"/>
          <w:szCs w:val="24"/>
        </w:rPr>
        <w:t xml:space="preserve"> en forma vitalicia, el cónyuge o la compañera o compañero permanente o supérstite, siempre y cuando dicho beneficiario, a la fecha del fallecimiento del causante, tenga 30 o más años de edad. En caso de que la pensión de sobrevivencia se cause por muerte del pensionado, el cónyuge o </w:t>
      </w:r>
      <w:r w:rsidRPr="00662582">
        <w:rPr>
          <w:rFonts w:ascii="Tahoma" w:hAnsi="Tahoma" w:cs="Tahoma"/>
          <w:bCs/>
          <w:i/>
          <w:color w:val="000000"/>
          <w:szCs w:val="24"/>
        </w:rPr>
        <w:t xml:space="preserve">la compañera o compañero permanente supérstite, deberá acreditar que estuvo haciendo vida marital con el causante hasta su muerte y haya convivido con el </w:t>
      </w:r>
      <w:r w:rsidRPr="00662582">
        <w:rPr>
          <w:rFonts w:ascii="Tahoma" w:hAnsi="Tahoma" w:cs="Tahoma"/>
          <w:bCs/>
          <w:i/>
          <w:color w:val="000000"/>
          <w:szCs w:val="24"/>
        </w:rPr>
        <w:lastRenderedPageBreak/>
        <w:t>fallecido no menos de cinco (5) años continuos con anterioridad a su muerte</w:t>
      </w:r>
      <w:r w:rsidRPr="00F32ABF">
        <w:rPr>
          <w:rFonts w:ascii="Tahoma" w:hAnsi="Tahoma" w:cs="Tahoma"/>
          <w:i/>
          <w:color w:val="000000"/>
          <w:sz w:val="24"/>
          <w:szCs w:val="24"/>
        </w:rPr>
        <w:t>. (Subrayado fuera del texto)</w:t>
      </w:r>
      <w:r w:rsidRPr="00F32ABF">
        <w:rPr>
          <w:rFonts w:ascii="Tahoma" w:hAnsi="Tahoma" w:cs="Tahoma"/>
          <w:sz w:val="24"/>
          <w:szCs w:val="24"/>
        </w:rPr>
        <w:t xml:space="preserve"> </w:t>
      </w:r>
      <w:r w:rsidRPr="00F32ABF">
        <w:rPr>
          <w:rFonts w:ascii="Tahoma" w:hAnsi="Tahoma" w:cs="Tahoma"/>
          <w:i/>
          <w:color w:val="000000"/>
          <w:sz w:val="24"/>
          <w:szCs w:val="24"/>
        </w:rPr>
        <w:t>(…)”.</w:t>
      </w:r>
    </w:p>
    <w:p w:rsidR="007D78CD" w:rsidRPr="00F32ABF" w:rsidRDefault="007D78CD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</w:p>
    <w:p w:rsidR="007D78CD" w:rsidRPr="00F32ABF" w:rsidRDefault="007D78CD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32ABF">
        <w:rPr>
          <w:rFonts w:ascii="Tahoma" w:hAnsi="Tahoma" w:cs="Tahoma"/>
          <w:sz w:val="24"/>
          <w:szCs w:val="24"/>
          <w:lang w:val="es-CO"/>
        </w:rPr>
        <w:t>Dicho todo lo anterior, cabe recordar</w:t>
      </w:r>
      <w:r w:rsidR="004C46ED" w:rsidRPr="00F32ABF">
        <w:rPr>
          <w:rFonts w:ascii="Tahoma" w:hAnsi="Tahoma" w:cs="Tahoma"/>
          <w:sz w:val="24"/>
          <w:szCs w:val="24"/>
          <w:lang w:val="es-CO"/>
        </w:rPr>
        <w:t>, por último,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que el artículo 42 de la nuestra Carta Política establece que una familia, como la que se conforma entre compañeros permanentes, surge de la decisión libre, espontánea y reciproca de dos personas dispuestas a unir sus vidas a efectos de brindarse auxilio económico y asistencia mutua, y</w:t>
      </w:r>
      <w:r w:rsidRPr="00F32ABF">
        <w:rPr>
          <w:rFonts w:ascii="Tahoma" w:hAnsi="Tahoma" w:cs="Tahoma"/>
          <w:sz w:val="24"/>
          <w:szCs w:val="24"/>
        </w:rPr>
        <w:t xml:space="preserve"> bien sabido es que la convivencia constituye un elemento fundamental para la configuración del derecho a la pensión de sobrevivientes, y este elemento ha sido definido como el vínculo afectivo entre dos personas mediante el auxilio mutuo, entendido como acompañamiento espiritual permanente, apoyo económico y vida en común.</w:t>
      </w:r>
    </w:p>
    <w:p w:rsidR="004C46ED" w:rsidRPr="00F32ABF" w:rsidRDefault="004C46ED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4C46ED" w:rsidRPr="00F32ABF" w:rsidRDefault="004C46ED" w:rsidP="00F32ABF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F32ABF">
        <w:rPr>
          <w:rFonts w:ascii="Tahoma" w:hAnsi="Tahoma" w:cs="Tahoma"/>
          <w:b/>
          <w:sz w:val="24"/>
          <w:szCs w:val="24"/>
        </w:rPr>
        <w:t>3.2. CASO CONCRETO</w:t>
      </w:r>
    </w:p>
    <w:p w:rsidR="001045EE" w:rsidRPr="00F32ABF" w:rsidRDefault="001045EE" w:rsidP="00F32ABF">
      <w:pPr>
        <w:spacing w:line="288" w:lineRule="auto"/>
        <w:jc w:val="both"/>
        <w:rPr>
          <w:rFonts w:ascii="Tahoma" w:hAnsi="Tahoma" w:cs="Tahoma"/>
          <w:sz w:val="24"/>
          <w:szCs w:val="24"/>
        </w:rPr>
      </w:pPr>
    </w:p>
    <w:p w:rsidR="00902471" w:rsidRPr="00F32ABF" w:rsidRDefault="001045EE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32ABF">
        <w:rPr>
          <w:rFonts w:ascii="Tahoma" w:hAnsi="Tahoma" w:cs="Tahoma"/>
          <w:sz w:val="24"/>
          <w:szCs w:val="24"/>
        </w:rPr>
        <w:t>Descendiendo al caso concreto, valga indicar que</w:t>
      </w:r>
      <w:r w:rsidR="00902471" w:rsidRPr="00F32ABF">
        <w:rPr>
          <w:rFonts w:ascii="Tahoma" w:hAnsi="Tahoma" w:cs="Tahoma"/>
          <w:sz w:val="24"/>
          <w:szCs w:val="24"/>
        </w:rPr>
        <w:t>, con la finalidad de acreditar la convivencia con el causante,</w:t>
      </w:r>
      <w:r w:rsidRPr="00F32ABF">
        <w:rPr>
          <w:rFonts w:ascii="Tahoma" w:hAnsi="Tahoma" w:cs="Tahoma"/>
          <w:sz w:val="24"/>
          <w:szCs w:val="24"/>
        </w:rPr>
        <w:t xml:space="preserve"> la demandante aportó al proceso los documentos ya reseñados por el </w:t>
      </w:r>
      <w:r w:rsidRPr="00F32ABF">
        <w:rPr>
          <w:rFonts w:ascii="Tahoma" w:hAnsi="Tahoma" w:cs="Tahoma"/>
          <w:i/>
          <w:sz w:val="24"/>
          <w:szCs w:val="24"/>
        </w:rPr>
        <w:t>a-quo</w:t>
      </w:r>
      <w:r w:rsidRPr="00F32ABF">
        <w:rPr>
          <w:rFonts w:ascii="Tahoma" w:hAnsi="Tahoma" w:cs="Tahoma"/>
          <w:sz w:val="24"/>
          <w:szCs w:val="24"/>
        </w:rPr>
        <w:t xml:space="preserve"> y los testimonios de </w:t>
      </w:r>
      <w:r w:rsidR="00C6442E" w:rsidRPr="00F32ABF">
        <w:rPr>
          <w:rFonts w:ascii="Tahoma" w:hAnsi="Tahoma" w:cs="Tahoma"/>
          <w:b/>
          <w:sz w:val="24"/>
          <w:szCs w:val="24"/>
        </w:rPr>
        <w:t>RAQUEL LOZANO FORERO</w:t>
      </w:r>
      <w:r w:rsidR="00C6442E" w:rsidRPr="00F32ABF">
        <w:rPr>
          <w:rFonts w:ascii="Tahoma" w:hAnsi="Tahoma" w:cs="Tahoma"/>
          <w:sz w:val="24"/>
          <w:szCs w:val="24"/>
        </w:rPr>
        <w:t xml:space="preserve"> y</w:t>
      </w:r>
      <w:r w:rsidR="00902471" w:rsidRPr="00F32ABF">
        <w:rPr>
          <w:rFonts w:ascii="Tahoma" w:hAnsi="Tahoma" w:cs="Tahoma"/>
          <w:sz w:val="24"/>
          <w:szCs w:val="24"/>
        </w:rPr>
        <w:t xml:space="preserve"> </w:t>
      </w:r>
      <w:r w:rsidR="00902471" w:rsidRPr="00F32ABF">
        <w:rPr>
          <w:rFonts w:ascii="Tahoma" w:hAnsi="Tahoma" w:cs="Tahoma"/>
          <w:b/>
          <w:sz w:val="24"/>
          <w:szCs w:val="24"/>
        </w:rPr>
        <w:t>JAIME SALAZAR BUITRAGO</w:t>
      </w:r>
      <w:r w:rsidR="00902471" w:rsidRPr="00F32ABF">
        <w:rPr>
          <w:rFonts w:ascii="Tahoma" w:hAnsi="Tahoma" w:cs="Tahoma"/>
          <w:sz w:val="24"/>
          <w:szCs w:val="24"/>
        </w:rPr>
        <w:t>.</w:t>
      </w:r>
    </w:p>
    <w:p w:rsidR="00902471" w:rsidRPr="00F32ABF" w:rsidRDefault="00902471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D133FB" w:rsidRPr="00F32ABF" w:rsidRDefault="00902471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32ABF">
        <w:rPr>
          <w:rFonts w:ascii="Tahoma" w:hAnsi="Tahoma" w:cs="Tahoma"/>
          <w:sz w:val="24"/>
          <w:szCs w:val="24"/>
        </w:rPr>
        <w:t xml:space="preserve">Los testimonios de estas personas </w:t>
      </w:r>
      <w:r w:rsidR="00D133FB" w:rsidRPr="00F32ABF">
        <w:rPr>
          <w:rFonts w:ascii="Tahoma" w:hAnsi="Tahoma" w:cs="Tahoma"/>
          <w:sz w:val="24"/>
          <w:szCs w:val="24"/>
        </w:rPr>
        <w:t>dejan al descubierto la existencia de una prolongada y consolida</w:t>
      </w:r>
      <w:r w:rsidR="002017D1" w:rsidRPr="00F32ABF">
        <w:rPr>
          <w:rFonts w:ascii="Tahoma" w:hAnsi="Tahoma" w:cs="Tahoma"/>
          <w:sz w:val="24"/>
          <w:szCs w:val="24"/>
        </w:rPr>
        <w:t>da</w:t>
      </w:r>
      <w:r w:rsidR="00D133FB" w:rsidRPr="00F32ABF">
        <w:rPr>
          <w:rFonts w:ascii="Tahoma" w:hAnsi="Tahoma" w:cs="Tahoma"/>
          <w:sz w:val="24"/>
          <w:szCs w:val="24"/>
        </w:rPr>
        <w:t xml:space="preserve"> relación de convivencia entre el causante y la demandante, la cual se extendió por más</w:t>
      </w:r>
      <w:r w:rsidR="002C4484" w:rsidRPr="00F32ABF">
        <w:rPr>
          <w:rFonts w:ascii="Tahoma" w:hAnsi="Tahoma" w:cs="Tahoma"/>
          <w:sz w:val="24"/>
          <w:szCs w:val="24"/>
        </w:rPr>
        <w:t xml:space="preserve"> de</w:t>
      </w:r>
      <w:r w:rsidR="00D133FB" w:rsidRPr="00F32ABF">
        <w:rPr>
          <w:rFonts w:ascii="Tahoma" w:hAnsi="Tahoma" w:cs="Tahoma"/>
          <w:sz w:val="24"/>
          <w:szCs w:val="24"/>
        </w:rPr>
        <w:t xml:space="preserve"> 40 años</w:t>
      </w:r>
      <w:r w:rsidRPr="00F32ABF">
        <w:rPr>
          <w:rFonts w:ascii="Tahoma" w:hAnsi="Tahoma" w:cs="Tahoma"/>
          <w:sz w:val="24"/>
          <w:szCs w:val="24"/>
        </w:rPr>
        <w:t xml:space="preserve"> </w:t>
      </w:r>
      <w:r w:rsidR="002C4484" w:rsidRPr="00F32ABF">
        <w:rPr>
          <w:rFonts w:ascii="Tahoma" w:hAnsi="Tahoma" w:cs="Tahoma"/>
          <w:sz w:val="24"/>
          <w:szCs w:val="24"/>
        </w:rPr>
        <w:t>hasta la muerte de aquel (el 22 de enero de 2014)</w:t>
      </w:r>
      <w:r w:rsidR="00D133FB" w:rsidRPr="00F32ABF">
        <w:rPr>
          <w:rFonts w:ascii="Tahoma" w:hAnsi="Tahoma" w:cs="Tahoma"/>
          <w:sz w:val="24"/>
          <w:szCs w:val="24"/>
        </w:rPr>
        <w:t xml:space="preserve"> a causa de una enfermedad pulmonar que lo postró en una cama por más</w:t>
      </w:r>
      <w:r w:rsidR="001B3C03" w:rsidRPr="00F32ABF">
        <w:rPr>
          <w:rFonts w:ascii="Tahoma" w:hAnsi="Tahoma" w:cs="Tahoma"/>
          <w:sz w:val="24"/>
          <w:szCs w:val="24"/>
        </w:rPr>
        <w:t xml:space="preserve"> de</w:t>
      </w:r>
      <w:r w:rsidR="00D133FB" w:rsidRPr="00F32ABF">
        <w:rPr>
          <w:rFonts w:ascii="Tahoma" w:hAnsi="Tahoma" w:cs="Tahoma"/>
          <w:sz w:val="24"/>
          <w:szCs w:val="24"/>
        </w:rPr>
        <w:t xml:space="preserve"> 4 meses hasta la muerte.</w:t>
      </w:r>
    </w:p>
    <w:p w:rsidR="00D133FB" w:rsidRPr="00F32ABF" w:rsidRDefault="00D133FB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1A5580" w:rsidRPr="00F32ABF" w:rsidRDefault="00D133FB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32ABF">
        <w:rPr>
          <w:rFonts w:ascii="Tahoma" w:hAnsi="Tahoma" w:cs="Tahoma"/>
          <w:sz w:val="24"/>
          <w:szCs w:val="24"/>
        </w:rPr>
        <w:t>De aquella relación nacieron 3 hijos, de los cuales sobreviven dos</w:t>
      </w:r>
      <w:r w:rsidR="001A5580" w:rsidRPr="00F32ABF">
        <w:rPr>
          <w:rFonts w:ascii="Tahoma" w:hAnsi="Tahoma" w:cs="Tahoma"/>
          <w:sz w:val="24"/>
          <w:szCs w:val="24"/>
        </w:rPr>
        <w:t>,</w:t>
      </w:r>
      <w:r w:rsidRPr="00F32ABF">
        <w:rPr>
          <w:rFonts w:ascii="Tahoma" w:hAnsi="Tahoma" w:cs="Tahoma"/>
          <w:sz w:val="24"/>
          <w:szCs w:val="24"/>
        </w:rPr>
        <w:t xml:space="preserve"> actualmente mayores de edad. La pareja siempre vivió en la misma casa, ubicada en el barrio “Santa Isabel” del municipio vecino de Dosquebradas</w:t>
      </w:r>
      <w:r w:rsidR="001A5580" w:rsidRPr="00F32ABF">
        <w:rPr>
          <w:rFonts w:ascii="Tahoma" w:hAnsi="Tahoma" w:cs="Tahoma"/>
          <w:sz w:val="24"/>
          <w:szCs w:val="24"/>
        </w:rPr>
        <w:t xml:space="preserve"> y el causante era el proveedor</w:t>
      </w:r>
      <w:r w:rsidRPr="00F32ABF">
        <w:rPr>
          <w:rFonts w:ascii="Tahoma" w:hAnsi="Tahoma" w:cs="Tahoma"/>
          <w:sz w:val="24"/>
          <w:szCs w:val="24"/>
        </w:rPr>
        <w:t xml:space="preserve"> de ese hogar, según lo señalado por </w:t>
      </w:r>
      <w:r w:rsidRPr="00F32ABF">
        <w:rPr>
          <w:rFonts w:ascii="Tahoma" w:hAnsi="Tahoma" w:cs="Tahoma"/>
          <w:b/>
          <w:sz w:val="24"/>
          <w:szCs w:val="24"/>
        </w:rPr>
        <w:t>JAIME S</w:t>
      </w:r>
      <w:r w:rsidR="001A5580" w:rsidRPr="00F32ABF">
        <w:rPr>
          <w:rFonts w:ascii="Tahoma" w:hAnsi="Tahoma" w:cs="Tahoma"/>
          <w:b/>
          <w:sz w:val="24"/>
          <w:szCs w:val="24"/>
        </w:rPr>
        <w:t>ALAZAR BUITRAGO</w:t>
      </w:r>
      <w:r w:rsidR="001A5580" w:rsidRPr="00F32ABF">
        <w:rPr>
          <w:rFonts w:ascii="Tahoma" w:hAnsi="Tahoma" w:cs="Tahoma"/>
          <w:sz w:val="24"/>
          <w:szCs w:val="24"/>
        </w:rPr>
        <w:t>, vecino de suyo por más</w:t>
      </w:r>
      <w:r w:rsidR="00C01A64" w:rsidRPr="00F32ABF">
        <w:rPr>
          <w:rFonts w:ascii="Tahoma" w:hAnsi="Tahoma" w:cs="Tahoma"/>
          <w:sz w:val="24"/>
          <w:szCs w:val="24"/>
        </w:rPr>
        <w:t xml:space="preserve"> de 40</w:t>
      </w:r>
      <w:r w:rsidR="001A5580" w:rsidRPr="00F32ABF">
        <w:rPr>
          <w:rFonts w:ascii="Tahoma" w:hAnsi="Tahoma" w:cs="Tahoma"/>
          <w:sz w:val="24"/>
          <w:szCs w:val="24"/>
        </w:rPr>
        <w:t xml:space="preserve"> años</w:t>
      </w:r>
      <w:r w:rsidRPr="00F32ABF">
        <w:rPr>
          <w:rFonts w:ascii="Tahoma" w:hAnsi="Tahoma" w:cs="Tahoma"/>
          <w:sz w:val="24"/>
          <w:szCs w:val="24"/>
        </w:rPr>
        <w:t>.</w:t>
      </w:r>
    </w:p>
    <w:p w:rsidR="001A5580" w:rsidRPr="00F32ABF" w:rsidRDefault="001A5580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1E2D0A" w:rsidRPr="00F32ABF" w:rsidRDefault="001A5580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F32ABF">
        <w:rPr>
          <w:rFonts w:ascii="Tahoma" w:hAnsi="Tahoma" w:cs="Tahoma"/>
          <w:sz w:val="24"/>
          <w:szCs w:val="24"/>
        </w:rPr>
        <w:t xml:space="preserve">La señora </w:t>
      </w:r>
      <w:r w:rsidRPr="00F32ABF">
        <w:rPr>
          <w:rFonts w:ascii="Tahoma" w:hAnsi="Tahoma" w:cs="Tahoma"/>
          <w:b/>
          <w:sz w:val="24"/>
          <w:szCs w:val="24"/>
        </w:rPr>
        <w:t xml:space="preserve">RAQUEL </w:t>
      </w:r>
      <w:r w:rsidR="001E2D0A" w:rsidRPr="00F32ABF">
        <w:rPr>
          <w:rFonts w:ascii="Tahoma" w:hAnsi="Tahoma" w:cs="Tahoma"/>
          <w:b/>
          <w:sz w:val="24"/>
          <w:szCs w:val="24"/>
        </w:rPr>
        <w:t>LOZANO FORERO</w:t>
      </w:r>
      <w:r w:rsidR="001E2D0A" w:rsidRPr="00F32ABF">
        <w:rPr>
          <w:rFonts w:ascii="Tahoma" w:hAnsi="Tahoma" w:cs="Tahoma"/>
          <w:sz w:val="24"/>
          <w:szCs w:val="24"/>
        </w:rPr>
        <w:t xml:space="preserve"> refirió que trabajó con el causante en la misma empresa de construcción por 7 años, que este era plomero, electricista y constructor y que su cercanía con él perduró más allá de aquella época</w:t>
      </w:r>
      <w:r w:rsidR="00C01A64" w:rsidRPr="00F32ABF">
        <w:rPr>
          <w:rFonts w:ascii="Tahoma" w:hAnsi="Tahoma" w:cs="Tahoma"/>
          <w:sz w:val="24"/>
          <w:szCs w:val="24"/>
        </w:rPr>
        <w:t>, por casi 35</w:t>
      </w:r>
      <w:r w:rsidR="001E2D0A" w:rsidRPr="00F32ABF">
        <w:rPr>
          <w:rFonts w:ascii="Tahoma" w:hAnsi="Tahoma" w:cs="Tahoma"/>
          <w:sz w:val="24"/>
          <w:szCs w:val="24"/>
        </w:rPr>
        <w:t xml:space="preserve"> años, tiempo durante el cual conoció a sus hijos y un poco menos a su compañera. Dijo que nunca</w:t>
      </w:r>
      <w:r w:rsidR="001E2D0A" w:rsidRPr="00F32ABF">
        <w:rPr>
          <w:rFonts w:ascii="Tahoma" w:hAnsi="Tahoma" w:cs="Tahoma"/>
          <w:sz w:val="24"/>
          <w:szCs w:val="24"/>
          <w:lang w:val="es-CO"/>
        </w:rPr>
        <w:t xml:space="preserve"> </w:t>
      </w:r>
      <w:r w:rsidR="001B3C03" w:rsidRPr="00F32ABF">
        <w:rPr>
          <w:rFonts w:ascii="Tahoma" w:hAnsi="Tahoma" w:cs="Tahoma"/>
          <w:sz w:val="24"/>
          <w:szCs w:val="24"/>
          <w:lang w:val="es-CO"/>
        </w:rPr>
        <w:t>visitó la casa del</w:t>
      </w:r>
      <w:r w:rsidR="001E2D0A" w:rsidRPr="00F32ABF">
        <w:rPr>
          <w:rFonts w:ascii="Tahoma" w:hAnsi="Tahoma" w:cs="Tahoma"/>
          <w:sz w:val="24"/>
          <w:szCs w:val="24"/>
          <w:lang w:val="es-CO"/>
        </w:rPr>
        <w:t xml:space="preserve"> señor Muñoz Meneses, pues la relación entre ellos fue más que todo laboral; a los niños los conoció en la empresa y le escuchó hablar de su esposa y de sus hijos y por eso</w:t>
      </w:r>
      <w:r w:rsidR="00C01A64" w:rsidRPr="00F32ABF">
        <w:rPr>
          <w:rFonts w:ascii="Tahoma" w:hAnsi="Tahoma" w:cs="Tahoma"/>
          <w:sz w:val="24"/>
          <w:szCs w:val="24"/>
          <w:lang w:val="es-CO"/>
        </w:rPr>
        <w:t xml:space="preserve"> le consta que este vivía en la misma casa con la demandante</w:t>
      </w:r>
      <w:r w:rsidR="001E2D0A" w:rsidRPr="00F32ABF">
        <w:rPr>
          <w:rFonts w:ascii="Tahoma" w:hAnsi="Tahoma" w:cs="Tahoma"/>
          <w:sz w:val="24"/>
          <w:szCs w:val="24"/>
          <w:lang w:val="es-CO"/>
        </w:rPr>
        <w:t>.</w:t>
      </w:r>
    </w:p>
    <w:p w:rsidR="007D78CD" w:rsidRPr="00F32ABF" w:rsidRDefault="007D78CD" w:rsidP="00F32ABF">
      <w:pPr>
        <w:spacing w:line="288" w:lineRule="auto"/>
        <w:jc w:val="both"/>
        <w:rPr>
          <w:rFonts w:ascii="Tahoma" w:hAnsi="Tahoma" w:cs="Tahoma"/>
          <w:b/>
          <w:sz w:val="24"/>
          <w:szCs w:val="24"/>
          <w:lang w:val="es-CO"/>
        </w:rPr>
      </w:pPr>
    </w:p>
    <w:p w:rsidR="00C01A64" w:rsidRPr="00F32ABF" w:rsidRDefault="00C01A64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b/>
          <w:sz w:val="24"/>
          <w:szCs w:val="24"/>
          <w:lang w:val="es-CO"/>
        </w:rPr>
        <w:tab/>
      </w:r>
      <w:r w:rsidRPr="00F32ABF">
        <w:rPr>
          <w:rFonts w:ascii="Tahoma" w:hAnsi="Tahoma" w:cs="Tahoma"/>
          <w:sz w:val="24"/>
          <w:szCs w:val="24"/>
          <w:lang w:val="es-CO"/>
        </w:rPr>
        <w:t>El señor</w:t>
      </w:r>
      <w:r w:rsidRPr="00F32ABF">
        <w:rPr>
          <w:rFonts w:ascii="Tahoma" w:hAnsi="Tahoma" w:cs="Tahoma"/>
          <w:b/>
          <w:sz w:val="24"/>
          <w:szCs w:val="24"/>
          <w:lang w:val="es-CO"/>
        </w:rPr>
        <w:t xml:space="preserve"> JAIME SALAZAR BUITRAGO </w:t>
      </w:r>
      <w:r w:rsidRPr="00F32ABF">
        <w:rPr>
          <w:rFonts w:ascii="Tahoma" w:hAnsi="Tahoma" w:cs="Tahoma"/>
          <w:sz w:val="24"/>
          <w:szCs w:val="24"/>
          <w:lang w:val="es-CO"/>
        </w:rPr>
        <w:t>fue mucho más detallado en sus referencias al hogar del causante, dijo que lo</w:t>
      </w:r>
      <w:r w:rsidRPr="00F32ABF">
        <w:rPr>
          <w:rFonts w:ascii="Tahoma" w:hAnsi="Tahoma" w:cs="Tahoma"/>
          <w:b/>
          <w:sz w:val="24"/>
          <w:szCs w:val="24"/>
          <w:lang w:val="es-CO"/>
        </w:rPr>
        <w:t xml:space="preserve"> 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conoció por 40 años, </w:t>
      </w:r>
      <w:r w:rsidRPr="00F32ABF">
        <w:rPr>
          <w:rFonts w:ascii="Tahoma" w:hAnsi="Tahoma" w:cs="Tahoma"/>
          <w:i/>
          <w:sz w:val="24"/>
          <w:szCs w:val="24"/>
          <w:lang w:val="es-CO"/>
        </w:rPr>
        <w:t>“siempre hemos sido vecinos”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agregó. </w:t>
      </w:r>
      <w:r w:rsidRPr="00F32ABF">
        <w:rPr>
          <w:rFonts w:ascii="Tahoma" w:hAnsi="Tahoma" w:cs="Tahoma"/>
          <w:i/>
          <w:sz w:val="24"/>
          <w:szCs w:val="24"/>
          <w:lang w:val="es-CO"/>
        </w:rPr>
        <w:t xml:space="preserve">“Yo me pasé a vivir a Santa Isabel en el 78, la señora BLANCA </w:t>
      </w:r>
      <w:r w:rsidRPr="00F32ABF">
        <w:rPr>
          <w:rFonts w:ascii="Tahoma" w:hAnsi="Tahoma" w:cs="Tahoma"/>
          <w:i/>
          <w:sz w:val="24"/>
          <w:szCs w:val="24"/>
          <w:lang w:val="es-CO"/>
        </w:rPr>
        <w:lastRenderedPageBreak/>
        <w:t>LUCÍA ya vivía allí con Neftalí y sus 3 hijos</w:t>
      </w:r>
      <w:r w:rsidR="002C4484" w:rsidRPr="00F32ABF">
        <w:rPr>
          <w:rFonts w:ascii="Tahoma" w:hAnsi="Tahoma" w:cs="Tahoma"/>
          <w:sz w:val="24"/>
          <w:szCs w:val="24"/>
          <w:lang w:val="es-CO"/>
        </w:rPr>
        <w:t>”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. Y a él, además, </w:t>
      </w:r>
      <w:r w:rsidR="002C4484" w:rsidRPr="00F32ABF">
        <w:rPr>
          <w:rFonts w:ascii="Tahoma" w:hAnsi="Tahoma" w:cs="Tahoma"/>
          <w:i/>
          <w:sz w:val="24"/>
          <w:szCs w:val="24"/>
          <w:lang w:val="es-CO"/>
        </w:rPr>
        <w:t>“</w:t>
      </w:r>
      <w:r w:rsidRPr="00F32ABF">
        <w:rPr>
          <w:rFonts w:ascii="Tahoma" w:hAnsi="Tahoma" w:cs="Tahoma"/>
          <w:i/>
          <w:sz w:val="24"/>
          <w:szCs w:val="24"/>
          <w:lang w:val="es-CO"/>
        </w:rPr>
        <w:t>me lo encontraba en obras de construcción, porque yo trabajé en temas de electricidad</w:t>
      </w:r>
      <w:r w:rsidR="002C4484" w:rsidRPr="00F32ABF">
        <w:rPr>
          <w:rFonts w:ascii="Tahoma" w:hAnsi="Tahoma" w:cs="Tahoma"/>
          <w:i/>
          <w:sz w:val="24"/>
          <w:szCs w:val="24"/>
          <w:lang w:val="es-CO"/>
        </w:rPr>
        <w:t>”</w:t>
      </w:r>
      <w:r w:rsidRPr="00F32ABF">
        <w:rPr>
          <w:rFonts w:ascii="Tahoma" w:hAnsi="Tahoma" w:cs="Tahoma"/>
          <w:i/>
          <w:sz w:val="24"/>
          <w:szCs w:val="24"/>
          <w:lang w:val="es-CO"/>
        </w:rPr>
        <w:t>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añadió. </w:t>
      </w:r>
    </w:p>
    <w:p w:rsidR="00C01A64" w:rsidRPr="00F32ABF" w:rsidRDefault="00C01A64" w:rsidP="00F32ABF">
      <w:pPr>
        <w:spacing w:line="288" w:lineRule="auto"/>
        <w:rPr>
          <w:rFonts w:ascii="Tahoma" w:hAnsi="Tahoma" w:cs="Tahoma"/>
          <w:sz w:val="24"/>
          <w:szCs w:val="24"/>
          <w:lang w:val="es-CO"/>
        </w:rPr>
      </w:pPr>
    </w:p>
    <w:p w:rsidR="00C01A64" w:rsidRPr="00F32ABF" w:rsidRDefault="00C01A64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 xml:space="preserve">Señaló igualmente que en 1992 trabajó en Ibagué y en Manizales con el demandante: </w:t>
      </w:r>
      <w:r w:rsidRPr="00F32ABF">
        <w:rPr>
          <w:rFonts w:ascii="Tahoma" w:hAnsi="Tahoma" w:cs="Tahoma"/>
          <w:i/>
          <w:sz w:val="24"/>
          <w:szCs w:val="24"/>
          <w:lang w:val="es-CO"/>
        </w:rPr>
        <w:t>“trabajábamos para los mismos contratistas, nos tomábamos los tragos cada 8 días, porque nos pagaban en una cantina”</w:t>
      </w:r>
      <w:r w:rsidR="002C4484" w:rsidRPr="00F32ABF">
        <w:rPr>
          <w:rFonts w:ascii="Tahoma" w:hAnsi="Tahoma" w:cs="Tahoma"/>
          <w:sz w:val="24"/>
          <w:szCs w:val="24"/>
          <w:lang w:val="es-CO"/>
        </w:rPr>
        <w:t xml:space="preserve">. </w:t>
      </w:r>
      <w:r w:rsidRPr="00F32ABF">
        <w:rPr>
          <w:rFonts w:ascii="Tahoma" w:hAnsi="Tahoma" w:cs="Tahoma"/>
          <w:sz w:val="24"/>
          <w:szCs w:val="24"/>
          <w:lang w:val="es-CO"/>
        </w:rPr>
        <w:t>Señaló</w:t>
      </w:r>
      <w:r w:rsidR="004E4A87" w:rsidRPr="00F32ABF">
        <w:rPr>
          <w:rFonts w:ascii="Tahoma" w:hAnsi="Tahoma" w:cs="Tahoma"/>
          <w:sz w:val="24"/>
          <w:szCs w:val="24"/>
          <w:lang w:val="es-CO"/>
        </w:rPr>
        <w:t>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igualmente</w:t>
      </w:r>
      <w:r w:rsidR="004E4A87" w:rsidRPr="00F32ABF">
        <w:rPr>
          <w:rFonts w:ascii="Tahoma" w:hAnsi="Tahoma" w:cs="Tahoma"/>
          <w:sz w:val="24"/>
          <w:szCs w:val="24"/>
          <w:lang w:val="es-CO"/>
        </w:rPr>
        <w:t>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que aunque dejaron de trabajar juntos a finales de la década de los noventa, siguió compartiendo con él, como vecino y que le consta que sufrió mucho en su agonía</w:t>
      </w:r>
      <w:r w:rsidR="00F03D9A" w:rsidRPr="00F32ABF">
        <w:rPr>
          <w:rFonts w:ascii="Tahoma" w:hAnsi="Tahoma" w:cs="Tahoma"/>
          <w:sz w:val="24"/>
          <w:szCs w:val="24"/>
          <w:lang w:val="es-CO"/>
        </w:rPr>
        <w:t>;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que asistió a sus honras fúnebres</w:t>
      </w:r>
      <w:r w:rsidR="006E6F9E" w:rsidRPr="00F32ABF">
        <w:rPr>
          <w:rFonts w:ascii="Tahoma" w:hAnsi="Tahoma" w:cs="Tahoma"/>
          <w:sz w:val="24"/>
          <w:szCs w:val="24"/>
          <w:lang w:val="es-CO"/>
        </w:rPr>
        <w:t xml:space="preserve"> en Dosquebradas</w:t>
      </w:r>
      <w:r w:rsidR="002C4484" w:rsidRPr="00F32ABF">
        <w:rPr>
          <w:rFonts w:ascii="Tahoma" w:hAnsi="Tahoma" w:cs="Tahoma"/>
          <w:sz w:val="24"/>
          <w:szCs w:val="24"/>
          <w:lang w:val="es-CO"/>
        </w:rPr>
        <w:t xml:space="preserve"> (Risaralda)</w:t>
      </w:r>
      <w:r w:rsidR="006E6F9E" w:rsidRPr="00F32ABF">
        <w:rPr>
          <w:rFonts w:ascii="Tahoma" w:hAnsi="Tahoma" w:cs="Tahoma"/>
          <w:sz w:val="24"/>
          <w:szCs w:val="24"/>
          <w:lang w:val="es-CO"/>
        </w:rPr>
        <w:t>. Y n</w:t>
      </w:r>
      <w:r w:rsidRPr="00F32ABF">
        <w:rPr>
          <w:rFonts w:ascii="Tahoma" w:hAnsi="Tahoma" w:cs="Tahoma"/>
          <w:sz w:val="24"/>
          <w:szCs w:val="24"/>
          <w:lang w:val="es-CO"/>
        </w:rPr>
        <w:t>arró, además, que a la demandante se le enfermó un hijo y su esposo a la misma vez, que fue una época difícil para ella y que él</w:t>
      </w:r>
      <w:r w:rsidR="006E6F9E" w:rsidRPr="00F32ABF">
        <w:rPr>
          <w:rFonts w:ascii="Tahoma" w:hAnsi="Tahoma" w:cs="Tahoma"/>
          <w:sz w:val="24"/>
          <w:szCs w:val="24"/>
          <w:lang w:val="es-CO"/>
        </w:rPr>
        <w:t>, cuando lo visitaba mientras estuvo enfermo,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le</w:t>
      </w:r>
      <w:r w:rsidR="006E6F9E" w:rsidRPr="00F32ABF">
        <w:rPr>
          <w:rFonts w:ascii="Tahoma" w:hAnsi="Tahoma" w:cs="Tahoma"/>
          <w:sz w:val="24"/>
          <w:szCs w:val="24"/>
          <w:lang w:val="es-CO"/>
        </w:rPr>
        <w:t xml:space="preserve"> confesó que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</w:t>
      </w:r>
      <w:r w:rsidR="006E6F9E" w:rsidRPr="00F32ABF">
        <w:rPr>
          <w:rFonts w:ascii="Tahoma" w:hAnsi="Tahoma" w:cs="Tahoma"/>
          <w:sz w:val="24"/>
          <w:szCs w:val="24"/>
          <w:lang w:val="es-CO"/>
        </w:rPr>
        <w:t xml:space="preserve">le </w:t>
      </w:r>
      <w:r w:rsidRPr="00F32ABF">
        <w:rPr>
          <w:rFonts w:ascii="Tahoma" w:hAnsi="Tahoma" w:cs="Tahoma"/>
          <w:sz w:val="24"/>
          <w:szCs w:val="24"/>
          <w:lang w:val="es-CO"/>
        </w:rPr>
        <w:t>pedía a Dios que se lo llevara.</w:t>
      </w:r>
    </w:p>
    <w:p w:rsidR="00C01A64" w:rsidRPr="00F32ABF" w:rsidRDefault="00C01A64" w:rsidP="00F32ABF">
      <w:pPr>
        <w:spacing w:line="288" w:lineRule="auto"/>
        <w:ind w:firstLine="708"/>
        <w:rPr>
          <w:rFonts w:ascii="Tahoma" w:hAnsi="Tahoma" w:cs="Tahoma"/>
          <w:sz w:val="24"/>
          <w:szCs w:val="24"/>
          <w:lang w:val="es-CO"/>
        </w:rPr>
      </w:pPr>
    </w:p>
    <w:p w:rsidR="002C4484" w:rsidRPr="00F32ABF" w:rsidRDefault="006E6F9E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>Agregó que la única persona que lo cuidaba en la enfermedad era la esposa y que mientr</w:t>
      </w:r>
      <w:r w:rsidR="002C4484" w:rsidRPr="00F32ABF">
        <w:rPr>
          <w:rFonts w:ascii="Tahoma" w:hAnsi="Tahoma" w:cs="Tahoma"/>
          <w:sz w:val="24"/>
          <w:szCs w:val="24"/>
          <w:lang w:val="es-CO"/>
        </w:rPr>
        <w:t>as estuvo aliviado y tomaron juntos licor</w:t>
      </w:r>
      <w:r w:rsidRPr="00F32ABF">
        <w:rPr>
          <w:rFonts w:ascii="Tahoma" w:hAnsi="Tahoma" w:cs="Tahoma"/>
          <w:sz w:val="24"/>
          <w:szCs w:val="24"/>
          <w:lang w:val="es-CO"/>
        </w:rPr>
        <w:t>, tenía como costumbre irse antes de la media noche para su casa.</w:t>
      </w:r>
      <w:r w:rsidR="00C01A64" w:rsidRPr="00F32ABF">
        <w:rPr>
          <w:rFonts w:ascii="Tahoma" w:hAnsi="Tahoma" w:cs="Tahoma"/>
          <w:sz w:val="24"/>
          <w:szCs w:val="24"/>
          <w:lang w:val="es-CO"/>
        </w:rPr>
        <w:t xml:space="preserve"> Él decía que no se iba de la casa por la mona y por los hijos, decía que nunca le había gustado el matrimonio,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y por eso no se había casado. Dijo</w:t>
      </w:r>
      <w:r w:rsidR="002C4484" w:rsidRPr="00F32ABF">
        <w:rPr>
          <w:rFonts w:ascii="Tahoma" w:hAnsi="Tahoma" w:cs="Tahoma"/>
          <w:sz w:val="24"/>
          <w:szCs w:val="24"/>
          <w:lang w:val="es-CO"/>
        </w:rPr>
        <w:t xml:space="preserve"> el testigo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, </w:t>
      </w:r>
      <w:r w:rsidRPr="00F32ABF">
        <w:rPr>
          <w:rFonts w:ascii="Tahoma" w:hAnsi="Tahoma" w:cs="Tahoma"/>
          <w:i/>
          <w:sz w:val="24"/>
          <w:szCs w:val="24"/>
          <w:lang w:val="es-CO"/>
        </w:rPr>
        <w:t>“con el perdón de doña Blanca, él decía que su</w:t>
      </w:r>
      <w:r w:rsidR="00C01A64" w:rsidRPr="00F32ABF">
        <w:rPr>
          <w:rFonts w:ascii="Tahoma" w:hAnsi="Tahoma" w:cs="Tahoma"/>
          <w:i/>
          <w:sz w:val="24"/>
          <w:szCs w:val="24"/>
          <w:lang w:val="es-CO"/>
        </w:rPr>
        <w:t xml:space="preserve"> mujer era muy buena porque le aguantaba todo, que era muy brava, eso sí, pero le aguantaba todo</w:t>
      </w:r>
      <w:r w:rsidRPr="00F32ABF">
        <w:rPr>
          <w:rFonts w:ascii="Tahoma" w:hAnsi="Tahoma" w:cs="Tahoma"/>
          <w:i/>
          <w:sz w:val="24"/>
          <w:szCs w:val="24"/>
          <w:lang w:val="es-CO"/>
        </w:rPr>
        <w:t>”</w:t>
      </w:r>
      <w:r w:rsidR="00C01A64" w:rsidRPr="00F32ABF">
        <w:rPr>
          <w:rFonts w:ascii="Tahoma" w:hAnsi="Tahoma" w:cs="Tahoma"/>
          <w:i/>
          <w:sz w:val="24"/>
          <w:szCs w:val="24"/>
          <w:lang w:val="es-CO"/>
        </w:rPr>
        <w:t>.</w:t>
      </w:r>
      <w:r w:rsidR="00C01A64" w:rsidRPr="00F32ABF">
        <w:rPr>
          <w:rFonts w:ascii="Tahoma" w:hAnsi="Tahoma" w:cs="Tahoma"/>
          <w:sz w:val="24"/>
          <w:szCs w:val="24"/>
          <w:lang w:val="es-CO"/>
        </w:rPr>
        <w:t xml:space="preserve"> </w:t>
      </w:r>
      <w:r w:rsidR="002C4484" w:rsidRPr="00F32ABF">
        <w:rPr>
          <w:rFonts w:ascii="Tahoma" w:hAnsi="Tahoma" w:cs="Tahoma"/>
          <w:i/>
          <w:sz w:val="24"/>
          <w:szCs w:val="24"/>
          <w:lang w:val="es-CO"/>
        </w:rPr>
        <w:t>“</w:t>
      </w:r>
      <w:r w:rsidR="00C01A64" w:rsidRPr="00F32ABF">
        <w:rPr>
          <w:rFonts w:ascii="Tahoma" w:hAnsi="Tahoma" w:cs="Tahoma"/>
          <w:i/>
          <w:sz w:val="24"/>
          <w:szCs w:val="24"/>
          <w:lang w:val="es-CO"/>
        </w:rPr>
        <w:t>Nunca escuché peleas o escándalos entre ellos, el único momento en que estuvo separado de la esposa</w:t>
      </w:r>
      <w:r w:rsidR="002C4484" w:rsidRPr="00F32ABF">
        <w:rPr>
          <w:rFonts w:ascii="Tahoma" w:hAnsi="Tahoma" w:cs="Tahoma"/>
          <w:i/>
          <w:sz w:val="24"/>
          <w:szCs w:val="24"/>
          <w:lang w:val="es-CO"/>
        </w:rPr>
        <w:t>,</w:t>
      </w:r>
      <w:r w:rsidR="00C01A64" w:rsidRPr="00F32ABF">
        <w:rPr>
          <w:rFonts w:ascii="Tahoma" w:hAnsi="Tahoma" w:cs="Tahoma"/>
          <w:i/>
          <w:sz w:val="24"/>
          <w:szCs w:val="24"/>
          <w:lang w:val="es-CO"/>
        </w:rPr>
        <w:t xml:space="preserve"> fue cuando trabajamos juntos en otras ciudades. Yo visitaba a los hijos porque éramos contemporáneos</w:t>
      </w:r>
      <w:r w:rsidR="002C4484" w:rsidRPr="00F32ABF">
        <w:rPr>
          <w:rFonts w:ascii="Tahoma" w:hAnsi="Tahoma" w:cs="Tahoma"/>
          <w:i/>
          <w:sz w:val="24"/>
          <w:szCs w:val="24"/>
          <w:lang w:val="es-CO"/>
        </w:rPr>
        <w:t>”</w:t>
      </w:r>
      <w:r w:rsidRPr="00F32ABF">
        <w:rPr>
          <w:rFonts w:ascii="Tahoma" w:hAnsi="Tahoma" w:cs="Tahoma"/>
          <w:i/>
          <w:sz w:val="24"/>
          <w:szCs w:val="24"/>
          <w:lang w:val="es-CO"/>
        </w:rPr>
        <w:t xml:space="preserve">, </w:t>
      </w:r>
      <w:r w:rsidRPr="00F32ABF">
        <w:rPr>
          <w:rFonts w:ascii="Tahoma" w:hAnsi="Tahoma" w:cs="Tahoma"/>
          <w:sz w:val="24"/>
          <w:szCs w:val="24"/>
          <w:lang w:val="es-CO"/>
        </w:rPr>
        <w:t>agregó</w:t>
      </w:r>
      <w:r w:rsidR="002C4484" w:rsidRPr="00F32ABF">
        <w:rPr>
          <w:rFonts w:ascii="Tahoma" w:hAnsi="Tahoma" w:cs="Tahoma"/>
          <w:sz w:val="24"/>
          <w:szCs w:val="24"/>
          <w:lang w:val="es-CO"/>
        </w:rPr>
        <w:t>.</w:t>
      </w:r>
    </w:p>
    <w:p w:rsidR="002C4484" w:rsidRPr="00F32ABF" w:rsidRDefault="002C4484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</w:p>
    <w:p w:rsidR="00BE7F20" w:rsidRPr="00F32ABF" w:rsidRDefault="002C4484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>Los testigos suenan veraces en sus dichos y refieren hechos que demuestran una cercana familiaridad con el causante, lo suficientemente important</w:t>
      </w:r>
      <w:r w:rsidR="00BE7F20" w:rsidRPr="00F32ABF">
        <w:rPr>
          <w:rFonts w:ascii="Tahoma" w:hAnsi="Tahoma" w:cs="Tahoma"/>
          <w:sz w:val="24"/>
          <w:szCs w:val="24"/>
          <w:lang w:val="es-CO"/>
        </w:rPr>
        <w:t>e como para conocer en detalle los aspectos más relevantes de su vida de hogar. Lo narrado por el señor SALAZAR BUITRAGO pone de re</w:t>
      </w:r>
      <w:r w:rsidR="002017D1" w:rsidRPr="00F32ABF">
        <w:rPr>
          <w:rFonts w:ascii="Tahoma" w:hAnsi="Tahoma" w:cs="Tahoma"/>
          <w:sz w:val="24"/>
          <w:szCs w:val="24"/>
          <w:lang w:val="es-CO"/>
        </w:rPr>
        <w:t>lieve que la demandante</w:t>
      </w:r>
      <w:r w:rsidR="00BE7F20" w:rsidRPr="00F32ABF">
        <w:rPr>
          <w:rFonts w:ascii="Tahoma" w:hAnsi="Tahoma" w:cs="Tahoma"/>
          <w:sz w:val="24"/>
          <w:szCs w:val="24"/>
          <w:lang w:val="es-CO"/>
        </w:rPr>
        <w:t xml:space="preserve"> no solo fue la madre de los únicos hijos que procreó el causante, sino también la persona que lo acompañó en la salud y en la enfermedad. La vida de pareja, además, se desarrolló bajo el mismo techo, con lo que ambos declarantes coinciden, lo cual es suficiente prueba de la convivencia que ya fue </w:t>
      </w:r>
      <w:r w:rsidR="00CC48A9" w:rsidRPr="00F32ABF">
        <w:rPr>
          <w:rFonts w:ascii="Tahoma" w:hAnsi="Tahoma" w:cs="Tahoma"/>
          <w:sz w:val="24"/>
          <w:szCs w:val="24"/>
          <w:lang w:val="es-CO"/>
        </w:rPr>
        <w:t>declarada en primera instancia.</w:t>
      </w:r>
    </w:p>
    <w:p w:rsidR="00CC48A9" w:rsidRPr="00F32ABF" w:rsidRDefault="00CC48A9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</w:p>
    <w:p w:rsidR="00CC48A9" w:rsidRPr="00F32ABF" w:rsidRDefault="00CC48A9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>En lo que atañe al retroactivo pensional, actualizad</w:t>
      </w:r>
      <w:r w:rsidR="00292F08" w:rsidRPr="00F32ABF">
        <w:rPr>
          <w:rFonts w:ascii="Tahoma" w:hAnsi="Tahoma" w:cs="Tahoma"/>
          <w:sz w:val="24"/>
          <w:szCs w:val="24"/>
          <w:lang w:val="es-CO"/>
        </w:rPr>
        <w:t>a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la condena</w:t>
      </w:r>
      <w:r w:rsidR="00292F08" w:rsidRPr="00F32ABF">
        <w:rPr>
          <w:rFonts w:ascii="Tahoma" w:hAnsi="Tahoma" w:cs="Tahoma"/>
          <w:sz w:val="24"/>
          <w:szCs w:val="24"/>
          <w:lang w:val="es-CO"/>
        </w:rPr>
        <w:t xml:space="preserve"> en concreto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 a la fecha de corte de este fallo</w:t>
      </w:r>
      <w:r w:rsidR="001B3C03" w:rsidRPr="00F32ABF">
        <w:rPr>
          <w:rFonts w:ascii="Tahoma" w:hAnsi="Tahoma" w:cs="Tahoma"/>
          <w:sz w:val="24"/>
          <w:szCs w:val="24"/>
          <w:lang w:val="es-CO"/>
        </w:rPr>
        <w:t xml:space="preserve"> (esto es, al 30 de mayo de 2019)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, </w:t>
      </w:r>
      <w:r w:rsidR="00292F08" w:rsidRPr="00F32ABF">
        <w:rPr>
          <w:rFonts w:ascii="Tahoma" w:hAnsi="Tahoma" w:cs="Tahoma"/>
          <w:sz w:val="24"/>
          <w:szCs w:val="24"/>
          <w:lang w:val="es-CO"/>
        </w:rPr>
        <w:t>tal como lo ordena el artículo 283 del C.G.P.,</w:t>
      </w:r>
      <w:r w:rsidR="007402AF" w:rsidRPr="00F32ABF">
        <w:rPr>
          <w:rFonts w:ascii="Tahoma" w:hAnsi="Tahoma" w:cs="Tahoma"/>
          <w:sz w:val="24"/>
          <w:szCs w:val="24"/>
          <w:lang w:val="es-CO"/>
        </w:rPr>
        <w:t xml:space="preserve"> encuentra la Sala que</w:t>
      </w:r>
      <w:r w:rsidR="00292F08" w:rsidRPr="00F32ABF">
        <w:rPr>
          <w:rFonts w:ascii="Tahoma" w:hAnsi="Tahoma" w:cs="Tahoma"/>
          <w:sz w:val="24"/>
          <w:szCs w:val="24"/>
          <w:lang w:val="es-CO"/>
        </w:rPr>
        <w:t xml:space="preserve"> su monto asciende a la suma de </w:t>
      </w:r>
      <w:r w:rsidR="001B3C03" w:rsidRPr="00F32ABF">
        <w:rPr>
          <w:rFonts w:ascii="Tahoma" w:hAnsi="Tahoma" w:cs="Tahoma"/>
          <w:sz w:val="24"/>
          <w:szCs w:val="24"/>
          <w:lang w:val="es-CO"/>
        </w:rPr>
        <w:t>$48.741.712. De acuerdo a la liquidación que se hace circular entre los apoderados judiciales de las partes, la cual hará parte del acta que se levante con ocasión de la presente audiencia.</w:t>
      </w:r>
    </w:p>
    <w:p w:rsidR="007402AF" w:rsidRPr="00F32ABF" w:rsidRDefault="007402AF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342"/>
        <w:gridCol w:w="1741"/>
        <w:gridCol w:w="1694"/>
      </w:tblGrid>
      <w:tr w:rsidR="007402AF" w:rsidRPr="00662582" w:rsidTr="001B3C03">
        <w:trPr>
          <w:trHeight w:val="28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AÑO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SMLMV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MESADAS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TOTAL AÑO</w:t>
            </w:r>
          </w:p>
        </w:tc>
      </w:tr>
      <w:tr w:rsidR="007402AF" w:rsidRPr="00662582" w:rsidTr="001B3C03">
        <w:trPr>
          <w:trHeight w:val="28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>2014</w:t>
            </w:r>
            <w:r w:rsidR="001B3C03"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(desde el 22/01/14</w:t>
            </w:r>
            <w:r w:rsidR="00662582">
              <w:rPr>
                <w:rFonts w:ascii="Tahoma" w:hAnsi="Tahoma" w:cs="Tahoma"/>
                <w:color w:val="000000"/>
                <w:sz w:val="18"/>
                <w:szCs w:val="24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$ 616.000,00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>12,2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   7.515.200,00 </w:t>
            </w:r>
          </w:p>
        </w:tc>
      </w:tr>
      <w:tr w:rsidR="007402AF" w:rsidRPr="00662582" w:rsidTr="001B3C03">
        <w:trPr>
          <w:trHeight w:val="28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>2015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$ 644.350,00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   8.376.550,00 </w:t>
            </w:r>
          </w:p>
        </w:tc>
      </w:tr>
      <w:tr w:rsidR="007402AF" w:rsidRPr="00662582" w:rsidTr="001B3C03">
        <w:trPr>
          <w:trHeight w:val="28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>2016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$ 689.455,00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   8.962.915,00 </w:t>
            </w:r>
          </w:p>
        </w:tc>
      </w:tr>
      <w:tr w:rsidR="007402AF" w:rsidRPr="00662582" w:rsidTr="001B3C03">
        <w:trPr>
          <w:trHeight w:val="28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>2017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$ 737.717,00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   9.590.321,00 </w:t>
            </w:r>
          </w:p>
        </w:tc>
      </w:tr>
      <w:tr w:rsidR="007402AF" w:rsidRPr="00662582" w:rsidTr="001B3C03">
        <w:trPr>
          <w:trHeight w:val="28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>2018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$ 781.242,00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 10.156.146,00 </w:t>
            </w:r>
          </w:p>
        </w:tc>
      </w:tr>
      <w:tr w:rsidR="007402AF" w:rsidRPr="00662582" w:rsidTr="001B3C03">
        <w:trPr>
          <w:trHeight w:val="28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lastRenderedPageBreak/>
              <w:t>2.019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$ 828.116,00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   4.140.580,00 </w:t>
            </w:r>
          </w:p>
        </w:tc>
      </w:tr>
      <w:tr w:rsidR="007402AF" w:rsidRPr="00662582" w:rsidTr="001B3C03">
        <w:trPr>
          <w:trHeight w:val="287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b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b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402AF" w:rsidRPr="00662582" w:rsidRDefault="007402AF" w:rsidP="0066258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ahoma" w:hAnsi="Tahoma" w:cs="Tahoma"/>
                <w:color w:val="000000"/>
                <w:sz w:val="18"/>
                <w:szCs w:val="24"/>
              </w:rPr>
            </w:pPr>
            <w:r w:rsidRPr="00662582">
              <w:rPr>
                <w:rFonts w:ascii="Tahoma" w:hAnsi="Tahoma" w:cs="Tahoma"/>
                <w:color w:val="000000"/>
                <w:sz w:val="18"/>
                <w:szCs w:val="24"/>
              </w:rPr>
              <w:t xml:space="preserve"> $  48.741.712,00 </w:t>
            </w:r>
          </w:p>
        </w:tc>
      </w:tr>
    </w:tbl>
    <w:p w:rsidR="00BE7F20" w:rsidRPr="00F32ABF" w:rsidRDefault="00BE7F20" w:rsidP="00F32ABF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  <w:bookmarkStart w:id="0" w:name="_GoBack"/>
      <w:bookmarkEnd w:id="0"/>
    </w:p>
    <w:p w:rsidR="00C01A64" w:rsidRPr="00F32ABF" w:rsidRDefault="00BE7F20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F32ABF">
        <w:rPr>
          <w:rFonts w:ascii="Tahoma" w:hAnsi="Tahoma" w:cs="Tahoma"/>
          <w:sz w:val="24"/>
          <w:szCs w:val="24"/>
          <w:lang w:val="es-CO"/>
        </w:rPr>
        <w:t>De acuerdo a lo anterior, se confirmará en sede de consulta el fallo de la referencia</w:t>
      </w:r>
      <w:r w:rsidR="001B3C03" w:rsidRPr="00F32ABF">
        <w:rPr>
          <w:rFonts w:ascii="Tahoma" w:hAnsi="Tahoma" w:cs="Tahoma"/>
          <w:sz w:val="24"/>
          <w:szCs w:val="24"/>
          <w:lang w:val="es-CO"/>
        </w:rPr>
        <w:t xml:space="preserve"> y se actualizará la condena en la forma antes señalada</w:t>
      </w:r>
      <w:r w:rsidRPr="00F32ABF">
        <w:rPr>
          <w:rFonts w:ascii="Tahoma" w:hAnsi="Tahoma" w:cs="Tahoma"/>
          <w:sz w:val="24"/>
          <w:szCs w:val="24"/>
          <w:lang w:val="es-CO"/>
        </w:rPr>
        <w:t xml:space="preserve">. Sin costas en </w:t>
      </w:r>
      <w:r w:rsidR="00292F08" w:rsidRPr="00F32ABF">
        <w:rPr>
          <w:rFonts w:ascii="Tahoma" w:hAnsi="Tahoma" w:cs="Tahoma"/>
          <w:sz w:val="24"/>
          <w:szCs w:val="24"/>
          <w:lang w:val="es-CO"/>
        </w:rPr>
        <w:t xml:space="preserve">esta </w:t>
      </w:r>
      <w:r w:rsidRPr="00F32ABF">
        <w:rPr>
          <w:rFonts w:ascii="Tahoma" w:hAnsi="Tahoma" w:cs="Tahoma"/>
          <w:sz w:val="24"/>
          <w:szCs w:val="24"/>
          <w:lang w:val="es-CO"/>
        </w:rPr>
        <w:t>s</w:t>
      </w:r>
      <w:r w:rsidR="00243448" w:rsidRPr="00F32ABF">
        <w:rPr>
          <w:rFonts w:ascii="Tahoma" w:hAnsi="Tahoma" w:cs="Tahoma"/>
          <w:sz w:val="24"/>
          <w:szCs w:val="24"/>
          <w:lang w:val="es-CO"/>
        </w:rPr>
        <w:t>ede jurisdiccional de consulta.</w:t>
      </w:r>
    </w:p>
    <w:p w:rsidR="00243448" w:rsidRPr="00F32ABF" w:rsidRDefault="00243448" w:rsidP="00F32ABF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</w:p>
    <w:p w:rsidR="00243448" w:rsidRPr="00F32ABF" w:rsidRDefault="00243448" w:rsidP="00F32ABF">
      <w:pPr>
        <w:tabs>
          <w:tab w:val="left" w:pos="748"/>
        </w:tabs>
        <w:spacing w:line="288" w:lineRule="auto"/>
        <w:jc w:val="both"/>
        <w:rPr>
          <w:rFonts w:ascii="Tahoma" w:hAnsi="Tahoma" w:cs="Tahoma"/>
          <w:sz w:val="24"/>
          <w:szCs w:val="24"/>
        </w:rPr>
      </w:pPr>
      <w:r w:rsidRPr="00F32ABF">
        <w:rPr>
          <w:rFonts w:ascii="Tahoma" w:hAnsi="Tahoma" w:cs="Tahoma"/>
          <w:sz w:val="24"/>
          <w:szCs w:val="24"/>
        </w:rPr>
        <w:tab/>
        <w:t xml:space="preserve">En mérito de lo expuesto, el </w:t>
      </w:r>
      <w:r w:rsidRPr="00F32ABF">
        <w:rPr>
          <w:rFonts w:ascii="Tahoma" w:hAnsi="Tahoma" w:cs="Tahoma"/>
          <w:b/>
          <w:sz w:val="24"/>
          <w:szCs w:val="24"/>
        </w:rPr>
        <w:t>Tribunal Superior del Distrito Judicial de Pereira (Risaralda)</w:t>
      </w:r>
      <w:r w:rsidRPr="00F32ABF">
        <w:rPr>
          <w:rFonts w:ascii="Tahoma" w:hAnsi="Tahoma" w:cs="Tahoma"/>
          <w:sz w:val="24"/>
          <w:szCs w:val="24"/>
        </w:rPr>
        <w:t xml:space="preserve">, </w:t>
      </w:r>
      <w:r w:rsidRPr="00F32ABF">
        <w:rPr>
          <w:rFonts w:ascii="Tahoma" w:hAnsi="Tahoma" w:cs="Tahoma"/>
          <w:b/>
          <w:sz w:val="24"/>
          <w:szCs w:val="24"/>
        </w:rPr>
        <w:t>Sala Laboral No. 1</w:t>
      </w:r>
      <w:r w:rsidRPr="00F32ABF">
        <w:rPr>
          <w:rFonts w:ascii="Tahoma" w:hAnsi="Tahoma" w:cs="Tahoma"/>
          <w:sz w:val="24"/>
          <w:szCs w:val="24"/>
        </w:rPr>
        <w:t>, Administrando Justicia en Nombre de la República y por autoridad de la Ley,</w:t>
      </w:r>
    </w:p>
    <w:p w:rsidR="00243448" w:rsidRPr="00F32ABF" w:rsidRDefault="00243448" w:rsidP="00F32ABF">
      <w:pPr>
        <w:tabs>
          <w:tab w:val="left" w:pos="748"/>
        </w:tabs>
        <w:spacing w:line="288" w:lineRule="auto"/>
        <w:rPr>
          <w:rFonts w:ascii="Tahoma" w:hAnsi="Tahoma" w:cs="Tahoma"/>
          <w:iCs/>
          <w:sz w:val="24"/>
          <w:szCs w:val="24"/>
          <w:highlight w:val="yellow"/>
        </w:rPr>
      </w:pPr>
    </w:p>
    <w:p w:rsidR="00243448" w:rsidRPr="00F32ABF" w:rsidRDefault="00243448" w:rsidP="00F32ABF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F32ABF">
        <w:rPr>
          <w:rFonts w:ascii="Tahoma" w:hAnsi="Tahoma" w:cs="Tahoma"/>
          <w:b/>
          <w:color w:val="000000" w:themeColor="text1"/>
          <w:sz w:val="24"/>
          <w:szCs w:val="24"/>
        </w:rPr>
        <w:t>R E S U E L V E:</w:t>
      </w:r>
    </w:p>
    <w:p w:rsidR="00243448" w:rsidRPr="00F32ABF" w:rsidRDefault="00243448" w:rsidP="00F32ABF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243448" w:rsidRPr="00F32ABF" w:rsidRDefault="00243448" w:rsidP="00F32ABF">
      <w:pPr>
        <w:spacing w:line="288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32AB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PRIMERO</w:t>
      </w:r>
      <w:r w:rsidRPr="00F32ABF">
        <w:rPr>
          <w:rFonts w:ascii="Tahoma" w:hAnsi="Tahoma" w:cs="Tahoma"/>
          <w:color w:val="000000" w:themeColor="text1"/>
          <w:sz w:val="24"/>
          <w:szCs w:val="24"/>
        </w:rPr>
        <w:t xml:space="preserve">. - </w:t>
      </w:r>
      <w:r w:rsidRPr="00F32ABF">
        <w:rPr>
          <w:rFonts w:ascii="Tahoma" w:hAnsi="Tahoma" w:cs="Tahoma"/>
          <w:b/>
          <w:color w:val="000000" w:themeColor="text1"/>
          <w:sz w:val="24"/>
          <w:szCs w:val="24"/>
        </w:rPr>
        <w:t>CONFIRMAR</w:t>
      </w:r>
      <w:r w:rsidRPr="00F32ABF">
        <w:rPr>
          <w:rFonts w:ascii="Tahoma" w:hAnsi="Tahoma" w:cs="Tahoma"/>
          <w:color w:val="000000" w:themeColor="text1"/>
          <w:sz w:val="24"/>
          <w:szCs w:val="24"/>
        </w:rPr>
        <w:t xml:space="preserve"> la sentencia de la referencia y actualizar la condena en concreto en la suma de </w:t>
      </w:r>
      <w:r w:rsidR="00FA0E4B" w:rsidRPr="00F32ABF">
        <w:rPr>
          <w:rFonts w:ascii="Tahoma" w:hAnsi="Tahoma" w:cs="Tahoma"/>
          <w:color w:val="000000"/>
          <w:sz w:val="24"/>
          <w:szCs w:val="24"/>
        </w:rPr>
        <w:t>$</w:t>
      </w:r>
      <w:r w:rsidRPr="00F32ABF">
        <w:rPr>
          <w:rFonts w:ascii="Tahoma" w:hAnsi="Tahoma" w:cs="Tahoma"/>
          <w:color w:val="000000"/>
          <w:sz w:val="24"/>
          <w:szCs w:val="24"/>
        </w:rPr>
        <w:t>48.741.712, correspondiente al retroactivo pensional causando entre el 22 de enero de 2014 y el 30 de mayo de 2019, sin perjuicio de los descuentos de ley y de las mesadas que se sigan causando a partir del 1º de junio de 2019.</w:t>
      </w:r>
      <w:r w:rsidRPr="00F32AB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243448" w:rsidRPr="00F32ABF" w:rsidRDefault="00243448" w:rsidP="00F32ABF">
      <w:pPr>
        <w:spacing w:line="288" w:lineRule="auto"/>
        <w:ind w:firstLine="708"/>
        <w:rPr>
          <w:rFonts w:ascii="Tahoma" w:hAnsi="Tahoma" w:cs="Tahoma"/>
          <w:color w:val="000000" w:themeColor="text1"/>
          <w:sz w:val="24"/>
          <w:szCs w:val="24"/>
        </w:rPr>
      </w:pPr>
    </w:p>
    <w:p w:rsidR="00243448" w:rsidRPr="00F32ABF" w:rsidRDefault="00243448" w:rsidP="00F32ABF">
      <w:pPr>
        <w:spacing w:line="288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F32ABF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SEGUNDO.</w:t>
      </w:r>
      <w:r w:rsidRPr="00F32ABF">
        <w:rPr>
          <w:rFonts w:ascii="Tahoma" w:hAnsi="Tahoma" w:cs="Tahoma"/>
          <w:caps/>
          <w:color w:val="000000" w:themeColor="text1"/>
          <w:sz w:val="24"/>
          <w:szCs w:val="24"/>
        </w:rPr>
        <w:t xml:space="preserve"> – </w:t>
      </w:r>
      <w:r w:rsidRPr="00F32ABF">
        <w:rPr>
          <w:rFonts w:ascii="Tahoma" w:hAnsi="Tahoma" w:cs="Tahoma"/>
          <w:b/>
          <w:caps/>
          <w:color w:val="000000" w:themeColor="text1"/>
          <w:sz w:val="24"/>
          <w:szCs w:val="24"/>
        </w:rPr>
        <w:t>SIN COSTAS</w:t>
      </w:r>
      <w:r w:rsidRPr="00F32ABF">
        <w:rPr>
          <w:rFonts w:ascii="Tahoma" w:hAnsi="Tahoma" w:cs="Tahoma"/>
          <w:caps/>
          <w:color w:val="000000" w:themeColor="text1"/>
          <w:sz w:val="24"/>
          <w:szCs w:val="24"/>
        </w:rPr>
        <w:t xml:space="preserve"> </w:t>
      </w:r>
      <w:r w:rsidRPr="00F32ABF">
        <w:rPr>
          <w:rFonts w:ascii="Tahoma" w:hAnsi="Tahoma" w:cs="Tahoma"/>
          <w:color w:val="000000" w:themeColor="text1"/>
          <w:sz w:val="24"/>
          <w:szCs w:val="24"/>
        </w:rPr>
        <w:t>en esta sede.</w:t>
      </w:r>
    </w:p>
    <w:p w:rsidR="00243448" w:rsidRPr="00F32ABF" w:rsidRDefault="00243448" w:rsidP="00F32ABF">
      <w:pPr>
        <w:widowControl w:val="0"/>
        <w:autoSpaceDE w:val="0"/>
        <w:autoSpaceDN w:val="0"/>
        <w:adjustRightInd w:val="0"/>
        <w:spacing w:line="288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243448" w:rsidRPr="00F32ABF" w:rsidRDefault="00243448" w:rsidP="00F32ABF">
      <w:pPr>
        <w:widowControl w:val="0"/>
        <w:autoSpaceDE w:val="0"/>
        <w:autoSpaceDN w:val="0"/>
        <w:adjustRightInd w:val="0"/>
        <w:spacing w:line="288" w:lineRule="auto"/>
        <w:ind w:firstLine="708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F32ABF">
        <w:rPr>
          <w:rFonts w:ascii="Tahoma" w:hAnsi="Tahoma" w:cs="Tahoma"/>
          <w:bCs/>
          <w:color w:val="000000" w:themeColor="text1"/>
          <w:sz w:val="24"/>
          <w:szCs w:val="24"/>
        </w:rPr>
        <w:t xml:space="preserve">Notificación surtida en estrados. </w:t>
      </w:r>
      <w:r w:rsidRPr="00F32ABF">
        <w:rPr>
          <w:rFonts w:ascii="Tahoma" w:hAnsi="Tahoma" w:cs="Tahoma"/>
          <w:color w:val="000000" w:themeColor="text1"/>
          <w:sz w:val="24"/>
          <w:szCs w:val="24"/>
        </w:rPr>
        <w:t>Cúmplase y devuélvase al Juzgado de origen.</w:t>
      </w:r>
    </w:p>
    <w:p w:rsidR="00243448" w:rsidRPr="00F32ABF" w:rsidRDefault="00243448" w:rsidP="00F32ABF">
      <w:pPr>
        <w:spacing w:line="288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F32AB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243448" w:rsidRPr="00F32ABF" w:rsidRDefault="00243448" w:rsidP="00F32ABF">
      <w:pPr>
        <w:spacing w:line="288" w:lineRule="auto"/>
        <w:ind w:firstLine="708"/>
        <w:rPr>
          <w:rFonts w:ascii="Tahoma" w:hAnsi="Tahoma" w:cs="Tahoma"/>
          <w:color w:val="000000" w:themeColor="text1"/>
          <w:sz w:val="24"/>
          <w:szCs w:val="24"/>
        </w:rPr>
      </w:pPr>
      <w:r w:rsidRPr="00F32ABF">
        <w:rPr>
          <w:rFonts w:ascii="Tahoma" w:hAnsi="Tahoma" w:cs="Tahoma"/>
          <w:color w:val="000000" w:themeColor="text1"/>
          <w:sz w:val="24"/>
          <w:szCs w:val="24"/>
        </w:rPr>
        <w:t>La Magistrada ponente,</w:t>
      </w:r>
    </w:p>
    <w:p w:rsidR="00256127" w:rsidRPr="00256127" w:rsidRDefault="00256127" w:rsidP="00256127">
      <w:pPr>
        <w:spacing w:line="288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CO" w:eastAsia="es-ES"/>
        </w:rPr>
      </w:pPr>
    </w:p>
    <w:p w:rsidR="00256127" w:rsidRDefault="00256127" w:rsidP="00256127">
      <w:pPr>
        <w:spacing w:line="288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CO" w:eastAsia="es-ES"/>
        </w:rPr>
      </w:pPr>
    </w:p>
    <w:p w:rsidR="003D2E88" w:rsidRPr="00256127" w:rsidRDefault="003D2E88" w:rsidP="00256127">
      <w:pPr>
        <w:spacing w:line="288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CO" w:eastAsia="es-ES"/>
        </w:rPr>
      </w:pPr>
    </w:p>
    <w:p w:rsidR="00256127" w:rsidRPr="00256127" w:rsidRDefault="00256127" w:rsidP="00256127">
      <w:pPr>
        <w:spacing w:line="288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CO" w:eastAsia="es-ES"/>
        </w:rPr>
      </w:pPr>
    </w:p>
    <w:p w:rsidR="00256127" w:rsidRPr="00256127" w:rsidRDefault="00256127" w:rsidP="00256127">
      <w:pPr>
        <w:spacing w:line="288" w:lineRule="auto"/>
        <w:ind w:firstLine="708"/>
        <w:jc w:val="center"/>
        <w:rPr>
          <w:rFonts w:ascii="Tahoma" w:eastAsia="Times New Roman" w:hAnsi="Tahoma" w:cs="Tahoma"/>
          <w:b/>
          <w:szCs w:val="24"/>
          <w:lang w:eastAsia="es-ES"/>
        </w:rPr>
      </w:pPr>
      <w:r w:rsidRPr="00256127">
        <w:rPr>
          <w:rFonts w:ascii="Tahoma" w:eastAsia="Times New Roman" w:hAnsi="Tahoma" w:cs="Tahoma"/>
          <w:b/>
          <w:szCs w:val="24"/>
          <w:lang w:eastAsia="es-ES"/>
        </w:rPr>
        <w:t>ANA LUCÍA CAICEDO CALDERÓN</w:t>
      </w:r>
    </w:p>
    <w:p w:rsidR="00256127" w:rsidRPr="00256127" w:rsidRDefault="00256127" w:rsidP="00256127">
      <w:pPr>
        <w:spacing w:line="288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CO" w:eastAsia="es-ES"/>
        </w:rPr>
      </w:pPr>
    </w:p>
    <w:p w:rsidR="00256127" w:rsidRDefault="00256127" w:rsidP="00256127">
      <w:pPr>
        <w:spacing w:line="288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CO" w:eastAsia="es-ES"/>
        </w:rPr>
      </w:pPr>
    </w:p>
    <w:p w:rsidR="003D2E88" w:rsidRPr="00256127" w:rsidRDefault="003D2E88" w:rsidP="00256127">
      <w:pPr>
        <w:spacing w:line="288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CO" w:eastAsia="es-ES"/>
        </w:rPr>
      </w:pPr>
    </w:p>
    <w:p w:rsidR="00256127" w:rsidRPr="00256127" w:rsidRDefault="00256127" w:rsidP="00256127">
      <w:pPr>
        <w:spacing w:line="288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s-CO" w:eastAsia="es-ES"/>
        </w:rPr>
      </w:pPr>
    </w:p>
    <w:p w:rsidR="00256127" w:rsidRPr="00256127" w:rsidRDefault="00256127" w:rsidP="00256127">
      <w:pPr>
        <w:spacing w:line="288" w:lineRule="auto"/>
        <w:rPr>
          <w:rFonts w:ascii="Tahoma" w:eastAsia="Times New Roman" w:hAnsi="Tahoma" w:cs="Tahoma"/>
          <w:b/>
          <w:szCs w:val="24"/>
          <w:lang w:eastAsia="es-ES"/>
        </w:rPr>
      </w:pPr>
      <w:r w:rsidRPr="00256127">
        <w:rPr>
          <w:rFonts w:ascii="Tahoma" w:eastAsia="Times New Roman" w:hAnsi="Tahoma" w:cs="Tahoma"/>
          <w:b/>
          <w:szCs w:val="24"/>
          <w:lang w:eastAsia="es-ES"/>
        </w:rPr>
        <w:t>OLGA LUCÍA HOYOS SEPÚLVEDA</w:t>
      </w:r>
      <w:r w:rsidRPr="00256127">
        <w:rPr>
          <w:rFonts w:ascii="Tahoma" w:eastAsia="Times New Roman" w:hAnsi="Tahoma" w:cs="Tahoma"/>
          <w:b/>
          <w:szCs w:val="24"/>
          <w:lang w:eastAsia="es-ES"/>
        </w:rPr>
        <w:tab/>
      </w:r>
      <w:r w:rsidRPr="00256127">
        <w:rPr>
          <w:rFonts w:ascii="Tahoma" w:eastAsia="Times New Roman" w:hAnsi="Tahoma" w:cs="Tahoma"/>
          <w:b/>
          <w:szCs w:val="24"/>
          <w:lang w:eastAsia="es-ES"/>
        </w:rPr>
        <w:tab/>
        <w:t xml:space="preserve">         JULIO CÉSAR SALAZAR MUÑOZ</w:t>
      </w:r>
    </w:p>
    <w:p w:rsidR="00A7383E" w:rsidRPr="00F32ABF" w:rsidRDefault="00256127" w:rsidP="00256127">
      <w:pPr>
        <w:spacing w:line="288" w:lineRule="auto"/>
        <w:contextualSpacing/>
        <w:jc w:val="both"/>
        <w:rPr>
          <w:rFonts w:ascii="Tahoma" w:hAnsi="Tahoma" w:cs="Tahoma"/>
          <w:sz w:val="24"/>
          <w:szCs w:val="24"/>
          <w:lang w:val="es-CO"/>
        </w:rPr>
      </w:pPr>
      <w:r w:rsidRPr="00A42AD6">
        <w:rPr>
          <w:rFonts w:ascii="Tahoma" w:hAnsi="Tahoma" w:cs="Tahoma"/>
          <w:color w:val="000000" w:themeColor="text1"/>
          <w:sz w:val="24"/>
          <w:szCs w:val="24"/>
        </w:rPr>
        <w:t>Magistrada</w:t>
      </w:r>
      <w:r w:rsidRPr="00256127">
        <w:rPr>
          <w:rFonts w:ascii="Tahoma" w:hAnsi="Tahoma" w:cs="Tahoma"/>
          <w:color w:val="000000" w:themeColor="text1"/>
          <w:sz w:val="24"/>
          <w:szCs w:val="24"/>
        </w:rPr>
        <w:tab/>
      </w:r>
      <w:r w:rsidRPr="00256127">
        <w:rPr>
          <w:rFonts w:ascii="Tahoma" w:hAnsi="Tahoma" w:cs="Tahoma"/>
          <w:color w:val="000000" w:themeColor="text1"/>
          <w:sz w:val="24"/>
          <w:szCs w:val="24"/>
        </w:rPr>
        <w:tab/>
      </w:r>
      <w:r w:rsidRPr="00256127">
        <w:rPr>
          <w:rFonts w:ascii="Tahoma" w:hAnsi="Tahoma" w:cs="Tahoma"/>
          <w:color w:val="000000" w:themeColor="text1"/>
          <w:sz w:val="24"/>
          <w:szCs w:val="24"/>
        </w:rPr>
        <w:tab/>
      </w:r>
      <w:r w:rsidRPr="00256127">
        <w:rPr>
          <w:rFonts w:ascii="Tahoma" w:hAnsi="Tahoma" w:cs="Tahoma"/>
          <w:color w:val="000000" w:themeColor="text1"/>
          <w:sz w:val="24"/>
          <w:szCs w:val="24"/>
        </w:rPr>
        <w:tab/>
      </w:r>
      <w:r w:rsidRPr="00256127">
        <w:rPr>
          <w:rFonts w:ascii="Tahoma" w:hAnsi="Tahoma" w:cs="Tahoma"/>
          <w:color w:val="000000" w:themeColor="text1"/>
          <w:sz w:val="24"/>
          <w:szCs w:val="24"/>
        </w:rPr>
        <w:tab/>
      </w:r>
      <w:r w:rsidRPr="00256127">
        <w:rPr>
          <w:rFonts w:ascii="Tahoma" w:hAnsi="Tahoma" w:cs="Tahoma"/>
          <w:color w:val="000000" w:themeColor="text1"/>
          <w:sz w:val="24"/>
          <w:szCs w:val="24"/>
        </w:rPr>
        <w:tab/>
      </w:r>
      <w:r w:rsidRPr="00256127">
        <w:rPr>
          <w:rFonts w:ascii="Tahoma" w:eastAsia="Times New Roman" w:hAnsi="Tahoma" w:cs="Tahoma"/>
          <w:b/>
          <w:szCs w:val="24"/>
          <w:lang w:eastAsia="es-ES"/>
        </w:rPr>
        <w:t xml:space="preserve">         </w:t>
      </w:r>
      <w:r w:rsidRPr="00256127">
        <w:rPr>
          <w:rFonts w:ascii="Tahoma" w:hAnsi="Tahoma" w:cs="Tahoma"/>
          <w:color w:val="000000" w:themeColor="text1"/>
          <w:sz w:val="24"/>
          <w:szCs w:val="24"/>
        </w:rPr>
        <w:t>Magistrado</w:t>
      </w:r>
    </w:p>
    <w:sectPr w:rsidR="00A7383E" w:rsidRPr="00F32ABF" w:rsidSect="00F32ABF">
      <w:headerReference w:type="default" r:id="rId6"/>
      <w:footerReference w:type="default" r:id="rId7"/>
      <w:pgSz w:w="12242" w:h="18722" w:code="14"/>
      <w:pgMar w:top="1871" w:right="1304" w:bottom="1304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3D" w:rsidRDefault="009E213D" w:rsidP="005A6BB0">
      <w:pPr>
        <w:spacing w:line="240" w:lineRule="auto"/>
      </w:pPr>
      <w:r>
        <w:separator/>
      </w:r>
    </w:p>
  </w:endnote>
  <w:endnote w:type="continuationSeparator" w:id="0">
    <w:p w:rsidR="009E213D" w:rsidRDefault="009E213D" w:rsidP="005A6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20265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243448" w:rsidRPr="00F32ABF" w:rsidRDefault="00243448">
        <w:pPr>
          <w:pStyle w:val="Piedepgina"/>
          <w:jc w:val="right"/>
          <w:rPr>
            <w:rFonts w:ascii="Arial" w:hAnsi="Arial" w:cs="Arial"/>
            <w:sz w:val="18"/>
          </w:rPr>
        </w:pPr>
        <w:r w:rsidRPr="00F32ABF">
          <w:rPr>
            <w:rFonts w:ascii="Arial" w:hAnsi="Arial" w:cs="Arial"/>
            <w:sz w:val="18"/>
          </w:rPr>
          <w:fldChar w:fldCharType="begin"/>
        </w:r>
        <w:r w:rsidRPr="00F32ABF">
          <w:rPr>
            <w:rFonts w:ascii="Arial" w:hAnsi="Arial" w:cs="Arial"/>
            <w:sz w:val="18"/>
          </w:rPr>
          <w:instrText>PAGE   \* MERGEFORMAT</w:instrText>
        </w:r>
        <w:r w:rsidRPr="00F32ABF">
          <w:rPr>
            <w:rFonts w:ascii="Arial" w:hAnsi="Arial" w:cs="Arial"/>
            <w:sz w:val="18"/>
          </w:rPr>
          <w:fldChar w:fldCharType="separate"/>
        </w:r>
        <w:r w:rsidR="003D2E88">
          <w:rPr>
            <w:rFonts w:ascii="Arial" w:hAnsi="Arial" w:cs="Arial"/>
            <w:noProof/>
            <w:sz w:val="18"/>
          </w:rPr>
          <w:t>7</w:t>
        </w:r>
        <w:r w:rsidRPr="00F32ABF">
          <w:rPr>
            <w:rFonts w:ascii="Arial" w:hAnsi="Arial" w:cs="Arial"/>
            <w:sz w:val="18"/>
          </w:rPr>
          <w:fldChar w:fldCharType="end"/>
        </w:r>
      </w:p>
    </w:sdtContent>
  </w:sdt>
  <w:p w:rsidR="00243448" w:rsidRDefault="002434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3D" w:rsidRDefault="009E213D" w:rsidP="005A6BB0">
      <w:pPr>
        <w:spacing w:line="240" w:lineRule="auto"/>
      </w:pPr>
      <w:r>
        <w:separator/>
      </w:r>
    </w:p>
  </w:footnote>
  <w:footnote w:type="continuationSeparator" w:id="0">
    <w:p w:rsidR="009E213D" w:rsidRDefault="009E213D" w:rsidP="005A6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B0" w:rsidRPr="00F32ABF" w:rsidRDefault="005A6BB0">
    <w:pPr>
      <w:pStyle w:val="Encabezado"/>
      <w:rPr>
        <w:rFonts w:ascii="Arial" w:hAnsi="Arial" w:cs="Arial"/>
        <w:sz w:val="18"/>
        <w:szCs w:val="16"/>
        <w:lang w:val="es-CO"/>
      </w:rPr>
    </w:pPr>
    <w:r w:rsidRPr="00F32ABF">
      <w:rPr>
        <w:rFonts w:ascii="Arial" w:hAnsi="Arial" w:cs="Arial"/>
        <w:sz w:val="18"/>
        <w:szCs w:val="16"/>
        <w:lang w:val="es-CO"/>
      </w:rPr>
      <w:t>Demandante: Blanca Lucía Cataño</w:t>
    </w:r>
  </w:p>
  <w:p w:rsidR="005A6BB0" w:rsidRPr="00F32ABF" w:rsidRDefault="005A6BB0">
    <w:pPr>
      <w:pStyle w:val="Encabezado"/>
      <w:rPr>
        <w:rFonts w:ascii="Arial" w:hAnsi="Arial" w:cs="Arial"/>
        <w:sz w:val="18"/>
        <w:szCs w:val="16"/>
        <w:lang w:val="es-CO"/>
      </w:rPr>
    </w:pPr>
    <w:r w:rsidRPr="00F32ABF">
      <w:rPr>
        <w:rFonts w:ascii="Arial" w:hAnsi="Arial" w:cs="Arial"/>
        <w:sz w:val="18"/>
        <w:szCs w:val="16"/>
        <w:lang w:val="es-CO"/>
      </w:rPr>
      <w:t>Demandado: Colpensiones</w:t>
    </w:r>
  </w:p>
  <w:p w:rsidR="004C46ED" w:rsidRPr="00F32ABF" w:rsidRDefault="005A6BB0">
    <w:pPr>
      <w:pStyle w:val="Encabezado"/>
      <w:rPr>
        <w:rFonts w:ascii="Arial" w:hAnsi="Arial" w:cs="Arial"/>
        <w:sz w:val="18"/>
        <w:szCs w:val="16"/>
        <w:lang w:val="es-CO"/>
      </w:rPr>
    </w:pPr>
    <w:r w:rsidRPr="00F32ABF">
      <w:rPr>
        <w:rFonts w:ascii="Arial" w:hAnsi="Arial" w:cs="Arial"/>
        <w:sz w:val="18"/>
        <w:szCs w:val="16"/>
        <w:lang w:val="es-CO"/>
      </w:rPr>
      <w:t xml:space="preserve">Rad.: </w:t>
    </w:r>
    <w:r w:rsidR="004C46ED" w:rsidRPr="00F32ABF">
      <w:rPr>
        <w:rFonts w:ascii="Arial" w:hAnsi="Arial" w:cs="Arial"/>
        <w:sz w:val="18"/>
        <w:szCs w:val="16"/>
        <w:lang w:val="es-CO"/>
      </w:rPr>
      <w:t>2016-00408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27"/>
    <w:rsid w:val="00012217"/>
    <w:rsid w:val="000211DB"/>
    <w:rsid w:val="00060566"/>
    <w:rsid w:val="000C03DC"/>
    <w:rsid w:val="001045EE"/>
    <w:rsid w:val="00157956"/>
    <w:rsid w:val="001A5580"/>
    <w:rsid w:val="001B3C03"/>
    <w:rsid w:val="001E2124"/>
    <w:rsid w:val="001E2D0A"/>
    <w:rsid w:val="002017D1"/>
    <w:rsid w:val="00215A85"/>
    <w:rsid w:val="00243448"/>
    <w:rsid w:val="00247B86"/>
    <w:rsid w:val="00253A79"/>
    <w:rsid w:val="00256127"/>
    <w:rsid w:val="00260D7A"/>
    <w:rsid w:val="002748C5"/>
    <w:rsid w:val="002915E6"/>
    <w:rsid w:val="00292F08"/>
    <w:rsid w:val="002C4484"/>
    <w:rsid w:val="00334467"/>
    <w:rsid w:val="0035568E"/>
    <w:rsid w:val="00365FC0"/>
    <w:rsid w:val="003D2E88"/>
    <w:rsid w:val="00424679"/>
    <w:rsid w:val="0047447A"/>
    <w:rsid w:val="004C46ED"/>
    <w:rsid w:val="004E4A87"/>
    <w:rsid w:val="004F076F"/>
    <w:rsid w:val="00522E0B"/>
    <w:rsid w:val="00533808"/>
    <w:rsid w:val="00595C1D"/>
    <w:rsid w:val="005A6BB0"/>
    <w:rsid w:val="00662582"/>
    <w:rsid w:val="0067667E"/>
    <w:rsid w:val="006E6F9E"/>
    <w:rsid w:val="00701480"/>
    <w:rsid w:val="007402AF"/>
    <w:rsid w:val="007C48CF"/>
    <w:rsid w:val="007D78CD"/>
    <w:rsid w:val="007E5A67"/>
    <w:rsid w:val="007E6551"/>
    <w:rsid w:val="00817DE8"/>
    <w:rsid w:val="00833801"/>
    <w:rsid w:val="008400A6"/>
    <w:rsid w:val="008F5005"/>
    <w:rsid w:val="00902471"/>
    <w:rsid w:val="00933D99"/>
    <w:rsid w:val="00963DA1"/>
    <w:rsid w:val="009A2685"/>
    <w:rsid w:val="009E213D"/>
    <w:rsid w:val="009F4CE8"/>
    <w:rsid w:val="00A44F5B"/>
    <w:rsid w:val="00A46EC5"/>
    <w:rsid w:val="00A62D27"/>
    <w:rsid w:val="00A7383E"/>
    <w:rsid w:val="00B05BA2"/>
    <w:rsid w:val="00B261F7"/>
    <w:rsid w:val="00B92270"/>
    <w:rsid w:val="00BE422F"/>
    <w:rsid w:val="00BE7F20"/>
    <w:rsid w:val="00C01A64"/>
    <w:rsid w:val="00C6442E"/>
    <w:rsid w:val="00C753A8"/>
    <w:rsid w:val="00CA6F8E"/>
    <w:rsid w:val="00CC48A9"/>
    <w:rsid w:val="00CC5C4B"/>
    <w:rsid w:val="00D033FB"/>
    <w:rsid w:val="00D133FB"/>
    <w:rsid w:val="00D251D5"/>
    <w:rsid w:val="00DA196F"/>
    <w:rsid w:val="00EC0007"/>
    <w:rsid w:val="00F03D9A"/>
    <w:rsid w:val="00F32ABF"/>
    <w:rsid w:val="00F64C87"/>
    <w:rsid w:val="00FA0E4B"/>
    <w:rsid w:val="00FE0D39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C9E9CA-45B5-42AB-8CD1-87ADBE7B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56"/>
    <w:pPr>
      <w:spacing w:line="360" w:lineRule="auto"/>
      <w:ind w:firstLine="0"/>
      <w:jc w:val="left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3448"/>
    <w:pPr>
      <w:keepNext/>
      <w:keepLines/>
      <w:spacing w:before="40" w:line="259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424679"/>
    <w:pPr>
      <w:keepNext/>
      <w:tabs>
        <w:tab w:val="left" w:pos="0"/>
      </w:tabs>
      <w:overflowPunct w:val="0"/>
      <w:autoSpaceDE w:val="0"/>
      <w:autoSpaceDN w:val="0"/>
      <w:adjustRightInd w:val="0"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BB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BB0"/>
  </w:style>
  <w:style w:type="paragraph" w:styleId="Piedepgina">
    <w:name w:val="footer"/>
    <w:basedOn w:val="Normal"/>
    <w:link w:val="PiedepginaCar"/>
    <w:uiPriority w:val="99"/>
    <w:unhideWhenUsed/>
    <w:rsid w:val="005A6BB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BB0"/>
  </w:style>
  <w:style w:type="paragraph" w:styleId="Textodeglobo">
    <w:name w:val="Balloon Text"/>
    <w:basedOn w:val="Normal"/>
    <w:link w:val="TextodegloboCar"/>
    <w:uiPriority w:val="99"/>
    <w:semiHidden/>
    <w:unhideWhenUsed/>
    <w:rsid w:val="00BE7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F20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42467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42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oromisin">
    <w:name w:val="Por omisión"/>
    <w:rsid w:val="0042467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Tahoma" w:eastAsia="Arial Unicode MS" w:hAnsi="Tahoma" w:cs="Arial Unicode MS"/>
      <w:color w:val="000000"/>
      <w:bdr w:val="nil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7402AF"/>
  </w:style>
  <w:style w:type="character" w:customStyle="1" w:styleId="Ttulo3Car">
    <w:name w:val="Título 3 Car"/>
    <w:basedOn w:val="Fuentedeprrafopredeter"/>
    <w:link w:val="Ttulo3"/>
    <w:uiPriority w:val="9"/>
    <w:semiHidden/>
    <w:rsid w:val="002434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7</Pages>
  <Words>2697</Words>
  <Characters>14839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Garces Moncada</dc:creator>
  <cp:keywords/>
  <dc:description/>
  <cp:lastModifiedBy>Henry Lora Rodriguez</cp:lastModifiedBy>
  <cp:revision>17</cp:revision>
  <cp:lastPrinted>2019-06-14T15:03:00Z</cp:lastPrinted>
  <dcterms:created xsi:type="dcterms:W3CDTF">2019-06-10T19:41:00Z</dcterms:created>
  <dcterms:modified xsi:type="dcterms:W3CDTF">2019-07-31T20:54:00Z</dcterms:modified>
</cp:coreProperties>
</file>