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31F" w:rsidRPr="006E231F" w:rsidRDefault="006E231F" w:rsidP="006E231F">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6E231F">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6E231F" w:rsidRPr="006E231F" w:rsidRDefault="006E231F" w:rsidP="006E231F">
      <w:pPr>
        <w:jc w:val="both"/>
        <w:rPr>
          <w:rFonts w:ascii="Arial" w:hAnsi="Arial" w:cs="Arial"/>
          <w:sz w:val="20"/>
          <w:szCs w:val="20"/>
          <w:lang w:val="es-419"/>
        </w:rPr>
      </w:pPr>
    </w:p>
    <w:p w:rsidR="006E231F" w:rsidRPr="006E231F" w:rsidRDefault="006E231F" w:rsidP="006E231F">
      <w:pPr>
        <w:jc w:val="both"/>
        <w:rPr>
          <w:rFonts w:ascii="Arial" w:hAnsi="Arial" w:cs="Arial"/>
          <w:sz w:val="20"/>
          <w:szCs w:val="20"/>
          <w:lang w:val="es-419"/>
        </w:rPr>
      </w:pPr>
      <w:r w:rsidRPr="006E231F">
        <w:rPr>
          <w:rFonts w:ascii="Arial" w:hAnsi="Arial" w:cs="Arial"/>
          <w:sz w:val="20"/>
          <w:szCs w:val="20"/>
          <w:lang w:val="es-419"/>
        </w:rPr>
        <w:t xml:space="preserve">Providencia: </w:t>
      </w:r>
      <w:r w:rsidRPr="006E231F">
        <w:rPr>
          <w:rFonts w:ascii="Arial" w:hAnsi="Arial" w:cs="Arial"/>
          <w:sz w:val="20"/>
          <w:szCs w:val="20"/>
          <w:lang w:val="es-419"/>
        </w:rPr>
        <w:tab/>
      </w:r>
      <w:r w:rsidRPr="006E231F">
        <w:rPr>
          <w:rFonts w:ascii="Arial" w:hAnsi="Arial" w:cs="Arial"/>
          <w:sz w:val="20"/>
          <w:szCs w:val="20"/>
          <w:lang w:val="es-419"/>
        </w:rPr>
        <w:tab/>
        <w:t>Sentencia del 8 de julio de 2019</w:t>
      </w:r>
    </w:p>
    <w:p w:rsidR="006E231F" w:rsidRPr="006E231F" w:rsidRDefault="006E231F" w:rsidP="006E231F">
      <w:pPr>
        <w:jc w:val="both"/>
        <w:rPr>
          <w:rFonts w:ascii="Arial" w:hAnsi="Arial" w:cs="Arial"/>
          <w:sz w:val="20"/>
          <w:szCs w:val="20"/>
          <w:lang w:val="es-419"/>
        </w:rPr>
      </w:pPr>
      <w:r w:rsidRPr="006E231F">
        <w:rPr>
          <w:rFonts w:ascii="Arial" w:hAnsi="Arial" w:cs="Arial"/>
          <w:sz w:val="20"/>
          <w:szCs w:val="20"/>
          <w:lang w:val="es-419"/>
        </w:rPr>
        <w:t>Radicación No.:</w:t>
      </w:r>
      <w:r w:rsidRPr="006E231F">
        <w:rPr>
          <w:rFonts w:ascii="Arial" w:hAnsi="Arial" w:cs="Arial"/>
          <w:sz w:val="20"/>
          <w:szCs w:val="20"/>
          <w:lang w:val="es-419"/>
        </w:rPr>
        <w:tab/>
      </w:r>
      <w:r w:rsidRPr="006E231F">
        <w:rPr>
          <w:rFonts w:ascii="Arial" w:hAnsi="Arial" w:cs="Arial"/>
          <w:sz w:val="20"/>
          <w:szCs w:val="20"/>
          <w:lang w:val="es-419"/>
        </w:rPr>
        <w:tab/>
        <w:t>66001-31-05-002-2017-00367-01</w:t>
      </w:r>
    </w:p>
    <w:p w:rsidR="006E231F" w:rsidRPr="006E231F" w:rsidRDefault="006E231F" w:rsidP="006E231F">
      <w:pPr>
        <w:jc w:val="both"/>
        <w:rPr>
          <w:rFonts w:ascii="Arial" w:hAnsi="Arial" w:cs="Arial"/>
          <w:sz w:val="20"/>
          <w:szCs w:val="20"/>
          <w:lang w:val="es-419"/>
        </w:rPr>
      </w:pPr>
      <w:r w:rsidRPr="006E231F">
        <w:rPr>
          <w:rFonts w:ascii="Arial" w:hAnsi="Arial" w:cs="Arial"/>
          <w:sz w:val="20"/>
          <w:szCs w:val="20"/>
          <w:lang w:val="es-419"/>
        </w:rPr>
        <w:t>Proceso:</w:t>
      </w:r>
      <w:r w:rsidRPr="006E231F">
        <w:rPr>
          <w:rFonts w:ascii="Arial" w:hAnsi="Arial" w:cs="Arial"/>
          <w:sz w:val="20"/>
          <w:szCs w:val="20"/>
          <w:lang w:val="es-419"/>
        </w:rPr>
        <w:tab/>
      </w:r>
      <w:r w:rsidRPr="006E231F">
        <w:rPr>
          <w:rFonts w:ascii="Arial" w:hAnsi="Arial" w:cs="Arial"/>
          <w:sz w:val="20"/>
          <w:szCs w:val="20"/>
          <w:lang w:val="es-419"/>
        </w:rPr>
        <w:tab/>
        <w:t xml:space="preserve">Ordinario laboral </w:t>
      </w:r>
    </w:p>
    <w:p w:rsidR="006E231F" w:rsidRPr="006E231F" w:rsidRDefault="006E231F" w:rsidP="006E231F">
      <w:pPr>
        <w:jc w:val="both"/>
        <w:rPr>
          <w:rFonts w:ascii="Arial" w:hAnsi="Arial" w:cs="Arial"/>
          <w:sz w:val="20"/>
          <w:szCs w:val="20"/>
          <w:lang w:val="es-419"/>
        </w:rPr>
      </w:pPr>
      <w:r w:rsidRPr="006E231F">
        <w:rPr>
          <w:rFonts w:ascii="Arial" w:hAnsi="Arial" w:cs="Arial"/>
          <w:sz w:val="20"/>
          <w:szCs w:val="20"/>
          <w:lang w:val="es-419"/>
        </w:rPr>
        <w:t>Demand</w:t>
      </w:r>
      <w:r w:rsidR="00E95584">
        <w:rPr>
          <w:rFonts w:ascii="Arial" w:hAnsi="Arial" w:cs="Arial"/>
          <w:sz w:val="20"/>
          <w:szCs w:val="20"/>
          <w:lang w:val="es-419"/>
        </w:rPr>
        <w:t>ante:</w:t>
      </w:r>
      <w:r w:rsidR="00E95584">
        <w:rPr>
          <w:rFonts w:ascii="Arial" w:hAnsi="Arial" w:cs="Arial"/>
          <w:sz w:val="20"/>
          <w:szCs w:val="20"/>
          <w:lang w:val="es-419"/>
        </w:rPr>
        <w:tab/>
      </w:r>
      <w:r w:rsidR="00E95584">
        <w:rPr>
          <w:rFonts w:ascii="Arial" w:hAnsi="Arial" w:cs="Arial"/>
          <w:sz w:val="20"/>
          <w:szCs w:val="20"/>
          <w:lang w:val="es-419"/>
        </w:rPr>
        <w:tab/>
        <w:t>Luz Mary Blandón Osorio</w:t>
      </w:r>
      <w:bookmarkStart w:id="0" w:name="_GoBack"/>
      <w:bookmarkEnd w:id="0"/>
    </w:p>
    <w:p w:rsidR="006E231F" w:rsidRPr="006E231F" w:rsidRDefault="006E231F" w:rsidP="006E231F">
      <w:pPr>
        <w:jc w:val="both"/>
        <w:rPr>
          <w:rFonts w:ascii="Arial" w:hAnsi="Arial" w:cs="Arial"/>
          <w:sz w:val="20"/>
          <w:szCs w:val="20"/>
          <w:lang w:val="es-419"/>
        </w:rPr>
      </w:pPr>
      <w:r w:rsidRPr="006E231F">
        <w:rPr>
          <w:rFonts w:ascii="Arial" w:hAnsi="Arial" w:cs="Arial"/>
          <w:sz w:val="20"/>
          <w:szCs w:val="20"/>
          <w:lang w:val="es-419"/>
        </w:rPr>
        <w:t>Demandado:</w:t>
      </w:r>
      <w:r w:rsidRPr="006E231F">
        <w:rPr>
          <w:rFonts w:ascii="Arial" w:hAnsi="Arial" w:cs="Arial"/>
          <w:sz w:val="20"/>
          <w:szCs w:val="20"/>
          <w:lang w:val="es-419"/>
        </w:rPr>
        <w:tab/>
      </w:r>
      <w:r w:rsidRPr="006E231F">
        <w:rPr>
          <w:rFonts w:ascii="Arial" w:hAnsi="Arial" w:cs="Arial"/>
          <w:sz w:val="20"/>
          <w:szCs w:val="20"/>
          <w:lang w:val="es-419"/>
        </w:rPr>
        <w:tab/>
        <w:t>Colpensiones</w:t>
      </w:r>
    </w:p>
    <w:p w:rsidR="006E231F" w:rsidRPr="006E231F" w:rsidRDefault="006E231F" w:rsidP="006E231F">
      <w:pPr>
        <w:jc w:val="both"/>
        <w:rPr>
          <w:rFonts w:ascii="Arial" w:hAnsi="Arial" w:cs="Arial"/>
          <w:sz w:val="20"/>
          <w:szCs w:val="20"/>
          <w:lang w:val="es-419"/>
        </w:rPr>
      </w:pPr>
      <w:r w:rsidRPr="006E231F">
        <w:rPr>
          <w:rFonts w:ascii="Arial" w:hAnsi="Arial" w:cs="Arial"/>
          <w:sz w:val="20"/>
          <w:szCs w:val="20"/>
          <w:lang w:val="es-419"/>
        </w:rPr>
        <w:t xml:space="preserve">Juzgado de origen: </w:t>
      </w:r>
      <w:r w:rsidRPr="006E231F">
        <w:rPr>
          <w:rFonts w:ascii="Arial" w:hAnsi="Arial" w:cs="Arial"/>
          <w:sz w:val="20"/>
          <w:szCs w:val="20"/>
          <w:lang w:val="es-419"/>
        </w:rPr>
        <w:tab/>
        <w:t>Segundo Laboral del Circuito de Pereira</w:t>
      </w:r>
    </w:p>
    <w:p w:rsidR="006E231F" w:rsidRPr="006E231F" w:rsidRDefault="006E231F" w:rsidP="006E231F">
      <w:pPr>
        <w:jc w:val="both"/>
        <w:rPr>
          <w:rFonts w:ascii="Arial" w:hAnsi="Arial" w:cs="Arial"/>
          <w:sz w:val="20"/>
          <w:szCs w:val="20"/>
          <w:lang w:val="es-419"/>
        </w:rPr>
      </w:pPr>
      <w:r w:rsidRPr="006E231F">
        <w:rPr>
          <w:rFonts w:ascii="Arial" w:hAnsi="Arial" w:cs="Arial"/>
          <w:sz w:val="20"/>
          <w:szCs w:val="20"/>
          <w:lang w:val="es-419"/>
        </w:rPr>
        <w:t>Magistradas ponentes:</w:t>
      </w:r>
      <w:r w:rsidRPr="006E231F">
        <w:rPr>
          <w:rFonts w:ascii="Arial" w:hAnsi="Arial" w:cs="Arial"/>
          <w:sz w:val="20"/>
          <w:szCs w:val="20"/>
          <w:lang w:val="es-419"/>
        </w:rPr>
        <w:tab/>
        <w:t>Dra. Ana Lucía Ca</w:t>
      </w:r>
      <w:r>
        <w:rPr>
          <w:rFonts w:ascii="Arial" w:hAnsi="Arial" w:cs="Arial"/>
          <w:sz w:val="20"/>
          <w:szCs w:val="20"/>
          <w:lang w:val="es-419"/>
        </w:rPr>
        <w:t>icedo Calderón</w:t>
      </w:r>
    </w:p>
    <w:p w:rsidR="006E231F" w:rsidRPr="006E231F" w:rsidRDefault="00E95584" w:rsidP="006E231F">
      <w:pPr>
        <w:jc w:val="both"/>
        <w:rPr>
          <w:rFonts w:ascii="Arial" w:hAnsi="Arial" w:cs="Arial"/>
          <w:sz w:val="20"/>
          <w:szCs w:val="20"/>
          <w:lang w:val="es-419"/>
        </w:rPr>
      </w:pPr>
      <w:r>
        <w:rPr>
          <w:rFonts w:ascii="Arial" w:hAnsi="Arial" w:cs="Arial"/>
          <w:sz w:val="20"/>
          <w:szCs w:val="20"/>
          <w:lang w:val="es-419"/>
        </w:rPr>
        <w:tab/>
      </w:r>
      <w:r w:rsidR="006E231F" w:rsidRPr="006E231F">
        <w:rPr>
          <w:rFonts w:ascii="Arial" w:hAnsi="Arial" w:cs="Arial"/>
          <w:sz w:val="20"/>
          <w:szCs w:val="20"/>
          <w:lang w:val="es-419"/>
        </w:rPr>
        <w:tab/>
      </w:r>
      <w:r w:rsidR="006E231F" w:rsidRPr="006E231F">
        <w:rPr>
          <w:rFonts w:ascii="Arial" w:hAnsi="Arial" w:cs="Arial"/>
          <w:sz w:val="20"/>
          <w:szCs w:val="20"/>
          <w:lang w:val="es-419"/>
        </w:rPr>
        <w:tab/>
        <w:t>Dra. Olga Lucía Hoyos Sepúlveda</w:t>
      </w:r>
    </w:p>
    <w:p w:rsidR="006E231F" w:rsidRPr="006E231F" w:rsidRDefault="006E231F" w:rsidP="006E231F">
      <w:pPr>
        <w:jc w:val="both"/>
        <w:rPr>
          <w:rFonts w:ascii="Arial" w:hAnsi="Arial" w:cs="Arial"/>
          <w:sz w:val="20"/>
          <w:szCs w:val="20"/>
          <w:lang w:val="es-419"/>
        </w:rPr>
      </w:pPr>
    </w:p>
    <w:p w:rsidR="006E231F" w:rsidRPr="00E95584" w:rsidRDefault="006E231F" w:rsidP="006E231F">
      <w:pPr>
        <w:jc w:val="both"/>
        <w:rPr>
          <w:rFonts w:ascii="Arial" w:hAnsi="Arial" w:cs="Arial"/>
          <w:b/>
          <w:bCs/>
          <w:iCs/>
          <w:sz w:val="20"/>
          <w:szCs w:val="20"/>
          <w:lang w:val="es-CO" w:eastAsia="fr-FR"/>
        </w:rPr>
      </w:pPr>
      <w:r w:rsidRPr="006E231F">
        <w:rPr>
          <w:rFonts w:ascii="Arial" w:hAnsi="Arial" w:cs="Arial"/>
          <w:b/>
          <w:bCs/>
          <w:iCs/>
          <w:sz w:val="20"/>
          <w:szCs w:val="20"/>
          <w:lang w:val="es-419" w:eastAsia="fr-FR"/>
        </w:rPr>
        <w:t>TEMAS:</w:t>
      </w:r>
      <w:r w:rsidRPr="006E231F">
        <w:rPr>
          <w:rFonts w:ascii="Arial" w:hAnsi="Arial" w:cs="Arial"/>
          <w:b/>
          <w:bCs/>
          <w:iCs/>
          <w:sz w:val="20"/>
          <w:szCs w:val="20"/>
          <w:lang w:val="es-419" w:eastAsia="fr-FR"/>
        </w:rPr>
        <w:tab/>
      </w:r>
      <w:r w:rsidRPr="006E231F">
        <w:rPr>
          <w:rFonts w:ascii="Arial" w:hAnsi="Arial" w:cs="Arial"/>
          <w:b/>
          <w:sz w:val="20"/>
          <w:szCs w:val="20"/>
          <w:lang w:val="es-419"/>
        </w:rPr>
        <w:t>PENSIÓN DE SOBREVIVIENTE</w:t>
      </w:r>
      <w:r w:rsidR="00E95584">
        <w:rPr>
          <w:rFonts w:ascii="Arial" w:hAnsi="Arial" w:cs="Arial"/>
          <w:b/>
          <w:sz w:val="20"/>
          <w:szCs w:val="20"/>
          <w:lang w:val="es-CO"/>
        </w:rPr>
        <w:t>S</w:t>
      </w:r>
      <w:r w:rsidRPr="006E231F">
        <w:rPr>
          <w:rFonts w:ascii="Arial" w:hAnsi="Arial" w:cs="Arial"/>
          <w:b/>
          <w:sz w:val="20"/>
          <w:szCs w:val="20"/>
          <w:lang w:val="es-419"/>
        </w:rPr>
        <w:t xml:space="preserve"> </w:t>
      </w:r>
      <w:r w:rsidRPr="006E231F">
        <w:rPr>
          <w:rFonts w:ascii="Arial" w:hAnsi="Arial" w:cs="Arial"/>
          <w:b/>
          <w:bCs/>
          <w:iCs/>
          <w:sz w:val="20"/>
          <w:szCs w:val="20"/>
          <w:lang w:val="es-419" w:eastAsia="fr-FR"/>
        </w:rPr>
        <w:t xml:space="preserve">/ </w:t>
      </w:r>
      <w:r w:rsidR="00E95584" w:rsidRPr="006E231F">
        <w:rPr>
          <w:rFonts w:ascii="Arial" w:hAnsi="Arial" w:cs="Arial"/>
          <w:b/>
          <w:sz w:val="20"/>
          <w:szCs w:val="20"/>
          <w:lang w:val="es-419"/>
        </w:rPr>
        <w:t>CONDICIÓN MAS BENEFICIOSA</w:t>
      </w:r>
      <w:r w:rsidR="00E95584">
        <w:rPr>
          <w:rFonts w:ascii="Arial" w:hAnsi="Arial" w:cs="Arial"/>
          <w:b/>
          <w:sz w:val="20"/>
          <w:szCs w:val="20"/>
          <w:lang w:val="es-CO"/>
        </w:rPr>
        <w:t xml:space="preserve"> / PERMITE APLICACIÓN </w:t>
      </w:r>
      <w:r w:rsidR="006A4386">
        <w:rPr>
          <w:rFonts w:ascii="Arial" w:hAnsi="Arial" w:cs="Arial"/>
          <w:b/>
          <w:sz w:val="20"/>
          <w:szCs w:val="20"/>
          <w:lang w:val="es-CO"/>
        </w:rPr>
        <w:t>DE NORMA INMEDIATAMENTE ANTERIOR / PRINCIPIO DE TEMPORALIDAD.</w:t>
      </w:r>
    </w:p>
    <w:p w:rsidR="006E231F" w:rsidRPr="006E231F" w:rsidRDefault="006E231F" w:rsidP="006E231F">
      <w:pPr>
        <w:jc w:val="both"/>
        <w:rPr>
          <w:rFonts w:ascii="Arial" w:hAnsi="Arial" w:cs="Arial"/>
          <w:sz w:val="20"/>
          <w:szCs w:val="20"/>
          <w:lang w:val="es-419"/>
        </w:rPr>
      </w:pPr>
    </w:p>
    <w:p w:rsidR="006E231F" w:rsidRDefault="00705A27" w:rsidP="006E231F">
      <w:pPr>
        <w:jc w:val="both"/>
        <w:rPr>
          <w:rFonts w:ascii="Arial" w:hAnsi="Arial" w:cs="Arial"/>
          <w:sz w:val="20"/>
          <w:szCs w:val="20"/>
          <w:lang w:val="es-CO"/>
        </w:rPr>
      </w:pPr>
      <w:r w:rsidRPr="00705A27">
        <w:rPr>
          <w:rFonts w:ascii="Arial" w:hAnsi="Arial" w:cs="Arial"/>
          <w:sz w:val="20"/>
          <w:szCs w:val="20"/>
          <w:lang w:val="es-419"/>
        </w:rPr>
        <w:t>Se encuentra acreditado que el señor Carlos Asdrubal Ardila Rotavisque falleció el día 25 de abril del 2003, por lo tanto, la normativa aplicable en esta actuación es el artículo 12 de la Ley 797 de 2003, que es la vigente para el momento de acontecer tal situación. Disposición que exige haber cotizado 50 semanas dentro de los 3 años anteriores al deceso</w:t>
      </w:r>
      <w:r>
        <w:rPr>
          <w:rFonts w:ascii="Arial" w:hAnsi="Arial" w:cs="Arial"/>
          <w:sz w:val="20"/>
          <w:szCs w:val="20"/>
          <w:lang w:val="es-CO"/>
        </w:rPr>
        <w:t>…</w:t>
      </w:r>
    </w:p>
    <w:p w:rsidR="00705A27" w:rsidRDefault="00705A27" w:rsidP="006E231F">
      <w:pPr>
        <w:jc w:val="both"/>
        <w:rPr>
          <w:rFonts w:ascii="Arial" w:hAnsi="Arial" w:cs="Arial"/>
          <w:sz w:val="20"/>
          <w:szCs w:val="20"/>
          <w:lang w:val="es-CO"/>
        </w:rPr>
      </w:pPr>
    </w:p>
    <w:p w:rsidR="00705A27" w:rsidRPr="00705A27" w:rsidRDefault="00705A27" w:rsidP="00705A27">
      <w:pPr>
        <w:jc w:val="both"/>
        <w:rPr>
          <w:rFonts w:ascii="Arial" w:hAnsi="Arial" w:cs="Arial"/>
          <w:sz w:val="20"/>
          <w:szCs w:val="20"/>
          <w:lang w:val="es-CO"/>
        </w:rPr>
      </w:pPr>
      <w:r>
        <w:rPr>
          <w:rFonts w:ascii="Arial" w:hAnsi="Arial" w:cs="Arial"/>
          <w:sz w:val="20"/>
          <w:szCs w:val="20"/>
          <w:lang w:val="es-CO"/>
        </w:rPr>
        <w:t xml:space="preserve">… </w:t>
      </w:r>
      <w:r w:rsidRPr="00705A27">
        <w:rPr>
          <w:rFonts w:ascii="Arial" w:hAnsi="Arial" w:cs="Arial"/>
          <w:sz w:val="20"/>
          <w:szCs w:val="20"/>
          <w:lang w:val="es-CO"/>
        </w:rPr>
        <w:t xml:space="preserve">Revisada la historia laboral y el certificado laboral – formato 1 –, se constata que el afiliado entre la fecha de la muerte 25-04-2003 y la misma data de 2000 (3 años) no efectuó cotizaciones, siendo la última para el </w:t>
      </w:r>
      <w:proofErr w:type="spellStart"/>
      <w:r w:rsidRPr="00705A27">
        <w:rPr>
          <w:rFonts w:ascii="Arial" w:hAnsi="Arial" w:cs="Arial"/>
          <w:sz w:val="20"/>
          <w:szCs w:val="20"/>
          <w:lang w:val="es-CO"/>
        </w:rPr>
        <w:t>cliclo</w:t>
      </w:r>
      <w:proofErr w:type="spellEnd"/>
      <w:r w:rsidRPr="00705A27">
        <w:rPr>
          <w:rFonts w:ascii="Arial" w:hAnsi="Arial" w:cs="Arial"/>
          <w:sz w:val="20"/>
          <w:szCs w:val="20"/>
          <w:lang w:val="es-CO"/>
        </w:rPr>
        <w:t xml:space="preserve"> de junio de 1976; con lo cual resulta fácil colegir que no satisfizo la primera de las exigencias del artículo 12 de la Ley 797 de 2003, en cuanto a la densidad de semanas.</w:t>
      </w:r>
    </w:p>
    <w:p w:rsidR="00705A27" w:rsidRPr="00705A27" w:rsidRDefault="00705A27" w:rsidP="00705A27">
      <w:pPr>
        <w:jc w:val="both"/>
        <w:rPr>
          <w:rFonts w:ascii="Arial" w:hAnsi="Arial" w:cs="Arial"/>
          <w:sz w:val="20"/>
          <w:szCs w:val="20"/>
          <w:lang w:val="es-CO"/>
        </w:rPr>
      </w:pPr>
    </w:p>
    <w:p w:rsidR="00705A27" w:rsidRPr="00705A27" w:rsidRDefault="00705A27" w:rsidP="00705A27">
      <w:pPr>
        <w:jc w:val="both"/>
        <w:rPr>
          <w:rFonts w:ascii="Arial" w:hAnsi="Arial" w:cs="Arial"/>
          <w:sz w:val="20"/>
          <w:szCs w:val="20"/>
          <w:lang w:val="es-CO"/>
        </w:rPr>
      </w:pPr>
      <w:r w:rsidRPr="00705A27">
        <w:rPr>
          <w:rFonts w:ascii="Arial" w:hAnsi="Arial" w:cs="Arial"/>
          <w:sz w:val="20"/>
          <w:szCs w:val="20"/>
          <w:lang w:val="es-CO"/>
        </w:rPr>
        <w:t>Sin embargo, dado que en el libelo introductorio se depreca la aplicación del Acuerdo 049 de 1990 con sustento en el principio de la condición más beneficiosa, se analizará su procedencia.</w:t>
      </w:r>
    </w:p>
    <w:p w:rsidR="00705A27" w:rsidRPr="00705A27" w:rsidRDefault="00705A27" w:rsidP="00705A27">
      <w:pPr>
        <w:jc w:val="both"/>
        <w:rPr>
          <w:rFonts w:ascii="Arial" w:hAnsi="Arial" w:cs="Arial"/>
          <w:sz w:val="20"/>
          <w:szCs w:val="20"/>
          <w:lang w:val="es-CO"/>
        </w:rPr>
      </w:pPr>
    </w:p>
    <w:p w:rsidR="00705A27" w:rsidRDefault="00705A27" w:rsidP="00705A27">
      <w:pPr>
        <w:jc w:val="both"/>
        <w:rPr>
          <w:rFonts w:ascii="Arial" w:hAnsi="Arial" w:cs="Arial"/>
          <w:sz w:val="20"/>
          <w:szCs w:val="20"/>
          <w:lang w:val="es-CO"/>
        </w:rPr>
      </w:pPr>
      <w:r w:rsidRPr="00705A27">
        <w:rPr>
          <w:rFonts w:ascii="Arial" w:hAnsi="Arial" w:cs="Arial"/>
          <w:sz w:val="20"/>
          <w:szCs w:val="20"/>
          <w:lang w:val="es-CO"/>
        </w:rPr>
        <w:t>Frente al referido principio, ha sostenido incesantemente la Sala de Casación Laboral de Corte Suprema de Justicia que el mismo no le permite al juzgador aplicar a un caso en particular cualquier norma legal que en el pasado haya regulado el asunto, sino que, de darse las condiciones necesarias para su aplicación, ello sería respecto a la norma inmediatamente anterior a la vigente en el momento en que se estructuró el derecho, tesis que se comparte la Sala Mayoritaria y no la de la Corte Constitucional, por ser aquel el órgano de cierre de la jurisdicción laboral.</w:t>
      </w:r>
      <w:r w:rsidR="00297E96">
        <w:rPr>
          <w:rFonts w:ascii="Arial" w:hAnsi="Arial" w:cs="Arial"/>
          <w:sz w:val="20"/>
          <w:szCs w:val="20"/>
          <w:lang w:val="es-CO"/>
        </w:rPr>
        <w:t xml:space="preserve"> (…)</w:t>
      </w:r>
    </w:p>
    <w:p w:rsidR="00E95584" w:rsidRDefault="00E95584" w:rsidP="00705A27">
      <w:pPr>
        <w:jc w:val="both"/>
        <w:rPr>
          <w:rFonts w:ascii="Arial" w:hAnsi="Arial" w:cs="Arial"/>
          <w:sz w:val="20"/>
          <w:szCs w:val="20"/>
          <w:lang w:val="es-CO"/>
        </w:rPr>
      </w:pPr>
    </w:p>
    <w:p w:rsidR="00E95584" w:rsidRPr="00E95584" w:rsidRDefault="00E95584" w:rsidP="00E95584">
      <w:pPr>
        <w:jc w:val="both"/>
        <w:rPr>
          <w:rFonts w:ascii="Arial" w:hAnsi="Arial" w:cs="Arial"/>
          <w:sz w:val="20"/>
          <w:szCs w:val="20"/>
          <w:lang w:val="es-CO"/>
        </w:rPr>
      </w:pPr>
      <w:r>
        <w:rPr>
          <w:rFonts w:ascii="Arial" w:hAnsi="Arial" w:cs="Arial"/>
          <w:sz w:val="20"/>
          <w:szCs w:val="20"/>
          <w:lang w:val="es-CO"/>
        </w:rPr>
        <w:t>…</w:t>
      </w:r>
      <w:r w:rsidRPr="00E95584">
        <w:rPr>
          <w:rFonts w:ascii="Arial" w:hAnsi="Arial" w:cs="Arial"/>
          <w:sz w:val="20"/>
          <w:szCs w:val="20"/>
          <w:lang w:val="es-CO"/>
        </w:rPr>
        <w:t xml:space="preserve"> el Acuerdo 049 de 1990 no es la norma que puede escrutarse para verificar si el afiliado dejó causada la pensión de sobrevivientes por no ser la que antecedía a la ley 797 de 2003, que si lo es la Ley 100 de 1993 original; por lo que acertó la primera instancia en no estudiar la prestación bajo aquella norma.</w:t>
      </w:r>
    </w:p>
    <w:p w:rsidR="00E95584" w:rsidRPr="00E95584" w:rsidRDefault="00E95584" w:rsidP="00E95584">
      <w:pPr>
        <w:jc w:val="both"/>
        <w:rPr>
          <w:rFonts w:ascii="Arial" w:hAnsi="Arial" w:cs="Arial"/>
          <w:sz w:val="20"/>
          <w:szCs w:val="20"/>
          <w:lang w:val="es-CO"/>
        </w:rPr>
      </w:pPr>
    </w:p>
    <w:p w:rsidR="00E95584" w:rsidRDefault="00E95584" w:rsidP="00E95584">
      <w:pPr>
        <w:jc w:val="both"/>
        <w:rPr>
          <w:rFonts w:ascii="Arial" w:hAnsi="Arial" w:cs="Arial"/>
          <w:sz w:val="20"/>
          <w:szCs w:val="20"/>
          <w:lang w:val="es-CO"/>
        </w:rPr>
      </w:pPr>
      <w:r w:rsidRPr="00E95584">
        <w:rPr>
          <w:rFonts w:ascii="Arial" w:hAnsi="Arial" w:cs="Arial"/>
          <w:sz w:val="20"/>
          <w:szCs w:val="20"/>
          <w:lang w:val="es-CO"/>
        </w:rPr>
        <w:t>Pero esta última tampoco puede gobernar la situación del afiliado fallecido, en tanto el órgano de cierre de esta especialidad desde el año 2017 y de manera reiterada precisó que la aplicación del principio de la condición más beneficiosa no es ilimitado, sino temporal, pues su finalidad es la de proteger a aquellas personas que tenían una expectativa legítima al momento de presentarse el cambio legislativo y del fallecimiento, entendida esta como la acumulación de las semanas necesarias para acceder a la prestación</w:t>
      </w:r>
      <w:r>
        <w:rPr>
          <w:rFonts w:ascii="Arial" w:hAnsi="Arial" w:cs="Arial"/>
          <w:sz w:val="20"/>
          <w:szCs w:val="20"/>
          <w:lang w:val="es-CO"/>
        </w:rPr>
        <w:t>…</w:t>
      </w:r>
    </w:p>
    <w:p w:rsidR="00EA2110" w:rsidRDefault="00EA2110" w:rsidP="00E95584">
      <w:pPr>
        <w:jc w:val="both"/>
        <w:rPr>
          <w:rFonts w:ascii="Arial" w:hAnsi="Arial" w:cs="Arial"/>
          <w:sz w:val="20"/>
          <w:szCs w:val="20"/>
          <w:lang w:val="es-CO"/>
        </w:rPr>
      </w:pPr>
    </w:p>
    <w:p w:rsidR="00EA2110" w:rsidRPr="00EA2110" w:rsidRDefault="00EA2110" w:rsidP="00E95584">
      <w:pPr>
        <w:jc w:val="both"/>
        <w:rPr>
          <w:rFonts w:ascii="Arial" w:hAnsi="Arial" w:cs="Arial"/>
          <w:b/>
          <w:color w:val="FF0000"/>
          <w:sz w:val="20"/>
          <w:szCs w:val="20"/>
          <w:lang w:val="es-CO"/>
        </w:rPr>
      </w:pPr>
      <w:r w:rsidRPr="00EA2110">
        <w:rPr>
          <w:rFonts w:ascii="Arial" w:hAnsi="Arial" w:cs="Arial"/>
          <w:b/>
          <w:color w:val="FF0000"/>
          <w:sz w:val="20"/>
          <w:szCs w:val="20"/>
          <w:lang w:val="es-CO"/>
        </w:rPr>
        <w:t>ACLARACIÓN DE VOTO: DOCTORA ANA LUCÍA CAICEDO CALDERÓN</w:t>
      </w:r>
    </w:p>
    <w:p w:rsidR="006E231F" w:rsidRDefault="006E231F" w:rsidP="006E231F">
      <w:pPr>
        <w:jc w:val="both"/>
        <w:rPr>
          <w:rFonts w:ascii="Arial" w:hAnsi="Arial" w:cs="Arial"/>
          <w:sz w:val="20"/>
          <w:szCs w:val="20"/>
          <w:lang w:val="es-419"/>
        </w:rPr>
      </w:pPr>
    </w:p>
    <w:p w:rsidR="00EA2110" w:rsidRPr="00EA2110" w:rsidRDefault="00EA2110" w:rsidP="006E231F">
      <w:pPr>
        <w:jc w:val="both"/>
        <w:rPr>
          <w:rFonts w:ascii="Arial" w:hAnsi="Arial" w:cs="Arial"/>
          <w:sz w:val="20"/>
          <w:szCs w:val="20"/>
          <w:lang w:val="es-CO"/>
        </w:rPr>
      </w:pPr>
      <w:r>
        <w:rPr>
          <w:rFonts w:ascii="Arial" w:hAnsi="Arial" w:cs="Arial"/>
          <w:sz w:val="20"/>
          <w:szCs w:val="20"/>
          <w:lang w:val="es-CO"/>
        </w:rPr>
        <w:t xml:space="preserve">… </w:t>
      </w:r>
      <w:r w:rsidRPr="00EA2110">
        <w:rPr>
          <w:rFonts w:ascii="Arial" w:hAnsi="Arial" w:cs="Arial"/>
          <w:sz w:val="20"/>
          <w:szCs w:val="20"/>
          <w:lang w:val="es-419"/>
        </w:rPr>
        <w:t>aclaro mi voto por cuanto considero que, contrario a lo expuesto por la A-quo, el presente caso puede analizarse a la luz del Acuerdo 049 de 1.990, que si bien no es la norma inmediatamente anterior a la que regentaba la pensión de sobrevivientes al momento del óbito del causante, se acompasa al precedente la Corte Constitucional, quien a través de la sentencia SU-442 del 18 de agosto de 2016 –en la que se analizó una pensión de invalidez-, unificó los criterios en relación con la aplicación de la condición más beneficiosa, reiterando los precedentes anteriores</w:t>
      </w:r>
      <w:r>
        <w:rPr>
          <w:rFonts w:ascii="Arial" w:hAnsi="Arial" w:cs="Arial"/>
          <w:sz w:val="20"/>
          <w:szCs w:val="20"/>
          <w:lang w:val="es-CO"/>
        </w:rPr>
        <w:t>…</w:t>
      </w:r>
    </w:p>
    <w:p w:rsidR="00EA2110" w:rsidRPr="006E231F" w:rsidRDefault="00EA2110" w:rsidP="006E231F">
      <w:pPr>
        <w:jc w:val="both"/>
        <w:rPr>
          <w:rFonts w:ascii="Arial" w:hAnsi="Arial" w:cs="Arial"/>
          <w:sz w:val="20"/>
          <w:szCs w:val="20"/>
          <w:lang w:val="es-419"/>
        </w:rPr>
      </w:pPr>
    </w:p>
    <w:p w:rsidR="006E231F" w:rsidRDefault="006E231F" w:rsidP="006E231F">
      <w:pPr>
        <w:jc w:val="both"/>
        <w:rPr>
          <w:rFonts w:ascii="Arial" w:hAnsi="Arial" w:cs="Arial"/>
          <w:sz w:val="20"/>
          <w:szCs w:val="20"/>
          <w:lang w:val="es-419"/>
        </w:rPr>
      </w:pPr>
    </w:p>
    <w:p w:rsidR="006E231F" w:rsidRDefault="006E231F" w:rsidP="006E231F">
      <w:pPr>
        <w:jc w:val="both"/>
        <w:rPr>
          <w:rFonts w:ascii="Arial" w:hAnsi="Arial" w:cs="Arial"/>
          <w:sz w:val="20"/>
          <w:szCs w:val="20"/>
          <w:lang w:val="es-419"/>
        </w:rPr>
      </w:pPr>
    </w:p>
    <w:p w:rsidR="00D2586A" w:rsidRPr="006E231F" w:rsidRDefault="00D2586A" w:rsidP="006E231F">
      <w:pPr>
        <w:pStyle w:val="Ttulo4"/>
        <w:widowControl w:val="0"/>
        <w:tabs>
          <w:tab w:val="clear" w:pos="0"/>
        </w:tabs>
        <w:spacing w:line="276" w:lineRule="auto"/>
        <w:rPr>
          <w:rFonts w:ascii="Tahoma" w:hAnsi="Tahoma" w:cs="Tahoma"/>
          <w:bCs/>
          <w:szCs w:val="24"/>
          <w:lang w:eastAsia="es-MX"/>
        </w:rPr>
      </w:pPr>
      <w:r w:rsidRPr="006E231F">
        <w:rPr>
          <w:rFonts w:ascii="Tahoma" w:hAnsi="Tahoma" w:cs="Tahoma"/>
          <w:bCs/>
          <w:szCs w:val="24"/>
          <w:lang w:eastAsia="es-MX"/>
        </w:rPr>
        <w:t>TRIBUNAL SUPERIOR DEL DISTRITO JUDICIAL DE PEREIRA</w:t>
      </w:r>
    </w:p>
    <w:p w:rsidR="00D2586A" w:rsidRPr="006E231F" w:rsidRDefault="00D2586A" w:rsidP="006E231F">
      <w:pPr>
        <w:pStyle w:val="Ttulo4"/>
        <w:widowControl w:val="0"/>
        <w:tabs>
          <w:tab w:val="clear" w:pos="0"/>
        </w:tabs>
        <w:spacing w:line="276" w:lineRule="auto"/>
        <w:rPr>
          <w:rFonts w:ascii="Tahoma" w:hAnsi="Tahoma" w:cs="Tahoma"/>
          <w:bCs/>
          <w:szCs w:val="24"/>
          <w:lang w:eastAsia="es-MX"/>
        </w:rPr>
      </w:pPr>
      <w:r w:rsidRPr="006E231F">
        <w:rPr>
          <w:rFonts w:ascii="Tahoma" w:hAnsi="Tahoma" w:cs="Tahoma"/>
          <w:bCs/>
          <w:szCs w:val="24"/>
          <w:lang w:eastAsia="es-MX"/>
        </w:rPr>
        <w:t xml:space="preserve">SALA DE </w:t>
      </w:r>
      <w:proofErr w:type="spellStart"/>
      <w:r w:rsidRPr="006E231F">
        <w:rPr>
          <w:rFonts w:ascii="Tahoma" w:hAnsi="Tahoma" w:cs="Tahoma"/>
          <w:bCs/>
          <w:szCs w:val="24"/>
          <w:lang w:eastAsia="es-MX"/>
        </w:rPr>
        <w:t>DECISION</w:t>
      </w:r>
      <w:proofErr w:type="spellEnd"/>
      <w:r w:rsidRPr="006E231F">
        <w:rPr>
          <w:rFonts w:ascii="Tahoma" w:hAnsi="Tahoma" w:cs="Tahoma"/>
          <w:bCs/>
          <w:szCs w:val="24"/>
          <w:lang w:eastAsia="es-MX"/>
        </w:rPr>
        <w:t xml:space="preserve"> LABORAL No. 1</w:t>
      </w:r>
    </w:p>
    <w:p w:rsidR="00D2586A" w:rsidRPr="006E231F" w:rsidRDefault="00D2586A" w:rsidP="006E231F">
      <w:pPr>
        <w:spacing w:line="276" w:lineRule="auto"/>
        <w:jc w:val="center"/>
        <w:rPr>
          <w:rFonts w:ascii="Tahoma" w:hAnsi="Tahoma" w:cs="Tahoma"/>
          <w:bCs/>
        </w:rPr>
      </w:pPr>
    </w:p>
    <w:p w:rsidR="00D2586A" w:rsidRPr="006E231F" w:rsidRDefault="00D2586A" w:rsidP="006E231F">
      <w:pPr>
        <w:spacing w:line="276" w:lineRule="auto"/>
        <w:jc w:val="center"/>
        <w:rPr>
          <w:rFonts w:ascii="Tahoma" w:hAnsi="Tahoma" w:cs="Tahoma"/>
          <w:b/>
          <w:bCs/>
        </w:rPr>
      </w:pPr>
      <w:r w:rsidRPr="006E231F">
        <w:rPr>
          <w:rFonts w:ascii="Tahoma" w:hAnsi="Tahoma" w:cs="Tahoma"/>
          <w:bCs/>
        </w:rPr>
        <w:t>Magistrada</w:t>
      </w:r>
      <w:r w:rsidR="00025690" w:rsidRPr="006E231F">
        <w:rPr>
          <w:rFonts w:ascii="Tahoma" w:hAnsi="Tahoma" w:cs="Tahoma"/>
          <w:bCs/>
        </w:rPr>
        <w:t>s</w:t>
      </w:r>
      <w:r w:rsidRPr="006E231F">
        <w:rPr>
          <w:rFonts w:ascii="Tahoma" w:hAnsi="Tahoma" w:cs="Tahoma"/>
          <w:bCs/>
        </w:rPr>
        <w:t xml:space="preserve"> Ponente</w:t>
      </w:r>
      <w:r w:rsidR="00025690" w:rsidRPr="006E231F">
        <w:rPr>
          <w:rFonts w:ascii="Tahoma" w:hAnsi="Tahoma" w:cs="Tahoma"/>
          <w:bCs/>
        </w:rPr>
        <w:t>s</w:t>
      </w:r>
      <w:r w:rsidRPr="006E231F">
        <w:rPr>
          <w:rFonts w:ascii="Tahoma" w:hAnsi="Tahoma" w:cs="Tahoma"/>
          <w:bCs/>
        </w:rPr>
        <w:t>:</w:t>
      </w:r>
      <w:r w:rsidRPr="006E231F">
        <w:rPr>
          <w:rFonts w:ascii="Tahoma" w:hAnsi="Tahoma" w:cs="Tahoma"/>
          <w:b/>
          <w:bCs/>
        </w:rPr>
        <w:t xml:space="preserve"> Ana Lucía Caicedo Calderón</w:t>
      </w:r>
    </w:p>
    <w:p w:rsidR="00025690" w:rsidRPr="006E231F" w:rsidRDefault="00025690" w:rsidP="006E231F">
      <w:pPr>
        <w:spacing w:line="276" w:lineRule="auto"/>
        <w:rPr>
          <w:rFonts w:ascii="Tahoma" w:hAnsi="Tahoma" w:cs="Tahoma"/>
          <w:b/>
          <w:bCs/>
        </w:rPr>
      </w:pPr>
      <w:r w:rsidRPr="006E231F">
        <w:rPr>
          <w:rFonts w:ascii="Tahoma" w:hAnsi="Tahoma" w:cs="Tahoma"/>
          <w:b/>
          <w:bCs/>
        </w:rPr>
        <w:tab/>
      </w:r>
      <w:r w:rsidRPr="006E231F">
        <w:rPr>
          <w:rFonts w:ascii="Tahoma" w:hAnsi="Tahoma" w:cs="Tahoma"/>
          <w:b/>
          <w:bCs/>
        </w:rPr>
        <w:tab/>
      </w:r>
      <w:r w:rsidRPr="006E231F">
        <w:rPr>
          <w:rFonts w:ascii="Tahoma" w:hAnsi="Tahoma" w:cs="Tahoma"/>
          <w:b/>
          <w:bCs/>
        </w:rPr>
        <w:tab/>
      </w:r>
      <w:r w:rsidRPr="006E231F">
        <w:rPr>
          <w:rFonts w:ascii="Tahoma" w:hAnsi="Tahoma" w:cs="Tahoma"/>
          <w:b/>
          <w:bCs/>
        </w:rPr>
        <w:tab/>
      </w:r>
      <w:r w:rsidRPr="006E231F">
        <w:rPr>
          <w:rFonts w:ascii="Tahoma" w:hAnsi="Tahoma" w:cs="Tahoma"/>
          <w:b/>
          <w:bCs/>
        </w:rPr>
        <w:tab/>
      </w:r>
      <w:r w:rsidRPr="006E231F">
        <w:rPr>
          <w:rFonts w:ascii="Tahoma" w:hAnsi="Tahoma" w:cs="Tahoma"/>
          <w:b/>
          <w:bCs/>
        </w:rPr>
        <w:tab/>
      </w:r>
      <w:r w:rsidR="00EA27BB" w:rsidRPr="006E231F">
        <w:rPr>
          <w:rFonts w:ascii="Tahoma" w:hAnsi="Tahoma" w:cs="Tahoma"/>
          <w:b/>
          <w:bCs/>
        </w:rPr>
        <w:t xml:space="preserve"> </w:t>
      </w:r>
      <w:r w:rsidRPr="006E231F">
        <w:rPr>
          <w:rFonts w:ascii="Tahoma" w:hAnsi="Tahoma" w:cs="Tahoma"/>
          <w:b/>
          <w:bCs/>
        </w:rPr>
        <w:t>Olga Lucía Hoyos Sepúlveda</w:t>
      </w:r>
    </w:p>
    <w:p w:rsidR="00D2586A" w:rsidRPr="006E231F" w:rsidRDefault="00D2586A" w:rsidP="006E231F">
      <w:pPr>
        <w:spacing w:line="276" w:lineRule="auto"/>
        <w:jc w:val="center"/>
        <w:rPr>
          <w:rFonts w:ascii="Tahoma" w:hAnsi="Tahoma" w:cs="Tahoma"/>
          <w:b/>
          <w:bCs/>
        </w:rPr>
      </w:pPr>
    </w:p>
    <w:p w:rsidR="00D2586A" w:rsidRPr="006E231F" w:rsidRDefault="00D2586A" w:rsidP="006E231F">
      <w:pPr>
        <w:spacing w:line="276" w:lineRule="auto"/>
        <w:jc w:val="center"/>
        <w:rPr>
          <w:rFonts w:ascii="Tahoma" w:hAnsi="Tahoma" w:cs="Tahoma"/>
          <w:b/>
        </w:rPr>
      </w:pPr>
      <w:r w:rsidRPr="006E231F">
        <w:rPr>
          <w:rFonts w:ascii="Tahoma" w:hAnsi="Tahoma" w:cs="Tahoma"/>
          <w:b/>
        </w:rPr>
        <w:lastRenderedPageBreak/>
        <w:t>Acta No. ____</w:t>
      </w:r>
    </w:p>
    <w:p w:rsidR="00D2586A" w:rsidRPr="006E231F" w:rsidRDefault="00D2586A" w:rsidP="006E231F">
      <w:pPr>
        <w:spacing w:line="276" w:lineRule="auto"/>
        <w:jc w:val="center"/>
        <w:rPr>
          <w:rFonts w:ascii="Tahoma" w:hAnsi="Tahoma" w:cs="Tahoma"/>
          <w:b/>
        </w:rPr>
      </w:pPr>
      <w:r w:rsidRPr="006E231F">
        <w:rPr>
          <w:rFonts w:ascii="Tahoma" w:hAnsi="Tahoma" w:cs="Tahoma"/>
          <w:b/>
        </w:rPr>
        <w:t>(</w:t>
      </w:r>
      <w:r w:rsidR="009E70FD" w:rsidRPr="006E231F">
        <w:rPr>
          <w:rFonts w:ascii="Tahoma" w:hAnsi="Tahoma" w:cs="Tahoma"/>
          <w:b/>
        </w:rPr>
        <w:t xml:space="preserve">8 de julio </w:t>
      </w:r>
      <w:r w:rsidR="00C84D49" w:rsidRPr="006E231F">
        <w:rPr>
          <w:rFonts w:ascii="Tahoma" w:hAnsi="Tahoma" w:cs="Tahoma"/>
          <w:b/>
        </w:rPr>
        <w:t>de 2019</w:t>
      </w:r>
      <w:r w:rsidRPr="006E231F">
        <w:rPr>
          <w:rFonts w:ascii="Tahoma" w:hAnsi="Tahoma" w:cs="Tahoma"/>
          <w:b/>
        </w:rPr>
        <w:t>)</w:t>
      </w:r>
    </w:p>
    <w:p w:rsidR="00D2586A" w:rsidRPr="004D4DDE" w:rsidRDefault="00D2586A" w:rsidP="004D4DDE">
      <w:pPr>
        <w:tabs>
          <w:tab w:val="left" w:pos="0"/>
        </w:tabs>
        <w:spacing w:line="276" w:lineRule="auto"/>
        <w:jc w:val="both"/>
        <w:rPr>
          <w:rFonts w:ascii="Tahoma" w:hAnsi="Tahoma" w:cs="Tahoma"/>
        </w:rPr>
      </w:pPr>
    </w:p>
    <w:p w:rsidR="00D2586A" w:rsidRPr="006E231F" w:rsidRDefault="00D2586A" w:rsidP="006E231F">
      <w:pPr>
        <w:pStyle w:val="Ttulo5"/>
        <w:spacing w:line="276" w:lineRule="auto"/>
        <w:ind w:firstLine="0"/>
        <w:jc w:val="center"/>
        <w:rPr>
          <w:rFonts w:ascii="Tahoma" w:hAnsi="Tahoma" w:cs="Tahoma"/>
        </w:rPr>
      </w:pPr>
      <w:r w:rsidRPr="006E231F">
        <w:rPr>
          <w:rFonts w:ascii="Tahoma" w:hAnsi="Tahoma" w:cs="Tahoma"/>
        </w:rPr>
        <w:t>Sistema oral - Audiencia de juzgamiento</w:t>
      </w:r>
    </w:p>
    <w:p w:rsidR="00D2586A" w:rsidRPr="004D4DDE" w:rsidRDefault="00D2586A" w:rsidP="004D4DDE">
      <w:pPr>
        <w:tabs>
          <w:tab w:val="left" w:pos="0"/>
        </w:tabs>
        <w:spacing w:line="276" w:lineRule="auto"/>
        <w:jc w:val="both"/>
        <w:rPr>
          <w:rFonts w:ascii="Tahoma" w:hAnsi="Tahoma" w:cs="Tahoma"/>
        </w:rPr>
      </w:pPr>
      <w:r w:rsidRPr="004D4DDE">
        <w:rPr>
          <w:rFonts w:ascii="Tahoma" w:hAnsi="Tahoma" w:cs="Tahoma"/>
        </w:rPr>
        <w:tab/>
      </w:r>
    </w:p>
    <w:p w:rsidR="00D2586A" w:rsidRPr="006E231F" w:rsidRDefault="00D2586A" w:rsidP="006E231F">
      <w:pPr>
        <w:spacing w:line="276" w:lineRule="auto"/>
        <w:ind w:firstLine="708"/>
        <w:jc w:val="both"/>
        <w:rPr>
          <w:rFonts w:ascii="Tahoma" w:hAnsi="Tahoma" w:cs="Tahoma"/>
        </w:rPr>
      </w:pPr>
      <w:r w:rsidRPr="006E231F">
        <w:rPr>
          <w:rFonts w:ascii="Tahoma" w:hAnsi="Tahoma" w:cs="Tahoma"/>
          <w:lang w:val="es-ES_tradnl"/>
        </w:rPr>
        <w:t xml:space="preserve">Siendo las </w:t>
      </w:r>
      <w:r w:rsidR="009E70FD" w:rsidRPr="006E231F">
        <w:rPr>
          <w:rFonts w:ascii="Tahoma" w:hAnsi="Tahoma" w:cs="Tahoma"/>
          <w:lang w:val="es-ES_tradnl"/>
        </w:rPr>
        <w:t>9</w:t>
      </w:r>
      <w:r w:rsidRPr="006E231F">
        <w:rPr>
          <w:rFonts w:ascii="Tahoma" w:hAnsi="Tahoma" w:cs="Tahoma"/>
          <w:lang w:val="es-ES_tradnl"/>
        </w:rPr>
        <w:t>:</w:t>
      </w:r>
      <w:r w:rsidR="009E70FD" w:rsidRPr="006E231F">
        <w:rPr>
          <w:rFonts w:ascii="Tahoma" w:hAnsi="Tahoma" w:cs="Tahoma"/>
          <w:lang w:val="es-ES_tradnl"/>
        </w:rPr>
        <w:t>30</w:t>
      </w:r>
      <w:r w:rsidRPr="006E231F">
        <w:rPr>
          <w:rFonts w:ascii="Tahoma" w:hAnsi="Tahoma" w:cs="Tahoma"/>
          <w:lang w:val="es-ES_tradnl"/>
        </w:rPr>
        <w:t xml:space="preserve"> a.m. de hoy, </w:t>
      </w:r>
      <w:r w:rsidR="009E70FD" w:rsidRPr="006E231F">
        <w:rPr>
          <w:rFonts w:ascii="Tahoma" w:hAnsi="Tahoma" w:cs="Tahoma"/>
          <w:lang w:val="es-ES_tradnl"/>
        </w:rPr>
        <w:t xml:space="preserve">8 de julio </w:t>
      </w:r>
      <w:r w:rsidR="00073121" w:rsidRPr="006E231F">
        <w:rPr>
          <w:rFonts w:ascii="Tahoma" w:hAnsi="Tahoma" w:cs="Tahoma"/>
          <w:lang w:val="es-ES_tradnl"/>
        </w:rPr>
        <w:t>d</w:t>
      </w:r>
      <w:r w:rsidRPr="006E231F">
        <w:rPr>
          <w:rFonts w:ascii="Tahoma" w:hAnsi="Tahoma" w:cs="Tahoma"/>
          <w:lang w:val="es-ES_tradnl"/>
        </w:rPr>
        <w:t>e 201</w:t>
      </w:r>
      <w:r w:rsidR="00C84D49" w:rsidRPr="006E231F">
        <w:rPr>
          <w:rFonts w:ascii="Tahoma" w:hAnsi="Tahoma" w:cs="Tahoma"/>
          <w:lang w:val="es-ES_tradnl"/>
        </w:rPr>
        <w:t>9</w:t>
      </w:r>
      <w:r w:rsidRPr="006E231F">
        <w:rPr>
          <w:rFonts w:ascii="Tahoma" w:hAnsi="Tahoma" w:cs="Tahoma"/>
          <w:lang w:val="es-ES_tradnl"/>
        </w:rPr>
        <w:t xml:space="preserve">, la Sala de Decisión Laboral No. 1 del Tribunal Superior de Pereira se constituye en audiencia pública de juzgamiento en el proceso ordinario laboral instaurado por </w:t>
      </w:r>
      <w:r w:rsidR="009E70FD" w:rsidRPr="006E231F">
        <w:rPr>
          <w:rFonts w:ascii="Tahoma" w:hAnsi="Tahoma" w:cs="Tahoma"/>
          <w:b/>
          <w:lang w:val="es-ES_tradnl"/>
        </w:rPr>
        <w:t>Luz Mary Blandón Osorio</w:t>
      </w:r>
      <w:r w:rsidR="001150C3" w:rsidRPr="006E231F">
        <w:rPr>
          <w:rFonts w:ascii="Tahoma" w:hAnsi="Tahoma" w:cs="Tahoma"/>
          <w:b/>
          <w:lang w:val="es-ES_tradnl"/>
        </w:rPr>
        <w:t xml:space="preserve"> </w:t>
      </w:r>
      <w:r w:rsidRPr="006E231F">
        <w:rPr>
          <w:rFonts w:ascii="Tahoma" w:hAnsi="Tahoma" w:cs="Tahoma"/>
          <w:lang w:val="es-ES_tradnl"/>
        </w:rPr>
        <w:t xml:space="preserve">en contra de la </w:t>
      </w:r>
      <w:r w:rsidRPr="006E231F">
        <w:rPr>
          <w:rFonts w:ascii="Tahoma" w:hAnsi="Tahoma" w:cs="Tahoma"/>
          <w:b/>
          <w:lang w:val="es-ES_tradnl"/>
        </w:rPr>
        <w:t>Administradora Colombiana de Pensiones – Colpensiones</w:t>
      </w:r>
      <w:r w:rsidR="001234CC" w:rsidRPr="006E231F">
        <w:rPr>
          <w:rFonts w:ascii="Tahoma" w:hAnsi="Tahoma" w:cs="Tahoma"/>
          <w:b/>
          <w:lang w:val="es-ES_tradnl"/>
        </w:rPr>
        <w:t>.</w:t>
      </w:r>
    </w:p>
    <w:p w:rsidR="00D2586A" w:rsidRPr="006E231F" w:rsidRDefault="00D2586A" w:rsidP="006E231F">
      <w:pPr>
        <w:spacing w:line="276" w:lineRule="auto"/>
        <w:ind w:firstLine="708"/>
        <w:jc w:val="both"/>
        <w:rPr>
          <w:rFonts w:ascii="Tahoma" w:hAnsi="Tahoma" w:cs="Tahoma"/>
        </w:rPr>
      </w:pPr>
    </w:p>
    <w:p w:rsidR="00D2586A" w:rsidRPr="006E231F" w:rsidRDefault="00D2586A" w:rsidP="006E231F">
      <w:pPr>
        <w:spacing w:line="276" w:lineRule="auto"/>
        <w:ind w:firstLine="708"/>
        <w:jc w:val="both"/>
        <w:rPr>
          <w:rFonts w:ascii="Tahoma" w:hAnsi="Tahoma" w:cs="Tahoma"/>
          <w:lang w:val="es-ES_tradnl"/>
        </w:rPr>
      </w:pPr>
      <w:r w:rsidRPr="006E231F">
        <w:rPr>
          <w:rFonts w:ascii="Tahoma" w:hAnsi="Tahoma" w:cs="Tahoma"/>
          <w:lang w:val="es-ES_tradnl"/>
        </w:rPr>
        <w:t>Para el efecto, se verifica la asistencia de las partes a la presente diligencia: Por la parte demandante… Por la demandada…</w:t>
      </w:r>
    </w:p>
    <w:p w:rsidR="00D2586A" w:rsidRPr="006E231F" w:rsidRDefault="00D2586A" w:rsidP="006E231F">
      <w:pPr>
        <w:spacing w:line="276" w:lineRule="auto"/>
        <w:ind w:firstLine="1122"/>
        <w:jc w:val="both"/>
        <w:rPr>
          <w:rFonts w:ascii="Tahoma" w:hAnsi="Tahoma" w:cs="Tahoma"/>
          <w:caps/>
          <w:lang w:val="es-ES_tradnl"/>
        </w:rPr>
      </w:pPr>
    </w:p>
    <w:p w:rsidR="00D2586A" w:rsidRPr="006E231F" w:rsidRDefault="00D2586A" w:rsidP="006E231F">
      <w:pPr>
        <w:widowControl w:val="0"/>
        <w:autoSpaceDE w:val="0"/>
        <w:autoSpaceDN w:val="0"/>
        <w:adjustRightInd w:val="0"/>
        <w:spacing w:line="276" w:lineRule="auto"/>
        <w:jc w:val="center"/>
        <w:rPr>
          <w:rFonts w:ascii="Tahoma" w:hAnsi="Tahoma" w:cs="Tahoma"/>
          <w:b/>
          <w:caps/>
        </w:rPr>
      </w:pPr>
      <w:r w:rsidRPr="006E231F">
        <w:rPr>
          <w:rFonts w:ascii="Tahoma" w:hAnsi="Tahoma" w:cs="Tahoma"/>
          <w:b/>
        </w:rPr>
        <w:t>Alegatos de conclusión</w:t>
      </w:r>
    </w:p>
    <w:p w:rsidR="00D2586A" w:rsidRPr="006E231F" w:rsidRDefault="00D2586A" w:rsidP="006E231F">
      <w:pPr>
        <w:widowControl w:val="0"/>
        <w:autoSpaceDE w:val="0"/>
        <w:autoSpaceDN w:val="0"/>
        <w:adjustRightInd w:val="0"/>
        <w:spacing w:line="276" w:lineRule="auto"/>
        <w:jc w:val="both"/>
        <w:rPr>
          <w:rFonts w:ascii="Tahoma" w:hAnsi="Tahoma" w:cs="Tahoma"/>
        </w:rPr>
      </w:pPr>
    </w:p>
    <w:p w:rsidR="00D2586A" w:rsidRPr="006E231F" w:rsidRDefault="00D2586A" w:rsidP="006E231F">
      <w:pPr>
        <w:spacing w:line="276" w:lineRule="auto"/>
        <w:ind w:firstLine="708"/>
        <w:jc w:val="both"/>
        <w:rPr>
          <w:rFonts w:ascii="Tahoma" w:hAnsi="Tahoma" w:cs="Tahoma"/>
          <w:lang w:val="es-ES_tradnl"/>
        </w:rPr>
      </w:pPr>
      <w:r w:rsidRPr="006E231F">
        <w:rPr>
          <w:rFonts w:ascii="Tahoma" w:hAnsi="Tahoma" w:cs="Tahoma"/>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D2586A" w:rsidRPr="004D4DDE" w:rsidRDefault="00D2586A" w:rsidP="004D4DDE">
      <w:pPr>
        <w:tabs>
          <w:tab w:val="left" w:pos="0"/>
        </w:tabs>
        <w:spacing w:line="276" w:lineRule="auto"/>
        <w:jc w:val="both"/>
        <w:rPr>
          <w:rFonts w:ascii="Tahoma" w:hAnsi="Tahoma" w:cs="Tahoma"/>
        </w:rPr>
      </w:pPr>
    </w:p>
    <w:p w:rsidR="00D2586A" w:rsidRPr="006E231F" w:rsidRDefault="00D2586A" w:rsidP="006E231F">
      <w:pPr>
        <w:widowControl w:val="0"/>
        <w:autoSpaceDE w:val="0"/>
        <w:autoSpaceDN w:val="0"/>
        <w:adjustRightInd w:val="0"/>
        <w:spacing w:line="276" w:lineRule="auto"/>
        <w:jc w:val="center"/>
        <w:rPr>
          <w:rFonts w:ascii="Tahoma" w:hAnsi="Tahoma" w:cs="Tahoma"/>
          <w:b/>
        </w:rPr>
      </w:pPr>
      <w:r w:rsidRPr="006E231F">
        <w:rPr>
          <w:rFonts w:ascii="Tahoma" w:hAnsi="Tahoma" w:cs="Tahoma"/>
          <w:b/>
        </w:rPr>
        <w:t>SENTENCIA</w:t>
      </w:r>
    </w:p>
    <w:p w:rsidR="00D2586A" w:rsidRPr="004D4DDE" w:rsidRDefault="00D2586A" w:rsidP="004D4DDE">
      <w:pPr>
        <w:tabs>
          <w:tab w:val="left" w:pos="0"/>
        </w:tabs>
        <w:spacing w:line="276" w:lineRule="auto"/>
        <w:jc w:val="both"/>
        <w:rPr>
          <w:rFonts w:ascii="Tahoma" w:hAnsi="Tahoma" w:cs="Tahoma"/>
        </w:rPr>
      </w:pPr>
    </w:p>
    <w:p w:rsidR="00D2586A" w:rsidRPr="006E231F" w:rsidRDefault="001234CC" w:rsidP="006E231F">
      <w:pPr>
        <w:widowControl w:val="0"/>
        <w:autoSpaceDE w:val="0"/>
        <w:autoSpaceDN w:val="0"/>
        <w:adjustRightInd w:val="0"/>
        <w:spacing w:line="276" w:lineRule="auto"/>
        <w:ind w:firstLine="708"/>
        <w:jc w:val="both"/>
        <w:rPr>
          <w:rFonts w:ascii="Tahoma" w:hAnsi="Tahoma" w:cs="Tahoma"/>
        </w:rPr>
      </w:pPr>
      <w:r w:rsidRPr="006E231F">
        <w:rPr>
          <w:rFonts w:ascii="Tahoma" w:hAnsi="Tahoma" w:cs="Tahoma"/>
        </w:rPr>
        <w:t xml:space="preserve">Como quiera que los alegatos coinciden a cabalidad con los puntos fácticos y jurídicos objeto de discusión en esta instancia, </w:t>
      </w:r>
      <w:r w:rsidR="00D2586A" w:rsidRPr="006E231F">
        <w:rPr>
          <w:rFonts w:ascii="Tahoma" w:hAnsi="Tahoma" w:cs="Tahoma"/>
        </w:rPr>
        <w:t>procede la Sala a re</w:t>
      </w:r>
      <w:r w:rsidR="009E70FD" w:rsidRPr="006E231F">
        <w:rPr>
          <w:rFonts w:ascii="Tahoma" w:hAnsi="Tahoma" w:cs="Tahoma"/>
        </w:rPr>
        <w:t xml:space="preserve">visar en sede de consulta </w:t>
      </w:r>
      <w:r w:rsidR="001150C3" w:rsidRPr="006E231F">
        <w:rPr>
          <w:rFonts w:ascii="Tahoma" w:hAnsi="Tahoma" w:cs="Tahoma"/>
        </w:rPr>
        <w:t xml:space="preserve">la </w:t>
      </w:r>
      <w:r w:rsidR="00D2586A" w:rsidRPr="006E231F">
        <w:rPr>
          <w:rFonts w:ascii="Tahoma" w:hAnsi="Tahoma" w:cs="Tahoma"/>
        </w:rPr>
        <w:t xml:space="preserve">sentencia emitida por el Juzgado </w:t>
      </w:r>
      <w:r w:rsidR="009E70FD" w:rsidRPr="006E231F">
        <w:rPr>
          <w:rFonts w:ascii="Tahoma" w:hAnsi="Tahoma" w:cs="Tahoma"/>
        </w:rPr>
        <w:t xml:space="preserve">Segundo </w:t>
      </w:r>
      <w:r w:rsidR="00D2586A" w:rsidRPr="006E231F">
        <w:rPr>
          <w:rFonts w:ascii="Tahoma" w:hAnsi="Tahoma" w:cs="Tahoma"/>
        </w:rPr>
        <w:t>Laboral del Circuito de Pereira el</w:t>
      </w:r>
      <w:r w:rsidR="00000247" w:rsidRPr="006E231F">
        <w:rPr>
          <w:rFonts w:ascii="Tahoma" w:hAnsi="Tahoma" w:cs="Tahoma"/>
        </w:rPr>
        <w:t xml:space="preserve"> 3</w:t>
      </w:r>
      <w:r w:rsidR="00D2586A" w:rsidRPr="006E231F">
        <w:rPr>
          <w:rFonts w:ascii="Tahoma" w:hAnsi="Tahoma" w:cs="Tahoma"/>
        </w:rPr>
        <w:t xml:space="preserve"> </w:t>
      </w:r>
      <w:r w:rsidR="00000247" w:rsidRPr="006E231F">
        <w:rPr>
          <w:rFonts w:ascii="Tahoma" w:hAnsi="Tahoma" w:cs="Tahoma"/>
        </w:rPr>
        <w:t xml:space="preserve">de agosto </w:t>
      </w:r>
      <w:r w:rsidRPr="006E231F">
        <w:rPr>
          <w:rFonts w:ascii="Tahoma" w:hAnsi="Tahoma" w:cs="Tahoma"/>
        </w:rPr>
        <w:t xml:space="preserve">de </w:t>
      </w:r>
      <w:r w:rsidR="00C84D49" w:rsidRPr="006E231F">
        <w:rPr>
          <w:rFonts w:ascii="Tahoma" w:hAnsi="Tahoma" w:cs="Tahoma"/>
        </w:rPr>
        <w:t>2018</w:t>
      </w:r>
      <w:r w:rsidR="00D2586A" w:rsidRPr="006E231F">
        <w:rPr>
          <w:rFonts w:ascii="Tahoma" w:hAnsi="Tahoma" w:cs="Tahoma"/>
        </w:rPr>
        <w:t>, dentro del proceso ordinario laboral reseñado con anterioridad.</w:t>
      </w:r>
    </w:p>
    <w:p w:rsidR="00D05E85" w:rsidRPr="006E231F" w:rsidRDefault="00D05E85" w:rsidP="004D4DDE">
      <w:pPr>
        <w:tabs>
          <w:tab w:val="left" w:pos="0"/>
        </w:tabs>
        <w:spacing w:line="276" w:lineRule="auto"/>
        <w:jc w:val="both"/>
        <w:rPr>
          <w:rFonts w:ascii="Tahoma" w:hAnsi="Tahoma" w:cs="Tahoma"/>
        </w:rPr>
      </w:pPr>
    </w:p>
    <w:p w:rsidR="00D2586A" w:rsidRPr="006E231F" w:rsidRDefault="00D2586A" w:rsidP="006E231F">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caps/>
        </w:rPr>
      </w:pPr>
      <w:r w:rsidRPr="006E231F">
        <w:rPr>
          <w:rFonts w:ascii="Tahoma" w:hAnsi="Tahoma" w:cs="Tahoma"/>
          <w:b/>
        </w:rPr>
        <w:t>La demanda y su contestación</w:t>
      </w:r>
    </w:p>
    <w:p w:rsidR="0052357B" w:rsidRPr="006E231F" w:rsidRDefault="0052357B" w:rsidP="006E231F">
      <w:pPr>
        <w:widowControl w:val="0"/>
        <w:tabs>
          <w:tab w:val="left" w:pos="561"/>
          <w:tab w:val="left" w:pos="935"/>
        </w:tabs>
        <w:autoSpaceDE w:val="0"/>
        <w:autoSpaceDN w:val="0"/>
        <w:adjustRightInd w:val="0"/>
        <w:spacing w:line="276" w:lineRule="auto"/>
        <w:rPr>
          <w:rFonts w:ascii="Tahoma" w:hAnsi="Tahoma" w:cs="Tahoma"/>
          <w:b/>
          <w:caps/>
        </w:rPr>
      </w:pPr>
    </w:p>
    <w:p w:rsidR="003D0BDD" w:rsidRPr="006E231F" w:rsidRDefault="001D7AE7" w:rsidP="006E231F">
      <w:pPr>
        <w:widowControl w:val="0"/>
        <w:tabs>
          <w:tab w:val="left" w:pos="561"/>
          <w:tab w:val="left" w:pos="709"/>
          <w:tab w:val="left" w:pos="1065"/>
        </w:tabs>
        <w:autoSpaceDE w:val="0"/>
        <w:autoSpaceDN w:val="0"/>
        <w:adjustRightInd w:val="0"/>
        <w:spacing w:line="276" w:lineRule="auto"/>
        <w:jc w:val="both"/>
        <w:rPr>
          <w:rFonts w:ascii="Tahoma" w:hAnsi="Tahoma" w:cs="Tahoma"/>
        </w:rPr>
      </w:pPr>
      <w:r w:rsidRPr="006E231F">
        <w:rPr>
          <w:rFonts w:ascii="Tahoma" w:hAnsi="Tahoma" w:cs="Tahoma"/>
          <w:b/>
          <w:caps/>
        </w:rPr>
        <w:tab/>
      </w:r>
      <w:r w:rsidRPr="006E231F">
        <w:rPr>
          <w:rFonts w:ascii="Tahoma" w:hAnsi="Tahoma" w:cs="Tahoma"/>
          <w:b/>
          <w:caps/>
        </w:rPr>
        <w:tab/>
      </w:r>
      <w:r w:rsidR="00FA5206" w:rsidRPr="006E231F">
        <w:rPr>
          <w:rFonts w:ascii="Tahoma" w:hAnsi="Tahoma" w:cs="Tahoma"/>
        </w:rPr>
        <w:t>La</w:t>
      </w:r>
      <w:r w:rsidR="00FA5206" w:rsidRPr="006E231F">
        <w:rPr>
          <w:rFonts w:ascii="Tahoma" w:hAnsi="Tahoma" w:cs="Tahoma"/>
          <w:b/>
        </w:rPr>
        <w:t xml:space="preserve"> </w:t>
      </w:r>
      <w:r w:rsidR="00FA5206" w:rsidRPr="006E231F">
        <w:rPr>
          <w:rFonts w:ascii="Tahoma" w:hAnsi="Tahoma" w:cs="Tahoma"/>
        </w:rPr>
        <w:t xml:space="preserve">citada demandante </w:t>
      </w:r>
      <w:r w:rsidR="003D0BDD" w:rsidRPr="006E231F">
        <w:rPr>
          <w:rFonts w:ascii="Tahoma" w:hAnsi="Tahoma" w:cs="Tahoma"/>
        </w:rPr>
        <w:t>solicita que se condene a Colpensiones, previa declaración del derecho, a reconocerle y pagarle la pensión de sobrevivientes desde el 25 de abril de 2003, más los intereses moratorios, las costas procesales y lo que resulte probado extra y ultra petita.</w:t>
      </w:r>
    </w:p>
    <w:p w:rsidR="003D0BDD" w:rsidRPr="006E231F" w:rsidRDefault="003D0BDD" w:rsidP="006E231F">
      <w:pPr>
        <w:widowControl w:val="0"/>
        <w:tabs>
          <w:tab w:val="left" w:pos="561"/>
          <w:tab w:val="left" w:pos="709"/>
          <w:tab w:val="left" w:pos="1065"/>
        </w:tabs>
        <w:autoSpaceDE w:val="0"/>
        <w:autoSpaceDN w:val="0"/>
        <w:adjustRightInd w:val="0"/>
        <w:spacing w:line="276" w:lineRule="auto"/>
        <w:jc w:val="both"/>
        <w:rPr>
          <w:rFonts w:ascii="Tahoma" w:hAnsi="Tahoma" w:cs="Tahoma"/>
        </w:rPr>
      </w:pPr>
    </w:p>
    <w:p w:rsidR="00480A32" w:rsidRPr="006E231F" w:rsidRDefault="00276F99" w:rsidP="006E231F">
      <w:pPr>
        <w:widowControl w:val="0"/>
        <w:tabs>
          <w:tab w:val="left" w:pos="561"/>
          <w:tab w:val="left" w:pos="709"/>
          <w:tab w:val="left" w:pos="1065"/>
        </w:tabs>
        <w:autoSpaceDE w:val="0"/>
        <w:autoSpaceDN w:val="0"/>
        <w:adjustRightInd w:val="0"/>
        <w:spacing w:line="276" w:lineRule="auto"/>
        <w:jc w:val="both"/>
        <w:rPr>
          <w:rFonts w:ascii="Tahoma" w:hAnsi="Tahoma" w:cs="Tahoma"/>
        </w:rPr>
      </w:pPr>
      <w:r w:rsidRPr="006E231F">
        <w:rPr>
          <w:rFonts w:ascii="Tahoma" w:hAnsi="Tahoma" w:cs="Tahoma"/>
        </w:rPr>
        <w:tab/>
      </w:r>
      <w:r w:rsidR="00F95619" w:rsidRPr="006E231F">
        <w:rPr>
          <w:rFonts w:ascii="Tahoma" w:hAnsi="Tahoma" w:cs="Tahoma"/>
        </w:rPr>
        <w:tab/>
      </w:r>
      <w:r w:rsidRPr="006E231F">
        <w:rPr>
          <w:rFonts w:ascii="Tahoma" w:hAnsi="Tahoma" w:cs="Tahoma"/>
        </w:rPr>
        <w:t>Funda dichas pretensiones aduciendo que</w:t>
      </w:r>
      <w:r w:rsidR="00480A32" w:rsidRPr="006E231F">
        <w:rPr>
          <w:rFonts w:ascii="Tahoma" w:hAnsi="Tahoma" w:cs="Tahoma"/>
        </w:rPr>
        <w:t xml:space="preserve"> tuvo una unión marital de hecho con el señor Carlos </w:t>
      </w:r>
      <w:proofErr w:type="spellStart"/>
      <w:r w:rsidR="00480A32" w:rsidRPr="006E231F">
        <w:rPr>
          <w:rFonts w:ascii="Tahoma" w:hAnsi="Tahoma" w:cs="Tahoma"/>
        </w:rPr>
        <w:t>Asdrubal</w:t>
      </w:r>
      <w:proofErr w:type="spellEnd"/>
      <w:r w:rsidR="00480A32" w:rsidRPr="006E231F">
        <w:rPr>
          <w:rFonts w:ascii="Tahoma" w:hAnsi="Tahoma" w:cs="Tahoma"/>
        </w:rPr>
        <w:t xml:space="preserve"> Ardila desde el 10 de enero de 1980 hasta el 20 de marzo de 1999, fecha en la que contrajeron matrimonio católico.</w:t>
      </w:r>
    </w:p>
    <w:p w:rsidR="00480A32" w:rsidRPr="006E231F" w:rsidRDefault="00480A32" w:rsidP="006E231F">
      <w:pPr>
        <w:widowControl w:val="0"/>
        <w:tabs>
          <w:tab w:val="left" w:pos="561"/>
          <w:tab w:val="left" w:pos="709"/>
          <w:tab w:val="left" w:pos="1065"/>
        </w:tabs>
        <w:autoSpaceDE w:val="0"/>
        <w:autoSpaceDN w:val="0"/>
        <w:adjustRightInd w:val="0"/>
        <w:spacing w:line="276" w:lineRule="auto"/>
        <w:jc w:val="both"/>
        <w:rPr>
          <w:rFonts w:ascii="Tahoma" w:hAnsi="Tahoma" w:cs="Tahoma"/>
        </w:rPr>
      </w:pPr>
    </w:p>
    <w:p w:rsidR="00106F85" w:rsidRPr="006E231F" w:rsidRDefault="00480A32" w:rsidP="006E231F">
      <w:pPr>
        <w:widowControl w:val="0"/>
        <w:tabs>
          <w:tab w:val="left" w:pos="561"/>
          <w:tab w:val="left" w:pos="709"/>
          <w:tab w:val="left" w:pos="1065"/>
        </w:tabs>
        <w:autoSpaceDE w:val="0"/>
        <w:autoSpaceDN w:val="0"/>
        <w:adjustRightInd w:val="0"/>
        <w:spacing w:line="276" w:lineRule="auto"/>
        <w:jc w:val="both"/>
        <w:rPr>
          <w:rFonts w:ascii="Tahoma" w:hAnsi="Tahoma" w:cs="Tahoma"/>
        </w:rPr>
      </w:pPr>
      <w:r w:rsidRPr="006E231F">
        <w:rPr>
          <w:rFonts w:ascii="Tahoma" w:hAnsi="Tahoma" w:cs="Tahoma"/>
        </w:rPr>
        <w:tab/>
        <w:t xml:space="preserve">Señala que el </w:t>
      </w:r>
      <w:r w:rsidR="00106F85" w:rsidRPr="006E231F">
        <w:rPr>
          <w:rFonts w:ascii="Tahoma" w:hAnsi="Tahoma" w:cs="Tahoma"/>
        </w:rPr>
        <w:t xml:space="preserve">25 de abril de 2003 falleció el señor Ardila, quien se encontraba afiliado al momento de su muerte al </w:t>
      </w:r>
      <w:proofErr w:type="spellStart"/>
      <w:r w:rsidR="00106F85" w:rsidRPr="006E231F">
        <w:rPr>
          <w:rFonts w:ascii="Tahoma" w:hAnsi="Tahoma" w:cs="Tahoma"/>
        </w:rPr>
        <w:t>I.S.S</w:t>
      </w:r>
      <w:proofErr w:type="spellEnd"/>
      <w:r w:rsidR="00106F85" w:rsidRPr="006E231F">
        <w:rPr>
          <w:rFonts w:ascii="Tahoma" w:hAnsi="Tahoma" w:cs="Tahoma"/>
        </w:rPr>
        <w:t>.</w:t>
      </w:r>
      <w:r w:rsidRPr="006E231F">
        <w:rPr>
          <w:rFonts w:ascii="Tahoma" w:hAnsi="Tahoma" w:cs="Tahoma"/>
        </w:rPr>
        <w:t xml:space="preserve"> y acreditó un total de 441 semanas.</w:t>
      </w:r>
    </w:p>
    <w:p w:rsidR="00480A32" w:rsidRPr="006E231F" w:rsidRDefault="00480A32" w:rsidP="006E231F">
      <w:pPr>
        <w:widowControl w:val="0"/>
        <w:tabs>
          <w:tab w:val="left" w:pos="561"/>
          <w:tab w:val="left" w:pos="709"/>
          <w:tab w:val="left" w:pos="1065"/>
        </w:tabs>
        <w:autoSpaceDE w:val="0"/>
        <w:autoSpaceDN w:val="0"/>
        <w:adjustRightInd w:val="0"/>
        <w:spacing w:line="276" w:lineRule="auto"/>
        <w:jc w:val="both"/>
        <w:rPr>
          <w:rFonts w:ascii="Tahoma" w:hAnsi="Tahoma" w:cs="Tahoma"/>
        </w:rPr>
      </w:pPr>
    </w:p>
    <w:p w:rsidR="00480A32" w:rsidRPr="006E231F" w:rsidRDefault="00480A32" w:rsidP="006E231F">
      <w:pPr>
        <w:widowControl w:val="0"/>
        <w:tabs>
          <w:tab w:val="left" w:pos="561"/>
          <w:tab w:val="left" w:pos="709"/>
          <w:tab w:val="left" w:pos="1065"/>
        </w:tabs>
        <w:autoSpaceDE w:val="0"/>
        <w:autoSpaceDN w:val="0"/>
        <w:adjustRightInd w:val="0"/>
        <w:spacing w:line="276" w:lineRule="auto"/>
        <w:jc w:val="both"/>
        <w:rPr>
          <w:rFonts w:ascii="Tahoma" w:hAnsi="Tahoma" w:cs="Tahoma"/>
        </w:rPr>
      </w:pPr>
      <w:r w:rsidRPr="006E231F">
        <w:rPr>
          <w:rFonts w:ascii="Tahoma" w:hAnsi="Tahoma" w:cs="Tahoma"/>
        </w:rPr>
        <w:tab/>
        <w:t xml:space="preserve">Afirma que el 24 de abril de 2015 solicitó ante Colpensiones el reconocimiento de la pensión de sobrevivientes, misma que le fue negada a través de la Resolución </w:t>
      </w:r>
      <w:proofErr w:type="spellStart"/>
      <w:r w:rsidRPr="006E231F">
        <w:rPr>
          <w:rFonts w:ascii="Tahoma" w:hAnsi="Tahoma" w:cs="Tahoma"/>
        </w:rPr>
        <w:t>GNR</w:t>
      </w:r>
      <w:proofErr w:type="spellEnd"/>
      <w:r w:rsidRPr="006E231F">
        <w:rPr>
          <w:rFonts w:ascii="Tahoma" w:hAnsi="Tahoma" w:cs="Tahoma"/>
        </w:rPr>
        <w:t xml:space="preserve"> 206942 del 11 de julio de la misma anualidad.</w:t>
      </w:r>
    </w:p>
    <w:p w:rsidR="00480A32" w:rsidRPr="006E231F" w:rsidRDefault="00480A32" w:rsidP="006E231F">
      <w:pPr>
        <w:widowControl w:val="0"/>
        <w:tabs>
          <w:tab w:val="left" w:pos="561"/>
          <w:tab w:val="left" w:pos="709"/>
          <w:tab w:val="left" w:pos="1065"/>
        </w:tabs>
        <w:autoSpaceDE w:val="0"/>
        <w:autoSpaceDN w:val="0"/>
        <w:adjustRightInd w:val="0"/>
        <w:spacing w:line="276" w:lineRule="auto"/>
        <w:jc w:val="both"/>
        <w:rPr>
          <w:rFonts w:ascii="Tahoma" w:hAnsi="Tahoma" w:cs="Tahoma"/>
        </w:rPr>
      </w:pPr>
      <w:r w:rsidRPr="006E231F">
        <w:rPr>
          <w:rFonts w:ascii="Tahoma" w:hAnsi="Tahoma" w:cs="Tahoma"/>
        </w:rPr>
        <w:lastRenderedPageBreak/>
        <w:tab/>
      </w:r>
    </w:p>
    <w:p w:rsidR="00480A32" w:rsidRPr="006E231F" w:rsidRDefault="00480A32" w:rsidP="006E231F">
      <w:pPr>
        <w:widowControl w:val="0"/>
        <w:tabs>
          <w:tab w:val="left" w:pos="561"/>
          <w:tab w:val="left" w:pos="709"/>
          <w:tab w:val="left" w:pos="1065"/>
        </w:tabs>
        <w:autoSpaceDE w:val="0"/>
        <w:autoSpaceDN w:val="0"/>
        <w:adjustRightInd w:val="0"/>
        <w:spacing w:line="276" w:lineRule="auto"/>
        <w:jc w:val="both"/>
        <w:rPr>
          <w:rFonts w:ascii="Tahoma" w:hAnsi="Tahoma" w:cs="Tahoma"/>
        </w:rPr>
      </w:pPr>
      <w:r w:rsidRPr="006E231F">
        <w:rPr>
          <w:rFonts w:ascii="Tahoma" w:hAnsi="Tahoma" w:cs="Tahoma"/>
        </w:rPr>
        <w:tab/>
        <w:t>Por último refiere que a través de</w:t>
      </w:r>
      <w:r w:rsidR="00EA27BB" w:rsidRPr="006E231F">
        <w:rPr>
          <w:rFonts w:ascii="Tahoma" w:hAnsi="Tahoma" w:cs="Tahoma"/>
        </w:rPr>
        <w:t xml:space="preserve"> la Resolución </w:t>
      </w:r>
      <w:proofErr w:type="spellStart"/>
      <w:r w:rsidR="00EA27BB" w:rsidRPr="006E231F">
        <w:rPr>
          <w:rFonts w:ascii="Tahoma" w:hAnsi="Tahoma" w:cs="Tahoma"/>
        </w:rPr>
        <w:t>GNR</w:t>
      </w:r>
      <w:proofErr w:type="spellEnd"/>
      <w:r w:rsidR="00EA27BB" w:rsidRPr="006E231F">
        <w:rPr>
          <w:rFonts w:ascii="Tahoma" w:hAnsi="Tahoma" w:cs="Tahoma"/>
        </w:rPr>
        <w:t xml:space="preserve"> 335570 del 27</w:t>
      </w:r>
      <w:r w:rsidRPr="006E231F">
        <w:rPr>
          <w:rFonts w:ascii="Tahoma" w:hAnsi="Tahoma" w:cs="Tahoma"/>
        </w:rPr>
        <w:t xml:space="preserve"> de octubre de 2015 se negó el reconocimiento y pago de la indemnización sustitutiva de la pensión de sobrevivientes; acto que fue confirmado por medio de la Resolución 180936 del 20 de junio de 2016.</w:t>
      </w:r>
    </w:p>
    <w:p w:rsidR="00106F85" w:rsidRPr="006E231F" w:rsidRDefault="00106F85" w:rsidP="006E231F">
      <w:pPr>
        <w:widowControl w:val="0"/>
        <w:tabs>
          <w:tab w:val="left" w:pos="561"/>
          <w:tab w:val="left" w:pos="709"/>
          <w:tab w:val="left" w:pos="1065"/>
        </w:tabs>
        <w:autoSpaceDE w:val="0"/>
        <w:autoSpaceDN w:val="0"/>
        <w:adjustRightInd w:val="0"/>
        <w:spacing w:line="276" w:lineRule="auto"/>
        <w:jc w:val="both"/>
        <w:rPr>
          <w:rFonts w:ascii="Tahoma" w:hAnsi="Tahoma" w:cs="Tahoma"/>
        </w:rPr>
      </w:pPr>
    </w:p>
    <w:p w:rsidR="00B51FC4" w:rsidRPr="006E231F" w:rsidRDefault="00480A32" w:rsidP="006E231F">
      <w:pPr>
        <w:widowControl w:val="0"/>
        <w:tabs>
          <w:tab w:val="left" w:pos="561"/>
          <w:tab w:val="left" w:pos="709"/>
          <w:tab w:val="left" w:pos="1065"/>
        </w:tabs>
        <w:autoSpaceDE w:val="0"/>
        <w:autoSpaceDN w:val="0"/>
        <w:adjustRightInd w:val="0"/>
        <w:spacing w:line="276" w:lineRule="auto"/>
        <w:jc w:val="both"/>
        <w:rPr>
          <w:rFonts w:ascii="Tahoma" w:hAnsi="Tahoma" w:cs="Tahoma"/>
        </w:rPr>
      </w:pPr>
      <w:r w:rsidRPr="006E231F">
        <w:rPr>
          <w:rFonts w:ascii="Tahoma" w:hAnsi="Tahoma" w:cs="Tahoma"/>
        </w:rPr>
        <w:tab/>
      </w:r>
      <w:r w:rsidR="00CE03F9" w:rsidRPr="006E231F">
        <w:rPr>
          <w:rFonts w:ascii="Tahoma" w:hAnsi="Tahoma" w:cs="Tahoma"/>
        </w:rPr>
        <w:t xml:space="preserve">Colpensiones </w:t>
      </w:r>
      <w:r w:rsidR="00B51FC4" w:rsidRPr="006E231F">
        <w:rPr>
          <w:rFonts w:ascii="Tahoma" w:hAnsi="Tahoma" w:cs="Tahoma"/>
        </w:rPr>
        <w:t xml:space="preserve">se opuso a las pretensiones de la demanda aduciendo que al haber fallecido el causante en vigencia de la Ley 797 de 2003 no era posible remitirse al Acuerdo 049 de 1990 apelando a la aplicación del </w:t>
      </w:r>
      <w:r w:rsidR="00EA27BB" w:rsidRPr="006E231F">
        <w:rPr>
          <w:rFonts w:ascii="Tahoma" w:hAnsi="Tahoma" w:cs="Tahoma"/>
        </w:rPr>
        <w:t>principio</w:t>
      </w:r>
      <w:r w:rsidR="00B51FC4" w:rsidRPr="006E231F">
        <w:rPr>
          <w:rFonts w:ascii="Tahoma" w:hAnsi="Tahoma" w:cs="Tahoma"/>
        </w:rPr>
        <w:t xml:space="preserve"> de la condición más beneficiosa. En consecuencia, propuso las excepciones perentorias que </w:t>
      </w:r>
      <w:proofErr w:type="gramStart"/>
      <w:r w:rsidR="00B51FC4" w:rsidRPr="006E231F">
        <w:rPr>
          <w:rFonts w:ascii="Tahoma" w:hAnsi="Tahoma" w:cs="Tahoma"/>
        </w:rPr>
        <w:t>denominó</w:t>
      </w:r>
      <w:proofErr w:type="gramEnd"/>
      <w:r w:rsidR="00B51FC4" w:rsidRPr="006E231F">
        <w:rPr>
          <w:rFonts w:ascii="Tahoma" w:hAnsi="Tahoma" w:cs="Tahoma"/>
        </w:rPr>
        <w:t xml:space="preserve"> “Inexistencia de la obligación y cobro de lo no debido”, “Buena fe”; “Imposibilidad jurídica para cumplir con las obligaciones pretendidas” y “Prescripción”.</w:t>
      </w:r>
    </w:p>
    <w:p w:rsidR="00B51FC4" w:rsidRPr="006E231F" w:rsidRDefault="00B51FC4" w:rsidP="004D4DDE">
      <w:pPr>
        <w:tabs>
          <w:tab w:val="left" w:pos="0"/>
        </w:tabs>
        <w:spacing w:line="276" w:lineRule="auto"/>
        <w:jc w:val="both"/>
        <w:rPr>
          <w:rFonts w:ascii="Tahoma" w:hAnsi="Tahoma" w:cs="Tahoma"/>
        </w:rPr>
      </w:pPr>
    </w:p>
    <w:p w:rsidR="00D2586A" w:rsidRPr="006E231F" w:rsidRDefault="00D2586A" w:rsidP="006E231F">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caps/>
        </w:rPr>
      </w:pPr>
      <w:r w:rsidRPr="006E231F">
        <w:rPr>
          <w:rFonts w:ascii="Tahoma" w:hAnsi="Tahoma" w:cs="Tahoma"/>
          <w:b/>
        </w:rPr>
        <w:t>La sentencia de primera instancia</w:t>
      </w:r>
    </w:p>
    <w:p w:rsidR="00D2586A" w:rsidRPr="004D4DDE" w:rsidRDefault="00D2586A" w:rsidP="004D4DDE">
      <w:pPr>
        <w:tabs>
          <w:tab w:val="left" w:pos="0"/>
        </w:tabs>
        <w:spacing w:line="276" w:lineRule="auto"/>
        <w:jc w:val="both"/>
        <w:rPr>
          <w:rFonts w:ascii="Tahoma" w:hAnsi="Tahoma" w:cs="Tahoma"/>
        </w:rPr>
      </w:pPr>
    </w:p>
    <w:p w:rsidR="00B47560" w:rsidRPr="006E231F" w:rsidRDefault="00D2586A" w:rsidP="006E231F">
      <w:pPr>
        <w:tabs>
          <w:tab w:val="left" w:pos="748"/>
        </w:tabs>
        <w:spacing w:line="276" w:lineRule="auto"/>
        <w:jc w:val="both"/>
        <w:rPr>
          <w:rFonts w:ascii="Tahoma" w:hAnsi="Tahoma" w:cs="Tahoma"/>
        </w:rPr>
      </w:pPr>
      <w:r w:rsidRPr="006E231F">
        <w:rPr>
          <w:rFonts w:ascii="Tahoma" w:hAnsi="Tahoma" w:cs="Tahoma"/>
        </w:rPr>
        <w:tab/>
        <w:t xml:space="preserve">La Jueza de conocimiento </w:t>
      </w:r>
      <w:r w:rsidR="00B47560" w:rsidRPr="006E231F">
        <w:rPr>
          <w:rFonts w:ascii="Tahoma" w:hAnsi="Tahoma" w:cs="Tahoma"/>
        </w:rPr>
        <w:t>absolvió a Colpensiones de las pretensiones contenidas en la demanda propuesta por la señora Luz Mary Blandón, a quien condenó al pago de las costas procesales en un 100%.</w:t>
      </w:r>
    </w:p>
    <w:p w:rsidR="00B47560" w:rsidRPr="006E231F" w:rsidRDefault="00B47560" w:rsidP="006E231F">
      <w:pPr>
        <w:tabs>
          <w:tab w:val="left" w:pos="748"/>
        </w:tabs>
        <w:spacing w:line="276" w:lineRule="auto"/>
        <w:jc w:val="both"/>
        <w:rPr>
          <w:rFonts w:ascii="Tahoma" w:hAnsi="Tahoma" w:cs="Tahoma"/>
        </w:rPr>
      </w:pPr>
    </w:p>
    <w:p w:rsidR="00B71F86" w:rsidRPr="006E231F" w:rsidRDefault="003E752B" w:rsidP="006E231F">
      <w:pPr>
        <w:tabs>
          <w:tab w:val="left" w:pos="748"/>
        </w:tabs>
        <w:spacing w:line="276" w:lineRule="auto"/>
        <w:jc w:val="both"/>
        <w:rPr>
          <w:rFonts w:ascii="Tahoma" w:hAnsi="Tahoma" w:cs="Tahoma"/>
        </w:rPr>
      </w:pPr>
      <w:r w:rsidRPr="006E231F">
        <w:rPr>
          <w:rFonts w:ascii="Tahoma" w:hAnsi="Tahoma" w:cs="Tahoma"/>
        </w:rPr>
        <w:tab/>
      </w:r>
      <w:r w:rsidR="00FC36AC" w:rsidRPr="006E231F">
        <w:rPr>
          <w:rFonts w:ascii="Tahoma" w:hAnsi="Tahoma" w:cs="Tahoma"/>
        </w:rPr>
        <w:t xml:space="preserve">Para llegar a tal determinación la A-quo consideró que </w:t>
      </w:r>
      <w:r w:rsidR="00B71F86" w:rsidRPr="006E231F">
        <w:rPr>
          <w:rFonts w:ascii="Tahoma" w:hAnsi="Tahoma" w:cs="Tahoma"/>
        </w:rPr>
        <w:t xml:space="preserve">el señor Carlos </w:t>
      </w:r>
      <w:proofErr w:type="spellStart"/>
      <w:r w:rsidR="00B71F86" w:rsidRPr="006E231F">
        <w:rPr>
          <w:rFonts w:ascii="Tahoma" w:hAnsi="Tahoma" w:cs="Tahoma"/>
        </w:rPr>
        <w:t>Asdrubal</w:t>
      </w:r>
      <w:proofErr w:type="spellEnd"/>
      <w:r w:rsidR="00B71F86" w:rsidRPr="006E231F">
        <w:rPr>
          <w:rFonts w:ascii="Tahoma" w:hAnsi="Tahoma" w:cs="Tahoma"/>
        </w:rPr>
        <w:t xml:space="preserve"> Ardila no dejó causada la pensión de sobrevivientes en razón a que carecía de las semanas exigidas en la Ley 797 de 2003, vigente al momento de su deceso, así como de los requisitos enmarcados en la redacción original del artículo 46 de la Ley 100 de 1993, sin que fuera posible remitirse al contenido del Acuerdo 049 de 1990, en virtud del principio de la condición más beneficiosa, pues de conformidad con la jurisprudencia de la Corte Suprema de Justicia, acogida por este Tribunal, no era posible hacer una búsqueda histórica de las normas que regularon la materia.</w:t>
      </w:r>
    </w:p>
    <w:p w:rsidR="00B71F86" w:rsidRPr="006E231F" w:rsidRDefault="00B71F86" w:rsidP="006E231F">
      <w:pPr>
        <w:tabs>
          <w:tab w:val="left" w:pos="748"/>
        </w:tabs>
        <w:spacing w:line="276" w:lineRule="auto"/>
        <w:jc w:val="both"/>
        <w:rPr>
          <w:rFonts w:ascii="Tahoma" w:hAnsi="Tahoma" w:cs="Tahoma"/>
        </w:rPr>
      </w:pPr>
    </w:p>
    <w:p w:rsidR="00B71F86" w:rsidRPr="006E231F" w:rsidRDefault="00B71F86" w:rsidP="006E231F">
      <w:pPr>
        <w:tabs>
          <w:tab w:val="left" w:pos="748"/>
        </w:tabs>
        <w:spacing w:line="276" w:lineRule="auto"/>
        <w:jc w:val="both"/>
        <w:rPr>
          <w:rFonts w:ascii="Tahoma" w:hAnsi="Tahoma" w:cs="Tahoma"/>
        </w:rPr>
      </w:pPr>
      <w:r w:rsidRPr="006E231F">
        <w:rPr>
          <w:rFonts w:ascii="Tahoma" w:hAnsi="Tahoma" w:cs="Tahoma"/>
        </w:rPr>
        <w:tab/>
        <w:t>Agregó que si en gracia de discusión se acudiera al referido acuerdo a efectos de realizar el estudio de la prestación deprecada, tampoco cumpliría los requisitos de dicha normativa con las cotizaciones efectuadas en el Instituto de Seguros Sociales, sin que fuera posible acumular para tal efecto las realizadas en el sector público.</w:t>
      </w:r>
    </w:p>
    <w:p w:rsidR="00FC36AC" w:rsidRPr="006E231F" w:rsidRDefault="00FC36AC" w:rsidP="006E231F">
      <w:pPr>
        <w:tabs>
          <w:tab w:val="left" w:pos="0"/>
        </w:tabs>
        <w:spacing w:line="276" w:lineRule="auto"/>
        <w:jc w:val="both"/>
        <w:rPr>
          <w:rFonts w:ascii="Tahoma" w:hAnsi="Tahoma" w:cs="Tahoma"/>
        </w:rPr>
      </w:pPr>
    </w:p>
    <w:p w:rsidR="00D2586A" w:rsidRPr="006E231F" w:rsidRDefault="001E187B" w:rsidP="006E231F">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rPr>
      </w:pPr>
      <w:r w:rsidRPr="006E231F">
        <w:rPr>
          <w:rFonts w:ascii="Tahoma" w:hAnsi="Tahoma" w:cs="Tahoma"/>
          <w:b/>
        </w:rPr>
        <w:t>Procedencia de la consulta</w:t>
      </w:r>
    </w:p>
    <w:p w:rsidR="00D2586A" w:rsidRPr="006E231F" w:rsidRDefault="00D2586A" w:rsidP="006E231F">
      <w:pPr>
        <w:pStyle w:val="Sinespaciado"/>
        <w:spacing w:line="276" w:lineRule="auto"/>
        <w:rPr>
          <w:rFonts w:ascii="Tahoma" w:hAnsi="Tahoma" w:cs="Tahoma"/>
        </w:rPr>
      </w:pPr>
    </w:p>
    <w:p w:rsidR="00554977" w:rsidRPr="006E231F" w:rsidRDefault="001E187B" w:rsidP="006E231F">
      <w:pPr>
        <w:pStyle w:val="Sinespaciado"/>
        <w:spacing w:line="276" w:lineRule="auto"/>
        <w:ind w:firstLine="709"/>
        <w:jc w:val="both"/>
        <w:rPr>
          <w:rFonts w:ascii="Tahoma" w:hAnsi="Tahoma" w:cs="Tahoma"/>
        </w:rPr>
      </w:pPr>
      <w:r w:rsidRPr="006E231F">
        <w:rPr>
          <w:rFonts w:ascii="Tahoma" w:hAnsi="Tahoma" w:cs="Tahoma"/>
        </w:rPr>
        <w:t>Como quiera que la sentencia de primera instancia fue desfavorable a los intereses de la gestora de la litis, y no fue apelada, se dispuso el grado jurisdiccional de consulta.</w:t>
      </w:r>
    </w:p>
    <w:p w:rsidR="00685C47" w:rsidRPr="004D4DDE" w:rsidRDefault="00685C47" w:rsidP="004D4DDE">
      <w:pPr>
        <w:tabs>
          <w:tab w:val="left" w:pos="0"/>
        </w:tabs>
        <w:spacing w:line="276" w:lineRule="auto"/>
        <w:jc w:val="both"/>
        <w:rPr>
          <w:rFonts w:ascii="Tahoma" w:hAnsi="Tahoma" w:cs="Tahoma"/>
        </w:rPr>
      </w:pPr>
    </w:p>
    <w:p w:rsidR="00D2586A" w:rsidRPr="006E231F" w:rsidRDefault="00D2586A" w:rsidP="006E231F">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caps/>
        </w:rPr>
      </w:pPr>
      <w:r w:rsidRPr="006E231F">
        <w:rPr>
          <w:rFonts w:ascii="Tahoma" w:hAnsi="Tahoma" w:cs="Tahoma"/>
          <w:b/>
          <w:caps/>
        </w:rPr>
        <w:t xml:space="preserve"> </w:t>
      </w:r>
      <w:r w:rsidRPr="006E231F">
        <w:rPr>
          <w:rFonts w:ascii="Tahoma" w:hAnsi="Tahoma" w:cs="Tahoma"/>
          <w:b/>
        </w:rPr>
        <w:t>Consideraciones</w:t>
      </w:r>
      <w:r w:rsidRPr="006E231F">
        <w:rPr>
          <w:rFonts w:ascii="Tahoma" w:hAnsi="Tahoma" w:cs="Tahoma"/>
          <w:caps/>
        </w:rPr>
        <w:tab/>
      </w:r>
    </w:p>
    <w:p w:rsidR="00EF11B4" w:rsidRPr="004D4DDE" w:rsidRDefault="00EF11B4" w:rsidP="004D4DDE">
      <w:pPr>
        <w:tabs>
          <w:tab w:val="left" w:pos="0"/>
        </w:tabs>
        <w:spacing w:line="276" w:lineRule="auto"/>
        <w:jc w:val="both"/>
        <w:rPr>
          <w:rFonts w:ascii="Tahoma" w:hAnsi="Tahoma" w:cs="Tahoma"/>
        </w:rPr>
      </w:pPr>
    </w:p>
    <w:p w:rsidR="005A51A7" w:rsidRPr="006E231F" w:rsidRDefault="005A51A7" w:rsidP="006E231F">
      <w:pPr>
        <w:spacing w:line="276" w:lineRule="auto"/>
        <w:ind w:firstLine="708"/>
        <w:jc w:val="center"/>
        <w:rPr>
          <w:rFonts w:ascii="Tahoma" w:hAnsi="Tahoma" w:cs="Tahoma"/>
          <w:b/>
          <w:u w:val="single"/>
        </w:rPr>
      </w:pPr>
      <w:r w:rsidRPr="006E231F">
        <w:rPr>
          <w:rFonts w:ascii="Tahoma" w:hAnsi="Tahoma" w:cs="Tahoma"/>
          <w:b/>
          <w:u w:val="single"/>
        </w:rPr>
        <w:t>Ponencia Dra. Olga Lucía Hoyos Sepúlveda:</w:t>
      </w:r>
    </w:p>
    <w:p w:rsidR="005A51A7" w:rsidRPr="004D4DDE" w:rsidRDefault="005A51A7" w:rsidP="004D4DDE">
      <w:pPr>
        <w:tabs>
          <w:tab w:val="left" w:pos="0"/>
        </w:tabs>
        <w:spacing w:line="276" w:lineRule="auto"/>
        <w:jc w:val="both"/>
        <w:rPr>
          <w:rFonts w:ascii="Tahoma" w:hAnsi="Tahoma" w:cs="Tahoma"/>
        </w:rPr>
      </w:pPr>
    </w:p>
    <w:p w:rsidR="004C2183" w:rsidRPr="006E231F" w:rsidRDefault="002C07C7" w:rsidP="006E231F">
      <w:pPr>
        <w:widowControl w:val="0"/>
        <w:autoSpaceDE w:val="0"/>
        <w:autoSpaceDN w:val="0"/>
        <w:adjustRightInd w:val="0"/>
        <w:spacing w:line="276" w:lineRule="auto"/>
        <w:ind w:firstLine="708"/>
        <w:rPr>
          <w:rFonts w:ascii="Tahoma" w:hAnsi="Tahoma" w:cs="Tahoma"/>
          <w:b/>
          <w:bCs/>
          <w:caps/>
        </w:rPr>
      </w:pPr>
      <w:r w:rsidRPr="006E231F">
        <w:rPr>
          <w:rFonts w:ascii="Tahoma" w:hAnsi="Tahoma" w:cs="Tahoma"/>
          <w:b/>
          <w:iCs/>
          <w:color w:val="000000" w:themeColor="text1"/>
        </w:rPr>
        <w:t>4.1.</w:t>
      </w:r>
      <w:r w:rsidR="004C2183" w:rsidRPr="006E231F">
        <w:rPr>
          <w:rFonts w:ascii="Tahoma" w:hAnsi="Tahoma" w:cs="Tahoma"/>
          <w:b/>
          <w:bCs/>
        </w:rPr>
        <w:t xml:space="preserve"> Problema jurídico por resolver</w:t>
      </w:r>
    </w:p>
    <w:p w:rsidR="004C2183" w:rsidRPr="006E231F" w:rsidRDefault="004C2183" w:rsidP="006E231F">
      <w:pPr>
        <w:tabs>
          <w:tab w:val="left" w:pos="567"/>
        </w:tabs>
        <w:spacing w:line="276" w:lineRule="auto"/>
        <w:jc w:val="both"/>
        <w:rPr>
          <w:rFonts w:ascii="Tahoma" w:hAnsi="Tahoma" w:cs="Tahoma"/>
        </w:rPr>
      </w:pPr>
      <w:r w:rsidRPr="006E231F">
        <w:rPr>
          <w:rFonts w:ascii="Tahoma" w:hAnsi="Tahoma" w:cs="Tahoma"/>
        </w:rPr>
        <w:tab/>
      </w:r>
      <w:r w:rsidRPr="006E231F">
        <w:rPr>
          <w:rFonts w:ascii="Tahoma" w:hAnsi="Tahoma" w:cs="Tahoma"/>
        </w:rPr>
        <w:tab/>
      </w:r>
    </w:p>
    <w:p w:rsidR="004C2183" w:rsidRPr="006E231F" w:rsidRDefault="004C2183" w:rsidP="006E231F">
      <w:pPr>
        <w:spacing w:line="276" w:lineRule="auto"/>
        <w:jc w:val="both"/>
        <w:rPr>
          <w:rFonts w:ascii="Tahoma" w:hAnsi="Tahoma" w:cs="Tahoma"/>
          <w:iCs/>
        </w:rPr>
      </w:pPr>
      <w:r w:rsidRPr="006E231F">
        <w:rPr>
          <w:rFonts w:ascii="Tahoma" w:hAnsi="Tahoma" w:cs="Tahoma"/>
        </w:rPr>
        <w:lastRenderedPageBreak/>
        <w:tab/>
        <w:t>¿Procede el estudio de la pensión de sobrevivientes, que solicita la señora Luz Marina Blandón Osorio, conforme al Acuerdo 049 de 1990, en aplicación de la condición más beneficiosa, cuando el fallecimiento de su compañero permanente se dio</w:t>
      </w:r>
      <w:r w:rsidR="008D0AC8" w:rsidRPr="006E231F">
        <w:rPr>
          <w:rFonts w:ascii="Tahoma" w:hAnsi="Tahoma" w:cs="Tahoma"/>
        </w:rPr>
        <w:t xml:space="preserve"> </w:t>
      </w:r>
      <w:r w:rsidRPr="006E231F">
        <w:rPr>
          <w:rFonts w:ascii="Tahoma" w:hAnsi="Tahoma" w:cs="Tahoma"/>
        </w:rPr>
        <w:t>en vigencia de la Ley 797 de 2003?</w:t>
      </w:r>
    </w:p>
    <w:p w:rsidR="004C2183" w:rsidRPr="006E231F" w:rsidRDefault="004C2183" w:rsidP="006E231F">
      <w:pPr>
        <w:pStyle w:val="Textoindependiente"/>
        <w:spacing w:line="276" w:lineRule="auto"/>
        <w:ind w:firstLine="708"/>
        <w:contextualSpacing/>
        <w:rPr>
          <w:rFonts w:ascii="Tahoma" w:hAnsi="Tahoma" w:cs="Tahoma"/>
          <w:b/>
          <w:iCs/>
          <w:color w:val="000000" w:themeColor="text1"/>
        </w:rPr>
      </w:pPr>
    </w:p>
    <w:p w:rsidR="005A51A7" w:rsidRPr="006E231F" w:rsidRDefault="004C2183" w:rsidP="006E231F">
      <w:pPr>
        <w:pStyle w:val="Textoindependiente"/>
        <w:spacing w:line="276" w:lineRule="auto"/>
        <w:ind w:firstLine="708"/>
        <w:contextualSpacing/>
        <w:rPr>
          <w:rFonts w:ascii="Tahoma" w:hAnsi="Tahoma" w:cs="Tahoma"/>
          <w:b/>
          <w:iCs/>
          <w:color w:val="000000" w:themeColor="text1"/>
        </w:rPr>
      </w:pPr>
      <w:r w:rsidRPr="006E231F">
        <w:rPr>
          <w:rFonts w:ascii="Tahoma" w:hAnsi="Tahoma" w:cs="Tahoma"/>
          <w:b/>
          <w:iCs/>
          <w:color w:val="000000" w:themeColor="text1"/>
        </w:rPr>
        <w:t>4.2</w:t>
      </w:r>
      <w:r w:rsidR="005A51A7" w:rsidRPr="006E231F">
        <w:rPr>
          <w:rFonts w:ascii="Tahoma" w:hAnsi="Tahoma" w:cs="Tahoma"/>
          <w:b/>
          <w:iCs/>
          <w:color w:val="000000" w:themeColor="text1"/>
        </w:rPr>
        <w:t xml:space="preserve"> Solución al problema jurídico </w:t>
      </w:r>
    </w:p>
    <w:p w:rsidR="005A51A7" w:rsidRPr="004D4DDE" w:rsidRDefault="005A51A7" w:rsidP="004D4DDE">
      <w:pPr>
        <w:tabs>
          <w:tab w:val="left" w:pos="0"/>
        </w:tabs>
        <w:spacing w:line="276" w:lineRule="auto"/>
        <w:jc w:val="both"/>
        <w:rPr>
          <w:rFonts w:ascii="Tahoma" w:hAnsi="Tahoma" w:cs="Tahoma"/>
        </w:rPr>
      </w:pPr>
    </w:p>
    <w:p w:rsidR="005A51A7" w:rsidRPr="006E231F" w:rsidRDefault="005A51A7" w:rsidP="006E231F">
      <w:pPr>
        <w:pStyle w:val="Textoindependiente"/>
        <w:shd w:val="clear" w:color="auto" w:fill="FFFFFF" w:themeFill="background1"/>
        <w:spacing w:line="276" w:lineRule="auto"/>
        <w:ind w:firstLine="708"/>
        <w:contextualSpacing/>
        <w:jc w:val="both"/>
        <w:rPr>
          <w:rFonts w:ascii="Tahoma" w:hAnsi="Tahoma" w:cs="Tahoma"/>
          <w:color w:val="000000" w:themeColor="text1"/>
          <w:lang w:val="es-CO"/>
        </w:rPr>
      </w:pPr>
      <w:r w:rsidRPr="006E231F">
        <w:rPr>
          <w:rFonts w:ascii="Tahoma" w:hAnsi="Tahoma" w:cs="Tahoma"/>
          <w:color w:val="000000" w:themeColor="text1"/>
          <w:shd w:val="clear" w:color="auto" w:fill="FFFFFF"/>
        </w:rPr>
        <w:t>Se encuentra acreditado</w:t>
      </w:r>
      <w:r w:rsidR="008D0AC8" w:rsidRPr="006E231F">
        <w:rPr>
          <w:rFonts w:ascii="Tahoma" w:hAnsi="Tahoma" w:cs="Tahoma"/>
          <w:color w:val="000000" w:themeColor="text1"/>
          <w:shd w:val="clear" w:color="auto" w:fill="FFFFFF"/>
        </w:rPr>
        <w:t xml:space="preserve"> </w:t>
      </w:r>
      <w:r w:rsidRPr="006E231F">
        <w:rPr>
          <w:rFonts w:ascii="Tahoma" w:hAnsi="Tahoma" w:cs="Tahoma"/>
          <w:color w:val="000000" w:themeColor="text1"/>
          <w:shd w:val="clear" w:color="auto" w:fill="FFFFFF"/>
        </w:rPr>
        <w:t>que</w:t>
      </w:r>
      <w:r w:rsidR="00E80D76" w:rsidRPr="006E231F">
        <w:rPr>
          <w:rFonts w:ascii="Tahoma" w:hAnsi="Tahoma" w:cs="Tahoma"/>
          <w:color w:val="000000" w:themeColor="text1"/>
          <w:shd w:val="clear" w:color="auto" w:fill="FFFFFF"/>
        </w:rPr>
        <w:t xml:space="preserve"> el señor C</w:t>
      </w:r>
      <w:r w:rsidR="003F2FEE" w:rsidRPr="006E231F">
        <w:rPr>
          <w:rFonts w:ascii="Tahoma" w:hAnsi="Tahoma" w:cs="Tahoma"/>
          <w:color w:val="000000" w:themeColor="text1"/>
          <w:shd w:val="clear" w:color="auto" w:fill="FFFFFF"/>
        </w:rPr>
        <w:t xml:space="preserve">arlos </w:t>
      </w:r>
      <w:proofErr w:type="spellStart"/>
      <w:r w:rsidR="003F2FEE" w:rsidRPr="006E231F">
        <w:rPr>
          <w:rFonts w:ascii="Tahoma" w:hAnsi="Tahoma" w:cs="Tahoma"/>
          <w:color w:val="000000" w:themeColor="text1"/>
          <w:shd w:val="clear" w:color="auto" w:fill="FFFFFF"/>
        </w:rPr>
        <w:t>Asdrubal</w:t>
      </w:r>
      <w:proofErr w:type="spellEnd"/>
      <w:r w:rsidR="003F2FEE" w:rsidRPr="006E231F">
        <w:rPr>
          <w:rFonts w:ascii="Tahoma" w:hAnsi="Tahoma" w:cs="Tahoma"/>
          <w:color w:val="000000" w:themeColor="text1"/>
          <w:shd w:val="clear" w:color="auto" w:fill="FFFFFF"/>
        </w:rPr>
        <w:t xml:space="preserve"> Ardila </w:t>
      </w:r>
      <w:proofErr w:type="spellStart"/>
      <w:r w:rsidR="003F2FEE" w:rsidRPr="006E231F">
        <w:rPr>
          <w:rFonts w:ascii="Tahoma" w:hAnsi="Tahoma" w:cs="Tahoma"/>
          <w:color w:val="000000" w:themeColor="text1"/>
          <w:shd w:val="clear" w:color="auto" w:fill="FFFFFF"/>
        </w:rPr>
        <w:t>Rotavisque</w:t>
      </w:r>
      <w:proofErr w:type="spellEnd"/>
      <w:r w:rsidR="00E80D76" w:rsidRPr="006E231F">
        <w:rPr>
          <w:rFonts w:ascii="Tahoma" w:hAnsi="Tahoma" w:cs="Tahoma"/>
          <w:color w:val="000000" w:themeColor="text1"/>
          <w:shd w:val="clear" w:color="auto" w:fill="FFFFFF"/>
        </w:rPr>
        <w:t xml:space="preserve"> falleció el día 25 de abril del 2003</w:t>
      </w:r>
      <w:r w:rsidR="00246128" w:rsidRPr="006E231F">
        <w:rPr>
          <w:rFonts w:ascii="Tahoma" w:hAnsi="Tahoma" w:cs="Tahoma"/>
          <w:color w:val="000000" w:themeColor="text1"/>
          <w:shd w:val="clear" w:color="auto" w:fill="FFFFFF"/>
        </w:rPr>
        <w:t xml:space="preserve"> (</w:t>
      </w:r>
      <w:proofErr w:type="spellStart"/>
      <w:r w:rsidR="00246128" w:rsidRPr="006E231F">
        <w:rPr>
          <w:rFonts w:ascii="Tahoma" w:hAnsi="Tahoma" w:cs="Tahoma"/>
          <w:color w:val="000000" w:themeColor="text1"/>
          <w:shd w:val="clear" w:color="auto" w:fill="FFFFFF"/>
        </w:rPr>
        <w:t>fl</w:t>
      </w:r>
      <w:proofErr w:type="spellEnd"/>
      <w:r w:rsidR="00246128" w:rsidRPr="006E231F">
        <w:rPr>
          <w:rFonts w:ascii="Tahoma" w:hAnsi="Tahoma" w:cs="Tahoma"/>
          <w:color w:val="000000" w:themeColor="text1"/>
          <w:shd w:val="clear" w:color="auto" w:fill="FFFFFF"/>
        </w:rPr>
        <w:t>. 12 c.1)</w:t>
      </w:r>
      <w:r w:rsidRPr="006E231F">
        <w:rPr>
          <w:rFonts w:ascii="Tahoma" w:hAnsi="Tahoma" w:cs="Tahoma"/>
          <w:color w:val="000000" w:themeColor="text1"/>
          <w:shd w:val="clear" w:color="auto" w:fill="FFFFFF"/>
        </w:rPr>
        <w:t xml:space="preserve">, por lo tanto, la normativa aplicable en esta actuación es el artículo 12 de la Ley 797 de 2003, que es la vigente para el momento de acontecer tal situación. Disposición que exige haber cotizado 50 semanas dentro de los 3 años anteriores al deceso, y para quien reclame la prestación en calidad de cónyuge o compañera supérstite una convivencia con el causante por espacio no inferior a los 5 años anteriores al fallecimiento. </w:t>
      </w:r>
    </w:p>
    <w:p w:rsidR="005A51A7" w:rsidRPr="004D4DDE" w:rsidRDefault="005A51A7" w:rsidP="004D4DDE">
      <w:pPr>
        <w:tabs>
          <w:tab w:val="left" w:pos="0"/>
        </w:tabs>
        <w:spacing w:line="276" w:lineRule="auto"/>
        <w:jc w:val="both"/>
        <w:rPr>
          <w:rFonts w:ascii="Tahoma" w:hAnsi="Tahoma" w:cs="Tahoma"/>
        </w:rPr>
      </w:pPr>
    </w:p>
    <w:p w:rsidR="005A51A7" w:rsidRPr="006E231F" w:rsidRDefault="00246128" w:rsidP="006E231F">
      <w:pPr>
        <w:autoSpaceDE w:val="0"/>
        <w:autoSpaceDN w:val="0"/>
        <w:adjustRightInd w:val="0"/>
        <w:spacing w:line="276" w:lineRule="auto"/>
        <w:ind w:firstLine="708"/>
        <w:contextualSpacing/>
        <w:jc w:val="both"/>
        <w:rPr>
          <w:rFonts w:ascii="Tahoma" w:hAnsi="Tahoma" w:cs="Tahoma"/>
        </w:rPr>
      </w:pPr>
      <w:r w:rsidRPr="006E231F">
        <w:rPr>
          <w:rFonts w:ascii="Tahoma" w:hAnsi="Tahoma" w:cs="Tahoma"/>
        </w:rPr>
        <w:t xml:space="preserve">Bien. </w:t>
      </w:r>
      <w:r w:rsidR="007307AD" w:rsidRPr="006E231F">
        <w:rPr>
          <w:rFonts w:ascii="Tahoma" w:hAnsi="Tahoma" w:cs="Tahoma"/>
        </w:rPr>
        <w:t>Revisada la historia laboral (</w:t>
      </w:r>
      <w:proofErr w:type="spellStart"/>
      <w:r w:rsidR="007307AD" w:rsidRPr="006E231F">
        <w:rPr>
          <w:rFonts w:ascii="Tahoma" w:hAnsi="Tahoma" w:cs="Tahoma"/>
        </w:rPr>
        <w:t>fl</w:t>
      </w:r>
      <w:proofErr w:type="spellEnd"/>
      <w:r w:rsidR="007307AD" w:rsidRPr="006E231F">
        <w:rPr>
          <w:rFonts w:ascii="Tahoma" w:hAnsi="Tahoma" w:cs="Tahoma"/>
        </w:rPr>
        <w:t>. 31 c. 1) y el certificado laboral – formato 1 – (</w:t>
      </w:r>
      <w:proofErr w:type="spellStart"/>
      <w:r w:rsidR="007307AD" w:rsidRPr="006E231F">
        <w:rPr>
          <w:rFonts w:ascii="Tahoma" w:hAnsi="Tahoma" w:cs="Tahoma"/>
        </w:rPr>
        <w:t>fl</w:t>
      </w:r>
      <w:proofErr w:type="spellEnd"/>
      <w:r w:rsidR="007307AD" w:rsidRPr="006E231F">
        <w:rPr>
          <w:rFonts w:ascii="Tahoma" w:hAnsi="Tahoma" w:cs="Tahoma"/>
        </w:rPr>
        <w:t>. 93 c. 1), se</w:t>
      </w:r>
      <w:r w:rsidRPr="006E231F">
        <w:rPr>
          <w:rFonts w:ascii="Tahoma" w:hAnsi="Tahoma" w:cs="Tahoma"/>
        </w:rPr>
        <w:t xml:space="preserve"> constata que el afiliado </w:t>
      </w:r>
      <w:r w:rsidR="005A51A7" w:rsidRPr="006E231F">
        <w:rPr>
          <w:rFonts w:ascii="Tahoma" w:hAnsi="Tahoma" w:cs="Tahoma"/>
        </w:rPr>
        <w:t xml:space="preserve">entre la fecha de la muerte </w:t>
      </w:r>
      <w:r w:rsidR="00A76E3B" w:rsidRPr="006E231F">
        <w:rPr>
          <w:rFonts w:ascii="Tahoma" w:hAnsi="Tahoma" w:cs="Tahoma"/>
        </w:rPr>
        <w:t>25-04-2003 y la misma data de 2000</w:t>
      </w:r>
      <w:r w:rsidR="005A51A7" w:rsidRPr="006E231F">
        <w:rPr>
          <w:rFonts w:ascii="Tahoma" w:hAnsi="Tahoma" w:cs="Tahoma"/>
        </w:rPr>
        <w:t xml:space="preserve"> (3 años) </w:t>
      </w:r>
      <w:r w:rsidR="00A76E3B" w:rsidRPr="006E231F">
        <w:rPr>
          <w:rFonts w:ascii="Tahoma" w:hAnsi="Tahoma" w:cs="Tahoma"/>
        </w:rPr>
        <w:t>no efectuó cotizaciones</w:t>
      </w:r>
      <w:r w:rsidR="00385FD7" w:rsidRPr="006E231F">
        <w:rPr>
          <w:rFonts w:ascii="Tahoma" w:hAnsi="Tahoma" w:cs="Tahoma"/>
        </w:rPr>
        <w:t xml:space="preserve">, </w:t>
      </w:r>
      <w:r w:rsidRPr="006E231F">
        <w:rPr>
          <w:rFonts w:ascii="Tahoma" w:hAnsi="Tahoma" w:cs="Tahoma"/>
        </w:rPr>
        <w:t xml:space="preserve">siendo la última para el </w:t>
      </w:r>
      <w:proofErr w:type="spellStart"/>
      <w:r w:rsidRPr="006E231F">
        <w:rPr>
          <w:rFonts w:ascii="Tahoma" w:hAnsi="Tahoma" w:cs="Tahoma"/>
        </w:rPr>
        <w:t>cliclo</w:t>
      </w:r>
      <w:proofErr w:type="spellEnd"/>
      <w:r w:rsidRPr="006E231F">
        <w:rPr>
          <w:rFonts w:ascii="Tahoma" w:hAnsi="Tahoma" w:cs="Tahoma"/>
        </w:rPr>
        <w:t xml:space="preserve"> de junio de 1976</w:t>
      </w:r>
      <w:r w:rsidR="005A51A7" w:rsidRPr="006E231F">
        <w:rPr>
          <w:rFonts w:ascii="Tahoma" w:hAnsi="Tahoma" w:cs="Tahoma"/>
        </w:rPr>
        <w:t>; con lo cual resulta fácil colegir que no satisfizo la primera de las exigencias del artículo 12 de la Ley 797 de 2003</w:t>
      </w:r>
      <w:r w:rsidR="008A4A86" w:rsidRPr="006E231F">
        <w:rPr>
          <w:rFonts w:ascii="Tahoma" w:hAnsi="Tahoma" w:cs="Tahoma"/>
        </w:rPr>
        <w:t>, en cuanto a la densidad de semanas</w:t>
      </w:r>
      <w:r w:rsidR="005A51A7" w:rsidRPr="006E231F">
        <w:rPr>
          <w:rFonts w:ascii="Tahoma" w:hAnsi="Tahoma" w:cs="Tahoma"/>
        </w:rPr>
        <w:t>.</w:t>
      </w:r>
    </w:p>
    <w:p w:rsidR="005A51A7" w:rsidRPr="004D4DDE" w:rsidRDefault="005A51A7" w:rsidP="004D4DDE">
      <w:pPr>
        <w:tabs>
          <w:tab w:val="left" w:pos="0"/>
        </w:tabs>
        <w:spacing w:line="276" w:lineRule="auto"/>
        <w:jc w:val="both"/>
        <w:rPr>
          <w:rFonts w:ascii="Tahoma" w:hAnsi="Tahoma" w:cs="Tahoma"/>
        </w:rPr>
      </w:pPr>
    </w:p>
    <w:p w:rsidR="005A51A7" w:rsidRPr="006E231F" w:rsidRDefault="00364313" w:rsidP="006E231F">
      <w:pPr>
        <w:autoSpaceDE w:val="0"/>
        <w:autoSpaceDN w:val="0"/>
        <w:adjustRightInd w:val="0"/>
        <w:spacing w:line="276" w:lineRule="auto"/>
        <w:ind w:firstLine="708"/>
        <w:contextualSpacing/>
        <w:jc w:val="both"/>
        <w:rPr>
          <w:rFonts w:ascii="Tahoma" w:hAnsi="Tahoma" w:cs="Tahoma"/>
        </w:rPr>
      </w:pPr>
      <w:r w:rsidRPr="006E231F">
        <w:rPr>
          <w:rFonts w:ascii="Tahoma" w:hAnsi="Tahoma" w:cs="Tahoma"/>
          <w:b/>
          <w:color w:val="000000" w:themeColor="text1"/>
          <w:lang w:val="es-CO"/>
        </w:rPr>
        <w:t>4.3.</w:t>
      </w:r>
      <w:r w:rsidR="005A51A7" w:rsidRPr="006E231F">
        <w:rPr>
          <w:rFonts w:ascii="Tahoma" w:hAnsi="Tahoma" w:cs="Tahoma"/>
          <w:color w:val="000000" w:themeColor="text1"/>
          <w:lang w:val="es-CO"/>
        </w:rPr>
        <w:t xml:space="preserve"> Sin embargo, </w:t>
      </w:r>
      <w:r w:rsidR="004B148D" w:rsidRPr="006E231F">
        <w:rPr>
          <w:rFonts w:ascii="Tahoma" w:hAnsi="Tahoma" w:cs="Tahoma"/>
        </w:rPr>
        <w:t>dado que en el libelo introductorio se depreca la aplicación de</w:t>
      </w:r>
      <w:r w:rsidR="008D0AC8" w:rsidRPr="006E231F">
        <w:rPr>
          <w:rFonts w:ascii="Tahoma" w:hAnsi="Tahoma" w:cs="Tahoma"/>
        </w:rPr>
        <w:t xml:space="preserve">l Acuerdo 049 de 1990 </w:t>
      </w:r>
      <w:r w:rsidR="004B148D" w:rsidRPr="006E231F">
        <w:rPr>
          <w:rFonts w:ascii="Tahoma" w:hAnsi="Tahoma" w:cs="Tahoma"/>
        </w:rPr>
        <w:t>con sustento en el principio de la condición más beneficiosa, se analizará su procedencia.</w:t>
      </w:r>
    </w:p>
    <w:p w:rsidR="004B148D" w:rsidRPr="006E231F" w:rsidRDefault="004B148D" w:rsidP="004D4DDE">
      <w:pPr>
        <w:tabs>
          <w:tab w:val="left" w:pos="0"/>
        </w:tabs>
        <w:spacing w:line="276" w:lineRule="auto"/>
        <w:jc w:val="both"/>
        <w:rPr>
          <w:rFonts w:ascii="Tahoma" w:hAnsi="Tahoma" w:cs="Tahoma"/>
        </w:rPr>
      </w:pPr>
    </w:p>
    <w:p w:rsidR="000A436D" w:rsidRPr="006E231F" w:rsidRDefault="000A436D" w:rsidP="006E231F">
      <w:pPr>
        <w:autoSpaceDE w:val="0"/>
        <w:autoSpaceDN w:val="0"/>
        <w:adjustRightInd w:val="0"/>
        <w:spacing w:line="276" w:lineRule="auto"/>
        <w:ind w:firstLine="708"/>
        <w:contextualSpacing/>
        <w:jc w:val="both"/>
        <w:rPr>
          <w:rFonts w:ascii="Tahoma" w:hAnsi="Tahoma" w:cs="Tahoma"/>
          <w:color w:val="000000"/>
        </w:rPr>
      </w:pPr>
      <w:r w:rsidRPr="006E231F">
        <w:rPr>
          <w:rFonts w:ascii="Tahoma" w:hAnsi="Tahoma" w:cs="Tahoma"/>
        </w:rPr>
        <w:t>Frente al referido principio, ha sostenido incesantemente la Sala de Casación Laboral de Corte Suprema de Justicia</w:t>
      </w:r>
      <w:r w:rsidRPr="006E231F">
        <w:rPr>
          <w:rStyle w:val="Refdenotaalpie"/>
          <w:rFonts w:ascii="Tahoma" w:hAnsi="Tahoma" w:cs="Tahoma"/>
        </w:rPr>
        <w:footnoteReference w:id="1"/>
      </w:r>
      <w:r w:rsidRPr="006E231F">
        <w:rPr>
          <w:rFonts w:ascii="Tahoma" w:hAnsi="Tahoma" w:cs="Tahoma"/>
        </w:rPr>
        <w:t xml:space="preserve"> que </w:t>
      </w:r>
      <w:r w:rsidRPr="006E231F">
        <w:rPr>
          <w:rFonts w:ascii="Tahoma" w:hAnsi="Tahoma" w:cs="Tahoma"/>
          <w:color w:val="000000"/>
        </w:rPr>
        <w:t>el mismo no le permite al juzgador aplicar a un caso en particular cualquier norma legal que en el pasado haya regulado el asunto, sino que, de darse las condiciones necesarias para su aplicación, ello sería respecto a la norma inmediatamente anterior a la vigente en el momento en que se estructuró el derecho, tesis que se comparte la Sala Mayoritaria y no la de la Corte Constitucional, por ser aquel el órgano de cierre de la jurisdicción laboral.</w:t>
      </w:r>
    </w:p>
    <w:p w:rsidR="000A436D" w:rsidRPr="004D4DDE" w:rsidRDefault="000A436D" w:rsidP="004D4DDE">
      <w:pPr>
        <w:tabs>
          <w:tab w:val="left" w:pos="0"/>
        </w:tabs>
        <w:spacing w:line="276" w:lineRule="auto"/>
        <w:jc w:val="both"/>
        <w:rPr>
          <w:rFonts w:ascii="Tahoma" w:hAnsi="Tahoma" w:cs="Tahoma"/>
        </w:rPr>
      </w:pPr>
    </w:p>
    <w:p w:rsidR="000A436D" w:rsidRPr="006E231F" w:rsidRDefault="000A436D" w:rsidP="006E231F">
      <w:pPr>
        <w:autoSpaceDE w:val="0"/>
        <w:autoSpaceDN w:val="0"/>
        <w:adjustRightInd w:val="0"/>
        <w:spacing w:line="276" w:lineRule="auto"/>
        <w:ind w:firstLine="708"/>
        <w:contextualSpacing/>
        <w:jc w:val="both"/>
        <w:rPr>
          <w:rFonts w:ascii="Tahoma" w:hAnsi="Tahoma" w:cs="Tahoma"/>
          <w:color w:val="000000"/>
          <w:shd w:val="clear" w:color="auto" w:fill="FFFFFF"/>
        </w:rPr>
      </w:pPr>
      <w:r w:rsidRPr="006E231F">
        <w:rPr>
          <w:rFonts w:ascii="Tahoma" w:hAnsi="Tahoma" w:cs="Tahoma"/>
          <w:color w:val="000000"/>
        </w:rPr>
        <w:t>Línea que se apoya entre otros en el Acto Legislativo 01 de 2005, que dispone en la parte final del inciso 4° que “</w:t>
      </w:r>
      <w:r w:rsidRPr="006E231F">
        <w:rPr>
          <w:rFonts w:ascii="Tahoma" w:hAnsi="Tahoma" w:cs="Tahoma"/>
          <w:i/>
          <w:color w:val="000000"/>
          <w:sz w:val="22"/>
          <w:shd w:val="clear" w:color="auto" w:fill="FFFFFF"/>
        </w:rPr>
        <w:t>los requisitos y beneficios para adquirir el derecho a una pensión de invalidez o de sobrevivencia serán los establecidos por las leyes del Sistema General de Pensiones</w:t>
      </w:r>
      <w:r w:rsidRPr="006E231F">
        <w:rPr>
          <w:rFonts w:ascii="Tahoma" w:hAnsi="Tahoma" w:cs="Tahoma"/>
          <w:i/>
          <w:color w:val="000000"/>
          <w:shd w:val="clear" w:color="auto" w:fill="FFFFFF"/>
        </w:rPr>
        <w:t>"</w:t>
      </w:r>
      <w:r w:rsidRPr="006E231F">
        <w:rPr>
          <w:rFonts w:ascii="Tahoma" w:hAnsi="Tahoma" w:cs="Tahoma"/>
          <w:color w:val="000000"/>
          <w:shd w:val="clear" w:color="auto" w:fill="FFFFFF"/>
        </w:rPr>
        <w:t>,</w:t>
      </w:r>
      <w:r w:rsidRPr="006E231F">
        <w:rPr>
          <w:rFonts w:ascii="Tahoma" w:hAnsi="Tahoma" w:cs="Tahoma"/>
          <w:i/>
        </w:rPr>
        <w:t xml:space="preserve"> </w:t>
      </w:r>
      <w:r w:rsidRPr="006E231F">
        <w:rPr>
          <w:rFonts w:ascii="Tahoma" w:hAnsi="Tahoma" w:cs="Tahoma"/>
          <w:lang w:val="es-AR"/>
        </w:rPr>
        <w:t>que es el creado con la expedición de la Ley 100 de 1993</w:t>
      </w:r>
      <w:r w:rsidRPr="006E231F">
        <w:rPr>
          <w:rFonts w:ascii="Tahoma" w:hAnsi="Tahoma" w:cs="Tahoma"/>
          <w:color w:val="000000"/>
          <w:shd w:val="clear" w:color="auto" w:fill="FFFFFF"/>
        </w:rPr>
        <w:t xml:space="preserve"> y desarrollado a partir del artículo 10 ibídem; lo que significa que él se encuentra constituido por esa normativa y las modificaciones introducidas por la Ley 797 de 2003, de donde debe entenderse excluido el Acuerdo 049 de 1990 en lo que respecta a este tópico por ser anterior a estas.</w:t>
      </w:r>
    </w:p>
    <w:p w:rsidR="000A436D" w:rsidRPr="004D4DDE" w:rsidRDefault="000A436D" w:rsidP="004D4DDE">
      <w:pPr>
        <w:tabs>
          <w:tab w:val="left" w:pos="0"/>
        </w:tabs>
        <w:spacing w:line="276" w:lineRule="auto"/>
        <w:jc w:val="both"/>
        <w:rPr>
          <w:rFonts w:ascii="Tahoma" w:hAnsi="Tahoma" w:cs="Tahoma"/>
        </w:rPr>
      </w:pPr>
    </w:p>
    <w:p w:rsidR="000A436D" w:rsidRPr="006E231F" w:rsidRDefault="000A436D" w:rsidP="006E231F">
      <w:pPr>
        <w:autoSpaceDE w:val="0"/>
        <w:autoSpaceDN w:val="0"/>
        <w:adjustRightInd w:val="0"/>
        <w:spacing w:line="276" w:lineRule="auto"/>
        <w:ind w:firstLine="708"/>
        <w:contextualSpacing/>
        <w:jc w:val="both"/>
        <w:rPr>
          <w:rFonts w:ascii="Tahoma" w:hAnsi="Tahoma" w:cs="Tahoma"/>
          <w:i/>
          <w:color w:val="000000"/>
          <w:shd w:val="clear" w:color="auto" w:fill="FFFFFF"/>
        </w:rPr>
      </w:pPr>
      <w:r w:rsidRPr="006E231F">
        <w:rPr>
          <w:rFonts w:ascii="Tahoma" w:hAnsi="Tahoma" w:cs="Tahoma"/>
          <w:color w:val="000000"/>
          <w:shd w:val="clear" w:color="auto" w:fill="FFFFFF"/>
        </w:rPr>
        <w:lastRenderedPageBreak/>
        <w:t>Criterio que se trajo a colación en la sentencia SU 005 de 13-02-2018 proferida por la Corte Constitucional</w:t>
      </w:r>
      <w:r w:rsidRPr="006E231F">
        <w:rPr>
          <w:rStyle w:val="Refdenotaalpie"/>
          <w:rFonts w:ascii="Tahoma" w:hAnsi="Tahoma" w:cs="Tahoma"/>
          <w:color w:val="000000"/>
          <w:shd w:val="clear" w:color="auto" w:fill="FFFFFF"/>
        </w:rPr>
        <w:footnoteReference w:id="2"/>
      </w:r>
      <w:r w:rsidRPr="006E231F">
        <w:rPr>
          <w:rFonts w:ascii="Tahoma" w:hAnsi="Tahoma" w:cs="Tahoma"/>
          <w:color w:val="000000"/>
          <w:shd w:val="clear" w:color="auto" w:fill="FFFFFF"/>
        </w:rPr>
        <w:t xml:space="preserve"> cuando expuso: “</w:t>
      </w:r>
      <w:r w:rsidRPr="006E231F">
        <w:rPr>
          <w:rFonts w:ascii="Tahoma" w:hAnsi="Tahoma" w:cs="Tahoma"/>
          <w:i/>
          <w:color w:val="000000"/>
          <w:sz w:val="22"/>
          <w:shd w:val="clear" w:color="auto" w:fill="FFFFFF"/>
        </w:rPr>
        <w:t>la Sala Laboral de la Corte Suprema de Justicia ha interpretado el principio de la condición más beneficiosa de una forma que lejos de resultar constitucionalmente irrazonable es acorde con el Acto Legislativo 01 de 2005</w:t>
      </w:r>
      <w:r w:rsidRPr="006E231F">
        <w:rPr>
          <w:rFonts w:ascii="Tahoma" w:hAnsi="Tahoma" w:cs="Tahoma"/>
          <w:i/>
          <w:color w:val="000000"/>
          <w:shd w:val="clear" w:color="auto" w:fill="FFFFFF"/>
        </w:rPr>
        <w:t>”.</w:t>
      </w:r>
    </w:p>
    <w:p w:rsidR="000A436D" w:rsidRPr="004D4DDE" w:rsidRDefault="000A436D" w:rsidP="004D4DDE">
      <w:pPr>
        <w:tabs>
          <w:tab w:val="left" w:pos="0"/>
        </w:tabs>
        <w:spacing w:line="276" w:lineRule="auto"/>
        <w:jc w:val="both"/>
        <w:rPr>
          <w:rFonts w:ascii="Tahoma" w:hAnsi="Tahoma" w:cs="Tahoma"/>
        </w:rPr>
      </w:pPr>
    </w:p>
    <w:p w:rsidR="000A436D" w:rsidRPr="006E231F" w:rsidRDefault="000A436D" w:rsidP="006E231F">
      <w:pPr>
        <w:autoSpaceDE w:val="0"/>
        <w:autoSpaceDN w:val="0"/>
        <w:adjustRightInd w:val="0"/>
        <w:spacing w:line="276" w:lineRule="auto"/>
        <w:ind w:firstLine="708"/>
        <w:contextualSpacing/>
        <w:jc w:val="both"/>
        <w:rPr>
          <w:rFonts w:ascii="Tahoma" w:hAnsi="Tahoma" w:cs="Tahoma"/>
          <w:color w:val="000000"/>
          <w:shd w:val="clear" w:color="auto" w:fill="FFFFFF"/>
        </w:rPr>
      </w:pPr>
      <w:r w:rsidRPr="006E231F">
        <w:rPr>
          <w:rFonts w:ascii="Tahoma" w:hAnsi="Tahoma" w:cs="Tahoma"/>
          <w:color w:val="000000"/>
          <w:shd w:val="clear" w:color="auto" w:fill="FFFFFF"/>
        </w:rPr>
        <w:t xml:space="preserve">Coherente con esto la Corte Constitucional, señaló en la providencia citada, que para acudir al Acuerdo 049 de 1990 o a cualquier norma </w:t>
      </w:r>
      <w:proofErr w:type="spellStart"/>
      <w:r w:rsidR="007E0901" w:rsidRPr="006E231F">
        <w:rPr>
          <w:rFonts w:ascii="Tahoma" w:hAnsi="Tahoma" w:cs="Tahoma"/>
          <w:color w:val="000000"/>
          <w:shd w:val="clear" w:color="auto" w:fill="FFFFFF"/>
        </w:rPr>
        <w:t>preterita</w:t>
      </w:r>
      <w:proofErr w:type="spellEnd"/>
      <w:r w:rsidRPr="006E231F">
        <w:rPr>
          <w:rFonts w:ascii="Tahoma" w:hAnsi="Tahoma" w:cs="Tahoma"/>
          <w:color w:val="000000"/>
          <w:shd w:val="clear" w:color="auto" w:fill="FFFFFF"/>
        </w:rPr>
        <w:t xml:space="preserve"> a ella, a pesar de no ser la anterior a la vigente a la muerte del afiliado, debe verificarse un test de procedencia que lo conforman 5 condiciones todas indispensables</w:t>
      </w:r>
      <w:r w:rsidR="008D0AC8" w:rsidRPr="006E231F">
        <w:rPr>
          <w:rFonts w:ascii="Tahoma" w:hAnsi="Tahoma" w:cs="Tahoma"/>
          <w:color w:val="000000"/>
          <w:shd w:val="clear" w:color="auto" w:fill="FFFFFF"/>
        </w:rPr>
        <w:t xml:space="preserve">, </w:t>
      </w:r>
      <w:r w:rsidRPr="006E231F">
        <w:rPr>
          <w:rFonts w:ascii="Tahoma" w:hAnsi="Tahoma" w:cs="Tahoma"/>
          <w:color w:val="000000"/>
          <w:shd w:val="clear" w:color="auto" w:fill="FFFFFF"/>
        </w:rPr>
        <w:t xml:space="preserve">sobre las que se releva la sala a analizar en tanto no se comparte la línea de pensamiento trazada por la Corte Constitucional. </w:t>
      </w:r>
    </w:p>
    <w:p w:rsidR="000A436D" w:rsidRPr="006E231F" w:rsidRDefault="000A436D" w:rsidP="006E231F">
      <w:pPr>
        <w:autoSpaceDE w:val="0"/>
        <w:autoSpaceDN w:val="0"/>
        <w:adjustRightInd w:val="0"/>
        <w:spacing w:line="276" w:lineRule="auto"/>
        <w:contextualSpacing/>
        <w:jc w:val="both"/>
        <w:rPr>
          <w:rFonts w:ascii="Tahoma" w:hAnsi="Tahoma" w:cs="Tahoma"/>
          <w:color w:val="000000"/>
        </w:rPr>
      </w:pPr>
    </w:p>
    <w:p w:rsidR="007E0901" w:rsidRPr="006E231F" w:rsidRDefault="007E0901" w:rsidP="006E231F">
      <w:pPr>
        <w:autoSpaceDE w:val="0"/>
        <w:autoSpaceDN w:val="0"/>
        <w:adjustRightInd w:val="0"/>
        <w:spacing w:line="276" w:lineRule="auto"/>
        <w:ind w:firstLine="708"/>
        <w:contextualSpacing/>
        <w:jc w:val="both"/>
        <w:rPr>
          <w:rFonts w:ascii="Tahoma" w:hAnsi="Tahoma" w:cs="Tahoma"/>
          <w:color w:val="000000" w:themeColor="text1"/>
        </w:rPr>
      </w:pPr>
      <w:r w:rsidRPr="006E231F">
        <w:rPr>
          <w:rFonts w:ascii="Tahoma" w:hAnsi="Tahoma" w:cs="Tahoma"/>
          <w:b/>
          <w:color w:val="000000" w:themeColor="text1"/>
          <w:shd w:val="clear" w:color="auto" w:fill="FFFFFF"/>
        </w:rPr>
        <w:t>4.4.</w:t>
      </w:r>
      <w:r w:rsidRPr="006E231F">
        <w:rPr>
          <w:rFonts w:ascii="Tahoma" w:hAnsi="Tahoma" w:cs="Tahoma"/>
          <w:color w:val="000000" w:themeColor="text1"/>
          <w:shd w:val="clear" w:color="auto" w:fill="FFFFFF"/>
        </w:rPr>
        <w:t xml:space="preserve"> En ese orden de ideas, como el señor Carlos </w:t>
      </w:r>
      <w:proofErr w:type="spellStart"/>
      <w:r w:rsidRPr="006E231F">
        <w:rPr>
          <w:rFonts w:ascii="Tahoma" w:hAnsi="Tahoma" w:cs="Tahoma"/>
          <w:color w:val="000000" w:themeColor="text1"/>
          <w:shd w:val="clear" w:color="auto" w:fill="FFFFFF"/>
        </w:rPr>
        <w:t>Asdrubal</w:t>
      </w:r>
      <w:proofErr w:type="spellEnd"/>
      <w:r w:rsidRPr="006E231F">
        <w:rPr>
          <w:rFonts w:ascii="Tahoma" w:hAnsi="Tahoma" w:cs="Tahoma"/>
          <w:color w:val="000000" w:themeColor="text1"/>
          <w:shd w:val="clear" w:color="auto" w:fill="FFFFFF"/>
        </w:rPr>
        <w:t xml:space="preserve"> Ardila </w:t>
      </w:r>
      <w:proofErr w:type="spellStart"/>
      <w:r w:rsidRPr="006E231F">
        <w:rPr>
          <w:rFonts w:ascii="Tahoma" w:hAnsi="Tahoma" w:cs="Tahoma"/>
          <w:color w:val="000000" w:themeColor="text1"/>
          <w:shd w:val="clear" w:color="auto" w:fill="FFFFFF"/>
        </w:rPr>
        <w:t>Rotavisque</w:t>
      </w:r>
      <w:proofErr w:type="spellEnd"/>
      <w:r w:rsidRPr="006E231F">
        <w:rPr>
          <w:rFonts w:ascii="Tahoma" w:hAnsi="Tahoma" w:cs="Tahoma"/>
          <w:color w:val="000000" w:themeColor="text1"/>
          <w:shd w:val="clear" w:color="auto" w:fill="FFFFFF"/>
        </w:rPr>
        <w:t xml:space="preserve"> falleció en abril de 2003, momento para el cual regía la ley 797 de 2003, en aplicación de la condición más beneficiosa y al tenor de la tesis acogida por la Sala Mayoritaria, el Acuerdo 049 de 1990 no es la norma que puede escrutarse para verificar si el afiliado dejó causada la pensión de sobrevivientes por no ser la que antecedía a la ley 797 de 2003, que si lo es la Ley 100 de 1993 original; por lo que acertó la primera instancia en no estudiar la prestación bajo </w:t>
      </w:r>
      <w:r w:rsidR="008D0AC8" w:rsidRPr="006E231F">
        <w:rPr>
          <w:rFonts w:ascii="Tahoma" w:hAnsi="Tahoma" w:cs="Tahoma"/>
          <w:color w:val="000000" w:themeColor="text1"/>
          <w:shd w:val="clear" w:color="auto" w:fill="FFFFFF"/>
        </w:rPr>
        <w:t>aquella</w:t>
      </w:r>
      <w:r w:rsidRPr="006E231F">
        <w:rPr>
          <w:rFonts w:ascii="Tahoma" w:hAnsi="Tahoma" w:cs="Tahoma"/>
          <w:color w:val="000000" w:themeColor="text1"/>
          <w:shd w:val="clear" w:color="auto" w:fill="FFFFFF"/>
        </w:rPr>
        <w:t xml:space="preserve"> norma.</w:t>
      </w:r>
    </w:p>
    <w:p w:rsidR="007E0901" w:rsidRPr="006E231F" w:rsidRDefault="007E0901" w:rsidP="006E231F">
      <w:pPr>
        <w:autoSpaceDE w:val="0"/>
        <w:autoSpaceDN w:val="0"/>
        <w:adjustRightInd w:val="0"/>
        <w:spacing w:line="276" w:lineRule="auto"/>
        <w:contextualSpacing/>
        <w:jc w:val="both"/>
        <w:rPr>
          <w:rFonts w:ascii="Tahoma" w:hAnsi="Tahoma" w:cs="Tahoma"/>
          <w:color w:val="000000"/>
        </w:rPr>
      </w:pPr>
    </w:p>
    <w:p w:rsidR="00D16761" w:rsidRPr="006E231F" w:rsidRDefault="00D16761" w:rsidP="006E231F">
      <w:pPr>
        <w:autoSpaceDE w:val="0"/>
        <w:autoSpaceDN w:val="0"/>
        <w:adjustRightInd w:val="0"/>
        <w:spacing w:line="276" w:lineRule="auto"/>
        <w:contextualSpacing/>
        <w:jc w:val="both"/>
        <w:rPr>
          <w:rFonts w:ascii="Tahoma" w:hAnsi="Tahoma" w:cs="Tahoma"/>
          <w:color w:val="000000"/>
          <w:lang w:eastAsia="es-CO"/>
        </w:rPr>
      </w:pPr>
      <w:r w:rsidRPr="006E231F">
        <w:rPr>
          <w:rFonts w:ascii="Tahoma" w:hAnsi="Tahoma" w:cs="Tahoma"/>
          <w:b/>
          <w:color w:val="000000" w:themeColor="text1"/>
          <w:lang w:eastAsia="es-CO"/>
        </w:rPr>
        <w:t xml:space="preserve">           </w:t>
      </w:r>
      <w:r w:rsidR="009E39D0" w:rsidRPr="006E231F">
        <w:rPr>
          <w:rFonts w:ascii="Tahoma" w:hAnsi="Tahoma" w:cs="Tahoma"/>
          <w:b/>
          <w:color w:val="000000" w:themeColor="text1"/>
          <w:lang w:eastAsia="es-CO"/>
        </w:rPr>
        <w:t>4.5.</w:t>
      </w:r>
      <w:r w:rsidR="009E39D0" w:rsidRPr="006E231F">
        <w:rPr>
          <w:rFonts w:ascii="Tahoma" w:hAnsi="Tahoma" w:cs="Tahoma"/>
          <w:color w:val="000000" w:themeColor="text1"/>
          <w:lang w:eastAsia="es-CO"/>
        </w:rPr>
        <w:t xml:space="preserve"> Pero esta última tampoco puede gobernar la situación de</w:t>
      </w:r>
      <w:r w:rsidRPr="006E231F">
        <w:rPr>
          <w:rFonts w:ascii="Tahoma" w:hAnsi="Tahoma" w:cs="Tahoma"/>
          <w:color w:val="000000" w:themeColor="text1"/>
          <w:lang w:eastAsia="es-CO"/>
        </w:rPr>
        <w:t>l afiliado fallecido</w:t>
      </w:r>
      <w:r w:rsidR="009E39D0" w:rsidRPr="006E231F">
        <w:rPr>
          <w:rFonts w:ascii="Tahoma" w:hAnsi="Tahoma" w:cs="Tahoma"/>
          <w:color w:val="000000" w:themeColor="text1"/>
          <w:lang w:eastAsia="es-CO"/>
        </w:rPr>
        <w:t xml:space="preserve">, en tanto el órgano de cierre de esta especialidad </w:t>
      </w:r>
      <w:r w:rsidRPr="006E231F">
        <w:rPr>
          <w:rFonts w:ascii="Tahoma" w:hAnsi="Tahoma" w:cs="Tahoma"/>
          <w:color w:val="000000"/>
        </w:rPr>
        <w:t>desde el año 2017</w:t>
      </w:r>
      <w:r w:rsidRPr="006E231F">
        <w:rPr>
          <w:rStyle w:val="Refdenotaalpie"/>
          <w:rFonts w:ascii="Tahoma" w:hAnsi="Tahoma" w:cs="Tahoma"/>
          <w:color w:val="000000"/>
        </w:rPr>
        <w:footnoteReference w:id="3"/>
      </w:r>
      <w:r w:rsidRPr="006E231F">
        <w:rPr>
          <w:rFonts w:ascii="Tahoma" w:hAnsi="Tahoma" w:cs="Tahoma"/>
          <w:color w:val="000000"/>
        </w:rPr>
        <w:t xml:space="preserve"> y de manera reiterada</w:t>
      </w:r>
      <w:r w:rsidRPr="006E231F">
        <w:rPr>
          <w:rStyle w:val="Refdenotaalpie"/>
          <w:rFonts w:ascii="Tahoma" w:hAnsi="Tahoma" w:cs="Tahoma"/>
          <w:color w:val="000000"/>
        </w:rPr>
        <w:footnoteReference w:id="4"/>
      </w:r>
      <w:r w:rsidRPr="006E231F">
        <w:rPr>
          <w:rFonts w:ascii="Tahoma" w:hAnsi="Tahoma" w:cs="Tahoma"/>
          <w:color w:val="000000"/>
        </w:rPr>
        <w:t xml:space="preserve"> precisó que la aplicación del principio</w:t>
      </w:r>
      <w:r w:rsidR="006E231F">
        <w:rPr>
          <w:rFonts w:ascii="Tahoma" w:hAnsi="Tahoma" w:cs="Tahoma"/>
          <w:color w:val="000000"/>
        </w:rPr>
        <w:t xml:space="preserve"> de la condición</w:t>
      </w:r>
      <w:r w:rsidR="00B32068" w:rsidRPr="006E231F">
        <w:rPr>
          <w:rFonts w:ascii="Tahoma" w:hAnsi="Tahoma" w:cs="Tahoma"/>
          <w:color w:val="000000"/>
        </w:rPr>
        <w:t xml:space="preserve"> más beneficiosa</w:t>
      </w:r>
      <w:r w:rsidRPr="006E231F">
        <w:rPr>
          <w:rFonts w:ascii="Tahoma" w:hAnsi="Tahoma" w:cs="Tahoma"/>
          <w:color w:val="000000"/>
        </w:rPr>
        <w:t xml:space="preserve"> no es ilimitado, sino temporal,</w:t>
      </w:r>
      <w:r w:rsidRPr="006E231F">
        <w:rPr>
          <w:rFonts w:ascii="Tahoma" w:hAnsi="Tahoma" w:cs="Tahoma"/>
          <w:color w:val="000000"/>
          <w:lang w:eastAsia="es-CO"/>
        </w:rPr>
        <w:t xml:space="preserve"> pues su finalidad es la de proteger a aquellas personas que tenían una expectativa legítima al momento de presentarse el cambio legislativo y del fallecimiento, entendida esta como la acumulación de las semanas necesarias para acceder a la prestación; es decir, 26 semanas en cualquier tiempo de estar activo al momento del cambio legislativo y/o muerte o 26 semanas en el año inmediatamente anterior al cambio normativo o deceso de no estar activo el afiliado para alguno de estos momentos, por lo que se les permite que en vigencia de la Ley 797 de 2003 acrediten los requisitos de la Ley 100 de 1993 original, y así planteó 4 supuestos fácticos diferentes en los que podría estar el afiliado fallecido, pero en todos ellos se exige que la contingencia –muerte- se presente dentro de los 3 años siguientes a la entrada en vigencia de aquella ley, esto es, del 29-01-2003 y el 29-01-2006.</w:t>
      </w:r>
    </w:p>
    <w:p w:rsidR="00D16761" w:rsidRPr="006E231F" w:rsidRDefault="00D16761" w:rsidP="006E231F">
      <w:pPr>
        <w:tabs>
          <w:tab w:val="left" w:pos="1230"/>
        </w:tabs>
        <w:autoSpaceDE w:val="0"/>
        <w:autoSpaceDN w:val="0"/>
        <w:adjustRightInd w:val="0"/>
        <w:spacing w:line="276" w:lineRule="auto"/>
        <w:contextualSpacing/>
        <w:jc w:val="both"/>
        <w:rPr>
          <w:rFonts w:ascii="Tahoma" w:hAnsi="Tahoma" w:cs="Tahoma"/>
          <w:color w:val="000000"/>
          <w:shd w:val="clear" w:color="auto" w:fill="FFFFFF"/>
        </w:rPr>
      </w:pPr>
      <w:r w:rsidRPr="006E231F">
        <w:rPr>
          <w:rFonts w:ascii="Tahoma" w:hAnsi="Tahoma" w:cs="Tahoma"/>
          <w:color w:val="000000"/>
        </w:rPr>
        <w:t xml:space="preserve">  </w:t>
      </w:r>
    </w:p>
    <w:p w:rsidR="00D16761" w:rsidRPr="006E231F" w:rsidRDefault="00CC2A06" w:rsidP="006E231F">
      <w:pPr>
        <w:shd w:val="clear" w:color="auto" w:fill="FFFFFF"/>
        <w:tabs>
          <w:tab w:val="left" w:pos="5197"/>
        </w:tabs>
        <w:spacing w:line="276" w:lineRule="auto"/>
        <w:contextualSpacing/>
        <w:jc w:val="both"/>
        <w:rPr>
          <w:rFonts w:ascii="Tahoma" w:hAnsi="Tahoma" w:cs="Tahoma"/>
          <w:color w:val="000000" w:themeColor="text1"/>
          <w:lang w:eastAsia="es-CO"/>
        </w:rPr>
      </w:pPr>
      <w:r w:rsidRPr="006E231F">
        <w:rPr>
          <w:rFonts w:ascii="Tahoma" w:hAnsi="Tahoma" w:cs="Tahoma"/>
          <w:color w:val="000000" w:themeColor="text1"/>
          <w:lang w:eastAsia="es-CO"/>
        </w:rPr>
        <w:t xml:space="preserve">           </w:t>
      </w:r>
      <w:r w:rsidR="00B32068" w:rsidRPr="006E231F">
        <w:rPr>
          <w:rFonts w:ascii="Tahoma" w:hAnsi="Tahoma" w:cs="Tahoma"/>
          <w:color w:val="000000" w:themeColor="text1"/>
          <w:lang w:eastAsia="es-CO"/>
        </w:rPr>
        <w:t xml:space="preserve">Y si bien el señor Ardila </w:t>
      </w:r>
      <w:proofErr w:type="spellStart"/>
      <w:r w:rsidR="00B32068" w:rsidRPr="006E231F">
        <w:rPr>
          <w:rFonts w:ascii="Tahoma" w:hAnsi="Tahoma" w:cs="Tahoma"/>
          <w:color w:val="000000" w:themeColor="text1"/>
          <w:lang w:eastAsia="es-CO"/>
        </w:rPr>
        <w:t>Rotavisque</w:t>
      </w:r>
      <w:proofErr w:type="spellEnd"/>
      <w:r w:rsidR="00B32068" w:rsidRPr="006E231F">
        <w:rPr>
          <w:rFonts w:ascii="Tahoma" w:hAnsi="Tahoma" w:cs="Tahoma"/>
          <w:color w:val="000000" w:themeColor="text1"/>
          <w:lang w:eastAsia="es-CO"/>
        </w:rPr>
        <w:t xml:space="preserve"> murió dentro del lapso referido, no cumplió los demás requisitos dados por la jurisprudencia, como son, siendo inactivo al momento del deceso y cambio normativo, como lo es el afiliado, cotice 26 semanas dentro del año anterior a estos dos momentos, sin que los </w:t>
      </w:r>
      <w:proofErr w:type="spellStart"/>
      <w:r w:rsidR="00B32068" w:rsidRPr="006E231F">
        <w:rPr>
          <w:rFonts w:ascii="Tahoma" w:hAnsi="Tahoma" w:cs="Tahoma"/>
          <w:color w:val="000000" w:themeColor="text1"/>
          <w:lang w:eastAsia="es-CO"/>
        </w:rPr>
        <w:t>satisfaciera</w:t>
      </w:r>
      <w:proofErr w:type="spellEnd"/>
      <w:r w:rsidR="00B32068" w:rsidRPr="006E231F">
        <w:rPr>
          <w:rFonts w:ascii="Tahoma" w:hAnsi="Tahoma" w:cs="Tahoma"/>
          <w:color w:val="000000" w:themeColor="text1"/>
          <w:lang w:eastAsia="es-CO"/>
        </w:rPr>
        <w:t xml:space="preserve">, al dejar de cotizar como ya se </w:t>
      </w:r>
      <w:proofErr w:type="spellStart"/>
      <w:r w:rsidR="00B32068" w:rsidRPr="006E231F">
        <w:rPr>
          <w:rFonts w:ascii="Tahoma" w:hAnsi="Tahoma" w:cs="Tahoma"/>
          <w:color w:val="000000" w:themeColor="text1"/>
          <w:lang w:eastAsia="es-CO"/>
        </w:rPr>
        <w:t>djo</w:t>
      </w:r>
      <w:proofErr w:type="spellEnd"/>
      <w:r w:rsidR="00B32068" w:rsidRPr="006E231F">
        <w:rPr>
          <w:rFonts w:ascii="Tahoma" w:hAnsi="Tahoma" w:cs="Tahoma"/>
          <w:color w:val="000000" w:themeColor="text1"/>
          <w:lang w:eastAsia="es-CO"/>
        </w:rPr>
        <w:t xml:space="preserve"> en el año de 1976.   </w:t>
      </w:r>
    </w:p>
    <w:p w:rsidR="005A51A7" w:rsidRPr="004D4DDE" w:rsidRDefault="00CC2A06" w:rsidP="004D4DDE">
      <w:pPr>
        <w:tabs>
          <w:tab w:val="left" w:pos="0"/>
        </w:tabs>
        <w:spacing w:line="276" w:lineRule="auto"/>
        <w:jc w:val="both"/>
        <w:rPr>
          <w:rFonts w:ascii="Tahoma" w:hAnsi="Tahoma" w:cs="Tahoma"/>
        </w:rPr>
      </w:pPr>
      <w:r w:rsidRPr="004D4DDE">
        <w:rPr>
          <w:rFonts w:ascii="Tahoma" w:hAnsi="Tahoma" w:cs="Tahoma"/>
        </w:rPr>
        <w:lastRenderedPageBreak/>
        <w:t xml:space="preserve">   </w:t>
      </w:r>
    </w:p>
    <w:p w:rsidR="003626B8" w:rsidRPr="006E231F" w:rsidRDefault="003626B8" w:rsidP="006E231F">
      <w:pPr>
        <w:autoSpaceDE w:val="0"/>
        <w:autoSpaceDN w:val="0"/>
        <w:adjustRightInd w:val="0"/>
        <w:spacing w:line="276" w:lineRule="auto"/>
        <w:contextualSpacing/>
        <w:jc w:val="both"/>
        <w:rPr>
          <w:rFonts w:ascii="Tahoma" w:hAnsi="Tahoma" w:cs="Tahoma"/>
        </w:rPr>
      </w:pPr>
      <w:r w:rsidRPr="006E231F">
        <w:rPr>
          <w:rFonts w:ascii="Tahoma" w:hAnsi="Tahoma" w:cs="Tahoma"/>
          <w:color w:val="000000"/>
        </w:rPr>
        <w:t xml:space="preserve">           En consecuencia, el señor </w:t>
      </w:r>
      <w:r w:rsidRPr="006E231F">
        <w:rPr>
          <w:rFonts w:ascii="Tahoma" w:hAnsi="Tahoma" w:cs="Tahoma"/>
        </w:rPr>
        <w:t xml:space="preserve">Ardila </w:t>
      </w:r>
      <w:proofErr w:type="spellStart"/>
      <w:r w:rsidRPr="006E231F">
        <w:rPr>
          <w:rFonts w:ascii="Tahoma" w:hAnsi="Tahoma" w:cs="Tahoma"/>
        </w:rPr>
        <w:t>Rotavisque</w:t>
      </w:r>
      <w:proofErr w:type="spellEnd"/>
      <w:r w:rsidRPr="006E231F">
        <w:rPr>
          <w:rFonts w:ascii="Tahoma" w:hAnsi="Tahoma" w:cs="Tahoma"/>
        </w:rPr>
        <w:t xml:space="preserve"> no dejó causado el derecho para que sus posibles beneficiarios accedieran a la pensión de sobrevivientes, por lo que hizo bien la jueza al negar las pretensiones de la demanda.</w:t>
      </w:r>
    </w:p>
    <w:p w:rsidR="003626B8" w:rsidRPr="006E231F" w:rsidRDefault="003626B8" w:rsidP="006E231F">
      <w:pPr>
        <w:pStyle w:val="Sinespaciado"/>
        <w:spacing w:line="276" w:lineRule="auto"/>
        <w:rPr>
          <w:rFonts w:ascii="Tahoma" w:hAnsi="Tahoma" w:cs="Tahoma"/>
        </w:rPr>
      </w:pPr>
    </w:p>
    <w:p w:rsidR="003626B8" w:rsidRPr="006E231F" w:rsidRDefault="003626B8" w:rsidP="006E231F">
      <w:pPr>
        <w:pStyle w:val="Sinespaciado"/>
        <w:spacing w:line="276" w:lineRule="auto"/>
        <w:contextualSpacing/>
        <w:jc w:val="center"/>
        <w:rPr>
          <w:rFonts w:ascii="Tahoma" w:hAnsi="Tahoma" w:cs="Tahoma"/>
          <w:b/>
        </w:rPr>
      </w:pPr>
      <w:r w:rsidRPr="006E231F">
        <w:rPr>
          <w:rFonts w:ascii="Tahoma" w:hAnsi="Tahoma" w:cs="Tahoma"/>
          <w:b/>
        </w:rPr>
        <w:t>CONCLUSIÓN</w:t>
      </w:r>
    </w:p>
    <w:p w:rsidR="003626B8" w:rsidRPr="006E231F" w:rsidRDefault="003626B8" w:rsidP="006E231F">
      <w:pPr>
        <w:pStyle w:val="Sinespaciado"/>
        <w:spacing w:line="276" w:lineRule="auto"/>
        <w:rPr>
          <w:rFonts w:ascii="Tahoma" w:hAnsi="Tahoma" w:cs="Tahoma"/>
        </w:rPr>
      </w:pPr>
    </w:p>
    <w:p w:rsidR="00EF11B4" w:rsidRPr="006E231F" w:rsidRDefault="003626B8" w:rsidP="006E231F">
      <w:pPr>
        <w:spacing w:line="276" w:lineRule="auto"/>
        <w:jc w:val="both"/>
        <w:rPr>
          <w:rFonts w:ascii="Tahoma" w:hAnsi="Tahoma" w:cs="Tahoma"/>
        </w:rPr>
      </w:pPr>
      <w:r w:rsidRPr="006E231F">
        <w:rPr>
          <w:rFonts w:ascii="Tahoma" w:hAnsi="Tahoma" w:cs="Tahoma"/>
          <w:color w:val="000000"/>
          <w:lang w:eastAsia="es-CO"/>
        </w:rPr>
        <w:t xml:space="preserve">Conforme lo expuesto, la decisión revisada será confirmada. </w:t>
      </w:r>
      <w:r w:rsidR="00B51FC4" w:rsidRPr="006E231F">
        <w:rPr>
          <w:rFonts w:ascii="Tahoma" w:hAnsi="Tahoma" w:cs="Tahoma"/>
        </w:rPr>
        <w:t>Sin costas en este grado jurisdiccional.</w:t>
      </w:r>
    </w:p>
    <w:p w:rsidR="00EF11B4" w:rsidRPr="004D4DDE" w:rsidRDefault="00EF11B4" w:rsidP="004D4DDE">
      <w:pPr>
        <w:tabs>
          <w:tab w:val="left" w:pos="0"/>
        </w:tabs>
        <w:spacing w:line="276" w:lineRule="auto"/>
        <w:jc w:val="both"/>
        <w:rPr>
          <w:rFonts w:ascii="Tahoma" w:hAnsi="Tahoma" w:cs="Tahoma"/>
        </w:rPr>
      </w:pPr>
    </w:p>
    <w:p w:rsidR="003626B8" w:rsidRPr="006E231F" w:rsidRDefault="003626B8" w:rsidP="006E231F">
      <w:pPr>
        <w:pStyle w:val="Sinespaciado"/>
        <w:spacing w:line="276" w:lineRule="auto"/>
        <w:contextualSpacing/>
        <w:jc w:val="center"/>
        <w:rPr>
          <w:rFonts w:ascii="Tahoma" w:hAnsi="Tahoma" w:cs="Tahoma"/>
          <w:b/>
        </w:rPr>
      </w:pPr>
      <w:r w:rsidRPr="006E231F">
        <w:rPr>
          <w:rFonts w:ascii="Tahoma" w:hAnsi="Tahoma" w:cs="Tahoma"/>
          <w:b/>
        </w:rPr>
        <w:t>DECISIÓN</w:t>
      </w:r>
    </w:p>
    <w:p w:rsidR="003626B8" w:rsidRPr="006E231F" w:rsidRDefault="003626B8" w:rsidP="006E231F">
      <w:pPr>
        <w:pStyle w:val="Sinespaciado"/>
        <w:spacing w:line="276" w:lineRule="auto"/>
        <w:contextualSpacing/>
        <w:rPr>
          <w:rFonts w:ascii="Tahoma" w:hAnsi="Tahoma" w:cs="Tahoma"/>
        </w:rPr>
      </w:pPr>
    </w:p>
    <w:p w:rsidR="00EF11B4" w:rsidRPr="006E231F" w:rsidRDefault="00EF11B4" w:rsidP="006E231F">
      <w:pPr>
        <w:pStyle w:val="Sangradetextonormal"/>
        <w:spacing w:line="276" w:lineRule="auto"/>
      </w:pPr>
      <w:r w:rsidRPr="006E231F">
        <w:t xml:space="preserve">En mérito de lo expuesto, el </w:t>
      </w:r>
      <w:r w:rsidRPr="006E231F">
        <w:rPr>
          <w:b/>
        </w:rPr>
        <w:t>Tribunal Superior del Distrito Judicial de Pereira (Risaralda)</w:t>
      </w:r>
      <w:r w:rsidRPr="006E231F">
        <w:t xml:space="preserve">, </w:t>
      </w:r>
      <w:r w:rsidRPr="006E231F">
        <w:rPr>
          <w:b/>
        </w:rPr>
        <w:t>Sala laboral</w:t>
      </w:r>
      <w:r w:rsidRPr="006E231F">
        <w:t>, administrando justicia en nombre de la República y por autoridad de la Ley,</w:t>
      </w:r>
    </w:p>
    <w:p w:rsidR="00941EAC" w:rsidRPr="004D4DDE" w:rsidRDefault="00941EAC" w:rsidP="004D4DDE">
      <w:pPr>
        <w:tabs>
          <w:tab w:val="left" w:pos="0"/>
        </w:tabs>
        <w:spacing w:line="276" w:lineRule="auto"/>
        <w:jc w:val="both"/>
        <w:rPr>
          <w:rFonts w:ascii="Tahoma" w:hAnsi="Tahoma" w:cs="Tahoma"/>
        </w:rPr>
      </w:pPr>
    </w:p>
    <w:p w:rsidR="00EF11B4" w:rsidRPr="006E231F" w:rsidRDefault="00EF11B4" w:rsidP="006E231F">
      <w:pPr>
        <w:widowControl w:val="0"/>
        <w:autoSpaceDE w:val="0"/>
        <w:autoSpaceDN w:val="0"/>
        <w:adjustRightInd w:val="0"/>
        <w:spacing w:line="276" w:lineRule="auto"/>
        <w:jc w:val="center"/>
        <w:rPr>
          <w:rFonts w:ascii="Tahoma" w:hAnsi="Tahoma" w:cs="Tahoma"/>
          <w:b/>
        </w:rPr>
      </w:pPr>
      <w:r w:rsidRPr="006E231F">
        <w:rPr>
          <w:rFonts w:ascii="Tahoma" w:hAnsi="Tahoma" w:cs="Tahoma"/>
          <w:b/>
        </w:rPr>
        <w:t>R E S U E L V E:</w:t>
      </w:r>
    </w:p>
    <w:p w:rsidR="00EF11B4" w:rsidRPr="006E231F" w:rsidRDefault="00EF11B4" w:rsidP="004D4DDE">
      <w:pPr>
        <w:tabs>
          <w:tab w:val="left" w:pos="0"/>
        </w:tabs>
        <w:spacing w:line="276" w:lineRule="auto"/>
        <w:jc w:val="both"/>
        <w:rPr>
          <w:rFonts w:ascii="Tahoma" w:hAnsi="Tahoma" w:cs="Tahoma"/>
        </w:rPr>
      </w:pPr>
    </w:p>
    <w:p w:rsidR="00B51FC4" w:rsidRPr="006E231F" w:rsidRDefault="00EF11B4" w:rsidP="006E231F">
      <w:pPr>
        <w:spacing w:line="276" w:lineRule="auto"/>
        <w:ind w:firstLine="708"/>
        <w:jc w:val="both"/>
        <w:rPr>
          <w:rFonts w:ascii="Tahoma" w:hAnsi="Tahoma" w:cs="Tahoma"/>
          <w:lang w:val="es-ES_tradnl"/>
        </w:rPr>
      </w:pPr>
      <w:r w:rsidRPr="006E231F">
        <w:rPr>
          <w:rFonts w:ascii="Tahoma" w:hAnsi="Tahoma" w:cs="Tahoma"/>
          <w:b/>
          <w:u w:val="single"/>
        </w:rPr>
        <w:t>PRIMERO</w:t>
      </w:r>
      <w:r w:rsidRPr="006E231F">
        <w:rPr>
          <w:rFonts w:ascii="Tahoma" w:hAnsi="Tahoma" w:cs="Tahoma"/>
        </w:rPr>
        <w:t xml:space="preserve">.- </w:t>
      </w:r>
      <w:r w:rsidR="00B51FC4" w:rsidRPr="006E231F">
        <w:rPr>
          <w:rFonts w:ascii="Tahoma" w:hAnsi="Tahoma" w:cs="Tahoma"/>
          <w:b/>
        </w:rPr>
        <w:t>CONFIRMAR</w:t>
      </w:r>
      <w:r w:rsidRPr="006E231F">
        <w:rPr>
          <w:rFonts w:ascii="Tahoma" w:hAnsi="Tahoma" w:cs="Tahoma"/>
        </w:rPr>
        <w:t xml:space="preserve"> la sentencia proferida</w:t>
      </w:r>
      <w:r w:rsidR="003A5F13" w:rsidRPr="006E231F">
        <w:rPr>
          <w:rFonts w:ascii="Tahoma" w:hAnsi="Tahoma" w:cs="Tahoma"/>
        </w:rPr>
        <w:t xml:space="preserve"> el 06 de julio de 2018</w:t>
      </w:r>
      <w:r w:rsidRPr="006E231F">
        <w:rPr>
          <w:rFonts w:ascii="Tahoma" w:hAnsi="Tahoma" w:cs="Tahoma"/>
        </w:rPr>
        <w:t xml:space="preserve"> por el Juzgado </w:t>
      </w:r>
      <w:r w:rsidR="00B51FC4" w:rsidRPr="006E231F">
        <w:rPr>
          <w:rFonts w:ascii="Tahoma" w:hAnsi="Tahoma" w:cs="Tahoma"/>
        </w:rPr>
        <w:t>Segundo</w:t>
      </w:r>
      <w:r w:rsidRPr="006E231F">
        <w:rPr>
          <w:rFonts w:ascii="Tahoma" w:hAnsi="Tahoma" w:cs="Tahoma"/>
        </w:rPr>
        <w:t xml:space="preserve"> Laboral del Circuito de Pereira dentro del proceso laboral</w:t>
      </w:r>
      <w:r w:rsidRPr="006E231F">
        <w:rPr>
          <w:rFonts w:ascii="Tahoma" w:hAnsi="Tahoma" w:cs="Tahoma"/>
          <w:lang w:val="es-ES_tradnl"/>
        </w:rPr>
        <w:t xml:space="preserve"> i</w:t>
      </w:r>
      <w:r w:rsidR="00B51FC4" w:rsidRPr="006E231F">
        <w:rPr>
          <w:rFonts w:ascii="Tahoma" w:hAnsi="Tahoma" w:cs="Tahoma"/>
          <w:lang w:val="es-ES_tradnl"/>
        </w:rPr>
        <w:t>nstaurado por la señora</w:t>
      </w:r>
      <w:r w:rsidR="00B51FC4" w:rsidRPr="006E231F">
        <w:rPr>
          <w:rFonts w:ascii="Tahoma" w:hAnsi="Tahoma" w:cs="Tahoma"/>
          <w:b/>
          <w:lang w:val="es-ES_tradnl"/>
        </w:rPr>
        <w:t xml:space="preserve"> Luz Mary Blandón Osorio </w:t>
      </w:r>
      <w:r w:rsidR="00B51FC4" w:rsidRPr="006E231F">
        <w:rPr>
          <w:rFonts w:ascii="Tahoma" w:hAnsi="Tahoma" w:cs="Tahoma"/>
          <w:lang w:val="es-ES_tradnl"/>
        </w:rPr>
        <w:t xml:space="preserve">en contra de la </w:t>
      </w:r>
      <w:r w:rsidR="00B51FC4" w:rsidRPr="006E231F">
        <w:rPr>
          <w:rFonts w:ascii="Tahoma" w:hAnsi="Tahoma" w:cs="Tahoma"/>
          <w:b/>
          <w:lang w:val="es-ES_tradnl"/>
        </w:rPr>
        <w:t>Administradora Colombiana de Pensiones – Colpensiones</w:t>
      </w:r>
      <w:r w:rsidR="003A5F13" w:rsidRPr="006E231F">
        <w:rPr>
          <w:rFonts w:ascii="Tahoma" w:hAnsi="Tahoma" w:cs="Tahoma"/>
          <w:lang w:val="es-ES_tradnl"/>
        </w:rPr>
        <w:t>.</w:t>
      </w:r>
    </w:p>
    <w:p w:rsidR="00B51FC4" w:rsidRPr="006E231F" w:rsidRDefault="00B51FC4" w:rsidP="006E231F">
      <w:pPr>
        <w:spacing w:line="276" w:lineRule="auto"/>
        <w:ind w:firstLine="708"/>
        <w:jc w:val="both"/>
        <w:rPr>
          <w:rFonts w:ascii="Tahoma" w:hAnsi="Tahoma" w:cs="Tahoma"/>
          <w:lang w:val="es-ES_tradnl"/>
        </w:rPr>
      </w:pPr>
    </w:p>
    <w:p w:rsidR="00EF11B4" w:rsidRPr="006E231F" w:rsidRDefault="00EF11B4" w:rsidP="006E231F">
      <w:pPr>
        <w:spacing w:line="276" w:lineRule="auto"/>
        <w:ind w:firstLine="708"/>
        <w:jc w:val="both"/>
        <w:rPr>
          <w:rFonts w:ascii="Tahoma" w:hAnsi="Tahoma" w:cs="Tahoma"/>
        </w:rPr>
      </w:pPr>
      <w:r w:rsidRPr="006E231F">
        <w:rPr>
          <w:rFonts w:ascii="Tahoma" w:hAnsi="Tahoma" w:cs="Tahoma"/>
          <w:b/>
          <w:u w:val="single"/>
          <w:lang w:val="es-ES_tradnl"/>
        </w:rPr>
        <w:t>SEGUNDO</w:t>
      </w:r>
      <w:r w:rsidRPr="006E231F">
        <w:rPr>
          <w:rFonts w:ascii="Tahoma" w:hAnsi="Tahoma" w:cs="Tahoma"/>
          <w:b/>
          <w:lang w:val="es-ES_tradnl"/>
        </w:rPr>
        <w:t xml:space="preserve">.- </w:t>
      </w:r>
      <w:r w:rsidR="00B51FC4" w:rsidRPr="006E231F">
        <w:rPr>
          <w:rFonts w:ascii="Tahoma" w:hAnsi="Tahoma" w:cs="Tahoma"/>
          <w:b/>
          <w:lang w:val="es-ES_tradnl"/>
        </w:rPr>
        <w:t xml:space="preserve">SIN COSTAS </w:t>
      </w:r>
      <w:r w:rsidR="00B51FC4" w:rsidRPr="006E231F">
        <w:rPr>
          <w:rFonts w:ascii="Tahoma" w:hAnsi="Tahoma" w:cs="Tahoma"/>
          <w:lang w:val="es-ES_tradnl"/>
        </w:rPr>
        <w:t>en este grado jurisdiccional.</w:t>
      </w:r>
    </w:p>
    <w:p w:rsidR="005D1A51" w:rsidRPr="006E231F" w:rsidRDefault="005D1A51" w:rsidP="006E231F">
      <w:pPr>
        <w:pStyle w:val="Sinespaciado"/>
        <w:spacing w:line="276" w:lineRule="auto"/>
        <w:ind w:firstLine="709"/>
        <w:rPr>
          <w:rFonts w:ascii="Tahoma" w:hAnsi="Tahoma" w:cs="Tahoma"/>
          <w:b/>
          <w:u w:val="single"/>
        </w:rPr>
      </w:pPr>
    </w:p>
    <w:p w:rsidR="00EF11B4" w:rsidRPr="006E231F" w:rsidRDefault="00EF11B4" w:rsidP="006E231F">
      <w:pPr>
        <w:widowControl w:val="0"/>
        <w:autoSpaceDE w:val="0"/>
        <w:autoSpaceDN w:val="0"/>
        <w:adjustRightInd w:val="0"/>
        <w:spacing w:line="276" w:lineRule="auto"/>
        <w:ind w:firstLine="709"/>
        <w:jc w:val="both"/>
        <w:rPr>
          <w:rFonts w:ascii="Tahoma" w:hAnsi="Tahoma" w:cs="Tahoma"/>
          <w:b/>
          <w:bCs/>
        </w:rPr>
      </w:pPr>
      <w:r w:rsidRPr="006E231F">
        <w:rPr>
          <w:rFonts w:ascii="Tahoma" w:hAnsi="Tahoma" w:cs="Tahoma"/>
          <w:b/>
          <w:bCs/>
        </w:rPr>
        <w:t>Notificación surtida en estrados.</w:t>
      </w:r>
    </w:p>
    <w:p w:rsidR="00EF11B4" w:rsidRPr="006E231F" w:rsidRDefault="00EF11B4" w:rsidP="006E231F">
      <w:pPr>
        <w:pStyle w:val="Sinespaciado"/>
        <w:spacing w:line="276" w:lineRule="auto"/>
        <w:ind w:firstLine="709"/>
        <w:rPr>
          <w:rFonts w:ascii="Tahoma" w:hAnsi="Tahoma" w:cs="Tahoma"/>
        </w:rPr>
      </w:pPr>
    </w:p>
    <w:p w:rsidR="00EF11B4" w:rsidRPr="006E231F" w:rsidRDefault="00EF11B4" w:rsidP="006E231F">
      <w:pPr>
        <w:widowControl w:val="0"/>
        <w:autoSpaceDE w:val="0"/>
        <w:autoSpaceDN w:val="0"/>
        <w:adjustRightInd w:val="0"/>
        <w:spacing w:line="276" w:lineRule="auto"/>
        <w:ind w:firstLine="709"/>
        <w:jc w:val="both"/>
        <w:rPr>
          <w:rFonts w:ascii="Tahoma" w:hAnsi="Tahoma" w:cs="Tahoma"/>
        </w:rPr>
      </w:pPr>
      <w:r w:rsidRPr="006E231F">
        <w:rPr>
          <w:rFonts w:ascii="Tahoma" w:hAnsi="Tahoma" w:cs="Tahoma"/>
          <w:b/>
        </w:rPr>
        <w:t>Cúmplase</w:t>
      </w:r>
      <w:r w:rsidRPr="006E231F">
        <w:rPr>
          <w:rFonts w:ascii="Tahoma" w:hAnsi="Tahoma" w:cs="Tahoma"/>
        </w:rPr>
        <w:t xml:space="preserve"> y </w:t>
      </w:r>
      <w:r w:rsidRPr="006E231F">
        <w:rPr>
          <w:rFonts w:ascii="Tahoma" w:hAnsi="Tahoma" w:cs="Tahoma"/>
          <w:b/>
        </w:rPr>
        <w:t>devuélvase</w:t>
      </w:r>
      <w:r w:rsidRPr="006E231F">
        <w:rPr>
          <w:rFonts w:ascii="Tahoma" w:hAnsi="Tahoma" w:cs="Tahoma"/>
        </w:rPr>
        <w:t xml:space="preserve"> el expediente al Juzgado de origen.</w:t>
      </w:r>
    </w:p>
    <w:p w:rsidR="00EF11B4" w:rsidRPr="006E231F" w:rsidRDefault="00EF11B4" w:rsidP="006E231F">
      <w:pPr>
        <w:pStyle w:val="Sinespaciado"/>
        <w:spacing w:line="276" w:lineRule="auto"/>
        <w:ind w:firstLine="709"/>
        <w:rPr>
          <w:rFonts w:ascii="Tahoma" w:hAnsi="Tahoma" w:cs="Tahoma"/>
        </w:rPr>
      </w:pPr>
    </w:p>
    <w:p w:rsidR="00EF11B4" w:rsidRPr="006E231F" w:rsidRDefault="00EF11B4" w:rsidP="006E231F">
      <w:pPr>
        <w:spacing w:line="276" w:lineRule="auto"/>
        <w:ind w:firstLine="709"/>
        <w:jc w:val="both"/>
        <w:rPr>
          <w:rFonts w:ascii="Tahoma" w:hAnsi="Tahoma" w:cs="Tahoma"/>
        </w:rPr>
      </w:pPr>
      <w:r w:rsidRPr="006E231F">
        <w:rPr>
          <w:rFonts w:ascii="Tahoma" w:hAnsi="Tahoma" w:cs="Tahoma"/>
        </w:rPr>
        <w:t>La</w:t>
      </w:r>
      <w:r w:rsidR="003A5F13" w:rsidRPr="006E231F">
        <w:rPr>
          <w:rFonts w:ascii="Tahoma" w:hAnsi="Tahoma" w:cs="Tahoma"/>
        </w:rPr>
        <w:t>s</w:t>
      </w:r>
      <w:r w:rsidRPr="006E231F">
        <w:rPr>
          <w:rFonts w:ascii="Tahoma" w:hAnsi="Tahoma" w:cs="Tahoma"/>
        </w:rPr>
        <w:t xml:space="preserve"> Magistrada</w:t>
      </w:r>
      <w:r w:rsidR="003A5F13" w:rsidRPr="006E231F">
        <w:rPr>
          <w:rFonts w:ascii="Tahoma" w:hAnsi="Tahoma" w:cs="Tahoma"/>
        </w:rPr>
        <w:t>s</w:t>
      </w:r>
      <w:r w:rsidRPr="006E231F">
        <w:rPr>
          <w:rFonts w:ascii="Tahoma" w:hAnsi="Tahoma" w:cs="Tahoma"/>
        </w:rPr>
        <w:t>,</w:t>
      </w:r>
    </w:p>
    <w:p w:rsidR="00B51FC4" w:rsidRPr="006E231F" w:rsidRDefault="00B51FC4" w:rsidP="00EA2110">
      <w:pPr>
        <w:pStyle w:val="Sinespaciado"/>
        <w:spacing w:line="276" w:lineRule="auto"/>
        <w:jc w:val="both"/>
        <w:rPr>
          <w:rFonts w:ascii="Tahoma" w:hAnsi="Tahoma" w:cs="Tahoma"/>
        </w:rPr>
      </w:pPr>
    </w:p>
    <w:p w:rsidR="00EA2110" w:rsidRPr="00EA2110" w:rsidRDefault="00EA2110" w:rsidP="00EA2110">
      <w:pPr>
        <w:jc w:val="both"/>
      </w:pPr>
    </w:p>
    <w:p w:rsidR="006E231F" w:rsidRDefault="006E231F" w:rsidP="00EA2110">
      <w:pPr>
        <w:jc w:val="both"/>
      </w:pPr>
    </w:p>
    <w:p w:rsidR="004D4DDE" w:rsidRPr="006E231F" w:rsidRDefault="004D4DDE" w:rsidP="00EA2110">
      <w:pPr>
        <w:jc w:val="both"/>
      </w:pPr>
    </w:p>
    <w:p w:rsidR="006E231F" w:rsidRDefault="00EF11B4" w:rsidP="006E231F">
      <w:pPr>
        <w:pStyle w:val="Ttulo3"/>
        <w:spacing w:before="0" w:after="0" w:line="276" w:lineRule="auto"/>
        <w:rPr>
          <w:rFonts w:ascii="Tahoma" w:hAnsi="Tahoma" w:cs="Tahoma"/>
          <w:sz w:val="24"/>
          <w:szCs w:val="24"/>
        </w:rPr>
      </w:pPr>
      <w:r w:rsidRPr="006E231F">
        <w:rPr>
          <w:rFonts w:ascii="Tahoma" w:hAnsi="Tahoma" w:cs="Tahoma"/>
          <w:sz w:val="24"/>
          <w:szCs w:val="24"/>
        </w:rPr>
        <w:t>ANA LUCÍA CAICEDO CALDERÓN</w:t>
      </w:r>
      <w:r w:rsidR="006E231F">
        <w:rPr>
          <w:rFonts w:ascii="Tahoma" w:hAnsi="Tahoma" w:cs="Tahoma"/>
          <w:sz w:val="24"/>
          <w:szCs w:val="24"/>
        </w:rPr>
        <w:tab/>
      </w:r>
      <w:r w:rsidR="006E231F">
        <w:rPr>
          <w:rFonts w:ascii="Tahoma" w:hAnsi="Tahoma" w:cs="Tahoma"/>
          <w:sz w:val="24"/>
          <w:szCs w:val="24"/>
        </w:rPr>
        <w:tab/>
        <w:t xml:space="preserve"> OLGA LUCÍA HOYOS SEPÚLVEDA</w:t>
      </w:r>
    </w:p>
    <w:p w:rsidR="003A5F13" w:rsidRPr="004E511E" w:rsidRDefault="003626B8" w:rsidP="006E231F">
      <w:pPr>
        <w:pStyle w:val="Ttulo3"/>
        <w:spacing w:before="0" w:after="0" w:line="276" w:lineRule="auto"/>
        <w:rPr>
          <w:rFonts w:ascii="Tahoma" w:hAnsi="Tahoma" w:cs="Tahoma"/>
          <w:sz w:val="24"/>
          <w:szCs w:val="24"/>
        </w:rPr>
      </w:pPr>
      <w:r w:rsidRPr="004E511E">
        <w:rPr>
          <w:rFonts w:ascii="Tahoma" w:hAnsi="Tahoma" w:cs="Tahoma"/>
          <w:b w:val="0"/>
          <w:sz w:val="24"/>
          <w:szCs w:val="24"/>
        </w:rPr>
        <w:t>Aclara voto</w:t>
      </w:r>
    </w:p>
    <w:p w:rsidR="003A5F13" w:rsidRDefault="003A5F13" w:rsidP="004D4DDE">
      <w:pPr>
        <w:tabs>
          <w:tab w:val="left" w:pos="0"/>
        </w:tabs>
        <w:spacing w:line="276" w:lineRule="auto"/>
        <w:jc w:val="both"/>
        <w:rPr>
          <w:rFonts w:ascii="Tahoma" w:hAnsi="Tahoma" w:cs="Tahoma"/>
        </w:rPr>
      </w:pPr>
    </w:p>
    <w:p w:rsidR="004D4DDE" w:rsidRDefault="004D4DDE" w:rsidP="004D4DDE">
      <w:pPr>
        <w:tabs>
          <w:tab w:val="left" w:pos="0"/>
        </w:tabs>
        <w:spacing w:line="276" w:lineRule="auto"/>
        <w:jc w:val="both"/>
        <w:rPr>
          <w:rFonts w:ascii="Tahoma" w:hAnsi="Tahoma" w:cs="Tahoma"/>
        </w:rPr>
      </w:pPr>
    </w:p>
    <w:p w:rsidR="00583044" w:rsidRPr="006E231F" w:rsidRDefault="003A5F13" w:rsidP="006E231F">
      <w:pPr>
        <w:spacing w:line="276" w:lineRule="auto"/>
        <w:ind w:firstLine="709"/>
        <w:jc w:val="both"/>
        <w:rPr>
          <w:rFonts w:ascii="Tahoma" w:hAnsi="Tahoma" w:cs="Tahoma"/>
        </w:rPr>
      </w:pPr>
      <w:r w:rsidRPr="006E231F">
        <w:rPr>
          <w:rFonts w:ascii="Tahoma" w:hAnsi="Tahoma" w:cs="Tahoma"/>
        </w:rPr>
        <w:t>El Magistrado</w:t>
      </w:r>
      <w:r w:rsidR="00583044" w:rsidRPr="006E231F">
        <w:rPr>
          <w:rFonts w:ascii="Tahoma" w:hAnsi="Tahoma" w:cs="Tahoma"/>
        </w:rPr>
        <w:t>,</w:t>
      </w:r>
    </w:p>
    <w:p w:rsidR="00DF17AC" w:rsidRPr="00EA2110" w:rsidRDefault="00DF17AC" w:rsidP="00EA2110">
      <w:pPr>
        <w:pStyle w:val="Sinespaciado"/>
        <w:spacing w:line="276" w:lineRule="auto"/>
        <w:jc w:val="both"/>
        <w:rPr>
          <w:rFonts w:ascii="Tahoma" w:hAnsi="Tahoma" w:cs="Tahoma"/>
        </w:rPr>
      </w:pPr>
    </w:p>
    <w:p w:rsidR="008F43A5" w:rsidRPr="00EA2110" w:rsidRDefault="008F43A5" w:rsidP="00EA2110">
      <w:pPr>
        <w:pStyle w:val="Sinespaciado"/>
        <w:spacing w:line="276" w:lineRule="auto"/>
        <w:jc w:val="both"/>
        <w:rPr>
          <w:rFonts w:ascii="Tahoma" w:hAnsi="Tahoma" w:cs="Tahoma"/>
        </w:rPr>
      </w:pPr>
    </w:p>
    <w:p w:rsidR="00DF17AC" w:rsidRDefault="00DF17AC" w:rsidP="006E231F">
      <w:pPr>
        <w:spacing w:line="276" w:lineRule="auto"/>
        <w:jc w:val="center"/>
        <w:rPr>
          <w:rFonts w:ascii="Tahoma" w:hAnsi="Tahoma" w:cs="Tahoma"/>
          <w:b/>
        </w:rPr>
      </w:pPr>
      <w:r w:rsidRPr="006E231F">
        <w:rPr>
          <w:rFonts w:ascii="Tahoma" w:hAnsi="Tahoma" w:cs="Tahoma"/>
          <w:b/>
        </w:rPr>
        <w:t>JULIO CÉSAR SALAZAR MUÑOZ</w:t>
      </w:r>
    </w:p>
    <w:p w:rsidR="00D164CF" w:rsidRDefault="00D164CF" w:rsidP="00D164CF">
      <w:pPr>
        <w:spacing w:line="276" w:lineRule="auto"/>
        <w:rPr>
          <w:rFonts w:ascii="Tahoma" w:hAnsi="Tahoma" w:cs="Tahoma"/>
          <w:b/>
        </w:rPr>
      </w:pPr>
    </w:p>
    <w:p w:rsidR="00D164CF" w:rsidRDefault="00D164CF">
      <w:pPr>
        <w:spacing w:after="160" w:line="259" w:lineRule="auto"/>
        <w:rPr>
          <w:rFonts w:ascii="Tahoma" w:hAnsi="Tahoma" w:cs="Tahoma"/>
          <w:b/>
        </w:rPr>
      </w:pPr>
      <w:r>
        <w:rPr>
          <w:rFonts w:ascii="Tahoma" w:hAnsi="Tahoma" w:cs="Tahoma"/>
          <w:b/>
        </w:rPr>
        <w:br w:type="page"/>
      </w:r>
    </w:p>
    <w:p w:rsidR="00D164CF" w:rsidRPr="00D164CF" w:rsidRDefault="00D164CF" w:rsidP="00D164CF">
      <w:pPr>
        <w:widowControl w:val="0"/>
        <w:autoSpaceDE w:val="0"/>
        <w:autoSpaceDN w:val="0"/>
        <w:adjustRightInd w:val="0"/>
        <w:jc w:val="both"/>
        <w:rPr>
          <w:rFonts w:ascii="Tahoma" w:hAnsi="Tahoma" w:cs="Tahoma"/>
          <w:color w:val="000000" w:themeColor="text1"/>
          <w:sz w:val="22"/>
          <w:szCs w:val="18"/>
        </w:rPr>
      </w:pPr>
      <w:r w:rsidRPr="00D164CF">
        <w:rPr>
          <w:rFonts w:ascii="Tahoma" w:hAnsi="Tahoma" w:cs="Tahoma"/>
          <w:color w:val="000000" w:themeColor="text1"/>
          <w:sz w:val="22"/>
          <w:szCs w:val="18"/>
        </w:rPr>
        <w:lastRenderedPageBreak/>
        <w:t xml:space="preserve">Providencia: </w:t>
      </w:r>
      <w:r w:rsidRPr="00D164CF">
        <w:rPr>
          <w:rFonts w:ascii="Tahoma" w:hAnsi="Tahoma" w:cs="Tahoma"/>
          <w:color w:val="000000" w:themeColor="text1"/>
          <w:sz w:val="22"/>
          <w:szCs w:val="18"/>
        </w:rPr>
        <w:tab/>
      </w:r>
      <w:r w:rsidRPr="00D164CF">
        <w:rPr>
          <w:rFonts w:ascii="Tahoma" w:hAnsi="Tahoma" w:cs="Tahoma"/>
          <w:color w:val="000000" w:themeColor="text1"/>
          <w:sz w:val="22"/>
          <w:szCs w:val="18"/>
        </w:rPr>
        <w:tab/>
      </w:r>
      <w:r w:rsidRPr="00D164CF">
        <w:rPr>
          <w:rFonts w:ascii="Tahoma" w:hAnsi="Tahoma" w:cs="Tahoma"/>
          <w:color w:val="000000" w:themeColor="text1"/>
          <w:sz w:val="22"/>
          <w:szCs w:val="18"/>
        </w:rPr>
        <w:tab/>
        <w:t>Auto del 8 de julio de 2019</w:t>
      </w:r>
    </w:p>
    <w:p w:rsidR="00D164CF" w:rsidRPr="00D164CF" w:rsidRDefault="00D164CF" w:rsidP="00D164CF">
      <w:pPr>
        <w:widowControl w:val="0"/>
        <w:autoSpaceDE w:val="0"/>
        <w:autoSpaceDN w:val="0"/>
        <w:adjustRightInd w:val="0"/>
        <w:jc w:val="both"/>
        <w:rPr>
          <w:rFonts w:ascii="Tahoma" w:hAnsi="Tahoma" w:cs="Tahoma"/>
          <w:color w:val="000000" w:themeColor="text1"/>
          <w:sz w:val="22"/>
          <w:szCs w:val="18"/>
        </w:rPr>
      </w:pPr>
      <w:r w:rsidRPr="00D164CF">
        <w:rPr>
          <w:rFonts w:ascii="Tahoma" w:hAnsi="Tahoma" w:cs="Tahoma"/>
          <w:color w:val="000000" w:themeColor="text1"/>
          <w:sz w:val="22"/>
          <w:szCs w:val="18"/>
        </w:rPr>
        <w:t>Radicación No.:</w:t>
      </w:r>
      <w:r w:rsidRPr="00D164CF">
        <w:rPr>
          <w:rFonts w:ascii="Tahoma" w:hAnsi="Tahoma" w:cs="Tahoma"/>
          <w:color w:val="000000" w:themeColor="text1"/>
          <w:sz w:val="22"/>
          <w:szCs w:val="18"/>
        </w:rPr>
        <w:tab/>
      </w:r>
      <w:r w:rsidRPr="00D164CF">
        <w:rPr>
          <w:rFonts w:ascii="Tahoma" w:hAnsi="Tahoma" w:cs="Tahoma"/>
          <w:color w:val="000000" w:themeColor="text1"/>
          <w:sz w:val="22"/>
          <w:szCs w:val="18"/>
        </w:rPr>
        <w:tab/>
        <w:t>66001-31-05-002-2017-00367-01</w:t>
      </w:r>
    </w:p>
    <w:p w:rsidR="00D164CF" w:rsidRPr="00D164CF" w:rsidRDefault="00D164CF" w:rsidP="00D164CF">
      <w:pPr>
        <w:widowControl w:val="0"/>
        <w:autoSpaceDE w:val="0"/>
        <w:autoSpaceDN w:val="0"/>
        <w:adjustRightInd w:val="0"/>
        <w:jc w:val="both"/>
        <w:rPr>
          <w:rFonts w:ascii="Tahoma" w:hAnsi="Tahoma" w:cs="Tahoma"/>
          <w:color w:val="000000" w:themeColor="text1"/>
          <w:sz w:val="22"/>
          <w:szCs w:val="18"/>
        </w:rPr>
      </w:pPr>
      <w:r w:rsidRPr="00D164CF">
        <w:rPr>
          <w:rFonts w:ascii="Tahoma" w:hAnsi="Tahoma" w:cs="Tahoma"/>
          <w:color w:val="000000" w:themeColor="text1"/>
          <w:sz w:val="22"/>
          <w:szCs w:val="18"/>
        </w:rPr>
        <w:t>Proceso:</w:t>
      </w:r>
      <w:r w:rsidRPr="00D164CF">
        <w:rPr>
          <w:rFonts w:ascii="Tahoma" w:hAnsi="Tahoma" w:cs="Tahoma"/>
          <w:color w:val="000000" w:themeColor="text1"/>
          <w:sz w:val="22"/>
          <w:szCs w:val="18"/>
        </w:rPr>
        <w:tab/>
      </w:r>
      <w:r w:rsidRPr="00D164CF">
        <w:rPr>
          <w:rFonts w:ascii="Tahoma" w:hAnsi="Tahoma" w:cs="Tahoma"/>
          <w:color w:val="000000" w:themeColor="text1"/>
          <w:sz w:val="22"/>
          <w:szCs w:val="18"/>
        </w:rPr>
        <w:tab/>
      </w:r>
      <w:r w:rsidRPr="00D164CF">
        <w:rPr>
          <w:rFonts w:ascii="Tahoma" w:hAnsi="Tahoma" w:cs="Tahoma"/>
          <w:color w:val="000000" w:themeColor="text1"/>
          <w:sz w:val="22"/>
          <w:szCs w:val="18"/>
        </w:rPr>
        <w:tab/>
        <w:t>Ordinario laboral</w:t>
      </w:r>
    </w:p>
    <w:p w:rsidR="00D164CF" w:rsidRPr="00D164CF" w:rsidRDefault="00D164CF" w:rsidP="00D164CF">
      <w:pPr>
        <w:widowControl w:val="0"/>
        <w:autoSpaceDE w:val="0"/>
        <w:autoSpaceDN w:val="0"/>
        <w:adjustRightInd w:val="0"/>
        <w:jc w:val="both"/>
        <w:rPr>
          <w:rFonts w:ascii="Tahoma" w:hAnsi="Tahoma" w:cs="Tahoma"/>
          <w:color w:val="000000" w:themeColor="text1"/>
          <w:sz w:val="22"/>
          <w:szCs w:val="18"/>
        </w:rPr>
      </w:pPr>
      <w:r w:rsidRPr="00D164CF">
        <w:rPr>
          <w:rFonts w:ascii="Tahoma" w:hAnsi="Tahoma" w:cs="Tahoma"/>
          <w:color w:val="000000" w:themeColor="text1"/>
          <w:sz w:val="22"/>
          <w:szCs w:val="18"/>
        </w:rPr>
        <w:t>Demandante:</w:t>
      </w:r>
      <w:r w:rsidRPr="00D164CF">
        <w:rPr>
          <w:rFonts w:ascii="Tahoma" w:hAnsi="Tahoma" w:cs="Tahoma"/>
          <w:color w:val="000000" w:themeColor="text1"/>
          <w:sz w:val="22"/>
          <w:szCs w:val="18"/>
        </w:rPr>
        <w:tab/>
      </w:r>
      <w:r w:rsidRPr="00D164CF">
        <w:rPr>
          <w:rFonts w:ascii="Tahoma" w:hAnsi="Tahoma" w:cs="Tahoma"/>
          <w:color w:val="000000" w:themeColor="text1"/>
          <w:sz w:val="22"/>
          <w:szCs w:val="18"/>
        </w:rPr>
        <w:tab/>
      </w:r>
      <w:r w:rsidRPr="00D164CF">
        <w:rPr>
          <w:rFonts w:ascii="Tahoma" w:hAnsi="Tahoma" w:cs="Tahoma"/>
          <w:color w:val="000000" w:themeColor="text1"/>
          <w:sz w:val="22"/>
          <w:szCs w:val="18"/>
        </w:rPr>
        <w:tab/>
        <w:t xml:space="preserve">Luz Mary Blandón Osorio </w:t>
      </w:r>
    </w:p>
    <w:p w:rsidR="00D164CF" w:rsidRPr="00D164CF" w:rsidRDefault="00D164CF" w:rsidP="00D164CF">
      <w:pPr>
        <w:rPr>
          <w:rFonts w:ascii="Tahoma" w:eastAsiaTheme="minorHAnsi" w:hAnsi="Tahoma" w:cs="Tahoma"/>
          <w:sz w:val="22"/>
          <w:szCs w:val="18"/>
          <w:lang w:eastAsia="en-US"/>
        </w:rPr>
      </w:pPr>
      <w:r w:rsidRPr="00D164CF">
        <w:rPr>
          <w:rFonts w:ascii="Tahoma" w:eastAsiaTheme="minorHAnsi" w:hAnsi="Tahoma" w:cs="Tahoma"/>
          <w:color w:val="000000" w:themeColor="text1"/>
          <w:sz w:val="22"/>
          <w:szCs w:val="18"/>
          <w:lang w:eastAsia="en-US"/>
        </w:rPr>
        <w:t>Demandado:</w:t>
      </w:r>
      <w:r w:rsidRPr="00D164CF">
        <w:rPr>
          <w:rFonts w:ascii="Tahoma" w:eastAsiaTheme="minorHAnsi" w:hAnsi="Tahoma" w:cs="Tahoma"/>
          <w:color w:val="000000" w:themeColor="text1"/>
          <w:sz w:val="22"/>
          <w:szCs w:val="18"/>
          <w:lang w:eastAsia="en-US"/>
        </w:rPr>
        <w:tab/>
      </w:r>
      <w:r w:rsidRPr="00D164CF">
        <w:rPr>
          <w:rFonts w:ascii="Tahoma" w:eastAsiaTheme="minorHAnsi" w:hAnsi="Tahoma" w:cs="Tahoma"/>
          <w:color w:val="000000" w:themeColor="text1"/>
          <w:sz w:val="22"/>
          <w:szCs w:val="18"/>
          <w:lang w:eastAsia="en-US"/>
        </w:rPr>
        <w:tab/>
        <w:t xml:space="preserve">        </w:t>
      </w:r>
      <w:r w:rsidRPr="00D164CF">
        <w:rPr>
          <w:rFonts w:ascii="Tahoma" w:eastAsiaTheme="minorHAnsi" w:hAnsi="Tahoma" w:cs="Tahoma"/>
          <w:color w:val="000000" w:themeColor="text1"/>
          <w:sz w:val="22"/>
          <w:szCs w:val="18"/>
          <w:lang w:eastAsia="en-US"/>
        </w:rPr>
        <w:tab/>
        <w:t xml:space="preserve">Colpensiones </w:t>
      </w:r>
    </w:p>
    <w:p w:rsidR="00D164CF" w:rsidRPr="00D164CF" w:rsidRDefault="00D164CF" w:rsidP="00D164CF">
      <w:pPr>
        <w:widowControl w:val="0"/>
        <w:autoSpaceDE w:val="0"/>
        <w:autoSpaceDN w:val="0"/>
        <w:adjustRightInd w:val="0"/>
        <w:ind w:left="708" w:hanging="708"/>
        <w:jc w:val="both"/>
        <w:rPr>
          <w:rFonts w:ascii="Tahoma" w:hAnsi="Tahoma" w:cs="Tahoma"/>
          <w:color w:val="000000" w:themeColor="text1"/>
          <w:sz w:val="22"/>
          <w:szCs w:val="18"/>
        </w:rPr>
      </w:pPr>
      <w:r w:rsidRPr="00D164CF">
        <w:rPr>
          <w:rFonts w:ascii="Tahoma" w:hAnsi="Tahoma" w:cs="Tahoma"/>
          <w:color w:val="000000" w:themeColor="text1"/>
          <w:sz w:val="22"/>
          <w:szCs w:val="18"/>
        </w:rPr>
        <w:t>Magistrado ponente:</w:t>
      </w:r>
      <w:r w:rsidRPr="00D164CF">
        <w:rPr>
          <w:rFonts w:ascii="Tahoma" w:hAnsi="Tahoma" w:cs="Tahoma"/>
          <w:color w:val="000000" w:themeColor="text1"/>
          <w:sz w:val="22"/>
          <w:szCs w:val="18"/>
        </w:rPr>
        <w:tab/>
        <w:t xml:space="preserve">          </w:t>
      </w:r>
      <w:r w:rsidRPr="00D164CF">
        <w:rPr>
          <w:rFonts w:ascii="Tahoma" w:hAnsi="Tahoma" w:cs="Tahoma"/>
          <w:color w:val="000000" w:themeColor="text1"/>
          <w:sz w:val="22"/>
          <w:szCs w:val="18"/>
        </w:rPr>
        <w:tab/>
        <w:t>Dr. Ana Lucía Caicedo Calderón</w:t>
      </w:r>
    </w:p>
    <w:p w:rsidR="00D164CF" w:rsidRPr="00D164CF" w:rsidRDefault="00D164CF" w:rsidP="00D164CF">
      <w:pPr>
        <w:widowControl w:val="0"/>
        <w:autoSpaceDE w:val="0"/>
        <w:autoSpaceDN w:val="0"/>
        <w:adjustRightInd w:val="0"/>
        <w:ind w:left="2805" w:hanging="2805"/>
        <w:jc w:val="both"/>
        <w:rPr>
          <w:rFonts w:ascii="Tahoma" w:hAnsi="Tahoma" w:cs="Tahoma"/>
          <w:color w:val="000000" w:themeColor="text1"/>
          <w:sz w:val="22"/>
          <w:szCs w:val="18"/>
        </w:rPr>
      </w:pPr>
      <w:r w:rsidRPr="00D164CF">
        <w:rPr>
          <w:rFonts w:ascii="Tahoma" w:hAnsi="Tahoma" w:cs="Tahoma"/>
          <w:color w:val="000000" w:themeColor="text1"/>
          <w:sz w:val="22"/>
          <w:szCs w:val="18"/>
        </w:rPr>
        <w:t>Magistrada que aclara voto:</w:t>
      </w:r>
      <w:r w:rsidRPr="00D164CF">
        <w:rPr>
          <w:rFonts w:ascii="Tahoma" w:hAnsi="Tahoma" w:cs="Tahoma"/>
          <w:color w:val="000000" w:themeColor="text1"/>
          <w:sz w:val="22"/>
          <w:szCs w:val="18"/>
        </w:rPr>
        <w:tab/>
      </w:r>
      <w:r w:rsidRPr="00D164CF">
        <w:rPr>
          <w:rFonts w:ascii="Tahoma" w:hAnsi="Tahoma" w:cs="Tahoma"/>
          <w:color w:val="000000" w:themeColor="text1"/>
          <w:sz w:val="22"/>
          <w:szCs w:val="18"/>
        </w:rPr>
        <w:tab/>
        <w:t>Dra. Ana Lucia Caicedo Calderón</w:t>
      </w:r>
    </w:p>
    <w:p w:rsidR="00D164CF" w:rsidRPr="00D164CF" w:rsidRDefault="00D164CF" w:rsidP="00D164CF">
      <w:pPr>
        <w:spacing w:line="276" w:lineRule="auto"/>
        <w:rPr>
          <w:rFonts w:ascii="Tahoma" w:hAnsi="Tahoma" w:cs="Tahoma"/>
          <w:color w:val="000000" w:themeColor="text1"/>
          <w:lang w:val="es-CO" w:eastAsia="es-MX"/>
        </w:rPr>
      </w:pPr>
    </w:p>
    <w:p w:rsidR="00D164CF" w:rsidRPr="00D164CF" w:rsidRDefault="00D164CF" w:rsidP="00D164CF">
      <w:pPr>
        <w:spacing w:line="276" w:lineRule="auto"/>
        <w:rPr>
          <w:rFonts w:ascii="Tahoma" w:hAnsi="Tahoma" w:cs="Tahoma"/>
          <w:color w:val="000000" w:themeColor="text1"/>
          <w:lang w:val="es-CO" w:eastAsia="es-MX"/>
        </w:rPr>
      </w:pPr>
    </w:p>
    <w:p w:rsidR="00D164CF" w:rsidRPr="00D164CF" w:rsidRDefault="00D164CF" w:rsidP="00D164CF">
      <w:pPr>
        <w:keepNext/>
        <w:spacing w:line="276" w:lineRule="auto"/>
        <w:jc w:val="center"/>
        <w:outlineLvl w:val="0"/>
        <w:rPr>
          <w:rFonts w:ascii="Tahoma" w:hAnsi="Tahoma" w:cs="Tahoma"/>
          <w:b/>
          <w:bCs/>
          <w:color w:val="000000" w:themeColor="text1"/>
          <w:u w:val="single"/>
        </w:rPr>
      </w:pPr>
      <w:r w:rsidRPr="00D164CF">
        <w:rPr>
          <w:rFonts w:ascii="Tahoma" w:hAnsi="Tahoma" w:cs="Tahoma"/>
          <w:b/>
          <w:bCs/>
          <w:color w:val="000000" w:themeColor="text1"/>
          <w:u w:val="single"/>
        </w:rPr>
        <w:t>ACLARACIÓN DE VOTO</w:t>
      </w:r>
    </w:p>
    <w:p w:rsidR="00D164CF" w:rsidRPr="00D164CF" w:rsidRDefault="00D164CF" w:rsidP="00D164CF">
      <w:pPr>
        <w:spacing w:line="276" w:lineRule="auto"/>
        <w:rPr>
          <w:rFonts w:ascii="Tahoma" w:hAnsi="Tahoma" w:cs="Tahoma"/>
        </w:rPr>
      </w:pPr>
    </w:p>
    <w:p w:rsidR="00D164CF" w:rsidRPr="00D164CF" w:rsidRDefault="00D164CF" w:rsidP="00D164CF">
      <w:pPr>
        <w:spacing w:line="276" w:lineRule="auto"/>
        <w:jc w:val="both"/>
        <w:rPr>
          <w:rFonts w:ascii="Tahoma" w:hAnsi="Tahoma" w:cs="Tahoma"/>
          <w:spacing w:val="-2"/>
        </w:rPr>
      </w:pPr>
      <w:r w:rsidRPr="00D164CF">
        <w:rPr>
          <w:rFonts w:ascii="Tahoma" w:hAnsi="Tahoma" w:cs="Tahoma"/>
        </w:rPr>
        <w:t xml:space="preserve">Con mi acostumbrado respeto, aclaro mi voto por cuanto considero que, </w:t>
      </w:r>
      <w:r w:rsidRPr="00D164CF">
        <w:rPr>
          <w:rFonts w:ascii="Tahoma" w:hAnsi="Tahoma" w:cs="Tahoma"/>
          <w:spacing w:val="-2"/>
        </w:rPr>
        <w:t xml:space="preserve">contrario a lo expuesto por la A-quo, el presente caso puede analizarse a la luz del Acuerdo 049 de 1.990, que si bien no es la norma inmediatamente anterior a la que regentaba la pensión de sobrevivientes al momento del óbito del causante, se acompasa al precedente la Corte Constitucional, quien a través de la sentencia SU-442 del 18 de agosto de 2016 –en la que se analizó una pensión de invalidez-, unificó los criterios en relación con la aplicación de la condición más beneficiosa, reiterando los precedentes anteriores y precisando que </w:t>
      </w:r>
      <w:r w:rsidRPr="00D164CF">
        <w:rPr>
          <w:rFonts w:ascii="Tahoma" w:hAnsi="Tahoma" w:cs="Tahoma"/>
          <w:i/>
          <w:spacing w:val="-2"/>
        </w:rPr>
        <w:t>“</w:t>
      </w:r>
      <w:r w:rsidRPr="00D164CF">
        <w:rPr>
          <w:rFonts w:ascii="Tahoma" w:hAnsi="Tahoma" w:cs="Tahoma"/>
          <w:i/>
          <w:spacing w:val="-2"/>
          <w:sz w:val="22"/>
        </w:rPr>
        <w:t>Si bien el legislador podía introducir ajustes o incluso reformas estructurales al sistema pensional, debía hacerlo en un marco de respeto por los derechos adquiridos y las expectativas legítimas” y que, en vista de que la ley no contempló un régimen de transición que garantizara las pensiones de invalidez, debía preservarse para quien cumplió oportunamente uno de los requisitos relevantes para pensionarse, el derecho a que ese aspecto no le fuera cambiado drásticamente, en la medida en que resultara beneficioso para su seguridad social. Resaltó igualmente que el accionante en dicha acción aportó un total de 653 semanas en su historia laboral, por lo cual “no puede hablarse de un detrimento para la sostenibilidad financiera del sistema pensional</w:t>
      </w:r>
      <w:r w:rsidRPr="00D164CF">
        <w:rPr>
          <w:rFonts w:ascii="Tahoma" w:hAnsi="Tahoma" w:cs="Tahoma"/>
          <w:i/>
          <w:spacing w:val="-2"/>
        </w:rPr>
        <w:t>”</w:t>
      </w:r>
      <w:r w:rsidRPr="00D164CF">
        <w:rPr>
          <w:rFonts w:ascii="Tahoma" w:hAnsi="Tahoma" w:cs="Tahoma"/>
          <w:spacing w:val="-2"/>
        </w:rPr>
        <w:t>.</w:t>
      </w:r>
    </w:p>
    <w:p w:rsidR="00D164CF" w:rsidRPr="00D164CF" w:rsidRDefault="00D164CF" w:rsidP="00D164CF">
      <w:pPr>
        <w:widowControl w:val="0"/>
        <w:autoSpaceDE w:val="0"/>
        <w:autoSpaceDN w:val="0"/>
        <w:adjustRightInd w:val="0"/>
        <w:spacing w:line="276" w:lineRule="auto"/>
        <w:jc w:val="both"/>
        <w:rPr>
          <w:rFonts w:ascii="Tahoma" w:hAnsi="Tahoma" w:cs="Tahoma"/>
        </w:rPr>
      </w:pPr>
    </w:p>
    <w:p w:rsidR="00D164CF" w:rsidRPr="00D164CF" w:rsidRDefault="00D164CF" w:rsidP="00D164CF">
      <w:pPr>
        <w:widowControl w:val="0"/>
        <w:autoSpaceDE w:val="0"/>
        <w:autoSpaceDN w:val="0"/>
        <w:adjustRightInd w:val="0"/>
        <w:spacing w:line="276" w:lineRule="auto"/>
        <w:jc w:val="both"/>
        <w:rPr>
          <w:rFonts w:ascii="Tahoma" w:hAnsi="Tahoma" w:cs="Tahoma"/>
        </w:rPr>
      </w:pPr>
      <w:r w:rsidRPr="00D164CF">
        <w:rPr>
          <w:rFonts w:ascii="Tahoma" w:hAnsi="Tahoma" w:cs="Tahoma"/>
        </w:rPr>
        <w:t>Ahora bien, habiéndose solicitado la aplicación del Acuerdo 049 de 1990, en virtud del principio de la condición más beneficiosa -</w:t>
      </w:r>
      <w:r w:rsidRPr="00D164CF">
        <w:rPr>
          <w:rFonts w:ascii="Tahoma" w:hAnsi="Tahoma" w:cs="Tahoma"/>
          <w:i/>
        </w:rPr>
        <w:t>por no acreditarse los requisitos enmarcados en la Ley 797 de 2003 y la Ley 100 original-</w:t>
      </w:r>
      <w:r w:rsidRPr="00D164CF">
        <w:rPr>
          <w:rFonts w:ascii="Tahoma" w:hAnsi="Tahoma" w:cs="Tahoma"/>
        </w:rPr>
        <w:t xml:space="preserve">, era necesario verificar si el señor Ardila </w:t>
      </w:r>
      <w:proofErr w:type="spellStart"/>
      <w:r w:rsidRPr="00D164CF">
        <w:rPr>
          <w:rFonts w:ascii="Tahoma" w:hAnsi="Tahoma" w:cs="Tahoma"/>
        </w:rPr>
        <w:t>Rotavisque</w:t>
      </w:r>
      <w:proofErr w:type="spellEnd"/>
      <w:r w:rsidRPr="00D164CF">
        <w:rPr>
          <w:rFonts w:ascii="Tahoma" w:hAnsi="Tahoma" w:cs="Tahoma"/>
        </w:rPr>
        <w:t xml:space="preserve"> acreditaba 300 semanas en toda su vida o 150 en los 6 años anteriores al 1º de abril de 1994 y la misma cantidad en los 6 años anteriores al 1º de abril del año 2000. Dicho acatamiento brilla por su ausencia en la documental que milita en el infolio, en la que se percibe que el señor Carlos </w:t>
      </w:r>
      <w:proofErr w:type="spellStart"/>
      <w:r w:rsidRPr="00D164CF">
        <w:rPr>
          <w:rFonts w:ascii="Tahoma" w:hAnsi="Tahoma" w:cs="Tahoma"/>
        </w:rPr>
        <w:t>Asdrubal</w:t>
      </w:r>
      <w:proofErr w:type="spellEnd"/>
      <w:r w:rsidRPr="00D164CF">
        <w:rPr>
          <w:rFonts w:ascii="Tahoma" w:hAnsi="Tahoma" w:cs="Tahoma"/>
        </w:rPr>
        <w:t xml:space="preserve"> </w:t>
      </w:r>
      <w:proofErr w:type="spellStart"/>
      <w:r w:rsidRPr="00D164CF">
        <w:rPr>
          <w:rFonts w:ascii="Tahoma" w:hAnsi="Tahoma" w:cs="Tahoma"/>
        </w:rPr>
        <w:t>Ardial</w:t>
      </w:r>
      <w:proofErr w:type="spellEnd"/>
      <w:r w:rsidRPr="00D164CF">
        <w:rPr>
          <w:rFonts w:ascii="Tahoma" w:hAnsi="Tahoma" w:cs="Tahoma"/>
        </w:rPr>
        <w:t xml:space="preserve"> ostentaba tan sólo 275,57 semanas cotizadas hasta junio de 1976 en el entonces </w:t>
      </w:r>
      <w:proofErr w:type="spellStart"/>
      <w:r w:rsidRPr="00D164CF">
        <w:rPr>
          <w:rFonts w:ascii="Tahoma" w:hAnsi="Tahoma" w:cs="Tahoma"/>
        </w:rPr>
        <w:t>I.S.S</w:t>
      </w:r>
      <w:proofErr w:type="spellEnd"/>
      <w:r w:rsidRPr="00D164CF">
        <w:rPr>
          <w:rFonts w:ascii="Tahoma" w:hAnsi="Tahoma" w:cs="Tahoma"/>
        </w:rPr>
        <w:t xml:space="preserve">., cifra insuficiente para dejar causada la prestación y a la cual no podían sumarse los tiempos de aportes en el sector público, como quiera que en la sentencia </w:t>
      </w:r>
      <w:r w:rsidRPr="00D164CF">
        <w:rPr>
          <w:rFonts w:ascii="Tahoma" w:hAnsi="Tahoma" w:cs="Tahoma"/>
          <w:bCs/>
        </w:rPr>
        <w:t>SU-769 de 2014, la Corte Constitucional avaló dicha acumulación a efectos de la concesión de la pensión de vejez estipulada en el acuerdo en mención, más no para otras prestaciones que requieren una densidad menor de cotizaciones.</w:t>
      </w:r>
      <w:r w:rsidRPr="00D164CF">
        <w:rPr>
          <w:rFonts w:ascii="Tahoma" w:hAnsi="Tahoma" w:cs="Tahoma"/>
        </w:rPr>
        <w:t xml:space="preserve"> </w:t>
      </w:r>
    </w:p>
    <w:p w:rsidR="00D164CF" w:rsidRPr="00D164CF" w:rsidRDefault="00D164CF" w:rsidP="00D164CF">
      <w:pPr>
        <w:spacing w:line="276" w:lineRule="auto"/>
        <w:jc w:val="both"/>
        <w:rPr>
          <w:rFonts w:ascii="Tahoma" w:hAnsi="Tahoma" w:cs="Tahoma"/>
        </w:rPr>
      </w:pPr>
    </w:p>
    <w:p w:rsidR="00D164CF" w:rsidRPr="00D164CF" w:rsidRDefault="00D164CF" w:rsidP="00D164CF">
      <w:pPr>
        <w:spacing w:line="276" w:lineRule="auto"/>
        <w:jc w:val="both"/>
        <w:rPr>
          <w:rFonts w:ascii="Tahoma" w:hAnsi="Tahoma" w:cs="Tahoma"/>
          <w:color w:val="000000" w:themeColor="text1"/>
        </w:rPr>
      </w:pPr>
      <w:r w:rsidRPr="00D164CF">
        <w:rPr>
          <w:rFonts w:ascii="Tahoma" w:hAnsi="Tahoma" w:cs="Tahoma"/>
          <w:color w:val="000000" w:themeColor="text1"/>
        </w:rPr>
        <w:t>En estos breves términos sustento mi aclaración de voto.</w:t>
      </w:r>
    </w:p>
    <w:p w:rsidR="004D4DDE" w:rsidRDefault="004D4DDE" w:rsidP="004D4DDE">
      <w:pPr>
        <w:widowControl w:val="0"/>
        <w:autoSpaceDE w:val="0"/>
        <w:autoSpaceDN w:val="0"/>
        <w:adjustRightInd w:val="0"/>
        <w:spacing w:line="276" w:lineRule="auto"/>
        <w:jc w:val="both"/>
        <w:rPr>
          <w:rFonts w:ascii="Tahoma" w:hAnsi="Tahoma" w:cs="Tahoma"/>
          <w:color w:val="000000" w:themeColor="text1"/>
        </w:rPr>
      </w:pPr>
    </w:p>
    <w:p w:rsidR="004D4DDE" w:rsidRPr="00D164CF" w:rsidRDefault="004D4DDE" w:rsidP="004D4DDE">
      <w:pPr>
        <w:widowControl w:val="0"/>
        <w:autoSpaceDE w:val="0"/>
        <w:autoSpaceDN w:val="0"/>
        <w:adjustRightInd w:val="0"/>
        <w:spacing w:line="276" w:lineRule="auto"/>
        <w:jc w:val="both"/>
        <w:rPr>
          <w:rFonts w:ascii="Tahoma" w:hAnsi="Tahoma" w:cs="Tahoma"/>
          <w:color w:val="000000" w:themeColor="text1"/>
        </w:rPr>
      </w:pPr>
    </w:p>
    <w:p w:rsidR="00D164CF" w:rsidRPr="00D164CF" w:rsidRDefault="00D164CF" w:rsidP="004D4DDE">
      <w:pPr>
        <w:widowControl w:val="0"/>
        <w:autoSpaceDE w:val="0"/>
        <w:autoSpaceDN w:val="0"/>
        <w:adjustRightInd w:val="0"/>
        <w:spacing w:line="276" w:lineRule="auto"/>
        <w:jc w:val="both"/>
        <w:rPr>
          <w:rFonts w:ascii="Tahoma" w:hAnsi="Tahoma" w:cs="Tahoma"/>
          <w:color w:val="000000" w:themeColor="text1"/>
        </w:rPr>
      </w:pPr>
    </w:p>
    <w:p w:rsidR="00D164CF" w:rsidRPr="00D164CF" w:rsidRDefault="00D164CF" w:rsidP="00D164CF">
      <w:pPr>
        <w:keepNext/>
        <w:widowControl w:val="0"/>
        <w:autoSpaceDE w:val="0"/>
        <w:autoSpaceDN w:val="0"/>
        <w:adjustRightInd w:val="0"/>
        <w:spacing w:line="276" w:lineRule="auto"/>
        <w:jc w:val="center"/>
        <w:outlineLvl w:val="2"/>
        <w:rPr>
          <w:rFonts w:ascii="Tahoma" w:hAnsi="Tahoma" w:cs="Tahoma"/>
          <w:b/>
          <w:color w:val="000000" w:themeColor="text1"/>
        </w:rPr>
      </w:pPr>
      <w:r w:rsidRPr="00D164CF">
        <w:rPr>
          <w:rFonts w:ascii="Tahoma" w:hAnsi="Tahoma" w:cs="Tahoma"/>
          <w:b/>
          <w:color w:val="000000" w:themeColor="text1"/>
        </w:rPr>
        <w:t>ANA LUCÍA CAICEDO CALDERÓN</w:t>
      </w:r>
    </w:p>
    <w:p w:rsidR="00D164CF" w:rsidRPr="00D164CF" w:rsidRDefault="00D164CF" w:rsidP="00D164CF">
      <w:pPr>
        <w:keepNext/>
        <w:widowControl w:val="0"/>
        <w:autoSpaceDE w:val="0"/>
        <w:autoSpaceDN w:val="0"/>
        <w:adjustRightInd w:val="0"/>
        <w:spacing w:line="276" w:lineRule="auto"/>
        <w:jc w:val="center"/>
        <w:outlineLvl w:val="2"/>
        <w:rPr>
          <w:rFonts w:ascii="Tahoma" w:hAnsi="Tahoma" w:cs="Tahoma"/>
          <w:color w:val="000000" w:themeColor="text1"/>
        </w:rPr>
      </w:pPr>
      <w:r w:rsidRPr="00D164CF">
        <w:rPr>
          <w:rFonts w:ascii="Tahoma" w:hAnsi="Tahoma" w:cs="Tahoma"/>
          <w:color w:val="000000" w:themeColor="text1"/>
        </w:rPr>
        <w:t>Magistrada</w:t>
      </w:r>
    </w:p>
    <w:sectPr w:rsidR="00D164CF" w:rsidRPr="00D164CF" w:rsidSect="006E231F">
      <w:headerReference w:type="default" r:id="rId8"/>
      <w:footerReference w:type="default" r:id="rId9"/>
      <w:footerReference w:type="first" r:id="rId10"/>
      <w:pgSz w:w="12242" w:h="18722" w:code="14"/>
      <w:pgMar w:top="1871" w:right="1304" w:bottom="1304" w:left="187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906" w:rsidRDefault="004D1906" w:rsidP="00D2586A">
      <w:r>
        <w:separator/>
      </w:r>
    </w:p>
  </w:endnote>
  <w:endnote w:type="continuationSeparator" w:id="0">
    <w:p w:rsidR="004D1906" w:rsidRDefault="004D1906" w:rsidP="00D25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986094"/>
      <w:docPartObj>
        <w:docPartGallery w:val="Page Numbers (Bottom of Page)"/>
        <w:docPartUnique/>
      </w:docPartObj>
    </w:sdtPr>
    <w:sdtEndPr>
      <w:rPr>
        <w:rFonts w:ascii="Arial" w:hAnsi="Arial" w:cs="Arial"/>
        <w:noProof/>
        <w:sz w:val="18"/>
        <w:szCs w:val="16"/>
      </w:rPr>
    </w:sdtEndPr>
    <w:sdtContent>
      <w:p w:rsidR="00480A32" w:rsidRPr="006E231F" w:rsidRDefault="00480A32">
        <w:pPr>
          <w:pStyle w:val="Piedepgina"/>
          <w:jc w:val="right"/>
          <w:rPr>
            <w:rFonts w:ascii="Arial" w:hAnsi="Arial" w:cs="Arial"/>
            <w:noProof/>
            <w:sz w:val="18"/>
            <w:szCs w:val="16"/>
          </w:rPr>
        </w:pPr>
        <w:r w:rsidRPr="006E231F">
          <w:rPr>
            <w:rFonts w:ascii="Arial" w:hAnsi="Arial" w:cs="Arial"/>
            <w:noProof/>
            <w:sz w:val="18"/>
            <w:szCs w:val="16"/>
          </w:rPr>
          <w:fldChar w:fldCharType="begin"/>
        </w:r>
        <w:r w:rsidRPr="006E231F">
          <w:rPr>
            <w:rFonts w:ascii="Arial" w:hAnsi="Arial" w:cs="Arial"/>
            <w:noProof/>
            <w:sz w:val="18"/>
            <w:szCs w:val="16"/>
          </w:rPr>
          <w:instrText>PAGE   \* MERGEFORMAT</w:instrText>
        </w:r>
        <w:r w:rsidRPr="006E231F">
          <w:rPr>
            <w:rFonts w:ascii="Arial" w:hAnsi="Arial" w:cs="Arial"/>
            <w:noProof/>
            <w:sz w:val="18"/>
            <w:szCs w:val="16"/>
          </w:rPr>
          <w:fldChar w:fldCharType="separate"/>
        </w:r>
        <w:r w:rsidR="004D4DDE">
          <w:rPr>
            <w:rFonts w:ascii="Arial" w:hAnsi="Arial" w:cs="Arial"/>
            <w:noProof/>
            <w:sz w:val="18"/>
            <w:szCs w:val="16"/>
          </w:rPr>
          <w:t>7</w:t>
        </w:r>
        <w:r w:rsidRPr="006E231F">
          <w:rPr>
            <w:rFonts w:ascii="Arial" w:hAnsi="Arial" w:cs="Arial"/>
            <w:noProof/>
            <w:sz w:val="18"/>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3492558"/>
      <w:docPartObj>
        <w:docPartGallery w:val="Page Numbers (Bottom of Page)"/>
        <w:docPartUnique/>
      </w:docPartObj>
    </w:sdtPr>
    <w:sdtEndPr>
      <w:rPr>
        <w:rFonts w:ascii="Arial" w:hAnsi="Arial" w:cs="Arial"/>
        <w:sz w:val="18"/>
        <w:szCs w:val="16"/>
      </w:rPr>
    </w:sdtEndPr>
    <w:sdtContent>
      <w:p w:rsidR="00480A32" w:rsidRPr="006E231F" w:rsidRDefault="00480A32">
        <w:pPr>
          <w:pStyle w:val="Piedepgina"/>
          <w:jc w:val="right"/>
          <w:rPr>
            <w:rFonts w:ascii="Arial" w:hAnsi="Arial" w:cs="Arial"/>
            <w:sz w:val="18"/>
            <w:szCs w:val="16"/>
          </w:rPr>
        </w:pPr>
        <w:r w:rsidRPr="006E231F">
          <w:rPr>
            <w:rFonts w:ascii="Arial" w:hAnsi="Arial" w:cs="Arial"/>
            <w:sz w:val="18"/>
            <w:szCs w:val="16"/>
          </w:rPr>
          <w:fldChar w:fldCharType="begin"/>
        </w:r>
        <w:r w:rsidRPr="006E231F">
          <w:rPr>
            <w:rFonts w:ascii="Arial" w:hAnsi="Arial" w:cs="Arial"/>
            <w:sz w:val="18"/>
            <w:szCs w:val="16"/>
          </w:rPr>
          <w:instrText>PAGE   \* MERGEFORMAT</w:instrText>
        </w:r>
        <w:r w:rsidRPr="006E231F">
          <w:rPr>
            <w:rFonts w:ascii="Arial" w:hAnsi="Arial" w:cs="Arial"/>
            <w:sz w:val="18"/>
            <w:szCs w:val="16"/>
          </w:rPr>
          <w:fldChar w:fldCharType="separate"/>
        </w:r>
        <w:r w:rsidR="004D4DDE">
          <w:rPr>
            <w:rFonts w:ascii="Arial" w:hAnsi="Arial" w:cs="Arial"/>
            <w:noProof/>
            <w:sz w:val="18"/>
            <w:szCs w:val="16"/>
          </w:rPr>
          <w:t>1</w:t>
        </w:r>
        <w:r w:rsidRPr="006E231F">
          <w:rPr>
            <w:rFonts w:ascii="Arial" w:hAnsi="Arial" w:cs="Arial"/>
            <w:sz w:val="18"/>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906" w:rsidRDefault="004D1906" w:rsidP="00D2586A">
      <w:r>
        <w:separator/>
      </w:r>
    </w:p>
  </w:footnote>
  <w:footnote w:type="continuationSeparator" w:id="0">
    <w:p w:rsidR="004D1906" w:rsidRDefault="004D1906" w:rsidP="00D2586A">
      <w:r>
        <w:continuationSeparator/>
      </w:r>
    </w:p>
  </w:footnote>
  <w:footnote w:id="1">
    <w:p w:rsidR="000A436D" w:rsidRPr="006E231F" w:rsidRDefault="000A436D" w:rsidP="006E231F">
      <w:pPr>
        <w:jc w:val="both"/>
        <w:rPr>
          <w:rFonts w:ascii="Arial" w:hAnsi="Arial" w:cs="Arial"/>
          <w:sz w:val="18"/>
          <w:szCs w:val="18"/>
        </w:rPr>
      </w:pPr>
      <w:r w:rsidRPr="006E231F">
        <w:rPr>
          <w:rStyle w:val="Refdenotaalpie"/>
          <w:rFonts w:ascii="Arial" w:hAnsi="Arial" w:cs="Arial"/>
          <w:sz w:val="18"/>
          <w:szCs w:val="18"/>
        </w:rPr>
        <w:footnoteRef/>
      </w:r>
      <w:r w:rsidR="006E231F" w:rsidRPr="006E231F">
        <w:rPr>
          <w:rFonts w:ascii="Arial" w:hAnsi="Arial" w:cs="Arial"/>
          <w:color w:val="000000"/>
          <w:sz w:val="18"/>
          <w:szCs w:val="18"/>
        </w:rPr>
        <w:t xml:space="preserve"> </w:t>
      </w:r>
      <w:r w:rsidRPr="006E231F">
        <w:rPr>
          <w:rFonts w:ascii="Arial" w:hAnsi="Arial" w:cs="Arial"/>
          <w:color w:val="000000"/>
          <w:sz w:val="18"/>
          <w:szCs w:val="18"/>
        </w:rPr>
        <w:t xml:space="preserve">Corte Suprema de Justicia. M.P. </w:t>
      </w:r>
      <w:r w:rsidRPr="006E231F">
        <w:rPr>
          <w:rFonts w:ascii="Arial" w:hAnsi="Arial" w:cs="Arial"/>
          <w:sz w:val="18"/>
          <w:szCs w:val="18"/>
        </w:rPr>
        <w:t>Jorge Prada Sánchez. SL1459 -2019. Radicación N° 66108 de 24 de abril de 2019, entre otras.</w:t>
      </w:r>
    </w:p>
  </w:footnote>
  <w:footnote w:id="2">
    <w:p w:rsidR="000A436D" w:rsidRPr="006E231F" w:rsidRDefault="000A436D" w:rsidP="006E231F">
      <w:pPr>
        <w:pStyle w:val="Textonotapie"/>
        <w:jc w:val="both"/>
        <w:rPr>
          <w:rFonts w:ascii="Arial" w:hAnsi="Arial" w:cs="Arial"/>
          <w:sz w:val="18"/>
          <w:szCs w:val="18"/>
          <w:lang w:val="es-CO"/>
        </w:rPr>
      </w:pPr>
      <w:r w:rsidRPr="006E231F">
        <w:rPr>
          <w:rStyle w:val="Refdenotaalpie"/>
          <w:rFonts w:ascii="Arial" w:hAnsi="Arial" w:cs="Arial"/>
          <w:sz w:val="18"/>
          <w:szCs w:val="18"/>
        </w:rPr>
        <w:footnoteRef/>
      </w:r>
      <w:r w:rsidRPr="006E231F">
        <w:rPr>
          <w:rFonts w:ascii="Arial" w:hAnsi="Arial" w:cs="Arial"/>
          <w:sz w:val="18"/>
          <w:szCs w:val="18"/>
        </w:rPr>
        <w:t xml:space="preserve"> </w:t>
      </w:r>
      <w:r w:rsidRPr="006E231F">
        <w:rPr>
          <w:rFonts w:ascii="Arial" w:hAnsi="Arial" w:cs="Arial"/>
          <w:sz w:val="18"/>
          <w:szCs w:val="18"/>
          <w:lang w:val="es-CO"/>
        </w:rPr>
        <w:t>M.P. Carlos Bernal Pulido.</w:t>
      </w:r>
    </w:p>
  </w:footnote>
  <w:footnote w:id="3">
    <w:p w:rsidR="00D16761" w:rsidRPr="006E231F" w:rsidRDefault="00D16761" w:rsidP="006E231F">
      <w:pPr>
        <w:jc w:val="both"/>
        <w:rPr>
          <w:rFonts w:ascii="Arial" w:hAnsi="Arial" w:cs="Arial"/>
          <w:sz w:val="18"/>
          <w:szCs w:val="18"/>
        </w:rPr>
      </w:pPr>
      <w:r w:rsidRPr="006E231F">
        <w:rPr>
          <w:rStyle w:val="Refdenotaalpie"/>
          <w:rFonts w:ascii="Arial" w:hAnsi="Arial" w:cs="Arial"/>
          <w:sz w:val="18"/>
          <w:szCs w:val="18"/>
        </w:rPr>
        <w:footnoteRef/>
      </w:r>
      <w:r w:rsidRPr="006E231F">
        <w:rPr>
          <w:rFonts w:ascii="Arial" w:hAnsi="Arial" w:cs="Arial"/>
          <w:sz w:val="18"/>
          <w:szCs w:val="18"/>
        </w:rPr>
        <w:t xml:space="preserve"> Corte Suprema de Justicia, SL2358-2017, Radicación N.° 44596 del 25/01/2017. </w:t>
      </w:r>
      <w:proofErr w:type="spellStart"/>
      <w:r w:rsidRPr="006E231F">
        <w:rPr>
          <w:rFonts w:ascii="Arial" w:hAnsi="Arial" w:cs="Arial"/>
          <w:sz w:val="18"/>
          <w:szCs w:val="18"/>
        </w:rPr>
        <w:t>SL</w:t>
      </w:r>
      <w:proofErr w:type="spellEnd"/>
      <w:r w:rsidRPr="006E231F">
        <w:rPr>
          <w:rFonts w:ascii="Arial" w:hAnsi="Arial" w:cs="Arial"/>
          <w:sz w:val="18"/>
          <w:szCs w:val="18"/>
        </w:rPr>
        <w:t>. 028 del 24-01- 2018. M.P Fernando Castillo  Cadena. Rda. 59012.</w:t>
      </w:r>
    </w:p>
  </w:footnote>
  <w:footnote w:id="4">
    <w:p w:rsidR="00D16761" w:rsidRPr="006E231F" w:rsidRDefault="00D16761" w:rsidP="006E231F">
      <w:pPr>
        <w:jc w:val="both"/>
        <w:rPr>
          <w:rFonts w:ascii="Arial" w:hAnsi="Arial" w:cs="Arial"/>
          <w:sz w:val="18"/>
          <w:szCs w:val="18"/>
        </w:rPr>
      </w:pPr>
      <w:r w:rsidRPr="006E231F">
        <w:rPr>
          <w:rStyle w:val="Refdenotaalpie"/>
          <w:rFonts w:ascii="Arial" w:hAnsi="Arial" w:cs="Arial"/>
          <w:sz w:val="18"/>
          <w:szCs w:val="18"/>
        </w:rPr>
        <w:footnoteRef/>
      </w:r>
      <w:r w:rsidRPr="006E231F">
        <w:rPr>
          <w:rFonts w:ascii="Arial" w:hAnsi="Arial" w:cs="Arial"/>
          <w:sz w:val="18"/>
          <w:szCs w:val="18"/>
        </w:rPr>
        <w:t xml:space="preserve"> CORTE SUPREMA DE JUSTICIA, M.P. Dres. Donald José </w:t>
      </w:r>
      <w:proofErr w:type="spellStart"/>
      <w:r w:rsidRPr="006E231F">
        <w:rPr>
          <w:rFonts w:ascii="Arial" w:hAnsi="Arial" w:cs="Arial"/>
          <w:sz w:val="18"/>
          <w:szCs w:val="18"/>
        </w:rPr>
        <w:t>Dix</w:t>
      </w:r>
      <w:proofErr w:type="spellEnd"/>
      <w:r w:rsidRPr="006E231F">
        <w:rPr>
          <w:rFonts w:ascii="Arial" w:hAnsi="Arial" w:cs="Arial"/>
          <w:sz w:val="18"/>
          <w:szCs w:val="18"/>
        </w:rPr>
        <w:t xml:space="preserve"> </w:t>
      </w:r>
      <w:proofErr w:type="spellStart"/>
      <w:r w:rsidRPr="006E231F">
        <w:rPr>
          <w:rFonts w:ascii="Arial" w:hAnsi="Arial" w:cs="Arial"/>
          <w:sz w:val="18"/>
          <w:szCs w:val="18"/>
        </w:rPr>
        <w:t>Ponnefz</w:t>
      </w:r>
      <w:proofErr w:type="spellEnd"/>
      <w:r w:rsidRPr="006E231F">
        <w:rPr>
          <w:rFonts w:ascii="Arial" w:hAnsi="Arial" w:cs="Arial"/>
          <w:sz w:val="18"/>
          <w:szCs w:val="18"/>
        </w:rPr>
        <w:t xml:space="preserve">, Ernesto Forero Vargas y Dolly Amparo </w:t>
      </w:r>
      <w:proofErr w:type="spellStart"/>
      <w:r w:rsidRPr="006E231F">
        <w:rPr>
          <w:rFonts w:ascii="Arial" w:hAnsi="Arial" w:cs="Arial"/>
          <w:sz w:val="18"/>
          <w:szCs w:val="18"/>
        </w:rPr>
        <w:t>Caguassango</w:t>
      </w:r>
      <w:proofErr w:type="spellEnd"/>
      <w:r w:rsidRPr="006E231F">
        <w:rPr>
          <w:rFonts w:ascii="Arial" w:hAnsi="Arial" w:cs="Arial"/>
          <w:sz w:val="18"/>
          <w:szCs w:val="18"/>
        </w:rPr>
        <w:t xml:space="preserve"> Villota. SL1505-2019, Radicación N.° 63168 del 24/04/2019 y la SL1334-2019, Radicación No. 62132 del 10/04/2019 y SL1341-2019, Radicación N° 62335 DEL 10/04/2019.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A32" w:rsidRPr="006E231F" w:rsidRDefault="00480A32" w:rsidP="009E70FD">
    <w:pPr>
      <w:pStyle w:val="Puesto"/>
      <w:spacing w:line="240" w:lineRule="auto"/>
      <w:jc w:val="both"/>
      <w:rPr>
        <w:b w:val="0"/>
        <w:sz w:val="18"/>
        <w:szCs w:val="16"/>
      </w:rPr>
    </w:pPr>
    <w:r w:rsidRPr="006E231F">
      <w:rPr>
        <w:b w:val="0"/>
        <w:sz w:val="18"/>
        <w:szCs w:val="16"/>
      </w:rPr>
      <w:t>Radicación No.: 66001-31-05-002-2017-00367-01</w:t>
    </w:r>
  </w:p>
  <w:p w:rsidR="00480A32" w:rsidRPr="006E231F" w:rsidRDefault="00480A32" w:rsidP="009E70FD">
    <w:pPr>
      <w:pStyle w:val="Puesto"/>
      <w:spacing w:line="240" w:lineRule="auto"/>
      <w:jc w:val="both"/>
      <w:rPr>
        <w:b w:val="0"/>
        <w:sz w:val="18"/>
        <w:szCs w:val="16"/>
      </w:rPr>
    </w:pPr>
    <w:r w:rsidRPr="006E231F">
      <w:rPr>
        <w:b w:val="0"/>
        <w:sz w:val="18"/>
        <w:szCs w:val="16"/>
      </w:rPr>
      <w:t xml:space="preserve">Demandante: Luz Mary Blandón Osorio  </w:t>
    </w:r>
  </w:p>
  <w:p w:rsidR="00480A32" w:rsidRPr="006E231F" w:rsidRDefault="00480A32" w:rsidP="006E231F">
    <w:pPr>
      <w:pStyle w:val="Puesto"/>
      <w:spacing w:line="240" w:lineRule="auto"/>
      <w:jc w:val="both"/>
      <w:rPr>
        <w:b w:val="0"/>
        <w:sz w:val="18"/>
        <w:szCs w:val="16"/>
      </w:rPr>
    </w:pPr>
    <w:r w:rsidRPr="006E231F">
      <w:rPr>
        <w:b w:val="0"/>
        <w:sz w:val="18"/>
        <w:szCs w:val="16"/>
      </w:rPr>
      <w:t>Demandado: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2">
    <w:nsid w:val="3D0A580F"/>
    <w:multiLevelType w:val="hybridMultilevel"/>
    <w:tmpl w:val="BCC419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6602B43"/>
    <w:multiLevelType w:val="multilevel"/>
    <w:tmpl w:val="7C08B5C6"/>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4">
    <w:nsid w:val="68FE16C6"/>
    <w:multiLevelType w:val="multilevel"/>
    <w:tmpl w:val="D80CCCD4"/>
    <w:lvl w:ilvl="0">
      <w:start w:val="4"/>
      <w:numFmt w:val="decimal"/>
      <w:lvlText w:val="%1"/>
      <w:lvlJc w:val="left"/>
      <w:pPr>
        <w:ind w:left="375" w:hanging="37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5">
    <w:nsid w:val="70B0595B"/>
    <w:multiLevelType w:val="hybridMultilevel"/>
    <w:tmpl w:val="9536B092"/>
    <w:lvl w:ilvl="0" w:tplc="F0A47F7E">
      <w:start w:val="1"/>
      <w:numFmt w:val="decimal"/>
      <w:lvlText w:val="%1."/>
      <w:lvlJc w:val="left"/>
      <w:pPr>
        <w:ind w:left="921" w:hanging="360"/>
      </w:pPr>
      <w:rPr>
        <w:rFonts w:hint="default"/>
      </w:rPr>
    </w:lvl>
    <w:lvl w:ilvl="1" w:tplc="0C0A0019" w:tentative="1">
      <w:start w:val="1"/>
      <w:numFmt w:val="lowerLetter"/>
      <w:lvlText w:val="%2."/>
      <w:lvlJc w:val="left"/>
      <w:pPr>
        <w:ind w:left="1641" w:hanging="360"/>
      </w:pPr>
    </w:lvl>
    <w:lvl w:ilvl="2" w:tplc="0C0A001B" w:tentative="1">
      <w:start w:val="1"/>
      <w:numFmt w:val="lowerRoman"/>
      <w:lvlText w:val="%3."/>
      <w:lvlJc w:val="right"/>
      <w:pPr>
        <w:ind w:left="2361" w:hanging="180"/>
      </w:pPr>
    </w:lvl>
    <w:lvl w:ilvl="3" w:tplc="0C0A000F" w:tentative="1">
      <w:start w:val="1"/>
      <w:numFmt w:val="decimal"/>
      <w:lvlText w:val="%4."/>
      <w:lvlJc w:val="left"/>
      <w:pPr>
        <w:ind w:left="3081" w:hanging="360"/>
      </w:pPr>
    </w:lvl>
    <w:lvl w:ilvl="4" w:tplc="0C0A0019" w:tentative="1">
      <w:start w:val="1"/>
      <w:numFmt w:val="lowerLetter"/>
      <w:lvlText w:val="%5."/>
      <w:lvlJc w:val="left"/>
      <w:pPr>
        <w:ind w:left="3801" w:hanging="360"/>
      </w:pPr>
    </w:lvl>
    <w:lvl w:ilvl="5" w:tplc="0C0A001B" w:tentative="1">
      <w:start w:val="1"/>
      <w:numFmt w:val="lowerRoman"/>
      <w:lvlText w:val="%6."/>
      <w:lvlJc w:val="right"/>
      <w:pPr>
        <w:ind w:left="4521" w:hanging="180"/>
      </w:pPr>
    </w:lvl>
    <w:lvl w:ilvl="6" w:tplc="0C0A000F" w:tentative="1">
      <w:start w:val="1"/>
      <w:numFmt w:val="decimal"/>
      <w:lvlText w:val="%7."/>
      <w:lvlJc w:val="left"/>
      <w:pPr>
        <w:ind w:left="5241" w:hanging="360"/>
      </w:pPr>
    </w:lvl>
    <w:lvl w:ilvl="7" w:tplc="0C0A0019" w:tentative="1">
      <w:start w:val="1"/>
      <w:numFmt w:val="lowerLetter"/>
      <w:lvlText w:val="%8."/>
      <w:lvlJc w:val="left"/>
      <w:pPr>
        <w:ind w:left="5961" w:hanging="360"/>
      </w:pPr>
    </w:lvl>
    <w:lvl w:ilvl="8" w:tplc="0C0A001B" w:tentative="1">
      <w:start w:val="1"/>
      <w:numFmt w:val="lowerRoman"/>
      <w:lvlText w:val="%9."/>
      <w:lvlJc w:val="right"/>
      <w:pPr>
        <w:ind w:left="6681" w:hanging="180"/>
      </w:pPr>
    </w:lvl>
  </w:abstractNum>
  <w:abstractNum w:abstractNumId="6">
    <w:nsid w:val="7B4136A5"/>
    <w:multiLevelType w:val="hybridMultilevel"/>
    <w:tmpl w:val="3048B722"/>
    <w:lvl w:ilvl="0" w:tplc="24F4F3F2">
      <w:start w:val="4"/>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86A"/>
    <w:rsid w:val="00000247"/>
    <w:rsid w:val="00025690"/>
    <w:rsid w:val="000256C0"/>
    <w:rsid w:val="000362D6"/>
    <w:rsid w:val="0004250F"/>
    <w:rsid w:val="00046E89"/>
    <w:rsid w:val="000472FD"/>
    <w:rsid w:val="00053B98"/>
    <w:rsid w:val="000629BF"/>
    <w:rsid w:val="000636A8"/>
    <w:rsid w:val="00064771"/>
    <w:rsid w:val="000666CB"/>
    <w:rsid w:val="000704D3"/>
    <w:rsid w:val="00071A80"/>
    <w:rsid w:val="00073121"/>
    <w:rsid w:val="000751CC"/>
    <w:rsid w:val="00076AC7"/>
    <w:rsid w:val="00082D35"/>
    <w:rsid w:val="00084E47"/>
    <w:rsid w:val="00085590"/>
    <w:rsid w:val="00091ABA"/>
    <w:rsid w:val="00091C56"/>
    <w:rsid w:val="00093179"/>
    <w:rsid w:val="000947ED"/>
    <w:rsid w:val="0009748B"/>
    <w:rsid w:val="000A0A40"/>
    <w:rsid w:val="000A28BE"/>
    <w:rsid w:val="000A436D"/>
    <w:rsid w:val="000A5AA3"/>
    <w:rsid w:val="000B34BC"/>
    <w:rsid w:val="000B4700"/>
    <w:rsid w:val="000B4BE3"/>
    <w:rsid w:val="000B51D9"/>
    <w:rsid w:val="000B695F"/>
    <w:rsid w:val="000B6EFE"/>
    <w:rsid w:val="000C253E"/>
    <w:rsid w:val="000D1C08"/>
    <w:rsid w:val="000D2488"/>
    <w:rsid w:val="000D433B"/>
    <w:rsid w:val="000D519D"/>
    <w:rsid w:val="000D771D"/>
    <w:rsid w:val="000D7C90"/>
    <w:rsid w:val="000E21D3"/>
    <w:rsid w:val="000E3497"/>
    <w:rsid w:val="000E5DB7"/>
    <w:rsid w:val="000E6055"/>
    <w:rsid w:val="000F16FF"/>
    <w:rsid w:val="0010367F"/>
    <w:rsid w:val="00103DB9"/>
    <w:rsid w:val="001049D2"/>
    <w:rsid w:val="00106F85"/>
    <w:rsid w:val="00112C85"/>
    <w:rsid w:val="00113D90"/>
    <w:rsid w:val="00114D08"/>
    <w:rsid w:val="001150C3"/>
    <w:rsid w:val="00115BE8"/>
    <w:rsid w:val="00120826"/>
    <w:rsid w:val="001208CA"/>
    <w:rsid w:val="00120C7E"/>
    <w:rsid w:val="00122EE4"/>
    <w:rsid w:val="001234CC"/>
    <w:rsid w:val="00123AEB"/>
    <w:rsid w:val="00124FE1"/>
    <w:rsid w:val="00132744"/>
    <w:rsid w:val="00133CA0"/>
    <w:rsid w:val="001408E4"/>
    <w:rsid w:val="00144BED"/>
    <w:rsid w:val="00146B81"/>
    <w:rsid w:val="001509FE"/>
    <w:rsid w:val="00151E5F"/>
    <w:rsid w:val="001603C8"/>
    <w:rsid w:val="0016446E"/>
    <w:rsid w:val="001764FA"/>
    <w:rsid w:val="0018010A"/>
    <w:rsid w:val="00182381"/>
    <w:rsid w:val="00182A8B"/>
    <w:rsid w:val="001843BA"/>
    <w:rsid w:val="0019070D"/>
    <w:rsid w:val="00190F18"/>
    <w:rsid w:val="00190FDD"/>
    <w:rsid w:val="0019259D"/>
    <w:rsid w:val="001942D1"/>
    <w:rsid w:val="00197E4A"/>
    <w:rsid w:val="001B050E"/>
    <w:rsid w:val="001B1C30"/>
    <w:rsid w:val="001B2090"/>
    <w:rsid w:val="001C1EE7"/>
    <w:rsid w:val="001C7B85"/>
    <w:rsid w:val="001D07FD"/>
    <w:rsid w:val="001D150C"/>
    <w:rsid w:val="001D1D1D"/>
    <w:rsid w:val="001D7AE7"/>
    <w:rsid w:val="001E12B9"/>
    <w:rsid w:val="001E187B"/>
    <w:rsid w:val="001E4C92"/>
    <w:rsid w:val="001E7EFF"/>
    <w:rsid w:val="001F6C96"/>
    <w:rsid w:val="00200B5A"/>
    <w:rsid w:val="002033A0"/>
    <w:rsid w:val="002040F0"/>
    <w:rsid w:val="00232C8C"/>
    <w:rsid w:val="00237CFB"/>
    <w:rsid w:val="002437B8"/>
    <w:rsid w:val="00244264"/>
    <w:rsid w:val="00246128"/>
    <w:rsid w:val="00250567"/>
    <w:rsid w:val="00252A08"/>
    <w:rsid w:val="002627BC"/>
    <w:rsid w:val="002629E9"/>
    <w:rsid w:val="00265189"/>
    <w:rsid w:val="00276F99"/>
    <w:rsid w:val="002844B5"/>
    <w:rsid w:val="0029261F"/>
    <w:rsid w:val="00292C55"/>
    <w:rsid w:val="00296B52"/>
    <w:rsid w:val="00297E96"/>
    <w:rsid w:val="002A0DC0"/>
    <w:rsid w:val="002A15ED"/>
    <w:rsid w:val="002A24DA"/>
    <w:rsid w:val="002A4362"/>
    <w:rsid w:val="002A4AE5"/>
    <w:rsid w:val="002B3BEA"/>
    <w:rsid w:val="002B41B3"/>
    <w:rsid w:val="002B55C2"/>
    <w:rsid w:val="002B6860"/>
    <w:rsid w:val="002C07C7"/>
    <w:rsid w:val="002C22A3"/>
    <w:rsid w:val="002C2E01"/>
    <w:rsid w:val="002C4EE0"/>
    <w:rsid w:val="002C4FD3"/>
    <w:rsid w:val="002C742B"/>
    <w:rsid w:val="002D04B7"/>
    <w:rsid w:val="002D59BC"/>
    <w:rsid w:val="002D69DA"/>
    <w:rsid w:val="002D73D0"/>
    <w:rsid w:val="002E4211"/>
    <w:rsid w:val="002F1F83"/>
    <w:rsid w:val="002F5A8F"/>
    <w:rsid w:val="00300AFB"/>
    <w:rsid w:val="00302BE3"/>
    <w:rsid w:val="00304BE0"/>
    <w:rsid w:val="00312CA3"/>
    <w:rsid w:val="00314369"/>
    <w:rsid w:val="00317112"/>
    <w:rsid w:val="00317607"/>
    <w:rsid w:val="00317F73"/>
    <w:rsid w:val="00322229"/>
    <w:rsid w:val="00322CEF"/>
    <w:rsid w:val="00326AD2"/>
    <w:rsid w:val="003338BB"/>
    <w:rsid w:val="0033539F"/>
    <w:rsid w:val="003360DA"/>
    <w:rsid w:val="00341794"/>
    <w:rsid w:val="00341C82"/>
    <w:rsid w:val="0034289B"/>
    <w:rsid w:val="00342A86"/>
    <w:rsid w:val="003450D3"/>
    <w:rsid w:val="00346EE7"/>
    <w:rsid w:val="00347267"/>
    <w:rsid w:val="00347C8C"/>
    <w:rsid w:val="003521A1"/>
    <w:rsid w:val="003529F4"/>
    <w:rsid w:val="003626B8"/>
    <w:rsid w:val="00362FE8"/>
    <w:rsid w:val="0036356C"/>
    <w:rsid w:val="00364313"/>
    <w:rsid w:val="003671AD"/>
    <w:rsid w:val="00367DC9"/>
    <w:rsid w:val="003701E8"/>
    <w:rsid w:val="00370570"/>
    <w:rsid w:val="003706FC"/>
    <w:rsid w:val="00372D7A"/>
    <w:rsid w:val="00383E02"/>
    <w:rsid w:val="00385FD7"/>
    <w:rsid w:val="00387935"/>
    <w:rsid w:val="00390198"/>
    <w:rsid w:val="003904BC"/>
    <w:rsid w:val="00392E52"/>
    <w:rsid w:val="003A2C38"/>
    <w:rsid w:val="003A58A7"/>
    <w:rsid w:val="003A5F13"/>
    <w:rsid w:val="003A6D80"/>
    <w:rsid w:val="003D0BDD"/>
    <w:rsid w:val="003D3724"/>
    <w:rsid w:val="003D7A55"/>
    <w:rsid w:val="003E146B"/>
    <w:rsid w:val="003E1584"/>
    <w:rsid w:val="003E1C74"/>
    <w:rsid w:val="003E30DD"/>
    <w:rsid w:val="003E4DCB"/>
    <w:rsid w:val="003E752B"/>
    <w:rsid w:val="003F0A96"/>
    <w:rsid w:val="003F2919"/>
    <w:rsid w:val="003F2FEE"/>
    <w:rsid w:val="003F301A"/>
    <w:rsid w:val="003F312D"/>
    <w:rsid w:val="003F499F"/>
    <w:rsid w:val="00400368"/>
    <w:rsid w:val="0040234F"/>
    <w:rsid w:val="004042BE"/>
    <w:rsid w:val="0040548E"/>
    <w:rsid w:val="0040702D"/>
    <w:rsid w:val="00415094"/>
    <w:rsid w:val="0041584B"/>
    <w:rsid w:val="00415BAF"/>
    <w:rsid w:val="0041614D"/>
    <w:rsid w:val="00420641"/>
    <w:rsid w:val="0042379F"/>
    <w:rsid w:val="00426E6C"/>
    <w:rsid w:val="00427CCE"/>
    <w:rsid w:val="00432A44"/>
    <w:rsid w:val="00433399"/>
    <w:rsid w:val="004376EB"/>
    <w:rsid w:val="00446C84"/>
    <w:rsid w:val="0045368E"/>
    <w:rsid w:val="00455781"/>
    <w:rsid w:val="00460646"/>
    <w:rsid w:val="0046096A"/>
    <w:rsid w:val="00466D60"/>
    <w:rsid w:val="004709C5"/>
    <w:rsid w:val="004721A6"/>
    <w:rsid w:val="004744CF"/>
    <w:rsid w:val="004759B0"/>
    <w:rsid w:val="004760ED"/>
    <w:rsid w:val="004804D9"/>
    <w:rsid w:val="00480A32"/>
    <w:rsid w:val="004813AB"/>
    <w:rsid w:val="004A58CA"/>
    <w:rsid w:val="004A617F"/>
    <w:rsid w:val="004B148D"/>
    <w:rsid w:val="004B7539"/>
    <w:rsid w:val="004B7BE8"/>
    <w:rsid w:val="004C2183"/>
    <w:rsid w:val="004C2AB0"/>
    <w:rsid w:val="004C670B"/>
    <w:rsid w:val="004D06F3"/>
    <w:rsid w:val="004D1906"/>
    <w:rsid w:val="004D2D88"/>
    <w:rsid w:val="004D4DDE"/>
    <w:rsid w:val="004E06D9"/>
    <w:rsid w:val="004E34A8"/>
    <w:rsid w:val="004E3F0B"/>
    <w:rsid w:val="004E511E"/>
    <w:rsid w:val="004E7081"/>
    <w:rsid w:val="004E7D7F"/>
    <w:rsid w:val="004F0FAA"/>
    <w:rsid w:val="004F29DA"/>
    <w:rsid w:val="004F622B"/>
    <w:rsid w:val="00506BB2"/>
    <w:rsid w:val="00507CE4"/>
    <w:rsid w:val="00511235"/>
    <w:rsid w:val="00511B63"/>
    <w:rsid w:val="0051611A"/>
    <w:rsid w:val="00516E20"/>
    <w:rsid w:val="00516F6D"/>
    <w:rsid w:val="00517A26"/>
    <w:rsid w:val="0052357B"/>
    <w:rsid w:val="005242CA"/>
    <w:rsid w:val="00525C98"/>
    <w:rsid w:val="005303D4"/>
    <w:rsid w:val="00530D9D"/>
    <w:rsid w:val="00543ACC"/>
    <w:rsid w:val="005465F5"/>
    <w:rsid w:val="0055496E"/>
    <w:rsid w:val="00554977"/>
    <w:rsid w:val="00556AAD"/>
    <w:rsid w:val="00560E56"/>
    <w:rsid w:val="00562504"/>
    <w:rsid w:val="00564FDC"/>
    <w:rsid w:val="00573289"/>
    <w:rsid w:val="00575BC3"/>
    <w:rsid w:val="005777A1"/>
    <w:rsid w:val="00581960"/>
    <w:rsid w:val="00583044"/>
    <w:rsid w:val="00583D81"/>
    <w:rsid w:val="00583F3A"/>
    <w:rsid w:val="00594D69"/>
    <w:rsid w:val="00594DC3"/>
    <w:rsid w:val="00595F3F"/>
    <w:rsid w:val="00597389"/>
    <w:rsid w:val="005A029F"/>
    <w:rsid w:val="005A081D"/>
    <w:rsid w:val="005A3093"/>
    <w:rsid w:val="005A37EB"/>
    <w:rsid w:val="005A51A7"/>
    <w:rsid w:val="005C0DA8"/>
    <w:rsid w:val="005C1225"/>
    <w:rsid w:val="005C1B24"/>
    <w:rsid w:val="005C2E22"/>
    <w:rsid w:val="005C46E4"/>
    <w:rsid w:val="005C523A"/>
    <w:rsid w:val="005D1A51"/>
    <w:rsid w:val="005D419E"/>
    <w:rsid w:val="005D6051"/>
    <w:rsid w:val="005E0656"/>
    <w:rsid w:val="005E190D"/>
    <w:rsid w:val="005E27B0"/>
    <w:rsid w:val="005E2ABD"/>
    <w:rsid w:val="005E469D"/>
    <w:rsid w:val="005E4C6C"/>
    <w:rsid w:val="005E5157"/>
    <w:rsid w:val="005F03A4"/>
    <w:rsid w:val="005F20B2"/>
    <w:rsid w:val="005F34CF"/>
    <w:rsid w:val="00600633"/>
    <w:rsid w:val="00603328"/>
    <w:rsid w:val="006106AB"/>
    <w:rsid w:val="006138C3"/>
    <w:rsid w:val="006206ED"/>
    <w:rsid w:val="00621B87"/>
    <w:rsid w:val="006270ED"/>
    <w:rsid w:val="006411E6"/>
    <w:rsid w:val="00642280"/>
    <w:rsid w:val="0065227C"/>
    <w:rsid w:val="006543D6"/>
    <w:rsid w:val="00655CE9"/>
    <w:rsid w:val="00663015"/>
    <w:rsid w:val="006630D7"/>
    <w:rsid w:val="00664908"/>
    <w:rsid w:val="00664F58"/>
    <w:rsid w:val="00667264"/>
    <w:rsid w:val="0067330A"/>
    <w:rsid w:val="00673B42"/>
    <w:rsid w:val="00674DE3"/>
    <w:rsid w:val="006841DA"/>
    <w:rsid w:val="00685C47"/>
    <w:rsid w:val="00686C42"/>
    <w:rsid w:val="0069340F"/>
    <w:rsid w:val="00694CC0"/>
    <w:rsid w:val="006A2CFE"/>
    <w:rsid w:val="006A4386"/>
    <w:rsid w:val="006A43CC"/>
    <w:rsid w:val="006A4B4A"/>
    <w:rsid w:val="006A5B16"/>
    <w:rsid w:val="006A789A"/>
    <w:rsid w:val="006B278C"/>
    <w:rsid w:val="006B5921"/>
    <w:rsid w:val="006C038C"/>
    <w:rsid w:val="006C1313"/>
    <w:rsid w:val="006C688C"/>
    <w:rsid w:val="006C7146"/>
    <w:rsid w:val="006C78C2"/>
    <w:rsid w:val="006D28DC"/>
    <w:rsid w:val="006D4CA1"/>
    <w:rsid w:val="006E231F"/>
    <w:rsid w:val="006E3C2B"/>
    <w:rsid w:val="006E4B4D"/>
    <w:rsid w:val="006F2CB5"/>
    <w:rsid w:val="006F37F8"/>
    <w:rsid w:val="006F74C2"/>
    <w:rsid w:val="006F7BDD"/>
    <w:rsid w:val="00700BC6"/>
    <w:rsid w:val="00701A9B"/>
    <w:rsid w:val="00705A27"/>
    <w:rsid w:val="00706DD6"/>
    <w:rsid w:val="0071632E"/>
    <w:rsid w:val="00717254"/>
    <w:rsid w:val="00727497"/>
    <w:rsid w:val="007307AD"/>
    <w:rsid w:val="00731EAF"/>
    <w:rsid w:val="0073215F"/>
    <w:rsid w:val="007367ED"/>
    <w:rsid w:val="00737CE4"/>
    <w:rsid w:val="00745C7B"/>
    <w:rsid w:val="00752E81"/>
    <w:rsid w:val="00755706"/>
    <w:rsid w:val="00755D90"/>
    <w:rsid w:val="0075793E"/>
    <w:rsid w:val="00761EB0"/>
    <w:rsid w:val="007623D8"/>
    <w:rsid w:val="0076435E"/>
    <w:rsid w:val="00764A23"/>
    <w:rsid w:val="0076561A"/>
    <w:rsid w:val="007662F0"/>
    <w:rsid w:val="007675E9"/>
    <w:rsid w:val="00772FC5"/>
    <w:rsid w:val="007743E4"/>
    <w:rsid w:val="00784BD5"/>
    <w:rsid w:val="007925E7"/>
    <w:rsid w:val="00792BDA"/>
    <w:rsid w:val="00793B96"/>
    <w:rsid w:val="00793BE1"/>
    <w:rsid w:val="007949D1"/>
    <w:rsid w:val="00795852"/>
    <w:rsid w:val="007A3FC5"/>
    <w:rsid w:val="007A6B25"/>
    <w:rsid w:val="007B24D7"/>
    <w:rsid w:val="007B6C75"/>
    <w:rsid w:val="007C21B5"/>
    <w:rsid w:val="007C5175"/>
    <w:rsid w:val="007C65DD"/>
    <w:rsid w:val="007E0901"/>
    <w:rsid w:val="007E29A1"/>
    <w:rsid w:val="007F361A"/>
    <w:rsid w:val="007F6023"/>
    <w:rsid w:val="007F683C"/>
    <w:rsid w:val="007F7A15"/>
    <w:rsid w:val="00803311"/>
    <w:rsid w:val="008063BC"/>
    <w:rsid w:val="008072B2"/>
    <w:rsid w:val="0081592F"/>
    <w:rsid w:val="00815C10"/>
    <w:rsid w:val="0081696C"/>
    <w:rsid w:val="008169A7"/>
    <w:rsid w:val="00823D00"/>
    <w:rsid w:val="00827750"/>
    <w:rsid w:val="00833ADF"/>
    <w:rsid w:val="00834315"/>
    <w:rsid w:val="008343FF"/>
    <w:rsid w:val="00834E89"/>
    <w:rsid w:val="008422BE"/>
    <w:rsid w:val="00850C86"/>
    <w:rsid w:val="00852626"/>
    <w:rsid w:val="0085619C"/>
    <w:rsid w:val="0085772A"/>
    <w:rsid w:val="00857C22"/>
    <w:rsid w:val="00857D03"/>
    <w:rsid w:val="0086023E"/>
    <w:rsid w:val="00863C64"/>
    <w:rsid w:val="00866D72"/>
    <w:rsid w:val="008728DB"/>
    <w:rsid w:val="008953DC"/>
    <w:rsid w:val="00897745"/>
    <w:rsid w:val="008A0899"/>
    <w:rsid w:val="008A170F"/>
    <w:rsid w:val="008A2F9D"/>
    <w:rsid w:val="008A4A86"/>
    <w:rsid w:val="008A7574"/>
    <w:rsid w:val="008B3088"/>
    <w:rsid w:val="008C103D"/>
    <w:rsid w:val="008C64BE"/>
    <w:rsid w:val="008C6D90"/>
    <w:rsid w:val="008D0AC8"/>
    <w:rsid w:val="008D7273"/>
    <w:rsid w:val="008D7C73"/>
    <w:rsid w:val="008F26A2"/>
    <w:rsid w:val="008F43A5"/>
    <w:rsid w:val="009041D9"/>
    <w:rsid w:val="0090587C"/>
    <w:rsid w:val="00906B3B"/>
    <w:rsid w:val="00907307"/>
    <w:rsid w:val="00910A38"/>
    <w:rsid w:val="00912D43"/>
    <w:rsid w:val="00912F37"/>
    <w:rsid w:val="0092467D"/>
    <w:rsid w:val="00924E15"/>
    <w:rsid w:val="00925EAE"/>
    <w:rsid w:val="00941EAC"/>
    <w:rsid w:val="00943BE4"/>
    <w:rsid w:val="009441A8"/>
    <w:rsid w:val="009450A8"/>
    <w:rsid w:val="00960ACC"/>
    <w:rsid w:val="00972FDC"/>
    <w:rsid w:val="009734DB"/>
    <w:rsid w:val="00977175"/>
    <w:rsid w:val="0097724E"/>
    <w:rsid w:val="00981832"/>
    <w:rsid w:val="009914AB"/>
    <w:rsid w:val="00991DE3"/>
    <w:rsid w:val="00992B99"/>
    <w:rsid w:val="00992D74"/>
    <w:rsid w:val="009A4B1B"/>
    <w:rsid w:val="009B6741"/>
    <w:rsid w:val="009B6C49"/>
    <w:rsid w:val="009B7238"/>
    <w:rsid w:val="009B7F36"/>
    <w:rsid w:val="009C1642"/>
    <w:rsid w:val="009C1CD0"/>
    <w:rsid w:val="009D628E"/>
    <w:rsid w:val="009D7E4F"/>
    <w:rsid w:val="009E37B0"/>
    <w:rsid w:val="009E39D0"/>
    <w:rsid w:val="009E3D53"/>
    <w:rsid w:val="009E6A93"/>
    <w:rsid w:val="009E6C95"/>
    <w:rsid w:val="009E70FD"/>
    <w:rsid w:val="009F299E"/>
    <w:rsid w:val="009F4592"/>
    <w:rsid w:val="009F5CF3"/>
    <w:rsid w:val="00A00079"/>
    <w:rsid w:val="00A006A6"/>
    <w:rsid w:val="00A05393"/>
    <w:rsid w:val="00A1546E"/>
    <w:rsid w:val="00A20F0C"/>
    <w:rsid w:val="00A23E59"/>
    <w:rsid w:val="00A24570"/>
    <w:rsid w:val="00A26881"/>
    <w:rsid w:val="00A27065"/>
    <w:rsid w:val="00A307F7"/>
    <w:rsid w:val="00A334FD"/>
    <w:rsid w:val="00A33A09"/>
    <w:rsid w:val="00A42FC7"/>
    <w:rsid w:val="00A45517"/>
    <w:rsid w:val="00A5270D"/>
    <w:rsid w:val="00A533CF"/>
    <w:rsid w:val="00A53D75"/>
    <w:rsid w:val="00A565A8"/>
    <w:rsid w:val="00A576D8"/>
    <w:rsid w:val="00A632FC"/>
    <w:rsid w:val="00A64145"/>
    <w:rsid w:val="00A646C4"/>
    <w:rsid w:val="00A65930"/>
    <w:rsid w:val="00A66A08"/>
    <w:rsid w:val="00A717AC"/>
    <w:rsid w:val="00A71FBA"/>
    <w:rsid w:val="00A729F9"/>
    <w:rsid w:val="00A74A19"/>
    <w:rsid w:val="00A7597E"/>
    <w:rsid w:val="00A767E1"/>
    <w:rsid w:val="00A76E3B"/>
    <w:rsid w:val="00A817B1"/>
    <w:rsid w:val="00A84E66"/>
    <w:rsid w:val="00A86172"/>
    <w:rsid w:val="00A9186E"/>
    <w:rsid w:val="00AA036D"/>
    <w:rsid w:val="00AA2110"/>
    <w:rsid w:val="00AA3FE8"/>
    <w:rsid w:val="00AA4583"/>
    <w:rsid w:val="00AB093D"/>
    <w:rsid w:val="00AB5CBE"/>
    <w:rsid w:val="00AC5DEA"/>
    <w:rsid w:val="00AC6A06"/>
    <w:rsid w:val="00AD0ED9"/>
    <w:rsid w:val="00AD1EC5"/>
    <w:rsid w:val="00AD4D8B"/>
    <w:rsid w:val="00AD66A5"/>
    <w:rsid w:val="00AE3C7E"/>
    <w:rsid w:val="00AF6289"/>
    <w:rsid w:val="00B12081"/>
    <w:rsid w:val="00B15402"/>
    <w:rsid w:val="00B1761F"/>
    <w:rsid w:val="00B20BC9"/>
    <w:rsid w:val="00B212D6"/>
    <w:rsid w:val="00B227C7"/>
    <w:rsid w:val="00B23866"/>
    <w:rsid w:val="00B32068"/>
    <w:rsid w:val="00B35A21"/>
    <w:rsid w:val="00B36B7A"/>
    <w:rsid w:val="00B413F5"/>
    <w:rsid w:val="00B46444"/>
    <w:rsid w:val="00B47560"/>
    <w:rsid w:val="00B51FC4"/>
    <w:rsid w:val="00B57323"/>
    <w:rsid w:val="00B621AD"/>
    <w:rsid w:val="00B63F2B"/>
    <w:rsid w:val="00B65DFD"/>
    <w:rsid w:val="00B713AE"/>
    <w:rsid w:val="00B71F86"/>
    <w:rsid w:val="00B74410"/>
    <w:rsid w:val="00B82128"/>
    <w:rsid w:val="00B831AA"/>
    <w:rsid w:val="00B83A7E"/>
    <w:rsid w:val="00B847BB"/>
    <w:rsid w:val="00B85148"/>
    <w:rsid w:val="00B8799B"/>
    <w:rsid w:val="00B933D9"/>
    <w:rsid w:val="00B968A9"/>
    <w:rsid w:val="00B972B1"/>
    <w:rsid w:val="00B97EB4"/>
    <w:rsid w:val="00BA68A2"/>
    <w:rsid w:val="00BB0648"/>
    <w:rsid w:val="00BB08F1"/>
    <w:rsid w:val="00BC0BB4"/>
    <w:rsid w:val="00BC17DA"/>
    <w:rsid w:val="00BD33A6"/>
    <w:rsid w:val="00BD483F"/>
    <w:rsid w:val="00BE2D74"/>
    <w:rsid w:val="00BE34A3"/>
    <w:rsid w:val="00BE516C"/>
    <w:rsid w:val="00BF6632"/>
    <w:rsid w:val="00C00E2D"/>
    <w:rsid w:val="00C02601"/>
    <w:rsid w:val="00C0324F"/>
    <w:rsid w:val="00C2168B"/>
    <w:rsid w:val="00C21F2B"/>
    <w:rsid w:val="00C228E5"/>
    <w:rsid w:val="00C2584F"/>
    <w:rsid w:val="00C30350"/>
    <w:rsid w:val="00C30E82"/>
    <w:rsid w:val="00C31BB2"/>
    <w:rsid w:val="00C31CC2"/>
    <w:rsid w:val="00C328CD"/>
    <w:rsid w:val="00C4201A"/>
    <w:rsid w:val="00C43581"/>
    <w:rsid w:val="00C4685C"/>
    <w:rsid w:val="00C46ACD"/>
    <w:rsid w:val="00C47527"/>
    <w:rsid w:val="00C47FCC"/>
    <w:rsid w:val="00C50853"/>
    <w:rsid w:val="00C65397"/>
    <w:rsid w:val="00C700B3"/>
    <w:rsid w:val="00C7363B"/>
    <w:rsid w:val="00C77E6D"/>
    <w:rsid w:val="00C84D49"/>
    <w:rsid w:val="00C85CDF"/>
    <w:rsid w:val="00C9266D"/>
    <w:rsid w:val="00C94C20"/>
    <w:rsid w:val="00C9663F"/>
    <w:rsid w:val="00CA5CA1"/>
    <w:rsid w:val="00CB0E5F"/>
    <w:rsid w:val="00CB1FAD"/>
    <w:rsid w:val="00CB735F"/>
    <w:rsid w:val="00CC0CF7"/>
    <w:rsid w:val="00CC2A06"/>
    <w:rsid w:val="00CC39E2"/>
    <w:rsid w:val="00CD3286"/>
    <w:rsid w:val="00CD6E82"/>
    <w:rsid w:val="00CE03F9"/>
    <w:rsid w:val="00CE588C"/>
    <w:rsid w:val="00CF6535"/>
    <w:rsid w:val="00CF6BD4"/>
    <w:rsid w:val="00D00F78"/>
    <w:rsid w:val="00D0117C"/>
    <w:rsid w:val="00D046EA"/>
    <w:rsid w:val="00D05E85"/>
    <w:rsid w:val="00D06B91"/>
    <w:rsid w:val="00D10374"/>
    <w:rsid w:val="00D1121B"/>
    <w:rsid w:val="00D11925"/>
    <w:rsid w:val="00D128FF"/>
    <w:rsid w:val="00D13C40"/>
    <w:rsid w:val="00D13DD7"/>
    <w:rsid w:val="00D164CF"/>
    <w:rsid w:val="00D16761"/>
    <w:rsid w:val="00D21BB5"/>
    <w:rsid w:val="00D22B0D"/>
    <w:rsid w:val="00D2586A"/>
    <w:rsid w:val="00D2668E"/>
    <w:rsid w:val="00D266F2"/>
    <w:rsid w:val="00D30857"/>
    <w:rsid w:val="00D33DDD"/>
    <w:rsid w:val="00D346E7"/>
    <w:rsid w:val="00D37EE9"/>
    <w:rsid w:val="00D45D92"/>
    <w:rsid w:val="00D46E09"/>
    <w:rsid w:val="00D47DC8"/>
    <w:rsid w:val="00D523BA"/>
    <w:rsid w:val="00D54BD9"/>
    <w:rsid w:val="00D57311"/>
    <w:rsid w:val="00D65016"/>
    <w:rsid w:val="00D67553"/>
    <w:rsid w:val="00D70702"/>
    <w:rsid w:val="00D70DDC"/>
    <w:rsid w:val="00D7178D"/>
    <w:rsid w:val="00D71C3E"/>
    <w:rsid w:val="00D74909"/>
    <w:rsid w:val="00D80E73"/>
    <w:rsid w:val="00D80FCC"/>
    <w:rsid w:val="00D85B5F"/>
    <w:rsid w:val="00D91C73"/>
    <w:rsid w:val="00D93EA0"/>
    <w:rsid w:val="00D94881"/>
    <w:rsid w:val="00D95EDE"/>
    <w:rsid w:val="00D970EB"/>
    <w:rsid w:val="00DA4FDD"/>
    <w:rsid w:val="00DA7071"/>
    <w:rsid w:val="00DB2A00"/>
    <w:rsid w:val="00DC08C3"/>
    <w:rsid w:val="00DC1B60"/>
    <w:rsid w:val="00DC3336"/>
    <w:rsid w:val="00DC6669"/>
    <w:rsid w:val="00DD3E1C"/>
    <w:rsid w:val="00DE12C7"/>
    <w:rsid w:val="00DE2DCC"/>
    <w:rsid w:val="00DE490C"/>
    <w:rsid w:val="00DE6C57"/>
    <w:rsid w:val="00DF17AC"/>
    <w:rsid w:val="00DF3285"/>
    <w:rsid w:val="00DF3BD3"/>
    <w:rsid w:val="00DF3E6F"/>
    <w:rsid w:val="00DF5168"/>
    <w:rsid w:val="00DF5A0E"/>
    <w:rsid w:val="00DF7772"/>
    <w:rsid w:val="00DF7BE7"/>
    <w:rsid w:val="00E0107C"/>
    <w:rsid w:val="00E02644"/>
    <w:rsid w:val="00E02E65"/>
    <w:rsid w:val="00E04092"/>
    <w:rsid w:val="00E040F5"/>
    <w:rsid w:val="00E11CCE"/>
    <w:rsid w:val="00E17874"/>
    <w:rsid w:val="00E20708"/>
    <w:rsid w:val="00E23145"/>
    <w:rsid w:val="00E231F9"/>
    <w:rsid w:val="00E3043C"/>
    <w:rsid w:val="00E3626A"/>
    <w:rsid w:val="00E3720B"/>
    <w:rsid w:val="00E37E79"/>
    <w:rsid w:val="00E42ADB"/>
    <w:rsid w:val="00E43E80"/>
    <w:rsid w:val="00E454FC"/>
    <w:rsid w:val="00E47279"/>
    <w:rsid w:val="00E50ABA"/>
    <w:rsid w:val="00E52ED2"/>
    <w:rsid w:val="00E5305B"/>
    <w:rsid w:val="00E53DBE"/>
    <w:rsid w:val="00E6143D"/>
    <w:rsid w:val="00E6504A"/>
    <w:rsid w:val="00E67E6D"/>
    <w:rsid w:val="00E71FC9"/>
    <w:rsid w:val="00E74C11"/>
    <w:rsid w:val="00E76B31"/>
    <w:rsid w:val="00E80D76"/>
    <w:rsid w:val="00E93BA1"/>
    <w:rsid w:val="00E95584"/>
    <w:rsid w:val="00EA2110"/>
    <w:rsid w:val="00EA27BB"/>
    <w:rsid w:val="00EA341A"/>
    <w:rsid w:val="00EA4C3C"/>
    <w:rsid w:val="00EA4CBD"/>
    <w:rsid w:val="00EB0D45"/>
    <w:rsid w:val="00EB373B"/>
    <w:rsid w:val="00EB6211"/>
    <w:rsid w:val="00EB7EB4"/>
    <w:rsid w:val="00EC3402"/>
    <w:rsid w:val="00ED3665"/>
    <w:rsid w:val="00ED7D79"/>
    <w:rsid w:val="00EE3EEE"/>
    <w:rsid w:val="00EE66EA"/>
    <w:rsid w:val="00EE770E"/>
    <w:rsid w:val="00EF11B4"/>
    <w:rsid w:val="00EF187A"/>
    <w:rsid w:val="00EF1D63"/>
    <w:rsid w:val="00EF271B"/>
    <w:rsid w:val="00EF3D79"/>
    <w:rsid w:val="00F01B71"/>
    <w:rsid w:val="00F024AD"/>
    <w:rsid w:val="00F048F3"/>
    <w:rsid w:val="00F05719"/>
    <w:rsid w:val="00F077C4"/>
    <w:rsid w:val="00F10054"/>
    <w:rsid w:val="00F13036"/>
    <w:rsid w:val="00F14042"/>
    <w:rsid w:val="00F2139C"/>
    <w:rsid w:val="00F24C24"/>
    <w:rsid w:val="00F3009A"/>
    <w:rsid w:val="00F331D9"/>
    <w:rsid w:val="00F34CF5"/>
    <w:rsid w:val="00F36272"/>
    <w:rsid w:val="00F417B5"/>
    <w:rsid w:val="00F445C1"/>
    <w:rsid w:val="00F5145E"/>
    <w:rsid w:val="00F64459"/>
    <w:rsid w:val="00F66A88"/>
    <w:rsid w:val="00F66AA7"/>
    <w:rsid w:val="00F7303C"/>
    <w:rsid w:val="00F8486A"/>
    <w:rsid w:val="00F9189A"/>
    <w:rsid w:val="00F91A45"/>
    <w:rsid w:val="00F93593"/>
    <w:rsid w:val="00F93726"/>
    <w:rsid w:val="00F95619"/>
    <w:rsid w:val="00FA1A13"/>
    <w:rsid w:val="00FA266D"/>
    <w:rsid w:val="00FA4084"/>
    <w:rsid w:val="00FA5206"/>
    <w:rsid w:val="00FA678C"/>
    <w:rsid w:val="00FB1BDC"/>
    <w:rsid w:val="00FB1CB6"/>
    <w:rsid w:val="00FB2C59"/>
    <w:rsid w:val="00FB41AA"/>
    <w:rsid w:val="00FB698A"/>
    <w:rsid w:val="00FC2845"/>
    <w:rsid w:val="00FC36AC"/>
    <w:rsid w:val="00FC52B8"/>
    <w:rsid w:val="00FC6611"/>
    <w:rsid w:val="00FC68B9"/>
    <w:rsid w:val="00FD2107"/>
    <w:rsid w:val="00FD400F"/>
    <w:rsid w:val="00FD6807"/>
    <w:rsid w:val="00FD7750"/>
    <w:rsid w:val="00FE2F78"/>
    <w:rsid w:val="00FE6B69"/>
    <w:rsid w:val="00FF10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FF651A-B402-4584-963E-1C80DE15D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86A"/>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D164C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qFormat/>
    <w:rsid w:val="00D2586A"/>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D2586A"/>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D2586A"/>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2586A"/>
    <w:rPr>
      <w:rFonts w:ascii="Arial" w:eastAsia="Times New Roman" w:hAnsi="Arial" w:cs="Arial"/>
      <w:b/>
      <w:bCs/>
      <w:sz w:val="26"/>
      <w:szCs w:val="26"/>
      <w:lang w:eastAsia="es-ES"/>
    </w:rPr>
  </w:style>
  <w:style w:type="character" w:customStyle="1" w:styleId="Ttulo4Car">
    <w:name w:val="Título 4 Car"/>
    <w:basedOn w:val="Fuentedeprrafopredeter"/>
    <w:link w:val="Ttulo4"/>
    <w:rsid w:val="00D2586A"/>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D2586A"/>
    <w:rPr>
      <w:rFonts w:ascii="Arial" w:eastAsia="Times New Roman" w:hAnsi="Arial" w:cs="Arial"/>
      <w:b/>
      <w:bCs/>
      <w:sz w:val="24"/>
      <w:szCs w:val="24"/>
      <w:lang w:eastAsia="es-ES"/>
    </w:rPr>
  </w:style>
  <w:style w:type="paragraph" w:styleId="Puesto">
    <w:name w:val="Title"/>
    <w:basedOn w:val="Normal"/>
    <w:link w:val="PuestoCar"/>
    <w:qFormat/>
    <w:rsid w:val="00D2586A"/>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D2586A"/>
    <w:rPr>
      <w:rFonts w:ascii="Arial" w:eastAsia="Times New Roman" w:hAnsi="Arial" w:cs="Arial"/>
      <w:b/>
      <w:sz w:val="24"/>
      <w:szCs w:val="24"/>
      <w:lang w:eastAsia="es-ES"/>
    </w:rPr>
  </w:style>
  <w:style w:type="paragraph" w:styleId="Sangradetextonormal">
    <w:name w:val="Body Text Indent"/>
    <w:basedOn w:val="Normal"/>
    <w:link w:val="SangradetextonormalCar"/>
    <w:rsid w:val="00D2586A"/>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D2586A"/>
    <w:rPr>
      <w:rFonts w:ascii="Tahoma" w:eastAsia="Times New Roman" w:hAnsi="Tahoma" w:cs="Tahoma"/>
      <w:sz w:val="24"/>
      <w:szCs w:val="24"/>
      <w:lang w:eastAsia="es-ES"/>
    </w:rPr>
  </w:style>
  <w:style w:type="paragraph" w:styleId="Prrafodelista">
    <w:name w:val="List Paragraph"/>
    <w:basedOn w:val="Normal"/>
    <w:uiPriority w:val="34"/>
    <w:qFormat/>
    <w:rsid w:val="00D2586A"/>
    <w:pPr>
      <w:ind w:left="720"/>
      <w:contextualSpacing/>
    </w:pPr>
  </w:style>
  <w:style w:type="paragraph" w:customStyle="1" w:styleId="Textoindependiente21">
    <w:name w:val="Texto independiente 21"/>
    <w:basedOn w:val="Normal"/>
    <w:link w:val="BodyText2Car1"/>
    <w:uiPriority w:val="99"/>
    <w:rsid w:val="00D2586A"/>
    <w:pPr>
      <w:overflowPunct w:val="0"/>
      <w:autoSpaceDE w:val="0"/>
      <w:autoSpaceDN w:val="0"/>
      <w:adjustRightInd w:val="0"/>
      <w:spacing w:line="360" w:lineRule="auto"/>
      <w:ind w:firstLine="709"/>
      <w:jc w:val="both"/>
      <w:textAlignment w:val="baseline"/>
    </w:pPr>
    <w:rPr>
      <w:rFonts w:ascii="Arial Narrow" w:hAnsi="Arial Narrow" w:cs="Arial Narrow"/>
      <w:sz w:val="30"/>
      <w:szCs w:val="30"/>
      <w:lang w:val="es-CO"/>
    </w:rPr>
  </w:style>
  <w:style w:type="character" w:customStyle="1" w:styleId="BodyText2Car1">
    <w:name w:val="Body Text 2 Car1"/>
    <w:link w:val="Textoindependiente21"/>
    <w:uiPriority w:val="99"/>
    <w:locked/>
    <w:rsid w:val="00D2586A"/>
    <w:rPr>
      <w:rFonts w:ascii="Arial Narrow" w:eastAsia="Times New Roman" w:hAnsi="Arial Narrow" w:cs="Arial Narrow"/>
      <w:sz w:val="30"/>
      <w:szCs w:val="30"/>
      <w:lang w:val="es-CO" w:eastAsia="es-ES"/>
    </w:rPr>
  </w:style>
  <w:style w:type="paragraph" w:styleId="Piedepgina">
    <w:name w:val="footer"/>
    <w:basedOn w:val="Normal"/>
    <w:link w:val="PiedepginaCar"/>
    <w:uiPriority w:val="99"/>
    <w:unhideWhenUsed/>
    <w:rsid w:val="00D2586A"/>
    <w:pPr>
      <w:tabs>
        <w:tab w:val="center" w:pos="4252"/>
        <w:tab w:val="right" w:pos="8504"/>
      </w:tabs>
    </w:pPr>
  </w:style>
  <w:style w:type="character" w:customStyle="1" w:styleId="PiedepginaCar">
    <w:name w:val="Pie de página Car"/>
    <w:basedOn w:val="Fuentedeprrafopredeter"/>
    <w:link w:val="Piedepgina"/>
    <w:uiPriority w:val="99"/>
    <w:rsid w:val="00D2586A"/>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D2586A"/>
    <w:pPr>
      <w:spacing w:after="0" w:line="240" w:lineRule="auto"/>
    </w:pPr>
    <w:rPr>
      <w:rFonts w:ascii="Times New Roman" w:eastAsia="Times New Roman" w:hAnsi="Times New Roman" w:cs="Times New Roman"/>
      <w:sz w:val="24"/>
      <w:szCs w:val="24"/>
      <w:lang w:eastAsia="es-ES"/>
    </w:rPr>
  </w:style>
  <w:style w:type="character" w:customStyle="1" w:styleId="SinespaciadoCar">
    <w:name w:val="Sin espaciado Car"/>
    <w:link w:val="Sinespaciado"/>
    <w:uiPriority w:val="1"/>
    <w:locked/>
    <w:rsid w:val="003D3724"/>
    <w:rPr>
      <w:rFonts w:ascii="Times New Roman" w:eastAsia="Times New Roman" w:hAnsi="Times New Roman" w:cs="Times New Roman"/>
      <w:sz w:val="24"/>
      <w:szCs w:val="24"/>
      <w:lang w:eastAsia="es-ES"/>
    </w:rPr>
  </w:style>
  <w:style w:type="character" w:styleId="Refdenotaalpie">
    <w:name w:val="footnote reference"/>
    <w:aliases w:val="Texto de nota al pie,referencia nota al pie"/>
    <w:uiPriority w:val="99"/>
    <w:rsid w:val="00D2586A"/>
    <w:rPr>
      <w:vertAlign w:val="superscript"/>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rsid w:val="00D2586A"/>
    <w:rPr>
      <w:sz w:val="20"/>
      <w:szCs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D2586A"/>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rsid w:val="00D2586A"/>
    <w:pPr>
      <w:spacing w:after="120"/>
    </w:pPr>
  </w:style>
  <w:style w:type="character" w:customStyle="1" w:styleId="TextoindependienteCar">
    <w:name w:val="Texto independiente Car"/>
    <w:basedOn w:val="Fuentedeprrafopredeter"/>
    <w:link w:val="Textoindependiente"/>
    <w:rsid w:val="00D2586A"/>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BE34A3"/>
    <w:pPr>
      <w:tabs>
        <w:tab w:val="center" w:pos="4252"/>
        <w:tab w:val="right" w:pos="8504"/>
      </w:tabs>
    </w:pPr>
  </w:style>
  <w:style w:type="character" w:customStyle="1" w:styleId="EncabezadoCar">
    <w:name w:val="Encabezado Car"/>
    <w:basedOn w:val="Fuentedeprrafopredeter"/>
    <w:link w:val="Encabezado"/>
    <w:uiPriority w:val="99"/>
    <w:rsid w:val="00BE34A3"/>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20BC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0BC9"/>
    <w:rPr>
      <w:rFonts w:ascii="Segoe UI" w:eastAsia="Times New Roman" w:hAnsi="Segoe UI" w:cs="Segoe UI"/>
      <w:sz w:val="18"/>
      <w:szCs w:val="18"/>
      <w:lang w:eastAsia="es-ES"/>
    </w:rPr>
  </w:style>
  <w:style w:type="paragraph" w:customStyle="1" w:styleId="Textoindependiente31">
    <w:name w:val="Texto independiente 31"/>
    <w:basedOn w:val="Normal"/>
    <w:rsid w:val="003D3724"/>
    <w:pPr>
      <w:spacing w:line="360" w:lineRule="auto"/>
      <w:jc w:val="both"/>
    </w:pPr>
    <w:rPr>
      <w:rFonts w:ascii="Arial" w:hAnsi="Arial"/>
      <w:szCs w:val="20"/>
      <w:lang w:val="es-ES_tradnl"/>
    </w:rPr>
  </w:style>
  <w:style w:type="paragraph" w:customStyle="1" w:styleId="Textoindependiente32">
    <w:name w:val="Texto independiente 32"/>
    <w:basedOn w:val="Normal"/>
    <w:rsid w:val="004042BE"/>
    <w:pPr>
      <w:spacing w:line="360" w:lineRule="auto"/>
      <w:jc w:val="both"/>
    </w:pPr>
    <w:rPr>
      <w:rFonts w:ascii="Arial" w:hAnsi="Arial"/>
      <w:sz w:val="28"/>
      <w:szCs w:val="20"/>
      <w:lang w:val="es-ES_tradnl"/>
    </w:rPr>
  </w:style>
  <w:style w:type="character" w:styleId="Hipervnculo">
    <w:name w:val="Hyperlink"/>
    <w:basedOn w:val="Fuentedeprrafopredeter"/>
    <w:uiPriority w:val="99"/>
    <w:semiHidden/>
    <w:unhideWhenUsed/>
    <w:rsid w:val="000A0A40"/>
    <w:rPr>
      <w:color w:val="0000FF"/>
      <w:u w:val="single"/>
    </w:rPr>
  </w:style>
  <w:style w:type="character" w:customStyle="1" w:styleId="Ttulo1Car">
    <w:name w:val="Título 1 Car"/>
    <w:basedOn w:val="Fuentedeprrafopredeter"/>
    <w:link w:val="Ttulo1"/>
    <w:uiPriority w:val="9"/>
    <w:rsid w:val="00D164CF"/>
    <w:rPr>
      <w:rFonts w:asciiTheme="majorHAnsi" w:eastAsiaTheme="majorEastAsia" w:hAnsiTheme="majorHAnsi" w:cstheme="majorBidi"/>
      <w:color w:val="2E74B5" w:themeColor="accent1" w:themeShade="BF"/>
      <w:sz w:val="32"/>
      <w:szCs w:val="3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843835">
      <w:bodyDiv w:val="1"/>
      <w:marLeft w:val="0"/>
      <w:marRight w:val="0"/>
      <w:marTop w:val="0"/>
      <w:marBottom w:val="0"/>
      <w:divBdr>
        <w:top w:val="none" w:sz="0" w:space="0" w:color="auto"/>
        <w:left w:val="none" w:sz="0" w:space="0" w:color="auto"/>
        <w:bottom w:val="none" w:sz="0" w:space="0" w:color="auto"/>
        <w:right w:val="none" w:sz="0" w:space="0" w:color="auto"/>
      </w:divBdr>
    </w:div>
    <w:div w:id="883250784">
      <w:bodyDiv w:val="1"/>
      <w:marLeft w:val="0"/>
      <w:marRight w:val="0"/>
      <w:marTop w:val="0"/>
      <w:marBottom w:val="0"/>
      <w:divBdr>
        <w:top w:val="none" w:sz="0" w:space="0" w:color="auto"/>
        <w:left w:val="none" w:sz="0" w:space="0" w:color="auto"/>
        <w:bottom w:val="none" w:sz="0" w:space="0" w:color="auto"/>
        <w:right w:val="none" w:sz="0" w:space="0" w:color="auto"/>
      </w:divBdr>
    </w:div>
    <w:div w:id="989678238">
      <w:bodyDiv w:val="1"/>
      <w:marLeft w:val="0"/>
      <w:marRight w:val="0"/>
      <w:marTop w:val="0"/>
      <w:marBottom w:val="0"/>
      <w:divBdr>
        <w:top w:val="none" w:sz="0" w:space="0" w:color="auto"/>
        <w:left w:val="none" w:sz="0" w:space="0" w:color="auto"/>
        <w:bottom w:val="none" w:sz="0" w:space="0" w:color="auto"/>
        <w:right w:val="none" w:sz="0" w:space="0" w:color="auto"/>
      </w:divBdr>
    </w:div>
    <w:div w:id="1244220964">
      <w:bodyDiv w:val="1"/>
      <w:marLeft w:val="0"/>
      <w:marRight w:val="0"/>
      <w:marTop w:val="0"/>
      <w:marBottom w:val="0"/>
      <w:divBdr>
        <w:top w:val="none" w:sz="0" w:space="0" w:color="auto"/>
        <w:left w:val="none" w:sz="0" w:space="0" w:color="auto"/>
        <w:bottom w:val="none" w:sz="0" w:space="0" w:color="auto"/>
        <w:right w:val="none" w:sz="0" w:space="0" w:color="auto"/>
      </w:divBdr>
    </w:div>
    <w:div w:id="163887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F77BF-7043-42F4-B4BA-C8EDD39E1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2739</Words>
  <Characters>15069</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Henry Lora Rodriguez</cp:lastModifiedBy>
  <cp:revision>7</cp:revision>
  <cp:lastPrinted>2019-06-27T20:06:00Z</cp:lastPrinted>
  <dcterms:created xsi:type="dcterms:W3CDTF">2019-06-27T20:06:00Z</dcterms:created>
  <dcterms:modified xsi:type="dcterms:W3CDTF">2019-08-29T16:45:00Z</dcterms:modified>
</cp:coreProperties>
</file>