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5A3" w:rsidRPr="00B125A3" w:rsidRDefault="00B125A3" w:rsidP="00B125A3">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8"/>
          <w:sz w:val="18"/>
          <w:szCs w:val="18"/>
          <w:lang w:val="es-419" w:eastAsia="fr-FR"/>
        </w:rPr>
      </w:pPr>
      <w:r w:rsidRPr="00B125A3">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125A3" w:rsidRPr="00B125A3" w:rsidRDefault="00B125A3" w:rsidP="00B125A3">
      <w:pPr>
        <w:spacing w:line="240" w:lineRule="auto"/>
        <w:ind w:firstLine="0"/>
        <w:rPr>
          <w:rFonts w:ascii="Arial" w:eastAsia="Times New Roman" w:hAnsi="Arial" w:cs="Arial"/>
          <w:sz w:val="20"/>
          <w:szCs w:val="20"/>
          <w:lang w:val="es-419" w:eastAsia="es-ES"/>
        </w:rPr>
      </w:pPr>
    </w:p>
    <w:p w:rsidR="00B125A3" w:rsidRPr="00B125A3" w:rsidRDefault="00B125A3" w:rsidP="00B125A3">
      <w:pPr>
        <w:spacing w:line="240" w:lineRule="auto"/>
        <w:ind w:firstLine="0"/>
        <w:rPr>
          <w:rFonts w:ascii="Arial" w:eastAsia="Times New Roman" w:hAnsi="Arial" w:cs="Arial"/>
          <w:sz w:val="20"/>
          <w:szCs w:val="20"/>
          <w:lang w:val="es-419" w:eastAsia="es-ES"/>
        </w:rPr>
      </w:pPr>
      <w:r w:rsidRPr="00B125A3">
        <w:rPr>
          <w:rFonts w:ascii="Arial" w:eastAsia="Times New Roman" w:hAnsi="Arial" w:cs="Arial"/>
          <w:sz w:val="20"/>
          <w:szCs w:val="20"/>
          <w:lang w:val="es-419" w:eastAsia="es-ES"/>
        </w:rPr>
        <w:t>Providencia</w:t>
      </w:r>
      <w:r w:rsidRPr="00B125A3">
        <w:rPr>
          <w:rFonts w:ascii="Arial" w:eastAsia="Times New Roman" w:hAnsi="Arial" w:cs="Arial"/>
          <w:sz w:val="20"/>
          <w:szCs w:val="20"/>
          <w:lang w:val="es-419" w:eastAsia="es-ES"/>
        </w:rPr>
        <w:tab/>
        <w:t>: Sentencia del 09 de agosto de 2019</w:t>
      </w:r>
    </w:p>
    <w:p w:rsidR="00B125A3" w:rsidRPr="00B125A3" w:rsidRDefault="00B125A3" w:rsidP="00B125A3">
      <w:pPr>
        <w:spacing w:line="240" w:lineRule="auto"/>
        <w:ind w:firstLine="0"/>
        <w:rPr>
          <w:rFonts w:ascii="Arial" w:eastAsia="Times New Roman" w:hAnsi="Arial" w:cs="Arial"/>
          <w:sz w:val="20"/>
          <w:szCs w:val="20"/>
          <w:lang w:val="es-419" w:eastAsia="es-ES"/>
        </w:rPr>
      </w:pPr>
      <w:r w:rsidRPr="00B125A3">
        <w:rPr>
          <w:rFonts w:ascii="Arial" w:eastAsia="Times New Roman" w:hAnsi="Arial" w:cs="Arial"/>
          <w:sz w:val="20"/>
          <w:szCs w:val="20"/>
          <w:lang w:val="es-419" w:eastAsia="es-ES"/>
        </w:rPr>
        <w:t xml:space="preserve">Radicación No. </w:t>
      </w:r>
      <w:r w:rsidRPr="00B125A3">
        <w:rPr>
          <w:rFonts w:ascii="Arial" w:eastAsia="Times New Roman" w:hAnsi="Arial" w:cs="Arial"/>
          <w:sz w:val="20"/>
          <w:szCs w:val="20"/>
          <w:lang w:val="es-419" w:eastAsia="es-ES"/>
        </w:rPr>
        <w:tab/>
        <w:t>: 66001-31-05-001-2016-00489-01</w:t>
      </w:r>
    </w:p>
    <w:p w:rsidR="00B125A3" w:rsidRPr="00B125A3" w:rsidRDefault="00B125A3" w:rsidP="00B125A3">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sidRPr="00B125A3">
        <w:rPr>
          <w:rFonts w:ascii="Arial" w:eastAsia="Times New Roman" w:hAnsi="Arial" w:cs="Arial"/>
          <w:sz w:val="20"/>
          <w:szCs w:val="20"/>
          <w:lang w:val="es-419" w:eastAsia="es-ES"/>
        </w:rPr>
        <w:t>: Ordinario Laboral de Primera Instancia</w:t>
      </w:r>
    </w:p>
    <w:p w:rsidR="00B125A3" w:rsidRPr="00B125A3" w:rsidRDefault="00B125A3" w:rsidP="00B125A3">
      <w:pPr>
        <w:spacing w:line="240" w:lineRule="auto"/>
        <w:ind w:firstLine="0"/>
        <w:rPr>
          <w:rFonts w:ascii="Arial" w:eastAsia="Times New Roman" w:hAnsi="Arial" w:cs="Arial"/>
          <w:sz w:val="20"/>
          <w:szCs w:val="20"/>
          <w:lang w:val="es-419" w:eastAsia="es-ES"/>
        </w:rPr>
      </w:pPr>
      <w:r w:rsidRPr="00B125A3">
        <w:rPr>
          <w:rFonts w:ascii="Arial" w:eastAsia="Times New Roman" w:hAnsi="Arial" w:cs="Arial"/>
          <w:sz w:val="20"/>
          <w:szCs w:val="20"/>
          <w:lang w:val="es-419" w:eastAsia="es-ES"/>
        </w:rPr>
        <w:t>Demandante</w:t>
      </w:r>
      <w:r w:rsidRPr="00B125A3">
        <w:rPr>
          <w:rFonts w:ascii="Arial" w:eastAsia="Times New Roman" w:hAnsi="Arial" w:cs="Arial"/>
          <w:sz w:val="20"/>
          <w:szCs w:val="20"/>
          <w:lang w:val="es-419" w:eastAsia="es-ES"/>
        </w:rPr>
        <w:tab/>
        <w:t>: Beatriz Franco Vélez</w:t>
      </w:r>
    </w:p>
    <w:p w:rsidR="00B125A3" w:rsidRPr="00B125A3" w:rsidRDefault="00B125A3" w:rsidP="00B125A3">
      <w:pPr>
        <w:spacing w:line="240" w:lineRule="auto"/>
        <w:ind w:firstLine="0"/>
        <w:rPr>
          <w:rFonts w:ascii="Arial" w:eastAsia="Times New Roman" w:hAnsi="Arial" w:cs="Arial"/>
          <w:sz w:val="20"/>
          <w:szCs w:val="20"/>
          <w:lang w:val="es-419" w:eastAsia="es-ES"/>
        </w:rPr>
      </w:pPr>
      <w:r w:rsidRPr="00B125A3">
        <w:rPr>
          <w:rFonts w:ascii="Arial" w:eastAsia="Times New Roman" w:hAnsi="Arial" w:cs="Arial"/>
          <w:sz w:val="20"/>
          <w:szCs w:val="20"/>
          <w:lang w:val="es-419" w:eastAsia="es-ES"/>
        </w:rPr>
        <w:t>Demandado</w:t>
      </w:r>
      <w:r w:rsidRPr="00B125A3">
        <w:rPr>
          <w:rFonts w:ascii="Arial" w:eastAsia="Times New Roman" w:hAnsi="Arial" w:cs="Arial"/>
          <w:sz w:val="20"/>
          <w:szCs w:val="20"/>
          <w:lang w:val="es-419" w:eastAsia="es-ES"/>
        </w:rPr>
        <w:tab/>
        <w:t>: AFP Protección S.A., AFP Porvenir S.A. y Colpensiones</w:t>
      </w:r>
    </w:p>
    <w:p w:rsidR="00B125A3" w:rsidRPr="00B125A3" w:rsidRDefault="00B125A3" w:rsidP="00B125A3">
      <w:pPr>
        <w:spacing w:line="240" w:lineRule="auto"/>
        <w:ind w:firstLine="0"/>
        <w:rPr>
          <w:rFonts w:ascii="Arial" w:eastAsia="Times New Roman" w:hAnsi="Arial" w:cs="Arial"/>
          <w:sz w:val="20"/>
          <w:szCs w:val="20"/>
          <w:lang w:val="es-419" w:eastAsia="es-ES"/>
        </w:rPr>
      </w:pPr>
      <w:r w:rsidRPr="00B125A3">
        <w:rPr>
          <w:rFonts w:ascii="Arial" w:eastAsia="Times New Roman" w:hAnsi="Arial" w:cs="Arial"/>
          <w:sz w:val="20"/>
          <w:szCs w:val="20"/>
          <w:lang w:val="es-419" w:eastAsia="es-ES"/>
        </w:rPr>
        <w:t>Juzgado</w:t>
      </w:r>
      <w:r w:rsidRPr="00B125A3">
        <w:rPr>
          <w:rFonts w:ascii="Arial" w:eastAsia="Times New Roman" w:hAnsi="Arial" w:cs="Arial"/>
          <w:sz w:val="20"/>
          <w:szCs w:val="20"/>
          <w:lang w:val="es-419" w:eastAsia="es-ES"/>
        </w:rPr>
        <w:tab/>
        <w:t>: Primero Laboral del Circuito</w:t>
      </w:r>
    </w:p>
    <w:p w:rsidR="00B125A3" w:rsidRPr="00B125A3" w:rsidRDefault="00B125A3" w:rsidP="00B125A3">
      <w:pPr>
        <w:spacing w:line="240" w:lineRule="auto"/>
        <w:ind w:firstLine="0"/>
        <w:rPr>
          <w:rFonts w:ascii="Arial" w:eastAsia="Times New Roman" w:hAnsi="Arial" w:cs="Arial"/>
          <w:sz w:val="20"/>
          <w:szCs w:val="20"/>
          <w:lang w:val="es-419" w:eastAsia="es-ES"/>
        </w:rPr>
      </w:pPr>
    </w:p>
    <w:p w:rsidR="00B125A3" w:rsidRPr="00B125A3" w:rsidRDefault="00B125A3" w:rsidP="00B125A3">
      <w:pPr>
        <w:spacing w:line="240" w:lineRule="auto"/>
        <w:ind w:firstLine="0"/>
        <w:rPr>
          <w:rFonts w:ascii="Arial" w:eastAsia="Times New Roman" w:hAnsi="Arial" w:cs="Arial"/>
          <w:b/>
          <w:bCs/>
          <w:iCs/>
          <w:sz w:val="20"/>
          <w:szCs w:val="20"/>
          <w:lang w:val="es-419" w:eastAsia="fr-FR"/>
        </w:rPr>
      </w:pPr>
      <w:r w:rsidRPr="00B125A3">
        <w:rPr>
          <w:rFonts w:ascii="Arial" w:eastAsia="Times New Roman" w:hAnsi="Arial" w:cs="Arial"/>
          <w:b/>
          <w:bCs/>
          <w:iCs/>
          <w:sz w:val="20"/>
          <w:szCs w:val="20"/>
          <w:lang w:val="es-419" w:eastAsia="fr-FR"/>
        </w:rPr>
        <w:t>TEMAS:</w:t>
      </w:r>
      <w:r w:rsidRPr="00B125A3">
        <w:rPr>
          <w:rFonts w:ascii="Arial" w:eastAsia="Times New Roman" w:hAnsi="Arial" w:cs="Arial"/>
          <w:b/>
          <w:bCs/>
          <w:iCs/>
          <w:sz w:val="20"/>
          <w:szCs w:val="20"/>
          <w:lang w:val="es-419" w:eastAsia="fr-FR"/>
        </w:rPr>
        <w:tab/>
      </w:r>
      <w:r w:rsidR="008370B5" w:rsidRPr="008370B5">
        <w:rPr>
          <w:rFonts w:ascii="Arial" w:eastAsia="Times New Roman" w:hAnsi="Arial" w:cs="Arial"/>
          <w:b/>
          <w:sz w:val="20"/>
          <w:szCs w:val="20"/>
          <w:lang w:val="es-419" w:eastAsia="es-ES"/>
        </w:rPr>
        <w:t>TRASLADO DE RÉGIMEN PENSIONAL / INEFICACIA / DEBER DE INFORMACIÓN / REQUISITOS / NO INCIDE SI EL AFILIADO ES BENEFICIARIO O NO DEL RÉGIMEN DE TRANSICIÓN / CARGA PROBATORIA INCUMBE AL FONDO DE PENSIONES.</w:t>
      </w:r>
    </w:p>
    <w:p w:rsidR="00B125A3" w:rsidRPr="00B125A3" w:rsidRDefault="00B125A3" w:rsidP="00B125A3">
      <w:pPr>
        <w:spacing w:line="240" w:lineRule="auto"/>
        <w:ind w:firstLine="0"/>
        <w:rPr>
          <w:rFonts w:ascii="Arial" w:eastAsia="Times New Roman" w:hAnsi="Arial" w:cs="Arial"/>
          <w:sz w:val="20"/>
          <w:szCs w:val="20"/>
          <w:lang w:val="es-419" w:eastAsia="es-ES"/>
        </w:rPr>
      </w:pPr>
    </w:p>
    <w:p w:rsidR="00B125A3" w:rsidRDefault="008370B5" w:rsidP="00B125A3">
      <w:pPr>
        <w:spacing w:line="240" w:lineRule="auto"/>
        <w:ind w:firstLine="0"/>
        <w:rPr>
          <w:rFonts w:ascii="Arial" w:eastAsia="Times New Roman" w:hAnsi="Arial" w:cs="Arial"/>
          <w:sz w:val="20"/>
          <w:szCs w:val="20"/>
          <w:lang w:val="es-CO" w:eastAsia="es-ES"/>
        </w:rPr>
      </w:pPr>
      <w:r w:rsidRPr="008370B5">
        <w:rPr>
          <w:rFonts w:ascii="Arial" w:eastAsia="Times New Roman" w:hAnsi="Arial" w:cs="Arial"/>
          <w:sz w:val="20"/>
          <w:szCs w:val="20"/>
          <w:lang w:val="es-419" w:eastAsia="es-ES"/>
        </w:rPr>
        <w:t>Dado que las Administradoras de Fondos de Pensiones son organismos profesionales, como pasa a explicarse, resulta aplicable a estos casos el artículo 1604 del Código Civil, según el cual la prueba de la debida diligencia y cuidado incumbe a quien ha debido emplearla</w:t>
      </w:r>
      <w:r>
        <w:rPr>
          <w:rFonts w:ascii="Arial" w:eastAsia="Times New Roman" w:hAnsi="Arial" w:cs="Arial"/>
          <w:sz w:val="20"/>
          <w:szCs w:val="20"/>
          <w:lang w:val="es-CO" w:eastAsia="es-ES"/>
        </w:rPr>
        <w:t>…</w:t>
      </w:r>
    </w:p>
    <w:p w:rsidR="008370B5" w:rsidRDefault="008370B5" w:rsidP="00B125A3">
      <w:pPr>
        <w:spacing w:line="240" w:lineRule="auto"/>
        <w:ind w:firstLine="0"/>
        <w:rPr>
          <w:rFonts w:ascii="Arial" w:eastAsia="Times New Roman" w:hAnsi="Arial" w:cs="Arial"/>
          <w:sz w:val="20"/>
          <w:szCs w:val="20"/>
          <w:lang w:val="es-CO" w:eastAsia="es-ES"/>
        </w:rPr>
      </w:pPr>
    </w:p>
    <w:p w:rsidR="008370B5" w:rsidRPr="008370B5" w:rsidRDefault="008370B5" w:rsidP="008370B5">
      <w:pPr>
        <w:spacing w:line="240" w:lineRule="auto"/>
        <w:ind w:firstLine="0"/>
        <w:rPr>
          <w:rFonts w:ascii="Arial" w:eastAsia="Times New Roman" w:hAnsi="Arial" w:cs="Arial"/>
          <w:sz w:val="20"/>
          <w:szCs w:val="20"/>
          <w:lang w:val="es-CO" w:eastAsia="es-ES"/>
        </w:rPr>
      </w:pPr>
      <w:r w:rsidRPr="008370B5">
        <w:rPr>
          <w:rFonts w:ascii="Arial" w:eastAsia="Times New Roman" w:hAnsi="Arial" w:cs="Arial"/>
          <w:sz w:val="20"/>
          <w:szCs w:val="20"/>
          <w:lang w:val="es-CO" w:eastAsia="es-ES"/>
        </w:rPr>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deben resultar confiables a los ciudadanos quienes les van a entregar sus ahorros y sus seguros de previsión para su vejez,  invalidez o para su familia cercana en caso de muerte prematura.</w:t>
      </w:r>
    </w:p>
    <w:p w:rsidR="008370B5" w:rsidRPr="008370B5" w:rsidRDefault="008370B5" w:rsidP="008370B5">
      <w:pPr>
        <w:spacing w:line="240" w:lineRule="auto"/>
        <w:ind w:firstLine="0"/>
        <w:rPr>
          <w:rFonts w:ascii="Arial" w:eastAsia="Times New Roman" w:hAnsi="Arial" w:cs="Arial"/>
          <w:sz w:val="20"/>
          <w:szCs w:val="20"/>
          <w:lang w:val="es-CO" w:eastAsia="es-ES"/>
        </w:rPr>
      </w:pPr>
    </w:p>
    <w:p w:rsidR="008370B5" w:rsidRDefault="008370B5" w:rsidP="008370B5">
      <w:pPr>
        <w:spacing w:line="240" w:lineRule="auto"/>
        <w:ind w:firstLine="0"/>
        <w:rPr>
          <w:rFonts w:ascii="Arial" w:eastAsia="Times New Roman" w:hAnsi="Arial" w:cs="Arial"/>
          <w:sz w:val="20"/>
          <w:szCs w:val="20"/>
          <w:lang w:val="es-CO" w:eastAsia="es-ES"/>
        </w:rPr>
      </w:pPr>
      <w:r w:rsidRPr="008370B5">
        <w:rPr>
          <w:rFonts w:ascii="Arial" w:eastAsia="Times New Roman" w:hAnsi="Arial" w:cs="Arial"/>
          <w:sz w:val="20"/>
          <w:szCs w:val="20"/>
          <w:lang w:val="es-CO" w:eastAsia="es-ES"/>
        </w:rPr>
        <w:t>En conclusión, en esta clase de asuntos el deber de información y buen consejo que la ley impone a las Administradoras de Fondos de Pensiones no depende de la calidad del contratante del Seguro de Vejez, Invalidez y Muerte, esto es, de si el afiliado es o no beneficiario del régimen de transición</w:t>
      </w:r>
      <w:r>
        <w:rPr>
          <w:rFonts w:ascii="Arial" w:eastAsia="Times New Roman" w:hAnsi="Arial" w:cs="Arial"/>
          <w:sz w:val="20"/>
          <w:szCs w:val="20"/>
          <w:lang w:val="es-CO" w:eastAsia="es-ES"/>
        </w:rPr>
        <w:t>…</w:t>
      </w:r>
    </w:p>
    <w:p w:rsidR="004E5922" w:rsidRDefault="004E5922" w:rsidP="008370B5">
      <w:pPr>
        <w:spacing w:line="240" w:lineRule="auto"/>
        <w:ind w:firstLine="0"/>
        <w:rPr>
          <w:rFonts w:ascii="Arial" w:eastAsia="Times New Roman" w:hAnsi="Arial" w:cs="Arial"/>
          <w:sz w:val="20"/>
          <w:szCs w:val="20"/>
          <w:lang w:val="es-CO" w:eastAsia="es-ES"/>
        </w:rPr>
      </w:pPr>
    </w:p>
    <w:p w:rsidR="004E5922" w:rsidRPr="008370B5" w:rsidRDefault="004E5922" w:rsidP="008370B5">
      <w:pPr>
        <w:spacing w:line="240" w:lineRule="auto"/>
        <w:ind w:firstLine="0"/>
        <w:rPr>
          <w:rFonts w:ascii="Arial" w:eastAsia="Times New Roman" w:hAnsi="Arial" w:cs="Arial"/>
          <w:sz w:val="20"/>
          <w:szCs w:val="20"/>
          <w:lang w:val="es-CO" w:eastAsia="es-ES"/>
        </w:rPr>
      </w:pPr>
      <w:r w:rsidRPr="004E5922">
        <w:rPr>
          <w:rFonts w:ascii="Arial" w:eastAsia="Times New Roman" w:hAnsi="Arial" w:cs="Arial"/>
          <w:sz w:val="20"/>
          <w:szCs w:val="20"/>
          <w:lang w:val="es-CO" w:eastAsia="es-ES"/>
        </w:rPr>
        <w:t>Lo anterior es suficiente para confirmar la decisión de primera instancia, pues como se ha expresado en otros asuntos de la misma naturaleza, en aquellos eventos en los que se presenta una segunda afiliación dentro del régimen a una AFP distinta a la que primero se afilió el demandante, como es aquí el caso, esta no adquiere ninguna validez ni ratifica la primera, pues el primer acto que perfeccionó el traslado estuvo viciado de nulidad (o ineficacia), y, por tanto, no produjo los efectos esperados.</w:t>
      </w:r>
    </w:p>
    <w:p w:rsidR="00B125A3" w:rsidRPr="00B125A3" w:rsidRDefault="00B125A3" w:rsidP="00B125A3">
      <w:pPr>
        <w:spacing w:line="240" w:lineRule="auto"/>
        <w:ind w:firstLine="0"/>
        <w:rPr>
          <w:rFonts w:ascii="Arial" w:eastAsia="Times New Roman" w:hAnsi="Arial" w:cs="Arial"/>
          <w:sz w:val="20"/>
          <w:szCs w:val="20"/>
          <w:lang w:val="es-419" w:eastAsia="es-ES"/>
        </w:rPr>
      </w:pPr>
    </w:p>
    <w:p w:rsidR="00B125A3" w:rsidRPr="00B125A3" w:rsidRDefault="00B125A3" w:rsidP="00B125A3">
      <w:pPr>
        <w:spacing w:line="240" w:lineRule="auto"/>
        <w:ind w:firstLine="0"/>
        <w:rPr>
          <w:rFonts w:ascii="Arial" w:eastAsia="Times New Roman" w:hAnsi="Arial" w:cs="Arial"/>
          <w:sz w:val="20"/>
          <w:szCs w:val="20"/>
          <w:lang w:eastAsia="es-ES"/>
        </w:rPr>
      </w:pPr>
    </w:p>
    <w:p w:rsidR="00B125A3" w:rsidRPr="00B125A3" w:rsidRDefault="00B125A3" w:rsidP="00B125A3">
      <w:pPr>
        <w:spacing w:line="240" w:lineRule="auto"/>
        <w:ind w:firstLine="0"/>
        <w:rPr>
          <w:rFonts w:ascii="Arial" w:eastAsia="Times New Roman" w:hAnsi="Arial" w:cs="Arial"/>
          <w:sz w:val="20"/>
          <w:szCs w:val="20"/>
          <w:lang w:eastAsia="es-ES"/>
        </w:rPr>
      </w:pPr>
    </w:p>
    <w:p w:rsidR="005F612B" w:rsidRPr="008378DA" w:rsidRDefault="005F612B" w:rsidP="005F612B">
      <w:pPr>
        <w:pStyle w:val="NormalWeb"/>
        <w:spacing w:before="0" w:beforeAutospacing="0" w:after="0" w:afterAutospacing="0" w:line="276" w:lineRule="auto"/>
        <w:jc w:val="center"/>
        <w:rPr>
          <w:rFonts w:ascii="Tahoma" w:hAnsi="Tahoma" w:cs="Tahoma"/>
          <w:b/>
          <w:bCs/>
        </w:rPr>
      </w:pPr>
      <w:r w:rsidRPr="008378DA">
        <w:rPr>
          <w:rFonts w:ascii="Tahoma" w:hAnsi="Tahoma" w:cs="Tahoma"/>
          <w:b/>
          <w:bCs/>
        </w:rPr>
        <w:t>REPÚBLICA DE COLOMBIA</w:t>
      </w:r>
    </w:p>
    <w:p w:rsidR="005F612B" w:rsidRPr="008378DA" w:rsidRDefault="005F612B" w:rsidP="005F612B">
      <w:pPr>
        <w:pStyle w:val="NormalWeb"/>
        <w:spacing w:before="0" w:beforeAutospacing="0" w:after="0" w:afterAutospacing="0"/>
        <w:jc w:val="center"/>
        <w:rPr>
          <w:rFonts w:ascii="Tahoma" w:hAnsi="Tahoma" w:cs="Tahoma"/>
          <w:b/>
          <w:bCs/>
        </w:rPr>
      </w:pPr>
    </w:p>
    <w:p w:rsidR="005F612B" w:rsidRPr="008378DA" w:rsidRDefault="005F612B" w:rsidP="005F612B">
      <w:pPr>
        <w:pStyle w:val="Ttulo4"/>
        <w:widowControl w:val="0"/>
        <w:tabs>
          <w:tab w:val="clear" w:pos="0"/>
        </w:tabs>
        <w:spacing w:line="276" w:lineRule="auto"/>
        <w:rPr>
          <w:rFonts w:ascii="Tahoma" w:hAnsi="Tahoma" w:cs="Tahoma"/>
          <w:bCs/>
          <w:szCs w:val="24"/>
          <w:lang w:eastAsia="es-MX"/>
        </w:rPr>
      </w:pPr>
      <w:r w:rsidRPr="008378DA">
        <w:rPr>
          <w:rFonts w:ascii="Tahoma" w:hAnsi="Tahoma" w:cs="Tahoma"/>
          <w:bCs/>
          <w:szCs w:val="24"/>
          <w:lang w:eastAsia="es-MX"/>
        </w:rPr>
        <w:t>TRIBUNAL SUPERIOR DEL DISTRITO JUDICIAL DE PEREIRA</w:t>
      </w:r>
    </w:p>
    <w:p w:rsidR="005F612B" w:rsidRPr="008378DA" w:rsidRDefault="005F612B" w:rsidP="005F612B">
      <w:pPr>
        <w:pStyle w:val="Ttulo4"/>
        <w:widowControl w:val="0"/>
        <w:tabs>
          <w:tab w:val="clear" w:pos="0"/>
          <w:tab w:val="left" w:pos="708"/>
        </w:tabs>
        <w:spacing w:line="276" w:lineRule="auto"/>
        <w:rPr>
          <w:rFonts w:ascii="Tahoma" w:hAnsi="Tahoma" w:cs="Tahoma"/>
          <w:bCs/>
          <w:szCs w:val="24"/>
          <w:lang w:eastAsia="es-MX"/>
        </w:rPr>
      </w:pPr>
      <w:r w:rsidRPr="008378DA">
        <w:rPr>
          <w:rFonts w:ascii="Tahoma" w:hAnsi="Tahoma" w:cs="Tahoma"/>
          <w:bCs/>
          <w:szCs w:val="24"/>
          <w:lang w:eastAsia="es-MX"/>
        </w:rPr>
        <w:t>SALA LABORAL</w:t>
      </w:r>
    </w:p>
    <w:p w:rsidR="005F612B" w:rsidRPr="008378DA" w:rsidRDefault="005F612B" w:rsidP="005F612B">
      <w:pPr>
        <w:rPr>
          <w:sz w:val="24"/>
          <w:szCs w:val="24"/>
          <w:lang w:eastAsia="es-MX"/>
        </w:rPr>
      </w:pPr>
    </w:p>
    <w:p w:rsidR="005F612B" w:rsidRPr="008378DA" w:rsidRDefault="005F612B" w:rsidP="005F612B">
      <w:pPr>
        <w:spacing w:line="276" w:lineRule="auto"/>
        <w:ind w:firstLine="0"/>
        <w:jc w:val="center"/>
        <w:rPr>
          <w:rFonts w:ascii="Tahoma" w:hAnsi="Tahoma" w:cs="Tahoma"/>
          <w:b/>
          <w:bCs/>
          <w:sz w:val="24"/>
          <w:szCs w:val="24"/>
        </w:rPr>
      </w:pPr>
      <w:r w:rsidRPr="008378DA">
        <w:rPr>
          <w:rFonts w:ascii="Tahoma" w:hAnsi="Tahoma" w:cs="Tahoma"/>
          <w:bCs/>
          <w:sz w:val="24"/>
          <w:szCs w:val="24"/>
        </w:rPr>
        <w:t>Magistrada Ponente:</w:t>
      </w:r>
      <w:r w:rsidRPr="008378DA">
        <w:rPr>
          <w:rFonts w:ascii="Tahoma" w:hAnsi="Tahoma" w:cs="Tahoma"/>
          <w:b/>
          <w:bCs/>
          <w:sz w:val="24"/>
          <w:szCs w:val="24"/>
        </w:rPr>
        <w:t xml:space="preserve"> ANA LUCÍA CAICEDO CALDERÓN</w:t>
      </w:r>
    </w:p>
    <w:p w:rsidR="005F612B" w:rsidRPr="008378DA" w:rsidRDefault="005F612B" w:rsidP="00F0746D">
      <w:pPr>
        <w:spacing w:line="276" w:lineRule="auto"/>
        <w:ind w:firstLine="0"/>
        <w:jc w:val="center"/>
        <w:rPr>
          <w:rFonts w:ascii="Tahoma" w:hAnsi="Tahoma" w:cs="Tahoma"/>
          <w:b/>
          <w:sz w:val="24"/>
          <w:szCs w:val="24"/>
        </w:rPr>
      </w:pPr>
      <w:r w:rsidRPr="008378DA">
        <w:rPr>
          <w:rFonts w:ascii="Tahoma" w:hAnsi="Tahoma" w:cs="Tahoma"/>
          <w:b/>
          <w:sz w:val="24"/>
          <w:szCs w:val="24"/>
        </w:rPr>
        <w:t>ACTA No. ______</w:t>
      </w:r>
    </w:p>
    <w:p w:rsidR="005F612B" w:rsidRPr="008378DA" w:rsidRDefault="005F612B" w:rsidP="005F612B">
      <w:pPr>
        <w:ind w:firstLine="0"/>
        <w:jc w:val="center"/>
        <w:rPr>
          <w:rFonts w:ascii="Tahoma" w:hAnsi="Tahoma" w:cs="Tahoma"/>
          <w:b/>
          <w:sz w:val="24"/>
          <w:szCs w:val="24"/>
        </w:rPr>
      </w:pPr>
      <w:r w:rsidRPr="008378DA">
        <w:rPr>
          <w:rFonts w:ascii="Tahoma" w:hAnsi="Tahoma" w:cs="Tahoma"/>
          <w:b/>
          <w:sz w:val="24"/>
          <w:szCs w:val="24"/>
        </w:rPr>
        <w:t>(Agosto 12 de 2019)</w:t>
      </w:r>
    </w:p>
    <w:p w:rsidR="005F612B" w:rsidRPr="008378DA" w:rsidRDefault="005F612B" w:rsidP="00F0746D">
      <w:pPr>
        <w:ind w:firstLine="0"/>
        <w:rPr>
          <w:rFonts w:ascii="Tahoma" w:hAnsi="Tahoma" w:cs="Tahoma"/>
          <w:b/>
          <w:sz w:val="24"/>
          <w:szCs w:val="24"/>
        </w:rPr>
      </w:pPr>
    </w:p>
    <w:p w:rsidR="005F612B" w:rsidRPr="008378DA" w:rsidRDefault="005F612B" w:rsidP="005F612B">
      <w:pPr>
        <w:spacing w:line="240" w:lineRule="auto"/>
        <w:ind w:firstLine="0"/>
        <w:jc w:val="center"/>
        <w:rPr>
          <w:rFonts w:ascii="Tahoma" w:hAnsi="Tahoma" w:cs="Tahoma"/>
          <w:b/>
          <w:sz w:val="24"/>
          <w:szCs w:val="24"/>
        </w:rPr>
      </w:pPr>
      <w:r w:rsidRPr="008378DA">
        <w:rPr>
          <w:rFonts w:ascii="Tahoma" w:hAnsi="Tahoma" w:cs="Tahoma"/>
          <w:b/>
          <w:sz w:val="24"/>
          <w:szCs w:val="24"/>
        </w:rPr>
        <w:t>AUDIENCIA DE JUZGAMIENTO</w:t>
      </w:r>
    </w:p>
    <w:p w:rsidR="005F612B" w:rsidRPr="008378DA" w:rsidRDefault="005F612B" w:rsidP="005F612B">
      <w:pPr>
        <w:spacing w:line="240" w:lineRule="auto"/>
        <w:ind w:firstLine="0"/>
        <w:rPr>
          <w:rFonts w:ascii="Tahoma" w:hAnsi="Tahoma" w:cs="Tahoma"/>
          <w:b/>
          <w:sz w:val="24"/>
          <w:szCs w:val="24"/>
        </w:rPr>
      </w:pPr>
    </w:p>
    <w:p w:rsidR="002972F5" w:rsidRDefault="005F612B" w:rsidP="00F0746D">
      <w:pPr>
        <w:spacing w:line="276" w:lineRule="auto"/>
        <w:ind w:firstLine="708"/>
        <w:rPr>
          <w:rFonts w:ascii="Tahoma" w:hAnsi="Tahoma" w:cs="Tahoma"/>
          <w:sz w:val="24"/>
          <w:szCs w:val="24"/>
          <w:lang w:val="es-ES_tradnl"/>
        </w:rPr>
      </w:pPr>
      <w:r w:rsidRPr="008378DA">
        <w:rPr>
          <w:rFonts w:ascii="Tahoma" w:hAnsi="Tahoma" w:cs="Tahoma"/>
          <w:sz w:val="24"/>
          <w:szCs w:val="24"/>
        </w:rPr>
        <w:t xml:space="preserve">En la fecha, siendo las 09:45 A.M., </w:t>
      </w:r>
      <w:r w:rsidRPr="008378DA">
        <w:rPr>
          <w:rFonts w:ascii="Tahoma" w:hAnsi="Tahoma" w:cs="Tahoma"/>
          <w:spacing w:val="-2"/>
          <w:sz w:val="24"/>
          <w:szCs w:val="24"/>
        </w:rPr>
        <w:t xml:space="preserve">la Sala de Decisión Laboral No. 1 del Tribunal Superior de Pereira, </w:t>
      </w:r>
      <w:r w:rsidRPr="008378DA">
        <w:rPr>
          <w:rFonts w:ascii="Tahoma" w:hAnsi="Tahoma" w:cs="Tahoma"/>
          <w:sz w:val="24"/>
          <w:szCs w:val="24"/>
          <w:lang w:val="es-ES_tradnl"/>
        </w:rPr>
        <w:t>la Sala de Decisión Laboral No. 1º del Tribunal Superior de Pereira se constituye en audiencia pública de juzgamiento en el proceso Ordinario Laboral instaurado por la señora BEATRIZ FRANCO VÉLEZ</w:t>
      </w:r>
      <w:r w:rsidRPr="008378DA">
        <w:rPr>
          <w:rFonts w:ascii="Tahoma" w:hAnsi="Tahoma" w:cs="Tahoma"/>
          <w:b/>
          <w:sz w:val="24"/>
          <w:szCs w:val="24"/>
          <w:lang w:val="es-ES_tradnl"/>
        </w:rPr>
        <w:t xml:space="preserve"> </w:t>
      </w:r>
      <w:r w:rsidRPr="008378DA">
        <w:rPr>
          <w:rFonts w:ascii="Tahoma" w:hAnsi="Tahoma" w:cs="Tahoma"/>
          <w:sz w:val="24"/>
          <w:szCs w:val="24"/>
          <w:lang w:val="es-ES_tradnl"/>
        </w:rPr>
        <w:t xml:space="preserve">en contra de la </w:t>
      </w:r>
      <w:r w:rsidRPr="008378DA">
        <w:rPr>
          <w:rFonts w:ascii="Tahoma" w:hAnsi="Tahoma" w:cs="Tahoma"/>
          <w:b/>
          <w:sz w:val="24"/>
          <w:szCs w:val="24"/>
          <w:lang w:val="es-ES_tradnl"/>
        </w:rPr>
        <w:t xml:space="preserve">ADMINISTRADORA COLOMBIANA DE PENSIONES </w:t>
      </w:r>
      <w:r w:rsidRPr="008378DA">
        <w:rPr>
          <w:rFonts w:ascii="Tahoma" w:hAnsi="Tahoma" w:cs="Tahoma"/>
          <w:sz w:val="24"/>
          <w:szCs w:val="24"/>
          <w:lang w:val="es-ES_tradnl"/>
        </w:rPr>
        <w:t>–</w:t>
      </w:r>
      <w:r w:rsidRPr="008378DA">
        <w:rPr>
          <w:rFonts w:ascii="Tahoma" w:hAnsi="Tahoma" w:cs="Tahoma"/>
          <w:b/>
          <w:sz w:val="24"/>
          <w:szCs w:val="24"/>
          <w:lang w:val="es-ES_tradnl"/>
        </w:rPr>
        <w:t>COLPENSIONES-</w:t>
      </w:r>
      <w:r w:rsidRPr="008378DA">
        <w:rPr>
          <w:rFonts w:ascii="Tahoma" w:hAnsi="Tahoma" w:cs="Tahoma"/>
          <w:sz w:val="24"/>
          <w:szCs w:val="24"/>
          <w:lang w:val="es-ES_tradnl"/>
        </w:rPr>
        <w:t xml:space="preserve"> y las Administradoras de fondos de pensiones </w:t>
      </w:r>
      <w:r w:rsidRPr="008378DA">
        <w:rPr>
          <w:rFonts w:ascii="Tahoma" w:hAnsi="Tahoma" w:cs="Tahoma"/>
          <w:b/>
          <w:sz w:val="24"/>
          <w:szCs w:val="24"/>
          <w:lang w:val="es-ES_tradnl"/>
        </w:rPr>
        <w:t>PROTECCIÓN S.A.</w:t>
      </w:r>
      <w:r w:rsidRPr="008378DA">
        <w:rPr>
          <w:rFonts w:ascii="Tahoma" w:hAnsi="Tahoma" w:cs="Tahoma"/>
          <w:sz w:val="24"/>
          <w:szCs w:val="24"/>
          <w:lang w:val="es-ES_tradnl"/>
        </w:rPr>
        <w:t xml:space="preserve"> y </w:t>
      </w:r>
      <w:r w:rsidRPr="008378DA">
        <w:rPr>
          <w:rFonts w:ascii="Tahoma" w:hAnsi="Tahoma" w:cs="Tahoma"/>
          <w:b/>
          <w:sz w:val="24"/>
          <w:szCs w:val="24"/>
          <w:lang w:val="es-ES_tradnl"/>
        </w:rPr>
        <w:t>PORVENIR S.A.</w:t>
      </w:r>
    </w:p>
    <w:p w:rsidR="002972F5" w:rsidRDefault="002972F5" w:rsidP="00F0746D">
      <w:pPr>
        <w:spacing w:line="276" w:lineRule="auto"/>
        <w:ind w:firstLine="708"/>
        <w:rPr>
          <w:rFonts w:ascii="Tahoma" w:hAnsi="Tahoma" w:cs="Tahoma"/>
          <w:sz w:val="24"/>
          <w:szCs w:val="24"/>
          <w:lang w:val="es-ES_tradnl"/>
        </w:rPr>
      </w:pPr>
    </w:p>
    <w:p w:rsidR="002972F5" w:rsidRDefault="005F612B" w:rsidP="00F0746D">
      <w:pPr>
        <w:spacing w:line="276" w:lineRule="auto"/>
        <w:ind w:firstLine="708"/>
        <w:rPr>
          <w:rFonts w:ascii="Tahoma" w:hAnsi="Tahoma" w:cs="Tahoma"/>
          <w:sz w:val="24"/>
          <w:szCs w:val="24"/>
          <w:lang w:val="es-ES_tradnl"/>
        </w:rPr>
      </w:pPr>
      <w:r w:rsidRPr="008378DA">
        <w:rPr>
          <w:rFonts w:ascii="Tahoma" w:hAnsi="Tahoma" w:cs="Tahoma"/>
          <w:sz w:val="24"/>
          <w:szCs w:val="24"/>
          <w:lang w:val="es-ES_tradnl"/>
        </w:rPr>
        <w:t>Para el efecto, se verifica la asistencia de las partes a la presente diligencia:</w:t>
      </w:r>
    </w:p>
    <w:p w:rsidR="002972F5" w:rsidRDefault="005F612B" w:rsidP="00F0746D">
      <w:pPr>
        <w:spacing w:line="276" w:lineRule="auto"/>
        <w:ind w:firstLine="708"/>
        <w:rPr>
          <w:rFonts w:ascii="Tahoma" w:hAnsi="Tahoma" w:cs="Tahoma"/>
          <w:sz w:val="24"/>
          <w:szCs w:val="24"/>
          <w:lang w:val="es-ES_tradnl"/>
        </w:rPr>
      </w:pPr>
      <w:r w:rsidRPr="008378DA">
        <w:rPr>
          <w:rFonts w:ascii="Tahoma" w:hAnsi="Tahoma" w:cs="Tahoma"/>
          <w:sz w:val="24"/>
          <w:szCs w:val="24"/>
          <w:lang w:val="es-ES_tradnl"/>
        </w:rPr>
        <w:t>Por la parte demandante…</w:t>
      </w:r>
    </w:p>
    <w:p w:rsidR="005F612B" w:rsidRPr="008378DA" w:rsidRDefault="005F612B" w:rsidP="00F0746D">
      <w:pPr>
        <w:spacing w:line="276" w:lineRule="auto"/>
        <w:ind w:firstLine="708"/>
        <w:rPr>
          <w:rFonts w:ascii="Tahoma" w:hAnsi="Tahoma" w:cs="Tahoma"/>
          <w:sz w:val="24"/>
          <w:szCs w:val="24"/>
          <w:lang w:val="es-ES_tradnl"/>
        </w:rPr>
      </w:pPr>
      <w:r w:rsidRPr="008378DA">
        <w:rPr>
          <w:rFonts w:ascii="Tahoma" w:hAnsi="Tahoma" w:cs="Tahoma"/>
          <w:sz w:val="24"/>
          <w:szCs w:val="24"/>
          <w:lang w:val="es-ES_tradnl"/>
        </w:rPr>
        <w:t>Por la demandada…</w:t>
      </w:r>
    </w:p>
    <w:p w:rsidR="005F612B" w:rsidRPr="008378DA" w:rsidRDefault="005F612B" w:rsidP="005F612B">
      <w:pPr>
        <w:spacing w:line="240" w:lineRule="auto"/>
        <w:rPr>
          <w:rFonts w:ascii="Tahoma" w:hAnsi="Tahoma" w:cs="Tahoma"/>
          <w:sz w:val="24"/>
          <w:szCs w:val="24"/>
          <w:lang w:val="es-ES_tradnl"/>
        </w:rPr>
      </w:pPr>
    </w:p>
    <w:p w:rsidR="005F612B" w:rsidRPr="008378DA" w:rsidRDefault="005F612B" w:rsidP="005F612B">
      <w:pPr>
        <w:widowControl w:val="0"/>
        <w:autoSpaceDE w:val="0"/>
        <w:autoSpaceDN w:val="0"/>
        <w:adjustRightInd w:val="0"/>
        <w:ind w:firstLine="0"/>
        <w:jc w:val="center"/>
        <w:rPr>
          <w:rFonts w:ascii="Tahoma" w:hAnsi="Tahoma" w:cs="Tahoma"/>
          <w:b/>
          <w:caps/>
          <w:sz w:val="24"/>
          <w:szCs w:val="24"/>
        </w:rPr>
      </w:pPr>
      <w:r w:rsidRPr="008378DA">
        <w:rPr>
          <w:rFonts w:ascii="Tahoma" w:hAnsi="Tahoma" w:cs="Tahoma"/>
          <w:sz w:val="24"/>
          <w:szCs w:val="24"/>
          <w:lang w:val="es-ES_tradnl"/>
        </w:rPr>
        <w:tab/>
      </w:r>
      <w:r w:rsidRPr="008378DA">
        <w:rPr>
          <w:rFonts w:ascii="Tahoma" w:hAnsi="Tahoma" w:cs="Tahoma"/>
          <w:b/>
          <w:caps/>
          <w:sz w:val="24"/>
          <w:szCs w:val="24"/>
        </w:rPr>
        <w:t>Alegatos de conclusión</w:t>
      </w:r>
    </w:p>
    <w:p w:rsidR="005F612B" w:rsidRPr="008378DA" w:rsidRDefault="005F612B" w:rsidP="005F612B">
      <w:pPr>
        <w:widowControl w:val="0"/>
        <w:autoSpaceDE w:val="0"/>
        <w:autoSpaceDN w:val="0"/>
        <w:adjustRightInd w:val="0"/>
        <w:spacing w:line="276" w:lineRule="auto"/>
        <w:rPr>
          <w:rFonts w:ascii="Tahoma" w:hAnsi="Tahoma" w:cs="Tahoma"/>
          <w:sz w:val="24"/>
          <w:szCs w:val="24"/>
        </w:rPr>
      </w:pPr>
    </w:p>
    <w:p w:rsidR="005F612B" w:rsidRPr="008378DA" w:rsidRDefault="005F612B" w:rsidP="005F612B">
      <w:pPr>
        <w:spacing w:line="276" w:lineRule="auto"/>
        <w:ind w:firstLine="708"/>
        <w:rPr>
          <w:rFonts w:ascii="Tahoma" w:hAnsi="Tahoma" w:cs="Tahoma"/>
          <w:sz w:val="24"/>
          <w:szCs w:val="24"/>
          <w:lang w:val="es-ES_tradnl"/>
        </w:rPr>
      </w:pPr>
      <w:r w:rsidRPr="008378DA">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5F612B" w:rsidRPr="008378DA" w:rsidRDefault="005F612B" w:rsidP="005F612B">
      <w:pPr>
        <w:spacing w:line="240" w:lineRule="auto"/>
        <w:ind w:firstLine="708"/>
        <w:rPr>
          <w:rFonts w:ascii="Tahoma" w:hAnsi="Tahoma" w:cs="Tahoma"/>
          <w:sz w:val="24"/>
          <w:szCs w:val="24"/>
          <w:lang w:val="es-ES_tradnl"/>
        </w:rPr>
      </w:pPr>
    </w:p>
    <w:p w:rsidR="005F612B" w:rsidRPr="008378DA" w:rsidRDefault="005F612B" w:rsidP="005F612B">
      <w:pPr>
        <w:widowControl w:val="0"/>
        <w:autoSpaceDE w:val="0"/>
        <w:autoSpaceDN w:val="0"/>
        <w:adjustRightInd w:val="0"/>
        <w:ind w:firstLine="0"/>
        <w:jc w:val="center"/>
        <w:rPr>
          <w:rFonts w:ascii="Tahoma" w:hAnsi="Tahoma" w:cs="Tahoma"/>
          <w:b/>
          <w:sz w:val="24"/>
          <w:szCs w:val="24"/>
        </w:rPr>
      </w:pPr>
      <w:r w:rsidRPr="008378DA">
        <w:rPr>
          <w:rFonts w:ascii="Tahoma" w:hAnsi="Tahoma" w:cs="Tahoma"/>
          <w:b/>
          <w:sz w:val="24"/>
          <w:szCs w:val="24"/>
        </w:rPr>
        <w:t>SENTENCIA</w:t>
      </w:r>
    </w:p>
    <w:p w:rsidR="005F612B" w:rsidRPr="008378DA" w:rsidRDefault="005F612B" w:rsidP="005F612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4"/>
        <w:rPr>
          <w:rFonts w:eastAsia="Tahoma" w:cs="Tahoma"/>
          <w:sz w:val="24"/>
          <w:szCs w:val="24"/>
          <w:lang w:val="es-CO"/>
        </w:rPr>
      </w:pPr>
    </w:p>
    <w:p w:rsidR="005F612B" w:rsidRPr="008378DA" w:rsidRDefault="005F612B" w:rsidP="005F612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sz w:val="24"/>
          <w:szCs w:val="24"/>
          <w:lang w:val="es-CO"/>
        </w:rPr>
      </w:pPr>
      <w:r w:rsidRPr="008378DA">
        <w:rPr>
          <w:sz w:val="24"/>
          <w:szCs w:val="24"/>
          <w:lang w:val="es-CO"/>
        </w:rPr>
        <w:t xml:space="preserve">Como quiera que los alegatos coinciden a cabalidad con los puntos fácticos y jurídicos objeto de discusión en esta sede, procede la Sala a resolver el recurso de apelación promovido por los apoderados judiciales de las codemandadas en contra de la sentencia del 16 de agosto de 2018, proferida por el </w:t>
      </w:r>
      <w:r w:rsidRPr="008378DA">
        <w:rPr>
          <w:b/>
          <w:sz w:val="24"/>
          <w:szCs w:val="24"/>
          <w:lang w:val="es-CO"/>
        </w:rPr>
        <w:t>JUZGADO PRIMERO LABORAL DEL CIRCUITO</w:t>
      </w:r>
      <w:r w:rsidRPr="008378DA">
        <w:rPr>
          <w:sz w:val="24"/>
          <w:szCs w:val="24"/>
          <w:lang w:val="es-CO"/>
        </w:rPr>
        <w:t>.</w:t>
      </w:r>
    </w:p>
    <w:p w:rsidR="005F612B" w:rsidRPr="008378DA" w:rsidRDefault="005F612B" w:rsidP="005F612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eastAsia="Tahoma" w:cs="Tahoma"/>
          <w:sz w:val="24"/>
          <w:szCs w:val="24"/>
          <w:lang w:val="es-CO"/>
        </w:rPr>
      </w:pPr>
      <w:r w:rsidRPr="008378DA">
        <w:rPr>
          <w:sz w:val="24"/>
          <w:szCs w:val="24"/>
          <w:lang w:val="es-CO"/>
        </w:rPr>
        <w:t xml:space="preserve"> </w:t>
      </w:r>
    </w:p>
    <w:p w:rsidR="005F612B" w:rsidRPr="008378DA" w:rsidRDefault="005F612B" w:rsidP="005F612B">
      <w:pPr>
        <w:spacing w:line="276" w:lineRule="auto"/>
        <w:ind w:firstLine="0"/>
        <w:jc w:val="center"/>
        <w:rPr>
          <w:rFonts w:ascii="Tahoma" w:hAnsi="Tahoma" w:cs="Tahoma"/>
          <w:b/>
          <w:sz w:val="24"/>
          <w:szCs w:val="24"/>
        </w:rPr>
      </w:pPr>
      <w:r w:rsidRPr="008378DA">
        <w:rPr>
          <w:rFonts w:ascii="Tahoma" w:hAnsi="Tahoma" w:cs="Tahoma"/>
          <w:b/>
          <w:sz w:val="24"/>
          <w:szCs w:val="24"/>
        </w:rPr>
        <w:t>PROBLEMA JURIDICO</w:t>
      </w:r>
    </w:p>
    <w:p w:rsidR="005F612B" w:rsidRPr="008378DA" w:rsidRDefault="005F612B" w:rsidP="005F612B">
      <w:pPr>
        <w:widowControl w:val="0"/>
        <w:autoSpaceDE w:val="0"/>
        <w:autoSpaceDN w:val="0"/>
        <w:adjustRightInd w:val="0"/>
        <w:spacing w:line="240" w:lineRule="auto"/>
        <w:ind w:firstLine="0"/>
        <w:rPr>
          <w:rFonts w:ascii="Tahoma" w:hAnsi="Tahoma" w:cs="Tahoma"/>
          <w:b/>
          <w:sz w:val="24"/>
          <w:szCs w:val="24"/>
        </w:rPr>
      </w:pPr>
    </w:p>
    <w:p w:rsidR="005F612B" w:rsidRPr="008378DA" w:rsidRDefault="005F612B" w:rsidP="00F0746D">
      <w:pPr>
        <w:spacing w:line="276" w:lineRule="auto"/>
        <w:ind w:firstLine="900"/>
        <w:rPr>
          <w:rFonts w:ascii="Tahoma" w:hAnsi="Tahoma" w:cs="Tahoma"/>
          <w:sz w:val="24"/>
          <w:szCs w:val="24"/>
        </w:rPr>
      </w:pPr>
      <w:r w:rsidRPr="008378DA">
        <w:rPr>
          <w:rFonts w:ascii="Tahoma" w:hAnsi="Tahoma" w:cs="Tahoma"/>
          <w:sz w:val="24"/>
          <w:szCs w:val="24"/>
        </w:rPr>
        <w:t xml:space="preserve">De acuerdo con lo expuesto en la sentencia de primera instancia, le corresponde a la Sala verificar en este asunto si la afiliación de la demandante al RAIS fue libre y voluntaria, y si las AFPs demandadas (PROTECCIÓN S.A. y PORVENIR S.A.) acreditaron haber cumplido con su deber de información a la hora de persuadir a la actora a cambiarse de régimen pensional, tal como lo exigen las normas y la jurisprudencia aplicable al caso.  </w:t>
      </w:r>
    </w:p>
    <w:p w:rsidR="00F0746D" w:rsidRPr="008378DA" w:rsidRDefault="00F0746D" w:rsidP="00F0746D">
      <w:pPr>
        <w:spacing w:line="276" w:lineRule="auto"/>
        <w:ind w:firstLine="900"/>
        <w:rPr>
          <w:rFonts w:ascii="Tahoma" w:hAnsi="Tahoma" w:cs="Tahoma"/>
          <w:sz w:val="24"/>
          <w:szCs w:val="24"/>
        </w:rPr>
      </w:pPr>
    </w:p>
    <w:p w:rsidR="00057F42" w:rsidRPr="008378DA" w:rsidRDefault="00057F42" w:rsidP="00057F42">
      <w:pPr>
        <w:spacing w:line="276" w:lineRule="auto"/>
        <w:ind w:firstLine="0"/>
        <w:jc w:val="center"/>
        <w:rPr>
          <w:rFonts w:ascii="Tahoma" w:hAnsi="Tahoma" w:cs="Tahoma"/>
          <w:b/>
          <w:sz w:val="24"/>
          <w:szCs w:val="24"/>
          <w:lang w:val="es-CO"/>
        </w:rPr>
      </w:pPr>
      <w:r w:rsidRPr="008378DA">
        <w:rPr>
          <w:rFonts w:ascii="Tahoma" w:hAnsi="Tahoma" w:cs="Tahoma"/>
          <w:b/>
          <w:sz w:val="24"/>
          <w:szCs w:val="24"/>
          <w:lang w:val="es-CO"/>
        </w:rPr>
        <w:t>I – ANTECEDENTES</w:t>
      </w:r>
    </w:p>
    <w:p w:rsidR="00057F42" w:rsidRPr="008378DA" w:rsidRDefault="00057F42" w:rsidP="00057F42">
      <w:pPr>
        <w:spacing w:line="240" w:lineRule="auto"/>
        <w:ind w:firstLine="0"/>
        <w:jc w:val="center"/>
        <w:rPr>
          <w:rFonts w:ascii="Tahoma" w:hAnsi="Tahoma" w:cs="Tahoma"/>
          <w:b/>
          <w:sz w:val="24"/>
          <w:szCs w:val="24"/>
          <w:lang w:val="es-CO"/>
        </w:rPr>
      </w:pPr>
    </w:p>
    <w:p w:rsidR="00057F42" w:rsidRPr="008378DA" w:rsidRDefault="00057F42" w:rsidP="00057F42">
      <w:pPr>
        <w:spacing w:line="276" w:lineRule="auto"/>
        <w:ind w:firstLine="708"/>
        <w:rPr>
          <w:rFonts w:ascii="Tahoma" w:hAnsi="Tahoma" w:cs="Tahoma"/>
          <w:sz w:val="24"/>
          <w:szCs w:val="24"/>
          <w:lang w:val="es-CO"/>
        </w:rPr>
      </w:pPr>
      <w:r w:rsidRPr="008378DA">
        <w:rPr>
          <w:rFonts w:ascii="Tahoma" w:hAnsi="Tahoma" w:cs="Tahoma"/>
          <w:sz w:val="24"/>
          <w:szCs w:val="24"/>
          <w:lang w:val="es-CO"/>
        </w:rPr>
        <w:t>Se indica en la demanda que la señora</w:t>
      </w:r>
      <w:r w:rsidRPr="008378DA">
        <w:rPr>
          <w:rFonts w:ascii="Tahoma" w:hAnsi="Tahoma" w:cs="Tahoma"/>
          <w:b/>
          <w:sz w:val="24"/>
          <w:szCs w:val="24"/>
          <w:lang w:val="es-CO"/>
        </w:rPr>
        <w:t xml:space="preserve"> BEATRIZ FRANCO VÉLEZ </w:t>
      </w:r>
      <w:r w:rsidRPr="008378DA">
        <w:rPr>
          <w:rFonts w:ascii="Tahoma" w:hAnsi="Tahoma" w:cs="Tahoma"/>
          <w:sz w:val="24"/>
          <w:szCs w:val="24"/>
          <w:lang w:val="es-CO"/>
        </w:rPr>
        <w:t>na</w:t>
      </w:r>
      <w:r w:rsidR="00F0746D" w:rsidRPr="008378DA">
        <w:rPr>
          <w:rFonts w:ascii="Tahoma" w:hAnsi="Tahoma" w:cs="Tahoma"/>
          <w:sz w:val="24"/>
          <w:szCs w:val="24"/>
          <w:lang w:val="es-CO"/>
        </w:rPr>
        <w:t>ció el 15 de enero de 1960 y</w:t>
      </w:r>
      <w:r w:rsidRPr="008378DA">
        <w:rPr>
          <w:rFonts w:ascii="Tahoma" w:hAnsi="Tahoma" w:cs="Tahoma"/>
          <w:sz w:val="24"/>
          <w:szCs w:val="24"/>
          <w:lang w:val="es-CO"/>
        </w:rPr>
        <w:t xml:space="preserve"> se afilió al </w:t>
      </w:r>
      <w:r w:rsidRPr="008378DA">
        <w:rPr>
          <w:rFonts w:ascii="Tahoma" w:hAnsi="Tahoma" w:cs="Tahoma"/>
          <w:b/>
          <w:sz w:val="24"/>
          <w:szCs w:val="24"/>
          <w:lang w:val="es-CO"/>
        </w:rPr>
        <w:t>INSTITUTO DE SEGUROS SOCIALES</w:t>
      </w:r>
      <w:r w:rsidRPr="008378DA">
        <w:rPr>
          <w:rFonts w:ascii="Tahoma" w:hAnsi="Tahoma" w:cs="Tahoma"/>
          <w:sz w:val="24"/>
          <w:szCs w:val="24"/>
          <w:lang w:val="es-CO"/>
        </w:rPr>
        <w:t xml:space="preserve"> el 11 de agosto de 1983, donde alcanzó a cotizar 571 semanas hasta el 30 de julio de 2001, fecha a partir de la cual quedó vinculada a la </w:t>
      </w:r>
      <w:r w:rsidRPr="008378DA">
        <w:rPr>
          <w:rFonts w:ascii="Tahoma" w:hAnsi="Tahoma" w:cs="Tahoma"/>
          <w:b/>
          <w:sz w:val="24"/>
          <w:szCs w:val="24"/>
          <w:lang w:val="es-CO"/>
        </w:rPr>
        <w:t>AFP SANTANDER S.A.</w:t>
      </w:r>
      <w:r w:rsidRPr="008378DA">
        <w:rPr>
          <w:rFonts w:ascii="Tahoma" w:hAnsi="Tahoma" w:cs="Tahoma"/>
          <w:sz w:val="24"/>
          <w:szCs w:val="24"/>
          <w:lang w:val="es-CO"/>
        </w:rPr>
        <w:t xml:space="preserve"> –hoy </w:t>
      </w:r>
      <w:r w:rsidRPr="008378DA">
        <w:rPr>
          <w:rFonts w:ascii="Tahoma" w:hAnsi="Tahoma" w:cs="Tahoma"/>
          <w:b/>
          <w:sz w:val="24"/>
          <w:szCs w:val="24"/>
          <w:lang w:val="es-CO"/>
        </w:rPr>
        <w:t>PROTECCIÓN S.A.</w:t>
      </w:r>
      <w:r w:rsidRPr="008378DA">
        <w:rPr>
          <w:rFonts w:ascii="Tahoma" w:hAnsi="Tahoma" w:cs="Tahoma"/>
          <w:sz w:val="24"/>
          <w:szCs w:val="24"/>
          <w:lang w:val="es-CO"/>
        </w:rPr>
        <w:t>- dada la suscripción de un formato de traslado que firmó el 23 de julio de 2001. Señala igualmente, que el 8 de mayo de 2003</w:t>
      </w:r>
      <w:r w:rsidR="00F0746D" w:rsidRPr="008378DA">
        <w:rPr>
          <w:rFonts w:ascii="Tahoma" w:hAnsi="Tahoma" w:cs="Tahoma"/>
          <w:sz w:val="24"/>
          <w:szCs w:val="24"/>
          <w:lang w:val="es-CO"/>
        </w:rPr>
        <w:t>,</w:t>
      </w:r>
      <w:r w:rsidRPr="008378DA">
        <w:rPr>
          <w:rFonts w:ascii="Tahoma" w:hAnsi="Tahoma" w:cs="Tahoma"/>
          <w:sz w:val="24"/>
          <w:szCs w:val="24"/>
          <w:lang w:val="es-CO"/>
        </w:rPr>
        <w:t xml:space="preserve"> suscribió</w:t>
      </w:r>
      <w:r w:rsidR="00F0746D" w:rsidRPr="008378DA">
        <w:rPr>
          <w:rFonts w:ascii="Tahoma" w:hAnsi="Tahoma" w:cs="Tahoma"/>
          <w:sz w:val="24"/>
          <w:szCs w:val="24"/>
          <w:lang w:val="es-CO"/>
        </w:rPr>
        <w:t xml:space="preserve"> un nuevo</w:t>
      </w:r>
      <w:r w:rsidRPr="008378DA">
        <w:rPr>
          <w:rFonts w:ascii="Tahoma" w:hAnsi="Tahoma" w:cs="Tahoma"/>
          <w:sz w:val="24"/>
          <w:szCs w:val="24"/>
          <w:lang w:val="es-CO"/>
        </w:rPr>
        <w:t xml:space="preserve"> formulario de afiliación a la </w:t>
      </w:r>
      <w:r w:rsidRPr="008378DA">
        <w:rPr>
          <w:rFonts w:ascii="Tahoma" w:hAnsi="Tahoma" w:cs="Tahoma"/>
          <w:b/>
          <w:sz w:val="24"/>
          <w:szCs w:val="24"/>
          <w:lang w:val="es-CO"/>
        </w:rPr>
        <w:t>SOCIEDAD ADMINISTRADORA DE FONDOS DE PENSIONES Y CESANTÍAS PORVENIR</w:t>
      </w:r>
      <w:r w:rsidRPr="008378DA">
        <w:rPr>
          <w:rFonts w:ascii="Tahoma" w:hAnsi="Tahoma" w:cs="Tahoma"/>
          <w:sz w:val="24"/>
          <w:szCs w:val="24"/>
          <w:lang w:val="es-CO"/>
        </w:rPr>
        <w:t xml:space="preserve">, en el que viene afiliada hasta la fecha. </w:t>
      </w:r>
    </w:p>
    <w:p w:rsidR="00057F42" w:rsidRPr="008378DA" w:rsidRDefault="00057F42" w:rsidP="00057F42">
      <w:pPr>
        <w:spacing w:line="240" w:lineRule="auto"/>
        <w:ind w:firstLine="708"/>
        <w:rPr>
          <w:rFonts w:ascii="Tahoma" w:hAnsi="Tahoma" w:cs="Tahoma"/>
          <w:sz w:val="24"/>
          <w:szCs w:val="24"/>
          <w:lang w:val="es-CO"/>
        </w:rPr>
      </w:pPr>
    </w:p>
    <w:p w:rsidR="00057F42" w:rsidRPr="008378DA" w:rsidRDefault="00057F42" w:rsidP="00057F42">
      <w:pPr>
        <w:spacing w:line="276" w:lineRule="auto"/>
        <w:ind w:firstLine="708"/>
        <w:rPr>
          <w:rFonts w:ascii="Tahoma" w:hAnsi="Tahoma" w:cs="Tahoma"/>
          <w:sz w:val="24"/>
          <w:szCs w:val="24"/>
          <w:lang w:val="es-CO"/>
        </w:rPr>
      </w:pPr>
      <w:r w:rsidRPr="008378DA">
        <w:rPr>
          <w:rFonts w:ascii="Tahoma" w:hAnsi="Tahoma" w:cs="Tahoma"/>
          <w:sz w:val="24"/>
          <w:szCs w:val="24"/>
          <w:lang w:val="es-CO"/>
        </w:rPr>
        <w:t xml:space="preserve">Indica que su traslado de régimen se dio en las instalaciones de la empresa donde trabajaba en la Fundación Universitaria del Área Andina y que los mismos funcionarios de la universidad le indicaron que eran mejores las condiciones que ofrecía SANTANDER S.A. y que debía trasladarse de manera inmediata. Agrega que nunca se le suministró información consistente en la edad mínima y en el saldo que debía acreditar en su cuenta de ahorro individual para acceder a la pensión, ni se le indicó con qué IBC debía cotizar con el fin de obtener una pensión anticipada o completar el capital para poder acceder a dicha pensión; tampoco le indicaron las ventajas o desventajas de trasladarse del régimen de prima media con prestación definida al RAIS; no recibió información que le permitiera identificar los riesgos a los que se sometía al trasladarse de régimen, ni se le indicó el porcentaje que le </w:t>
      </w:r>
      <w:r w:rsidRPr="008378DA">
        <w:rPr>
          <w:rFonts w:ascii="Tahoma" w:hAnsi="Tahoma" w:cs="Tahoma"/>
          <w:sz w:val="24"/>
          <w:szCs w:val="24"/>
          <w:lang w:val="es-CO"/>
        </w:rPr>
        <w:lastRenderedPageBreak/>
        <w:t>correspondería del aporte al fondo por la administración de sus recursos, ni los costos o comisiones que se le cobraría por el movimiento de su cuenta de ahorro individual.</w:t>
      </w:r>
    </w:p>
    <w:p w:rsidR="00057F42" w:rsidRPr="008378DA" w:rsidRDefault="00057F42" w:rsidP="00057F42">
      <w:pPr>
        <w:spacing w:line="240" w:lineRule="auto"/>
        <w:ind w:firstLine="708"/>
        <w:rPr>
          <w:rFonts w:ascii="Tahoma" w:hAnsi="Tahoma" w:cs="Tahoma"/>
          <w:sz w:val="24"/>
          <w:szCs w:val="24"/>
          <w:lang w:val="es-CO"/>
        </w:rPr>
      </w:pPr>
    </w:p>
    <w:p w:rsidR="00057F42" w:rsidRPr="008378DA" w:rsidRDefault="00057F42" w:rsidP="00057F42">
      <w:pPr>
        <w:spacing w:line="276" w:lineRule="auto"/>
        <w:ind w:firstLine="708"/>
        <w:rPr>
          <w:rFonts w:ascii="Tahoma" w:hAnsi="Tahoma" w:cs="Tahoma"/>
          <w:sz w:val="24"/>
          <w:szCs w:val="24"/>
          <w:lang w:val="es-CO"/>
        </w:rPr>
      </w:pPr>
      <w:r w:rsidRPr="008378DA">
        <w:rPr>
          <w:rFonts w:ascii="Tahoma" w:hAnsi="Tahoma" w:cs="Tahoma"/>
          <w:sz w:val="24"/>
          <w:szCs w:val="24"/>
          <w:lang w:val="es-CO"/>
        </w:rPr>
        <w:t>Finalmente, señala que el 11 de diciembre de 2015 (cuando tenía 55 años de edad), mediante oficio No. 2311, PORVENIR S.A. le realizó una proyección de su pensión que arrojó como resultado una mesada de $644.350 pagadera a partir de la edad de 60 años, y que el 28 de abril de 2016 solicitó a COLPENSIONES el traslado de régimen al considerar que la afiliación al Régimen de Ahorro Individual era nu</w:t>
      </w:r>
      <w:r w:rsidR="00F0746D" w:rsidRPr="008378DA">
        <w:rPr>
          <w:rFonts w:ascii="Tahoma" w:hAnsi="Tahoma" w:cs="Tahoma"/>
          <w:sz w:val="24"/>
          <w:szCs w:val="24"/>
          <w:lang w:val="es-CO"/>
        </w:rPr>
        <w:t>la e ineficaz, en respuesta de lo</w:t>
      </w:r>
      <w:r w:rsidRPr="008378DA">
        <w:rPr>
          <w:rFonts w:ascii="Tahoma" w:hAnsi="Tahoma" w:cs="Tahoma"/>
          <w:sz w:val="24"/>
          <w:szCs w:val="24"/>
          <w:lang w:val="es-CO"/>
        </w:rPr>
        <w:t xml:space="preserve"> cual se le negó la solicitud</w:t>
      </w:r>
      <w:r w:rsidR="00F0746D" w:rsidRPr="008378DA">
        <w:rPr>
          <w:rFonts w:ascii="Tahoma" w:hAnsi="Tahoma" w:cs="Tahoma"/>
          <w:sz w:val="24"/>
          <w:szCs w:val="24"/>
          <w:lang w:val="es-CO"/>
        </w:rPr>
        <w:t>,</w:t>
      </w:r>
      <w:r w:rsidRPr="008378DA">
        <w:rPr>
          <w:rFonts w:ascii="Tahoma" w:hAnsi="Tahoma" w:cs="Tahoma"/>
          <w:sz w:val="24"/>
          <w:szCs w:val="24"/>
          <w:lang w:val="es-CO"/>
        </w:rPr>
        <w:t xml:space="preserve"> pues se encontraba a diez años o menos del requisito de tiempo para pensionarse.  </w:t>
      </w:r>
    </w:p>
    <w:p w:rsidR="00057F42" w:rsidRPr="008378DA" w:rsidRDefault="00057F42" w:rsidP="00057F42">
      <w:pPr>
        <w:spacing w:line="276" w:lineRule="auto"/>
        <w:ind w:firstLine="0"/>
        <w:rPr>
          <w:rFonts w:ascii="Tahoma" w:hAnsi="Tahoma" w:cs="Tahoma"/>
          <w:sz w:val="24"/>
          <w:szCs w:val="24"/>
          <w:lang w:val="es-CO"/>
        </w:rPr>
      </w:pPr>
    </w:p>
    <w:p w:rsidR="00057F42" w:rsidRPr="008378DA" w:rsidRDefault="00057F42" w:rsidP="00057F42">
      <w:pPr>
        <w:spacing w:line="276" w:lineRule="auto"/>
        <w:ind w:firstLine="0"/>
        <w:jc w:val="center"/>
        <w:rPr>
          <w:rFonts w:ascii="Tahoma" w:hAnsi="Tahoma" w:cs="Tahoma"/>
          <w:b/>
          <w:sz w:val="24"/>
          <w:szCs w:val="24"/>
          <w:lang w:val="es-CO"/>
        </w:rPr>
      </w:pPr>
      <w:r w:rsidRPr="008378DA">
        <w:rPr>
          <w:rFonts w:ascii="Tahoma" w:hAnsi="Tahoma" w:cs="Tahoma"/>
          <w:b/>
          <w:sz w:val="24"/>
          <w:szCs w:val="24"/>
          <w:lang w:val="es-CO"/>
        </w:rPr>
        <w:t>II – SENTENCIA DE PRIMERA INSTANCIA</w:t>
      </w:r>
    </w:p>
    <w:p w:rsidR="00057F42" w:rsidRPr="008378DA" w:rsidRDefault="00057F42" w:rsidP="00057F42">
      <w:pPr>
        <w:spacing w:line="240" w:lineRule="auto"/>
        <w:ind w:firstLine="708"/>
        <w:rPr>
          <w:rFonts w:ascii="Tahoma" w:hAnsi="Tahoma" w:cs="Tahoma"/>
          <w:sz w:val="24"/>
          <w:szCs w:val="24"/>
          <w:lang w:val="es-CO"/>
        </w:rPr>
      </w:pPr>
    </w:p>
    <w:p w:rsidR="00057F42" w:rsidRPr="008378DA" w:rsidRDefault="00057F42" w:rsidP="00057F42">
      <w:pPr>
        <w:spacing w:line="276" w:lineRule="auto"/>
        <w:ind w:firstLine="708"/>
        <w:rPr>
          <w:rFonts w:ascii="Tahoma" w:hAnsi="Tahoma" w:cs="Tahoma"/>
          <w:sz w:val="24"/>
          <w:szCs w:val="24"/>
          <w:lang w:val="es-CO"/>
        </w:rPr>
      </w:pPr>
      <w:r w:rsidRPr="008378DA">
        <w:rPr>
          <w:rFonts w:ascii="Tahoma" w:hAnsi="Tahoma" w:cs="Tahoma"/>
          <w:sz w:val="24"/>
          <w:szCs w:val="24"/>
          <w:lang w:val="es-CO"/>
        </w:rPr>
        <w:t xml:space="preserve">La </w:t>
      </w:r>
      <w:r w:rsidRPr="008378DA">
        <w:rPr>
          <w:rFonts w:ascii="Arial Narrow" w:hAnsi="Arial Narrow" w:cs="Tahoma"/>
          <w:i/>
          <w:sz w:val="24"/>
          <w:szCs w:val="24"/>
          <w:lang w:val="es-CO"/>
        </w:rPr>
        <w:t xml:space="preserve">a-quo </w:t>
      </w:r>
      <w:r w:rsidRPr="008378DA">
        <w:rPr>
          <w:rFonts w:ascii="Tahoma" w:hAnsi="Tahoma" w:cs="Tahoma"/>
          <w:sz w:val="24"/>
          <w:szCs w:val="24"/>
          <w:lang w:val="es-CO"/>
        </w:rPr>
        <w:t xml:space="preserve">accedió a las pretensiones de la demanda y declaró ineficaz el traslado de la actora, en virtud de lo cual le ordenó a </w:t>
      </w:r>
      <w:r w:rsidRPr="008378DA">
        <w:rPr>
          <w:rFonts w:ascii="Tahoma" w:hAnsi="Tahoma" w:cs="Tahoma"/>
          <w:b/>
          <w:sz w:val="24"/>
          <w:szCs w:val="24"/>
          <w:lang w:val="es-CO"/>
        </w:rPr>
        <w:t>PORVENIR S.A.</w:t>
      </w:r>
      <w:r w:rsidRPr="008378DA">
        <w:rPr>
          <w:rFonts w:ascii="Tahoma" w:hAnsi="Tahoma" w:cs="Tahoma"/>
          <w:sz w:val="24"/>
          <w:szCs w:val="24"/>
          <w:lang w:val="es-CO"/>
        </w:rPr>
        <w:t xml:space="preserve"> trasladar a </w:t>
      </w:r>
      <w:r w:rsidRPr="008378DA">
        <w:rPr>
          <w:rFonts w:ascii="Tahoma" w:hAnsi="Tahoma" w:cs="Tahoma"/>
          <w:b/>
          <w:sz w:val="24"/>
          <w:szCs w:val="24"/>
          <w:lang w:val="es-CO"/>
        </w:rPr>
        <w:t xml:space="preserve">COLPENSIONES </w:t>
      </w:r>
      <w:r w:rsidRPr="008378DA">
        <w:rPr>
          <w:rFonts w:ascii="Tahoma" w:hAnsi="Tahoma" w:cs="Tahoma"/>
          <w:sz w:val="24"/>
          <w:szCs w:val="24"/>
          <w:lang w:val="es-CO"/>
        </w:rPr>
        <w:t xml:space="preserve">todos los aportes y rendimientos que posea la señora </w:t>
      </w:r>
      <w:r w:rsidRPr="008378DA">
        <w:rPr>
          <w:rFonts w:ascii="Tahoma" w:hAnsi="Tahoma" w:cs="Tahoma"/>
          <w:b/>
          <w:sz w:val="24"/>
          <w:szCs w:val="24"/>
          <w:lang w:val="es-CO"/>
        </w:rPr>
        <w:t>BEATRIZ FRANCO VÉLEZ</w:t>
      </w:r>
      <w:r w:rsidRPr="008378DA">
        <w:rPr>
          <w:rFonts w:ascii="Tahoma" w:hAnsi="Tahoma" w:cs="Tahoma"/>
          <w:sz w:val="24"/>
          <w:szCs w:val="24"/>
          <w:lang w:val="es-CO"/>
        </w:rPr>
        <w:t xml:space="preserve"> en su cuenta de Ahorro Individual y a esta última le ordenó proceder sin dilaciones a aceptar el traslado de la demandante a su fondo y condenó en costas procesales a </w:t>
      </w:r>
      <w:r w:rsidRPr="008378DA">
        <w:rPr>
          <w:rFonts w:ascii="Tahoma" w:hAnsi="Tahoma" w:cs="Tahoma"/>
          <w:b/>
          <w:sz w:val="24"/>
          <w:szCs w:val="24"/>
          <w:lang w:val="es-CO"/>
        </w:rPr>
        <w:t>PROTECCIÓN S.A.</w:t>
      </w:r>
      <w:r w:rsidRPr="008378DA">
        <w:rPr>
          <w:rFonts w:ascii="Tahoma" w:hAnsi="Tahoma" w:cs="Tahoma"/>
          <w:sz w:val="24"/>
          <w:szCs w:val="24"/>
          <w:lang w:val="es-CO"/>
        </w:rPr>
        <w:t xml:space="preserve"> y </w:t>
      </w:r>
      <w:r w:rsidRPr="008378DA">
        <w:rPr>
          <w:rFonts w:ascii="Tahoma" w:hAnsi="Tahoma" w:cs="Tahoma"/>
          <w:b/>
          <w:sz w:val="24"/>
          <w:szCs w:val="24"/>
          <w:lang w:val="es-CO"/>
        </w:rPr>
        <w:t xml:space="preserve">PORVENIR S.A. </w:t>
      </w:r>
    </w:p>
    <w:p w:rsidR="00057F42" w:rsidRPr="008378DA" w:rsidRDefault="00057F42" w:rsidP="00057F42">
      <w:pPr>
        <w:spacing w:line="276" w:lineRule="auto"/>
        <w:ind w:firstLine="708"/>
        <w:rPr>
          <w:rFonts w:ascii="Tahoma" w:hAnsi="Tahoma" w:cs="Tahoma"/>
          <w:sz w:val="24"/>
          <w:szCs w:val="24"/>
          <w:lang w:val="es-CO"/>
        </w:rPr>
      </w:pPr>
    </w:p>
    <w:p w:rsidR="00057F42" w:rsidRPr="008378DA" w:rsidRDefault="00057F42" w:rsidP="00057F42">
      <w:pPr>
        <w:spacing w:line="276" w:lineRule="auto"/>
        <w:ind w:firstLine="708"/>
        <w:rPr>
          <w:rFonts w:ascii="Tahoma" w:hAnsi="Tahoma" w:cs="Tahoma"/>
          <w:sz w:val="24"/>
          <w:szCs w:val="24"/>
          <w:lang w:val="es-CO"/>
        </w:rPr>
      </w:pPr>
      <w:r w:rsidRPr="008378DA">
        <w:rPr>
          <w:rFonts w:ascii="Tahoma" w:hAnsi="Tahoma" w:cs="Tahoma"/>
          <w:sz w:val="24"/>
          <w:szCs w:val="24"/>
          <w:lang w:val="es-CO"/>
        </w:rPr>
        <w:t>Para arribar a tal conclusión, señaló que la prueba testimonial aportada por la parte actora daba cuenta de que a la actora no se le dio explicación alguna en cuanto a los beneficios del RPM comparados con los ofrecidos por el RAIS, pues solamente se les habló de que era posible acceder a una pensión anticipada, lo cual no es del todo falso, sin embargo no se le explicó que para ello se requería una suma muy alta de ahorro en su cuenta de ahorro individual, lo cual no solo depende de la regularidad y el monto de los aportes mensuales efectuados por el afiliado sino también del rendimiento financiero de su ahorro.</w:t>
      </w:r>
    </w:p>
    <w:p w:rsidR="00057F42" w:rsidRPr="008378DA" w:rsidRDefault="00057F42" w:rsidP="00F0746D">
      <w:pPr>
        <w:spacing w:line="276" w:lineRule="auto"/>
        <w:ind w:firstLine="0"/>
        <w:rPr>
          <w:rFonts w:ascii="Tahoma" w:hAnsi="Tahoma" w:cs="Tahoma"/>
          <w:sz w:val="24"/>
          <w:szCs w:val="24"/>
          <w:lang w:val="es-CO"/>
        </w:rPr>
      </w:pPr>
    </w:p>
    <w:p w:rsidR="00057F42" w:rsidRPr="008378DA" w:rsidRDefault="00057F42" w:rsidP="00057F42">
      <w:pPr>
        <w:spacing w:line="276" w:lineRule="auto"/>
        <w:ind w:firstLine="0"/>
        <w:jc w:val="center"/>
        <w:rPr>
          <w:rFonts w:ascii="Tahoma" w:hAnsi="Tahoma" w:cs="Tahoma"/>
          <w:b/>
          <w:sz w:val="24"/>
          <w:szCs w:val="24"/>
          <w:lang w:val="es-CO"/>
        </w:rPr>
      </w:pPr>
      <w:r w:rsidRPr="008378DA">
        <w:rPr>
          <w:rFonts w:ascii="Tahoma" w:hAnsi="Tahoma" w:cs="Tahoma"/>
          <w:b/>
          <w:sz w:val="24"/>
          <w:szCs w:val="24"/>
          <w:lang w:val="es-CO"/>
        </w:rPr>
        <w:t>III - APELACIÓN</w:t>
      </w:r>
    </w:p>
    <w:p w:rsidR="00057F42" w:rsidRPr="008378DA" w:rsidRDefault="00057F42" w:rsidP="00057F42">
      <w:pPr>
        <w:spacing w:line="276" w:lineRule="auto"/>
        <w:ind w:firstLine="708"/>
        <w:rPr>
          <w:rFonts w:ascii="Tahoma" w:hAnsi="Tahoma" w:cs="Tahoma"/>
          <w:sz w:val="24"/>
          <w:szCs w:val="24"/>
          <w:lang w:val="es-CO"/>
        </w:rPr>
      </w:pPr>
    </w:p>
    <w:p w:rsidR="00057F42" w:rsidRPr="008378DA" w:rsidRDefault="00057F42" w:rsidP="00057F42">
      <w:pPr>
        <w:spacing w:line="276" w:lineRule="auto"/>
        <w:ind w:firstLine="708"/>
        <w:rPr>
          <w:rFonts w:ascii="Tahoma" w:hAnsi="Tahoma" w:cs="Tahoma"/>
          <w:sz w:val="24"/>
          <w:szCs w:val="24"/>
          <w:lang w:val="es-CO"/>
        </w:rPr>
      </w:pPr>
      <w:r w:rsidRPr="008378DA">
        <w:rPr>
          <w:rFonts w:ascii="Tahoma" w:hAnsi="Tahoma" w:cs="Tahoma"/>
          <w:sz w:val="24"/>
          <w:szCs w:val="24"/>
          <w:lang w:val="es-CO"/>
        </w:rPr>
        <w:t xml:space="preserve">Contra la anterior decisión interponen recurso de apelación las demandadas, coincidiendo todas ellas en que la carga de acreditar la falta de información y buen consejo en este caso recaía sobre la parte actora, como quiera a la fecha de su traslado no era beneficiaria del régimen de transición, de modo que la firma que </w:t>
      </w:r>
      <w:r w:rsidR="005F612B" w:rsidRPr="008378DA">
        <w:rPr>
          <w:rFonts w:ascii="Tahoma" w:hAnsi="Tahoma" w:cs="Tahoma"/>
          <w:sz w:val="24"/>
          <w:szCs w:val="24"/>
          <w:lang w:val="es-CO"/>
        </w:rPr>
        <w:t>asentó</w:t>
      </w:r>
      <w:r w:rsidRPr="008378DA">
        <w:rPr>
          <w:rFonts w:ascii="Tahoma" w:hAnsi="Tahoma" w:cs="Tahoma"/>
          <w:sz w:val="24"/>
          <w:szCs w:val="24"/>
          <w:lang w:val="es-CO"/>
        </w:rPr>
        <w:t xml:space="preserve"> en el formulario de afiliación, la cual no fue tachada de falsa por esta, es plena prueba su inequívoca voluntad de trasladarse de régimen. Además, afirma la apoderada de PORVENIR S.A., </w:t>
      </w:r>
      <w:r w:rsidR="005F612B" w:rsidRPr="008378DA">
        <w:rPr>
          <w:rFonts w:ascii="Tahoma" w:hAnsi="Tahoma" w:cs="Tahoma"/>
          <w:sz w:val="24"/>
          <w:szCs w:val="24"/>
          <w:lang w:val="es-CO"/>
        </w:rPr>
        <w:t xml:space="preserve">que </w:t>
      </w:r>
      <w:r w:rsidRPr="008378DA">
        <w:rPr>
          <w:rFonts w:ascii="Tahoma" w:hAnsi="Tahoma" w:cs="Tahoma"/>
          <w:sz w:val="24"/>
          <w:szCs w:val="24"/>
          <w:lang w:val="es-CO"/>
        </w:rPr>
        <w:t xml:space="preserve">se perdió de vista que hubo un nuevo traslado de la actora en 2003, con lo cual revalidó su decisión inicial. </w:t>
      </w:r>
    </w:p>
    <w:p w:rsidR="008E35A0" w:rsidRPr="008378DA" w:rsidRDefault="008E35A0" w:rsidP="00057F42">
      <w:pPr>
        <w:spacing w:line="240" w:lineRule="auto"/>
        <w:ind w:firstLine="0"/>
        <w:rPr>
          <w:rFonts w:ascii="Tahoma" w:hAnsi="Tahoma" w:cs="Tahoma"/>
          <w:sz w:val="24"/>
          <w:szCs w:val="24"/>
          <w:lang w:val="es-CO"/>
        </w:rPr>
      </w:pPr>
    </w:p>
    <w:p w:rsidR="00057F42" w:rsidRPr="008378DA" w:rsidRDefault="00057F42" w:rsidP="00057F42">
      <w:pPr>
        <w:spacing w:line="276" w:lineRule="auto"/>
        <w:ind w:firstLine="0"/>
        <w:jc w:val="center"/>
        <w:rPr>
          <w:rFonts w:ascii="Tahoma" w:hAnsi="Tahoma" w:cs="Tahoma"/>
          <w:b/>
          <w:sz w:val="24"/>
          <w:szCs w:val="24"/>
          <w:lang w:val="es-CO"/>
        </w:rPr>
      </w:pPr>
      <w:r w:rsidRPr="008378DA">
        <w:rPr>
          <w:rFonts w:ascii="Tahoma" w:hAnsi="Tahoma" w:cs="Tahoma"/>
          <w:b/>
          <w:sz w:val="24"/>
          <w:szCs w:val="24"/>
          <w:lang w:val="es-CO"/>
        </w:rPr>
        <w:t>IV – CONSIDERACIONES</w:t>
      </w:r>
    </w:p>
    <w:p w:rsidR="00057F42" w:rsidRPr="008378DA" w:rsidRDefault="00057F42" w:rsidP="00057F42">
      <w:pPr>
        <w:spacing w:line="240" w:lineRule="auto"/>
        <w:ind w:firstLine="0"/>
        <w:jc w:val="center"/>
        <w:rPr>
          <w:rFonts w:ascii="Tahoma" w:hAnsi="Tahoma" w:cs="Tahoma"/>
          <w:b/>
          <w:sz w:val="24"/>
          <w:szCs w:val="24"/>
          <w:lang w:val="es-CO"/>
        </w:rPr>
      </w:pPr>
    </w:p>
    <w:p w:rsidR="00057F42" w:rsidRPr="008378DA" w:rsidRDefault="00057F42" w:rsidP="00057F42">
      <w:pPr>
        <w:tabs>
          <w:tab w:val="left" w:pos="-720"/>
        </w:tabs>
        <w:suppressAutoHyphens/>
        <w:spacing w:line="276" w:lineRule="auto"/>
        <w:ind w:firstLine="0"/>
        <w:jc w:val="center"/>
        <w:rPr>
          <w:rFonts w:ascii="Tahoma" w:hAnsi="Tahoma" w:cs="Tahoma"/>
          <w:b/>
          <w:caps/>
          <w:sz w:val="24"/>
          <w:szCs w:val="24"/>
        </w:rPr>
      </w:pPr>
      <w:r w:rsidRPr="008378DA">
        <w:rPr>
          <w:rFonts w:ascii="Tahoma" w:hAnsi="Tahoma" w:cs="Tahoma"/>
          <w:b/>
          <w:caps/>
          <w:sz w:val="24"/>
          <w:szCs w:val="24"/>
        </w:rPr>
        <w:t>4.1. La regla PROBATORIA sobre ineficacia del cambio de régimen no distingue entre beneficiarios del régimen de transición y aquellos que no lo son</w:t>
      </w:r>
    </w:p>
    <w:p w:rsidR="00057F42" w:rsidRPr="008378DA" w:rsidRDefault="00057F42" w:rsidP="00057F42">
      <w:pPr>
        <w:tabs>
          <w:tab w:val="left" w:pos="-720"/>
        </w:tabs>
        <w:suppressAutoHyphens/>
        <w:spacing w:line="240" w:lineRule="auto"/>
        <w:ind w:firstLine="0"/>
        <w:rPr>
          <w:rFonts w:ascii="Tahoma" w:hAnsi="Tahoma" w:cs="Tahoma"/>
          <w:spacing w:val="-3"/>
          <w:kern w:val="1"/>
          <w:sz w:val="24"/>
          <w:szCs w:val="24"/>
        </w:rPr>
      </w:pPr>
    </w:p>
    <w:p w:rsidR="00F0746D" w:rsidRPr="008378DA" w:rsidRDefault="00F0746D" w:rsidP="00F0746D">
      <w:pPr>
        <w:tabs>
          <w:tab w:val="left" w:pos="-720"/>
        </w:tabs>
        <w:suppressAutoHyphens/>
        <w:rPr>
          <w:rFonts w:ascii="Tahoma" w:hAnsi="Tahoma" w:cs="Tahoma"/>
          <w:spacing w:val="-3"/>
          <w:kern w:val="2"/>
          <w:sz w:val="24"/>
          <w:szCs w:val="24"/>
        </w:rPr>
      </w:pPr>
      <w:r w:rsidRPr="008378DA">
        <w:rPr>
          <w:rFonts w:ascii="Tahoma" w:hAnsi="Tahoma" w:cs="Tahoma"/>
          <w:spacing w:val="-3"/>
          <w:kern w:val="1"/>
          <w:sz w:val="24"/>
          <w:szCs w:val="24"/>
        </w:rPr>
        <w:lastRenderedPageBreak/>
        <w:tab/>
      </w:r>
      <w:r w:rsidRPr="008378DA">
        <w:rPr>
          <w:rFonts w:ascii="Tahoma" w:hAnsi="Tahoma" w:cs="Tahoma"/>
          <w:spacing w:val="-3"/>
          <w:kern w:val="2"/>
          <w:sz w:val="24"/>
          <w:szCs w:val="24"/>
        </w:rPr>
        <w:t xml:space="preserve">Dado que las Administradoras de Fondos de Pensiones son organismos profesionales, como pasa a explicarse, resulta aplicable a estos casos el artículo 1604 del Código Civil, según el cual la prueba de la </w:t>
      </w:r>
      <w:r w:rsidRPr="008378DA">
        <w:rPr>
          <w:rFonts w:ascii="Tahoma" w:hAnsi="Tahoma" w:cs="Tahoma"/>
          <w:spacing w:val="-3"/>
          <w:kern w:val="2"/>
          <w:sz w:val="24"/>
          <w:szCs w:val="24"/>
          <w:u w:val="single"/>
        </w:rPr>
        <w:t>debida diligencia y cuidado</w:t>
      </w:r>
      <w:r w:rsidRPr="008378DA">
        <w:rPr>
          <w:rFonts w:ascii="Tahoma" w:hAnsi="Tahoma" w:cs="Tahoma"/>
          <w:spacing w:val="-3"/>
          <w:kern w:val="2"/>
          <w:sz w:val="24"/>
          <w:szCs w:val="24"/>
        </w:rPr>
        <w:t xml:space="preserve"> incumbe a quien ha debido emplearla, atendiendo a las siguientes razones:</w:t>
      </w:r>
    </w:p>
    <w:p w:rsidR="00F0746D" w:rsidRPr="008378DA" w:rsidRDefault="00F0746D" w:rsidP="00F0746D">
      <w:pPr>
        <w:tabs>
          <w:tab w:val="left" w:pos="-720"/>
        </w:tabs>
        <w:suppressAutoHyphens/>
        <w:spacing w:line="240" w:lineRule="auto"/>
        <w:rPr>
          <w:rFonts w:ascii="Tahoma" w:hAnsi="Tahoma" w:cs="Tahoma"/>
          <w:spacing w:val="-3"/>
          <w:kern w:val="2"/>
          <w:sz w:val="24"/>
          <w:szCs w:val="24"/>
        </w:rPr>
      </w:pPr>
    </w:p>
    <w:p w:rsidR="00F0746D" w:rsidRPr="008378DA" w:rsidRDefault="00F0746D" w:rsidP="00F0746D">
      <w:pPr>
        <w:tabs>
          <w:tab w:val="left" w:pos="-720"/>
        </w:tabs>
        <w:suppressAutoHyphens/>
        <w:rPr>
          <w:rFonts w:ascii="Tahoma" w:hAnsi="Tahoma" w:cs="Tahoma"/>
          <w:spacing w:val="-3"/>
          <w:kern w:val="2"/>
          <w:sz w:val="24"/>
          <w:szCs w:val="24"/>
        </w:rPr>
      </w:pPr>
      <w:r w:rsidRPr="008378DA">
        <w:rPr>
          <w:rFonts w:ascii="Tahoma" w:hAnsi="Tahoma" w:cs="Tahoma"/>
          <w:b/>
          <w:spacing w:val="-3"/>
          <w:kern w:val="2"/>
          <w:sz w:val="24"/>
          <w:szCs w:val="24"/>
        </w:rPr>
        <w:t>1)</w:t>
      </w:r>
      <w:r w:rsidRPr="008378DA">
        <w:rPr>
          <w:rFonts w:ascii="Tahoma" w:hAnsi="Tahoma" w:cs="Tahoma"/>
          <w:spacing w:val="-3"/>
          <w:kern w:val="2"/>
          <w:sz w:val="24"/>
          <w:szCs w:val="24"/>
        </w:rPr>
        <w:t xml:space="preserve"> Las Administradoras de Fondos de Pensiones tienen deberes de carácter profesional con sus afiliados y con los consumidores del mercado potencial en general. Además, sus actividades se encuentran reguladas por el </w:t>
      </w:r>
      <w:r w:rsidRPr="008378DA">
        <w:rPr>
          <w:rFonts w:ascii="Tahoma" w:hAnsi="Tahoma" w:cs="Tahoma"/>
          <w:spacing w:val="-3"/>
          <w:kern w:val="2"/>
          <w:sz w:val="24"/>
          <w:szCs w:val="24"/>
          <w:u w:val="single"/>
        </w:rPr>
        <w:t>Decreto 663 de 1993</w:t>
      </w:r>
      <w:r w:rsidRPr="008378DA">
        <w:rPr>
          <w:rStyle w:val="Refdenotaalpie"/>
          <w:rFonts w:ascii="Tahoma" w:hAnsi="Tahoma" w:cs="Tahoma"/>
          <w:spacing w:val="-3"/>
          <w:kern w:val="2"/>
          <w:sz w:val="24"/>
          <w:szCs w:val="24"/>
          <w:u w:val="single"/>
        </w:rPr>
        <w:footnoteReference w:id="1"/>
      </w:r>
      <w:r w:rsidRPr="008378DA">
        <w:rPr>
          <w:rFonts w:ascii="Tahoma" w:hAnsi="Tahoma" w:cs="Tahoma"/>
          <w:spacing w:val="-3"/>
          <w:kern w:val="2"/>
          <w:sz w:val="24"/>
          <w:szCs w:val="24"/>
        </w:rPr>
        <w:t>, norma en la que se destaca la importancia de los principios de debida diligencia, transparencia e información cierta, suficiente y oportuna.</w:t>
      </w:r>
    </w:p>
    <w:p w:rsidR="00F0746D" w:rsidRPr="008378DA" w:rsidRDefault="00F0746D" w:rsidP="00F0746D">
      <w:pPr>
        <w:tabs>
          <w:tab w:val="left" w:pos="-720"/>
        </w:tabs>
        <w:suppressAutoHyphens/>
        <w:spacing w:line="240" w:lineRule="auto"/>
        <w:rPr>
          <w:rFonts w:ascii="Tahoma" w:hAnsi="Tahoma" w:cs="Tahoma"/>
          <w:spacing w:val="-3"/>
          <w:kern w:val="2"/>
          <w:sz w:val="24"/>
          <w:szCs w:val="24"/>
        </w:rPr>
      </w:pPr>
    </w:p>
    <w:p w:rsidR="00F0746D" w:rsidRPr="008378DA" w:rsidRDefault="00F0746D" w:rsidP="00F0746D">
      <w:pPr>
        <w:tabs>
          <w:tab w:val="left" w:pos="-720"/>
        </w:tabs>
        <w:suppressAutoHyphens/>
        <w:rPr>
          <w:rFonts w:ascii="Arial" w:hAnsi="Arial" w:cs="Arial"/>
          <w:color w:val="000000"/>
          <w:sz w:val="24"/>
          <w:szCs w:val="24"/>
        </w:rPr>
      </w:pPr>
      <w:r w:rsidRPr="008378DA">
        <w:rPr>
          <w:rFonts w:ascii="Tahoma" w:hAnsi="Tahoma" w:cs="Tahoma"/>
          <w:b/>
          <w:spacing w:val="-3"/>
          <w:kern w:val="2"/>
          <w:sz w:val="24"/>
          <w:szCs w:val="24"/>
        </w:rPr>
        <w:t>2)</w:t>
      </w:r>
      <w:r w:rsidRPr="008378DA">
        <w:rPr>
          <w:rFonts w:ascii="Tahoma" w:hAnsi="Tahoma" w:cs="Tahoma"/>
          <w:spacing w:val="-3"/>
          <w:kern w:val="2"/>
          <w:sz w:val="24"/>
          <w:szCs w:val="24"/>
        </w:rPr>
        <w:t xml:space="preserve"> Adicionalmente, se tiene previsto en el artículo 12 del Decreto 720 de 1994, que lo</w:t>
      </w:r>
      <w:r w:rsidRPr="008378DA">
        <w:rPr>
          <w:rFonts w:ascii="Tahoma" w:hAnsi="Tahoma" w:cs="Tahoma"/>
          <w:color w:val="000000"/>
          <w:sz w:val="24"/>
          <w:szCs w:val="24"/>
        </w:rPr>
        <w:t xml:space="preserve">s promotores que empleen las sociedades administradoras del sistema general de pensiones deberán suministrar </w:t>
      </w:r>
      <w:r w:rsidRPr="008378DA">
        <w:rPr>
          <w:rFonts w:ascii="Tahoma" w:hAnsi="Tahoma" w:cs="Tahoma"/>
          <w:color w:val="000000"/>
          <w:sz w:val="24"/>
          <w:szCs w:val="24"/>
          <w:u w:val="single"/>
        </w:rPr>
        <w:t>suficiente, amplia y oportuna</w:t>
      </w:r>
      <w:r w:rsidRPr="008378DA">
        <w:rPr>
          <w:rFonts w:ascii="Tahoma" w:hAnsi="Tahoma" w:cs="Tahoma"/>
          <w:color w:val="000000"/>
          <w:sz w:val="24"/>
          <w:szCs w:val="24"/>
        </w:rPr>
        <w:t xml:space="preserve"> información a los posibles afiliados al momento de la promoción de la afiliación y durante toda la vinculación con ocasión de las prestaciones a las cuales tenga derecho el afiliado.</w:t>
      </w:r>
      <w:r w:rsidRPr="008378DA">
        <w:rPr>
          <w:rFonts w:ascii="Arial" w:hAnsi="Arial" w:cs="Arial"/>
          <w:color w:val="000000"/>
          <w:sz w:val="24"/>
          <w:szCs w:val="24"/>
        </w:rPr>
        <w:t> </w:t>
      </w:r>
    </w:p>
    <w:p w:rsidR="00F0746D" w:rsidRPr="008378DA" w:rsidRDefault="00F0746D" w:rsidP="00F0746D">
      <w:pPr>
        <w:tabs>
          <w:tab w:val="left" w:pos="-720"/>
        </w:tabs>
        <w:suppressAutoHyphens/>
        <w:spacing w:line="240" w:lineRule="auto"/>
        <w:rPr>
          <w:rFonts w:ascii="Tahoma" w:hAnsi="Tahoma" w:cs="Tahoma"/>
          <w:spacing w:val="-3"/>
          <w:kern w:val="2"/>
          <w:sz w:val="24"/>
          <w:szCs w:val="24"/>
        </w:rPr>
      </w:pPr>
    </w:p>
    <w:p w:rsidR="00F0746D" w:rsidRPr="008378DA" w:rsidRDefault="00F0746D" w:rsidP="00F0746D">
      <w:pPr>
        <w:tabs>
          <w:tab w:val="left" w:pos="-720"/>
        </w:tabs>
        <w:suppressAutoHyphens/>
        <w:rPr>
          <w:rFonts w:ascii="Tahoma" w:hAnsi="Tahoma" w:cs="Tahoma"/>
          <w:spacing w:val="-3"/>
          <w:kern w:val="2"/>
          <w:sz w:val="24"/>
          <w:szCs w:val="24"/>
        </w:rPr>
      </w:pPr>
      <w:r w:rsidRPr="008378DA">
        <w:rPr>
          <w:rFonts w:ascii="Tahoma" w:hAnsi="Tahoma" w:cs="Tahoma"/>
          <w:b/>
          <w:spacing w:val="-3"/>
          <w:kern w:val="2"/>
          <w:sz w:val="24"/>
          <w:szCs w:val="24"/>
        </w:rPr>
        <w:t>3)</w:t>
      </w:r>
      <w:r w:rsidRPr="008378DA">
        <w:rPr>
          <w:rFonts w:ascii="Tahoma" w:hAnsi="Tahoma" w:cs="Tahoma"/>
          <w:spacing w:val="-3"/>
          <w:kern w:val="2"/>
          <w:sz w:val="24"/>
          <w:szCs w:val="24"/>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rsidR="00F0746D" w:rsidRPr="008378DA" w:rsidRDefault="00F0746D" w:rsidP="00F0746D">
      <w:pPr>
        <w:tabs>
          <w:tab w:val="left" w:pos="-720"/>
        </w:tabs>
        <w:suppressAutoHyphens/>
        <w:spacing w:line="240" w:lineRule="auto"/>
        <w:rPr>
          <w:rFonts w:ascii="Tahoma" w:hAnsi="Tahoma" w:cs="Tahoma"/>
          <w:spacing w:val="-3"/>
          <w:kern w:val="2"/>
          <w:sz w:val="24"/>
          <w:szCs w:val="24"/>
        </w:rPr>
      </w:pPr>
    </w:p>
    <w:p w:rsidR="00F0746D" w:rsidRPr="008378DA" w:rsidRDefault="00F0746D" w:rsidP="00F0746D">
      <w:pPr>
        <w:tabs>
          <w:tab w:val="left" w:pos="-720"/>
        </w:tabs>
        <w:suppressAutoHyphens/>
        <w:rPr>
          <w:rFonts w:ascii="Arial Narrow" w:hAnsi="Arial Narrow" w:cs="Tahoma"/>
          <w:iCs/>
          <w:sz w:val="24"/>
          <w:szCs w:val="24"/>
          <w:u w:val="single"/>
        </w:rPr>
      </w:pPr>
      <w:r w:rsidRPr="008378DA">
        <w:rPr>
          <w:rFonts w:ascii="Tahoma" w:hAnsi="Tahoma" w:cs="Tahoma"/>
          <w:b/>
          <w:spacing w:val="-3"/>
          <w:kern w:val="2"/>
          <w:sz w:val="24"/>
          <w:szCs w:val="24"/>
        </w:rPr>
        <w:t>4)</w:t>
      </w:r>
      <w:r w:rsidRPr="008378DA">
        <w:rPr>
          <w:rFonts w:ascii="Tahoma" w:hAnsi="Tahoma" w:cs="Tahoma"/>
          <w:spacing w:val="-3"/>
          <w:kern w:val="2"/>
          <w:sz w:val="24"/>
          <w:szCs w:val="24"/>
        </w:rPr>
        <w:t xml:space="preserve"> En numerosas sentencias del órgano de cierre de la jurisdicción ordinaria laboral, se ha establecido que no puede argüirse que </w:t>
      </w:r>
      <w:r w:rsidRPr="008378DA">
        <w:rPr>
          <w:rFonts w:ascii="Tahoma" w:hAnsi="Tahoma" w:cs="Tahoma"/>
          <w:iCs/>
          <w:sz w:val="24"/>
          <w:szCs w:val="24"/>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8378DA">
        <w:rPr>
          <w:rFonts w:ascii="Arial Narrow" w:hAnsi="Arial Narrow" w:cs="Tahoma"/>
          <w:i/>
          <w:iCs/>
          <w:sz w:val="24"/>
          <w:szCs w:val="24"/>
        </w:rPr>
        <w:t>“</w:t>
      </w:r>
      <w:r w:rsidRPr="008378DA">
        <w:rPr>
          <w:rFonts w:ascii="Arial Narrow" w:hAnsi="Arial Narrow" w:cs="Tahoma"/>
          <w:i/>
          <w:iCs/>
          <w:sz w:val="24"/>
          <w:szCs w:val="24"/>
          <w:u w:val="single"/>
        </w:rPr>
        <w:t>dar cuenta de que documentaron clara y suficientemente los efectos que acarrea el cambio de régimen, so pena de declarar ineficaz ese tránsito.”</w:t>
      </w:r>
      <w:r w:rsidRPr="008378DA">
        <w:rPr>
          <w:rFonts w:ascii="Arial Narrow" w:hAnsi="Arial Narrow" w:cs="Tahoma"/>
          <w:iCs/>
          <w:sz w:val="24"/>
          <w:szCs w:val="24"/>
          <w:u w:val="single"/>
        </w:rPr>
        <w:t>.</w:t>
      </w:r>
    </w:p>
    <w:p w:rsidR="00F0746D" w:rsidRPr="008378DA" w:rsidRDefault="00F0746D" w:rsidP="00F0746D">
      <w:pPr>
        <w:tabs>
          <w:tab w:val="left" w:pos="-720"/>
        </w:tabs>
        <w:suppressAutoHyphens/>
        <w:spacing w:line="240" w:lineRule="auto"/>
        <w:ind w:firstLine="0"/>
        <w:rPr>
          <w:rFonts w:ascii="Tahoma" w:hAnsi="Tahoma" w:cs="Tahoma"/>
          <w:iCs/>
          <w:sz w:val="24"/>
          <w:szCs w:val="24"/>
        </w:rPr>
      </w:pPr>
    </w:p>
    <w:p w:rsidR="00F0746D" w:rsidRPr="008378DA" w:rsidRDefault="00F0746D" w:rsidP="00F0746D">
      <w:pPr>
        <w:tabs>
          <w:tab w:val="left" w:pos="-720"/>
        </w:tabs>
        <w:suppressAutoHyphens/>
        <w:rPr>
          <w:rFonts w:ascii="Tahoma" w:hAnsi="Tahoma" w:cs="Tahoma"/>
          <w:iCs/>
          <w:sz w:val="24"/>
          <w:szCs w:val="24"/>
        </w:rPr>
      </w:pPr>
      <w:r w:rsidRPr="008378DA">
        <w:rPr>
          <w:rFonts w:ascii="Tahoma" w:hAnsi="Tahoma" w:cs="Tahoma"/>
          <w:iCs/>
          <w:sz w:val="24"/>
          <w:szCs w:val="24"/>
        </w:rPr>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deben resultar confiables a los ciudadanos quienes les van a entregar sus ahorros y sus seguros de previsión para su vejez,  invalidez o para su familia cercana en caso de muerte prematura.</w:t>
      </w:r>
    </w:p>
    <w:p w:rsidR="00F0746D" w:rsidRPr="008378DA" w:rsidRDefault="00F0746D" w:rsidP="00F0746D">
      <w:pPr>
        <w:tabs>
          <w:tab w:val="left" w:pos="-720"/>
        </w:tabs>
        <w:suppressAutoHyphens/>
        <w:spacing w:line="240" w:lineRule="auto"/>
        <w:ind w:firstLine="0"/>
        <w:rPr>
          <w:rFonts w:ascii="Tahoma" w:hAnsi="Tahoma" w:cs="Tahoma"/>
          <w:iCs/>
          <w:sz w:val="24"/>
          <w:szCs w:val="24"/>
        </w:rPr>
      </w:pPr>
    </w:p>
    <w:p w:rsidR="00F0746D" w:rsidRPr="008378DA" w:rsidRDefault="00F0746D" w:rsidP="00F0746D">
      <w:pPr>
        <w:tabs>
          <w:tab w:val="left" w:pos="-720"/>
        </w:tabs>
        <w:suppressAutoHyphens/>
        <w:rPr>
          <w:rFonts w:ascii="Tahoma" w:hAnsi="Tahoma" w:cs="Tahoma"/>
          <w:spacing w:val="-3"/>
          <w:kern w:val="2"/>
          <w:sz w:val="24"/>
          <w:szCs w:val="24"/>
        </w:rPr>
      </w:pPr>
      <w:r w:rsidRPr="008378DA">
        <w:rPr>
          <w:rFonts w:ascii="Tahoma" w:hAnsi="Tahoma" w:cs="Tahoma"/>
          <w:spacing w:val="-3"/>
          <w:kern w:val="2"/>
          <w:sz w:val="24"/>
          <w:szCs w:val="24"/>
        </w:rPr>
        <w:t xml:space="preserve">En conclusión, en esta clase de asuntos el deber de información y buen consejo que la ley impone a las Administradoras de Fondos de Pensiones no depende de la calidad del contratante del Seguro de Vejez, Invalidez y Muerte, esto es, de si el afiliado es o no beneficiario del régimen de transición, </w:t>
      </w:r>
      <w:r w:rsidRPr="008378DA">
        <w:rPr>
          <w:rFonts w:ascii="Tahoma" w:hAnsi="Tahoma" w:cs="Tahoma"/>
          <w:iCs/>
          <w:sz w:val="24"/>
          <w:szCs w:val="24"/>
        </w:rPr>
        <w:t xml:space="preserve">al contrario, en todos los casos que un afiliado ponga en cuestión la falta de información veraz, oportuna y completa de las incidencias del cambio del régimen, y bajo tal premisa persiga la ineficacia de su traslado, la defensa de la AFP demandada debe encaminarse a demostrar, bajo los medios probatorios a su alcance, que cumplió con el deber de buen consejo al transmitirle al </w:t>
      </w:r>
      <w:r w:rsidRPr="008378DA">
        <w:rPr>
          <w:rFonts w:ascii="Tahoma" w:hAnsi="Tahoma" w:cs="Tahoma"/>
          <w:iCs/>
          <w:sz w:val="24"/>
          <w:szCs w:val="24"/>
        </w:rPr>
        <w:lastRenderedPageBreak/>
        <w:t xml:space="preserve">afiliado toda aquella información que resultaba relevante para que tomara una decisión de esa trascendencia. </w:t>
      </w:r>
    </w:p>
    <w:p w:rsidR="00F0746D" w:rsidRPr="008378DA" w:rsidRDefault="00F0746D" w:rsidP="00F0746D">
      <w:pPr>
        <w:tabs>
          <w:tab w:val="left" w:pos="-720"/>
        </w:tabs>
        <w:suppressAutoHyphens/>
        <w:spacing w:line="240" w:lineRule="auto"/>
        <w:ind w:firstLine="0"/>
        <w:rPr>
          <w:i/>
          <w:iCs/>
          <w:sz w:val="24"/>
          <w:szCs w:val="24"/>
        </w:rPr>
      </w:pPr>
    </w:p>
    <w:p w:rsidR="00F0746D" w:rsidRPr="008378DA" w:rsidRDefault="00F0746D" w:rsidP="00F0746D">
      <w:pPr>
        <w:tabs>
          <w:tab w:val="left" w:pos="-720"/>
        </w:tabs>
        <w:suppressAutoHyphens/>
        <w:spacing w:line="276" w:lineRule="auto"/>
        <w:ind w:firstLine="0"/>
        <w:rPr>
          <w:rFonts w:ascii="Tahoma" w:hAnsi="Tahoma" w:cs="Tahoma"/>
          <w:iCs/>
          <w:sz w:val="24"/>
          <w:szCs w:val="24"/>
        </w:rPr>
      </w:pPr>
      <w:r w:rsidRPr="008378DA">
        <w:rPr>
          <w:rFonts w:ascii="Tahoma" w:hAnsi="Tahoma" w:cs="Tahoma"/>
          <w:sz w:val="24"/>
          <w:szCs w:val="24"/>
        </w:rPr>
        <w:tab/>
        <w:t xml:space="preserve">Por último, se ha señalado en asuntos que revisten las mismas aristas del actual, que en términos generales, en los procesos en los que se busca la ineficacia del traslado al RAIS, es previsible que las AFPs demandadas se encuentran en una situación que les permite aportar las evidencias respecto a si se le brindó al afiliado la información cierta, suficiente, comprensible y oportuna a la hora de convencerlo de trasladarse de régimen, lo cual materializa </w:t>
      </w:r>
      <w:r w:rsidRPr="008378DA">
        <w:rPr>
          <w:rFonts w:ascii="Tahoma" w:hAnsi="Tahoma" w:cs="Tahoma"/>
          <w:spacing w:val="-3"/>
          <w:kern w:val="1"/>
          <w:sz w:val="24"/>
          <w:szCs w:val="24"/>
        </w:rPr>
        <w:t xml:space="preserve">el principio que desde el antiguo derecho romano enseña que </w:t>
      </w:r>
      <w:r w:rsidRPr="008378DA">
        <w:rPr>
          <w:rFonts w:ascii="Arial Narrow" w:hAnsi="Arial Narrow" w:cs="Tahoma"/>
          <w:i/>
          <w:spacing w:val="-3"/>
          <w:kern w:val="1"/>
          <w:sz w:val="24"/>
          <w:szCs w:val="24"/>
        </w:rPr>
        <w:t>la “prueba de la diligencia o cuidado incumbe al que ha debido emplearlo (Art. 1604 C.C.)”</w:t>
      </w:r>
    </w:p>
    <w:p w:rsidR="00057F42" w:rsidRPr="008378DA" w:rsidRDefault="00057F42" w:rsidP="00F0746D">
      <w:pPr>
        <w:tabs>
          <w:tab w:val="left" w:pos="-720"/>
        </w:tabs>
        <w:suppressAutoHyphens/>
        <w:spacing w:line="276" w:lineRule="auto"/>
        <w:ind w:firstLine="0"/>
        <w:rPr>
          <w:rFonts w:ascii="Tahoma" w:hAnsi="Tahoma" w:cs="Tahoma"/>
          <w:spacing w:val="-3"/>
          <w:kern w:val="1"/>
          <w:sz w:val="24"/>
          <w:szCs w:val="24"/>
        </w:rPr>
      </w:pPr>
    </w:p>
    <w:p w:rsidR="00057F42" w:rsidRPr="008378DA" w:rsidRDefault="00057F42" w:rsidP="00057F42">
      <w:pPr>
        <w:tabs>
          <w:tab w:val="left" w:pos="-720"/>
        </w:tabs>
        <w:suppressAutoHyphens/>
        <w:spacing w:line="276" w:lineRule="auto"/>
        <w:ind w:firstLine="0"/>
        <w:jc w:val="center"/>
        <w:rPr>
          <w:rFonts w:ascii="Tahoma" w:hAnsi="Tahoma" w:cs="Tahoma"/>
          <w:b/>
          <w:spacing w:val="-3"/>
          <w:kern w:val="1"/>
          <w:sz w:val="24"/>
          <w:szCs w:val="24"/>
        </w:rPr>
      </w:pPr>
      <w:r w:rsidRPr="008378DA">
        <w:rPr>
          <w:rFonts w:ascii="Tahoma" w:hAnsi="Tahoma" w:cs="Tahoma"/>
          <w:b/>
          <w:spacing w:val="-3"/>
          <w:kern w:val="1"/>
          <w:sz w:val="24"/>
          <w:szCs w:val="24"/>
        </w:rPr>
        <w:t>4.2. CASO CONCRETO</w:t>
      </w:r>
    </w:p>
    <w:p w:rsidR="00057F42" w:rsidRPr="008378DA" w:rsidRDefault="00057F42" w:rsidP="00057F42">
      <w:pPr>
        <w:spacing w:line="240" w:lineRule="auto"/>
        <w:ind w:firstLine="0"/>
        <w:jc w:val="center"/>
        <w:rPr>
          <w:rFonts w:ascii="Tahoma" w:hAnsi="Tahoma" w:cs="Tahoma"/>
          <w:b/>
          <w:sz w:val="24"/>
          <w:szCs w:val="24"/>
          <w:lang w:val="es-CO"/>
        </w:rPr>
      </w:pPr>
    </w:p>
    <w:p w:rsidR="00F0746D" w:rsidRPr="008378DA" w:rsidRDefault="00F0746D" w:rsidP="00057F42">
      <w:pPr>
        <w:tabs>
          <w:tab w:val="left" w:pos="-720"/>
        </w:tabs>
        <w:suppressAutoHyphens/>
        <w:spacing w:line="276" w:lineRule="auto"/>
        <w:rPr>
          <w:rFonts w:ascii="Tahoma" w:hAnsi="Tahoma" w:cs="Tahoma"/>
          <w:spacing w:val="-3"/>
          <w:kern w:val="2"/>
          <w:sz w:val="24"/>
          <w:szCs w:val="24"/>
        </w:rPr>
      </w:pPr>
      <w:r w:rsidRPr="008378DA">
        <w:rPr>
          <w:rFonts w:ascii="Tahoma" w:hAnsi="Tahoma" w:cs="Tahoma"/>
          <w:spacing w:val="-3"/>
          <w:kern w:val="2"/>
          <w:sz w:val="24"/>
          <w:szCs w:val="24"/>
        </w:rPr>
        <w:t xml:space="preserve">Lo primero que cabe subrayar es que en efecto la señora FRANCO VÉLEZ jamás ha ostentado la calidad de beneficiaria del régimen de transición, tal como lo arguyó la a-quo en su decisión. Pese a ello, la carga de acreditar el cumplimiento del deber de información, como se precisó en el anterior acápite, correspondía en todo caso a la AFP PROTECCIÓN S.A., como quiera que fue con ella con quien primero se perfeccionó el traslado de régimen de la actora. </w:t>
      </w:r>
    </w:p>
    <w:p w:rsidR="00F0746D" w:rsidRPr="008378DA" w:rsidRDefault="00F0746D" w:rsidP="00057F42">
      <w:pPr>
        <w:tabs>
          <w:tab w:val="left" w:pos="-720"/>
        </w:tabs>
        <w:suppressAutoHyphens/>
        <w:spacing w:line="276" w:lineRule="auto"/>
        <w:rPr>
          <w:rFonts w:ascii="Tahoma" w:hAnsi="Tahoma" w:cs="Tahoma"/>
          <w:spacing w:val="-3"/>
          <w:kern w:val="2"/>
          <w:sz w:val="24"/>
          <w:szCs w:val="24"/>
        </w:rPr>
      </w:pPr>
    </w:p>
    <w:p w:rsidR="00057F42" w:rsidRPr="008378DA" w:rsidRDefault="00F0746D" w:rsidP="00057F42">
      <w:pPr>
        <w:tabs>
          <w:tab w:val="left" w:pos="-720"/>
        </w:tabs>
        <w:suppressAutoHyphens/>
        <w:spacing w:line="276" w:lineRule="auto"/>
        <w:rPr>
          <w:rFonts w:ascii="Tahoma" w:hAnsi="Tahoma" w:cs="Tahoma"/>
          <w:color w:val="000000"/>
          <w:sz w:val="24"/>
          <w:szCs w:val="24"/>
        </w:rPr>
      </w:pPr>
      <w:r w:rsidRPr="008378DA">
        <w:rPr>
          <w:rFonts w:ascii="Tahoma" w:hAnsi="Tahoma" w:cs="Tahoma"/>
          <w:spacing w:val="-3"/>
          <w:kern w:val="2"/>
          <w:sz w:val="24"/>
          <w:szCs w:val="24"/>
        </w:rPr>
        <w:t>Aclarado lo anterior, es necesario señalar de una vez que de la prueba documental y testimonial arrimada y valorada en 1º instancia,</w:t>
      </w:r>
      <w:r w:rsidR="00057F42" w:rsidRPr="008378DA">
        <w:rPr>
          <w:rFonts w:ascii="Tahoma" w:hAnsi="Tahoma" w:cs="Tahoma"/>
          <w:spacing w:val="-3"/>
          <w:kern w:val="2"/>
          <w:sz w:val="24"/>
          <w:szCs w:val="24"/>
        </w:rPr>
        <w:t xml:space="preserve"> no se desprende el cumplimiento de los deberes profesionales de la A</w:t>
      </w:r>
      <w:r w:rsidR="0090759A" w:rsidRPr="008378DA">
        <w:rPr>
          <w:rFonts w:ascii="Tahoma" w:hAnsi="Tahoma" w:cs="Tahoma"/>
          <w:spacing w:val="-3"/>
          <w:kern w:val="2"/>
          <w:sz w:val="24"/>
          <w:szCs w:val="24"/>
        </w:rPr>
        <w:t>FP demandada, como quiera que la</w:t>
      </w:r>
      <w:r w:rsidR="00057F42" w:rsidRPr="008378DA">
        <w:rPr>
          <w:rFonts w:ascii="Tahoma" w:hAnsi="Tahoma" w:cs="Tahoma"/>
          <w:spacing w:val="-3"/>
          <w:kern w:val="2"/>
          <w:sz w:val="24"/>
          <w:szCs w:val="24"/>
        </w:rPr>
        <w:t>s declarantes</w:t>
      </w:r>
      <w:r w:rsidR="0090759A" w:rsidRPr="008378DA">
        <w:rPr>
          <w:rFonts w:ascii="Tahoma" w:hAnsi="Tahoma" w:cs="Tahoma"/>
          <w:spacing w:val="-3"/>
          <w:kern w:val="2"/>
          <w:sz w:val="24"/>
          <w:szCs w:val="24"/>
        </w:rPr>
        <w:t>, todas ellas antiguas excompañeras de trabajo de la actora al momento en que se gestionó su traslado de régimen,</w:t>
      </w:r>
      <w:r w:rsidR="00057F42" w:rsidRPr="008378DA">
        <w:rPr>
          <w:rFonts w:ascii="Tahoma" w:hAnsi="Tahoma" w:cs="Tahoma"/>
          <w:spacing w:val="-3"/>
          <w:kern w:val="2"/>
          <w:sz w:val="24"/>
          <w:szCs w:val="24"/>
        </w:rPr>
        <w:t xml:space="preserve"> apenas si tienen vago</w:t>
      </w:r>
      <w:r w:rsidR="0090759A" w:rsidRPr="008378DA">
        <w:rPr>
          <w:rFonts w:ascii="Tahoma" w:hAnsi="Tahoma" w:cs="Tahoma"/>
          <w:spacing w:val="-3"/>
          <w:kern w:val="2"/>
          <w:sz w:val="24"/>
          <w:szCs w:val="24"/>
        </w:rPr>
        <w:t>s recuerdos de la manera cómo este se dio</w:t>
      </w:r>
      <w:r w:rsidR="00057F42" w:rsidRPr="008378DA">
        <w:rPr>
          <w:rFonts w:ascii="Tahoma" w:hAnsi="Tahoma" w:cs="Tahoma"/>
          <w:spacing w:val="-3"/>
          <w:kern w:val="2"/>
          <w:sz w:val="24"/>
          <w:szCs w:val="24"/>
        </w:rPr>
        <w:t xml:space="preserve">, aunque recuerdan que fue producto de </w:t>
      </w:r>
      <w:r w:rsidR="0090759A" w:rsidRPr="008378DA">
        <w:rPr>
          <w:rFonts w:ascii="Tahoma" w:hAnsi="Tahoma" w:cs="Tahoma"/>
          <w:spacing w:val="-3"/>
          <w:kern w:val="2"/>
          <w:sz w:val="24"/>
          <w:szCs w:val="24"/>
        </w:rPr>
        <w:t>una reunión masiva citada por los directivos</w:t>
      </w:r>
      <w:r w:rsidR="00057F42" w:rsidRPr="008378DA">
        <w:rPr>
          <w:rFonts w:ascii="Tahoma" w:hAnsi="Tahoma" w:cs="Tahoma"/>
          <w:spacing w:val="-3"/>
          <w:kern w:val="2"/>
          <w:sz w:val="24"/>
          <w:szCs w:val="24"/>
        </w:rPr>
        <w:t xml:space="preserve"> de la Universidad Andina, de modo que de sus dichos no puede colegirse que la actora recibió información </w:t>
      </w:r>
      <w:r w:rsidR="00057F42" w:rsidRPr="008378DA">
        <w:rPr>
          <w:rFonts w:ascii="Tahoma" w:hAnsi="Tahoma" w:cs="Tahoma"/>
          <w:color w:val="000000"/>
          <w:sz w:val="24"/>
          <w:szCs w:val="24"/>
        </w:rPr>
        <w:t>suficiente, amplia y oportuna acerca de las implicaciones de dicho traslado.</w:t>
      </w:r>
    </w:p>
    <w:p w:rsidR="0090759A" w:rsidRPr="008378DA" w:rsidRDefault="0090759A" w:rsidP="00057F42">
      <w:pPr>
        <w:tabs>
          <w:tab w:val="left" w:pos="-720"/>
        </w:tabs>
        <w:suppressAutoHyphens/>
        <w:spacing w:line="276" w:lineRule="auto"/>
        <w:rPr>
          <w:rFonts w:ascii="Tahoma" w:hAnsi="Tahoma" w:cs="Tahoma"/>
          <w:color w:val="000000"/>
          <w:sz w:val="24"/>
          <w:szCs w:val="24"/>
        </w:rPr>
      </w:pPr>
    </w:p>
    <w:p w:rsidR="0090759A" w:rsidRPr="008378DA" w:rsidRDefault="0090759A" w:rsidP="00057F42">
      <w:pPr>
        <w:tabs>
          <w:tab w:val="left" w:pos="-720"/>
        </w:tabs>
        <w:suppressAutoHyphens/>
        <w:spacing w:line="276" w:lineRule="auto"/>
        <w:rPr>
          <w:rFonts w:ascii="Tahoma" w:hAnsi="Tahoma" w:cs="Tahoma"/>
          <w:color w:val="000000"/>
          <w:sz w:val="24"/>
          <w:szCs w:val="24"/>
        </w:rPr>
      </w:pPr>
      <w:r w:rsidRPr="008378DA">
        <w:rPr>
          <w:rFonts w:ascii="Tahoma" w:hAnsi="Tahoma" w:cs="Tahoma"/>
          <w:color w:val="000000"/>
          <w:sz w:val="24"/>
          <w:szCs w:val="24"/>
        </w:rPr>
        <w:t xml:space="preserve">En efecto, las señoras </w:t>
      </w:r>
      <w:r w:rsidRPr="008378DA">
        <w:rPr>
          <w:rFonts w:ascii="Tahoma" w:hAnsi="Tahoma" w:cs="Tahoma"/>
          <w:b/>
          <w:color w:val="000000"/>
          <w:sz w:val="24"/>
          <w:szCs w:val="24"/>
        </w:rPr>
        <w:t>ESPERANZA CÁRDENAS PACHÓN</w:t>
      </w:r>
      <w:r w:rsidRPr="008378DA">
        <w:rPr>
          <w:rFonts w:ascii="Tahoma" w:hAnsi="Tahoma" w:cs="Tahoma"/>
          <w:color w:val="000000"/>
          <w:sz w:val="24"/>
          <w:szCs w:val="24"/>
        </w:rPr>
        <w:t xml:space="preserve">, </w:t>
      </w:r>
      <w:r w:rsidRPr="008378DA">
        <w:rPr>
          <w:rFonts w:ascii="Tahoma" w:hAnsi="Tahoma" w:cs="Tahoma"/>
          <w:b/>
          <w:sz w:val="24"/>
          <w:szCs w:val="24"/>
        </w:rPr>
        <w:t>MARTHA LUCIA GONZALEZ ALVARAN</w:t>
      </w:r>
      <w:r w:rsidRPr="008378DA">
        <w:rPr>
          <w:rFonts w:ascii="Tahoma" w:hAnsi="Tahoma" w:cs="Tahoma"/>
          <w:sz w:val="24"/>
          <w:szCs w:val="24"/>
        </w:rPr>
        <w:t xml:space="preserve"> y </w:t>
      </w:r>
      <w:r w:rsidRPr="008378DA">
        <w:rPr>
          <w:rFonts w:ascii="Tahoma" w:hAnsi="Tahoma" w:cs="Tahoma"/>
          <w:b/>
          <w:sz w:val="24"/>
          <w:szCs w:val="24"/>
        </w:rPr>
        <w:t>MARGARITA LUCERO PEREZ</w:t>
      </w:r>
      <w:r w:rsidRPr="008378DA">
        <w:rPr>
          <w:rFonts w:ascii="Tahoma" w:hAnsi="Tahoma" w:cs="Tahoma"/>
          <w:color w:val="000000"/>
          <w:sz w:val="24"/>
          <w:szCs w:val="24"/>
        </w:rPr>
        <w:t xml:space="preserve">, recordaron que en 2001, al inicio del segundo semestre académico del año, fueron citadas a una reunión con la directora de gestión humana de la universidad, quien se encontraba acompañada de un empleado de la AFP SANTANDER (HOY PROTECCIÓN), y allí les indicaron que debían trasladarse a un fondo privado porque era mejor que el ISS. Todas ellas coincidieron en señalar que no hubo explicación alguna de las características del RAIS, ni se informó acerca de las diferencias entre este y el Régimen de Prima Media (RPM), pues el asesor </w:t>
      </w:r>
      <w:r w:rsidR="008E35A0" w:rsidRPr="008378DA">
        <w:rPr>
          <w:rFonts w:ascii="Tahoma" w:hAnsi="Tahoma" w:cs="Tahoma"/>
          <w:color w:val="000000"/>
          <w:sz w:val="24"/>
          <w:szCs w:val="24"/>
        </w:rPr>
        <w:t>se limitó a indicar que el RAIS ofrecía una pensión anticipada y más alta que la otorgaba el ISS.</w:t>
      </w:r>
    </w:p>
    <w:p w:rsidR="008E35A0" w:rsidRPr="008378DA" w:rsidRDefault="008E35A0" w:rsidP="00057F42">
      <w:pPr>
        <w:tabs>
          <w:tab w:val="left" w:pos="-720"/>
        </w:tabs>
        <w:suppressAutoHyphens/>
        <w:spacing w:line="276" w:lineRule="auto"/>
        <w:rPr>
          <w:rFonts w:ascii="Tahoma" w:hAnsi="Tahoma" w:cs="Tahoma"/>
          <w:color w:val="000000"/>
          <w:sz w:val="24"/>
          <w:szCs w:val="24"/>
        </w:rPr>
      </w:pPr>
    </w:p>
    <w:p w:rsidR="008E35A0" w:rsidRPr="008378DA" w:rsidRDefault="008E35A0" w:rsidP="008E35A0">
      <w:pPr>
        <w:tabs>
          <w:tab w:val="left" w:pos="-720"/>
        </w:tabs>
        <w:suppressAutoHyphens/>
        <w:spacing w:line="276" w:lineRule="auto"/>
        <w:rPr>
          <w:rFonts w:ascii="Tahoma" w:hAnsi="Tahoma" w:cs="Tahoma"/>
          <w:spacing w:val="-3"/>
          <w:kern w:val="2"/>
          <w:sz w:val="24"/>
          <w:szCs w:val="24"/>
        </w:rPr>
      </w:pPr>
      <w:r w:rsidRPr="008378DA">
        <w:rPr>
          <w:rFonts w:ascii="Tahoma" w:hAnsi="Tahoma" w:cs="Tahoma"/>
          <w:spacing w:val="-3"/>
          <w:kern w:val="2"/>
          <w:sz w:val="24"/>
          <w:szCs w:val="24"/>
        </w:rPr>
        <w:t xml:space="preserve">Es claro entonces que las pruebas recaudadas en primera instancia no son suficientes para concluir que la AFP demandada cumplió con su deber de proporcionar a la demandante información clara, precisa, oportuna y comprensible de las implicaciones del cambio de régimen. Y aunque en efecto el RAIS, como lo reconoció la propia demandante en interrogatorio de parte, tiene la ventaja de ofrecer una pensión </w:t>
      </w:r>
      <w:r w:rsidRPr="008378DA">
        <w:rPr>
          <w:rFonts w:ascii="Tahoma" w:hAnsi="Tahoma" w:cs="Tahoma"/>
          <w:spacing w:val="-3"/>
          <w:kern w:val="2"/>
          <w:sz w:val="24"/>
          <w:szCs w:val="24"/>
        </w:rPr>
        <w:lastRenderedPageBreak/>
        <w:t xml:space="preserve">anticipada (es decir, antes de la edad mínima de pensión prevista en el otro régimen), ello y el monto de la misma, como es bien sabido, depende de varios factores, tales como el rendimiento del saldo de la cuenta de ahorro individual, esto es, de la fluctuación del mercado de valores y de la utilidades del portafolio de inversiones del Fondo, del valor del bono pensional, si a este hubiere lugar; de la edad de los potenciales beneficiarios de la pensión de sobrevivientes y de la edad en que la afiliado pretenda reclamar tal prestación, etc., aspectos sobre los que no hay prueba de que se haya ofrecido información alguna al afiliado por parte de la AFP. </w:t>
      </w:r>
    </w:p>
    <w:p w:rsidR="008E35A0" w:rsidRPr="008378DA" w:rsidRDefault="008E35A0" w:rsidP="008E35A0">
      <w:pPr>
        <w:tabs>
          <w:tab w:val="left" w:pos="-720"/>
        </w:tabs>
        <w:suppressAutoHyphens/>
        <w:spacing w:line="276" w:lineRule="auto"/>
        <w:ind w:firstLine="0"/>
        <w:rPr>
          <w:rFonts w:ascii="Tahoma" w:hAnsi="Tahoma" w:cs="Tahoma"/>
          <w:spacing w:val="-3"/>
          <w:kern w:val="1"/>
          <w:sz w:val="24"/>
          <w:szCs w:val="24"/>
        </w:rPr>
      </w:pPr>
    </w:p>
    <w:p w:rsidR="008E35A0" w:rsidRPr="008378DA" w:rsidRDefault="008E35A0" w:rsidP="008E35A0">
      <w:pPr>
        <w:ind w:firstLine="708"/>
        <w:rPr>
          <w:rFonts w:ascii="Tahoma" w:hAnsi="Tahoma" w:cs="Tahoma"/>
          <w:sz w:val="24"/>
          <w:szCs w:val="24"/>
        </w:rPr>
      </w:pPr>
      <w:r w:rsidRPr="008378DA">
        <w:rPr>
          <w:rFonts w:ascii="Tahoma" w:hAnsi="Tahoma" w:cs="Tahoma"/>
          <w:sz w:val="24"/>
          <w:szCs w:val="24"/>
        </w:rPr>
        <w:t>Lo anterior es suficiente para confirmar la decisión de primera instancia, pues como se ha expresado en otros asuntos de la misma naturaleza, en aquellos eventos en los que se presenta una segunda afiliación dentro del régimen a una AFP distinta a la que primero se afilió el demandante, como es aquí el caso, esta no adquiere ninguna validez ni ratifica la primera, pues el primer acto que perfeccionó el traslado estuvo viciado de nulidad (o ineficacia), y, por tanto, no produjo los efectos esperados.</w:t>
      </w:r>
    </w:p>
    <w:p w:rsidR="008E35A0" w:rsidRPr="008378DA" w:rsidRDefault="008E35A0" w:rsidP="008E35A0">
      <w:pPr>
        <w:ind w:firstLine="708"/>
        <w:rPr>
          <w:rFonts w:ascii="Arial Narrow" w:hAnsi="Arial Narrow" w:cs="Tahoma"/>
          <w:i/>
          <w:color w:val="000000"/>
          <w:sz w:val="24"/>
          <w:szCs w:val="24"/>
          <w:shd w:val="clear" w:color="auto" w:fill="FFFFFF"/>
        </w:rPr>
      </w:pPr>
    </w:p>
    <w:p w:rsidR="008E35A0" w:rsidRPr="008378DA" w:rsidRDefault="008E35A0" w:rsidP="008E35A0">
      <w:pPr>
        <w:tabs>
          <w:tab w:val="left" w:pos="748"/>
        </w:tabs>
        <w:spacing w:line="276" w:lineRule="auto"/>
        <w:rPr>
          <w:rFonts w:ascii="Tahoma" w:hAnsi="Tahoma" w:cs="Tahoma"/>
          <w:sz w:val="24"/>
          <w:szCs w:val="24"/>
        </w:rPr>
      </w:pPr>
      <w:r w:rsidRPr="008378DA">
        <w:rPr>
          <w:rFonts w:ascii="Tahoma" w:hAnsi="Tahoma" w:cs="Tahoma"/>
          <w:sz w:val="24"/>
          <w:szCs w:val="24"/>
        </w:rPr>
        <w:t xml:space="preserve">En mérito de lo expuesto, el </w:t>
      </w:r>
      <w:r w:rsidRPr="008378DA">
        <w:rPr>
          <w:rFonts w:ascii="Tahoma" w:hAnsi="Tahoma" w:cs="Tahoma"/>
          <w:b/>
          <w:sz w:val="24"/>
          <w:szCs w:val="24"/>
        </w:rPr>
        <w:t>Tribunal Superior del Distrito Judicial de Pereira (Risaralda)</w:t>
      </w:r>
      <w:r w:rsidRPr="008378DA">
        <w:rPr>
          <w:rFonts w:ascii="Tahoma" w:hAnsi="Tahoma" w:cs="Tahoma"/>
          <w:sz w:val="24"/>
          <w:szCs w:val="24"/>
        </w:rPr>
        <w:t xml:space="preserve">, </w:t>
      </w:r>
      <w:r w:rsidRPr="008378DA">
        <w:rPr>
          <w:rFonts w:ascii="Tahoma" w:hAnsi="Tahoma" w:cs="Tahoma"/>
          <w:b/>
          <w:sz w:val="24"/>
          <w:szCs w:val="24"/>
        </w:rPr>
        <w:t>Sala Laboral No. 1</w:t>
      </w:r>
      <w:r w:rsidRPr="008378DA">
        <w:rPr>
          <w:rFonts w:ascii="Tahoma" w:hAnsi="Tahoma" w:cs="Tahoma"/>
          <w:sz w:val="24"/>
          <w:szCs w:val="24"/>
        </w:rPr>
        <w:t>, Administrando Justicia en Nombre de la República y por autoridad de la Ley,</w:t>
      </w:r>
    </w:p>
    <w:p w:rsidR="008E35A0" w:rsidRPr="008378DA" w:rsidRDefault="008E35A0" w:rsidP="008E35A0">
      <w:pPr>
        <w:tabs>
          <w:tab w:val="left" w:pos="748"/>
        </w:tabs>
        <w:spacing w:line="276" w:lineRule="auto"/>
        <w:ind w:firstLine="0"/>
        <w:rPr>
          <w:rFonts w:ascii="Tahoma" w:hAnsi="Tahoma" w:cs="Tahoma"/>
          <w:iCs/>
          <w:sz w:val="24"/>
          <w:szCs w:val="24"/>
          <w:highlight w:val="yellow"/>
        </w:rPr>
      </w:pPr>
    </w:p>
    <w:p w:rsidR="008E35A0" w:rsidRPr="008378DA" w:rsidRDefault="008E35A0" w:rsidP="008E35A0">
      <w:pPr>
        <w:widowControl w:val="0"/>
        <w:autoSpaceDE w:val="0"/>
        <w:autoSpaceDN w:val="0"/>
        <w:adjustRightInd w:val="0"/>
        <w:spacing w:line="276" w:lineRule="auto"/>
        <w:jc w:val="center"/>
        <w:rPr>
          <w:rFonts w:ascii="Tahoma" w:hAnsi="Tahoma" w:cs="Tahoma"/>
          <w:b/>
          <w:color w:val="000000" w:themeColor="text1"/>
          <w:sz w:val="24"/>
          <w:szCs w:val="24"/>
        </w:rPr>
      </w:pPr>
      <w:r w:rsidRPr="008378DA">
        <w:rPr>
          <w:rFonts w:ascii="Tahoma" w:hAnsi="Tahoma" w:cs="Tahoma"/>
          <w:b/>
          <w:color w:val="000000" w:themeColor="text1"/>
          <w:sz w:val="24"/>
          <w:szCs w:val="24"/>
        </w:rPr>
        <w:t>R E S U E L V E:</w:t>
      </w:r>
    </w:p>
    <w:p w:rsidR="008E35A0" w:rsidRPr="008378DA" w:rsidRDefault="008E35A0" w:rsidP="008E35A0">
      <w:pPr>
        <w:widowControl w:val="0"/>
        <w:autoSpaceDE w:val="0"/>
        <w:autoSpaceDN w:val="0"/>
        <w:adjustRightInd w:val="0"/>
        <w:spacing w:line="276" w:lineRule="auto"/>
        <w:jc w:val="center"/>
        <w:rPr>
          <w:rFonts w:ascii="Tahoma" w:hAnsi="Tahoma" w:cs="Tahoma"/>
          <w:b/>
          <w:color w:val="000000" w:themeColor="text1"/>
          <w:sz w:val="24"/>
          <w:szCs w:val="24"/>
        </w:rPr>
      </w:pPr>
    </w:p>
    <w:p w:rsidR="008E35A0" w:rsidRPr="008378DA" w:rsidRDefault="008E35A0" w:rsidP="008E35A0">
      <w:pPr>
        <w:spacing w:line="276" w:lineRule="auto"/>
        <w:ind w:firstLine="708"/>
        <w:rPr>
          <w:rFonts w:ascii="Tahoma" w:hAnsi="Tahoma" w:cs="Tahoma"/>
          <w:color w:val="000000" w:themeColor="text1"/>
          <w:sz w:val="24"/>
          <w:szCs w:val="24"/>
        </w:rPr>
      </w:pPr>
      <w:r w:rsidRPr="008378DA">
        <w:rPr>
          <w:rFonts w:ascii="Tahoma" w:hAnsi="Tahoma" w:cs="Tahoma"/>
          <w:b/>
          <w:color w:val="000000" w:themeColor="text1"/>
          <w:sz w:val="24"/>
          <w:szCs w:val="24"/>
          <w:u w:val="single"/>
        </w:rPr>
        <w:t>PRIMERO</w:t>
      </w:r>
      <w:r w:rsidRPr="008378DA">
        <w:rPr>
          <w:rFonts w:ascii="Tahoma" w:hAnsi="Tahoma" w:cs="Tahoma"/>
          <w:color w:val="000000" w:themeColor="text1"/>
          <w:sz w:val="24"/>
          <w:szCs w:val="24"/>
        </w:rPr>
        <w:t xml:space="preserve">. - </w:t>
      </w:r>
      <w:r w:rsidRPr="008378DA">
        <w:rPr>
          <w:rFonts w:ascii="Tahoma" w:hAnsi="Tahoma" w:cs="Tahoma"/>
          <w:b/>
          <w:color w:val="000000" w:themeColor="text1"/>
          <w:sz w:val="24"/>
          <w:szCs w:val="24"/>
        </w:rPr>
        <w:t>CONFIRMAR</w:t>
      </w:r>
      <w:r w:rsidRPr="008378DA">
        <w:rPr>
          <w:rFonts w:ascii="Tahoma" w:hAnsi="Tahoma" w:cs="Tahoma"/>
          <w:color w:val="000000" w:themeColor="text1"/>
          <w:sz w:val="24"/>
          <w:szCs w:val="24"/>
        </w:rPr>
        <w:t xml:space="preserve"> la sentencia de la referencia. </w:t>
      </w:r>
    </w:p>
    <w:p w:rsidR="008E35A0" w:rsidRPr="008378DA" w:rsidRDefault="008E35A0" w:rsidP="008E35A0">
      <w:pPr>
        <w:spacing w:line="240" w:lineRule="auto"/>
        <w:ind w:firstLine="708"/>
        <w:rPr>
          <w:rFonts w:ascii="Tahoma" w:hAnsi="Tahoma" w:cs="Tahoma"/>
          <w:color w:val="000000" w:themeColor="text1"/>
          <w:sz w:val="24"/>
          <w:szCs w:val="24"/>
        </w:rPr>
      </w:pPr>
    </w:p>
    <w:p w:rsidR="008E35A0" w:rsidRPr="008378DA" w:rsidRDefault="008E35A0" w:rsidP="008E35A0">
      <w:pPr>
        <w:spacing w:line="276" w:lineRule="auto"/>
        <w:rPr>
          <w:rFonts w:ascii="Tahoma" w:hAnsi="Tahoma" w:cs="Tahoma"/>
          <w:color w:val="000000" w:themeColor="text1"/>
          <w:sz w:val="24"/>
          <w:szCs w:val="24"/>
        </w:rPr>
      </w:pPr>
      <w:r w:rsidRPr="008378DA">
        <w:rPr>
          <w:rFonts w:ascii="Tahoma" w:hAnsi="Tahoma" w:cs="Tahoma"/>
          <w:b/>
          <w:color w:val="000000" w:themeColor="text1"/>
          <w:sz w:val="24"/>
          <w:szCs w:val="24"/>
          <w:u w:val="single"/>
        </w:rPr>
        <w:t>SEGUNDO.</w:t>
      </w:r>
      <w:r w:rsidRPr="008378DA">
        <w:rPr>
          <w:rFonts w:ascii="Tahoma" w:hAnsi="Tahoma" w:cs="Tahoma"/>
          <w:caps/>
          <w:color w:val="000000" w:themeColor="text1"/>
          <w:sz w:val="24"/>
          <w:szCs w:val="24"/>
        </w:rPr>
        <w:t xml:space="preserve"> – </w:t>
      </w:r>
      <w:r w:rsidRPr="008378DA">
        <w:rPr>
          <w:rFonts w:ascii="Tahoma" w:hAnsi="Tahoma" w:cs="Tahoma"/>
          <w:b/>
          <w:caps/>
          <w:color w:val="000000" w:themeColor="text1"/>
          <w:sz w:val="24"/>
          <w:szCs w:val="24"/>
        </w:rPr>
        <w:t xml:space="preserve">CONDENAR en costas procesales </w:t>
      </w:r>
      <w:r w:rsidRPr="008378DA">
        <w:rPr>
          <w:rFonts w:ascii="Tahoma" w:hAnsi="Tahoma" w:cs="Tahoma"/>
          <w:color w:val="000000" w:themeColor="text1"/>
          <w:sz w:val="24"/>
          <w:szCs w:val="24"/>
        </w:rPr>
        <w:t>a las codemandadas apelantes.</w:t>
      </w:r>
    </w:p>
    <w:p w:rsidR="008E35A0" w:rsidRPr="008378DA" w:rsidRDefault="008E35A0" w:rsidP="008E35A0">
      <w:pPr>
        <w:spacing w:line="276" w:lineRule="auto"/>
        <w:rPr>
          <w:rFonts w:ascii="Tahoma" w:hAnsi="Tahoma" w:cs="Tahoma"/>
          <w:color w:val="000000" w:themeColor="text1"/>
          <w:sz w:val="24"/>
          <w:szCs w:val="24"/>
        </w:rPr>
      </w:pPr>
      <w:r w:rsidRPr="008378DA">
        <w:rPr>
          <w:rFonts w:ascii="Tahoma" w:hAnsi="Tahoma" w:cs="Tahoma"/>
          <w:color w:val="000000" w:themeColor="text1"/>
          <w:sz w:val="24"/>
          <w:szCs w:val="24"/>
        </w:rPr>
        <w:t xml:space="preserve"> </w:t>
      </w:r>
    </w:p>
    <w:p w:rsidR="008E35A0" w:rsidRPr="008378DA" w:rsidRDefault="008E35A0" w:rsidP="008E35A0">
      <w:pPr>
        <w:widowControl w:val="0"/>
        <w:autoSpaceDE w:val="0"/>
        <w:autoSpaceDN w:val="0"/>
        <w:adjustRightInd w:val="0"/>
        <w:spacing w:line="276" w:lineRule="auto"/>
        <w:ind w:firstLine="708"/>
        <w:rPr>
          <w:rFonts w:ascii="Tahoma" w:hAnsi="Tahoma" w:cs="Tahoma"/>
          <w:color w:val="000000" w:themeColor="text1"/>
          <w:sz w:val="24"/>
          <w:szCs w:val="24"/>
        </w:rPr>
      </w:pPr>
      <w:r w:rsidRPr="008378DA">
        <w:rPr>
          <w:rFonts w:ascii="Tahoma" w:hAnsi="Tahoma" w:cs="Tahoma"/>
          <w:bCs/>
          <w:color w:val="000000" w:themeColor="text1"/>
          <w:sz w:val="24"/>
          <w:szCs w:val="24"/>
        </w:rPr>
        <w:t xml:space="preserve">Notificación surtida en estrados. </w:t>
      </w:r>
      <w:r w:rsidRPr="008378DA">
        <w:rPr>
          <w:rFonts w:ascii="Tahoma" w:hAnsi="Tahoma" w:cs="Tahoma"/>
          <w:color w:val="000000" w:themeColor="text1"/>
          <w:sz w:val="24"/>
          <w:szCs w:val="24"/>
        </w:rPr>
        <w:t>Cúmplase y devuélvase al Juzgado de origen.</w:t>
      </w:r>
    </w:p>
    <w:p w:rsidR="008E35A0" w:rsidRPr="008378DA" w:rsidRDefault="008E35A0" w:rsidP="008E35A0">
      <w:pPr>
        <w:widowControl w:val="0"/>
        <w:autoSpaceDE w:val="0"/>
        <w:autoSpaceDN w:val="0"/>
        <w:adjustRightInd w:val="0"/>
        <w:spacing w:line="276" w:lineRule="auto"/>
        <w:ind w:firstLine="708"/>
        <w:rPr>
          <w:rFonts w:ascii="Tahoma" w:hAnsi="Tahoma" w:cs="Tahoma"/>
          <w:color w:val="000000" w:themeColor="text1"/>
          <w:sz w:val="24"/>
          <w:szCs w:val="24"/>
        </w:rPr>
      </w:pPr>
    </w:p>
    <w:p w:rsidR="008E35A0" w:rsidRPr="008378DA" w:rsidRDefault="008E35A0" w:rsidP="008E35A0">
      <w:pPr>
        <w:spacing w:line="276" w:lineRule="auto"/>
        <w:rPr>
          <w:rFonts w:ascii="Tahoma" w:hAnsi="Tahoma" w:cs="Tahoma"/>
          <w:color w:val="000000" w:themeColor="text1"/>
          <w:sz w:val="24"/>
          <w:szCs w:val="24"/>
        </w:rPr>
      </w:pPr>
    </w:p>
    <w:p w:rsidR="008E35A0" w:rsidRPr="008378DA" w:rsidRDefault="008E35A0" w:rsidP="008E35A0">
      <w:pPr>
        <w:spacing w:line="276" w:lineRule="auto"/>
        <w:ind w:firstLine="708"/>
        <w:rPr>
          <w:rFonts w:ascii="Tahoma" w:hAnsi="Tahoma" w:cs="Tahoma"/>
          <w:color w:val="000000" w:themeColor="text1"/>
          <w:sz w:val="24"/>
          <w:szCs w:val="24"/>
        </w:rPr>
      </w:pPr>
      <w:r w:rsidRPr="008378DA">
        <w:rPr>
          <w:rFonts w:ascii="Tahoma" w:hAnsi="Tahoma" w:cs="Tahoma"/>
          <w:color w:val="000000" w:themeColor="text1"/>
          <w:sz w:val="24"/>
          <w:szCs w:val="24"/>
        </w:rPr>
        <w:t>La Magistrada ponente,</w:t>
      </w:r>
    </w:p>
    <w:p w:rsidR="008E35A0" w:rsidRPr="008378DA" w:rsidRDefault="008E35A0" w:rsidP="008E35A0">
      <w:pPr>
        <w:ind w:firstLine="0"/>
        <w:rPr>
          <w:rFonts w:ascii="Tahoma" w:hAnsi="Tahoma" w:cs="Tahoma"/>
          <w:color w:val="000000" w:themeColor="text1"/>
          <w:sz w:val="24"/>
          <w:szCs w:val="24"/>
        </w:rPr>
      </w:pPr>
    </w:p>
    <w:p w:rsidR="008E35A0" w:rsidRPr="008378DA" w:rsidRDefault="008E35A0" w:rsidP="008E35A0">
      <w:pPr>
        <w:ind w:firstLine="0"/>
        <w:rPr>
          <w:rFonts w:ascii="Tahoma" w:hAnsi="Tahoma" w:cs="Tahoma"/>
          <w:color w:val="000000" w:themeColor="text1"/>
          <w:sz w:val="24"/>
          <w:szCs w:val="24"/>
        </w:rPr>
      </w:pPr>
    </w:p>
    <w:p w:rsidR="00E006B5" w:rsidRPr="008378DA" w:rsidRDefault="00E006B5" w:rsidP="008E35A0">
      <w:pPr>
        <w:ind w:firstLine="0"/>
        <w:rPr>
          <w:rFonts w:ascii="Tahoma" w:hAnsi="Tahoma" w:cs="Tahoma"/>
          <w:color w:val="000000" w:themeColor="text1"/>
          <w:sz w:val="24"/>
          <w:szCs w:val="24"/>
        </w:rPr>
      </w:pPr>
    </w:p>
    <w:p w:rsidR="008E35A0" w:rsidRPr="008378DA" w:rsidRDefault="008E35A0" w:rsidP="008E35A0">
      <w:pPr>
        <w:pStyle w:val="Ttulo3"/>
        <w:spacing w:before="0" w:line="276" w:lineRule="auto"/>
        <w:jc w:val="center"/>
        <w:rPr>
          <w:rFonts w:ascii="Tahoma" w:hAnsi="Tahoma" w:cs="Tahoma"/>
          <w:b/>
          <w:bCs/>
          <w:color w:val="000000" w:themeColor="text1"/>
        </w:rPr>
      </w:pPr>
      <w:r w:rsidRPr="008378DA">
        <w:rPr>
          <w:rFonts w:ascii="Tahoma" w:hAnsi="Tahoma" w:cs="Tahoma"/>
          <w:b/>
          <w:color w:val="000000" w:themeColor="text1"/>
        </w:rPr>
        <w:t>ANA LUCÍA CAICEDO CALDERÓN</w:t>
      </w:r>
    </w:p>
    <w:p w:rsidR="008E35A0" w:rsidRPr="008378DA" w:rsidRDefault="008E35A0" w:rsidP="008E35A0">
      <w:pPr>
        <w:ind w:firstLine="0"/>
        <w:rPr>
          <w:rFonts w:ascii="Tahoma" w:hAnsi="Tahoma" w:cs="Tahoma"/>
          <w:b/>
          <w:color w:val="000000" w:themeColor="text1"/>
          <w:sz w:val="24"/>
          <w:szCs w:val="24"/>
        </w:rPr>
      </w:pPr>
    </w:p>
    <w:p w:rsidR="008E35A0" w:rsidRPr="008378DA" w:rsidRDefault="008E35A0" w:rsidP="008E35A0">
      <w:pPr>
        <w:ind w:firstLine="0"/>
        <w:rPr>
          <w:rFonts w:ascii="Tahoma" w:hAnsi="Tahoma" w:cs="Tahoma"/>
          <w:b/>
          <w:color w:val="000000" w:themeColor="text1"/>
          <w:sz w:val="24"/>
          <w:szCs w:val="24"/>
        </w:rPr>
      </w:pPr>
    </w:p>
    <w:p w:rsidR="008E35A0" w:rsidRPr="008378DA" w:rsidRDefault="008E35A0" w:rsidP="008E35A0">
      <w:pPr>
        <w:ind w:firstLine="0"/>
        <w:rPr>
          <w:rFonts w:ascii="Tahoma" w:hAnsi="Tahoma" w:cs="Tahoma"/>
          <w:b/>
          <w:color w:val="000000" w:themeColor="text1"/>
          <w:sz w:val="24"/>
          <w:szCs w:val="24"/>
        </w:rPr>
      </w:pPr>
    </w:p>
    <w:p w:rsidR="008E35A0" w:rsidRPr="008378DA" w:rsidRDefault="008E35A0" w:rsidP="008E35A0">
      <w:pPr>
        <w:ind w:firstLine="0"/>
        <w:rPr>
          <w:rFonts w:ascii="Tahoma" w:hAnsi="Tahoma" w:cs="Tahoma"/>
          <w:b/>
          <w:color w:val="000000" w:themeColor="text1"/>
          <w:sz w:val="24"/>
          <w:szCs w:val="24"/>
        </w:rPr>
      </w:pPr>
      <w:r w:rsidRPr="008378DA">
        <w:rPr>
          <w:rFonts w:ascii="Tahoma" w:hAnsi="Tahoma" w:cs="Tahoma"/>
          <w:b/>
          <w:color w:val="000000" w:themeColor="text1"/>
          <w:sz w:val="24"/>
          <w:szCs w:val="24"/>
        </w:rPr>
        <w:t xml:space="preserve">OLGA LUCÍA HOYOS </w:t>
      </w:r>
      <w:r w:rsidR="00E006B5" w:rsidRPr="008378DA">
        <w:rPr>
          <w:rFonts w:ascii="Tahoma" w:hAnsi="Tahoma" w:cs="Tahoma"/>
          <w:b/>
          <w:color w:val="000000" w:themeColor="text1"/>
          <w:sz w:val="24"/>
          <w:szCs w:val="24"/>
        </w:rPr>
        <w:t>SEPÚLVEDA</w:t>
      </w:r>
      <w:r w:rsidR="008378DA">
        <w:rPr>
          <w:rFonts w:ascii="Tahoma" w:hAnsi="Tahoma" w:cs="Tahoma"/>
          <w:b/>
          <w:color w:val="000000" w:themeColor="text1"/>
          <w:sz w:val="24"/>
          <w:szCs w:val="24"/>
        </w:rPr>
        <w:tab/>
      </w:r>
      <w:r w:rsidR="008378DA">
        <w:rPr>
          <w:rFonts w:ascii="Tahoma" w:hAnsi="Tahoma" w:cs="Tahoma"/>
          <w:b/>
          <w:color w:val="000000" w:themeColor="text1"/>
          <w:sz w:val="24"/>
          <w:szCs w:val="24"/>
        </w:rPr>
        <w:tab/>
        <w:t xml:space="preserve">     </w:t>
      </w:r>
      <w:r w:rsidRPr="008378DA">
        <w:rPr>
          <w:rFonts w:ascii="Tahoma" w:hAnsi="Tahoma" w:cs="Tahoma"/>
          <w:b/>
          <w:color w:val="000000" w:themeColor="text1"/>
          <w:sz w:val="24"/>
          <w:szCs w:val="24"/>
        </w:rPr>
        <w:t>JULIO CÉSAR SALAZAR MUÑOZ</w:t>
      </w:r>
    </w:p>
    <w:p w:rsidR="008E35A0" w:rsidRPr="008378DA" w:rsidRDefault="008E35A0" w:rsidP="00E006B5">
      <w:pPr>
        <w:spacing w:line="276" w:lineRule="auto"/>
        <w:ind w:firstLine="708"/>
        <w:rPr>
          <w:rFonts w:ascii="Tahoma" w:hAnsi="Tahoma" w:cs="Tahoma"/>
          <w:color w:val="000000" w:themeColor="text1"/>
          <w:sz w:val="24"/>
          <w:szCs w:val="24"/>
        </w:rPr>
      </w:pPr>
      <w:r w:rsidRPr="008378DA">
        <w:rPr>
          <w:rFonts w:ascii="Tahoma" w:hAnsi="Tahoma" w:cs="Tahoma"/>
          <w:color w:val="000000" w:themeColor="text1"/>
          <w:sz w:val="24"/>
          <w:szCs w:val="24"/>
        </w:rPr>
        <w:t xml:space="preserve"> </w:t>
      </w:r>
      <w:r w:rsidR="008378DA">
        <w:rPr>
          <w:rFonts w:ascii="Tahoma" w:hAnsi="Tahoma" w:cs="Tahoma"/>
          <w:color w:val="000000" w:themeColor="text1"/>
          <w:sz w:val="24"/>
          <w:szCs w:val="24"/>
        </w:rPr>
        <w:t xml:space="preserve">  </w:t>
      </w:r>
      <w:r w:rsidRPr="008378DA">
        <w:rPr>
          <w:rFonts w:ascii="Tahoma" w:hAnsi="Tahoma" w:cs="Tahoma"/>
          <w:color w:val="000000" w:themeColor="text1"/>
          <w:sz w:val="24"/>
          <w:szCs w:val="24"/>
        </w:rPr>
        <w:t xml:space="preserve">  </w:t>
      </w:r>
      <w:r w:rsidR="00E006B5" w:rsidRPr="008378DA">
        <w:rPr>
          <w:rFonts w:ascii="Tahoma" w:hAnsi="Tahoma" w:cs="Tahoma"/>
          <w:color w:val="000000" w:themeColor="text1"/>
          <w:sz w:val="24"/>
          <w:szCs w:val="24"/>
        </w:rPr>
        <w:t xml:space="preserve">   </w:t>
      </w:r>
      <w:r w:rsidRPr="008378DA">
        <w:rPr>
          <w:rFonts w:ascii="Tahoma" w:hAnsi="Tahoma" w:cs="Tahoma"/>
          <w:color w:val="000000" w:themeColor="text1"/>
          <w:sz w:val="24"/>
          <w:szCs w:val="24"/>
        </w:rPr>
        <w:t>Magistrada</w:t>
      </w:r>
      <w:r w:rsidR="00E006B5" w:rsidRPr="008378DA">
        <w:rPr>
          <w:rFonts w:ascii="Tahoma" w:hAnsi="Tahoma" w:cs="Tahoma"/>
          <w:color w:val="000000" w:themeColor="text1"/>
          <w:sz w:val="24"/>
          <w:szCs w:val="24"/>
        </w:rPr>
        <w:tab/>
      </w:r>
      <w:r w:rsidR="00E006B5" w:rsidRPr="008378DA">
        <w:rPr>
          <w:rFonts w:ascii="Tahoma" w:hAnsi="Tahoma" w:cs="Tahoma"/>
          <w:color w:val="000000" w:themeColor="text1"/>
          <w:sz w:val="24"/>
          <w:szCs w:val="24"/>
        </w:rPr>
        <w:tab/>
      </w:r>
      <w:r w:rsidR="00E006B5" w:rsidRPr="008378DA">
        <w:rPr>
          <w:rFonts w:ascii="Tahoma" w:hAnsi="Tahoma" w:cs="Tahoma"/>
          <w:color w:val="000000" w:themeColor="text1"/>
          <w:sz w:val="24"/>
          <w:szCs w:val="24"/>
        </w:rPr>
        <w:tab/>
      </w:r>
      <w:r w:rsidR="00E006B5" w:rsidRPr="008378DA">
        <w:rPr>
          <w:rFonts w:ascii="Tahoma" w:hAnsi="Tahoma" w:cs="Tahoma"/>
          <w:color w:val="000000" w:themeColor="text1"/>
          <w:sz w:val="24"/>
          <w:szCs w:val="24"/>
        </w:rPr>
        <w:tab/>
      </w:r>
      <w:r w:rsidR="00E006B5" w:rsidRPr="008378DA">
        <w:rPr>
          <w:rFonts w:ascii="Tahoma" w:hAnsi="Tahoma" w:cs="Tahoma"/>
          <w:color w:val="000000" w:themeColor="text1"/>
          <w:sz w:val="24"/>
          <w:szCs w:val="24"/>
        </w:rPr>
        <w:tab/>
      </w:r>
      <w:r w:rsidR="00E006B5" w:rsidRPr="008378DA">
        <w:rPr>
          <w:rFonts w:ascii="Tahoma" w:hAnsi="Tahoma" w:cs="Tahoma"/>
          <w:color w:val="000000" w:themeColor="text1"/>
          <w:sz w:val="24"/>
          <w:szCs w:val="24"/>
        </w:rPr>
        <w:tab/>
      </w:r>
      <w:r w:rsidR="008378DA">
        <w:rPr>
          <w:rFonts w:ascii="Tahoma" w:hAnsi="Tahoma" w:cs="Tahoma"/>
          <w:color w:val="000000" w:themeColor="text1"/>
          <w:sz w:val="24"/>
          <w:szCs w:val="24"/>
        </w:rPr>
        <w:t xml:space="preserve">  </w:t>
      </w:r>
      <w:r w:rsidR="00E006B5" w:rsidRPr="008378DA">
        <w:rPr>
          <w:rFonts w:ascii="Tahoma" w:hAnsi="Tahoma" w:cs="Tahoma"/>
          <w:color w:val="000000" w:themeColor="text1"/>
          <w:sz w:val="24"/>
          <w:szCs w:val="24"/>
        </w:rPr>
        <w:t xml:space="preserve">  Magistrado</w:t>
      </w:r>
    </w:p>
    <w:sectPr w:rsidR="008E35A0" w:rsidRPr="008378DA" w:rsidSect="00B125A3">
      <w:headerReference w:type="default" r:id="rId6"/>
      <w:footerReference w:type="default" r:id="rId7"/>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594" w:rsidRDefault="008D5594" w:rsidP="00057F42">
      <w:pPr>
        <w:spacing w:line="240" w:lineRule="auto"/>
      </w:pPr>
      <w:r>
        <w:separator/>
      </w:r>
    </w:p>
  </w:endnote>
  <w:endnote w:type="continuationSeparator" w:id="0">
    <w:p w:rsidR="008D5594" w:rsidRDefault="008D5594" w:rsidP="00057F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141760"/>
      <w:docPartObj>
        <w:docPartGallery w:val="Page Numbers (Bottom of Page)"/>
        <w:docPartUnique/>
      </w:docPartObj>
    </w:sdtPr>
    <w:sdtEndPr>
      <w:rPr>
        <w:rFonts w:ascii="Arial" w:hAnsi="Arial" w:cs="Arial"/>
        <w:sz w:val="18"/>
      </w:rPr>
    </w:sdtEndPr>
    <w:sdtContent>
      <w:p w:rsidR="008E35A0" w:rsidRPr="00B125A3" w:rsidRDefault="008E35A0">
        <w:pPr>
          <w:pStyle w:val="Piedepgina"/>
          <w:jc w:val="right"/>
          <w:rPr>
            <w:rFonts w:ascii="Arial" w:hAnsi="Arial" w:cs="Arial"/>
            <w:sz w:val="18"/>
          </w:rPr>
        </w:pPr>
        <w:r w:rsidRPr="00B125A3">
          <w:rPr>
            <w:rFonts w:ascii="Arial" w:hAnsi="Arial" w:cs="Arial"/>
            <w:sz w:val="18"/>
          </w:rPr>
          <w:fldChar w:fldCharType="begin"/>
        </w:r>
        <w:r w:rsidRPr="00B125A3">
          <w:rPr>
            <w:rFonts w:ascii="Arial" w:hAnsi="Arial" w:cs="Arial"/>
            <w:sz w:val="18"/>
          </w:rPr>
          <w:instrText>PAGE   \* MERGEFORMAT</w:instrText>
        </w:r>
        <w:r w:rsidRPr="00B125A3">
          <w:rPr>
            <w:rFonts w:ascii="Arial" w:hAnsi="Arial" w:cs="Arial"/>
            <w:sz w:val="18"/>
          </w:rPr>
          <w:fldChar w:fldCharType="separate"/>
        </w:r>
        <w:r w:rsidR="004E5922">
          <w:rPr>
            <w:rFonts w:ascii="Arial" w:hAnsi="Arial" w:cs="Arial"/>
            <w:noProof/>
            <w:sz w:val="18"/>
          </w:rPr>
          <w:t>6</w:t>
        </w:r>
        <w:r w:rsidRPr="00B125A3">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594" w:rsidRDefault="008D5594" w:rsidP="00057F42">
      <w:pPr>
        <w:spacing w:line="240" w:lineRule="auto"/>
      </w:pPr>
      <w:r>
        <w:separator/>
      </w:r>
    </w:p>
  </w:footnote>
  <w:footnote w:type="continuationSeparator" w:id="0">
    <w:p w:rsidR="008D5594" w:rsidRDefault="008D5594" w:rsidP="00057F42">
      <w:pPr>
        <w:spacing w:line="240" w:lineRule="auto"/>
      </w:pPr>
      <w:r>
        <w:continuationSeparator/>
      </w:r>
    </w:p>
  </w:footnote>
  <w:footnote w:id="1">
    <w:p w:rsidR="00F0746D" w:rsidRPr="00B125A3" w:rsidRDefault="00F0746D" w:rsidP="00B125A3">
      <w:pPr>
        <w:pStyle w:val="Textonotapie"/>
        <w:ind w:firstLine="0"/>
        <w:rPr>
          <w:rFonts w:ascii="Arial" w:hAnsi="Arial" w:cs="Arial"/>
          <w:sz w:val="18"/>
          <w:lang w:val="es-CO"/>
        </w:rPr>
      </w:pPr>
      <w:r w:rsidRPr="00B125A3">
        <w:rPr>
          <w:rStyle w:val="Refdenotaalpie"/>
          <w:rFonts w:ascii="Arial" w:hAnsi="Arial" w:cs="Arial"/>
          <w:sz w:val="18"/>
        </w:rPr>
        <w:footnoteRef/>
      </w:r>
      <w:r w:rsidRPr="00B125A3">
        <w:rPr>
          <w:rFonts w:ascii="Arial" w:hAnsi="Arial" w:cs="Arial"/>
          <w:sz w:val="18"/>
        </w:rPr>
        <w:t xml:space="preserve"> </w:t>
      </w:r>
      <w:r w:rsidRPr="00B125A3">
        <w:rPr>
          <w:rFonts w:ascii="Arial" w:hAnsi="Arial" w:cs="Arial"/>
          <w:sz w:val="18"/>
          <w:lang w:val="es-CO"/>
        </w:rPr>
        <w:t xml:space="preserve">Estatuto Orgánico del Sistema Financiero </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12B" w:rsidRPr="00B125A3" w:rsidRDefault="005F612B" w:rsidP="005F612B">
    <w:pPr>
      <w:pStyle w:val="Encabezado"/>
      <w:ind w:firstLine="0"/>
      <w:rPr>
        <w:rFonts w:ascii="Arial" w:hAnsi="Arial" w:cs="Arial"/>
        <w:sz w:val="18"/>
        <w:szCs w:val="16"/>
        <w:lang w:val="es-CO"/>
      </w:rPr>
    </w:pPr>
    <w:r w:rsidRPr="00B125A3">
      <w:rPr>
        <w:rFonts w:ascii="Arial" w:hAnsi="Arial" w:cs="Arial"/>
        <w:sz w:val="18"/>
        <w:szCs w:val="16"/>
        <w:lang w:val="es-CO"/>
      </w:rPr>
      <w:t>Demanda</w:t>
    </w:r>
    <w:r w:rsidR="00F0746D" w:rsidRPr="00B125A3">
      <w:rPr>
        <w:rFonts w:ascii="Arial" w:hAnsi="Arial" w:cs="Arial"/>
        <w:sz w:val="18"/>
        <w:szCs w:val="16"/>
        <w:lang w:val="es-CO"/>
      </w:rPr>
      <w:t>nte: Beatriz Franco Vélez</w:t>
    </w:r>
  </w:p>
  <w:p w:rsidR="00F0746D" w:rsidRPr="00B125A3" w:rsidRDefault="00F0746D" w:rsidP="005F612B">
    <w:pPr>
      <w:pStyle w:val="Encabezado"/>
      <w:ind w:firstLine="0"/>
      <w:rPr>
        <w:rFonts w:ascii="Arial" w:hAnsi="Arial" w:cs="Arial"/>
        <w:sz w:val="18"/>
        <w:szCs w:val="16"/>
        <w:lang w:val="es-CO"/>
      </w:rPr>
    </w:pPr>
    <w:r w:rsidRPr="00B125A3">
      <w:rPr>
        <w:rFonts w:ascii="Arial" w:hAnsi="Arial" w:cs="Arial"/>
        <w:sz w:val="18"/>
        <w:szCs w:val="16"/>
        <w:lang w:val="es-CO"/>
      </w:rPr>
      <w:t>Demandado: Colpensiones</w:t>
    </w:r>
  </w:p>
  <w:p w:rsidR="00F0746D" w:rsidRPr="00B125A3" w:rsidRDefault="00F0746D" w:rsidP="005F612B">
    <w:pPr>
      <w:pStyle w:val="Encabezado"/>
      <w:ind w:firstLine="0"/>
      <w:rPr>
        <w:rFonts w:ascii="Arial" w:hAnsi="Arial" w:cs="Arial"/>
        <w:sz w:val="18"/>
        <w:szCs w:val="16"/>
        <w:lang w:val="es-CO"/>
      </w:rPr>
    </w:pPr>
    <w:r w:rsidRPr="00B125A3">
      <w:rPr>
        <w:rFonts w:ascii="Arial" w:hAnsi="Arial" w:cs="Arial"/>
        <w:sz w:val="18"/>
        <w:szCs w:val="16"/>
        <w:lang w:val="es-CO"/>
      </w:rPr>
      <w:t>Rad.: 2016-00489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EB0"/>
    <w:rsid w:val="00012217"/>
    <w:rsid w:val="00057F42"/>
    <w:rsid w:val="00064911"/>
    <w:rsid w:val="002972F5"/>
    <w:rsid w:val="004E5922"/>
    <w:rsid w:val="005F612B"/>
    <w:rsid w:val="0061109E"/>
    <w:rsid w:val="008370B5"/>
    <w:rsid w:val="008378DA"/>
    <w:rsid w:val="008D5594"/>
    <w:rsid w:val="008E35A0"/>
    <w:rsid w:val="0090348E"/>
    <w:rsid w:val="0090759A"/>
    <w:rsid w:val="00924EB0"/>
    <w:rsid w:val="00933D99"/>
    <w:rsid w:val="00A7383E"/>
    <w:rsid w:val="00A7638E"/>
    <w:rsid w:val="00AD03B7"/>
    <w:rsid w:val="00B125A3"/>
    <w:rsid w:val="00D06D05"/>
    <w:rsid w:val="00D27344"/>
    <w:rsid w:val="00E006B5"/>
    <w:rsid w:val="00F0746D"/>
    <w:rsid w:val="00F27A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E9EE9-A412-4E5A-B0EA-F44989AB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F42"/>
  </w:style>
  <w:style w:type="paragraph" w:styleId="Ttulo3">
    <w:name w:val="heading 3"/>
    <w:basedOn w:val="Normal"/>
    <w:next w:val="Normal"/>
    <w:link w:val="Ttulo3Car"/>
    <w:uiPriority w:val="9"/>
    <w:semiHidden/>
    <w:unhideWhenUsed/>
    <w:qFormat/>
    <w:rsid w:val="008E35A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nhideWhenUsed/>
    <w:qFormat/>
    <w:rsid w:val="005F612B"/>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57F42"/>
    <w:pPr>
      <w:spacing w:line="240" w:lineRule="auto"/>
    </w:pPr>
    <w:rPr>
      <w:sz w:val="20"/>
      <w:szCs w:val="20"/>
    </w:rPr>
  </w:style>
  <w:style w:type="character" w:customStyle="1" w:styleId="TextonotapieCar">
    <w:name w:val="Texto nota pie Car"/>
    <w:basedOn w:val="Fuentedeprrafopredeter"/>
    <w:link w:val="Textonotapie"/>
    <w:uiPriority w:val="99"/>
    <w:semiHidden/>
    <w:rsid w:val="00057F42"/>
    <w:rPr>
      <w:sz w:val="20"/>
      <w:szCs w:val="20"/>
    </w:rPr>
  </w:style>
  <w:style w:type="character" w:styleId="Refdenotaalpie">
    <w:name w:val="footnote reference"/>
    <w:basedOn w:val="Fuentedeprrafopredeter"/>
    <w:uiPriority w:val="99"/>
    <w:semiHidden/>
    <w:unhideWhenUsed/>
    <w:rsid w:val="00057F42"/>
    <w:rPr>
      <w:vertAlign w:val="superscript"/>
    </w:rPr>
  </w:style>
  <w:style w:type="paragraph" w:styleId="Puesto">
    <w:name w:val="Title"/>
    <w:basedOn w:val="Normal"/>
    <w:link w:val="PuestoCar"/>
    <w:qFormat/>
    <w:rsid w:val="00057F42"/>
    <w:pPr>
      <w:spacing w:line="360" w:lineRule="auto"/>
      <w:ind w:firstLine="0"/>
      <w:jc w:val="center"/>
    </w:pPr>
    <w:rPr>
      <w:rFonts w:ascii="Arial Narrow" w:eastAsia="Calibri" w:hAnsi="Arial Narrow" w:cs="Arial"/>
      <w:b/>
      <w:sz w:val="24"/>
      <w:szCs w:val="24"/>
      <w:lang w:eastAsia="es-ES"/>
    </w:rPr>
  </w:style>
  <w:style w:type="character" w:customStyle="1" w:styleId="PuestoCar">
    <w:name w:val="Puesto Car"/>
    <w:basedOn w:val="Fuentedeprrafopredeter"/>
    <w:link w:val="Puesto"/>
    <w:rsid w:val="00057F42"/>
    <w:rPr>
      <w:rFonts w:ascii="Arial Narrow" w:eastAsia="Calibri" w:hAnsi="Arial Narrow" w:cs="Arial"/>
      <w:b/>
      <w:sz w:val="24"/>
      <w:szCs w:val="24"/>
      <w:lang w:eastAsia="es-ES"/>
    </w:rPr>
  </w:style>
  <w:style w:type="character" w:customStyle="1" w:styleId="Ttulo4Car">
    <w:name w:val="Título 4 Car"/>
    <w:basedOn w:val="Fuentedeprrafopredeter"/>
    <w:link w:val="Ttulo4"/>
    <w:rsid w:val="005F612B"/>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5F612B"/>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5F612B"/>
    <w:pPr>
      <w:pBdr>
        <w:top w:val="nil"/>
        <w:left w:val="nil"/>
        <w:bottom w:val="nil"/>
        <w:right w:val="nil"/>
        <w:between w:val="nil"/>
        <w:bar w:val="nil"/>
      </w:pBdr>
      <w:spacing w:line="276" w:lineRule="auto"/>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5F612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F612B"/>
  </w:style>
  <w:style w:type="paragraph" w:styleId="Piedepgina">
    <w:name w:val="footer"/>
    <w:basedOn w:val="Normal"/>
    <w:link w:val="PiedepginaCar"/>
    <w:uiPriority w:val="99"/>
    <w:unhideWhenUsed/>
    <w:rsid w:val="005F612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F612B"/>
  </w:style>
  <w:style w:type="character" w:customStyle="1" w:styleId="Ttulo3Car">
    <w:name w:val="Título 3 Car"/>
    <w:basedOn w:val="Fuentedeprrafopredeter"/>
    <w:link w:val="Ttulo3"/>
    <w:uiPriority w:val="9"/>
    <w:semiHidden/>
    <w:rsid w:val="008E35A0"/>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8E35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5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2537</Words>
  <Characters>13959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6</cp:revision>
  <cp:lastPrinted>2019-08-09T20:10:00Z</cp:lastPrinted>
  <dcterms:created xsi:type="dcterms:W3CDTF">2019-08-09T18:34:00Z</dcterms:created>
  <dcterms:modified xsi:type="dcterms:W3CDTF">2019-09-30T19:58:00Z</dcterms:modified>
</cp:coreProperties>
</file>