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5F" w:rsidRPr="0079275F" w:rsidRDefault="0079275F" w:rsidP="0079275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79275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9275F" w:rsidRPr="0079275F" w:rsidRDefault="0079275F" w:rsidP="0079275F">
      <w:pPr>
        <w:spacing w:line="240" w:lineRule="auto"/>
        <w:ind w:firstLine="0"/>
        <w:rPr>
          <w:rFonts w:ascii="Arial" w:eastAsia="Times New Roman" w:hAnsi="Arial" w:cs="Arial"/>
          <w:sz w:val="20"/>
          <w:szCs w:val="20"/>
          <w:lang w:val="es-419" w:eastAsia="es-ES"/>
        </w:rPr>
      </w:pP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 xml:space="preserve">Providencia: </w:t>
      </w:r>
      <w:r w:rsidRPr="0079275F">
        <w:rPr>
          <w:rFonts w:ascii="Arial" w:eastAsia="Times New Roman" w:hAnsi="Arial" w:cs="Arial"/>
          <w:sz w:val="20"/>
          <w:szCs w:val="20"/>
          <w:lang w:val="es-419" w:eastAsia="es-ES"/>
        </w:rPr>
        <w:tab/>
      </w:r>
      <w:r w:rsidRPr="0079275F">
        <w:rPr>
          <w:rFonts w:ascii="Arial" w:eastAsia="Times New Roman" w:hAnsi="Arial" w:cs="Arial"/>
          <w:sz w:val="20"/>
          <w:szCs w:val="20"/>
          <w:lang w:val="es-419" w:eastAsia="es-ES"/>
        </w:rPr>
        <w:tab/>
        <w:t xml:space="preserve">Auto del 20 de septiembre de 2019 </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66001-31-05-001-2015-00457-01</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Proceso:</w:t>
      </w:r>
      <w:r w:rsidRPr="0079275F">
        <w:rPr>
          <w:rFonts w:ascii="Arial" w:eastAsia="Times New Roman" w:hAnsi="Arial" w:cs="Arial"/>
          <w:sz w:val="20"/>
          <w:szCs w:val="20"/>
          <w:lang w:val="es-419" w:eastAsia="es-ES"/>
        </w:rPr>
        <w:tab/>
      </w:r>
      <w:r w:rsidRPr="0079275F">
        <w:rPr>
          <w:rFonts w:ascii="Arial" w:eastAsia="Times New Roman" w:hAnsi="Arial" w:cs="Arial"/>
          <w:sz w:val="20"/>
          <w:szCs w:val="20"/>
          <w:lang w:val="es-419" w:eastAsia="es-ES"/>
        </w:rPr>
        <w:tab/>
        <w:t xml:space="preserve">Ordinario laboral </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Demandante:</w:t>
      </w:r>
      <w:r w:rsidRPr="0079275F">
        <w:rPr>
          <w:rFonts w:ascii="Arial" w:eastAsia="Times New Roman" w:hAnsi="Arial" w:cs="Arial"/>
          <w:sz w:val="20"/>
          <w:szCs w:val="20"/>
          <w:lang w:val="es-419" w:eastAsia="es-ES"/>
        </w:rPr>
        <w:tab/>
      </w:r>
      <w:r w:rsidRPr="0079275F">
        <w:rPr>
          <w:rFonts w:ascii="Arial" w:eastAsia="Times New Roman" w:hAnsi="Arial" w:cs="Arial"/>
          <w:sz w:val="20"/>
          <w:szCs w:val="20"/>
          <w:lang w:val="es-419" w:eastAsia="es-ES"/>
        </w:rPr>
        <w:tab/>
        <w:t>Gloria Gladis Escobar</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Demandado:</w:t>
      </w:r>
      <w:r w:rsidRPr="0079275F">
        <w:rPr>
          <w:rFonts w:ascii="Arial" w:eastAsia="Times New Roman" w:hAnsi="Arial" w:cs="Arial"/>
          <w:sz w:val="20"/>
          <w:szCs w:val="20"/>
          <w:lang w:val="es-419" w:eastAsia="es-ES"/>
        </w:rPr>
        <w:tab/>
      </w:r>
      <w:r w:rsidRPr="0079275F">
        <w:rPr>
          <w:rFonts w:ascii="Arial" w:eastAsia="Times New Roman" w:hAnsi="Arial" w:cs="Arial"/>
          <w:sz w:val="20"/>
          <w:szCs w:val="20"/>
          <w:lang w:val="es-419" w:eastAsia="es-ES"/>
        </w:rPr>
        <w:tab/>
        <w:t>Corporación IPS Saludcoop</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 xml:space="preserve">Juzgado de origen: </w:t>
      </w:r>
      <w:r w:rsidRPr="0079275F">
        <w:rPr>
          <w:rFonts w:ascii="Arial" w:eastAsia="Times New Roman" w:hAnsi="Arial" w:cs="Arial"/>
          <w:sz w:val="20"/>
          <w:szCs w:val="20"/>
          <w:lang w:val="es-419" w:eastAsia="es-ES"/>
        </w:rPr>
        <w:tab/>
        <w:t>Primero Laboral del Circuito de Pereira</w:t>
      </w:r>
    </w:p>
    <w:p w:rsidR="0079275F" w:rsidRPr="0079275F" w:rsidRDefault="0079275F" w:rsidP="0079275F">
      <w:pPr>
        <w:spacing w:line="240" w:lineRule="auto"/>
        <w:ind w:firstLine="0"/>
        <w:rPr>
          <w:rFonts w:ascii="Arial" w:eastAsia="Times New Roman" w:hAnsi="Arial" w:cs="Arial"/>
          <w:sz w:val="20"/>
          <w:szCs w:val="20"/>
          <w:lang w:val="es-419" w:eastAsia="es-ES"/>
        </w:rPr>
      </w:pPr>
      <w:r w:rsidRPr="0079275F">
        <w:rPr>
          <w:rFonts w:ascii="Arial" w:eastAsia="Times New Roman" w:hAnsi="Arial" w:cs="Arial"/>
          <w:sz w:val="20"/>
          <w:szCs w:val="20"/>
          <w:lang w:val="es-419" w:eastAsia="es-ES"/>
        </w:rPr>
        <w:t>Magistrada ponente:</w:t>
      </w:r>
      <w:r w:rsidRPr="0079275F">
        <w:rPr>
          <w:rFonts w:ascii="Arial" w:eastAsia="Times New Roman" w:hAnsi="Arial" w:cs="Arial"/>
          <w:sz w:val="20"/>
          <w:szCs w:val="20"/>
          <w:lang w:val="es-419" w:eastAsia="es-ES"/>
        </w:rPr>
        <w:tab/>
        <w:t>Dra. Ana Lucía Caicedo Calderón</w:t>
      </w:r>
    </w:p>
    <w:p w:rsidR="0079275F" w:rsidRPr="0079275F" w:rsidRDefault="0079275F" w:rsidP="0079275F">
      <w:pPr>
        <w:spacing w:line="240" w:lineRule="auto"/>
        <w:ind w:firstLine="0"/>
        <w:rPr>
          <w:rFonts w:ascii="Arial" w:eastAsia="Times New Roman" w:hAnsi="Arial" w:cs="Arial"/>
          <w:sz w:val="20"/>
          <w:szCs w:val="20"/>
          <w:lang w:val="es-419" w:eastAsia="es-ES"/>
        </w:rPr>
      </w:pPr>
    </w:p>
    <w:p w:rsidR="0079275F" w:rsidRPr="0079275F" w:rsidRDefault="0079275F" w:rsidP="0079275F">
      <w:pPr>
        <w:spacing w:line="240" w:lineRule="auto"/>
        <w:ind w:firstLine="0"/>
        <w:rPr>
          <w:rFonts w:ascii="Arial" w:eastAsia="Times New Roman" w:hAnsi="Arial" w:cs="Arial"/>
          <w:b/>
          <w:bCs/>
          <w:iCs/>
          <w:sz w:val="20"/>
          <w:szCs w:val="20"/>
          <w:lang w:val="es-419" w:eastAsia="fr-FR"/>
        </w:rPr>
      </w:pPr>
      <w:r w:rsidRPr="0079275F">
        <w:rPr>
          <w:rFonts w:ascii="Arial" w:eastAsia="Times New Roman" w:hAnsi="Arial" w:cs="Arial"/>
          <w:b/>
          <w:bCs/>
          <w:iCs/>
          <w:sz w:val="20"/>
          <w:szCs w:val="20"/>
          <w:lang w:val="es-419" w:eastAsia="fr-FR"/>
        </w:rPr>
        <w:t>TEMAS:</w:t>
      </w:r>
      <w:r w:rsidRPr="0079275F">
        <w:rPr>
          <w:rFonts w:ascii="Arial" w:eastAsia="Times New Roman" w:hAnsi="Arial" w:cs="Arial"/>
          <w:b/>
          <w:bCs/>
          <w:iCs/>
          <w:sz w:val="20"/>
          <w:szCs w:val="20"/>
          <w:lang w:val="es-419" w:eastAsia="fr-FR"/>
        </w:rPr>
        <w:tab/>
      </w:r>
      <w:r w:rsidR="004050C0">
        <w:rPr>
          <w:rFonts w:ascii="Arial" w:eastAsia="Times New Roman" w:hAnsi="Arial" w:cs="Arial"/>
          <w:b/>
          <w:bCs/>
          <w:iCs/>
          <w:sz w:val="20"/>
          <w:szCs w:val="20"/>
          <w:lang w:val="es-CO" w:eastAsia="fr-FR"/>
        </w:rPr>
        <w:t>NULIDAD PROCESAL / INDEBIDA NOTIFICACIÓN DEL AUTO ADMISORIO / REGLAS DEL ARTÍCULO 29 DEL CÓDIGO PROCESAL DEL TRABAJO Y DE LA SEGURIDAD SOCIAL / EL EMPLAZAMIENTO Y LA DESIGNACIÓN DE CURADOR PROCEDE SÓLO UNA VEZ AGOTADA</w:t>
      </w:r>
      <w:r w:rsidR="002154BA">
        <w:rPr>
          <w:rFonts w:ascii="Arial" w:eastAsia="Times New Roman" w:hAnsi="Arial" w:cs="Arial"/>
          <w:b/>
          <w:bCs/>
          <w:iCs/>
          <w:sz w:val="20"/>
          <w:szCs w:val="20"/>
          <w:lang w:val="es-CO" w:eastAsia="fr-FR"/>
        </w:rPr>
        <w:t xml:space="preserve"> EN DEBIDA FORMA</w:t>
      </w:r>
      <w:bookmarkStart w:id="0" w:name="_GoBack"/>
      <w:bookmarkEnd w:id="0"/>
      <w:r w:rsidR="004050C0">
        <w:rPr>
          <w:rFonts w:ascii="Arial" w:eastAsia="Times New Roman" w:hAnsi="Arial" w:cs="Arial"/>
          <w:b/>
          <w:bCs/>
          <w:iCs/>
          <w:sz w:val="20"/>
          <w:szCs w:val="20"/>
          <w:lang w:val="es-CO" w:eastAsia="fr-FR"/>
        </w:rPr>
        <w:t xml:space="preserve"> LA CITACIÓN POR AVISO.</w:t>
      </w:r>
    </w:p>
    <w:p w:rsidR="0079275F" w:rsidRPr="0079275F" w:rsidRDefault="0079275F" w:rsidP="0079275F">
      <w:pPr>
        <w:spacing w:line="240" w:lineRule="auto"/>
        <w:ind w:firstLine="0"/>
        <w:rPr>
          <w:rFonts w:ascii="Arial" w:eastAsia="Times New Roman" w:hAnsi="Arial" w:cs="Arial"/>
          <w:sz w:val="20"/>
          <w:szCs w:val="20"/>
          <w:lang w:val="es-419" w:eastAsia="es-ES"/>
        </w:rPr>
      </w:pPr>
    </w:p>
    <w:p w:rsidR="00245820" w:rsidRPr="00245820" w:rsidRDefault="00245820" w:rsidP="00245820">
      <w:pPr>
        <w:spacing w:line="240" w:lineRule="auto"/>
        <w:ind w:firstLine="0"/>
        <w:rPr>
          <w:rFonts w:ascii="Arial" w:eastAsia="Times New Roman" w:hAnsi="Arial" w:cs="Arial"/>
          <w:sz w:val="20"/>
          <w:szCs w:val="20"/>
          <w:lang w:val="es-419" w:eastAsia="es-ES"/>
        </w:rPr>
      </w:pPr>
      <w:r w:rsidRPr="00245820">
        <w:rPr>
          <w:rFonts w:ascii="Arial" w:eastAsia="Times New Roman" w:hAnsi="Arial" w:cs="Arial"/>
          <w:sz w:val="20"/>
          <w:szCs w:val="20"/>
          <w:lang w:val="es-419" w:eastAsia="es-ES"/>
        </w:rPr>
        <w:t>Es bien sabido que el Código de Procedimiento Laboral y de la Seguridad Social no establece de manera expresa las causales configurativas de nulidad en el trámite de procesos y demandas adelantadas ante la especialidad laboral.</w:t>
      </w:r>
      <w:r>
        <w:rPr>
          <w:rFonts w:ascii="Arial" w:eastAsia="Times New Roman" w:hAnsi="Arial" w:cs="Arial"/>
          <w:sz w:val="20"/>
          <w:szCs w:val="20"/>
          <w:lang w:val="es-CO" w:eastAsia="es-ES"/>
        </w:rPr>
        <w:t xml:space="preserve"> (…)</w:t>
      </w:r>
      <w:r w:rsidRPr="00245820">
        <w:rPr>
          <w:rFonts w:ascii="Arial" w:eastAsia="Times New Roman" w:hAnsi="Arial" w:cs="Arial"/>
          <w:sz w:val="20"/>
          <w:szCs w:val="20"/>
          <w:lang w:val="es-419" w:eastAsia="es-ES"/>
        </w:rPr>
        <w:t xml:space="preserve"> </w:t>
      </w:r>
    </w:p>
    <w:p w:rsidR="00245820" w:rsidRPr="00245820" w:rsidRDefault="00245820" w:rsidP="00245820">
      <w:pPr>
        <w:spacing w:line="240" w:lineRule="auto"/>
        <w:ind w:firstLine="0"/>
        <w:rPr>
          <w:rFonts w:ascii="Arial" w:eastAsia="Times New Roman" w:hAnsi="Arial" w:cs="Arial"/>
          <w:sz w:val="20"/>
          <w:szCs w:val="20"/>
          <w:lang w:val="es-419" w:eastAsia="es-ES"/>
        </w:rPr>
      </w:pPr>
    </w:p>
    <w:p w:rsidR="00245820" w:rsidRPr="00245820" w:rsidRDefault="00245820" w:rsidP="00245820">
      <w:pPr>
        <w:spacing w:line="240" w:lineRule="auto"/>
        <w:ind w:firstLine="0"/>
        <w:rPr>
          <w:rFonts w:ascii="Arial" w:eastAsia="Times New Roman" w:hAnsi="Arial" w:cs="Arial"/>
          <w:sz w:val="20"/>
          <w:szCs w:val="20"/>
          <w:lang w:val="es-419" w:eastAsia="es-ES"/>
        </w:rPr>
      </w:pPr>
      <w:r w:rsidRPr="00245820">
        <w:rPr>
          <w:rFonts w:ascii="Arial" w:eastAsia="Times New Roman" w:hAnsi="Arial" w:cs="Arial"/>
          <w:sz w:val="20"/>
          <w:szCs w:val="20"/>
          <w:lang w:val="es-419" w:eastAsia="es-ES"/>
        </w:rPr>
        <w:t>No obstante lo anterior, con la entrada en vigencia de la Ley 1564/2012, “por medio de la cual se expide el Código General del Proceso y se dictan otras disposiciones”, se estableció que dicho código debe aplicarse al proceso laboral en todo aquello que no esté expresamente regulado por otras normas de carácter especial, tal como se desprende del artículo 1º de la citada ley</w:t>
      </w:r>
      <w:r>
        <w:rPr>
          <w:rFonts w:ascii="Arial" w:eastAsia="Times New Roman" w:hAnsi="Arial" w:cs="Arial"/>
          <w:sz w:val="20"/>
          <w:szCs w:val="20"/>
          <w:lang w:val="es-CO" w:eastAsia="es-ES"/>
        </w:rPr>
        <w:t>…</w:t>
      </w:r>
    </w:p>
    <w:p w:rsidR="00245820" w:rsidRPr="00245820" w:rsidRDefault="00245820" w:rsidP="00245820">
      <w:pPr>
        <w:spacing w:line="240" w:lineRule="auto"/>
        <w:ind w:firstLine="0"/>
        <w:rPr>
          <w:rFonts w:ascii="Arial" w:eastAsia="Times New Roman" w:hAnsi="Arial" w:cs="Arial"/>
          <w:sz w:val="20"/>
          <w:szCs w:val="20"/>
          <w:lang w:val="es-419" w:eastAsia="es-ES"/>
        </w:rPr>
      </w:pPr>
    </w:p>
    <w:p w:rsidR="0079275F" w:rsidRPr="0045712F" w:rsidRDefault="0045712F" w:rsidP="0079275F">
      <w:pPr>
        <w:spacing w:line="240" w:lineRule="auto"/>
        <w:ind w:firstLine="0"/>
        <w:rPr>
          <w:rFonts w:ascii="Arial" w:eastAsia="Times New Roman" w:hAnsi="Arial" w:cs="Arial"/>
          <w:sz w:val="20"/>
          <w:szCs w:val="20"/>
          <w:lang w:val="es-CO" w:eastAsia="es-ES"/>
        </w:rPr>
      </w:pPr>
      <w:r w:rsidRPr="0045712F">
        <w:rPr>
          <w:rFonts w:ascii="Arial" w:eastAsia="Times New Roman" w:hAnsi="Arial" w:cs="Arial"/>
          <w:sz w:val="20"/>
          <w:szCs w:val="20"/>
          <w:lang w:val="es-419" w:eastAsia="es-ES"/>
        </w:rPr>
        <w:t>Se estable en el numeral 8º del artículo 133 del CGP, que el proceso es nulo en todo o en parte, cuando no se practica en legal forma la notificación del auto admisorio de la demanda, o el emplazamiento de las demás personas aunque sean indeterminadas, deban ser citadas como partes</w:t>
      </w:r>
      <w:r>
        <w:rPr>
          <w:rFonts w:ascii="Arial" w:eastAsia="Times New Roman" w:hAnsi="Arial" w:cs="Arial"/>
          <w:sz w:val="20"/>
          <w:szCs w:val="20"/>
          <w:lang w:val="es-CO" w:eastAsia="es-ES"/>
        </w:rPr>
        <w:t>…</w:t>
      </w:r>
    </w:p>
    <w:p w:rsidR="0079275F" w:rsidRPr="0079275F" w:rsidRDefault="0079275F" w:rsidP="0079275F">
      <w:pPr>
        <w:spacing w:line="240" w:lineRule="auto"/>
        <w:ind w:firstLine="0"/>
        <w:rPr>
          <w:rFonts w:ascii="Arial" w:eastAsia="Times New Roman" w:hAnsi="Arial" w:cs="Arial"/>
          <w:sz w:val="20"/>
          <w:szCs w:val="20"/>
          <w:lang w:val="es-419" w:eastAsia="es-ES"/>
        </w:rPr>
      </w:pPr>
    </w:p>
    <w:p w:rsidR="0079275F" w:rsidRDefault="00C23AA4" w:rsidP="0079275F">
      <w:pPr>
        <w:spacing w:line="240" w:lineRule="auto"/>
        <w:ind w:firstLine="0"/>
        <w:rPr>
          <w:rFonts w:ascii="Arial" w:eastAsia="Times New Roman" w:hAnsi="Arial" w:cs="Arial"/>
          <w:sz w:val="20"/>
          <w:szCs w:val="20"/>
          <w:lang w:eastAsia="es-ES"/>
        </w:rPr>
      </w:pPr>
      <w:r w:rsidRPr="00C23AA4">
        <w:rPr>
          <w:rFonts w:ascii="Arial" w:eastAsia="Times New Roman" w:hAnsi="Arial" w:cs="Arial"/>
          <w:sz w:val="20"/>
          <w:szCs w:val="20"/>
          <w:lang w:eastAsia="es-ES"/>
        </w:rPr>
        <w:t>Se indica en el inciso final del artículo 29 del C.P.T. y de la S.S., que cuando el demandado no es hallado o se impide la notificación, el juez procederá a nombrarle un curador para la litis y se ordenará su emplazamiento por edicto, previo cumplimiento de la notificación por aviso</w:t>
      </w:r>
      <w:r>
        <w:rPr>
          <w:rFonts w:ascii="Arial" w:eastAsia="Times New Roman" w:hAnsi="Arial" w:cs="Arial"/>
          <w:sz w:val="20"/>
          <w:szCs w:val="20"/>
          <w:lang w:eastAsia="es-ES"/>
        </w:rPr>
        <w:t>…</w:t>
      </w:r>
      <w:r w:rsidRPr="00C23AA4">
        <w:rPr>
          <w:rFonts w:ascii="Arial" w:eastAsia="Times New Roman" w:hAnsi="Arial" w:cs="Arial"/>
          <w:sz w:val="20"/>
          <w:szCs w:val="20"/>
          <w:lang w:eastAsia="es-ES"/>
        </w:rPr>
        <w:t xml:space="preserve"> e igualmente se previene que en el aviso se informará al demandado que debe concurrir al juzgado dentro de los diez (10) días siguientes al de su fijación para notificarle el auto admisorio de la demanda y que si no comparece se le designará un curador para la litis.</w:t>
      </w:r>
      <w:r>
        <w:rPr>
          <w:rFonts w:ascii="Arial" w:eastAsia="Times New Roman" w:hAnsi="Arial" w:cs="Arial"/>
          <w:sz w:val="20"/>
          <w:szCs w:val="20"/>
          <w:lang w:eastAsia="es-ES"/>
        </w:rPr>
        <w:t xml:space="preserve"> (…)</w:t>
      </w:r>
    </w:p>
    <w:p w:rsidR="00C23AA4" w:rsidRDefault="00C23AA4" w:rsidP="0079275F">
      <w:pPr>
        <w:spacing w:line="240" w:lineRule="auto"/>
        <w:ind w:firstLine="0"/>
        <w:rPr>
          <w:rFonts w:ascii="Arial" w:eastAsia="Times New Roman" w:hAnsi="Arial" w:cs="Arial"/>
          <w:sz w:val="20"/>
          <w:szCs w:val="20"/>
          <w:lang w:eastAsia="es-ES"/>
        </w:rPr>
      </w:pPr>
    </w:p>
    <w:p w:rsidR="00C23AA4" w:rsidRPr="0079275F" w:rsidRDefault="00C23AA4" w:rsidP="0079275F">
      <w:pPr>
        <w:spacing w:line="240" w:lineRule="auto"/>
        <w:ind w:firstLine="0"/>
        <w:rPr>
          <w:rFonts w:ascii="Arial" w:eastAsia="Times New Roman" w:hAnsi="Arial" w:cs="Arial"/>
          <w:sz w:val="20"/>
          <w:szCs w:val="20"/>
          <w:lang w:eastAsia="es-ES"/>
        </w:rPr>
      </w:pPr>
      <w:r w:rsidRPr="00C23AA4">
        <w:rPr>
          <w:rFonts w:ascii="Arial" w:eastAsia="Times New Roman" w:hAnsi="Arial" w:cs="Arial"/>
          <w:sz w:val="20"/>
          <w:szCs w:val="20"/>
          <w:lang w:eastAsia="es-ES"/>
        </w:rPr>
        <w:t>Como puede verse, el nombramiento de curador ad-litem y el emplazamiento por edicto de quien impide su notificación, solo procederá una vez agotada la citación por aviso de que trata el art. 29 del C.P.T. y de la S.S. (modificado por el artículo 16 de la Ley 712 de 2001), la cual se debe surtir bajo los términos y ritualidades del art. 292 del CGP.</w:t>
      </w:r>
    </w:p>
    <w:p w:rsidR="0079275F" w:rsidRPr="0079275F" w:rsidRDefault="0079275F" w:rsidP="0079275F">
      <w:pPr>
        <w:spacing w:line="240" w:lineRule="auto"/>
        <w:ind w:firstLine="0"/>
        <w:rPr>
          <w:rFonts w:ascii="Arial" w:eastAsia="Times New Roman" w:hAnsi="Arial" w:cs="Arial"/>
          <w:sz w:val="20"/>
          <w:szCs w:val="20"/>
          <w:lang w:eastAsia="es-ES"/>
        </w:rPr>
      </w:pPr>
    </w:p>
    <w:p w:rsidR="0079275F" w:rsidRPr="0079275F" w:rsidRDefault="0079275F" w:rsidP="0079275F">
      <w:pPr>
        <w:spacing w:line="240" w:lineRule="auto"/>
        <w:ind w:firstLine="0"/>
        <w:rPr>
          <w:rFonts w:ascii="Arial" w:eastAsia="Times New Roman" w:hAnsi="Arial" w:cs="Arial"/>
          <w:sz w:val="20"/>
          <w:szCs w:val="20"/>
          <w:lang w:eastAsia="es-ES"/>
        </w:rPr>
      </w:pPr>
    </w:p>
    <w:p w:rsidR="002976A4" w:rsidRPr="00306608" w:rsidRDefault="002976A4" w:rsidP="00CB0A57">
      <w:pPr>
        <w:ind w:left="2127" w:hanging="2127"/>
        <w:rPr>
          <w:rFonts w:ascii="Tahoma" w:hAnsi="Tahoma" w:cs="Tahoma"/>
          <w:sz w:val="18"/>
          <w:szCs w:val="18"/>
        </w:rPr>
      </w:pPr>
    </w:p>
    <w:p w:rsidR="002976A4" w:rsidRPr="00306608" w:rsidRDefault="002976A4" w:rsidP="002154BA">
      <w:pPr>
        <w:pStyle w:val="Ttulo4"/>
        <w:widowControl w:val="0"/>
        <w:tabs>
          <w:tab w:val="clear" w:pos="0"/>
        </w:tabs>
        <w:spacing w:line="300" w:lineRule="auto"/>
        <w:rPr>
          <w:rFonts w:ascii="Tahoma" w:hAnsi="Tahoma" w:cs="Tahoma"/>
          <w:bCs/>
          <w:szCs w:val="24"/>
          <w:lang w:eastAsia="es-MX"/>
        </w:rPr>
      </w:pPr>
      <w:r w:rsidRPr="00306608">
        <w:rPr>
          <w:rFonts w:ascii="Tahoma" w:hAnsi="Tahoma" w:cs="Tahoma"/>
          <w:bCs/>
          <w:szCs w:val="24"/>
          <w:lang w:eastAsia="es-MX"/>
        </w:rPr>
        <w:t>TRIBUNAL SUPERIOR DEL DISTRITO JUDICIAL DE PEREIRA</w:t>
      </w:r>
    </w:p>
    <w:p w:rsidR="002976A4" w:rsidRPr="00306608" w:rsidRDefault="002976A4" w:rsidP="002154BA">
      <w:pPr>
        <w:pStyle w:val="Ttulo4"/>
        <w:widowControl w:val="0"/>
        <w:tabs>
          <w:tab w:val="clear" w:pos="0"/>
        </w:tabs>
        <w:spacing w:line="300" w:lineRule="auto"/>
        <w:rPr>
          <w:rFonts w:ascii="Tahoma" w:hAnsi="Tahoma" w:cs="Tahoma"/>
          <w:bCs/>
          <w:szCs w:val="24"/>
          <w:lang w:eastAsia="es-MX"/>
        </w:rPr>
      </w:pPr>
      <w:r w:rsidRPr="00306608">
        <w:rPr>
          <w:rFonts w:ascii="Tahoma" w:hAnsi="Tahoma" w:cs="Tahoma"/>
          <w:bCs/>
          <w:szCs w:val="24"/>
          <w:lang w:eastAsia="es-MX"/>
        </w:rPr>
        <w:t>SALA LABORAL</w:t>
      </w:r>
    </w:p>
    <w:p w:rsidR="002976A4" w:rsidRPr="003822BF" w:rsidRDefault="002976A4" w:rsidP="002154BA">
      <w:pPr>
        <w:spacing w:line="300" w:lineRule="auto"/>
        <w:rPr>
          <w:sz w:val="20"/>
          <w:szCs w:val="20"/>
          <w:lang w:eastAsia="es-MX"/>
        </w:rPr>
      </w:pPr>
    </w:p>
    <w:p w:rsidR="002976A4" w:rsidRPr="00306608" w:rsidRDefault="002976A4" w:rsidP="002154BA">
      <w:pPr>
        <w:spacing w:line="300" w:lineRule="auto"/>
        <w:ind w:firstLine="0"/>
        <w:jc w:val="center"/>
        <w:rPr>
          <w:rFonts w:ascii="Tahoma" w:hAnsi="Tahoma" w:cs="Tahoma"/>
          <w:b/>
          <w:bCs/>
          <w:sz w:val="24"/>
          <w:szCs w:val="24"/>
        </w:rPr>
      </w:pPr>
      <w:r w:rsidRPr="00306608">
        <w:rPr>
          <w:rFonts w:ascii="Tahoma" w:hAnsi="Tahoma" w:cs="Tahoma"/>
          <w:bCs/>
          <w:sz w:val="24"/>
          <w:szCs w:val="24"/>
        </w:rPr>
        <w:t>Magistrada Ponente:</w:t>
      </w:r>
      <w:r w:rsidRPr="00306608">
        <w:rPr>
          <w:rFonts w:ascii="Tahoma" w:hAnsi="Tahoma" w:cs="Tahoma"/>
          <w:b/>
          <w:bCs/>
          <w:sz w:val="24"/>
          <w:szCs w:val="24"/>
        </w:rPr>
        <w:t xml:space="preserve"> Ana Lucía Caicedo Calderón</w:t>
      </w:r>
    </w:p>
    <w:p w:rsidR="002976A4" w:rsidRPr="003822BF" w:rsidRDefault="002976A4" w:rsidP="002154BA">
      <w:pPr>
        <w:spacing w:line="300" w:lineRule="auto"/>
        <w:jc w:val="center"/>
        <w:rPr>
          <w:rFonts w:ascii="Tahoma" w:hAnsi="Tahoma" w:cs="Tahoma"/>
          <w:b/>
          <w:sz w:val="20"/>
          <w:szCs w:val="20"/>
        </w:rPr>
      </w:pPr>
    </w:p>
    <w:p w:rsidR="002976A4" w:rsidRPr="00306608" w:rsidRDefault="002976A4" w:rsidP="002154BA">
      <w:pPr>
        <w:spacing w:line="300" w:lineRule="auto"/>
        <w:ind w:firstLine="0"/>
        <w:jc w:val="center"/>
        <w:rPr>
          <w:rFonts w:ascii="Tahoma" w:hAnsi="Tahoma" w:cs="Tahoma"/>
          <w:b/>
          <w:sz w:val="24"/>
          <w:szCs w:val="24"/>
        </w:rPr>
      </w:pPr>
      <w:r w:rsidRPr="00306608">
        <w:rPr>
          <w:rFonts w:ascii="Tahoma" w:hAnsi="Tahoma" w:cs="Tahoma"/>
          <w:b/>
          <w:sz w:val="24"/>
          <w:szCs w:val="24"/>
        </w:rPr>
        <w:t>Acta No. ____</w:t>
      </w:r>
    </w:p>
    <w:p w:rsidR="002976A4" w:rsidRPr="00306608" w:rsidRDefault="00CB0A57" w:rsidP="002154BA">
      <w:pPr>
        <w:spacing w:line="300" w:lineRule="auto"/>
        <w:ind w:firstLine="0"/>
        <w:jc w:val="center"/>
        <w:rPr>
          <w:rFonts w:ascii="Tahoma" w:hAnsi="Tahoma" w:cs="Tahoma"/>
          <w:b/>
          <w:sz w:val="24"/>
          <w:szCs w:val="24"/>
        </w:rPr>
      </w:pPr>
      <w:r>
        <w:rPr>
          <w:rFonts w:ascii="Tahoma" w:hAnsi="Tahoma" w:cs="Tahoma"/>
          <w:b/>
          <w:sz w:val="24"/>
          <w:szCs w:val="24"/>
        </w:rPr>
        <w:t>(Septiembre</w:t>
      </w:r>
      <w:r w:rsidR="002976A4" w:rsidRPr="00306608">
        <w:rPr>
          <w:rFonts w:ascii="Tahoma" w:hAnsi="Tahoma" w:cs="Tahoma"/>
          <w:b/>
          <w:sz w:val="24"/>
          <w:szCs w:val="24"/>
        </w:rPr>
        <w:t xml:space="preserve"> </w:t>
      </w:r>
      <w:r>
        <w:rPr>
          <w:rFonts w:ascii="Tahoma" w:hAnsi="Tahoma" w:cs="Tahoma"/>
          <w:b/>
          <w:sz w:val="24"/>
          <w:szCs w:val="24"/>
        </w:rPr>
        <w:t>2</w:t>
      </w:r>
      <w:r w:rsidR="005F621F">
        <w:rPr>
          <w:rFonts w:ascii="Tahoma" w:hAnsi="Tahoma" w:cs="Tahoma"/>
          <w:b/>
          <w:sz w:val="24"/>
          <w:szCs w:val="24"/>
        </w:rPr>
        <w:t>0</w:t>
      </w:r>
      <w:r>
        <w:rPr>
          <w:rFonts w:ascii="Tahoma" w:hAnsi="Tahoma" w:cs="Tahoma"/>
          <w:b/>
          <w:sz w:val="24"/>
          <w:szCs w:val="24"/>
        </w:rPr>
        <w:t xml:space="preserve"> de 2019</w:t>
      </w:r>
      <w:r w:rsidR="002976A4" w:rsidRPr="00306608">
        <w:rPr>
          <w:rFonts w:ascii="Tahoma" w:hAnsi="Tahoma" w:cs="Tahoma"/>
          <w:b/>
          <w:sz w:val="24"/>
          <w:szCs w:val="24"/>
        </w:rPr>
        <w:t>)</w:t>
      </w:r>
    </w:p>
    <w:p w:rsidR="002976A4" w:rsidRPr="003822BF" w:rsidRDefault="002976A4" w:rsidP="002154BA">
      <w:pPr>
        <w:spacing w:line="300" w:lineRule="auto"/>
        <w:ind w:firstLine="0"/>
        <w:rPr>
          <w:rFonts w:ascii="Tahoma" w:hAnsi="Tahoma" w:cs="Tahoma"/>
          <w:b/>
          <w:sz w:val="20"/>
          <w:szCs w:val="20"/>
        </w:rPr>
      </w:pPr>
    </w:p>
    <w:p w:rsidR="002976A4" w:rsidRDefault="002976A4" w:rsidP="002154BA">
      <w:pPr>
        <w:spacing w:line="300" w:lineRule="auto"/>
        <w:ind w:firstLine="0"/>
        <w:rPr>
          <w:rFonts w:ascii="Tahoma" w:hAnsi="Tahoma" w:cs="Tahoma"/>
          <w:sz w:val="24"/>
          <w:szCs w:val="24"/>
        </w:rPr>
      </w:pPr>
      <w:r w:rsidRPr="007341C1">
        <w:rPr>
          <w:rFonts w:ascii="Tahoma" w:hAnsi="Tahoma" w:cs="Tahoma"/>
          <w:b/>
          <w:sz w:val="24"/>
          <w:szCs w:val="24"/>
        </w:rPr>
        <w:tab/>
      </w:r>
      <w:r w:rsidRPr="007341C1">
        <w:rPr>
          <w:rFonts w:ascii="Tahoma" w:hAnsi="Tahoma" w:cs="Tahoma"/>
          <w:sz w:val="24"/>
          <w:szCs w:val="24"/>
        </w:rPr>
        <w:t>La ponente en este asunto, en uso de sus facultades constitucionales y legales, en especial las consagradas en el artículo 48 del C.P.T. y de la S.S. y 132 del C.G.P., luego de examinar detenidamente las actuaciones surtidas dentro del proceso,</w:t>
      </w:r>
      <w:r>
        <w:rPr>
          <w:rFonts w:ascii="Tahoma" w:hAnsi="Tahoma" w:cs="Tahoma"/>
          <w:sz w:val="24"/>
          <w:szCs w:val="24"/>
        </w:rPr>
        <w:t xml:space="preserve"> </w:t>
      </w:r>
      <w:r w:rsidRPr="007341C1">
        <w:rPr>
          <w:rFonts w:ascii="Tahoma" w:hAnsi="Tahoma" w:cs="Tahoma"/>
          <w:sz w:val="24"/>
          <w:szCs w:val="24"/>
        </w:rPr>
        <w:t xml:space="preserve">advierte que en primera instancia se configuró una irregularidad que no admite convalidación y frente a la cual sólo procede la declaración oficiosa y de </w:t>
      </w:r>
      <w:r w:rsidR="007A693D">
        <w:rPr>
          <w:rFonts w:ascii="Tahoma" w:hAnsi="Tahoma" w:cs="Tahoma"/>
          <w:sz w:val="24"/>
          <w:szCs w:val="24"/>
        </w:rPr>
        <w:t>todo lo actuado en el proceso</w:t>
      </w:r>
      <w:r w:rsidRPr="007341C1">
        <w:rPr>
          <w:rFonts w:ascii="Tahoma" w:hAnsi="Tahoma" w:cs="Tahoma"/>
          <w:sz w:val="24"/>
          <w:szCs w:val="24"/>
        </w:rPr>
        <w:t>, en virtud de los hechos que a continuación se pasan a explicar:</w:t>
      </w:r>
    </w:p>
    <w:p w:rsidR="003822BF" w:rsidRDefault="003822BF" w:rsidP="002154BA">
      <w:pPr>
        <w:spacing w:line="300" w:lineRule="auto"/>
        <w:ind w:firstLine="0"/>
        <w:rPr>
          <w:rFonts w:ascii="Tahoma" w:hAnsi="Tahoma" w:cs="Tahoma"/>
          <w:sz w:val="24"/>
          <w:szCs w:val="24"/>
        </w:rPr>
      </w:pPr>
    </w:p>
    <w:p w:rsidR="003822BF" w:rsidRPr="003822BF" w:rsidRDefault="003822BF" w:rsidP="002154BA">
      <w:pPr>
        <w:spacing w:line="300" w:lineRule="auto"/>
        <w:ind w:firstLine="0"/>
        <w:jc w:val="center"/>
        <w:rPr>
          <w:rFonts w:ascii="Tahoma" w:hAnsi="Tahoma" w:cs="Tahoma"/>
          <w:b/>
          <w:sz w:val="24"/>
          <w:szCs w:val="24"/>
        </w:rPr>
      </w:pPr>
      <w:r w:rsidRPr="003822BF">
        <w:rPr>
          <w:rFonts w:ascii="Tahoma" w:hAnsi="Tahoma" w:cs="Tahoma"/>
          <w:b/>
          <w:sz w:val="24"/>
          <w:szCs w:val="24"/>
        </w:rPr>
        <w:t>I - ANTECEDENTES</w:t>
      </w:r>
    </w:p>
    <w:p w:rsidR="00CB0A57" w:rsidRDefault="00CB0A57" w:rsidP="002154BA">
      <w:pPr>
        <w:spacing w:line="300" w:lineRule="auto"/>
        <w:ind w:firstLine="0"/>
        <w:rPr>
          <w:rFonts w:ascii="Tahoma" w:hAnsi="Tahoma" w:cs="Tahoma"/>
          <w:sz w:val="24"/>
          <w:szCs w:val="24"/>
        </w:rPr>
      </w:pPr>
    </w:p>
    <w:p w:rsidR="00CB0A57" w:rsidRDefault="00CB0A57" w:rsidP="002154BA">
      <w:pPr>
        <w:spacing w:line="300" w:lineRule="auto"/>
        <w:ind w:firstLine="0"/>
        <w:rPr>
          <w:rFonts w:ascii="Tahoma" w:hAnsi="Tahoma" w:cs="Tahoma"/>
          <w:sz w:val="24"/>
          <w:szCs w:val="24"/>
        </w:rPr>
      </w:pPr>
      <w:r>
        <w:rPr>
          <w:rFonts w:ascii="Tahoma" w:hAnsi="Tahoma" w:cs="Tahoma"/>
          <w:sz w:val="24"/>
          <w:szCs w:val="24"/>
        </w:rPr>
        <w:tab/>
      </w:r>
      <w:r w:rsidRPr="004739A6">
        <w:rPr>
          <w:rFonts w:ascii="Tahoma" w:hAnsi="Tahoma" w:cs="Tahoma"/>
          <w:b/>
          <w:sz w:val="24"/>
          <w:szCs w:val="24"/>
        </w:rPr>
        <w:t>1)</w:t>
      </w:r>
      <w:r>
        <w:rPr>
          <w:rFonts w:ascii="Tahoma" w:hAnsi="Tahoma" w:cs="Tahoma"/>
          <w:sz w:val="24"/>
          <w:szCs w:val="24"/>
        </w:rPr>
        <w:t xml:space="preserve"> Como se aprecia en el folio 63 del expediente, la parte actora remitió orden de citación para la notificación personal de la </w:t>
      </w:r>
      <w:r w:rsidR="004739A6">
        <w:rPr>
          <w:rFonts w:ascii="Tahoma" w:hAnsi="Tahoma" w:cs="Tahoma"/>
          <w:sz w:val="24"/>
          <w:szCs w:val="24"/>
        </w:rPr>
        <w:t>demandada</w:t>
      </w:r>
      <w:r>
        <w:rPr>
          <w:rFonts w:ascii="Tahoma" w:hAnsi="Tahoma" w:cs="Tahoma"/>
          <w:sz w:val="24"/>
          <w:szCs w:val="24"/>
        </w:rPr>
        <w:t xml:space="preserve"> a la Calle 128 No. 54-07 de</w:t>
      </w:r>
      <w:r w:rsidR="004739A6">
        <w:rPr>
          <w:rFonts w:ascii="Tahoma" w:hAnsi="Tahoma" w:cs="Tahoma"/>
          <w:sz w:val="24"/>
          <w:szCs w:val="24"/>
        </w:rPr>
        <w:t xml:space="preserve"> la ciudad de</w:t>
      </w:r>
      <w:r>
        <w:rPr>
          <w:rFonts w:ascii="Tahoma" w:hAnsi="Tahoma" w:cs="Tahoma"/>
          <w:sz w:val="24"/>
          <w:szCs w:val="24"/>
        </w:rPr>
        <w:t xml:space="preserve"> Bogotá D.C.</w:t>
      </w:r>
    </w:p>
    <w:p w:rsidR="004739A6" w:rsidRDefault="004739A6" w:rsidP="002154BA">
      <w:pPr>
        <w:spacing w:line="300" w:lineRule="auto"/>
        <w:ind w:firstLine="0"/>
        <w:rPr>
          <w:rFonts w:ascii="Tahoma" w:hAnsi="Tahoma" w:cs="Tahoma"/>
          <w:sz w:val="24"/>
          <w:szCs w:val="24"/>
        </w:rPr>
      </w:pPr>
    </w:p>
    <w:p w:rsidR="004739A6" w:rsidRDefault="004739A6" w:rsidP="002154BA">
      <w:pPr>
        <w:spacing w:line="300" w:lineRule="auto"/>
        <w:ind w:firstLine="0"/>
        <w:rPr>
          <w:rFonts w:ascii="Tahoma" w:hAnsi="Tahoma" w:cs="Tahoma"/>
          <w:sz w:val="24"/>
          <w:szCs w:val="24"/>
        </w:rPr>
      </w:pPr>
      <w:r>
        <w:rPr>
          <w:rFonts w:ascii="Tahoma" w:hAnsi="Tahoma" w:cs="Tahoma"/>
          <w:sz w:val="24"/>
          <w:szCs w:val="24"/>
        </w:rPr>
        <w:tab/>
      </w:r>
      <w:r w:rsidRPr="004739A6">
        <w:rPr>
          <w:rFonts w:ascii="Tahoma" w:hAnsi="Tahoma" w:cs="Tahoma"/>
          <w:b/>
          <w:sz w:val="24"/>
          <w:szCs w:val="24"/>
        </w:rPr>
        <w:t>2)</w:t>
      </w:r>
      <w:r>
        <w:rPr>
          <w:rFonts w:ascii="Tahoma" w:hAnsi="Tahoma" w:cs="Tahoma"/>
          <w:sz w:val="24"/>
          <w:szCs w:val="24"/>
        </w:rPr>
        <w:t xml:space="preserve"> En la comunicación se le advierte a la demandada que tiene cinco (5) días para concurrir al juzgado a efectos de notificarse del auto admisorio de la demanda que en su contra promueve la señora GLORIA GLADIS ESCOBAR.</w:t>
      </w:r>
    </w:p>
    <w:p w:rsidR="004739A6" w:rsidRDefault="004739A6" w:rsidP="002154BA">
      <w:pPr>
        <w:spacing w:line="300" w:lineRule="auto"/>
        <w:ind w:firstLine="0"/>
        <w:rPr>
          <w:rFonts w:ascii="Tahoma" w:hAnsi="Tahoma" w:cs="Tahoma"/>
          <w:sz w:val="24"/>
          <w:szCs w:val="24"/>
        </w:rPr>
      </w:pPr>
    </w:p>
    <w:p w:rsidR="004739A6" w:rsidRDefault="004739A6" w:rsidP="002154BA">
      <w:pPr>
        <w:spacing w:line="300" w:lineRule="auto"/>
        <w:ind w:firstLine="0"/>
        <w:rPr>
          <w:rFonts w:ascii="Tahoma" w:hAnsi="Tahoma" w:cs="Tahoma"/>
          <w:sz w:val="24"/>
          <w:szCs w:val="24"/>
        </w:rPr>
      </w:pPr>
      <w:r>
        <w:rPr>
          <w:rFonts w:ascii="Tahoma" w:hAnsi="Tahoma" w:cs="Tahoma"/>
          <w:sz w:val="24"/>
          <w:szCs w:val="24"/>
        </w:rPr>
        <w:tab/>
      </w:r>
      <w:r w:rsidRPr="004739A6">
        <w:rPr>
          <w:rFonts w:ascii="Tahoma" w:hAnsi="Tahoma" w:cs="Tahoma"/>
          <w:b/>
          <w:sz w:val="24"/>
          <w:szCs w:val="24"/>
        </w:rPr>
        <w:t>3)</w:t>
      </w:r>
      <w:r>
        <w:rPr>
          <w:rFonts w:ascii="Tahoma" w:hAnsi="Tahoma" w:cs="Tahoma"/>
          <w:sz w:val="24"/>
          <w:szCs w:val="24"/>
        </w:rPr>
        <w:t xml:space="preserve"> Según informe de gestión de la empresa de correos a la que se le encomendó la entrega de la citación, la demandada se rehusó a recibir el documento argumentando que el proceso no les correspondía</w:t>
      </w:r>
      <w:r w:rsidR="003822BF">
        <w:rPr>
          <w:rFonts w:ascii="Tahoma" w:hAnsi="Tahoma" w:cs="Tahoma"/>
          <w:sz w:val="24"/>
          <w:szCs w:val="24"/>
        </w:rPr>
        <w:t xml:space="preserve"> (</w:t>
      </w:r>
      <w:proofErr w:type="spellStart"/>
      <w:r w:rsidR="003822BF">
        <w:rPr>
          <w:rFonts w:ascii="Tahoma" w:hAnsi="Tahoma" w:cs="Tahoma"/>
          <w:sz w:val="24"/>
          <w:szCs w:val="24"/>
        </w:rPr>
        <w:t>Fl</w:t>
      </w:r>
      <w:proofErr w:type="spellEnd"/>
      <w:r w:rsidR="003822BF">
        <w:rPr>
          <w:rFonts w:ascii="Tahoma" w:hAnsi="Tahoma" w:cs="Tahoma"/>
          <w:sz w:val="24"/>
          <w:szCs w:val="24"/>
        </w:rPr>
        <w:t xml:space="preserve"> 65)</w:t>
      </w:r>
      <w:r>
        <w:rPr>
          <w:rFonts w:ascii="Tahoma" w:hAnsi="Tahoma" w:cs="Tahoma"/>
          <w:sz w:val="24"/>
          <w:szCs w:val="24"/>
        </w:rPr>
        <w:t>.</w:t>
      </w:r>
    </w:p>
    <w:p w:rsidR="004739A6" w:rsidRDefault="004739A6" w:rsidP="002154BA">
      <w:pPr>
        <w:spacing w:line="300" w:lineRule="auto"/>
        <w:ind w:firstLine="0"/>
        <w:rPr>
          <w:rFonts w:ascii="Tahoma" w:hAnsi="Tahoma" w:cs="Tahoma"/>
          <w:sz w:val="24"/>
          <w:szCs w:val="24"/>
        </w:rPr>
      </w:pPr>
    </w:p>
    <w:p w:rsidR="004739A6" w:rsidRDefault="004739A6" w:rsidP="002154BA">
      <w:pPr>
        <w:spacing w:line="300" w:lineRule="auto"/>
        <w:ind w:firstLine="0"/>
        <w:rPr>
          <w:rFonts w:ascii="Tahoma" w:hAnsi="Tahoma" w:cs="Tahoma"/>
          <w:sz w:val="24"/>
          <w:szCs w:val="24"/>
        </w:rPr>
      </w:pPr>
      <w:r>
        <w:rPr>
          <w:rFonts w:ascii="Tahoma" w:hAnsi="Tahoma" w:cs="Tahoma"/>
          <w:sz w:val="24"/>
          <w:szCs w:val="24"/>
        </w:rPr>
        <w:tab/>
      </w:r>
      <w:r w:rsidRPr="004739A6">
        <w:rPr>
          <w:rFonts w:ascii="Tahoma" w:hAnsi="Tahoma" w:cs="Tahoma"/>
          <w:b/>
          <w:sz w:val="24"/>
          <w:szCs w:val="24"/>
        </w:rPr>
        <w:t>4)</w:t>
      </w:r>
      <w:r>
        <w:rPr>
          <w:rFonts w:ascii="Tahoma" w:hAnsi="Tahoma" w:cs="Tahoma"/>
          <w:sz w:val="24"/>
          <w:szCs w:val="24"/>
        </w:rPr>
        <w:t xml:space="preserve"> Mediante auto del 8 de junio de 2017 (</w:t>
      </w:r>
      <w:proofErr w:type="spellStart"/>
      <w:r>
        <w:rPr>
          <w:rFonts w:ascii="Tahoma" w:hAnsi="Tahoma" w:cs="Tahoma"/>
          <w:sz w:val="24"/>
          <w:szCs w:val="24"/>
        </w:rPr>
        <w:t>Fl</w:t>
      </w:r>
      <w:proofErr w:type="spellEnd"/>
      <w:r>
        <w:rPr>
          <w:rFonts w:ascii="Tahoma" w:hAnsi="Tahoma" w:cs="Tahoma"/>
          <w:sz w:val="24"/>
          <w:szCs w:val="24"/>
        </w:rPr>
        <w:t xml:space="preserve">. 67), el juzgado de conocimiento designó curador ad-litem para la defensa de la demandada y dispuso su emplazamiento de conformidad con los artículos 108 y 293 del CGP. </w:t>
      </w:r>
    </w:p>
    <w:p w:rsidR="00CB0A57" w:rsidRDefault="00CB0A57" w:rsidP="002154BA">
      <w:pPr>
        <w:spacing w:line="300" w:lineRule="auto"/>
        <w:ind w:firstLine="0"/>
        <w:rPr>
          <w:rFonts w:ascii="Tahoma" w:hAnsi="Tahoma" w:cs="Tahoma"/>
          <w:sz w:val="24"/>
          <w:szCs w:val="24"/>
        </w:rPr>
      </w:pPr>
    </w:p>
    <w:p w:rsidR="003822BF" w:rsidRDefault="003822BF" w:rsidP="002154BA">
      <w:pPr>
        <w:spacing w:line="300" w:lineRule="auto"/>
        <w:ind w:firstLine="0"/>
        <w:rPr>
          <w:rFonts w:ascii="Tahoma" w:hAnsi="Tahoma" w:cs="Tahoma"/>
          <w:sz w:val="24"/>
          <w:szCs w:val="24"/>
        </w:rPr>
      </w:pPr>
      <w:r>
        <w:rPr>
          <w:rFonts w:ascii="Tahoma" w:hAnsi="Tahoma" w:cs="Tahoma"/>
          <w:sz w:val="24"/>
          <w:szCs w:val="24"/>
        </w:rPr>
        <w:tab/>
      </w:r>
      <w:r w:rsidRPr="003822BF">
        <w:rPr>
          <w:rFonts w:ascii="Tahoma" w:hAnsi="Tahoma" w:cs="Tahoma"/>
          <w:b/>
          <w:sz w:val="24"/>
          <w:szCs w:val="24"/>
        </w:rPr>
        <w:t>5)</w:t>
      </w:r>
      <w:r>
        <w:rPr>
          <w:rFonts w:ascii="Tahoma" w:hAnsi="Tahoma" w:cs="Tahoma"/>
          <w:b/>
          <w:sz w:val="24"/>
          <w:szCs w:val="24"/>
        </w:rPr>
        <w:t xml:space="preserve"> </w:t>
      </w:r>
      <w:r w:rsidRPr="003822BF">
        <w:rPr>
          <w:rFonts w:ascii="Tahoma" w:hAnsi="Tahoma" w:cs="Tahoma"/>
          <w:sz w:val="24"/>
          <w:szCs w:val="24"/>
        </w:rPr>
        <w:t>El 16 de julio de 2017, se publicó el emplazamiento en diario la República (</w:t>
      </w:r>
      <w:proofErr w:type="spellStart"/>
      <w:r w:rsidRPr="003822BF">
        <w:rPr>
          <w:rFonts w:ascii="Tahoma" w:hAnsi="Tahoma" w:cs="Tahoma"/>
          <w:sz w:val="24"/>
          <w:szCs w:val="24"/>
        </w:rPr>
        <w:t>Fl</w:t>
      </w:r>
      <w:proofErr w:type="spellEnd"/>
      <w:r w:rsidRPr="003822BF">
        <w:rPr>
          <w:rFonts w:ascii="Tahoma" w:hAnsi="Tahoma" w:cs="Tahoma"/>
          <w:sz w:val="24"/>
          <w:szCs w:val="24"/>
        </w:rPr>
        <w:t xml:space="preserve">. 69) y el 20 de agosto de 2017, la curadora designada dio respuesta a la demanda en representación de la </w:t>
      </w:r>
      <w:proofErr w:type="spellStart"/>
      <w:r w:rsidRPr="003822BF">
        <w:rPr>
          <w:rFonts w:ascii="Tahoma" w:hAnsi="Tahoma" w:cs="Tahoma"/>
          <w:sz w:val="24"/>
          <w:szCs w:val="24"/>
        </w:rPr>
        <w:t>IPS</w:t>
      </w:r>
      <w:proofErr w:type="spellEnd"/>
      <w:r w:rsidRPr="003822BF">
        <w:rPr>
          <w:rFonts w:ascii="Tahoma" w:hAnsi="Tahoma" w:cs="Tahoma"/>
          <w:sz w:val="24"/>
          <w:szCs w:val="24"/>
        </w:rPr>
        <w:t xml:space="preserve"> demandada.</w:t>
      </w:r>
    </w:p>
    <w:p w:rsidR="003822BF" w:rsidRDefault="003822BF" w:rsidP="002154BA">
      <w:pPr>
        <w:spacing w:line="300" w:lineRule="auto"/>
        <w:ind w:firstLine="0"/>
        <w:rPr>
          <w:rFonts w:ascii="Tahoma" w:hAnsi="Tahoma" w:cs="Tahoma"/>
          <w:sz w:val="24"/>
          <w:szCs w:val="24"/>
        </w:rPr>
      </w:pPr>
    </w:p>
    <w:p w:rsidR="003822BF" w:rsidRDefault="003822BF" w:rsidP="002154BA">
      <w:pPr>
        <w:spacing w:line="300" w:lineRule="auto"/>
        <w:ind w:firstLine="0"/>
        <w:rPr>
          <w:rFonts w:ascii="Tahoma" w:hAnsi="Tahoma" w:cs="Tahoma"/>
          <w:sz w:val="24"/>
          <w:szCs w:val="24"/>
        </w:rPr>
      </w:pPr>
      <w:r>
        <w:rPr>
          <w:rFonts w:ascii="Tahoma" w:hAnsi="Tahoma" w:cs="Tahoma"/>
          <w:sz w:val="24"/>
          <w:szCs w:val="24"/>
        </w:rPr>
        <w:tab/>
      </w:r>
      <w:r w:rsidRPr="003822BF">
        <w:rPr>
          <w:rFonts w:ascii="Tahoma" w:hAnsi="Tahoma" w:cs="Tahoma"/>
          <w:b/>
          <w:sz w:val="24"/>
          <w:szCs w:val="24"/>
        </w:rPr>
        <w:t>6)</w:t>
      </w:r>
      <w:r>
        <w:rPr>
          <w:rFonts w:ascii="Tahoma" w:hAnsi="Tahoma" w:cs="Tahoma"/>
          <w:sz w:val="24"/>
          <w:szCs w:val="24"/>
        </w:rPr>
        <w:t xml:space="preserve"> Agotadas todas las etapas del proceso Ordinario Laboral en primera instancia, se dictó sentencia el 18 de agosto de 2018 (</w:t>
      </w:r>
      <w:proofErr w:type="spellStart"/>
      <w:r>
        <w:rPr>
          <w:rFonts w:ascii="Tahoma" w:hAnsi="Tahoma" w:cs="Tahoma"/>
          <w:sz w:val="24"/>
          <w:szCs w:val="24"/>
        </w:rPr>
        <w:t>Fls</w:t>
      </w:r>
      <w:proofErr w:type="spellEnd"/>
      <w:r>
        <w:rPr>
          <w:rFonts w:ascii="Tahoma" w:hAnsi="Tahoma" w:cs="Tahoma"/>
          <w:sz w:val="24"/>
          <w:szCs w:val="24"/>
        </w:rPr>
        <w:t xml:space="preserve">. 85 y 86), en la que se impuso condena a la </w:t>
      </w:r>
      <w:proofErr w:type="spellStart"/>
      <w:r>
        <w:rPr>
          <w:rFonts w:ascii="Tahoma" w:hAnsi="Tahoma" w:cs="Tahoma"/>
          <w:sz w:val="24"/>
          <w:szCs w:val="24"/>
        </w:rPr>
        <w:t>IPS</w:t>
      </w:r>
      <w:proofErr w:type="spellEnd"/>
      <w:r>
        <w:rPr>
          <w:rFonts w:ascii="Tahoma" w:hAnsi="Tahoma" w:cs="Tahoma"/>
          <w:sz w:val="24"/>
          <w:szCs w:val="24"/>
        </w:rPr>
        <w:t xml:space="preserve"> demandada.</w:t>
      </w:r>
    </w:p>
    <w:p w:rsidR="003822BF" w:rsidRDefault="003822BF" w:rsidP="002154BA">
      <w:pPr>
        <w:spacing w:line="300" w:lineRule="auto"/>
        <w:ind w:firstLine="0"/>
        <w:rPr>
          <w:rFonts w:ascii="Tahoma" w:hAnsi="Tahoma" w:cs="Tahoma"/>
          <w:sz w:val="24"/>
          <w:szCs w:val="24"/>
        </w:rPr>
      </w:pPr>
    </w:p>
    <w:p w:rsidR="003822BF" w:rsidRDefault="003822BF" w:rsidP="002154BA">
      <w:pPr>
        <w:spacing w:line="300" w:lineRule="auto"/>
        <w:ind w:firstLine="0"/>
        <w:rPr>
          <w:rFonts w:ascii="Tahoma" w:hAnsi="Tahoma" w:cs="Tahoma"/>
          <w:sz w:val="24"/>
          <w:szCs w:val="24"/>
        </w:rPr>
      </w:pPr>
      <w:r>
        <w:rPr>
          <w:rFonts w:ascii="Tahoma" w:hAnsi="Tahoma" w:cs="Tahoma"/>
          <w:sz w:val="24"/>
          <w:szCs w:val="24"/>
        </w:rPr>
        <w:tab/>
      </w:r>
      <w:r w:rsidRPr="003822BF">
        <w:rPr>
          <w:rFonts w:ascii="Tahoma" w:hAnsi="Tahoma" w:cs="Tahoma"/>
          <w:b/>
          <w:sz w:val="24"/>
          <w:szCs w:val="24"/>
        </w:rPr>
        <w:t xml:space="preserve">7) </w:t>
      </w:r>
      <w:r w:rsidRPr="003822BF">
        <w:rPr>
          <w:rFonts w:ascii="Tahoma" w:hAnsi="Tahoma" w:cs="Tahoma"/>
          <w:sz w:val="24"/>
          <w:szCs w:val="24"/>
        </w:rPr>
        <w:t>Contra la decisión de primera instancia interpuso recurso de apelación la parte actora, solicitando, básicamente, que en sede de apelaciones se revoque la decisión de absolver del pago de costas a la demandada.</w:t>
      </w:r>
    </w:p>
    <w:p w:rsidR="00A9134C" w:rsidRDefault="00A9134C" w:rsidP="002154BA">
      <w:pPr>
        <w:spacing w:line="300" w:lineRule="auto"/>
        <w:ind w:firstLine="0"/>
        <w:rPr>
          <w:rFonts w:ascii="Tahoma" w:hAnsi="Tahoma" w:cs="Tahoma"/>
          <w:sz w:val="24"/>
          <w:szCs w:val="24"/>
        </w:rPr>
      </w:pPr>
    </w:p>
    <w:p w:rsidR="00A9134C" w:rsidRPr="00A9134C" w:rsidRDefault="00A9134C" w:rsidP="002154BA">
      <w:pPr>
        <w:spacing w:line="300" w:lineRule="auto"/>
        <w:ind w:firstLine="0"/>
        <w:jc w:val="center"/>
        <w:rPr>
          <w:rFonts w:ascii="Tahoma" w:hAnsi="Tahoma" w:cs="Tahoma"/>
          <w:b/>
          <w:sz w:val="24"/>
          <w:szCs w:val="24"/>
        </w:rPr>
      </w:pPr>
      <w:r w:rsidRPr="00A9134C">
        <w:rPr>
          <w:rFonts w:ascii="Tahoma" w:hAnsi="Tahoma" w:cs="Tahoma"/>
          <w:b/>
          <w:sz w:val="24"/>
          <w:szCs w:val="24"/>
        </w:rPr>
        <w:t>II – CONSIDERACIONES</w:t>
      </w:r>
    </w:p>
    <w:p w:rsidR="00A9134C" w:rsidRPr="0004603E" w:rsidRDefault="00A9134C" w:rsidP="002154BA">
      <w:pPr>
        <w:spacing w:line="300" w:lineRule="auto"/>
        <w:ind w:firstLine="0"/>
        <w:jc w:val="center"/>
        <w:rPr>
          <w:rFonts w:ascii="Tahoma" w:hAnsi="Tahoma" w:cs="Tahoma"/>
          <w:b/>
          <w:sz w:val="24"/>
          <w:szCs w:val="24"/>
        </w:rPr>
      </w:pPr>
    </w:p>
    <w:p w:rsidR="00A9134C" w:rsidRPr="00A9134C" w:rsidRDefault="00A9134C" w:rsidP="002154BA">
      <w:pPr>
        <w:widowControl w:val="0"/>
        <w:spacing w:line="300" w:lineRule="auto"/>
        <w:jc w:val="center"/>
        <w:rPr>
          <w:rFonts w:ascii="Tahoma" w:hAnsi="Tahoma" w:cs="Tahoma"/>
          <w:b/>
          <w:sz w:val="24"/>
          <w:szCs w:val="24"/>
          <w:lang w:val="es-MX"/>
        </w:rPr>
      </w:pPr>
      <w:r w:rsidRPr="00A9134C">
        <w:rPr>
          <w:rFonts w:ascii="Tahoma" w:hAnsi="Tahoma" w:cs="Tahoma"/>
          <w:b/>
          <w:sz w:val="24"/>
          <w:szCs w:val="24"/>
        </w:rPr>
        <w:t xml:space="preserve">2.1. </w:t>
      </w:r>
      <w:r w:rsidRPr="00A9134C">
        <w:rPr>
          <w:rFonts w:ascii="Tahoma" w:hAnsi="Tahoma" w:cs="Tahoma"/>
          <w:b/>
          <w:sz w:val="24"/>
          <w:szCs w:val="24"/>
          <w:lang w:val="es-MX"/>
        </w:rPr>
        <w:t xml:space="preserve">RÉGIMEN DE NULIDADES PROCESALES EN MATERIA LABORAL </w:t>
      </w:r>
    </w:p>
    <w:p w:rsidR="00A9134C" w:rsidRPr="00F66BE4" w:rsidRDefault="00A9134C" w:rsidP="002154BA">
      <w:pPr>
        <w:spacing w:line="300" w:lineRule="auto"/>
        <w:ind w:firstLine="0"/>
        <w:rPr>
          <w:rFonts w:ascii="Tahoma" w:hAnsi="Tahoma" w:cs="Tahoma"/>
          <w:b/>
          <w:sz w:val="24"/>
          <w:szCs w:val="24"/>
        </w:rPr>
      </w:pPr>
    </w:p>
    <w:p w:rsidR="00A9134C" w:rsidRPr="00A9134C" w:rsidRDefault="00A9134C" w:rsidP="002154BA">
      <w:pPr>
        <w:widowControl w:val="0"/>
        <w:spacing w:line="300" w:lineRule="auto"/>
        <w:ind w:firstLine="708"/>
        <w:rPr>
          <w:rFonts w:ascii="Tahoma" w:hAnsi="Tahoma" w:cs="Tahoma"/>
          <w:sz w:val="24"/>
          <w:szCs w:val="24"/>
          <w:lang w:val="es-MX"/>
        </w:rPr>
      </w:pPr>
      <w:r w:rsidRPr="00A9134C">
        <w:rPr>
          <w:rFonts w:ascii="Tahoma" w:hAnsi="Tahoma" w:cs="Tahoma"/>
          <w:sz w:val="24"/>
          <w:szCs w:val="24"/>
          <w:lang w:val="es-MX"/>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rsidR="00A9134C" w:rsidRPr="00F66BE4" w:rsidRDefault="00A9134C" w:rsidP="002154BA">
      <w:pPr>
        <w:widowControl w:val="0"/>
        <w:spacing w:line="300" w:lineRule="auto"/>
        <w:ind w:firstLine="708"/>
        <w:rPr>
          <w:rFonts w:ascii="Tahoma" w:hAnsi="Tahoma" w:cs="Tahoma"/>
          <w:sz w:val="24"/>
          <w:szCs w:val="24"/>
          <w:lang w:val="es-MX"/>
        </w:rPr>
      </w:pPr>
    </w:p>
    <w:p w:rsidR="00A9134C" w:rsidRPr="00A9134C" w:rsidRDefault="00A9134C" w:rsidP="002154BA">
      <w:pPr>
        <w:widowControl w:val="0"/>
        <w:spacing w:line="300" w:lineRule="auto"/>
        <w:ind w:firstLine="708"/>
        <w:rPr>
          <w:rFonts w:ascii="Tahoma" w:hAnsi="Tahoma" w:cs="Tahoma"/>
          <w:sz w:val="24"/>
          <w:szCs w:val="24"/>
          <w:lang w:val="es-MX"/>
        </w:rPr>
      </w:pPr>
      <w:r w:rsidRPr="00A9134C">
        <w:rPr>
          <w:rFonts w:ascii="Tahoma" w:hAnsi="Tahoma" w:cs="Tahoma"/>
          <w:sz w:val="24"/>
          <w:szCs w:val="24"/>
          <w:lang w:val="es-MX"/>
        </w:rPr>
        <w:t xml:space="preserve">No obstante lo anterior, con la entrada en vigencia de la Ley </w:t>
      </w:r>
      <w:r>
        <w:rPr>
          <w:rFonts w:ascii="Tahoma" w:hAnsi="Tahoma" w:cs="Tahoma"/>
          <w:sz w:val="24"/>
          <w:szCs w:val="24"/>
          <w:u w:val="single"/>
          <w:lang w:val="es-MX"/>
        </w:rPr>
        <w:t>1564/</w:t>
      </w:r>
      <w:r w:rsidRPr="00A9134C">
        <w:rPr>
          <w:rFonts w:ascii="Tahoma" w:hAnsi="Tahoma" w:cs="Tahoma"/>
          <w:sz w:val="24"/>
          <w:szCs w:val="24"/>
          <w:u w:val="single"/>
          <w:lang w:val="es-MX"/>
        </w:rPr>
        <w:t>2012</w:t>
      </w:r>
      <w:r w:rsidRPr="00A9134C">
        <w:rPr>
          <w:rFonts w:ascii="Tahoma" w:hAnsi="Tahoma" w:cs="Tahoma"/>
          <w:sz w:val="24"/>
          <w:szCs w:val="24"/>
          <w:lang w:val="es-MX"/>
        </w:rPr>
        <w:t xml:space="preserve">, </w:t>
      </w:r>
      <w:r w:rsidRPr="00A9134C">
        <w:rPr>
          <w:rFonts w:ascii="Arial Narrow" w:hAnsi="Arial Narrow" w:cs="Arial Hebrew"/>
          <w:i/>
          <w:sz w:val="24"/>
          <w:szCs w:val="24"/>
          <w:lang w:val="es-MX"/>
        </w:rPr>
        <w:t>“</w:t>
      </w:r>
      <w:r w:rsidRPr="00A9134C">
        <w:rPr>
          <w:rFonts w:ascii="Arial Narrow" w:eastAsia="Calibri" w:hAnsi="Arial Narrow" w:cs="Calibri"/>
          <w:i/>
          <w:sz w:val="24"/>
          <w:szCs w:val="24"/>
          <w:lang w:val="es-MX"/>
        </w:rPr>
        <w:t>por</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medio</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de</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la</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cual</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se</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expide</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el</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Código</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General</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del</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Proceso</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y</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se</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dictan</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otras</w:t>
      </w:r>
      <w:r w:rsidRPr="00A9134C">
        <w:rPr>
          <w:rFonts w:ascii="Arial Narrow" w:hAnsi="Arial Narrow" w:cs="Arial Hebrew"/>
          <w:i/>
          <w:sz w:val="24"/>
          <w:szCs w:val="24"/>
          <w:lang w:val="es-MX"/>
        </w:rPr>
        <w:t xml:space="preserve"> </w:t>
      </w:r>
      <w:r w:rsidRPr="00A9134C">
        <w:rPr>
          <w:rFonts w:ascii="Arial Narrow" w:eastAsia="Calibri" w:hAnsi="Arial Narrow" w:cs="Calibri"/>
          <w:i/>
          <w:sz w:val="24"/>
          <w:szCs w:val="24"/>
          <w:lang w:val="es-MX"/>
        </w:rPr>
        <w:t>disposiciones</w:t>
      </w:r>
      <w:r w:rsidRPr="00A9134C">
        <w:rPr>
          <w:rFonts w:ascii="Arial Narrow" w:hAnsi="Arial Narrow" w:cs="Arial Hebrew"/>
          <w:i/>
          <w:sz w:val="24"/>
          <w:szCs w:val="24"/>
          <w:lang w:val="es-MX"/>
        </w:rPr>
        <w:t>”</w:t>
      </w:r>
      <w:r w:rsidRPr="00A9134C">
        <w:rPr>
          <w:rFonts w:ascii="Tahoma" w:hAnsi="Tahoma" w:cs="Tahoma"/>
          <w:sz w:val="24"/>
          <w:szCs w:val="24"/>
          <w:lang w:val="es-MX"/>
        </w:rPr>
        <w:t xml:space="preserve">, se estableció que dicho código debe aplicarse al proceso laboral en todo aquello que no </w:t>
      </w:r>
      <w:r w:rsidRPr="00A9134C">
        <w:rPr>
          <w:rFonts w:ascii="Tahoma" w:hAnsi="Tahoma" w:cs="Tahoma"/>
          <w:sz w:val="24"/>
          <w:szCs w:val="24"/>
          <w:lang w:val="es-MX"/>
        </w:rPr>
        <w:lastRenderedPageBreak/>
        <w:t>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p>
    <w:p w:rsidR="00A9134C" w:rsidRPr="00F66BE4" w:rsidRDefault="00A9134C" w:rsidP="002154BA">
      <w:pPr>
        <w:widowControl w:val="0"/>
        <w:spacing w:line="300" w:lineRule="auto"/>
        <w:ind w:firstLine="708"/>
        <w:rPr>
          <w:rFonts w:ascii="Tahoma" w:hAnsi="Tahoma" w:cs="Tahoma"/>
          <w:sz w:val="24"/>
          <w:szCs w:val="24"/>
          <w:lang w:val="es-MX"/>
        </w:rPr>
      </w:pPr>
    </w:p>
    <w:p w:rsidR="00A9134C" w:rsidRPr="00A9134C" w:rsidRDefault="00A9134C" w:rsidP="002154BA">
      <w:pPr>
        <w:widowControl w:val="0"/>
        <w:spacing w:line="300" w:lineRule="auto"/>
        <w:ind w:firstLine="708"/>
        <w:rPr>
          <w:rFonts w:ascii="Tahoma" w:hAnsi="Tahoma" w:cs="Tahoma"/>
          <w:sz w:val="24"/>
          <w:szCs w:val="24"/>
          <w:lang w:eastAsia="es-ES_tradnl"/>
        </w:rPr>
      </w:pPr>
      <w:r w:rsidRPr="00A9134C">
        <w:rPr>
          <w:rFonts w:ascii="Tahoma" w:hAnsi="Tahoma" w:cs="Tahoma"/>
          <w:sz w:val="24"/>
          <w:szCs w:val="24"/>
          <w:lang w:val="es-MX"/>
        </w:rPr>
        <w:t xml:space="preserve">Aclarado lo anterior, cabe advertir que el régimen de nulidades dispuesto en el CGP, tiene un carácter excepcional y taxativo, al punto que las únicas nulidades insaneables, según lo dispuesto por el parágrafo del artículo 136 ídem, son aquellas que se configuran </w:t>
      </w:r>
      <w:r w:rsidRPr="00A9134C">
        <w:rPr>
          <w:rFonts w:ascii="Tahoma" w:hAnsi="Tahoma" w:cs="Tahoma"/>
          <w:sz w:val="24"/>
          <w:szCs w:val="24"/>
          <w:lang w:eastAsia="es-ES_tradnl"/>
        </w:rPr>
        <w:t>por el juez proceder contra providencia ejecutoriada del superior, revivir un proceso legalmente concluido o pretermitir íntegramente la respectiva instancia. Las demás nulidades, conforme al mismo artículo, se sanean 1) cuando la parte que podía alegarla no lo hizo oportunamente o actuó sin proponerla, 2) cuando la parte que podía alegarla la convalidó en forma expresa antes de haber sid</w:t>
      </w:r>
      <w:r>
        <w:rPr>
          <w:rFonts w:ascii="Tahoma" w:hAnsi="Tahoma" w:cs="Tahoma"/>
          <w:sz w:val="24"/>
          <w:szCs w:val="24"/>
          <w:lang w:eastAsia="es-ES_tradnl"/>
        </w:rPr>
        <w:t>o renovada la actuación anulada,</w:t>
      </w:r>
      <w:r w:rsidRPr="00A9134C">
        <w:rPr>
          <w:rFonts w:ascii="Tahoma" w:hAnsi="Tahoma" w:cs="Tahoma"/>
          <w:sz w:val="24"/>
          <w:szCs w:val="24"/>
          <w:lang w:eastAsia="es-ES_tradnl"/>
        </w:rPr>
        <w:t xml:space="preserve"> 3)</w:t>
      </w:r>
      <w:r w:rsidRPr="00A9134C">
        <w:rPr>
          <w:rFonts w:ascii="Tahoma" w:hAnsi="Tahoma" w:cs="Tahoma"/>
          <w:b/>
          <w:sz w:val="24"/>
          <w:szCs w:val="24"/>
          <w:lang w:eastAsia="es-ES_tradnl"/>
        </w:rPr>
        <w:t xml:space="preserve"> </w:t>
      </w:r>
      <w:r w:rsidRPr="00A9134C">
        <w:rPr>
          <w:rFonts w:ascii="Tahoma" w:hAnsi="Tahoma" w:cs="Tahoma"/>
          <w:sz w:val="24"/>
          <w:szCs w:val="24"/>
          <w:lang w:eastAsia="es-ES_tradnl"/>
        </w:rPr>
        <w:t>cuando se origine en la interrupción o suspensión del proceso y no</w:t>
      </w:r>
      <w:r>
        <w:rPr>
          <w:rFonts w:ascii="Tahoma" w:hAnsi="Tahoma" w:cs="Tahoma"/>
          <w:sz w:val="24"/>
          <w:szCs w:val="24"/>
          <w:lang w:eastAsia="es-ES_tradnl"/>
        </w:rPr>
        <w:t xml:space="preserve"> se alegue dentro de los 5</w:t>
      </w:r>
      <w:r w:rsidRPr="00A9134C">
        <w:rPr>
          <w:rFonts w:ascii="Tahoma" w:hAnsi="Tahoma" w:cs="Tahoma"/>
          <w:sz w:val="24"/>
          <w:szCs w:val="24"/>
          <w:lang w:eastAsia="es-ES_tradnl"/>
        </w:rPr>
        <w:t xml:space="preserve"> días siguientes a la fecha en que haya cesado la causa</w:t>
      </w:r>
      <w:r>
        <w:rPr>
          <w:rFonts w:ascii="Tahoma" w:hAnsi="Tahoma" w:cs="Tahoma"/>
          <w:sz w:val="24"/>
          <w:szCs w:val="24"/>
          <w:lang w:eastAsia="es-ES_tradnl"/>
        </w:rPr>
        <w:t xml:space="preserve"> y</w:t>
      </w:r>
      <w:r w:rsidRPr="00A9134C">
        <w:rPr>
          <w:rFonts w:ascii="Tahoma" w:hAnsi="Tahoma" w:cs="Tahoma"/>
          <w:b/>
          <w:sz w:val="24"/>
          <w:szCs w:val="24"/>
          <w:lang w:eastAsia="es-ES_tradnl"/>
        </w:rPr>
        <w:t xml:space="preserve"> </w:t>
      </w:r>
      <w:r w:rsidRPr="00A9134C">
        <w:rPr>
          <w:rFonts w:ascii="Tahoma" w:hAnsi="Tahoma" w:cs="Tahoma"/>
          <w:sz w:val="24"/>
          <w:szCs w:val="24"/>
          <w:lang w:eastAsia="es-ES_tradnl"/>
        </w:rPr>
        <w:t>4)</w:t>
      </w:r>
      <w:r w:rsidRPr="00A9134C">
        <w:rPr>
          <w:rFonts w:ascii="Tahoma" w:hAnsi="Tahoma" w:cs="Tahoma"/>
          <w:b/>
          <w:sz w:val="24"/>
          <w:szCs w:val="24"/>
          <w:lang w:eastAsia="es-ES_tradnl"/>
        </w:rPr>
        <w:t xml:space="preserve"> </w:t>
      </w:r>
      <w:r w:rsidRPr="00A9134C">
        <w:rPr>
          <w:rFonts w:ascii="Tahoma" w:hAnsi="Tahoma" w:cs="Tahoma"/>
          <w:sz w:val="24"/>
          <w:szCs w:val="24"/>
          <w:lang w:eastAsia="es-ES_tradnl"/>
        </w:rPr>
        <w:t xml:space="preserve">cuando a pesar del vicio el acto procesal </w:t>
      </w:r>
      <w:r>
        <w:rPr>
          <w:rFonts w:ascii="Tahoma" w:hAnsi="Tahoma" w:cs="Tahoma"/>
          <w:sz w:val="24"/>
          <w:szCs w:val="24"/>
          <w:lang w:eastAsia="es-ES_tradnl"/>
        </w:rPr>
        <w:t>cumplió</w:t>
      </w:r>
      <w:r w:rsidRPr="00A9134C">
        <w:rPr>
          <w:rFonts w:ascii="Tahoma" w:hAnsi="Tahoma" w:cs="Tahoma"/>
          <w:sz w:val="24"/>
          <w:szCs w:val="24"/>
          <w:lang w:eastAsia="es-ES_tradnl"/>
        </w:rPr>
        <w:t xml:space="preserve"> su finalidad y no se violó el derecho de defensa.</w:t>
      </w:r>
    </w:p>
    <w:p w:rsidR="00A9134C" w:rsidRPr="00F66BE4" w:rsidRDefault="00A9134C" w:rsidP="002154BA">
      <w:pPr>
        <w:widowControl w:val="0"/>
        <w:spacing w:line="300" w:lineRule="auto"/>
        <w:ind w:firstLine="708"/>
        <w:rPr>
          <w:rFonts w:ascii="Tahoma" w:hAnsi="Tahoma" w:cs="Tahoma"/>
          <w:sz w:val="24"/>
          <w:szCs w:val="24"/>
          <w:lang w:eastAsia="es-ES_tradnl"/>
        </w:rPr>
      </w:pPr>
    </w:p>
    <w:p w:rsidR="00A9134C" w:rsidRPr="00A9134C" w:rsidRDefault="00A9134C" w:rsidP="002154BA">
      <w:pPr>
        <w:widowControl w:val="0"/>
        <w:spacing w:line="300" w:lineRule="auto"/>
        <w:ind w:firstLine="708"/>
        <w:jc w:val="center"/>
        <w:rPr>
          <w:rFonts w:ascii="Tahoma" w:hAnsi="Tahoma" w:cs="Tahoma"/>
          <w:b/>
          <w:sz w:val="24"/>
          <w:szCs w:val="24"/>
          <w:lang w:eastAsia="es-ES_tradnl"/>
        </w:rPr>
      </w:pPr>
      <w:r w:rsidRPr="00A9134C">
        <w:rPr>
          <w:rFonts w:ascii="Tahoma" w:hAnsi="Tahoma" w:cs="Tahoma"/>
          <w:b/>
          <w:sz w:val="24"/>
          <w:szCs w:val="24"/>
          <w:lang w:eastAsia="es-ES_tradnl"/>
        </w:rPr>
        <w:t>2.2. NULIDAD POR INDEBIDA NOTIFICACIÓN Y POR FALTA DE CITACIÓN DEL MINISTERIO PÚBLICO O DE CUALQUIER OTRA PERSONA O ENTIDAD QUE DE ACUERDO CON LA LEY DEBIÓ SER CITADA</w:t>
      </w:r>
    </w:p>
    <w:p w:rsidR="00A9134C" w:rsidRPr="0004603E" w:rsidRDefault="00A9134C" w:rsidP="002154BA">
      <w:pPr>
        <w:widowControl w:val="0"/>
        <w:spacing w:line="300" w:lineRule="auto"/>
        <w:ind w:firstLine="708"/>
        <w:jc w:val="center"/>
        <w:rPr>
          <w:rFonts w:ascii="Tahoma" w:hAnsi="Tahoma" w:cs="Tahoma"/>
          <w:b/>
          <w:sz w:val="24"/>
          <w:szCs w:val="24"/>
          <w:lang w:eastAsia="es-ES_tradnl"/>
        </w:rPr>
      </w:pPr>
    </w:p>
    <w:p w:rsidR="00A9134C" w:rsidRPr="00A9134C" w:rsidRDefault="00A9134C" w:rsidP="002154BA">
      <w:pPr>
        <w:widowControl w:val="0"/>
        <w:spacing w:line="300" w:lineRule="auto"/>
        <w:ind w:firstLine="708"/>
        <w:rPr>
          <w:rFonts w:ascii="Tahoma" w:hAnsi="Tahoma" w:cs="Tahoma"/>
          <w:sz w:val="24"/>
          <w:szCs w:val="24"/>
          <w:lang w:eastAsia="es-ES_tradnl"/>
        </w:rPr>
      </w:pPr>
      <w:r w:rsidRPr="00A9134C">
        <w:rPr>
          <w:rFonts w:ascii="Tahoma" w:hAnsi="Tahoma" w:cs="Tahoma"/>
          <w:sz w:val="24"/>
          <w:szCs w:val="24"/>
          <w:lang w:eastAsia="es-ES_tradnl"/>
        </w:rPr>
        <w:t>Se estable en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w:t>
      </w:r>
      <w:r w:rsidR="00F66BE4">
        <w:rPr>
          <w:rFonts w:ascii="Tahoma" w:hAnsi="Tahoma" w:cs="Tahoma"/>
          <w:sz w:val="24"/>
          <w:szCs w:val="24"/>
          <w:lang w:eastAsia="es-ES_tradnl"/>
        </w:rPr>
        <w:t>e las partes, cuando la ley así</w:t>
      </w:r>
      <w:r w:rsidRPr="00A9134C">
        <w:rPr>
          <w:rFonts w:ascii="Tahoma" w:hAnsi="Tahoma" w:cs="Tahoma"/>
          <w:sz w:val="24"/>
          <w:szCs w:val="24"/>
          <w:lang w:eastAsia="es-ES_tradnl"/>
        </w:rPr>
        <w:t xml:space="preserve"> lo ordena, o cuando no se cita en debida forma al Ministerio Público o a cualquier otra persona o entidad que de acuerdo con la ley de</w:t>
      </w:r>
      <w:r w:rsidR="00F66BE4">
        <w:rPr>
          <w:rFonts w:ascii="Tahoma" w:hAnsi="Tahoma" w:cs="Tahoma"/>
          <w:sz w:val="24"/>
          <w:szCs w:val="24"/>
          <w:lang w:eastAsia="es-ES_tradnl"/>
        </w:rPr>
        <w:t>bió</w:t>
      </w:r>
      <w:r w:rsidRPr="00A9134C">
        <w:rPr>
          <w:rFonts w:ascii="Tahoma" w:hAnsi="Tahoma" w:cs="Tahoma"/>
          <w:sz w:val="24"/>
          <w:szCs w:val="24"/>
          <w:lang w:eastAsia="es-ES_tradnl"/>
        </w:rPr>
        <w:t xml:space="preserve"> ser citado.</w:t>
      </w:r>
    </w:p>
    <w:p w:rsidR="00A9134C" w:rsidRPr="00A9134C" w:rsidRDefault="00A9134C" w:rsidP="002154BA">
      <w:pPr>
        <w:widowControl w:val="0"/>
        <w:spacing w:line="300" w:lineRule="auto"/>
        <w:ind w:firstLine="708"/>
        <w:rPr>
          <w:rFonts w:ascii="Tahoma" w:hAnsi="Tahoma" w:cs="Tahoma"/>
          <w:sz w:val="24"/>
          <w:szCs w:val="24"/>
          <w:lang w:eastAsia="es-ES_tradnl"/>
        </w:rPr>
      </w:pPr>
    </w:p>
    <w:p w:rsidR="00F66BE4" w:rsidRDefault="00A9134C" w:rsidP="002154BA">
      <w:pPr>
        <w:widowControl w:val="0"/>
        <w:spacing w:line="300" w:lineRule="auto"/>
        <w:ind w:firstLine="708"/>
        <w:rPr>
          <w:rFonts w:ascii="Tahoma" w:hAnsi="Tahoma" w:cs="Tahoma"/>
          <w:sz w:val="24"/>
          <w:szCs w:val="24"/>
          <w:lang w:eastAsia="es-ES_tradnl"/>
        </w:rPr>
      </w:pPr>
      <w:r w:rsidRPr="00A9134C">
        <w:rPr>
          <w:rFonts w:ascii="Tahoma" w:hAnsi="Tahoma" w:cs="Tahoma"/>
          <w:sz w:val="24"/>
          <w:szCs w:val="24"/>
          <w:lang w:eastAsia="es-ES_tradnl"/>
        </w:rPr>
        <w:t xml:space="preserve">Al respecto cabe advertir que el auto admisorio de la demanda es la única providencia que se debe notificar personalmente al demandado en el trámite del proceso laboral, según lo dispuesto en el artículo 41 del </w:t>
      </w:r>
      <w:proofErr w:type="spellStart"/>
      <w:r w:rsidRPr="00A9134C">
        <w:rPr>
          <w:rFonts w:ascii="Tahoma" w:hAnsi="Tahoma" w:cs="Tahoma"/>
          <w:sz w:val="24"/>
          <w:szCs w:val="24"/>
          <w:lang w:eastAsia="es-ES_tradnl"/>
        </w:rPr>
        <w:t>CPT</w:t>
      </w:r>
      <w:proofErr w:type="spellEnd"/>
      <w:r w:rsidRPr="00A9134C">
        <w:rPr>
          <w:rFonts w:ascii="Tahoma" w:hAnsi="Tahoma" w:cs="Tahoma"/>
          <w:sz w:val="24"/>
          <w:szCs w:val="24"/>
          <w:lang w:eastAsia="es-ES_tradnl"/>
        </w:rPr>
        <w:t xml:space="preserve"> y de la SS, modificado por el artículo 20 de la Ley 712 de 2001.</w:t>
      </w:r>
    </w:p>
    <w:p w:rsidR="00F66BE4" w:rsidRDefault="00F66BE4" w:rsidP="002154BA">
      <w:pPr>
        <w:widowControl w:val="0"/>
        <w:spacing w:line="300" w:lineRule="auto"/>
        <w:ind w:firstLine="708"/>
        <w:rPr>
          <w:rFonts w:ascii="Tahoma" w:hAnsi="Tahoma" w:cs="Tahoma"/>
          <w:sz w:val="24"/>
          <w:szCs w:val="24"/>
          <w:lang w:eastAsia="es-ES_tradnl"/>
        </w:rPr>
      </w:pPr>
    </w:p>
    <w:p w:rsidR="00F66BE4" w:rsidRDefault="00F66BE4" w:rsidP="002154BA">
      <w:pPr>
        <w:widowControl w:val="0"/>
        <w:spacing w:line="300" w:lineRule="auto"/>
        <w:ind w:firstLine="708"/>
        <w:jc w:val="center"/>
        <w:rPr>
          <w:rFonts w:ascii="Tahoma" w:hAnsi="Tahoma" w:cs="Tahoma"/>
          <w:b/>
          <w:sz w:val="24"/>
          <w:szCs w:val="24"/>
          <w:lang w:eastAsia="es-ES_tradnl"/>
        </w:rPr>
      </w:pPr>
      <w:r w:rsidRPr="00F66BE4">
        <w:rPr>
          <w:rFonts w:ascii="Tahoma" w:hAnsi="Tahoma" w:cs="Tahoma"/>
          <w:b/>
          <w:sz w:val="24"/>
          <w:szCs w:val="24"/>
          <w:lang w:eastAsia="es-ES_tradnl"/>
        </w:rPr>
        <w:t>2.3. NOTIFICACIÓN DEL AUTO ADMISORIO</w:t>
      </w:r>
      <w:r>
        <w:rPr>
          <w:rFonts w:ascii="Tahoma" w:hAnsi="Tahoma" w:cs="Tahoma"/>
          <w:b/>
          <w:sz w:val="24"/>
          <w:szCs w:val="24"/>
          <w:lang w:eastAsia="es-ES_tradnl"/>
        </w:rPr>
        <w:t xml:space="preserve"> DE LA DEMANDA DE</w:t>
      </w:r>
      <w:r w:rsidRPr="00F66BE4">
        <w:rPr>
          <w:rFonts w:ascii="Tahoma" w:hAnsi="Tahoma" w:cs="Tahoma"/>
          <w:b/>
          <w:sz w:val="24"/>
          <w:szCs w:val="24"/>
          <w:lang w:eastAsia="es-ES_tradnl"/>
        </w:rPr>
        <w:t xml:space="preserve"> QUIEN SE </w:t>
      </w:r>
      <w:r w:rsidR="0079275F" w:rsidRPr="00F66BE4">
        <w:rPr>
          <w:rFonts w:ascii="Tahoma" w:hAnsi="Tahoma" w:cs="Tahoma"/>
          <w:b/>
          <w:sz w:val="24"/>
          <w:szCs w:val="24"/>
          <w:lang w:eastAsia="es-ES_tradnl"/>
        </w:rPr>
        <w:t>REHÚSA</w:t>
      </w:r>
      <w:r w:rsidRPr="00F66BE4">
        <w:rPr>
          <w:rFonts w:ascii="Tahoma" w:hAnsi="Tahoma" w:cs="Tahoma"/>
          <w:b/>
          <w:sz w:val="24"/>
          <w:szCs w:val="24"/>
          <w:lang w:eastAsia="es-ES_tradnl"/>
        </w:rPr>
        <w:t xml:space="preserve"> A RECIBIR LA CITACIÓN</w:t>
      </w:r>
    </w:p>
    <w:p w:rsidR="00F66BE4" w:rsidRPr="0004603E" w:rsidRDefault="00F66BE4" w:rsidP="002154BA">
      <w:pPr>
        <w:widowControl w:val="0"/>
        <w:spacing w:line="300" w:lineRule="auto"/>
        <w:ind w:firstLine="708"/>
        <w:jc w:val="center"/>
        <w:rPr>
          <w:rFonts w:ascii="Tahoma" w:hAnsi="Tahoma" w:cs="Tahoma"/>
          <w:b/>
          <w:sz w:val="20"/>
          <w:szCs w:val="20"/>
          <w:lang w:eastAsia="es-ES_tradnl"/>
        </w:rPr>
      </w:pPr>
    </w:p>
    <w:p w:rsidR="00F66BE4" w:rsidRDefault="00F66BE4" w:rsidP="002154BA">
      <w:pPr>
        <w:widowControl w:val="0"/>
        <w:spacing w:line="300" w:lineRule="auto"/>
        <w:ind w:firstLine="708"/>
        <w:rPr>
          <w:rFonts w:ascii="Tahoma" w:hAnsi="Tahoma" w:cs="Tahoma"/>
          <w:sz w:val="24"/>
          <w:szCs w:val="24"/>
          <w:lang w:eastAsia="es-ES_tradnl"/>
        </w:rPr>
      </w:pPr>
      <w:r w:rsidRPr="00F66BE4">
        <w:rPr>
          <w:rFonts w:ascii="Tahoma" w:hAnsi="Tahoma" w:cs="Tahoma"/>
          <w:sz w:val="24"/>
          <w:szCs w:val="24"/>
          <w:lang w:eastAsia="es-ES_tradnl"/>
        </w:rPr>
        <w:t>Se indica en el inciso final del artículo 29 del C.P.T. y de la S.S.</w:t>
      </w:r>
      <w:r>
        <w:rPr>
          <w:rFonts w:ascii="Tahoma" w:hAnsi="Tahoma" w:cs="Tahoma"/>
          <w:sz w:val="24"/>
          <w:szCs w:val="24"/>
          <w:lang w:eastAsia="es-ES_tradnl"/>
        </w:rPr>
        <w:t xml:space="preserve">, que cuando el demandado no es hallado o se </w:t>
      </w:r>
      <w:r w:rsidRPr="003D57EC">
        <w:rPr>
          <w:rFonts w:ascii="Tahoma" w:hAnsi="Tahoma" w:cs="Tahoma"/>
          <w:sz w:val="24"/>
          <w:szCs w:val="24"/>
          <w:u w:val="single"/>
          <w:lang w:eastAsia="es-ES_tradnl"/>
        </w:rPr>
        <w:t>impide</w:t>
      </w:r>
      <w:r>
        <w:rPr>
          <w:rFonts w:ascii="Tahoma" w:hAnsi="Tahoma" w:cs="Tahoma"/>
          <w:sz w:val="24"/>
          <w:szCs w:val="24"/>
          <w:lang w:eastAsia="es-ES_tradnl"/>
        </w:rPr>
        <w:t xml:space="preserve"> la notificación, el juez procederá a nombrarle un curador para la litis y se ordenará su emplazamiento</w:t>
      </w:r>
      <w:r w:rsidR="002E581F">
        <w:rPr>
          <w:rFonts w:ascii="Tahoma" w:hAnsi="Tahoma" w:cs="Tahoma"/>
          <w:sz w:val="24"/>
          <w:szCs w:val="24"/>
          <w:lang w:eastAsia="es-ES_tradnl"/>
        </w:rPr>
        <w:t xml:space="preserve"> por edicto</w:t>
      </w:r>
      <w:r>
        <w:rPr>
          <w:rFonts w:ascii="Tahoma" w:hAnsi="Tahoma" w:cs="Tahoma"/>
          <w:sz w:val="24"/>
          <w:szCs w:val="24"/>
          <w:lang w:eastAsia="es-ES_tradnl"/>
        </w:rPr>
        <w:t>, previo cumplimiento de</w:t>
      </w:r>
      <w:r w:rsidR="003D57EC">
        <w:rPr>
          <w:rFonts w:ascii="Tahoma" w:hAnsi="Tahoma" w:cs="Tahoma"/>
          <w:sz w:val="24"/>
          <w:szCs w:val="24"/>
          <w:lang w:eastAsia="es-ES_tradnl"/>
        </w:rPr>
        <w:t xml:space="preserve"> la notificación por aviso, que</w:t>
      </w:r>
      <w:r w:rsidR="006915AA">
        <w:rPr>
          <w:rFonts w:ascii="Tahoma" w:hAnsi="Tahoma" w:cs="Tahoma"/>
          <w:sz w:val="24"/>
          <w:szCs w:val="24"/>
          <w:lang w:eastAsia="es-ES_tradnl"/>
        </w:rPr>
        <w:t xml:space="preserve"> antes se encontraba regulada por</w:t>
      </w:r>
      <w:r w:rsidR="003D57EC">
        <w:rPr>
          <w:rFonts w:ascii="Tahoma" w:hAnsi="Tahoma" w:cs="Tahoma"/>
          <w:sz w:val="24"/>
          <w:szCs w:val="24"/>
          <w:lang w:eastAsia="es-ES_tradnl"/>
        </w:rPr>
        <w:t xml:space="preserve"> el </w:t>
      </w:r>
      <w:r w:rsidR="003D57EC">
        <w:rPr>
          <w:rFonts w:ascii="Tahoma" w:hAnsi="Tahoma" w:cs="Tahoma"/>
          <w:sz w:val="24"/>
          <w:szCs w:val="24"/>
          <w:lang w:eastAsia="es-ES_tradnl"/>
        </w:rPr>
        <w:lastRenderedPageBreak/>
        <w:t xml:space="preserve">artículo 320 del </w:t>
      </w:r>
      <w:proofErr w:type="spellStart"/>
      <w:r w:rsidR="003D57EC">
        <w:rPr>
          <w:rFonts w:ascii="Tahoma" w:hAnsi="Tahoma" w:cs="Tahoma"/>
          <w:sz w:val="24"/>
          <w:szCs w:val="24"/>
          <w:lang w:eastAsia="es-ES_tradnl"/>
        </w:rPr>
        <w:t>C.P.C</w:t>
      </w:r>
      <w:proofErr w:type="spellEnd"/>
      <w:r w:rsidR="003D57EC">
        <w:rPr>
          <w:rFonts w:ascii="Tahoma" w:hAnsi="Tahoma" w:cs="Tahoma"/>
          <w:sz w:val="24"/>
          <w:szCs w:val="24"/>
          <w:lang w:eastAsia="es-ES_tradnl"/>
        </w:rPr>
        <w:t>., al que la norma procesal laboral remite, el cual fue reemplazado en la nueva codificación procesal por el art</w:t>
      </w:r>
      <w:r w:rsidR="006915AA">
        <w:rPr>
          <w:rFonts w:ascii="Tahoma" w:hAnsi="Tahoma" w:cs="Tahoma"/>
          <w:sz w:val="24"/>
          <w:szCs w:val="24"/>
          <w:lang w:eastAsia="es-ES_tradnl"/>
        </w:rPr>
        <w:t>ículo 292 del CGP, e igualmente se previene que en el aviso se informará al demandado que debe concurrir al juzgado dentro de los diez (10) días siguientes al de su fijación para notificarle el auto admisorio de la demanda y que si no comparece se le designará un curador para la litis.</w:t>
      </w:r>
    </w:p>
    <w:p w:rsidR="003D57EC" w:rsidRDefault="003D57EC" w:rsidP="002154BA">
      <w:pPr>
        <w:widowControl w:val="0"/>
        <w:spacing w:line="300" w:lineRule="auto"/>
        <w:ind w:firstLine="708"/>
        <w:rPr>
          <w:rFonts w:ascii="Tahoma" w:hAnsi="Tahoma" w:cs="Tahoma"/>
          <w:sz w:val="24"/>
          <w:szCs w:val="24"/>
          <w:lang w:eastAsia="es-ES_tradnl"/>
        </w:rPr>
      </w:pPr>
    </w:p>
    <w:p w:rsidR="006915AA" w:rsidRDefault="003D57EC" w:rsidP="002154BA">
      <w:pPr>
        <w:widowControl w:val="0"/>
        <w:spacing w:line="300" w:lineRule="auto"/>
        <w:ind w:firstLine="708"/>
        <w:rPr>
          <w:rFonts w:ascii="Arial" w:hAnsi="Arial" w:cs="Arial"/>
          <w:color w:val="4B4949"/>
          <w:sz w:val="18"/>
          <w:szCs w:val="18"/>
        </w:rPr>
      </w:pPr>
      <w:r>
        <w:rPr>
          <w:rFonts w:ascii="Tahoma" w:hAnsi="Tahoma" w:cs="Tahoma"/>
          <w:sz w:val="24"/>
          <w:szCs w:val="24"/>
          <w:lang w:eastAsia="es-ES_tradnl"/>
        </w:rPr>
        <w:t>En este último art</w:t>
      </w:r>
      <w:r w:rsidR="006915AA">
        <w:rPr>
          <w:rFonts w:ascii="Tahoma" w:hAnsi="Tahoma" w:cs="Tahoma"/>
          <w:sz w:val="24"/>
          <w:szCs w:val="24"/>
          <w:lang w:eastAsia="es-ES_tradnl"/>
        </w:rPr>
        <w:t xml:space="preserve">ículo (art. 292 CGP), se dispone, en lo que interesa a este asunto, que </w:t>
      </w:r>
      <w:r w:rsidR="006915AA" w:rsidRPr="006915AA">
        <w:rPr>
          <w:rFonts w:ascii="Arial Narrow" w:hAnsi="Arial Narrow" w:cs="Tahoma"/>
          <w:i/>
          <w:sz w:val="24"/>
          <w:szCs w:val="24"/>
          <w:lang w:eastAsia="es-ES_tradnl"/>
        </w:rPr>
        <w:t>“c</w:t>
      </w:r>
      <w:r w:rsidR="006915AA" w:rsidRPr="006915AA">
        <w:rPr>
          <w:rFonts w:ascii="Arial Narrow" w:hAnsi="Arial Narrow" w:cs="Arial"/>
          <w:i/>
          <w:sz w:val="24"/>
          <w:szCs w:val="24"/>
        </w:rPr>
        <w:t>uando no se pueda hacer la notificación personal del auto admisorio de la demanda o del mandamiento ejecutivo al demandado, o la del auto que ordena citar a un tercero, o la de cualquiera otra providencia que se debe realizar personalmente, se hará por medio de aviso que deberá 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006915AA">
        <w:rPr>
          <w:rFonts w:ascii="Tahoma" w:hAnsi="Tahoma" w:cs="Tahoma"/>
          <w:i/>
          <w:sz w:val="24"/>
          <w:szCs w:val="24"/>
        </w:rPr>
        <w:t xml:space="preserve"> </w:t>
      </w:r>
      <w:r w:rsidR="006915AA" w:rsidRPr="006915AA">
        <w:rPr>
          <w:rFonts w:ascii="Tahoma" w:hAnsi="Tahoma" w:cs="Tahoma"/>
          <w:sz w:val="24"/>
          <w:szCs w:val="24"/>
        </w:rPr>
        <w:t>y</w:t>
      </w:r>
      <w:r w:rsidR="006915AA" w:rsidRPr="006915AA">
        <w:rPr>
          <w:rFonts w:ascii="Arial Narrow" w:hAnsi="Arial Narrow" w:cs="Arial"/>
          <w:i/>
          <w:sz w:val="24"/>
          <w:szCs w:val="24"/>
        </w:rPr>
        <w:t xml:space="preserve"> </w:t>
      </w:r>
      <w:r w:rsidR="006915AA">
        <w:rPr>
          <w:rFonts w:ascii="Tahoma" w:hAnsi="Tahoma" w:cs="Tahoma"/>
          <w:sz w:val="24"/>
          <w:szCs w:val="24"/>
        </w:rPr>
        <w:t xml:space="preserve">que se remitirá, </w:t>
      </w:r>
      <w:r w:rsidR="006915AA" w:rsidRPr="006915AA">
        <w:rPr>
          <w:rFonts w:ascii="Arial Narrow" w:hAnsi="Arial Narrow" w:cs="Tahoma"/>
          <w:i/>
          <w:sz w:val="24"/>
          <w:szCs w:val="24"/>
        </w:rPr>
        <w:t xml:space="preserve">“a través de </w:t>
      </w:r>
      <w:r w:rsidR="006915AA" w:rsidRPr="006915AA">
        <w:rPr>
          <w:rFonts w:ascii="Arial Narrow" w:hAnsi="Arial Narrow" w:cs="Arial"/>
          <w:i/>
          <w:sz w:val="24"/>
          <w:szCs w:val="24"/>
        </w:rPr>
        <w:t>servicio postal autorizado a la misma dirección a la que haya sido enviada la comunicación a que se refiere el numeral 3 del artículo anterior</w:t>
      </w:r>
      <w:r w:rsidR="006915AA">
        <w:rPr>
          <w:rFonts w:ascii="Arial" w:hAnsi="Arial" w:cs="Arial"/>
          <w:color w:val="4B4949"/>
          <w:sz w:val="18"/>
          <w:szCs w:val="18"/>
        </w:rPr>
        <w:t>.</w:t>
      </w:r>
    </w:p>
    <w:p w:rsidR="006915AA" w:rsidRPr="0004603E" w:rsidRDefault="006915AA" w:rsidP="002154BA">
      <w:pPr>
        <w:widowControl w:val="0"/>
        <w:spacing w:line="300" w:lineRule="auto"/>
        <w:ind w:firstLine="708"/>
        <w:rPr>
          <w:rFonts w:ascii="Arial" w:hAnsi="Arial" w:cs="Arial"/>
          <w:color w:val="4B4949"/>
          <w:sz w:val="24"/>
          <w:szCs w:val="24"/>
        </w:rPr>
      </w:pPr>
    </w:p>
    <w:p w:rsidR="002E581F" w:rsidRDefault="002E581F" w:rsidP="002154BA">
      <w:pPr>
        <w:widowControl w:val="0"/>
        <w:spacing w:line="300" w:lineRule="auto"/>
        <w:ind w:firstLine="708"/>
        <w:rPr>
          <w:rFonts w:ascii="Tahoma" w:hAnsi="Tahoma" w:cs="Tahoma"/>
          <w:sz w:val="24"/>
          <w:szCs w:val="24"/>
        </w:rPr>
      </w:pPr>
      <w:r>
        <w:rPr>
          <w:rFonts w:ascii="Tahoma" w:hAnsi="Tahoma" w:cs="Tahoma"/>
          <w:sz w:val="24"/>
          <w:szCs w:val="24"/>
        </w:rPr>
        <w:t>Como puede verse, el nombramiento de curador ad-litem y el emplazamiento por edicto de quien impide su notificación, solo procederá una vez agotada la citación por aviso de que trata el art</w:t>
      </w:r>
      <w:r w:rsidR="0004603E">
        <w:rPr>
          <w:rFonts w:ascii="Tahoma" w:hAnsi="Tahoma" w:cs="Tahoma"/>
          <w:sz w:val="24"/>
          <w:szCs w:val="24"/>
        </w:rPr>
        <w:t>.</w:t>
      </w:r>
      <w:r>
        <w:rPr>
          <w:rFonts w:ascii="Tahoma" w:hAnsi="Tahoma" w:cs="Tahoma"/>
          <w:sz w:val="24"/>
          <w:szCs w:val="24"/>
        </w:rPr>
        <w:t xml:space="preserve"> 29 del C.P.T. y de la S.S. (modificado por el artículo 16 de la Ley 712 de 2001), la cual se debe surtir bajo los términos y ritualidades del art</w:t>
      </w:r>
      <w:r w:rsidR="0004603E">
        <w:rPr>
          <w:rFonts w:ascii="Tahoma" w:hAnsi="Tahoma" w:cs="Tahoma"/>
          <w:sz w:val="24"/>
          <w:szCs w:val="24"/>
        </w:rPr>
        <w:t>.</w:t>
      </w:r>
      <w:r>
        <w:rPr>
          <w:rFonts w:ascii="Tahoma" w:hAnsi="Tahoma" w:cs="Tahoma"/>
          <w:sz w:val="24"/>
          <w:szCs w:val="24"/>
        </w:rPr>
        <w:t xml:space="preserve"> 292 del CGP.</w:t>
      </w:r>
    </w:p>
    <w:p w:rsidR="002E581F" w:rsidRDefault="002E581F" w:rsidP="002154BA">
      <w:pPr>
        <w:widowControl w:val="0"/>
        <w:spacing w:line="300" w:lineRule="auto"/>
        <w:ind w:firstLine="0"/>
        <w:rPr>
          <w:rFonts w:ascii="Tahoma" w:hAnsi="Tahoma" w:cs="Tahoma"/>
          <w:sz w:val="24"/>
          <w:szCs w:val="24"/>
        </w:rPr>
      </w:pPr>
    </w:p>
    <w:p w:rsidR="006915AA" w:rsidRPr="002E581F" w:rsidRDefault="002E581F" w:rsidP="002154BA">
      <w:pPr>
        <w:widowControl w:val="0"/>
        <w:spacing w:line="300" w:lineRule="auto"/>
        <w:ind w:firstLine="0"/>
        <w:jc w:val="center"/>
        <w:rPr>
          <w:rFonts w:ascii="Tahoma" w:hAnsi="Tahoma" w:cs="Tahoma"/>
          <w:b/>
          <w:i/>
          <w:sz w:val="24"/>
          <w:szCs w:val="24"/>
          <w:lang w:eastAsia="es-ES_tradnl"/>
        </w:rPr>
      </w:pPr>
      <w:r w:rsidRPr="002E581F">
        <w:rPr>
          <w:rFonts w:ascii="Tahoma" w:hAnsi="Tahoma" w:cs="Tahoma"/>
          <w:b/>
          <w:sz w:val="24"/>
          <w:szCs w:val="24"/>
        </w:rPr>
        <w:t>2.4. CASO CONCRETO</w:t>
      </w:r>
    </w:p>
    <w:p w:rsidR="003822BF" w:rsidRDefault="003822BF" w:rsidP="002154BA">
      <w:pPr>
        <w:spacing w:line="300" w:lineRule="auto"/>
        <w:ind w:firstLine="0"/>
        <w:rPr>
          <w:rFonts w:ascii="Tahoma" w:hAnsi="Tahoma" w:cs="Tahoma"/>
          <w:sz w:val="24"/>
          <w:szCs w:val="24"/>
        </w:rPr>
      </w:pPr>
      <w:r w:rsidRPr="003822BF">
        <w:rPr>
          <w:rFonts w:ascii="Tahoma" w:hAnsi="Tahoma" w:cs="Tahoma"/>
          <w:sz w:val="24"/>
          <w:szCs w:val="24"/>
        </w:rPr>
        <w:t xml:space="preserve"> </w:t>
      </w:r>
    </w:p>
    <w:p w:rsidR="0004603E" w:rsidRDefault="002E581F" w:rsidP="002154BA">
      <w:pPr>
        <w:spacing w:line="300" w:lineRule="auto"/>
        <w:ind w:firstLine="0"/>
        <w:rPr>
          <w:rFonts w:ascii="Tahoma" w:hAnsi="Tahoma" w:cs="Tahoma"/>
          <w:sz w:val="24"/>
          <w:szCs w:val="24"/>
        </w:rPr>
      </w:pPr>
      <w:r>
        <w:rPr>
          <w:rFonts w:ascii="Tahoma" w:hAnsi="Tahoma" w:cs="Tahoma"/>
          <w:sz w:val="24"/>
          <w:szCs w:val="24"/>
        </w:rPr>
        <w:tab/>
      </w:r>
      <w:r w:rsidR="0004603E">
        <w:rPr>
          <w:rFonts w:ascii="Tahoma" w:hAnsi="Tahoma" w:cs="Tahoma"/>
          <w:sz w:val="24"/>
          <w:szCs w:val="24"/>
        </w:rPr>
        <w:t>En este asunto se configura la nulidad por indebida notificación de la demandada, como quiera que el interesado en su notificación omitió remitirle la citación por aviso y además, solo le dio cinco (5) días para comparecer al juzgado a recibir la notificación del auto admisorio de la demanda cuya existencia se le informó mediante comunicación entregada el 10 de marzo de 2017 (</w:t>
      </w:r>
      <w:proofErr w:type="spellStart"/>
      <w:r w:rsidR="0004603E">
        <w:rPr>
          <w:rFonts w:ascii="Tahoma" w:hAnsi="Tahoma" w:cs="Tahoma"/>
          <w:sz w:val="24"/>
          <w:szCs w:val="24"/>
        </w:rPr>
        <w:t>Fl</w:t>
      </w:r>
      <w:proofErr w:type="spellEnd"/>
      <w:r w:rsidR="0004603E">
        <w:rPr>
          <w:rFonts w:ascii="Tahoma" w:hAnsi="Tahoma" w:cs="Tahoma"/>
          <w:sz w:val="24"/>
          <w:szCs w:val="24"/>
        </w:rPr>
        <w:t>. 65), pese a que dicha comunicación fue entregada en un municipio distinto al de la sede del juzgado de conocimiento, evento en el cual el término de comparecencia era de 10 días, conforme se dispone en el numeral 3 del art. 291 del CGP, que regula lo atinente a la citación previa al aviso para notificación personal.</w:t>
      </w:r>
    </w:p>
    <w:p w:rsidR="00A11357" w:rsidRDefault="00A11357" w:rsidP="002154BA">
      <w:pPr>
        <w:spacing w:line="300" w:lineRule="auto"/>
        <w:ind w:firstLine="0"/>
        <w:rPr>
          <w:rFonts w:ascii="Tahoma" w:hAnsi="Tahoma" w:cs="Tahoma"/>
          <w:sz w:val="24"/>
          <w:szCs w:val="24"/>
        </w:rPr>
      </w:pPr>
    </w:p>
    <w:p w:rsidR="00A11357" w:rsidRDefault="00A11357" w:rsidP="002154BA">
      <w:pPr>
        <w:spacing w:line="300" w:lineRule="auto"/>
        <w:ind w:firstLine="0"/>
        <w:rPr>
          <w:rFonts w:ascii="Tahoma" w:hAnsi="Tahoma" w:cs="Tahoma"/>
          <w:sz w:val="24"/>
          <w:szCs w:val="24"/>
        </w:rPr>
      </w:pPr>
      <w:r>
        <w:rPr>
          <w:rFonts w:ascii="Tahoma" w:hAnsi="Tahoma" w:cs="Tahoma"/>
          <w:sz w:val="24"/>
          <w:szCs w:val="24"/>
        </w:rPr>
        <w:tab/>
        <w:t>Consecuencia de lo anterior, se decretará la nulidad de lo actuado en primera instancia, a efectos de que se remita de nuevo al demandado la orden citación personal a la dirección informada por el demandante, advirtiéndolo que tiene diez (10) días para que comparezca al juzgado a recibir notificación del auto admisorio de la demanda.</w:t>
      </w:r>
    </w:p>
    <w:p w:rsidR="00ED47B6" w:rsidRDefault="00ED47B6" w:rsidP="002154BA">
      <w:pPr>
        <w:spacing w:line="300" w:lineRule="auto"/>
        <w:ind w:firstLine="0"/>
        <w:rPr>
          <w:rFonts w:ascii="Tahoma" w:hAnsi="Tahoma" w:cs="Tahoma"/>
          <w:sz w:val="24"/>
          <w:szCs w:val="24"/>
        </w:rPr>
      </w:pPr>
    </w:p>
    <w:p w:rsidR="00A11357" w:rsidRDefault="00ED47B6" w:rsidP="002154BA">
      <w:pPr>
        <w:spacing w:line="300" w:lineRule="auto"/>
        <w:ind w:firstLine="708"/>
        <w:rPr>
          <w:rFonts w:ascii="Tahoma" w:hAnsi="Tahoma" w:cs="Tahoma"/>
          <w:sz w:val="24"/>
          <w:szCs w:val="24"/>
        </w:rPr>
      </w:pPr>
      <w:r>
        <w:rPr>
          <w:rFonts w:ascii="Tahoma" w:hAnsi="Tahoma" w:cs="Tahoma"/>
          <w:sz w:val="24"/>
          <w:szCs w:val="24"/>
        </w:rPr>
        <w:t>Por último, en caso de que la empresa demandada no sea hallada o impida su notificación, el emplazamiento surtido en el proceso conservará su vigencia, sin que sea necesario emplazarla nuevamente.</w:t>
      </w:r>
    </w:p>
    <w:p w:rsidR="00ED47B6" w:rsidRDefault="00ED47B6" w:rsidP="002154BA">
      <w:pPr>
        <w:spacing w:line="300" w:lineRule="auto"/>
        <w:ind w:firstLine="708"/>
        <w:rPr>
          <w:rFonts w:ascii="Tahoma" w:hAnsi="Tahoma" w:cs="Tahoma"/>
          <w:sz w:val="24"/>
          <w:szCs w:val="24"/>
        </w:rPr>
      </w:pPr>
    </w:p>
    <w:p w:rsidR="00ED47B6" w:rsidRPr="00C24717" w:rsidRDefault="00ED47B6" w:rsidP="002154BA">
      <w:pPr>
        <w:widowControl w:val="0"/>
        <w:autoSpaceDE w:val="0"/>
        <w:autoSpaceDN w:val="0"/>
        <w:adjustRightInd w:val="0"/>
        <w:spacing w:line="300" w:lineRule="auto"/>
        <w:ind w:firstLine="708"/>
        <w:rPr>
          <w:rFonts w:ascii="Tahoma" w:hAnsi="Tahoma" w:cs="Tahoma"/>
          <w:sz w:val="24"/>
          <w:szCs w:val="24"/>
        </w:rPr>
      </w:pPr>
      <w:r w:rsidRPr="00C24717">
        <w:rPr>
          <w:rFonts w:ascii="Tahoma" w:hAnsi="Tahoma" w:cs="Tahoma"/>
          <w:sz w:val="24"/>
          <w:szCs w:val="24"/>
        </w:rPr>
        <w:lastRenderedPageBreak/>
        <w:t xml:space="preserve">En mérito de  lo expuesto, el </w:t>
      </w:r>
      <w:r w:rsidRPr="00C24717">
        <w:rPr>
          <w:rFonts w:ascii="Tahoma" w:hAnsi="Tahoma" w:cs="Tahoma"/>
          <w:b/>
          <w:sz w:val="24"/>
          <w:szCs w:val="24"/>
        </w:rPr>
        <w:t>TRIBUNAL SUPERIOR DEL DISTRITO JUDICIAL DE PEREIRA (RISARALDA)</w:t>
      </w:r>
      <w:r w:rsidRPr="00C24717">
        <w:rPr>
          <w:rFonts w:ascii="Tahoma" w:hAnsi="Tahoma" w:cs="Tahoma"/>
          <w:sz w:val="24"/>
          <w:szCs w:val="24"/>
        </w:rPr>
        <w:t xml:space="preserve">, </w:t>
      </w:r>
      <w:r w:rsidRPr="00C24717">
        <w:rPr>
          <w:rFonts w:ascii="Tahoma" w:hAnsi="Tahoma" w:cs="Tahoma"/>
          <w:b/>
          <w:sz w:val="24"/>
          <w:szCs w:val="24"/>
        </w:rPr>
        <w:t>SALA LABORAL</w:t>
      </w:r>
      <w:r w:rsidRPr="00C24717">
        <w:rPr>
          <w:rFonts w:ascii="Tahoma" w:hAnsi="Tahoma" w:cs="Tahoma"/>
          <w:sz w:val="24"/>
          <w:szCs w:val="24"/>
        </w:rPr>
        <w:t xml:space="preserve">, </w:t>
      </w:r>
    </w:p>
    <w:p w:rsidR="00ED47B6" w:rsidRPr="00C54890" w:rsidRDefault="00ED47B6" w:rsidP="002154BA">
      <w:pPr>
        <w:widowControl w:val="0"/>
        <w:tabs>
          <w:tab w:val="left" w:pos="2865"/>
        </w:tabs>
        <w:autoSpaceDE w:val="0"/>
        <w:autoSpaceDN w:val="0"/>
        <w:adjustRightInd w:val="0"/>
        <w:spacing w:line="300" w:lineRule="auto"/>
        <w:rPr>
          <w:rFonts w:ascii="Tahoma" w:hAnsi="Tahoma" w:cs="Tahoma"/>
          <w:b/>
        </w:rPr>
      </w:pPr>
      <w:r w:rsidRPr="00C54890">
        <w:rPr>
          <w:rFonts w:ascii="Tahoma" w:hAnsi="Tahoma" w:cs="Tahoma"/>
          <w:b/>
        </w:rPr>
        <w:tab/>
      </w:r>
    </w:p>
    <w:p w:rsidR="00ED47B6" w:rsidRPr="00D27CA0" w:rsidRDefault="00ED47B6" w:rsidP="002154BA">
      <w:pPr>
        <w:widowControl w:val="0"/>
        <w:autoSpaceDE w:val="0"/>
        <w:autoSpaceDN w:val="0"/>
        <w:adjustRightInd w:val="0"/>
        <w:spacing w:line="300" w:lineRule="auto"/>
        <w:jc w:val="center"/>
        <w:rPr>
          <w:rFonts w:ascii="Tahoma" w:hAnsi="Tahoma" w:cs="Tahoma"/>
          <w:b/>
          <w:sz w:val="24"/>
          <w:szCs w:val="24"/>
        </w:rPr>
      </w:pPr>
      <w:r w:rsidRPr="00D27CA0">
        <w:rPr>
          <w:rFonts w:ascii="Tahoma" w:hAnsi="Tahoma" w:cs="Tahoma"/>
          <w:b/>
          <w:sz w:val="24"/>
          <w:szCs w:val="24"/>
        </w:rPr>
        <w:t>R E S U E L V E:</w:t>
      </w:r>
    </w:p>
    <w:p w:rsidR="00ED47B6" w:rsidRPr="002C1107" w:rsidRDefault="00ED47B6" w:rsidP="002154BA">
      <w:pPr>
        <w:widowControl w:val="0"/>
        <w:autoSpaceDE w:val="0"/>
        <w:autoSpaceDN w:val="0"/>
        <w:adjustRightInd w:val="0"/>
        <w:spacing w:line="300" w:lineRule="auto"/>
        <w:rPr>
          <w:rFonts w:ascii="Tahoma" w:hAnsi="Tahoma" w:cs="Tahoma"/>
        </w:rPr>
      </w:pPr>
    </w:p>
    <w:p w:rsidR="00ED47B6" w:rsidRPr="00D27CA0" w:rsidRDefault="00ED47B6" w:rsidP="002154BA">
      <w:pPr>
        <w:spacing w:line="300" w:lineRule="auto"/>
        <w:rPr>
          <w:rFonts w:ascii="Tahoma" w:hAnsi="Tahoma" w:cs="Tahoma"/>
          <w:sz w:val="24"/>
          <w:szCs w:val="24"/>
        </w:rPr>
      </w:pPr>
      <w:r w:rsidRPr="00D27CA0">
        <w:rPr>
          <w:rFonts w:ascii="Tahoma" w:hAnsi="Tahoma" w:cs="Tahoma"/>
          <w:b/>
          <w:sz w:val="24"/>
          <w:szCs w:val="24"/>
        </w:rPr>
        <w:t xml:space="preserve">PRIMERO: DECLARAR </w:t>
      </w:r>
      <w:r w:rsidRPr="00D27CA0">
        <w:rPr>
          <w:rFonts w:ascii="Tahoma" w:hAnsi="Tahoma" w:cs="Tahoma"/>
          <w:sz w:val="24"/>
          <w:szCs w:val="24"/>
        </w:rPr>
        <w:t xml:space="preserve"> la nulidad todo lo actuado a partir del auto admisorio de la demanda, de conformidad con lo expuesto en precedencia.</w:t>
      </w:r>
    </w:p>
    <w:p w:rsidR="00ED47B6" w:rsidRPr="002C1107" w:rsidRDefault="00ED47B6" w:rsidP="002154BA">
      <w:pPr>
        <w:spacing w:line="300" w:lineRule="auto"/>
        <w:rPr>
          <w:rFonts w:ascii="Tahoma" w:hAnsi="Tahoma" w:cs="Tahoma"/>
        </w:rPr>
      </w:pPr>
    </w:p>
    <w:p w:rsidR="00ED47B6" w:rsidRPr="00D27CA0" w:rsidRDefault="00ED47B6" w:rsidP="002154BA">
      <w:pPr>
        <w:spacing w:line="300" w:lineRule="auto"/>
        <w:rPr>
          <w:rFonts w:ascii="Tahoma" w:hAnsi="Tahoma" w:cs="Tahoma"/>
          <w:sz w:val="24"/>
          <w:szCs w:val="24"/>
        </w:rPr>
      </w:pPr>
      <w:r w:rsidRPr="00D27CA0">
        <w:rPr>
          <w:rFonts w:ascii="Tahoma" w:hAnsi="Tahoma" w:cs="Tahoma"/>
          <w:b/>
          <w:sz w:val="24"/>
          <w:szCs w:val="24"/>
        </w:rPr>
        <w:t>SEGUNDO: REMITIR</w:t>
      </w:r>
      <w:r w:rsidRPr="00D27CA0">
        <w:rPr>
          <w:rFonts w:ascii="Tahoma" w:hAnsi="Tahoma" w:cs="Tahoma"/>
          <w:sz w:val="24"/>
          <w:szCs w:val="24"/>
        </w:rPr>
        <w:t xml:space="preserve"> el expediente al juzgado de origen, a efectos de que la jueza de primer grado procure la notificación personal de la demanda </w:t>
      </w:r>
      <w:r>
        <w:rPr>
          <w:rFonts w:ascii="Tahoma" w:hAnsi="Tahoma" w:cs="Tahoma"/>
          <w:sz w:val="24"/>
          <w:szCs w:val="24"/>
        </w:rPr>
        <w:t xml:space="preserve">a la </w:t>
      </w:r>
      <w:proofErr w:type="spellStart"/>
      <w:r>
        <w:rPr>
          <w:rFonts w:ascii="Tahoma" w:hAnsi="Tahoma" w:cs="Tahoma"/>
          <w:sz w:val="24"/>
          <w:szCs w:val="24"/>
        </w:rPr>
        <w:t>IPS</w:t>
      </w:r>
      <w:proofErr w:type="spellEnd"/>
      <w:r>
        <w:rPr>
          <w:rFonts w:ascii="Tahoma" w:hAnsi="Tahoma" w:cs="Tahoma"/>
          <w:sz w:val="24"/>
          <w:szCs w:val="24"/>
        </w:rPr>
        <w:t xml:space="preserve"> </w:t>
      </w:r>
      <w:proofErr w:type="spellStart"/>
      <w:r>
        <w:rPr>
          <w:rFonts w:ascii="Tahoma" w:hAnsi="Tahoma" w:cs="Tahoma"/>
          <w:sz w:val="24"/>
          <w:szCs w:val="24"/>
        </w:rPr>
        <w:t>SALUDCOOP</w:t>
      </w:r>
      <w:proofErr w:type="spellEnd"/>
      <w:r>
        <w:rPr>
          <w:rFonts w:ascii="Tahoma" w:hAnsi="Tahoma" w:cs="Tahoma"/>
          <w:sz w:val="24"/>
          <w:szCs w:val="24"/>
        </w:rPr>
        <w:t xml:space="preserve"> en los términos del artículo 29 del </w:t>
      </w:r>
      <w:proofErr w:type="spellStart"/>
      <w:r>
        <w:rPr>
          <w:rFonts w:ascii="Tahoma" w:hAnsi="Tahoma" w:cs="Tahoma"/>
          <w:sz w:val="24"/>
          <w:szCs w:val="24"/>
        </w:rPr>
        <w:t>CPT</w:t>
      </w:r>
      <w:proofErr w:type="spellEnd"/>
      <w:r>
        <w:rPr>
          <w:rFonts w:ascii="Tahoma" w:hAnsi="Tahoma" w:cs="Tahoma"/>
          <w:sz w:val="24"/>
          <w:szCs w:val="24"/>
        </w:rPr>
        <w:t xml:space="preserve"> y de la SS.</w:t>
      </w:r>
    </w:p>
    <w:p w:rsidR="00ED47B6" w:rsidRPr="002C1107" w:rsidRDefault="00ED47B6" w:rsidP="002154BA">
      <w:pPr>
        <w:spacing w:line="300" w:lineRule="auto"/>
        <w:rPr>
          <w:rFonts w:ascii="Tahoma" w:hAnsi="Tahoma" w:cs="Tahoma"/>
        </w:rPr>
      </w:pPr>
    </w:p>
    <w:p w:rsidR="00ED47B6" w:rsidRPr="00D27CA0" w:rsidRDefault="00ED47B6" w:rsidP="002154BA">
      <w:pPr>
        <w:tabs>
          <w:tab w:val="left" w:pos="-720"/>
        </w:tabs>
        <w:suppressAutoHyphens/>
        <w:spacing w:line="300" w:lineRule="auto"/>
        <w:ind w:firstLine="0"/>
        <w:rPr>
          <w:rFonts w:ascii="Tahoma" w:hAnsi="Tahoma" w:cs="Tahoma"/>
          <w:sz w:val="24"/>
          <w:szCs w:val="24"/>
        </w:rPr>
      </w:pPr>
      <w:r w:rsidRPr="00D27CA0">
        <w:rPr>
          <w:rFonts w:ascii="Tahoma" w:hAnsi="Tahoma" w:cs="Tahoma"/>
          <w:b/>
          <w:sz w:val="24"/>
          <w:szCs w:val="24"/>
        </w:rPr>
        <w:tab/>
        <w:t>TERCERO: ACLARAR</w:t>
      </w:r>
      <w:r w:rsidRPr="00D27CA0">
        <w:rPr>
          <w:rFonts w:ascii="Tahoma" w:hAnsi="Tahoma" w:cs="Tahoma"/>
          <w:sz w:val="24"/>
          <w:szCs w:val="24"/>
        </w:rPr>
        <w:t xml:space="preserve"> que en caso de que la empresa demandada no sea hallada o impida su notificación, el emplazamiento surtido en el proceso conservará su vigencia, si</w:t>
      </w:r>
      <w:r>
        <w:rPr>
          <w:rFonts w:ascii="Tahoma" w:hAnsi="Tahoma" w:cs="Tahoma"/>
          <w:sz w:val="24"/>
          <w:szCs w:val="24"/>
        </w:rPr>
        <w:t>n que sea necesario emplazarla nuevamente.</w:t>
      </w:r>
    </w:p>
    <w:p w:rsidR="00ED47B6" w:rsidRDefault="00ED47B6" w:rsidP="002154BA">
      <w:pPr>
        <w:spacing w:line="300" w:lineRule="auto"/>
        <w:rPr>
          <w:rFonts w:ascii="Tahoma" w:hAnsi="Tahoma" w:cs="Tahoma"/>
          <w:sz w:val="24"/>
          <w:szCs w:val="24"/>
        </w:rPr>
      </w:pPr>
    </w:p>
    <w:p w:rsidR="00ED47B6" w:rsidRPr="00D27CA0" w:rsidRDefault="00F666CF" w:rsidP="002154BA">
      <w:pPr>
        <w:spacing w:line="300" w:lineRule="auto"/>
        <w:rPr>
          <w:rFonts w:ascii="Tahoma" w:hAnsi="Tahoma" w:cs="Tahoma"/>
          <w:sz w:val="24"/>
          <w:szCs w:val="24"/>
        </w:rPr>
      </w:pPr>
      <w:r>
        <w:rPr>
          <w:rFonts w:ascii="Tahoma" w:hAnsi="Tahoma" w:cs="Tahoma"/>
          <w:sz w:val="24"/>
          <w:szCs w:val="24"/>
        </w:rPr>
        <w:t>Notifíquese</w:t>
      </w:r>
    </w:p>
    <w:p w:rsidR="00ED47B6" w:rsidRDefault="00ED47B6" w:rsidP="002154BA">
      <w:pPr>
        <w:spacing w:line="300" w:lineRule="auto"/>
        <w:rPr>
          <w:rFonts w:ascii="Tahoma" w:hAnsi="Tahoma" w:cs="Tahoma"/>
          <w:sz w:val="24"/>
          <w:szCs w:val="24"/>
        </w:rPr>
      </w:pPr>
    </w:p>
    <w:p w:rsidR="00ED47B6" w:rsidRPr="00D27CA0" w:rsidRDefault="00ED47B6" w:rsidP="002154BA">
      <w:pPr>
        <w:spacing w:line="300" w:lineRule="auto"/>
        <w:rPr>
          <w:rFonts w:ascii="Tahoma" w:hAnsi="Tahoma" w:cs="Tahoma"/>
          <w:sz w:val="24"/>
          <w:szCs w:val="24"/>
        </w:rPr>
      </w:pPr>
    </w:p>
    <w:p w:rsidR="00ED47B6" w:rsidRPr="00D27CA0" w:rsidRDefault="00ED47B6" w:rsidP="002154BA">
      <w:pPr>
        <w:spacing w:line="300" w:lineRule="auto"/>
        <w:ind w:firstLine="708"/>
        <w:rPr>
          <w:rFonts w:ascii="Tahoma" w:hAnsi="Tahoma" w:cs="Tahoma"/>
          <w:sz w:val="24"/>
          <w:szCs w:val="24"/>
        </w:rPr>
      </w:pPr>
      <w:r w:rsidRPr="00D27CA0">
        <w:rPr>
          <w:rFonts w:ascii="Tahoma" w:hAnsi="Tahoma" w:cs="Tahoma"/>
          <w:sz w:val="24"/>
          <w:szCs w:val="24"/>
        </w:rPr>
        <w:t xml:space="preserve">La Magistrada, </w:t>
      </w:r>
    </w:p>
    <w:p w:rsidR="00ED47B6" w:rsidRDefault="00ED47B6" w:rsidP="002154BA">
      <w:pPr>
        <w:spacing w:line="300" w:lineRule="auto"/>
        <w:ind w:firstLine="0"/>
        <w:rPr>
          <w:rFonts w:ascii="Tahoma" w:hAnsi="Tahoma" w:cs="Tahoma"/>
          <w:sz w:val="24"/>
          <w:szCs w:val="24"/>
        </w:rPr>
      </w:pPr>
    </w:p>
    <w:p w:rsidR="00ED47B6" w:rsidRDefault="00ED47B6" w:rsidP="002154BA">
      <w:pPr>
        <w:spacing w:line="300" w:lineRule="auto"/>
        <w:ind w:firstLine="0"/>
        <w:rPr>
          <w:rFonts w:ascii="Tahoma" w:hAnsi="Tahoma" w:cs="Tahoma"/>
          <w:sz w:val="24"/>
          <w:szCs w:val="24"/>
        </w:rPr>
      </w:pPr>
    </w:p>
    <w:p w:rsidR="002154BA" w:rsidRDefault="002154BA" w:rsidP="002154BA">
      <w:pPr>
        <w:spacing w:line="300" w:lineRule="auto"/>
        <w:ind w:firstLine="0"/>
        <w:rPr>
          <w:rFonts w:ascii="Tahoma" w:hAnsi="Tahoma" w:cs="Tahoma"/>
          <w:sz w:val="24"/>
          <w:szCs w:val="24"/>
        </w:rPr>
      </w:pPr>
    </w:p>
    <w:p w:rsidR="002154BA" w:rsidRPr="00D27CA0" w:rsidRDefault="002154BA" w:rsidP="002154BA">
      <w:pPr>
        <w:spacing w:line="300" w:lineRule="auto"/>
        <w:ind w:firstLine="0"/>
        <w:rPr>
          <w:rFonts w:ascii="Tahoma" w:hAnsi="Tahoma" w:cs="Tahoma"/>
          <w:sz w:val="24"/>
          <w:szCs w:val="24"/>
        </w:rPr>
      </w:pPr>
    </w:p>
    <w:p w:rsidR="00A7383E" w:rsidRPr="0079275F" w:rsidRDefault="00ED47B6" w:rsidP="002154BA">
      <w:pPr>
        <w:spacing w:line="300" w:lineRule="auto"/>
        <w:jc w:val="center"/>
        <w:rPr>
          <w:rFonts w:ascii="Tahoma" w:hAnsi="Tahoma" w:cs="Tahoma"/>
          <w:b/>
          <w:sz w:val="24"/>
          <w:szCs w:val="24"/>
        </w:rPr>
      </w:pPr>
      <w:r w:rsidRPr="00D27CA0">
        <w:rPr>
          <w:rFonts w:ascii="Tahoma" w:hAnsi="Tahoma" w:cs="Tahoma"/>
          <w:b/>
          <w:sz w:val="24"/>
          <w:szCs w:val="24"/>
        </w:rPr>
        <w:t>ANA LUCIA CAICEDO CALDERÓN</w:t>
      </w:r>
    </w:p>
    <w:sectPr w:rsidR="00A7383E" w:rsidRPr="0079275F" w:rsidSect="0079275F">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D0" w:rsidRDefault="003B40D0" w:rsidP="002976A4">
      <w:pPr>
        <w:spacing w:line="240" w:lineRule="auto"/>
      </w:pPr>
      <w:r>
        <w:separator/>
      </w:r>
    </w:p>
  </w:endnote>
  <w:endnote w:type="continuationSeparator" w:id="0">
    <w:p w:rsidR="003B40D0" w:rsidRDefault="003B40D0" w:rsidP="0029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52004"/>
      <w:docPartObj>
        <w:docPartGallery w:val="Page Numbers (Bottom of Page)"/>
        <w:docPartUnique/>
      </w:docPartObj>
    </w:sdtPr>
    <w:sdtEndPr>
      <w:rPr>
        <w:rFonts w:ascii="Arial" w:hAnsi="Arial" w:cs="Arial"/>
        <w:sz w:val="18"/>
        <w:szCs w:val="18"/>
        <w:lang w:val="es-CO"/>
      </w:rPr>
    </w:sdtEndPr>
    <w:sdtContent>
      <w:p w:rsidR="00A9134C" w:rsidRPr="0079275F" w:rsidRDefault="00A9134C">
        <w:pPr>
          <w:pStyle w:val="Piedepgina"/>
          <w:jc w:val="right"/>
          <w:rPr>
            <w:rFonts w:ascii="Arial" w:hAnsi="Arial" w:cs="Arial"/>
            <w:sz w:val="18"/>
            <w:szCs w:val="18"/>
            <w:lang w:val="es-CO"/>
          </w:rPr>
        </w:pPr>
        <w:r w:rsidRPr="0079275F">
          <w:rPr>
            <w:rFonts w:ascii="Arial" w:hAnsi="Arial" w:cs="Arial"/>
            <w:sz w:val="18"/>
            <w:szCs w:val="18"/>
            <w:lang w:val="es-CO"/>
          </w:rPr>
          <w:fldChar w:fldCharType="begin"/>
        </w:r>
        <w:r w:rsidRPr="0079275F">
          <w:rPr>
            <w:rFonts w:ascii="Arial" w:hAnsi="Arial" w:cs="Arial"/>
            <w:sz w:val="18"/>
            <w:szCs w:val="18"/>
            <w:lang w:val="es-CO"/>
          </w:rPr>
          <w:instrText>PAGE   \* MERGEFORMAT</w:instrText>
        </w:r>
        <w:r w:rsidRPr="0079275F">
          <w:rPr>
            <w:rFonts w:ascii="Arial" w:hAnsi="Arial" w:cs="Arial"/>
            <w:sz w:val="18"/>
            <w:szCs w:val="18"/>
            <w:lang w:val="es-CO"/>
          </w:rPr>
          <w:fldChar w:fldCharType="separate"/>
        </w:r>
        <w:r w:rsidR="002154BA">
          <w:rPr>
            <w:rFonts w:ascii="Arial" w:hAnsi="Arial" w:cs="Arial"/>
            <w:noProof/>
            <w:sz w:val="18"/>
            <w:szCs w:val="18"/>
            <w:lang w:val="es-CO"/>
          </w:rPr>
          <w:t>5</w:t>
        </w:r>
        <w:r w:rsidRPr="0079275F">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D0" w:rsidRDefault="003B40D0" w:rsidP="002976A4">
      <w:pPr>
        <w:spacing w:line="240" w:lineRule="auto"/>
      </w:pPr>
      <w:r>
        <w:separator/>
      </w:r>
    </w:p>
  </w:footnote>
  <w:footnote w:type="continuationSeparator" w:id="0">
    <w:p w:rsidR="003B40D0" w:rsidRDefault="003B40D0" w:rsidP="002976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4C" w:rsidRPr="0079275F" w:rsidRDefault="00A9134C" w:rsidP="00A9134C">
    <w:pPr>
      <w:pStyle w:val="Encabezado"/>
      <w:ind w:firstLine="0"/>
      <w:rPr>
        <w:rFonts w:ascii="Arial" w:hAnsi="Arial" w:cs="Arial"/>
        <w:sz w:val="18"/>
        <w:szCs w:val="18"/>
        <w:lang w:val="es-CO"/>
      </w:rPr>
    </w:pPr>
    <w:r w:rsidRPr="0079275F">
      <w:rPr>
        <w:rFonts w:ascii="Arial" w:hAnsi="Arial" w:cs="Arial"/>
        <w:sz w:val="18"/>
        <w:szCs w:val="18"/>
        <w:lang w:val="es-CO"/>
      </w:rPr>
      <w:t>Demandante: Gloria Gladis Escobar</w:t>
    </w:r>
  </w:p>
  <w:p w:rsidR="00A9134C" w:rsidRPr="0079275F" w:rsidRDefault="00A9134C" w:rsidP="00A9134C">
    <w:pPr>
      <w:pStyle w:val="Encabezado"/>
      <w:ind w:firstLine="0"/>
      <w:rPr>
        <w:rFonts w:ascii="Arial" w:hAnsi="Arial" w:cs="Arial"/>
        <w:sz w:val="18"/>
        <w:szCs w:val="18"/>
        <w:lang w:val="es-CO"/>
      </w:rPr>
    </w:pPr>
    <w:r w:rsidRPr="0079275F">
      <w:rPr>
        <w:rFonts w:ascii="Arial" w:hAnsi="Arial" w:cs="Arial"/>
        <w:sz w:val="18"/>
        <w:szCs w:val="18"/>
        <w:lang w:val="es-CO"/>
      </w:rPr>
      <w:t xml:space="preserve">Demandado: Corporación </w:t>
    </w:r>
    <w:proofErr w:type="spellStart"/>
    <w:r w:rsidRPr="0079275F">
      <w:rPr>
        <w:rFonts w:ascii="Arial" w:hAnsi="Arial" w:cs="Arial"/>
        <w:sz w:val="18"/>
        <w:szCs w:val="18"/>
        <w:lang w:val="es-CO"/>
      </w:rPr>
      <w:t>IPS</w:t>
    </w:r>
    <w:proofErr w:type="spellEnd"/>
    <w:r w:rsidRPr="0079275F">
      <w:rPr>
        <w:rFonts w:ascii="Arial" w:hAnsi="Arial" w:cs="Arial"/>
        <w:sz w:val="18"/>
        <w:szCs w:val="18"/>
        <w:lang w:val="es-CO"/>
      </w:rPr>
      <w:t xml:space="preserve"> </w:t>
    </w:r>
    <w:proofErr w:type="spellStart"/>
    <w:r w:rsidRPr="0079275F">
      <w:rPr>
        <w:rFonts w:ascii="Arial" w:hAnsi="Arial" w:cs="Arial"/>
        <w:sz w:val="18"/>
        <w:szCs w:val="18"/>
        <w:lang w:val="es-CO"/>
      </w:rPr>
      <w:t>saludcoop</w:t>
    </w:r>
    <w:proofErr w:type="spellEnd"/>
  </w:p>
  <w:p w:rsidR="00A9134C" w:rsidRPr="0079275F" w:rsidRDefault="00A9134C" w:rsidP="00A9134C">
    <w:pPr>
      <w:pStyle w:val="Encabezado"/>
      <w:ind w:firstLine="0"/>
      <w:rPr>
        <w:rFonts w:ascii="Arial" w:hAnsi="Arial" w:cs="Arial"/>
        <w:sz w:val="18"/>
        <w:szCs w:val="18"/>
        <w:lang w:val="es-CO"/>
      </w:rPr>
    </w:pPr>
    <w:r w:rsidRPr="0079275F">
      <w:rPr>
        <w:rFonts w:ascii="Arial" w:hAnsi="Arial" w:cs="Arial"/>
        <w:sz w:val="18"/>
        <w:szCs w:val="18"/>
        <w:lang w:val="es-CO"/>
      </w:rPr>
      <w:t>Rad.: 2015-00457</w:t>
    </w:r>
  </w:p>
  <w:p w:rsidR="00A9134C" w:rsidRPr="00A9134C" w:rsidRDefault="00A9134C" w:rsidP="00A9134C">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5E"/>
    <w:rsid w:val="00012217"/>
    <w:rsid w:val="0004603E"/>
    <w:rsid w:val="00053743"/>
    <w:rsid w:val="00063FFB"/>
    <w:rsid w:val="000A5920"/>
    <w:rsid w:val="002154BA"/>
    <w:rsid w:val="00220316"/>
    <w:rsid w:val="00245820"/>
    <w:rsid w:val="002976A4"/>
    <w:rsid w:val="002C1107"/>
    <w:rsid w:val="002E581F"/>
    <w:rsid w:val="00306608"/>
    <w:rsid w:val="00366729"/>
    <w:rsid w:val="003822BF"/>
    <w:rsid w:val="003B40D0"/>
    <w:rsid w:val="003D57EC"/>
    <w:rsid w:val="004050C0"/>
    <w:rsid w:val="0045712F"/>
    <w:rsid w:val="004739A6"/>
    <w:rsid w:val="005F621F"/>
    <w:rsid w:val="00655A95"/>
    <w:rsid w:val="006915AA"/>
    <w:rsid w:val="006E5274"/>
    <w:rsid w:val="007563EE"/>
    <w:rsid w:val="0079275F"/>
    <w:rsid w:val="007944EA"/>
    <w:rsid w:val="007A693D"/>
    <w:rsid w:val="00933D99"/>
    <w:rsid w:val="009739F1"/>
    <w:rsid w:val="00A11357"/>
    <w:rsid w:val="00A21CE6"/>
    <w:rsid w:val="00A7383E"/>
    <w:rsid w:val="00A9134C"/>
    <w:rsid w:val="00C1085E"/>
    <w:rsid w:val="00C23AA4"/>
    <w:rsid w:val="00C87A98"/>
    <w:rsid w:val="00CB0A57"/>
    <w:rsid w:val="00D27CA0"/>
    <w:rsid w:val="00D45823"/>
    <w:rsid w:val="00ED47B6"/>
    <w:rsid w:val="00F666CF"/>
    <w:rsid w:val="00F6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106A9-0CC6-4622-B172-4FA6373A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A4"/>
  </w:style>
  <w:style w:type="paragraph" w:styleId="Ttulo4">
    <w:name w:val="heading 4"/>
    <w:basedOn w:val="Normal"/>
    <w:next w:val="Normal"/>
    <w:link w:val="Ttulo4Car"/>
    <w:qFormat/>
    <w:rsid w:val="002976A4"/>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976A4"/>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semiHidden/>
    <w:unhideWhenUsed/>
    <w:rsid w:val="002976A4"/>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2976A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976A4"/>
    <w:rPr>
      <w:vertAlign w:val="superscript"/>
    </w:rPr>
  </w:style>
  <w:style w:type="paragraph" w:styleId="Textodeglobo">
    <w:name w:val="Balloon Text"/>
    <w:basedOn w:val="Normal"/>
    <w:link w:val="TextodegloboCar"/>
    <w:uiPriority w:val="99"/>
    <w:semiHidden/>
    <w:unhideWhenUsed/>
    <w:rsid w:val="002C110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107"/>
    <w:rPr>
      <w:rFonts w:ascii="Segoe UI" w:hAnsi="Segoe UI" w:cs="Segoe UI"/>
      <w:sz w:val="18"/>
      <w:szCs w:val="18"/>
    </w:rPr>
  </w:style>
  <w:style w:type="paragraph" w:styleId="Puesto">
    <w:name w:val="Title"/>
    <w:basedOn w:val="Normal"/>
    <w:link w:val="PuestoCar"/>
    <w:qFormat/>
    <w:rsid w:val="00CB0A57"/>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B0A57"/>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A9134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9134C"/>
  </w:style>
  <w:style w:type="paragraph" w:styleId="Piedepgina">
    <w:name w:val="footer"/>
    <w:basedOn w:val="Normal"/>
    <w:link w:val="PiedepginaCar"/>
    <w:uiPriority w:val="99"/>
    <w:unhideWhenUsed/>
    <w:rsid w:val="00A9134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9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2019-09-20T14:53:00Z</cp:lastPrinted>
  <dcterms:created xsi:type="dcterms:W3CDTF">2019-09-19T15:20:00Z</dcterms:created>
  <dcterms:modified xsi:type="dcterms:W3CDTF">2019-10-11T13:14:00Z</dcterms:modified>
</cp:coreProperties>
</file>