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1A" w:rsidRPr="002C5D1A" w:rsidRDefault="002C5D1A" w:rsidP="002C5D1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C5D1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5D1A" w:rsidRPr="002C5D1A" w:rsidRDefault="002C5D1A" w:rsidP="002C5D1A">
      <w:pPr>
        <w:jc w:val="both"/>
        <w:rPr>
          <w:rFonts w:ascii="Arial" w:hAnsi="Arial" w:cs="Arial"/>
          <w:sz w:val="20"/>
          <w:szCs w:val="20"/>
          <w:lang w:val="es-419"/>
        </w:rPr>
      </w:pPr>
    </w:p>
    <w:p w:rsidR="002C5D1A" w:rsidRPr="002C5D1A" w:rsidRDefault="002C5D1A" w:rsidP="002C5D1A">
      <w:pPr>
        <w:jc w:val="both"/>
        <w:rPr>
          <w:rFonts w:ascii="Arial" w:hAnsi="Arial" w:cs="Arial"/>
          <w:sz w:val="20"/>
          <w:szCs w:val="20"/>
          <w:lang w:val="es-419"/>
        </w:rPr>
      </w:pPr>
      <w:r w:rsidRPr="002C5D1A">
        <w:rPr>
          <w:rFonts w:ascii="Arial" w:hAnsi="Arial" w:cs="Arial"/>
          <w:sz w:val="20"/>
          <w:szCs w:val="20"/>
          <w:lang w:val="es-419"/>
        </w:rPr>
        <w:t>Radicación No.:</w:t>
      </w:r>
      <w:r w:rsidRPr="002C5D1A">
        <w:rPr>
          <w:rFonts w:ascii="Arial" w:hAnsi="Arial" w:cs="Arial"/>
          <w:sz w:val="20"/>
          <w:szCs w:val="20"/>
          <w:lang w:val="es-419"/>
        </w:rPr>
        <w:tab/>
      </w:r>
      <w:r w:rsidRPr="002C5D1A">
        <w:rPr>
          <w:rFonts w:ascii="Arial" w:hAnsi="Arial" w:cs="Arial"/>
          <w:sz w:val="20"/>
          <w:szCs w:val="20"/>
          <w:lang w:val="es-419"/>
        </w:rPr>
        <w:tab/>
        <w:t>66001-31-05-003-2012-00218-01</w:t>
      </w:r>
    </w:p>
    <w:p w:rsidR="002C5D1A" w:rsidRPr="002C5D1A" w:rsidRDefault="002C5D1A" w:rsidP="002C5D1A">
      <w:pPr>
        <w:jc w:val="both"/>
        <w:rPr>
          <w:rFonts w:ascii="Arial" w:hAnsi="Arial" w:cs="Arial"/>
          <w:sz w:val="20"/>
          <w:szCs w:val="20"/>
          <w:lang w:val="es-419"/>
        </w:rPr>
      </w:pPr>
      <w:r w:rsidRPr="002C5D1A">
        <w:rPr>
          <w:rFonts w:ascii="Arial" w:hAnsi="Arial" w:cs="Arial"/>
          <w:sz w:val="20"/>
          <w:szCs w:val="20"/>
          <w:lang w:val="es-419"/>
        </w:rPr>
        <w:t>Proceso:</w:t>
      </w:r>
      <w:r w:rsidRPr="002C5D1A">
        <w:rPr>
          <w:rFonts w:ascii="Arial" w:hAnsi="Arial" w:cs="Arial"/>
          <w:sz w:val="20"/>
          <w:szCs w:val="20"/>
          <w:lang w:val="es-419"/>
        </w:rPr>
        <w:tab/>
      </w:r>
      <w:r w:rsidRPr="002C5D1A">
        <w:rPr>
          <w:rFonts w:ascii="Arial" w:hAnsi="Arial" w:cs="Arial"/>
          <w:sz w:val="20"/>
          <w:szCs w:val="20"/>
          <w:lang w:val="es-419"/>
        </w:rPr>
        <w:tab/>
        <w:t>Ejecutivo Laboral</w:t>
      </w:r>
    </w:p>
    <w:p w:rsidR="002C5D1A" w:rsidRPr="002C5D1A" w:rsidRDefault="002C5D1A" w:rsidP="002C5D1A">
      <w:pPr>
        <w:jc w:val="both"/>
        <w:rPr>
          <w:rFonts w:ascii="Arial" w:hAnsi="Arial" w:cs="Arial"/>
          <w:sz w:val="20"/>
          <w:szCs w:val="20"/>
          <w:lang w:val="es-419"/>
        </w:rPr>
      </w:pPr>
      <w:r w:rsidRPr="002C5D1A">
        <w:rPr>
          <w:rFonts w:ascii="Arial" w:hAnsi="Arial" w:cs="Arial"/>
          <w:sz w:val="20"/>
          <w:szCs w:val="20"/>
          <w:lang w:val="es-419"/>
        </w:rPr>
        <w:t>Ejecutante:</w:t>
      </w:r>
      <w:r w:rsidRPr="002C5D1A">
        <w:rPr>
          <w:rFonts w:ascii="Arial" w:hAnsi="Arial" w:cs="Arial"/>
          <w:sz w:val="20"/>
          <w:szCs w:val="20"/>
          <w:lang w:val="es-419"/>
        </w:rPr>
        <w:tab/>
      </w:r>
      <w:r w:rsidRPr="002C5D1A">
        <w:rPr>
          <w:rFonts w:ascii="Arial" w:hAnsi="Arial" w:cs="Arial"/>
          <w:sz w:val="20"/>
          <w:szCs w:val="20"/>
          <w:lang w:val="es-419"/>
        </w:rPr>
        <w:tab/>
        <w:t>Martha Regina Román Betancur</w:t>
      </w:r>
    </w:p>
    <w:p w:rsidR="002C5D1A" w:rsidRPr="002C5D1A" w:rsidRDefault="002C5D1A" w:rsidP="002C5D1A">
      <w:pPr>
        <w:jc w:val="both"/>
        <w:rPr>
          <w:rFonts w:ascii="Arial" w:hAnsi="Arial" w:cs="Arial"/>
          <w:sz w:val="20"/>
          <w:szCs w:val="20"/>
          <w:lang w:val="es-419"/>
        </w:rPr>
      </w:pPr>
      <w:r w:rsidRPr="002C5D1A">
        <w:rPr>
          <w:rFonts w:ascii="Arial" w:hAnsi="Arial" w:cs="Arial"/>
          <w:sz w:val="20"/>
          <w:szCs w:val="20"/>
          <w:lang w:val="es-419"/>
        </w:rPr>
        <w:t>Ejecutada:</w:t>
      </w:r>
      <w:r w:rsidRPr="002C5D1A">
        <w:rPr>
          <w:rFonts w:ascii="Arial" w:hAnsi="Arial" w:cs="Arial"/>
          <w:sz w:val="20"/>
          <w:szCs w:val="20"/>
          <w:lang w:val="es-419"/>
        </w:rPr>
        <w:tab/>
      </w:r>
      <w:r w:rsidRPr="002C5D1A">
        <w:rPr>
          <w:rFonts w:ascii="Arial" w:hAnsi="Arial" w:cs="Arial"/>
          <w:sz w:val="20"/>
          <w:szCs w:val="20"/>
          <w:lang w:val="es-419"/>
        </w:rPr>
        <w:tab/>
        <w:t>Colpensiones</w:t>
      </w:r>
    </w:p>
    <w:p w:rsidR="002C5D1A" w:rsidRPr="002C5D1A" w:rsidRDefault="002C5D1A" w:rsidP="002C5D1A">
      <w:pPr>
        <w:jc w:val="both"/>
        <w:rPr>
          <w:rFonts w:ascii="Arial" w:hAnsi="Arial" w:cs="Arial"/>
          <w:sz w:val="20"/>
          <w:szCs w:val="20"/>
          <w:lang w:val="es-419"/>
        </w:rPr>
      </w:pPr>
      <w:r w:rsidRPr="002C5D1A">
        <w:rPr>
          <w:rFonts w:ascii="Arial" w:hAnsi="Arial" w:cs="Arial"/>
          <w:sz w:val="20"/>
          <w:szCs w:val="20"/>
          <w:lang w:val="es-419"/>
        </w:rPr>
        <w:t xml:space="preserve">Magistrada ponente: </w:t>
      </w:r>
      <w:r w:rsidRPr="002C5D1A">
        <w:rPr>
          <w:rFonts w:ascii="Arial" w:hAnsi="Arial" w:cs="Arial"/>
          <w:sz w:val="20"/>
          <w:szCs w:val="20"/>
          <w:lang w:val="es-419"/>
        </w:rPr>
        <w:tab/>
        <w:t>Dra. Ana Lucía Caicedo Calderón</w:t>
      </w:r>
    </w:p>
    <w:p w:rsidR="002C5D1A" w:rsidRPr="002C5D1A" w:rsidRDefault="002C5D1A" w:rsidP="002C5D1A">
      <w:pPr>
        <w:jc w:val="both"/>
        <w:rPr>
          <w:rFonts w:ascii="Arial" w:hAnsi="Arial" w:cs="Arial"/>
          <w:sz w:val="20"/>
          <w:szCs w:val="20"/>
          <w:lang w:val="es-419"/>
        </w:rPr>
      </w:pPr>
      <w:r w:rsidRPr="002C5D1A">
        <w:rPr>
          <w:rFonts w:ascii="Arial" w:hAnsi="Arial" w:cs="Arial"/>
          <w:sz w:val="20"/>
          <w:szCs w:val="20"/>
          <w:lang w:val="es-419"/>
        </w:rPr>
        <w:t xml:space="preserve">Juzgado de origen: </w:t>
      </w:r>
      <w:r w:rsidRPr="002C5D1A">
        <w:rPr>
          <w:rFonts w:ascii="Arial" w:hAnsi="Arial" w:cs="Arial"/>
          <w:sz w:val="20"/>
          <w:szCs w:val="20"/>
          <w:lang w:val="es-419"/>
        </w:rPr>
        <w:tab/>
        <w:t>Primero Laboral del Circuito Pereira</w:t>
      </w:r>
    </w:p>
    <w:p w:rsidR="002C5D1A" w:rsidRPr="002C5D1A" w:rsidRDefault="002C5D1A" w:rsidP="002C5D1A">
      <w:pPr>
        <w:jc w:val="both"/>
        <w:rPr>
          <w:rFonts w:ascii="Arial" w:hAnsi="Arial" w:cs="Arial"/>
          <w:sz w:val="20"/>
          <w:szCs w:val="20"/>
          <w:lang w:val="es-419"/>
        </w:rPr>
      </w:pPr>
    </w:p>
    <w:p w:rsidR="002C5D1A" w:rsidRPr="002C5D1A" w:rsidRDefault="002C5D1A" w:rsidP="002C5D1A">
      <w:pPr>
        <w:jc w:val="both"/>
        <w:rPr>
          <w:rFonts w:ascii="Arial" w:hAnsi="Arial" w:cs="Arial"/>
          <w:b/>
          <w:bCs/>
          <w:iCs/>
          <w:sz w:val="20"/>
          <w:szCs w:val="20"/>
          <w:lang w:val="es-419" w:eastAsia="fr-FR"/>
        </w:rPr>
      </w:pPr>
      <w:r w:rsidRPr="002C5D1A">
        <w:rPr>
          <w:rFonts w:ascii="Arial" w:hAnsi="Arial" w:cs="Arial"/>
          <w:b/>
          <w:bCs/>
          <w:iCs/>
          <w:sz w:val="20"/>
          <w:szCs w:val="20"/>
          <w:u w:val="single"/>
          <w:lang w:val="es-419" w:eastAsia="fr-FR"/>
        </w:rPr>
        <w:t>TEMAS:</w:t>
      </w:r>
      <w:r w:rsidRPr="002C5D1A">
        <w:rPr>
          <w:rFonts w:ascii="Arial" w:hAnsi="Arial" w:cs="Arial"/>
          <w:b/>
          <w:bCs/>
          <w:iCs/>
          <w:sz w:val="20"/>
          <w:szCs w:val="20"/>
          <w:lang w:val="es-419" w:eastAsia="fr-FR"/>
        </w:rPr>
        <w:tab/>
      </w:r>
      <w:r w:rsidR="009440F5">
        <w:rPr>
          <w:rFonts w:ascii="Arial" w:hAnsi="Arial" w:cs="Arial"/>
          <w:b/>
          <w:bCs/>
          <w:iCs/>
          <w:sz w:val="20"/>
          <w:szCs w:val="20"/>
          <w:lang w:val="es-CO" w:eastAsia="fr-FR"/>
        </w:rPr>
        <w:t>COSTAS PROCESALES / PRESCRIPCIÓN / TÉRMINO: 3 AÑOS / SE RIGE POR EL ARTÍCULO 2542 DEL CÓDIGO CIVIL Y NO POR EL 2536 / INTERRUPCIÓN.</w:t>
      </w:r>
    </w:p>
    <w:p w:rsidR="002C5D1A" w:rsidRPr="002C5D1A" w:rsidRDefault="002C5D1A" w:rsidP="002C5D1A">
      <w:pPr>
        <w:jc w:val="both"/>
        <w:rPr>
          <w:rFonts w:ascii="Arial" w:hAnsi="Arial" w:cs="Arial"/>
          <w:sz w:val="20"/>
          <w:szCs w:val="20"/>
          <w:lang w:val="es-419"/>
        </w:rPr>
      </w:pPr>
    </w:p>
    <w:p w:rsidR="00576CDD" w:rsidRPr="00576CDD" w:rsidRDefault="009A18E4" w:rsidP="00576CDD">
      <w:pPr>
        <w:jc w:val="both"/>
        <w:rPr>
          <w:rFonts w:ascii="Arial" w:hAnsi="Arial" w:cs="Arial"/>
          <w:sz w:val="20"/>
          <w:szCs w:val="20"/>
          <w:lang w:val="es-CO"/>
        </w:rPr>
      </w:pPr>
      <w:r w:rsidRPr="009A18E4">
        <w:rPr>
          <w:rFonts w:ascii="Arial" w:hAnsi="Arial" w:cs="Arial"/>
          <w:sz w:val="20"/>
          <w:szCs w:val="20"/>
          <w:lang w:val="es-419"/>
        </w:rPr>
        <w:t>Esta Corporación con anterioridad había sostenido que la norma que consagraba el término de prescripción de la acción ejecutiva para el cobro de costas procesales era el artículo 2536 del C.C., que establece 5 años; no obstante, un nuevo estudio del tema llevó a la Sala a establecer que en realidad la norma que disciplina la procedencia del cobro de dichos emolumentos es el artículo 2542 ibídem, que establece 3 años.</w:t>
      </w:r>
      <w:r>
        <w:rPr>
          <w:rFonts w:ascii="Arial" w:hAnsi="Arial" w:cs="Arial"/>
          <w:sz w:val="20"/>
          <w:szCs w:val="20"/>
          <w:lang w:val="es-CO"/>
        </w:rPr>
        <w:t xml:space="preserve"> </w:t>
      </w:r>
      <w:r w:rsidR="00576CDD" w:rsidRPr="00576CDD">
        <w:rPr>
          <w:rFonts w:ascii="Arial" w:hAnsi="Arial" w:cs="Arial"/>
          <w:sz w:val="20"/>
          <w:szCs w:val="20"/>
          <w:lang w:val="es-CO"/>
        </w:rPr>
        <w:t>Lo anterior conllevó a que en auto del 16 de octubre de 2019, Radicado No. 2011-00312-01, con ponencia del Dr. Julio Cesar Salazar Muñoz, se cambiara el precedente en los siguientes términos:</w:t>
      </w:r>
    </w:p>
    <w:p w:rsidR="00576CDD" w:rsidRPr="00576CDD" w:rsidRDefault="00576CDD" w:rsidP="00576CDD">
      <w:pPr>
        <w:jc w:val="both"/>
        <w:rPr>
          <w:rFonts w:ascii="Arial" w:hAnsi="Arial" w:cs="Arial"/>
          <w:sz w:val="20"/>
          <w:szCs w:val="20"/>
          <w:lang w:val="es-CO"/>
        </w:rPr>
      </w:pPr>
    </w:p>
    <w:p w:rsidR="002C5D1A" w:rsidRPr="009A18E4" w:rsidRDefault="00576CDD" w:rsidP="00576CDD">
      <w:pPr>
        <w:jc w:val="both"/>
        <w:rPr>
          <w:rFonts w:ascii="Arial" w:hAnsi="Arial" w:cs="Arial"/>
          <w:sz w:val="20"/>
          <w:szCs w:val="20"/>
          <w:lang w:val="es-CO"/>
        </w:rPr>
      </w:pPr>
      <w:r w:rsidRPr="00576CDD">
        <w:rPr>
          <w:rFonts w:ascii="Arial" w:hAnsi="Arial" w:cs="Arial"/>
          <w:sz w:val="20"/>
          <w:szCs w:val="20"/>
          <w:lang w:val="es-CO"/>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w:t>
      </w:r>
      <w:r w:rsidRPr="00576CDD">
        <w:rPr>
          <w:rFonts w:ascii="Arial" w:hAnsi="Arial" w:cs="Arial"/>
          <w:sz w:val="20"/>
          <w:szCs w:val="20"/>
          <w:lang w:val="es-CO"/>
        </w:rPr>
        <w:t xml:space="preserve"> </w:t>
      </w:r>
      <w:r w:rsidR="009A18E4">
        <w:rPr>
          <w:rFonts w:ascii="Arial" w:hAnsi="Arial" w:cs="Arial"/>
          <w:sz w:val="20"/>
          <w:szCs w:val="20"/>
          <w:lang w:val="es-CO"/>
        </w:rPr>
        <w:t>(…)</w:t>
      </w:r>
    </w:p>
    <w:p w:rsidR="002C5D1A" w:rsidRPr="002C5D1A" w:rsidRDefault="002C5D1A" w:rsidP="002C5D1A">
      <w:pPr>
        <w:jc w:val="both"/>
        <w:rPr>
          <w:rFonts w:ascii="Arial" w:hAnsi="Arial" w:cs="Arial"/>
          <w:sz w:val="20"/>
          <w:szCs w:val="20"/>
          <w:lang w:val="es-419"/>
        </w:rPr>
      </w:pPr>
    </w:p>
    <w:p w:rsidR="002C5D1A" w:rsidRPr="002C5D1A" w:rsidRDefault="00576CDD" w:rsidP="002C5D1A">
      <w:pPr>
        <w:jc w:val="both"/>
        <w:rPr>
          <w:rFonts w:ascii="Arial" w:hAnsi="Arial" w:cs="Arial"/>
          <w:sz w:val="20"/>
          <w:szCs w:val="20"/>
          <w:lang w:val="es-419"/>
        </w:rPr>
      </w:pPr>
      <w:r w:rsidRPr="00576CDD">
        <w:rPr>
          <w:rFonts w:ascii="Arial" w:hAnsi="Arial" w:cs="Arial"/>
          <w:sz w:val="20"/>
          <w:szCs w:val="20"/>
          <w:lang w:val="es-419"/>
        </w:rPr>
        <w:t>Lo dicho hasta aquí permite concluir que fue acertada la determinación de la Jueza de primer grado al tener como norma regente, para el estudio de la prescripción de las costas procesales, el artículo 2542 del Código Civil; asimismo, se comparte la fecha en que consideró que se había interrumpido el fenómeno extintivo, pues de conformidad con la jurisprudencia en cita, fue la reclamación presentada el 12 de septiembre de 2013 la que tuvo la vocación de contener la extinción de la obligación y de reiniciar su conteo por el término trienal, mismo que se extendió hasta el 12 de septiembre de 2016.</w:t>
      </w:r>
    </w:p>
    <w:p w:rsidR="002C5D1A" w:rsidRPr="002C5D1A" w:rsidRDefault="002C5D1A" w:rsidP="002C5D1A">
      <w:pPr>
        <w:jc w:val="both"/>
        <w:rPr>
          <w:rFonts w:ascii="Arial" w:hAnsi="Arial" w:cs="Arial"/>
          <w:sz w:val="20"/>
          <w:szCs w:val="20"/>
        </w:rPr>
      </w:pPr>
    </w:p>
    <w:p w:rsidR="002C5D1A" w:rsidRPr="002C5D1A" w:rsidRDefault="002C5D1A" w:rsidP="002C5D1A">
      <w:pPr>
        <w:jc w:val="both"/>
        <w:rPr>
          <w:rFonts w:ascii="Arial" w:hAnsi="Arial" w:cs="Arial"/>
          <w:sz w:val="20"/>
          <w:szCs w:val="20"/>
        </w:rPr>
      </w:pPr>
    </w:p>
    <w:p w:rsidR="002C5D1A" w:rsidRPr="002C5D1A" w:rsidRDefault="002C5D1A" w:rsidP="002C5D1A">
      <w:pPr>
        <w:jc w:val="both"/>
        <w:rPr>
          <w:rFonts w:ascii="Arial" w:hAnsi="Arial" w:cs="Arial"/>
          <w:sz w:val="20"/>
          <w:szCs w:val="20"/>
        </w:rPr>
      </w:pPr>
    </w:p>
    <w:p w:rsidR="00D3635B" w:rsidRPr="002C5D1A" w:rsidRDefault="00D3635B" w:rsidP="004B0B82">
      <w:pPr>
        <w:pStyle w:val="Ttulo4"/>
        <w:widowControl w:val="0"/>
        <w:tabs>
          <w:tab w:val="clear" w:pos="0"/>
        </w:tabs>
        <w:rPr>
          <w:rFonts w:ascii="Tahoma" w:hAnsi="Tahoma" w:cs="Tahoma"/>
          <w:bCs/>
          <w:szCs w:val="24"/>
          <w:lang w:eastAsia="es-MX"/>
        </w:rPr>
      </w:pPr>
      <w:r w:rsidRPr="002C5D1A">
        <w:rPr>
          <w:rFonts w:ascii="Tahoma" w:hAnsi="Tahoma" w:cs="Tahoma"/>
          <w:bCs/>
          <w:szCs w:val="24"/>
          <w:lang w:eastAsia="es-MX"/>
        </w:rPr>
        <w:t>TRIBUNAL SUPERIOR DEL DISTRITO JUDICIAL DE PEREIRA</w:t>
      </w:r>
    </w:p>
    <w:p w:rsidR="00D3635B" w:rsidRPr="002C5D1A" w:rsidRDefault="00D3635B" w:rsidP="004B0B82">
      <w:pPr>
        <w:pStyle w:val="Ttulo4"/>
        <w:widowControl w:val="0"/>
        <w:tabs>
          <w:tab w:val="clear" w:pos="0"/>
        </w:tabs>
        <w:rPr>
          <w:rFonts w:ascii="Tahoma" w:hAnsi="Tahoma" w:cs="Tahoma"/>
          <w:bCs/>
          <w:szCs w:val="24"/>
          <w:lang w:eastAsia="es-MX"/>
        </w:rPr>
      </w:pPr>
      <w:r w:rsidRPr="002C5D1A">
        <w:rPr>
          <w:rFonts w:ascii="Tahoma" w:hAnsi="Tahoma" w:cs="Tahoma"/>
          <w:bCs/>
          <w:szCs w:val="24"/>
          <w:lang w:eastAsia="es-MX"/>
        </w:rPr>
        <w:t xml:space="preserve">SALA </w:t>
      </w:r>
      <w:r w:rsidR="0088671C" w:rsidRPr="002C5D1A">
        <w:rPr>
          <w:rFonts w:ascii="Tahoma" w:hAnsi="Tahoma" w:cs="Tahoma"/>
          <w:bCs/>
          <w:szCs w:val="24"/>
          <w:lang w:eastAsia="es-MX"/>
        </w:rPr>
        <w:t>DE DECISIÓN LABORAL No. 1</w:t>
      </w:r>
    </w:p>
    <w:p w:rsidR="00D3635B" w:rsidRPr="002C5D1A" w:rsidRDefault="00D3635B" w:rsidP="004B0B82">
      <w:pPr>
        <w:jc w:val="center"/>
        <w:rPr>
          <w:rFonts w:ascii="Tahoma" w:hAnsi="Tahoma" w:cs="Tahoma"/>
          <w:bCs/>
        </w:rPr>
      </w:pPr>
    </w:p>
    <w:p w:rsidR="00D3635B" w:rsidRPr="002C5D1A" w:rsidRDefault="00D3635B" w:rsidP="004B0B82">
      <w:pPr>
        <w:jc w:val="center"/>
        <w:rPr>
          <w:rFonts w:ascii="Tahoma" w:hAnsi="Tahoma" w:cs="Tahoma"/>
          <w:b/>
          <w:bCs/>
        </w:rPr>
      </w:pPr>
      <w:r w:rsidRPr="002C5D1A">
        <w:rPr>
          <w:rFonts w:ascii="Tahoma" w:hAnsi="Tahoma" w:cs="Tahoma"/>
          <w:bCs/>
        </w:rPr>
        <w:t xml:space="preserve">Magistrada </w:t>
      </w:r>
      <w:r w:rsidR="0088671C" w:rsidRPr="002C5D1A">
        <w:rPr>
          <w:rFonts w:ascii="Tahoma" w:hAnsi="Tahoma" w:cs="Tahoma"/>
          <w:bCs/>
        </w:rPr>
        <w:t>ponente</w:t>
      </w:r>
      <w:r w:rsidRPr="002C5D1A">
        <w:rPr>
          <w:rFonts w:ascii="Tahoma" w:hAnsi="Tahoma" w:cs="Tahoma"/>
          <w:bCs/>
        </w:rPr>
        <w:t>:</w:t>
      </w:r>
      <w:r w:rsidRPr="002C5D1A">
        <w:rPr>
          <w:rFonts w:ascii="Tahoma" w:hAnsi="Tahoma" w:cs="Tahoma"/>
          <w:b/>
          <w:bCs/>
        </w:rPr>
        <w:t xml:space="preserve"> </w:t>
      </w:r>
      <w:r w:rsidR="0088671C" w:rsidRPr="002C5D1A">
        <w:rPr>
          <w:rFonts w:ascii="Tahoma" w:hAnsi="Tahoma" w:cs="Tahoma"/>
          <w:b/>
          <w:bCs/>
        </w:rPr>
        <w:t>Ana Lucía Caicedo Calderón</w:t>
      </w:r>
    </w:p>
    <w:p w:rsidR="00D3635B" w:rsidRPr="002C5D1A" w:rsidRDefault="00D3635B" w:rsidP="004B0B82">
      <w:pPr>
        <w:jc w:val="center"/>
        <w:rPr>
          <w:rFonts w:ascii="Tahoma" w:hAnsi="Tahoma" w:cs="Tahoma"/>
          <w:b/>
        </w:rPr>
      </w:pPr>
    </w:p>
    <w:p w:rsidR="00FB2D4B" w:rsidRPr="002C5D1A" w:rsidRDefault="0088671C" w:rsidP="004B0B82">
      <w:pPr>
        <w:jc w:val="center"/>
        <w:rPr>
          <w:rFonts w:ascii="Tahoma" w:hAnsi="Tahoma" w:cs="Tahoma"/>
          <w:b/>
        </w:rPr>
      </w:pPr>
      <w:r w:rsidRPr="002C5D1A">
        <w:rPr>
          <w:rFonts w:ascii="Tahoma" w:hAnsi="Tahoma" w:cs="Tahoma"/>
          <w:b/>
        </w:rPr>
        <w:t xml:space="preserve">Acta </w:t>
      </w:r>
      <w:r w:rsidR="00FB2D4B" w:rsidRPr="002C5D1A">
        <w:rPr>
          <w:rFonts w:ascii="Tahoma" w:hAnsi="Tahoma" w:cs="Tahoma"/>
          <w:b/>
        </w:rPr>
        <w:t>No.____</w:t>
      </w:r>
    </w:p>
    <w:p w:rsidR="00671E77" w:rsidRPr="002C5D1A" w:rsidRDefault="00671E77" w:rsidP="004B0B82">
      <w:pPr>
        <w:jc w:val="center"/>
        <w:rPr>
          <w:rFonts w:ascii="Tahoma" w:hAnsi="Tahoma" w:cs="Tahoma"/>
          <w:b/>
        </w:rPr>
      </w:pPr>
    </w:p>
    <w:p w:rsidR="00F37868" w:rsidRPr="002C5D1A" w:rsidRDefault="00F37868" w:rsidP="004B0B82">
      <w:pPr>
        <w:jc w:val="center"/>
        <w:rPr>
          <w:rFonts w:ascii="Tahoma" w:hAnsi="Tahoma" w:cs="Tahoma"/>
          <w:lang w:val="es-ES_tradnl"/>
        </w:rPr>
      </w:pPr>
      <w:r w:rsidRPr="002C5D1A">
        <w:rPr>
          <w:rFonts w:ascii="Tahoma" w:hAnsi="Tahoma" w:cs="Tahoma"/>
          <w:spacing w:val="2"/>
          <w:lang w:val="es-ES_tradnl"/>
        </w:rPr>
        <w:t>P</w:t>
      </w:r>
      <w:r w:rsidRPr="002C5D1A">
        <w:rPr>
          <w:rFonts w:ascii="Tahoma" w:hAnsi="Tahoma" w:cs="Tahoma"/>
          <w:lang w:val="es-ES_tradnl"/>
        </w:rPr>
        <w:t xml:space="preserve">ereira (Risaralda), </w:t>
      </w:r>
      <w:r w:rsidR="00D87E48" w:rsidRPr="002C5D1A">
        <w:rPr>
          <w:rFonts w:ascii="Tahoma" w:hAnsi="Tahoma" w:cs="Tahoma"/>
          <w:lang w:val="es-ES_tradnl"/>
        </w:rPr>
        <w:t>25</w:t>
      </w:r>
      <w:r w:rsidR="00217B62" w:rsidRPr="002C5D1A">
        <w:rPr>
          <w:rFonts w:ascii="Tahoma" w:hAnsi="Tahoma" w:cs="Tahoma"/>
          <w:lang w:val="es-ES_tradnl"/>
        </w:rPr>
        <w:t xml:space="preserve"> de </w:t>
      </w:r>
      <w:r w:rsidR="00D87E48" w:rsidRPr="002C5D1A">
        <w:rPr>
          <w:rFonts w:ascii="Tahoma" w:hAnsi="Tahoma" w:cs="Tahoma"/>
          <w:lang w:val="es-ES_tradnl"/>
        </w:rPr>
        <w:t>octubre</w:t>
      </w:r>
      <w:r w:rsidR="00217B62" w:rsidRPr="002C5D1A">
        <w:rPr>
          <w:rFonts w:ascii="Tahoma" w:hAnsi="Tahoma" w:cs="Tahoma"/>
          <w:lang w:val="es-ES_tradnl"/>
        </w:rPr>
        <w:t xml:space="preserve"> </w:t>
      </w:r>
      <w:r w:rsidR="00FF6D3B" w:rsidRPr="002C5D1A">
        <w:rPr>
          <w:rFonts w:ascii="Tahoma" w:hAnsi="Tahoma" w:cs="Tahoma"/>
          <w:lang w:val="es-ES_tradnl"/>
        </w:rPr>
        <w:t>de 201</w:t>
      </w:r>
      <w:r w:rsidR="00C83793" w:rsidRPr="002C5D1A">
        <w:rPr>
          <w:rFonts w:ascii="Tahoma" w:hAnsi="Tahoma" w:cs="Tahoma"/>
          <w:lang w:val="es-ES_tradnl"/>
        </w:rPr>
        <w:t>9</w:t>
      </w:r>
    </w:p>
    <w:p w:rsidR="00F37868" w:rsidRPr="002C5D1A" w:rsidRDefault="00F37868" w:rsidP="002C4A8C">
      <w:pPr>
        <w:jc w:val="both"/>
        <w:rPr>
          <w:rFonts w:ascii="Tahoma" w:hAnsi="Tahoma" w:cs="Tahoma"/>
          <w:lang w:val="es-ES_tradnl"/>
        </w:rPr>
      </w:pPr>
    </w:p>
    <w:p w:rsidR="003A4A4B" w:rsidRPr="002C5D1A" w:rsidRDefault="003A4A4B" w:rsidP="002C4A8C">
      <w:pPr>
        <w:spacing w:line="276" w:lineRule="auto"/>
        <w:ind w:firstLine="708"/>
        <w:jc w:val="both"/>
        <w:rPr>
          <w:rFonts w:ascii="Tahoma" w:hAnsi="Tahoma" w:cs="Tahoma"/>
          <w:b/>
          <w:lang w:val="es-ES_tradnl"/>
        </w:rPr>
      </w:pPr>
      <w:r w:rsidRPr="002C5D1A">
        <w:rPr>
          <w:rFonts w:ascii="Tahoma" w:hAnsi="Tahoma" w:cs="Tahoma"/>
          <w:lang w:val="es-ES_tradnl"/>
        </w:rPr>
        <w:t>Siendo las 11:45 a.m. de hoy, viernes 2</w:t>
      </w:r>
      <w:r w:rsidR="00D87E48" w:rsidRPr="002C5D1A">
        <w:rPr>
          <w:rFonts w:ascii="Tahoma" w:hAnsi="Tahoma" w:cs="Tahoma"/>
          <w:lang w:val="es-ES_tradnl"/>
        </w:rPr>
        <w:t xml:space="preserve">5 de octubre </w:t>
      </w:r>
      <w:r w:rsidRPr="002C5D1A">
        <w:rPr>
          <w:rFonts w:ascii="Tahoma" w:hAnsi="Tahoma" w:cs="Tahoma"/>
          <w:lang w:val="es-ES_tradnl"/>
        </w:rPr>
        <w:t>de 2019, la Sala de Decisión Laboral No. 1 del Tribunal Superior de Pereira se constituye en audiencia pública de juzgamiento en el proceso ejecutivo laboral instaurado por</w:t>
      </w:r>
      <w:r w:rsidRPr="002C5D1A">
        <w:rPr>
          <w:rFonts w:ascii="Tahoma" w:hAnsi="Tahoma" w:cs="Tahoma"/>
          <w:b/>
          <w:lang w:val="es-ES_tradnl"/>
        </w:rPr>
        <w:t xml:space="preserve"> Alba Rosa Cuartas</w:t>
      </w:r>
      <w:r w:rsidRPr="002C5D1A">
        <w:rPr>
          <w:rFonts w:ascii="Tahoma" w:hAnsi="Tahoma" w:cs="Tahoma"/>
        </w:rPr>
        <w:t xml:space="preserve"> </w:t>
      </w:r>
      <w:r w:rsidRPr="002C5D1A">
        <w:rPr>
          <w:rFonts w:ascii="Tahoma" w:hAnsi="Tahoma" w:cs="Tahoma"/>
          <w:b/>
          <w:lang w:val="es-ES_tradnl"/>
        </w:rPr>
        <w:t xml:space="preserve">Ramírez </w:t>
      </w:r>
      <w:r w:rsidRPr="002C5D1A">
        <w:rPr>
          <w:rFonts w:ascii="Tahoma" w:hAnsi="Tahoma" w:cs="Tahoma"/>
          <w:lang w:val="es-ES_tradnl"/>
        </w:rPr>
        <w:t>en</w:t>
      </w:r>
      <w:r w:rsidRPr="002C5D1A">
        <w:rPr>
          <w:rFonts w:ascii="Tahoma" w:hAnsi="Tahoma" w:cs="Tahoma"/>
          <w:b/>
          <w:lang w:val="es-ES_tradnl"/>
        </w:rPr>
        <w:t xml:space="preserve"> </w:t>
      </w:r>
      <w:r w:rsidRPr="002C5D1A">
        <w:rPr>
          <w:rFonts w:ascii="Tahoma" w:hAnsi="Tahoma" w:cs="Tahoma"/>
          <w:lang w:val="es-ES_tradnl"/>
        </w:rPr>
        <w:t xml:space="preserve">contra de </w:t>
      </w:r>
      <w:r w:rsidRPr="002C5D1A">
        <w:rPr>
          <w:rFonts w:ascii="Tahoma" w:hAnsi="Tahoma" w:cs="Tahoma"/>
          <w:b/>
          <w:lang w:val="es-ES_tradnl"/>
        </w:rPr>
        <w:t>Administradora Colombiana de Pensiones – Colpensiones</w:t>
      </w:r>
      <w:r w:rsidR="00D87E48" w:rsidRPr="002C5D1A">
        <w:rPr>
          <w:rFonts w:ascii="Tahoma" w:hAnsi="Tahoma" w:cs="Tahoma"/>
          <w:lang w:val="es-ES_tradnl"/>
        </w:rPr>
        <w:t>.</w:t>
      </w:r>
    </w:p>
    <w:p w:rsidR="003A4A4B" w:rsidRPr="002C5D1A" w:rsidRDefault="003A4A4B" w:rsidP="002C4A8C">
      <w:pPr>
        <w:spacing w:line="276" w:lineRule="auto"/>
        <w:jc w:val="both"/>
        <w:rPr>
          <w:rFonts w:ascii="Tahoma" w:hAnsi="Tahoma" w:cs="Tahoma"/>
          <w:lang w:val="es-ES_tradnl"/>
        </w:rPr>
      </w:pPr>
    </w:p>
    <w:p w:rsidR="00F37868" w:rsidRPr="002C5D1A" w:rsidRDefault="004F2AB7" w:rsidP="002C4A8C">
      <w:pPr>
        <w:spacing w:line="276" w:lineRule="auto"/>
        <w:jc w:val="center"/>
        <w:rPr>
          <w:rFonts w:ascii="Tahoma" w:hAnsi="Tahoma" w:cs="Tahoma"/>
          <w:b/>
          <w:lang w:val="es-ES_tradnl"/>
        </w:rPr>
      </w:pPr>
      <w:r w:rsidRPr="002C5D1A">
        <w:rPr>
          <w:rFonts w:ascii="Tahoma" w:hAnsi="Tahoma" w:cs="Tahoma"/>
          <w:b/>
          <w:lang w:val="es-ES_tradnl"/>
        </w:rPr>
        <w:t>Punto a tratar</w:t>
      </w:r>
    </w:p>
    <w:p w:rsidR="00F37868" w:rsidRPr="002C5D1A" w:rsidRDefault="00F37868" w:rsidP="002C4A8C">
      <w:pPr>
        <w:spacing w:line="276" w:lineRule="auto"/>
        <w:jc w:val="center"/>
        <w:rPr>
          <w:rFonts w:ascii="Tahoma" w:hAnsi="Tahoma" w:cs="Tahoma"/>
          <w:b/>
          <w:lang w:val="es-ES_tradnl"/>
        </w:rPr>
      </w:pPr>
    </w:p>
    <w:p w:rsidR="00CB7166" w:rsidRPr="002C5D1A" w:rsidRDefault="00F37868" w:rsidP="002C4A8C">
      <w:pPr>
        <w:spacing w:line="276" w:lineRule="auto"/>
        <w:ind w:firstLine="708"/>
        <w:jc w:val="both"/>
        <w:rPr>
          <w:rFonts w:ascii="Tahoma" w:hAnsi="Tahoma" w:cs="Tahoma"/>
        </w:rPr>
      </w:pPr>
      <w:r w:rsidRPr="002C5D1A">
        <w:rPr>
          <w:rFonts w:ascii="Tahoma" w:hAnsi="Tahoma" w:cs="Tahoma"/>
          <w:lang w:val="es-ES_tradnl"/>
        </w:rPr>
        <w:t>Por medio de la presente providencia se entra a desatar el recurso de apelación</w:t>
      </w:r>
      <w:r w:rsidR="00BA5A54" w:rsidRPr="002C5D1A">
        <w:rPr>
          <w:rFonts w:ascii="Tahoma" w:hAnsi="Tahoma" w:cs="Tahoma"/>
          <w:lang w:val="es-ES_tradnl"/>
        </w:rPr>
        <w:t xml:space="preserve"> </w:t>
      </w:r>
      <w:r w:rsidRPr="002C5D1A">
        <w:rPr>
          <w:rFonts w:ascii="Tahoma" w:hAnsi="Tahoma" w:cs="Tahoma"/>
          <w:lang w:val="es-ES_tradnl"/>
        </w:rPr>
        <w:t xml:space="preserve">interpuesto por </w:t>
      </w:r>
      <w:r w:rsidR="0069065B" w:rsidRPr="002C5D1A">
        <w:rPr>
          <w:rFonts w:ascii="Tahoma" w:hAnsi="Tahoma" w:cs="Tahoma"/>
          <w:lang w:val="es-ES_tradnl"/>
        </w:rPr>
        <w:t xml:space="preserve">la </w:t>
      </w:r>
      <w:r w:rsidR="003C6BF3" w:rsidRPr="002C5D1A">
        <w:rPr>
          <w:rFonts w:ascii="Tahoma" w:hAnsi="Tahoma" w:cs="Tahoma"/>
          <w:lang w:val="es-ES_tradnl"/>
        </w:rPr>
        <w:t>parte ejecuta</w:t>
      </w:r>
      <w:r w:rsidR="00EE7F24" w:rsidRPr="002C5D1A">
        <w:rPr>
          <w:rFonts w:ascii="Tahoma" w:hAnsi="Tahoma" w:cs="Tahoma"/>
          <w:lang w:val="es-ES_tradnl"/>
        </w:rPr>
        <w:t xml:space="preserve">nte contra el </w:t>
      </w:r>
      <w:r w:rsidR="0084071B" w:rsidRPr="002C5D1A">
        <w:rPr>
          <w:rFonts w:ascii="Tahoma" w:hAnsi="Tahoma" w:cs="Tahoma"/>
          <w:lang w:val="es-ES_tradnl"/>
        </w:rPr>
        <w:t xml:space="preserve">auto proferido el </w:t>
      </w:r>
      <w:r w:rsidR="00D87E48" w:rsidRPr="002C5D1A">
        <w:rPr>
          <w:rFonts w:ascii="Tahoma" w:hAnsi="Tahoma" w:cs="Tahoma"/>
          <w:lang w:val="es-ES_tradnl"/>
        </w:rPr>
        <w:t xml:space="preserve">9 de agosto </w:t>
      </w:r>
      <w:r w:rsidR="00217B62" w:rsidRPr="002C5D1A">
        <w:rPr>
          <w:rFonts w:ascii="Tahoma" w:hAnsi="Tahoma" w:cs="Tahoma"/>
          <w:lang w:val="es-ES_tradnl"/>
        </w:rPr>
        <w:t>de 2019</w:t>
      </w:r>
      <w:r w:rsidR="004F2AB7" w:rsidRPr="002C5D1A">
        <w:rPr>
          <w:rFonts w:ascii="Tahoma" w:hAnsi="Tahoma" w:cs="Tahoma"/>
          <w:lang w:val="es-ES_tradnl"/>
        </w:rPr>
        <w:t>, por medio del cual se declaró probada la excepción de prescripción propuesta por la entidad demandada.</w:t>
      </w:r>
      <w:r w:rsidR="004B0B82" w:rsidRPr="002C5D1A">
        <w:rPr>
          <w:rFonts w:ascii="Tahoma" w:hAnsi="Tahoma" w:cs="Tahoma"/>
          <w:lang w:val="es-ES_tradnl"/>
        </w:rPr>
        <w:t xml:space="preserve"> </w:t>
      </w:r>
      <w:r w:rsidRPr="002C5D1A">
        <w:rPr>
          <w:rFonts w:ascii="Tahoma" w:hAnsi="Tahoma" w:cs="Tahoma"/>
          <w:lang w:val="es-ES_tradnl"/>
        </w:rPr>
        <w:t xml:space="preserve">En sesión previa que se hizo constar en la mencionada acta, la </w:t>
      </w:r>
      <w:r w:rsidRPr="002C5D1A">
        <w:rPr>
          <w:rFonts w:ascii="Tahoma" w:hAnsi="Tahoma" w:cs="Tahoma"/>
          <w:lang w:val="es-ES_tradnl"/>
        </w:rPr>
        <w:lastRenderedPageBreak/>
        <w:t xml:space="preserve">Sala discutió y aprobó el proyecto que presentó la Magistrada Ponente, el cual alude al siguiente </w:t>
      </w:r>
      <w:r w:rsidRPr="002C5D1A">
        <w:rPr>
          <w:rFonts w:ascii="Tahoma" w:hAnsi="Tahoma" w:cs="Tahoma"/>
          <w:b/>
          <w:lang w:val="es-ES_tradnl"/>
        </w:rPr>
        <w:t>auto interlocutorio</w:t>
      </w:r>
      <w:r w:rsidRPr="002C5D1A">
        <w:rPr>
          <w:rFonts w:ascii="Tahoma" w:hAnsi="Tahoma" w:cs="Tahoma"/>
        </w:rPr>
        <w:t>:</w:t>
      </w:r>
    </w:p>
    <w:p w:rsidR="0069065B" w:rsidRPr="002C5D1A" w:rsidRDefault="0069065B" w:rsidP="002C4A8C">
      <w:pPr>
        <w:spacing w:line="276" w:lineRule="auto"/>
        <w:ind w:firstLine="708"/>
        <w:jc w:val="both"/>
        <w:rPr>
          <w:rFonts w:ascii="Tahoma" w:hAnsi="Tahoma" w:cs="Tahoma"/>
        </w:rPr>
      </w:pPr>
    </w:p>
    <w:p w:rsidR="00CB7166" w:rsidRPr="002C5D1A" w:rsidRDefault="004F2AB7" w:rsidP="002C4A8C">
      <w:pPr>
        <w:pStyle w:val="Prrafodelista"/>
        <w:numPr>
          <w:ilvl w:val="0"/>
          <w:numId w:val="15"/>
        </w:numPr>
        <w:tabs>
          <w:tab w:val="left" w:pos="284"/>
        </w:tabs>
        <w:spacing w:line="276" w:lineRule="auto"/>
        <w:ind w:left="0" w:firstLine="0"/>
        <w:jc w:val="center"/>
        <w:rPr>
          <w:rFonts w:ascii="Tahoma" w:hAnsi="Tahoma" w:cs="Tahoma"/>
          <w:b/>
        </w:rPr>
      </w:pPr>
      <w:r w:rsidRPr="002C5D1A">
        <w:rPr>
          <w:rFonts w:ascii="Tahoma" w:hAnsi="Tahoma" w:cs="Tahoma"/>
          <w:b/>
        </w:rPr>
        <w:t>Antecedentes procesales</w:t>
      </w:r>
    </w:p>
    <w:p w:rsidR="00CB7166" w:rsidRPr="002C5D1A" w:rsidRDefault="00CB7166" w:rsidP="002C4A8C">
      <w:pPr>
        <w:spacing w:line="276" w:lineRule="auto"/>
        <w:ind w:firstLine="708"/>
        <w:jc w:val="center"/>
        <w:rPr>
          <w:rFonts w:ascii="Tahoma" w:hAnsi="Tahoma" w:cs="Tahoma"/>
          <w:b/>
        </w:rPr>
      </w:pPr>
    </w:p>
    <w:p w:rsidR="00142385" w:rsidRPr="002C5D1A" w:rsidRDefault="00595D36" w:rsidP="002C4A8C">
      <w:pPr>
        <w:tabs>
          <w:tab w:val="left" w:pos="-720"/>
        </w:tabs>
        <w:suppressAutoHyphens/>
        <w:spacing w:line="276" w:lineRule="auto"/>
        <w:jc w:val="both"/>
        <w:rPr>
          <w:rFonts w:ascii="Tahoma" w:hAnsi="Tahoma" w:cs="Tahoma"/>
          <w:spacing w:val="-3"/>
          <w:kern w:val="1"/>
        </w:rPr>
      </w:pPr>
      <w:r w:rsidRPr="002C5D1A">
        <w:rPr>
          <w:rFonts w:ascii="Tahoma" w:hAnsi="Tahoma" w:cs="Tahoma"/>
        </w:rPr>
        <w:tab/>
      </w:r>
      <w:r w:rsidR="00DF7BB6" w:rsidRPr="002C5D1A">
        <w:rPr>
          <w:rFonts w:ascii="Tahoma" w:hAnsi="Tahoma" w:cs="Tahoma"/>
        </w:rPr>
        <w:t xml:space="preserve">Para lo que interesa al recurso de apelación, hay que decir que </w:t>
      </w:r>
      <w:r w:rsidR="008A5C50" w:rsidRPr="002C5D1A">
        <w:rPr>
          <w:rFonts w:ascii="Tahoma" w:hAnsi="Tahoma" w:cs="Tahoma"/>
        </w:rPr>
        <w:t xml:space="preserve">el presente proceso ejecutivo se inició </w:t>
      </w:r>
      <w:r w:rsidRPr="002C5D1A">
        <w:rPr>
          <w:rFonts w:ascii="Tahoma" w:hAnsi="Tahoma" w:cs="Tahoma"/>
          <w:spacing w:val="-3"/>
          <w:kern w:val="1"/>
        </w:rPr>
        <w:t xml:space="preserve">en procura del pago de las costas procesales que fueran ordenadas en el fallo proferido </w:t>
      </w:r>
      <w:r w:rsidR="00D87E48" w:rsidRPr="002C5D1A">
        <w:rPr>
          <w:rFonts w:ascii="Tahoma" w:hAnsi="Tahoma" w:cs="Tahoma"/>
          <w:spacing w:val="-3"/>
          <w:kern w:val="1"/>
        </w:rPr>
        <w:t>por esta Corporación el 12 de abril de 2013</w:t>
      </w:r>
      <w:r w:rsidRPr="002C5D1A">
        <w:rPr>
          <w:rFonts w:ascii="Tahoma" w:hAnsi="Tahoma" w:cs="Tahoma"/>
          <w:spacing w:val="-3"/>
          <w:kern w:val="1"/>
        </w:rPr>
        <w:t xml:space="preserve"> (</w:t>
      </w:r>
      <w:proofErr w:type="spellStart"/>
      <w:r w:rsidRPr="002C5D1A">
        <w:rPr>
          <w:rFonts w:ascii="Tahoma" w:hAnsi="Tahoma" w:cs="Tahoma"/>
          <w:spacing w:val="-3"/>
          <w:kern w:val="1"/>
        </w:rPr>
        <w:t>fl</w:t>
      </w:r>
      <w:proofErr w:type="spellEnd"/>
      <w:r w:rsidRPr="002C5D1A">
        <w:rPr>
          <w:rFonts w:ascii="Tahoma" w:hAnsi="Tahoma" w:cs="Tahoma"/>
          <w:spacing w:val="-3"/>
          <w:kern w:val="1"/>
        </w:rPr>
        <w:t xml:space="preserve">. </w:t>
      </w:r>
      <w:r w:rsidR="00D87E48" w:rsidRPr="002C5D1A">
        <w:rPr>
          <w:rFonts w:ascii="Tahoma" w:hAnsi="Tahoma" w:cs="Tahoma"/>
          <w:spacing w:val="-3"/>
          <w:kern w:val="1"/>
        </w:rPr>
        <w:t>68</w:t>
      </w:r>
      <w:r w:rsidRPr="002C5D1A">
        <w:rPr>
          <w:rFonts w:ascii="Tahoma" w:hAnsi="Tahoma" w:cs="Tahoma"/>
          <w:spacing w:val="-3"/>
          <w:kern w:val="1"/>
        </w:rPr>
        <w:t>).</w:t>
      </w:r>
      <w:r w:rsidR="00DF7BB6" w:rsidRPr="002C5D1A">
        <w:rPr>
          <w:rFonts w:ascii="Tahoma" w:hAnsi="Tahoma" w:cs="Tahoma"/>
          <w:spacing w:val="-3"/>
          <w:kern w:val="1"/>
        </w:rPr>
        <w:t xml:space="preserve"> El despacho de conocimiento m</w:t>
      </w:r>
      <w:r w:rsidR="00DF7BB6" w:rsidRPr="002C5D1A">
        <w:rPr>
          <w:rFonts w:ascii="Tahoma" w:hAnsi="Tahoma" w:cs="Tahoma"/>
        </w:rPr>
        <w:t>ediante auto d</w:t>
      </w:r>
      <w:r w:rsidR="00142385" w:rsidRPr="002C5D1A">
        <w:rPr>
          <w:rFonts w:ascii="Tahoma" w:hAnsi="Tahoma" w:cs="Tahoma"/>
        </w:rPr>
        <w:t>e</w:t>
      </w:r>
      <w:r w:rsidR="00142385" w:rsidRPr="002C5D1A">
        <w:rPr>
          <w:rFonts w:ascii="Tahoma" w:hAnsi="Tahoma" w:cs="Tahoma"/>
          <w:spacing w:val="-3"/>
          <w:kern w:val="1"/>
        </w:rPr>
        <w:t xml:space="preserve">l </w:t>
      </w:r>
      <w:r w:rsidR="00D87E48" w:rsidRPr="002C5D1A">
        <w:rPr>
          <w:rFonts w:ascii="Tahoma" w:hAnsi="Tahoma" w:cs="Tahoma"/>
          <w:spacing w:val="-3"/>
          <w:kern w:val="1"/>
        </w:rPr>
        <w:t>18 d</w:t>
      </w:r>
      <w:r w:rsidR="00217B62" w:rsidRPr="002C5D1A">
        <w:rPr>
          <w:rFonts w:ascii="Tahoma" w:hAnsi="Tahoma" w:cs="Tahoma"/>
          <w:spacing w:val="-3"/>
          <w:kern w:val="1"/>
        </w:rPr>
        <w:t xml:space="preserve">e </w:t>
      </w:r>
      <w:r w:rsidR="00D87E48" w:rsidRPr="002C5D1A">
        <w:rPr>
          <w:rFonts w:ascii="Tahoma" w:hAnsi="Tahoma" w:cs="Tahoma"/>
          <w:spacing w:val="-3"/>
          <w:kern w:val="1"/>
        </w:rPr>
        <w:t xml:space="preserve">enero de 2019 </w:t>
      </w:r>
      <w:r w:rsidR="00142385" w:rsidRPr="002C5D1A">
        <w:rPr>
          <w:rFonts w:ascii="Tahoma" w:hAnsi="Tahoma" w:cs="Tahoma"/>
          <w:spacing w:val="-3"/>
          <w:kern w:val="1"/>
        </w:rPr>
        <w:t>libró mandamiento de pago por la suma de $</w:t>
      </w:r>
      <w:r w:rsidR="00D87E48" w:rsidRPr="002C5D1A">
        <w:rPr>
          <w:rFonts w:ascii="Tahoma" w:hAnsi="Tahoma" w:cs="Tahoma"/>
          <w:spacing w:val="-3"/>
          <w:kern w:val="1"/>
        </w:rPr>
        <w:t>3</w:t>
      </w:r>
      <w:r w:rsidR="00217B62" w:rsidRPr="002C5D1A">
        <w:rPr>
          <w:rFonts w:ascii="Tahoma" w:hAnsi="Tahoma" w:cs="Tahoma"/>
          <w:spacing w:val="-3"/>
          <w:kern w:val="1"/>
        </w:rPr>
        <w:t>.</w:t>
      </w:r>
      <w:r w:rsidR="00D87E48" w:rsidRPr="002C5D1A">
        <w:rPr>
          <w:rFonts w:ascii="Tahoma" w:hAnsi="Tahoma" w:cs="Tahoma"/>
          <w:spacing w:val="-3"/>
          <w:kern w:val="1"/>
        </w:rPr>
        <w:t>772</w:t>
      </w:r>
      <w:r w:rsidR="00217B62" w:rsidRPr="002C5D1A">
        <w:rPr>
          <w:rFonts w:ascii="Tahoma" w:hAnsi="Tahoma" w:cs="Tahoma"/>
          <w:spacing w:val="-3"/>
          <w:kern w:val="1"/>
        </w:rPr>
        <w:t>.</w:t>
      </w:r>
      <w:r w:rsidR="00D87E48" w:rsidRPr="002C5D1A">
        <w:rPr>
          <w:rFonts w:ascii="Tahoma" w:hAnsi="Tahoma" w:cs="Tahoma"/>
          <w:spacing w:val="-3"/>
          <w:kern w:val="1"/>
        </w:rPr>
        <w:t>800</w:t>
      </w:r>
      <w:r w:rsidR="00142385" w:rsidRPr="002C5D1A">
        <w:rPr>
          <w:rFonts w:ascii="Tahoma" w:hAnsi="Tahoma" w:cs="Tahoma"/>
          <w:spacing w:val="-3"/>
          <w:kern w:val="1"/>
        </w:rPr>
        <w:t xml:space="preserve"> (</w:t>
      </w:r>
      <w:proofErr w:type="spellStart"/>
      <w:r w:rsidR="00142385" w:rsidRPr="002C5D1A">
        <w:rPr>
          <w:rFonts w:ascii="Tahoma" w:hAnsi="Tahoma" w:cs="Tahoma"/>
          <w:spacing w:val="-3"/>
          <w:kern w:val="1"/>
        </w:rPr>
        <w:t>fl</w:t>
      </w:r>
      <w:proofErr w:type="spellEnd"/>
      <w:r w:rsidR="00142385" w:rsidRPr="002C5D1A">
        <w:rPr>
          <w:rFonts w:ascii="Tahoma" w:hAnsi="Tahoma" w:cs="Tahoma"/>
          <w:spacing w:val="-3"/>
          <w:kern w:val="1"/>
        </w:rPr>
        <w:t xml:space="preserve">. </w:t>
      </w:r>
      <w:r w:rsidR="00D87E48" w:rsidRPr="002C5D1A">
        <w:rPr>
          <w:rFonts w:ascii="Tahoma" w:hAnsi="Tahoma" w:cs="Tahoma"/>
          <w:spacing w:val="-3"/>
          <w:kern w:val="1"/>
        </w:rPr>
        <w:t>129</w:t>
      </w:r>
      <w:r w:rsidR="00142385" w:rsidRPr="002C5D1A">
        <w:rPr>
          <w:rFonts w:ascii="Tahoma" w:hAnsi="Tahoma" w:cs="Tahoma"/>
          <w:spacing w:val="-3"/>
          <w:kern w:val="1"/>
        </w:rPr>
        <w:t>).</w:t>
      </w:r>
    </w:p>
    <w:p w:rsidR="00142385" w:rsidRPr="002C5D1A" w:rsidRDefault="00142385" w:rsidP="002C4A8C">
      <w:pPr>
        <w:spacing w:line="276" w:lineRule="auto"/>
        <w:ind w:firstLine="708"/>
        <w:jc w:val="both"/>
        <w:rPr>
          <w:rFonts w:ascii="Tahoma" w:hAnsi="Tahoma" w:cs="Tahoma"/>
        </w:rPr>
      </w:pPr>
    </w:p>
    <w:p w:rsidR="000F780E" w:rsidRPr="002C5D1A" w:rsidRDefault="004F2AB7" w:rsidP="002C4A8C">
      <w:pPr>
        <w:pStyle w:val="Prrafodelista"/>
        <w:numPr>
          <w:ilvl w:val="0"/>
          <w:numId w:val="15"/>
        </w:numPr>
        <w:tabs>
          <w:tab w:val="left" w:pos="142"/>
          <w:tab w:val="left" w:pos="567"/>
        </w:tabs>
        <w:spacing w:line="276" w:lineRule="auto"/>
        <w:ind w:left="0" w:firstLine="0"/>
        <w:jc w:val="center"/>
        <w:rPr>
          <w:rFonts w:ascii="Tahoma" w:hAnsi="Tahoma" w:cs="Tahoma"/>
          <w:b/>
        </w:rPr>
      </w:pPr>
      <w:r w:rsidRPr="002C5D1A">
        <w:rPr>
          <w:rFonts w:ascii="Tahoma" w:hAnsi="Tahoma" w:cs="Tahoma"/>
          <w:b/>
        </w:rPr>
        <w:t>Auto apelado</w:t>
      </w:r>
    </w:p>
    <w:p w:rsidR="00AF763F" w:rsidRPr="002C5D1A" w:rsidRDefault="00AF763F" w:rsidP="002C4A8C">
      <w:pPr>
        <w:pStyle w:val="Prrafodelista"/>
        <w:tabs>
          <w:tab w:val="left" w:pos="142"/>
          <w:tab w:val="left" w:pos="567"/>
        </w:tabs>
        <w:spacing w:line="276" w:lineRule="auto"/>
        <w:ind w:left="0"/>
        <w:rPr>
          <w:rFonts w:ascii="Tahoma" w:hAnsi="Tahoma" w:cs="Tahoma"/>
          <w:b/>
          <w:u w:val="single"/>
        </w:rPr>
      </w:pPr>
    </w:p>
    <w:p w:rsidR="00803E0B" w:rsidRPr="002C5D1A" w:rsidRDefault="00AF763F" w:rsidP="002C4A8C">
      <w:pPr>
        <w:spacing w:line="276" w:lineRule="auto"/>
        <w:ind w:firstLine="709"/>
        <w:jc w:val="both"/>
        <w:rPr>
          <w:rFonts w:ascii="Tahoma" w:hAnsi="Tahoma" w:cs="Tahoma"/>
          <w:spacing w:val="-3"/>
          <w:kern w:val="1"/>
        </w:rPr>
      </w:pPr>
      <w:r w:rsidRPr="002C5D1A">
        <w:rPr>
          <w:rFonts w:ascii="Tahoma" w:hAnsi="Tahoma" w:cs="Tahoma"/>
          <w:spacing w:val="-3"/>
          <w:kern w:val="1"/>
        </w:rPr>
        <w:t>Contra el mandamiento ejecutivo se propuso, entre otras, la excepción de mérito de “Prescripción”, la cual se declaró probada</w:t>
      </w:r>
      <w:r w:rsidR="00DF7BB6" w:rsidRPr="002C5D1A">
        <w:rPr>
          <w:rFonts w:ascii="Tahoma" w:hAnsi="Tahoma" w:cs="Tahoma"/>
          <w:spacing w:val="-3"/>
          <w:kern w:val="1"/>
        </w:rPr>
        <w:t xml:space="preserve"> a través de la providencia objeto de censura, consecuencia de lo cual se dio por terminado el proceso ejecutivo</w:t>
      </w:r>
      <w:r w:rsidR="00A23FA3" w:rsidRPr="002C5D1A">
        <w:rPr>
          <w:rFonts w:ascii="Tahoma" w:hAnsi="Tahoma" w:cs="Tahoma"/>
          <w:spacing w:val="-3"/>
          <w:kern w:val="1"/>
        </w:rPr>
        <w:t xml:space="preserve"> frente a dicha obligación </w:t>
      </w:r>
      <w:r w:rsidR="00DF7BB6" w:rsidRPr="002C5D1A">
        <w:rPr>
          <w:rFonts w:ascii="Tahoma" w:hAnsi="Tahoma" w:cs="Tahoma"/>
          <w:spacing w:val="-3"/>
          <w:kern w:val="1"/>
        </w:rPr>
        <w:t>y se condenó en costas a la parte ejecutante</w:t>
      </w:r>
      <w:r w:rsidR="009F4778" w:rsidRPr="002C5D1A">
        <w:rPr>
          <w:rFonts w:ascii="Tahoma" w:hAnsi="Tahoma" w:cs="Tahoma"/>
          <w:spacing w:val="-3"/>
          <w:kern w:val="1"/>
        </w:rPr>
        <w:t xml:space="preserve"> (</w:t>
      </w:r>
      <w:proofErr w:type="spellStart"/>
      <w:r w:rsidR="009F4778" w:rsidRPr="002C5D1A">
        <w:rPr>
          <w:rFonts w:ascii="Tahoma" w:hAnsi="Tahoma" w:cs="Tahoma"/>
          <w:spacing w:val="-3"/>
          <w:kern w:val="1"/>
        </w:rPr>
        <w:t>fl</w:t>
      </w:r>
      <w:proofErr w:type="spellEnd"/>
      <w:r w:rsidR="009F4778" w:rsidRPr="002C5D1A">
        <w:rPr>
          <w:rFonts w:ascii="Tahoma" w:hAnsi="Tahoma" w:cs="Tahoma"/>
          <w:spacing w:val="-3"/>
          <w:kern w:val="1"/>
        </w:rPr>
        <w:t>. 182)</w:t>
      </w:r>
      <w:r w:rsidR="00DF7BB6" w:rsidRPr="002C5D1A">
        <w:rPr>
          <w:rFonts w:ascii="Tahoma" w:hAnsi="Tahoma" w:cs="Tahoma"/>
          <w:spacing w:val="-3"/>
          <w:kern w:val="1"/>
        </w:rPr>
        <w:t>.</w:t>
      </w:r>
      <w:r w:rsidRPr="002C5D1A">
        <w:rPr>
          <w:rFonts w:ascii="Tahoma" w:hAnsi="Tahoma" w:cs="Tahoma"/>
          <w:spacing w:val="-3"/>
          <w:kern w:val="1"/>
        </w:rPr>
        <w:t xml:space="preserve"> </w:t>
      </w:r>
    </w:p>
    <w:p w:rsidR="00AF763F" w:rsidRPr="002C5D1A" w:rsidRDefault="00AF763F" w:rsidP="002C4A8C">
      <w:pPr>
        <w:spacing w:line="276" w:lineRule="auto"/>
        <w:ind w:firstLine="709"/>
        <w:jc w:val="both"/>
        <w:rPr>
          <w:rFonts w:ascii="Tahoma" w:hAnsi="Tahoma" w:cs="Tahoma"/>
          <w:b/>
          <w:u w:val="single"/>
        </w:rPr>
      </w:pPr>
    </w:p>
    <w:p w:rsidR="00AF78BF" w:rsidRPr="002C5D1A" w:rsidRDefault="00B65911" w:rsidP="002C4A8C">
      <w:pPr>
        <w:tabs>
          <w:tab w:val="left" w:pos="-720"/>
        </w:tabs>
        <w:suppressAutoHyphens/>
        <w:spacing w:line="276" w:lineRule="auto"/>
        <w:jc w:val="both"/>
        <w:rPr>
          <w:rFonts w:ascii="Tahoma" w:hAnsi="Tahoma" w:cs="Tahoma"/>
          <w:spacing w:val="-3"/>
          <w:kern w:val="1"/>
        </w:rPr>
      </w:pPr>
      <w:r w:rsidRPr="002C5D1A">
        <w:rPr>
          <w:rFonts w:ascii="Tahoma" w:hAnsi="Tahoma" w:cs="Tahoma"/>
          <w:spacing w:val="-3"/>
          <w:kern w:val="1"/>
        </w:rPr>
        <w:tab/>
      </w:r>
      <w:r w:rsidR="00AF763F" w:rsidRPr="002C5D1A">
        <w:rPr>
          <w:rFonts w:ascii="Tahoma" w:hAnsi="Tahoma" w:cs="Tahoma"/>
          <w:spacing w:val="-3"/>
          <w:kern w:val="1"/>
        </w:rPr>
        <w:t xml:space="preserve">Para llegar a tal determinación la A-quo </w:t>
      </w:r>
      <w:r w:rsidR="00ED7528" w:rsidRPr="002C5D1A">
        <w:rPr>
          <w:rFonts w:ascii="Tahoma" w:hAnsi="Tahoma" w:cs="Tahoma"/>
          <w:spacing w:val="-3"/>
          <w:kern w:val="1"/>
        </w:rPr>
        <w:t xml:space="preserve">indicó, en síntesis, </w:t>
      </w:r>
      <w:r w:rsidR="009F4778" w:rsidRPr="002C5D1A">
        <w:rPr>
          <w:rFonts w:ascii="Tahoma" w:hAnsi="Tahoma" w:cs="Tahoma"/>
          <w:spacing w:val="-3"/>
          <w:kern w:val="1"/>
        </w:rPr>
        <w:t xml:space="preserve">que </w:t>
      </w:r>
      <w:r w:rsidR="00ED7528" w:rsidRPr="002C5D1A">
        <w:rPr>
          <w:rFonts w:ascii="Tahoma" w:hAnsi="Tahoma" w:cs="Tahoma"/>
          <w:spacing w:val="-3"/>
          <w:kern w:val="1"/>
        </w:rPr>
        <w:t>de vieja data ha sostenido que el artículo 2542 d</w:t>
      </w:r>
      <w:r w:rsidR="009F4778" w:rsidRPr="002C5D1A">
        <w:rPr>
          <w:rFonts w:ascii="Tahoma" w:hAnsi="Tahoma" w:cs="Tahoma"/>
          <w:spacing w:val="-3"/>
          <w:kern w:val="1"/>
        </w:rPr>
        <w:t xml:space="preserve">el Código Civil </w:t>
      </w:r>
      <w:r w:rsidR="00AF78BF" w:rsidRPr="002C5D1A">
        <w:rPr>
          <w:rFonts w:ascii="Tahoma" w:hAnsi="Tahoma" w:cs="Tahoma"/>
          <w:spacing w:val="-3"/>
          <w:kern w:val="1"/>
        </w:rPr>
        <w:t xml:space="preserve">dispone </w:t>
      </w:r>
      <w:r w:rsidR="009F4778" w:rsidRPr="002C5D1A">
        <w:rPr>
          <w:rFonts w:ascii="Tahoma" w:hAnsi="Tahoma" w:cs="Tahoma"/>
          <w:spacing w:val="-3"/>
          <w:kern w:val="1"/>
        </w:rPr>
        <w:t xml:space="preserve">expresamente </w:t>
      </w:r>
      <w:r w:rsidR="00AF78BF" w:rsidRPr="002C5D1A">
        <w:rPr>
          <w:rFonts w:ascii="Tahoma" w:hAnsi="Tahoma" w:cs="Tahoma"/>
          <w:spacing w:val="-3"/>
          <w:kern w:val="1"/>
        </w:rPr>
        <w:t xml:space="preserve">que </w:t>
      </w:r>
      <w:r w:rsidR="00ED7528" w:rsidRPr="002C5D1A">
        <w:rPr>
          <w:rFonts w:ascii="Tahoma" w:hAnsi="Tahoma" w:cs="Tahoma"/>
          <w:spacing w:val="-3"/>
          <w:kern w:val="1"/>
        </w:rPr>
        <w:t>el término de</w:t>
      </w:r>
      <w:r w:rsidR="009F4778" w:rsidRPr="002C5D1A">
        <w:rPr>
          <w:rFonts w:ascii="Tahoma" w:hAnsi="Tahoma" w:cs="Tahoma"/>
          <w:spacing w:val="-3"/>
          <w:kern w:val="1"/>
        </w:rPr>
        <w:t xml:space="preserve"> prescripción de las costas procesales</w:t>
      </w:r>
      <w:r w:rsidR="00AF78BF" w:rsidRPr="002C5D1A">
        <w:rPr>
          <w:rFonts w:ascii="Tahoma" w:hAnsi="Tahoma" w:cs="Tahoma"/>
          <w:spacing w:val="-3"/>
          <w:kern w:val="1"/>
        </w:rPr>
        <w:t xml:space="preserve"> </w:t>
      </w:r>
      <w:r w:rsidR="00ED7528" w:rsidRPr="002C5D1A">
        <w:rPr>
          <w:rFonts w:ascii="Tahoma" w:hAnsi="Tahoma" w:cs="Tahoma"/>
          <w:spacing w:val="-3"/>
          <w:kern w:val="1"/>
        </w:rPr>
        <w:t xml:space="preserve">es de </w:t>
      </w:r>
      <w:r w:rsidR="00AF78BF" w:rsidRPr="002C5D1A">
        <w:rPr>
          <w:rFonts w:ascii="Tahoma" w:hAnsi="Tahoma" w:cs="Tahoma"/>
          <w:spacing w:val="-3"/>
          <w:kern w:val="1"/>
        </w:rPr>
        <w:t>tres años</w:t>
      </w:r>
      <w:r w:rsidR="009F4778" w:rsidRPr="002C5D1A">
        <w:rPr>
          <w:rFonts w:ascii="Tahoma" w:hAnsi="Tahoma" w:cs="Tahoma"/>
          <w:spacing w:val="-3"/>
          <w:kern w:val="1"/>
        </w:rPr>
        <w:t xml:space="preserve">, </w:t>
      </w:r>
      <w:r w:rsidR="00ED7528" w:rsidRPr="002C5D1A">
        <w:rPr>
          <w:rFonts w:ascii="Tahoma" w:hAnsi="Tahoma" w:cs="Tahoma"/>
          <w:spacing w:val="-3"/>
          <w:kern w:val="1"/>
        </w:rPr>
        <w:t xml:space="preserve">siendo ese </w:t>
      </w:r>
      <w:r w:rsidR="009F4778" w:rsidRPr="002C5D1A">
        <w:rPr>
          <w:rFonts w:ascii="Tahoma" w:hAnsi="Tahoma" w:cs="Tahoma"/>
          <w:spacing w:val="-3"/>
          <w:kern w:val="1"/>
        </w:rPr>
        <w:t xml:space="preserve">canon el que debía atenderse para verificar si la excepción de prescripción </w:t>
      </w:r>
      <w:r w:rsidR="00AF78BF" w:rsidRPr="002C5D1A">
        <w:rPr>
          <w:rFonts w:ascii="Tahoma" w:hAnsi="Tahoma" w:cs="Tahoma"/>
          <w:spacing w:val="-3"/>
          <w:kern w:val="1"/>
        </w:rPr>
        <w:t xml:space="preserve">propuesta por Colpensiones </w:t>
      </w:r>
      <w:r w:rsidR="009F4778" w:rsidRPr="002C5D1A">
        <w:rPr>
          <w:rFonts w:ascii="Tahoma" w:hAnsi="Tahoma" w:cs="Tahoma"/>
          <w:spacing w:val="-3"/>
          <w:kern w:val="1"/>
        </w:rPr>
        <w:t>tenía vocación de prosperidad; para ello, señaló que</w:t>
      </w:r>
      <w:r w:rsidR="00AF78BF" w:rsidRPr="002C5D1A">
        <w:rPr>
          <w:rFonts w:ascii="Tahoma" w:hAnsi="Tahoma" w:cs="Tahoma"/>
          <w:spacing w:val="-3"/>
          <w:kern w:val="1"/>
        </w:rPr>
        <w:t xml:space="preserve"> </w:t>
      </w:r>
      <w:r w:rsidR="00ED7528" w:rsidRPr="002C5D1A">
        <w:rPr>
          <w:rFonts w:ascii="Tahoma" w:hAnsi="Tahoma" w:cs="Tahoma"/>
          <w:spacing w:val="-3"/>
          <w:kern w:val="1"/>
        </w:rPr>
        <w:t xml:space="preserve">como </w:t>
      </w:r>
      <w:r w:rsidR="00AF78BF" w:rsidRPr="002C5D1A">
        <w:rPr>
          <w:rFonts w:ascii="Tahoma" w:hAnsi="Tahoma" w:cs="Tahoma"/>
          <w:spacing w:val="-3"/>
          <w:kern w:val="1"/>
        </w:rPr>
        <w:t>el demandante solicitó el cumplimiento del fallo judicial el 12 de septiembre de 2013</w:t>
      </w:r>
      <w:r w:rsidR="00725C7E" w:rsidRPr="002C5D1A">
        <w:rPr>
          <w:rFonts w:ascii="Tahoma" w:hAnsi="Tahoma" w:cs="Tahoma"/>
          <w:spacing w:val="-3"/>
          <w:kern w:val="1"/>
        </w:rPr>
        <w:t>, fue esa reclamación la que interrumpió el fenómeno extintivo hasta el 11 de septiembre de 2016</w:t>
      </w:r>
      <w:r w:rsidR="00ED7528" w:rsidRPr="002C5D1A">
        <w:rPr>
          <w:rFonts w:ascii="Tahoma" w:hAnsi="Tahoma" w:cs="Tahoma"/>
          <w:spacing w:val="-3"/>
          <w:kern w:val="1"/>
        </w:rPr>
        <w:t>;</w:t>
      </w:r>
      <w:r w:rsidR="00725C7E" w:rsidRPr="002C5D1A">
        <w:rPr>
          <w:rFonts w:ascii="Tahoma" w:hAnsi="Tahoma" w:cs="Tahoma"/>
          <w:spacing w:val="-3"/>
          <w:kern w:val="1"/>
        </w:rPr>
        <w:t xml:space="preserve"> por lo que </w:t>
      </w:r>
      <w:r w:rsidR="00ED7528" w:rsidRPr="002C5D1A">
        <w:rPr>
          <w:rFonts w:ascii="Tahoma" w:hAnsi="Tahoma" w:cs="Tahoma"/>
          <w:spacing w:val="-3"/>
          <w:kern w:val="1"/>
        </w:rPr>
        <w:t xml:space="preserve">la </w:t>
      </w:r>
      <w:r w:rsidR="00725C7E" w:rsidRPr="002C5D1A">
        <w:rPr>
          <w:rFonts w:ascii="Tahoma" w:hAnsi="Tahoma" w:cs="Tahoma"/>
          <w:spacing w:val="-3"/>
          <w:kern w:val="1"/>
        </w:rPr>
        <w:t xml:space="preserve">demanda ejecutiva instaurada el 15 de enero de 2019 </w:t>
      </w:r>
      <w:r w:rsidR="00ED7528" w:rsidRPr="002C5D1A">
        <w:rPr>
          <w:rFonts w:ascii="Tahoma" w:hAnsi="Tahoma" w:cs="Tahoma"/>
          <w:spacing w:val="-3"/>
          <w:kern w:val="1"/>
        </w:rPr>
        <w:t xml:space="preserve">se interpuso cuando ya se </w:t>
      </w:r>
      <w:r w:rsidR="00725C7E" w:rsidRPr="002C5D1A">
        <w:rPr>
          <w:rFonts w:ascii="Tahoma" w:hAnsi="Tahoma" w:cs="Tahoma"/>
          <w:spacing w:val="-3"/>
          <w:kern w:val="1"/>
        </w:rPr>
        <w:t>encontraba prescrita la acción para obtener el pago de las costas procesales.</w:t>
      </w:r>
    </w:p>
    <w:p w:rsidR="004B0B82" w:rsidRPr="002C5D1A" w:rsidRDefault="004B0B82" w:rsidP="002C4A8C">
      <w:pPr>
        <w:tabs>
          <w:tab w:val="left" w:pos="-720"/>
        </w:tabs>
        <w:suppressAutoHyphens/>
        <w:spacing w:line="276" w:lineRule="auto"/>
        <w:jc w:val="both"/>
        <w:rPr>
          <w:rFonts w:ascii="Tahoma" w:hAnsi="Tahoma" w:cs="Tahoma"/>
          <w:spacing w:val="-3"/>
          <w:kern w:val="1"/>
        </w:rPr>
      </w:pPr>
    </w:p>
    <w:p w:rsidR="00F37868" w:rsidRPr="002C5D1A" w:rsidRDefault="00DD3A67" w:rsidP="002C4A8C">
      <w:pPr>
        <w:pStyle w:val="Prrafodelista"/>
        <w:numPr>
          <w:ilvl w:val="0"/>
          <w:numId w:val="15"/>
        </w:numPr>
        <w:tabs>
          <w:tab w:val="left" w:pos="142"/>
        </w:tabs>
        <w:spacing w:line="276" w:lineRule="auto"/>
        <w:ind w:left="0" w:firstLine="0"/>
        <w:jc w:val="center"/>
        <w:rPr>
          <w:rFonts w:ascii="Tahoma" w:hAnsi="Tahoma" w:cs="Tahoma"/>
          <w:b/>
        </w:rPr>
      </w:pPr>
      <w:r w:rsidRPr="002C5D1A">
        <w:rPr>
          <w:rFonts w:ascii="Tahoma" w:hAnsi="Tahoma" w:cs="Tahoma"/>
          <w:b/>
        </w:rPr>
        <w:t>Fundamentos de la apelación</w:t>
      </w:r>
    </w:p>
    <w:p w:rsidR="00F37868" w:rsidRPr="002C5D1A" w:rsidRDefault="00F37868" w:rsidP="004B0B82">
      <w:pPr>
        <w:jc w:val="center"/>
        <w:rPr>
          <w:rFonts w:ascii="Tahoma" w:hAnsi="Tahoma" w:cs="Tahoma"/>
          <w:b/>
          <w:u w:val="single"/>
        </w:rPr>
      </w:pPr>
    </w:p>
    <w:p w:rsidR="00725C7E" w:rsidRDefault="00F37868" w:rsidP="002C4A8C">
      <w:pPr>
        <w:widowControl w:val="0"/>
        <w:autoSpaceDE w:val="0"/>
        <w:autoSpaceDN w:val="0"/>
        <w:adjustRightInd w:val="0"/>
        <w:spacing w:line="276" w:lineRule="auto"/>
        <w:ind w:firstLine="708"/>
        <w:jc w:val="both"/>
        <w:rPr>
          <w:rFonts w:ascii="Tahoma" w:hAnsi="Tahoma" w:cs="Tahoma"/>
        </w:rPr>
      </w:pPr>
      <w:r w:rsidRPr="002C5D1A">
        <w:rPr>
          <w:rFonts w:ascii="Tahoma" w:hAnsi="Tahoma" w:cs="Tahoma"/>
        </w:rPr>
        <w:t xml:space="preserve">Inconforme con lo decidido la parte </w:t>
      </w:r>
      <w:r w:rsidR="003B1C54" w:rsidRPr="002C5D1A">
        <w:rPr>
          <w:rFonts w:ascii="Tahoma" w:hAnsi="Tahoma" w:cs="Tahoma"/>
        </w:rPr>
        <w:t>ejecutante</w:t>
      </w:r>
      <w:r w:rsidRPr="002C5D1A">
        <w:rPr>
          <w:rFonts w:ascii="Tahoma" w:hAnsi="Tahoma" w:cs="Tahoma"/>
        </w:rPr>
        <w:t xml:space="preserve"> </w:t>
      </w:r>
      <w:r w:rsidR="003E493D" w:rsidRPr="002C5D1A">
        <w:rPr>
          <w:rFonts w:ascii="Tahoma" w:hAnsi="Tahoma" w:cs="Tahoma"/>
        </w:rPr>
        <w:t xml:space="preserve">interpuso </w:t>
      </w:r>
      <w:r w:rsidRPr="002C5D1A">
        <w:rPr>
          <w:rFonts w:ascii="Tahoma" w:hAnsi="Tahoma" w:cs="Tahoma"/>
        </w:rPr>
        <w:t>recurso de apelación</w:t>
      </w:r>
      <w:r w:rsidR="003E493D" w:rsidRPr="002C5D1A">
        <w:rPr>
          <w:rFonts w:ascii="Tahoma" w:hAnsi="Tahoma" w:cs="Tahoma"/>
        </w:rPr>
        <w:t xml:space="preserve"> alegando </w:t>
      </w:r>
      <w:r w:rsidR="00725C7E" w:rsidRPr="002C5D1A">
        <w:rPr>
          <w:rFonts w:ascii="Tahoma" w:hAnsi="Tahoma" w:cs="Tahoma"/>
        </w:rPr>
        <w:t xml:space="preserve">que la normatividad aplicable en estos casos es el artículo 2536 del C.C., el cual establece que el término de prescripción es de cinco años; así como el artículo 2539 </w:t>
      </w:r>
      <w:r w:rsidR="00E23100" w:rsidRPr="002C5D1A">
        <w:rPr>
          <w:rFonts w:ascii="Tahoma" w:hAnsi="Tahoma" w:cs="Tahoma"/>
        </w:rPr>
        <w:t>ibídem</w:t>
      </w:r>
      <w:r w:rsidR="00725C7E" w:rsidRPr="002C5D1A">
        <w:rPr>
          <w:rFonts w:ascii="Tahoma" w:hAnsi="Tahoma" w:cs="Tahoma"/>
        </w:rPr>
        <w:t>, el cual dispone el modo de interrumpirla.</w:t>
      </w:r>
      <w:r w:rsidR="00E23100" w:rsidRPr="002C5D1A">
        <w:rPr>
          <w:rFonts w:ascii="Tahoma" w:hAnsi="Tahoma" w:cs="Tahoma"/>
        </w:rPr>
        <w:t xml:space="preserve"> Por lo tanto, al haberse reconocido la deuda de las costas procesales por parte de Colpensiones a través de la Resolución GNR 357735 del 12 de noviembre de 2015, notificada el 18 de noviembre de la misma anualidad, la prescripción se interrumpió hasta el 18 de noviembre de 2020, de manera que la demanda instaurada el 15 de enero de 2019 se presentó de manera oportuna.</w:t>
      </w:r>
    </w:p>
    <w:p w:rsidR="009A18E4" w:rsidRPr="002C5D1A" w:rsidRDefault="009A18E4" w:rsidP="002C4A8C">
      <w:pPr>
        <w:widowControl w:val="0"/>
        <w:autoSpaceDE w:val="0"/>
        <w:autoSpaceDN w:val="0"/>
        <w:adjustRightInd w:val="0"/>
        <w:spacing w:line="276" w:lineRule="auto"/>
        <w:ind w:firstLine="708"/>
        <w:jc w:val="both"/>
        <w:rPr>
          <w:rFonts w:ascii="Tahoma" w:hAnsi="Tahoma" w:cs="Tahoma"/>
        </w:rPr>
      </w:pPr>
    </w:p>
    <w:p w:rsidR="00D3635B" w:rsidRPr="002C5D1A" w:rsidRDefault="003E493D" w:rsidP="002C4A8C">
      <w:pPr>
        <w:pStyle w:val="Prrafodelista"/>
        <w:numPr>
          <w:ilvl w:val="0"/>
          <w:numId w:val="15"/>
        </w:numPr>
        <w:tabs>
          <w:tab w:val="left" w:pos="142"/>
        </w:tabs>
        <w:spacing w:line="276" w:lineRule="auto"/>
        <w:ind w:left="0" w:firstLine="0"/>
        <w:jc w:val="center"/>
        <w:rPr>
          <w:rFonts w:ascii="Tahoma" w:hAnsi="Tahoma" w:cs="Tahoma"/>
          <w:b/>
          <w:spacing w:val="2"/>
          <w:u w:val="single"/>
        </w:rPr>
      </w:pPr>
      <w:r w:rsidRPr="002C5D1A">
        <w:rPr>
          <w:rFonts w:ascii="Tahoma" w:hAnsi="Tahoma" w:cs="Tahoma"/>
          <w:b/>
          <w:spacing w:val="2"/>
        </w:rPr>
        <w:t>Consideraciones</w:t>
      </w:r>
    </w:p>
    <w:p w:rsidR="00216556" w:rsidRPr="002C5D1A" w:rsidRDefault="00216556" w:rsidP="004B0B82">
      <w:pPr>
        <w:pStyle w:val="Textoindependiente"/>
        <w:widowControl w:val="0"/>
        <w:autoSpaceDE w:val="0"/>
        <w:autoSpaceDN w:val="0"/>
        <w:adjustRightInd w:val="0"/>
        <w:spacing w:after="0"/>
        <w:rPr>
          <w:rFonts w:ascii="Tahoma" w:hAnsi="Tahoma" w:cs="Tahoma"/>
          <w:b/>
          <w:bCs/>
          <w:spacing w:val="2"/>
        </w:rPr>
      </w:pPr>
    </w:p>
    <w:p w:rsidR="007D4D1B" w:rsidRPr="002C5D1A" w:rsidRDefault="007D4D1B" w:rsidP="002C4A8C">
      <w:pPr>
        <w:pStyle w:val="Textoindependiente"/>
        <w:widowControl w:val="0"/>
        <w:numPr>
          <w:ilvl w:val="1"/>
          <w:numId w:val="13"/>
        </w:numPr>
        <w:autoSpaceDE w:val="0"/>
        <w:autoSpaceDN w:val="0"/>
        <w:adjustRightInd w:val="0"/>
        <w:spacing w:after="0" w:line="276" w:lineRule="auto"/>
        <w:ind w:left="709" w:firstLine="0"/>
        <w:rPr>
          <w:rFonts w:ascii="Tahoma" w:hAnsi="Tahoma" w:cs="Tahoma"/>
          <w:b/>
          <w:bCs/>
          <w:spacing w:val="2"/>
        </w:rPr>
      </w:pPr>
      <w:r w:rsidRPr="002C5D1A">
        <w:rPr>
          <w:rFonts w:ascii="Tahoma" w:hAnsi="Tahoma" w:cs="Tahoma"/>
          <w:b/>
          <w:bCs/>
          <w:spacing w:val="2"/>
        </w:rPr>
        <w:t>Problema jurídico por resolver</w:t>
      </w:r>
    </w:p>
    <w:p w:rsidR="007D4D1B" w:rsidRPr="002C5D1A" w:rsidRDefault="007D4D1B" w:rsidP="004B0B82"/>
    <w:p w:rsidR="00307070" w:rsidRPr="002C5D1A" w:rsidRDefault="00665C86" w:rsidP="002C4A8C">
      <w:pPr>
        <w:spacing w:line="276" w:lineRule="auto"/>
        <w:ind w:left="720"/>
        <w:jc w:val="both"/>
        <w:rPr>
          <w:rFonts w:ascii="Tahoma" w:hAnsi="Tahoma" w:cs="Tahoma"/>
          <w:lang w:val="es-MX"/>
        </w:rPr>
      </w:pPr>
      <w:r w:rsidRPr="002C5D1A">
        <w:rPr>
          <w:rFonts w:ascii="Tahoma" w:hAnsi="Tahoma" w:cs="Tahoma"/>
          <w:lang w:val="es-MX"/>
        </w:rPr>
        <w:t>¿</w:t>
      </w:r>
      <w:r w:rsidR="00307070" w:rsidRPr="002C5D1A">
        <w:rPr>
          <w:rFonts w:ascii="Tahoma" w:hAnsi="Tahoma" w:cs="Tahoma"/>
          <w:lang w:val="es-MX"/>
        </w:rPr>
        <w:t>Se interrumpió la prescripción de la obligación ejecutada a través del presente trámite ejecutivo?</w:t>
      </w:r>
    </w:p>
    <w:p w:rsidR="00307070" w:rsidRPr="002C5D1A" w:rsidRDefault="00307070" w:rsidP="004B0B82">
      <w:pPr>
        <w:pStyle w:val="Prrafodelista"/>
        <w:ind w:left="709"/>
        <w:jc w:val="both"/>
        <w:rPr>
          <w:rFonts w:ascii="Tahoma" w:hAnsi="Tahoma" w:cs="Tahoma"/>
          <w:b/>
          <w:bCs/>
          <w:spacing w:val="2"/>
        </w:rPr>
      </w:pPr>
    </w:p>
    <w:p w:rsidR="00F772B9" w:rsidRPr="002C5D1A" w:rsidRDefault="00F772B9" w:rsidP="002C4A8C">
      <w:pPr>
        <w:pStyle w:val="Textoindependiente"/>
        <w:numPr>
          <w:ilvl w:val="1"/>
          <w:numId w:val="15"/>
        </w:numPr>
        <w:spacing w:after="0" w:line="276" w:lineRule="auto"/>
        <w:ind w:left="0" w:firstLine="709"/>
        <w:jc w:val="both"/>
        <w:rPr>
          <w:rFonts w:ascii="Tahoma" w:hAnsi="Tahoma" w:cs="Tahoma"/>
          <w:b/>
        </w:rPr>
      </w:pPr>
      <w:bookmarkStart w:id="0" w:name="_GoBack"/>
      <w:bookmarkEnd w:id="0"/>
      <w:r w:rsidRPr="002C5D1A">
        <w:rPr>
          <w:rFonts w:ascii="Tahoma" w:hAnsi="Tahoma" w:cs="Tahoma"/>
          <w:b/>
        </w:rPr>
        <w:lastRenderedPageBreak/>
        <w:t>De la interrupción de la prescripción de las acciones ejecutivas tendientes al cobro de costas procesales</w:t>
      </w:r>
    </w:p>
    <w:p w:rsidR="00F772B9" w:rsidRPr="002C5D1A" w:rsidRDefault="00F772B9" w:rsidP="004B0B82">
      <w:pPr>
        <w:pStyle w:val="Textoindependiente"/>
        <w:spacing w:after="0"/>
        <w:jc w:val="both"/>
        <w:rPr>
          <w:rFonts w:ascii="Tahoma" w:hAnsi="Tahoma" w:cs="Tahoma"/>
        </w:rPr>
      </w:pPr>
    </w:p>
    <w:p w:rsidR="004B0B82" w:rsidRPr="002C5D1A" w:rsidRDefault="006C5145" w:rsidP="004B0B82">
      <w:pPr>
        <w:spacing w:line="276" w:lineRule="auto"/>
        <w:ind w:firstLine="709"/>
        <w:jc w:val="both"/>
        <w:rPr>
          <w:rFonts w:ascii="Tahoma" w:hAnsi="Tahoma" w:cs="Tahoma"/>
        </w:rPr>
      </w:pPr>
      <w:r w:rsidRPr="002C5D1A">
        <w:rPr>
          <w:rFonts w:ascii="Tahoma" w:hAnsi="Tahoma" w:cs="Tahoma"/>
        </w:rPr>
        <w:t xml:space="preserve">Esta </w:t>
      </w:r>
      <w:r w:rsidR="004B0B82" w:rsidRPr="002C5D1A">
        <w:rPr>
          <w:rFonts w:ascii="Tahoma" w:hAnsi="Tahoma" w:cs="Tahoma"/>
        </w:rPr>
        <w:t xml:space="preserve">Corporación con anterioridad había sostenido que la norma </w:t>
      </w:r>
      <w:r w:rsidRPr="002C5D1A">
        <w:rPr>
          <w:rFonts w:ascii="Tahoma" w:hAnsi="Tahoma" w:cs="Tahoma"/>
        </w:rPr>
        <w:t>que consagraba el término de prescripción de la acción ejecutiva para el cobro de costas procesales era</w:t>
      </w:r>
      <w:r w:rsidR="004B0B82" w:rsidRPr="002C5D1A">
        <w:rPr>
          <w:rFonts w:ascii="Tahoma" w:hAnsi="Tahoma" w:cs="Tahoma"/>
        </w:rPr>
        <w:t xml:space="preserve"> el artículo 2536 del C.C.</w:t>
      </w:r>
      <w:r w:rsidRPr="002C5D1A">
        <w:rPr>
          <w:rFonts w:ascii="Tahoma" w:hAnsi="Tahoma" w:cs="Tahoma"/>
        </w:rPr>
        <w:t>,</w:t>
      </w:r>
      <w:r w:rsidR="004B0B82" w:rsidRPr="002C5D1A">
        <w:rPr>
          <w:rFonts w:ascii="Tahoma" w:hAnsi="Tahoma" w:cs="Tahoma"/>
        </w:rPr>
        <w:t xml:space="preserve"> que establece 5 años</w:t>
      </w:r>
      <w:r w:rsidRPr="002C5D1A">
        <w:rPr>
          <w:rFonts w:ascii="Tahoma" w:hAnsi="Tahoma" w:cs="Tahoma"/>
        </w:rPr>
        <w:t>; n</w:t>
      </w:r>
      <w:r w:rsidR="004B0B82" w:rsidRPr="002C5D1A">
        <w:rPr>
          <w:rFonts w:ascii="Tahoma" w:hAnsi="Tahoma" w:cs="Tahoma"/>
        </w:rPr>
        <w:t xml:space="preserve">o obstante, un nuevo estudio del tema llevó a la Sala a establecer que en realidad la norma que disciplina la procedencia del cobro de </w:t>
      </w:r>
      <w:r w:rsidRPr="002C5D1A">
        <w:rPr>
          <w:rFonts w:ascii="Tahoma" w:hAnsi="Tahoma" w:cs="Tahoma"/>
        </w:rPr>
        <w:t xml:space="preserve">dichos emolumentos </w:t>
      </w:r>
      <w:r w:rsidR="004B0B82" w:rsidRPr="002C5D1A">
        <w:rPr>
          <w:rFonts w:ascii="Tahoma" w:hAnsi="Tahoma" w:cs="Tahoma"/>
        </w:rPr>
        <w:t>es el artículo 2542 ibídem, que establece 3 años. Lo anterior conllevó a que en</w:t>
      </w:r>
      <w:r w:rsidRPr="002C5D1A">
        <w:rPr>
          <w:rFonts w:ascii="Tahoma" w:hAnsi="Tahoma" w:cs="Tahoma"/>
        </w:rPr>
        <w:t xml:space="preserve"> </w:t>
      </w:r>
      <w:r w:rsidR="004B0B82" w:rsidRPr="002C5D1A">
        <w:rPr>
          <w:rFonts w:ascii="Tahoma" w:hAnsi="Tahoma" w:cs="Tahoma"/>
        </w:rPr>
        <w:t>auto del 16 de octubre de 2019, Radicado No. 2011-00312-01,</w:t>
      </w:r>
      <w:r w:rsidR="004B0B82" w:rsidRPr="002C5D1A">
        <w:rPr>
          <w:rFonts w:ascii="Tahoma" w:hAnsi="Tahoma" w:cs="Tahoma"/>
          <w:b/>
        </w:rPr>
        <w:t xml:space="preserve"> </w:t>
      </w:r>
      <w:r w:rsidR="004B0B82" w:rsidRPr="002C5D1A">
        <w:rPr>
          <w:rFonts w:ascii="Tahoma" w:hAnsi="Tahoma" w:cs="Tahoma"/>
        </w:rPr>
        <w:t>con ponencia del Dr. Julio Cesar Salazar Muñoz,</w:t>
      </w:r>
      <w:r w:rsidRPr="002C5D1A">
        <w:rPr>
          <w:rFonts w:ascii="Tahoma" w:hAnsi="Tahoma" w:cs="Tahoma"/>
        </w:rPr>
        <w:t xml:space="preserve"> se</w:t>
      </w:r>
      <w:r w:rsidR="004B0B82" w:rsidRPr="002C5D1A">
        <w:rPr>
          <w:rFonts w:ascii="Tahoma" w:hAnsi="Tahoma" w:cs="Tahoma"/>
        </w:rPr>
        <w:t xml:space="preserve"> cambiara el precedente en los siguientes términos:</w:t>
      </w:r>
    </w:p>
    <w:p w:rsidR="00ED7528" w:rsidRPr="002C5D1A" w:rsidRDefault="00ED7528" w:rsidP="004B0B82">
      <w:pPr>
        <w:ind w:right="476" w:firstLine="709"/>
        <w:jc w:val="both"/>
        <w:rPr>
          <w:rFonts w:ascii="Tahoma" w:hAnsi="Tahoma" w:cs="Tahoma"/>
        </w:rPr>
      </w:pPr>
    </w:p>
    <w:p w:rsidR="00ED7528" w:rsidRPr="002C5D1A" w:rsidRDefault="00ED7528" w:rsidP="002C5D1A">
      <w:pPr>
        <w:pStyle w:val="Textoindependiente"/>
        <w:spacing w:after="0"/>
        <w:ind w:left="426" w:right="420"/>
        <w:jc w:val="both"/>
        <w:rPr>
          <w:rFonts w:ascii="Arial Narrow" w:hAnsi="Arial Narrow" w:cs="Tahoma"/>
          <w:sz w:val="22"/>
        </w:rPr>
      </w:pPr>
      <w:r w:rsidRPr="002C5D1A">
        <w:rPr>
          <w:rFonts w:ascii="Arial Narrow" w:hAnsi="Arial Narrow" w:cs="Tahoma"/>
          <w:b/>
          <w:sz w:val="22"/>
        </w:rPr>
        <w:t>“ACOGIMIENTO DE LA LINEA JURISPRUDENCIAL DE LA SALA DE CASACIÓN DE LA CORTE SUPREMA DE JUSTICIA.</w:t>
      </w:r>
    </w:p>
    <w:p w:rsidR="00ED7528" w:rsidRPr="002C5D1A" w:rsidRDefault="00ED7528" w:rsidP="002C5D1A">
      <w:pPr>
        <w:pStyle w:val="Textoindependiente"/>
        <w:spacing w:after="0"/>
        <w:ind w:left="426" w:right="420"/>
        <w:jc w:val="both"/>
        <w:rPr>
          <w:rFonts w:ascii="Arial Narrow" w:hAnsi="Arial Narrow" w:cs="Tahoma"/>
          <w:sz w:val="22"/>
        </w:rPr>
      </w:pPr>
    </w:p>
    <w:p w:rsidR="00ED7528" w:rsidRPr="002C5D1A" w:rsidRDefault="00ED7528" w:rsidP="002C5D1A">
      <w:pPr>
        <w:pStyle w:val="Textoindependiente"/>
        <w:spacing w:after="0"/>
        <w:ind w:left="426" w:right="420"/>
        <w:jc w:val="both"/>
        <w:rPr>
          <w:rFonts w:ascii="Arial Narrow" w:hAnsi="Arial Narrow" w:cs="Tahoma"/>
          <w:sz w:val="22"/>
        </w:rPr>
      </w:pPr>
      <w:r w:rsidRPr="002C5D1A">
        <w:rPr>
          <w:rFonts w:ascii="Arial Narrow" w:hAnsi="Arial Narrow" w:cs="Tahoma"/>
          <w:sz w:val="22"/>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rsidR="00ED7528" w:rsidRPr="002C5D1A" w:rsidRDefault="00ED7528" w:rsidP="002C5D1A">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w:t>
      </w:r>
      <w:r w:rsidRPr="00AA1869">
        <w:rPr>
          <w:rFonts w:ascii="Arial Narrow" w:hAnsi="Arial Narrow" w:cs="Tahoma"/>
          <w:sz w:val="22"/>
        </w:rPr>
        <w:t>Prescriben en tres años los gastos judiciales enumerados en el título VII, libro I del Código Judicial de la Unión, incluso los honorarios de los defensores; los médicos y cirujanos</w:t>
      </w:r>
      <w:r w:rsidRPr="002C5D1A">
        <w:rPr>
          <w:rFonts w:ascii="Arial Narrow" w:hAnsi="Arial Narrow" w:cs="Tahoma"/>
          <w:sz w:val="22"/>
        </w:rPr>
        <w:t xml:space="preserve">….”  </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Los gastos judiciales a que hace referencia la norma, en el código judicial –ley 105 de 1931-  en su título XVI, en sus dos capítulos (arancel y costas) en cuanto a estas últimas, previó lo siguiente:</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b/>
          <w:bCs/>
          <w:sz w:val="22"/>
        </w:rPr>
        <w:t>ARTÍCULO 578.</w:t>
      </w:r>
      <w:r w:rsidRPr="002C5D1A">
        <w:rPr>
          <w:rFonts w:ascii="Arial Narrow" w:hAnsi="Arial Narrow" w:cs="Tahoma"/>
          <w:sz w:val="22"/>
        </w:rPr>
        <w:t>- En toda liquidación de costas se computa a cargo de la parte a quien se imponen: </w:t>
      </w: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  </w:t>
      </w: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1°. El papel sellado y los portes de correo. </w:t>
      </w: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  </w:t>
      </w: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2°. Los gastos judiciales de que se trata en el CAPITULO I de este TITULO y los demás que autorice la ley, o que por la naturaleza del negocio hayan sido indispensables; y </w:t>
      </w: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  </w:t>
      </w:r>
    </w:p>
    <w:p w:rsidR="00ED7528" w:rsidRPr="002C5D1A" w:rsidRDefault="00ED7528" w:rsidP="00AA1869">
      <w:pPr>
        <w:pStyle w:val="Textoindependiente"/>
        <w:spacing w:after="0"/>
        <w:ind w:left="851" w:right="845"/>
        <w:jc w:val="both"/>
        <w:rPr>
          <w:rFonts w:ascii="Arial Narrow" w:hAnsi="Arial Narrow" w:cs="Tahoma"/>
          <w:sz w:val="22"/>
        </w:rPr>
      </w:pPr>
      <w:r w:rsidRPr="002C5D1A">
        <w:rPr>
          <w:rFonts w:ascii="Arial Narrow" w:hAnsi="Arial Narrow" w:cs="Tahoma"/>
          <w:sz w:val="22"/>
        </w:rPr>
        <w:t>3°. Las diligencias, escritos o alegatos verbales de la parte favorecida o de su apoderado en el juicio, y la atención o vigilancia que le haya prestado al negocio. </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 xml:space="preserve">Esos conceptos a su vez fueron desarrollados en el C.P.C. de 1970 en los títulos XIX y XX bajo iguales denominaciones de expensas y costas y así se mantienen hasta la actualidad. </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Fácilmente puede notarse que lo que inicialmente se denominó gastos judiciales por el Código de la Unión, corresponde a lo que en la actualidad tenemos previsto como aranceles o expensas y costas</w:t>
      </w: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 xml:space="preserve">  </w:t>
      </w: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De allí que si bien la norma inicialmente citada (Art. 2542 C.C.) no se refiere a las “</w:t>
      </w:r>
      <w:r w:rsidRPr="00AA1869">
        <w:rPr>
          <w:rFonts w:ascii="Arial Narrow" w:hAnsi="Arial Narrow" w:cs="Tahoma"/>
          <w:sz w:val="22"/>
        </w:rPr>
        <w:t>costas procesales</w:t>
      </w:r>
      <w:r w:rsidRPr="002C5D1A">
        <w:rPr>
          <w:rFonts w:ascii="Arial Narrow" w:hAnsi="Arial Narrow" w:cs="Tahoma"/>
          <w:sz w:val="22"/>
        </w:rPr>
        <w:t xml:space="preserve">”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 xml:space="preserve">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w:t>
      </w:r>
      <w:r w:rsidRPr="002C5D1A">
        <w:rPr>
          <w:rFonts w:ascii="Arial Narrow" w:hAnsi="Arial Narrow" w:cs="Tahoma"/>
          <w:sz w:val="22"/>
        </w:rPr>
        <w:lastRenderedPageBreak/>
        <w:t>peso para pensar que éstas –las costas- deberían tener un término de prescripción más largo que aquellos.</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w:t>
      </w:r>
    </w:p>
    <w:p w:rsidR="00ED7528" w:rsidRPr="002C5D1A" w:rsidRDefault="00ED7528" w:rsidP="002C5D1A">
      <w:pPr>
        <w:pStyle w:val="Textoindependiente"/>
        <w:spacing w:after="0"/>
        <w:ind w:left="709" w:right="902"/>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b/>
          <w:sz w:val="22"/>
        </w:rPr>
      </w:pPr>
      <w:r w:rsidRPr="002C5D1A">
        <w:rPr>
          <w:rFonts w:ascii="Arial Narrow" w:hAnsi="Arial Narrow" w:cs="Tahoma"/>
          <w:b/>
          <w:sz w:val="22"/>
        </w:rPr>
        <w:t xml:space="preserve">LA INTERRUPCIÓN DE LA PRESCRIPCIÓN </w:t>
      </w:r>
      <w:proofErr w:type="spellStart"/>
      <w:r w:rsidRPr="002C5D1A">
        <w:rPr>
          <w:rFonts w:ascii="Arial Narrow" w:hAnsi="Arial Narrow" w:cs="Tahoma"/>
          <w:b/>
          <w:sz w:val="22"/>
        </w:rPr>
        <w:t>ENTRATÁNDOSE</w:t>
      </w:r>
      <w:proofErr w:type="spellEnd"/>
      <w:r w:rsidRPr="002C5D1A">
        <w:rPr>
          <w:rFonts w:ascii="Arial Narrow" w:hAnsi="Arial Narrow" w:cs="Tahoma"/>
          <w:b/>
          <w:sz w:val="22"/>
        </w:rPr>
        <w:t xml:space="preserve"> DE COSTAS JUDICIALES.</w:t>
      </w:r>
    </w:p>
    <w:p w:rsidR="00ED7528" w:rsidRPr="00AA1869"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pStyle w:val="Textoindependiente"/>
        <w:spacing w:after="0"/>
        <w:ind w:left="426" w:right="420"/>
        <w:jc w:val="both"/>
        <w:rPr>
          <w:rFonts w:ascii="Arial Narrow" w:hAnsi="Arial Narrow" w:cs="Tahoma"/>
          <w:sz w:val="22"/>
        </w:rPr>
      </w:pPr>
      <w:r w:rsidRPr="002C5D1A">
        <w:rPr>
          <w:rFonts w:ascii="Arial Narrow" w:hAnsi="Arial Narrow" w:cs="Tahoma"/>
          <w:sz w:val="22"/>
        </w:rPr>
        <w:t xml:space="preserve">Al respecto del tema propuesto en providencia STL7311 de 2019, dejó dicho la Sala </w:t>
      </w:r>
      <w:r w:rsidR="009B4900">
        <w:rPr>
          <w:rFonts w:ascii="Arial Narrow" w:hAnsi="Arial Narrow" w:cs="Tahoma"/>
          <w:sz w:val="22"/>
        </w:rPr>
        <w:t>d</w:t>
      </w:r>
      <w:r w:rsidRPr="002C5D1A">
        <w:rPr>
          <w:rFonts w:ascii="Arial Narrow" w:hAnsi="Arial Narrow" w:cs="Tahoma"/>
          <w:sz w:val="22"/>
        </w:rPr>
        <w:t>e casación Laboral de la Corte Suprema de Justicia lo que sigue:</w:t>
      </w:r>
    </w:p>
    <w:p w:rsidR="00ED7528" w:rsidRPr="002C5D1A" w:rsidRDefault="00ED7528" w:rsidP="00AA1869">
      <w:pPr>
        <w:pStyle w:val="Textoindependiente"/>
        <w:spacing w:after="0"/>
        <w:ind w:left="426" w:right="420"/>
        <w:jc w:val="both"/>
        <w:rPr>
          <w:rFonts w:ascii="Arial Narrow" w:hAnsi="Arial Narrow" w:cs="Tahoma"/>
          <w:sz w:val="22"/>
        </w:rPr>
      </w:pPr>
    </w:p>
    <w:p w:rsidR="00ED7528" w:rsidRPr="002C5D1A" w:rsidRDefault="00ED7528" w:rsidP="00AA1869">
      <w:pPr>
        <w:overflowPunct w:val="0"/>
        <w:autoSpaceDE w:val="0"/>
        <w:autoSpaceDN w:val="0"/>
        <w:adjustRightInd w:val="0"/>
        <w:ind w:left="851" w:right="845"/>
        <w:jc w:val="both"/>
        <w:textAlignment w:val="baseline"/>
        <w:rPr>
          <w:rFonts w:ascii="Arial Narrow" w:hAnsi="Arial Narrow" w:cs="Arial"/>
          <w:i/>
          <w:spacing w:val="-4"/>
          <w:sz w:val="22"/>
        </w:rPr>
      </w:pPr>
      <w:r w:rsidRPr="002C5D1A">
        <w:rPr>
          <w:rFonts w:ascii="Arial Narrow" w:hAnsi="Arial Narrow"/>
          <w:sz w:val="22"/>
        </w:rPr>
        <w:t>“</w:t>
      </w:r>
      <w:r w:rsidRPr="002C5D1A">
        <w:rPr>
          <w:rFonts w:ascii="Arial Narrow" w:hAnsi="Arial Narrow" w:cs="Arial"/>
          <w:i/>
          <w:sz w:val="22"/>
        </w:rPr>
        <w:t xml:space="preserve">Sobre el particular, </w:t>
      </w:r>
      <w:r w:rsidRPr="002C5D1A">
        <w:rPr>
          <w:rFonts w:ascii="Arial Narrow" w:hAnsi="Arial Narrow" w:cs="Arial"/>
          <w:i/>
          <w:spacing w:val="-4"/>
          <w:sz w:val="22"/>
        </w:rPr>
        <w:t xml:space="preserve">esta Sala de la Corte, recientemente en sentencias CSJ STL14542-2018 y CSJ STL7447-2019, puso de presente el criterio acogido frente al tema que nos ocupa, para lo cual, en esta última providencia sostuvo: </w:t>
      </w:r>
    </w:p>
    <w:p w:rsidR="00ED7528" w:rsidRPr="002C5D1A" w:rsidRDefault="00ED7528" w:rsidP="00AA1869">
      <w:pPr>
        <w:overflowPunct w:val="0"/>
        <w:autoSpaceDE w:val="0"/>
        <w:autoSpaceDN w:val="0"/>
        <w:adjustRightInd w:val="0"/>
        <w:ind w:left="851" w:right="845" w:firstLine="709"/>
        <w:jc w:val="both"/>
        <w:textAlignment w:val="baseline"/>
        <w:rPr>
          <w:rFonts w:ascii="Arial Narrow" w:hAnsi="Arial Narrow" w:cs="Arial"/>
          <w:spacing w:val="-4"/>
          <w:sz w:val="22"/>
        </w:rPr>
      </w:pPr>
    </w:p>
    <w:p w:rsidR="00ED7528" w:rsidRPr="002C5D1A" w:rsidRDefault="00ED7528" w:rsidP="00AA1869">
      <w:pPr>
        <w:tabs>
          <w:tab w:val="left" w:pos="7938"/>
        </w:tabs>
        <w:ind w:left="851" w:right="845"/>
        <w:jc w:val="both"/>
        <w:rPr>
          <w:rFonts w:ascii="Arial Narrow" w:hAnsi="Arial Narrow" w:cs="Arial"/>
          <w:sz w:val="22"/>
        </w:rPr>
      </w:pPr>
      <w:r w:rsidRPr="002C5D1A">
        <w:rPr>
          <w:rFonts w:ascii="Arial Narrow" w:hAnsi="Arial Narrow" w:cs="Arial"/>
          <w:sz w:val="22"/>
        </w:rPr>
        <w:t xml:space="preserve">“Sobre el tema, y en consideración a los planteamientos esbozados por la accionante, en relación a la aplicabilidad del artículo 6° del C.P.T., en sentencia STL11275-2016 se dijo lo siguiente: </w:t>
      </w:r>
    </w:p>
    <w:p w:rsidR="00ED7528" w:rsidRPr="002C5D1A" w:rsidRDefault="00ED7528" w:rsidP="00AA1869">
      <w:pPr>
        <w:tabs>
          <w:tab w:val="left" w:pos="7938"/>
        </w:tabs>
        <w:ind w:left="851" w:right="845"/>
        <w:jc w:val="both"/>
        <w:rPr>
          <w:rFonts w:ascii="Arial Narrow" w:hAnsi="Arial Narrow" w:cs="Arial"/>
          <w:sz w:val="22"/>
        </w:rPr>
      </w:pPr>
    </w:p>
    <w:p w:rsidR="00ED7528" w:rsidRPr="002C5D1A" w:rsidRDefault="00ED7528" w:rsidP="00AA1869">
      <w:pPr>
        <w:tabs>
          <w:tab w:val="left" w:pos="7938"/>
        </w:tabs>
        <w:ind w:left="851" w:right="845"/>
        <w:jc w:val="both"/>
        <w:rPr>
          <w:rFonts w:ascii="Arial Narrow" w:hAnsi="Arial Narrow" w:cs="Arial"/>
          <w:sz w:val="22"/>
        </w:rPr>
      </w:pPr>
      <w:r w:rsidRPr="002C5D1A">
        <w:rPr>
          <w:rFonts w:ascii="Arial Narrow" w:hAnsi="Arial Narrow" w:cs="Arial"/>
          <w:sz w:val="22"/>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p>
    <w:p w:rsidR="00ED7528" w:rsidRPr="002C5D1A" w:rsidRDefault="00ED7528" w:rsidP="00AA1869">
      <w:pPr>
        <w:tabs>
          <w:tab w:val="left" w:pos="7938"/>
        </w:tabs>
        <w:ind w:left="851" w:right="845"/>
        <w:jc w:val="both"/>
        <w:rPr>
          <w:rFonts w:ascii="Arial Narrow" w:hAnsi="Arial Narrow" w:cs="Arial"/>
          <w:sz w:val="22"/>
        </w:rPr>
      </w:pPr>
    </w:p>
    <w:p w:rsidR="00ED7528" w:rsidRPr="002C5D1A" w:rsidRDefault="00ED7528" w:rsidP="00AA1869">
      <w:pPr>
        <w:tabs>
          <w:tab w:val="left" w:pos="7938"/>
        </w:tabs>
        <w:ind w:left="851" w:right="845"/>
        <w:jc w:val="both"/>
        <w:rPr>
          <w:rFonts w:ascii="Arial Narrow" w:hAnsi="Arial Narrow" w:cs="Arial"/>
          <w:sz w:val="22"/>
        </w:rPr>
      </w:pPr>
      <w:r w:rsidRPr="002C5D1A">
        <w:rPr>
          <w:rFonts w:ascii="Arial Narrow" w:hAnsi="Arial Narrow" w:cs="Arial"/>
          <w:sz w:val="22"/>
        </w:rPr>
        <w:t xml:space="preserve">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2C5D1A">
        <w:rPr>
          <w:rFonts w:ascii="Arial Narrow" w:hAnsi="Arial Narrow" w:cs="Arial"/>
          <w:b/>
          <w:sz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2C5D1A">
        <w:rPr>
          <w:rFonts w:ascii="Arial Narrow" w:hAnsi="Arial Narrow" w:cs="Arial"/>
          <w:b/>
          <w:sz w:val="22"/>
        </w:rPr>
        <w:t>fl</w:t>
      </w:r>
      <w:proofErr w:type="spellEnd"/>
      <w:r w:rsidRPr="002C5D1A">
        <w:rPr>
          <w:rFonts w:ascii="Arial Narrow" w:hAnsi="Arial Narrow" w:cs="Arial"/>
          <w:b/>
          <w:sz w:val="22"/>
        </w:rPr>
        <w:t>. 74), debiendo entonces darse aplicación al contenido, en estricto rigor, del artículo 151 del estatuto procesal laboral que predica la prescripción trienal”</w:t>
      </w:r>
      <w:r w:rsidRPr="002C5D1A">
        <w:rPr>
          <w:rFonts w:ascii="Arial Narrow" w:hAnsi="Arial Narrow" w:cs="Arial"/>
          <w:i/>
          <w:sz w:val="22"/>
        </w:rPr>
        <w:t>(negrilla fuera de texto)</w:t>
      </w:r>
      <w:r w:rsidRPr="002C5D1A">
        <w:rPr>
          <w:rFonts w:ascii="Arial Narrow" w:hAnsi="Arial Narrow" w:cs="Arial"/>
          <w:sz w:val="22"/>
        </w:rPr>
        <w:t>.</w:t>
      </w:r>
    </w:p>
    <w:p w:rsidR="00ED7528" w:rsidRPr="002C5D1A" w:rsidRDefault="00ED7528" w:rsidP="00AA1869">
      <w:pPr>
        <w:overflowPunct w:val="0"/>
        <w:autoSpaceDE w:val="0"/>
        <w:autoSpaceDN w:val="0"/>
        <w:adjustRightInd w:val="0"/>
        <w:ind w:left="851" w:right="845"/>
        <w:jc w:val="both"/>
        <w:textAlignment w:val="baseline"/>
        <w:rPr>
          <w:rFonts w:ascii="Arial Narrow" w:hAnsi="Arial Narrow" w:cs="Arial"/>
          <w:bCs/>
          <w:sz w:val="22"/>
        </w:rPr>
      </w:pPr>
    </w:p>
    <w:p w:rsidR="00ED7528" w:rsidRPr="002C5D1A" w:rsidRDefault="00ED7528" w:rsidP="00AA1869">
      <w:pPr>
        <w:pStyle w:val="Textoindependiente"/>
        <w:spacing w:after="0"/>
        <w:ind w:left="851" w:right="845"/>
        <w:jc w:val="both"/>
        <w:rPr>
          <w:rFonts w:ascii="Arial Narrow" w:hAnsi="Arial Narrow" w:cs="Arial"/>
          <w:sz w:val="22"/>
        </w:rPr>
      </w:pPr>
      <w:r w:rsidRPr="002C5D1A">
        <w:rPr>
          <w:rFonts w:ascii="Arial Narrow" w:hAnsi="Arial Narrow" w:cs="Arial"/>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p>
    <w:p w:rsidR="00F772B9" w:rsidRPr="002C5D1A" w:rsidRDefault="00F772B9" w:rsidP="002C4A8C">
      <w:pPr>
        <w:pStyle w:val="Prrafodelista"/>
        <w:spacing w:line="276" w:lineRule="auto"/>
        <w:ind w:left="709"/>
        <w:jc w:val="both"/>
        <w:rPr>
          <w:rFonts w:ascii="Tahoma" w:hAnsi="Tahoma" w:cs="Tahoma"/>
          <w:b/>
          <w:bCs/>
          <w:spacing w:val="2"/>
        </w:rPr>
      </w:pPr>
    </w:p>
    <w:p w:rsidR="009E7F20" w:rsidRPr="002C5D1A" w:rsidRDefault="006321BE" w:rsidP="002C4A8C">
      <w:pPr>
        <w:pStyle w:val="Prrafodelista"/>
        <w:numPr>
          <w:ilvl w:val="1"/>
          <w:numId w:val="13"/>
        </w:numPr>
        <w:spacing w:line="276" w:lineRule="auto"/>
        <w:ind w:left="1418"/>
        <w:jc w:val="both"/>
        <w:rPr>
          <w:rFonts w:ascii="Tahoma" w:hAnsi="Tahoma" w:cs="Tahoma"/>
          <w:b/>
          <w:bCs/>
          <w:spacing w:val="2"/>
        </w:rPr>
      </w:pPr>
      <w:r w:rsidRPr="002C5D1A">
        <w:rPr>
          <w:rFonts w:ascii="Tahoma" w:hAnsi="Tahoma" w:cs="Tahoma"/>
          <w:b/>
          <w:bCs/>
          <w:spacing w:val="2"/>
        </w:rPr>
        <w:t xml:space="preserve">Caso concreto </w:t>
      </w:r>
    </w:p>
    <w:p w:rsidR="009E7F20" w:rsidRPr="002C5D1A" w:rsidRDefault="009E7F20" w:rsidP="002C4A8C">
      <w:pPr>
        <w:widowControl w:val="0"/>
        <w:autoSpaceDE w:val="0"/>
        <w:autoSpaceDN w:val="0"/>
        <w:adjustRightInd w:val="0"/>
        <w:spacing w:line="276" w:lineRule="auto"/>
        <w:ind w:firstLine="1080"/>
        <w:jc w:val="both"/>
        <w:rPr>
          <w:rFonts w:ascii="Tahoma" w:hAnsi="Tahoma" w:cs="Tahoma"/>
        </w:rPr>
      </w:pPr>
    </w:p>
    <w:p w:rsidR="00DF0C7C" w:rsidRPr="002C5D1A" w:rsidRDefault="00D020C6" w:rsidP="002C4A8C">
      <w:pPr>
        <w:widowControl w:val="0"/>
        <w:autoSpaceDE w:val="0"/>
        <w:autoSpaceDN w:val="0"/>
        <w:adjustRightInd w:val="0"/>
        <w:spacing w:line="276" w:lineRule="auto"/>
        <w:ind w:firstLine="709"/>
        <w:jc w:val="both"/>
        <w:rPr>
          <w:rFonts w:ascii="Tahoma" w:hAnsi="Tahoma" w:cs="Tahoma"/>
        </w:rPr>
      </w:pPr>
      <w:r w:rsidRPr="002C5D1A">
        <w:rPr>
          <w:rFonts w:ascii="Tahoma" w:hAnsi="Tahoma" w:cs="Tahoma"/>
        </w:rPr>
        <w:t xml:space="preserve">Lo dicho hasta aquí permite concluir que fue acertada la determinación de la Jueza de primer grado </w:t>
      </w:r>
      <w:r w:rsidR="00D122D7" w:rsidRPr="002C5D1A">
        <w:rPr>
          <w:rFonts w:ascii="Tahoma" w:hAnsi="Tahoma" w:cs="Tahoma"/>
        </w:rPr>
        <w:t>al t</w:t>
      </w:r>
      <w:r w:rsidRPr="002C5D1A">
        <w:rPr>
          <w:rFonts w:ascii="Tahoma" w:hAnsi="Tahoma" w:cs="Tahoma"/>
        </w:rPr>
        <w:t xml:space="preserve">ener como norma regente, para el estudio de la prescripción </w:t>
      </w:r>
      <w:r w:rsidRPr="002C5D1A">
        <w:rPr>
          <w:rFonts w:ascii="Tahoma" w:hAnsi="Tahoma" w:cs="Tahoma"/>
        </w:rPr>
        <w:lastRenderedPageBreak/>
        <w:t>de las costas procesales, el artículo 2542 del Código Civil</w:t>
      </w:r>
      <w:r w:rsidR="00DF0C7C" w:rsidRPr="002C5D1A">
        <w:rPr>
          <w:rFonts w:ascii="Tahoma" w:hAnsi="Tahoma" w:cs="Tahoma"/>
        </w:rPr>
        <w:t>; asimismo, se comparte la fecha en que consideró que se había interrumpido el fenómeno extintivo, pues de conformidad con la jurisprudencia en cita</w:t>
      </w:r>
      <w:r w:rsidR="002A6DD8" w:rsidRPr="002C5D1A">
        <w:rPr>
          <w:rFonts w:ascii="Tahoma" w:hAnsi="Tahoma" w:cs="Tahoma"/>
        </w:rPr>
        <w:t>,</w:t>
      </w:r>
      <w:r w:rsidR="00DF0C7C" w:rsidRPr="002C5D1A">
        <w:rPr>
          <w:rFonts w:ascii="Tahoma" w:hAnsi="Tahoma" w:cs="Tahoma"/>
        </w:rPr>
        <w:t xml:space="preserve"> fue la reclamación presentada el 12 de septiembre de 2013 la que tuvo la vocaci</w:t>
      </w:r>
      <w:r w:rsidR="002A6DD8" w:rsidRPr="002C5D1A">
        <w:rPr>
          <w:rFonts w:ascii="Tahoma" w:hAnsi="Tahoma" w:cs="Tahoma"/>
        </w:rPr>
        <w:t>ón de contener la extinción de la obligación y de reiniciar su conteo por el término trienal, mismo que se extendió hasta el 12 de septiembre de 2016.</w:t>
      </w:r>
    </w:p>
    <w:p w:rsidR="00D122D7" w:rsidRPr="002C5D1A" w:rsidRDefault="00D122D7" w:rsidP="002C4A8C">
      <w:pPr>
        <w:widowControl w:val="0"/>
        <w:autoSpaceDE w:val="0"/>
        <w:autoSpaceDN w:val="0"/>
        <w:adjustRightInd w:val="0"/>
        <w:spacing w:line="276" w:lineRule="auto"/>
        <w:ind w:firstLine="709"/>
        <w:jc w:val="both"/>
        <w:rPr>
          <w:rFonts w:ascii="Tahoma" w:hAnsi="Tahoma" w:cs="Tahoma"/>
        </w:rPr>
      </w:pPr>
    </w:p>
    <w:p w:rsidR="00D020C6" w:rsidRPr="002C5D1A" w:rsidRDefault="00D122D7" w:rsidP="002C4A8C">
      <w:pPr>
        <w:widowControl w:val="0"/>
        <w:autoSpaceDE w:val="0"/>
        <w:autoSpaceDN w:val="0"/>
        <w:adjustRightInd w:val="0"/>
        <w:spacing w:line="276" w:lineRule="auto"/>
        <w:ind w:firstLine="709"/>
        <w:jc w:val="both"/>
        <w:rPr>
          <w:rFonts w:ascii="Tahoma" w:hAnsi="Tahoma" w:cs="Tahoma"/>
        </w:rPr>
      </w:pPr>
      <w:r w:rsidRPr="002C5D1A">
        <w:rPr>
          <w:rFonts w:ascii="Tahoma" w:hAnsi="Tahoma" w:cs="Tahoma"/>
        </w:rPr>
        <w:t>Lo</w:t>
      </w:r>
      <w:r w:rsidR="002A6DD8" w:rsidRPr="002C5D1A">
        <w:rPr>
          <w:rFonts w:ascii="Tahoma" w:hAnsi="Tahoma" w:cs="Tahoma"/>
        </w:rPr>
        <w:t xml:space="preserve"> brevemente expuesto </w:t>
      </w:r>
      <w:r w:rsidRPr="002C5D1A">
        <w:rPr>
          <w:rFonts w:ascii="Tahoma" w:hAnsi="Tahoma" w:cs="Tahoma"/>
        </w:rPr>
        <w:t xml:space="preserve">permite a esta Colegiatura determinar que la demanda ejecutiva incoada el 15 de enero de 2019 fue presentada de manera intempestiva, razón por la cual se confirmará la decisión de primer grado y se condenará costas procesales a la parte apelante en un 100% a favor de Colpensiones, la cuales se liquidarán por la secretaría del juzgado de origen. </w:t>
      </w:r>
      <w:r w:rsidR="00D020C6" w:rsidRPr="002C5D1A">
        <w:rPr>
          <w:rFonts w:ascii="Tahoma" w:hAnsi="Tahoma" w:cs="Tahoma"/>
        </w:rPr>
        <w:t xml:space="preserve"> </w:t>
      </w:r>
    </w:p>
    <w:p w:rsidR="00D020C6" w:rsidRPr="002C5D1A" w:rsidRDefault="00D020C6" w:rsidP="002C4A8C">
      <w:pPr>
        <w:widowControl w:val="0"/>
        <w:autoSpaceDE w:val="0"/>
        <w:autoSpaceDN w:val="0"/>
        <w:adjustRightInd w:val="0"/>
        <w:spacing w:line="276" w:lineRule="auto"/>
        <w:ind w:firstLine="709"/>
        <w:jc w:val="both"/>
        <w:rPr>
          <w:rFonts w:ascii="Tahoma" w:hAnsi="Tahoma" w:cs="Tahoma"/>
        </w:rPr>
      </w:pPr>
    </w:p>
    <w:p w:rsidR="007D4D1B" w:rsidRPr="002C5D1A" w:rsidRDefault="000C2DE8" w:rsidP="002C4A8C">
      <w:pPr>
        <w:widowControl w:val="0"/>
        <w:autoSpaceDE w:val="0"/>
        <w:autoSpaceDN w:val="0"/>
        <w:adjustRightInd w:val="0"/>
        <w:spacing w:line="276" w:lineRule="auto"/>
        <w:ind w:firstLine="709"/>
        <w:jc w:val="both"/>
        <w:rPr>
          <w:rFonts w:ascii="Tahoma" w:hAnsi="Tahoma" w:cs="Tahoma"/>
        </w:rPr>
      </w:pPr>
      <w:r w:rsidRPr="002C5D1A">
        <w:rPr>
          <w:rFonts w:ascii="Tahoma" w:hAnsi="Tahoma" w:cs="Tahoma"/>
        </w:rPr>
        <w:t>En mérito de</w:t>
      </w:r>
      <w:r w:rsidR="007D4D1B" w:rsidRPr="002C5D1A">
        <w:rPr>
          <w:rFonts w:ascii="Tahoma" w:hAnsi="Tahoma" w:cs="Tahoma"/>
        </w:rPr>
        <w:t xml:space="preserve"> lo expuesto, el </w:t>
      </w:r>
      <w:r w:rsidR="003426CA" w:rsidRPr="002C5D1A">
        <w:rPr>
          <w:rFonts w:ascii="Tahoma" w:hAnsi="Tahoma" w:cs="Tahoma"/>
          <w:b/>
        </w:rPr>
        <w:t xml:space="preserve">Tribunal Superior del Distrito Judicial de Pereira </w:t>
      </w:r>
      <w:r w:rsidR="007D4D1B" w:rsidRPr="002C5D1A">
        <w:rPr>
          <w:rFonts w:ascii="Tahoma" w:hAnsi="Tahoma" w:cs="Tahoma"/>
          <w:b/>
        </w:rPr>
        <w:t>(</w:t>
      </w:r>
      <w:r w:rsidR="003426CA" w:rsidRPr="002C5D1A">
        <w:rPr>
          <w:rFonts w:ascii="Tahoma" w:hAnsi="Tahoma" w:cs="Tahoma"/>
          <w:b/>
        </w:rPr>
        <w:t>Risaralda</w:t>
      </w:r>
      <w:r w:rsidR="007D4D1B" w:rsidRPr="002C5D1A">
        <w:rPr>
          <w:rFonts w:ascii="Tahoma" w:hAnsi="Tahoma" w:cs="Tahoma"/>
          <w:b/>
        </w:rPr>
        <w:t>)</w:t>
      </w:r>
      <w:r w:rsidR="007D4D1B" w:rsidRPr="002C5D1A">
        <w:rPr>
          <w:rFonts w:ascii="Tahoma" w:hAnsi="Tahoma" w:cs="Tahoma"/>
        </w:rPr>
        <w:t xml:space="preserve">, </w:t>
      </w:r>
      <w:r w:rsidR="003426CA" w:rsidRPr="002C5D1A">
        <w:rPr>
          <w:rFonts w:ascii="Tahoma" w:hAnsi="Tahoma" w:cs="Tahoma"/>
          <w:b/>
        </w:rPr>
        <w:t>Sala de Decisión Laboral No. 1</w:t>
      </w:r>
      <w:r w:rsidR="007D4D1B" w:rsidRPr="002C5D1A">
        <w:rPr>
          <w:rFonts w:ascii="Tahoma" w:hAnsi="Tahoma" w:cs="Tahoma"/>
        </w:rPr>
        <w:t xml:space="preserve">, </w:t>
      </w:r>
    </w:p>
    <w:p w:rsidR="00946778" w:rsidRPr="002C5D1A" w:rsidRDefault="00946778" w:rsidP="002C4A8C">
      <w:pPr>
        <w:spacing w:line="276" w:lineRule="auto"/>
        <w:ind w:firstLine="1122"/>
        <w:jc w:val="both"/>
        <w:rPr>
          <w:rFonts w:ascii="Tahoma" w:hAnsi="Tahoma" w:cs="Tahoma"/>
          <w:spacing w:val="-2"/>
        </w:rPr>
      </w:pPr>
    </w:p>
    <w:p w:rsidR="007D4D1B" w:rsidRPr="002C5D1A" w:rsidRDefault="007D4D1B" w:rsidP="002C4A8C">
      <w:pPr>
        <w:widowControl w:val="0"/>
        <w:autoSpaceDE w:val="0"/>
        <w:autoSpaceDN w:val="0"/>
        <w:adjustRightInd w:val="0"/>
        <w:spacing w:line="276" w:lineRule="auto"/>
        <w:jc w:val="center"/>
        <w:rPr>
          <w:rFonts w:ascii="Tahoma" w:hAnsi="Tahoma" w:cs="Tahoma"/>
          <w:b/>
        </w:rPr>
      </w:pPr>
      <w:r w:rsidRPr="002C5D1A">
        <w:rPr>
          <w:rFonts w:ascii="Tahoma" w:hAnsi="Tahoma" w:cs="Tahoma"/>
          <w:b/>
        </w:rPr>
        <w:t>R E S U E L V E:</w:t>
      </w:r>
    </w:p>
    <w:p w:rsidR="007D4D1B" w:rsidRPr="002C5D1A" w:rsidRDefault="007D4D1B" w:rsidP="002C4A8C">
      <w:pPr>
        <w:widowControl w:val="0"/>
        <w:autoSpaceDE w:val="0"/>
        <w:autoSpaceDN w:val="0"/>
        <w:adjustRightInd w:val="0"/>
        <w:spacing w:line="276" w:lineRule="auto"/>
        <w:jc w:val="both"/>
        <w:rPr>
          <w:rFonts w:ascii="Tahoma" w:hAnsi="Tahoma" w:cs="Tahoma"/>
        </w:rPr>
      </w:pPr>
    </w:p>
    <w:p w:rsidR="00330F28" w:rsidRPr="002C5D1A" w:rsidRDefault="007D4D1B" w:rsidP="002C4A8C">
      <w:pPr>
        <w:widowControl w:val="0"/>
        <w:autoSpaceDE w:val="0"/>
        <w:autoSpaceDN w:val="0"/>
        <w:adjustRightInd w:val="0"/>
        <w:spacing w:line="276" w:lineRule="auto"/>
        <w:ind w:firstLine="1080"/>
        <w:jc w:val="both"/>
        <w:rPr>
          <w:rFonts w:ascii="Tahoma" w:hAnsi="Tahoma" w:cs="Tahoma"/>
        </w:rPr>
      </w:pPr>
      <w:r w:rsidRPr="002C5D1A">
        <w:rPr>
          <w:rFonts w:ascii="Tahoma" w:hAnsi="Tahoma" w:cs="Tahoma"/>
          <w:b/>
          <w:u w:val="single"/>
        </w:rPr>
        <w:t>PRIMERO</w:t>
      </w:r>
      <w:r w:rsidRPr="002C5D1A">
        <w:rPr>
          <w:rFonts w:ascii="Tahoma" w:hAnsi="Tahoma" w:cs="Tahoma"/>
        </w:rPr>
        <w:t>.-</w:t>
      </w:r>
      <w:r w:rsidR="00F14EFA" w:rsidRPr="002C5D1A">
        <w:rPr>
          <w:rFonts w:ascii="Tahoma" w:hAnsi="Tahoma" w:cs="Tahoma"/>
        </w:rPr>
        <w:t xml:space="preserve"> </w:t>
      </w:r>
      <w:r w:rsidR="00D122D7" w:rsidRPr="002C5D1A">
        <w:rPr>
          <w:rFonts w:ascii="Tahoma" w:hAnsi="Tahoma" w:cs="Tahoma"/>
          <w:b/>
        </w:rPr>
        <w:t>CONFIRMAR</w:t>
      </w:r>
      <w:r w:rsidR="00330F28" w:rsidRPr="002C5D1A">
        <w:rPr>
          <w:rFonts w:ascii="Tahoma" w:hAnsi="Tahoma" w:cs="Tahoma"/>
        </w:rPr>
        <w:t xml:space="preserve"> el auto proferido por el Juzgado </w:t>
      </w:r>
      <w:r w:rsidR="00D122D7" w:rsidRPr="002C5D1A">
        <w:rPr>
          <w:rFonts w:ascii="Tahoma" w:hAnsi="Tahoma" w:cs="Tahoma"/>
        </w:rPr>
        <w:t xml:space="preserve">Tercero </w:t>
      </w:r>
      <w:r w:rsidR="00330F28" w:rsidRPr="002C5D1A">
        <w:rPr>
          <w:rFonts w:ascii="Tahoma" w:hAnsi="Tahoma" w:cs="Tahoma"/>
        </w:rPr>
        <w:t xml:space="preserve">Laboral del Circuito de Pereira el </w:t>
      </w:r>
      <w:r w:rsidR="00D122D7" w:rsidRPr="002C5D1A">
        <w:rPr>
          <w:rFonts w:ascii="Tahoma" w:hAnsi="Tahoma" w:cs="Tahoma"/>
        </w:rPr>
        <w:t>9 de agosto  de 2019.</w:t>
      </w:r>
    </w:p>
    <w:p w:rsidR="00330F28" w:rsidRPr="002C5D1A" w:rsidRDefault="00330F28" w:rsidP="002C4A8C">
      <w:pPr>
        <w:widowControl w:val="0"/>
        <w:autoSpaceDE w:val="0"/>
        <w:autoSpaceDN w:val="0"/>
        <w:adjustRightInd w:val="0"/>
        <w:spacing w:line="276" w:lineRule="auto"/>
        <w:ind w:firstLine="1080"/>
        <w:jc w:val="both"/>
        <w:rPr>
          <w:rFonts w:ascii="Tahoma" w:hAnsi="Tahoma" w:cs="Tahoma"/>
        </w:rPr>
      </w:pPr>
    </w:p>
    <w:p w:rsidR="00AF50EA" w:rsidRPr="002C5D1A" w:rsidRDefault="00330F28" w:rsidP="00D122D7">
      <w:pPr>
        <w:widowControl w:val="0"/>
        <w:autoSpaceDE w:val="0"/>
        <w:autoSpaceDN w:val="0"/>
        <w:adjustRightInd w:val="0"/>
        <w:spacing w:line="276" w:lineRule="auto"/>
        <w:ind w:firstLine="1080"/>
        <w:jc w:val="both"/>
        <w:rPr>
          <w:rFonts w:ascii="Tahoma" w:hAnsi="Tahoma" w:cs="Tahoma"/>
        </w:rPr>
      </w:pPr>
      <w:r w:rsidRPr="002C5D1A">
        <w:rPr>
          <w:rFonts w:ascii="Tahoma" w:hAnsi="Tahoma" w:cs="Tahoma"/>
          <w:b/>
          <w:u w:val="single"/>
        </w:rPr>
        <w:t>SEGUNDO</w:t>
      </w:r>
      <w:r w:rsidRPr="002C5D1A">
        <w:rPr>
          <w:rFonts w:ascii="Tahoma" w:hAnsi="Tahoma" w:cs="Tahoma"/>
          <w:b/>
        </w:rPr>
        <w:t>.-</w:t>
      </w:r>
      <w:r w:rsidRPr="002C5D1A">
        <w:rPr>
          <w:rFonts w:ascii="Tahoma" w:hAnsi="Tahoma" w:cs="Tahoma"/>
        </w:rPr>
        <w:t xml:space="preserve"> </w:t>
      </w:r>
      <w:r w:rsidR="00D122D7" w:rsidRPr="002C5D1A">
        <w:rPr>
          <w:rFonts w:ascii="Tahoma" w:hAnsi="Tahoma" w:cs="Tahoma"/>
          <w:b/>
        </w:rPr>
        <w:t xml:space="preserve">CONDENAR </w:t>
      </w:r>
      <w:r w:rsidR="00D122D7" w:rsidRPr="002C5D1A">
        <w:rPr>
          <w:rFonts w:ascii="Tahoma" w:hAnsi="Tahoma" w:cs="Tahoma"/>
        </w:rPr>
        <w:t xml:space="preserve">en costas de segunda instancia a la parte apelante y a favor de Colpensiones en un </w:t>
      </w:r>
      <w:r w:rsidR="00850875" w:rsidRPr="002C5D1A">
        <w:rPr>
          <w:rFonts w:ascii="Tahoma" w:hAnsi="Tahoma" w:cs="Tahoma"/>
        </w:rPr>
        <w:t xml:space="preserve">100%. Liquídense por la Secretaría del juzgado de origen. </w:t>
      </w:r>
    </w:p>
    <w:p w:rsidR="00850875" w:rsidRPr="002C5D1A" w:rsidRDefault="00850875" w:rsidP="00D122D7">
      <w:pPr>
        <w:widowControl w:val="0"/>
        <w:autoSpaceDE w:val="0"/>
        <w:autoSpaceDN w:val="0"/>
        <w:adjustRightInd w:val="0"/>
        <w:spacing w:line="276" w:lineRule="auto"/>
        <w:ind w:firstLine="1080"/>
        <w:jc w:val="both"/>
        <w:rPr>
          <w:rFonts w:ascii="Tahoma" w:hAnsi="Tahoma" w:cs="Tahoma"/>
        </w:rPr>
      </w:pPr>
    </w:p>
    <w:p w:rsidR="00BC4A78" w:rsidRPr="002C5D1A" w:rsidRDefault="00BC4A78" w:rsidP="002C4A8C">
      <w:pPr>
        <w:spacing w:line="276" w:lineRule="auto"/>
        <w:ind w:firstLine="709"/>
        <w:jc w:val="both"/>
        <w:rPr>
          <w:rFonts w:ascii="Tahoma" w:hAnsi="Tahoma" w:cs="Tahoma"/>
        </w:rPr>
      </w:pPr>
      <w:r w:rsidRPr="002C5D1A">
        <w:rPr>
          <w:rFonts w:ascii="Tahoma" w:hAnsi="Tahoma" w:cs="Tahoma"/>
        </w:rPr>
        <w:t>No siendo otro el objeto de la presente diligencia, se termina y firma por las personas que en la misma intervinieron.</w:t>
      </w:r>
    </w:p>
    <w:p w:rsidR="00BC4A78" w:rsidRPr="002C5D1A" w:rsidRDefault="00BC4A78" w:rsidP="002C4A8C">
      <w:pPr>
        <w:spacing w:line="276" w:lineRule="auto"/>
        <w:ind w:firstLine="708"/>
        <w:jc w:val="both"/>
        <w:rPr>
          <w:rFonts w:ascii="Tahoma" w:hAnsi="Tahoma" w:cs="Tahoma"/>
          <w:b/>
        </w:rPr>
      </w:pPr>
    </w:p>
    <w:p w:rsidR="00BC4A78" w:rsidRPr="002C5D1A" w:rsidRDefault="00BC4A78" w:rsidP="002C4A8C">
      <w:pPr>
        <w:tabs>
          <w:tab w:val="left" w:pos="-720"/>
        </w:tabs>
        <w:suppressAutoHyphens/>
        <w:spacing w:line="276" w:lineRule="auto"/>
        <w:jc w:val="both"/>
        <w:rPr>
          <w:rFonts w:ascii="Tahoma" w:hAnsi="Tahoma" w:cs="Tahoma"/>
          <w:spacing w:val="-2"/>
        </w:rPr>
      </w:pPr>
      <w:r w:rsidRPr="002C5D1A">
        <w:rPr>
          <w:rFonts w:ascii="Tahoma" w:hAnsi="Tahoma" w:cs="Tahoma"/>
          <w:spacing w:val="-2"/>
        </w:rPr>
        <w:tab/>
        <w:t xml:space="preserve">Notificación surtida en estrados. </w:t>
      </w:r>
    </w:p>
    <w:p w:rsidR="00797D49" w:rsidRPr="002C5D1A" w:rsidRDefault="00797D49" w:rsidP="002C4A8C">
      <w:pPr>
        <w:widowControl w:val="0"/>
        <w:autoSpaceDE w:val="0"/>
        <w:autoSpaceDN w:val="0"/>
        <w:adjustRightInd w:val="0"/>
        <w:spacing w:line="276" w:lineRule="auto"/>
        <w:ind w:firstLine="1080"/>
        <w:jc w:val="both"/>
        <w:rPr>
          <w:rFonts w:ascii="Tahoma" w:hAnsi="Tahoma" w:cs="Tahoma"/>
        </w:rPr>
      </w:pPr>
    </w:p>
    <w:p w:rsidR="000676D1" w:rsidRPr="002C5D1A" w:rsidRDefault="00A27CAA" w:rsidP="002C4A8C">
      <w:pPr>
        <w:widowControl w:val="0"/>
        <w:autoSpaceDE w:val="0"/>
        <w:autoSpaceDN w:val="0"/>
        <w:adjustRightInd w:val="0"/>
        <w:spacing w:line="276" w:lineRule="auto"/>
        <w:ind w:firstLine="709"/>
        <w:jc w:val="both"/>
        <w:rPr>
          <w:rFonts w:ascii="Tahoma" w:hAnsi="Tahoma" w:cs="Tahoma"/>
        </w:rPr>
      </w:pPr>
      <w:r w:rsidRPr="002C5D1A">
        <w:rPr>
          <w:rFonts w:ascii="Tahoma" w:hAnsi="Tahoma" w:cs="Tahoma"/>
        </w:rPr>
        <w:t xml:space="preserve">La Magistrada </w:t>
      </w:r>
    </w:p>
    <w:p w:rsidR="00DA20AF" w:rsidRPr="002C5D1A" w:rsidRDefault="00DA20AF" w:rsidP="002C4A8C">
      <w:pPr>
        <w:widowControl w:val="0"/>
        <w:autoSpaceDE w:val="0"/>
        <w:autoSpaceDN w:val="0"/>
        <w:adjustRightInd w:val="0"/>
        <w:spacing w:line="276" w:lineRule="auto"/>
        <w:jc w:val="both"/>
        <w:rPr>
          <w:rFonts w:ascii="Tahoma" w:hAnsi="Tahoma" w:cs="Tahoma"/>
        </w:rPr>
      </w:pPr>
    </w:p>
    <w:p w:rsidR="00085CC3" w:rsidRDefault="00085CC3" w:rsidP="00AA1869">
      <w:pPr>
        <w:widowControl w:val="0"/>
        <w:autoSpaceDE w:val="0"/>
        <w:autoSpaceDN w:val="0"/>
        <w:adjustRightInd w:val="0"/>
        <w:rPr>
          <w:rFonts w:ascii="Tahoma" w:hAnsi="Tahoma" w:cs="Tahoma"/>
          <w:b/>
        </w:rPr>
      </w:pPr>
    </w:p>
    <w:p w:rsidR="00576CDD" w:rsidRPr="002C5D1A" w:rsidRDefault="00576CDD" w:rsidP="00AA1869">
      <w:pPr>
        <w:widowControl w:val="0"/>
        <w:autoSpaceDE w:val="0"/>
        <w:autoSpaceDN w:val="0"/>
        <w:adjustRightInd w:val="0"/>
        <w:rPr>
          <w:rFonts w:ascii="Tahoma" w:hAnsi="Tahoma" w:cs="Tahoma"/>
          <w:b/>
        </w:rPr>
      </w:pPr>
    </w:p>
    <w:p w:rsidR="00085CC3" w:rsidRPr="002C5D1A" w:rsidRDefault="00085CC3" w:rsidP="00AA1869">
      <w:pPr>
        <w:widowControl w:val="0"/>
        <w:autoSpaceDE w:val="0"/>
        <w:autoSpaceDN w:val="0"/>
        <w:adjustRightInd w:val="0"/>
        <w:rPr>
          <w:rFonts w:ascii="Tahoma" w:hAnsi="Tahoma" w:cs="Tahoma"/>
          <w:b/>
        </w:rPr>
      </w:pPr>
    </w:p>
    <w:p w:rsidR="007D4D1B" w:rsidRPr="002C5D1A" w:rsidRDefault="007D4D1B" w:rsidP="002C4A8C">
      <w:pPr>
        <w:widowControl w:val="0"/>
        <w:autoSpaceDE w:val="0"/>
        <w:autoSpaceDN w:val="0"/>
        <w:adjustRightInd w:val="0"/>
        <w:jc w:val="center"/>
        <w:rPr>
          <w:rFonts w:ascii="Tahoma" w:hAnsi="Tahoma" w:cs="Tahoma"/>
          <w:b/>
        </w:rPr>
      </w:pPr>
      <w:r w:rsidRPr="002C5D1A">
        <w:rPr>
          <w:rFonts w:ascii="Tahoma" w:hAnsi="Tahoma" w:cs="Tahoma"/>
          <w:b/>
        </w:rPr>
        <w:t>ANA LUCÍA CAICEDO CALDERÓN</w:t>
      </w:r>
    </w:p>
    <w:p w:rsidR="00F81D58" w:rsidRDefault="00F81D58" w:rsidP="002C4A8C">
      <w:pPr>
        <w:widowControl w:val="0"/>
        <w:autoSpaceDE w:val="0"/>
        <w:autoSpaceDN w:val="0"/>
        <w:adjustRightInd w:val="0"/>
        <w:rPr>
          <w:rFonts w:ascii="Tahoma" w:hAnsi="Tahoma" w:cs="Tahoma"/>
          <w:b/>
        </w:rPr>
      </w:pPr>
    </w:p>
    <w:p w:rsidR="00576CDD" w:rsidRPr="002C5D1A" w:rsidRDefault="00576CDD" w:rsidP="002C4A8C">
      <w:pPr>
        <w:widowControl w:val="0"/>
        <w:autoSpaceDE w:val="0"/>
        <w:autoSpaceDN w:val="0"/>
        <w:adjustRightInd w:val="0"/>
        <w:rPr>
          <w:rFonts w:ascii="Tahoma" w:hAnsi="Tahoma" w:cs="Tahoma"/>
          <w:b/>
        </w:rPr>
      </w:pPr>
    </w:p>
    <w:p w:rsidR="00A90F5C" w:rsidRPr="002C5D1A" w:rsidRDefault="00A90F5C" w:rsidP="002C4A8C">
      <w:pPr>
        <w:widowControl w:val="0"/>
        <w:autoSpaceDE w:val="0"/>
        <w:autoSpaceDN w:val="0"/>
        <w:adjustRightInd w:val="0"/>
        <w:rPr>
          <w:rFonts w:ascii="Tahoma" w:hAnsi="Tahoma" w:cs="Tahoma"/>
          <w:b/>
        </w:rPr>
      </w:pPr>
    </w:p>
    <w:p w:rsidR="000676D1" w:rsidRPr="002C5D1A" w:rsidRDefault="000676D1" w:rsidP="002C4A8C">
      <w:pPr>
        <w:widowControl w:val="0"/>
        <w:autoSpaceDE w:val="0"/>
        <w:autoSpaceDN w:val="0"/>
        <w:adjustRightInd w:val="0"/>
        <w:rPr>
          <w:rFonts w:ascii="Tahoma" w:hAnsi="Tahoma" w:cs="Tahoma"/>
          <w:b/>
        </w:rPr>
      </w:pPr>
    </w:p>
    <w:p w:rsidR="00F81D58" w:rsidRPr="002C5D1A" w:rsidRDefault="001B2EAD" w:rsidP="002C4A8C">
      <w:pPr>
        <w:widowControl w:val="0"/>
        <w:autoSpaceDE w:val="0"/>
        <w:autoSpaceDN w:val="0"/>
        <w:adjustRightInd w:val="0"/>
        <w:jc w:val="both"/>
        <w:rPr>
          <w:rFonts w:ascii="Tahoma" w:hAnsi="Tahoma" w:cs="Tahoma"/>
          <w:b/>
        </w:rPr>
      </w:pPr>
      <w:r w:rsidRPr="002C5D1A">
        <w:rPr>
          <w:rFonts w:ascii="Tahoma" w:hAnsi="Tahoma" w:cs="Tahoma"/>
          <w:b/>
        </w:rPr>
        <w:t>OLGA LUCÍA HOYOS SEPÚLVEDA</w:t>
      </w:r>
      <w:r w:rsidR="00AA1869">
        <w:rPr>
          <w:rFonts w:ascii="Tahoma" w:hAnsi="Tahoma" w:cs="Tahoma"/>
          <w:b/>
        </w:rPr>
        <w:tab/>
      </w:r>
      <w:r w:rsidR="00AA1869">
        <w:rPr>
          <w:rFonts w:ascii="Tahoma" w:hAnsi="Tahoma" w:cs="Tahoma"/>
          <w:b/>
        </w:rPr>
        <w:tab/>
      </w:r>
      <w:r w:rsidRPr="002C5D1A">
        <w:rPr>
          <w:rFonts w:ascii="Tahoma" w:hAnsi="Tahoma" w:cs="Tahoma"/>
          <w:b/>
        </w:rPr>
        <w:t>JUL</w:t>
      </w:r>
      <w:r w:rsidR="0070197E" w:rsidRPr="002C5D1A">
        <w:rPr>
          <w:rFonts w:ascii="Tahoma" w:hAnsi="Tahoma" w:cs="Tahoma"/>
          <w:b/>
        </w:rPr>
        <w:t xml:space="preserve">IO CÉSAR SALAZAR </w:t>
      </w:r>
      <w:r w:rsidR="00AA1869">
        <w:rPr>
          <w:rFonts w:ascii="Tahoma" w:hAnsi="Tahoma" w:cs="Tahoma"/>
          <w:b/>
        </w:rPr>
        <w:t>MUÑOZ</w:t>
      </w:r>
    </w:p>
    <w:p w:rsidR="00A52215" w:rsidRPr="00576CDD" w:rsidRDefault="001B2EAD" w:rsidP="00576CDD">
      <w:pPr>
        <w:widowControl w:val="0"/>
        <w:autoSpaceDE w:val="0"/>
        <w:autoSpaceDN w:val="0"/>
        <w:adjustRightInd w:val="0"/>
        <w:jc w:val="both"/>
        <w:rPr>
          <w:rFonts w:ascii="Tahoma" w:hAnsi="Tahoma" w:cs="Tahoma"/>
        </w:rPr>
      </w:pPr>
      <w:r w:rsidRPr="002C5D1A">
        <w:rPr>
          <w:rFonts w:ascii="Tahoma" w:hAnsi="Tahoma" w:cs="Tahoma"/>
        </w:rPr>
        <w:t>Magistrada</w:t>
      </w:r>
      <w:r w:rsidR="00AA1869">
        <w:rPr>
          <w:rFonts w:ascii="Tahoma" w:hAnsi="Tahoma" w:cs="Tahoma"/>
        </w:rPr>
        <w:tab/>
      </w:r>
      <w:r w:rsidR="00AA1869">
        <w:rPr>
          <w:rFonts w:ascii="Tahoma" w:hAnsi="Tahoma" w:cs="Tahoma"/>
        </w:rPr>
        <w:tab/>
      </w:r>
      <w:r w:rsidR="00AA1869">
        <w:rPr>
          <w:rFonts w:ascii="Tahoma" w:hAnsi="Tahoma" w:cs="Tahoma"/>
        </w:rPr>
        <w:tab/>
      </w:r>
      <w:r w:rsidR="00AA1869">
        <w:rPr>
          <w:rFonts w:ascii="Tahoma" w:hAnsi="Tahoma" w:cs="Tahoma"/>
        </w:rPr>
        <w:tab/>
      </w:r>
      <w:r w:rsidR="00AA1869">
        <w:rPr>
          <w:rFonts w:ascii="Tahoma" w:hAnsi="Tahoma" w:cs="Tahoma"/>
        </w:rPr>
        <w:tab/>
      </w:r>
      <w:r w:rsidR="00AA1869">
        <w:rPr>
          <w:rFonts w:ascii="Tahoma" w:hAnsi="Tahoma" w:cs="Tahoma"/>
        </w:rPr>
        <w:tab/>
      </w:r>
      <w:r w:rsidRPr="002C5D1A">
        <w:rPr>
          <w:rFonts w:ascii="Tahoma" w:hAnsi="Tahoma" w:cs="Tahoma"/>
        </w:rPr>
        <w:t>Magistrado</w:t>
      </w:r>
    </w:p>
    <w:sectPr w:rsidR="00A52215" w:rsidRPr="00576CDD" w:rsidSect="002C5D1A">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A2" w:rsidRDefault="000018A2">
      <w:r>
        <w:separator/>
      </w:r>
    </w:p>
  </w:endnote>
  <w:endnote w:type="continuationSeparator" w:id="0">
    <w:p w:rsidR="000018A2" w:rsidRDefault="0000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A2" w:rsidRDefault="000018A2">
      <w:r>
        <w:separator/>
      </w:r>
    </w:p>
  </w:footnote>
  <w:footnote w:type="continuationSeparator" w:id="0">
    <w:p w:rsidR="000018A2" w:rsidRDefault="0000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C6" w:rsidRDefault="00D020C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20C6" w:rsidRDefault="00D020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C6" w:rsidRPr="00965EBC" w:rsidRDefault="00D020C6" w:rsidP="00965EBC">
    <w:pPr>
      <w:pStyle w:val="Puesto"/>
      <w:framePr w:wrap="around" w:vAnchor="text" w:hAnchor="margin" w:xAlign="center" w:y="1"/>
      <w:spacing w:line="240" w:lineRule="auto"/>
      <w:jc w:val="both"/>
      <w:rPr>
        <w:b w:val="0"/>
        <w:sz w:val="18"/>
        <w:szCs w:val="18"/>
      </w:rPr>
    </w:pPr>
    <w:r w:rsidRPr="00965EBC">
      <w:rPr>
        <w:b w:val="0"/>
        <w:sz w:val="18"/>
        <w:szCs w:val="18"/>
      </w:rPr>
      <w:fldChar w:fldCharType="begin"/>
    </w:r>
    <w:r w:rsidRPr="00965EBC">
      <w:rPr>
        <w:b w:val="0"/>
        <w:sz w:val="18"/>
        <w:szCs w:val="18"/>
      </w:rPr>
      <w:instrText xml:space="preserve">PAGE  </w:instrText>
    </w:r>
    <w:r w:rsidRPr="00965EBC">
      <w:rPr>
        <w:b w:val="0"/>
        <w:sz w:val="18"/>
        <w:szCs w:val="18"/>
      </w:rPr>
      <w:fldChar w:fldCharType="separate"/>
    </w:r>
    <w:r w:rsidR="009440F5">
      <w:rPr>
        <w:b w:val="0"/>
        <w:noProof/>
        <w:sz w:val="18"/>
        <w:szCs w:val="18"/>
      </w:rPr>
      <w:t>5</w:t>
    </w:r>
    <w:r w:rsidRPr="00965EBC">
      <w:rPr>
        <w:b w:val="0"/>
        <w:sz w:val="18"/>
        <w:szCs w:val="18"/>
      </w:rPr>
      <w:fldChar w:fldCharType="end"/>
    </w:r>
  </w:p>
  <w:p w:rsidR="00D020C6" w:rsidRPr="00AA1869" w:rsidRDefault="00D020C6" w:rsidP="00AA1869">
    <w:pPr>
      <w:pStyle w:val="Puesto"/>
      <w:spacing w:line="240" w:lineRule="auto"/>
      <w:jc w:val="both"/>
      <w:rPr>
        <w:b w:val="0"/>
        <w:sz w:val="18"/>
        <w:szCs w:val="18"/>
      </w:rPr>
    </w:pPr>
    <w:r w:rsidRPr="00AA1869">
      <w:rPr>
        <w:b w:val="0"/>
        <w:sz w:val="18"/>
        <w:szCs w:val="18"/>
      </w:rPr>
      <w:t>Radicación No.: 66001-31-05-003-2012-00218-01</w:t>
    </w:r>
  </w:p>
  <w:p w:rsidR="00D020C6" w:rsidRPr="00AA1869" w:rsidRDefault="00D020C6" w:rsidP="00AA1869">
    <w:pPr>
      <w:pStyle w:val="Puesto"/>
      <w:spacing w:line="240" w:lineRule="auto"/>
      <w:jc w:val="both"/>
      <w:rPr>
        <w:b w:val="0"/>
        <w:sz w:val="18"/>
        <w:szCs w:val="18"/>
      </w:rPr>
    </w:pPr>
    <w:r w:rsidRPr="00AA1869">
      <w:rPr>
        <w:b w:val="0"/>
        <w:sz w:val="18"/>
        <w:szCs w:val="18"/>
      </w:rPr>
      <w:t>Ejecutante: Martha Regina Román Betancur</w:t>
    </w:r>
  </w:p>
  <w:p w:rsidR="00D020C6" w:rsidRPr="00AA1869" w:rsidRDefault="00D020C6" w:rsidP="00AA1869">
    <w:pPr>
      <w:pStyle w:val="Puesto"/>
      <w:spacing w:line="240" w:lineRule="auto"/>
      <w:jc w:val="both"/>
      <w:rPr>
        <w:b w:val="0"/>
        <w:sz w:val="18"/>
        <w:szCs w:val="18"/>
      </w:rPr>
    </w:pPr>
    <w:r w:rsidRPr="00AA1869">
      <w:rPr>
        <w:b w:val="0"/>
        <w:sz w:val="18"/>
        <w:szCs w:val="18"/>
      </w:rPr>
      <w:t>Ejecutada: Colpensiones</w:t>
    </w:r>
  </w:p>
  <w:p w:rsidR="00D020C6" w:rsidRDefault="00D020C6">
    <w:pPr>
      <w:pStyle w:val="Encabezado"/>
      <w:rPr>
        <w:rFonts w:ascii="Verdana" w:hAnsi="Verdana"/>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50D3CB5"/>
    <w:multiLevelType w:val="multilevel"/>
    <w:tmpl w:val="DF705472"/>
    <w:lvl w:ilvl="0">
      <w:start w:val="1"/>
      <w:numFmt w:val="upperRoman"/>
      <w:lvlText w:val="%1."/>
      <w:lvlJc w:val="right"/>
      <w:pPr>
        <w:ind w:left="1428" w:hanging="360"/>
      </w:pPr>
      <w:rPr>
        <w:b/>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18A2"/>
    <w:rsid w:val="00002C31"/>
    <w:rsid w:val="000030F1"/>
    <w:rsid w:val="00004102"/>
    <w:rsid w:val="00010034"/>
    <w:rsid w:val="000114CC"/>
    <w:rsid w:val="00013F08"/>
    <w:rsid w:val="000179E3"/>
    <w:rsid w:val="00023947"/>
    <w:rsid w:val="000239ED"/>
    <w:rsid w:val="00024695"/>
    <w:rsid w:val="0002731B"/>
    <w:rsid w:val="000326B7"/>
    <w:rsid w:val="00032BA4"/>
    <w:rsid w:val="00036047"/>
    <w:rsid w:val="00036B66"/>
    <w:rsid w:val="000406C1"/>
    <w:rsid w:val="00040B5F"/>
    <w:rsid w:val="00041661"/>
    <w:rsid w:val="00041EDC"/>
    <w:rsid w:val="00042956"/>
    <w:rsid w:val="00043D77"/>
    <w:rsid w:val="00044B1D"/>
    <w:rsid w:val="00044BD6"/>
    <w:rsid w:val="00044BF7"/>
    <w:rsid w:val="00051F1C"/>
    <w:rsid w:val="00053620"/>
    <w:rsid w:val="000625CB"/>
    <w:rsid w:val="000637C3"/>
    <w:rsid w:val="00064382"/>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C100B"/>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3B45"/>
    <w:rsid w:val="00134FE6"/>
    <w:rsid w:val="00135133"/>
    <w:rsid w:val="00137A8B"/>
    <w:rsid w:val="00142385"/>
    <w:rsid w:val="00143467"/>
    <w:rsid w:val="001438EE"/>
    <w:rsid w:val="00144AEE"/>
    <w:rsid w:val="00145295"/>
    <w:rsid w:val="0014721F"/>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2EAD"/>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B62"/>
    <w:rsid w:val="0022029F"/>
    <w:rsid w:val="00224087"/>
    <w:rsid w:val="00224952"/>
    <w:rsid w:val="002320F0"/>
    <w:rsid w:val="00232A31"/>
    <w:rsid w:val="002343D3"/>
    <w:rsid w:val="00235AAA"/>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6DD8"/>
    <w:rsid w:val="002A7EB8"/>
    <w:rsid w:val="002B0062"/>
    <w:rsid w:val="002B27FB"/>
    <w:rsid w:val="002B34A0"/>
    <w:rsid w:val="002B3F86"/>
    <w:rsid w:val="002B3F9A"/>
    <w:rsid w:val="002B6847"/>
    <w:rsid w:val="002C23D0"/>
    <w:rsid w:val="002C2855"/>
    <w:rsid w:val="002C3EDB"/>
    <w:rsid w:val="002C4A8C"/>
    <w:rsid w:val="002C5D1A"/>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2F5799"/>
    <w:rsid w:val="003045C3"/>
    <w:rsid w:val="00305B40"/>
    <w:rsid w:val="00307070"/>
    <w:rsid w:val="00307897"/>
    <w:rsid w:val="003111A3"/>
    <w:rsid w:val="00312A49"/>
    <w:rsid w:val="00314C72"/>
    <w:rsid w:val="003154A0"/>
    <w:rsid w:val="00321633"/>
    <w:rsid w:val="003220E3"/>
    <w:rsid w:val="003233A9"/>
    <w:rsid w:val="00330E19"/>
    <w:rsid w:val="00330F28"/>
    <w:rsid w:val="00332B14"/>
    <w:rsid w:val="003356E7"/>
    <w:rsid w:val="00336B9B"/>
    <w:rsid w:val="00337D6F"/>
    <w:rsid w:val="003426CA"/>
    <w:rsid w:val="00343C01"/>
    <w:rsid w:val="003452F2"/>
    <w:rsid w:val="00351118"/>
    <w:rsid w:val="00351EA6"/>
    <w:rsid w:val="003559B2"/>
    <w:rsid w:val="00355C7A"/>
    <w:rsid w:val="00356B6A"/>
    <w:rsid w:val="00357AAD"/>
    <w:rsid w:val="0036044B"/>
    <w:rsid w:val="00360E18"/>
    <w:rsid w:val="00361BE7"/>
    <w:rsid w:val="00364940"/>
    <w:rsid w:val="0037329B"/>
    <w:rsid w:val="003749D8"/>
    <w:rsid w:val="003751CD"/>
    <w:rsid w:val="00381997"/>
    <w:rsid w:val="00390C4E"/>
    <w:rsid w:val="003A07C5"/>
    <w:rsid w:val="003A4A4B"/>
    <w:rsid w:val="003A6EDD"/>
    <w:rsid w:val="003B1C54"/>
    <w:rsid w:val="003B1D1C"/>
    <w:rsid w:val="003B2CCF"/>
    <w:rsid w:val="003B306F"/>
    <w:rsid w:val="003B7B42"/>
    <w:rsid w:val="003B7E03"/>
    <w:rsid w:val="003C0C2E"/>
    <w:rsid w:val="003C271A"/>
    <w:rsid w:val="003C2AFB"/>
    <w:rsid w:val="003C5AC3"/>
    <w:rsid w:val="003C6BF3"/>
    <w:rsid w:val="003D08BC"/>
    <w:rsid w:val="003D1F24"/>
    <w:rsid w:val="003E0624"/>
    <w:rsid w:val="003E42AD"/>
    <w:rsid w:val="003E493D"/>
    <w:rsid w:val="003E50E8"/>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467CF"/>
    <w:rsid w:val="00450985"/>
    <w:rsid w:val="00454C98"/>
    <w:rsid w:val="00455B64"/>
    <w:rsid w:val="00456848"/>
    <w:rsid w:val="004578C7"/>
    <w:rsid w:val="00460DA7"/>
    <w:rsid w:val="00463814"/>
    <w:rsid w:val="00464E65"/>
    <w:rsid w:val="00467425"/>
    <w:rsid w:val="00472724"/>
    <w:rsid w:val="00481674"/>
    <w:rsid w:val="00481A86"/>
    <w:rsid w:val="004834C3"/>
    <w:rsid w:val="00486640"/>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0B82"/>
    <w:rsid w:val="004B38BA"/>
    <w:rsid w:val="004B6D48"/>
    <w:rsid w:val="004C582A"/>
    <w:rsid w:val="004C6639"/>
    <w:rsid w:val="004D1DE9"/>
    <w:rsid w:val="004D31E6"/>
    <w:rsid w:val="004D658D"/>
    <w:rsid w:val="004E0CB5"/>
    <w:rsid w:val="004E2638"/>
    <w:rsid w:val="004E30C1"/>
    <w:rsid w:val="004E506D"/>
    <w:rsid w:val="004E5144"/>
    <w:rsid w:val="004E515F"/>
    <w:rsid w:val="004E5F49"/>
    <w:rsid w:val="004E60E8"/>
    <w:rsid w:val="004F2AB7"/>
    <w:rsid w:val="004F5600"/>
    <w:rsid w:val="004F633D"/>
    <w:rsid w:val="004F70D2"/>
    <w:rsid w:val="004F768E"/>
    <w:rsid w:val="00507C23"/>
    <w:rsid w:val="00520BA6"/>
    <w:rsid w:val="00524273"/>
    <w:rsid w:val="00527338"/>
    <w:rsid w:val="00527D7F"/>
    <w:rsid w:val="0053305F"/>
    <w:rsid w:val="005348B0"/>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3E44"/>
    <w:rsid w:val="005743F2"/>
    <w:rsid w:val="00575E70"/>
    <w:rsid w:val="00576945"/>
    <w:rsid w:val="00576CDD"/>
    <w:rsid w:val="0058455A"/>
    <w:rsid w:val="005848B2"/>
    <w:rsid w:val="0059189F"/>
    <w:rsid w:val="00595D36"/>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4BCC"/>
    <w:rsid w:val="005D5285"/>
    <w:rsid w:val="005D7348"/>
    <w:rsid w:val="005E0803"/>
    <w:rsid w:val="005E2614"/>
    <w:rsid w:val="005E2BE1"/>
    <w:rsid w:val="005E347B"/>
    <w:rsid w:val="005F01A4"/>
    <w:rsid w:val="005F1D0C"/>
    <w:rsid w:val="005F2E44"/>
    <w:rsid w:val="005F63B1"/>
    <w:rsid w:val="00604C40"/>
    <w:rsid w:val="00606C7B"/>
    <w:rsid w:val="00610DC5"/>
    <w:rsid w:val="00617180"/>
    <w:rsid w:val="00621A86"/>
    <w:rsid w:val="00621B26"/>
    <w:rsid w:val="006249DD"/>
    <w:rsid w:val="00626FAE"/>
    <w:rsid w:val="00627A56"/>
    <w:rsid w:val="006321BE"/>
    <w:rsid w:val="00633395"/>
    <w:rsid w:val="00636087"/>
    <w:rsid w:val="006369D3"/>
    <w:rsid w:val="0063794B"/>
    <w:rsid w:val="0065036D"/>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0957"/>
    <w:rsid w:val="006A17E2"/>
    <w:rsid w:val="006A1C66"/>
    <w:rsid w:val="006A565A"/>
    <w:rsid w:val="006B030A"/>
    <w:rsid w:val="006B0A44"/>
    <w:rsid w:val="006B23E4"/>
    <w:rsid w:val="006B3242"/>
    <w:rsid w:val="006B387F"/>
    <w:rsid w:val="006B792C"/>
    <w:rsid w:val="006C0845"/>
    <w:rsid w:val="006C5145"/>
    <w:rsid w:val="006C64B9"/>
    <w:rsid w:val="006C709B"/>
    <w:rsid w:val="006C7402"/>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C7E"/>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0D73"/>
    <w:rsid w:val="007626E8"/>
    <w:rsid w:val="0076525C"/>
    <w:rsid w:val="00767BCA"/>
    <w:rsid w:val="00767EAD"/>
    <w:rsid w:val="0077047A"/>
    <w:rsid w:val="00774143"/>
    <w:rsid w:val="007757F2"/>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784"/>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4071B"/>
    <w:rsid w:val="00844D32"/>
    <w:rsid w:val="00850875"/>
    <w:rsid w:val="00850A32"/>
    <w:rsid w:val="00851806"/>
    <w:rsid w:val="00853D9C"/>
    <w:rsid w:val="00854CFD"/>
    <w:rsid w:val="00856406"/>
    <w:rsid w:val="00857358"/>
    <w:rsid w:val="0085791F"/>
    <w:rsid w:val="008714DD"/>
    <w:rsid w:val="008729C2"/>
    <w:rsid w:val="00873EA9"/>
    <w:rsid w:val="00874A27"/>
    <w:rsid w:val="00875E61"/>
    <w:rsid w:val="0088281C"/>
    <w:rsid w:val="0088338B"/>
    <w:rsid w:val="00885245"/>
    <w:rsid w:val="0088671C"/>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6ACD"/>
    <w:rsid w:val="008D71D3"/>
    <w:rsid w:val="008D7B4D"/>
    <w:rsid w:val="008E3047"/>
    <w:rsid w:val="008E3468"/>
    <w:rsid w:val="008E5136"/>
    <w:rsid w:val="008F0041"/>
    <w:rsid w:val="008F0EB2"/>
    <w:rsid w:val="008F1268"/>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27302"/>
    <w:rsid w:val="0093203A"/>
    <w:rsid w:val="009322DB"/>
    <w:rsid w:val="00932F8B"/>
    <w:rsid w:val="00933D88"/>
    <w:rsid w:val="00934AD6"/>
    <w:rsid w:val="0094052F"/>
    <w:rsid w:val="00941349"/>
    <w:rsid w:val="00941F15"/>
    <w:rsid w:val="009440F5"/>
    <w:rsid w:val="009441CD"/>
    <w:rsid w:val="00945486"/>
    <w:rsid w:val="00946719"/>
    <w:rsid w:val="00946778"/>
    <w:rsid w:val="009479E2"/>
    <w:rsid w:val="00947D59"/>
    <w:rsid w:val="009522B6"/>
    <w:rsid w:val="00952977"/>
    <w:rsid w:val="00952E62"/>
    <w:rsid w:val="00954925"/>
    <w:rsid w:val="00963879"/>
    <w:rsid w:val="00963B40"/>
    <w:rsid w:val="00964A82"/>
    <w:rsid w:val="009653D4"/>
    <w:rsid w:val="00965EBC"/>
    <w:rsid w:val="00970D35"/>
    <w:rsid w:val="00970F26"/>
    <w:rsid w:val="00973799"/>
    <w:rsid w:val="009757F1"/>
    <w:rsid w:val="00976B06"/>
    <w:rsid w:val="009805B3"/>
    <w:rsid w:val="00985435"/>
    <w:rsid w:val="00991850"/>
    <w:rsid w:val="00996F4A"/>
    <w:rsid w:val="00997005"/>
    <w:rsid w:val="009A116D"/>
    <w:rsid w:val="009A18E4"/>
    <w:rsid w:val="009A2C52"/>
    <w:rsid w:val="009A395A"/>
    <w:rsid w:val="009A46B4"/>
    <w:rsid w:val="009B026D"/>
    <w:rsid w:val="009B0ED6"/>
    <w:rsid w:val="009B3B1E"/>
    <w:rsid w:val="009B4900"/>
    <w:rsid w:val="009B598C"/>
    <w:rsid w:val="009C2AD1"/>
    <w:rsid w:val="009C57B6"/>
    <w:rsid w:val="009D0A19"/>
    <w:rsid w:val="009D64D3"/>
    <w:rsid w:val="009E2FBC"/>
    <w:rsid w:val="009E734E"/>
    <w:rsid w:val="009E7F20"/>
    <w:rsid w:val="009F132C"/>
    <w:rsid w:val="009F4778"/>
    <w:rsid w:val="00A01A02"/>
    <w:rsid w:val="00A025AC"/>
    <w:rsid w:val="00A04DF8"/>
    <w:rsid w:val="00A067A3"/>
    <w:rsid w:val="00A06809"/>
    <w:rsid w:val="00A06D01"/>
    <w:rsid w:val="00A11BC1"/>
    <w:rsid w:val="00A12C46"/>
    <w:rsid w:val="00A12FAC"/>
    <w:rsid w:val="00A15268"/>
    <w:rsid w:val="00A162D8"/>
    <w:rsid w:val="00A1640A"/>
    <w:rsid w:val="00A16F4D"/>
    <w:rsid w:val="00A2005B"/>
    <w:rsid w:val="00A207B6"/>
    <w:rsid w:val="00A21457"/>
    <w:rsid w:val="00A22B70"/>
    <w:rsid w:val="00A2305D"/>
    <w:rsid w:val="00A23FA3"/>
    <w:rsid w:val="00A25DB9"/>
    <w:rsid w:val="00A27CAA"/>
    <w:rsid w:val="00A323F9"/>
    <w:rsid w:val="00A36BF6"/>
    <w:rsid w:val="00A37A7E"/>
    <w:rsid w:val="00A37EA7"/>
    <w:rsid w:val="00A41195"/>
    <w:rsid w:val="00A43284"/>
    <w:rsid w:val="00A44A5C"/>
    <w:rsid w:val="00A46497"/>
    <w:rsid w:val="00A52215"/>
    <w:rsid w:val="00A523C2"/>
    <w:rsid w:val="00A529EF"/>
    <w:rsid w:val="00A53F45"/>
    <w:rsid w:val="00A55CA2"/>
    <w:rsid w:val="00A61E91"/>
    <w:rsid w:val="00A6298C"/>
    <w:rsid w:val="00A64B1C"/>
    <w:rsid w:val="00A66640"/>
    <w:rsid w:val="00A66E3A"/>
    <w:rsid w:val="00A716C1"/>
    <w:rsid w:val="00A74A24"/>
    <w:rsid w:val="00A776CD"/>
    <w:rsid w:val="00A805C7"/>
    <w:rsid w:val="00A80AD4"/>
    <w:rsid w:val="00A82AA3"/>
    <w:rsid w:val="00A90F5C"/>
    <w:rsid w:val="00A91F08"/>
    <w:rsid w:val="00A94F97"/>
    <w:rsid w:val="00A96EF3"/>
    <w:rsid w:val="00AA1869"/>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3F"/>
    <w:rsid w:val="00AF76F5"/>
    <w:rsid w:val="00AF78BF"/>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911"/>
    <w:rsid w:val="00B65C30"/>
    <w:rsid w:val="00B7592A"/>
    <w:rsid w:val="00B7615E"/>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14AD"/>
    <w:rsid w:val="00BB250D"/>
    <w:rsid w:val="00BB337E"/>
    <w:rsid w:val="00BB718A"/>
    <w:rsid w:val="00BC30CC"/>
    <w:rsid w:val="00BC4A78"/>
    <w:rsid w:val="00BD0A60"/>
    <w:rsid w:val="00BD1CD4"/>
    <w:rsid w:val="00BD4C8E"/>
    <w:rsid w:val="00BD652A"/>
    <w:rsid w:val="00BD6531"/>
    <w:rsid w:val="00BE3E74"/>
    <w:rsid w:val="00BE41E8"/>
    <w:rsid w:val="00BE74EC"/>
    <w:rsid w:val="00BE7AFA"/>
    <w:rsid w:val="00BE7EEC"/>
    <w:rsid w:val="00BF06A7"/>
    <w:rsid w:val="00BF0942"/>
    <w:rsid w:val="00BF15D7"/>
    <w:rsid w:val="00BF2384"/>
    <w:rsid w:val="00BF35FF"/>
    <w:rsid w:val="00BF54A9"/>
    <w:rsid w:val="00BF5E0B"/>
    <w:rsid w:val="00C03D50"/>
    <w:rsid w:val="00C0544C"/>
    <w:rsid w:val="00C05D42"/>
    <w:rsid w:val="00C06FA9"/>
    <w:rsid w:val="00C12947"/>
    <w:rsid w:val="00C15AB8"/>
    <w:rsid w:val="00C171B3"/>
    <w:rsid w:val="00C22C85"/>
    <w:rsid w:val="00C23207"/>
    <w:rsid w:val="00C23570"/>
    <w:rsid w:val="00C243F0"/>
    <w:rsid w:val="00C2620B"/>
    <w:rsid w:val="00C30402"/>
    <w:rsid w:val="00C33DFD"/>
    <w:rsid w:val="00C3413F"/>
    <w:rsid w:val="00C358A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41"/>
    <w:rsid w:val="00C77193"/>
    <w:rsid w:val="00C82E78"/>
    <w:rsid w:val="00C8339E"/>
    <w:rsid w:val="00C83793"/>
    <w:rsid w:val="00C90A12"/>
    <w:rsid w:val="00C96A67"/>
    <w:rsid w:val="00CA0A42"/>
    <w:rsid w:val="00CA266A"/>
    <w:rsid w:val="00CA3CF4"/>
    <w:rsid w:val="00CA3DC4"/>
    <w:rsid w:val="00CA42D7"/>
    <w:rsid w:val="00CA5D64"/>
    <w:rsid w:val="00CA7B8A"/>
    <w:rsid w:val="00CB1110"/>
    <w:rsid w:val="00CB3933"/>
    <w:rsid w:val="00CB3B35"/>
    <w:rsid w:val="00CB43EB"/>
    <w:rsid w:val="00CB5325"/>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20C6"/>
    <w:rsid w:val="00D0531F"/>
    <w:rsid w:val="00D10141"/>
    <w:rsid w:val="00D1103C"/>
    <w:rsid w:val="00D112B3"/>
    <w:rsid w:val="00D122D7"/>
    <w:rsid w:val="00D236B1"/>
    <w:rsid w:val="00D23C64"/>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52A1"/>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87E48"/>
    <w:rsid w:val="00D933F6"/>
    <w:rsid w:val="00D94AFB"/>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6CE5"/>
    <w:rsid w:val="00DC72F1"/>
    <w:rsid w:val="00DD1F8F"/>
    <w:rsid w:val="00DD3480"/>
    <w:rsid w:val="00DD3A67"/>
    <w:rsid w:val="00DE126F"/>
    <w:rsid w:val="00DE12B0"/>
    <w:rsid w:val="00DE21D9"/>
    <w:rsid w:val="00DE29FC"/>
    <w:rsid w:val="00DE43C4"/>
    <w:rsid w:val="00DE5428"/>
    <w:rsid w:val="00DF0C7C"/>
    <w:rsid w:val="00DF0E18"/>
    <w:rsid w:val="00DF2FF5"/>
    <w:rsid w:val="00DF3263"/>
    <w:rsid w:val="00DF350C"/>
    <w:rsid w:val="00DF5CAE"/>
    <w:rsid w:val="00DF66F1"/>
    <w:rsid w:val="00DF6B95"/>
    <w:rsid w:val="00DF762D"/>
    <w:rsid w:val="00DF7BB6"/>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100"/>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5EDB"/>
    <w:rsid w:val="00E47540"/>
    <w:rsid w:val="00E51A44"/>
    <w:rsid w:val="00E51D32"/>
    <w:rsid w:val="00E52950"/>
    <w:rsid w:val="00E5694C"/>
    <w:rsid w:val="00E56CA7"/>
    <w:rsid w:val="00E60424"/>
    <w:rsid w:val="00E606A9"/>
    <w:rsid w:val="00E61142"/>
    <w:rsid w:val="00E617DF"/>
    <w:rsid w:val="00E62028"/>
    <w:rsid w:val="00E624E1"/>
    <w:rsid w:val="00E6496A"/>
    <w:rsid w:val="00E67E1D"/>
    <w:rsid w:val="00E706AC"/>
    <w:rsid w:val="00E722D3"/>
    <w:rsid w:val="00E73D0D"/>
    <w:rsid w:val="00E80B52"/>
    <w:rsid w:val="00E81AFE"/>
    <w:rsid w:val="00E908B8"/>
    <w:rsid w:val="00E90EA9"/>
    <w:rsid w:val="00E9253C"/>
    <w:rsid w:val="00E92837"/>
    <w:rsid w:val="00E9428E"/>
    <w:rsid w:val="00E951AA"/>
    <w:rsid w:val="00EA2018"/>
    <w:rsid w:val="00EA2AA6"/>
    <w:rsid w:val="00EA580C"/>
    <w:rsid w:val="00EB4FBB"/>
    <w:rsid w:val="00EB7D57"/>
    <w:rsid w:val="00EC3ABC"/>
    <w:rsid w:val="00EC52F4"/>
    <w:rsid w:val="00ED1BBB"/>
    <w:rsid w:val="00ED6EA3"/>
    <w:rsid w:val="00ED7528"/>
    <w:rsid w:val="00EE0BFD"/>
    <w:rsid w:val="00EE0D49"/>
    <w:rsid w:val="00EE1546"/>
    <w:rsid w:val="00EE1AB3"/>
    <w:rsid w:val="00EE1DC7"/>
    <w:rsid w:val="00EE2371"/>
    <w:rsid w:val="00EE2442"/>
    <w:rsid w:val="00EE2535"/>
    <w:rsid w:val="00EE7F24"/>
    <w:rsid w:val="00EF0DAB"/>
    <w:rsid w:val="00EF112C"/>
    <w:rsid w:val="00EF1965"/>
    <w:rsid w:val="00EF2E32"/>
    <w:rsid w:val="00EF4A3C"/>
    <w:rsid w:val="00EF5879"/>
    <w:rsid w:val="00EF65BF"/>
    <w:rsid w:val="00EF6A25"/>
    <w:rsid w:val="00F1112A"/>
    <w:rsid w:val="00F11FFF"/>
    <w:rsid w:val="00F1335D"/>
    <w:rsid w:val="00F144BD"/>
    <w:rsid w:val="00F14EFA"/>
    <w:rsid w:val="00F173A1"/>
    <w:rsid w:val="00F220B9"/>
    <w:rsid w:val="00F22561"/>
    <w:rsid w:val="00F23F3F"/>
    <w:rsid w:val="00F24A4C"/>
    <w:rsid w:val="00F30414"/>
    <w:rsid w:val="00F36995"/>
    <w:rsid w:val="00F3737C"/>
    <w:rsid w:val="00F37868"/>
    <w:rsid w:val="00F40E37"/>
    <w:rsid w:val="00F44281"/>
    <w:rsid w:val="00F47C8F"/>
    <w:rsid w:val="00F502CC"/>
    <w:rsid w:val="00F534DC"/>
    <w:rsid w:val="00F5661E"/>
    <w:rsid w:val="00F567FF"/>
    <w:rsid w:val="00F6011D"/>
    <w:rsid w:val="00F65DBA"/>
    <w:rsid w:val="00F67DAA"/>
    <w:rsid w:val="00F71E97"/>
    <w:rsid w:val="00F76A21"/>
    <w:rsid w:val="00F772B9"/>
    <w:rsid w:val="00F7771E"/>
    <w:rsid w:val="00F77FBC"/>
    <w:rsid w:val="00F80C78"/>
    <w:rsid w:val="00F8158D"/>
    <w:rsid w:val="00F81D58"/>
    <w:rsid w:val="00F8304F"/>
    <w:rsid w:val="00F85F64"/>
    <w:rsid w:val="00F872C9"/>
    <w:rsid w:val="00F91850"/>
    <w:rsid w:val="00F95C8D"/>
    <w:rsid w:val="00F9780F"/>
    <w:rsid w:val="00FA130E"/>
    <w:rsid w:val="00FA28B8"/>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FontStyle16">
    <w:name w:val="Font Style16"/>
    <w:rsid w:val="00307070"/>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290A-DF39-414C-A7AF-653F0863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38</cp:revision>
  <cp:lastPrinted>2019-10-25T12:32:00Z</cp:lastPrinted>
  <dcterms:created xsi:type="dcterms:W3CDTF">2017-05-10T13:56:00Z</dcterms:created>
  <dcterms:modified xsi:type="dcterms:W3CDTF">2019-11-22T19:01:00Z</dcterms:modified>
</cp:coreProperties>
</file>