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02" w:rsidRPr="00F94302" w:rsidRDefault="00F94302" w:rsidP="00F9430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9430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94302" w:rsidRPr="00F94302" w:rsidRDefault="00F94302" w:rsidP="00F94302">
      <w:pPr>
        <w:jc w:val="both"/>
        <w:rPr>
          <w:rFonts w:ascii="Arial" w:hAnsi="Arial" w:cs="Arial"/>
          <w:sz w:val="20"/>
          <w:szCs w:val="20"/>
          <w:lang w:val="es-419"/>
        </w:rPr>
      </w:pP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 xml:space="preserve">Providencia: </w:t>
      </w:r>
      <w:r w:rsidRPr="00F94302">
        <w:rPr>
          <w:rFonts w:ascii="Arial" w:hAnsi="Arial" w:cs="Arial"/>
          <w:sz w:val="20"/>
          <w:szCs w:val="20"/>
          <w:lang w:val="es-419"/>
        </w:rPr>
        <w:tab/>
      </w:r>
      <w:r w:rsidRPr="00F94302">
        <w:rPr>
          <w:rFonts w:ascii="Arial" w:hAnsi="Arial" w:cs="Arial"/>
          <w:sz w:val="20"/>
          <w:szCs w:val="20"/>
          <w:lang w:val="es-419"/>
        </w:rPr>
        <w:tab/>
        <w:t xml:space="preserve">Sentencia del </w:t>
      </w:r>
      <w:r w:rsidR="00E12BB2">
        <w:rPr>
          <w:rFonts w:ascii="Arial" w:hAnsi="Arial" w:cs="Arial"/>
          <w:sz w:val="20"/>
          <w:szCs w:val="20"/>
          <w:lang w:val="es-CO"/>
        </w:rPr>
        <w:t xml:space="preserve">2 </w:t>
      </w:r>
      <w:r w:rsidRPr="00F94302">
        <w:rPr>
          <w:rFonts w:ascii="Arial" w:hAnsi="Arial" w:cs="Arial"/>
          <w:sz w:val="20"/>
          <w:szCs w:val="20"/>
          <w:lang w:val="es-419"/>
        </w:rPr>
        <w:t xml:space="preserve">de </w:t>
      </w:r>
      <w:r w:rsidR="00E12BB2">
        <w:rPr>
          <w:rFonts w:ascii="Arial" w:hAnsi="Arial" w:cs="Arial"/>
          <w:sz w:val="20"/>
          <w:szCs w:val="20"/>
          <w:lang w:val="es-CO"/>
        </w:rPr>
        <w:t>dic</w:t>
      </w:r>
      <w:r w:rsidRPr="00F94302">
        <w:rPr>
          <w:rFonts w:ascii="Arial" w:hAnsi="Arial" w:cs="Arial"/>
          <w:sz w:val="20"/>
          <w:szCs w:val="20"/>
          <w:lang w:val="es-419"/>
        </w:rPr>
        <w:t xml:space="preserve">iembre de 2019 </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Radicación No.:</w:t>
      </w:r>
      <w:r w:rsidRPr="00F94302">
        <w:rPr>
          <w:rFonts w:ascii="Arial" w:hAnsi="Arial" w:cs="Arial"/>
          <w:sz w:val="20"/>
          <w:szCs w:val="20"/>
          <w:lang w:val="es-419"/>
        </w:rPr>
        <w:tab/>
      </w:r>
      <w:r w:rsidRPr="00F94302">
        <w:rPr>
          <w:rFonts w:ascii="Arial" w:hAnsi="Arial" w:cs="Arial"/>
          <w:sz w:val="20"/>
          <w:szCs w:val="20"/>
          <w:lang w:val="es-419"/>
        </w:rPr>
        <w:tab/>
        <w:t>66001-31-05-00</w:t>
      </w:r>
      <w:r w:rsidR="00AF60C0">
        <w:rPr>
          <w:rFonts w:ascii="Arial" w:hAnsi="Arial" w:cs="Arial"/>
          <w:sz w:val="20"/>
          <w:szCs w:val="20"/>
          <w:lang w:val="es-CO"/>
        </w:rPr>
        <w:t>2</w:t>
      </w:r>
      <w:r w:rsidRPr="00F94302">
        <w:rPr>
          <w:rFonts w:ascii="Arial" w:hAnsi="Arial" w:cs="Arial"/>
          <w:sz w:val="20"/>
          <w:szCs w:val="20"/>
          <w:lang w:val="es-419"/>
        </w:rPr>
        <w:t>-201</w:t>
      </w:r>
      <w:r w:rsidR="00AF60C0">
        <w:rPr>
          <w:rFonts w:ascii="Arial" w:hAnsi="Arial" w:cs="Arial"/>
          <w:sz w:val="20"/>
          <w:szCs w:val="20"/>
          <w:lang w:val="es-CO"/>
        </w:rPr>
        <w:t>6</w:t>
      </w:r>
      <w:r w:rsidRPr="00F94302">
        <w:rPr>
          <w:rFonts w:ascii="Arial" w:hAnsi="Arial" w:cs="Arial"/>
          <w:sz w:val="20"/>
          <w:szCs w:val="20"/>
          <w:lang w:val="es-419"/>
        </w:rPr>
        <w:t>-00</w:t>
      </w:r>
      <w:r w:rsidR="00AF60C0">
        <w:rPr>
          <w:rFonts w:ascii="Arial" w:hAnsi="Arial" w:cs="Arial"/>
          <w:sz w:val="20"/>
          <w:szCs w:val="20"/>
          <w:lang w:val="es-CO"/>
        </w:rPr>
        <w:t>455</w:t>
      </w:r>
      <w:r w:rsidRPr="00F94302">
        <w:rPr>
          <w:rFonts w:ascii="Arial" w:hAnsi="Arial" w:cs="Arial"/>
          <w:sz w:val="20"/>
          <w:szCs w:val="20"/>
          <w:lang w:val="es-419"/>
        </w:rPr>
        <w:t>-01</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Proceso:</w:t>
      </w:r>
      <w:r w:rsidRPr="00F94302">
        <w:rPr>
          <w:rFonts w:ascii="Arial" w:hAnsi="Arial" w:cs="Arial"/>
          <w:sz w:val="20"/>
          <w:szCs w:val="20"/>
          <w:lang w:val="es-419"/>
        </w:rPr>
        <w:tab/>
      </w:r>
      <w:r w:rsidRPr="00F94302">
        <w:rPr>
          <w:rFonts w:ascii="Arial" w:hAnsi="Arial" w:cs="Arial"/>
          <w:sz w:val="20"/>
          <w:szCs w:val="20"/>
          <w:lang w:val="es-419"/>
        </w:rPr>
        <w:tab/>
        <w:t xml:space="preserve">Ordinario laboral </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Demandante:</w:t>
      </w:r>
      <w:r w:rsidRPr="00F94302">
        <w:rPr>
          <w:rFonts w:ascii="Arial" w:hAnsi="Arial" w:cs="Arial"/>
          <w:sz w:val="20"/>
          <w:szCs w:val="20"/>
          <w:lang w:val="es-419"/>
        </w:rPr>
        <w:tab/>
      </w:r>
      <w:r w:rsidRPr="00F94302">
        <w:rPr>
          <w:rFonts w:ascii="Arial" w:hAnsi="Arial" w:cs="Arial"/>
          <w:sz w:val="20"/>
          <w:szCs w:val="20"/>
          <w:lang w:val="es-419"/>
        </w:rPr>
        <w:tab/>
        <w:t xml:space="preserve">María Janneth Toro Gómez </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Intervinientes:</w:t>
      </w:r>
      <w:r w:rsidRPr="00F94302">
        <w:rPr>
          <w:rFonts w:ascii="Arial" w:hAnsi="Arial" w:cs="Arial"/>
          <w:sz w:val="20"/>
          <w:szCs w:val="20"/>
          <w:lang w:val="es-419"/>
        </w:rPr>
        <w:tab/>
      </w:r>
      <w:r w:rsidRPr="00F94302">
        <w:rPr>
          <w:rFonts w:ascii="Arial" w:hAnsi="Arial" w:cs="Arial"/>
          <w:sz w:val="20"/>
          <w:szCs w:val="20"/>
          <w:lang w:val="es-419"/>
        </w:rPr>
        <w:tab/>
        <w:t>Julio César y Juliana Osorio Toro</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Demandado:</w:t>
      </w:r>
      <w:r w:rsidRPr="00F94302">
        <w:rPr>
          <w:rFonts w:ascii="Arial" w:hAnsi="Arial" w:cs="Arial"/>
          <w:sz w:val="20"/>
          <w:szCs w:val="20"/>
          <w:lang w:val="es-419"/>
        </w:rPr>
        <w:tab/>
      </w:r>
      <w:r w:rsidRPr="00F94302">
        <w:rPr>
          <w:rFonts w:ascii="Arial" w:hAnsi="Arial" w:cs="Arial"/>
          <w:sz w:val="20"/>
          <w:szCs w:val="20"/>
          <w:lang w:val="es-419"/>
        </w:rPr>
        <w:tab/>
        <w:t xml:space="preserve">Colpensiones </w:t>
      </w:r>
    </w:p>
    <w:p w:rsidR="00F94302" w:rsidRPr="00F94302" w:rsidRDefault="00F94302" w:rsidP="00F94302">
      <w:pPr>
        <w:jc w:val="both"/>
        <w:rPr>
          <w:rFonts w:ascii="Arial" w:hAnsi="Arial" w:cs="Arial"/>
          <w:sz w:val="20"/>
          <w:szCs w:val="20"/>
          <w:lang w:val="es-419"/>
        </w:rPr>
      </w:pPr>
      <w:r w:rsidRPr="00F94302">
        <w:rPr>
          <w:rFonts w:ascii="Arial" w:hAnsi="Arial" w:cs="Arial"/>
          <w:sz w:val="20"/>
          <w:szCs w:val="20"/>
          <w:lang w:val="es-419"/>
        </w:rPr>
        <w:t xml:space="preserve">Juzgado de origen: </w:t>
      </w:r>
      <w:r w:rsidRPr="00F94302">
        <w:rPr>
          <w:rFonts w:ascii="Arial" w:hAnsi="Arial" w:cs="Arial"/>
          <w:sz w:val="20"/>
          <w:szCs w:val="20"/>
          <w:lang w:val="es-419"/>
        </w:rPr>
        <w:tab/>
        <w:t>Segundo Laboral del Circuito de Pereira</w:t>
      </w:r>
    </w:p>
    <w:p w:rsidR="00F94302" w:rsidRPr="00F94302" w:rsidRDefault="00F94302" w:rsidP="00F94302">
      <w:pPr>
        <w:jc w:val="both"/>
        <w:rPr>
          <w:rFonts w:ascii="Arial" w:hAnsi="Arial" w:cs="Arial"/>
          <w:sz w:val="20"/>
          <w:szCs w:val="20"/>
          <w:lang w:val="es-419"/>
        </w:rPr>
      </w:pPr>
    </w:p>
    <w:p w:rsidR="00F94302" w:rsidRPr="00F94302" w:rsidRDefault="00F94302" w:rsidP="00F94302">
      <w:pPr>
        <w:jc w:val="both"/>
        <w:rPr>
          <w:rFonts w:ascii="Arial" w:hAnsi="Arial" w:cs="Arial"/>
          <w:b/>
          <w:bCs/>
          <w:iCs/>
          <w:sz w:val="20"/>
          <w:szCs w:val="20"/>
          <w:lang w:val="es-419" w:eastAsia="fr-FR"/>
        </w:rPr>
      </w:pPr>
      <w:r w:rsidRPr="00F94302">
        <w:rPr>
          <w:rFonts w:ascii="Arial" w:hAnsi="Arial" w:cs="Arial"/>
          <w:b/>
          <w:bCs/>
          <w:iCs/>
          <w:sz w:val="20"/>
          <w:szCs w:val="20"/>
          <w:u w:val="single"/>
          <w:lang w:val="es-419" w:eastAsia="fr-FR"/>
        </w:rPr>
        <w:t>TEMAS:</w:t>
      </w:r>
      <w:r w:rsidRPr="00F94302">
        <w:rPr>
          <w:rFonts w:ascii="Arial" w:hAnsi="Arial" w:cs="Arial"/>
          <w:b/>
          <w:bCs/>
          <w:iCs/>
          <w:sz w:val="20"/>
          <w:szCs w:val="20"/>
          <w:lang w:val="es-419" w:eastAsia="fr-FR"/>
        </w:rPr>
        <w:tab/>
      </w:r>
      <w:r w:rsidR="00F45F09" w:rsidRPr="00F45F09">
        <w:rPr>
          <w:rFonts w:ascii="Arial" w:hAnsi="Arial" w:cs="Arial"/>
          <w:b/>
          <w:sz w:val="20"/>
          <w:szCs w:val="20"/>
          <w:lang w:val="es-419"/>
        </w:rPr>
        <w:t>PENSIÓN DE SOBREVIVIENTES / ESTRUCTURADA BAJO LEY 797 DE 2003 / CONDICIÓN MÁS BENEFICIOSA / APLICA  SÓLO PARA ACUDIR A NORMA ANTERIOR / EN ESTE CASO, LEY 100 DE 1993 / PERO NO CUMPLE REQUISITO DE TEMPORALIDAD FIJADO POR LA CORTE SUPREMA DE JUSTICIA.</w:t>
      </w:r>
    </w:p>
    <w:p w:rsidR="00F94302" w:rsidRPr="00F94302" w:rsidRDefault="00F94302" w:rsidP="00F94302">
      <w:pPr>
        <w:jc w:val="both"/>
        <w:rPr>
          <w:rFonts w:ascii="Arial" w:hAnsi="Arial" w:cs="Arial"/>
          <w:sz w:val="20"/>
          <w:szCs w:val="20"/>
          <w:lang w:val="es-419"/>
        </w:rPr>
      </w:pPr>
    </w:p>
    <w:p w:rsidR="00F94302" w:rsidRDefault="00FC7B52" w:rsidP="00F94302">
      <w:pPr>
        <w:jc w:val="both"/>
        <w:rPr>
          <w:rFonts w:ascii="Arial" w:hAnsi="Arial" w:cs="Arial"/>
          <w:sz w:val="20"/>
          <w:szCs w:val="20"/>
          <w:lang w:val="es-CO"/>
        </w:rPr>
      </w:pPr>
      <w:r w:rsidRPr="00FC7B52">
        <w:rPr>
          <w:rFonts w:ascii="Arial" w:hAnsi="Arial" w:cs="Arial"/>
          <w:sz w:val="20"/>
          <w:szCs w:val="20"/>
          <w:lang w:val="es-419"/>
        </w:rPr>
        <w:t>Se encuentra acreditado con el registro civil de defunción que el señor Julio César Osorio Cas</w:t>
      </w:r>
      <w:r>
        <w:rPr>
          <w:rFonts w:ascii="Arial" w:hAnsi="Arial" w:cs="Arial"/>
          <w:sz w:val="20"/>
          <w:szCs w:val="20"/>
          <w:lang w:val="es-419"/>
        </w:rPr>
        <w:t>taño falleció el día 08-07-2015…</w:t>
      </w:r>
      <w:r w:rsidRPr="00FC7B52">
        <w:rPr>
          <w:rFonts w:ascii="Arial" w:hAnsi="Arial" w:cs="Arial"/>
          <w:sz w:val="20"/>
          <w:szCs w:val="20"/>
          <w:lang w:val="es-419"/>
        </w:rPr>
        <w:t>, por lo tanto, la normativa aplicable en esta actuación es el artículo 12 de la Ley 797 de 2003, que es la vigente para el momento de acontecer tal situación. Disposición que exige haber cotizado 50 semanas dentro de los 3 años anteriores al deceso</w:t>
      </w:r>
      <w:r>
        <w:rPr>
          <w:rFonts w:ascii="Arial" w:hAnsi="Arial" w:cs="Arial"/>
          <w:sz w:val="20"/>
          <w:szCs w:val="20"/>
          <w:lang w:val="es-CO"/>
        </w:rPr>
        <w:t>…</w:t>
      </w:r>
    </w:p>
    <w:p w:rsidR="00FC7B52" w:rsidRDefault="00FC7B52" w:rsidP="00F94302">
      <w:pPr>
        <w:jc w:val="both"/>
        <w:rPr>
          <w:rFonts w:ascii="Arial" w:hAnsi="Arial" w:cs="Arial"/>
          <w:sz w:val="20"/>
          <w:szCs w:val="20"/>
          <w:lang w:val="es-CO"/>
        </w:rPr>
      </w:pPr>
    </w:p>
    <w:p w:rsidR="00FC7B52" w:rsidRPr="00FC7B52" w:rsidRDefault="00FC7B52" w:rsidP="00FC7B52">
      <w:pPr>
        <w:jc w:val="both"/>
        <w:rPr>
          <w:rFonts w:ascii="Arial" w:hAnsi="Arial" w:cs="Arial"/>
          <w:sz w:val="20"/>
          <w:szCs w:val="20"/>
          <w:lang w:val="es-CO"/>
        </w:rPr>
      </w:pPr>
      <w:r w:rsidRPr="00FC7B52">
        <w:rPr>
          <w:rFonts w:ascii="Arial" w:hAnsi="Arial" w:cs="Arial"/>
          <w:sz w:val="20"/>
          <w:szCs w:val="20"/>
          <w:lang w:val="es-CO"/>
        </w:rPr>
        <w:t>Al revisar la historia laboral del afiliado</w:t>
      </w:r>
      <w:r>
        <w:rPr>
          <w:rFonts w:ascii="Arial" w:hAnsi="Arial" w:cs="Arial"/>
          <w:sz w:val="20"/>
          <w:szCs w:val="20"/>
          <w:lang w:val="es-CO"/>
        </w:rPr>
        <w:t>…</w:t>
      </w:r>
      <w:r w:rsidRPr="00FC7B52">
        <w:rPr>
          <w:rFonts w:ascii="Arial" w:hAnsi="Arial" w:cs="Arial"/>
          <w:sz w:val="20"/>
          <w:szCs w:val="20"/>
          <w:lang w:val="es-CO"/>
        </w:rPr>
        <w:t xml:space="preserve"> se tiene que entre la fecha de la muerte 08-07-2015 y la misma data de 2012 (3 años) no cotizó semanas; con lo cual resulta fácil colegir que no satisfizo la primera de las exigencias del artículo 12 de la Ley 797 de 2003, 50 semanas.</w:t>
      </w:r>
    </w:p>
    <w:p w:rsidR="00FC7B52" w:rsidRPr="00FC7B52" w:rsidRDefault="00FC7B52" w:rsidP="00FC7B52">
      <w:pPr>
        <w:jc w:val="both"/>
        <w:rPr>
          <w:rFonts w:ascii="Arial" w:hAnsi="Arial" w:cs="Arial"/>
          <w:sz w:val="20"/>
          <w:szCs w:val="20"/>
          <w:lang w:val="es-CO"/>
        </w:rPr>
      </w:pPr>
    </w:p>
    <w:p w:rsidR="00FC7B52" w:rsidRPr="00FC7B52" w:rsidRDefault="00FC7B52" w:rsidP="00FC7B52">
      <w:pPr>
        <w:jc w:val="both"/>
        <w:rPr>
          <w:rFonts w:ascii="Arial" w:hAnsi="Arial" w:cs="Arial"/>
          <w:sz w:val="20"/>
          <w:szCs w:val="20"/>
          <w:lang w:val="es-CO"/>
        </w:rPr>
      </w:pPr>
      <w:r w:rsidRPr="00FC7B52">
        <w:rPr>
          <w:rFonts w:ascii="Arial" w:hAnsi="Arial" w:cs="Arial"/>
          <w:sz w:val="20"/>
          <w:szCs w:val="20"/>
          <w:lang w:val="es-CO"/>
        </w:rPr>
        <w:t>Sin embargo, atendiendo lo solicitado en libelo introductorio y en el recurso de apelación, consistente en la aplicación del principio de la condición más beneficiosa, se analizará su procedencia.</w:t>
      </w:r>
    </w:p>
    <w:p w:rsidR="00FC7B52" w:rsidRPr="00FC7B52" w:rsidRDefault="00FC7B52" w:rsidP="00FC7B52">
      <w:pPr>
        <w:jc w:val="both"/>
        <w:rPr>
          <w:rFonts w:ascii="Arial" w:hAnsi="Arial" w:cs="Arial"/>
          <w:sz w:val="20"/>
          <w:szCs w:val="20"/>
          <w:lang w:val="es-CO"/>
        </w:rPr>
      </w:pPr>
    </w:p>
    <w:p w:rsidR="00FC7B52" w:rsidRPr="00F94302" w:rsidRDefault="00FC7B52" w:rsidP="00FC7B52">
      <w:pPr>
        <w:jc w:val="both"/>
        <w:rPr>
          <w:rFonts w:ascii="Arial" w:hAnsi="Arial" w:cs="Arial"/>
          <w:sz w:val="20"/>
          <w:szCs w:val="20"/>
          <w:lang w:val="es-CO"/>
        </w:rPr>
      </w:pPr>
      <w:r w:rsidRPr="00FC7B52">
        <w:rPr>
          <w:rFonts w:ascii="Arial" w:hAnsi="Arial" w:cs="Arial"/>
          <w:sz w:val="20"/>
          <w:szCs w:val="20"/>
          <w:lang w:val="es-CO"/>
        </w:rPr>
        <w:t>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w:t>
      </w:r>
      <w:r>
        <w:rPr>
          <w:rFonts w:ascii="Arial" w:hAnsi="Arial" w:cs="Arial"/>
          <w:sz w:val="20"/>
          <w:szCs w:val="20"/>
          <w:lang w:val="es-CO"/>
        </w:rPr>
        <w:t xml:space="preserve"> (…)</w:t>
      </w:r>
    </w:p>
    <w:p w:rsidR="00F94302" w:rsidRPr="00F94302" w:rsidRDefault="00F94302" w:rsidP="00F94302">
      <w:pPr>
        <w:jc w:val="both"/>
        <w:rPr>
          <w:rFonts w:ascii="Arial" w:hAnsi="Arial" w:cs="Arial"/>
          <w:sz w:val="20"/>
          <w:szCs w:val="20"/>
          <w:lang w:val="es-419"/>
        </w:rPr>
      </w:pPr>
    </w:p>
    <w:p w:rsidR="00F45F09" w:rsidRPr="00F45F09" w:rsidRDefault="00F45F09" w:rsidP="00F45F09">
      <w:pPr>
        <w:jc w:val="both"/>
        <w:rPr>
          <w:rFonts w:ascii="Arial" w:hAnsi="Arial" w:cs="Arial"/>
          <w:sz w:val="20"/>
          <w:szCs w:val="20"/>
          <w:lang w:val="es-419"/>
        </w:rPr>
      </w:pPr>
      <w:r w:rsidRPr="00F45F09">
        <w:rPr>
          <w:rFonts w:ascii="Arial" w:hAnsi="Arial" w:cs="Arial"/>
          <w:sz w:val="20"/>
          <w:szCs w:val="20"/>
          <w:lang w:val="es-419"/>
        </w:rPr>
        <w:t>En ese orden de ideas, como el señor Julio César Osorio Castaño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las apelaciones</w:t>
      </w:r>
    </w:p>
    <w:p w:rsidR="00F45F09" w:rsidRPr="00F45F09" w:rsidRDefault="00F45F09" w:rsidP="00F45F09">
      <w:pPr>
        <w:jc w:val="both"/>
        <w:rPr>
          <w:rFonts w:ascii="Arial" w:hAnsi="Arial" w:cs="Arial"/>
          <w:sz w:val="20"/>
          <w:szCs w:val="20"/>
          <w:lang w:val="es-419"/>
        </w:rPr>
      </w:pPr>
    </w:p>
    <w:p w:rsidR="00F94302" w:rsidRPr="00F45F09" w:rsidRDefault="00F45F09" w:rsidP="00F45F09">
      <w:pPr>
        <w:jc w:val="both"/>
        <w:rPr>
          <w:rFonts w:ascii="Arial" w:hAnsi="Arial" w:cs="Arial"/>
          <w:sz w:val="20"/>
          <w:szCs w:val="20"/>
          <w:lang w:val="es-CO"/>
        </w:rPr>
      </w:pPr>
      <w:r w:rsidRPr="00F45F09">
        <w:rPr>
          <w:rFonts w:ascii="Arial" w:hAnsi="Arial" w:cs="Arial"/>
          <w:sz w:val="20"/>
          <w:szCs w:val="20"/>
          <w:lang w:val="es-419"/>
        </w:rPr>
        <w:t>Pero esta última tampoco puede gobernar la prestación pretendida, en tanto el órgano de cierre de esta especialidad a partir del año 2017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r>
        <w:rPr>
          <w:rFonts w:ascii="Arial" w:hAnsi="Arial" w:cs="Arial"/>
          <w:sz w:val="20"/>
          <w:szCs w:val="20"/>
          <w:lang w:val="es-CO"/>
        </w:rPr>
        <w:t>…</w:t>
      </w:r>
    </w:p>
    <w:p w:rsidR="00F45F09" w:rsidRDefault="00F45F09" w:rsidP="00F94302">
      <w:pPr>
        <w:jc w:val="both"/>
        <w:rPr>
          <w:rFonts w:ascii="Arial" w:hAnsi="Arial" w:cs="Arial"/>
          <w:sz w:val="20"/>
          <w:szCs w:val="20"/>
          <w:lang w:val="es-419"/>
        </w:rPr>
      </w:pPr>
    </w:p>
    <w:p w:rsidR="00572343" w:rsidRPr="009E3E34" w:rsidRDefault="00572343" w:rsidP="00572343">
      <w:pPr>
        <w:jc w:val="both"/>
        <w:rPr>
          <w:rFonts w:ascii="Arial" w:hAnsi="Arial" w:cs="Arial"/>
          <w:b/>
          <w:color w:val="FF0000"/>
          <w:sz w:val="20"/>
          <w:szCs w:val="20"/>
          <w:lang w:val="es-CO"/>
        </w:rPr>
      </w:pPr>
      <w:r w:rsidRPr="009E3E34">
        <w:rPr>
          <w:rFonts w:ascii="Arial" w:hAnsi="Arial" w:cs="Arial"/>
          <w:b/>
          <w:color w:val="FF0000"/>
          <w:sz w:val="20"/>
          <w:szCs w:val="20"/>
          <w:lang w:val="es-CO"/>
        </w:rPr>
        <w:t>SALVAMENTO DE</w:t>
      </w:r>
      <w:r>
        <w:rPr>
          <w:rFonts w:ascii="Arial" w:hAnsi="Arial" w:cs="Arial"/>
          <w:b/>
          <w:color w:val="FF0000"/>
          <w:sz w:val="20"/>
          <w:szCs w:val="20"/>
          <w:lang w:val="es-CO"/>
        </w:rPr>
        <w:t xml:space="preserve"> </w:t>
      </w:r>
      <w:r w:rsidRPr="009E3E34">
        <w:rPr>
          <w:rFonts w:ascii="Arial" w:hAnsi="Arial" w:cs="Arial"/>
          <w:b/>
          <w:color w:val="FF0000"/>
          <w:sz w:val="20"/>
          <w:szCs w:val="20"/>
          <w:lang w:val="es-CO"/>
        </w:rPr>
        <w:t xml:space="preserve">VOTO: DOCTORA ANA LUCÍA CAICEDO CALDERÓN </w:t>
      </w:r>
    </w:p>
    <w:p w:rsidR="00572343" w:rsidRPr="00D3284F" w:rsidRDefault="00572343" w:rsidP="00572343">
      <w:pPr>
        <w:jc w:val="both"/>
        <w:rPr>
          <w:rFonts w:ascii="Arial" w:hAnsi="Arial" w:cs="Arial"/>
          <w:sz w:val="20"/>
          <w:szCs w:val="20"/>
        </w:rPr>
      </w:pPr>
    </w:p>
    <w:p w:rsidR="00572343" w:rsidRPr="0039437E" w:rsidRDefault="00572343" w:rsidP="00572343">
      <w:pPr>
        <w:jc w:val="both"/>
        <w:rPr>
          <w:rFonts w:ascii="Arial" w:hAnsi="Arial" w:cs="Arial"/>
          <w:sz w:val="20"/>
          <w:lang w:val="es-419"/>
        </w:rPr>
      </w:pPr>
      <w:r w:rsidRPr="0039437E">
        <w:rPr>
          <w:rFonts w:ascii="Arial" w:hAnsi="Arial" w:cs="Arial"/>
          <w:sz w:val="20"/>
          <w:lang w:val="es-419"/>
        </w:rPr>
        <w:t>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w:t>
      </w:r>
    </w:p>
    <w:p w:rsidR="00572343" w:rsidRPr="0039437E" w:rsidRDefault="00572343" w:rsidP="00572343">
      <w:pPr>
        <w:jc w:val="both"/>
        <w:rPr>
          <w:rFonts w:ascii="Arial" w:hAnsi="Arial" w:cs="Arial"/>
          <w:sz w:val="20"/>
          <w:lang w:val="es-419"/>
        </w:rPr>
      </w:pPr>
    </w:p>
    <w:p w:rsidR="00572343" w:rsidRDefault="00572343" w:rsidP="00572343">
      <w:pPr>
        <w:jc w:val="both"/>
        <w:rPr>
          <w:rFonts w:ascii="Arial" w:hAnsi="Arial" w:cs="Arial"/>
          <w:sz w:val="20"/>
          <w:lang w:val="es-419"/>
        </w:rPr>
      </w:pPr>
      <w:r w:rsidRPr="0039437E">
        <w:rPr>
          <w:rFonts w:ascii="Arial" w:hAnsi="Arial" w:cs="Arial"/>
          <w:sz w:val="20"/>
          <w:lang w:val="es-419"/>
        </w:rPr>
        <w:t>No obstante, atendiendo la interpretación que tuvo la Corte Constitucional sobre la materia, la cual resulta más favorable para la beneficiaria, es posible el salto de la Ley 797 de 2003 a los antiguos reglamentos del ISS (hoy Colpensiones), en la medida en que 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–en la que se analizó una pensión de invalidez-, unificó los criterios en relación con la aplicación de principio en comento, reiterando los precedentes anteriores…</w:t>
      </w:r>
    </w:p>
    <w:p w:rsidR="00F45F09" w:rsidRPr="00F94302" w:rsidRDefault="00F45F09" w:rsidP="00F94302">
      <w:pPr>
        <w:jc w:val="both"/>
        <w:rPr>
          <w:rFonts w:ascii="Arial" w:hAnsi="Arial" w:cs="Arial"/>
          <w:sz w:val="20"/>
          <w:szCs w:val="20"/>
          <w:lang w:val="es-419"/>
        </w:rPr>
      </w:pPr>
    </w:p>
    <w:p w:rsidR="00F94302" w:rsidRDefault="00F94302" w:rsidP="00F94302">
      <w:pPr>
        <w:jc w:val="both"/>
        <w:rPr>
          <w:rFonts w:ascii="Arial" w:hAnsi="Arial" w:cs="Arial"/>
          <w:sz w:val="20"/>
          <w:szCs w:val="20"/>
        </w:rPr>
      </w:pPr>
    </w:p>
    <w:p w:rsidR="00CF6ED5" w:rsidRPr="00F94302" w:rsidRDefault="00CF6ED5" w:rsidP="00F94302">
      <w:pPr>
        <w:jc w:val="both"/>
        <w:rPr>
          <w:rFonts w:ascii="Arial" w:hAnsi="Arial" w:cs="Arial"/>
          <w:sz w:val="20"/>
          <w:szCs w:val="20"/>
        </w:rPr>
      </w:pPr>
    </w:p>
    <w:p w:rsidR="00DE2563" w:rsidRPr="005F21D8" w:rsidRDefault="00DE2563" w:rsidP="005F21D8">
      <w:pPr>
        <w:pStyle w:val="Ttulo4"/>
        <w:widowControl w:val="0"/>
        <w:tabs>
          <w:tab w:val="clear" w:pos="0"/>
        </w:tabs>
        <w:spacing w:line="276" w:lineRule="auto"/>
        <w:rPr>
          <w:rFonts w:ascii="Tahoma" w:hAnsi="Tahoma" w:cs="Tahoma"/>
          <w:bCs/>
          <w:szCs w:val="24"/>
          <w:lang w:eastAsia="es-MX"/>
        </w:rPr>
      </w:pPr>
      <w:r w:rsidRPr="005F21D8">
        <w:rPr>
          <w:rFonts w:ascii="Tahoma" w:hAnsi="Tahoma" w:cs="Tahoma"/>
          <w:bCs/>
          <w:szCs w:val="24"/>
          <w:lang w:eastAsia="es-MX"/>
        </w:rPr>
        <w:t>TRIBUNAL SUPERIOR DEL DISTRITO JUDICIAL DE PEREIRA</w:t>
      </w:r>
    </w:p>
    <w:p w:rsidR="00DE2563" w:rsidRPr="005F21D8" w:rsidRDefault="00DE2563" w:rsidP="005F21D8">
      <w:pPr>
        <w:pStyle w:val="Ttulo4"/>
        <w:widowControl w:val="0"/>
        <w:tabs>
          <w:tab w:val="clear" w:pos="0"/>
        </w:tabs>
        <w:spacing w:line="276" w:lineRule="auto"/>
        <w:rPr>
          <w:rFonts w:ascii="Tahoma" w:hAnsi="Tahoma" w:cs="Tahoma"/>
          <w:bCs/>
          <w:szCs w:val="24"/>
          <w:lang w:eastAsia="es-MX"/>
        </w:rPr>
      </w:pPr>
      <w:r w:rsidRPr="005F21D8">
        <w:rPr>
          <w:rFonts w:ascii="Tahoma" w:hAnsi="Tahoma" w:cs="Tahoma"/>
          <w:bCs/>
          <w:szCs w:val="24"/>
          <w:lang w:eastAsia="es-MX"/>
        </w:rPr>
        <w:t>SALA DE DECISION LABORAL No. 1</w:t>
      </w:r>
    </w:p>
    <w:p w:rsidR="00DE2563" w:rsidRPr="005F21D8" w:rsidRDefault="00DE2563" w:rsidP="005F21D8">
      <w:pPr>
        <w:spacing w:line="276" w:lineRule="auto"/>
        <w:jc w:val="center"/>
        <w:rPr>
          <w:rFonts w:ascii="Tahoma" w:hAnsi="Tahoma" w:cs="Tahoma"/>
          <w:bCs/>
        </w:rPr>
      </w:pPr>
    </w:p>
    <w:p w:rsidR="00DE2563" w:rsidRPr="005F21D8" w:rsidRDefault="00DE2563" w:rsidP="005F21D8">
      <w:pPr>
        <w:spacing w:line="276" w:lineRule="auto"/>
        <w:jc w:val="center"/>
        <w:rPr>
          <w:rFonts w:ascii="Tahoma" w:hAnsi="Tahoma" w:cs="Tahoma"/>
          <w:b/>
          <w:bCs/>
        </w:rPr>
      </w:pPr>
      <w:r w:rsidRPr="005F21D8">
        <w:rPr>
          <w:rFonts w:ascii="Tahoma" w:hAnsi="Tahoma" w:cs="Tahoma"/>
          <w:bCs/>
        </w:rPr>
        <w:t>Magistrada Ponente:</w:t>
      </w:r>
      <w:r w:rsidRPr="005F21D8">
        <w:rPr>
          <w:rFonts w:ascii="Tahoma" w:hAnsi="Tahoma" w:cs="Tahoma"/>
          <w:b/>
          <w:bCs/>
        </w:rPr>
        <w:t xml:space="preserve"> Ana Lucía Caicedo Calderón</w:t>
      </w:r>
    </w:p>
    <w:p w:rsidR="00DE2563" w:rsidRPr="005F21D8" w:rsidRDefault="00DE2563" w:rsidP="005F21D8">
      <w:pPr>
        <w:spacing w:line="276" w:lineRule="auto"/>
        <w:jc w:val="center"/>
        <w:rPr>
          <w:rFonts w:ascii="Tahoma" w:hAnsi="Tahoma" w:cs="Tahoma"/>
          <w:b/>
          <w:bCs/>
        </w:rPr>
      </w:pPr>
    </w:p>
    <w:p w:rsidR="00DE2563" w:rsidRPr="005F21D8" w:rsidRDefault="00DE2563" w:rsidP="005F21D8">
      <w:pPr>
        <w:spacing w:line="276" w:lineRule="auto"/>
        <w:jc w:val="center"/>
        <w:rPr>
          <w:rFonts w:ascii="Tahoma" w:hAnsi="Tahoma" w:cs="Tahoma"/>
          <w:b/>
        </w:rPr>
      </w:pPr>
      <w:r w:rsidRPr="005F21D8">
        <w:rPr>
          <w:rFonts w:ascii="Tahoma" w:hAnsi="Tahoma" w:cs="Tahoma"/>
          <w:b/>
        </w:rPr>
        <w:t>Acta No. ____</w:t>
      </w:r>
    </w:p>
    <w:p w:rsidR="00DE2563" w:rsidRPr="005F21D8" w:rsidRDefault="00DE2563" w:rsidP="005F21D8">
      <w:pPr>
        <w:spacing w:line="276" w:lineRule="auto"/>
        <w:jc w:val="center"/>
        <w:rPr>
          <w:rFonts w:ascii="Tahoma" w:hAnsi="Tahoma" w:cs="Tahoma"/>
          <w:b/>
        </w:rPr>
      </w:pPr>
      <w:r w:rsidRPr="005F21D8">
        <w:rPr>
          <w:rFonts w:ascii="Tahoma" w:hAnsi="Tahoma" w:cs="Tahoma"/>
          <w:b/>
        </w:rPr>
        <w:t>(</w:t>
      </w:r>
      <w:r w:rsidR="005C4716" w:rsidRPr="005F21D8">
        <w:rPr>
          <w:rFonts w:ascii="Tahoma" w:hAnsi="Tahoma" w:cs="Tahoma"/>
          <w:b/>
        </w:rPr>
        <w:t xml:space="preserve">Noviembre 15 </w:t>
      </w:r>
      <w:r w:rsidRPr="005F21D8">
        <w:rPr>
          <w:rFonts w:ascii="Tahoma" w:hAnsi="Tahoma" w:cs="Tahoma"/>
          <w:b/>
        </w:rPr>
        <w:t>de 201</w:t>
      </w:r>
      <w:r w:rsidR="00F9700B" w:rsidRPr="005F21D8">
        <w:rPr>
          <w:rFonts w:ascii="Tahoma" w:hAnsi="Tahoma" w:cs="Tahoma"/>
          <w:b/>
        </w:rPr>
        <w:t>9</w:t>
      </w:r>
      <w:r w:rsidRPr="005F21D8">
        <w:rPr>
          <w:rFonts w:ascii="Tahoma" w:hAnsi="Tahoma" w:cs="Tahoma"/>
          <w:b/>
        </w:rPr>
        <w:t>)</w:t>
      </w:r>
    </w:p>
    <w:p w:rsidR="00DE2563" w:rsidRPr="005F21D8" w:rsidRDefault="00DE2563" w:rsidP="005F21D8">
      <w:pPr>
        <w:spacing w:line="276" w:lineRule="auto"/>
        <w:jc w:val="center"/>
        <w:rPr>
          <w:rFonts w:ascii="Tahoma" w:hAnsi="Tahoma" w:cs="Tahoma"/>
          <w:b/>
        </w:rPr>
      </w:pPr>
    </w:p>
    <w:p w:rsidR="00DE2563" w:rsidRPr="005F21D8" w:rsidRDefault="00DE2563" w:rsidP="005F21D8">
      <w:pPr>
        <w:pStyle w:val="Ttulo5"/>
        <w:spacing w:line="276" w:lineRule="auto"/>
        <w:ind w:firstLine="0"/>
        <w:jc w:val="center"/>
        <w:rPr>
          <w:rFonts w:ascii="Tahoma" w:hAnsi="Tahoma" w:cs="Tahoma"/>
        </w:rPr>
      </w:pPr>
      <w:r w:rsidRPr="005F21D8">
        <w:rPr>
          <w:rFonts w:ascii="Tahoma" w:hAnsi="Tahoma" w:cs="Tahoma"/>
        </w:rPr>
        <w:t>Sistema oral - Audiencia de juzgamiento</w:t>
      </w:r>
    </w:p>
    <w:p w:rsidR="00DE2563" w:rsidRPr="005F21D8" w:rsidRDefault="00DE2563" w:rsidP="005F21D8">
      <w:pPr>
        <w:spacing w:line="276" w:lineRule="auto"/>
        <w:jc w:val="both"/>
        <w:rPr>
          <w:rFonts w:ascii="Tahoma" w:hAnsi="Tahoma" w:cs="Tahoma"/>
          <w:lang w:val="es-ES_tradnl"/>
        </w:rPr>
      </w:pPr>
      <w:r w:rsidRPr="005F21D8">
        <w:rPr>
          <w:rFonts w:ascii="Tahoma" w:hAnsi="Tahoma" w:cs="Tahoma"/>
          <w:b/>
        </w:rPr>
        <w:tab/>
      </w:r>
    </w:p>
    <w:p w:rsidR="00DE2563" w:rsidRPr="005F21D8" w:rsidRDefault="00DE2563" w:rsidP="005F21D8">
      <w:pPr>
        <w:spacing w:line="276" w:lineRule="auto"/>
        <w:ind w:firstLine="708"/>
        <w:jc w:val="both"/>
        <w:rPr>
          <w:rFonts w:ascii="Tahoma" w:hAnsi="Tahoma" w:cs="Tahoma"/>
          <w:lang w:val="es-ES_tradnl"/>
        </w:rPr>
      </w:pPr>
      <w:r w:rsidRPr="005F21D8">
        <w:rPr>
          <w:rFonts w:ascii="Tahoma" w:hAnsi="Tahoma" w:cs="Tahoma"/>
          <w:lang w:val="es-ES_tradnl"/>
        </w:rPr>
        <w:t xml:space="preserve">Siendo las </w:t>
      </w:r>
      <w:r w:rsidR="00E12BB2">
        <w:rPr>
          <w:rFonts w:ascii="Tahoma" w:hAnsi="Tahoma" w:cs="Tahoma"/>
          <w:lang w:val="es-ES_tradnl"/>
        </w:rPr>
        <w:t>11</w:t>
      </w:r>
      <w:r w:rsidRPr="005F21D8">
        <w:rPr>
          <w:rFonts w:ascii="Tahoma" w:hAnsi="Tahoma" w:cs="Tahoma"/>
          <w:lang w:val="es-ES_tradnl"/>
        </w:rPr>
        <w:t>:</w:t>
      </w:r>
      <w:r w:rsidR="00F9700B" w:rsidRPr="005F21D8">
        <w:rPr>
          <w:rFonts w:ascii="Tahoma" w:hAnsi="Tahoma" w:cs="Tahoma"/>
          <w:lang w:val="es-ES_tradnl"/>
        </w:rPr>
        <w:t>00</w:t>
      </w:r>
      <w:r w:rsidRPr="005F21D8">
        <w:rPr>
          <w:rFonts w:ascii="Tahoma" w:hAnsi="Tahoma" w:cs="Tahoma"/>
          <w:lang w:val="es-ES_tradnl"/>
        </w:rPr>
        <w:t xml:space="preserve"> a.m. de hoy, </w:t>
      </w:r>
      <w:r w:rsidR="00E12BB2">
        <w:rPr>
          <w:rFonts w:ascii="Tahoma" w:hAnsi="Tahoma" w:cs="Tahoma"/>
          <w:lang w:val="es-ES_tradnl"/>
        </w:rPr>
        <w:t>2 de dic</w:t>
      </w:r>
      <w:r w:rsidR="005C4716" w:rsidRPr="005F21D8">
        <w:rPr>
          <w:rFonts w:ascii="Tahoma" w:hAnsi="Tahoma" w:cs="Tahoma"/>
          <w:lang w:val="es-ES_tradnl"/>
        </w:rPr>
        <w:t xml:space="preserve">iembre </w:t>
      </w:r>
      <w:r w:rsidR="00F9700B" w:rsidRPr="005F21D8">
        <w:rPr>
          <w:rFonts w:ascii="Tahoma" w:hAnsi="Tahoma" w:cs="Tahoma"/>
          <w:lang w:val="es-ES_tradnl"/>
        </w:rPr>
        <w:t>de 2019</w:t>
      </w:r>
      <w:r w:rsidRPr="005F21D8">
        <w:rPr>
          <w:rFonts w:ascii="Tahoma" w:hAnsi="Tahoma" w:cs="Tahoma"/>
          <w:lang w:val="es-ES_tradnl"/>
        </w:rPr>
        <w:t xml:space="preserve">, la Sala de Decisión Laboral No. 1 del Tribunal Superior de Pereira se constituye en audiencia pública de juzgamiento en el proceso ordinario laboral instaurado por </w:t>
      </w:r>
      <w:r w:rsidR="005C4716" w:rsidRPr="005F21D8">
        <w:rPr>
          <w:rFonts w:ascii="Tahoma" w:hAnsi="Tahoma" w:cs="Tahoma"/>
          <w:b/>
        </w:rPr>
        <w:t xml:space="preserve">María </w:t>
      </w:r>
      <w:proofErr w:type="spellStart"/>
      <w:r w:rsidR="005C4716" w:rsidRPr="005F21D8">
        <w:rPr>
          <w:rFonts w:ascii="Tahoma" w:hAnsi="Tahoma" w:cs="Tahoma"/>
          <w:b/>
        </w:rPr>
        <w:t>Ja</w:t>
      </w:r>
      <w:r w:rsidR="00E12BB2">
        <w:rPr>
          <w:rFonts w:ascii="Tahoma" w:hAnsi="Tahoma" w:cs="Tahoma"/>
          <w:b/>
        </w:rPr>
        <w:t>nn</w:t>
      </w:r>
      <w:r w:rsidR="005C4716" w:rsidRPr="005F21D8">
        <w:rPr>
          <w:rFonts w:ascii="Tahoma" w:hAnsi="Tahoma" w:cs="Tahoma"/>
          <w:b/>
        </w:rPr>
        <w:t>eth</w:t>
      </w:r>
      <w:proofErr w:type="spellEnd"/>
      <w:r w:rsidR="005C4716" w:rsidRPr="005F21D8">
        <w:rPr>
          <w:rFonts w:ascii="Tahoma" w:hAnsi="Tahoma" w:cs="Tahoma"/>
          <w:b/>
        </w:rPr>
        <w:t xml:space="preserve"> Toro Gómez </w:t>
      </w:r>
      <w:r w:rsidRPr="005F21D8">
        <w:rPr>
          <w:rFonts w:ascii="Tahoma" w:hAnsi="Tahoma" w:cs="Tahoma"/>
          <w:lang w:val="es-ES_tradnl"/>
        </w:rPr>
        <w:t xml:space="preserve">en contra de la </w:t>
      </w:r>
      <w:r w:rsidRPr="005F21D8">
        <w:rPr>
          <w:rFonts w:ascii="Tahoma" w:hAnsi="Tahoma" w:cs="Tahoma"/>
          <w:b/>
          <w:lang w:val="es-ES_tradnl"/>
        </w:rPr>
        <w:t>Administradora Colombiana de Pensiones – Colpensiones</w:t>
      </w:r>
      <w:r w:rsidR="005C4716" w:rsidRPr="005F21D8">
        <w:rPr>
          <w:rFonts w:ascii="Tahoma" w:hAnsi="Tahoma" w:cs="Tahoma"/>
          <w:lang w:val="es-ES_tradnl"/>
        </w:rPr>
        <w:t xml:space="preserve">, al cual fueron vinculados </w:t>
      </w:r>
      <w:r w:rsidR="005C4716" w:rsidRPr="005F21D8">
        <w:rPr>
          <w:rFonts w:ascii="Tahoma" w:hAnsi="Tahoma" w:cs="Tahoma"/>
        </w:rPr>
        <w:t>Julio César y Juliana Osorio Toro,</w:t>
      </w:r>
      <w:r w:rsidR="005C4716" w:rsidRPr="005F21D8">
        <w:rPr>
          <w:rFonts w:ascii="Tahoma" w:hAnsi="Tahoma" w:cs="Tahoma"/>
          <w:b/>
        </w:rPr>
        <w:t xml:space="preserve"> </w:t>
      </w:r>
      <w:r w:rsidR="005C4716" w:rsidRPr="005F21D8">
        <w:rPr>
          <w:rFonts w:ascii="Tahoma" w:hAnsi="Tahoma" w:cs="Tahoma"/>
          <w:lang w:val="es-ES_tradnl"/>
        </w:rPr>
        <w:t>como intervinientes Ad-</w:t>
      </w:r>
      <w:proofErr w:type="spellStart"/>
      <w:r w:rsidR="005C4716" w:rsidRPr="005F21D8">
        <w:rPr>
          <w:rFonts w:ascii="Tahoma" w:hAnsi="Tahoma" w:cs="Tahoma"/>
          <w:lang w:val="es-ES_tradnl"/>
        </w:rPr>
        <w:t>Excludendum</w:t>
      </w:r>
      <w:proofErr w:type="spellEnd"/>
      <w:r w:rsidR="005C4716" w:rsidRPr="005F21D8">
        <w:rPr>
          <w:rFonts w:ascii="Tahoma" w:hAnsi="Tahoma" w:cs="Tahoma"/>
          <w:lang w:val="es-ES_tradnl"/>
        </w:rPr>
        <w:t xml:space="preserve">. </w:t>
      </w:r>
      <w:r w:rsidRPr="005F21D8">
        <w:rPr>
          <w:rFonts w:ascii="Tahoma" w:hAnsi="Tahoma" w:cs="Tahoma"/>
          <w:lang w:val="es-ES_tradnl"/>
        </w:rPr>
        <w:t>Para el efecto, se verifica la asistencia de las partes a la presente diligencia: Por la parte demandante… Por la demandada…</w:t>
      </w:r>
    </w:p>
    <w:p w:rsidR="006A27AE" w:rsidRPr="005F21D8" w:rsidRDefault="006A27AE" w:rsidP="005F21D8">
      <w:pPr>
        <w:spacing w:line="276" w:lineRule="auto"/>
        <w:ind w:firstLine="708"/>
        <w:jc w:val="both"/>
        <w:rPr>
          <w:rFonts w:ascii="Tahoma" w:hAnsi="Tahoma" w:cs="Tahoma"/>
          <w:lang w:val="es-ES_tradnl"/>
        </w:rPr>
      </w:pPr>
    </w:p>
    <w:p w:rsidR="00DE2563" w:rsidRPr="005F21D8" w:rsidRDefault="00DE2563" w:rsidP="005F21D8">
      <w:pPr>
        <w:widowControl w:val="0"/>
        <w:autoSpaceDE w:val="0"/>
        <w:autoSpaceDN w:val="0"/>
        <w:adjustRightInd w:val="0"/>
        <w:spacing w:line="276" w:lineRule="auto"/>
        <w:jc w:val="center"/>
        <w:rPr>
          <w:rFonts w:ascii="Tahoma" w:hAnsi="Tahoma" w:cs="Tahoma"/>
          <w:b/>
        </w:rPr>
      </w:pPr>
      <w:r w:rsidRPr="005F21D8">
        <w:rPr>
          <w:rFonts w:ascii="Tahoma" w:hAnsi="Tahoma" w:cs="Tahoma"/>
          <w:b/>
        </w:rPr>
        <w:t>SENTENCIA</w:t>
      </w:r>
    </w:p>
    <w:p w:rsidR="00DE2563" w:rsidRPr="005F21D8" w:rsidRDefault="00DE2563" w:rsidP="005F21D8">
      <w:pPr>
        <w:widowControl w:val="0"/>
        <w:autoSpaceDE w:val="0"/>
        <w:autoSpaceDN w:val="0"/>
        <w:adjustRightInd w:val="0"/>
        <w:spacing w:line="276" w:lineRule="auto"/>
        <w:jc w:val="center"/>
        <w:rPr>
          <w:rFonts w:ascii="Tahoma" w:hAnsi="Tahoma" w:cs="Tahoma"/>
          <w:b/>
        </w:rPr>
      </w:pPr>
    </w:p>
    <w:p w:rsidR="00DE2563" w:rsidRPr="005F21D8" w:rsidRDefault="00F9700B" w:rsidP="005F21D8">
      <w:pPr>
        <w:widowControl w:val="0"/>
        <w:autoSpaceDE w:val="0"/>
        <w:autoSpaceDN w:val="0"/>
        <w:adjustRightInd w:val="0"/>
        <w:spacing w:line="276" w:lineRule="auto"/>
        <w:ind w:firstLine="708"/>
        <w:jc w:val="both"/>
        <w:rPr>
          <w:rFonts w:ascii="Tahoma" w:hAnsi="Tahoma" w:cs="Tahoma"/>
        </w:rPr>
      </w:pPr>
      <w:r w:rsidRPr="005F21D8">
        <w:rPr>
          <w:rFonts w:ascii="Tahoma" w:hAnsi="Tahoma" w:cs="Tahoma"/>
        </w:rPr>
        <w:t xml:space="preserve">Procede </w:t>
      </w:r>
      <w:r w:rsidR="00DE2563" w:rsidRPr="005F21D8">
        <w:rPr>
          <w:rFonts w:ascii="Tahoma" w:hAnsi="Tahoma" w:cs="Tahoma"/>
        </w:rPr>
        <w:t xml:space="preserve">la Sala a resolver el </w:t>
      </w:r>
      <w:r w:rsidR="00E05827" w:rsidRPr="005F21D8">
        <w:rPr>
          <w:rFonts w:ascii="Tahoma" w:hAnsi="Tahoma" w:cs="Tahoma"/>
        </w:rPr>
        <w:t xml:space="preserve">recurso de apelación propuesto </w:t>
      </w:r>
      <w:r w:rsidR="00F828CD" w:rsidRPr="005F21D8">
        <w:rPr>
          <w:rFonts w:ascii="Tahoma" w:hAnsi="Tahoma" w:cs="Tahoma"/>
        </w:rPr>
        <w:t>por la</w:t>
      </w:r>
      <w:r w:rsidR="00B30E34" w:rsidRPr="005F21D8">
        <w:rPr>
          <w:rFonts w:ascii="Tahoma" w:hAnsi="Tahoma" w:cs="Tahoma"/>
        </w:rPr>
        <w:t>s apoderadas de la</w:t>
      </w:r>
      <w:r w:rsidR="00F828CD" w:rsidRPr="005F21D8">
        <w:rPr>
          <w:rFonts w:ascii="Tahoma" w:hAnsi="Tahoma" w:cs="Tahoma"/>
        </w:rPr>
        <w:t xml:space="preserve"> parte demandante </w:t>
      </w:r>
      <w:r w:rsidR="00E05827" w:rsidRPr="005F21D8">
        <w:rPr>
          <w:rFonts w:ascii="Tahoma" w:hAnsi="Tahoma" w:cs="Tahoma"/>
        </w:rPr>
        <w:t xml:space="preserve">en contra de la </w:t>
      </w:r>
      <w:r w:rsidR="00DE2563" w:rsidRPr="005F21D8">
        <w:rPr>
          <w:rFonts w:ascii="Tahoma" w:hAnsi="Tahoma" w:cs="Tahoma"/>
        </w:rPr>
        <w:t xml:space="preserve">sentencia emitida por el Juzgado </w:t>
      </w:r>
      <w:r w:rsidR="00B30E34" w:rsidRPr="005F21D8">
        <w:rPr>
          <w:rFonts w:ascii="Tahoma" w:hAnsi="Tahoma" w:cs="Tahoma"/>
        </w:rPr>
        <w:t xml:space="preserve">Segundo </w:t>
      </w:r>
      <w:r w:rsidR="00DE2563" w:rsidRPr="005F21D8">
        <w:rPr>
          <w:rFonts w:ascii="Tahoma" w:hAnsi="Tahoma" w:cs="Tahoma"/>
        </w:rPr>
        <w:t xml:space="preserve">Laboral del Circuito de Pereira el </w:t>
      </w:r>
      <w:r w:rsidR="00B30E34" w:rsidRPr="005F21D8">
        <w:rPr>
          <w:rFonts w:ascii="Tahoma" w:hAnsi="Tahoma" w:cs="Tahoma"/>
        </w:rPr>
        <w:t xml:space="preserve">22 </w:t>
      </w:r>
      <w:r w:rsidR="00F828CD" w:rsidRPr="005F21D8">
        <w:rPr>
          <w:rFonts w:ascii="Tahoma" w:hAnsi="Tahoma" w:cs="Tahoma"/>
        </w:rPr>
        <w:t xml:space="preserve">de </w:t>
      </w:r>
      <w:r w:rsidR="00B30E34" w:rsidRPr="005F21D8">
        <w:rPr>
          <w:rFonts w:ascii="Tahoma" w:hAnsi="Tahoma" w:cs="Tahoma"/>
        </w:rPr>
        <w:t>noviemb</w:t>
      </w:r>
      <w:r w:rsidR="00F828CD" w:rsidRPr="005F21D8">
        <w:rPr>
          <w:rFonts w:ascii="Tahoma" w:hAnsi="Tahoma" w:cs="Tahoma"/>
        </w:rPr>
        <w:t>re de 2018</w:t>
      </w:r>
      <w:r w:rsidR="00DE2563" w:rsidRPr="005F21D8">
        <w:rPr>
          <w:rFonts w:ascii="Tahoma" w:hAnsi="Tahoma" w:cs="Tahoma"/>
        </w:rPr>
        <w:t>, dentro del proceso ordinario laboral reseñado con a</w:t>
      </w:r>
      <w:r w:rsidR="00E05827" w:rsidRPr="005F21D8">
        <w:rPr>
          <w:rFonts w:ascii="Tahoma" w:hAnsi="Tahoma" w:cs="Tahoma"/>
        </w:rPr>
        <w:t>nterioridad</w:t>
      </w:r>
      <w:r w:rsidR="00F828CD" w:rsidRPr="005F21D8">
        <w:rPr>
          <w:rFonts w:ascii="Tahoma" w:hAnsi="Tahoma" w:cs="Tahoma"/>
        </w:rPr>
        <w:t>.</w:t>
      </w:r>
    </w:p>
    <w:p w:rsidR="00DE2563" w:rsidRPr="005F21D8" w:rsidRDefault="00DE2563" w:rsidP="005F21D8">
      <w:pPr>
        <w:tabs>
          <w:tab w:val="left" w:pos="567"/>
        </w:tabs>
        <w:spacing w:line="276" w:lineRule="auto"/>
        <w:jc w:val="both"/>
        <w:rPr>
          <w:rFonts w:ascii="Tahoma" w:hAnsi="Tahoma" w:cs="Tahoma"/>
        </w:rPr>
      </w:pPr>
    </w:p>
    <w:p w:rsidR="00DE2563" w:rsidRPr="005F21D8" w:rsidRDefault="00DE2563" w:rsidP="005F21D8">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5F21D8">
        <w:rPr>
          <w:rFonts w:ascii="Tahoma" w:hAnsi="Tahoma" w:cs="Tahoma"/>
          <w:b/>
        </w:rPr>
        <w:t>La demanda y su contestación</w:t>
      </w:r>
    </w:p>
    <w:p w:rsidR="00DE2563" w:rsidRPr="005F21D8" w:rsidRDefault="00DE2563" w:rsidP="005F21D8">
      <w:pPr>
        <w:widowControl w:val="0"/>
        <w:tabs>
          <w:tab w:val="left" w:pos="561"/>
          <w:tab w:val="left" w:pos="935"/>
        </w:tabs>
        <w:autoSpaceDE w:val="0"/>
        <w:autoSpaceDN w:val="0"/>
        <w:adjustRightInd w:val="0"/>
        <w:spacing w:line="276" w:lineRule="auto"/>
        <w:rPr>
          <w:rFonts w:ascii="Tahoma" w:hAnsi="Tahoma" w:cs="Tahoma"/>
          <w:b/>
          <w:caps/>
        </w:rPr>
      </w:pPr>
    </w:p>
    <w:p w:rsidR="00881A2E" w:rsidRPr="005F21D8" w:rsidRDefault="00DE2563"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b/>
          <w:caps/>
        </w:rPr>
        <w:tab/>
      </w:r>
      <w:r w:rsidRPr="005F21D8">
        <w:rPr>
          <w:rFonts w:ascii="Tahoma" w:hAnsi="Tahoma" w:cs="Tahoma"/>
          <w:b/>
          <w:caps/>
        </w:rPr>
        <w:tab/>
      </w:r>
      <w:r w:rsidRPr="005F21D8">
        <w:rPr>
          <w:rFonts w:ascii="Tahoma" w:hAnsi="Tahoma" w:cs="Tahoma"/>
        </w:rPr>
        <w:t>La</w:t>
      </w:r>
      <w:r w:rsidR="00B30E34" w:rsidRPr="005F21D8">
        <w:rPr>
          <w:rFonts w:ascii="Tahoma" w:hAnsi="Tahoma" w:cs="Tahoma"/>
        </w:rPr>
        <w:t xml:space="preserve"> señora</w:t>
      </w:r>
      <w:r w:rsidRPr="005F21D8">
        <w:rPr>
          <w:rFonts w:ascii="Tahoma" w:hAnsi="Tahoma" w:cs="Tahoma"/>
          <w:b/>
        </w:rPr>
        <w:t xml:space="preserve"> </w:t>
      </w:r>
      <w:r w:rsidR="00B30E34" w:rsidRPr="005F21D8">
        <w:rPr>
          <w:rFonts w:ascii="Tahoma" w:hAnsi="Tahoma" w:cs="Tahoma"/>
        </w:rPr>
        <w:t xml:space="preserve">María </w:t>
      </w:r>
      <w:proofErr w:type="spellStart"/>
      <w:r w:rsidR="00B30E34" w:rsidRPr="005F21D8">
        <w:rPr>
          <w:rFonts w:ascii="Tahoma" w:hAnsi="Tahoma" w:cs="Tahoma"/>
        </w:rPr>
        <w:t>Jan</w:t>
      </w:r>
      <w:r w:rsidR="00BC2BDF" w:rsidRPr="005F21D8">
        <w:rPr>
          <w:rFonts w:ascii="Tahoma" w:hAnsi="Tahoma" w:cs="Tahoma"/>
        </w:rPr>
        <w:t>n</w:t>
      </w:r>
      <w:r w:rsidR="00B30E34" w:rsidRPr="005F21D8">
        <w:rPr>
          <w:rFonts w:ascii="Tahoma" w:hAnsi="Tahoma" w:cs="Tahoma"/>
        </w:rPr>
        <w:t>eth</w:t>
      </w:r>
      <w:proofErr w:type="spellEnd"/>
      <w:r w:rsidR="00B30E34" w:rsidRPr="005F21D8">
        <w:rPr>
          <w:rFonts w:ascii="Tahoma" w:hAnsi="Tahoma" w:cs="Tahoma"/>
        </w:rPr>
        <w:t xml:space="preserve"> Toro </w:t>
      </w:r>
      <w:r w:rsidRPr="005F21D8">
        <w:rPr>
          <w:rFonts w:ascii="Tahoma" w:hAnsi="Tahoma" w:cs="Tahoma"/>
        </w:rPr>
        <w:t>solicita que se declare que</w:t>
      </w:r>
      <w:r w:rsidR="0063126A" w:rsidRPr="005F21D8">
        <w:rPr>
          <w:rFonts w:ascii="Tahoma" w:hAnsi="Tahoma" w:cs="Tahoma"/>
        </w:rPr>
        <w:t xml:space="preserve"> </w:t>
      </w:r>
      <w:r w:rsidR="00881A2E" w:rsidRPr="005F21D8">
        <w:rPr>
          <w:rFonts w:ascii="Tahoma" w:hAnsi="Tahoma" w:cs="Tahoma"/>
        </w:rPr>
        <w:t>le asiste derecho a que Colpensiones le reconozca la pensión de sobrevivientes</w:t>
      </w:r>
      <w:r w:rsidR="0008140C" w:rsidRPr="005F21D8">
        <w:rPr>
          <w:rFonts w:ascii="Tahoma" w:hAnsi="Tahoma" w:cs="Tahoma"/>
        </w:rPr>
        <w:t xml:space="preserve"> causada por el deceso</w:t>
      </w:r>
      <w:r w:rsidR="00881A2E" w:rsidRPr="005F21D8">
        <w:rPr>
          <w:rFonts w:ascii="Tahoma" w:hAnsi="Tahoma" w:cs="Tahoma"/>
        </w:rPr>
        <w:t xml:space="preserve"> del señor</w:t>
      </w:r>
      <w:r w:rsidR="00F828CD" w:rsidRPr="005F21D8">
        <w:rPr>
          <w:rFonts w:ascii="Tahoma" w:hAnsi="Tahoma" w:cs="Tahoma"/>
        </w:rPr>
        <w:t xml:space="preserve"> </w:t>
      </w:r>
      <w:r w:rsidR="007041D6" w:rsidRPr="005F21D8">
        <w:rPr>
          <w:rFonts w:ascii="Tahoma" w:hAnsi="Tahoma" w:cs="Tahoma"/>
        </w:rPr>
        <w:t>Julio César Osorio Castaño</w:t>
      </w:r>
      <w:r w:rsidR="00881A2E" w:rsidRPr="005F21D8">
        <w:rPr>
          <w:rFonts w:ascii="Tahoma" w:hAnsi="Tahoma" w:cs="Tahoma"/>
        </w:rPr>
        <w:t>, en aplicación del principio de la condición más beneficiosa</w:t>
      </w:r>
      <w:r w:rsidR="00326228" w:rsidRPr="005F21D8">
        <w:rPr>
          <w:rFonts w:ascii="Tahoma" w:hAnsi="Tahoma" w:cs="Tahoma"/>
        </w:rPr>
        <w:t xml:space="preserve">. En consecuencia, procura que se ordene a dicha entidad que </w:t>
      </w:r>
      <w:r w:rsidR="005367FF" w:rsidRPr="005F21D8">
        <w:rPr>
          <w:rFonts w:ascii="Tahoma" w:hAnsi="Tahoma" w:cs="Tahoma"/>
        </w:rPr>
        <w:t>le ca</w:t>
      </w:r>
      <w:r w:rsidR="00326228" w:rsidRPr="005F21D8">
        <w:rPr>
          <w:rFonts w:ascii="Tahoma" w:hAnsi="Tahoma" w:cs="Tahoma"/>
        </w:rPr>
        <w:t xml:space="preserve">ncele la aludida prestación desde el </w:t>
      </w:r>
      <w:r w:rsidR="007041D6" w:rsidRPr="005F21D8">
        <w:rPr>
          <w:rFonts w:ascii="Tahoma" w:hAnsi="Tahoma" w:cs="Tahoma"/>
        </w:rPr>
        <w:t>8 de julio</w:t>
      </w:r>
      <w:r w:rsidR="00F828CD" w:rsidRPr="005F21D8">
        <w:rPr>
          <w:rFonts w:ascii="Tahoma" w:hAnsi="Tahoma" w:cs="Tahoma"/>
        </w:rPr>
        <w:t xml:space="preserve"> de 2015</w:t>
      </w:r>
      <w:r w:rsidR="00974809" w:rsidRPr="005F21D8">
        <w:rPr>
          <w:rFonts w:ascii="Tahoma" w:hAnsi="Tahoma" w:cs="Tahoma"/>
        </w:rPr>
        <w:t xml:space="preserve">; </w:t>
      </w:r>
      <w:r w:rsidR="005367FF" w:rsidRPr="005F21D8">
        <w:rPr>
          <w:rFonts w:ascii="Tahoma" w:hAnsi="Tahoma" w:cs="Tahoma"/>
        </w:rPr>
        <w:t xml:space="preserve">más </w:t>
      </w:r>
      <w:r w:rsidR="00974809" w:rsidRPr="005F21D8">
        <w:rPr>
          <w:rFonts w:ascii="Tahoma" w:hAnsi="Tahoma" w:cs="Tahoma"/>
        </w:rPr>
        <w:t>los intereses de mora establecidos en el artículo 141 de la Ley 100 de 1993</w:t>
      </w:r>
      <w:r w:rsidR="00E1429F" w:rsidRPr="005F21D8">
        <w:rPr>
          <w:rFonts w:ascii="Tahoma" w:hAnsi="Tahoma" w:cs="Tahoma"/>
        </w:rPr>
        <w:t>, o la indexación</w:t>
      </w:r>
      <w:r w:rsidR="005367FF" w:rsidRPr="005F21D8">
        <w:rPr>
          <w:rFonts w:ascii="Tahoma" w:hAnsi="Tahoma" w:cs="Tahoma"/>
        </w:rPr>
        <w:t>;</w:t>
      </w:r>
      <w:r w:rsidR="00E1429F" w:rsidRPr="005F21D8">
        <w:rPr>
          <w:rFonts w:ascii="Tahoma" w:hAnsi="Tahoma" w:cs="Tahoma"/>
        </w:rPr>
        <w:t xml:space="preserve"> l</w:t>
      </w:r>
      <w:r w:rsidR="0008140C" w:rsidRPr="005F21D8">
        <w:rPr>
          <w:rFonts w:ascii="Tahoma" w:hAnsi="Tahoma" w:cs="Tahoma"/>
        </w:rPr>
        <w:t xml:space="preserve">os derechos </w:t>
      </w:r>
      <w:r w:rsidR="00E1429F" w:rsidRPr="005F21D8">
        <w:rPr>
          <w:rFonts w:ascii="Tahoma" w:hAnsi="Tahoma" w:cs="Tahoma"/>
        </w:rPr>
        <w:t xml:space="preserve">que resulten </w:t>
      </w:r>
      <w:r w:rsidR="004C34E6" w:rsidRPr="005F21D8">
        <w:rPr>
          <w:rFonts w:ascii="Tahoma" w:hAnsi="Tahoma" w:cs="Tahoma"/>
        </w:rPr>
        <w:t>probad</w:t>
      </w:r>
      <w:r w:rsidR="0008140C" w:rsidRPr="005F21D8">
        <w:rPr>
          <w:rFonts w:ascii="Tahoma" w:hAnsi="Tahoma" w:cs="Tahoma"/>
        </w:rPr>
        <w:t>o</w:t>
      </w:r>
      <w:r w:rsidR="004C34E6" w:rsidRPr="005F21D8">
        <w:rPr>
          <w:rFonts w:ascii="Tahoma" w:hAnsi="Tahoma" w:cs="Tahoma"/>
        </w:rPr>
        <w:t>s ultra y extra petita y</w:t>
      </w:r>
      <w:r w:rsidR="005367FF" w:rsidRPr="005F21D8">
        <w:rPr>
          <w:rFonts w:ascii="Tahoma" w:hAnsi="Tahoma" w:cs="Tahoma"/>
        </w:rPr>
        <w:t>,</w:t>
      </w:r>
      <w:r w:rsidR="004C34E6" w:rsidRPr="005F21D8">
        <w:rPr>
          <w:rFonts w:ascii="Tahoma" w:hAnsi="Tahoma" w:cs="Tahoma"/>
        </w:rPr>
        <w:t xml:space="preserve"> las costas procesales.</w:t>
      </w:r>
    </w:p>
    <w:p w:rsidR="00881A2E" w:rsidRPr="005F21D8" w:rsidRDefault="00881A2E"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7041D6" w:rsidRPr="005F21D8" w:rsidRDefault="00DE2563"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t>Para fundar dichas pretensiones</w:t>
      </w:r>
      <w:r w:rsidR="00B818C7" w:rsidRPr="005F21D8">
        <w:rPr>
          <w:rFonts w:ascii="Tahoma" w:hAnsi="Tahoma" w:cs="Tahoma"/>
        </w:rPr>
        <w:t xml:space="preserve"> </w:t>
      </w:r>
      <w:r w:rsidRPr="005F21D8">
        <w:rPr>
          <w:rFonts w:ascii="Tahoma" w:hAnsi="Tahoma" w:cs="Tahoma"/>
        </w:rPr>
        <w:t>manifiesta que</w:t>
      </w:r>
      <w:r w:rsidR="0008140C" w:rsidRPr="005F21D8">
        <w:rPr>
          <w:rFonts w:ascii="Tahoma" w:hAnsi="Tahoma" w:cs="Tahoma"/>
        </w:rPr>
        <w:t xml:space="preserve"> </w:t>
      </w:r>
      <w:r w:rsidR="007041D6" w:rsidRPr="005F21D8">
        <w:rPr>
          <w:rFonts w:ascii="Tahoma" w:hAnsi="Tahoma" w:cs="Tahoma"/>
        </w:rPr>
        <w:t>el 29 de diciembre de 1990 contrajo matrimonio con el señor Osorio Castaño, quien era afiliado al I.S.S. y cotizó 636 semanas en toda su vida laboral, de las cuales 463,26 fueron acreditadas al 1º de abril de 1994. Agrega que de dicha unión nacieron dos hijos y que la convivencia se mantuvo de manera ininterrumpida hasta el momento del deceso de aquel</w:t>
      </w:r>
      <w:r w:rsidR="004C270D" w:rsidRPr="005F21D8">
        <w:rPr>
          <w:rFonts w:ascii="Tahoma" w:hAnsi="Tahoma" w:cs="Tahoma"/>
        </w:rPr>
        <w:t>, ocurrid</w:t>
      </w:r>
      <w:r w:rsidR="004F5932" w:rsidRPr="005F21D8">
        <w:rPr>
          <w:rFonts w:ascii="Tahoma" w:hAnsi="Tahoma" w:cs="Tahoma"/>
        </w:rPr>
        <w:t>o el 8 de julio de 2015.</w:t>
      </w:r>
    </w:p>
    <w:p w:rsidR="004F5932" w:rsidRPr="005F21D8" w:rsidRDefault="004F5932"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4F5932" w:rsidRPr="005F21D8" w:rsidRDefault="004F5932"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t>Afirma que el 3 de mayo de 2016 solicitó ante Colpensiones el reconocimiento de la pensión de sobrevivientes</w:t>
      </w:r>
      <w:r w:rsidR="00330C48" w:rsidRPr="005F21D8">
        <w:rPr>
          <w:rFonts w:ascii="Tahoma" w:hAnsi="Tahoma" w:cs="Tahoma"/>
        </w:rPr>
        <w:t xml:space="preserve">, la cual fue negada a través de la Resolución GNR 223016 del 28 de julio de 2016 bajo el argumento de que su cónyuge no dejó acreditadas 50 </w:t>
      </w:r>
      <w:r w:rsidR="00330C48" w:rsidRPr="005F21D8">
        <w:rPr>
          <w:rFonts w:ascii="Tahoma" w:hAnsi="Tahoma" w:cs="Tahoma"/>
        </w:rPr>
        <w:lastRenderedPageBreak/>
        <w:t>semanas dentro de los</w:t>
      </w:r>
      <w:r w:rsidR="00B03DF5" w:rsidRPr="005F21D8">
        <w:rPr>
          <w:rFonts w:ascii="Tahoma" w:hAnsi="Tahoma" w:cs="Tahoma"/>
        </w:rPr>
        <w:t xml:space="preserve"> tres años anteriores a la fecha de fallecimiento, conforme lo exige la Ley 797 de 2003.</w:t>
      </w:r>
    </w:p>
    <w:p w:rsidR="00B03DF5" w:rsidRPr="005F21D8" w:rsidRDefault="00B03DF5"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B03DF5" w:rsidRPr="005F21D8" w:rsidRDefault="00B03DF5"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t xml:space="preserve">Refiere que contra el aludido acto presentó recurso de apelación, con el fin de que se </w:t>
      </w:r>
      <w:r w:rsidR="00E77762" w:rsidRPr="005F21D8">
        <w:rPr>
          <w:rFonts w:ascii="Tahoma" w:hAnsi="Tahoma" w:cs="Tahoma"/>
        </w:rPr>
        <w:t>concediera la pensión en aplicación del principio de la condición más beneficiosa, en razón a que el causante contaba con más de 300 semanas antes del 1º de abril de 1994, sin que a la fecha de presentación de la demanda hubiera obtenido respuesta por parte de la demanda</w:t>
      </w:r>
      <w:r w:rsidR="00952BF0" w:rsidRPr="005F21D8">
        <w:rPr>
          <w:rFonts w:ascii="Tahoma" w:hAnsi="Tahoma" w:cs="Tahoma"/>
        </w:rPr>
        <w:t>da</w:t>
      </w:r>
      <w:r w:rsidR="00E77762" w:rsidRPr="005F21D8">
        <w:rPr>
          <w:rFonts w:ascii="Tahoma" w:hAnsi="Tahoma" w:cs="Tahoma"/>
        </w:rPr>
        <w:t>.</w:t>
      </w:r>
    </w:p>
    <w:p w:rsidR="007041D6" w:rsidRPr="005F21D8" w:rsidRDefault="007041D6"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D04731" w:rsidRPr="005F21D8" w:rsidRDefault="00952BF0"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t>Al proceso fueron vinculados los jóvenes Julio César y Juliana Osorio Toro, quienes pidieron que se condenara a Colpensiones, previa declaración del derecho, a que les reconociera la pensión de sobrevivientes en su calidad de hijos del causante Julio César Osorio</w:t>
      </w:r>
      <w:r w:rsidR="003A6759" w:rsidRPr="005F21D8">
        <w:rPr>
          <w:rFonts w:ascii="Tahoma" w:hAnsi="Tahoma" w:cs="Tahoma"/>
        </w:rPr>
        <w:t xml:space="preserve"> Castaño</w:t>
      </w:r>
      <w:r w:rsidRPr="005F21D8">
        <w:rPr>
          <w:rFonts w:ascii="Tahoma" w:hAnsi="Tahoma" w:cs="Tahoma"/>
        </w:rPr>
        <w:t>, a partir del 8 de julio de 2015</w:t>
      </w:r>
      <w:r w:rsidR="003A6759" w:rsidRPr="005F21D8">
        <w:rPr>
          <w:rFonts w:ascii="Tahoma" w:hAnsi="Tahoma" w:cs="Tahoma"/>
        </w:rPr>
        <w:t>, más los intereses moratorios contemplados en el artículo 141 de la Ley 100 de 1993, lo que resulte probado en virtud de las facultades extra y ultra petita, y las costas procesales.</w:t>
      </w:r>
    </w:p>
    <w:p w:rsidR="003A6759" w:rsidRPr="005F21D8" w:rsidRDefault="003A6759"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3A6759" w:rsidRPr="005F21D8" w:rsidRDefault="003A6759"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t xml:space="preserve">Fundaron dichas pretensiones aduciendo que </w:t>
      </w:r>
      <w:r w:rsidR="00F30B70" w:rsidRPr="005F21D8">
        <w:rPr>
          <w:rFonts w:ascii="Tahoma" w:hAnsi="Tahoma" w:cs="Tahoma"/>
        </w:rPr>
        <w:t xml:space="preserve">dependían económicamente del señor Osorio Castaño, y que </w:t>
      </w:r>
      <w:r w:rsidRPr="005F21D8">
        <w:rPr>
          <w:rFonts w:ascii="Tahoma" w:hAnsi="Tahoma" w:cs="Tahoma"/>
        </w:rPr>
        <w:t>al momento del óbito de</w:t>
      </w:r>
      <w:r w:rsidR="00F30B70" w:rsidRPr="005F21D8">
        <w:rPr>
          <w:rFonts w:ascii="Tahoma" w:hAnsi="Tahoma" w:cs="Tahoma"/>
        </w:rPr>
        <w:t xml:space="preserve"> aquel </w:t>
      </w:r>
      <w:r w:rsidRPr="005F21D8">
        <w:rPr>
          <w:rFonts w:ascii="Tahoma" w:hAnsi="Tahoma" w:cs="Tahoma"/>
        </w:rPr>
        <w:t xml:space="preserve">Juliana tenía 20 años de edad y se encontraba cursando cuarto año de derecho en la Universidad Libre Seccional Pereira, mientras </w:t>
      </w:r>
      <w:r w:rsidR="00F30B70" w:rsidRPr="005F21D8">
        <w:rPr>
          <w:rFonts w:ascii="Tahoma" w:hAnsi="Tahoma" w:cs="Tahoma"/>
        </w:rPr>
        <w:t>J</w:t>
      </w:r>
      <w:r w:rsidRPr="005F21D8">
        <w:rPr>
          <w:rFonts w:ascii="Tahoma" w:hAnsi="Tahoma" w:cs="Tahoma"/>
        </w:rPr>
        <w:t>ulio César</w:t>
      </w:r>
      <w:r w:rsidR="00F30B70" w:rsidRPr="005F21D8">
        <w:rPr>
          <w:rFonts w:ascii="Tahoma" w:hAnsi="Tahoma" w:cs="Tahoma"/>
        </w:rPr>
        <w:t xml:space="preserve"> tenía 23 años y </w:t>
      </w:r>
      <w:r w:rsidRPr="005F21D8">
        <w:rPr>
          <w:rFonts w:ascii="Tahoma" w:hAnsi="Tahoma" w:cs="Tahoma"/>
        </w:rPr>
        <w:t>se encontraba matriculado en la facultad de ciencias de la salud de la Universidad Tecnológica de Pereira.</w:t>
      </w:r>
    </w:p>
    <w:p w:rsidR="003A6759" w:rsidRPr="005F21D8" w:rsidRDefault="003A6759"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p>
    <w:p w:rsidR="003A6759" w:rsidRPr="005F21D8" w:rsidRDefault="003A6759" w:rsidP="005F21D8">
      <w:pPr>
        <w:widowControl w:val="0"/>
        <w:tabs>
          <w:tab w:val="left" w:pos="561"/>
          <w:tab w:val="left" w:pos="709"/>
          <w:tab w:val="left" w:pos="1065"/>
        </w:tabs>
        <w:autoSpaceDE w:val="0"/>
        <w:autoSpaceDN w:val="0"/>
        <w:adjustRightInd w:val="0"/>
        <w:spacing w:line="276" w:lineRule="auto"/>
        <w:jc w:val="both"/>
        <w:rPr>
          <w:rFonts w:ascii="Tahoma" w:hAnsi="Tahoma" w:cs="Tahoma"/>
        </w:rPr>
      </w:pPr>
      <w:r w:rsidRPr="005F21D8">
        <w:rPr>
          <w:rFonts w:ascii="Tahoma" w:hAnsi="Tahoma" w:cs="Tahoma"/>
        </w:rPr>
        <w:tab/>
      </w:r>
      <w:r w:rsidR="00F30B70" w:rsidRPr="005F21D8">
        <w:rPr>
          <w:rFonts w:ascii="Tahoma" w:hAnsi="Tahoma" w:cs="Tahoma"/>
        </w:rPr>
        <w:t>Sostienen que el 4 de noviembre de 2016</w:t>
      </w:r>
      <w:r w:rsidR="00680796" w:rsidRPr="005F21D8">
        <w:rPr>
          <w:rFonts w:ascii="Tahoma" w:hAnsi="Tahoma" w:cs="Tahoma"/>
        </w:rPr>
        <w:t xml:space="preserve"> solicitaron ante Colpensiones el reconocimiento y pago de la pensión de sobrevivientes, sin haber obtenido respuesta alguna por parte de esa entidad.</w:t>
      </w:r>
    </w:p>
    <w:p w:rsidR="00DE2563" w:rsidRPr="005F21D8" w:rsidRDefault="00DE2563" w:rsidP="005F21D8">
      <w:pPr>
        <w:widowControl w:val="0"/>
        <w:autoSpaceDE w:val="0"/>
        <w:autoSpaceDN w:val="0"/>
        <w:adjustRightInd w:val="0"/>
        <w:spacing w:line="276" w:lineRule="auto"/>
        <w:ind w:firstLine="708"/>
        <w:jc w:val="both"/>
        <w:rPr>
          <w:rFonts w:ascii="Tahoma" w:hAnsi="Tahoma" w:cs="Tahoma"/>
        </w:rPr>
      </w:pPr>
    </w:p>
    <w:p w:rsidR="003A6759" w:rsidRPr="005F21D8" w:rsidRDefault="00680796" w:rsidP="005F21D8">
      <w:pPr>
        <w:widowControl w:val="0"/>
        <w:autoSpaceDE w:val="0"/>
        <w:autoSpaceDN w:val="0"/>
        <w:adjustRightInd w:val="0"/>
        <w:spacing w:line="276" w:lineRule="auto"/>
        <w:ind w:firstLine="708"/>
        <w:jc w:val="both"/>
        <w:rPr>
          <w:rFonts w:ascii="Tahoma" w:hAnsi="Tahoma" w:cs="Tahoma"/>
        </w:rPr>
      </w:pPr>
      <w:r w:rsidRPr="005F21D8">
        <w:rPr>
          <w:rFonts w:ascii="Tahoma" w:hAnsi="Tahoma" w:cs="Tahoma"/>
        </w:rPr>
        <w:t xml:space="preserve">Colpensiones se opuso a las pretensiones de quienes conforman la parte demandante dentro de la presente litis, proponiendo las excepciones de mérito denominadas “Inexistencia de la obligación y cobro de lo no debido”; “Buena fe”; “Imposibilidad jurídica para cumplir con las obligaciones pretendidas” y “Prescripción”. </w:t>
      </w:r>
    </w:p>
    <w:p w:rsidR="00680796" w:rsidRPr="005F21D8" w:rsidRDefault="00680796" w:rsidP="005F21D8">
      <w:pPr>
        <w:widowControl w:val="0"/>
        <w:autoSpaceDE w:val="0"/>
        <w:autoSpaceDN w:val="0"/>
        <w:adjustRightInd w:val="0"/>
        <w:spacing w:line="276" w:lineRule="auto"/>
        <w:ind w:firstLine="708"/>
        <w:jc w:val="both"/>
        <w:rPr>
          <w:rFonts w:ascii="Tahoma" w:hAnsi="Tahoma" w:cs="Tahoma"/>
        </w:rPr>
      </w:pPr>
    </w:p>
    <w:p w:rsidR="00680796" w:rsidRPr="005F21D8" w:rsidRDefault="000E3207" w:rsidP="005F21D8">
      <w:pPr>
        <w:widowControl w:val="0"/>
        <w:autoSpaceDE w:val="0"/>
        <w:autoSpaceDN w:val="0"/>
        <w:adjustRightInd w:val="0"/>
        <w:spacing w:line="276" w:lineRule="auto"/>
        <w:ind w:firstLine="708"/>
        <w:jc w:val="both"/>
        <w:rPr>
          <w:rFonts w:ascii="Tahoma" w:hAnsi="Tahoma" w:cs="Tahoma"/>
        </w:rPr>
      </w:pPr>
      <w:r w:rsidRPr="005F21D8">
        <w:rPr>
          <w:rFonts w:ascii="Tahoma" w:hAnsi="Tahoma" w:cs="Tahoma"/>
        </w:rPr>
        <w:t>Manifestó que no había a lugar a acceder a los pedidos de los demandantes en razón a que, al haber fallecido el señor Julio César Osorio el 8 de julio de 2015, el derecho pretendido estaba gobernado por el artículo 12 de la Ley 797 de 2003, que modificó el 46 de la Ley 797 de 2003, norma cuyos requisitos aquel no cumplía para haber dejado causado el derecho por cuanto no contaba con semanas cotizadas en los tres años anteriores al óbito.</w:t>
      </w:r>
    </w:p>
    <w:p w:rsidR="00747851" w:rsidRPr="005F21D8" w:rsidRDefault="00747851" w:rsidP="005F21D8">
      <w:pPr>
        <w:widowControl w:val="0"/>
        <w:autoSpaceDE w:val="0"/>
        <w:autoSpaceDN w:val="0"/>
        <w:adjustRightInd w:val="0"/>
        <w:spacing w:line="276" w:lineRule="auto"/>
        <w:ind w:firstLine="708"/>
        <w:jc w:val="both"/>
        <w:rPr>
          <w:rFonts w:ascii="Tahoma" w:hAnsi="Tahoma" w:cs="Tahoma"/>
        </w:rPr>
      </w:pPr>
    </w:p>
    <w:p w:rsidR="00DE2563" w:rsidRPr="005F21D8" w:rsidRDefault="00DE2563" w:rsidP="005F21D8">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5F21D8">
        <w:rPr>
          <w:rFonts w:ascii="Tahoma" w:hAnsi="Tahoma" w:cs="Tahoma"/>
          <w:b/>
        </w:rPr>
        <w:t>La sentencia de primera instancia</w:t>
      </w:r>
    </w:p>
    <w:p w:rsidR="00DE2563" w:rsidRPr="005F21D8" w:rsidRDefault="00DE2563" w:rsidP="005F21D8">
      <w:pPr>
        <w:widowControl w:val="0"/>
        <w:autoSpaceDE w:val="0"/>
        <w:autoSpaceDN w:val="0"/>
        <w:adjustRightInd w:val="0"/>
        <w:spacing w:line="276" w:lineRule="auto"/>
        <w:jc w:val="center"/>
        <w:rPr>
          <w:rFonts w:ascii="Tahoma" w:hAnsi="Tahoma" w:cs="Tahoma"/>
          <w:b/>
        </w:rPr>
      </w:pPr>
    </w:p>
    <w:p w:rsidR="0025244C" w:rsidRPr="005F21D8" w:rsidRDefault="00DE2563" w:rsidP="005F21D8">
      <w:pPr>
        <w:tabs>
          <w:tab w:val="left" w:pos="748"/>
        </w:tabs>
        <w:spacing w:line="276" w:lineRule="auto"/>
        <w:jc w:val="both"/>
        <w:rPr>
          <w:rFonts w:ascii="Tahoma" w:hAnsi="Tahoma" w:cs="Tahoma"/>
        </w:rPr>
      </w:pPr>
      <w:r w:rsidRPr="005F21D8">
        <w:rPr>
          <w:rFonts w:ascii="Tahoma" w:hAnsi="Tahoma" w:cs="Tahoma"/>
        </w:rPr>
        <w:tab/>
        <w:t xml:space="preserve">La Jueza de conocimiento </w:t>
      </w:r>
      <w:r w:rsidR="0025244C" w:rsidRPr="005F21D8">
        <w:rPr>
          <w:rFonts w:ascii="Tahoma" w:hAnsi="Tahoma" w:cs="Tahoma"/>
        </w:rPr>
        <w:t xml:space="preserve">absolvió a Colpensiones de la totalidad de las pretensiones incoadas en su contra por </w:t>
      </w:r>
      <w:r w:rsidR="000E3207" w:rsidRPr="005F21D8">
        <w:rPr>
          <w:rFonts w:ascii="Tahoma" w:hAnsi="Tahoma" w:cs="Tahoma"/>
        </w:rPr>
        <w:t>los demandantes</w:t>
      </w:r>
      <w:r w:rsidR="0025244C" w:rsidRPr="005F21D8">
        <w:rPr>
          <w:rFonts w:ascii="Tahoma" w:hAnsi="Tahoma" w:cs="Tahoma"/>
        </w:rPr>
        <w:t>, a quien</w:t>
      </w:r>
      <w:r w:rsidR="000E3207" w:rsidRPr="005F21D8">
        <w:rPr>
          <w:rFonts w:ascii="Tahoma" w:hAnsi="Tahoma" w:cs="Tahoma"/>
        </w:rPr>
        <w:t>es</w:t>
      </w:r>
      <w:r w:rsidR="0025244C" w:rsidRPr="005F21D8">
        <w:rPr>
          <w:rFonts w:ascii="Tahoma" w:hAnsi="Tahoma" w:cs="Tahoma"/>
        </w:rPr>
        <w:t xml:space="preserve"> condenó a</w:t>
      </w:r>
      <w:r w:rsidR="007577BC" w:rsidRPr="005F21D8">
        <w:rPr>
          <w:rFonts w:ascii="Tahoma" w:hAnsi="Tahoma" w:cs="Tahoma"/>
        </w:rPr>
        <w:t>l pago de las costas procesales.</w:t>
      </w:r>
    </w:p>
    <w:p w:rsidR="0025244C" w:rsidRPr="005F21D8" w:rsidRDefault="0025244C" w:rsidP="005F21D8">
      <w:pPr>
        <w:tabs>
          <w:tab w:val="left" w:pos="748"/>
        </w:tabs>
        <w:spacing w:line="276" w:lineRule="auto"/>
        <w:jc w:val="both"/>
        <w:rPr>
          <w:rFonts w:ascii="Tahoma" w:hAnsi="Tahoma" w:cs="Tahoma"/>
        </w:rPr>
      </w:pPr>
    </w:p>
    <w:p w:rsidR="0025244C" w:rsidRPr="005F21D8" w:rsidRDefault="0025244C" w:rsidP="005F21D8">
      <w:pPr>
        <w:tabs>
          <w:tab w:val="left" w:pos="748"/>
        </w:tabs>
        <w:spacing w:line="276" w:lineRule="auto"/>
        <w:jc w:val="both"/>
        <w:rPr>
          <w:rFonts w:ascii="Tahoma" w:hAnsi="Tahoma" w:cs="Tahoma"/>
        </w:rPr>
      </w:pPr>
      <w:r w:rsidRPr="005F21D8">
        <w:rPr>
          <w:rFonts w:ascii="Tahoma" w:hAnsi="Tahoma" w:cs="Tahoma"/>
        </w:rPr>
        <w:tab/>
        <w:t xml:space="preserve">Para llegar a tal determinación la A-quo consideró, en síntesis, que </w:t>
      </w:r>
      <w:r w:rsidR="000E3207" w:rsidRPr="005F21D8">
        <w:rPr>
          <w:rFonts w:ascii="Tahoma" w:hAnsi="Tahoma" w:cs="Tahoma"/>
        </w:rPr>
        <w:t xml:space="preserve">el señor Julio César </w:t>
      </w:r>
      <w:r w:rsidR="009D2411" w:rsidRPr="005F21D8">
        <w:rPr>
          <w:rFonts w:ascii="Tahoma" w:hAnsi="Tahoma" w:cs="Tahoma"/>
        </w:rPr>
        <w:t xml:space="preserve">Osorio, esposo y padre de los demandantes, </w:t>
      </w:r>
      <w:r w:rsidR="0040487E" w:rsidRPr="005F21D8">
        <w:rPr>
          <w:rFonts w:ascii="Tahoma" w:hAnsi="Tahoma" w:cs="Tahoma"/>
        </w:rPr>
        <w:t xml:space="preserve">no dejó causada </w:t>
      </w:r>
      <w:r w:rsidR="009D2411" w:rsidRPr="005F21D8">
        <w:rPr>
          <w:rFonts w:ascii="Tahoma" w:hAnsi="Tahoma" w:cs="Tahoma"/>
        </w:rPr>
        <w:t xml:space="preserve">la pensión </w:t>
      </w:r>
      <w:r w:rsidR="009D2411" w:rsidRPr="005F21D8">
        <w:rPr>
          <w:rFonts w:ascii="Tahoma" w:hAnsi="Tahoma" w:cs="Tahoma"/>
        </w:rPr>
        <w:lastRenderedPageBreak/>
        <w:t xml:space="preserve">de sobrevivientes por cuanto </w:t>
      </w:r>
      <w:r w:rsidR="0040487E" w:rsidRPr="005F21D8">
        <w:rPr>
          <w:rFonts w:ascii="Tahoma" w:hAnsi="Tahoma" w:cs="Tahoma"/>
        </w:rPr>
        <w:t xml:space="preserve">carecía de las 50 semanas exigidas en la Ley 797 de 2003 en </w:t>
      </w:r>
      <w:r w:rsidR="007577BC" w:rsidRPr="005F21D8">
        <w:rPr>
          <w:rFonts w:ascii="Tahoma" w:hAnsi="Tahoma" w:cs="Tahoma"/>
        </w:rPr>
        <w:t xml:space="preserve">los tres </w:t>
      </w:r>
      <w:r w:rsidR="0040487E" w:rsidRPr="005F21D8">
        <w:rPr>
          <w:rFonts w:ascii="Tahoma" w:hAnsi="Tahoma" w:cs="Tahoma"/>
        </w:rPr>
        <w:t>año</w:t>
      </w:r>
      <w:r w:rsidR="007577BC" w:rsidRPr="005F21D8">
        <w:rPr>
          <w:rFonts w:ascii="Tahoma" w:hAnsi="Tahoma" w:cs="Tahoma"/>
        </w:rPr>
        <w:t>s</w:t>
      </w:r>
      <w:r w:rsidR="0040487E" w:rsidRPr="005F21D8">
        <w:rPr>
          <w:rFonts w:ascii="Tahoma" w:hAnsi="Tahoma" w:cs="Tahoma"/>
        </w:rPr>
        <w:t xml:space="preserve"> anterior</w:t>
      </w:r>
      <w:r w:rsidR="007577BC" w:rsidRPr="005F21D8">
        <w:rPr>
          <w:rFonts w:ascii="Tahoma" w:hAnsi="Tahoma" w:cs="Tahoma"/>
        </w:rPr>
        <w:t>es</w:t>
      </w:r>
      <w:r w:rsidR="0040487E" w:rsidRPr="005F21D8">
        <w:rPr>
          <w:rFonts w:ascii="Tahoma" w:hAnsi="Tahoma" w:cs="Tahoma"/>
        </w:rPr>
        <w:t xml:space="preserve"> a su deceso y, además, al no haber fallecido en los tres años siguientes a la entrada </w:t>
      </w:r>
      <w:r w:rsidR="00A16C0B" w:rsidRPr="005F21D8">
        <w:rPr>
          <w:rFonts w:ascii="Tahoma" w:hAnsi="Tahoma" w:cs="Tahoma"/>
        </w:rPr>
        <w:t xml:space="preserve">en vigencia de dicha normativa no era posible remitirse al contenido de la Ley 100 de 1993, en su redacción original, en virtud del principio de la condición más beneficiosa, </w:t>
      </w:r>
      <w:r w:rsidR="007577BC" w:rsidRPr="005F21D8">
        <w:rPr>
          <w:rFonts w:ascii="Tahoma" w:hAnsi="Tahoma" w:cs="Tahoma"/>
        </w:rPr>
        <w:t xml:space="preserve">de </w:t>
      </w:r>
      <w:r w:rsidR="00A16C0B" w:rsidRPr="005F21D8">
        <w:rPr>
          <w:rFonts w:ascii="Tahoma" w:hAnsi="Tahoma" w:cs="Tahoma"/>
        </w:rPr>
        <w:t>acuerdo con la jurisprudencia de la Sala de Casación Laboral de la Corte Suprema de Justicia, entidad que además ha indicado que no es dable realizar una búsqueda histórica de normas hasta encontrar una que se ajuste a los presupuestos de cada caso concreto.</w:t>
      </w:r>
    </w:p>
    <w:p w:rsidR="002C2D6E" w:rsidRPr="005F21D8" w:rsidRDefault="002C2D6E" w:rsidP="005F21D8">
      <w:pPr>
        <w:tabs>
          <w:tab w:val="left" w:pos="748"/>
        </w:tabs>
        <w:spacing w:line="276" w:lineRule="auto"/>
        <w:jc w:val="both"/>
        <w:rPr>
          <w:rFonts w:ascii="Tahoma" w:hAnsi="Tahoma" w:cs="Tahoma"/>
        </w:rPr>
      </w:pPr>
    </w:p>
    <w:p w:rsidR="00DE2563" w:rsidRPr="005F21D8" w:rsidRDefault="00512171" w:rsidP="005F21D8">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sidRPr="005F21D8">
        <w:rPr>
          <w:rFonts w:ascii="Tahoma" w:hAnsi="Tahoma" w:cs="Tahoma"/>
          <w:b/>
        </w:rPr>
        <w:t>Recurso de apelación</w:t>
      </w:r>
    </w:p>
    <w:p w:rsidR="00DE2563" w:rsidRPr="005F21D8" w:rsidRDefault="00DE2563" w:rsidP="005F21D8">
      <w:pPr>
        <w:pStyle w:val="Sinespaciado"/>
        <w:spacing w:line="276" w:lineRule="auto"/>
        <w:rPr>
          <w:rFonts w:ascii="Tahoma" w:hAnsi="Tahoma" w:cs="Tahoma"/>
        </w:rPr>
      </w:pPr>
    </w:p>
    <w:p w:rsidR="00512171" w:rsidRPr="005F21D8" w:rsidRDefault="00512171" w:rsidP="005F21D8">
      <w:pPr>
        <w:pStyle w:val="Sangradetextonormal"/>
        <w:spacing w:line="276" w:lineRule="auto"/>
        <w:ind w:firstLine="561"/>
      </w:pPr>
      <w:r w:rsidRPr="005F21D8">
        <w:t xml:space="preserve">La apoderada judicial de la </w:t>
      </w:r>
      <w:r w:rsidR="009D2411" w:rsidRPr="005F21D8">
        <w:t xml:space="preserve">señora </w:t>
      </w:r>
      <w:proofErr w:type="spellStart"/>
      <w:r w:rsidR="004B6D5F" w:rsidRPr="005F21D8">
        <w:t>Janneth</w:t>
      </w:r>
      <w:proofErr w:type="spellEnd"/>
      <w:r w:rsidR="004B6D5F" w:rsidRPr="005F21D8">
        <w:t xml:space="preserve"> Toro </w:t>
      </w:r>
      <w:r w:rsidRPr="005F21D8">
        <w:t xml:space="preserve">apeló la decisión alegando que debía concederse la pensión de sobrevivientes a su prohijada </w:t>
      </w:r>
      <w:r w:rsidR="00962F52" w:rsidRPr="005F21D8">
        <w:t xml:space="preserve">en aplicación del Acuerdo 049 de 1990 y </w:t>
      </w:r>
      <w:r w:rsidRPr="005F21D8">
        <w:t xml:space="preserve">en virtud del principio de la condición más beneficiosa, de conformidad con el precedente </w:t>
      </w:r>
      <w:r w:rsidR="007577BC" w:rsidRPr="005F21D8">
        <w:t>sentado por</w:t>
      </w:r>
      <w:r w:rsidRPr="005F21D8">
        <w:t xml:space="preserve"> </w:t>
      </w:r>
      <w:r w:rsidR="00FD65FF" w:rsidRPr="005F21D8">
        <w:t>la Corte Constitucional en la sentencia SU-</w:t>
      </w:r>
      <w:r w:rsidR="009D2411" w:rsidRPr="005F21D8">
        <w:t>442 de 2016</w:t>
      </w:r>
      <w:r w:rsidR="00962F52" w:rsidRPr="005F21D8">
        <w:t xml:space="preserve">, pues el causante dejó acreditadas más de 300 semanas antes de la entrada en vigencia de la Ley 100 de 1993 y está demostrada la convivencia. </w:t>
      </w:r>
    </w:p>
    <w:p w:rsidR="00962F52" w:rsidRPr="005F21D8" w:rsidRDefault="00962F52" w:rsidP="005F21D8">
      <w:pPr>
        <w:pStyle w:val="Sangradetextonormal"/>
        <w:spacing w:line="276" w:lineRule="auto"/>
        <w:ind w:firstLine="561"/>
      </w:pPr>
    </w:p>
    <w:p w:rsidR="00962F52" w:rsidRPr="005F21D8" w:rsidRDefault="00962F52" w:rsidP="005F21D8">
      <w:pPr>
        <w:pStyle w:val="Sangradetextonormal"/>
        <w:spacing w:line="276" w:lineRule="auto"/>
        <w:ind w:firstLine="561"/>
      </w:pPr>
      <w:r w:rsidRPr="005F21D8">
        <w:t>Por su parte, la apoderada de los intervinientes ad-</w:t>
      </w:r>
      <w:proofErr w:type="spellStart"/>
      <w:r w:rsidRPr="005F21D8">
        <w:t>excludendum</w:t>
      </w:r>
      <w:proofErr w:type="spellEnd"/>
      <w:r w:rsidRPr="005F21D8">
        <w:t xml:space="preserve"> atacó la sentencia arguyendo que este Tribunal ha sostenido que es posible acudir al régimen anterior al contemplado en la Ley 100 de 1993</w:t>
      </w:r>
      <w:r w:rsidR="001D7B4A" w:rsidRPr="005F21D8">
        <w:t xml:space="preserve"> siempre que se hayan cumplido las exigencias en él contempladas, en este caso el Acuerdo 049 de 1990</w:t>
      </w:r>
      <w:r w:rsidRPr="005F21D8">
        <w:t xml:space="preserve">, con el fin de salvaguardar las expectativas legítimas de los afiliados, por lo que el precedente invocado por la A-quo pone en riesgo </w:t>
      </w:r>
      <w:r w:rsidR="001D7B4A" w:rsidRPr="005F21D8">
        <w:t>a sus prohijados y contradice los criterios establecidos por la Corte Constitucional y en tratados internacionales</w:t>
      </w:r>
      <w:r w:rsidRPr="005F21D8">
        <w:t xml:space="preserve"> </w:t>
      </w:r>
      <w:r w:rsidR="001D7B4A" w:rsidRPr="005F21D8">
        <w:t>ratificados por Colombia.</w:t>
      </w:r>
    </w:p>
    <w:p w:rsidR="001D7B4A" w:rsidRPr="005F21D8" w:rsidRDefault="001D7B4A" w:rsidP="005F21D8">
      <w:pPr>
        <w:pStyle w:val="Sangradetextonormal"/>
        <w:spacing w:line="276" w:lineRule="auto"/>
        <w:ind w:firstLine="561"/>
      </w:pPr>
    </w:p>
    <w:p w:rsidR="001D7B4A" w:rsidRPr="005F21D8" w:rsidRDefault="001D7B4A" w:rsidP="005F21D8">
      <w:pPr>
        <w:pStyle w:val="Sangradetextonormal"/>
        <w:spacing w:line="276" w:lineRule="auto"/>
        <w:ind w:firstLine="561"/>
      </w:pPr>
      <w:r w:rsidRPr="005F21D8">
        <w:t>Añadió que en el caso de marras se dan los presupuestos establecidos en el test de proporcionalidad que estableció la sentencia SU-005 de 2018, pues la señora Toro Gómez pertenece a un grupo de especial protección constitucional por su edad y por su situación económica, ya que dependía de la ayuda que le proporcionaba su esposo.</w:t>
      </w:r>
    </w:p>
    <w:p w:rsidR="00F828CD" w:rsidRPr="005F21D8" w:rsidRDefault="00F828CD" w:rsidP="005F21D8">
      <w:pPr>
        <w:widowControl w:val="0"/>
        <w:autoSpaceDE w:val="0"/>
        <w:autoSpaceDN w:val="0"/>
        <w:adjustRightInd w:val="0"/>
        <w:spacing w:line="276" w:lineRule="auto"/>
        <w:ind w:firstLine="708"/>
        <w:jc w:val="both"/>
        <w:rPr>
          <w:rFonts w:ascii="Tahoma" w:hAnsi="Tahoma" w:cs="Tahoma"/>
          <w:caps/>
        </w:rPr>
      </w:pPr>
    </w:p>
    <w:p w:rsidR="00794C40" w:rsidRPr="005F21D8" w:rsidRDefault="00794C40" w:rsidP="005F21D8">
      <w:pPr>
        <w:pStyle w:val="Prrafodelista"/>
        <w:widowControl w:val="0"/>
        <w:numPr>
          <w:ilvl w:val="0"/>
          <w:numId w:val="1"/>
        </w:numPr>
        <w:autoSpaceDE w:val="0"/>
        <w:autoSpaceDN w:val="0"/>
        <w:adjustRightInd w:val="0"/>
        <w:spacing w:line="276" w:lineRule="auto"/>
        <w:jc w:val="center"/>
        <w:rPr>
          <w:rFonts w:ascii="Tahoma" w:hAnsi="Tahoma" w:cs="Tahoma"/>
          <w:b/>
          <w:caps/>
        </w:rPr>
      </w:pPr>
      <w:r w:rsidRPr="005F21D8">
        <w:rPr>
          <w:rFonts w:ascii="Tahoma" w:hAnsi="Tahoma" w:cs="Tahoma"/>
          <w:b/>
        </w:rPr>
        <w:t>Alegatos de conclusión</w:t>
      </w:r>
    </w:p>
    <w:p w:rsidR="00794C40" w:rsidRPr="005F21D8" w:rsidRDefault="00794C40" w:rsidP="005F21D8">
      <w:pPr>
        <w:widowControl w:val="0"/>
        <w:autoSpaceDE w:val="0"/>
        <w:autoSpaceDN w:val="0"/>
        <w:adjustRightInd w:val="0"/>
        <w:spacing w:line="276" w:lineRule="auto"/>
        <w:jc w:val="both"/>
        <w:rPr>
          <w:rFonts w:ascii="Tahoma" w:hAnsi="Tahoma" w:cs="Tahoma"/>
        </w:rPr>
      </w:pPr>
    </w:p>
    <w:p w:rsidR="00794C40" w:rsidRPr="005F21D8" w:rsidRDefault="00794C40" w:rsidP="005F21D8">
      <w:pPr>
        <w:spacing w:line="276" w:lineRule="auto"/>
        <w:ind w:firstLine="708"/>
        <w:jc w:val="both"/>
        <w:rPr>
          <w:rFonts w:ascii="Tahoma" w:hAnsi="Tahoma" w:cs="Tahoma"/>
          <w:lang w:val="es-ES_tradnl"/>
        </w:rPr>
      </w:pPr>
      <w:r w:rsidRPr="005F21D8">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794C40" w:rsidRPr="005F21D8" w:rsidRDefault="00794C40" w:rsidP="005F21D8">
      <w:pPr>
        <w:widowControl w:val="0"/>
        <w:autoSpaceDE w:val="0"/>
        <w:autoSpaceDN w:val="0"/>
        <w:adjustRightInd w:val="0"/>
        <w:spacing w:line="276" w:lineRule="auto"/>
        <w:ind w:firstLine="708"/>
        <w:jc w:val="both"/>
        <w:rPr>
          <w:rFonts w:ascii="Tahoma" w:hAnsi="Tahoma" w:cs="Tahoma"/>
          <w:caps/>
        </w:rPr>
      </w:pPr>
    </w:p>
    <w:p w:rsidR="00F828CD" w:rsidRPr="005F21D8" w:rsidRDefault="00F828CD" w:rsidP="005F21D8">
      <w:pPr>
        <w:widowControl w:val="0"/>
        <w:autoSpaceDE w:val="0"/>
        <w:autoSpaceDN w:val="0"/>
        <w:adjustRightInd w:val="0"/>
        <w:spacing w:line="276" w:lineRule="auto"/>
        <w:jc w:val="center"/>
        <w:rPr>
          <w:rFonts w:ascii="Tahoma" w:hAnsi="Tahoma" w:cs="Tahoma"/>
          <w:b/>
          <w:caps/>
        </w:rPr>
      </w:pPr>
      <w:r w:rsidRPr="005F21D8">
        <w:rPr>
          <w:rFonts w:ascii="Tahoma" w:hAnsi="Tahoma" w:cs="Tahoma"/>
          <w:b/>
          <w:caps/>
        </w:rPr>
        <w:t>RECESO</w:t>
      </w:r>
    </w:p>
    <w:p w:rsidR="00F828CD" w:rsidRPr="005F21D8" w:rsidRDefault="00F828CD" w:rsidP="005F21D8">
      <w:pPr>
        <w:widowControl w:val="0"/>
        <w:autoSpaceDE w:val="0"/>
        <w:autoSpaceDN w:val="0"/>
        <w:adjustRightInd w:val="0"/>
        <w:spacing w:line="276" w:lineRule="auto"/>
        <w:ind w:firstLine="708"/>
        <w:jc w:val="center"/>
        <w:rPr>
          <w:rFonts w:ascii="Tahoma" w:hAnsi="Tahoma" w:cs="Tahoma"/>
          <w:b/>
          <w:caps/>
        </w:rPr>
      </w:pPr>
    </w:p>
    <w:p w:rsidR="00F828CD" w:rsidRPr="005F21D8" w:rsidRDefault="00F828CD" w:rsidP="005F21D8">
      <w:pPr>
        <w:widowControl w:val="0"/>
        <w:autoSpaceDE w:val="0"/>
        <w:autoSpaceDN w:val="0"/>
        <w:adjustRightInd w:val="0"/>
        <w:spacing w:line="276" w:lineRule="auto"/>
        <w:jc w:val="both"/>
        <w:rPr>
          <w:rFonts w:ascii="Tahoma" w:hAnsi="Tahoma" w:cs="Tahoma"/>
          <w:b/>
          <w:caps/>
        </w:rPr>
      </w:pPr>
      <w:r w:rsidRPr="005F21D8">
        <w:rPr>
          <w:rFonts w:ascii="Tahoma" w:hAnsi="Tahoma" w:cs="Tahoma"/>
          <w:b/>
          <w:caps/>
        </w:rPr>
        <w:t xml:space="preserve">se deja CONSTANCIA DE QUE NO SE AVALÓ EL PROYECTO Y se CEDE USO DE PALABRA A LA DRA. OLGA LUCIA HOYOS, </w:t>
      </w:r>
      <w:r w:rsidR="00001C4E" w:rsidRPr="005F21D8">
        <w:rPr>
          <w:rFonts w:ascii="Tahoma" w:hAnsi="Tahoma" w:cs="Tahoma"/>
          <w:b/>
          <w:caps/>
        </w:rPr>
        <w:t xml:space="preserve">A </w:t>
      </w:r>
      <w:r w:rsidRPr="005F21D8">
        <w:rPr>
          <w:rFonts w:ascii="Tahoma" w:hAnsi="Tahoma" w:cs="Tahoma"/>
          <w:b/>
          <w:caps/>
        </w:rPr>
        <w:t>QUIEN</w:t>
      </w:r>
      <w:r w:rsidR="00001C4E" w:rsidRPr="005F21D8">
        <w:rPr>
          <w:rFonts w:ascii="Tahoma" w:hAnsi="Tahoma" w:cs="Tahoma"/>
          <w:b/>
          <w:caps/>
        </w:rPr>
        <w:t>,</w:t>
      </w:r>
      <w:r w:rsidRPr="005F21D8">
        <w:rPr>
          <w:rFonts w:ascii="Tahoma" w:hAnsi="Tahoma" w:cs="Tahoma"/>
          <w:b/>
          <w:caps/>
        </w:rPr>
        <w:t xml:space="preserve"> POR SEGUIR EN TURNO</w:t>
      </w:r>
      <w:r w:rsidR="00001C4E" w:rsidRPr="005F21D8">
        <w:rPr>
          <w:rFonts w:ascii="Tahoma" w:hAnsi="Tahoma" w:cs="Tahoma"/>
          <w:b/>
          <w:caps/>
        </w:rPr>
        <w:t>,</w:t>
      </w:r>
      <w:r w:rsidRPr="005F21D8">
        <w:rPr>
          <w:rFonts w:ascii="Tahoma" w:hAnsi="Tahoma" w:cs="Tahoma"/>
          <w:b/>
          <w:caps/>
        </w:rPr>
        <w:t xml:space="preserve"> LE CORRESPONDE EMITIR LA SENTENCIA CON LA TESIS MAYORITARIA</w:t>
      </w:r>
    </w:p>
    <w:p w:rsidR="00F828CD" w:rsidRPr="005F21D8" w:rsidRDefault="00E14A2F" w:rsidP="004E5AA1">
      <w:pPr>
        <w:widowControl w:val="0"/>
        <w:autoSpaceDE w:val="0"/>
        <w:autoSpaceDN w:val="0"/>
        <w:adjustRightInd w:val="0"/>
        <w:spacing w:line="276" w:lineRule="auto"/>
        <w:jc w:val="center"/>
        <w:rPr>
          <w:rFonts w:ascii="Tahoma" w:hAnsi="Tahoma" w:cs="Tahoma"/>
          <w:caps/>
        </w:rPr>
      </w:pPr>
      <w:r w:rsidRPr="005F21D8">
        <w:rPr>
          <w:rFonts w:ascii="Tahoma" w:hAnsi="Tahoma" w:cs="Tahoma"/>
          <w:caps/>
        </w:rPr>
        <w:t>-----------------------------------------------------------------------------------------------------</w:t>
      </w:r>
    </w:p>
    <w:p w:rsidR="008A3148" w:rsidRPr="005F21D8" w:rsidRDefault="008A3148" w:rsidP="005F21D8">
      <w:pPr>
        <w:spacing w:line="276" w:lineRule="auto"/>
        <w:rPr>
          <w:rFonts w:ascii="Tahoma" w:hAnsi="Tahoma" w:cs="Tahoma"/>
          <w:b/>
        </w:rPr>
      </w:pPr>
    </w:p>
    <w:p w:rsidR="008A3148" w:rsidRPr="005F21D8" w:rsidRDefault="008A3148" w:rsidP="005F21D8">
      <w:pPr>
        <w:pStyle w:val="Prrafodelista"/>
        <w:numPr>
          <w:ilvl w:val="0"/>
          <w:numId w:val="1"/>
        </w:numPr>
        <w:spacing w:line="276" w:lineRule="auto"/>
        <w:jc w:val="center"/>
        <w:rPr>
          <w:rFonts w:ascii="Tahoma" w:hAnsi="Tahoma" w:cs="Tahoma"/>
          <w:b/>
        </w:rPr>
      </w:pPr>
      <w:r w:rsidRPr="005F21D8">
        <w:rPr>
          <w:rFonts w:ascii="Tahoma" w:hAnsi="Tahoma" w:cs="Tahoma"/>
          <w:b/>
        </w:rPr>
        <w:t>CONSIDERACIONES</w:t>
      </w:r>
    </w:p>
    <w:p w:rsidR="008A3148" w:rsidRPr="005F21D8" w:rsidRDefault="008A3148" w:rsidP="005F21D8">
      <w:pPr>
        <w:tabs>
          <w:tab w:val="left" w:pos="5197"/>
        </w:tabs>
        <w:spacing w:line="276" w:lineRule="auto"/>
        <w:jc w:val="both"/>
        <w:rPr>
          <w:rFonts w:ascii="Tahoma" w:hAnsi="Tahoma" w:cs="Tahoma"/>
          <w:b/>
        </w:rPr>
      </w:pPr>
    </w:p>
    <w:p w:rsidR="009122FA" w:rsidRPr="005F21D8" w:rsidRDefault="009122FA" w:rsidP="005F21D8">
      <w:pPr>
        <w:pStyle w:val="Textoindependiente"/>
        <w:spacing w:after="0" w:line="276" w:lineRule="auto"/>
        <w:contextualSpacing/>
        <w:jc w:val="both"/>
        <w:rPr>
          <w:rFonts w:ascii="Tahoma" w:hAnsi="Tahoma" w:cs="Tahoma"/>
          <w:b/>
        </w:rPr>
      </w:pPr>
      <w:r w:rsidRPr="005F21D8">
        <w:rPr>
          <w:rFonts w:ascii="Tahoma" w:hAnsi="Tahoma" w:cs="Tahoma"/>
          <w:b/>
        </w:rPr>
        <w:t>5</w:t>
      </w:r>
      <w:r w:rsidR="008A3148" w:rsidRPr="005F21D8">
        <w:rPr>
          <w:rFonts w:ascii="Tahoma" w:hAnsi="Tahoma" w:cs="Tahoma"/>
          <w:b/>
        </w:rPr>
        <w:t xml:space="preserve">.1. </w:t>
      </w:r>
      <w:r w:rsidRPr="005F21D8">
        <w:rPr>
          <w:rFonts w:ascii="Tahoma" w:hAnsi="Tahoma" w:cs="Tahoma"/>
          <w:b/>
        </w:rPr>
        <w:t>Problema jurídico por resolver</w:t>
      </w:r>
    </w:p>
    <w:p w:rsidR="009122FA" w:rsidRPr="005F21D8" w:rsidRDefault="009122FA" w:rsidP="005F21D8">
      <w:pPr>
        <w:pStyle w:val="Textoindependiente"/>
        <w:spacing w:after="0" w:line="276" w:lineRule="auto"/>
        <w:contextualSpacing/>
        <w:jc w:val="both"/>
        <w:rPr>
          <w:rFonts w:ascii="Tahoma" w:hAnsi="Tahoma" w:cs="Tahoma"/>
        </w:rPr>
      </w:pPr>
    </w:p>
    <w:p w:rsidR="009122FA" w:rsidRPr="005F21D8" w:rsidRDefault="007F26A7" w:rsidP="005F21D8">
      <w:pPr>
        <w:pStyle w:val="Textoindependiente"/>
        <w:spacing w:after="0" w:line="276" w:lineRule="auto"/>
        <w:contextualSpacing/>
        <w:jc w:val="both"/>
        <w:rPr>
          <w:rFonts w:ascii="Tahoma" w:hAnsi="Tahoma" w:cs="Tahoma"/>
        </w:rPr>
      </w:pPr>
      <w:r w:rsidRPr="005F21D8">
        <w:rPr>
          <w:rFonts w:ascii="Tahoma" w:hAnsi="Tahoma" w:cs="Tahoma"/>
        </w:rPr>
        <w:t>¿Dejó causada la pensión de sobrevivientes el señor Julio César Osorio Castaño en virtud de la condición más beneficiosa?</w:t>
      </w:r>
    </w:p>
    <w:p w:rsidR="009122FA" w:rsidRPr="005F21D8" w:rsidRDefault="009122FA" w:rsidP="005F21D8">
      <w:pPr>
        <w:pStyle w:val="Textoindependiente"/>
        <w:spacing w:after="0" w:line="276" w:lineRule="auto"/>
        <w:contextualSpacing/>
        <w:jc w:val="both"/>
        <w:rPr>
          <w:rFonts w:ascii="Tahoma" w:hAnsi="Tahoma" w:cs="Tahoma"/>
        </w:rPr>
      </w:pPr>
    </w:p>
    <w:p w:rsidR="008A3148" w:rsidRPr="005F21D8" w:rsidRDefault="009122FA" w:rsidP="005F21D8">
      <w:pPr>
        <w:pStyle w:val="Textoindependiente"/>
        <w:spacing w:after="0" w:line="276" w:lineRule="auto"/>
        <w:contextualSpacing/>
        <w:jc w:val="both"/>
        <w:rPr>
          <w:rFonts w:ascii="Tahoma" w:hAnsi="Tahoma" w:cs="Tahoma"/>
        </w:rPr>
      </w:pPr>
      <w:r w:rsidRPr="005F21D8">
        <w:rPr>
          <w:rFonts w:ascii="Tahoma" w:hAnsi="Tahoma" w:cs="Tahoma"/>
        </w:rPr>
        <w:t xml:space="preserve">5.2 </w:t>
      </w:r>
      <w:r w:rsidR="008A3148" w:rsidRPr="005F21D8">
        <w:rPr>
          <w:rFonts w:ascii="Tahoma" w:hAnsi="Tahoma" w:cs="Tahoma"/>
        </w:rPr>
        <w:t xml:space="preserve">Se encuentra acreditado con el registro civil de defunción que el señor </w:t>
      </w:r>
      <w:r w:rsidRPr="005F21D8">
        <w:rPr>
          <w:rFonts w:ascii="Tahoma" w:hAnsi="Tahoma" w:cs="Tahoma"/>
        </w:rPr>
        <w:t xml:space="preserve">Julio César Osorio Castaño </w:t>
      </w:r>
      <w:r w:rsidR="008A3148" w:rsidRPr="005F21D8">
        <w:rPr>
          <w:rFonts w:ascii="Tahoma" w:hAnsi="Tahoma" w:cs="Tahoma"/>
        </w:rPr>
        <w:t xml:space="preserve">falleció el día </w:t>
      </w:r>
      <w:r w:rsidRPr="005F21D8">
        <w:rPr>
          <w:rFonts w:ascii="Tahoma" w:hAnsi="Tahoma" w:cs="Tahoma"/>
        </w:rPr>
        <w:t>08</w:t>
      </w:r>
      <w:r w:rsidR="008A3148" w:rsidRPr="005F21D8">
        <w:rPr>
          <w:rFonts w:ascii="Tahoma" w:hAnsi="Tahoma" w:cs="Tahoma"/>
        </w:rPr>
        <w:t>-</w:t>
      </w:r>
      <w:r w:rsidRPr="005F21D8">
        <w:rPr>
          <w:rFonts w:ascii="Tahoma" w:hAnsi="Tahoma" w:cs="Tahoma"/>
        </w:rPr>
        <w:t>07</w:t>
      </w:r>
      <w:r w:rsidR="008A3148" w:rsidRPr="005F21D8">
        <w:rPr>
          <w:rFonts w:ascii="Tahoma" w:hAnsi="Tahoma" w:cs="Tahoma"/>
        </w:rPr>
        <w:t>-2015 (</w:t>
      </w:r>
      <w:proofErr w:type="spellStart"/>
      <w:r w:rsidR="008A3148" w:rsidRPr="005F21D8">
        <w:rPr>
          <w:rFonts w:ascii="Tahoma" w:hAnsi="Tahoma" w:cs="Tahoma"/>
        </w:rPr>
        <w:t>fl</w:t>
      </w:r>
      <w:proofErr w:type="spellEnd"/>
      <w:r w:rsidR="008A3148" w:rsidRPr="005F21D8">
        <w:rPr>
          <w:rFonts w:ascii="Tahoma" w:hAnsi="Tahoma" w:cs="Tahoma"/>
        </w:rPr>
        <w:t>. 2</w:t>
      </w:r>
      <w:r w:rsidRPr="005F21D8">
        <w:rPr>
          <w:rFonts w:ascii="Tahoma" w:hAnsi="Tahoma" w:cs="Tahoma"/>
        </w:rPr>
        <w:t>0</w:t>
      </w:r>
      <w:r w:rsidR="008A3148" w:rsidRPr="005F21D8">
        <w:rPr>
          <w:rFonts w:ascii="Tahoma" w:hAnsi="Tahoma" w:cs="Tahoma"/>
        </w:rPr>
        <w:t xml:space="preserve"> c.1),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8A3148" w:rsidRPr="005F21D8" w:rsidRDefault="008A3148" w:rsidP="005F21D8">
      <w:pPr>
        <w:pStyle w:val="Textoindependiente"/>
        <w:spacing w:after="0" w:line="276" w:lineRule="auto"/>
        <w:contextualSpacing/>
        <w:rPr>
          <w:rFonts w:ascii="Tahoma" w:hAnsi="Tahoma" w:cs="Tahoma"/>
        </w:rPr>
      </w:pPr>
    </w:p>
    <w:p w:rsidR="008A3148" w:rsidRPr="005F21D8" w:rsidRDefault="008A3148" w:rsidP="005F21D8">
      <w:pPr>
        <w:autoSpaceDE w:val="0"/>
        <w:autoSpaceDN w:val="0"/>
        <w:adjustRightInd w:val="0"/>
        <w:spacing w:line="276" w:lineRule="auto"/>
        <w:contextualSpacing/>
        <w:jc w:val="both"/>
        <w:rPr>
          <w:rFonts w:ascii="Tahoma" w:hAnsi="Tahoma" w:cs="Tahoma"/>
        </w:rPr>
      </w:pPr>
      <w:r w:rsidRPr="005F21D8">
        <w:rPr>
          <w:rFonts w:ascii="Tahoma" w:hAnsi="Tahoma" w:cs="Tahoma"/>
        </w:rPr>
        <w:t>Al revisar la historia laboral del afiliado (</w:t>
      </w:r>
      <w:proofErr w:type="spellStart"/>
      <w:r w:rsidRPr="005F21D8">
        <w:rPr>
          <w:rFonts w:ascii="Tahoma" w:hAnsi="Tahoma" w:cs="Tahoma"/>
        </w:rPr>
        <w:t>fl</w:t>
      </w:r>
      <w:proofErr w:type="spellEnd"/>
      <w:r w:rsidRPr="005F21D8">
        <w:rPr>
          <w:rFonts w:ascii="Tahoma" w:hAnsi="Tahoma" w:cs="Tahoma"/>
        </w:rPr>
        <w:t>. 2</w:t>
      </w:r>
      <w:r w:rsidR="009122FA" w:rsidRPr="005F21D8">
        <w:rPr>
          <w:rFonts w:ascii="Tahoma" w:hAnsi="Tahoma" w:cs="Tahoma"/>
        </w:rPr>
        <w:t>1</w:t>
      </w:r>
      <w:r w:rsidRPr="005F21D8">
        <w:rPr>
          <w:rFonts w:ascii="Tahoma" w:hAnsi="Tahoma" w:cs="Tahoma"/>
        </w:rPr>
        <w:t xml:space="preserve"> c. 1) se tiene que entre la fecha de la muerte </w:t>
      </w:r>
      <w:r w:rsidR="009122FA" w:rsidRPr="005F21D8">
        <w:rPr>
          <w:rFonts w:ascii="Tahoma" w:hAnsi="Tahoma" w:cs="Tahoma"/>
        </w:rPr>
        <w:t>08</w:t>
      </w:r>
      <w:r w:rsidRPr="005F21D8">
        <w:rPr>
          <w:rFonts w:ascii="Tahoma" w:hAnsi="Tahoma" w:cs="Tahoma"/>
        </w:rPr>
        <w:t>-</w:t>
      </w:r>
      <w:r w:rsidR="009122FA" w:rsidRPr="005F21D8">
        <w:rPr>
          <w:rFonts w:ascii="Tahoma" w:hAnsi="Tahoma" w:cs="Tahoma"/>
        </w:rPr>
        <w:t>07</w:t>
      </w:r>
      <w:r w:rsidRPr="005F21D8">
        <w:rPr>
          <w:rFonts w:ascii="Tahoma" w:hAnsi="Tahoma" w:cs="Tahoma"/>
        </w:rPr>
        <w:t xml:space="preserve">-2015 y la misma data de 2012 (3 años) </w:t>
      </w:r>
      <w:r w:rsidR="009122FA" w:rsidRPr="005F21D8">
        <w:rPr>
          <w:rFonts w:ascii="Tahoma" w:hAnsi="Tahoma" w:cs="Tahoma"/>
        </w:rPr>
        <w:t xml:space="preserve">no </w:t>
      </w:r>
      <w:r w:rsidRPr="005F21D8">
        <w:rPr>
          <w:rFonts w:ascii="Tahoma" w:hAnsi="Tahoma" w:cs="Tahoma"/>
        </w:rPr>
        <w:t>cotizó semanas; con lo cual resulta fácil colegir que no satisfizo la primera de las exigencias del artículo 12 de la Ley 797 de 2003,  50 semanas.</w:t>
      </w:r>
    </w:p>
    <w:p w:rsidR="008A3148" w:rsidRPr="005F21D8" w:rsidRDefault="008A3148" w:rsidP="005F21D8">
      <w:pPr>
        <w:pStyle w:val="Textoindependiente"/>
        <w:spacing w:after="0" w:line="276" w:lineRule="auto"/>
        <w:contextualSpacing/>
        <w:rPr>
          <w:rFonts w:ascii="Tahoma" w:hAnsi="Tahoma" w:cs="Tahoma"/>
          <w:color w:val="000000" w:themeColor="text1"/>
        </w:rPr>
      </w:pPr>
    </w:p>
    <w:p w:rsidR="008A3148" w:rsidRPr="005F21D8" w:rsidRDefault="009122FA" w:rsidP="005F21D8">
      <w:pPr>
        <w:autoSpaceDE w:val="0"/>
        <w:autoSpaceDN w:val="0"/>
        <w:adjustRightInd w:val="0"/>
        <w:spacing w:line="276" w:lineRule="auto"/>
        <w:contextualSpacing/>
        <w:jc w:val="both"/>
        <w:rPr>
          <w:rFonts w:ascii="Tahoma" w:hAnsi="Tahoma" w:cs="Tahoma"/>
          <w:color w:val="000000"/>
          <w:shd w:val="clear" w:color="auto" w:fill="FFFFFF"/>
        </w:rPr>
      </w:pPr>
      <w:r w:rsidRPr="005F21D8">
        <w:rPr>
          <w:rFonts w:ascii="Tahoma" w:hAnsi="Tahoma" w:cs="Tahoma"/>
          <w:color w:val="000000" w:themeColor="text1"/>
          <w:lang w:val="es-CO"/>
        </w:rPr>
        <w:t>5</w:t>
      </w:r>
      <w:r w:rsidR="008A3148" w:rsidRPr="005F21D8">
        <w:rPr>
          <w:rFonts w:ascii="Tahoma" w:hAnsi="Tahoma" w:cs="Tahoma"/>
          <w:color w:val="000000" w:themeColor="text1"/>
          <w:lang w:val="es-CO"/>
        </w:rPr>
        <w:t>.</w:t>
      </w:r>
      <w:r w:rsidRPr="005F21D8">
        <w:rPr>
          <w:rFonts w:ascii="Tahoma" w:hAnsi="Tahoma" w:cs="Tahoma"/>
          <w:color w:val="000000" w:themeColor="text1"/>
          <w:lang w:val="es-CO"/>
        </w:rPr>
        <w:t>3</w:t>
      </w:r>
      <w:r w:rsidR="008A3148" w:rsidRPr="005F21D8">
        <w:rPr>
          <w:rFonts w:ascii="Tahoma" w:hAnsi="Tahoma" w:cs="Tahoma"/>
          <w:color w:val="000000" w:themeColor="text1"/>
          <w:lang w:val="es-CO"/>
        </w:rPr>
        <w:t>. Sin embargo, a</w:t>
      </w:r>
      <w:r w:rsidR="008A3148" w:rsidRPr="005F21D8">
        <w:rPr>
          <w:rFonts w:ascii="Tahoma" w:hAnsi="Tahoma" w:cs="Tahoma"/>
        </w:rPr>
        <w:t xml:space="preserve">tendiendo lo solicitado en libelo introductorio y en el recurso de apelación, consistente en la aplicación del principio de la condición más beneficiosa, se analizará su </w:t>
      </w:r>
      <w:r w:rsidR="008A3148" w:rsidRPr="005F21D8">
        <w:rPr>
          <w:rFonts w:ascii="Tahoma" w:hAnsi="Tahoma" w:cs="Tahoma"/>
          <w:color w:val="000000"/>
          <w:shd w:val="clear" w:color="auto" w:fill="FFFFFF"/>
        </w:rPr>
        <w:t>procedencia.</w:t>
      </w:r>
    </w:p>
    <w:p w:rsidR="008A3148" w:rsidRPr="005F21D8" w:rsidRDefault="008A3148" w:rsidP="005F21D8">
      <w:pPr>
        <w:autoSpaceDE w:val="0"/>
        <w:autoSpaceDN w:val="0"/>
        <w:adjustRightInd w:val="0"/>
        <w:spacing w:line="276" w:lineRule="auto"/>
        <w:contextualSpacing/>
        <w:jc w:val="both"/>
        <w:rPr>
          <w:rFonts w:ascii="Tahoma" w:hAnsi="Tahoma" w:cs="Tahoma"/>
          <w:color w:val="000000"/>
          <w:shd w:val="clear" w:color="auto" w:fill="FFFFFF"/>
        </w:rPr>
      </w:pPr>
    </w:p>
    <w:p w:rsidR="008A3148" w:rsidRPr="005F21D8" w:rsidRDefault="008A3148" w:rsidP="005F21D8">
      <w:pPr>
        <w:pStyle w:val="Textoindependiente"/>
        <w:spacing w:after="0" w:line="276" w:lineRule="auto"/>
        <w:jc w:val="both"/>
        <w:rPr>
          <w:rFonts w:ascii="Tahoma" w:hAnsi="Tahoma" w:cs="Tahoma"/>
          <w:color w:val="000000"/>
          <w:shd w:val="clear" w:color="auto" w:fill="FFFFFF"/>
        </w:rPr>
      </w:pPr>
      <w:r w:rsidRPr="005F21D8">
        <w:rPr>
          <w:rFonts w:ascii="Tahoma" w:hAnsi="Tahoma" w:cs="Tahoma"/>
          <w:color w:val="000000"/>
          <w:shd w:val="clear" w:color="auto" w:fill="FFFFFF"/>
        </w:rPr>
        <w:t>Frente al referido principio ha sostenido reiteradamente la Sala de Casación Laboral de Corte Suprema de Justicia</w:t>
      </w:r>
      <w:r w:rsidRPr="005F21D8">
        <w:rPr>
          <w:rFonts w:ascii="Tahoma" w:hAnsi="Tahoma" w:cs="Tahoma"/>
          <w:color w:val="000000"/>
          <w:shd w:val="clear" w:color="auto" w:fill="FFFFFF"/>
          <w:vertAlign w:val="superscript"/>
        </w:rPr>
        <w:footnoteReference w:id="1"/>
      </w:r>
      <w:r w:rsidRPr="005F21D8">
        <w:rPr>
          <w:rFonts w:ascii="Tahoma" w:hAnsi="Tahoma" w:cs="Tahoma"/>
          <w:color w:val="000000"/>
          <w:shd w:val="clear" w:color="auto" w:fill="FFFFFF"/>
        </w:rPr>
        <w:t xml:space="preserve">,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8A3148" w:rsidRPr="005F21D8" w:rsidRDefault="008A3148" w:rsidP="005F21D8">
      <w:pPr>
        <w:tabs>
          <w:tab w:val="left" w:pos="1230"/>
        </w:tabs>
        <w:autoSpaceDE w:val="0"/>
        <w:autoSpaceDN w:val="0"/>
        <w:adjustRightInd w:val="0"/>
        <w:spacing w:line="276" w:lineRule="auto"/>
        <w:contextualSpacing/>
        <w:jc w:val="both"/>
        <w:rPr>
          <w:rFonts w:ascii="Tahoma" w:hAnsi="Tahoma" w:cs="Tahoma"/>
          <w:color w:val="000000"/>
        </w:rPr>
      </w:pPr>
    </w:p>
    <w:p w:rsidR="008A3148" w:rsidRPr="005F21D8" w:rsidRDefault="008A3148" w:rsidP="005F21D8">
      <w:pPr>
        <w:autoSpaceDE w:val="0"/>
        <w:autoSpaceDN w:val="0"/>
        <w:adjustRightInd w:val="0"/>
        <w:spacing w:line="276" w:lineRule="auto"/>
        <w:contextualSpacing/>
        <w:jc w:val="both"/>
        <w:rPr>
          <w:rFonts w:ascii="Tahoma" w:hAnsi="Tahoma" w:cs="Tahoma"/>
          <w:color w:val="000000"/>
          <w:shd w:val="clear" w:color="auto" w:fill="FFFFFF"/>
        </w:rPr>
      </w:pPr>
      <w:r w:rsidRPr="005F21D8">
        <w:rPr>
          <w:rFonts w:ascii="Tahoma" w:hAnsi="Tahoma" w:cs="Tahoma"/>
          <w:color w:val="000000"/>
        </w:rPr>
        <w:t>Línea que se apoya entre otros en el Acto Legislativo 01 de 2005, que dispone en la parte final del inciso 4° que “</w:t>
      </w:r>
      <w:r w:rsidRPr="005F21D8">
        <w:rPr>
          <w:rFonts w:ascii="Tahoma" w:hAnsi="Tahoma" w:cs="Tahoma"/>
          <w:i/>
          <w:color w:val="000000"/>
          <w:shd w:val="clear" w:color="auto" w:fill="FFFFFF"/>
        </w:rPr>
        <w:t>los requisitos y beneficios para adquirir el derecho a una pensión de invalidez o de sobrevivencia serán los establecidos por las leyes del Sistema General de Pensiones",</w:t>
      </w:r>
      <w:r w:rsidRPr="005F21D8">
        <w:rPr>
          <w:rFonts w:ascii="Tahoma" w:hAnsi="Tahoma" w:cs="Tahoma"/>
        </w:rPr>
        <w:t xml:space="preserve"> </w:t>
      </w:r>
      <w:r w:rsidRPr="005F21D8">
        <w:rPr>
          <w:rFonts w:ascii="Tahoma" w:hAnsi="Tahoma" w:cs="Tahoma"/>
          <w:lang w:val="es-AR"/>
        </w:rPr>
        <w:t>que no es otro que el introducido con la expedición de la Ley 100 de 1993</w:t>
      </w:r>
      <w:r w:rsidRPr="005F21D8">
        <w:rPr>
          <w:rFonts w:ascii="Tahoma" w:hAnsi="Tahoma" w:cs="Tahoma"/>
          <w:i/>
          <w:color w:val="000000"/>
          <w:shd w:val="clear" w:color="auto" w:fill="FFFFFF"/>
        </w:rPr>
        <w:t xml:space="preserve"> </w:t>
      </w:r>
      <w:r w:rsidRPr="005F21D8">
        <w:rPr>
          <w:rFonts w:ascii="Tahoma" w:hAnsi="Tahoma" w:cs="Tahoma"/>
          <w:color w:val="000000"/>
          <w:shd w:val="clear" w:color="auto" w:fill="FFFFFF"/>
        </w:rPr>
        <w:t xml:space="preserve">y desarrollado a partir del artículo 10 </w:t>
      </w:r>
      <w:r w:rsidRPr="005F21D8">
        <w:rPr>
          <w:rFonts w:ascii="Tahoma" w:hAnsi="Tahoma" w:cs="Tahoma"/>
          <w:i/>
          <w:color w:val="000000"/>
          <w:shd w:val="clear" w:color="auto" w:fill="FFFFFF"/>
        </w:rPr>
        <w:t>ibídem</w:t>
      </w:r>
      <w:r w:rsidRPr="005F21D8">
        <w:rPr>
          <w:rFonts w:ascii="Tahoma" w:hAnsi="Tahoma" w:cs="Tahoma"/>
          <w:color w:val="000000"/>
          <w:shd w:val="clear" w:color="auto" w:fill="FFFFFF"/>
        </w:rPr>
        <w:t>; lo que significa que él se encuentra constituido por esa normativa y las modificaciones de la Ley 797 de 2003, de donde debe entenderse excluido el Acuerdo 049 de 1990 en lo que respecta a este tópico por ser anterior a estas.</w:t>
      </w:r>
    </w:p>
    <w:p w:rsidR="008A3148" w:rsidRPr="005F21D8" w:rsidRDefault="008A3148" w:rsidP="005F21D8">
      <w:pPr>
        <w:autoSpaceDE w:val="0"/>
        <w:autoSpaceDN w:val="0"/>
        <w:adjustRightInd w:val="0"/>
        <w:spacing w:line="276" w:lineRule="auto"/>
        <w:contextualSpacing/>
        <w:jc w:val="both"/>
        <w:rPr>
          <w:rFonts w:ascii="Tahoma" w:hAnsi="Tahoma" w:cs="Tahoma"/>
          <w:color w:val="000000"/>
          <w:shd w:val="clear" w:color="auto" w:fill="FFFFFF"/>
        </w:rPr>
      </w:pPr>
    </w:p>
    <w:p w:rsidR="008A3148" w:rsidRPr="005F21D8" w:rsidRDefault="008A3148" w:rsidP="005F21D8">
      <w:pPr>
        <w:autoSpaceDE w:val="0"/>
        <w:autoSpaceDN w:val="0"/>
        <w:adjustRightInd w:val="0"/>
        <w:spacing w:line="276" w:lineRule="auto"/>
        <w:contextualSpacing/>
        <w:jc w:val="both"/>
        <w:rPr>
          <w:rFonts w:ascii="Tahoma" w:hAnsi="Tahoma" w:cs="Tahoma"/>
          <w:color w:val="000000"/>
          <w:shd w:val="clear" w:color="auto" w:fill="FFFFFF"/>
        </w:rPr>
      </w:pPr>
      <w:r w:rsidRPr="005F21D8">
        <w:rPr>
          <w:rFonts w:ascii="Tahoma" w:hAnsi="Tahoma" w:cs="Tahoma"/>
          <w:color w:val="000000"/>
          <w:shd w:val="clear" w:color="auto" w:fill="FFFFFF"/>
        </w:rPr>
        <w:t xml:space="preserve">Criterio que se trajo a colación la Corte Constitucional en la sentencia SU 005 de 13-02-2018 y agregó que para acudir al Acuerdo 049 de 1990 o a cualquier norma anterior a ella, a pesar de no ser la anterior a la vigente a la muerte del afiliado, debe verificarse un test de procedencia que lo conforman 5 condiciones todas indispensables, sobre </w:t>
      </w:r>
      <w:r w:rsidRPr="005F21D8">
        <w:rPr>
          <w:rFonts w:ascii="Tahoma" w:hAnsi="Tahoma" w:cs="Tahoma"/>
          <w:color w:val="000000"/>
          <w:shd w:val="clear" w:color="auto" w:fill="FFFFFF"/>
        </w:rPr>
        <w:lastRenderedPageBreak/>
        <w:t xml:space="preserve">las que ninguna exposición se hizo en la demanda y menos se realizó esfuerzo por acreditarlas, pues tan solo se introdujo prueba documental que no apunta a demostrar ninguna de ellas, y sobre las que se releva la Sala Mayoritaria a analizar en tanto no se comparte la línea de pensamiento trazada por la Corte Constitucional. Lo dicho, solo para resaltar que la aplicación del A 049 de la manera simplista, como lo sugiere el recurrente, no es el criterio actual de tal corporación. </w:t>
      </w:r>
    </w:p>
    <w:p w:rsidR="008A3148" w:rsidRPr="005F21D8" w:rsidRDefault="008A3148" w:rsidP="005F21D8">
      <w:pPr>
        <w:tabs>
          <w:tab w:val="left" w:pos="1230"/>
        </w:tabs>
        <w:autoSpaceDE w:val="0"/>
        <w:autoSpaceDN w:val="0"/>
        <w:adjustRightInd w:val="0"/>
        <w:spacing w:line="276" w:lineRule="auto"/>
        <w:contextualSpacing/>
        <w:jc w:val="both"/>
        <w:rPr>
          <w:rFonts w:ascii="Tahoma" w:hAnsi="Tahoma" w:cs="Tahoma"/>
          <w:color w:val="000000"/>
        </w:rPr>
      </w:pPr>
      <w:r w:rsidRPr="005F21D8">
        <w:rPr>
          <w:rFonts w:ascii="Tahoma" w:hAnsi="Tahoma" w:cs="Tahoma"/>
          <w:color w:val="000000"/>
        </w:rPr>
        <w:t xml:space="preserve"> </w:t>
      </w:r>
    </w:p>
    <w:p w:rsidR="008A3148" w:rsidRPr="005F21D8" w:rsidRDefault="008A3148" w:rsidP="005F21D8">
      <w:pPr>
        <w:tabs>
          <w:tab w:val="left" w:pos="1230"/>
        </w:tabs>
        <w:autoSpaceDE w:val="0"/>
        <w:autoSpaceDN w:val="0"/>
        <w:adjustRightInd w:val="0"/>
        <w:spacing w:line="276" w:lineRule="auto"/>
        <w:contextualSpacing/>
        <w:jc w:val="both"/>
        <w:rPr>
          <w:rFonts w:ascii="Tahoma" w:hAnsi="Tahoma" w:cs="Tahoma"/>
          <w:color w:val="000000"/>
        </w:rPr>
      </w:pPr>
      <w:r w:rsidRPr="005F21D8">
        <w:rPr>
          <w:rFonts w:ascii="Tahoma" w:hAnsi="Tahoma" w:cs="Tahoma"/>
          <w:color w:val="000000"/>
        </w:rPr>
        <w:t>Entonces, la l</w:t>
      </w:r>
      <w:r w:rsidRPr="005F21D8">
        <w:rPr>
          <w:rFonts w:ascii="Tahoma" w:hAnsi="Tahoma" w:cs="Tahoma"/>
        </w:rPr>
        <w:t>ínea que acata la Sala Mayoritaria es la de nuestro superioridad al ser el órgano de cierre de esta especialidad, dado su valor</w:t>
      </w:r>
      <w:r w:rsidRPr="005F21D8">
        <w:rPr>
          <w:rFonts w:ascii="Tahoma" w:hAnsi="Tahoma" w:cs="Tahoma"/>
          <w:color w:val="000000"/>
        </w:rPr>
        <w:t xml:space="preserve"> normativo, que inclusive ha reconocido su homóloga constitucional en la sentencia C-836-01.</w:t>
      </w:r>
    </w:p>
    <w:p w:rsidR="008A3148" w:rsidRPr="005F21D8" w:rsidRDefault="008A3148" w:rsidP="005F21D8">
      <w:pPr>
        <w:tabs>
          <w:tab w:val="left" w:pos="1230"/>
        </w:tabs>
        <w:autoSpaceDE w:val="0"/>
        <w:autoSpaceDN w:val="0"/>
        <w:adjustRightInd w:val="0"/>
        <w:spacing w:line="276" w:lineRule="auto"/>
        <w:ind w:left="1230" w:hanging="1230"/>
        <w:contextualSpacing/>
        <w:jc w:val="both"/>
        <w:rPr>
          <w:rFonts w:ascii="Tahoma" w:hAnsi="Tahoma" w:cs="Tahoma"/>
          <w:color w:val="000000"/>
        </w:rPr>
      </w:pPr>
    </w:p>
    <w:p w:rsidR="008A3148" w:rsidRPr="005F21D8" w:rsidRDefault="009122FA" w:rsidP="005F21D8">
      <w:pPr>
        <w:autoSpaceDE w:val="0"/>
        <w:autoSpaceDN w:val="0"/>
        <w:adjustRightInd w:val="0"/>
        <w:spacing w:line="276" w:lineRule="auto"/>
        <w:contextualSpacing/>
        <w:jc w:val="both"/>
        <w:rPr>
          <w:rFonts w:ascii="Tahoma" w:hAnsi="Tahoma" w:cs="Tahoma"/>
          <w:color w:val="000000" w:themeColor="text1"/>
        </w:rPr>
      </w:pPr>
      <w:r w:rsidRPr="005F21D8">
        <w:rPr>
          <w:rFonts w:ascii="Tahoma" w:hAnsi="Tahoma" w:cs="Tahoma"/>
          <w:color w:val="000000" w:themeColor="text1"/>
          <w:shd w:val="clear" w:color="auto" w:fill="FFFFFF"/>
        </w:rPr>
        <w:t>5.4</w:t>
      </w:r>
      <w:r w:rsidR="008A3148" w:rsidRPr="005F21D8">
        <w:rPr>
          <w:rFonts w:ascii="Tahoma" w:hAnsi="Tahoma" w:cs="Tahoma"/>
          <w:color w:val="000000" w:themeColor="text1"/>
          <w:shd w:val="clear" w:color="auto" w:fill="FFFFFF"/>
        </w:rPr>
        <w:t xml:space="preserve"> En ese orden de ideas, como el señor </w:t>
      </w:r>
      <w:r w:rsidRPr="005F21D8">
        <w:rPr>
          <w:rFonts w:ascii="Tahoma" w:hAnsi="Tahoma" w:cs="Tahoma"/>
          <w:color w:val="000000" w:themeColor="text1"/>
          <w:shd w:val="clear" w:color="auto" w:fill="FFFFFF"/>
        </w:rPr>
        <w:t>Julio César Osorio Castaño</w:t>
      </w:r>
      <w:r w:rsidR="008A3148" w:rsidRPr="005F21D8">
        <w:rPr>
          <w:rFonts w:ascii="Tahoma" w:hAnsi="Tahoma" w:cs="Tahoma"/>
          <w:color w:val="000000" w:themeColor="text1"/>
          <w:shd w:val="clear" w:color="auto" w:fill="FFFFFF"/>
        </w:rPr>
        <w:t xml:space="preserve"> falleció en el 2015,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w:t>
      </w:r>
      <w:r w:rsidRPr="005F21D8">
        <w:rPr>
          <w:rFonts w:ascii="Tahoma" w:hAnsi="Tahoma" w:cs="Tahoma"/>
          <w:color w:val="000000" w:themeColor="text1"/>
          <w:shd w:val="clear" w:color="auto" w:fill="FFFFFF"/>
        </w:rPr>
        <w:t>s</w:t>
      </w:r>
      <w:r w:rsidR="008A3148" w:rsidRPr="005F21D8">
        <w:rPr>
          <w:rFonts w:ascii="Tahoma" w:hAnsi="Tahoma" w:cs="Tahoma"/>
          <w:color w:val="000000" w:themeColor="text1"/>
          <w:shd w:val="clear" w:color="auto" w:fill="FFFFFF"/>
        </w:rPr>
        <w:t xml:space="preserve"> apelaci</w:t>
      </w:r>
      <w:r w:rsidRPr="005F21D8">
        <w:rPr>
          <w:rFonts w:ascii="Tahoma" w:hAnsi="Tahoma" w:cs="Tahoma"/>
          <w:color w:val="000000" w:themeColor="text1"/>
          <w:shd w:val="clear" w:color="auto" w:fill="FFFFFF"/>
        </w:rPr>
        <w:t>ones</w:t>
      </w:r>
    </w:p>
    <w:p w:rsidR="008A3148" w:rsidRPr="005F21D8" w:rsidRDefault="008A3148" w:rsidP="005F21D8">
      <w:pPr>
        <w:tabs>
          <w:tab w:val="left" w:pos="1230"/>
        </w:tabs>
        <w:autoSpaceDE w:val="0"/>
        <w:autoSpaceDN w:val="0"/>
        <w:adjustRightInd w:val="0"/>
        <w:spacing w:line="276" w:lineRule="auto"/>
        <w:contextualSpacing/>
        <w:jc w:val="both"/>
        <w:rPr>
          <w:rFonts w:ascii="Tahoma" w:hAnsi="Tahoma" w:cs="Tahoma"/>
          <w:color w:val="000000" w:themeColor="text1"/>
        </w:rPr>
      </w:pPr>
    </w:p>
    <w:p w:rsidR="008A3148" w:rsidRPr="005F21D8" w:rsidRDefault="009122FA" w:rsidP="005F21D8">
      <w:pPr>
        <w:shd w:val="clear" w:color="auto" w:fill="FFFFFF"/>
        <w:tabs>
          <w:tab w:val="left" w:pos="5197"/>
        </w:tabs>
        <w:spacing w:line="276" w:lineRule="auto"/>
        <w:contextualSpacing/>
        <w:jc w:val="both"/>
        <w:rPr>
          <w:rFonts w:ascii="Tahoma" w:hAnsi="Tahoma" w:cs="Tahoma"/>
          <w:color w:val="000000" w:themeColor="text1"/>
          <w:lang w:eastAsia="es-CO"/>
        </w:rPr>
      </w:pPr>
      <w:r w:rsidRPr="005F21D8">
        <w:rPr>
          <w:rFonts w:ascii="Tahoma" w:hAnsi="Tahoma" w:cs="Tahoma"/>
          <w:color w:val="000000" w:themeColor="text1"/>
          <w:lang w:eastAsia="es-CO"/>
        </w:rPr>
        <w:t>5.5</w:t>
      </w:r>
      <w:r w:rsidR="008A3148" w:rsidRPr="005F21D8">
        <w:rPr>
          <w:rFonts w:ascii="Tahoma" w:hAnsi="Tahoma" w:cs="Tahoma"/>
          <w:color w:val="000000" w:themeColor="text1"/>
          <w:lang w:eastAsia="es-CO"/>
        </w:rPr>
        <w:t xml:space="preserve"> Pero esta última tampoco puede gobernar la prestación pretendida, en tanto el órgano de cierre de esta especialidad a partir del año 2017</w:t>
      </w:r>
      <w:r w:rsidR="008A3148" w:rsidRPr="005F21D8">
        <w:rPr>
          <w:rStyle w:val="Refdenotaalpie"/>
          <w:rFonts w:ascii="Tahoma" w:hAnsi="Tahoma" w:cs="Tahoma"/>
          <w:color w:val="000000" w:themeColor="text1"/>
          <w:lang w:eastAsia="es-CO"/>
        </w:rPr>
        <w:footnoteReference w:id="2"/>
      </w:r>
      <w:r w:rsidR="008A3148" w:rsidRPr="005F21D8">
        <w:rPr>
          <w:rFonts w:ascii="Tahoma" w:hAnsi="Tahoma" w:cs="Tahoma"/>
          <w:color w:val="000000" w:themeColor="text1"/>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r w:rsidR="008A3148" w:rsidRPr="005F21D8">
        <w:rPr>
          <w:rStyle w:val="Refdenotaalpie"/>
          <w:rFonts w:ascii="Tahoma" w:hAnsi="Tahoma" w:cs="Tahoma"/>
          <w:color w:val="000000" w:themeColor="text1"/>
          <w:lang w:eastAsia="es-CO"/>
        </w:rPr>
        <w:footnoteReference w:id="3"/>
      </w:r>
      <w:r w:rsidR="008A3148" w:rsidRPr="005F21D8">
        <w:rPr>
          <w:rFonts w:ascii="Tahoma" w:hAnsi="Tahoma" w:cs="Tahoma"/>
          <w:color w:val="000000" w:themeColor="text1"/>
          <w:lang w:eastAsia="es-CO"/>
        </w:rPr>
        <w:t xml:space="preserve">. </w:t>
      </w:r>
    </w:p>
    <w:p w:rsidR="008A3148" w:rsidRPr="005F21D8" w:rsidRDefault="008A3148" w:rsidP="005F21D8">
      <w:pPr>
        <w:shd w:val="clear" w:color="auto" w:fill="FFFFFF"/>
        <w:tabs>
          <w:tab w:val="left" w:pos="5197"/>
        </w:tabs>
        <w:spacing w:line="276" w:lineRule="auto"/>
        <w:contextualSpacing/>
        <w:jc w:val="both"/>
        <w:rPr>
          <w:rFonts w:ascii="Tahoma" w:hAnsi="Tahoma" w:cs="Tahoma"/>
          <w:color w:val="000000" w:themeColor="text1"/>
          <w:lang w:eastAsia="es-CO"/>
        </w:rPr>
      </w:pPr>
    </w:p>
    <w:p w:rsidR="008A3148" w:rsidRPr="005F21D8" w:rsidRDefault="008A3148" w:rsidP="005F21D8">
      <w:pPr>
        <w:shd w:val="clear" w:color="auto" w:fill="FFFFFF"/>
        <w:tabs>
          <w:tab w:val="left" w:pos="5197"/>
        </w:tabs>
        <w:spacing w:line="276" w:lineRule="auto"/>
        <w:contextualSpacing/>
        <w:jc w:val="both"/>
        <w:rPr>
          <w:rFonts w:ascii="Tahoma" w:hAnsi="Tahoma" w:cs="Tahoma"/>
          <w:color w:val="000000" w:themeColor="text1"/>
          <w:lang w:eastAsia="es-CO"/>
        </w:rPr>
      </w:pPr>
      <w:r w:rsidRPr="005F21D8">
        <w:rPr>
          <w:rFonts w:ascii="Tahoma" w:hAnsi="Tahoma" w:cs="Tahoma"/>
          <w:color w:val="000000" w:themeColor="text1"/>
          <w:lang w:eastAsia="es-CO"/>
        </w:rPr>
        <w:t xml:space="preserve">Entonces, respecto de la primera condición no la satisface el señor </w:t>
      </w:r>
      <w:r w:rsidR="009122FA" w:rsidRPr="005F21D8">
        <w:rPr>
          <w:rFonts w:ascii="Tahoma" w:hAnsi="Tahoma" w:cs="Tahoma"/>
          <w:color w:val="000000" w:themeColor="text1"/>
          <w:lang w:eastAsia="es-CO"/>
        </w:rPr>
        <w:t>Osorio Castaño</w:t>
      </w:r>
      <w:r w:rsidRPr="005F21D8">
        <w:rPr>
          <w:rFonts w:ascii="Tahoma" w:hAnsi="Tahoma" w:cs="Tahoma"/>
          <w:color w:val="000000" w:themeColor="text1"/>
          <w:lang w:eastAsia="es-CO"/>
        </w:rPr>
        <w:t xml:space="preserve"> al fallecer por fuera del lapso atrás anotado, lo que releva del estudio de las  restantes condiciones, al ser concurrentes, por lo que al faltar una impide aplicar la ley 100 de 1993 bajo el amparo del principio de la condición más beneficiosa. </w:t>
      </w:r>
    </w:p>
    <w:p w:rsidR="008A3148" w:rsidRPr="005F21D8" w:rsidRDefault="008A3148" w:rsidP="005F21D8">
      <w:pPr>
        <w:shd w:val="clear" w:color="auto" w:fill="FFFFFF"/>
        <w:tabs>
          <w:tab w:val="left" w:pos="5197"/>
        </w:tabs>
        <w:spacing w:line="276" w:lineRule="auto"/>
        <w:contextualSpacing/>
        <w:jc w:val="both"/>
        <w:rPr>
          <w:rFonts w:ascii="Tahoma" w:hAnsi="Tahoma" w:cs="Tahoma"/>
          <w:color w:val="000000" w:themeColor="text1"/>
          <w:lang w:eastAsia="es-CO"/>
        </w:rPr>
      </w:pPr>
      <w:r w:rsidRPr="005F21D8">
        <w:rPr>
          <w:rFonts w:ascii="Tahoma" w:hAnsi="Tahoma" w:cs="Tahoma"/>
          <w:color w:val="000000" w:themeColor="text1"/>
          <w:lang w:eastAsia="es-CO"/>
        </w:rPr>
        <w:t xml:space="preserve"> </w:t>
      </w:r>
    </w:p>
    <w:p w:rsidR="008A3148" w:rsidRPr="005F21D8" w:rsidRDefault="008A3148" w:rsidP="005F21D8">
      <w:pPr>
        <w:shd w:val="clear" w:color="auto" w:fill="FFFFFF"/>
        <w:tabs>
          <w:tab w:val="left" w:pos="5197"/>
        </w:tabs>
        <w:spacing w:line="276" w:lineRule="auto"/>
        <w:jc w:val="center"/>
        <w:rPr>
          <w:rFonts w:ascii="Tahoma" w:hAnsi="Tahoma" w:cs="Tahoma"/>
          <w:b/>
          <w:color w:val="000000" w:themeColor="text1"/>
          <w:lang w:eastAsia="es-CO"/>
        </w:rPr>
      </w:pPr>
      <w:r w:rsidRPr="005F21D8">
        <w:rPr>
          <w:rFonts w:ascii="Tahoma" w:hAnsi="Tahoma" w:cs="Tahoma"/>
          <w:b/>
          <w:color w:val="000000" w:themeColor="text1"/>
          <w:lang w:eastAsia="es-CO"/>
        </w:rPr>
        <w:t>CONCLUSIÓN</w:t>
      </w:r>
    </w:p>
    <w:p w:rsidR="008A3148" w:rsidRPr="005F21D8" w:rsidRDefault="008A3148" w:rsidP="005F21D8">
      <w:pPr>
        <w:spacing w:line="276" w:lineRule="auto"/>
        <w:jc w:val="both"/>
        <w:rPr>
          <w:rFonts w:ascii="Tahoma" w:hAnsi="Tahoma" w:cs="Tahoma"/>
          <w:color w:val="000000" w:themeColor="text1"/>
          <w:lang w:eastAsia="es-CO"/>
        </w:rPr>
      </w:pPr>
    </w:p>
    <w:p w:rsidR="008A3148" w:rsidRPr="005F21D8" w:rsidRDefault="008A3148" w:rsidP="005F21D8">
      <w:pPr>
        <w:spacing w:line="276" w:lineRule="auto"/>
        <w:jc w:val="both"/>
        <w:rPr>
          <w:rFonts w:ascii="Tahoma" w:hAnsi="Tahoma" w:cs="Tahoma"/>
          <w:color w:val="000000" w:themeColor="text1"/>
        </w:rPr>
      </w:pPr>
      <w:r w:rsidRPr="005F21D8">
        <w:rPr>
          <w:rFonts w:ascii="Tahoma" w:hAnsi="Tahoma" w:cs="Tahoma"/>
          <w:color w:val="000000" w:themeColor="text1"/>
          <w:lang w:eastAsia="es-CO"/>
        </w:rPr>
        <w:t xml:space="preserve">Conforme lo expuesto, la decisión revisada será confirmada y se condenará en costas en esta instancia a </w:t>
      </w:r>
      <w:r w:rsidRPr="005F21D8">
        <w:rPr>
          <w:rFonts w:ascii="Tahoma" w:hAnsi="Tahoma" w:cs="Tahoma"/>
        </w:rPr>
        <w:t>la parte actora a favor de la demandada al fracasar la alzada.</w:t>
      </w:r>
    </w:p>
    <w:p w:rsidR="008A3148" w:rsidRPr="005F21D8" w:rsidRDefault="008A3148" w:rsidP="005F21D8">
      <w:pPr>
        <w:spacing w:line="276" w:lineRule="auto"/>
        <w:jc w:val="center"/>
        <w:rPr>
          <w:rFonts w:ascii="Tahoma" w:hAnsi="Tahoma" w:cs="Tahoma"/>
          <w:b/>
          <w:color w:val="000000" w:themeColor="text1"/>
        </w:rPr>
      </w:pPr>
    </w:p>
    <w:p w:rsidR="008A3148" w:rsidRPr="005F21D8" w:rsidRDefault="008A3148" w:rsidP="005F21D8">
      <w:pPr>
        <w:spacing w:line="276" w:lineRule="auto"/>
        <w:jc w:val="center"/>
        <w:rPr>
          <w:rFonts w:ascii="Tahoma" w:hAnsi="Tahoma" w:cs="Tahoma"/>
          <w:b/>
          <w:color w:val="000000" w:themeColor="text1"/>
        </w:rPr>
      </w:pPr>
      <w:r w:rsidRPr="005F21D8">
        <w:rPr>
          <w:rFonts w:ascii="Tahoma" w:hAnsi="Tahoma" w:cs="Tahoma"/>
          <w:b/>
          <w:color w:val="000000" w:themeColor="text1"/>
        </w:rPr>
        <w:t>DECISIÓN</w:t>
      </w:r>
    </w:p>
    <w:p w:rsidR="008A3148" w:rsidRPr="005F21D8" w:rsidRDefault="008A3148" w:rsidP="005F21D8">
      <w:pPr>
        <w:pStyle w:val="Sinespaciado"/>
        <w:spacing w:line="276" w:lineRule="auto"/>
        <w:rPr>
          <w:rFonts w:ascii="Tahoma" w:hAnsi="Tahoma" w:cs="Tahoma"/>
          <w:color w:val="000000" w:themeColor="text1"/>
        </w:rPr>
      </w:pPr>
    </w:p>
    <w:p w:rsidR="008A3148" w:rsidRPr="005F21D8" w:rsidRDefault="008A3148" w:rsidP="005F21D8">
      <w:pPr>
        <w:pStyle w:val="Prrafodelista2"/>
        <w:spacing w:after="0"/>
        <w:ind w:left="0"/>
        <w:jc w:val="both"/>
        <w:rPr>
          <w:rFonts w:ascii="Tahoma" w:hAnsi="Tahoma" w:cs="Tahoma"/>
          <w:color w:val="000000" w:themeColor="text1"/>
          <w:sz w:val="24"/>
          <w:szCs w:val="24"/>
        </w:rPr>
      </w:pPr>
      <w:r w:rsidRPr="005F21D8">
        <w:rPr>
          <w:rFonts w:ascii="Tahoma" w:hAnsi="Tahoma" w:cs="Tahoma"/>
          <w:color w:val="000000" w:themeColor="text1"/>
          <w:sz w:val="24"/>
          <w:szCs w:val="24"/>
        </w:rPr>
        <w:lastRenderedPageBreak/>
        <w:t xml:space="preserve">En mérito de lo expuesto, el </w:t>
      </w:r>
      <w:r w:rsidRPr="005F21D8">
        <w:rPr>
          <w:rFonts w:ascii="Tahoma" w:hAnsi="Tahoma" w:cs="Tahoma"/>
          <w:b/>
          <w:color w:val="000000" w:themeColor="text1"/>
          <w:sz w:val="24"/>
          <w:szCs w:val="24"/>
        </w:rPr>
        <w:t>Tribunal Superior del Distrito Judicial de Pereira - Risaralda, Sala Primera de Decisión Laboral,</w:t>
      </w:r>
      <w:r w:rsidRPr="005F21D8">
        <w:rPr>
          <w:rFonts w:ascii="Tahoma" w:hAnsi="Tahoma" w:cs="Tahoma"/>
          <w:color w:val="000000" w:themeColor="text1"/>
          <w:sz w:val="24"/>
          <w:szCs w:val="24"/>
        </w:rPr>
        <w:t xml:space="preserve"> administrando justicia en nombre de la República y por autoridad de la ley,</w:t>
      </w:r>
    </w:p>
    <w:p w:rsidR="008A3148" w:rsidRPr="005F21D8" w:rsidRDefault="008A3148" w:rsidP="005F21D8">
      <w:pPr>
        <w:pStyle w:val="Prrafodelista2"/>
        <w:spacing w:after="0"/>
        <w:ind w:left="0"/>
        <w:jc w:val="both"/>
        <w:rPr>
          <w:rFonts w:ascii="Tahoma" w:hAnsi="Tahoma" w:cs="Tahoma"/>
          <w:color w:val="000000" w:themeColor="text1"/>
          <w:sz w:val="24"/>
          <w:szCs w:val="24"/>
        </w:rPr>
      </w:pPr>
    </w:p>
    <w:p w:rsidR="008A3148" w:rsidRPr="005F21D8" w:rsidRDefault="008A3148" w:rsidP="005F21D8">
      <w:pPr>
        <w:spacing w:line="276" w:lineRule="auto"/>
        <w:jc w:val="center"/>
        <w:rPr>
          <w:rFonts w:ascii="Tahoma" w:hAnsi="Tahoma" w:cs="Tahoma"/>
          <w:b/>
          <w:color w:val="000000" w:themeColor="text1"/>
        </w:rPr>
      </w:pPr>
      <w:r w:rsidRPr="005F21D8">
        <w:rPr>
          <w:rFonts w:ascii="Tahoma" w:hAnsi="Tahoma" w:cs="Tahoma"/>
          <w:b/>
          <w:color w:val="000000" w:themeColor="text1"/>
        </w:rPr>
        <w:t>RESUELVE</w:t>
      </w:r>
    </w:p>
    <w:p w:rsidR="008A3148" w:rsidRPr="005F21D8" w:rsidRDefault="008A3148" w:rsidP="005F21D8">
      <w:pPr>
        <w:pStyle w:val="Sinespaciado"/>
        <w:tabs>
          <w:tab w:val="left" w:pos="3387"/>
        </w:tabs>
        <w:spacing w:line="276" w:lineRule="auto"/>
        <w:rPr>
          <w:rFonts w:ascii="Tahoma" w:hAnsi="Tahoma" w:cs="Tahoma"/>
          <w:color w:val="000000" w:themeColor="text1"/>
        </w:rPr>
      </w:pPr>
      <w:r w:rsidRPr="005F21D8">
        <w:rPr>
          <w:rFonts w:ascii="Tahoma" w:hAnsi="Tahoma" w:cs="Tahoma"/>
          <w:color w:val="000000" w:themeColor="text1"/>
        </w:rPr>
        <w:tab/>
      </w:r>
    </w:p>
    <w:p w:rsidR="008A3148" w:rsidRPr="005F21D8" w:rsidRDefault="008A3148" w:rsidP="005F21D8">
      <w:pPr>
        <w:widowControl w:val="0"/>
        <w:autoSpaceDE w:val="0"/>
        <w:autoSpaceDN w:val="0"/>
        <w:adjustRightInd w:val="0"/>
        <w:spacing w:line="276" w:lineRule="auto"/>
        <w:jc w:val="both"/>
        <w:rPr>
          <w:rFonts w:ascii="Tahoma" w:hAnsi="Tahoma" w:cs="Tahoma"/>
          <w:b/>
          <w:color w:val="000000" w:themeColor="text1"/>
        </w:rPr>
      </w:pPr>
      <w:r w:rsidRPr="005F21D8">
        <w:rPr>
          <w:rFonts w:ascii="Tahoma" w:hAnsi="Tahoma" w:cs="Tahoma"/>
          <w:b/>
          <w:color w:val="000000" w:themeColor="text1"/>
          <w:u w:val="single"/>
        </w:rPr>
        <w:t>PRIMERO</w:t>
      </w:r>
      <w:r w:rsidRPr="005F21D8">
        <w:rPr>
          <w:rFonts w:ascii="Tahoma" w:hAnsi="Tahoma" w:cs="Tahoma"/>
          <w:b/>
          <w:color w:val="000000" w:themeColor="text1"/>
        </w:rPr>
        <w:t xml:space="preserve">: CONFIRMAR </w:t>
      </w:r>
      <w:r w:rsidRPr="005F21D8">
        <w:rPr>
          <w:rFonts w:ascii="Tahoma" w:hAnsi="Tahoma" w:cs="Tahoma"/>
          <w:color w:val="000000" w:themeColor="text1"/>
        </w:rPr>
        <w:t xml:space="preserve">la sentencia proferida el </w:t>
      </w:r>
      <w:r w:rsidR="009122FA" w:rsidRPr="005F21D8">
        <w:rPr>
          <w:rFonts w:ascii="Tahoma" w:hAnsi="Tahoma" w:cs="Tahoma"/>
          <w:color w:val="000000" w:themeColor="text1"/>
        </w:rPr>
        <w:t>22 de noviembre de 2018</w:t>
      </w:r>
      <w:r w:rsidRPr="005F21D8">
        <w:rPr>
          <w:rFonts w:ascii="Tahoma" w:hAnsi="Tahoma" w:cs="Tahoma"/>
          <w:color w:val="000000" w:themeColor="text1"/>
        </w:rPr>
        <w:t xml:space="preserve"> por el Juzgado </w:t>
      </w:r>
      <w:r w:rsidR="007F26A7" w:rsidRPr="005F21D8">
        <w:rPr>
          <w:rFonts w:ascii="Tahoma" w:hAnsi="Tahoma" w:cs="Tahoma"/>
          <w:color w:val="000000" w:themeColor="text1"/>
        </w:rPr>
        <w:t>Segundo</w:t>
      </w:r>
      <w:r w:rsidRPr="005F21D8">
        <w:rPr>
          <w:rFonts w:ascii="Tahoma" w:hAnsi="Tahoma" w:cs="Tahoma"/>
          <w:color w:val="000000" w:themeColor="text1"/>
        </w:rPr>
        <w:t xml:space="preserve"> Laboral del Circuito de Pereira, dentro del proceso que promueve la señora </w:t>
      </w:r>
      <w:r w:rsidR="007F26A7" w:rsidRPr="005F21D8">
        <w:rPr>
          <w:rFonts w:ascii="Tahoma" w:hAnsi="Tahoma" w:cs="Tahoma"/>
          <w:b/>
        </w:rPr>
        <w:t xml:space="preserve">María Janeth Toro Gómez </w:t>
      </w:r>
      <w:r w:rsidR="007F26A7" w:rsidRPr="005F21D8">
        <w:rPr>
          <w:rFonts w:ascii="Tahoma" w:hAnsi="Tahoma" w:cs="Tahoma"/>
          <w:lang w:val="es-ES_tradnl"/>
        </w:rPr>
        <w:t xml:space="preserve">en contra de la </w:t>
      </w:r>
      <w:r w:rsidR="007F26A7" w:rsidRPr="005F21D8">
        <w:rPr>
          <w:rFonts w:ascii="Tahoma" w:hAnsi="Tahoma" w:cs="Tahoma"/>
          <w:b/>
          <w:lang w:val="es-ES_tradnl"/>
        </w:rPr>
        <w:t>Administradora Colombiana de Pensiones – Colpensiones</w:t>
      </w:r>
      <w:r w:rsidR="007F26A7" w:rsidRPr="005F21D8">
        <w:rPr>
          <w:rFonts w:ascii="Tahoma" w:hAnsi="Tahoma" w:cs="Tahoma"/>
          <w:lang w:val="es-ES_tradnl"/>
        </w:rPr>
        <w:t xml:space="preserve">, al cual fueron vinculados </w:t>
      </w:r>
      <w:r w:rsidR="007F26A7" w:rsidRPr="005F21D8">
        <w:rPr>
          <w:rFonts w:ascii="Tahoma" w:hAnsi="Tahoma" w:cs="Tahoma"/>
        </w:rPr>
        <w:t>Julio César y Juliana Osorio Toro,</w:t>
      </w:r>
      <w:r w:rsidR="007F26A7" w:rsidRPr="005F21D8">
        <w:rPr>
          <w:rFonts w:ascii="Tahoma" w:hAnsi="Tahoma" w:cs="Tahoma"/>
          <w:b/>
        </w:rPr>
        <w:t xml:space="preserve"> </w:t>
      </w:r>
      <w:r w:rsidR="007F26A7" w:rsidRPr="005F21D8">
        <w:rPr>
          <w:rFonts w:ascii="Tahoma" w:hAnsi="Tahoma" w:cs="Tahoma"/>
          <w:lang w:val="es-ES_tradnl"/>
        </w:rPr>
        <w:t>como intervinientes Ad-</w:t>
      </w:r>
      <w:proofErr w:type="spellStart"/>
      <w:r w:rsidR="007F26A7" w:rsidRPr="005F21D8">
        <w:rPr>
          <w:rFonts w:ascii="Tahoma" w:hAnsi="Tahoma" w:cs="Tahoma"/>
          <w:lang w:val="es-ES_tradnl"/>
        </w:rPr>
        <w:t>Excludendum</w:t>
      </w:r>
      <w:proofErr w:type="spellEnd"/>
      <w:r w:rsidR="007F26A7" w:rsidRPr="005F21D8">
        <w:rPr>
          <w:rFonts w:ascii="Tahoma" w:hAnsi="Tahoma" w:cs="Tahoma"/>
          <w:lang w:val="es-ES_tradnl"/>
        </w:rPr>
        <w:t>.</w:t>
      </w:r>
    </w:p>
    <w:p w:rsidR="008A3148" w:rsidRPr="005F21D8" w:rsidRDefault="008A3148" w:rsidP="005F21D8">
      <w:pPr>
        <w:widowControl w:val="0"/>
        <w:autoSpaceDE w:val="0"/>
        <w:autoSpaceDN w:val="0"/>
        <w:adjustRightInd w:val="0"/>
        <w:spacing w:line="276" w:lineRule="auto"/>
        <w:jc w:val="both"/>
        <w:rPr>
          <w:rFonts w:ascii="Tahoma" w:hAnsi="Tahoma" w:cs="Tahoma"/>
          <w:bCs/>
          <w:i/>
          <w:iCs/>
          <w:color w:val="000000" w:themeColor="text1"/>
        </w:rPr>
      </w:pPr>
    </w:p>
    <w:p w:rsidR="008A3148" w:rsidRPr="005F21D8" w:rsidRDefault="008A3148" w:rsidP="005F21D8">
      <w:pPr>
        <w:spacing w:line="276" w:lineRule="auto"/>
        <w:jc w:val="both"/>
        <w:rPr>
          <w:rFonts w:ascii="Tahoma" w:hAnsi="Tahoma" w:cs="Tahoma"/>
        </w:rPr>
      </w:pPr>
      <w:r w:rsidRPr="005F21D8">
        <w:rPr>
          <w:rFonts w:ascii="Tahoma" w:hAnsi="Tahoma" w:cs="Tahoma"/>
          <w:b/>
          <w:bCs/>
          <w:iCs/>
          <w:color w:val="000000" w:themeColor="text1"/>
          <w:u w:val="single"/>
        </w:rPr>
        <w:t>SEGUNDO</w:t>
      </w:r>
      <w:r w:rsidRPr="005F21D8">
        <w:rPr>
          <w:rFonts w:ascii="Tahoma" w:hAnsi="Tahoma" w:cs="Tahoma"/>
          <w:b/>
          <w:bCs/>
          <w:iCs/>
          <w:color w:val="000000" w:themeColor="text1"/>
        </w:rPr>
        <w:t xml:space="preserve">: CONDENAR </w:t>
      </w:r>
      <w:r w:rsidRPr="005F21D8">
        <w:rPr>
          <w:rFonts w:ascii="Tahoma" w:hAnsi="Tahoma" w:cs="Tahoma"/>
          <w:bCs/>
          <w:iCs/>
          <w:color w:val="000000" w:themeColor="text1"/>
        </w:rPr>
        <w:t>en c</w:t>
      </w:r>
      <w:r w:rsidRPr="005F21D8">
        <w:rPr>
          <w:rFonts w:ascii="Tahoma" w:hAnsi="Tahoma" w:cs="Tahoma"/>
        </w:rPr>
        <w:t>ostas en esta instancia a la parte actora en favor de Colpensiones por lo mencionado.</w:t>
      </w:r>
    </w:p>
    <w:p w:rsidR="008A3148" w:rsidRPr="005F21D8" w:rsidRDefault="008A3148" w:rsidP="005F21D8">
      <w:pPr>
        <w:spacing w:line="276" w:lineRule="auto"/>
        <w:jc w:val="both"/>
        <w:rPr>
          <w:rFonts w:ascii="Tahoma" w:hAnsi="Tahoma" w:cs="Tahoma"/>
          <w:color w:val="000000" w:themeColor="text1"/>
        </w:rPr>
      </w:pPr>
    </w:p>
    <w:p w:rsidR="008A3148" w:rsidRPr="005F21D8" w:rsidRDefault="008A3148" w:rsidP="005F21D8">
      <w:pPr>
        <w:spacing w:line="276" w:lineRule="auto"/>
        <w:contextualSpacing/>
        <w:jc w:val="both"/>
        <w:rPr>
          <w:rFonts w:ascii="Tahoma" w:hAnsi="Tahoma" w:cs="Tahoma"/>
          <w:color w:val="000000" w:themeColor="text1"/>
        </w:rPr>
      </w:pPr>
      <w:r w:rsidRPr="005F21D8">
        <w:rPr>
          <w:rFonts w:ascii="Tahoma" w:hAnsi="Tahoma" w:cs="Tahoma"/>
          <w:color w:val="000000" w:themeColor="text1"/>
        </w:rPr>
        <w:t>Notificación surtida en estrados.</w:t>
      </w:r>
    </w:p>
    <w:p w:rsidR="008A3148" w:rsidRPr="005F21D8" w:rsidRDefault="008A3148" w:rsidP="005F21D8">
      <w:pPr>
        <w:spacing w:line="276" w:lineRule="auto"/>
        <w:contextualSpacing/>
        <w:jc w:val="both"/>
        <w:rPr>
          <w:rFonts w:ascii="Tahoma" w:hAnsi="Tahoma" w:cs="Tahoma"/>
          <w:color w:val="000000" w:themeColor="text1"/>
        </w:rPr>
      </w:pPr>
    </w:p>
    <w:p w:rsidR="008A3148" w:rsidRPr="005F21D8" w:rsidRDefault="008A3148" w:rsidP="005F21D8">
      <w:pPr>
        <w:pStyle w:val="Textoindependiente"/>
        <w:spacing w:after="0" w:line="276" w:lineRule="auto"/>
        <w:contextualSpacing/>
        <w:rPr>
          <w:rFonts w:ascii="Tahoma" w:hAnsi="Tahoma" w:cs="Tahoma"/>
          <w:color w:val="000000" w:themeColor="text1"/>
        </w:rPr>
      </w:pPr>
      <w:r w:rsidRPr="005F21D8">
        <w:rPr>
          <w:rFonts w:ascii="Tahoma" w:hAnsi="Tahoma" w:cs="Tahoma"/>
          <w:color w:val="000000" w:themeColor="text1"/>
        </w:rPr>
        <w:t>No siendo otro el objeto de la presente audiencia, se eleva y firma esta acta por las personas que han intervenido.</w:t>
      </w:r>
    </w:p>
    <w:p w:rsidR="008A3148" w:rsidRPr="005F21D8" w:rsidRDefault="008A3148" w:rsidP="005F21D8">
      <w:pPr>
        <w:widowControl w:val="0"/>
        <w:autoSpaceDE w:val="0"/>
        <w:autoSpaceDN w:val="0"/>
        <w:adjustRightInd w:val="0"/>
        <w:spacing w:line="276" w:lineRule="auto"/>
        <w:contextualSpacing/>
        <w:jc w:val="both"/>
        <w:rPr>
          <w:rFonts w:ascii="Tahoma" w:hAnsi="Tahoma" w:cs="Tahoma"/>
          <w:color w:val="000000" w:themeColor="text1"/>
        </w:rPr>
      </w:pPr>
    </w:p>
    <w:p w:rsidR="008A3148" w:rsidRPr="005F21D8" w:rsidRDefault="008A3148" w:rsidP="005F21D8">
      <w:pPr>
        <w:widowControl w:val="0"/>
        <w:autoSpaceDE w:val="0"/>
        <w:autoSpaceDN w:val="0"/>
        <w:adjustRightInd w:val="0"/>
        <w:spacing w:line="276" w:lineRule="auto"/>
        <w:contextualSpacing/>
        <w:jc w:val="both"/>
        <w:rPr>
          <w:rFonts w:ascii="Tahoma" w:hAnsi="Tahoma" w:cs="Tahoma"/>
          <w:color w:val="000000" w:themeColor="text1"/>
        </w:rPr>
      </w:pPr>
      <w:r w:rsidRPr="005F21D8">
        <w:rPr>
          <w:rFonts w:ascii="Tahoma" w:hAnsi="Tahoma" w:cs="Tahoma"/>
          <w:color w:val="000000" w:themeColor="text1"/>
        </w:rPr>
        <w:t>Quienes integran la Sala,</w:t>
      </w:r>
    </w:p>
    <w:p w:rsidR="005F21D8" w:rsidRPr="005F21D8" w:rsidRDefault="005F21D8" w:rsidP="005F21D8">
      <w:pPr>
        <w:spacing w:line="276" w:lineRule="auto"/>
        <w:ind w:firstLine="709"/>
        <w:jc w:val="both"/>
        <w:rPr>
          <w:rFonts w:ascii="Tahoma" w:eastAsiaTheme="minorHAnsi" w:hAnsi="Tahoma" w:cs="Tahoma"/>
          <w:lang w:eastAsia="en-US"/>
        </w:rPr>
      </w:pPr>
    </w:p>
    <w:p w:rsidR="005F21D8" w:rsidRPr="005F21D8" w:rsidRDefault="005F21D8" w:rsidP="005F21D8">
      <w:pPr>
        <w:spacing w:line="276" w:lineRule="auto"/>
        <w:ind w:firstLine="709"/>
        <w:jc w:val="both"/>
        <w:rPr>
          <w:rFonts w:ascii="Tahoma" w:eastAsiaTheme="minorHAnsi" w:hAnsi="Tahoma" w:cs="Tahoma"/>
          <w:lang w:eastAsia="en-US"/>
        </w:rPr>
      </w:pPr>
    </w:p>
    <w:p w:rsidR="005F21D8" w:rsidRPr="005F21D8" w:rsidRDefault="005F21D8" w:rsidP="005F21D8">
      <w:pPr>
        <w:spacing w:line="276" w:lineRule="auto"/>
        <w:ind w:firstLine="709"/>
        <w:jc w:val="both"/>
        <w:rPr>
          <w:rFonts w:ascii="Tahoma" w:eastAsiaTheme="minorHAnsi" w:hAnsi="Tahoma" w:cs="Tahoma"/>
          <w:lang w:eastAsia="en-US"/>
        </w:rPr>
      </w:pPr>
    </w:p>
    <w:p w:rsidR="005F21D8" w:rsidRPr="005F21D8" w:rsidRDefault="005F21D8" w:rsidP="005F21D8">
      <w:pPr>
        <w:keepNext/>
        <w:keepLines/>
        <w:spacing w:line="276" w:lineRule="auto"/>
        <w:jc w:val="center"/>
        <w:outlineLvl w:val="2"/>
        <w:rPr>
          <w:rFonts w:ascii="Tahoma" w:eastAsiaTheme="majorEastAsia" w:hAnsi="Tahoma" w:cs="Tahoma"/>
          <w:b/>
          <w:bCs/>
          <w:lang w:eastAsia="en-US"/>
        </w:rPr>
      </w:pPr>
      <w:r w:rsidRPr="005F21D8">
        <w:rPr>
          <w:rFonts w:ascii="Tahoma" w:eastAsiaTheme="majorEastAsia" w:hAnsi="Tahoma" w:cs="Tahoma"/>
          <w:b/>
          <w:lang w:eastAsia="en-US"/>
        </w:rPr>
        <w:t>ANA LUCÍA CAICEDO CALDERÓN</w:t>
      </w:r>
    </w:p>
    <w:p w:rsidR="005F21D8" w:rsidRPr="005F21D8" w:rsidRDefault="005F21D8" w:rsidP="005F21D8">
      <w:pPr>
        <w:spacing w:line="276" w:lineRule="auto"/>
        <w:jc w:val="center"/>
        <w:rPr>
          <w:rFonts w:ascii="Tahoma" w:eastAsiaTheme="minorHAnsi" w:hAnsi="Tahoma" w:cs="Tahoma"/>
          <w:lang w:eastAsia="en-US"/>
        </w:rPr>
      </w:pPr>
      <w:r w:rsidRPr="005F21D8">
        <w:rPr>
          <w:rFonts w:ascii="Tahoma" w:eastAsiaTheme="minorHAnsi" w:hAnsi="Tahoma" w:cs="Tahoma"/>
          <w:lang w:eastAsia="en-US"/>
        </w:rPr>
        <w:t>Salva voto</w:t>
      </w:r>
    </w:p>
    <w:p w:rsidR="005F21D8" w:rsidRPr="005F21D8" w:rsidRDefault="005F21D8" w:rsidP="005F21D8">
      <w:pPr>
        <w:spacing w:line="276" w:lineRule="auto"/>
        <w:ind w:firstLine="709"/>
        <w:jc w:val="both"/>
        <w:rPr>
          <w:rFonts w:ascii="Tahoma" w:eastAsiaTheme="minorHAnsi" w:hAnsi="Tahoma" w:cs="Tahoma"/>
          <w:b/>
          <w:lang w:eastAsia="en-US"/>
        </w:rPr>
      </w:pPr>
    </w:p>
    <w:p w:rsidR="005F21D8" w:rsidRPr="005F21D8" w:rsidRDefault="005F21D8" w:rsidP="005F21D8">
      <w:pPr>
        <w:spacing w:line="276" w:lineRule="auto"/>
        <w:ind w:firstLine="709"/>
        <w:jc w:val="both"/>
        <w:rPr>
          <w:rFonts w:ascii="Tahoma" w:eastAsiaTheme="minorHAnsi" w:hAnsi="Tahoma" w:cs="Tahoma"/>
          <w:b/>
          <w:lang w:eastAsia="en-US"/>
        </w:rPr>
      </w:pPr>
    </w:p>
    <w:p w:rsidR="005F21D8" w:rsidRPr="005F21D8" w:rsidRDefault="005F21D8" w:rsidP="005F21D8">
      <w:pPr>
        <w:spacing w:line="276" w:lineRule="auto"/>
        <w:ind w:firstLine="709"/>
        <w:jc w:val="both"/>
        <w:rPr>
          <w:rFonts w:ascii="Tahoma" w:eastAsiaTheme="minorHAnsi" w:hAnsi="Tahoma" w:cs="Tahoma"/>
          <w:b/>
          <w:lang w:eastAsia="en-US"/>
        </w:rPr>
      </w:pPr>
    </w:p>
    <w:p w:rsidR="005F21D8" w:rsidRPr="005F21D8" w:rsidRDefault="005F21D8" w:rsidP="005F21D8">
      <w:pPr>
        <w:spacing w:line="276" w:lineRule="auto"/>
        <w:jc w:val="both"/>
        <w:rPr>
          <w:rFonts w:ascii="Tahoma" w:eastAsiaTheme="minorHAnsi" w:hAnsi="Tahoma" w:cs="Tahoma"/>
          <w:b/>
          <w:lang w:eastAsia="en-US"/>
        </w:rPr>
      </w:pPr>
      <w:r w:rsidRPr="005F21D8">
        <w:rPr>
          <w:rFonts w:ascii="Tahoma" w:eastAsiaTheme="minorHAnsi" w:hAnsi="Tahoma" w:cs="Tahoma"/>
          <w:b/>
          <w:lang w:eastAsia="en-US"/>
        </w:rPr>
        <w:t>OLGA LUCÍA HOYOS SEPÚLVEDA                        JULIO CÉSAR SALAZAR MUÑOZ</w:t>
      </w:r>
    </w:p>
    <w:p w:rsidR="00DF3564" w:rsidRDefault="005F21D8" w:rsidP="005F21D8">
      <w:pPr>
        <w:spacing w:line="276" w:lineRule="auto"/>
        <w:jc w:val="both"/>
        <w:rPr>
          <w:rFonts w:ascii="Tahoma" w:eastAsiaTheme="minorHAnsi" w:hAnsi="Tahoma" w:cs="Tahoma"/>
          <w:lang w:eastAsia="en-US"/>
        </w:rPr>
      </w:pPr>
      <w:r w:rsidRPr="005F21D8">
        <w:rPr>
          <w:rFonts w:ascii="Tahoma" w:eastAsiaTheme="minorHAnsi" w:hAnsi="Tahoma" w:cs="Tahoma"/>
          <w:lang w:eastAsia="en-US"/>
        </w:rPr>
        <w:t>Magistrada</w:t>
      </w:r>
      <w:r>
        <w:rPr>
          <w:rFonts w:ascii="Tahoma" w:eastAsiaTheme="minorHAnsi" w:hAnsi="Tahoma" w:cs="Tahoma"/>
          <w:lang w:eastAsia="en-US"/>
        </w:rPr>
        <w:t xml:space="preserve"> Ponente</w:t>
      </w:r>
      <w:r w:rsidRPr="005F21D8">
        <w:rPr>
          <w:rFonts w:ascii="Tahoma" w:eastAsiaTheme="minorHAnsi" w:hAnsi="Tahoma" w:cs="Tahoma"/>
          <w:lang w:eastAsia="en-US"/>
        </w:rPr>
        <w:tab/>
      </w:r>
      <w:r w:rsidRPr="005F21D8">
        <w:rPr>
          <w:rFonts w:ascii="Tahoma" w:eastAsiaTheme="minorHAnsi" w:hAnsi="Tahoma" w:cs="Tahoma"/>
          <w:lang w:eastAsia="en-US"/>
        </w:rPr>
        <w:tab/>
      </w:r>
      <w:r w:rsidRPr="005F21D8">
        <w:rPr>
          <w:rFonts w:ascii="Tahoma" w:eastAsiaTheme="minorHAnsi" w:hAnsi="Tahoma" w:cs="Tahoma"/>
          <w:lang w:eastAsia="en-US"/>
        </w:rPr>
        <w:tab/>
      </w:r>
      <w:r w:rsidRPr="005F21D8">
        <w:rPr>
          <w:rFonts w:ascii="Tahoma" w:eastAsiaTheme="minorHAnsi" w:hAnsi="Tahoma" w:cs="Tahoma"/>
          <w:lang w:eastAsia="en-US"/>
        </w:rPr>
        <w:tab/>
      </w:r>
      <w:r w:rsidRPr="005F21D8">
        <w:rPr>
          <w:rFonts w:ascii="Tahoma" w:eastAsiaTheme="minorHAnsi" w:hAnsi="Tahoma" w:cs="Tahoma"/>
          <w:lang w:eastAsia="en-US"/>
        </w:rPr>
        <w:tab/>
      </w:r>
      <w:r>
        <w:rPr>
          <w:rFonts w:ascii="Tahoma" w:eastAsiaTheme="minorHAnsi" w:hAnsi="Tahoma" w:cs="Tahoma"/>
          <w:lang w:eastAsia="en-US"/>
        </w:rPr>
        <w:t xml:space="preserve"> </w:t>
      </w:r>
      <w:r w:rsidRPr="005F21D8">
        <w:rPr>
          <w:rFonts w:ascii="Tahoma" w:eastAsiaTheme="minorHAnsi" w:hAnsi="Tahoma" w:cs="Tahoma"/>
          <w:lang w:eastAsia="en-US"/>
        </w:rPr>
        <w:t xml:space="preserve">    Magistrado</w:t>
      </w:r>
    </w:p>
    <w:p w:rsidR="00572343" w:rsidRDefault="00572343" w:rsidP="005F21D8">
      <w:pPr>
        <w:spacing w:line="276" w:lineRule="auto"/>
        <w:jc w:val="both"/>
        <w:rPr>
          <w:rFonts w:ascii="Tahoma" w:eastAsiaTheme="minorHAnsi" w:hAnsi="Tahoma" w:cs="Tahoma"/>
          <w:lang w:eastAsia="en-US"/>
        </w:rPr>
      </w:pPr>
    </w:p>
    <w:p w:rsidR="00572343" w:rsidRDefault="00572343">
      <w:pPr>
        <w:spacing w:after="160" w:line="259" w:lineRule="auto"/>
        <w:rPr>
          <w:rFonts w:ascii="Tahoma" w:eastAsiaTheme="minorHAnsi" w:hAnsi="Tahoma" w:cs="Tahoma"/>
          <w:lang w:eastAsia="en-US"/>
        </w:rPr>
      </w:pPr>
      <w:r>
        <w:rPr>
          <w:rFonts w:ascii="Tahoma" w:eastAsiaTheme="minorHAnsi" w:hAnsi="Tahoma" w:cs="Tahoma"/>
          <w:lang w:eastAsia="en-US"/>
        </w:rPr>
        <w:br w:type="page"/>
      </w:r>
    </w:p>
    <w:p w:rsidR="00572343" w:rsidRPr="00572343" w:rsidRDefault="00572343" w:rsidP="00572343">
      <w:pPr>
        <w:pStyle w:val="Puesto"/>
        <w:spacing w:line="240" w:lineRule="auto"/>
        <w:jc w:val="both"/>
        <w:rPr>
          <w:b w:val="0"/>
          <w:color w:val="000000" w:themeColor="text1"/>
          <w:sz w:val="20"/>
        </w:rPr>
      </w:pPr>
      <w:r w:rsidRPr="00572343">
        <w:rPr>
          <w:b w:val="0"/>
          <w:color w:val="000000" w:themeColor="text1"/>
          <w:sz w:val="20"/>
        </w:rPr>
        <w:lastRenderedPageBreak/>
        <w:t xml:space="preserve">Providencia: </w:t>
      </w:r>
      <w:r w:rsidRPr="00572343">
        <w:rPr>
          <w:b w:val="0"/>
          <w:color w:val="000000" w:themeColor="text1"/>
          <w:sz w:val="20"/>
        </w:rPr>
        <w:tab/>
      </w:r>
      <w:r w:rsidRPr="00572343">
        <w:rPr>
          <w:b w:val="0"/>
          <w:color w:val="000000" w:themeColor="text1"/>
          <w:sz w:val="20"/>
        </w:rPr>
        <w:tab/>
      </w:r>
      <w:r w:rsidRPr="00572343">
        <w:rPr>
          <w:b w:val="0"/>
          <w:color w:val="000000" w:themeColor="text1"/>
          <w:sz w:val="20"/>
        </w:rPr>
        <w:tab/>
        <w:t>Sentencia del 2 de diciembre de 2019</w:t>
      </w:r>
    </w:p>
    <w:p w:rsidR="00572343" w:rsidRPr="00572343" w:rsidRDefault="00572343" w:rsidP="00572343">
      <w:pPr>
        <w:pStyle w:val="Puesto"/>
        <w:spacing w:line="240" w:lineRule="auto"/>
        <w:jc w:val="both"/>
        <w:rPr>
          <w:b w:val="0"/>
          <w:color w:val="000000" w:themeColor="text1"/>
          <w:sz w:val="20"/>
        </w:rPr>
      </w:pPr>
      <w:r w:rsidRPr="00572343">
        <w:rPr>
          <w:b w:val="0"/>
          <w:color w:val="000000" w:themeColor="text1"/>
          <w:sz w:val="20"/>
        </w:rPr>
        <w:t>Radicación No.:</w:t>
      </w:r>
      <w:r w:rsidRPr="00572343">
        <w:rPr>
          <w:b w:val="0"/>
          <w:color w:val="000000" w:themeColor="text1"/>
          <w:sz w:val="20"/>
        </w:rPr>
        <w:tab/>
      </w:r>
      <w:r w:rsidRPr="00572343">
        <w:rPr>
          <w:b w:val="0"/>
          <w:color w:val="000000" w:themeColor="text1"/>
          <w:sz w:val="20"/>
        </w:rPr>
        <w:tab/>
      </w:r>
      <w:r w:rsidRPr="00572343">
        <w:rPr>
          <w:b w:val="0"/>
          <w:color w:val="000000" w:themeColor="text1"/>
          <w:sz w:val="20"/>
        </w:rPr>
        <w:tab/>
        <w:t>66001-31-05-002-2016-00455-01</w:t>
      </w:r>
    </w:p>
    <w:p w:rsidR="00572343" w:rsidRPr="00572343" w:rsidRDefault="00572343" w:rsidP="00572343">
      <w:pPr>
        <w:pStyle w:val="Puesto"/>
        <w:spacing w:line="240" w:lineRule="auto"/>
        <w:jc w:val="both"/>
        <w:rPr>
          <w:b w:val="0"/>
          <w:color w:val="000000" w:themeColor="text1"/>
          <w:sz w:val="20"/>
        </w:rPr>
      </w:pPr>
      <w:r w:rsidRPr="00572343">
        <w:rPr>
          <w:b w:val="0"/>
          <w:color w:val="000000" w:themeColor="text1"/>
          <w:sz w:val="20"/>
        </w:rPr>
        <w:t>Proceso:</w:t>
      </w:r>
      <w:r w:rsidRPr="00572343">
        <w:rPr>
          <w:b w:val="0"/>
          <w:color w:val="000000" w:themeColor="text1"/>
          <w:sz w:val="20"/>
        </w:rPr>
        <w:tab/>
      </w:r>
      <w:r w:rsidRPr="00572343">
        <w:rPr>
          <w:b w:val="0"/>
          <w:color w:val="000000" w:themeColor="text1"/>
          <w:sz w:val="20"/>
        </w:rPr>
        <w:tab/>
      </w:r>
      <w:r w:rsidRPr="00572343">
        <w:rPr>
          <w:b w:val="0"/>
          <w:color w:val="000000" w:themeColor="text1"/>
          <w:sz w:val="20"/>
        </w:rPr>
        <w:tab/>
        <w:t xml:space="preserve">Ordinario laboral </w:t>
      </w:r>
    </w:p>
    <w:p w:rsidR="00572343" w:rsidRPr="00572343" w:rsidRDefault="00572343" w:rsidP="00572343">
      <w:pPr>
        <w:pStyle w:val="Puesto"/>
        <w:spacing w:line="240" w:lineRule="auto"/>
        <w:jc w:val="both"/>
        <w:rPr>
          <w:b w:val="0"/>
          <w:color w:val="000000" w:themeColor="text1"/>
          <w:sz w:val="20"/>
        </w:rPr>
      </w:pPr>
      <w:r w:rsidRPr="00572343">
        <w:rPr>
          <w:b w:val="0"/>
          <w:color w:val="000000" w:themeColor="text1"/>
          <w:sz w:val="20"/>
        </w:rPr>
        <w:t>Demandante:</w:t>
      </w:r>
      <w:r w:rsidRPr="00572343">
        <w:rPr>
          <w:b w:val="0"/>
          <w:color w:val="000000" w:themeColor="text1"/>
          <w:sz w:val="20"/>
        </w:rPr>
        <w:tab/>
      </w:r>
      <w:r w:rsidRPr="00572343">
        <w:rPr>
          <w:b w:val="0"/>
          <w:color w:val="000000" w:themeColor="text1"/>
          <w:sz w:val="20"/>
        </w:rPr>
        <w:tab/>
      </w:r>
      <w:r w:rsidRPr="00572343">
        <w:rPr>
          <w:b w:val="0"/>
          <w:color w:val="000000" w:themeColor="text1"/>
          <w:sz w:val="20"/>
        </w:rPr>
        <w:tab/>
        <w:t xml:space="preserve">María </w:t>
      </w:r>
      <w:proofErr w:type="spellStart"/>
      <w:r w:rsidRPr="00572343">
        <w:rPr>
          <w:b w:val="0"/>
          <w:color w:val="000000" w:themeColor="text1"/>
          <w:sz w:val="20"/>
        </w:rPr>
        <w:t>Janneth</w:t>
      </w:r>
      <w:proofErr w:type="spellEnd"/>
      <w:r w:rsidRPr="00572343">
        <w:rPr>
          <w:b w:val="0"/>
          <w:color w:val="000000" w:themeColor="text1"/>
          <w:sz w:val="20"/>
        </w:rPr>
        <w:t xml:space="preserve"> Toro Gómez </w:t>
      </w:r>
    </w:p>
    <w:p w:rsidR="00572343" w:rsidRPr="00572343" w:rsidRDefault="00572343" w:rsidP="00572343">
      <w:pPr>
        <w:pStyle w:val="Puesto"/>
        <w:spacing w:line="240" w:lineRule="auto"/>
        <w:ind w:left="708" w:hanging="708"/>
        <w:jc w:val="both"/>
        <w:rPr>
          <w:b w:val="0"/>
          <w:color w:val="000000" w:themeColor="text1"/>
          <w:sz w:val="20"/>
        </w:rPr>
      </w:pPr>
      <w:r w:rsidRPr="00572343">
        <w:rPr>
          <w:b w:val="0"/>
          <w:color w:val="000000" w:themeColor="text1"/>
          <w:sz w:val="20"/>
        </w:rPr>
        <w:t>Demandado:</w:t>
      </w:r>
      <w:r w:rsidRPr="00572343">
        <w:rPr>
          <w:b w:val="0"/>
          <w:color w:val="000000" w:themeColor="text1"/>
          <w:sz w:val="20"/>
        </w:rPr>
        <w:tab/>
      </w:r>
      <w:r w:rsidRPr="00572343">
        <w:rPr>
          <w:b w:val="0"/>
          <w:color w:val="000000" w:themeColor="text1"/>
          <w:sz w:val="20"/>
        </w:rPr>
        <w:tab/>
      </w:r>
      <w:r w:rsidRPr="00572343">
        <w:rPr>
          <w:b w:val="0"/>
          <w:color w:val="000000" w:themeColor="text1"/>
          <w:sz w:val="20"/>
        </w:rPr>
        <w:tab/>
        <w:t>Colpensiones</w:t>
      </w:r>
    </w:p>
    <w:p w:rsidR="00572343" w:rsidRPr="00572343" w:rsidRDefault="00572343" w:rsidP="00572343">
      <w:pPr>
        <w:pStyle w:val="Puesto"/>
        <w:spacing w:line="240" w:lineRule="auto"/>
        <w:jc w:val="both"/>
        <w:rPr>
          <w:b w:val="0"/>
          <w:color w:val="000000" w:themeColor="text1"/>
          <w:sz w:val="20"/>
        </w:rPr>
      </w:pPr>
      <w:r w:rsidRPr="00572343">
        <w:rPr>
          <w:b w:val="0"/>
          <w:color w:val="000000" w:themeColor="text1"/>
          <w:sz w:val="20"/>
        </w:rPr>
        <w:t>Magistradas ponentes:</w:t>
      </w:r>
      <w:r w:rsidRPr="00572343">
        <w:rPr>
          <w:b w:val="0"/>
          <w:color w:val="000000" w:themeColor="text1"/>
          <w:sz w:val="20"/>
        </w:rPr>
        <w:tab/>
      </w:r>
      <w:r w:rsidRPr="00572343">
        <w:rPr>
          <w:b w:val="0"/>
          <w:color w:val="000000" w:themeColor="text1"/>
          <w:sz w:val="20"/>
        </w:rPr>
        <w:tab/>
        <w:t>Dra. Ana Lucía Caicedo Calderón y Dra. Olga Lucía Hoyos Sepúlveda</w:t>
      </w:r>
    </w:p>
    <w:p w:rsidR="00572343" w:rsidRPr="00572343" w:rsidRDefault="00572343" w:rsidP="00572343">
      <w:pPr>
        <w:pStyle w:val="Puesto"/>
        <w:spacing w:line="240" w:lineRule="auto"/>
        <w:ind w:left="2805" w:hanging="2805"/>
        <w:jc w:val="both"/>
        <w:rPr>
          <w:b w:val="0"/>
          <w:color w:val="000000" w:themeColor="text1"/>
          <w:sz w:val="20"/>
        </w:rPr>
      </w:pPr>
      <w:r w:rsidRPr="00572343">
        <w:rPr>
          <w:b w:val="0"/>
          <w:color w:val="000000" w:themeColor="text1"/>
          <w:sz w:val="20"/>
        </w:rPr>
        <w:t>Magistrada que salva voto:</w:t>
      </w:r>
      <w:r w:rsidRPr="00572343">
        <w:rPr>
          <w:b w:val="0"/>
          <w:color w:val="000000" w:themeColor="text1"/>
          <w:sz w:val="20"/>
        </w:rPr>
        <w:tab/>
      </w:r>
      <w:r w:rsidRPr="00572343">
        <w:rPr>
          <w:b w:val="0"/>
          <w:color w:val="000000" w:themeColor="text1"/>
          <w:sz w:val="20"/>
        </w:rPr>
        <w:tab/>
        <w:t>Dra. Ana Lucia Caicedo Calderón</w:t>
      </w:r>
    </w:p>
    <w:p w:rsidR="00572343" w:rsidRPr="00572343" w:rsidRDefault="00572343" w:rsidP="00572343">
      <w:pPr>
        <w:pStyle w:val="Puesto"/>
        <w:spacing w:line="240" w:lineRule="auto"/>
        <w:ind w:left="2805" w:hanging="2805"/>
        <w:jc w:val="both"/>
        <w:rPr>
          <w:b w:val="0"/>
          <w:color w:val="000000" w:themeColor="text1"/>
          <w:sz w:val="20"/>
          <w:lang w:eastAsia="es-MX"/>
        </w:rPr>
      </w:pPr>
    </w:p>
    <w:p w:rsidR="00572343" w:rsidRPr="00572343" w:rsidRDefault="00572343" w:rsidP="00572343">
      <w:pPr>
        <w:rPr>
          <w:rFonts w:ascii="Arial" w:hAnsi="Arial" w:cs="Arial"/>
          <w:color w:val="000000" w:themeColor="text1"/>
          <w:sz w:val="20"/>
          <w:lang w:val="es-CO" w:eastAsia="es-MX"/>
        </w:rPr>
      </w:pPr>
    </w:p>
    <w:p w:rsidR="00572343" w:rsidRPr="00572343" w:rsidRDefault="00572343" w:rsidP="00572343">
      <w:pPr>
        <w:rPr>
          <w:rFonts w:ascii="Arial" w:hAnsi="Arial" w:cs="Arial"/>
          <w:color w:val="000000" w:themeColor="text1"/>
          <w:sz w:val="20"/>
          <w:lang w:val="es-CO" w:eastAsia="es-MX"/>
        </w:rPr>
      </w:pPr>
    </w:p>
    <w:p w:rsidR="00572343" w:rsidRPr="00A004A6" w:rsidRDefault="00572343" w:rsidP="00A004A6">
      <w:pPr>
        <w:pStyle w:val="Ttulo1"/>
        <w:spacing w:before="0" w:line="300" w:lineRule="auto"/>
        <w:jc w:val="center"/>
        <w:rPr>
          <w:rFonts w:ascii="Arial" w:hAnsi="Arial" w:cs="Arial"/>
          <w:b/>
          <w:bCs/>
          <w:color w:val="000000" w:themeColor="text1"/>
          <w:sz w:val="24"/>
          <w:szCs w:val="24"/>
          <w:u w:val="single"/>
        </w:rPr>
      </w:pPr>
      <w:r w:rsidRPr="00A004A6">
        <w:rPr>
          <w:rFonts w:ascii="Arial" w:hAnsi="Arial" w:cs="Arial"/>
          <w:b/>
          <w:bCs/>
          <w:color w:val="000000" w:themeColor="text1"/>
          <w:sz w:val="24"/>
          <w:szCs w:val="24"/>
          <w:u w:val="single"/>
        </w:rPr>
        <w:t>SALVAMENTO DE VOTO</w:t>
      </w:r>
    </w:p>
    <w:p w:rsidR="00572343" w:rsidRPr="00572343" w:rsidRDefault="00572343" w:rsidP="00A004A6">
      <w:pPr>
        <w:spacing w:line="300" w:lineRule="auto"/>
        <w:jc w:val="both"/>
        <w:rPr>
          <w:rFonts w:ascii="Arial" w:hAnsi="Arial" w:cs="Arial"/>
          <w:b/>
          <w:bCs/>
          <w:color w:val="000000" w:themeColor="text1"/>
        </w:rPr>
      </w:pPr>
    </w:p>
    <w:p w:rsidR="00572343" w:rsidRPr="00572343" w:rsidRDefault="00572343" w:rsidP="00A004A6">
      <w:pPr>
        <w:spacing w:line="300" w:lineRule="auto"/>
        <w:ind w:firstLine="709"/>
        <w:jc w:val="both"/>
        <w:rPr>
          <w:rFonts w:ascii="Arial" w:hAnsi="Arial" w:cs="Arial"/>
          <w:color w:val="000000" w:themeColor="text1"/>
        </w:rPr>
      </w:pPr>
      <w:r w:rsidRPr="00572343">
        <w:rPr>
          <w:rFonts w:ascii="Arial" w:hAnsi="Arial" w:cs="Arial"/>
          <w:color w:val="000000" w:themeColor="text1"/>
        </w:rPr>
        <w:t>Con mi acostumbrado respeto, manifiesto mi inconformidad frente a la decisión mayoritaria por las siguientes razones:</w:t>
      </w:r>
    </w:p>
    <w:p w:rsidR="00572343" w:rsidRPr="00572343" w:rsidRDefault="00572343" w:rsidP="00A004A6">
      <w:pPr>
        <w:spacing w:line="300" w:lineRule="auto"/>
        <w:ind w:firstLine="709"/>
        <w:jc w:val="both"/>
        <w:rPr>
          <w:rFonts w:ascii="Arial" w:hAnsi="Arial" w:cs="Arial"/>
          <w:color w:val="000000" w:themeColor="text1"/>
        </w:rPr>
      </w:pPr>
    </w:p>
    <w:p w:rsidR="00572343" w:rsidRPr="00572343" w:rsidRDefault="00572343" w:rsidP="00A004A6">
      <w:pPr>
        <w:widowControl w:val="0"/>
        <w:autoSpaceDE w:val="0"/>
        <w:autoSpaceDN w:val="0"/>
        <w:adjustRightInd w:val="0"/>
        <w:spacing w:line="300" w:lineRule="auto"/>
        <w:ind w:firstLine="708"/>
        <w:jc w:val="both"/>
        <w:rPr>
          <w:rFonts w:ascii="Arial" w:hAnsi="Arial" w:cs="Arial"/>
        </w:rPr>
      </w:pPr>
      <w:r w:rsidRPr="00572343">
        <w:rPr>
          <w:rFonts w:ascii="Arial" w:hAnsi="Arial" w:cs="Arial"/>
        </w:rPr>
        <w:t xml:space="preserve">No existe discusión alguna en el presente asunto respecto a los siguientes supuestos fácticos: </w:t>
      </w:r>
      <w:r w:rsidRPr="00572343">
        <w:rPr>
          <w:rFonts w:ascii="Arial" w:hAnsi="Arial" w:cs="Arial"/>
          <w:i/>
        </w:rPr>
        <w:t>i)</w:t>
      </w:r>
      <w:r w:rsidRPr="00572343">
        <w:rPr>
          <w:rFonts w:ascii="Arial" w:hAnsi="Arial" w:cs="Arial"/>
        </w:rPr>
        <w:t xml:space="preserve"> que Julio César Osorio Castaño cotizó un total de 636,43 semanas, de las cuales 459 se efectuaron  antes del 1º de abril de 1994 (</w:t>
      </w:r>
      <w:proofErr w:type="spellStart"/>
      <w:r w:rsidRPr="00572343">
        <w:rPr>
          <w:rFonts w:ascii="Arial" w:hAnsi="Arial" w:cs="Arial"/>
        </w:rPr>
        <w:t>fl</w:t>
      </w:r>
      <w:proofErr w:type="spellEnd"/>
      <w:r w:rsidRPr="00572343">
        <w:rPr>
          <w:rFonts w:ascii="Arial" w:hAnsi="Arial" w:cs="Arial"/>
        </w:rPr>
        <w:t>. 127); ii) que este falleció el 8 de julio de 2015 (</w:t>
      </w:r>
      <w:proofErr w:type="spellStart"/>
      <w:r w:rsidRPr="00572343">
        <w:rPr>
          <w:rFonts w:ascii="Arial" w:hAnsi="Arial" w:cs="Arial"/>
        </w:rPr>
        <w:t>fl</w:t>
      </w:r>
      <w:proofErr w:type="spellEnd"/>
      <w:r w:rsidRPr="00572343">
        <w:rPr>
          <w:rFonts w:ascii="Arial" w:hAnsi="Arial" w:cs="Arial"/>
        </w:rPr>
        <w:t xml:space="preserve">. 20) y, iii) que la demandante solicitó el reconocimiento de la pensión de sobrevivientes el 3 de mayo de 2016, la cual fue negada a través de la Resolución </w:t>
      </w:r>
      <w:proofErr w:type="spellStart"/>
      <w:r w:rsidRPr="00572343">
        <w:rPr>
          <w:rFonts w:ascii="Arial" w:hAnsi="Arial" w:cs="Arial"/>
        </w:rPr>
        <w:t>GNR</w:t>
      </w:r>
      <w:proofErr w:type="spellEnd"/>
      <w:r w:rsidRPr="00572343">
        <w:rPr>
          <w:rFonts w:ascii="Arial" w:hAnsi="Arial" w:cs="Arial"/>
        </w:rPr>
        <w:t xml:space="preserve"> 223016 del 28 de julio de la misma anualidad, en razón a que al causante no acreditaba 50 semanas dentro de los tres años anteriores a la fecha de fallecimiento.</w:t>
      </w:r>
    </w:p>
    <w:p w:rsidR="00572343" w:rsidRPr="00572343" w:rsidRDefault="00572343" w:rsidP="00A004A6">
      <w:pPr>
        <w:widowControl w:val="0"/>
        <w:autoSpaceDE w:val="0"/>
        <w:autoSpaceDN w:val="0"/>
        <w:adjustRightInd w:val="0"/>
        <w:spacing w:line="300" w:lineRule="auto"/>
        <w:ind w:firstLine="708"/>
        <w:jc w:val="both"/>
        <w:rPr>
          <w:rFonts w:ascii="Arial" w:hAnsi="Arial" w:cs="Arial"/>
        </w:rPr>
      </w:pPr>
    </w:p>
    <w:p w:rsidR="00572343" w:rsidRPr="00572343" w:rsidRDefault="00572343" w:rsidP="00A004A6">
      <w:pPr>
        <w:widowControl w:val="0"/>
        <w:autoSpaceDE w:val="0"/>
        <w:autoSpaceDN w:val="0"/>
        <w:adjustRightInd w:val="0"/>
        <w:spacing w:line="300" w:lineRule="auto"/>
        <w:ind w:firstLine="708"/>
        <w:jc w:val="both"/>
        <w:rPr>
          <w:rFonts w:ascii="Arial" w:hAnsi="Arial" w:cs="Arial"/>
        </w:rPr>
      </w:pPr>
      <w:r w:rsidRPr="00572343">
        <w:rPr>
          <w:rFonts w:ascii="Arial" w:hAnsi="Arial" w:cs="Arial"/>
        </w:rPr>
        <w:t>Hasta aquí debe decirse que, en principio, la norma aplicable es la vigente para el momento del óbito del señor Osorio Castaño, que no es otra que la Ley 100 de 1993 con las modificaciones establecidas en el artículo 12 de la Ley 797 de 2003, la cual exige que él hubiera cotizado 50 semanas en los 3 años anteriores a su fallecimiento, requisito que no se cumplió según quedó demostrado y aceptado, reclamándose entonces que la pensión se reconozca en aplicación del principio de la condición más beneficiosa.</w:t>
      </w:r>
    </w:p>
    <w:p w:rsidR="00572343" w:rsidRPr="00572343" w:rsidRDefault="00572343" w:rsidP="00A004A6">
      <w:pPr>
        <w:widowControl w:val="0"/>
        <w:autoSpaceDE w:val="0"/>
        <w:autoSpaceDN w:val="0"/>
        <w:adjustRightInd w:val="0"/>
        <w:spacing w:line="300" w:lineRule="auto"/>
        <w:ind w:firstLine="708"/>
        <w:jc w:val="both"/>
        <w:rPr>
          <w:rFonts w:ascii="Arial" w:hAnsi="Arial" w:cs="Arial"/>
        </w:rPr>
      </w:pPr>
    </w:p>
    <w:p w:rsidR="00572343" w:rsidRPr="00572343" w:rsidRDefault="00572343" w:rsidP="00A004A6">
      <w:pPr>
        <w:pStyle w:val="Textoindependiente"/>
        <w:numPr>
          <w:ilvl w:val="0"/>
          <w:numId w:val="4"/>
        </w:numPr>
        <w:spacing w:after="0" w:line="300" w:lineRule="auto"/>
        <w:ind w:right="51"/>
        <w:jc w:val="both"/>
        <w:rPr>
          <w:rFonts w:ascii="Arial" w:hAnsi="Arial" w:cs="Arial"/>
          <w:b/>
        </w:rPr>
      </w:pPr>
      <w:r w:rsidRPr="00572343">
        <w:rPr>
          <w:rFonts w:ascii="Arial" w:hAnsi="Arial" w:cs="Arial"/>
          <w:b/>
        </w:rPr>
        <w:t>Del principio de la condición más beneficiosa</w:t>
      </w:r>
      <w:r w:rsidRPr="00572343">
        <w:rPr>
          <w:rStyle w:val="Refdenotaalpie"/>
          <w:rFonts w:ascii="Arial" w:hAnsi="Arial" w:cs="Arial"/>
          <w:b/>
        </w:rPr>
        <w:footnoteReference w:id="4"/>
      </w:r>
    </w:p>
    <w:p w:rsidR="00572343" w:rsidRPr="00572343" w:rsidRDefault="00572343" w:rsidP="00A004A6">
      <w:pPr>
        <w:pStyle w:val="Sinespaciado"/>
        <w:spacing w:line="300" w:lineRule="auto"/>
        <w:rPr>
          <w:rFonts w:ascii="Arial" w:hAnsi="Arial" w:cs="Arial"/>
        </w:rPr>
      </w:pPr>
    </w:p>
    <w:p w:rsidR="00572343" w:rsidRPr="00572343" w:rsidRDefault="00572343" w:rsidP="00A004A6">
      <w:pPr>
        <w:pStyle w:val="Puesto"/>
        <w:spacing w:line="300" w:lineRule="auto"/>
        <w:ind w:firstLine="708"/>
        <w:jc w:val="both"/>
        <w:rPr>
          <w:b w:val="0"/>
        </w:rPr>
      </w:pPr>
      <w:r w:rsidRPr="00572343">
        <w:rPr>
          <w:b w:val="0"/>
        </w:rPr>
        <w:t xml:space="preserve">Como se dijo precedentemente, la normatividad aplicable a la pensión de sobrevivientes es la legislación vigente al momento del fallecimiento del afiliado, no obstante, por excepción es posible acudir a la normatividad anterior con el fin de determinar la concesión o no de la gracia pensional en aplicación del </w:t>
      </w:r>
      <w:r w:rsidRPr="00572343">
        <w:rPr>
          <w:b w:val="0"/>
          <w:i/>
        </w:rPr>
        <w:t xml:space="preserve">“Principio de la </w:t>
      </w:r>
      <w:r w:rsidRPr="00572343">
        <w:rPr>
          <w:b w:val="0"/>
          <w:i/>
        </w:rPr>
        <w:lastRenderedPageBreak/>
        <w:t>condición más beneficiosa</w:t>
      </w:r>
      <w:r w:rsidRPr="00572343">
        <w:rPr>
          <w:b w:val="0"/>
        </w:rPr>
        <w:t xml:space="preserve">”, siempre y cuando el causante o el afiliado, según se trate de pensión de sobrevivencia o pensión de invalidez, haya acumulado el número mínimo de semanas para causar el derecho conforme a las regulaciones previas a la norma vigente a la fecha del fallecimiento o la estructuración de la invalidez, según el caso.  </w:t>
      </w:r>
    </w:p>
    <w:p w:rsidR="00572343" w:rsidRPr="00572343" w:rsidRDefault="00572343" w:rsidP="00A004A6">
      <w:pPr>
        <w:pStyle w:val="Puesto"/>
        <w:spacing w:line="300" w:lineRule="auto"/>
        <w:ind w:firstLine="708"/>
        <w:jc w:val="both"/>
        <w:rPr>
          <w:b w:val="0"/>
        </w:rPr>
      </w:pPr>
    </w:p>
    <w:p w:rsidR="00572343" w:rsidRPr="00572343" w:rsidRDefault="00572343" w:rsidP="00A004A6">
      <w:pPr>
        <w:pStyle w:val="Puesto"/>
        <w:spacing w:line="300" w:lineRule="auto"/>
        <w:ind w:firstLine="708"/>
        <w:jc w:val="both"/>
        <w:rPr>
          <w:b w:val="0"/>
        </w:rPr>
      </w:pPr>
      <w:r w:rsidRPr="00572343">
        <w:rPr>
          <w:b w:val="0"/>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suscrita Magistrada-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rsidR="00572343" w:rsidRPr="00572343" w:rsidRDefault="00572343" w:rsidP="00A004A6">
      <w:pPr>
        <w:spacing w:line="300" w:lineRule="auto"/>
        <w:ind w:firstLine="709"/>
        <w:jc w:val="both"/>
        <w:rPr>
          <w:rFonts w:ascii="Arial" w:hAnsi="Arial" w:cs="Arial"/>
          <w:spacing w:val="-2"/>
        </w:rPr>
      </w:pPr>
      <w:r w:rsidRPr="00572343">
        <w:rPr>
          <w:rFonts w:ascii="Arial" w:hAnsi="Arial" w:cs="Arial"/>
        </w:rPr>
        <w:t xml:space="preserve">  </w:t>
      </w:r>
    </w:p>
    <w:p w:rsidR="00572343" w:rsidRPr="00572343" w:rsidRDefault="00572343" w:rsidP="00A004A6">
      <w:pPr>
        <w:pStyle w:val="Puesto"/>
        <w:spacing w:line="300" w:lineRule="auto"/>
        <w:ind w:firstLine="708"/>
        <w:jc w:val="both"/>
        <w:rPr>
          <w:b w:val="0"/>
          <w:spacing w:val="-2"/>
        </w:rPr>
      </w:pPr>
      <w:r w:rsidRPr="00572343">
        <w:rPr>
          <w:b w:val="0"/>
        </w:rPr>
        <w:t xml:space="preserve">No obstante, atendiendo la interpretación que tuvo la Corte Constitucional sobre la materia, la cual resulta más favorable para la beneficiaria, es posible el salto de la Ley 797 de 2003 a los antiguos reglamentos del ISS (hoy Colpensiones), en la medida en que </w:t>
      </w:r>
      <w:r w:rsidRPr="00572343">
        <w:rPr>
          <w:b w:val="0"/>
          <w:spacing w:val="-2"/>
        </w:rPr>
        <w:t xml:space="preserve">el artículo 53 de la Constitución no restringe la aplicación de la condición más beneficiosa a sólo dos normas aplicables al caso. En ese sentido, el presente asunto podía analizarse a la luz del Acuerdo 049 de 1990, que si bien no es la norma inmediatamente anterior, se acompasa al precedente del Tribunal Constitucional, quien a través de la sentencia SU-442 del 18 de agosto de 2016 </w:t>
      </w:r>
      <w:r w:rsidRPr="00572343">
        <w:rPr>
          <w:b w:val="0"/>
          <w:i/>
          <w:spacing w:val="-2"/>
        </w:rPr>
        <w:t>–en la que se analizó una pensión de invalidez-</w:t>
      </w:r>
      <w:r w:rsidRPr="00572343">
        <w:rPr>
          <w:b w:val="0"/>
          <w:spacing w:val="-2"/>
        </w:rPr>
        <w:t>, unificó los criterios en relación con la aplicación de principio en comento,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572343" w:rsidRPr="00572343" w:rsidRDefault="00572343" w:rsidP="00A004A6">
      <w:pPr>
        <w:spacing w:line="300" w:lineRule="auto"/>
        <w:ind w:firstLine="708"/>
        <w:jc w:val="both"/>
        <w:rPr>
          <w:rFonts w:ascii="Arial" w:hAnsi="Arial" w:cs="Arial"/>
        </w:rPr>
      </w:pPr>
    </w:p>
    <w:p w:rsidR="00572343" w:rsidRPr="00572343" w:rsidRDefault="00572343" w:rsidP="00A004A6">
      <w:pPr>
        <w:spacing w:line="300" w:lineRule="auto"/>
        <w:jc w:val="both"/>
        <w:rPr>
          <w:rFonts w:ascii="Arial" w:hAnsi="Arial" w:cs="Arial"/>
          <w:spacing w:val="-2"/>
        </w:rPr>
      </w:pPr>
      <w:r w:rsidRPr="00572343">
        <w:rPr>
          <w:rFonts w:ascii="Arial" w:hAnsi="Arial" w:cs="Arial"/>
          <w:spacing w:val="-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w:t>
      </w:r>
      <w:r w:rsidRPr="00572343">
        <w:rPr>
          <w:rFonts w:ascii="Arial" w:hAnsi="Arial" w:cs="Arial"/>
          <w:spacing w:val="-2"/>
        </w:rPr>
        <w:lastRenderedPageBreak/>
        <w:t xml:space="preserve">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pensión de invalidez, según el caso.  </w:t>
      </w:r>
    </w:p>
    <w:p w:rsidR="00572343" w:rsidRPr="00572343" w:rsidRDefault="00572343" w:rsidP="00A004A6">
      <w:pPr>
        <w:spacing w:line="300" w:lineRule="auto"/>
        <w:jc w:val="both"/>
        <w:rPr>
          <w:rFonts w:ascii="Arial" w:hAnsi="Arial" w:cs="Arial"/>
          <w:spacing w:val="-2"/>
        </w:rPr>
      </w:pPr>
    </w:p>
    <w:p w:rsidR="00572343" w:rsidRPr="00572343" w:rsidRDefault="00572343" w:rsidP="00A004A6">
      <w:pPr>
        <w:pStyle w:val="Textoindependiente31"/>
        <w:spacing w:line="300" w:lineRule="auto"/>
        <w:ind w:firstLine="851"/>
        <w:rPr>
          <w:rFonts w:cs="Arial"/>
          <w:szCs w:val="24"/>
        </w:rPr>
      </w:pPr>
      <w:r w:rsidRPr="00572343">
        <w:rPr>
          <w:rFonts w:cs="Arial"/>
          <w:szCs w:val="24"/>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572343" w:rsidRPr="00572343" w:rsidRDefault="00572343" w:rsidP="00A004A6">
      <w:pPr>
        <w:pStyle w:val="Sinespaciado"/>
        <w:spacing w:line="300" w:lineRule="auto"/>
        <w:rPr>
          <w:rFonts w:ascii="Arial" w:hAnsi="Arial" w:cs="Arial"/>
        </w:rPr>
      </w:pPr>
    </w:p>
    <w:p w:rsidR="00572343" w:rsidRPr="00A004A6" w:rsidRDefault="00572343" w:rsidP="00A004A6">
      <w:pPr>
        <w:overflowPunct w:val="0"/>
        <w:autoSpaceDE w:val="0"/>
        <w:autoSpaceDN w:val="0"/>
        <w:adjustRightInd w:val="0"/>
        <w:ind w:left="426" w:right="420"/>
        <w:jc w:val="both"/>
        <w:textAlignment w:val="baseline"/>
        <w:rPr>
          <w:rFonts w:ascii="Arial" w:hAnsi="Arial" w:cs="Arial"/>
          <w:i/>
          <w:sz w:val="22"/>
        </w:rPr>
      </w:pPr>
      <w:r w:rsidRPr="00A004A6">
        <w:rPr>
          <w:rFonts w:ascii="Arial" w:hAnsi="Arial" w:cs="Arial"/>
          <w:i/>
          <w:sz w:val="22"/>
        </w:rPr>
        <w:t>“</w:t>
      </w:r>
      <w:r w:rsidRPr="00A004A6">
        <w:rPr>
          <w:rFonts w:ascii="Arial" w:hAnsi="Arial" w:cs="Arial"/>
          <w:sz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A004A6">
        <w:rPr>
          <w:rFonts w:ascii="Arial" w:hAnsi="Arial" w:cs="Arial"/>
          <w:i/>
          <w:sz w:val="22"/>
        </w:rPr>
        <w:t xml:space="preserve">”. </w:t>
      </w:r>
    </w:p>
    <w:p w:rsidR="00572343" w:rsidRPr="00572343" w:rsidRDefault="00572343" w:rsidP="00A004A6">
      <w:pPr>
        <w:spacing w:line="300" w:lineRule="auto"/>
        <w:ind w:firstLine="708"/>
        <w:jc w:val="both"/>
        <w:rPr>
          <w:rFonts w:ascii="Arial" w:hAnsi="Arial" w:cs="Arial"/>
          <w:spacing w:val="-2"/>
          <w:lang w:val="es-ES_tradnl"/>
        </w:rPr>
      </w:pPr>
    </w:p>
    <w:p w:rsidR="00572343" w:rsidRPr="00572343" w:rsidRDefault="00572343" w:rsidP="00A004A6">
      <w:pPr>
        <w:pStyle w:val="Textoindependiente"/>
        <w:numPr>
          <w:ilvl w:val="0"/>
          <w:numId w:val="4"/>
        </w:numPr>
        <w:spacing w:after="0" w:line="300" w:lineRule="auto"/>
        <w:ind w:right="51"/>
        <w:jc w:val="both"/>
        <w:rPr>
          <w:rFonts w:ascii="Arial" w:hAnsi="Arial" w:cs="Arial"/>
          <w:b/>
        </w:rPr>
      </w:pPr>
      <w:r w:rsidRPr="00572343">
        <w:rPr>
          <w:rFonts w:ascii="Arial" w:hAnsi="Arial" w:cs="Arial"/>
          <w:b/>
        </w:rPr>
        <w:t xml:space="preserve">Caso concreto </w:t>
      </w:r>
    </w:p>
    <w:p w:rsidR="00572343" w:rsidRPr="00572343" w:rsidRDefault="00572343" w:rsidP="00A004A6">
      <w:pPr>
        <w:pStyle w:val="Prrafodelista"/>
        <w:tabs>
          <w:tab w:val="left" w:pos="0"/>
        </w:tabs>
        <w:spacing w:line="300" w:lineRule="auto"/>
        <w:ind w:left="450"/>
        <w:jc w:val="both"/>
        <w:rPr>
          <w:rFonts w:ascii="Arial" w:hAnsi="Arial" w:cs="Arial"/>
          <w:color w:val="FF0000"/>
        </w:rPr>
      </w:pPr>
    </w:p>
    <w:p w:rsidR="00572343" w:rsidRPr="00572343" w:rsidRDefault="00572343" w:rsidP="00A004A6">
      <w:pPr>
        <w:pStyle w:val="Prrafodelista"/>
        <w:autoSpaceDE w:val="0"/>
        <w:autoSpaceDN w:val="0"/>
        <w:adjustRightInd w:val="0"/>
        <w:spacing w:line="300" w:lineRule="auto"/>
        <w:ind w:left="0" w:firstLine="709"/>
        <w:jc w:val="both"/>
        <w:rPr>
          <w:rFonts w:ascii="Arial" w:hAnsi="Arial" w:cs="Arial"/>
        </w:rPr>
      </w:pPr>
      <w:r w:rsidRPr="00572343">
        <w:rPr>
          <w:rFonts w:ascii="Arial" w:hAnsi="Arial" w:cs="Arial"/>
        </w:rPr>
        <w:t>Acorde con la interpretación de la Corte Constitucional, en el presente asunto es procedente aplicar el Acuerdo 049 de 1990, pues como se vio, el principio de la condición más beneficiosa opera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459 semanas antes del 1º de abril de 1994, es evidente que dejó causado el derecho para que sus beneficiarios accedieran a dicha prestación en virtud del aludido principio.</w:t>
      </w:r>
    </w:p>
    <w:p w:rsidR="00572343" w:rsidRPr="00572343" w:rsidRDefault="00572343" w:rsidP="00A004A6">
      <w:pPr>
        <w:pStyle w:val="Prrafodelista"/>
        <w:autoSpaceDE w:val="0"/>
        <w:autoSpaceDN w:val="0"/>
        <w:adjustRightInd w:val="0"/>
        <w:spacing w:line="300" w:lineRule="auto"/>
        <w:ind w:left="0" w:firstLine="709"/>
        <w:jc w:val="both"/>
        <w:rPr>
          <w:rFonts w:ascii="Arial" w:hAnsi="Arial" w:cs="Arial"/>
        </w:rPr>
      </w:pPr>
    </w:p>
    <w:p w:rsidR="00572343" w:rsidRPr="00572343" w:rsidRDefault="00572343" w:rsidP="00A004A6">
      <w:pPr>
        <w:pStyle w:val="Prrafodelista"/>
        <w:tabs>
          <w:tab w:val="left" w:pos="748"/>
        </w:tabs>
        <w:spacing w:line="300" w:lineRule="auto"/>
        <w:ind w:left="0" w:firstLine="709"/>
        <w:jc w:val="both"/>
        <w:rPr>
          <w:rFonts w:ascii="Arial" w:hAnsi="Arial" w:cs="Arial"/>
        </w:rPr>
      </w:pPr>
      <w:r w:rsidRPr="00572343">
        <w:rPr>
          <w:rFonts w:ascii="Arial" w:hAnsi="Arial" w:cs="Arial"/>
        </w:rPr>
        <w:t xml:space="preserve">Respecto a la calidad de beneficiaria de la demandante, debe decirse que de los testimonios rendidos por José Hernando Osorio López y Jaime Hernando Toro Gómez se puede extraer tal condición, pues de manera coherente informaron desde </w:t>
      </w:r>
      <w:r w:rsidRPr="00572343">
        <w:rPr>
          <w:rFonts w:ascii="Arial" w:hAnsi="Arial" w:cs="Arial"/>
        </w:rPr>
        <w:lastRenderedPageBreak/>
        <w:t xml:space="preserve">su perspectiva y experiencia por qué les constaba que la actora y el </w:t>
      </w:r>
      <w:r w:rsidRPr="00572343">
        <w:rPr>
          <w:rFonts w:ascii="Arial" w:hAnsi="Arial" w:cs="Arial"/>
          <w:i/>
        </w:rPr>
        <w:t>de cujus</w:t>
      </w:r>
      <w:r w:rsidRPr="00572343">
        <w:rPr>
          <w:rFonts w:ascii="Arial" w:hAnsi="Arial" w:cs="Arial"/>
        </w:rPr>
        <w:t xml:space="preserve"> convivieron en los cinco años anteriores al deceso de aquel.</w:t>
      </w:r>
    </w:p>
    <w:p w:rsidR="00572343" w:rsidRPr="00572343" w:rsidRDefault="00572343" w:rsidP="00A004A6">
      <w:pPr>
        <w:pStyle w:val="Prrafodelista"/>
        <w:tabs>
          <w:tab w:val="left" w:pos="748"/>
        </w:tabs>
        <w:spacing w:line="300" w:lineRule="auto"/>
        <w:ind w:left="0" w:firstLine="709"/>
        <w:jc w:val="both"/>
        <w:rPr>
          <w:rFonts w:ascii="Arial" w:hAnsi="Arial" w:cs="Arial"/>
        </w:rPr>
      </w:pPr>
    </w:p>
    <w:p w:rsidR="00572343" w:rsidRPr="00572343" w:rsidRDefault="00572343" w:rsidP="00A004A6">
      <w:pPr>
        <w:spacing w:line="300" w:lineRule="auto"/>
        <w:ind w:firstLine="708"/>
        <w:jc w:val="both"/>
        <w:rPr>
          <w:rFonts w:ascii="Arial" w:hAnsi="Arial" w:cs="Arial"/>
        </w:rPr>
      </w:pPr>
      <w:r w:rsidRPr="00572343">
        <w:rPr>
          <w:rFonts w:ascii="Arial" w:hAnsi="Arial" w:cs="Arial"/>
          <w:spacing w:val="-2"/>
        </w:rPr>
        <w:t xml:space="preserve">En virtud de lo anterior, considero que debió revocarse la sentencia de primera instancia para, en su lugar, </w:t>
      </w:r>
      <w:r w:rsidRPr="00572343">
        <w:rPr>
          <w:rFonts w:ascii="Arial" w:hAnsi="Arial" w:cs="Arial"/>
        </w:rPr>
        <w:t xml:space="preserve">declarar que a la señora María </w:t>
      </w:r>
      <w:proofErr w:type="spellStart"/>
      <w:r w:rsidRPr="00572343">
        <w:rPr>
          <w:rFonts w:ascii="Arial" w:hAnsi="Arial" w:cs="Arial"/>
        </w:rPr>
        <w:t>Janneth</w:t>
      </w:r>
      <w:proofErr w:type="spellEnd"/>
      <w:r w:rsidRPr="00572343">
        <w:rPr>
          <w:rFonts w:ascii="Arial" w:hAnsi="Arial" w:cs="Arial"/>
        </w:rPr>
        <w:t xml:space="preserve"> Toro Gómez le asiste derecho al reconocimiento a la pensión de sobrevivientes que dejó causada su cónyuge, Julio César Osorio Castaño, en virtud del principio de la condición más beneficiosa, en cuantía del salario mínimo legal y por trece mesadas anuales.</w:t>
      </w:r>
    </w:p>
    <w:p w:rsidR="00572343" w:rsidRPr="00572343" w:rsidRDefault="00572343" w:rsidP="00A004A6">
      <w:pPr>
        <w:spacing w:line="300" w:lineRule="auto"/>
        <w:ind w:firstLine="709"/>
        <w:jc w:val="both"/>
        <w:rPr>
          <w:rFonts w:ascii="Arial" w:hAnsi="Arial" w:cs="Arial"/>
          <w:color w:val="000000" w:themeColor="text1"/>
        </w:rPr>
      </w:pPr>
    </w:p>
    <w:p w:rsidR="00572343" w:rsidRPr="00572343" w:rsidRDefault="00572343" w:rsidP="00A004A6">
      <w:pPr>
        <w:spacing w:line="300" w:lineRule="auto"/>
        <w:ind w:firstLine="709"/>
        <w:jc w:val="both"/>
        <w:rPr>
          <w:rFonts w:ascii="Arial" w:hAnsi="Arial" w:cs="Arial"/>
          <w:color w:val="000000" w:themeColor="text1"/>
        </w:rPr>
      </w:pPr>
      <w:r w:rsidRPr="00572343">
        <w:rPr>
          <w:rFonts w:ascii="Arial" w:hAnsi="Arial" w:cs="Arial"/>
          <w:color w:val="000000" w:themeColor="text1"/>
        </w:rPr>
        <w:t>En estos términos sustento mi salvamento de voto.</w:t>
      </w:r>
    </w:p>
    <w:p w:rsidR="00572343" w:rsidRPr="00572343" w:rsidRDefault="00572343" w:rsidP="00A004A6">
      <w:pPr>
        <w:pStyle w:val="Textoindependiente"/>
        <w:spacing w:line="300" w:lineRule="auto"/>
        <w:ind w:firstLine="709"/>
        <w:rPr>
          <w:rFonts w:ascii="Arial" w:hAnsi="Arial" w:cs="Arial"/>
          <w:color w:val="000000" w:themeColor="text1"/>
        </w:rPr>
      </w:pPr>
    </w:p>
    <w:p w:rsidR="00572343" w:rsidRPr="00572343" w:rsidRDefault="00572343" w:rsidP="00A004A6">
      <w:pPr>
        <w:widowControl w:val="0"/>
        <w:autoSpaceDE w:val="0"/>
        <w:autoSpaceDN w:val="0"/>
        <w:adjustRightInd w:val="0"/>
        <w:spacing w:line="300" w:lineRule="auto"/>
        <w:ind w:firstLine="709"/>
        <w:jc w:val="both"/>
        <w:rPr>
          <w:rFonts w:ascii="Arial" w:hAnsi="Arial" w:cs="Arial"/>
          <w:color w:val="000000" w:themeColor="text1"/>
        </w:rPr>
      </w:pPr>
    </w:p>
    <w:p w:rsidR="00572343" w:rsidRPr="00572343" w:rsidRDefault="00572343" w:rsidP="00A004A6">
      <w:pPr>
        <w:widowControl w:val="0"/>
        <w:autoSpaceDE w:val="0"/>
        <w:autoSpaceDN w:val="0"/>
        <w:adjustRightInd w:val="0"/>
        <w:spacing w:line="300" w:lineRule="auto"/>
        <w:ind w:firstLine="709"/>
        <w:jc w:val="both"/>
        <w:rPr>
          <w:rFonts w:ascii="Arial" w:hAnsi="Arial" w:cs="Arial"/>
          <w:color w:val="000000" w:themeColor="text1"/>
        </w:rPr>
      </w:pPr>
    </w:p>
    <w:p w:rsidR="00572343" w:rsidRPr="00572343" w:rsidRDefault="00572343" w:rsidP="00A004A6">
      <w:pPr>
        <w:widowControl w:val="0"/>
        <w:autoSpaceDE w:val="0"/>
        <w:autoSpaceDN w:val="0"/>
        <w:adjustRightInd w:val="0"/>
        <w:spacing w:line="300" w:lineRule="auto"/>
        <w:ind w:firstLine="709"/>
        <w:jc w:val="both"/>
        <w:rPr>
          <w:rFonts w:ascii="Arial" w:hAnsi="Arial" w:cs="Arial"/>
          <w:color w:val="000000" w:themeColor="text1"/>
        </w:rPr>
      </w:pPr>
    </w:p>
    <w:p w:rsidR="00572343" w:rsidRPr="00572343" w:rsidRDefault="00572343" w:rsidP="00A004A6">
      <w:pPr>
        <w:widowControl w:val="0"/>
        <w:autoSpaceDE w:val="0"/>
        <w:autoSpaceDN w:val="0"/>
        <w:adjustRightInd w:val="0"/>
        <w:spacing w:line="300" w:lineRule="auto"/>
        <w:ind w:firstLine="709"/>
        <w:jc w:val="both"/>
        <w:rPr>
          <w:rFonts w:ascii="Arial" w:hAnsi="Arial" w:cs="Arial"/>
          <w:color w:val="000000" w:themeColor="text1"/>
        </w:rPr>
      </w:pPr>
    </w:p>
    <w:p w:rsidR="00572343" w:rsidRPr="00572343" w:rsidRDefault="00572343" w:rsidP="00A004A6">
      <w:pPr>
        <w:pStyle w:val="Ttulo3"/>
        <w:spacing w:before="0" w:after="0" w:line="300" w:lineRule="auto"/>
        <w:ind w:firstLine="709"/>
        <w:rPr>
          <w:color w:val="000000" w:themeColor="text1"/>
          <w:sz w:val="24"/>
          <w:szCs w:val="24"/>
        </w:rPr>
      </w:pPr>
      <w:r w:rsidRPr="00572343">
        <w:rPr>
          <w:color w:val="000000" w:themeColor="text1"/>
          <w:sz w:val="24"/>
          <w:szCs w:val="24"/>
        </w:rPr>
        <w:t>ANA LUCÍA CAICEDO CALDERÓN</w:t>
      </w:r>
    </w:p>
    <w:p w:rsidR="00572343" w:rsidRPr="00A004A6" w:rsidRDefault="00572343" w:rsidP="00A004A6">
      <w:pPr>
        <w:pStyle w:val="Ttulo3"/>
        <w:spacing w:before="0" w:after="0" w:line="300" w:lineRule="auto"/>
        <w:ind w:firstLine="709"/>
        <w:rPr>
          <w:b w:val="0"/>
          <w:color w:val="000000" w:themeColor="text1"/>
          <w:sz w:val="24"/>
          <w:szCs w:val="24"/>
        </w:rPr>
      </w:pPr>
      <w:r w:rsidRPr="00A004A6">
        <w:rPr>
          <w:b w:val="0"/>
          <w:color w:val="000000" w:themeColor="text1"/>
          <w:sz w:val="24"/>
          <w:szCs w:val="24"/>
        </w:rPr>
        <w:t>Magistrada</w:t>
      </w:r>
      <w:bookmarkStart w:id="0" w:name="_GoBack"/>
      <w:bookmarkEnd w:id="0"/>
    </w:p>
    <w:sectPr w:rsidR="00572343" w:rsidRPr="00A004A6" w:rsidSect="00F94302">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1D" w:rsidRDefault="0081771D" w:rsidP="00DE2563">
      <w:r>
        <w:separator/>
      </w:r>
    </w:p>
  </w:endnote>
  <w:endnote w:type="continuationSeparator" w:id="0">
    <w:p w:rsidR="0081771D" w:rsidRDefault="0081771D"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rPr>
    </w:sdtEndPr>
    <w:sdtContent>
      <w:p w:rsidR="00C424B7" w:rsidRPr="004E5AA1" w:rsidRDefault="00C424B7">
        <w:pPr>
          <w:pStyle w:val="Piedepgina"/>
          <w:jc w:val="right"/>
          <w:rPr>
            <w:rFonts w:ascii="Arial" w:hAnsi="Arial" w:cs="Arial"/>
            <w:sz w:val="18"/>
          </w:rPr>
        </w:pPr>
        <w:r w:rsidRPr="004E5AA1">
          <w:rPr>
            <w:rFonts w:ascii="Arial" w:hAnsi="Arial" w:cs="Arial"/>
            <w:sz w:val="18"/>
          </w:rPr>
          <w:fldChar w:fldCharType="begin"/>
        </w:r>
        <w:r w:rsidRPr="004E5AA1">
          <w:rPr>
            <w:rFonts w:ascii="Arial" w:hAnsi="Arial" w:cs="Arial"/>
            <w:sz w:val="18"/>
          </w:rPr>
          <w:instrText>PAGE   \* MERGEFORMAT</w:instrText>
        </w:r>
        <w:r w:rsidRPr="004E5AA1">
          <w:rPr>
            <w:rFonts w:ascii="Arial" w:hAnsi="Arial" w:cs="Arial"/>
            <w:sz w:val="18"/>
          </w:rPr>
          <w:fldChar w:fldCharType="separate"/>
        </w:r>
        <w:r w:rsidR="00CF6ED5">
          <w:rPr>
            <w:rFonts w:ascii="Arial" w:hAnsi="Arial" w:cs="Arial"/>
            <w:noProof/>
            <w:sz w:val="18"/>
          </w:rPr>
          <w:t>11</w:t>
        </w:r>
        <w:r w:rsidRPr="004E5AA1">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0561771"/>
      <w:docPartObj>
        <w:docPartGallery w:val="Page Numbers (Bottom of Page)"/>
        <w:docPartUnique/>
      </w:docPartObj>
    </w:sdtPr>
    <w:sdtEndPr/>
    <w:sdtContent>
      <w:p w:rsidR="00C424B7" w:rsidRDefault="00C424B7">
        <w:pPr>
          <w:pStyle w:val="Piedepgina"/>
          <w:jc w:val="right"/>
        </w:pPr>
        <w:r>
          <w:fldChar w:fldCharType="begin"/>
        </w:r>
        <w:r>
          <w:instrText>PAGE   \* MERGEFORMAT</w:instrText>
        </w:r>
        <w:r>
          <w:fldChar w:fldCharType="separate"/>
        </w:r>
        <w:r w:rsidR="00CF6ED5">
          <w:rPr>
            <w:noProof/>
          </w:rPr>
          <w:t>1</w:t>
        </w:r>
        <w:r>
          <w:fldChar w:fldCharType="end"/>
        </w:r>
      </w:p>
    </w:sdtContent>
  </w:sdt>
  <w:p w:rsidR="00C424B7" w:rsidRDefault="00C42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1D" w:rsidRDefault="0081771D" w:rsidP="00DE2563">
      <w:r>
        <w:separator/>
      </w:r>
    </w:p>
  </w:footnote>
  <w:footnote w:type="continuationSeparator" w:id="0">
    <w:p w:rsidR="0081771D" w:rsidRDefault="0081771D" w:rsidP="00DE2563">
      <w:r>
        <w:continuationSeparator/>
      </w:r>
    </w:p>
  </w:footnote>
  <w:footnote w:id="1">
    <w:p w:rsidR="008A3148" w:rsidRPr="004E5AA1" w:rsidRDefault="008A3148" w:rsidP="008A3148">
      <w:pPr>
        <w:jc w:val="both"/>
        <w:rPr>
          <w:rFonts w:ascii="Arial" w:eastAsia="Calibri" w:hAnsi="Arial" w:cs="Arial"/>
          <w:sz w:val="18"/>
          <w:szCs w:val="18"/>
        </w:rPr>
      </w:pPr>
      <w:r w:rsidRPr="004E5AA1">
        <w:rPr>
          <w:rStyle w:val="Refdenotaalpie"/>
          <w:rFonts w:ascii="Arial" w:hAnsi="Arial" w:cs="Arial"/>
          <w:sz w:val="18"/>
          <w:szCs w:val="18"/>
        </w:rPr>
        <w:footnoteRef/>
      </w:r>
      <w:r w:rsidRPr="004E5AA1">
        <w:rPr>
          <w:rFonts w:ascii="Arial" w:hAnsi="Arial" w:cs="Arial"/>
          <w:color w:val="000000"/>
          <w:sz w:val="18"/>
          <w:szCs w:val="18"/>
        </w:rPr>
        <w:t xml:space="preserve"> Sentencia </w:t>
      </w:r>
      <w:r w:rsidRPr="004E5AA1">
        <w:rPr>
          <w:rFonts w:ascii="Arial" w:eastAsia="Calibri" w:hAnsi="Arial" w:cs="Arial"/>
          <w:sz w:val="18"/>
          <w:szCs w:val="18"/>
        </w:rPr>
        <w:t>de 24 de enero de 2018. Radicado No. 58298.</w:t>
      </w:r>
      <w:r w:rsidRPr="004E5AA1">
        <w:rPr>
          <w:rFonts w:ascii="Arial" w:hAnsi="Arial" w:cs="Arial"/>
          <w:color w:val="000000"/>
          <w:sz w:val="18"/>
          <w:szCs w:val="18"/>
        </w:rPr>
        <w:t xml:space="preserve"> M.P. </w:t>
      </w:r>
      <w:r w:rsidRPr="004E5AA1">
        <w:rPr>
          <w:rFonts w:ascii="Arial" w:eastAsia="Calibri" w:hAnsi="Arial" w:cs="Arial"/>
          <w:sz w:val="18"/>
          <w:szCs w:val="18"/>
        </w:rPr>
        <w:t>Fernando Castillo Cadena.</w:t>
      </w:r>
    </w:p>
  </w:footnote>
  <w:footnote w:id="2">
    <w:p w:rsidR="008A3148" w:rsidRPr="004E5AA1" w:rsidRDefault="008A3148" w:rsidP="008A3148">
      <w:pPr>
        <w:pStyle w:val="Textonotapie"/>
        <w:rPr>
          <w:rFonts w:ascii="Arial" w:hAnsi="Arial" w:cs="Arial"/>
          <w:i/>
          <w:sz w:val="18"/>
          <w:szCs w:val="18"/>
          <w:lang w:val="es-CO"/>
        </w:rPr>
      </w:pPr>
      <w:r w:rsidRPr="004E5AA1">
        <w:rPr>
          <w:rStyle w:val="Refdenotaalpie"/>
          <w:rFonts w:ascii="Arial" w:hAnsi="Arial" w:cs="Arial"/>
          <w:sz w:val="18"/>
          <w:szCs w:val="18"/>
        </w:rPr>
        <w:footnoteRef/>
      </w:r>
      <w:r w:rsidRPr="004E5AA1">
        <w:rPr>
          <w:rFonts w:ascii="Arial" w:hAnsi="Arial" w:cs="Arial"/>
          <w:sz w:val="18"/>
          <w:szCs w:val="18"/>
        </w:rPr>
        <w:t xml:space="preserve"> </w:t>
      </w:r>
      <w:r w:rsidRPr="004E5AA1">
        <w:rPr>
          <w:rFonts w:ascii="Arial" w:hAnsi="Arial" w:cs="Arial"/>
          <w:sz w:val="18"/>
          <w:szCs w:val="18"/>
          <w:lang w:val="es-CO"/>
        </w:rPr>
        <w:t>SL4650-2017.</w:t>
      </w:r>
    </w:p>
  </w:footnote>
  <w:footnote w:id="3">
    <w:p w:rsidR="008A3148" w:rsidRPr="004E5AA1" w:rsidRDefault="008A3148" w:rsidP="008A3148">
      <w:pPr>
        <w:pStyle w:val="Textonotapie"/>
        <w:rPr>
          <w:rFonts w:ascii="Arial" w:hAnsi="Arial" w:cs="Arial"/>
          <w:sz w:val="18"/>
          <w:szCs w:val="18"/>
          <w:lang w:val="es-CO"/>
        </w:rPr>
      </w:pPr>
      <w:r w:rsidRPr="004E5AA1">
        <w:rPr>
          <w:rStyle w:val="Refdenotaalpie"/>
          <w:rFonts w:ascii="Arial" w:hAnsi="Arial" w:cs="Arial"/>
          <w:sz w:val="18"/>
          <w:szCs w:val="18"/>
        </w:rPr>
        <w:footnoteRef/>
      </w:r>
      <w:r w:rsidRPr="004E5AA1">
        <w:rPr>
          <w:rFonts w:ascii="Arial" w:hAnsi="Arial" w:cs="Arial"/>
          <w:sz w:val="18"/>
          <w:szCs w:val="18"/>
        </w:rPr>
        <w:t xml:space="preserve"> </w:t>
      </w:r>
      <w:r w:rsidRPr="004E5AA1">
        <w:rPr>
          <w:rFonts w:ascii="Arial" w:hAnsi="Arial" w:cs="Arial"/>
          <w:sz w:val="18"/>
          <w:szCs w:val="18"/>
          <w:lang w:val="es-CO"/>
        </w:rPr>
        <w:t>SL1505-2019, SL1334-2019 y SL1341-2019.</w:t>
      </w:r>
    </w:p>
  </w:footnote>
  <w:footnote w:id="4">
    <w:p w:rsidR="00572343" w:rsidRPr="00A004A6" w:rsidRDefault="00572343" w:rsidP="00A004A6">
      <w:pPr>
        <w:jc w:val="both"/>
        <w:rPr>
          <w:rFonts w:ascii="Arial" w:hAnsi="Arial" w:cs="Arial"/>
          <w:sz w:val="18"/>
          <w:szCs w:val="18"/>
        </w:rPr>
      </w:pPr>
      <w:r w:rsidRPr="00A004A6">
        <w:rPr>
          <w:rStyle w:val="Refdenotaalpie"/>
          <w:rFonts w:ascii="Arial" w:hAnsi="Arial" w:cs="Arial"/>
          <w:sz w:val="18"/>
          <w:szCs w:val="18"/>
        </w:rPr>
        <w:footnoteRef/>
      </w:r>
      <w:r w:rsidRPr="00A004A6">
        <w:rPr>
          <w:rFonts w:ascii="Arial" w:hAnsi="Arial" w:cs="Arial"/>
          <w:sz w:val="18"/>
          <w:szCs w:val="18"/>
        </w:rPr>
        <w:t xml:space="preserve">  Tal como lo he expuesto en distintos salvamentos de voto, no comparto la exigencia de los cinco requisitos establecidos en la sentencia SU-005 de 2018, que componen el “test de procedencia” para la aplicación del principio de la condición más beneficiosa</w:t>
      </w:r>
      <w:r w:rsidRPr="00A004A6">
        <w:rPr>
          <w:rStyle w:val="Refdenotaalpie"/>
          <w:rFonts w:ascii="Arial" w:hAnsi="Arial" w:cs="Arial"/>
          <w:sz w:val="18"/>
          <w:szCs w:val="18"/>
        </w:rPr>
        <w:footnoteRef/>
      </w:r>
      <w:r w:rsidRPr="00A004A6">
        <w:rPr>
          <w:rFonts w:ascii="Arial" w:hAnsi="Arial" w:cs="Arial"/>
          <w:sz w:val="18"/>
          <w:szCs w:val="18"/>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572343" w:rsidRPr="00A004A6" w:rsidRDefault="00572343" w:rsidP="00A004A6">
      <w:pPr>
        <w:jc w:val="both"/>
        <w:rPr>
          <w:rFonts w:ascii="Arial" w:hAnsi="Arial" w:cs="Arial"/>
          <w:sz w:val="18"/>
          <w:szCs w:val="18"/>
        </w:rPr>
      </w:pPr>
      <w:r w:rsidRPr="00A004A6">
        <w:rPr>
          <w:rFonts w:ascii="Arial" w:hAnsi="Arial" w:cs="Arial"/>
          <w:sz w:val="18"/>
          <w:szCs w:val="18"/>
        </w:rPr>
        <w:t>Así las cosas, al compartir los fundamentos planteados en los aludidos salvamentos de voto, me acojo a los mismos para apartarme de la sentencia de primer grado, pues si bien el causante no tenía 50 semanas cotizadas en los 3 años anteriores a su fallecimiento, esto es, no cumplía los requisitos de la Ley 797 de 2003, cotizó más de 300 semanas antes de la entrada en vigencia de la Ley 100 de 1993; ello aunado al hecho de que la calidad de beneficiaria de la pensión de sobrevivientes de la demandante quedó demostrada con la declaración de Wilson Antonio Patiño y Amparo Vera, quienes coincidieron en afirmar que la demandante –como cónyuge- convivió ininterrumpidamente con el causante en los 5 años anteriores al deceso de 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716" w:rsidRPr="004E5AA1" w:rsidRDefault="005C4716" w:rsidP="005C4716">
    <w:pPr>
      <w:pStyle w:val="Puesto"/>
      <w:spacing w:line="240" w:lineRule="auto"/>
      <w:jc w:val="both"/>
      <w:rPr>
        <w:b w:val="0"/>
        <w:sz w:val="18"/>
        <w:szCs w:val="14"/>
      </w:rPr>
    </w:pPr>
    <w:r w:rsidRPr="004E5AA1">
      <w:rPr>
        <w:b w:val="0"/>
        <w:sz w:val="18"/>
        <w:szCs w:val="14"/>
      </w:rPr>
      <w:t>Radicación No.: 66001-31-05-005-2017-00278-01</w:t>
    </w:r>
  </w:p>
  <w:p w:rsidR="005C4716" w:rsidRPr="004E5AA1" w:rsidRDefault="005C4716" w:rsidP="005C4716">
    <w:pPr>
      <w:pStyle w:val="Puesto"/>
      <w:spacing w:line="240" w:lineRule="auto"/>
      <w:jc w:val="both"/>
      <w:rPr>
        <w:b w:val="0"/>
        <w:sz w:val="18"/>
        <w:szCs w:val="14"/>
      </w:rPr>
    </w:pPr>
    <w:r w:rsidRPr="004E5AA1">
      <w:rPr>
        <w:b w:val="0"/>
        <w:sz w:val="18"/>
        <w:szCs w:val="14"/>
      </w:rPr>
      <w:t xml:space="preserve">Demandante: María </w:t>
    </w:r>
    <w:proofErr w:type="spellStart"/>
    <w:r w:rsidRPr="004E5AA1">
      <w:rPr>
        <w:b w:val="0"/>
        <w:sz w:val="18"/>
        <w:szCs w:val="14"/>
      </w:rPr>
      <w:t>Jan</w:t>
    </w:r>
    <w:r w:rsidR="00BC2BDF" w:rsidRPr="004E5AA1">
      <w:rPr>
        <w:b w:val="0"/>
        <w:sz w:val="18"/>
        <w:szCs w:val="14"/>
      </w:rPr>
      <w:t>n</w:t>
    </w:r>
    <w:r w:rsidRPr="004E5AA1">
      <w:rPr>
        <w:b w:val="0"/>
        <w:sz w:val="18"/>
        <w:szCs w:val="14"/>
      </w:rPr>
      <w:t>eth</w:t>
    </w:r>
    <w:proofErr w:type="spellEnd"/>
    <w:r w:rsidRPr="004E5AA1">
      <w:rPr>
        <w:b w:val="0"/>
        <w:sz w:val="18"/>
        <w:szCs w:val="14"/>
      </w:rPr>
      <w:t xml:space="preserve"> Toro Gómez </w:t>
    </w:r>
  </w:p>
  <w:p w:rsidR="005C4716" w:rsidRPr="004E5AA1" w:rsidRDefault="005C4716" w:rsidP="005C4716">
    <w:pPr>
      <w:pStyle w:val="Puesto"/>
      <w:spacing w:line="240" w:lineRule="auto"/>
      <w:jc w:val="both"/>
      <w:rPr>
        <w:b w:val="0"/>
        <w:sz w:val="18"/>
        <w:szCs w:val="14"/>
      </w:rPr>
    </w:pPr>
    <w:r w:rsidRPr="004E5AA1">
      <w:rPr>
        <w:b w:val="0"/>
        <w:sz w:val="18"/>
        <w:szCs w:val="14"/>
      </w:rPr>
      <w:t>Intervinientes: Julio César y Juliana Osorio Toro</w:t>
    </w:r>
  </w:p>
  <w:p w:rsidR="00C424B7" w:rsidRPr="004E5AA1" w:rsidRDefault="005C4716" w:rsidP="00A15059">
    <w:pPr>
      <w:pStyle w:val="Puesto"/>
      <w:spacing w:line="240" w:lineRule="auto"/>
      <w:jc w:val="both"/>
      <w:rPr>
        <w:b w:val="0"/>
        <w:sz w:val="18"/>
        <w:szCs w:val="14"/>
      </w:rPr>
    </w:pPr>
    <w:r w:rsidRPr="004E5AA1">
      <w:rPr>
        <w:b w:val="0"/>
        <w:sz w:val="18"/>
        <w:szCs w:val="14"/>
      </w:rPr>
      <w:t xml:space="preserve">Demandado: </w:t>
    </w:r>
    <w:r w:rsidR="004E5AA1" w:rsidRPr="004E5AA1">
      <w:rPr>
        <w:b w:val="0"/>
        <w:sz w:val="18"/>
        <w:szCs w:val="14"/>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7D017BC"/>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2">
    <w:nsid w:val="57830F6A"/>
    <w:multiLevelType w:val="hybridMultilevel"/>
    <w:tmpl w:val="385CAABA"/>
    <w:lvl w:ilvl="0" w:tplc="9294A16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1C4E"/>
    <w:rsid w:val="0000213F"/>
    <w:rsid w:val="00056FC6"/>
    <w:rsid w:val="0008140C"/>
    <w:rsid w:val="000A4ADB"/>
    <w:rsid w:val="000E06B4"/>
    <w:rsid w:val="000E3207"/>
    <w:rsid w:val="000E5E49"/>
    <w:rsid w:val="00113823"/>
    <w:rsid w:val="00135567"/>
    <w:rsid w:val="00142CD7"/>
    <w:rsid w:val="00167673"/>
    <w:rsid w:val="00181326"/>
    <w:rsid w:val="001B3297"/>
    <w:rsid w:val="001C226A"/>
    <w:rsid w:val="001C28D0"/>
    <w:rsid w:val="001C6101"/>
    <w:rsid w:val="001D66B9"/>
    <w:rsid w:val="001D7B4A"/>
    <w:rsid w:val="001F235D"/>
    <w:rsid w:val="00200FBF"/>
    <w:rsid w:val="00204FBC"/>
    <w:rsid w:val="0022603C"/>
    <w:rsid w:val="0023474C"/>
    <w:rsid w:val="0025244C"/>
    <w:rsid w:val="002612F5"/>
    <w:rsid w:val="00262A89"/>
    <w:rsid w:val="00265942"/>
    <w:rsid w:val="00267029"/>
    <w:rsid w:val="0028149D"/>
    <w:rsid w:val="002A565E"/>
    <w:rsid w:val="002B1222"/>
    <w:rsid w:val="002C2D6E"/>
    <w:rsid w:val="002C45E6"/>
    <w:rsid w:val="002D7922"/>
    <w:rsid w:val="00313849"/>
    <w:rsid w:val="003208B8"/>
    <w:rsid w:val="00320AD9"/>
    <w:rsid w:val="00324481"/>
    <w:rsid w:val="00326228"/>
    <w:rsid w:val="00330C48"/>
    <w:rsid w:val="00332D8C"/>
    <w:rsid w:val="0033645D"/>
    <w:rsid w:val="00337375"/>
    <w:rsid w:val="003451D2"/>
    <w:rsid w:val="00347565"/>
    <w:rsid w:val="00347887"/>
    <w:rsid w:val="003A3BFC"/>
    <w:rsid w:val="003A6759"/>
    <w:rsid w:val="0040487E"/>
    <w:rsid w:val="004363DD"/>
    <w:rsid w:val="00447027"/>
    <w:rsid w:val="004B6D5F"/>
    <w:rsid w:val="004C270D"/>
    <w:rsid w:val="004C34E6"/>
    <w:rsid w:val="004E5AA1"/>
    <w:rsid w:val="004E68AB"/>
    <w:rsid w:val="004E7D22"/>
    <w:rsid w:val="004F5932"/>
    <w:rsid w:val="005009FE"/>
    <w:rsid w:val="00512171"/>
    <w:rsid w:val="005144B2"/>
    <w:rsid w:val="005367FF"/>
    <w:rsid w:val="00540943"/>
    <w:rsid w:val="00553B89"/>
    <w:rsid w:val="00572343"/>
    <w:rsid w:val="005825F1"/>
    <w:rsid w:val="005851B1"/>
    <w:rsid w:val="005C4716"/>
    <w:rsid w:val="005F21D8"/>
    <w:rsid w:val="006010E9"/>
    <w:rsid w:val="0063126A"/>
    <w:rsid w:val="006349BE"/>
    <w:rsid w:val="00680796"/>
    <w:rsid w:val="0068273C"/>
    <w:rsid w:val="006A27AE"/>
    <w:rsid w:val="006A51E1"/>
    <w:rsid w:val="006B03B1"/>
    <w:rsid w:val="006E7EAD"/>
    <w:rsid w:val="00701291"/>
    <w:rsid w:val="007041D6"/>
    <w:rsid w:val="00713083"/>
    <w:rsid w:val="00747851"/>
    <w:rsid w:val="007577BC"/>
    <w:rsid w:val="007915BA"/>
    <w:rsid w:val="00794C40"/>
    <w:rsid w:val="007B1846"/>
    <w:rsid w:val="007C085A"/>
    <w:rsid w:val="007D68A4"/>
    <w:rsid w:val="007E5BDD"/>
    <w:rsid w:val="007F26A7"/>
    <w:rsid w:val="0081771D"/>
    <w:rsid w:val="00827D57"/>
    <w:rsid w:val="0084420D"/>
    <w:rsid w:val="0085020E"/>
    <w:rsid w:val="008579C3"/>
    <w:rsid w:val="00873FA0"/>
    <w:rsid w:val="00881A2E"/>
    <w:rsid w:val="008A178F"/>
    <w:rsid w:val="008A3148"/>
    <w:rsid w:val="008B2AC6"/>
    <w:rsid w:val="009122FA"/>
    <w:rsid w:val="00932EBE"/>
    <w:rsid w:val="0093404D"/>
    <w:rsid w:val="00952BF0"/>
    <w:rsid w:val="00962F52"/>
    <w:rsid w:val="00974809"/>
    <w:rsid w:val="009D2411"/>
    <w:rsid w:val="009D55EA"/>
    <w:rsid w:val="009F69A2"/>
    <w:rsid w:val="00A004A6"/>
    <w:rsid w:val="00A15059"/>
    <w:rsid w:val="00A16C0B"/>
    <w:rsid w:val="00AD179F"/>
    <w:rsid w:val="00AD2427"/>
    <w:rsid w:val="00AF5E74"/>
    <w:rsid w:val="00AF60C0"/>
    <w:rsid w:val="00B03DF5"/>
    <w:rsid w:val="00B079DD"/>
    <w:rsid w:val="00B30E34"/>
    <w:rsid w:val="00B47BF1"/>
    <w:rsid w:val="00B818C7"/>
    <w:rsid w:val="00BA349F"/>
    <w:rsid w:val="00BC2BDF"/>
    <w:rsid w:val="00C05EBA"/>
    <w:rsid w:val="00C424B7"/>
    <w:rsid w:val="00C5131E"/>
    <w:rsid w:val="00CB3BFA"/>
    <w:rsid w:val="00CC7352"/>
    <w:rsid w:val="00CF343F"/>
    <w:rsid w:val="00CF6ED5"/>
    <w:rsid w:val="00D04731"/>
    <w:rsid w:val="00D36EDF"/>
    <w:rsid w:val="00D930B3"/>
    <w:rsid w:val="00DD3C06"/>
    <w:rsid w:val="00DD6828"/>
    <w:rsid w:val="00DE2563"/>
    <w:rsid w:val="00DF3564"/>
    <w:rsid w:val="00E05827"/>
    <w:rsid w:val="00E12BB2"/>
    <w:rsid w:val="00E1429F"/>
    <w:rsid w:val="00E14A2F"/>
    <w:rsid w:val="00E25F15"/>
    <w:rsid w:val="00E762CC"/>
    <w:rsid w:val="00E77762"/>
    <w:rsid w:val="00F1236D"/>
    <w:rsid w:val="00F30B70"/>
    <w:rsid w:val="00F42610"/>
    <w:rsid w:val="00F45F09"/>
    <w:rsid w:val="00F52853"/>
    <w:rsid w:val="00F62C5C"/>
    <w:rsid w:val="00F82617"/>
    <w:rsid w:val="00F828CD"/>
    <w:rsid w:val="00F94302"/>
    <w:rsid w:val="00F9700B"/>
    <w:rsid w:val="00FC7B52"/>
    <w:rsid w:val="00FD65FF"/>
    <w:rsid w:val="00FD78F7"/>
    <w:rsid w:val="00FE0B8E"/>
    <w:rsid w:val="00FE637B"/>
    <w:rsid w:val="00FF53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5723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 w:type="paragraph" w:customStyle="1" w:styleId="Prrafodelista2">
    <w:name w:val="Párrafo de lista2"/>
    <w:basedOn w:val="Normal"/>
    <w:rsid w:val="00324481"/>
    <w:pPr>
      <w:spacing w:after="200" w:line="276" w:lineRule="auto"/>
      <w:ind w:left="720"/>
      <w:contextualSpacing/>
    </w:pPr>
    <w:rPr>
      <w:rFonts w:ascii="Calibri" w:hAnsi="Calibri"/>
      <w:sz w:val="22"/>
      <w:szCs w:val="22"/>
      <w:lang w:val="es-CO" w:eastAsia="en-US"/>
    </w:rPr>
  </w:style>
  <w:style w:type="character" w:customStyle="1" w:styleId="Ttulo1Car">
    <w:name w:val="Título 1 Car"/>
    <w:basedOn w:val="Fuentedeprrafopredeter"/>
    <w:link w:val="Ttulo1"/>
    <w:uiPriority w:val="9"/>
    <w:rsid w:val="00572343"/>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95FCC-FB08-40A3-8492-D44893D52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11</Pages>
  <Words>4327</Words>
  <Characters>23800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75</cp:revision>
  <cp:lastPrinted>2019-11-06T15:21:00Z</cp:lastPrinted>
  <dcterms:created xsi:type="dcterms:W3CDTF">2017-09-20T16:51:00Z</dcterms:created>
  <dcterms:modified xsi:type="dcterms:W3CDTF">2020-01-28T19:03:00Z</dcterms:modified>
</cp:coreProperties>
</file>