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5C3" w:rsidRPr="00B30EFC" w:rsidRDefault="00C965C3" w:rsidP="00C965C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965C3" w:rsidRDefault="00C965C3" w:rsidP="00C965C3">
      <w:pPr>
        <w:jc w:val="both"/>
        <w:rPr>
          <w:rFonts w:ascii="Arial" w:hAnsi="Arial" w:cs="Arial"/>
          <w:sz w:val="20"/>
          <w:lang w:val="es-419"/>
        </w:rPr>
      </w:pPr>
    </w:p>
    <w:p w:rsidR="00C965C3" w:rsidRPr="00C965C3" w:rsidRDefault="00C965C3" w:rsidP="00C965C3">
      <w:pPr>
        <w:jc w:val="both"/>
        <w:rPr>
          <w:rFonts w:ascii="Arial" w:hAnsi="Arial" w:cs="Arial"/>
          <w:sz w:val="20"/>
          <w:lang w:val="es-419"/>
        </w:rPr>
      </w:pPr>
      <w:r w:rsidRPr="00C965C3">
        <w:rPr>
          <w:rFonts w:ascii="Arial" w:hAnsi="Arial" w:cs="Arial"/>
          <w:sz w:val="20"/>
          <w:lang w:val="es-419"/>
        </w:rPr>
        <w:t>Providencia:</w:t>
      </w:r>
      <w:r w:rsidRPr="00C965C3">
        <w:rPr>
          <w:rFonts w:ascii="Arial" w:hAnsi="Arial" w:cs="Arial"/>
          <w:sz w:val="20"/>
          <w:lang w:val="es-419"/>
        </w:rPr>
        <w:tab/>
      </w:r>
      <w:r w:rsidRPr="00C965C3">
        <w:rPr>
          <w:rFonts w:ascii="Arial" w:hAnsi="Arial" w:cs="Arial"/>
          <w:sz w:val="20"/>
          <w:lang w:val="es-419"/>
        </w:rPr>
        <w:tab/>
        <w:t xml:space="preserve">Sentencia de Segunda Instancia – Derrota </w:t>
      </w:r>
    </w:p>
    <w:p w:rsidR="00C965C3" w:rsidRPr="00C965C3" w:rsidRDefault="00C965C3" w:rsidP="00C965C3">
      <w:pPr>
        <w:jc w:val="both"/>
        <w:rPr>
          <w:rFonts w:ascii="Arial" w:hAnsi="Arial" w:cs="Arial"/>
          <w:sz w:val="20"/>
          <w:lang w:val="es-419"/>
        </w:rPr>
      </w:pPr>
      <w:r w:rsidRPr="00C965C3">
        <w:rPr>
          <w:rFonts w:ascii="Arial" w:hAnsi="Arial" w:cs="Arial"/>
          <w:sz w:val="20"/>
          <w:lang w:val="es-419"/>
        </w:rPr>
        <w:t>Radicación No:</w:t>
      </w:r>
      <w:r w:rsidRPr="00C965C3">
        <w:rPr>
          <w:rFonts w:ascii="Arial" w:hAnsi="Arial" w:cs="Arial"/>
          <w:sz w:val="20"/>
          <w:lang w:val="es-419"/>
        </w:rPr>
        <w:tab/>
      </w:r>
      <w:r w:rsidRPr="00C965C3">
        <w:rPr>
          <w:rFonts w:ascii="Arial" w:hAnsi="Arial" w:cs="Arial"/>
          <w:sz w:val="20"/>
          <w:lang w:val="es-419"/>
        </w:rPr>
        <w:tab/>
        <w:t>66001-31-05-004-2017-00237-01</w:t>
      </w:r>
    </w:p>
    <w:p w:rsidR="00C965C3" w:rsidRPr="00C965C3" w:rsidRDefault="00C965C3" w:rsidP="00C965C3">
      <w:pPr>
        <w:jc w:val="both"/>
        <w:rPr>
          <w:rFonts w:ascii="Arial" w:hAnsi="Arial" w:cs="Arial"/>
          <w:sz w:val="20"/>
          <w:lang w:val="es-419"/>
        </w:rPr>
      </w:pPr>
      <w:r w:rsidRPr="00C965C3">
        <w:rPr>
          <w:rFonts w:ascii="Arial" w:hAnsi="Arial" w:cs="Arial"/>
          <w:sz w:val="20"/>
          <w:lang w:val="es-419"/>
        </w:rPr>
        <w:t>Proceso:</w:t>
      </w:r>
      <w:r w:rsidRPr="00C965C3">
        <w:rPr>
          <w:rFonts w:ascii="Arial" w:hAnsi="Arial" w:cs="Arial"/>
          <w:sz w:val="20"/>
          <w:lang w:val="es-419"/>
        </w:rPr>
        <w:tab/>
      </w:r>
      <w:r w:rsidRPr="00C965C3">
        <w:rPr>
          <w:rFonts w:ascii="Arial" w:hAnsi="Arial" w:cs="Arial"/>
          <w:sz w:val="20"/>
          <w:lang w:val="es-419"/>
        </w:rPr>
        <w:tab/>
        <w:t>Ordinario Laboral.</w:t>
      </w:r>
    </w:p>
    <w:p w:rsidR="00C965C3" w:rsidRPr="00C965C3" w:rsidRDefault="00C965C3" w:rsidP="00C965C3">
      <w:pPr>
        <w:jc w:val="both"/>
        <w:rPr>
          <w:rFonts w:ascii="Arial" w:hAnsi="Arial" w:cs="Arial"/>
          <w:sz w:val="20"/>
          <w:lang w:val="es-419"/>
        </w:rPr>
      </w:pPr>
      <w:r w:rsidRPr="00C965C3">
        <w:rPr>
          <w:rFonts w:ascii="Arial" w:hAnsi="Arial" w:cs="Arial"/>
          <w:sz w:val="20"/>
          <w:lang w:val="es-419"/>
        </w:rPr>
        <w:t>Demandante</w:t>
      </w:r>
      <w:r>
        <w:rPr>
          <w:rFonts w:ascii="Arial" w:hAnsi="Arial" w:cs="Arial"/>
          <w:sz w:val="20"/>
          <w:lang w:val="es-419"/>
        </w:rPr>
        <w:t xml:space="preserve">:     </w:t>
      </w:r>
      <w:r>
        <w:rPr>
          <w:rFonts w:ascii="Arial" w:hAnsi="Arial" w:cs="Arial"/>
          <w:sz w:val="20"/>
          <w:lang w:val="es-419"/>
        </w:rPr>
        <w:tab/>
      </w:r>
      <w:r w:rsidRPr="00C965C3">
        <w:rPr>
          <w:rFonts w:ascii="Arial" w:hAnsi="Arial" w:cs="Arial"/>
          <w:sz w:val="20"/>
          <w:lang w:val="es-419"/>
        </w:rPr>
        <w:t>Gloria Lucía Cardona Giraldo</w:t>
      </w:r>
    </w:p>
    <w:p w:rsidR="00C965C3" w:rsidRPr="00C965C3" w:rsidRDefault="00C965C3" w:rsidP="00C965C3">
      <w:pPr>
        <w:jc w:val="both"/>
        <w:rPr>
          <w:rFonts w:ascii="Arial" w:hAnsi="Arial" w:cs="Arial"/>
          <w:sz w:val="20"/>
          <w:lang w:val="es-419"/>
        </w:rPr>
      </w:pPr>
      <w:r w:rsidRPr="00C965C3">
        <w:rPr>
          <w:rFonts w:ascii="Arial" w:hAnsi="Arial" w:cs="Arial"/>
          <w:sz w:val="20"/>
          <w:lang w:val="es-419"/>
        </w:rPr>
        <w:t>Demandado:</w:t>
      </w:r>
      <w:r w:rsidRPr="00C965C3">
        <w:rPr>
          <w:rFonts w:ascii="Arial" w:hAnsi="Arial" w:cs="Arial"/>
          <w:sz w:val="20"/>
          <w:lang w:val="es-419"/>
        </w:rPr>
        <w:tab/>
      </w:r>
      <w:r w:rsidRPr="00C965C3">
        <w:rPr>
          <w:rFonts w:ascii="Arial" w:hAnsi="Arial" w:cs="Arial"/>
          <w:sz w:val="20"/>
          <w:lang w:val="es-419"/>
        </w:rPr>
        <w:tab/>
        <w:t>Colpensiones</w:t>
      </w:r>
      <w:r>
        <w:rPr>
          <w:rFonts w:ascii="Arial" w:hAnsi="Arial" w:cs="Arial"/>
          <w:sz w:val="20"/>
          <w:lang w:val="es-CO"/>
        </w:rPr>
        <w:t xml:space="preserve"> y </w:t>
      </w:r>
      <w:r w:rsidRPr="00C965C3">
        <w:rPr>
          <w:rFonts w:ascii="Arial" w:hAnsi="Arial" w:cs="Arial"/>
          <w:sz w:val="20"/>
          <w:lang w:val="es-419"/>
        </w:rPr>
        <w:t>Protección S.A.</w:t>
      </w:r>
    </w:p>
    <w:p w:rsidR="00C965C3" w:rsidRPr="00C965C3" w:rsidRDefault="00C965C3" w:rsidP="00C965C3">
      <w:pPr>
        <w:jc w:val="both"/>
        <w:rPr>
          <w:rFonts w:ascii="Arial" w:hAnsi="Arial" w:cs="Arial"/>
          <w:sz w:val="20"/>
          <w:lang w:val="es-419"/>
        </w:rPr>
      </w:pPr>
      <w:r w:rsidRPr="00C965C3">
        <w:rPr>
          <w:rFonts w:ascii="Arial" w:hAnsi="Arial" w:cs="Arial"/>
          <w:sz w:val="20"/>
          <w:lang w:val="es-419"/>
        </w:rPr>
        <w:t xml:space="preserve">Juzgado de origen:    </w:t>
      </w:r>
      <w:r w:rsidRPr="00C965C3">
        <w:rPr>
          <w:rFonts w:ascii="Arial" w:hAnsi="Arial" w:cs="Arial"/>
          <w:sz w:val="20"/>
          <w:lang w:val="es-419"/>
        </w:rPr>
        <w:tab/>
        <w:t>Cuarto Laboral del Circuito de Pereira.</w:t>
      </w:r>
    </w:p>
    <w:p w:rsidR="00C965C3" w:rsidRPr="00B30EFC" w:rsidRDefault="00C965C3" w:rsidP="00C965C3">
      <w:pPr>
        <w:jc w:val="both"/>
        <w:rPr>
          <w:rFonts w:ascii="Arial" w:hAnsi="Arial" w:cs="Arial"/>
          <w:sz w:val="20"/>
          <w:lang w:val="es-419"/>
        </w:rPr>
      </w:pPr>
    </w:p>
    <w:p w:rsidR="004B5D42" w:rsidRPr="00202520" w:rsidRDefault="00C965C3" w:rsidP="004B5D42">
      <w:pPr>
        <w:pStyle w:val="Sinespaciado"/>
        <w:jc w:val="both"/>
        <w:rPr>
          <w:rFonts w:ascii="Arial" w:hAnsi="Arial" w:cs="Arial"/>
          <w:b/>
          <w:bCs/>
          <w:iCs/>
          <w:sz w:val="20"/>
          <w:szCs w:val="20"/>
          <w:lang w:val="es-CO" w:eastAsia="fr-FR"/>
        </w:rPr>
      </w:pPr>
      <w:r w:rsidRPr="00C965C3">
        <w:rPr>
          <w:rFonts w:ascii="Arial" w:hAnsi="Arial" w:cs="Arial"/>
          <w:b/>
          <w:bCs/>
          <w:iCs/>
          <w:sz w:val="20"/>
          <w:szCs w:val="20"/>
          <w:lang w:val="es-419" w:eastAsia="fr-FR"/>
        </w:rPr>
        <w:t>TEMAS:</w:t>
      </w:r>
      <w:r w:rsidRPr="00C965C3">
        <w:rPr>
          <w:rFonts w:ascii="Arial" w:hAnsi="Arial" w:cs="Arial"/>
          <w:b/>
          <w:bCs/>
          <w:iCs/>
          <w:sz w:val="20"/>
          <w:szCs w:val="20"/>
          <w:lang w:val="es-419" w:eastAsia="fr-FR"/>
        </w:rPr>
        <w:tab/>
      </w:r>
      <w:r w:rsidR="004B5D42" w:rsidRPr="00202520">
        <w:rPr>
          <w:rFonts w:ascii="Arial" w:hAnsi="Arial" w:cs="Arial"/>
          <w:b/>
          <w:bCs/>
          <w:sz w:val="20"/>
          <w:szCs w:val="20"/>
        </w:rPr>
        <w:t xml:space="preserve">INEFICACIA DEL TRASLADO DE RÉGIMEN PENSIONAL / </w:t>
      </w:r>
      <w:r w:rsidR="004B5D42">
        <w:rPr>
          <w:rFonts w:ascii="Arial" w:hAnsi="Arial" w:cs="Arial"/>
          <w:b/>
          <w:bCs/>
          <w:sz w:val="20"/>
          <w:szCs w:val="20"/>
        </w:rPr>
        <w:t xml:space="preserve">APLICA PARA </w:t>
      </w:r>
      <w:r w:rsidR="004B5D42" w:rsidRPr="00202520">
        <w:rPr>
          <w:rFonts w:ascii="Arial" w:hAnsi="Arial" w:cs="Arial"/>
          <w:b/>
          <w:bCs/>
          <w:sz w:val="20"/>
          <w:szCs w:val="20"/>
        </w:rPr>
        <w:t xml:space="preserve">BENEFICIARIOS DEL RÉGIMEN DE TRANSICIÓN </w:t>
      </w:r>
      <w:r w:rsidR="004B5D42">
        <w:rPr>
          <w:rFonts w:ascii="Arial" w:hAnsi="Arial" w:cs="Arial"/>
          <w:b/>
          <w:bCs/>
          <w:sz w:val="20"/>
          <w:szCs w:val="20"/>
        </w:rPr>
        <w:t xml:space="preserve">Y LA </w:t>
      </w:r>
      <w:r w:rsidR="004B5D42" w:rsidRPr="00202520">
        <w:rPr>
          <w:rFonts w:ascii="Arial" w:hAnsi="Arial" w:cs="Arial"/>
          <w:b/>
          <w:bCs/>
          <w:sz w:val="20"/>
          <w:szCs w:val="20"/>
        </w:rPr>
        <w:t>CARGA PROBATORIA RADICA EN LA AFP</w:t>
      </w:r>
      <w:r w:rsidR="004B5D42">
        <w:rPr>
          <w:rFonts w:ascii="Arial" w:hAnsi="Arial" w:cs="Arial"/>
          <w:b/>
          <w:bCs/>
          <w:iCs/>
          <w:sz w:val="20"/>
          <w:szCs w:val="20"/>
          <w:lang w:val="es-CO" w:eastAsia="fr-FR"/>
        </w:rPr>
        <w:t xml:space="preserve"> / PARA NO BENEFICIARIOS LA FIGURA A ESTUDIAR ES LA NULIDAD DEL ACTO JURÍDICO, LA CARGA PROBATORIA INCUMBE AL DEMANDANTE Y DEBE PEDIRSE DENTRO DE LOS CUATRO AÑOS SIGUIENTES.</w:t>
      </w:r>
    </w:p>
    <w:p w:rsidR="004B5D42" w:rsidRDefault="004B5D42" w:rsidP="004B5D42">
      <w:pPr>
        <w:jc w:val="both"/>
        <w:rPr>
          <w:rFonts w:ascii="Arial" w:hAnsi="Arial" w:cs="Arial"/>
          <w:sz w:val="20"/>
          <w:lang w:val="es-419"/>
        </w:rPr>
      </w:pPr>
    </w:p>
    <w:p w:rsidR="004B5D42" w:rsidRPr="0028661D" w:rsidRDefault="004B5D42" w:rsidP="004B5D42">
      <w:pPr>
        <w:jc w:val="both"/>
        <w:rPr>
          <w:rFonts w:ascii="Arial" w:hAnsi="Arial" w:cs="Arial"/>
          <w:sz w:val="20"/>
          <w:lang w:val="es-419"/>
        </w:rPr>
      </w:pPr>
      <w:r w:rsidRPr="0028661D">
        <w:rPr>
          <w:rFonts w:ascii="Arial" w:hAnsi="Arial" w:cs="Arial"/>
          <w:sz w:val="20"/>
          <w:lang w:val="es-419"/>
        </w:rPr>
        <w:t xml:space="preserve">… la intelección que se continuará efectuando por esta Sala Mayoritaria es que si el afiliado es beneficiario del régimen de transición previsto en la Ley 100 de 1993 hay lugar analizar la ineficacia del traslado conforme a la tesis expuesta inicialmente por la CSJ,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4B5D42" w:rsidRPr="0028661D" w:rsidRDefault="004B5D42" w:rsidP="004B5D42">
      <w:pPr>
        <w:jc w:val="both"/>
        <w:rPr>
          <w:rFonts w:ascii="Arial" w:hAnsi="Arial" w:cs="Arial"/>
          <w:sz w:val="20"/>
          <w:lang w:val="es-419"/>
        </w:rPr>
      </w:pPr>
    </w:p>
    <w:p w:rsidR="004B5D42" w:rsidRPr="0028661D" w:rsidRDefault="004B5D42" w:rsidP="004B5D42">
      <w:pPr>
        <w:jc w:val="both"/>
        <w:rPr>
          <w:rFonts w:ascii="Arial" w:hAnsi="Arial" w:cs="Arial"/>
          <w:sz w:val="20"/>
          <w:lang w:val="es-419"/>
        </w:rPr>
      </w:pPr>
      <w:r w:rsidRPr="0028661D">
        <w:rPr>
          <w:rFonts w:ascii="Arial" w:hAnsi="Arial" w:cs="Arial"/>
          <w:sz w:val="20"/>
          <w:lang w:val="es-419"/>
        </w:rPr>
        <w:t>Pero, en caso contrario, de no ser beneficiario actual de dicho régimen, debe estudiarse bajo la óptica de la nulidad del acto jurídico del traslado por vicios en el consentimiento, evento en el cual, le corresponde al afiliado acreditar los respectivos hechos de acuerdo con los Principios del Onus Probandi, de conformidad con el artículo 167 del C.G.P., so pena de la improsperidad de sus pretensiones. (…)</w:t>
      </w:r>
    </w:p>
    <w:p w:rsidR="004B5D42" w:rsidRDefault="004B5D42" w:rsidP="004B5D42">
      <w:pPr>
        <w:pStyle w:val="Sinespaciado"/>
        <w:jc w:val="both"/>
        <w:rPr>
          <w:rFonts w:ascii="Arial" w:hAnsi="Arial" w:cs="Arial"/>
          <w:sz w:val="20"/>
          <w:lang w:val="es-419"/>
        </w:rPr>
      </w:pPr>
    </w:p>
    <w:p w:rsidR="004B5D42" w:rsidRDefault="004B5D42" w:rsidP="004B5D42">
      <w:pPr>
        <w:jc w:val="both"/>
        <w:rPr>
          <w:rFonts w:ascii="Arial" w:hAnsi="Arial" w:cs="Arial"/>
          <w:sz w:val="20"/>
          <w:lang w:val="es-CO"/>
        </w:rPr>
      </w:pPr>
      <w:r w:rsidRPr="0028661D">
        <w:rPr>
          <w:rFonts w:ascii="Arial" w:hAnsi="Arial" w:cs="Arial"/>
          <w:sz w:val="20"/>
          <w:lang w:val="es-419"/>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4B5D42" w:rsidRPr="00AB2583" w:rsidRDefault="004B5D42" w:rsidP="004B5D42">
      <w:pPr>
        <w:jc w:val="both"/>
        <w:rPr>
          <w:rFonts w:ascii="Arial" w:hAnsi="Arial" w:cs="Arial"/>
          <w:sz w:val="20"/>
          <w:lang w:val="es-419"/>
        </w:rPr>
      </w:pPr>
    </w:p>
    <w:p w:rsidR="004B5D42" w:rsidRPr="00AB2583" w:rsidRDefault="004B5D42" w:rsidP="004B5D42">
      <w:pPr>
        <w:jc w:val="both"/>
        <w:rPr>
          <w:rFonts w:ascii="Arial" w:hAnsi="Arial" w:cs="Arial"/>
          <w:sz w:val="20"/>
          <w:lang w:val="es-419"/>
        </w:rPr>
      </w:pPr>
      <w:r w:rsidRPr="00AB2583">
        <w:rPr>
          <w:rFonts w:ascii="Arial" w:hAnsi="Arial" w:cs="Arial"/>
          <w:sz w:val="20"/>
          <w:lang w:val="es-419"/>
        </w:rPr>
        <w:t>En cuanto a los vicios el consentimiento, según lo establece el artículo 1508 ibídem, lo son el error, la fuerza y el dolo.</w:t>
      </w:r>
    </w:p>
    <w:p w:rsidR="004B5D42" w:rsidRPr="00AB2583" w:rsidRDefault="004B5D42" w:rsidP="004B5D42">
      <w:pPr>
        <w:jc w:val="both"/>
        <w:rPr>
          <w:rFonts w:ascii="Arial" w:hAnsi="Arial" w:cs="Arial"/>
          <w:sz w:val="20"/>
          <w:lang w:val="es-419"/>
        </w:rPr>
      </w:pPr>
    </w:p>
    <w:p w:rsidR="004B5D42" w:rsidRPr="00AB2583" w:rsidRDefault="004B5D42" w:rsidP="004B5D42">
      <w:pPr>
        <w:jc w:val="both"/>
        <w:rPr>
          <w:rFonts w:ascii="Arial" w:hAnsi="Arial" w:cs="Arial"/>
          <w:sz w:val="20"/>
          <w:lang w:val="es-419"/>
        </w:rPr>
      </w:pPr>
      <w:r w:rsidRPr="00AB2583">
        <w:rPr>
          <w:rFonts w:ascii="Arial" w:hAnsi="Arial" w:cs="Arial"/>
          <w:sz w:val="20"/>
          <w:lang w:val="es-419"/>
        </w:rPr>
        <w:t>El primero –error–, puede serlo de derecho y de hecho, pero aquel no vicia el consentimiento, conforme lo plantea el artículo 1509. (…)</w:t>
      </w:r>
    </w:p>
    <w:p w:rsidR="004B5D42" w:rsidRPr="0028661D" w:rsidRDefault="004B5D42" w:rsidP="004B5D42">
      <w:pPr>
        <w:jc w:val="both"/>
        <w:rPr>
          <w:rFonts w:ascii="Arial" w:hAnsi="Arial" w:cs="Arial"/>
          <w:sz w:val="20"/>
          <w:lang w:val="es-419"/>
        </w:rPr>
      </w:pPr>
    </w:p>
    <w:p w:rsidR="004B5D42" w:rsidRPr="0028661D" w:rsidRDefault="004B5D42" w:rsidP="004B5D42">
      <w:pPr>
        <w:jc w:val="both"/>
        <w:rPr>
          <w:rFonts w:ascii="Arial" w:hAnsi="Arial" w:cs="Arial"/>
          <w:sz w:val="20"/>
          <w:lang w:val="es-419"/>
        </w:rPr>
      </w:pPr>
      <w:r w:rsidRPr="0028661D">
        <w:rPr>
          <w:rFonts w:ascii="Arial" w:hAnsi="Arial" w:cs="Arial"/>
          <w:sz w:val="20"/>
          <w:lang w:val="es-419"/>
        </w:rPr>
        <w:t>A su vez, el artículo 1750 del Código Civil prevé que para alegar la rescisión en los eventos en que se alegue la ocurrencia de error o dolo, se cuenta con un plazo de cuatro años contados desde el día de la celebración del acto o contrato.</w:t>
      </w:r>
    </w:p>
    <w:p w:rsidR="004B5D42" w:rsidRPr="0028661D" w:rsidRDefault="004B5D42" w:rsidP="004B5D42">
      <w:pPr>
        <w:jc w:val="both"/>
        <w:rPr>
          <w:rFonts w:ascii="Arial" w:hAnsi="Arial" w:cs="Arial"/>
          <w:sz w:val="20"/>
          <w:lang w:val="es-419"/>
        </w:rPr>
      </w:pPr>
    </w:p>
    <w:p w:rsidR="004B5D42" w:rsidRPr="0028661D" w:rsidRDefault="004B5D42" w:rsidP="004B5D42">
      <w:pPr>
        <w:jc w:val="both"/>
        <w:rPr>
          <w:rFonts w:ascii="Arial" w:hAnsi="Arial" w:cs="Arial"/>
          <w:sz w:val="20"/>
          <w:lang w:val="es-419"/>
        </w:rPr>
      </w:pPr>
      <w:r w:rsidRPr="0028661D">
        <w:rPr>
          <w:rFonts w:ascii="Arial" w:hAnsi="Arial" w:cs="Arial"/>
          <w:sz w:val="20"/>
          <w:lang w:val="es-419"/>
        </w:rPr>
        <w:t>De otro lado el artículo 1743 ibídem dispone que la nulidad relativa se sanea por el paso del tiempo o por ratificación de las partes.</w:t>
      </w:r>
    </w:p>
    <w:p w:rsidR="00C965C3" w:rsidRDefault="00C965C3" w:rsidP="004B5D42">
      <w:pPr>
        <w:pStyle w:val="Sinespaciado"/>
        <w:jc w:val="both"/>
        <w:rPr>
          <w:rFonts w:ascii="Arial" w:hAnsi="Arial" w:cs="Arial"/>
          <w:sz w:val="20"/>
          <w:lang w:val="es-419"/>
        </w:rPr>
      </w:pPr>
    </w:p>
    <w:p w:rsidR="003E194C" w:rsidRPr="003E194C" w:rsidRDefault="003E194C" w:rsidP="004B5D42">
      <w:pPr>
        <w:pStyle w:val="Sinespaciado"/>
        <w:jc w:val="both"/>
        <w:rPr>
          <w:rFonts w:ascii="Arial" w:hAnsi="Arial" w:cs="Arial"/>
          <w:b/>
          <w:color w:val="FF0000"/>
          <w:sz w:val="20"/>
          <w:lang w:val="es-CO"/>
        </w:rPr>
      </w:pPr>
      <w:r w:rsidRPr="003E194C">
        <w:rPr>
          <w:rFonts w:ascii="Arial" w:hAnsi="Arial" w:cs="Arial"/>
          <w:b/>
          <w:color w:val="FF0000"/>
          <w:sz w:val="20"/>
          <w:lang w:val="es-CO"/>
        </w:rPr>
        <w:t>SALVAMENTO DE VOTO: DOCTORA ANA LUCÍA CAICEDO CALDERÓN</w:t>
      </w:r>
    </w:p>
    <w:p w:rsidR="00C965C3" w:rsidRDefault="00C965C3" w:rsidP="00C965C3">
      <w:pPr>
        <w:jc w:val="both"/>
        <w:rPr>
          <w:rFonts w:ascii="Arial" w:hAnsi="Arial" w:cs="Arial"/>
          <w:sz w:val="20"/>
          <w:lang w:val="es-419"/>
        </w:rPr>
      </w:pPr>
    </w:p>
    <w:p w:rsidR="003E194C" w:rsidRPr="003E194C" w:rsidRDefault="003E194C" w:rsidP="003E194C">
      <w:pPr>
        <w:jc w:val="both"/>
        <w:rPr>
          <w:rFonts w:ascii="Arial" w:hAnsi="Arial" w:cs="Arial"/>
          <w:sz w:val="20"/>
          <w:lang w:val="es-419"/>
        </w:rPr>
      </w:pPr>
      <w:r w:rsidRPr="003E194C">
        <w:rPr>
          <w:rFonts w:ascii="Arial" w:hAnsi="Arial" w:cs="Arial"/>
          <w:sz w:val="20"/>
          <w:lang w:val="es-419"/>
        </w:rPr>
        <w:t>Es claro que las pruebas recaudadas en primera instancia no son suficientes para concluir que la AFP demandada cumplió con su deber de proporcionar a la demandante información clara, precisa, oportuna y comprensible de las implicaciones del cambio de régimen. Y aunque en efecto el RAIS, como lo mencionó el asesor de la AFP demandada en las reuniones que sostuvo con la demandante y sus compañeros de trabajo, tiene la ventaja de ofrecer una pensión anticipada (es decir antes de la edad mínima de pensión), ello y el monto de la misma depende de varios factores, tales como el rendimiento del saldo de la cuenta de ahorro, esto es, la fluctuación del mercado de valores y del portafolio de inversiones del Fondo; el valor del bono pensional, si a este hubiere lugar; la edad de los potenciales beneficiarios de la pensión de sobrevivientes y la edad en la que el afiliado reclame tal prestación, etc., aspectos sobre los que no hay prueba de que se haya ofrecido alguna información por parte de la AFP.</w:t>
      </w:r>
    </w:p>
    <w:p w:rsidR="003E194C" w:rsidRPr="003E194C" w:rsidRDefault="003E194C" w:rsidP="003E194C">
      <w:pPr>
        <w:jc w:val="both"/>
        <w:rPr>
          <w:rFonts w:ascii="Arial" w:hAnsi="Arial" w:cs="Arial"/>
          <w:sz w:val="20"/>
          <w:lang w:val="es-419"/>
        </w:rPr>
      </w:pPr>
      <w:r w:rsidRPr="003E194C">
        <w:rPr>
          <w:rFonts w:ascii="Arial" w:hAnsi="Arial" w:cs="Arial"/>
          <w:sz w:val="20"/>
          <w:lang w:val="es-419"/>
        </w:rPr>
        <w:tab/>
      </w:r>
    </w:p>
    <w:p w:rsidR="003E194C" w:rsidRPr="003E194C" w:rsidRDefault="003E194C" w:rsidP="003E194C">
      <w:pPr>
        <w:jc w:val="both"/>
        <w:rPr>
          <w:rFonts w:ascii="Arial" w:hAnsi="Arial" w:cs="Arial"/>
          <w:sz w:val="20"/>
          <w:lang w:val="es-419"/>
        </w:rPr>
      </w:pPr>
      <w:r w:rsidRPr="003E194C">
        <w:rPr>
          <w:rFonts w:ascii="Arial" w:hAnsi="Arial" w:cs="Arial"/>
          <w:sz w:val="20"/>
          <w:lang w:val="es-419"/>
        </w:rPr>
        <w:t>En virtud de lo anterior, considero que debió revocarse la sentencia de primera instancia para, en su lugar, declarar la ineficacia del traslado efectuado por la demandante al régimen de ahorro individual con solidaridad.</w:t>
      </w:r>
    </w:p>
    <w:p w:rsidR="003E194C" w:rsidRDefault="003E194C" w:rsidP="00C965C3">
      <w:pPr>
        <w:jc w:val="both"/>
        <w:rPr>
          <w:rFonts w:ascii="Arial" w:hAnsi="Arial" w:cs="Arial"/>
          <w:sz w:val="20"/>
          <w:lang w:val="es-419"/>
        </w:rPr>
      </w:pPr>
    </w:p>
    <w:p w:rsidR="008D66EC" w:rsidRPr="008D66EC" w:rsidRDefault="008D66EC" w:rsidP="008D66EC">
      <w:pPr>
        <w:shd w:val="clear" w:color="auto" w:fill="000000"/>
        <w:spacing w:line="254" w:lineRule="auto"/>
        <w:ind w:right="-60" w:firstLine="6"/>
        <w:jc w:val="both"/>
        <w:rPr>
          <w:rFonts w:ascii="Arial" w:eastAsia="Calibri" w:hAnsi="Arial" w:cs="Arial"/>
          <w:b/>
          <w:color w:val="FFFFFF"/>
          <w:sz w:val="22"/>
          <w:szCs w:val="22"/>
          <w:lang w:val="es-ES" w:eastAsia="en-US"/>
        </w:rPr>
      </w:pPr>
      <w:bookmarkStart w:id="0" w:name="_Hlk77447900"/>
      <w:r w:rsidRPr="008D66EC">
        <w:rPr>
          <w:rFonts w:ascii="Arial" w:eastAsia="Calibri" w:hAnsi="Arial" w:cs="Arial"/>
          <w:b/>
          <w:color w:val="FFFFFF"/>
          <w:sz w:val="22"/>
          <w:szCs w:val="22"/>
          <w:lang w:val="es-ES" w:eastAsia="en-US"/>
        </w:rPr>
        <w:t>LA SALA DE CASACIÓN LABORAL DE LA CORTE SUPREMA DE JUSTICIA, MEDIANTE SENTENCIA SL</w:t>
      </w:r>
      <w:r>
        <w:rPr>
          <w:rFonts w:ascii="Arial" w:eastAsia="Calibri" w:hAnsi="Arial" w:cs="Arial"/>
          <w:b/>
          <w:color w:val="FFFFFF"/>
          <w:sz w:val="22"/>
          <w:szCs w:val="22"/>
          <w:lang w:val="es-ES" w:eastAsia="en-US"/>
        </w:rPr>
        <w:t>869</w:t>
      </w:r>
      <w:r w:rsidRPr="008D66EC">
        <w:rPr>
          <w:rFonts w:ascii="Arial" w:eastAsia="Calibri" w:hAnsi="Arial" w:cs="Arial"/>
          <w:b/>
          <w:color w:val="FFFFFF"/>
          <w:sz w:val="22"/>
          <w:szCs w:val="22"/>
          <w:lang w:val="es-ES" w:eastAsia="en-US"/>
        </w:rPr>
        <w:t xml:space="preserve">-2022, RADICACIÓN Nº </w:t>
      </w:r>
      <w:r>
        <w:rPr>
          <w:rFonts w:ascii="Arial" w:eastAsia="Calibri" w:hAnsi="Arial" w:cs="Arial"/>
          <w:b/>
          <w:color w:val="FFFFFF"/>
          <w:sz w:val="22"/>
          <w:szCs w:val="22"/>
          <w:lang w:val="es-ES" w:eastAsia="en-US"/>
        </w:rPr>
        <w:t>84661</w:t>
      </w:r>
      <w:r w:rsidRPr="008D66EC">
        <w:rPr>
          <w:rFonts w:ascii="Arial" w:eastAsia="Calibri" w:hAnsi="Arial" w:cs="Arial"/>
          <w:b/>
          <w:color w:val="FFFFFF"/>
          <w:sz w:val="22"/>
          <w:szCs w:val="22"/>
          <w:lang w:val="es-ES" w:eastAsia="en-US"/>
        </w:rPr>
        <w:t xml:space="preserve">, DE FECHA </w:t>
      </w:r>
      <w:r>
        <w:rPr>
          <w:rFonts w:ascii="Arial" w:eastAsia="Calibri" w:hAnsi="Arial" w:cs="Arial"/>
          <w:b/>
          <w:color w:val="FFFFFF"/>
          <w:sz w:val="22"/>
          <w:szCs w:val="22"/>
          <w:lang w:val="es-ES" w:eastAsia="en-US"/>
        </w:rPr>
        <w:t>15 DE MARZO</w:t>
      </w:r>
      <w:r w:rsidRPr="008D66EC">
        <w:rPr>
          <w:rFonts w:ascii="Arial" w:eastAsia="Calibri" w:hAnsi="Arial" w:cs="Arial"/>
          <w:b/>
          <w:color w:val="FFFFFF"/>
          <w:sz w:val="22"/>
          <w:szCs w:val="22"/>
          <w:lang w:val="es-ES" w:eastAsia="en-US"/>
        </w:rPr>
        <w:t xml:space="preserve"> DE 2022, </w:t>
      </w:r>
      <w:r w:rsidRPr="008D66EC">
        <w:rPr>
          <w:rFonts w:ascii="Arial" w:eastAsia="Calibri" w:hAnsi="Arial" w:cs="Arial"/>
          <w:b/>
          <w:color w:val="FFFFFF"/>
          <w:sz w:val="22"/>
          <w:szCs w:val="22"/>
          <w:lang w:val="es-ES" w:eastAsia="en-US"/>
        </w:rPr>
        <w:lastRenderedPageBreak/>
        <w:t xml:space="preserve">QUE PUEDE SER CONSULTADA EN LA PÁGINA WEB DE DICHA CORPORACIÓN O EN EL ARCHIVO QUE ESTÁ A CONTINUACIÓN DE ÉSTE, CASÓ EL PRESENTE FALLO Y “EN SEDE DE INSTANCIA” REVOCÓ LA SENTENCIA PROFERIDA EL </w:t>
      </w:r>
      <w:r>
        <w:rPr>
          <w:rFonts w:ascii="Arial" w:eastAsia="Calibri" w:hAnsi="Arial" w:cs="Arial"/>
          <w:b/>
          <w:color w:val="FFFFFF"/>
          <w:sz w:val="22"/>
          <w:szCs w:val="22"/>
          <w:lang w:val="es-ES" w:eastAsia="en-US"/>
        </w:rPr>
        <w:t xml:space="preserve">26 DE ABRIL </w:t>
      </w:r>
      <w:r w:rsidRPr="008D66EC">
        <w:rPr>
          <w:rFonts w:ascii="Arial" w:eastAsia="Calibri" w:hAnsi="Arial" w:cs="Arial"/>
          <w:b/>
          <w:color w:val="FFFFFF"/>
          <w:sz w:val="22"/>
          <w:szCs w:val="22"/>
          <w:lang w:val="es-ES" w:eastAsia="en-US"/>
        </w:rPr>
        <w:t xml:space="preserve">DE 2018 POR EL JUZGADO </w:t>
      </w:r>
      <w:r>
        <w:rPr>
          <w:rFonts w:ascii="Arial" w:eastAsia="Calibri" w:hAnsi="Arial" w:cs="Arial"/>
          <w:b/>
          <w:color w:val="FFFFFF"/>
          <w:sz w:val="22"/>
          <w:szCs w:val="22"/>
          <w:lang w:val="es-ES" w:eastAsia="en-US"/>
        </w:rPr>
        <w:t>CUARTO</w:t>
      </w:r>
      <w:r w:rsidRPr="008D66EC">
        <w:rPr>
          <w:rFonts w:ascii="Arial" w:eastAsia="Calibri" w:hAnsi="Arial" w:cs="Arial"/>
          <w:b/>
          <w:color w:val="FFFFFF"/>
          <w:sz w:val="22"/>
          <w:szCs w:val="22"/>
          <w:lang w:val="es-ES" w:eastAsia="en-US"/>
        </w:rPr>
        <w:t xml:space="preserve"> LABORAL DEL CIRCUITO DE LA CIUDAD.  EN SU LUGAR, ACCEDIÓ A LAS PRETENSIONES DE LA DEMANDA.</w:t>
      </w:r>
      <w:bookmarkEnd w:id="0"/>
    </w:p>
    <w:p w:rsidR="003E194C" w:rsidRDefault="003E194C" w:rsidP="00C965C3">
      <w:pPr>
        <w:jc w:val="both"/>
        <w:rPr>
          <w:rFonts w:ascii="Arial" w:hAnsi="Arial" w:cs="Arial"/>
          <w:sz w:val="20"/>
          <w:lang w:val="es-419"/>
        </w:rPr>
      </w:pPr>
    </w:p>
    <w:p w:rsidR="00643B15" w:rsidRDefault="00643B15" w:rsidP="00C965C3">
      <w:pPr>
        <w:contextualSpacing/>
        <w:jc w:val="both"/>
        <w:rPr>
          <w:rFonts w:ascii="Arial" w:hAnsi="Arial" w:cs="Arial"/>
          <w:b/>
          <w:bCs/>
          <w:sz w:val="18"/>
          <w:szCs w:val="18"/>
        </w:rPr>
      </w:pPr>
    </w:p>
    <w:p w:rsidR="00D636F8" w:rsidRDefault="00D636F8" w:rsidP="005920A9">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SALA LABORAL</w:t>
      </w:r>
    </w:p>
    <w:p w:rsidR="00D636F8" w:rsidRDefault="00D636F8" w:rsidP="005920A9">
      <w:pPr>
        <w:spacing w:line="276" w:lineRule="auto"/>
        <w:ind w:left="2127" w:hanging="1276"/>
        <w:contextualSpacing/>
        <w:jc w:val="center"/>
        <w:rPr>
          <w:rFonts w:ascii="Arial" w:hAnsi="Arial" w:cs="Arial"/>
          <w:b/>
          <w:szCs w:val="24"/>
        </w:rPr>
      </w:pPr>
    </w:p>
    <w:p w:rsidR="00D636F8" w:rsidRPr="003440CA"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D636F8" w:rsidRDefault="00D636F8" w:rsidP="005920A9">
      <w:pPr>
        <w:spacing w:line="276" w:lineRule="auto"/>
        <w:ind w:left="2127" w:hanging="1276"/>
        <w:contextualSpacing/>
        <w:jc w:val="center"/>
        <w:rPr>
          <w:rFonts w:ascii="Arial" w:hAnsi="Arial" w:cs="Arial"/>
          <w:b/>
          <w:szCs w:val="24"/>
          <w:u w:val="single"/>
        </w:rPr>
      </w:pPr>
    </w:p>
    <w:p w:rsidR="00D636F8" w:rsidRPr="00AC486E" w:rsidRDefault="00D636F8" w:rsidP="005920A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D636F8" w:rsidRPr="00AC486E" w:rsidRDefault="00D636F8" w:rsidP="005920A9">
      <w:pPr>
        <w:pStyle w:val="Sinespaciado"/>
        <w:spacing w:line="276" w:lineRule="auto"/>
        <w:contextualSpacing/>
        <w:rPr>
          <w:rFonts w:ascii="Arial" w:hAnsi="Arial" w:cs="Arial"/>
          <w:sz w:val="24"/>
          <w:szCs w:val="24"/>
        </w:rPr>
      </w:pPr>
    </w:p>
    <w:p w:rsidR="00D636F8" w:rsidRPr="00661C8C" w:rsidRDefault="00D636F8" w:rsidP="005920A9">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90597F">
        <w:rPr>
          <w:rFonts w:ascii="Arial" w:eastAsia="Calibri" w:hAnsi="Arial" w:cs="Arial"/>
          <w:szCs w:val="24"/>
          <w:lang w:val="es-CO" w:eastAsia="en-US"/>
        </w:rPr>
        <w:t xml:space="preserve">quince </w:t>
      </w:r>
      <w:r w:rsidR="00AD05E0">
        <w:rPr>
          <w:rFonts w:ascii="Arial" w:eastAsia="Calibri" w:hAnsi="Arial" w:cs="Arial"/>
          <w:szCs w:val="24"/>
          <w:lang w:val="es-CO" w:eastAsia="en-US"/>
        </w:rPr>
        <w:t>(</w:t>
      </w:r>
      <w:r w:rsidR="00643B15">
        <w:rPr>
          <w:rFonts w:ascii="Arial" w:eastAsia="Calibri" w:hAnsi="Arial" w:cs="Arial"/>
          <w:szCs w:val="24"/>
          <w:lang w:val="es-CO" w:eastAsia="en-US"/>
        </w:rPr>
        <w:t>1</w:t>
      </w:r>
      <w:r w:rsidR="0090597F">
        <w:rPr>
          <w:rFonts w:ascii="Arial" w:eastAsia="Calibri" w:hAnsi="Arial" w:cs="Arial"/>
          <w:szCs w:val="24"/>
          <w:lang w:val="es-CO" w:eastAsia="en-US"/>
        </w:rPr>
        <w:t>5</w:t>
      </w:r>
      <w:r w:rsidRPr="00AC486E">
        <w:rPr>
          <w:rFonts w:ascii="Arial" w:eastAsia="Calibri" w:hAnsi="Arial" w:cs="Arial"/>
          <w:szCs w:val="24"/>
          <w:lang w:val="es-CO" w:eastAsia="en-US"/>
        </w:rPr>
        <w:t xml:space="preserve">) días del mes de </w:t>
      </w:r>
      <w:r w:rsidR="00223A61">
        <w:rPr>
          <w:rFonts w:ascii="Arial" w:eastAsia="Calibri" w:hAnsi="Arial" w:cs="Arial"/>
          <w:szCs w:val="24"/>
          <w:lang w:val="es-CO" w:eastAsia="en-US"/>
        </w:rPr>
        <w:t xml:space="preserve">febrero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mil dieci</w:t>
      </w:r>
      <w:r w:rsidR="00774220">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774220">
        <w:rPr>
          <w:rFonts w:ascii="Arial" w:eastAsia="Calibri" w:hAnsi="Arial" w:cs="Arial"/>
          <w:szCs w:val="24"/>
          <w:lang w:val="es-CO" w:eastAsia="en-US"/>
        </w:rPr>
        <w:t>9</w:t>
      </w:r>
      <w:r>
        <w:rPr>
          <w:rFonts w:ascii="Arial" w:eastAsia="Calibri" w:hAnsi="Arial" w:cs="Arial"/>
          <w:szCs w:val="24"/>
          <w:lang w:val="es-CO" w:eastAsia="en-US"/>
        </w:rPr>
        <w:t xml:space="preserve">), siendo las </w:t>
      </w:r>
      <w:r w:rsidR="0090597F">
        <w:rPr>
          <w:rFonts w:ascii="Arial" w:eastAsia="Calibri" w:hAnsi="Arial" w:cs="Arial"/>
          <w:szCs w:val="24"/>
          <w:lang w:val="es-CO" w:eastAsia="en-US"/>
        </w:rPr>
        <w:t xml:space="preserve">ocho </w:t>
      </w:r>
      <w:r w:rsidR="00223A61">
        <w:rPr>
          <w:rFonts w:ascii="Arial" w:eastAsia="Calibri" w:hAnsi="Arial" w:cs="Arial"/>
          <w:szCs w:val="24"/>
          <w:lang w:val="es-CO" w:eastAsia="en-US"/>
        </w:rPr>
        <w:t xml:space="preserve">y </w:t>
      </w:r>
      <w:r w:rsidR="0090597F">
        <w:rPr>
          <w:rFonts w:ascii="Arial" w:eastAsia="Calibri" w:hAnsi="Arial" w:cs="Arial"/>
          <w:szCs w:val="24"/>
          <w:lang w:val="es-CO" w:eastAsia="en-US"/>
        </w:rPr>
        <w:t xml:space="preserve">cuarenta y cinco </w:t>
      </w:r>
      <w:r w:rsidR="00223A61">
        <w:rPr>
          <w:rFonts w:ascii="Arial" w:eastAsia="Calibri" w:hAnsi="Arial" w:cs="Arial"/>
          <w:szCs w:val="24"/>
          <w:lang w:val="es-CO" w:eastAsia="en-US"/>
        </w:rPr>
        <w:t xml:space="preserve">minutos </w:t>
      </w:r>
      <w:r w:rsidR="00B24407">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sidR="0090597F">
        <w:rPr>
          <w:rFonts w:ascii="Arial" w:eastAsia="Calibri" w:hAnsi="Arial" w:cs="Arial"/>
          <w:szCs w:val="24"/>
          <w:lang w:val="es-CO" w:eastAsia="en-US"/>
        </w:rPr>
        <w:t xml:space="preserve">08:45 </w:t>
      </w:r>
      <w:r w:rsidR="00B24407">
        <w:rPr>
          <w:rFonts w:ascii="Arial" w:eastAsia="Calibri" w:hAnsi="Arial" w:cs="Arial"/>
          <w:szCs w:val="24"/>
          <w:lang w:val="es-CO" w:eastAsia="en-US"/>
        </w:rPr>
        <w:t>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90597F">
        <w:rPr>
          <w:rFonts w:ascii="Arial" w:hAnsi="Arial" w:cs="Arial"/>
          <w:bCs/>
          <w:color w:val="000000"/>
          <w:szCs w:val="24"/>
          <w:lang w:eastAsia="es-CO"/>
        </w:rPr>
        <w:t xml:space="preserve">Primera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8908CC">
        <w:rPr>
          <w:rFonts w:ascii="Arial" w:hAnsi="Arial" w:cs="Arial"/>
          <w:bCs/>
          <w:color w:val="000000"/>
          <w:szCs w:val="24"/>
          <w:lang w:eastAsia="es-CO"/>
        </w:rPr>
        <w:t xml:space="preserve">el </w:t>
      </w:r>
      <w:r>
        <w:rPr>
          <w:rFonts w:ascii="Arial" w:hAnsi="Arial" w:cs="Arial"/>
          <w:bCs/>
          <w:color w:val="000000"/>
          <w:szCs w:val="24"/>
          <w:lang w:eastAsia="es-CO"/>
        </w:rPr>
        <w:t xml:space="preserve">recurso de apelación interpuesto por </w:t>
      </w:r>
      <w:r w:rsidR="00AD05E0">
        <w:rPr>
          <w:rFonts w:ascii="Arial" w:hAnsi="Arial" w:cs="Arial"/>
          <w:bCs/>
          <w:color w:val="000000"/>
          <w:szCs w:val="24"/>
          <w:lang w:eastAsia="es-CO"/>
        </w:rPr>
        <w:t>la</w:t>
      </w:r>
      <w:r w:rsidR="00643B15">
        <w:rPr>
          <w:rFonts w:ascii="Arial" w:hAnsi="Arial" w:cs="Arial"/>
          <w:bCs/>
          <w:color w:val="000000"/>
          <w:szCs w:val="24"/>
          <w:lang w:eastAsia="es-CO"/>
        </w:rPr>
        <w:t xml:space="preserve"> parte actora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90597F">
        <w:rPr>
          <w:rFonts w:ascii="Arial" w:hAnsi="Arial" w:cs="Arial"/>
          <w:szCs w:val="24"/>
        </w:rPr>
        <w:t>26</w:t>
      </w:r>
      <w:r w:rsidR="005B5D81">
        <w:rPr>
          <w:rFonts w:ascii="Arial" w:hAnsi="Arial" w:cs="Arial"/>
          <w:szCs w:val="24"/>
        </w:rPr>
        <w:t xml:space="preserve"> </w:t>
      </w:r>
      <w:r w:rsidRPr="00AC486E">
        <w:rPr>
          <w:rFonts w:ascii="Arial" w:hAnsi="Arial" w:cs="Arial"/>
          <w:szCs w:val="24"/>
        </w:rPr>
        <w:t xml:space="preserve">de </w:t>
      </w:r>
      <w:r w:rsidR="00643B15">
        <w:rPr>
          <w:rFonts w:ascii="Arial" w:hAnsi="Arial" w:cs="Arial"/>
          <w:szCs w:val="24"/>
        </w:rPr>
        <w:t xml:space="preserve">abril </w:t>
      </w:r>
      <w:r w:rsidRPr="00AC486E">
        <w:rPr>
          <w:rFonts w:ascii="Arial" w:hAnsi="Arial" w:cs="Arial"/>
          <w:szCs w:val="24"/>
        </w:rPr>
        <w:t>de 201</w:t>
      </w:r>
      <w:r w:rsidR="003A4CF9">
        <w:rPr>
          <w:rFonts w:ascii="Arial" w:hAnsi="Arial" w:cs="Arial"/>
          <w:szCs w:val="24"/>
        </w:rPr>
        <w:t>8</w:t>
      </w:r>
      <w:r w:rsidRPr="00AC486E">
        <w:rPr>
          <w:rFonts w:ascii="Arial" w:hAnsi="Arial" w:cs="Arial"/>
          <w:szCs w:val="24"/>
        </w:rPr>
        <w:t xml:space="preserve"> por el Juzgado </w:t>
      </w:r>
      <w:r w:rsidR="003E5A0B">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90597F">
        <w:rPr>
          <w:rFonts w:ascii="Arial" w:hAnsi="Arial" w:cs="Arial"/>
          <w:szCs w:val="24"/>
        </w:rPr>
        <w:t xml:space="preserve">la </w:t>
      </w:r>
      <w:r>
        <w:rPr>
          <w:rFonts w:ascii="Arial" w:hAnsi="Arial" w:cs="Arial"/>
          <w:szCs w:val="24"/>
        </w:rPr>
        <w:t>señor</w:t>
      </w:r>
      <w:r w:rsidR="0090597F">
        <w:rPr>
          <w:rFonts w:ascii="Arial" w:hAnsi="Arial" w:cs="Arial"/>
          <w:szCs w:val="24"/>
        </w:rPr>
        <w:t>a</w:t>
      </w:r>
      <w:r>
        <w:rPr>
          <w:rFonts w:ascii="Arial" w:hAnsi="Arial" w:cs="Arial"/>
          <w:szCs w:val="24"/>
        </w:rPr>
        <w:t xml:space="preserve"> </w:t>
      </w:r>
      <w:r w:rsidR="0090597F">
        <w:rPr>
          <w:rFonts w:ascii="Arial" w:hAnsi="Arial" w:cs="Arial"/>
          <w:b/>
          <w:szCs w:val="24"/>
        </w:rPr>
        <w:t>Gloria Lucía Cardona Giraldo</w:t>
      </w:r>
      <w:r w:rsidR="003A4CF9">
        <w:rPr>
          <w:rFonts w:ascii="Arial" w:hAnsi="Arial" w:cs="Arial"/>
          <w:b/>
          <w:szCs w:val="24"/>
        </w:rPr>
        <w:t xml:space="preserve"> </w:t>
      </w:r>
      <w:r w:rsidR="00AD05E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90597F">
        <w:rPr>
          <w:rFonts w:ascii="Arial" w:hAnsi="Arial" w:cs="Arial"/>
          <w:b/>
          <w:bCs/>
          <w:szCs w:val="24"/>
        </w:rPr>
        <w:t xml:space="preserve"> </w:t>
      </w:r>
      <w:r w:rsidR="003E5A0B" w:rsidRPr="0090597F">
        <w:rPr>
          <w:rFonts w:ascii="Arial" w:hAnsi="Arial" w:cs="Arial"/>
          <w:bCs/>
          <w:szCs w:val="24"/>
        </w:rPr>
        <w:t>y el</w:t>
      </w:r>
      <w:r w:rsidR="003E5A0B">
        <w:rPr>
          <w:rFonts w:ascii="Arial" w:hAnsi="Arial" w:cs="Arial"/>
          <w:b/>
          <w:bCs/>
          <w:szCs w:val="24"/>
        </w:rPr>
        <w:t xml:space="preserve"> Fondo de Pensiones y Cesantías Protección S.A.</w:t>
      </w:r>
      <w:r w:rsidR="008908CC">
        <w:rPr>
          <w:rFonts w:ascii="Arial" w:hAnsi="Arial" w:cs="Arial"/>
          <w:b/>
          <w:bCs/>
          <w:szCs w:val="24"/>
        </w:rPr>
        <w:t xml:space="preserve">, </w:t>
      </w:r>
      <w:r>
        <w:rPr>
          <w:rFonts w:ascii="Arial" w:hAnsi="Arial" w:cs="Arial"/>
          <w:bCs/>
          <w:szCs w:val="24"/>
        </w:rPr>
        <w:t>radicado</w:t>
      </w:r>
      <w:r w:rsidR="008908CC">
        <w:rPr>
          <w:rFonts w:ascii="Arial" w:hAnsi="Arial" w:cs="Arial"/>
          <w:bCs/>
          <w:szCs w:val="24"/>
        </w:rPr>
        <w:t xml:space="preserve"> al N° 66001-31-05-00</w:t>
      </w:r>
      <w:r w:rsidR="003E5A0B">
        <w:rPr>
          <w:rFonts w:ascii="Arial" w:hAnsi="Arial" w:cs="Arial"/>
          <w:bCs/>
          <w:szCs w:val="24"/>
        </w:rPr>
        <w:t>4-2017</w:t>
      </w:r>
      <w:r>
        <w:rPr>
          <w:rFonts w:ascii="Arial" w:hAnsi="Arial" w:cs="Arial"/>
          <w:bCs/>
          <w:szCs w:val="24"/>
        </w:rPr>
        <w:t>-00</w:t>
      </w:r>
      <w:r w:rsidR="0090597F">
        <w:rPr>
          <w:rFonts w:ascii="Arial" w:hAnsi="Arial" w:cs="Arial"/>
          <w:bCs/>
          <w:szCs w:val="24"/>
        </w:rPr>
        <w:t>237</w:t>
      </w:r>
      <w:r>
        <w:rPr>
          <w:rFonts w:ascii="Arial" w:hAnsi="Arial" w:cs="Arial"/>
          <w:bCs/>
          <w:szCs w:val="24"/>
        </w:rPr>
        <w:t>-01</w:t>
      </w:r>
      <w:r>
        <w:rPr>
          <w:rFonts w:ascii="Arial" w:hAnsi="Arial" w:cs="Arial"/>
          <w:b/>
          <w:bCs/>
          <w:szCs w:val="24"/>
        </w:rPr>
        <w:t>.</w:t>
      </w:r>
    </w:p>
    <w:p w:rsidR="00D636F8" w:rsidRPr="00AC486E" w:rsidRDefault="00D636F8" w:rsidP="005920A9">
      <w:pPr>
        <w:spacing w:line="276" w:lineRule="auto"/>
        <w:ind w:firstLine="851"/>
        <w:contextualSpacing/>
        <w:jc w:val="both"/>
        <w:rPr>
          <w:rFonts w:ascii="Arial" w:hAnsi="Arial" w:cs="Arial"/>
          <w:bCs/>
          <w:iCs/>
          <w:szCs w:val="24"/>
        </w:rPr>
      </w:pPr>
    </w:p>
    <w:p w:rsidR="00D636F8" w:rsidRPr="00502691" w:rsidRDefault="00D636F8" w:rsidP="005920A9">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Default="00D636F8" w:rsidP="005920A9">
      <w:pPr>
        <w:spacing w:line="276" w:lineRule="auto"/>
        <w:contextualSpacing/>
        <w:jc w:val="both"/>
        <w:rPr>
          <w:rFonts w:ascii="Arial" w:hAnsi="Arial" w:cs="Arial"/>
          <w:szCs w:val="24"/>
        </w:rPr>
      </w:pPr>
    </w:p>
    <w:p w:rsidR="00D636F8" w:rsidRPr="00637118" w:rsidRDefault="00D636F8" w:rsidP="005920A9">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D636F8" w:rsidRPr="00AC486E" w:rsidRDefault="00D636F8" w:rsidP="005920A9">
      <w:pPr>
        <w:pStyle w:val="Sinespaciado"/>
        <w:spacing w:line="276" w:lineRule="auto"/>
        <w:contextualSpacing/>
        <w:rPr>
          <w:rFonts w:ascii="Arial" w:hAnsi="Arial" w:cs="Arial"/>
          <w:sz w:val="24"/>
          <w:szCs w:val="24"/>
        </w:rPr>
      </w:pPr>
    </w:p>
    <w:p w:rsidR="00D636F8" w:rsidRPr="00346958" w:rsidRDefault="00D636F8" w:rsidP="00487B80">
      <w:pPr>
        <w:pStyle w:val="Prrafodelista"/>
        <w:numPr>
          <w:ilvl w:val="0"/>
          <w:numId w:val="1"/>
        </w:numPr>
        <w:spacing w:after="0"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487B80" w:rsidRDefault="00487B80" w:rsidP="005920A9">
      <w:pPr>
        <w:spacing w:line="276" w:lineRule="auto"/>
        <w:contextualSpacing/>
        <w:jc w:val="both"/>
        <w:rPr>
          <w:rFonts w:ascii="Arial" w:hAnsi="Arial" w:cs="Arial"/>
          <w:szCs w:val="24"/>
        </w:rPr>
      </w:pPr>
    </w:p>
    <w:p w:rsidR="00DA11B4" w:rsidRDefault="00D24016" w:rsidP="005920A9">
      <w:pPr>
        <w:spacing w:line="276" w:lineRule="auto"/>
        <w:contextualSpacing/>
        <w:jc w:val="both"/>
        <w:rPr>
          <w:rFonts w:ascii="Arial" w:hAnsi="Arial" w:cs="Arial"/>
          <w:szCs w:val="24"/>
        </w:rPr>
      </w:pPr>
      <w:r>
        <w:rPr>
          <w:rFonts w:ascii="Arial" w:hAnsi="Arial" w:cs="Arial"/>
          <w:szCs w:val="24"/>
        </w:rPr>
        <w:t xml:space="preserve">La </w:t>
      </w:r>
      <w:r w:rsidR="00D636F8">
        <w:rPr>
          <w:rFonts w:ascii="Arial" w:hAnsi="Arial" w:cs="Arial"/>
          <w:szCs w:val="24"/>
        </w:rPr>
        <w:t>señor</w:t>
      </w:r>
      <w:r>
        <w:rPr>
          <w:rFonts w:ascii="Arial" w:hAnsi="Arial" w:cs="Arial"/>
          <w:szCs w:val="24"/>
        </w:rPr>
        <w:t>a</w:t>
      </w:r>
      <w:r w:rsidR="00D636F8">
        <w:rPr>
          <w:rFonts w:ascii="Arial" w:hAnsi="Arial" w:cs="Arial"/>
          <w:szCs w:val="24"/>
        </w:rPr>
        <w:t xml:space="preserve"> </w:t>
      </w:r>
      <w:r w:rsidR="0090597F">
        <w:rPr>
          <w:rFonts w:ascii="Arial" w:hAnsi="Arial" w:cs="Arial"/>
          <w:szCs w:val="24"/>
        </w:rPr>
        <w:t>Gloria Lucía Cardona Giraldo</w:t>
      </w:r>
      <w:r w:rsidR="003A4CF9">
        <w:rPr>
          <w:rFonts w:ascii="Arial" w:hAnsi="Arial" w:cs="Arial"/>
          <w:szCs w:val="24"/>
        </w:rPr>
        <w:t xml:space="preserve"> </w:t>
      </w:r>
      <w:r w:rsidR="00832A1F">
        <w:rPr>
          <w:rFonts w:ascii="Arial" w:hAnsi="Arial" w:cs="Arial"/>
          <w:szCs w:val="24"/>
        </w:rPr>
        <w:t xml:space="preserve">pretende que </w:t>
      </w:r>
      <w:r w:rsidR="001506EE">
        <w:rPr>
          <w:rFonts w:ascii="Arial" w:hAnsi="Arial" w:cs="Arial"/>
          <w:szCs w:val="24"/>
        </w:rPr>
        <w:t xml:space="preserve">por falta de los requisitos previstos en los numerales 3 y 4 del artículo 1611 del código civil –sic- y los artículos 13 y 271 de la Ley 100/93, </w:t>
      </w:r>
      <w:r w:rsidR="00AD05E0">
        <w:rPr>
          <w:rFonts w:ascii="Arial" w:hAnsi="Arial" w:cs="Arial"/>
          <w:szCs w:val="24"/>
        </w:rPr>
        <w:t>se declare</w:t>
      </w:r>
      <w:r w:rsidR="00463295">
        <w:rPr>
          <w:rFonts w:ascii="Arial" w:hAnsi="Arial" w:cs="Arial"/>
          <w:szCs w:val="24"/>
        </w:rPr>
        <w:t xml:space="preserve"> la nulidad </w:t>
      </w:r>
      <w:r w:rsidR="001506EE">
        <w:rPr>
          <w:rFonts w:ascii="Arial" w:hAnsi="Arial" w:cs="Arial"/>
          <w:szCs w:val="24"/>
        </w:rPr>
        <w:t xml:space="preserve">del traslado y la ineficacia </w:t>
      </w:r>
      <w:r w:rsidR="00463295">
        <w:rPr>
          <w:rFonts w:ascii="Arial" w:hAnsi="Arial" w:cs="Arial"/>
          <w:szCs w:val="24"/>
        </w:rPr>
        <w:t xml:space="preserve">de la afiliación que efectuó a </w:t>
      </w:r>
      <w:r w:rsidR="0036430B">
        <w:rPr>
          <w:rFonts w:ascii="Arial" w:hAnsi="Arial" w:cs="Arial"/>
          <w:szCs w:val="24"/>
        </w:rPr>
        <w:t xml:space="preserve">la AFP Protección </w:t>
      </w:r>
      <w:r w:rsidR="00463295">
        <w:rPr>
          <w:rFonts w:ascii="Arial" w:hAnsi="Arial" w:cs="Arial"/>
          <w:szCs w:val="24"/>
        </w:rPr>
        <w:t>S.A</w:t>
      </w:r>
      <w:r w:rsidR="0036430B">
        <w:rPr>
          <w:rFonts w:ascii="Arial" w:hAnsi="Arial" w:cs="Arial"/>
          <w:szCs w:val="24"/>
        </w:rPr>
        <w:t xml:space="preserve"> el </w:t>
      </w:r>
      <w:r w:rsidR="001506EE">
        <w:rPr>
          <w:rFonts w:ascii="Arial" w:hAnsi="Arial" w:cs="Arial"/>
          <w:szCs w:val="24"/>
        </w:rPr>
        <w:t>10/05/1995</w:t>
      </w:r>
      <w:r w:rsidR="00B51E5D">
        <w:rPr>
          <w:rFonts w:ascii="Arial" w:hAnsi="Arial" w:cs="Arial"/>
          <w:szCs w:val="24"/>
        </w:rPr>
        <w:t>; en consecuencia, se declare vá</w:t>
      </w:r>
      <w:r w:rsidR="00463295">
        <w:rPr>
          <w:rFonts w:ascii="Arial" w:hAnsi="Arial" w:cs="Arial"/>
          <w:szCs w:val="24"/>
        </w:rPr>
        <w:t>lida</w:t>
      </w:r>
      <w:r w:rsidR="0036430B">
        <w:rPr>
          <w:rFonts w:ascii="Arial" w:hAnsi="Arial" w:cs="Arial"/>
          <w:szCs w:val="24"/>
        </w:rPr>
        <w:t>, vigente y sin solución de continuidad</w:t>
      </w:r>
      <w:r w:rsidR="00463295">
        <w:rPr>
          <w:rFonts w:ascii="Arial" w:hAnsi="Arial" w:cs="Arial"/>
          <w:szCs w:val="24"/>
        </w:rPr>
        <w:t xml:space="preserve"> la afiliación a Colpensiones</w:t>
      </w:r>
      <w:r w:rsidR="001506EE">
        <w:rPr>
          <w:rFonts w:ascii="Arial" w:hAnsi="Arial" w:cs="Arial"/>
          <w:szCs w:val="24"/>
        </w:rPr>
        <w:t xml:space="preserve"> y</w:t>
      </w:r>
      <w:r w:rsidR="00E67AFC">
        <w:rPr>
          <w:rFonts w:ascii="Arial" w:hAnsi="Arial" w:cs="Arial"/>
          <w:szCs w:val="24"/>
        </w:rPr>
        <w:t xml:space="preserve"> que</w:t>
      </w:r>
      <w:r w:rsidR="001506EE">
        <w:rPr>
          <w:rFonts w:ascii="Arial" w:hAnsi="Arial" w:cs="Arial"/>
          <w:szCs w:val="24"/>
        </w:rPr>
        <w:t xml:space="preserve"> tiene derecho a la aplicación de la Ley 797/2003, para que esta última le reconozca la pensión.</w:t>
      </w:r>
    </w:p>
    <w:p w:rsidR="004958EC" w:rsidRDefault="004958EC" w:rsidP="005920A9">
      <w:pPr>
        <w:spacing w:line="276" w:lineRule="auto"/>
        <w:contextualSpacing/>
        <w:jc w:val="both"/>
        <w:rPr>
          <w:rFonts w:ascii="Arial" w:hAnsi="Arial" w:cs="Arial"/>
          <w:szCs w:val="24"/>
        </w:rPr>
      </w:pPr>
    </w:p>
    <w:p w:rsidR="00D636F8" w:rsidRDefault="00DA11B4" w:rsidP="005920A9">
      <w:pPr>
        <w:spacing w:line="276" w:lineRule="auto"/>
        <w:contextualSpacing/>
        <w:jc w:val="both"/>
        <w:rPr>
          <w:rFonts w:ascii="Arial" w:hAnsi="Arial" w:cs="Arial"/>
          <w:szCs w:val="24"/>
        </w:rPr>
      </w:pPr>
      <w:r>
        <w:rPr>
          <w:rFonts w:ascii="Arial" w:hAnsi="Arial" w:cs="Arial"/>
          <w:szCs w:val="24"/>
        </w:rPr>
        <w:t>Consecuente con lo anterior, se con</w:t>
      </w:r>
      <w:r w:rsidR="00E67AFC">
        <w:rPr>
          <w:rFonts w:ascii="Arial" w:hAnsi="Arial" w:cs="Arial"/>
          <w:szCs w:val="24"/>
        </w:rPr>
        <w:t>denen a la AFP Protección</w:t>
      </w:r>
      <w:r>
        <w:rPr>
          <w:rFonts w:ascii="Arial" w:hAnsi="Arial" w:cs="Arial"/>
          <w:szCs w:val="24"/>
        </w:rPr>
        <w:t xml:space="preserve"> S.A. a trasladar a Colpensiones </w:t>
      </w:r>
      <w:r w:rsidR="001526F5">
        <w:rPr>
          <w:rFonts w:ascii="Arial" w:hAnsi="Arial" w:cs="Arial"/>
          <w:szCs w:val="24"/>
        </w:rPr>
        <w:t>todos los aportes y a esta que los reciba</w:t>
      </w:r>
      <w:r w:rsidR="00832A1F">
        <w:rPr>
          <w:rFonts w:ascii="Arial" w:hAnsi="Arial" w:cs="Arial"/>
          <w:szCs w:val="24"/>
        </w:rPr>
        <w:t xml:space="preserve"> y reactive su afiliación.</w:t>
      </w:r>
    </w:p>
    <w:p w:rsidR="00F86DCE" w:rsidRDefault="00F86DCE" w:rsidP="00F86DCE">
      <w:pPr>
        <w:spacing w:line="276" w:lineRule="auto"/>
        <w:contextualSpacing/>
        <w:jc w:val="both"/>
        <w:rPr>
          <w:rFonts w:ascii="Arial" w:hAnsi="Arial" w:cs="Arial"/>
          <w:szCs w:val="24"/>
        </w:rPr>
      </w:pPr>
      <w:r>
        <w:rPr>
          <w:rFonts w:ascii="Arial" w:hAnsi="Arial" w:cs="Arial"/>
          <w:szCs w:val="24"/>
        </w:rPr>
        <w:t>Y de manera subsidiaria, que se condene a Protección a reconocerle a título de indemnización la diferencia mensual de su mesada pensional.</w:t>
      </w:r>
    </w:p>
    <w:p w:rsidR="00F86DCE" w:rsidRDefault="00F86DCE" w:rsidP="005920A9">
      <w:pPr>
        <w:spacing w:line="276" w:lineRule="auto"/>
        <w:contextualSpacing/>
        <w:jc w:val="both"/>
        <w:rPr>
          <w:rFonts w:ascii="Arial" w:hAnsi="Arial" w:cs="Arial"/>
          <w:szCs w:val="24"/>
        </w:rPr>
      </w:pPr>
    </w:p>
    <w:p w:rsidR="001526F5" w:rsidRDefault="00D636F8" w:rsidP="005920A9">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37407A">
        <w:rPr>
          <w:rFonts w:ascii="Arial" w:hAnsi="Arial" w:cs="Arial"/>
          <w:szCs w:val="24"/>
        </w:rPr>
        <w:t xml:space="preserve">nació el </w:t>
      </w:r>
      <w:r w:rsidR="00A14F6A">
        <w:rPr>
          <w:rFonts w:ascii="Arial" w:hAnsi="Arial" w:cs="Arial"/>
          <w:szCs w:val="24"/>
        </w:rPr>
        <w:t>14/01/1961</w:t>
      </w:r>
      <w:r w:rsidR="005643FF">
        <w:rPr>
          <w:rFonts w:ascii="Arial" w:hAnsi="Arial" w:cs="Arial"/>
          <w:szCs w:val="24"/>
        </w:rPr>
        <w:t>; (ii) se afilió al ISS el 2</w:t>
      </w:r>
      <w:r w:rsidR="00A14F6A">
        <w:rPr>
          <w:rFonts w:ascii="Arial" w:hAnsi="Arial" w:cs="Arial"/>
          <w:szCs w:val="24"/>
        </w:rPr>
        <w:t>5/09/1979 donde</w:t>
      </w:r>
      <w:r w:rsidR="001526F5">
        <w:rPr>
          <w:rFonts w:ascii="Arial" w:hAnsi="Arial" w:cs="Arial"/>
          <w:szCs w:val="24"/>
        </w:rPr>
        <w:t xml:space="preserve"> cotizó </w:t>
      </w:r>
      <w:r w:rsidR="00A14F6A">
        <w:rPr>
          <w:rFonts w:ascii="Arial" w:hAnsi="Arial" w:cs="Arial"/>
          <w:szCs w:val="24"/>
        </w:rPr>
        <w:t xml:space="preserve">761,29 </w:t>
      </w:r>
      <w:r w:rsidR="001526F5">
        <w:rPr>
          <w:rFonts w:ascii="Arial" w:hAnsi="Arial" w:cs="Arial"/>
          <w:szCs w:val="24"/>
        </w:rPr>
        <w:t>semanas</w:t>
      </w:r>
      <w:r w:rsidR="00A14F6A">
        <w:rPr>
          <w:rFonts w:ascii="Arial" w:hAnsi="Arial" w:cs="Arial"/>
          <w:szCs w:val="24"/>
        </w:rPr>
        <w:t xml:space="preserve"> hasta</w:t>
      </w:r>
      <w:r w:rsidR="00BC0673">
        <w:rPr>
          <w:rFonts w:ascii="Arial" w:hAnsi="Arial" w:cs="Arial"/>
          <w:szCs w:val="24"/>
        </w:rPr>
        <w:t xml:space="preserve"> el 10/05/1995 cuando</w:t>
      </w:r>
      <w:r w:rsidR="00A14F6A">
        <w:rPr>
          <w:rFonts w:ascii="Arial" w:hAnsi="Arial" w:cs="Arial"/>
          <w:szCs w:val="24"/>
        </w:rPr>
        <w:t xml:space="preserve"> se </w:t>
      </w:r>
      <w:r w:rsidR="00BC0673">
        <w:rPr>
          <w:rFonts w:ascii="Arial" w:hAnsi="Arial" w:cs="Arial"/>
          <w:szCs w:val="24"/>
        </w:rPr>
        <w:t>trasladó a Protección S.A.</w:t>
      </w:r>
      <w:r w:rsidR="005643FF">
        <w:rPr>
          <w:rFonts w:ascii="Arial" w:hAnsi="Arial" w:cs="Arial"/>
          <w:szCs w:val="24"/>
        </w:rPr>
        <w:t>; (iii)</w:t>
      </w:r>
      <w:r w:rsidR="001526F5">
        <w:rPr>
          <w:rFonts w:ascii="Arial" w:hAnsi="Arial" w:cs="Arial"/>
          <w:szCs w:val="24"/>
        </w:rPr>
        <w:t xml:space="preserve"> </w:t>
      </w:r>
      <w:r w:rsidR="00BC0673">
        <w:rPr>
          <w:rFonts w:ascii="Arial" w:hAnsi="Arial" w:cs="Arial"/>
          <w:szCs w:val="24"/>
        </w:rPr>
        <w:t>en esta AFP cuenta con 1069,43 semanas cotizadas.</w:t>
      </w:r>
    </w:p>
    <w:p w:rsidR="00BC0673" w:rsidRDefault="00BC0673" w:rsidP="005920A9">
      <w:pPr>
        <w:spacing w:line="276" w:lineRule="auto"/>
        <w:contextualSpacing/>
        <w:jc w:val="both"/>
        <w:rPr>
          <w:rFonts w:ascii="Arial" w:hAnsi="Arial" w:cs="Arial"/>
          <w:szCs w:val="24"/>
        </w:rPr>
      </w:pPr>
    </w:p>
    <w:p w:rsidR="00A17A04" w:rsidRDefault="00BC0673" w:rsidP="005920A9">
      <w:pPr>
        <w:spacing w:line="276" w:lineRule="auto"/>
        <w:contextualSpacing/>
        <w:jc w:val="both"/>
        <w:rPr>
          <w:rFonts w:ascii="Arial" w:hAnsi="Arial" w:cs="Arial"/>
          <w:szCs w:val="24"/>
        </w:rPr>
      </w:pPr>
      <w:r>
        <w:rPr>
          <w:rFonts w:ascii="Arial" w:hAnsi="Arial" w:cs="Arial"/>
          <w:szCs w:val="24"/>
        </w:rPr>
        <w:t>(iv) Su traslado fue parte de un “traslado masivo” cuando laboraba en la Compañía de Financiamiento comercial FINEVESA, en virtud de una reunión convocada por la accionada, cuyo argumento principal fue la inminente desaparición del ISS</w:t>
      </w:r>
      <w:r w:rsidR="00A17A04">
        <w:rPr>
          <w:rFonts w:ascii="Arial" w:hAnsi="Arial" w:cs="Arial"/>
          <w:szCs w:val="24"/>
        </w:rPr>
        <w:t>.</w:t>
      </w:r>
    </w:p>
    <w:p w:rsidR="00A17A04" w:rsidRDefault="00A17A04" w:rsidP="005920A9">
      <w:pPr>
        <w:spacing w:line="276" w:lineRule="auto"/>
        <w:contextualSpacing/>
        <w:jc w:val="both"/>
        <w:rPr>
          <w:rFonts w:ascii="Arial" w:hAnsi="Arial" w:cs="Arial"/>
          <w:szCs w:val="24"/>
        </w:rPr>
      </w:pPr>
    </w:p>
    <w:p w:rsidR="00A17A04" w:rsidRDefault="00A17A04" w:rsidP="005920A9">
      <w:pPr>
        <w:spacing w:line="276" w:lineRule="auto"/>
        <w:contextualSpacing/>
        <w:jc w:val="both"/>
        <w:rPr>
          <w:rFonts w:ascii="Arial" w:hAnsi="Arial" w:cs="Arial"/>
          <w:szCs w:val="24"/>
        </w:rPr>
      </w:pPr>
      <w:r>
        <w:rPr>
          <w:rFonts w:ascii="Arial" w:hAnsi="Arial" w:cs="Arial"/>
          <w:szCs w:val="24"/>
        </w:rPr>
        <w:t xml:space="preserve">(v) No se le suministró una información adecuada, suficiente, clara, comprensible  y cierta acerca de las consecuencias legales y económicas de su traslado y sobre todo de su cambio de régimen pensional y la posibilidad de retornar a él antes de faltarle 10 años para adquirir el derecho, ni se le dio </w:t>
      </w:r>
      <w:proofErr w:type="spellStart"/>
      <w:r>
        <w:rPr>
          <w:rFonts w:ascii="Arial" w:hAnsi="Arial" w:cs="Arial"/>
          <w:szCs w:val="24"/>
        </w:rPr>
        <w:t>reasesoría</w:t>
      </w:r>
      <w:proofErr w:type="spellEnd"/>
      <w:r>
        <w:rPr>
          <w:rFonts w:ascii="Arial" w:hAnsi="Arial" w:cs="Arial"/>
          <w:szCs w:val="24"/>
        </w:rPr>
        <w:t xml:space="preserve"> para esta época.</w:t>
      </w:r>
    </w:p>
    <w:p w:rsidR="00A17A04" w:rsidRDefault="00A17A04" w:rsidP="005920A9">
      <w:pPr>
        <w:spacing w:line="276" w:lineRule="auto"/>
        <w:contextualSpacing/>
        <w:jc w:val="both"/>
        <w:rPr>
          <w:rFonts w:ascii="Arial" w:hAnsi="Arial" w:cs="Arial"/>
          <w:szCs w:val="24"/>
        </w:rPr>
      </w:pPr>
    </w:p>
    <w:p w:rsidR="00BC0673" w:rsidRDefault="00A17A04" w:rsidP="00A17A04">
      <w:pPr>
        <w:spacing w:line="276" w:lineRule="auto"/>
        <w:contextualSpacing/>
        <w:jc w:val="both"/>
        <w:rPr>
          <w:rFonts w:ascii="Arial" w:hAnsi="Arial" w:cs="Arial"/>
          <w:szCs w:val="24"/>
        </w:rPr>
      </w:pPr>
      <w:r>
        <w:rPr>
          <w:rFonts w:ascii="Arial" w:hAnsi="Arial" w:cs="Arial"/>
          <w:szCs w:val="24"/>
        </w:rPr>
        <w:t xml:space="preserve">(vi) </w:t>
      </w:r>
      <w:r w:rsidR="0064777C">
        <w:rPr>
          <w:rFonts w:ascii="Arial" w:hAnsi="Arial" w:cs="Arial"/>
          <w:szCs w:val="24"/>
        </w:rPr>
        <w:t>El 31/10/2014 solicitó a Colpensiones el traslado, pero le fue negado por estar a menos de 10 años para cumplir requisitos para acceder a la pensión de vejez, (vii) el 05/11/2014 elevó similar petición a Protección, donde le inform</w:t>
      </w:r>
      <w:r w:rsidR="00E67AFC">
        <w:rPr>
          <w:rFonts w:ascii="Arial" w:hAnsi="Arial" w:cs="Arial"/>
          <w:szCs w:val="24"/>
        </w:rPr>
        <w:t>ó que no tenía</w:t>
      </w:r>
      <w:r w:rsidR="0064777C">
        <w:rPr>
          <w:rFonts w:ascii="Arial" w:hAnsi="Arial" w:cs="Arial"/>
          <w:szCs w:val="24"/>
        </w:rPr>
        <w:t xml:space="preserve"> competencia para ello.</w:t>
      </w:r>
    </w:p>
    <w:p w:rsidR="00C01E85" w:rsidRDefault="00C01E85" w:rsidP="005920A9">
      <w:pPr>
        <w:spacing w:line="276" w:lineRule="auto"/>
        <w:contextualSpacing/>
        <w:jc w:val="both"/>
        <w:rPr>
          <w:rFonts w:ascii="Arial" w:hAnsi="Arial" w:cs="Arial"/>
          <w:szCs w:val="24"/>
        </w:rPr>
      </w:pPr>
    </w:p>
    <w:p w:rsidR="00C01E85" w:rsidRDefault="00402817" w:rsidP="005920A9">
      <w:pPr>
        <w:spacing w:line="276" w:lineRule="auto"/>
        <w:contextualSpacing/>
        <w:jc w:val="both"/>
        <w:rPr>
          <w:rFonts w:ascii="Arial" w:hAnsi="Arial" w:cs="Arial"/>
          <w:szCs w:val="24"/>
        </w:rPr>
      </w:pPr>
      <w:r>
        <w:rPr>
          <w:rFonts w:ascii="Arial" w:hAnsi="Arial" w:cs="Arial"/>
          <w:szCs w:val="24"/>
        </w:rPr>
        <w:t xml:space="preserve">(vii) </w:t>
      </w:r>
      <w:r w:rsidR="0064777C">
        <w:rPr>
          <w:rFonts w:ascii="Arial" w:hAnsi="Arial" w:cs="Arial"/>
          <w:szCs w:val="24"/>
        </w:rPr>
        <w:t>D</w:t>
      </w:r>
      <w:r w:rsidR="00DC48CC">
        <w:rPr>
          <w:rFonts w:ascii="Arial" w:hAnsi="Arial" w:cs="Arial"/>
          <w:szCs w:val="24"/>
        </w:rPr>
        <w:t xml:space="preserve">e acuerdo a </w:t>
      </w:r>
      <w:r w:rsidR="00B51E5D">
        <w:rPr>
          <w:rFonts w:ascii="Arial" w:hAnsi="Arial" w:cs="Arial"/>
          <w:szCs w:val="24"/>
        </w:rPr>
        <w:t xml:space="preserve">la </w:t>
      </w:r>
      <w:r w:rsidR="00DC48CC">
        <w:rPr>
          <w:rFonts w:ascii="Arial" w:hAnsi="Arial" w:cs="Arial"/>
          <w:szCs w:val="24"/>
        </w:rPr>
        <w:t>proyección realizada</w:t>
      </w:r>
      <w:r w:rsidR="00B51E5D">
        <w:rPr>
          <w:rFonts w:ascii="Arial" w:hAnsi="Arial" w:cs="Arial"/>
          <w:szCs w:val="24"/>
        </w:rPr>
        <w:t>,</w:t>
      </w:r>
      <w:r w:rsidR="00DC48CC">
        <w:rPr>
          <w:rFonts w:ascii="Arial" w:hAnsi="Arial" w:cs="Arial"/>
          <w:szCs w:val="24"/>
        </w:rPr>
        <w:t xml:space="preserve"> </w:t>
      </w:r>
      <w:r w:rsidR="007341F9">
        <w:rPr>
          <w:rFonts w:ascii="Arial" w:hAnsi="Arial" w:cs="Arial"/>
          <w:szCs w:val="24"/>
        </w:rPr>
        <w:t>la mesada pensional con Colpensiones sería de $</w:t>
      </w:r>
      <w:r w:rsidR="0064777C">
        <w:rPr>
          <w:rFonts w:ascii="Arial" w:hAnsi="Arial" w:cs="Arial"/>
          <w:szCs w:val="24"/>
        </w:rPr>
        <w:t>2´478.027</w:t>
      </w:r>
      <w:r w:rsidR="007341F9">
        <w:rPr>
          <w:rFonts w:ascii="Arial" w:hAnsi="Arial" w:cs="Arial"/>
          <w:szCs w:val="24"/>
        </w:rPr>
        <w:t xml:space="preserve"> y con la AFP </w:t>
      </w:r>
      <w:r w:rsidR="0064777C">
        <w:rPr>
          <w:rFonts w:ascii="Arial" w:hAnsi="Arial" w:cs="Arial"/>
          <w:szCs w:val="24"/>
        </w:rPr>
        <w:t xml:space="preserve">al cumplimiento de los 56 años de edad de </w:t>
      </w:r>
      <w:r w:rsidR="007341F9">
        <w:rPr>
          <w:rFonts w:ascii="Arial" w:hAnsi="Arial" w:cs="Arial"/>
          <w:szCs w:val="24"/>
        </w:rPr>
        <w:t>$1´</w:t>
      </w:r>
      <w:r w:rsidR="0064777C">
        <w:rPr>
          <w:rFonts w:ascii="Arial" w:hAnsi="Arial" w:cs="Arial"/>
          <w:szCs w:val="24"/>
        </w:rPr>
        <w:t xml:space="preserve">169.335 y a los 57 años de $1´310.790, diferencias que no le fue </w:t>
      </w:r>
      <w:r w:rsidR="00E67AFC">
        <w:rPr>
          <w:rFonts w:ascii="Arial" w:hAnsi="Arial" w:cs="Arial"/>
          <w:szCs w:val="24"/>
        </w:rPr>
        <w:t>informada</w:t>
      </w:r>
      <w:r w:rsidR="00AE1220">
        <w:rPr>
          <w:rFonts w:ascii="Arial" w:hAnsi="Arial" w:cs="Arial"/>
          <w:szCs w:val="24"/>
        </w:rPr>
        <w:t xml:space="preserve"> al momento del traslado.</w:t>
      </w:r>
    </w:p>
    <w:p w:rsidR="0064777C" w:rsidRDefault="0064777C" w:rsidP="005920A9">
      <w:pPr>
        <w:spacing w:line="276" w:lineRule="auto"/>
        <w:contextualSpacing/>
        <w:jc w:val="both"/>
        <w:rPr>
          <w:rFonts w:ascii="Arial" w:hAnsi="Arial" w:cs="Arial"/>
          <w:szCs w:val="24"/>
        </w:rPr>
      </w:pPr>
    </w:p>
    <w:p w:rsidR="007341F9" w:rsidRDefault="00106D9C" w:rsidP="007341F9">
      <w:pPr>
        <w:spacing w:line="276" w:lineRule="auto"/>
        <w:contextualSpacing/>
        <w:jc w:val="both"/>
        <w:rPr>
          <w:rFonts w:ascii="Arial" w:hAnsi="Arial" w:cs="Arial"/>
          <w:szCs w:val="24"/>
        </w:rPr>
      </w:pPr>
      <w:r w:rsidRPr="00106D9C">
        <w:rPr>
          <w:rFonts w:ascii="Arial" w:hAnsi="Arial" w:cs="Arial"/>
          <w:szCs w:val="24"/>
        </w:rPr>
        <w:t>La</w:t>
      </w:r>
      <w:r>
        <w:rPr>
          <w:rFonts w:ascii="Arial" w:hAnsi="Arial" w:cs="Arial"/>
          <w:b/>
          <w:szCs w:val="24"/>
        </w:rPr>
        <w:t xml:space="preserve"> </w:t>
      </w:r>
      <w:r w:rsidR="007341F9" w:rsidRPr="008E0CBF">
        <w:rPr>
          <w:rFonts w:ascii="Arial" w:hAnsi="Arial" w:cs="Arial"/>
          <w:b/>
          <w:szCs w:val="24"/>
        </w:rPr>
        <w:t>Administradora Colombiana de Pensiones –COLPENSIONES-,</w:t>
      </w:r>
      <w:r w:rsidR="007341F9">
        <w:rPr>
          <w:rFonts w:ascii="Arial" w:hAnsi="Arial" w:cs="Arial"/>
          <w:b/>
          <w:szCs w:val="24"/>
        </w:rPr>
        <w:t xml:space="preserve"> </w:t>
      </w:r>
      <w:r w:rsidR="007341F9">
        <w:rPr>
          <w:rFonts w:ascii="Arial" w:hAnsi="Arial" w:cs="Arial"/>
          <w:szCs w:val="24"/>
        </w:rPr>
        <w:t xml:space="preserve">se opuso a las pretensiones de la demanda y como razones de defensa </w:t>
      </w:r>
      <w:r w:rsidR="007341F9" w:rsidRPr="004D220C">
        <w:rPr>
          <w:rFonts w:ascii="Arial" w:hAnsi="Arial" w:cs="Arial"/>
          <w:szCs w:val="24"/>
        </w:rPr>
        <w:t>indicó que</w:t>
      </w:r>
      <w:r w:rsidR="0071725A">
        <w:rPr>
          <w:rFonts w:ascii="Arial" w:hAnsi="Arial" w:cs="Arial"/>
          <w:szCs w:val="24"/>
        </w:rPr>
        <w:t xml:space="preserve"> </w:t>
      </w:r>
      <w:r w:rsidR="00CC0DA5">
        <w:rPr>
          <w:rFonts w:ascii="Arial" w:hAnsi="Arial" w:cs="Arial"/>
          <w:szCs w:val="24"/>
        </w:rPr>
        <w:t xml:space="preserve">la selección de régimen es una decisión libre y </w:t>
      </w:r>
      <w:r w:rsidR="0071725A">
        <w:rPr>
          <w:rFonts w:ascii="Arial" w:hAnsi="Arial" w:cs="Arial"/>
          <w:szCs w:val="24"/>
        </w:rPr>
        <w:t>voluntaria</w:t>
      </w:r>
      <w:r w:rsidR="00CC0DA5">
        <w:rPr>
          <w:rFonts w:ascii="Arial" w:hAnsi="Arial" w:cs="Arial"/>
          <w:szCs w:val="24"/>
        </w:rPr>
        <w:t xml:space="preserve"> del afiliado y así consta en la solicitud de vinculación que firmó </w:t>
      </w:r>
      <w:r w:rsidR="0071725A">
        <w:rPr>
          <w:rFonts w:ascii="Arial" w:hAnsi="Arial" w:cs="Arial"/>
          <w:szCs w:val="24"/>
        </w:rPr>
        <w:t>y ahora no puede retornar porque le faltan menos de 10 años para pensionarse</w:t>
      </w:r>
      <w:r w:rsidR="00654530">
        <w:rPr>
          <w:rFonts w:ascii="Arial" w:hAnsi="Arial" w:cs="Arial"/>
          <w:szCs w:val="24"/>
        </w:rPr>
        <w:t>.</w:t>
      </w:r>
      <w:r w:rsidR="007341F9">
        <w:rPr>
          <w:rFonts w:ascii="Arial" w:hAnsi="Arial" w:cs="Arial"/>
          <w:szCs w:val="24"/>
        </w:rPr>
        <w:t xml:space="preserve"> </w:t>
      </w:r>
      <w:r w:rsidR="007341F9" w:rsidRPr="00641218">
        <w:rPr>
          <w:rFonts w:ascii="Arial" w:hAnsi="Arial" w:cs="Arial"/>
          <w:szCs w:val="24"/>
        </w:rPr>
        <w:t xml:space="preserve">Interpuso las excepciones de mérito que denominó </w:t>
      </w:r>
      <w:r w:rsidR="0071725A">
        <w:rPr>
          <w:rFonts w:ascii="Arial" w:hAnsi="Arial" w:cs="Arial"/>
          <w:szCs w:val="24"/>
        </w:rPr>
        <w:t xml:space="preserve">“Inexistencia de la obligación”, “Excepción de buena fe”, “Imposibilidad jurídica para cumplir con las obligaciones pretendidas”; </w:t>
      </w:r>
      <w:r w:rsidR="007341F9">
        <w:rPr>
          <w:rFonts w:ascii="Arial" w:hAnsi="Arial" w:cs="Arial"/>
          <w:szCs w:val="24"/>
        </w:rPr>
        <w:t>“</w:t>
      </w:r>
      <w:r w:rsidR="00E67AFC">
        <w:rPr>
          <w:rFonts w:ascii="Arial" w:hAnsi="Arial" w:cs="Arial"/>
          <w:szCs w:val="24"/>
        </w:rPr>
        <w:t xml:space="preserve">Excepción </w:t>
      </w:r>
      <w:r w:rsidR="0071725A">
        <w:rPr>
          <w:rFonts w:ascii="Arial" w:hAnsi="Arial" w:cs="Arial"/>
          <w:szCs w:val="24"/>
        </w:rPr>
        <w:t>innominada</w:t>
      </w:r>
      <w:r w:rsidR="007341F9">
        <w:rPr>
          <w:rFonts w:ascii="Arial" w:hAnsi="Arial" w:cs="Arial"/>
          <w:szCs w:val="24"/>
        </w:rPr>
        <w:t>” y “Prescripción”.</w:t>
      </w:r>
    </w:p>
    <w:p w:rsidR="007341F9" w:rsidRDefault="007341F9" w:rsidP="00106D9C">
      <w:pPr>
        <w:spacing w:line="276" w:lineRule="auto"/>
        <w:contextualSpacing/>
        <w:jc w:val="both"/>
        <w:rPr>
          <w:rFonts w:ascii="Arial" w:hAnsi="Arial" w:cs="Arial"/>
          <w:b/>
          <w:szCs w:val="24"/>
        </w:rPr>
      </w:pPr>
    </w:p>
    <w:p w:rsidR="00796B49" w:rsidRPr="00796B49" w:rsidRDefault="00654530" w:rsidP="00106D9C">
      <w:pPr>
        <w:spacing w:line="276" w:lineRule="auto"/>
        <w:contextualSpacing/>
        <w:jc w:val="both"/>
        <w:rPr>
          <w:rFonts w:ascii="Arial" w:hAnsi="Arial" w:cs="Arial"/>
          <w:szCs w:val="24"/>
          <w:lang w:val="es-CO"/>
        </w:rPr>
      </w:pPr>
      <w:r w:rsidRPr="00654530">
        <w:rPr>
          <w:rFonts w:ascii="Arial" w:hAnsi="Arial" w:cs="Arial"/>
          <w:szCs w:val="24"/>
        </w:rPr>
        <w:t>La</w:t>
      </w:r>
      <w:r>
        <w:rPr>
          <w:rFonts w:ascii="Arial" w:hAnsi="Arial" w:cs="Arial"/>
          <w:b/>
          <w:szCs w:val="24"/>
        </w:rPr>
        <w:t xml:space="preserve"> </w:t>
      </w:r>
      <w:r w:rsidR="00106D9C">
        <w:rPr>
          <w:rFonts w:ascii="Arial" w:hAnsi="Arial" w:cs="Arial"/>
          <w:b/>
          <w:szCs w:val="24"/>
        </w:rPr>
        <w:t xml:space="preserve">Administradora de </w:t>
      </w:r>
      <w:r w:rsidR="00106D9C" w:rsidRPr="00532914">
        <w:rPr>
          <w:rFonts w:ascii="Arial" w:hAnsi="Arial" w:cs="Arial"/>
          <w:b/>
          <w:szCs w:val="24"/>
        </w:rPr>
        <w:t>Fondo</w:t>
      </w:r>
      <w:r w:rsidR="00106D9C">
        <w:rPr>
          <w:rFonts w:ascii="Arial" w:hAnsi="Arial" w:cs="Arial"/>
          <w:b/>
          <w:szCs w:val="24"/>
        </w:rPr>
        <w:t>s</w:t>
      </w:r>
      <w:r w:rsidR="00106D9C" w:rsidRPr="00532914">
        <w:rPr>
          <w:rFonts w:ascii="Arial" w:hAnsi="Arial" w:cs="Arial"/>
          <w:b/>
          <w:szCs w:val="24"/>
        </w:rPr>
        <w:t xml:space="preserve"> de Pensiones y Cesantías </w:t>
      </w:r>
      <w:r w:rsidR="00796B49">
        <w:rPr>
          <w:rFonts w:ascii="Arial" w:hAnsi="Arial" w:cs="Arial"/>
          <w:b/>
          <w:szCs w:val="24"/>
        </w:rPr>
        <w:t xml:space="preserve">PROTECCIÓN </w:t>
      </w:r>
      <w:r w:rsidR="00106D9C" w:rsidRPr="00532914">
        <w:rPr>
          <w:rFonts w:ascii="Arial" w:hAnsi="Arial" w:cs="Arial"/>
          <w:b/>
          <w:szCs w:val="24"/>
        </w:rPr>
        <w:t>S.A</w:t>
      </w:r>
      <w:r w:rsidR="00106D9C">
        <w:rPr>
          <w:rFonts w:ascii="Arial" w:hAnsi="Arial" w:cs="Arial"/>
          <w:szCs w:val="24"/>
        </w:rPr>
        <w:t xml:space="preserve">, se opuso a los pedimentos de la demanda al considerar que </w:t>
      </w:r>
      <w:r w:rsidR="00796B49">
        <w:rPr>
          <w:rFonts w:ascii="Arial" w:hAnsi="Arial" w:cs="Arial"/>
          <w:szCs w:val="24"/>
        </w:rPr>
        <w:t>el acto de afiliación de la actora fue lícito y ajustado a derecho, en la medida en que fue consciente de las consecuencias jurídicas, lo que además ocurrió de manera libre y voluntaria. Afirma que resulta extraño que dejara transcurrir pacientemente tantos años para impugnar por nulidad relativa su afiliación, máxime cuando ha efectuada traslados entre AFP y no ejerció su derecho de retracto.</w:t>
      </w:r>
    </w:p>
    <w:p w:rsidR="00796B49" w:rsidRDefault="00796B49" w:rsidP="00106D9C">
      <w:pPr>
        <w:spacing w:line="276" w:lineRule="auto"/>
        <w:contextualSpacing/>
        <w:jc w:val="both"/>
        <w:rPr>
          <w:rFonts w:ascii="Arial" w:hAnsi="Arial" w:cs="Arial"/>
          <w:szCs w:val="24"/>
        </w:rPr>
      </w:pPr>
    </w:p>
    <w:p w:rsidR="00796B49" w:rsidRDefault="00C64E32" w:rsidP="00106D9C">
      <w:pPr>
        <w:spacing w:line="276" w:lineRule="auto"/>
        <w:contextualSpacing/>
        <w:jc w:val="both"/>
        <w:rPr>
          <w:rFonts w:ascii="Arial" w:hAnsi="Arial" w:cs="Arial"/>
          <w:szCs w:val="24"/>
        </w:rPr>
      </w:pPr>
      <w:r>
        <w:rPr>
          <w:rFonts w:ascii="Arial" w:hAnsi="Arial" w:cs="Arial"/>
          <w:szCs w:val="24"/>
        </w:rPr>
        <w:t xml:space="preserve">Adicionalmente, </w:t>
      </w:r>
      <w:r w:rsidR="00796B49">
        <w:rPr>
          <w:rFonts w:ascii="Arial" w:hAnsi="Arial" w:cs="Arial"/>
          <w:szCs w:val="24"/>
        </w:rPr>
        <w:t xml:space="preserve">indica </w:t>
      </w:r>
      <w:r w:rsidR="007C0F0F">
        <w:rPr>
          <w:rFonts w:ascii="Arial" w:hAnsi="Arial" w:cs="Arial"/>
          <w:szCs w:val="24"/>
        </w:rPr>
        <w:t xml:space="preserve">que </w:t>
      </w:r>
      <w:r w:rsidR="00796B49">
        <w:rPr>
          <w:rFonts w:ascii="Arial" w:hAnsi="Arial" w:cs="Arial"/>
          <w:szCs w:val="24"/>
        </w:rPr>
        <w:t xml:space="preserve">la </w:t>
      </w:r>
      <w:r w:rsidR="007C0F0F">
        <w:rPr>
          <w:rFonts w:ascii="Arial" w:hAnsi="Arial" w:cs="Arial"/>
          <w:szCs w:val="24"/>
        </w:rPr>
        <w:t>actor</w:t>
      </w:r>
      <w:r w:rsidR="00796B49">
        <w:rPr>
          <w:rFonts w:ascii="Arial" w:hAnsi="Arial" w:cs="Arial"/>
          <w:szCs w:val="24"/>
        </w:rPr>
        <w:t>a no es beneficiaria</w:t>
      </w:r>
      <w:r w:rsidR="007C0F0F">
        <w:rPr>
          <w:rFonts w:ascii="Arial" w:hAnsi="Arial" w:cs="Arial"/>
          <w:szCs w:val="24"/>
        </w:rPr>
        <w:t xml:space="preserve"> del régimen de transición, de tal manera que no puede retornar al RPM porque le faltan menos de 10 años para pensionarse. </w:t>
      </w:r>
    </w:p>
    <w:p w:rsidR="00796B49" w:rsidRDefault="00796B49" w:rsidP="00106D9C">
      <w:pPr>
        <w:spacing w:line="276" w:lineRule="auto"/>
        <w:contextualSpacing/>
        <w:jc w:val="both"/>
        <w:rPr>
          <w:rFonts w:ascii="Arial" w:hAnsi="Arial" w:cs="Arial"/>
          <w:szCs w:val="24"/>
        </w:rPr>
      </w:pPr>
    </w:p>
    <w:p w:rsidR="00106D9C" w:rsidRDefault="007C0F0F" w:rsidP="00106D9C">
      <w:pPr>
        <w:spacing w:line="276" w:lineRule="auto"/>
        <w:contextualSpacing/>
        <w:jc w:val="both"/>
        <w:rPr>
          <w:rFonts w:ascii="Arial" w:hAnsi="Arial" w:cs="Arial"/>
          <w:szCs w:val="24"/>
        </w:rPr>
      </w:pPr>
      <w:r>
        <w:rPr>
          <w:rFonts w:ascii="Arial" w:hAnsi="Arial" w:cs="Arial"/>
          <w:szCs w:val="24"/>
        </w:rPr>
        <w:t>Finalmente, aduce que la acción para intentar la nulidad se encuentra prescrita conforme lo dispone el artículo 1750 del Código Civil.</w:t>
      </w:r>
      <w:r w:rsidR="00106D9C">
        <w:rPr>
          <w:rFonts w:ascii="Arial" w:hAnsi="Arial" w:cs="Arial"/>
          <w:szCs w:val="24"/>
          <w:lang w:val="es-CO"/>
        </w:rPr>
        <w:t xml:space="preserve"> </w:t>
      </w:r>
      <w:r w:rsidR="00106D9C">
        <w:rPr>
          <w:rFonts w:ascii="Arial" w:hAnsi="Arial" w:cs="Arial"/>
          <w:szCs w:val="24"/>
        </w:rPr>
        <w:t xml:space="preserve">Interpuso las excepciones de mérito que denominó </w:t>
      </w:r>
      <w:r w:rsidR="00106D9C" w:rsidRPr="00641218">
        <w:rPr>
          <w:rFonts w:ascii="Arial" w:hAnsi="Arial" w:cs="Arial"/>
          <w:szCs w:val="24"/>
        </w:rPr>
        <w:t>“</w:t>
      </w:r>
      <w:r w:rsidR="00106D9C">
        <w:rPr>
          <w:rFonts w:ascii="Arial" w:hAnsi="Arial" w:cs="Arial"/>
          <w:szCs w:val="24"/>
        </w:rPr>
        <w:t xml:space="preserve">Genérica o innominada”, “Prescripción”, “Buena fe”, “Compensación”, “Exoneración de condena en costas”, </w:t>
      </w:r>
      <w:r w:rsidR="00796B49">
        <w:rPr>
          <w:rFonts w:ascii="Arial" w:hAnsi="Arial" w:cs="Arial"/>
          <w:szCs w:val="24"/>
        </w:rPr>
        <w:t>“Ausencia de sujeto susceptible del régimen de transición”, “</w:t>
      </w:r>
      <w:r>
        <w:rPr>
          <w:rFonts w:ascii="Arial" w:hAnsi="Arial" w:cs="Arial"/>
          <w:szCs w:val="24"/>
        </w:rPr>
        <w:t xml:space="preserve">Inexistencia de la obligación”, “Falta de causa </w:t>
      </w:r>
      <w:r>
        <w:rPr>
          <w:rFonts w:ascii="Arial" w:hAnsi="Arial" w:cs="Arial"/>
          <w:szCs w:val="24"/>
        </w:rPr>
        <w:lastRenderedPageBreak/>
        <w:t xml:space="preserve">para pedir”, Falta de legitimación en la causa y/o ausencia de personería sustantiva por pasiva de </w:t>
      </w:r>
      <w:r w:rsidR="00796B49">
        <w:rPr>
          <w:rFonts w:ascii="Arial" w:hAnsi="Arial" w:cs="Arial"/>
          <w:szCs w:val="24"/>
        </w:rPr>
        <w:t xml:space="preserve">Protección </w:t>
      </w:r>
      <w:r>
        <w:rPr>
          <w:rFonts w:ascii="Arial" w:hAnsi="Arial" w:cs="Arial"/>
          <w:szCs w:val="24"/>
        </w:rPr>
        <w:t xml:space="preserve">S.A.”, </w:t>
      </w:r>
      <w:r w:rsidR="00106D9C">
        <w:rPr>
          <w:rFonts w:ascii="Arial" w:hAnsi="Arial" w:cs="Arial"/>
          <w:szCs w:val="24"/>
        </w:rPr>
        <w:t>“</w:t>
      </w:r>
      <w:r>
        <w:rPr>
          <w:rFonts w:ascii="Arial" w:hAnsi="Arial" w:cs="Arial"/>
          <w:szCs w:val="24"/>
        </w:rPr>
        <w:t>Inexistencia de la fuente de la obligación</w:t>
      </w:r>
      <w:r w:rsidR="00106D9C">
        <w:rPr>
          <w:rFonts w:ascii="Arial" w:hAnsi="Arial" w:cs="Arial"/>
          <w:szCs w:val="24"/>
        </w:rPr>
        <w:t>”</w:t>
      </w:r>
      <w:r>
        <w:rPr>
          <w:rFonts w:ascii="Arial" w:hAnsi="Arial" w:cs="Arial"/>
          <w:szCs w:val="24"/>
        </w:rPr>
        <w:t>, “</w:t>
      </w:r>
      <w:r w:rsidR="00796B49">
        <w:rPr>
          <w:rFonts w:ascii="Arial" w:hAnsi="Arial" w:cs="Arial"/>
          <w:szCs w:val="24"/>
        </w:rPr>
        <w:t>Ausencia de perjuicios morales y materiales irrogados a la actora por parte de esta entidad llamada a juicio”</w:t>
      </w:r>
      <w:r>
        <w:rPr>
          <w:rFonts w:ascii="Arial" w:hAnsi="Arial" w:cs="Arial"/>
          <w:szCs w:val="24"/>
        </w:rPr>
        <w:t xml:space="preserve"> y “Afectación de la estabilidad financiera del sistema en caso de acceder al traslado”. </w:t>
      </w:r>
    </w:p>
    <w:p w:rsidR="00796B49" w:rsidRDefault="00796B49" w:rsidP="00106D9C">
      <w:pPr>
        <w:spacing w:line="276" w:lineRule="auto"/>
        <w:contextualSpacing/>
        <w:jc w:val="both"/>
        <w:rPr>
          <w:rFonts w:ascii="Arial" w:hAnsi="Arial" w:cs="Arial"/>
          <w:szCs w:val="24"/>
        </w:rPr>
      </w:pPr>
    </w:p>
    <w:p w:rsidR="00D636F8" w:rsidRPr="00CB08DC" w:rsidRDefault="00646A53" w:rsidP="00487B80">
      <w:pPr>
        <w:pStyle w:val="Prrafodelista"/>
        <w:numPr>
          <w:ilvl w:val="0"/>
          <w:numId w:val="1"/>
        </w:numPr>
        <w:spacing w:after="0" w:line="276" w:lineRule="auto"/>
        <w:jc w:val="both"/>
        <w:rPr>
          <w:rFonts w:ascii="Arial" w:hAnsi="Arial" w:cs="Arial"/>
          <w:b/>
          <w:sz w:val="24"/>
          <w:szCs w:val="24"/>
        </w:rPr>
      </w:pPr>
      <w:r>
        <w:rPr>
          <w:rFonts w:ascii="Arial" w:hAnsi="Arial" w:cs="Arial"/>
          <w:b/>
          <w:sz w:val="24"/>
          <w:szCs w:val="24"/>
        </w:rPr>
        <w:t>Síntesis de la sentencia</w:t>
      </w:r>
    </w:p>
    <w:p w:rsidR="00487B80" w:rsidRDefault="00487B80" w:rsidP="005920A9">
      <w:pPr>
        <w:spacing w:line="276" w:lineRule="auto"/>
        <w:contextualSpacing/>
        <w:jc w:val="both"/>
        <w:rPr>
          <w:rFonts w:ascii="Arial" w:hAnsi="Arial" w:cs="Arial"/>
          <w:color w:val="000000"/>
          <w:szCs w:val="24"/>
          <w:lang w:eastAsia="es-CO"/>
        </w:rPr>
      </w:pPr>
    </w:p>
    <w:p w:rsidR="00032119" w:rsidRDefault="00D636F8" w:rsidP="005920A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4B7029">
        <w:rPr>
          <w:rFonts w:ascii="Arial" w:hAnsi="Arial" w:cs="Arial"/>
          <w:color w:val="000000"/>
          <w:szCs w:val="24"/>
          <w:lang w:eastAsia="es-CO"/>
        </w:rPr>
        <w:t>Cuarto Laboral del Circuito de Pereira</w:t>
      </w:r>
      <w:r w:rsidRPr="008E0CBF">
        <w:rPr>
          <w:rFonts w:ascii="Arial" w:hAnsi="Arial" w:cs="Arial"/>
          <w:color w:val="000000"/>
          <w:szCs w:val="24"/>
          <w:lang w:eastAsia="es-CO"/>
        </w:rPr>
        <w:t xml:space="preserve"> </w:t>
      </w:r>
      <w:r w:rsidR="004B7029">
        <w:rPr>
          <w:rFonts w:ascii="Arial" w:hAnsi="Arial" w:cs="Arial"/>
          <w:color w:val="000000"/>
          <w:szCs w:val="24"/>
          <w:lang w:eastAsia="es-CO"/>
        </w:rPr>
        <w:t>negó las pretensiones de la demanda y condenó en costas procesales</w:t>
      </w:r>
      <w:r w:rsidR="00796B49">
        <w:rPr>
          <w:rFonts w:ascii="Arial" w:hAnsi="Arial" w:cs="Arial"/>
          <w:color w:val="000000"/>
          <w:szCs w:val="24"/>
          <w:lang w:eastAsia="es-CO"/>
        </w:rPr>
        <w:t xml:space="preserve"> a la parte actora</w:t>
      </w:r>
      <w:r w:rsidR="004B7029">
        <w:rPr>
          <w:rFonts w:ascii="Arial" w:hAnsi="Arial" w:cs="Arial"/>
          <w:color w:val="000000"/>
          <w:szCs w:val="24"/>
          <w:lang w:eastAsia="es-CO"/>
        </w:rPr>
        <w:t>.</w:t>
      </w:r>
    </w:p>
    <w:p w:rsidR="00024E1C" w:rsidRDefault="00024E1C" w:rsidP="005920A9">
      <w:pPr>
        <w:spacing w:line="276" w:lineRule="auto"/>
        <w:contextualSpacing/>
        <w:jc w:val="both"/>
        <w:rPr>
          <w:rFonts w:ascii="Arial" w:hAnsi="Arial" w:cs="Arial"/>
          <w:color w:val="000000"/>
          <w:szCs w:val="24"/>
          <w:lang w:eastAsia="es-CO"/>
        </w:rPr>
      </w:pPr>
    </w:p>
    <w:p w:rsidR="0065026B" w:rsidRDefault="005E54F4" w:rsidP="005920A9">
      <w:pPr>
        <w:spacing w:line="276" w:lineRule="auto"/>
        <w:jc w:val="both"/>
        <w:rPr>
          <w:rFonts w:ascii="Arial" w:hAnsi="Arial" w:cs="Arial"/>
          <w:szCs w:val="24"/>
          <w:lang w:val="es-CO" w:eastAsia="es-CO"/>
        </w:rPr>
      </w:pPr>
      <w:r>
        <w:rPr>
          <w:rFonts w:ascii="Arial" w:hAnsi="Arial" w:cs="Arial"/>
          <w:szCs w:val="24"/>
          <w:lang w:eastAsia="es-CO"/>
        </w:rPr>
        <w:t>Para arribar a la anterior decisión, i</w:t>
      </w:r>
      <w:r w:rsidR="009567E6">
        <w:rPr>
          <w:rFonts w:ascii="Arial" w:hAnsi="Arial" w:cs="Arial"/>
          <w:szCs w:val="24"/>
          <w:lang w:eastAsia="es-CO"/>
        </w:rPr>
        <w:t xml:space="preserve">ndicó </w:t>
      </w:r>
      <w:r w:rsidR="00EA3F60">
        <w:rPr>
          <w:rFonts w:ascii="Arial" w:hAnsi="Arial" w:cs="Arial"/>
          <w:szCs w:val="24"/>
          <w:lang w:eastAsia="es-CO"/>
        </w:rPr>
        <w:t>que</w:t>
      </w:r>
      <w:r w:rsidR="00F70195">
        <w:rPr>
          <w:rFonts w:ascii="Arial" w:hAnsi="Arial" w:cs="Arial"/>
          <w:szCs w:val="24"/>
          <w:lang w:eastAsia="es-CO"/>
        </w:rPr>
        <w:t xml:space="preserve"> </w:t>
      </w:r>
      <w:r w:rsidR="006E76D1">
        <w:rPr>
          <w:rFonts w:ascii="Arial" w:hAnsi="Arial" w:cs="Arial"/>
          <w:szCs w:val="24"/>
          <w:lang w:eastAsia="es-CO"/>
        </w:rPr>
        <w:t xml:space="preserve">como </w:t>
      </w:r>
      <w:r w:rsidR="0065026B">
        <w:rPr>
          <w:rFonts w:ascii="Arial" w:hAnsi="Arial" w:cs="Arial"/>
          <w:szCs w:val="24"/>
          <w:lang w:eastAsia="es-CO"/>
        </w:rPr>
        <w:t>l</w:t>
      </w:r>
      <w:r w:rsidR="006E76D1">
        <w:rPr>
          <w:rFonts w:ascii="Arial" w:hAnsi="Arial" w:cs="Arial"/>
          <w:szCs w:val="24"/>
          <w:lang w:eastAsia="es-CO"/>
        </w:rPr>
        <w:t>a demandante no es beneficiaria</w:t>
      </w:r>
      <w:r w:rsidR="0065026B">
        <w:rPr>
          <w:rFonts w:ascii="Arial" w:hAnsi="Arial" w:cs="Arial"/>
          <w:szCs w:val="24"/>
          <w:lang w:eastAsia="es-CO"/>
        </w:rPr>
        <w:t xml:space="preserve"> del régimen de transición,</w:t>
      </w:r>
      <w:r w:rsidR="00775A71">
        <w:rPr>
          <w:rFonts w:ascii="Arial" w:hAnsi="Arial" w:cs="Arial"/>
          <w:szCs w:val="24"/>
          <w:lang w:eastAsia="es-CO"/>
        </w:rPr>
        <w:t xml:space="preserve"> </w:t>
      </w:r>
      <w:r w:rsidR="0065026B">
        <w:rPr>
          <w:rFonts w:ascii="Arial" w:hAnsi="Arial" w:cs="Arial"/>
          <w:szCs w:val="24"/>
          <w:lang w:eastAsia="es-CO"/>
        </w:rPr>
        <w:t>conforme a los diferentes pronunciamientos de esta Corporación</w:t>
      </w:r>
      <w:r w:rsidR="00775A71">
        <w:rPr>
          <w:rStyle w:val="Refdenotaalpie"/>
          <w:rFonts w:ascii="Arial" w:hAnsi="Arial" w:cs="Arial"/>
          <w:szCs w:val="24"/>
          <w:lang w:eastAsia="es-CO"/>
        </w:rPr>
        <w:footnoteReference w:id="1"/>
      </w:r>
      <w:r w:rsidR="0065026B">
        <w:rPr>
          <w:rFonts w:ascii="Arial" w:hAnsi="Arial" w:cs="Arial"/>
          <w:szCs w:val="24"/>
          <w:lang w:eastAsia="es-CO"/>
        </w:rPr>
        <w:t xml:space="preserve">, </w:t>
      </w:r>
      <w:r w:rsidR="00775A71">
        <w:rPr>
          <w:rFonts w:ascii="Arial" w:hAnsi="Arial" w:cs="Arial"/>
          <w:szCs w:val="24"/>
          <w:lang w:eastAsia="es-CO"/>
        </w:rPr>
        <w:t>como su traslado no le acarrea consecuencias desfavorables, esto es, poderse pensionar a menor edad y con menor número de semanas, mayor porcentaje de tasa de reemp</w:t>
      </w:r>
      <w:r w:rsidR="006E76D1">
        <w:rPr>
          <w:rFonts w:ascii="Arial" w:hAnsi="Arial" w:cs="Arial"/>
          <w:szCs w:val="24"/>
          <w:lang w:eastAsia="es-CO"/>
        </w:rPr>
        <w:t>lazo; para lograr la ineficacia o</w:t>
      </w:r>
      <w:r w:rsidR="00775A71">
        <w:rPr>
          <w:rFonts w:ascii="Arial" w:hAnsi="Arial" w:cs="Arial"/>
          <w:szCs w:val="24"/>
          <w:lang w:eastAsia="es-CO"/>
        </w:rPr>
        <w:t xml:space="preserve"> nulidad </w:t>
      </w:r>
      <w:r w:rsidR="006E76D1">
        <w:rPr>
          <w:rFonts w:ascii="Arial" w:hAnsi="Arial" w:cs="Arial"/>
          <w:szCs w:val="24"/>
          <w:lang w:eastAsia="es-CO"/>
        </w:rPr>
        <w:t>-</w:t>
      </w:r>
      <w:r w:rsidR="00775A71" w:rsidRPr="004C4286">
        <w:rPr>
          <w:rFonts w:ascii="Arial" w:hAnsi="Arial" w:cs="Arial"/>
          <w:i/>
          <w:szCs w:val="24"/>
          <w:lang w:eastAsia="es-CO"/>
        </w:rPr>
        <w:t>que para el caso es lo mismo</w:t>
      </w:r>
      <w:r w:rsidR="00775A71">
        <w:rPr>
          <w:rFonts w:ascii="Arial" w:hAnsi="Arial" w:cs="Arial"/>
          <w:szCs w:val="24"/>
          <w:lang w:eastAsia="es-CO"/>
        </w:rPr>
        <w:t xml:space="preserve">- le correspondía acreditar cual </w:t>
      </w:r>
      <w:r w:rsidR="00775A71">
        <w:rPr>
          <w:rFonts w:ascii="Arial" w:hAnsi="Arial" w:cs="Arial"/>
          <w:szCs w:val="24"/>
          <w:lang w:val="es-CO" w:eastAsia="es-CO"/>
        </w:rPr>
        <w:t>fue la información equivocada o falaz q</w:t>
      </w:r>
      <w:r w:rsidR="006E76D1">
        <w:rPr>
          <w:rFonts w:ascii="Arial" w:hAnsi="Arial" w:cs="Arial"/>
          <w:szCs w:val="24"/>
          <w:lang w:val="es-CO" w:eastAsia="es-CO"/>
        </w:rPr>
        <w:t>ue l</w:t>
      </w:r>
      <w:r w:rsidR="00E67AFC">
        <w:rPr>
          <w:rFonts w:ascii="Arial" w:hAnsi="Arial" w:cs="Arial"/>
          <w:szCs w:val="24"/>
          <w:lang w:val="es-CO" w:eastAsia="es-CO"/>
        </w:rPr>
        <w:t>a</w:t>
      </w:r>
      <w:r w:rsidR="006E76D1">
        <w:rPr>
          <w:rFonts w:ascii="Arial" w:hAnsi="Arial" w:cs="Arial"/>
          <w:szCs w:val="24"/>
          <w:lang w:val="es-CO" w:eastAsia="es-CO"/>
        </w:rPr>
        <w:t xml:space="preserve"> llevó a optar por el RAIS, sin que para tales efectos sea suficiente con afirmar que el valor de la mesada en el ISS ser</w:t>
      </w:r>
      <w:r w:rsidR="00F905E1">
        <w:rPr>
          <w:rFonts w:ascii="Arial" w:hAnsi="Arial" w:cs="Arial"/>
          <w:szCs w:val="24"/>
          <w:lang w:val="es-CO" w:eastAsia="es-CO"/>
        </w:rPr>
        <w:t xml:space="preserve">ía superior, es decir, asumía la carga de la prueba. </w:t>
      </w:r>
    </w:p>
    <w:p w:rsidR="00C01865" w:rsidRDefault="00C01865" w:rsidP="005920A9">
      <w:pPr>
        <w:spacing w:line="276" w:lineRule="auto"/>
        <w:jc w:val="both"/>
        <w:rPr>
          <w:rFonts w:ascii="Arial" w:hAnsi="Arial" w:cs="Arial"/>
          <w:szCs w:val="24"/>
          <w:lang w:val="es-CO" w:eastAsia="es-CO"/>
        </w:rPr>
      </w:pPr>
    </w:p>
    <w:p w:rsidR="00C01865" w:rsidRDefault="00C01865" w:rsidP="005920A9">
      <w:pPr>
        <w:spacing w:line="276" w:lineRule="auto"/>
        <w:jc w:val="both"/>
        <w:rPr>
          <w:rFonts w:ascii="Arial" w:hAnsi="Arial" w:cs="Arial"/>
          <w:szCs w:val="24"/>
          <w:lang w:val="es-CO" w:eastAsia="es-CO"/>
        </w:rPr>
      </w:pPr>
      <w:r>
        <w:rPr>
          <w:rFonts w:ascii="Arial" w:hAnsi="Arial" w:cs="Arial"/>
          <w:szCs w:val="24"/>
          <w:lang w:val="es-CO" w:eastAsia="es-CO"/>
        </w:rPr>
        <w:t xml:space="preserve">En el caso concreto, </w:t>
      </w:r>
      <w:r w:rsidR="00555FCC">
        <w:rPr>
          <w:rFonts w:ascii="Arial" w:hAnsi="Arial" w:cs="Arial"/>
          <w:szCs w:val="24"/>
          <w:lang w:val="es-CO" w:eastAsia="es-CO"/>
        </w:rPr>
        <w:t>conforme con</w:t>
      </w:r>
      <w:r w:rsidR="00F905E1">
        <w:rPr>
          <w:rFonts w:ascii="Arial" w:hAnsi="Arial" w:cs="Arial"/>
          <w:szCs w:val="24"/>
          <w:lang w:val="es-CO" w:eastAsia="es-CO"/>
        </w:rPr>
        <w:t xml:space="preserve"> el</w:t>
      </w:r>
      <w:r w:rsidR="006E76D1">
        <w:rPr>
          <w:rFonts w:ascii="Arial" w:hAnsi="Arial" w:cs="Arial"/>
          <w:szCs w:val="24"/>
          <w:lang w:val="es-CO" w:eastAsia="es-CO"/>
        </w:rPr>
        <w:t xml:space="preserve"> formulario</w:t>
      </w:r>
      <w:r w:rsidR="00F905E1">
        <w:rPr>
          <w:rFonts w:ascii="Arial" w:hAnsi="Arial" w:cs="Arial"/>
          <w:szCs w:val="24"/>
          <w:lang w:val="es-CO" w:eastAsia="es-CO"/>
        </w:rPr>
        <w:t xml:space="preserve"> de afiliación que obra a folio 37</w:t>
      </w:r>
      <w:r w:rsidR="00555FCC">
        <w:rPr>
          <w:rFonts w:ascii="Arial" w:hAnsi="Arial" w:cs="Arial"/>
          <w:szCs w:val="24"/>
          <w:lang w:val="es-CO" w:eastAsia="es-CO"/>
        </w:rPr>
        <w:t xml:space="preserve">, se observa que declaró que el traslado lo hizo en forma libre, </w:t>
      </w:r>
      <w:r w:rsidR="001B16BB">
        <w:rPr>
          <w:rFonts w:ascii="Arial" w:hAnsi="Arial" w:cs="Arial"/>
          <w:szCs w:val="24"/>
          <w:lang w:val="es-CO" w:eastAsia="es-CO"/>
        </w:rPr>
        <w:t xml:space="preserve">espontánea </w:t>
      </w:r>
      <w:r w:rsidR="00555FCC">
        <w:rPr>
          <w:rFonts w:ascii="Arial" w:hAnsi="Arial" w:cs="Arial"/>
          <w:szCs w:val="24"/>
          <w:lang w:val="es-CO" w:eastAsia="es-CO"/>
        </w:rPr>
        <w:t>y sin pr</w:t>
      </w:r>
      <w:r w:rsidR="001B16BB">
        <w:rPr>
          <w:rFonts w:ascii="Arial" w:hAnsi="Arial" w:cs="Arial"/>
          <w:szCs w:val="24"/>
          <w:lang w:val="es-CO" w:eastAsia="es-CO"/>
        </w:rPr>
        <w:t xml:space="preserve">ecisiones, por lo que le </w:t>
      </w:r>
      <w:r w:rsidR="004C4286">
        <w:rPr>
          <w:rFonts w:ascii="Arial" w:hAnsi="Arial" w:cs="Arial"/>
          <w:szCs w:val="24"/>
          <w:lang w:val="es-CO" w:eastAsia="es-CO"/>
        </w:rPr>
        <w:t xml:space="preserve">debía </w:t>
      </w:r>
      <w:r w:rsidR="00F905E1">
        <w:rPr>
          <w:rFonts w:ascii="Arial" w:hAnsi="Arial" w:cs="Arial"/>
          <w:szCs w:val="24"/>
          <w:lang w:val="es-CO" w:eastAsia="es-CO"/>
        </w:rPr>
        <w:t xml:space="preserve">desvirtuar esa manifestación, en los términos aducidos </w:t>
      </w:r>
      <w:r w:rsidR="001B16BB">
        <w:rPr>
          <w:rFonts w:ascii="Arial" w:hAnsi="Arial" w:cs="Arial"/>
          <w:szCs w:val="24"/>
          <w:lang w:val="es-CO" w:eastAsia="es-CO"/>
        </w:rPr>
        <w:t>en la demanda.</w:t>
      </w:r>
    </w:p>
    <w:p w:rsidR="00E33485" w:rsidRDefault="00E33485" w:rsidP="005920A9">
      <w:pPr>
        <w:spacing w:line="276" w:lineRule="auto"/>
        <w:jc w:val="both"/>
        <w:rPr>
          <w:rFonts w:ascii="Arial" w:hAnsi="Arial" w:cs="Arial"/>
          <w:szCs w:val="24"/>
          <w:lang w:val="es-CO" w:eastAsia="es-CO"/>
        </w:rPr>
      </w:pPr>
    </w:p>
    <w:p w:rsidR="00E33485" w:rsidRDefault="00E33485" w:rsidP="005920A9">
      <w:pPr>
        <w:spacing w:line="276" w:lineRule="auto"/>
        <w:jc w:val="both"/>
        <w:rPr>
          <w:rFonts w:ascii="Arial" w:hAnsi="Arial" w:cs="Arial"/>
          <w:szCs w:val="24"/>
          <w:lang w:val="es-CO" w:eastAsia="es-CO"/>
        </w:rPr>
      </w:pPr>
      <w:r>
        <w:rPr>
          <w:rFonts w:ascii="Arial" w:hAnsi="Arial" w:cs="Arial"/>
          <w:szCs w:val="24"/>
          <w:lang w:val="es-CO" w:eastAsia="es-CO"/>
        </w:rPr>
        <w:t xml:space="preserve">Con el interrogatorio de parte, se determinó que los trabajadores de FINEVESA fueron en total 6, de ahí que no es acertado considerar que se trató de un traslado masivo y que además en la reunión se le informó la posibilidad de que en el RAIS sus beneficiarios obtuvieran herencia, </w:t>
      </w:r>
      <w:r w:rsidR="00FE1043">
        <w:rPr>
          <w:rFonts w:ascii="Arial" w:hAnsi="Arial" w:cs="Arial"/>
          <w:szCs w:val="24"/>
          <w:lang w:val="es-CO" w:eastAsia="es-CO"/>
        </w:rPr>
        <w:t>podía pensiona</w:t>
      </w:r>
      <w:r w:rsidR="00AE0817">
        <w:rPr>
          <w:rFonts w:ascii="Arial" w:hAnsi="Arial" w:cs="Arial"/>
          <w:szCs w:val="24"/>
          <w:lang w:val="es-CO" w:eastAsia="es-CO"/>
        </w:rPr>
        <w:t>rse anticipadamente</w:t>
      </w:r>
      <w:r w:rsidR="004958EC">
        <w:rPr>
          <w:rFonts w:ascii="Arial" w:hAnsi="Arial" w:cs="Arial"/>
          <w:szCs w:val="24"/>
          <w:lang w:val="es-CO" w:eastAsia="es-CO"/>
        </w:rPr>
        <w:t xml:space="preserve"> </w:t>
      </w:r>
      <w:r w:rsidR="004958EC" w:rsidRPr="004958EC">
        <w:rPr>
          <w:rFonts w:ascii="Arial" w:hAnsi="Arial" w:cs="Arial"/>
          <w:i/>
          <w:szCs w:val="24"/>
          <w:lang w:val="es-CO" w:eastAsia="es-CO"/>
        </w:rPr>
        <w:t>–opción por la que no se interesó-</w:t>
      </w:r>
      <w:r w:rsidR="00AE0817">
        <w:rPr>
          <w:rFonts w:ascii="Arial" w:hAnsi="Arial" w:cs="Arial"/>
          <w:szCs w:val="24"/>
          <w:lang w:val="es-CO" w:eastAsia="es-CO"/>
        </w:rPr>
        <w:t xml:space="preserve">, que la mesada fuera superior, las dos primeras ciertas conforme con los artículos 54 y s.s. de la Ley 100/93 y, la última no probó que efectivamente eso se le hubiese indicado, máxime cuando no era obligatorio realizar proyecciones pensionales y que ellas dependen del capital ahorrado </w:t>
      </w:r>
      <w:r w:rsidR="00EF3E01">
        <w:rPr>
          <w:rFonts w:ascii="Arial" w:hAnsi="Arial" w:cs="Arial"/>
          <w:szCs w:val="24"/>
          <w:lang w:val="es-CO" w:eastAsia="es-CO"/>
        </w:rPr>
        <w:t>en su cuenta individual y el comportamiento el mercado.</w:t>
      </w:r>
    </w:p>
    <w:p w:rsidR="00EF3E01" w:rsidRDefault="00EF3E01" w:rsidP="005920A9">
      <w:pPr>
        <w:spacing w:line="276" w:lineRule="auto"/>
        <w:jc w:val="both"/>
        <w:rPr>
          <w:rFonts w:ascii="Arial" w:hAnsi="Arial" w:cs="Arial"/>
          <w:szCs w:val="24"/>
          <w:lang w:val="es-CO" w:eastAsia="es-CO"/>
        </w:rPr>
      </w:pPr>
    </w:p>
    <w:p w:rsidR="00EF3E01" w:rsidRDefault="00EF3E01" w:rsidP="005920A9">
      <w:pPr>
        <w:spacing w:line="276" w:lineRule="auto"/>
        <w:jc w:val="both"/>
        <w:rPr>
          <w:rFonts w:ascii="Arial" w:hAnsi="Arial" w:cs="Arial"/>
          <w:szCs w:val="24"/>
          <w:lang w:val="es-CO" w:eastAsia="es-CO"/>
        </w:rPr>
      </w:pPr>
      <w:r>
        <w:rPr>
          <w:rFonts w:ascii="Arial" w:hAnsi="Arial" w:cs="Arial"/>
          <w:szCs w:val="24"/>
          <w:lang w:val="es-CO" w:eastAsia="es-CO"/>
        </w:rPr>
        <w:t xml:space="preserve">La prueba testimonial tampoco ofrece mayores elementos, la declaración de la señora Martha Liliana es ambigua y el señor Restrepo Ángel no recuerda lo ocurrido para la época del traslado de la actora, </w:t>
      </w:r>
      <w:r w:rsidR="00F37D9D">
        <w:rPr>
          <w:rFonts w:ascii="Arial" w:hAnsi="Arial" w:cs="Arial"/>
          <w:szCs w:val="24"/>
          <w:lang w:val="es-CO" w:eastAsia="es-CO"/>
        </w:rPr>
        <w:t xml:space="preserve">porque para ese momento aún no estaba trabajando con </w:t>
      </w:r>
      <w:r w:rsidR="00E67AFC">
        <w:rPr>
          <w:rFonts w:ascii="Arial" w:hAnsi="Arial" w:cs="Arial"/>
          <w:szCs w:val="24"/>
          <w:lang w:val="es-CO" w:eastAsia="es-CO"/>
        </w:rPr>
        <w:t>ella</w:t>
      </w:r>
      <w:r w:rsidR="00F37D9D">
        <w:rPr>
          <w:rFonts w:ascii="Arial" w:hAnsi="Arial" w:cs="Arial"/>
          <w:szCs w:val="24"/>
          <w:lang w:val="es-CO" w:eastAsia="es-CO"/>
        </w:rPr>
        <w:t>.</w:t>
      </w:r>
    </w:p>
    <w:p w:rsidR="00EF3E01" w:rsidRDefault="00EF3E01" w:rsidP="005920A9">
      <w:pPr>
        <w:spacing w:line="276" w:lineRule="auto"/>
        <w:jc w:val="both"/>
        <w:rPr>
          <w:rFonts w:ascii="Arial" w:hAnsi="Arial" w:cs="Arial"/>
          <w:szCs w:val="24"/>
          <w:lang w:val="es-CO" w:eastAsia="es-CO"/>
        </w:rPr>
      </w:pPr>
    </w:p>
    <w:p w:rsidR="001B16BB" w:rsidRDefault="00EF3E01" w:rsidP="005920A9">
      <w:pPr>
        <w:spacing w:line="276" w:lineRule="auto"/>
        <w:jc w:val="both"/>
        <w:rPr>
          <w:rFonts w:ascii="Arial" w:hAnsi="Arial" w:cs="Arial"/>
          <w:szCs w:val="24"/>
          <w:lang w:val="es-CO" w:eastAsia="es-CO"/>
        </w:rPr>
      </w:pPr>
      <w:r>
        <w:rPr>
          <w:rFonts w:ascii="Arial" w:hAnsi="Arial" w:cs="Arial"/>
          <w:szCs w:val="24"/>
          <w:lang w:val="es-CO" w:eastAsia="es-CO"/>
        </w:rPr>
        <w:t>En conclusión, la parte actora no cumplió con la carga probatoria de demostrar que al mo</w:t>
      </w:r>
      <w:r w:rsidR="006D1700">
        <w:rPr>
          <w:rFonts w:ascii="Arial" w:hAnsi="Arial" w:cs="Arial"/>
          <w:szCs w:val="24"/>
          <w:lang w:val="es-CO" w:eastAsia="es-CO"/>
        </w:rPr>
        <w:t>me</w:t>
      </w:r>
      <w:r w:rsidR="00E91249">
        <w:rPr>
          <w:rFonts w:ascii="Arial" w:hAnsi="Arial" w:cs="Arial"/>
          <w:szCs w:val="24"/>
          <w:lang w:val="es-CO" w:eastAsia="es-CO"/>
        </w:rPr>
        <w:t>nto del traslado fue engañada, siendo ese el único motivo en que se basan</w:t>
      </w:r>
      <w:r w:rsidR="004958EC">
        <w:rPr>
          <w:rFonts w:ascii="Arial" w:hAnsi="Arial" w:cs="Arial"/>
          <w:szCs w:val="24"/>
          <w:lang w:val="es-CO" w:eastAsia="es-CO"/>
        </w:rPr>
        <w:t xml:space="preserve"> las pretensiones de la demanda, tanto las principales</w:t>
      </w:r>
      <w:r w:rsidR="00E67AFC">
        <w:rPr>
          <w:rFonts w:ascii="Arial" w:hAnsi="Arial" w:cs="Arial"/>
          <w:szCs w:val="24"/>
          <w:lang w:val="es-CO" w:eastAsia="es-CO"/>
        </w:rPr>
        <w:t xml:space="preserve"> como </w:t>
      </w:r>
      <w:r w:rsidR="004958EC">
        <w:rPr>
          <w:rFonts w:ascii="Arial" w:hAnsi="Arial" w:cs="Arial"/>
          <w:szCs w:val="24"/>
          <w:lang w:val="es-CO" w:eastAsia="es-CO"/>
        </w:rPr>
        <w:t>subsidiarias.</w:t>
      </w:r>
    </w:p>
    <w:p w:rsidR="00324CE6" w:rsidRDefault="00324CE6" w:rsidP="005920A9">
      <w:pPr>
        <w:spacing w:line="276" w:lineRule="auto"/>
        <w:jc w:val="both"/>
        <w:rPr>
          <w:rFonts w:ascii="Arial" w:hAnsi="Arial" w:cs="Arial"/>
          <w:szCs w:val="24"/>
          <w:lang w:val="es-CO" w:eastAsia="es-CO"/>
        </w:rPr>
      </w:pPr>
    </w:p>
    <w:p w:rsidR="00D636F8" w:rsidRDefault="00D00083" w:rsidP="005920A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Recurso de Apelación</w:t>
      </w:r>
    </w:p>
    <w:p w:rsidR="00CB5475" w:rsidRPr="00CB08DC" w:rsidRDefault="00CB5475" w:rsidP="00CB5475">
      <w:pPr>
        <w:pStyle w:val="Prrafodelista"/>
        <w:spacing w:line="276" w:lineRule="auto"/>
        <w:jc w:val="both"/>
        <w:rPr>
          <w:rFonts w:ascii="Arial" w:hAnsi="Arial" w:cs="Arial"/>
          <w:b/>
          <w:sz w:val="24"/>
          <w:szCs w:val="24"/>
        </w:rPr>
      </w:pPr>
    </w:p>
    <w:p w:rsidR="0034108D" w:rsidRDefault="0096499E" w:rsidP="00F33CF3">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Inconforme con</w:t>
      </w:r>
      <w:r w:rsidR="00F51E1F">
        <w:rPr>
          <w:rFonts w:ascii="Arial" w:eastAsia="Times New Roman" w:hAnsi="Arial" w:cs="Arial"/>
          <w:color w:val="000000"/>
          <w:sz w:val="24"/>
          <w:szCs w:val="24"/>
          <w:lang w:eastAsia="es-CO"/>
        </w:rPr>
        <w:t xml:space="preserve"> la anterior decisión, </w:t>
      </w:r>
      <w:r w:rsidR="00E67AFC">
        <w:rPr>
          <w:rFonts w:ascii="Arial" w:eastAsia="Times New Roman" w:hAnsi="Arial" w:cs="Arial"/>
          <w:color w:val="000000"/>
          <w:sz w:val="24"/>
          <w:szCs w:val="24"/>
          <w:lang w:eastAsia="es-CO"/>
        </w:rPr>
        <w:t>el</w:t>
      </w:r>
      <w:r w:rsidR="00F33CF3">
        <w:rPr>
          <w:rFonts w:ascii="Arial" w:eastAsia="Times New Roman" w:hAnsi="Arial" w:cs="Arial"/>
          <w:color w:val="000000"/>
          <w:sz w:val="24"/>
          <w:szCs w:val="24"/>
          <w:lang w:eastAsia="es-CO"/>
        </w:rPr>
        <w:t xml:space="preserve"> apoderad</w:t>
      </w:r>
      <w:r w:rsidR="00E67AFC">
        <w:rPr>
          <w:rFonts w:ascii="Arial" w:eastAsia="Times New Roman" w:hAnsi="Arial" w:cs="Arial"/>
          <w:color w:val="000000"/>
          <w:sz w:val="24"/>
          <w:szCs w:val="24"/>
          <w:lang w:eastAsia="es-CO"/>
        </w:rPr>
        <w:t>o</w:t>
      </w:r>
      <w:r w:rsidR="00F51E1F">
        <w:rPr>
          <w:rFonts w:ascii="Arial" w:eastAsia="Times New Roman" w:hAnsi="Arial" w:cs="Arial"/>
          <w:color w:val="000000"/>
          <w:sz w:val="24"/>
          <w:szCs w:val="24"/>
          <w:lang w:eastAsia="es-CO"/>
        </w:rPr>
        <w:t xml:space="preserve"> judicial</w:t>
      </w:r>
      <w:r w:rsidR="00F33CF3">
        <w:rPr>
          <w:rFonts w:ascii="Arial" w:eastAsia="Times New Roman" w:hAnsi="Arial" w:cs="Arial"/>
          <w:color w:val="000000"/>
          <w:sz w:val="24"/>
          <w:szCs w:val="24"/>
          <w:lang w:eastAsia="es-CO"/>
        </w:rPr>
        <w:t xml:space="preserve"> de la parte actora </w:t>
      </w:r>
      <w:r w:rsidR="00BB2765">
        <w:rPr>
          <w:rFonts w:ascii="Arial" w:eastAsia="Times New Roman" w:hAnsi="Arial" w:cs="Arial"/>
          <w:color w:val="000000"/>
          <w:sz w:val="24"/>
          <w:szCs w:val="24"/>
          <w:lang w:eastAsia="es-CO"/>
        </w:rPr>
        <w:t xml:space="preserve">presentó recurso de apelación y argumentó </w:t>
      </w:r>
      <w:r w:rsidR="00E67AFC">
        <w:rPr>
          <w:rFonts w:ascii="Arial" w:eastAsia="Times New Roman" w:hAnsi="Arial" w:cs="Arial"/>
          <w:color w:val="000000"/>
          <w:sz w:val="24"/>
          <w:szCs w:val="24"/>
          <w:lang w:eastAsia="es-CO"/>
        </w:rPr>
        <w:t>que sí</w:t>
      </w:r>
      <w:r w:rsidR="00C52F26">
        <w:rPr>
          <w:rFonts w:ascii="Arial" w:eastAsia="Times New Roman" w:hAnsi="Arial" w:cs="Arial"/>
          <w:color w:val="000000"/>
          <w:sz w:val="24"/>
          <w:szCs w:val="24"/>
          <w:lang w:eastAsia="es-CO"/>
        </w:rPr>
        <w:t xml:space="preserve"> </w:t>
      </w:r>
      <w:r w:rsidR="00206A7A">
        <w:rPr>
          <w:rFonts w:ascii="Arial" w:eastAsia="Times New Roman" w:hAnsi="Arial" w:cs="Arial"/>
          <w:color w:val="000000"/>
          <w:sz w:val="24"/>
          <w:szCs w:val="24"/>
          <w:lang w:eastAsia="es-CO"/>
        </w:rPr>
        <w:t xml:space="preserve">cumplió con la carga de probar que </w:t>
      </w:r>
      <w:r w:rsidR="00BE44DA">
        <w:rPr>
          <w:rFonts w:ascii="Arial" w:eastAsia="Times New Roman" w:hAnsi="Arial" w:cs="Arial"/>
          <w:color w:val="000000"/>
          <w:sz w:val="24"/>
          <w:szCs w:val="24"/>
          <w:lang w:eastAsia="es-CO"/>
        </w:rPr>
        <w:t>su representada</w:t>
      </w:r>
      <w:r w:rsidR="00C52F26">
        <w:rPr>
          <w:rFonts w:ascii="Arial" w:eastAsia="Times New Roman" w:hAnsi="Arial" w:cs="Arial"/>
          <w:color w:val="000000"/>
          <w:sz w:val="24"/>
          <w:szCs w:val="24"/>
          <w:lang w:eastAsia="es-CO"/>
        </w:rPr>
        <w:t xml:space="preserve"> </w:t>
      </w:r>
      <w:r w:rsidR="00206A7A">
        <w:rPr>
          <w:rFonts w:ascii="Arial" w:eastAsia="Times New Roman" w:hAnsi="Arial" w:cs="Arial"/>
          <w:color w:val="000000"/>
          <w:sz w:val="24"/>
          <w:szCs w:val="24"/>
          <w:lang w:eastAsia="es-CO"/>
        </w:rPr>
        <w:t>recibió una información falaz de parte de la asesora del fondo privado</w:t>
      </w:r>
      <w:r w:rsidR="00BE44DA">
        <w:rPr>
          <w:rFonts w:ascii="Arial" w:eastAsia="Times New Roman" w:hAnsi="Arial" w:cs="Arial"/>
          <w:color w:val="000000"/>
          <w:sz w:val="24"/>
          <w:szCs w:val="24"/>
          <w:lang w:eastAsia="es-CO"/>
        </w:rPr>
        <w:t xml:space="preserve"> porque </w:t>
      </w:r>
      <w:r w:rsidR="00F37D9D">
        <w:rPr>
          <w:rFonts w:ascii="Arial" w:eastAsia="Times New Roman" w:hAnsi="Arial" w:cs="Arial"/>
          <w:color w:val="000000"/>
          <w:sz w:val="24"/>
          <w:szCs w:val="24"/>
          <w:lang w:eastAsia="es-CO"/>
        </w:rPr>
        <w:t xml:space="preserve">(i) </w:t>
      </w:r>
      <w:r w:rsidR="00BE44DA">
        <w:rPr>
          <w:rFonts w:ascii="Arial" w:eastAsia="Times New Roman" w:hAnsi="Arial" w:cs="Arial"/>
          <w:color w:val="000000"/>
          <w:sz w:val="24"/>
          <w:szCs w:val="24"/>
          <w:lang w:eastAsia="es-CO"/>
        </w:rPr>
        <w:t>el valor de la mesada pensional no corresponde a lo ofrecido lo que se concluye ante la falta de la proyecci</w:t>
      </w:r>
      <w:r w:rsidR="00F37D9D">
        <w:rPr>
          <w:rFonts w:ascii="Arial" w:eastAsia="Times New Roman" w:hAnsi="Arial" w:cs="Arial"/>
          <w:color w:val="000000"/>
          <w:sz w:val="24"/>
          <w:szCs w:val="24"/>
          <w:lang w:eastAsia="es-CO"/>
        </w:rPr>
        <w:t>ón; (ii)</w:t>
      </w:r>
      <w:r w:rsidR="00B36412">
        <w:rPr>
          <w:rFonts w:ascii="Arial" w:eastAsia="Times New Roman" w:hAnsi="Arial" w:cs="Arial"/>
          <w:color w:val="000000"/>
          <w:sz w:val="24"/>
          <w:szCs w:val="24"/>
          <w:lang w:eastAsia="es-CO"/>
        </w:rPr>
        <w:t xml:space="preserve"> pese </w:t>
      </w:r>
      <w:r w:rsidR="00B36412" w:rsidRPr="00C52F26">
        <w:rPr>
          <w:rFonts w:ascii="Arial" w:eastAsia="Times New Roman" w:hAnsi="Arial" w:cs="Arial"/>
          <w:color w:val="000000"/>
          <w:sz w:val="24"/>
          <w:szCs w:val="24"/>
          <w:lang w:eastAsia="es-CO"/>
        </w:rPr>
        <w:t xml:space="preserve">a que se le informó que podía pensionarse anticipadamente, no se le explicaron las </w:t>
      </w:r>
      <w:r w:rsidR="0096020D" w:rsidRPr="00C52F26">
        <w:rPr>
          <w:rFonts w:ascii="Arial" w:eastAsia="Times New Roman" w:hAnsi="Arial" w:cs="Arial"/>
          <w:color w:val="000000"/>
          <w:sz w:val="24"/>
          <w:szCs w:val="24"/>
          <w:lang w:eastAsia="es-CO"/>
        </w:rPr>
        <w:t xml:space="preserve">condiciones </w:t>
      </w:r>
      <w:r w:rsidR="00B36412" w:rsidRPr="00C52F26">
        <w:rPr>
          <w:rFonts w:ascii="Arial" w:eastAsia="Times New Roman" w:hAnsi="Arial" w:cs="Arial"/>
          <w:color w:val="000000"/>
          <w:sz w:val="24"/>
          <w:szCs w:val="24"/>
          <w:lang w:eastAsia="es-CO"/>
        </w:rPr>
        <w:t xml:space="preserve">para que ello se diera, </w:t>
      </w:r>
      <w:r w:rsidR="00F37D9D">
        <w:rPr>
          <w:rFonts w:ascii="Arial" w:eastAsia="Times New Roman" w:hAnsi="Arial" w:cs="Arial"/>
          <w:color w:val="000000"/>
          <w:sz w:val="24"/>
          <w:szCs w:val="24"/>
          <w:lang w:eastAsia="es-CO"/>
        </w:rPr>
        <w:t xml:space="preserve">fue una información superficial; (iii) la desaparición del </w:t>
      </w:r>
      <w:r w:rsidR="00C52F26">
        <w:rPr>
          <w:rFonts w:ascii="Arial" w:eastAsia="Times New Roman" w:hAnsi="Arial" w:cs="Arial"/>
          <w:color w:val="000000"/>
          <w:sz w:val="24"/>
          <w:szCs w:val="24"/>
          <w:lang w:eastAsia="es-CO"/>
        </w:rPr>
        <w:t xml:space="preserve">ISS </w:t>
      </w:r>
      <w:r w:rsidR="00F37D9D">
        <w:rPr>
          <w:rFonts w:ascii="Arial" w:eastAsia="Times New Roman" w:hAnsi="Arial" w:cs="Arial"/>
          <w:color w:val="000000"/>
          <w:sz w:val="24"/>
          <w:szCs w:val="24"/>
          <w:lang w:eastAsia="es-CO"/>
        </w:rPr>
        <w:t>si bien se presentó, se decía que la entidad que lo iba a reemplazar iba a tener las mismas falencias.</w:t>
      </w:r>
    </w:p>
    <w:p w:rsidR="00C52F26" w:rsidRDefault="00C52F26" w:rsidP="00F33CF3">
      <w:pPr>
        <w:pStyle w:val="Prrafodelista"/>
        <w:spacing w:line="276" w:lineRule="auto"/>
        <w:ind w:left="0"/>
        <w:jc w:val="both"/>
        <w:rPr>
          <w:rFonts w:ascii="Arial" w:eastAsia="Times New Roman" w:hAnsi="Arial" w:cs="Arial"/>
          <w:color w:val="000000"/>
          <w:sz w:val="24"/>
          <w:szCs w:val="24"/>
          <w:lang w:eastAsia="es-CO"/>
        </w:rPr>
      </w:pPr>
    </w:p>
    <w:p w:rsidR="0034108D" w:rsidRDefault="00E67AFC" w:rsidP="00F33CF3">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Concluye, </w:t>
      </w:r>
      <w:r w:rsidR="00C52F26">
        <w:rPr>
          <w:rFonts w:ascii="Arial" w:eastAsia="Times New Roman" w:hAnsi="Arial" w:cs="Arial"/>
          <w:color w:val="000000"/>
          <w:sz w:val="24"/>
          <w:szCs w:val="24"/>
          <w:lang w:eastAsia="es-CO"/>
        </w:rPr>
        <w:t xml:space="preserve">que </w:t>
      </w:r>
      <w:r w:rsidR="00C52F26">
        <w:rPr>
          <w:rFonts w:ascii="Arial" w:eastAsia="Times New Roman" w:hAnsi="Arial" w:cs="Arial"/>
          <w:color w:val="000000"/>
          <w:sz w:val="24"/>
          <w:szCs w:val="24"/>
          <w:lang w:val="es-CO" w:eastAsia="es-CO"/>
        </w:rPr>
        <w:t xml:space="preserve">brillan </w:t>
      </w:r>
      <w:r w:rsidR="0034108D">
        <w:rPr>
          <w:rFonts w:ascii="Arial" w:eastAsia="Times New Roman" w:hAnsi="Arial" w:cs="Arial"/>
          <w:color w:val="000000"/>
          <w:sz w:val="24"/>
          <w:szCs w:val="24"/>
          <w:lang w:eastAsia="es-CO"/>
        </w:rPr>
        <w:t xml:space="preserve">entonces por su ausencia los requisitos que la jurisprudencia ha trazado </w:t>
      </w:r>
      <w:r w:rsidR="00C52F26">
        <w:rPr>
          <w:rFonts w:ascii="Arial" w:eastAsia="Times New Roman" w:hAnsi="Arial" w:cs="Arial"/>
          <w:color w:val="000000"/>
          <w:sz w:val="24"/>
          <w:szCs w:val="24"/>
          <w:lang w:eastAsia="es-CO"/>
        </w:rPr>
        <w:t>respecto al deber del buen consejo que está en cabeza de los fondos privados</w:t>
      </w:r>
      <w:r w:rsidR="0034108D">
        <w:rPr>
          <w:rFonts w:ascii="Arial" w:eastAsia="Times New Roman" w:hAnsi="Arial" w:cs="Arial"/>
          <w:color w:val="000000"/>
          <w:sz w:val="24"/>
          <w:szCs w:val="24"/>
          <w:lang w:eastAsia="es-CO"/>
        </w:rPr>
        <w:t xml:space="preserve">. </w:t>
      </w:r>
    </w:p>
    <w:p w:rsidR="00F33CF3" w:rsidRDefault="00F33CF3" w:rsidP="00F33CF3">
      <w:pPr>
        <w:pStyle w:val="Prrafodelista"/>
        <w:spacing w:line="276" w:lineRule="auto"/>
        <w:ind w:left="0"/>
        <w:jc w:val="both"/>
        <w:rPr>
          <w:rFonts w:ascii="Arial" w:eastAsia="Times New Roman" w:hAnsi="Arial" w:cs="Arial"/>
          <w:color w:val="000000"/>
          <w:sz w:val="24"/>
          <w:szCs w:val="24"/>
          <w:lang w:eastAsia="es-CO"/>
        </w:rPr>
      </w:pPr>
    </w:p>
    <w:p w:rsidR="00C64A1B" w:rsidRPr="007F2FCF" w:rsidRDefault="00C64A1B" w:rsidP="00C64A1B">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7F2FCF">
        <w:rPr>
          <w:rFonts w:ascii="Arial" w:hAnsi="Arial" w:cs="Arial"/>
          <w:b/>
          <w:color w:val="000000" w:themeColor="text1"/>
          <w:sz w:val="24"/>
          <w:szCs w:val="24"/>
        </w:rPr>
        <w:t>CONSIDERACIONES</w:t>
      </w:r>
    </w:p>
    <w:p w:rsidR="00C64A1B" w:rsidRPr="007F2FCF" w:rsidRDefault="00C64A1B" w:rsidP="00C64A1B">
      <w:pPr>
        <w:pStyle w:val="Prrafodelista"/>
        <w:shd w:val="clear" w:color="auto" w:fill="FFFFFF"/>
        <w:tabs>
          <w:tab w:val="left" w:pos="5197"/>
        </w:tabs>
        <w:spacing w:line="276" w:lineRule="auto"/>
        <w:ind w:left="1800"/>
        <w:jc w:val="both"/>
        <w:rPr>
          <w:rFonts w:ascii="Arial" w:hAnsi="Arial" w:cs="Arial"/>
          <w:b/>
          <w:color w:val="000000" w:themeColor="text1"/>
          <w:sz w:val="24"/>
          <w:szCs w:val="24"/>
        </w:rPr>
      </w:pPr>
    </w:p>
    <w:p w:rsidR="000058B8" w:rsidRDefault="000058B8" w:rsidP="000B1463">
      <w:pPr>
        <w:shd w:val="clear" w:color="auto" w:fill="FFFFFF"/>
        <w:tabs>
          <w:tab w:val="left" w:pos="5197"/>
        </w:tabs>
        <w:spacing w:line="276" w:lineRule="auto"/>
        <w:contextualSpacing/>
        <w:jc w:val="both"/>
        <w:rPr>
          <w:rFonts w:ascii="Arial" w:hAnsi="Arial" w:cs="Arial"/>
          <w:b/>
          <w:color w:val="000000" w:themeColor="text1"/>
          <w:szCs w:val="24"/>
        </w:rPr>
      </w:pPr>
      <w:r>
        <w:rPr>
          <w:rFonts w:ascii="Arial" w:hAnsi="Arial" w:cs="Arial"/>
          <w:b/>
          <w:color w:val="000000" w:themeColor="text1"/>
          <w:szCs w:val="24"/>
        </w:rPr>
        <w:t>Del valor normativo de las decisiones emitidas por la Corte Suprema de Justicia</w:t>
      </w:r>
    </w:p>
    <w:p w:rsidR="000058B8" w:rsidRDefault="000058B8" w:rsidP="000058B8">
      <w:pPr>
        <w:shd w:val="clear" w:color="auto" w:fill="FFFFFF"/>
        <w:tabs>
          <w:tab w:val="left" w:pos="5197"/>
        </w:tabs>
        <w:spacing w:line="276" w:lineRule="auto"/>
        <w:contextualSpacing/>
        <w:rPr>
          <w:rFonts w:ascii="Arial" w:hAnsi="Arial" w:cs="Arial"/>
          <w:b/>
          <w:color w:val="000000" w:themeColor="text1"/>
          <w:szCs w:val="24"/>
        </w:rPr>
      </w:pPr>
    </w:p>
    <w:p w:rsidR="000058B8"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color w:val="000000" w:themeColor="text1"/>
          <w:szCs w:val="24"/>
        </w:rPr>
        <w:t>Las decisiones adoptadas por el superior jerárquico, en nuestro caso por la Corte Suprema de Justicia, encargada de unificar la jurisprudencia, resulta ser como regla general de obligatorio acatamiento, lo que se traduce en una limitación de la autonomía judicial.</w:t>
      </w:r>
    </w:p>
    <w:p w:rsidR="000058B8"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p>
    <w:p w:rsidR="000058B8"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color w:val="000000" w:themeColor="text1"/>
          <w:szCs w:val="24"/>
        </w:rPr>
        <w:t xml:space="preserve">Sin embargo y a modo de excepción, el funcionario judicial puede apartarse de ellas, esgrimiendo las razones suficientemente fundadas que lo llevan a tomar esa determinación. </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F</w:t>
      </w:r>
      <w:r w:rsidRPr="00DE3138">
        <w:rPr>
          <w:rFonts w:ascii="Arial" w:hAnsi="Arial" w:cs="Arial"/>
          <w:color w:val="000000" w:themeColor="text1"/>
          <w:szCs w:val="24"/>
        </w:rPr>
        <w:t>rente al tema de la ineficacia del traslado sustentado en los a</w:t>
      </w:r>
      <w:r w:rsidRPr="00DE3138">
        <w:rPr>
          <w:rFonts w:ascii="Arial" w:hAnsi="Arial" w:cs="Arial"/>
          <w:iCs/>
          <w:szCs w:val="24"/>
        </w:rPr>
        <w:t>rtículos 13</w:t>
      </w:r>
      <w:r>
        <w:rPr>
          <w:rFonts w:ascii="Arial" w:hAnsi="Arial" w:cs="Arial"/>
          <w:iCs/>
          <w:szCs w:val="24"/>
        </w:rPr>
        <w:t xml:space="preserve"> literal b) y </w:t>
      </w:r>
      <w:r w:rsidRPr="00DE3138">
        <w:rPr>
          <w:rFonts w:ascii="Arial" w:hAnsi="Arial" w:cs="Arial"/>
          <w:iCs/>
          <w:szCs w:val="24"/>
        </w:rPr>
        <w:t xml:space="preserve"> 271 </w:t>
      </w:r>
      <w:r>
        <w:rPr>
          <w:rFonts w:ascii="Arial" w:hAnsi="Arial" w:cs="Arial"/>
          <w:iCs/>
          <w:szCs w:val="24"/>
        </w:rPr>
        <w:t>inciso 1º</w:t>
      </w:r>
      <w:r w:rsidRPr="00DE3138">
        <w:rPr>
          <w:rFonts w:ascii="Arial" w:hAnsi="Arial" w:cs="Arial"/>
          <w:iCs/>
          <w:szCs w:val="24"/>
        </w:rPr>
        <w:t xml:space="preserve"> de la Ley 100 d</w:t>
      </w:r>
      <w:r>
        <w:rPr>
          <w:rFonts w:ascii="Arial" w:hAnsi="Arial" w:cs="Arial"/>
          <w:iCs/>
          <w:szCs w:val="24"/>
        </w:rPr>
        <w:t xml:space="preserve">e 1993, recientemente </w:t>
      </w:r>
      <w:r w:rsidRPr="00DE3138">
        <w:rPr>
          <w:rFonts w:ascii="Arial" w:hAnsi="Arial" w:cs="Arial"/>
          <w:color w:val="000000" w:themeColor="text1"/>
          <w:szCs w:val="24"/>
        </w:rPr>
        <w:t>la SCL de la CSJ</w:t>
      </w:r>
      <w:r w:rsidRPr="00DE3138">
        <w:rPr>
          <w:rStyle w:val="Refdenotaalpie"/>
          <w:rFonts w:ascii="Arial" w:hAnsi="Arial" w:cs="Arial"/>
          <w:color w:val="000000" w:themeColor="text1"/>
          <w:szCs w:val="24"/>
        </w:rPr>
        <w:footnoteReference w:id="2"/>
      </w:r>
      <w:r w:rsidRPr="00DE3138">
        <w:rPr>
          <w:rFonts w:ascii="Arial" w:hAnsi="Arial" w:cs="Arial"/>
          <w:color w:val="000000" w:themeColor="text1"/>
          <w:szCs w:val="24"/>
        </w:rPr>
        <w:t xml:space="preserve">, </w:t>
      </w:r>
      <w:r>
        <w:rPr>
          <w:rFonts w:ascii="Arial" w:hAnsi="Arial" w:cs="Arial"/>
          <w:color w:val="000000" w:themeColor="text1"/>
          <w:szCs w:val="24"/>
        </w:rPr>
        <w:t xml:space="preserve">indicó </w:t>
      </w:r>
      <w:r w:rsidRPr="00DE3138">
        <w:rPr>
          <w:rFonts w:ascii="Arial" w:hAnsi="Arial" w:cs="Arial"/>
          <w:color w:val="000000" w:themeColor="text1"/>
          <w:szCs w:val="24"/>
        </w:rPr>
        <w:t>que la misma procede para todos los afiliados al sistema pensional sin distingo a su pertenencia o no al régimen de transición previsto en el artículo 36 de la Ley 100 de 1993, cuya carga probatoria recae en la AFP, quien deberá acreditar que informó las consecuencias del traslado; tesis que no se comparte por la Sala Mayoritaria</w:t>
      </w:r>
      <w:r>
        <w:rPr>
          <w:rFonts w:ascii="Arial" w:hAnsi="Arial" w:cs="Arial"/>
          <w:color w:val="000000" w:themeColor="text1"/>
          <w:szCs w:val="24"/>
        </w:rPr>
        <w:t>.</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Por lo tanto, la intelección que ha venido efectuando esta Sala Mayoritaria es que si el afiliado es beneficiario del régimen de transición previsto en la Ley 100 de 1993 hay lugar</w:t>
      </w:r>
      <w:r w:rsidR="00E67AFC">
        <w:rPr>
          <w:rFonts w:ascii="Arial" w:hAnsi="Arial" w:cs="Arial"/>
          <w:color w:val="000000" w:themeColor="text1"/>
          <w:szCs w:val="24"/>
        </w:rPr>
        <w:t xml:space="preserve"> a</w:t>
      </w:r>
      <w:r>
        <w:rPr>
          <w:rFonts w:ascii="Arial" w:hAnsi="Arial" w:cs="Arial"/>
          <w:color w:val="000000" w:themeColor="text1"/>
          <w:szCs w:val="24"/>
        </w:rPr>
        <w:t xml:space="preserve"> analizar la ineficacia del traslado conforme a la tesis expuesta inicialmente por la </w:t>
      </w:r>
      <w:r w:rsidR="00E67AFC">
        <w:rPr>
          <w:rFonts w:ascii="Arial" w:hAnsi="Arial" w:cs="Arial"/>
          <w:color w:val="000000" w:themeColor="text1"/>
          <w:szCs w:val="24"/>
        </w:rPr>
        <w:t xml:space="preserve"> SCL de la </w:t>
      </w:r>
      <w:r>
        <w:rPr>
          <w:rFonts w:ascii="Arial" w:hAnsi="Arial" w:cs="Arial"/>
          <w:color w:val="000000" w:themeColor="text1"/>
          <w:szCs w:val="24"/>
        </w:rPr>
        <w:t>CSJ</w:t>
      </w:r>
      <w:r>
        <w:rPr>
          <w:rStyle w:val="Refdenotaalpie"/>
          <w:rFonts w:ascii="Arial" w:hAnsi="Arial" w:cs="Arial"/>
          <w:color w:val="000000" w:themeColor="text1"/>
          <w:szCs w:val="24"/>
        </w:rPr>
        <w:footnoteReference w:id="3"/>
      </w:r>
      <w:r>
        <w:rPr>
          <w:rFonts w:ascii="Arial" w:hAnsi="Arial" w:cs="Arial"/>
          <w:color w:val="000000" w:themeColor="text1"/>
          <w:szCs w:val="24"/>
        </w:rPr>
        <w:t xml:space="preserve">,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Pero, en caso contrario, de no ser beneficiario actual de dicho régimen, debe estudiarse lo pedido bajo la óptica de la nulidad del acto jurídico del traslado por vicios en el consentimiento, evento en el cual, le corresponde al afiliado acreditar los respectivos hechos de acuerdo con los Principios del </w:t>
      </w:r>
      <w:proofErr w:type="spellStart"/>
      <w:r w:rsidRPr="006E2D14">
        <w:rPr>
          <w:rFonts w:ascii="Arial" w:hAnsi="Arial" w:cs="Arial"/>
          <w:i/>
          <w:color w:val="000000" w:themeColor="text1"/>
          <w:szCs w:val="24"/>
        </w:rPr>
        <w:t>Onus</w:t>
      </w:r>
      <w:proofErr w:type="spellEnd"/>
      <w:r w:rsidRPr="006E2D14">
        <w:rPr>
          <w:rFonts w:ascii="Arial" w:hAnsi="Arial" w:cs="Arial"/>
          <w:i/>
          <w:color w:val="000000" w:themeColor="text1"/>
          <w:szCs w:val="24"/>
        </w:rPr>
        <w:t xml:space="preserve"> Probandi</w:t>
      </w:r>
      <w:r>
        <w:rPr>
          <w:rFonts w:ascii="Arial" w:hAnsi="Arial" w:cs="Arial"/>
          <w:color w:val="000000" w:themeColor="text1"/>
          <w:szCs w:val="24"/>
        </w:rPr>
        <w:t xml:space="preserve">, de conformidad con el artículo 167 del C.G.P., so pena de la </w:t>
      </w:r>
      <w:proofErr w:type="spellStart"/>
      <w:r>
        <w:rPr>
          <w:rFonts w:ascii="Arial" w:hAnsi="Arial" w:cs="Arial"/>
          <w:color w:val="000000" w:themeColor="text1"/>
          <w:szCs w:val="24"/>
        </w:rPr>
        <w:t>improsperidad</w:t>
      </w:r>
      <w:proofErr w:type="spellEnd"/>
      <w:r>
        <w:rPr>
          <w:rFonts w:ascii="Arial" w:hAnsi="Arial" w:cs="Arial"/>
          <w:color w:val="000000" w:themeColor="text1"/>
          <w:szCs w:val="24"/>
        </w:rPr>
        <w:t xml:space="preserve"> de sus pretensiones.</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Pr="008C2705"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Sin que la anterior comprensión constituya un acto discriminatorio como lo aduce la recurrente, pues se trata de una interpretación válida y fusionada de la jurisprudencia y de las normas sustantivas que regulan la materia.</w:t>
      </w:r>
    </w:p>
    <w:p w:rsidR="000058B8" w:rsidRDefault="000058B8" w:rsidP="000058B8">
      <w:pPr>
        <w:shd w:val="clear" w:color="auto" w:fill="FFFFFF"/>
        <w:tabs>
          <w:tab w:val="left" w:pos="5197"/>
        </w:tabs>
        <w:spacing w:line="276" w:lineRule="auto"/>
        <w:rPr>
          <w:rFonts w:ascii="Arial" w:hAnsi="Arial" w:cs="Arial"/>
          <w:b/>
          <w:color w:val="000000" w:themeColor="text1"/>
          <w:szCs w:val="24"/>
        </w:rPr>
      </w:pP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De este modo, se recoge cualquier argumentación que haya sido esgrimida con anterioridad y que difiera de</w:t>
      </w:r>
      <w:r w:rsidR="00E67AFC">
        <w:rPr>
          <w:rFonts w:ascii="Arial" w:hAnsi="Arial" w:cs="Arial"/>
          <w:color w:val="000000" w:themeColor="text1"/>
          <w:szCs w:val="24"/>
        </w:rPr>
        <w:t xml:space="preserve"> </w:t>
      </w:r>
      <w:r>
        <w:rPr>
          <w:rFonts w:ascii="Arial" w:hAnsi="Arial" w:cs="Arial"/>
          <w:color w:val="000000" w:themeColor="text1"/>
          <w:szCs w:val="24"/>
        </w:rPr>
        <w:t>l</w:t>
      </w:r>
      <w:r w:rsidR="00E67AFC">
        <w:rPr>
          <w:rFonts w:ascii="Arial" w:hAnsi="Arial" w:cs="Arial"/>
          <w:color w:val="000000" w:themeColor="text1"/>
          <w:szCs w:val="24"/>
        </w:rPr>
        <w:t>o</w:t>
      </w:r>
      <w:r>
        <w:rPr>
          <w:rFonts w:ascii="Arial" w:hAnsi="Arial" w:cs="Arial"/>
          <w:color w:val="000000" w:themeColor="text1"/>
          <w:szCs w:val="24"/>
        </w:rPr>
        <w:t xml:space="preserve"> inmediatamente expuesto.</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Ahora, las razones que justifican la dimisión de la Sala Mayoritaria de la tesis actual de la SCL de la CSJ, son las mismas que fueron expuestas por el </w:t>
      </w:r>
      <w:proofErr w:type="spellStart"/>
      <w:r>
        <w:rPr>
          <w:rFonts w:ascii="Arial" w:hAnsi="Arial" w:cs="Arial"/>
          <w:color w:val="000000" w:themeColor="text1"/>
          <w:szCs w:val="24"/>
        </w:rPr>
        <w:t>Mag</w:t>
      </w:r>
      <w:proofErr w:type="spellEnd"/>
      <w:r>
        <w:rPr>
          <w:rFonts w:ascii="Arial" w:hAnsi="Arial" w:cs="Arial"/>
          <w:color w:val="000000" w:themeColor="text1"/>
          <w:szCs w:val="24"/>
        </w:rPr>
        <w:t xml:space="preserve">. Julio César Salazar Muñoz en el salvamento de voto presentado en el proceso con radicado abreviado 2017-00090 de fecha 05/12/2018 donde fungió como demandante la señora Victoria Eugenia Echeverry </w:t>
      </w:r>
      <w:proofErr w:type="spellStart"/>
      <w:r>
        <w:rPr>
          <w:rFonts w:ascii="Arial" w:hAnsi="Arial" w:cs="Arial"/>
          <w:color w:val="000000" w:themeColor="text1"/>
          <w:szCs w:val="24"/>
        </w:rPr>
        <w:t>Sarrazola</w:t>
      </w:r>
      <w:proofErr w:type="spellEnd"/>
      <w:r>
        <w:rPr>
          <w:rFonts w:ascii="Arial" w:hAnsi="Arial" w:cs="Arial"/>
          <w:color w:val="000000" w:themeColor="text1"/>
          <w:szCs w:val="24"/>
        </w:rPr>
        <w:t>, y que son las siguientes:</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Pr="00C31E27" w:rsidRDefault="000058B8" w:rsidP="000058B8">
      <w:pPr>
        <w:ind w:right="51"/>
        <w:jc w:val="both"/>
        <w:rPr>
          <w:rFonts w:ascii="Arial" w:hAnsi="Arial"/>
          <w:b/>
          <w:i/>
          <w:iCs/>
          <w:sz w:val="22"/>
          <w:szCs w:val="22"/>
        </w:rPr>
      </w:pPr>
      <w:r w:rsidRPr="00C31E27">
        <w:rPr>
          <w:rFonts w:ascii="Arial" w:hAnsi="Arial" w:cs="Arial"/>
          <w:b/>
          <w:i/>
          <w:color w:val="000000" w:themeColor="text1"/>
          <w:sz w:val="22"/>
          <w:szCs w:val="22"/>
        </w:rPr>
        <w:t>“</w:t>
      </w:r>
      <w:r w:rsidRPr="00C31E27">
        <w:rPr>
          <w:rFonts w:ascii="Arial" w:hAnsi="Arial" w:cs="Arial"/>
          <w:b/>
          <w:bCs/>
          <w:i/>
          <w:iCs/>
          <w:sz w:val="22"/>
          <w:szCs w:val="22"/>
          <w:lang w:val="es-ES"/>
        </w:rPr>
        <w:t>PRIMERA</w:t>
      </w:r>
      <w:r w:rsidRPr="00C31E27">
        <w:rPr>
          <w:b/>
          <w:bCs/>
          <w:i/>
          <w:iCs/>
          <w:sz w:val="22"/>
          <w:szCs w:val="22"/>
          <w:lang w:val="es-ES"/>
        </w:rPr>
        <w:t xml:space="preserve">: </w:t>
      </w:r>
      <w:bookmarkStart w:id="1" w:name="13"/>
      <w:bookmarkEnd w:id="1"/>
      <w:r w:rsidRPr="00C31E27">
        <w:rPr>
          <w:rFonts w:ascii="Arial" w:hAnsi="Arial"/>
          <w:b/>
          <w:i/>
          <w:iCs/>
          <w:sz w:val="22"/>
          <w:szCs w:val="22"/>
        </w:rPr>
        <w:t>RÉGIMENES PENSIONALES COEXISTENTES</w:t>
      </w:r>
    </w:p>
    <w:p w:rsidR="000058B8" w:rsidRPr="00C31E27" w:rsidRDefault="000058B8" w:rsidP="000058B8">
      <w:pPr>
        <w:ind w:right="51"/>
        <w:jc w:val="both"/>
        <w:rPr>
          <w:rFonts w:ascii="Arial" w:hAnsi="Arial"/>
          <w:b/>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C31E27">
        <w:rPr>
          <w:rFonts w:ascii="Arial" w:hAnsi="Arial"/>
          <w:b/>
          <w:i/>
          <w:iCs/>
          <w:sz w:val="22"/>
          <w:szCs w:val="22"/>
        </w:rPr>
        <w:t>con prestación definida”.</w:t>
      </w:r>
      <w:r w:rsidRPr="00C31E27">
        <w:rPr>
          <w:rFonts w:ascii="Arial" w:hAnsi="Arial"/>
          <w:i/>
          <w:iCs/>
          <w:sz w:val="22"/>
          <w:szCs w:val="22"/>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C31E27">
        <w:rPr>
          <w:rFonts w:ascii="Arial" w:hAnsi="Arial"/>
          <w:b/>
          <w:i/>
          <w:iCs/>
          <w:sz w:val="22"/>
          <w:szCs w:val="22"/>
        </w:rPr>
        <w:t xml:space="preserve">ahorro individual, </w:t>
      </w:r>
      <w:r w:rsidRPr="00C31E27">
        <w:rPr>
          <w:rFonts w:ascii="Arial" w:hAnsi="Arial"/>
          <w:i/>
          <w:iCs/>
          <w:sz w:val="22"/>
          <w:szCs w:val="22"/>
        </w:rPr>
        <w:t xml:space="preserve">dando cuenta desde su denominación de la afectación de la prestación al esfuerzo personal que haga el afiliado. </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C31E27">
        <w:rPr>
          <w:rFonts w:ascii="Arial" w:hAnsi="Arial"/>
          <w:i/>
          <w:iCs/>
          <w:sz w:val="22"/>
          <w:szCs w:val="22"/>
        </w:rPr>
        <w:t>sucesoral</w:t>
      </w:r>
      <w:proofErr w:type="spellEnd"/>
      <w:r w:rsidRPr="00C31E27">
        <w:rPr>
          <w:rFonts w:ascii="Arial" w:hAnsi="Arial"/>
          <w:i/>
          <w:iCs/>
          <w:sz w:val="22"/>
          <w:szCs w:val="22"/>
        </w:rPr>
        <w:t>.</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C31E27">
        <w:rPr>
          <w:rFonts w:ascii="Arial" w:hAnsi="Arial"/>
          <w:b/>
          <w:i/>
          <w:iCs/>
          <w:sz w:val="22"/>
          <w:szCs w:val="22"/>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C31E27">
        <w:rPr>
          <w:rFonts w:ascii="Arial" w:hAnsi="Arial"/>
          <w:i/>
          <w:iCs/>
          <w:sz w:val="22"/>
          <w:szCs w:val="22"/>
        </w:rPr>
        <w:t>, entre otras cosas porque la nueva legislación parte de la base de que existe una abierta y libre competencia entre Administradoras públicas y privadas por el mercado de la administración de los riesgos de IVM.</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b/>
          <w:i/>
          <w:iCs/>
          <w:sz w:val="22"/>
          <w:szCs w:val="22"/>
        </w:rPr>
      </w:pPr>
      <w:r w:rsidRPr="00C31E27">
        <w:rPr>
          <w:rFonts w:ascii="Arial" w:hAnsi="Arial"/>
          <w:b/>
          <w:i/>
          <w:iCs/>
          <w:sz w:val="22"/>
          <w:szCs w:val="22"/>
        </w:rPr>
        <w:lastRenderedPageBreak/>
        <w:t>SEGUNDO: RAZON DE SER DE LA LIMITACIÓN DE TRASLADO CUANDO FALTEN MENOS DE 10 AÑOS. SENTENCIA C-1024 DE 2004</w:t>
      </w:r>
    </w:p>
    <w:p w:rsidR="000058B8" w:rsidRPr="00C31E27" w:rsidRDefault="000058B8" w:rsidP="000058B8">
      <w:pPr>
        <w:ind w:right="51"/>
        <w:jc w:val="both"/>
        <w:rPr>
          <w:rFonts w:ascii="Arial" w:hAnsi="Arial"/>
          <w:b/>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 xml:space="preserve">La Corte Constitucional fue clara en explicar que </w:t>
      </w:r>
      <w:r w:rsidRPr="00C31E27">
        <w:rPr>
          <w:rFonts w:ascii="Arial" w:hAnsi="Arial"/>
          <w:b/>
          <w:i/>
          <w:iCs/>
          <w:sz w:val="22"/>
          <w:szCs w:val="22"/>
        </w:rPr>
        <w:t>para garantizar la sostenibilidad financiera del sistema de prima media</w:t>
      </w:r>
      <w:r w:rsidRPr="00C31E27">
        <w:rPr>
          <w:rFonts w:ascii="Arial" w:hAnsi="Arial"/>
          <w:i/>
          <w:iCs/>
          <w:sz w:val="22"/>
          <w:szCs w:val="22"/>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0058B8" w:rsidRPr="00C31E27" w:rsidRDefault="000058B8" w:rsidP="000058B8">
      <w:pPr>
        <w:ind w:right="51"/>
        <w:jc w:val="both"/>
        <w:rPr>
          <w:rFonts w:ascii="Arial" w:hAnsi="Arial"/>
          <w:b/>
          <w:i/>
          <w:iCs/>
          <w:sz w:val="22"/>
          <w:szCs w:val="22"/>
        </w:rPr>
      </w:pPr>
    </w:p>
    <w:p w:rsidR="000058B8" w:rsidRPr="00C31E27" w:rsidRDefault="000058B8" w:rsidP="000058B8">
      <w:pPr>
        <w:ind w:left="708" w:right="476"/>
        <w:jc w:val="both"/>
        <w:rPr>
          <w:rFonts w:ascii="Arial" w:hAnsi="Arial"/>
          <w:i/>
          <w:iCs/>
          <w:sz w:val="22"/>
          <w:szCs w:val="22"/>
          <w:lang w:val="es-ES"/>
        </w:rPr>
      </w:pPr>
      <w:r w:rsidRPr="00C31E27">
        <w:rPr>
          <w:rFonts w:ascii="Arial" w:hAnsi="Arial"/>
          <w:i/>
          <w:iCs/>
          <w:sz w:val="22"/>
          <w:szCs w:val="22"/>
        </w:rPr>
        <w:t xml:space="preserve">“Desde esta perspectiva, el objetivo perseguido con el señalamiento del  período de carencia en la norma acusada, </w:t>
      </w:r>
      <w:r w:rsidRPr="00C31E27">
        <w:rPr>
          <w:rFonts w:ascii="Arial" w:hAnsi="Arial"/>
          <w:b/>
          <w:i/>
          <w:iCs/>
          <w:sz w:val="22"/>
          <w:szCs w:val="22"/>
        </w:rPr>
        <w:t>consiste en evitar la descapitalización del fondo común del Régimen Solidario de Prima Media con Prestación Definida</w:t>
      </w:r>
      <w:r w:rsidRPr="00C31E27">
        <w:rPr>
          <w:rFonts w:ascii="Arial" w:hAnsi="Arial"/>
          <w:i/>
          <w:iCs/>
          <w:sz w:val="22"/>
          <w:szCs w:val="22"/>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31E27">
        <w:rPr>
          <w:rFonts w:ascii="Arial" w:hAnsi="Arial"/>
          <w:b/>
          <w:i/>
          <w:iCs/>
          <w:sz w:val="22"/>
          <w:szCs w:val="22"/>
        </w:rPr>
        <w:t>a poner en riesgo la garantía del derecho irrenunciable a la pensión del resto de cotizantes</w:t>
      </w:r>
      <w:r w:rsidRPr="00C31E27">
        <w:rPr>
          <w:rFonts w:ascii="Arial" w:hAnsi="Arial"/>
          <w:i/>
          <w:iCs/>
          <w:sz w:val="22"/>
          <w:szCs w:val="22"/>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31E27">
        <w:rPr>
          <w:rFonts w:ascii="Arial" w:hAnsi="Arial"/>
          <w:b/>
          <w:i/>
          <w:iCs/>
          <w:sz w:val="22"/>
          <w:szCs w:val="22"/>
        </w:rPr>
        <w:t>podría llegar a poner en riesgo la garantía del derecho pensional para los actuales y futuros pensionados</w:t>
      </w:r>
      <w:r w:rsidRPr="00C31E27">
        <w:rPr>
          <w:rFonts w:ascii="Arial" w:hAnsi="Arial"/>
          <w:i/>
          <w:iCs/>
          <w:sz w:val="22"/>
          <w:szCs w:val="22"/>
        </w:rPr>
        <w:t>.</w:t>
      </w:r>
    </w:p>
    <w:p w:rsidR="000058B8" w:rsidRPr="00C31E27" w:rsidRDefault="000058B8" w:rsidP="000058B8">
      <w:pPr>
        <w:ind w:left="708" w:right="476"/>
        <w:jc w:val="both"/>
        <w:rPr>
          <w:rFonts w:ascii="Arial" w:hAnsi="Arial"/>
          <w:i/>
          <w:iCs/>
          <w:sz w:val="22"/>
          <w:szCs w:val="22"/>
          <w:lang w:val="es-ES"/>
        </w:rPr>
      </w:pPr>
      <w:r w:rsidRPr="00C31E27">
        <w:rPr>
          <w:rFonts w:ascii="Arial" w:hAnsi="Arial"/>
          <w:i/>
          <w:iCs/>
          <w:sz w:val="22"/>
          <w:szCs w:val="22"/>
        </w:rPr>
        <w:t> </w:t>
      </w:r>
    </w:p>
    <w:p w:rsidR="000058B8" w:rsidRDefault="000058B8" w:rsidP="000058B8">
      <w:pPr>
        <w:ind w:left="708" w:right="476"/>
        <w:jc w:val="both"/>
        <w:rPr>
          <w:rFonts w:ascii="Arial" w:hAnsi="Arial"/>
          <w:i/>
          <w:iCs/>
          <w:sz w:val="22"/>
          <w:szCs w:val="22"/>
        </w:rPr>
      </w:pPr>
      <w:r w:rsidRPr="00C31E27">
        <w:rPr>
          <w:rFonts w:ascii="Arial" w:hAnsi="Arial"/>
          <w:i/>
          <w:iCs/>
          <w:sz w:val="22"/>
          <w:szCs w:val="22"/>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058B8" w:rsidRPr="00C31E27" w:rsidRDefault="000058B8" w:rsidP="000058B8">
      <w:pPr>
        <w:ind w:left="708" w:right="476"/>
        <w:jc w:val="both"/>
        <w:rPr>
          <w:rFonts w:ascii="Arial" w:hAnsi="Arial"/>
          <w:i/>
          <w:iCs/>
          <w:sz w:val="22"/>
          <w:szCs w:val="22"/>
          <w:lang w:val="es-ES"/>
        </w:rPr>
      </w:pPr>
    </w:p>
    <w:p w:rsidR="000058B8" w:rsidRPr="00C31E27" w:rsidRDefault="000058B8" w:rsidP="000058B8">
      <w:pPr>
        <w:ind w:left="708" w:right="476"/>
        <w:jc w:val="both"/>
        <w:rPr>
          <w:rFonts w:ascii="Arial" w:hAnsi="Arial"/>
          <w:b/>
          <w:i/>
          <w:iCs/>
          <w:sz w:val="22"/>
          <w:szCs w:val="22"/>
          <w:lang w:val="es-ES"/>
        </w:rPr>
      </w:pPr>
      <w:r w:rsidRPr="00C31E27">
        <w:rPr>
          <w:rFonts w:ascii="Arial" w:hAnsi="Arial"/>
          <w:i/>
          <w:iCs/>
          <w:sz w:val="22"/>
          <w:szCs w:val="22"/>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31E27">
        <w:rPr>
          <w:rFonts w:ascii="Arial" w:hAnsi="Arial"/>
          <w:b/>
          <w:i/>
          <w:iCs/>
          <w:sz w:val="22"/>
          <w:szCs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31E27">
        <w:rPr>
          <w:rFonts w:ascii="Arial" w:hAnsi="Arial"/>
          <w:i/>
          <w:iCs/>
          <w:sz w:val="22"/>
          <w:szCs w:val="22"/>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31E27">
        <w:rPr>
          <w:rFonts w:ascii="Arial" w:hAnsi="Arial"/>
          <w:b/>
          <w:i/>
          <w:iCs/>
          <w:sz w:val="22"/>
          <w:szCs w:val="22"/>
        </w:rPr>
        <w:t> </w:t>
      </w:r>
    </w:p>
    <w:p w:rsidR="000058B8" w:rsidRPr="00C31E27" w:rsidRDefault="000058B8" w:rsidP="000058B8">
      <w:pPr>
        <w:ind w:right="51"/>
        <w:jc w:val="both"/>
        <w:rPr>
          <w:rFonts w:ascii="Arial" w:hAnsi="Arial"/>
          <w:b/>
          <w:i/>
          <w:iCs/>
          <w:sz w:val="22"/>
          <w:szCs w:val="22"/>
        </w:rPr>
      </w:pPr>
    </w:p>
    <w:p w:rsidR="000058B8" w:rsidRPr="00C31E27" w:rsidRDefault="000058B8" w:rsidP="000058B8">
      <w:pPr>
        <w:ind w:right="51"/>
        <w:jc w:val="both"/>
        <w:rPr>
          <w:rFonts w:ascii="Arial" w:hAnsi="Arial"/>
          <w:b/>
          <w:i/>
          <w:iCs/>
          <w:sz w:val="22"/>
          <w:szCs w:val="22"/>
        </w:rPr>
      </w:pPr>
      <w:r w:rsidRPr="00C31E27">
        <w:rPr>
          <w:rFonts w:ascii="Arial" w:hAnsi="Arial"/>
          <w:i/>
          <w:iCs/>
          <w:sz w:val="22"/>
          <w:szCs w:val="22"/>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C31E27">
        <w:rPr>
          <w:rFonts w:ascii="Arial" w:hAnsi="Arial"/>
          <w:b/>
          <w:i/>
          <w:iCs/>
          <w:sz w:val="22"/>
          <w:szCs w:val="22"/>
        </w:rPr>
        <w:t>puede llegar a poner en riesgo la garantía del derecho pensional para los actua</w:t>
      </w:r>
      <w:r>
        <w:rPr>
          <w:rFonts w:ascii="Arial" w:hAnsi="Arial"/>
          <w:b/>
          <w:i/>
          <w:iCs/>
          <w:sz w:val="22"/>
          <w:szCs w:val="22"/>
        </w:rPr>
        <w:t>les y futuros pensionados que sí</w:t>
      </w:r>
      <w:r w:rsidRPr="00C31E27">
        <w:rPr>
          <w:rFonts w:ascii="Arial" w:hAnsi="Arial"/>
          <w:b/>
          <w:i/>
          <w:iCs/>
          <w:sz w:val="22"/>
          <w:szCs w:val="22"/>
        </w:rPr>
        <w:t xml:space="preserve"> lo hicieron.</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b/>
          <w:i/>
          <w:iCs/>
          <w:sz w:val="22"/>
          <w:szCs w:val="22"/>
        </w:rPr>
      </w:pPr>
      <w:r w:rsidRPr="00C31E27">
        <w:rPr>
          <w:rFonts w:ascii="Arial" w:hAnsi="Arial"/>
          <w:b/>
          <w:i/>
          <w:iCs/>
          <w:sz w:val="22"/>
          <w:szCs w:val="22"/>
        </w:rPr>
        <w:lastRenderedPageBreak/>
        <w:t>TERCERO: REALIDAD NORMATIVA SOBRE LA SUPUESTA FALTA DE INFORMACIÓN QUE GENERA LA INEFICACIA DE LOS TRASLADOS (ARTÍCULO 11 DEL DECRETO 692 DE 1994 HOY 2.2.2.1.8 DEL D.U.R 1833/2016)</w:t>
      </w:r>
    </w:p>
    <w:p w:rsidR="000058B8" w:rsidRPr="00C31E27" w:rsidRDefault="000058B8" w:rsidP="000058B8">
      <w:pPr>
        <w:ind w:right="51"/>
        <w:jc w:val="both"/>
        <w:rPr>
          <w:rFonts w:ascii="Arial" w:hAnsi="Arial"/>
          <w:b/>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Se viene insistiendo reiteradamente en que la ineficacia del traslado se genera porque los Fondos Privados no dieron la suficiente y clara información a las personas que les permitiera tomar una libre decisión informada.</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 xml:space="preserve">Tal afirmación, no responde a la realidad. La reglamentación que dio desarrollo a la ley 100 de 1993 fue específica sobre el contenido de los formularios de afiliación y los traslados, de manera tal que </w:t>
      </w:r>
      <w:r w:rsidRPr="00C31E27">
        <w:rPr>
          <w:rFonts w:ascii="Arial" w:hAnsi="Arial"/>
          <w:b/>
          <w:i/>
          <w:iCs/>
          <w:sz w:val="22"/>
          <w:szCs w:val="22"/>
        </w:rPr>
        <w:t>las AFP –que también son sujetos con derechos y a quienes también debe respetárseles el principio de confianza legítima</w:t>
      </w:r>
      <w:r w:rsidRPr="00C31E27">
        <w:rPr>
          <w:rFonts w:ascii="Arial" w:hAnsi="Arial"/>
          <w:i/>
          <w:iCs/>
          <w:sz w:val="22"/>
          <w:szCs w:val="22"/>
        </w:rPr>
        <w:t xml:space="preserve">-, simplemente siguieron las indicaciones que sobre estos temas fueron señaladas en el decreto 692 de 1994, así:   </w:t>
      </w:r>
    </w:p>
    <w:p w:rsidR="000058B8" w:rsidRPr="00C31E27" w:rsidRDefault="000058B8" w:rsidP="000058B8">
      <w:pPr>
        <w:ind w:right="51"/>
        <w:jc w:val="both"/>
        <w:rPr>
          <w:rFonts w:ascii="Arial" w:hAnsi="Arial"/>
          <w:i/>
          <w:iCs/>
          <w:sz w:val="22"/>
          <w:szCs w:val="22"/>
        </w:rPr>
      </w:pPr>
    </w:p>
    <w:p w:rsidR="000058B8" w:rsidRPr="00C31E27" w:rsidRDefault="000058B8" w:rsidP="000058B8">
      <w:pPr>
        <w:ind w:left="426" w:right="335"/>
        <w:jc w:val="both"/>
        <w:rPr>
          <w:rFonts w:ascii="Arial" w:hAnsi="Arial"/>
          <w:i/>
          <w:iCs/>
          <w:sz w:val="20"/>
        </w:rPr>
      </w:pPr>
      <w:r w:rsidRPr="00C31E27">
        <w:rPr>
          <w:rFonts w:ascii="Helvetica" w:hAnsi="Helvetica" w:cs="Helvetica"/>
          <w:bCs/>
          <w:i/>
          <w:sz w:val="20"/>
          <w:lang w:val="es-ES"/>
        </w:rPr>
        <w:t>ARTICULO 11. DILIGENCIAMIENTO DE LA SELECCION Y VINCULACION.</w:t>
      </w:r>
      <w:bookmarkStart w:id="2" w:name="11"/>
      <w:bookmarkEnd w:id="2"/>
      <w:r w:rsidRPr="00C31E27">
        <w:rPr>
          <w:rFonts w:ascii="Helvetica" w:hAnsi="Helvetica" w:cs="Helvetica"/>
          <w:i/>
          <w:sz w:val="20"/>
          <w:lang w:val="es-ES"/>
        </w:rPr>
        <w:t> </w:t>
      </w:r>
      <w:r w:rsidRPr="00C31E27">
        <w:rPr>
          <w:rFonts w:ascii="Helvetica" w:hAnsi="Helvetica" w:cs="Helvetica"/>
          <w:bCs/>
          <w:i/>
          <w:sz w:val="20"/>
          <w:lang w:val="es-ES"/>
        </w:rPr>
        <w:t>&lt;Artículo compilado en el artículo </w:t>
      </w:r>
      <w:hyperlink r:id="rId8" w:anchor="2.2.2.1.8" w:history="1">
        <w:r w:rsidRPr="00C31E27">
          <w:rPr>
            <w:rStyle w:val="Hipervnculo"/>
            <w:rFonts w:ascii="Helvetica" w:hAnsi="Helvetica" w:cs="Helvetica"/>
            <w:bCs/>
            <w:i/>
            <w:sz w:val="20"/>
            <w:lang w:val="es-ES"/>
          </w:rPr>
          <w:t>2.2.2.1.8</w:t>
        </w:r>
      </w:hyperlink>
      <w:r w:rsidRPr="00C31E27">
        <w:rPr>
          <w:rFonts w:ascii="Helvetica" w:hAnsi="Helvetica" w:cs="Helvetica"/>
          <w:bCs/>
          <w:i/>
          <w:sz w:val="20"/>
          <w:lang w:val="es-ES"/>
        </w:rPr>
        <w:t> del Decreto Único Reglamentario 1833 de 2016.</w:t>
      </w:r>
      <w:r w:rsidRPr="00C31E27">
        <w:rPr>
          <w:rFonts w:ascii="Helvetica" w:hAnsi="Helvetica" w:cs="Helvetica"/>
          <w:b/>
          <w:bCs/>
          <w:i/>
          <w:color w:val="004C91"/>
          <w:sz w:val="20"/>
          <w:lang w:val="es-ES"/>
        </w:rPr>
        <w:t> </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La selección del régimen implica la aceptación de las condiciones propias de éste, para acceder a las pensiones de vejez, invalidez y sobrevivientes, y demás prestaciones económicas a que haya lugar.</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Quienes decidan afiliarse voluntariamente al sistema, manifestarán su decisión al momento de vincularse a una determinada administradora.</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a) Lugar y fecha;</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b) Nombre o razón social y NIT del empleador;</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c) Nombre y apellidos del afiliado;</w:t>
      </w: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d) Número de cédula o NIT del afiliado;</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e) Entidad administradora del régimen de pensiones a la cual desea afiliarse, la cual podrá estar preimpresa;</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f) Datos del cónyuge, compañero o compañera permanente, hijos o beneficiarios del afiliado.</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El formulario deberá diligenciarse en original y dos copias, cuya distribución será la siguiente: el original para la administradora, una copia para el empleador y otra para el afiliado.</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0058B8" w:rsidRPr="00C31E27" w:rsidRDefault="000058B8" w:rsidP="000058B8">
      <w:pPr>
        <w:ind w:left="426" w:right="335"/>
        <w:jc w:val="both"/>
        <w:rPr>
          <w:rFonts w:ascii="Arial" w:hAnsi="Arial"/>
          <w:i/>
          <w:iCs/>
          <w:sz w:val="20"/>
        </w:rPr>
      </w:pPr>
    </w:p>
    <w:p w:rsidR="000058B8" w:rsidRDefault="000058B8" w:rsidP="000058B8">
      <w:pPr>
        <w:ind w:left="426" w:right="335"/>
        <w:jc w:val="both"/>
        <w:rPr>
          <w:rFonts w:ascii="Helvetica" w:hAnsi="Helvetica" w:cs="Helvetica"/>
          <w:b/>
          <w:i/>
          <w:color w:val="000000"/>
          <w:sz w:val="20"/>
          <w:lang w:val="es-ES"/>
        </w:rPr>
      </w:pPr>
      <w:r w:rsidRPr="00C31E27">
        <w:rPr>
          <w:rFonts w:ascii="Helvetica" w:hAnsi="Helvetica" w:cs="Helvetica"/>
          <w:b/>
          <w:i/>
          <w:color w:val="000000"/>
          <w:sz w:val="20"/>
          <w:lang w:val="es-ES"/>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rsidR="000058B8" w:rsidRDefault="000058B8" w:rsidP="000058B8">
      <w:pPr>
        <w:ind w:left="426" w:right="335"/>
        <w:jc w:val="both"/>
        <w:rPr>
          <w:rFonts w:ascii="Helvetica" w:hAnsi="Helvetica" w:cs="Helvetica"/>
          <w:b/>
          <w:i/>
          <w:color w:val="000000"/>
          <w:sz w:val="20"/>
          <w:lang w:val="es-ES"/>
        </w:rPr>
      </w:pPr>
    </w:p>
    <w:p w:rsidR="000058B8" w:rsidRPr="00C31E27" w:rsidRDefault="000058B8" w:rsidP="000058B8">
      <w:pPr>
        <w:ind w:left="426" w:right="335"/>
        <w:jc w:val="both"/>
        <w:rPr>
          <w:rFonts w:ascii="Arial" w:hAnsi="Arial"/>
          <w:i/>
          <w:iCs/>
          <w:sz w:val="20"/>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Nótese como, no solo la norma dispuso la información que debía contener el formulario sino que, tratándose de traslados, advirtió que debería haber una leyenda expresa –</w:t>
      </w:r>
      <w:r w:rsidRPr="00C31E27">
        <w:rPr>
          <w:rFonts w:ascii="Arial" w:hAnsi="Arial"/>
          <w:b/>
          <w:i/>
          <w:iCs/>
          <w:sz w:val="22"/>
          <w:szCs w:val="22"/>
        </w:rPr>
        <w:t>que podía estar preimpresa</w:t>
      </w:r>
      <w:r w:rsidRPr="00C31E27">
        <w:rPr>
          <w:rFonts w:ascii="Arial" w:hAnsi="Arial"/>
          <w:i/>
          <w:iCs/>
          <w:sz w:val="22"/>
          <w:szCs w:val="22"/>
        </w:rPr>
        <w:t>- en la cual constara que la decisión de traslado se tomó de manera libre, espontánea y sin presiones.</w:t>
      </w:r>
    </w:p>
    <w:p w:rsidR="000058B8" w:rsidRPr="00C31E27" w:rsidRDefault="000058B8" w:rsidP="000058B8">
      <w:pPr>
        <w:ind w:right="51"/>
        <w:jc w:val="both"/>
        <w:rPr>
          <w:rFonts w:ascii="Arial" w:hAnsi="Arial"/>
          <w:i/>
          <w:iCs/>
          <w:sz w:val="22"/>
          <w:szCs w:val="22"/>
        </w:rPr>
      </w:pPr>
    </w:p>
    <w:p w:rsidR="000058B8" w:rsidRPr="00C31E27" w:rsidRDefault="000058B8" w:rsidP="000058B8">
      <w:pPr>
        <w:jc w:val="both"/>
        <w:rPr>
          <w:rFonts w:ascii="Arial" w:hAnsi="Arial"/>
          <w:i/>
          <w:iCs/>
          <w:sz w:val="22"/>
          <w:szCs w:val="22"/>
        </w:rPr>
      </w:pPr>
      <w:r w:rsidRPr="00C31E27">
        <w:rPr>
          <w:rFonts w:ascii="Arial" w:hAnsi="Arial"/>
          <w:i/>
          <w:iCs/>
          <w:sz w:val="22"/>
          <w:szCs w:val="22"/>
        </w:rPr>
        <w:lastRenderedPageBreak/>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0058B8" w:rsidRPr="00C31E27" w:rsidRDefault="000058B8" w:rsidP="000058B8">
      <w:pPr>
        <w:jc w:val="both"/>
        <w:rPr>
          <w:rFonts w:ascii="Arial" w:hAnsi="Arial"/>
          <w:i/>
          <w:iCs/>
          <w:sz w:val="22"/>
          <w:szCs w:val="22"/>
        </w:rPr>
      </w:pPr>
    </w:p>
    <w:p w:rsidR="000058B8" w:rsidRPr="00C31E27" w:rsidRDefault="000058B8" w:rsidP="000058B8">
      <w:pPr>
        <w:jc w:val="both"/>
        <w:rPr>
          <w:rFonts w:ascii="Arial" w:hAnsi="Arial"/>
          <w:i/>
          <w:iCs/>
          <w:sz w:val="22"/>
          <w:szCs w:val="22"/>
        </w:rPr>
      </w:pPr>
      <w:r w:rsidRPr="00C31E27">
        <w:rPr>
          <w:rFonts w:ascii="Arial" w:hAnsi="Arial"/>
          <w:i/>
          <w:iCs/>
          <w:sz w:val="22"/>
          <w:szCs w:val="22"/>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0058B8" w:rsidRPr="00C31E27" w:rsidRDefault="000058B8" w:rsidP="000058B8">
      <w:pPr>
        <w:jc w:val="both"/>
        <w:rPr>
          <w:rFonts w:ascii="Arial" w:hAnsi="Arial"/>
          <w:i/>
          <w:iCs/>
          <w:sz w:val="22"/>
          <w:szCs w:val="22"/>
        </w:rPr>
      </w:pPr>
    </w:p>
    <w:p w:rsidR="000058B8" w:rsidRPr="00C31E27" w:rsidRDefault="000058B8" w:rsidP="000058B8">
      <w:pPr>
        <w:jc w:val="both"/>
        <w:rPr>
          <w:rFonts w:ascii="Arial" w:hAnsi="Arial" w:cs="Arial"/>
          <w:i/>
          <w:sz w:val="22"/>
          <w:szCs w:val="22"/>
        </w:rPr>
      </w:pPr>
      <w:r w:rsidRPr="00C31E27">
        <w:rPr>
          <w:rFonts w:ascii="Arial" w:hAnsi="Arial"/>
          <w:i/>
          <w:iCs/>
          <w:sz w:val="22"/>
          <w:szCs w:val="22"/>
        </w:rPr>
        <w:t xml:space="preserve">En efecto, </w:t>
      </w:r>
      <w:r w:rsidRPr="00C31E27">
        <w:rPr>
          <w:rFonts w:ascii="Arial" w:hAnsi="Arial" w:cs="Arial"/>
          <w:i/>
          <w:sz w:val="22"/>
          <w:szCs w:val="22"/>
        </w:rPr>
        <w:t>resulta claro que la obligación de hacer proyecciones, apenas vino a imponerse a las administradoras con la ley 1748 de 2014, en cuyo parágrafo 1º del artículo 2º se destaca:</w:t>
      </w:r>
    </w:p>
    <w:p w:rsidR="000058B8" w:rsidRPr="00C31E27" w:rsidRDefault="000058B8" w:rsidP="000058B8">
      <w:pPr>
        <w:jc w:val="both"/>
        <w:rPr>
          <w:rFonts w:ascii="Arial" w:hAnsi="Arial" w:cs="Arial"/>
          <w:i/>
          <w:sz w:val="22"/>
          <w:szCs w:val="22"/>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b/>
          <w:bCs/>
          <w:i/>
          <w:sz w:val="20"/>
          <w:lang w:val="es-ES"/>
        </w:rPr>
        <w:t>“PARÁGRAFO 1o.</w:t>
      </w:r>
      <w:r w:rsidRPr="00C31E27">
        <w:rPr>
          <w:rFonts w:ascii="Arial" w:hAnsi="Arial" w:cs="Arial"/>
          <w:i/>
          <w:sz w:val="20"/>
          <w:lang w:val="es-ES"/>
        </w:rPr>
        <w:t> Adicionar un inciso 2o al artículo </w:t>
      </w:r>
      <w:hyperlink r:id="rId9" w:anchor="9" w:history="1">
        <w:r w:rsidRPr="00C31E27">
          <w:rPr>
            <w:rStyle w:val="Hipervnculo"/>
            <w:rFonts w:ascii="Arial" w:hAnsi="Arial" w:cs="Arial"/>
            <w:i/>
            <w:sz w:val="20"/>
            <w:lang w:val="es-ES"/>
          </w:rPr>
          <w:t>9</w:t>
        </w:r>
      </w:hyperlink>
      <w:r w:rsidRPr="00C31E27">
        <w:rPr>
          <w:rFonts w:ascii="Arial" w:hAnsi="Arial" w:cs="Arial"/>
          <w:i/>
          <w:sz w:val="20"/>
          <w:lang w:val="es-ES"/>
        </w:rPr>
        <w:t>o de la Ley 1328 de 2009, que regula el contenido mínimo de la información al consumidor financiero, cuyo texto es el siguiente:</w:t>
      </w:r>
    </w:p>
    <w:p w:rsidR="000058B8" w:rsidRPr="00C31E27" w:rsidRDefault="000058B8" w:rsidP="000058B8">
      <w:pPr>
        <w:ind w:left="708" w:right="476"/>
        <w:jc w:val="both"/>
        <w:rPr>
          <w:rFonts w:ascii="Arial" w:hAnsi="Arial" w:cs="Arial"/>
          <w:i/>
          <w:sz w:val="20"/>
          <w:lang w:val="es-ES"/>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C31E27">
        <w:rPr>
          <w:rFonts w:ascii="Arial" w:hAnsi="Arial" w:cs="Arial"/>
          <w:b/>
          <w:i/>
          <w:sz w:val="20"/>
          <w:lang w:val="es-ES"/>
        </w:rPr>
        <w:t>Lo anterior de conformidad con las instrucciones que para el efecto imparta la Superintendencia Financiera de Colombia</w:t>
      </w:r>
      <w:r w:rsidRPr="00C31E27">
        <w:rPr>
          <w:rFonts w:ascii="Arial" w:hAnsi="Arial" w:cs="Arial"/>
          <w:i/>
          <w:sz w:val="20"/>
          <w:lang w:val="es-ES"/>
        </w:rPr>
        <w:t>.”</w:t>
      </w:r>
    </w:p>
    <w:p w:rsidR="000058B8" w:rsidRPr="00C31E27" w:rsidRDefault="000058B8" w:rsidP="000058B8">
      <w:pPr>
        <w:jc w:val="both"/>
        <w:rPr>
          <w:rFonts w:ascii="Arial" w:hAnsi="Arial" w:cs="Arial"/>
          <w:i/>
          <w:sz w:val="22"/>
          <w:szCs w:val="22"/>
        </w:rPr>
      </w:pPr>
    </w:p>
    <w:p w:rsidR="000058B8" w:rsidRPr="00C31E27" w:rsidRDefault="000058B8" w:rsidP="000058B8">
      <w:pPr>
        <w:jc w:val="both"/>
        <w:rPr>
          <w:rFonts w:ascii="Arial" w:hAnsi="Arial" w:cs="Arial"/>
          <w:i/>
          <w:sz w:val="22"/>
          <w:szCs w:val="22"/>
        </w:rPr>
      </w:pPr>
      <w:r w:rsidRPr="00C31E27">
        <w:rPr>
          <w:rFonts w:ascii="Arial" w:hAnsi="Arial" w:cs="Arial"/>
          <w:i/>
          <w:sz w:val="22"/>
          <w:szCs w:val="22"/>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0058B8" w:rsidRPr="00C31E27" w:rsidRDefault="000058B8" w:rsidP="000058B8">
      <w:pPr>
        <w:jc w:val="both"/>
        <w:rPr>
          <w:rFonts w:ascii="Arial" w:hAnsi="Arial" w:cs="Arial"/>
          <w:i/>
          <w:sz w:val="22"/>
          <w:szCs w:val="22"/>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0058B8" w:rsidRPr="00C31E27" w:rsidRDefault="000058B8" w:rsidP="000058B8">
      <w:pPr>
        <w:ind w:left="708" w:right="476"/>
        <w:jc w:val="both"/>
        <w:rPr>
          <w:rFonts w:ascii="Arial" w:hAnsi="Arial" w:cs="Arial"/>
          <w:i/>
          <w:sz w:val="20"/>
          <w:lang w:val="es-ES"/>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0058B8" w:rsidRPr="00C31E27" w:rsidRDefault="000058B8" w:rsidP="000058B8">
      <w:pPr>
        <w:ind w:left="708" w:right="476"/>
        <w:jc w:val="both"/>
        <w:rPr>
          <w:rFonts w:ascii="Arial" w:hAnsi="Arial" w:cs="Arial"/>
          <w:i/>
          <w:sz w:val="20"/>
          <w:lang w:val="es-ES"/>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p>
    <w:p w:rsidR="000058B8" w:rsidRPr="00C31E27" w:rsidRDefault="000058B8" w:rsidP="000058B8">
      <w:pPr>
        <w:ind w:left="708"/>
        <w:jc w:val="both"/>
        <w:rPr>
          <w:rFonts w:ascii="Arial" w:hAnsi="Arial" w:cs="Arial"/>
          <w:i/>
          <w:sz w:val="22"/>
          <w:szCs w:val="22"/>
          <w:lang w:val="es-ES"/>
        </w:rPr>
      </w:pPr>
    </w:p>
    <w:p w:rsidR="000058B8" w:rsidRPr="00C31E27" w:rsidRDefault="000058B8" w:rsidP="000058B8">
      <w:pPr>
        <w:jc w:val="both"/>
        <w:rPr>
          <w:rFonts w:ascii="Arial" w:hAnsi="Arial" w:cs="Arial"/>
          <w:i/>
          <w:sz w:val="22"/>
          <w:szCs w:val="22"/>
          <w:lang w:val="es-ES"/>
        </w:rPr>
      </w:pPr>
      <w:r w:rsidRPr="00C31E27">
        <w:rPr>
          <w:rFonts w:ascii="Arial" w:hAnsi="Arial" w:cs="Arial"/>
          <w:i/>
          <w:sz w:val="22"/>
          <w:szCs w:val="22"/>
        </w:rPr>
        <w:t>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que “p</w:t>
      </w:r>
      <w:r w:rsidRPr="00C31E27">
        <w:rPr>
          <w:rFonts w:ascii="Arial" w:hAnsi="Arial" w:cs="Arial"/>
          <w:i/>
          <w:sz w:val="22"/>
          <w:szCs w:val="22"/>
          <w:lang w:val="es-ES"/>
        </w:rPr>
        <w:t>ara el caso de la proyección del beneficio pensional en el Régimen de Ahorro Individual con Solidaridad, la Administradora deberá realizar una asesoría en los términos descritos en el artículo 2.6.10.4.3 del presente decreto”; aspecto que pone de manifiesto que antes del decreto en comento, las Administradoras no tenían mecanismo para dar tal información pues es, este artículo 2.6.10.4.3., el que establece los parámetros técnicos para poder cumplir tal cometido, al disponer:</w:t>
      </w:r>
    </w:p>
    <w:p w:rsidR="000058B8" w:rsidRPr="00C31E27" w:rsidRDefault="000058B8" w:rsidP="000058B8">
      <w:pPr>
        <w:jc w:val="both"/>
        <w:rPr>
          <w:rFonts w:ascii="Arial" w:hAnsi="Arial" w:cs="Arial"/>
          <w:i/>
          <w:sz w:val="22"/>
          <w:szCs w:val="22"/>
          <w:lang w:val="es-ES"/>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lastRenderedPageBreak/>
        <w:t>“</w:t>
      </w:r>
      <w:r w:rsidRPr="00C31E27">
        <w:rPr>
          <w:rFonts w:ascii="Arial" w:hAnsi="Arial" w:cs="Arial"/>
          <w:b/>
          <w:bCs/>
          <w:i/>
          <w:sz w:val="20"/>
          <w:lang w:val="es-ES"/>
        </w:rPr>
        <w:t>Artículo 2.6.10.4.3. </w:t>
      </w:r>
      <w:r w:rsidRPr="00C31E27">
        <w:rPr>
          <w:rFonts w:ascii="Arial" w:hAnsi="Arial" w:cs="Arial"/>
          <w:b/>
          <w:bCs/>
          <w:i/>
          <w:iCs/>
          <w:sz w:val="20"/>
          <w:lang w:val="es-ES"/>
        </w:rPr>
        <w:t>Proyección del beneficio pensional en el Régimen de Ahorro Individual con Solidaridad. </w:t>
      </w:r>
      <w:r w:rsidRPr="00C31E27">
        <w:rPr>
          <w:rFonts w:ascii="Arial" w:hAnsi="Arial" w:cs="Arial"/>
          <w:i/>
          <w:sz w:val="20"/>
          <w:lang w:val="es-ES"/>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rsidR="000058B8" w:rsidRPr="00C31E27" w:rsidRDefault="000058B8" w:rsidP="000058B8">
      <w:pPr>
        <w:ind w:left="708" w:right="476"/>
        <w:jc w:val="both"/>
        <w:rPr>
          <w:rFonts w:ascii="Arial" w:hAnsi="Arial" w:cs="Arial"/>
          <w:i/>
          <w:sz w:val="20"/>
          <w:lang w:val="es-ES"/>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Las administradoras deberán indicar de manera expresa al afiliado que la simulación corresponde a la modalidad de pensión de retiro programado, calculada con base en las cotizaciones obligatorias y no incluye aportes voluntarios.</w:t>
      </w:r>
    </w:p>
    <w:p w:rsidR="000058B8" w:rsidRPr="00C31E27" w:rsidRDefault="000058B8" w:rsidP="000058B8">
      <w:pPr>
        <w:ind w:left="708" w:right="476"/>
        <w:jc w:val="both"/>
        <w:rPr>
          <w:rFonts w:ascii="Arial" w:hAnsi="Arial" w:cs="Arial"/>
          <w:i/>
          <w:sz w:val="20"/>
          <w:lang w:val="es-ES"/>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Para el cálculo de la proyección antes mencionada se deberán tener en cuenta los siguientes parámetros técnicos:</w:t>
      </w:r>
    </w:p>
    <w:p w:rsidR="000058B8" w:rsidRPr="00C31E27" w:rsidRDefault="000058B8" w:rsidP="000058B8">
      <w:pPr>
        <w:ind w:left="708" w:right="476"/>
        <w:jc w:val="both"/>
        <w:rPr>
          <w:rFonts w:ascii="Arial" w:hAnsi="Arial" w:cs="Arial"/>
          <w:i/>
          <w:sz w:val="20"/>
          <w:lang w:val="es-ES"/>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a) La tasa de interés técnico que se encuentra establecida por la Superintendencia Financiera de Colombia o la que la modifique o sustituya;</w:t>
      </w: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b) Las tablas de mortalidad de rentistas y de inválidos expedidas por la Superintendencia Financiera de Colombia;</w:t>
      </w: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c) Las tasas de inflación y crecimiento de los beneficios pensionales;</w:t>
      </w: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d) Demás parámetros y supuestos que imparta sobre el particular la Superintendencia Financiera de Colombia.</w:t>
      </w:r>
    </w:p>
    <w:p w:rsidR="000058B8" w:rsidRPr="00C31E27" w:rsidRDefault="000058B8" w:rsidP="000058B8">
      <w:pPr>
        <w:ind w:left="708"/>
        <w:jc w:val="both"/>
        <w:rPr>
          <w:rFonts w:ascii="Arial" w:hAnsi="Arial" w:cs="Arial"/>
          <w:i/>
          <w:sz w:val="20"/>
          <w:lang w:val="es-ES"/>
        </w:rPr>
      </w:pPr>
    </w:p>
    <w:p w:rsidR="000058B8" w:rsidRPr="00C31E27" w:rsidRDefault="000058B8" w:rsidP="000058B8">
      <w:pPr>
        <w:jc w:val="both"/>
        <w:rPr>
          <w:rFonts w:ascii="Arial" w:hAnsi="Arial" w:cs="Arial"/>
          <w:i/>
          <w:sz w:val="20"/>
        </w:rPr>
      </w:pPr>
      <w:r w:rsidRPr="00C31E27">
        <w:rPr>
          <w:rFonts w:ascii="Arial" w:hAnsi="Arial" w:cs="Arial"/>
          <w:i/>
          <w:sz w:val="20"/>
        </w:rPr>
        <w:t>Para finalmente concluirse en el parágrafo 2º que:</w:t>
      </w:r>
    </w:p>
    <w:p w:rsidR="000058B8" w:rsidRPr="00C31E27" w:rsidRDefault="000058B8" w:rsidP="000058B8">
      <w:pPr>
        <w:jc w:val="both"/>
        <w:rPr>
          <w:rFonts w:ascii="Arial" w:hAnsi="Arial" w:cs="Arial"/>
          <w:i/>
          <w:sz w:val="20"/>
        </w:rPr>
      </w:pPr>
    </w:p>
    <w:p w:rsidR="000058B8" w:rsidRPr="00C31E27" w:rsidRDefault="000058B8" w:rsidP="000058B8">
      <w:pPr>
        <w:ind w:left="708" w:right="476"/>
        <w:jc w:val="both"/>
        <w:rPr>
          <w:rFonts w:ascii="Arial" w:hAnsi="Arial" w:cs="Arial"/>
          <w:i/>
          <w:sz w:val="20"/>
        </w:rPr>
      </w:pPr>
      <w:r w:rsidRPr="00C31E27">
        <w:rPr>
          <w:rFonts w:ascii="Arial" w:hAnsi="Arial" w:cs="Arial"/>
          <w:b/>
          <w:bCs/>
          <w:i/>
          <w:sz w:val="20"/>
        </w:rPr>
        <w:t>“Parágrafo 2°. </w:t>
      </w:r>
      <w:r w:rsidRPr="00C31E27">
        <w:rPr>
          <w:rFonts w:ascii="Arial" w:hAnsi="Arial" w:cs="Arial"/>
          <w:i/>
          <w:sz w:val="20"/>
        </w:rPr>
        <w:t xml:space="preserve">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rsidR="000058B8" w:rsidRPr="00C31E27" w:rsidRDefault="000058B8" w:rsidP="000058B8">
      <w:pPr>
        <w:jc w:val="both"/>
        <w:rPr>
          <w:rFonts w:ascii="Arial" w:hAnsi="Arial" w:cs="Arial"/>
          <w:i/>
          <w:sz w:val="22"/>
          <w:szCs w:val="22"/>
        </w:rPr>
      </w:pPr>
    </w:p>
    <w:p w:rsidR="000058B8" w:rsidRPr="00C31E27" w:rsidRDefault="000058B8" w:rsidP="000058B8">
      <w:pPr>
        <w:ind w:right="51"/>
        <w:jc w:val="both"/>
        <w:rPr>
          <w:rFonts w:ascii="Arial" w:hAnsi="Arial" w:cs="Arial"/>
          <w:i/>
          <w:sz w:val="22"/>
          <w:szCs w:val="22"/>
        </w:rPr>
      </w:pPr>
      <w:r w:rsidRPr="00C31E27">
        <w:rPr>
          <w:rFonts w:ascii="Arial" w:hAnsi="Arial" w:cs="Arial"/>
          <w:i/>
          <w:sz w:val="22"/>
          <w:szCs w:val="22"/>
        </w:rPr>
        <w:t>Salta a la vista entonces, que con anterioridad a estas normas, no estaban establecidos los parámetros que permitieran dar una información técnica a título de proyección y por ello tal obligación no puede exigirse en estos asuntos.</w:t>
      </w:r>
    </w:p>
    <w:p w:rsidR="000058B8" w:rsidRPr="00C31E27" w:rsidRDefault="000058B8" w:rsidP="000058B8">
      <w:pPr>
        <w:ind w:right="51"/>
        <w:jc w:val="both"/>
        <w:rPr>
          <w:rFonts w:ascii="Arial" w:hAnsi="Arial" w:cs="Arial"/>
          <w:i/>
          <w:sz w:val="22"/>
          <w:szCs w:val="22"/>
        </w:rPr>
      </w:pPr>
    </w:p>
    <w:p w:rsidR="000058B8" w:rsidRDefault="000058B8" w:rsidP="000058B8">
      <w:pPr>
        <w:ind w:right="51"/>
        <w:jc w:val="both"/>
        <w:rPr>
          <w:rFonts w:ascii="Arial" w:hAnsi="Arial" w:cs="Arial"/>
          <w:i/>
          <w:sz w:val="22"/>
          <w:szCs w:val="22"/>
        </w:rPr>
      </w:pPr>
      <w:r w:rsidRPr="00C31E27">
        <w:rPr>
          <w:rFonts w:ascii="Arial" w:hAnsi="Arial" w:cs="Arial"/>
          <w:i/>
          <w:sz w:val="22"/>
          <w:szCs w:val="22"/>
        </w:rPr>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rsidR="000058B8" w:rsidRDefault="000058B8" w:rsidP="000058B8">
      <w:pPr>
        <w:ind w:right="51"/>
        <w:jc w:val="both"/>
        <w:rPr>
          <w:rFonts w:ascii="Arial" w:hAnsi="Arial" w:cs="Arial"/>
          <w:i/>
          <w:sz w:val="22"/>
          <w:szCs w:val="22"/>
        </w:rPr>
      </w:pPr>
    </w:p>
    <w:p w:rsidR="000058B8" w:rsidRDefault="000058B8" w:rsidP="000058B8">
      <w:pPr>
        <w:ind w:right="51"/>
        <w:jc w:val="both"/>
        <w:rPr>
          <w:rFonts w:ascii="Arial" w:hAnsi="Arial" w:cs="Arial"/>
          <w:szCs w:val="24"/>
        </w:rPr>
      </w:pPr>
      <w:r w:rsidRPr="00F654C2">
        <w:rPr>
          <w:rFonts w:ascii="Arial" w:hAnsi="Arial" w:cs="Arial"/>
          <w:szCs w:val="24"/>
        </w:rPr>
        <w:t xml:space="preserve">Y, más adelante se refirió a la diferencia que existe entre los eventos de ineficacia y nulidad de los traslados de régimen, así: </w:t>
      </w:r>
    </w:p>
    <w:p w:rsidR="000058B8" w:rsidRDefault="000058B8" w:rsidP="000058B8">
      <w:pPr>
        <w:ind w:right="51"/>
        <w:jc w:val="both"/>
        <w:rPr>
          <w:rFonts w:ascii="Arial" w:hAnsi="Arial" w:cs="Arial"/>
          <w:szCs w:val="24"/>
        </w:rPr>
      </w:pPr>
    </w:p>
    <w:p w:rsidR="000058B8" w:rsidRPr="00F654C2" w:rsidRDefault="000058B8" w:rsidP="000058B8">
      <w:pPr>
        <w:ind w:right="284"/>
        <w:jc w:val="both"/>
        <w:rPr>
          <w:rFonts w:ascii="Arial" w:hAnsi="Arial" w:cs="Arial"/>
          <w:i/>
          <w:sz w:val="22"/>
          <w:szCs w:val="22"/>
        </w:rPr>
      </w:pPr>
      <w:r>
        <w:rPr>
          <w:rFonts w:ascii="Arial" w:hAnsi="Arial" w:cs="Arial"/>
          <w:b/>
          <w:i/>
          <w:sz w:val="22"/>
          <w:szCs w:val="22"/>
        </w:rPr>
        <w:t>“</w:t>
      </w:r>
      <w:r w:rsidRPr="00F654C2">
        <w:rPr>
          <w:rFonts w:ascii="Arial" w:hAnsi="Arial" w:cs="Arial"/>
          <w:b/>
          <w:i/>
          <w:sz w:val="22"/>
          <w:szCs w:val="22"/>
        </w:rPr>
        <w:t>IMPORTANCIA DE LA DIFERENCIACIÓN ENTRE LOS CASOS DE INEFICACIA Y LOS CASOS DE NULIDAD</w:t>
      </w:r>
    </w:p>
    <w:p w:rsidR="000058B8" w:rsidRPr="00F654C2" w:rsidRDefault="000058B8" w:rsidP="000058B8">
      <w:pPr>
        <w:ind w:right="284"/>
        <w:jc w:val="both"/>
        <w:rPr>
          <w:rFonts w:ascii="Arial" w:hAnsi="Arial" w:cs="Arial"/>
          <w:i/>
          <w:sz w:val="22"/>
          <w:szCs w:val="22"/>
        </w:rPr>
      </w:pPr>
    </w:p>
    <w:p w:rsidR="000058B8" w:rsidRDefault="000058B8" w:rsidP="000058B8">
      <w:pPr>
        <w:ind w:right="284"/>
        <w:jc w:val="both"/>
        <w:rPr>
          <w:rFonts w:ascii="Arial" w:hAnsi="Arial" w:cs="Arial"/>
          <w:i/>
          <w:sz w:val="22"/>
          <w:szCs w:val="22"/>
        </w:rPr>
      </w:pPr>
      <w:r w:rsidRPr="00F654C2">
        <w:rPr>
          <w:rFonts w:ascii="Arial" w:hAnsi="Arial" w:cs="Arial"/>
          <w:i/>
          <w:sz w:val="22"/>
          <w:szCs w:val="22"/>
        </w:rPr>
        <w:t xml:space="preserve">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w:t>
      </w:r>
      <w:r w:rsidRPr="00F654C2">
        <w:rPr>
          <w:rFonts w:ascii="Arial" w:hAnsi="Arial" w:cs="Arial"/>
          <w:i/>
          <w:sz w:val="22"/>
          <w:szCs w:val="22"/>
        </w:rPr>
        <w:lastRenderedPageBreak/>
        <w:t>Pública hiciera las inversiones que garantizaran los rendimientos necesarios para otorgar las prestaciones ofrecidas</w:t>
      </w:r>
      <w:r>
        <w:rPr>
          <w:rFonts w:ascii="Arial" w:hAnsi="Arial" w:cs="Arial"/>
          <w:i/>
          <w:sz w:val="22"/>
          <w:szCs w:val="22"/>
        </w:rPr>
        <w:t>”</w:t>
      </w:r>
      <w:r w:rsidRPr="00F654C2">
        <w:rPr>
          <w:rFonts w:ascii="Arial" w:hAnsi="Arial" w:cs="Arial"/>
          <w:i/>
          <w:sz w:val="22"/>
          <w:szCs w:val="22"/>
        </w:rPr>
        <w:t>.</w:t>
      </w:r>
    </w:p>
    <w:p w:rsidR="00ED0DAE" w:rsidRDefault="00ED0DAE" w:rsidP="000058B8">
      <w:pPr>
        <w:ind w:right="284"/>
        <w:jc w:val="both"/>
        <w:rPr>
          <w:rFonts w:ascii="Arial" w:hAnsi="Arial" w:cs="Arial"/>
          <w:i/>
          <w:sz w:val="22"/>
          <w:szCs w:val="22"/>
        </w:rPr>
      </w:pPr>
    </w:p>
    <w:p w:rsidR="000058B8" w:rsidRPr="007F2FCF"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 los problemas jurídicos</w:t>
      </w:r>
    </w:p>
    <w:p w:rsidR="000058B8" w:rsidRPr="007F2FCF" w:rsidRDefault="000058B8" w:rsidP="000058B8">
      <w:pPr>
        <w:pStyle w:val="Sinespaciado"/>
        <w:spacing w:line="276" w:lineRule="auto"/>
        <w:rPr>
          <w:rFonts w:ascii="Arial" w:hAnsi="Arial" w:cs="Arial"/>
          <w:color w:val="000000" w:themeColor="text1"/>
          <w:sz w:val="24"/>
          <w:szCs w:val="24"/>
        </w:rPr>
      </w:pPr>
    </w:p>
    <w:p w:rsidR="000058B8" w:rsidRPr="007F2FCF" w:rsidRDefault="000058B8" w:rsidP="000058B8">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Pr>
          <w:rFonts w:ascii="Arial" w:hAnsi="Arial" w:cs="Arial"/>
          <w:color w:val="000000" w:themeColor="text1"/>
          <w:szCs w:val="24"/>
          <w:lang w:eastAsia="es-CO"/>
        </w:rPr>
        <w:t xml:space="preserve"> la Sala formula los siguientes</w:t>
      </w:r>
      <w:r w:rsidRPr="007F2FCF">
        <w:rPr>
          <w:rFonts w:ascii="Arial" w:hAnsi="Arial" w:cs="Arial"/>
          <w:color w:val="000000" w:themeColor="text1"/>
          <w:szCs w:val="24"/>
          <w:lang w:eastAsia="es-CO"/>
        </w:rPr>
        <w:t>:</w:t>
      </w:r>
    </w:p>
    <w:p w:rsidR="000058B8" w:rsidRPr="007F2FCF" w:rsidRDefault="000058B8" w:rsidP="000058B8">
      <w:pPr>
        <w:shd w:val="clear" w:color="auto" w:fill="FFFFFF"/>
        <w:tabs>
          <w:tab w:val="left" w:pos="5197"/>
        </w:tabs>
        <w:spacing w:line="276" w:lineRule="auto"/>
        <w:jc w:val="both"/>
        <w:rPr>
          <w:rFonts w:ascii="Arial" w:hAnsi="Arial" w:cs="Arial"/>
          <w:color w:val="000000" w:themeColor="text1"/>
          <w:szCs w:val="24"/>
          <w:lang w:eastAsia="es-CO"/>
        </w:rPr>
      </w:pPr>
    </w:p>
    <w:p w:rsidR="000058B8" w:rsidRDefault="000058B8" w:rsidP="000058B8">
      <w:pPr>
        <w:pStyle w:val="Textoindependiente"/>
        <w:numPr>
          <w:ilvl w:val="1"/>
          <w:numId w:val="2"/>
        </w:numPr>
        <w:spacing w:line="276" w:lineRule="auto"/>
        <w:ind w:right="-93"/>
        <w:contextualSpacing/>
        <w:rPr>
          <w:iCs/>
          <w:color w:val="000000" w:themeColor="text1"/>
          <w:szCs w:val="24"/>
        </w:rPr>
      </w:pPr>
      <w:r w:rsidRPr="007F2FCF">
        <w:rPr>
          <w:iCs/>
          <w:color w:val="000000" w:themeColor="text1"/>
          <w:szCs w:val="24"/>
        </w:rPr>
        <w:t>¿</w:t>
      </w:r>
      <w:r w:rsidR="00803D80">
        <w:rPr>
          <w:iCs/>
          <w:color w:val="000000" w:themeColor="text1"/>
          <w:szCs w:val="24"/>
        </w:rPr>
        <w:t xml:space="preserve">La </w:t>
      </w:r>
      <w:r>
        <w:rPr>
          <w:iCs/>
          <w:color w:val="000000" w:themeColor="text1"/>
          <w:szCs w:val="24"/>
        </w:rPr>
        <w:t>señor</w:t>
      </w:r>
      <w:r w:rsidR="00803D80">
        <w:rPr>
          <w:iCs/>
          <w:color w:val="000000" w:themeColor="text1"/>
          <w:szCs w:val="24"/>
        </w:rPr>
        <w:t>a</w:t>
      </w:r>
      <w:r>
        <w:rPr>
          <w:iCs/>
          <w:color w:val="000000" w:themeColor="text1"/>
          <w:szCs w:val="24"/>
        </w:rPr>
        <w:t xml:space="preserve"> </w:t>
      </w:r>
      <w:r w:rsidR="00803D80">
        <w:rPr>
          <w:iCs/>
          <w:color w:val="000000" w:themeColor="text1"/>
          <w:szCs w:val="24"/>
        </w:rPr>
        <w:t>Gloria Lucía Cardona Giraldo es beneficiaria</w:t>
      </w:r>
      <w:r>
        <w:rPr>
          <w:iCs/>
          <w:color w:val="000000" w:themeColor="text1"/>
          <w:szCs w:val="24"/>
        </w:rPr>
        <w:t xml:space="preserve"> del régimen de transición previsto en la Ley 100  de 1993 y por tanto, se encuentra </w:t>
      </w:r>
      <w:r>
        <w:rPr>
          <w:iCs/>
          <w:color w:val="000000" w:themeColor="text1"/>
          <w:szCs w:val="24"/>
          <w:lang w:val="es-CO"/>
        </w:rPr>
        <w:t>legitimad</w:t>
      </w:r>
      <w:r w:rsidR="00803D80">
        <w:rPr>
          <w:iCs/>
          <w:color w:val="000000" w:themeColor="text1"/>
          <w:szCs w:val="24"/>
          <w:lang w:val="es-CO"/>
        </w:rPr>
        <w:t>a</w:t>
      </w:r>
      <w:r>
        <w:rPr>
          <w:iCs/>
          <w:color w:val="000000" w:themeColor="text1"/>
          <w:szCs w:val="24"/>
          <w:lang w:val="es-CO"/>
        </w:rPr>
        <w:t xml:space="preserve"> para solicitar </w:t>
      </w:r>
      <w:r>
        <w:rPr>
          <w:iCs/>
          <w:color w:val="000000" w:themeColor="text1"/>
          <w:szCs w:val="24"/>
        </w:rPr>
        <w:t xml:space="preserve">la ineficacia de su afiliación </w:t>
      </w:r>
      <w:r w:rsidRPr="007F2FCF">
        <w:rPr>
          <w:iCs/>
          <w:color w:val="000000" w:themeColor="text1"/>
          <w:szCs w:val="24"/>
        </w:rPr>
        <w:t>al Régimen de Ahorro Individual con Solidaridad?</w:t>
      </w:r>
    </w:p>
    <w:p w:rsidR="000058B8" w:rsidRDefault="000058B8" w:rsidP="000058B8">
      <w:pPr>
        <w:pStyle w:val="Textoindependiente"/>
        <w:spacing w:line="276" w:lineRule="auto"/>
        <w:ind w:left="720" w:right="-93"/>
        <w:contextualSpacing/>
        <w:rPr>
          <w:iCs/>
          <w:color w:val="000000" w:themeColor="text1"/>
          <w:szCs w:val="24"/>
        </w:rPr>
      </w:pPr>
    </w:p>
    <w:p w:rsidR="000058B8" w:rsidRDefault="000058B8" w:rsidP="000058B8">
      <w:pPr>
        <w:pStyle w:val="Textoindependiente"/>
        <w:numPr>
          <w:ilvl w:val="1"/>
          <w:numId w:val="2"/>
        </w:numPr>
        <w:spacing w:line="276" w:lineRule="auto"/>
        <w:ind w:right="-93"/>
        <w:contextualSpacing/>
        <w:rPr>
          <w:iCs/>
          <w:color w:val="000000" w:themeColor="text1"/>
          <w:szCs w:val="24"/>
        </w:rPr>
      </w:pPr>
      <w:r>
        <w:rPr>
          <w:iCs/>
          <w:color w:val="000000" w:themeColor="text1"/>
          <w:szCs w:val="24"/>
        </w:rPr>
        <w:t>Si la respuesta al anterior interrogante fuere negativa ¿Es viable declarar la nulidad de la afiliación por vicios en el consentimiento?</w:t>
      </w:r>
    </w:p>
    <w:p w:rsidR="000058B8" w:rsidRPr="007F2FCF" w:rsidRDefault="000058B8" w:rsidP="000058B8">
      <w:pPr>
        <w:pStyle w:val="Textoindependiente"/>
        <w:ind w:right="51"/>
        <w:rPr>
          <w:b/>
          <w:iCs/>
          <w:color w:val="000000" w:themeColor="text1"/>
          <w:szCs w:val="24"/>
        </w:rPr>
      </w:pPr>
    </w:p>
    <w:p w:rsidR="000058B8" w:rsidRDefault="000058B8" w:rsidP="000058B8">
      <w:pPr>
        <w:pStyle w:val="Textoindependiente"/>
        <w:numPr>
          <w:ilvl w:val="0"/>
          <w:numId w:val="2"/>
        </w:numPr>
        <w:spacing w:line="276" w:lineRule="auto"/>
        <w:contextualSpacing/>
        <w:rPr>
          <w:b/>
          <w:iCs/>
          <w:color w:val="000000" w:themeColor="text1"/>
          <w:szCs w:val="24"/>
        </w:rPr>
      </w:pPr>
      <w:r>
        <w:rPr>
          <w:b/>
          <w:iCs/>
          <w:color w:val="000000" w:themeColor="text1"/>
          <w:szCs w:val="24"/>
        </w:rPr>
        <w:t>Solución a los problemas jurídicos</w:t>
      </w:r>
      <w:r w:rsidRPr="007F2FCF">
        <w:rPr>
          <w:b/>
          <w:iCs/>
          <w:color w:val="000000" w:themeColor="text1"/>
          <w:szCs w:val="24"/>
        </w:rPr>
        <w:t xml:space="preserve"> </w:t>
      </w:r>
    </w:p>
    <w:p w:rsidR="000058B8" w:rsidRDefault="000058B8" w:rsidP="000058B8">
      <w:pPr>
        <w:pStyle w:val="Textoindependiente"/>
        <w:spacing w:line="276" w:lineRule="auto"/>
        <w:ind w:left="510"/>
        <w:contextualSpacing/>
        <w:rPr>
          <w:b/>
          <w:iCs/>
          <w:color w:val="000000" w:themeColor="text1"/>
          <w:szCs w:val="24"/>
        </w:rPr>
      </w:pPr>
    </w:p>
    <w:p w:rsidR="000058B8" w:rsidRPr="009C0FA8" w:rsidRDefault="000058B8" w:rsidP="000058B8">
      <w:pPr>
        <w:pStyle w:val="Textoindependiente"/>
        <w:numPr>
          <w:ilvl w:val="1"/>
          <w:numId w:val="2"/>
        </w:numPr>
        <w:spacing w:line="276" w:lineRule="auto"/>
        <w:contextualSpacing/>
        <w:rPr>
          <w:b/>
          <w:iCs/>
          <w:color w:val="000000" w:themeColor="text1"/>
          <w:szCs w:val="24"/>
        </w:rPr>
      </w:pPr>
      <w:r w:rsidRPr="009C0FA8">
        <w:rPr>
          <w:b/>
          <w:iCs/>
          <w:color w:val="000000" w:themeColor="text1"/>
          <w:szCs w:val="24"/>
        </w:rPr>
        <w:t xml:space="preserve">Del régimen de transición </w:t>
      </w:r>
    </w:p>
    <w:p w:rsidR="000058B8" w:rsidRDefault="000058B8" w:rsidP="000058B8">
      <w:pPr>
        <w:pStyle w:val="Textoindependiente"/>
        <w:ind w:right="51"/>
        <w:rPr>
          <w:b/>
          <w:iCs/>
          <w:color w:val="000000" w:themeColor="text1"/>
          <w:szCs w:val="24"/>
        </w:rPr>
      </w:pPr>
    </w:p>
    <w:p w:rsidR="000058B8" w:rsidRPr="007F2FCF" w:rsidRDefault="000058B8" w:rsidP="000058B8">
      <w:pPr>
        <w:pStyle w:val="Textoindependiente"/>
        <w:ind w:right="51"/>
        <w:rPr>
          <w:b/>
          <w:iCs/>
          <w:color w:val="000000" w:themeColor="text1"/>
          <w:szCs w:val="24"/>
        </w:rPr>
      </w:pPr>
      <w:r>
        <w:rPr>
          <w:b/>
          <w:iCs/>
          <w:color w:val="000000" w:themeColor="text1"/>
          <w:szCs w:val="24"/>
        </w:rPr>
        <w:t>2.1</w:t>
      </w:r>
      <w:r w:rsidRPr="007F2FCF">
        <w:rPr>
          <w:b/>
          <w:iCs/>
          <w:color w:val="000000" w:themeColor="text1"/>
          <w:szCs w:val="24"/>
        </w:rPr>
        <w:t>.1. Fundamento jurídico</w:t>
      </w:r>
    </w:p>
    <w:p w:rsidR="000058B8" w:rsidRDefault="000058B8" w:rsidP="000058B8">
      <w:pPr>
        <w:pStyle w:val="Textoindependiente"/>
        <w:ind w:right="51"/>
        <w:rPr>
          <w:b/>
          <w:iCs/>
          <w:color w:val="000000" w:themeColor="text1"/>
          <w:szCs w:val="24"/>
        </w:rPr>
      </w:pPr>
    </w:p>
    <w:p w:rsidR="000058B8" w:rsidRPr="00B11EBB" w:rsidRDefault="000058B8" w:rsidP="000058B8">
      <w:pPr>
        <w:shd w:val="clear" w:color="auto" w:fill="FFFFFF"/>
        <w:tabs>
          <w:tab w:val="left" w:pos="5197"/>
        </w:tabs>
        <w:spacing w:line="276" w:lineRule="auto"/>
        <w:contextualSpacing/>
        <w:jc w:val="both"/>
        <w:rPr>
          <w:rFonts w:ascii="Arial" w:hAnsi="Arial" w:cs="Arial"/>
          <w:color w:val="000000"/>
          <w:szCs w:val="24"/>
          <w:lang w:eastAsia="es-CO"/>
        </w:rPr>
      </w:pPr>
      <w:r w:rsidRPr="00B11EBB">
        <w:rPr>
          <w:rFonts w:ascii="Arial" w:hAnsi="Arial" w:cs="Arial"/>
          <w:iCs/>
          <w:color w:val="000000" w:themeColor="text1"/>
          <w:szCs w:val="24"/>
        </w:rPr>
        <w:t xml:space="preserve">El artículo 36 de la Ley 100 de 1993, dispone que para ser beneficiario del régimen de transición allí previsto se requiere </w:t>
      </w:r>
      <w:r w:rsidRPr="00B11EBB">
        <w:rPr>
          <w:rFonts w:ascii="Arial" w:hAnsi="Arial" w:cs="Arial"/>
          <w:color w:val="000000"/>
          <w:szCs w:val="24"/>
          <w:lang w:eastAsia="es-CO"/>
        </w:rPr>
        <w:t>que en el caso de l</w:t>
      </w:r>
      <w:r w:rsidR="00E67AFC">
        <w:rPr>
          <w:rFonts w:ascii="Arial" w:hAnsi="Arial" w:cs="Arial"/>
          <w:color w:val="000000"/>
          <w:szCs w:val="24"/>
          <w:lang w:eastAsia="es-CO"/>
        </w:rPr>
        <w:t>as</w:t>
      </w:r>
      <w:r w:rsidR="00ED0DAE">
        <w:rPr>
          <w:rFonts w:ascii="Arial" w:hAnsi="Arial" w:cs="Arial"/>
          <w:color w:val="000000"/>
          <w:szCs w:val="24"/>
          <w:lang w:eastAsia="es-CO"/>
        </w:rPr>
        <w:t xml:space="preserve"> </w:t>
      </w:r>
      <w:r w:rsidR="00E67AFC">
        <w:rPr>
          <w:rFonts w:ascii="Arial" w:hAnsi="Arial" w:cs="Arial"/>
          <w:color w:val="000000"/>
          <w:szCs w:val="24"/>
          <w:lang w:eastAsia="es-CO"/>
        </w:rPr>
        <w:t xml:space="preserve">mujeres </w:t>
      </w:r>
      <w:r w:rsidRPr="00B11EBB">
        <w:rPr>
          <w:rFonts w:ascii="Arial" w:hAnsi="Arial" w:cs="Arial"/>
          <w:color w:val="000000"/>
          <w:szCs w:val="24"/>
          <w:lang w:eastAsia="es-CO"/>
        </w:rPr>
        <w:t xml:space="preserve">al </w:t>
      </w:r>
      <w:r>
        <w:rPr>
          <w:rFonts w:ascii="Arial" w:hAnsi="Arial" w:cs="Arial"/>
          <w:color w:val="000000"/>
          <w:szCs w:val="24"/>
          <w:lang w:eastAsia="es-CO"/>
        </w:rPr>
        <w:t>0</w:t>
      </w:r>
      <w:r w:rsidRPr="00B11EBB">
        <w:rPr>
          <w:rFonts w:ascii="Arial" w:hAnsi="Arial" w:cs="Arial"/>
          <w:color w:val="000000"/>
          <w:szCs w:val="24"/>
          <w:lang w:eastAsia="es-CO"/>
        </w:rPr>
        <w:t>1</w:t>
      </w:r>
      <w:r>
        <w:rPr>
          <w:rFonts w:ascii="Arial" w:hAnsi="Arial" w:cs="Arial"/>
          <w:color w:val="000000"/>
          <w:szCs w:val="24"/>
          <w:lang w:eastAsia="es-CO"/>
        </w:rPr>
        <w:t>/04/</w:t>
      </w:r>
      <w:r w:rsidRPr="00B11EBB">
        <w:rPr>
          <w:rFonts w:ascii="Arial" w:hAnsi="Arial" w:cs="Arial"/>
          <w:color w:val="000000"/>
          <w:szCs w:val="24"/>
          <w:lang w:eastAsia="es-CO"/>
        </w:rPr>
        <w:t>1994 tuvieran 35 o más años de edad o 15 o más años de servicios cotizados.</w:t>
      </w:r>
    </w:p>
    <w:p w:rsidR="000058B8" w:rsidRDefault="000058B8" w:rsidP="000058B8">
      <w:pPr>
        <w:shd w:val="clear" w:color="auto" w:fill="FFFFFF"/>
        <w:tabs>
          <w:tab w:val="left" w:pos="5197"/>
        </w:tabs>
        <w:spacing w:line="276" w:lineRule="auto"/>
        <w:contextualSpacing/>
        <w:jc w:val="both"/>
        <w:rPr>
          <w:rFonts w:ascii="Arial" w:hAnsi="Arial" w:cs="Arial"/>
          <w:color w:val="000000"/>
          <w:szCs w:val="24"/>
          <w:lang w:eastAsia="es-CO"/>
        </w:rPr>
      </w:pPr>
    </w:p>
    <w:p w:rsidR="000058B8" w:rsidRDefault="000058B8" w:rsidP="000058B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su parte, el Acto Legislativo 01 de 2005, exige acreditar 750 semanas de cotización al 29 de julio de 2005, salvo para aquellas personas que eran beneficiarias de dicho régimen por cumplir la densidad de semanas cotizadas, de que trata la Ley 100/93.</w:t>
      </w:r>
    </w:p>
    <w:p w:rsidR="000058B8" w:rsidRDefault="000058B8" w:rsidP="000058B8">
      <w:pPr>
        <w:shd w:val="clear" w:color="auto" w:fill="FFFFFF"/>
        <w:tabs>
          <w:tab w:val="left" w:pos="5197"/>
        </w:tabs>
        <w:spacing w:line="276" w:lineRule="auto"/>
        <w:contextualSpacing/>
        <w:jc w:val="both"/>
        <w:rPr>
          <w:rFonts w:ascii="Arial" w:hAnsi="Arial" w:cs="Arial"/>
          <w:color w:val="000000"/>
          <w:szCs w:val="24"/>
          <w:lang w:eastAsia="es-CO"/>
        </w:rPr>
      </w:pPr>
    </w:p>
    <w:p w:rsidR="000058B8" w:rsidRDefault="000058B8" w:rsidP="000058B8">
      <w:pPr>
        <w:spacing w:line="276" w:lineRule="auto"/>
        <w:jc w:val="both"/>
        <w:rPr>
          <w:rFonts w:ascii="Arial" w:hAnsi="Arial" w:cs="Arial"/>
          <w:b/>
          <w:szCs w:val="24"/>
        </w:rPr>
      </w:pPr>
      <w:r w:rsidRPr="00E76252">
        <w:rPr>
          <w:rFonts w:ascii="Arial" w:hAnsi="Arial" w:cs="Arial"/>
          <w:b/>
          <w:szCs w:val="24"/>
        </w:rPr>
        <w:t>2.</w:t>
      </w:r>
      <w:r>
        <w:rPr>
          <w:rFonts w:ascii="Arial" w:hAnsi="Arial" w:cs="Arial"/>
          <w:b/>
          <w:szCs w:val="24"/>
        </w:rPr>
        <w:t>3</w:t>
      </w:r>
      <w:r w:rsidRPr="00E76252">
        <w:rPr>
          <w:rFonts w:ascii="Arial" w:hAnsi="Arial" w:cs="Arial"/>
          <w:b/>
          <w:szCs w:val="24"/>
        </w:rPr>
        <w:t>.2. Fundamento fáctico</w:t>
      </w:r>
    </w:p>
    <w:p w:rsidR="000058B8" w:rsidRDefault="000058B8" w:rsidP="000058B8">
      <w:pPr>
        <w:spacing w:line="276" w:lineRule="auto"/>
        <w:jc w:val="both"/>
        <w:rPr>
          <w:rFonts w:ascii="Arial" w:hAnsi="Arial" w:cs="Arial"/>
          <w:b/>
          <w:szCs w:val="24"/>
        </w:rPr>
      </w:pPr>
    </w:p>
    <w:p w:rsidR="000058B8" w:rsidRPr="00ED0DAE" w:rsidRDefault="00803D80" w:rsidP="00ED0DAE">
      <w:pPr>
        <w:shd w:val="clear" w:color="auto" w:fill="FFFFFF"/>
        <w:spacing w:line="276" w:lineRule="auto"/>
        <w:jc w:val="both"/>
        <w:rPr>
          <w:rFonts w:ascii="Arial" w:hAnsi="Arial" w:cs="Arial"/>
        </w:rPr>
      </w:pPr>
      <w:r>
        <w:rPr>
          <w:rFonts w:ascii="Arial" w:hAnsi="Arial" w:cs="Arial"/>
          <w:color w:val="000000"/>
          <w:szCs w:val="24"/>
          <w:lang w:eastAsia="es-CO"/>
        </w:rPr>
        <w:t xml:space="preserve">Para el 01/04/1994 </w:t>
      </w:r>
      <w:r w:rsidR="00ED0DAE">
        <w:rPr>
          <w:rFonts w:ascii="Arial" w:hAnsi="Arial" w:cs="Arial"/>
          <w:color w:val="000000"/>
          <w:szCs w:val="24"/>
          <w:lang w:eastAsia="es-CO"/>
        </w:rPr>
        <w:t>l</w:t>
      </w:r>
      <w:r>
        <w:rPr>
          <w:rFonts w:ascii="Arial" w:hAnsi="Arial" w:cs="Arial"/>
          <w:color w:val="000000"/>
          <w:szCs w:val="24"/>
          <w:lang w:eastAsia="es-CO"/>
        </w:rPr>
        <w:t>a</w:t>
      </w:r>
      <w:r w:rsidR="00ED0DAE">
        <w:rPr>
          <w:rFonts w:ascii="Arial" w:hAnsi="Arial" w:cs="Arial"/>
          <w:color w:val="000000"/>
          <w:szCs w:val="24"/>
          <w:lang w:eastAsia="es-CO"/>
        </w:rPr>
        <w:t xml:space="preserve"> actor</w:t>
      </w:r>
      <w:r>
        <w:rPr>
          <w:rFonts w:ascii="Arial" w:hAnsi="Arial" w:cs="Arial"/>
          <w:color w:val="000000"/>
          <w:szCs w:val="24"/>
          <w:lang w:eastAsia="es-CO"/>
        </w:rPr>
        <w:t>a</w:t>
      </w:r>
      <w:r w:rsidR="00ED0DAE">
        <w:rPr>
          <w:rFonts w:ascii="Arial" w:hAnsi="Arial" w:cs="Arial"/>
          <w:color w:val="000000"/>
          <w:szCs w:val="24"/>
          <w:lang w:eastAsia="es-CO"/>
        </w:rPr>
        <w:t xml:space="preserve"> tenía 3</w:t>
      </w:r>
      <w:r>
        <w:rPr>
          <w:rFonts w:ascii="Arial" w:hAnsi="Arial" w:cs="Arial"/>
          <w:color w:val="000000"/>
          <w:szCs w:val="24"/>
          <w:lang w:eastAsia="es-CO"/>
        </w:rPr>
        <w:t>3</w:t>
      </w:r>
      <w:r w:rsidR="00ED0DAE">
        <w:rPr>
          <w:rFonts w:ascii="Arial" w:hAnsi="Arial" w:cs="Arial"/>
          <w:color w:val="000000"/>
          <w:szCs w:val="24"/>
          <w:lang w:eastAsia="es-CO"/>
        </w:rPr>
        <w:t xml:space="preserve"> años de edad, al ser su natalicio el </w:t>
      </w:r>
      <w:r>
        <w:rPr>
          <w:rFonts w:ascii="Arial" w:hAnsi="Arial" w:cs="Arial"/>
          <w:color w:val="000000"/>
          <w:szCs w:val="24"/>
          <w:lang w:eastAsia="es-CO"/>
        </w:rPr>
        <w:t>14/01/1961</w:t>
      </w:r>
      <w:r w:rsidR="00ED0DAE">
        <w:rPr>
          <w:rFonts w:ascii="Arial" w:hAnsi="Arial" w:cs="Arial"/>
          <w:color w:val="000000"/>
          <w:szCs w:val="24"/>
          <w:lang w:eastAsia="es-CO"/>
        </w:rPr>
        <w:t xml:space="preserve">, </w:t>
      </w:r>
      <w:r w:rsidR="00ED0DAE">
        <w:rPr>
          <w:rFonts w:ascii="Arial" w:hAnsi="Arial" w:cs="Arial"/>
          <w:szCs w:val="24"/>
        </w:rPr>
        <w:t xml:space="preserve">según consta en la copia de la cédula de ciudadanía visible a folio </w:t>
      </w:r>
      <w:r>
        <w:rPr>
          <w:rFonts w:ascii="Arial" w:hAnsi="Arial" w:cs="Arial"/>
          <w:szCs w:val="24"/>
        </w:rPr>
        <w:t>25</w:t>
      </w:r>
      <w:r w:rsidR="00ED0DAE">
        <w:rPr>
          <w:rFonts w:ascii="Arial" w:hAnsi="Arial" w:cs="Arial"/>
          <w:szCs w:val="24"/>
        </w:rPr>
        <w:t xml:space="preserve"> del cd. 1</w:t>
      </w:r>
      <w:r w:rsidR="00ED0DAE">
        <w:rPr>
          <w:rFonts w:ascii="Arial" w:hAnsi="Arial" w:cs="Arial"/>
          <w:color w:val="000000"/>
          <w:szCs w:val="24"/>
          <w:lang w:eastAsia="es-CO"/>
        </w:rPr>
        <w:t xml:space="preserve"> y, tener para esa fecha </w:t>
      </w:r>
      <w:r>
        <w:rPr>
          <w:rFonts w:ascii="Arial" w:hAnsi="Arial" w:cs="Arial"/>
          <w:color w:val="000000"/>
          <w:szCs w:val="24"/>
          <w:lang w:eastAsia="es-CO"/>
        </w:rPr>
        <w:t>711,7</w:t>
      </w:r>
      <w:r w:rsidR="00ED0DAE">
        <w:rPr>
          <w:rFonts w:ascii="Arial" w:hAnsi="Arial" w:cs="Arial"/>
          <w:color w:val="000000"/>
          <w:szCs w:val="24"/>
          <w:lang w:eastAsia="es-CO"/>
        </w:rPr>
        <w:t xml:space="preserve"> semanas cotizadas o </w:t>
      </w:r>
      <w:r>
        <w:rPr>
          <w:rFonts w:ascii="Arial" w:hAnsi="Arial" w:cs="Arial"/>
          <w:color w:val="000000"/>
          <w:szCs w:val="24"/>
          <w:lang w:eastAsia="es-CO"/>
        </w:rPr>
        <w:t>algo más de 13</w:t>
      </w:r>
      <w:r w:rsidR="00ED0DAE">
        <w:rPr>
          <w:rFonts w:ascii="Arial" w:hAnsi="Arial" w:cs="Arial"/>
          <w:color w:val="000000"/>
          <w:szCs w:val="24"/>
          <w:lang w:eastAsia="es-CO"/>
        </w:rPr>
        <w:t xml:space="preserve"> años, </w:t>
      </w:r>
      <w:r>
        <w:rPr>
          <w:rFonts w:ascii="Arial" w:hAnsi="Arial" w:cs="Arial"/>
          <w:color w:val="000000"/>
          <w:szCs w:val="24"/>
          <w:lang w:eastAsia="es-CO"/>
        </w:rPr>
        <w:t>según</w:t>
      </w:r>
      <w:r w:rsidR="00ED0DAE">
        <w:rPr>
          <w:rFonts w:ascii="Arial" w:hAnsi="Arial" w:cs="Arial"/>
          <w:color w:val="000000"/>
          <w:szCs w:val="24"/>
          <w:lang w:eastAsia="es-CO"/>
        </w:rPr>
        <w:t xml:space="preserve"> se extrae de la historia laboral expedida por Colpensiones y que obra a folio 2</w:t>
      </w:r>
      <w:r>
        <w:rPr>
          <w:rFonts w:ascii="Arial" w:hAnsi="Arial" w:cs="Arial"/>
          <w:color w:val="000000"/>
          <w:szCs w:val="24"/>
          <w:lang w:eastAsia="es-CO"/>
        </w:rPr>
        <w:t>6</w:t>
      </w:r>
      <w:r w:rsidR="00ED0DAE">
        <w:rPr>
          <w:rFonts w:ascii="Arial" w:hAnsi="Arial" w:cs="Arial"/>
          <w:color w:val="000000"/>
          <w:szCs w:val="24"/>
          <w:lang w:eastAsia="es-CO"/>
        </w:rPr>
        <w:t xml:space="preserve"> del mismo cuaderno, </w:t>
      </w:r>
      <w:r w:rsidR="000058B8" w:rsidRPr="00ED0DAE">
        <w:rPr>
          <w:rFonts w:ascii="Arial" w:hAnsi="Arial" w:cs="Arial"/>
          <w:iCs/>
          <w:szCs w:val="24"/>
        </w:rPr>
        <w:t>por lo que resulta</w:t>
      </w:r>
      <w:r>
        <w:rPr>
          <w:rFonts w:ascii="Arial" w:hAnsi="Arial" w:cs="Arial"/>
          <w:iCs/>
          <w:szCs w:val="24"/>
        </w:rPr>
        <w:t xml:space="preserve"> evidente que no es beneficiaria</w:t>
      </w:r>
      <w:r w:rsidR="000058B8" w:rsidRPr="00ED0DAE">
        <w:rPr>
          <w:rFonts w:ascii="Arial" w:hAnsi="Arial" w:cs="Arial"/>
          <w:iCs/>
          <w:szCs w:val="24"/>
        </w:rPr>
        <w:t xml:space="preserve"> del régimen de transición, situación que por demás no fue cuestionada por la parte actora; </w:t>
      </w:r>
      <w:r w:rsidR="000058B8" w:rsidRPr="00ED0DAE">
        <w:rPr>
          <w:rFonts w:ascii="Arial" w:hAnsi="Arial" w:cs="Arial"/>
          <w:color w:val="000000"/>
          <w:lang w:eastAsia="es-CO"/>
        </w:rPr>
        <w:t>por lo tanto, no</w:t>
      </w:r>
      <w:r w:rsidR="000058B8" w:rsidRPr="00ED0DAE">
        <w:rPr>
          <w:rFonts w:ascii="Arial" w:hAnsi="Arial" w:cs="Arial"/>
        </w:rPr>
        <w:t xml:space="preserve"> es posible orientar sus pedimentos bajo el análisis de ineficacia del traslado como se había indicado en otros as</w:t>
      </w:r>
      <w:r w:rsidR="00ED0DAE">
        <w:rPr>
          <w:rFonts w:ascii="Arial" w:hAnsi="Arial" w:cs="Arial"/>
        </w:rPr>
        <w:t xml:space="preserve">untos por esta Sala Mayoritaria, </w:t>
      </w:r>
      <w:r w:rsidR="000058B8" w:rsidRPr="00ED0DAE">
        <w:rPr>
          <w:rFonts w:ascii="Arial" w:hAnsi="Arial" w:cs="Arial"/>
        </w:rPr>
        <w:t xml:space="preserve">por ende, se </w:t>
      </w:r>
      <w:r w:rsidR="000058B8" w:rsidRPr="00ED0DAE">
        <w:rPr>
          <w:rFonts w:ascii="Arial" w:hAnsi="Arial" w:cs="Arial"/>
          <w:lang w:val="es-CO"/>
        </w:rPr>
        <w:t xml:space="preserve">efectuará su estudio </w:t>
      </w:r>
      <w:r w:rsidR="000058B8" w:rsidRPr="00ED0DAE">
        <w:rPr>
          <w:rFonts w:ascii="Arial" w:hAnsi="Arial" w:cs="Arial"/>
        </w:rPr>
        <w:t xml:space="preserve">bajo la figura de la nulidad del acto jurídico de traslado, </w:t>
      </w:r>
      <w:r>
        <w:rPr>
          <w:rFonts w:ascii="Arial" w:hAnsi="Arial" w:cs="Arial"/>
        </w:rPr>
        <w:t xml:space="preserve">como también </w:t>
      </w:r>
      <w:r w:rsidR="00ED0DAE">
        <w:rPr>
          <w:rFonts w:ascii="Arial" w:hAnsi="Arial" w:cs="Arial"/>
        </w:rPr>
        <w:t>fue peticionado en la demanda.</w:t>
      </w:r>
    </w:p>
    <w:p w:rsidR="000058B8" w:rsidRPr="007C17F3" w:rsidRDefault="000058B8" w:rsidP="000058B8">
      <w:pPr>
        <w:pStyle w:val="Textoindependiente"/>
        <w:spacing w:line="276" w:lineRule="auto"/>
        <w:contextualSpacing/>
      </w:pPr>
    </w:p>
    <w:p w:rsidR="000058B8" w:rsidRDefault="000058B8" w:rsidP="000058B8">
      <w:pPr>
        <w:pStyle w:val="Textoindependiente"/>
        <w:numPr>
          <w:ilvl w:val="0"/>
          <w:numId w:val="2"/>
        </w:numPr>
        <w:ind w:right="51"/>
        <w:rPr>
          <w:b/>
          <w:iCs/>
          <w:szCs w:val="24"/>
        </w:rPr>
      </w:pPr>
      <w:r>
        <w:rPr>
          <w:b/>
          <w:iCs/>
          <w:szCs w:val="24"/>
        </w:rPr>
        <w:t>Nulidad de los actos jurídicos y oportunidad para alegarla.</w:t>
      </w:r>
    </w:p>
    <w:p w:rsidR="000058B8" w:rsidRDefault="000058B8" w:rsidP="000058B8">
      <w:pPr>
        <w:pStyle w:val="Textoindependiente"/>
        <w:ind w:right="51"/>
        <w:rPr>
          <w:b/>
          <w:iCs/>
          <w:szCs w:val="24"/>
        </w:rPr>
      </w:pPr>
    </w:p>
    <w:p w:rsidR="000058B8" w:rsidRDefault="000058B8" w:rsidP="000058B8">
      <w:pPr>
        <w:pStyle w:val="Textoindependiente"/>
        <w:numPr>
          <w:ilvl w:val="1"/>
          <w:numId w:val="2"/>
        </w:numPr>
        <w:ind w:right="51"/>
        <w:rPr>
          <w:b/>
          <w:iCs/>
          <w:szCs w:val="24"/>
        </w:rPr>
      </w:pPr>
      <w:r>
        <w:rPr>
          <w:b/>
          <w:iCs/>
          <w:szCs w:val="24"/>
        </w:rPr>
        <w:t xml:space="preserve">Fundamento jurídico </w:t>
      </w:r>
    </w:p>
    <w:p w:rsidR="004B5D42" w:rsidRDefault="004B5D42"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 xml:space="preserve">De conformidad con el artículo 1741 del Código Civil, la nulidad de los actos jurídicos o de los contratos es absoluta cuando se produce por un objeto o causa ilícita o por falta de las formalidades; mientras que cuando tiene un origen diverso como por </w:t>
      </w:r>
      <w:r>
        <w:rPr>
          <w:bCs/>
          <w:iCs/>
          <w:szCs w:val="24"/>
        </w:rPr>
        <w:lastRenderedPageBreak/>
        <w:t>ejemplo un vicio del consentimiento, sólo se genera nulidad relativa, que da lugar a la rescisión del acto o contrato.</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 xml:space="preserve">En cuanto a los vicios el consentimiento, según lo establece el artículo 1508 </w:t>
      </w:r>
      <w:r w:rsidRPr="00273B2F">
        <w:rPr>
          <w:bCs/>
          <w:i/>
          <w:iCs/>
          <w:szCs w:val="24"/>
        </w:rPr>
        <w:t>ibídem</w:t>
      </w:r>
      <w:r>
        <w:rPr>
          <w:bCs/>
          <w:i/>
          <w:iCs/>
          <w:szCs w:val="24"/>
        </w:rPr>
        <w:t xml:space="preserve">, </w:t>
      </w:r>
      <w:r>
        <w:rPr>
          <w:bCs/>
          <w:iCs/>
          <w:szCs w:val="24"/>
        </w:rPr>
        <w:t>lo son el error, la fuerza y el dolo.</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El primero –error-, puede serlo de derecho y de hecho, pero aquel no vicia el consentimiento, conforme lo plantea el artículo 1509.</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Por su parte, el error de hecho, puede presentarse en 5 formas, (i) acerca de la naturaleza del acto o negocio, (ii)</w:t>
      </w:r>
      <w:r w:rsidRPr="00895685">
        <w:rPr>
          <w:bCs/>
          <w:iCs/>
          <w:szCs w:val="24"/>
        </w:rPr>
        <w:t xml:space="preserve"> </w:t>
      </w:r>
      <w:r>
        <w:rPr>
          <w:bCs/>
          <w:iCs/>
          <w:szCs w:val="24"/>
        </w:rPr>
        <w:t>acerca de la persona; (iii) de la identidad de la cosa específica; (iv) de la sustancia o calidad esencial del objeto o cosa; (v) de las calidades accidentales de la cosa u objeto.</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Pese a la anterior determinación, a juicio de la Sala solo tienen lugar a presentarse frente al acto jurídico de traslado los cuatro primeros, toda vez que el último tiene relación con negocios jurídicos sobre bienes.</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Así las cosas, los errores se traducen a que se tenga la convicción de que a través del formulario se está realizando un acto jurídico diferente al traslado de régimen pensional, o que se está haciendo un traslado entre AFP mas no de régimen, frente a los beneficios ofrecidos en cada uno de los regímenes pensionales o que se está trasladando a determinado fondo cuando quiere hacerlo a otro, respectivamente.</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 xml:space="preserve">La fuerza y el dolo, por su parte se refieren a la presión física o moral o artificios que se ejercen sobre la persona para que se obligue. </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Por su parte, el artículo 1750 del Código Civil prevé que para alegar la rescisión en los eventos en que se alegue la ocurrencia de error o dolo, se cuenta con un plazo de cuatro años contados desde el día de la celebración del acto o contrato.</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szCs w:val="24"/>
        </w:rPr>
      </w:pPr>
      <w:r>
        <w:rPr>
          <w:bCs/>
          <w:szCs w:val="24"/>
        </w:rPr>
        <w:t xml:space="preserve">De otro lado el artículo 1743 </w:t>
      </w:r>
      <w:r>
        <w:rPr>
          <w:bCs/>
          <w:i/>
          <w:iCs/>
          <w:szCs w:val="24"/>
        </w:rPr>
        <w:t xml:space="preserve">ibídem </w:t>
      </w:r>
      <w:r>
        <w:rPr>
          <w:bCs/>
          <w:szCs w:val="24"/>
        </w:rPr>
        <w:t>dispone que la nulidad relativa se sanea por el paso del tiempo o por ratificación de las partes.</w:t>
      </w:r>
    </w:p>
    <w:p w:rsidR="000058B8" w:rsidRDefault="000058B8" w:rsidP="000058B8">
      <w:pPr>
        <w:pStyle w:val="Textoindependiente"/>
        <w:spacing w:line="276" w:lineRule="auto"/>
        <w:rPr>
          <w:bCs/>
          <w:szCs w:val="24"/>
        </w:rPr>
      </w:pPr>
    </w:p>
    <w:p w:rsidR="000058B8" w:rsidRPr="009F7670" w:rsidRDefault="000058B8" w:rsidP="00487B80">
      <w:pPr>
        <w:pStyle w:val="Prrafodelista"/>
        <w:numPr>
          <w:ilvl w:val="1"/>
          <w:numId w:val="2"/>
        </w:numPr>
        <w:spacing w:after="0" w:line="276" w:lineRule="auto"/>
        <w:ind w:right="284"/>
        <w:jc w:val="both"/>
        <w:rPr>
          <w:rFonts w:ascii="Arial" w:eastAsia="Times New Roman" w:hAnsi="Arial"/>
          <w:b/>
          <w:sz w:val="24"/>
          <w:szCs w:val="24"/>
          <w:lang w:eastAsia="es-ES"/>
        </w:rPr>
      </w:pPr>
      <w:r w:rsidRPr="009F7670">
        <w:rPr>
          <w:rFonts w:ascii="Arial" w:hAnsi="Arial" w:cs="Arial"/>
          <w:b/>
          <w:sz w:val="24"/>
          <w:szCs w:val="24"/>
        </w:rPr>
        <w:t xml:space="preserve">Fundamento fáctico </w:t>
      </w:r>
    </w:p>
    <w:p w:rsidR="00487B80" w:rsidRDefault="00487B80" w:rsidP="000058B8">
      <w:pPr>
        <w:spacing w:line="276" w:lineRule="auto"/>
        <w:jc w:val="both"/>
        <w:rPr>
          <w:rFonts w:ascii="Arial" w:hAnsi="Arial" w:cs="Arial"/>
          <w:szCs w:val="24"/>
        </w:rPr>
      </w:pPr>
    </w:p>
    <w:p w:rsidR="000058B8" w:rsidRDefault="00866AAE" w:rsidP="000058B8">
      <w:pPr>
        <w:spacing w:line="276" w:lineRule="auto"/>
        <w:jc w:val="both"/>
        <w:rPr>
          <w:rFonts w:ascii="Arial" w:hAnsi="Arial" w:cs="Arial"/>
          <w:szCs w:val="24"/>
        </w:rPr>
      </w:pPr>
      <w:r>
        <w:rPr>
          <w:rFonts w:ascii="Arial" w:hAnsi="Arial" w:cs="Arial"/>
          <w:szCs w:val="24"/>
        </w:rPr>
        <w:t xml:space="preserve">La </w:t>
      </w:r>
      <w:r w:rsidR="00D144E0">
        <w:rPr>
          <w:rFonts w:ascii="Arial" w:hAnsi="Arial" w:cs="Arial"/>
          <w:szCs w:val="24"/>
        </w:rPr>
        <w:t>señor</w:t>
      </w:r>
      <w:r>
        <w:rPr>
          <w:rFonts w:ascii="Arial" w:hAnsi="Arial" w:cs="Arial"/>
          <w:szCs w:val="24"/>
        </w:rPr>
        <w:t>a</w:t>
      </w:r>
      <w:r w:rsidR="00D144E0">
        <w:rPr>
          <w:rFonts w:ascii="Arial" w:hAnsi="Arial" w:cs="Arial"/>
          <w:szCs w:val="24"/>
        </w:rPr>
        <w:t xml:space="preserve"> </w:t>
      </w:r>
      <w:r w:rsidR="0090597F">
        <w:rPr>
          <w:rFonts w:ascii="Arial" w:hAnsi="Arial" w:cs="Arial"/>
          <w:szCs w:val="24"/>
        </w:rPr>
        <w:t>Gloria Lucía Cardona Giraldo</w:t>
      </w:r>
      <w:r w:rsidR="000058B8">
        <w:rPr>
          <w:rFonts w:ascii="Arial" w:hAnsi="Arial" w:cs="Arial"/>
          <w:szCs w:val="24"/>
        </w:rPr>
        <w:t xml:space="preserve">, en su demanda plantea la posibilidad de que se declare la nulidad del acto de traslado al RAIS a través de la AFP </w:t>
      </w:r>
      <w:r>
        <w:rPr>
          <w:rFonts w:ascii="Arial" w:hAnsi="Arial" w:cs="Arial"/>
          <w:szCs w:val="24"/>
        </w:rPr>
        <w:t>Protección S.A.</w:t>
      </w:r>
      <w:r w:rsidR="000058B8" w:rsidRPr="00D32024">
        <w:rPr>
          <w:rFonts w:ascii="Arial" w:hAnsi="Arial" w:cs="Arial"/>
          <w:szCs w:val="24"/>
        </w:rPr>
        <w:t>,</w:t>
      </w:r>
      <w:r w:rsidR="000058B8">
        <w:rPr>
          <w:rFonts w:ascii="Arial" w:hAnsi="Arial" w:cs="Arial"/>
          <w:szCs w:val="24"/>
        </w:rPr>
        <w:t xml:space="preserve"> que se hizo constar en </w:t>
      </w:r>
      <w:r w:rsidR="00EF164F">
        <w:rPr>
          <w:rFonts w:ascii="Arial" w:hAnsi="Arial" w:cs="Arial"/>
          <w:szCs w:val="24"/>
        </w:rPr>
        <w:t>formulario</w:t>
      </w:r>
      <w:r>
        <w:rPr>
          <w:rFonts w:ascii="Arial" w:hAnsi="Arial" w:cs="Arial"/>
          <w:szCs w:val="24"/>
        </w:rPr>
        <w:t xml:space="preserve"> Nº 2663 </w:t>
      </w:r>
      <w:r w:rsidR="00854CA1">
        <w:rPr>
          <w:rFonts w:ascii="Arial" w:hAnsi="Arial" w:cs="Arial"/>
          <w:szCs w:val="24"/>
        </w:rPr>
        <w:t xml:space="preserve">diligenciado </w:t>
      </w:r>
      <w:r w:rsidR="000058B8">
        <w:rPr>
          <w:rFonts w:ascii="Arial" w:hAnsi="Arial" w:cs="Arial"/>
          <w:szCs w:val="24"/>
        </w:rPr>
        <w:t xml:space="preserve">el </w:t>
      </w:r>
      <w:r>
        <w:rPr>
          <w:rFonts w:ascii="Arial" w:hAnsi="Arial" w:cs="Arial"/>
          <w:szCs w:val="24"/>
        </w:rPr>
        <w:t>10/05/</w:t>
      </w:r>
      <w:proofErr w:type="gramStart"/>
      <w:r>
        <w:rPr>
          <w:rFonts w:ascii="Arial" w:hAnsi="Arial" w:cs="Arial"/>
          <w:szCs w:val="24"/>
        </w:rPr>
        <w:t>1995</w:t>
      </w:r>
      <w:r w:rsidR="000058B8">
        <w:rPr>
          <w:rFonts w:ascii="Arial" w:hAnsi="Arial" w:cs="Arial"/>
          <w:szCs w:val="24"/>
        </w:rPr>
        <w:t xml:space="preserve">  –</w:t>
      </w:r>
      <w:proofErr w:type="spellStart"/>
      <w:proofErr w:type="gramEnd"/>
      <w:r w:rsidR="000058B8">
        <w:rPr>
          <w:rFonts w:ascii="Arial" w:hAnsi="Arial" w:cs="Arial"/>
          <w:szCs w:val="24"/>
        </w:rPr>
        <w:t>fl</w:t>
      </w:r>
      <w:proofErr w:type="spellEnd"/>
      <w:r w:rsidR="000058B8">
        <w:rPr>
          <w:rFonts w:ascii="Arial" w:hAnsi="Arial" w:cs="Arial"/>
          <w:szCs w:val="24"/>
        </w:rPr>
        <w:t xml:space="preserve">. </w:t>
      </w:r>
      <w:r w:rsidR="00EF164F">
        <w:rPr>
          <w:rFonts w:ascii="Arial" w:hAnsi="Arial" w:cs="Arial"/>
          <w:szCs w:val="24"/>
        </w:rPr>
        <w:t>3</w:t>
      </w:r>
      <w:r>
        <w:rPr>
          <w:rFonts w:ascii="Arial" w:hAnsi="Arial" w:cs="Arial"/>
          <w:szCs w:val="24"/>
        </w:rPr>
        <w:t>7</w:t>
      </w:r>
      <w:r w:rsidR="000058B8">
        <w:rPr>
          <w:rFonts w:ascii="Arial" w:hAnsi="Arial" w:cs="Arial"/>
          <w:szCs w:val="24"/>
        </w:rPr>
        <w:t>-.</w:t>
      </w:r>
    </w:p>
    <w:p w:rsidR="00866AAE" w:rsidRDefault="00866AAE" w:rsidP="000058B8">
      <w:pPr>
        <w:spacing w:line="276" w:lineRule="auto"/>
        <w:jc w:val="both"/>
        <w:rPr>
          <w:rFonts w:ascii="Arial" w:hAnsi="Arial" w:cs="Arial"/>
          <w:szCs w:val="24"/>
        </w:rPr>
      </w:pPr>
    </w:p>
    <w:p w:rsidR="00866AAE" w:rsidRDefault="00866AAE" w:rsidP="00866AAE">
      <w:pPr>
        <w:spacing w:line="276" w:lineRule="auto"/>
        <w:jc w:val="both"/>
        <w:rPr>
          <w:rFonts w:ascii="Arial" w:hAnsi="Arial"/>
          <w:szCs w:val="24"/>
        </w:rPr>
      </w:pPr>
      <w:r>
        <w:rPr>
          <w:rFonts w:ascii="Arial" w:hAnsi="Arial"/>
          <w:szCs w:val="24"/>
        </w:rPr>
        <w:t xml:space="preserve">Revisado el expediente, se advierte la inexistencia de petición formulada a las accionadas pretendiendo la aludida </w:t>
      </w:r>
      <w:r w:rsidRPr="00D32024">
        <w:rPr>
          <w:rFonts w:ascii="Arial" w:hAnsi="Arial"/>
          <w:szCs w:val="24"/>
        </w:rPr>
        <w:t>nulidad</w:t>
      </w:r>
      <w:r>
        <w:rPr>
          <w:rFonts w:ascii="Arial" w:hAnsi="Arial"/>
          <w:szCs w:val="24"/>
        </w:rPr>
        <w:t>, pues las únicas solicitudes que elevó fueron relacionadas con la posibilidad de traslado a Colpensiones –</w:t>
      </w:r>
      <w:proofErr w:type="spellStart"/>
      <w:r>
        <w:rPr>
          <w:rFonts w:ascii="Arial" w:hAnsi="Arial"/>
          <w:szCs w:val="24"/>
        </w:rPr>
        <w:t>fls</w:t>
      </w:r>
      <w:proofErr w:type="spellEnd"/>
      <w:r>
        <w:rPr>
          <w:rFonts w:ascii="Arial" w:hAnsi="Arial"/>
          <w:szCs w:val="24"/>
        </w:rPr>
        <w:t>. 38 a 41 del cd. 1- o de la realización de proyección pensional –</w:t>
      </w:r>
      <w:proofErr w:type="spellStart"/>
      <w:r>
        <w:rPr>
          <w:rFonts w:ascii="Arial" w:hAnsi="Arial"/>
          <w:szCs w:val="24"/>
        </w:rPr>
        <w:t>fl</w:t>
      </w:r>
      <w:proofErr w:type="spellEnd"/>
      <w:r>
        <w:rPr>
          <w:rFonts w:ascii="Arial" w:hAnsi="Arial"/>
          <w:szCs w:val="24"/>
        </w:rPr>
        <w:t>.</w:t>
      </w:r>
      <w:r w:rsidR="00504D70">
        <w:rPr>
          <w:rFonts w:ascii="Arial" w:hAnsi="Arial"/>
          <w:szCs w:val="24"/>
        </w:rPr>
        <w:t xml:space="preserve"> 161 del mismo cuaderno-, </w:t>
      </w:r>
      <w:r>
        <w:rPr>
          <w:rFonts w:ascii="Arial" w:hAnsi="Arial"/>
          <w:szCs w:val="24"/>
        </w:rPr>
        <w:t>de información de la cuenta individual y de la liquidación del bono pensional –</w:t>
      </w:r>
      <w:proofErr w:type="spellStart"/>
      <w:r>
        <w:rPr>
          <w:rFonts w:ascii="Arial" w:hAnsi="Arial"/>
          <w:szCs w:val="24"/>
        </w:rPr>
        <w:t>fl</w:t>
      </w:r>
      <w:proofErr w:type="spellEnd"/>
      <w:r>
        <w:rPr>
          <w:rFonts w:ascii="Arial" w:hAnsi="Arial"/>
          <w:szCs w:val="24"/>
        </w:rPr>
        <w:t>. 164-</w:t>
      </w:r>
      <w:r w:rsidR="00504D70">
        <w:rPr>
          <w:rFonts w:ascii="Arial" w:hAnsi="Arial"/>
          <w:szCs w:val="24"/>
        </w:rPr>
        <w:t xml:space="preserve"> y de la expedición de copia del formulario de vinculación –</w:t>
      </w:r>
      <w:proofErr w:type="spellStart"/>
      <w:r w:rsidR="00504D70">
        <w:rPr>
          <w:rFonts w:ascii="Arial" w:hAnsi="Arial"/>
          <w:szCs w:val="24"/>
        </w:rPr>
        <w:t>fl</w:t>
      </w:r>
      <w:proofErr w:type="spellEnd"/>
      <w:r w:rsidR="00504D70">
        <w:rPr>
          <w:rFonts w:ascii="Arial" w:hAnsi="Arial"/>
          <w:szCs w:val="24"/>
        </w:rPr>
        <w:t>. 167-</w:t>
      </w:r>
    </w:p>
    <w:p w:rsidR="00866AAE" w:rsidRDefault="00866AAE" w:rsidP="00866AAE">
      <w:pPr>
        <w:spacing w:line="276" w:lineRule="auto"/>
        <w:jc w:val="both"/>
        <w:rPr>
          <w:rFonts w:ascii="Arial" w:hAnsi="Arial"/>
          <w:szCs w:val="24"/>
        </w:rPr>
      </w:pPr>
    </w:p>
    <w:p w:rsidR="00866AAE" w:rsidRDefault="00866AAE" w:rsidP="00866AAE">
      <w:pPr>
        <w:spacing w:line="276" w:lineRule="auto"/>
        <w:jc w:val="both"/>
        <w:rPr>
          <w:rFonts w:ascii="Arial" w:hAnsi="Arial"/>
          <w:szCs w:val="24"/>
        </w:rPr>
      </w:pPr>
      <w:r>
        <w:rPr>
          <w:rFonts w:ascii="Arial" w:hAnsi="Arial"/>
          <w:szCs w:val="24"/>
        </w:rPr>
        <w:lastRenderedPageBreak/>
        <w:t xml:space="preserve">De tal manera que la única inconformidad que plantea la demandante en ese sentido lo constituye la demanda que dio origen a este proceso que lo fue el </w:t>
      </w:r>
      <w:r w:rsidR="00504D70">
        <w:rPr>
          <w:rFonts w:ascii="Arial" w:hAnsi="Arial"/>
          <w:szCs w:val="24"/>
        </w:rPr>
        <w:t>24/05/2017</w:t>
      </w:r>
      <w:r>
        <w:rPr>
          <w:rFonts w:ascii="Arial" w:hAnsi="Arial"/>
          <w:szCs w:val="24"/>
        </w:rPr>
        <w:t>, según consta en el acta individual de reparto –</w:t>
      </w:r>
      <w:proofErr w:type="spellStart"/>
      <w:r>
        <w:rPr>
          <w:rFonts w:ascii="Arial" w:hAnsi="Arial"/>
          <w:szCs w:val="24"/>
        </w:rPr>
        <w:t>fl</w:t>
      </w:r>
      <w:proofErr w:type="spellEnd"/>
      <w:r>
        <w:rPr>
          <w:rFonts w:ascii="Arial" w:hAnsi="Arial"/>
          <w:szCs w:val="24"/>
        </w:rPr>
        <w:t xml:space="preserve">. </w:t>
      </w:r>
      <w:r w:rsidR="00504D70">
        <w:rPr>
          <w:rFonts w:ascii="Arial" w:hAnsi="Arial"/>
          <w:szCs w:val="24"/>
        </w:rPr>
        <w:t>50 vto.</w:t>
      </w:r>
      <w:r>
        <w:rPr>
          <w:rFonts w:ascii="Arial" w:hAnsi="Arial"/>
          <w:szCs w:val="24"/>
        </w:rPr>
        <w:t>-</w:t>
      </w:r>
    </w:p>
    <w:p w:rsidR="00D32522" w:rsidRDefault="00D32522" w:rsidP="000058B8">
      <w:pPr>
        <w:spacing w:line="276" w:lineRule="auto"/>
        <w:jc w:val="both"/>
        <w:rPr>
          <w:rFonts w:ascii="Arial" w:hAnsi="Arial"/>
          <w:szCs w:val="24"/>
        </w:rPr>
      </w:pPr>
    </w:p>
    <w:p w:rsidR="000058B8" w:rsidRDefault="000058B8" w:rsidP="000058B8">
      <w:pPr>
        <w:spacing w:line="276" w:lineRule="auto"/>
        <w:jc w:val="both"/>
        <w:rPr>
          <w:rFonts w:ascii="Arial" w:hAnsi="Arial"/>
          <w:szCs w:val="24"/>
        </w:rPr>
      </w:pPr>
      <w:r>
        <w:rPr>
          <w:rFonts w:ascii="Arial" w:hAnsi="Arial"/>
          <w:szCs w:val="24"/>
        </w:rPr>
        <w:t xml:space="preserve">En ese entendido, resulta fácil colegir que para </w:t>
      </w:r>
      <w:r w:rsidR="00040088">
        <w:rPr>
          <w:rFonts w:ascii="Arial" w:hAnsi="Arial"/>
          <w:szCs w:val="24"/>
        </w:rPr>
        <w:t xml:space="preserve">ese momento </w:t>
      </w:r>
      <w:r>
        <w:rPr>
          <w:rFonts w:ascii="Arial" w:hAnsi="Arial"/>
          <w:szCs w:val="24"/>
        </w:rPr>
        <w:t>transcurrieron en total 2</w:t>
      </w:r>
      <w:r w:rsidR="00EF164F">
        <w:rPr>
          <w:rFonts w:ascii="Arial" w:hAnsi="Arial"/>
          <w:szCs w:val="24"/>
        </w:rPr>
        <w:t xml:space="preserve">2 años y </w:t>
      </w:r>
      <w:r w:rsidR="00504D70">
        <w:rPr>
          <w:rFonts w:ascii="Arial" w:hAnsi="Arial"/>
          <w:szCs w:val="24"/>
        </w:rPr>
        <w:t xml:space="preserve">14 días </w:t>
      </w:r>
      <w:r>
        <w:rPr>
          <w:rFonts w:ascii="Arial" w:hAnsi="Arial"/>
          <w:szCs w:val="24"/>
        </w:rPr>
        <w:t>contabilizados a partir de la calenda en que se suscribió el formulario de afiliación al RAIS -</w:t>
      </w:r>
      <w:r w:rsidR="00504D70">
        <w:rPr>
          <w:rFonts w:ascii="Arial" w:hAnsi="Arial"/>
          <w:szCs w:val="24"/>
        </w:rPr>
        <w:t>10/05/1995</w:t>
      </w:r>
      <w:r>
        <w:rPr>
          <w:rFonts w:ascii="Arial" w:hAnsi="Arial"/>
          <w:szCs w:val="24"/>
        </w:rPr>
        <w:t xml:space="preserve">-, lo que implica que el acto jurídico del que se pretende la nulidad adquirió firmeza y legalidad, al sobrepasar los 4 </w:t>
      </w:r>
      <w:r w:rsidRPr="00D32024">
        <w:rPr>
          <w:rFonts w:ascii="Arial" w:hAnsi="Arial"/>
          <w:szCs w:val="24"/>
        </w:rPr>
        <w:t xml:space="preserve">años </w:t>
      </w:r>
      <w:r>
        <w:rPr>
          <w:rFonts w:ascii="Arial" w:hAnsi="Arial"/>
          <w:szCs w:val="24"/>
        </w:rPr>
        <w:t xml:space="preserve">a </w:t>
      </w:r>
      <w:r w:rsidRPr="00D32024">
        <w:rPr>
          <w:rFonts w:ascii="Arial" w:hAnsi="Arial"/>
          <w:szCs w:val="24"/>
        </w:rPr>
        <w:t>su realización</w:t>
      </w:r>
      <w:r>
        <w:rPr>
          <w:rFonts w:ascii="Arial" w:hAnsi="Arial"/>
          <w:szCs w:val="24"/>
        </w:rPr>
        <w:t xml:space="preserve"> y por lo tanto, la </w:t>
      </w:r>
      <w:r w:rsidRPr="00D32024">
        <w:rPr>
          <w:rFonts w:ascii="Arial" w:hAnsi="Arial"/>
          <w:szCs w:val="24"/>
        </w:rPr>
        <w:t>nulidad relativa</w:t>
      </w:r>
      <w:r>
        <w:rPr>
          <w:rFonts w:ascii="Arial" w:hAnsi="Arial"/>
          <w:szCs w:val="24"/>
        </w:rPr>
        <w:t xml:space="preserve"> que se pide por vicio del consentimiento, de haber existido</w:t>
      </w:r>
      <w:r w:rsidR="00040088">
        <w:rPr>
          <w:rFonts w:ascii="Arial" w:hAnsi="Arial"/>
          <w:szCs w:val="24"/>
        </w:rPr>
        <w:t>,</w:t>
      </w:r>
      <w:r w:rsidRPr="00D32024">
        <w:rPr>
          <w:rFonts w:ascii="Arial" w:hAnsi="Arial"/>
          <w:szCs w:val="24"/>
        </w:rPr>
        <w:t xml:space="preserve"> ha quedado sanea</w:t>
      </w:r>
      <w:r>
        <w:rPr>
          <w:rFonts w:ascii="Arial" w:hAnsi="Arial"/>
          <w:szCs w:val="24"/>
        </w:rPr>
        <w:t xml:space="preserve">da por el transcurso del tiempo, lo que de suyo genera la </w:t>
      </w:r>
      <w:proofErr w:type="spellStart"/>
      <w:r>
        <w:rPr>
          <w:rFonts w:ascii="Arial" w:hAnsi="Arial"/>
          <w:szCs w:val="24"/>
        </w:rPr>
        <w:t>improsperidad</w:t>
      </w:r>
      <w:proofErr w:type="spellEnd"/>
      <w:r>
        <w:rPr>
          <w:rFonts w:ascii="Arial" w:hAnsi="Arial"/>
          <w:szCs w:val="24"/>
        </w:rPr>
        <w:t xml:space="preserve"> de la pretensión de nulidad.</w:t>
      </w:r>
    </w:p>
    <w:p w:rsidR="000058B8" w:rsidRDefault="000058B8" w:rsidP="000058B8">
      <w:pPr>
        <w:spacing w:line="276" w:lineRule="auto"/>
        <w:jc w:val="both"/>
        <w:rPr>
          <w:rFonts w:ascii="Arial" w:hAnsi="Arial"/>
          <w:szCs w:val="24"/>
        </w:rPr>
      </w:pPr>
    </w:p>
    <w:p w:rsidR="000058B8" w:rsidRDefault="000058B8" w:rsidP="000058B8">
      <w:pPr>
        <w:spacing w:line="276" w:lineRule="auto"/>
        <w:ind w:right="49"/>
        <w:contextualSpacing/>
        <w:jc w:val="both"/>
        <w:rPr>
          <w:rFonts w:ascii="Arial" w:hAnsi="Arial"/>
          <w:szCs w:val="24"/>
        </w:rPr>
      </w:pPr>
      <w:r>
        <w:rPr>
          <w:rFonts w:ascii="Arial" w:hAnsi="Arial"/>
          <w:szCs w:val="24"/>
        </w:rPr>
        <w:t>Al margen de lo anterior, se considera necesario precisar que de todas maneras las pretensiones estarían llamadas al fracaso dado que le correspondía a la parte actora la carga de acreditar el vicio del consentimiento, en los términos aducidos en la demanda, obligación que incumplió como se explicará a continuación.</w:t>
      </w:r>
    </w:p>
    <w:p w:rsidR="000058B8" w:rsidRDefault="000058B8" w:rsidP="000058B8">
      <w:pPr>
        <w:spacing w:line="276" w:lineRule="auto"/>
        <w:ind w:right="49"/>
        <w:contextualSpacing/>
        <w:jc w:val="both"/>
        <w:rPr>
          <w:rFonts w:ascii="Arial" w:hAnsi="Arial"/>
          <w:szCs w:val="24"/>
        </w:rPr>
      </w:pPr>
    </w:p>
    <w:p w:rsidR="000058B8" w:rsidRDefault="000058B8" w:rsidP="000058B8">
      <w:pPr>
        <w:spacing w:line="276" w:lineRule="auto"/>
        <w:ind w:right="49"/>
        <w:contextualSpacing/>
        <w:jc w:val="both"/>
        <w:rPr>
          <w:rFonts w:ascii="Arial" w:hAnsi="Arial"/>
          <w:szCs w:val="24"/>
        </w:rPr>
      </w:pPr>
      <w:r>
        <w:rPr>
          <w:rFonts w:ascii="Arial" w:hAnsi="Arial"/>
          <w:szCs w:val="24"/>
        </w:rPr>
        <w:t xml:space="preserve">En cuento a la fuerza y el dolo, de entrada se descartan como quiera que en cada uno de los formularios de afiliación </w:t>
      </w:r>
      <w:r w:rsidR="00504D70">
        <w:rPr>
          <w:rFonts w:ascii="Arial" w:hAnsi="Arial"/>
          <w:szCs w:val="24"/>
        </w:rPr>
        <w:t>-</w:t>
      </w:r>
      <w:proofErr w:type="spellStart"/>
      <w:r w:rsidR="00504D70">
        <w:rPr>
          <w:rFonts w:ascii="Arial" w:hAnsi="Arial"/>
          <w:szCs w:val="24"/>
        </w:rPr>
        <w:t>fls</w:t>
      </w:r>
      <w:proofErr w:type="spellEnd"/>
      <w:r w:rsidR="00504D70">
        <w:rPr>
          <w:rFonts w:ascii="Arial" w:hAnsi="Arial"/>
          <w:szCs w:val="24"/>
        </w:rPr>
        <w:t xml:space="preserve">. 130 y 132- </w:t>
      </w:r>
      <w:r>
        <w:rPr>
          <w:rFonts w:ascii="Arial" w:hAnsi="Arial"/>
          <w:szCs w:val="24"/>
        </w:rPr>
        <w:t>se cuenta con una casilla destinada a dejar constancia que la selección del RAIS se efectúa de manera libre, espontánea y sin precisiones, campo en el cual se</w:t>
      </w:r>
      <w:r w:rsidR="006A56AD">
        <w:rPr>
          <w:rFonts w:ascii="Arial" w:hAnsi="Arial"/>
          <w:szCs w:val="24"/>
        </w:rPr>
        <w:t xml:space="preserve"> encuentra plasmada la firma de</w:t>
      </w:r>
      <w:r>
        <w:rPr>
          <w:rFonts w:ascii="Arial" w:hAnsi="Arial"/>
          <w:szCs w:val="24"/>
        </w:rPr>
        <w:t>l actor</w:t>
      </w:r>
      <w:r w:rsidR="00504D70">
        <w:rPr>
          <w:rFonts w:ascii="Arial" w:hAnsi="Arial"/>
          <w:szCs w:val="24"/>
        </w:rPr>
        <w:t>a</w:t>
      </w:r>
      <w:r>
        <w:rPr>
          <w:rFonts w:ascii="Arial" w:hAnsi="Arial"/>
          <w:szCs w:val="24"/>
        </w:rPr>
        <w:t>, documentos que por demás no fueron desconocidos o tachados en la oportunidad correspondiente, de ahí que se presuman auténticos.</w:t>
      </w:r>
    </w:p>
    <w:p w:rsidR="000058B8" w:rsidRDefault="000058B8" w:rsidP="000058B8">
      <w:pPr>
        <w:spacing w:line="276" w:lineRule="auto"/>
        <w:ind w:right="49"/>
        <w:contextualSpacing/>
        <w:jc w:val="both"/>
        <w:rPr>
          <w:rFonts w:ascii="Arial" w:hAnsi="Arial"/>
          <w:szCs w:val="24"/>
        </w:rPr>
      </w:pPr>
    </w:p>
    <w:p w:rsidR="007370C6" w:rsidRDefault="007370C6" w:rsidP="007370C6">
      <w:pPr>
        <w:spacing w:line="276" w:lineRule="auto"/>
        <w:ind w:right="49"/>
        <w:contextualSpacing/>
        <w:jc w:val="both"/>
        <w:rPr>
          <w:rFonts w:ascii="Arial" w:hAnsi="Arial"/>
          <w:szCs w:val="24"/>
        </w:rPr>
      </w:pPr>
      <w:r w:rsidRPr="007370C6">
        <w:rPr>
          <w:rFonts w:ascii="Arial" w:hAnsi="Arial"/>
          <w:szCs w:val="24"/>
        </w:rPr>
        <w:t xml:space="preserve">Respecto al error, la información incompleta o falaz que se aduce en la demanda, </w:t>
      </w:r>
      <w:r w:rsidR="00947965">
        <w:rPr>
          <w:rFonts w:ascii="Arial" w:hAnsi="Arial"/>
          <w:szCs w:val="24"/>
        </w:rPr>
        <w:t>que</w:t>
      </w:r>
      <w:r w:rsidRPr="007370C6">
        <w:rPr>
          <w:rFonts w:ascii="Arial" w:hAnsi="Arial"/>
          <w:szCs w:val="24"/>
        </w:rPr>
        <w:t>daría lugar a la configuración del error acerca de la sustancia o calidad esencial del objeto de la cosa; la parte actora incumplió la carga de probar que en efecto la información hubiese sido fragmentada o inverosímil y que en tal virtud, las consideraciones y explicaciones dadas por el asesor no corresponden a la realidad o se basó en falsas promesas que finalmente no se cumplieron, como sería el monto de la mesada pensional que refiere; pues ningún elemento probatorio allegó  para tal efecto.</w:t>
      </w:r>
    </w:p>
    <w:p w:rsidR="007370C6" w:rsidRDefault="007370C6" w:rsidP="007370C6">
      <w:pPr>
        <w:spacing w:line="276" w:lineRule="auto"/>
        <w:jc w:val="both"/>
        <w:rPr>
          <w:rFonts w:ascii="Arial" w:hAnsi="Arial"/>
          <w:szCs w:val="24"/>
        </w:rPr>
      </w:pPr>
    </w:p>
    <w:p w:rsidR="007370C6" w:rsidRDefault="007370C6" w:rsidP="007370C6">
      <w:pPr>
        <w:spacing w:line="276" w:lineRule="auto"/>
        <w:jc w:val="both"/>
        <w:rPr>
          <w:rFonts w:ascii="Arial" w:hAnsi="Arial" w:cs="Arial"/>
          <w:szCs w:val="24"/>
        </w:rPr>
      </w:pPr>
      <w:r>
        <w:rPr>
          <w:rFonts w:ascii="Arial" w:hAnsi="Arial"/>
          <w:szCs w:val="24"/>
        </w:rPr>
        <w:t xml:space="preserve">Es que al solo contarse con la prueba </w:t>
      </w:r>
      <w:r>
        <w:rPr>
          <w:rFonts w:ascii="Arial" w:hAnsi="Arial" w:cs="Arial"/>
          <w:szCs w:val="24"/>
        </w:rPr>
        <w:t xml:space="preserve">documental antes referida, que se insiste, ninguna relación tiene con lo que ella señala como una </w:t>
      </w:r>
      <w:r>
        <w:rPr>
          <w:rFonts w:ascii="Arial" w:eastAsiaTheme="minorHAnsi" w:hAnsi="Arial" w:cs="Arial"/>
          <w:iCs/>
          <w:szCs w:val="24"/>
        </w:rPr>
        <w:t>indebida asesoría o información incompleta como generadores del vicio del consentimiento alegado o los pormenores que suscitaron el cambio de régimen del que ahora se duele,</w:t>
      </w:r>
      <w:r>
        <w:rPr>
          <w:rFonts w:ascii="Arial" w:hAnsi="Arial" w:cs="Arial"/>
          <w:szCs w:val="24"/>
        </w:rPr>
        <w:t xml:space="preserve"> pues se itera, se refieren a peticiones relacionadas en</w:t>
      </w:r>
      <w:r w:rsidR="00C80E30">
        <w:rPr>
          <w:rFonts w:ascii="Arial" w:hAnsi="Arial" w:cs="Arial"/>
          <w:szCs w:val="24"/>
        </w:rPr>
        <w:t>tre los años 2016 y 2017</w:t>
      </w:r>
      <w:r>
        <w:rPr>
          <w:rFonts w:ascii="Arial" w:hAnsi="Arial" w:cs="Arial"/>
          <w:szCs w:val="24"/>
        </w:rPr>
        <w:t xml:space="preserve"> a las demandadas tendientes a obtener información o el retorno al RPM, </w:t>
      </w:r>
      <w:r w:rsidR="00C80E30">
        <w:rPr>
          <w:rFonts w:ascii="Arial" w:hAnsi="Arial" w:cs="Arial"/>
          <w:szCs w:val="24"/>
        </w:rPr>
        <w:t>de la cuenta individual, realización de proyecciones, entre otros.</w:t>
      </w:r>
    </w:p>
    <w:p w:rsidR="00DB1DB2" w:rsidRDefault="00DB1DB2" w:rsidP="007370C6">
      <w:pPr>
        <w:spacing w:line="276" w:lineRule="auto"/>
        <w:jc w:val="both"/>
        <w:rPr>
          <w:rFonts w:ascii="Arial" w:hAnsi="Arial" w:cs="Arial"/>
          <w:szCs w:val="24"/>
        </w:rPr>
      </w:pPr>
    </w:p>
    <w:p w:rsidR="007370C6" w:rsidRDefault="007370C6" w:rsidP="007370C6">
      <w:pPr>
        <w:spacing w:line="276" w:lineRule="auto"/>
        <w:jc w:val="both"/>
        <w:rPr>
          <w:rFonts w:ascii="Arial" w:eastAsiaTheme="minorHAnsi" w:hAnsi="Arial" w:cs="Arial"/>
          <w:iCs/>
          <w:szCs w:val="24"/>
        </w:rPr>
      </w:pPr>
      <w:r>
        <w:rPr>
          <w:rFonts w:ascii="Arial" w:eastAsiaTheme="minorHAnsi" w:hAnsi="Arial" w:cs="Arial"/>
          <w:iCs/>
          <w:szCs w:val="24"/>
        </w:rPr>
        <w:t>Ahora, lo que se demostró es que el traslado efectuado por la actora al RAIS en el año 199</w:t>
      </w:r>
      <w:r w:rsidR="00C80E30">
        <w:rPr>
          <w:rFonts w:ascii="Arial" w:eastAsiaTheme="minorHAnsi" w:hAnsi="Arial" w:cs="Arial"/>
          <w:iCs/>
          <w:szCs w:val="24"/>
        </w:rPr>
        <w:t>5</w:t>
      </w:r>
      <w:r>
        <w:rPr>
          <w:rFonts w:ascii="Arial" w:eastAsiaTheme="minorHAnsi" w:hAnsi="Arial" w:cs="Arial"/>
          <w:iCs/>
          <w:szCs w:val="24"/>
        </w:rPr>
        <w:t xml:space="preserve"> estuvo precedido de la debida información, pues ello se desprende de la firma que estampó en el respectivo formulario </w:t>
      </w:r>
      <w:r>
        <w:rPr>
          <w:rFonts w:ascii="Arial" w:hAnsi="Arial" w:cs="Arial"/>
          <w:szCs w:val="24"/>
        </w:rPr>
        <w:t>–</w:t>
      </w:r>
      <w:proofErr w:type="spellStart"/>
      <w:r>
        <w:rPr>
          <w:rFonts w:ascii="Arial" w:hAnsi="Arial" w:cs="Arial"/>
          <w:szCs w:val="24"/>
        </w:rPr>
        <w:t>fl</w:t>
      </w:r>
      <w:proofErr w:type="spellEnd"/>
      <w:r>
        <w:rPr>
          <w:rFonts w:ascii="Arial" w:hAnsi="Arial" w:cs="Arial"/>
          <w:szCs w:val="24"/>
        </w:rPr>
        <w:t xml:space="preserve">. </w:t>
      </w:r>
      <w:r w:rsidR="00C80E30">
        <w:rPr>
          <w:rFonts w:ascii="Arial" w:hAnsi="Arial" w:cs="Arial"/>
          <w:szCs w:val="24"/>
        </w:rPr>
        <w:t>37</w:t>
      </w:r>
      <w:r>
        <w:rPr>
          <w:rFonts w:ascii="Arial" w:hAnsi="Arial" w:cs="Arial"/>
          <w:szCs w:val="24"/>
        </w:rPr>
        <w:t xml:space="preserve"> y </w:t>
      </w:r>
      <w:r w:rsidR="00C80E30">
        <w:rPr>
          <w:rFonts w:ascii="Arial" w:hAnsi="Arial" w:cs="Arial"/>
          <w:szCs w:val="24"/>
        </w:rPr>
        <w:t>131</w:t>
      </w:r>
      <w:r>
        <w:rPr>
          <w:rFonts w:ascii="Arial" w:hAnsi="Arial" w:cs="Arial"/>
          <w:szCs w:val="24"/>
        </w:rPr>
        <w:t xml:space="preserve">-, </w:t>
      </w:r>
      <w:r>
        <w:rPr>
          <w:rFonts w:ascii="Arial" w:eastAsiaTheme="minorHAnsi" w:hAnsi="Arial" w:cs="Arial"/>
          <w:iCs/>
          <w:szCs w:val="24"/>
        </w:rPr>
        <w:t xml:space="preserve">el que una vez revisado, cuenta con la información que para esa época era la exigida por la Ley, conforme a las directrices previstas en el Decreto 692 de 1994 a través del cual se reglamentó en lo pertinente la Ley 100/93. </w:t>
      </w:r>
      <w:r w:rsidRPr="00643D57">
        <w:rPr>
          <w:rFonts w:ascii="Arial" w:eastAsiaTheme="minorHAnsi" w:hAnsi="Arial" w:cs="Arial"/>
          <w:i/>
          <w:iCs/>
          <w:szCs w:val="24"/>
        </w:rPr>
        <w:t>–Principio de confianza legítima-.</w:t>
      </w:r>
    </w:p>
    <w:p w:rsidR="007370C6" w:rsidRDefault="007370C6" w:rsidP="007370C6">
      <w:pPr>
        <w:spacing w:line="276" w:lineRule="auto"/>
        <w:jc w:val="both"/>
        <w:rPr>
          <w:rFonts w:ascii="Arial" w:eastAsiaTheme="minorHAnsi" w:hAnsi="Arial" w:cs="Arial"/>
          <w:iCs/>
          <w:szCs w:val="24"/>
        </w:rPr>
      </w:pPr>
    </w:p>
    <w:p w:rsidR="007370C6" w:rsidRDefault="007370C6" w:rsidP="007370C6">
      <w:pPr>
        <w:spacing w:line="276" w:lineRule="auto"/>
        <w:jc w:val="both"/>
        <w:rPr>
          <w:rFonts w:ascii="Arial" w:hAnsi="Arial" w:cs="Arial"/>
          <w:szCs w:val="24"/>
        </w:rPr>
      </w:pPr>
      <w:r w:rsidRPr="00F53CE0">
        <w:rPr>
          <w:rFonts w:ascii="Arial" w:hAnsi="Arial" w:cs="Arial"/>
          <w:szCs w:val="24"/>
        </w:rPr>
        <w:lastRenderedPageBreak/>
        <w:t xml:space="preserve">Intelección que se corrobora con lo por ella confesado en el interrogatorio de parte, donde señaló que al momento del traslado el asesor le </w:t>
      </w:r>
      <w:r w:rsidR="00C80E30">
        <w:rPr>
          <w:rFonts w:ascii="Arial" w:hAnsi="Arial" w:cs="Arial"/>
          <w:szCs w:val="24"/>
        </w:rPr>
        <w:t xml:space="preserve">indicó </w:t>
      </w:r>
      <w:r w:rsidRPr="00F53CE0">
        <w:rPr>
          <w:rFonts w:ascii="Arial" w:hAnsi="Arial" w:cs="Arial"/>
          <w:szCs w:val="24"/>
        </w:rPr>
        <w:t>que se podía pensionar antes de tiempo, que el dinero de su cuenta individual po</w:t>
      </w:r>
      <w:r w:rsidR="00DB1DB2">
        <w:rPr>
          <w:rFonts w:ascii="Arial" w:hAnsi="Arial" w:cs="Arial"/>
          <w:szCs w:val="24"/>
        </w:rPr>
        <w:t xml:space="preserve">dría hacer parte de su herencia; información que reiteró la declarante Martha Liliana Jaramillo Castrillón quien estuvo en la misma reunión con la demandante; sin que puedan considerarse otros aspectos, como quiera que no fueron referidos por ellas y el testigo Jaime Restrepo Ángel ningún elemento aporta, como quiera que su conocimiento lo adquirió de lo referido por la señora Cardona Giraldo </w:t>
      </w:r>
      <w:r w:rsidR="00DB1DB2" w:rsidRPr="00DB1DB2">
        <w:rPr>
          <w:rFonts w:ascii="Arial" w:hAnsi="Arial" w:cs="Arial"/>
          <w:i/>
          <w:szCs w:val="24"/>
        </w:rPr>
        <w:t>–testigo de oídas-</w:t>
      </w:r>
    </w:p>
    <w:p w:rsidR="00C80E30" w:rsidRPr="00F53CE0" w:rsidRDefault="00C80E30" w:rsidP="007370C6">
      <w:pPr>
        <w:spacing w:line="276" w:lineRule="auto"/>
        <w:jc w:val="both"/>
        <w:rPr>
          <w:rFonts w:ascii="Arial" w:hAnsi="Arial" w:cs="Arial"/>
          <w:szCs w:val="24"/>
        </w:rPr>
      </w:pPr>
    </w:p>
    <w:p w:rsidR="007370C6" w:rsidRDefault="007370C6" w:rsidP="007370C6">
      <w:pPr>
        <w:spacing w:line="276" w:lineRule="auto"/>
        <w:jc w:val="both"/>
        <w:rPr>
          <w:rFonts w:ascii="Arial" w:hAnsi="Arial" w:cs="Arial"/>
          <w:szCs w:val="24"/>
        </w:rPr>
      </w:pPr>
      <w:r w:rsidRPr="00F53CE0">
        <w:rPr>
          <w:rFonts w:ascii="Arial" w:hAnsi="Arial" w:cs="Arial"/>
          <w:szCs w:val="24"/>
        </w:rPr>
        <w:t xml:space="preserve">Toda esa información </w:t>
      </w:r>
      <w:r w:rsidRPr="00F53CE0">
        <w:rPr>
          <w:rFonts w:ascii="Arial" w:hAnsi="Arial" w:cs="Arial"/>
          <w:color w:val="000000" w:themeColor="text1"/>
          <w:szCs w:val="24"/>
          <w:lang w:val="es-ES"/>
        </w:rPr>
        <w:t xml:space="preserve">resulta veraz, </w:t>
      </w:r>
      <w:r w:rsidRPr="00F53CE0">
        <w:rPr>
          <w:rFonts w:ascii="Arial" w:hAnsi="Arial" w:cs="Arial"/>
          <w:szCs w:val="24"/>
        </w:rPr>
        <w:t xml:space="preserve">dado que es totalmente acorde con la ley la posibilidad de devolución de saldos en el evento de no ser posible otorgarse una pensión mínima (artículos 66,72 y 78 de la Ley citada) o hacer parte de la masa </w:t>
      </w:r>
      <w:proofErr w:type="spellStart"/>
      <w:r w:rsidRPr="00F53CE0">
        <w:rPr>
          <w:rFonts w:ascii="Arial" w:hAnsi="Arial" w:cs="Arial"/>
          <w:szCs w:val="24"/>
        </w:rPr>
        <w:t>sucesoral</w:t>
      </w:r>
      <w:proofErr w:type="spellEnd"/>
      <w:r w:rsidRPr="00F53CE0">
        <w:rPr>
          <w:rFonts w:ascii="Arial" w:hAnsi="Arial" w:cs="Arial"/>
          <w:szCs w:val="24"/>
        </w:rPr>
        <w:t xml:space="preserve"> los aportes ante la no existencia de beneficiarios en caso de fallecimiento del afiliado (art. 76 ibídem) y demás características del régimen que se encuentran claramente descritas en la Ley 100/93.</w:t>
      </w:r>
    </w:p>
    <w:p w:rsidR="007370C6" w:rsidRDefault="007370C6" w:rsidP="007370C6">
      <w:pPr>
        <w:spacing w:line="276" w:lineRule="auto"/>
        <w:jc w:val="both"/>
        <w:rPr>
          <w:rFonts w:ascii="Arial" w:hAnsi="Arial" w:cs="Arial"/>
          <w:szCs w:val="24"/>
        </w:rPr>
      </w:pPr>
    </w:p>
    <w:p w:rsidR="007370C6" w:rsidRDefault="007370C6" w:rsidP="007370C6">
      <w:pPr>
        <w:spacing w:line="276" w:lineRule="auto"/>
        <w:jc w:val="both"/>
        <w:rPr>
          <w:rFonts w:ascii="Arial" w:hAnsi="Arial" w:cs="Arial"/>
          <w:color w:val="000000" w:themeColor="text1"/>
          <w:szCs w:val="24"/>
          <w:lang w:val="es-ES"/>
        </w:rPr>
      </w:pPr>
      <w:r>
        <w:rPr>
          <w:rFonts w:ascii="Arial" w:hAnsi="Arial" w:cs="Arial"/>
          <w:szCs w:val="24"/>
        </w:rPr>
        <w:t>Ahora, si bien manifestó que el valor de la mesada pensional prometido por el asesor al momento del traslado no corresponde a lo que en la actualidad puede percibir, lo cierto es que no allegó prueba alguna para demostrar lo inverosímil de dicha información, máxime cuando esta Sala Mayoritaria ha expresado que las proyecciones realizadas en épocas pretéritas parten de suposiciones, en tanto para ello, deben tenerse en cuenta varios aspectos, como por ejemplo, el comportamiento del mercado y los aportes reales de</w:t>
      </w:r>
      <w:r w:rsidR="00C80E30">
        <w:rPr>
          <w:rFonts w:ascii="Arial" w:hAnsi="Arial" w:cs="Arial"/>
          <w:szCs w:val="24"/>
        </w:rPr>
        <w:t xml:space="preserve"> </w:t>
      </w:r>
      <w:r>
        <w:rPr>
          <w:rFonts w:ascii="Arial" w:hAnsi="Arial" w:cs="Arial"/>
          <w:szCs w:val="24"/>
        </w:rPr>
        <w:t>l</w:t>
      </w:r>
      <w:r w:rsidR="00C80E30">
        <w:rPr>
          <w:rFonts w:ascii="Arial" w:hAnsi="Arial" w:cs="Arial"/>
          <w:szCs w:val="24"/>
        </w:rPr>
        <w:t>a afiliada</w:t>
      </w:r>
      <w:r>
        <w:rPr>
          <w:rFonts w:ascii="Arial" w:hAnsi="Arial" w:cs="Arial"/>
          <w:szCs w:val="24"/>
        </w:rPr>
        <w:t xml:space="preserve">, </w:t>
      </w:r>
      <w:r w:rsidR="00C80E30">
        <w:rPr>
          <w:rFonts w:ascii="Arial" w:hAnsi="Arial" w:cs="Arial"/>
          <w:szCs w:val="24"/>
          <w:lang w:eastAsia="es-CO"/>
        </w:rPr>
        <w:t>durante los años futuros, continuidad en e</w:t>
      </w:r>
      <w:r w:rsidR="00C80E30">
        <w:rPr>
          <w:rFonts w:ascii="Arial" w:hAnsi="Arial" w:cs="Arial"/>
          <w:szCs w:val="24"/>
        </w:rPr>
        <w:t>l vínculo laboral, esfuerzo personal de ahorro de la afiliada, es decir, los ahorros que acumularía en su cuenta de ahorro individual y sus rendimientos, alteraciones de las tasas de interés</w:t>
      </w:r>
      <w:r w:rsidR="00444877">
        <w:rPr>
          <w:rFonts w:ascii="Arial" w:hAnsi="Arial" w:cs="Arial"/>
          <w:szCs w:val="24"/>
        </w:rPr>
        <w:t>; i</w:t>
      </w:r>
      <w:r>
        <w:rPr>
          <w:rFonts w:ascii="Arial" w:hAnsi="Arial" w:cs="Arial"/>
          <w:szCs w:val="24"/>
        </w:rPr>
        <w:t>ncluso, el Decreto 692/94 que impone hoy la obligación de hacer las proyecciones, expresa que se trata de meras proyecciones sustentadas en supuestos futuros probabl</w:t>
      </w:r>
      <w:r w:rsidR="00947965">
        <w:rPr>
          <w:rFonts w:ascii="Arial" w:hAnsi="Arial" w:cs="Arial"/>
          <w:szCs w:val="24"/>
        </w:rPr>
        <w:t>es sin certeza de su ocurrencia. Decreto 692/94 que como ya se dijo, en esta parte se adicionó por el decreto reglamentario.</w:t>
      </w:r>
    </w:p>
    <w:p w:rsidR="007370C6" w:rsidRDefault="007370C6" w:rsidP="000058B8">
      <w:pPr>
        <w:spacing w:line="276" w:lineRule="auto"/>
        <w:ind w:right="49"/>
        <w:contextualSpacing/>
        <w:jc w:val="both"/>
        <w:rPr>
          <w:rFonts w:ascii="Arial" w:hAnsi="Arial"/>
          <w:szCs w:val="24"/>
        </w:rPr>
      </w:pPr>
    </w:p>
    <w:p w:rsidR="00C80E30" w:rsidRDefault="00C80E30" w:rsidP="00C80E30">
      <w:pPr>
        <w:spacing w:line="276" w:lineRule="auto"/>
        <w:ind w:right="49"/>
        <w:contextualSpacing/>
        <w:jc w:val="both"/>
        <w:rPr>
          <w:rFonts w:ascii="Arial" w:hAnsi="Arial" w:cs="Arial"/>
          <w:szCs w:val="24"/>
          <w:lang w:eastAsia="es-CO"/>
        </w:rPr>
      </w:pPr>
      <w:r>
        <w:rPr>
          <w:rFonts w:ascii="Arial" w:hAnsi="Arial"/>
          <w:szCs w:val="24"/>
        </w:rPr>
        <w:t xml:space="preserve">Pero en todo caso, lo que debe quedar claro es que </w:t>
      </w:r>
      <w:r w:rsidR="006A56AD">
        <w:rPr>
          <w:rFonts w:ascii="Arial" w:hAnsi="Arial" w:cs="Arial"/>
          <w:szCs w:val="24"/>
        </w:rPr>
        <w:t xml:space="preserve">para la época en que se dio el traslado de régimen, al RAIS no le asistía la obligación de realizar un cálculo o proyección para determinar el valor de la mesada pensional que pudiese recibir en ese régimen, como lo indicó la a-quo, pues esta solo surgió con la expedición de la Ley </w:t>
      </w:r>
      <w:r w:rsidR="006A56AD">
        <w:rPr>
          <w:rFonts w:ascii="Arial" w:hAnsi="Arial" w:cs="Arial"/>
          <w:szCs w:val="24"/>
          <w:lang w:eastAsia="es-CO"/>
        </w:rPr>
        <w:t>1748 de 2014</w:t>
      </w:r>
      <w:r w:rsidR="006A56AD">
        <w:rPr>
          <w:rStyle w:val="Refdenotaalpie"/>
          <w:rFonts w:ascii="Arial" w:hAnsi="Arial" w:cs="Arial"/>
          <w:szCs w:val="24"/>
          <w:lang w:eastAsia="es-CO"/>
        </w:rPr>
        <w:footnoteReference w:id="4"/>
      </w:r>
      <w:r w:rsidR="006A56AD">
        <w:rPr>
          <w:rFonts w:ascii="Arial" w:hAnsi="Arial" w:cs="Arial"/>
          <w:szCs w:val="24"/>
          <w:lang w:eastAsia="es-CO"/>
        </w:rPr>
        <w:t xml:space="preserve"> y el Decreto 2071 de 2015</w:t>
      </w:r>
      <w:r w:rsidR="006A56AD">
        <w:rPr>
          <w:rStyle w:val="Refdenotaalpie"/>
          <w:rFonts w:ascii="Arial" w:hAnsi="Arial" w:cs="Arial"/>
          <w:szCs w:val="24"/>
          <w:lang w:eastAsia="es-CO"/>
        </w:rPr>
        <w:footnoteReference w:id="5"/>
      </w:r>
      <w:r w:rsidR="00947965">
        <w:rPr>
          <w:rFonts w:ascii="Arial" w:hAnsi="Arial" w:cs="Arial"/>
          <w:szCs w:val="24"/>
          <w:lang w:eastAsia="es-CO"/>
        </w:rPr>
        <w:t>, entre otras cosas porque para esa época no se había expedido reglas técnicas que establecieran los parámetros que permitieran realizar esa clase de cálculo, pues no se olvide que estas solo aparecieron en el artículo 2.6.10.4.3.</w:t>
      </w:r>
    </w:p>
    <w:p w:rsidR="00444877" w:rsidRDefault="00444877" w:rsidP="00C80E30">
      <w:pPr>
        <w:spacing w:line="276" w:lineRule="auto"/>
        <w:ind w:right="49"/>
        <w:contextualSpacing/>
        <w:jc w:val="both"/>
        <w:rPr>
          <w:rFonts w:ascii="Arial" w:hAnsi="Arial" w:cs="Arial"/>
          <w:szCs w:val="24"/>
          <w:lang w:eastAsia="es-CO"/>
        </w:rPr>
      </w:pPr>
    </w:p>
    <w:p w:rsidR="006A56AD" w:rsidRPr="00A02E1C" w:rsidRDefault="00297A6E" w:rsidP="006A56AD">
      <w:pPr>
        <w:spacing w:line="276" w:lineRule="auto"/>
        <w:jc w:val="both"/>
        <w:rPr>
          <w:rFonts w:ascii="Arial" w:hAnsi="Arial" w:cs="Arial"/>
          <w:i/>
          <w:color w:val="000000" w:themeColor="text1"/>
          <w:szCs w:val="24"/>
          <w:lang w:val="es-ES"/>
        </w:rPr>
      </w:pPr>
      <w:r>
        <w:rPr>
          <w:rFonts w:ascii="Arial" w:eastAsiaTheme="minorHAnsi" w:hAnsi="Arial" w:cs="Arial"/>
          <w:iCs/>
          <w:szCs w:val="24"/>
        </w:rPr>
        <w:t>Ahora</w:t>
      </w:r>
      <w:r w:rsidR="006A56AD">
        <w:rPr>
          <w:rFonts w:ascii="Arial" w:eastAsiaTheme="minorHAnsi" w:hAnsi="Arial" w:cs="Arial"/>
          <w:iCs/>
          <w:szCs w:val="24"/>
        </w:rPr>
        <w:t xml:space="preserve">, en lo que tiene que ver la crisis financiera del  ISS y su posible extinción, esa </w:t>
      </w:r>
      <w:r w:rsidR="006A56AD">
        <w:rPr>
          <w:rFonts w:ascii="Arial" w:hAnsi="Arial" w:cs="Arial"/>
          <w:color w:val="000000" w:themeColor="text1"/>
          <w:szCs w:val="24"/>
          <w:lang w:val="es-ES"/>
        </w:rPr>
        <w:t>información no puede considerarse falaz, pues para nadie es un secreto que por la entrada en operación de los fondos privados y la competitividad que se emprendió entre esas entidades, financieramente el ISS se vio afectado.</w:t>
      </w:r>
    </w:p>
    <w:p w:rsidR="006A56AD" w:rsidRDefault="006A56AD" w:rsidP="006A56AD">
      <w:pPr>
        <w:spacing w:line="276" w:lineRule="auto"/>
        <w:jc w:val="both"/>
        <w:rPr>
          <w:rFonts w:ascii="Arial" w:eastAsiaTheme="minorHAnsi" w:hAnsi="Arial" w:cs="Arial"/>
          <w:iCs/>
          <w:szCs w:val="24"/>
        </w:rPr>
      </w:pPr>
    </w:p>
    <w:p w:rsidR="006A56AD" w:rsidRDefault="00297A6E" w:rsidP="006A56AD">
      <w:pPr>
        <w:spacing w:line="276" w:lineRule="auto"/>
        <w:jc w:val="both"/>
        <w:rPr>
          <w:rFonts w:ascii="Arial" w:hAnsi="Arial" w:cs="Arial"/>
          <w:szCs w:val="24"/>
        </w:rPr>
      </w:pPr>
      <w:r>
        <w:rPr>
          <w:rFonts w:ascii="Arial" w:hAnsi="Arial" w:cs="Arial"/>
          <w:szCs w:val="24"/>
        </w:rPr>
        <w:t>Finalmente</w:t>
      </w:r>
      <w:r w:rsidR="006A56AD">
        <w:rPr>
          <w:rFonts w:ascii="Arial" w:hAnsi="Arial" w:cs="Arial"/>
          <w:szCs w:val="24"/>
        </w:rPr>
        <w:t xml:space="preserve">, </w:t>
      </w:r>
      <w:r>
        <w:rPr>
          <w:rFonts w:ascii="Arial" w:hAnsi="Arial" w:cs="Arial"/>
          <w:szCs w:val="24"/>
        </w:rPr>
        <w:t xml:space="preserve">debe precisar esta Sala que </w:t>
      </w:r>
      <w:r w:rsidR="006A56AD">
        <w:rPr>
          <w:rFonts w:ascii="Arial" w:hAnsi="Arial" w:cs="Arial"/>
          <w:szCs w:val="24"/>
        </w:rPr>
        <w:t xml:space="preserve">no puede permitir </w:t>
      </w:r>
      <w:r>
        <w:rPr>
          <w:rFonts w:ascii="Arial" w:hAnsi="Arial" w:cs="Arial"/>
          <w:szCs w:val="24"/>
        </w:rPr>
        <w:t xml:space="preserve">que </w:t>
      </w:r>
      <w:r w:rsidR="006A56AD">
        <w:rPr>
          <w:rFonts w:ascii="Arial" w:hAnsi="Arial" w:cs="Arial"/>
          <w:szCs w:val="24"/>
        </w:rPr>
        <w:t xml:space="preserve">se abuse de los derechos, en tanto por </w:t>
      </w:r>
      <w:r>
        <w:rPr>
          <w:rFonts w:ascii="Arial" w:hAnsi="Arial" w:cs="Arial"/>
          <w:szCs w:val="24"/>
        </w:rPr>
        <w:t>23</w:t>
      </w:r>
      <w:r w:rsidR="006A56AD">
        <w:rPr>
          <w:rFonts w:ascii="Arial" w:hAnsi="Arial" w:cs="Arial"/>
          <w:szCs w:val="24"/>
        </w:rPr>
        <w:t xml:space="preserve"> años ha estado latente la posibilidad de acceder a las </w:t>
      </w:r>
      <w:r w:rsidR="006A56AD">
        <w:rPr>
          <w:rFonts w:ascii="Arial" w:hAnsi="Arial" w:cs="Arial"/>
          <w:szCs w:val="24"/>
        </w:rPr>
        <w:lastRenderedPageBreak/>
        <w:t xml:space="preserve">prerrogativas del RAIS, entre otras que sus herederos </w:t>
      </w:r>
      <w:r w:rsidR="006A56AD" w:rsidRPr="00AE2C50">
        <w:rPr>
          <w:rFonts w:ascii="Arial" w:hAnsi="Arial" w:cs="Arial"/>
          <w:szCs w:val="24"/>
        </w:rPr>
        <w:t xml:space="preserve">accedieran al contenido de </w:t>
      </w:r>
      <w:r w:rsidR="006A56AD">
        <w:rPr>
          <w:rFonts w:ascii="Arial" w:hAnsi="Arial" w:cs="Arial"/>
          <w:szCs w:val="24"/>
        </w:rPr>
        <w:t xml:space="preserve">su </w:t>
      </w:r>
      <w:r w:rsidR="006A56AD" w:rsidRPr="00AE2C50">
        <w:rPr>
          <w:rFonts w:ascii="Arial" w:hAnsi="Arial" w:cs="Arial"/>
          <w:szCs w:val="24"/>
        </w:rPr>
        <w:t>cuenta individual</w:t>
      </w:r>
      <w:r w:rsidR="006A56AD">
        <w:rPr>
          <w:rFonts w:ascii="Arial" w:hAnsi="Arial" w:cs="Arial"/>
          <w:szCs w:val="24"/>
        </w:rPr>
        <w:t xml:space="preserve">; pero ahora, cuando </w:t>
      </w:r>
      <w:r w:rsidR="00B76C4B">
        <w:rPr>
          <w:rFonts w:ascii="Arial" w:hAnsi="Arial" w:cs="Arial"/>
          <w:szCs w:val="24"/>
        </w:rPr>
        <w:t xml:space="preserve">alcanzó </w:t>
      </w:r>
      <w:r w:rsidR="006A56AD">
        <w:rPr>
          <w:rFonts w:ascii="Arial" w:hAnsi="Arial" w:cs="Arial"/>
          <w:szCs w:val="24"/>
        </w:rPr>
        <w:t>a cumplir la edad prevista en el RPM, sí demuestre su intención de traslado de régimen, acudiendo a la nulidad, inexistencia o ineficacia del traslado con una afi</w:t>
      </w:r>
      <w:r w:rsidR="004704AC">
        <w:rPr>
          <w:rFonts w:ascii="Arial" w:hAnsi="Arial" w:cs="Arial"/>
          <w:szCs w:val="24"/>
        </w:rPr>
        <w:t xml:space="preserve">rmación contraria a la realidad al no </w:t>
      </w:r>
      <w:r w:rsidR="006A56AD" w:rsidRPr="00725C2C">
        <w:rPr>
          <w:rFonts w:ascii="Arial" w:hAnsi="Arial" w:cs="Arial"/>
          <w:szCs w:val="24"/>
        </w:rPr>
        <w:t>serle posible intentarlo de otra manera, por la limitante que impone el literal e) del artículo 13 de la Ley 100/93, modificado por</w:t>
      </w:r>
      <w:r w:rsidR="006A56AD">
        <w:rPr>
          <w:rFonts w:ascii="Arial" w:hAnsi="Arial" w:cs="Arial"/>
          <w:szCs w:val="24"/>
        </w:rPr>
        <w:t xml:space="preserve"> el artículo 2 de la Ley 797/03, que en su momento estuvo a su disposición. </w:t>
      </w:r>
    </w:p>
    <w:p w:rsidR="00DB1DB2" w:rsidRDefault="00DB1DB2" w:rsidP="006A56AD">
      <w:pPr>
        <w:spacing w:line="276" w:lineRule="auto"/>
        <w:jc w:val="both"/>
        <w:rPr>
          <w:rFonts w:ascii="Arial" w:hAnsi="Arial" w:cs="Arial"/>
          <w:szCs w:val="24"/>
        </w:rPr>
      </w:pP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3074D7" w:rsidRDefault="00C64A1B"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F2D49">
        <w:rPr>
          <w:rFonts w:ascii="Arial" w:hAnsi="Arial" w:cs="Arial"/>
          <w:color w:val="000000" w:themeColor="text1"/>
          <w:szCs w:val="24"/>
          <w:lang w:eastAsia="es-CO"/>
        </w:rPr>
        <w:t xml:space="preserve">Conforme lo expuesto, la decisión revisada será </w:t>
      </w:r>
      <w:r w:rsidR="003E5A0B">
        <w:rPr>
          <w:rFonts w:ascii="Arial" w:hAnsi="Arial" w:cs="Arial"/>
          <w:color w:val="000000" w:themeColor="text1"/>
          <w:szCs w:val="24"/>
          <w:lang w:eastAsia="es-CO"/>
        </w:rPr>
        <w:t>confirmada</w:t>
      </w:r>
      <w:r>
        <w:rPr>
          <w:rFonts w:ascii="Arial" w:hAnsi="Arial" w:cs="Arial"/>
          <w:color w:val="000000" w:themeColor="text1"/>
          <w:szCs w:val="24"/>
          <w:lang w:eastAsia="es-CO"/>
        </w:rPr>
        <w:t>.</w:t>
      </w:r>
    </w:p>
    <w:p w:rsidR="003074D7" w:rsidRDefault="003074D7"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C64A1B"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Cost</w:t>
      </w:r>
      <w:r>
        <w:rPr>
          <w:rFonts w:ascii="Arial" w:hAnsi="Arial" w:cs="Arial"/>
          <w:color w:val="000000" w:themeColor="text1"/>
          <w:szCs w:val="24"/>
        </w:rPr>
        <w:t xml:space="preserve">as en </w:t>
      </w:r>
      <w:r w:rsidR="003E5A0B">
        <w:rPr>
          <w:rFonts w:ascii="Arial" w:hAnsi="Arial" w:cs="Arial"/>
          <w:color w:val="000000" w:themeColor="text1"/>
          <w:szCs w:val="24"/>
        </w:rPr>
        <w:t>esta instancia</w:t>
      </w:r>
      <w:r w:rsidR="00B21B4F">
        <w:rPr>
          <w:rFonts w:ascii="Arial" w:hAnsi="Arial" w:cs="Arial"/>
          <w:color w:val="000000" w:themeColor="text1"/>
          <w:szCs w:val="24"/>
        </w:rPr>
        <w:t xml:space="preserve"> a cargo de la parte actora </w:t>
      </w:r>
      <w:r w:rsidR="003E5A0B">
        <w:rPr>
          <w:rFonts w:ascii="Arial" w:hAnsi="Arial" w:cs="Arial"/>
          <w:color w:val="000000" w:themeColor="text1"/>
          <w:szCs w:val="24"/>
        </w:rPr>
        <w:t xml:space="preserve">al fracasar su alzada, </w:t>
      </w:r>
      <w:r w:rsidR="0058174E">
        <w:rPr>
          <w:rFonts w:ascii="Arial" w:hAnsi="Arial" w:cs="Arial"/>
          <w:color w:val="000000" w:themeColor="text1"/>
          <w:szCs w:val="24"/>
        </w:rPr>
        <w:t>conforme lo dispone</w:t>
      </w:r>
      <w:r w:rsidR="003E5A0B">
        <w:rPr>
          <w:rFonts w:ascii="Arial" w:hAnsi="Arial" w:cs="Arial"/>
          <w:color w:val="000000" w:themeColor="text1"/>
          <w:szCs w:val="24"/>
        </w:rPr>
        <w:t>n</w:t>
      </w:r>
      <w:r w:rsidR="0058174E">
        <w:rPr>
          <w:rFonts w:ascii="Arial" w:hAnsi="Arial" w:cs="Arial"/>
          <w:color w:val="000000" w:themeColor="text1"/>
          <w:szCs w:val="24"/>
        </w:rPr>
        <w:t xml:space="preserve"> </w:t>
      </w:r>
      <w:r w:rsidR="003E5A0B">
        <w:rPr>
          <w:rFonts w:ascii="Arial" w:hAnsi="Arial" w:cs="Arial"/>
          <w:color w:val="000000" w:themeColor="text1"/>
          <w:szCs w:val="24"/>
        </w:rPr>
        <w:t xml:space="preserve">los numerales 1º y 3º </w:t>
      </w:r>
      <w:r w:rsidR="0058174E">
        <w:rPr>
          <w:rFonts w:ascii="Arial" w:hAnsi="Arial" w:cs="Arial"/>
          <w:color w:val="000000" w:themeColor="text1"/>
          <w:szCs w:val="24"/>
        </w:rPr>
        <w:t>del artículo 365 del C.G.P.</w:t>
      </w:r>
    </w:p>
    <w:p w:rsidR="002A7716" w:rsidRPr="00BF2D49" w:rsidRDefault="002A7716" w:rsidP="00C64A1B">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DECISIÓN</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sidR="0090597F">
        <w:rPr>
          <w:rFonts w:ascii="Arial" w:hAnsi="Arial" w:cs="Arial"/>
          <w:b/>
          <w:color w:val="000000" w:themeColor="text1"/>
          <w:sz w:val="24"/>
          <w:szCs w:val="24"/>
        </w:rPr>
        <w:t xml:space="preserve">Primera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E35C9" w:rsidRPr="00BF2D49" w:rsidRDefault="00FE35C9" w:rsidP="005920A9">
      <w:pPr>
        <w:pStyle w:val="Prrafodelista2"/>
        <w:spacing w:after="0"/>
        <w:ind w:left="0"/>
        <w:jc w:val="both"/>
        <w:rPr>
          <w:rFonts w:ascii="Arial" w:hAnsi="Arial" w:cs="Arial"/>
          <w:color w:val="000000" w:themeColor="text1"/>
          <w:sz w:val="24"/>
          <w:szCs w:val="24"/>
        </w:rPr>
      </w:pP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RESUELVE</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w:t>
      </w:r>
      <w:r w:rsidR="003E5A0B">
        <w:rPr>
          <w:rFonts w:ascii="Arial" w:hAnsi="Arial" w:cs="Arial"/>
          <w:b/>
          <w:color w:val="000000" w:themeColor="text1"/>
          <w:sz w:val="24"/>
          <w:szCs w:val="24"/>
        </w:rPr>
        <w:t xml:space="preserve">CONFIRMAR </w:t>
      </w:r>
      <w:r w:rsidR="00646BE7">
        <w:rPr>
          <w:rFonts w:ascii="Arial" w:hAnsi="Arial" w:cs="Arial"/>
          <w:color w:val="000000" w:themeColor="text1"/>
          <w:sz w:val="24"/>
          <w:szCs w:val="24"/>
        </w:rPr>
        <w:t xml:space="preserve">la sentencia proferida el </w:t>
      </w:r>
      <w:r w:rsidR="0090597F">
        <w:rPr>
          <w:rFonts w:ascii="Arial" w:hAnsi="Arial" w:cs="Arial"/>
          <w:color w:val="000000" w:themeColor="text1"/>
          <w:sz w:val="24"/>
          <w:szCs w:val="24"/>
        </w:rPr>
        <w:t>26</w:t>
      </w:r>
      <w:r w:rsidR="00AB5AE6">
        <w:rPr>
          <w:rFonts w:ascii="Arial" w:hAnsi="Arial" w:cs="Arial"/>
          <w:color w:val="000000" w:themeColor="text1"/>
          <w:sz w:val="24"/>
          <w:szCs w:val="24"/>
        </w:rPr>
        <w:t xml:space="preserve"> </w:t>
      </w:r>
      <w:r w:rsidRPr="00BF2D49">
        <w:rPr>
          <w:rFonts w:ascii="Arial" w:hAnsi="Arial" w:cs="Arial"/>
          <w:color w:val="000000" w:themeColor="text1"/>
          <w:sz w:val="24"/>
          <w:szCs w:val="24"/>
        </w:rPr>
        <w:t xml:space="preserve">de </w:t>
      </w:r>
      <w:r w:rsidR="003E5A0B">
        <w:rPr>
          <w:rFonts w:ascii="Arial" w:hAnsi="Arial" w:cs="Arial"/>
          <w:color w:val="000000" w:themeColor="text1"/>
          <w:sz w:val="24"/>
          <w:szCs w:val="24"/>
        </w:rPr>
        <w:t xml:space="preserve">abril </w:t>
      </w:r>
      <w:r>
        <w:rPr>
          <w:rFonts w:ascii="Arial" w:hAnsi="Arial" w:cs="Arial"/>
          <w:color w:val="000000" w:themeColor="text1"/>
          <w:sz w:val="24"/>
          <w:szCs w:val="24"/>
        </w:rPr>
        <w:t>de 201</w:t>
      </w:r>
      <w:r w:rsidR="00D20F9A">
        <w:rPr>
          <w:rFonts w:ascii="Arial" w:hAnsi="Arial" w:cs="Arial"/>
          <w:color w:val="000000" w:themeColor="text1"/>
          <w:sz w:val="24"/>
          <w:szCs w:val="24"/>
        </w:rPr>
        <w:t>8</w:t>
      </w:r>
      <w:r w:rsidRPr="00BF2D49">
        <w:rPr>
          <w:rFonts w:ascii="Arial" w:hAnsi="Arial" w:cs="Arial"/>
          <w:color w:val="000000" w:themeColor="text1"/>
          <w:sz w:val="24"/>
          <w:szCs w:val="24"/>
        </w:rPr>
        <w:t xml:space="preserve"> por el Juzgado </w:t>
      </w:r>
      <w:r w:rsidR="003E5A0B">
        <w:rPr>
          <w:rFonts w:ascii="Arial" w:hAnsi="Arial" w:cs="Arial"/>
          <w:color w:val="000000" w:themeColor="text1"/>
          <w:sz w:val="24"/>
          <w:szCs w:val="24"/>
        </w:rPr>
        <w:t xml:space="preserve">Cuarto </w:t>
      </w:r>
      <w:r w:rsidRPr="00BF2D49">
        <w:rPr>
          <w:rFonts w:ascii="Arial" w:hAnsi="Arial" w:cs="Arial"/>
          <w:color w:val="000000" w:themeColor="text1"/>
          <w:sz w:val="24"/>
          <w:szCs w:val="24"/>
        </w:rPr>
        <w:t xml:space="preserve">Laboral del Circuito de Pereira, dentro del proceso ordinario laboral propuesto por </w:t>
      </w:r>
      <w:r w:rsidR="0090597F">
        <w:rPr>
          <w:rFonts w:ascii="Arial" w:hAnsi="Arial" w:cs="Arial"/>
          <w:color w:val="000000" w:themeColor="text1"/>
          <w:sz w:val="24"/>
          <w:szCs w:val="24"/>
        </w:rPr>
        <w:t xml:space="preserve">la </w:t>
      </w:r>
      <w:r>
        <w:rPr>
          <w:rFonts w:ascii="Arial" w:hAnsi="Arial" w:cs="Arial"/>
          <w:color w:val="000000" w:themeColor="text1"/>
          <w:sz w:val="24"/>
          <w:szCs w:val="24"/>
        </w:rPr>
        <w:t>señor</w:t>
      </w:r>
      <w:r w:rsidR="0090597F">
        <w:rPr>
          <w:rFonts w:ascii="Arial" w:hAnsi="Arial" w:cs="Arial"/>
          <w:color w:val="000000" w:themeColor="text1"/>
          <w:sz w:val="24"/>
          <w:szCs w:val="24"/>
        </w:rPr>
        <w:t>a</w:t>
      </w:r>
      <w:r>
        <w:rPr>
          <w:rFonts w:ascii="Arial" w:hAnsi="Arial" w:cs="Arial"/>
          <w:color w:val="000000" w:themeColor="text1"/>
          <w:sz w:val="24"/>
          <w:szCs w:val="24"/>
        </w:rPr>
        <w:t xml:space="preserve"> </w:t>
      </w:r>
      <w:r w:rsidR="0090597F">
        <w:rPr>
          <w:rFonts w:ascii="Arial" w:hAnsi="Arial" w:cs="Arial"/>
          <w:b/>
          <w:color w:val="000000" w:themeColor="text1"/>
          <w:sz w:val="24"/>
          <w:szCs w:val="24"/>
        </w:rPr>
        <w:t>Gloria Lucía Cardona Giraldo</w:t>
      </w:r>
      <w:r w:rsidR="003A4CF9">
        <w:rPr>
          <w:rFonts w:ascii="Arial" w:hAnsi="Arial" w:cs="Arial"/>
          <w:b/>
          <w:color w:val="000000" w:themeColor="text1"/>
          <w:sz w:val="24"/>
          <w:szCs w:val="24"/>
        </w:rPr>
        <w:t xml:space="preserve"> </w:t>
      </w:r>
      <w:r w:rsidRPr="00BF2D49">
        <w:rPr>
          <w:rFonts w:ascii="Arial" w:hAnsi="Arial" w:cs="Arial"/>
          <w:color w:val="000000" w:themeColor="text1"/>
          <w:sz w:val="24"/>
          <w:szCs w:val="24"/>
        </w:rPr>
        <w:t xml:space="preserve">en contra de </w:t>
      </w:r>
      <w:r w:rsidR="0058174E">
        <w:rPr>
          <w:rFonts w:ascii="Arial" w:hAnsi="Arial" w:cs="Arial"/>
          <w:color w:val="000000" w:themeColor="text1"/>
          <w:sz w:val="24"/>
          <w:szCs w:val="24"/>
        </w:rPr>
        <w:t>l</w:t>
      </w:r>
      <w:r w:rsidR="008908CC">
        <w:rPr>
          <w:rFonts w:ascii="Arial" w:hAnsi="Arial" w:cs="Arial"/>
          <w:color w:val="000000" w:themeColor="text1"/>
          <w:sz w:val="24"/>
          <w:szCs w:val="24"/>
        </w:rPr>
        <w:t>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w:t>
      </w:r>
      <w:r w:rsidR="00487B80">
        <w:rPr>
          <w:rFonts w:ascii="Arial" w:hAnsi="Arial" w:cs="Arial"/>
          <w:b/>
          <w:color w:val="000000" w:themeColor="text1"/>
          <w:sz w:val="24"/>
          <w:szCs w:val="24"/>
        </w:rPr>
        <w:t xml:space="preserve"> </w:t>
      </w:r>
      <w:r w:rsidRPr="00BF2D49">
        <w:rPr>
          <w:rFonts w:ascii="Arial" w:hAnsi="Arial" w:cs="Arial"/>
          <w:b/>
          <w:color w:val="000000" w:themeColor="text1"/>
          <w:sz w:val="24"/>
          <w:szCs w:val="24"/>
        </w:rPr>
        <w:t>COLPENSIONES</w:t>
      </w:r>
      <w:r w:rsidR="0090597F">
        <w:rPr>
          <w:rFonts w:ascii="Arial" w:hAnsi="Arial" w:cs="Arial"/>
          <w:b/>
          <w:color w:val="000000" w:themeColor="text1"/>
          <w:sz w:val="24"/>
          <w:szCs w:val="24"/>
        </w:rPr>
        <w:t xml:space="preserve"> </w:t>
      </w:r>
      <w:r w:rsidR="003E5A0B">
        <w:rPr>
          <w:rFonts w:ascii="Arial" w:hAnsi="Arial" w:cs="Arial"/>
          <w:b/>
          <w:color w:val="000000" w:themeColor="text1"/>
          <w:sz w:val="24"/>
          <w:szCs w:val="24"/>
        </w:rPr>
        <w:t>y Protección S.A.</w:t>
      </w:r>
      <w:r w:rsidR="0058174E">
        <w:rPr>
          <w:rFonts w:ascii="Arial" w:hAnsi="Arial" w:cs="Arial"/>
          <w:color w:val="000000" w:themeColor="text1"/>
          <w:sz w:val="24"/>
          <w:szCs w:val="24"/>
        </w:rPr>
        <w:t>, según lo dicho en precedencia.</w:t>
      </w:r>
    </w:p>
    <w:p w:rsidR="004400E5" w:rsidRDefault="004400E5"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Default="00FB5D12" w:rsidP="005920A9">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Costas en </w:t>
      </w:r>
      <w:r w:rsidR="003E5A0B">
        <w:rPr>
          <w:rFonts w:ascii="Arial" w:hAnsi="Arial" w:cs="Arial"/>
          <w:color w:val="000000" w:themeColor="text1"/>
          <w:szCs w:val="24"/>
        </w:rPr>
        <w:t xml:space="preserve">esta </w:t>
      </w:r>
      <w:r w:rsidR="0058174E">
        <w:rPr>
          <w:rFonts w:ascii="Arial" w:hAnsi="Arial" w:cs="Arial"/>
          <w:color w:val="000000" w:themeColor="text1"/>
          <w:szCs w:val="24"/>
        </w:rPr>
        <w:t>instancia</w:t>
      </w:r>
      <w:r w:rsidR="003E5A0B">
        <w:rPr>
          <w:rFonts w:ascii="Arial" w:hAnsi="Arial" w:cs="Arial"/>
          <w:color w:val="000000" w:themeColor="text1"/>
          <w:szCs w:val="24"/>
        </w:rPr>
        <w:t xml:space="preserve"> a cargo de la parte actora </w:t>
      </w:r>
      <w:r w:rsidR="0058174E">
        <w:rPr>
          <w:rFonts w:ascii="Arial" w:hAnsi="Arial" w:cs="Arial"/>
          <w:color w:val="000000" w:themeColor="text1"/>
          <w:szCs w:val="24"/>
        </w:rPr>
        <w:t>y a favor de las demandadas por partes iguales</w:t>
      </w:r>
      <w:r w:rsidR="00D54708">
        <w:rPr>
          <w:rFonts w:ascii="Arial" w:hAnsi="Arial" w:cs="Arial"/>
          <w:color w:val="000000" w:themeColor="text1"/>
          <w:szCs w:val="24"/>
        </w:rPr>
        <w:t xml:space="preserve">, </w:t>
      </w:r>
      <w:r w:rsidR="003E2C45">
        <w:rPr>
          <w:rFonts w:ascii="Arial" w:hAnsi="Arial" w:cs="Arial"/>
          <w:color w:val="000000" w:themeColor="text1"/>
          <w:szCs w:val="24"/>
        </w:rPr>
        <w:t>por lo expuesto.</w:t>
      </w:r>
    </w:p>
    <w:p w:rsidR="00942299" w:rsidRPr="00BF2D49" w:rsidRDefault="00942299" w:rsidP="005920A9">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5920A9">
      <w:pPr>
        <w:spacing w:line="276" w:lineRule="auto"/>
        <w:contextualSpacing/>
        <w:jc w:val="both"/>
        <w:rPr>
          <w:rFonts w:ascii="Arial" w:hAnsi="Arial" w:cs="Arial"/>
          <w:color w:val="000000" w:themeColor="text1"/>
          <w:szCs w:val="24"/>
        </w:rPr>
      </w:pPr>
    </w:p>
    <w:p w:rsidR="0063603E" w:rsidRPr="00BF2D49" w:rsidRDefault="0063603E" w:rsidP="005920A9">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3603E" w:rsidRPr="00BF2D49"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p>
    <w:p w:rsidR="0063603E"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Default="0063603E" w:rsidP="005920A9">
      <w:pPr>
        <w:ind w:right="333"/>
        <w:contextualSpacing/>
        <w:jc w:val="both"/>
        <w:rPr>
          <w:rFonts w:ascii="Arial" w:eastAsiaTheme="minorHAnsi" w:hAnsi="Arial" w:cs="Arial"/>
          <w:iCs/>
          <w:szCs w:val="24"/>
        </w:rPr>
      </w:pPr>
    </w:p>
    <w:p w:rsidR="001B2227" w:rsidRPr="00BF2D49" w:rsidRDefault="001B2227" w:rsidP="005920A9">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0B1463" w:rsidRDefault="000B1463"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5D0298" w:rsidRDefault="001B2227" w:rsidP="005D0298">
      <w:pPr>
        <w:spacing w:line="276" w:lineRule="auto"/>
        <w:contextualSpacing/>
        <w:jc w:val="both"/>
        <w:rPr>
          <w:rFonts w:ascii="Arial" w:hAnsi="Arial" w:cs="Arial"/>
          <w:b/>
          <w:color w:val="000000" w:themeColor="text1"/>
          <w:sz w:val="23"/>
          <w:szCs w:val="23"/>
          <w:lang w:val="es-ES"/>
        </w:rPr>
      </w:pPr>
      <w:r>
        <w:rPr>
          <w:rFonts w:ascii="Arial" w:hAnsi="Arial" w:cs="Arial"/>
          <w:b/>
          <w:bCs/>
          <w:iCs/>
          <w:color w:val="000000" w:themeColor="text1"/>
          <w:sz w:val="23"/>
          <w:szCs w:val="23"/>
          <w:lang w:val="es-ES"/>
        </w:rPr>
        <w:t>JULIO CÉSAR SALAZAR MUÑOZ</w:t>
      </w:r>
      <w:r w:rsidR="000B1463">
        <w:rPr>
          <w:rFonts w:ascii="Arial" w:hAnsi="Arial" w:cs="Arial"/>
          <w:b/>
          <w:bCs/>
          <w:iCs/>
          <w:color w:val="000000" w:themeColor="text1"/>
          <w:sz w:val="23"/>
          <w:szCs w:val="23"/>
          <w:lang w:val="es-ES"/>
        </w:rPr>
        <w:tab/>
      </w:r>
      <w:r>
        <w:rPr>
          <w:rFonts w:ascii="Arial" w:hAnsi="Arial" w:cs="Arial"/>
          <w:b/>
          <w:bCs/>
          <w:iCs/>
          <w:color w:val="000000" w:themeColor="text1"/>
          <w:sz w:val="23"/>
          <w:szCs w:val="23"/>
          <w:lang w:val="es-ES"/>
        </w:rPr>
        <w:tab/>
      </w:r>
      <w:r w:rsidR="0090597F">
        <w:rPr>
          <w:rFonts w:ascii="Arial" w:hAnsi="Arial" w:cs="Arial"/>
          <w:b/>
          <w:color w:val="000000" w:themeColor="text1"/>
          <w:sz w:val="23"/>
          <w:szCs w:val="23"/>
          <w:lang w:val="es-ES"/>
        </w:rPr>
        <w:t>ANA LUCÍA CAICEDO CALDERÓN</w:t>
      </w:r>
    </w:p>
    <w:p w:rsidR="005D52D2" w:rsidRPr="00487B80" w:rsidRDefault="005D0298" w:rsidP="005D0298">
      <w:pPr>
        <w:spacing w:line="276" w:lineRule="auto"/>
        <w:contextualSpacing/>
        <w:jc w:val="both"/>
        <w:rPr>
          <w:rFonts w:ascii="Arial" w:hAnsi="Arial" w:cs="Arial"/>
          <w:color w:val="000000" w:themeColor="text1"/>
          <w:sz w:val="23"/>
          <w:szCs w:val="23"/>
          <w:lang w:val="es-ES"/>
        </w:rPr>
      </w:pPr>
      <w:r w:rsidRPr="00487B80">
        <w:rPr>
          <w:rFonts w:ascii="Arial" w:hAnsi="Arial" w:cs="Arial"/>
          <w:color w:val="000000" w:themeColor="text1"/>
          <w:sz w:val="23"/>
          <w:szCs w:val="23"/>
          <w:lang w:val="es-ES"/>
        </w:rPr>
        <w:tab/>
      </w:r>
      <w:r w:rsidRPr="00487B80">
        <w:rPr>
          <w:rFonts w:ascii="Arial" w:hAnsi="Arial" w:cs="Arial"/>
          <w:color w:val="000000" w:themeColor="text1"/>
          <w:sz w:val="23"/>
          <w:szCs w:val="23"/>
          <w:lang w:val="es-ES"/>
        </w:rPr>
        <w:tab/>
        <w:t>Magistrado</w:t>
      </w:r>
      <w:r w:rsidRPr="00487B80">
        <w:rPr>
          <w:rFonts w:ascii="Arial" w:hAnsi="Arial" w:cs="Arial"/>
          <w:color w:val="000000" w:themeColor="text1"/>
          <w:sz w:val="23"/>
          <w:szCs w:val="23"/>
          <w:lang w:val="es-ES"/>
        </w:rPr>
        <w:tab/>
      </w:r>
      <w:r w:rsidRPr="00487B80">
        <w:rPr>
          <w:rFonts w:ascii="Arial" w:hAnsi="Arial" w:cs="Arial"/>
          <w:color w:val="000000" w:themeColor="text1"/>
          <w:sz w:val="23"/>
          <w:szCs w:val="23"/>
          <w:lang w:val="es-ES"/>
        </w:rPr>
        <w:tab/>
      </w:r>
      <w:r w:rsidRPr="00487B80">
        <w:rPr>
          <w:rFonts w:ascii="Arial" w:hAnsi="Arial" w:cs="Arial"/>
          <w:color w:val="000000" w:themeColor="text1"/>
          <w:sz w:val="23"/>
          <w:szCs w:val="23"/>
          <w:lang w:val="es-ES"/>
        </w:rPr>
        <w:tab/>
      </w:r>
      <w:r w:rsidRPr="00487B80">
        <w:rPr>
          <w:rFonts w:ascii="Arial" w:hAnsi="Arial" w:cs="Arial"/>
          <w:color w:val="000000" w:themeColor="text1"/>
          <w:sz w:val="23"/>
          <w:szCs w:val="23"/>
          <w:lang w:val="es-ES"/>
        </w:rPr>
        <w:tab/>
      </w:r>
      <w:r w:rsidR="000B1463" w:rsidRPr="00487B80">
        <w:rPr>
          <w:rFonts w:ascii="Arial" w:hAnsi="Arial" w:cs="Arial"/>
          <w:color w:val="000000" w:themeColor="text1"/>
          <w:sz w:val="23"/>
          <w:szCs w:val="23"/>
          <w:lang w:val="es-ES"/>
        </w:rPr>
        <w:tab/>
      </w:r>
      <w:r w:rsidRPr="00487B80">
        <w:rPr>
          <w:rFonts w:ascii="Arial" w:hAnsi="Arial" w:cs="Arial"/>
          <w:color w:val="000000" w:themeColor="text1"/>
          <w:sz w:val="23"/>
          <w:szCs w:val="23"/>
          <w:lang w:val="es-ES"/>
        </w:rPr>
        <w:tab/>
      </w:r>
      <w:r w:rsidR="0090597F" w:rsidRPr="00487B80">
        <w:rPr>
          <w:rFonts w:ascii="Arial" w:hAnsi="Arial" w:cs="Arial"/>
          <w:color w:val="000000" w:themeColor="text1"/>
          <w:sz w:val="23"/>
          <w:szCs w:val="23"/>
          <w:lang w:val="es-ES"/>
        </w:rPr>
        <w:t>Magistrada</w:t>
      </w:r>
      <w:r w:rsidRPr="00487B80">
        <w:rPr>
          <w:rFonts w:ascii="Arial" w:hAnsi="Arial" w:cs="Arial"/>
          <w:color w:val="000000" w:themeColor="text1"/>
          <w:sz w:val="23"/>
          <w:szCs w:val="23"/>
          <w:lang w:val="es-ES"/>
        </w:rPr>
        <w:tab/>
      </w:r>
    </w:p>
    <w:p w:rsidR="00BB231E" w:rsidRDefault="009D107B" w:rsidP="005D0298">
      <w:pPr>
        <w:spacing w:line="276" w:lineRule="auto"/>
        <w:contextualSpacing/>
        <w:jc w:val="both"/>
        <w:rPr>
          <w:rFonts w:ascii="Arial" w:hAnsi="Arial" w:cs="Arial"/>
          <w:color w:val="000000" w:themeColor="text1"/>
          <w:sz w:val="23"/>
          <w:szCs w:val="23"/>
          <w:lang w:val="es-ES"/>
        </w:rPr>
      </w:pPr>
      <w:r w:rsidRPr="000B1463">
        <w:rPr>
          <w:rFonts w:ascii="Arial" w:hAnsi="Arial" w:cs="Arial"/>
          <w:color w:val="000000" w:themeColor="text1"/>
          <w:sz w:val="23"/>
          <w:szCs w:val="23"/>
          <w:lang w:val="es-ES"/>
        </w:rPr>
        <w:tab/>
      </w:r>
      <w:r w:rsidRPr="000B1463">
        <w:rPr>
          <w:rFonts w:ascii="Arial" w:hAnsi="Arial" w:cs="Arial"/>
          <w:color w:val="000000" w:themeColor="text1"/>
          <w:sz w:val="23"/>
          <w:szCs w:val="23"/>
          <w:lang w:val="es-ES"/>
        </w:rPr>
        <w:tab/>
      </w:r>
      <w:r w:rsidRPr="000B1463">
        <w:rPr>
          <w:rFonts w:ascii="Arial" w:hAnsi="Arial" w:cs="Arial"/>
          <w:color w:val="000000" w:themeColor="text1"/>
          <w:sz w:val="23"/>
          <w:szCs w:val="23"/>
          <w:lang w:val="es-ES"/>
        </w:rPr>
        <w:tab/>
      </w:r>
      <w:r w:rsidRPr="000B1463">
        <w:rPr>
          <w:rFonts w:ascii="Arial" w:hAnsi="Arial" w:cs="Arial"/>
          <w:color w:val="000000" w:themeColor="text1"/>
          <w:sz w:val="23"/>
          <w:szCs w:val="23"/>
          <w:lang w:val="es-ES"/>
        </w:rPr>
        <w:tab/>
      </w:r>
      <w:r w:rsidRPr="000B1463">
        <w:rPr>
          <w:rFonts w:ascii="Arial" w:hAnsi="Arial" w:cs="Arial"/>
          <w:color w:val="000000" w:themeColor="text1"/>
          <w:sz w:val="23"/>
          <w:szCs w:val="23"/>
          <w:lang w:val="es-ES"/>
        </w:rPr>
        <w:tab/>
      </w:r>
      <w:r w:rsidRPr="000B1463">
        <w:rPr>
          <w:rFonts w:ascii="Arial" w:hAnsi="Arial" w:cs="Arial"/>
          <w:color w:val="000000" w:themeColor="text1"/>
          <w:sz w:val="23"/>
          <w:szCs w:val="23"/>
          <w:lang w:val="es-ES"/>
        </w:rPr>
        <w:tab/>
      </w:r>
      <w:r w:rsidRPr="000B1463">
        <w:rPr>
          <w:rFonts w:ascii="Arial" w:hAnsi="Arial" w:cs="Arial"/>
          <w:color w:val="000000" w:themeColor="text1"/>
          <w:sz w:val="23"/>
          <w:szCs w:val="23"/>
          <w:lang w:val="es-ES"/>
        </w:rPr>
        <w:tab/>
      </w:r>
      <w:r w:rsidR="000B1463">
        <w:rPr>
          <w:rFonts w:ascii="Arial" w:hAnsi="Arial" w:cs="Arial"/>
          <w:color w:val="000000" w:themeColor="text1"/>
          <w:sz w:val="23"/>
          <w:szCs w:val="23"/>
          <w:lang w:val="es-ES"/>
        </w:rPr>
        <w:tab/>
      </w:r>
      <w:r w:rsidRPr="000B1463">
        <w:rPr>
          <w:rFonts w:ascii="Arial" w:hAnsi="Arial" w:cs="Arial"/>
          <w:color w:val="000000" w:themeColor="text1"/>
          <w:sz w:val="23"/>
          <w:szCs w:val="23"/>
          <w:lang w:val="es-ES"/>
        </w:rPr>
        <w:tab/>
      </w:r>
      <w:r w:rsidR="000B1463" w:rsidRPr="000B1463">
        <w:rPr>
          <w:rFonts w:ascii="Arial" w:hAnsi="Arial" w:cs="Arial"/>
          <w:color w:val="000000" w:themeColor="text1"/>
          <w:sz w:val="23"/>
          <w:szCs w:val="23"/>
          <w:lang w:val="es-ES"/>
        </w:rPr>
        <w:t>S</w:t>
      </w:r>
      <w:r w:rsidRPr="000B1463">
        <w:rPr>
          <w:rFonts w:ascii="Arial" w:hAnsi="Arial" w:cs="Arial"/>
          <w:color w:val="000000" w:themeColor="text1"/>
          <w:sz w:val="23"/>
          <w:szCs w:val="23"/>
          <w:lang w:val="es-ES"/>
        </w:rPr>
        <w:t>alva voto</w:t>
      </w:r>
    </w:p>
    <w:p w:rsidR="002006EC" w:rsidRDefault="002006EC" w:rsidP="005D0298">
      <w:pPr>
        <w:spacing w:line="276" w:lineRule="auto"/>
        <w:contextualSpacing/>
        <w:jc w:val="both"/>
        <w:rPr>
          <w:rFonts w:ascii="Arial" w:hAnsi="Arial" w:cs="Arial"/>
          <w:color w:val="000000" w:themeColor="text1"/>
          <w:sz w:val="23"/>
          <w:szCs w:val="23"/>
          <w:lang w:val="es-ES"/>
        </w:rPr>
      </w:pPr>
    </w:p>
    <w:p w:rsidR="002006EC" w:rsidRDefault="002006EC">
      <w:pPr>
        <w:spacing w:after="160" w:line="259" w:lineRule="auto"/>
        <w:rPr>
          <w:rFonts w:ascii="Arial" w:hAnsi="Arial" w:cs="Arial"/>
          <w:color w:val="000000" w:themeColor="text1"/>
          <w:sz w:val="23"/>
          <w:szCs w:val="23"/>
          <w:lang w:val="es-ES"/>
        </w:rPr>
      </w:pPr>
      <w:r>
        <w:rPr>
          <w:rFonts w:ascii="Arial" w:hAnsi="Arial" w:cs="Arial"/>
          <w:color w:val="000000" w:themeColor="text1"/>
          <w:sz w:val="23"/>
          <w:szCs w:val="23"/>
          <w:lang w:val="es-ES"/>
        </w:rPr>
        <w:br w:type="page"/>
      </w:r>
    </w:p>
    <w:p w:rsidR="002006EC" w:rsidRPr="002006EC" w:rsidRDefault="002006EC" w:rsidP="002006EC">
      <w:pPr>
        <w:pStyle w:val="Ttulo"/>
        <w:spacing w:line="240" w:lineRule="auto"/>
        <w:jc w:val="both"/>
        <w:rPr>
          <w:b w:val="0"/>
          <w:sz w:val="20"/>
          <w:szCs w:val="18"/>
        </w:rPr>
      </w:pPr>
      <w:r w:rsidRPr="002006EC">
        <w:rPr>
          <w:b w:val="0"/>
          <w:sz w:val="20"/>
          <w:szCs w:val="18"/>
        </w:rPr>
        <w:lastRenderedPageBreak/>
        <w:t xml:space="preserve">Providencia: </w:t>
      </w:r>
      <w:r w:rsidRPr="002006EC">
        <w:rPr>
          <w:b w:val="0"/>
          <w:sz w:val="20"/>
          <w:szCs w:val="18"/>
        </w:rPr>
        <w:tab/>
      </w:r>
      <w:r w:rsidRPr="002006EC">
        <w:rPr>
          <w:b w:val="0"/>
          <w:sz w:val="20"/>
          <w:szCs w:val="18"/>
        </w:rPr>
        <w:tab/>
      </w:r>
      <w:r w:rsidRPr="002006EC">
        <w:rPr>
          <w:b w:val="0"/>
          <w:sz w:val="20"/>
          <w:szCs w:val="18"/>
        </w:rPr>
        <w:tab/>
        <w:t>Sentencia del 15 de febrero de 2019</w:t>
      </w:r>
    </w:p>
    <w:p w:rsidR="002006EC" w:rsidRPr="002006EC" w:rsidRDefault="002006EC" w:rsidP="002006EC">
      <w:pPr>
        <w:pStyle w:val="Ttulo"/>
        <w:spacing w:line="240" w:lineRule="auto"/>
        <w:jc w:val="both"/>
        <w:rPr>
          <w:b w:val="0"/>
          <w:sz w:val="20"/>
          <w:szCs w:val="18"/>
        </w:rPr>
      </w:pPr>
      <w:r w:rsidRPr="002006EC">
        <w:rPr>
          <w:b w:val="0"/>
          <w:sz w:val="20"/>
          <w:szCs w:val="18"/>
        </w:rPr>
        <w:t>Radicación No.:</w:t>
      </w:r>
      <w:r w:rsidRPr="002006EC">
        <w:rPr>
          <w:b w:val="0"/>
          <w:sz w:val="20"/>
          <w:szCs w:val="18"/>
        </w:rPr>
        <w:tab/>
      </w:r>
      <w:r w:rsidRPr="002006EC">
        <w:rPr>
          <w:b w:val="0"/>
          <w:sz w:val="20"/>
          <w:szCs w:val="18"/>
        </w:rPr>
        <w:tab/>
      </w:r>
      <w:r w:rsidRPr="002006EC">
        <w:rPr>
          <w:b w:val="0"/>
          <w:sz w:val="20"/>
          <w:szCs w:val="18"/>
        </w:rPr>
        <w:tab/>
        <w:t>66001-31-05-004-2</w:t>
      </w:r>
      <w:bookmarkStart w:id="3" w:name="_GoBack"/>
      <w:bookmarkEnd w:id="3"/>
      <w:r w:rsidRPr="002006EC">
        <w:rPr>
          <w:b w:val="0"/>
          <w:sz w:val="20"/>
          <w:szCs w:val="18"/>
        </w:rPr>
        <w:t>017-00237-01</w:t>
      </w:r>
    </w:p>
    <w:p w:rsidR="002006EC" w:rsidRPr="002006EC" w:rsidRDefault="002006EC" w:rsidP="002006EC">
      <w:pPr>
        <w:pStyle w:val="Ttulo"/>
        <w:spacing w:line="240" w:lineRule="auto"/>
        <w:jc w:val="both"/>
        <w:rPr>
          <w:b w:val="0"/>
          <w:sz w:val="20"/>
          <w:szCs w:val="18"/>
        </w:rPr>
      </w:pPr>
      <w:r w:rsidRPr="002006EC">
        <w:rPr>
          <w:b w:val="0"/>
          <w:sz w:val="20"/>
          <w:szCs w:val="18"/>
        </w:rPr>
        <w:t>Proceso:</w:t>
      </w:r>
      <w:r w:rsidRPr="002006EC">
        <w:rPr>
          <w:b w:val="0"/>
          <w:sz w:val="20"/>
          <w:szCs w:val="18"/>
        </w:rPr>
        <w:tab/>
      </w:r>
      <w:r w:rsidRPr="002006EC">
        <w:rPr>
          <w:b w:val="0"/>
          <w:sz w:val="20"/>
          <w:szCs w:val="18"/>
        </w:rPr>
        <w:tab/>
      </w:r>
      <w:r w:rsidRPr="002006EC">
        <w:rPr>
          <w:b w:val="0"/>
          <w:sz w:val="20"/>
          <w:szCs w:val="18"/>
        </w:rPr>
        <w:tab/>
        <w:t xml:space="preserve">Ordinario laboral </w:t>
      </w:r>
    </w:p>
    <w:p w:rsidR="002006EC" w:rsidRPr="002006EC" w:rsidRDefault="002006EC" w:rsidP="002006EC">
      <w:pPr>
        <w:pStyle w:val="Ttulo"/>
        <w:spacing w:line="240" w:lineRule="auto"/>
        <w:jc w:val="both"/>
        <w:rPr>
          <w:b w:val="0"/>
          <w:sz w:val="20"/>
          <w:szCs w:val="18"/>
        </w:rPr>
      </w:pPr>
      <w:r w:rsidRPr="002006EC">
        <w:rPr>
          <w:b w:val="0"/>
          <w:sz w:val="20"/>
          <w:szCs w:val="18"/>
        </w:rPr>
        <w:t>Demandante:</w:t>
      </w:r>
      <w:r w:rsidRPr="002006EC">
        <w:rPr>
          <w:b w:val="0"/>
          <w:sz w:val="20"/>
          <w:szCs w:val="18"/>
        </w:rPr>
        <w:tab/>
      </w:r>
      <w:r w:rsidRPr="002006EC">
        <w:rPr>
          <w:b w:val="0"/>
          <w:sz w:val="20"/>
          <w:szCs w:val="18"/>
        </w:rPr>
        <w:tab/>
      </w:r>
      <w:r w:rsidRPr="002006EC">
        <w:rPr>
          <w:b w:val="0"/>
          <w:sz w:val="20"/>
          <w:szCs w:val="18"/>
        </w:rPr>
        <w:tab/>
        <w:t>Gloria Lucía Cardona Giraldo</w:t>
      </w:r>
    </w:p>
    <w:p w:rsidR="002006EC" w:rsidRPr="002006EC" w:rsidRDefault="002006EC" w:rsidP="002006EC">
      <w:pPr>
        <w:pStyle w:val="Ttulo"/>
        <w:spacing w:line="240" w:lineRule="auto"/>
        <w:ind w:left="708" w:hanging="708"/>
        <w:jc w:val="both"/>
        <w:rPr>
          <w:b w:val="0"/>
          <w:sz w:val="20"/>
          <w:szCs w:val="18"/>
        </w:rPr>
      </w:pPr>
      <w:r w:rsidRPr="002006EC">
        <w:rPr>
          <w:b w:val="0"/>
          <w:sz w:val="20"/>
          <w:szCs w:val="18"/>
        </w:rPr>
        <w:t>Demandado:</w:t>
      </w:r>
      <w:r w:rsidRPr="002006EC">
        <w:rPr>
          <w:b w:val="0"/>
          <w:sz w:val="20"/>
          <w:szCs w:val="18"/>
        </w:rPr>
        <w:tab/>
      </w:r>
      <w:r w:rsidRPr="002006EC">
        <w:rPr>
          <w:b w:val="0"/>
          <w:sz w:val="20"/>
          <w:szCs w:val="18"/>
        </w:rPr>
        <w:tab/>
      </w:r>
      <w:r w:rsidRPr="002006EC">
        <w:rPr>
          <w:b w:val="0"/>
          <w:sz w:val="20"/>
          <w:szCs w:val="18"/>
        </w:rPr>
        <w:tab/>
        <w:t>Protección S.A.</w:t>
      </w:r>
    </w:p>
    <w:p w:rsidR="002006EC" w:rsidRPr="002006EC" w:rsidRDefault="002006EC" w:rsidP="002006EC">
      <w:pPr>
        <w:pStyle w:val="Ttulo"/>
        <w:spacing w:line="240" w:lineRule="auto"/>
        <w:jc w:val="both"/>
        <w:rPr>
          <w:b w:val="0"/>
          <w:sz w:val="20"/>
          <w:szCs w:val="18"/>
        </w:rPr>
      </w:pPr>
      <w:r w:rsidRPr="002006EC">
        <w:rPr>
          <w:b w:val="0"/>
          <w:sz w:val="20"/>
          <w:szCs w:val="18"/>
        </w:rPr>
        <w:t>Magistrado ponente:</w:t>
      </w:r>
      <w:r w:rsidRPr="002006EC">
        <w:rPr>
          <w:b w:val="0"/>
          <w:sz w:val="20"/>
          <w:szCs w:val="18"/>
        </w:rPr>
        <w:tab/>
      </w:r>
      <w:r w:rsidRPr="002006EC">
        <w:rPr>
          <w:b w:val="0"/>
          <w:sz w:val="20"/>
          <w:szCs w:val="18"/>
        </w:rPr>
        <w:tab/>
        <w:t xml:space="preserve">Olga Lucía Hoyos Sepúlveda </w:t>
      </w:r>
    </w:p>
    <w:p w:rsidR="002006EC" w:rsidRPr="002006EC" w:rsidRDefault="002006EC" w:rsidP="002006EC">
      <w:pPr>
        <w:pStyle w:val="Ttulo"/>
        <w:spacing w:line="240" w:lineRule="auto"/>
        <w:ind w:left="2805" w:hanging="2805"/>
        <w:jc w:val="both"/>
        <w:rPr>
          <w:b w:val="0"/>
          <w:sz w:val="20"/>
          <w:szCs w:val="18"/>
        </w:rPr>
      </w:pPr>
      <w:r w:rsidRPr="002006EC">
        <w:rPr>
          <w:b w:val="0"/>
          <w:sz w:val="20"/>
          <w:szCs w:val="18"/>
        </w:rPr>
        <w:t>Magistrada que salva voto:</w:t>
      </w:r>
      <w:r w:rsidRPr="002006EC">
        <w:rPr>
          <w:b w:val="0"/>
          <w:sz w:val="20"/>
          <w:szCs w:val="18"/>
        </w:rPr>
        <w:tab/>
        <w:t xml:space="preserve"> Ana Lucia Caicedo Calderón</w:t>
      </w:r>
    </w:p>
    <w:p w:rsidR="002006EC" w:rsidRPr="002006EC" w:rsidRDefault="002006EC" w:rsidP="002006EC">
      <w:pPr>
        <w:pStyle w:val="Ttulo"/>
        <w:spacing w:line="240" w:lineRule="auto"/>
        <w:jc w:val="both"/>
        <w:rPr>
          <w:b w:val="0"/>
          <w:sz w:val="20"/>
          <w:szCs w:val="18"/>
        </w:rPr>
      </w:pPr>
    </w:p>
    <w:p w:rsidR="002006EC" w:rsidRPr="002006EC" w:rsidRDefault="002006EC" w:rsidP="002006EC">
      <w:pPr>
        <w:pStyle w:val="Ttulo"/>
        <w:spacing w:line="240" w:lineRule="auto"/>
        <w:jc w:val="both"/>
        <w:rPr>
          <w:b w:val="0"/>
          <w:sz w:val="20"/>
          <w:szCs w:val="18"/>
        </w:rPr>
      </w:pPr>
    </w:p>
    <w:p w:rsidR="002006EC" w:rsidRPr="002006EC" w:rsidRDefault="002006EC" w:rsidP="002006EC">
      <w:pPr>
        <w:pStyle w:val="Ttulo1"/>
        <w:widowControl/>
        <w:autoSpaceDE/>
        <w:autoSpaceDN/>
        <w:adjustRightInd/>
        <w:rPr>
          <w:rFonts w:ascii="Tahoma" w:hAnsi="Tahoma" w:cs="Tahoma"/>
          <w:bCs/>
          <w:sz w:val="24"/>
          <w:szCs w:val="22"/>
          <w:u w:val="single"/>
        </w:rPr>
      </w:pPr>
      <w:r w:rsidRPr="002006EC">
        <w:rPr>
          <w:rFonts w:ascii="Tahoma" w:hAnsi="Tahoma" w:cs="Tahoma"/>
          <w:bCs/>
          <w:sz w:val="24"/>
          <w:szCs w:val="22"/>
          <w:u w:val="single"/>
        </w:rPr>
        <w:t>SALVAMENTO DE VOTO</w:t>
      </w:r>
    </w:p>
    <w:p w:rsidR="002006EC" w:rsidRPr="002006EC" w:rsidRDefault="002006EC" w:rsidP="002006EC">
      <w:pPr>
        <w:jc w:val="both"/>
        <w:rPr>
          <w:rFonts w:ascii="Tahoma" w:hAnsi="Tahoma" w:cs="Tahoma"/>
          <w:b/>
          <w:bCs/>
          <w:szCs w:val="22"/>
        </w:rPr>
      </w:pPr>
    </w:p>
    <w:p w:rsidR="002006EC" w:rsidRPr="002006EC" w:rsidRDefault="002006EC" w:rsidP="002006EC">
      <w:pPr>
        <w:ind w:firstLine="709"/>
        <w:jc w:val="both"/>
        <w:rPr>
          <w:rFonts w:ascii="Tahoma" w:hAnsi="Tahoma" w:cs="Tahoma"/>
          <w:color w:val="000000" w:themeColor="text1"/>
          <w:szCs w:val="22"/>
        </w:rPr>
      </w:pPr>
      <w:r w:rsidRPr="002006EC">
        <w:rPr>
          <w:rFonts w:ascii="Tahoma" w:hAnsi="Tahoma" w:cs="Tahoma"/>
          <w:color w:val="000000" w:themeColor="text1"/>
          <w:szCs w:val="22"/>
        </w:rPr>
        <w:t>Como quiera que mi proyecto fue derrotado por la mayoría de la Sala, mi salvamento de voto se edifica sobre lo que en su oportunidad propuse respecto al caso en cuestión, cuyos argumentos fueron los siguientes:</w:t>
      </w:r>
    </w:p>
    <w:p w:rsidR="002006EC" w:rsidRPr="002006EC" w:rsidRDefault="002006EC" w:rsidP="002006EC">
      <w:pPr>
        <w:ind w:firstLine="851"/>
        <w:jc w:val="both"/>
        <w:rPr>
          <w:rFonts w:ascii="Tahoma" w:hAnsi="Tahoma" w:cs="Tahoma"/>
          <w:szCs w:val="22"/>
        </w:rPr>
      </w:pPr>
    </w:p>
    <w:p w:rsidR="002006EC" w:rsidRPr="002006EC" w:rsidRDefault="002006EC" w:rsidP="002006EC">
      <w:pPr>
        <w:pStyle w:val="Prrafodelista"/>
        <w:numPr>
          <w:ilvl w:val="0"/>
          <w:numId w:val="8"/>
        </w:numPr>
        <w:tabs>
          <w:tab w:val="left" w:pos="-720"/>
          <w:tab w:val="left" w:pos="993"/>
        </w:tabs>
        <w:suppressAutoHyphens/>
        <w:spacing w:after="0" w:line="276" w:lineRule="auto"/>
        <w:ind w:hanging="11"/>
        <w:jc w:val="both"/>
        <w:rPr>
          <w:rFonts w:ascii="Tahoma" w:hAnsi="Tahoma" w:cs="Tahoma"/>
          <w:b/>
          <w:caps/>
          <w:sz w:val="24"/>
        </w:rPr>
      </w:pPr>
      <w:r w:rsidRPr="002006EC">
        <w:rPr>
          <w:rFonts w:ascii="Tahoma" w:hAnsi="Tahoma" w:cs="Tahoma"/>
          <w:b/>
          <w:sz w:val="24"/>
        </w:rPr>
        <w:t>Las reglas sobre la ineficacia del cambio de régimen no distinguen entre beneficiarios del régimen de transición y los que no lo son</w:t>
      </w:r>
    </w:p>
    <w:p w:rsidR="002006EC" w:rsidRPr="002006EC" w:rsidRDefault="002006EC" w:rsidP="002006EC">
      <w:pPr>
        <w:tabs>
          <w:tab w:val="left" w:pos="-720"/>
        </w:tabs>
        <w:suppressAutoHyphens/>
        <w:spacing w:line="276" w:lineRule="auto"/>
        <w:rPr>
          <w:rFonts w:ascii="Tahoma" w:hAnsi="Tahoma" w:cs="Tahoma"/>
          <w:spacing w:val="-3"/>
          <w:kern w:val="1"/>
          <w:szCs w:val="22"/>
        </w:rPr>
      </w:pPr>
    </w:p>
    <w:p w:rsidR="002006EC" w:rsidRPr="002006EC" w:rsidRDefault="002006EC" w:rsidP="002006EC">
      <w:pPr>
        <w:tabs>
          <w:tab w:val="left" w:pos="-720"/>
        </w:tabs>
        <w:suppressAutoHyphens/>
        <w:jc w:val="both"/>
        <w:rPr>
          <w:rFonts w:ascii="Tahoma" w:hAnsi="Tahoma" w:cs="Tahoma"/>
          <w:spacing w:val="-3"/>
          <w:kern w:val="1"/>
          <w:szCs w:val="22"/>
        </w:rPr>
      </w:pPr>
      <w:r w:rsidRPr="002006EC">
        <w:rPr>
          <w:rFonts w:ascii="Tahoma" w:hAnsi="Tahoma" w:cs="Tahoma"/>
          <w:spacing w:val="-3"/>
          <w:kern w:val="1"/>
          <w:szCs w:val="22"/>
        </w:rPr>
        <w:tab/>
        <w:t xml:space="preserve">Dado que las Administradoras de Fondos de Pensiones son organismos profesionales, como pasa a explicarse, considero aplicable en estos casos el artículo 1604 del Código Civil, según el cual la prueba de la </w:t>
      </w:r>
      <w:r w:rsidRPr="002006EC">
        <w:rPr>
          <w:rFonts w:ascii="Tahoma" w:hAnsi="Tahoma" w:cs="Tahoma"/>
          <w:spacing w:val="-3"/>
          <w:kern w:val="1"/>
          <w:szCs w:val="22"/>
          <w:u w:val="single"/>
        </w:rPr>
        <w:t>debida diligencia y cuidado</w:t>
      </w:r>
      <w:r w:rsidRPr="002006EC">
        <w:rPr>
          <w:rFonts w:ascii="Tahoma" w:hAnsi="Tahoma" w:cs="Tahoma"/>
          <w:spacing w:val="-3"/>
          <w:kern w:val="1"/>
          <w:szCs w:val="22"/>
        </w:rPr>
        <w:t xml:space="preserve"> incumbe a quien ha debido emplearla, dadas las siguientes razones:</w:t>
      </w:r>
    </w:p>
    <w:p w:rsidR="002006EC" w:rsidRPr="002006EC" w:rsidRDefault="002006EC" w:rsidP="002006EC">
      <w:pPr>
        <w:tabs>
          <w:tab w:val="left" w:pos="-720"/>
        </w:tabs>
        <w:suppressAutoHyphens/>
        <w:jc w:val="both"/>
        <w:rPr>
          <w:rFonts w:ascii="Tahoma" w:hAnsi="Tahoma" w:cs="Tahoma"/>
          <w:spacing w:val="-3"/>
          <w:kern w:val="1"/>
          <w:szCs w:val="22"/>
        </w:rPr>
      </w:pPr>
    </w:p>
    <w:p w:rsidR="002006EC" w:rsidRPr="002006EC" w:rsidRDefault="002006EC" w:rsidP="002006EC">
      <w:pPr>
        <w:tabs>
          <w:tab w:val="left" w:pos="-720"/>
        </w:tabs>
        <w:suppressAutoHyphens/>
        <w:jc w:val="both"/>
        <w:rPr>
          <w:rFonts w:ascii="Tahoma" w:hAnsi="Tahoma" w:cs="Tahoma"/>
          <w:spacing w:val="-3"/>
          <w:kern w:val="1"/>
          <w:szCs w:val="22"/>
        </w:rPr>
      </w:pPr>
      <w:r w:rsidRPr="002006EC">
        <w:rPr>
          <w:rFonts w:ascii="Tahoma" w:hAnsi="Tahoma" w:cs="Tahoma"/>
          <w:spacing w:val="-3"/>
          <w:kern w:val="1"/>
          <w:szCs w:val="22"/>
        </w:rPr>
        <w:tab/>
      </w:r>
      <w:r w:rsidRPr="002006EC">
        <w:rPr>
          <w:rFonts w:ascii="Tahoma" w:hAnsi="Tahoma" w:cs="Tahoma"/>
          <w:b/>
          <w:spacing w:val="-3"/>
          <w:kern w:val="1"/>
          <w:szCs w:val="22"/>
        </w:rPr>
        <w:t>1.1</w:t>
      </w:r>
      <w:r w:rsidRPr="002006EC">
        <w:rPr>
          <w:rFonts w:ascii="Tahoma" w:hAnsi="Tahoma" w:cs="Tahoma"/>
          <w:spacing w:val="-3"/>
          <w:kern w:val="1"/>
          <w:szCs w:val="22"/>
        </w:rPr>
        <w:t xml:space="preserve"> Las Administradoras de Fondos de Pensiones tienen deberes de carácter profesional con sus afiliados y con los consumidores del mercado potencial en general.</w:t>
      </w:r>
    </w:p>
    <w:p w:rsidR="002006EC" w:rsidRPr="002006EC" w:rsidRDefault="002006EC" w:rsidP="002006EC">
      <w:pPr>
        <w:tabs>
          <w:tab w:val="left" w:pos="-720"/>
        </w:tabs>
        <w:suppressAutoHyphens/>
        <w:jc w:val="both"/>
        <w:rPr>
          <w:rFonts w:ascii="Tahoma" w:hAnsi="Tahoma" w:cs="Tahoma"/>
          <w:spacing w:val="-3"/>
          <w:kern w:val="1"/>
          <w:szCs w:val="22"/>
        </w:rPr>
      </w:pPr>
    </w:p>
    <w:p w:rsidR="002006EC" w:rsidRPr="002006EC" w:rsidRDefault="002006EC" w:rsidP="002006EC">
      <w:pPr>
        <w:tabs>
          <w:tab w:val="left" w:pos="-720"/>
        </w:tabs>
        <w:suppressAutoHyphens/>
        <w:jc w:val="both"/>
        <w:rPr>
          <w:rFonts w:ascii="Tahoma" w:hAnsi="Tahoma" w:cs="Tahoma"/>
          <w:spacing w:val="-3"/>
          <w:kern w:val="1"/>
          <w:szCs w:val="22"/>
        </w:rPr>
      </w:pPr>
      <w:r w:rsidRPr="002006EC">
        <w:rPr>
          <w:rFonts w:ascii="Tahoma" w:hAnsi="Tahoma" w:cs="Tahoma"/>
          <w:spacing w:val="-3"/>
          <w:kern w:val="1"/>
          <w:szCs w:val="22"/>
        </w:rPr>
        <w:tab/>
      </w:r>
      <w:r w:rsidRPr="002006EC">
        <w:rPr>
          <w:rFonts w:ascii="Tahoma" w:hAnsi="Tahoma" w:cs="Tahoma"/>
          <w:b/>
          <w:spacing w:val="-3"/>
          <w:kern w:val="1"/>
          <w:szCs w:val="22"/>
        </w:rPr>
        <w:t xml:space="preserve">1.2 </w:t>
      </w:r>
      <w:r w:rsidRPr="002006EC">
        <w:rPr>
          <w:rFonts w:ascii="Tahoma" w:hAnsi="Tahoma" w:cs="Tahoma"/>
          <w:spacing w:val="-3"/>
          <w:kern w:val="1"/>
          <w:szCs w:val="22"/>
        </w:rPr>
        <w:t xml:space="preserve">Las actividades de las entidades financieras en general, de las aseguradoras y de los Fondos de Pensiones y Cesantías, en particular, se encuentran reguladas por el </w:t>
      </w:r>
      <w:r w:rsidRPr="002006EC">
        <w:rPr>
          <w:rFonts w:ascii="Tahoma" w:hAnsi="Tahoma" w:cs="Tahoma"/>
          <w:spacing w:val="-3"/>
          <w:kern w:val="1"/>
          <w:szCs w:val="22"/>
          <w:u w:val="single"/>
        </w:rPr>
        <w:t>Decreto 663 de 1993</w:t>
      </w:r>
      <w:r w:rsidRPr="002006EC">
        <w:rPr>
          <w:rStyle w:val="Refdenotaalpie"/>
          <w:rFonts w:ascii="Tahoma" w:hAnsi="Tahoma" w:cs="Tahoma"/>
          <w:spacing w:val="-3"/>
          <w:kern w:val="1"/>
          <w:szCs w:val="22"/>
          <w:u w:val="single"/>
        </w:rPr>
        <w:footnoteReference w:id="6"/>
      </w:r>
      <w:r w:rsidRPr="002006EC">
        <w:rPr>
          <w:rFonts w:ascii="Tahoma" w:hAnsi="Tahoma" w:cs="Tahoma"/>
          <w:spacing w:val="-3"/>
          <w:kern w:val="1"/>
          <w:szCs w:val="22"/>
        </w:rPr>
        <w:t>, norma en la que se destaca la importancia de los principios de debida diligencia, transparencia e información cierta, suficiente y oportuna.</w:t>
      </w:r>
    </w:p>
    <w:p w:rsidR="002006EC" w:rsidRPr="002006EC" w:rsidRDefault="002006EC" w:rsidP="002006EC">
      <w:pPr>
        <w:tabs>
          <w:tab w:val="left" w:pos="-720"/>
        </w:tabs>
        <w:suppressAutoHyphens/>
        <w:jc w:val="both"/>
        <w:rPr>
          <w:rFonts w:ascii="Tahoma" w:hAnsi="Tahoma" w:cs="Tahoma"/>
          <w:spacing w:val="-3"/>
          <w:kern w:val="1"/>
          <w:szCs w:val="22"/>
        </w:rPr>
      </w:pPr>
    </w:p>
    <w:p w:rsidR="002006EC" w:rsidRPr="002006EC" w:rsidRDefault="002006EC" w:rsidP="002006EC">
      <w:pPr>
        <w:tabs>
          <w:tab w:val="left" w:pos="-720"/>
        </w:tabs>
        <w:suppressAutoHyphens/>
        <w:jc w:val="both"/>
        <w:rPr>
          <w:rFonts w:ascii="Tahoma" w:hAnsi="Tahoma" w:cs="Tahoma"/>
          <w:spacing w:val="-3"/>
          <w:kern w:val="1"/>
          <w:szCs w:val="22"/>
        </w:rPr>
      </w:pPr>
      <w:r w:rsidRPr="002006EC">
        <w:rPr>
          <w:rFonts w:ascii="Tahoma" w:hAnsi="Tahoma" w:cs="Tahoma"/>
          <w:spacing w:val="-3"/>
          <w:kern w:val="1"/>
          <w:szCs w:val="22"/>
        </w:rPr>
        <w:tab/>
      </w:r>
      <w:r w:rsidRPr="002006EC">
        <w:rPr>
          <w:rFonts w:ascii="Tahoma" w:hAnsi="Tahoma" w:cs="Tahoma"/>
          <w:b/>
          <w:spacing w:val="-3"/>
          <w:kern w:val="1"/>
          <w:szCs w:val="22"/>
        </w:rPr>
        <w:t>1.3</w:t>
      </w:r>
      <w:r w:rsidRPr="002006EC">
        <w:rPr>
          <w:rFonts w:ascii="Tahoma" w:hAnsi="Tahoma" w:cs="Tahoma"/>
          <w:spacing w:val="-3"/>
          <w:kern w:val="1"/>
          <w:szCs w:val="2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rsidR="002006EC" w:rsidRPr="002006EC" w:rsidRDefault="002006EC" w:rsidP="002006EC">
      <w:pPr>
        <w:tabs>
          <w:tab w:val="left" w:pos="-720"/>
        </w:tabs>
        <w:suppressAutoHyphens/>
        <w:jc w:val="both"/>
        <w:rPr>
          <w:rFonts w:ascii="Tahoma" w:hAnsi="Tahoma" w:cs="Tahoma"/>
          <w:spacing w:val="-3"/>
          <w:kern w:val="1"/>
          <w:szCs w:val="22"/>
        </w:rPr>
      </w:pPr>
    </w:p>
    <w:p w:rsidR="002006EC" w:rsidRPr="002006EC" w:rsidRDefault="002006EC" w:rsidP="002006EC">
      <w:pPr>
        <w:tabs>
          <w:tab w:val="left" w:pos="-720"/>
        </w:tabs>
        <w:suppressAutoHyphens/>
        <w:jc w:val="both"/>
        <w:rPr>
          <w:rFonts w:ascii="Tahoma" w:hAnsi="Tahoma" w:cs="Tahoma"/>
          <w:iCs/>
          <w:szCs w:val="22"/>
          <w:u w:val="single"/>
        </w:rPr>
      </w:pPr>
      <w:r w:rsidRPr="002006EC">
        <w:rPr>
          <w:rFonts w:ascii="Tahoma" w:hAnsi="Tahoma" w:cs="Tahoma"/>
          <w:spacing w:val="-3"/>
          <w:kern w:val="1"/>
          <w:szCs w:val="22"/>
        </w:rPr>
        <w:tab/>
      </w:r>
      <w:r w:rsidRPr="002006EC">
        <w:rPr>
          <w:rFonts w:ascii="Tahoma" w:hAnsi="Tahoma" w:cs="Tahoma"/>
          <w:b/>
          <w:spacing w:val="-3"/>
          <w:kern w:val="1"/>
          <w:szCs w:val="22"/>
        </w:rPr>
        <w:t>1.4</w:t>
      </w:r>
      <w:r w:rsidRPr="002006EC">
        <w:rPr>
          <w:rFonts w:ascii="Tahoma" w:hAnsi="Tahoma" w:cs="Tahoma"/>
          <w:spacing w:val="-3"/>
          <w:kern w:val="1"/>
          <w:szCs w:val="22"/>
        </w:rPr>
        <w:t xml:space="preserve"> En numerosas sentencias del órgano de cierre de la jurisdicción ordinaria laboral, se ha establecido que no puede argüirse que </w:t>
      </w:r>
      <w:r w:rsidRPr="002006EC">
        <w:rPr>
          <w:rFonts w:ascii="Tahoma" w:hAnsi="Tahoma" w:cs="Tahoma"/>
          <w:iCs/>
          <w:szCs w:val="22"/>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2006EC">
        <w:rPr>
          <w:rFonts w:ascii="Arial Narrow" w:hAnsi="Arial Narrow" w:cs="Tahoma"/>
          <w:i/>
          <w:iCs/>
          <w:szCs w:val="22"/>
        </w:rPr>
        <w:t>“</w:t>
      </w:r>
      <w:r w:rsidRPr="002006EC">
        <w:rPr>
          <w:rFonts w:ascii="Arial Narrow" w:hAnsi="Arial Narrow" w:cs="Tahoma"/>
          <w:i/>
          <w:iCs/>
          <w:szCs w:val="22"/>
          <w:u w:val="single"/>
        </w:rPr>
        <w:t>dar cuenta de que documentaron clara y suficientemente los efectos que acarrea el cambio de régimen, so pena de declarar ineficaz ese tránsito.”</w:t>
      </w:r>
      <w:r w:rsidRPr="002006EC">
        <w:rPr>
          <w:rFonts w:ascii="Arial Narrow" w:hAnsi="Arial Narrow" w:cs="Tahoma"/>
          <w:iCs/>
          <w:szCs w:val="22"/>
          <w:u w:val="single"/>
        </w:rPr>
        <w:t>.</w:t>
      </w:r>
    </w:p>
    <w:p w:rsidR="002006EC" w:rsidRPr="002006EC" w:rsidRDefault="002006EC" w:rsidP="002006EC">
      <w:pPr>
        <w:tabs>
          <w:tab w:val="left" w:pos="-720"/>
        </w:tabs>
        <w:suppressAutoHyphens/>
        <w:jc w:val="both"/>
        <w:rPr>
          <w:rFonts w:ascii="Tahoma" w:hAnsi="Tahoma" w:cs="Tahoma"/>
          <w:iCs/>
          <w:szCs w:val="22"/>
          <w:u w:val="single"/>
        </w:rPr>
      </w:pPr>
    </w:p>
    <w:p w:rsidR="002006EC" w:rsidRPr="002006EC" w:rsidRDefault="002006EC" w:rsidP="002006EC">
      <w:pPr>
        <w:tabs>
          <w:tab w:val="left" w:pos="-720"/>
        </w:tabs>
        <w:suppressAutoHyphens/>
        <w:jc w:val="both"/>
        <w:rPr>
          <w:rFonts w:ascii="Tahoma" w:hAnsi="Tahoma" w:cs="Tahoma"/>
          <w:iCs/>
          <w:szCs w:val="22"/>
        </w:rPr>
      </w:pPr>
      <w:r w:rsidRPr="002006EC">
        <w:rPr>
          <w:rFonts w:ascii="Tahoma" w:hAnsi="Tahoma" w:cs="Tahoma"/>
          <w:iCs/>
          <w:szCs w:val="22"/>
        </w:rPr>
        <w:tab/>
        <w:t>Es por todo lo anterior que no encuentro justificación alguna para que solo se exija a la AFP prueba de la documentación clara y suficiente de la información trasmitida a los afiliados trasladados por primera vez del RPM al RAIS, en los eventos en estos hayan sido beneficiarios del régimen de transición previsto en el artículo 36 de la Ley 100 de 1993, tal como lo ha sostenido esta Sala Mayoritaria.</w:t>
      </w:r>
    </w:p>
    <w:p w:rsidR="002006EC" w:rsidRPr="002006EC" w:rsidRDefault="002006EC" w:rsidP="002006EC">
      <w:pPr>
        <w:tabs>
          <w:tab w:val="left" w:pos="-720"/>
        </w:tabs>
        <w:suppressAutoHyphens/>
        <w:jc w:val="both"/>
        <w:rPr>
          <w:rFonts w:ascii="Tahoma" w:hAnsi="Tahoma" w:cs="Tahoma"/>
          <w:iCs/>
          <w:szCs w:val="22"/>
        </w:rPr>
      </w:pPr>
    </w:p>
    <w:p w:rsidR="002006EC" w:rsidRPr="002006EC" w:rsidRDefault="002006EC" w:rsidP="002006EC">
      <w:pPr>
        <w:tabs>
          <w:tab w:val="left" w:pos="-720"/>
        </w:tabs>
        <w:suppressAutoHyphens/>
        <w:jc w:val="both"/>
        <w:rPr>
          <w:rFonts w:ascii="Tahoma" w:hAnsi="Tahoma" w:cs="Tahoma"/>
          <w:iCs/>
          <w:szCs w:val="22"/>
        </w:rPr>
      </w:pPr>
      <w:r w:rsidRPr="002006EC">
        <w:rPr>
          <w:rFonts w:ascii="Tahoma" w:hAnsi="Tahoma" w:cs="Tahoma"/>
          <w:iCs/>
          <w:szCs w:val="22"/>
        </w:rPr>
        <w:tab/>
        <w:t xml:space="preserve">Considero que en todos los casos en que un afiliado ponga en cuestión la falta de información veraz, oportuna y completa de las incidencias del cambio del régimen, </w:t>
      </w:r>
      <w:r w:rsidRPr="002006EC">
        <w:rPr>
          <w:rFonts w:ascii="Tahoma" w:hAnsi="Tahoma" w:cs="Tahoma"/>
          <w:iCs/>
          <w:szCs w:val="22"/>
        </w:rPr>
        <w:lastRenderedPageBreak/>
        <w:t>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esa trascendencia.</w:t>
      </w:r>
    </w:p>
    <w:p w:rsidR="002006EC" w:rsidRPr="002006EC" w:rsidRDefault="002006EC" w:rsidP="002006EC">
      <w:pPr>
        <w:tabs>
          <w:tab w:val="left" w:pos="-720"/>
        </w:tabs>
        <w:suppressAutoHyphens/>
        <w:jc w:val="both"/>
        <w:rPr>
          <w:rFonts w:ascii="Tahoma" w:hAnsi="Tahoma" w:cs="Tahoma"/>
          <w:iCs/>
          <w:szCs w:val="22"/>
        </w:rPr>
      </w:pPr>
    </w:p>
    <w:p w:rsidR="002006EC" w:rsidRPr="002006EC" w:rsidRDefault="002006EC" w:rsidP="002006EC">
      <w:pPr>
        <w:tabs>
          <w:tab w:val="left" w:pos="-720"/>
        </w:tabs>
        <w:suppressAutoHyphens/>
        <w:jc w:val="both"/>
        <w:rPr>
          <w:i/>
          <w:iCs/>
          <w:szCs w:val="22"/>
        </w:rPr>
      </w:pPr>
      <w:r w:rsidRPr="002006EC">
        <w:rPr>
          <w:rFonts w:ascii="Tahoma" w:hAnsi="Tahoma" w:cs="Tahoma"/>
          <w:iCs/>
          <w:szCs w:val="22"/>
        </w:rPr>
        <w:tab/>
        <w:t>Dicho deber es exigible desde las etapas previas y preparatorias a la formalización de la afiliación a la administradora, pues el sistema pensional, del que obviamente hacen parte las Administradoras de Fondos de Pensiones, se supone que actúa mediante instituciones especializadas e idóneas, con conocimientos y experiencia, que deben resultar confiables a los ciudadanos quienes les van a entregar sus ahorros y sus seguros de previsión para su vejez,  invalidez o para su familia cercana en caso de muerte prematura.</w:t>
      </w:r>
    </w:p>
    <w:p w:rsidR="002006EC" w:rsidRPr="002006EC" w:rsidRDefault="002006EC" w:rsidP="002006EC">
      <w:pPr>
        <w:tabs>
          <w:tab w:val="left" w:pos="-720"/>
        </w:tabs>
        <w:suppressAutoHyphens/>
        <w:jc w:val="both"/>
        <w:rPr>
          <w:i/>
          <w:iCs/>
          <w:szCs w:val="22"/>
        </w:rPr>
      </w:pPr>
    </w:p>
    <w:p w:rsidR="002006EC" w:rsidRPr="002006EC" w:rsidRDefault="002006EC" w:rsidP="002006EC">
      <w:pPr>
        <w:tabs>
          <w:tab w:val="left" w:pos="-720"/>
        </w:tabs>
        <w:suppressAutoHyphens/>
        <w:jc w:val="both"/>
        <w:rPr>
          <w:rFonts w:ascii="Tahoma" w:hAnsi="Tahoma" w:cs="Tahoma"/>
          <w:iCs/>
          <w:szCs w:val="22"/>
        </w:rPr>
      </w:pPr>
      <w:r w:rsidRPr="002006EC">
        <w:rPr>
          <w:rFonts w:ascii="Tahoma" w:hAnsi="Tahoma" w:cs="Tahoma"/>
          <w:szCs w:val="22"/>
        </w:rPr>
        <w:tab/>
        <w:t xml:space="preserve">Por último, en mis salvamentos de voto he expresado la tesis según la cual, en términos generales, en los procesos en los que se busca la ineficacia del traslado al RAIS, es comprensible que las </w:t>
      </w:r>
      <w:proofErr w:type="spellStart"/>
      <w:r w:rsidRPr="002006EC">
        <w:rPr>
          <w:rFonts w:ascii="Tahoma" w:hAnsi="Tahoma" w:cs="Tahoma"/>
          <w:szCs w:val="22"/>
        </w:rPr>
        <w:t>AFPs</w:t>
      </w:r>
      <w:proofErr w:type="spellEnd"/>
      <w:r w:rsidRPr="002006EC">
        <w:rPr>
          <w:rFonts w:ascii="Tahoma" w:hAnsi="Tahoma" w:cs="Tahoma"/>
          <w:szCs w:val="22"/>
        </w:rPr>
        <w:t xml:space="preserve"> demandadas se encuentran en una situación que les permite aportar las evidencias respecto a si se le brindó al afiliado la información cierta, suficiente, comprensible y oportuna a la hora de convencerlo de trasladarse de régimen.</w:t>
      </w:r>
    </w:p>
    <w:p w:rsidR="002006EC" w:rsidRPr="002006EC" w:rsidRDefault="002006EC" w:rsidP="002006EC">
      <w:pPr>
        <w:tabs>
          <w:tab w:val="left" w:pos="-720"/>
        </w:tabs>
        <w:suppressAutoHyphens/>
        <w:jc w:val="both"/>
        <w:rPr>
          <w:rFonts w:ascii="Tahoma" w:hAnsi="Tahoma" w:cs="Tahoma"/>
          <w:spacing w:val="-3"/>
          <w:kern w:val="1"/>
          <w:szCs w:val="22"/>
        </w:rPr>
      </w:pPr>
    </w:p>
    <w:p w:rsidR="002006EC" w:rsidRPr="002006EC" w:rsidRDefault="002006EC" w:rsidP="002006EC">
      <w:pPr>
        <w:tabs>
          <w:tab w:val="left" w:pos="-720"/>
        </w:tabs>
        <w:suppressAutoHyphens/>
        <w:jc w:val="both"/>
        <w:rPr>
          <w:rFonts w:ascii="Tahoma" w:hAnsi="Tahoma" w:cs="Tahoma"/>
          <w:spacing w:val="-3"/>
          <w:kern w:val="1"/>
          <w:szCs w:val="22"/>
        </w:rPr>
      </w:pPr>
      <w:r w:rsidRPr="002006EC">
        <w:rPr>
          <w:rFonts w:ascii="Tahoma" w:hAnsi="Tahoma" w:cs="Tahoma"/>
          <w:spacing w:val="-3"/>
          <w:kern w:val="1"/>
          <w:szCs w:val="22"/>
        </w:rPr>
        <w:t xml:space="preserve">En conclusión, he sostenido y sigo sosteniendo que en esta clase de asuntos el deber de información y buen consejo que la ley impone a las Administradoras de Fondos de Pensiones no depende de la calidad del contratante del Seguro de Vejez, Invalidez y Muerte, esto es, de si el afiliado es o no beneficiario del régimen de transición. Considero con todo respeto, que la tesis mayoritaria de la Sala se muestra contraria al significado de un deber profesional, con lo cual se desconoce el principio que desde el antiguo derecho romano enseña que </w:t>
      </w:r>
      <w:r w:rsidRPr="002006EC">
        <w:rPr>
          <w:rFonts w:ascii="Arial Narrow" w:hAnsi="Arial Narrow" w:cs="Tahoma"/>
          <w:i/>
          <w:spacing w:val="-3"/>
          <w:kern w:val="1"/>
          <w:szCs w:val="22"/>
        </w:rPr>
        <w:t xml:space="preserve">la “prueba de la diligencia o cuidado incumbe al que ha debido emplearlo (Art. 1604 C.C.)”, </w:t>
      </w:r>
      <w:r w:rsidRPr="002006EC">
        <w:rPr>
          <w:rFonts w:ascii="Tahoma" w:hAnsi="Tahoma" w:cs="Tahoma"/>
          <w:spacing w:val="-3"/>
          <w:kern w:val="1"/>
          <w:szCs w:val="22"/>
        </w:rPr>
        <w:t>como lo expresé en precedencia.</w:t>
      </w:r>
    </w:p>
    <w:p w:rsidR="002006EC" w:rsidRPr="002006EC" w:rsidRDefault="002006EC" w:rsidP="002006EC">
      <w:pPr>
        <w:tabs>
          <w:tab w:val="left" w:pos="-720"/>
        </w:tabs>
        <w:suppressAutoHyphens/>
        <w:jc w:val="both"/>
        <w:rPr>
          <w:rFonts w:ascii="Tahoma" w:hAnsi="Tahoma" w:cs="Tahoma"/>
          <w:spacing w:val="-3"/>
          <w:kern w:val="1"/>
          <w:szCs w:val="22"/>
        </w:rPr>
      </w:pPr>
    </w:p>
    <w:p w:rsidR="002006EC" w:rsidRPr="002006EC" w:rsidRDefault="002006EC" w:rsidP="002006EC">
      <w:pPr>
        <w:tabs>
          <w:tab w:val="left" w:pos="-720"/>
        </w:tabs>
        <w:suppressAutoHyphens/>
        <w:ind w:left="709"/>
        <w:jc w:val="both"/>
        <w:rPr>
          <w:rFonts w:ascii="Tahoma" w:hAnsi="Tahoma" w:cs="Tahoma"/>
          <w:b/>
          <w:spacing w:val="-3"/>
          <w:kern w:val="1"/>
          <w:szCs w:val="22"/>
        </w:rPr>
      </w:pPr>
      <w:r w:rsidRPr="002006EC">
        <w:rPr>
          <w:rFonts w:ascii="Tahoma" w:hAnsi="Tahoma" w:cs="Tahoma"/>
          <w:b/>
          <w:spacing w:val="-3"/>
          <w:kern w:val="1"/>
          <w:szCs w:val="22"/>
        </w:rPr>
        <w:t>2. Caso concreto</w:t>
      </w:r>
    </w:p>
    <w:p w:rsidR="002006EC" w:rsidRPr="002006EC" w:rsidRDefault="002006EC" w:rsidP="002006EC">
      <w:pPr>
        <w:tabs>
          <w:tab w:val="left" w:pos="-720"/>
        </w:tabs>
        <w:suppressAutoHyphens/>
        <w:jc w:val="both"/>
        <w:rPr>
          <w:rFonts w:ascii="Tahoma" w:hAnsi="Tahoma" w:cs="Tahoma"/>
          <w:spacing w:val="-3"/>
          <w:kern w:val="1"/>
          <w:szCs w:val="22"/>
        </w:rPr>
      </w:pPr>
    </w:p>
    <w:p w:rsidR="002006EC" w:rsidRPr="002006EC" w:rsidRDefault="002006EC" w:rsidP="002006EC">
      <w:pPr>
        <w:tabs>
          <w:tab w:val="left" w:pos="-720"/>
        </w:tabs>
        <w:suppressAutoHyphens/>
        <w:jc w:val="both"/>
        <w:rPr>
          <w:rFonts w:ascii="Tahoma" w:hAnsi="Tahoma" w:cs="Tahoma"/>
          <w:spacing w:val="-3"/>
          <w:kern w:val="1"/>
          <w:szCs w:val="22"/>
        </w:rPr>
      </w:pPr>
      <w:r w:rsidRPr="002006EC">
        <w:rPr>
          <w:rFonts w:ascii="Tahoma" w:hAnsi="Tahoma" w:cs="Tahoma"/>
          <w:spacing w:val="-3"/>
          <w:kern w:val="1"/>
          <w:szCs w:val="22"/>
        </w:rPr>
        <w:tab/>
        <w:t>De los testimonios practicados en primera instancia y del contenido de la declaración de parte rendida por la demandante, se desprende lo siguiente:</w:t>
      </w:r>
    </w:p>
    <w:p w:rsidR="002006EC" w:rsidRPr="002006EC" w:rsidRDefault="002006EC" w:rsidP="002006EC">
      <w:pPr>
        <w:tabs>
          <w:tab w:val="left" w:pos="-720"/>
        </w:tabs>
        <w:suppressAutoHyphens/>
        <w:jc w:val="both"/>
        <w:rPr>
          <w:rFonts w:ascii="Tahoma" w:hAnsi="Tahoma" w:cs="Tahoma"/>
          <w:spacing w:val="-3"/>
          <w:kern w:val="1"/>
          <w:szCs w:val="22"/>
        </w:rPr>
      </w:pPr>
    </w:p>
    <w:p w:rsidR="002006EC" w:rsidRPr="002006EC" w:rsidRDefault="002006EC" w:rsidP="002006EC">
      <w:pPr>
        <w:tabs>
          <w:tab w:val="left" w:pos="-720"/>
        </w:tabs>
        <w:suppressAutoHyphens/>
        <w:ind w:firstLine="709"/>
        <w:jc w:val="both"/>
        <w:rPr>
          <w:rFonts w:ascii="Tahoma" w:hAnsi="Tahoma" w:cs="Tahoma"/>
          <w:spacing w:val="-3"/>
          <w:kern w:val="1"/>
          <w:szCs w:val="22"/>
        </w:rPr>
      </w:pPr>
      <w:r w:rsidRPr="002006EC">
        <w:rPr>
          <w:rFonts w:ascii="Tahoma" w:hAnsi="Tahoma" w:cs="Tahoma"/>
          <w:b/>
          <w:spacing w:val="-3"/>
          <w:kern w:val="1"/>
          <w:szCs w:val="22"/>
        </w:rPr>
        <w:t>2.1</w:t>
      </w:r>
      <w:r w:rsidRPr="002006EC">
        <w:rPr>
          <w:rFonts w:ascii="Tahoma" w:hAnsi="Tahoma" w:cs="Tahoma"/>
          <w:spacing w:val="-3"/>
          <w:kern w:val="1"/>
          <w:szCs w:val="22"/>
        </w:rPr>
        <w:t xml:space="preserve"> Con el propósito de afiliar nuevas personas al RAIS, el Fondo de Pensiones demandado hizo una reunión conjunta con todos los empleados de la entidad financiera en la que trabajaba la demandante, llamada FINEVESA. Dicha empresa tenía entre 6 y 10 empleados, y producto de la información ventilada en aquella reunión, se afiliaron a dicho fondo la demandante y otro número importante de compañeros suyos. </w:t>
      </w:r>
    </w:p>
    <w:p w:rsidR="002006EC" w:rsidRPr="002006EC" w:rsidRDefault="002006EC" w:rsidP="002006EC">
      <w:pPr>
        <w:tabs>
          <w:tab w:val="left" w:pos="-720"/>
        </w:tabs>
        <w:suppressAutoHyphens/>
        <w:ind w:firstLine="709"/>
        <w:jc w:val="both"/>
        <w:rPr>
          <w:rFonts w:ascii="Tahoma" w:hAnsi="Tahoma" w:cs="Tahoma"/>
          <w:spacing w:val="-3"/>
          <w:kern w:val="1"/>
          <w:szCs w:val="22"/>
        </w:rPr>
      </w:pPr>
    </w:p>
    <w:p w:rsidR="002006EC" w:rsidRPr="002006EC" w:rsidRDefault="002006EC" w:rsidP="002006EC">
      <w:pPr>
        <w:tabs>
          <w:tab w:val="left" w:pos="-720"/>
        </w:tabs>
        <w:suppressAutoHyphens/>
        <w:ind w:firstLine="709"/>
        <w:jc w:val="both"/>
        <w:rPr>
          <w:rFonts w:ascii="Tahoma" w:hAnsi="Tahoma" w:cs="Tahoma"/>
          <w:spacing w:val="-3"/>
          <w:kern w:val="1"/>
          <w:szCs w:val="22"/>
        </w:rPr>
      </w:pPr>
      <w:r w:rsidRPr="002006EC">
        <w:rPr>
          <w:rFonts w:ascii="Tahoma" w:hAnsi="Tahoma" w:cs="Tahoma"/>
          <w:b/>
          <w:spacing w:val="-3"/>
          <w:kern w:val="1"/>
          <w:szCs w:val="22"/>
        </w:rPr>
        <w:t>2.2</w:t>
      </w:r>
      <w:r w:rsidRPr="002006EC">
        <w:rPr>
          <w:rFonts w:ascii="Tahoma" w:hAnsi="Tahoma" w:cs="Tahoma"/>
          <w:spacing w:val="-3"/>
          <w:kern w:val="1"/>
          <w:szCs w:val="22"/>
        </w:rPr>
        <w:t xml:space="preserve"> La señora </w:t>
      </w:r>
      <w:r w:rsidRPr="002006EC">
        <w:rPr>
          <w:rFonts w:ascii="Tahoma" w:hAnsi="Tahoma" w:cs="Tahoma"/>
          <w:b/>
          <w:spacing w:val="-3"/>
          <w:kern w:val="1"/>
          <w:szCs w:val="22"/>
        </w:rPr>
        <w:t>MARTHA LILIANA JARAMILLO CASTRILLÓN</w:t>
      </w:r>
      <w:r w:rsidRPr="002006EC">
        <w:rPr>
          <w:rFonts w:ascii="Tahoma" w:hAnsi="Tahoma" w:cs="Tahoma"/>
          <w:spacing w:val="-3"/>
          <w:kern w:val="1"/>
          <w:szCs w:val="22"/>
        </w:rPr>
        <w:t>, quien recuerda haber asistido a dicha reunión, manifestó que ella no pudo ser afiliada a PROTECCIÓN, pues recientemente se había vinculado a otro fondo y no tenía el tiempo mínimo de permanencia para poder trasladarse. Recordó, en la misma línea de la interrogada, que allí se habló del riesgo de liquidación del ISS, y básicamente les informaron que en un Fondo Privado se pensionarían antes que en el ISS y con una mayor mesada.</w:t>
      </w:r>
    </w:p>
    <w:p w:rsidR="002006EC" w:rsidRPr="002006EC" w:rsidRDefault="002006EC" w:rsidP="002006EC">
      <w:pPr>
        <w:tabs>
          <w:tab w:val="left" w:pos="-720"/>
        </w:tabs>
        <w:suppressAutoHyphens/>
        <w:ind w:firstLine="709"/>
        <w:jc w:val="both"/>
        <w:rPr>
          <w:rFonts w:ascii="Tahoma" w:hAnsi="Tahoma" w:cs="Tahoma"/>
          <w:b/>
          <w:spacing w:val="-3"/>
          <w:kern w:val="1"/>
          <w:szCs w:val="22"/>
        </w:rPr>
      </w:pPr>
    </w:p>
    <w:p w:rsidR="002006EC" w:rsidRPr="002006EC" w:rsidRDefault="002006EC" w:rsidP="002006EC">
      <w:pPr>
        <w:tabs>
          <w:tab w:val="left" w:pos="-720"/>
        </w:tabs>
        <w:suppressAutoHyphens/>
        <w:ind w:firstLine="709"/>
        <w:jc w:val="both"/>
        <w:rPr>
          <w:rFonts w:ascii="Tahoma" w:hAnsi="Tahoma" w:cs="Tahoma"/>
          <w:spacing w:val="-3"/>
          <w:kern w:val="1"/>
          <w:szCs w:val="22"/>
        </w:rPr>
      </w:pPr>
      <w:r w:rsidRPr="002006EC">
        <w:rPr>
          <w:rFonts w:ascii="Tahoma" w:hAnsi="Tahoma" w:cs="Tahoma"/>
          <w:b/>
          <w:spacing w:val="-3"/>
          <w:kern w:val="1"/>
          <w:szCs w:val="22"/>
        </w:rPr>
        <w:t>2.3</w:t>
      </w:r>
      <w:r w:rsidRPr="002006EC">
        <w:rPr>
          <w:rFonts w:ascii="Tahoma" w:hAnsi="Tahoma" w:cs="Tahoma"/>
          <w:spacing w:val="-3"/>
          <w:kern w:val="1"/>
          <w:szCs w:val="22"/>
        </w:rPr>
        <w:t xml:space="preserve"> el señor </w:t>
      </w:r>
      <w:r w:rsidRPr="002006EC">
        <w:rPr>
          <w:rFonts w:ascii="Tahoma" w:hAnsi="Tahoma" w:cs="Tahoma"/>
          <w:b/>
          <w:spacing w:val="-3"/>
          <w:kern w:val="1"/>
          <w:szCs w:val="22"/>
        </w:rPr>
        <w:t>JAIME RESTREPO ÁNGEL</w:t>
      </w:r>
      <w:r w:rsidRPr="002006EC">
        <w:rPr>
          <w:rFonts w:ascii="Tahoma" w:hAnsi="Tahoma" w:cs="Tahoma"/>
          <w:spacing w:val="-3"/>
          <w:kern w:val="1"/>
          <w:szCs w:val="22"/>
        </w:rPr>
        <w:t>, por su parte, dice que algo recuerda de aquella reunión, que fue conjunta y en las instalaciones de la empresa, pero dijo ser ignorante en los temas de los fondos, por lo que no recuerda exactamente de que se habló en aquel entonces.</w:t>
      </w:r>
    </w:p>
    <w:p w:rsidR="002006EC" w:rsidRPr="002006EC" w:rsidRDefault="002006EC" w:rsidP="002006EC">
      <w:pPr>
        <w:tabs>
          <w:tab w:val="left" w:pos="-720"/>
        </w:tabs>
        <w:suppressAutoHyphens/>
        <w:spacing w:line="276" w:lineRule="auto"/>
        <w:rPr>
          <w:rFonts w:ascii="Tahoma" w:hAnsi="Tahoma" w:cs="Tahoma"/>
          <w:spacing w:val="-3"/>
          <w:kern w:val="1"/>
          <w:szCs w:val="22"/>
        </w:rPr>
      </w:pPr>
    </w:p>
    <w:p w:rsidR="002006EC" w:rsidRPr="002006EC" w:rsidRDefault="002006EC" w:rsidP="002006EC">
      <w:pPr>
        <w:ind w:firstLine="708"/>
        <w:jc w:val="both"/>
        <w:rPr>
          <w:rFonts w:ascii="Tahoma" w:hAnsi="Tahoma" w:cs="Tahoma"/>
          <w:szCs w:val="22"/>
        </w:rPr>
      </w:pPr>
      <w:r w:rsidRPr="002006EC">
        <w:rPr>
          <w:rFonts w:ascii="Tahoma" w:hAnsi="Tahoma" w:cs="Tahoma"/>
          <w:szCs w:val="22"/>
        </w:rPr>
        <w:lastRenderedPageBreak/>
        <w:t>Es claro que las pruebas recaudadas en primera instancia no son suficientes para concluir que la AFP demandada cumplió con su deber de proporcionar a la demandante información clara, precisa, oportuna y comprensible de las implicaciones del cambio de régimen. Y aunque en efecto el RAIS, como lo mencionó el asesor de la AFP demandada en las reuniones que sostuvo con la demandante y sus compañeros de trabajo, tiene la ventaja de ofrecer una pensión anticipada (es decir antes de la edad mínima de pensión), ello y el monto de la misma depende de varios factores, tales como el rendimiento del saldo de la cuenta de ahorro, esto es, la fluctuación del mercado de valores y del portafolio de inversiones del Fondo; el valor del bono pensional, si a este hubiere lugar; la edad de los potenciales beneficiarios de la pensión de sobrevivientes y la edad en la que el afiliado reclame tal prestación, etc., aspectos sobre los que no hay prueba de que se haya ofrecido alguna información por parte de la AFP.</w:t>
      </w:r>
    </w:p>
    <w:p w:rsidR="002006EC" w:rsidRPr="002006EC" w:rsidRDefault="002006EC" w:rsidP="002006EC">
      <w:pPr>
        <w:jc w:val="both"/>
        <w:rPr>
          <w:rFonts w:ascii="Tahoma" w:hAnsi="Tahoma" w:cs="Tahoma"/>
          <w:szCs w:val="22"/>
        </w:rPr>
      </w:pPr>
      <w:r w:rsidRPr="002006EC">
        <w:rPr>
          <w:rFonts w:ascii="Tahoma" w:hAnsi="Tahoma" w:cs="Tahoma"/>
          <w:szCs w:val="22"/>
        </w:rPr>
        <w:tab/>
      </w:r>
    </w:p>
    <w:p w:rsidR="002006EC" w:rsidRPr="002006EC" w:rsidRDefault="002006EC" w:rsidP="002006EC">
      <w:pPr>
        <w:ind w:firstLine="708"/>
        <w:jc w:val="both"/>
        <w:rPr>
          <w:rFonts w:ascii="Tahoma" w:hAnsi="Tahoma" w:cs="Tahoma"/>
          <w:szCs w:val="22"/>
        </w:rPr>
      </w:pPr>
      <w:r w:rsidRPr="002006EC">
        <w:rPr>
          <w:rFonts w:ascii="Tahoma" w:hAnsi="Tahoma" w:cs="Tahoma"/>
          <w:szCs w:val="22"/>
        </w:rPr>
        <w:t>En virtud de lo anterior, considero que debió revocarse la sentencia de primera instancia para, en su lugar, declarar la ineficacia del traslado efectuado por la demandante al régimen de ahorro individual con solidaridad.</w:t>
      </w:r>
    </w:p>
    <w:p w:rsidR="002006EC" w:rsidRPr="002006EC" w:rsidRDefault="002006EC" w:rsidP="002006EC">
      <w:pPr>
        <w:ind w:firstLine="708"/>
        <w:jc w:val="both"/>
        <w:rPr>
          <w:rFonts w:ascii="Tahoma" w:hAnsi="Tahoma" w:cs="Tahoma"/>
          <w:szCs w:val="22"/>
        </w:rPr>
      </w:pPr>
    </w:p>
    <w:p w:rsidR="002006EC" w:rsidRPr="002006EC" w:rsidRDefault="002006EC" w:rsidP="002006EC">
      <w:pPr>
        <w:ind w:firstLine="708"/>
        <w:jc w:val="both"/>
        <w:rPr>
          <w:rFonts w:ascii="Tahoma" w:hAnsi="Tahoma" w:cs="Tahoma"/>
          <w:szCs w:val="22"/>
        </w:rPr>
      </w:pPr>
    </w:p>
    <w:p w:rsidR="002006EC" w:rsidRPr="002006EC" w:rsidRDefault="002006EC" w:rsidP="002006EC">
      <w:pPr>
        <w:pStyle w:val="Textoindependiente"/>
        <w:rPr>
          <w:rFonts w:ascii="Tahoma" w:hAnsi="Tahoma" w:cs="Tahoma"/>
          <w:lang w:val="es-ES"/>
        </w:rPr>
      </w:pPr>
      <w:r w:rsidRPr="002006EC">
        <w:rPr>
          <w:rFonts w:ascii="Tahoma" w:hAnsi="Tahoma" w:cs="Tahoma"/>
          <w:lang w:val="es-ES"/>
        </w:rPr>
        <w:tab/>
        <w:t>En estos términos sustento mi salvamento de voto.</w:t>
      </w:r>
    </w:p>
    <w:p w:rsidR="002006EC" w:rsidRPr="002006EC" w:rsidRDefault="002006EC" w:rsidP="002006EC">
      <w:pPr>
        <w:pStyle w:val="Textoindependiente"/>
        <w:rPr>
          <w:rFonts w:ascii="Tahoma" w:hAnsi="Tahoma" w:cs="Tahoma"/>
          <w:lang w:val="es-ES"/>
        </w:rPr>
      </w:pPr>
    </w:p>
    <w:p w:rsidR="002006EC" w:rsidRPr="002006EC" w:rsidRDefault="002006EC" w:rsidP="002006EC">
      <w:pPr>
        <w:widowControl w:val="0"/>
        <w:autoSpaceDE w:val="0"/>
        <w:autoSpaceDN w:val="0"/>
        <w:adjustRightInd w:val="0"/>
        <w:jc w:val="both"/>
        <w:rPr>
          <w:rFonts w:ascii="Tahoma" w:hAnsi="Tahoma" w:cs="Tahoma"/>
          <w:szCs w:val="22"/>
        </w:rPr>
      </w:pPr>
    </w:p>
    <w:p w:rsidR="002006EC" w:rsidRPr="002006EC" w:rsidRDefault="002006EC" w:rsidP="002006EC">
      <w:pPr>
        <w:widowControl w:val="0"/>
        <w:autoSpaceDE w:val="0"/>
        <w:autoSpaceDN w:val="0"/>
        <w:adjustRightInd w:val="0"/>
        <w:jc w:val="both"/>
        <w:rPr>
          <w:rFonts w:ascii="Tahoma" w:hAnsi="Tahoma" w:cs="Tahoma"/>
          <w:szCs w:val="22"/>
        </w:rPr>
      </w:pPr>
    </w:p>
    <w:p w:rsidR="002006EC" w:rsidRPr="002006EC" w:rsidRDefault="002006EC" w:rsidP="002006EC">
      <w:pPr>
        <w:widowControl w:val="0"/>
        <w:autoSpaceDE w:val="0"/>
        <w:autoSpaceDN w:val="0"/>
        <w:adjustRightInd w:val="0"/>
        <w:jc w:val="both"/>
        <w:rPr>
          <w:rFonts w:ascii="Tahoma" w:hAnsi="Tahoma" w:cs="Tahoma"/>
          <w:szCs w:val="22"/>
        </w:rPr>
      </w:pPr>
    </w:p>
    <w:p w:rsidR="002006EC" w:rsidRPr="002006EC" w:rsidRDefault="002006EC" w:rsidP="002006EC">
      <w:pPr>
        <w:widowControl w:val="0"/>
        <w:autoSpaceDE w:val="0"/>
        <w:autoSpaceDN w:val="0"/>
        <w:adjustRightInd w:val="0"/>
        <w:jc w:val="both"/>
        <w:rPr>
          <w:rFonts w:ascii="Tahoma" w:hAnsi="Tahoma" w:cs="Tahoma"/>
          <w:szCs w:val="22"/>
        </w:rPr>
      </w:pPr>
    </w:p>
    <w:p w:rsidR="002006EC" w:rsidRPr="002006EC" w:rsidRDefault="002006EC" w:rsidP="002006EC">
      <w:pPr>
        <w:widowControl w:val="0"/>
        <w:autoSpaceDE w:val="0"/>
        <w:autoSpaceDN w:val="0"/>
        <w:adjustRightInd w:val="0"/>
        <w:jc w:val="both"/>
        <w:rPr>
          <w:rFonts w:ascii="Tahoma" w:hAnsi="Tahoma" w:cs="Tahoma"/>
          <w:szCs w:val="22"/>
        </w:rPr>
      </w:pPr>
    </w:p>
    <w:p w:rsidR="002006EC" w:rsidRPr="002006EC" w:rsidRDefault="002006EC" w:rsidP="002006EC">
      <w:pPr>
        <w:pStyle w:val="Ttulo3"/>
        <w:spacing w:line="240" w:lineRule="auto"/>
        <w:rPr>
          <w:rFonts w:ascii="Tahoma" w:hAnsi="Tahoma" w:cs="Tahoma"/>
          <w:szCs w:val="22"/>
        </w:rPr>
      </w:pPr>
      <w:r w:rsidRPr="002006EC">
        <w:rPr>
          <w:rFonts w:ascii="Tahoma" w:hAnsi="Tahoma" w:cs="Tahoma"/>
          <w:szCs w:val="22"/>
        </w:rPr>
        <w:t>ANA LUCÍA CAICEDO CALDERÓN</w:t>
      </w:r>
    </w:p>
    <w:p w:rsidR="002006EC" w:rsidRPr="002006EC" w:rsidRDefault="002006EC" w:rsidP="002006EC">
      <w:pPr>
        <w:spacing w:line="276" w:lineRule="auto"/>
        <w:contextualSpacing/>
        <w:jc w:val="center"/>
        <w:rPr>
          <w:rFonts w:ascii="Arial" w:hAnsi="Arial" w:cs="Arial"/>
          <w:color w:val="000000" w:themeColor="text1"/>
          <w:szCs w:val="23"/>
          <w:lang w:val="es-ES"/>
        </w:rPr>
      </w:pPr>
      <w:r w:rsidRPr="002006EC">
        <w:rPr>
          <w:rFonts w:ascii="Tahoma" w:hAnsi="Tahoma" w:cs="Tahoma"/>
          <w:sz w:val="22"/>
          <w:lang w:val="es-ES"/>
        </w:rPr>
        <w:t>Magistrada</w:t>
      </w:r>
    </w:p>
    <w:sectPr w:rsidR="002006EC" w:rsidRPr="002006EC" w:rsidSect="00C965C3">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FBE" w:rsidRDefault="00B50FBE" w:rsidP="00AD05E0">
      <w:r>
        <w:separator/>
      </w:r>
    </w:p>
  </w:endnote>
  <w:endnote w:type="continuationSeparator" w:id="0">
    <w:p w:rsidR="00B50FBE" w:rsidRDefault="00B50FBE"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rPr>
        <w:rFonts w:ascii="Arial" w:hAnsi="Arial" w:cs="Arial"/>
        <w:sz w:val="20"/>
      </w:rPr>
    </w:sdtEndPr>
    <w:sdtContent>
      <w:p w:rsidR="000644EF" w:rsidRPr="00C965C3" w:rsidRDefault="000644EF">
        <w:pPr>
          <w:pStyle w:val="Piedepgina"/>
          <w:jc w:val="right"/>
          <w:rPr>
            <w:rFonts w:ascii="Arial" w:hAnsi="Arial" w:cs="Arial"/>
            <w:sz w:val="20"/>
          </w:rPr>
        </w:pPr>
        <w:r w:rsidRPr="00C965C3">
          <w:rPr>
            <w:rFonts w:ascii="Arial" w:hAnsi="Arial" w:cs="Arial"/>
            <w:sz w:val="20"/>
          </w:rPr>
          <w:fldChar w:fldCharType="begin"/>
        </w:r>
        <w:r w:rsidRPr="00C965C3">
          <w:rPr>
            <w:rFonts w:ascii="Arial" w:hAnsi="Arial" w:cs="Arial"/>
            <w:sz w:val="20"/>
          </w:rPr>
          <w:instrText>PAGE   \* MERGEFORMAT</w:instrText>
        </w:r>
        <w:r w:rsidRPr="00C965C3">
          <w:rPr>
            <w:rFonts w:ascii="Arial" w:hAnsi="Arial" w:cs="Arial"/>
            <w:sz w:val="20"/>
          </w:rPr>
          <w:fldChar w:fldCharType="separate"/>
        </w:r>
        <w:r w:rsidR="003E194C" w:rsidRPr="003E194C">
          <w:rPr>
            <w:rFonts w:ascii="Arial" w:hAnsi="Arial" w:cs="Arial"/>
            <w:noProof/>
            <w:sz w:val="20"/>
            <w:lang w:val="es-ES"/>
          </w:rPr>
          <w:t>2</w:t>
        </w:r>
        <w:r w:rsidRPr="00C965C3">
          <w:rPr>
            <w:rFonts w:ascii="Arial" w:hAnsi="Arial" w:cs="Arial"/>
            <w:sz w:val="20"/>
          </w:rPr>
          <w:fldChar w:fldCharType="end"/>
        </w:r>
      </w:p>
    </w:sdtContent>
  </w:sdt>
  <w:p w:rsidR="000644EF" w:rsidRDefault="000644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FBE" w:rsidRDefault="00B50FBE" w:rsidP="00AD05E0">
      <w:r>
        <w:separator/>
      </w:r>
    </w:p>
  </w:footnote>
  <w:footnote w:type="continuationSeparator" w:id="0">
    <w:p w:rsidR="00B50FBE" w:rsidRDefault="00B50FBE" w:rsidP="00AD05E0">
      <w:r>
        <w:continuationSeparator/>
      </w:r>
    </w:p>
  </w:footnote>
  <w:footnote w:id="1">
    <w:p w:rsidR="000644EF" w:rsidRPr="00775A71" w:rsidRDefault="000644EF">
      <w:pPr>
        <w:pStyle w:val="Textonotapie"/>
        <w:rPr>
          <w:rFonts w:ascii="Arial" w:hAnsi="Arial" w:cs="Arial"/>
          <w:sz w:val="18"/>
          <w:szCs w:val="18"/>
          <w:lang w:val="es-CO"/>
        </w:rPr>
      </w:pPr>
      <w:r w:rsidRPr="00775A71">
        <w:rPr>
          <w:rStyle w:val="Refdenotaalpie"/>
          <w:rFonts w:ascii="Arial" w:hAnsi="Arial" w:cs="Arial"/>
          <w:sz w:val="18"/>
          <w:szCs w:val="18"/>
        </w:rPr>
        <w:footnoteRef/>
      </w:r>
      <w:r w:rsidRPr="00775A71">
        <w:rPr>
          <w:rFonts w:ascii="Arial" w:hAnsi="Arial" w:cs="Arial"/>
          <w:sz w:val="18"/>
          <w:szCs w:val="18"/>
        </w:rPr>
        <w:t xml:space="preserve"> M.P. Julio Cesar Salazar Muñoz. Radicado  </w:t>
      </w:r>
      <w:r w:rsidRPr="00775A71">
        <w:rPr>
          <w:rFonts w:ascii="Arial" w:hAnsi="Arial" w:cs="Arial"/>
          <w:sz w:val="18"/>
          <w:szCs w:val="18"/>
          <w:lang w:val="es-CO"/>
        </w:rPr>
        <w:t xml:space="preserve">2016-00394 del 24/01/2018. </w:t>
      </w:r>
    </w:p>
  </w:footnote>
  <w:footnote w:id="2">
    <w:p w:rsidR="000058B8" w:rsidRPr="006C6C83" w:rsidRDefault="000058B8" w:rsidP="000058B8">
      <w:pPr>
        <w:pStyle w:val="Textonotapie"/>
        <w:rPr>
          <w:rFonts w:ascii="Arial" w:hAnsi="Arial" w:cs="Arial"/>
          <w:sz w:val="18"/>
          <w:szCs w:val="18"/>
          <w:lang w:val="es-CO"/>
        </w:rPr>
      </w:pPr>
      <w:r w:rsidRPr="006C6C83">
        <w:rPr>
          <w:rStyle w:val="Refdenotaalpie"/>
          <w:rFonts w:ascii="Arial" w:hAnsi="Arial" w:cs="Arial"/>
          <w:sz w:val="18"/>
          <w:szCs w:val="18"/>
        </w:rPr>
        <w:footnoteRef/>
      </w:r>
      <w:r w:rsidRPr="006C6C83">
        <w:rPr>
          <w:rFonts w:ascii="Arial" w:hAnsi="Arial" w:cs="Arial"/>
          <w:sz w:val="18"/>
          <w:szCs w:val="18"/>
        </w:rPr>
        <w:t xml:space="preserve"> M.P. Gerardo Botero Zuluaga </w:t>
      </w:r>
      <w:r w:rsidRPr="006C6C83">
        <w:rPr>
          <w:rFonts w:ascii="Arial" w:hAnsi="Arial" w:cs="Arial"/>
          <w:sz w:val="18"/>
          <w:szCs w:val="18"/>
          <w:lang w:val="es-CO"/>
        </w:rPr>
        <w:t>SL4964 del 14/11/2018. Radicado 54814.</w:t>
      </w:r>
    </w:p>
  </w:footnote>
  <w:footnote w:id="3">
    <w:p w:rsidR="000058B8" w:rsidRPr="009522C6" w:rsidRDefault="000058B8" w:rsidP="000058B8">
      <w:pPr>
        <w:pStyle w:val="Textonotapie"/>
        <w:rPr>
          <w:rFonts w:ascii="Arial" w:hAnsi="Arial" w:cs="Arial"/>
          <w:sz w:val="18"/>
          <w:szCs w:val="18"/>
          <w:lang w:val="es-CO"/>
        </w:rPr>
      </w:pPr>
      <w:r w:rsidRPr="009522C6">
        <w:rPr>
          <w:rStyle w:val="Refdenotaalpie"/>
          <w:rFonts w:ascii="Arial" w:hAnsi="Arial" w:cs="Arial"/>
          <w:sz w:val="18"/>
          <w:szCs w:val="18"/>
        </w:rPr>
        <w:footnoteRef/>
      </w:r>
      <w:r w:rsidRPr="009522C6">
        <w:rPr>
          <w:rFonts w:ascii="Arial" w:hAnsi="Arial" w:cs="Arial"/>
          <w:sz w:val="18"/>
          <w:szCs w:val="18"/>
        </w:rPr>
        <w:t xml:space="preserve"> </w:t>
      </w:r>
      <w:r w:rsidRPr="009522C6">
        <w:rPr>
          <w:rFonts w:ascii="Arial" w:hAnsi="Arial" w:cs="Arial"/>
          <w:sz w:val="18"/>
          <w:szCs w:val="18"/>
          <w:lang w:val="es-CO"/>
        </w:rPr>
        <w:t>M.P. Clara Cecilia Dueñas, SL 12136 de 2014.</w:t>
      </w:r>
    </w:p>
  </w:footnote>
  <w:footnote w:id="4">
    <w:p w:rsidR="006A56AD" w:rsidRPr="00B85846" w:rsidRDefault="006A56AD" w:rsidP="006A56AD">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 2, parágrafo 2º</w:t>
      </w:r>
    </w:p>
  </w:footnote>
  <w:footnote w:id="5">
    <w:p w:rsidR="006A56AD" w:rsidRPr="00B85846" w:rsidRDefault="006A56AD" w:rsidP="006A56AD">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Artículos 2.6.10.2.3. y 2.6.10.4.3</w:t>
      </w:r>
    </w:p>
  </w:footnote>
  <w:footnote w:id="6">
    <w:p w:rsidR="002006EC" w:rsidRPr="00234679" w:rsidRDefault="002006EC" w:rsidP="002006EC">
      <w:pPr>
        <w:pStyle w:val="Textonotapie"/>
        <w:rPr>
          <w:lang w:val="es-CO"/>
        </w:rPr>
      </w:pPr>
      <w:r>
        <w:rPr>
          <w:rStyle w:val="Refdenotaalpie"/>
        </w:rPr>
        <w:footnoteRef/>
      </w:r>
      <w:r>
        <w:t xml:space="preserve"> </w:t>
      </w:r>
      <w:r>
        <w:rPr>
          <w:lang w:val="es-CO"/>
        </w:rPr>
        <w:t xml:space="preserve">Estatuto Orgánico del Sistema Financiero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4EF" w:rsidRPr="00BB3FED" w:rsidRDefault="000644EF"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0644EF" w:rsidRPr="00BB3FED" w:rsidRDefault="000644EF"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66001-31-05-004-2017-00</w:t>
    </w:r>
    <w:r w:rsidR="0090597F">
      <w:rPr>
        <w:rFonts w:ascii="Arial" w:hAnsi="Arial" w:cs="Arial"/>
        <w:sz w:val="18"/>
        <w:szCs w:val="18"/>
      </w:rPr>
      <w:t>237</w:t>
    </w:r>
    <w:r>
      <w:rPr>
        <w:rFonts w:ascii="Arial" w:hAnsi="Arial" w:cs="Arial"/>
        <w:sz w:val="18"/>
        <w:szCs w:val="18"/>
      </w:rPr>
      <w:t>-01</w:t>
    </w:r>
  </w:p>
  <w:p w:rsidR="000644EF" w:rsidRPr="00BB3FED" w:rsidRDefault="0090597F" w:rsidP="00AD05E0">
    <w:pPr>
      <w:pStyle w:val="Encabezado"/>
      <w:jc w:val="center"/>
      <w:rPr>
        <w:rFonts w:ascii="Arial" w:hAnsi="Arial" w:cs="Arial"/>
        <w:sz w:val="18"/>
        <w:szCs w:val="18"/>
      </w:rPr>
    </w:pPr>
    <w:r>
      <w:rPr>
        <w:rFonts w:ascii="Arial" w:hAnsi="Arial" w:cs="Arial"/>
        <w:sz w:val="18"/>
        <w:szCs w:val="18"/>
      </w:rPr>
      <w:t xml:space="preserve">Gloria Lucía Cardona Giraldo </w:t>
    </w:r>
    <w:r w:rsidR="000644EF" w:rsidRPr="00BB3FED">
      <w:rPr>
        <w:rFonts w:ascii="Arial" w:hAnsi="Arial" w:cs="Arial"/>
        <w:sz w:val="18"/>
        <w:szCs w:val="18"/>
      </w:rPr>
      <w:t xml:space="preserve">vs </w:t>
    </w:r>
    <w:r>
      <w:rPr>
        <w:rFonts w:ascii="Arial" w:hAnsi="Arial" w:cs="Arial"/>
        <w:sz w:val="18"/>
        <w:szCs w:val="18"/>
      </w:rPr>
      <w:t>Colpensiones</w:t>
    </w:r>
    <w:r w:rsidR="000644EF">
      <w:rPr>
        <w:rFonts w:ascii="Arial" w:hAnsi="Arial" w:cs="Arial"/>
        <w:sz w:val="18"/>
        <w:szCs w:val="18"/>
      </w:rPr>
      <w:t xml:space="preserve"> – Protección S.A.</w:t>
    </w:r>
  </w:p>
  <w:p w:rsidR="000644EF" w:rsidRPr="00AD05E0" w:rsidRDefault="000644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15:restartNumberingAfterBreak="0">
    <w:nsid w:val="723D70E6"/>
    <w:multiLevelType w:val="hybridMultilevel"/>
    <w:tmpl w:val="564C2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F8"/>
    <w:rsid w:val="000010FB"/>
    <w:rsid w:val="00003F90"/>
    <w:rsid w:val="0000478E"/>
    <w:rsid w:val="000058B8"/>
    <w:rsid w:val="00013E64"/>
    <w:rsid w:val="000166F4"/>
    <w:rsid w:val="0002018D"/>
    <w:rsid w:val="00024061"/>
    <w:rsid w:val="00024E1C"/>
    <w:rsid w:val="00031373"/>
    <w:rsid w:val="00032119"/>
    <w:rsid w:val="00040088"/>
    <w:rsid w:val="000417FE"/>
    <w:rsid w:val="0004459B"/>
    <w:rsid w:val="000503EF"/>
    <w:rsid w:val="00052289"/>
    <w:rsid w:val="00061B8E"/>
    <w:rsid w:val="000644EF"/>
    <w:rsid w:val="00067DDB"/>
    <w:rsid w:val="000766DA"/>
    <w:rsid w:val="00077EEF"/>
    <w:rsid w:val="00081A2D"/>
    <w:rsid w:val="00081C69"/>
    <w:rsid w:val="00084E89"/>
    <w:rsid w:val="00085E2B"/>
    <w:rsid w:val="00087B8A"/>
    <w:rsid w:val="00093D99"/>
    <w:rsid w:val="000947FC"/>
    <w:rsid w:val="000A4F9D"/>
    <w:rsid w:val="000A5527"/>
    <w:rsid w:val="000A6367"/>
    <w:rsid w:val="000A74F6"/>
    <w:rsid w:val="000B1463"/>
    <w:rsid w:val="000B315B"/>
    <w:rsid w:val="000C706D"/>
    <w:rsid w:val="000C7588"/>
    <w:rsid w:val="000D5ABE"/>
    <w:rsid w:val="000E10C4"/>
    <w:rsid w:val="000E1EC9"/>
    <w:rsid w:val="000E2F8A"/>
    <w:rsid w:val="000F683C"/>
    <w:rsid w:val="0010041E"/>
    <w:rsid w:val="00103281"/>
    <w:rsid w:val="001045F7"/>
    <w:rsid w:val="00106D9C"/>
    <w:rsid w:val="00110327"/>
    <w:rsid w:val="001123ED"/>
    <w:rsid w:val="00115A22"/>
    <w:rsid w:val="001178F8"/>
    <w:rsid w:val="00117D61"/>
    <w:rsid w:val="00120960"/>
    <w:rsid w:val="001250CC"/>
    <w:rsid w:val="00130ACD"/>
    <w:rsid w:val="00132B25"/>
    <w:rsid w:val="00134816"/>
    <w:rsid w:val="00135E06"/>
    <w:rsid w:val="00137A88"/>
    <w:rsid w:val="0014035A"/>
    <w:rsid w:val="00140B80"/>
    <w:rsid w:val="00140D7E"/>
    <w:rsid w:val="001414A4"/>
    <w:rsid w:val="00142B40"/>
    <w:rsid w:val="00144DE7"/>
    <w:rsid w:val="0014698C"/>
    <w:rsid w:val="001506EE"/>
    <w:rsid w:val="001526F5"/>
    <w:rsid w:val="00152759"/>
    <w:rsid w:val="00152966"/>
    <w:rsid w:val="001601F4"/>
    <w:rsid w:val="00160A64"/>
    <w:rsid w:val="00164161"/>
    <w:rsid w:val="00164FFA"/>
    <w:rsid w:val="001776D0"/>
    <w:rsid w:val="00182E71"/>
    <w:rsid w:val="001838B2"/>
    <w:rsid w:val="00184761"/>
    <w:rsid w:val="001862EE"/>
    <w:rsid w:val="0019105C"/>
    <w:rsid w:val="00196910"/>
    <w:rsid w:val="00197B6B"/>
    <w:rsid w:val="001A74F6"/>
    <w:rsid w:val="001B16BB"/>
    <w:rsid w:val="001B1B97"/>
    <w:rsid w:val="001B1C8A"/>
    <w:rsid w:val="001B2227"/>
    <w:rsid w:val="001B5268"/>
    <w:rsid w:val="001D3166"/>
    <w:rsid w:val="001D3F07"/>
    <w:rsid w:val="001D56B0"/>
    <w:rsid w:val="001D7FBD"/>
    <w:rsid w:val="001E326A"/>
    <w:rsid w:val="001E5CD8"/>
    <w:rsid w:val="001E617C"/>
    <w:rsid w:val="001E7996"/>
    <w:rsid w:val="001F7003"/>
    <w:rsid w:val="002006EC"/>
    <w:rsid w:val="00200ECE"/>
    <w:rsid w:val="00203A41"/>
    <w:rsid w:val="00205F81"/>
    <w:rsid w:val="00206A7A"/>
    <w:rsid w:val="00211DFE"/>
    <w:rsid w:val="00215C22"/>
    <w:rsid w:val="00217998"/>
    <w:rsid w:val="00223A61"/>
    <w:rsid w:val="002271DC"/>
    <w:rsid w:val="00231F1D"/>
    <w:rsid w:val="002357E5"/>
    <w:rsid w:val="00237DF3"/>
    <w:rsid w:val="002408C6"/>
    <w:rsid w:val="00252894"/>
    <w:rsid w:val="002903E7"/>
    <w:rsid w:val="00290424"/>
    <w:rsid w:val="00297A6E"/>
    <w:rsid w:val="002A25CB"/>
    <w:rsid w:val="002A350B"/>
    <w:rsid w:val="002A7716"/>
    <w:rsid w:val="002B338A"/>
    <w:rsid w:val="002B4646"/>
    <w:rsid w:val="002B51B8"/>
    <w:rsid w:val="002C01B8"/>
    <w:rsid w:val="002C1B27"/>
    <w:rsid w:val="002C5740"/>
    <w:rsid w:val="002C74F9"/>
    <w:rsid w:val="002D18C5"/>
    <w:rsid w:val="002D3995"/>
    <w:rsid w:val="002E6062"/>
    <w:rsid w:val="002F3031"/>
    <w:rsid w:val="002F4F0F"/>
    <w:rsid w:val="002F61AF"/>
    <w:rsid w:val="00300367"/>
    <w:rsid w:val="003013F3"/>
    <w:rsid w:val="003074D7"/>
    <w:rsid w:val="003107AC"/>
    <w:rsid w:val="003203F5"/>
    <w:rsid w:val="00324CE6"/>
    <w:rsid w:val="003269AF"/>
    <w:rsid w:val="0034108D"/>
    <w:rsid w:val="00341769"/>
    <w:rsid w:val="00344DB9"/>
    <w:rsid w:val="00346681"/>
    <w:rsid w:val="003504F3"/>
    <w:rsid w:val="00351FC5"/>
    <w:rsid w:val="00355585"/>
    <w:rsid w:val="00360EB6"/>
    <w:rsid w:val="0036430B"/>
    <w:rsid w:val="00373BF7"/>
    <w:rsid w:val="0037407A"/>
    <w:rsid w:val="00380184"/>
    <w:rsid w:val="003803AD"/>
    <w:rsid w:val="003922E2"/>
    <w:rsid w:val="0039451A"/>
    <w:rsid w:val="0039489B"/>
    <w:rsid w:val="003A3CF3"/>
    <w:rsid w:val="003A4CF9"/>
    <w:rsid w:val="003B38FB"/>
    <w:rsid w:val="003B3E2B"/>
    <w:rsid w:val="003B6C32"/>
    <w:rsid w:val="003C33F1"/>
    <w:rsid w:val="003C3F94"/>
    <w:rsid w:val="003C712F"/>
    <w:rsid w:val="003D08A9"/>
    <w:rsid w:val="003D32BA"/>
    <w:rsid w:val="003D53B8"/>
    <w:rsid w:val="003D62B9"/>
    <w:rsid w:val="003E194C"/>
    <w:rsid w:val="003E2C45"/>
    <w:rsid w:val="003E5A0B"/>
    <w:rsid w:val="003F10A6"/>
    <w:rsid w:val="003F1BDF"/>
    <w:rsid w:val="003F5CB5"/>
    <w:rsid w:val="00402817"/>
    <w:rsid w:val="004075F5"/>
    <w:rsid w:val="00410BAE"/>
    <w:rsid w:val="00411A56"/>
    <w:rsid w:val="00414678"/>
    <w:rsid w:val="00414BB5"/>
    <w:rsid w:val="00414CA5"/>
    <w:rsid w:val="00417DFD"/>
    <w:rsid w:val="00435C7C"/>
    <w:rsid w:val="0043724B"/>
    <w:rsid w:val="004400E5"/>
    <w:rsid w:val="0044083A"/>
    <w:rsid w:val="00444877"/>
    <w:rsid w:val="004617FD"/>
    <w:rsid w:val="00463295"/>
    <w:rsid w:val="004648C2"/>
    <w:rsid w:val="0046517A"/>
    <w:rsid w:val="004704AC"/>
    <w:rsid w:val="004750D9"/>
    <w:rsid w:val="00477D71"/>
    <w:rsid w:val="00482F8C"/>
    <w:rsid w:val="00485484"/>
    <w:rsid w:val="00486F63"/>
    <w:rsid w:val="00487B80"/>
    <w:rsid w:val="00493622"/>
    <w:rsid w:val="00493BD9"/>
    <w:rsid w:val="004958EC"/>
    <w:rsid w:val="004A23FD"/>
    <w:rsid w:val="004A3462"/>
    <w:rsid w:val="004A3E65"/>
    <w:rsid w:val="004B0270"/>
    <w:rsid w:val="004B41BC"/>
    <w:rsid w:val="004B4408"/>
    <w:rsid w:val="004B5D42"/>
    <w:rsid w:val="004B7029"/>
    <w:rsid w:val="004B7182"/>
    <w:rsid w:val="004C2C5B"/>
    <w:rsid w:val="004C4286"/>
    <w:rsid w:val="004C4505"/>
    <w:rsid w:val="004C49D1"/>
    <w:rsid w:val="004C4CD4"/>
    <w:rsid w:val="004D128B"/>
    <w:rsid w:val="004D2B89"/>
    <w:rsid w:val="004D5321"/>
    <w:rsid w:val="004D6206"/>
    <w:rsid w:val="004D6800"/>
    <w:rsid w:val="004E28C9"/>
    <w:rsid w:val="004F214D"/>
    <w:rsid w:val="004F65AF"/>
    <w:rsid w:val="004F741B"/>
    <w:rsid w:val="00500565"/>
    <w:rsid w:val="00504D70"/>
    <w:rsid w:val="00511829"/>
    <w:rsid w:val="0052140A"/>
    <w:rsid w:val="0052233E"/>
    <w:rsid w:val="005330F5"/>
    <w:rsid w:val="00533B7B"/>
    <w:rsid w:val="00536744"/>
    <w:rsid w:val="00540A2F"/>
    <w:rsid w:val="005417AA"/>
    <w:rsid w:val="005426B2"/>
    <w:rsid w:val="00546A74"/>
    <w:rsid w:val="0054738A"/>
    <w:rsid w:val="00552EBC"/>
    <w:rsid w:val="0055305B"/>
    <w:rsid w:val="00554F23"/>
    <w:rsid w:val="00555FCC"/>
    <w:rsid w:val="00557133"/>
    <w:rsid w:val="00562261"/>
    <w:rsid w:val="005643FF"/>
    <w:rsid w:val="00566FA5"/>
    <w:rsid w:val="00572CB6"/>
    <w:rsid w:val="00572F46"/>
    <w:rsid w:val="005771F8"/>
    <w:rsid w:val="0058174E"/>
    <w:rsid w:val="005920A9"/>
    <w:rsid w:val="00596520"/>
    <w:rsid w:val="005A1F09"/>
    <w:rsid w:val="005B5D81"/>
    <w:rsid w:val="005C30F7"/>
    <w:rsid w:val="005C4677"/>
    <w:rsid w:val="005D0298"/>
    <w:rsid w:val="005D02D4"/>
    <w:rsid w:val="005D52D2"/>
    <w:rsid w:val="005D624B"/>
    <w:rsid w:val="005E2672"/>
    <w:rsid w:val="005E35FE"/>
    <w:rsid w:val="005E411D"/>
    <w:rsid w:val="005E54F4"/>
    <w:rsid w:val="005F2671"/>
    <w:rsid w:val="005F33D2"/>
    <w:rsid w:val="005F66C7"/>
    <w:rsid w:val="00607EF2"/>
    <w:rsid w:val="006121E1"/>
    <w:rsid w:val="00616117"/>
    <w:rsid w:val="00616E49"/>
    <w:rsid w:val="00620025"/>
    <w:rsid w:val="00621049"/>
    <w:rsid w:val="006212B7"/>
    <w:rsid w:val="00621925"/>
    <w:rsid w:val="00632AB1"/>
    <w:rsid w:val="00632D88"/>
    <w:rsid w:val="0063603E"/>
    <w:rsid w:val="006375B7"/>
    <w:rsid w:val="00643988"/>
    <w:rsid w:val="00643B15"/>
    <w:rsid w:val="00646A53"/>
    <w:rsid w:val="00646BE7"/>
    <w:rsid w:val="0064777C"/>
    <w:rsid w:val="00647915"/>
    <w:rsid w:val="00647EF2"/>
    <w:rsid w:val="0065026B"/>
    <w:rsid w:val="00654530"/>
    <w:rsid w:val="00654A86"/>
    <w:rsid w:val="00663480"/>
    <w:rsid w:val="006639EE"/>
    <w:rsid w:val="0066459D"/>
    <w:rsid w:val="0067209B"/>
    <w:rsid w:val="006755AD"/>
    <w:rsid w:val="006822DF"/>
    <w:rsid w:val="00696984"/>
    <w:rsid w:val="00697207"/>
    <w:rsid w:val="006A268C"/>
    <w:rsid w:val="006A56AD"/>
    <w:rsid w:val="006A687B"/>
    <w:rsid w:val="006A7958"/>
    <w:rsid w:val="006B2236"/>
    <w:rsid w:val="006B2F52"/>
    <w:rsid w:val="006B30AC"/>
    <w:rsid w:val="006B5D48"/>
    <w:rsid w:val="006C3FC9"/>
    <w:rsid w:val="006C4BD5"/>
    <w:rsid w:val="006C7579"/>
    <w:rsid w:val="006D1700"/>
    <w:rsid w:val="006D656F"/>
    <w:rsid w:val="006D6EF3"/>
    <w:rsid w:val="006E074F"/>
    <w:rsid w:val="006E76D1"/>
    <w:rsid w:val="006F155B"/>
    <w:rsid w:val="006F454B"/>
    <w:rsid w:val="00701464"/>
    <w:rsid w:val="00706D1D"/>
    <w:rsid w:val="007113B2"/>
    <w:rsid w:val="0071177A"/>
    <w:rsid w:val="00716534"/>
    <w:rsid w:val="0071725A"/>
    <w:rsid w:val="0071730D"/>
    <w:rsid w:val="00720047"/>
    <w:rsid w:val="007311ED"/>
    <w:rsid w:val="007318F3"/>
    <w:rsid w:val="007341F9"/>
    <w:rsid w:val="0073571A"/>
    <w:rsid w:val="007370C6"/>
    <w:rsid w:val="00746921"/>
    <w:rsid w:val="007558C9"/>
    <w:rsid w:val="00755C37"/>
    <w:rsid w:val="007568E0"/>
    <w:rsid w:val="00761F37"/>
    <w:rsid w:val="00762804"/>
    <w:rsid w:val="00774220"/>
    <w:rsid w:val="00775A71"/>
    <w:rsid w:val="00782A12"/>
    <w:rsid w:val="007846BF"/>
    <w:rsid w:val="0078502F"/>
    <w:rsid w:val="007917AA"/>
    <w:rsid w:val="007938ED"/>
    <w:rsid w:val="00796B49"/>
    <w:rsid w:val="007A14C4"/>
    <w:rsid w:val="007A5AE1"/>
    <w:rsid w:val="007A649D"/>
    <w:rsid w:val="007B3431"/>
    <w:rsid w:val="007B4962"/>
    <w:rsid w:val="007B5EAD"/>
    <w:rsid w:val="007C0B4D"/>
    <w:rsid w:val="007C0F0F"/>
    <w:rsid w:val="007C3872"/>
    <w:rsid w:val="007C3CBB"/>
    <w:rsid w:val="007C51D9"/>
    <w:rsid w:val="007C729D"/>
    <w:rsid w:val="007D1C98"/>
    <w:rsid w:val="007D2ADD"/>
    <w:rsid w:val="007E30F5"/>
    <w:rsid w:val="007E53EF"/>
    <w:rsid w:val="007F2FCF"/>
    <w:rsid w:val="007F343B"/>
    <w:rsid w:val="007F6AA7"/>
    <w:rsid w:val="00801E9E"/>
    <w:rsid w:val="0080251F"/>
    <w:rsid w:val="00803D80"/>
    <w:rsid w:val="0080527D"/>
    <w:rsid w:val="00816B3A"/>
    <w:rsid w:val="00816B64"/>
    <w:rsid w:val="00817F7F"/>
    <w:rsid w:val="00822E1C"/>
    <w:rsid w:val="00832A1F"/>
    <w:rsid w:val="008339DA"/>
    <w:rsid w:val="00844F7F"/>
    <w:rsid w:val="00846624"/>
    <w:rsid w:val="0084725D"/>
    <w:rsid w:val="008505D9"/>
    <w:rsid w:val="00853044"/>
    <w:rsid w:val="00854CA1"/>
    <w:rsid w:val="00856878"/>
    <w:rsid w:val="00863E5E"/>
    <w:rsid w:val="00865DB7"/>
    <w:rsid w:val="00866AAE"/>
    <w:rsid w:val="00867AE8"/>
    <w:rsid w:val="00867C42"/>
    <w:rsid w:val="008709F0"/>
    <w:rsid w:val="00871127"/>
    <w:rsid w:val="0087332F"/>
    <w:rsid w:val="00881DD4"/>
    <w:rsid w:val="00882417"/>
    <w:rsid w:val="00886685"/>
    <w:rsid w:val="008908CC"/>
    <w:rsid w:val="008924D9"/>
    <w:rsid w:val="008951E7"/>
    <w:rsid w:val="008A4E98"/>
    <w:rsid w:val="008A72B2"/>
    <w:rsid w:val="008A7722"/>
    <w:rsid w:val="008A7C40"/>
    <w:rsid w:val="008B26C2"/>
    <w:rsid w:val="008B2BDF"/>
    <w:rsid w:val="008B3066"/>
    <w:rsid w:val="008B33A1"/>
    <w:rsid w:val="008C625B"/>
    <w:rsid w:val="008D3527"/>
    <w:rsid w:val="008D3E59"/>
    <w:rsid w:val="008D66EC"/>
    <w:rsid w:val="008D6F2D"/>
    <w:rsid w:val="008E03C0"/>
    <w:rsid w:val="008E2B2E"/>
    <w:rsid w:val="008F3478"/>
    <w:rsid w:val="008F59A7"/>
    <w:rsid w:val="008F74C8"/>
    <w:rsid w:val="009019D5"/>
    <w:rsid w:val="009047E5"/>
    <w:rsid w:val="0090597F"/>
    <w:rsid w:val="00907D42"/>
    <w:rsid w:val="0091299E"/>
    <w:rsid w:val="00913B72"/>
    <w:rsid w:val="009165C8"/>
    <w:rsid w:val="0092039A"/>
    <w:rsid w:val="00927649"/>
    <w:rsid w:val="00927D8F"/>
    <w:rsid w:val="00931422"/>
    <w:rsid w:val="00935BF8"/>
    <w:rsid w:val="00935EE0"/>
    <w:rsid w:val="00936B16"/>
    <w:rsid w:val="00936CAD"/>
    <w:rsid w:val="00942299"/>
    <w:rsid w:val="0094277D"/>
    <w:rsid w:val="0094350D"/>
    <w:rsid w:val="00947965"/>
    <w:rsid w:val="0095209D"/>
    <w:rsid w:val="009567E6"/>
    <w:rsid w:val="00956BB7"/>
    <w:rsid w:val="0095739A"/>
    <w:rsid w:val="0096020D"/>
    <w:rsid w:val="00961DEF"/>
    <w:rsid w:val="0096499E"/>
    <w:rsid w:val="00974729"/>
    <w:rsid w:val="00980CF9"/>
    <w:rsid w:val="00981C17"/>
    <w:rsid w:val="00983A11"/>
    <w:rsid w:val="00992815"/>
    <w:rsid w:val="00996002"/>
    <w:rsid w:val="0099624F"/>
    <w:rsid w:val="009A0F9A"/>
    <w:rsid w:val="009A4C68"/>
    <w:rsid w:val="009A642E"/>
    <w:rsid w:val="009B241C"/>
    <w:rsid w:val="009B7261"/>
    <w:rsid w:val="009D107B"/>
    <w:rsid w:val="009E08EB"/>
    <w:rsid w:val="00A00A78"/>
    <w:rsid w:val="00A01123"/>
    <w:rsid w:val="00A02E1C"/>
    <w:rsid w:val="00A0778F"/>
    <w:rsid w:val="00A109AE"/>
    <w:rsid w:val="00A125DA"/>
    <w:rsid w:val="00A14F6A"/>
    <w:rsid w:val="00A15605"/>
    <w:rsid w:val="00A17A04"/>
    <w:rsid w:val="00A22506"/>
    <w:rsid w:val="00A23973"/>
    <w:rsid w:val="00A263B8"/>
    <w:rsid w:val="00A305FA"/>
    <w:rsid w:val="00A32683"/>
    <w:rsid w:val="00A34053"/>
    <w:rsid w:val="00A41EA1"/>
    <w:rsid w:val="00A44931"/>
    <w:rsid w:val="00A52C67"/>
    <w:rsid w:val="00A55784"/>
    <w:rsid w:val="00A74790"/>
    <w:rsid w:val="00A776A4"/>
    <w:rsid w:val="00A80425"/>
    <w:rsid w:val="00A81222"/>
    <w:rsid w:val="00A83F55"/>
    <w:rsid w:val="00A92346"/>
    <w:rsid w:val="00AA089E"/>
    <w:rsid w:val="00AA2ACA"/>
    <w:rsid w:val="00AA7F13"/>
    <w:rsid w:val="00AB2F1A"/>
    <w:rsid w:val="00AB357E"/>
    <w:rsid w:val="00AB5AE6"/>
    <w:rsid w:val="00AC6A9D"/>
    <w:rsid w:val="00AC7509"/>
    <w:rsid w:val="00AD05E0"/>
    <w:rsid w:val="00AD1103"/>
    <w:rsid w:val="00AD2C6D"/>
    <w:rsid w:val="00AD3B0F"/>
    <w:rsid w:val="00AD3FEB"/>
    <w:rsid w:val="00AD4838"/>
    <w:rsid w:val="00AD7400"/>
    <w:rsid w:val="00AE0817"/>
    <w:rsid w:val="00AE1220"/>
    <w:rsid w:val="00AE2C50"/>
    <w:rsid w:val="00AE4DDE"/>
    <w:rsid w:val="00AE5157"/>
    <w:rsid w:val="00AE7588"/>
    <w:rsid w:val="00AF1E39"/>
    <w:rsid w:val="00AF7520"/>
    <w:rsid w:val="00B00C5B"/>
    <w:rsid w:val="00B04F95"/>
    <w:rsid w:val="00B05045"/>
    <w:rsid w:val="00B05BA1"/>
    <w:rsid w:val="00B07787"/>
    <w:rsid w:val="00B10928"/>
    <w:rsid w:val="00B1345D"/>
    <w:rsid w:val="00B1454A"/>
    <w:rsid w:val="00B200F0"/>
    <w:rsid w:val="00B21B4F"/>
    <w:rsid w:val="00B2394B"/>
    <w:rsid w:val="00B24407"/>
    <w:rsid w:val="00B24FBB"/>
    <w:rsid w:val="00B316D3"/>
    <w:rsid w:val="00B33A78"/>
    <w:rsid w:val="00B36412"/>
    <w:rsid w:val="00B377CF"/>
    <w:rsid w:val="00B426FB"/>
    <w:rsid w:val="00B47EFE"/>
    <w:rsid w:val="00B506AF"/>
    <w:rsid w:val="00B50FBE"/>
    <w:rsid w:val="00B51E5D"/>
    <w:rsid w:val="00B52A9C"/>
    <w:rsid w:val="00B53580"/>
    <w:rsid w:val="00B5485C"/>
    <w:rsid w:val="00B562AD"/>
    <w:rsid w:val="00B56EE8"/>
    <w:rsid w:val="00B5772D"/>
    <w:rsid w:val="00B6339B"/>
    <w:rsid w:val="00B639B3"/>
    <w:rsid w:val="00B66500"/>
    <w:rsid w:val="00B72BDE"/>
    <w:rsid w:val="00B76586"/>
    <w:rsid w:val="00B76C4B"/>
    <w:rsid w:val="00B83E9C"/>
    <w:rsid w:val="00B83F34"/>
    <w:rsid w:val="00B90506"/>
    <w:rsid w:val="00B93D8B"/>
    <w:rsid w:val="00BA4C95"/>
    <w:rsid w:val="00BA5DA8"/>
    <w:rsid w:val="00BB231E"/>
    <w:rsid w:val="00BB2765"/>
    <w:rsid w:val="00BC0673"/>
    <w:rsid w:val="00BD1D48"/>
    <w:rsid w:val="00BD76AD"/>
    <w:rsid w:val="00BE07C9"/>
    <w:rsid w:val="00BE2032"/>
    <w:rsid w:val="00BE31F3"/>
    <w:rsid w:val="00BE44DA"/>
    <w:rsid w:val="00BE5AF6"/>
    <w:rsid w:val="00BE612F"/>
    <w:rsid w:val="00BE6E30"/>
    <w:rsid w:val="00BF1924"/>
    <w:rsid w:val="00BF1E6A"/>
    <w:rsid w:val="00BF2C6F"/>
    <w:rsid w:val="00C01865"/>
    <w:rsid w:val="00C01E85"/>
    <w:rsid w:val="00C0646D"/>
    <w:rsid w:val="00C07A6E"/>
    <w:rsid w:val="00C07C09"/>
    <w:rsid w:val="00C10C59"/>
    <w:rsid w:val="00C11CC0"/>
    <w:rsid w:val="00C16D5E"/>
    <w:rsid w:val="00C1758F"/>
    <w:rsid w:val="00C17BDA"/>
    <w:rsid w:val="00C21849"/>
    <w:rsid w:val="00C261A5"/>
    <w:rsid w:val="00C27581"/>
    <w:rsid w:val="00C33656"/>
    <w:rsid w:val="00C35BAC"/>
    <w:rsid w:val="00C43420"/>
    <w:rsid w:val="00C47BBF"/>
    <w:rsid w:val="00C52F26"/>
    <w:rsid w:val="00C535FA"/>
    <w:rsid w:val="00C57679"/>
    <w:rsid w:val="00C61179"/>
    <w:rsid w:val="00C6248F"/>
    <w:rsid w:val="00C64124"/>
    <w:rsid w:val="00C64A1B"/>
    <w:rsid w:val="00C64E32"/>
    <w:rsid w:val="00C67422"/>
    <w:rsid w:val="00C71395"/>
    <w:rsid w:val="00C7450F"/>
    <w:rsid w:val="00C746B5"/>
    <w:rsid w:val="00C747F0"/>
    <w:rsid w:val="00C7628B"/>
    <w:rsid w:val="00C807C4"/>
    <w:rsid w:val="00C80E30"/>
    <w:rsid w:val="00C85C2F"/>
    <w:rsid w:val="00C86EC4"/>
    <w:rsid w:val="00C92E01"/>
    <w:rsid w:val="00C965C3"/>
    <w:rsid w:val="00CA1AB8"/>
    <w:rsid w:val="00CA4C88"/>
    <w:rsid w:val="00CA6AD9"/>
    <w:rsid w:val="00CB08DC"/>
    <w:rsid w:val="00CB146A"/>
    <w:rsid w:val="00CB30DF"/>
    <w:rsid w:val="00CB4D1D"/>
    <w:rsid w:val="00CB5475"/>
    <w:rsid w:val="00CB5EDD"/>
    <w:rsid w:val="00CB65DE"/>
    <w:rsid w:val="00CC0DA5"/>
    <w:rsid w:val="00CC1844"/>
    <w:rsid w:val="00CC3198"/>
    <w:rsid w:val="00CC4CCA"/>
    <w:rsid w:val="00CC4E75"/>
    <w:rsid w:val="00CC7BCB"/>
    <w:rsid w:val="00CD1936"/>
    <w:rsid w:val="00CD4839"/>
    <w:rsid w:val="00CD7077"/>
    <w:rsid w:val="00CF1946"/>
    <w:rsid w:val="00CF2FE1"/>
    <w:rsid w:val="00CF4100"/>
    <w:rsid w:val="00CF555F"/>
    <w:rsid w:val="00CF6CA7"/>
    <w:rsid w:val="00CF7322"/>
    <w:rsid w:val="00D00083"/>
    <w:rsid w:val="00D01DC2"/>
    <w:rsid w:val="00D0698E"/>
    <w:rsid w:val="00D07C19"/>
    <w:rsid w:val="00D144E0"/>
    <w:rsid w:val="00D20F9A"/>
    <w:rsid w:val="00D222DD"/>
    <w:rsid w:val="00D24016"/>
    <w:rsid w:val="00D26219"/>
    <w:rsid w:val="00D30546"/>
    <w:rsid w:val="00D32522"/>
    <w:rsid w:val="00D43DA5"/>
    <w:rsid w:val="00D43DC9"/>
    <w:rsid w:val="00D47105"/>
    <w:rsid w:val="00D51E28"/>
    <w:rsid w:val="00D53ADE"/>
    <w:rsid w:val="00D54708"/>
    <w:rsid w:val="00D636F8"/>
    <w:rsid w:val="00D65A2C"/>
    <w:rsid w:val="00D727AE"/>
    <w:rsid w:val="00D82F44"/>
    <w:rsid w:val="00D85C6E"/>
    <w:rsid w:val="00D90A43"/>
    <w:rsid w:val="00D9577D"/>
    <w:rsid w:val="00D95B3C"/>
    <w:rsid w:val="00DA11B4"/>
    <w:rsid w:val="00DA2467"/>
    <w:rsid w:val="00DB0AF7"/>
    <w:rsid w:val="00DB1DB2"/>
    <w:rsid w:val="00DB1F33"/>
    <w:rsid w:val="00DB32DE"/>
    <w:rsid w:val="00DC0FA2"/>
    <w:rsid w:val="00DC1894"/>
    <w:rsid w:val="00DC414C"/>
    <w:rsid w:val="00DC48CC"/>
    <w:rsid w:val="00DC774C"/>
    <w:rsid w:val="00DD4FE6"/>
    <w:rsid w:val="00DE746C"/>
    <w:rsid w:val="00DF0D29"/>
    <w:rsid w:val="00DF0D8F"/>
    <w:rsid w:val="00DF2F91"/>
    <w:rsid w:val="00DF34A2"/>
    <w:rsid w:val="00DF3E0F"/>
    <w:rsid w:val="00DF6C62"/>
    <w:rsid w:val="00DF7042"/>
    <w:rsid w:val="00E07657"/>
    <w:rsid w:val="00E07F44"/>
    <w:rsid w:val="00E11322"/>
    <w:rsid w:val="00E15503"/>
    <w:rsid w:val="00E21315"/>
    <w:rsid w:val="00E23AE9"/>
    <w:rsid w:val="00E25C18"/>
    <w:rsid w:val="00E267AB"/>
    <w:rsid w:val="00E33485"/>
    <w:rsid w:val="00E36490"/>
    <w:rsid w:val="00E40269"/>
    <w:rsid w:val="00E47733"/>
    <w:rsid w:val="00E52B6C"/>
    <w:rsid w:val="00E64E03"/>
    <w:rsid w:val="00E67AFC"/>
    <w:rsid w:val="00E71B68"/>
    <w:rsid w:val="00E72F2D"/>
    <w:rsid w:val="00E8671C"/>
    <w:rsid w:val="00E91249"/>
    <w:rsid w:val="00E92E5D"/>
    <w:rsid w:val="00E954FC"/>
    <w:rsid w:val="00EA0D21"/>
    <w:rsid w:val="00EA3F24"/>
    <w:rsid w:val="00EA3F60"/>
    <w:rsid w:val="00EB1085"/>
    <w:rsid w:val="00EC192F"/>
    <w:rsid w:val="00EC6C43"/>
    <w:rsid w:val="00EC7B1D"/>
    <w:rsid w:val="00ED0DAE"/>
    <w:rsid w:val="00ED161F"/>
    <w:rsid w:val="00ED2BE3"/>
    <w:rsid w:val="00ED3B28"/>
    <w:rsid w:val="00ED503B"/>
    <w:rsid w:val="00EE10A7"/>
    <w:rsid w:val="00EE241E"/>
    <w:rsid w:val="00EE2EF8"/>
    <w:rsid w:val="00EF14B6"/>
    <w:rsid w:val="00EF164F"/>
    <w:rsid w:val="00EF3E01"/>
    <w:rsid w:val="00EF7932"/>
    <w:rsid w:val="00F00AA0"/>
    <w:rsid w:val="00F01624"/>
    <w:rsid w:val="00F01C57"/>
    <w:rsid w:val="00F17C22"/>
    <w:rsid w:val="00F17EF3"/>
    <w:rsid w:val="00F21F68"/>
    <w:rsid w:val="00F23615"/>
    <w:rsid w:val="00F26A69"/>
    <w:rsid w:val="00F31DD9"/>
    <w:rsid w:val="00F33B3F"/>
    <w:rsid w:val="00F33CF3"/>
    <w:rsid w:val="00F369D3"/>
    <w:rsid w:val="00F37D9D"/>
    <w:rsid w:val="00F43256"/>
    <w:rsid w:val="00F43B0C"/>
    <w:rsid w:val="00F51E1F"/>
    <w:rsid w:val="00F536E3"/>
    <w:rsid w:val="00F541B8"/>
    <w:rsid w:val="00F55401"/>
    <w:rsid w:val="00F55EC7"/>
    <w:rsid w:val="00F55FCC"/>
    <w:rsid w:val="00F56987"/>
    <w:rsid w:val="00F5754B"/>
    <w:rsid w:val="00F63F00"/>
    <w:rsid w:val="00F640A3"/>
    <w:rsid w:val="00F70195"/>
    <w:rsid w:val="00F708E2"/>
    <w:rsid w:val="00F72D0B"/>
    <w:rsid w:val="00F77FF0"/>
    <w:rsid w:val="00F80E53"/>
    <w:rsid w:val="00F82528"/>
    <w:rsid w:val="00F83A89"/>
    <w:rsid w:val="00F86DCE"/>
    <w:rsid w:val="00F86EDD"/>
    <w:rsid w:val="00F87DB8"/>
    <w:rsid w:val="00F905E1"/>
    <w:rsid w:val="00FA096B"/>
    <w:rsid w:val="00FA0D8D"/>
    <w:rsid w:val="00FB5D12"/>
    <w:rsid w:val="00FC04B6"/>
    <w:rsid w:val="00FC1A7F"/>
    <w:rsid w:val="00FC2B0D"/>
    <w:rsid w:val="00FC4A09"/>
    <w:rsid w:val="00FC74B4"/>
    <w:rsid w:val="00FD01C1"/>
    <w:rsid w:val="00FD7B90"/>
    <w:rsid w:val="00FE1043"/>
    <w:rsid w:val="00FE35C9"/>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B103"/>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2006EC"/>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2006EC"/>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C965C3"/>
    <w:rPr>
      <w:lang w:val="es-ES_tradnl"/>
    </w:rPr>
  </w:style>
  <w:style w:type="character" w:customStyle="1" w:styleId="Ttulo1Car">
    <w:name w:val="Título 1 Car"/>
    <w:basedOn w:val="Fuentedeprrafopredeter"/>
    <w:link w:val="Ttulo1"/>
    <w:rsid w:val="002006EC"/>
    <w:rPr>
      <w:rFonts w:ascii="Arial" w:eastAsia="Times New Roman" w:hAnsi="Arial" w:cs="Arial"/>
      <w:b/>
      <w:sz w:val="28"/>
      <w:szCs w:val="24"/>
      <w:lang w:eastAsia="es-ES"/>
    </w:rPr>
  </w:style>
  <w:style w:type="character" w:customStyle="1" w:styleId="Ttulo3Car">
    <w:name w:val="Título 3 Car"/>
    <w:basedOn w:val="Fuentedeprrafopredeter"/>
    <w:link w:val="Ttulo3"/>
    <w:rsid w:val="002006EC"/>
    <w:rPr>
      <w:rFonts w:ascii="Arial" w:eastAsia="Times New Roman" w:hAnsi="Arial" w:cs="Arial"/>
      <w:b/>
      <w:sz w:val="24"/>
      <w:szCs w:val="24"/>
      <w:lang w:eastAsia="es-ES"/>
    </w:rPr>
  </w:style>
  <w:style w:type="paragraph" w:styleId="Ttulo">
    <w:name w:val="Title"/>
    <w:basedOn w:val="Normal"/>
    <w:link w:val="TtuloCar"/>
    <w:qFormat/>
    <w:rsid w:val="002006EC"/>
    <w:pPr>
      <w:widowControl w:val="0"/>
      <w:autoSpaceDE w:val="0"/>
      <w:autoSpaceDN w:val="0"/>
      <w:adjustRightInd w:val="0"/>
      <w:spacing w:line="360" w:lineRule="auto"/>
      <w:jc w:val="center"/>
    </w:pPr>
    <w:rPr>
      <w:rFonts w:ascii="Arial" w:hAnsi="Arial" w:cs="Arial"/>
      <w:b/>
      <w:szCs w:val="24"/>
      <w:lang w:val="es-ES"/>
    </w:rPr>
  </w:style>
  <w:style w:type="character" w:customStyle="1" w:styleId="TtuloCar">
    <w:name w:val="Título Car"/>
    <w:basedOn w:val="Fuentedeprrafopredeter"/>
    <w:link w:val="Ttulo"/>
    <w:rsid w:val="002006EC"/>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1513">
      <w:bodyDiv w:val="1"/>
      <w:marLeft w:val="0"/>
      <w:marRight w:val="0"/>
      <w:marTop w:val="0"/>
      <w:marBottom w:val="0"/>
      <w:divBdr>
        <w:top w:val="none" w:sz="0" w:space="0" w:color="auto"/>
        <w:left w:val="none" w:sz="0" w:space="0" w:color="auto"/>
        <w:bottom w:val="none" w:sz="0" w:space="0" w:color="auto"/>
        <w:right w:val="none" w:sz="0" w:space="0" w:color="auto"/>
      </w:divBdr>
    </w:div>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1833_2016_pr0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328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B5F4-59B7-4035-9612-634D0578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8608</Words>
  <Characters>47349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2</cp:revision>
  <cp:lastPrinted>2019-02-14T20:53:00Z</cp:lastPrinted>
  <dcterms:created xsi:type="dcterms:W3CDTF">2022-10-04T14:52:00Z</dcterms:created>
  <dcterms:modified xsi:type="dcterms:W3CDTF">2022-10-04T14:52:00Z</dcterms:modified>
</cp:coreProperties>
</file>